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9.xml" ContentType="application/vnd.openxmlformats-officedocument.wordprocessingml.head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0.xml" ContentType="application/vnd.openxmlformats-officedocument.wordprocessingml.header+xml"/>
  <Override PartName="/word/header11.xml" ContentType="application/vnd.openxmlformats-officedocument.wordprocessingml.head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4.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5.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6.xml" ContentType="application/vnd.openxmlformats-officedocument.themeOverride+xml"/>
  <Override PartName="/word/footer12.xml" ContentType="application/vnd.openxmlformats-officedocument.wordprocessingml.footer+xml"/>
  <Override PartName="/word/charts/chart16.xml" ContentType="application/vnd.openxmlformats-officedocument.drawingml.chart+xml"/>
  <Override PartName="/word/charts/chart17.xml" ContentType="application/vnd.openxmlformats-officedocument.drawingml.chart+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footer15.xml" ContentType="application/vnd.openxmlformats-officedocument.wordprocessingml.footer+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header15.xml" ContentType="application/vnd.openxmlformats-officedocument.wordprocessingml.header+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drawings/drawing1.xml" ContentType="application/vnd.openxmlformats-officedocument.drawingml.chartshapes+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1.xml" ContentType="application/vnd.openxmlformats-officedocument.wordprocessingml.header+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0.xml" ContentType="application/vnd.openxmlformats-officedocument.drawingml.chart+xml"/>
  <Override PartName="/word/charts/style28.xml" ContentType="application/vnd.ms-office.chartstyle+xml"/>
  <Override PartName="/word/charts/colors28.xml" ContentType="application/vnd.ms-office.chartcolorstyle+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charts/chart31.xml" ContentType="application/vnd.openxmlformats-officedocument.drawingml.chart+xml"/>
  <Override PartName="/word/charts/style29.xml" ContentType="application/vnd.ms-office.chartstyle+xml"/>
  <Override PartName="/word/charts/colors29.xml" ContentType="application/vnd.ms-office.chartcolorstyle+xml"/>
  <Override PartName="/word/footer25.xml" ContentType="application/vnd.openxmlformats-officedocument.wordprocessingml.footer+xml"/>
  <Override PartName="/word/footer26.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charts/chart32.xml" ContentType="application/vnd.openxmlformats-officedocument.drawingml.chart+xml"/>
  <Override PartName="/word/theme/themeOverride7.xml" ContentType="application/vnd.openxmlformats-officedocument.themeOverride+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A8CEE0" w14:textId="69473F2B" w:rsidR="00911E05" w:rsidRDefault="00C85C87" w:rsidP="00CC2A62">
      <w:r>
        <w:rPr>
          <w:noProof/>
        </w:rPr>
        <w:drawing>
          <wp:anchor distT="0" distB="0" distL="114300" distR="114300" simplePos="0" relativeHeight="251659264" behindDoc="0" locked="0" layoutInCell="1" allowOverlap="1" wp14:anchorId="58C6FFCD" wp14:editId="69C7E097">
            <wp:simplePos x="0" y="0"/>
            <wp:positionH relativeFrom="page">
              <wp:posOffset>-164897</wp:posOffset>
            </wp:positionH>
            <wp:positionV relativeFrom="paragraph">
              <wp:posOffset>-1656503</wp:posOffset>
            </wp:positionV>
            <wp:extent cx="7935612" cy="10272638"/>
            <wp:effectExtent l="0" t="0" r="8255"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8">
                      <a:extLst>
                        <a:ext uri="{28A0092B-C50C-407E-A947-70E740481C1C}">
                          <a14:useLocalDpi xmlns:a14="http://schemas.microsoft.com/office/drawing/2010/main" val="0"/>
                        </a:ext>
                      </a:extLst>
                    </a:blip>
                    <a:stretch>
                      <a:fillRect/>
                    </a:stretch>
                  </pic:blipFill>
                  <pic:spPr>
                    <a:xfrm>
                      <a:off x="0" y="0"/>
                      <a:ext cx="7935612" cy="10272638"/>
                    </a:xfrm>
                    <a:prstGeom prst="rect">
                      <a:avLst/>
                    </a:prstGeom>
                  </pic:spPr>
                </pic:pic>
              </a:graphicData>
            </a:graphic>
            <wp14:sizeRelH relativeFrom="page">
              <wp14:pctWidth>0</wp14:pctWidth>
            </wp14:sizeRelH>
            <wp14:sizeRelV relativeFrom="page">
              <wp14:pctHeight>0</wp14:pctHeight>
            </wp14:sizeRelV>
          </wp:anchor>
        </w:drawing>
      </w:r>
    </w:p>
    <w:p w14:paraId="087075C4" w14:textId="2F79A8A3" w:rsidR="00911E05" w:rsidRDefault="00911E05">
      <w:pPr>
        <w:jc w:val="left"/>
      </w:pPr>
      <w:r>
        <w:br w:type="page"/>
      </w:r>
    </w:p>
    <w:p w14:paraId="5E169D5F" w14:textId="2A35D5FB" w:rsidR="00911E05" w:rsidRDefault="00F11C0E" w:rsidP="00CC2A62">
      <w:r>
        <w:rPr>
          <w:noProof/>
        </w:rPr>
        <w:lastRenderedPageBreak/>
        <mc:AlternateContent>
          <mc:Choice Requires="wps">
            <w:drawing>
              <wp:anchor distT="0" distB="0" distL="114300" distR="114300" simplePos="0" relativeHeight="251728896" behindDoc="0" locked="0" layoutInCell="1" allowOverlap="1" wp14:anchorId="1DE51288" wp14:editId="48C43D02">
                <wp:simplePos x="0" y="0"/>
                <wp:positionH relativeFrom="column">
                  <wp:posOffset>1593617</wp:posOffset>
                </wp:positionH>
                <wp:positionV relativeFrom="paragraph">
                  <wp:posOffset>-1169107</wp:posOffset>
                </wp:positionV>
                <wp:extent cx="2430683" cy="717630"/>
                <wp:effectExtent l="0" t="0" r="0" b="6350"/>
                <wp:wrapNone/>
                <wp:docPr id="11" name="Rectángulo 11"/>
                <wp:cNvGraphicFramePr/>
                <a:graphic xmlns:a="http://schemas.openxmlformats.org/drawingml/2006/main">
                  <a:graphicData uri="http://schemas.microsoft.com/office/word/2010/wordprocessingShape">
                    <wps:wsp>
                      <wps:cNvSpPr/>
                      <wps:spPr>
                        <a:xfrm>
                          <a:off x="0" y="0"/>
                          <a:ext cx="2430683" cy="7176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5F4A18" id="Rectángulo 11" o:spid="_x0000_s1026" style="position:absolute;margin-left:125.5pt;margin-top:-92.05pt;width:191.4pt;height:56.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" fillcolor="white [3212]" stroked="f" strokeweight="1pt"/>
            </w:pict>
          </mc:Fallback>
        </mc:AlternateContent>
      </w:r>
      <w:r w:rsidR="00911E05">
        <w:rPr>
          <w:noProof/>
        </w:rPr>
        <mc:AlternateContent>
          <mc:Choice Requires="wpg">
            <w:drawing>
              <wp:anchor distT="0" distB="0" distL="114300" distR="114300" simplePos="0" relativeHeight="251658240" behindDoc="0" locked="0" layoutInCell="1" allowOverlap="1" wp14:anchorId="2B437851" wp14:editId="47AC0EB0">
                <wp:simplePos x="0" y="0"/>
                <wp:positionH relativeFrom="column">
                  <wp:posOffset>-129540</wp:posOffset>
                </wp:positionH>
                <wp:positionV relativeFrom="paragraph">
                  <wp:posOffset>-64135</wp:posOffset>
                </wp:positionV>
                <wp:extent cx="6822613" cy="8502650"/>
                <wp:effectExtent l="0" t="0" r="0" b="6350"/>
                <wp:wrapNone/>
                <wp:docPr id="6" name="Grupo 6"/>
                <wp:cNvGraphicFramePr/>
                <a:graphic xmlns:a="http://schemas.openxmlformats.org/drawingml/2006/main">
                  <a:graphicData uri="http://schemas.microsoft.com/office/word/2010/wordprocessingGroup">
                    <wpg:wgp>
                      <wpg:cNvGrpSpPr/>
                      <wpg:grpSpPr>
                        <a:xfrm>
                          <a:off x="0" y="0"/>
                          <a:ext cx="6822613" cy="8502650"/>
                          <a:chOff x="0" y="0"/>
                          <a:chExt cx="6822613" cy="8502650"/>
                        </a:xfrm>
                      </wpg:grpSpPr>
                      <pic:pic xmlns:pic="http://schemas.openxmlformats.org/drawingml/2006/picture">
                        <pic:nvPicPr>
                          <pic:cNvPr id="5" name="Imagen 5"/>
                          <pic:cNvPicPr>
                            <a:picLocks noChangeAspect="1"/>
                          </pic:cNvPicPr>
                        </pic:nvPicPr>
                        <pic:blipFill>
                          <a:blip r:embed="rId9">
                            <a:alphaModFix amt="10000"/>
                            <a:extLst>
                              <a:ext uri="{28A0092B-C50C-407E-A947-70E740481C1C}">
                                <a14:useLocalDpi xmlns:a14="http://schemas.microsoft.com/office/drawing/2010/main" val="0"/>
                              </a:ext>
                            </a:extLst>
                          </a:blip>
                          <a:stretch>
                            <a:fillRect/>
                          </a:stretch>
                        </pic:blipFill>
                        <pic:spPr>
                          <a:xfrm>
                            <a:off x="1579418" y="0"/>
                            <a:ext cx="5243195" cy="8502650"/>
                          </a:xfrm>
                          <a:prstGeom prst="rect">
                            <a:avLst/>
                          </a:prstGeom>
                        </pic:spPr>
                      </pic:pic>
                      <wps:wsp>
                        <wps:cNvPr id="1" name="Cuadro de texto 1"/>
                        <wps:cNvSpPr txBox="1"/>
                        <wps:spPr>
                          <a:xfrm>
                            <a:off x="0" y="3228109"/>
                            <a:ext cx="2787015" cy="4026535"/>
                          </a:xfrm>
                          <a:prstGeom prst="rect">
                            <a:avLst/>
                          </a:prstGeom>
                          <a:noFill/>
                          <a:ln w="6350">
                            <a:noFill/>
                          </a:ln>
                        </wps:spPr>
                        <wps:txbx>
                          <w:txbxContent>
                            <w:p w14:paraId="5C98298A" w14:textId="0C735210" w:rsidR="00CC2A62" w:rsidRPr="00BB76CF" w:rsidRDefault="00CC2A62" w:rsidP="00CC2A62">
                              <w:pPr>
                                <w:jc w:val="left"/>
                                <w:rPr>
                                  <w:b/>
                                  <w:color w:val="C00000"/>
                                  <w:szCs w:val="22"/>
                                </w:rPr>
                              </w:pPr>
                              <w:r w:rsidRPr="00BB76CF">
                                <w:rPr>
                                  <w:b/>
                                  <w:color w:val="C00000"/>
                                  <w:szCs w:val="22"/>
                                </w:rPr>
                                <w:t>María Luc</w:t>
                              </w:r>
                              <w:r w:rsidR="00C35A17">
                                <w:rPr>
                                  <w:b/>
                                  <w:color w:val="C00000"/>
                                  <w:szCs w:val="22"/>
                                </w:rPr>
                                <w:t>í</w:t>
                              </w:r>
                              <w:r w:rsidRPr="00BB76CF">
                                <w:rPr>
                                  <w:b/>
                                  <w:color w:val="C00000"/>
                                  <w:szCs w:val="22"/>
                                </w:rPr>
                                <w:t>a Villalba Gómez</w:t>
                              </w:r>
                            </w:p>
                            <w:p w14:paraId="547E7D61" w14:textId="77777777" w:rsidR="00CC2A62" w:rsidRPr="00BB76CF" w:rsidRDefault="00CC2A62" w:rsidP="00CC2A62">
                              <w:pPr>
                                <w:jc w:val="left"/>
                                <w:rPr>
                                  <w:szCs w:val="22"/>
                                </w:rPr>
                              </w:pPr>
                              <w:r w:rsidRPr="00BB76CF">
                                <w:rPr>
                                  <w:szCs w:val="22"/>
                                </w:rPr>
                                <w:t xml:space="preserve">Jefe de Gabinete </w:t>
                              </w:r>
                            </w:p>
                            <w:p w14:paraId="139CE1CF" w14:textId="77777777" w:rsidR="00CC2A62" w:rsidRPr="00BB76CF" w:rsidRDefault="00CC2A62" w:rsidP="00CC2A62">
                              <w:pPr>
                                <w:jc w:val="left"/>
                                <w:rPr>
                                  <w:szCs w:val="22"/>
                                </w:rPr>
                              </w:pPr>
                            </w:p>
                            <w:p w14:paraId="048F8770" w14:textId="77777777" w:rsidR="00CC2A62" w:rsidRPr="00BB76CF" w:rsidRDefault="00CC2A62" w:rsidP="00CC2A62">
                              <w:pPr>
                                <w:jc w:val="left"/>
                                <w:rPr>
                                  <w:b/>
                                  <w:color w:val="C00000"/>
                                  <w:szCs w:val="22"/>
                                </w:rPr>
                              </w:pPr>
                              <w:r w:rsidRPr="00BB76CF">
                                <w:rPr>
                                  <w:b/>
                                  <w:color w:val="C00000"/>
                                  <w:szCs w:val="22"/>
                                </w:rPr>
                                <w:t>Mauricio Alejandro Moncayo Valencia</w:t>
                              </w:r>
                            </w:p>
                            <w:p w14:paraId="114B80DF" w14:textId="77777777" w:rsidR="00CC2A62" w:rsidRPr="00BB76CF" w:rsidRDefault="00CC2A62" w:rsidP="00CC2A62">
                              <w:pPr>
                                <w:jc w:val="left"/>
                                <w:rPr>
                                  <w:szCs w:val="22"/>
                                </w:rPr>
                              </w:pPr>
                              <w:r w:rsidRPr="00BB76CF">
                                <w:rPr>
                                  <w:szCs w:val="22"/>
                                </w:rPr>
                                <w:t xml:space="preserve">Secretario General (E) </w:t>
                              </w:r>
                            </w:p>
                            <w:p w14:paraId="189BB2CC" w14:textId="77777777" w:rsidR="00CC2A62" w:rsidRPr="00BB76CF" w:rsidRDefault="00CC2A62" w:rsidP="00CC2A62">
                              <w:pPr>
                                <w:jc w:val="left"/>
                                <w:rPr>
                                  <w:szCs w:val="22"/>
                                </w:rPr>
                              </w:pPr>
                            </w:p>
                            <w:p w14:paraId="2826F009" w14:textId="77777777" w:rsidR="00CC2A62" w:rsidRPr="00BB76CF" w:rsidRDefault="00CC2A62" w:rsidP="00CC2A62">
                              <w:pPr>
                                <w:jc w:val="left"/>
                                <w:rPr>
                                  <w:b/>
                                  <w:color w:val="C00000"/>
                                  <w:szCs w:val="22"/>
                                </w:rPr>
                              </w:pPr>
                              <w:r w:rsidRPr="00BB76CF">
                                <w:rPr>
                                  <w:b/>
                                  <w:color w:val="C00000"/>
                                  <w:szCs w:val="22"/>
                                </w:rPr>
                                <w:t>Gustavo Alberto Quintero Ardila</w:t>
                              </w:r>
                            </w:p>
                            <w:p w14:paraId="78D35E63" w14:textId="77777777" w:rsidR="00CC2A62" w:rsidRPr="00BB76CF" w:rsidRDefault="00CC2A62" w:rsidP="00CC2A62">
                              <w:pPr>
                                <w:jc w:val="left"/>
                                <w:rPr>
                                  <w:szCs w:val="22"/>
                                </w:rPr>
                              </w:pPr>
                              <w:r w:rsidRPr="00BB76CF">
                                <w:rPr>
                                  <w:szCs w:val="22"/>
                                </w:rPr>
                                <w:t>Secretario Distrital de Gobierno</w:t>
                              </w:r>
                            </w:p>
                            <w:p w14:paraId="5FD8E2FD" w14:textId="77777777" w:rsidR="00CC2A62" w:rsidRPr="00BB76CF" w:rsidRDefault="00CC2A62" w:rsidP="00CC2A62">
                              <w:pPr>
                                <w:jc w:val="left"/>
                                <w:rPr>
                                  <w:szCs w:val="22"/>
                                </w:rPr>
                              </w:pPr>
                            </w:p>
                            <w:p w14:paraId="1E88FAD3" w14:textId="3B115DE3" w:rsidR="00CC2A62" w:rsidRPr="00BB76CF" w:rsidRDefault="00CC2A62" w:rsidP="00CC2A62">
                              <w:pPr>
                                <w:jc w:val="left"/>
                                <w:rPr>
                                  <w:b/>
                                  <w:color w:val="C00000"/>
                                  <w:szCs w:val="22"/>
                                </w:rPr>
                              </w:pPr>
                              <w:r w:rsidRPr="00BB76CF">
                                <w:rPr>
                                  <w:b/>
                                  <w:color w:val="C00000"/>
                                  <w:szCs w:val="22"/>
                                </w:rPr>
                                <w:t>Ana Mar</w:t>
                              </w:r>
                              <w:r w:rsidR="00C35A17">
                                <w:rPr>
                                  <w:b/>
                                  <w:color w:val="C00000"/>
                                  <w:szCs w:val="22"/>
                                </w:rPr>
                                <w:t>í</w:t>
                              </w:r>
                              <w:r w:rsidRPr="00BB76CF">
                                <w:rPr>
                                  <w:b/>
                                  <w:color w:val="C00000"/>
                                  <w:szCs w:val="22"/>
                                </w:rPr>
                                <w:t>a Cadena Ru</w:t>
                              </w:r>
                              <w:r w:rsidR="00C35A17">
                                <w:rPr>
                                  <w:b/>
                                  <w:color w:val="C00000"/>
                                  <w:szCs w:val="22"/>
                                </w:rPr>
                                <w:t>í</w:t>
                              </w:r>
                              <w:r w:rsidRPr="00BB76CF">
                                <w:rPr>
                                  <w:b/>
                                  <w:color w:val="C00000"/>
                                  <w:szCs w:val="22"/>
                                </w:rPr>
                                <w:t>z</w:t>
                              </w:r>
                            </w:p>
                            <w:p w14:paraId="080B2E3F" w14:textId="77777777" w:rsidR="00CC2A62" w:rsidRPr="00BB76CF" w:rsidRDefault="00CC2A62" w:rsidP="00CC2A62">
                              <w:pPr>
                                <w:jc w:val="left"/>
                                <w:rPr>
                                  <w:szCs w:val="22"/>
                                </w:rPr>
                              </w:pPr>
                              <w:r w:rsidRPr="00BB76CF">
                                <w:rPr>
                                  <w:szCs w:val="22"/>
                                </w:rPr>
                                <w:t>Secretaria Distrital de Hacienda</w:t>
                              </w:r>
                            </w:p>
                            <w:p w14:paraId="2FF9E634" w14:textId="77777777" w:rsidR="00CC2A62" w:rsidRPr="00BB76CF" w:rsidRDefault="00CC2A62" w:rsidP="00CC2A62">
                              <w:pPr>
                                <w:jc w:val="left"/>
                                <w:rPr>
                                  <w:b/>
                                  <w:szCs w:val="22"/>
                                </w:rPr>
                              </w:pPr>
                            </w:p>
                            <w:p w14:paraId="21011F07" w14:textId="4ADB2581" w:rsidR="00CC2A62" w:rsidRPr="00BB76CF" w:rsidRDefault="00CC2A62" w:rsidP="00CC2A62">
                              <w:pPr>
                                <w:jc w:val="left"/>
                                <w:rPr>
                                  <w:b/>
                                  <w:color w:val="C00000"/>
                                  <w:szCs w:val="22"/>
                                </w:rPr>
                              </w:pPr>
                              <w:r w:rsidRPr="00BB76CF">
                                <w:rPr>
                                  <w:b/>
                                  <w:color w:val="C00000"/>
                                  <w:szCs w:val="22"/>
                                </w:rPr>
                                <w:t xml:space="preserve">María </w:t>
                              </w:r>
                              <w:r w:rsidR="00C72C1D">
                                <w:rPr>
                                  <w:b/>
                                  <w:color w:val="C00000"/>
                                  <w:szCs w:val="22"/>
                                </w:rPr>
                                <w:t>d</w:t>
                              </w:r>
                              <w:r w:rsidRPr="00BB76CF">
                                <w:rPr>
                                  <w:b/>
                                  <w:color w:val="C00000"/>
                                  <w:szCs w:val="22"/>
                                </w:rPr>
                                <w:t>el Pilar López Uribe</w:t>
                              </w:r>
                            </w:p>
                            <w:p w14:paraId="4310039E" w14:textId="77777777" w:rsidR="00CC2A62" w:rsidRPr="00BB76CF" w:rsidRDefault="00CC2A62" w:rsidP="00CC2A62">
                              <w:pPr>
                                <w:jc w:val="left"/>
                                <w:rPr>
                                  <w:szCs w:val="22"/>
                                </w:rPr>
                              </w:pPr>
                              <w:r w:rsidRPr="00BB76CF">
                                <w:rPr>
                                  <w:szCs w:val="22"/>
                                </w:rPr>
                                <w:t>Secretaria Distrital de Desarrollo Económico</w:t>
                              </w:r>
                            </w:p>
                            <w:p w14:paraId="5867A774" w14:textId="77777777" w:rsidR="00CC2A62" w:rsidRPr="00BB76CF" w:rsidRDefault="00CC2A62" w:rsidP="00CC2A62">
                              <w:pPr>
                                <w:jc w:val="left"/>
                                <w:rPr>
                                  <w:color w:val="C00000"/>
                                  <w:szCs w:val="22"/>
                                </w:rPr>
                              </w:pPr>
                            </w:p>
                            <w:p w14:paraId="1B8FEBED" w14:textId="77777777" w:rsidR="00CC2A62" w:rsidRPr="00BB76CF" w:rsidRDefault="00CC2A62" w:rsidP="00CC2A62">
                              <w:pPr>
                                <w:jc w:val="left"/>
                                <w:rPr>
                                  <w:b/>
                                  <w:color w:val="C00000"/>
                                  <w:szCs w:val="22"/>
                                </w:rPr>
                              </w:pPr>
                              <w:r w:rsidRPr="00BB76CF">
                                <w:rPr>
                                  <w:b/>
                                  <w:color w:val="C00000"/>
                                  <w:szCs w:val="22"/>
                                </w:rPr>
                                <w:t>Isabel Segovia Ospina</w:t>
                              </w:r>
                            </w:p>
                            <w:p w14:paraId="7B5AB451" w14:textId="77777777" w:rsidR="00CC2A62" w:rsidRPr="00BB76CF" w:rsidRDefault="00CC2A62" w:rsidP="00CC2A62">
                              <w:pPr>
                                <w:jc w:val="left"/>
                                <w:rPr>
                                  <w:szCs w:val="22"/>
                                </w:rPr>
                              </w:pPr>
                              <w:r w:rsidRPr="00BB76CF">
                                <w:rPr>
                                  <w:szCs w:val="22"/>
                                </w:rPr>
                                <w:t>Secretaria de Educación del Distrito</w:t>
                              </w:r>
                            </w:p>
                            <w:p w14:paraId="61C483BB" w14:textId="77777777" w:rsidR="00CC2A62" w:rsidRPr="00BB76CF" w:rsidRDefault="00CC2A62" w:rsidP="00CC2A62">
                              <w:pPr>
                                <w:jc w:val="left"/>
                                <w:rPr>
                                  <w:color w:val="C00000"/>
                                  <w:szCs w:val="22"/>
                                </w:rPr>
                              </w:pPr>
                            </w:p>
                            <w:p w14:paraId="4AFE83F6" w14:textId="77777777" w:rsidR="00CC2A62" w:rsidRPr="00BB76CF" w:rsidRDefault="00CC2A62" w:rsidP="00CC2A62">
                              <w:pPr>
                                <w:jc w:val="left"/>
                                <w:rPr>
                                  <w:b/>
                                  <w:color w:val="C00000"/>
                                  <w:szCs w:val="22"/>
                                </w:rPr>
                              </w:pPr>
                              <w:r w:rsidRPr="00BB76CF">
                                <w:rPr>
                                  <w:b/>
                                  <w:color w:val="C00000"/>
                                  <w:szCs w:val="22"/>
                                </w:rPr>
                                <w:t>Gerson Orlando Bermont Galavis</w:t>
                              </w:r>
                            </w:p>
                            <w:p w14:paraId="211944D8" w14:textId="77777777" w:rsidR="00CC2A62" w:rsidRPr="00BB76CF" w:rsidRDefault="00CC2A62" w:rsidP="00CC2A62">
                              <w:pPr>
                                <w:jc w:val="left"/>
                                <w:rPr>
                                  <w:szCs w:val="22"/>
                                </w:rPr>
                              </w:pPr>
                              <w:r w:rsidRPr="00BB76CF">
                                <w:rPr>
                                  <w:szCs w:val="22"/>
                                </w:rPr>
                                <w:t>Secretario Distrital de Salud</w:t>
                              </w:r>
                            </w:p>
                            <w:p w14:paraId="6172C917" w14:textId="77777777" w:rsidR="00CC2A62" w:rsidRPr="00BB76CF" w:rsidRDefault="00CC2A62" w:rsidP="00CC2A62">
                              <w:pPr>
                                <w:jc w:val="left"/>
                                <w:rPr>
                                  <w:szCs w:val="22"/>
                                </w:rPr>
                              </w:pPr>
                            </w:p>
                            <w:p w14:paraId="0B996128" w14:textId="77777777" w:rsidR="00CC2A62" w:rsidRPr="00BB76CF" w:rsidRDefault="00CC2A62" w:rsidP="00CC2A62">
                              <w:pPr>
                                <w:jc w:val="left"/>
                                <w:rPr>
                                  <w:b/>
                                  <w:color w:val="C00000"/>
                                  <w:szCs w:val="22"/>
                                </w:rPr>
                              </w:pPr>
                              <w:r w:rsidRPr="00BB76CF">
                                <w:rPr>
                                  <w:b/>
                                  <w:color w:val="C00000"/>
                                  <w:szCs w:val="22"/>
                                </w:rPr>
                                <w:t>Roberto Carlos Angulo Salazar</w:t>
                              </w:r>
                            </w:p>
                            <w:p w14:paraId="1631014B" w14:textId="77777777" w:rsidR="00CC2A62" w:rsidRPr="00BB76CF" w:rsidRDefault="00CC2A62" w:rsidP="00CC2A62">
                              <w:pPr>
                                <w:jc w:val="left"/>
                                <w:rPr>
                                  <w:szCs w:val="22"/>
                                </w:rPr>
                              </w:pPr>
                              <w:r w:rsidRPr="00BB76CF">
                                <w:rPr>
                                  <w:szCs w:val="22"/>
                                </w:rPr>
                                <w:t>Secretario Distrital de Integración Social</w:t>
                              </w:r>
                            </w:p>
                            <w:p w14:paraId="27B04673" w14:textId="77777777" w:rsidR="00CC2A62" w:rsidRDefault="00CC2A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Cuadro de texto 2"/>
                        <wps:cNvSpPr txBox="1"/>
                        <wps:spPr>
                          <a:xfrm>
                            <a:off x="3020291" y="3228109"/>
                            <a:ext cx="2787015" cy="4026535"/>
                          </a:xfrm>
                          <a:prstGeom prst="rect">
                            <a:avLst/>
                          </a:prstGeom>
                          <a:noFill/>
                          <a:ln w="6350">
                            <a:noFill/>
                          </a:ln>
                        </wps:spPr>
                        <wps:txbx>
                          <w:txbxContent>
                            <w:p w14:paraId="6930FB1B" w14:textId="77777777" w:rsidR="00CC2A62" w:rsidRPr="00CC2A62" w:rsidRDefault="00CC2A62" w:rsidP="00CC2A62">
                              <w:pPr>
                                <w:jc w:val="left"/>
                                <w:rPr>
                                  <w:b/>
                                  <w:bCs/>
                                  <w:color w:val="C00000"/>
                                  <w:szCs w:val="32"/>
                                </w:rPr>
                              </w:pPr>
                              <w:r w:rsidRPr="00CC2A62">
                                <w:rPr>
                                  <w:b/>
                                  <w:bCs/>
                                  <w:color w:val="C00000"/>
                                  <w:szCs w:val="32"/>
                                </w:rPr>
                                <w:t>Santiago Trujillo Escobar</w:t>
                              </w:r>
                            </w:p>
                            <w:p w14:paraId="2EE90E23" w14:textId="77777777" w:rsidR="006963C4" w:rsidRDefault="00CC2A62" w:rsidP="00CC2A62">
                              <w:pPr>
                                <w:jc w:val="left"/>
                                <w:rPr>
                                  <w:szCs w:val="32"/>
                                </w:rPr>
                              </w:pPr>
                              <w:r w:rsidRPr="00CC2A62">
                                <w:rPr>
                                  <w:szCs w:val="32"/>
                                </w:rPr>
                                <w:t xml:space="preserve">Secretario Distrital de Cultura, </w:t>
                              </w:r>
                            </w:p>
                            <w:p w14:paraId="171E3625" w14:textId="002BE47C" w:rsidR="00CC2A62" w:rsidRPr="00CC2A62" w:rsidRDefault="00CC2A62" w:rsidP="00CC2A62">
                              <w:pPr>
                                <w:jc w:val="left"/>
                                <w:rPr>
                                  <w:szCs w:val="32"/>
                                </w:rPr>
                              </w:pPr>
                              <w:r w:rsidRPr="00CC2A62">
                                <w:rPr>
                                  <w:szCs w:val="32"/>
                                </w:rPr>
                                <w:t>Recreación y Deporte</w:t>
                              </w:r>
                            </w:p>
                            <w:p w14:paraId="7D0FDC2A" w14:textId="77777777" w:rsidR="00CC2A62" w:rsidRPr="00CC2A62" w:rsidRDefault="00CC2A62" w:rsidP="00CC2A62">
                              <w:pPr>
                                <w:jc w:val="left"/>
                                <w:rPr>
                                  <w:szCs w:val="32"/>
                                </w:rPr>
                              </w:pPr>
                            </w:p>
                            <w:p w14:paraId="647E3656" w14:textId="77777777" w:rsidR="00CC2A62" w:rsidRPr="00CC2A62" w:rsidRDefault="00CC2A62" w:rsidP="00CC2A62">
                              <w:pPr>
                                <w:jc w:val="left"/>
                                <w:rPr>
                                  <w:b/>
                                  <w:bCs/>
                                  <w:color w:val="C00000"/>
                                  <w:szCs w:val="32"/>
                                </w:rPr>
                              </w:pPr>
                              <w:r w:rsidRPr="00CC2A62">
                                <w:rPr>
                                  <w:b/>
                                  <w:bCs/>
                                  <w:color w:val="C00000"/>
                                  <w:szCs w:val="32"/>
                                </w:rPr>
                                <w:t>Adriana Soto Carreño</w:t>
                              </w:r>
                            </w:p>
                            <w:p w14:paraId="58F75D7A" w14:textId="77777777" w:rsidR="00CC2A62" w:rsidRPr="00CC2A62" w:rsidRDefault="00CC2A62" w:rsidP="00CC2A62">
                              <w:pPr>
                                <w:jc w:val="left"/>
                                <w:rPr>
                                  <w:szCs w:val="32"/>
                                </w:rPr>
                              </w:pPr>
                              <w:r w:rsidRPr="00CC2A62">
                                <w:rPr>
                                  <w:szCs w:val="32"/>
                                </w:rPr>
                                <w:t>Secretaria Distrital de Ambiente</w:t>
                              </w:r>
                            </w:p>
                            <w:p w14:paraId="24CA022A" w14:textId="77777777" w:rsidR="00CC2A62" w:rsidRPr="00CC2A62" w:rsidRDefault="00CC2A62" w:rsidP="00CC2A62">
                              <w:pPr>
                                <w:jc w:val="left"/>
                                <w:rPr>
                                  <w:szCs w:val="32"/>
                                </w:rPr>
                              </w:pPr>
                            </w:p>
                            <w:p w14:paraId="74C1CDDC" w14:textId="77777777" w:rsidR="00CC2A62" w:rsidRPr="00CC2A62" w:rsidRDefault="00CC2A62" w:rsidP="00CC2A62">
                              <w:pPr>
                                <w:jc w:val="left"/>
                                <w:rPr>
                                  <w:b/>
                                  <w:bCs/>
                                  <w:color w:val="C00000"/>
                                  <w:szCs w:val="32"/>
                                </w:rPr>
                              </w:pPr>
                              <w:r w:rsidRPr="00CC2A62">
                                <w:rPr>
                                  <w:b/>
                                  <w:bCs/>
                                  <w:color w:val="C00000"/>
                                  <w:szCs w:val="32"/>
                                </w:rPr>
                                <w:t>Claudia Andrea Díaz Acosta</w:t>
                              </w:r>
                            </w:p>
                            <w:p w14:paraId="4A037180" w14:textId="77777777" w:rsidR="00CC2A62" w:rsidRPr="00CC2A62" w:rsidRDefault="00CC2A62" w:rsidP="00CC2A62">
                              <w:pPr>
                                <w:jc w:val="left"/>
                                <w:rPr>
                                  <w:szCs w:val="32"/>
                                </w:rPr>
                              </w:pPr>
                              <w:r w:rsidRPr="00CC2A62">
                                <w:rPr>
                                  <w:szCs w:val="32"/>
                                </w:rPr>
                                <w:t>Secretaria Distrital de Movilidad</w:t>
                              </w:r>
                            </w:p>
                            <w:p w14:paraId="012609A8" w14:textId="77777777" w:rsidR="00CC2A62" w:rsidRPr="00CC2A62" w:rsidRDefault="00CC2A62" w:rsidP="00CC2A62">
                              <w:pPr>
                                <w:jc w:val="left"/>
                                <w:rPr>
                                  <w:szCs w:val="32"/>
                                </w:rPr>
                              </w:pPr>
                            </w:p>
                            <w:p w14:paraId="2B4D1074" w14:textId="77777777" w:rsidR="00CC2A62" w:rsidRPr="00CC2A62" w:rsidRDefault="00CC2A62" w:rsidP="00CC2A62">
                              <w:pPr>
                                <w:jc w:val="left"/>
                                <w:rPr>
                                  <w:b/>
                                  <w:bCs/>
                                  <w:color w:val="C00000"/>
                                  <w:szCs w:val="32"/>
                                </w:rPr>
                              </w:pPr>
                              <w:r w:rsidRPr="00CC2A62">
                                <w:rPr>
                                  <w:b/>
                                  <w:bCs/>
                                  <w:color w:val="C00000"/>
                                  <w:szCs w:val="32"/>
                                </w:rPr>
                                <w:t>Vanessa Alexandra Velasco Bernal</w:t>
                              </w:r>
                            </w:p>
                            <w:p w14:paraId="467D023D" w14:textId="77777777" w:rsidR="00CC2A62" w:rsidRPr="00CC2A62" w:rsidRDefault="00CC2A62" w:rsidP="00CC2A62">
                              <w:pPr>
                                <w:jc w:val="left"/>
                                <w:rPr>
                                  <w:szCs w:val="32"/>
                                </w:rPr>
                              </w:pPr>
                              <w:r w:rsidRPr="00CC2A62">
                                <w:rPr>
                                  <w:szCs w:val="32"/>
                                </w:rPr>
                                <w:t>Secretaria Distrital de Hábitat</w:t>
                              </w:r>
                            </w:p>
                            <w:p w14:paraId="44CBCA2B" w14:textId="77777777" w:rsidR="00CC2A62" w:rsidRPr="00CC2A62" w:rsidRDefault="00CC2A62" w:rsidP="00CC2A62">
                              <w:pPr>
                                <w:jc w:val="left"/>
                                <w:rPr>
                                  <w:szCs w:val="32"/>
                                </w:rPr>
                              </w:pPr>
                            </w:p>
                            <w:p w14:paraId="5917BA46" w14:textId="77777777" w:rsidR="00CC2A62" w:rsidRPr="00CC2A62" w:rsidRDefault="00CC2A62" w:rsidP="00CC2A62">
                              <w:pPr>
                                <w:jc w:val="left"/>
                                <w:rPr>
                                  <w:b/>
                                  <w:bCs/>
                                  <w:color w:val="C00000"/>
                                  <w:szCs w:val="32"/>
                                </w:rPr>
                              </w:pPr>
                              <w:r w:rsidRPr="00CC2A62">
                                <w:rPr>
                                  <w:b/>
                                  <w:bCs/>
                                  <w:color w:val="C00000"/>
                                  <w:szCs w:val="32"/>
                                </w:rPr>
                                <w:t>Laura Marcela Tami Leal</w:t>
                              </w:r>
                            </w:p>
                            <w:p w14:paraId="7E51E36C" w14:textId="77777777" w:rsidR="00CC2A62" w:rsidRPr="00CC2A62" w:rsidRDefault="00CC2A62" w:rsidP="00CC2A62">
                              <w:pPr>
                                <w:jc w:val="left"/>
                                <w:rPr>
                                  <w:szCs w:val="32"/>
                                </w:rPr>
                              </w:pPr>
                              <w:r w:rsidRPr="00CC2A62">
                                <w:rPr>
                                  <w:szCs w:val="32"/>
                                </w:rPr>
                                <w:t>Secretaria Distrital de la Mujer</w:t>
                              </w:r>
                            </w:p>
                            <w:p w14:paraId="268E97D4" w14:textId="77777777" w:rsidR="00CC2A62" w:rsidRPr="00CC2A62" w:rsidRDefault="00CC2A62" w:rsidP="00CC2A62">
                              <w:pPr>
                                <w:jc w:val="left"/>
                                <w:rPr>
                                  <w:szCs w:val="32"/>
                                </w:rPr>
                              </w:pPr>
                            </w:p>
                            <w:p w14:paraId="47636194" w14:textId="2802E2B5" w:rsidR="00CC2A62" w:rsidRPr="00CC2A62" w:rsidRDefault="00CC2A62" w:rsidP="00CC2A62">
                              <w:pPr>
                                <w:jc w:val="left"/>
                                <w:rPr>
                                  <w:b/>
                                  <w:bCs/>
                                  <w:color w:val="C00000"/>
                                  <w:szCs w:val="32"/>
                                </w:rPr>
                              </w:pPr>
                              <w:r w:rsidRPr="00CC2A62">
                                <w:rPr>
                                  <w:b/>
                                  <w:bCs/>
                                  <w:color w:val="C00000"/>
                                  <w:szCs w:val="32"/>
                                </w:rPr>
                                <w:t>C</w:t>
                              </w:r>
                              <w:r w:rsidR="00847BB2">
                                <w:rPr>
                                  <w:b/>
                                  <w:bCs/>
                                  <w:color w:val="C00000"/>
                                  <w:szCs w:val="32"/>
                                </w:rPr>
                                <w:t>é</w:t>
                              </w:r>
                              <w:r w:rsidRPr="00CC2A62">
                                <w:rPr>
                                  <w:b/>
                                  <w:bCs/>
                                  <w:color w:val="C00000"/>
                                  <w:szCs w:val="32"/>
                                </w:rPr>
                                <w:t>sar Andrés Restrepo Florez</w:t>
                              </w:r>
                            </w:p>
                            <w:p w14:paraId="76158376" w14:textId="77777777" w:rsidR="006963C4" w:rsidRDefault="00CC2A62" w:rsidP="00CC2A62">
                              <w:pPr>
                                <w:jc w:val="left"/>
                                <w:rPr>
                                  <w:szCs w:val="32"/>
                                </w:rPr>
                              </w:pPr>
                              <w:r w:rsidRPr="00CC2A62">
                                <w:rPr>
                                  <w:szCs w:val="32"/>
                                </w:rPr>
                                <w:t xml:space="preserve">Secretario Distrital de Seguridad, </w:t>
                              </w:r>
                            </w:p>
                            <w:p w14:paraId="4AA34222" w14:textId="3DD02B2F" w:rsidR="00CC2A62" w:rsidRPr="00CC2A62" w:rsidRDefault="00CC2A62" w:rsidP="00CC2A62">
                              <w:pPr>
                                <w:jc w:val="left"/>
                                <w:rPr>
                                  <w:szCs w:val="32"/>
                                </w:rPr>
                              </w:pPr>
                              <w:r w:rsidRPr="00CC2A62">
                                <w:rPr>
                                  <w:szCs w:val="32"/>
                                </w:rPr>
                                <w:t>Convivencia y Justicia</w:t>
                              </w:r>
                            </w:p>
                            <w:p w14:paraId="742CE43F" w14:textId="77777777" w:rsidR="00CC2A62" w:rsidRPr="00CC2A62" w:rsidRDefault="00CC2A62" w:rsidP="00CC2A62">
                              <w:pPr>
                                <w:jc w:val="left"/>
                                <w:rPr>
                                  <w:szCs w:val="32"/>
                                </w:rPr>
                              </w:pPr>
                            </w:p>
                            <w:p w14:paraId="793D332E" w14:textId="77777777" w:rsidR="00CC2A62" w:rsidRPr="00CC2A62" w:rsidRDefault="00CC2A62" w:rsidP="00CC2A62">
                              <w:pPr>
                                <w:jc w:val="left"/>
                                <w:rPr>
                                  <w:b/>
                                  <w:bCs/>
                                  <w:color w:val="C00000"/>
                                  <w:szCs w:val="32"/>
                                </w:rPr>
                              </w:pPr>
                              <w:r w:rsidRPr="00CC2A62">
                                <w:rPr>
                                  <w:b/>
                                  <w:bCs/>
                                  <w:color w:val="C00000"/>
                                  <w:szCs w:val="32"/>
                                </w:rPr>
                                <w:t>Mauricio Alejandro Moncayo Valencia</w:t>
                              </w:r>
                            </w:p>
                            <w:p w14:paraId="4176B7CB" w14:textId="3BE153F0" w:rsidR="00CC2A62" w:rsidRPr="00CC2A62" w:rsidRDefault="00CC2A62" w:rsidP="00CC2A62">
                              <w:pPr>
                                <w:jc w:val="left"/>
                                <w:rPr>
                                  <w:sz w:val="28"/>
                                  <w:szCs w:val="28"/>
                                </w:rPr>
                              </w:pPr>
                              <w:r w:rsidRPr="00CC2A62">
                                <w:rPr>
                                  <w:szCs w:val="32"/>
                                </w:rPr>
                                <w:t>Secretario Jurídico Distrital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Cuadro de texto 3"/>
                        <wps:cNvSpPr txBox="1"/>
                        <wps:spPr>
                          <a:xfrm>
                            <a:off x="0" y="1579418"/>
                            <a:ext cx="5811520" cy="1221740"/>
                          </a:xfrm>
                          <a:prstGeom prst="rect">
                            <a:avLst/>
                          </a:prstGeom>
                          <a:noFill/>
                          <a:ln w="6350">
                            <a:noFill/>
                          </a:ln>
                        </wps:spPr>
                        <wps:txbx>
                          <w:txbxContent>
                            <w:p w14:paraId="7BDEF9ED" w14:textId="77777777" w:rsidR="00CC2A62" w:rsidRPr="00BB76CF" w:rsidRDefault="00CC2A62" w:rsidP="00CC2A62">
                              <w:pPr>
                                <w:jc w:val="center"/>
                                <w:rPr>
                                  <w:b/>
                                  <w:color w:val="C00000"/>
                                  <w:sz w:val="28"/>
                                  <w:szCs w:val="28"/>
                                </w:rPr>
                              </w:pPr>
                              <w:r w:rsidRPr="00BB76CF">
                                <w:rPr>
                                  <w:b/>
                                  <w:color w:val="C00000"/>
                                  <w:sz w:val="28"/>
                                  <w:szCs w:val="28"/>
                                </w:rPr>
                                <w:t>Carlos Fernando Galán Pachón</w:t>
                              </w:r>
                            </w:p>
                            <w:p w14:paraId="3426ECCA" w14:textId="77777777" w:rsidR="00CC2A62" w:rsidRPr="00BB76CF" w:rsidRDefault="00CC2A62" w:rsidP="00CC2A62">
                              <w:pPr>
                                <w:jc w:val="center"/>
                                <w:rPr>
                                  <w:sz w:val="28"/>
                                  <w:szCs w:val="28"/>
                                </w:rPr>
                              </w:pPr>
                              <w:r w:rsidRPr="00BB76CF">
                                <w:rPr>
                                  <w:sz w:val="28"/>
                                  <w:szCs w:val="28"/>
                                </w:rPr>
                                <w:t>Alcalde Mayor de Bogotá</w:t>
                              </w:r>
                            </w:p>
                            <w:p w14:paraId="5456C63E" w14:textId="77777777" w:rsidR="00CC2A62" w:rsidRPr="00BB76CF" w:rsidRDefault="00CC2A62" w:rsidP="00CC2A62">
                              <w:pPr>
                                <w:jc w:val="center"/>
                                <w:rPr>
                                  <w:b/>
                                  <w:sz w:val="28"/>
                                  <w:szCs w:val="28"/>
                                </w:rPr>
                              </w:pPr>
                            </w:p>
                            <w:p w14:paraId="20000F98" w14:textId="77777777" w:rsidR="00CC2A62" w:rsidRPr="00BB76CF" w:rsidRDefault="00CC2A62" w:rsidP="00CC2A62">
                              <w:pPr>
                                <w:jc w:val="center"/>
                                <w:rPr>
                                  <w:b/>
                                  <w:sz w:val="28"/>
                                  <w:szCs w:val="28"/>
                                </w:rPr>
                              </w:pPr>
                              <w:r w:rsidRPr="00BB76CF">
                                <w:rPr>
                                  <w:b/>
                                  <w:color w:val="C00000"/>
                                  <w:sz w:val="28"/>
                                  <w:szCs w:val="28"/>
                                </w:rPr>
                                <w:t>Miguel Andrés Silva Moyano</w:t>
                              </w:r>
                            </w:p>
                            <w:p w14:paraId="3D62F03E" w14:textId="77777777" w:rsidR="00CC2A62" w:rsidRPr="00BB76CF" w:rsidRDefault="00CC2A62" w:rsidP="00CC2A62">
                              <w:pPr>
                                <w:jc w:val="center"/>
                                <w:rPr>
                                  <w:sz w:val="28"/>
                                  <w:szCs w:val="28"/>
                                </w:rPr>
                              </w:pPr>
                              <w:r w:rsidRPr="00BB76CF">
                                <w:rPr>
                                  <w:sz w:val="28"/>
                                  <w:szCs w:val="28"/>
                                </w:rPr>
                                <w:t>Secretario Distrital de Planeación</w:t>
                              </w:r>
                            </w:p>
                            <w:p w14:paraId="7DB24CF9" w14:textId="77777777" w:rsidR="00CC2A62" w:rsidRDefault="00CC2A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B437851" id="Grupo 6" o:spid="_x0000_s1026" style="position:absolute;left:0;text-align:left;margin-left:-10.2pt;margin-top:-5.05pt;width:537.2pt;height:669.5pt;z-index:251658240" coordsize="68226,850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YjRmNjM2MWQtOGZjZC00NzljLWI0MjEtZTIyYWI0NTMzNTQ2PC9zdEV2dDpp&#10;bnN0YW5jZUlEPgogICAgICAgICAgICAgICAgICA8c3RFdnQ6d2hlbj4yMDI0LTAyLTI1VDE3OjAx&#10;OjA5LTA1OjAwPC9zdEV2dDp3aGVuPgogICAgICAgICAgICAgICAgICA8c3RFdnQ6c29mdHdhcmVB&#10;Z2VudD5BZG9iZSBJbGx1c3RyYXRvciAyOC4yIChNYWNpbnRvc2g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27" type="#_x0000_t75" style="position:absolute;left:15794;width:52432;height:85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">
                  <v:imagedata r:id="rId10" o:title=""/>
                </v:shape>
                <v:shapetype id="_x0000_t202" coordsize="21600,21600" o:spt="202" path="m,l,21600r21600,l21600,xe">
                  <v:stroke joinstyle="miter"/>
                  <v:path gradientshapeok="t" o:connecttype="rect"/>
                </v:shapetype>
                <v:shape id="Cuadro de texto 1" o:spid="_x0000_s1028" type="#_x0000_t202" style="position:absolute;top:32281;width:27870;height:40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" filled="f" stroked="f" strokeweight=".5pt">
                  <v:textbox>
                    <w:txbxContent>
                      <w:p w14:paraId="5C98298A" w14:textId="0C735210" w:rsidR="00CC2A62" w:rsidRPr="00BB76CF" w:rsidRDefault="00CC2A62" w:rsidP="00CC2A62">
                        <w:pPr>
                          <w:jc w:val="left"/>
                          <w:rPr>
                            <w:b/>
                            <w:color w:val="C00000"/>
                            <w:szCs w:val="22"/>
                          </w:rPr>
                        </w:pPr>
                        <w:r w:rsidRPr="00BB76CF">
                          <w:rPr>
                            <w:b/>
                            <w:color w:val="C00000"/>
                            <w:szCs w:val="22"/>
                          </w:rPr>
                          <w:t>María Luc</w:t>
                        </w:r>
                        <w:r w:rsidR="00C35A17">
                          <w:rPr>
                            <w:b/>
                            <w:color w:val="C00000"/>
                            <w:szCs w:val="22"/>
                          </w:rPr>
                          <w:t>í</w:t>
                        </w:r>
                        <w:r w:rsidRPr="00BB76CF">
                          <w:rPr>
                            <w:b/>
                            <w:color w:val="C00000"/>
                            <w:szCs w:val="22"/>
                          </w:rPr>
                          <w:t>a Villalba Gómez</w:t>
                        </w:r>
                      </w:p>
                      <w:p w14:paraId="547E7D61" w14:textId="77777777" w:rsidR="00CC2A62" w:rsidRPr="00BB76CF" w:rsidRDefault="00CC2A62" w:rsidP="00CC2A62">
                        <w:pPr>
                          <w:jc w:val="left"/>
                          <w:rPr>
                            <w:szCs w:val="22"/>
                          </w:rPr>
                        </w:pPr>
                        <w:r w:rsidRPr="00BB76CF">
                          <w:rPr>
                            <w:szCs w:val="22"/>
                          </w:rPr>
                          <w:t xml:space="preserve">Jefe de Gabinete </w:t>
                        </w:r>
                      </w:p>
                      <w:p w14:paraId="139CE1CF" w14:textId="77777777" w:rsidR="00CC2A62" w:rsidRPr="00BB76CF" w:rsidRDefault="00CC2A62" w:rsidP="00CC2A62">
                        <w:pPr>
                          <w:jc w:val="left"/>
                          <w:rPr>
                            <w:szCs w:val="22"/>
                          </w:rPr>
                        </w:pPr>
                      </w:p>
                      <w:p w14:paraId="048F8770" w14:textId="77777777" w:rsidR="00CC2A62" w:rsidRPr="00BB76CF" w:rsidRDefault="00CC2A62" w:rsidP="00CC2A62">
                        <w:pPr>
                          <w:jc w:val="left"/>
                          <w:rPr>
                            <w:b/>
                            <w:color w:val="C00000"/>
                            <w:szCs w:val="22"/>
                          </w:rPr>
                        </w:pPr>
                        <w:r w:rsidRPr="00BB76CF">
                          <w:rPr>
                            <w:b/>
                            <w:color w:val="C00000"/>
                            <w:szCs w:val="22"/>
                          </w:rPr>
                          <w:t>Mauricio Alejandro Moncayo Valencia</w:t>
                        </w:r>
                      </w:p>
                      <w:p w14:paraId="114B80DF" w14:textId="77777777" w:rsidR="00CC2A62" w:rsidRPr="00BB76CF" w:rsidRDefault="00CC2A62" w:rsidP="00CC2A62">
                        <w:pPr>
                          <w:jc w:val="left"/>
                          <w:rPr>
                            <w:szCs w:val="22"/>
                          </w:rPr>
                        </w:pPr>
                        <w:r w:rsidRPr="00BB76CF">
                          <w:rPr>
                            <w:szCs w:val="22"/>
                          </w:rPr>
                          <w:t xml:space="preserve">Secretario General (E) </w:t>
                        </w:r>
                      </w:p>
                      <w:p w14:paraId="189BB2CC" w14:textId="77777777" w:rsidR="00CC2A62" w:rsidRPr="00BB76CF" w:rsidRDefault="00CC2A62" w:rsidP="00CC2A62">
                        <w:pPr>
                          <w:jc w:val="left"/>
                          <w:rPr>
                            <w:szCs w:val="22"/>
                          </w:rPr>
                        </w:pPr>
                      </w:p>
                      <w:p w14:paraId="2826F009" w14:textId="77777777" w:rsidR="00CC2A62" w:rsidRPr="00BB76CF" w:rsidRDefault="00CC2A62" w:rsidP="00CC2A62">
                        <w:pPr>
                          <w:jc w:val="left"/>
                          <w:rPr>
                            <w:b/>
                            <w:color w:val="C00000"/>
                            <w:szCs w:val="22"/>
                          </w:rPr>
                        </w:pPr>
                        <w:r w:rsidRPr="00BB76CF">
                          <w:rPr>
                            <w:b/>
                            <w:color w:val="C00000"/>
                            <w:szCs w:val="22"/>
                          </w:rPr>
                          <w:t>Gustavo Alberto Quintero Ardila</w:t>
                        </w:r>
                      </w:p>
                      <w:p w14:paraId="78D35E63" w14:textId="77777777" w:rsidR="00CC2A62" w:rsidRPr="00BB76CF" w:rsidRDefault="00CC2A62" w:rsidP="00CC2A62">
                        <w:pPr>
                          <w:jc w:val="left"/>
                          <w:rPr>
                            <w:szCs w:val="22"/>
                          </w:rPr>
                        </w:pPr>
                        <w:r w:rsidRPr="00BB76CF">
                          <w:rPr>
                            <w:szCs w:val="22"/>
                          </w:rPr>
                          <w:t>Secretario Distrital de Gobierno</w:t>
                        </w:r>
                      </w:p>
                      <w:p w14:paraId="5FD8E2FD" w14:textId="77777777" w:rsidR="00CC2A62" w:rsidRPr="00BB76CF" w:rsidRDefault="00CC2A62" w:rsidP="00CC2A62">
                        <w:pPr>
                          <w:jc w:val="left"/>
                          <w:rPr>
                            <w:szCs w:val="22"/>
                          </w:rPr>
                        </w:pPr>
                      </w:p>
                      <w:p w14:paraId="1E88FAD3" w14:textId="3B115DE3" w:rsidR="00CC2A62" w:rsidRPr="00BB76CF" w:rsidRDefault="00CC2A62" w:rsidP="00CC2A62">
                        <w:pPr>
                          <w:jc w:val="left"/>
                          <w:rPr>
                            <w:b/>
                            <w:color w:val="C00000"/>
                            <w:szCs w:val="22"/>
                          </w:rPr>
                        </w:pPr>
                        <w:r w:rsidRPr="00BB76CF">
                          <w:rPr>
                            <w:b/>
                            <w:color w:val="C00000"/>
                            <w:szCs w:val="22"/>
                          </w:rPr>
                          <w:t>Ana Mar</w:t>
                        </w:r>
                        <w:r w:rsidR="00C35A17">
                          <w:rPr>
                            <w:b/>
                            <w:color w:val="C00000"/>
                            <w:szCs w:val="22"/>
                          </w:rPr>
                          <w:t>í</w:t>
                        </w:r>
                        <w:r w:rsidRPr="00BB76CF">
                          <w:rPr>
                            <w:b/>
                            <w:color w:val="C00000"/>
                            <w:szCs w:val="22"/>
                          </w:rPr>
                          <w:t>a Cadena Ru</w:t>
                        </w:r>
                        <w:r w:rsidR="00C35A17">
                          <w:rPr>
                            <w:b/>
                            <w:color w:val="C00000"/>
                            <w:szCs w:val="22"/>
                          </w:rPr>
                          <w:t>í</w:t>
                        </w:r>
                        <w:r w:rsidRPr="00BB76CF">
                          <w:rPr>
                            <w:b/>
                            <w:color w:val="C00000"/>
                            <w:szCs w:val="22"/>
                          </w:rPr>
                          <w:t>z</w:t>
                        </w:r>
                      </w:p>
                      <w:p w14:paraId="080B2E3F" w14:textId="77777777" w:rsidR="00CC2A62" w:rsidRPr="00BB76CF" w:rsidRDefault="00CC2A62" w:rsidP="00CC2A62">
                        <w:pPr>
                          <w:jc w:val="left"/>
                          <w:rPr>
                            <w:szCs w:val="22"/>
                          </w:rPr>
                        </w:pPr>
                        <w:r w:rsidRPr="00BB76CF">
                          <w:rPr>
                            <w:szCs w:val="22"/>
                          </w:rPr>
                          <w:t>Secretaria Distrital de Hacienda</w:t>
                        </w:r>
                      </w:p>
                      <w:p w14:paraId="2FF9E634" w14:textId="77777777" w:rsidR="00CC2A62" w:rsidRPr="00BB76CF" w:rsidRDefault="00CC2A62" w:rsidP="00CC2A62">
                        <w:pPr>
                          <w:jc w:val="left"/>
                          <w:rPr>
                            <w:b/>
                            <w:szCs w:val="22"/>
                          </w:rPr>
                        </w:pPr>
                      </w:p>
                      <w:p w14:paraId="21011F07" w14:textId="4ADB2581" w:rsidR="00CC2A62" w:rsidRPr="00BB76CF" w:rsidRDefault="00CC2A62" w:rsidP="00CC2A62">
                        <w:pPr>
                          <w:jc w:val="left"/>
                          <w:rPr>
                            <w:b/>
                            <w:color w:val="C00000"/>
                            <w:szCs w:val="22"/>
                          </w:rPr>
                        </w:pPr>
                        <w:r w:rsidRPr="00BB76CF">
                          <w:rPr>
                            <w:b/>
                            <w:color w:val="C00000"/>
                            <w:szCs w:val="22"/>
                          </w:rPr>
                          <w:t xml:space="preserve">María </w:t>
                        </w:r>
                        <w:r w:rsidR="00C72C1D">
                          <w:rPr>
                            <w:b/>
                            <w:color w:val="C00000"/>
                            <w:szCs w:val="22"/>
                          </w:rPr>
                          <w:t>d</w:t>
                        </w:r>
                        <w:r w:rsidRPr="00BB76CF">
                          <w:rPr>
                            <w:b/>
                            <w:color w:val="C00000"/>
                            <w:szCs w:val="22"/>
                          </w:rPr>
                          <w:t>el Pilar López Uribe</w:t>
                        </w:r>
                      </w:p>
                      <w:p w14:paraId="4310039E" w14:textId="77777777" w:rsidR="00CC2A62" w:rsidRPr="00BB76CF" w:rsidRDefault="00CC2A62" w:rsidP="00CC2A62">
                        <w:pPr>
                          <w:jc w:val="left"/>
                          <w:rPr>
                            <w:szCs w:val="22"/>
                          </w:rPr>
                        </w:pPr>
                        <w:r w:rsidRPr="00BB76CF">
                          <w:rPr>
                            <w:szCs w:val="22"/>
                          </w:rPr>
                          <w:t>Secretaria Distrital de Desarrollo Económico</w:t>
                        </w:r>
                      </w:p>
                      <w:p w14:paraId="5867A774" w14:textId="77777777" w:rsidR="00CC2A62" w:rsidRPr="00BB76CF" w:rsidRDefault="00CC2A62" w:rsidP="00CC2A62">
                        <w:pPr>
                          <w:jc w:val="left"/>
                          <w:rPr>
                            <w:color w:val="C00000"/>
                            <w:szCs w:val="22"/>
                          </w:rPr>
                        </w:pPr>
                      </w:p>
                      <w:p w14:paraId="1B8FEBED" w14:textId="77777777" w:rsidR="00CC2A62" w:rsidRPr="00BB76CF" w:rsidRDefault="00CC2A62" w:rsidP="00CC2A62">
                        <w:pPr>
                          <w:jc w:val="left"/>
                          <w:rPr>
                            <w:b/>
                            <w:color w:val="C00000"/>
                            <w:szCs w:val="22"/>
                          </w:rPr>
                        </w:pPr>
                        <w:r w:rsidRPr="00BB76CF">
                          <w:rPr>
                            <w:b/>
                            <w:color w:val="C00000"/>
                            <w:szCs w:val="22"/>
                          </w:rPr>
                          <w:t>Isabel Segovia Ospina</w:t>
                        </w:r>
                      </w:p>
                      <w:p w14:paraId="7B5AB451" w14:textId="77777777" w:rsidR="00CC2A62" w:rsidRPr="00BB76CF" w:rsidRDefault="00CC2A62" w:rsidP="00CC2A62">
                        <w:pPr>
                          <w:jc w:val="left"/>
                          <w:rPr>
                            <w:szCs w:val="22"/>
                          </w:rPr>
                        </w:pPr>
                        <w:r w:rsidRPr="00BB76CF">
                          <w:rPr>
                            <w:szCs w:val="22"/>
                          </w:rPr>
                          <w:t>Secretaria de Educación del Distrito</w:t>
                        </w:r>
                      </w:p>
                      <w:p w14:paraId="61C483BB" w14:textId="77777777" w:rsidR="00CC2A62" w:rsidRPr="00BB76CF" w:rsidRDefault="00CC2A62" w:rsidP="00CC2A62">
                        <w:pPr>
                          <w:jc w:val="left"/>
                          <w:rPr>
                            <w:color w:val="C00000"/>
                            <w:szCs w:val="22"/>
                          </w:rPr>
                        </w:pPr>
                      </w:p>
                      <w:p w14:paraId="4AFE83F6" w14:textId="77777777" w:rsidR="00CC2A62" w:rsidRPr="00BB76CF" w:rsidRDefault="00CC2A62" w:rsidP="00CC2A62">
                        <w:pPr>
                          <w:jc w:val="left"/>
                          <w:rPr>
                            <w:b/>
                            <w:color w:val="C00000"/>
                            <w:szCs w:val="22"/>
                          </w:rPr>
                        </w:pPr>
                        <w:r w:rsidRPr="00BB76CF">
                          <w:rPr>
                            <w:b/>
                            <w:color w:val="C00000"/>
                            <w:szCs w:val="22"/>
                          </w:rPr>
                          <w:t>Gerson Orlando Bermont Galavis</w:t>
                        </w:r>
                      </w:p>
                      <w:p w14:paraId="211944D8" w14:textId="77777777" w:rsidR="00CC2A62" w:rsidRPr="00BB76CF" w:rsidRDefault="00CC2A62" w:rsidP="00CC2A62">
                        <w:pPr>
                          <w:jc w:val="left"/>
                          <w:rPr>
                            <w:szCs w:val="22"/>
                          </w:rPr>
                        </w:pPr>
                        <w:r w:rsidRPr="00BB76CF">
                          <w:rPr>
                            <w:szCs w:val="22"/>
                          </w:rPr>
                          <w:t>Secretario Distrital de Salud</w:t>
                        </w:r>
                      </w:p>
                      <w:p w14:paraId="6172C917" w14:textId="77777777" w:rsidR="00CC2A62" w:rsidRPr="00BB76CF" w:rsidRDefault="00CC2A62" w:rsidP="00CC2A62">
                        <w:pPr>
                          <w:jc w:val="left"/>
                          <w:rPr>
                            <w:szCs w:val="22"/>
                          </w:rPr>
                        </w:pPr>
                      </w:p>
                      <w:p w14:paraId="0B996128" w14:textId="77777777" w:rsidR="00CC2A62" w:rsidRPr="00BB76CF" w:rsidRDefault="00CC2A62" w:rsidP="00CC2A62">
                        <w:pPr>
                          <w:jc w:val="left"/>
                          <w:rPr>
                            <w:b/>
                            <w:color w:val="C00000"/>
                            <w:szCs w:val="22"/>
                          </w:rPr>
                        </w:pPr>
                        <w:r w:rsidRPr="00BB76CF">
                          <w:rPr>
                            <w:b/>
                            <w:color w:val="C00000"/>
                            <w:szCs w:val="22"/>
                          </w:rPr>
                          <w:t>Roberto Carlos Angulo Salazar</w:t>
                        </w:r>
                      </w:p>
                      <w:p w14:paraId="1631014B" w14:textId="77777777" w:rsidR="00CC2A62" w:rsidRPr="00BB76CF" w:rsidRDefault="00CC2A62" w:rsidP="00CC2A62">
                        <w:pPr>
                          <w:jc w:val="left"/>
                          <w:rPr>
                            <w:szCs w:val="22"/>
                          </w:rPr>
                        </w:pPr>
                        <w:r w:rsidRPr="00BB76CF">
                          <w:rPr>
                            <w:szCs w:val="22"/>
                          </w:rPr>
                          <w:t>Secretario Distrital de Integración Social</w:t>
                        </w:r>
                      </w:p>
                      <w:p w14:paraId="27B04673" w14:textId="77777777" w:rsidR="00CC2A62" w:rsidRDefault="00CC2A62"/>
                    </w:txbxContent>
                  </v:textbox>
                </v:shape>
                <v:shape id="Cuadro de texto 2" o:spid="_x0000_s1029" type="#_x0000_t202" style="position:absolute;left:30202;top:32281;width:27871;height:40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6930FB1B" w14:textId="77777777" w:rsidR="00CC2A62" w:rsidRPr="00CC2A62" w:rsidRDefault="00CC2A62" w:rsidP="00CC2A62">
                        <w:pPr>
                          <w:jc w:val="left"/>
                          <w:rPr>
                            <w:b/>
                            <w:bCs/>
                            <w:color w:val="C00000"/>
                            <w:szCs w:val="32"/>
                          </w:rPr>
                        </w:pPr>
                        <w:r w:rsidRPr="00CC2A62">
                          <w:rPr>
                            <w:b/>
                            <w:bCs/>
                            <w:color w:val="C00000"/>
                            <w:szCs w:val="32"/>
                          </w:rPr>
                          <w:t>Santiago Trujillo Escobar</w:t>
                        </w:r>
                      </w:p>
                      <w:p w14:paraId="2EE90E23" w14:textId="77777777" w:rsidR="006963C4" w:rsidRDefault="00CC2A62" w:rsidP="00CC2A62">
                        <w:pPr>
                          <w:jc w:val="left"/>
                          <w:rPr>
                            <w:szCs w:val="32"/>
                          </w:rPr>
                        </w:pPr>
                        <w:r w:rsidRPr="00CC2A62">
                          <w:rPr>
                            <w:szCs w:val="32"/>
                          </w:rPr>
                          <w:t xml:space="preserve">Secretario Distrital de Cultura, </w:t>
                        </w:r>
                      </w:p>
                      <w:p w14:paraId="171E3625" w14:textId="002BE47C" w:rsidR="00CC2A62" w:rsidRPr="00CC2A62" w:rsidRDefault="00CC2A62" w:rsidP="00CC2A62">
                        <w:pPr>
                          <w:jc w:val="left"/>
                          <w:rPr>
                            <w:szCs w:val="32"/>
                          </w:rPr>
                        </w:pPr>
                        <w:r w:rsidRPr="00CC2A62">
                          <w:rPr>
                            <w:szCs w:val="32"/>
                          </w:rPr>
                          <w:t>Recreación y Deporte</w:t>
                        </w:r>
                      </w:p>
                      <w:p w14:paraId="7D0FDC2A" w14:textId="77777777" w:rsidR="00CC2A62" w:rsidRPr="00CC2A62" w:rsidRDefault="00CC2A62" w:rsidP="00CC2A62">
                        <w:pPr>
                          <w:jc w:val="left"/>
                          <w:rPr>
                            <w:szCs w:val="32"/>
                          </w:rPr>
                        </w:pPr>
                      </w:p>
                      <w:p w14:paraId="647E3656" w14:textId="77777777" w:rsidR="00CC2A62" w:rsidRPr="00CC2A62" w:rsidRDefault="00CC2A62" w:rsidP="00CC2A62">
                        <w:pPr>
                          <w:jc w:val="left"/>
                          <w:rPr>
                            <w:b/>
                            <w:bCs/>
                            <w:color w:val="C00000"/>
                            <w:szCs w:val="32"/>
                          </w:rPr>
                        </w:pPr>
                        <w:r w:rsidRPr="00CC2A62">
                          <w:rPr>
                            <w:b/>
                            <w:bCs/>
                            <w:color w:val="C00000"/>
                            <w:szCs w:val="32"/>
                          </w:rPr>
                          <w:t>Adriana Soto Carreño</w:t>
                        </w:r>
                      </w:p>
                      <w:p w14:paraId="58F75D7A" w14:textId="77777777" w:rsidR="00CC2A62" w:rsidRPr="00CC2A62" w:rsidRDefault="00CC2A62" w:rsidP="00CC2A62">
                        <w:pPr>
                          <w:jc w:val="left"/>
                          <w:rPr>
                            <w:szCs w:val="32"/>
                          </w:rPr>
                        </w:pPr>
                        <w:r w:rsidRPr="00CC2A62">
                          <w:rPr>
                            <w:szCs w:val="32"/>
                          </w:rPr>
                          <w:t>Secretaria Distrital de Ambiente</w:t>
                        </w:r>
                      </w:p>
                      <w:p w14:paraId="24CA022A" w14:textId="77777777" w:rsidR="00CC2A62" w:rsidRPr="00CC2A62" w:rsidRDefault="00CC2A62" w:rsidP="00CC2A62">
                        <w:pPr>
                          <w:jc w:val="left"/>
                          <w:rPr>
                            <w:szCs w:val="32"/>
                          </w:rPr>
                        </w:pPr>
                      </w:p>
                      <w:p w14:paraId="74C1CDDC" w14:textId="77777777" w:rsidR="00CC2A62" w:rsidRPr="00CC2A62" w:rsidRDefault="00CC2A62" w:rsidP="00CC2A62">
                        <w:pPr>
                          <w:jc w:val="left"/>
                          <w:rPr>
                            <w:b/>
                            <w:bCs/>
                            <w:color w:val="C00000"/>
                            <w:szCs w:val="32"/>
                          </w:rPr>
                        </w:pPr>
                        <w:r w:rsidRPr="00CC2A62">
                          <w:rPr>
                            <w:b/>
                            <w:bCs/>
                            <w:color w:val="C00000"/>
                            <w:szCs w:val="32"/>
                          </w:rPr>
                          <w:t>Claudia Andrea Díaz Acosta</w:t>
                        </w:r>
                      </w:p>
                      <w:p w14:paraId="4A037180" w14:textId="77777777" w:rsidR="00CC2A62" w:rsidRPr="00CC2A62" w:rsidRDefault="00CC2A62" w:rsidP="00CC2A62">
                        <w:pPr>
                          <w:jc w:val="left"/>
                          <w:rPr>
                            <w:szCs w:val="32"/>
                          </w:rPr>
                        </w:pPr>
                        <w:r w:rsidRPr="00CC2A62">
                          <w:rPr>
                            <w:szCs w:val="32"/>
                          </w:rPr>
                          <w:t>Secretaria Distrital de Movilidad</w:t>
                        </w:r>
                      </w:p>
                      <w:p w14:paraId="012609A8" w14:textId="77777777" w:rsidR="00CC2A62" w:rsidRPr="00CC2A62" w:rsidRDefault="00CC2A62" w:rsidP="00CC2A62">
                        <w:pPr>
                          <w:jc w:val="left"/>
                          <w:rPr>
                            <w:szCs w:val="32"/>
                          </w:rPr>
                        </w:pPr>
                      </w:p>
                      <w:p w14:paraId="2B4D1074" w14:textId="77777777" w:rsidR="00CC2A62" w:rsidRPr="00CC2A62" w:rsidRDefault="00CC2A62" w:rsidP="00CC2A62">
                        <w:pPr>
                          <w:jc w:val="left"/>
                          <w:rPr>
                            <w:b/>
                            <w:bCs/>
                            <w:color w:val="C00000"/>
                            <w:szCs w:val="32"/>
                          </w:rPr>
                        </w:pPr>
                        <w:r w:rsidRPr="00CC2A62">
                          <w:rPr>
                            <w:b/>
                            <w:bCs/>
                            <w:color w:val="C00000"/>
                            <w:szCs w:val="32"/>
                          </w:rPr>
                          <w:t>Vanessa Alexandra Velasco Bernal</w:t>
                        </w:r>
                      </w:p>
                      <w:p w14:paraId="467D023D" w14:textId="77777777" w:rsidR="00CC2A62" w:rsidRPr="00CC2A62" w:rsidRDefault="00CC2A62" w:rsidP="00CC2A62">
                        <w:pPr>
                          <w:jc w:val="left"/>
                          <w:rPr>
                            <w:szCs w:val="32"/>
                          </w:rPr>
                        </w:pPr>
                        <w:r w:rsidRPr="00CC2A62">
                          <w:rPr>
                            <w:szCs w:val="32"/>
                          </w:rPr>
                          <w:t>Secretaria Distrital de Hábitat</w:t>
                        </w:r>
                      </w:p>
                      <w:p w14:paraId="44CBCA2B" w14:textId="77777777" w:rsidR="00CC2A62" w:rsidRPr="00CC2A62" w:rsidRDefault="00CC2A62" w:rsidP="00CC2A62">
                        <w:pPr>
                          <w:jc w:val="left"/>
                          <w:rPr>
                            <w:szCs w:val="32"/>
                          </w:rPr>
                        </w:pPr>
                      </w:p>
                      <w:p w14:paraId="5917BA46" w14:textId="77777777" w:rsidR="00CC2A62" w:rsidRPr="00CC2A62" w:rsidRDefault="00CC2A62" w:rsidP="00CC2A62">
                        <w:pPr>
                          <w:jc w:val="left"/>
                          <w:rPr>
                            <w:b/>
                            <w:bCs/>
                            <w:color w:val="C00000"/>
                            <w:szCs w:val="32"/>
                          </w:rPr>
                        </w:pPr>
                        <w:r w:rsidRPr="00CC2A62">
                          <w:rPr>
                            <w:b/>
                            <w:bCs/>
                            <w:color w:val="C00000"/>
                            <w:szCs w:val="32"/>
                          </w:rPr>
                          <w:t>Laura Marcela Tami Leal</w:t>
                        </w:r>
                      </w:p>
                      <w:p w14:paraId="7E51E36C" w14:textId="77777777" w:rsidR="00CC2A62" w:rsidRPr="00CC2A62" w:rsidRDefault="00CC2A62" w:rsidP="00CC2A62">
                        <w:pPr>
                          <w:jc w:val="left"/>
                          <w:rPr>
                            <w:szCs w:val="32"/>
                          </w:rPr>
                        </w:pPr>
                        <w:r w:rsidRPr="00CC2A62">
                          <w:rPr>
                            <w:szCs w:val="32"/>
                          </w:rPr>
                          <w:t>Secretaria Distrital de la Mujer</w:t>
                        </w:r>
                      </w:p>
                      <w:p w14:paraId="268E97D4" w14:textId="77777777" w:rsidR="00CC2A62" w:rsidRPr="00CC2A62" w:rsidRDefault="00CC2A62" w:rsidP="00CC2A62">
                        <w:pPr>
                          <w:jc w:val="left"/>
                          <w:rPr>
                            <w:szCs w:val="32"/>
                          </w:rPr>
                        </w:pPr>
                      </w:p>
                      <w:p w14:paraId="47636194" w14:textId="2802E2B5" w:rsidR="00CC2A62" w:rsidRPr="00CC2A62" w:rsidRDefault="00CC2A62" w:rsidP="00CC2A62">
                        <w:pPr>
                          <w:jc w:val="left"/>
                          <w:rPr>
                            <w:b/>
                            <w:bCs/>
                            <w:color w:val="C00000"/>
                            <w:szCs w:val="32"/>
                          </w:rPr>
                        </w:pPr>
                        <w:r w:rsidRPr="00CC2A62">
                          <w:rPr>
                            <w:b/>
                            <w:bCs/>
                            <w:color w:val="C00000"/>
                            <w:szCs w:val="32"/>
                          </w:rPr>
                          <w:t>C</w:t>
                        </w:r>
                        <w:r w:rsidR="00847BB2">
                          <w:rPr>
                            <w:b/>
                            <w:bCs/>
                            <w:color w:val="C00000"/>
                            <w:szCs w:val="32"/>
                          </w:rPr>
                          <w:t>é</w:t>
                        </w:r>
                        <w:r w:rsidRPr="00CC2A62">
                          <w:rPr>
                            <w:b/>
                            <w:bCs/>
                            <w:color w:val="C00000"/>
                            <w:szCs w:val="32"/>
                          </w:rPr>
                          <w:t>sar Andrés Restrepo Florez</w:t>
                        </w:r>
                      </w:p>
                      <w:p w14:paraId="76158376" w14:textId="77777777" w:rsidR="006963C4" w:rsidRDefault="00CC2A62" w:rsidP="00CC2A62">
                        <w:pPr>
                          <w:jc w:val="left"/>
                          <w:rPr>
                            <w:szCs w:val="32"/>
                          </w:rPr>
                        </w:pPr>
                        <w:r w:rsidRPr="00CC2A62">
                          <w:rPr>
                            <w:szCs w:val="32"/>
                          </w:rPr>
                          <w:t xml:space="preserve">Secretario Distrital de Seguridad, </w:t>
                        </w:r>
                      </w:p>
                      <w:p w14:paraId="4AA34222" w14:textId="3DD02B2F" w:rsidR="00CC2A62" w:rsidRPr="00CC2A62" w:rsidRDefault="00CC2A62" w:rsidP="00CC2A62">
                        <w:pPr>
                          <w:jc w:val="left"/>
                          <w:rPr>
                            <w:szCs w:val="32"/>
                          </w:rPr>
                        </w:pPr>
                        <w:r w:rsidRPr="00CC2A62">
                          <w:rPr>
                            <w:szCs w:val="32"/>
                          </w:rPr>
                          <w:t>Convivencia y Justicia</w:t>
                        </w:r>
                      </w:p>
                      <w:p w14:paraId="742CE43F" w14:textId="77777777" w:rsidR="00CC2A62" w:rsidRPr="00CC2A62" w:rsidRDefault="00CC2A62" w:rsidP="00CC2A62">
                        <w:pPr>
                          <w:jc w:val="left"/>
                          <w:rPr>
                            <w:szCs w:val="32"/>
                          </w:rPr>
                        </w:pPr>
                      </w:p>
                      <w:p w14:paraId="793D332E" w14:textId="77777777" w:rsidR="00CC2A62" w:rsidRPr="00CC2A62" w:rsidRDefault="00CC2A62" w:rsidP="00CC2A62">
                        <w:pPr>
                          <w:jc w:val="left"/>
                          <w:rPr>
                            <w:b/>
                            <w:bCs/>
                            <w:color w:val="C00000"/>
                            <w:szCs w:val="32"/>
                          </w:rPr>
                        </w:pPr>
                        <w:r w:rsidRPr="00CC2A62">
                          <w:rPr>
                            <w:b/>
                            <w:bCs/>
                            <w:color w:val="C00000"/>
                            <w:szCs w:val="32"/>
                          </w:rPr>
                          <w:t>Mauricio Alejandro Moncayo Valencia</w:t>
                        </w:r>
                      </w:p>
                      <w:p w14:paraId="4176B7CB" w14:textId="3BE153F0" w:rsidR="00CC2A62" w:rsidRPr="00CC2A62" w:rsidRDefault="00CC2A62" w:rsidP="00CC2A62">
                        <w:pPr>
                          <w:jc w:val="left"/>
                          <w:rPr>
                            <w:sz w:val="28"/>
                            <w:szCs w:val="28"/>
                          </w:rPr>
                        </w:pPr>
                        <w:r w:rsidRPr="00CC2A62">
                          <w:rPr>
                            <w:szCs w:val="32"/>
                          </w:rPr>
                          <w:t>Secretario Jurídico Distrital</w:t>
                        </w:r>
                      </w:p>
                    </w:txbxContent>
                  </v:textbox>
                </v:shape>
                <v:shape id="Cuadro de texto 3" o:spid="_x0000_s1030" type="#_x0000_t202" style="position:absolute;top:15794;width:58115;height:1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7BDEF9ED" w14:textId="77777777" w:rsidR="00CC2A62" w:rsidRPr="00BB76CF" w:rsidRDefault="00CC2A62" w:rsidP="00CC2A62">
                        <w:pPr>
                          <w:jc w:val="center"/>
                          <w:rPr>
                            <w:b/>
                            <w:color w:val="C00000"/>
                            <w:sz w:val="28"/>
                            <w:szCs w:val="28"/>
                          </w:rPr>
                        </w:pPr>
                        <w:r w:rsidRPr="00BB76CF">
                          <w:rPr>
                            <w:b/>
                            <w:color w:val="C00000"/>
                            <w:sz w:val="28"/>
                            <w:szCs w:val="28"/>
                          </w:rPr>
                          <w:t>Carlos Fernando Galán Pachón</w:t>
                        </w:r>
                      </w:p>
                      <w:p w14:paraId="3426ECCA" w14:textId="77777777" w:rsidR="00CC2A62" w:rsidRPr="00BB76CF" w:rsidRDefault="00CC2A62" w:rsidP="00CC2A62">
                        <w:pPr>
                          <w:jc w:val="center"/>
                          <w:rPr>
                            <w:sz w:val="28"/>
                            <w:szCs w:val="28"/>
                          </w:rPr>
                        </w:pPr>
                        <w:r w:rsidRPr="00BB76CF">
                          <w:rPr>
                            <w:sz w:val="28"/>
                            <w:szCs w:val="28"/>
                          </w:rPr>
                          <w:t>Alcalde Mayor de Bogotá</w:t>
                        </w:r>
                      </w:p>
                      <w:p w14:paraId="5456C63E" w14:textId="77777777" w:rsidR="00CC2A62" w:rsidRPr="00BB76CF" w:rsidRDefault="00CC2A62" w:rsidP="00CC2A62">
                        <w:pPr>
                          <w:jc w:val="center"/>
                          <w:rPr>
                            <w:b/>
                            <w:sz w:val="28"/>
                            <w:szCs w:val="28"/>
                          </w:rPr>
                        </w:pPr>
                      </w:p>
                      <w:p w14:paraId="20000F98" w14:textId="77777777" w:rsidR="00CC2A62" w:rsidRPr="00BB76CF" w:rsidRDefault="00CC2A62" w:rsidP="00CC2A62">
                        <w:pPr>
                          <w:jc w:val="center"/>
                          <w:rPr>
                            <w:b/>
                            <w:sz w:val="28"/>
                            <w:szCs w:val="28"/>
                          </w:rPr>
                        </w:pPr>
                        <w:r w:rsidRPr="00BB76CF">
                          <w:rPr>
                            <w:b/>
                            <w:color w:val="C00000"/>
                            <w:sz w:val="28"/>
                            <w:szCs w:val="28"/>
                          </w:rPr>
                          <w:t>Miguel Andrés Silva Moyano</w:t>
                        </w:r>
                      </w:p>
                      <w:p w14:paraId="3D62F03E" w14:textId="77777777" w:rsidR="00CC2A62" w:rsidRPr="00BB76CF" w:rsidRDefault="00CC2A62" w:rsidP="00CC2A62">
                        <w:pPr>
                          <w:jc w:val="center"/>
                          <w:rPr>
                            <w:sz w:val="28"/>
                            <w:szCs w:val="28"/>
                          </w:rPr>
                        </w:pPr>
                        <w:r w:rsidRPr="00BB76CF">
                          <w:rPr>
                            <w:sz w:val="28"/>
                            <w:szCs w:val="28"/>
                          </w:rPr>
                          <w:t>Secretario Distrital de Planeación</w:t>
                        </w:r>
                      </w:p>
                      <w:p w14:paraId="7DB24CF9" w14:textId="77777777" w:rsidR="00CC2A62" w:rsidRDefault="00CC2A62"/>
                    </w:txbxContent>
                  </v:textbox>
                </v:shape>
              </v:group>
            </w:pict>
          </mc:Fallback>
        </mc:AlternateContent>
      </w:r>
      <w:r w:rsidR="00911E05">
        <w:br w:type="page"/>
      </w:r>
    </w:p>
    <w:p w14:paraId="2C5303BE" w14:textId="2EC24437" w:rsidR="006050D0" w:rsidRDefault="006903A2" w:rsidP="00FF001B">
      <w:r>
        <w:rPr>
          <w:noProof/>
        </w:rPr>
        <w:lastRenderedPageBreak/>
        <mc:AlternateContent>
          <mc:Choice Requires="wps">
            <w:drawing>
              <wp:anchor distT="0" distB="0" distL="114300" distR="114300" simplePos="0" relativeHeight="251735040" behindDoc="0" locked="0" layoutInCell="1" allowOverlap="1" wp14:anchorId="3CEB93B4" wp14:editId="1BFB3EF3">
                <wp:simplePos x="0" y="0"/>
                <wp:positionH relativeFrom="column">
                  <wp:posOffset>110067</wp:posOffset>
                </wp:positionH>
                <wp:positionV relativeFrom="paragraph">
                  <wp:posOffset>-327238</wp:posOffset>
                </wp:positionV>
                <wp:extent cx="5156200" cy="7933267"/>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5156200" cy="7933267"/>
                        </a:xfrm>
                        <a:prstGeom prst="rect">
                          <a:avLst/>
                        </a:prstGeom>
                        <a:noFill/>
                        <a:ln w="6350">
                          <a:noFill/>
                        </a:ln>
                      </wps:spPr>
                      <wps:txbx>
                        <w:txbxContent>
                          <w:p w14:paraId="17023365" w14:textId="55E91A4F" w:rsidR="006903A2" w:rsidRDefault="006903A2" w:rsidP="006903A2">
                            <w:r>
                              <w:t>Lo que empezó como un sueño de ciudad hoy se materializa en una hoja de ruta que guiará el futuro de Bogotá por los próximos cuatro años. La ciudadanía eligió en las urnas la visión de una Bogotá que camina segura, que no da ni un paso atrás frente a los proyectos que están en curso y que avanza hacia una ciudad que es la misma para toda la ciudadanía. Nos propusimos construir sobre lo construido, llegar a acuerdos, corregir lo que debía ser corregido y trabajar juntos para que Bogotá sea la ciudad en la que todos quisiéramos vivir.</w:t>
                            </w:r>
                          </w:p>
                          <w:p w14:paraId="4A7A658F" w14:textId="77777777" w:rsidR="006903A2" w:rsidRDefault="006903A2" w:rsidP="006903A2"/>
                          <w:p w14:paraId="5496FDCF" w14:textId="77777777" w:rsidR="006903A2" w:rsidRDefault="006903A2" w:rsidP="006903A2">
                            <w:r>
                              <w:t xml:space="preserve">Hoy, luego de varios meses de trabajo por parte de todas las entidades del Distrito, bajo el liderazgo de la Secretaría de Planeación, tengo el honor de presentarles el Plan Distrital de Desarrollo 2024 - 2027 Bogotá Camina Segura. Aquí está plasmada la Bogotá por la que vamos a trabajar sin descanso. </w:t>
                            </w:r>
                          </w:p>
                          <w:p w14:paraId="3F93C664" w14:textId="77777777" w:rsidR="006903A2" w:rsidRDefault="006903A2" w:rsidP="006903A2"/>
                          <w:p w14:paraId="232EBC27" w14:textId="77777777" w:rsidR="006903A2" w:rsidRDefault="006903A2" w:rsidP="006903A2">
                            <w:r>
                              <w:t xml:space="preserve">Vamos a trabajar por una ciudad en la que se pueda prosperar, tener tranquilidad, confianza, seguridad y en la que todos tengamos igualdad de oportunidades. Queremos que cada ciudadano pueda elegir libremente su proyecto de vida y cuente con las herramientas para hacerlo realidad. El documento que hoy entregamos a Bogotá no responde a una visión única de ciudad sino a una diversidad de visiones, saberes y voces que acá se encuentran, se reconocen y se nutren. Gracias a los más de 200 mil aportes de la ciudadanía, hoy podemos decir que este plan es un sueño compartido. </w:t>
                            </w:r>
                          </w:p>
                          <w:p w14:paraId="52F4E521" w14:textId="77777777" w:rsidR="006903A2" w:rsidRDefault="006903A2" w:rsidP="006903A2"/>
                          <w:p w14:paraId="18070F56" w14:textId="77777777" w:rsidR="006903A2" w:rsidRDefault="006903A2" w:rsidP="006903A2">
                            <w:r>
                              <w:t>Agradezco el esfuerzo de cada una de las entidades del Distrito que trabajaron articuladamente para elegir los mejores caminos que nos llevarán a cumplir nuestros objetivos, y a cada una de las personas que decidieron apropiarse del futuro de la ciudad y aportar sus ideas. Este es el primero de muchos espacios en los que garantizaremos una participación ciudadana real e incidente. Estamos convencidos de que la ciudad la construimos juntos, y en ese proceso es esencial contar con el compromiso de toda la ciudadanía.</w:t>
                            </w:r>
                          </w:p>
                          <w:p w14:paraId="61E422BE" w14:textId="77777777" w:rsidR="006903A2" w:rsidRDefault="006903A2" w:rsidP="006903A2"/>
                          <w:p w14:paraId="0815BE53" w14:textId="77777777" w:rsidR="006903A2" w:rsidRDefault="006903A2" w:rsidP="006903A2">
                            <w:r>
                              <w:t>Con las acciones y metas contenidas en este plan vamos a hacer de Bogotá una ciudad que camina segura, pero no sólo porque la tranquilidad vuelve a sus calles, sino porque todos y todas recuperamos la confianza y la capacidad de creer en las posibilidades y el gran potencial de nuestra ciudad.</w:t>
                            </w:r>
                          </w:p>
                          <w:p w14:paraId="45332DD3" w14:textId="77777777" w:rsidR="006903A2" w:rsidRDefault="006903A2" w:rsidP="006903A2"/>
                          <w:p w14:paraId="5771CFEB" w14:textId="77777777" w:rsidR="006903A2" w:rsidRDefault="006903A2" w:rsidP="006903A2">
                            <w:r>
                              <w:t xml:space="preserve">Con una enorme responsabilidad le presentamos a la ciudad este plan de desarrollo. Nuestra tarea ahora será trabajar sin descanso para lograr que Bogotá avance en seguridad, ordene su territorio, avance en su acción climática, confíe en su </w:t>
                            </w:r>
                            <w:r w:rsidRPr="00927FED">
                              <w:t>bien-estar</w:t>
                            </w:r>
                            <w:r>
                              <w:t>, en su gobierno y en su potencial.</w:t>
                            </w:r>
                          </w:p>
                          <w:p w14:paraId="44424329" w14:textId="77777777" w:rsidR="006903A2" w:rsidRDefault="006903A2" w:rsidP="006903A2"/>
                          <w:p w14:paraId="32249A5E" w14:textId="3D175F1A" w:rsidR="00C95CB2" w:rsidRDefault="006903A2" w:rsidP="006903A2">
                            <w:r>
                              <w:t>Hoy entregamos un sueño. Ahora nuestra tarea como ciudad es trabajar por hacerlo realidad, y solo lo logramos si trabajamos juntos, la Administración Distrital, el Concejo y toda la ciudadanía.</w:t>
                            </w:r>
                            <w:r w:rsidR="00F11C0E">
                              <w:t xml:space="preserve"> </w:t>
                            </w:r>
                          </w:p>
                          <w:p w14:paraId="3E321517" w14:textId="77777777" w:rsidR="00C95CB2" w:rsidRDefault="00C95CB2" w:rsidP="006903A2"/>
                          <w:p w14:paraId="24F149B8" w14:textId="77777777" w:rsidR="006903A2" w:rsidRDefault="006903A2" w:rsidP="006903A2"/>
                          <w:p w14:paraId="5CEDD943" w14:textId="6E4D84BB" w:rsidR="006903A2" w:rsidRPr="006903A2" w:rsidRDefault="006903A2" w:rsidP="006903A2">
                            <w:pPr>
                              <w:rPr>
                                <w:b/>
                                <w:bCs/>
                                <w:sz w:val="32"/>
                                <w:szCs w:val="36"/>
                              </w:rPr>
                            </w:pPr>
                            <w:r w:rsidRPr="006903A2">
                              <w:rPr>
                                <w:b/>
                                <w:bCs/>
                                <w:sz w:val="32"/>
                                <w:szCs w:val="36"/>
                              </w:rPr>
                              <w:t>Carlos Fernando Galán Pachón</w:t>
                            </w:r>
                          </w:p>
                          <w:p w14:paraId="629D9303" w14:textId="578FB509" w:rsidR="006050D0" w:rsidRPr="006050D0" w:rsidRDefault="006050D0" w:rsidP="006903A2">
                            <w:pPr>
                              <w:rPr>
                                <w:rFonts w:ascii="Times New Roman" w:hAnsi="Times New Roman"/>
                                <w:sz w:val="24"/>
                                <w:lang w:eastAsia="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B93B4" id="Cuadro de texto 8" o:spid="_x0000_s1031" type="#_x0000_t202" style="position:absolute;left:0;text-align:left;margin-left:8.65pt;margin-top:-25.75pt;width:406pt;height:624.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" filled="f" stroked="f" strokeweight=".5pt">
                <v:textbox>
                  <w:txbxContent>
                    <w:p w14:paraId="17023365" w14:textId="55E91A4F" w:rsidR="006903A2" w:rsidRDefault="006903A2" w:rsidP="006903A2">
                      <w:r>
                        <w:t>Lo que empezó como un sueño de ciudad hoy se materializa en una hoja de ruta que guiará el futuro de Bogotá por los próximos cuatro años. La ciudadanía eligió en las urnas la visión de una Bogotá que camina segura, que no da ni un paso atrás frente a los proyectos que están en curso y que avanza hacia una ciudad que es la misma para toda la ciudadanía. Nos propusimos construir sobre lo construido, llegar a acuerdos, corregir lo que debía ser corregido y trabajar juntos para que Bogotá sea la ciudad en la que todos quisiéramos vivir.</w:t>
                      </w:r>
                    </w:p>
                    <w:p w14:paraId="4A7A658F" w14:textId="77777777" w:rsidR="006903A2" w:rsidRDefault="006903A2" w:rsidP="006903A2"/>
                    <w:p w14:paraId="5496FDCF" w14:textId="77777777" w:rsidR="006903A2" w:rsidRDefault="006903A2" w:rsidP="006903A2">
                      <w:r>
                        <w:t xml:space="preserve">Hoy, luego de varios meses de trabajo por parte de todas las entidades del Distrito, bajo el liderazgo de la Secretaría de Planeación, tengo el honor de presentarles el Plan Distrital de Desarrollo 2024 - 2027 Bogotá Camina Segura. Aquí está plasmada la Bogotá por la que vamos a trabajar sin descanso. </w:t>
                      </w:r>
                    </w:p>
                    <w:p w14:paraId="3F93C664" w14:textId="77777777" w:rsidR="006903A2" w:rsidRDefault="006903A2" w:rsidP="006903A2"/>
                    <w:p w14:paraId="232EBC27" w14:textId="77777777" w:rsidR="006903A2" w:rsidRDefault="006903A2" w:rsidP="006903A2">
                      <w:r>
                        <w:t xml:space="preserve">Vamos a trabajar por una ciudad en la que se pueda prosperar, tener tranquilidad, confianza, seguridad y en la que todos tengamos igualdad de oportunidades. Queremos que cada ciudadano pueda elegir libremente su proyecto de vida y cuente con las herramientas para hacerlo realidad. El documento que hoy entregamos a Bogotá no responde a una visión única de ciudad sino a una diversidad de visiones, saberes y voces que acá se encuentran, se reconocen y se nutren. Gracias a los más de 200 mil aportes de la ciudadanía, hoy podemos decir que este plan es un sueño compartido. </w:t>
                      </w:r>
                    </w:p>
                    <w:p w14:paraId="52F4E521" w14:textId="77777777" w:rsidR="006903A2" w:rsidRDefault="006903A2" w:rsidP="006903A2"/>
                    <w:p w14:paraId="18070F56" w14:textId="77777777" w:rsidR="006903A2" w:rsidRDefault="006903A2" w:rsidP="006903A2">
                      <w:r>
                        <w:t>Agradezco el esfuerzo de cada una de las entidades del Distrito que trabajaron articuladamente para elegir los mejores caminos que nos llevarán a cumplir nuestros objetivos, y a cada una de las personas que decidieron apropiarse del futuro de la ciudad y aportar sus ideas. Este es el primero de muchos espacios en los que garantizaremos una participación ciudadana real e incidente. Estamos convencidos de que la ciudad la construimos juntos, y en ese proceso es esencial contar con el compromiso de toda la ciudadanía.</w:t>
                      </w:r>
                    </w:p>
                    <w:p w14:paraId="61E422BE" w14:textId="77777777" w:rsidR="006903A2" w:rsidRDefault="006903A2" w:rsidP="006903A2"/>
                    <w:p w14:paraId="0815BE53" w14:textId="77777777" w:rsidR="006903A2" w:rsidRDefault="006903A2" w:rsidP="006903A2">
                      <w:r>
                        <w:t>Con las acciones y metas contenidas en este plan vamos a hacer de Bogotá una ciudad que camina segura, pero no sólo porque la tranquilidad vuelve a sus calles, sino porque todos y todas recuperamos la confianza y la capacidad de creer en las posibilidades y el gran potencial de nuestra ciudad.</w:t>
                      </w:r>
                    </w:p>
                    <w:p w14:paraId="45332DD3" w14:textId="77777777" w:rsidR="006903A2" w:rsidRDefault="006903A2" w:rsidP="006903A2"/>
                    <w:p w14:paraId="5771CFEB" w14:textId="77777777" w:rsidR="006903A2" w:rsidRDefault="006903A2" w:rsidP="006903A2">
                      <w:r>
                        <w:t xml:space="preserve">Con una enorme responsabilidad le presentamos a la ciudad este plan de desarrollo. Nuestra tarea ahora será trabajar sin descanso para lograr que Bogotá avance en seguridad, ordene su territorio, avance en su acción climática, confíe en su </w:t>
                      </w:r>
                      <w:r w:rsidRPr="00927FED">
                        <w:t>bien-estar</w:t>
                      </w:r>
                      <w:r>
                        <w:t>, en su gobierno y en su potencial.</w:t>
                      </w:r>
                    </w:p>
                    <w:p w14:paraId="44424329" w14:textId="77777777" w:rsidR="006903A2" w:rsidRDefault="006903A2" w:rsidP="006903A2"/>
                    <w:p w14:paraId="32249A5E" w14:textId="3D175F1A" w:rsidR="00C95CB2" w:rsidRDefault="006903A2" w:rsidP="006903A2">
                      <w:r>
                        <w:t>Hoy entregamos un sueño. Ahora nuestra tarea como ciudad es trabajar por hacerlo realidad, y solo lo logramos si trabajamos juntos, la Administración Distrital, el Concejo y toda la ciudadanía.</w:t>
                      </w:r>
                      <w:r w:rsidR="00F11C0E">
                        <w:t xml:space="preserve"> </w:t>
                      </w:r>
                    </w:p>
                    <w:p w14:paraId="3E321517" w14:textId="77777777" w:rsidR="00C95CB2" w:rsidRDefault="00C95CB2" w:rsidP="006903A2"/>
                    <w:p w14:paraId="24F149B8" w14:textId="77777777" w:rsidR="006903A2" w:rsidRDefault="006903A2" w:rsidP="006903A2"/>
                    <w:p w14:paraId="5CEDD943" w14:textId="6E4D84BB" w:rsidR="006903A2" w:rsidRPr="006903A2" w:rsidRDefault="006903A2" w:rsidP="006903A2">
                      <w:pPr>
                        <w:rPr>
                          <w:b/>
                          <w:bCs/>
                          <w:sz w:val="32"/>
                          <w:szCs w:val="36"/>
                        </w:rPr>
                      </w:pPr>
                      <w:r w:rsidRPr="006903A2">
                        <w:rPr>
                          <w:b/>
                          <w:bCs/>
                          <w:sz w:val="32"/>
                          <w:szCs w:val="36"/>
                        </w:rPr>
                        <w:t>Carlos Fernando Galán Pachón</w:t>
                      </w:r>
                    </w:p>
                    <w:p w14:paraId="629D9303" w14:textId="578FB509" w:rsidR="006050D0" w:rsidRPr="006050D0" w:rsidRDefault="006050D0" w:rsidP="006903A2">
                      <w:pPr>
                        <w:rPr>
                          <w:rFonts w:ascii="Times New Roman" w:hAnsi="Times New Roman"/>
                          <w:sz w:val="24"/>
                          <w:lang w:eastAsia="es-MX"/>
                        </w:rPr>
                      </w:pPr>
                    </w:p>
                  </w:txbxContent>
                </v:textbox>
              </v:shape>
            </w:pict>
          </mc:Fallback>
        </mc:AlternateContent>
      </w:r>
      <w:r>
        <w:rPr>
          <w:noProof/>
        </w:rPr>
        <w:drawing>
          <wp:anchor distT="0" distB="0" distL="114300" distR="114300" simplePos="0" relativeHeight="251734016" behindDoc="0" locked="0" layoutInCell="1" allowOverlap="1" wp14:anchorId="2D5A2A64" wp14:editId="35A5FB64">
            <wp:simplePos x="0" y="0"/>
            <wp:positionH relativeFrom="page">
              <wp:posOffset>2537460</wp:posOffset>
            </wp:positionH>
            <wp:positionV relativeFrom="paragraph">
              <wp:posOffset>109432</wp:posOffset>
            </wp:positionV>
            <wp:extent cx="5243195" cy="850265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a:picLocks noChangeAspect="1"/>
                    </pic:cNvPicPr>
                  </pic:nvPicPr>
                  <pic:blipFill>
                    <a:blip r:embed="rId9">
                      <a:alphaModFix amt="10000"/>
                      <a:extLst>
                        <a:ext uri="{28A0092B-C50C-407E-A947-70E740481C1C}">
                          <a14:useLocalDpi xmlns:a14="http://schemas.microsoft.com/office/drawing/2010/main" val="0"/>
                        </a:ext>
                      </a:extLst>
                    </a:blip>
                    <a:stretch>
                      <a:fillRect/>
                    </a:stretch>
                  </pic:blipFill>
                  <pic:spPr>
                    <a:xfrm>
                      <a:off x="0" y="0"/>
                      <a:ext cx="5243195" cy="8502650"/>
                    </a:xfrm>
                    <a:prstGeom prst="rect">
                      <a:avLst/>
                    </a:prstGeom>
                  </pic:spPr>
                </pic:pic>
              </a:graphicData>
            </a:graphic>
          </wp:anchor>
        </w:drawing>
      </w:r>
      <w:r w:rsidR="00F11C0E">
        <w:rPr>
          <w:noProof/>
        </w:rPr>
        <mc:AlternateContent>
          <mc:Choice Requires="wps">
            <w:drawing>
              <wp:anchor distT="0" distB="0" distL="114300" distR="114300" simplePos="0" relativeHeight="251730944" behindDoc="0" locked="0" layoutInCell="1" allowOverlap="1" wp14:anchorId="7CF9C841" wp14:editId="6F335337">
                <wp:simplePos x="0" y="0"/>
                <wp:positionH relativeFrom="column">
                  <wp:posOffset>1570275</wp:posOffset>
                </wp:positionH>
                <wp:positionV relativeFrom="paragraph">
                  <wp:posOffset>-1134319</wp:posOffset>
                </wp:positionV>
                <wp:extent cx="2430683" cy="717630"/>
                <wp:effectExtent l="0" t="0" r="0" b="6350"/>
                <wp:wrapNone/>
                <wp:docPr id="18" name="Rectángulo 18"/>
                <wp:cNvGraphicFramePr/>
                <a:graphic xmlns:a="http://schemas.openxmlformats.org/drawingml/2006/main">
                  <a:graphicData uri="http://schemas.microsoft.com/office/word/2010/wordprocessingShape">
                    <wps:wsp>
                      <wps:cNvSpPr/>
                      <wps:spPr>
                        <a:xfrm>
                          <a:off x="0" y="0"/>
                          <a:ext cx="2430683" cy="7176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6FF6EF" id="Rectángulo 18" o:spid="_x0000_s1026" style="position:absolute;margin-left:123.65pt;margin-top:-89.3pt;width:191.4pt;height:56.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" fillcolor="white [3212]" stroked="f" strokeweight="1pt"/>
            </w:pict>
          </mc:Fallback>
        </mc:AlternateContent>
      </w:r>
    </w:p>
    <w:p w14:paraId="38D570FF" w14:textId="0C9E44CE" w:rsidR="00FF001B" w:rsidRDefault="006050D0">
      <w:pPr>
        <w:jc w:val="left"/>
        <w:sectPr w:rsidR="00FF001B" w:rsidSect="00F7078E">
          <w:headerReference w:type="default" r:id="rId11"/>
          <w:footerReference w:type="even" r:id="rId12"/>
          <w:footerReference w:type="default" r:id="rId13"/>
          <w:pgSz w:w="12240" w:h="15840"/>
          <w:pgMar w:top="2262" w:right="1440" w:bottom="1440" w:left="1440" w:header="709" w:footer="680" w:gutter="0"/>
          <w:cols w:space="708"/>
          <w:docGrid w:linePitch="360"/>
        </w:sectPr>
      </w:pPr>
      <w:r>
        <w:br w:type="page"/>
      </w:r>
    </w:p>
    <w:p w14:paraId="0267FFC6" w14:textId="3A9C3020" w:rsidR="00FF001B" w:rsidRDefault="00DF5888">
      <w:pPr>
        <w:jc w:val="left"/>
      </w:pPr>
      <w:r>
        <w:rPr>
          <w:noProof/>
        </w:rPr>
        <w:lastRenderedPageBreak/>
        <mc:AlternateContent>
          <mc:Choice Requires="wps">
            <w:drawing>
              <wp:anchor distT="0" distB="0" distL="114300" distR="114300" simplePos="0" relativeHeight="251894784" behindDoc="0" locked="0" layoutInCell="1" allowOverlap="1" wp14:anchorId="5C1CAB5F" wp14:editId="14EF0AC1">
                <wp:simplePos x="0" y="0"/>
                <wp:positionH relativeFrom="margin">
                  <wp:align>left</wp:align>
                </wp:positionH>
                <wp:positionV relativeFrom="paragraph">
                  <wp:posOffset>8255</wp:posOffset>
                </wp:positionV>
                <wp:extent cx="3482340" cy="5082540"/>
                <wp:effectExtent l="0" t="0" r="0" b="3810"/>
                <wp:wrapNone/>
                <wp:docPr id="1545490821" name="Cuadro de texto 1545490821"/>
                <wp:cNvGraphicFramePr/>
                <a:graphic xmlns:a="http://schemas.openxmlformats.org/drawingml/2006/main">
                  <a:graphicData uri="http://schemas.microsoft.com/office/word/2010/wordprocessingShape">
                    <wps:wsp>
                      <wps:cNvSpPr txBox="1"/>
                      <wps:spPr>
                        <a:xfrm>
                          <a:off x="0" y="0"/>
                          <a:ext cx="3482340" cy="5082540"/>
                        </a:xfrm>
                        <a:prstGeom prst="rect">
                          <a:avLst/>
                        </a:prstGeom>
                        <a:noFill/>
                        <a:ln w="6350">
                          <a:noFill/>
                        </a:ln>
                      </wps:spPr>
                      <wps:txbx>
                        <w:txbxContent>
                          <w:p w14:paraId="32C19460" w14:textId="77777777" w:rsidR="006903A2" w:rsidRDefault="006903A2" w:rsidP="00DF5888">
                            <w:r>
                              <w:t xml:space="preserve">Queremos expresar nuestro profundo agradecimiento </w:t>
                            </w:r>
                          </w:p>
                          <w:p w14:paraId="4765F9F8" w14:textId="77777777" w:rsidR="006903A2" w:rsidRDefault="006903A2" w:rsidP="00DF5888">
                            <w:r>
                              <w:t xml:space="preserve">a todas las personas e instituciones que contribuyeron </w:t>
                            </w:r>
                          </w:p>
                          <w:p w14:paraId="2E3389CB" w14:textId="77777777" w:rsidR="006903A2" w:rsidRDefault="006903A2" w:rsidP="00DF5888">
                            <w:r>
                              <w:t xml:space="preserve">de manera significativa en la elaboración del Plan </w:t>
                            </w:r>
                          </w:p>
                          <w:p w14:paraId="0A39FD67" w14:textId="77777777" w:rsidR="006903A2" w:rsidRDefault="006903A2" w:rsidP="00DF5888">
                            <w:r>
                              <w:t xml:space="preserve">Distrital de Desarrollo: “Bogotá Camina Segura”. </w:t>
                            </w:r>
                          </w:p>
                          <w:p w14:paraId="6DBB04EC" w14:textId="77777777" w:rsidR="006903A2" w:rsidRDefault="006903A2" w:rsidP="00DF5888">
                            <w:r>
                              <w:t>Sin su colaboración, compromiso y valiosos aportes, este documento no habría sido posible.</w:t>
                            </w:r>
                          </w:p>
                          <w:p w14:paraId="3AB8CDE4" w14:textId="77777777" w:rsidR="006903A2" w:rsidRDefault="006903A2" w:rsidP="00DF5888"/>
                          <w:p w14:paraId="5EBF7CEB" w14:textId="77777777" w:rsidR="006903A2" w:rsidRDefault="006903A2" w:rsidP="00DF5888">
                            <w:r w:rsidRPr="000D7C9E">
                              <w:t xml:space="preserve">Extendemos nuestro especial reconocimiento al equipo directivo y a los profesionales de la Secretaría Distrital de Planeación, cuya dedicación y liderazgo fueron </w:t>
                            </w:r>
                          </w:p>
                          <w:p w14:paraId="73281C15" w14:textId="77777777" w:rsidR="006903A2" w:rsidRPr="000D7C9E" w:rsidRDefault="006903A2" w:rsidP="00DF5888">
                            <w:r w:rsidRPr="000D7C9E">
                              <w:t>fundamentales para coordinar este proceso de planificación estratégica.</w:t>
                            </w:r>
                          </w:p>
                          <w:p w14:paraId="64CA543A" w14:textId="77777777" w:rsidR="006903A2" w:rsidRDefault="006903A2" w:rsidP="00DF5888">
                            <w:r>
                              <w:t xml:space="preserve"> </w:t>
                            </w:r>
                          </w:p>
                          <w:p w14:paraId="410E25FD" w14:textId="77777777" w:rsidR="006903A2" w:rsidRDefault="006903A2" w:rsidP="00DF5888">
                            <w:r>
                              <w:t xml:space="preserve">No podemos pasar por alto el invaluable aporte de toda </w:t>
                            </w:r>
                          </w:p>
                          <w:p w14:paraId="56D42A7C" w14:textId="77777777" w:rsidR="006903A2" w:rsidRDefault="006903A2" w:rsidP="00DF5888">
                            <w:r>
                              <w:t xml:space="preserve">la ciudadanía que se involucró de manera entusiasta, </w:t>
                            </w:r>
                          </w:p>
                          <w:p w14:paraId="246EAD24" w14:textId="77777777" w:rsidR="006903A2" w:rsidRDefault="006903A2" w:rsidP="00DF5888">
                            <w:r>
                              <w:t xml:space="preserve">aportando ideas, preocupaciones y propuestas. </w:t>
                            </w:r>
                          </w:p>
                          <w:p w14:paraId="44F50C9A" w14:textId="77777777" w:rsidR="006903A2" w:rsidRDefault="006903A2" w:rsidP="00DF5888">
                            <w:r>
                              <w:t xml:space="preserve">Su participación activa fue vital para asegurar </w:t>
                            </w:r>
                          </w:p>
                          <w:p w14:paraId="07F15793" w14:textId="77777777" w:rsidR="006903A2" w:rsidRDefault="006903A2" w:rsidP="00DF5888">
                            <w:r>
                              <w:t xml:space="preserve">que este plan refleje genuinamente las necesidades </w:t>
                            </w:r>
                          </w:p>
                          <w:p w14:paraId="50B95DE5" w14:textId="77777777" w:rsidR="006903A2" w:rsidRDefault="006903A2" w:rsidP="00DF5888">
                            <w:r>
                              <w:t>y aspiraciones de la ciudad.</w:t>
                            </w:r>
                          </w:p>
                          <w:p w14:paraId="7253FC92" w14:textId="77777777" w:rsidR="006903A2" w:rsidRDefault="006903A2" w:rsidP="00DF5888"/>
                          <w:p w14:paraId="1B0D59D6" w14:textId="77777777" w:rsidR="006903A2" w:rsidRDefault="006903A2" w:rsidP="00DF5888">
                            <w:r>
                              <w:t xml:space="preserve">Esperamos que este documento sea una herramienta efectiva para promover el progreso y el bienestar </w:t>
                            </w:r>
                          </w:p>
                          <w:p w14:paraId="6A3C36B0" w14:textId="77777777" w:rsidR="006903A2" w:rsidRDefault="006903A2" w:rsidP="00DF5888">
                            <w:r>
                              <w:t xml:space="preserve">de todas y todos los habitantes de la ciudad. </w:t>
                            </w:r>
                          </w:p>
                          <w:p w14:paraId="230AF6E0" w14:textId="77777777" w:rsidR="006903A2" w:rsidRDefault="006903A2" w:rsidP="00DF5888"/>
                          <w:p w14:paraId="76ADA94B" w14:textId="77777777" w:rsidR="006903A2" w:rsidRPr="000D6732" w:rsidRDefault="006903A2" w:rsidP="00DF5888">
                            <w:pPr>
                              <w:spacing w:before="240" w:after="240"/>
                              <w:rPr>
                                <w:b/>
                                <w:bCs/>
                                <w:color w:val="C00000"/>
                                <w:sz w:val="40"/>
                                <w:szCs w:val="44"/>
                              </w:rPr>
                            </w:pPr>
                            <w:r w:rsidRPr="000D6732">
                              <w:rPr>
                                <w:b/>
                                <w:bCs/>
                                <w:color w:val="C00000"/>
                                <w:sz w:val="40"/>
                                <w:szCs w:val="44"/>
                              </w:rPr>
                              <w:t>¡Muchas gracias!</w:t>
                            </w:r>
                          </w:p>
                          <w:p w14:paraId="7F448BBE" w14:textId="77777777" w:rsidR="006903A2" w:rsidRPr="006050D0" w:rsidRDefault="006903A2" w:rsidP="00DF5888">
                            <w:pPr>
                              <w:rPr>
                                <w:rFonts w:ascii="Times New Roman" w:hAnsi="Times New Roman"/>
                                <w:sz w:val="24"/>
                                <w:lang w:eastAsia="es-MX"/>
                              </w:rPr>
                            </w:pPr>
                            <w:r>
                              <w:rPr>
                                <w:rFonts w:ascii="Times New Roman" w:hAnsi="Times New Roman"/>
                                <w:sz w:val="24"/>
                                <w:lang w:eastAsia="es-MX"/>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CAB5F" id="Cuadro de texto 1545490821" o:spid="_x0000_s1032" type="#_x0000_t202" style="position:absolute;margin-left:0;margin-top:.65pt;width:274.2pt;height:400.2pt;z-index:2518947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" filled="f" stroked="f" strokeweight=".5pt">
                <v:textbox>
                  <w:txbxContent>
                    <w:p w14:paraId="32C19460" w14:textId="77777777" w:rsidR="006903A2" w:rsidRDefault="006903A2" w:rsidP="00DF5888">
                      <w:r>
                        <w:t xml:space="preserve">Queremos expresar nuestro profundo agradecimiento </w:t>
                      </w:r>
                    </w:p>
                    <w:p w14:paraId="4765F9F8" w14:textId="77777777" w:rsidR="006903A2" w:rsidRDefault="006903A2" w:rsidP="00DF5888">
                      <w:r>
                        <w:t xml:space="preserve">a todas las personas e instituciones que contribuyeron </w:t>
                      </w:r>
                    </w:p>
                    <w:p w14:paraId="2E3389CB" w14:textId="77777777" w:rsidR="006903A2" w:rsidRDefault="006903A2" w:rsidP="00DF5888">
                      <w:r>
                        <w:t xml:space="preserve">de manera significativa en la elaboración del Plan </w:t>
                      </w:r>
                    </w:p>
                    <w:p w14:paraId="0A39FD67" w14:textId="77777777" w:rsidR="006903A2" w:rsidRDefault="006903A2" w:rsidP="00DF5888">
                      <w:r>
                        <w:t xml:space="preserve">Distrital de Desarrollo: “Bogotá Camina Segura”. </w:t>
                      </w:r>
                    </w:p>
                    <w:p w14:paraId="6DBB04EC" w14:textId="77777777" w:rsidR="006903A2" w:rsidRDefault="006903A2" w:rsidP="00DF5888">
                      <w:r>
                        <w:t>Sin su colaboración, compromiso y valiosos aportes, este documento no habría sido posible.</w:t>
                      </w:r>
                    </w:p>
                    <w:p w14:paraId="3AB8CDE4" w14:textId="77777777" w:rsidR="006903A2" w:rsidRDefault="006903A2" w:rsidP="00DF5888"/>
                    <w:p w14:paraId="5EBF7CEB" w14:textId="77777777" w:rsidR="006903A2" w:rsidRDefault="006903A2" w:rsidP="00DF5888">
                      <w:r w:rsidRPr="000D7C9E">
                        <w:t xml:space="preserve">Extendemos nuestro especial reconocimiento al equipo directivo y a los profesionales de la Secretaría Distrital de Planeación, cuya dedicación y liderazgo fueron </w:t>
                      </w:r>
                    </w:p>
                    <w:p w14:paraId="73281C15" w14:textId="77777777" w:rsidR="006903A2" w:rsidRPr="000D7C9E" w:rsidRDefault="006903A2" w:rsidP="00DF5888">
                      <w:r w:rsidRPr="000D7C9E">
                        <w:t>fundamentales para coordinar este proceso de planificación estratégica.</w:t>
                      </w:r>
                    </w:p>
                    <w:p w14:paraId="64CA543A" w14:textId="77777777" w:rsidR="006903A2" w:rsidRDefault="006903A2" w:rsidP="00DF5888">
                      <w:r>
                        <w:t xml:space="preserve"> </w:t>
                      </w:r>
                    </w:p>
                    <w:p w14:paraId="410E25FD" w14:textId="77777777" w:rsidR="006903A2" w:rsidRDefault="006903A2" w:rsidP="00DF5888">
                      <w:r>
                        <w:t xml:space="preserve">No podemos pasar por alto el invaluable aporte de toda </w:t>
                      </w:r>
                    </w:p>
                    <w:p w14:paraId="56D42A7C" w14:textId="77777777" w:rsidR="006903A2" w:rsidRDefault="006903A2" w:rsidP="00DF5888">
                      <w:r>
                        <w:t xml:space="preserve">la ciudadanía que se involucró de manera entusiasta, </w:t>
                      </w:r>
                    </w:p>
                    <w:p w14:paraId="246EAD24" w14:textId="77777777" w:rsidR="006903A2" w:rsidRDefault="006903A2" w:rsidP="00DF5888">
                      <w:r>
                        <w:t xml:space="preserve">aportando ideas, preocupaciones y propuestas. </w:t>
                      </w:r>
                    </w:p>
                    <w:p w14:paraId="44F50C9A" w14:textId="77777777" w:rsidR="006903A2" w:rsidRDefault="006903A2" w:rsidP="00DF5888">
                      <w:r>
                        <w:t xml:space="preserve">Su participación activa fue vital para asegurar </w:t>
                      </w:r>
                    </w:p>
                    <w:p w14:paraId="07F15793" w14:textId="77777777" w:rsidR="006903A2" w:rsidRDefault="006903A2" w:rsidP="00DF5888">
                      <w:r>
                        <w:t xml:space="preserve">que este plan refleje genuinamente las necesidades </w:t>
                      </w:r>
                    </w:p>
                    <w:p w14:paraId="50B95DE5" w14:textId="77777777" w:rsidR="006903A2" w:rsidRDefault="006903A2" w:rsidP="00DF5888">
                      <w:r>
                        <w:t>y aspiraciones de la ciudad.</w:t>
                      </w:r>
                    </w:p>
                    <w:p w14:paraId="7253FC92" w14:textId="77777777" w:rsidR="006903A2" w:rsidRDefault="006903A2" w:rsidP="00DF5888"/>
                    <w:p w14:paraId="1B0D59D6" w14:textId="77777777" w:rsidR="006903A2" w:rsidRDefault="006903A2" w:rsidP="00DF5888">
                      <w:r>
                        <w:t xml:space="preserve">Esperamos que este documento sea una herramienta efectiva para promover el progreso y el bienestar </w:t>
                      </w:r>
                    </w:p>
                    <w:p w14:paraId="6A3C36B0" w14:textId="77777777" w:rsidR="006903A2" w:rsidRDefault="006903A2" w:rsidP="00DF5888">
                      <w:r>
                        <w:t xml:space="preserve">de todas y todos los habitantes de la ciudad. </w:t>
                      </w:r>
                    </w:p>
                    <w:p w14:paraId="230AF6E0" w14:textId="77777777" w:rsidR="006903A2" w:rsidRDefault="006903A2" w:rsidP="00DF5888"/>
                    <w:p w14:paraId="76ADA94B" w14:textId="77777777" w:rsidR="006903A2" w:rsidRPr="000D6732" w:rsidRDefault="006903A2" w:rsidP="00DF5888">
                      <w:pPr>
                        <w:spacing w:before="240" w:after="240"/>
                        <w:rPr>
                          <w:b/>
                          <w:bCs/>
                          <w:color w:val="C00000"/>
                          <w:sz w:val="40"/>
                          <w:szCs w:val="44"/>
                        </w:rPr>
                      </w:pPr>
                      <w:r w:rsidRPr="000D6732">
                        <w:rPr>
                          <w:b/>
                          <w:bCs/>
                          <w:color w:val="C00000"/>
                          <w:sz w:val="40"/>
                          <w:szCs w:val="44"/>
                        </w:rPr>
                        <w:t>¡Muchas gracias!</w:t>
                      </w:r>
                    </w:p>
                    <w:p w14:paraId="7F448BBE" w14:textId="77777777" w:rsidR="006903A2" w:rsidRPr="006050D0" w:rsidRDefault="006903A2" w:rsidP="00DF5888">
                      <w:pPr>
                        <w:rPr>
                          <w:rFonts w:ascii="Times New Roman" w:hAnsi="Times New Roman"/>
                          <w:sz w:val="24"/>
                          <w:lang w:eastAsia="es-MX"/>
                        </w:rPr>
                      </w:pPr>
                      <w:r>
                        <w:rPr>
                          <w:rFonts w:ascii="Times New Roman" w:hAnsi="Times New Roman"/>
                          <w:sz w:val="24"/>
                          <w:lang w:eastAsia="es-MX"/>
                        </w:rPr>
                        <w:t xml:space="preserve"> </w:t>
                      </w:r>
                    </w:p>
                  </w:txbxContent>
                </v:textbox>
                <w10:wrap anchorx="margin"/>
              </v:shape>
            </w:pict>
          </mc:Fallback>
        </mc:AlternateContent>
      </w:r>
      <w:r w:rsidR="006903A2">
        <w:rPr>
          <w:noProof/>
        </w:rPr>
        <w:drawing>
          <wp:anchor distT="0" distB="0" distL="114300" distR="114300" simplePos="0" relativeHeight="251896832" behindDoc="0" locked="0" layoutInCell="1" allowOverlap="1" wp14:anchorId="478C7D16" wp14:editId="6DFB82D6">
            <wp:simplePos x="0" y="0"/>
            <wp:positionH relativeFrom="page">
              <wp:align>right</wp:align>
            </wp:positionH>
            <wp:positionV relativeFrom="paragraph">
              <wp:posOffset>101600</wp:posOffset>
            </wp:positionV>
            <wp:extent cx="5243195" cy="8502650"/>
            <wp:effectExtent l="0" t="0" r="0" b="0"/>
            <wp:wrapNone/>
            <wp:docPr id="1830017733" name="Imagen 183001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a:picLocks noChangeAspect="1"/>
                    </pic:cNvPicPr>
                  </pic:nvPicPr>
                  <pic:blipFill>
                    <a:blip r:embed="rId9">
                      <a:alphaModFix amt="10000"/>
                      <a:extLst>
                        <a:ext uri="{28A0092B-C50C-407E-A947-70E740481C1C}">
                          <a14:useLocalDpi xmlns:a14="http://schemas.microsoft.com/office/drawing/2010/main" val="0"/>
                        </a:ext>
                      </a:extLst>
                    </a:blip>
                    <a:stretch>
                      <a:fillRect/>
                    </a:stretch>
                  </pic:blipFill>
                  <pic:spPr>
                    <a:xfrm>
                      <a:off x="0" y="0"/>
                      <a:ext cx="5243195" cy="8502650"/>
                    </a:xfrm>
                    <a:prstGeom prst="rect">
                      <a:avLst/>
                    </a:prstGeom>
                  </pic:spPr>
                </pic:pic>
              </a:graphicData>
            </a:graphic>
          </wp:anchor>
        </w:drawing>
      </w:r>
    </w:p>
    <w:p w14:paraId="6EF14691" w14:textId="77777777" w:rsidR="009E3DD2" w:rsidRDefault="009E3DD2">
      <w:pPr>
        <w:jc w:val="left"/>
        <w:sectPr w:rsidR="009E3DD2" w:rsidSect="00F7078E">
          <w:headerReference w:type="default" r:id="rId14"/>
          <w:type w:val="continuous"/>
          <w:pgSz w:w="12240" w:h="15840"/>
          <w:pgMar w:top="2262" w:right="1440" w:bottom="1440" w:left="1440" w:header="709" w:footer="680" w:gutter="0"/>
          <w:cols w:space="708"/>
          <w:docGrid w:linePitch="360"/>
        </w:sectPr>
      </w:pPr>
    </w:p>
    <w:p w14:paraId="6D4E6727" w14:textId="77777777" w:rsidR="0038572C" w:rsidRDefault="0097662F">
      <w:pPr>
        <w:spacing w:line="240" w:lineRule="auto"/>
        <w:jc w:val="left"/>
      </w:pPr>
      <w:r>
        <w:br w:type="page"/>
      </w:r>
    </w:p>
    <w:p w14:paraId="45B25DE7" w14:textId="40D0B755" w:rsidR="0038572C" w:rsidRDefault="00CF2725">
      <w:pPr>
        <w:spacing w:line="240" w:lineRule="auto"/>
        <w:jc w:val="left"/>
        <w:rPr>
          <w:b/>
          <w:bCs/>
          <w:color w:val="C00000"/>
          <w:sz w:val="28"/>
          <w:szCs w:val="32"/>
        </w:rPr>
      </w:pPr>
      <w:r>
        <w:rPr>
          <w:b/>
          <w:bCs/>
          <w:color w:val="C00000"/>
          <w:sz w:val="28"/>
          <w:szCs w:val="32"/>
        </w:rPr>
        <w:lastRenderedPageBreak/>
        <w:t xml:space="preserve">Índice </w:t>
      </w:r>
      <w:r w:rsidR="00874511" w:rsidRPr="00874511">
        <w:rPr>
          <w:b/>
          <w:bCs/>
          <w:color w:val="C00000"/>
          <w:sz w:val="28"/>
          <w:szCs w:val="32"/>
        </w:rPr>
        <w:t>de Contenidos</w:t>
      </w:r>
    </w:p>
    <w:p w14:paraId="0498A0DE" w14:textId="249294DE" w:rsidR="008A0F27" w:rsidRPr="007B53C7" w:rsidRDefault="00874511">
      <w:pPr>
        <w:pStyle w:val="TDC1"/>
        <w:tabs>
          <w:tab w:val="right" w:leader="dot" w:pos="9350"/>
        </w:tabs>
        <w:rPr>
          <w:rFonts w:ascii="Candara" w:eastAsiaTheme="minorEastAsia" w:hAnsi="Candara" w:cstheme="minorBidi"/>
          <w:b w:val="0"/>
          <w:bCs w:val="0"/>
          <w:caps w:val="0"/>
          <w:noProof/>
          <w:kern w:val="2"/>
          <w:lang w:eastAsia="es-CO"/>
          <w14:ligatures w14:val="standardContextual"/>
        </w:rPr>
      </w:pPr>
      <w:r w:rsidRPr="007B53C7">
        <w:rPr>
          <w:rFonts w:ascii="Candara" w:hAnsi="Candara"/>
          <w:b w:val="0"/>
          <w:bCs w:val="0"/>
          <w:sz w:val="28"/>
          <w:szCs w:val="32"/>
        </w:rPr>
        <w:fldChar w:fldCharType="begin"/>
      </w:r>
      <w:r w:rsidRPr="007B53C7">
        <w:rPr>
          <w:rFonts w:ascii="Candara" w:hAnsi="Candara"/>
          <w:b w:val="0"/>
          <w:bCs w:val="0"/>
          <w:sz w:val="28"/>
          <w:szCs w:val="32"/>
        </w:rPr>
        <w:instrText xml:space="preserve"> TOC \o "1-4" \h \z \u </w:instrText>
      </w:r>
      <w:r w:rsidRPr="007B53C7">
        <w:rPr>
          <w:rFonts w:ascii="Candara" w:hAnsi="Candara"/>
          <w:b w:val="0"/>
          <w:bCs w:val="0"/>
          <w:sz w:val="28"/>
          <w:szCs w:val="32"/>
        </w:rPr>
        <w:fldChar w:fldCharType="separate"/>
      </w:r>
      <w:hyperlink w:anchor="_Toc165169724" w:history="1">
        <w:r w:rsidR="008A0F27" w:rsidRPr="007B53C7">
          <w:rPr>
            <w:rStyle w:val="Hipervnculo"/>
            <w:rFonts w:ascii="Candara" w:hAnsi="Candara"/>
            <w:noProof/>
            <w:color w:val="3B3838" w:themeColor="background2" w:themeShade="40"/>
            <w:lang w:eastAsia="en-US"/>
          </w:rPr>
          <w:t>I. La ciudad que queremos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_Toc165169724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w:t>
        </w:r>
        <w:r w:rsidR="008A0F27" w:rsidRPr="007B53C7">
          <w:rPr>
            <w:rFonts w:ascii="Candara" w:hAnsi="Candara"/>
            <w:noProof/>
            <w:webHidden/>
          </w:rPr>
          <w:fldChar w:fldCharType="end"/>
        </w:r>
      </w:hyperlink>
    </w:p>
    <w:p w14:paraId="6E600FBB" w14:textId="7C37B9D7"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25" w:history="1">
        <w:r w:rsidR="008A0F27" w:rsidRPr="007B53C7">
          <w:rPr>
            <w:rStyle w:val="Hipervnculo"/>
            <w:rFonts w:ascii="Candara" w:hAnsi="Candara"/>
            <w:noProof/>
            <w:color w:val="3B3838" w:themeColor="background2" w:themeShade="40"/>
            <w:lang w:val="es-419"/>
          </w:rPr>
          <w:t>Introducción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_Toc165169725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w:t>
        </w:r>
        <w:r w:rsidR="008A0F27" w:rsidRPr="007B53C7">
          <w:rPr>
            <w:rFonts w:ascii="Candara" w:hAnsi="Candara"/>
            <w:noProof/>
            <w:webHidden/>
          </w:rPr>
          <w:fldChar w:fldCharType="end"/>
        </w:r>
      </w:hyperlink>
    </w:p>
    <w:p w14:paraId="764863C7" w14:textId="6148572C"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26" w:history="1">
        <w:r w:rsidR="008A0F27" w:rsidRPr="007B53C7">
          <w:rPr>
            <w:rStyle w:val="Hipervnculo"/>
            <w:rFonts w:ascii="Candara" w:hAnsi="Candara"/>
            <w:noProof/>
            <w:color w:val="3B3838" w:themeColor="background2" w:themeShade="40"/>
            <w:lang w:val="es-419"/>
          </w:rPr>
          <w:t>Visión de ciudad</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_Toc165169726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w:t>
        </w:r>
        <w:r w:rsidR="008A0F27" w:rsidRPr="007B53C7">
          <w:rPr>
            <w:rFonts w:ascii="Candara" w:hAnsi="Candara"/>
            <w:noProof/>
            <w:webHidden/>
          </w:rPr>
          <w:fldChar w:fldCharType="end"/>
        </w:r>
      </w:hyperlink>
    </w:p>
    <w:p w14:paraId="5228CA65" w14:textId="0848E970"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27" w:history="1">
        <w:r w:rsidR="008A0F27" w:rsidRPr="007B53C7">
          <w:rPr>
            <w:rStyle w:val="Hipervnculo"/>
            <w:rFonts w:ascii="Candara" w:hAnsi="Candara"/>
            <w:noProof/>
            <w:color w:val="3B3838" w:themeColor="background2" w:themeShade="40"/>
            <w:lang w:val="es-419"/>
          </w:rPr>
          <w:t>Objetivo general del plan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_Toc165169727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w:t>
        </w:r>
        <w:r w:rsidR="008A0F27" w:rsidRPr="007B53C7">
          <w:rPr>
            <w:rFonts w:ascii="Candara" w:hAnsi="Candara"/>
            <w:noProof/>
            <w:webHidden/>
          </w:rPr>
          <w:fldChar w:fldCharType="end"/>
        </w:r>
      </w:hyperlink>
    </w:p>
    <w:p w14:paraId="01E95D56" w14:textId="00A06381"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28" w:history="1">
        <w:r w:rsidR="008A0F27" w:rsidRPr="007B53C7">
          <w:rPr>
            <w:rStyle w:val="Hipervnculo"/>
            <w:rFonts w:ascii="Candara" w:hAnsi="Candara"/>
            <w:noProof/>
            <w:color w:val="3B3838" w:themeColor="background2" w:themeShade="40"/>
          </w:rPr>
          <w:t>Diagnóstico general de la ciudad</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_Toc165169728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8</w:t>
        </w:r>
        <w:r w:rsidR="008A0F27" w:rsidRPr="007B53C7">
          <w:rPr>
            <w:rFonts w:ascii="Candara" w:hAnsi="Candara"/>
            <w:noProof/>
            <w:webHidden/>
          </w:rPr>
          <w:fldChar w:fldCharType="end"/>
        </w:r>
      </w:hyperlink>
    </w:p>
    <w:p w14:paraId="35C0CB29" w14:textId="7A95826A" w:rsidR="008A0F27" w:rsidRPr="007B53C7" w:rsidRDefault="00000000">
      <w:pPr>
        <w:pStyle w:val="TDC1"/>
        <w:tabs>
          <w:tab w:val="right" w:leader="dot" w:pos="9350"/>
        </w:tabs>
        <w:rPr>
          <w:rFonts w:ascii="Candara" w:eastAsiaTheme="minorEastAsia" w:hAnsi="Candara" w:cstheme="minorBidi"/>
          <w:b w:val="0"/>
          <w:bCs w:val="0"/>
          <w:caps w:val="0"/>
          <w:noProof/>
          <w:kern w:val="2"/>
          <w:lang w:eastAsia="es-CO"/>
          <w14:ligatures w14:val="standardContextual"/>
        </w:rPr>
      </w:pPr>
      <w:hyperlink w:anchor="_Toc165169736" w:history="1">
        <w:r w:rsidR="008A0F27" w:rsidRPr="007B53C7">
          <w:rPr>
            <w:rStyle w:val="Hipervnculo"/>
            <w:rFonts w:ascii="Candara" w:hAnsi="Candara"/>
            <w:noProof/>
            <w:color w:val="3B3838" w:themeColor="background2" w:themeShade="40"/>
            <w:lang w:eastAsia="en-US"/>
          </w:rPr>
          <w:t>II. Nuestra Estrategia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_Toc165169736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22</w:t>
        </w:r>
        <w:r w:rsidR="008A0F27" w:rsidRPr="007B53C7">
          <w:rPr>
            <w:rFonts w:ascii="Candara" w:hAnsi="Candara"/>
            <w:noProof/>
            <w:webHidden/>
          </w:rPr>
          <w:fldChar w:fldCharType="end"/>
        </w:r>
      </w:hyperlink>
    </w:p>
    <w:p w14:paraId="403EB305" w14:textId="5AFB6612"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37" w:history="1">
        <w:r w:rsidR="008A0F27" w:rsidRPr="007B53C7">
          <w:rPr>
            <w:rStyle w:val="Hipervnculo"/>
            <w:rFonts w:ascii="Candara" w:hAnsi="Candara"/>
            <w:noProof/>
            <w:color w:val="3B3838" w:themeColor="background2" w:themeShade="40"/>
          </w:rPr>
          <w:t>Nuestro modelo de gobernanza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_Toc165169737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22</w:t>
        </w:r>
        <w:r w:rsidR="008A0F27" w:rsidRPr="007B53C7">
          <w:rPr>
            <w:rFonts w:ascii="Candara" w:hAnsi="Candara"/>
            <w:noProof/>
            <w:webHidden/>
          </w:rPr>
          <w:fldChar w:fldCharType="end"/>
        </w:r>
      </w:hyperlink>
    </w:p>
    <w:p w14:paraId="40669976" w14:textId="64429580"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38" w:history="1">
        <w:r w:rsidR="008A0F27" w:rsidRPr="007B53C7">
          <w:rPr>
            <w:rStyle w:val="Hipervnculo"/>
            <w:rFonts w:ascii="Candara" w:hAnsi="Candara"/>
            <w:noProof/>
            <w:color w:val="3B3838" w:themeColor="background2" w:themeShade="40"/>
          </w:rPr>
          <w:t>Enfoques poblacionales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_Toc165169738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24</w:t>
        </w:r>
        <w:r w:rsidR="008A0F27" w:rsidRPr="007B53C7">
          <w:rPr>
            <w:rFonts w:ascii="Candara" w:hAnsi="Candara"/>
            <w:noProof/>
            <w:webHidden/>
          </w:rPr>
          <w:fldChar w:fldCharType="end"/>
        </w:r>
      </w:hyperlink>
    </w:p>
    <w:p w14:paraId="75F50346" w14:textId="45599C11"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40" w:history="1">
        <w:r w:rsidR="008A0F27" w:rsidRPr="007B53C7">
          <w:rPr>
            <w:rStyle w:val="Hipervnculo"/>
            <w:rFonts w:ascii="Candara" w:hAnsi="Candara"/>
            <w:noProof/>
            <w:color w:val="3B3838" w:themeColor="background2" w:themeShade="40"/>
          </w:rPr>
          <w:t>Gerencia, seguimiento y evaluación del plan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_Toc165169740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52</w:t>
        </w:r>
        <w:r w:rsidR="008A0F27" w:rsidRPr="007B53C7">
          <w:rPr>
            <w:rFonts w:ascii="Candara" w:hAnsi="Candara"/>
            <w:noProof/>
            <w:webHidden/>
          </w:rPr>
          <w:fldChar w:fldCharType="end"/>
        </w:r>
      </w:hyperlink>
    </w:p>
    <w:p w14:paraId="07E129D4" w14:textId="37CCBB13"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44" w:history="1">
        <w:r w:rsidR="008A0F27" w:rsidRPr="007B53C7">
          <w:rPr>
            <w:rStyle w:val="Hipervnculo"/>
            <w:rFonts w:ascii="Candara" w:hAnsi="Candara"/>
            <w:noProof/>
            <w:color w:val="3B3838" w:themeColor="background2" w:themeShade="40"/>
          </w:rPr>
          <w:t>Estrategia financiera del Plan de Desarrollo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_Toc165169744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55</w:t>
        </w:r>
        <w:r w:rsidR="008A0F27" w:rsidRPr="007B53C7">
          <w:rPr>
            <w:rFonts w:ascii="Candara" w:hAnsi="Candara"/>
            <w:noProof/>
            <w:webHidden/>
          </w:rPr>
          <w:fldChar w:fldCharType="end"/>
        </w:r>
      </w:hyperlink>
    </w:p>
    <w:p w14:paraId="640E5A91" w14:textId="3EAF4C5A"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45" w:history="1">
        <w:r w:rsidR="008A0F27" w:rsidRPr="007B53C7">
          <w:rPr>
            <w:rStyle w:val="Hipervnculo"/>
            <w:rFonts w:ascii="Candara" w:hAnsi="Candara"/>
            <w:noProof/>
            <w:color w:val="3B3838" w:themeColor="background2" w:themeShade="40"/>
          </w:rPr>
          <w:t>Plan Plurianual de Inversiones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_Toc165169745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62</w:t>
        </w:r>
        <w:r w:rsidR="008A0F27" w:rsidRPr="007B53C7">
          <w:rPr>
            <w:rFonts w:ascii="Candara" w:hAnsi="Candara"/>
            <w:noProof/>
            <w:webHidden/>
          </w:rPr>
          <w:fldChar w:fldCharType="end"/>
        </w:r>
      </w:hyperlink>
    </w:p>
    <w:p w14:paraId="79B94726" w14:textId="32608D03"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48" w:history="1">
        <w:r w:rsidR="008A0F27" w:rsidRPr="007B53C7">
          <w:rPr>
            <w:rStyle w:val="Hipervnculo"/>
            <w:rFonts w:ascii="Candara" w:hAnsi="Candara"/>
            <w:noProof/>
            <w:color w:val="3B3838" w:themeColor="background2" w:themeShade="40"/>
          </w:rPr>
          <w:t>El Plan de Desarrollo y los ODS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_Toc165169748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65</w:t>
        </w:r>
        <w:r w:rsidR="008A0F27" w:rsidRPr="007B53C7">
          <w:rPr>
            <w:rFonts w:ascii="Candara" w:hAnsi="Candara"/>
            <w:noProof/>
            <w:webHidden/>
          </w:rPr>
          <w:fldChar w:fldCharType="end"/>
        </w:r>
      </w:hyperlink>
    </w:p>
    <w:p w14:paraId="069CDE8E" w14:textId="70D8D145" w:rsidR="008A0F27" w:rsidRPr="007B53C7" w:rsidRDefault="00000000">
      <w:pPr>
        <w:pStyle w:val="TDC1"/>
        <w:tabs>
          <w:tab w:val="right" w:leader="dot" w:pos="9350"/>
        </w:tabs>
        <w:rPr>
          <w:rFonts w:ascii="Candara" w:eastAsiaTheme="minorEastAsia" w:hAnsi="Candara" w:cstheme="minorBidi"/>
          <w:b w:val="0"/>
          <w:bCs w:val="0"/>
          <w:caps w:val="0"/>
          <w:noProof/>
          <w:kern w:val="2"/>
          <w:lang w:eastAsia="es-CO"/>
          <w14:ligatures w14:val="standardContextual"/>
        </w:rPr>
      </w:pPr>
      <w:hyperlink w:anchor="_Toc165169753" w:history="1">
        <w:r w:rsidR="008A0F27" w:rsidRPr="007B53C7">
          <w:rPr>
            <w:rStyle w:val="Hipervnculo"/>
            <w:rFonts w:ascii="Candara" w:hAnsi="Candara"/>
            <w:noProof/>
            <w:color w:val="3B3838" w:themeColor="background2" w:themeShade="40"/>
            <w:lang w:eastAsia="en-US"/>
          </w:rPr>
          <w:t>III. Parte general:  Objetivos, Estrategias y Programas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73</w:t>
        </w:r>
        <w:r w:rsidR="008A0F27" w:rsidRPr="007B53C7">
          <w:rPr>
            <w:rFonts w:ascii="Candara" w:hAnsi="Candara"/>
            <w:noProof/>
            <w:webHidden/>
          </w:rPr>
          <w:fldChar w:fldCharType="end"/>
        </w:r>
      </w:hyperlink>
    </w:p>
    <w:p w14:paraId="4B12A4A8" w14:textId="01B7C2D7"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54" w:history="1">
        <w:r w:rsidR="008A0F27" w:rsidRPr="007B53C7">
          <w:rPr>
            <w:rStyle w:val="Hipervnculo"/>
            <w:rFonts w:ascii="Candara" w:hAnsi="Candara"/>
            <w:noProof/>
            <w:color w:val="3B3838" w:themeColor="background2" w:themeShade="40"/>
          </w:rPr>
          <w:t>Objetivo 1. Bogotá avanza en seguridad</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73</w:t>
        </w:r>
        <w:r w:rsidR="008A0F27" w:rsidRPr="007B53C7">
          <w:rPr>
            <w:rFonts w:ascii="Candara" w:hAnsi="Candara"/>
            <w:noProof/>
            <w:webHidden/>
          </w:rPr>
          <w:fldChar w:fldCharType="end"/>
        </w:r>
      </w:hyperlink>
    </w:p>
    <w:p w14:paraId="2543AE47" w14:textId="656AC73A"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55" w:history="1">
        <w:r w:rsidR="008A0F27" w:rsidRPr="007B53C7">
          <w:rPr>
            <w:rStyle w:val="Hipervnculo"/>
            <w:rFonts w:ascii="Candara" w:hAnsi="Candara"/>
            <w:noProof/>
            <w:color w:val="3B3838" w:themeColor="background2" w:themeShade="40"/>
          </w:rPr>
          <w:t>Estrategias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75</w:t>
        </w:r>
        <w:r w:rsidR="008A0F27" w:rsidRPr="007B53C7">
          <w:rPr>
            <w:rFonts w:ascii="Candara" w:hAnsi="Candara"/>
            <w:noProof/>
            <w:webHidden/>
          </w:rPr>
          <w:fldChar w:fldCharType="end"/>
        </w:r>
      </w:hyperlink>
    </w:p>
    <w:p w14:paraId="3081AD30" w14:textId="1493200E"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56" w:history="1">
        <w:r w:rsidR="008A0F27" w:rsidRPr="007B53C7">
          <w:rPr>
            <w:rStyle w:val="Hipervnculo"/>
            <w:rFonts w:ascii="Candara" w:hAnsi="Candara"/>
            <w:noProof/>
            <w:color w:val="3B3838" w:themeColor="background2" w:themeShade="40"/>
          </w:rPr>
          <w:t>Programas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80</w:t>
        </w:r>
        <w:r w:rsidR="008A0F27" w:rsidRPr="007B53C7">
          <w:rPr>
            <w:rFonts w:ascii="Candara" w:hAnsi="Candara"/>
            <w:noProof/>
            <w:webHidden/>
          </w:rPr>
          <w:fldChar w:fldCharType="end"/>
        </w:r>
      </w:hyperlink>
    </w:p>
    <w:p w14:paraId="79DDEAA4" w14:textId="46B27036"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57" w:history="1">
        <w:r w:rsidR="008A0F27" w:rsidRPr="007B53C7">
          <w:rPr>
            <w:rStyle w:val="Hipervnculo"/>
            <w:rFonts w:ascii="Candara" w:hAnsi="Candara"/>
            <w:noProof/>
            <w:color w:val="3B3838" w:themeColor="background2" w:themeShade="40"/>
          </w:rPr>
          <w:t>Programa 1:  Diálogo social y cultura ciudadana para la convivencia pacífica y la recuperación de la confianza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80</w:t>
        </w:r>
        <w:r w:rsidR="008A0F27" w:rsidRPr="007B53C7">
          <w:rPr>
            <w:rFonts w:ascii="Candara" w:hAnsi="Candara"/>
            <w:noProof/>
            <w:webHidden/>
          </w:rPr>
          <w:fldChar w:fldCharType="end"/>
        </w:r>
      </w:hyperlink>
    </w:p>
    <w:p w14:paraId="517F9E79" w14:textId="5B2A641B"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58" w:history="1">
        <w:r w:rsidR="008A0F27" w:rsidRPr="007B53C7">
          <w:rPr>
            <w:rStyle w:val="Hipervnculo"/>
            <w:rFonts w:ascii="Candara" w:hAnsi="Candara"/>
            <w:noProof/>
            <w:color w:val="3B3838" w:themeColor="background2" w:themeShade="40"/>
          </w:rPr>
          <w:t>Programa 2: Cero tolerancia a las violencias contra las mujeres y basadas en género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86</w:t>
        </w:r>
        <w:r w:rsidR="008A0F27" w:rsidRPr="007B53C7">
          <w:rPr>
            <w:rFonts w:ascii="Candara" w:hAnsi="Candara"/>
            <w:noProof/>
            <w:webHidden/>
          </w:rPr>
          <w:fldChar w:fldCharType="end"/>
        </w:r>
      </w:hyperlink>
    </w:p>
    <w:p w14:paraId="27EF5C67" w14:textId="7296769B"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59" w:history="1">
        <w:r w:rsidR="008A0F27" w:rsidRPr="007B53C7">
          <w:rPr>
            <w:rStyle w:val="Hipervnculo"/>
            <w:rFonts w:ascii="Candara" w:hAnsi="Candara"/>
            <w:noProof/>
            <w:color w:val="3B3838" w:themeColor="background2" w:themeShade="40"/>
          </w:rPr>
          <w:t>Programa 3: Desmantelamiento de estructuras criminales y delincuenciales con mejores capacidades y activos tecnológicos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_Toc165169759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91</w:t>
        </w:r>
        <w:r w:rsidR="008A0F27" w:rsidRPr="007B53C7">
          <w:rPr>
            <w:rFonts w:ascii="Candara" w:hAnsi="Candara"/>
            <w:noProof/>
            <w:webHidden/>
          </w:rPr>
          <w:fldChar w:fldCharType="end"/>
        </w:r>
      </w:hyperlink>
    </w:p>
    <w:p w14:paraId="24B8AA18" w14:textId="6E1237C0"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0" w:history="1">
        <w:r w:rsidR="008A0F27" w:rsidRPr="007B53C7">
          <w:rPr>
            <w:rStyle w:val="Hipervnculo"/>
            <w:rFonts w:ascii="Candara" w:hAnsi="Candara"/>
            <w:noProof/>
            <w:color w:val="3B3838" w:themeColor="background2" w:themeShade="40"/>
          </w:rPr>
          <w:t>Programa 4: Servicios centrados en la justicia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96</w:t>
        </w:r>
        <w:r w:rsidR="008A0F27" w:rsidRPr="007B53C7">
          <w:rPr>
            <w:rFonts w:ascii="Candara" w:hAnsi="Candara"/>
            <w:noProof/>
            <w:webHidden/>
          </w:rPr>
          <w:fldChar w:fldCharType="end"/>
        </w:r>
      </w:hyperlink>
    </w:p>
    <w:p w14:paraId="5B6229EB" w14:textId="118A64BD"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1" w:history="1">
        <w:r w:rsidR="008A0F27" w:rsidRPr="007B53C7">
          <w:rPr>
            <w:rStyle w:val="Hipervnculo"/>
            <w:rFonts w:ascii="Candara" w:hAnsi="Candara"/>
            <w:noProof/>
            <w:color w:val="3B3838" w:themeColor="background2" w:themeShade="40"/>
          </w:rPr>
          <w:t>Programa 5: Espacio público seguro e inclusivo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_Toc165169761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103</w:t>
        </w:r>
        <w:r w:rsidR="008A0F27" w:rsidRPr="007B53C7">
          <w:rPr>
            <w:rFonts w:ascii="Candara" w:hAnsi="Candara"/>
            <w:noProof/>
            <w:webHidden/>
          </w:rPr>
          <w:fldChar w:fldCharType="end"/>
        </w:r>
      </w:hyperlink>
    </w:p>
    <w:p w14:paraId="5FEEF5FC" w14:textId="1C4E6E6B"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2" w:history="1">
        <w:r w:rsidR="008A0F27" w:rsidRPr="007B53C7">
          <w:rPr>
            <w:rStyle w:val="Hipervnculo"/>
            <w:rFonts w:ascii="Candara" w:hAnsi="Candara"/>
            <w:noProof/>
            <w:color w:val="3B3838" w:themeColor="background2" w:themeShade="40"/>
          </w:rPr>
          <w:t>Programa 6: Movilidad segura e inclusiva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_Toc165169762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111</w:t>
        </w:r>
        <w:r w:rsidR="008A0F27" w:rsidRPr="007B53C7">
          <w:rPr>
            <w:rFonts w:ascii="Candara" w:hAnsi="Candara"/>
            <w:noProof/>
            <w:webHidden/>
          </w:rPr>
          <w:fldChar w:fldCharType="end"/>
        </w:r>
      </w:hyperlink>
    </w:p>
    <w:p w14:paraId="6D5FA7AD" w14:textId="6B1D336D"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63" w:history="1">
        <w:r w:rsidR="008A0F27" w:rsidRPr="007B53C7">
          <w:rPr>
            <w:rStyle w:val="Hipervnculo"/>
            <w:rFonts w:ascii="Candara" w:hAnsi="Candara"/>
            <w:noProof/>
            <w:color w:val="3B3838" w:themeColor="background2" w:themeShade="40"/>
          </w:rPr>
          <w:t xml:space="preserve">Objetivo 2. Bogotá confía en su </w:t>
        </w:r>
        <w:r w:rsidR="008A0F27" w:rsidRPr="007B53C7">
          <w:rPr>
            <w:rStyle w:val="Hipervnculo"/>
            <w:rFonts w:ascii="Candara" w:hAnsi="Candara"/>
            <w:i/>
            <w:iCs/>
            <w:noProof/>
            <w:color w:val="3B3838" w:themeColor="background2" w:themeShade="40"/>
          </w:rPr>
          <w:t>bien-estar</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118</w:t>
        </w:r>
        <w:r w:rsidR="008A0F27" w:rsidRPr="007B53C7">
          <w:rPr>
            <w:rFonts w:ascii="Candara" w:hAnsi="Candara"/>
            <w:noProof/>
            <w:webHidden/>
          </w:rPr>
          <w:fldChar w:fldCharType="end"/>
        </w:r>
      </w:hyperlink>
    </w:p>
    <w:p w14:paraId="09B07D9B" w14:textId="003FCD43"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64" w:history="1">
        <w:r w:rsidR="008A0F27" w:rsidRPr="007B53C7">
          <w:rPr>
            <w:rStyle w:val="Hipervnculo"/>
            <w:rFonts w:ascii="Candara" w:hAnsi="Candara"/>
            <w:noProof/>
            <w:color w:val="3B3838" w:themeColor="background2" w:themeShade="40"/>
          </w:rPr>
          <w:t>Estrategias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120</w:t>
        </w:r>
        <w:r w:rsidR="008A0F27" w:rsidRPr="007B53C7">
          <w:rPr>
            <w:rFonts w:ascii="Candara" w:hAnsi="Candara"/>
            <w:noProof/>
            <w:webHidden/>
          </w:rPr>
          <w:fldChar w:fldCharType="end"/>
        </w:r>
      </w:hyperlink>
    </w:p>
    <w:p w14:paraId="52CF4A32" w14:textId="11F66137"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65" w:history="1">
        <w:r w:rsidR="008A0F27" w:rsidRPr="007B53C7">
          <w:rPr>
            <w:rStyle w:val="Hipervnculo"/>
            <w:rFonts w:ascii="Candara" w:hAnsi="Candara"/>
            <w:noProof/>
            <w:color w:val="3B3838" w:themeColor="background2" w:themeShade="40"/>
          </w:rPr>
          <w:t>Programas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125</w:t>
        </w:r>
        <w:r w:rsidR="008A0F27" w:rsidRPr="007B53C7">
          <w:rPr>
            <w:rFonts w:ascii="Candara" w:hAnsi="Candara"/>
            <w:noProof/>
            <w:webHidden/>
          </w:rPr>
          <w:fldChar w:fldCharType="end"/>
        </w:r>
      </w:hyperlink>
    </w:p>
    <w:p w14:paraId="755E446A" w14:textId="6CCB6D75"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6" w:history="1">
        <w:r w:rsidR="008A0F27" w:rsidRPr="007B53C7">
          <w:rPr>
            <w:rStyle w:val="Hipervnculo"/>
            <w:rFonts w:ascii="Candara" w:hAnsi="Candara"/>
            <w:noProof/>
            <w:color w:val="3B3838" w:themeColor="background2" w:themeShade="40"/>
          </w:rPr>
          <w:t>Programa 7: Bogotá, una ciudad con menos pobreza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125</w:t>
        </w:r>
        <w:r w:rsidR="008A0F27" w:rsidRPr="007B53C7">
          <w:rPr>
            <w:rFonts w:ascii="Candara" w:hAnsi="Candara"/>
            <w:noProof/>
            <w:webHidden/>
          </w:rPr>
          <w:fldChar w:fldCharType="end"/>
        </w:r>
      </w:hyperlink>
    </w:p>
    <w:p w14:paraId="3C73980F" w14:textId="6A17204A"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7" w:history="1">
        <w:r w:rsidR="008A0F27" w:rsidRPr="007B53C7">
          <w:rPr>
            <w:rStyle w:val="Hipervnculo"/>
            <w:rFonts w:ascii="Candara" w:hAnsi="Candara"/>
            <w:noProof/>
            <w:color w:val="3B3838" w:themeColor="background2" w:themeShade="40"/>
          </w:rPr>
          <w:t>Programa 8: Erradicación del hambre en Bogotá</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130</w:t>
        </w:r>
        <w:r w:rsidR="008A0F27" w:rsidRPr="007B53C7">
          <w:rPr>
            <w:rFonts w:ascii="Candara" w:hAnsi="Candara"/>
            <w:noProof/>
            <w:webHidden/>
          </w:rPr>
          <w:fldChar w:fldCharType="end"/>
        </w:r>
      </w:hyperlink>
    </w:p>
    <w:p w14:paraId="399D5389" w14:textId="45673423"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8" w:history="1">
        <w:r w:rsidR="008A0F27" w:rsidRPr="007B53C7">
          <w:rPr>
            <w:rStyle w:val="Hipervnculo"/>
            <w:rFonts w:ascii="Candara" w:hAnsi="Candara"/>
            <w:noProof/>
            <w:color w:val="3B3838" w:themeColor="background2" w:themeShade="40"/>
          </w:rPr>
          <w:t>Programa 9: Reducción de formas extremas de exclusión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135</w:t>
        </w:r>
        <w:r w:rsidR="008A0F27" w:rsidRPr="007B53C7">
          <w:rPr>
            <w:rFonts w:ascii="Candara" w:hAnsi="Candara"/>
            <w:noProof/>
            <w:webHidden/>
          </w:rPr>
          <w:fldChar w:fldCharType="end"/>
        </w:r>
      </w:hyperlink>
    </w:p>
    <w:p w14:paraId="639A91AC" w14:textId="1D00F621"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69" w:history="1">
        <w:r w:rsidR="008A0F27" w:rsidRPr="007B53C7">
          <w:rPr>
            <w:rStyle w:val="Hipervnculo"/>
            <w:rFonts w:ascii="Candara" w:hAnsi="Candara"/>
            <w:noProof/>
            <w:color w:val="3B3838" w:themeColor="background2" w:themeShade="40"/>
          </w:rPr>
          <w:t>Programa 10: Salud pública integrada e integral</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_Toc165169769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139</w:t>
        </w:r>
        <w:r w:rsidR="008A0F27" w:rsidRPr="007B53C7">
          <w:rPr>
            <w:rFonts w:ascii="Candara" w:hAnsi="Candara"/>
            <w:noProof/>
            <w:webHidden/>
          </w:rPr>
          <w:fldChar w:fldCharType="end"/>
        </w:r>
      </w:hyperlink>
    </w:p>
    <w:p w14:paraId="3BD36AB2" w14:textId="16CEC21A"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0" w:history="1">
        <w:r w:rsidR="008A0F27" w:rsidRPr="007B53C7">
          <w:rPr>
            <w:rStyle w:val="Hipervnculo"/>
            <w:rFonts w:ascii="Candara" w:hAnsi="Candara"/>
            <w:noProof/>
            <w:color w:val="3B3838" w:themeColor="background2" w:themeShade="40"/>
          </w:rPr>
          <w:t>Programa 11: Salud con calidad y en el territorio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145</w:t>
        </w:r>
        <w:r w:rsidR="008A0F27" w:rsidRPr="007B53C7">
          <w:rPr>
            <w:rFonts w:ascii="Candara" w:hAnsi="Candara"/>
            <w:noProof/>
            <w:webHidden/>
          </w:rPr>
          <w:fldChar w:fldCharType="end"/>
        </w:r>
      </w:hyperlink>
    </w:p>
    <w:p w14:paraId="38B10821" w14:textId="31B9A085"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1" w:history="1">
        <w:r w:rsidR="008A0F27" w:rsidRPr="007B53C7">
          <w:rPr>
            <w:rStyle w:val="Hipervnculo"/>
            <w:rFonts w:ascii="Candara" w:hAnsi="Candara"/>
            <w:noProof/>
            <w:color w:val="3B3838" w:themeColor="background2" w:themeShade="40"/>
          </w:rPr>
          <w:t>Programa 12: Bogotá cuida a su gente</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_Toc165169771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149</w:t>
        </w:r>
        <w:r w:rsidR="008A0F27" w:rsidRPr="007B53C7">
          <w:rPr>
            <w:rFonts w:ascii="Candara" w:hAnsi="Candara"/>
            <w:noProof/>
            <w:webHidden/>
          </w:rPr>
          <w:fldChar w:fldCharType="end"/>
        </w:r>
      </w:hyperlink>
    </w:p>
    <w:p w14:paraId="7A91AF2E" w14:textId="48F1BF0F"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2" w:history="1">
        <w:r w:rsidR="008A0F27" w:rsidRPr="007B53C7">
          <w:rPr>
            <w:rStyle w:val="Hipervnculo"/>
            <w:rFonts w:ascii="Candara" w:hAnsi="Candara"/>
            <w:noProof/>
            <w:color w:val="3B3838" w:themeColor="background2" w:themeShade="40"/>
          </w:rPr>
          <w:t>Programa 13: Bogotá, un territorio de paz y reconciliación donde todos puedan volver a empezar</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_Toc165169772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156</w:t>
        </w:r>
        <w:r w:rsidR="008A0F27" w:rsidRPr="007B53C7">
          <w:rPr>
            <w:rFonts w:ascii="Candara" w:hAnsi="Candara"/>
            <w:noProof/>
            <w:webHidden/>
          </w:rPr>
          <w:fldChar w:fldCharType="end"/>
        </w:r>
      </w:hyperlink>
    </w:p>
    <w:p w14:paraId="41FA65B5" w14:textId="6C4769A2"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3" w:history="1">
        <w:r w:rsidR="008A0F27" w:rsidRPr="007B53C7">
          <w:rPr>
            <w:rStyle w:val="Hipervnculo"/>
            <w:rFonts w:ascii="Candara" w:hAnsi="Candara"/>
            <w:noProof/>
            <w:color w:val="3B3838" w:themeColor="background2" w:themeShade="40"/>
          </w:rPr>
          <w:t>Programa 14: Bogotá deportiva, recreativa, artística, patrimonial e intercultural</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163</w:t>
        </w:r>
        <w:r w:rsidR="008A0F27" w:rsidRPr="007B53C7">
          <w:rPr>
            <w:rFonts w:ascii="Candara" w:hAnsi="Candara"/>
            <w:noProof/>
            <w:webHidden/>
          </w:rPr>
          <w:fldChar w:fldCharType="end"/>
        </w:r>
      </w:hyperlink>
    </w:p>
    <w:p w14:paraId="3E1C9D1B" w14:textId="10DA47F1"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4" w:history="1">
        <w:r w:rsidR="008A0F27" w:rsidRPr="007B53C7">
          <w:rPr>
            <w:rStyle w:val="Hipervnculo"/>
            <w:rFonts w:ascii="Candara" w:hAnsi="Candara"/>
            <w:noProof/>
            <w:color w:val="3B3838" w:themeColor="background2" w:themeShade="40"/>
          </w:rPr>
          <w:t>Programa 15: Bogotá protege todas las formas de vida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172</w:t>
        </w:r>
        <w:r w:rsidR="008A0F27" w:rsidRPr="007B53C7">
          <w:rPr>
            <w:rFonts w:ascii="Candara" w:hAnsi="Candara"/>
            <w:noProof/>
            <w:webHidden/>
          </w:rPr>
          <w:fldChar w:fldCharType="end"/>
        </w:r>
      </w:hyperlink>
    </w:p>
    <w:p w14:paraId="6AC3F22B" w14:textId="19767DDC"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75" w:history="1">
        <w:r w:rsidR="008A0F27" w:rsidRPr="007B53C7">
          <w:rPr>
            <w:rStyle w:val="Hipervnculo"/>
            <w:rFonts w:ascii="Candara" w:hAnsi="Candara"/>
            <w:noProof/>
            <w:color w:val="3B3838" w:themeColor="background2" w:themeShade="40"/>
          </w:rPr>
          <w:t>Objetivo 3. Bogotá confía en su potencial</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175</w:t>
        </w:r>
        <w:r w:rsidR="008A0F27" w:rsidRPr="007B53C7">
          <w:rPr>
            <w:rFonts w:ascii="Candara" w:hAnsi="Candara"/>
            <w:noProof/>
            <w:webHidden/>
          </w:rPr>
          <w:fldChar w:fldCharType="end"/>
        </w:r>
      </w:hyperlink>
    </w:p>
    <w:p w14:paraId="7A2E41E5" w14:textId="7E383548"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76" w:history="1">
        <w:r w:rsidR="008A0F27" w:rsidRPr="007B53C7">
          <w:rPr>
            <w:rStyle w:val="Hipervnculo"/>
            <w:rFonts w:ascii="Candara" w:hAnsi="Candara"/>
            <w:noProof/>
            <w:color w:val="3B3838" w:themeColor="background2" w:themeShade="40"/>
          </w:rPr>
          <w:t>Estrategias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176</w:t>
        </w:r>
        <w:r w:rsidR="008A0F27" w:rsidRPr="007B53C7">
          <w:rPr>
            <w:rFonts w:ascii="Candara" w:hAnsi="Candara"/>
            <w:noProof/>
            <w:webHidden/>
          </w:rPr>
          <w:fldChar w:fldCharType="end"/>
        </w:r>
      </w:hyperlink>
    </w:p>
    <w:p w14:paraId="5BA2EC12" w14:textId="1FD81058"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77" w:history="1">
        <w:r w:rsidR="008A0F27" w:rsidRPr="007B53C7">
          <w:rPr>
            <w:rStyle w:val="Hipervnculo"/>
            <w:rFonts w:ascii="Candara" w:hAnsi="Candara"/>
            <w:noProof/>
            <w:color w:val="3B3838" w:themeColor="background2" w:themeShade="40"/>
          </w:rPr>
          <w:t>Programas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180</w:t>
        </w:r>
        <w:r w:rsidR="008A0F27" w:rsidRPr="007B53C7">
          <w:rPr>
            <w:rFonts w:ascii="Candara" w:hAnsi="Candara"/>
            <w:noProof/>
            <w:webHidden/>
          </w:rPr>
          <w:fldChar w:fldCharType="end"/>
        </w:r>
      </w:hyperlink>
    </w:p>
    <w:p w14:paraId="14474E60" w14:textId="3FB48DB3"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8" w:history="1">
        <w:r w:rsidR="008A0F27" w:rsidRPr="007B53C7">
          <w:rPr>
            <w:rStyle w:val="Hipervnculo"/>
            <w:rFonts w:ascii="Candara" w:hAnsi="Candara"/>
            <w:noProof/>
            <w:color w:val="3B3838" w:themeColor="background2" w:themeShade="40"/>
          </w:rPr>
          <w:t>Programa 16: La educación como eje del potencial humano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180</w:t>
        </w:r>
        <w:r w:rsidR="008A0F27" w:rsidRPr="007B53C7">
          <w:rPr>
            <w:rFonts w:ascii="Candara" w:hAnsi="Candara"/>
            <w:noProof/>
            <w:webHidden/>
          </w:rPr>
          <w:fldChar w:fldCharType="end"/>
        </w:r>
      </w:hyperlink>
    </w:p>
    <w:p w14:paraId="0E967891" w14:textId="5E0FBD6F"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79" w:history="1">
        <w:r w:rsidR="008A0F27" w:rsidRPr="007B53C7">
          <w:rPr>
            <w:rStyle w:val="Hipervnculo"/>
            <w:rFonts w:ascii="Candara" w:hAnsi="Candara"/>
            <w:noProof/>
            <w:color w:val="3B3838" w:themeColor="background2" w:themeShade="40"/>
          </w:rPr>
          <w:t>Programa 17: Formación para el trabajo y acceso a oportunidades educativas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_Toc165169779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189</w:t>
        </w:r>
        <w:r w:rsidR="008A0F27" w:rsidRPr="007B53C7">
          <w:rPr>
            <w:rFonts w:ascii="Candara" w:hAnsi="Candara"/>
            <w:noProof/>
            <w:webHidden/>
          </w:rPr>
          <w:fldChar w:fldCharType="end"/>
        </w:r>
      </w:hyperlink>
    </w:p>
    <w:p w14:paraId="3D9C154A" w14:textId="53239643"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0" w:history="1">
        <w:r w:rsidR="008A0F27" w:rsidRPr="007B53C7">
          <w:rPr>
            <w:rStyle w:val="Hipervnculo"/>
            <w:rFonts w:ascii="Candara" w:hAnsi="Candara"/>
            <w:noProof/>
            <w:color w:val="3B3838" w:themeColor="background2" w:themeShade="40"/>
          </w:rPr>
          <w:t>Programa 18: Ciencia, Tecnología e Innovación (CTel) para desarrollar nuestro potencial y promover el de nuestros vecinos regionales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193</w:t>
        </w:r>
        <w:r w:rsidR="008A0F27" w:rsidRPr="007B53C7">
          <w:rPr>
            <w:rFonts w:ascii="Candara" w:hAnsi="Candara"/>
            <w:noProof/>
            <w:webHidden/>
          </w:rPr>
          <w:fldChar w:fldCharType="end"/>
        </w:r>
      </w:hyperlink>
    </w:p>
    <w:p w14:paraId="27E97DB8" w14:textId="50D11A87"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1" w:history="1">
        <w:r w:rsidR="008A0F27" w:rsidRPr="007B53C7">
          <w:rPr>
            <w:rStyle w:val="Hipervnculo"/>
            <w:rFonts w:ascii="Candara" w:hAnsi="Candara"/>
            <w:noProof/>
            <w:color w:val="3B3838" w:themeColor="background2" w:themeShade="40"/>
          </w:rPr>
          <w:t>Programa 19: Desarrollo empresarial, productividad y empleo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_Toc165169781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199</w:t>
        </w:r>
        <w:r w:rsidR="008A0F27" w:rsidRPr="007B53C7">
          <w:rPr>
            <w:rFonts w:ascii="Candara" w:hAnsi="Candara"/>
            <w:noProof/>
            <w:webHidden/>
          </w:rPr>
          <w:fldChar w:fldCharType="end"/>
        </w:r>
      </w:hyperlink>
    </w:p>
    <w:p w14:paraId="4388BA69" w14:textId="189608C5"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2" w:history="1">
        <w:r w:rsidR="008A0F27" w:rsidRPr="007B53C7">
          <w:rPr>
            <w:rStyle w:val="Hipervnculo"/>
            <w:rFonts w:ascii="Candara" w:hAnsi="Candara"/>
            <w:noProof/>
            <w:color w:val="3B3838" w:themeColor="background2" w:themeShade="40"/>
          </w:rPr>
          <w:t>Programa 20: Promoción del emprendimiento formal, equitativo e incluyente</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_Toc165169782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206</w:t>
        </w:r>
        <w:r w:rsidR="008A0F27" w:rsidRPr="007B53C7">
          <w:rPr>
            <w:rFonts w:ascii="Candara" w:hAnsi="Candara"/>
            <w:noProof/>
            <w:webHidden/>
          </w:rPr>
          <w:fldChar w:fldCharType="end"/>
        </w:r>
      </w:hyperlink>
    </w:p>
    <w:p w14:paraId="6F641B51" w14:textId="483ED848"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3" w:history="1">
        <w:r w:rsidR="008A0F27" w:rsidRPr="007B53C7">
          <w:rPr>
            <w:rStyle w:val="Hipervnculo"/>
            <w:rFonts w:ascii="Candara" w:hAnsi="Candara"/>
            <w:noProof/>
            <w:color w:val="3B3838" w:themeColor="background2" w:themeShade="40"/>
          </w:rPr>
          <w:t>Programa 21: Bogotá ciudad portuaria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213</w:t>
        </w:r>
        <w:r w:rsidR="008A0F27" w:rsidRPr="007B53C7">
          <w:rPr>
            <w:rFonts w:ascii="Candara" w:hAnsi="Candara"/>
            <w:noProof/>
            <w:webHidden/>
          </w:rPr>
          <w:fldChar w:fldCharType="end"/>
        </w:r>
      </w:hyperlink>
    </w:p>
    <w:p w14:paraId="6E78F613" w14:textId="3ABF8356"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4" w:history="1">
        <w:r w:rsidR="008A0F27" w:rsidRPr="007B53C7">
          <w:rPr>
            <w:rStyle w:val="Hipervnculo"/>
            <w:rFonts w:ascii="Candara" w:hAnsi="Candara"/>
            <w:noProof/>
            <w:color w:val="3B3838" w:themeColor="background2" w:themeShade="40"/>
          </w:rPr>
          <w:t>Programa 22: Bogotá, una ciudad de puertas abiertas al mundo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218</w:t>
        </w:r>
        <w:r w:rsidR="008A0F27" w:rsidRPr="007B53C7">
          <w:rPr>
            <w:rFonts w:ascii="Candara" w:hAnsi="Candara"/>
            <w:noProof/>
            <w:webHidden/>
          </w:rPr>
          <w:fldChar w:fldCharType="end"/>
        </w:r>
      </w:hyperlink>
    </w:p>
    <w:p w14:paraId="3185164A" w14:textId="066CDCBA"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85" w:history="1">
        <w:r w:rsidR="008A0F27" w:rsidRPr="007B53C7">
          <w:rPr>
            <w:rStyle w:val="Hipervnculo"/>
            <w:rFonts w:ascii="Candara" w:hAnsi="Candara"/>
            <w:noProof/>
            <w:color w:val="3B3838" w:themeColor="background2" w:themeShade="40"/>
          </w:rPr>
          <w:t>Objetivo 4. Bogotá ordena su territorio y avanza en su acción climática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222</w:t>
        </w:r>
        <w:r w:rsidR="008A0F27" w:rsidRPr="007B53C7">
          <w:rPr>
            <w:rFonts w:ascii="Candara" w:hAnsi="Candara"/>
            <w:noProof/>
            <w:webHidden/>
          </w:rPr>
          <w:fldChar w:fldCharType="end"/>
        </w:r>
      </w:hyperlink>
    </w:p>
    <w:p w14:paraId="59B4D133" w14:textId="0D7CD5C9"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86" w:history="1">
        <w:r w:rsidR="008A0F27" w:rsidRPr="007B53C7">
          <w:rPr>
            <w:rStyle w:val="Hipervnculo"/>
            <w:rFonts w:ascii="Candara" w:hAnsi="Candara"/>
            <w:noProof/>
            <w:color w:val="3B3838" w:themeColor="background2" w:themeShade="40"/>
          </w:rPr>
          <w:t>Estrategias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225</w:t>
        </w:r>
        <w:r w:rsidR="008A0F27" w:rsidRPr="007B53C7">
          <w:rPr>
            <w:rFonts w:ascii="Candara" w:hAnsi="Candara"/>
            <w:noProof/>
            <w:webHidden/>
          </w:rPr>
          <w:fldChar w:fldCharType="end"/>
        </w:r>
      </w:hyperlink>
    </w:p>
    <w:p w14:paraId="08CA73D6" w14:textId="7E105879"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87" w:history="1">
        <w:r w:rsidR="008A0F27" w:rsidRPr="007B53C7">
          <w:rPr>
            <w:rStyle w:val="Hipervnculo"/>
            <w:rFonts w:ascii="Candara" w:hAnsi="Candara"/>
            <w:noProof/>
            <w:color w:val="3B3838" w:themeColor="background2" w:themeShade="40"/>
          </w:rPr>
          <w:t>Programas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230</w:t>
        </w:r>
        <w:r w:rsidR="008A0F27" w:rsidRPr="007B53C7">
          <w:rPr>
            <w:rFonts w:ascii="Candara" w:hAnsi="Candara"/>
            <w:noProof/>
            <w:webHidden/>
          </w:rPr>
          <w:fldChar w:fldCharType="end"/>
        </w:r>
      </w:hyperlink>
    </w:p>
    <w:p w14:paraId="59CA9835" w14:textId="46332020"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8" w:history="1">
        <w:r w:rsidR="008A0F27" w:rsidRPr="007B53C7">
          <w:rPr>
            <w:rStyle w:val="Hipervnculo"/>
            <w:rFonts w:ascii="Candara" w:hAnsi="Candara"/>
            <w:noProof/>
            <w:color w:val="3B3838" w:themeColor="background2" w:themeShade="40"/>
          </w:rPr>
          <w:t>Programa 23: Ordenamiento territorial sostenible, equilibrado y participativo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230</w:t>
        </w:r>
        <w:r w:rsidR="008A0F27" w:rsidRPr="007B53C7">
          <w:rPr>
            <w:rFonts w:ascii="Candara" w:hAnsi="Candara"/>
            <w:noProof/>
            <w:webHidden/>
          </w:rPr>
          <w:fldChar w:fldCharType="end"/>
        </w:r>
      </w:hyperlink>
    </w:p>
    <w:p w14:paraId="4C3DFD53" w14:textId="4A9BE57B"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89" w:history="1">
        <w:r w:rsidR="008A0F27" w:rsidRPr="007B53C7">
          <w:rPr>
            <w:rStyle w:val="Hipervnculo"/>
            <w:rFonts w:ascii="Candara" w:hAnsi="Candara"/>
            <w:noProof/>
            <w:color w:val="3B3838" w:themeColor="background2" w:themeShade="40"/>
          </w:rPr>
          <w:t>Programa 24: Revitalización y renovación urbana y rural con inclusión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_Toc165169789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236</w:t>
        </w:r>
        <w:r w:rsidR="008A0F27" w:rsidRPr="007B53C7">
          <w:rPr>
            <w:rFonts w:ascii="Candara" w:hAnsi="Candara"/>
            <w:noProof/>
            <w:webHidden/>
          </w:rPr>
          <w:fldChar w:fldCharType="end"/>
        </w:r>
      </w:hyperlink>
    </w:p>
    <w:p w14:paraId="012C2B5A" w14:textId="232FA9A3"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0" w:history="1">
        <w:r w:rsidR="008A0F27" w:rsidRPr="007B53C7">
          <w:rPr>
            <w:rStyle w:val="Hipervnculo"/>
            <w:rFonts w:ascii="Candara" w:hAnsi="Candara"/>
            <w:noProof/>
            <w:color w:val="3B3838" w:themeColor="background2" w:themeShade="40"/>
          </w:rPr>
          <w:t>Programa 25: Aumento de la resiliencia al cambio climático y reducción de la vulnerabilidad</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242</w:t>
        </w:r>
        <w:r w:rsidR="008A0F27" w:rsidRPr="007B53C7">
          <w:rPr>
            <w:rFonts w:ascii="Candara" w:hAnsi="Candara"/>
            <w:noProof/>
            <w:webHidden/>
          </w:rPr>
          <w:fldChar w:fldCharType="end"/>
        </w:r>
      </w:hyperlink>
    </w:p>
    <w:p w14:paraId="1687D924" w14:textId="632436FF"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1" w:history="1">
        <w:r w:rsidR="008A0F27" w:rsidRPr="007B53C7">
          <w:rPr>
            <w:rStyle w:val="Hipervnculo"/>
            <w:rFonts w:ascii="Candara" w:hAnsi="Candara"/>
            <w:noProof/>
            <w:color w:val="3B3838" w:themeColor="background2" w:themeShade="40"/>
          </w:rPr>
          <w:t>Programa 2</w:t>
        </w:r>
        <w:r w:rsidR="008A0F27" w:rsidRPr="007B53C7">
          <w:rPr>
            <w:rStyle w:val="Hipervnculo"/>
            <w:rFonts w:ascii="Candara" w:hAnsi="Candara"/>
            <w:i/>
            <w:noProof/>
            <w:color w:val="3B3838" w:themeColor="background2" w:themeShade="40"/>
          </w:rPr>
          <w:t>6</w:t>
        </w:r>
        <w:r w:rsidR="008A0F27" w:rsidRPr="007B53C7">
          <w:rPr>
            <w:rStyle w:val="Hipervnculo"/>
            <w:rFonts w:ascii="Candara" w:hAnsi="Candara"/>
            <w:noProof/>
            <w:color w:val="3B3838" w:themeColor="background2" w:themeShade="40"/>
          </w:rPr>
          <w:t>: Movilidad sostenible</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_Toc165169791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250</w:t>
        </w:r>
        <w:r w:rsidR="008A0F27" w:rsidRPr="007B53C7">
          <w:rPr>
            <w:rFonts w:ascii="Candara" w:hAnsi="Candara"/>
            <w:noProof/>
            <w:webHidden/>
          </w:rPr>
          <w:fldChar w:fldCharType="end"/>
        </w:r>
      </w:hyperlink>
    </w:p>
    <w:p w14:paraId="74A1EB74" w14:textId="6EAE8C1C"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2" w:history="1">
        <w:r w:rsidR="008A0F27" w:rsidRPr="007B53C7">
          <w:rPr>
            <w:rStyle w:val="Hipervnculo"/>
            <w:rFonts w:ascii="Candara" w:hAnsi="Candara"/>
            <w:noProof/>
            <w:color w:val="3B3838" w:themeColor="background2" w:themeShade="40"/>
          </w:rPr>
          <w:t>Programa 27: Gestión del riesgo de desastres para un territorio seguro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_Toc165169792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259</w:t>
        </w:r>
        <w:r w:rsidR="008A0F27" w:rsidRPr="007B53C7">
          <w:rPr>
            <w:rFonts w:ascii="Candara" w:hAnsi="Candara"/>
            <w:noProof/>
            <w:webHidden/>
          </w:rPr>
          <w:fldChar w:fldCharType="end"/>
        </w:r>
      </w:hyperlink>
    </w:p>
    <w:p w14:paraId="02D2C162" w14:textId="34D55A24"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3" w:history="1">
        <w:r w:rsidR="008A0F27" w:rsidRPr="007B53C7">
          <w:rPr>
            <w:rStyle w:val="Hipervnculo"/>
            <w:rFonts w:ascii="Candara" w:hAnsi="Candara"/>
            <w:noProof/>
            <w:color w:val="3B3838" w:themeColor="background2" w:themeShade="40"/>
          </w:rPr>
          <w:t>Programa 28: Reducción de emisiones y control del deterioro ambiental</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264</w:t>
        </w:r>
        <w:r w:rsidR="008A0F27" w:rsidRPr="007B53C7">
          <w:rPr>
            <w:rFonts w:ascii="Candara" w:hAnsi="Candara"/>
            <w:noProof/>
            <w:webHidden/>
          </w:rPr>
          <w:fldChar w:fldCharType="end"/>
        </w:r>
      </w:hyperlink>
    </w:p>
    <w:p w14:paraId="6A518E9C" w14:textId="4B535509"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4" w:history="1">
        <w:r w:rsidR="008A0F27" w:rsidRPr="007B53C7">
          <w:rPr>
            <w:rStyle w:val="Hipervnculo"/>
            <w:rFonts w:ascii="Candara" w:hAnsi="Candara"/>
            <w:noProof/>
            <w:color w:val="3B3838" w:themeColor="background2" w:themeShade="40"/>
          </w:rPr>
          <w:t>Programa 29: Servicios públicos inclusivos y sostenibles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272</w:t>
        </w:r>
        <w:r w:rsidR="008A0F27" w:rsidRPr="007B53C7">
          <w:rPr>
            <w:rFonts w:ascii="Candara" w:hAnsi="Candara"/>
            <w:noProof/>
            <w:webHidden/>
          </w:rPr>
          <w:fldChar w:fldCharType="end"/>
        </w:r>
      </w:hyperlink>
    </w:p>
    <w:p w14:paraId="55D8F7D9" w14:textId="1E061E59"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5" w:history="1">
        <w:r w:rsidR="008A0F27" w:rsidRPr="007B53C7">
          <w:rPr>
            <w:rStyle w:val="Hipervnculo"/>
            <w:rFonts w:ascii="Candara" w:hAnsi="Candara"/>
            <w:noProof/>
            <w:color w:val="3B3838" w:themeColor="background2" w:themeShade="40"/>
          </w:rPr>
          <w:t>Programa 30: Atención del déficit social para un hábitat digno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284</w:t>
        </w:r>
        <w:r w:rsidR="008A0F27" w:rsidRPr="007B53C7">
          <w:rPr>
            <w:rFonts w:ascii="Candara" w:hAnsi="Candara"/>
            <w:noProof/>
            <w:webHidden/>
          </w:rPr>
          <w:fldChar w:fldCharType="end"/>
        </w:r>
      </w:hyperlink>
    </w:p>
    <w:p w14:paraId="7FA9365D" w14:textId="4DD2FCDD"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796" w:history="1">
        <w:r w:rsidR="008A0F27" w:rsidRPr="007B53C7">
          <w:rPr>
            <w:rStyle w:val="Hipervnculo"/>
            <w:rFonts w:ascii="Candara" w:hAnsi="Candara"/>
            <w:noProof/>
            <w:color w:val="3B3838" w:themeColor="background2" w:themeShade="40"/>
          </w:rPr>
          <w:t>Programa 31. Acceso equitativo de vivienda urbana y rural</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288</w:t>
        </w:r>
        <w:r w:rsidR="008A0F27" w:rsidRPr="007B53C7">
          <w:rPr>
            <w:rFonts w:ascii="Candara" w:hAnsi="Candara"/>
            <w:noProof/>
            <w:webHidden/>
          </w:rPr>
          <w:fldChar w:fldCharType="end"/>
        </w:r>
      </w:hyperlink>
    </w:p>
    <w:p w14:paraId="19979BA1" w14:textId="33C968F3"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797" w:history="1">
        <w:r w:rsidR="008A0F27" w:rsidRPr="007B53C7">
          <w:rPr>
            <w:rStyle w:val="Hipervnculo"/>
            <w:rFonts w:ascii="Candara" w:hAnsi="Candara"/>
            <w:noProof/>
            <w:color w:val="3B3838" w:themeColor="background2" w:themeShade="40"/>
          </w:rPr>
          <w:t>Objetivo 5. Bogotá confía en su Gobierno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294</w:t>
        </w:r>
        <w:r w:rsidR="008A0F27" w:rsidRPr="007B53C7">
          <w:rPr>
            <w:rFonts w:ascii="Candara" w:hAnsi="Candara"/>
            <w:noProof/>
            <w:webHidden/>
          </w:rPr>
          <w:fldChar w:fldCharType="end"/>
        </w:r>
      </w:hyperlink>
    </w:p>
    <w:p w14:paraId="683A1D1E" w14:textId="3BF18F7D"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98" w:history="1">
        <w:r w:rsidR="008A0F27" w:rsidRPr="007B53C7">
          <w:rPr>
            <w:rStyle w:val="Hipervnculo"/>
            <w:rFonts w:ascii="Candara" w:hAnsi="Candara"/>
            <w:noProof/>
            <w:color w:val="3B3838" w:themeColor="background2" w:themeShade="40"/>
            <w:lang w:val="es-419"/>
          </w:rPr>
          <w:t>Estrategias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297</w:t>
        </w:r>
        <w:r w:rsidR="008A0F27" w:rsidRPr="007B53C7">
          <w:rPr>
            <w:rFonts w:ascii="Candara" w:hAnsi="Candara"/>
            <w:noProof/>
            <w:webHidden/>
          </w:rPr>
          <w:fldChar w:fldCharType="end"/>
        </w:r>
      </w:hyperlink>
    </w:p>
    <w:p w14:paraId="187BF97E" w14:textId="3DDE5171" w:rsidR="008A0F27" w:rsidRPr="007B53C7" w:rsidRDefault="00000000">
      <w:pPr>
        <w:pStyle w:val="TDC3"/>
        <w:tabs>
          <w:tab w:val="right" w:leader="dot" w:pos="9350"/>
        </w:tabs>
        <w:rPr>
          <w:rFonts w:ascii="Candara" w:eastAsiaTheme="minorEastAsia" w:hAnsi="Candara" w:cstheme="minorBidi"/>
          <w:noProof/>
          <w:kern w:val="2"/>
          <w:sz w:val="24"/>
          <w:szCs w:val="24"/>
          <w:lang w:eastAsia="es-CO"/>
          <w14:ligatures w14:val="standardContextual"/>
        </w:rPr>
      </w:pPr>
      <w:hyperlink w:anchor="_Toc165169799" w:history="1">
        <w:r w:rsidR="008A0F27" w:rsidRPr="007B53C7">
          <w:rPr>
            <w:rStyle w:val="Hipervnculo"/>
            <w:rFonts w:ascii="Candara" w:hAnsi="Candara"/>
            <w:noProof/>
            <w:color w:val="3B3838" w:themeColor="background2" w:themeShade="40"/>
            <w:lang w:val="es-419"/>
          </w:rPr>
          <w:t>Programas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_Toc165169799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301</w:t>
        </w:r>
        <w:r w:rsidR="008A0F27" w:rsidRPr="007B53C7">
          <w:rPr>
            <w:rFonts w:ascii="Candara" w:hAnsi="Candara"/>
            <w:noProof/>
            <w:webHidden/>
          </w:rPr>
          <w:fldChar w:fldCharType="end"/>
        </w:r>
      </w:hyperlink>
    </w:p>
    <w:p w14:paraId="671F1855" w14:textId="01B2A40B"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0" w:history="1">
        <w:r w:rsidR="008A0F27" w:rsidRPr="007B53C7">
          <w:rPr>
            <w:rStyle w:val="Hipervnculo"/>
            <w:rFonts w:ascii="Candara" w:hAnsi="Candara"/>
            <w:noProof/>
            <w:color w:val="3B3838" w:themeColor="background2" w:themeShade="40"/>
          </w:rPr>
          <w:t>Programa 32: Gobierno abierto, íntegro, transparente y corresponsable</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301</w:t>
        </w:r>
        <w:r w:rsidR="008A0F27" w:rsidRPr="007B53C7">
          <w:rPr>
            <w:rFonts w:ascii="Candara" w:hAnsi="Candara"/>
            <w:noProof/>
            <w:webHidden/>
          </w:rPr>
          <w:fldChar w:fldCharType="end"/>
        </w:r>
      </w:hyperlink>
    </w:p>
    <w:p w14:paraId="2EF5729C" w14:textId="24E20CA2"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1" w:history="1">
        <w:r w:rsidR="008A0F27" w:rsidRPr="007B53C7">
          <w:rPr>
            <w:rStyle w:val="Hipervnculo"/>
            <w:rFonts w:ascii="Candara" w:hAnsi="Candara"/>
            <w:noProof/>
            <w:color w:val="3B3838" w:themeColor="background2" w:themeShade="40"/>
          </w:rPr>
          <w:t xml:space="preserve">Programa 33: Fortalecimiento institucional </w:t>
        </w:r>
        <w:r w:rsidR="008A0F27" w:rsidRPr="007B53C7">
          <w:rPr>
            <w:rStyle w:val="Hipervnculo"/>
            <w:rFonts w:ascii="Candara" w:hAnsi="Candara"/>
            <w:bCs/>
            <w:noProof/>
            <w:color w:val="3B3838" w:themeColor="background2" w:themeShade="40"/>
          </w:rPr>
          <w:t>para un gobierno confiable</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_Toc165169801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310</w:t>
        </w:r>
        <w:r w:rsidR="008A0F27" w:rsidRPr="007B53C7">
          <w:rPr>
            <w:rFonts w:ascii="Candara" w:hAnsi="Candara"/>
            <w:noProof/>
            <w:webHidden/>
          </w:rPr>
          <w:fldChar w:fldCharType="end"/>
        </w:r>
      </w:hyperlink>
    </w:p>
    <w:p w14:paraId="193A9C92" w14:textId="445CDF43"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2" w:history="1">
        <w:r w:rsidR="008A0F27" w:rsidRPr="007B53C7">
          <w:rPr>
            <w:rStyle w:val="Hipervnculo"/>
            <w:rFonts w:ascii="Candara" w:hAnsi="Candara"/>
            <w:noProof/>
            <w:color w:val="3B3838" w:themeColor="background2" w:themeShade="40"/>
          </w:rPr>
          <w:t>Programa 34: Talento Humano unido por la ciudadanía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_Toc165169802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318</w:t>
        </w:r>
        <w:r w:rsidR="008A0F27" w:rsidRPr="007B53C7">
          <w:rPr>
            <w:rFonts w:ascii="Candara" w:hAnsi="Candara"/>
            <w:noProof/>
            <w:webHidden/>
          </w:rPr>
          <w:fldChar w:fldCharType="end"/>
        </w:r>
      </w:hyperlink>
    </w:p>
    <w:p w14:paraId="789554F8" w14:textId="74CDD845"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3" w:history="1">
        <w:r w:rsidR="008A0F27" w:rsidRPr="007B53C7">
          <w:rPr>
            <w:rStyle w:val="Hipervnculo"/>
            <w:rFonts w:ascii="Candara" w:hAnsi="Candara"/>
            <w:noProof/>
            <w:color w:val="3B3838" w:themeColor="background2" w:themeShade="40"/>
          </w:rPr>
          <w:t>Programa 35: Bogotá Ciudad Inteligente</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323</w:t>
        </w:r>
        <w:r w:rsidR="008A0F27" w:rsidRPr="007B53C7">
          <w:rPr>
            <w:rFonts w:ascii="Candara" w:hAnsi="Candara"/>
            <w:noProof/>
            <w:webHidden/>
          </w:rPr>
          <w:fldChar w:fldCharType="end"/>
        </w:r>
      </w:hyperlink>
    </w:p>
    <w:p w14:paraId="13E99652" w14:textId="3F953B9C"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4" w:history="1">
        <w:r w:rsidR="008A0F27" w:rsidRPr="007B53C7">
          <w:rPr>
            <w:rStyle w:val="Hipervnculo"/>
            <w:rFonts w:ascii="Candara" w:hAnsi="Candara"/>
            <w:noProof/>
            <w:color w:val="3B3838" w:themeColor="background2" w:themeShade="40"/>
          </w:rPr>
          <w:t>Programa 36: Innovación Pública para la generación de la confianza ciudadana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329</w:t>
        </w:r>
        <w:r w:rsidR="008A0F27" w:rsidRPr="007B53C7">
          <w:rPr>
            <w:rFonts w:ascii="Candara" w:hAnsi="Candara"/>
            <w:noProof/>
            <w:webHidden/>
          </w:rPr>
          <w:fldChar w:fldCharType="end"/>
        </w:r>
      </w:hyperlink>
    </w:p>
    <w:p w14:paraId="033894BF" w14:textId="74F08026"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5" w:history="1">
        <w:r w:rsidR="008A0F27" w:rsidRPr="007B53C7">
          <w:rPr>
            <w:rStyle w:val="Hipervnculo"/>
            <w:rFonts w:ascii="Candara" w:hAnsi="Candara"/>
            <w:noProof/>
            <w:color w:val="3B3838" w:themeColor="background2" w:themeShade="40"/>
          </w:rPr>
          <w:t>Programa 37: Construyendo Confianza con la Región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333</w:t>
        </w:r>
        <w:r w:rsidR="008A0F27" w:rsidRPr="007B53C7">
          <w:rPr>
            <w:rFonts w:ascii="Candara" w:hAnsi="Candara"/>
            <w:noProof/>
            <w:webHidden/>
          </w:rPr>
          <w:fldChar w:fldCharType="end"/>
        </w:r>
      </w:hyperlink>
    </w:p>
    <w:p w14:paraId="2CAF0568" w14:textId="13F4C6CB"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6" w:history="1">
        <w:r w:rsidR="008A0F27" w:rsidRPr="007B53C7">
          <w:rPr>
            <w:rStyle w:val="Hipervnculo"/>
            <w:rFonts w:ascii="Candara" w:hAnsi="Candara"/>
            <w:noProof/>
            <w:color w:val="3B3838" w:themeColor="background2" w:themeShade="40"/>
          </w:rPr>
          <w:t>Programa 38: Gestión eficiente de los ingresos y gastos enfocados en la confianza ciudadana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339</w:t>
        </w:r>
        <w:r w:rsidR="008A0F27" w:rsidRPr="007B53C7">
          <w:rPr>
            <w:rFonts w:ascii="Candara" w:hAnsi="Candara"/>
            <w:noProof/>
            <w:webHidden/>
          </w:rPr>
          <w:fldChar w:fldCharType="end"/>
        </w:r>
      </w:hyperlink>
    </w:p>
    <w:p w14:paraId="516F2C17" w14:textId="7D0D25FC" w:rsidR="008A0F27" w:rsidRPr="007B53C7" w:rsidRDefault="00000000">
      <w:pPr>
        <w:pStyle w:val="TDC4"/>
        <w:tabs>
          <w:tab w:val="right" w:leader="dot" w:pos="9350"/>
        </w:tabs>
        <w:rPr>
          <w:rFonts w:ascii="Candara" w:eastAsiaTheme="minorEastAsia" w:hAnsi="Candara" w:cstheme="minorBidi"/>
          <w:noProof/>
          <w:kern w:val="2"/>
          <w:sz w:val="24"/>
          <w:szCs w:val="24"/>
          <w:lang w:eastAsia="es-CO"/>
          <w14:ligatures w14:val="standardContextual"/>
        </w:rPr>
      </w:pPr>
      <w:hyperlink w:anchor="_Toc165169807" w:history="1">
        <w:r w:rsidR="008A0F27" w:rsidRPr="007B53C7">
          <w:rPr>
            <w:rStyle w:val="Hipervnculo"/>
            <w:rFonts w:ascii="Candara" w:hAnsi="Candara"/>
            <w:noProof/>
            <w:color w:val="3B3838" w:themeColor="background2" w:themeShade="40"/>
          </w:rPr>
          <w:t>Programa 39: Camino hacia una democracia deliberativa con un gobierno cercano a la gente y con participación ciudadana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345</w:t>
        </w:r>
        <w:r w:rsidR="008A0F27" w:rsidRPr="007B53C7">
          <w:rPr>
            <w:rFonts w:ascii="Candara" w:hAnsi="Candara"/>
            <w:noProof/>
            <w:webHidden/>
          </w:rPr>
          <w:fldChar w:fldCharType="end"/>
        </w:r>
      </w:hyperlink>
    </w:p>
    <w:p w14:paraId="30FB5FE0" w14:textId="055D4DD9" w:rsidR="008A0F27" w:rsidRPr="007B53C7" w:rsidRDefault="00000000">
      <w:pPr>
        <w:pStyle w:val="TDC1"/>
        <w:tabs>
          <w:tab w:val="right" w:leader="dot" w:pos="9350"/>
        </w:tabs>
        <w:rPr>
          <w:rFonts w:ascii="Candara" w:eastAsiaTheme="minorEastAsia" w:hAnsi="Candara" w:cstheme="minorBidi"/>
          <w:b w:val="0"/>
          <w:bCs w:val="0"/>
          <w:caps w:val="0"/>
          <w:noProof/>
          <w:kern w:val="2"/>
          <w:lang w:eastAsia="es-CO"/>
          <w14:ligatures w14:val="standardContextual"/>
        </w:rPr>
      </w:pPr>
      <w:hyperlink w:anchor="_Toc165169808" w:history="1">
        <w:r w:rsidR="008A0F27" w:rsidRPr="007B53C7">
          <w:rPr>
            <w:rStyle w:val="Hipervnculo"/>
            <w:rFonts w:ascii="Candara" w:hAnsi="Candara"/>
            <w:noProof/>
            <w:color w:val="3B3838" w:themeColor="background2" w:themeShade="40"/>
            <w:lang w:eastAsia="en-US"/>
          </w:rPr>
          <w:t>IV. Metas Estratégicas y de Producto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359</w:t>
        </w:r>
        <w:r w:rsidR="008A0F27" w:rsidRPr="007B53C7">
          <w:rPr>
            <w:rFonts w:ascii="Candara" w:hAnsi="Candara"/>
            <w:noProof/>
            <w:webHidden/>
          </w:rPr>
          <w:fldChar w:fldCharType="end"/>
        </w:r>
      </w:hyperlink>
    </w:p>
    <w:p w14:paraId="3699CEF8" w14:textId="3A470883"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09" w:history="1">
        <w:r w:rsidR="008A0F27" w:rsidRPr="007B53C7">
          <w:rPr>
            <w:rStyle w:val="Hipervnculo"/>
            <w:rFonts w:ascii="Candara" w:hAnsi="Candara"/>
            <w:noProof/>
            <w:color w:val="3B3838" w:themeColor="background2" w:themeShade="40"/>
          </w:rPr>
          <w:t>Metas Estratégicas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_Toc165169809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359</w:t>
        </w:r>
        <w:r w:rsidR="008A0F27" w:rsidRPr="007B53C7">
          <w:rPr>
            <w:rFonts w:ascii="Candara" w:hAnsi="Candara"/>
            <w:noProof/>
            <w:webHidden/>
          </w:rPr>
          <w:fldChar w:fldCharType="end"/>
        </w:r>
      </w:hyperlink>
    </w:p>
    <w:p w14:paraId="45A5DB95" w14:textId="72328C22"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10" w:history="1">
        <w:r w:rsidR="008A0F27" w:rsidRPr="007B53C7">
          <w:rPr>
            <w:rStyle w:val="Hipervnculo"/>
            <w:rFonts w:ascii="Candara" w:hAnsi="Candara"/>
            <w:noProof/>
            <w:color w:val="3B3838" w:themeColor="background2" w:themeShade="40"/>
          </w:rPr>
          <w:t>Metas de Producto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_Toc165169810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370</w:t>
        </w:r>
        <w:r w:rsidR="008A0F27" w:rsidRPr="007B53C7">
          <w:rPr>
            <w:rFonts w:ascii="Candara" w:hAnsi="Candara"/>
            <w:noProof/>
            <w:webHidden/>
          </w:rPr>
          <w:fldChar w:fldCharType="end"/>
        </w:r>
      </w:hyperlink>
    </w:p>
    <w:p w14:paraId="06E5B4A8" w14:textId="0AD2F111" w:rsidR="008A0F27" w:rsidRPr="007B53C7" w:rsidRDefault="00000000">
      <w:pPr>
        <w:pStyle w:val="TDC1"/>
        <w:tabs>
          <w:tab w:val="right" w:leader="dot" w:pos="9350"/>
        </w:tabs>
        <w:rPr>
          <w:rFonts w:ascii="Candara" w:eastAsiaTheme="minorEastAsia" w:hAnsi="Candara" w:cstheme="minorBidi"/>
          <w:b w:val="0"/>
          <w:bCs w:val="0"/>
          <w:caps w:val="0"/>
          <w:noProof/>
          <w:kern w:val="2"/>
          <w:lang w:eastAsia="es-CO"/>
          <w14:ligatures w14:val="standardContextual"/>
        </w:rPr>
      </w:pPr>
      <w:hyperlink w:anchor="_Toc165169811" w:history="1">
        <w:r w:rsidR="008A0F27" w:rsidRPr="007B53C7">
          <w:rPr>
            <w:rStyle w:val="Hipervnculo"/>
            <w:rFonts w:ascii="Candara" w:hAnsi="Candara"/>
            <w:noProof/>
            <w:color w:val="3B3838" w:themeColor="background2" w:themeShade="40"/>
            <w:lang w:eastAsia="en-US"/>
          </w:rPr>
          <w:t>V. El Plan y su relación con otros Instrumentos de Planeación</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_Toc165169811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457</w:t>
        </w:r>
        <w:r w:rsidR="008A0F27" w:rsidRPr="007B53C7">
          <w:rPr>
            <w:rFonts w:ascii="Candara" w:hAnsi="Candara"/>
            <w:noProof/>
            <w:webHidden/>
          </w:rPr>
          <w:fldChar w:fldCharType="end"/>
        </w:r>
      </w:hyperlink>
    </w:p>
    <w:p w14:paraId="3550361F" w14:textId="3E620B28"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12" w:history="1">
        <w:r w:rsidR="008A0F27" w:rsidRPr="007B53C7">
          <w:rPr>
            <w:rStyle w:val="Hipervnculo"/>
            <w:rFonts w:ascii="Candara" w:hAnsi="Candara"/>
            <w:noProof/>
            <w:color w:val="3B3838" w:themeColor="background2" w:themeShade="40"/>
          </w:rPr>
          <w:t>El Plan y el POT</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_Toc165169812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457</w:t>
        </w:r>
        <w:r w:rsidR="008A0F27" w:rsidRPr="007B53C7">
          <w:rPr>
            <w:rFonts w:ascii="Candara" w:hAnsi="Candara"/>
            <w:noProof/>
            <w:webHidden/>
          </w:rPr>
          <w:fldChar w:fldCharType="end"/>
        </w:r>
      </w:hyperlink>
    </w:p>
    <w:p w14:paraId="613919BA" w14:textId="5130F142"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13" w:history="1">
        <w:r w:rsidR="008A0F27" w:rsidRPr="007B53C7">
          <w:rPr>
            <w:rStyle w:val="Hipervnculo"/>
            <w:rFonts w:ascii="Candara" w:hAnsi="Candara"/>
            <w:noProof/>
            <w:color w:val="3B3838" w:themeColor="background2" w:themeShade="40"/>
          </w:rPr>
          <w:t>El Plan y las Políticas Públicas Distritales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_Toc165169813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500</w:t>
        </w:r>
        <w:r w:rsidR="008A0F27" w:rsidRPr="007B53C7">
          <w:rPr>
            <w:rFonts w:ascii="Candara" w:hAnsi="Candara"/>
            <w:noProof/>
            <w:webHidden/>
          </w:rPr>
          <w:fldChar w:fldCharType="end"/>
        </w:r>
      </w:hyperlink>
    </w:p>
    <w:p w14:paraId="669CE5EF" w14:textId="03809DF9"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14" w:history="1">
        <w:r w:rsidR="008A0F27" w:rsidRPr="007B53C7">
          <w:rPr>
            <w:rStyle w:val="Hipervnculo"/>
            <w:rFonts w:ascii="Candara" w:hAnsi="Candara"/>
            <w:noProof/>
            <w:color w:val="3B3838" w:themeColor="background2" w:themeShade="40"/>
          </w:rPr>
          <w:t>El Plan y el Programa de Gobierno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_Toc165169814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506</w:t>
        </w:r>
        <w:r w:rsidR="008A0F27" w:rsidRPr="007B53C7">
          <w:rPr>
            <w:rFonts w:ascii="Candara" w:hAnsi="Candara"/>
            <w:noProof/>
            <w:webHidden/>
          </w:rPr>
          <w:fldChar w:fldCharType="end"/>
        </w:r>
      </w:hyperlink>
    </w:p>
    <w:p w14:paraId="2C2DFB36" w14:textId="3DAF75A5"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15" w:history="1">
        <w:r w:rsidR="008A0F27" w:rsidRPr="007B53C7">
          <w:rPr>
            <w:rStyle w:val="Hipervnculo"/>
            <w:rFonts w:ascii="Candara" w:hAnsi="Candara"/>
            <w:noProof/>
            <w:color w:val="3B3838" w:themeColor="background2" w:themeShade="40"/>
          </w:rPr>
          <w:t>El Plan y el Plan Nacional de Desarrollo</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_Toc165169815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512</w:t>
        </w:r>
        <w:r w:rsidR="008A0F27" w:rsidRPr="007B53C7">
          <w:rPr>
            <w:rFonts w:ascii="Candara" w:hAnsi="Candara"/>
            <w:noProof/>
            <w:webHidden/>
          </w:rPr>
          <w:fldChar w:fldCharType="end"/>
        </w:r>
      </w:hyperlink>
    </w:p>
    <w:p w14:paraId="7B0B03FB" w14:textId="5008FFD8" w:rsidR="008A0F27" w:rsidRPr="007B53C7" w:rsidRDefault="00000000">
      <w:pPr>
        <w:pStyle w:val="TDC2"/>
        <w:tabs>
          <w:tab w:val="right" w:leader="dot" w:pos="9350"/>
        </w:tabs>
        <w:rPr>
          <w:rFonts w:ascii="Candara" w:eastAsiaTheme="minorEastAsia" w:hAnsi="Candara" w:cstheme="minorBidi"/>
          <w:b w:val="0"/>
          <w:bCs w:val="0"/>
          <w:noProof/>
          <w:kern w:val="2"/>
          <w:sz w:val="24"/>
          <w:szCs w:val="24"/>
          <w:lang w:eastAsia="es-CO"/>
          <w14:ligatures w14:val="standardContextual"/>
        </w:rPr>
      </w:pPr>
      <w:hyperlink w:anchor="_Toc165169816" w:history="1">
        <w:r w:rsidR="008A0F27" w:rsidRPr="007B53C7">
          <w:rPr>
            <w:rStyle w:val="Hipervnculo"/>
            <w:rFonts w:ascii="Candara" w:hAnsi="Candara"/>
            <w:noProof/>
            <w:color w:val="3B3838" w:themeColor="background2" w:themeShade="40"/>
          </w:rPr>
          <w:t>Inversiones con cargo al Sistema  General de Regalías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_Toc165169816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518</w:t>
        </w:r>
        <w:r w:rsidR="008A0F27" w:rsidRPr="007B53C7">
          <w:rPr>
            <w:rFonts w:ascii="Candara" w:hAnsi="Candara"/>
            <w:noProof/>
            <w:webHidden/>
          </w:rPr>
          <w:fldChar w:fldCharType="end"/>
        </w:r>
      </w:hyperlink>
    </w:p>
    <w:p w14:paraId="70A4AB51" w14:textId="6CE9FA37" w:rsidR="008A0F27" w:rsidRPr="007B53C7" w:rsidRDefault="00000000">
      <w:pPr>
        <w:pStyle w:val="TDC1"/>
        <w:tabs>
          <w:tab w:val="right" w:leader="dot" w:pos="9350"/>
        </w:tabs>
        <w:rPr>
          <w:rFonts w:ascii="Candara" w:eastAsiaTheme="minorEastAsia" w:hAnsi="Candara" w:cstheme="minorBidi"/>
          <w:b w:val="0"/>
          <w:bCs w:val="0"/>
          <w:caps w:val="0"/>
          <w:noProof/>
          <w:kern w:val="2"/>
          <w:lang w:eastAsia="es-CO"/>
          <w14:ligatures w14:val="standardContextual"/>
        </w:rPr>
      </w:pPr>
      <w:hyperlink w:anchor="_Toc165169817" w:history="1">
        <w:r w:rsidR="008A0F27" w:rsidRPr="007B53C7">
          <w:rPr>
            <w:rStyle w:val="Hipervnculo"/>
            <w:rFonts w:ascii="Candara" w:hAnsi="Candara"/>
            <w:noProof/>
            <w:color w:val="3B3838" w:themeColor="background2" w:themeShade="40"/>
            <w:lang w:eastAsia="en-US"/>
          </w:rPr>
          <w:t>VI. Anexos</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_Toc165169817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534</w:t>
        </w:r>
        <w:r w:rsidR="008A0F27" w:rsidRPr="007B53C7">
          <w:rPr>
            <w:rFonts w:ascii="Candara" w:hAnsi="Candara"/>
            <w:noProof/>
            <w:webHidden/>
          </w:rPr>
          <w:fldChar w:fldCharType="end"/>
        </w:r>
      </w:hyperlink>
    </w:p>
    <w:p w14:paraId="784D3B6F" w14:textId="5C8C57C1" w:rsidR="008A0F27" w:rsidRPr="007B53C7" w:rsidRDefault="00000000">
      <w:pPr>
        <w:pStyle w:val="TDC1"/>
        <w:tabs>
          <w:tab w:val="right" w:leader="dot" w:pos="9350"/>
        </w:tabs>
        <w:rPr>
          <w:rFonts w:ascii="Candara" w:eastAsiaTheme="minorEastAsia" w:hAnsi="Candara" w:cstheme="minorBidi"/>
          <w:b w:val="0"/>
          <w:bCs w:val="0"/>
          <w:caps w:val="0"/>
          <w:noProof/>
          <w:kern w:val="2"/>
          <w:lang w:eastAsia="es-CO"/>
          <w14:ligatures w14:val="standardContextual"/>
        </w:rPr>
      </w:pPr>
      <w:hyperlink w:anchor="_Toc165169818" w:history="1">
        <w:r w:rsidR="008A0F27" w:rsidRPr="007B53C7">
          <w:rPr>
            <w:rStyle w:val="Hipervnculo"/>
            <w:rFonts w:ascii="Candara" w:hAnsi="Candara"/>
            <w:noProof/>
            <w:color w:val="3B3838" w:themeColor="background2" w:themeShade="40"/>
            <w:lang w:eastAsia="en-US"/>
          </w:rPr>
          <w:t>VII. Bibliografía</w:t>
        </w:r>
        <w:r w:rsidR="008A0F27" w:rsidRPr="007B53C7">
          <w:rPr>
            <w:rFonts w:ascii="Candara" w:hAnsi="Candara"/>
            <w:noProof/>
            <w:webHidden/>
          </w:rPr>
          <w:tab/>
        </w:r>
        <w:r w:rsidR="008A0F27" w:rsidRPr="007B53C7">
          <w:rPr>
            <w:rFonts w:ascii="Candara" w:hAnsi="Candara"/>
            <w:noProof/>
            <w:webHidden/>
          </w:rPr>
          <w:fldChar w:fldCharType="begin"/>
        </w:r>
        <w:r w:rsidR="008A0F27" w:rsidRPr="007B53C7">
          <w:rPr>
            <w:rFonts w:ascii="Candara" w:hAnsi="Candara"/>
            <w:noProof/>
            <w:webHidden/>
          </w:rPr>
          <w:instrText xml:space="preserve"> PAGEREF _Toc165169818 \h </w:instrText>
        </w:r>
        <w:r w:rsidR="008A0F27" w:rsidRPr="007B53C7">
          <w:rPr>
            <w:rFonts w:ascii="Candara" w:hAnsi="Candara"/>
            <w:noProof/>
            <w:webHidden/>
          </w:rPr>
        </w:r>
        <w:r w:rsidR="008A0F27" w:rsidRPr="007B53C7">
          <w:rPr>
            <w:rFonts w:ascii="Candara" w:hAnsi="Candara"/>
            <w:noProof/>
            <w:webHidden/>
          </w:rPr>
          <w:fldChar w:fldCharType="separate"/>
        </w:r>
        <w:r w:rsidR="00D01651">
          <w:rPr>
            <w:rFonts w:ascii="Candara" w:hAnsi="Candara"/>
            <w:noProof/>
            <w:webHidden/>
          </w:rPr>
          <w:t>536</w:t>
        </w:r>
        <w:r w:rsidR="008A0F27" w:rsidRPr="007B53C7">
          <w:rPr>
            <w:rFonts w:ascii="Candara" w:hAnsi="Candara"/>
            <w:noProof/>
            <w:webHidden/>
          </w:rPr>
          <w:fldChar w:fldCharType="end"/>
        </w:r>
      </w:hyperlink>
    </w:p>
    <w:p w14:paraId="015E643D" w14:textId="45EDF8A6" w:rsidR="00874511" w:rsidRPr="00874511" w:rsidRDefault="00874511">
      <w:pPr>
        <w:spacing w:line="240" w:lineRule="auto"/>
        <w:jc w:val="left"/>
        <w:rPr>
          <w:b/>
          <w:bCs/>
          <w:color w:val="C00000"/>
          <w:sz w:val="28"/>
          <w:szCs w:val="32"/>
        </w:rPr>
      </w:pPr>
      <w:r w:rsidRPr="007B53C7">
        <w:rPr>
          <w:b/>
          <w:bCs/>
          <w:sz w:val="28"/>
          <w:szCs w:val="32"/>
        </w:rPr>
        <w:fldChar w:fldCharType="end"/>
      </w:r>
    </w:p>
    <w:p w14:paraId="3EBA935E" w14:textId="77777777" w:rsidR="00CF2725" w:rsidRDefault="00CF2725" w:rsidP="00CF2725">
      <w:pPr>
        <w:spacing w:line="240" w:lineRule="auto"/>
        <w:jc w:val="left"/>
        <w:rPr>
          <w:b/>
          <w:bCs/>
          <w:color w:val="C00000"/>
          <w:sz w:val="28"/>
          <w:szCs w:val="32"/>
        </w:rPr>
      </w:pPr>
    </w:p>
    <w:p w14:paraId="43E4ABA5" w14:textId="4D585722" w:rsidR="00CF2725" w:rsidRDefault="00CF2725" w:rsidP="00CF2725">
      <w:pPr>
        <w:spacing w:line="240" w:lineRule="auto"/>
        <w:jc w:val="left"/>
        <w:rPr>
          <w:b/>
          <w:bCs/>
          <w:color w:val="C00000"/>
          <w:sz w:val="28"/>
          <w:szCs w:val="32"/>
        </w:rPr>
      </w:pPr>
      <w:r>
        <w:rPr>
          <w:b/>
          <w:bCs/>
          <w:color w:val="C00000"/>
          <w:sz w:val="28"/>
          <w:szCs w:val="32"/>
        </w:rPr>
        <w:t>Índice</w:t>
      </w:r>
      <w:r w:rsidRPr="00874511">
        <w:rPr>
          <w:b/>
          <w:bCs/>
          <w:color w:val="C00000"/>
          <w:sz w:val="28"/>
          <w:szCs w:val="32"/>
        </w:rPr>
        <w:t xml:space="preserve"> de </w:t>
      </w:r>
      <w:r>
        <w:rPr>
          <w:b/>
          <w:bCs/>
          <w:color w:val="C00000"/>
          <w:sz w:val="28"/>
          <w:szCs w:val="32"/>
        </w:rPr>
        <w:t>Gráficas</w:t>
      </w:r>
    </w:p>
    <w:p w14:paraId="2746ECAA" w14:textId="77777777" w:rsidR="00CF2725" w:rsidRDefault="00CF2725" w:rsidP="00CF2725">
      <w:pPr>
        <w:spacing w:line="240" w:lineRule="auto"/>
        <w:jc w:val="left"/>
        <w:rPr>
          <w:b/>
          <w:bCs/>
          <w:color w:val="C00000"/>
          <w:sz w:val="28"/>
          <w:szCs w:val="32"/>
        </w:rPr>
      </w:pPr>
    </w:p>
    <w:p w14:paraId="1BC0BB9C" w14:textId="22ABDC77" w:rsidR="00CF2725" w:rsidRPr="007B53C7" w:rsidRDefault="00CF2725">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r w:rsidRPr="007B53C7">
        <w:rPr>
          <w:rFonts w:ascii="Candara" w:hAnsi="Candara"/>
          <w:b/>
          <w:bCs/>
          <w:color w:val="3B3838" w:themeColor="background2" w:themeShade="40"/>
        </w:rPr>
        <w:fldChar w:fldCharType="begin"/>
      </w:r>
      <w:r w:rsidRPr="007B53C7">
        <w:rPr>
          <w:rFonts w:ascii="Candara" w:hAnsi="Candara"/>
          <w:b/>
          <w:bCs/>
          <w:color w:val="3B3838" w:themeColor="background2" w:themeShade="40"/>
        </w:rPr>
        <w:instrText xml:space="preserve"> TOC \h \z \c "Gráfica" </w:instrText>
      </w:r>
      <w:r w:rsidRPr="007B53C7">
        <w:rPr>
          <w:rFonts w:ascii="Candara" w:hAnsi="Candara"/>
          <w:b/>
          <w:bCs/>
          <w:color w:val="3B3838" w:themeColor="background2" w:themeShade="40"/>
        </w:rPr>
        <w:fldChar w:fldCharType="separate"/>
      </w:r>
      <w:hyperlink w:anchor="_Toc165169827" w:history="1">
        <w:r w:rsidRPr="007B53C7">
          <w:rPr>
            <w:rStyle w:val="Hipervnculo"/>
            <w:rFonts w:ascii="Candara" w:hAnsi="Candara"/>
            <w:noProof/>
            <w:color w:val="3B3838" w:themeColor="background2" w:themeShade="40"/>
          </w:rPr>
          <w:t>Gráfica 1. Proyección de población para Bogotá</w:t>
        </w:r>
        <w:r w:rsidRPr="007B53C7">
          <w:rPr>
            <w:rFonts w:ascii="Candara" w:hAnsi="Candara"/>
            <w:noProof/>
            <w:webHidden/>
            <w:color w:val="3B3838" w:themeColor="background2" w:themeShade="40"/>
          </w:rPr>
          <w:tab/>
        </w:r>
        <w:r w:rsidRPr="007B53C7">
          <w:rPr>
            <w:rFonts w:ascii="Candara" w:hAnsi="Candara"/>
            <w:noProof/>
            <w:webHidden/>
            <w:color w:val="3B3838" w:themeColor="background2" w:themeShade="40"/>
          </w:rPr>
          <w:fldChar w:fldCharType="begin"/>
        </w:r>
        <w:r w:rsidRPr="007B53C7">
          <w:rPr>
            <w:rFonts w:ascii="Candara" w:hAnsi="Candara"/>
            <w:noProof/>
            <w:webHidden/>
            <w:color w:val="3B3838" w:themeColor="background2" w:themeShade="40"/>
          </w:rPr>
          <w:instrText xml:space="preserve"> PAGEREF _Toc165169827 \h </w:instrText>
        </w:r>
        <w:r w:rsidRPr="007B53C7">
          <w:rPr>
            <w:rFonts w:ascii="Candara" w:hAnsi="Candara"/>
            <w:noProof/>
            <w:webHidden/>
            <w:color w:val="3B3838" w:themeColor="background2" w:themeShade="40"/>
          </w:rPr>
        </w:r>
        <w:r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w:t>
        </w:r>
        <w:r w:rsidRPr="007B53C7">
          <w:rPr>
            <w:rFonts w:ascii="Candara" w:hAnsi="Candara"/>
            <w:noProof/>
            <w:webHidden/>
            <w:color w:val="3B3838" w:themeColor="background2" w:themeShade="40"/>
          </w:rPr>
          <w:fldChar w:fldCharType="end"/>
        </w:r>
      </w:hyperlink>
    </w:p>
    <w:p w14:paraId="4BEA12A8" w14:textId="3D8001C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28" w:history="1">
        <w:r w:rsidR="00CF2725" w:rsidRPr="007B53C7">
          <w:rPr>
            <w:rStyle w:val="Hipervnculo"/>
            <w:rFonts w:ascii="Candara" w:hAnsi="Candara"/>
            <w:noProof/>
            <w:color w:val="3B3838" w:themeColor="background2" w:themeShade="40"/>
          </w:rPr>
          <w:t>Gráfica 2. Pirámide poblacional para Bogotá 2024-2035</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_Toc165169828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10</w:t>
        </w:r>
        <w:r w:rsidR="00CF2725" w:rsidRPr="007B53C7">
          <w:rPr>
            <w:rFonts w:ascii="Candara" w:hAnsi="Candara"/>
            <w:noProof/>
            <w:webHidden/>
            <w:color w:val="3B3838" w:themeColor="background2" w:themeShade="40"/>
          </w:rPr>
          <w:fldChar w:fldCharType="end"/>
        </w:r>
      </w:hyperlink>
    </w:p>
    <w:p w14:paraId="6DDA9FB4" w14:textId="4AE489F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29" w:history="1">
        <w:r w:rsidR="00CF2725" w:rsidRPr="007B53C7">
          <w:rPr>
            <w:rStyle w:val="Hipervnculo"/>
            <w:rFonts w:ascii="Candara" w:hAnsi="Candara"/>
            <w:noProof/>
            <w:color w:val="3B3838" w:themeColor="background2" w:themeShade="40"/>
          </w:rPr>
          <w:t>Gráfica 3. Tasa global de fecundidad en Bogotá 2005-2022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_Toc165169829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10</w:t>
        </w:r>
        <w:r w:rsidR="00CF2725" w:rsidRPr="007B53C7">
          <w:rPr>
            <w:rFonts w:ascii="Candara" w:hAnsi="Candara"/>
            <w:noProof/>
            <w:webHidden/>
            <w:color w:val="3B3838" w:themeColor="background2" w:themeShade="40"/>
          </w:rPr>
          <w:fldChar w:fldCharType="end"/>
        </w:r>
      </w:hyperlink>
    </w:p>
    <w:p w14:paraId="772DB313" w14:textId="134BA65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0" w:history="1">
        <w:r w:rsidR="00CF2725" w:rsidRPr="007B53C7">
          <w:rPr>
            <w:rStyle w:val="Hipervnculo"/>
            <w:rFonts w:ascii="Candara" w:hAnsi="Candara"/>
            <w:noProof/>
            <w:color w:val="3B3838" w:themeColor="background2" w:themeShade="40"/>
          </w:rPr>
          <w:t>Gráfica 4. Tasa de crecimiento poblacional anual 2021-2035</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11</w:t>
        </w:r>
        <w:r w:rsidR="00CF2725" w:rsidRPr="007B53C7">
          <w:rPr>
            <w:rFonts w:ascii="Candara" w:hAnsi="Candara"/>
            <w:noProof/>
            <w:webHidden/>
            <w:color w:val="3B3838" w:themeColor="background2" w:themeShade="40"/>
          </w:rPr>
          <w:fldChar w:fldCharType="end"/>
        </w:r>
      </w:hyperlink>
    </w:p>
    <w:p w14:paraId="2F3BD551" w14:textId="3425479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1" w:history="1">
        <w:r w:rsidR="00CF2725" w:rsidRPr="007B53C7">
          <w:rPr>
            <w:rStyle w:val="Hipervnculo"/>
            <w:rFonts w:ascii="Candara" w:hAnsi="Candara"/>
            <w:noProof/>
            <w:color w:val="3B3838" w:themeColor="background2" w:themeShade="40"/>
          </w:rPr>
          <w:t>Gráfica 5. Calificación promedio de satisfacción con la vida general y otros aspectos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12</w:t>
        </w:r>
        <w:r w:rsidR="00CF2725" w:rsidRPr="007B53C7">
          <w:rPr>
            <w:rFonts w:ascii="Candara" w:hAnsi="Candara"/>
            <w:noProof/>
            <w:webHidden/>
            <w:color w:val="3B3838" w:themeColor="background2" w:themeShade="40"/>
          </w:rPr>
          <w:fldChar w:fldCharType="end"/>
        </w:r>
      </w:hyperlink>
    </w:p>
    <w:p w14:paraId="2573502E" w14:textId="068C315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2" w:history="1">
        <w:r w:rsidR="00CF2725" w:rsidRPr="007B53C7">
          <w:rPr>
            <w:rStyle w:val="Hipervnculo"/>
            <w:rFonts w:ascii="Candara" w:hAnsi="Candara"/>
            <w:noProof/>
            <w:color w:val="3B3838" w:themeColor="background2" w:themeShade="40"/>
          </w:rPr>
          <w:t>Gráfica 6.Comportamiento del PIB de Bogotá y Colombia (2019-2023)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13</w:t>
        </w:r>
        <w:r w:rsidR="00CF2725" w:rsidRPr="007B53C7">
          <w:rPr>
            <w:rFonts w:ascii="Candara" w:hAnsi="Candara"/>
            <w:noProof/>
            <w:webHidden/>
            <w:color w:val="3B3838" w:themeColor="background2" w:themeShade="40"/>
          </w:rPr>
          <w:fldChar w:fldCharType="end"/>
        </w:r>
      </w:hyperlink>
    </w:p>
    <w:p w14:paraId="53D7C0B0" w14:textId="5CFB18B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3" w:history="1">
        <w:r w:rsidR="00CF2725" w:rsidRPr="007B53C7">
          <w:rPr>
            <w:rStyle w:val="Hipervnculo"/>
            <w:rFonts w:ascii="Candara" w:hAnsi="Candara"/>
            <w:noProof/>
            <w:color w:val="3B3838" w:themeColor="background2" w:themeShade="40"/>
          </w:rPr>
          <w:t>Gráfica 7. Medidas de pobreza para Bogotá y Nación (2021 –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14</w:t>
        </w:r>
        <w:r w:rsidR="00CF2725" w:rsidRPr="007B53C7">
          <w:rPr>
            <w:rFonts w:ascii="Candara" w:hAnsi="Candara"/>
            <w:noProof/>
            <w:webHidden/>
            <w:color w:val="3B3838" w:themeColor="background2" w:themeShade="40"/>
          </w:rPr>
          <w:fldChar w:fldCharType="end"/>
        </w:r>
      </w:hyperlink>
    </w:p>
    <w:p w14:paraId="170800D3" w14:textId="5B92812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4" w:history="1">
        <w:r w:rsidR="00CF2725" w:rsidRPr="007B53C7">
          <w:rPr>
            <w:rStyle w:val="Hipervnculo"/>
            <w:rFonts w:ascii="Candara" w:hAnsi="Candara"/>
            <w:noProof/>
            <w:color w:val="3B3838" w:themeColor="background2" w:themeShade="40"/>
          </w:rPr>
          <w:t>Gráfica 8.Comportamiento de los indicadores de Empleo 2019 –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16</w:t>
        </w:r>
        <w:r w:rsidR="00CF2725" w:rsidRPr="007B53C7">
          <w:rPr>
            <w:rFonts w:ascii="Candara" w:hAnsi="Candara"/>
            <w:noProof/>
            <w:webHidden/>
            <w:color w:val="3B3838" w:themeColor="background2" w:themeShade="40"/>
          </w:rPr>
          <w:fldChar w:fldCharType="end"/>
        </w:r>
      </w:hyperlink>
    </w:p>
    <w:p w14:paraId="29144CCF" w14:textId="2A28AB8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5" w:history="1">
        <w:r w:rsidR="00CF2725" w:rsidRPr="007B53C7">
          <w:rPr>
            <w:rStyle w:val="Hipervnculo"/>
            <w:rFonts w:ascii="Candara" w:hAnsi="Candara"/>
            <w:noProof/>
            <w:color w:val="3B3838" w:themeColor="background2" w:themeShade="40"/>
          </w:rPr>
          <w:t xml:space="preserve">Gráfica 9. </w:t>
        </w:r>
        <w:r w:rsidR="00CF2725" w:rsidRPr="007B53C7">
          <w:rPr>
            <w:rStyle w:val="Hipervnculo"/>
            <w:rFonts w:ascii="Candara" w:hAnsi="Candara"/>
            <w:noProof/>
            <w:color w:val="3B3838" w:themeColor="background2" w:themeShade="40"/>
            <w:spacing w:val="-6"/>
          </w:rPr>
          <w:t>Personas agresoras - violencia psicológica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29</w:t>
        </w:r>
        <w:r w:rsidR="00CF2725" w:rsidRPr="007B53C7">
          <w:rPr>
            <w:rFonts w:ascii="Candara" w:hAnsi="Candara"/>
            <w:noProof/>
            <w:webHidden/>
            <w:color w:val="3B3838" w:themeColor="background2" w:themeShade="40"/>
          </w:rPr>
          <w:fldChar w:fldCharType="end"/>
        </w:r>
      </w:hyperlink>
    </w:p>
    <w:p w14:paraId="0AD376D9" w14:textId="232A8C1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6" w:history="1">
        <w:r w:rsidR="00CF2725" w:rsidRPr="007B53C7">
          <w:rPr>
            <w:rStyle w:val="Hipervnculo"/>
            <w:rFonts w:ascii="Candara" w:hAnsi="Candara"/>
            <w:noProof/>
            <w:color w:val="3B3838" w:themeColor="background2" w:themeShade="40"/>
          </w:rPr>
          <w:t xml:space="preserve">Gráfica 10. </w:t>
        </w:r>
        <w:r w:rsidR="00CF2725" w:rsidRPr="007B53C7">
          <w:rPr>
            <w:rStyle w:val="Hipervnculo"/>
            <w:rFonts w:ascii="Candara" w:hAnsi="Candara"/>
            <w:noProof/>
            <w:color w:val="3B3838" w:themeColor="background2" w:themeShade="40"/>
            <w:spacing w:val="-6"/>
          </w:rPr>
          <w:t>Mujeres víctimas de violencias física en los últimos dos años en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30</w:t>
        </w:r>
        <w:r w:rsidR="00CF2725" w:rsidRPr="007B53C7">
          <w:rPr>
            <w:rFonts w:ascii="Candara" w:hAnsi="Candara"/>
            <w:noProof/>
            <w:webHidden/>
            <w:color w:val="3B3838" w:themeColor="background2" w:themeShade="40"/>
          </w:rPr>
          <w:fldChar w:fldCharType="end"/>
        </w:r>
      </w:hyperlink>
    </w:p>
    <w:p w14:paraId="6D83078B" w14:textId="2DED1A6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7" w:history="1">
        <w:r w:rsidR="00CF2725" w:rsidRPr="007B53C7">
          <w:rPr>
            <w:rStyle w:val="Hipervnculo"/>
            <w:rFonts w:ascii="Candara" w:hAnsi="Candara"/>
            <w:noProof/>
            <w:color w:val="3B3838" w:themeColor="background2" w:themeShade="40"/>
          </w:rPr>
          <w:t>Gráfica 11.</w:t>
        </w:r>
        <w:r w:rsidR="00CF2725" w:rsidRPr="007B53C7">
          <w:rPr>
            <w:rStyle w:val="Hipervnculo"/>
            <w:rFonts w:ascii="Candara" w:hAnsi="Candara"/>
            <w:noProof/>
            <w:color w:val="3B3838" w:themeColor="background2" w:themeShade="40"/>
            <w:spacing w:val="-6"/>
          </w:rPr>
          <w:t xml:space="preserve"> Porcentaje de lugares de ocurrencia de acoso sexual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31</w:t>
        </w:r>
        <w:r w:rsidR="00CF2725" w:rsidRPr="007B53C7">
          <w:rPr>
            <w:rFonts w:ascii="Candara" w:hAnsi="Candara"/>
            <w:noProof/>
            <w:webHidden/>
            <w:color w:val="3B3838" w:themeColor="background2" w:themeShade="40"/>
          </w:rPr>
          <w:fldChar w:fldCharType="end"/>
        </w:r>
      </w:hyperlink>
    </w:p>
    <w:p w14:paraId="56C55FD9" w14:textId="2FB8922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8" w:history="1">
        <w:r w:rsidR="00CF2725" w:rsidRPr="007B53C7">
          <w:rPr>
            <w:rStyle w:val="Hipervnculo"/>
            <w:rFonts w:ascii="Candara" w:hAnsi="Candara"/>
            <w:noProof/>
            <w:color w:val="3B3838" w:themeColor="background2" w:themeShade="40"/>
          </w:rPr>
          <w:t xml:space="preserve">Gráfica 12. </w:t>
        </w:r>
        <w:r w:rsidR="00CF2725" w:rsidRPr="007B53C7">
          <w:rPr>
            <w:rStyle w:val="Hipervnculo"/>
            <w:rFonts w:ascii="Candara" w:hAnsi="Candara"/>
            <w:noProof/>
            <w:color w:val="3B3838" w:themeColor="background2" w:themeShade="40"/>
            <w:spacing w:val="-6"/>
          </w:rPr>
          <w:t>Persona Agresora para violencia económica y patrimonial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32</w:t>
        </w:r>
        <w:r w:rsidR="00CF2725" w:rsidRPr="007B53C7">
          <w:rPr>
            <w:rFonts w:ascii="Candara" w:hAnsi="Candara"/>
            <w:noProof/>
            <w:webHidden/>
            <w:color w:val="3B3838" w:themeColor="background2" w:themeShade="40"/>
          </w:rPr>
          <w:fldChar w:fldCharType="end"/>
        </w:r>
      </w:hyperlink>
    </w:p>
    <w:p w14:paraId="6CFAE783" w14:textId="4C94554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39" w:history="1">
        <w:r w:rsidR="00CF2725" w:rsidRPr="007B53C7">
          <w:rPr>
            <w:rStyle w:val="Hipervnculo"/>
            <w:rFonts w:ascii="Candara" w:hAnsi="Candara"/>
            <w:noProof/>
            <w:color w:val="3B3838" w:themeColor="background2" w:themeShade="40"/>
          </w:rPr>
          <w:t xml:space="preserve">Gráfica 13. </w:t>
        </w:r>
        <w:r w:rsidR="00CF2725" w:rsidRPr="007B53C7">
          <w:rPr>
            <w:rStyle w:val="Hipervnculo"/>
            <w:rFonts w:ascii="Candara" w:hAnsi="Candara"/>
            <w:noProof/>
            <w:color w:val="3B3838" w:themeColor="background2" w:themeShade="40"/>
            <w:spacing w:val="-6"/>
          </w:rPr>
          <w:t>Tasa de dependencia por localidad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_Toc165169839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34</w:t>
        </w:r>
        <w:r w:rsidR="00CF2725" w:rsidRPr="007B53C7">
          <w:rPr>
            <w:rFonts w:ascii="Candara" w:hAnsi="Candara"/>
            <w:noProof/>
            <w:webHidden/>
            <w:color w:val="3B3838" w:themeColor="background2" w:themeShade="40"/>
          </w:rPr>
          <w:fldChar w:fldCharType="end"/>
        </w:r>
      </w:hyperlink>
    </w:p>
    <w:p w14:paraId="70908B11" w14:textId="5B56876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0" w:history="1">
        <w:r w:rsidR="00CF2725" w:rsidRPr="007B53C7">
          <w:rPr>
            <w:rStyle w:val="Hipervnculo"/>
            <w:rFonts w:ascii="Candara" w:hAnsi="Candara"/>
            <w:noProof/>
            <w:color w:val="3B3838" w:themeColor="background2" w:themeShade="40"/>
          </w:rPr>
          <w:t>Gráfica 14.</w:t>
        </w:r>
        <w:r w:rsidR="00CF2725" w:rsidRPr="007B53C7">
          <w:rPr>
            <w:rStyle w:val="Hipervnculo"/>
            <w:rFonts w:ascii="Candara" w:eastAsia="Arial" w:hAnsi="Candara" w:cs="Arial"/>
            <w:noProof/>
            <w:color w:val="3B3838" w:themeColor="background2" w:themeShade="40"/>
            <w:spacing w:val="-6"/>
            <w:highlight w:val="white"/>
            <w:lang w:eastAsia="es-MX"/>
          </w:rPr>
          <w:t xml:space="preserve"> </w:t>
        </w:r>
        <w:r w:rsidR="00CF2725" w:rsidRPr="007B53C7">
          <w:rPr>
            <w:rStyle w:val="Hipervnculo"/>
            <w:rFonts w:ascii="Candara" w:hAnsi="Candara"/>
            <w:noProof/>
            <w:color w:val="3B3838" w:themeColor="background2" w:themeShade="40"/>
            <w:spacing w:val="-6"/>
          </w:rPr>
          <w:t>Participación de las mujeres en instancias distritales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35</w:t>
        </w:r>
        <w:r w:rsidR="00CF2725" w:rsidRPr="007B53C7">
          <w:rPr>
            <w:rFonts w:ascii="Candara" w:hAnsi="Candara"/>
            <w:noProof/>
            <w:webHidden/>
            <w:color w:val="3B3838" w:themeColor="background2" w:themeShade="40"/>
          </w:rPr>
          <w:fldChar w:fldCharType="end"/>
        </w:r>
      </w:hyperlink>
    </w:p>
    <w:p w14:paraId="7433FC64" w14:textId="0BFBDCC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1" w:history="1">
        <w:r w:rsidR="00CF2725" w:rsidRPr="007B53C7">
          <w:rPr>
            <w:rStyle w:val="Hipervnculo"/>
            <w:rFonts w:ascii="Candara" w:hAnsi="Candara"/>
            <w:noProof/>
            <w:color w:val="3B3838" w:themeColor="background2" w:themeShade="40"/>
          </w:rPr>
          <w:t xml:space="preserve">Gráfica 15. </w:t>
        </w:r>
        <w:r w:rsidR="00CF2725" w:rsidRPr="007B53C7">
          <w:rPr>
            <w:rStyle w:val="Hipervnculo"/>
            <w:rFonts w:ascii="Candara" w:hAnsi="Candara" w:cs="Times New Roman (Cuerpo en alfa"/>
            <w:noProof/>
            <w:color w:val="3B3838" w:themeColor="background2" w:themeShade="40"/>
            <w:spacing w:val="-6"/>
          </w:rPr>
          <w:t>Tipo de tenencia de vivienda personas migrantes en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38</w:t>
        </w:r>
        <w:r w:rsidR="00CF2725" w:rsidRPr="007B53C7">
          <w:rPr>
            <w:rFonts w:ascii="Candara" w:hAnsi="Candara"/>
            <w:noProof/>
            <w:webHidden/>
            <w:color w:val="3B3838" w:themeColor="background2" w:themeShade="40"/>
          </w:rPr>
          <w:fldChar w:fldCharType="end"/>
        </w:r>
      </w:hyperlink>
    </w:p>
    <w:p w14:paraId="096673DB" w14:textId="33788B3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2" w:history="1">
        <w:r w:rsidR="00CF2725" w:rsidRPr="007B53C7">
          <w:rPr>
            <w:rStyle w:val="Hipervnculo"/>
            <w:rFonts w:ascii="Candara" w:hAnsi="Candara"/>
            <w:noProof/>
            <w:color w:val="3B3838" w:themeColor="background2" w:themeShade="40"/>
          </w:rPr>
          <w:t xml:space="preserve">Gráfica 16. </w:t>
        </w:r>
        <w:r w:rsidR="00CF2725" w:rsidRPr="007B53C7">
          <w:rPr>
            <w:rStyle w:val="Hipervnculo"/>
            <w:rFonts w:ascii="Candara" w:hAnsi="Candara"/>
            <w:noProof/>
            <w:color w:val="3B3838" w:themeColor="background2" w:themeShade="40"/>
            <w:spacing w:val="-6"/>
          </w:rPr>
          <w:t>Población mayor a 5 años con discapacidad, según máximo nivel educativo*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44</w:t>
        </w:r>
        <w:r w:rsidR="00CF2725" w:rsidRPr="007B53C7">
          <w:rPr>
            <w:rFonts w:ascii="Candara" w:hAnsi="Candara"/>
            <w:noProof/>
            <w:webHidden/>
            <w:color w:val="3B3838" w:themeColor="background2" w:themeShade="40"/>
          </w:rPr>
          <w:fldChar w:fldCharType="end"/>
        </w:r>
      </w:hyperlink>
    </w:p>
    <w:p w14:paraId="3A773ED9" w14:textId="2F9DD24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3" w:history="1">
        <w:r w:rsidR="00CF2725" w:rsidRPr="007B53C7">
          <w:rPr>
            <w:rStyle w:val="Hipervnculo"/>
            <w:rFonts w:ascii="Candara" w:hAnsi="Candara"/>
            <w:noProof/>
            <w:color w:val="3B3838" w:themeColor="background2" w:themeShade="40"/>
          </w:rPr>
          <w:t>Gráfica 17. Población con discapacidad, según afiliación a salud y el tipo de régimen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45</w:t>
        </w:r>
        <w:r w:rsidR="00CF2725" w:rsidRPr="007B53C7">
          <w:rPr>
            <w:rFonts w:ascii="Candara" w:hAnsi="Candara"/>
            <w:noProof/>
            <w:webHidden/>
            <w:color w:val="3B3838" w:themeColor="background2" w:themeShade="40"/>
          </w:rPr>
          <w:fldChar w:fldCharType="end"/>
        </w:r>
      </w:hyperlink>
    </w:p>
    <w:p w14:paraId="0BB2DDB5" w14:textId="2FC62D7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4" w:history="1">
        <w:r w:rsidR="00CF2725" w:rsidRPr="007B53C7">
          <w:rPr>
            <w:rStyle w:val="Hipervnculo"/>
            <w:rFonts w:ascii="Candara" w:hAnsi="Candara"/>
            <w:noProof/>
            <w:color w:val="3B3838" w:themeColor="background2" w:themeShade="40"/>
          </w:rPr>
          <w:t>Gráfica 18.</w:t>
        </w:r>
        <w:r w:rsidR="00CF2725" w:rsidRPr="007B53C7">
          <w:rPr>
            <w:rStyle w:val="Hipervnculo"/>
            <w:rFonts w:ascii="Candara" w:hAnsi="Candara"/>
            <w:noProof/>
            <w:color w:val="3B3838" w:themeColor="background2" w:themeShade="40"/>
            <w:spacing w:val="-6"/>
          </w:rPr>
          <w:t xml:space="preserve"> Condiciones de vida en el hogar</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48</w:t>
        </w:r>
        <w:r w:rsidR="00CF2725" w:rsidRPr="007B53C7">
          <w:rPr>
            <w:rFonts w:ascii="Candara" w:hAnsi="Candara"/>
            <w:noProof/>
            <w:webHidden/>
            <w:color w:val="3B3838" w:themeColor="background2" w:themeShade="40"/>
          </w:rPr>
          <w:fldChar w:fldCharType="end"/>
        </w:r>
      </w:hyperlink>
    </w:p>
    <w:p w14:paraId="67F0182E" w14:textId="7EDDE4E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5" w:history="1">
        <w:r w:rsidR="00CF2725" w:rsidRPr="007B53C7">
          <w:rPr>
            <w:rStyle w:val="Hipervnculo"/>
            <w:rFonts w:ascii="Candara" w:hAnsi="Candara"/>
            <w:noProof/>
            <w:color w:val="3B3838" w:themeColor="background2" w:themeShade="40"/>
          </w:rPr>
          <w:t xml:space="preserve">Gráfica 19. </w:t>
        </w:r>
        <w:r w:rsidR="00CF2725" w:rsidRPr="007B53C7">
          <w:rPr>
            <w:rStyle w:val="Hipervnculo"/>
            <w:rFonts w:ascii="Candara" w:hAnsi="Candara"/>
            <w:noProof/>
            <w:color w:val="3B3838" w:themeColor="background2" w:themeShade="40"/>
            <w:spacing w:val="-6"/>
          </w:rPr>
          <w:t>Privaciones por indicador, personas con autorreconocimiento étnico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49</w:t>
        </w:r>
        <w:r w:rsidR="00CF2725" w:rsidRPr="007B53C7">
          <w:rPr>
            <w:rFonts w:ascii="Candara" w:hAnsi="Candara"/>
            <w:noProof/>
            <w:webHidden/>
            <w:color w:val="3B3838" w:themeColor="background2" w:themeShade="40"/>
          </w:rPr>
          <w:fldChar w:fldCharType="end"/>
        </w:r>
      </w:hyperlink>
    </w:p>
    <w:p w14:paraId="00DC9C18" w14:textId="123650D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6" w:history="1">
        <w:r w:rsidR="00CF2725" w:rsidRPr="007B53C7">
          <w:rPr>
            <w:rStyle w:val="Hipervnculo"/>
            <w:rFonts w:ascii="Candara" w:hAnsi="Candara"/>
            <w:noProof/>
            <w:color w:val="3B3838" w:themeColor="background2" w:themeShade="40"/>
          </w:rPr>
          <w:t xml:space="preserve">Gráfica 20. </w:t>
        </w:r>
        <w:r w:rsidR="00CF2725" w:rsidRPr="007B53C7">
          <w:rPr>
            <w:rStyle w:val="Hipervnculo"/>
            <w:rFonts w:ascii="Candara" w:hAnsi="Candara"/>
            <w:noProof/>
            <w:color w:val="3B3838" w:themeColor="background2" w:themeShade="40"/>
            <w:spacing w:val="-6"/>
          </w:rPr>
          <w:t>Población víctima del conflicto armado ubicada en Bogotá, por sexo (2021-2023)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49</w:t>
        </w:r>
        <w:r w:rsidR="00CF2725" w:rsidRPr="007B53C7">
          <w:rPr>
            <w:rFonts w:ascii="Candara" w:hAnsi="Candara"/>
            <w:noProof/>
            <w:webHidden/>
            <w:color w:val="3B3838" w:themeColor="background2" w:themeShade="40"/>
          </w:rPr>
          <w:fldChar w:fldCharType="end"/>
        </w:r>
      </w:hyperlink>
    </w:p>
    <w:p w14:paraId="2A5CF01B" w14:textId="5D0E2D1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7" w:history="1">
        <w:r w:rsidR="00CF2725" w:rsidRPr="007B53C7">
          <w:rPr>
            <w:rStyle w:val="Hipervnculo"/>
            <w:rFonts w:ascii="Candara" w:hAnsi="Candara"/>
            <w:noProof/>
            <w:color w:val="3B3838" w:themeColor="background2" w:themeShade="40"/>
          </w:rPr>
          <w:t xml:space="preserve">Gráfica 21. </w:t>
        </w:r>
        <w:r w:rsidR="00CF2725" w:rsidRPr="007B53C7">
          <w:rPr>
            <w:rStyle w:val="Hipervnculo"/>
            <w:rFonts w:ascii="Candara" w:hAnsi="Candara"/>
            <w:noProof/>
            <w:color w:val="3B3838" w:themeColor="background2" w:themeShade="40"/>
            <w:spacing w:val="-6"/>
          </w:rPr>
          <w:t>Población víctima del conflicto armado ubicada en Bogotá, por ciclo vital (2021-2023)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50</w:t>
        </w:r>
        <w:r w:rsidR="00CF2725" w:rsidRPr="007B53C7">
          <w:rPr>
            <w:rFonts w:ascii="Candara" w:hAnsi="Candara"/>
            <w:noProof/>
            <w:webHidden/>
            <w:color w:val="3B3838" w:themeColor="background2" w:themeShade="40"/>
          </w:rPr>
          <w:fldChar w:fldCharType="end"/>
        </w:r>
      </w:hyperlink>
    </w:p>
    <w:p w14:paraId="4A73F5CE" w14:textId="5C6183B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8" w:history="1">
        <w:r w:rsidR="00CF2725" w:rsidRPr="007B53C7">
          <w:rPr>
            <w:rStyle w:val="Hipervnculo"/>
            <w:rFonts w:ascii="Candara" w:hAnsi="Candara"/>
            <w:noProof/>
            <w:color w:val="3B3838" w:themeColor="background2" w:themeShade="40"/>
          </w:rPr>
          <w:t xml:space="preserve">Gráfica 22. </w:t>
        </w:r>
        <w:r w:rsidR="00CF2725" w:rsidRPr="007B53C7">
          <w:rPr>
            <w:rStyle w:val="Hipervnculo"/>
            <w:rFonts w:ascii="Candara" w:hAnsi="Candara" w:cs="Times New Roman (Cuerpo en alfa"/>
            <w:noProof/>
            <w:color w:val="3B3838" w:themeColor="background2" w:themeShade="40"/>
            <w:spacing w:val="-10"/>
          </w:rPr>
          <w:t>Indicador de sostenibilidad de la deuda Ley 358 de 1997 (2010-2023)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56</w:t>
        </w:r>
        <w:r w:rsidR="00CF2725" w:rsidRPr="007B53C7">
          <w:rPr>
            <w:rFonts w:ascii="Candara" w:hAnsi="Candara"/>
            <w:noProof/>
            <w:webHidden/>
            <w:color w:val="3B3838" w:themeColor="background2" w:themeShade="40"/>
          </w:rPr>
          <w:fldChar w:fldCharType="end"/>
        </w:r>
      </w:hyperlink>
    </w:p>
    <w:p w14:paraId="5DA9B571" w14:textId="117CED8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49" w:history="1">
        <w:r w:rsidR="00CF2725" w:rsidRPr="007B53C7">
          <w:rPr>
            <w:rStyle w:val="Hipervnculo"/>
            <w:rFonts w:ascii="Candara" w:hAnsi="Candara"/>
            <w:noProof/>
            <w:color w:val="3B3838" w:themeColor="background2" w:themeShade="40"/>
          </w:rPr>
          <w:t xml:space="preserve">Gráfica 23. </w:t>
        </w:r>
        <w:r w:rsidR="00CF2725" w:rsidRPr="007B53C7">
          <w:rPr>
            <w:rStyle w:val="Hipervnculo"/>
            <w:rFonts w:ascii="Candara" w:eastAsia="Arial" w:hAnsi="Candara" w:cs="Arial"/>
            <w:noProof/>
            <w:color w:val="3B3838" w:themeColor="background2" w:themeShade="40"/>
          </w:rPr>
          <w:t>Saldo de la deuda pública Distrito Capital 2010-2023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_Toc165169849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57</w:t>
        </w:r>
        <w:r w:rsidR="00CF2725" w:rsidRPr="007B53C7">
          <w:rPr>
            <w:rFonts w:ascii="Candara" w:hAnsi="Candara"/>
            <w:noProof/>
            <w:webHidden/>
            <w:color w:val="3B3838" w:themeColor="background2" w:themeShade="40"/>
          </w:rPr>
          <w:fldChar w:fldCharType="end"/>
        </w:r>
      </w:hyperlink>
    </w:p>
    <w:p w14:paraId="52A28ADD" w14:textId="50F3D3B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0" w:history="1">
        <w:r w:rsidR="00CF2725" w:rsidRPr="007B53C7">
          <w:rPr>
            <w:rStyle w:val="Hipervnculo"/>
            <w:rFonts w:ascii="Candara" w:hAnsi="Candara"/>
            <w:noProof/>
            <w:color w:val="3B3838" w:themeColor="background2" w:themeShade="40"/>
          </w:rPr>
          <w:t xml:space="preserve">Gráfica 24. </w:t>
        </w:r>
        <w:r w:rsidR="00CF2725" w:rsidRPr="007B53C7">
          <w:rPr>
            <w:rStyle w:val="Hipervnculo"/>
            <w:rFonts w:ascii="Candara" w:hAnsi="Candara" w:cs="Times New Roman (Cuerpo en alfa"/>
            <w:noProof/>
            <w:color w:val="3B3838" w:themeColor="background2" w:themeShade="40"/>
            <w:spacing w:val="-6"/>
          </w:rPr>
          <w:t>Transferencias de inversión de la Administración Central para FET y FFE * 2012-2023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58</w:t>
        </w:r>
        <w:r w:rsidR="00CF2725" w:rsidRPr="007B53C7">
          <w:rPr>
            <w:rFonts w:ascii="Candara" w:hAnsi="Candara"/>
            <w:noProof/>
            <w:webHidden/>
            <w:color w:val="3B3838" w:themeColor="background2" w:themeShade="40"/>
          </w:rPr>
          <w:fldChar w:fldCharType="end"/>
        </w:r>
      </w:hyperlink>
    </w:p>
    <w:p w14:paraId="40B61FD2" w14:textId="68F60BE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1" w:history="1">
        <w:r w:rsidR="00CF2725" w:rsidRPr="007B53C7">
          <w:rPr>
            <w:rStyle w:val="Hipervnculo"/>
            <w:rFonts w:ascii="Candara" w:hAnsi="Candara"/>
            <w:noProof/>
            <w:color w:val="3B3838" w:themeColor="background2" w:themeShade="40"/>
          </w:rPr>
          <w:t>Gráfica 25. Plan Plurianual de Inversiones por objetivo estratégico - Total 2024-2027</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64</w:t>
        </w:r>
        <w:r w:rsidR="00CF2725" w:rsidRPr="007B53C7">
          <w:rPr>
            <w:rFonts w:ascii="Candara" w:hAnsi="Candara"/>
            <w:noProof/>
            <w:webHidden/>
            <w:color w:val="3B3838" w:themeColor="background2" w:themeShade="40"/>
          </w:rPr>
          <w:fldChar w:fldCharType="end"/>
        </w:r>
      </w:hyperlink>
    </w:p>
    <w:p w14:paraId="25EF8578" w14:textId="599C9E2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2" w:history="1">
        <w:r w:rsidR="00CF2725" w:rsidRPr="007B53C7">
          <w:rPr>
            <w:rStyle w:val="Hipervnculo"/>
            <w:rFonts w:ascii="Candara" w:hAnsi="Candara"/>
            <w:noProof/>
            <w:color w:val="3B3838" w:themeColor="background2" w:themeShade="40"/>
          </w:rPr>
          <w:t>Gráfica 26. Número de metas del PDD a las que se asocian los ODS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69</w:t>
        </w:r>
        <w:r w:rsidR="00CF2725" w:rsidRPr="007B53C7">
          <w:rPr>
            <w:rFonts w:ascii="Candara" w:hAnsi="Candara"/>
            <w:noProof/>
            <w:webHidden/>
            <w:color w:val="3B3838" w:themeColor="background2" w:themeShade="40"/>
          </w:rPr>
          <w:fldChar w:fldCharType="end"/>
        </w:r>
      </w:hyperlink>
    </w:p>
    <w:p w14:paraId="70E01FB0" w14:textId="25D95E8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3" w:history="1">
        <w:r w:rsidR="00CF2725" w:rsidRPr="007B53C7">
          <w:rPr>
            <w:rStyle w:val="Hipervnculo"/>
            <w:rFonts w:ascii="Candara" w:hAnsi="Candara"/>
            <w:noProof/>
            <w:color w:val="3B3838" w:themeColor="background2" w:themeShade="40"/>
          </w:rPr>
          <w:t>Gráfica 27. Inversión programada según ODS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70</w:t>
        </w:r>
        <w:r w:rsidR="00CF2725" w:rsidRPr="007B53C7">
          <w:rPr>
            <w:rFonts w:ascii="Candara" w:hAnsi="Candara"/>
            <w:noProof/>
            <w:webHidden/>
            <w:color w:val="3B3838" w:themeColor="background2" w:themeShade="40"/>
          </w:rPr>
          <w:fldChar w:fldCharType="end"/>
        </w:r>
      </w:hyperlink>
    </w:p>
    <w:p w14:paraId="612C8DA2" w14:textId="0696C3F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4" w:history="1">
        <w:r w:rsidR="00CF2725" w:rsidRPr="007B53C7">
          <w:rPr>
            <w:rStyle w:val="Hipervnculo"/>
            <w:rFonts w:ascii="Candara" w:hAnsi="Candara"/>
            <w:noProof/>
            <w:color w:val="3B3838" w:themeColor="background2" w:themeShade="40"/>
          </w:rPr>
          <w:t>Gráfica 28. Incidentes por riñas reportados al NUSE 123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80</w:t>
        </w:r>
        <w:r w:rsidR="00CF2725" w:rsidRPr="007B53C7">
          <w:rPr>
            <w:rFonts w:ascii="Candara" w:hAnsi="Candara"/>
            <w:noProof/>
            <w:webHidden/>
            <w:color w:val="3B3838" w:themeColor="background2" w:themeShade="40"/>
          </w:rPr>
          <w:fldChar w:fldCharType="end"/>
        </w:r>
      </w:hyperlink>
    </w:p>
    <w:p w14:paraId="054272DF" w14:textId="66734BD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5" w:history="1">
        <w:r w:rsidR="00CF2725" w:rsidRPr="007B53C7">
          <w:rPr>
            <w:rStyle w:val="Hipervnculo"/>
            <w:rFonts w:ascii="Candara" w:hAnsi="Candara"/>
            <w:noProof/>
            <w:color w:val="3B3838" w:themeColor="background2" w:themeShade="40"/>
          </w:rPr>
          <w:t>Gráfica 29. Tasa de homicidios de Bogotá (1962-2023)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91</w:t>
        </w:r>
        <w:r w:rsidR="00CF2725" w:rsidRPr="007B53C7">
          <w:rPr>
            <w:rFonts w:ascii="Candara" w:hAnsi="Candara"/>
            <w:noProof/>
            <w:webHidden/>
            <w:color w:val="3B3838" w:themeColor="background2" w:themeShade="40"/>
          </w:rPr>
          <w:fldChar w:fldCharType="end"/>
        </w:r>
      </w:hyperlink>
    </w:p>
    <w:p w14:paraId="613D8184" w14:textId="0A494C3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6" w:history="1">
        <w:r w:rsidR="00CF2725" w:rsidRPr="007B53C7">
          <w:rPr>
            <w:rStyle w:val="Hipervnculo"/>
            <w:rFonts w:ascii="Candara" w:hAnsi="Candara"/>
            <w:noProof/>
            <w:color w:val="3B3838" w:themeColor="background2" w:themeShade="40"/>
          </w:rPr>
          <w:t>Gráfica 30. Hacinamiento en centros de detención transitoria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98</w:t>
        </w:r>
        <w:r w:rsidR="00CF2725" w:rsidRPr="007B53C7">
          <w:rPr>
            <w:rFonts w:ascii="Candara" w:hAnsi="Candara"/>
            <w:noProof/>
            <w:webHidden/>
            <w:color w:val="3B3838" w:themeColor="background2" w:themeShade="40"/>
          </w:rPr>
          <w:fldChar w:fldCharType="end"/>
        </w:r>
      </w:hyperlink>
    </w:p>
    <w:p w14:paraId="0F9EA11D" w14:textId="03ACC96E"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7" w:history="1">
        <w:r w:rsidR="00CF2725" w:rsidRPr="007B53C7">
          <w:rPr>
            <w:rStyle w:val="Hipervnculo"/>
            <w:rFonts w:ascii="Candara" w:hAnsi="Candara"/>
            <w:noProof/>
            <w:color w:val="3B3838" w:themeColor="background2" w:themeShade="40"/>
          </w:rPr>
          <w:t>Gráfica 31. Casos denunciados de hurtos por modalidad (2018-2024)</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103</w:t>
        </w:r>
        <w:r w:rsidR="00CF2725" w:rsidRPr="007B53C7">
          <w:rPr>
            <w:rFonts w:ascii="Candara" w:hAnsi="Candara"/>
            <w:noProof/>
            <w:webHidden/>
            <w:color w:val="3B3838" w:themeColor="background2" w:themeShade="40"/>
          </w:rPr>
          <w:fldChar w:fldCharType="end"/>
        </w:r>
      </w:hyperlink>
    </w:p>
    <w:p w14:paraId="53978830" w14:textId="361C233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8" w:history="1">
        <w:r w:rsidR="00CF2725" w:rsidRPr="007B53C7">
          <w:rPr>
            <w:rStyle w:val="Hipervnculo"/>
            <w:rFonts w:ascii="Candara" w:hAnsi="Candara"/>
            <w:noProof/>
            <w:color w:val="3B3838" w:themeColor="background2" w:themeShade="40"/>
          </w:rPr>
          <w:t>Gráfica 32. Espacio público efectivo (m</w:t>
        </w:r>
        <w:r w:rsidR="00CF2725" w:rsidRPr="007B53C7">
          <w:rPr>
            <w:rStyle w:val="Hipervnculo"/>
            <w:rFonts w:ascii="Candara" w:hAnsi="Candara"/>
            <w:noProof/>
            <w:color w:val="3B3838" w:themeColor="background2" w:themeShade="40"/>
            <w:vertAlign w:val="superscript"/>
          </w:rPr>
          <w:t>2</w:t>
        </w:r>
        <w:r w:rsidR="00CF2725" w:rsidRPr="007B53C7">
          <w:rPr>
            <w:rStyle w:val="Hipervnculo"/>
            <w:rFonts w:ascii="Candara" w:hAnsi="Candara"/>
            <w:noProof/>
            <w:color w:val="3B3838" w:themeColor="background2" w:themeShade="40"/>
          </w:rPr>
          <w:t>/hab)</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105</w:t>
        </w:r>
        <w:r w:rsidR="00CF2725" w:rsidRPr="007B53C7">
          <w:rPr>
            <w:rFonts w:ascii="Candara" w:hAnsi="Candara"/>
            <w:noProof/>
            <w:webHidden/>
            <w:color w:val="3B3838" w:themeColor="background2" w:themeShade="40"/>
          </w:rPr>
          <w:fldChar w:fldCharType="end"/>
        </w:r>
      </w:hyperlink>
    </w:p>
    <w:p w14:paraId="77506B2E" w14:textId="5DA78C5E"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59" w:history="1">
        <w:r w:rsidR="00CF2725" w:rsidRPr="007B53C7">
          <w:rPr>
            <w:rStyle w:val="Hipervnculo"/>
            <w:rFonts w:ascii="Candara" w:hAnsi="Candara"/>
            <w:noProof/>
            <w:color w:val="3B3838" w:themeColor="background2" w:themeShade="40"/>
          </w:rPr>
          <w:t>Gráfica 33. Casos de VBG y acoso sexual callejero gestionados por TransMilenio S. 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_Toc165169859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112</w:t>
        </w:r>
        <w:r w:rsidR="00CF2725" w:rsidRPr="007B53C7">
          <w:rPr>
            <w:rFonts w:ascii="Candara" w:hAnsi="Candara"/>
            <w:noProof/>
            <w:webHidden/>
            <w:color w:val="3B3838" w:themeColor="background2" w:themeShade="40"/>
          </w:rPr>
          <w:fldChar w:fldCharType="end"/>
        </w:r>
      </w:hyperlink>
    </w:p>
    <w:p w14:paraId="632CCA6E" w14:textId="246F62C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0" w:history="1">
        <w:r w:rsidR="00CF2725" w:rsidRPr="007B53C7">
          <w:rPr>
            <w:rStyle w:val="Hipervnculo"/>
            <w:rFonts w:ascii="Candara" w:hAnsi="Candara"/>
            <w:noProof/>
            <w:color w:val="3B3838" w:themeColor="background2" w:themeShade="40"/>
          </w:rPr>
          <w:t>Gráfica 34. Número de fatalidades anuales por siniestros viales en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114</w:t>
        </w:r>
        <w:r w:rsidR="00CF2725" w:rsidRPr="007B53C7">
          <w:rPr>
            <w:rFonts w:ascii="Candara" w:hAnsi="Candara"/>
            <w:noProof/>
            <w:webHidden/>
            <w:color w:val="3B3838" w:themeColor="background2" w:themeShade="40"/>
          </w:rPr>
          <w:fldChar w:fldCharType="end"/>
        </w:r>
      </w:hyperlink>
    </w:p>
    <w:p w14:paraId="485ECE94" w14:textId="50B5449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1" w:history="1">
        <w:r w:rsidR="00CF2725" w:rsidRPr="007B53C7">
          <w:rPr>
            <w:rStyle w:val="Hipervnculo"/>
            <w:rFonts w:ascii="Candara" w:hAnsi="Candara"/>
            <w:noProof/>
            <w:color w:val="3B3838" w:themeColor="background2" w:themeShade="40"/>
          </w:rPr>
          <w:t>Gráfica 35. Pobreza monetaria para Bogotá (2018-2022)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125</w:t>
        </w:r>
        <w:r w:rsidR="00CF2725" w:rsidRPr="007B53C7">
          <w:rPr>
            <w:rFonts w:ascii="Candara" w:hAnsi="Candara"/>
            <w:noProof/>
            <w:webHidden/>
            <w:color w:val="3B3838" w:themeColor="background2" w:themeShade="40"/>
          </w:rPr>
          <w:fldChar w:fldCharType="end"/>
        </w:r>
      </w:hyperlink>
    </w:p>
    <w:p w14:paraId="7827DDD4" w14:textId="2BB5516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2" w:history="1">
        <w:r w:rsidR="00CF2725" w:rsidRPr="007B53C7">
          <w:rPr>
            <w:rStyle w:val="Hipervnculo"/>
            <w:rFonts w:ascii="Candara" w:hAnsi="Candara"/>
            <w:noProof/>
            <w:color w:val="3B3838" w:themeColor="background2" w:themeShade="40"/>
          </w:rPr>
          <w:t>Gráfica 36. Prevalencia de la inseguridad alimentaria grave en 2022 (porcentaje de personas)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130</w:t>
        </w:r>
        <w:r w:rsidR="00CF2725" w:rsidRPr="007B53C7">
          <w:rPr>
            <w:rFonts w:ascii="Candara" w:hAnsi="Candara"/>
            <w:noProof/>
            <w:webHidden/>
            <w:color w:val="3B3838" w:themeColor="background2" w:themeShade="40"/>
          </w:rPr>
          <w:fldChar w:fldCharType="end"/>
        </w:r>
      </w:hyperlink>
    </w:p>
    <w:p w14:paraId="2C75F498" w14:textId="5B44CBD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3" w:history="1">
        <w:r w:rsidR="00CF2725" w:rsidRPr="007B53C7">
          <w:rPr>
            <w:rStyle w:val="Hipervnculo"/>
            <w:rFonts w:ascii="Candara" w:hAnsi="Candara"/>
            <w:noProof/>
            <w:color w:val="3B3838" w:themeColor="background2" w:themeShade="40"/>
          </w:rPr>
          <w:t>Gráfica 37. Víctimas del conflicto ubicadas en Bogotá, D. C.</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156</w:t>
        </w:r>
        <w:r w:rsidR="00CF2725" w:rsidRPr="007B53C7">
          <w:rPr>
            <w:rFonts w:ascii="Candara" w:hAnsi="Candara"/>
            <w:noProof/>
            <w:webHidden/>
            <w:color w:val="3B3838" w:themeColor="background2" w:themeShade="40"/>
          </w:rPr>
          <w:fldChar w:fldCharType="end"/>
        </w:r>
      </w:hyperlink>
    </w:p>
    <w:p w14:paraId="44353852" w14:textId="7B19788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4" w:history="1">
        <w:r w:rsidR="00CF2725" w:rsidRPr="007B53C7">
          <w:rPr>
            <w:rStyle w:val="Hipervnculo"/>
            <w:rFonts w:ascii="Candara" w:hAnsi="Candara"/>
            <w:noProof/>
            <w:color w:val="3B3838" w:themeColor="background2" w:themeShade="40"/>
          </w:rPr>
          <w:t xml:space="preserve">Gráfica 38. </w:t>
        </w:r>
        <w:r w:rsidR="00CF2725" w:rsidRPr="007B53C7">
          <w:rPr>
            <w:rStyle w:val="Hipervnculo"/>
            <w:rFonts w:ascii="Candara" w:hAnsi="Candara"/>
            <w:noProof/>
            <w:color w:val="3B3838" w:themeColor="background2" w:themeShade="40"/>
            <w:highlight w:val="white"/>
          </w:rPr>
          <w:t>Porcentaje de víctimas que cumplen o no cumplen los derechos para la  superación de la situación de vulnerabilidad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157</w:t>
        </w:r>
        <w:r w:rsidR="00CF2725" w:rsidRPr="007B53C7">
          <w:rPr>
            <w:rFonts w:ascii="Candara" w:hAnsi="Candara"/>
            <w:noProof/>
            <w:webHidden/>
            <w:color w:val="3B3838" w:themeColor="background2" w:themeShade="40"/>
          </w:rPr>
          <w:fldChar w:fldCharType="end"/>
        </w:r>
      </w:hyperlink>
    </w:p>
    <w:p w14:paraId="48BE781B" w14:textId="639E515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5" w:history="1">
        <w:r w:rsidR="00CF2725" w:rsidRPr="007B53C7">
          <w:rPr>
            <w:rStyle w:val="Hipervnculo"/>
            <w:rFonts w:ascii="Candara" w:hAnsi="Candara"/>
            <w:noProof/>
            <w:color w:val="3B3838" w:themeColor="background2" w:themeShade="40"/>
          </w:rPr>
          <w:t>Gráfica 39. Percepción acerca de las intervenciones artísticas en el espacio público (Bogotá, 2022)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164</w:t>
        </w:r>
        <w:r w:rsidR="00CF2725" w:rsidRPr="007B53C7">
          <w:rPr>
            <w:rFonts w:ascii="Candara" w:hAnsi="Candara"/>
            <w:noProof/>
            <w:webHidden/>
            <w:color w:val="3B3838" w:themeColor="background2" w:themeShade="40"/>
          </w:rPr>
          <w:fldChar w:fldCharType="end"/>
        </w:r>
      </w:hyperlink>
    </w:p>
    <w:p w14:paraId="4E12873D" w14:textId="366DE3D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6" w:history="1">
        <w:r w:rsidR="00CF2725" w:rsidRPr="007B53C7">
          <w:rPr>
            <w:rStyle w:val="Hipervnculo"/>
            <w:rFonts w:ascii="Candara" w:hAnsi="Candara"/>
            <w:noProof/>
            <w:color w:val="3B3838" w:themeColor="background2" w:themeShade="40"/>
          </w:rPr>
          <w:t>Gráfica 40. Inversión de Bogotá en ACTI e I+D como porcentaje del PIB, 2017-2021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193</w:t>
        </w:r>
        <w:r w:rsidR="00CF2725" w:rsidRPr="007B53C7">
          <w:rPr>
            <w:rFonts w:ascii="Candara" w:hAnsi="Candara"/>
            <w:noProof/>
            <w:webHidden/>
            <w:color w:val="3B3838" w:themeColor="background2" w:themeShade="40"/>
          </w:rPr>
          <w:fldChar w:fldCharType="end"/>
        </w:r>
      </w:hyperlink>
    </w:p>
    <w:p w14:paraId="37DB0A6C" w14:textId="672AC41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7" w:history="1">
        <w:r w:rsidR="00CF2725" w:rsidRPr="007B53C7">
          <w:rPr>
            <w:rStyle w:val="Hipervnculo"/>
            <w:rFonts w:ascii="Candara" w:hAnsi="Candara"/>
            <w:noProof/>
            <w:color w:val="3B3838" w:themeColor="background2" w:themeShade="40"/>
          </w:rPr>
          <w:t>Gráfica 41. Monto y número de proyectos financiados por MinCiencias 2018-2022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194</w:t>
        </w:r>
        <w:r w:rsidR="00CF2725" w:rsidRPr="007B53C7">
          <w:rPr>
            <w:rFonts w:ascii="Candara" w:hAnsi="Candara"/>
            <w:noProof/>
            <w:webHidden/>
            <w:color w:val="3B3838" w:themeColor="background2" w:themeShade="40"/>
          </w:rPr>
          <w:fldChar w:fldCharType="end"/>
        </w:r>
      </w:hyperlink>
    </w:p>
    <w:p w14:paraId="692BB436" w14:textId="464EB04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8" w:history="1">
        <w:r w:rsidR="00CF2725" w:rsidRPr="007B53C7">
          <w:rPr>
            <w:rStyle w:val="Hipervnculo"/>
            <w:rFonts w:ascii="Candara" w:hAnsi="Candara"/>
            <w:noProof/>
            <w:color w:val="3B3838" w:themeColor="background2" w:themeShade="40"/>
          </w:rPr>
          <w:t>Gráfica 42. Demanda atendida en Bogotá con restricciones de capacidad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214</w:t>
        </w:r>
        <w:r w:rsidR="00CF2725" w:rsidRPr="007B53C7">
          <w:rPr>
            <w:rFonts w:ascii="Candara" w:hAnsi="Candara"/>
            <w:noProof/>
            <w:webHidden/>
            <w:color w:val="3B3838" w:themeColor="background2" w:themeShade="40"/>
          </w:rPr>
          <w:fldChar w:fldCharType="end"/>
        </w:r>
      </w:hyperlink>
    </w:p>
    <w:p w14:paraId="4CAD79CC" w14:textId="029ED17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69" w:history="1">
        <w:r w:rsidR="00CF2725" w:rsidRPr="007B53C7">
          <w:rPr>
            <w:rStyle w:val="Hipervnculo"/>
            <w:rFonts w:ascii="Candara" w:hAnsi="Candara"/>
            <w:noProof/>
            <w:color w:val="3B3838" w:themeColor="background2" w:themeShade="40"/>
          </w:rPr>
          <w:t xml:space="preserve">Gráfica 43. </w:t>
        </w:r>
        <w:r w:rsidR="00CF2725" w:rsidRPr="007B53C7">
          <w:rPr>
            <w:rStyle w:val="Hipervnculo"/>
            <w:rFonts w:ascii="Candara" w:hAnsi="Candara"/>
            <w:noProof/>
            <w:color w:val="3B3838" w:themeColor="background2" w:themeShade="40"/>
            <w:highlight w:val="white"/>
          </w:rPr>
          <w:t>Tiempo promedio de respuesta para IMER (2020-2023)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_Toc165169869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243</w:t>
        </w:r>
        <w:r w:rsidR="00CF2725" w:rsidRPr="007B53C7">
          <w:rPr>
            <w:rFonts w:ascii="Candara" w:hAnsi="Candara"/>
            <w:noProof/>
            <w:webHidden/>
            <w:color w:val="3B3838" w:themeColor="background2" w:themeShade="40"/>
          </w:rPr>
          <w:fldChar w:fldCharType="end"/>
        </w:r>
      </w:hyperlink>
    </w:p>
    <w:p w14:paraId="36265C74" w14:textId="5C2C795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0" w:history="1">
        <w:r w:rsidR="00CF2725" w:rsidRPr="007B53C7">
          <w:rPr>
            <w:rStyle w:val="Hipervnculo"/>
            <w:rFonts w:ascii="Candara" w:hAnsi="Candara"/>
            <w:noProof/>
            <w:color w:val="3B3838" w:themeColor="background2" w:themeShade="40"/>
          </w:rPr>
          <w:t>Gráfica 44. Emisiones de GEI (2010-2021)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264</w:t>
        </w:r>
        <w:r w:rsidR="00CF2725" w:rsidRPr="007B53C7">
          <w:rPr>
            <w:rFonts w:ascii="Candara" w:hAnsi="Candara"/>
            <w:noProof/>
            <w:webHidden/>
            <w:color w:val="3B3838" w:themeColor="background2" w:themeShade="40"/>
          </w:rPr>
          <w:fldChar w:fldCharType="end"/>
        </w:r>
      </w:hyperlink>
    </w:p>
    <w:p w14:paraId="78B5A3B5" w14:textId="2035F7B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1" w:history="1">
        <w:r w:rsidR="00CF2725" w:rsidRPr="007B53C7">
          <w:rPr>
            <w:rStyle w:val="Hipervnculo"/>
            <w:rFonts w:ascii="Candara" w:hAnsi="Candara"/>
            <w:noProof/>
            <w:color w:val="3B3838" w:themeColor="background2" w:themeShade="40"/>
          </w:rPr>
          <w:t>Gráfica 45. Promedio anual de ciudad PM 10 (µg/m</w:t>
        </w:r>
        <w:r w:rsidR="00CF2725" w:rsidRPr="007B53C7">
          <w:rPr>
            <w:rStyle w:val="Hipervnculo"/>
            <w:rFonts w:ascii="Candara" w:hAnsi="Candara"/>
            <w:noProof/>
            <w:color w:val="3B3838" w:themeColor="background2" w:themeShade="40"/>
            <w:vertAlign w:val="superscript"/>
          </w:rPr>
          <w:t>3</w:t>
        </w:r>
        <w:r w:rsidR="00CF2725" w:rsidRPr="007B53C7">
          <w:rPr>
            <w:rStyle w:val="Hipervnculo"/>
            <w:rFonts w:ascii="Candara" w:hAnsi="Candara"/>
            <w:noProof/>
            <w:color w:val="3B3838" w:themeColor="background2" w:themeShade="40"/>
          </w:rPr>
          <w:t>)</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265</w:t>
        </w:r>
        <w:r w:rsidR="00CF2725" w:rsidRPr="007B53C7">
          <w:rPr>
            <w:rFonts w:ascii="Candara" w:hAnsi="Candara"/>
            <w:noProof/>
            <w:webHidden/>
            <w:color w:val="3B3838" w:themeColor="background2" w:themeShade="40"/>
          </w:rPr>
          <w:fldChar w:fldCharType="end"/>
        </w:r>
      </w:hyperlink>
    </w:p>
    <w:p w14:paraId="6B56413A" w14:textId="46B4230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2" w:history="1">
        <w:r w:rsidR="00CF2725" w:rsidRPr="007B53C7">
          <w:rPr>
            <w:rStyle w:val="Hipervnculo"/>
            <w:rFonts w:ascii="Candara" w:hAnsi="Candara"/>
            <w:noProof/>
            <w:color w:val="3B3838" w:themeColor="background2" w:themeShade="40"/>
          </w:rPr>
          <w:t>Gráfica 46. Promedio anual de ciudad PM 2,5 (µg/m</w:t>
        </w:r>
        <w:r w:rsidR="00CF2725" w:rsidRPr="007B53C7">
          <w:rPr>
            <w:rStyle w:val="Hipervnculo"/>
            <w:rFonts w:ascii="Candara" w:hAnsi="Candara"/>
            <w:noProof/>
            <w:color w:val="3B3838" w:themeColor="background2" w:themeShade="40"/>
            <w:vertAlign w:val="superscript"/>
          </w:rPr>
          <w:t>3</w:t>
        </w:r>
        <w:r w:rsidR="00CF2725" w:rsidRPr="007B53C7">
          <w:rPr>
            <w:rStyle w:val="Hipervnculo"/>
            <w:rFonts w:ascii="Candara" w:hAnsi="Candara"/>
            <w:noProof/>
            <w:color w:val="3B3838" w:themeColor="background2" w:themeShade="40"/>
          </w:rPr>
          <w:t>)</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265</w:t>
        </w:r>
        <w:r w:rsidR="00CF2725" w:rsidRPr="007B53C7">
          <w:rPr>
            <w:rFonts w:ascii="Candara" w:hAnsi="Candara"/>
            <w:noProof/>
            <w:webHidden/>
            <w:color w:val="3B3838" w:themeColor="background2" w:themeShade="40"/>
          </w:rPr>
          <w:fldChar w:fldCharType="end"/>
        </w:r>
      </w:hyperlink>
    </w:p>
    <w:p w14:paraId="67112C41" w14:textId="778AA04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3" w:history="1">
        <w:r w:rsidR="00CF2725" w:rsidRPr="007B53C7">
          <w:rPr>
            <w:rStyle w:val="Hipervnculo"/>
            <w:rFonts w:ascii="Candara" w:hAnsi="Candara"/>
            <w:noProof/>
            <w:color w:val="3B3838" w:themeColor="background2" w:themeShade="40"/>
          </w:rPr>
          <w:t>Gráfica 47. Participación porcentual del total de emisiones de contaminantes criterio y BC* por tipo de fuente para el 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267</w:t>
        </w:r>
        <w:r w:rsidR="00CF2725" w:rsidRPr="007B53C7">
          <w:rPr>
            <w:rFonts w:ascii="Candara" w:hAnsi="Candara"/>
            <w:noProof/>
            <w:webHidden/>
            <w:color w:val="3B3838" w:themeColor="background2" w:themeShade="40"/>
          </w:rPr>
          <w:fldChar w:fldCharType="end"/>
        </w:r>
      </w:hyperlink>
    </w:p>
    <w:p w14:paraId="18DB9FE5" w14:textId="24B1BFE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4" w:history="1">
        <w:r w:rsidR="00CF2725" w:rsidRPr="007B53C7">
          <w:rPr>
            <w:rStyle w:val="Hipervnculo"/>
            <w:rFonts w:ascii="Candara" w:hAnsi="Candara"/>
            <w:noProof/>
            <w:color w:val="3B3838" w:themeColor="background2" w:themeShade="40"/>
          </w:rPr>
          <w:t>Gráfica 48. Proyecciones de oferta y demanda del consumo de agua en Bogotá-Región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274</w:t>
        </w:r>
        <w:r w:rsidR="00CF2725" w:rsidRPr="007B53C7">
          <w:rPr>
            <w:rFonts w:ascii="Candara" w:hAnsi="Candara"/>
            <w:noProof/>
            <w:webHidden/>
            <w:color w:val="3B3838" w:themeColor="background2" w:themeShade="40"/>
          </w:rPr>
          <w:fldChar w:fldCharType="end"/>
        </w:r>
      </w:hyperlink>
    </w:p>
    <w:p w14:paraId="3C91C558" w14:textId="05A3406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5" w:history="1">
        <w:r w:rsidR="00CF2725" w:rsidRPr="007B53C7">
          <w:rPr>
            <w:rStyle w:val="Hipervnculo"/>
            <w:rFonts w:ascii="Candara" w:hAnsi="Candara"/>
            <w:noProof/>
            <w:color w:val="3B3838" w:themeColor="background2" w:themeShade="40"/>
          </w:rPr>
          <w:t>Gráfica 49. Ventas de VIS y VIP en Bogotá (2013-2023)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288</w:t>
        </w:r>
        <w:r w:rsidR="00CF2725" w:rsidRPr="007B53C7">
          <w:rPr>
            <w:rFonts w:ascii="Candara" w:hAnsi="Candara"/>
            <w:noProof/>
            <w:webHidden/>
            <w:color w:val="3B3838" w:themeColor="background2" w:themeShade="40"/>
          </w:rPr>
          <w:fldChar w:fldCharType="end"/>
        </w:r>
      </w:hyperlink>
    </w:p>
    <w:p w14:paraId="3F4CA0CD" w14:textId="53DB28A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6" w:history="1">
        <w:r w:rsidR="00CF2725" w:rsidRPr="007B53C7">
          <w:rPr>
            <w:rStyle w:val="Hipervnculo"/>
            <w:rFonts w:ascii="Candara" w:hAnsi="Candara"/>
            <w:noProof/>
            <w:color w:val="3B3838" w:themeColor="background2" w:themeShade="40"/>
          </w:rPr>
          <w:t>Gráfica 50. Razones por las que no se denuncia un caso de corrupción en la entidad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302</w:t>
        </w:r>
        <w:r w:rsidR="00CF2725" w:rsidRPr="007B53C7">
          <w:rPr>
            <w:rFonts w:ascii="Candara" w:hAnsi="Candara"/>
            <w:noProof/>
            <w:webHidden/>
            <w:color w:val="3B3838" w:themeColor="background2" w:themeShade="40"/>
          </w:rPr>
          <w:fldChar w:fldCharType="end"/>
        </w:r>
      </w:hyperlink>
    </w:p>
    <w:p w14:paraId="79C1BE86" w14:textId="74A28F9E"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7" w:history="1">
        <w:r w:rsidR="00CF2725" w:rsidRPr="007B53C7">
          <w:rPr>
            <w:rStyle w:val="Hipervnculo"/>
            <w:rFonts w:ascii="Candara" w:hAnsi="Candara"/>
            <w:noProof/>
            <w:color w:val="3B3838" w:themeColor="background2" w:themeShade="40"/>
          </w:rPr>
          <w:t>Gráfica 51. Índice de Gestión Pública Distrital (IGPD) 2022 - promedio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311</w:t>
        </w:r>
        <w:r w:rsidR="00CF2725" w:rsidRPr="007B53C7">
          <w:rPr>
            <w:rFonts w:ascii="Candara" w:hAnsi="Candara"/>
            <w:noProof/>
            <w:webHidden/>
            <w:color w:val="3B3838" w:themeColor="background2" w:themeShade="40"/>
          </w:rPr>
          <w:fldChar w:fldCharType="end"/>
        </w:r>
      </w:hyperlink>
    </w:p>
    <w:p w14:paraId="18B703A8" w14:textId="3145E68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8" w:history="1">
        <w:r w:rsidR="00CF2725" w:rsidRPr="007B53C7">
          <w:rPr>
            <w:rStyle w:val="Hipervnculo"/>
            <w:rFonts w:ascii="Candara" w:hAnsi="Candara"/>
            <w:noProof/>
            <w:color w:val="3B3838" w:themeColor="background2" w:themeShade="40"/>
          </w:rPr>
          <w:t xml:space="preserve">Gráfica 52. </w:t>
        </w:r>
        <w:r w:rsidR="00CF2725" w:rsidRPr="007B53C7">
          <w:rPr>
            <w:rStyle w:val="Hipervnculo"/>
            <w:rFonts w:ascii="Candara" w:hAnsi="Candara"/>
            <w:noProof/>
            <w:color w:val="3B3838" w:themeColor="background2" w:themeShade="40"/>
            <w:lang w:val="es-ES_tradnl"/>
          </w:rPr>
          <w:t>Índices Promedio por Políticas en el Distrito Capital Comparado con el Promedio Nacional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311</w:t>
        </w:r>
        <w:r w:rsidR="00CF2725" w:rsidRPr="007B53C7">
          <w:rPr>
            <w:rFonts w:ascii="Candara" w:hAnsi="Candara"/>
            <w:noProof/>
            <w:webHidden/>
            <w:color w:val="3B3838" w:themeColor="background2" w:themeShade="40"/>
          </w:rPr>
          <w:fldChar w:fldCharType="end"/>
        </w:r>
      </w:hyperlink>
    </w:p>
    <w:p w14:paraId="401409F1" w14:textId="3C9C7D3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79" w:history="1">
        <w:r w:rsidR="00CF2725" w:rsidRPr="007B53C7">
          <w:rPr>
            <w:rStyle w:val="Hipervnculo"/>
            <w:rFonts w:ascii="Candara" w:hAnsi="Candara"/>
            <w:noProof/>
            <w:color w:val="3B3838" w:themeColor="background2" w:themeShade="40"/>
          </w:rPr>
          <w:t>Gráfica 53. Hogares con conexión a internet por localidades (2021)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_Toc165169879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323</w:t>
        </w:r>
        <w:r w:rsidR="00CF2725" w:rsidRPr="007B53C7">
          <w:rPr>
            <w:rFonts w:ascii="Candara" w:hAnsi="Candara"/>
            <w:noProof/>
            <w:webHidden/>
            <w:color w:val="3B3838" w:themeColor="background2" w:themeShade="40"/>
          </w:rPr>
          <w:fldChar w:fldCharType="end"/>
        </w:r>
      </w:hyperlink>
    </w:p>
    <w:p w14:paraId="5BCE2815" w14:textId="4EBDE73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0" w:history="1">
        <w:r w:rsidR="00CF2725" w:rsidRPr="007B53C7">
          <w:rPr>
            <w:rStyle w:val="Hipervnculo"/>
            <w:rFonts w:ascii="Candara" w:hAnsi="Candara"/>
            <w:noProof/>
            <w:color w:val="3B3838" w:themeColor="background2" w:themeShade="40"/>
          </w:rPr>
          <w:t>Gráfica 54. Actividades realizadas en internet</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324</w:t>
        </w:r>
        <w:r w:rsidR="00CF2725" w:rsidRPr="007B53C7">
          <w:rPr>
            <w:rFonts w:ascii="Candara" w:hAnsi="Candara"/>
            <w:noProof/>
            <w:webHidden/>
            <w:color w:val="3B3838" w:themeColor="background2" w:themeShade="40"/>
          </w:rPr>
          <w:fldChar w:fldCharType="end"/>
        </w:r>
      </w:hyperlink>
    </w:p>
    <w:p w14:paraId="0EE49D0D" w14:textId="08FB259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1" w:history="1">
        <w:r w:rsidR="00CF2725" w:rsidRPr="007B53C7">
          <w:rPr>
            <w:rStyle w:val="Hipervnculo"/>
            <w:rFonts w:ascii="Candara" w:hAnsi="Candara"/>
            <w:noProof/>
            <w:color w:val="3B3838" w:themeColor="background2" w:themeShade="40"/>
          </w:rPr>
          <w:t>Gráfica 55. Comportamiento del indicador de capacidad de la deuda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339</w:t>
        </w:r>
        <w:r w:rsidR="00CF2725" w:rsidRPr="007B53C7">
          <w:rPr>
            <w:rFonts w:ascii="Candara" w:hAnsi="Candara"/>
            <w:noProof/>
            <w:webHidden/>
            <w:color w:val="3B3838" w:themeColor="background2" w:themeShade="40"/>
          </w:rPr>
          <w:fldChar w:fldCharType="end"/>
        </w:r>
      </w:hyperlink>
    </w:p>
    <w:p w14:paraId="7369B304" w14:textId="3A9F988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2" w:history="1">
        <w:r w:rsidR="00CF2725" w:rsidRPr="007B53C7">
          <w:rPr>
            <w:rStyle w:val="Hipervnculo"/>
            <w:rFonts w:ascii="Candara" w:hAnsi="Candara"/>
            <w:noProof/>
            <w:color w:val="3B3838" w:themeColor="background2" w:themeShade="40"/>
          </w:rPr>
          <w:t>Gráfica 56. Comportamiento del indicador de sostenibilidad de la deuda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340</w:t>
        </w:r>
        <w:r w:rsidR="00CF2725" w:rsidRPr="007B53C7">
          <w:rPr>
            <w:rFonts w:ascii="Candara" w:hAnsi="Candara"/>
            <w:noProof/>
            <w:webHidden/>
            <w:color w:val="3B3838" w:themeColor="background2" w:themeShade="40"/>
          </w:rPr>
          <w:fldChar w:fldCharType="end"/>
        </w:r>
      </w:hyperlink>
    </w:p>
    <w:p w14:paraId="3905A29B" w14:textId="3914DE6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3" w:history="1">
        <w:r w:rsidR="00CF2725" w:rsidRPr="007B53C7">
          <w:rPr>
            <w:rStyle w:val="Hipervnculo"/>
            <w:rFonts w:ascii="Candara" w:hAnsi="Candara"/>
            <w:noProof/>
            <w:color w:val="3B3838" w:themeColor="background2" w:themeShade="40"/>
          </w:rPr>
          <w:t>Gráfica 57. Participación por canal de atención, por grupo etario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346</w:t>
        </w:r>
        <w:r w:rsidR="00CF2725" w:rsidRPr="007B53C7">
          <w:rPr>
            <w:rFonts w:ascii="Candara" w:hAnsi="Candara"/>
            <w:noProof/>
            <w:webHidden/>
            <w:color w:val="3B3838" w:themeColor="background2" w:themeShade="40"/>
          </w:rPr>
          <w:fldChar w:fldCharType="end"/>
        </w:r>
      </w:hyperlink>
    </w:p>
    <w:p w14:paraId="283BDB6B" w14:textId="6CCCE26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4" w:history="1">
        <w:r w:rsidR="00CF2725" w:rsidRPr="007B53C7">
          <w:rPr>
            <w:rStyle w:val="Hipervnculo"/>
            <w:rFonts w:ascii="Candara" w:hAnsi="Candara"/>
            <w:noProof/>
            <w:color w:val="3B3838" w:themeColor="background2" w:themeShade="40"/>
          </w:rPr>
          <w:t>Gráfica 58. Participación por canal de atención, por grupo etario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347</w:t>
        </w:r>
        <w:r w:rsidR="00CF2725" w:rsidRPr="007B53C7">
          <w:rPr>
            <w:rFonts w:ascii="Candara" w:hAnsi="Candara"/>
            <w:noProof/>
            <w:webHidden/>
            <w:color w:val="3B3838" w:themeColor="background2" w:themeShade="40"/>
          </w:rPr>
          <w:fldChar w:fldCharType="end"/>
        </w:r>
      </w:hyperlink>
    </w:p>
    <w:p w14:paraId="1B5D59D0" w14:textId="4F19604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5" w:history="1">
        <w:r w:rsidR="00CF2725" w:rsidRPr="007B53C7">
          <w:rPr>
            <w:rStyle w:val="Hipervnculo"/>
            <w:rFonts w:ascii="Candara" w:hAnsi="Candara"/>
            <w:noProof/>
            <w:color w:val="3B3838" w:themeColor="background2" w:themeShade="40"/>
          </w:rPr>
          <w:t>Gráfica 59. Producto de Políticas públicas por Objetivos del Plan de Desarrollo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503</w:t>
        </w:r>
        <w:r w:rsidR="00CF2725" w:rsidRPr="007B53C7">
          <w:rPr>
            <w:rFonts w:ascii="Candara" w:hAnsi="Candara"/>
            <w:noProof/>
            <w:webHidden/>
            <w:color w:val="3B3838" w:themeColor="background2" w:themeShade="40"/>
          </w:rPr>
          <w:fldChar w:fldCharType="end"/>
        </w:r>
      </w:hyperlink>
    </w:p>
    <w:p w14:paraId="674B2E0B" w14:textId="7CD5FAD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6" w:history="1">
        <w:r w:rsidR="00CF2725" w:rsidRPr="007B53C7">
          <w:rPr>
            <w:rStyle w:val="Hipervnculo"/>
            <w:rFonts w:ascii="Candara" w:hAnsi="Candara"/>
            <w:noProof/>
            <w:color w:val="3B3838" w:themeColor="background2" w:themeShade="40"/>
          </w:rPr>
          <w:t>Gráfica 60. Productos de Política Pública en Plan de Desarrollo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504</w:t>
        </w:r>
        <w:r w:rsidR="00CF2725" w:rsidRPr="007B53C7">
          <w:rPr>
            <w:rFonts w:ascii="Candara" w:hAnsi="Candara"/>
            <w:noProof/>
            <w:webHidden/>
            <w:color w:val="3B3838" w:themeColor="background2" w:themeShade="40"/>
          </w:rPr>
          <w:fldChar w:fldCharType="end"/>
        </w:r>
      </w:hyperlink>
    </w:p>
    <w:p w14:paraId="4A323FA7" w14:textId="5016EB9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887" w:history="1">
        <w:r w:rsidR="00CF2725" w:rsidRPr="007B53C7">
          <w:rPr>
            <w:rStyle w:val="Hipervnculo"/>
            <w:rFonts w:ascii="Candara" w:hAnsi="Candara"/>
            <w:noProof/>
            <w:color w:val="3B3838" w:themeColor="background2" w:themeShade="40"/>
          </w:rPr>
          <w:t>Gráfica 61. Iniciativas relacionadas con los objetivos estratégicos del PDD "Bogotá Camina Segura"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_Toc165169887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520</w:t>
        </w:r>
        <w:r w:rsidR="00CF2725" w:rsidRPr="007B53C7">
          <w:rPr>
            <w:rFonts w:ascii="Candara" w:hAnsi="Candara"/>
            <w:noProof/>
            <w:webHidden/>
            <w:color w:val="3B3838" w:themeColor="background2" w:themeShade="40"/>
          </w:rPr>
          <w:fldChar w:fldCharType="end"/>
        </w:r>
      </w:hyperlink>
    </w:p>
    <w:p w14:paraId="10371EA9" w14:textId="77777777" w:rsidR="007B53C7" w:rsidRDefault="00CF2725" w:rsidP="00CF2725">
      <w:pPr>
        <w:spacing w:line="240" w:lineRule="auto"/>
        <w:jc w:val="left"/>
        <w:rPr>
          <w:b/>
          <w:bCs/>
          <w:szCs w:val="22"/>
        </w:rPr>
      </w:pPr>
      <w:r w:rsidRPr="007B53C7">
        <w:rPr>
          <w:b/>
          <w:bCs/>
          <w:szCs w:val="22"/>
        </w:rPr>
        <w:fldChar w:fldCharType="end"/>
      </w:r>
    </w:p>
    <w:p w14:paraId="6AA56050" w14:textId="77777777" w:rsidR="007B53C7" w:rsidRDefault="007B53C7">
      <w:pPr>
        <w:spacing w:line="240" w:lineRule="auto"/>
        <w:jc w:val="left"/>
        <w:rPr>
          <w:b/>
          <w:bCs/>
          <w:szCs w:val="22"/>
        </w:rPr>
      </w:pPr>
      <w:r>
        <w:rPr>
          <w:b/>
          <w:bCs/>
          <w:szCs w:val="22"/>
        </w:rPr>
        <w:br w:type="page"/>
      </w:r>
    </w:p>
    <w:p w14:paraId="78D6E30B" w14:textId="2D9FE873" w:rsidR="00CF2725" w:rsidRDefault="00CF2725" w:rsidP="00CF2725">
      <w:pPr>
        <w:spacing w:line="240" w:lineRule="auto"/>
        <w:jc w:val="left"/>
        <w:rPr>
          <w:b/>
          <w:bCs/>
          <w:color w:val="C00000"/>
          <w:sz w:val="28"/>
          <w:szCs w:val="32"/>
        </w:rPr>
      </w:pPr>
      <w:r>
        <w:rPr>
          <w:b/>
          <w:bCs/>
          <w:color w:val="C00000"/>
          <w:sz w:val="28"/>
          <w:szCs w:val="32"/>
        </w:rPr>
        <w:lastRenderedPageBreak/>
        <w:t>Índice</w:t>
      </w:r>
      <w:r w:rsidRPr="00874511">
        <w:rPr>
          <w:b/>
          <w:bCs/>
          <w:color w:val="C00000"/>
          <w:sz w:val="28"/>
          <w:szCs w:val="32"/>
        </w:rPr>
        <w:t xml:space="preserve"> de </w:t>
      </w:r>
      <w:r>
        <w:rPr>
          <w:b/>
          <w:bCs/>
          <w:color w:val="C00000"/>
          <w:sz w:val="28"/>
          <w:szCs w:val="32"/>
        </w:rPr>
        <w:t>Tablas</w:t>
      </w:r>
    </w:p>
    <w:p w14:paraId="5FB1843D" w14:textId="77777777" w:rsidR="00CF2725" w:rsidRDefault="00CF2725" w:rsidP="00CF2725">
      <w:pPr>
        <w:spacing w:line="240" w:lineRule="auto"/>
        <w:jc w:val="left"/>
        <w:rPr>
          <w:b/>
          <w:bCs/>
          <w:color w:val="C00000"/>
          <w:sz w:val="28"/>
          <w:szCs w:val="32"/>
        </w:rPr>
      </w:pPr>
    </w:p>
    <w:p w14:paraId="6251CA0F" w14:textId="53416AF6" w:rsidR="00CF2725" w:rsidRPr="007B53C7" w:rsidRDefault="00CF2725">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r w:rsidRPr="007B53C7">
        <w:rPr>
          <w:rFonts w:ascii="Candara" w:hAnsi="Candara"/>
          <w:b/>
          <w:bCs/>
          <w:color w:val="3B3838" w:themeColor="background2" w:themeShade="40"/>
        </w:rPr>
        <w:fldChar w:fldCharType="begin"/>
      </w:r>
      <w:r w:rsidRPr="007B53C7">
        <w:rPr>
          <w:rFonts w:ascii="Candara" w:hAnsi="Candara"/>
          <w:b/>
          <w:bCs/>
          <w:color w:val="3B3838" w:themeColor="background2" w:themeShade="40"/>
        </w:rPr>
        <w:instrText xml:space="preserve"> TOC \h \z \c "Tabla" </w:instrText>
      </w:r>
      <w:r w:rsidRPr="007B53C7">
        <w:rPr>
          <w:rFonts w:ascii="Candara" w:hAnsi="Candara"/>
          <w:b/>
          <w:bCs/>
          <w:color w:val="3B3838" w:themeColor="background2" w:themeShade="40"/>
        </w:rPr>
        <w:fldChar w:fldCharType="separate"/>
      </w:r>
      <w:hyperlink w:anchor="_Toc165169911" w:history="1">
        <w:r w:rsidRPr="007B53C7">
          <w:rPr>
            <w:rStyle w:val="Hipervnculo"/>
            <w:rFonts w:ascii="Candara" w:hAnsi="Candara"/>
            <w:noProof/>
            <w:color w:val="3B3838" w:themeColor="background2" w:themeShade="40"/>
          </w:rPr>
          <w:t>Tabla 1. Objetivos Estratégicos de Bogotá Camina Segura</w:t>
        </w:r>
        <w:r w:rsidRPr="007B53C7">
          <w:rPr>
            <w:rFonts w:ascii="Candara" w:hAnsi="Candara"/>
            <w:noProof/>
            <w:webHidden/>
            <w:color w:val="3B3838" w:themeColor="background2" w:themeShade="40"/>
          </w:rPr>
          <w:tab/>
        </w:r>
        <w:r w:rsidRPr="007B53C7">
          <w:rPr>
            <w:rFonts w:ascii="Candara" w:hAnsi="Candara"/>
            <w:noProof/>
            <w:webHidden/>
            <w:color w:val="3B3838" w:themeColor="background2" w:themeShade="40"/>
          </w:rPr>
          <w:fldChar w:fldCharType="begin"/>
        </w:r>
        <w:r w:rsidRPr="007B53C7">
          <w:rPr>
            <w:rFonts w:ascii="Candara" w:hAnsi="Candara"/>
            <w:noProof/>
            <w:webHidden/>
            <w:color w:val="3B3838" w:themeColor="background2" w:themeShade="40"/>
          </w:rPr>
          <w:instrText xml:space="preserve"> PAGEREF _Toc165169911 \h </w:instrText>
        </w:r>
        <w:r w:rsidRPr="007B53C7">
          <w:rPr>
            <w:rFonts w:ascii="Candara" w:hAnsi="Candara"/>
            <w:noProof/>
            <w:webHidden/>
            <w:color w:val="3B3838" w:themeColor="background2" w:themeShade="40"/>
          </w:rPr>
        </w:r>
        <w:r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7</w:t>
        </w:r>
        <w:r w:rsidRPr="007B53C7">
          <w:rPr>
            <w:rFonts w:ascii="Candara" w:hAnsi="Candara"/>
            <w:noProof/>
            <w:webHidden/>
            <w:color w:val="3B3838" w:themeColor="background2" w:themeShade="40"/>
          </w:rPr>
          <w:fldChar w:fldCharType="end"/>
        </w:r>
      </w:hyperlink>
    </w:p>
    <w:p w14:paraId="76C19A28" w14:textId="1EF4C08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2" w:history="1">
        <w:r w:rsidR="00CF2725" w:rsidRPr="007B53C7">
          <w:rPr>
            <w:rStyle w:val="Hipervnculo"/>
            <w:rFonts w:ascii="Candara" w:hAnsi="Candara"/>
            <w:noProof/>
            <w:color w:val="3B3838" w:themeColor="background2" w:themeShade="40"/>
          </w:rPr>
          <w:t xml:space="preserve">Tabla 2. </w:t>
        </w:r>
        <w:r w:rsidR="00CF2725" w:rsidRPr="007B53C7">
          <w:rPr>
            <w:rStyle w:val="Hipervnculo"/>
            <w:rFonts w:ascii="Candara" w:hAnsi="Candara"/>
            <w:noProof/>
            <w:color w:val="3B3838" w:themeColor="background2" w:themeShade="40"/>
            <w:spacing w:val="-6"/>
          </w:rPr>
          <w:t>Categorías del enfoque de Derechos Humanos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25</w:t>
        </w:r>
        <w:r w:rsidR="00CF2725" w:rsidRPr="007B53C7">
          <w:rPr>
            <w:rFonts w:ascii="Candara" w:hAnsi="Candara"/>
            <w:noProof/>
            <w:webHidden/>
            <w:color w:val="3B3838" w:themeColor="background2" w:themeShade="40"/>
          </w:rPr>
          <w:fldChar w:fldCharType="end"/>
        </w:r>
      </w:hyperlink>
    </w:p>
    <w:p w14:paraId="7C43E245" w14:textId="10F8765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3" w:history="1">
        <w:r w:rsidR="00CF2725" w:rsidRPr="007B53C7">
          <w:rPr>
            <w:rStyle w:val="Hipervnculo"/>
            <w:rFonts w:ascii="Candara" w:hAnsi="Candara"/>
            <w:noProof/>
            <w:color w:val="3B3838" w:themeColor="background2" w:themeShade="40"/>
          </w:rPr>
          <w:t xml:space="preserve">Tabla 3. </w:t>
        </w:r>
        <w:r w:rsidR="00CF2725" w:rsidRPr="007B53C7">
          <w:rPr>
            <w:rStyle w:val="Hipervnculo"/>
            <w:rFonts w:ascii="Candara" w:hAnsi="Candara"/>
            <w:bCs/>
            <w:noProof/>
            <w:color w:val="3B3838" w:themeColor="background2" w:themeShade="40"/>
            <w:spacing w:val="-6"/>
          </w:rPr>
          <w:t>Proporción de la población por curso de vida, Bogotá (2018-2022-2026)</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36</w:t>
        </w:r>
        <w:r w:rsidR="00CF2725" w:rsidRPr="007B53C7">
          <w:rPr>
            <w:rFonts w:ascii="Candara" w:hAnsi="Candara"/>
            <w:noProof/>
            <w:webHidden/>
            <w:color w:val="3B3838" w:themeColor="background2" w:themeShade="40"/>
          </w:rPr>
          <w:fldChar w:fldCharType="end"/>
        </w:r>
      </w:hyperlink>
    </w:p>
    <w:p w14:paraId="534C6714" w14:textId="11C4252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4" w:history="1">
        <w:r w:rsidR="00CF2725" w:rsidRPr="007B53C7">
          <w:rPr>
            <w:rStyle w:val="Hipervnculo"/>
            <w:rFonts w:ascii="Candara" w:hAnsi="Candara"/>
            <w:noProof/>
            <w:color w:val="3B3838" w:themeColor="background2" w:themeShade="40"/>
          </w:rPr>
          <w:t xml:space="preserve">Tabla 4. </w:t>
        </w:r>
        <w:r w:rsidR="00CF2725" w:rsidRPr="007B53C7">
          <w:rPr>
            <w:rStyle w:val="Hipervnculo"/>
            <w:rFonts w:ascii="Candara" w:hAnsi="Candara"/>
            <w:bCs/>
            <w:noProof/>
            <w:color w:val="3B3838" w:themeColor="background2" w:themeShade="40"/>
            <w:spacing w:val="-6"/>
          </w:rPr>
          <w:t>Proporción de la población por curso de vida y sexo, Bogotá (2018-2022-2026)</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36</w:t>
        </w:r>
        <w:r w:rsidR="00CF2725" w:rsidRPr="007B53C7">
          <w:rPr>
            <w:rFonts w:ascii="Candara" w:hAnsi="Candara"/>
            <w:noProof/>
            <w:webHidden/>
            <w:color w:val="3B3838" w:themeColor="background2" w:themeShade="40"/>
          </w:rPr>
          <w:fldChar w:fldCharType="end"/>
        </w:r>
      </w:hyperlink>
    </w:p>
    <w:p w14:paraId="351B4767" w14:textId="7DB67CD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5" w:history="1">
        <w:r w:rsidR="00CF2725" w:rsidRPr="007B53C7">
          <w:rPr>
            <w:rStyle w:val="Hipervnculo"/>
            <w:rFonts w:ascii="Candara" w:hAnsi="Candara"/>
            <w:noProof/>
            <w:color w:val="3B3838" w:themeColor="background2" w:themeShade="40"/>
          </w:rPr>
          <w:t xml:space="preserve">Tabla 5. </w:t>
        </w:r>
        <w:r w:rsidR="00CF2725" w:rsidRPr="007B53C7">
          <w:rPr>
            <w:rStyle w:val="Hipervnculo"/>
            <w:rFonts w:ascii="Candara" w:hAnsi="Candara"/>
            <w:noProof/>
            <w:color w:val="3B3838" w:themeColor="background2" w:themeShade="40"/>
            <w:spacing w:val="-6"/>
          </w:rPr>
          <w:t>Población con discapacidad, según localidad de residencia y sexo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40</w:t>
        </w:r>
        <w:r w:rsidR="00CF2725" w:rsidRPr="007B53C7">
          <w:rPr>
            <w:rFonts w:ascii="Candara" w:hAnsi="Candara"/>
            <w:noProof/>
            <w:webHidden/>
            <w:color w:val="3B3838" w:themeColor="background2" w:themeShade="40"/>
          </w:rPr>
          <w:fldChar w:fldCharType="end"/>
        </w:r>
      </w:hyperlink>
    </w:p>
    <w:p w14:paraId="728F0BCA" w14:textId="160D4D9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6" w:history="1">
        <w:r w:rsidR="00CF2725" w:rsidRPr="007B53C7">
          <w:rPr>
            <w:rStyle w:val="Hipervnculo"/>
            <w:rFonts w:ascii="Candara" w:hAnsi="Candara"/>
            <w:noProof/>
            <w:color w:val="3B3838" w:themeColor="background2" w:themeShade="40"/>
          </w:rPr>
          <w:t xml:space="preserve">Tabla 6. </w:t>
        </w:r>
        <w:r w:rsidR="00CF2725" w:rsidRPr="007B53C7">
          <w:rPr>
            <w:rStyle w:val="Hipervnculo"/>
            <w:rFonts w:ascii="Candara" w:hAnsi="Candara"/>
            <w:noProof/>
            <w:color w:val="3B3838" w:themeColor="background2" w:themeShade="40"/>
            <w:spacing w:val="-6"/>
          </w:rPr>
          <w:t>Población con discapacidad, según edades quinquenales y sexo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41</w:t>
        </w:r>
        <w:r w:rsidR="00CF2725" w:rsidRPr="007B53C7">
          <w:rPr>
            <w:rFonts w:ascii="Candara" w:hAnsi="Candara"/>
            <w:noProof/>
            <w:webHidden/>
            <w:color w:val="3B3838" w:themeColor="background2" w:themeShade="40"/>
          </w:rPr>
          <w:fldChar w:fldCharType="end"/>
        </w:r>
      </w:hyperlink>
    </w:p>
    <w:p w14:paraId="74C42842" w14:textId="6545756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7" w:history="1">
        <w:r w:rsidR="00CF2725" w:rsidRPr="007B53C7">
          <w:rPr>
            <w:rStyle w:val="Hipervnculo"/>
            <w:rFonts w:ascii="Candara" w:hAnsi="Candara"/>
            <w:noProof/>
            <w:color w:val="3B3838" w:themeColor="background2" w:themeShade="40"/>
          </w:rPr>
          <w:t xml:space="preserve">Tabla 7. </w:t>
        </w:r>
        <w:r w:rsidR="00CF2725" w:rsidRPr="007B53C7">
          <w:rPr>
            <w:rStyle w:val="Hipervnculo"/>
            <w:rFonts w:ascii="Candara" w:hAnsi="Candara"/>
            <w:noProof/>
            <w:color w:val="3B3838" w:themeColor="background2" w:themeShade="40"/>
            <w:spacing w:val="-6"/>
          </w:rPr>
          <w:t>Población con discapacidad, condición “vivos” según barreras físicas y sexo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43</w:t>
        </w:r>
        <w:r w:rsidR="00CF2725" w:rsidRPr="007B53C7">
          <w:rPr>
            <w:rFonts w:ascii="Candara" w:hAnsi="Candara"/>
            <w:noProof/>
            <w:webHidden/>
            <w:color w:val="3B3838" w:themeColor="background2" w:themeShade="40"/>
          </w:rPr>
          <w:fldChar w:fldCharType="end"/>
        </w:r>
      </w:hyperlink>
    </w:p>
    <w:p w14:paraId="24497120" w14:textId="6F3FB63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8" w:history="1">
        <w:r w:rsidR="00CF2725" w:rsidRPr="007B53C7">
          <w:rPr>
            <w:rStyle w:val="Hipervnculo"/>
            <w:rFonts w:ascii="Candara" w:hAnsi="Candara"/>
            <w:noProof/>
            <w:color w:val="3B3838" w:themeColor="background2" w:themeShade="40"/>
          </w:rPr>
          <w:t xml:space="preserve">Tabla 8. </w:t>
        </w:r>
        <w:r w:rsidR="00CF2725" w:rsidRPr="007B53C7">
          <w:rPr>
            <w:rStyle w:val="Hipervnculo"/>
            <w:rFonts w:ascii="Candara" w:hAnsi="Candara"/>
            <w:noProof/>
            <w:color w:val="3B3838" w:themeColor="background2" w:themeShade="40"/>
            <w:spacing w:val="-6"/>
          </w:rPr>
          <w:t>Población habitante de Bogotá según autorreconocimiento étnico y zona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47</w:t>
        </w:r>
        <w:r w:rsidR="00CF2725" w:rsidRPr="007B53C7">
          <w:rPr>
            <w:rFonts w:ascii="Candara" w:hAnsi="Candara"/>
            <w:noProof/>
            <w:webHidden/>
            <w:color w:val="3B3838" w:themeColor="background2" w:themeShade="40"/>
          </w:rPr>
          <w:fldChar w:fldCharType="end"/>
        </w:r>
      </w:hyperlink>
    </w:p>
    <w:p w14:paraId="3085A9EC" w14:textId="3626986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19" w:history="1">
        <w:r w:rsidR="00CF2725" w:rsidRPr="007B53C7">
          <w:rPr>
            <w:rStyle w:val="Hipervnculo"/>
            <w:rFonts w:ascii="Candara" w:hAnsi="Candara"/>
            <w:noProof/>
            <w:color w:val="3B3838" w:themeColor="background2" w:themeShade="40"/>
          </w:rPr>
          <w:t>Tabla 9. Plan Plurianual de Inversiones - Plan Distrital de Desarrollo 2024 – 2027 “Bogotá Camina Segura”  (miles de millones de pesos constantes 2024)</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_Toc165169919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62</w:t>
        </w:r>
        <w:r w:rsidR="00CF2725" w:rsidRPr="007B53C7">
          <w:rPr>
            <w:rFonts w:ascii="Candara" w:hAnsi="Candara"/>
            <w:noProof/>
            <w:webHidden/>
            <w:color w:val="3B3838" w:themeColor="background2" w:themeShade="40"/>
          </w:rPr>
          <w:fldChar w:fldCharType="end"/>
        </w:r>
      </w:hyperlink>
    </w:p>
    <w:p w14:paraId="12D49FA6" w14:textId="0131510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0" w:history="1">
        <w:r w:rsidR="00CF2725" w:rsidRPr="007B53C7">
          <w:rPr>
            <w:rStyle w:val="Hipervnculo"/>
            <w:rFonts w:ascii="Candara" w:hAnsi="Candara"/>
            <w:noProof/>
            <w:color w:val="3B3838" w:themeColor="background2" w:themeShade="40"/>
          </w:rPr>
          <w:t>Tabla 10. Plan Plurianual de Inversiones por sector - Total 2024-2027  (miles de millones de pesos constantes 2024)</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63</w:t>
        </w:r>
        <w:r w:rsidR="00CF2725" w:rsidRPr="007B53C7">
          <w:rPr>
            <w:rFonts w:ascii="Candara" w:hAnsi="Candara"/>
            <w:noProof/>
            <w:webHidden/>
            <w:color w:val="3B3838" w:themeColor="background2" w:themeShade="40"/>
          </w:rPr>
          <w:fldChar w:fldCharType="end"/>
        </w:r>
      </w:hyperlink>
    </w:p>
    <w:p w14:paraId="01FD5FC7" w14:textId="36393E6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1" w:history="1">
        <w:r w:rsidR="00CF2725" w:rsidRPr="007B53C7">
          <w:rPr>
            <w:rStyle w:val="Hipervnculo"/>
            <w:rFonts w:ascii="Candara" w:hAnsi="Candara"/>
            <w:noProof/>
            <w:color w:val="3B3838" w:themeColor="background2" w:themeShade="40"/>
          </w:rPr>
          <w:t>Tabla 11. Top 5 de los comportamientos contrarios a la convivencia más comunes en Bogotá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81</w:t>
        </w:r>
        <w:r w:rsidR="00CF2725" w:rsidRPr="007B53C7">
          <w:rPr>
            <w:rFonts w:ascii="Candara" w:hAnsi="Candara"/>
            <w:noProof/>
            <w:webHidden/>
            <w:color w:val="3B3838" w:themeColor="background2" w:themeShade="40"/>
          </w:rPr>
          <w:fldChar w:fldCharType="end"/>
        </w:r>
      </w:hyperlink>
    </w:p>
    <w:p w14:paraId="704FF8CE" w14:textId="504CA07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2" w:history="1">
        <w:r w:rsidR="00CF2725" w:rsidRPr="007B53C7">
          <w:rPr>
            <w:rStyle w:val="Hipervnculo"/>
            <w:rFonts w:ascii="Candara" w:hAnsi="Candara"/>
            <w:noProof/>
            <w:color w:val="3B3838" w:themeColor="background2" w:themeShade="40"/>
          </w:rPr>
          <w:t>Tabla 12. Número de protestas y etapas de finalización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82</w:t>
        </w:r>
        <w:r w:rsidR="00CF2725" w:rsidRPr="007B53C7">
          <w:rPr>
            <w:rFonts w:ascii="Candara" w:hAnsi="Candara"/>
            <w:noProof/>
            <w:webHidden/>
            <w:color w:val="3B3838" w:themeColor="background2" w:themeShade="40"/>
          </w:rPr>
          <w:fldChar w:fldCharType="end"/>
        </w:r>
      </w:hyperlink>
    </w:p>
    <w:p w14:paraId="4708FAC9" w14:textId="6E7ED1C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3" w:history="1">
        <w:r w:rsidR="00CF2725" w:rsidRPr="007B53C7">
          <w:rPr>
            <w:rStyle w:val="Hipervnculo"/>
            <w:rFonts w:ascii="Candara" w:hAnsi="Candara"/>
            <w:noProof/>
            <w:color w:val="3B3838" w:themeColor="background2" w:themeShade="40"/>
          </w:rPr>
          <w:t>Tabla 13. Metas del programa 1: Diálogo social y cultura ciudadana para la convivencia  pacífica y la recuperación de la confianza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84</w:t>
        </w:r>
        <w:r w:rsidR="00CF2725" w:rsidRPr="007B53C7">
          <w:rPr>
            <w:rFonts w:ascii="Candara" w:hAnsi="Candara"/>
            <w:noProof/>
            <w:webHidden/>
            <w:color w:val="3B3838" w:themeColor="background2" w:themeShade="40"/>
          </w:rPr>
          <w:fldChar w:fldCharType="end"/>
        </w:r>
      </w:hyperlink>
    </w:p>
    <w:p w14:paraId="3E89DCD7" w14:textId="1787E05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4" w:history="1">
        <w:r w:rsidR="00CF2725" w:rsidRPr="007B53C7">
          <w:rPr>
            <w:rStyle w:val="Hipervnculo"/>
            <w:rFonts w:ascii="Candara" w:hAnsi="Candara"/>
            <w:noProof/>
            <w:color w:val="3B3838" w:themeColor="background2" w:themeShade="40"/>
          </w:rPr>
          <w:t>Tabla 14. Número de exámenes médico-legales según tipo de violencia no fatal y sexo (Bogotá, 2019-2023)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86</w:t>
        </w:r>
        <w:r w:rsidR="00CF2725" w:rsidRPr="007B53C7">
          <w:rPr>
            <w:rFonts w:ascii="Candara" w:hAnsi="Candara"/>
            <w:noProof/>
            <w:webHidden/>
            <w:color w:val="3B3838" w:themeColor="background2" w:themeShade="40"/>
          </w:rPr>
          <w:fldChar w:fldCharType="end"/>
        </w:r>
      </w:hyperlink>
    </w:p>
    <w:p w14:paraId="49EA0C8E" w14:textId="463D9AA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5" w:history="1">
        <w:r w:rsidR="00CF2725" w:rsidRPr="007B53C7">
          <w:rPr>
            <w:rStyle w:val="Hipervnculo"/>
            <w:rFonts w:ascii="Candara" w:hAnsi="Candara"/>
            <w:noProof/>
            <w:color w:val="3B3838" w:themeColor="background2" w:themeShade="40"/>
          </w:rPr>
          <w:t>Tabla 15. Casos de mujeres asesinadas y, entre ellos, los tipificados como feminicidios (Bogotá, 2020-2023)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87</w:t>
        </w:r>
        <w:r w:rsidR="00CF2725" w:rsidRPr="007B53C7">
          <w:rPr>
            <w:rFonts w:ascii="Candara" w:hAnsi="Candara"/>
            <w:noProof/>
            <w:webHidden/>
            <w:color w:val="3B3838" w:themeColor="background2" w:themeShade="40"/>
          </w:rPr>
          <w:fldChar w:fldCharType="end"/>
        </w:r>
      </w:hyperlink>
    </w:p>
    <w:p w14:paraId="32F0855E" w14:textId="3ED0FF3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6" w:history="1">
        <w:r w:rsidR="00CF2725" w:rsidRPr="007B53C7">
          <w:rPr>
            <w:rStyle w:val="Hipervnculo"/>
            <w:rFonts w:ascii="Candara" w:hAnsi="Candara"/>
            <w:noProof/>
            <w:color w:val="3B3838" w:themeColor="background2" w:themeShade="40"/>
          </w:rPr>
          <w:t>Tabla 16. Casos reportados de mujeres en riesgo de feminicidio, según grado de riesgo (Bogotá, 2020-2023)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87</w:t>
        </w:r>
        <w:r w:rsidR="00CF2725" w:rsidRPr="007B53C7">
          <w:rPr>
            <w:rFonts w:ascii="Candara" w:hAnsi="Candara"/>
            <w:noProof/>
            <w:webHidden/>
            <w:color w:val="3B3838" w:themeColor="background2" w:themeShade="40"/>
          </w:rPr>
          <w:fldChar w:fldCharType="end"/>
        </w:r>
      </w:hyperlink>
    </w:p>
    <w:p w14:paraId="5039428F" w14:textId="66B1052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7" w:history="1">
        <w:r w:rsidR="00CF2725" w:rsidRPr="007B53C7">
          <w:rPr>
            <w:rStyle w:val="Hipervnculo"/>
            <w:rFonts w:ascii="Candara" w:hAnsi="Candara"/>
            <w:noProof/>
            <w:color w:val="3B3838" w:themeColor="background2" w:themeShade="40"/>
          </w:rPr>
          <w:t>Tabla 17. Metas del programa 2: Cero tolerancia a las violencias contra las mujeres y basadas en género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90</w:t>
        </w:r>
        <w:r w:rsidR="00CF2725" w:rsidRPr="007B53C7">
          <w:rPr>
            <w:rFonts w:ascii="Candara" w:hAnsi="Candara"/>
            <w:noProof/>
            <w:webHidden/>
            <w:color w:val="3B3838" w:themeColor="background2" w:themeShade="40"/>
          </w:rPr>
          <w:fldChar w:fldCharType="end"/>
        </w:r>
      </w:hyperlink>
    </w:p>
    <w:p w14:paraId="3FBB58DE" w14:textId="663C6A6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8" w:history="1">
        <w:r w:rsidR="00CF2725" w:rsidRPr="007B53C7">
          <w:rPr>
            <w:rStyle w:val="Hipervnculo"/>
            <w:rFonts w:ascii="Candara" w:hAnsi="Candara"/>
            <w:noProof/>
            <w:color w:val="3B3838" w:themeColor="background2" w:themeShade="40"/>
          </w:rPr>
          <w:t>Tabla 18. Metas del programa 3: Desmantelamiento de estructuras criminales y delincuenciales con mejores capacidades y activos tecnológicos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95</w:t>
        </w:r>
        <w:r w:rsidR="00CF2725" w:rsidRPr="007B53C7">
          <w:rPr>
            <w:rFonts w:ascii="Candara" w:hAnsi="Candara"/>
            <w:noProof/>
            <w:webHidden/>
            <w:color w:val="3B3838" w:themeColor="background2" w:themeShade="40"/>
          </w:rPr>
          <w:fldChar w:fldCharType="end"/>
        </w:r>
      </w:hyperlink>
    </w:p>
    <w:p w14:paraId="114D0C3A" w14:textId="502F25E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29" w:history="1">
        <w:r w:rsidR="00CF2725" w:rsidRPr="007B53C7">
          <w:rPr>
            <w:rStyle w:val="Hipervnculo"/>
            <w:rFonts w:ascii="Candara" w:hAnsi="Candara"/>
            <w:noProof/>
            <w:color w:val="3B3838" w:themeColor="background2" w:themeShade="40"/>
          </w:rPr>
          <w:t>Tabla 19. Visitas y atenciones históricas a Casas de Justicia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_Toc165169929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96</w:t>
        </w:r>
        <w:r w:rsidR="00CF2725" w:rsidRPr="007B53C7">
          <w:rPr>
            <w:rFonts w:ascii="Candara" w:hAnsi="Candara"/>
            <w:noProof/>
            <w:webHidden/>
            <w:color w:val="3B3838" w:themeColor="background2" w:themeShade="40"/>
          </w:rPr>
          <w:fldChar w:fldCharType="end"/>
        </w:r>
      </w:hyperlink>
    </w:p>
    <w:p w14:paraId="53DABCCC" w14:textId="500BE22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0" w:history="1">
        <w:r w:rsidR="00CF2725" w:rsidRPr="007B53C7">
          <w:rPr>
            <w:rStyle w:val="Hipervnculo"/>
            <w:rFonts w:ascii="Candara" w:hAnsi="Candara"/>
            <w:noProof/>
            <w:color w:val="3B3838" w:themeColor="background2" w:themeShade="40"/>
          </w:rPr>
          <w:t>Tabla 20. Metas del programa 4: Servicios centrados en la justicia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101</w:t>
        </w:r>
        <w:r w:rsidR="00CF2725" w:rsidRPr="007B53C7">
          <w:rPr>
            <w:rFonts w:ascii="Candara" w:hAnsi="Candara"/>
            <w:noProof/>
            <w:webHidden/>
            <w:color w:val="3B3838" w:themeColor="background2" w:themeShade="40"/>
          </w:rPr>
          <w:fldChar w:fldCharType="end"/>
        </w:r>
      </w:hyperlink>
    </w:p>
    <w:p w14:paraId="0989D300" w14:textId="4DF475B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1" w:history="1">
        <w:r w:rsidR="00CF2725" w:rsidRPr="007B53C7">
          <w:rPr>
            <w:rStyle w:val="Hipervnculo"/>
            <w:rFonts w:ascii="Candara" w:hAnsi="Candara"/>
            <w:noProof/>
            <w:color w:val="3B3838" w:themeColor="background2" w:themeShade="40"/>
          </w:rPr>
          <w:t>Tabla 21. Metas del programa 5: Espacio público seguro e inclusivo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108</w:t>
        </w:r>
        <w:r w:rsidR="00CF2725" w:rsidRPr="007B53C7">
          <w:rPr>
            <w:rFonts w:ascii="Candara" w:hAnsi="Candara"/>
            <w:noProof/>
            <w:webHidden/>
            <w:color w:val="3B3838" w:themeColor="background2" w:themeShade="40"/>
          </w:rPr>
          <w:fldChar w:fldCharType="end"/>
        </w:r>
      </w:hyperlink>
    </w:p>
    <w:p w14:paraId="07706844" w14:textId="0007904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2" w:history="1">
        <w:r w:rsidR="00CF2725" w:rsidRPr="007B53C7">
          <w:rPr>
            <w:rStyle w:val="Hipervnculo"/>
            <w:rFonts w:ascii="Candara" w:hAnsi="Candara"/>
            <w:noProof/>
            <w:color w:val="3B3838" w:themeColor="background2" w:themeShade="40"/>
          </w:rPr>
          <w:t>Tabla 22. Programa de movilidad segura orientado a niños y niñas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113</w:t>
        </w:r>
        <w:r w:rsidR="00CF2725" w:rsidRPr="007B53C7">
          <w:rPr>
            <w:rFonts w:ascii="Candara" w:hAnsi="Candara"/>
            <w:noProof/>
            <w:webHidden/>
            <w:color w:val="3B3838" w:themeColor="background2" w:themeShade="40"/>
          </w:rPr>
          <w:fldChar w:fldCharType="end"/>
        </w:r>
      </w:hyperlink>
    </w:p>
    <w:p w14:paraId="7E5CB431" w14:textId="17C9FFF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3" w:history="1">
        <w:r w:rsidR="00CF2725" w:rsidRPr="007B53C7">
          <w:rPr>
            <w:rStyle w:val="Hipervnculo"/>
            <w:rFonts w:ascii="Candara" w:hAnsi="Candara"/>
            <w:noProof/>
            <w:color w:val="3B3838" w:themeColor="background2" w:themeShade="40"/>
          </w:rPr>
          <w:t>Tabla 23. Metas del programa 6: Movilidad segura e inclusiva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116</w:t>
        </w:r>
        <w:r w:rsidR="00CF2725" w:rsidRPr="007B53C7">
          <w:rPr>
            <w:rFonts w:ascii="Candara" w:hAnsi="Candara"/>
            <w:noProof/>
            <w:webHidden/>
            <w:color w:val="3B3838" w:themeColor="background2" w:themeShade="40"/>
          </w:rPr>
          <w:fldChar w:fldCharType="end"/>
        </w:r>
      </w:hyperlink>
    </w:p>
    <w:p w14:paraId="4579C48B" w14:textId="0F80A97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4" w:history="1">
        <w:r w:rsidR="00CF2725" w:rsidRPr="007B53C7">
          <w:rPr>
            <w:rStyle w:val="Hipervnculo"/>
            <w:rFonts w:ascii="Candara" w:hAnsi="Candara"/>
            <w:noProof/>
            <w:color w:val="3B3838" w:themeColor="background2" w:themeShade="40"/>
          </w:rPr>
          <w:t>Tabla 24. Índice de pobreza multidimensional (IPM) según sexo (jefaturas de hogar)</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126</w:t>
        </w:r>
        <w:r w:rsidR="00CF2725" w:rsidRPr="007B53C7">
          <w:rPr>
            <w:rFonts w:ascii="Candara" w:hAnsi="Candara"/>
            <w:noProof/>
            <w:webHidden/>
            <w:color w:val="3B3838" w:themeColor="background2" w:themeShade="40"/>
          </w:rPr>
          <w:fldChar w:fldCharType="end"/>
        </w:r>
      </w:hyperlink>
    </w:p>
    <w:p w14:paraId="6B75F55D" w14:textId="290E72B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5" w:history="1">
        <w:r w:rsidR="00CF2725" w:rsidRPr="007B53C7">
          <w:rPr>
            <w:rStyle w:val="Hipervnculo"/>
            <w:rFonts w:ascii="Candara" w:hAnsi="Candara"/>
            <w:noProof/>
            <w:color w:val="3B3838" w:themeColor="background2" w:themeShade="40"/>
          </w:rPr>
          <w:t>Tabla 25. Metas del programa 7: Bogotá, una ciudad con menos pobreza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129</w:t>
        </w:r>
        <w:r w:rsidR="00CF2725" w:rsidRPr="007B53C7">
          <w:rPr>
            <w:rFonts w:ascii="Candara" w:hAnsi="Candara"/>
            <w:noProof/>
            <w:webHidden/>
            <w:color w:val="3B3838" w:themeColor="background2" w:themeShade="40"/>
          </w:rPr>
          <w:fldChar w:fldCharType="end"/>
        </w:r>
      </w:hyperlink>
    </w:p>
    <w:p w14:paraId="2752EE11" w14:textId="4A689BF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6" w:history="1">
        <w:r w:rsidR="00CF2725" w:rsidRPr="007B53C7">
          <w:rPr>
            <w:rStyle w:val="Hipervnculo"/>
            <w:rFonts w:ascii="Candara" w:hAnsi="Candara"/>
            <w:noProof/>
            <w:color w:val="3B3838" w:themeColor="background2" w:themeShade="40"/>
          </w:rPr>
          <w:t>Tabla 26. Metas del programa 8: Erradicación del hambre en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133</w:t>
        </w:r>
        <w:r w:rsidR="00CF2725" w:rsidRPr="007B53C7">
          <w:rPr>
            <w:rFonts w:ascii="Candara" w:hAnsi="Candara"/>
            <w:noProof/>
            <w:webHidden/>
            <w:color w:val="3B3838" w:themeColor="background2" w:themeShade="40"/>
          </w:rPr>
          <w:fldChar w:fldCharType="end"/>
        </w:r>
      </w:hyperlink>
    </w:p>
    <w:p w14:paraId="3383D0A0" w14:textId="317E8D9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7" w:history="1">
        <w:r w:rsidR="00CF2725" w:rsidRPr="007B53C7">
          <w:rPr>
            <w:rStyle w:val="Hipervnculo"/>
            <w:rFonts w:ascii="Candara" w:hAnsi="Candara"/>
            <w:noProof/>
            <w:color w:val="3B3838" w:themeColor="background2" w:themeShade="40"/>
          </w:rPr>
          <w:t>Tabla 27. Metas del programa 9: Reducción de formas extremas de exclusión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138</w:t>
        </w:r>
        <w:r w:rsidR="00CF2725" w:rsidRPr="007B53C7">
          <w:rPr>
            <w:rFonts w:ascii="Candara" w:hAnsi="Candara"/>
            <w:noProof/>
            <w:webHidden/>
            <w:color w:val="3B3838" w:themeColor="background2" w:themeShade="40"/>
          </w:rPr>
          <w:fldChar w:fldCharType="end"/>
        </w:r>
      </w:hyperlink>
    </w:p>
    <w:p w14:paraId="62E76AC8" w14:textId="4CAA5E5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8" w:history="1">
        <w:r w:rsidR="00CF2725" w:rsidRPr="007B53C7">
          <w:rPr>
            <w:rStyle w:val="Hipervnculo"/>
            <w:rFonts w:ascii="Candara" w:hAnsi="Candara"/>
            <w:noProof/>
            <w:color w:val="3B3838" w:themeColor="background2" w:themeShade="40"/>
          </w:rPr>
          <w:t>Tabla 28. Metas del programa 10: Salud pública integrada e integral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141</w:t>
        </w:r>
        <w:r w:rsidR="00CF2725" w:rsidRPr="007B53C7">
          <w:rPr>
            <w:rFonts w:ascii="Candara" w:hAnsi="Candara"/>
            <w:noProof/>
            <w:webHidden/>
            <w:color w:val="3B3838" w:themeColor="background2" w:themeShade="40"/>
          </w:rPr>
          <w:fldChar w:fldCharType="end"/>
        </w:r>
      </w:hyperlink>
    </w:p>
    <w:p w14:paraId="62F860A2" w14:textId="03E3583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39" w:history="1">
        <w:r w:rsidR="00CF2725" w:rsidRPr="007B53C7">
          <w:rPr>
            <w:rStyle w:val="Hipervnculo"/>
            <w:rFonts w:ascii="Candara" w:hAnsi="Candara"/>
            <w:noProof/>
            <w:color w:val="3B3838" w:themeColor="background2" w:themeShade="40"/>
          </w:rPr>
          <w:t>Tabla 29. Metas del programa 11: Salud con calidad y en el territorio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_Toc165169939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148</w:t>
        </w:r>
        <w:r w:rsidR="00CF2725" w:rsidRPr="007B53C7">
          <w:rPr>
            <w:rFonts w:ascii="Candara" w:hAnsi="Candara"/>
            <w:noProof/>
            <w:webHidden/>
            <w:color w:val="3B3838" w:themeColor="background2" w:themeShade="40"/>
          </w:rPr>
          <w:fldChar w:fldCharType="end"/>
        </w:r>
      </w:hyperlink>
    </w:p>
    <w:p w14:paraId="6DA008DB" w14:textId="24A5CFB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0" w:history="1">
        <w:r w:rsidR="00CF2725" w:rsidRPr="007B53C7">
          <w:rPr>
            <w:rStyle w:val="Hipervnculo"/>
            <w:rFonts w:ascii="Candara" w:hAnsi="Candara"/>
            <w:noProof/>
            <w:color w:val="3B3838" w:themeColor="background2" w:themeShade="40"/>
          </w:rPr>
          <w:t>Tabla 30. Personas de 18 años o más que se han sentido discriminadas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149</w:t>
        </w:r>
        <w:r w:rsidR="00CF2725" w:rsidRPr="007B53C7">
          <w:rPr>
            <w:rFonts w:ascii="Candara" w:hAnsi="Candara"/>
            <w:noProof/>
            <w:webHidden/>
            <w:color w:val="3B3838" w:themeColor="background2" w:themeShade="40"/>
          </w:rPr>
          <w:fldChar w:fldCharType="end"/>
        </w:r>
      </w:hyperlink>
    </w:p>
    <w:p w14:paraId="2F80A9E1" w14:textId="79A141A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1" w:history="1">
        <w:r w:rsidR="00CF2725" w:rsidRPr="007B53C7">
          <w:rPr>
            <w:rStyle w:val="Hipervnculo"/>
            <w:rFonts w:ascii="Candara" w:hAnsi="Candara"/>
            <w:noProof/>
            <w:color w:val="3B3838" w:themeColor="background2" w:themeShade="40"/>
          </w:rPr>
          <w:t>Tabla 31. Metas del programa 12: Bogotá cuida a su gente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152</w:t>
        </w:r>
        <w:r w:rsidR="00CF2725" w:rsidRPr="007B53C7">
          <w:rPr>
            <w:rFonts w:ascii="Candara" w:hAnsi="Candara"/>
            <w:noProof/>
            <w:webHidden/>
            <w:color w:val="3B3838" w:themeColor="background2" w:themeShade="40"/>
          </w:rPr>
          <w:fldChar w:fldCharType="end"/>
        </w:r>
      </w:hyperlink>
    </w:p>
    <w:p w14:paraId="7601DB00" w14:textId="3CA04BC0"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2" w:history="1">
        <w:r w:rsidR="00CF2725" w:rsidRPr="007B53C7">
          <w:rPr>
            <w:rStyle w:val="Hipervnculo"/>
            <w:rFonts w:ascii="Candara" w:hAnsi="Candara"/>
            <w:noProof/>
            <w:color w:val="3B3838" w:themeColor="background2" w:themeShade="40"/>
          </w:rPr>
          <w:t>Tabla 32. Metas del programa 13: Bogotá, un territorio de paz y reconciliación donde todos puedan volver a empezar</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161</w:t>
        </w:r>
        <w:r w:rsidR="00CF2725" w:rsidRPr="007B53C7">
          <w:rPr>
            <w:rFonts w:ascii="Candara" w:hAnsi="Candara"/>
            <w:noProof/>
            <w:webHidden/>
            <w:color w:val="3B3838" w:themeColor="background2" w:themeShade="40"/>
          </w:rPr>
          <w:fldChar w:fldCharType="end"/>
        </w:r>
      </w:hyperlink>
    </w:p>
    <w:p w14:paraId="403B8D08" w14:textId="09F41C9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3" w:history="1">
        <w:r w:rsidR="00CF2725" w:rsidRPr="007B53C7">
          <w:rPr>
            <w:rStyle w:val="Hipervnculo"/>
            <w:rFonts w:ascii="Candara" w:hAnsi="Candara"/>
            <w:noProof/>
            <w:color w:val="3B3838" w:themeColor="background2" w:themeShade="40"/>
          </w:rPr>
          <w:t>Tabla 33. Metas del programa 14: Bogotá deportiva, recreativa, artística, patrimonial e intercultural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169</w:t>
        </w:r>
        <w:r w:rsidR="00CF2725" w:rsidRPr="007B53C7">
          <w:rPr>
            <w:rFonts w:ascii="Candara" w:hAnsi="Candara"/>
            <w:noProof/>
            <w:webHidden/>
            <w:color w:val="3B3838" w:themeColor="background2" w:themeShade="40"/>
          </w:rPr>
          <w:fldChar w:fldCharType="end"/>
        </w:r>
      </w:hyperlink>
    </w:p>
    <w:p w14:paraId="479E3376" w14:textId="450203D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4" w:history="1">
        <w:r w:rsidR="00CF2725" w:rsidRPr="007B53C7">
          <w:rPr>
            <w:rStyle w:val="Hipervnculo"/>
            <w:rFonts w:ascii="Candara" w:hAnsi="Candara"/>
            <w:noProof/>
            <w:color w:val="3B3838" w:themeColor="background2" w:themeShade="40"/>
          </w:rPr>
          <w:t>Tabla 34. Metas del programa 15: Bogotá protege todas las formas de vida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174</w:t>
        </w:r>
        <w:r w:rsidR="00CF2725" w:rsidRPr="007B53C7">
          <w:rPr>
            <w:rFonts w:ascii="Candara" w:hAnsi="Candara"/>
            <w:noProof/>
            <w:webHidden/>
            <w:color w:val="3B3838" w:themeColor="background2" w:themeShade="40"/>
          </w:rPr>
          <w:fldChar w:fldCharType="end"/>
        </w:r>
      </w:hyperlink>
    </w:p>
    <w:p w14:paraId="1B29219E" w14:textId="1F300FD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5" w:history="1">
        <w:r w:rsidR="00CF2725" w:rsidRPr="007B53C7">
          <w:rPr>
            <w:rStyle w:val="Hipervnculo"/>
            <w:rFonts w:ascii="Candara" w:hAnsi="Candara"/>
            <w:noProof/>
            <w:color w:val="3B3838" w:themeColor="background2" w:themeShade="40"/>
          </w:rPr>
          <w:t>Tabla 35. Metas del programa 16: La educación como eje del potencial humano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185</w:t>
        </w:r>
        <w:r w:rsidR="00CF2725" w:rsidRPr="007B53C7">
          <w:rPr>
            <w:rFonts w:ascii="Candara" w:hAnsi="Candara"/>
            <w:noProof/>
            <w:webHidden/>
            <w:color w:val="3B3838" w:themeColor="background2" w:themeShade="40"/>
          </w:rPr>
          <w:fldChar w:fldCharType="end"/>
        </w:r>
      </w:hyperlink>
    </w:p>
    <w:p w14:paraId="13FB6585" w14:textId="5B20364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6" w:history="1">
        <w:r w:rsidR="00CF2725" w:rsidRPr="007B53C7">
          <w:rPr>
            <w:rStyle w:val="Hipervnculo"/>
            <w:rFonts w:ascii="Candara" w:hAnsi="Candara"/>
            <w:noProof/>
            <w:color w:val="3B3838" w:themeColor="background2" w:themeShade="40"/>
          </w:rPr>
          <w:t>Tabla 36. Metas Formación para el trabajo y acceso a oportunidades educativas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192</w:t>
        </w:r>
        <w:r w:rsidR="00CF2725" w:rsidRPr="007B53C7">
          <w:rPr>
            <w:rFonts w:ascii="Candara" w:hAnsi="Candara"/>
            <w:noProof/>
            <w:webHidden/>
            <w:color w:val="3B3838" w:themeColor="background2" w:themeShade="40"/>
          </w:rPr>
          <w:fldChar w:fldCharType="end"/>
        </w:r>
      </w:hyperlink>
    </w:p>
    <w:p w14:paraId="2E725EDB" w14:textId="2EC8A6E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7" w:history="1">
        <w:r w:rsidR="00CF2725" w:rsidRPr="007B53C7">
          <w:rPr>
            <w:rStyle w:val="Hipervnculo"/>
            <w:rFonts w:ascii="Candara" w:hAnsi="Candara"/>
            <w:noProof/>
            <w:color w:val="3B3838" w:themeColor="background2" w:themeShade="40"/>
          </w:rPr>
          <w:t>Tabla 37. Indicadores de impacto en el turismo de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195</w:t>
        </w:r>
        <w:r w:rsidR="00CF2725" w:rsidRPr="007B53C7">
          <w:rPr>
            <w:rFonts w:ascii="Candara" w:hAnsi="Candara"/>
            <w:noProof/>
            <w:webHidden/>
            <w:color w:val="3B3838" w:themeColor="background2" w:themeShade="40"/>
          </w:rPr>
          <w:fldChar w:fldCharType="end"/>
        </w:r>
      </w:hyperlink>
    </w:p>
    <w:p w14:paraId="74ADD298" w14:textId="47E110C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8" w:history="1">
        <w:r w:rsidR="00CF2725" w:rsidRPr="007B53C7">
          <w:rPr>
            <w:rStyle w:val="Hipervnculo"/>
            <w:rFonts w:ascii="Candara" w:hAnsi="Candara"/>
            <w:noProof/>
            <w:color w:val="3B3838" w:themeColor="background2" w:themeShade="40"/>
          </w:rPr>
          <w:t>Tabla 38. Metas del programa Ciencia, Tecnología e Innovación (CTel)  para desarrollar nuestro potencial y promover el de nuestros vecinos regionales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197</w:t>
        </w:r>
        <w:r w:rsidR="00CF2725" w:rsidRPr="007B53C7">
          <w:rPr>
            <w:rFonts w:ascii="Candara" w:hAnsi="Candara"/>
            <w:noProof/>
            <w:webHidden/>
            <w:color w:val="3B3838" w:themeColor="background2" w:themeShade="40"/>
          </w:rPr>
          <w:fldChar w:fldCharType="end"/>
        </w:r>
      </w:hyperlink>
    </w:p>
    <w:p w14:paraId="4B7505A8" w14:textId="6C7CC5B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49" w:history="1">
        <w:r w:rsidR="00CF2725" w:rsidRPr="007B53C7">
          <w:rPr>
            <w:rStyle w:val="Hipervnculo"/>
            <w:rFonts w:ascii="Candara" w:hAnsi="Candara"/>
            <w:noProof/>
            <w:color w:val="3B3838" w:themeColor="background2" w:themeShade="40"/>
          </w:rPr>
          <w:t>Tabla 39. Brecha entre hombres y mujeres en la media de ingresos laborales en Bogotá (2021)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_Toc165169949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200</w:t>
        </w:r>
        <w:r w:rsidR="00CF2725" w:rsidRPr="007B53C7">
          <w:rPr>
            <w:rFonts w:ascii="Candara" w:hAnsi="Candara"/>
            <w:noProof/>
            <w:webHidden/>
            <w:color w:val="3B3838" w:themeColor="background2" w:themeShade="40"/>
          </w:rPr>
          <w:fldChar w:fldCharType="end"/>
        </w:r>
      </w:hyperlink>
    </w:p>
    <w:p w14:paraId="6366E25C" w14:textId="588F511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0" w:history="1">
        <w:r w:rsidR="00CF2725" w:rsidRPr="007B53C7">
          <w:rPr>
            <w:rStyle w:val="Hipervnculo"/>
            <w:rFonts w:ascii="Candara" w:hAnsi="Candara"/>
            <w:noProof/>
            <w:color w:val="3B3838" w:themeColor="background2" w:themeShade="40"/>
          </w:rPr>
          <w:t>Tabla 40. Metas del programa 19: Desarrollo empresarial, productividad y empleo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203</w:t>
        </w:r>
        <w:r w:rsidR="00CF2725" w:rsidRPr="007B53C7">
          <w:rPr>
            <w:rFonts w:ascii="Candara" w:hAnsi="Candara"/>
            <w:noProof/>
            <w:webHidden/>
            <w:color w:val="3B3838" w:themeColor="background2" w:themeShade="40"/>
          </w:rPr>
          <w:fldChar w:fldCharType="end"/>
        </w:r>
      </w:hyperlink>
    </w:p>
    <w:p w14:paraId="7D06C593" w14:textId="11D4DA8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1" w:history="1">
        <w:r w:rsidR="00CF2725" w:rsidRPr="007B53C7">
          <w:rPr>
            <w:rStyle w:val="Hipervnculo"/>
            <w:rFonts w:ascii="Candara" w:hAnsi="Candara"/>
            <w:noProof/>
            <w:color w:val="3B3838" w:themeColor="background2" w:themeShade="40"/>
          </w:rPr>
          <w:t>Tabla 41. Metas del programa Promoción del emprendimiento formal, equitativo e incluyente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209</w:t>
        </w:r>
        <w:r w:rsidR="00CF2725" w:rsidRPr="007B53C7">
          <w:rPr>
            <w:rFonts w:ascii="Candara" w:hAnsi="Candara"/>
            <w:noProof/>
            <w:webHidden/>
            <w:color w:val="3B3838" w:themeColor="background2" w:themeShade="40"/>
          </w:rPr>
          <w:fldChar w:fldCharType="end"/>
        </w:r>
      </w:hyperlink>
    </w:p>
    <w:p w14:paraId="07D696A9" w14:textId="3AFFBCB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2" w:history="1">
        <w:r w:rsidR="00CF2725" w:rsidRPr="007B53C7">
          <w:rPr>
            <w:rStyle w:val="Hipervnculo"/>
            <w:rFonts w:ascii="Candara" w:hAnsi="Candara"/>
            <w:noProof/>
            <w:color w:val="3B3838" w:themeColor="background2" w:themeShade="40"/>
          </w:rPr>
          <w:t>Tabla 42. Metas del programa 21: Bogotá ciudad portuaria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217</w:t>
        </w:r>
        <w:r w:rsidR="00CF2725" w:rsidRPr="007B53C7">
          <w:rPr>
            <w:rFonts w:ascii="Candara" w:hAnsi="Candara"/>
            <w:noProof/>
            <w:webHidden/>
            <w:color w:val="3B3838" w:themeColor="background2" w:themeShade="40"/>
          </w:rPr>
          <w:fldChar w:fldCharType="end"/>
        </w:r>
      </w:hyperlink>
    </w:p>
    <w:p w14:paraId="4E5E876B" w14:textId="32F4ECB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3" w:history="1">
        <w:r w:rsidR="00CF2725" w:rsidRPr="007B53C7">
          <w:rPr>
            <w:rStyle w:val="Hipervnculo"/>
            <w:rFonts w:ascii="Candara" w:hAnsi="Candara"/>
            <w:noProof/>
            <w:color w:val="3B3838" w:themeColor="background2" w:themeShade="40"/>
          </w:rPr>
          <w:t>Tabla 43. Metas del programa 22: Bogotá, una ciudad de puertas abiertas al mundo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220</w:t>
        </w:r>
        <w:r w:rsidR="00CF2725" w:rsidRPr="007B53C7">
          <w:rPr>
            <w:rFonts w:ascii="Candara" w:hAnsi="Candara"/>
            <w:noProof/>
            <w:webHidden/>
            <w:color w:val="3B3838" w:themeColor="background2" w:themeShade="40"/>
          </w:rPr>
          <w:fldChar w:fldCharType="end"/>
        </w:r>
      </w:hyperlink>
    </w:p>
    <w:p w14:paraId="1B7DEC4A" w14:textId="073E9F6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4" w:history="1">
        <w:r w:rsidR="00CF2725" w:rsidRPr="007B53C7">
          <w:rPr>
            <w:rStyle w:val="Hipervnculo"/>
            <w:rFonts w:ascii="Candara" w:hAnsi="Candara"/>
            <w:noProof/>
            <w:color w:val="3B3838" w:themeColor="background2" w:themeShade="40"/>
          </w:rPr>
          <w:t>Tabla 44. Metas del programa 23: Ordenamiento territorial sostenible, equilibrado y participativo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233</w:t>
        </w:r>
        <w:r w:rsidR="00CF2725" w:rsidRPr="007B53C7">
          <w:rPr>
            <w:rFonts w:ascii="Candara" w:hAnsi="Candara"/>
            <w:noProof/>
            <w:webHidden/>
            <w:color w:val="3B3838" w:themeColor="background2" w:themeShade="40"/>
          </w:rPr>
          <w:fldChar w:fldCharType="end"/>
        </w:r>
      </w:hyperlink>
    </w:p>
    <w:p w14:paraId="48DE933F" w14:textId="4A9D8A5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5" w:history="1">
        <w:r w:rsidR="00CF2725" w:rsidRPr="007B53C7">
          <w:rPr>
            <w:rStyle w:val="Hipervnculo"/>
            <w:rFonts w:ascii="Candara" w:hAnsi="Candara"/>
            <w:noProof/>
            <w:color w:val="3B3838" w:themeColor="background2" w:themeShade="40"/>
          </w:rPr>
          <w:t>Tabla 45. Metas del programa 24: Revitalización y renovación urbana y rural con inclusión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240</w:t>
        </w:r>
        <w:r w:rsidR="00CF2725" w:rsidRPr="007B53C7">
          <w:rPr>
            <w:rFonts w:ascii="Candara" w:hAnsi="Candara"/>
            <w:noProof/>
            <w:webHidden/>
            <w:color w:val="3B3838" w:themeColor="background2" w:themeShade="40"/>
          </w:rPr>
          <w:fldChar w:fldCharType="end"/>
        </w:r>
      </w:hyperlink>
    </w:p>
    <w:p w14:paraId="1DC3B2DA" w14:textId="2762E5B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6" w:history="1">
        <w:r w:rsidR="00CF2725" w:rsidRPr="007B53C7">
          <w:rPr>
            <w:rStyle w:val="Hipervnculo"/>
            <w:rFonts w:ascii="Candara" w:hAnsi="Candara"/>
            <w:noProof/>
            <w:color w:val="3B3838" w:themeColor="background2" w:themeShade="40"/>
          </w:rPr>
          <w:t>Tabla 46. Metas del programa 25: Aumento de la resiliencia al cambio climático y reducción de la vulnerabilidad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247</w:t>
        </w:r>
        <w:r w:rsidR="00CF2725" w:rsidRPr="007B53C7">
          <w:rPr>
            <w:rFonts w:ascii="Candara" w:hAnsi="Candara"/>
            <w:noProof/>
            <w:webHidden/>
            <w:color w:val="3B3838" w:themeColor="background2" w:themeShade="40"/>
          </w:rPr>
          <w:fldChar w:fldCharType="end"/>
        </w:r>
      </w:hyperlink>
    </w:p>
    <w:p w14:paraId="77B11C4D" w14:textId="47CDE39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7" w:history="1">
        <w:r w:rsidR="00CF2725" w:rsidRPr="007B53C7">
          <w:rPr>
            <w:rStyle w:val="Hipervnculo"/>
            <w:rFonts w:ascii="Candara" w:hAnsi="Candara"/>
            <w:noProof/>
            <w:color w:val="3B3838" w:themeColor="background2" w:themeShade="40"/>
          </w:rPr>
          <w:t xml:space="preserve">Tabla 47. </w:t>
        </w:r>
        <w:r w:rsidR="00CF2725" w:rsidRPr="007B53C7">
          <w:rPr>
            <w:rStyle w:val="Hipervnculo"/>
            <w:rFonts w:ascii="Candara" w:hAnsi="Candara"/>
            <w:noProof/>
            <w:color w:val="3B3838" w:themeColor="background2" w:themeShade="40"/>
            <w:highlight w:val="white"/>
          </w:rPr>
          <w:t>Principales proyectos de movilidad nuevos y en ejecución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252</w:t>
        </w:r>
        <w:r w:rsidR="00CF2725" w:rsidRPr="007B53C7">
          <w:rPr>
            <w:rFonts w:ascii="Candara" w:hAnsi="Candara"/>
            <w:noProof/>
            <w:webHidden/>
            <w:color w:val="3B3838" w:themeColor="background2" w:themeShade="40"/>
          </w:rPr>
          <w:fldChar w:fldCharType="end"/>
        </w:r>
      </w:hyperlink>
    </w:p>
    <w:p w14:paraId="60979E45" w14:textId="2512D44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8" w:history="1">
        <w:r w:rsidR="00CF2725" w:rsidRPr="007B53C7">
          <w:rPr>
            <w:rStyle w:val="Hipervnculo"/>
            <w:rFonts w:ascii="Candara" w:hAnsi="Candara"/>
            <w:noProof/>
            <w:color w:val="3B3838" w:themeColor="background2" w:themeShade="40"/>
          </w:rPr>
          <w:t>Tabla 48. Metas del programa 26. Movilidad sostenible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255</w:t>
        </w:r>
        <w:r w:rsidR="00CF2725" w:rsidRPr="007B53C7">
          <w:rPr>
            <w:rFonts w:ascii="Candara" w:hAnsi="Candara"/>
            <w:noProof/>
            <w:webHidden/>
            <w:color w:val="3B3838" w:themeColor="background2" w:themeShade="40"/>
          </w:rPr>
          <w:fldChar w:fldCharType="end"/>
        </w:r>
      </w:hyperlink>
    </w:p>
    <w:p w14:paraId="339FB747" w14:textId="0175B8D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59" w:history="1">
        <w:r w:rsidR="00CF2725" w:rsidRPr="007B53C7">
          <w:rPr>
            <w:rStyle w:val="Hipervnculo"/>
            <w:rFonts w:ascii="Candara" w:hAnsi="Candara"/>
            <w:noProof/>
            <w:color w:val="3B3838" w:themeColor="background2" w:themeShade="40"/>
          </w:rPr>
          <w:t>Tabla 49. Metas del programa 27: Gestión del riesgo de desastres para un territorio seguro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_Toc165169959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263</w:t>
        </w:r>
        <w:r w:rsidR="00CF2725" w:rsidRPr="007B53C7">
          <w:rPr>
            <w:rFonts w:ascii="Candara" w:hAnsi="Candara"/>
            <w:noProof/>
            <w:webHidden/>
            <w:color w:val="3B3838" w:themeColor="background2" w:themeShade="40"/>
          </w:rPr>
          <w:fldChar w:fldCharType="end"/>
        </w:r>
      </w:hyperlink>
    </w:p>
    <w:p w14:paraId="1146DC16" w14:textId="7EBB18D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0" w:history="1">
        <w:r w:rsidR="00CF2725" w:rsidRPr="007B53C7">
          <w:rPr>
            <w:rStyle w:val="Hipervnculo"/>
            <w:rFonts w:ascii="Candara" w:hAnsi="Candara"/>
            <w:noProof/>
            <w:color w:val="3B3838" w:themeColor="background2" w:themeShade="40"/>
          </w:rPr>
          <w:t>Tabla 50. Metas del programa 28: Reducción de emisiones y control del deterioro ambiental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269</w:t>
        </w:r>
        <w:r w:rsidR="00CF2725" w:rsidRPr="007B53C7">
          <w:rPr>
            <w:rFonts w:ascii="Candara" w:hAnsi="Candara"/>
            <w:noProof/>
            <w:webHidden/>
            <w:color w:val="3B3838" w:themeColor="background2" w:themeShade="40"/>
          </w:rPr>
          <w:fldChar w:fldCharType="end"/>
        </w:r>
      </w:hyperlink>
    </w:p>
    <w:p w14:paraId="667601CB" w14:textId="42A4CA2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1" w:history="1">
        <w:r w:rsidR="00CF2725" w:rsidRPr="007B53C7">
          <w:rPr>
            <w:rStyle w:val="Hipervnculo"/>
            <w:rFonts w:ascii="Candara" w:hAnsi="Candara"/>
            <w:noProof/>
            <w:color w:val="3B3838" w:themeColor="background2" w:themeShade="40"/>
          </w:rPr>
          <w:t>Tabla 51. Metas del programa 29: Servicios públicos inclusivos y sostenibles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282</w:t>
        </w:r>
        <w:r w:rsidR="00CF2725" w:rsidRPr="007B53C7">
          <w:rPr>
            <w:rFonts w:ascii="Candara" w:hAnsi="Candara"/>
            <w:noProof/>
            <w:webHidden/>
            <w:color w:val="3B3838" w:themeColor="background2" w:themeShade="40"/>
          </w:rPr>
          <w:fldChar w:fldCharType="end"/>
        </w:r>
      </w:hyperlink>
    </w:p>
    <w:p w14:paraId="582FC5BA" w14:textId="57F0CFE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2" w:history="1">
        <w:r w:rsidR="00CF2725" w:rsidRPr="007B53C7">
          <w:rPr>
            <w:rStyle w:val="Hipervnculo"/>
            <w:rFonts w:ascii="Candara" w:hAnsi="Candara"/>
            <w:noProof/>
            <w:color w:val="3B3838" w:themeColor="background2" w:themeShade="40"/>
          </w:rPr>
          <w:t>Tabla 52. Cantidad base de equipamientos y área construida óptima por habitante general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285</w:t>
        </w:r>
        <w:r w:rsidR="00CF2725" w:rsidRPr="007B53C7">
          <w:rPr>
            <w:rFonts w:ascii="Candara" w:hAnsi="Candara"/>
            <w:noProof/>
            <w:webHidden/>
            <w:color w:val="3B3838" w:themeColor="background2" w:themeShade="40"/>
          </w:rPr>
          <w:fldChar w:fldCharType="end"/>
        </w:r>
      </w:hyperlink>
    </w:p>
    <w:p w14:paraId="3BC14983" w14:textId="45635D7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3" w:history="1">
        <w:r w:rsidR="00CF2725" w:rsidRPr="007B53C7">
          <w:rPr>
            <w:rStyle w:val="Hipervnculo"/>
            <w:rFonts w:ascii="Candara" w:hAnsi="Candara"/>
            <w:noProof/>
            <w:color w:val="3B3838" w:themeColor="background2" w:themeShade="40"/>
          </w:rPr>
          <w:t>Tabla 53. Metas del programa 30: Atención del déficit social para un hábitat digno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287</w:t>
        </w:r>
        <w:r w:rsidR="00CF2725" w:rsidRPr="007B53C7">
          <w:rPr>
            <w:rFonts w:ascii="Candara" w:hAnsi="Candara"/>
            <w:noProof/>
            <w:webHidden/>
            <w:color w:val="3B3838" w:themeColor="background2" w:themeShade="40"/>
          </w:rPr>
          <w:fldChar w:fldCharType="end"/>
        </w:r>
      </w:hyperlink>
    </w:p>
    <w:p w14:paraId="012DF15F" w14:textId="1D3AA88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4" w:history="1">
        <w:r w:rsidR="00CF2725" w:rsidRPr="007B53C7">
          <w:rPr>
            <w:rStyle w:val="Hipervnculo"/>
            <w:rFonts w:ascii="Candara" w:hAnsi="Candara"/>
            <w:noProof/>
            <w:color w:val="3B3838" w:themeColor="background2" w:themeShade="40"/>
          </w:rPr>
          <w:t>Tabla 54. Metas del programa 31: Acceso equitativo de vivienda urbana y rural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293</w:t>
        </w:r>
        <w:r w:rsidR="00CF2725" w:rsidRPr="007B53C7">
          <w:rPr>
            <w:rFonts w:ascii="Candara" w:hAnsi="Candara"/>
            <w:noProof/>
            <w:webHidden/>
            <w:color w:val="3B3838" w:themeColor="background2" w:themeShade="40"/>
          </w:rPr>
          <w:fldChar w:fldCharType="end"/>
        </w:r>
      </w:hyperlink>
    </w:p>
    <w:p w14:paraId="5A9187A0" w14:textId="702E18C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5" w:history="1">
        <w:r w:rsidR="00CF2725" w:rsidRPr="007B53C7">
          <w:rPr>
            <w:rStyle w:val="Hipervnculo"/>
            <w:rFonts w:ascii="Candara" w:hAnsi="Candara"/>
            <w:noProof/>
            <w:color w:val="3B3838" w:themeColor="background2" w:themeShade="40"/>
          </w:rPr>
          <w:t>Tabla 55. Metas del programa 32: Gobierno abierto, íntegro, transparente y corresponsable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307</w:t>
        </w:r>
        <w:r w:rsidR="00CF2725" w:rsidRPr="007B53C7">
          <w:rPr>
            <w:rFonts w:ascii="Candara" w:hAnsi="Candara"/>
            <w:noProof/>
            <w:webHidden/>
            <w:color w:val="3B3838" w:themeColor="background2" w:themeShade="40"/>
          </w:rPr>
          <w:fldChar w:fldCharType="end"/>
        </w:r>
      </w:hyperlink>
    </w:p>
    <w:p w14:paraId="1C0CF539" w14:textId="3791FA2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6" w:history="1">
        <w:r w:rsidR="00CF2725" w:rsidRPr="007B53C7">
          <w:rPr>
            <w:rStyle w:val="Hipervnculo"/>
            <w:rFonts w:ascii="Candara" w:hAnsi="Candara"/>
            <w:noProof/>
            <w:color w:val="3B3838" w:themeColor="background2" w:themeShade="40"/>
          </w:rPr>
          <w:t>Tabla 56. Metas del programa 33: Fortalecimiento institucional para una gobernanza pública confiable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313</w:t>
        </w:r>
        <w:r w:rsidR="00CF2725" w:rsidRPr="007B53C7">
          <w:rPr>
            <w:rFonts w:ascii="Candara" w:hAnsi="Candara"/>
            <w:noProof/>
            <w:webHidden/>
            <w:color w:val="3B3838" w:themeColor="background2" w:themeShade="40"/>
          </w:rPr>
          <w:fldChar w:fldCharType="end"/>
        </w:r>
      </w:hyperlink>
    </w:p>
    <w:p w14:paraId="38284075" w14:textId="3F857A9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7" w:history="1">
        <w:r w:rsidR="00CF2725" w:rsidRPr="007B53C7">
          <w:rPr>
            <w:rStyle w:val="Hipervnculo"/>
            <w:rFonts w:ascii="Candara" w:hAnsi="Candara"/>
            <w:noProof/>
            <w:color w:val="3B3838" w:themeColor="background2" w:themeShade="40"/>
          </w:rPr>
          <w:t>Tabla 57. Metas del programa 34: Talento humano unido por la ciudadanía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322</w:t>
        </w:r>
        <w:r w:rsidR="00CF2725" w:rsidRPr="007B53C7">
          <w:rPr>
            <w:rFonts w:ascii="Candara" w:hAnsi="Candara"/>
            <w:noProof/>
            <w:webHidden/>
            <w:color w:val="3B3838" w:themeColor="background2" w:themeShade="40"/>
          </w:rPr>
          <w:fldChar w:fldCharType="end"/>
        </w:r>
      </w:hyperlink>
    </w:p>
    <w:p w14:paraId="7B3D9D8B" w14:textId="31BF986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8" w:history="1">
        <w:r w:rsidR="00CF2725" w:rsidRPr="007B53C7">
          <w:rPr>
            <w:rStyle w:val="Hipervnculo"/>
            <w:rFonts w:ascii="Candara" w:hAnsi="Candara"/>
            <w:noProof/>
            <w:color w:val="3B3838" w:themeColor="background2" w:themeShade="40"/>
          </w:rPr>
          <w:t>Tabla 58. Metas del programa 35: Bogotá ciudad inteligente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327</w:t>
        </w:r>
        <w:r w:rsidR="00CF2725" w:rsidRPr="007B53C7">
          <w:rPr>
            <w:rFonts w:ascii="Candara" w:hAnsi="Candara"/>
            <w:noProof/>
            <w:webHidden/>
            <w:color w:val="3B3838" w:themeColor="background2" w:themeShade="40"/>
          </w:rPr>
          <w:fldChar w:fldCharType="end"/>
        </w:r>
      </w:hyperlink>
    </w:p>
    <w:p w14:paraId="05D1E3EC" w14:textId="7086127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69" w:history="1">
        <w:r w:rsidR="00CF2725" w:rsidRPr="007B53C7">
          <w:rPr>
            <w:rStyle w:val="Hipervnculo"/>
            <w:rFonts w:ascii="Candara" w:hAnsi="Candara"/>
            <w:noProof/>
            <w:color w:val="3B3838" w:themeColor="background2" w:themeShade="40"/>
          </w:rPr>
          <w:t>Tabla 59. Metas del programa 36: Innovación Pública para la generación de la confianza ciudadana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_Toc165169969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331</w:t>
        </w:r>
        <w:r w:rsidR="00CF2725" w:rsidRPr="007B53C7">
          <w:rPr>
            <w:rFonts w:ascii="Candara" w:hAnsi="Candara"/>
            <w:noProof/>
            <w:webHidden/>
            <w:color w:val="3B3838" w:themeColor="background2" w:themeShade="40"/>
          </w:rPr>
          <w:fldChar w:fldCharType="end"/>
        </w:r>
      </w:hyperlink>
    </w:p>
    <w:p w14:paraId="6021831D" w14:textId="672D782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0" w:history="1">
        <w:r w:rsidR="00CF2725" w:rsidRPr="007B53C7">
          <w:rPr>
            <w:rStyle w:val="Hipervnculo"/>
            <w:rFonts w:ascii="Candara" w:hAnsi="Candara"/>
            <w:noProof/>
            <w:color w:val="3B3838" w:themeColor="background2" w:themeShade="40"/>
          </w:rPr>
          <w:t>Tabla 60. Metas del programa 37: Construyendo confianza con la región</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338</w:t>
        </w:r>
        <w:r w:rsidR="00CF2725" w:rsidRPr="007B53C7">
          <w:rPr>
            <w:rFonts w:ascii="Candara" w:hAnsi="Candara"/>
            <w:noProof/>
            <w:webHidden/>
            <w:color w:val="3B3838" w:themeColor="background2" w:themeShade="40"/>
          </w:rPr>
          <w:fldChar w:fldCharType="end"/>
        </w:r>
      </w:hyperlink>
    </w:p>
    <w:p w14:paraId="00AFDA16" w14:textId="5518CEAE"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1" w:history="1">
        <w:r w:rsidR="00CF2725" w:rsidRPr="007B53C7">
          <w:rPr>
            <w:rStyle w:val="Hipervnculo"/>
            <w:rFonts w:ascii="Candara" w:hAnsi="Candara"/>
            <w:noProof/>
            <w:color w:val="3B3838" w:themeColor="background2" w:themeShade="40"/>
          </w:rPr>
          <w:t>Tabla 61. Metas del programa 38: Gestión eficiente de los ingresos y gastos enfocados en la confianza ciudadana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343</w:t>
        </w:r>
        <w:r w:rsidR="00CF2725" w:rsidRPr="007B53C7">
          <w:rPr>
            <w:rFonts w:ascii="Candara" w:hAnsi="Candara"/>
            <w:noProof/>
            <w:webHidden/>
            <w:color w:val="3B3838" w:themeColor="background2" w:themeShade="40"/>
          </w:rPr>
          <w:fldChar w:fldCharType="end"/>
        </w:r>
      </w:hyperlink>
    </w:p>
    <w:p w14:paraId="754E3CB4" w14:textId="1380296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2" w:history="1">
        <w:r w:rsidR="00CF2725" w:rsidRPr="007B53C7">
          <w:rPr>
            <w:rStyle w:val="Hipervnculo"/>
            <w:rFonts w:ascii="Candara" w:hAnsi="Candara"/>
            <w:noProof/>
            <w:color w:val="3B3838" w:themeColor="background2" w:themeShade="40"/>
          </w:rPr>
          <w:t>Tabla 62. Metas del programa 39: Camino hacia una democracia deliberativa con un Gobierno cercano a la gente y con participación ciudadana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354</w:t>
        </w:r>
        <w:r w:rsidR="00CF2725" w:rsidRPr="007B53C7">
          <w:rPr>
            <w:rFonts w:ascii="Candara" w:hAnsi="Candara"/>
            <w:noProof/>
            <w:webHidden/>
            <w:color w:val="3B3838" w:themeColor="background2" w:themeShade="40"/>
          </w:rPr>
          <w:fldChar w:fldCharType="end"/>
        </w:r>
      </w:hyperlink>
    </w:p>
    <w:p w14:paraId="557BC6DE" w14:textId="436ABF0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3" w:history="1">
        <w:r w:rsidR="00CF2725" w:rsidRPr="007B53C7">
          <w:rPr>
            <w:rStyle w:val="Hipervnculo"/>
            <w:rFonts w:ascii="Candara" w:hAnsi="Candara"/>
            <w:noProof/>
            <w:color w:val="3B3838" w:themeColor="background2" w:themeShade="40"/>
          </w:rPr>
          <w:t>Tabla 63. Matriz de objetivos PDD vs. POT</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467</w:t>
        </w:r>
        <w:r w:rsidR="00CF2725" w:rsidRPr="007B53C7">
          <w:rPr>
            <w:rFonts w:ascii="Candara" w:hAnsi="Candara"/>
            <w:noProof/>
            <w:webHidden/>
            <w:color w:val="3B3838" w:themeColor="background2" w:themeShade="40"/>
          </w:rPr>
          <w:fldChar w:fldCharType="end"/>
        </w:r>
      </w:hyperlink>
    </w:p>
    <w:p w14:paraId="0889133C" w14:textId="4EA3680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4" w:history="1">
        <w:r w:rsidR="00CF2725" w:rsidRPr="007B53C7">
          <w:rPr>
            <w:rStyle w:val="Hipervnculo"/>
            <w:rFonts w:ascii="Candara" w:hAnsi="Candara"/>
            <w:noProof/>
            <w:color w:val="3B3838" w:themeColor="background2" w:themeShade="40"/>
          </w:rPr>
          <w:t>Tabla 64. Proyectos Priorizados del POT en el PDD 2024-2027</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473</w:t>
        </w:r>
        <w:r w:rsidR="00CF2725" w:rsidRPr="007B53C7">
          <w:rPr>
            <w:rFonts w:ascii="Candara" w:hAnsi="Candara"/>
            <w:noProof/>
            <w:webHidden/>
            <w:color w:val="3B3838" w:themeColor="background2" w:themeShade="40"/>
          </w:rPr>
          <w:fldChar w:fldCharType="end"/>
        </w:r>
      </w:hyperlink>
    </w:p>
    <w:p w14:paraId="0DB39D72" w14:textId="04B7F4A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5" w:history="1">
        <w:r w:rsidR="00CF2725" w:rsidRPr="007B53C7">
          <w:rPr>
            <w:rStyle w:val="Hipervnculo"/>
            <w:rFonts w:ascii="Candara" w:hAnsi="Candara"/>
            <w:noProof/>
            <w:color w:val="3B3838" w:themeColor="background2" w:themeShade="40"/>
          </w:rPr>
          <w:t>Tabla 65. Productos de Políticas Públicas no asociados en el PDD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505</w:t>
        </w:r>
        <w:r w:rsidR="00CF2725" w:rsidRPr="007B53C7">
          <w:rPr>
            <w:rFonts w:ascii="Candara" w:hAnsi="Candara"/>
            <w:noProof/>
            <w:webHidden/>
            <w:color w:val="3B3838" w:themeColor="background2" w:themeShade="40"/>
          </w:rPr>
          <w:fldChar w:fldCharType="end"/>
        </w:r>
      </w:hyperlink>
    </w:p>
    <w:p w14:paraId="3EABDE2E" w14:textId="2989A04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6" w:history="1">
        <w:r w:rsidR="00CF2725" w:rsidRPr="007B53C7">
          <w:rPr>
            <w:rStyle w:val="Hipervnculo"/>
            <w:rFonts w:ascii="Candara" w:hAnsi="Candara"/>
            <w:noProof/>
            <w:color w:val="3B3838" w:themeColor="background2" w:themeShade="40"/>
          </w:rPr>
          <w:t>Tabla 66. Iniciativas susceptibles de financiación por el Sistema General de Regalías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521</w:t>
        </w:r>
        <w:r w:rsidR="00CF2725" w:rsidRPr="007B53C7">
          <w:rPr>
            <w:rFonts w:ascii="Candara" w:hAnsi="Candara"/>
            <w:noProof/>
            <w:webHidden/>
            <w:color w:val="3B3838" w:themeColor="background2" w:themeShade="40"/>
          </w:rPr>
          <w:fldChar w:fldCharType="end"/>
        </w:r>
      </w:hyperlink>
    </w:p>
    <w:p w14:paraId="62A9BAA3" w14:textId="48077744" w:rsidR="00CF2725" w:rsidRDefault="00CF2725" w:rsidP="00CF2725">
      <w:pPr>
        <w:spacing w:line="240" w:lineRule="auto"/>
        <w:jc w:val="left"/>
        <w:rPr>
          <w:b/>
          <w:bCs/>
          <w:color w:val="C00000"/>
          <w:sz w:val="28"/>
          <w:szCs w:val="32"/>
        </w:rPr>
      </w:pPr>
      <w:r w:rsidRPr="007B53C7">
        <w:rPr>
          <w:b/>
          <w:bCs/>
          <w:szCs w:val="22"/>
        </w:rPr>
        <w:fldChar w:fldCharType="end"/>
      </w:r>
    </w:p>
    <w:p w14:paraId="61774CE2" w14:textId="77777777" w:rsidR="00CF2725" w:rsidRDefault="00CF2725">
      <w:pPr>
        <w:spacing w:line="240" w:lineRule="auto"/>
        <w:jc w:val="left"/>
        <w:rPr>
          <w:b/>
          <w:bCs/>
          <w:color w:val="C00000"/>
          <w:sz w:val="28"/>
          <w:szCs w:val="32"/>
        </w:rPr>
      </w:pPr>
      <w:r>
        <w:rPr>
          <w:b/>
          <w:bCs/>
          <w:color w:val="C00000"/>
          <w:sz w:val="28"/>
          <w:szCs w:val="32"/>
        </w:rPr>
        <w:br w:type="page"/>
      </w:r>
    </w:p>
    <w:p w14:paraId="3B7B4F4C" w14:textId="3A13E465" w:rsidR="00CF2725" w:rsidRDefault="00CF2725" w:rsidP="00CF2725">
      <w:pPr>
        <w:spacing w:line="240" w:lineRule="auto"/>
        <w:jc w:val="left"/>
        <w:rPr>
          <w:b/>
          <w:bCs/>
          <w:color w:val="C00000"/>
          <w:sz w:val="28"/>
          <w:szCs w:val="32"/>
        </w:rPr>
      </w:pPr>
      <w:r>
        <w:rPr>
          <w:b/>
          <w:bCs/>
          <w:color w:val="C00000"/>
          <w:sz w:val="28"/>
          <w:szCs w:val="32"/>
        </w:rPr>
        <w:lastRenderedPageBreak/>
        <w:t>Índice</w:t>
      </w:r>
      <w:r w:rsidRPr="00874511">
        <w:rPr>
          <w:b/>
          <w:bCs/>
          <w:color w:val="C00000"/>
          <w:sz w:val="28"/>
          <w:szCs w:val="32"/>
        </w:rPr>
        <w:t xml:space="preserve"> de </w:t>
      </w:r>
      <w:r>
        <w:rPr>
          <w:b/>
          <w:bCs/>
          <w:color w:val="C00000"/>
          <w:sz w:val="28"/>
          <w:szCs w:val="32"/>
        </w:rPr>
        <w:t>Figuras</w:t>
      </w:r>
    </w:p>
    <w:p w14:paraId="1F538571" w14:textId="34EF553D" w:rsidR="00CF2725" w:rsidRPr="007B53C7" w:rsidRDefault="00CF2725">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r w:rsidRPr="007B53C7">
        <w:rPr>
          <w:rFonts w:ascii="Candara" w:hAnsi="Candara"/>
          <w:b/>
          <w:bCs/>
          <w:color w:val="3B3838" w:themeColor="background2" w:themeShade="40"/>
        </w:rPr>
        <w:fldChar w:fldCharType="begin"/>
      </w:r>
      <w:r w:rsidRPr="007B53C7">
        <w:rPr>
          <w:rFonts w:ascii="Candara" w:hAnsi="Candara"/>
          <w:b/>
          <w:bCs/>
          <w:color w:val="3B3838" w:themeColor="background2" w:themeShade="40"/>
        </w:rPr>
        <w:instrText xml:space="preserve"> TOC \h \z \c "Figura" </w:instrText>
      </w:r>
      <w:r w:rsidRPr="007B53C7">
        <w:rPr>
          <w:rFonts w:ascii="Candara" w:hAnsi="Candara"/>
          <w:b/>
          <w:bCs/>
          <w:color w:val="3B3838" w:themeColor="background2" w:themeShade="40"/>
        </w:rPr>
        <w:fldChar w:fldCharType="separate"/>
      </w:r>
      <w:hyperlink w:anchor="_Toc165169977" w:history="1">
        <w:r w:rsidRPr="007B53C7">
          <w:rPr>
            <w:rStyle w:val="Hipervnculo"/>
            <w:rFonts w:ascii="Candara" w:hAnsi="Candara"/>
            <w:noProof/>
            <w:color w:val="3B3838" w:themeColor="background2" w:themeShade="40"/>
          </w:rPr>
          <w:t>Figura 1. La confianza, punto de unión de nuestro plan</w:t>
        </w:r>
        <w:r w:rsidRPr="007B53C7">
          <w:rPr>
            <w:rFonts w:ascii="Candara" w:hAnsi="Candara"/>
            <w:noProof/>
            <w:webHidden/>
            <w:color w:val="3B3838" w:themeColor="background2" w:themeShade="40"/>
          </w:rPr>
          <w:tab/>
        </w:r>
        <w:r w:rsidRPr="007B53C7">
          <w:rPr>
            <w:rFonts w:ascii="Candara" w:hAnsi="Candara"/>
            <w:noProof/>
            <w:webHidden/>
            <w:color w:val="3B3838" w:themeColor="background2" w:themeShade="40"/>
          </w:rPr>
          <w:fldChar w:fldCharType="begin"/>
        </w:r>
        <w:r w:rsidRPr="007B53C7">
          <w:rPr>
            <w:rFonts w:ascii="Candara" w:hAnsi="Candara"/>
            <w:noProof/>
            <w:webHidden/>
            <w:color w:val="3B3838" w:themeColor="background2" w:themeShade="40"/>
          </w:rPr>
          <w:instrText xml:space="preserve"> PAGEREF _Toc165169977 \h </w:instrText>
        </w:r>
        <w:r w:rsidRPr="007B53C7">
          <w:rPr>
            <w:rFonts w:ascii="Candara" w:hAnsi="Candara"/>
            <w:noProof/>
            <w:webHidden/>
            <w:color w:val="3B3838" w:themeColor="background2" w:themeShade="40"/>
          </w:rPr>
        </w:r>
        <w:r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6</w:t>
        </w:r>
        <w:r w:rsidRPr="007B53C7">
          <w:rPr>
            <w:rFonts w:ascii="Candara" w:hAnsi="Candara"/>
            <w:noProof/>
            <w:webHidden/>
            <w:color w:val="3B3838" w:themeColor="background2" w:themeShade="40"/>
          </w:rPr>
          <w:fldChar w:fldCharType="end"/>
        </w:r>
      </w:hyperlink>
    </w:p>
    <w:p w14:paraId="6232FDA4" w14:textId="5F88F5C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8" w:history="1">
        <w:r w:rsidR="00CF2725" w:rsidRPr="007B53C7">
          <w:rPr>
            <w:rStyle w:val="Hipervnculo"/>
            <w:rFonts w:ascii="Candara" w:hAnsi="Candara"/>
            <w:noProof/>
            <w:color w:val="3B3838" w:themeColor="background2" w:themeShade="40"/>
          </w:rPr>
          <w:t>Figura 2. Vinculación de ODS y metas en la estructura del PDD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70</w:t>
        </w:r>
        <w:r w:rsidR="00CF2725" w:rsidRPr="007B53C7">
          <w:rPr>
            <w:rFonts w:ascii="Candara" w:hAnsi="Candara"/>
            <w:noProof/>
            <w:webHidden/>
            <w:color w:val="3B3838" w:themeColor="background2" w:themeShade="40"/>
          </w:rPr>
          <w:fldChar w:fldCharType="end"/>
        </w:r>
      </w:hyperlink>
    </w:p>
    <w:p w14:paraId="59396241" w14:textId="3C5262B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79" w:history="1">
        <w:r w:rsidR="00CF2725" w:rsidRPr="007B53C7">
          <w:rPr>
            <w:rStyle w:val="Hipervnculo"/>
            <w:rFonts w:ascii="Candara" w:hAnsi="Candara"/>
            <w:noProof/>
            <w:color w:val="3B3838" w:themeColor="background2" w:themeShade="40"/>
          </w:rPr>
          <w:t>Figura 3. Estructura de Objetivo 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_Toc165169979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74</w:t>
        </w:r>
        <w:r w:rsidR="00CF2725" w:rsidRPr="007B53C7">
          <w:rPr>
            <w:rFonts w:ascii="Candara" w:hAnsi="Candara"/>
            <w:noProof/>
            <w:webHidden/>
            <w:color w:val="3B3838" w:themeColor="background2" w:themeShade="40"/>
          </w:rPr>
          <w:fldChar w:fldCharType="end"/>
        </w:r>
      </w:hyperlink>
    </w:p>
    <w:p w14:paraId="097B441D" w14:textId="1E6C7FF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0" w:history="1">
        <w:r w:rsidR="00CF2725" w:rsidRPr="007B53C7">
          <w:rPr>
            <w:rStyle w:val="Hipervnculo"/>
            <w:rFonts w:ascii="Candara" w:hAnsi="Candara"/>
            <w:noProof/>
            <w:color w:val="3B3838" w:themeColor="background2" w:themeShade="40"/>
          </w:rPr>
          <w:t>Figura 4. Metas Estratégicas Objetivo 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79</w:t>
        </w:r>
        <w:r w:rsidR="00CF2725" w:rsidRPr="007B53C7">
          <w:rPr>
            <w:rFonts w:ascii="Candara" w:hAnsi="Candara"/>
            <w:noProof/>
            <w:webHidden/>
            <w:color w:val="3B3838" w:themeColor="background2" w:themeShade="40"/>
          </w:rPr>
          <w:fldChar w:fldCharType="end"/>
        </w:r>
      </w:hyperlink>
    </w:p>
    <w:p w14:paraId="58F0C09C" w14:textId="13AF8C1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1" w:history="1">
        <w:r w:rsidR="00CF2725" w:rsidRPr="007B53C7">
          <w:rPr>
            <w:rStyle w:val="Hipervnculo"/>
            <w:rFonts w:ascii="Candara" w:hAnsi="Candara"/>
            <w:noProof/>
            <w:color w:val="3B3838" w:themeColor="background2" w:themeShade="40"/>
          </w:rPr>
          <w:t>Figura 5. Estructura del Objetivo 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119</w:t>
        </w:r>
        <w:r w:rsidR="00CF2725" w:rsidRPr="007B53C7">
          <w:rPr>
            <w:rFonts w:ascii="Candara" w:hAnsi="Candara"/>
            <w:noProof/>
            <w:webHidden/>
            <w:color w:val="3B3838" w:themeColor="background2" w:themeShade="40"/>
          </w:rPr>
          <w:fldChar w:fldCharType="end"/>
        </w:r>
      </w:hyperlink>
    </w:p>
    <w:p w14:paraId="271A03BB" w14:textId="60B7BDF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2" w:history="1">
        <w:r w:rsidR="00CF2725" w:rsidRPr="007B53C7">
          <w:rPr>
            <w:rStyle w:val="Hipervnculo"/>
            <w:rFonts w:ascii="Candara" w:hAnsi="Candara"/>
            <w:noProof/>
            <w:color w:val="3B3838" w:themeColor="background2" w:themeShade="40"/>
          </w:rPr>
          <w:t>Figura 6. Metas Estratégicas Objetivo 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124</w:t>
        </w:r>
        <w:r w:rsidR="00CF2725" w:rsidRPr="007B53C7">
          <w:rPr>
            <w:rFonts w:ascii="Candara" w:hAnsi="Candara"/>
            <w:noProof/>
            <w:webHidden/>
            <w:color w:val="3B3838" w:themeColor="background2" w:themeShade="40"/>
          </w:rPr>
          <w:fldChar w:fldCharType="end"/>
        </w:r>
      </w:hyperlink>
    </w:p>
    <w:p w14:paraId="2C0DD55B" w14:textId="057FBD2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3" w:history="1">
        <w:r w:rsidR="00CF2725" w:rsidRPr="007B53C7">
          <w:rPr>
            <w:rStyle w:val="Hipervnculo"/>
            <w:rFonts w:ascii="Candara" w:hAnsi="Candara"/>
            <w:noProof/>
            <w:color w:val="3B3838" w:themeColor="background2" w:themeShade="40"/>
          </w:rPr>
          <w:t>Figura 7. Integración del sector público de salud en el Distrito Capital (Acuerdo 641 de 2016)</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140</w:t>
        </w:r>
        <w:r w:rsidR="00CF2725" w:rsidRPr="007B53C7">
          <w:rPr>
            <w:rFonts w:ascii="Candara" w:hAnsi="Candara"/>
            <w:noProof/>
            <w:webHidden/>
            <w:color w:val="3B3838" w:themeColor="background2" w:themeShade="40"/>
          </w:rPr>
          <w:fldChar w:fldCharType="end"/>
        </w:r>
      </w:hyperlink>
    </w:p>
    <w:p w14:paraId="29BED548" w14:textId="392C289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4" w:history="1">
        <w:r w:rsidR="00CF2725" w:rsidRPr="007B53C7">
          <w:rPr>
            <w:rStyle w:val="Hipervnculo"/>
            <w:rFonts w:ascii="Candara" w:hAnsi="Candara"/>
            <w:noProof/>
            <w:color w:val="3B3838" w:themeColor="background2" w:themeShade="40"/>
          </w:rPr>
          <w:t>Figura 8. Estructura Objetivo 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175</w:t>
        </w:r>
        <w:r w:rsidR="00CF2725" w:rsidRPr="007B53C7">
          <w:rPr>
            <w:rFonts w:ascii="Candara" w:hAnsi="Candara"/>
            <w:noProof/>
            <w:webHidden/>
            <w:color w:val="3B3838" w:themeColor="background2" w:themeShade="40"/>
          </w:rPr>
          <w:fldChar w:fldCharType="end"/>
        </w:r>
      </w:hyperlink>
    </w:p>
    <w:p w14:paraId="1909011A" w14:textId="04900022"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5" w:history="1">
        <w:r w:rsidR="00CF2725" w:rsidRPr="007B53C7">
          <w:rPr>
            <w:rStyle w:val="Hipervnculo"/>
            <w:rFonts w:ascii="Candara" w:hAnsi="Candara"/>
            <w:noProof/>
            <w:color w:val="3B3838" w:themeColor="background2" w:themeShade="40"/>
          </w:rPr>
          <w:t>Figura 9. Metas Estratégicas Objetivo 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179</w:t>
        </w:r>
        <w:r w:rsidR="00CF2725" w:rsidRPr="007B53C7">
          <w:rPr>
            <w:rFonts w:ascii="Candara" w:hAnsi="Candara"/>
            <w:noProof/>
            <w:webHidden/>
            <w:color w:val="3B3838" w:themeColor="background2" w:themeShade="40"/>
          </w:rPr>
          <w:fldChar w:fldCharType="end"/>
        </w:r>
      </w:hyperlink>
    </w:p>
    <w:p w14:paraId="097C030A" w14:textId="7893642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6" w:history="1">
        <w:r w:rsidR="00CF2725" w:rsidRPr="007B53C7">
          <w:rPr>
            <w:rStyle w:val="Hipervnculo"/>
            <w:rFonts w:ascii="Candara" w:hAnsi="Candara"/>
            <w:noProof/>
            <w:color w:val="3B3838" w:themeColor="background2" w:themeShade="40"/>
          </w:rPr>
          <w:t>Figura 10. Tamaño y sectores económicos empresariales predominantes en el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199</w:t>
        </w:r>
        <w:r w:rsidR="00CF2725" w:rsidRPr="007B53C7">
          <w:rPr>
            <w:rFonts w:ascii="Candara" w:hAnsi="Candara"/>
            <w:noProof/>
            <w:webHidden/>
            <w:color w:val="3B3838" w:themeColor="background2" w:themeShade="40"/>
          </w:rPr>
          <w:fldChar w:fldCharType="end"/>
        </w:r>
      </w:hyperlink>
    </w:p>
    <w:p w14:paraId="758D39C5" w14:textId="6CACC01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7" w:history="1">
        <w:r w:rsidR="00CF2725" w:rsidRPr="007B53C7">
          <w:rPr>
            <w:rStyle w:val="Hipervnculo"/>
            <w:rFonts w:ascii="Candara" w:hAnsi="Candara"/>
            <w:noProof/>
            <w:color w:val="3B3838" w:themeColor="background2" w:themeShade="40"/>
          </w:rPr>
          <w:t>Figura 11. Entorno de integración regional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215</w:t>
        </w:r>
        <w:r w:rsidR="00CF2725" w:rsidRPr="007B53C7">
          <w:rPr>
            <w:rFonts w:ascii="Candara" w:hAnsi="Candara"/>
            <w:noProof/>
            <w:webHidden/>
            <w:color w:val="3B3838" w:themeColor="background2" w:themeShade="40"/>
          </w:rPr>
          <w:fldChar w:fldCharType="end"/>
        </w:r>
      </w:hyperlink>
    </w:p>
    <w:p w14:paraId="45EE4209" w14:textId="10367CA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8" w:history="1">
        <w:r w:rsidR="00CF2725" w:rsidRPr="007B53C7">
          <w:rPr>
            <w:rStyle w:val="Hipervnculo"/>
            <w:rFonts w:ascii="Candara" w:hAnsi="Candara"/>
            <w:noProof/>
            <w:color w:val="3B3838" w:themeColor="background2" w:themeShade="40"/>
          </w:rPr>
          <w:t>Figura 12. Datos de impacto del Aeropuerto Internacional El Dorado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216</w:t>
        </w:r>
        <w:r w:rsidR="00CF2725" w:rsidRPr="007B53C7">
          <w:rPr>
            <w:rFonts w:ascii="Candara" w:hAnsi="Candara"/>
            <w:noProof/>
            <w:webHidden/>
            <w:color w:val="3B3838" w:themeColor="background2" w:themeShade="40"/>
          </w:rPr>
          <w:fldChar w:fldCharType="end"/>
        </w:r>
      </w:hyperlink>
    </w:p>
    <w:p w14:paraId="60683CB1" w14:textId="7CA181C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89" w:history="1">
        <w:r w:rsidR="00CF2725" w:rsidRPr="007B53C7">
          <w:rPr>
            <w:rStyle w:val="Hipervnculo"/>
            <w:rFonts w:ascii="Candara" w:hAnsi="Candara"/>
            <w:noProof/>
            <w:color w:val="3B3838" w:themeColor="background2" w:themeShade="40"/>
          </w:rPr>
          <w:t>Figura 13. Objetivo 4: Bogotá ordena su territorio y avanza en su acción climática</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_Toc165169989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224</w:t>
        </w:r>
        <w:r w:rsidR="00CF2725" w:rsidRPr="007B53C7">
          <w:rPr>
            <w:rFonts w:ascii="Candara" w:hAnsi="Candara"/>
            <w:noProof/>
            <w:webHidden/>
            <w:color w:val="3B3838" w:themeColor="background2" w:themeShade="40"/>
          </w:rPr>
          <w:fldChar w:fldCharType="end"/>
        </w:r>
      </w:hyperlink>
    </w:p>
    <w:p w14:paraId="19ED41F2" w14:textId="25EC061A"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0" w:history="1">
        <w:r w:rsidR="00CF2725" w:rsidRPr="007B53C7">
          <w:rPr>
            <w:rStyle w:val="Hipervnculo"/>
            <w:rFonts w:ascii="Candara" w:hAnsi="Candara"/>
            <w:noProof/>
            <w:color w:val="3B3838" w:themeColor="background2" w:themeShade="40"/>
          </w:rPr>
          <w:t>Figura 14. Metas Estratégicas Objetivo 4</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229</w:t>
        </w:r>
        <w:r w:rsidR="00CF2725" w:rsidRPr="007B53C7">
          <w:rPr>
            <w:rFonts w:ascii="Candara" w:hAnsi="Candara"/>
            <w:noProof/>
            <w:webHidden/>
            <w:color w:val="3B3838" w:themeColor="background2" w:themeShade="40"/>
          </w:rPr>
          <w:fldChar w:fldCharType="end"/>
        </w:r>
      </w:hyperlink>
    </w:p>
    <w:p w14:paraId="3E07AD1E" w14:textId="6AD6174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1" w:history="1">
        <w:r w:rsidR="00CF2725" w:rsidRPr="007B53C7">
          <w:rPr>
            <w:rStyle w:val="Hipervnculo"/>
            <w:rFonts w:ascii="Candara" w:hAnsi="Candara"/>
            <w:noProof/>
            <w:color w:val="3B3838" w:themeColor="background2" w:themeShade="40"/>
          </w:rPr>
          <w:t>Figura 15. Cadena de valor Objetivo 5: Bogotá confía en su Gobierno.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295</w:t>
        </w:r>
        <w:r w:rsidR="00CF2725" w:rsidRPr="007B53C7">
          <w:rPr>
            <w:rFonts w:ascii="Candara" w:hAnsi="Candara"/>
            <w:noProof/>
            <w:webHidden/>
            <w:color w:val="3B3838" w:themeColor="background2" w:themeShade="40"/>
          </w:rPr>
          <w:fldChar w:fldCharType="end"/>
        </w:r>
      </w:hyperlink>
    </w:p>
    <w:p w14:paraId="47892753" w14:textId="6887EA0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2" w:history="1">
        <w:r w:rsidR="00CF2725" w:rsidRPr="007B53C7">
          <w:rPr>
            <w:rStyle w:val="Hipervnculo"/>
            <w:rFonts w:ascii="Candara" w:hAnsi="Candara"/>
            <w:noProof/>
            <w:color w:val="3B3838" w:themeColor="background2" w:themeShade="40"/>
          </w:rPr>
          <w:t>Figura 16. Estructura Objetivo 5: Bogotá confía en su Gobierno.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296</w:t>
        </w:r>
        <w:r w:rsidR="00CF2725" w:rsidRPr="007B53C7">
          <w:rPr>
            <w:rFonts w:ascii="Candara" w:hAnsi="Candara"/>
            <w:noProof/>
            <w:webHidden/>
            <w:color w:val="3B3838" w:themeColor="background2" w:themeShade="40"/>
          </w:rPr>
          <w:fldChar w:fldCharType="end"/>
        </w:r>
      </w:hyperlink>
    </w:p>
    <w:p w14:paraId="73B6634E" w14:textId="7D3286E3"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3" w:history="1">
        <w:r w:rsidR="00CF2725" w:rsidRPr="007B53C7">
          <w:rPr>
            <w:rStyle w:val="Hipervnculo"/>
            <w:rFonts w:ascii="Candara" w:hAnsi="Candara"/>
            <w:noProof/>
            <w:color w:val="3B3838" w:themeColor="background2" w:themeShade="40"/>
          </w:rPr>
          <w:t>Figura 17. Metas Estratégicas Objetivo 5</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301</w:t>
        </w:r>
        <w:r w:rsidR="00CF2725" w:rsidRPr="007B53C7">
          <w:rPr>
            <w:rFonts w:ascii="Candara" w:hAnsi="Candara"/>
            <w:noProof/>
            <w:webHidden/>
            <w:color w:val="3B3838" w:themeColor="background2" w:themeShade="40"/>
          </w:rPr>
          <w:fldChar w:fldCharType="end"/>
        </w:r>
      </w:hyperlink>
    </w:p>
    <w:p w14:paraId="370CA478" w14:textId="070D9716"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4" w:history="1">
        <w:r w:rsidR="00CF2725" w:rsidRPr="007B53C7">
          <w:rPr>
            <w:rStyle w:val="Hipervnculo"/>
            <w:rFonts w:ascii="Candara" w:hAnsi="Candara"/>
            <w:noProof/>
            <w:color w:val="3B3838" w:themeColor="background2" w:themeShade="40"/>
          </w:rPr>
          <w:t>Figura 18. Gobierno íntegro, transparente y corresponsable</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305</w:t>
        </w:r>
        <w:r w:rsidR="00CF2725" w:rsidRPr="007B53C7">
          <w:rPr>
            <w:rFonts w:ascii="Candara" w:hAnsi="Candara"/>
            <w:noProof/>
            <w:webHidden/>
            <w:color w:val="3B3838" w:themeColor="background2" w:themeShade="40"/>
          </w:rPr>
          <w:fldChar w:fldCharType="end"/>
        </w:r>
      </w:hyperlink>
    </w:p>
    <w:p w14:paraId="7B0E5041" w14:textId="08F2362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5" w:history="1">
        <w:r w:rsidR="00CF2725" w:rsidRPr="007B53C7">
          <w:rPr>
            <w:rStyle w:val="Hipervnculo"/>
            <w:rFonts w:ascii="Candara" w:hAnsi="Candara"/>
            <w:noProof/>
            <w:color w:val="3B3838" w:themeColor="background2" w:themeShade="40"/>
          </w:rPr>
          <w:t>Figura 19. Objetivos del POT Bogotá Reverdece 2022-2035</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459</w:t>
        </w:r>
        <w:r w:rsidR="00CF2725" w:rsidRPr="007B53C7">
          <w:rPr>
            <w:rFonts w:ascii="Candara" w:hAnsi="Candara"/>
            <w:noProof/>
            <w:webHidden/>
            <w:color w:val="3B3838" w:themeColor="background2" w:themeShade="40"/>
          </w:rPr>
          <w:fldChar w:fldCharType="end"/>
        </w:r>
      </w:hyperlink>
    </w:p>
    <w:p w14:paraId="6F29C472" w14:textId="5F10CC0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6" w:history="1">
        <w:r w:rsidR="00CF2725" w:rsidRPr="007B53C7">
          <w:rPr>
            <w:rStyle w:val="Hipervnculo"/>
            <w:rFonts w:ascii="Candara" w:hAnsi="Candara"/>
            <w:noProof/>
            <w:color w:val="3B3838" w:themeColor="background2" w:themeShade="40"/>
          </w:rPr>
          <w:t>Figura 20. Criterio de concreción del MOT del POT</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462</w:t>
        </w:r>
        <w:r w:rsidR="00CF2725" w:rsidRPr="007B53C7">
          <w:rPr>
            <w:rFonts w:ascii="Candara" w:hAnsi="Candara"/>
            <w:noProof/>
            <w:webHidden/>
            <w:color w:val="3B3838" w:themeColor="background2" w:themeShade="40"/>
          </w:rPr>
          <w:fldChar w:fldCharType="end"/>
        </w:r>
      </w:hyperlink>
    </w:p>
    <w:p w14:paraId="30624CEA" w14:textId="65A713A8"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7" w:history="1">
        <w:r w:rsidR="00CF2725" w:rsidRPr="007B53C7">
          <w:rPr>
            <w:rStyle w:val="Hipervnculo"/>
            <w:rFonts w:ascii="Candara" w:hAnsi="Candara"/>
            <w:noProof/>
            <w:color w:val="3B3838" w:themeColor="background2" w:themeShade="40"/>
          </w:rPr>
          <w:t>Figura 21. Criterio de impacto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463</w:t>
        </w:r>
        <w:r w:rsidR="00CF2725" w:rsidRPr="007B53C7">
          <w:rPr>
            <w:rFonts w:ascii="Candara" w:hAnsi="Candara"/>
            <w:noProof/>
            <w:webHidden/>
            <w:color w:val="3B3838" w:themeColor="background2" w:themeShade="40"/>
          </w:rPr>
          <w:fldChar w:fldCharType="end"/>
        </w:r>
      </w:hyperlink>
    </w:p>
    <w:p w14:paraId="462D7E74" w14:textId="763391D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8" w:history="1">
        <w:r w:rsidR="00CF2725" w:rsidRPr="007B53C7">
          <w:rPr>
            <w:rStyle w:val="Hipervnculo"/>
            <w:rFonts w:ascii="Candara" w:hAnsi="Candara"/>
            <w:noProof/>
            <w:color w:val="3B3838" w:themeColor="background2" w:themeShade="40"/>
          </w:rPr>
          <w:t>Figura 22. Criterio de continuidad de proyectos en curso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464</w:t>
        </w:r>
        <w:r w:rsidR="00CF2725" w:rsidRPr="007B53C7">
          <w:rPr>
            <w:rFonts w:ascii="Candara" w:hAnsi="Candara"/>
            <w:noProof/>
            <w:webHidden/>
            <w:color w:val="3B3838" w:themeColor="background2" w:themeShade="40"/>
          </w:rPr>
          <w:fldChar w:fldCharType="end"/>
        </w:r>
      </w:hyperlink>
    </w:p>
    <w:p w14:paraId="5A5912FD" w14:textId="58B4E14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69999" w:history="1">
        <w:r w:rsidR="00CF2725" w:rsidRPr="007B53C7">
          <w:rPr>
            <w:rStyle w:val="Hipervnculo"/>
            <w:rFonts w:ascii="Candara" w:hAnsi="Candara"/>
            <w:noProof/>
            <w:color w:val="3B3838" w:themeColor="background2" w:themeShade="40"/>
          </w:rPr>
          <w:t>Figura 23. Criterios de selección de proyectos para PDD</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_Toc165169999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465</w:t>
        </w:r>
        <w:r w:rsidR="00CF2725" w:rsidRPr="007B53C7">
          <w:rPr>
            <w:rFonts w:ascii="Candara" w:hAnsi="Candara"/>
            <w:noProof/>
            <w:webHidden/>
            <w:color w:val="3B3838" w:themeColor="background2" w:themeShade="40"/>
          </w:rPr>
          <w:fldChar w:fldCharType="end"/>
        </w:r>
      </w:hyperlink>
    </w:p>
    <w:p w14:paraId="263A4E80" w14:textId="76222951"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lang w:eastAsia="es-CO"/>
          <w14:ligatures w14:val="standardContextual"/>
        </w:rPr>
      </w:pPr>
      <w:hyperlink w:anchor="_Toc165170000" w:history="1">
        <w:r w:rsidR="00CF2725" w:rsidRPr="007B53C7">
          <w:rPr>
            <w:rStyle w:val="Hipervnculo"/>
            <w:rFonts w:ascii="Candara" w:hAnsi="Candara"/>
            <w:noProof/>
            <w:color w:val="3B3838" w:themeColor="background2" w:themeShade="40"/>
          </w:rPr>
          <w:t>Figura 24. Articulación objetivos estratégicos del PDD y objetivos de largo plazo del POT</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_Toc165170000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469</w:t>
        </w:r>
        <w:r w:rsidR="00CF2725" w:rsidRPr="007B53C7">
          <w:rPr>
            <w:rFonts w:ascii="Candara" w:hAnsi="Candara"/>
            <w:noProof/>
            <w:webHidden/>
            <w:color w:val="3B3838" w:themeColor="background2" w:themeShade="40"/>
          </w:rPr>
          <w:fldChar w:fldCharType="end"/>
        </w:r>
      </w:hyperlink>
    </w:p>
    <w:p w14:paraId="003887FF" w14:textId="25E24F21" w:rsidR="00CF2725" w:rsidRDefault="00CF2725" w:rsidP="00CF2725">
      <w:pPr>
        <w:spacing w:line="240" w:lineRule="auto"/>
        <w:jc w:val="left"/>
        <w:rPr>
          <w:b/>
          <w:bCs/>
          <w:color w:val="C00000"/>
          <w:sz w:val="28"/>
          <w:szCs w:val="32"/>
        </w:rPr>
      </w:pPr>
      <w:r w:rsidRPr="007B53C7">
        <w:rPr>
          <w:b/>
          <w:bCs/>
          <w:szCs w:val="22"/>
        </w:rPr>
        <w:fldChar w:fldCharType="end"/>
      </w:r>
    </w:p>
    <w:p w14:paraId="63933647" w14:textId="774D8998" w:rsidR="00CF2725" w:rsidRDefault="00CF2725" w:rsidP="00CF2725">
      <w:pPr>
        <w:spacing w:line="240" w:lineRule="auto"/>
        <w:jc w:val="left"/>
        <w:rPr>
          <w:b/>
          <w:bCs/>
          <w:color w:val="C00000"/>
          <w:sz w:val="28"/>
          <w:szCs w:val="32"/>
        </w:rPr>
      </w:pPr>
      <w:r>
        <w:rPr>
          <w:b/>
          <w:bCs/>
          <w:color w:val="C00000"/>
          <w:sz w:val="28"/>
          <w:szCs w:val="32"/>
        </w:rPr>
        <w:t>Índice</w:t>
      </w:r>
      <w:r w:rsidRPr="00874511">
        <w:rPr>
          <w:b/>
          <w:bCs/>
          <w:color w:val="C00000"/>
          <w:sz w:val="28"/>
          <w:szCs w:val="32"/>
        </w:rPr>
        <w:t xml:space="preserve"> de </w:t>
      </w:r>
      <w:r>
        <w:rPr>
          <w:b/>
          <w:bCs/>
          <w:color w:val="C00000"/>
          <w:sz w:val="28"/>
          <w:szCs w:val="32"/>
        </w:rPr>
        <w:t>Mapas</w:t>
      </w:r>
    </w:p>
    <w:p w14:paraId="35B1021E" w14:textId="3D004C23" w:rsidR="00CF2725" w:rsidRPr="007B53C7" w:rsidRDefault="00CF2725">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r>
        <w:rPr>
          <w:b/>
          <w:bCs/>
          <w:color w:val="C00000"/>
          <w:sz w:val="28"/>
          <w:szCs w:val="32"/>
        </w:rPr>
        <w:fldChar w:fldCharType="begin"/>
      </w:r>
      <w:r>
        <w:rPr>
          <w:b/>
          <w:bCs/>
          <w:color w:val="C00000"/>
          <w:sz w:val="28"/>
          <w:szCs w:val="32"/>
        </w:rPr>
        <w:instrText xml:space="preserve"> TOC \h \z \c "Mapa" </w:instrText>
      </w:r>
      <w:r>
        <w:rPr>
          <w:b/>
          <w:bCs/>
          <w:color w:val="C00000"/>
          <w:sz w:val="28"/>
          <w:szCs w:val="32"/>
        </w:rPr>
        <w:fldChar w:fldCharType="separate"/>
      </w:r>
      <w:hyperlink w:anchor="_Toc165170025" w:history="1">
        <w:r w:rsidRPr="007B53C7">
          <w:rPr>
            <w:rStyle w:val="Hipervnculo"/>
            <w:rFonts w:ascii="Candara" w:hAnsi="Candara"/>
            <w:noProof/>
            <w:color w:val="3B3838" w:themeColor="background2" w:themeShade="40"/>
          </w:rPr>
          <w:t>Mapa 1</w:t>
        </w:r>
        <w:r w:rsidRPr="007B53C7">
          <w:rPr>
            <w:rStyle w:val="Hipervnculo"/>
            <w:rFonts w:ascii="Candara" w:hAnsi="Candara"/>
            <w:bCs/>
            <w:noProof/>
            <w:color w:val="3B3838" w:themeColor="background2" w:themeShade="40"/>
          </w:rPr>
          <w:t xml:space="preserve">. </w:t>
        </w:r>
        <w:r w:rsidRPr="007B53C7">
          <w:rPr>
            <w:rStyle w:val="Hipervnculo"/>
            <w:rFonts w:ascii="Candara" w:hAnsi="Candara"/>
            <w:noProof/>
            <w:color w:val="3B3838" w:themeColor="background2" w:themeShade="40"/>
          </w:rPr>
          <w:t>UPL Deficitarias y no deficitarias</w:t>
        </w:r>
        <w:r w:rsidRPr="007B53C7">
          <w:rPr>
            <w:rFonts w:ascii="Candara" w:hAnsi="Candara"/>
            <w:noProof/>
            <w:webHidden/>
            <w:color w:val="3B3838" w:themeColor="background2" w:themeShade="40"/>
          </w:rPr>
          <w:tab/>
        </w:r>
        <w:r w:rsidRPr="007B53C7">
          <w:rPr>
            <w:rFonts w:ascii="Candara" w:hAnsi="Candara"/>
            <w:noProof/>
            <w:webHidden/>
            <w:color w:val="3B3838" w:themeColor="background2" w:themeShade="40"/>
          </w:rPr>
          <w:fldChar w:fldCharType="begin"/>
        </w:r>
        <w:r w:rsidRPr="007B53C7">
          <w:rPr>
            <w:rFonts w:ascii="Candara" w:hAnsi="Candara"/>
            <w:noProof/>
            <w:webHidden/>
            <w:color w:val="3B3838" w:themeColor="background2" w:themeShade="40"/>
          </w:rPr>
          <w:instrText xml:space="preserve"> PAGEREF _Toc165170025 \h </w:instrText>
        </w:r>
        <w:r w:rsidRPr="007B53C7">
          <w:rPr>
            <w:rFonts w:ascii="Candara" w:hAnsi="Candara"/>
            <w:noProof/>
            <w:webHidden/>
            <w:color w:val="3B3838" w:themeColor="background2" w:themeShade="40"/>
          </w:rPr>
        </w:r>
        <w:r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17</w:t>
        </w:r>
        <w:r w:rsidRPr="007B53C7">
          <w:rPr>
            <w:rFonts w:ascii="Candara" w:hAnsi="Candara"/>
            <w:noProof/>
            <w:webHidden/>
            <w:color w:val="3B3838" w:themeColor="background2" w:themeShade="40"/>
          </w:rPr>
          <w:fldChar w:fldCharType="end"/>
        </w:r>
      </w:hyperlink>
    </w:p>
    <w:p w14:paraId="62AB02B3" w14:textId="7126A28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26" w:history="1">
        <w:r w:rsidR="00CF2725" w:rsidRPr="007B53C7">
          <w:rPr>
            <w:rStyle w:val="Hipervnculo"/>
            <w:rFonts w:ascii="Candara" w:hAnsi="Candara"/>
            <w:noProof/>
            <w:color w:val="3B3838" w:themeColor="background2" w:themeShade="40"/>
          </w:rPr>
          <w:t>Mapa 2. Indicador de espacio público efectivo por UPL</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_Toc165170026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18</w:t>
        </w:r>
        <w:r w:rsidR="00CF2725" w:rsidRPr="007B53C7">
          <w:rPr>
            <w:rFonts w:ascii="Candara" w:hAnsi="Candara"/>
            <w:noProof/>
            <w:webHidden/>
            <w:color w:val="3B3838" w:themeColor="background2" w:themeShade="40"/>
          </w:rPr>
          <w:fldChar w:fldCharType="end"/>
        </w:r>
      </w:hyperlink>
    </w:p>
    <w:p w14:paraId="55938A02" w14:textId="4A59DA0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27" w:history="1">
        <w:r w:rsidR="00CF2725" w:rsidRPr="007B53C7">
          <w:rPr>
            <w:rStyle w:val="Hipervnculo"/>
            <w:rFonts w:ascii="Candara" w:hAnsi="Candara"/>
            <w:noProof/>
            <w:color w:val="3B3838" w:themeColor="background2" w:themeShade="40"/>
          </w:rPr>
          <w:t>Mapa 3. Déficit global de construcción de equipamientos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_Toc165170027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19</w:t>
        </w:r>
        <w:r w:rsidR="00CF2725" w:rsidRPr="007B53C7">
          <w:rPr>
            <w:rFonts w:ascii="Candara" w:hAnsi="Candara"/>
            <w:noProof/>
            <w:webHidden/>
            <w:color w:val="3B3838" w:themeColor="background2" w:themeShade="40"/>
          </w:rPr>
          <w:fldChar w:fldCharType="end"/>
        </w:r>
      </w:hyperlink>
    </w:p>
    <w:p w14:paraId="182247AB" w14:textId="0C128D2D"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28" w:history="1">
        <w:r w:rsidR="00CF2725" w:rsidRPr="007B53C7">
          <w:rPr>
            <w:rStyle w:val="Hipervnculo"/>
            <w:rFonts w:ascii="Candara" w:hAnsi="Candara"/>
            <w:noProof/>
            <w:color w:val="3B3838" w:themeColor="background2" w:themeShade="40"/>
          </w:rPr>
          <w:t>Mapa 4. Tasa de homicidios por cada 10.000 habitantes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_Toc165170028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92</w:t>
        </w:r>
        <w:r w:rsidR="00CF2725" w:rsidRPr="007B53C7">
          <w:rPr>
            <w:rFonts w:ascii="Candara" w:hAnsi="Candara"/>
            <w:noProof/>
            <w:webHidden/>
            <w:color w:val="3B3838" w:themeColor="background2" w:themeShade="40"/>
          </w:rPr>
          <w:fldChar w:fldCharType="end"/>
        </w:r>
      </w:hyperlink>
    </w:p>
    <w:p w14:paraId="762435E6" w14:textId="341F2D2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29" w:history="1">
        <w:r w:rsidR="00CF2725" w:rsidRPr="007B53C7">
          <w:rPr>
            <w:rStyle w:val="Hipervnculo"/>
            <w:rFonts w:ascii="Candara" w:hAnsi="Candara"/>
            <w:noProof/>
            <w:color w:val="3B3838" w:themeColor="background2" w:themeShade="40"/>
          </w:rPr>
          <w:t>Mapa 5. Tasa de hurtos por cada 10.000 habitantes (2023)</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_Toc165170029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93</w:t>
        </w:r>
        <w:r w:rsidR="00CF2725" w:rsidRPr="007B53C7">
          <w:rPr>
            <w:rFonts w:ascii="Candara" w:hAnsi="Candara"/>
            <w:noProof/>
            <w:webHidden/>
            <w:color w:val="3B3838" w:themeColor="background2" w:themeShade="40"/>
          </w:rPr>
          <w:fldChar w:fldCharType="end"/>
        </w:r>
      </w:hyperlink>
    </w:p>
    <w:p w14:paraId="66349D08" w14:textId="3930F1D5"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0" w:history="1">
        <w:r w:rsidR="00CF2725" w:rsidRPr="007B53C7">
          <w:rPr>
            <w:rStyle w:val="Hipervnculo"/>
            <w:rFonts w:ascii="Candara" w:hAnsi="Candara"/>
            <w:noProof/>
            <w:color w:val="3B3838" w:themeColor="background2" w:themeShade="40"/>
          </w:rPr>
          <w:t>Mapa 6. Mapa de la pobreza monetaria y extrema por localidad y UPZ en Bogotá (2021)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_Toc165170030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126</w:t>
        </w:r>
        <w:r w:rsidR="00CF2725" w:rsidRPr="007B53C7">
          <w:rPr>
            <w:rFonts w:ascii="Candara" w:hAnsi="Candara"/>
            <w:noProof/>
            <w:webHidden/>
            <w:color w:val="3B3838" w:themeColor="background2" w:themeShade="40"/>
          </w:rPr>
          <w:fldChar w:fldCharType="end"/>
        </w:r>
      </w:hyperlink>
    </w:p>
    <w:p w14:paraId="0B792C14" w14:textId="77B78299"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1" w:history="1">
        <w:r w:rsidR="00CF2725" w:rsidRPr="007B53C7">
          <w:rPr>
            <w:rStyle w:val="Hipervnculo"/>
            <w:rFonts w:ascii="Candara" w:hAnsi="Candara"/>
            <w:noProof/>
            <w:color w:val="3B3838" w:themeColor="background2" w:themeShade="40"/>
          </w:rPr>
          <w:t>Mapa 7. Censo Habitante de calle 2017</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_Toc165170031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136</w:t>
        </w:r>
        <w:r w:rsidR="00CF2725" w:rsidRPr="007B53C7">
          <w:rPr>
            <w:rFonts w:ascii="Candara" w:hAnsi="Candara"/>
            <w:noProof/>
            <w:webHidden/>
            <w:color w:val="3B3838" w:themeColor="background2" w:themeShade="40"/>
          </w:rPr>
          <w:fldChar w:fldCharType="end"/>
        </w:r>
      </w:hyperlink>
    </w:p>
    <w:p w14:paraId="429CAB85" w14:textId="453E52B7"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2" w:history="1">
        <w:r w:rsidR="00CF2725" w:rsidRPr="007B53C7">
          <w:rPr>
            <w:rStyle w:val="Hipervnculo"/>
            <w:rFonts w:ascii="Candara" w:hAnsi="Candara"/>
            <w:noProof/>
            <w:color w:val="3B3838" w:themeColor="background2" w:themeShade="40"/>
          </w:rPr>
          <w:t>Mapa 8. Zonificación de amenazas alta por inundación Izq. Desbordamiento – Der. Rompimiento de jarillones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_Toc165170032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259</w:t>
        </w:r>
        <w:r w:rsidR="00CF2725" w:rsidRPr="007B53C7">
          <w:rPr>
            <w:rFonts w:ascii="Candara" w:hAnsi="Candara"/>
            <w:noProof/>
            <w:webHidden/>
            <w:color w:val="3B3838" w:themeColor="background2" w:themeShade="40"/>
          </w:rPr>
          <w:fldChar w:fldCharType="end"/>
        </w:r>
      </w:hyperlink>
    </w:p>
    <w:p w14:paraId="0F6CE642" w14:textId="7F94629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3" w:history="1">
        <w:r w:rsidR="00CF2725" w:rsidRPr="007B53C7">
          <w:rPr>
            <w:rStyle w:val="Hipervnculo"/>
            <w:rFonts w:ascii="Candara" w:hAnsi="Candara"/>
            <w:noProof/>
            <w:color w:val="3B3838" w:themeColor="background2" w:themeShade="40"/>
          </w:rPr>
          <w:t>Mapa 9. Zonificación de amenaza por incendios forestales</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_Toc165170033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260</w:t>
        </w:r>
        <w:r w:rsidR="00CF2725" w:rsidRPr="007B53C7">
          <w:rPr>
            <w:rFonts w:ascii="Candara" w:hAnsi="Candara"/>
            <w:noProof/>
            <w:webHidden/>
            <w:color w:val="3B3838" w:themeColor="background2" w:themeShade="40"/>
          </w:rPr>
          <w:fldChar w:fldCharType="end"/>
        </w:r>
      </w:hyperlink>
    </w:p>
    <w:p w14:paraId="5FCA3CC1" w14:textId="2EFF9FF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4" w:history="1">
        <w:r w:rsidR="00CF2725" w:rsidRPr="007B53C7">
          <w:rPr>
            <w:rStyle w:val="Hipervnculo"/>
            <w:rFonts w:ascii="Candara" w:hAnsi="Candara"/>
            <w:noProof/>
            <w:color w:val="3B3838" w:themeColor="background2" w:themeShade="40"/>
          </w:rPr>
          <w:t>Mapa 10. Concentración de PM 10</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_Toc165170034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266</w:t>
        </w:r>
        <w:r w:rsidR="00CF2725" w:rsidRPr="007B53C7">
          <w:rPr>
            <w:rFonts w:ascii="Candara" w:hAnsi="Candara"/>
            <w:noProof/>
            <w:webHidden/>
            <w:color w:val="3B3838" w:themeColor="background2" w:themeShade="40"/>
          </w:rPr>
          <w:fldChar w:fldCharType="end"/>
        </w:r>
      </w:hyperlink>
    </w:p>
    <w:p w14:paraId="6C899C97" w14:textId="3FF4C6DC"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5" w:history="1">
        <w:r w:rsidR="00CF2725" w:rsidRPr="007B53C7">
          <w:rPr>
            <w:rStyle w:val="Hipervnculo"/>
            <w:rFonts w:ascii="Candara" w:hAnsi="Candara"/>
            <w:noProof/>
            <w:color w:val="3B3838" w:themeColor="background2" w:themeShade="40"/>
          </w:rPr>
          <w:t xml:space="preserve">Mapa 11. </w:t>
        </w:r>
        <w:r w:rsidR="00CF2725" w:rsidRPr="007B53C7">
          <w:rPr>
            <w:rStyle w:val="Hipervnculo"/>
            <w:rFonts w:ascii="Candara" w:hAnsi="Candara"/>
            <w:noProof/>
            <w:color w:val="3B3838" w:themeColor="background2" w:themeShade="40"/>
            <w:highlight w:val="white"/>
          </w:rPr>
          <w:t>Déficit/superávit del sector oficial por nivel educativo</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_Toc165170035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284</w:t>
        </w:r>
        <w:r w:rsidR="00CF2725" w:rsidRPr="007B53C7">
          <w:rPr>
            <w:rFonts w:ascii="Candara" w:hAnsi="Candara"/>
            <w:noProof/>
            <w:webHidden/>
            <w:color w:val="3B3838" w:themeColor="background2" w:themeShade="40"/>
          </w:rPr>
          <w:fldChar w:fldCharType="end"/>
        </w:r>
      </w:hyperlink>
    </w:p>
    <w:p w14:paraId="76493CF2" w14:textId="712C56BF"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6" w:history="1">
        <w:r w:rsidR="00CF2725" w:rsidRPr="007B53C7">
          <w:rPr>
            <w:rStyle w:val="Hipervnculo"/>
            <w:rFonts w:ascii="Candara" w:hAnsi="Candara"/>
            <w:noProof/>
            <w:color w:val="3B3838" w:themeColor="background2" w:themeShade="40"/>
          </w:rPr>
          <w:t>Mapa 12. Lanzamientos de VIS-VIP en UPL deficitarias y superavitarias de soportes urbanos entre 2016-2022</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_Toc165170036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290</w:t>
        </w:r>
        <w:r w:rsidR="00CF2725" w:rsidRPr="007B53C7">
          <w:rPr>
            <w:rFonts w:ascii="Candara" w:hAnsi="Candara"/>
            <w:noProof/>
            <w:webHidden/>
            <w:color w:val="3B3838" w:themeColor="background2" w:themeShade="40"/>
          </w:rPr>
          <w:fldChar w:fldCharType="end"/>
        </w:r>
      </w:hyperlink>
    </w:p>
    <w:p w14:paraId="72B405EC" w14:textId="68A2762B"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7" w:history="1">
        <w:r w:rsidR="00CF2725" w:rsidRPr="007B53C7">
          <w:rPr>
            <w:rStyle w:val="Hipervnculo"/>
            <w:rFonts w:ascii="Candara" w:hAnsi="Candara"/>
            <w:noProof/>
            <w:color w:val="3B3838" w:themeColor="background2" w:themeShade="40"/>
          </w:rPr>
          <w:t>Mapa 13. Aglomeración de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_Toc165170037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334</w:t>
        </w:r>
        <w:r w:rsidR="00CF2725" w:rsidRPr="007B53C7">
          <w:rPr>
            <w:rFonts w:ascii="Candara" w:hAnsi="Candara"/>
            <w:noProof/>
            <w:webHidden/>
            <w:color w:val="3B3838" w:themeColor="background2" w:themeShade="40"/>
          </w:rPr>
          <w:fldChar w:fldCharType="end"/>
        </w:r>
      </w:hyperlink>
    </w:p>
    <w:p w14:paraId="7F54323B" w14:textId="74B819F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8" w:history="1">
        <w:r w:rsidR="00CF2725" w:rsidRPr="007B53C7">
          <w:rPr>
            <w:rStyle w:val="Hipervnculo"/>
            <w:rFonts w:ascii="Candara" w:hAnsi="Candara"/>
            <w:noProof/>
            <w:color w:val="3B3838" w:themeColor="background2" w:themeShade="40"/>
          </w:rPr>
          <w:t>Mapa 14. Distribución de la población y el valor agregado (2021)</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_Toc165170038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336</w:t>
        </w:r>
        <w:r w:rsidR="00CF2725" w:rsidRPr="007B53C7">
          <w:rPr>
            <w:rFonts w:ascii="Candara" w:hAnsi="Candara"/>
            <w:noProof/>
            <w:webHidden/>
            <w:color w:val="3B3838" w:themeColor="background2" w:themeShade="40"/>
          </w:rPr>
          <w:fldChar w:fldCharType="end"/>
        </w:r>
      </w:hyperlink>
    </w:p>
    <w:p w14:paraId="5C17F93E" w14:textId="0C55CF64" w:rsidR="00CF2725" w:rsidRPr="007B53C7" w:rsidRDefault="00000000">
      <w:pPr>
        <w:pStyle w:val="Tabladeilustraciones"/>
        <w:tabs>
          <w:tab w:val="right" w:leader="dot" w:pos="9350"/>
        </w:tabs>
        <w:rPr>
          <w:rFonts w:ascii="Candara" w:eastAsiaTheme="minorEastAsia" w:hAnsi="Candara"/>
          <w:noProof/>
          <w:color w:val="3B3838" w:themeColor="background2" w:themeShade="40"/>
          <w:kern w:val="2"/>
          <w:sz w:val="24"/>
          <w:szCs w:val="24"/>
          <w:lang w:eastAsia="es-CO"/>
          <w14:ligatures w14:val="standardContextual"/>
        </w:rPr>
      </w:pPr>
      <w:hyperlink w:anchor="_Toc165170039" w:history="1">
        <w:r w:rsidR="00CF2725" w:rsidRPr="007B53C7">
          <w:rPr>
            <w:rStyle w:val="Hipervnculo"/>
            <w:rFonts w:ascii="Candara" w:hAnsi="Candara"/>
            <w:noProof/>
            <w:color w:val="3B3838" w:themeColor="background2" w:themeShade="40"/>
          </w:rPr>
          <w:t>Mapa 15. Concentración de déficit en Bogotá</w:t>
        </w:r>
        <w:r w:rsidR="00CF2725" w:rsidRPr="007B53C7">
          <w:rPr>
            <w:rFonts w:ascii="Candara" w:hAnsi="Candara"/>
            <w:noProof/>
            <w:webHidden/>
            <w:color w:val="3B3838" w:themeColor="background2" w:themeShade="40"/>
          </w:rPr>
          <w:tab/>
        </w:r>
        <w:r w:rsidR="00CF2725" w:rsidRPr="007B53C7">
          <w:rPr>
            <w:rFonts w:ascii="Candara" w:hAnsi="Candara"/>
            <w:noProof/>
            <w:webHidden/>
            <w:color w:val="3B3838" w:themeColor="background2" w:themeShade="40"/>
          </w:rPr>
          <w:fldChar w:fldCharType="begin"/>
        </w:r>
        <w:r w:rsidR="00CF2725" w:rsidRPr="007B53C7">
          <w:rPr>
            <w:rFonts w:ascii="Candara" w:hAnsi="Candara"/>
            <w:noProof/>
            <w:webHidden/>
            <w:color w:val="3B3838" w:themeColor="background2" w:themeShade="40"/>
          </w:rPr>
          <w:instrText xml:space="preserve"> PAGEREF _Toc165170039 \h </w:instrText>
        </w:r>
        <w:r w:rsidR="00CF2725" w:rsidRPr="007B53C7">
          <w:rPr>
            <w:rFonts w:ascii="Candara" w:hAnsi="Candara"/>
            <w:noProof/>
            <w:webHidden/>
            <w:color w:val="3B3838" w:themeColor="background2" w:themeShade="40"/>
          </w:rPr>
        </w:r>
        <w:r w:rsidR="00CF2725" w:rsidRPr="007B53C7">
          <w:rPr>
            <w:rFonts w:ascii="Candara" w:hAnsi="Candara"/>
            <w:noProof/>
            <w:webHidden/>
            <w:color w:val="3B3838" w:themeColor="background2" w:themeShade="40"/>
          </w:rPr>
          <w:fldChar w:fldCharType="separate"/>
        </w:r>
        <w:r w:rsidR="00D01651">
          <w:rPr>
            <w:rFonts w:ascii="Candara" w:hAnsi="Candara"/>
            <w:noProof/>
            <w:webHidden/>
            <w:color w:val="3B3838" w:themeColor="background2" w:themeShade="40"/>
          </w:rPr>
          <w:t>463</w:t>
        </w:r>
        <w:r w:rsidR="00CF2725" w:rsidRPr="007B53C7">
          <w:rPr>
            <w:rFonts w:ascii="Candara" w:hAnsi="Candara"/>
            <w:noProof/>
            <w:webHidden/>
            <w:color w:val="3B3838" w:themeColor="background2" w:themeShade="40"/>
          </w:rPr>
          <w:fldChar w:fldCharType="end"/>
        </w:r>
      </w:hyperlink>
    </w:p>
    <w:p w14:paraId="1B152A54" w14:textId="5B76E8CA" w:rsidR="00121C11" w:rsidRDefault="00CF2725">
      <w:pPr>
        <w:spacing w:line="240" w:lineRule="auto"/>
        <w:jc w:val="left"/>
        <w:rPr>
          <w:b/>
          <w:bCs/>
          <w:color w:val="C00000"/>
          <w:sz w:val="28"/>
          <w:szCs w:val="32"/>
        </w:rPr>
      </w:pPr>
      <w:r>
        <w:rPr>
          <w:b/>
          <w:bCs/>
          <w:color w:val="C00000"/>
          <w:sz w:val="28"/>
          <w:szCs w:val="32"/>
        </w:rPr>
        <w:fldChar w:fldCharType="end"/>
      </w:r>
    </w:p>
    <w:p w14:paraId="11AD4B01" w14:textId="3241EB25" w:rsidR="00121C11" w:rsidRDefault="00121C11" w:rsidP="00121C11">
      <w:pPr>
        <w:spacing w:line="240" w:lineRule="auto"/>
        <w:jc w:val="left"/>
        <w:rPr>
          <w:b/>
          <w:bCs/>
          <w:color w:val="C00000"/>
          <w:sz w:val="28"/>
          <w:szCs w:val="32"/>
        </w:rPr>
      </w:pPr>
      <w:r>
        <w:rPr>
          <w:b/>
          <w:bCs/>
          <w:color w:val="C00000"/>
          <w:sz w:val="28"/>
          <w:szCs w:val="32"/>
        </w:rPr>
        <w:lastRenderedPageBreak/>
        <w:t>Listado de Abreviaturas</w:t>
      </w:r>
    </w:p>
    <w:tbl>
      <w:tblPr>
        <w:tblW w:w="9453" w:type="dxa"/>
        <w:tblCellMar>
          <w:left w:w="70" w:type="dxa"/>
          <w:right w:w="70" w:type="dxa"/>
        </w:tblCellMar>
        <w:tblLook w:val="04A0" w:firstRow="1" w:lastRow="0" w:firstColumn="1" w:lastColumn="0" w:noHBand="0" w:noVBand="1"/>
      </w:tblPr>
      <w:tblGrid>
        <w:gridCol w:w="1033"/>
        <w:gridCol w:w="8420"/>
      </w:tblGrid>
      <w:tr w:rsidR="007B28B2" w:rsidRPr="007B28B2" w14:paraId="217CF8DD" w14:textId="77777777" w:rsidTr="007B28B2">
        <w:trPr>
          <w:trHeight w:val="315"/>
          <w:tblHeader/>
        </w:trPr>
        <w:tc>
          <w:tcPr>
            <w:tcW w:w="1033" w:type="dxa"/>
            <w:tcBorders>
              <w:top w:val="nil"/>
              <w:left w:val="nil"/>
              <w:bottom w:val="nil"/>
              <w:right w:val="nil"/>
            </w:tcBorders>
            <w:shd w:val="clear" w:color="000000" w:fill="C00000"/>
            <w:noWrap/>
            <w:vAlign w:val="bottom"/>
            <w:hideMark/>
          </w:tcPr>
          <w:p w14:paraId="745AA511" w14:textId="7A921854" w:rsidR="007B28B2" w:rsidRPr="007B28B2" w:rsidRDefault="007B28B2" w:rsidP="007B28B2">
            <w:pPr>
              <w:spacing w:line="240" w:lineRule="auto"/>
              <w:jc w:val="left"/>
              <w:rPr>
                <w:rFonts w:cs="Arial"/>
                <w:b/>
                <w:bCs/>
                <w:color w:val="FFFFFF"/>
                <w:sz w:val="20"/>
                <w:szCs w:val="20"/>
                <w:lang w:eastAsia="es-CO"/>
              </w:rPr>
            </w:pPr>
            <w:r w:rsidRPr="007B28B2">
              <w:rPr>
                <w:rFonts w:cs="Arial"/>
                <w:b/>
                <w:bCs/>
                <w:color w:val="FFFFFF"/>
                <w:sz w:val="20"/>
                <w:szCs w:val="20"/>
                <w:lang w:eastAsia="es-CO"/>
              </w:rPr>
              <w:t>S</w:t>
            </w:r>
            <w:r>
              <w:rPr>
                <w:rFonts w:cs="Arial"/>
                <w:b/>
                <w:bCs/>
                <w:color w:val="FFFFFF"/>
                <w:sz w:val="20"/>
                <w:szCs w:val="20"/>
                <w:lang w:eastAsia="es-CO"/>
              </w:rPr>
              <w:t>igla</w:t>
            </w:r>
          </w:p>
        </w:tc>
        <w:tc>
          <w:tcPr>
            <w:tcW w:w="8420" w:type="dxa"/>
            <w:tcBorders>
              <w:top w:val="nil"/>
              <w:left w:val="nil"/>
              <w:bottom w:val="nil"/>
              <w:right w:val="nil"/>
            </w:tcBorders>
            <w:shd w:val="clear" w:color="000000" w:fill="C00000"/>
            <w:noWrap/>
            <w:vAlign w:val="bottom"/>
            <w:hideMark/>
          </w:tcPr>
          <w:p w14:paraId="547B83D2" w14:textId="4A966058" w:rsidR="007B28B2" w:rsidRPr="007B28B2" w:rsidRDefault="007B28B2" w:rsidP="007B28B2">
            <w:pPr>
              <w:spacing w:line="240" w:lineRule="auto"/>
              <w:jc w:val="left"/>
              <w:rPr>
                <w:rFonts w:cs="Arial"/>
                <w:b/>
                <w:bCs/>
                <w:color w:val="FFFFFF"/>
                <w:sz w:val="20"/>
                <w:szCs w:val="20"/>
                <w:lang w:eastAsia="es-CO"/>
              </w:rPr>
            </w:pPr>
            <w:r>
              <w:rPr>
                <w:rFonts w:cs="Arial"/>
                <w:b/>
                <w:bCs/>
                <w:color w:val="FFFFFF"/>
                <w:sz w:val="20"/>
                <w:szCs w:val="20"/>
                <w:lang w:eastAsia="es-CO"/>
              </w:rPr>
              <w:t>Descripción</w:t>
            </w:r>
          </w:p>
        </w:tc>
      </w:tr>
      <w:tr w:rsidR="007B28B2" w:rsidRPr="007B28B2" w14:paraId="7A8C5BD3" w14:textId="77777777" w:rsidTr="007B28B2">
        <w:trPr>
          <w:trHeight w:val="315"/>
        </w:trPr>
        <w:tc>
          <w:tcPr>
            <w:tcW w:w="1033" w:type="dxa"/>
            <w:tcBorders>
              <w:top w:val="nil"/>
              <w:left w:val="nil"/>
              <w:bottom w:val="nil"/>
              <w:right w:val="nil"/>
            </w:tcBorders>
            <w:shd w:val="clear" w:color="auto" w:fill="auto"/>
            <w:noWrap/>
            <w:vAlign w:val="bottom"/>
            <w:hideMark/>
          </w:tcPr>
          <w:p w14:paraId="52640D8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ACPM</w:t>
            </w:r>
          </w:p>
        </w:tc>
        <w:tc>
          <w:tcPr>
            <w:tcW w:w="8420" w:type="dxa"/>
            <w:tcBorders>
              <w:top w:val="nil"/>
              <w:left w:val="nil"/>
              <w:bottom w:val="nil"/>
              <w:right w:val="nil"/>
            </w:tcBorders>
            <w:shd w:val="clear" w:color="auto" w:fill="auto"/>
            <w:noWrap/>
            <w:vAlign w:val="bottom"/>
            <w:hideMark/>
          </w:tcPr>
          <w:p w14:paraId="6366D1D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Aceite Combustible Para Motore</w:t>
            </w:r>
          </w:p>
        </w:tc>
      </w:tr>
      <w:tr w:rsidR="007B28B2" w:rsidRPr="007B28B2" w14:paraId="4F9E1CD9" w14:textId="77777777" w:rsidTr="007B28B2">
        <w:trPr>
          <w:trHeight w:val="315"/>
        </w:trPr>
        <w:tc>
          <w:tcPr>
            <w:tcW w:w="1033" w:type="dxa"/>
            <w:tcBorders>
              <w:top w:val="nil"/>
              <w:left w:val="nil"/>
              <w:bottom w:val="nil"/>
              <w:right w:val="nil"/>
            </w:tcBorders>
            <w:shd w:val="clear" w:color="auto" w:fill="auto"/>
            <w:noWrap/>
            <w:vAlign w:val="bottom"/>
            <w:hideMark/>
          </w:tcPr>
          <w:p w14:paraId="75AB952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ACTI</w:t>
            </w:r>
          </w:p>
        </w:tc>
        <w:tc>
          <w:tcPr>
            <w:tcW w:w="8420" w:type="dxa"/>
            <w:tcBorders>
              <w:top w:val="nil"/>
              <w:left w:val="nil"/>
              <w:bottom w:val="nil"/>
              <w:right w:val="nil"/>
            </w:tcBorders>
            <w:shd w:val="clear" w:color="auto" w:fill="auto"/>
            <w:noWrap/>
            <w:vAlign w:val="bottom"/>
            <w:hideMark/>
          </w:tcPr>
          <w:p w14:paraId="5284E6F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Actividades de Ciencia, Tecnología e Innovación</w:t>
            </w:r>
          </w:p>
        </w:tc>
      </w:tr>
      <w:tr w:rsidR="007B28B2" w:rsidRPr="007B28B2" w14:paraId="5CEDA545" w14:textId="77777777" w:rsidTr="007B28B2">
        <w:trPr>
          <w:trHeight w:val="315"/>
        </w:trPr>
        <w:tc>
          <w:tcPr>
            <w:tcW w:w="1033" w:type="dxa"/>
            <w:tcBorders>
              <w:top w:val="nil"/>
              <w:left w:val="nil"/>
              <w:bottom w:val="nil"/>
              <w:right w:val="nil"/>
            </w:tcBorders>
            <w:shd w:val="clear" w:color="auto" w:fill="auto"/>
            <w:noWrap/>
            <w:vAlign w:val="bottom"/>
            <w:hideMark/>
          </w:tcPr>
          <w:p w14:paraId="7FC59FB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Andemos</w:t>
            </w:r>
          </w:p>
        </w:tc>
        <w:tc>
          <w:tcPr>
            <w:tcW w:w="8420" w:type="dxa"/>
            <w:tcBorders>
              <w:top w:val="nil"/>
              <w:left w:val="nil"/>
              <w:bottom w:val="nil"/>
              <w:right w:val="nil"/>
            </w:tcBorders>
            <w:shd w:val="clear" w:color="auto" w:fill="auto"/>
            <w:noWrap/>
            <w:vAlign w:val="bottom"/>
            <w:hideMark/>
          </w:tcPr>
          <w:p w14:paraId="5B8D75D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Asociación Nacional de Movilidad Sostenible</w:t>
            </w:r>
          </w:p>
        </w:tc>
      </w:tr>
      <w:tr w:rsidR="007B28B2" w:rsidRPr="007B28B2" w14:paraId="21876727" w14:textId="77777777" w:rsidTr="007B28B2">
        <w:trPr>
          <w:trHeight w:val="315"/>
        </w:trPr>
        <w:tc>
          <w:tcPr>
            <w:tcW w:w="1033" w:type="dxa"/>
            <w:tcBorders>
              <w:top w:val="nil"/>
              <w:left w:val="nil"/>
              <w:bottom w:val="nil"/>
              <w:right w:val="nil"/>
            </w:tcBorders>
            <w:shd w:val="clear" w:color="auto" w:fill="auto"/>
            <w:noWrap/>
            <w:vAlign w:val="bottom"/>
            <w:hideMark/>
          </w:tcPr>
          <w:p w14:paraId="23EA39C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APSocial</w:t>
            </w:r>
          </w:p>
        </w:tc>
        <w:tc>
          <w:tcPr>
            <w:tcW w:w="8420" w:type="dxa"/>
            <w:tcBorders>
              <w:top w:val="nil"/>
              <w:left w:val="nil"/>
              <w:bottom w:val="nil"/>
              <w:right w:val="nil"/>
            </w:tcBorders>
            <w:shd w:val="clear" w:color="auto" w:fill="auto"/>
            <w:noWrap/>
            <w:vAlign w:val="bottom"/>
            <w:hideMark/>
          </w:tcPr>
          <w:p w14:paraId="6BB889B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Atención Primaria Social</w:t>
            </w:r>
          </w:p>
        </w:tc>
      </w:tr>
      <w:tr w:rsidR="007B28B2" w:rsidRPr="007B28B2" w14:paraId="392117F1" w14:textId="77777777" w:rsidTr="007B28B2">
        <w:trPr>
          <w:trHeight w:val="315"/>
        </w:trPr>
        <w:tc>
          <w:tcPr>
            <w:tcW w:w="1033" w:type="dxa"/>
            <w:tcBorders>
              <w:top w:val="nil"/>
              <w:left w:val="nil"/>
              <w:bottom w:val="nil"/>
              <w:right w:val="nil"/>
            </w:tcBorders>
            <w:shd w:val="clear" w:color="auto" w:fill="auto"/>
            <w:noWrap/>
            <w:vAlign w:val="bottom"/>
            <w:hideMark/>
          </w:tcPr>
          <w:p w14:paraId="628D15D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ATENEA</w:t>
            </w:r>
          </w:p>
        </w:tc>
        <w:tc>
          <w:tcPr>
            <w:tcW w:w="8420" w:type="dxa"/>
            <w:tcBorders>
              <w:top w:val="nil"/>
              <w:left w:val="nil"/>
              <w:bottom w:val="nil"/>
              <w:right w:val="nil"/>
            </w:tcBorders>
            <w:shd w:val="clear" w:color="auto" w:fill="auto"/>
            <w:noWrap/>
            <w:vAlign w:val="bottom"/>
            <w:hideMark/>
          </w:tcPr>
          <w:p w14:paraId="598AB3D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Agencia Distrital para la Educación Superior, la Ciencia y la Tecnología</w:t>
            </w:r>
          </w:p>
        </w:tc>
      </w:tr>
      <w:tr w:rsidR="007B28B2" w:rsidRPr="007B28B2" w14:paraId="4E5030D6" w14:textId="77777777" w:rsidTr="007B28B2">
        <w:trPr>
          <w:trHeight w:val="315"/>
        </w:trPr>
        <w:tc>
          <w:tcPr>
            <w:tcW w:w="1033" w:type="dxa"/>
            <w:tcBorders>
              <w:top w:val="nil"/>
              <w:left w:val="nil"/>
              <w:bottom w:val="nil"/>
              <w:right w:val="nil"/>
            </w:tcBorders>
            <w:shd w:val="clear" w:color="auto" w:fill="auto"/>
            <w:noWrap/>
            <w:vAlign w:val="bottom"/>
            <w:hideMark/>
          </w:tcPr>
          <w:p w14:paraId="45A0492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BDC</w:t>
            </w:r>
          </w:p>
        </w:tc>
        <w:tc>
          <w:tcPr>
            <w:tcW w:w="8420" w:type="dxa"/>
            <w:tcBorders>
              <w:top w:val="nil"/>
              <w:left w:val="nil"/>
              <w:bottom w:val="nil"/>
              <w:right w:val="nil"/>
            </w:tcBorders>
            <w:shd w:val="clear" w:color="auto" w:fill="auto"/>
            <w:noWrap/>
            <w:vAlign w:val="bottom"/>
            <w:hideMark/>
          </w:tcPr>
          <w:p w14:paraId="312407E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Bronx Distrito Creativo</w:t>
            </w:r>
          </w:p>
        </w:tc>
      </w:tr>
      <w:tr w:rsidR="007B28B2" w:rsidRPr="007B28B2" w14:paraId="2A1F8618" w14:textId="77777777" w:rsidTr="007B28B2">
        <w:trPr>
          <w:trHeight w:val="315"/>
        </w:trPr>
        <w:tc>
          <w:tcPr>
            <w:tcW w:w="1033" w:type="dxa"/>
            <w:tcBorders>
              <w:top w:val="nil"/>
              <w:left w:val="nil"/>
              <w:bottom w:val="nil"/>
              <w:right w:val="nil"/>
            </w:tcBorders>
            <w:shd w:val="clear" w:color="auto" w:fill="auto"/>
            <w:noWrap/>
            <w:vAlign w:val="bottom"/>
            <w:hideMark/>
          </w:tcPr>
          <w:p w14:paraId="756E6E9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BID</w:t>
            </w:r>
          </w:p>
        </w:tc>
        <w:tc>
          <w:tcPr>
            <w:tcW w:w="8420" w:type="dxa"/>
            <w:tcBorders>
              <w:top w:val="nil"/>
              <w:left w:val="nil"/>
              <w:bottom w:val="nil"/>
              <w:right w:val="nil"/>
            </w:tcBorders>
            <w:shd w:val="clear" w:color="auto" w:fill="auto"/>
            <w:noWrap/>
            <w:vAlign w:val="bottom"/>
            <w:hideMark/>
          </w:tcPr>
          <w:p w14:paraId="289653F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Banco Interamericano de Desarrollo</w:t>
            </w:r>
          </w:p>
        </w:tc>
      </w:tr>
      <w:tr w:rsidR="007B28B2" w:rsidRPr="007B28B2" w14:paraId="09848C30" w14:textId="77777777" w:rsidTr="007B28B2">
        <w:trPr>
          <w:trHeight w:val="315"/>
        </w:trPr>
        <w:tc>
          <w:tcPr>
            <w:tcW w:w="1033" w:type="dxa"/>
            <w:tcBorders>
              <w:top w:val="nil"/>
              <w:left w:val="nil"/>
              <w:bottom w:val="nil"/>
              <w:right w:val="nil"/>
            </w:tcBorders>
            <w:shd w:val="clear" w:color="auto" w:fill="auto"/>
            <w:noWrap/>
            <w:vAlign w:val="bottom"/>
            <w:hideMark/>
          </w:tcPr>
          <w:p w14:paraId="1668010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BOC</w:t>
            </w:r>
          </w:p>
        </w:tc>
        <w:tc>
          <w:tcPr>
            <w:tcW w:w="8420" w:type="dxa"/>
            <w:tcBorders>
              <w:top w:val="nil"/>
              <w:left w:val="nil"/>
              <w:bottom w:val="nil"/>
              <w:right w:val="nil"/>
            </w:tcBorders>
            <w:shd w:val="clear" w:color="auto" w:fill="auto"/>
            <w:noWrap/>
            <w:vAlign w:val="bottom"/>
            <w:hideMark/>
          </w:tcPr>
          <w:p w14:paraId="2EFBB61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Bóvedas Osarios y Cenizarios</w:t>
            </w:r>
          </w:p>
        </w:tc>
      </w:tr>
      <w:tr w:rsidR="007B28B2" w:rsidRPr="007B28B2" w14:paraId="73B115C7" w14:textId="77777777" w:rsidTr="007B28B2">
        <w:trPr>
          <w:trHeight w:val="315"/>
        </w:trPr>
        <w:tc>
          <w:tcPr>
            <w:tcW w:w="1033" w:type="dxa"/>
            <w:tcBorders>
              <w:top w:val="nil"/>
              <w:left w:val="nil"/>
              <w:bottom w:val="nil"/>
              <w:right w:val="nil"/>
            </w:tcBorders>
            <w:shd w:val="clear" w:color="auto" w:fill="auto"/>
            <w:noWrap/>
            <w:vAlign w:val="bottom"/>
            <w:hideMark/>
          </w:tcPr>
          <w:p w14:paraId="3D02B10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BR</w:t>
            </w:r>
          </w:p>
        </w:tc>
        <w:tc>
          <w:tcPr>
            <w:tcW w:w="8420" w:type="dxa"/>
            <w:tcBorders>
              <w:top w:val="nil"/>
              <w:left w:val="nil"/>
              <w:bottom w:val="nil"/>
              <w:right w:val="nil"/>
            </w:tcBorders>
            <w:shd w:val="clear" w:color="auto" w:fill="auto"/>
            <w:noWrap/>
            <w:vAlign w:val="bottom"/>
            <w:hideMark/>
          </w:tcPr>
          <w:p w14:paraId="2B4E3E1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Brigada</w:t>
            </w:r>
          </w:p>
        </w:tc>
      </w:tr>
      <w:tr w:rsidR="007B28B2" w:rsidRPr="007B28B2" w14:paraId="72F0FD8B" w14:textId="77777777" w:rsidTr="007B28B2">
        <w:trPr>
          <w:trHeight w:val="315"/>
        </w:trPr>
        <w:tc>
          <w:tcPr>
            <w:tcW w:w="1033" w:type="dxa"/>
            <w:tcBorders>
              <w:top w:val="nil"/>
              <w:left w:val="nil"/>
              <w:bottom w:val="nil"/>
              <w:right w:val="nil"/>
            </w:tcBorders>
            <w:shd w:val="clear" w:color="auto" w:fill="auto"/>
            <w:noWrap/>
            <w:vAlign w:val="bottom"/>
            <w:hideMark/>
          </w:tcPr>
          <w:p w14:paraId="6B9D652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BTE</w:t>
            </w:r>
          </w:p>
        </w:tc>
        <w:tc>
          <w:tcPr>
            <w:tcW w:w="8420" w:type="dxa"/>
            <w:tcBorders>
              <w:top w:val="nil"/>
              <w:left w:val="nil"/>
              <w:bottom w:val="nil"/>
              <w:right w:val="nil"/>
            </w:tcBorders>
            <w:shd w:val="clear" w:color="auto" w:fill="auto"/>
            <w:noWrap/>
            <w:vAlign w:val="bottom"/>
            <w:hideMark/>
          </w:tcPr>
          <w:p w14:paraId="103F998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Bogotá te Escucha</w:t>
            </w:r>
          </w:p>
        </w:tc>
      </w:tr>
      <w:tr w:rsidR="007B28B2" w:rsidRPr="007B28B2" w14:paraId="5D494A64" w14:textId="77777777" w:rsidTr="007B28B2">
        <w:trPr>
          <w:trHeight w:val="315"/>
        </w:trPr>
        <w:tc>
          <w:tcPr>
            <w:tcW w:w="1033" w:type="dxa"/>
            <w:tcBorders>
              <w:top w:val="nil"/>
              <w:left w:val="nil"/>
              <w:bottom w:val="nil"/>
              <w:right w:val="nil"/>
            </w:tcBorders>
            <w:shd w:val="clear" w:color="auto" w:fill="auto"/>
            <w:noWrap/>
            <w:vAlign w:val="bottom"/>
            <w:hideMark/>
          </w:tcPr>
          <w:p w14:paraId="223BBE3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C4</w:t>
            </w:r>
          </w:p>
        </w:tc>
        <w:tc>
          <w:tcPr>
            <w:tcW w:w="8420" w:type="dxa"/>
            <w:tcBorders>
              <w:top w:val="nil"/>
              <w:left w:val="nil"/>
              <w:bottom w:val="nil"/>
              <w:right w:val="nil"/>
            </w:tcBorders>
            <w:shd w:val="clear" w:color="auto" w:fill="auto"/>
            <w:noWrap/>
            <w:vAlign w:val="bottom"/>
            <w:hideMark/>
          </w:tcPr>
          <w:p w14:paraId="68FD6CF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Centro de Comando Control, Comunicaciones y Cómputo</w:t>
            </w:r>
          </w:p>
        </w:tc>
      </w:tr>
      <w:tr w:rsidR="007B28B2" w:rsidRPr="007B28B2" w14:paraId="58B18ACD" w14:textId="77777777" w:rsidTr="007B28B2">
        <w:trPr>
          <w:trHeight w:val="315"/>
        </w:trPr>
        <w:tc>
          <w:tcPr>
            <w:tcW w:w="1033" w:type="dxa"/>
            <w:tcBorders>
              <w:top w:val="nil"/>
              <w:left w:val="nil"/>
              <w:bottom w:val="nil"/>
              <w:right w:val="nil"/>
            </w:tcBorders>
            <w:shd w:val="clear" w:color="auto" w:fill="auto"/>
            <w:noWrap/>
            <w:vAlign w:val="bottom"/>
            <w:hideMark/>
          </w:tcPr>
          <w:p w14:paraId="5FB7CD4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CADE</w:t>
            </w:r>
          </w:p>
        </w:tc>
        <w:tc>
          <w:tcPr>
            <w:tcW w:w="8420" w:type="dxa"/>
            <w:tcBorders>
              <w:top w:val="nil"/>
              <w:left w:val="nil"/>
              <w:bottom w:val="nil"/>
              <w:right w:val="nil"/>
            </w:tcBorders>
            <w:shd w:val="clear" w:color="auto" w:fill="auto"/>
            <w:noWrap/>
            <w:vAlign w:val="bottom"/>
            <w:hideMark/>
          </w:tcPr>
          <w:p w14:paraId="294BB6D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Centros de Atención Distrital Especializados</w:t>
            </w:r>
          </w:p>
        </w:tc>
      </w:tr>
      <w:tr w:rsidR="007B28B2" w:rsidRPr="007B28B2" w14:paraId="3E90BC6E" w14:textId="77777777" w:rsidTr="007B28B2">
        <w:trPr>
          <w:trHeight w:val="315"/>
        </w:trPr>
        <w:tc>
          <w:tcPr>
            <w:tcW w:w="1033" w:type="dxa"/>
            <w:tcBorders>
              <w:top w:val="nil"/>
              <w:left w:val="nil"/>
              <w:bottom w:val="nil"/>
              <w:right w:val="nil"/>
            </w:tcBorders>
            <w:shd w:val="clear" w:color="auto" w:fill="auto"/>
            <w:noWrap/>
            <w:vAlign w:val="bottom"/>
            <w:hideMark/>
          </w:tcPr>
          <w:p w14:paraId="2E26C59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CAF</w:t>
            </w:r>
          </w:p>
        </w:tc>
        <w:tc>
          <w:tcPr>
            <w:tcW w:w="8420" w:type="dxa"/>
            <w:tcBorders>
              <w:top w:val="nil"/>
              <w:left w:val="nil"/>
              <w:bottom w:val="nil"/>
              <w:right w:val="nil"/>
            </w:tcBorders>
            <w:shd w:val="clear" w:color="auto" w:fill="auto"/>
            <w:noWrap/>
            <w:vAlign w:val="bottom"/>
            <w:hideMark/>
          </w:tcPr>
          <w:p w14:paraId="207834D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Banco de Desarrollo de América Latina y el Caribe</w:t>
            </w:r>
          </w:p>
        </w:tc>
      </w:tr>
      <w:tr w:rsidR="007B28B2" w:rsidRPr="007B28B2" w14:paraId="36420275" w14:textId="77777777" w:rsidTr="007B28B2">
        <w:trPr>
          <w:trHeight w:val="315"/>
        </w:trPr>
        <w:tc>
          <w:tcPr>
            <w:tcW w:w="1033" w:type="dxa"/>
            <w:tcBorders>
              <w:top w:val="nil"/>
              <w:left w:val="nil"/>
              <w:bottom w:val="nil"/>
              <w:right w:val="nil"/>
            </w:tcBorders>
            <w:shd w:val="clear" w:color="auto" w:fill="auto"/>
            <w:noWrap/>
            <w:vAlign w:val="bottom"/>
            <w:hideMark/>
          </w:tcPr>
          <w:p w14:paraId="5199A00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CCB</w:t>
            </w:r>
          </w:p>
        </w:tc>
        <w:tc>
          <w:tcPr>
            <w:tcW w:w="8420" w:type="dxa"/>
            <w:tcBorders>
              <w:top w:val="nil"/>
              <w:left w:val="nil"/>
              <w:bottom w:val="nil"/>
              <w:right w:val="nil"/>
            </w:tcBorders>
            <w:shd w:val="clear" w:color="auto" w:fill="auto"/>
            <w:noWrap/>
            <w:vAlign w:val="bottom"/>
            <w:hideMark/>
          </w:tcPr>
          <w:p w14:paraId="0D9C0A4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Cámara de Comercio de Bogotá</w:t>
            </w:r>
          </w:p>
        </w:tc>
      </w:tr>
      <w:tr w:rsidR="007B28B2" w:rsidRPr="007B28B2" w14:paraId="78290608" w14:textId="77777777" w:rsidTr="007B28B2">
        <w:trPr>
          <w:trHeight w:val="315"/>
        </w:trPr>
        <w:tc>
          <w:tcPr>
            <w:tcW w:w="1033" w:type="dxa"/>
            <w:tcBorders>
              <w:top w:val="nil"/>
              <w:left w:val="nil"/>
              <w:bottom w:val="nil"/>
              <w:right w:val="nil"/>
            </w:tcBorders>
            <w:shd w:val="clear" w:color="auto" w:fill="auto"/>
            <w:noWrap/>
            <w:vAlign w:val="bottom"/>
            <w:hideMark/>
          </w:tcPr>
          <w:p w14:paraId="1D6507B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CDT</w:t>
            </w:r>
          </w:p>
        </w:tc>
        <w:tc>
          <w:tcPr>
            <w:tcW w:w="8420" w:type="dxa"/>
            <w:tcBorders>
              <w:top w:val="nil"/>
              <w:left w:val="nil"/>
              <w:bottom w:val="nil"/>
              <w:right w:val="nil"/>
            </w:tcBorders>
            <w:shd w:val="clear" w:color="auto" w:fill="auto"/>
            <w:noWrap/>
            <w:vAlign w:val="bottom"/>
            <w:hideMark/>
          </w:tcPr>
          <w:p w14:paraId="47E6B13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Centros de Detención Transitoria</w:t>
            </w:r>
          </w:p>
        </w:tc>
      </w:tr>
      <w:tr w:rsidR="007B28B2" w:rsidRPr="007B28B2" w14:paraId="2AC0D313" w14:textId="77777777" w:rsidTr="007B28B2">
        <w:trPr>
          <w:trHeight w:val="315"/>
        </w:trPr>
        <w:tc>
          <w:tcPr>
            <w:tcW w:w="1033" w:type="dxa"/>
            <w:tcBorders>
              <w:top w:val="nil"/>
              <w:left w:val="nil"/>
              <w:bottom w:val="nil"/>
              <w:right w:val="nil"/>
            </w:tcBorders>
            <w:shd w:val="clear" w:color="auto" w:fill="auto"/>
            <w:noWrap/>
            <w:vAlign w:val="bottom"/>
            <w:hideMark/>
          </w:tcPr>
          <w:p w14:paraId="58D9618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CECAS</w:t>
            </w:r>
          </w:p>
        </w:tc>
        <w:tc>
          <w:tcPr>
            <w:tcW w:w="8420" w:type="dxa"/>
            <w:tcBorders>
              <w:top w:val="nil"/>
              <w:left w:val="nil"/>
              <w:bottom w:val="nil"/>
              <w:right w:val="nil"/>
            </w:tcBorders>
            <w:shd w:val="clear" w:color="auto" w:fill="auto"/>
            <w:noWrap/>
            <w:vAlign w:val="bottom"/>
            <w:hideMark/>
          </w:tcPr>
          <w:p w14:paraId="2680802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Certificado del Estado de Conservación Ambiental</w:t>
            </w:r>
          </w:p>
        </w:tc>
      </w:tr>
      <w:tr w:rsidR="007B28B2" w:rsidRPr="007B28B2" w14:paraId="17F9D4BD" w14:textId="77777777" w:rsidTr="007B28B2">
        <w:trPr>
          <w:trHeight w:val="315"/>
        </w:trPr>
        <w:tc>
          <w:tcPr>
            <w:tcW w:w="1033" w:type="dxa"/>
            <w:tcBorders>
              <w:top w:val="nil"/>
              <w:left w:val="nil"/>
              <w:bottom w:val="nil"/>
              <w:right w:val="nil"/>
            </w:tcBorders>
            <w:shd w:val="clear" w:color="auto" w:fill="auto"/>
            <w:noWrap/>
            <w:vAlign w:val="bottom"/>
            <w:hideMark/>
          </w:tcPr>
          <w:p w14:paraId="426E4C4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CER</w:t>
            </w:r>
          </w:p>
        </w:tc>
        <w:tc>
          <w:tcPr>
            <w:tcW w:w="8420" w:type="dxa"/>
            <w:tcBorders>
              <w:top w:val="nil"/>
              <w:left w:val="nil"/>
              <w:bottom w:val="nil"/>
              <w:right w:val="nil"/>
            </w:tcBorders>
            <w:shd w:val="clear" w:color="auto" w:fill="auto"/>
            <w:noWrap/>
            <w:vAlign w:val="bottom"/>
            <w:hideMark/>
          </w:tcPr>
          <w:p w14:paraId="1C7036F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Centro Especial de Reclusión</w:t>
            </w:r>
          </w:p>
        </w:tc>
      </w:tr>
      <w:tr w:rsidR="007B28B2" w:rsidRPr="007B28B2" w14:paraId="3CA986BF" w14:textId="77777777" w:rsidTr="007B28B2">
        <w:trPr>
          <w:trHeight w:val="315"/>
        </w:trPr>
        <w:tc>
          <w:tcPr>
            <w:tcW w:w="1033" w:type="dxa"/>
            <w:tcBorders>
              <w:top w:val="nil"/>
              <w:left w:val="nil"/>
              <w:bottom w:val="nil"/>
              <w:right w:val="nil"/>
            </w:tcBorders>
            <w:shd w:val="clear" w:color="auto" w:fill="auto"/>
            <w:noWrap/>
            <w:vAlign w:val="bottom"/>
            <w:hideMark/>
          </w:tcPr>
          <w:p w14:paraId="666307D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CNPV</w:t>
            </w:r>
          </w:p>
        </w:tc>
        <w:tc>
          <w:tcPr>
            <w:tcW w:w="8420" w:type="dxa"/>
            <w:tcBorders>
              <w:top w:val="nil"/>
              <w:left w:val="nil"/>
              <w:bottom w:val="nil"/>
              <w:right w:val="nil"/>
            </w:tcBorders>
            <w:shd w:val="clear" w:color="auto" w:fill="auto"/>
            <w:noWrap/>
            <w:vAlign w:val="bottom"/>
            <w:hideMark/>
          </w:tcPr>
          <w:p w14:paraId="002F966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Censo Nacional de Población y Vivienda</w:t>
            </w:r>
          </w:p>
        </w:tc>
      </w:tr>
      <w:tr w:rsidR="007B28B2" w:rsidRPr="007B28B2" w14:paraId="670DD87A" w14:textId="77777777" w:rsidTr="007B28B2">
        <w:trPr>
          <w:trHeight w:val="315"/>
        </w:trPr>
        <w:tc>
          <w:tcPr>
            <w:tcW w:w="1033" w:type="dxa"/>
            <w:tcBorders>
              <w:top w:val="nil"/>
              <w:left w:val="nil"/>
              <w:bottom w:val="nil"/>
              <w:right w:val="nil"/>
            </w:tcBorders>
            <w:shd w:val="clear" w:color="auto" w:fill="auto"/>
            <w:noWrap/>
            <w:vAlign w:val="bottom"/>
            <w:hideMark/>
          </w:tcPr>
          <w:p w14:paraId="4EA3100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CNSCC</w:t>
            </w:r>
          </w:p>
        </w:tc>
        <w:tc>
          <w:tcPr>
            <w:tcW w:w="8420" w:type="dxa"/>
            <w:tcBorders>
              <w:top w:val="nil"/>
              <w:left w:val="nil"/>
              <w:bottom w:val="nil"/>
              <w:right w:val="nil"/>
            </w:tcBorders>
            <w:shd w:val="clear" w:color="auto" w:fill="auto"/>
            <w:noWrap/>
            <w:vAlign w:val="bottom"/>
            <w:hideMark/>
          </w:tcPr>
          <w:p w14:paraId="60A9A43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Código Nacional de Seguridad y Convivencia Ciudadana</w:t>
            </w:r>
          </w:p>
        </w:tc>
      </w:tr>
      <w:tr w:rsidR="007B28B2" w:rsidRPr="007B28B2" w14:paraId="2B6E5F8D" w14:textId="77777777" w:rsidTr="007B28B2">
        <w:trPr>
          <w:trHeight w:val="315"/>
        </w:trPr>
        <w:tc>
          <w:tcPr>
            <w:tcW w:w="1033" w:type="dxa"/>
            <w:tcBorders>
              <w:top w:val="nil"/>
              <w:left w:val="nil"/>
              <w:bottom w:val="nil"/>
              <w:right w:val="nil"/>
            </w:tcBorders>
            <w:shd w:val="clear" w:color="auto" w:fill="auto"/>
            <w:noWrap/>
            <w:vAlign w:val="bottom"/>
            <w:hideMark/>
          </w:tcPr>
          <w:p w14:paraId="19369BE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CONPES</w:t>
            </w:r>
          </w:p>
        </w:tc>
        <w:tc>
          <w:tcPr>
            <w:tcW w:w="8420" w:type="dxa"/>
            <w:tcBorders>
              <w:top w:val="nil"/>
              <w:left w:val="nil"/>
              <w:bottom w:val="nil"/>
              <w:right w:val="nil"/>
            </w:tcBorders>
            <w:shd w:val="clear" w:color="auto" w:fill="auto"/>
            <w:noWrap/>
            <w:vAlign w:val="bottom"/>
            <w:hideMark/>
          </w:tcPr>
          <w:p w14:paraId="5F07059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Consejo Nacional de Política Económica y Social</w:t>
            </w:r>
          </w:p>
        </w:tc>
      </w:tr>
      <w:tr w:rsidR="007B28B2" w:rsidRPr="007B28B2" w14:paraId="002CCBD0" w14:textId="77777777" w:rsidTr="007B28B2">
        <w:trPr>
          <w:trHeight w:val="315"/>
        </w:trPr>
        <w:tc>
          <w:tcPr>
            <w:tcW w:w="1033" w:type="dxa"/>
            <w:tcBorders>
              <w:top w:val="nil"/>
              <w:left w:val="nil"/>
              <w:bottom w:val="nil"/>
              <w:right w:val="nil"/>
            </w:tcBorders>
            <w:shd w:val="clear" w:color="auto" w:fill="auto"/>
            <w:noWrap/>
            <w:vAlign w:val="bottom"/>
            <w:hideMark/>
          </w:tcPr>
          <w:p w14:paraId="44547B1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CPC</w:t>
            </w:r>
          </w:p>
        </w:tc>
        <w:tc>
          <w:tcPr>
            <w:tcW w:w="8420" w:type="dxa"/>
            <w:tcBorders>
              <w:top w:val="nil"/>
              <w:left w:val="nil"/>
              <w:bottom w:val="nil"/>
              <w:right w:val="nil"/>
            </w:tcBorders>
            <w:shd w:val="clear" w:color="auto" w:fill="auto"/>
            <w:noWrap/>
            <w:vAlign w:val="bottom"/>
            <w:hideMark/>
          </w:tcPr>
          <w:p w14:paraId="780202A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Consejo Privado de Competitividad</w:t>
            </w:r>
          </w:p>
        </w:tc>
      </w:tr>
      <w:tr w:rsidR="007B28B2" w:rsidRPr="007B28B2" w14:paraId="09546DD7" w14:textId="77777777" w:rsidTr="007B28B2">
        <w:trPr>
          <w:trHeight w:val="315"/>
        </w:trPr>
        <w:tc>
          <w:tcPr>
            <w:tcW w:w="1033" w:type="dxa"/>
            <w:tcBorders>
              <w:top w:val="nil"/>
              <w:left w:val="nil"/>
              <w:bottom w:val="nil"/>
              <w:right w:val="nil"/>
            </w:tcBorders>
            <w:shd w:val="clear" w:color="auto" w:fill="auto"/>
            <w:noWrap/>
            <w:vAlign w:val="bottom"/>
            <w:hideMark/>
          </w:tcPr>
          <w:p w14:paraId="5193A9E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CRC</w:t>
            </w:r>
          </w:p>
        </w:tc>
        <w:tc>
          <w:tcPr>
            <w:tcW w:w="8420" w:type="dxa"/>
            <w:tcBorders>
              <w:top w:val="nil"/>
              <w:left w:val="nil"/>
              <w:bottom w:val="nil"/>
              <w:right w:val="nil"/>
            </w:tcBorders>
            <w:shd w:val="clear" w:color="auto" w:fill="auto"/>
            <w:noWrap/>
            <w:vAlign w:val="bottom"/>
            <w:hideMark/>
          </w:tcPr>
          <w:p w14:paraId="28E8E2E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Comisión de Regulación de Comunicaciones</w:t>
            </w:r>
          </w:p>
        </w:tc>
      </w:tr>
      <w:tr w:rsidR="007B28B2" w:rsidRPr="007B28B2" w14:paraId="683A0E69" w14:textId="77777777" w:rsidTr="007B28B2">
        <w:trPr>
          <w:trHeight w:val="315"/>
        </w:trPr>
        <w:tc>
          <w:tcPr>
            <w:tcW w:w="1033" w:type="dxa"/>
            <w:tcBorders>
              <w:top w:val="nil"/>
              <w:left w:val="nil"/>
              <w:bottom w:val="nil"/>
              <w:right w:val="nil"/>
            </w:tcBorders>
            <w:shd w:val="clear" w:color="auto" w:fill="auto"/>
            <w:noWrap/>
            <w:vAlign w:val="bottom"/>
            <w:hideMark/>
          </w:tcPr>
          <w:p w14:paraId="0706890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CSCECB</w:t>
            </w:r>
          </w:p>
        </w:tc>
        <w:tc>
          <w:tcPr>
            <w:tcW w:w="8420" w:type="dxa"/>
            <w:tcBorders>
              <w:top w:val="nil"/>
              <w:left w:val="nil"/>
              <w:bottom w:val="nil"/>
              <w:right w:val="nil"/>
            </w:tcBorders>
            <w:shd w:val="clear" w:color="auto" w:fill="auto"/>
            <w:noWrap/>
            <w:vAlign w:val="bottom"/>
            <w:hideMark/>
          </w:tcPr>
          <w:p w14:paraId="20C2B22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Cuenta Satélite de Cultura y Economía Creativa de Bogotá</w:t>
            </w:r>
          </w:p>
        </w:tc>
      </w:tr>
      <w:tr w:rsidR="007B28B2" w:rsidRPr="007B28B2" w14:paraId="49998A6D" w14:textId="77777777" w:rsidTr="007B28B2">
        <w:trPr>
          <w:trHeight w:val="288"/>
        </w:trPr>
        <w:tc>
          <w:tcPr>
            <w:tcW w:w="1033" w:type="dxa"/>
            <w:tcBorders>
              <w:top w:val="nil"/>
              <w:left w:val="nil"/>
              <w:bottom w:val="nil"/>
              <w:right w:val="nil"/>
            </w:tcBorders>
            <w:shd w:val="clear" w:color="auto" w:fill="auto"/>
            <w:noWrap/>
            <w:vAlign w:val="bottom"/>
            <w:hideMark/>
          </w:tcPr>
          <w:p w14:paraId="1647B67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CTI</w:t>
            </w:r>
          </w:p>
        </w:tc>
        <w:tc>
          <w:tcPr>
            <w:tcW w:w="8420" w:type="dxa"/>
            <w:tcBorders>
              <w:top w:val="nil"/>
              <w:left w:val="nil"/>
              <w:bottom w:val="nil"/>
              <w:right w:val="nil"/>
            </w:tcBorders>
            <w:shd w:val="clear" w:color="auto" w:fill="auto"/>
            <w:noWrap/>
            <w:vAlign w:val="bottom"/>
            <w:hideMark/>
          </w:tcPr>
          <w:p w14:paraId="5830221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Ciencia, Tecnología e Innovación</w:t>
            </w:r>
          </w:p>
        </w:tc>
      </w:tr>
      <w:tr w:rsidR="007B28B2" w:rsidRPr="007B28B2" w14:paraId="1937D435" w14:textId="77777777" w:rsidTr="007B28B2">
        <w:trPr>
          <w:trHeight w:val="288"/>
        </w:trPr>
        <w:tc>
          <w:tcPr>
            <w:tcW w:w="1033" w:type="dxa"/>
            <w:tcBorders>
              <w:top w:val="nil"/>
              <w:left w:val="nil"/>
              <w:bottom w:val="nil"/>
              <w:right w:val="nil"/>
            </w:tcBorders>
            <w:shd w:val="clear" w:color="auto" w:fill="auto"/>
            <w:noWrap/>
            <w:vAlign w:val="bottom"/>
            <w:hideMark/>
          </w:tcPr>
          <w:p w14:paraId="226053E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DADEP</w:t>
            </w:r>
          </w:p>
        </w:tc>
        <w:tc>
          <w:tcPr>
            <w:tcW w:w="8420" w:type="dxa"/>
            <w:tcBorders>
              <w:top w:val="nil"/>
              <w:left w:val="nil"/>
              <w:bottom w:val="nil"/>
              <w:right w:val="nil"/>
            </w:tcBorders>
            <w:shd w:val="clear" w:color="auto" w:fill="auto"/>
            <w:noWrap/>
            <w:vAlign w:val="bottom"/>
            <w:hideMark/>
          </w:tcPr>
          <w:p w14:paraId="647FE31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Departamento Administrativo de La Defensoría Del Espacio Público</w:t>
            </w:r>
          </w:p>
        </w:tc>
      </w:tr>
      <w:tr w:rsidR="007B28B2" w:rsidRPr="007B28B2" w14:paraId="0BA4399C" w14:textId="77777777" w:rsidTr="007B28B2">
        <w:trPr>
          <w:trHeight w:val="288"/>
        </w:trPr>
        <w:tc>
          <w:tcPr>
            <w:tcW w:w="1033" w:type="dxa"/>
            <w:tcBorders>
              <w:top w:val="nil"/>
              <w:left w:val="nil"/>
              <w:bottom w:val="nil"/>
              <w:right w:val="nil"/>
            </w:tcBorders>
            <w:shd w:val="clear" w:color="auto" w:fill="auto"/>
            <w:noWrap/>
            <w:vAlign w:val="bottom"/>
            <w:hideMark/>
          </w:tcPr>
          <w:p w14:paraId="0DD4A97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 xml:space="preserve">DANE </w:t>
            </w:r>
          </w:p>
        </w:tc>
        <w:tc>
          <w:tcPr>
            <w:tcW w:w="8420" w:type="dxa"/>
            <w:tcBorders>
              <w:top w:val="nil"/>
              <w:left w:val="nil"/>
              <w:bottom w:val="nil"/>
              <w:right w:val="nil"/>
            </w:tcBorders>
            <w:shd w:val="clear" w:color="auto" w:fill="auto"/>
            <w:noWrap/>
            <w:vAlign w:val="bottom"/>
            <w:hideMark/>
          </w:tcPr>
          <w:p w14:paraId="32769E5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Departamento Administrativo Nacional de Estadística</w:t>
            </w:r>
          </w:p>
        </w:tc>
      </w:tr>
      <w:tr w:rsidR="007B28B2" w:rsidRPr="007B28B2" w14:paraId="553E1B30" w14:textId="77777777" w:rsidTr="007B28B2">
        <w:trPr>
          <w:trHeight w:val="288"/>
        </w:trPr>
        <w:tc>
          <w:tcPr>
            <w:tcW w:w="1033" w:type="dxa"/>
            <w:tcBorders>
              <w:top w:val="nil"/>
              <w:left w:val="nil"/>
              <w:bottom w:val="nil"/>
              <w:right w:val="nil"/>
            </w:tcBorders>
            <w:shd w:val="clear" w:color="auto" w:fill="auto"/>
            <w:noWrap/>
            <w:vAlign w:val="bottom"/>
            <w:hideMark/>
          </w:tcPr>
          <w:p w14:paraId="3642C14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DASC</w:t>
            </w:r>
          </w:p>
        </w:tc>
        <w:tc>
          <w:tcPr>
            <w:tcW w:w="8420" w:type="dxa"/>
            <w:tcBorders>
              <w:top w:val="nil"/>
              <w:left w:val="nil"/>
              <w:bottom w:val="nil"/>
              <w:right w:val="nil"/>
            </w:tcBorders>
            <w:shd w:val="clear" w:color="auto" w:fill="auto"/>
            <w:noWrap/>
            <w:vAlign w:val="bottom"/>
            <w:hideMark/>
          </w:tcPr>
          <w:p w14:paraId="39FDB60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Departamento Administrativo del Servicio Civil Distrital</w:t>
            </w:r>
          </w:p>
        </w:tc>
      </w:tr>
      <w:tr w:rsidR="007B28B2" w:rsidRPr="007B28B2" w14:paraId="50CAA402" w14:textId="77777777" w:rsidTr="007B28B2">
        <w:trPr>
          <w:trHeight w:val="288"/>
        </w:trPr>
        <w:tc>
          <w:tcPr>
            <w:tcW w:w="1033" w:type="dxa"/>
            <w:tcBorders>
              <w:top w:val="nil"/>
              <w:left w:val="nil"/>
              <w:bottom w:val="nil"/>
              <w:right w:val="nil"/>
            </w:tcBorders>
            <w:shd w:val="clear" w:color="auto" w:fill="auto"/>
            <w:noWrap/>
            <w:vAlign w:val="bottom"/>
            <w:hideMark/>
          </w:tcPr>
          <w:p w14:paraId="4AA5F40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DEEF</w:t>
            </w:r>
          </w:p>
        </w:tc>
        <w:tc>
          <w:tcPr>
            <w:tcW w:w="8420" w:type="dxa"/>
            <w:tcBorders>
              <w:top w:val="nil"/>
              <w:left w:val="nil"/>
              <w:bottom w:val="nil"/>
              <w:right w:val="nil"/>
            </w:tcBorders>
            <w:shd w:val="clear" w:color="auto" w:fill="auto"/>
            <w:noWrap/>
            <w:vAlign w:val="bottom"/>
            <w:hideMark/>
          </w:tcPr>
          <w:p w14:paraId="5B907AF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Dirección de Estadísticas y Estudios Fiscales</w:t>
            </w:r>
          </w:p>
        </w:tc>
      </w:tr>
      <w:tr w:rsidR="007B28B2" w:rsidRPr="007B28B2" w14:paraId="71DF148C" w14:textId="77777777" w:rsidTr="007B28B2">
        <w:trPr>
          <w:trHeight w:val="288"/>
        </w:trPr>
        <w:tc>
          <w:tcPr>
            <w:tcW w:w="1033" w:type="dxa"/>
            <w:tcBorders>
              <w:top w:val="nil"/>
              <w:left w:val="nil"/>
              <w:bottom w:val="nil"/>
              <w:right w:val="nil"/>
            </w:tcBorders>
            <w:shd w:val="clear" w:color="auto" w:fill="auto"/>
            <w:noWrap/>
            <w:vAlign w:val="bottom"/>
            <w:hideMark/>
          </w:tcPr>
          <w:p w14:paraId="0902BCB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EAAB</w:t>
            </w:r>
          </w:p>
        </w:tc>
        <w:tc>
          <w:tcPr>
            <w:tcW w:w="8420" w:type="dxa"/>
            <w:tcBorders>
              <w:top w:val="nil"/>
              <w:left w:val="nil"/>
              <w:bottom w:val="nil"/>
              <w:right w:val="nil"/>
            </w:tcBorders>
            <w:shd w:val="clear" w:color="auto" w:fill="auto"/>
            <w:noWrap/>
            <w:vAlign w:val="bottom"/>
            <w:hideMark/>
          </w:tcPr>
          <w:p w14:paraId="490F7A9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Empresa de Acueducto y Alcantarillado de Bogotá</w:t>
            </w:r>
          </w:p>
        </w:tc>
      </w:tr>
      <w:tr w:rsidR="007B28B2" w:rsidRPr="007B28B2" w14:paraId="090B9D67" w14:textId="77777777" w:rsidTr="007B28B2">
        <w:trPr>
          <w:trHeight w:val="288"/>
        </w:trPr>
        <w:tc>
          <w:tcPr>
            <w:tcW w:w="1033" w:type="dxa"/>
            <w:tcBorders>
              <w:top w:val="nil"/>
              <w:left w:val="nil"/>
              <w:bottom w:val="nil"/>
              <w:right w:val="nil"/>
            </w:tcBorders>
            <w:shd w:val="clear" w:color="auto" w:fill="auto"/>
            <w:noWrap/>
            <w:vAlign w:val="bottom"/>
            <w:hideMark/>
          </w:tcPr>
          <w:p w14:paraId="16243E5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EAPBS</w:t>
            </w:r>
          </w:p>
        </w:tc>
        <w:tc>
          <w:tcPr>
            <w:tcW w:w="8420" w:type="dxa"/>
            <w:tcBorders>
              <w:top w:val="nil"/>
              <w:left w:val="nil"/>
              <w:bottom w:val="nil"/>
              <w:right w:val="nil"/>
            </w:tcBorders>
            <w:shd w:val="clear" w:color="auto" w:fill="auto"/>
            <w:noWrap/>
            <w:vAlign w:val="bottom"/>
            <w:hideMark/>
          </w:tcPr>
          <w:p w14:paraId="07775BD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Administradoras de Planes de Beneficios de Salud</w:t>
            </w:r>
          </w:p>
        </w:tc>
      </w:tr>
      <w:tr w:rsidR="007B28B2" w:rsidRPr="007B28B2" w14:paraId="1ABC5120" w14:textId="77777777" w:rsidTr="007B28B2">
        <w:trPr>
          <w:trHeight w:val="288"/>
        </w:trPr>
        <w:tc>
          <w:tcPr>
            <w:tcW w:w="1033" w:type="dxa"/>
            <w:tcBorders>
              <w:top w:val="nil"/>
              <w:left w:val="nil"/>
              <w:bottom w:val="nil"/>
              <w:right w:val="nil"/>
            </w:tcBorders>
            <w:shd w:val="clear" w:color="auto" w:fill="auto"/>
            <w:noWrap/>
            <w:vAlign w:val="bottom"/>
            <w:hideMark/>
          </w:tcPr>
          <w:p w14:paraId="1DA23EC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ECNT</w:t>
            </w:r>
          </w:p>
        </w:tc>
        <w:tc>
          <w:tcPr>
            <w:tcW w:w="8420" w:type="dxa"/>
            <w:tcBorders>
              <w:top w:val="nil"/>
              <w:left w:val="nil"/>
              <w:bottom w:val="nil"/>
              <w:right w:val="nil"/>
            </w:tcBorders>
            <w:shd w:val="clear" w:color="auto" w:fill="auto"/>
            <w:noWrap/>
            <w:vAlign w:val="bottom"/>
            <w:hideMark/>
          </w:tcPr>
          <w:p w14:paraId="744F214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Enfermedades Crónicas No Rransmisibles</w:t>
            </w:r>
          </w:p>
        </w:tc>
      </w:tr>
      <w:tr w:rsidR="007B28B2" w:rsidRPr="007B28B2" w14:paraId="12510A53" w14:textId="77777777" w:rsidTr="007B28B2">
        <w:trPr>
          <w:trHeight w:val="288"/>
        </w:trPr>
        <w:tc>
          <w:tcPr>
            <w:tcW w:w="1033" w:type="dxa"/>
            <w:tcBorders>
              <w:top w:val="nil"/>
              <w:left w:val="nil"/>
              <w:bottom w:val="nil"/>
              <w:right w:val="nil"/>
            </w:tcBorders>
            <w:shd w:val="clear" w:color="auto" w:fill="auto"/>
            <w:noWrap/>
            <w:vAlign w:val="bottom"/>
            <w:hideMark/>
          </w:tcPr>
          <w:p w14:paraId="4580F23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EDID</w:t>
            </w:r>
          </w:p>
        </w:tc>
        <w:tc>
          <w:tcPr>
            <w:tcW w:w="8420" w:type="dxa"/>
            <w:tcBorders>
              <w:top w:val="nil"/>
              <w:left w:val="nil"/>
              <w:bottom w:val="nil"/>
              <w:right w:val="nil"/>
            </w:tcBorders>
            <w:shd w:val="clear" w:color="auto" w:fill="auto"/>
            <w:noWrap/>
            <w:vAlign w:val="bottom"/>
            <w:hideMark/>
          </w:tcPr>
          <w:p w14:paraId="7EDA288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Encuesta sobre ambiente y desempeño institucional departamental</w:t>
            </w:r>
          </w:p>
        </w:tc>
      </w:tr>
      <w:tr w:rsidR="007B28B2" w:rsidRPr="007B28B2" w14:paraId="15CD794C" w14:textId="77777777" w:rsidTr="007B28B2">
        <w:trPr>
          <w:trHeight w:val="288"/>
        </w:trPr>
        <w:tc>
          <w:tcPr>
            <w:tcW w:w="1033" w:type="dxa"/>
            <w:tcBorders>
              <w:top w:val="nil"/>
              <w:left w:val="nil"/>
              <w:bottom w:val="nil"/>
              <w:right w:val="nil"/>
            </w:tcBorders>
            <w:shd w:val="clear" w:color="auto" w:fill="auto"/>
            <w:noWrap/>
            <w:vAlign w:val="bottom"/>
            <w:hideMark/>
          </w:tcPr>
          <w:p w14:paraId="4A05D8C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EDIT</w:t>
            </w:r>
          </w:p>
        </w:tc>
        <w:tc>
          <w:tcPr>
            <w:tcW w:w="8420" w:type="dxa"/>
            <w:tcBorders>
              <w:top w:val="nil"/>
              <w:left w:val="nil"/>
              <w:bottom w:val="nil"/>
              <w:right w:val="nil"/>
            </w:tcBorders>
            <w:shd w:val="clear" w:color="auto" w:fill="auto"/>
            <w:noWrap/>
            <w:vAlign w:val="bottom"/>
            <w:hideMark/>
          </w:tcPr>
          <w:p w14:paraId="5D5B620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Encuesta de Desarrollo e Innovación Tecnológica</w:t>
            </w:r>
          </w:p>
        </w:tc>
      </w:tr>
      <w:tr w:rsidR="007B28B2" w:rsidRPr="007B28B2" w14:paraId="3C870F1B" w14:textId="77777777" w:rsidTr="007B28B2">
        <w:trPr>
          <w:trHeight w:val="288"/>
        </w:trPr>
        <w:tc>
          <w:tcPr>
            <w:tcW w:w="1033" w:type="dxa"/>
            <w:tcBorders>
              <w:top w:val="nil"/>
              <w:left w:val="nil"/>
              <w:bottom w:val="nil"/>
              <w:right w:val="nil"/>
            </w:tcBorders>
            <w:shd w:val="clear" w:color="auto" w:fill="auto"/>
            <w:noWrap/>
            <w:vAlign w:val="bottom"/>
            <w:hideMark/>
          </w:tcPr>
          <w:p w14:paraId="06B313A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EEVV</w:t>
            </w:r>
          </w:p>
        </w:tc>
        <w:tc>
          <w:tcPr>
            <w:tcW w:w="8420" w:type="dxa"/>
            <w:tcBorders>
              <w:top w:val="nil"/>
              <w:left w:val="nil"/>
              <w:bottom w:val="nil"/>
              <w:right w:val="nil"/>
            </w:tcBorders>
            <w:shd w:val="clear" w:color="auto" w:fill="auto"/>
            <w:noWrap/>
            <w:vAlign w:val="bottom"/>
            <w:hideMark/>
          </w:tcPr>
          <w:p w14:paraId="1F05CC9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Estadísticas Vitales</w:t>
            </w:r>
          </w:p>
        </w:tc>
      </w:tr>
      <w:tr w:rsidR="007B28B2" w:rsidRPr="007B28B2" w14:paraId="6B4AB2EC" w14:textId="77777777" w:rsidTr="007B28B2">
        <w:trPr>
          <w:trHeight w:val="288"/>
        </w:trPr>
        <w:tc>
          <w:tcPr>
            <w:tcW w:w="1033" w:type="dxa"/>
            <w:tcBorders>
              <w:top w:val="nil"/>
              <w:left w:val="nil"/>
              <w:bottom w:val="nil"/>
              <w:right w:val="nil"/>
            </w:tcBorders>
            <w:shd w:val="clear" w:color="auto" w:fill="auto"/>
            <w:noWrap/>
            <w:vAlign w:val="bottom"/>
            <w:hideMark/>
          </w:tcPr>
          <w:p w14:paraId="245B4C8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EMB</w:t>
            </w:r>
          </w:p>
        </w:tc>
        <w:tc>
          <w:tcPr>
            <w:tcW w:w="8420" w:type="dxa"/>
            <w:tcBorders>
              <w:top w:val="nil"/>
              <w:left w:val="nil"/>
              <w:bottom w:val="nil"/>
              <w:right w:val="nil"/>
            </w:tcBorders>
            <w:shd w:val="clear" w:color="auto" w:fill="auto"/>
            <w:noWrap/>
            <w:vAlign w:val="bottom"/>
            <w:hideMark/>
          </w:tcPr>
          <w:p w14:paraId="5D92FEE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Encuesta Multipróposito de Bogotá</w:t>
            </w:r>
          </w:p>
        </w:tc>
      </w:tr>
      <w:tr w:rsidR="007B28B2" w:rsidRPr="007B28B2" w14:paraId="312A5795" w14:textId="77777777" w:rsidTr="007B28B2">
        <w:trPr>
          <w:trHeight w:val="288"/>
        </w:trPr>
        <w:tc>
          <w:tcPr>
            <w:tcW w:w="1033" w:type="dxa"/>
            <w:tcBorders>
              <w:top w:val="nil"/>
              <w:left w:val="nil"/>
              <w:bottom w:val="nil"/>
              <w:right w:val="nil"/>
            </w:tcBorders>
            <w:shd w:val="clear" w:color="auto" w:fill="auto"/>
            <w:noWrap/>
            <w:vAlign w:val="bottom"/>
            <w:hideMark/>
          </w:tcPr>
          <w:p w14:paraId="2BBEE5F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EMICROM</w:t>
            </w:r>
          </w:p>
        </w:tc>
        <w:tc>
          <w:tcPr>
            <w:tcW w:w="8420" w:type="dxa"/>
            <w:tcBorders>
              <w:top w:val="nil"/>
              <w:left w:val="nil"/>
              <w:bottom w:val="nil"/>
              <w:right w:val="nil"/>
            </w:tcBorders>
            <w:shd w:val="clear" w:color="auto" w:fill="auto"/>
            <w:noWrap/>
            <w:vAlign w:val="bottom"/>
            <w:hideMark/>
          </w:tcPr>
          <w:p w14:paraId="558A2E9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Encuesta de Micronegocios</w:t>
            </w:r>
          </w:p>
        </w:tc>
      </w:tr>
      <w:tr w:rsidR="007B28B2" w:rsidRPr="007B28B2" w14:paraId="6C77D84F" w14:textId="77777777" w:rsidTr="007B28B2">
        <w:trPr>
          <w:trHeight w:val="288"/>
        </w:trPr>
        <w:tc>
          <w:tcPr>
            <w:tcW w:w="1033" w:type="dxa"/>
            <w:tcBorders>
              <w:top w:val="nil"/>
              <w:left w:val="nil"/>
              <w:bottom w:val="nil"/>
              <w:right w:val="nil"/>
            </w:tcBorders>
            <w:shd w:val="clear" w:color="auto" w:fill="auto"/>
            <w:noWrap/>
            <w:vAlign w:val="bottom"/>
            <w:hideMark/>
          </w:tcPr>
          <w:p w14:paraId="406ECB3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ENCV</w:t>
            </w:r>
          </w:p>
        </w:tc>
        <w:tc>
          <w:tcPr>
            <w:tcW w:w="8420" w:type="dxa"/>
            <w:tcBorders>
              <w:top w:val="nil"/>
              <w:left w:val="nil"/>
              <w:bottom w:val="nil"/>
              <w:right w:val="nil"/>
            </w:tcBorders>
            <w:shd w:val="clear" w:color="auto" w:fill="auto"/>
            <w:noWrap/>
            <w:vAlign w:val="bottom"/>
            <w:hideMark/>
          </w:tcPr>
          <w:p w14:paraId="7576DFE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Encuesta Nacional de Calidad de Vida</w:t>
            </w:r>
          </w:p>
        </w:tc>
      </w:tr>
      <w:tr w:rsidR="007B28B2" w:rsidRPr="007B28B2" w14:paraId="5A57438D" w14:textId="77777777" w:rsidTr="007B28B2">
        <w:trPr>
          <w:trHeight w:val="288"/>
        </w:trPr>
        <w:tc>
          <w:tcPr>
            <w:tcW w:w="1033" w:type="dxa"/>
            <w:tcBorders>
              <w:top w:val="nil"/>
              <w:left w:val="nil"/>
              <w:bottom w:val="nil"/>
              <w:right w:val="nil"/>
            </w:tcBorders>
            <w:shd w:val="clear" w:color="auto" w:fill="auto"/>
            <w:noWrap/>
            <w:vAlign w:val="bottom"/>
            <w:hideMark/>
          </w:tcPr>
          <w:p w14:paraId="4CB24E9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lastRenderedPageBreak/>
              <w:t>EPS</w:t>
            </w:r>
          </w:p>
        </w:tc>
        <w:tc>
          <w:tcPr>
            <w:tcW w:w="8420" w:type="dxa"/>
            <w:tcBorders>
              <w:top w:val="nil"/>
              <w:left w:val="nil"/>
              <w:bottom w:val="nil"/>
              <w:right w:val="nil"/>
            </w:tcBorders>
            <w:shd w:val="clear" w:color="auto" w:fill="auto"/>
            <w:noWrap/>
            <w:vAlign w:val="bottom"/>
            <w:hideMark/>
          </w:tcPr>
          <w:p w14:paraId="6F7E462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Entidad Promotora de Salud</w:t>
            </w:r>
          </w:p>
        </w:tc>
      </w:tr>
      <w:tr w:rsidR="007B28B2" w:rsidRPr="007B28B2" w14:paraId="59F74462" w14:textId="77777777" w:rsidTr="007B28B2">
        <w:trPr>
          <w:trHeight w:val="288"/>
        </w:trPr>
        <w:tc>
          <w:tcPr>
            <w:tcW w:w="1033" w:type="dxa"/>
            <w:tcBorders>
              <w:top w:val="nil"/>
              <w:left w:val="nil"/>
              <w:bottom w:val="nil"/>
              <w:right w:val="nil"/>
            </w:tcBorders>
            <w:shd w:val="clear" w:color="auto" w:fill="auto"/>
            <w:noWrap/>
            <w:vAlign w:val="bottom"/>
            <w:hideMark/>
          </w:tcPr>
          <w:p w14:paraId="60C7675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ESAL</w:t>
            </w:r>
          </w:p>
        </w:tc>
        <w:tc>
          <w:tcPr>
            <w:tcW w:w="8420" w:type="dxa"/>
            <w:tcBorders>
              <w:top w:val="nil"/>
              <w:left w:val="nil"/>
              <w:bottom w:val="nil"/>
              <w:right w:val="nil"/>
            </w:tcBorders>
            <w:shd w:val="clear" w:color="auto" w:fill="auto"/>
            <w:noWrap/>
            <w:vAlign w:val="bottom"/>
            <w:hideMark/>
          </w:tcPr>
          <w:p w14:paraId="5CD45CC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Entidades sin ánimo de lucro</w:t>
            </w:r>
          </w:p>
        </w:tc>
      </w:tr>
      <w:tr w:rsidR="007B28B2" w:rsidRPr="007B28B2" w14:paraId="7E78E751" w14:textId="77777777" w:rsidTr="007B28B2">
        <w:trPr>
          <w:trHeight w:val="288"/>
        </w:trPr>
        <w:tc>
          <w:tcPr>
            <w:tcW w:w="1033" w:type="dxa"/>
            <w:tcBorders>
              <w:top w:val="nil"/>
              <w:left w:val="nil"/>
              <w:bottom w:val="nil"/>
              <w:right w:val="nil"/>
            </w:tcBorders>
            <w:shd w:val="clear" w:color="auto" w:fill="auto"/>
            <w:noWrap/>
            <w:vAlign w:val="bottom"/>
            <w:hideMark/>
          </w:tcPr>
          <w:p w14:paraId="7E074F7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ESCJ</w:t>
            </w:r>
          </w:p>
        </w:tc>
        <w:tc>
          <w:tcPr>
            <w:tcW w:w="8420" w:type="dxa"/>
            <w:tcBorders>
              <w:top w:val="nil"/>
              <w:left w:val="nil"/>
              <w:bottom w:val="nil"/>
              <w:right w:val="nil"/>
            </w:tcBorders>
            <w:shd w:val="clear" w:color="auto" w:fill="auto"/>
            <w:noWrap/>
            <w:vAlign w:val="bottom"/>
            <w:hideMark/>
          </w:tcPr>
          <w:p w14:paraId="7981AA8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Encuesta de Seguridad, Convivencia y Justicia</w:t>
            </w:r>
          </w:p>
        </w:tc>
      </w:tr>
      <w:tr w:rsidR="007B28B2" w:rsidRPr="007B28B2" w14:paraId="68D7691B" w14:textId="77777777" w:rsidTr="007B28B2">
        <w:trPr>
          <w:trHeight w:val="288"/>
        </w:trPr>
        <w:tc>
          <w:tcPr>
            <w:tcW w:w="1033" w:type="dxa"/>
            <w:tcBorders>
              <w:top w:val="nil"/>
              <w:left w:val="nil"/>
              <w:bottom w:val="nil"/>
              <w:right w:val="nil"/>
            </w:tcBorders>
            <w:shd w:val="clear" w:color="auto" w:fill="auto"/>
            <w:noWrap/>
            <w:vAlign w:val="bottom"/>
            <w:hideMark/>
          </w:tcPr>
          <w:p w14:paraId="7F4F179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ESCNNA</w:t>
            </w:r>
          </w:p>
        </w:tc>
        <w:tc>
          <w:tcPr>
            <w:tcW w:w="8420" w:type="dxa"/>
            <w:tcBorders>
              <w:top w:val="nil"/>
              <w:left w:val="nil"/>
              <w:bottom w:val="nil"/>
              <w:right w:val="nil"/>
            </w:tcBorders>
            <w:shd w:val="clear" w:color="auto" w:fill="auto"/>
            <w:noWrap/>
            <w:vAlign w:val="bottom"/>
            <w:hideMark/>
          </w:tcPr>
          <w:p w14:paraId="1849F8B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Explotación Sexual Comercial de Niñas, Niños y Adolescentes</w:t>
            </w:r>
          </w:p>
        </w:tc>
      </w:tr>
      <w:tr w:rsidR="007B28B2" w:rsidRPr="007B28B2" w14:paraId="14954067" w14:textId="77777777" w:rsidTr="007B28B2">
        <w:trPr>
          <w:trHeight w:val="288"/>
        </w:trPr>
        <w:tc>
          <w:tcPr>
            <w:tcW w:w="1033" w:type="dxa"/>
            <w:tcBorders>
              <w:top w:val="nil"/>
              <w:left w:val="nil"/>
              <w:bottom w:val="nil"/>
              <w:right w:val="nil"/>
            </w:tcBorders>
            <w:shd w:val="clear" w:color="auto" w:fill="auto"/>
            <w:noWrap/>
            <w:vAlign w:val="bottom"/>
            <w:hideMark/>
          </w:tcPr>
          <w:p w14:paraId="2AE82ED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FONCEP</w:t>
            </w:r>
          </w:p>
        </w:tc>
        <w:tc>
          <w:tcPr>
            <w:tcW w:w="8420" w:type="dxa"/>
            <w:tcBorders>
              <w:top w:val="nil"/>
              <w:left w:val="nil"/>
              <w:bottom w:val="nil"/>
              <w:right w:val="nil"/>
            </w:tcBorders>
            <w:shd w:val="clear" w:color="auto" w:fill="auto"/>
            <w:noWrap/>
            <w:vAlign w:val="bottom"/>
            <w:hideMark/>
          </w:tcPr>
          <w:p w14:paraId="2859B58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Fondo de Prestaciones Económicas, Cesantías y Pensiones</w:t>
            </w:r>
          </w:p>
        </w:tc>
      </w:tr>
      <w:tr w:rsidR="007B28B2" w:rsidRPr="007B28B2" w14:paraId="79C3F47E" w14:textId="77777777" w:rsidTr="007B28B2">
        <w:trPr>
          <w:trHeight w:val="288"/>
        </w:trPr>
        <w:tc>
          <w:tcPr>
            <w:tcW w:w="1033" w:type="dxa"/>
            <w:tcBorders>
              <w:top w:val="nil"/>
              <w:left w:val="nil"/>
              <w:bottom w:val="nil"/>
              <w:right w:val="nil"/>
            </w:tcBorders>
            <w:shd w:val="clear" w:color="auto" w:fill="auto"/>
            <w:noWrap/>
            <w:vAlign w:val="bottom"/>
            <w:hideMark/>
          </w:tcPr>
          <w:p w14:paraId="3CD472C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GCERN</w:t>
            </w:r>
          </w:p>
        </w:tc>
        <w:tc>
          <w:tcPr>
            <w:tcW w:w="8420" w:type="dxa"/>
            <w:tcBorders>
              <w:top w:val="nil"/>
              <w:left w:val="nil"/>
              <w:bottom w:val="nil"/>
              <w:right w:val="nil"/>
            </w:tcBorders>
            <w:shd w:val="clear" w:color="auto" w:fill="auto"/>
            <w:noWrap/>
            <w:vAlign w:val="bottom"/>
            <w:hideMark/>
          </w:tcPr>
          <w:p w14:paraId="3D44217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Centro de Referencia Nacional Sobre Violencia</w:t>
            </w:r>
          </w:p>
        </w:tc>
      </w:tr>
      <w:tr w:rsidR="007B28B2" w:rsidRPr="007B28B2" w14:paraId="77F1173F" w14:textId="77777777" w:rsidTr="007B28B2">
        <w:trPr>
          <w:trHeight w:val="288"/>
        </w:trPr>
        <w:tc>
          <w:tcPr>
            <w:tcW w:w="1033" w:type="dxa"/>
            <w:tcBorders>
              <w:top w:val="nil"/>
              <w:left w:val="nil"/>
              <w:bottom w:val="nil"/>
              <w:right w:val="nil"/>
            </w:tcBorders>
            <w:shd w:val="clear" w:color="auto" w:fill="auto"/>
            <w:noWrap/>
            <w:vAlign w:val="bottom"/>
            <w:hideMark/>
          </w:tcPr>
          <w:p w14:paraId="6D877D0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GEI</w:t>
            </w:r>
          </w:p>
        </w:tc>
        <w:tc>
          <w:tcPr>
            <w:tcW w:w="8420" w:type="dxa"/>
            <w:tcBorders>
              <w:top w:val="nil"/>
              <w:left w:val="nil"/>
              <w:bottom w:val="nil"/>
              <w:right w:val="nil"/>
            </w:tcBorders>
            <w:shd w:val="clear" w:color="auto" w:fill="auto"/>
            <w:noWrap/>
            <w:vAlign w:val="bottom"/>
            <w:hideMark/>
          </w:tcPr>
          <w:p w14:paraId="01D588E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Gases Efecto Invernadero</w:t>
            </w:r>
          </w:p>
        </w:tc>
      </w:tr>
      <w:tr w:rsidR="007B28B2" w:rsidRPr="007B28B2" w14:paraId="335B2408" w14:textId="77777777" w:rsidTr="007B28B2">
        <w:trPr>
          <w:trHeight w:val="288"/>
        </w:trPr>
        <w:tc>
          <w:tcPr>
            <w:tcW w:w="1033" w:type="dxa"/>
            <w:tcBorders>
              <w:top w:val="nil"/>
              <w:left w:val="nil"/>
              <w:bottom w:val="nil"/>
              <w:right w:val="nil"/>
            </w:tcBorders>
            <w:shd w:val="clear" w:color="auto" w:fill="auto"/>
            <w:noWrap/>
            <w:vAlign w:val="bottom"/>
            <w:hideMark/>
          </w:tcPr>
          <w:p w14:paraId="7715C13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GEIH</w:t>
            </w:r>
          </w:p>
        </w:tc>
        <w:tc>
          <w:tcPr>
            <w:tcW w:w="8420" w:type="dxa"/>
            <w:tcBorders>
              <w:top w:val="nil"/>
              <w:left w:val="nil"/>
              <w:bottom w:val="nil"/>
              <w:right w:val="nil"/>
            </w:tcBorders>
            <w:shd w:val="clear" w:color="auto" w:fill="auto"/>
            <w:noWrap/>
            <w:vAlign w:val="bottom"/>
            <w:hideMark/>
          </w:tcPr>
          <w:p w14:paraId="18A2A9D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Gran Encuesta Integrada de Hogares</w:t>
            </w:r>
          </w:p>
        </w:tc>
      </w:tr>
      <w:tr w:rsidR="007B28B2" w:rsidRPr="007B28B2" w14:paraId="27F052B8" w14:textId="77777777" w:rsidTr="007B28B2">
        <w:trPr>
          <w:trHeight w:val="288"/>
        </w:trPr>
        <w:tc>
          <w:tcPr>
            <w:tcW w:w="1033" w:type="dxa"/>
            <w:tcBorders>
              <w:top w:val="nil"/>
              <w:left w:val="nil"/>
              <w:bottom w:val="nil"/>
              <w:right w:val="nil"/>
            </w:tcBorders>
            <w:shd w:val="clear" w:color="auto" w:fill="auto"/>
            <w:noWrap/>
            <w:vAlign w:val="bottom"/>
            <w:hideMark/>
          </w:tcPr>
          <w:p w14:paraId="4A8208D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IA</w:t>
            </w:r>
          </w:p>
        </w:tc>
        <w:tc>
          <w:tcPr>
            <w:tcW w:w="8420" w:type="dxa"/>
            <w:tcBorders>
              <w:top w:val="nil"/>
              <w:left w:val="nil"/>
              <w:bottom w:val="nil"/>
              <w:right w:val="nil"/>
            </w:tcBorders>
            <w:shd w:val="clear" w:color="auto" w:fill="auto"/>
            <w:noWrap/>
            <w:vAlign w:val="bottom"/>
            <w:hideMark/>
          </w:tcPr>
          <w:p w14:paraId="799A1A4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Inteligencia Artificial</w:t>
            </w:r>
          </w:p>
        </w:tc>
      </w:tr>
      <w:tr w:rsidR="007B28B2" w:rsidRPr="007B28B2" w14:paraId="4DD1FE74" w14:textId="77777777" w:rsidTr="007B28B2">
        <w:trPr>
          <w:trHeight w:val="288"/>
        </w:trPr>
        <w:tc>
          <w:tcPr>
            <w:tcW w:w="1033" w:type="dxa"/>
            <w:tcBorders>
              <w:top w:val="nil"/>
              <w:left w:val="nil"/>
              <w:bottom w:val="nil"/>
              <w:right w:val="nil"/>
            </w:tcBorders>
            <w:shd w:val="clear" w:color="auto" w:fill="auto"/>
            <w:noWrap/>
            <w:vAlign w:val="bottom"/>
            <w:hideMark/>
          </w:tcPr>
          <w:p w14:paraId="49A226C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IBOCA</w:t>
            </w:r>
          </w:p>
        </w:tc>
        <w:tc>
          <w:tcPr>
            <w:tcW w:w="8420" w:type="dxa"/>
            <w:tcBorders>
              <w:top w:val="nil"/>
              <w:left w:val="nil"/>
              <w:bottom w:val="nil"/>
              <w:right w:val="nil"/>
            </w:tcBorders>
            <w:shd w:val="clear" w:color="auto" w:fill="auto"/>
            <w:noWrap/>
            <w:vAlign w:val="bottom"/>
            <w:hideMark/>
          </w:tcPr>
          <w:p w14:paraId="6CB744A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Bogotano de Calidad del Aire y Riesgo en Salud</w:t>
            </w:r>
          </w:p>
        </w:tc>
      </w:tr>
      <w:tr w:rsidR="007B28B2" w:rsidRPr="007B28B2" w14:paraId="3C3A1ABE" w14:textId="77777777" w:rsidTr="007B28B2">
        <w:trPr>
          <w:trHeight w:val="288"/>
        </w:trPr>
        <w:tc>
          <w:tcPr>
            <w:tcW w:w="1033" w:type="dxa"/>
            <w:tcBorders>
              <w:top w:val="nil"/>
              <w:left w:val="nil"/>
              <w:bottom w:val="nil"/>
              <w:right w:val="nil"/>
            </w:tcBorders>
            <w:shd w:val="clear" w:color="auto" w:fill="auto"/>
            <w:noWrap/>
            <w:vAlign w:val="bottom"/>
            <w:hideMark/>
          </w:tcPr>
          <w:p w14:paraId="0C1B9A1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ICA</w:t>
            </w:r>
          </w:p>
        </w:tc>
        <w:tc>
          <w:tcPr>
            <w:tcW w:w="8420" w:type="dxa"/>
            <w:tcBorders>
              <w:top w:val="nil"/>
              <w:left w:val="nil"/>
              <w:bottom w:val="nil"/>
              <w:right w:val="nil"/>
            </w:tcBorders>
            <w:shd w:val="clear" w:color="auto" w:fill="auto"/>
            <w:noWrap/>
            <w:vAlign w:val="bottom"/>
            <w:hideMark/>
          </w:tcPr>
          <w:p w14:paraId="19F3E23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Impuesto de Industria y Comercio</w:t>
            </w:r>
          </w:p>
        </w:tc>
      </w:tr>
      <w:tr w:rsidR="007B28B2" w:rsidRPr="007B28B2" w14:paraId="6A81C63F" w14:textId="77777777" w:rsidTr="007B28B2">
        <w:trPr>
          <w:trHeight w:val="288"/>
        </w:trPr>
        <w:tc>
          <w:tcPr>
            <w:tcW w:w="1033" w:type="dxa"/>
            <w:tcBorders>
              <w:top w:val="nil"/>
              <w:left w:val="nil"/>
              <w:bottom w:val="nil"/>
              <w:right w:val="nil"/>
            </w:tcBorders>
            <w:shd w:val="clear" w:color="auto" w:fill="auto"/>
            <w:noWrap/>
            <w:vAlign w:val="bottom"/>
            <w:hideMark/>
          </w:tcPr>
          <w:p w14:paraId="1C20BEC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ICAV</w:t>
            </w:r>
          </w:p>
        </w:tc>
        <w:tc>
          <w:tcPr>
            <w:tcW w:w="8420" w:type="dxa"/>
            <w:tcBorders>
              <w:top w:val="nil"/>
              <w:left w:val="nil"/>
              <w:bottom w:val="nil"/>
              <w:right w:val="nil"/>
            </w:tcBorders>
            <w:shd w:val="clear" w:color="auto" w:fill="auto"/>
            <w:noWrap/>
            <w:vAlign w:val="bottom"/>
            <w:hideMark/>
          </w:tcPr>
          <w:p w14:paraId="2F444E6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Condiciones Ampliadas de Vida</w:t>
            </w:r>
          </w:p>
        </w:tc>
      </w:tr>
      <w:tr w:rsidR="007B28B2" w:rsidRPr="007B28B2" w14:paraId="7B1F562D" w14:textId="77777777" w:rsidTr="007B28B2">
        <w:trPr>
          <w:trHeight w:val="288"/>
        </w:trPr>
        <w:tc>
          <w:tcPr>
            <w:tcW w:w="1033" w:type="dxa"/>
            <w:tcBorders>
              <w:top w:val="nil"/>
              <w:left w:val="nil"/>
              <w:bottom w:val="nil"/>
              <w:right w:val="nil"/>
            </w:tcBorders>
            <w:shd w:val="clear" w:color="auto" w:fill="auto"/>
            <w:noWrap/>
            <w:vAlign w:val="bottom"/>
            <w:hideMark/>
          </w:tcPr>
          <w:p w14:paraId="0F9F5B7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ICBF</w:t>
            </w:r>
          </w:p>
        </w:tc>
        <w:tc>
          <w:tcPr>
            <w:tcW w:w="8420" w:type="dxa"/>
            <w:tcBorders>
              <w:top w:val="nil"/>
              <w:left w:val="nil"/>
              <w:bottom w:val="nil"/>
              <w:right w:val="nil"/>
            </w:tcBorders>
            <w:shd w:val="clear" w:color="auto" w:fill="auto"/>
            <w:noWrap/>
            <w:vAlign w:val="bottom"/>
            <w:hideMark/>
          </w:tcPr>
          <w:p w14:paraId="6F85CD3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Colombiano de Bienestar Familiar</w:t>
            </w:r>
          </w:p>
        </w:tc>
      </w:tr>
      <w:tr w:rsidR="007B28B2" w:rsidRPr="007B28B2" w14:paraId="317A9FA0" w14:textId="77777777" w:rsidTr="007B28B2">
        <w:trPr>
          <w:trHeight w:val="288"/>
        </w:trPr>
        <w:tc>
          <w:tcPr>
            <w:tcW w:w="1033" w:type="dxa"/>
            <w:tcBorders>
              <w:top w:val="nil"/>
              <w:left w:val="nil"/>
              <w:bottom w:val="nil"/>
              <w:right w:val="nil"/>
            </w:tcBorders>
            <w:shd w:val="clear" w:color="auto" w:fill="auto"/>
            <w:noWrap/>
            <w:vAlign w:val="bottom"/>
            <w:hideMark/>
          </w:tcPr>
          <w:p w14:paraId="7C3A056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ICET</w:t>
            </w:r>
          </w:p>
        </w:tc>
        <w:tc>
          <w:tcPr>
            <w:tcW w:w="8420" w:type="dxa"/>
            <w:tcBorders>
              <w:top w:val="nil"/>
              <w:left w:val="nil"/>
              <w:bottom w:val="nil"/>
              <w:right w:val="nil"/>
            </w:tcBorders>
            <w:shd w:val="clear" w:color="auto" w:fill="auto"/>
            <w:noWrap/>
            <w:vAlign w:val="bottom"/>
            <w:hideMark/>
          </w:tcPr>
          <w:p w14:paraId="58EDAFB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capacidad estadística territorial</w:t>
            </w:r>
          </w:p>
        </w:tc>
      </w:tr>
      <w:tr w:rsidR="007B28B2" w:rsidRPr="007B28B2" w14:paraId="52684E12" w14:textId="77777777" w:rsidTr="007B28B2">
        <w:trPr>
          <w:trHeight w:val="288"/>
        </w:trPr>
        <w:tc>
          <w:tcPr>
            <w:tcW w:w="1033" w:type="dxa"/>
            <w:tcBorders>
              <w:top w:val="nil"/>
              <w:left w:val="nil"/>
              <w:bottom w:val="nil"/>
              <w:right w:val="nil"/>
            </w:tcBorders>
            <w:shd w:val="clear" w:color="auto" w:fill="auto"/>
            <w:noWrap/>
            <w:vAlign w:val="bottom"/>
            <w:hideMark/>
          </w:tcPr>
          <w:p w14:paraId="484A940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ICFES</w:t>
            </w:r>
          </w:p>
        </w:tc>
        <w:tc>
          <w:tcPr>
            <w:tcW w:w="8420" w:type="dxa"/>
            <w:tcBorders>
              <w:top w:val="nil"/>
              <w:left w:val="nil"/>
              <w:bottom w:val="nil"/>
              <w:right w:val="nil"/>
            </w:tcBorders>
            <w:shd w:val="clear" w:color="auto" w:fill="auto"/>
            <w:noWrap/>
            <w:vAlign w:val="bottom"/>
            <w:hideMark/>
          </w:tcPr>
          <w:p w14:paraId="701E387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Colombiano para la Evaluación de la Educación</w:t>
            </w:r>
          </w:p>
        </w:tc>
      </w:tr>
      <w:tr w:rsidR="007B28B2" w:rsidRPr="007B28B2" w14:paraId="3921BE1A" w14:textId="77777777" w:rsidTr="007B28B2">
        <w:trPr>
          <w:trHeight w:val="288"/>
        </w:trPr>
        <w:tc>
          <w:tcPr>
            <w:tcW w:w="1033" w:type="dxa"/>
            <w:tcBorders>
              <w:top w:val="nil"/>
              <w:left w:val="nil"/>
              <w:bottom w:val="nil"/>
              <w:right w:val="nil"/>
            </w:tcBorders>
            <w:shd w:val="clear" w:color="auto" w:fill="auto"/>
            <w:noWrap/>
            <w:vAlign w:val="bottom"/>
            <w:hideMark/>
          </w:tcPr>
          <w:p w14:paraId="0687EEA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ICIP</w:t>
            </w:r>
          </w:p>
        </w:tc>
        <w:tc>
          <w:tcPr>
            <w:tcW w:w="8420" w:type="dxa"/>
            <w:tcBorders>
              <w:top w:val="nil"/>
              <w:left w:val="nil"/>
              <w:bottom w:val="nil"/>
              <w:right w:val="nil"/>
            </w:tcBorders>
            <w:shd w:val="clear" w:color="auto" w:fill="auto"/>
            <w:noWrap/>
            <w:vAlign w:val="bottom"/>
            <w:hideMark/>
          </w:tcPr>
          <w:p w14:paraId="27DBDFB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Capacidades de Innovación Pública</w:t>
            </w:r>
          </w:p>
        </w:tc>
      </w:tr>
      <w:tr w:rsidR="007B28B2" w:rsidRPr="007B28B2" w14:paraId="13D8A177" w14:textId="77777777" w:rsidTr="007B28B2">
        <w:trPr>
          <w:trHeight w:val="288"/>
        </w:trPr>
        <w:tc>
          <w:tcPr>
            <w:tcW w:w="1033" w:type="dxa"/>
            <w:tcBorders>
              <w:top w:val="nil"/>
              <w:left w:val="nil"/>
              <w:bottom w:val="nil"/>
              <w:right w:val="nil"/>
            </w:tcBorders>
            <w:shd w:val="clear" w:color="auto" w:fill="auto"/>
            <w:noWrap/>
            <w:vAlign w:val="bottom"/>
            <w:hideMark/>
          </w:tcPr>
          <w:p w14:paraId="5E86D0B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IDARTES</w:t>
            </w:r>
          </w:p>
        </w:tc>
        <w:tc>
          <w:tcPr>
            <w:tcW w:w="8420" w:type="dxa"/>
            <w:tcBorders>
              <w:top w:val="nil"/>
              <w:left w:val="nil"/>
              <w:bottom w:val="nil"/>
              <w:right w:val="nil"/>
            </w:tcBorders>
            <w:shd w:val="clear" w:color="auto" w:fill="auto"/>
            <w:noWrap/>
            <w:vAlign w:val="bottom"/>
            <w:hideMark/>
          </w:tcPr>
          <w:p w14:paraId="75031F6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Distrital de las Artes</w:t>
            </w:r>
          </w:p>
        </w:tc>
      </w:tr>
      <w:tr w:rsidR="007B28B2" w:rsidRPr="007B28B2" w14:paraId="1B4B0635" w14:textId="77777777" w:rsidTr="007B28B2">
        <w:trPr>
          <w:trHeight w:val="288"/>
        </w:trPr>
        <w:tc>
          <w:tcPr>
            <w:tcW w:w="1033" w:type="dxa"/>
            <w:tcBorders>
              <w:top w:val="nil"/>
              <w:left w:val="nil"/>
              <w:bottom w:val="nil"/>
              <w:right w:val="nil"/>
            </w:tcBorders>
            <w:shd w:val="clear" w:color="auto" w:fill="auto"/>
            <w:noWrap/>
            <w:vAlign w:val="bottom"/>
            <w:hideMark/>
          </w:tcPr>
          <w:p w14:paraId="78B70D3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IDEAM</w:t>
            </w:r>
          </w:p>
        </w:tc>
        <w:tc>
          <w:tcPr>
            <w:tcW w:w="8420" w:type="dxa"/>
            <w:tcBorders>
              <w:top w:val="nil"/>
              <w:left w:val="nil"/>
              <w:bottom w:val="nil"/>
              <w:right w:val="nil"/>
            </w:tcBorders>
            <w:shd w:val="clear" w:color="auto" w:fill="auto"/>
            <w:noWrap/>
            <w:vAlign w:val="bottom"/>
            <w:hideMark/>
          </w:tcPr>
          <w:p w14:paraId="2182357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de Meteorología, Agronomía y Agrificación de Colombia</w:t>
            </w:r>
          </w:p>
        </w:tc>
      </w:tr>
      <w:tr w:rsidR="007B28B2" w:rsidRPr="007B28B2" w14:paraId="2B8DEC9F" w14:textId="77777777" w:rsidTr="007B28B2">
        <w:trPr>
          <w:trHeight w:val="288"/>
        </w:trPr>
        <w:tc>
          <w:tcPr>
            <w:tcW w:w="1033" w:type="dxa"/>
            <w:tcBorders>
              <w:top w:val="nil"/>
              <w:left w:val="nil"/>
              <w:bottom w:val="nil"/>
              <w:right w:val="nil"/>
            </w:tcBorders>
            <w:shd w:val="clear" w:color="auto" w:fill="auto"/>
            <w:noWrap/>
            <w:vAlign w:val="bottom"/>
            <w:hideMark/>
          </w:tcPr>
          <w:p w14:paraId="2839D42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IDIGER</w:t>
            </w:r>
          </w:p>
        </w:tc>
        <w:tc>
          <w:tcPr>
            <w:tcW w:w="8420" w:type="dxa"/>
            <w:tcBorders>
              <w:top w:val="nil"/>
              <w:left w:val="nil"/>
              <w:bottom w:val="nil"/>
              <w:right w:val="nil"/>
            </w:tcBorders>
            <w:shd w:val="clear" w:color="auto" w:fill="auto"/>
            <w:noWrap/>
            <w:vAlign w:val="bottom"/>
            <w:hideMark/>
          </w:tcPr>
          <w:p w14:paraId="4D8CBF2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Distrital de Gestión de Riesgos y Cambio Climático</w:t>
            </w:r>
          </w:p>
        </w:tc>
      </w:tr>
      <w:tr w:rsidR="007B28B2" w:rsidRPr="007B28B2" w14:paraId="27565780" w14:textId="77777777" w:rsidTr="007B28B2">
        <w:trPr>
          <w:trHeight w:val="288"/>
        </w:trPr>
        <w:tc>
          <w:tcPr>
            <w:tcW w:w="1033" w:type="dxa"/>
            <w:tcBorders>
              <w:top w:val="nil"/>
              <w:left w:val="nil"/>
              <w:bottom w:val="nil"/>
              <w:right w:val="nil"/>
            </w:tcBorders>
            <w:shd w:val="clear" w:color="auto" w:fill="auto"/>
            <w:noWrap/>
            <w:vAlign w:val="bottom"/>
            <w:hideMark/>
          </w:tcPr>
          <w:p w14:paraId="7EBB651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IDPAC</w:t>
            </w:r>
          </w:p>
        </w:tc>
        <w:tc>
          <w:tcPr>
            <w:tcW w:w="8420" w:type="dxa"/>
            <w:tcBorders>
              <w:top w:val="nil"/>
              <w:left w:val="nil"/>
              <w:bottom w:val="nil"/>
              <w:right w:val="nil"/>
            </w:tcBorders>
            <w:shd w:val="clear" w:color="auto" w:fill="auto"/>
            <w:noWrap/>
            <w:vAlign w:val="bottom"/>
            <w:hideMark/>
          </w:tcPr>
          <w:p w14:paraId="7622926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Distrital de la Participación y acción Comunal</w:t>
            </w:r>
          </w:p>
        </w:tc>
      </w:tr>
      <w:tr w:rsidR="007B28B2" w:rsidRPr="007B28B2" w14:paraId="2FFD2C7C" w14:textId="77777777" w:rsidTr="007B28B2">
        <w:trPr>
          <w:trHeight w:val="288"/>
        </w:trPr>
        <w:tc>
          <w:tcPr>
            <w:tcW w:w="1033" w:type="dxa"/>
            <w:tcBorders>
              <w:top w:val="nil"/>
              <w:left w:val="nil"/>
              <w:bottom w:val="nil"/>
              <w:right w:val="nil"/>
            </w:tcBorders>
            <w:shd w:val="clear" w:color="auto" w:fill="auto"/>
            <w:noWrap/>
            <w:vAlign w:val="bottom"/>
            <w:hideMark/>
          </w:tcPr>
          <w:p w14:paraId="36678F4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IDPC</w:t>
            </w:r>
          </w:p>
        </w:tc>
        <w:tc>
          <w:tcPr>
            <w:tcW w:w="8420" w:type="dxa"/>
            <w:tcBorders>
              <w:top w:val="nil"/>
              <w:left w:val="nil"/>
              <w:bottom w:val="nil"/>
              <w:right w:val="nil"/>
            </w:tcBorders>
            <w:shd w:val="clear" w:color="auto" w:fill="auto"/>
            <w:noWrap/>
            <w:vAlign w:val="bottom"/>
            <w:hideMark/>
          </w:tcPr>
          <w:p w14:paraId="3DEFB4F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Distrital de Patrimonio Cultural</w:t>
            </w:r>
          </w:p>
        </w:tc>
      </w:tr>
      <w:tr w:rsidR="007B28B2" w:rsidRPr="007B28B2" w14:paraId="285605A0" w14:textId="77777777" w:rsidTr="007B28B2">
        <w:trPr>
          <w:trHeight w:val="288"/>
        </w:trPr>
        <w:tc>
          <w:tcPr>
            <w:tcW w:w="1033" w:type="dxa"/>
            <w:tcBorders>
              <w:top w:val="nil"/>
              <w:left w:val="nil"/>
              <w:bottom w:val="nil"/>
              <w:right w:val="nil"/>
            </w:tcBorders>
            <w:shd w:val="clear" w:color="auto" w:fill="auto"/>
            <w:noWrap/>
            <w:vAlign w:val="bottom"/>
            <w:hideMark/>
          </w:tcPr>
          <w:p w14:paraId="1EA06DF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IDRD</w:t>
            </w:r>
          </w:p>
        </w:tc>
        <w:tc>
          <w:tcPr>
            <w:tcW w:w="8420" w:type="dxa"/>
            <w:tcBorders>
              <w:top w:val="nil"/>
              <w:left w:val="nil"/>
              <w:bottom w:val="nil"/>
              <w:right w:val="nil"/>
            </w:tcBorders>
            <w:shd w:val="clear" w:color="auto" w:fill="auto"/>
            <w:noWrap/>
            <w:vAlign w:val="bottom"/>
            <w:hideMark/>
          </w:tcPr>
          <w:p w14:paraId="0BA732D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Institulo Distrital de Recreación y Deporte</w:t>
            </w:r>
          </w:p>
        </w:tc>
      </w:tr>
      <w:tr w:rsidR="007B28B2" w:rsidRPr="007B28B2" w14:paraId="68085452" w14:textId="77777777" w:rsidTr="007B28B2">
        <w:trPr>
          <w:trHeight w:val="288"/>
        </w:trPr>
        <w:tc>
          <w:tcPr>
            <w:tcW w:w="1033" w:type="dxa"/>
            <w:tcBorders>
              <w:top w:val="nil"/>
              <w:left w:val="nil"/>
              <w:bottom w:val="nil"/>
              <w:right w:val="nil"/>
            </w:tcBorders>
            <w:shd w:val="clear" w:color="auto" w:fill="auto"/>
            <w:noWrap/>
            <w:vAlign w:val="bottom"/>
            <w:hideMark/>
          </w:tcPr>
          <w:p w14:paraId="0722825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IDT</w:t>
            </w:r>
          </w:p>
        </w:tc>
        <w:tc>
          <w:tcPr>
            <w:tcW w:w="8420" w:type="dxa"/>
            <w:tcBorders>
              <w:top w:val="nil"/>
              <w:left w:val="nil"/>
              <w:bottom w:val="nil"/>
              <w:right w:val="nil"/>
            </w:tcBorders>
            <w:shd w:val="clear" w:color="auto" w:fill="auto"/>
            <w:noWrap/>
            <w:vAlign w:val="bottom"/>
            <w:hideMark/>
          </w:tcPr>
          <w:p w14:paraId="51EF652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Distrital de Turismo</w:t>
            </w:r>
          </w:p>
        </w:tc>
      </w:tr>
      <w:tr w:rsidR="007B28B2" w:rsidRPr="007B28B2" w14:paraId="17E952E6" w14:textId="77777777" w:rsidTr="007B28B2">
        <w:trPr>
          <w:trHeight w:val="288"/>
        </w:trPr>
        <w:tc>
          <w:tcPr>
            <w:tcW w:w="1033" w:type="dxa"/>
            <w:tcBorders>
              <w:top w:val="nil"/>
              <w:left w:val="nil"/>
              <w:bottom w:val="nil"/>
              <w:right w:val="nil"/>
            </w:tcBorders>
            <w:shd w:val="clear" w:color="auto" w:fill="auto"/>
            <w:noWrap/>
            <w:vAlign w:val="bottom"/>
            <w:hideMark/>
          </w:tcPr>
          <w:p w14:paraId="2297AEC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IEC</w:t>
            </w:r>
          </w:p>
        </w:tc>
        <w:tc>
          <w:tcPr>
            <w:tcW w:w="8420" w:type="dxa"/>
            <w:tcBorders>
              <w:top w:val="nil"/>
              <w:left w:val="nil"/>
              <w:bottom w:val="nil"/>
              <w:right w:val="nil"/>
            </w:tcBorders>
            <w:shd w:val="clear" w:color="auto" w:fill="auto"/>
            <w:noWrap/>
            <w:vAlign w:val="bottom"/>
            <w:hideMark/>
          </w:tcPr>
          <w:p w14:paraId="3017B0E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Información Educación y Comunicación</w:t>
            </w:r>
          </w:p>
        </w:tc>
      </w:tr>
      <w:tr w:rsidR="007B28B2" w:rsidRPr="007B28B2" w14:paraId="713D3551" w14:textId="77777777" w:rsidTr="007B28B2">
        <w:trPr>
          <w:trHeight w:val="288"/>
        </w:trPr>
        <w:tc>
          <w:tcPr>
            <w:tcW w:w="1033" w:type="dxa"/>
            <w:tcBorders>
              <w:top w:val="nil"/>
              <w:left w:val="nil"/>
              <w:bottom w:val="nil"/>
              <w:right w:val="nil"/>
            </w:tcBorders>
            <w:shd w:val="clear" w:color="auto" w:fill="auto"/>
            <w:noWrap/>
            <w:vAlign w:val="bottom"/>
            <w:hideMark/>
          </w:tcPr>
          <w:p w14:paraId="6D1E0D0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IES</w:t>
            </w:r>
          </w:p>
        </w:tc>
        <w:tc>
          <w:tcPr>
            <w:tcW w:w="8420" w:type="dxa"/>
            <w:tcBorders>
              <w:top w:val="nil"/>
              <w:left w:val="nil"/>
              <w:bottom w:val="nil"/>
              <w:right w:val="nil"/>
            </w:tcBorders>
            <w:shd w:val="clear" w:color="auto" w:fill="auto"/>
            <w:noWrap/>
            <w:vAlign w:val="bottom"/>
            <w:hideMark/>
          </w:tcPr>
          <w:p w14:paraId="34E5DC3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Instituciones de Educación Superior</w:t>
            </w:r>
          </w:p>
        </w:tc>
      </w:tr>
      <w:tr w:rsidR="007B28B2" w:rsidRPr="007B28B2" w14:paraId="7BEBAF9E" w14:textId="77777777" w:rsidTr="007B28B2">
        <w:trPr>
          <w:trHeight w:val="288"/>
        </w:trPr>
        <w:tc>
          <w:tcPr>
            <w:tcW w:w="1033" w:type="dxa"/>
            <w:tcBorders>
              <w:top w:val="nil"/>
              <w:left w:val="nil"/>
              <w:bottom w:val="nil"/>
              <w:right w:val="nil"/>
            </w:tcBorders>
            <w:shd w:val="clear" w:color="auto" w:fill="auto"/>
            <w:noWrap/>
            <w:vAlign w:val="bottom"/>
            <w:hideMark/>
          </w:tcPr>
          <w:p w14:paraId="5433456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IETDH</w:t>
            </w:r>
          </w:p>
        </w:tc>
        <w:tc>
          <w:tcPr>
            <w:tcW w:w="8420" w:type="dxa"/>
            <w:tcBorders>
              <w:top w:val="nil"/>
              <w:left w:val="nil"/>
              <w:bottom w:val="nil"/>
              <w:right w:val="nil"/>
            </w:tcBorders>
            <w:shd w:val="clear" w:color="auto" w:fill="auto"/>
            <w:noWrap/>
            <w:vAlign w:val="bottom"/>
            <w:hideMark/>
          </w:tcPr>
          <w:p w14:paraId="4DF99C3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Instituciones de Educacion para el Trabajo y el Desarrollo Humano</w:t>
            </w:r>
          </w:p>
        </w:tc>
      </w:tr>
      <w:tr w:rsidR="007B28B2" w:rsidRPr="007B28B2" w14:paraId="73F5ECAD" w14:textId="77777777" w:rsidTr="007B28B2">
        <w:trPr>
          <w:trHeight w:val="288"/>
        </w:trPr>
        <w:tc>
          <w:tcPr>
            <w:tcW w:w="1033" w:type="dxa"/>
            <w:tcBorders>
              <w:top w:val="nil"/>
              <w:left w:val="nil"/>
              <w:bottom w:val="nil"/>
              <w:right w:val="nil"/>
            </w:tcBorders>
            <w:shd w:val="clear" w:color="auto" w:fill="auto"/>
            <w:noWrap/>
            <w:vAlign w:val="bottom"/>
            <w:hideMark/>
          </w:tcPr>
          <w:p w14:paraId="1BBD29F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IFIS</w:t>
            </w:r>
          </w:p>
        </w:tc>
        <w:tc>
          <w:tcPr>
            <w:tcW w:w="8420" w:type="dxa"/>
            <w:tcBorders>
              <w:top w:val="nil"/>
              <w:left w:val="nil"/>
              <w:bottom w:val="nil"/>
              <w:right w:val="nil"/>
            </w:tcBorders>
            <w:shd w:val="clear" w:color="auto" w:fill="auto"/>
            <w:noWrap/>
            <w:vAlign w:val="bottom"/>
            <w:hideMark/>
          </w:tcPr>
          <w:p w14:paraId="43000CC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Fortalecimiento de Instancias de Participación</w:t>
            </w:r>
          </w:p>
        </w:tc>
      </w:tr>
      <w:tr w:rsidR="007B28B2" w:rsidRPr="007B28B2" w14:paraId="27AEA512" w14:textId="77777777" w:rsidTr="007B28B2">
        <w:trPr>
          <w:trHeight w:val="288"/>
        </w:trPr>
        <w:tc>
          <w:tcPr>
            <w:tcW w:w="1033" w:type="dxa"/>
            <w:tcBorders>
              <w:top w:val="nil"/>
              <w:left w:val="nil"/>
              <w:bottom w:val="nil"/>
              <w:right w:val="nil"/>
            </w:tcBorders>
            <w:shd w:val="clear" w:color="auto" w:fill="auto"/>
            <w:noWrap/>
            <w:vAlign w:val="bottom"/>
            <w:hideMark/>
          </w:tcPr>
          <w:p w14:paraId="3C859B4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IFOS</w:t>
            </w:r>
          </w:p>
        </w:tc>
        <w:tc>
          <w:tcPr>
            <w:tcW w:w="8420" w:type="dxa"/>
            <w:tcBorders>
              <w:top w:val="nil"/>
              <w:left w:val="nil"/>
              <w:bottom w:val="nil"/>
              <w:right w:val="nil"/>
            </w:tcBorders>
            <w:shd w:val="clear" w:color="auto" w:fill="auto"/>
            <w:noWrap/>
            <w:vAlign w:val="bottom"/>
            <w:hideMark/>
          </w:tcPr>
          <w:p w14:paraId="6CA2414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Fortalecimiento de Organizaciones Sociales</w:t>
            </w:r>
          </w:p>
        </w:tc>
      </w:tr>
      <w:tr w:rsidR="007B28B2" w:rsidRPr="007B28B2" w14:paraId="1AC2968F" w14:textId="77777777" w:rsidTr="007B28B2">
        <w:trPr>
          <w:trHeight w:val="288"/>
        </w:trPr>
        <w:tc>
          <w:tcPr>
            <w:tcW w:w="1033" w:type="dxa"/>
            <w:tcBorders>
              <w:top w:val="nil"/>
              <w:left w:val="nil"/>
              <w:bottom w:val="nil"/>
              <w:right w:val="nil"/>
            </w:tcBorders>
            <w:shd w:val="clear" w:color="auto" w:fill="auto"/>
            <w:noWrap/>
            <w:vAlign w:val="bottom"/>
            <w:hideMark/>
          </w:tcPr>
          <w:p w14:paraId="71FF759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IIP</w:t>
            </w:r>
          </w:p>
        </w:tc>
        <w:tc>
          <w:tcPr>
            <w:tcW w:w="8420" w:type="dxa"/>
            <w:tcBorders>
              <w:top w:val="nil"/>
              <w:left w:val="nil"/>
              <w:bottom w:val="nil"/>
              <w:right w:val="nil"/>
            </w:tcBorders>
            <w:shd w:val="clear" w:color="auto" w:fill="auto"/>
            <w:noWrap/>
            <w:vAlign w:val="bottom"/>
            <w:hideMark/>
          </w:tcPr>
          <w:p w14:paraId="704ED15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Innovación Pública</w:t>
            </w:r>
          </w:p>
        </w:tc>
      </w:tr>
      <w:tr w:rsidR="007B28B2" w:rsidRPr="007B28B2" w14:paraId="6B381FD4" w14:textId="77777777" w:rsidTr="007B28B2">
        <w:trPr>
          <w:trHeight w:val="288"/>
        </w:trPr>
        <w:tc>
          <w:tcPr>
            <w:tcW w:w="1033" w:type="dxa"/>
            <w:tcBorders>
              <w:top w:val="nil"/>
              <w:left w:val="nil"/>
              <w:bottom w:val="nil"/>
              <w:right w:val="nil"/>
            </w:tcBorders>
            <w:shd w:val="clear" w:color="auto" w:fill="auto"/>
            <w:noWrap/>
            <w:vAlign w:val="bottom"/>
            <w:hideMark/>
          </w:tcPr>
          <w:p w14:paraId="3616A13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INMLCF</w:t>
            </w:r>
          </w:p>
        </w:tc>
        <w:tc>
          <w:tcPr>
            <w:tcW w:w="8420" w:type="dxa"/>
            <w:tcBorders>
              <w:top w:val="nil"/>
              <w:left w:val="nil"/>
              <w:bottom w:val="nil"/>
              <w:right w:val="nil"/>
            </w:tcBorders>
            <w:shd w:val="clear" w:color="auto" w:fill="auto"/>
            <w:noWrap/>
            <w:vAlign w:val="bottom"/>
            <w:hideMark/>
          </w:tcPr>
          <w:p w14:paraId="1D33E72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Nacional de Medicina Legal y Ciencias Forenses</w:t>
            </w:r>
          </w:p>
        </w:tc>
      </w:tr>
      <w:tr w:rsidR="007B28B2" w:rsidRPr="007B28B2" w14:paraId="600DDEAB" w14:textId="77777777" w:rsidTr="007B28B2">
        <w:trPr>
          <w:trHeight w:val="288"/>
        </w:trPr>
        <w:tc>
          <w:tcPr>
            <w:tcW w:w="1033" w:type="dxa"/>
            <w:tcBorders>
              <w:top w:val="nil"/>
              <w:left w:val="nil"/>
              <w:bottom w:val="nil"/>
              <w:right w:val="nil"/>
            </w:tcBorders>
            <w:shd w:val="clear" w:color="auto" w:fill="auto"/>
            <w:noWrap/>
            <w:vAlign w:val="bottom"/>
            <w:hideMark/>
          </w:tcPr>
          <w:p w14:paraId="632A059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INPEC</w:t>
            </w:r>
          </w:p>
        </w:tc>
        <w:tc>
          <w:tcPr>
            <w:tcW w:w="8420" w:type="dxa"/>
            <w:tcBorders>
              <w:top w:val="nil"/>
              <w:left w:val="nil"/>
              <w:bottom w:val="nil"/>
              <w:right w:val="nil"/>
            </w:tcBorders>
            <w:shd w:val="clear" w:color="auto" w:fill="auto"/>
            <w:noWrap/>
            <w:vAlign w:val="bottom"/>
            <w:hideMark/>
          </w:tcPr>
          <w:p w14:paraId="5E25828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Instituto Nacional Penitenciario y Carcelario</w:t>
            </w:r>
          </w:p>
        </w:tc>
      </w:tr>
      <w:tr w:rsidR="007B28B2" w:rsidRPr="007B28B2" w14:paraId="71638B1F" w14:textId="77777777" w:rsidTr="007B28B2">
        <w:trPr>
          <w:trHeight w:val="288"/>
        </w:trPr>
        <w:tc>
          <w:tcPr>
            <w:tcW w:w="1033" w:type="dxa"/>
            <w:tcBorders>
              <w:top w:val="nil"/>
              <w:left w:val="nil"/>
              <w:bottom w:val="nil"/>
              <w:right w:val="nil"/>
            </w:tcBorders>
            <w:shd w:val="clear" w:color="auto" w:fill="auto"/>
            <w:noWrap/>
            <w:vAlign w:val="bottom"/>
            <w:hideMark/>
          </w:tcPr>
          <w:p w14:paraId="0F242D9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IPCC</w:t>
            </w:r>
          </w:p>
        </w:tc>
        <w:tc>
          <w:tcPr>
            <w:tcW w:w="8420" w:type="dxa"/>
            <w:tcBorders>
              <w:top w:val="nil"/>
              <w:left w:val="nil"/>
              <w:bottom w:val="nil"/>
              <w:right w:val="nil"/>
            </w:tcBorders>
            <w:shd w:val="clear" w:color="auto" w:fill="auto"/>
            <w:noWrap/>
            <w:vAlign w:val="bottom"/>
            <w:hideMark/>
          </w:tcPr>
          <w:p w14:paraId="79F61A8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Panel Intergubernamental de Expertos sobre el Cambio Climático</w:t>
            </w:r>
          </w:p>
        </w:tc>
      </w:tr>
      <w:tr w:rsidR="007B28B2" w:rsidRPr="007B28B2" w14:paraId="7F770E7A" w14:textId="77777777" w:rsidTr="007B28B2">
        <w:trPr>
          <w:trHeight w:val="288"/>
        </w:trPr>
        <w:tc>
          <w:tcPr>
            <w:tcW w:w="1033" w:type="dxa"/>
            <w:tcBorders>
              <w:top w:val="nil"/>
              <w:left w:val="nil"/>
              <w:bottom w:val="nil"/>
              <w:right w:val="nil"/>
            </w:tcBorders>
            <w:shd w:val="clear" w:color="auto" w:fill="auto"/>
            <w:noWrap/>
            <w:vAlign w:val="bottom"/>
            <w:hideMark/>
          </w:tcPr>
          <w:p w14:paraId="12DD106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IPM</w:t>
            </w:r>
          </w:p>
        </w:tc>
        <w:tc>
          <w:tcPr>
            <w:tcW w:w="8420" w:type="dxa"/>
            <w:tcBorders>
              <w:top w:val="nil"/>
              <w:left w:val="nil"/>
              <w:bottom w:val="nil"/>
              <w:right w:val="nil"/>
            </w:tcBorders>
            <w:shd w:val="clear" w:color="auto" w:fill="auto"/>
            <w:noWrap/>
            <w:vAlign w:val="bottom"/>
            <w:hideMark/>
          </w:tcPr>
          <w:p w14:paraId="45CA5DA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Pobreza Multidimensional</w:t>
            </w:r>
          </w:p>
        </w:tc>
      </w:tr>
      <w:tr w:rsidR="007B28B2" w:rsidRPr="007B28B2" w14:paraId="7655C77C" w14:textId="77777777" w:rsidTr="007B28B2">
        <w:trPr>
          <w:trHeight w:val="288"/>
        </w:trPr>
        <w:tc>
          <w:tcPr>
            <w:tcW w:w="1033" w:type="dxa"/>
            <w:tcBorders>
              <w:top w:val="nil"/>
              <w:left w:val="nil"/>
              <w:bottom w:val="nil"/>
              <w:right w:val="nil"/>
            </w:tcBorders>
            <w:shd w:val="clear" w:color="auto" w:fill="auto"/>
            <w:noWrap/>
            <w:vAlign w:val="bottom"/>
            <w:hideMark/>
          </w:tcPr>
          <w:p w14:paraId="15735D7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IPS</w:t>
            </w:r>
          </w:p>
        </w:tc>
        <w:tc>
          <w:tcPr>
            <w:tcW w:w="8420" w:type="dxa"/>
            <w:tcBorders>
              <w:top w:val="nil"/>
              <w:left w:val="nil"/>
              <w:bottom w:val="nil"/>
              <w:right w:val="nil"/>
            </w:tcBorders>
            <w:shd w:val="clear" w:color="auto" w:fill="auto"/>
            <w:noWrap/>
            <w:vAlign w:val="bottom"/>
            <w:hideMark/>
          </w:tcPr>
          <w:p w14:paraId="05D5CE3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Instituciones Prestadoras de Servicios de Salud</w:t>
            </w:r>
          </w:p>
        </w:tc>
      </w:tr>
      <w:tr w:rsidR="007B28B2" w:rsidRPr="007B28B2" w14:paraId="48B4ED9C" w14:textId="77777777" w:rsidTr="007B28B2">
        <w:trPr>
          <w:trHeight w:val="288"/>
        </w:trPr>
        <w:tc>
          <w:tcPr>
            <w:tcW w:w="1033" w:type="dxa"/>
            <w:tcBorders>
              <w:top w:val="nil"/>
              <w:left w:val="nil"/>
              <w:bottom w:val="nil"/>
              <w:right w:val="nil"/>
            </w:tcBorders>
            <w:shd w:val="clear" w:color="auto" w:fill="auto"/>
            <w:noWrap/>
            <w:vAlign w:val="bottom"/>
            <w:hideMark/>
          </w:tcPr>
          <w:p w14:paraId="53D2CB4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IRCA</w:t>
            </w:r>
          </w:p>
        </w:tc>
        <w:tc>
          <w:tcPr>
            <w:tcW w:w="8420" w:type="dxa"/>
            <w:tcBorders>
              <w:top w:val="nil"/>
              <w:left w:val="nil"/>
              <w:bottom w:val="nil"/>
              <w:right w:val="nil"/>
            </w:tcBorders>
            <w:shd w:val="clear" w:color="auto" w:fill="auto"/>
            <w:noWrap/>
            <w:vAlign w:val="bottom"/>
            <w:hideMark/>
          </w:tcPr>
          <w:p w14:paraId="58CCED3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Riesgo de Calidad de Agua</w:t>
            </w:r>
          </w:p>
        </w:tc>
      </w:tr>
      <w:tr w:rsidR="007B28B2" w:rsidRPr="007B28B2" w14:paraId="568C39D2" w14:textId="77777777" w:rsidTr="007B28B2">
        <w:trPr>
          <w:trHeight w:val="288"/>
        </w:trPr>
        <w:tc>
          <w:tcPr>
            <w:tcW w:w="1033" w:type="dxa"/>
            <w:tcBorders>
              <w:top w:val="nil"/>
              <w:left w:val="nil"/>
              <w:bottom w:val="nil"/>
              <w:right w:val="nil"/>
            </w:tcBorders>
            <w:shd w:val="clear" w:color="auto" w:fill="auto"/>
            <w:noWrap/>
            <w:vAlign w:val="bottom"/>
            <w:hideMark/>
          </w:tcPr>
          <w:p w14:paraId="600C4DF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ITB</w:t>
            </w:r>
          </w:p>
        </w:tc>
        <w:tc>
          <w:tcPr>
            <w:tcW w:w="8420" w:type="dxa"/>
            <w:tcBorders>
              <w:top w:val="nil"/>
              <w:left w:val="nil"/>
              <w:bottom w:val="nil"/>
              <w:right w:val="nil"/>
            </w:tcBorders>
            <w:shd w:val="clear" w:color="auto" w:fill="auto"/>
            <w:noWrap/>
            <w:vAlign w:val="bottom"/>
            <w:hideMark/>
          </w:tcPr>
          <w:p w14:paraId="5317E3D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Índice de Transparencia de Bogotá</w:t>
            </w:r>
          </w:p>
        </w:tc>
      </w:tr>
      <w:tr w:rsidR="007B28B2" w:rsidRPr="007B28B2" w14:paraId="6E942234" w14:textId="77777777" w:rsidTr="007B28B2">
        <w:trPr>
          <w:trHeight w:val="288"/>
        </w:trPr>
        <w:tc>
          <w:tcPr>
            <w:tcW w:w="1033" w:type="dxa"/>
            <w:tcBorders>
              <w:top w:val="nil"/>
              <w:left w:val="nil"/>
              <w:bottom w:val="nil"/>
              <w:right w:val="nil"/>
            </w:tcBorders>
            <w:shd w:val="clear" w:color="auto" w:fill="auto"/>
            <w:noWrap/>
            <w:vAlign w:val="bottom"/>
            <w:hideMark/>
          </w:tcPr>
          <w:p w14:paraId="5C93062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LABCapital</w:t>
            </w:r>
          </w:p>
        </w:tc>
        <w:tc>
          <w:tcPr>
            <w:tcW w:w="8420" w:type="dxa"/>
            <w:tcBorders>
              <w:top w:val="nil"/>
              <w:left w:val="nil"/>
              <w:bottom w:val="nil"/>
              <w:right w:val="nil"/>
            </w:tcBorders>
            <w:shd w:val="clear" w:color="auto" w:fill="auto"/>
            <w:noWrap/>
            <w:vAlign w:val="bottom"/>
            <w:hideMark/>
          </w:tcPr>
          <w:p w14:paraId="0F5FF05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Laboratorio de Innovación para la Gestión Pública Distrital</w:t>
            </w:r>
          </w:p>
        </w:tc>
      </w:tr>
      <w:tr w:rsidR="007B28B2" w:rsidRPr="007B28B2" w14:paraId="16F544A5" w14:textId="77777777" w:rsidTr="007B28B2">
        <w:trPr>
          <w:trHeight w:val="288"/>
        </w:trPr>
        <w:tc>
          <w:tcPr>
            <w:tcW w:w="1033" w:type="dxa"/>
            <w:tcBorders>
              <w:top w:val="nil"/>
              <w:left w:val="nil"/>
              <w:bottom w:val="nil"/>
              <w:right w:val="nil"/>
            </w:tcBorders>
            <w:shd w:val="clear" w:color="auto" w:fill="auto"/>
            <w:noWrap/>
            <w:vAlign w:val="bottom"/>
            <w:hideMark/>
          </w:tcPr>
          <w:p w14:paraId="43F1149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LEE</w:t>
            </w:r>
          </w:p>
        </w:tc>
        <w:tc>
          <w:tcPr>
            <w:tcW w:w="8420" w:type="dxa"/>
            <w:tcBorders>
              <w:top w:val="nil"/>
              <w:left w:val="nil"/>
              <w:bottom w:val="nil"/>
              <w:right w:val="nil"/>
            </w:tcBorders>
            <w:shd w:val="clear" w:color="auto" w:fill="auto"/>
            <w:noWrap/>
            <w:vAlign w:val="bottom"/>
            <w:hideMark/>
          </w:tcPr>
          <w:p w14:paraId="12B077E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Laboratorio de Economía de la Educación de la Universidad Javeriana</w:t>
            </w:r>
          </w:p>
        </w:tc>
      </w:tr>
      <w:tr w:rsidR="007B28B2" w:rsidRPr="007B28B2" w14:paraId="77E8442C" w14:textId="77777777" w:rsidTr="007B28B2">
        <w:trPr>
          <w:trHeight w:val="288"/>
        </w:trPr>
        <w:tc>
          <w:tcPr>
            <w:tcW w:w="1033" w:type="dxa"/>
            <w:tcBorders>
              <w:top w:val="nil"/>
              <w:left w:val="nil"/>
              <w:bottom w:val="nil"/>
              <w:right w:val="nil"/>
            </w:tcBorders>
            <w:shd w:val="clear" w:color="auto" w:fill="auto"/>
            <w:noWrap/>
            <w:vAlign w:val="bottom"/>
            <w:hideMark/>
          </w:tcPr>
          <w:p w14:paraId="5A57325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LGBTI</w:t>
            </w:r>
          </w:p>
        </w:tc>
        <w:tc>
          <w:tcPr>
            <w:tcW w:w="8420" w:type="dxa"/>
            <w:tcBorders>
              <w:top w:val="nil"/>
              <w:left w:val="nil"/>
              <w:bottom w:val="nil"/>
              <w:right w:val="nil"/>
            </w:tcBorders>
            <w:shd w:val="clear" w:color="auto" w:fill="auto"/>
            <w:noWrap/>
            <w:vAlign w:val="bottom"/>
            <w:hideMark/>
          </w:tcPr>
          <w:p w14:paraId="5E337A5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Lesbianas, Gais, Bisexuales, Transgénero e Intersexuales</w:t>
            </w:r>
          </w:p>
        </w:tc>
      </w:tr>
      <w:tr w:rsidR="007B28B2" w:rsidRPr="007B28B2" w14:paraId="489749A9" w14:textId="77777777" w:rsidTr="007B28B2">
        <w:trPr>
          <w:trHeight w:val="288"/>
        </w:trPr>
        <w:tc>
          <w:tcPr>
            <w:tcW w:w="1033" w:type="dxa"/>
            <w:tcBorders>
              <w:top w:val="nil"/>
              <w:left w:val="nil"/>
              <w:bottom w:val="nil"/>
              <w:right w:val="nil"/>
            </w:tcBorders>
            <w:shd w:val="clear" w:color="auto" w:fill="auto"/>
            <w:noWrap/>
            <w:vAlign w:val="bottom"/>
            <w:hideMark/>
          </w:tcPr>
          <w:p w14:paraId="248C488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MEBOG</w:t>
            </w:r>
          </w:p>
        </w:tc>
        <w:tc>
          <w:tcPr>
            <w:tcW w:w="8420" w:type="dxa"/>
            <w:tcBorders>
              <w:top w:val="nil"/>
              <w:left w:val="nil"/>
              <w:bottom w:val="nil"/>
              <w:right w:val="nil"/>
            </w:tcBorders>
            <w:shd w:val="clear" w:color="auto" w:fill="auto"/>
            <w:noWrap/>
            <w:vAlign w:val="bottom"/>
            <w:hideMark/>
          </w:tcPr>
          <w:p w14:paraId="34C6C59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Policía Metropolitana de Bogotá</w:t>
            </w:r>
          </w:p>
        </w:tc>
      </w:tr>
      <w:tr w:rsidR="007B28B2" w:rsidRPr="007B28B2" w14:paraId="65809DC3" w14:textId="77777777" w:rsidTr="007B28B2">
        <w:trPr>
          <w:trHeight w:val="288"/>
        </w:trPr>
        <w:tc>
          <w:tcPr>
            <w:tcW w:w="1033" w:type="dxa"/>
            <w:tcBorders>
              <w:top w:val="nil"/>
              <w:left w:val="nil"/>
              <w:bottom w:val="nil"/>
              <w:right w:val="nil"/>
            </w:tcBorders>
            <w:shd w:val="clear" w:color="auto" w:fill="auto"/>
            <w:noWrap/>
            <w:vAlign w:val="bottom"/>
            <w:hideMark/>
          </w:tcPr>
          <w:p w14:paraId="6EF1B26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lastRenderedPageBreak/>
              <w:t>MEN</w:t>
            </w:r>
          </w:p>
        </w:tc>
        <w:tc>
          <w:tcPr>
            <w:tcW w:w="8420" w:type="dxa"/>
            <w:tcBorders>
              <w:top w:val="nil"/>
              <w:left w:val="nil"/>
              <w:bottom w:val="nil"/>
              <w:right w:val="nil"/>
            </w:tcBorders>
            <w:shd w:val="clear" w:color="auto" w:fill="auto"/>
            <w:noWrap/>
            <w:vAlign w:val="bottom"/>
            <w:hideMark/>
          </w:tcPr>
          <w:p w14:paraId="4955393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Ministerio de Educación Nacional</w:t>
            </w:r>
          </w:p>
        </w:tc>
      </w:tr>
      <w:tr w:rsidR="007B28B2" w:rsidRPr="007B28B2" w14:paraId="03968C5E" w14:textId="77777777" w:rsidTr="007B28B2">
        <w:trPr>
          <w:trHeight w:val="288"/>
        </w:trPr>
        <w:tc>
          <w:tcPr>
            <w:tcW w:w="1033" w:type="dxa"/>
            <w:tcBorders>
              <w:top w:val="nil"/>
              <w:left w:val="nil"/>
              <w:bottom w:val="nil"/>
              <w:right w:val="nil"/>
            </w:tcBorders>
            <w:shd w:val="clear" w:color="auto" w:fill="auto"/>
            <w:noWrap/>
            <w:vAlign w:val="bottom"/>
            <w:hideMark/>
          </w:tcPr>
          <w:p w14:paraId="1231372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MFMP</w:t>
            </w:r>
          </w:p>
        </w:tc>
        <w:tc>
          <w:tcPr>
            <w:tcW w:w="8420" w:type="dxa"/>
            <w:tcBorders>
              <w:top w:val="nil"/>
              <w:left w:val="nil"/>
              <w:bottom w:val="nil"/>
              <w:right w:val="nil"/>
            </w:tcBorders>
            <w:shd w:val="clear" w:color="auto" w:fill="auto"/>
            <w:noWrap/>
            <w:vAlign w:val="bottom"/>
            <w:hideMark/>
          </w:tcPr>
          <w:p w14:paraId="051EA46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Marco Fiscal de Mediano Plazo</w:t>
            </w:r>
          </w:p>
        </w:tc>
      </w:tr>
      <w:tr w:rsidR="007B28B2" w:rsidRPr="007B28B2" w14:paraId="0E0447C2" w14:textId="77777777" w:rsidTr="007B28B2">
        <w:trPr>
          <w:trHeight w:val="288"/>
        </w:trPr>
        <w:tc>
          <w:tcPr>
            <w:tcW w:w="1033" w:type="dxa"/>
            <w:tcBorders>
              <w:top w:val="nil"/>
              <w:left w:val="nil"/>
              <w:bottom w:val="nil"/>
              <w:right w:val="nil"/>
            </w:tcBorders>
            <w:shd w:val="clear" w:color="auto" w:fill="auto"/>
            <w:noWrap/>
            <w:vAlign w:val="bottom"/>
            <w:hideMark/>
          </w:tcPr>
          <w:p w14:paraId="4193B06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MinCiencias</w:t>
            </w:r>
          </w:p>
        </w:tc>
        <w:tc>
          <w:tcPr>
            <w:tcW w:w="8420" w:type="dxa"/>
            <w:tcBorders>
              <w:top w:val="nil"/>
              <w:left w:val="nil"/>
              <w:bottom w:val="nil"/>
              <w:right w:val="nil"/>
            </w:tcBorders>
            <w:shd w:val="clear" w:color="auto" w:fill="auto"/>
            <w:noWrap/>
            <w:vAlign w:val="bottom"/>
            <w:hideMark/>
          </w:tcPr>
          <w:p w14:paraId="59E3AA2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Ministerio de Ciencia Teconologia e Innovación</w:t>
            </w:r>
          </w:p>
        </w:tc>
      </w:tr>
      <w:tr w:rsidR="007B28B2" w:rsidRPr="007B28B2" w14:paraId="6CF36CA8" w14:textId="77777777" w:rsidTr="007B28B2">
        <w:trPr>
          <w:trHeight w:val="288"/>
        </w:trPr>
        <w:tc>
          <w:tcPr>
            <w:tcW w:w="1033" w:type="dxa"/>
            <w:tcBorders>
              <w:top w:val="nil"/>
              <w:left w:val="nil"/>
              <w:bottom w:val="nil"/>
              <w:right w:val="nil"/>
            </w:tcBorders>
            <w:shd w:val="clear" w:color="auto" w:fill="auto"/>
            <w:noWrap/>
            <w:vAlign w:val="bottom"/>
            <w:hideMark/>
          </w:tcPr>
          <w:p w14:paraId="554194E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MIPG</w:t>
            </w:r>
          </w:p>
        </w:tc>
        <w:tc>
          <w:tcPr>
            <w:tcW w:w="8420" w:type="dxa"/>
            <w:tcBorders>
              <w:top w:val="nil"/>
              <w:left w:val="nil"/>
              <w:bottom w:val="nil"/>
              <w:right w:val="nil"/>
            </w:tcBorders>
            <w:shd w:val="clear" w:color="auto" w:fill="auto"/>
            <w:noWrap/>
            <w:vAlign w:val="bottom"/>
            <w:hideMark/>
          </w:tcPr>
          <w:p w14:paraId="4FFB0B7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El Desarrollo Del Modelo Integrado De Planeación y Gestión</w:t>
            </w:r>
          </w:p>
        </w:tc>
      </w:tr>
      <w:tr w:rsidR="007B28B2" w:rsidRPr="007B28B2" w14:paraId="688910CE" w14:textId="77777777" w:rsidTr="007B28B2">
        <w:trPr>
          <w:trHeight w:val="288"/>
        </w:trPr>
        <w:tc>
          <w:tcPr>
            <w:tcW w:w="1033" w:type="dxa"/>
            <w:tcBorders>
              <w:top w:val="nil"/>
              <w:left w:val="nil"/>
              <w:bottom w:val="nil"/>
              <w:right w:val="nil"/>
            </w:tcBorders>
            <w:shd w:val="clear" w:color="auto" w:fill="auto"/>
            <w:noWrap/>
            <w:vAlign w:val="bottom"/>
            <w:hideMark/>
          </w:tcPr>
          <w:p w14:paraId="519C4B1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NNAJ</w:t>
            </w:r>
          </w:p>
        </w:tc>
        <w:tc>
          <w:tcPr>
            <w:tcW w:w="8420" w:type="dxa"/>
            <w:tcBorders>
              <w:top w:val="nil"/>
              <w:left w:val="nil"/>
              <w:bottom w:val="nil"/>
              <w:right w:val="nil"/>
            </w:tcBorders>
            <w:shd w:val="clear" w:color="auto" w:fill="auto"/>
            <w:noWrap/>
            <w:vAlign w:val="bottom"/>
            <w:hideMark/>
          </w:tcPr>
          <w:p w14:paraId="73FA688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Niños, Niñas, Adolescentes y Jóvenes</w:t>
            </w:r>
          </w:p>
        </w:tc>
      </w:tr>
      <w:tr w:rsidR="007B28B2" w:rsidRPr="007B28B2" w14:paraId="614538AE" w14:textId="77777777" w:rsidTr="007B28B2">
        <w:trPr>
          <w:trHeight w:val="288"/>
        </w:trPr>
        <w:tc>
          <w:tcPr>
            <w:tcW w:w="1033" w:type="dxa"/>
            <w:tcBorders>
              <w:top w:val="nil"/>
              <w:left w:val="nil"/>
              <w:bottom w:val="nil"/>
              <w:right w:val="nil"/>
            </w:tcBorders>
            <w:shd w:val="clear" w:color="auto" w:fill="auto"/>
            <w:noWrap/>
            <w:vAlign w:val="bottom"/>
            <w:hideMark/>
          </w:tcPr>
          <w:p w14:paraId="6D56A22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NUSE</w:t>
            </w:r>
          </w:p>
        </w:tc>
        <w:tc>
          <w:tcPr>
            <w:tcW w:w="8420" w:type="dxa"/>
            <w:tcBorders>
              <w:top w:val="nil"/>
              <w:left w:val="nil"/>
              <w:bottom w:val="nil"/>
              <w:right w:val="nil"/>
            </w:tcBorders>
            <w:shd w:val="clear" w:color="auto" w:fill="auto"/>
            <w:noWrap/>
            <w:vAlign w:val="bottom"/>
            <w:hideMark/>
          </w:tcPr>
          <w:p w14:paraId="2F977A8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Número Único de Seguridad y Emergencias</w:t>
            </w:r>
          </w:p>
        </w:tc>
      </w:tr>
      <w:tr w:rsidR="007B28B2" w:rsidRPr="007B28B2" w14:paraId="23D705C3" w14:textId="77777777" w:rsidTr="007B28B2">
        <w:trPr>
          <w:trHeight w:val="288"/>
        </w:trPr>
        <w:tc>
          <w:tcPr>
            <w:tcW w:w="1033" w:type="dxa"/>
            <w:tcBorders>
              <w:top w:val="nil"/>
              <w:left w:val="nil"/>
              <w:bottom w:val="nil"/>
              <w:right w:val="nil"/>
            </w:tcBorders>
            <w:shd w:val="clear" w:color="auto" w:fill="auto"/>
            <w:noWrap/>
            <w:vAlign w:val="bottom"/>
            <w:hideMark/>
          </w:tcPr>
          <w:p w14:paraId="379C53A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ODCLA</w:t>
            </w:r>
          </w:p>
        </w:tc>
        <w:tc>
          <w:tcPr>
            <w:tcW w:w="8420" w:type="dxa"/>
            <w:tcBorders>
              <w:top w:val="nil"/>
              <w:left w:val="nil"/>
              <w:bottom w:val="nil"/>
              <w:right w:val="nil"/>
            </w:tcBorders>
            <w:shd w:val="clear" w:color="auto" w:fill="auto"/>
            <w:noWrap/>
            <w:vAlign w:val="bottom"/>
            <w:hideMark/>
          </w:tcPr>
          <w:p w14:paraId="03425C2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Observatorio Distrital de Contratación y Lucha Anticorrupción</w:t>
            </w:r>
          </w:p>
        </w:tc>
      </w:tr>
      <w:tr w:rsidR="007B28B2" w:rsidRPr="007B28B2" w14:paraId="00EADD19" w14:textId="77777777" w:rsidTr="007B28B2">
        <w:trPr>
          <w:trHeight w:val="288"/>
        </w:trPr>
        <w:tc>
          <w:tcPr>
            <w:tcW w:w="1033" w:type="dxa"/>
            <w:tcBorders>
              <w:top w:val="nil"/>
              <w:left w:val="nil"/>
              <w:bottom w:val="nil"/>
              <w:right w:val="nil"/>
            </w:tcBorders>
            <w:shd w:val="clear" w:color="auto" w:fill="auto"/>
            <w:noWrap/>
            <w:vAlign w:val="bottom"/>
            <w:hideMark/>
          </w:tcPr>
          <w:p w14:paraId="0B04D46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ODEB</w:t>
            </w:r>
          </w:p>
        </w:tc>
        <w:tc>
          <w:tcPr>
            <w:tcW w:w="8420" w:type="dxa"/>
            <w:tcBorders>
              <w:top w:val="nil"/>
              <w:left w:val="nil"/>
              <w:bottom w:val="nil"/>
              <w:right w:val="nil"/>
            </w:tcBorders>
            <w:shd w:val="clear" w:color="auto" w:fill="auto"/>
            <w:noWrap/>
            <w:vAlign w:val="bottom"/>
            <w:hideMark/>
          </w:tcPr>
          <w:p w14:paraId="53550D4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Observatorio de Desarrollo Económico de Bogotá</w:t>
            </w:r>
          </w:p>
        </w:tc>
      </w:tr>
      <w:tr w:rsidR="007B28B2" w:rsidRPr="007B28B2" w14:paraId="57BF85EC" w14:textId="77777777" w:rsidTr="007B28B2">
        <w:trPr>
          <w:trHeight w:val="288"/>
        </w:trPr>
        <w:tc>
          <w:tcPr>
            <w:tcW w:w="1033" w:type="dxa"/>
            <w:tcBorders>
              <w:top w:val="nil"/>
              <w:left w:val="nil"/>
              <w:bottom w:val="nil"/>
              <w:right w:val="nil"/>
            </w:tcBorders>
            <w:shd w:val="clear" w:color="auto" w:fill="auto"/>
            <w:noWrap/>
            <w:vAlign w:val="bottom"/>
            <w:hideMark/>
          </w:tcPr>
          <w:p w14:paraId="4D30B11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ODS</w:t>
            </w:r>
          </w:p>
        </w:tc>
        <w:tc>
          <w:tcPr>
            <w:tcW w:w="8420" w:type="dxa"/>
            <w:tcBorders>
              <w:top w:val="nil"/>
              <w:left w:val="nil"/>
              <w:bottom w:val="nil"/>
              <w:right w:val="nil"/>
            </w:tcBorders>
            <w:shd w:val="clear" w:color="auto" w:fill="auto"/>
            <w:noWrap/>
            <w:vAlign w:val="bottom"/>
            <w:hideMark/>
          </w:tcPr>
          <w:p w14:paraId="6005C0B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Objetivos de Desarrollo Sostenible</w:t>
            </w:r>
          </w:p>
        </w:tc>
      </w:tr>
      <w:tr w:rsidR="007B28B2" w:rsidRPr="007B28B2" w14:paraId="4817F483" w14:textId="77777777" w:rsidTr="007B28B2">
        <w:trPr>
          <w:trHeight w:val="288"/>
        </w:trPr>
        <w:tc>
          <w:tcPr>
            <w:tcW w:w="1033" w:type="dxa"/>
            <w:tcBorders>
              <w:top w:val="nil"/>
              <w:left w:val="nil"/>
              <w:bottom w:val="nil"/>
              <w:right w:val="nil"/>
            </w:tcBorders>
            <w:shd w:val="clear" w:color="auto" w:fill="auto"/>
            <w:noWrap/>
            <w:vAlign w:val="bottom"/>
            <w:hideMark/>
          </w:tcPr>
          <w:p w14:paraId="69818D3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OECD</w:t>
            </w:r>
          </w:p>
        </w:tc>
        <w:tc>
          <w:tcPr>
            <w:tcW w:w="8420" w:type="dxa"/>
            <w:tcBorders>
              <w:top w:val="nil"/>
              <w:left w:val="nil"/>
              <w:bottom w:val="nil"/>
              <w:right w:val="nil"/>
            </w:tcBorders>
            <w:shd w:val="clear" w:color="auto" w:fill="auto"/>
            <w:noWrap/>
            <w:vAlign w:val="bottom"/>
            <w:hideMark/>
          </w:tcPr>
          <w:p w14:paraId="2A13790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Organización para la Cooperación y el Desarrollo Económicos</w:t>
            </w:r>
          </w:p>
        </w:tc>
      </w:tr>
      <w:tr w:rsidR="007B28B2" w:rsidRPr="007B28B2" w14:paraId="5A418D4B" w14:textId="77777777" w:rsidTr="007B28B2">
        <w:trPr>
          <w:trHeight w:val="288"/>
        </w:trPr>
        <w:tc>
          <w:tcPr>
            <w:tcW w:w="1033" w:type="dxa"/>
            <w:tcBorders>
              <w:top w:val="nil"/>
              <w:left w:val="nil"/>
              <w:bottom w:val="nil"/>
              <w:right w:val="nil"/>
            </w:tcBorders>
            <w:shd w:val="clear" w:color="auto" w:fill="auto"/>
            <w:noWrap/>
            <w:vAlign w:val="bottom"/>
            <w:hideMark/>
          </w:tcPr>
          <w:p w14:paraId="5A0C2B0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OMEG</w:t>
            </w:r>
          </w:p>
        </w:tc>
        <w:tc>
          <w:tcPr>
            <w:tcW w:w="8420" w:type="dxa"/>
            <w:tcBorders>
              <w:top w:val="nil"/>
              <w:left w:val="nil"/>
              <w:bottom w:val="nil"/>
              <w:right w:val="nil"/>
            </w:tcBorders>
            <w:shd w:val="clear" w:color="auto" w:fill="auto"/>
            <w:noWrap/>
            <w:vAlign w:val="bottom"/>
            <w:hideMark/>
          </w:tcPr>
          <w:p w14:paraId="1FDC1C9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Observatorio de Mujeres y Equidad de Género</w:t>
            </w:r>
          </w:p>
        </w:tc>
      </w:tr>
      <w:tr w:rsidR="007B28B2" w:rsidRPr="007B28B2" w14:paraId="42585857" w14:textId="77777777" w:rsidTr="007B28B2">
        <w:trPr>
          <w:trHeight w:val="288"/>
        </w:trPr>
        <w:tc>
          <w:tcPr>
            <w:tcW w:w="1033" w:type="dxa"/>
            <w:tcBorders>
              <w:top w:val="nil"/>
              <w:left w:val="nil"/>
              <w:bottom w:val="nil"/>
              <w:right w:val="nil"/>
            </w:tcBorders>
            <w:shd w:val="clear" w:color="auto" w:fill="auto"/>
            <w:noWrap/>
            <w:vAlign w:val="bottom"/>
            <w:hideMark/>
          </w:tcPr>
          <w:p w14:paraId="1FD6582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OMS</w:t>
            </w:r>
          </w:p>
        </w:tc>
        <w:tc>
          <w:tcPr>
            <w:tcW w:w="8420" w:type="dxa"/>
            <w:tcBorders>
              <w:top w:val="nil"/>
              <w:left w:val="nil"/>
              <w:bottom w:val="nil"/>
              <w:right w:val="nil"/>
            </w:tcBorders>
            <w:shd w:val="clear" w:color="auto" w:fill="auto"/>
            <w:noWrap/>
            <w:vAlign w:val="bottom"/>
            <w:hideMark/>
          </w:tcPr>
          <w:p w14:paraId="7D019FB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Organización Mundial de la Salud</w:t>
            </w:r>
          </w:p>
        </w:tc>
      </w:tr>
      <w:tr w:rsidR="007B28B2" w:rsidRPr="007B28B2" w14:paraId="37F2E529" w14:textId="77777777" w:rsidTr="007B28B2">
        <w:trPr>
          <w:trHeight w:val="288"/>
        </w:trPr>
        <w:tc>
          <w:tcPr>
            <w:tcW w:w="1033" w:type="dxa"/>
            <w:tcBorders>
              <w:top w:val="nil"/>
              <w:left w:val="nil"/>
              <w:bottom w:val="nil"/>
              <w:right w:val="nil"/>
            </w:tcBorders>
            <w:shd w:val="clear" w:color="auto" w:fill="auto"/>
            <w:noWrap/>
            <w:vAlign w:val="bottom"/>
            <w:hideMark/>
          </w:tcPr>
          <w:p w14:paraId="5241D20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OP</w:t>
            </w:r>
          </w:p>
        </w:tc>
        <w:tc>
          <w:tcPr>
            <w:tcW w:w="8420" w:type="dxa"/>
            <w:tcBorders>
              <w:top w:val="nil"/>
              <w:left w:val="nil"/>
              <w:bottom w:val="nil"/>
              <w:right w:val="nil"/>
            </w:tcBorders>
            <w:shd w:val="clear" w:color="auto" w:fill="auto"/>
            <w:noWrap/>
            <w:vAlign w:val="bottom"/>
            <w:hideMark/>
          </w:tcPr>
          <w:p w14:paraId="4222466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Observatorio de Participación</w:t>
            </w:r>
          </w:p>
        </w:tc>
      </w:tr>
      <w:tr w:rsidR="007B28B2" w:rsidRPr="007B28B2" w14:paraId="58A2E768" w14:textId="77777777" w:rsidTr="007B28B2">
        <w:trPr>
          <w:trHeight w:val="288"/>
        </w:trPr>
        <w:tc>
          <w:tcPr>
            <w:tcW w:w="1033" w:type="dxa"/>
            <w:tcBorders>
              <w:top w:val="nil"/>
              <w:left w:val="nil"/>
              <w:bottom w:val="nil"/>
              <w:right w:val="nil"/>
            </w:tcBorders>
            <w:shd w:val="clear" w:color="auto" w:fill="auto"/>
            <w:noWrap/>
            <w:vAlign w:val="bottom"/>
            <w:hideMark/>
          </w:tcPr>
          <w:p w14:paraId="7C4E1B4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PDD</w:t>
            </w:r>
          </w:p>
        </w:tc>
        <w:tc>
          <w:tcPr>
            <w:tcW w:w="8420" w:type="dxa"/>
            <w:tcBorders>
              <w:top w:val="nil"/>
              <w:left w:val="nil"/>
              <w:bottom w:val="nil"/>
              <w:right w:val="nil"/>
            </w:tcBorders>
            <w:shd w:val="clear" w:color="auto" w:fill="auto"/>
            <w:noWrap/>
            <w:vAlign w:val="bottom"/>
            <w:hideMark/>
          </w:tcPr>
          <w:p w14:paraId="5B79544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Plan Distrital de Desarrollo</w:t>
            </w:r>
          </w:p>
        </w:tc>
      </w:tr>
      <w:tr w:rsidR="007B28B2" w:rsidRPr="007B28B2" w14:paraId="58D32CDF" w14:textId="77777777" w:rsidTr="007B28B2">
        <w:trPr>
          <w:trHeight w:val="288"/>
        </w:trPr>
        <w:tc>
          <w:tcPr>
            <w:tcW w:w="1033" w:type="dxa"/>
            <w:tcBorders>
              <w:top w:val="nil"/>
              <w:left w:val="nil"/>
              <w:bottom w:val="nil"/>
              <w:right w:val="nil"/>
            </w:tcBorders>
            <w:shd w:val="clear" w:color="auto" w:fill="auto"/>
            <w:noWrap/>
            <w:vAlign w:val="bottom"/>
            <w:hideMark/>
          </w:tcPr>
          <w:p w14:paraId="7C9462C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PDEM</w:t>
            </w:r>
          </w:p>
        </w:tc>
        <w:tc>
          <w:tcPr>
            <w:tcW w:w="8420" w:type="dxa"/>
            <w:tcBorders>
              <w:top w:val="nil"/>
              <w:left w:val="nil"/>
              <w:bottom w:val="nil"/>
              <w:right w:val="nil"/>
            </w:tcBorders>
            <w:shd w:val="clear" w:color="auto" w:fill="auto"/>
            <w:noWrap/>
            <w:vAlign w:val="bottom"/>
            <w:hideMark/>
          </w:tcPr>
          <w:p w14:paraId="639EA95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Parques Distritales Ecológicos de Montaña</w:t>
            </w:r>
          </w:p>
        </w:tc>
      </w:tr>
      <w:tr w:rsidR="007B28B2" w:rsidRPr="007B28B2" w14:paraId="73296B35" w14:textId="77777777" w:rsidTr="007B28B2">
        <w:trPr>
          <w:trHeight w:val="288"/>
        </w:trPr>
        <w:tc>
          <w:tcPr>
            <w:tcW w:w="1033" w:type="dxa"/>
            <w:tcBorders>
              <w:top w:val="nil"/>
              <w:left w:val="nil"/>
              <w:bottom w:val="nil"/>
              <w:right w:val="nil"/>
            </w:tcBorders>
            <w:shd w:val="clear" w:color="auto" w:fill="auto"/>
            <w:noWrap/>
            <w:vAlign w:val="bottom"/>
            <w:hideMark/>
          </w:tcPr>
          <w:p w14:paraId="386D3EA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PEMP</w:t>
            </w:r>
          </w:p>
        </w:tc>
        <w:tc>
          <w:tcPr>
            <w:tcW w:w="8420" w:type="dxa"/>
            <w:tcBorders>
              <w:top w:val="nil"/>
              <w:left w:val="nil"/>
              <w:bottom w:val="nil"/>
              <w:right w:val="nil"/>
            </w:tcBorders>
            <w:shd w:val="clear" w:color="auto" w:fill="auto"/>
            <w:noWrap/>
            <w:vAlign w:val="bottom"/>
            <w:hideMark/>
          </w:tcPr>
          <w:p w14:paraId="520A609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Planes Especiales de Manejo y Protección</w:t>
            </w:r>
          </w:p>
        </w:tc>
      </w:tr>
      <w:tr w:rsidR="007B28B2" w:rsidRPr="007B28B2" w14:paraId="10BA6269" w14:textId="77777777" w:rsidTr="007B28B2">
        <w:trPr>
          <w:trHeight w:val="288"/>
        </w:trPr>
        <w:tc>
          <w:tcPr>
            <w:tcW w:w="1033" w:type="dxa"/>
            <w:tcBorders>
              <w:top w:val="nil"/>
              <w:left w:val="nil"/>
              <w:bottom w:val="nil"/>
              <w:right w:val="nil"/>
            </w:tcBorders>
            <w:shd w:val="clear" w:color="auto" w:fill="auto"/>
            <w:noWrap/>
            <w:vAlign w:val="bottom"/>
            <w:hideMark/>
          </w:tcPr>
          <w:p w14:paraId="1702B9F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PIB</w:t>
            </w:r>
          </w:p>
        </w:tc>
        <w:tc>
          <w:tcPr>
            <w:tcW w:w="8420" w:type="dxa"/>
            <w:tcBorders>
              <w:top w:val="nil"/>
              <w:left w:val="nil"/>
              <w:bottom w:val="nil"/>
              <w:right w:val="nil"/>
            </w:tcBorders>
            <w:shd w:val="clear" w:color="auto" w:fill="auto"/>
            <w:noWrap/>
            <w:vAlign w:val="bottom"/>
            <w:hideMark/>
          </w:tcPr>
          <w:p w14:paraId="5EA5910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Producto Interno Bruto</w:t>
            </w:r>
          </w:p>
        </w:tc>
      </w:tr>
      <w:tr w:rsidR="007B28B2" w:rsidRPr="007B28B2" w14:paraId="4F5D4CC2" w14:textId="77777777" w:rsidTr="007B28B2">
        <w:trPr>
          <w:trHeight w:val="288"/>
        </w:trPr>
        <w:tc>
          <w:tcPr>
            <w:tcW w:w="1033" w:type="dxa"/>
            <w:tcBorders>
              <w:top w:val="nil"/>
              <w:left w:val="nil"/>
              <w:bottom w:val="nil"/>
              <w:right w:val="nil"/>
            </w:tcBorders>
            <w:shd w:val="clear" w:color="auto" w:fill="auto"/>
            <w:noWrap/>
            <w:vAlign w:val="bottom"/>
            <w:hideMark/>
          </w:tcPr>
          <w:p w14:paraId="595E22F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PLMB</w:t>
            </w:r>
          </w:p>
        </w:tc>
        <w:tc>
          <w:tcPr>
            <w:tcW w:w="8420" w:type="dxa"/>
            <w:tcBorders>
              <w:top w:val="nil"/>
              <w:left w:val="nil"/>
              <w:bottom w:val="nil"/>
              <w:right w:val="nil"/>
            </w:tcBorders>
            <w:shd w:val="clear" w:color="auto" w:fill="auto"/>
            <w:noWrap/>
            <w:vAlign w:val="bottom"/>
            <w:hideMark/>
          </w:tcPr>
          <w:p w14:paraId="0B6F7EB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Primera Línea de Metro de Bogotá</w:t>
            </w:r>
          </w:p>
        </w:tc>
      </w:tr>
      <w:tr w:rsidR="007B28B2" w:rsidRPr="007B28B2" w14:paraId="2891F795" w14:textId="77777777" w:rsidTr="007B28B2">
        <w:trPr>
          <w:trHeight w:val="288"/>
        </w:trPr>
        <w:tc>
          <w:tcPr>
            <w:tcW w:w="1033" w:type="dxa"/>
            <w:tcBorders>
              <w:top w:val="nil"/>
              <w:left w:val="nil"/>
              <w:bottom w:val="nil"/>
              <w:right w:val="nil"/>
            </w:tcBorders>
            <w:shd w:val="clear" w:color="auto" w:fill="auto"/>
            <w:noWrap/>
            <w:vAlign w:val="bottom"/>
            <w:hideMark/>
          </w:tcPr>
          <w:p w14:paraId="4956883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PMA</w:t>
            </w:r>
          </w:p>
        </w:tc>
        <w:tc>
          <w:tcPr>
            <w:tcW w:w="8420" w:type="dxa"/>
            <w:tcBorders>
              <w:top w:val="nil"/>
              <w:left w:val="nil"/>
              <w:bottom w:val="nil"/>
              <w:right w:val="nil"/>
            </w:tcBorders>
            <w:shd w:val="clear" w:color="auto" w:fill="auto"/>
            <w:noWrap/>
            <w:vAlign w:val="bottom"/>
            <w:hideMark/>
          </w:tcPr>
          <w:p w14:paraId="17B57D3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Plan de Manejo Ambiental</w:t>
            </w:r>
          </w:p>
        </w:tc>
      </w:tr>
      <w:tr w:rsidR="007B28B2" w:rsidRPr="007B28B2" w14:paraId="3E3B6117" w14:textId="77777777" w:rsidTr="007B28B2">
        <w:trPr>
          <w:trHeight w:val="288"/>
        </w:trPr>
        <w:tc>
          <w:tcPr>
            <w:tcW w:w="1033" w:type="dxa"/>
            <w:tcBorders>
              <w:top w:val="nil"/>
              <w:left w:val="nil"/>
              <w:bottom w:val="nil"/>
              <w:right w:val="nil"/>
            </w:tcBorders>
            <w:shd w:val="clear" w:color="auto" w:fill="auto"/>
            <w:noWrap/>
            <w:vAlign w:val="bottom"/>
            <w:hideMark/>
          </w:tcPr>
          <w:p w14:paraId="02D3DCF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POT</w:t>
            </w:r>
          </w:p>
        </w:tc>
        <w:tc>
          <w:tcPr>
            <w:tcW w:w="8420" w:type="dxa"/>
            <w:tcBorders>
              <w:top w:val="nil"/>
              <w:left w:val="nil"/>
              <w:bottom w:val="nil"/>
              <w:right w:val="nil"/>
            </w:tcBorders>
            <w:shd w:val="clear" w:color="auto" w:fill="auto"/>
            <w:noWrap/>
            <w:vAlign w:val="bottom"/>
            <w:hideMark/>
          </w:tcPr>
          <w:p w14:paraId="14D1587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Plan de Ordenamiento Territorial</w:t>
            </w:r>
          </w:p>
        </w:tc>
      </w:tr>
      <w:tr w:rsidR="007B28B2" w:rsidRPr="007B28B2" w14:paraId="69B7EE00" w14:textId="77777777" w:rsidTr="007B28B2">
        <w:trPr>
          <w:trHeight w:val="288"/>
        </w:trPr>
        <w:tc>
          <w:tcPr>
            <w:tcW w:w="1033" w:type="dxa"/>
            <w:tcBorders>
              <w:top w:val="nil"/>
              <w:left w:val="nil"/>
              <w:bottom w:val="nil"/>
              <w:right w:val="nil"/>
            </w:tcBorders>
            <w:shd w:val="clear" w:color="auto" w:fill="auto"/>
            <w:noWrap/>
            <w:vAlign w:val="bottom"/>
            <w:hideMark/>
          </w:tcPr>
          <w:p w14:paraId="07087F0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PPAC</w:t>
            </w:r>
          </w:p>
        </w:tc>
        <w:tc>
          <w:tcPr>
            <w:tcW w:w="8420" w:type="dxa"/>
            <w:tcBorders>
              <w:top w:val="nil"/>
              <w:left w:val="nil"/>
              <w:bottom w:val="nil"/>
              <w:right w:val="nil"/>
            </w:tcBorders>
            <w:shd w:val="clear" w:color="auto" w:fill="auto"/>
            <w:noWrap/>
            <w:vAlign w:val="bottom"/>
            <w:hideMark/>
          </w:tcPr>
          <w:p w14:paraId="6BFD266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Política Pública de Acción Climática</w:t>
            </w:r>
          </w:p>
        </w:tc>
      </w:tr>
      <w:tr w:rsidR="007B28B2" w:rsidRPr="007B28B2" w14:paraId="0EF28EE9" w14:textId="77777777" w:rsidTr="007B28B2">
        <w:trPr>
          <w:trHeight w:val="288"/>
        </w:trPr>
        <w:tc>
          <w:tcPr>
            <w:tcW w:w="1033" w:type="dxa"/>
            <w:tcBorders>
              <w:top w:val="nil"/>
              <w:left w:val="nil"/>
              <w:bottom w:val="nil"/>
              <w:right w:val="nil"/>
            </w:tcBorders>
            <w:shd w:val="clear" w:color="auto" w:fill="auto"/>
            <w:noWrap/>
            <w:vAlign w:val="bottom"/>
            <w:hideMark/>
          </w:tcPr>
          <w:p w14:paraId="50325E1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PPMYEG</w:t>
            </w:r>
          </w:p>
        </w:tc>
        <w:tc>
          <w:tcPr>
            <w:tcW w:w="8420" w:type="dxa"/>
            <w:tcBorders>
              <w:top w:val="nil"/>
              <w:left w:val="nil"/>
              <w:bottom w:val="nil"/>
              <w:right w:val="nil"/>
            </w:tcBorders>
            <w:shd w:val="clear" w:color="auto" w:fill="auto"/>
            <w:noWrap/>
            <w:vAlign w:val="bottom"/>
            <w:hideMark/>
          </w:tcPr>
          <w:p w14:paraId="374FE43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Política Pública de Mujeres y Equidad de Género</w:t>
            </w:r>
          </w:p>
        </w:tc>
      </w:tr>
      <w:tr w:rsidR="007B28B2" w:rsidRPr="007B28B2" w14:paraId="25996B46" w14:textId="77777777" w:rsidTr="007B28B2">
        <w:trPr>
          <w:trHeight w:val="288"/>
        </w:trPr>
        <w:tc>
          <w:tcPr>
            <w:tcW w:w="1033" w:type="dxa"/>
            <w:tcBorders>
              <w:top w:val="nil"/>
              <w:left w:val="nil"/>
              <w:bottom w:val="nil"/>
              <w:right w:val="nil"/>
            </w:tcBorders>
            <w:shd w:val="clear" w:color="auto" w:fill="auto"/>
            <w:noWrap/>
            <w:vAlign w:val="bottom"/>
            <w:hideMark/>
          </w:tcPr>
          <w:p w14:paraId="0A61495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PPR</w:t>
            </w:r>
          </w:p>
        </w:tc>
        <w:tc>
          <w:tcPr>
            <w:tcW w:w="8420" w:type="dxa"/>
            <w:tcBorders>
              <w:top w:val="nil"/>
              <w:left w:val="nil"/>
              <w:bottom w:val="nil"/>
              <w:right w:val="nil"/>
            </w:tcBorders>
            <w:shd w:val="clear" w:color="auto" w:fill="auto"/>
            <w:noWrap/>
            <w:vAlign w:val="bottom"/>
            <w:hideMark/>
          </w:tcPr>
          <w:p w14:paraId="5146D65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Prevención, Preparación y Respuesta</w:t>
            </w:r>
          </w:p>
        </w:tc>
      </w:tr>
      <w:tr w:rsidR="007B28B2" w:rsidRPr="007B28B2" w14:paraId="30BDF03A" w14:textId="77777777" w:rsidTr="007B28B2">
        <w:trPr>
          <w:trHeight w:val="288"/>
        </w:trPr>
        <w:tc>
          <w:tcPr>
            <w:tcW w:w="1033" w:type="dxa"/>
            <w:tcBorders>
              <w:top w:val="nil"/>
              <w:left w:val="nil"/>
              <w:bottom w:val="nil"/>
              <w:right w:val="nil"/>
            </w:tcBorders>
            <w:shd w:val="clear" w:color="auto" w:fill="auto"/>
            <w:noWrap/>
            <w:vAlign w:val="bottom"/>
            <w:hideMark/>
          </w:tcPr>
          <w:p w14:paraId="09B5219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PSA</w:t>
            </w:r>
          </w:p>
        </w:tc>
        <w:tc>
          <w:tcPr>
            <w:tcW w:w="8420" w:type="dxa"/>
            <w:tcBorders>
              <w:top w:val="nil"/>
              <w:left w:val="nil"/>
              <w:bottom w:val="nil"/>
              <w:right w:val="nil"/>
            </w:tcBorders>
            <w:shd w:val="clear" w:color="auto" w:fill="auto"/>
            <w:noWrap/>
            <w:vAlign w:val="bottom"/>
            <w:hideMark/>
          </w:tcPr>
          <w:p w14:paraId="04D66A7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Servicios Ambientales Hídricos</w:t>
            </w:r>
          </w:p>
        </w:tc>
      </w:tr>
      <w:tr w:rsidR="007B28B2" w:rsidRPr="007B28B2" w14:paraId="479FBCB5" w14:textId="77777777" w:rsidTr="007B28B2">
        <w:trPr>
          <w:trHeight w:val="288"/>
        </w:trPr>
        <w:tc>
          <w:tcPr>
            <w:tcW w:w="1033" w:type="dxa"/>
            <w:tcBorders>
              <w:top w:val="nil"/>
              <w:left w:val="nil"/>
              <w:bottom w:val="nil"/>
              <w:right w:val="nil"/>
            </w:tcBorders>
            <w:shd w:val="clear" w:color="auto" w:fill="auto"/>
            <w:noWrap/>
            <w:vAlign w:val="bottom"/>
            <w:hideMark/>
          </w:tcPr>
          <w:p w14:paraId="01B5BAF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PTAR</w:t>
            </w:r>
          </w:p>
        </w:tc>
        <w:tc>
          <w:tcPr>
            <w:tcW w:w="8420" w:type="dxa"/>
            <w:tcBorders>
              <w:top w:val="nil"/>
              <w:left w:val="nil"/>
              <w:bottom w:val="nil"/>
              <w:right w:val="nil"/>
            </w:tcBorders>
            <w:shd w:val="clear" w:color="auto" w:fill="auto"/>
            <w:noWrap/>
            <w:vAlign w:val="bottom"/>
            <w:hideMark/>
          </w:tcPr>
          <w:p w14:paraId="33D32E3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Planta de Tratamiento de Aguas Residuales</w:t>
            </w:r>
          </w:p>
        </w:tc>
      </w:tr>
      <w:tr w:rsidR="007B28B2" w:rsidRPr="007B28B2" w14:paraId="22125A0E" w14:textId="77777777" w:rsidTr="007B28B2">
        <w:trPr>
          <w:trHeight w:val="288"/>
        </w:trPr>
        <w:tc>
          <w:tcPr>
            <w:tcW w:w="1033" w:type="dxa"/>
            <w:tcBorders>
              <w:top w:val="nil"/>
              <w:left w:val="nil"/>
              <w:bottom w:val="nil"/>
              <w:right w:val="nil"/>
            </w:tcBorders>
            <w:shd w:val="clear" w:color="auto" w:fill="auto"/>
            <w:noWrap/>
            <w:vAlign w:val="bottom"/>
            <w:hideMark/>
          </w:tcPr>
          <w:p w14:paraId="5617515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PUAR</w:t>
            </w:r>
          </w:p>
        </w:tc>
        <w:tc>
          <w:tcPr>
            <w:tcW w:w="8420" w:type="dxa"/>
            <w:tcBorders>
              <w:top w:val="nil"/>
              <w:left w:val="nil"/>
              <w:bottom w:val="nil"/>
              <w:right w:val="nil"/>
            </w:tcBorders>
            <w:shd w:val="clear" w:color="auto" w:fill="auto"/>
            <w:noWrap/>
            <w:vAlign w:val="bottom"/>
            <w:hideMark/>
          </w:tcPr>
          <w:p w14:paraId="5798F59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Porcentaje de Población Urbana Afectada por Ruido</w:t>
            </w:r>
          </w:p>
        </w:tc>
      </w:tr>
      <w:tr w:rsidR="007B28B2" w:rsidRPr="007B28B2" w14:paraId="740A0B08" w14:textId="77777777" w:rsidTr="007B28B2">
        <w:trPr>
          <w:trHeight w:val="288"/>
        </w:trPr>
        <w:tc>
          <w:tcPr>
            <w:tcW w:w="1033" w:type="dxa"/>
            <w:tcBorders>
              <w:top w:val="nil"/>
              <w:left w:val="nil"/>
              <w:bottom w:val="nil"/>
              <w:right w:val="nil"/>
            </w:tcBorders>
            <w:shd w:val="clear" w:color="auto" w:fill="auto"/>
            <w:noWrap/>
            <w:vAlign w:val="bottom"/>
            <w:hideMark/>
          </w:tcPr>
          <w:p w14:paraId="3515876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RAPE</w:t>
            </w:r>
          </w:p>
        </w:tc>
        <w:tc>
          <w:tcPr>
            <w:tcW w:w="8420" w:type="dxa"/>
            <w:tcBorders>
              <w:top w:val="nil"/>
              <w:left w:val="nil"/>
              <w:bottom w:val="nil"/>
              <w:right w:val="nil"/>
            </w:tcBorders>
            <w:shd w:val="clear" w:color="auto" w:fill="auto"/>
            <w:noWrap/>
            <w:vAlign w:val="bottom"/>
            <w:hideMark/>
          </w:tcPr>
          <w:p w14:paraId="15F85CB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Región Administrativa y de Planeación Especial</w:t>
            </w:r>
          </w:p>
        </w:tc>
      </w:tr>
      <w:tr w:rsidR="007B28B2" w:rsidRPr="007B28B2" w14:paraId="403C7705" w14:textId="77777777" w:rsidTr="007B28B2">
        <w:trPr>
          <w:trHeight w:val="288"/>
        </w:trPr>
        <w:tc>
          <w:tcPr>
            <w:tcW w:w="1033" w:type="dxa"/>
            <w:tcBorders>
              <w:top w:val="nil"/>
              <w:left w:val="nil"/>
              <w:bottom w:val="nil"/>
              <w:right w:val="nil"/>
            </w:tcBorders>
            <w:shd w:val="clear" w:color="auto" w:fill="auto"/>
            <w:noWrap/>
            <w:vAlign w:val="bottom"/>
            <w:hideMark/>
          </w:tcPr>
          <w:p w14:paraId="40562C5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RCD</w:t>
            </w:r>
          </w:p>
        </w:tc>
        <w:tc>
          <w:tcPr>
            <w:tcW w:w="8420" w:type="dxa"/>
            <w:tcBorders>
              <w:top w:val="nil"/>
              <w:left w:val="nil"/>
              <w:bottom w:val="nil"/>
              <w:right w:val="nil"/>
            </w:tcBorders>
            <w:shd w:val="clear" w:color="auto" w:fill="auto"/>
            <w:noWrap/>
            <w:vAlign w:val="bottom"/>
            <w:hideMark/>
          </w:tcPr>
          <w:p w14:paraId="44EFD7F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Residuos de Construcción y Demolición</w:t>
            </w:r>
          </w:p>
        </w:tc>
      </w:tr>
      <w:tr w:rsidR="007B28B2" w:rsidRPr="007B28B2" w14:paraId="2B7C77DF" w14:textId="77777777" w:rsidTr="007B28B2">
        <w:trPr>
          <w:trHeight w:val="288"/>
        </w:trPr>
        <w:tc>
          <w:tcPr>
            <w:tcW w:w="1033" w:type="dxa"/>
            <w:tcBorders>
              <w:top w:val="nil"/>
              <w:left w:val="nil"/>
              <w:bottom w:val="nil"/>
              <w:right w:val="nil"/>
            </w:tcBorders>
            <w:shd w:val="clear" w:color="auto" w:fill="auto"/>
            <w:noWrap/>
            <w:vAlign w:val="bottom"/>
            <w:hideMark/>
          </w:tcPr>
          <w:p w14:paraId="6AAECA5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RCHV</w:t>
            </w:r>
          </w:p>
        </w:tc>
        <w:tc>
          <w:tcPr>
            <w:tcW w:w="8420" w:type="dxa"/>
            <w:tcBorders>
              <w:top w:val="nil"/>
              <w:left w:val="nil"/>
              <w:bottom w:val="nil"/>
              <w:right w:val="nil"/>
            </w:tcBorders>
            <w:shd w:val="clear" w:color="auto" w:fill="auto"/>
            <w:noWrap/>
            <w:vAlign w:val="bottom"/>
            <w:hideMark/>
          </w:tcPr>
          <w:p w14:paraId="4E94548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la red de calidad hídrica de Bogotá</w:t>
            </w:r>
          </w:p>
        </w:tc>
      </w:tr>
      <w:tr w:rsidR="007B28B2" w:rsidRPr="007B28B2" w14:paraId="30722373" w14:textId="77777777" w:rsidTr="007B28B2">
        <w:trPr>
          <w:trHeight w:val="288"/>
        </w:trPr>
        <w:tc>
          <w:tcPr>
            <w:tcW w:w="1033" w:type="dxa"/>
            <w:tcBorders>
              <w:top w:val="nil"/>
              <w:left w:val="nil"/>
              <w:bottom w:val="nil"/>
              <w:right w:val="nil"/>
            </w:tcBorders>
            <w:shd w:val="clear" w:color="auto" w:fill="auto"/>
            <w:noWrap/>
            <w:vAlign w:val="bottom"/>
            <w:hideMark/>
          </w:tcPr>
          <w:p w14:paraId="610F66E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RDH</w:t>
            </w:r>
          </w:p>
        </w:tc>
        <w:tc>
          <w:tcPr>
            <w:tcW w:w="8420" w:type="dxa"/>
            <w:tcBorders>
              <w:top w:val="nil"/>
              <w:left w:val="nil"/>
              <w:bottom w:val="nil"/>
              <w:right w:val="nil"/>
            </w:tcBorders>
            <w:shd w:val="clear" w:color="auto" w:fill="auto"/>
            <w:noWrap/>
            <w:vAlign w:val="bottom"/>
            <w:hideMark/>
          </w:tcPr>
          <w:p w14:paraId="26EB6AE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Reservas Distritales de Humedal</w:t>
            </w:r>
          </w:p>
        </w:tc>
      </w:tr>
      <w:tr w:rsidR="007B28B2" w:rsidRPr="007B28B2" w14:paraId="2DC061FB" w14:textId="77777777" w:rsidTr="007B28B2">
        <w:trPr>
          <w:trHeight w:val="288"/>
        </w:trPr>
        <w:tc>
          <w:tcPr>
            <w:tcW w:w="1033" w:type="dxa"/>
            <w:tcBorders>
              <w:top w:val="nil"/>
              <w:left w:val="nil"/>
              <w:bottom w:val="nil"/>
              <w:right w:val="nil"/>
            </w:tcBorders>
            <w:shd w:val="clear" w:color="auto" w:fill="auto"/>
            <w:noWrap/>
            <w:vAlign w:val="bottom"/>
            <w:hideMark/>
          </w:tcPr>
          <w:p w14:paraId="25C6B75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RenoBo</w:t>
            </w:r>
          </w:p>
        </w:tc>
        <w:tc>
          <w:tcPr>
            <w:tcW w:w="8420" w:type="dxa"/>
            <w:tcBorders>
              <w:top w:val="nil"/>
              <w:left w:val="nil"/>
              <w:bottom w:val="nil"/>
              <w:right w:val="nil"/>
            </w:tcBorders>
            <w:shd w:val="clear" w:color="auto" w:fill="auto"/>
            <w:noWrap/>
            <w:vAlign w:val="bottom"/>
            <w:hideMark/>
          </w:tcPr>
          <w:p w14:paraId="53743FC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Empresa de Renovación y Desarrollo Urbano de Bogotá</w:t>
            </w:r>
          </w:p>
        </w:tc>
      </w:tr>
      <w:tr w:rsidR="007B28B2" w:rsidRPr="007B28B2" w14:paraId="349D31DA" w14:textId="77777777" w:rsidTr="007B28B2">
        <w:trPr>
          <w:trHeight w:val="288"/>
        </w:trPr>
        <w:tc>
          <w:tcPr>
            <w:tcW w:w="1033" w:type="dxa"/>
            <w:tcBorders>
              <w:top w:val="nil"/>
              <w:left w:val="nil"/>
              <w:bottom w:val="nil"/>
              <w:right w:val="nil"/>
            </w:tcBorders>
            <w:shd w:val="clear" w:color="auto" w:fill="auto"/>
            <w:noWrap/>
            <w:vAlign w:val="bottom"/>
            <w:hideMark/>
          </w:tcPr>
          <w:p w14:paraId="487BB11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RIA</w:t>
            </w:r>
          </w:p>
        </w:tc>
        <w:tc>
          <w:tcPr>
            <w:tcW w:w="8420" w:type="dxa"/>
            <w:tcBorders>
              <w:top w:val="nil"/>
              <w:left w:val="nil"/>
              <w:bottom w:val="nil"/>
              <w:right w:val="nil"/>
            </w:tcBorders>
            <w:shd w:val="clear" w:color="auto" w:fill="auto"/>
            <w:noWrap/>
            <w:vAlign w:val="bottom"/>
            <w:hideMark/>
          </w:tcPr>
          <w:p w14:paraId="4C4600E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Rutas Integrales de Atención en Salud</w:t>
            </w:r>
          </w:p>
        </w:tc>
      </w:tr>
      <w:tr w:rsidR="007B28B2" w:rsidRPr="007B28B2" w14:paraId="2A95D536" w14:textId="77777777" w:rsidTr="007B28B2">
        <w:trPr>
          <w:trHeight w:val="288"/>
        </w:trPr>
        <w:tc>
          <w:tcPr>
            <w:tcW w:w="1033" w:type="dxa"/>
            <w:tcBorders>
              <w:top w:val="nil"/>
              <w:left w:val="nil"/>
              <w:bottom w:val="nil"/>
              <w:right w:val="nil"/>
            </w:tcBorders>
            <w:shd w:val="clear" w:color="auto" w:fill="auto"/>
            <w:noWrap/>
            <w:vAlign w:val="bottom"/>
            <w:hideMark/>
          </w:tcPr>
          <w:p w14:paraId="0D8E37D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RMBC</w:t>
            </w:r>
          </w:p>
        </w:tc>
        <w:tc>
          <w:tcPr>
            <w:tcW w:w="8420" w:type="dxa"/>
            <w:tcBorders>
              <w:top w:val="nil"/>
              <w:left w:val="nil"/>
              <w:bottom w:val="nil"/>
              <w:right w:val="nil"/>
            </w:tcBorders>
            <w:shd w:val="clear" w:color="auto" w:fill="auto"/>
            <w:noWrap/>
            <w:vAlign w:val="bottom"/>
            <w:hideMark/>
          </w:tcPr>
          <w:p w14:paraId="23FFE23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Región Metropolitana Bogotá Cundinamarca</w:t>
            </w:r>
          </w:p>
        </w:tc>
      </w:tr>
      <w:tr w:rsidR="007B28B2" w:rsidRPr="007B28B2" w14:paraId="7DAB0A14" w14:textId="77777777" w:rsidTr="007B28B2">
        <w:trPr>
          <w:trHeight w:val="288"/>
        </w:trPr>
        <w:tc>
          <w:tcPr>
            <w:tcW w:w="1033" w:type="dxa"/>
            <w:tcBorders>
              <w:top w:val="nil"/>
              <w:left w:val="nil"/>
              <w:bottom w:val="nil"/>
              <w:right w:val="nil"/>
            </w:tcBorders>
            <w:shd w:val="clear" w:color="auto" w:fill="auto"/>
            <w:noWrap/>
            <w:vAlign w:val="bottom"/>
            <w:hideMark/>
          </w:tcPr>
          <w:p w14:paraId="512136C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RNMC</w:t>
            </w:r>
          </w:p>
        </w:tc>
        <w:tc>
          <w:tcPr>
            <w:tcW w:w="8420" w:type="dxa"/>
            <w:tcBorders>
              <w:top w:val="nil"/>
              <w:left w:val="nil"/>
              <w:bottom w:val="nil"/>
              <w:right w:val="nil"/>
            </w:tcBorders>
            <w:shd w:val="clear" w:color="auto" w:fill="auto"/>
            <w:noWrap/>
            <w:vAlign w:val="bottom"/>
            <w:hideMark/>
          </w:tcPr>
          <w:p w14:paraId="024073E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Registro Nacional de Medidas Correctivas</w:t>
            </w:r>
          </w:p>
        </w:tc>
      </w:tr>
      <w:tr w:rsidR="007B28B2" w:rsidRPr="007B28B2" w14:paraId="5A553F24" w14:textId="77777777" w:rsidTr="007B28B2">
        <w:trPr>
          <w:trHeight w:val="288"/>
        </w:trPr>
        <w:tc>
          <w:tcPr>
            <w:tcW w:w="1033" w:type="dxa"/>
            <w:tcBorders>
              <w:top w:val="nil"/>
              <w:left w:val="nil"/>
              <w:bottom w:val="nil"/>
              <w:right w:val="nil"/>
            </w:tcBorders>
            <w:shd w:val="clear" w:color="auto" w:fill="auto"/>
            <w:noWrap/>
            <w:vAlign w:val="bottom"/>
            <w:hideMark/>
          </w:tcPr>
          <w:p w14:paraId="25AEA51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RUAF</w:t>
            </w:r>
          </w:p>
        </w:tc>
        <w:tc>
          <w:tcPr>
            <w:tcW w:w="8420" w:type="dxa"/>
            <w:tcBorders>
              <w:top w:val="nil"/>
              <w:left w:val="nil"/>
              <w:bottom w:val="nil"/>
              <w:right w:val="nil"/>
            </w:tcBorders>
            <w:shd w:val="clear" w:color="auto" w:fill="auto"/>
            <w:noWrap/>
            <w:vAlign w:val="bottom"/>
            <w:hideMark/>
          </w:tcPr>
          <w:p w14:paraId="37FF5B1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Registro Único de Afiliados</w:t>
            </w:r>
          </w:p>
        </w:tc>
      </w:tr>
      <w:tr w:rsidR="007B28B2" w:rsidRPr="007B28B2" w14:paraId="3C3A62E4" w14:textId="77777777" w:rsidTr="007B28B2">
        <w:trPr>
          <w:trHeight w:val="288"/>
        </w:trPr>
        <w:tc>
          <w:tcPr>
            <w:tcW w:w="1033" w:type="dxa"/>
            <w:tcBorders>
              <w:top w:val="nil"/>
              <w:left w:val="nil"/>
              <w:bottom w:val="nil"/>
              <w:right w:val="nil"/>
            </w:tcBorders>
            <w:shd w:val="clear" w:color="auto" w:fill="auto"/>
            <w:noWrap/>
            <w:vAlign w:val="bottom"/>
            <w:hideMark/>
          </w:tcPr>
          <w:p w14:paraId="1364291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RUV</w:t>
            </w:r>
          </w:p>
        </w:tc>
        <w:tc>
          <w:tcPr>
            <w:tcW w:w="8420" w:type="dxa"/>
            <w:tcBorders>
              <w:top w:val="nil"/>
              <w:left w:val="nil"/>
              <w:bottom w:val="nil"/>
              <w:right w:val="nil"/>
            </w:tcBorders>
            <w:shd w:val="clear" w:color="auto" w:fill="auto"/>
            <w:noWrap/>
            <w:vAlign w:val="bottom"/>
            <w:hideMark/>
          </w:tcPr>
          <w:p w14:paraId="0489F9A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Registro Único de Víctimas</w:t>
            </w:r>
          </w:p>
        </w:tc>
      </w:tr>
      <w:tr w:rsidR="007B28B2" w:rsidRPr="007B28B2" w14:paraId="390B0695" w14:textId="77777777" w:rsidTr="007B28B2">
        <w:trPr>
          <w:trHeight w:val="288"/>
        </w:trPr>
        <w:tc>
          <w:tcPr>
            <w:tcW w:w="1033" w:type="dxa"/>
            <w:tcBorders>
              <w:top w:val="nil"/>
              <w:left w:val="nil"/>
              <w:bottom w:val="nil"/>
              <w:right w:val="nil"/>
            </w:tcBorders>
            <w:shd w:val="clear" w:color="auto" w:fill="auto"/>
            <w:noWrap/>
            <w:vAlign w:val="bottom"/>
            <w:hideMark/>
          </w:tcPr>
          <w:p w14:paraId="26F090A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SDA</w:t>
            </w:r>
          </w:p>
        </w:tc>
        <w:tc>
          <w:tcPr>
            <w:tcW w:w="8420" w:type="dxa"/>
            <w:tcBorders>
              <w:top w:val="nil"/>
              <w:left w:val="nil"/>
              <w:bottom w:val="nil"/>
              <w:right w:val="nil"/>
            </w:tcBorders>
            <w:shd w:val="clear" w:color="auto" w:fill="auto"/>
            <w:noWrap/>
            <w:vAlign w:val="bottom"/>
            <w:hideMark/>
          </w:tcPr>
          <w:p w14:paraId="75EA4FF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Distrital de Ambiente</w:t>
            </w:r>
          </w:p>
        </w:tc>
      </w:tr>
      <w:tr w:rsidR="007B28B2" w:rsidRPr="007B28B2" w14:paraId="5BB861BD" w14:textId="77777777" w:rsidTr="007B28B2">
        <w:trPr>
          <w:trHeight w:val="288"/>
        </w:trPr>
        <w:tc>
          <w:tcPr>
            <w:tcW w:w="1033" w:type="dxa"/>
            <w:tcBorders>
              <w:top w:val="nil"/>
              <w:left w:val="nil"/>
              <w:bottom w:val="nil"/>
              <w:right w:val="nil"/>
            </w:tcBorders>
            <w:shd w:val="clear" w:color="auto" w:fill="auto"/>
            <w:noWrap/>
            <w:vAlign w:val="bottom"/>
            <w:hideMark/>
          </w:tcPr>
          <w:p w14:paraId="7708572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SDCRC</w:t>
            </w:r>
          </w:p>
        </w:tc>
        <w:tc>
          <w:tcPr>
            <w:tcW w:w="8420" w:type="dxa"/>
            <w:tcBorders>
              <w:top w:val="nil"/>
              <w:left w:val="nil"/>
              <w:bottom w:val="nil"/>
              <w:right w:val="nil"/>
            </w:tcBorders>
            <w:shd w:val="clear" w:color="auto" w:fill="auto"/>
            <w:noWrap/>
            <w:vAlign w:val="bottom"/>
            <w:hideMark/>
          </w:tcPr>
          <w:p w14:paraId="1605130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Distrital de Cultura, Recreación y Deporte</w:t>
            </w:r>
          </w:p>
        </w:tc>
      </w:tr>
      <w:tr w:rsidR="007B28B2" w:rsidRPr="007B28B2" w14:paraId="1B3B1FFF" w14:textId="77777777" w:rsidTr="007B28B2">
        <w:trPr>
          <w:trHeight w:val="288"/>
        </w:trPr>
        <w:tc>
          <w:tcPr>
            <w:tcW w:w="1033" w:type="dxa"/>
            <w:tcBorders>
              <w:top w:val="nil"/>
              <w:left w:val="nil"/>
              <w:bottom w:val="nil"/>
              <w:right w:val="nil"/>
            </w:tcBorders>
            <w:shd w:val="clear" w:color="auto" w:fill="auto"/>
            <w:noWrap/>
            <w:vAlign w:val="bottom"/>
            <w:hideMark/>
          </w:tcPr>
          <w:p w14:paraId="4B8A7A3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SDDE</w:t>
            </w:r>
          </w:p>
        </w:tc>
        <w:tc>
          <w:tcPr>
            <w:tcW w:w="8420" w:type="dxa"/>
            <w:tcBorders>
              <w:top w:val="nil"/>
              <w:left w:val="nil"/>
              <w:bottom w:val="nil"/>
              <w:right w:val="nil"/>
            </w:tcBorders>
            <w:shd w:val="clear" w:color="auto" w:fill="auto"/>
            <w:noWrap/>
            <w:vAlign w:val="bottom"/>
            <w:hideMark/>
          </w:tcPr>
          <w:p w14:paraId="1A7F285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Secretaria Distrital de Desarrollo Económico</w:t>
            </w:r>
          </w:p>
        </w:tc>
      </w:tr>
      <w:tr w:rsidR="007B28B2" w:rsidRPr="007B28B2" w14:paraId="380DE8A4" w14:textId="77777777" w:rsidTr="007B28B2">
        <w:trPr>
          <w:trHeight w:val="288"/>
        </w:trPr>
        <w:tc>
          <w:tcPr>
            <w:tcW w:w="1033" w:type="dxa"/>
            <w:tcBorders>
              <w:top w:val="nil"/>
              <w:left w:val="nil"/>
              <w:bottom w:val="nil"/>
              <w:right w:val="nil"/>
            </w:tcBorders>
            <w:shd w:val="clear" w:color="auto" w:fill="auto"/>
            <w:noWrap/>
            <w:vAlign w:val="bottom"/>
            <w:hideMark/>
          </w:tcPr>
          <w:p w14:paraId="4647285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SDE</w:t>
            </w:r>
          </w:p>
        </w:tc>
        <w:tc>
          <w:tcPr>
            <w:tcW w:w="8420" w:type="dxa"/>
            <w:tcBorders>
              <w:top w:val="nil"/>
              <w:left w:val="nil"/>
              <w:bottom w:val="nil"/>
              <w:right w:val="nil"/>
            </w:tcBorders>
            <w:shd w:val="clear" w:color="auto" w:fill="auto"/>
            <w:noWrap/>
            <w:vAlign w:val="bottom"/>
            <w:hideMark/>
          </w:tcPr>
          <w:p w14:paraId="32E28B7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Secretaria Distrital de Educación</w:t>
            </w:r>
          </w:p>
        </w:tc>
      </w:tr>
      <w:tr w:rsidR="007B28B2" w:rsidRPr="007B28B2" w14:paraId="1F874AD8" w14:textId="77777777" w:rsidTr="007B28B2">
        <w:trPr>
          <w:trHeight w:val="288"/>
        </w:trPr>
        <w:tc>
          <w:tcPr>
            <w:tcW w:w="1033" w:type="dxa"/>
            <w:tcBorders>
              <w:top w:val="nil"/>
              <w:left w:val="nil"/>
              <w:bottom w:val="nil"/>
              <w:right w:val="nil"/>
            </w:tcBorders>
            <w:shd w:val="clear" w:color="auto" w:fill="auto"/>
            <w:noWrap/>
            <w:vAlign w:val="bottom"/>
            <w:hideMark/>
          </w:tcPr>
          <w:p w14:paraId="08A2B83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lastRenderedPageBreak/>
              <w:t>SDG</w:t>
            </w:r>
          </w:p>
        </w:tc>
        <w:tc>
          <w:tcPr>
            <w:tcW w:w="8420" w:type="dxa"/>
            <w:tcBorders>
              <w:top w:val="nil"/>
              <w:left w:val="nil"/>
              <w:bottom w:val="nil"/>
              <w:right w:val="nil"/>
            </w:tcBorders>
            <w:shd w:val="clear" w:color="auto" w:fill="auto"/>
            <w:noWrap/>
            <w:vAlign w:val="bottom"/>
            <w:hideMark/>
          </w:tcPr>
          <w:p w14:paraId="6580F6C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Secretaria Distrital de Gobierno</w:t>
            </w:r>
          </w:p>
        </w:tc>
      </w:tr>
      <w:tr w:rsidR="007B28B2" w:rsidRPr="007B28B2" w14:paraId="49BA289A" w14:textId="77777777" w:rsidTr="007B28B2">
        <w:trPr>
          <w:trHeight w:val="288"/>
        </w:trPr>
        <w:tc>
          <w:tcPr>
            <w:tcW w:w="1033" w:type="dxa"/>
            <w:tcBorders>
              <w:top w:val="nil"/>
              <w:left w:val="nil"/>
              <w:bottom w:val="nil"/>
              <w:right w:val="nil"/>
            </w:tcBorders>
            <w:shd w:val="clear" w:color="auto" w:fill="auto"/>
            <w:noWrap/>
            <w:vAlign w:val="bottom"/>
            <w:hideMark/>
          </w:tcPr>
          <w:p w14:paraId="244EF63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SDGR-CC</w:t>
            </w:r>
          </w:p>
        </w:tc>
        <w:tc>
          <w:tcPr>
            <w:tcW w:w="8420" w:type="dxa"/>
            <w:tcBorders>
              <w:top w:val="nil"/>
              <w:left w:val="nil"/>
              <w:bottom w:val="nil"/>
              <w:right w:val="nil"/>
            </w:tcBorders>
            <w:shd w:val="clear" w:color="auto" w:fill="auto"/>
            <w:noWrap/>
            <w:vAlign w:val="bottom"/>
            <w:hideMark/>
          </w:tcPr>
          <w:p w14:paraId="044798B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Distrital de Gestión de Riesgos y Cambio Climático</w:t>
            </w:r>
          </w:p>
        </w:tc>
      </w:tr>
      <w:tr w:rsidR="007B28B2" w:rsidRPr="007B28B2" w14:paraId="32115B3D" w14:textId="77777777" w:rsidTr="007B28B2">
        <w:trPr>
          <w:trHeight w:val="288"/>
        </w:trPr>
        <w:tc>
          <w:tcPr>
            <w:tcW w:w="1033" w:type="dxa"/>
            <w:tcBorders>
              <w:top w:val="nil"/>
              <w:left w:val="nil"/>
              <w:bottom w:val="nil"/>
              <w:right w:val="nil"/>
            </w:tcBorders>
            <w:shd w:val="clear" w:color="auto" w:fill="auto"/>
            <w:noWrap/>
            <w:vAlign w:val="bottom"/>
            <w:hideMark/>
          </w:tcPr>
          <w:p w14:paraId="05B4756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SDH</w:t>
            </w:r>
          </w:p>
        </w:tc>
        <w:tc>
          <w:tcPr>
            <w:tcW w:w="8420" w:type="dxa"/>
            <w:tcBorders>
              <w:top w:val="nil"/>
              <w:left w:val="nil"/>
              <w:bottom w:val="nil"/>
              <w:right w:val="nil"/>
            </w:tcBorders>
            <w:shd w:val="clear" w:color="auto" w:fill="auto"/>
            <w:noWrap/>
            <w:vAlign w:val="bottom"/>
            <w:hideMark/>
          </w:tcPr>
          <w:p w14:paraId="7709125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Secretaria Distrital de Hacienda</w:t>
            </w:r>
          </w:p>
        </w:tc>
      </w:tr>
      <w:tr w:rsidR="007B28B2" w:rsidRPr="007B28B2" w14:paraId="598B4D8E" w14:textId="77777777" w:rsidTr="007B28B2">
        <w:trPr>
          <w:trHeight w:val="288"/>
        </w:trPr>
        <w:tc>
          <w:tcPr>
            <w:tcW w:w="1033" w:type="dxa"/>
            <w:tcBorders>
              <w:top w:val="nil"/>
              <w:left w:val="nil"/>
              <w:bottom w:val="nil"/>
              <w:right w:val="nil"/>
            </w:tcBorders>
            <w:shd w:val="clear" w:color="auto" w:fill="auto"/>
            <w:noWrap/>
            <w:vAlign w:val="bottom"/>
            <w:hideMark/>
          </w:tcPr>
          <w:p w14:paraId="5EE5FF8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SDHT</w:t>
            </w:r>
          </w:p>
        </w:tc>
        <w:tc>
          <w:tcPr>
            <w:tcW w:w="8420" w:type="dxa"/>
            <w:tcBorders>
              <w:top w:val="nil"/>
              <w:left w:val="nil"/>
              <w:bottom w:val="nil"/>
              <w:right w:val="nil"/>
            </w:tcBorders>
            <w:shd w:val="clear" w:color="auto" w:fill="auto"/>
            <w:noWrap/>
            <w:vAlign w:val="bottom"/>
            <w:hideMark/>
          </w:tcPr>
          <w:p w14:paraId="388821F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Distrital del Hábitat</w:t>
            </w:r>
          </w:p>
        </w:tc>
      </w:tr>
      <w:tr w:rsidR="007B28B2" w:rsidRPr="007B28B2" w14:paraId="17FAF2D9" w14:textId="77777777" w:rsidTr="007B28B2">
        <w:trPr>
          <w:trHeight w:val="288"/>
        </w:trPr>
        <w:tc>
          <w:tcPr>
            <w:tcW w:w="1033" w:type="dxa"/>
            <w:tcBorders>
              <w:top w:val="nil"/>
              <w:left w:val="nil"/>
              <w:bottom w:val="nil"/>
              <w:right w:val="nil"/>
            </w:tcBorders>
            <w:shd w:val="clear" w:color="auto" w:fill="auto"/>
            <w:noWrap/>
            <w:vAlign w:val="bottom"/>
            <w:hideMark/>
          </w:tcPr>
          <w:p w14:paraId="502B181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SDIS</w:t>
            </w:r>
          </w:p>
        </w:tc>
        <w:tc>
          <w:tcPr>
            <w:tcW w:w="8420" w:type="dxa"/>
            <w:tcBorders>
              <w:top w:val="nil"/>
              <w:left w:val="nil"/>
              <w:bottom w:val="nil"/>
              <w:right w:val="nil"/>
            </w:tcBorders>
            <w:shd w:val="clear" w:color="auto" w:fill="auto"/>
            <w:noWrap/>
            <w:vAlign w:val="bottom"/>
            <w:hideMark/>
          </w:tcPr>
          <w:p w14:paraId="20487D4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Secretaria Distrital de Integración Social</w:t>
            </w:r>
          </w:p>
        </w:tc>
      </w:tr>
      <w:tr w:rsidR="007B28B2" w:rsidRPr="007B28B2" w14:paraId="1B5F5DD1" w14:textId="77777777" w:rsidTr="007B28B2">
        <w:trPr>
          <w:trHeight w:val="288"/>
        </w:trPr>
        <w:tc>
          <w:tcPr>
            <w:tcW w:w="1033" w:type="dxa"/>
            <w:tcBorders>
              <w:top w:val="nil"/>
              <w:left w:val="nil"/>
              <w:bottom w:val="nil"/>
              <w:right w:val="nil"/>
            </w:tcBorders>
            <w:shd w:val="clear" w:color="auto" w:fill="auto"/>
            <w:noWrap/>
            <w:vAlign w:val="bottom"/>
            <w:hideMark/>
          </w:tcPr>
          <w:p w14:paraId="1143317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SDM</w:t>
            </w:r>
          </w:p>
        </w:tc>
        <w:tc>
          <w:tcPr>
            <w:tcW w:w="8420" w:type="dxa"/>
            <w:tcBorders>
              <w:top w:val="nil"/>
              <w:left w:val="nil"/>
              <w:bottom w:val="nil"/>
              <w:right w:val="nil"/>
            </w:tcBorders>
            <w:shd w:val="clear" w:color="auto" w:fill="auto"/>
            <w:noWrap/>
            <w:vAlign w:val="bottom"/>
            <w:hideMark/>
          </w:tcPr>
          <w:p w14:paraId="59CCA83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Distrital de Movilidad</w:t>
            </w:r>
          </w:p>
        </w:tc>
      </w:tr>
      <w:tr w:rsidR="007B28B2" w:rsidRPr="007B28B2" w14:paraId="2717873F" w14:textId="77777777" w:rsidTr="007B28B2">
        <w:trPr>
          <w:trHeight w:val="288"/>
        </w:trPr>
        <w:tc>
          <w:tcPr>
            <w:tcW w:w="1033" w:type="dxa"/>
            <w:tcBorders>
              <w:top w:val="nil"/>
              <w:left w:val="nil"/>
              <w:bottom w:val="nil"/>
              <w:right w:val="nil"/>
            </w:tcBorders>
            <w:shd w:val="clear" w:color="auto" w:fill="auto"/>
            <w:noWrap/>
            <w:vAlign w:val="bottom"/>
            <w:hideMark/>
          </w:tcPr>
          <w:p w14:paraId="349EE81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SDMujer</w:t>
            </w:r>
          </w:p>
        </w:tc>
        <w:tc>
          <w:tcPr>
            <w:tcW w:w="8420" w:type="dxa"/>
            <w:tcBorders>
              <w:top w:val="nil"/>
              <w:left w:val="nil"/>
              <w:bottom w:val="nil"/>
              <w:right w:val="nil"/>
            </w:tcBorders>
            <w:shd w:val="clear" w:color="auto" w:fill="auto"/>
            <w:noWrap/>
            <w:vAlign w:val="bottom"/>
            <w:hideMark/>
          </w:tcPr>
          <w:p w14:paraId="4F3B0AB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Distrital de la Mujer</w:t>
            </w:r>
          </w:p>
        </w:tc>
      </w:tr>
      <w:tr w:rsidR="007B28B2" w:rsidRPr="007B28B2" w14:paraId="25FA5345" w14:textId="77777777" w:rsidTr="007B28B2">
        <w:trPr>
          <w:trHeight w:val="288"/>
        </w:trPr>
        <w:tc>
          <w:tcPr>
            <w:tcW w:w="1033" w:type="dxa"/>
            <w:tcBorders>
              <w:top w:val="nil"/>
              <w:left w:val="nil"/>
              <w:bottom w:val="nil"/>
              <w:right w:val="nil"/>
            </w:tcBorders>
            <w:shd w:val="clear" w:color="auto" w:fill="auto"/>
            <w:noWrap/>
            <w:vAlign w:val="bottom"/>
            <w:hideMark/>
          </w:tcPr>
          <w:p w14:paraId="4CAC312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SDP</w:t>
            </w:r>
          </w:p>
        </w:tc>
        <w:tc>
          <w:tcPr>
            <w:tcW w:w="8420" w:type="dxa"/>
            <w:tcBorders>
              <w:top w:val="nil"/>
              <w:left w:val="nil"/>
              <w:bottom w:val="nil"/>
              <w:right w:val="nil"/>
            </w:tcBorders>
            <w:shd w:val="clear" w:color="auto" w:fill="auto"/>
            <w:noWrap/>
            <w:vAlign w:val="bottom"/>
            <w:hideMark/>
          </w:tcPr>
          <w:p w14:paraId="04E6D15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Distrital de Planeación</w:t>
            </w:r>
          </w:p>
        </w:tc>
      </w:tr>
      <w:tr w:rsidR="007B28B2" w:rsidRPr="007B28B2" w14:paraId="63585FDB" w14:textId="77777777" w:rsidTr="007B28B2">
        <w:trPr>
          <w:trHeight w:val="288"/>
        </w:trPr>
        <w:tc>
          <w:tcPr>
            <w:tcW w:w="1033" w:type="dxa"/>
            <w:tcBorders>
              <w:top w:val="nil"/>
              <w:left w:val="nil"/>
              <w:bottom w:val="nil"/>
              <w:right w:val="nil"/>
            </w:tcBorders>
            <w:shd w:val="clear" w:color="auto" w:fill="auto"/>
            <w:noWrap/>
            <w:vAlign w:val="bottom"/>
            <w:hideMark/>
          </w:tcPr>
          <w:p w14:paraId="0F59554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SDS</w:t>
            </w:r>
          </w:p>
        </w:tc>
        <w:tc>
          <w:tcPr>
            <w:tcW w:w="8420" w:type="dxa"/>
            <w:tcBorders>
              <w:top w:val="nil"/>
              <w:left w:val="nil"/>
              <w:bottom w:val="nil"/>
              <w:right w:val="nil"/>
            </w:tcBorders>
            <w:shd w:val="clear" w:color="auto" w:fill="auto"/>
            <w:noWrap/>
            <w:vAlign w:val="bottom"/>
            <w:hideMark/>
          </w:tcPr>
          <w:p w14:paraId="7129957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Secretaria Distrital de Salud</w:t>
            </w:r>
          </w:p>
        </w:tc>
      </w:tr>
      <w:tr w:rsidR="007B28B2" w:rsidRPr="007B28B2" w14:paraId="4DE264D7" w14:textId="77777777" w:rsidTr="007B28B2">
        <w:trPr>
          <w:trHeight w:val="288"/>
        </w:trPr>
        <w:tc>
          <w:tcPr>
            <w:tcW w:w="1033" w:type="dxa"/>
            <w:tcBorders>
              <w:top w:val="nil"/>
              <w:left w:val="nil"/>
              <w:bottom w:val="nil"/>
              <w:right w:val="nil"/>
            </w:tcBorders>
            <w:shd w:val="clear" w:color="auto" w:fill="auto"/>
            <w:noWrap/>
            <w:vAlign w:val="bottom"/>
            <w:hideMark/>
          </w:tcPr>
          <w:p w14:paraId="50623C2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SDSCJ</w:t>
            </w:r>
          </w:p>
        </w:tc>
        <w:tc>
          <w:tcPr>
            <w:tcW w:w="8420" w:type="dxa"/>
            <w:tcBorders>
              <w:top w:val="nil"/>
              <w:left w:val="nil"/>
              <w:bottom w:val="nil"/>
              <w:right w:val="nil"/>
            </w:tcBorders>
            <w:shd w:val="clear" w:color="auto" w:fill="auto"/>
            <w:noWrap/>
            <w:vAlign w:val="bottom"/>
            <w:hideMark/>
          </w:tcPr>
          <w:p w14:paraId="63ABB8E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Distrital de Seguridad, Convivencia y Justicia</w:t>
            </w:r>
          </w:p>
        </w:tc>
      </w:tr>
      <w:tr w:rsidR="007B28B2" w:rsidRPr="007B28B2" w14:paraId="5B27E838" w14:textId="77777777" w:rsidTr="007B28B2">
        <w:trPr>
          <w:trHeight w:val="288"/>
        </w:trPr>
        <w:tc>
          <w:tcPr>
            <w:tcW w:w="1033" w:type="dxa"/>
            <w:tcBorders>
              <w:top w:val="nil"/>
              <w:left w:val="nil"/>
              <w:bottom w:val="nil"/>
              <w:right w:val="nil"/>
            </w:tcBorders>
            <w:shd w:val="clear" w:color="auto" w:fill="auto"/>
            <w:noWrap/>
            <w:vAlign w:val="bottom"/>
            <w:hideMark/>
          </w:tcPr>
          <w:p w14:paraId="014378E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SENA</w:t>
            </w:r>
          </w:p>
        </w:tc>
        <w:tc>
          <w:tcPr>
            <w:tcW w:w="8420" w:type="dxa"/>
            <w:tcBorders>
              <w:top w:val="nil"/>
              <w:left w:val="nil"/>
              <w:bottom w:val="nil"/>
              <w:right w:val="nil"/>
            </w:tcBorders>
            <w:shd w:val="clear" w:color="auto" w:fill="auto"/>
            <w:noWrap/>
            <w:vAlign w:val="bottom"/>
            <w:hideMark/>
          </w:tcPr>
          <w:p w14:paraId="148205D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Servicio Nacional de Aprendizaje</w:t>
            </w:r>
          </w:p>
        </w:tc>
      </w:tr>
      <w:tr w:rsidR="007B28B2" w:rsidRPr="007B28B2" w14:paraId="70651B86" w14:textId="77777777" w:rsidTr="007B28B2">
        <w:trPr>
          <w:trHeight w:val="288"/>
        </w:trPr>
        <w:tc>
          <w:tcPr>
            <w:tcW w:w="1033" w:type="dxa"/>
            <w:tcBorders>
              <w:top w:val="nil"/>
              <w:left w:val="nil"/>
              <w:bottom w:val="nil"/>
              <w:right w:val="nil"/>
            </w:tcBorders>
            <w:shd w:val="clear" w:color="auto" w:fill="auto"/>
            <w:noWrap/>
            <w:vAlign w:val="bottom"/>
            <w:hideMark/>
          </w:tcPr>
          <w:p w14:paraId="2504982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SICON</w:t>
            </w:r>
          </w:p>
        </w:tc>
        <w:tc>
          <w:tcPr>
            <w:tcW w:w="8420" w:type="dxa"/>
            <w:tcBorders>
              <w:top w:val="nil"/>
              <w:left w:val="nil"/>
              <w:bottom w:val="nil"/>
              <w:right w:val="nil"/>
            </w:tcBorders>
            <w:shd w:val="clear" w:color="auto" w:fill="auto"/>
            <w:noWrap/>
            <w:vAlign w:val="bottom"/>
            <w:hideMark/>
          </w:tcPr>
          <w:p w14:paraId="3C4CFBC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Convocatorias</w:t>
            </w:r>
          </w:p>
        </w:tc>
      </w:tr>
      <w:tr w:rsidR="007B28B2" w:rsidRPr="007B28B2" w14:paraId="570A761C" w14:textId="77777777" w:rsidTr="007B28B2">
        <w:trPr>
          <w:trHeight w:val="288"/>
        </w:trPr>
        <w:tc>
          <w:tcPr>
            <w:tcW w:w="1033" w:type="dxa"/>
            <w:tcBorders>
              <w:top w:val="nil"/>
              <w:left w:val="nil"/>
              <w:bottom w:val="nil"/>
              <w:right w:val="nil"/>
            </w:tcBorders>
            <w:shd w:val="clear" w:color="auto" w:fill="auto"/>
            <w:noWrap/>
            <w:vAlign w:val="bottom"/>
            <w:hideMark/>
          </w:tcPr>
          <w:p w14:paraId="71DDD00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SIEDCO</w:t>
            </w:r>
          </w:p>
        </w:tc>
        <w:tc>
          <w:tcPr>
            <w:tcW w:w="8420" w:type="dxa"/>
            <w:tcBorders>
              <w:top w:val="nil"/>
              <w:left w:val="nil"/>
              <w:bottom w:val="nil"/>
              <w:right w:val="nil"/>
            </w:tcBorders>
            <w:shd w:val="clear" w:color="auto" w:fill="auto"/>
            <w:noWrap/>
            <w:vAlign w:val="bottom"/>
            <w:hideMark/>
          </w:tcPr>
          <w:p w14:paraId="6582693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Información Estadístico Delictivo Contravencional y Operativo</w:t>
            </w:r>
          </w:p>
        </w:tc>
      </w:tr>
      <w:tr w:rsidR="007B28B2" w:rsidRPr="007B28B2" w14:paraId="1F70A1F8" w14:textId="77777777" w:rsidTr="007B28B2">
        <w:trPr>
          <w:trHeight w:val="288"/>
        </w:trPr>
        <w:tc>
          <w:tcPr>
            <w:tcW w:w="1033" w:type="dxa"/>
            <w:tcBorders>
              <w:top w:val="nil"/>
              <w:left w:val="nil"/>
              <w:bottom w:val="nil"/>
              <w:right w:val="nil"/>
            </w:tcBorders>
            <w:shd w:val="clear" w:color="auto" w:fill="auto"/>
            <w:noWrap/>
            <w:vAlign w:val="bottom"/>
            <w:hideMark/>
          </w:tcPr>
          <w:p w14:paraId="4761ECE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 xml:space="preserve">SIET </w:t>
            </w:r>
          </w:p>
        </w:tc>
        <w:tc>
          <w:tcPr>
            <w:tcW w:w="8420" w:type="dxa"/>
            <w:tcBorders>
              <w:top w:val="nil"/>
              <w:left w:val="nil"/>
              <w:bottom w:val="nil"/>
              <w:right w:val="nil"/>
            </w:tcBorders>
            <w:shd w:val="clear" w:color="auto" w:fill="auto"/>
            <w:noWrap/>
            <w:vAlign w:val="bottom"/>
            <w:hideMark/>
          </w:tcPr>
          <w:p w14:paraId="12CB61B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Informacion de la Educación para el Trabajo y el Desarrollo Humano</w:t>
            </w:r>
          </w:p>
        </w:tc>
      </w:tr>
      <w:tr w:rsidR="007B28B2" w:rsidRPr="007B28B2" w14:paraId="3379FF22" w14:textId="77777777" w:rsidTr="007B28B2">
        <w:trPr>
          <w:trHeight w:val="288"/>
        </w:trPr>
        <w:tc>
          <w:tcPr>
            <w:tcW w:w="1033" w:type="dxa"/>
            <w:tcBorders>
              <w:top w:val="nil"/>
              <w:left w:val="nil"/>
              <w:bottom w:val="nil"/>
              <w:right w:val="nil"/>
            </w:tcBorders>
            <w:shd w:val="clear" w:color="auto" w:fill="auto"/>
            <w:noWrap/>
            <w:vAlign w:val="bottom"/>
            <w:hideMark/>
          </w:tcPr>
          <w:p w14:paraId="3F025D9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SIGAT</w:t>
            </w:r>
          </w:p>
        </w:tc>
        <w:tc>
          <w:tcPr>
            <w:tcW w:w="8420" w:type="dxa"/>
            <w:tcBorders>
              <w:top w:val="nil"/>
              <w:left w:val="nil"/>
              <w:bottom w:val="nil"/>
              <w:right w:val="nil"/>
            </w:tcBorders>
            <w:shd w:val="clear" w:color="auto" w:fill="auto"/>
            <w:noWrap/>
            <w:vAlign w:val="bottom"/>
            <w:hideMark/>
          </w:tcPr>
          <w:p w14:paraId="58CC5F8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Información Geográfico de Accidentes de Tránsito</w:t>
            </w:r>
          </w:p>
        </w:tc>
      </w:tr>
      <w:tr w:rsidR="007B28B2" w:rsidRPr="007B28B2" w14:paraId="5E437A6D" w14:textId="77777777" w:rsidTr="007B28B2">
        <w:trPr>
          <w:trHeight w:val="288"/>
        </w:trPr>
        <w:tc>
          <w:tcPr>
            <w:tcW w:w="1033" w:type="dxa"/>
            <w:tcBorders>
              <w:top w:val="nil"/>
              <w:left w:val="nil"/>
              <w:bottom w:val="nil"/>
              <w:right w:val="nil"/>
            </w:tcBorders>
            <w:shd w:val="clear" w:color="auto" w:fill="auto"/>
            <w:noWrap/>
            <w:vAlign w:val="bottom"/>
            <w:hideMark/>
          </w:tcPr>
          <w:p w14:paraId="6A3D988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SIGCIM</w:t>
            </w:r>
          </w:p>
        </w:tc>
        <w:tc>
          <w:tcPr>
            <w:tcW w:w="8420" w:type="dxa"/>
            <w:tcBorders>
              <w:top w:val="nil"/>
              <w:left w:val="nil"/>
              <w:bottom w:val="nil"/>
              <w:right w:val="nil"/>
            </w:tcBorders>
            <w:shd w:val="clear" w:color="auto" w:fill="auto"/>
            <w:noWrap/>
            <w:vAlign w:val="bottom"/>
            <w:hideMark/>
          </w:tcPr>
          <w:p w14:paraId="5812A4A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Plan Integral jurídico y operativo de Gobernanza, Coordinación e Integración Multinivel</w:t>
            </w:r>
          </w:p>
        </w:tc>
      </w:tr>
      <w:tr w:rsidR="007B28B2" w:rsidRPr="007B28B2" w14:paraId="0436D229" w14:textId="77777777" w:rsidTr="007B28B2">
        <w:trPr>
          <w:trHeight w:val="288"/>
        </w:trPr>
        <w:tc>
          <w:tcPr>
            <w:tcW w:w="1033" w:type="dxa"/>
            <w:tcBorders>
              <w:top w:val="nil"/>
              <w:left w:val="nil"/>
              <w:bottom w:val="nil"/>
              <w:right w:val="nil"/>
            </w:tcBorders>
            <w:shd w:val="clear" w:color="auto" w:fill="auto"/>
            <w:noWrap/>
            <w:vAlign w:val="bottom"/>
            <w:hideMark/>
          </w:tcPr>
          <w:p w14:paraId="5DBC86A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SIMAT</w:t>
            </w:r>
          </w:p>
        </w:tc>
        <w:tc>
          <w:tcPr>
            <w:tcW w:w="8420" w:type="dxa"/>
            <w:tcBorders>
              <w:top w:val="nil"/>
              <w:left w:val="nil"/>
              <w:bottom w:val="nil"/>
              <w:right w:val="nil"/>
            </w:tcBorders>
            <w:shd w:val="clear" w:color="auto" w:fill="auto"/>
            <w:noWrap/>
            <w:vAlign w:val="bottom"/>
            <w:hideMark/>
          </w:tcPr>
          <w:p w14:paraId="2487AE4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Integrado de Matriculas Estudiantil</w:t>
            </w:r>
          </w:p>
        </w:tc>
      </w:tr>
      <w:tr w:rsidR="007B28B2" w:rsidRPr="007B28B2" w14:paraId="4A045525" w14:textId="77777777" w:rsidTr="007B28B2">
        <w:trPr>
          <w:trHeight w:val="288"/>
        </w:trPr>
        <w:tc>
          <w:tcPr>
            <w:tcW w:w="1033" w:type="dxa"/>
            <w:tcBorders>
              <w:top w:val="nil"/>
              <w:left w:val="nil"/>
              <w:bottom w:val="nil"/>
              <w:right w:val="nil"/>
            </w:tcBorders>
            <w:shd w:val="clear" w:color="auto" w:fill="auto"/>
            <w:noWrap/>
            <w:vAlign w:val="bottom"/>
            <w:hideMark/>
          </w:tcPr>
          <w:p w14:paraId="462930F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SIPROJ</w:t>
            </w:r>
          </w:p>
        </w:tc>
        <w:tc>
          <w:tcPr>
            <w:tcW w:w="8420" w:type="dxa"/>
            <w:tcBorders>
              <w:top w:val="nil"/>
              <w:left w:val="nil"/>
              <w:bottom w:val="nil"/>
              <w:right w:val="nil"/>
            </w:tcBorders>
            <w:shd w:val="clear" w:color="auto" w:fill="auto"/>
            <w:noWrap/>
            <w:vAlign w:val="bottom"/>
            <w:hideMark/>
          </w:tcPr>
          <w:p w14:paraId="3548EEF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Información de procesos judiciales</w:t>
            </w:r>
          </w:p>
        </w:tc>
      </w:tr>
      <w:tr w:rsidR="007B28B2" w:rsidRPr="007B28B2" w14:paraId="282581B6" w14:textId="77777777" w:rsidTr="007B28B2">
        <w:trPr>
          <w:trHeight w:val="288"/>
        </w:trPr>
        <w:tc>
          <w:tcPr>
            <w:tcW w:w="1033" w:type="dxa"/>
            <w:tcBorders>
              <w:top w:val="nil"/>
              <w:left w:val="nil"/>
              <w:bottom w:val="nil"/>
              <w:right w:val="nil"/>
            </w:tcBorders>
            <w:shd w:val="clear" w:color="auto" w:fill="auto"/>
            <w:noWrap/>
            <w:vAlign w:val="bottom"/>
            <w:hideMark/>
          </w:tcPr>
          <w:p w14:paraId="234336F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SIRDEC</w:t>
            </w:r>
          </w:p>
        </w:tc>
        <w:tc>
          <w:tcPr>
            <w:tcW w:w="8420" w:type="dxa"/>
            <w:tcBorders>
              <w:top w:val="nil"/>
              <w:left w:val="nil"/>
              <w:bottom w:val="nil"/>
              <w:right w:val="nil"/>
            </w:tcBorders>
            <w:shd w:val="clear" w:color="auto" w:fill="auto"/>
            <w:noWrap/>
            <w:vAlign w:val="bottom"/>
            <w:hideMark/>
          </w:tcPr>
          <w:p w14:paraId="64A1A43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Información Red de Desaparecidos y Cadáveres</w:t>
            </w:r>
          </w:p>
        </w:tc>
      </w:tr>
      <w:tr w:rsidR="007B28B2" w:rsidRPr="007B28B2" w14:paraId="45B394BF" w14:textId="77777777" w:rsidTr="007B28B2">
        <w:trPr>
          <w:trHeight w:val="288"/>
        </w:trPr>
        <w:tc>
          <w:tcPr>
            <w:tcW w:w="1033" w:type="dxa"/>
            <w:tcBorders>
              <w:top w:val="nil"/>
              <w:left w:val="nil"/>
              <w:bottom w:val="nil"/>
              <w:right w:val="nil"/>
            </w:tcBorders>
            <w:shd w:val="clear" w:color="auto" w:fill="auto"/>
            <w:noWrap/>
            <w:vAlign w:val="bottom"/>
            <w:hideMark/>
          </w:tcPr>
          <w:p w14:paraId="41EDF1A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SIRE</w:t>
            </w:r>
          </w:p>
        </w:tc>
        <w:tc>
          <w:tcPr>
            <w:tcW w:w="8420" w:type="dxa"/>
            <w:tcBorders>
              <w:top w:val="nil"/>
              <w:left w:val="nil"/>
              <w:bottom w:val="nil"/>
              <w:right w:val="nil"/>
            </w:tcBorders>
            <w:shd w:val="clear" w:color="auto" w:fill="auto"/>
            <w:noWrap/>
            <w:vAlign w:val="bottom"/>
            <w:hideMark/>
          </w:tcPr>
          <w:p w14:paraId="605C083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Información para la Gestión del Riesgo y Cambio Climático</w:t>
            </w:r>
          </w:p>
        </w:tc>
      </w:tr>
      <w:tr w:rsidR="007B28B2" w:rsidRPr="007B28B2" w14:paraId="1BA798F3" w14:textId="77777777" w:rsidTr="007B28B2">
        <w:trPr>
          <w:trHeight w:val="288"/>
        </w:trPr>
        <w:tc>
          <w:tcPr>
            <w:tcW w:w="1033" w:type="dxa"/>
            <w:tcBorders>
              <w:top w:val="nil"/>
              <w:left w:val="nil"/>
              <w:bottom w:val="nil"/>
              <w:right w:val="nil"/>
            </w:tcBorders>
            <w:shd w:val="clear" w:color="auto" w:fill="auto"/>
            <w:noWrap/>
            <w:vAlign w:val="bottom"/>
            <w:hideMark/>
          </w:tcPr>
          <w:p w14:paraId="155E45C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SISE</w:t>
            </w:r>
          </w:p>
        </w:tc>
        <w:tc>
          <w:tcPr>
            <w:tcW w:w="8420" w:type="dxa"/>
            <w:tcBorders>
              <w:top w:val="nil"/>
              <w:left w:val="nil"/>
              <w:bottom w:val="nil"/>
              <w:right w:val="nil"/>
            </w:tcBorders>
            <w:shd w:val="clear" w:color="auto" w:fill="auto"/>
            <w:noWrap/>
            <w:vAlign w:val="bottom"/>
            <w:hideMark/>
          </w:tcPr>
          <w:p w14:paraId="5CA75CF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Información del Servicio Público de Empleo</w:t>
            </w:r>
          </w:p>
        </w:tc>
      </w:tr>
      <w:tr w:rsidR="007B28B2" w:rsidRPr="007B28B2" w14:paraId="6F870708" w14:textId="77777777" w:rsidTr="007B28B2">
        <w:trPr>
          <w:trHeight w:val="288"/>
        </w:trPr>
        <w:tc>
          <w:tcPr>
            <w:tcW w:w="1033" w:type="dxa"/>
            <w:tcBorders>
              <w:top w:val="nil"/>
              <w:left w:val="nil"/>
              <w:bottom w:val="nil"/>
              <w:right w:val="nil"/>
            </w:tcBorders>
            <w:shd w:val="clear" w:color="auto" w:fill="auto"/>
            <w:noWrap/>
            <w:vAlign w:val="bottom"/>
            <w:hideMark/>
          </w:tcPr>
          <w:p w14:paraId="07A374D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SISVAN</w:t>
            </w:r>
          </w:p>
        </w:tc>
        <w:tc>
          <w:tcPr>
            <w:tcW w:w="8420" w:type="dxa"/>
            <w:tcBorders>
              <w:top w:val="nil"/>
              <w:left w:val="nil"/>
              <w:bottom w:val="nil"/>
              <w:right w:val="nil"/>
            </w:tcBorders>
            <w:shd w:val="clear" w:color="auto" w:fill="auto"/>
            <w:noWrap/>
            <w:vAlign w:val="bottom"/>
            <w:hideMark/>
          </w:tcPr>
          <w:p w14:paraId="24C6891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Vigilancia Alimentario y Nutricional</w:t>
            </w:r>
          </w:p>
        </w:tc>
      </w:tr>
      <w:tr w:rsidR="007B28B2" w:rsidRPr="007B28B2" w14:paraId="0A836ABA" w14:textId="77777777" w:rsidTr="007B28B2">
        <w:trPr>
          <w:trHeight w:val="288"/>
        </w:trPr>
        <w:tc>
          <w:tcPr>
            <w:tcW w:w="1033" w:type="dxa"/>
            <w:tcBorders>
              <w:top w:val="nil"/>
              <w:left w:val="nil"/>
              <w:bottom w:val="nil"/>
              <w:right w:val="nil"/>
            </w:tcBorders>
            <w:shd w:val="clear" w:color="auto" w:fill="auto"/>
            <w:noWrap/>
            <w:vAlign w:val="bottom"/>
            <w:hideMark/>
          </w:tcPr>
          <w:p w14:paraId="2A25B48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SISVECOS</w:t>
            </w:r>
          </w:p>
        </w:tc>
        <w:tc>
          <w:tcPr>
            <w:tcW w:w="8420" w:type="dxa"/>
            <w:tcBorders>
              <w:top w:val="nil"/>
              <w:left w:val="nil"/>
              <w:bottom w:val="nil"/>
              <w:right w:val="nil"/>
            </w:tcBorders>
            <w:shd w:val="clear" w:color="auto" w:fill="auto"/>
            <w:noWrap/>
            <w:vAlign w:val="bottom"/>
            <w:hideMark/>
          </w:tcPr>
          <w:p w14:paraId="038B1A7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Subsistema de Vigilancia Epidemiológica de la Conducta Suicida</w:t>
            </w:r>
          </w:p>
        </w:tc>
      </w:tr>
      <w:tr w:rsidR="007B28B2" w:rsidRPr="007B28B2" w14:paraId="4070E845" w14:textId="77777777" w:rsidTr="007B28B2">
        <w:trPr>
          <w:trHeight w:val="288"/>
        </w:trPr>
        <w:tc>
          <w:tcPr>
            <w:tcW w:w="1033" w:type="dxa"/>
            <w:tcBorders>
              <w:top w:val="nil"/>
              <w:left w:val="nil"/>
              <w:bottom w:val="nil"/>
              <w:right w:val="nil"/>
            </w:tcBorders>
            <w:shd w:val="clear" w:color="auto" w:fill="auto"/>
            <w:noWrap/>
            <w:vAlign w:val="bottom"/>
            <w:hideMark/>
          </w:tcPr>
          <w:p w14:paraId="6EA2221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SITP</w:t>
            </w:r>
          </w:p>
        </w:tc>
        <w:tc>
          <w:tcPr>
            <w:tcW w:w="8420" w:type="dxa"/>
            <w:tcBorders>
              <w:top w:val="nil"/>
              <w:left w:val="nil"/>
              <w:bottom w:val="nil"/>
              <w:right w:val="nil"/>
            </w:tcBorders>
            <w:shd w:val="clear" w:color="auto" w:fill="auto"/>
            <w:noWrap/>
            <w:vAlign w:val="bottom"/>
            <w:hideMark/>
          </w:tcPr>
          <w:p w14:paraId="5D02688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Integrado de Transporte de Bogotá</w:t>
            </w:r>
          </w:p>
        </w:tc>
      </w:tr>
      <w:tr w:rsidR="007B28B2" w:rsidRPr="007B28B2" w14:paraId="6087BAD5" w14:textId="77777777" w:rsidTr="007B28B2">
        <w:trPr>
          <w:trHeight w:val="288"/>
        </w:trPr>
        <w:tc>
          <w:tcPr>
            <w:tcW w:w="1033" w:type="dxa"/>
            <w:tcBorders>
              <w:top w:val="nil"/>
              <w:left w:val="nil"/>
              <w:bottom w:val="nil"/>
              <w:right w:val="nil"/>
            </w:tcBorders>
            <w:shd w:val="clear" w:color="auto" w:fill="auto"/>
            <w:noWrap/>
            <w:vAlign w:val="bottom"/>
            <w:hideMark/>
          </w:tcPr>
          <w:p w14:paraId="468B881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SIVIGILA</w:t>
            </w:r>
          </w:p>
        </w:tc>
        <w:tc>
          <w:tcPr>
            <w:tcW w:w="8420" w:type="dxa"/>
            <w:tcBorders>
              <w:top w:val="nil"/>
              <w:left w:val="nil"/>
              <w:bottom w:val="nil"/>
              <w:right w:val="nil"/>
            </w:tcBorders>
            <w:shd w:val="clear" w:color="auto" w:fill="auto"/>
            <w:noWrap/>
            <w:vAlign w:val="bottom"/>
            <w:hideMark/>
          </w:tcPr>
          <w:p w14:paraId="71F1B3B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Nacional de Vigilancia en Salud Pública</w:t>
            </w:r>
          </w:p>
        </w:tc>
      </w:tr>
      <w:tr w:rsidR="007B28B2" w:rsidRPr="007B28B2" w14:paraId="180C51CC" w14:textId="77777777" w:rsidTr="007B28B2">
        <w:trPr>
          <w:trHeight w:val="288"/>
        </w:trPr>
        <w:tc>
          <w:tcPr>
            <w:tcW w:w="1033" w:type="dxa"/>
            <w:tcBorders>
              <w:top w:val="nil"/>
              <w:left w:val="nil"/>
              <w:bottom w:val="nil"/>
              <w:right w:val="nil"/>
            </w:tcBorders>
            <w:shd w:val="clear" w:color="auto" w:fill="auto"/>
            <w:noWrap/>
            <w:vAlign w:val="bottom"/>
            <w:hideMark/>
          </w:tcPr>
          <w:p w14:paraId="5217714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SIVIM</w:t>
            </w:r>
          </w:p>
        </w:tc>
        <w:tc>
          <w:tcPr>
            <w:tcW w:w="8420" w:type="dxa"/>
            <w:tcBorders>
              <w:top w:val="nil"/>
              <w:left w:val="nil"/>
              <w:bottom w:val="nil"/>
              <w:right w:val="nil"/>
            </w:tcBorders>
            <w:shd w:val="clear" w:color="auto" w:fill="auto"/>
            <w:noWrap/>
            <w:vAlign w:val="bottom"/>
            <w:hideMark/>
          </w:tcPr>
          <w:p w14:paraId="6862240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Subsistema de Vigilancia de Violencia intrafamiliar, Maltrato infantil y Violencia sexual</w:t>
            </w:r>
          </w:p>
        </w:tc>
      </w:tr>
      <w:tr w:rsidR="007B28B2" w:rsidRPr="007B28B2" w14:paraId="6C17C74A" w14:textId="77777777" w:rsidTr="007B28B2">
        <w:trPr>
          <w:trHeight w:val="288"/>
        </w:trPr>
        <w:tc>
          <w:tcPr>
            <w:tcW w:w="1033" w:type="dxa"/>
            <w:tcBorders>
              <w:top w:val="nil"/>
              <w:left w:val="nil"/>
              <w:bottom w:val="nil"/>
              <w:right w:val="nil"/>
            </w:tcBorders>
            <w:shd w:val="clear" w:color="auto" w:fill="auto"/>
            <w:noWrap/>
            <w:vAlign w:val="bottom"/>
            <w:hideMark/>
          </w:tcPr>
          <w:p w14:paraId="2BAAB64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SJD</w:t>
            </w:r>
          </w:p>
        </w:tc>
        <w:tc>
          <w:tcPr>
            <w:tcW w:w="8420" w:type="dxa"/>
            <w:tcBorders>
              <w:top w:val="nil"/>
              <w:left w:val="nil"/>
              <w:bottom w:val="nil"/>
              <w:right w:val="nil"/>
            </w:tcBorders>
            <w:shd w:val="clear" w:color="auto" w:fill="auto"/>
            <w:noWrap/>
            <w:vAlign w:val="bottom"/>
            <w:hideMark/>
          </w:tcPr>
          <w:p w14:paraId="4F1ECFD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Secretaría Jurídica Distrital</w:t>
            </w:r>
          </w:p>
        </w:tc>
      </w:tr>
      <w:tr w:rsidR="007B28B2" w:rsidRPr="007B28B2" w14:paraId="79132028" w14:textId="77777777" w:rsidTr="007B28B2">
        <w:trPr>
          <w:trHeight w:val="288"/>
        </w:trPr>
        <w:tc>
          <w:tcPr>
            <w:tcW w:w="1033" w:type="dxa"/>
            <w:tcBorders>
              <w:top w:val="nil"/>
              <w:left w:val="nil"/>
              <w:bottom w:val="nil"/>
              <w:right w:val="nil"/>
            </w:tcBorders>
            <w:shd w:val="clear" w:color="auto" w:fill="auto"/>
            <w:noWrap/>
            <w:vAlign w:val="bottom"/>
            <w:hideMark/>
          </w:tcPr>
          <w:p w14:paraId="6745427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SMMLV</w:t>
            </w:r>
          </w:p>
        </w:tc>
        <w:tc>
          <w:tcPr>
            <w:tcW w:w="8420" w:type="dxa"/>
            <w:tcBorders>
              <w:top w:val="nil"/>
              <w:left w:val="nil"/>
              <w:bottom w:val="nil"/>
              <w:right w:val="nil"/>
            </w:tcBorders>
            <w:shd w:val="clear" w:color="auto" w:fill="auto"/>
            <w:noWrap/>
            <w:vAlign w:val="bottom"/>
            <w:hideMark/>
          </w:tcPr>
          <w:p w14:paraId="6713AE5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Salario Mínimo Mensual Legal Vigente</w:t>
            </w:r>
          </w:p>
        </w:tc>
      </w:tr>
      <w:tr w:rsidR="007B28B2" w:rsidRPr="007B28B2" w14:paraId="5BA5582B" w14:textId="77777777" w:rsidTr="007B28B2">
        <w:trPr>
          <w:trHeight w:val="288"/>
        </w:trPr>
        <w:tc>
          <w:tcPr>
            <w:tcW w:w="1033" w:type="dxa"/>
            <w:tcBorders>
              <w:top w:val="nil"/>
              <w:left w:val="nil"/>
              <w:bottom w:val="nil"/>
              <w:right w:val="nil"/>
            </w:tcBorders>
            <w:shd w:val="clear" w:color="auto" w:fill="auto"/>
            <w:noWrap/>
            <w:vAlign w:val="bottom"/>
            <w:hideMark/>
          </w:tcPr>
          <w:p w14:paraId="6DC58A5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SNIES</w:t>
            </w:r>
          </w:p>
        </w:tc>
        <w:tc>
          <w:tcPr>
            <w:tcW w:w="8420" w:type="dxa"/>
            <w:tcBorders>
              <w:top w:val="nil"/>
              <w:left w:val="nil"/>
              <w:bottom w:val="nil"/>
              <w:right w:val="nil"/>
            </w:tcBorders>
            <w:shd w:val="clear" w:color="auto" w:fill="auto"/>
            <w:noWrap/>
            <w:vAlign w:val="bottom"/>
            <w:hideMark/>
          </w:tcPr>
          <w:p w14:paraId="4E59873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Nacional de Información de la Educación Superior</w:t>
            </w:r>
          </w:p>
        </w:tc>
      </w:tr>
      <w:tr w:rsidR="007B28B2" w:rsidRPr="007B28B2" w14:paraId="5AF00A25" w14:textId="77777777" w:rsidTr="007B28B2">
        <w:trPr>
          <w:trHeight w:val="288"/>
        </w:trPr>
        <w:tc>
          <w:tcPr>
            <w:tcW w:w="1033" w:type="dxa"/>
            <w:tcBorders>
              <w:top w:val="nil"/>
              <w:left w:val="nil"/>
              <w:bottom w:val="nil"/>
              <w:right w:val="nil"/>
            </w:tcBorders>
            <w:shd w:val="clear" w:color="auto" w:fill="auto"/>
            <w:noWrap/>
            <w:vAlign w:val="bottom"/>
            <w:hideMark/>
          </w:tcPr>
          <w:p w14:paraId="713447E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SNPAD</w:t>
            </w:r>
          </w:p>
        </w:tc>
        <w:tc>
          <w:tcPr>
            <w:tcW w:w="8420" w:type="dxa"/>
            <w:tcBorders>
              <w:top w:val="nil"/>
              <w:left w:val="nil"/>
              <w:bottom w:val="nil"/>
              <w:right w:val="nil"/>
            </w:tcBorders>
            <w:shd w:val="clear" w:color="auto" w:fill="auto"/>
            <w:noWrap/>
            <w:vAlign w:val="bottom"/>
            <w:hideMark/>
          </w:tcPr>
          <w:p w14:paraId="7DB66FE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Nacional de Prevención y Atención de Desastres</w:t>
            </w:r>
          </w:p>
        </w:tc>
      </w:tr>
      <w:tr w:rsidR="007B28B2" w:rsidRPr="007B28B2" w14:paraId="7DA136D1" w14:textId="77777777" w:rsidTr="007B28B2">
        <w:trPr>
          <w:trHeight w:val="288"/>
        </w:trPr>
        <w:tc>
          <w:tcPr>
            <w:tcW w:w="1033" w:type="dxa"/>
            <w:tcBorders>
              <w:top w:val="nil"/>
              <w:left w:val="nil"/>
              <w:bottom w:val="nil"/>
              <w:right w:val="nil"/>
            </w:tcBorders>
            <w:shd w:val="clear" w:color="auto" w:fill="auto"/>
            <w:noWrap/>
            <w:vAlign w:val="bottom"/>
            <w:hideMark/>
          </w:tcPr>
          <w:p w14:paraId="45C218D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SPA</w:t>
            </w:r>
          </w:p>
        </w:tc>
        <w:tc>
          <w:tcPr>
            <w:tcW w:w="8420" w:type="dxa"/>
            <w:tcBorders>
              <w:top w:val="nil"/>
              <w:left w:val="nil"/>
              <w:bottom w:val="nil"/>
              <w:right w:val="nil"/>
            </w:tcBorders>
            <w:shd w:val="clear" w:color="auto" w:fill="auto"/>
            <w:noWrap/>
            <w:vAlign w:val="bottom"/>
            <w:hideMark/>
          </w:tcPr>
          <w:p w14:paraId="423EC89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Sustancias Psicoactivas</w:t>
            </w:r>
          </w:p>
        </w:tc>
      </w:tr>
      <w:tr w:rsidR="007B28B2" w:rsidRPr="007B28B2" w14:paraId="57C47A82" w14:textId="77777777" w:rsidTr="007B28B2">
        <w:trPr>
          <w:trHeight w:val="288"/>
        </w:trPr>
        <w:tc>
          <w:tcPr>
            <w:tcW w:w="1033" w:type="dxa"/>
            <w:tcBorders>
              <w:top w:val="nil"/>
              <w:left w:val="nil"/>
              <w:bottom w:val="nil"/>
              <w:right w:val="nil"/>
            </w:tcBorders>
            <w:shd w:val="clear" w:color="auto" w:fill="auto"/>
            <w:noWrap/>
            <w:vAlign w:val="bottom"/>
            <w:hideMark/>
          </w:tcPr>
          <w:p w14:paraId="2CC0EF7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SPC</w:t>
            </w:r>
          </w:p>
        </w:tc>
        <w:tc>
          <w:tcPr>
            <w:tcW w:w="8420" w:type="dxa"/>
            <w:tcBorders>
              <w:top w:val="nil"/>
              <w:left w:val="nil"/>
              <w:bottom w:val="nil"/>
              <w:right w:val="nil"/>
            </w:tcBorders>
            <w:shd w:val="clear" w:color="auto" w:fill="auto"/>
            <w:noWrap/>
            <w:vAlign w:val="bottom"/>
            <w:hideMark/>
          </w:tcPr>
          <w:p w14:paraId="00AF14F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Penitenciario y Carcelario</w:t>
            </w:r>
          </w:p>
        </w:tc>
      </w:tr>
      <w:tr w:rsidR="007B28B2" w:rsidRPr="007B28B2" w14:paraId="1721A05A" w14:textId="77777777" w:rsidTr="007B28B2">
        <w:trPr>
          <w:trHeight w:val="288"/>
        </w:trPr>
        <w:tc>
          <w:tcPr>
            <w:tcW w:w="1033" w:type="dxa"/>
            <w:tcBorders>
              <w:top w:val="nil"/>
              <w:left w:val="nil"/>
              <w:bottom w:val="nil"/>
              <w:right w:val="nil"/>
            </w:tcBorders>
            <w:shd w:val="clear" w:color="auto" w:fill="auto"/>
            <w:noWrap/>
            <w:vAlign w:val="bottom"/>
            <w:hideMark/>
          </w:tcPr>
          <w:p w14:paraId="279CB63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SRPA</w:t>
            </w:r>
          </w:p>
        </w:tc>
        <w:tc>
          <w:tcPr>
            <w:tcW w:w="8420" w:type="dxa"/>
            <w:tcBorders>
              <w:top w:val="nil"/>
              <w:left w:val="nil"/>
              <w:bottom w:val="nil"/>
              <w:right w:val="nil"/>
            </w:tcBorders>
            <w:shd w:val="clear" w:color="auto" w:fill="auto"/>
            <w:noWrap/>
            <w:vAlign w:val="bottom"/>
            <w:hideMark/>
          </w:tcPr>
          <w:p w14:paraId="4206BA3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Responsabilidad Penal Adolescente</w:t>
            </w:r>
          </w:p>
        </w:tc>
      </w:tr>
      <w:tr w:rsidR="007B28B2" w:rsidRPr="007B28B2" w14:paraId="09729E4E" w14:textId="77777777" w:rsidTr="007B28B2">
        <w:trPr>
          <w:trHeight w:val="288"/>
        </w:trPr>
        <w:tc>
          <w:tcPr>
            <w:tcW w:w="1033" w:type="dxa"/>
            <w:tcBorders>
              <w:top w:val="nil"/>
              <w:left w:val="nil"/>
              <w:bottom w:val="nil"/>
              <w:right w:val="nil"/>
            </w:tcBorders>
            <w:shd w:val="clear" w:color="auto" w:fill="auto"/>
            <w:noWrap/>
            <w:vAlign w:val="bottom"/>
            <w:hideMark/>
          </w:tcPr>
          <w:p w14:paraId="0011592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SSR</w:t>
            </w:r>
          </w:p>
        </w:tc>
        <w:tc>
          <w:tcPr>
            <w:tcW w:w="8420" w:type="dxa"/>
            <w:tcBorders>
              <w:top w:val="nil"/>
              <w:left w:val="nil"/>
              <w:bottom w:val="nil"/>
              <w:right w:val="nil"/>
            </w:tcBorders>
            <w:shd w:val="clear" w:color="auto" w:fill="auto"/>
            <w:noWrap/>
            <w:vAlign w:val="bottom"/>
            <w:hideMark/>
          </w:tcPr>
          <w:p w14:paraId="34966A2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Salud Sexual y Reproductiva</w:t>
            </w:r>
          </w:p>
        </w:tc>
      </w:tr>
      <w:tr w:rsidR="007B28B2" w:rsidRPr="007B28B2" w14:paraId="242A229D" w14:textId="77777777" w:rsidTr="007B28B2">
        <w:trPr>
          <w:trHeight w:val="288"/>
        </w:trPr>
        <w:tc>
          <w:tcPr>
            <w:tcW w:w="1033" w:type="dxa"/>
            <w:tcBorders>
              <w:top w:val="nil"/>
              <w:left w:val="nil"/>
              <w:bottom w:val="nil"/>
              <w:right w:val="nil"/>
            </w:tcBorders>
            <w:shd w:val="clear" w:color="auto" w:fill="auto"/>
            <w:noWrap/>
            <w:vAlign w:val="bottom"/>
            <w:hideMark/>
          </w:tcPr>
          <w:p w14:paraId="0D2FD26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STEM</w:t>
            </w:r>
          </w:p>
        </w:tc>
        <w:tc>
          <w:tcPr>
            <w:tcW w:w="8420" w:type="dxa"/>
            <w:tcBorders>
              <w:top w:val="nil"/>
              <w:left w:val="nil"/>
              <w:bottom w:val="nil"/>
              <w:right w:val="nil"/>
            </w:tcBorders>
            <w:shd w:val="clear" w:color="auto" w:fill="auto"/>
            <w:noWrap/>
            <w:vAlign w:val="bottom"/>
            <w:hideMark/>
          </w:tcPr>
          <w:p w14:paraId="7EA8935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Science, Technology, Engineering and Mathematics (ciencia, tecnología, ingeniería y matemáticas)</w:t>
            </w:r>
          </w:p>
        </w:tc>
      </w:tr>
      <w:tr w:rsidR="007B28B2" w:rsidRPr="007B28B2" w14:paraId="2C1E98F6" w14:textId="77777777" w:rsidTr="007B28B2">
        <w:trPr>
          <w:trHeight w:val="288"/>
        </w:trPr>
        <w:tc>
          <w:tcPr>
            <w:tcW w:w="1033" w:type="dxa"/>
            <w:tcBorders>
              <w:top w:val="nil"/>
              <w:left w:val="nil"/>
              <w:bottom w:val="nil"/>
              <w:right w:val="nil"/>
            </w:tcBorders>
            <w:shd w:val="clear" w:color="auto" w:fill="auto"/>
            <w:noWrap/>
            <w:vAlign w:val="bottom"/>
            <w:hideMark/>
          </w:tcPr>
          <w:p w14:paraId="7F7EB3F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TCC</w:t>
            </w:r>
          </w:p>
        </w:tc>
        <w:tc>
          <w:tcPr>
            <w:tcW w:w="8420" w:type="dxa"/>
            <w:tcBorders>
              <w:top w:val="nil"/>
              <w:left w:val="nil"/>
              <w:bottom w:val="nil"/>
              <w:right w:val="nil"/>
            </w:tcBorders>
            <w:shd w:val="clear" w:color="auto" w:fill="auto"/>
            <w:noWrap/>
            <w:vAlign w:val="bottom"/>
            <w:hideMark/>
          </w:tcPr>
          <w:p w14:paraId="3ACB80F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Tablero de Control Ciudadano</w:t>
            </w:r>
          </w:p>
        </w:tc>
      </w:tr>
      <w:tr w:rsidR="007B28B2" w:rsidRPr="007B28B2" w14:paraId="5D040B64" w14:textId="77777777" w:rsidTr="007B28B2">
        <w:trPr>
          <w:trHeight w:val="288"/>
        </w:trPr>
        <w:tc>
          <w:tcPr>
            <w:tcW w:w="1033" w:type="dxa"/>
            <w:tcBorders>
              <w:top w:val="nil"/>
              <w:left w:val="nil"/>
              <w:bottom w:val="nil"/>
              <w:right w:val="nil"/>
            </w:tcBorders>
            <w:shd w:val="clear" w:color="auto" w:fill="auto"/>
            <w:noWrap/>
            <w:vAlign w:val="bottom"/>
            <w:hideMark/>
          </w:tcPr>
          <w:p w14:paraId="2CDECF1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TCNCC</w:t>
            </w:r>
          </w:p>
        </w:tc>
        <w:tc>
          <w:tcPr>
            <w:tcW w:w="8420" w:type="dxa"/>
            <w:tcBorders>
              <w:top w:val="nil"/>
              <w:left w:val="nil"/>
              <w:bottom w:val="nil"/>
              <w:right w:val="nil"/>
            </w:tcBorders>
            <w:shd w:val="clear" w:color="auto" w:fill="auto"/>
            <w:noWrap/>
            <w:vAlign w:val="bottom"/>
            <w:hideMark/>
          </w:tcPr>
          <w:p w14:paraId="7ABA6D6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Tercera Comunicación de Cambio Climático</w:t>
            </w:r>
          </w:p>
        </w:tc>
      </w:tr>
      <w:tr w:rsidR="007B28B2" w:rsidRPr="007B28B2" w14:paraId="5712365B" w14:textId="77777777" w:rsidTr="007B28B2">
        <w:trPr>
          <w:trHeight w:val="288"/>
        </w:trPr>
        <w:tc>
          <w:tcPr>
            <w:tcW w:w="1033" w:type="dxa"/>
            <w:tcBorders>
              <w:top w:val="nil"/>
              <w:left w:val="nil"/>
              <w:bottom w:val="nil"/>
              <w:right w:val="nil"/>
            </w:tcBorders>
            <w:shd w:val="clear" w:color="auto" w:fill="auto"/>
            <w:noWrap/>
            <w:vAlign w:val="bottom"/>
            <w:hideMark/>
          </w:tcPr>
          <w:p w14:paraId="7F35E8A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TDCNR</w:t>
            </w:r>
          </w:p>
        </w:tc>
        <w:tc>
          <w:tcPr>
            <w:tcW w:w="8420" w:type="dxa"/>
            <w:tcBorders>
              <w:top w:val="nil"/>
              <w:left w:val="nil"/>
              <w:bottom w:val="nil"/>
              <w:right w:val="nil"/>
            </w:tcBorders>
            <w:shd w:val="clear" w:color="auto" w:fill="auto"/>
            <w:noWrap/>
            <w:vAlign w:val="bottom"/>
            <w:hideMark/>
          </w:tcPr>
          <w:p w14:paraId="522B02A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Trabajos domésticos y de cuidado no remunerado</w:t>
            </w:r>
          </w:p>
        </w:tc>
      </w:tr>
      <w:tr w:rsidR="007B28B2" w:rsidRPr="007B28B2" w14:paraId="076C75F9" w14:textId="77777777" w:rsidTr="007B28B2">
        <w:trPr>
          <w:trHeight w:val="288"/>
        </w:trPr>
        <w:tc>
          <w:tcPr>
            <w:tcW w:w="1033" w:type="dxa"/>
            <w:tcBorders>
              <w:top w:val="nil"/>
              <w:left w:val="nil"/>
              <w:bottom w:val="nil"/>
              <w:right w:val="nil"/>
            </w:tcBorders>
            <w:shd w:val="clear" w:color="auto" w:fill="auto"/>
            <w:noWrap/>
            <w:vAlign w:val="bottom"/>
            <w:hideMark/>
          </w:tcPr>
          <w:p w14:paraId="70BC31E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TIC</w:t>
            </w:r>
          </w:p>
        </w:tc>
        <w:tc>
          <w:tcPr>
            <w:tcW w:w="8420" w:type="dxa"/>
            <w:tcBorders>
              <w:top w:val="nil"/>
              <w:left w:val="nil"/>
              <w:bottom w:val="nil"/>
              <w:right w:val="nil"/>
            </w:tcBorders>
            <w:shd w:val="clear" w:color="auto" w:fill="auto"/>
            <w:noWrap/>
            <w:vAlign w:val="bottom"/>
            <w:hideMark/>
          </w:tcPr>
          <w:p w14:paraId="7ED3338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Tecnologías de la Información y las Comunicaciones</w:t>
            </w:r>
          </w:p>
        </w:tc>
      </w:tr>
      <w:tr w:rsidR="007B28B2" w:rsidRPr="007B28B2" w14:paraId="51CABA4E" w14:textId="77777777" w:rsidTr="007B28B2">
        <w:trPr>
          <w:trHeight w:val="288"/>
        </w:trPr>
        <w:tc>
          <w:tcPr>
            <w:tcW w:w="1033" w:type="dxa"/>
            <w:tcBorders>
              <w:top w:val="nil"/>
              <w:left w:val="nil"/>
              <w:bottom w:val="nil"/>
              <w:right w:val="nil"/>
            </w:tcBorders>
            <w:shd w:val="clear" w:color="auto" w:fill="auto"/>
            <w:noWrap/>
            <w:vAlign w:val="bottom"/>
            <w:hideMark/>
          </w:tcPr>
          <w:p w14:paraId="66F6804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UAECOB</w:t>
            </w:r>
          </w:p>
        </w:tc>
        <w:tc>
          <w:tcPr>
            <w:tcW w:w="8420" w:type="dxa"/>
            <w:tcBorders>
              <w:top w:val="nil"/>
              <w:left w:val="nil"/>
              <w:bottom w:val="nil"/>
              <w:right w:val="nil"/>
            </w:tcBorders>
            <w:shd w:val="clear" w:color="auto" w:fill="auto"/>
            <w:noWrap/>
            <w:vAlign w:val="bottom"/>
            <w:hideMark/>
          </w:tcPr>
          <w:p w14:paraId="19A45E8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 Administrativa Especial Cuerpo Oficial Bomberos Bogotá</w:t>
            </w:r>
          </w:p>
        </w:tc>
      </w:tr>
      <w:tr w:rsidR="007B28B2" w:rsidRPr="007B28B2" w14:paraId="39E25611" w14:textId="77777777" w:rsidTr="007B28B2">
        <w:trPr>
          <w:trHeight w:val="288"/>
        </w:trPr>
        <w:tc>
          <w:tcPr>
            <w:tcW w:w="1033" w:type="dxa"/>
            <w:tcBorders>
              <w:top w:val="nil"/>
              <w:left w:val="nil"/>
              <w:bottom w:val="nil"/>
              <w:right w:val="nil"/>
            </w:tcBorders>
            <w:shd w:val="clear" w:color="auto" w:fill="auto"/>
            <w:noWrap/>
            <w:vAlign w:val="bottom"/>
            <w:hideMark/>
          </w:tcPr>
          <w:p w14:paraId="695A1FB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UAESP</w:t>
            </w:r>
          </w:p>
        </w:tc>
        <w:tc>
          <w:tcPr>
            <w:tcW w:w="8420" w:type="dxa"/>
            <w:tcBorders>
              <w:top w:val="nil"/>
              <w:left w:val="nil"/>
              <w:bottom w:val="nil"/>
              <w:right w:val="nil"/>
            </w:tcBorders>
            <w:shd w:val="clear" w:color="auto" w:fill="auto"/>
            <w:noWrap/>
            <w:vAlign w:val="bottom"/>
            <w:hideMark/>
          </w:tcPr>
          <w:p w14:paraId="417ED5F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 Administrativa Especial de Servicios Públicos</w:t>
            </w:r>
          </w:p>
        </w:tc>
      </w:tr>
      <w:tr w:rsidR="007B28B2" w:rsidRPr="007B28B2" w14:paraId="70D55F44" w14:textId="77777777" w:rsidTr="007B28B2">
        <w:trPr>
          <w:trHeight w:val="288"/>
        </w:trPr>
        <w:tc>
          <w:tcPr>
            <w:tcW w:w="1033" w:type="dxa"/>
            <w:tcBorders>
              <w:top w:val="nil"/>
              <w:left w:val="nil"/>
              <w:bottom w:val="nil"/>
              <w:right w:val="nil"/>
            </w:tcBorders>
            <w:shd w:val="clear" w:color="auto" w:fill="auto"/>
            <w:noWrap/>
            <w:vAlign w:val="bottom"/>
            <w:hideMark/>
          </w:tcPr>
          <w:p w14:paraId="3B0CAA02"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lastRenderedPageBreak/>
              <w:t>UASPE</w:t>
            </w:r>
          </w:p>
        </w:tc>
        <w:tc>
          <w:tcPr>
            <w:tcW w:w="8420" w:type="dxa"/>
            <w:tcBorders>
              <w:top w:val="nil"/>
              <w:left w:val="nil"/>
              <w:bottom w:val="nil"/>
              <w:right w:val="nil"/>
            </w:tcBorders>
            <w:shd w:val="clear" w:color="auto" w:fill="auto"/>
            <w:noWrap/>
            <w:vAlign w:val="bottom"/>
            <w:hideMark/>
          </w:tcPr>
          <w:p w14:paraId="6FE2F4C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 Administrativa del Servicio Público de Empleo</w:t>
            </w:r>
          </w:p>
        </w:tc>
      </w:tr>
      <w:tr w:rsidR="007B28B2" w:rsidRPr="007B28B2" w14:paraId="5D78EEFC" w14:textId="77777777" w:rsidTr="007B28B2">
        <w:trPr>
          <w:trHeight w:val="288"/>
        </w:trPr>
        <w:tc>
          <w:tcPr>
            <w:tcW w:w="1033" w:type="dxa"/>
            <w:tcBorders>
              <w:top w:val="nil"/>
              <w:left w:val="nil"/>
              <w:bottom w:val="nil"/>
              <w:right w:val="nil"/>
            </w:tcBorders>
            <w:shd w:val="clear" w:color="auto" w:fill="auto"/>
            <w:noWrap/>
            <w:vAlign w:val="bottom"/>
            <w:hideMark/>
          </w:tcPr>
          <w:p w14:paraId="44B49FF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UPL</w:t>
            </w:r>
          </w:p>
        </w:tc>
        <w:tc>
          <w:tcPr>
            <w:tcW w:w="8420" w:type="dxa"/>
            <w:tcBorders>
              <w:top w:val="nil"/>
              <w:left w:val="nil"/>
              <w:bottom w:val="nil"/>
              <w:right w:val="nil"/>
            </w:tcBorders>
            <w:shd w:val="clear" w:color="auto" w:fill="auto"/>
            <w:noWrap/>
            <w:vAlign w:val="bottom"/>
            <w:hideMark/>
          </w:tcPr>
          <w:p w14:paraId="6069FF6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Unidades de Planeamiento Local</w:t>
            </w:r>
          </w:p>
        </w:tc>
      </w:tr>
      <w:tr w:rsidR="007B28B2" w:rsidRPr="007B28B2" w14:paraId="28D4350B" w14:textId="77777777" w:rsidTr="007B28B2">
        <w:trPr>
          <w:trHeight w:val="288"/>
        </w:trPr>
        <w:tc>
          <w:tcPr>
            <w:tcW w:w="1033" w:type="dxa"/>
            <w:tcBorders>
              <w:top w:val="nil"/>
              <w:left w:val="nil"/>
              <w:bottom w:val="nil"/>
              <w:right w:val="nil"/>
            </w:tcBorders>
            <w:shd w:val="clear" w:color="auto" w:fill="auto"/>
            <w:noWrap/>
            <w:vAlign w:val="bottom"/>
            <w:hideMark/>
          </w:tcPr>
          <w:p w14:paraId="0375131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UPZ</w:t>
            </w:r>
          </w:p>
        </w:tc>
        <w:tc>
          <w:tcPr>
            <w:tcW w:w="8420" w:type="dxa"/>
            <w:tcBorders>
              <w:top w:val="nil"/>
              <w:left w:val="nil"/>
              <w:bottom w:val="nil"/>
              <w:right w:val="nil"/>
            </w:tcBorders>
            <w:shd w:val="clear" w:color="auto" w:fill="auto"/>
            <w:noWrap/>
            <w:vAlign w:val="bottom"/>
            <w:hideMark/>
          </w:tcPr>
          <w:p w14:paraId="3D6A0F2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Unidades de Planeamiento Zonal</w:t>
            </w:r>
          </w:p>
        </w:tc>
      </w:tr>
      <w:tr w:rsidR="007B28B2" w:rsidRPr="007B28B2" w14:paraId="39AC901B" w14:textId="77777777" w:rsidTr="007B28B2">
        <w:trPr>
          <w:trHeight w:val="288"/>
        </w:trPr>
        <w:tc>
          <w:tcPr>
            <w:tcW w:w="1033" w:type="dxa"/>
            <w:tcBorders>
              <w:top w:val="nil"/>
              <w:left w:val="nil"/>
              <w:bottom w:val="nil"/>
              <w:right w:val="nil"/>
            </w:tcBorders>
            <w:shd w:val="clear" w:color="auto" w:fill="auto"/>
            <w:noWrap/>
            <w:vAlign w:val="bottom"/>
            <w:hideMark/>
          </w:tcPr>
          <w:p w14:paraId="7003B3B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URI</w:t>
            </w:r>
          </w:p>
        </w:tc>
        <w:tc>
          <w:tcPr>
            <w:tcW w:w="8420" w:type="dxa"/>
            <w:tcBorders>
              <w:top w:val="nil"/>
              <w:left w:val="nil"/>
              <w:bottom w:val="nil"/>
              <w:right w:val="nil"/>
            </w:tcBorders>
            <w:shd w:val="clear" w:color="auto" w:fill="auto"/>
            <w:noWrap/>
            <w:vAlign w:val="bottom"/>
            <w:hideMark/>
          </w:tcPr>
          <w:p w14:paraId="59129A0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Unidades de Reacción Inmediata</w:t>
            </w:r>
          </w:p>
        </w:tc>
      </w:tr>
      <w:tr w:rsidR="007B28B2" w:rsidRPr="007B28B2" w14:paraId="3F4B36B3" w14:textId="77777777" w:rsidTr="007B28B2">
        <w:trPr>
          <w:trHeight w:val="288"/>
        </w:trPr>
        <w:tc>
          <w:tcPr>
            <w:tcW w:w="1033" w:type="dxa"/>
            <w:tcBorders>
              <w:top w:val="nil"/>
              <w:left w:val="nil"/>
              <w:bottom w:val="nil"/>
              <w:right w:val="nil"/>
            </w:tcBorders>
            <w:shd w:val="clear" w:color="auto" w:fill="auto"/>
            <w:noWrap/>
            <w:vAlign w:val="bottom"/>
            <w:hideMark/>
          </w:tcPr>
          <w:p w14:paraId="2C213C2B"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USAID</w:t>
            </w:r>
          </w:p>
        </w:tc>
        <w:tc>
          <w:tcPr>
            <w:tcW w:w="8420" w:type="dxa"/>
            <w:tcBorders>
              <w:top w:val="nil"/>
              <w:left w:val="nil"/>
              <w:bottom w:val="nil"/>
              <w:right w:val="nil"/>
            </w:tcBorders>
            <w:shd w:val="clear" w:color="auto" w:fill="auto"/>
            <w:noWrap/>
            <w:vAlign w:val="bottom"/>
            <w:hideMark/>
          </w:tcPr>
          <w:p w14:paraId="120E07BA"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Agencia de los Estados Unidos para el Desarrollo Internacional</w:t>
            </w:r>
          </w:p>
        </w:tc>
      </w:tr>
      <w:tr w:rsidR="007B28B2" w:rsidRPr="007B28B2" w14:paraId="5315448B" w14:textId="77777777" w:rsidTr="007B28B2">
        <w:trPr>
          <w:trHeight w:val="288"/>
        </w:trPr>
        <w:tc>
          <w:tcPr>
            <w:tcW w:w="1033" w:type="dxa"/>
            <w:tcBorders>
              <w:top w:val="nil"/>
              <w:left w:val="nil"/>
              <w:bottom w:val="nil"/>
              <w:right w:val="nil"/>
            </w:tcBorders>
            <w:shd w:val="clear" w:color="auto" w:fill="auto"/>
            <w:noWrap/>
            <w:vAlign w:val="bottom"/>
            <w:hideMark/>
          </w:tcPr>
          <w:p w14:paraId="437E397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USPEC</w:t>
            </w:r>
          </w:p>
        </w:tc>
        <w:tc>
          <w:tcPr>
            <w:tcW w:w="8420" w:type="dxa"/>
            <w:tcBorders>
              <w:top w:val="nil"/>
              <w:left w:val="nil"/>
              <w:bottom w:val="nil"/>
              <w:right w:val="nil"/>
            </w:tcBorders>
            <w:shd w:val="clear" w:color="auto" w:fill="auto"/>
            <w:noWrap/>
            <w:vAlign w:val="bottom"/>
            <w:hideMark/>
          </w:tcPr>
          <w:p w14:paraId="5C701653"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Unidad de Servicios Penitenciarios y Carcelarios</w:t>
            </w:r>
          </w:p>
        </w:tc>
      </w:tr>
      <w:tr w:rsidR="007B28B2" w:rsidRPr="007B28B2" w14:paraId="3C79AA4F" w14:textId="77777777" w:rsidTr="007B28B2">
        <w:trPr>
          <w:trHeight w:val="288"/>
        </w:trPr>
        <w:tc>
          <w:tcPr>
            <w:tcW w:w="1033" w:type="dxa"/>
            <w:tcBorders>
              <w:top w:val="nil"/>
              <w:left w:val="nil"/>
              <w:bottom w:val="nil"/>
              <w:right w:val="nil"/>
            </w:tcBorders>
            <w:shd w:val="clear" w:color="auto" w:fill="auto"/>
            <w:noWrap/>
            <w:vAlign w:val="bottom"/>
            <w:hideMark/>
          </w:tcPr>
          <w:p w14:paraId="71F372E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VBG</w:t>
            </w:r>
          </w:p>
        </w:tc>
        <w:tc>
          <w:tcPr>
            <w:tcW w:w="8420" w:type="dxa"/>
            <w:tcBorders>
              <w:top w:val="nil"/>
              <w:left w:val="nil"/>
              <w:bottom w:val="nil"/>
              <w:right w:val="nil"/>
            </w:tcBorders>
            <w:shd w:val="clear" w:color="auto" w:fill="auto"/>
            <w:noWrap/>
            <w:vAlign w:val="bottom"/>
            <w:hideMark/>
          </w:tcPr>
          <w:p w14:paraId="238B925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Violencias Basadas en Género</w:t>
            </w:r>
          </w:p>
        </w:tc>
      </w:tr>
      <w:tr w:rsidR="007B28B2" w:rsidRPr="007B28B2" w14:paraId="47ED3926" w14:textId="77777777" w:rsidTr="007B28B2">
        <w:trPr>
          <w:trHeight w:val="288"/>
        </w:trPr>
        <w:tc>
          <w:tcPr>
            <w:tcW w:w="1033" w:type="dxa"/>
            <w:tcBorders>
              <w:top w:val="nil"/>
              <w:left w:val="nil"/>
              <w:bottom w:val="nil"/>
              <w:right w:val="nil"/>
            </w:tcBorders>
            <w:shd w:val="clear" w:color="auto" w:fill="auto"/>
            <w:noWrap/>
            <w:vAlign w:val="bottom"/>
            <w:hideMark/>
          </w:tcPr>
          <w:p w14:paraId="228773F7"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VCA</w:t>
            </w:r>
          </w:p>
        </w:tc>
        <w:tc>
          <w:tcPr>
            <w:tcW w:w="8420" w:type="dxa"/>
            <w:tcBorders>
              <w:top w:val="nil"/>
              <w:left w:val="nil"/>
              <w:bottom w:val="nil"/>
              <w:right w:val="nil"/>
            </w:tcBorders>
            <w:shd w:val="clear" w:color="auto" w:fill="auto"/>
            <w:noWrap/>
            <w:vAlign w:val="bottom"/>
            <w:hideMark/>
          </w:tcPr>
          <w:p w14:paraId="41788759"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Víctimas del Conflicto Armado</w:t>
            </w:r>
          </w:p>
        </w:tc>
      </w:tr>
      <w:tr w:rsidR="007B28B2" w:rsidRPr="007B28B2" w14:paraId="10414E23" w14:textId="77777777" w:rsidTr="007B28B2">
        <w:trPr>
          <w:trHeight w:val="288"/>
        </w:trPr>
        <w:tc>
          <w:tcPr>
            <w:tcW w:w="1033" w:type="dxa"/>
            <w:tcBorders>
              <w:top w:val="nil"/>
              <w:left w:val="nil"/>
              <w:bottom w:val="nil"/>
              <w:right w:val="nil"/>
            </w:tcBorders>
            <w:shd w:val="clear" w:color="auto" w:fill="auto"/>
            <w:noWrap/>
            <w:vAlign w:val="bottom"/>
            <w:hideMark/>
          </w:tcPr>
          <w:p w14:paraId="72B63C2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VIF</w:t>
            </w:r>
          </w:p>
        </w:tc>
        <w:tc>
          <w:tcPr>
            <w:tcW w:w="8420" w:type="dxa"/>
            <w:tcBorders>
              <w:top w:val="nil"/>
              <w:left w:val="nil"/>
              <w:bottom w:val="nil"/>
              <w:right w:val="nil"/>
            </w:tcBorders>
            <w:shd w:val="clear" w:color="auto" w:fill="auto"/>
            <w:noWrap/>
            <w:vAlign w:val="bottom"/>
            <w:hideMark/>
          </w:tcPr>
          <w:p w14:paraId="542E535F"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Violencia intrafamiliar</w:t>
            </w:r>
          </w:p>
        </w:tc>
      </w:tr>
      <w:tr w:rsidR="007B28B2" w:rsidRPr="007B28B2" w14:paraId="4B55EBC7" w14:textId="77777777" w:rsidTr="007B28B2">
        <w:trPr>
          <w:trHeight w:val="288"/>
        </w:trPr>
        <w:tc>
          <w:tcPr>
            <w:tcW w:w="1033" w:type="dxa"/>
            <w:tcBorders>
              <w:top w:val="nil"/>
              <w:left w:val="nil"/>
              <w:bottom w:val="nil"/>
              <w:right w:val="nil"/>
            </w:tcBorders>
            <w:shd w:val="clear" w:color="auto" w:fill="auto"/>
            <w:noWrap/>
            <w:vAlign w:val="bottom"/>
            <w:hideMark/>
          </w:tcPr>
          <w:p w14:paraId="345F5A66"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VIP</w:t>
            </w:r>
          </w:p>
        </w:tc>
        <w:tc>
          <w:tcPr>
            <w:tcW w:w="8420" w:type="dxa"/>
            <w:tcBorders>
              <w:top w:val="nil"/>
              <w:left w:val="nil"/>
              <w:bottom w:val="nil"/>
              <w:right w:val="nil"/>
            </w:tcBorders>
            <w:shd w:val="clear" w:color="auto" w:fill="auto"/>
            <w:noWrap/>
            <w:vAlign w:val="bottom"/>
            <w:hideMark/>
          </w:tcPr>
          <w:p w14:paraId="491BD20C"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Vivienda de Interés Prioritario</w:t>
            </w:r>
          </w:p>
        </w:tc>
      </w:tr>
      <w:tr w:rsidR="007B28B2" w:rsidRPr="007B28B2" w14:paraId="0DF548A3" w14:textId="77777777" w:rsidTr="007B28B2">
        <w:trPr>
          <w:trHeight w:val="288"/>
        </w:trPr>
        <w:tc>
          <w:tcPr>
            <w:tcW w:w="1033" w:type="dxa"/>
            <w:tcBorders>
              <w:top w:val="nil"/>
              <w:left w:val="nil"/>
              <w:bottom w:val="nil"/>
              <w:right w:val="nil"/>
            </w:tcBorders>
            <w:shd w:val="clear" w:color="auto" w:fill="auto"/>
            <w:noWrap/>
            <w:vAlign w:val="bottom"/>
            <w:hideMark/>
          </w:tcPr>
          <w:p w14:paraId="3A430DD5"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VIS</w:t>
            </w:r>
          </w:p>
        </w:tc>
        <w:tc>
          <w:tcPr>
            <w:tcW w:w="8420" w:type="dxa"/>
            <w:tcBorders>
              <w:top w:val="nil"/>
              <w:left w:val="nil"/>
              <w:bottom w:val="nil"/>
              <w:right w:val="nil"/>
            </w:tcBorders>
            <w:shd w:val="clear" w:color="auto" w:fill="auto"/>
            <w:noWrap/>
            <w:vAlign w:val="bottom"/>
            <w:hideMark/>
          </w:tcPr>
          <w:p w14:paraId="3976645E"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Vivienda de Interés Social</w:t>
            </w:r>
          </w:p>
        </w:tc>
      </w:tr>
      <w:tr w:rsidR="007B28B2" w:rsidRPr="007B28B2" w14:paraId="6B17A41C" w14:textId="77777777" w:rsidTr="007B28B2">
        <w:trPr>
          <w:trHeight w:val="288"/>
        </w:trPr>
        <w:tc>
          <w:tcPr>
            <w:tcW w:w="1033" w:type="dxa"/>
            <w:tcBorders>
              <w:top w:val="nil"/>
              <w:left w:val="nil"/>
              <w:bottom w:val="nil"/>
              <w:right w:val="nil"/>
            </w:tcBorders>
            <w:shd w:val="clear" w:color="auto" w:fill="auto"/>
            <w:noWrap/>
            <w:vAlign w:val="bottom"/>
            <w:hideMark/>
          </w:tcPr>
          <w:p w14:paraId="15F04A9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VOTEC</w:t>
            </w:r>
          </w:p>
        </w:tc>
        <w:tc>
          <w:tcPr>
            <w:tcW w:w="8420" w:type="dxa"/>
            <w:tcBorders>
              <w:top w:val="nil"/>
              <w:left w:val="nil"/>
              <w:bottom w:val="nil"/>
              <w:right w:val="nil"/>
            </w:tcBorders>
            <w:shd w:val="clear" w:color="auto" w:fill="auto"/>
            <w:noWrap/>
            <w:vAlign w:val="bottom"/>
            <w:hideMark/>
          </w:tcPr>
          <w:p w14:paraId="3E695CBD"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Sistema de Votación Electrónica Ciudadana</w:t>
            </w:r>
          </w:p>
        </w:tc>
      </w:tr>
      <w:tr w:rsidR="007B28B2" w:rsidRPr="007B28B2" w14:paraId="0D7EA567" w14:textId="77777777" w:rsidTr="007B28B2">
        <w:trPr>
          <w:trHeight w:val="288"/>
        </w:trPr>
        <w:tc>
          <w:tcPr>
            <w:tcW w:w="1033" w:type="dxa"/>
            <w:tcBorders>
              <w:top w:val="nil"/>
              <w:left w:val="nil"/>
              <w:bottom w:val="nil"/>
              <w:right w:val="nil"/>
            </w:tcBorders>
            <w:shd w:val="clear" w:color="auto" w:fill="auto"/>
            <w:noWrap/>
            <w:vAlign w:val="bottom"/>
            <w:hideMark/>
          </w:tcPr>
          <w:p w14:paraId="04FFC421"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VP</w:t>
            </w:r>
          </w:p>
        </w:tc>
        <w:tc>
          <w:tcPr>
            <w:tcW w:w="8420" w:type="dxa"/>
            <w:tcBorders>
              <w:top w:val="nil"/>
              <w:left w:val="nil"/>
              <w:bottom w:val="nil"/>
              <w:right w:val="nil"/>
            </w:tcBorders>
            <w:shd w:val="clear" w:color="auto" w:fill="auto"/>
            <w:noWrap/>
            <w:vAlign w:val="bottom"/>
            <w:hideMark/>
          </w:tcPr>
          <w:p w14:paraId="6313E680"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Violencia de pareja</w:t>
            </w:r>
          </w:p>
        </w:tc>
      </w:tr>
      <w:tr w:rsidR="007B28B2" w:rsidRPr="007B28B2" w14:paraId="13BA1C0F" w14:textId="77777777" w:rsidTr="007B28B2">
        <w:trPr>
          <w:trHeight w:val="288"/>
        </w:trPr>
        <w:tc>
          <w:tcPr>
            <w:tcW w:w="1033" w:type="dxa"/>
            <w:tcBorders>
              <w:top w:val="nil"/>
              <w:left w:val="nil"/>
              <w:bottom w:val="nil"/>
              <w:right w:val="nil"/>
            </w:tcBorders>
            <w:shd w:val="clear" w:color="auto" w:fill="auto"/>
            <w:noWrap/>
            <w:vAlign w:val="bottom"/>
            <w:hideMark/>
          </w:tcPr>
          <w:p w14:paraId="4E9C1F48"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SSC</w:t>
            </w:r>
          </w:p>
        </w:tc>
        <w:tc>
          <w:tcPr>
            <w:tcW w:w="8420" w:type="dxa"/>
            <w:tcBorders>
              <w:top w:val="nil"/>
              <w:left w:val="nil"/>
              <w:bottom w:val="nil"/>
              <w:right w:val="nil"/>
            </w:tcBorders>
            <w:shd w:val="clear" w:color="auto" w:fill="auto"/>
            <w:noWrap/>
            <w:vAlign w:val="bottom"/>
            <w:hideMark/>
          </w:tcPr>
          <w:p w14:paraId="5668F634" w14:textId="77777777" w:rsidR="007B28B2" w:rsidRPr="007B28B2" w:rsidRDefault="007B28B2" w:rsidP="007B28B2">
            <w:pPr>
              <w:spacing w:line="240" w:lineRule="auto"/>
              <w:jc w:val="left"/>
              <w:rPr>
                <w:rFonts w:cs="Arial"/>
                <w:color w:val="000000"/>
                <w:sz w:val="20"/>
                <w:szCs w:val="20"/>
                <w:lang w:eastAsia="es-CO"/>
              </w:rPr>
            </w:pPr>
            <w:r w:rsidRPr="007B28B2">
              <w:rPr>
                <w:rFonts w:cs="Arial"/>
                <w:color w:val="000000"/>
                <w:sz w:val="20"/>
                <w:szCs w:val="20"/>
                <w:lang w:eastAsia="es-CO"/>
              </w:rPr>
              <w:t>Subsecretaría de Servicio a la Ciudadanía</w:t>
            </w:r>
          </w:p>
        </w:tc>
      </w:tr>
    </w:tbl>
    <w:p w14:paraId="41A9E5CC" w14:textId="77777777" w:rsidR="00121C11" w:rsidRDefault="00121C11" w:rsidP="00121C11">
      <w:pPr>
        <w:spacing w:line="240" w:lineRule="auto"/>
        <w:jc w:val="left"/>
        <w:rPr>
          <w:b/>
          <w:bCs/>
          <w:color w:val="C00000"/>
          <w:sz w:val="28"/>
          <w:szCs w:val="32"/>
        </w:rPr>
      </w:pPr>
    </w:p>
    <w:p w14:paraId="7BCD651F" w14:textId="77777777" w:rsidR="00121C11" w:rsidRDefault="00121C11">
      <w:pPr>
        <w:spacing w:line="240" w:lineRule="auto"/>
        <w:jc w:val="left"/>
        <w:rPr>
          <w:b/>
          <w:bCs/>
          <w:color w:val="C00000"/>
          <w:sz w:val="28"/>
          <w:szCs w:val="32"/>
        </w:rPr>
      </w:pPr>
      <w:r>
        <w:rPr>
          <w:b/>
          <w:bCs/>
          <w:color w:val="C00000"/>
          <w:sz w:val="28"/>
          <w:szCs w:val="32"/>
        </w:rPr>
        <w:br w:type="page"/>
      </w:r>
    </w:p>
    <w:p w14:paraId="4140512C" w14:textId="78E2A916" w:rsidR="0038572C" w:rsidRDefault="00121C11">
      <w:pPr>
        <w:spacing w:line="240" w:lineRule="auto"/>
        <w:jc w:val="left"/>
      </w:pPr>
      <w:r>
        <w:rPr>
          <w:noProof/>
        </w:rPr>
        <w:lastRenderedPageBreak/>
        <w:drawing>
          <wp:anchor distT="0" distB="0" distL="114300" distR="114300" simplePos="0" relativeHeight="251708416" behindDoc="1" locked="0" layoutInCell="1" allowOverlap="1" wp14:anchorId="65153FDE" wp14:editId="2A7D9EFD">
            <wp:simplePos x="0" y="0"/>
            <wp:positionH relativeFrom="page">
              <wp:align>left</wp:align>
            </wp:positionH>
            <wp:positionV relativeFrom="paragraph">
              <wp:posOffset>-1438910</wp:posOffset>
            </wp:positionV>
            <wp:extent cx="7764500" cy="10048177"/>
            <wp:effectExtent l="0" t="0" r="8255" b="0"/>
            <wp:wrapNone/>
            <wp:docPr id="2095159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5927" name="Imagen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7764500" cy="1004817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394F5B" w14:textId="60D57B28" w:rsidR="009E3DD2" w:rsidRDefault="0097662F">
      <w:pPr>
        <w:jc w:val="left"/>
        <w:sectPr w:rsidR="009E3DD2" w:rsidSect="00F7078E">
          <w:footerReference w:type="default" r:id="rId16"/>
          <w:type w:val="continuous"/>
          <w:pgSz w:w="12240" w:h="15840"/>
          <w:pgMar w:top="2262" w:right="1440" w:bottom="1440" w:left="1440" w:header="709" w:footer="680" w:gutter="0"/>
          <w:pgNumType w:start="0"/>
          <w:cols w:space="708"/>
          <w:docGrid w:linePitch="360"/>
        </w:sectPr>
      </w:pPr>
      <w:r>
        <w:br w:type="page"/>
      </w:r>
    </w:p>
    <w:p w14:paraId="6C5710C2" w14:textId="62B7D766" w:rsidR="0097662F" w:rsidRDefault="0097662F">
      <w:pPr>
        <w:jc w:val="left"/>
      </w:pPr>
    </w:p>
    <w:p w14:paraId="213731F7" w14:textId="7C8E374B" w:rsidR="0097662F" w:rsidRDefault="003D4089">
      <w:pPr>
        <w:jc w:val="left"/>
      </w:pPr>
      <w:r>
        <w:rPr>
          <w:noProof/>
        </w:rPr>
        <w:drawing>
          <wp:anchor distT="0" distB="0" distL="114300" distR="114300" simplePos="0" relativeHeight="251661312" behindDoc="1" locked="0" layoutInCell="1" allowOverlap="1" wp14:anchorId="4ECC3E53" wp14:editId="76EC22F1">
            <wp:simplePos x="0" y="0"/>
            <wp:positionH relativeFrom="margin">
              <wp:align>right</wp:align>
            </wp:positionH>
            <wp:positionV relativeFrom="margin">
              <wp:posOffset>-1617345</wp:posOffset>
            </wp:positionV>
            <wp:extent cx="5934075" cy="2117725"/>
            <wp:effectExtent l="0" t="0" r="952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7">
                      <a:extLst>
                        <a:ext uri="{28A0092B-C50C-407E-A947-70E740481C1C}">
                          <a14:useLocalDpi xmlns:a14="http://schemas.microsoft.com/office/drawing/2010/main" val="0"/>
                        </a:ext>
                      </a:extLst>
                    </a:blip>
                    <a:stretch>
                      <a:fillRect/>
                    </a:stretch>
                  </pic:blipFill>
                  <pic:spPr>
                    <a:xfrm>
                      <a:off x="0" y="0"/>
                      <a:ext cx="5934075" cy="2117725"/>
                    </a:xfrm>
                    <a:prstGeom prst="rect">
                      <a:avLst/>
                    </a:prstGeom>
                  </pic:spPr>
                </pic:pic>
              </a:graphicData>
            </a:graphic>
            <wp14:sizeRelH relativeFrom="page">
              <wp14:pctWidth>0</wp14:pctWidth>
            </wp14:sizeRelH>
            <wp14:sizeRelV relativeFrom="page">
              <wp14:pctHeight>0</wp14:pctHeight>
            </wp14:sizeRelV>
          </wp:anchor>
        </w:drawing>
      </w:r>
    </w:p>
    <w:p w14:paraId="39E59C17" w14:textId="77777777" w:rsidR="006050D0" w:rsidRDefault="006050D0">
      <w:pPr>
        <w:jc w:val="left"/>
      </w:pPr>
    </w:p>
    <w:p w14:paraId="7EE55DA0" w14:textId="77777777" w:rsidR="0097662F" w:rsidRDefault="0097662F">
      <w:pPr>
        <w:jc w:val="left"/>
        <w:rPr>
          <w:rFonts w:eastAsiaTheme="majorEastAsia" w:cstheme="majorBidi"/>
          <w:b/>
          <w:color w:val="C00000"/>
          <w:sz w:val="40"/>
          <w:szCs w:val="32"/>
          <w:lang w:eastAsia="en-US"/>
        </w:rPr>
      </w:pPr>
    </w:p>
    <w:p w14:paraId="58DD86B6" w14:textId="1E27EBCF" w:rsidR="00911E05" w:rsidRPr="00CC372B" w:rsidRDefault="00911E05" w:rsidP="00FF001B">
      <w:bookmarkStart w:id="0" w:name="_Hlk163544027"/>
      <w:bookmarkStart w:id="1" w:name="_Hlk160717206"/>
      <w:bookmarkStart w:id="2" w:name="_Hlk163715620"/>
      <w:bookmarkEnd w:id="0"/>
    </w:p>
    <w:p w14:paraId="0C7B7159" w14:textId="1F897F3A" w:rsidR="00911E05" w:rsidRPr="005551E9" w:rsidRDefault="009752E9" w:rsidP="00FF001B">
      <w:pPr>
        <w:pStyle w:val="titulodocumento"/>
        <w:outlineLvl w:val="0"/>
        <w:rPr>
          <w:color w:val="C00000"/>
          <w:lang w:eastAsia="en-US"/>
        </w:rPr>
      </w:pPr>
      <w:bookmarkStart w:id="3" w:name="_Toc165169724"/>
      <w:r w:rsidRPr="009752E9">
        <w:rPr>
          <w:lang w:eastAsia="en-US"/>
        </w:rPr>
        <w:t xml:space="preserve">I. </w:t>
      </w:r>
      <w:r w:rsidR="005551E9" w:rsidRPr="005551E9">
        <w:rPr>
          <w:color w:val="C00000"/>
          <w:lang w:eastAsia="en-US"/>
        </w:rPr>
        <w:t>La ciudad que queremos</w:t>
      </w:r>
      <w:bookmarkEnd w:id="3"/>
      <w:r w:rsidR="001A37D2" w:rsidRPr="005551E9">
        <w:rPr>
          <w:color w:val="C00000"/>
          <w:lang w:eastAsia="en-US"/>
        </w:rPr>
        <w:t xml:space="preserve"> </w:t>
      </w:r>
    </w:p>
    <w:p w14:paraId="26BF1580" w14:textId="77777777" w:rsidR="005551E9" w:rsidRDefault="005551E9" w:rsidP="005551E9">
      <w:pPr>
        <w:pStyle w:val="titulodocumento"/>
      </w:pPr>
    </w:p>
    <w:p w14:paraId="385664FE" w14:textId="077175C1" w:rsidR="005551E9" w:rsidRPr="009D051D" w:rsidRDefault="005551E9" w:rsidP="005551E9">
      <w:pPr>
        <w:pStyle w:val="titulodocumento"/>
        <w:sectPr w:rsidR="005551E9" w:rsidRPr="009D051D" w:rsidSect="00F7078E">
          <w:footerReference w:type="default" r:id="rId18"/>
          <w:type w:val="continuous"/>
          <w:pgSz w:w="12240" w:h="15840"/>
          <w:pgMar w:top="2262" w:right="1440" w:bottom="1440" w:left="1440" w:header="709" w:footer="680" w:gutter="0"/>
          <w:pgNumType w:start="2"/>
          <w:cols w:space="708"/>
          <w:docGrid w:linePitch="360"/>
        </w:sectPr>
      </w:pPr>
    </w:p>
    <w:p w14:paraId="02E57232" w14:textId="287534BF" w:rsidR="00BD279A" w:rsidRDefault="00BD279A" w:rsidP="00BD279A">
      <w:bookmarkStart w:id="4" w:name="_Toc164183462"/>
      <w:r>
        <w:t xml:space="preserve">Bogotá, </w:t>
      </w:r>
      <w:r w:rsidR="00B41D48" w:rsidRPr="00B41D48">
        <w:t>la ciudad en la que todos y todas quisiéramos vivir, fue la premisa que sirvió de guía para el Programa de Gobierno y, ahora, a este Plan Distrital de Desarrollo (PDD). Emprendimos este camino con el sueño de hacer de Bogotá una ciudad líder para el mundo, donde se pueda prosperar y tener tranquilidad; creyendo en el potencial ilimitado que tiene por su historia, cultura y diversidad; convencidos de que es una ciudad donde se puede soñar y brindar un futuro más optimista para quienes la viven, y con la esperanza de que sea una ciudad en la que podamos ser y cumplir nuestros</w:t>
      </w:r>
      <w:r>
        <w:t xml:space="preserve"> sueños.</w:t>
      </w:r>
    </w:p>
    <w:p w14:paraId="375AA681" w14:textId="77777777" w:rsidR="00BD279A" w:rsidRDefault="00BD279A" w:rsidP="00BD279A"/>
    <w:p w14:paraId="2BB28180" w14:textId="270D89AD" w:rsidR="00BD279A" w:rsidRDefault="00BD279A" w:rsidP="00BD279A">
      <w:r>
        <w:t xml:space="preserve">Desde </w:t>
      </w:r>
      <w:r w:rsidR="00B41D48" w:rsidRPr="00B41D48">
        <w:t>ese momento hemos mantenido nuestro propósito: mejorar la calidad de vida de las personas garantizándoles mayor seguridad, inclusión, libertad, igualdad de oportunidades y un acceso más justo a bienes y servicios públicos, fortaleciendo el tejido social en un marco de construcción de confianza y aprovechando el potencial de la sociedad y su territorio, a partir de un modelo de desarrollo comprometido con la acción climática y la integración</w:t>
      </w:r>
      <w:r w:rsidRPr="009D051D">
        <w:rPr>
          <w:spacing w:val="-6"/>
        </w:rPr>
        <w:t xml:space="preserve"> regional.</w:t>
      </w:r>
    </w:p>
    <w:p w14:paraId="7A1EE5C9" w14:textId="77777777" w:rsidR="00BD279A" w:rsidRDefault="00BD279A" w:rsidP="00BD279A"/>
    <w:p w14:paraId="34C5B931" w14:textId="77777777" w:rsidR="00B41D48" w:rsidRDefault="00BD279A" w:rsidP="00B41D48">
      <w:r>
        <w:t xml:space="preserve">Para lograrlo, </w:t>
      </w:r>
      <w:r w:rsidR="00B41D48">
        <w:t xml:space="preserve">necesitamos plantear soluciones integrales e innovadoras que garanticen que podamos sentirnos seguros y seguras y que nos devuelvan el orgullo por esta ciudad. En tal sentido, el presente documento plasma lo que hará nuestro Gobierno en los próximos cuatro años para que volvamos a confiar. A través de objetivos, estrategias, programas, metas, indicadores y presupuestos, se plasmará la visión de ciudad por la que optaron los millones de ciudadanos y ciudadanas que eligieron </w:t>
      </w:r>
      <w:r w:rsidR="00B41D48">
        <w:t>“Bogotá camina segura” como la ruta para este cuatrienio.</w:t>
      </w:r>
    </w:p>
    <w:p w14:paraId="205E4E37" w14:textId="77777777" w:rsidR="00B41D48" w:rsidRDefault="00B41D48" w:rsidP="00B41D48"/>
    <w:p w14:paraId="0A728F85" w14:textId="5CEB5D69" w:rsidR="00BD279A" w:rsidRPr="00B41D48" w:rsidRDefault="00B41D48" w:rsidP="00B41D48">
      <w:pPr>
        <w:rPr>
          <w:spacing w:val="-6"/>
        </w:rPr>
      </w:pPr>
      <w:r w:rsidRPr="00B41D48">
        <w:rPr>
          <w:spacing w:val="-6"/>
        </w:rPr>
        <w:t>Esta visión entiende a Bogotá como la ciudad del bien-estar y de la igualdad de oportunidades, en el marco de la confianza, el respeto y la libertad. Una ciudad diversa, segura y justa, generadora de acuerdos en los que todos y todas tengamos la posibilidad de ser y hacer. Una capital global, incluyente, productiva e innovadora, donde la ciudadanía será la protagonista de un proyecto de desarrollo sostenible que nos una, comprometido con la acción climática y la justicia ambiental. Una ciudad donde seremos capaces de resolver nuestros problemas y de construir una visión conjunta de</w:t>
      </w:r>
      <w:r w:rsidR="00BD279A" w:rsidRPr="00B41D48">
        <w:rPr>
          <w:spacing w:val="-6"/>
        </w:rPr>
        <w:t xml:space="preserve"> futuro.</w:t>
      </w:r>
    </w:p>
    <w:p w14:paraId="67F89816" w14:textId="77777777" w:rsidR="00BD279A" w:rsidRDefault="00BD279A" w:rsidP="00BD279A"/>
    <w:p w14:paraId="46EF7BBA" w14:textId="0B2E01E2" w:rsidR="00BD279A" w:rsidRDefault="00BD279A" w:rsidP="00BD279A">
      <w:r>
        <w:t>La</w:t>
      </w:r>
      <w:r w:rsidR="006C5FB9" w:rsidRPr="006C5FB9">
        <w:t xml:space="preserve"> confianza será uno de los ejes de este PDD, pues fortalece los lazos que nos sostienen como sociedad. En este sentido, nos proponemos trabajar con base en cuatro premisas:</w:t>
      </w:r>
    </w:p>
    <w:p w14:paraId="6C6A7273" w14:textId="77777777" w:rsidR="00BD279A" w:rsidRDefault="00BD279A" w:rsidP="00BD279A"/>
    <w:p w14:paraId="4AB5847D" w14:textId="77777777" w:rsidR="00BD279A" w:rsidRPr="009D051D" w:rsidRDefault="00BD279A" w:rsidP="009D051D">
      <w:pPr>
        <w:pStyle w:val="Bullets"/>
      </w:pPr>
      <w:r w:rsidRPr="006C5FB9">
        <w:rPr>
          <w:i/>
          <w:iCs/>
        </w:rPr>
        <w:t>La confianza en uno mismo</w:t>
      </w:r>
      <w:r w:rsidRPr="009D051D">
        <w:t xml:space="preserve"> que implica confiar en nuestras habilidades y en nuestras capacidades; sentirnos empoderados para enfrentar desafíos y perseguir metas. Confiar en uno mismo es necesario para el crecimiento personal y en comunidad.</w:t>
      </w:r>
    </w:p>
    <w:p w14:paraId="30A879AA" w14:textId="77777777" w:rsidR="00BD279A" w:rsidRDefault="00BD279A" w:rsidP="009D051D">
      <w:pPr>
        <w:pStyle w:val="Bullets"/>
        <w:numPr>
          <w:ilvl w:val="0"/>
          <w:numId w:val="0"/>
        </w:numPr>
        <w:ind w:left="714"/>
      </w:pPr>
    </w:p>
    <w:p w14:paraId="4A5048D2" w14:textId="710CB5AB" w:rsidR="00BD279A" w:rsidRDefault="00BD279A" w:rsidP="009D051D">
      <w:pPr>
        <w:pStyle w:val="Bullets"/>
      </w:pPr>
      <w:r w:rsidRPr="006C5FB9">
        <w:rPr>
          <w:i/>
          <w:iCs/>
        </w:rPr>
        <w:t>La confianza en las y los demás</w:t>
      </w:r>
      <w:r w:rsidR="006C5FB9" w:rsidRPr="006C5FB9">
        <w:rPr>
          <w:i/>
          <w:iCs/>
        </w:rPr>
        <w:t>,</w:t>
      </w:r>
      <w:r>
        <w:t xml:space="preserve"> que fomenta relaciones saludables y colaborativas, fortalece el tejido social y la solidaridad.</w:t>
      </w:r>
    </w:p>
    <w:p w14:paraId="050686DF" w14:textId="77777777" w:rsidR="00BD279A" w:rsidRDefault="00BD279A" w:rsidP="009D051D">
      <w:pPr>
        <w:pStyle w:val="Bullets"/>
        <w:numPr>
          <w:ilvl w:val="0"/>
          <w:numId w:val="0"/>
        </w:numPr>
        <w:ind w:left="714"/>
      </w:pPr>
    </w:p>
    <w:p w14:paraId="6670BFAC" w14:textId="73FA2259" w:rsidR="00BD279A" w:rsidRDefault="00BD279A" w:rsidP="009D051D">
      <w:pPr>
        <w:pStyle w:val="Bullets"/>
      </w:pPr>
      <w:r w:rsidRPr="006C5FB9">
        <w:rPr>
          <w:i/>
          <w:iCs/>
        </w:rPr>
        <w:t xml:space="preserve">La confianza en el </w:t>
      </w:r>
      <w:r w:rsidR="006C5FB9" w:rsidRPr="006C5FB9">
        <w:rPr>
          <w:i/>
          <w:iCs/>
        </w:rPr>
        <w:t>G</w:t>
      </w:r>
      <w:r w:rsidRPr="006C5FB9">
        <w:rPr>
          <w:i/>
          <w:iCs/>
        </w:rPr>
        <w:t>obierno y en las instituciones</w:t>
      </w:r>
      <w:r w:rsidR="006C5FB9" w:rsidRPr="006C5FB9">
        <w:rPr>
          <w:i/>
          <w:iCs/>
        </w:rPr>
        <w:t>,</w:t>
      </w:r>
      <w:r>
        <w:t xml:space="preserve"> que involucra la </w:t>
      </w:r>
      <w:r>
        <w:lastRenderedPageBreak/>
        <w:t xml:space="preserve">transparencia, la rendición de cuentas y el buen </w:t>
      </w:r>
      <w:r w:rsidR="006C5FB9">
        <w:t>G</w:t>
      </w:r>
      <w:r>
        <w:t>obierno para generar confianza en las autoridades. Cuando la ciudadanía confía en que sus líderes actúan con integridad y justicia, se fortalece la estabilidad política y social.</w:t>
      </w:r>
    </w:p>
    <w:p w14:paraId="0E761F33" w14:textId="77777777" w:rsidR="00BD279A" w:rsidRDefault="00BD279A" w:rsidP="009D051D">
      <w:pPr>
        <w:pStyle w:val="Bullets"/>
        <w:numPr>
          <w:ilvl w:val="0"/>
          <w:numId w:val="0"/>
        </w:numPr>
        <w:ind w:left="714"/>
      </w:pPr>
    </w:p>
    <w:p w14:paraId="503A49E1" w14:textId="77777777" w:rsidR="005551E9" w:rsidRDefault="00BD279A" w:rsidP="00BD279A">
      <w:pPr>
        <w:pStyle w:val="Bullets"/>
      </w:pPr>
      <w:r w:rsidRPr="00E27A45">
        <w:rPr>
          <w:i/>
          <w:iCs/>
        </w:rPr>
        <w:t>La confianza en el potencial de la sociedad</w:t>
      </w:r>
      <w:r w:rsidR="006C5FB9" w:rsidRPr="00E27A45">
        <w:rPr>
          <w:i/>
          <w:iCs/>
        </w:rPr>
        <w:t>,</w:t>
      </w:r>
      <w:r>
        <w:t xml:space="preserve"> que reconoce logros y aprendizajes pasados que demuestran el potencial de la sociedad para crecer, innovar y prosperar.</w:t>
      </w:r>
    </w:p>
    <w:p w14:paraId="6731190C" w14:textId="77777777" w:rsidR="005551E9" w:rsidRDefault="005551E9" w:rsidP="005551E9">
      <w:pPr>
        <w:pStyle w:val="Prrafodelista"/>
      </w:pPr>
    </w:p>
    <w:p w14:paraId="6664570B" w14:textId="5B64810F" w:rsidR="00FF001B" w:rsidRPr="003D4089" w:rsidRDefault="00BD279A" w:rsidP="003D4089">
      <w:pPr>
        <w:pStyle w:val="Bullets"/>
        <w:numPr>
          <w:ilvl w:val="0"/>
          <w:numId w:val="0"/>
        </w:numPr>
        <w:rPr>
          <w:rFonts w:eastAsia="Times New Roman" w:cs="Times New Roman"/>
          <w:szCs w:val="24"/>
          <w:lang w:eastAsia="es-ES_tradnl"/>
        </w:rPr>
      </w:pPr>
      <w:r w:rsidRPr="003D4089">
        <w:rPr>
          <w:rFonts w:eastAsia="Times New Roman" w:cs="Times New Roman"/>
          <w:szCs w:val="24"/>
          <w:lang w:eastAsia="es-ES_tradnl"/>
        </w:rPr>
        <w:t xml:space="preserve">Sobre </w:t>
      </w:r>
      <w:r w:rsidR="00E27A45" w:rsidRPr="003D4089">
        <w:rPr>
          <w:rFonts w:eastAsia="Times New Roman" w:cs="Times New Roman"/>
          <w:szCs w:val="24"/>
          <w:lang w:eastAsia="es-ES_tradnl"/>
        </w:rPr>
        <w:t>estas premisas, teniendo claridad acerca de las condiciones desde las cuales parte la ciudad, y con una amplia participación de los bogotanos y las bogotanas que</w:t>
      </w:r>
      <w:r w:rsidR="007A3145">
        <w:rPr>
          <w:rFonts w:eastAsia="Times New Roman" w:cs="Times New Roman"/>
          <w:szCs w:val="24"/>
          <w:lang w:eastAsia="es-ES_tradnl"/>
        </w:rPr>
        <w:t>,</w:t>
      </w:r>
      <w:r w:rsidR="00E27A45" w:rsidRPr="003D4089">
        <w:rPr>
          <w:rFonts w:eastAsia="Times New Roman" w:cs="Times New Roman"/>
          <w:szCs w:val="24"/>
          <w:lang w:eastAsia="es-ES_tradnl"/>
        </w:rPr>
        <w:t xml:space="preserve"> a través de los espacios de concertación con las estrategias “Te tengo el plan” y “Pégate al plan”, también conocida como la plataforma Chatico,</w:t>
      </w:r>
      <w:r w:rsidR="007A3145">
        <w:rPr>
          <w:rFonts w:eastAsia="Times New Roman" w:cs="Times New Roman"/>
          <w:szCs w:val="24"/>
          <w:lang w:eastAsia="es-ES_tradnl"/>
        </w:rPr>
        <w:t xml:space="preserve"> presentaron más de 200.000</w:t>
      </w:r>
      <w:r w:rsidR="00E27A45" w:rsidRPr="003D4089">
        <w:rPr>
          <w:rFonts w:eastAsia="Times New Roman" w:cs="Times New Roman"/>
          <w:szCs w:val="24"/>
          <w:lang w:eastAsia="es-ES_tradnl"/>
        </w:rPr>
        <w:t xml:space="preserve"> </w:t>
      </w:r>
      <w:r w:rsidR="007A3145">
        <w:rPr>
          <w:rFonts w:eastAsia="Times New Roman" w:cs="Times New Roman"/>
          <w:szCs w:val="24"/>
          <w:lang w:eastAsia="es-ES_tradnl"/>
        </w:rPr>
        <w:t>aportes</w:t>
      </w:r>
      <w:r w:rsidR="00E27A45" w:rsidRPr="003D4089">
        <w:rPr>
          <w:rFonts w:eastAsia="Times New Roman" w:cs="Times New Roman"/>
          <w:szCs w:val="24"/>
          <w:lang w:eastAsia="es-ES_tradnl"/>
        </w:rPr>
        <w:t xml:space="preserve">, y con las recomendaciones elaboradas por el Consejo Territorial de Planeación Distrital, hemos construido este PDD que, partiendo de un objetivo central, se subdivide en cinco objetivos estratégicos, los cuales, a su vez, identifican 15 estrategias y 39 </w:t>
      </w:r>
      <w:r w:rsidRPr="003D4089">
        <w:rPr>
          <w:rFonts w:eastAsia="Times New Roman" w:cs="Times New Roman"/>
          <w:szCs w:val="24"/>
          <w:lang w:eastAsia="es-ES_tradnl"/>
        </w:rPr>
        <w:t>programas.</w:t>
      </w:r>
    </w:p>
    <w:p w14:paraId="5C17FE6E" w14:textId="77777777" w:rsidR="00FF001B" w:rsidRDefault="00FF001B" w:rsidP="00FF001B">
      <w:pPr>
        <w:pStyle w:val="Bullets"/>
        <w:numPr>
          <w:ilvl w:val="0"/>
          <w:numId w:val="0"/>
        </w:numPr>
      </w:pPr>
    </w:p>
    <w:p w14:paraId="7511360A" w14:textId="2B4F81CC" w:rsidR="00BD279A" w:rsidRDefault="00E27A45" w:rsidP="00BD279A">
      <w:r w:rsidRPr="00E27A45">
        <w:t xml:space="preserve">Cabe resaltar la disposición y apertura de las y los funcionarios del Distrito, que, acogiendo la visión y las ideas del programa de gobierno y las necesidades de la ciudad, definieron 400 metas de producto y resultado, retadoras pero posibles, las cuales se han distribuido en los diferentes programas; para ello, se invertirán cerca de </w:t>
      </w:r>
      <w:r w:rsidR="00B87DEF">
        <w:t xml:space="preserve">142 </w:t>
      </w:r>
      <w:r w:rsidRPr="00E27A45">
        <w:t xml:space="preserve">billones de pesos a lo largo de cuatro años. </w:t>
      </w:r>
      <w:r w:rsidR="00BD279A">
        <w:t xml:space="preserve"> </w:t>
      </w:r>
    </w:p>
    <w:p w14:paraId="305304CF" w14:textId="77777777" w:rsidR="00BD279A" w:rsidRDefault="00BD279A" w:rsidP="00BD279A"/>
    <w:p w14:paraId="7BEC57AE" w14:textId="71C10661" w:rsidR="00BD279A" w:rsidRDefault="00BD279A" w:rsidP="00BD279A">
      <w:r>
        <w:t xml:space="preserve">La </w:t>
      </w:r>
      <w:r w:rsidR="00E27A45" w:rsidRPr="00E27A45">
        <w:t>implementación de este PDD no sería lo mismo sin la participación de la ciudadanía. Esta propuesta es para que la prioridad sea la calidad de vida, y no los intereses particulares de un gobernante; para que contemos con una ciudadanía activa e interesada, y un Gobierno que escucha y asume responsabilidades. Es una propuesta para que la Administración funcione y le sirva a la ciudadanía.</w:t>
      </w:r>
    </w:p>
    <w:p w14:paraId="34ECB04A" w14:textId="77777777" w:rsidR="00BD279A" w:rsidRDefault="00BD279A" w:rsidP="00BD279A"/>
    <w:p w14:paraId="7733C6F2" w14:textId="31AF8D71" w:rsidR="00BD279A" w:rsidRDefault="00BD279A" w:rsidP="00BD279A">
      <w:r>
        <w:t>Una ciudad no la construye una sola persona</w:t>
      </w:r>
      <w:r w:rsidR="00E27A45">
        <w:t>:</w:t>
      </w:r>
      <w:r>
        <w:t xml:space="preserve"> es un trabajo que requiere el esfuerzo de tod</w:t>
      </w:r>
      <w:r w:rsidR="00E27A45">
        <w:t>o</w:t>
      </w:r>
      <w:r>
        <w:t>s y tod</w:t>
      </w:r>
      <w:r w:rsidR="00E27A45">
        <w:t>a</w:t>
      </w:r>
      <w:r>
        <w:t>s</w:t>
      </w:r>
      <w:r w:rsidR="00E27A45">
        <w:t>.</w:t>
      </w:r>
      <w:r>
        <w:t xml:space="preserve"> </w:t>
      </w:r>
      <w:r w:rsidR="00E27A45">
        <w:t>C</w:t>
      </w:r>
      <w:r>
        <w:t>onfiemos, para que, de la mano</w:t>
      </w:r>
      <w:r w:rsidR="00E27A45">
        <w:t>,</w:t>
      </w:r>
      <w:r>
        <w:t xml:space="preserve"> construyamos el presente y el futuro que queremos.</w:t>
      </w:r>
    </w:p>
    <w:p w14:paraId="16DF7DD5" w14:textId="27B62134" w:rsidR="00B9570E" w:rsidRPr="001D5315" w:rsidRDefault="00B9570E" w:rsidP="00BD279A">
      <w:pPr>
        <w:rPr>
          <w:rFonts w:cs="Times New Roman (Cuerpo en alfa"/>
          <w:spacing w:val="-6"/>
        </w:rPr>
      </w:pPr>
    </w:p>
    <w:p w14:paraId="16EAFF8A" w14:textId="5727A773" w:rsidR="00B9570E" w:rsidRPr="00B87DEF" w:rsidRDefault="00B9570E" w:rsidP="00B9570E">
      <w:pPr>
        <w:rPr>
          <w:rFonts w:cs="Times New Roman (Cuerpo en alfa"/>
          <w:b/>
          <w:bCs/>
          <w:spacing w:val="-6"/>
        </w:rPr>
        <w:sectPr w:rsidR="00B9570E" w:rsidRPr="00B87DEF" w:rsidSect="00F7078E">
          <w:headerReference w:type="default" r:id="rId19"/>
          <w:type w:val="continuous"/>
          <w:pgSz w:w="12240" w:h="15840"/>
          <w:pgMar w:top="2262" w:right="1440" w:bottom="1440" w:left="1440" w:header="720" w:footer="720" w:gutter="0"/>
          <w:cols w:num="2" w:space="720" w:equalWidth="0">
            <w:col w:w="4320" w:space="720"/>
            <w:col w:w="4320" w:space="0"/>
          </w:cols>
          <w:docGrid w:linePitch="299"/>
        </w:sectPr>
      </w:pPr>
      <w:bookmarkStart w:id="5" w:name="_heading=h.a97p90gbuekj" w:colFirst="0" w:colLast="0"/>
      <w:bookmarkEnd w:id="5"/>
      <w:r w:rsidRPr="00B87DEF">
        <w:rPr>
          <w:rFonts w:cs="Times New Roman (Cuerpo en alfa"/>
          <w:b/>
          <w:bCs/>
          <w:spacing w:val="-6"/>
        </w:rPr>
        <w:t>¡Bienvenid</w:t>
      </w:r>
      <w:r w:rsidR="00E27A45" w:rsidRPr="00B87DEF">
        <w:rPr>
          <w:rFonts w:cs="Times New Roman (Cuerpo en alfa"/>
          <w:b/>
          <w:bCs/>
          <w:spacing w:val="-6"/>
        </w:rPr>
        <w:t>o</w:t>
      </w:r>
      <w:r w:rsidRPr="00B87DEF">
        <w:rPr>
          <w:rFonts w:cs="Times New Roman (Cuerpo en alfa"/>
          <w:b/>
          <w:bCs/>
          <w:spacing w:val="-6"/>
        </w:rPr>
        <w:t>s y bienvenid</w:t>
      </w:r>
      <w:r w:rsidR="00E27A45" w:rsidRPr="00B87DEF">
        <w:rPr>
          <w:rFonts w:cs="Times New Roman (Cuerpo en alfa"/>
          <w:b/>
          <w:bCs/>
          <w:spacing w:val="-6"/>
        </w:rPr>
        <w:t>a</w:t>
      </w:r>
      <w:r w:rsidRPr="00B87DEF">
        <w:rPr>
          <w:rFonts w:cs="Times New Roman (Cuerpo en alfa"/>
          <w:b/>
          <w:bCs/>
          <w:spacing w:val="-6"/>
        </w:rPr>
        <w:t>s a una Bogotá que camina segura</w:t>
      </w:r>
      <w:r w:rsidR="00BD279A" w:rsidRPr="00B87DEF">
        <w:rPr>
          <w:rFonts w:cs="Times New Roman (Cuerpo en alfa"/>
          <w:b/>
          <w:bCs/>
          <w:spacing w:val="-6"/>
        </w:rPr>
        <w:t>!</w:t>
      </w:r>
    </w:p>
    <w:p w14:paraId="2C077CF6" w14:textId="77777777" w:rsidR="00B9570E" w:rsidRDefault="00B9570E" w:rsidP="00B9570E">
      <w:pPr>
        <w:pStyle w:val="figuratitulo"/>
        <w:spacing w:line="240" w:lineRule="auto"/>
        <w:jc w:val="both"/>
        <w:rPr>
          <w:b/>
          <w:bCs/>
        </w:rPr>
      </w:pPr>
    </w:p>
    <w:p w14:paraId="72C35543" w14:textId="77777777" w:rsidR="00911E05" w:rsidRPr="00FF001B" w:rsidRDefault="00911E05" w:rsidP="008D557C">
      <w:pPr>
        <w:pStyle w:val="Ttulo2"/>
        <w:numPr>
          <w:ilvl w:val="0"/>
          <w:numId w:val="0"/>
        </w:numPr>
        <w:spacing w:after="240"/>
        <w:ind w:left="792"/>
        <w:rPr>
          <w:color w:val="C00000"/>
          <w:sz w:val="40"/>
          <w:szCs w:val="36"/>
          <w:lang w:val="es-419"/>
        </w:rPr>
      </w:pPr>
      <w:bookmarkStart w:id="6" w:name="_Toc165169725"/>
      <w:bookmarkEnd w:id="1"/>
      <w:bookmarkEnd w:id="2"/>
      <w:bookmarkEnd w:id="4"/>
      <w:r w:rsidRPr="00FF001B">
        <w:rPr>
          <w:color w:val="C00000"/>
          <w:sz w:val="40"/>
          <w:szCs w:val="36"/>
          <w:lang w:val="es-419"/>
        </w:rPr>
        <w:t>Introducción</w:t>
      </w:r>
      <w:bookmarkEnd w:id="6"/>
      <w:r w:rsidRPr="00FF001B">
        <w:rPr>
          <w:color w:val="C00000"/>
          <w:sz w:val="40"/>
          <w:szCs w:val="36"/>
          <w:lang w:val="es-419"/>
        </w:rPr>
        <w:t xml:space="preserve"> </w:t>
      </w:r>
    </w:p>
    <w:p w14:paraId="4AAAD0DE" w14:textId="77777777" w:rsidR="00911E05" w:rsidRPr="003D4089" w:rsidRDefault="00911E05" w:rsidP="00911E05">
      <w:pPr>
        <w:rPr>
          <w:lang w:val="es-419"/>
        </w:rPr>
        <w:sectPr w:rsidR="00911E05" w:rsidRPr="003D4089" w:rsidSect="00F7078E">
          <w:type w:val="continuous"/>
          <w:pgSz w:w="12240" w:h="15840"/>
          <w:pgMar w:top="2262" w:right="1440" w:bottom="1440" w:left="1440" w:header="720" w:footer="720" w:gutter="0"/>
          <w:cols w:space="720"/>
        </w:sectPr>
      </w:pPr>
    </w:p>
    <w:p w14:paraId="161BB349" w14:textId="5EC49BDF" w:rsidR="00911E05" w:rsidRDefault="00911E05" w:rsidP="00C77A4E">
      <w:r>
        <w:t xml:space="preserve">Bogotá vive un proceso de transformación que debemos entender para podernos proyectar y construir la ciudad donde </w:t>
      </w:r>
      <w:r w:rsidR="00B87DEF">
        <w:t>q</w:t>
      </w:r>
      <w:r>
        <w:t xml:space="preserve">ueremos estar, una Ciudad que Camina Segura. En primer lugar, hemos dejado de ser una ciudad de 7,9 millones de habitantes para convertirnos en actores principales de una región con un poco más de 12 millones de personas. Población que está cambiando su composición y forma de ver la vida. Una parte, la que reside en Bogotá, está dejando de crecer, tanto, que por primera vez un Plan Distrital de Desarrollo se enfrenta a una tendencia de disminución de la población, fenómeno que se explica a través del envejecimiento de la población, las tasas de fecundidad y los </w:t>
      </w:r>
      <w:r>
        <w:t>movimientos migratorios, principalmente intermunicipales. La otra población, la cundinamarquesa, está creciendo aceleradamente, en particular en los municipios vecinos a Bogotá, que demandan los servicios de transporte, agua potable, educación y el mercado laboral, principalmente ofrecidos por nuestra ciudad.</w:t>
      </w:r>
    </w:p>
    <w:p w14:paraId="3FB9BACE" w14:textId="77777777" w:rsidR="00911E05" w:rsidRDefault="00911E05" w:rsidP="00C77A4E"/>
    <w:p w14:paraId="53404F05" w14:textId="441E3794" w:rsidR="00911E05" w:rsidRDefault="00911E05" w:rsidP="00C77A4E">
      <w:r>
        <w:t xml:space="preserve">Este cambio poblacional también está teniendo su efecto en la estructura de los hogares. Hoy estos tienden a ser más pequeños. De hecho, la tasa global de fecundidad en la ciudad ha pasado de 1,6 hijos por mujer en 2015, a menos de uno en 2022. Hogares más pequeños, implica una mayor demanda habitacional, pero </w:t>
      </w:r>
      <w:r>
        <w:lastRenderedPageBreak/>
        <w:t xml:space="preserve">espacios más pequeños. A esto le debemos sumar, la tasa de envejecimiento de nuestra población. Mientras que en 2024 tenemos una relación de </w:t>
      </w:r>
      <w:r w:rsidR="00B87DEF">
        <w:t>menores</w:t>
      </w:r>
      <w:r>
        <w:t xml:space="preserve"> de 14 años y mayores de 60 años de 86,8, es decir de cada 10 personas de menos de 14 años tenemos 8 mayores de 60, en 2035, esperamos que este índice sea de 133,6. Es decir, tendremos más viejos, que jóvenes. Situación que afectará considerablemente la demanda inmobiliaria, de servicios sociales y del mercado laboral de la ciudad, entre otras.</w:t>
      </w:r>
    </w:p>
    <w:p w14:paraId="65245904" w14:textId="77777777" w:rsidR="00911E05" w:rsidRDefault="00911E05" w:rsidP="00C77A4E"/>
    <w:p w14:paraId="3E77E55D" w14:textId="1ABA5E13" w:rsidR="00911E05" w:rsidRDefault="00CC0E4E" w:rsidP="00C77A4E">
      <w:r>
        <w:t>En segundo lugar, u</w:t>
      </w:r>
      <w:r w:rsidR="00911E05">
        <w:t>na ciudad que se transforma debe tener una economía que est</w:t>
      </w:r>
      <w:r w:rsidR="00B87DEF">
        <w:t>é</w:t>
      </w:r>
      <w:r w:rsidR="00911E05">
        <w:t xml:space="preserve"> a la altura de estos retos. </w:t>
      </w:r>
      <w:r w:rsidR="00B87DEF">
        <w:t>Nuestra</w:t>
      </w:r>
      <w:r w:rsidR="00911E05">
        <w:t xml:space="preserve"> economía, pujante y competitiva, si bien es reconocida por los diferentes estudios como la más importante y solida del país, debe ser más crítica consigo mism</w:t>
      </w:r>
      <w:r w:rsidR="00B87DEF">
        <w:t>a</w:t>
      </w:r>
      <w:r w:rsidR="00911E05">
        <w:t>, a fin de mantenerse a la vanguardia</w:t>
      </w:r>
      <w:r w:rsidR="00B87DEF">
        <w:t>;</w:t>
      </w:r>
      <w:r w:rsidR="00911E05">
        <w:t xml:space="preserve"> además</w:t>
      </w:r>
      <w:r w:rsidR="00D10D63">
        <w:t>,</w:t>
      </w:r>
      <w:r w:rsidR="00911E05">
        <w:t xml:space="preserve"> no puede olvidar su rol con </w:t>
      </w:r>
      <w:r w:rsidR="00613AAB">
        <w:t>la ciudadanía</w:t>
      </w:r>
      <w:r w:rsidR="00911E05">
        <w:t xml:space="preserve">, la región y el país. Históricamente, Bogotá ha representado cerca del 25% del PIB nacional, con un PIB </w:t>
      </w:r>
      <w:r w:rsidR="00E4017E">
        <w:t>d</w:t>
      </w:r>
      <w:r w:rsidR="00911E05">
        <w:t>istrital que crece incluso a tasas mayores que el nacional. Esto la convierte en el motor más importante del país, pero así mismo, en una economía más expuesta a variables externas internacionales y nacionales.</w:t>
      </w:r>
    </w:p>
    <w:p w14:paraId="18A704BE" w14:textId="77777777" w:rsidR="00911E05" w:rsidRDefault="00911E05" w:rsidP="00C77A4E"/>
    <w:p w14:paraId="3C794BBD" w14:textId="65471729" w:rsidR="00911E05" w:rsidRPr="00724FB5" w:rsidRDefault="00911E05" w:rsidP="00C77A4E">
      <w:r>
        <w:t xml:space="preserve">Este dinamismo económico debe ser aprovechado con cuidado y con una visión de sostenibilidad y crecimiento en el mediano plazo. Bogotá ha logrado recuperar el empleo perdido a raíz de la pandemia del </w:t>
      </w:r>
      <w:r w:rsidR="007E1E5D">
        <w:t>c</w:t>
      </w:r>
      <w:r>
        <w:t xml:space="preserve">ovid-19; de los 563 mil empleos perdidos en 2020, frente a 2019, hoy ya se recuperaron y se cuenta 180 mil ocupados más. No obstante, el crecimiento se ha ido estancando y los sectores que </w:t>
      </w:r>
      <w:r w:rsidR="00CC0E4E">
        <w:t>históricamente</w:t>
      </w:r>
      <w:r>
        <w:t xml:space="preserve"> han impulsado el </w:t>
      </w:r>
      <w:r w:rsidR="00CC0E4E">
        <w:t>aumento</w:t>
      </w:r>
      <w:r>
        <w:t xml:space="preserve"> del empleo empiezan </w:t>
      </w:r>
      <w:r w:rsidRPr="00C1533F">
        <w:rPr>
          <w:rFonts w:cs="Times New Roman (Cuerpo en alfa"/>
          <w:spacing w:val="-10"/>
        </w:rPr>
        <w:t>a mostrar caídas significativas como el comercio (-0,5 p.p), las industrias manufactureras (-0,7 p.p.) y las actividades y la construcción (-0,5 p.p.), que concentran cerca del 33% del PIB distrital y 35% de la oferta laboral (DANE. 2023).</w:t>
      </w:r>
    </w:p>
    <w:p w14:paraId="145B6C1A" w14:textId="77777777" w:rsidR="00911E05" w:rsidRPr="00C1533F" w:rsidRDefault="00911E05" w:rsidP="00C77A4E">
      <w:pPr>
        <w:rPr>
          <w:rFonts w:cs="Times New Roman (Cuerpo en alfa"/>
          <w:spacing w:val="-10"/>
        </w:rPr>
      </w:pPr>
    </w:p>
    <w:p w14:paraId="124EDE24" w14:textId="26B00E8B" w:rsidR="00911E05" w:rsidRPr="00C1533F" w:rsidRDefault="00911E05" w:rsidP="00C77A4E">
      <w:pPr>
        <w:rPr>
          <w:rFonts w:cs="Times New Roman (Cuerpo en alfa"/>
          <w:spacing w:val="-10"/>
        </w:rPr>
      </w:pPr>
      <w:r w:rsidRPr="00C1533F">
        <w:rPr>
          <w:rFonts w:cs="Times New Roman (Cuerpo en alfa"/>
          <w:spacing w:val="-10"/>
        </w:rPr>
        <w:t xml:space="preserve">Además de la necesidad de que la economía crezca y genere empleos de manera sólida, esta enfrenta </w:t>
      </w:r>
      <w:r w:rsidRPr="00C1533F">
        <w:rPr>
          <w:rFonts w:cs="Times New Roman (Cuerpo en alfa"/>
          <w:spacing w:val="-10"/>
        </w:rPr>
        <w:t>retos que no se pueden descuidar. El principal de estos es la capacidad de reducir las brechas sociales. Si bien</w:t>
      </w:r>
      <w:r w:rsidR="00CC0E4E">
        <w:rPr>
          <w:rFonts w:cs="Times New Roman (Cuerpo en alfa"/>
          <w:spacing w:val="-10"/>
        </w:rPr>
        <w:t>,</w:t>
      </w:r>
      <w:r w:rsidRPr="00C1533F">
        <w:rPr>
          <w:rFonts w:cs="Times New Roman (Cuerpo en alfa"/>
          <w:spacing w:val="-10"/>
        </w:rPr>
        <w:t xml:space="preserve"> Bogotá </w:t>
      </w:r>
      <w:r w:rsidR="00CC0E4E">
        <w:rPr>
          <w:rFonts w:cs="Times New Roman (Cuerpo en alfa"/>
          <w:spacing w:val="-10"/>
        </w:rPr>
        <w:t>cuenta con una baja tasa de pobreza</w:t>
      </w:r>
      <w:r w:rsidRPr="00C1533F">
        <w:rPr>
          <w:rFonts w:cs="Times New Roman (Cuerpo en alfa"/>
          <w:spacing w:val="-10"/>
        </w:rPr>
        <w:t>, esto no puede verse solamente con la métrica tradicional. Debe tenerse presente, que, por las dimensiones de la ciudad, nuestra baja tasa, se asocia a las condiciones de 2,2 millones de personas, pero así mismo, por los avances sociales hechos por los gobiernos pasados, el concepto de pobreza en la ciudad ha mutado, dejando atrás temas como acceso a agua potable e  incorporando elementos de la vida cotidiana en comunidad como el disfrute del tiempo libre, el acceso a entornos y espacios públicos adecuados y  discriminación social, entre otros factores que se recogieron en él cálculo de la pobreza basada en el Índice de Condiciones Ampliadas de vida -ICAV- (SDP, 2023).</w:t>
      </w:r>
    </w:p>
    <w:p w14:paraId="76ACC37F" w14:textId="77777777" w:rsidR="00911E05" w:rsidRDefault="00911E05" w:rsidP="00C77A4E"/>
    <w:p w14:paraId="2D2291C2" w14:textId="133A63AA" w:rsidR="00911E05" w:rsidRDefault="00911E05" w:rsidP="00911E05">
      <w:r>
        <w:t>Todo lo anterior, no puede ser ajeno a la capacidad ecosistémica de la ciudad. En tercer lugar, el cambio climático y los asentamientos poblacionales, entre otras dinámicas</w:t>
      </w:r>
      <w:r w:rsidR="003D2009">
        <w:t>,</w:t>
      </w:r>
      <w:r>
        <w:t xml:space="preserve"> nos imponen retos para la construir la ciudad que necesitamos. Las recientes emergencias (incendios forestales, nivel de los embalses) han puesto en evidencia la necesidad </w:t>
      </w:r>
      <w:r w:rsidR="004D56A5">
        <w:t>de adaptarse</w:t>
      </w:r>
      <w:r>
        <w:t xml:space="preserve"> mejor al cambio climático y se</w:t>
      </w:r>
      <w:r w:rsidR="004D56A5">
        <w:t>r</w:t>
      </w:r>
      <w:r>
        <w:t xml:space="preserve"> más resiliente</w:t>
      </w:r>
      <w:r w:rsidR="004D56A5">
        <w:t>s</w:t>
      </w:r>
      <w:r>
        <w:t>. Este cambio lleg</w:t>
      </w:r>
      <w:r w:rsidR="003D2009">
        <w:t>ó</w:t>
      </w:r>
      <w:r>
        <w:t xml:space="preserve"> para quedarse. Por otro lado, la incidencia de estos cambios, si bien afecta a toda la ciudad, </w:t>
      </w:r>
      <w:r w:rsidR="00460F88">
        <w:t>presenta</w:t>
      </w:r>
      <w:r>
        <w:t xml:space="preserve"> diferencias entre una y otra localidad, esto</w:t>
      </w:r>
      <w:r w:rsidR="003302B1">
        <w:t>,</w:t>
      </w:r>
      <w:r>
        <w:t xml:space="preserve"> por </w:t>
      </w:r>
      <w:r w:rsidR="0044604B">
        <w:t>el comportamiento</w:t>
      </w:r>
      <w:r>
        <w:t xml:space="preserve"> poblacional, </w:t>
      </w:r>
      <w:r w:rsidR="004D56A5">
        <w:t>las dinámicas de asentamiento</w:t>
      </w:r>
      <w:r w:rsidR="003302B1">
        <w:t xml:space="preserve"> y otros fenómenos que</w:t>
      </w:r>
      <w:r>
        <w:t xml:space="preserve"> incide</w:t>
      </w:r>
      <w:r w:rsidR="003302B1">
        <w:t>n</w:t>
      </w:r>
      <w:r>
        <w:t xml:space="preserve"> en la presión que hacemos </w:t>
      </w:r>
      <w:r w:rsidR="0044604B">
        <w:t>sobre</w:t>
      </w:r>
      <w:r>
        <w:t xml:space="preserve"> los ecosistemas. Consideraciones que hemos tenido en cuenta para el diseño de nuestro plan de desarrollo.</w:t>
      </w:r>
    </w:p>
    <w:p w14:paraId="223E8922" w14:textId="77777777" w:rsidR="00911E05" w:rsidRDefault="00911E05" w:rsidP="00911E05">
      <w:pPr>
        <w:rPr>
          <w:rFonts w:cs="Times New Roman (Cuerpo en alfa"/>
          <w:spacing w:val="-10"/>
        </w:rPr>
      </w:pPr>
    </w:p>
    <w:p w14:paraId="541FA608" w14:textId="6AF3E77E" w:rsidR="00911E05" w:rsidRPr="00C1533F" w:rsidRDefault="003C70C5" w:rsidP="00911E05">
      <w:pPr>
        <w:rPr>
          <w:rFonts w:cs="Times New Roman (Cuerpo en alfa"/>
          <w:spacing w:val="-10"/>
        </w:rPr>
      </w:pPr>
      <w:r>
        <w:rPr>
          <w:rFonts w:cs="Times New Roman (Cuerpo en alfa"/>
          <w:spacing w:val="-10"/>
        </w:rPr>
        <w:t>No</w:t>
      </w:r>
      <w:r w:rsidR="00911E05" w:rsidRPr="00C1533F">
        <w:rPr>
          <w:rFonts w:cs="Times New Roman (Cuerpo en alfa"/>
          <w:spacing w:val="-10"/>
        </w:rPr>
        <w:t xml:space="preserve"> podemos planear una ciudad sin tener presente los sentimientos, </w:t>
      </w:r>
      <w:r w:rsidR="004E1FF3">
        <w:rPr>
          <w:rFonts w:cs="Times New Roman (Cuerpo en alfa"/>
          <w:spacing w:val="-10"/>
        </w:rPr>
        <w:t xml:space="preserve">sentires, </w:t>
      </w:r>
      <w:r w:rsidR="00911E05" w:rsidRPr="00C1533F">
        <w:rPr>
          <w:rFonts w:cs="Times New Roman (Cuerpo en alfa"/>
          <w:spacing w:val="-10"/>
        </w:rPr>
        <w:t>sensaciones y comportamientos de sus habitantes. La encuesta de calidad de vida y la encuesta multipropósito desde hace años vienen mostrando una tendencia preocupante: los ciudadanos no confían en el otro, en la administración, en la ciudad. Si queremos una ciudad con oportunidades, tenemos que recuperar y fortalecer la confianza. Esto, es en ultimas el corazón de nuestro plan.</w:t>
      </w:r>
    </w:p>
    <w:p w14:paraId="5D316216" w14:textId="77777777" w:rsidR="00911E05" w:rsidRDefault="00911E05" w:rsidP="00911E05"/>
    <w:p w14:paraId="4A8CD662" w14:textId="77777777" w:rsidR="00911E05" w:rsidRDefault="00911E05" w:rsidP="00911E05">
      <w:r>
        <w:lastRenderedPageBreak/>
        <w:t>La pérdida de confianza se ve en varios temas. Uno de estos, la seguridad. Si bien la tasa de hurto y homicidios ha tenido un leve deterioro, tema en el que estamos trabajando, la percepción que existe sobre inseguridad es la que ocupa las mayores calificaciones. En este mismo sentido, hoy cerca del 80% de la población muestra desconfianza hacia personas desconocidas, según la Encuesta de Cultura Política de 2023.</w:t>
      </w:r>
    </w:p>
    <w:p w14:paraId="18095920" w14:textId="77777777" w:rsidR="00911E05" w:rsidRDefault="00911E05" w:rsidP="00911E05"/>
    <w:p w14:paraId="39ACED34" w14:textId="6435ABC9" w:rsidR="00911E05" w:rsidRPr="00C1533F" w:rsidRDefault="00911E05" w:rsidP="00911E05">
      <w:pPr>
        <w:rPr>
          <w:rFonts w:cs="Times New Roman (Cuerpo en alfa"/>
          <w:spacing w:val="-10"/>
        </w:rPr>
      </w:pPr>
      <w:r w:rsidRPr="00C1533F">
        <w:rPr>
          <w:rFonts w:cs="Times New Roman (Cuerpo en alfa"/>
          <w:spacing w:val="-10"/>
        </w:rPr>
        <w:t xml:space="preserve">Proyectar una ciudad como Bogotá, hacia un futuro prominente, requiere tener presente los aspectos mencionados: demografía, economía, condiciones sociales, sostenibilidad y sobre todo los </w:t>
      </w:r>
      <w:r w:rsidR="00325D2F">
        <w:rPr>
          <w:rFonts w:cs="Times New Roman (Cuerpo en alfa"/>
          <w:spacing w:val="-10"/>
        </w:rPr>
        <w:t>sentires</w:t>
      </w:r>
      <w:r w:rsidRPr="00C1533F">
        <w:rPr>
          <w:rFonts w:cs="Times New Roman (Cuerpo en alfa"/>
          <w:spacing w:val="-10"/>
        </w:rPr>
        <w:t xml:space="preserve"> </w:t>
      </w:r>
      <w:r w:rsidRPr="00C1533F">
        <w:rPr>
          <w:rFonts w:cs="Times New Roman (Cuerpo en alfa"/>
          <w:spacing w:val="-10"/>
        </w:rPr>
        <w:t>ciudadano</w:t>
      </w:r>
      <w:r w:rsidR="00325D2F">
        <w:rPr>
          <w:rFonts w:cs="Times New Roman (Cuerpo en alfa"/>
          <w:spacing w:val="-10"/>
        </w:rPr>
        <w:t>s</w:t>
      </w:r>
      <w:r w:rsidRPr="00C1533F">
        <w:rPr>
          <w:rFonts w:cs="Times New Roman (Cuerpo en alfa"/>
          <w:spacing w:val="-10"/>
        </w:rPr>
        <w:t>. Es por eso que nuestro plan parte del ciudadano,</w:t>
      </w:r>
      <w:r w:rsidR="00993861">
        <w:rPr>
          <w:rFonts w:cs="Times New Roman (Cuerpo en alfa"/>
          <w:spacing w:val="-10"/>
        </w:rPr>
        <w:t xml:space="preserve"> </w:t>
      </w:r>
      <w:r w:rsidRPr="00C1533F">
        <w:rPr>
          <w:rFonts w:cs="Times New Roman (Cuerpo en alfa"/>
          <w:spacing w:val="-10"/>
        </w:rPr>
        <w:t>buscando mejorar su calidad de vida</w:t>
      </w:r>
      <w:r w:rsidR="00993861">
        <w:rPr>
          <w:rFonts w:cs="Times New Roman (Cuerpo en alfa"/>
          <w:spacing w:val="-10"/>
        </w:rPr>
        <w:t>.</w:t>
      </w:r>
      <w:r w:rsidRPr="00C1533F">
        <w:rPr>
          <w:rFonts w:cs="Times New Roman (Cuerpo en alfa"/>
          <w:spacing w:val="-10"/>
        </w:rPr>
        <w:t xml:space="preserve"> </w:t>
      </w:r>
      <w:r w:rsidR="00993861">
        <w:rPr>
          <w:rFonts w:cs="Times New Roman (Cuerpo en alfa"/>
          <w:spacing w:val="-10"/>
        </w:rPr>
        <w:t>Esto lo haremos abordando</w:t>
      </w:r>
      <w:r w:rsidRPr="00C1533F">
        <w:rPr>
          <w:rFonts w:cs="Times New Roman (Cuerpo en alfa"/>
          <w:spacing w:val="-10"/>
        </w:rPr>
        <w:t xml:space="preserve"> cinco dimensiones que</w:t>
      </w:r>
      <w:r w:rsidR="00993861">
        <w:rPr>
          <w:rFonts w:cs="Times New Roman (Cuerpo en alfa"/>
          <w:spacing w:val="-10"/>
        </w:rPr>
        <w:t>,</w:t>
      </w:r>
      <w:r w:rsidRPr="00C1533F">
        <w:rPr>
          <w:rFonts w:cs="Times New Roman (Cuerpo en alfa"/>
          <w:spacing w:val="-10"/>
        </w:rPr>
        <w:t xml:space="preserve"> articuladas</w:t>
      </w:r>
      <w:r w:rsidR="00993861">
        <w:rPr>
          <w:rFonts w:cs="Times New Roman (Cuerpo en alfa"/>
          <w:spacing w:val="-10"/>
        </w:rPr>
        <w:t>,</w:t>
      </w:r>
      <w:r w:rsidRPr="00C1533F">
        <w:rPr>
          <w:rFonts w:cs="Times New Roman (Cuerpo en alfa"/>
          <w:spacing w:val="-10"/>
        </w:rPr>
        <w:t xml:space="preserve"> lleven a que Bogotá Camin</w:t>
      </w:r>
      <w:r w:rsidR="00993861">
        <w:rPr>
          <w:rFonts w:cs="Times New Roman (Cuerpo en alfa"/>
          <w:spacing w:val="-10"/>
        </w:rPr>
        <w:t>e</w:t>
      </w:r>
      <w:r w:rsidRPr="00C1533F">
        <w:rPr>
          <w:rFonts w:cs="Times New Roman (Cuerpo en alfa"/>
          <w:spacing w:val="-10"/>
        </w:rPr>
        <w:t xml:space="preserve"> </w:t>
      </w:r>
      <w:r w:rsidR="00993861">
        <w:rPr>
          <w:rFonts w:cs="Times New Roman (Cuerpo en alfa"/>
          <w:spacing w:val="-10"/>
        </w:rPr>
        <w:t>S</w:t>
      </w:r>
      <w:r w:rsidRPr="00C1533F">
        <w:rPr>
          <w:rFonts w:cs="Times New Roman (Cuerpo en alfa"/>
          <w:spacing w:val="-10"/>
        </w:rPr>
        <w:t>egur</w:t>
      </w:r>
      <w:r w:rsidR="00993861">
        <w:rPr>
          <w:rFonts w:cs="Times New Roman (Cuerpo en alfa"/>
          <w:spacing w:val="-10"/>
        </w:rPr>
        <w:t>a</w:t>
      </w:r>
      <w:r w:rsidRPr="00C1533F">
        <w:rPr>
          <w:rFonts w:cs="Times New Roman (Cuerpo en alfa"/>
          <w:spacing w:val="-10"/>
        </w:rPr>
        <w:t xml:space="preserve"> con</w:t>
      </w:r>
      <w:r w:rsidR="00993861">
        <w:rPr>
          <w:rFonts w:cs="Times New Roman (Cuerpo en alfa"/>
          <w:spacing w:val="-10"/>
        </w:rPr>
        <w:t xml:space="preserve"> toda</w:t>
      </w:r>
      <w:r w:rsidRPr="00C1533F">
        <w:rPr>
          <w:rFonts w:cs="Times New Roman (Cuerpo en alfa"/>
          <w:spacing w:val="-10"/>
        </w:rPr>
        <w:t xml:space="preserve"> </w:t>
      </w:r>
      <w:r w:rsidR="00993861">
        <w:rPr>
          <w:rFonts w:cs="Times New Roman (Cuerpo en alfa"/>
          <w:spacing w:val="-10"/>
        </w:rPr>
        <w:t>la ciudadanía</w:t>
      </w:r>
      <w:r w:rsidRPr="00C1533F">
        <w:rPr>
          <w:rFonts w:cs="Times New Roman (Cuerpo en alfa"/>
          <w:spacing w:val="-10"/>
        </w:rPr>
        <w:t xml:space="preserve">, para </w:t>
      </w:r>
      <w:r w:rsidR="00993861">
        <w:rPr>
          <w:rFonts w:cs="Times New Roman (Cuerpo en alfa"/>
          <w:spacing w:val="-10"/>
        </w:rPr>
        <w:t>que</w:t>
      </w:r>
      <w:r w:rsidRPr="00C1533F">
        <w:rPr>
          <w:rFonts w:cs="Times New Roman (Cuerpo en alfa"/>
          <w:spacing w:val="-10"/>
        </w:rPr>
        <w:t xml:space="preserve"> viva y disfrute su vida, acorde con sus visiones, sueños y </w:t>
      </w:r>
      <w:r w:rsidR="00993861">
        <w:rPr>
          <w:rFonts w:cs="Times New Roman (Cuerpo en alfa"/>
          <w:spacing w:val="-10"/>
        </w:rPr>
        <w:t>aspiraciones</w:t>
      </w:r>
      <w:r w:rsidRPr="00C1533F">
        <w:rPr>
          <w:rFonts w:cs="Times New Roman (Cuerpo en alfa"/>
          <w:spacing w:val="-10"/>
        </w:rPr>
        <w:t xml:space="preserve">. </w:t>
      </w:r>
    </w:p>
    <w:p w14:paraId="3A14AFCB" w14:textId="77777777" w:rsidR="00911E05" w:rsidRDefault="00911E05" w:rsidP="00911E05"/>
    <w:p w14:paraId="46A8D8A9" w14:textId="6B1BAEF7" w:rsidR="00911E05" w:rsidRPr="004D6D4E" w:rsidRDefault="00911E05" w:rsidP="00911E05">
      <w:pPr>
        <w:rPr>
          <w:rFonts w:cs="Times New Roman (Cuerpo en alfa"/>
          <w:spacing w:val="-6"/>
        </w:rPr>
      </w:pPr>
      <w:r w:rsidRPr="004D6D4E">
        <w:rPr>
          <w:rFonts w:cs="Times New Roman (Cuerpo en alfa"/>
          <w:spacing w:val="-6"/>
        </w:rPr>
        <w:t>Lo anterior pensando en que</w:t>
      </w:r>
      <w:r w:rsidR="005C6A6E">
        <w:rPr>
          <w:rFonts w:cs="Times New Roman (Cuerpo en alfa"/>
          <w:spacing w:val="-6"/>
        </w:rPr>
        <w:t xml:space="preserve"> </w:t>
      </w:r>
      <w:r w:rsidRPr="004D6D4E">
        <w:rPr>
          <w:rFonts w:cs="Times New Roman (Cuerpo en alfa"/>
          <w:spacing w:val="-6"/>
        </w:rPr>
        <w:t>en el mediano plazo</w:t>
      </w:r>
      <w:r w:rsidR="005C6A6E">
        <w:rPr>
          <w:rFonts w:cs="Times New Roman (Cuerpo en alfa"/>
          <w:spacing w:val="-6"/>
        </w:rPr>
        <w:t xml:space="preserve"> </w:t>
      </w:r>
      <w:r w:rsidRPr="004D6D4E">
        <w:rPr>
          <w:rFonts w:cs="Times New Roman (Cuerpo en alfa"/>
          <w:spacing w:val="-6"/>
        </w:rPr>
        <w:t xml:space="preserve">podamos tener una ciudad que sea referente en materia de bien-estar </w:t>
      </w:r>
      <w:r w:rsidR="005C6A6E">
        <w:rPr>
          <w:rFonts w:cs="Times New Roman (Cuerpo en alfa"/>
          <w:spacing w:val="-6"/>
        </w:rPr>
        <w:t>e</w:t>
      </w:r>
      <w:r w:rsidRPr="004D6D4E">
        <w:rPr>
          <w:rFonts w:cs="Times New Roman (Cuerpo en alfa"/>
          <w:spacing w:val="-6"/>
        </w:rPr>
        <w:t xml:space="preserve"> igualdad de oportunidades</w:t>
      </w:r>
      <w:r w:rsidR="005C6A6E">
        <w:rPr>
          <w:rFonts w:cs="Times New Roman (Cuerpo en alfa"/>
          <w:spacing w:val="-6"/>
        </w:rPr>
        <w:t xml:space="preserve">, </w:t>
      </w:r>
      <w:r w:rsidRPr="004D6D4E">
        <w:rPr>
          <w:rFonts w:cs="Times New Roman (Cuerpo en alfa"/>
          <w:spacing w:val="-6"/>
        </w:rPr>
        <w:t>sobre la base de la confianza, el respeto y la libertad. Un ciudad global, incluyente, productiva e innovadora.</w:t>
      </w:r>
      <w:r w:rsidR="005C6A6E">
        <w:rPr>
          <w:rFonts w:cs="Times New Roman (Cuerpo en alfa"/>
          <w:spacing w:val="-6"/>
        </w:rPr>
        <w:t xml:space="preserve"> Una ciudad que camina segura.</w:t>
      </w:r>
    </w:p>
    <w:p w14:paraId="6C7DC289" w14:textId="77777777" w:rsidR="00911E05" w:rsidRDefault="00911E05" w:rsidP="00911E05">
      <w:pPr>
        <w:rPr>
          <w:b/>
          <w:bCs/>
          <w:sz w:val="28"/>
          <w:szCs w:val="28"/>
        </w:rPr>
        <w:sectPr w:rsidR="00911E05" w:rsidSect="00F7078E">
          <w:headerReference w:type="default" r:id="rId20"/>
          <w:type w:val="continuous"/>
          <w:pgSz w:w="12240" w:h="15840"/>
          <w:pgMar w:top="2262" w:right="1440" w:bottom="1440" w:left="1440" w:header="720" w:footer="720" w:gutter="0"/>
          <w:cols w:num="2" w:space="567"/>
        </w:sectPr>
      </w:pPr>
    </w:p>
    <w:p w14:paraId="33B2529B" w14:textId="1CE62372" w:rsidR="00911E05" w:rsidRDefault="00911E05" w:rsidP="00911E05">
      <w:pPr>
        <w:rPr>
          <w:b/>
          <w:bCs/>
          <w:sz w:val="28"/>
          <w:szCs w:val="28"/>
        </w:rPr>
      </w:pPr>
    </w:p>
    <w:p w14:paraId="43EA92EC" w14:textId="77777777" w:rsidR="009D051D" w:rsidRDefault="009D051D" w:rsidP="00911E05">
      <w:pPr>
        <w:rPr>
          <w:b/>
          <w:bCs/>
          <w:sz w:val="28"/>
          <w:szCs w:val="28"/>
        </w:rPr>
      </w:pPr>
    </w:p>
    <w:p w14:paraId="5B17C2A6" w14:textId="77777777" w:rsidR="00911E05" w:rsidRPr="003D4089" w:rsidRDefault="00911E05" w:rsidP="008D557C">
      <w:pPr>
        <w:pStyle w:val="Ttulo2"/>
        <w:numPr>
          <w:ilvl w:val="0"/>
          <w:numId w:val="0"/>
        </w:numPr>
        <w:spacing w:after="240"/>
        <w:ind w:left="792"/>
        <w:rPr>
          <w:color w:val="C00000"/>
          <w:sz w:val="40"/>
          <w:szCs w:val="36"/>
          <w:lang w:val="es-419"/>
        </w:rPr>
        <w:sectPr w:rsidR="00911E05" w:rsidRPr="003D4089" w:rsidSect="00F7078E">
          <w:type w:val="continuous"/>
          <w:pgSz w:w="12240" w:h="15840"/>
          <w:pgMar w:top="2262" w:right="1440" w:bottom="1440" w:left="1440" w:header="720" w:footer="720" w:gutter="0"/>
          <w:cols w:space="567"/>
        </w:sectPr>
      </w:pPr>
      <w:bookmarkStart w:id="7" w:name="_Toc165169726"/>
      <w:r w:rsidRPr="003D4089">
        <w:rPr>
          <w:color w:val="C00000"/>
          <w:sz w:val="40"/>
          <w:szCs w:val="36"/>
          <w:lang w:val="es-419"/>
        </w:rPr>
        <w:t>Visión de ciudad</w:t>
      </w:r>
      <w:bookmarkEnd w:id="7"/>
    </w:p>
    <w:p w14:paraId="399338F1" w14:textId="77777777" w:rsidR="00911E05" w:rsidRDefault="00911E05" w:rsidP="00911E05">
      <w:r>
        <w:t>Bogotá será la ciudad del bien-estar y de la igualdad de oportunidades en el marco de la confianza, el respeto y la libertad. Será una ciudad diversa, segura y justa, generadora de acuerdos en los que todas y todos tengamos la posibilidad de ser y hacer.</w:t>
      </w:r>
    </w:p>
    <w:p w14:paraId="5FFC38D6" w14:textId="77777777" w:rsidR="00911E05" w:rsidRDefault="00911E05" w:rsidP="00911E05"/>
    <w:p w14:paraId="6A1D47ED" w14:textId="77777777" w:rsidR="00911E05" w:rsidRDefault="00911E05" w:rsidP="00911E05">
      <w:r>
        <w:t xml:space="preserve">En esta capital global, incluyente, productiva e innovadora, la ciudadanía será la protagonista </w:t>
      </w:r>
      <w:r>
        <w:t>de un proyecto de desarrollo sostenible que nos una, comprometido con la acción climática y la justicia ambiental.</w:t>
      </w:r>
    </w:p>
    <w:p w14:paraId="005D354E" w14:textId="77777777" w:rsidR="00911E05" w:rsidRDefault="00911E05" w:rsidP="00911E05"/>
    <w:p w14:paraId="12D29B86" w14:textId="77777777" w:rsidR="00911E05" w:rsidRDefault="00911E05" w:rsidP="00911E05">
      <w:r>
        <w:t>En Bogotá seremos capaces de resolver nuestros problemas y de construir una visión conjunta de futuro.</w:t>
      </w:r>
    </w:p>
    <w:p w14:paraId="34A52146" w14:textId="77777777" w:rsidR="00911E05" w:rsidRDefault="00911E05" w:rsidP="00911E05">
      <w:pPr>
        <w:sectPr w:rsidR="00911E05" w:rsidSect="00F7078E">
          <w:type w:val="continuous"/>
          <w:pgSz w:w="12240" w:h="15840"/>
          <w:pgMar w:top="2262" w:right="1440" w:bottom="1440" w:left="1440" w:header="720" w:footer="720" w:gutter="0"/>
          <w:cols w:num="2" w:space="567"/>
        </w:sectPr>
      </w:pPr>
    </w:p>
    <w:p w14:paraId="3DFA481D" w14:textId="77777777" w:rsidR="00911E05" w:rsidRPr="00A6742C" w:rsidRDefault="00911E05" w:rsidP="00911E05">
      <w:pPr>
        <w:rPr>
          <w:b/>
          <w:bCs/>
          <w:szCs w:val="20"/>
        </w:rPr>
      </w:pPr>
    </w:p>
    <w:p w14:paraId="45AD49BD" w14:textId="77777777" w:rsidR="00911E05" w:rsidRPr="00A6742C" w:rsidRDefault="00911E05" w:rsidP="00911E05">
      <w:pPr>
        <w:rPr>
          <w:b/>
          <w:bCs/>
          <w:szCs w:val="20"/>
        </w:rPr>
      </w:pPr>
    </w:p>
    <w:p w14:paraId="23F2C342" w14:textId="77777777" w:rsidR="00911E05" w:rsidRPr="003D4089" w:rsidRDefault="00911E05" w:rsidP="003D4089">
      <w:pPr>
        <w:pStyle w:val="Ttulo2"/>
        <w:numPr>
          <w:ilvl w:val="0"/>
          <w:numId w:val="0"/>
        </w:numPr>
        <w:ind w:left="792"/>
        <w:rPr>
          <w:color w:val="C00000"/>
          <w:sz w:val="40"/>
          <w:szCs w:val="36"/>
          <w:lang w:val="es-419"/>
        </w:rPr>
        <w:sectPr w:rsidR="00911E05" w:rsidRPr="003D4089" w:rsidSect="00F7078E">
          <w:type w:val="continuous"/>
          <w:pgSz w:w="12240" w:h="15840"/>
          <w:pgMar w:top="2262" w:right="1440" w:bottom="1440" w:left="1440" w:header="720" w:footer="720" w:gutter="0"/>
          <w:cols w:space="567"/>
        </w:sectPr>
      </w:pPr>
    </w:p>
    <w:p w14:paraId="33398E86" w14:textId="77777777" w:rsidR="00911E05" w:rsidRPr="003D4089" w:rsidRDefault="00911E05" w:rsidP="008D557C">
      <w:pPr>
        <w:pStyle w:val="Ttulo2"/>
        <w:numPr>
          <w:ilvl w:val="0"/>
          <w:numId w:val="0"/>
        </w:numPr>
        <w:spacing w:after="240"/>
        <w:ind w:left="792"/>
        <w:rPr>
          <w:color w:val="C00000"/>
          <w:sz w:val="40"/>
          <w:szCs w:val="36"/>
          <w:lang w:val="es-419"/>
        </w:rPr>
      </w:pPr>
      <w:bookmarkStart w:id="8" w:name="_Toc165169727"/>
      <w:r w:rsidRPr="003D4089">
        <w:rPr>
          <w:color w:val="C00000"/>
          <w:sz w:val="40"/>
          <w:szCs w:val="36"/>
          <w:lang w:val="es-419"/>
        </w:rPr>
        <w:t>Objetivo general del plan</w:t>
      </w:r>
      <w:bookmarkEnd w:id="8"/>
      <w:r w:rsidRPr="003D4089">
        <w:rPr>
          <w:color w:val="C00000"/>
          <w:sz w:val="40"/>
          <w:szCs w:val="36"/>
          <w:lang w:val="es-419"/>
        </w:rPr>
        <w:t xml:space="preserve"> </w:t>
      </w:r>
    </w:p>
    <w:p w14:paraId="421D7276" w14:textId="77777777" w:rsidR="00911E05" w:rsidRDefault="00911E05" w:rsidP="00911E05">
      <w:pPr>
        <w:sectPr w:rsidR="00911E05" w:rsidSect="00F7078E">
          <w:type w:val="continuous"/>
          <w:pgSz w:w="12240" w:h="15840"/>
          <w:pgMar w:top="2262" w:right="1440" w:bottom="1440" w:left="1440" w:header="720" w:footer="720" w:gutter="0"/>
          <w:cols w:space="567"/>
        </w:sectPr>
      </w:pPr>
    </w:p>
    <w:p w14:paraId="7EBCF327" w14:textId="77777777" w:rsidR="00911E05" w:rsidRPr="00A6742C" w:rsidRDefault="00911E05" w:rsidP="00911E05">
      <w:r w:rsidRPr="00A6742C">
        <w:t xml:space="preserve">Acorde con nuestra visión de ciudad y teniendo presente el diagnostico, nuestro plan, partiendo de la construcción de confianza, buscará “mejorar la calidad de vida de las personas garantizándoles una mayor seguridad, inclusión, libertad, igualdad de oportunidades y un acceso más </w:t>
      </w:r>
      <w:r w:rsidRPr="00A6742C">
        <w:t>justo a bienes y servicios públicos, fortaleciendo el tejido social en un marco de construcción de confianza y aprovechando el potencial de la sociedad y su territorio a partir de un modelo de desarrollo comprometido con la acción climática y la integración regional”.</w:t>
      </w:r>
    </w:p>
    <w:p w14:paraId="31C91AA7" w14:textId="77777777" w:rsidR="00911E05" w:rsidRDefault="00911E05" w:rsidP="00911E05">
      <w:pPr>
        <w:sectPr w:rsidR="00911E05" w:rsidSect="00F7078E">
          <w:type w:val="continuous"/>
          <w:pgSz w:w="12240" w:h="15840"/>
          <w:pgMar w:top="2262" w:right="1440" w:bottom="1440" w:left="1440" w:header="720" w:footer="720" w:gutter="0"/>
          <w:cols w:num="2" w:space="567"/>
        </w:sectPr>
      </w:pPr>
    </w:p>
    <w:p w14:paraId="0AFFED89" w14:textId="6A9C8615" w:rsidR="00470589" w:rsidRDefault="00470589" w:rsidP="00911E05"/>
    <w:p w14:paraId="120831E8" w14:textId="53132FC3" w:rsidR="00911E05" w:rsidRPr="00BC23FB" w:rsidRDefault="00BC23FB" w:rsidP="00AB45FB">
      <w:pPr>
        <w:pStyle w:val="Descripcin"/>
        <w:jc w:val="center"/>
      </w:pPr>
      <w:bookmarkStart w:id="9" w:name="_Toc165169977"/>
      <w:r w:rsidRPr="00AB45FB">
        <w:rPr>
          <w:noProof/>
          <w:color w:val="C00000"/>
          <w:sz w:val="18"/>
          <w:szCs w:val="14"/>
        </w:rPr>
        <w:lastRenderedPageBreak/>
        <w:drawing>
          <wp:anchor distT="0" distB="0" distL="114300" distR="114300" simplePos="0" relativeHeight="251662336" behindDoc="0" locked="0" layoutInCell="1" allowOverlap="1" wp14:anchorId="1E4CB598" wp14:editId="6B9F821C">
            <wp:simplePos x="0" y="0"/>
            <wp:positionH relativeFrom="margin">
              <wp:posOffset>-69850</wp:posOffset>
            </wp:positionH>
            <wp:positionV relativeFrom="paragraph">
              <wp:posOffset>227965</wp:posOffset>
            </wp:positionV>
            <wp:extent cx="5868035" cy="2385060"/>
            <wp:effectExtent l="0" t="0" r="0" b="0"/>
            <wp:wrapSquare wrapText="bothSides"/>
            <wp:docPr id="173172304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23049" name="Imagen 1731723049"/>
                    <pic:cNvPicPr/>
                  </pic:nvPicPr>
                  <pic:blipFill rotWithShape="1">
                    <a:blip r:embed="rId21" cstate="print">
                      <a:extLst>
                        <a:ext uri="{28A0092B-C50C-407E-A947-70E740481C1C}">
                          <a14:useLocalDpi xmlns:a14="http://schemas.microsoft.com/office/drawing/2010/main" val="0"/>
                        </a:ext>
                      </a:extLst>
                    </a:blip>
                    <a:srcRect t="7141" b="9015"/>
                    <a:stretch/>
                  </pic:blipFill>
                  <pic:spPr bwMode="auto">
                    <a:xfrm>
                      <a:off x="0" y="0"/>
                      <a:ext cx="5868035" cy="2385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B45FB" w:rsidRPr="00AB45FB">
        <w:rPr>
          <w:color w:val="C00000"/>
          <w:sz w:val="18"/>
          <w:szCs w:val="14"/>
        </w:rPr>
        <w:t xml:space="preserve">Figura </w:t>
      </w:r>
      <w:r w:rsidR="00AB45FB" w:rsidRPr="00AB45FB">
        <w:rPr>
          <w:color w:val="C00000"/>
          <w:sz w:val="18"/>
          <w:szCs w:val="14"/>
        </w:rPr>
        <w:fldChar w:fldCharType="begin"/>
      </w:r>
      <w:r w:rsidR="00AB45FB" w:rsidRPr="00AB45FB">
        <w:rPr>
          <w:color w:val="C00000"/>
          <w:sz w:val="18"/>
          <w:szCs w:val="14"/>
        </w:rPr>
        <w:instrText xml:space="preserve"> SEQ Figura \* ARABIC </w:instrText>
      </w:r>
      <w:r w:rsidR="00AB45FB" w:rsidRPr="00AB45FB">
        <w:rPr>
          <w:color w:val="C00000"/>
          <w:sz w:val="18"/>
          <w:szCs w:val="14"/>
        </w:rPr>
        <w:fldChar w:fldCharType="separate"/>
      </w:r>
      <w:r w:rsidR="00D01651">
        <w:rPr>
          <w:noProof/>
          <w:color w:val="C00000"/>
          <w:sz w:val="18"/>
          <w:szCs w:val="14"/>
        </w:rPr>
        <w:t>1</w:t>
      </w:r>
      <w:r w:rsidR="00AB45FB" w:rsidRPr="00AB45FB">
        <w:rPr>
          <w:color w:val="C00000"/>
          <w:sz w:val="18"/>
          <w:szCs w:val="14"/>
        </w:rPr>
        <w:fldChar w:fldCharType="end"/>
      </w:r>
      <w:r w:rsidR="00AB45FB" w:rsidRPr="00AB45FB">
        <w:rPr>
          <w:color w:val="C00000"/>
          <w:sz w:val="18"/>
          <w:szCs w:val="14"/>
        </w:rPr>
        <w:t xml:space="preserve">. </w:t>
      </w:r>
      <w:r w:rsidR="00911E05" w:rsidRPr="00AB45FB">
        <w:rPr>
          <w:sz w:val="18"/>
          <w:szCs w:val="14"/>
        </w:rPr>
        <w:t>La confianza, punto de unión de nuestro plan</w:t>
      </w:r>
      <w:bookmarkEnd w:id="9"/>
    </w:p>
    <w:p w14:paraId="5B04E610" w14:textId="77777777" w:rsidR="00BC23FB" w:rsidRDefault="00BC23FB" w:rsidP="006050D0">
      <w:pPr>
        <w:jc w:val="center"/>
        <w:rPr>
          <w:b/>
          <w:bCs/>
          <w:sz w:val="16"/>
          <w:szCs w:val="16"/>
        </w:rPr>
      </w:pPr>
    </w:p>
    <w:p w14:paraId="03C8CE38" w14:textId="171A39BB" w:rsidR="00911E05" w:rsidRDefault="00911E05" w:rsidP="006050D0">
      <w:pPr>
        <w:jc w:val="center"/>
        <w:rPr>
          <w:sz w:val="16"/>
          <w:szCs w:val="16"/>
        </w:rPr>
      </w:pPr>
      <w:r w:rsidRPr="00AB45FB">
        <w:rPr>
          <w:b/>
          <w:bCs/>
          <w:sz w:val="18"/>
          <w:szCs w:val="18"/>
        </w:rPr>
        <w:t>Fuente:</w:t>
      </w:r>
      <w:r w:rsidRPr="00AB45FB">
        <w:rPr>
          <w:sz w:val="18"/>
          <w:szCs w:val="18"/>
        </w:rPr>
        <w:t xml:space="preserve"> Secretaría Distrital de Planeación</w:t>
      </w:r>
    </w:p>
    <w:p w14:paraId="64257F91" w14:textId="0D9BC634" w:rsidR="009D051D" w:rsidRDefault="009D051D" w:rsidP="006050D0">
      <w:pPr>
        <w:jc w:val="center"/>
        <w:rPr>
          <w:sz w:val="16"/>
          <w:szCs w:val="16"/>
        </w:rPr>
      </w:pPr>
    </w:p>
    <w:p w14:paraId="2C0F7B47" w14:textId="77777777" w:rsidR="009D051D" w:rsidRDefault="009D051D" w:rsidP="006050D0">
      <w:pPr>
        <w:jc w:val="center"/>
        <w:rPr>
          <w:sz w:val="16"/>
          <w:szCs w:val="16"/>
        </w:rPr>
      </w:pPr>
    </w:p>
    <w:p w14:paraId="7AB43F5A" w14:textId="77777777" w:rsidR="00D170FC" w:rsidRDefault="00D170FC" w:rsidP="006050D0">
      <w:pPr>
        <w:jc w:val="center"/>
        <w:rPr>
          <w:sz w:val="16"/>
          <w:szCs w:val="16"/>
        </w:rPr>
      </w:pPr>
    </w:p>
    <w:p w14:paraId="18507E28" w14:textId="423D9E95" w:rsidR="00D170FC" w:rsidRPr="006050D0" w:rsidRDefault="00D170FC" w:rsidP="006050D0">
      <w:pPr>
        <w:jc w:val="center"/>
        <w:rPr>
          <w:sz w:val="16"/>
          <w:szCs w:val="16"/>
        </w:rPr>
        <w:sectPr w:rsidR="00D170FC" w:rsidRPr="006050D0" w:rsidSect="00F7078E">
          <w:headerReference w:type="default" r:id="rId22"/>
          <w:type w:val="continuous"/>
          <w:pgSz w:w="12240" w:h="15840"/>
          <w:pgMar w:top="2262" w:right="1440" w:bottom="1440" w:left="1440" w:header="720" w:footer="720" w:gutter="0"/>
          <w:cols w:space="720"/>
          <w:docGrid w:linePitch="299"/>
        </w:sectPr>
      </w:pPr>
    </w:p>
    <w:p w14:paraId="63048BC9" w14:textId="2EBFDC65" w:rsidR="00911E05" w:rsidRDefault="00911E05" w:rsidP="00911E05">
      <w:r>
        <w:t xml:space="preserve">Para alcanzar este objetivo, trabajaremos en cinco frentes u objetivos estratégicos. El primero, </w:t>
      </w:r>
      <w:r>
        <w:rPr>
          <w:b/>
          <w:i/>
        </w:rPr>
        <w:t>Bogotá Avanza en Seguridad</w:t>
      </w:r>
      <w:r>
        <w:t>, buscará recuperar y fortalecer la confianza del ciudadano en la vida en sociedad. Construiremos una ciudad donde todas y todos podamos caminar y disfrutar, tranquilos, confiados del prójimo, las instituciones y la disposición, adecuada, de la oferta de la ciudad para vivirla.</w:t>
      </w:r>
    </w:p>
    <w:p w14:paraId="40739442" w14:textId="77777777" w:rsidR="00911E05" w:rsidRDefault="00911E05" w:rsidP="00911E05"/>
    <w:p w14:paraId="325C7147" w14:textId="77777777" w:rsidR="00AB45FB" w:rsidRDefault="00911E05" w:rsidP="00911E05">
      <w:r>
        <w:t xml:space="preserve">El segundo, </w:t>
      </w:r>
      <w:r>
        <w:rPr>
          <w:b/>
          <w:i/>
        </w:rPr>
        <w:t>Bogotá confía en su Bien-Estar</w:t>
      </w:r>
      <w:r>
        <w:t xml:space="preserve">, buscará un acceso equitativo y de calidad de todos, a los diferentes servicios y oportunidades que la ciudad puede ofrecer. Una ciudad con menos brechas sociales. </w:t>
      </w:r>
    </w:p>
    <w:p w14:paraId="04074B06" w14:textId="77777777" w:rsidR="00AB45FB" w:rsidRDefault="00AB45FB" w:rsidP="00911E05"/>
    <w:p w14:paraId="2D0B7395" w14:textId="1F726E89" w:rsidR="00911E05" w:rsidRDefault="00911E05" w:rsidP="00911E05">
      <w:r>
        <w:t xml:space="preserve">El tercero, </w:t>
      </w:r>
      <w:r>
        <w:rPr>
          <w:b/>
          <w:i/>
        </w:rPr>
        <w:t>Bogotá confía en su potencial</w:t>
      </w:r>
      <w:r>
        <w:t xml:space="preserve">, es nuestra apuesta productiva donde buscaremos una economía pujante, inclusiva y sostenible, </w:t>
      </w:r>
      <w:r>
        <w:t>que nos permita a todos, alcanzar todo nuestro potencial.</w:t>
      </w:r>
    </w:p>
    <w:p w14:paraId="0D718629" w14:textId="77777777" w:rsidR="00911E05" w:rsidRDefault="00911E05" w:rsidP="00911E05"/>
    <w:p w14:paraId="57348937" w14:textId="77777777" w:rsidR="00911E05" w:rsidRDefault="00911E05" w:rsidP="00911E05">
      <w:r>
        <w:t xml:space="preserve">El cuarto frente, la ciudad. En </w:t>
      </w:r>
      <w:r>
        <w:rPr>
          <w:b/>
          <w:i/>
        </w:rPr>
        <w:t>Bogotá ordena su territorio y avanza en su acción climática</w:t>
      </w:r>
      <w:r>
        <w:t>, prevemos las acciones que nos permitan contar con la oferta de bienes y servicios, de manera sostenible y resiliente, para una ciudad que vive y se transforma.</w:t>
      </w:r>
    </w:p>
    <w:p w14:paraId="4CEEA565" w14:textId="77777777" w:rsidR="00470589" w:rsidRDefault="00470589" w:rsidP="00911E05"/>
    <w:p w14:paraId="0F9AE850" w14:textId="174854EC" w:rsidR="00911E05" w:rsidRDefault="00911E05" w:rsidP="00911E05">
      <w:r>
        <w:t xml:space="preserve">Y el quinto objetivo, </w:t>
      </w:r>
      <w:r>
        <w:rPr>
          <w:b/>
          <w:i/>
        </w:rPr>
        <w:t>Bogotá confía en su gobierno</w:t>
      </w:r>
      <w:r>
        <w:t xml:space="preserve">, es nuestra apuesta transversal, en la que todos creamos en una administración centrada en el ciudadano, en la que es en él o ella, que debemos nuestro mandato y por ende velar por su bienestar ha de ser nuestro máximo ideal. </w:t>
      </w:r>
    </w:p>
    <w:p w14:paraId="44CEFB29" w14:textId="77777777" w:rsidR="00911E05" w:rsidRDefault="00911E05" w:rsidP="00911E05"/>
    <w:p w14:paraId="4802A7DB" w14:textId="77777777" w:rsidR="00911E05" w:rsidRDefault="00911E05" w:rsidP="00911E05">
      <w:pPr>
        <w:pStyle w:val="figuratitulo"/>
        <w:sectPr w:rsidR="00911E05" w:rsidSect="00F7078E">
          <w:type w:val="continuous"/>
          <w:pgSz w:w="12240" w:h="15840"/>
          <w:pgMar w:top="2262" w:right="1440" w:bottom="1440" w:left="1440" w:header="720" w:footer="720" w:gutter="0"/>
          <w:cols w:num="2" w:space="720" w:equalWidth="0">
            <w:col w:w="4320" w:space="720"/>
            <w:col w:w="4320" w:space="0"/>
          </w:cols>
          <w:docGrid w:linePitch="272"/>
        </w:sectPr>
      </w:pPr>
    </w:p>
    <w:p w14:paraId="5C6AE47A" w14:textId="19133EA7" w:rsidR="00911E05" w:rsidRDefault="00911E05" w:rsidP="00911E05">
      <w:pPr>
        <w:pStyle w:val="figuratitulo"/>
        <w:rPr>
          <w:b/>
          <w:bCs/>
        </w:rPr>
      </w:pPr>
    </w:p>
    <w:p w14:paraId="12575B1F" w14:textId="3C4F6E8E" w:rsidR="009D051D" w:rsidRDefault="009D051D" w:rsidP="00911E05">
      <w:pPr>
        <w:pStyle w:val="figuratitulo"/>
        <w:rPr>
          <w:b/>
          <w:bCs/>
        </w:rPr>
      </w:pPr>
    </w:p>
    <w:p w14:paraId="4E512390" w14:textId="19CE2D52" w:rsidR="009D051D" w:rsidRDefault="009D051D" w:rsidP="00911E05">
      <w:pPr>
        <w:pStyle w:val="figuratitulo"/>
        <w:rPr>
          <w:b/>
          <w:bCs/>
        </w:rPr>
      </w:pPr>
    </w:p>
    <w:p w14:paraId="15AD6CBF" w14:textId="39319994" w:rsidR="009D051D" w:rsidRDefault="009D051D" w:rsidP="00911E05">
      <w:pPr>
        <w:pStyle w:val="figuratitulo"/>
        <w:rPr>
          <w:b/>
          <w:bCs/>
        </w:rPr>
      </w:pPr>
    </w:p>
    <w:p w14:paraId="3EDD9377" w14:textId="556F07C2" w:rsidR="009D051D" w:rsidRDefault="009D051D" w:rsidP="00911E05">
      <w:pPr>
        <w:pStyle w:val="figuratitulo"/>
        <w:rPr>
          <w:b/>
          <w:bCs/>
        </w:rPr>
      </w:pPr>
    </w:p>
    <w:p w14:paraId="1F897AEA" w14:textId="783D29E3" w:rsidR="009D051D" w:rsidRDefault="009D051D" w:rsidP="00911E05">
      <w:pPr>
        <w:pStyle w:val="figuratitulo"/>
        <w:rPr>
          <w:b/>
          <w:bCs/>
        </w:rPr>
      </w:pPr>
    </w:p>
    <w:p w14:paraId="41B106D0" w14:textId="77777777" w:rsidR="00513F4B" w:rsidRDefault="00513F4B" w:rsidP="00AB45FB">
      <w:pPr>
        <w:pStyle w:val="Descripcin"/>
        <w:jc w:val="center"/>
        <w:rPr>
          <w:color w:val="C00000"/>
          <w:sz w:val="18"/>
          <w:szCs w:val="14"/>
        </w:rPr>
      </w:pPr>
    </w:p>
    <w:p w14:paraId="2B3F0E1A" w14:textId="3B7057A2" w:rsidR="00911E05" w:rsidRPr="00AB45FB" w:rsidRDefault="00AB45FB" w:rsidP="00AB45FB">
      <w:pPr>
        <w:pStyle w:val="Descripcin"/>
        <w:jc w:val="center"/>
        <w:rPr>
          <w:sz w:val="18"/>
          <w:szCs w:val="14"/>
        </w:rPr>
      </w:pPr>
      <w:bookmarkStart w:id="10" w:name="_Ref165158949"/>
      <w:bookmarkStart w:id="11" w:name="_Toc165169911"/>
      <w:r w:rsidRPr="00AB45FB">
        <w:rPr>
          <w:color w:val="C00000"/>
          <w:sz w:val="18"/>
          <w:szCs w:val="14"/>
        </w:rPr>
        <w:lastRenderedPageBreak/>
        <w:t xml:space="preserve">Tabla </w:t>
      </w:r>
      <w:r w:rsidRPr="00AB45FB">
        <w:rPr>
          <w:color w:val="C00000"/>
          <w:sz w:val="18"/>
          <w:szCs w:val="14"/>
        </w:rPr>
        <w:fldChar w:fldCharType="begin"/>
      </w:r>
      <w:r w:rsidRPr="00AB45FB">
        <w:rPr>
          <w:color w:val="C00000"/>
          <w:sz w:val="18"/>
          <w:szCs w:val="14"/>
        </w:rPr>
        <w:instrText xml:space="preserve"> SEQ Tabla \* ARABIC </w:instrText>
      </w:r>
      <w:r w:rsidRPr="00AB45FB">
        <w:rPr>
          <w:color w:val="C00000"/>
          <w:sz w:val="18"/>
          <w:szCs w:val="14"/>
        </w:rPr>
        <w:fldChar w:fldCharType="separate"/>
      </w:r>
      <w:r w:rsidR="00D01651">
        <w:rPr>
          <w:noProof/>
          <w:color w:val="C00000"/>
          <w:sz w:val="18"/>
          <w:szCs w:val="14"/>
        </w:rPr>
        <w:t>1</w:t>
      </w:r>
      <w:r w:rsidRPr="00AB45FB">
        <w:rPr>
          <w:color w:val="C00000"/>
          <w:sz w:val="18"/>
          <w:szCs w:val="14"/>
        </w:rPr>
        <w:fldChar w:fldCharType="end"/>
      </w:r>
      <w:bookmarkEnd w:id="10"/>
      <w:r w:rsidRPr="00AB45FB">
        <w:rPr>
          <w:color w:val="C00000"/>
          <w:sz w:val="18"/>
          <w:szCs w:val="14"/>
        </w:rPr>
        <w:t xml:space="preserve">. </w:t>
      </w:r>
      <w:r w:rsidR="00911E05" w:rsidRPr="00AB45FB">
        <w:rPr>
          <w:sz w:val="18"/>
          <w:szCs w:val="14"/>
        </w:rPr>
        <w:t>Objetivos Estratégicos de Bogotá Camina Segura</w:t>
      </w:r>
      <w:bookmarkEnd w:id="11"/>
    </w:p>
    <w:tbl>
      <w:tblPr>
        <w:tblStyle w:val="Tablaconcuadrcula"/>
        <w:tblpPr w:leftFromText="141" w:rightFromText="141" w:vertAnchor="text" w:horzAnchor="margin" w:tblpY="104"/>
        <w:tblW w:w="0" w:type="auto"/>
        <w:tblBorders>
          <w:top w:val="none" w:sz="0" w:space="0" w:color="auto"/>
          <w:left w:val="none" w:sz="0" w:space="0" w:color="auto"/>
          <w:bottom w:val="double" w:sz="4" w:space="0" w:color="C00000"/>
          <w:right w:val="none" w:sz="0" w:space="0" w:color="auto"/>
          <w:insideH w:val="double" w:sz="4" w:space="0" w:color="C00000"/>
          <w:insideV w:val="double" w:sz="4" w:space="0" w:color="C00000"/>
        </w:tblBorders>
        <w:tblLook w:val="04A0" w:firstRow="1" w:lastRow="0" w:firstColumn="1" w:lastColumn="0" w:noHBand="0" w:noVBand="1"/>
      </w:tblPr>
      <w:tblGrid>
        <w:gridCol w:w="2405"/>
        <w:gridCol w:w="6423"/>
      </w:tblGrid>
      <w:tr w:rsidR="006050D0" w14:paraId="79216857" w14:textId="77777777" w:rsidTr="00FF1F9A">
        <w:trPr>
          <w:trHeight w:val="3284"/>
        </w:trPr>
        <w:tc>
          <w:tcPr>
            <w:tcW w:w="2405" w:type="dxa"/>
            <w:shd w:val="clear" w:color="auto" w:fill="C00000"/>
            <w:vAlign w:val="center"/>
          </w:tcPr>
          <w:p w14:paraId="56973904"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Bogotá Avanza </w:t>
            </w:r>
          </w:p>
          <w:p w14:paraId="02732E11"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en Seguridad</w:t>
            </w:r>
          </w:p>
        </w:tc>
        <w:tc>
          <w:tcPr>
            <w:tcW w:w="6423" w:type="dxa"/>
            <w:vAlign w:val="center"/>
          </w:tcPr>
          <w:p w14:paraId="17BAECF6" w14:textId="77777777" w:rsidR="006050D0" w:rsidRDefault="006050D0" w:rsidP="00FF1F9A">
            <w:pPr>
              <w:ind w:left="185" w:right="80"/>
            </w:pPr>
            <w:r w:rsidRPr="00D2496E">
              <w:t>Con este objetivo generaremos la construcción de entornos seguros en Bogotá que permitan la interacción de la ciudadanía sin temor a ser víctima de delitos contra la vida y el patrimonio, garantizando los derechos fundamentales y la respuesta por parte de los organismos de seguridad, justicia y atención de emergencias ante cualquier amenaza. Buscaremos que los habitantes se sientan seguros en sus barrios, puedan desplazarse con tranquilidad y disfrutar del espacio público sin temor, permitiéndoles vivir, trabajar y soñar sin restricciones. Promoveremos la convivencia pacífica, la cultura ciudadana y el espacio público como un lugar de encuentro seguro, limpio y accesible para la ciudadanía.</w:t>
            </w:r>
          </w:p>
        </w:tc>
      </w:tr>
      <w:tr w:rsidR="006050D0" w14:paraId="2687E1B7" w14:textId="77777777" w:rsidTr="00FF1F9A">
        <w:trPr>
          <w:trHeight w:val="1529"/>
        </w:trPr>
        <w:tc>
          <w:tcPr>
            <w:tcW w:w="2405" w:type="dxa"/>
            <w:shd w:val="clear" w:color="auto" w:fill="C00000"/>
            <w:vAlign w:val="center"/>
          </w:tcPr>
          <w:p w14:paraId="11ACD3AF"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Bogotá confía </w:t>
            </w:r>
          </w:p>
          <w:p w14:paraId="2E41A0A4"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en su bien–estar</w:t>
            </w:r>
          </w:p>
        </w:tc>
        <w:tc>
          <w:tcPr>
            <w:tcW w:w="6423" w:type="dxa"/>
            <w:vAlign w:val="center"/>
          </w:tcPr>
          <w:p w14:paraId="26BC72AB" w14:textId="77777777" w:rsidR="006050D0" w:rsidRDefault="006050D0" w:rsidP="00FF1F9A">
            <w:pPr>
              <w:ind w:left="185" w:right="80"/>
            </w:pPr>
            <w:r w:rsidRPr="00D2496E">
              <w:t>Con este objetivo impulsaremos el acceso equitativo y de calidad a los servicios de salud, sociales, cuidado, cultura, recreación, deporte y a soluciones habitacionales para avanzar en la reducción de la pobreza, la inseguridad alimentaria y la desigualdad, así como en la protección y el bienestar de todas las formas de vida.</w:t>
            </w:r>
          </w:p>
        </w:tc>
      </w:tr>
      <w:tr w:rsidR="006050D0" w14:paraId="04E42778" w14:textId="77777777" w:rsidTr="00FF1F9A">
        <w:trPr>
          <w:trHeight w:val="1821"/>
        </w:trPr>
        <w:tc>
          <w:tcPr>
            <w:tcW w:w="2405" w:type="dxa"/>
            <w:shd w:val="clear" w:color="auto" w:fill="C00000"/>
            <w:vAlign w:val="center"/>
          </w:tcPr>
          <w:p w14:paraId="45EAE9EB"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Bogotá confía </w:t>
            </w:r>
          </w:p>
          <w:p w14:paraId="601CBE4D"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en su potencial</w:t>
            </w:r>
          </w:p>
        </w:tc>
        <w:tc>
          <w:tcPr>
            <w:tcW w:w="6423" w:type="dxa"/>
            <w:vAlign w:val="center"/>
          </w:tcPr>
          <w:p w14:paraId="49BD7952" w14:textId="77777777" w:rsidR="006050D0" w:rsidRDefault="006050D0" w:rsidP="00FF1F9A">
            <w:pPr>
              <w:ind w:left="185" w:right="80"/>
            </w:pPr>
            <w:r w:rsidRPr="00D2496E">
              <w:t>Con este objetivo fortaleceremos el entorno productivo generando un buen ambiente para el desarrollo empresarial, el fomento de capacidades, la generación de valor, riqueza, emprendimiento y empleo. Así mismo, buscaremos que Bogotá sea un escenario propicio para la educación, garantizando el acceso en todas las etapas.</w:t>
            </w:r>
          </w:p>
        </w:tc>
      </w:tr>
      <w:tr w:rsidR="006050D0" w14:paraId="43CDDE8D" w14:textId="77777777" w:rsidTr="00FF1F9A">
        <w:trPr>
          <w:trHeight w:val="2056"/>
        </w:trPr>
        <w:tc>
          <w:tcPr>
            <w:tcW w:w="2405" w:type="dxa"/>
            <w:shd w:val="clear" w:color="auto" w:fill="C00000"/>
            <w:vAlign w:val="center"/>
          </w:tcPr>
          <w:p w14:paraId="3FCAD08E"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Bogotá ordena </w:t>
            </w:r>
          </w:p>
          <w:p w14:paraId="62AFA6A2"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su territorio </w:t>
            </w:r>
          </w:p>
          <w:p w14:paraId="079886E5"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y avanza en su </w:t>
            </w:r>
          </w:p>
          <w:p w14:paraId="017BC434"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acción climática</w:t>
            </w:r>
          </w:p>
        </w:tc>
        <w:tc>
          <w:tcPr>
            <w:tcW w:w="6423" w:type="dxa"/>
            <w:vAlign w:val="center"/>
          </w:tcPr>
          <w:p w14:paraId="0422BD89" w14:textId="77777777" w:rsidR="006050D0" w:rsidRDefault="006050D0" w:rsidP="00FF1F9A">
            <w:pPr>
              <w:ind w:left="185" w:right="80"/>
            </w:pPr>
            <w:r w:rsidRPr="00D2496E">
              <w:t>Con este objetivo avanzaremos en la acción climática, la conservación de la biodiversidad y sus servicios ecosistémicos, la movilidad sostenible y multimodal, la revitalización y renovación urbana, la construcción de un hábitat digno y el acceso a vivienda y servicios públicos, para consolidar el modelo de ocupación territorial y el proyecto de desarrollo sostenible con enfoques regional, distrital y local.</w:t>
            </w:r>
          </w:p>
        </w:tc>
      </w:tr>
      <w:tr w:rsidR="006050D0" w14:paraId="5E64624A" w14:textId="77777777" w:rsidTr="00FF1F9A">
        <w:trPr>
          <w:trHeight w:val="1665"/>
        </w:trPr>
        <w:tc>
          <w:tcPr>
            <w:tcW w:w="2405" w:type="dxa"/>
            <w:shd w:val="clear" w:color="auto" w:fill="C00000"/>
            <w:vAlign w:val="center"/>
          </w:tcPr>
          <w:p w14:paraId="4BDFABE2"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 xml:space="preserve">Bogotá confía </w:t>
            </w:r>
          </w:p>
          <w:p w14:paraId="5ED1E3D4" w14:textId="77777777" w:rsidR="006050D0" w:rsidRPr="00816E80" w:rsidRDefault="006050D0" w:rsidP="00FF1F9A">
            <w:pPr>
              <w:ind w:right="174"/>
              <w:jc w:val="right"/>
              <w:rPr>
                <w:b/>
                <w:bCs/>
                <w:color w:val="FFFFFF" w:themeColor="background1"/>
                <w:sz w:val="28"/>
                <w:szCs w:val="28"/>
              </w:rPr>
            </w:pPr>
            <w:r w:rsidRPr="00816E80">
              <w:rPr>
                <w:b/>
                <w:bCs/>
                <w:color w:val="FFFFFF" w:themeColor="background1"/>
                <w:sz w:val="28"/>
                <w:szCs w:val="28"/>
              </w:rPr>
              <w:t>en su gobierno</w:t>
            </w:r>
          </w:p>
        </w:tc>
        <w:tc>
          <w:tcPr>
            <w:tcW w:w="6423" w:type="dxa"/>
            <w:vAlign w:val="center"/>
          </w:tcPr>
          <w:p w14:paraId="351E16FB" w14:textId="77777777" w:rsidR="006050D0" w:rsidRDefault="006050D0" w:rsidP="00FF1F9A">
            <w:pPr>
              <w:ind w:left="185" w:right="80"/>
            </w:pPr>
            <w:r w:rsidRPr="00D2496E">
              <w:t>Con este objetivo estableceremos espacios de confianza y diálogo entre el gobierno y la ciudadanía, garantizando que las personas se sientan respaldadas por la administración pública y promoviendo la integridad, la transparencia, la eficiencia y la atención oportuna de las necesidades de la gente.</w:t>
            </w:r>
          </w:p>
        </w:tc>
      </w:tr>
    </w:tbl>
    <w:p w14:paraId="2D0CC69A" w14:textId="77777777" w:rsidR="00911E05" w:rsidRPr="00816E80" w:rsidRDefault="00911E05" w:rsidP="00911E05">
      <w:pPr>
        <w:pStyle w:val="figuratitulo"/>
        <w:jc w:val="both"/>
        <w:rPr>
          <w:color w:val="3B3838" w:themeColor="background2" w:themeShade="40"/>
        </w:rPr>
        <w:sectPr w:rsidR="00911E05" w:rsidRPr="00816E80" w:rsidSect="00F7078E">
          <w:headerReference w:type="default" r:id="rId23"/>
          <w:type w:val="continuous"/>
          <w:pgSz w:w="12240" w:h="15840"/>
          <w:pgMar w:top="2262" w:right="1440" w:bottom="1440" w:left="1440" w:header="720" w:footer="720" w:gutter="0"/>
          <w:cols w:space="720"/>
          <w:docGrid w:linePitch="272"/>
        </w:sectPr>
      </w:pPr>
      <w:bookmarkStart w:id="12" w:name="_heading=h.3tbugp1" w:colFirst="0" w:colLast="0"/>
      <w:bookmarkEnd w:id="12"/>
    </w:p>
    <w:p w14:paraId="6E3A00CE" w14:textId="77777777" w:rsidR="003102A9" w:rsidRPr="006F66D9" w:rsidRDefault="003102A9" w:rsidP="002A39D2">
      <w:pPr>
        <w:pStyle w:val="NIVEL2PDD"/>
      </w:pPr>
      <w:bookmarkStart w:id="13" w:name="_Hlk164940146"/>
      <w:bookmarkStart w:id="14" w:name="_Toc165169728"/>
      <w:bookmarkEnd w:id="13"/>
      <w:r w:rsidRPr="006F66D9">
        <w:lastRenderedPageBreak/>
        <w:t>Diagnóstico general de la ciudad</w:t>
      </w:r>
      <w:bookmarkEnd w:id="14"/>
    </w:p>
    <w:p w14:paraId="4A303A6F" w14:textId="77777777" w:rsidR="003102A9" w:rsidRPr="00DF4131" w:rsidRDefault="003102A9" w:rsidP="003102A9">
      <w:pPr>
        <w:rPr>
          <w:rFonts w:cs="Times New Roman (Cuerpo en alfa"/>
          <w:spacing w:val="-4"/>
          <w:lang w:val="es-ES"/>
        </w:rPr>
        <w:sectPr w:rsidR="003102A9" w:rsidRPr="00DF4131" w:rsidSect="00F7078E">
          <w:headerReference w:type="default" r:id="rId24"/>
          <w:footerReference w:type="even" r:id="rId25"/>
          <w:pgSz w:w="12240" w:h="15840"/>
          <w:pgMar w:top="2262" w:right="1440" w:bottom="1440" w:left="1440" w:header="709" w:footer="680" w:gutter="0"/>
          <w:cols w:space="708"/>
          <w:docGrid w:linePitch="360"/>
        </w:sectPr>
      </w:pPr>
    </w:p>
    <w:p w14:paraId="373E9176" w14:textId="77777777" w:rsidR="003102A9" w:rsidRPr="002839A4" w:rsidRDefault="003102A9" w:rsidP="003102A9">
      <w:pPr>
        <w:pStyle w:val="figuratitulo"/>
        <w:spacing w:line="240" w:lineRule="auto"/>
        <w:jc w:val="both"/>
        <w:rPr>
          <w:rFonts w:cs="Times New Roman (Cuerpo en alfa"/>
          <w:color w:val="3B3838" w:themeColor="background2" w:themeShade="40"/>
          <w:spacing w:val="-8"/>
          <w:sz w:val="22"/>
        </w:rPr>
      </w:pPr>
      <w:r w:rsidRPr="002839A4">
        <w:rPr>
          <w:rFonts w:cs="Times New Roman (Cuerpo en alfa"/>
          <w:color w:val="3B3838" w:themeColor="background2" w:themeShade="40"/>
          <w:spacing w:val="-8"/>
          <w:sz w:val="22"/>
        </w:rPr>
        <w:t>Bogotá es una ciudad diversa, plural y multicultural, lugar donde confluyen millones de historias de ciudadanos que confían en las oportunidades y potencialidades que la ciudad puede aportar. Dada su naturaleza, la ciudad enfrenta, a su vez, problemas que son complejos e intersectoriales. Las soluciones propuestas deben partir entonces de la comprensión integral de los problemas de ciudad, entendiendo que a las múltiples causas se suma de forma transversal la necesidad de generar mayor confianza de los habitantes en sí mismos, en los y las demás, en el Gobierno, en las instituciones y en el potencial de la sociedad.</w:t>
      </w:r>
    </w:p>
    <w:p w14:paraId="765F2D3C" w14:textId="77777777" w:rsidR="003102A9" w:rsidRPr="002839A4" w:rsidRDefault="003102A9" w:rsidP="003102A9">
      <w:pPr>
        <w:pStyle w:val="figuratitulo"/>
        <w:spacing w:line="240" w:lineRule="auto"/>
        <w:jc w:val="both"/>
        <w:rPr>
          <w:rFonts w:cs="Times New Roman (Cuerpo en alfa"/>
          <w:color w:val="3B3838" w:themeColor="background2" w:themeShade="40"/>
          <w:spacing w:val="-8"/>
          <w:sz w:val="22"/>
        </w:rPr>
      </w:pPr>
    </w:p>
    <w:p w14:paraId="7F329B6A" w14:textId="4DA98C81" w:rsidR="003102A9" w:rsidRDefault="003102A9" w:rsidP="008D557C">
      <w:pPr>
        <w:pStyle w:val="figuratitulo"/>
        <w:spacing w:line="240" w:lineRule="auto"/>
        <w:jc w:val="both"/>
        <w:rPr>
          <w:b/>
          <w:bCs/>
        </w:rPr>
        <w:sectPr w:rsidR="003102A9" w:rsidSect="00F7078E">
          <w:type w:val="continuous"/>
          <w:pgSz w:w="12240" w:h="15840"/>
          <w:pgMar w:top="2262" w:right="1440" w:bottom="1440" w:left="1440" w:header="709" w:footer="709" w:gutter="0"/>
          <w:cols w:num="2" w:space="567"/>
          <w:docGrid w:linePitch="360"/>
        </w:sectPr>
      </w:pPr>
      <w:r w:rsidRPr="002839A4">
        <w:rPr>
          <w:rFonts w:cs="Times New Roman (Cuerpo en alfa"/>
          <w:color w:val="3B3838" w:themeColor="background2" w:themeShade="40"/>
          <w:spacing w:val="-8"/>
          <w:sz w:val="22"/>
        </w:rPr>
        <w:t xml:space="preserve">Este diagnóstico presenta el estado general de la ciudad, haciendo un recorrido por las principales </w:t>
      </w:r>
      <w:r w:rsidRPr="002839A4">
        <w:rPr>
          <w:rFonts w:cs="Times New Roman (Cuerpo en alfa"/>
          <w:color w:val="3B3838" w:themeColor="background2" w:themeShade="40"/>
          <w:spacing w:val="-8"/>
          <w:sz w:val="22"/>
        </w:rPr>
        <w:t>características, fenómenos y problemas que enfrenta Bogotá. Se busca la comprensión integral de la ciudad desde sus dinámicas demográficas, territoriales y socioeconómicas a través de los temas más generales y comunes. Ahora bien, si se  quiere profundizar en la información de diagnóstico, a lo largo del plan de desarrollo en cada programa se presentan los principales indicadores y datos relevantes que dan contexto sobre las problemáticas y sus causas. Este entendimiento de la ciudad permite formular acciones para resolver los desequilibrios territoriales, las brechas sociales y que promuevan el mejoramiento de la calidad de vida de todas las personas y formas de vida en el marco de la acción climática.</w:t>
      </w:r>
      <w:r w:rsidRPr="002839A4">
        <w:rPr>
          <w:rFonts w:cs="Times New Roman (Cuerpo en alfa"/>
          <w:b/>
          <w:bCs/>
          <w:color w:val="3B3838" w:themeColor="background2" w:themeShade="40"/>
          <w:spacing w:val="-8"/>
          <w:sz w:val="22"/>
        </w:rPr>
        <w:t xml:space="preserve"> </w:t>
      </w:r>
    </w:p>
    <w:p w14:paraId="5A3DE97F" w14:textId="77777777" w:rsidR="006300AC" w:rsidRDefault="006300AC" w:rsidP="006300AC"/>
    <w:p w14:paraId="1D1253AA" w14:textId="7C801F4E" w:rsidR="003102A9" w:rsidRPr="006300AC" w:rsidRDefault="003102A9" w:rsidP="006300AC">
      <w:pPr>
        <w:pStyle w:val="Ttulo3"/>
        <w:sectPr w:rsidR="003102A9" w:rsidRPr="006300AC" w:rsidSect="00F7078E">
          <w:headerReference w:type="default" r:id="rId26"/>
          <w:footerReference w:type="default" r:id="rId27"/>
          <w:type w:val="continuous"/>
          <w:pgSz w:w="12240" w:h="15840"/>
          <w:pgMar w:top="2262" w:right="1440" w:bottom="1440" w:left="1440" w:header="708" w:footer="708" w:gutter="0"/>
          <w:cols w:space="720"/>
          <w:docGrid w:linePitch="299"/>
        </w:sectPr>
      </w:pPr>
      <w:bookmarkStart w:id="15" w:name="_Toc165169589"/>
      <w:bookmarkStart w:id="16" w:name="_Toc165169729"/>
      <w:r w:rsidRPr="006300AC">
        <w:t>Dinámicas demográficas</w:t>
      </w:r>
      <w:bookmarkEnd w:id="15"/>
      <w:bookmarkEnd w:id="16"/>
    </w:p>
    <w:p w14:paraId="63206158" w14:textId="0458B602" w:rsidR="003102A9" w:rsidRPr="00902FED" w:rsidRDefault="003102A9" w:rsidP="003102A9">
      <w:bookmarkStart w:id="17" w:name="_Toc164327848"/>
      <w:r w:rsidRPr="00902FED">
        <w:t>Para iniciar, se deben analizar las dinámicas demográficas, dado que de estas se derivan las necesidades económicas, sociales y ambientales que enfrentará la ciudad en los próximos años. Al respecto, se cuenta</w:t>
      </w:r>
      <w:r>
        <w:t xml:space="preserve"> con</w:t>
      </w:r>
      <w:r w:rsidRPr="00902FED">
        <w:t xml:space="preserve"> las proyecciones realizadas por el DANE basadas en el Censo </w:t>
      </w:r>
      <w:r w:rsidRPr="00902FED">
        <w:t>Nacional de Población y Vivienda 2018 ajustadas a los efectos de la pandemia de covid-19. En la</w:t>
      </w:r>
      <w:r w:rsidRPr="00513F4B">
        <w:t xml:space="preserve"> </w:t>
      </w:r>
      <w:r w:rsidR="00513F4B" w:rsidRPr="00513F4B">
        <w:fldChar w:fldCharType="begin"/>
      </w:r>
      <w:r w:rsidR="00513F4B" w:rsidRPr="00513F4B">
        <w:instrText xml:space="preserve"> REF _Ref165108625 \h </w:instrText>
      </w:r>
      <w:r w:rsidR="00513F4B" w:rsidRPr="00513F4B">
        <w:fldChar w:fldCharType="separate"/>
      </w:r>
      <w:r w:rsidR="00D01651" w:rsidRPr="00513F4B">
        <w:rPr>
          <w:color w:val="C00000"/>
          <w:sz w:val="18"/>
          <w:szCs w:val="14"/>
        </w:rPr>
        <w:t xml:space="preserve">Gráfica </w:t>
      </w:r>
      <w:r w:rsidR="00D01651">
        <w:rPr>
          <w:noProof/>
          <w:color w:val="C00000"/>
          <w:sz w:val="18"/>
          <w:szCs w:val="14"/>
        </w:rPr>
        <w:t>1</w:t>
      </w:r>
      <w:r w:rsidR="00513F4B" w:rsidRPr="00513F4B">
        <w:fldChar w:fldCharType="end"/>
      </w:r>
      <w:r w:rsidR="00513F4B">
        <w:t xml:space="preserve"> </w:t>
      </w:r>
      <w:r w:rsidRPr="00902FED">
        <w:t>se puede observar la tendencia de las proyecciones de población para Bogotá.</w:t>
      </w:r>
    </w:p>
    <w:p w14:paraId="6C435CD6" w14:textId="77777777" w:rsidR="003102A9" w:rsidRDefault="003102A9" w:rsidP="003102A9">
      <w:pPr>
        <w:pStyle w:val="figuratitulo"/>
        <w:rPr>
          <w:b/>
          <w:bCs/>
        </w:rPr>
        <w:sectPr w:rsidR="003102A9" w:rsidSect="00F7078E">
          <w:footerReference w:type="default" r:id="rId28"/>
          <w:type w:val="continuous"/>
          <w:pgSz w:w="12240" w:h="15840"/>
          <w:pgMar w:top="2262" w:right="1440" w:bottom="1440" w:left="1440" w:header="708" w:footer="708" w:gutter="0"/>
          <w:cols w:num="2" w:space="720"/>
        </w:sectPr>
      </w:pPr>
    </w:p>
    <w:p w14:paraId="6F4D5ED9" w14:textId="540DBC5B" w:rsidR="00113DF9" w:rsidRDefault="00113DF9">
      <w:pPr>
        <w:spacing w:line="240" w:lineRule="auto"/>
        <w:jc w:val="left"/>
        <w:rPr>
          <w:rFonts w:eastAsiaTheme="minorHAnsi" w:cstheme="minorBidi"/>
          <w:b/>
          <w:bCs/>
          <w:color w:val="C00000"/>
          <w:sz w:val="18"/>
          <w:lang w:eastAsia="en-US"/>
        </w:rPr>
      </w:pPr>
      <w:r>
        <w:rPr>
          <w:b/>
          <w:bCs/>
        </w:rPr>
        <w:br w:type="page"/>
      </w:r>
    </w:p>
    <w:p w14:paraId="2DFFDA5B" w14:textId="77777777" w:rsidR="003102A9" w:rsidRDefault="003102A9" w:rsidP="003102A9">
      <w:pPr>
        <w:pStyle w:val="figuratitulo"/>
        <w:rPr>
          <w:b/>
          <w:bCs/>
        </w:rPr>
      </w:pPr>
    </w:p>
    <w:p w14:paraId="5D107154" w14:textId="4D40D965" w:rsidR="003102A9" w:rsidRDefault="00513F4B" w:rsidP="00513F4B">
      <w:pPr>
        <w:pStyle w:val="Descripcin"/>
        <w:jc w:val="center"/>
        <w:rPr>
          <w:sz w:val="18"/>
          <w:szCs w:val="14"/>
        </w:rPr>
      </w:pPr>
      <w:bookmarkStart w:id="18" w:name="_Ref165108625"/>
      <w:bookmarkStart w:id="19" w:name="_Toc165169827"/>
      <w:bookmarkEnd w:id="17"/>
      <w:r w:rsidRPr="00513F4B">
        <w:rPr>
          <w:color w:val="C00000"/>
          <w:sz w:val="18"/>
          <w:szCs w:val="14"/>
        </w:rPr>
        <w:t xml:space="preserve">Gráfica </w:t>
      </w:r>
      <w:r w:rsidRPr="00513F4B">
        <w:rPr>
          <w:color w:val="C00000"/>
          <w:sz w:val="18"/>
          <w:szCs w:val="14"/>
        </w:rPr>
        <w:fldChar w:fldCharType="begin"/>
      </w:r>
      <w:r w:rsidRPr="00513F4B">
        <w:rPr>
          <w:color w:val="C00000"/>
          <w:sz w:val="18"/>
          <w:szCs w:val="14"/>
        </w:rPr>
        <w:instrText xml:space="preserve"> SEQ Gráfica \* ARABIC </w:instrText>
      </w:r>
      <w:r w:rsidRPr="00513F4B">
        <w:rPr>
          <w:color w:val="C00000"/>
          <w:sz w:val="18"/>
          <w:szCs w:val="14"/>
        </w:rPr>
        <w:fldChar w:fldCharType="separate"/>
      </w:r>
      <w:r w:rsidR="00D01651">
        <w:rPr>
          <w:noProof/>
          <w:color w:val="C00000"/>
          <w:sz w:val="18"/>
          <w:szCs w:val="14"/>
        </w:rPr>
        <w:t>1</w:t>
      </w:r>
      <w:r w:rsidRPr="00513F4B">
        <w:rPr>
          <w:color w:val="C00000"/>
          <w:sz w:val="18"/>
          <w:szCs w:val="14"/>
        </w:rPr>
        <w:fldChar w:fldCharType="end"/>
      </w:r>
      <w:bookmarkEnd w:id="18"/>
      <w:r w:rsidRPr="00513F4B">
        <w:rPr>
          <w:color w:val="C00000"/>
          <w:sz w:val="18"/>
          <w:szCs w:val="14"/>
        </w:rPr>
        <w:t xml:space="preserve">. </w:t>
      </w:r>
      <w:r w:rsidR="003102A9" w:rsidRPr="00513F4B">
        <w:rPr>
          <w:sz w:val="18"/>
          <w:szCs w:val="14"/>
        </w:rPr>
        <w:t>Proyección de población para Bogotá</w:t>
      </w:r>
      <w:bookmarkEnd w:id="19"/>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9"/>
        <w:gridCol w:w="6801"/>
      </w:tblGrid>
      <w:tr w:rsidR="00113DF9" w14:paraId="46422DB9" w14:textId="77777777" w:rsidTr="00113DF9">
        <w:tc>
          <w:tcPr>
            <w:tcW w:w="2547" w:type="dxa"/>
          </w:tcPr>
          <w:tbl>
            <w:tblPr>
              <w:tblW w:w="2343" w:type="dxa"/>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789"/>
              <w:gridCol w:w="1554"/>
            </w:tblGrid>
            <w:tr w:rsidR="00113DF9" w:rsidRPr="00113DF9" w14:paraId="7C56DE00" w14:textId="77777777" w:rsidTr="00113DF9">
              <w:trPr>
                <w:trHeight w:val="113"/>
              </w:trPr>
              <w:tc>
                <w:tcPr>
                  <w:tcW w:w="789" w:type="dxa"/>
                  <w:shd w:val="clear" w:color="auto" w:fill="C00000"/>
                  <w:noWrap/>
                  <w:vAlign w:val="center"/>
                  <w:hideMark/>
                </w:tcPr>
                <w:p w14:paraId="7292FCB8" w14:textId="77777777" w:rsidR="00113DF9" w:rsidRPr="00113DF9" w:rsidRDefault="00113DF9" w:rsidP="00113DF9">
                  <w:pPr>
                    <w:rPr>
                      <w:b/>
                      <w:bCs/>
                      <w:color w:val="FFFFFF" w:themeColor="background1"/>
                      <w:szCs w:val="22"/>
                      <w:lang w:eastAsia="es-CO"/>
                    </w:rPr>
                  </w:pPr>
                  <w:r w:rsidRPr="00113DF9">
                    <w:rPr>
                      <w:b/>
                      <w:bCs/>
                      <w:color w:val="FFFFFF" w:themeColor="background1"/>
                      <w:szCs w:val="22"/>
                      <w:lang w:eastAsia="es-CO"/>
                    </w:rPr>
                    <w:t>Año</w:t>
                  </w:r>
                </w:p>
              </w:tc>
              <w:tc>
                <w:tcPr>
                  <w:tcW w:w="1554" w:type="dxa"/>
                  <w:shd w:val="clear" w:color="auto" w:fill="C00000"/>
                  <w:noWrap/>
                  <w:vAlign w:val="center"/>
                  <w:hideMark/>
                </w:tcPr>
                <w:p w14:paraId="0BF620D9" w14:textId="77777777" w:rsidR="00113DF9" w:rsidRPr="00113DF9" w:rsidRDefault="00113DF9" w:rsidP="00113DF9">
                  <w:pPr>
                    <w:rPr>
                      <w:b/>
                      <w:bCs/>
                      <w:color w:val="FFFFFF" w:themeColor="background1"/>
                      <w:szCs w:val="22"/>
                      <w:lang w:eastAsia="es-CO"/>
                    </w:rPr>
                  </w:pPr>
                  <w:r w:rsidRPr="00113DF9">
                    <w:rPr>
                      <w:b/>
                      <w:bCs/>
                      <w:color w:val="FFFFFF" w:themeColor="background1"/>
                      <w:szCs w:val="22"/>
                      <w:lang w:eastAsia="es-CO"/>
                    </w:rPr>
                    <w:t>Población</w:t>
                  </w:r>
                </w:p>
              </w:tc>
            </w:tr>
            <w:tr w:rsidR="00113DF9" w:rsidRPr="00113DF9" w14:paraId="14A7BC4C" w14:textId="77777777" w:rsidTr="00113DF9">
              <w:trPr>
                <w:trHeight w:val="102"/>
              </w:trPr>
              <w:tc>
                <w:tcPr>
                  <w:tcW w:w="789" w:type="dxa"/>
                  <w:shd w:val="clear" w:color="auto" w:fill="auto"/>
                  <w:noWrap/>
                  <w:vAlign w:val="center"/>
                  <w:hideMark/>
                </w:tcPr>
                <w:p w14:paraId="2B8F968B" w14:textId="77777777" w:rsidR="00113DF9" w:rsidRPr="00113DF9" w:rsidRDefault="00113DF9" w:rsidP="00113DF9">
                  <w:pPr>
                    <w:jc w:val="center"/>
                    <w:rPr>
                      <w:szCs w:val="22"/>
                      <w:lang w:eastAsia="es-CO"/>
                    </w:rPr>
                  </w:pPr>
                  <w:r w:rsidRPr="00113DF9">
                    <w:rPr>
                      <w:szCs w:val="22"/>
                      <w:lang w:eastAsia="es-CO"/>
                    </w:rPr>
                    <w:t>2020</w:t>
                  </w:r>
                </w:p>
              </w:tc>
              <w:tc>
                <w:tcPr>
                  <w:tcW w:w="1554" w:type="dxa"/>
                  <w:shd w:val="clear" w:color="auto" w:fill="auto"/>
                  <w:noWrap/>
                  <w:vAlign w:val="center"/>
                  <w:hideMark/>
                </w:tcPr>
                <w:p w14:paraId="3E8F25BE" w14:textId="77777777" w:rsidR="00113DF9" w:rsidRPr="00113DF9" w:rsidRDefault="00113DF9" w:rsidP="00113DF9">
                  <w:pPr>
                    <w:jc w:val="center"/>
                    <w:rPr>
                      <w:szCs w:val="22"/>
                      <w:lang w:eastAsia="es-CO"/>
                    </w:rPr>
                  </w:pPr>
                  <w:r w:rsidRPr="00113DF9">
                    <w:rPr>
                      <w:szCs w:val="22"/>
                      <w:lang w:eastAsia="es-CO"/>
                    </w:rPr>
                    <w:t>7.732.161</w:t>
                  </w:r>
                </w:p>
              </w:tc>
            </w:tr>
            <w:tr w:rsidR="00113DF9" w:rsidRPr="00113DF9" w14:paraId="4C841270" w14:textId="77777777" w:rsidTr="00113DF9">
              <w:trPr>
                <w:trHeight w:val="113"/>
              </w:trPr>
              <w:tc>
                <w:tcPr>
                  <w:tcW w:w="789" w:type="dxa"/>
                  <w:shd w:val="clear" w:color="auto" w:fill="auto"/>
                  <w:noWrap/>
                  <w:vAlign w:val="center"/>
                  <w:hideMark/>
                </w:tcPr>
                <w:p w14:paraId="01EF7406" w14:textId="77777777" w:rsidR="00113DF9" w:rsidRPr="00113DF9" w:rsidRDefault="00113DF9" w:rsidP="00113DF9">
                  <w:pPr>
                    <w:jc w:val="center"/>
                    <w:rPr>
                      <w:szCs w:val="22"/>
                      <w:lang w:eastAsia="es-CO"/>
                    </w:rPr>
                  </w:pPr>
                  <w:r w:rsidRPr="00113DF9">
                    <w:rPr>
                      <w:szCs w:val="22"/>
                      <w:lang w:eastAsia="es-CO"/>
                    </w:rPr>
                    <w:t>2021</w:t>
                  </w:r>
                </w:p>
              </w:tc>
              <w:tc>
                <w:tcPr>
                  <w:tcW w:w="1554" w:type="dxa"/>
                  <w:shd w:val="clear" w:color="auto" w:fill="auto"/>
                  <w:noWrap/>
                  <w:vAlign w:val="center"/>
                  <w:hideMark/>
                </w:tcPr>
                <w:p w14:paraId="5A42B76F" w14:textId="77777777" w:rsidR="00113DF9" w:rsidRPr="00113DF9" w:rsidRDefault="00113DF9" w:rsidP="00113DF9">
                  <w:pPr>
                    <w:jc w:val="center"/>
                    <w:rPr>
                      <w:szCs w:val="22"/>
                      <w:lang w:eastAsia="es-CO"/>
                    </w:rPr>
                  </w:pPr>
                  <w:r w:rsidRPr="00113DF9">
                    <w:rPr>
                      <w:szCs w:val="22"/>
                      <w:lang w:eastAsia="es-CO"/>
                    </w:rPr>
                    <w:t>7.823.334</w:t>
                  </w:r>
                </w:p>
              </w:tc>
            </w:tr>
            <w:tr w:rsidR="00113DF9" w:rsidRPr="00113DF9" w14:paraId="0C6AE5AB" w14:textId="77777777" w:rsidTr="00113DF9">
              <w:trPr>
                <w:trHeight w:val="113"/>
              </w:trPr>
              <w:tc>
                <w:tcPr>
                  <w:tcW w:w="789" w:type="dxa"/>
                  <w:shd w:val="clear" w:color="auto" w:fill="auto"/>
                  <w:noWrap/>
                  <w:vAlign w:val="center"/>
                  <w:hideMark/>
                </w:tcPr>
                <w:p w14:paraId="01C43FDD" w14:textId="77777777" w:rsidR="00113DF9" w:rsidRPr="00113DF9" w:rsidRDefault="00113DF9" w:rsidP="00113DF9">
                  <w:pPr>
                    <w:jc w:val="center"/>
                    <w:rPr>
                      <w:szCs w:val="22"/>
                      <w:lang w:eastAsia="es-CO"/>
                    </w:rPr>
                  </w:pPr>
                  <w:r w:rsidRPr="00113DF9">
                    <w:rPr>
                      <w:szCs w:val="22"/>
                      <w:lang w:eastAsia="es-CO"/>
                    </w:rPr>
                    <w:t>2022</w:t>
                  </w:r>
                </w:p>
              </w:tc>
              <w:tc>
                <w:tcPr>
                  <w:tcW w:w="1554" w:type="dxa"/>
                  <w:shd w:val="clear" w:color="auto" w:fill="auto"/>
                  <w:noWrap/>
                  <w:vAlign w:val="center"/>
                  <w:hideMark/>
                </w:tcPr>
                <w:p w14:paraId="60D2A759" w14:textId="77777777" w:rsidR="00113DF9" w:rsidRPr="00113DF9" w:rsidRDefault="00113DF9" w:rsidP="00113DF9">
                  <w:pPr>
                    <w:jc w:val="center"/>
                    <w:rPr>
                      <w:szCs w:val="22"/>
                      <w:lang w:eastAsia="es-CO"/>
                    </w:rPr>
                  </w:pPr>
                  <w:r w:rsidRPr="00113DF9">
                    <w:rPr>
                      <w:szCs w:val="22"/>
                      <w:lang w:eastAsia="es-CO"/>
                    </w:rPr>
                    <w:t>7.873.316</w:t>
                  </w:r>
                </w:p>
              </w:tc>
            </w:tr>
            <w:tr w:rsidR="00113DF9" w:rsidRPr="00113DF9" w14:paraId="50EEBC48" w14:textId="77777777" w:rsidTr="00113DF9">
              <w:trPr>
                <w:trHeight w:val="113"/>
              </w:trPr>
              <w:tc>
                <w:tcPr>
                  <w:tcW w:w="789" w:type="dxa"/>
                  <w:shd w:val="clear" w:color="auto" w:fill="auto"/>
                  <w:noWrap/>
                  <w:vAlign w:val="center"/>
                  <w:hideMark/>
                </w:tcPr>
                <w:p w14:paraId="7BF97D8D" w14:textId="77777777" w:rsidR="00113DF9" w:rsidRPr="00113DF9" w:rsidRDefault="00113DF9" w:rsidP="00113DF9">
                  <w:pPr>
                    <w:jc w:val="center"/>
                    <w:rPr>
                      <w:szCs w:val="22"/>
                      <w:lang w:eastAsia="es-CO"/>
                    </w:rPr>
                  </w:pPr>
                  <w:r w:rsidRPr="00113DF9">
                    <w:rPr>
                      <w:szCs w:val="22"/>
                      <w:lang w:eastAsia="es-CO"/>
                    </w:rPr>
                    <w:t>2023</w:t>
                  </w:r>
                </w:p>
              </w:tc>
              <w:tc>
                <w:tcPr>
                  <w:tcW w:w="1554" w:type="dxa"/>
                  <w:shd w:val="clear" w:color="auto" w:fill="auto"/>
                  <w:noWrap/>
                  <w:vAlign w:val="center"/>
                  <w:hideMark/>
                </w:tcPr>
                <w:p w14:paraId="2D527F69" w14:textId="77777777" w:rsidR="00113DF9" w:rsidRPr="00113DF9" w:rsidRDefault="00113DF9" w:rsidP="00113DF9">
                  <w:pPr>
                    <w:jc w:val="center"/>
                    <w:rPr>
                      <w:szCs w:val="22"/>
                      <w:lang w:eastAsia="es-CO"/>
                    </w:rPr>
                  </w:pPr>
                  <w:r w:rsidRPr="00113DF9">
                    <w:rPr>
                      <w:szCs w:val="22"/>
                      <w:lang w:eastAsia="es-CO"/>
                    </w:rPr>
                    <w:t>7.907.281</w:t>
                  </w:r>
                </w:p>
              </w:tc>
            </w:tr>
            <w:tr w:rsidR="00113DF9" w:rsidRPr="00113DF9" w14:paraId="442D8185" w14:textId="77777777" w:rsidTr="00113DF9">
              <w:trPr>
                <w:trHeight w:val="113"/>
              </w:trPr>
              <w:tc>
                <w:tcPr>
                  <w:tcW w:w="789" w:type="dxa"/>
                  <w:shd w:val="clear" w:color="auto" w:fill="D9D9D9" w:themeFill="background1" w:themeFillShade="D9"/>
                  <w:noWrap/>
                  <w:vAlign w:val="center"/>
                  <w:hideMark/>
                </w:tcPr>
                <w:p w14:paraId="71B9E787" w14:textId="77777777" w:rsidR="00113DF9" w:rsidRPr="00113DF9" w:rsidRDefault="00113DF9" w:rsidP="00113DF9">
                  <w:pPr>
                    <w:jc w:val="center"/>
                    <w:rPr>
                      <w:szCs w:val="22"/>
                      <w:lang w:eastAsia="es-CO"/>
                    </w:rPr>
                  </w:pPr>
                  <w:r w:rsidRPr="00113DF9">
                    <w:rPr>
                      <w:szCs w:val="22"/>
                      <w:lang w:eastAsia="es-CO"/>
                    </w:rPr>
                    <w:t>2024</w:t>
                  </w:r>
                </w:p>
              </w:tc>
              <w:tc>
                <w:tcPr>
                  <w:tcW w:w="1554" w:type="dxa"/>
                  <w:shd w:val="clear" w:color="auto" w:fill="D9D9D9" w:themeFill="background1" w:themeFillShade="D9"/>
                  <w:noWrap/>
                  <w:vAlign w:val="center"/>
                  <w:hideMark/>
                </w:tcPr>
                <w:p w14:paraId="03F409ED" w14:textId="77777777" w:rsidR="00113DF9" w:rsidRPr="00113DF9" w:rsidRDefault="00113DF9" w:rsidP="00113DF9">
                  <w:pPr>
                    <w:jc w:val="center"/>
                    <w:rPr>
                      <w:szCs w:val="22"/>
                      <w:lang w:eastAsia="es-CO"/>
                    </w:rPr>
                  </w:pPr>
                  <w:r w:rsidRPr="00113DF9">
                    <w:rPr>
                      <w:szCs w:val="22"/>
                      <w:lang w:eastAsia="es-CO"/>
                    </w:rPr>
                    <w:t>7.929.539</w:t>
                  </w:r>
                </w:p>
              </w:tc>
            </w:tr>
            <w:tr w:rsidR="00113DF9" w:rsidRPr="00113DF9" w14:paraId="1F392FDB" w14:textId="77777777" w:rsidTr="00113DF9">
              <w:trPr>
                <w:trHeight w:val="113"/>
              </w:trPr>
              <w:tc>
                <w:tcPr>
                  <w:tcW w:w="789" w:type="dxa"/>
                  <w:shd w:val="clear" w:color="auto" w:fill="D9D9D9" w:themeFill="background1" w:themeFillShade="D9"/>
                  <w:noWrap/>
                  <w:vAlign w:val="center"/>
                  <w:hideMark/>
                </w:tcPr>
                <w:p w14:paraId="20CE9C8A" w14:textId="77777777" w:rsidR="00113DF9" w:rsidRPr="00113DF9" w:rsidRDefault="00113DF9" w:rsidP="00113DF9">
                  <w:pPr>
                    <w:jc w:val="center"/>
                    <w:rPr>
                      <w:szCs w:val="22"/>
                      <w:lang w:eastAsia="es-CO"/>
                    </w:rPr>
                  </w:pPr>
                  <w:r w:rsidRPr="00113DF9">
                    <w:rPr>
                      <w:szCs w:val="22"/>
                      <w:lang w:eastAsia="es-CO"/>
                    </w:rPr>
                    <w:t>2025</w:t>
                  </w:r>
                </w:p>
              </w:tc>
              <w:tc>
                <w:tcPr>
                  <w:tcW w:w="1554" w:type="dxa"/>
                  <w:shd w:val="clear" w:color="auto" w:fill="D9D9D9" w:themeFill="background1" w:themeFillShade="D9"/>
                  <w:noWrap/>
                  <w:vAlign w:val="center"/>
                  <w:hideMark/>
                </w:tcPr>
                <w:p w14:paraId="31583014" w14:textId="77777777" w:rsidR="00113DF9" w:rsidRPr="00113DF9" w:rsidRDefault="00113DF9" w:rsidP="00113DF9">
                  <w:pPr>
                    <w:jc w:val="center"/>
                    <w:rPr>
                      <w:szCs w:val="22"/>
                      <w:lang w:eastAsia="es-CO"/>
                    </w:rPr>
                  </w:pPr>
                  <w:r w:rsidRPr="00113DF9">
                    <w:rPr>
                      <w:szCs w:val="22"/>
                      <w:lang w:eastAsia="es-CO"/>
                    </w:rPr>
                    <w:t>7.937.898</w:t>
                  </w:r>
                </w:p>
              </w:tc>
            </w:tr>
            <w:tr w:rsidR="00113DF9" w:rsidRPr="00113DF9" w14:paraId="61342CCB" w14:textId="77777777" w:rsidTr="00113DF9">
              <w:trPr>
                <w:trHeight w:val="113"/>
              </w:trPr>
              <w:tc>
                <w:tcPr>
                  <w:tcW w:w="789" w:type="dxa"/>
                  <w:shd w:val="clear" w:color="auto" w:fill="D9D9D9" w:themeFill="background1" w:themeFillShade="D9"/>
                  <w:noWrap/>
                  <w:vAlign w:val="center"/>
                  <w:hideMark/>
                </w:tcPr>
                <w:p w14:paraId="6FEDAE10" w14:textId="77777777" w:rsidR="00113DF9" w:rsidRPr="00113DF9" w:rsidRDefault="00113DF9" w:rsidP="00113DF9">
                  <w:pPr>
                    <w:jc w:val="center"/>
                    <w:rPr>
                      <w:szCs w:val="22"/>
                      <w:lang w:eastAsia="es-CO"/>
                    </w:rPr>
                  </w:pPr>
                  <w:r w:rsidRPr="00113DF9">
                    <w:rPr>
                      <w:szCs w:val="22"/>
                      <w:lang w:eastAsia="es-CO"/>
                    </w:rPr>
                    <w:t>2026</w:t>
                  </w:r>
                </w:p>
              </w:tc>
              <w:tc>
                <w:tcPr>
                  <w:tcW w:w="1554" w:type="dxa"/>
                  <w:shd w:val="clear" w:color="auto" w:fill="D9D9D9" w:themeFill="background1" w:themeFillShade="D9"/>
                  <w:noWrap/>
                  <w:vAlign w:val="center"/>
                  <w:hideMark/>
                </w:tcPr>
                <w:p w14:paraId="0C3B7CEC" w14:textId="77777777" w:rsidR="00113DF9" w:rsidRPr="00113DF9" w:rsidRDefault="00113DF9" w:rsidP="00113DF9">
                  <w:pPr>
                    <w:jc w:val="center"/>
                    <w:rPr>
                      <w:szCs w:val="22"/>
                      <w:lang w:eastAsia="es-CO"/>
                    </w:rPr>
                  </w:pPr>
                  <w:r w:rsidRPr="00113DF9">
                    <w:rPr>
                      <w:szCs w:val="22"/>
                      <w:lang w:eastAsia="es-CO"/>
                    </w:rPr>
                    <w:t>7.935.754</w:t>
                  </w:r>
                </w:p>
              </w:tc>
            </w:tr>
            <w:tr w:rsidR="00113DF9" w:rsidRPr="00113DF9" w14:paraId="3C8727D5" w14:textId="77777777" w:rsidTr="00113DF9">
              <w:trPr>
                <w:trHeight w:val="113"/>
              </w:trPr>
              <w:tc>
                <w:tcPr>
                  <w:tcW w:w="789" w:type="dxa"/>
                  <w:shd w:val="clear" w:color="auto" w:fill="D9D9D9" w:themeFill="background1" w:themeFillShade="D9"/>
                  <w:noWrap/>
                  <w:vAlign w:val="center"/>
                  <w:hideMark/>
                </w:tcPr>
                <w:p w14:paraId="29A75764" w14:textId="77777777" w:rsidR="00113DF9" w:rsidRPr="00113DF9" w:rsidRDefault="00113DF9" w:rsidP="00113DF9">
                  <w:pPr>
                    <w:jc w:val="center"/>
                    <w:rPr>
                      <w:szCs w:val="22"/>
                      <w:lang w:eastAsia="es-CO"/>
                    </w:rPr>
                  </w:pPr>
                  <w:r w:rsidRPr="00113DF9">
                    <w:rPr>
                      <w:szCs w:val="22"/>
                      <w:lang w:eastAsia="es-CO"/>
                    </w:rPr>
                    <w:t>2027</w:t>
                  </w:r>
                </w:p>
              </w:tc>
              <w:tc>
                <w:tcPr>
                  <w:tcW w:w="1554" w:type="dxa"/>
                  <w:shd w:val="clear" w:color="auto" w:fill="D9D9D9" w:themeFill="background1" w:themeFillShade="D9"/>
                  <w:noWrap/>
                  <w:vAlign w:val="center"/>
                  <w:hideMark/>
                </w:tcPr>
                <w:p w14:paraId="13D06389" w14:textId="77777777" w:rsidR="00113DF9" w:rsidRPr="00113DF9" w:rsidRDefault="00113DF9" w:rsidP="00113DF9">
                  <w:pPr>
                    <w:jc w:val="center"/>
                    <w:rPr>
                      <w:szCs w:val="22"/>
                      <w:lang w:eastAsia="es-CO"/>
                    </w:rPr>
                  </w:pPr>
                  <w:r w:rsidRPr="00113DF9">
                    <w:rPr>
                      <w:szCs w:val="22"/>
                      <w:lang w:eastAsia="es-CO"/>
                    </w:rPr>
                    <w:t>7.927.891</w:t>
                  </w:r>
                </w:p>
              </w:tc>
            </w:tr>
            <w:tr w:rsidR="00113DF9" w:rsidRPr="00113DF9" w14:paraId="378FE2A6" w14:textId="77777777" w:rsidTr="00113DF9">
              <w:trPr>
                <w:trHeight w:val="113"/>
              </w:trPr>
              <w:tc>
                <w:tcPr>
                  <w:tcW w:w="789" w:type="dxa"/>
                  <w:shd w:val="clear" w:color="auto" w:fill="auto"/>
                  <w:noWrap/>
                  <w:vAlign w:val="center"/>
                  <w:hideMark/>
                </w:tcPr>
                <w:p w14:paraId="280FDE89" w14:textId="77777777" w:rsidR="00113DF9" w:rsidRPr="00113DF9" w:rsidRDefault="00113DF9" w:rsidP="00113DF9">
                  <w:pPr>
                    <w:jc w:val="center"/>
                    <w:rPr>
                      <w:szCs w:val="22"/>
                      <w:lang w:eastAsia="es-CO"/>
                    </w:rPr>
                  </w:pPr>
                  <w:r w:rsidRPr="00113DF9">
                    <w:rPr>
                      <w:szCs w:val="22"/>
                      <w:lang w:eastAsia="es-CO"/>
                    </w:rPr>
                    <w:t>2028</w:t>
                  </w:r>
                </w:p>
              </w:tc>
              <w:tc>
                <w:tcPr>
                  <w:tcW w:w="1554" w:type="dxa"/>
                  <w:shd w:val="clear" w:color="auto" w:fill="auto"/>
                  <w:noWrap/>
                  <w:vAlign w:val="center"/>
                  <w:hideMark/>
                </w:tcPr>
                <w:p w14:paraId="03D9048A" w14:textId="77777777" w:rsidR="00113DF9" w:rsidRPr="00113DF9" w:rsidRDefault="00113DF9" w:rsidP="00113DF9">
                  <w:pPr>
                    <w:jc w:val="center"/>
                    <w:rPr>
                      <w:szCs w:val="22"/>
                      <w:lang w:eastAsia="es-CO"/>
                    </w:rPr>
                  </w:pPr>
                  <w:r w:rsidRPr="00113DF9">
                    <w:rPr>
                      <w:szCs w:val="22"/>
                      <w:lang w:eastAsia="es-CO"/>
                    </w:rPr>
                    <w:t>7.916.369</w:t>
                  </w:r>
                </w:p>
              </w:tc>
            </w:tr>
            <w:tr w:rsidR="00113DF9" w:rsidRPr="00113DF9" w14:paraId="6850CAED" w14:textId="77777777" w:rsidTr="00113DF9">
              <w:trPr>
                <w:trHeight w:val="113"/>
              </w:trPr>
              <w:tc>
                <w:tcPr>
                  <w:tcW w:w="789" w:type="dxa"/>
                  <w:shd w:val="clear" w:color="auto" w:fill="auto"/>
                  <w:noWrap/>
                  <w:vAlign w:val="center"/>
                  <w:hideMark/>
                </w:tcPr>
                <w:p w14:paraId="25F6BCD8" w14:textId="77777777" w:rsidR="00113DF9" w:rsidRPr="00113DF9" w:rsidRDefault="00113DF9" w:rsidP="00113DF9">
                  <w:pPr>
                    <w:jc w:val="center"/>
                    <w:rPr>
                      <w:szCs w:val="22"/>
                      <w:lang w:eastAsia="es-CO"/>
                    </w:rPr>
                  </w:pPr>
                  <w:r w:rsidRPr="00113DF9">
                    <w:rPr>
                      <w:szCs w:val="22"/>
                      <w:lang w:eastAsia="es-CO"/>
                    </w:rPr>
                    <w:t>2029</w:t>
                  </w:r>
                </w:p>
              </w:tc>
              <w:tc>
                <w:tcPr>
                  <w:tcW w:w="1554" w:type="dxa"/>
                  <w:shd w:val="clear" w:color="auto" w:fill="auto"/>
                  <w:noWrap/>
                  <w:vAlign w:val="center"/>
                  <w:hideMark/>
                </w:tcPr>
                <w:p w14:paraId="05B76956" w14:textId="77777777" w:rsidR="00113DF9" w:rsidRPr="00113DF9" w:rsidRDefault="00113DF9" w:rsidP="00113DF9">
                  <w:pPr>
                    <w:jc w:val="center"/>
                    <w:rPr>
                      <w:szCs w:val="22"/>
                      <w:lang w:eastAsia="es-CO"/>
                    </w:rPr>
                  </w:pPr>
                  <w:r w:rsidRPr="00113DF9">
                    <w:rPr>
                      <w:szCs w:val="22"/>
                      <w:lang w:eastAsia="es-CO"/>
                    </w:rPr>
                    <w:t>7.902.910</w:t>
                  </w:r>
                </w:p>
              </w:tc>
            </w:tr>
            <w:tr w:rsidR="00113DF9" w:rsidRPr="00113DF9" w14:paraId="68943F5A" w14:textId="77777777" w:rsidTr="00113DF9">
              <w:trPr>
                <w:trHeight w:val="113"/>
              </w:trPr>
              <w:tc>
                <w:tcPr>
                  <w:tcW w:w="789" w:type="dxa"/>
                  <w:shd w:val="clear" w:color="auto" w:fill="auto"/>
                  <w:noWrap/>
                  <w:vAlign w:val="center"/>
                  <w:hideMark/>
                </w:tcPr>
                <w:p w14:paraId="7E85D942" w14:textId="77777777" w:rsidR="00113DF9" w:rsidRPr="00113DF9" w:rsidRDefault="00113DF9" w:rsidP="00113DF9">
                  <w:pPr>
                    <w:jc w:val="center"/>
                    <w:rPr>
                      <w:szCs w:val="22"/>
                      <w:lang w:eastAsia="es-CO"/>
                    </w:rPr>
                  </w:pPr>
                  <w:r w:rsidRPr="00113DF9">
                    <w:rPr>
                      <w:szCs w:val="22"/>
                      <w:lang w:eastAsia="es-CO"/>
                    </w:rPr>
                    <w:t>2030</w:t>
                  </w:r>
                </w:p>
              </w:tc>
              <w:tc>
                <w:tcPr>
                  <w:tcW w:w="1554" w:type="dxa"/>
                  <w:shd w:val="clear" w:color="auto" w:fill="auto"/>
                  <w:noWrap/>
                  <w:vAlign w:val="center"/>
                  <w:hideMark/>
                </w:tcPr>
                <w:p w14:paraId="6FECC025" w14:textId="77777777" w:rsidR="00113DF9" w:rsidRPr="00113DF9" w:rsidRDefault="00113DF9" w:rsidP="00113DF9">
                  <w:pPr>
                    <w:jc w:val="center"/>
                    <w:rPr>
                      <w:szCs w:val="22"/>
                      <w:lang w:eastAsia="es-CO"/>
                    </w:rPr>
                  </w:pPr>
                  <w:r w:rsidRPr="00113DF9">
                    <w:rPr>
                      <w:szCs w:val="22"/>
                      <w:lang w:eastAsia="es-CO"/>
                    </w:rPr>
                    <w:t>7.888.838</w:t>
                  </w:r>
                </w:p>
              </w:tc>
            </w:tr>
            <w:tr w:rsidR="00113DF9" w:rsidRPr="00113DF9" w14:paraId="228DA676" w14:textId="77777777" w:rsidTr="00113DF9">
              <w:trPr>
                <w:trHeight w:val="113"/>
              </w:trPr>
              <w:tc>
                <w:tcPr>
                  <w:tcW w:w="789" w:type="dxa"/>
                  <w:shd w:val="clear" w:color="auto" w:fill="auto"/>
                  <w:noWrap/>
                  <w:vAlign w:val="center"/>
                  <w:hideMark/>
                </w:tcPr>
                <w:p w14:paraId="1A4F5FE6" w14:textId="77777777" w:rsidR="00113DF9" w:rsidRPr="00113DF9" w:rsidRDefault="00113DF9" w:rsidP="00113DF9">
                  <w:pPr>
                    <w:jc w:val="center"/>
                    <w:rPr>
                      <w:szCs w:val="22"/>
                      <w:lang w:eastAsia="es-CO"/>
                    </w:rPr>
                  </w:pPr>
                  <w:r w:rsidRPr="00113DF9">
                    <w:rPr>
                      <w:szCs w:val="22"/>
                      <w:lang w:eastAsia="es-CO"/>
                    </w:rPr>
                    <w:t>2031</w:t>
                  </w:r>
                </w:p>
              </w:tc>
              <w:tc>
                <w:tcPr>
                  <w:tcW w:w="1554" w:type="dxa"/>
                  <w:shd w:val="clear" w:color="auto" w:fill="auto"/>
                  <w:noWrap/>
                  <w:vAlign w:val="center"/>
                  <w:hideMark/>
                </w:tcPr>
                <w:p w14:paraId="721ECC39" w14:textId="77777777" w:rsidR="00113DF9" w:rsidRPr="00113DF9" w:rsidRDefault="00113DF9" w:rsidP="00113DF9">
                  <w:pPr>
                    <w:jc w:val="center"/>
                    <w:rPr>
                      <w:szCs w:val="22"/>
                      <w:lang w:eastAsia="es-CO"/>
                    </w:rPr>
                  </w:pPr>
                  <w:r w:rsidRPr="00113DF9">
                    <w:rPr>
                      <w:szCs w:val="22"/>
                      <w:lang w:eastAsia="es-CO"/>
                    </w:rPr>
                    <w:t>7.874.103</w:t>
                  </w:r>
                </w:p>
              </w:tc>
            </w:tr>
            <w:tr w:rsidR="00113DF9" w:rsidRPr="00113DF9" w14:paraId="05DF0ED4" w14:textId="77777777" w:rsidTr="00113DF9">
              <w:trPr>
                <w:trHeight w:val="113"/>
              </w:trPr>
              <w:tc>
                <w:tcPr>
                  <w:tcW w:w="789" w:type="dxa"/>
                  <w:shd w:val="clear" w:color="auto" w:fill="auto"/>
                  <w:noWrap/>
                  <w:vAlign w:val="center"/>
                  <w:hideMark/>
                </w:tcPr>
                <w:p w14:paraId="2F37CB2B" w14:textId="77777777" w:rsidR="00113DF9" w:rsidRPr="00113DF9" w:rsidRDefault="00113DF9" w:rsidP="00113DF9">
                  <w:pPr>
                    <w:jc w:val="center"/>
                    <w:rPr>
                      <w:szCs w:val="22"/>
                      <w:lang w:eastAsia="es-CO"/>
                    </w:rPr>
                  </w:pPr>
                  <w:r w:rsidRPr="00113DF9">
                    <w:rPr>
                      <w:szCs w:val="22"/>
                      <w:lang w:eastAsia="es-CO"/>
                    </w:rPr>
                    <w:t>2032</w:t>
                  </w:r>
                </w:p>
              </w:tc>
              <w:tc>
                <w:tcPr>
                  <w:tcW w:w="1554" w:type="dxa"/>
                  <w:shd w:val="clear" w:color="auto" w:fill="auto"/>
                  <w:noWrap/>
                  <w:vAlign w:val="center"/>
                  <w:hideMark/>
                </w:tcPr>
                <w:p w14:paraId="0A7A0358" w14:textId="77777777" w:rsidR="00113DF9" w:rsidRPr="00113DF9" w:rsidRDefault="00113DF9" w:rsidP="00113DF9">
                  <w:pPr>
                    <w:jc w:val="center"/>
                    <w:rPr>
                      <w:szCs w:val="22"/>
                      <w:lang w:eastAsia="es-CO"/>
                    </w:rPr>
                  </w:pPr>
                  <w:r w:rsidRPr="00113DF9">
                    <w:rPr>
                      <w:szCs w:val="22"/>
                      <w:lang w:eastAsia="es-CO"/>
                    </w:rPr>
                    <w:t>7.858.086</w:t>
                  </w:r>
                </w:p>
              </w:tc>
            </w:tr>
            <w:tr w:rsidR="00113DF9" w:rsidRPr="00113DF9" w14:paraId="6C3C66FA" w14:textId="77777777" w:rsidTr="00113DF9">
              <w:trPr>
                <w:trHeight w:val="113"/>
              </w:trPr>
              <w:tc>
                <w:tcPr>
                  <w:tcW w:w="789" w:type="dxa"/>
                  <w:shd w:val="clear" w:color="auto" w:fill="auto"/>
                  <w:noWrap/>
                  <w:vAlign w:val="center"/>
                  <w:hideMark/>
                </w:tcPr>
                <w:p w14:paraId="594895E8" w14:textId="77777777" w:rsidR="00113DF9" w:rsidRPr="00113DF9" w:rsidRDefault="00113DF9" w:rsidP="00113DF9">
                  <w:pPr>
                    <w:jc w:val="center"/>
                    <w:rPr>
                      <w:szCs w:val="22"/>
                      <w:lang w:eastAsia="es-CO"/>
                    </w:rPr>
                  </w:pPr>
                  <w:r w:rsidRPr="00113DF9">
                    <w:rPr>
                      <w:szCs w:val="22"/>
                      <w:lang w:eastAsia="es-CO"/>
                    </w:rPr>
                    <w:t>2033</w:t>
                  </w:r>
                </w:p>
              </w:tc>
              <w:tc>
                <w:tcPr>
                  <w:tcW w:w="1554" w:type="dxa"/>
                  <w:shd w:val="clear" w:color="auto" w:fill="auto"/>
                  <w:noWrap/>
                  <w:vAlign w:val="center"/>
                  <w:hideMark/>
                </w:tcPr>
                <w:p w14:paraId="50ABDCA4" w14:textId="77777777" w:rsidR="00113DF9" w:rsidRPr="00113DF9" w:rsidRDefault="00113DF9" w:rsidP="00113DF9">
                  <w:pPr>
                    <w:jc w:val="center"/>
                    <w:rPr>
                      <w:szCs w:val="22"/>
                      <w:lang w:eastAsia="es-CO"/>
                    </w:rPr>
                  </w:pPr>
                  <w:r w:rsidRPr="00113DF9">
                    <w:rPr>
                      <w:szCs w:val="22"/>
                      <w:lang w:eastAsia="es-CO"/>
                    </w:rPr>
                    <w:t>7.840.757</w:t>
                  </w:r>
                </w:p>
              </w:tc>
            </w:tr>
            <w:tr w:rsidR="00113DF9" w:rsidRPr="00113DF9" w14:paraId="255F2743" w14:textId="77777777" w:rsidTr="00113DF9">
              <w:trPr>
                <w:trHeight w:val="113"/>
              </w:trPr>
              <w:tc>
                <w:tcPr>
                  <w:tcW w:w="789" w:type="dxa"/>
                  <w:shd w:val="clear" w:color="auto" w:fill="auto"/>
                  <w:noWrap/>
                  <w:vAlign w:val="center"/>
                  <w:hideMark/>
                </w:tcPr>
                <w:p w14:paraId="64477822" w14:textId="77777777" w:rsidR="00113DF9" w:rsidRPr="00113DF9" w:rsidRDefault="00113DF9" w:rsidP="00113DF9">
                  <w:pPr>
                    <w:jc w:val="center"/>
                    <w:rPr>
                      <w:szCs w:val="22"/>
                      <w:lang w:eastAsia="es-CO"/>
                    </w:rPr>
                  </w:pPr>
                  <w:r w:rsidRPr="00113DF9">
                    <w:rPr>
                      <w:szCs w:val="22"/>
                      <w:lang w:eastAsia="es-CO"/>
                    </w:rPr>
                    <w:t>2034</w:t>
                  </w:r>
                </w:p>
              </w:tc>
              <w:tc>
                <w:tcPr>
                  <w:tcW w:w="1554" w:type="dxa"/>
                  <w:shd w:val="clear" w:color="auto" w:fill="auto"/>
                  <w:noWrap/>
                  <w:vAlign w:val="center"/>
                  <w:hideMark/>
                </w:tcPr>
                <w:p w14:paraId="24D89F2C" w14:textId="77777777" w:rsidR="00113DF9" w:rsidRPr="00113DF9" w:rsidRDefault="00113DF9" w:rsidP="00113DF9">
                  <w:pPr>
                    <w:jc w:val="center"/>
                    <w:rPr>
                      <w:szCs w:val="22"/>
                      <w:lang w:eastAsia="es-CO"/>
                    </w:rPr>
                  </w:pPr>
                  <w:r w:rsidRPr="00113DF9">
                    <w:rPr>
                      <w:szCs w:val="22"/>
                      <w:lang w:eastAsia="es-CO"/>
                    </w:rPr>
                    <w:t>7.822.145</w:t>
                  </w:r>
                </w:p>
              </w:tc>
            </w:tr>
            <w:tr w:rsidR="00113DF9" w:rsidRPr="00113DF9" w14:paraId="0B426706" w14:textId="77777777" w:rsidTr="00113DF9">
              <w:trPr>
                <w:trHeight w:val="113"/>
              </w:trPr>
              <w:tc>
                <w:tcPr>
                  <w:tcW w:w="789" w:type="dxa"/>
                  <w:shd w:val="clear" w:color="auto" w:fill="auto"/>
                  <w:noWrap/>
                  <w:vAlign w:val="center"/>
                  <w:hideMark/>
                </w:tcPr>
                <w:p w14:paraId="4E720BBB" w14:textId="77777777" w:rsidR="00113DF9" w:rsidRPr="00113DF9" w:rsidRDefault="00113DF9" w:rsidP="00113DF9">
                  <w:pPr>
                    <w:jc w:val="center"/>
                    <w:rPr>
                      <w:szCs w:val="22"/>
                      <w:lang w:eastAsia="es-CO"/>
                    </w:rPr>
                  </w:pPr>
                  <w:r w:rsidRPr="00113DF9">
                    <w:rPr>
                      <w:szCs w:val="22"/>
                      <w:lang w:eastAsia="es-CO"/>
                    </w:rPr>
                    <w:t>2035</w:t>
                  </w:r>
                </w:p>
              </w:tc>
              <w:tc>
                <w:tcPr>
                  <w:tcW w:w="1554" w:type="dxa"/>
                  <w:shd w:val="clear" w:color="auto" w:fill="auto"/>
                  <w:noWrap/>
                  <w:vAlign w:val="center"/>
                  <w:hideMark/>
                </w:tcPr>
                <w:p w14:paraId="0838EF56" w14:textId="77777777" w:rsidR="00113DF9" w:rsidRPr="00113DF9" w:rsidRDefault="00113DF9" w:rsidP="00113DF9">
                  <w:pPr>
                    <w:jc w:val="center"/>
                    <w:rPr>
                      <w:szCs w:val="22"/>
                      <w:lang w:eastAsia="es-CO"/>
                    </w:rPr>
                  </w:pPr>
                  <w:r w:rsidRPr="00113DF9">
                    <w:rPr>
                      <w:szCs w:val="22"/>
                      <w:lang w:eastAsia="es-CO"/>
                    </w:rPr>
                    <w:t>7.802.297</w:t>
                  </w:r>
                </w:p>
              </w:tc>
            </w:tr>
          </w:tbl>
          <w:p w14:paraId="665B0148" w14:textId="77777777" w:rsidR="00113DF9" w:rsidRDefault="00113DF9" w:rsidP="00113DF9">
            <w:pPr>
              <w:rPr>
                <w:lang w:val="es-419" w:eastAsia="en-US"/>
              </w:rPr>
            </w:pPr>
          </w:p>
        </w:tc>
        <w:tc>
          <w:tcPr>
            <w:tcW w:w="6803" w:type="dxa"/>
            <w:vAlign w:val="bottom"/>
          </w:tcPr>
          <w:p w14:paraId="4C4D22F0" w14:textId="05BADABA" w:rsidR="00113DF9" w:rsidRDefault="00113DF9" w:rsidP="00113DF9">
            <w:pPr>
              <w:jc w:val="center"/>
              <w:rPr>
                <w:lang w:val="es-419" w:eastAsia="en-US"/>
              </w:rPr>
            </w:pPr>
            <w:r w:rsidRPr="009A6D16">
              <w:rPr>
                <w:rFonts w:ascii="Times New Roman" w:hAnsi="Times New Roman"/>
                <w:noProof/>
                <w:sz w:val="24"/>
              </w:rPr>
              <w:drawing>
                <wp:inline distT="0" distB="0" distL="0" distR="0" wp14:anchorId="6C65D527" wp14:editId="302E35F8">
                  <wp:extent cx="3835791" cy="2519863"/>
                  <wp:effectExtent l="0" t="0" r="0" b="0"/>
                  <wp:docPr id="86346567" name="Gráfico 1">
                    <a:extLst xmlns:a="http://schemas.openxmlformats.org/drawingml/2006/main">
                      <a:ext uri="{FF2B5EF4-FFF2-40B4-BE49-F238E27FC236}">
                        <a16:creationId xmlns:a16="http://schemas.microsoft.com/office/drawing/2014/main" id="{4D7C9CE0-E92B-62BC-D8DD-8BAF78030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43D88243" w14:textId="77777777" w:rsidR="00113DF9" w:rsidRPr="00113DF9" w:rsidRDefault="00113DF9" w:rsidP="00113DF9">
      <w:pPr>
        <w:rPr>
          <w:lang w:val="es-419" w:eastAsia="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2483"/>
        <w:gridCol w:w="6877"/>
      </w:tblGrid>
      <w:tr w:rsidR="003102A9" w:rsidRPr="009A6D16" w14:paraId="7D568735" w14:textId="77777777" w:rsidTr="00991FE5">
        <w:tc>
          <w:tcPr>
            <w:tcW w:w="2483" w:type="dxa"/>
          </w:tcPr>
          <w:p w14:paraId="042B048D" w14:textId="77777777" w:rsidR="003102A9" w:rsidRPr="009A6D16" w:rsidRDefault="003102A9" w:rsidP="00FF1F9A">
            <w:pPr>
              <w:spacing w:line="480" w:lineRule="auto"/>
              <w:jc w:val="center"/>
              <w:rPr>
                <w:rFonts w:ascii="Times New Roman" w:hAnsi="Times New Roman"/>
                <w:b/>
                <w:bCs/>
                <w:sz w:val="24"/>
                <w:szCs w:val="24"/>
              </w:rPr>
            </w:pPr>
          </w:p>
        </w:tc>
        <w:tc>
          <w:tcPr>
            <w:tcW w:w="6877" w:type="dxa"/>
          </w:tcPr>
          <w:p w14:paraId="015A3958" w14:textId="2FAC0AB0" w:rsidR="003102A9" w:rsidRPr="009A6D16" w:rsidRDefault="003102A9" w:rsidP="00FF1F9A">
            <w:pPr>
              <w:spacing w:line="480" w:lineRule="auto"/>
              <w:jc w:val="center"/>
              <w:rPr>
                <w:rFonts w:ascii="Times New Roman" w:hAnsi="Times New Roman"/>
                <w:b/>
                <w:bCs/>
                <w:sz w:val="24"/>
                <w:szCs w:val="24"/>
              </w:rPr>
            </w:pPr>
          </w:p>
        </w:tc>
      </w:tr>
    </w:tbl>
    <w:p w14:paraId="11295112" w14:textId="77777777" w:rsidR="003102A9" w:rsidRDefault="003102A9" w:rsidP="003102A9">
      <w:pPr>
        <w:pStyle w:val="figuratitulo"/>
        <w:rPr>
          <w:color w:val="3B3838" w:themeColor="background2" w:themeShade="40"/>
        </w:rPr>
      </w:pPr>
      <w:r w:rsidRPr="00902FED">
        <w:rPr>
          <w:b/>
          <w:bCs/>
          <w:color w:val="3B3838" w:themeColor="background2" w:themeShade="40"/>
        </w:rPr>
        <w:t>Fuente:</w:t>
      </w:r>
      <w:r w:rsidRPr="00902FED">
        <w:rPr>
          <w:color w:val="3B3838" w:themeColor="background2" w:themeShade="40"/>
        </w:rPr>
        <w:t xml:space="preserve"> Elaboración propia con base en DANE</w:t>
      </w:r>
      <w:r>
        <w:rPr>
          <w:color w:val="3B3838" w:themeColor="background2" w:themeShade="40"/>
        </w:rPr>
        <w:t xml:space="preserve"> 2023</w:t>
      </w:r>
      <w:r w:rsidRPr="00902FED">
        <w:rPr>
          <w:color w:val="3B3838" w:themeColor="background2" w:themeShade="40"/>
        </w:rPr>
        <w:t xml:space="preserve">, </w:t>
      </w:r>
    </w:p>
    <w:p w14:paraId="7917E359" w14:textId="77777777" w:rsidR="003102A9" w:rsidRPr="00902FED" w:rsidRDefault="003102A9" w:rsidP="003102A9">
      <w:pPr>
        <w:pStyle w:val="figuratitulo"/>
        <w:rPr>
          <w:color w:val="3B3838" w:themeColor="background2" w:themeShade="40"/>
        </w:rPr>
      </w:pPr>
      <w:r w:rsidRPr="00902FED">
        <w:rPr>
          <w:color w:val="3B3838" w:themeColor="background2" w:themeShade="40"/>
        </w:rPr>
        <w:t>Censo Nacional de Población y Vivienda 2018 con ajuste por covid-19.</w:t>
      </w:r>
    </w:p>
    <w:p w14:paraId="2479B5EF" w14:textId="77777777" w:rsidR="003102A9" w:rsidRPr="00516CB0" w:rsidRDefault="003102A9" w:rsidP="003102A9">
      <w:pPr>
        <w:pStyle w:val="figuratitulo"/>
        <w:jc w:val="both"/>
        <w:rPr>
          <w:rFonts w:cs="Times New Roman (Cuerpo en alfa"/>
          <w:spacing w:val="-6"/>
        </w:rPr>
      </w:pPr>
    </w:p>
    <w:p w14:paraId="6C455B2D" w14:textId="77777777" w:rsidR="003102A9" w:rsidRPr="00516CB0" w:rsidRDefault="003102A9" w:rsidP="003102A9">
      <w:pPr>
        <w:pStyle w:val="figuratitulo"/>
        <w:rPr>
          <w:rFonts w:cs="Times New Roman (Cuerpo en alfa"/>
          <w:spacing w:val="-6"/>
        </w:rPr>
      </w:pPr>
    </w:p>
    <w:p w14:paraId="3BC7C6E2" w14:textId="77777777" w:rsidR="003102A9" w:rsidRPr="00516CB0" w:rsidRDefault="003102A9" w:rsidP="003102A9">
      <w:pPr>
        <w:pStyle w:val="figuratitulo"/>
        <w:rPr>
          <w:rFonts w:cs="Times New Roman (Cuerpo en alfa"/>
          <w:spacing w:val="-6"/>
        </w:rPr>
        <w:sectPr w:rsidR="003102A9" w:rsidRPr="00516CB0" w:rsidSect="00F7078E">
          <w:type w:val="continuous"/>
          <w:pgSz w:w="12240" w:h="15840"/>
          <w:pgMar w:top="2262" w:right="1440" w:bottom="1440" w:left="1440" w:header="708" w:footer="708" w:gutter="0"/>
          <w:cols w:space="567"/>
        </w:sectPr>
      </w:pPr>
    </w:p>
    <w:p w14:paraId="7A25978D" w14:textId="2E8E8414" w:rsidR="003102A9" w:rsidRPr="002F2A65" w:rsidRDefault="003102A9" w:rsidP="003102A9">
      <w:r w:rsidRPr="002F2A65">
        <w:t>Como se puede observar en la</w:t>
      </w:r>
      <w:r>
        <w:t xml:space="preserve"> </w:t>
      </w:r>
      <w:r w:rsidR="00704E59">
        <w:t xml:space="preserve">gráfica, </w:t>
      </w:r>
      <w:r w:rsidRPr="002F2A65">
        <w:t>para el cuatrienio 2024-2027 se espera que Bogotá alcance su máximo de población, dando paso a la tendencia de disminución de la población que se dará durante la siguiente década. De acuerdo con las proyecciones, en 2027 Bogotá contará con menos habitantes que en 2024. Por primera vez un Plan Distrital de Desarrollo se enfrenta a esta tendencia de disminución de la población, fenómeno que se explica por el envejecimiento de la población, las tasas de fe</w:t>
      </w:r>
      <w:r>
        <w:t>cundidad</w:t>
      </w:r>
      <w:r w:rsidRPr="002F2A65">
        <w:t xml:space="preserve"> y los movimientos migratorios</w:t>
      </w:r>
      <w:r>
        <w:t xml:space="preserve">, </w:t>
      </w:r>
      <w:r w:rsidR="00DC7FA5">
        <w:t xml:space="preserve">principalmente </w:t>
      </w:r>
      <w:r w:rsidR="00DC7FA5" w:rsidRPr="002F2A65">
        <w:t>intermunicipales</w:t>
      </w:r>
      <w:r w:rsidRPr="002F2A65">
        <w:t>.</w:t>
      </w:r>
    </w:p>
    <w:p w14:paraId="0F33F90E" w14:textId="77777777" w:rsidR="003102A9" w:rsidRPr="002F2A65" w:rsidRDefault="003102A9" w:rsidP="003102A9"/>
    <w:p w14:paraId="57E6593D" w14:textId="6A042761" w:rsidR="003102A9" w:rsidRPr="002F2A65" w:rsidRDefault="003102A9" w:rsidP="003102A9">
      <w:r w:rsidRPr="002F2A65">
        <w:t xml:space="preserve">Con respecto al primero, el índice de envejecimiento, expresado como el cociente entre la </w:t>
      </w:r>
      <w:r w:rsidRPr="002F2A65">
        <w:t>población mayor de 60 años y la población de 0</w:t>
      </w:r>
      <w:r>
        <w:t xml:space="preserve"> a </w:t>
      </w:r>
      <w:r w:rsidRPr="002F2A65">
        <w:t xml:space="preserve">14 años, presentará un aumento pasando de 86,8 en 2024 a un estimado de 133,8 en 2035. Lo anterior significa que cada vez habrá más adultos mayores que niños en Bogotá. Este cambio en la estructura de la población genera en el mercado laboral fenómenos como la reducción de la mano de obra disponible, aspecto que puede llegar a afectar la productividad y la competitividad económica de la ciudad. También, se puede presentar un reto en términos de servicios sociales y del cuidado porque habrá una mayor cantidad de personas que requerirán de este tipo de oferta por el Distrito </w:t>
      </w:r>
      <w:r w:rsidR="00113DF9">
        <w:t>(</w:t>
      </w:r>
      <w:r w:rsidR="00113DF9" w:rsidRPr="00113DF9">
        <w:fldChar w:fldCharType="begin"/>
      </w:r>
      <w:r w:rsidR="00113DF9" w:rsidRPr="00113DF9">
        <w:instrText xml:space="preserve"> REF _Ref165108894 \h </w:instrText>
      </w:r>
      <w:r w:rsidR="00113DF9" w:rsidRPr="00113DF9">
        <w:fldChar w:fldCharType="separate"/>
      </w:r>
      <w:r w:rsidR="00D01651" w:rsidRPr="000C237A">
        <w:rPr>
          <w:color w:val="C00000"/>
          <w:sz w:val="18"/>
          <w:szCs w:val="14"/>
        </w:rPr>
        <w:t xml:space="preserve">Gráfica </w:t>
      </w:r>
      <w:r w:rsidR="00D01651">
        <w:rPr>
          <w:noProof/>
          <w:color w:val="C00000"/>
          <w:sz w:val="18"/>
          <w:szCs w:val="14"/>
        </w:rPr>
        <w:t>2</w:t>
      </w:r>
      <w:r w:rsidR="00113DF9" w:rsidRPr="00113DF9">
        <w:fldChar w:fldCharType="end"/>
      </w:r>
      <w:r w:rsidR="00113DF9">
        <w:t>).</w:t>
      </w:r>
    </w:p>
    <w:p w14:paraId="3AFA5A1E" w14:textId="77777777" w:rsidR="003102A9" w:rsidRDefault="003102A9" w:rsidP="003102A9">
      <w:pPr>
        <w:spacing w:line="480" w:lineRule="auto"/>
        <w:rPr>
          <w:rFonts w:ascii="Times New Roman" w:hAnsi="Times New Roman" w:cs="Times New Roman (Cuerpo en alfa"/>
          <w:spacing w:val="-6"/>
          <w:sz w:val="24"/>
        </w:rPr>
      </w:pPr>
    </w:p>
    <w:p w14:paraId="31600C63" w14:textId="77777777" w:rsidR="003102A9" w:rsidRDefault="003102A9" w:rsidP="003102A9">
      <w:pPr>
        <w:spacing w:line="480" w:lineRule="auto"/>
        <w:rPr>
          <w:rFonts w:ascii="Times New Roman" w:hAnsi="Times New Roman" w:cs="Times New Roman (Cuerpo en alfa"/>
          <w:spacing w:val="-6"/>
          <w:sz w:val="24"/>
        </w:rPr>
        <w:sectPr w:rsidR="003102A9" w:rsidSect="00F7078E">
          <w:type w:val="continuous"/>
          <w:pgSz w:w="12240" w:h="15840"/>
          <w:pgMar w:top="2262" w:right="1440" w:bottom="1440" w:left="1440" w:header="708" w:footer="708" w:gutter="0"/>
          <w:cols w:num="2" w:space="567"/>
        </w:sectPr>
      </w:pPr>
    </w:p>
    <w:p w14:paraId="4CC8037D" w14:textId="77777777" w:rsidR="003102A9" w:rsidRPr="007402B9" w:rsidRDefault="003102A9" w:rsidP="003102A9">
      <w:pPr>
        <w:spacing w:line="480" w:lineRule="auto"/>
        <w:rPr>
          <w:rFonts w:ascii="Times New Roman" w:hAnsi="Times New Roman" w:cs="Times New Roman (Cuerpo en alfa"/>
          <w:spacing w:val="-6"/>
          <w:sz w:val="24"/>
        </w:rPr>
      </w:pPr>
    </w:p>
    <w:p w14:paraId="303A9DDD" w14:textId="05D421A4" w:rsidR="003102A9" w:rsidRPr="000C237A" w:rsidRDefault="00113DF9" w:rsidP="00113DF9">
      <w:pPr>
        <w:pStyle w:val="Descripcin"/>
        <w:jc w:val="center"/>
        <w:rPr>
          <w:sz w:val="18"/>
          <w:szCs w:val="14"/>
        </w:rPr>
      </w:pPr>
      <w:bookmarkStart w:id="20" w:name="_Ref165108894"/>
      <w:bookmarkStart w:id="21" w:name="_Ref164934881"/>
      <w:bookmarkStart w:id="22" w:name="_Toc165169828"/>
      <w:r w:rsidRPr="000C237A">
        <w:rPr>
          <w:color w:val="C00000"/>
          <w:sz w:val="18"/>
          <w:szCs w:val="14"/>
        </w:rPr>
        <w:lastRenderedPageBreak/>
        <w:t xml:space="preserve">Gráfica </w:t>
      </w:r>
      <w:r w:rsidRPr="000C237A">
        <w:rPr>
          <w:color w:val="C00000"/>
          <w:sz w:val="18"/>
          <w:szCs w:val="14"/>
        </w:rPr>
        <w:fldChar w:fldCharType="begin"/>
      </w:r>
      <w:r w:rsidRPr="000C237A">
        <w:rPr>
          <w:color w:val="C00000"/>
          <w:sz w:val="18"/>
          <w:szCs w:val="14"/>
        </w:rPr>
        <w:instrText xml:space="preserve"> SEQ Gráfica \* ARABIC </w:instrText>
      </w:r>
      <w:r w:rsidRPr="000C237A">
        <w:rPr>
          <w:color w:val="C00000"/>
          <w:sz w:val="18"/>
          <w:szCs w:val="14"/>
        </w:rPr>
        <w:fldChar w:fldCharType="separate"/>
      </w:r>
      <w:r w:rsidR="00D01651">
        <w:rPr>
          <w:noProof/>
          <w:color w:val="C00000"/>
          <w:sz w:val="18"/>
          <w:szCs w:val="14"/>
        </w:rPr>
        <w:t>2</w:t>
      </w:r>
      <w:r w:rsidRPr="000C237A">
        <w:rPr>
          <w:color w:val="C00000"/>
          <w:sz w:val="18"/>
          <w:szCs w:val="14"/>
        </w:rPr>
        <w:fldChar w:fldCharType="end"/>
      </w:r>
      <w:bookmarkEnd w:id="20"/>
      <w:r w:rsidRPr="000C237A">
        <w:rPr>
          <w:color w:val="C00000"/>
          <w:sz w:val="18"/>
          <w:szCs w:val="14"/>
        </w:rPr>
        <w:t>.</w:t>
      </w:r>
      <w:bookmarkEnd w:id="21"/>
      <w:r w:rsidRPr="000C237A">
        <w:rPr>
          <w:color w:val="C00000"/>
          <w:sz w:val="18"/>
          <w:szCs w:val="14"/>
        </w:rPr>
        <w:t xml:space="preserve"> </w:t>
      </w:r>
      <w:r w:rsidR="003102A9" w:rsidRPr="000C237A">
        <w:rPr>
          <w:color w:val="000000" w:themeColor="text1"/>
          <w:sz w:val="18"/>
          <w:szCs w:val="14"/>
        </w:rPr>
        <w:t>Pirámide poblacional para Bogotá 2024-2035</w:t>
      </w:r>
      <w:bookmarkEnd w:id="22"/>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0"/>
        <w:gridCol w:w="4474"/>
      </w:tblGrid>
      <w:tr w:rsidR="003102A9" w:rsidRPr="007402B9" w14:paraId="4AE7281A" w14:textId="77777777" w:rsidTr="000C237A">
        <w:tc>
          <w:tcPr>
            <w:tcW w:w="4340" w:type="dxa"/>
          </w:tcPr>
          <w:p w14:paraId="1401A01F" w14:textId="77777777" w:rsidR="003102A9" w:rsidRPr="007402B9" w:rsidRDefault="003102A9" w:rsidP="00FF1F9A">
            <w:pPr>
              <w:pStyle w:val="figuratitulo"/>
              <w:rPr>
                <w:b/>
                <w:bCs/>
                <w:kern w:val="2"/>
                <w:sz w:val="22"/>
                <w14:ligatures w14:val="standardContextual"/>
              </w:rPr>
            </w:pPr>
            <w:r w:rsidRPr="007402B9">
              <w:rPr>
                <w:b/>
                <w:bCs/>
                <w:kern w:val="2"/>
                <w:sz w:val="22"/>
                <w14:ligatures w14:val="standardContextual"/>
              </w:rPr>
              <w:t>2024</w:t>
            </w:r>
          </w:p>
        </w:tc>
        <w:tc>
          <w:tcPr>
            <w:tcW w:w="4474" w:type="dxa"/>
          </w:tcPr>
          <w:p w14:paraId="1D6871EC" w14:textId="77777777" w:rsidR="003102A9" w:rsidRPr="007402B9" w:rsidRDefault="003102A9" w:rsidP="00FF1F9A">
            <w:pPr>
              <w:pStyle w:val="figuratitulo"/>
              <w:rPr>
                <w:b/>
                <w:bCs/>
                <w:kern w:val="2"/>
                <w:sz w:val="22"/>
                <w14:ligatures w14:val="standardContextual"/>
              </w:rPr>
            </w:pPr>
            <w:r w:rsidRPr="007402B9">
              <w:rPr>
                <w:b/>
                <w:bCs/>
                <w:kern w:val="2"/>
                <w:sz w:val="22"/>
                <w14:ligatures w14:val="standardContextual"/>
              </w:rPr>
              <w:t>2035</w:t>
            </w:r>
          </w:p>
        </w:tc>
      </w:tr>
      <w:tr w:rsidR="003102A9" w:rsidRPr="009A6D16" w14:paraId="7E265D6B" w14:textId="77777777" w:rsidTr="000C237A">
        <w:tblPrEx>
          <w:tblCellMar>
            <w:left w:w="70" w:type="dxa"/>
            <w:right w:w="70" w:type="dxa"/>
          </w:tblCellMar>
        </w:tblPrEx>
        <w:trPr>
          <w:trHeight w:val="3231"/>
        </w:trPr>
        <w:tc>
          <w:tcPr>
            <w:tcW w:w="4340" w:type="dxa"/>
          </w:tcPr>
          <w:p w14:paraId="20FA3E38" w14:textId="77777777" w:rsidR="003102A9" w:rsidRPr="009A6D16" w:rsidRDefault="003102A9" w:rsidP="00FF1F9A">
            <w:pPr>
              <w:pStyle w:val="NormalWeb"/>
              <w:spacing w:before="0" w:beforeAutospacing="0" w:after="0" w:afterAutospacing="0" w:line="480" w:lineRule="auto"/>
              <w:jc w:val="center"/>
              <w:rPr>
                <w:rFonts w:eastAsiaTheme="minorHAnsi"/>
                <w:b/>
                <w:bCs/>
                <w:kern w:val="2"/>
                <w:lang w:eastAsia="en-US"/>
                <w14:ligatures w14:val="standardContextual"/>
              </w:rPr>
            </w:pPr>
            <w:r w:rsidRPr="009A6D16">
              <w:rPr>
                <w:noProof/>
              </w:rPr>
              <w:drawing>
                <wp:inline distT="0" distB="0" distL="0" distR="0" wp14:anchorId="4582A755" wp14:editId="3106BD36">
                  <wp:extent cx="2664000" cy="2160000"/>
                  <wp:effectExtent l="0" t="0" r="3175" b="0"/>
                  <wp:docPr id="1370497628" name="Gráfico 1">
                    <a:extLst xmlns:a="http://schemas.openxmlformats.org/drawingml/2006/main">
                      <a:ext uri="{FF2B5EF4-FFF2-40B4-BE49-F238E27FC236}">
                        <a16:creationId xmlns:a16="http://schemas.microsoft.com/office/drawing/2014/main" id="{FFC384DE-B6C8-4F39-B6BE-1555502BA2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4474" w:type="dxa"/>
          </w:tcPr>
          <w:p w14:paraId="3B31BCD7" w14:textId="77777777" w:rsidR="003102A9" w:rsidRPr="009A6D16" w:rsidRDefault="003102A9" w:rsidP="00FF1F9A">
            <w:pPr>
              <w:pStyle w:val="NormalWeb"/>
              <w:spacing w:before="0" w:beforeAutospacing="0" w:after="0" w:afterAutospacing="0" w:line="480" w:lineRule="auto"/>
              <w:jc w:val="center"/>
              <w:rPr>
                <w:rFonts w:eastAsiaTheme="minorHAnsi"/>
                <w:b/>
                <w:bCs/>
                <w:kern w:val="2"/>
                <w:lang w:eastAsia="en-US"/>
                <w14:ligatures w14:val="standardContextual"/>
              </w:rPr>
            </w:pPr>
            <w:r w:rsidRPr="009A6D16">
              <w:rPr>
                <w:noProof/>
              </w:rPr>
              <w:drawing>
                <wp:inline distT="0" distB="0" distL="0" distR="0" wp14:anchorId="62BD3453" wp14:editId="6A959B21">
                  <wp:extent cx="2664000" cy="2160000"/>
                  <wp:effectExtent l="0" t="0" r="3175" b="0"/>
                  <wp:docPr id="1548488548" name="Gráfico 1">
                    <a:extLst xmlns:a="http://schemas.openxmlformats.org/drawingml/2006/main">
                      <a:ext uri="{FF2B5EF4-FFF2-40B4-BE49-F238E27FC236}">
                        <a16:creationId xmlns:a16="http://schemas.microsoft.com/office/drawing/2014/main" id="{CD7ABE05-750F-4EF8-B296-10A20CB45B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0DABF7E" w14:textId="77777777" w:rsidR="003102A9" w:rsidRDefault="003102A9" w:rsidP="003102A9">
      <w:pPr>
        <w:pStyle w:val="figuratitulo"/>
        <w:rPr>
          <w:color w:val="3B3838" w:themeColor="background2" w:themeShade="40"/>
        </w:rPr>
      </w:pPr>
      <w:r w:rsidRPr="007402B9">
        <w:rPr>
          <w:b/>
          <w:bCs/>
          <w:color w:val="3B3838" w:themeColor="background2" w:themeShade="40"/>
        </w:rPr>
        <w:t>Fuente:</w:t>
      </w:r>
      <w:r w:rsidRPr="007402B9">
        <w:rPr>
          <w:color w:val="3B3838" w:themeColor="background2" w:themeShade="40"/>
        </w:rPr>
        <w:t xml:space="preserve"> Elaboración propia con base en DANE</w:t>
      </w:r>
      <w:r>
        <w:rPr>
          <w:color w:val="3B3838" w:themeColor="background2" w:themeShade="40"/>
        </w:rPr>
        <w:t xml:space="preserve"> 2023</w:t>
      </w:r>
      <w:r w:rsidRPr="007402B9">
        <w:rPr>
          <w:color w:val="3B3838" w:themeColor="background2" w:themeShade="40"/>
        </w:rPr>
        <w:t>, Censo Nacional de Población y Vivienda 2018 con ajuste por covid-19.</w:t>
      </w:r>
    </w:p>
    <w:p w14:paraId="02F114BA" w14:textId="77777777" w:rsidR="003102A9" w:rsidRDefault="003102A9" w:rsidP="003102A9">
      <w:pPr>
        <w:pStyle w:val="figuratitulo"/>
        <w:rPr>
          <w:color w:val="3B3838" w:themeColor="background2" w:themeShade="40"/>
        </w:rPr>
      </w:pPr>
    </w:p>
    <w:p w14:paraId="75B4CFC6" w14:textId="77777777" w:rsidR="003102A9" w:rsidRDefault="003102A9" w:rsidP="003102A9">
      <w:pPr>
        <w:pStyle w:val="figuratitulo"/>
        <w:rPr>
          <w:color w:val="3B3838" w:themeColor="background2" w:themeShade="40"/>
        </w:rPr>
      </w:pPr>
    </w:p>
    <w:p w14:paraId="3493E594" w14:textId="77777777" w:rsidR="003102A9" w:rsidRPr="007402B9" w:rsidRDefault="003102A9" w:rsidP="003102A9">
      <w:pPr>
        <w:pStyle w:val="figuratitulo"/>
        <w:rPr>
          <w:color w:val="3B3838" w:themeColor="background2" w:themeShade="40"/>
        </w:rPr>
        <w:sectPr w:rsidR="003102A9" w:rsidRPr="007402B9" w:rsidSect="00F7078E">
          <w:type w:val="continuous"/>
          <w:pgSz w:w="12240" w:h="15840"/>
          <w:pgMar w:top="2262" w:right="1440" w:bottom="1440" w:left="1440" w:header="708" w:footer="708" w:gutter="0"/>
          <w:cols w:space="567"/>
        </w:sectPr>
      </w:pPr>
    </w:p>
    <w:p w14:paraId="28DB38E8" w14:textId="74112BAF" w:rsidR="003102A9" w:rsidRPr="003102A9" w:rsidRDefault="003102A9" w:rsidP="003102A9">
      <w:pPr>
        <w:rPr>
          <w:spacing w:val="-6"/>
        </w:rPr>
      </w:pPr>
      <w:r w:rsidRPr="007402B9">
        <w:t xml:space="preserve">En segundo lugar, las tasas de </w:t>
      </w:r>
      <w:r>
        <w:t>fecundidad</w:t>
      </w:r>
      <w:r w:rsidRPr="007402B9">
        <w:t xml:space="preserve"> muestran también una disminución a lo largo del tiempo, lo que genera una reducción de la población. Según los datos de la Secretaría Distrital de Salud, la tasa global de fecundidad se ha reducido en Bogotá hasta llegar a menos de 1 hijo por mujer en 2022. En general, la tasa </w:t>
      </w:r>
      <w:r w:rsidRPr="007402B9">
        <w:t xml:space="preserve">disminuyó pasando de 1,6 hijos por mujer en 2015 a menos de 1 en 2022. En términos de nacimientos, desde 2016 Bogotá no registra más de 100.000 nacimientos por año. De acuerdo con las proyecciones, la tendencia </w:t>
      </w:r>
      <w:r w:rsidRPr="003102A9">
        <w:rPr>
          <w:spacing w:val="-6"/>
        </w:rPr>
        <w:t xml:space="preserve">seguirá a la baja durante los próximos </w:t>
      </w:r>
      <w:r w:rsidRPr="005A3A74">
        <w:rPr>
          <w:spacing w:val="-6"/>
        </w:rPr>
        <w:t>años</w:t>
      </w:r>
      <w:r w:rsidR="005A3A74">
        <w:rPr>
          <w:spacing w:val="-6"/>
        </w:rPr>
        <w:t xml:space="preserve"> (</w:t>
      </w:r>
      <w:r w:rsidR="005A3A74" w:rsidRPr="005A3A74">
        <w:rPr>
          <w:spacing w:val="-6"/>
        </w:rPr>
        <w:fldChar w:fldCharType="begin"/>
      </w:r>
      <w:r w:rsidR="005A3A74" w:rsidRPr="005A3A74">
        <w:rPr>
          <w:spacing w:val="-6"/>
        </w:rPr>
        <w:instrText xml:space="preserve"> REF _Ref165109149 \h </w:instrText>
      </w:r>
      <w:r w:rsidR="005A3A74" w:rsidRPr="005A3A74">
        <w:rPr>
          <w:spacing w:val="-6"/>
        </w:rPr>
      </w:r>
      <w:r w:rsidR="005A3A74" w:rsidRPr="005A3A74">
        <w:rPr>
          <w:spacing w:val="-6"/>
        </w:rPr>
        <w:fldChar w:fldCharType="separate"/>
      </w:r>
      <w:r w:rsidR="00D01651" w:rsidRPr="005A3A74">
        <w:rPr>
          <w:color w:val="C00000"/>
          <w:sz w:val="18"/>
          <w:szCs w:val="14"/>
        </w:rPr>
        <w:t xml:space="preserve">Gráfica </w:t>
      </w:r>
      <w:r w:rsidR="00D01651">
        <w:rPr>
          <w:noProof/>
          <w:color w:val="C00000"/>
          <w:sz w:val="18"/>
          <w:szCs w:val="14"/>
        </w:rPr>
        <w:t>3</w:t>
      </w:r>
      <w:r w:rsidR="005A3A74" w:rsidRPr="005A3A74">
        <w:rPr>
          <w:spacing w:val="-6"/>
        </w:rPr>
        <w:fldChar w:fldCharType="end"/>
      </w:r>
      <w:r w:rsidR="005A3A74">
        <w:rPr>
          <w:spacing w:val="-6"/>
        </w:rPr>
        <w:t xml:space="preserve">) </w:t>
      </w:r>
      <w:r w:rsidRPr="005A3A74">
        <w:rPr>
          <w:spacing w:val="-6"/>
        </w:rPr>
        <w:t>.</w:t>
      </w:r>
    </w:p>
    <w:p w14:paraId="7D22E376" w14:textId="77777777" w:rsidR="003102A9" w:rsidRDefault="003102A9" w:rsidP="003102A9">
      <w:pPr>
        <w:pStyle w:val="Bullets"/>
        <w:numPr>
          <w:ilvl w:val="0"/>
          <w:numId w:val="0"/>
        </w:numPr>
        <w:ind w:left="284"/>
        <w:rPr>
          <w:rFonts w:ascii="Times New Roman" w:hAnsi="Times New Roman" w:cs="Times New Roman (Cuerpo en alfa"/>
          <w:spacing w:val="-4"/>
          <w:sz w:val="24"/>
        </w:rPr>
        <w:sectPr w:rsidR="003102A9" w:rsidSect="00F7078E">
          <w:type w:val="continuous"/>
          <w:pgSz w:w="12240" w:h="15840"/>
          <w:pgMar w:top="2262" w:right="1440" w:bottom="1440" w:left="1440" w:header="708" w:footer="708" w:gutter="0"/>
          <w:cols w:num="2" w:space="567"/>
        </w:sectPr>
      </w:pPr>
    </w:p>
    <w:p w14:paraId="3D465B3F" w14:textId="77777777" w:rsidR="0097662F" w:rsidRPr="0097662F" w:rsidRDefault="0097662F" w:rsidP="0097662F">
      <w:pPr>
        <w:rPr>
          <w:lang w:eastAsia="en-US"/>
        </w:rPr>
      </w:pPr>
      <w:bookmarkStart w:id="23" w:name="_Ref164935044"/>
    </w:p>
    <w:p w14:paraId="327A1F97" w14:textId="30E120A4" w:rsidR="003102A9" w:rsidRPr="005A3A74" w:rsidRDefault="005A3A74" w:rsidP="005A3A74">
      <w:pPr>
        <w:pStyle w:val="Descripcin"/>
        <w:jc w:val="center"/>
        <w:rPr>
          <w:sz w:val="18"/>
          <w:szCs w:val="14"/>
        </w:rPr>
      </w:pPr>
      <w:bookmarkStart w:id="24" w:name="_Ref165109149"/>
      <w:bookmarkStart w:id="25" w:name="_Toc165169829"/>
      <w:bookmarkEnd w:id="23"/>
      <w:r w:rsidRPr="005A3A74">
        <w:rPr>
          <w:color w:val="C00000"/>
          <w:sz w:val="18"/>
          <w:szCs w:val="14"/>
        </w:rPr>
        <w:t xml:space="preserve">Gráfica </w:t>
      </w:r>
      <w:r w:rsidRPr="005A3A74">
        <w:rPr>
          <w:color w:val="C00000"/>
          <w:sz w:val="18"/>
          <w:szCs w:val="14"/>
        </w:rPr>
        <w:fldChar w:fldCharType="begin"/>
      </w:r>
      <w:r w:rsidRPr="005A3A74">
        <w:rPr>
          <w:color w:val="C00000"/>
          <w:sz w:val="18"/>
          <w:szCs w:val="14"/>
        </w:rPr>
        <w:instrText xml:space="preserve"> SEQ Gráfica \* ARABIC </w:instrText>
      </w:r>
      <w:r w:rsidRPr="005A3A74">
        <w:rPr>
          <w:color w:val="C00000"/>
          <w:sz w:val="18"/>
          <w:szCs w:val="14"/>
        </w:rPr>
        <w:fldChar w:fldCharType="separate"/>
      </w:r>
      <w:r w:rsidR="00D01651">
        <w:rPr>
          <w:noProof/>
          <w:color w:val="C00000"/>
          <w:sz w:val="18"/>
          <w:szCs w:val="14"/>
        </w:rPr>
        <w:t>3</w:t>
      </w:r>
      <w:r w:rsidRPr="005A3A74">
        <w:rPr>
          <w:color w:val="C00000"/>
          <w:sz w:val="18"/>
          <w:szCs w:val="14"/>
        </w:rPr>
        <w:fldChar w:fldCharType="end"/>
      </w:r>
      <w:bookmarkEnd w:id="24"/>
      <w:r w:rsidRPr="005A3A74">
        <w:rPr>
          <w:color w:val="C00000"/>
          <w:sz w:val="18"/>
          <w:szCs w:val="14"/>
        </w:rPr>
        <w:t>.</w:t>
      </w:r>
      <w:r>
        <w:rPr>
          <w:color w:val="C00000"/>
          <w:sz w:val="18"/>
          <w:szCs w:val="14"/>
        </w:rPr>
        <w:t xml:space="preserve"> </w:t>
      </w:r>
      <w:r w:rsidR="003102A9" w:rsidRPr="005A3A74">
        <w:rPr>
          <w:color w:val="000000" w:themeColor="text1"/>
          <w:sz w:val="18"/>
          <w:szCs w:val="14"/>
        </w:rPr>
        <w:t>Tasa global de fecundidad en Bogotá 2005-2022</w:t>
      </w:r>
      <w:bookmarkEnd w:id="25"/>
    </w:p>
    <w:p w14:paraId="235FD034" w14:textId="77777777" w:rsidR="003102A9" w:rsidRPr="009A6D16" w:rsidRDefault="003102A9" w:rsidP="004923C8">
      <w:pPr>
        <w:pStyle w:val="NormalWeb"/>
        <w:spacing w:before="0" w:beforeAutospacing="0" w:after="0" w:afterAutospacing="0" w:line="240" w:lineRule="auto"/>
        <w:jc w:val="center"/>
        <w:rPr>
          <w:rFonts w:eastAsiaTheme="minorHAnsi"/>
          <w:kern w:val="2"/>
          <w:lang w:eastAsia="en-US"/>
          <w14:ligatures w14:val="standardContextual"/>
        </w:rPr>
      </w:pPr>
      <w:r w:rsidRPr="009A6D16">
        <w:rPr>
          <w:noProof/>
        </w:rPr>
        <w:drawing>
          <wp:inline distT="0" distB="0" distL="0" distR="0" wp14:anchorId="365838E1" wp14:editId="4DEDD06F">
            <wp:extent cx="5427100" cy="2613660"/>
            <wp:effectExtent l="0" t="0" r="2540" b="0"/>
            <wp:docPr id="356482130" name="Gráfico 1">
              <a:extLst xmlns:a="http://schemas.openxmlformats.org/drawingml/2006/main">
                <a:ext uri="{FF2B5EF4-FFF2-40B4-BE49-F238E27FC236}">
                  <a16:creationId xmlns:a16="http://schemas.microsoft.com/office/drawing/2014/main" id="{282FC4B1-8807-4986-A3B1-A9D475AA65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DC3322F" w14:textId="77777777" w:rsidR="003102A9" w:rsidRPr="007402B9" w:rsidRDefault="003102A9" w:rsidP="003102A9">
      <w:pPr>
        <w:pStyle w:val="figuratitulo"/>
        <w:rPr>
          <w:color w:val="3B3838" w:themeColor="background2" w:themeShade="40"/>
        </w:rPr>
      </w:pPr>
      <w:r w:rsidRPr="007402B9">
        <w:rPr>
          <w:b/>
          <w:bCs/>
          <w:color w:val="3B3838" w:themeColor="background2" w:themeShade="40"/>
        </w:rPr>
        <w:t>Fuente:</w:t>
      </w:r>
      <w:r w:rsidRPr="007402B9">
        <w:rPr>
          <w:color w:val="3B3838" w:themeColor="background2" w:themeShade="40"/>
        </w:rPr>
        <w:t xml:space="preserve"> Elaboración propia a partir de Secretaría Distrital de Salud (2023).</w:t>
      </w:r>
    </w:p>
    <w:p w14:paraId="34690001" w14:textId="77777777" w:rsidR="003102A9" w:rsidRDefault="003102A9" w:rsidP="003102A9">
      <w:pPr>
        <w:pStyle w:val="figuratitulo"/>
        <w:rPr>
          <w:rFonts w:ascii="Times New Roman" w:hAnsi="Times New Roman"/>
          <w:spacing w:val="-4"/>
          <w:sz w:val="24"/>
        </w:rPr>
      </w:pPr>
    </w:p>
    <w:p w14:paraId="3B31F26B" w14:textId="77777777" w:rsidR="003102A9" w:rsidRDefault="003102A9" w:rsidP="003102A9"/>
    <w:p w14:paraId="062DB45D" w14:textId="77777777" w:rsidR="003102A9" w:rsidRPr="00B64B73" w:rsidRDefault="003102A9" w:rsidP="003102A9">
      <w:pPr>
        <w:sectPr w:rsidR="003102A9" w:rsidRPr="00B64B73" w:rsidSect="00F7078E">
          <w:headerReference w:type="default" r:id="rId33"/>
          <w:type w:val="continuous"/>
          <w:pgSz w:w="12240" w:h="15840"/>
          <w:pgMar w:top="2262" w:right="1440" w:bottom="1440" w:left="1440" w:header="708" w:footer="708" w:gutter="0"/>
          <w:cols w:space="567"/>
        </w:sectPr>
      </w:pPr>
    </w:p>
    <w:p w14:paraId="226CFDD2" w14:textId="4443B130" w:rsidR="003102A9" w:rsidRPr="00D61312" w:rsidRDefault="003102A9" w:rsidP="003102A9">
      <w:r w:rsidRPr="00D61312">
        <w:t>El tercer componente que explica el fenómeno de decrecimiento de la población es el movimiento migratorio intermunicipal al que se enfrenta Bogotá en su contexto regional. Como se puede apreciar en la</w:t>
      </w:r>
      <w:r w:rsidR="00E710A6">
        <w:t xml:space="preserve"> </w:t>
      </w:r>
      <w:r w:rsidR="00E710A6" w:rsidRPr="00E710A6">
        <w:fldChar w:fldCharType="begin"/>
      </w:r>
      <w:r w:rsidR="00E710A6" w:rsidRPr="00E710A6">
        <w:instrText xml:space="preserve"> REF _Ref165109223 \h </w:instrText>
      </w:r>
      <w:r w:rsidR="00E710A6" w:rsidRPr="00E710A6">
        <w:fldChar w:fldCharType="separate"/>
      </w:r>
      <w:r w:rsidR="00D01651" w:rsidRPr="00E710A6">
        <w:rPr>
          <w:color w:val="C00000"/>
          <w:sz w:val="18"/>
          <w:szCs w:val="14"/>
        </w:rPr>
        <w:t xml:space="preserve">Gráfica </w:t>
      </w:r>
      <w:r w:rsidR="00D01651">
        <w:rPr>
          <w:noProof/>
          <w:color w:val="C00000"/>
          <w:sz w:val="18"/>
          <w:szCs w:val="14"/>
        </w:rPr>
        <w:t>4</w:t>
      </w:r>
      <w:r w:rsidR="00E710A6" w:rsidRPr="00E710A6">
        <w:fldChar w:fldCharType="end"/>
      </w:r>
      <w:r w:rsidRPr="00E710A6">
        <w:t>,</w:t>
      </w:r>
      <w:r w:rsidRPr="00D61312">
        <w:t xml:space="preserve"> en Cundinamarca las tasas de crecimiento</w:t>
      </w:r>
      <w:r>
        <w:t xml:space="preserve"> poblacional</w:t>
      </w:r>
      <w:r w:rsidRPr="00D61312">
        <w:t xml:space="preserve"> se mantendrán positivas en el periodo estudiado, si bien se crecerá cada vez a una tasa menor, sí existirá un </w:t>
      </w:r>
      <w:r w:rsidRPr="00D61312">
        <w:t>aumento de la población que pasará de 3.553.293 habitantes en 2024 a 4.602.230 en 2035. Esta tendencia contrasta con la de Bogotá, ciudad que reporta su último crecimiento positivo en 2025 y a partir de entonces muestra tasas negativas que van aumentando año tras año.</w:t>
      </w:r>
    </w:p>
    <w:p w14:paraId="4A52374E" w14:textId="77777777" w:rsidR="003102A9" w:rsidRPr="00077452" w:rsidRDefault="003102A9" w:rsidP="003102A9">
      <w:pPr>
        <w:spacing w:line="480" w:lineRule="auto"/>
        <w:rPr>
          <w:rFonts w:ascii="Times New Roman" w:hAnsi="Times New Roman"/>
          <w:spacing w:val="-6"/>
          <w:sz w:val="24"/>
        </w:rPr>
        <w:sectPr w:rsidR="003102A9" w:rsidRPr="00077452" w:rsidSect="00F7078E">
          <w:type w:val="continuous"/>
          <w:pgSz w:w="12240" w:h="15840"/>
          <w:pgMar w:top="2262" w:right="1440" w:bottom="1440" w:left="1440" w:header="708" w:footer="708" w:gutter="0"/>
          <w:cols w:num="2" w:space="567"/>
        </w:sectPr>
      </w:pPr>
    </w:p>
    <w:p w14:paraId="4D5CDCE2" w14:textId="77777777" w:rsidR="003102A9" w:rsidRPr="003102A9" w:rsidRDefault="003102A9" w:rsidP="003102A9">
      <w:pPr>
        <w:rPr>
          <w:lang w:val="es-419" w:eastAsia="en-US"/>
        </w:rPr>
      </w:pPr>
      <w:bookmarkStart w:id="26" w:name="_Ref164935148"/>
    </w:p>
    <w:p w14:paraId="3CE85697" w14:textId="3999A029" w:rsidR="003102A9" w:rsidRPr="00E710A6" w:rsidRDefault="00E710A6" w:rsidP="00E710A6">
      <w:pPr>
        <w:pStyle w:val="Descripcin"/>
        <w:jc w:val="center"/>
        <w:rPr>
          <w:sz w:val="18"/>
          <w:szCs w:val="14"/>
        </w:rPr>
      </w:pPr>
      <w:bookmarkStart w:id="27" w:name="_Ref165109223"/>
      <w:bookmarkStart w:id="28" w:name="_Toc165169830"/>
      <w:bookmarkEnd w:id="26"/>
      <w:r w:rsidRPr="00E710A6">
        <w:rPr>
          <w:color w:val="C00000"/>
          <w:sz w:val="18"/>
          <w:szCs w:val="14"/>
        </w:rPr>
        <w:t xml:space="preserve">Gráfica </w:t>
      </w:r>
      <w:r w:rsidRPr="00E710A6">
        <w:rPr>
          <w:color w:val="C00000"/>
          <w:sz w:val="18"/>
          <w:szCs w:val="14"/>
        </w:rPr>
        <w:fldChar w:fldCharType="begin"/>
      </w:r>
      <w:r w:rsidRPr="00E710A6">
        <w:rPr>
          <w:color w:val="C00000"/>
          <w:sz w:val="18"/>
          <w:szCs w:val="14"/>
        </w:rPr>
        <w:instrText xml:space="preserve"> SEQ Gráfica \* ARABIC </w:instrText>
      </w:r>
      <w:r w:rsidRPr="00E710A6">
        <w:rPr>
          <w:color w:val="C00000"/>
          <w:sz w:val="18"/>
          <w:szCs w:val="14"/>
        </w:rPr>
        <w:fldChar w:fldCharType="separate"/>
      </w:r>
      <w:r w:rsidR="00D01651">
        <w:rPr>
          <w:noProof/>
          <w:color w:val="C00000"/>
          <w:sz w:val="18"/>
          <w:szCs w:val="14"/>
        </w:rPr>
        <w:t>4</w:t>
      </w:r>
      <w:r w:rsidRPr="00E710A6">
        <w:rPr>
          <w:color w:val="C00000"/>
          <w:sz w:val="18"/>
          <w:szCs w:val="14"/>
        </w:rPr>
        <w:fldChar w:fldCharType="end"/>
      </w:r>
      <w:bookmarkEnd w:id="27"/>
      <w:r w:rsidRPr="00E710A6">
        <w:rPr>
          <w:color w:val="C00000"/>
          <w:sz w:val="18"/>
          <w:szCs w:val="14"/>
        </w:rPr>
        <w:t>.</w:t>
      </w:r>
      <w:r>
        <w:rPr>
          <w:color w:val="C00000"/>
          <w:sz w:val="18"/>
          <w:szCs w:val="14"/>
        </w:rPr>
        <w:t xml:space="preserve"> </w:t>
      </w:r>
      <w:r w:rsidR="003102A9" w:rsidRPr="00E710A6">
        <w:rPr>
          <w:color w:val="000000" w:themeColor="text1"/>
          <w:sz w:val="18"/>
          <w:szCs w:val="14"/>
        </w:rPr>
        <w:t>Tasa de crecimiento poblacional anual 2021-2035</w:t>
      </w:r>
      <w:bookmarkEnd w:id="28"/>
    </w:p>
    <w:p w14:paraId="409D047D" w14:textId="77777777" w:rsidR="003102A9" w:rsidRPr="009A6D16" w:rsidRDefault="003102A9" w:rsidP="00E710A6">
      <w:pPr>
        <w:pStyle w:val="NormalWeb"/>
        <w:spacing w:before="0" w:beforeAutospacing="0" w:after="0" w:afterAutospacing="0" w:line="240" w:lineRule="auto"/>
        <w:jc w:val="center"/>
        <w:rPr>
          <w:rFonts w:eastAsiaTheme="minorHAnsi"/>
          <w:kern w:val="2"/>
          <w:lang w:eastAsia="en-US"/>
          <w14:ligatures w14:val="standardContextual"/>
        </w:rPr>
      </w:pPr>
      <w:r w:rsidRPr="008212CD">
        <w:rPr>
          <w:i/>
          <w:iCs/>
          <w:noProof/>
        </w:rPr>
        <w:drawing>
          <wp:inline distT="0" distB="0" distL="0" distR="0" wp14:anchorId="74FC94CD" wp14:editId="056B3893">
            <wp:extent cx="5517515" cy="2538046"/>
            <wp:effectExtent l="0" t="0" r="6985" b="0"/>
            <wp:docPr id="2059136569" name="Gráfico 1">
              <a:extLst xmlns:a="http://schemas.openxmlformats.org/drawingml/2006/main">
                <a:ext uri="{FF2B5EF4-FFF2-40B4-BE49-F238E27FC236}">
                  <a16:creationId xmlns:a16="http://schemas.microsoft.com/office/drawing/2014/main" id="{66F94DB7-8161-4A2F-8B2B-A3AEC7DE4E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2C20F8B" w14:textId="77777777" w:rsidR="003102A9" w:rsidRDefault="003102A9" w:rsidP="003102A9">
      <w:pPr>
        <w:pStyle w:val="figuratitulo"/>
        <w:rPr>
          <w:color w:val="3B3838" w:themeColor="background2" w:themeShade="40"/>
        </w:rPr>
      </w:pPr>
      <w:r w:rsidRPr="00D61312">
        <w:rPr>
          <w:b/>
          <w:bCs/>
          <w:color w:val="3B3838" w:themeColor="background2" w:themeShade="40"/>
        </w:rPr>
        <w:t>Fuente:</w:t>
      </w:r>
      <w:r w:rsidRPr="00D61312">
        <w:rPr>
          <w:color w:val="3B3838" w:themeColor="background2" w:themeShade="40"/>
        </w:rPr>
        <w:t xml:space="preserve"> Elaboración propia con base en DANE</w:t>
      </w:r>
      <w:r>
        <w:rPr>
          <w:color w:val="3B3838" w:themeColor="background2" w:themeShade="40"/>
        </w:rPr>
        <w:t xml:space="preserve"> 2023</w:t>
      </w:r>
      <w:r w:rsidRPr="00D61312">
        <w:rPr>
          <w:color w:val="3B3838" w:themeColor="background2" w:themeShade="40"/>
        </w:rPr>
        <w:t xml:space="preserve">, Censo Nacional de Población </w:t>
      </w:r>
    </w:p>
    <w:p w14:paraId="49DB230F" w14:textId="77777777" w:rsidR="003102A9" w:rsidRDefault="003102A9" w:rsidP="003102A9">
      <w:pPr>
        <w:pStyle w:val="figuratitulo"/>
        <w:rPr>
          <w:color w:val="3B3838" w:themeColor="background2" w:themeShade="40"/>
        </w:rPr>
      </w:pPr>
      <w:r w:rsidRPr="00D61312">
        <w:rPr>
          <w:color w:val="3B3838" w:themeColor="background2" w:themeShade="40"/>
        </w:rPr>
        <w:t>y Vivienda 2018 con ajuste por covid-19.</w:t>
      </w:r>
    </w:p>
    <w:p w14:paraId="0FFBBAE3" w14:textId="77777777" w:rsidR="003102A9" w:rsidRPr="00D61312" w:rsidRDefault="003102A9" w:rsidP="003102A9">
      <w:pPr>
        <w:pStyle w:val="figuratitulo"/>
        <w:rPr>
          <w:color w:val="3B3838" w:themeColor="background2" w:themeShade="40"/>
        </w:rPr>
      </w:pPr>
    </w:p>
    <w:p w14:paraId="473D46F1" w14:textId="77777777" w:rsidR="003102A9" w:rsidRDefault="003102A9" w:rsidP="003102A9">
      <w:pPr>
        <w:sectPr w:rsidR="003102A9" w:rsidSect="00F7078E">
          <w:headerReference w:type="default" r:id="rId35"/>
          <w:type w:val="continuous"/>
          <w:pgSz w:w="12240" w:h="15840"/>
          <w:pgMar w:top="2262" w:right="1440" w:bottom="1440" w:left="1440" w:header="708" w:footer="708" w:gutter="0"/>
          <w:cols w:space="720"/>
        </w:sectPr>
      </w:pPr>
    </w:p>
    <w:p w14:paraId="2958FC79" w14:textId="5C6AC50F" w:rsidR="003102A9" w:rsidRDefault="003102A9" w:rsidP="003102A9">
      <w:pPr>
        <w:sectPr w:rsidR="003102A9" w:rsidSect="00F7078E">
          <w:type w:val="continuous"/>
          <w:pgSz w:w="12240" w:h="15840"/>
          <w:pgMar w:top="2262" w:right="1440" w:bottom="1440" w:left="1440" w:header="708" w:footer="708" w:gutter="0"/>
          <w:cols w:num="2" w:space="567"/>
        </w:sectPr>
      </w:pPr>
      <w:bookmarkStart w:id="29" w:name="_Toc164327913"/>
      <w:r w:rsidRPr="00DD642C">
        <w:rPr>
          <w:rFonts w:cs="Times New Roman (Cuerpo en alfa"/>
          <w:spacing w:val="-8"/>
        </w:rPr>
        <w:t>Este resultado se explica en gran medida por los mayores flujos migratorios, especialmente internos previstos desde Bogotá hacia los municipios de la región. Es decir, mientras que las proyecciones de población muestran una reducción del número de habitantes en Bogotá, la población de Cundinamarca presenta un crecimiento. Esto da cuenta de la</w:t>
      </w:r>
      <w:r w:rsidRPr="00D61312">
        <w:t xml:space="preserve"> </w:t>
      </w:r>
      <w:r w:rsidRPr="00D61312">
        <w:t>importancia de pensar las acciones de ciudad y del presente Plan con un enfoque regional. Algunas de las dinámicas poblacionales, y con esto los fenómenos económicos, de seguridad, movilidad, seguridad alimentaria, acción climática, entre otros, traspasan la escala distrital y deben ser pensadas desde lo regional.</w:t>
      </w:r>
    </w:p>
    <w:p w14:paraId="55DA6D32" w14:textId="77777777" w:rsidR="003102A9" w:rsidRDefault="003102A9" w:rsidP="003102A9"/>
    <w:p w14:paraId="379BFCB1" w14:textId="77777777" w:rsidR="003102A9" w:rsidRPr="00DB2757" w:rsidRDefault="003102A9" w:rsidP="003102A9">
      <w:pPr>
        <w:sectPr w:rsidR="003102A9" w:rsidRPr="00DB2757" w:rsidSect="00F7078E">
          <w:type w:val="continuous"/>
          <w:pgSz w:w="12240" w:h="15840"/>
          <w:pgMar w:top="2262" w:right="1440" w:bottom="1440" w:left="1440" w:header="708" w:footer="708" w:gutter="0"/>
          <w:cols w:space="567"/>
        </w:sectPr>
      </w:pPr>
    </w:p>
    <w:p w14:paraId="72D59853" w14:textId="39E65E09" w:rsidR="003102A9" w:rsidRPr="00EE6787" w:rsidRDefault="003102A9" w:rsidP="00E710A6">
      <w:pPr>
        <w:pStyle w:val="Ttulo3"/>
      </w:pPr>
      <w:bookmarkStart w:id="30" w:name="_Toc165169590"/>
      <w:bookmarkStart w:id="31" w:name="_Toc165169730"/>
      <w:bookmarkEnd w:id="29"/>
      <w:r w:rsidRPr="00EE6787">
        <w:t>Calidad de vida</w:t>
      </w:r>
      <w:bookmarkEnd w:id="30"/>
      <w:bookmarkEnd w:id="31"/>
    </w:p>
    <w:p w14:paraId="074194F4" w14:textId="77777777" w:rsidR="003102A9" w:rsidRDefault="003102A9" w:rsidP="003102A9">
      <w:pPr>
        <w:sectPr w:rsidR="003102A9" w:rsidSect="00F7078E">
          <w:headerReference w:type="default" r:id="rId36"/>
          <w:type w:val="continuous"/>
          <w:pgSz w:w="12240" w:h="15840"/>
          <w:pgMar w:top="2262" w:right="1440" w:bottom="1440" w:left="1440" w:header="708" w:footer="680" w:gutter="0"/>
          <w:cols w:space="720"/>
          <w:docGrid w:linePitch="299"/>
        </w:sectPr>
      </w:pPr>
    </w:p>
    <w:p w14:paraId="79FBFE39" w14:textId="5A9C788E" w:rsidR="003102A9" w:rsidRPr="00BE0F3E" w:rsidRDefault="003102A9" w:rsidP="003102A9">
      <w:r w:rsidRPr="00784408">
        <w:t xml:space="preserve">Además de conocer la composición demográfica de Bogotá y sus tendencias poblacionales, es importante identificar las problemáticas asociadas a la calidad de vida en la ciudad. De acuerdo con los datos de la Encuesta Nacional de Calidad de Vida 2022 para Bogotá, con una medida de cero (o) a diez (10), donde 10 </w:t>
      </w:r>
      <w:r w:rsidRPr="00784408">
        <w:t xml:space="preserve">representa un mayor nivel de satisfacción, el aspecto con el que menos se sienten satisfechas las personas que viven en la ciudad es la seguridad (6,45), seguido del ingreso (6,55) y el trabajo (6,8). Los ejercicios de evaluar la percepción de las personas permiten tener una idea del sentir ciudadano con respecto a la </w:t>
      </w:r>
      <w:r w:rsidRPr="00784408">
        <w:lastRenderedPageBreak/>
        <w:t xml:space="preserve">situación de la ciudad. En la </w:t>
      </w:r>
      <w:r w:rsidR="006A5F9C" w:rsidRPr="006A5F9C">
        <w:fldChar w:fldCharType="begin"/>
      </w:r>
      <w:r w:rsidR="006A5F9C" w:rsidRPr="006A5F9C">
        <w:instrText xml:space="preserve"> REF _Ref165109341 \h </w:instrText>
      </w:r>
      <w:r w:rsidR="006A5F9C" w:rsidRPr="006A5F9C">
        <w:fldChar w:fldCharType="separate"/>
      </w:r>
      <w:r w:rsidR="00D01651" w:rsidRPr="006A5F9C">
        <w:rPr>
          <w:color w:val="C00000"/>
          <w:sz w:val="18"/>
          <w:szCs w:val="14"/>
        </w:rPr>
        <w:t xml:space="preserve">Gráfica </w:t>
      </w:r>
      <w:r w:rsidR="00D01651">
        <w:rPr>
          <w:noProof/>
          <w:color w:val="C00000"/>
          <w:sz w:val="18"/>
          <w:szCs w:val="14"/>
        </w:rPr>
        <w:t>5</w:t>
      </w:r>
      <w:r w:rsidR="006A5F9C" w:rsidRPr="006A5F9C">
        <w:fldChar w:fldCharType="end"/>
      </w:r>
      <w:r w:rsidR="006A5F9C">
        <w:t xml:space="preserve"> </w:t>
      </w:r>
      <w:r w:rsidRPr="00784408">
        <w:t xml:space="preserve">se muestran los resultados de la encuesta para los años 2020 – 2022. Partiendo de este panorama, en </w:t>
      </w:r>
      <w:r w:rsidRPr="00784408">
        <w:t>los siguientes apartados se describen aspectos relacionados con la seguridad el desempeño económico, la pobreza y el empleo</w:t>
      </w:r>
      <w:r w:rsidR="0086343C">
        <w:t>.</w:t>
      </w:r>
    </w:p>
    <w:p w14:paraId="5354C9A4" w14:textId="77777777" w:rsidR="003102A9" w:rsidRDefault="003102A9" w:rsidP="003102A9">
      <w:pPr>
        <w:pStyle w:val="figuratitulo"/>
        <w:rPr>
          <w:b/>
          <w:bCs/>
        </w:rPr>
        <w:sectPr w:rsidR="003102A9" w:rsidSect="00F7078E">
          <w:type w:val="continuous"/>
          <w:pgSz w:w="12240" w:h="15840"/>
          <w:pgMar w:top="2262" w:right="1440" w:bottom="1440" w:left="1440" w:header="708" w:footer="680" w:gutter="0"/>
          <w:cols w:num="2" w:space="720"/>
          <w:docGrid w:linePitch="299"/>
        </w:sectPr>
      </w:pPr>
    </w:p>
    <w:p w14:paraId="03D7392B" w14:textId="77777777" w:rsidR="003102A9" w:rsidRDefault="003102A9" w:rsidP="003102A9">
      <w:pPr>
        <w:pStyle w:val="figuratitulo"/>
        <w:rPr>
          <w:b/>
          <w:bCs/>
        </w:rPr>
      </w:pPr>
    </w:p>
    <w:p w14:paraId="35ED6147" w14:textId="1F659B54" w:rsidR="003102A9" w:rsidRPr="003102A9" w:rsidRDefault="003102A9" w:rsidP="006A5F9C">
      <w:pPr>
        <w:pStyle w:val="Descripcin"/>
        <w:jc w:val="center"/>
        <w:rPr>
          <w:b w:val="0"/>
          <w:bCs/>
        </w:rPr>
      </w:pPr>
      <w:bookmarkStart w:id="32" w:name="_Ref164935530"/>
      <w:bookmarkStart w:id="33" w:name="_Ref165109341"/>
      <w:bookmarkStart w:id="34" w:name="_Toc165169831"/>
      <w:r w:rsidRPr="006A5F9C">
        <w:rPr>
          <w:rFonts w:ascii="Times New Roman" w:hAnsi="Times New Roman" w:cs="Times New Roman"/>
          <w:noProof/>
          <w:color w:val="C00000"/>
          <w:sz w:val="20"/>
          <w:szCs w:val="14"/>
        </w:rPr>
        <w:drawing>
          <wp:anchor distT="0" distB="0" distL="114300" distR="114300" simplePos="0" relativeHeight="251674624" behindDoc="0" locked="0" layoutInCell="1" allowOverlap="1" wp14:anchorId="37DE3FBB" wp14:editId="33E279B6">
            <wp:simplePos x="0" y="0"/>
            <wp:positionH relativeFrom="margin">
              <wp:posOffset>-462915</wp:posOffset>
            </wp:positionH>
            <wp:positionV relativeFrom="paragraph">
              <wp:posOffset>266700</wp:posOffset>
            </wp:positionV>
            <wp:extent cx="6591300" cy="2709545"/>
            <wp:effectExtent l="0" t="0" r="0" b="0"/>
            <wp:wrapSquare wrapText="bothSides"/>
            <wp:docPr id="2072173669" name="Gráfico 1">
              <a:extLst xmlns:a="http://schemas.openxmlformats.org/drawingml/2006/main">
                <a:ext uri="{FF2B5EF4-FFF2-40B4-BE49-F238E27FC236}">
                  <a16:creationId xmlns:a16="http://schemas.microsoft.com/office/drawing/2014/main" id="{5E757497-BBB2-7121-8C44-4E7AC4A2CE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anchor>
        </w:drawing>
      </w:r>
      <w:bookmarkEnd w:id="32"/>
      <w:r w:rsidR="006A5F9C" w:rsidRPr="006A5F9C">
        <w:rPr>
          <w:color w:val="C00000"/>
          <w:sz w:val="18"/>
          <w:szCs w:val="14"/>
        </w:rPr>
        <w:t xml:space="preserve">Gráfica </w:t>
      </w:r>
      <w:r w:rsidR="006A5F9C" w:rsidRPr="006A5F9C">
        <w:rPr>
          <w:color w:val="C00000"/>
          <w:sz w:val="18"/>
          <w:szCs w:val="14"/>
        </w:rPr>
        <w:fldChar w:fldCharType="begin"/>
      </w:r>
      <w:r w:rsidR="006A5F9C" w:rsidRPr="006A5F9C">
        <w:rPr>
          <w:color w:val="C00000"/>
          <w:sz w:val="18"/>
          <w:szCs w:val="14"/>
        </w:rPr>
        <w:instrText xml:space="preserve"> SEQ Gráfica \* ARABIC </w:instrText>
      </w:r>
      <w:r w:rsidR="006A5F9C" w:rsidRPr="006A5F9C">
        <w:rPr>
          <w:color w:val="C00000"/>
          <w:sz w:val="18"/>
          <w:szCs w:val="14"/>
        </w:rPr>
        <w:fldChar w:fldCharType="separate"/>
      </w:r>
      <w:r w:rsidR="00D01651">
        <w:rPr>
          <w:noProof/>
          <w:color w:val="C00000"/>
          <w:sz w:val="18"/>
          <w:szCs w:val="14"/>
        </w:rPr>
        <w:t>5</w:t>
      </w:r>
      <w:r w:rsidR="006A5F9C" w:rsidRPr="006A5F9C">
        <w:rPr>
          <w:color w:val="C00000"/>
          <w:sz w:val="18"/>
          <w:szCs w:val="14"/>
        </w:rPr>
        <w:fldChar w:fldCharType="end"/>
      </w:r>
      <w:bookmarkEnd w:id="33"/>
      <w:r w:rsidR="006A5F9C" w:rsidRPr="006A5F9C">
        <w:rPr>
          <w:color w:val="C00000"/>
          <w:sz w:val="18"/>
          <w:szCs w:val="14"/>
        </w:rPr>
        <w:t xml:space="preserve">. </w:t>
      </w:r>
      <w:r w:rsidRPr="006A5F9C">
        <w:rPr>
          <w:bCs/>
          <w:sz w:val="18"/>
          <w:szCs w:val="14"/>
        </w:rPr>
        <w:t>Calificación promedio de satisfacción con la vida general y otros aspectos</w:t>
      </w:r>
      <w:bookmarkEnd w:id="34"/>
    </w:p>
    <w:p w14:paraId="6EB9A174" w14:textId="77777777" w:rsidR="003102A9" w:rsidRDefault="003102A9" w:rsidP="003102A9">
      <w:pPr>
        <w:pStyle w:val="figuratitulo"/>
        <w:rPr>
          <w:color w:val="3B3838" w:themeColor="background2" w:themeShade="40"/>
        </w:rPr>
      </w:pPr>
      <w:r w:rsidRPr="00EE6787">
        <w:rPr>
          <w:b/>
          <w:bCs/>
          <w:color w:val="3B3838" w:themeColor="background2" w:themeShade="40"/>
        </w:rPr>
        <w:t>Notas:</w:t>
      </w:r>
      <w:r w:rsidRPr="00EE6787">
        <w:rPr>
          <w:color w:val="3B3838" w:themeColor="background2" w:themeShade="40"/>
        </w:rPr>
        <w:t xml:space="preserve"> Datos expandidos con proyecciones de población con base en el CNPV 2018, </w:t>
      </w:r>
    </w:p>
    <w:p w14:paraId="6273D5FA" w14:textId="7D941D0B" w:rsidR="003102A9" w:rsidRPr="00EE6787" w:rsidRDefault="003102A9" w:rsidP="003102A9">
      <w:pPr>
        <w:pStyle w:val="figuratitulo"/>
        <w:rPr>
          <w:color w:val="3B3838" w:themeColor="background2" w:themeShade="40"/>
        </w:rPr>
      </w:pPr>
      <w:r w:rsidRPr="00EE6787">
        <w:rPr>
          <w:color w:val="3B3838" w:themeColor="background2" w:themeShade="40"/>
        </w:rPr>
        <w:t>en personas de 15 años y más (promedio) Bogotá, D. C., noviembre de 2023.</w:t>
      </w:r>
    </w:p>
    <w:p w14:paraId="10E4B4F6" w14:textId="77777777" w:rsidR="003102A9" w:rsidRDefault="003102A9" w:rsidP="003102A9">
      <w:pPr>
        <w:pStyle w:val="figuratitulo"/>
        <w:rPr>
          <w:color w:val="3B3838" w:themeColor="background2" w:themeShade="40"/>
        </w:rPr>
      </w:pPr>
      <w:r w:rsidRPr="00EE6787">
        <w:rPr>
          <w:b/>
          <w:bCs/>
          <w:color w:val="3B3838" w:themeColor="background2" w:themeShade="40"/>
        </w:rPr>
        <w:t>Fuente:</w:t>
      </w:r>
      <w:r w:rsidRPr="00EE6787">
        <w:rPr>
          <w:color w:val="3B3838" w:themeColor="background2" w:themeShade="40"/>
        </w:rPr>
        <w:t xml:space="preserve"> DANE, Encuesta Nacional de Calidad de Vida.</w:t>
      </w:r>
    </w:p>
    <w:p w14:paraId="0EFE0A59" w14:textId="433A8A2C" w:rsidR="003102A9" w:rsidRPr="00EE6787" w:rsidRDefault="003102A9" w:rsidP="006A5F9C">
      <w:pPr>
        <w:pStyle w:val="Ttulo3"/>
      </w:pPr>
      <w:bookmarkStart w:id="35" w:name="_Toc165122335"/>
      <w:bookmarkStart w:id="36" w:name="_Toc165169591"/>
      <w:bookmarkStart w:id="37" w:name="_Toc165169731"/>
      <w:r w:rsidRPr="00EE6787">
        <w:t>Seguridad</w:t>
      </w:r>
      <w:bookmarkEnd w:id="35"/>
      <w:bookmarkEnd w:id="36"/>
      <w:bookmarkEnd w:id="37"/>
    </w:p>
    <w:p w14:paraId="42DFB8B2" w14:textId="77777777" w:rsidR="003102A9" w:rsidRDefault="003102A9" w:rsidP="003102A9">
      <w:pPr>
        <w:sectPr w:rsidR="003102A9" w:rsidSect="00F7078E">
          <w:type w:val="continuous"/>
          <w:pgSz w:w="12240" w:h="15840"/>
          <w:pgMar w:top="2262" w:right="1440" w:bottom="1440" w:left="1440" w:header="708" w:footer="680" w:gutter="0"/>
          <w:cols w:space="720"/>
          <w:docGrid w:linePitch="299"/>
        </w:sectPr>
      </w:pPr>
    </w:p>
    <w:p w14:paraId="1BBD5FA1" w14:textId="77777777" w:rsidR="003102A9" w:rsidRPr="00472194" w:rsidRDefault="003102A9" w:rsidP="003102A9">
      <w:r w:rsidRPr="00472194">
        <w:t>Los aspectos relacionados con la seguridad y los comportamientos contrarios a la convivencia en la ciudad son aquellos con los que menos se sienten conformes las personas de Bogotá, de acuerdo con la ENCV</w:t>
      </w:r>
      <w:r>
        <w:t xml:space="preserve"> 2023. L</w:t>
      </w:r>
      <w:r w:rsidRPr="00472194">
        <w:t xml:space="preserve">a seguridad debe ser comprendida como un problema estructural al ser resultado de múltiples factores sociales, económicos, culturales e históricos, entre otros. Al respecto, uno de los indicadores con mayor incidencia en la ciudadanía y la opinión pública es la tasa de homicidio. A pesar de que entre 2019 y 2020 se lograron las tasas más bajas de los últimos diez años, con 13,9 y 13,4 por 100.000 habitantes, respectivamente, el delito se ha mantenido en los últimos tres años con fluctuaciones variables. Para 2023 se presenta un aumento de la tasa de homicidio que llega a </w:t>
      </w:r>
      <w:r>
        <w:t>13,6</w:t>
      </w:r>
      <w:r w:rsidRPr="00472194">
        <w:t xml:space="preserve"> por cada 100.000 habitantes, según los datos del Instituto Nacional de Medicina Legal</w:t>
      </w:r>
      <w:r>
        <w:t xml:space="preserve"> y Ciencias Forenses</w:t>
      </w:r>
      <w:r w:rsidRPr="00472194">
        <w:t>.</w:t>
      </w:r>
    </w:p>
    <w:p w14:paraId="4B0A6A98" w14:textId="77777777" w:rsidR="003102A9" w:rsidRDefault="003102A9" w:rsidP="003102A9">
      <w:r w:rsidRPr="00472194">
        <w:t>Con relación a otro tipo de problemas de seguridad, el delito con mayor participación durante el 2023 es el hurto a personas, que concentra más de la mitad del total de delitos de alto impacto, con un 77 % de participación. Hacen parte de esta categoría de delitos las lesiones personales (9,8 %), hurto a comercio (4,6 %) y otro tipo de hurtos, como a residencias, vehículos y entidades financieras (13,2 %). Frente a 2022, el delito de hurto a personas aumentó su participación, pasó del 74 % al 77 % en 2023. En general, el número de delitos de alto impacto se ha incrementado en la ciudad, pas</w:t>
      </w:r>
      <w:r>
        <w:t>ando</w:t>
      </w:r>
      <w:r w:rsidRPr="00472194">
        <w:t xml:space="preserve"> de 184.420 en 2022 a 195.375 en 2023. A estos datos se suman los de la percepción de seguridad. De acuerdo con la Encuesta de Percepción y Victimización de la Cámara de Comercio de Bogotá, el 76 % de los encuestados considera que la inseguridad en Bogotá aumentó durante el 2023 en comparación con el 2022.</w:t>
      </w:r>
    </w:p>
    <w:p w14:paraId="69A83184" w14:textId="77777777" w:rsidR="003102A9" w:rsidRDefault="003102A9" w:rsidP="003102A9">
      <w:pPr>
        <w:sectPr w:rsidR="003102A9" w:rsidSect="00F7078E">
          <w:type w:val="continuous"/>
          <w:pgSz w:w="12240" w:h="15840"/>
          <w:pgMar w:top="2262" w:right="1440" w:bottom="1440" w:left="1440" w:header="708" w:footer="680" w:gutter="0"/>
          <w:cols w:num="2" w:space="567"/>
          <w:docGrid w:linePitch="299"/>
        </w:sectPr>
      </w:pPr>
    </w:p>
    <w:p w14:paraId="595C14E7" w14:textId="47A79879" w:rsidR="003102A9" w:rsidRPr="00EE6787" w:rsidRDefault="003102A9" w:rsidP="00E20080">
      <w:pPr>
        <w:pStyle w:val="Ttulo3"/>
      </w:pPr>
      <w:bookmarkStart w:id="38" w:name="_Toc165122336"/>
      <w:bookmarkStart w:id="39" w:name="_Toc165169592"/>
      <w:bookmarkStart w:id="40" w:name="_Toc165169732"/>
      <w:r w:rsidRPr="00EE6787">
        <w:lastRenderedPageBreak/>
        <w:t>Desempeño económico</w:t>
      </w:r>
      <w:bookmarkEnd w:id="38"/>
      <w:bookmarkEnd w:id="39"/>
      <w:bookmarkEnd w:id="40"/>
    </w:p>
    <w:p w14:paraId="3C9AC99F" w14:textId="77777777" w:rsidR="003102A9" w:rsidRDefault="003102A9" w:rsidP="00921449">
      <w:pPr>
        <w:pStyle w:val="Ttulo1"/>
        <w:sectPr w:rsidR="003102A9" w:rsidSect="00F7078E">
          <w:type w:val="continuous"/>
          <w:pgSz w:w="12240" w:h="15840"/>
          <w:pgMar w:top="2262" w:right="1440" w:bottom="1440" w:left="1440" w:header="708" w:footer="680" w:gutter="0"/>
          <w:cols w:space="720"/>
          <w:docGrid w:linePitch="299"/>
        </w:sectPr>
      </w:pPr>
    </w:p>
    <w:p w14:paraId="19359B3A" w14:textId="41E6CE44" w:rsidR="003102A9" w:rsidRPr="00E20080" w:rsidRDefault="003102A9" w:rsidP="003102A9">
      <w:r w:rsidRPr="00EE6787">
        <w:rPr>
          <w:lang w:val="es-ES"/>
        </w:rPr>
        <w:t>Después de la seguridad, los aspectos con los que más se sienten inconformes las personas en Bogotá son el ingreso y el trabajo y la actividad productiva. Ambos aspectos tienen relación con el desempeño económico de la ciudad. Al respecto, se observa que desde</w:t>
      </w:r>
      <w:r w:rsidRPr="00EE6787">
        <w:t xml:space="preserve"> 2019 se registró un crecimiento constante del PIB tanto en Bogotá como en el país, como consecuencia del aumento del consumo interno y el fortalecimiento del sector servicios, el cual —en el caso de Bogotá— aporta más del 50 % del PIB de la ciudad. </w:t>
      </w:r>
      <w:r w:rsidRPr="00EE6787">
        <w:t>Sin embargo, 2020 fue un año crítico por cuenta de la pandemia del covid-19, pues cerró con una caída total de 6,7 %. Posteriormente, en 2021, el crecimiento de la economía de la ciudad fue de 11,3 %, soportado en un incremento del consumo y el estímulo de la demanda agregada; en 2022, el crecimiento reportado fue de 9,5 %. Para el tercer trimestre de 2023, la ciudad ha acumulado un PIB de 193,5 billones de pesos, lo que equivale a un incremento del 0,9</w:t>
      </w:r>
      <w:r w:rsidR="00BE3213" w:rsidRPr="00EE6787">
        <w:t> </w:t>
      </w:r>
      <w:r w:rsidRPr="00EE6787">
        <w:t xml:space="preserve">% frente a los tres trimestres del año </w:t>
      </w:r>
      <w:r w:rsidRPr="00E20080">
        <w:t>anterior (</w:t>
      </w:r>
      <w:r w:rsidR="00E20080" w:rsidRPr="00E20080">
        <w:fldChar w:fldCharType="begin"/>
      </w:r>
      <w:r w:rsidR="00E20080" w:rsidRPr="00E20080">
        <w:instrText xml:space="preserve"> REF _Ref165109455 \h  \* MERGEFORMAT </w:instrText>
      </w:r>
      <w:r w:rsidR="00E20080" w:rsidRPr="00E20080">
        <w:fldChar w:fldCharType="separate"/>
      </w:r>
      <w:r w:rsidR="00D01651" w:rsidRPr="00D01651">
        <w:rPr>
          <w:sz w:val="18"/>
          <w:szCs w:val="14"/>
        </w:rPr>
        <w:t xml:space="preserve">Gráfica </w:t>
      </w:r>
      <w:r w:rsidR="00D01651" w:rsidRPr="00D01651">
        <w:rPr>
          <w:noProof/>
          <w:sz w:val="18"/>
          <w:szCs w:val="14"/>
        </w:rPr>
        <w:t>6</w:t>
      </w:r>
      <w:r w:rsidR="00E20080" w:rsidRPr="00E20080">
        <w:fldChar w:fldCharType="end"/>
      </w:r>
      <w:r w:rsidRPr="00E20080">
        <w:t>).</w:t>
      </w:r>
    </w:p>
    <w:p w14:paraId="3890B7F8" w14:textId="77777777" w:rsidR="003102A9" w:rsidRPr="00EE6787" w:rsidRDefault="003102A9" w:rsidP="003102A9">
      <w:pPr>
        <w:sectPr w:rsidR="003102A9" w:rsidRPr="00EE6787" w:rsidSect="00F7078E">
          <w:type w:val="continuous"/>
          <w:pgSz w:w="12240" w:h="15840"/>
          <w:pgMar w:top="2262" w:right="1440" w:bottom="1440" w:left="1440" w:header="708" w:footer="680" w:gutter="0"/>
          <w:cols w:num="2" w:space="567"/>
          <w:docGrid w:linePitch="299"/>
        </w:sectPr>
      </w:pPr>
    </w:p>
    <w:p w14:paraId="4C40994C" w14:textId="77777777" w:rsidR="003102A9" w:rsidRPr="00C8685E" w:rsidRDefault="003102A9" w:rsidP="003102A9">
      <w:pPr>
        <w:rPr>
          <w:lang w:val="es-419"/>
        </w:rPr>
      </w:pPr>
      <w:bookmarkStart w:id="41" w:name="_Ref164936242"/>
    </w:p>
    <w:p w14:paraId="6545DAC3" w14:textId="0CEFA90A" w:rsidR="003102A9" w:rsidRPr="00E20080" w:rsidRDefault="00E20080" w:rsidP="00E20080">
      <w:pPr>
        <w:pStyle w:val="Descripcin"/>
        <w:jc w:val="center"/>
        <w:rPr>
          <w:sz w:val="18"/>
          <w:szCs w:val="14"/>
        </w:rPr>
      </w:pPr>
      <w:bookmarkStart w:id="42" w:name="_Ref165109455"/>
      <w:bookmarkStart w:id="43" w:name="_Toc165169832"/>
      <w:bookmarkEnd w:id="41"/>
      <w:r w:rsidRPr="00E20080">
        <w:rPr>
          <w:color w:val="C00000"/>
          <w:sz w:val="18"/>
          <w:szCs w:val="14"/>
        </w:rPr>
        <w:t xml:space="preserve">Gráfica </w:t>
      </w:r>
      <w:r w:rsidRPr="00E20080">
        <w:rPr>
          <w:color w:val="C00000"/>
          <w:sz w:val="18"/>
          <w:szCs w:val="14"/>
        </w:rPr>
        <w:fldChar w:fldCharType="begin"/>
      </w:r>
      <w:r w:rsidRPr="00E20080">
        <w:rPr>
          <w:color w:val="C00000"/>
          <w:sz w:val="18"/>
          <w:szCs w:val="14"/>
        </w:rPr>
        <w:instrText xml:space="preserve"> SEQ Gráfica \* ARABIC </w:instrText>
      </w:r>
      <w:r w:rsidRPr="00E20080">
        <w:rPr>
          <w:color w:val="C00000"/>
          <w:sz w:val="18"/>
          <w:szCs w:val="14"/>
        </w:rPr>
        <w:fldChar w:fldCharType="separate"/>
      </w:r>
      <w:r w:rsidR="00D01651">
        <w:rPr>
          <w:noProof/>
          <w:color w:val="C00000"/>
          <w:sz w:val="18"/>
          <w:szCs w:val="14"/>
        </w:rPr>
        <w:t>6</w:t>
      </w:r>
      <w:r w:rsidRPr="00E20080">
        <w:rPr>
          <w:color w:val="C00000"/>
          <w:sz w:val="18"/>
          <w:szCs w:val="14"/>
        </w:rPr>
        <w:fldChar w:fldCharType="end"/>
      </w:r>
      <w:bookmarkEnd w:id="42"/>
      <w:r w:rsidRPr="00E20080">
        <w:rPr>
          <w:color w:val="C00000"/>
          <w:sz w:val="18"/>
          <w:szCs w:val="14"/>
        </w:rPr>
        <w:t>.</w:t>
      </w:r>
      <w:r w:rsidR="003102A9" w:rsidRPr="00E20080">
        <w:rPr>
          <w:color w:val="000000" w:themeColor="text1"/>
          <w:sz w:val="18"/>
          <w:szCs w:val="14"/>
        </w:rPr>
        <w:t>Comportamiento del PIB de Bogotá y Colombia (2019-2023)</w:t>
      </w:r>
      <w:bookmarkEnd w:id="43"/>
    </w:p>
    <w:p w14:paraId="43E66918" w14:textId="77777777" w:rsidR="003102A9" w:rsidRDefault="003102A9" w:rsidP="00DD544C">
      <w:pPr>
        <w:pStyle w:val="NormalWeb"/>
        <w:spacing w:before="0" w:beforeAutospacing="0" w:after="0" w:afterAutospacing="0" w:line="240" w:lineRule="auto"/>
        <w:rPr>
          <w:rFonts w:eastAsiaTheme="minorHAnsi"/>
          <w:kern w:val="2"/>
          <w:lang w:eastAsia="en-US"/>
          <w14:ligatures w14:val="standardContextual"/>
        </w:rPr>
      </w:pPr>
      <w:r w:rsidRPr="009A6D16">
        <w:rPr>
          <w:noProof/>
        </w:rPr>
        <w:drawing>
          <wp:inline distT="0" distB="0" distL="0" distR="0" wp14:anchorId="7DF78DE6" wp14:editId="12640D8B">
            <wp:extent cx="5899209" cy="2658140"/>
            <wp:effectExtent l="0" t="0" r="0" b="0"/>
            <wp:docPr id="1684600416" name="Gráfico 1">
              <a:extLst xmlns:a="http://schemas.openxmlformats.org/drawingml/2006/main">
                <a:ext uri="{FF2B5EF4-FFF2-40B4-BE49-F238E27FC236}">
                  <a16:creationId xmlns:a16="http://schemas.microsoft.com/office/drawing/2014/main" id="{378C4E91-15E1-6244-8045-731EA3F986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95A9A07" w14:textId="77777777" w:rsidR="003102A9" w:rsidRDefault="003102A9" w:rsidP="003102A9">
      <w:pPr>
        <w:pStyle w:val="figuratitulo"/>
        <w:rPr>
          <w:b/>
          <w:bCs/>
          <w:color w:val="3B3838" w:themeColor="background2" w:themeShade="40"/>
        </w:rPr>
      </w:pPr>
      <w:r w:rsidRPr="00502425">
        <w:rPr>
          <w:b/>
          <w:bCs/>
          <w:color w:val="3B3838" w:themeColor="background2" w:themeShade="40"/>
        </w:rPr>
        <w:t xml:space="preserve">Notas: </w:t>
      </w:r>
      <w:r w:rsidRPr="004E706B">
        <w:rPr>
          <w:color w:val="3B3838" w:themeColor="background2" w:themeShade="40"/>
        </w:rPr>
        <w:t>Valores constantes base 2015.</w:t>
      </w:r>
    </w:p>
    <w:p w14:paraId="23D3F65B" w14:textId="77777777" w:rsidR="003102A9" w:rsidRPr="00502425" w:rsidRDefault="003102A9" w:rsidP="003102A9">
      <w:pPr>
        <w:pStyle w:val="figuratitulo"/>
        <w:rPr>
          <w:b/>
          <w:bCs/>
          <w:color w:val="3B3838" w:themeColor="background2" w:themeShade="40"/>
        </w:rPr>
      </w:pPr>
      <w:r w:rsidRPr="00421BE2">
        <w:rPr>
          <w:b/>
          <w:bCs/>
          <w:color w:val="3B3838" w:themeColor="background2" w:themeShade="40"/>
        </w:rPr>
        <w:t>El valor del comportamiento</w:t>
      </w:r>
      <w:r>
        <w:rPr>
          <w:b/>
          <w:bCs/>
          <w:color w:val="3B3838" w:themeColor="background2" w:themeShade="40"/>
        </w:rPr>
        <w:t xml:space="preserve"> en 2023</w:t>
      </w:r>
      <w:r w:rsidRPr="00421BE2">
        <w:rPr>
          <w:b/>
          <w:bCs/>
          <w:color w:val="3B3838" w:themeColor="background2" w:themeShade="40"/>
        </w:rPr>
        <w:t xml:space="preserve"> para Bogotá es el acumulado a septiembre</w:t>
      </w:r>
    </w:p>
    <w:p w14:paraId="159EC59F" w14:textId="77777777" w:rsidR="003102A9" w:rsidRPr="00502425" w:rsidRDefault="003102A9" w:rsidP="003102A9">
      <w:pPr>
        <w:pStyle w:val="figuratitulo"/>
        <w:rPr>
          <w:color w:val="3B3838" w:themeColor="background2" w:themeShade="40"/>
        </w:rPr>
      </w:pPr>
      <w:r w:rsidRPr="00502425">
        <w:rPr>
          <w:b/>
          <w:bCs/>
          <w:color w:val="3B3838" w:themeColor="background2" w:themeShade="40"/>
        </w:rPr>
        <w:t>Datos originales:</w:t>
      </w:r>
      <w:r w:rsidRPr="00502425">
        <w:rPr>
          <w:color w:val="3B3838" w:themeColor="background2" w:themeShade="40"/>
        </w:rPr>
        <w:t xml:space="preserve"> </w:t>
      </w:r>
      <w:r w:rsidRPr="00502425">
        <w:rPr>
          <w:b/>
          <w:bCs/>
          <w:color w:val="3B3838" w:themeColor="background2" w:themeShade="40"/>
        </w:rPr>
        <w:t>p:</w:t>
      </w:r>
      <w:r w:rsidRPr="00502425">
        <w:rPr>
          <w:color w:val="3B3838" w:themeColor="background2" w:themeShade="40"/>
        </w:rPr>
        <w:t xml:space="preserve"> dato provisional </w:t>
      </w:r>
      <w:r w:rsidRPr="00502425">
        <w:rPr>
          <w:b/>
          <w:bCs/>
          <w:color w:val="3B3838" w:themeColor="background2" w:themeShade="40"/>
        </w:rPr>
        <w:t>pr:</w:t>
      </w:r>
      <w:r w:rsidRPr="00502425">
        <w:rPr>
          <w:color w:val="3B3838" w:themeColor="background2" w:themeShade="40"/>
        </w:rPr>
        <w:t xml:space="preserve"> dato preliminar</w:t>
      </w:r>
    </w:p>
    <w:p w14:paraId="07101FF5" w14:textId="77777777" w:rsidR="003102A9" w:rsidRDefault="003102A9" w:rsidP="003102A9">
      <w:pPr>
        <w:pStyle w:val="figuratitulo"/>
        <w:rPr>
          <w:b/>
          <w:bCs/>
          <w:lang w:val="es-419"/>
        </w:rPr>
      </w:pPr>
      <w:r w:rsidRPr="00502425">
        <w:rPr>
          <w:b/>
          <w:bCs/>
          <w:color w:val="3B3838" w:themeColor="background2" w:themeShade="40"/>
        </w:rPr>
        <w:t>Fuente:</w:t>
      </w:r>
      <w:r w:rsidRPr="00502425">
        <w:rPr>
          <w:color w:val="3B3838" w:themeColor="background2" w:themeShade="40"/>
        </w:rPr>
        <w:t xml:space="preserve"> DANE, Cuentas Nacionales, Secretaría Distrital de Desarrollo Económico.</w:t>
      </w:r>
      <w:r w:rsidRPr="00502425">
        <w:rPr>
          <w:b/>
          <w:bCs/>
          <w:color w:val="3B3838" w:themeColor="background2" w:themeShade="40"/>
        </w:rPr>
        <w:t xml:space="preserve"> </w:t>
      </w:r>
      <w:r w:rsidRPr="00502425">
        <w:rPr>
          <w:b/>
          <w:bCs/>
          <w:color w:val="3B3838" w:themeColor="background2" w:themeShade="40"/>
        </w:rPr>
        <w:br/>
        <w:t xml:space="preserve">Cálculos: </w:t>
      </w:r>
      <w:r w:rsidRPr="00502425">
        <w:rPr>
          <w:color w:val="3B3838" w:themeColor="background2" w:themeShade="40"/>
        </w:rPr>
        <w:t>Observatorio de Desarrollo Económico SDDE.</w:t>
      </w:r>
    </w:p>
    <w:p w14:paraId="10A6C084" w14:textId="77777777" w:rsidR="003102A9" w:rsidRDefault="003102A9" w:rsidP="003102A9">
      <w:pPr>
        <w:pStyle w:val="figuratitulo"/>
        <w:rPr>
          <w:b/>
          <w:bCs/>
          <w:lang w:val="es-419"/>
        </w:rPr>
      </w:pPr>
    </w:p>
    <w:p w14:paraId="68343881" w14:textId="77777777" w:rsidR="003102A9" w:rsidRDefault="003102A9" w:rsidP="003102A9">
      <w:pPr>
        <w:pStyle w:val="figuratitulo"/>
        <w:rPr>
          <w:b/>
          <w:bCs/>
          <w:lang w:val="es-419"/>
        </w:rPr>
      </w:pPr>
    </w:p>
    <w:p w14:paraId="3668A1AD" w14:textId="77777777" w:rsidR="003102A9" w:rsidRDefault="003102A9" w:rsidP="003102A9">
      <w:pPr>
        <w:sectPr w:rsidR="003102A9" w:rsidSect="00F7078E">
          <w:type w:val="continuous"/>
          <w:pgSz w:w="12240" w:h="15840"/>
          <w:pgMar w:top="2262" w:right="1440" w:bottom="1440" w:left="1440" w:header="708" w:footer="680" w:gutter="0"/>
          <w:cols w:space="720"/>
          <w:docGrid w:linePitch="299"/>
        </w:sectPr>
      </w:pPr>
    </w:p>
    <w:p w14:paraId="670F4A81" w14:textId="77777777" w:rsidR="003102A9" w:rsidRPr="0097662F" w:rsidRDefault="003102A9" w:rsidP="003102A9">
      <w:r w:rsidRPr="0097662F">
        <w:t xml:space="preserve">En el 2022 la contribución económica de Bogotá al PIB nacional representó el 24,4 %, el cual ha disminuido levemente en comparación con los últimos años, pues en 2019 contribuyó con el 25,8 %, en 2020 con el 26,0 % y en 2021 con el 25,3 %. Aun así, se evidencia la importancia estratégica que tiene Bogotá para la economía nacional y regional, concentrando una oferta de bienes y servicios que permiten generar confianza </w:t>
      </w:r>
      <w:r w:rsidRPr="0097662F">
        <w:t>tanto a los inversores como a la economía de las familias de la ciudad.</w:t>
      </w:r>
    </w:p>
    <w:p w14:paraId="50AA1CD7" w14:textId="77777777" w:rsidR="003102A9" w:rsidRPr="0097662F" w:rsidRDefault="003102A9" w:rsidP="003102A9"/>
    <w:p w14:paraId="2921461D" w14:textId="77777777" w:rsidR="003102A9" w:rsidRPr="0097662F" w:rsidRDefault="003102A9" w:rsidP="003102A9">
      <w:r w:rsidRPr="0097662F">
        <w:t>La dimensión económica cobra mayor relevancia al analizar su impacto en las finanzas públicas. Durante el periodo 2020-2023 los ingresos totales de la Administración Central sumaron 107,6 billones de pesos a precios de 2024. Luego del impacto negativo de la pandemia por covid-</w:t>
      </w:r>
      <w:r w:rsidRPr="0097662F">
        <w:lastRenderedPageBreak/>
        <w:t>19 en el 2020, los ingresos mostraron una recuperación sostenida hasta 2023, dinámica asociada con la reactivación económica de la ciudad. En particular, los ingresos tributarios presentaron una dinámica favorable en dicho periodo con crecimientos de 7 % en 2021, 17,8 % en 2022 y 8,5 % en 2023, en términos reales.</w:t>
      </w:r>
    </w:p>
    <w:p w14:paraId="7C8B907C" w14:textId="77777777" w:rsidR="003102A9" w:rsidRPr="0097662F" w:rsidRDefault="003102A9" w:rsidP="003102A9"/>
    <w:p w14:paraId="1132EFF8" w14:textId="77777777" w:rsidR="003102A9" w:rsidRPr="0097662F" w:rsidRDefault="003102A9" w:rsidP="003102A9">
      <w:r w:rsidRPr="0097662F">
        <w:t xml:space="preserve">La política fiscal tuvo un carácter contracíclico en años recientes para mitigar los impactos negativos ocasionados por la pandemia con un plan de inversiones estratégicas para la ciudad. </w:t>
      </w:r>
    </w:p>
    <w:p w14:paraId="6A2CA793" w14:textId="77777777" w:rsidR="003102A9" w:rsidRPr="0097662F" w:rsidRDefault="003102A9" w:rsidP="003102A9"/>
    <w:p w14:paraId="278F261F" w14:textId="41C59798" w:rsidR="003102A9" w:rsidRDefault="003102A9" w:rsidP="004E706B">
      <w:pPr>
        <w:sectPr w:rsidR="003102A9" w:rsidSect="00F7078E">
          <w:type w:val="continuous"/>
          <w:pgSz w:w="12240" w:h="15840"/>
          <w:pgMar w:top="2262" w:right="1440" w:bottom="1440" w:left="1440" w:header="708" w:footer="680" w:gutter="0"/>
          <w:cols w:num="2" w:space="567"/>
          <w:docGrid w:linePitch="299"/>
        </w:sectPr>
      </w:pPr>
      <w:r w:rsidRPr="0097662F">
        <w:t>No obstante, el ritmo de inversión observado en los últimos años ha sido alto frente al promedio histórico de la ciudad, por lo cual su ampliación en los próximos años requiere nuevas fuentes de ingreso. Además, se presentan algunos factores que generan presión en el espacio disponible de inversión y en la situación de las finanzas públicas hacia los próximos años relacionados con gastos que ha asumido la ciudad por el mayor endeudamiento, la financiación del sistema de transporte, y el gasto adicional que han requerido algunos sectores como educación, salud y el sistema de cuidado.</w:t>
      </w:r>
    </w:p>
    <w:p w14:paraId="3BC6D3F8" w14:textId="40FEA2D3" w:rsidR="003102A9" w:rsidRPr="00502425" w:rsidRDefault="003102A9" w:rsidP="004E706B">
      <w:pPr>
        <w:pStyle w:val="Ttulo3"/>
      </w:pPr>
      <w:bookmarkStart w:id="44" w:name="_Toc165122337"/>
      <w:bookmarkStart w:id="45" w:name="_Toc165169593"/>
      <w:bookmarkStart w:id="46" w:name="_Toc165169733"/>
      <w:r w:rsidRPr="00502425">
        <w:t>Pobreza</w:t>
      </w:r>
      <w:bookmarkEnd w:id="44"/>
      <w:bookmarkEnd w:id="45"/>
      <w:bookmarkEnd w:id="46"/>
    </w:p>
    <w:p w14:paraId="55BEA89C" w14:textId="77777777" w:rsidR="003102A9" w:rsidRDefault="003102A9" w:rsidP="00921449">
      <w:pPr>
        <w:pStyle w:val="Ttulo1"/>
        <w:sectPr w:rsidR="003102A9" w:rsidSect="00F7078E">
          <w:type w:val="continuous"/>
          <w:pgSz w:w="12240" w:h="15840"/>
          <w:pgMar w:top="2262" w:right="1440" w:bottom="1440" w:left="1440" w:header="708" w:footer="680" w:gutter="0"/>
          <w:cols w:space="720"/>
          <w:docGrid w:linePitch="299"/>
        </w:sectPr>
      </w:pPr>
    </w:p>
    <w:p w14:paraId="0E574882" w14:textId="4484F2B4" w:rsidR="003102A9" w:rsidRPr="00502425" w:rsidRDefault="003102A9" w:rsidP="003102A9">
      <w:r>
        <w:t xml:space="preserve">En la </w:t>
      </w:r>
      <w:r w:rsidR="004E706B" w:rsidRPr="004E706B">
        <w:fldChar w:fldCharType="begin"/>
      </w:r>
      <w:r w:rsidR="004E706B" w:rsidRPr="004E706B">
        <w:instrText xml:space="preserve"> REF _Ref165109796 \h </w:instrText>
      </w:r>
      <w:r w:rsidR="004E706B" w:rsidRPr="004E706B">
        <w:fldChar w:fldCharType="separate"/>
      </w:r>
      <w:r w:rsidR="00D01651" w:rsidRPr="004E706B">
        <w:rPr>
          <w:color w:val="C00000"/>
          <w:sz w:val="18"/>
          <w:szCs w:val="14"/>
        </w:rPr>
        <w:t xml:space="preserve">Gráfica </w:t>
      </w:r>
      <w:r w:rsidR="00D01651">
        <w:rPr>
          <w:noProof/>
          <w:color w:val="C00000"/>
          <w:sz w:val="18"/>
          <w:szCs w:val="14"/>
        </w:rPr>
        <w:t>7</w:t>
      </w:r>
      <w:r w:rsidR="004E706B" w:rsidRPr="004E706B">
        <w:fldChar w:fldCharType="end"/>
      </w:r>
      <w:r w:rsidR="004E706B" w:rsidRPr="004E706B">
        <w:t xml:space="preserve"> </w:t>
      </w:r>
      <w:r>
        <w:t>se presentan diferentes medidas de pobreza para Bogotá y la Nación. D</w:t>
      </w:r>
      <w:r w:rsidRPr="00502425">
        <w:t>e acuerdo con la información disponible en el DANE, en Bogotá tanto la pobreza monetaria como la pobreza extrema se redujeron en 2022, alcanzando el 28,1 % de personas en la primera condición y 8,1 % en la segunda. Los anteriores porcentajes son equivalentes aproximadamente a 2,2 millones de personas en situación de pobreza monetaria, de las cuales 639</w:t>
      </w:r>
      <w:r>
        <w:t xml:space="preserve"> mil</w:t>
      </w:r>
      <w:r w:rsidRPr="00502425">
        <w:t xml:space="preserve"> se identificaron en pobreza extrema.</w:t>
      </w:r>
    </w:p>
    <w:p w14:paraId="458562EA" w14:textId="77777777" w:rsidR="003102A9" w:rsidRPr="00502425" w:rsidRDefault="003102A9" w:rsidP="003102A9"/>
    <w:p w14:paraId="47A9F061" w14:textId="574D105F" w:rsidR="004E706B" w:rsidRDefault="003102A9" w:rsidP="003102A9">
      <w:r w:rsidRPr="00502425">
        <w:t>El valor de la Línea de Pobreza equivale al costo mensual per cápita necesario para adquirir, además de los alimentos, otros bienes y servicios básicos. Por su parte, el valor de la Línea de Pobreza Extrema representa el costo mensual per cápita necesario para adquirir la canasta básica de alimentos que cubre los requerimientos nutricionales mínimos según los estándares del Instituto Colombiano de Bienestar Familiar (ICBF) y de la Organización de las Naciones Unidas para la Alimentación y la Agricultura (FAO).</w:t>
      </w:r>
    </w:p>
    <w:p w14:paraId="291BBFCF" w14:textId="5984E722" w:rsidR="003102A9" w:rsidRDefault="003102A9" w:rsidP="004E706B">
      <w:pPr>
        <w:spacing w:line="240" w:lineRule="auto"/>
        <w:jc w:val="left"/>
        <w:sectPr w:rsidR="003102A9" w:rsidSect="00F7078E">
          <w:type w:val="continuous"/>
          <w:pgSz w:w="12240" w:h="15840"/>
          <w:pgMar w:top="2262" w:right="1440" w:bottom="1440" w:left="1440" w:header="708" w:footer="680" w:gutter="0"/>
          <w:cols w:num="2" w:space="567"/>
          <w:docGrid w:linePitch="299"/>
        </w:sectPr>
      </w:pPr>
    </w:p>
    <w:p w14:paraId="2C9CF0A4" w14:textId="17321AC1" w:rsidR="003102A9" w:rsidRDefault="00CC1B82" w:rsidP="004E706B">
      <w:pPr>
        <w:pStyle w:val="Descripcin"/>
        <w:jc w:val="center"/>
        <w:rPr>
          <w:color w:val="000000" w:themeColor="text1"/>
          <w:sz w:val="18"/>
          <w:szCs w:val="14"/>
        </w:rPr>
      </w:pPr>
      <w:bookmarkStart w:id="47" w:name="_Ref165109796"/>
      <w:bookmarkStart w:id="48" w:name="_Toc165169833"/>
      <w:r>
        <w:rPr>
          <w:noProof/>
        </w:rPr>
        <w:drawing>
          <wp:anchor distT="0" distB="0" distL="114300" distR="114300" simplePos="0" relativeHeight="251868160" behindDoc="0" locked="0" layoutInCell="1" allowOverlap="1" wp14:anchorId="5FEC06F9" wp14:editId="5D7191F7">
            <wp:simplePos x="0" y="0"/>
            <wp:positionH relativeFrom="column">
              <wp:posOffset>216535</wp:posOffset>
            </wp:positionH>
            <wp:positionV relativeFrom="paragraph">
              <wp:posOffset>217805</wp:posOffset>
            </wp:positionV>
            <wp:extent cx="5327650" cy="2221230"/>
            <wp:effectExtent l="0" t="0" r="6350" b="7620"/>
            <wp:wrapSquare wrapText="bothSides"/>
            <wp:docPr id="1328308764" name="Gráfico 1">
              <a:extLst xmlns:a="http://schemas.openxmlformats.org/drawingml/2006/main">
                <a:ext uri="{FF2B5EF4-FFF2-40B4-BE49-F238E27FC236}">
                  <a16:creationId xmlns:a16="http://schemas.microsoft.com/office/drawing/2014/main" id="{320B7C4A-B64C-C7F9-CB84-8EA0557ACE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sidR="004E706B" w:rsidRPr="004E706B">
        <w:rPr>
          <w:color w:val="C00000"/>
          <w:sz w:val="18"/>
          <w:szCs w:val="14"/>
        </w:rPr>
        <w:t xml:space="preserve">Gráfica </w:t>
      </w:r>
      <w:r w:rsidR="004E706B" w:rsidRPr="004E706B">
        <w:rPr>
          <w:color w:val="C00000"/>
          <w:sz w:val="18"/>
          <w:szCs w:val="14"/>
        </w:rPr>
        <w:fldChar w:fldCharType="begin"/>
      </w:r>
      <w:r w:rsidR="004E706B" w:rsidRPr="004E706B">
        <w:rPr>
          <w:color w:val="C00000"/>
          <w:sz w:val="18"/>
          <w:szCs w:val="14"/>
        </w:rPr>
        <w:instrText xml:space="preserve"> SEQ Gráfica \* ARABIC </w:instrText>
      </w:r>
      <w:r w:rsidR="004E706B" w:rsidRPr="004E706B">
        <w:rPr>
          <w:color w:val="C00000"/>
          <w:sz w:val="18"/>
          <w:szCs w:val="14"/>
        </w:rPr>
        <w:fldChar w:fldCharType="separate"/>
      </w:r>
      <w:r w:rsidR="00D01651">
        <w:rPr>
          <w:noProof/>
          <w:color w:val="C00000"/>
          <w:sz w:val="18"/>
          <w:szCs w:val="14"/>
        </w:rPr>
        <w:t>7</w:t>
      </w:r>
      <w:r w:rsidR="004E706B" w:rsidRPr="004E706B">
        <w:rPr>
          <w:color w:val="C00000"/>
          <w:sz w:val="18"/>
          <w:szCs w:val="14"/>
        </w:rPr>
        <w:fldChar w:fldCharType="end"/>
      </w:r>
      <w:bookmarkEnd w:id="47"/>
      <w:r w:rsidR="004E706B" w:rsidRPr="004E706B">
        <w:rPr>
          <w:color w:val="C00000"/>
          <w:sz w:val="18"/>
          <w:szCs w:val="14"/>
        </w:rPr>
        <w:t>.</w:t>
      </w:r>
      <w:r>
        <w:rPr>
          <w:color w:val="000000" w:themeColor="text1"/>
          <w:sz w:val="18"/>
          <w:szCs w:val="14"/>
        </w:rPr>
        <w:t xml:space="preserve"> Medidas de pobreza para Bogotá y Nación</w:t>
      </w:r>
      <w:r w:rsidR="00C477C3">
        <w:rPr>
          <w:color w:val="000000" w:themeColor="text1"/>
          <w:sz w:val="18"/>
          <w:szCs w:val="14"/>
        </w:rPr>
        <w:t xml:space="preserve"> (2021 – 2023)</w:t>
      </w:r>
      <w:bookmarkEnd w:id="48"/>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4E706B" w14:paraId="706D1A2A" w14:textId="77777777" w:rsidTr="004E706B">
        <w:tc>
          <w:tcPr>
            <w:tcW w:w="9350" w:type="dxa"/>
            <w:vAlign w:val="center"/>
          </w:tcPr>
          <w:p w14:paraId="196FC88A" w14:textId="7BEBD0E7" w:rsidR="004E706B" w:rsidRDefault="004E706B" w:rsidP="00CC1B82">
            <w:pPr>
              <w:rPr>
                <w:lang w:val="es-419" w:eastAsia="en-US"/>
              </w:rPr>
            </w:pPr>
          </w:p>
        </w:tc>
      </w:tr>
    </w:tbl>
    <w:p w14:paraId="68704BC1" w14:textId="504E028B" w:rsidR="003102A9" w:rsidRPr="000A5FBF" w:rsidRDefault="003102A9" w:rsidP="004E706B">
      <w:pPr>
        <w:pStyle w:val="figuratitulo"/>
        <w:jc w:val="both"/>
        <w:rPr>
          <w:color w:val="3B3838" w:themeColor="background2" w:themeShade="40"/>
        </w:rPr>
      </w:pPr>
      <w:r w:rsidRPr="000A5FBF">
        <w:rPr>
          <w:color w:val="3B3838" w:themeColor="background2" w:themeShade="40"/>
        </w:rPr>
        <w:t xml:space="preserve">*El DANE informa que las cifras oficiales de pobreza </w:t>
      </w:r>
      <w:r>
        <w:rPr>
          <w:color w:val="3B3838" w:themeColor="background2" w:themeShade="40"/>
        </w:rPr>
        <w:t xml:space="preserve">monetaria </w:t>
      </w:r>
      <w:r w:rsidRPr="000A5FBF">
        <w:rPr>
          <w:color w:val="3B3838" w:themeColor="background2" w:themeShade="40"/>
        </w:rPr>
        <w:t>para 2023 serán publicadas durante la primera semana de julio de 2024, tentativamente. En ese sentido, se analiza la información con los datos que fueron publicados en septiembre de 2023 que tenían datos correspondientes al 2022.</w:t>
      </w:r>
    </w:p>
    <w:p w14:paraId="540F1474" w14:textId="77777777" w:rsidR="003102A9" w:rsidRDefault="003102A9" w:rsidP="003102A9">
      <w:pPr>
        <w:pStyle w:val="figuratitulo"/>
        <w:rPr>
          <w:color w:val="3B3838" w:themeColor="background2" w:themeShade="40"/>
          <w:kern w:val="2"/>
          <w14:ligatures w14:val="standardContextual"/>
        </w:rPr>
      </w:pPr>
      <w:r w:rsidRPr="000A5FBF">
        <w:rPr>
          <w:b/>
          <w:bCs/>
          <w:color w:val="3B3838" w:themeColor="background2" w:themeShade="40"/>
          <w:kern w:val="2"/>
          <w14:ligatures w14:val="standardContextual"/>
        </w:rPr>
        <w:t>Fuente:</w:t>
      </w:r>
      <w:r w:rsidRPr="000A5FBF">
        <w:rPr>
          <w:color w:val="3B3838" w:themeColor="background2" w:themeShade="40"/>
          <w:kern w:val="2"/>
          <w14:ligatures w14:val="standardContextual"/>
        </w:rPr>
        <w:t xml:space="preserve"> DANE, Gran Encuesta Integrada de Hogares (2021-2022).</w:t>
      </w:r>
    </w:p>
    <w:p w14:paraId="2F23B0A6" w14:textId="77777777" w:rsidR="003102A9" w:rsidRDefault="003102A9" w:rsidP="003102A9">
      <w:pPr>
        <w:pStyle w:val="figuratitulo"/>
        <w:rPr>
          <w:color w:val="3B3838" w:themeColor="background2" w:themeShade="40"/>
          <w:kern w:val="2"/>
          <w14:ligatures w14:val="standardContextual"/>
        </w:rPr>
      </w:pPr>
    </w:p>
    <w:p w14:paraId="37171417" w14:textId="7275E01D" w:rsidR="003102A9" w:rsidRDefault="003102A9" w:rsidP="003102A9">
      <w:pPr>
        <w:pStyle w:val="figuratitulo"/>
        <w:sectPr w:rsidR="003102A9" w:rsidSect="00F7078E">
          <w:type w:val="continuous"/>
          <w:pgSz w:w="12240" w:h="15840"/>
          <w:pgMar w:top="2262" w:right="1440" w:bottom="1440" w:left="1440" w:header="708" w:footer="680" w:gutter="0"/>
          <w:cols w:space="720"/>
          <w:docGrid w:linePitch="299"/>
        </w:sectPr>
      </w:pPr>
    </w:p>
    <w:p w14:paraId="0B6A7C31" w14:textId="77777777" w:rsidR="003102A9" w:rsidRPr="000A5FBF" w:rsidRDefault="003102A9" w:rsidP="003102A9">
      <w:r w:rsidRPr="000A5FBF">
        <w:t>Históricamente, la pobreza monetaria muestra mayor incidencia en mujeres. Este indicador registró el 28,7 % en 2022, con una reducción de 2</w:t>
      </w:r>
      <w:r>
        <w:t>,</w:t>
      </w:r>
      <w:r w:rsidRPr="000A5FBF">
        <w:t>3 p.p. respecto a 2021; los hombres, por su parte, registraron un 27,4 % en pobreza monetaria en 2022, con una caída de 2,9 p.p. respecto a 2021. Este comportamiento es similar en el caso de la pobreza extrema que pasó de 8,7 % a 8,4 % para mujeres y de 8,3</w:t>
      </w:r>
      <w:r>
        <w:t>%</w:t>
      </w:r>
      <w:r w:rsidRPr="000A5FBF">
        <w:t xml:space="preserve"> a 7,8 % para hombres en 2022.</w:t>
      </w:r>
    </w:p>
    <w:p w14:paraId="0F2B225F" w14:textId="77777777" w:rsidR="003102A9" w:rsidRPr="000A5FBF" w:rsidRDefault="003102A9" w:rsidP="003102A9"/>
    <w:p w14:paraId="04D23D54" w14:textId="3789DC45" w:rsidR="003102A9" w:rsidRDefault="003102A9" w:rsidP="003102A9">
      <w:r w:rsidRPr="000A5FBF">
        <w:t>Por su parte, el análisis desde el Índice de Pobreza Multidimensional, que estudia el fenómeno en las dimensiones de salud, educación, condiciones de la niñez y la juventud, mercado laboral y condiciones de habitabilidad, muestra que para el 202</w:t>
      </w:r>
      <w:r>
        <w:t>3</w:t>
      </w:r>
      <w:r w:rsidRPr="000A5FBF">
        <w:t xml:space="preserve"> la pobreza multidimensional afectó al 3,</w:t>
      </w:r>
      <w:r>
        <w:t>6</w:t>
      </w:r>
      <w:r w:rsidRPr="000A5FBF">
        <w:t xml:space="preserve"> % de las personas de Bogotá, con una disminución de </w:t>
      </w:r>
      <w:r>
        <w:t xml:space="preserve">2,1 </w:t>
      </w:r>
      <w:r w:rsidRPr="000A5FBF">
        <w:t xml:space="preserve">p.p. respecto a 2021, cuando alcanzó un 5,7 %. Durante </w:t>
      </w:r>
      <w:r>
        <w:t>los últimos 5 años</w:t>
      </w:r>
      <w:r w:rsidRPr="000A5FBF">
        <w:t>, de 2019 a 202</w:t>
      </w:r>
      <w:r>
        <w:t>3</w:t>
      </w:r>
      <w:r w:rsidRPr="000A5FBF">
        <w:t xml:space="preserve">, se </w:t>
      </w:r>
      <w:r>
        <w:t>presentaron</w:t>
      </w:r>
      <w:r w:rsidRPr="000A5FBF">
        <w:t xml:space="preserve"> retrocesos en materia de inasistencia escolar,</w:t>
      </w:r>
      <w:r>
        <w:t xml:space="preserve"> que paso</w:t>
      </w:r>
      <w:r w:rsidRPr="000A5FBF">
        <w:t xml:space="preserve"> de 1 % a 1,</w:t>
      </w:r>
      <w:r>
        <w:t>4</w:t>
      </w:r>
      <w:r w:rsidRPr="000A5FBF">
        <w:t xml:space="preserve"> %; trabajo infantil, de 0,5 % a </w:t>
      </w:r>
      <w:r>
        <w:t>0,7</w:t>
      </w:r>
      <w:r w:rsidRPr="000A5FBF">
        <w:t>%; sin acceso a fuente de agua mejorada, de 0,1 % a 0,5 %; inadecuada eliminación de excretas, de 0 % a 0,</w:t>
      </w:r>
      <w:r>
        <w:t>5</w:t>
      </w:r>
      <w:r w:rsidRPr="000A5FBF">
        <w:t xml:space="preserve"> %; y </w:t>
      </w:r>
      <w:r>
        <w:t xml:space="preserve">desempleo de larga duración, que paso de 12,3% a 14,7%. </w:t>
      </w:r>
    </w:p>
    <w:p w14:paraId="10877671" w14:textId="77777777" w:rsidR="003102A9" w:rsidRDefault="003102A9" w:rsidP="003102A9"/>
    <w:p w14:paraId="37D785FF" w14:textId="571CE089" w:rsidR="003102A9" w:rsidRDefault="003102A9" w:rsidP="003102A9">
      <w:r w:rsidRPr="001D01B8">
        <w:t>Al hacer el énfasis en la dimensión de salud medida en el IPM, se observa una mejora significativa, ya que el porcentaje de personas que no accedían a aseguramiento pasó de 13,5</w:t>
      </w:r>
      <w:r w:rsidR="00547995" w:rsidRPr="000A5FBF">
        <w:t> </w:t>
      </w:r>
      <w:r w:rsidRPr="001D01B8">
        <w:t>% a 9,2</w:t>
      </w:r>
      <w:r w:rsidR="00547995" w:rsidRPr="000A5FBF">
        <w:t> </w:t>
      </w:r>
      <w:r w:rsidRPr="001D01B8">
        <w:t>% en 2023, y se denota eliminación de barreras de acceso a salud, donde en 2019, 10,3</w:t>
      </w:r>
      <w:r w:rsidR="00547995" w:rsidRPr="000A5FBF">
        <w:t> </w:t>
      </w:r>
      <w:r w:rsidRPr="001D01B8">
        <w:t>% de las personas presentaba barreras, pero en 2023 tan solo el 1,5</w:t>
      </w:r>
      <w:r w:rsidR="00547995" w:rsidRPr="000A5FBF">
        <w:t> </w:t>
      </w:r>
      <w:r w:rsidRPr="001D01B8">
        <w:t xml:space="preserve">% presentó esta condición. No obstante, hay aspectos que no son medidos por el índice, </w:t>
      </w:r>
      <w:r w:rsidRPr="001D01B8">
        <w:t>pero que deben ser tenidos en cuenta, sobre todo aquellos relacionados con los indicadores de morbilidad y mortalidad.</w:t>
      </w:r>
    </w:p>
    <w:p w14:paraId="623C6346" w14:textId="77777777" w:rsidR="003102A9" w:rsidRDefault="003102A9" w:rsidP="003102A9"/>
    <w:p w14:paraId="41B953E3" w14:textId="5AB6B3B4" w:rsidR="003102A9" w:rsidRDefault="003102A9" w:rsidP="003102A9">
      <w:r w:rsidRPr="001D01B8">
        <w:t>De acuerdo con la Secretaría de en Salud, en los últimos años la tasa de mortalidad prematura por enfermedades crónicas no transmisibles, pasó de 140,05 muertes por 100.000 habitantes en 2018 a 128,68 muertes por 100.000 habitantes en 2022. Lo que representa más de 10.000 personas que mueren al año por</w:t>
      </w:r>
      <w:r>
        <w:t xml:space="preserve"> </w:t>
      </w:r>
      <w:r w:rsidRPr="001D01B8">
        <w:t>enfermedades</w:t>
      </w:r>
      <w:r>
        <w:t xml:space="preserve"> </w:t>
      </w:r>
      <w:r w:rsidRPr="001D01B8">
        <w:t xml:space="preserve">cardiovasculares, </w:t>
      </w:r>
      <w:r>
        <w:t xml:space="preserve">como el </w:t>
      </w:r>
      <w:r w:rsidRPr="001D01B8">
        <w:t>cáncer, las enfermedades respiratorias crónicas y la diabetes. Esto cobra mayor relevancia, dadas las proyecciones poblacionales, que como se mencionó, muestran que la población bogotana está envejeciendo.</w:t>
      </w:r>
    </w:p>
    <w:p w14:paraId="7DB3E788" w14:textId="77777777" w:rsidR="004158F0" w:rsidRPr="001D01B8" w:rsidRDefault="004158F0" w:rsidP="003102A9"/>
    <w:p w14:paraId="7DD41509" w14:textId="72D2C7D3" w:rsidR="003102A9" w:rsidRPr="001D01B8" w:rsidRDefault="003102A9" w:rsidP="003102A9">
      <w:pPr>
        <w:sectPr w:rsidR="003102A9" w:rsidRPr="001D01B8" w:rsidSect="00F7078E">
          <w:type w:val="continuous"/>
          <w:pgSz w:w="12240" w:h="15840"/>
          <w:pgMar w:top="2262" w:right="1440" w:bottom="1440" w:left="1440" w:header="708" w:footer="680" w:gutter="0"/>
          <w:cols w:num="2" w:space="567"/>
          <w:docGrid w:linePitch="299"/>
        </w:sectPr>
      </w:pPr>
      <w:r w:rsidRPr="001D01B8">
        <w:t>Finalmente, en cuanto a las medidas de pobreza para la ciudad, la administración ha avanzado en la compresión de otros aspectos relevantes para los ciudadanos que pueden representar otras formas de pobreza o vulnerabilidad. Así las cosas, en 2023 la Secretaría Distrital de Planeación generó el Índice de Condiciones ampliadas de Vida-ICAV, en el cuál, además de los aspectos medidos en el IPM, se incluyen medidas que evalúan el entorno y acceso al espacio público y equipamientos, cuidado y uso del tiempo y factores de exclusión, discriminación e inseguridad personal. La medición del indicador muestra que para 2021 el ICAV da cuenta de un 18,5</w:t>
      </w:r>
      <w:r w:rsidR="00547995" w:rsidRPr="000A5FBF">
        <w:t> </w:t>
      </w:r>
      <w:r w:rsidRPr="001D01B8">
        <w:t>% de la población que presenta privaciones que conllevan a que sea considerado en pobreza multidimensional por el ICAV.</w:t>
      </w:r>
    </w:p>
    <w:p w14:paraId="1A2C2A28" w14:textId="0DA4ADCC" w:rsidR="003102A9" w:rsidRPr="000A5FBF" w:rsidRDefault="003102A9" w:rsidP="00827544">
      <w:pPr>
        <w:pStyle w:val="Ttulo3"/>
      </w:pPr>
      <w:bookmarkStart w:id="49" w:name="_Toc165122338"/>
      <w:bookmarkStart w:id="50" w:name="_Toc165169594"/>
      <w:bookmarkStart w:id="51" w:name="_Toc165169734"/>
      <w:r w:rsidRPr="000A5FBF">
        <w:t>Empleo</w:t>
      </w:r>
      <w:bookmarkEnd w:id="49"/>
      <w:bookmarkEnd w:id="50"/>
      <w:bookmarkEnd w:id="51"/>
    </w:p>
    <w:p w14:paraId="2B5A10B5" w14:textId="77777777" w:rsidR="003102A9" w:rsidRDefault="003102A9" w:rsidP="00921449">
      <w:pPr>
        <w:pStyle w:val="Ttulo1"/>
        <w:sectPr w:rsidR="003102A9" w:rsidSect="00F7078E">
          <w:type w:val="continuous"/>
          <w:pgSz w:w="12240" w:h="15840"/>
          <w:pgMar w:top="2262" w:right="1440" w:bottom="1440" w:left="1440" w:header="708" w:footer="680" w:gutter="0"/>
          <w:cols w:space="720"/>
          <w:docGrid w:linePitch="299"/>
        </w:sectPr>
      </w:pPr>
    </w:p>
    <w:p w14:paraId="393FB0DE" w14:textId="77777777" w:rsidR="003102A9" w:rsidRDefault="003102A9" w:rsidP="003102A9">
      <w:r w:rsidRPr="000A5FBF">
        <w:t>El empleo, trabajo o actividad es otra de las dimensiones en las que menos se sienten conformes las personas de Bogotá. Esta tiene también una estrecha relación con el ingreso.</w:t>
      </w:r>
    </w:p>
    <w:p w14:paraId="5B710891" w14:textId="77777777" w:rsidR="003102A9" w:rsidRDefault="003102A9" w:rsidP="003102A9"/>
    <w:p w14:paraId="1A628D4D" w14:textId="685C75B0" w:rsidR="003102A9" w:rsidRDefault="003102A9" w:rsidP="003102A9">
      <w:r w:rsidRPr="00633DF9">
        <w:t xml:space="preserve">Entre 2019 y 2023, pese al impacto del Covid-19, Bogotá logró una recuperación importante en </w:t>
      </w:r>
      <w:r w:rsidRPr="00633DF9">
        <w:t>empleos, cerrando de 2023 con alrededor de 180.000 empleos más que en 2019. Los ocupados alcanzaron cerca de 4 millones de empleos, de tal forma que la ciudad presentó una tasa de ocupación del 62,3</w:t>
      </w:r>
      <w:r w:rsidR="00547995" w:rsidRPr="000A5FBF">
        <w:t> </w:t>
      </w:r>
      <w:r w:rsidRPr="00633DF9">
        <w:t>%, mientras que la tasa global de participación se ubicó en 69,5</w:t>
      </w:r>
      <w:r w:rsidR="00547995" w:rsidRPr="000A5FBF">
        <w:t> </w:t>
      </w:r>
      <w:r w:rsidRPr="00633DF9">
        <w:t xml:space="preserve">%. </w:t>
      </w:r>
      <w:r w:rsidRPr="00633DF9">
        <w:lastRenderedPageBreak/>
        <w:t>Registrando así una menor tasa de desempleo (10,4</w:t>
      </w:r>
      <w:r w:rsidR="00547995" w:rsidRPr="000A5FBF">
        <w:t> </w:t>
      </w:r>
      <w:r w:rsidRPr="00633DF9">
        <w:t xml:space="preserve">%) a la obtenida en </w:t>
      </w:r>
      <w:r w:rsidRPr="00827544">
        <w:t>2019 (</w:t>
      </w:r>
      <w:r w:rsidR="00827544" w:rsidRPr="00827544">
        <w:rPr>
          <w:b/>
          <w:bCs/>
        </w:rPr>
        <w:fldChar w:fldCharType="begin"/>
      </w:r>
      <w:r w:rsidR="00827544" w:rsidRPr="00827544">
        <w:instrText xml:space="preserve"> REF _Ref165110348 \h </w:instrText>
      </w:r>
      <w:r w:rsidR="00827544" w:rsidRPr="00827544">
        <w:rPr>
          <w:b/>
          <w:bCs/>
        </w:rPr>
      </w:r>
      <w:r w:rsidR="00827544" w:rsidRPr="00827544">
        <w:rPr>
          <w:b/>
          <w:bCs/>
        </w:rPr>
        <w:fldChar w:fldCharType="separate"/>
      </w:r>
      <w:r w:rsidR="00D01651" w:rsidRPr="00827544">
        <w:rPr>
          <w:color w:val="C00000"/>
          <w:sz w:val="18"/>
          <w:szCs w:val="14"/>
        </w:rPr>
        <w:t xml:space="preserve">Gráfica </w:t>
      </w:r>
      <w:r w:rsidR="00D01651">
        <w:rPr>
          <w:noProof/>
          <w:color w:val="C00000"/>
          <w:sz w:val="18"/>
          <w:szCs w:val="14"/>
        </w:rPr>
        <w:t>8</w:t>
      </w:r>
      <w:r w:rsidR="00827544" w:rsidRPr="00827544">
        <w:rPr>
          <w:b/>
          <w:bCs/>
        </w:rPr>
        <w:fldChar w:fldCharType="end"/>
      </w:r>
      <w:r w:rsidRPr="00827544">
        <w:rPr>
          <w:b/>
          <w:bCs/>
        </w:rPr>
        <w:t>).</w:t>
      </w:r>
    </w:p>
    <w:p w14:paraId="51D388A8" w14:textId="77777777" w:rsidR="003102A9" w:rsidRDefault="003102A9" w:rsidP="003102A9"/>
    <w:p w14:paraId="3B2E6C06" w14:textId="77777777" w:rsidR="003102A9" w:rsidRPr="000A5FBF" w:rsidRDefault="003102A9" w:rsidP="003102A9">
      <w:pPr>
        <w:rPr>
          <w:lang w:val="es-ES"/>
        </w:rPr>
      </w:pPr>
      <w:r w:rsidRPr="000A5FBF">
        <w:t xml:space="preserve"> </w:t>
      </w:r>
      <w:r>
        <w:rPr>
          <w:lang w:val="es-ES"/>
        </w:rPr>
        <w:t>Un análisis más detallado muestra que</w:t>
      </w:r>
      <w:r w:rsidRPr="000A5FBF">
        <w:rPr>
          <w:lang w:val="es-ES"/>
        </w:rPr>
        <w:t xml:space="preserve">, en 2022 se diversificó el reparto de la contribución al PIB y la contribución al empleo entre los diferentes sectores económicos. Por ejemplo, el sector de comercio, transporte, almacenamiento, alojamiento y restaurantes se destaca por su alta contribución tanto al PIB (24,9 %) como al empleo (31,8 %), lo que sugiere una fuerte correlación entre la </w:t>
      </w:r>
      <w:r w:rsidRPr="009D051D">
        <w:rPr>
          <w:spacing w:val="-6"/>
          <w:lang w:val="es-ES"/>
        </w:rPr>
        <w:t>actividad económica y la generación de empleo en este sector. Por otro lado, la agricultura y la minería muestran una contribución mínima al PIB (0,0 % y 0,2 %, respectivamente), pero contribuyen más significativamente al empleo (0,5 % para ambos sectores), lo que sugiere una mayor intensidad de</w:t>
      </w:r>
      <w:r w:rsidRPr="000A5FBF">
        <w:rPr>
          <w:lang w:val="es-ES"/>
        </w:rPr>
        <w:t xml:space="preserve"> mano de obra en estas actividades. Esta dispersión entre la contribución al PIB y al empleo refleja la diversidad estructural de la economía bogotana, con </w:t>
      </w:r>
      <w:r w:rsidRPr="000A5FBF">
        <w:rPr>
          <w:lang w:val="es-ES"/>
        </w:rPr>
        <w:t>algunos sectores con oferta de empleo más intensiva que otros.</w:t>
      </w:r>
    </w:p>
    <w:p w14:paraId="7EF2F798" w14:textId="77777777" w:rsidR="003102A9" w:rsidRPr="000A5FBF" w:rsidRDefault="003102A9" w:rsidP="003102A9">
      <w:pPr>
        <w:rPr>
          <w:lang w:val="es-ES"/>
        </w:rPr>
      </w:pPr>
    </w:p>
    <w:p w14:paraId="4A11851E" w14:textId="77777777" w:rsidR="003102A9" w:rsidRDefault="003102A9" w:rsidP="003102A9">
      <w:pPr>
        <w:rPr>
          <w:lang w:val="es-ES"/>
        </w:rPr>
      </w:pPr>
      <w:r w:rsidRPr="000A5FBF">
        <w:rPr>
          <w:lang w:val="es-ES"/>
        </w:rPr>
        <w:t>En contraste, algunos sectores muestran discrepancias entre su contribución al PIB y al empleo. Por ejemplo, el sector de construcción contribuye con el 3,9 % al PIB, pero su contribución al empleo es significativamente mayor, representando el 5,2 %. Esto sugiere una alta intensidad de empleo en el sector de la construcción. Por otro lado, actividades como las financieras y de seguros muestran una contribución relativamente alta al PIB (9,2 %), pero una contribución más modesta al empleo (4,0 %), lo que indica una menor intensidad de mano de obra en este sector. Estas disparidades subrayan la importancia de considerar tanto la contribución al PIB como al empleo al analizar la estructura y la dinámica de los diferentes sectores económicos, así como las distintas apuestas que buscan promover el empleo en la ciudad.</w:t>
      </w:r>
    </w:p>
    <w:p w14:paraId="1D2CB654" w14:textId="77777777" w:rsidR="003102A9" w:rsidRDefault="003102A9" w:rsidP="003102A9">
      <w:pPr>
        <w:rPr>
          <w:lang w:val="es-ES"/>
        </w:rPr>
        <w:sectPr w:rsidR="003102A9" w:rsidSect="00F7078E">
          <w:type w:val="continuous"/>
          <w:pgSz w:w="12240" w:h="15840"/>
          <w:pgMar w:top="2262" w:right="1440" w:bottom="1440" w:left="1440" w:header="708" w:footer="680" w:gutter="0"/>
          <w:cols w:num="2" w:space="720"/>
          <w:docGrid w:linePitch="299"/>
        </w:sectPr>
      </w:pPr>
    </w:p>
    <w:p w14:paraId="1EF62F0D" w14:textId="03482CF9" w:rsidR="009D051D" w:rsidRPr="009D051D" w:rsidRDefault="009D051D" w:rsidP="009D051D">
      <w:pPr>
        <w:rPr>
          <w:lang w:val="es-419" w:eastAsia="en-US"/>
        </w:rPr>
      </w:pPr>
      <w:bookmarkStart w:id="52" w:name="_Ref164941492"/>
    </w:p>
    <w:p w14:paraId="18DEDB88" w14:textId="766D09F9" w:rsidR="004158F0" w:rsidRPr="004158F0" w:rsidRDefault="004158F0" w:rsidP="004158F0">
      <w:pPr>
        <w:rPr>
          <w:lang w:val="es-419" w:eastAsia="en-US"/>
        </w:rPr>
      </w:pPr>
    </w:p>
    <w:p w14:paraId="5727C1B1" w14:textId="369D57C6" w:rsidR="003102A9" w:rsidRDefault="00827544" w:rsidP="00827544">
      <w:pPr>
        <w:pStyle w:val="Descripcin"/>
        <w:jc w:val="center"/>
        <w:rPr>
          <w:color w:val="000000" w:themeColor="text1"/>
          <w:sz w:val="18"/>
          <w:szCs w:val="14"/>
        </w:rPr>
      </w:pPr>
      <w:bookmarkStart w:id="53" w:name="_Ref165110348"/>
      <w:bookmarkStart w:id="54" w:name="_Toc165169834"/>
      <w:bookmarkEnd w:id="52"/>
      <w:r w:rsidRPr="00827544">
        <w:rPr>
          <w:color w:val="C00000"/>
          <w:sz w:val="18"/>
          <w:szCs w:val="14"/>
        </w:rPr>
        <w:t xml:space="preserve">Gráfica </w:t>
      </w:r>
      <w:r w:rsidRPr="00827544">
        <w:rPr>
          <w:color w:val="C00000"/>
          <w:sz w:val="18"/>
          <w:szCs w:val="14"/>
        </w:rPr>
        <w:fldChar w:fldCharType="begin"/>
      </w:r>
      <w:r w:rsidRPr="00827544">
        <w:rPr>
          <w:color w:val="C00000"/>
          <w:sz w:val="18"/>
          <w:szCs w:val="14"/>
        </w:rPr>
        <w:instrText xml:space="preserve"> SEQ Gráfica \* ARABIC </w:instrText>
      </w:r>
      <w:r w:rsidRPr="00827544">
        <w:rPr>
          <w:color w:val="C00000"/>
          <w:sz w:val="18"/>
          <w:szCs w:val="14"/>
        </w:rPr>
        <w:fldChar w:fldCharType="separate"/>
      </w:r>
      <w:r w:rsidR="00D01651">
        <w:rPr>
          <w:noProof/>
          <w:color w:val="C00000"/>
          <w:sz w:val="18"/>
          <w:szCs w:val="14"/>
        </w:rPr>
        <w:t>8</w:t>
      </w:r>
      <w:r w:rsidRPr="00827544">
        <w:rPr>
          <w:color w:val="C00000"/>
          <w:sz w:val="18"/>
          <w:szCs w:val="14"/>
        </w:rPr>
        <w:fldChar w:fldCharType="end"/>
      </w:r>
      <w:bookmarkEnd w:id="53"/>
      <w:r w:rsidRPr="00827544">
        <w:rPr>
          <w:color w:val="C00000"/>
          <w:sz w:val="18"/>
          <w:szCs w:val="14"/>
        </w:rPr>
        <w:t>.</w:t>
      </w:r>
      <w:r w:rsidR="003102A9" w:rsidRPr="00827544">
        <w:rPr>
          <w:color w:val="000000" w:themeColor="text1"/>
          <w:sz w:val="18"/>
          <w:szCs w:val="14"/>
        </w:rPr>
        <w:t xml:space="preserve">Comportamiento de los indicadores de Empleo 2019 </w:t>
      </w:r>
      <w:r w:rsidR="005868C4">
        <w:rPr>
          <w:color w:val="000000" w:themeColor="text1"/>
          <w:sz w:val="18"/>
          <w:szCs w:val="14"/>
        </w:rPr>
        <w:t>–</w:t>
      </w:r>
      <w:r w:rsidR="003102A9" w:rsidRPr="00827544">
        <w:rPr>
          <w:color w:val="000000" w:themeColor="text1"/>
          <w:sz w:val="18"/>
          <w:szCs w:val="14"/>
        </w:rPr>
        <w:t xml:space="preserve"> 2023</w:t>
      </w:r>
      <w:bookmarkEnd w:id="54"/>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5868C4" w14:paraId="7739751B" w14:textId="77777777" w:rsidTr="005868C4">
        <w:tc>
          <w:tcPr>
            <w:tcW w:w="9350" w:type="dxa"/>
          </w:tcPr>
          <w:p w14:paraId="1EA691F0" w14:textId="104A5150" w:rsidR="005868C4" w:rsidRDefault="005868C4" w:rsidP="005868C4">
            <w:pPr>
              <w:jc w:val="center"/>
              <w:rPr>
                <w:lang w:val="es-419" w:eastAsia="en-US"/>
              </w:rPr>
            </w:pPr>
            <w:r>
              <w:rPr>
                <w:noProof/>
              </w:rPr>
              <w:drawing>
                <wp:anchor distT="0" distB="0" distL="114300" distR="114300" simplePos="0" relativeHeight="251872256" behindDoc="0" locked="0" layoutInCell="1" allowOverlap="1" wp14:anchorId="0E1E3631" wp14:editId="3B181843">
                  <wp:simplePos x="0" y="0"/>
                  <wp:positionH relativeFrom="column">
                    <wp:posOffset>474149</wp:posOffset>
                  </wp:positionH>
                  <wp:positionV relativeFrom="paragraph">
                    <wp:posOffset>25058</wp:posOffset>
                  </wp:positionV>
                  <wp:extent cx="4855210" cy="2737485"/>
                  <wp:effectExtent l="0" t="0" r="0" b="5715"/>
                  <wp:wrapSquare wrapText="bothSides"/>
                  <wp:docPr id="278928638" name="Gráfico 1">
                    <a:extLst xmlns:a="http://schemas.openxmlformats.org/drawingml/2006/main">
                      <a:ext uri="{FF2B5EF4-FFF2-40B4-BE49-F238E27FC236}">
                        <a16:creationId xmlns:a16="http://schemas.microsoft.com/office/drawing/2014/main" id="{350FA90B-FEC2-412F-06D3-B935283CDA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tc>
      </w:tr>
    </w:tbl>
    <w:p w14:paraId="196DF859" w14:textId="3E55E129" w:rsidR="004158F0" w:rsidRDefault="003102A9" w:rsidP="004B0F0C">
      <w:pPr>
        <w:jc w:val="center"/>
        <w:rPr>
          <w:sz w:val="18"/>
        </w:rPr>
      </w:pPr>
      <w:r w:rsidRPr="00D06BA1">
        <w:rPr>
          <w:sz w:val="18"/>
        </w:rPr>
        <w:t>Cálculos SDP con la GEIH con factores de expansión del CNPV 2018</w:t>
      </w:r>
    </w:p>
    <w:p w14:paraId="38F19E64" w14:textId="28562D2F" w:rsidR="005868C4" w:rsidRDefault="005868C4">
      <w:pPr>
        <w:spacing w:line="240" w:lineRule="auto"/>
        <w:jc w:val="left"/>
        <w:rPr>
          <w:sz w:val="18"/>
        </w:rPr>
      </w:pPr>
      <w:r>
        <w:rPr>
          <w:sz w:val="18"/>
        </w:rPr>
        <w:br w:type="page"/>
      </w:r>
    </w:p>
    <w:p w14:paraId="4BEBB192" w14:textId="763C9209" w:rsidR="003102A9" w:rsidRPr="00EB5632" w:rsidRDefault="003102A9" w:rsidP="005868C4">
      <w:pPr>
        <w:pStyle w:val="Ttulo3"/>
      </w:pPr>
      <w:bookmarkStart w:id="55" w:name="_Toc165122339"/>
      <w:bookmarkStart w:id="56" w:name="_Toc165169595"/>
      <w:bookmarkStart w:id="57" w:name="_Toc165169735"/>
      <w:r w:rsidRPr="00EB5632">
        <w:lastRenderedPageBreak/>
        <w:t>Desequilibrios territoriales y acción climática</w:t>
      </w:r>
      <w:bookmarkEnd w:id="55"/>
      <w:bookmarkEnd w:id="56"/>
      <w:bookmarkEnd w:id="57"/>
    </w:p>
    <w:p w14:paraId="2C080110" w14:textId="77777777" w:rsidR="003102A9" w:rsidRDefault="003102A9" w:rsidP="00921449">
      <w:pPr>
        <w:pStyle w:val="Ttulo1"/>
        <w:sectPr w:rsidR="003102A9" w:rsidSect="00F7078E">
          <w:type w:val="continuous"/>
          <w:pgSz w:w="12240" w:h="15840"/>
          <w:pgMar w:top="2262" w:right="1440" w:bottom="1440" w:left="1440" w:header="708" w:footer="680" w:gutter="0"/>
          <w:cols w:space="720"/>
          <w:docGrid w:linePitch="299"/>
        </w:sectPr>
      </w:pPr>
    </w:p>
    <w:p w14:paraId="4A1D802E" w14:textId="77777777" w:rsidR="003102A9" w:rsidRPr="004B0F0C" w:rsidRDefault="003102A9" w:rsidP="003102A9">
      <w:pPr>
        <w:rPr>
          <w:rFonts w:cs="Times New Roman (Cuerpo en alfa"/>
          <w:spacing w:val="-6"/>
        </w:rPr>
      </w:pPr>
      <w:r w:rsidRPr="004B0F0C">
        <w:rPr>
          <w:rFonts w:cs="Times New Roman (Cuerpo en alfa"/>
          <w:spacing w:val="-6"/>
        </w:rPr>
        <w:t>Las brechas sociales, la falta de acceso a oportunidades y los problemas relacionados con bajos ingresos se pueden acentuar y explicar dados algunos desequilibrios territoriales que hay en la ciudad. Esta es una relación de doble vía en la que los desequilibrios son causa y a la vez efecto de las problemáticas que enfrenta la ciudad, acentuando así la complejidad de los problemas económicos, sociales y ambientales de Bogotá.</w:t>
      </w:r>
    </w:p>
    <w:p w14:paraId="68CB357B" w14:textId="77777777" w:rsidR="003102A9" w:rsidRPr="004B0F0C" w:rsidRDefault="003102A9" w:rsidP="003102A9">
      <w:pPr>
        <w:rPr>
          <w:rFonts w:cs="Times New Roman (Cuerpo en alfa"/>
          <w:spacing w:val="-6"/>
        </w:rPr>
      </w:pPr>
    </w:p>
    <w:p w14:paraId="56CFA88B" w14:textId="32655F68" w:rsidR="003102A9" w:rsidRPr="004B0F0C" w:rsidRDefault="003102A9" w:rsidP="003102A9">
      <w:pPr>
        <w:rPr>
          <w:rFonts w:cs="Times New Roman (Cuerpo en alfa"/>
          <w:spacing w:val="-6"/>
        </w:rPr>
      </w:pPr>
      <w:r w:rsidRPr="004B0F0C">
        <w:rPr>
          <w:rFonts w:cs="Times New Roman (Cuerpo en alfa"/>
          <w:spacing w:val="-6"/>
        </w:rPr>
        <w:t>Al hablar de desequilibrios territoriales se hace referencia a la distribución desigual de acceso a infraestructuras y servicios de soportes urbanos que permitan el goce y disfrute de la ciudad para el mejoramiento de la calidad de vida. De forma general, se puede afirmar que los déficit</w:t>
      </w:r>
      <w:r w:rsidR="00283CAE">
        <w:rPr>
          <w:rFonts w:cs="Times New Roman (Cuerpo en alfa"/>
          <w:spacing w:val="-6"/>
        </w:rPr>
        <w:t xml:space="preserve"> </w:t>
      </w:r>
      <w:r w:rsidRPr="004B0F0C">
        <w:rPr>
          <w:rFonts w:cs="Times New Roman (Cuerpo en alfa"/>
          <w:spacing w:val="-6"/>
        </w:rPr>
        <w:t xml:space="preserve">asociados a esta distribución en Bogotá, se centra en las zonas periféricas o de borde en los sectores sur y occidental de la ciudad. En el siguiente mapa se ilustra la clasificación de Unidades de Planeamiento Local (UPL) en deficitarias y no deficitarias  </w:t>
      </w:r>
      <w:r w:rsidR="001A31B3">
        <w:rPr>
          <w:rFonts w:cs="Times New Roman (Cuerpo en alfa"/>
          <w:spacing w:val="-6"/>
        </w:rPr>
        <w:t>(</w:t>
      </w:r>
      <w:r w:rsidR="001A31B3" w:rsidRPr="001A31B3">
        <w:rPr>
          <w:rFonts w:cs="Times New Roman (Cuerpo en alfa"/>
          <w:spacing w:val="-6"/>
        </w:rPr>
        <w:fldChar w:fldCharType="begin"/>
      </w:r>
      <w:r w:rsidR="001A31B3" w:rsidRPr="001A31B3">
        <w:rPr>
          <w:rFonts w:cs="Times New Roman (Cuerpo en alfa"/>
          <w:spacing w:val="-6"/>
        </w:rPr>
        <w:instrText xml:space="preserve"> REF _Ref165110577 \h </w:instrText>
      </w:r>
      <w:r w:rsidR="001A31B3" w:rsidRPr="001A31B3">
        <w:rPr>
          <w:rFonts w:cs="Times New Roman (Cuerpo en alfa"/>
          <w:spacing w:val="-6"/>
        </w:rPr>
      </w:r>
      <w:r w:rsidR="001A31B3" w:rsidRPr="001A31B3">
        <w:rPr>
          <w:rFonts w:cs="Times New Roman (Cuerpo en alfa"/>
          <w:spacing w:val="-6"/>
        </w:rPr>
        <w:fldChar w:fldCharType="separate"/>
      </w:r>
      <w:r w:rsidR="00D01651" w:rsidRPr="001A31B3">
        <w:rPr>
          <w:color w:val="C00000"/>
          <w:sz w:val="18"/>
          <w:szCs w:val="14"/>
        </w:rPr>
        <w:t xml:space="preserve">Mapa </w:t>
      </w:r>
      <w:r w:rsidR="00D01651">
        <w:rPr>
          <w:noProof/>
          <w:color w:val="C00000"/>
          <w:sz w:val="18"/>
          <w:szCs w:val="14"/>
        </w:rPr>
        <w:t>1</w:t>
      </w:r>
      <w:r w:rsidR="001A31B3" w:rsidRPr="001A31B3">
        <w:rPr>
          <w:rFonts w:cs="Times New Roman (Cuerpo en alfa"/>
          <w:spacing w:val="-6"/>
        </w:rPr>
        <w:fldChar w:fldCharType="end"/>
      </w:r>
      <w:r w:rsidR="001A31B3">
        <w:rPr>
          <w:rFonts w:cs="Times New Roman (Cuerpo en alfa"/>
          <w:spacing w:val="-6"/>
        </w:rPr>
        <w:t>).</w:t>
      </w:r>
    </w:p>
    <w:p w14:paraId="7781B5CF" w14:textId="77777777" w:rsidR="003102A9" w:rsidRDefault="003102A9" w:rsidP="003102A9">
      <w:pPr>
        <w:pStyle w:val="figuratitulo"/>
        <w:rPr>
          <w:b/>
          <w:bCs/>
        </w:rPr>
        <w:sectPr w:rsidR="003102A9" w:rsidSect="00F7078E">
          <w:type w:val="continuous"/>
          <w:pgSz w:w="12240" w:h="15840"/>
          <w:pgMar w:top="2262" w:right="1440" w:bottom="1440" w:left="1440" w:header="708" w:footer="680" w:gutter="0"/>
          <w:cols w:num="2" w:space="567"/>
          <w:docGrid w:linePitch="299"/>
        </w:sectPr>
      </w:pPr>
    </w:p>
    <w:p w14:paraId="3BF7A9BB" w14:textId="77777777" w:rsidR="003102A9" w:rsidRDefault="003102A9" w:rsidP="003102A9">
      <w:pPr>
        <w:pStyle w:val="figuratitulo"/>
        <w:keepNext/>
        <w:jc w:val="both"/>
      </w:pPr>
    </w:p>
    <w:p w14:paraId="27374B38" w14:textId="1AAABC7D" w:rsidR="003102A9" w:rsidRPr="001A31B3" w:rsidRDefault="00582F85" w:rsidP="00582F85">
      <w:pPr>
        <w:pStyle w:val="Descripcin"/>
        <w:jc w:val="center"/>
        <w:rPr>
          <w:sz w:val="18"/>
          <w:szCs w:val="14"/>
        </w:rPr>
      </w:pPr>
      <w:bookmarkStart w:id="58" w:name="_Ref165110577"/>
      <w:bookmarkStart w:id="59" w:name="_Toc165170025"/>
      <w:r w:rsidRPr="001A31B3">
        <w:rPr>
          <w:color w:val="C00000"/>
          <w:sz w:val="18"/>
          <w:szCs w:val="14"/>
        </w:rPr>
        <w:t xml:space="preserve">Mapa </w:t>
      </w:r>
      <w:r w:rsidRPr="001A31B3">
        <w:rPr>
          <w:color w:val="C00000"/>
          <w:sz w:val="18"/>
          <w:szCs w:val="14"/>
        </w:rPr>
        <w:fldChar w:fldCharType="begin"/>
      </w:r>
      <w:r w:rsidRPr="001A31B3">
        <w:rPr>
          <w:color w:val="C00000"/>
          <w:sz w:val="18"/>
          <w:szCs w:val="14"/>
        </w:rPr>
        <w:instrText xml:space="preserve"> SEQ Mapa \* ARABIC </w:instrText>
      </w:r>
      <w:r w:rsidRPr="001A31B3">
        <w:rPr>
          <w:color w:val="C00000"/>
          <w:sz w:val="18"/>
          <w:szCs w:val="14"/>
        </w:rPr>
        <w:fldChar w:fldCharType="separate"/>
      </w:r>
      <w:r w:rsidR="00D01651">
        <w:rPr>
          <w:noProof/>
          <w:color w:val="C00000"/>
          <w:sz w:val="18"/>
          <w:szCs w:val="14"/>
        </w:rPr>
        <w:t>1</w:t>
      </w:r>
      <w:r w:rsidRPr="001A31B3">
        <w:rPr>
          <w:color w:val="C00000"/>
          <w:sz w:val="18"/>
          <w:szCs w:val="14"/>
        </w:rPr>
        <w:fldChar w:fldCharType="end"/>
      </w:r>
      <w:bookmarkEnd w:id="58"/>
      <w:r w:rsidRPr="001A31B3">
        <w:rPr>
          <w:bCs/>
          <w:color w:val="C00000"/>
          <w:sz w:val="18"/>
          <w:szCs w:val="14"/>
        </w:rPr>
        <w:t xml:space="preserve">. </w:t>
      </w:r>
      <w:r w:rsidR="003102A9" w:rsidRPr="001A31B3">
        <w:rPr>
          <w:color w:val="000000" w:themeColor="text1"/>
          <w:sz w:val="18"/>
          <w:szCs w:val="14"/>
        </w:rPr>
        <w:t>UPL Deficitarias y no deficitarias</w:t>
      </w:r>
      <w:bookmarkEnd w:id="59"/>
      <w:r w:rsidR="003102A9" w:rsidRPr="001A31B3">
        <w:rPr>
          <w:color w:val="000000" w:themeColor="text1"/>
          <w:sz w:val="18"/>
          <w:szCs w:val="14"/>
        </w:rPr>
        <w:t xml:space="preserve"> </w:t>
      </w:r>
    </w:p>
    <w:p w14:paraId="0F4D667C" w14:textId="057FFA3A" w:rsidR="003102A9" w:rsidRDefault="004158F0" w:rsidP="004158F0">
      <w:pPr>
        <w:pStyle w:val="figuratitulo"/>
        <w:jc w:val="both"/>
        <w:rPr>
          <w:b/>
          <w:bCs/>
          <w:lang w:val="es-419"/>
        </w:rPr>
      </w:pPr>
      <w:r w:rsidRPr="009A6D16">
        <w:rPr>
          <w:noProof/>
        </w:rPr>
        <w:drawing>
          <wp:anchor distT="0" distB="0" distL="114300" distR="114300" simplePos="0" relativeHeight="251673600" behindDoc="0" locked="0" layoutInCell="1" allowOverlap="1" wp14:anchorId="56DDEAE1" wp14:editId="7BAADD93">
            <wp:simplePos x="0" y="0"/>
            <wp:positionH relativeFrom="margin">
              <wp:posOffset>-34791</wp:posOffset>
            </wp:positionH>
            <wp:positionV relativeFrom="paragraph">
              <wp:posOffset>45622</wp:posOffset>
            </wp:positionV>
            <wp:extent cx="5671137" cy="4002405"/>
            <wp:effectExtent l="0" t="0" r="6350" b="0"/>
            <wp:wrapNone/>
            <wp:docPr id="214238857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88579" name="Imagen 2"/>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5671137" cy="4002405"/>
                    </a:xfrm>
                    <a:prstGeom prst="rect">
                      <a:avLst/>
                    </a:prstGeom>
                    <a:noFill/>
                    <a:ln>
                      <a:noFill/>
                    </a:ln>
                    <a:effectLst>
                      <a:innerShdw>
                        <a:prstClr val="black"/>
                      </a:innerShdw>
                      <a:softEdge rad="0"/>
                    </a:effectLst>
                  </pic:spPr>
                </pic:pic>
              </a:graphicData>
            </a:graphic>
            <wp14:sizeRelH relativeFrom="page">
              <wp14:pctWidth>0</wp14:pctWidth>
            </wp14:sizeRelH>
            <wp14:sizeRelV relativeFrom="page">
              <wp14:pctHeight>0</wp14:pctHeight>
            </wp14:sizeRelV>
          </wp:anchor>
        </w:drawing>
      </w:r>
    </w:p>
    <w:p w14:paraId="27614CEF" w14:textId="08D8F01B" w:rsidR="003102A9" w:rsidRDefault="003102A9" w:rsidP="003102A9">
      <w:pPr>
        <w:pStyle w:val="figuratitulo"/>
        <w:rPr>
          <w:b/>
          <w:bCs/>
          <w:lang w:val="es-419"/>
        </w:rPr>
      </w:pPr>
    </w:p>
    <w:p w14:paraId="5AD134E7" w14:textId="77777777" w:rsidR="003102A9" w:rsidRDefault="003102A9" w:rsidP="003102A9">
      <w:pPr>
        <w:pStyle w:val="figuratitulo"/>
        <w:rPr>
          <w:b/>
          <w:bCs/>
          <w:lang w:val="es-419"/>
        </w:rPr>
      </w:pPr>
    </w:p>
    <w:p w14:paraId="26E77815" w14:textId="77777777" w:rsidR="003102A9" w:rsidRDefault="003102A9" w:rsidP="003102A9">
      <w:pPr>
        <w:pStyle w:val="figuratitulo"/>
        <w:rPr>
          <w:b/>
          <w:bCs/>
          <w:lang w:val="es-419"/>
        </w:rPr>
      </w:pPr>
    </w:p>
    <w:p w14:paraId="18F68244" w14:textId="77777777" w:rsidR="003102A9" w:rsidRDefault="003102A9" w:rsidP="003102A9">
      <w:pPr>
        <w:pStyle w:val="figuratitulo"/>
        <w:rPr>
          <w:b/>
          <w:bCs/>
          <w:lang w:val="es-419"/>
        </w:rPr>
      </w:pPr>
    </w:p>
    <w:p w14:paraId="43F02CDD" w14:textId="77777777" w:rsidR="003102A9" w:rsidRDefault="003102A9" w:rsidP="003102A9">
      <w:pPr>
        <w:pStyle w:val="figuratitulo"/>
        <w:rPr>
          <w:b/>
          <w:bCs/>
          <w:lang w:val="es-419"/>
        </w:rPr>
      </w:pPr>
    </w:p>
    <w:p w14:paraId="6FF60308" w14:textId="77777777" w:rsidR="003102A9" w:rsidRDefault="003102A9" w:rsidP="003102A9">
      <w:pPr>
        <w:pStyle w:val="figuratitulo"/>
        <w:rPr>
          <w:b/>
          <w:bCs/>
          <w:lang w:val="es-419"/>
        </w:rPr>
      </w:pPr>
    </w:p>
    <w:p w14:paraId="4BDF4790" w14:textId="77777777" w:rsidR="003102A9" w:rsidRDefault="003102A9" w:rsidP="003102A9">
      <w:pPr>
        <w:pStyle w:val="figuratitulo"/>
        <w:rPr>
          <w:b/>
          <w:bCs/>
          <w:lang w:val="es-419"/>
        </w:rPr>
      </w:pPr>
    </w:p>
    <w:p w14:paraId="4FC92A51" w14:textId="77777777" w:rsidR="003102A9" w:rsidRDefault="003102A9" w:rsidP="003102A9">
      <w:pPr>
        <w:pStyle w:val="figuratitulo"/>
        <w:rPr>
          <w:b/>
          <w:bCs/>
          <w:lang w:val="es-419"/>
        </w:rPr>
      </w:pPr>
    </w:p>
    <w:p w14:paraId="73693872" w14:textId="77777777" w:rsidR="003102A9" w:rsidRDefault="003102A9" w:rsidP="003102A9">
      <w:pPr>
        <w:pStyle w:val="figuratitulo"/>
        <w:rPr>
          <w:b/>
          <w:bCs/>
          <w:lang w:val="es-419"/>
        </w:rPr>
      </w:pPr>
    </w:p>
    <w:p w14:paraId="26A75125" w14:textId="77777777" w:rsidR="003102A9" w:rsidRDefault="003102A9" w:rsidP="003102A9">
      <w:pPr>
        <w:pStyle w:val="figuratitulo"/>
        <w:rPr>
          <w:b/>
          <w:bCs/>
          <w:lang w:val="es-419"/>
        </w:rPr>
      </w:pPr>
    </w:p>
    <w:p w14:paraId="7BE0C949" w14:textId="77777777" w:rsidR="003102A9" w:rsidRDefault="003102A9" w:rsidP="003102A9">
      <w:pPr>
        <w:pStyle w:val="figuratitulo"/>
        <w:rPr>
          <w:b/>
          <w:bCs/>
          <w:lang w:val="es-419"/>
        </w:rPr>
      </w:pPr>
    </w:p>
    <w:p w14:paraId="7996F558" w14:textId="77777777" w:rsidR="003102A9" w:rsidRDefault="003102A9" w:rsidP="003102A9">
      <w:pPr>
        <w:pStyle w:val="figuratitulo"/>
        <w:rPr>
          <w:b/>
          <w:bCs/>
          <w:lang w:val="es-419"/>
        </w:rPr>
      </w:pPr>
    </w:p>
    <w:p w14:paraId="2F4F2CAD" w14:textId="77777777" w:rsidR="003102A9" w:rsidRDefault="003102A9" w:rsidP="003102A9">
      <w:pPr>
        <w:pStyle w:val="figuratitulo"/>
        <w:rPr>
          <w:b/>
          <w:bCs/>
          <w:lang w:val="es-419"/>
        </w:rPr>
      </w:pPr>
    </w:p>
    <w:p w14:paraId="0B71BE7F" w14:textId="77777777" w:rsidR="003102A9" w:rsidRDefault="003102A9" w:rsidP="003102A9">
      <w:pPr>
        <w:pStyle w:val="figuratitulo"/>
        <w:rPr>
          <w:b/>
          <w:bCs/>
          <w:lang w:val="es-419"/>
        </w:rPr>
      </w:pPr>
    </w:p>
    <w:p w14:paraId="25A5B2DB" w14:textId="77777777" w:rsidR="003102A9" w:rsidRDefault="003102A9" w:rsidP="003102A9">
      <w:pPr>
        <w:pStyle w:val="figuratitulo"/>
        <w:rPr>
          <w:b/>
          <w:bCs/>
          <w:lang w:val="es-419"/>
        </w:rPr>
      </w:pPr>
    </w:p>
    <w:p w14:paraId="60CB2F2F" w14:textId="77777777" w:rsidR="003102A9" w:rsidRDefault="003102A9" w:rsidP="003102A9">
      <w:pPr>
        <w:pStyle w:val="figuratitulo"/>
        <w:rPr>
          <w:b/>
          <w:bCs/>
          <w:lang w:val="es-419"/>
        </w:rPr>
      </w:pPr>
    </w:p>
    <w:p w14:paraId="6DDDFDAE" w14:textId="77777777" w:rsidR="003102A9" w:rsidRDefault="003102A9" w:rsidP="003102A9">
      <w:pPr>
        <w:pStyle w:val="figuratitulo"/>
        <w:rPr>
          <w:b/>
          <w:bCs/>
          <w:lang w:val="es-419"/>
        </w:rPr>
      </w:pPr>
    </w:p>
    <w:p w14:paraId="7859F3B8" w14:textId="77777777" w:rsidR="003102A9" w:rsidRDefault="003102A9" w:rsidP="003102A9">
      <w:pPr>
        <w:pStyle w:val="figuratitulo"/>
        <w:rPr>
          <w:b/>
          <w:bCs/>
          <w:lang w:val="es-419"/>
        </w:rPr>
      </w:pPr>
    </w:p>
    <w:p w14:paraId="2DE7CF42" w14:textId="77777777" w:rsidR="003102A9" w:rsidRDefault="003102A9" w:rsidP="003102A9">
      <w:pPr>
        <w:pStyle w:val="figuratitulo"/>
        <w:rPr>
          <w:b/>
          <w:bCs/>
          <w:lang w:val="es-419"/>
        </w:rPr>
      </w:pPr>
    </w:p>
    <w:p w14:paraId="3106E2BB" w14:textId="77777777" w:rsidR="003102A9" w:rsidRDefault="003102A9" w:rsidP="003102A9">
      <w:pPr>
        <w:pStyle w:val="figuratitulo"/>
        <w:rPr>
          <w:b/>
          <w:bCs/>
          <w:lang w:val="es-419"/>
        </w:rPr>
      </w:pPr>
    </w:p>
    <w:p w14:paraId="7034EBE9" w14:textId="77777777" w:rsidR="003102A9" w:rsidRDefault="003102A9" w:rsidP="003102A9">
      <w:pPr>
        <w:pStyle w:val="figuratitulo"/>
        <w:rPr>
          <w:b/>
          <w:bCs/>
          <w:lang w:val="es-419"/>
        </w:rPr>
      </w:pPr>
    </w:p>
    <w:p w14:paraId="394B2A87" w14:textId="77777777" w:rsidR="003102A9" w:rsidRDefault="003102A9" w:rsidP="003102A9">
      <w:pPr>
        <w:pStyle w:val="figuratitulo"/>
        <w:rPr>
          <w:b/>
          <w:bCs/>
          <w:lang w:val="es-419"/>
        </w:rPr>
      </w:pPr>
    </w:p>
    <w:p w14:paraId="13AB51A4" w14:textId="77777777" w:rsidR="003102A9" w:rsidRDefault="003102A9" w:rsidP="003102A9">
      <w:pPr>
        <w:pStyle w:val="figuratitulo"/>
        <w:rPr>
          <w:b/>
          <w:bCs/>
          <w:lang w:val="es-419"/>
        </w:rPr>
      </w:pPr>
    </w:p>
    <w:p w14:paraId="2E67B6D4" w14:textId="77777777" w:rsidR="003102A9" w:rsidRDefault="003102A9" w:rsidP="003102A9">
      <w:pPr>
        <w:pStyle w:val="figuratitulo"/>
        <w:rPr>
          <w:b/>
          <w:bCs/>
          <w:lang w:val="es-419"/>
        </w:rPr>
      </w:pPr>
    </w:p>
    <w:p w14:paraId="5BDDA9F9" w14:textId="77777777" w:rsidR="003102A9" w:rsidRDefault="003102A9" w:rsidP="003102A9">
      <w:pPr>
        <w:pStyle w:val="figuratitulo"/>
        <w:rPr>
          <w:b/>
          <w:bCs/>
          <w:lang w:val="es-419"/>
        </w:rPr>
      </w:pPr>
    </w:p>
    <w:p w14:paraId="61CE8FD2" w14:textId="77777777" w:rsidR="003102A9" w:rsidRDefault="003102A9" w:rsidP="003102A9">
      <w:pPr>
        <w:pStyle w:val="figuratitulo"/>
        <w:rPr>
          <w:b/>
          <w:bCs/>
          <w:lang w:val="es-419"/>
        </w:rPr>
      </w:pPr>
    </w:p>
    <w:p w14:paraId="4C704760" w14:textId="77777777" w:rsidR="003102A9" w:rsidRDefault="003102A9" w:rsidP="003102A9">
      <w:pPr>
        <w:pStyle w:val="figuratitulo"/>
        <w:rPr>
          <w:b/>
          <w:bCs/>
          <w:lang w:val="es-419"/>
        </w:rPr>
      </w:pPr>
    </w:p>
    <w:p w14:paraId="7384C353" w14:textId="77777777" w:rsidR="003102A9" w:rsidRDefault="003102A9" w:rsidP="004158F0">
      <w:pPr>
        <w:pStyle w:val="figuratitulo"/>
        <w:jc w:val="both"/>
        <w:rPr>
          <w:b/>
          <w:bCs/>
          <w:color w:val="3B3838" w:themeColor="background2" w:themeShade="40"/>
        </w:rPr>
      </w:pPr>
    </w:p>
    <w:p w14:paraId="474642B5" w14:textId="7D48ECB9" w:rsidR="003102A9" w:rsidRDefault="003102A9" w:rsidP="003102A9">
      <w:pPr>
        <w:pStyle w:val="figuratitulo"/>
        <w:sectPr w:rsidR="003102A9" w:rsidSect="00F7078E">
          <w:type w:val="continuous"/>
          <w:pgSz w:w="12240" w:h="15840"/>
          <w:pgMar w:top="2262" w:right="1440" w:bottom="1440" w:left="1440" w:header="708" w:footer="680" w:gutter="0"/>
          <w:cols w:space="567"/>
          <w:docGrid w:linePitch="299"/>
        </w:sectPr>
      </w:pPr>
      <w:r w:rsidRPr="0094215D">
        <w:rPr>
          <w:b/>
          <w:bCs/>
          <w:color w:val="3B3838" w:themeColor="background2" w:themeShade="40"/>
        </w:rPr>
        <w:t>Fuente:</w:t>
      </w:r>
      <w:r w:rsidRPr="0094215D">
        <w:rPr>
          <w:color w:val="3B3838" w:themeColor="background2" w:themeShade="40"/>
        </w:rPr>
        <w:t xml:space="preserve"> Subsecretaría Territorial, SDP (2023</w:t>
      </w:r>
      <w:r w:rsidR="00F35801">
        <w:rPr>
          <w:color w:val="3B3838" w:themeColor="background2" w:themeShade="40"/>
        </w:rPr>
        <w:t>).</w:t>
      </w:r>
    </w:p>
    <w:p w14:paraId="6D7A07D2" w14:textId="4BF6F45B" w:rsidR="00673C01" w:rsidRPr="00673C01" w:rsidRDefault="00673C01" w:rsidP="003102A9">
      <w:pPr>
        <w:pStyle w:val="NormalWeb"/>
        <w:spacing w:before="0" w:beforeAutospacing="0" w:after="0" w:afterAutospacing="0" w:line="480" w:lineRule="auto"/>
        <w:rPr>
          <w:rFonts w:eastAsiaTheme="minorHAnsi"/>
          <w:kern w:val="2"/>
          <w:lang w:val="es-CO" w:eastAsia="en-US"/>
          <w14:ligatures w14:val="standardContextual"/>
        </w:rPr>
        <w:sectPr w:rsidR="00673C01" w:rsidRPr="00673C01" w:rsidSect="00F7078E">
          <w:type w:val="continuous"/>
          <w:pgSz w:w="12240" w:h="15840"/>
          <w:pgMar w:top="2262" w:right="1440" w:bottom="1440" w:left="1440" w:header="708" w:footer="680" w:gutter="0"/>
          <w:cols w:space="567"/>
          <w:docGrid w:linePitch="299"/>
        </w:sectPr>
      </w:pPr>
    </w:p>
    <w:p w14:paraId="5817B5B2" w14:textId="6F6207D9" w:rsidR="003102A9" w:rsidRDefault="003102A9" w:rsidP="00A540F6">
      <w:r w:rsidRPr="00704E59">
        <w:t xml:space="preserve">Al analizar las variables del déficit se destacan dos que tienen una estrecha relación con la seguridad, el bienestar y el potencial: el espacio público y los equipamientos. La primera, </w:t>
      </w:r>
      <w:r w:rsidRPr="00704E59">
        <w:t xml:space="preserve">corresponde al Espacio Público Efectivo (EPE) por habitante y determina el acceso que tienen las personas a zonas verdes, parques, plazas y plazoletas. De acuerdo con el Departamento </w:t>
      </w:r>
      <w:r w:rsidRPr="00704E59">
        <w:lastRenderedPageBreak/>
        <w:t>Administrativo para la Defensa del Espacio Público en Bogotá, hay 4,79 m² de espacio público efectivo por habitante (línea base 2023). Según el Decreto 1504 de 1998, el índice mínimo debería ser de 15 m² por habitante. En ese sentido, existe el reto de aumentar la cobertura para que más personas puedan acceder a este tipo de espacios. Además, al discriminar el déficit territorialmente se hace evidente el desequilibrio. Por ejemplo, las UPL deficitarias de Patio Bonito, Edén y Rincón de Suba son las que cuentan con un menor indicador de espacio público efectivo, siendo este inferior a 2 m²/habitante</w:t>
      </w:r>
      <w:r w:rsidR="00A540F6">
        <w:t xml:space="preserve"> (</w:t>
      </w:r>
      <w:r w:rsidR="00A540F6" w:rsidRPr="00A540F6">
        <w:fldChar w:fldCharType="begin"/>
      </w:r>
      <w:r w:rsidR="00A540F6" w:rsidRPr="00A540F6">
        <w:instrText xml:space="preserve"> REF _Ref165110786 \h </w:instrText>
      </w:r>
      <w:r w:rsidR="00A540F6" w:rsidRPr="00A540F6">
        <w:fldChar w:fldCharType="separate"/>
      </w:r>
      <w:r w:rsidR="00D01651" w:rsidRPr="00D26C0A">
        <w:rPr>
          <w:color w:val="C00000"/>
          <w:sz w:val="18"/>
          <w:szCs w:val="14"/>
        </w:rPr>
        <w:t xml:space="preserve">Mapa </w:t>
      </w:r>
      <w:r w:rsidR="00D01651">
        <w:rPr>
          <w:noProof/>
          <w:color w:val="C00000"/>
          <w:sz w:val="18"/>
          <w:szCs w:val="14"/>
        </w:rPr>
        <w:t>2</w:t>
      </w:r>
      <w:r w:rsidR="00A540F6" w:rsidRPr="00A540F6">
        <w:fldChar w:fldCharType="end"/>
      </w:r>
      <w:r w:rsidR="00A540F6">
        <w:t>).</w:t>
      </w:r>
      <w:r w:rsidRPr="00704E59">
        <w:t xml:space="preserve"> </w:t>
      </w:r>
    </w:p>
    <w:p w14:paraId="20A25465" w14:textId="65908B3A" w:rsidR="003102A9" w:rsidRPr="00DD642C" w:rsidRDefault="003102A9" w:rsidP="004B0F0C">
      <w:pPr>
        <w:sectPr w:rsidR="003102A9" w:rsidRPr="00DD642C" w:rsidSect="00F7078E">
          <w:type w:val="continuous"/>
          <w:pgSz w:w="12240" w:h="15840"/>
          <w:pgMar w:top="2262" w:right="1440" w:bottom="1440" w:left="1440" w:header="708" w:footer="680" w:gutter="0"/>
          <w:cols w:num="2" w:space="567"/>
          <w:docGrid w:linePitch="299"/>
        </w:sectPr>
      </w:pPr>
      <w:r w:rsidRPr="00704E59">
        <w:t xml:space="preserve">La segunda variable es el acceso a Equipamientos, dimensión que afecta la oportunidad que </w:t>
      </w:r>
      <w:r w:rsidRPr="00704E59">
        <w:t xml:space="preserve">tienen las personas de acceder a los servicios sociales y del cuidado. Estos son relevantes, dado que permiten la inclusión, protección, igualdad y equidad social, garantizar y facilitar el ejercicio de los derechos fundamentales, económicos, sociales, culturales de forma individual y colectiva. De acuerdo con datos de la Secretaría Distrital de Planeación, de las 30 UPL urbanas solo 6 se encuentran sin déficit o con déficit bajo de área de equipamientos. Lo </w:t>
      </w:r>
      <w:r w:rsidRPr="009B43DB">
        <w:t xml:space="preserve">anterior significa que el 80 % de las UPL presenta algún tipo de déficit que se acentúa en las zonas periféricas del suroccidente y noroccidente de la ciudad </w:t>
      </w:r>
      <w:r w:rsidRPr="00A540F6">
        <w:t>(</w:t>
      </w:r>
      <w:r w:rsidR="00A540F6" w:rsidRPr="00A540F6">
        <w:fldChar w:fldCharType="begin"/>
      </w:r>
      <w:r w:rsidR="00A540F6" w:rsidRPr="00A540F6">
        <w:instrText xml:space="preserve"> REF _Ref165110986 \h </w:instrText>
      </w:r>
      <w:r w:rsidR="00A540F6" w:rsidRPr="00A540F6">
        <w:fldChar w:fldCharType="separate"/>
      </w:r>
      <w:r w:rsidR="00D01651" w:rsidRPr="00A540F6">
        <w:rPr>
          <w:color w:val="C00000"/>
          <w:sz w:val="18"/>
          <w:szCs w:val="14"/>
        </w:rPr>
        <w:t xml:space="preserve">Mapa </w:t>
      </w:r>
      <w:r w:rsidR="00D01651">
        <w:rPr>
          <w:noProof/>
          <w:color w:val="C00000"/>
          <w:sz w:val="18"/>
          <w:szCs w:val="14"/>
        </w:rPr>
        <w:t>3</w:t>
      </w:r>
      <w:r w:rsidR="00A540F6" w:rsidRPr="00A540F6">
        <w:fldChar w:fldCharType="end"/>
      </w:r>
      <w:r w:rsidRPr="00A540F6">
        <w:fldChar w:fldCharType="begin"/>
      </w:r>
      <w:r w:rsidRPr="00A540F6">
        <w:instrText xml:space="preserve"> REF _Ref164958345 \h </w:instrText>
      </w:r>
      <w:r w:rsidR="004B0F0C" w:rsidRPr="00A540F6">
        <w:instrText xml:space="preserve"> \* MERGEFORMAT </w:instrText>
      </w:r>
      <w:r w:rsidRPr="00A540F6">
        <w:fldChar w:fldCharType="end"/>
      </w:r>
      <w:r w:rsidRPr="00A540F6">
        <w:t>)</w:t>
      </w:r>
      <w:r w:rsidR="00A540F6">
        <w:t>.</w:t>
      </w:r>
    </w:p>
    <w:p w14:paraId="3E56E74E" w14:textId="77777777" w:rsidR="00673C01" w:rsidRDefault="00673C01" w:rsidP="00673C01">
      <w:pPr>
        <w:pStyle w:val="figuratitulo"/>
        <w:jc w:val="both"/>
        <w:rPr>
          <w:b/>
          <w:bCs/>
          <w:highlight w:val="yellow"/>
        </w:rPr>
      </w:pPr>
      <w:bookmarkStart w:id="60" w:name="_Ref164958167"/>
    </w:p>
    <w:p w14:paraId="5050A9C2" w14:textId="1AD6E809" w:rsidR="00A540F6" w:rsidRDefault="00D26C0A" w:rsidP="00A540F6">
      <w:pPr>
        <w:pStyle w:val="Descripcin"/>
        <w:jc w:val="center"/>
        <w:rPr>
          <w:color w:val="000000" w:themeColor="text1"/>
          <w:sz w:val="18"/>
          <w:szCs w:val="14"/>
        </w:rPr>
      </w:pPr>
      <w:bookmarkStart w:id="61" w:name="_Ref165110786"/>
      <w:bookmarkStart w:id="62" w:name="_Toc165170026"/>
      <w:bookmarkEnd w:id="60"/>
      <w:r w:rsidRPr="00D26C0A">
        <w:rPr>
          <w:color w:val="C00000"/>
          <w:sz w:val="18"/>
          <w:szCs w:val="14"/>
        </w:rPr>
        <w:t xml:space="preserve">Mapa </w:t>
      </w:r>
      <w:r w:rsidRPr="00D26C0A">
        <w:rPr>
          <w:color w:val="C00000"/>
          <w:sz w:val="18"/>
          <w:szCs w:val="14"/>
        </w:rPr>
        <w:fldChar w:fldCharType="begin"/>
      </w:r>
      <w:r w:rsidRPr="00D26C0A">
        <w:rPr>
          <w:color w:val="C00000"/>
          <w:sz w:val="18"/>
          <w:szCs w:val="14"/>
        </w:rPr>
        <w:instrText xml:space="preserve"> SEQ Mapa \* ARABIC </w:instrText>
      </w:r>
      <w:r w:rsidRPr="00D26C0A">
        <w:rPr>
          <w:color w:val="C00000"/>
          <w:sz w:val="18"/>
          <w:szCs w:val="14"/>
        </w:rPr>
        <w:fldChar w:fldCharType="separate"/>
      </w:r>
      <w:r w:rsidR="00D01651">
        <w:rPr>
          <w:noProof/>
          <w:color w:val="C00000"/>
          <w:sz w:val="18"/>
          <w:szCs w:val="14"/>
        </w:rPr>
        <w:t>2</w:t>
      </w:r>
      <w:r w:rsidRPr="00D26C0A">
        <w:rPr>
          <w:color w:val="C00000"/>
          <w:sz w:val="18"/>
          <w:szCs w:val="14"/>
        </w:rPr>
        <w:fldChar w:fldCharType="end"/>
      </w:r>
      <w:bookmarkEnd w:id="61"/>
      <w:r w:rsidRPr="00D26C0A">
        <w:rPr>
          <w:color w:val="C00000"/>
          <w:sz w:val="18"/>
          <w:szCs w:val="14"/>
        </w:rPr>
        <w:t xml:space="preserve">. </w:t>
      </w:r>
      <w:r>
        <w:rPr>
          <w:color w:val="000000" w:themeColor="text1"/>
          <w:sz w:val="18"/>
          <w:szCs w:val="14"/>
        </w:rPr>
        <w:t>I</w:t>
      </w:r>
      <w:r w:rsidR="003102A9" w:rsidRPr="00D26C0A">
        <w:rPr>
          <w:color w:val="000000" w:themeColor="text1"/>
          <w:sz w:val="18"/>
          <w:szCs w:val="14"/>
        </w:rPr>
        <w:t>ndicador de espacio público efectivo por UPL</w:t>
      </w:r>
      <w:bookmarkEnd w:id="62"/>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540F6" w14:paraId="4DD8F157" w14:textId="77777777" w:rsidTr="00A540F6">
        <w:tc>
          <w:tcPr>
            <w:tcW w:w="9350" w:type="dxa"/>
          </w:tcPr>
          <w:p w14:paraId="63EE73AF" w14:textId="27A3CE3F" w:rsidR="00A540F6" w:rsidRDefault="00A540F6" w:rsidP="00A540F6">
            <w:pPr>
              <w:pStyle w:val="Descripcin"/>
              <w:jc w:val="center"/>
              <w:rPr>
                <w:color w:val="000000" w:themeColor="text1"/>
                <w:sz w:val="18"/>
                <w:szCs w:val="14"/>
              </w:rPr>
            </w:pPr>
            <w:r w:rsidRPr="00CD35DD">
              <w:rPr>
                <w:b w:val="0"/>
                <w:bCs/>
                <w:noProof/>
                <w:kern w:val="2"/>
                <w:highlight w:val="yellow"/>
                <w14:ligatures w14:val="standardContextual"/>
              </w:rPr>
              <w:drawing>
                <wp:anchor distT="0" distB="0" distL="114300" distR="114300" simplePos="0" relativeHeight="251873280" behindDoc="0" locked="0" layoutInCell="1" allowOverlap="1" wp14:anchorId="522C0DEB" wp14:editId="1D742A9C">
                  <wp:simplePos x="0" y="0"/>
                  <wp:positionH relativeFrom="column">
                    <wp:posOffset>1091565</wp:posOffset>
                  </wp:positionH>
                  <wp:positionV relativeFrom="paragraph">
                    <wp:posOffset>0</wp:posOffset>
                  </wp:positionV>
                  <wp:extent cx="3362960" cy="4594860"/>
                  <wp:effectExtent l="0" t="0" r="8890" b="0"/>
                  <wp:wrapSquare wrapText="bothSides"/>
                  <wp:docPr id="6603109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37987" name="Imagen 1509937987"/>
                          <pic:cNvPicPr/>
                        </pic:nvPicPr>
                        <pic:blipFill rotWithShape="1">
                          <a:blip r:embed="rId42" cstate="print">
                            <a:extLst>
                              <a:ext uri="{28A0092B-C50C-407E-A947-70E740481C1C}">
                                <a14:useLocalDpi xmlns:a14="http://schemas.microsoft.com/office/drawing/2010/main" val="0"/>
                              </a:ext>
                            </a:extLst>
                          </a:blip>
                          <a:srcRect t="6292"/>
                          <a:stretch/>
                        </pic:blipFill>
                        <pic:spPr bwMode="auto">
                          <a:xfrm>
                            <a:off x="0" y="0"/>
                            <a:ext cx="3362960" cy="4594860"/>
                          </a:xfrm>
                          <a:prstGeom prst="rect">
                            <a:avLst/>
                          </a:prstGeom>
                          <a:ln>
                            <a:noFill/>
                          </a:ln>
                          <a:effectLst>
                            <a:softEdge rad="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1D50CDF3" w14:textId="0E3374DF" w:rsidR="003102A9" w:rsidRDefault="003102A9" w:rsidP="003102A9">
      <w:pPr>
        <w:pStyle w:val="figuratitulo"/>
        <w:rPr>
          <w:color w:val="3B3838" w:themeColor="background2" w:themeShade="40"/>
        </w:rPr>
      </w:pPr>
      <w:r w:rsidRPr="00594442">
        <w:rPr>
          <w:b/>
          <w:bCs/>
          <w:color w:val="3B3838" w:themeColor="background2" w:themeShade="40"/>
        </w:rPr>
        <w:t>Fuente:</w:t>
      </w:r>
      <w:r w:rsidRPr="00594442">
        <w:rPr>
          <w:color w:val="3B3838" w:themeColor="background2" w:themeShade="40"/>
        </w:rPr>
        <w:t xml:space="preserve"> Secretaría de Planeación con base en Defensoría del Espacio Público (2024)</w:t>
      </w:r>
      <w:bookmarkStart w:id="63" w:name="_Ref164955542"/>
      <w:bookmarkStart w:id="64" w:name="_Ref164955955"/>
    </w:p>
    <w:p w14:paraId="3FF99EC5" w14:textId="6AB8A26F" w:rsidR="003102A9" w:rsidRPr="00A540F6" w:rsidRDefault="003102A9" w:rsidP="00A540F6">
      <w:pPr>
        <w:pStyle w:val="Descripcin"/>
        <w:jc w:val="center"/>
        <w:rPr>
          <w:sz w:val="20"/>
          <w:szCs w:val="16"/>
        </w:rPr>
      </w:pPr>
      <w:bookmarkStart w:id="65" w:name="_Ref164958345"/>
      <w:bookmarkStart w:id="66" w:name="_Ref165110986"/>
      <w:bookmarkStart w:id="67" w:name="_Toc165170027"/>
      <w:r w:rsidRPr="00A540F6">
        <w:rPr>
          <w:noProof/>
          <w:color w:val="C00000"/>
          <w:kern w:val="2"/>
          <w:sz w:val="18"/>
          <w:szCs w:val="14"/>
          <w14:ligatures w14:val="standardContextual"/>
        </w:rPr>
        <w:lastRenderedPageBreak/>
        <w:drawing>
          <wp:anchor distT="0" distB="0" distL="114300" distR="114300" simplePos="0" relativeHeight="251672576" behindDoc="0" locked="0" layoutInCell="1" allowOverlap="1" wp14:anchorId="428FDEC3" wp14:editId="62962FF4">
            <wp:simplePos x="0" y="0"/>
            <wp:positionH relativeFrom="margin">
              <wp:align>center</wp:align>
            </wp:positionH>
            <wp:positionV relativeFrom="paragraph">
              <wp:posOffset>1068070</wp:posOffset>
            </wp:positionV>
            <wp:extent cx="6891655" cy="5125085"/>
            <wp:effectExtent l="6985" t="0" r="0" b="0"/>
            <wp:wrapTopAndBottom/>
            <wp:docPr id="187146201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0252" name="Imagen 57790252"/>
                    <pic:cNvPicPr/>
                  </pic:nvPicPr>
                  <pic:blipFill>
                    <a:blip r:embed="rId43" cstate="print">
                      <a:extLst>
                        <a:ext uri="{28A0092B-C50C-407E-A947-70E740481C1C}">
                          <a14:useLocalDpi xmlns:a14="http://schemas.microsoft.com/office/drawing/2010/main" val="0"/>
                        </a:ext>
                      </a:extLst>
                    </a:blip>
                    <a:stretch>
                      <a:fillRect/>
                    </a:stretch>
                  </pic:blipFill>
                  <pic:spPr>
                    <a:xfrm rot="5400000">
                      <a:off x="0" y="0"/>
                      <a:ext cx="6891655" cy="5125085"/>
                    </a:xfrm>
                    <a:prstGeom prst="rect">
                      <a:avLst/>
                    </a:prstGeom>
                    <a:effectLst>
                      <a:innerShdw>
                        <a:prstClr val="black"/>
                      </a:innerShdw>
                      <a:softEdge rad="0"/>
                    </a:effectLst>
                  </pic:spPr>
                </pic:pic>
              </a:graphicData>
            </a:graphic>
            <wp14:sizeRelH relativeFrom="margin">
              <wp14:pctWidth>0</wp14:pctWidth>
            </wp14:sizeRelH>
            <wp14:sizeRelV relativeFrom="margin">
              <wp14:pctHeight>0</wp14:pctHeight>
            </wp14:sizeRelV>
          </wp:anchor>
        </w:drawing>
      </w:r>
      <w:bookmarkEnd w:id="63"/>
      <w:bookmarkEnd w:id="64"/>
      <w:bookmarkEnd w:id="65"/>
      <w:r w:rsidR="00A540F6" w:rsidRPr="00A540F6">
        <w:rPr>
          <w:color w:val="C00000"/>
          <w:sz w:val="18"/>
          <w:szCs w:val="14"/>
        </w:rPr>
        <w:t xml:space="preserve">Mapa </w:t>
      </w:r>
      <w:r w:rsidR="00A540F6" w:rsidRPr="00A540F6">
        <w:rPr>
          <w:color w:val="C00000"/>
          <w:sz w:val="18"/>
          <w:szCs w:val="14"/>
        </w:rPr>
        <w:fldChar w:fldCharType="begin"/>
      </w:r>
      <w:r w:rsidR="00A540F6" w:rsidRPr="00A540F6">
        <w:rPr>
          <w:color w:val="C00000"/>
          <w:sz w:val="18"/>
          <w:szCs w:val="14"/>
        </w:rPr>
        <w:instrText xml:space="preserve"> SEQ Mapa \* ARABIC </w:instrText>
      </w:r>
      <w:r w:rsidR="00A540F6" w:rsidRPr="00A540F6">
        <w:rPr>
          <w:color w:val="C00000"/>
          <w:sz w:val="18"/>
          <w:szCs w:val="14"/>
        </w:rPr>
        <w:fldChar w:fldCharType="separate"/>
      </w:r>
      <w:r w:rsidR="00D01651">
        <w:rPr>
          <w:noProof/>
          <w:color w:val="C00000"/>
          <w:sz w:val="18"/>
          <w:szCs w:val="14"/>
        </w:rPr>
        <w:t>3</w:t>
      </w:r>
      <w:r w:rsidR="00A540F6" w:rsidRPr="00A540F6">
        <w:rPr>
          <w:color w:val="C00000"/>
          <w:sz w:val="18"/>
          <w:szCs w:val="14"/>
        </w:rPr>
        <w:fldChar w:fldCharType="end"/>
      </w:r>
      <w:bookmarkEnd w:id="66"/>
      <w:r w:rsidR="00A540F6" w:rsidRPr="00A540F6">
        <w:rPr>
          <w:color w:val="C00000"/>
          <w:sz w:val="18"/>
          <w:szCs w:val="14"/>
        </w:rPr>
        <w:t xml:space="preserve">. </w:t>
      </w:r>
      <w:r w:rsidRPr="00A540F6">
        <w:rPr>
          <w:color w:val="000000" w:themeColor="text1"/>
          <w:sz w:val="18"/>
          <w:szCs w:val="14"/>
        </w:rPr>
        <w:t>Déficit global de construcción de equipamientos</w:t>
      </w:r>
      <w:bookmarkEnd w:id="67"/>
    </w:p>
    <w:p w14:paraId="664CCDF2" w14:textId="77777777" w:rsidR="003102A9" w:rsidRPr="00883B7B" w:rsidRDefault="003102A9" w:rsidP="003102A9">
      <w:pPr>
        <w:rPr>
          <w:lang w:val="es-419"/>
        </w:rPr>
      </w:pPr>
    </w:p>
    <w:p w14:paraId="2B85A9B6" w14:textId="77777777" w:rsidR="003102A9" w:rsidRPr="005B2764" w:rsidRDefault="003102A9" w:rsidP="005B2764">
      <w:pPr>
        <w:pStyle w:val="figuratitulo"/>
        <w:rPr>
          <w:color w:val="3B3838" w:themeColor="background2" w:themeShade="40"/>
        </w:rPr>
      </w:pPr>
      <w:r w:rsidRPr="005B2764">
        <w:rPr>
          <w:b/>
          <w:bCs/>
          <w:color w:val="3B3838" w:themeColor="background2" w:themeShade="40"/>
        </w:rPr>
        <w:t>Fuente:</w:t>
      </w:r>
      <w:r w:rsidRPr="005B2764">
        <w:rPr>
          <w:color w:val="3B3838" w:themeColor="background2" w:themeShade="40"/>
        </w:rPr>
        <w:t xml:space="preserve"> Secretaría de Planeación (2022).</w:t>
      </w:r>
    </w:p>
    <w:p w14:paraId="41CC7B11" w14:textId="77777777" w:rsidR="003102A9" w:rsidRDefault="003102A9" w:rsidP="003102A9">
      <w:pPr>
        <w:sectPr w:rsidR="003102A9" w:rsidSect="00F7078E">
          <w:type w:val="continuous"/>
          <w:pgSz w:w="12240" w:h="15840"/>
          <w:pgMar w:top="2262" w:right="1440" w:bottom="1440" w:left="1440" w:header="708" w:footer="680" w:gutter="0"/>
          <w:cols w:space="567"/>
          <w:docGrid w:linePitch="299"/>
        </w:sectPr>
      </w:pPr>
    </w:p>
    <w:p w14:paraId="5C9A0DBF" w14:textId="13F157D9" w:rsidR="003102A9" w:rsidRPr="001B1056" w:rsidRDefault="003102A9" w:rsidP="00673C01">
      <w:r w:rsidRPr="001B1056">
        <w:lastRenderedPageBreak/>
        <w:t xml:space="preserve">Los desequilibrios también tienen relación con los ecosistemas naturales de la ciudad, aspecto clave en el marco de la acción climática para mitigar y prevenir los efectos del cambio climático y el calentamiento global. La incidencia de estos fenómenos en Bogotá se refleja en temas como la calidad del aire, durante 2023 existieron más de 200 episodios donde las mediciones excedieron el límite; la disponibilidad de agua, pues hay un déficit de almacenamiento de 90 millones de metros cúbicos para atender la demanda de los primeros meses del 2024, por lo que se hizo necesario tomar medidas de racionamiento del líquido; la disponibilidad de energía eléctrica, que podría </w:t>
      </w:r>
      <w:r>
        <w:t xml:space="preserve">presentar </w:t>
      </w:r>
      <w:r w:rsidRPr="001B1056">
        <w:t>problemas de abastecimiento en 2026</w:t>
      </w:r>
      <w:r w:rsidR="000B689C">
        <w:t xml:space="preserve"> (Grupo Energía de Bogotá, 2022)</w:t>
      </w:r>
      <w:r w:rsidRPr="001B1056">
        <w:t xml:space="preserve">; y en los incendios forestales de los cerros orientales que se presentaron a inicios de 2024, entre otros. Estas problemáticas se presentan en el marco de fenómenos globales a los que la </w:t>
      </w:r>
      <w:r w:rsidRPr="001B1056">
        <w:t>ciudad no es ajena, por lo que requiere tomar medidas en coordinación con la región y la nación.</w:t>
      </w:r>
    </w:p>
    <w:p w14:paraId="1D0E38AC" w14:textId="77777777" w:rsidR="003102A9" w:rsidRPr="001B1056" w:rsidRDefault="003102A9" w:rsidP="00673C01"/>
    <w:p w14:paraId="47FC6102" w14:textId="09D31A45" w:rsidR="003102A9" w:rsidRDefault="003102A9" w:rsidP="00673C01">
      <w:pPr>
        <w:rPr>
          <w:lang w:val="es-419"/>
        </w:rPr>
        <w:sectPr w:rsidR="003102A9" w:rsidSect="00F7078E">
          <w:type w:val="continuous"/>
          <w:pgSz w:w="12240" w:h="15840"/>
          <w:pgMar w:top="2262" w:right="1440" w:bottom="1440" w:left="1440" w:header="708" w:footer="680" w:gutter="0"/>
          <w:cols w:num="2" w:space="567"/>
          <w:docGrid w:linePitch="299"/>
        </w:sectPr>
      </w:pPr>
      <w:r w:rsidRPr="001B1056">
        <w:t>A modo de síntesis, se evidencia que los principales problemas de la ciudad están interrelacionados, enfrentando causas multisectoriales y teniendo consecuencias en las múltiples dimensiones de la vida de las personas. En temas como la seguridad, el bienestar, el acceso a oportunidades y el equilibrio territorial se evidencia la necesidad de analizar las complejidades de estos fenómenos con un enfoque integral. Aun así, se puede concluir de forma general que Bogotá enfrenta retos que solo podrán ser solucionados en la medida en que se tengan en cuenta acciones integrales con enfoque regional y ambiental que permitan recuperar la confianza de los ciudadanos en las posibilidades que brinda su ciudad y en la capacidad de acción de su Gobierno.</w:t>
      </w:r>
    </w:p>
    <w:p w14:paraId="3822782C" w14:textId="77777777" w:rsidR="003102A9" w:rsidRPr="009360E5" w:rsidRDefault="003102A9" w:rsidP="003102A9">
      <w:pPr>
        <w:pStyle w:val="figuratitulo"/>
        <w:rPr>
          <w:color w:val="3B3838" w:themeColor="background2" w:themeShade="40"/>
          <w:lang w:val="es-419"/>
        </w:rPr>
      </w:pPr>
    </w:p>
    <w:p w14:paraId="1D68FFC9" w14:textId="77777777" w:rsidR="003102A9" w:rsidRPr="0094215D" w:rsidRDefault="003102A9" w:rsidP="003102A9">
      <w:pPr>
        <w:pStyle w:val="figuratitulo"/>
        <w:rPr>
          <w:b/>
          <w:bCs/>
          <w:lang w:val="es-419"/>
        </w:rPr>
      </w:pPr>
    </w:p>
    <w:p w14:paraId="602986A7" w14:textId="77777777" w:rsidR="003102A9" w:rsidRDefault="003102A9" w:rsidP="003102A9">
      <w:pPr>
        <w:pStyle w:val="figuratitulo"/>
        <w:rPr>
          <w:b/>
          <w:bCs/>
        </w:rPr>
        <w:sectPr w:rsidR="003102A9" w:rsidSect="00F7078E">
          <w:type w:val="continuous"/>
          <w:pgSz w:w="12240" w:h="15840"/>
          <w:pgMar w:top="2262" w:right="1440" w:bottom="1440" w:left="1440" w:header="708" w:footer="680" w:gutter="0"/>
          <w:cols w:space="567"/>
          <w:docGrid w:linePitch="299"/>
        </w:sectPr>
      </w:pPr>
    </w:p>
    <w:p w14:paraId="341F9D32" w14:textId="7AC36C07" w:rsidR="00C62C3B" w:rsidRDefault="0097662F" w:rsidP="003102A9">
      <w:pPr>
        <w:pStyle w:val="figuratitulo"/>
        <w:rPr>
          <w:b/>
          <w:bCs/>
        </w:rPr>
      </w:pPr>
      <w:r>
        <w:rPr>
          <w:noProof/>
        </w:rPr>
        <w:lastRenderedPageBreak/>
        <w:drawing>
          <wp:anchor distT="0" distB="0" distL="114300" distR="114300" simplePos="0" relativeHeight="251705344" behindDoc="1" locked="0" layoutInCell="1" allowOverlap="1" wp14:anchorId="24FB0408" wp14:editId="7A85A581">
            <wp:simplePos x="0" y="0"/>
            <wp:positionH relativeFrom="page">
              <wp:align>left</wp:align>
            </wp:positionH>
            <wp:positionV relativeFrom="paragraph">
              <wp:posOffset>-1476326</wp:posOffset>
            </wp:positionV>
            <wp:extent cx="7795260" cy="10087620"/>
            <wp:effectExtent l="0" t="0" r="0" b="8890"/>
            <wp:wrapNone/>
            <wp:docPr id="1883336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795260" cy="10087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2C3B">
        <w:rPr>
          <w:b/>
          <w:bCs/>
        </w:rPr>
        <w:br w:type="page"/>
      </w:r>
    </w:p>
    <w:p w14:paraId="2EEE7563" w14:textId="43ED64E6" w:rsidR="002A39D2" w:rsidRDefault="002A39D2" w:rsidP="002A39D2">
      <w:r>
        <w:rPr>
          <w:noProof/>
        </w:rPr>
        <w:lastRenderedPageBreak/>
        <w:drawing>
          <wp:anchor distT="0" distB="0" distL="0" distR="0" simplePos="0" relativeHeight="251679744" behindDoc="1" locked="0" layoutInCell="1" hidden="0" allowOverlap="1" wp14:anchorId="375D9ED5" wp14:editId="4F28E0C5">
            <wp:simplePos x="0" y="0"/>
            <wp:positionH relativeFrom="margin">
              <wp:align>right</wp:align>
            </wp:positionH>
            <wp:positionV relativeFrom="paragraph">
              <wp:posOffset>-1439203</wp:posOffset>
            </wp:positionV>
            <wp:extent cx="5932800" cy="2117603"/>
            <wp:effectExtent l="0" t="0" r="0" b="0"/>
            <wp:wrapNone/>
            <wp:docPr id="17" name="image1.png"/>
            <wp:cNvGraphicFramePr/>
            <a:graphic xmlns:a="http://schemas.openxmlformats.org/drawingml/2006/main">
              <a:graphicData uri="http://schemas.openxmlformats.org/drawingml/2006/picture">
                <pic:pic xmlns:pic="http://schemas.openxmlformats.org/drawingml/2006/picture">
                  <pic:nvPicPr>
                    <pic:cNvPr id="4" name="image1.png"/>
                    <pic:cNvPicPr preferRelativeResize="0"/>
                  </pic:nvPicPr>
                  <pic:blipFill>
                    <a:blip r:embed="rId45">
                      <a:extLst>
                        <a:ext uri="{28A0092B-C50C-407E-A947-70E740481C1C}">
                          <a14:useLocalDpi xmlns:a14="http://schemas.microsoft.com/office/drawing/2010/main" val="0"/>
                        </a:ext>
                      </a:extLst>
                    </a:blip>
                    <a:stretch>
                      <a:fillRect/>
                    </a:stretch>
                  </pic:blipFill>
                  <pic:spPr>
                    <a:xfrm>
                      <a:off x="0" y="0"/>
                      <a:ext cx="5932800" cy="2117603"/>
                    </a:xfrm>
                    <a:prstGeom prst="rect">
                      <a:avLst/>
                    </a:prstGeom>
                    <a:ln/>
                  </pic:spPr>
                </pic:pic>
              </a:graphicData>
            </a:graphic>
            <wp14:sizeRelH relativeFrom="margin">
              <wp14:pctWidth>0</wp14:pctWidth>
            </wp14:sizeRelH>
          </wp:anchor>
        </w:drawing>
      </w:r>
    </w:p>
    <w:p w14:paraId="412B1C5F" w14:textId="77777777" w:rsidR="002A39D2" w:rsidRDefault="002A39D2" w:rsidP="002A39D2"/>
    <w:p w14:paraId="5925261C" w14:textId="77777777" w:rsidR="002A39D2" w:rsidRDefault="002A39D2" w:rsidP="002A39D2"/>
    <w:p w14:paraId="244B8829" w14:textId="67B272DD" w:rsidR="00C62C3B" w:rsidRDefault="00C62C3B" w:rsidP="002A39D2"/>
    <w:p w14:paraId="00B35C53" w14:textId="7D694F16" w:rsidR="00C62C3B" w:rsidRDefault="00C62C3B" w:rsidP="002A39D2"/>
    <w:p w14:paraId="78E0BDB9" w14:textId="4A382509" w:rsidR="002A39D2" w:rsidRDefault="009752E9" w:rsidP="002A39D2">
      <w:pPr>
        <w:pStyle w:val="titulodocumento"/>
        <w:outlineLvl w:val="0"/>
        <w:rPr>
          <w:color w:val="C00000"/>
          <w:lang w:eastAsia="en-US"/>
        </w:rPr>
      </w:pPr>
      <w:bookmarkStart w:id="68" w:name="_Toc165169736"/>
      <w:r w:rsidRPr="009752E9">
        <w:rPr>
          <w:lang w:eastAsia="en-US"/>
        </w:rPr>
        <w:t xml:space="preserve">II. </w:t>
      </w:r>
      <w:r w:rsidR="002A39D2">
        <w:rPr>
          <w:color w:val="C00000"/>
          <w:lang w:eastAsia="en-US"/>
        </w:rPr>
        <w:t>Nuestra Estrategia</w:t>
      </w:r>
      <w:bookmarkEnd w:id="68"/>
    </w:p>
    <w:p w14:paraId="5ABFB3B5" w14:textId="77777777" w:rsidR="009752E9" w:rsidRPr="009752E9" w:rsidRDefault="009752E9" w:rsidP="009752E9">
      <w:pPr>
        <w:rPr>
          <w:lang w:eastAsia="en-US"/>
        </w:rPr>
      </w:pPr>
    </w:p>
    <w:p w14:paraId="540A7601" w14:textId="32B585F4" w:rsidR="001725C3" w:rsidRPr="00AC10F4" w:rsidRDefault="00C62C3B" w:rsidP="009752E9">
      <w:pPr>
        <w:pStyle w:val="NIVEL2PDD"/>
      </w:pPr>
      <w:bookmarkStart w:id="69" w:name="_Toc165169737"/>
      <w:r w:rsidRPr="00AC10F4">
        <w:t>Nuestro modelo de gobernanza</w:t>
      </w:r>
      <w:bookmarkEnd w:id="69"/>
    </w:p>
    <w:p w14:paraId="1F809BC4" w14:textId="4B30625C" w:rsidR="00AC10F4" w:rsidRDefault="00AC10F4" w:rsidP="00AC10F4">
      <w:pPr>
        <w:rPr>
          <w:lang w:eastAsia="en-US"/>
        </w:rPr>
      </w:pPr>
    </w:p>
    <w:p w14:paraId="4189B889" w14:textId="305DF4AF" w:rsidR="00AC10F4" w:rsidRPr="00AC10F4" w:rsidRDefault="00AC10F4" w:rsidP="00AC10F4">
      <w:pPr>
        <w:rPr>
          <w:lang w:eastAsia="en-US"/>
        </w:rPr>
        <w:sectPr w:rsidR="00AC10F4" w:rsidRPr="00AC10F4" w:rsidSect="00F7078E">
          <w:headerReference w:type="default" r:id="rId46"/>
          <w:footerReference w:type="even" r:id="rId47"/>
          <w:pgSz w:w="12240" w:h="15840"/>
          <w:pgMar w:top="2262" w:right="1440" w:bottom="1440" w:left="1440" w:header="709" w:footer="709" w:gutter="0"/>
          <w:cols w:space="720"/>
        </w:sectPr>
      </w:pPr>
    </w:p>
    <w:p w14:paraId="59237ACA" w14:textId="68F282E3" w:rsidR="001725C3" w:rsidRDefault="001725C3" w:rsidP="001725C3">
      <w:r>
        <w:t xml:space="preserve">Bogotá Camina Segura planteó desde su inicio una premisa: </w:t>
      </w:r>
      <w:r>
        <w:rPr>
          <w:i/>
        </w:rPr>
        <w:t>Si queremos un Gobierno diferente, tenemos que actuar de forma diferente</w:t>
      </w:r>
      <w:r>
        <w:t>. Con este Plan de Desarrollo, todos los sectores de la Administración —sus funcionarios, funcionarias y contratistas— se comprometen a actuar bajo las premisas que guiarán la forma de gobernar en los próximos cuatro años:</w:t>
      </w:r>
    </w:p>
    <w:p w14:paraId="412A8CCC" w14:textId="77777777" w:rsidR="001725C3" w:rsidRDefault="001725C3" w:rsidP="001725C3"/>
    <w:p w14:paraId="186839CA" w14:textId="77777777" w:rsidR="001725C3" w:rsidRDefault="001725C3" w:rsidP="001725C3">
      <w:r>
        <w:rPr>
          <w:b/>
          <w:color w:val="C00000"/>
        </w:rPr>
        <w:t>Primera</w:t>
      </w:r>
      <w:r>
        <w:t>, para ser una Administración que le sirve a la gente, el Gobierno debe hacerse en la calle y con la ciudadanía. Vamos a priorizar la gestión en el territorio, a salir de las oficinas para atender directamente los problemas de la gente y a escuchar y entender a las personas para tomar las mejores decisiones.</w:t>
      </w:r>
    </w:p>
    <w:p w14:paraId="717DBF64" w14:textId="77777777" w:rsidR="001725C3" w:rsidRDefault="001725C3" w:rsidP="001725C3"/>
    <w:p w14:paraId="00244456" w14:textId="77777777" w:rsidR="001725C3" w:rsidRDefault="001725C3" w:rsidP="001725C3">
      <w:r>
        <w:rPr>
          <w:b/>
          <w:color w:val="C00000"/>
        </w:rPr>
        <w:t>Segunda,</w:t>
      </w:r>
      <w:r>
        <w:t xml:space="preserve"> las pequeñas acciones cotidianas serán prioritarias. El Gobierno en la calle permitirá tener una capacidad resolutiva inmediata, actuar de manera oportuna y gestionar el día a día para que los cambios lleguen más rápido y con efectividad.</w:t>
      </w:r>
    </w:p>
    <w:p w14:paraId="0A5E4507" w14:textId="77777777" w:rsidR="001725C3" w:rsidRDefault="001725C3" w:rsidP="001725C3"/>
    <w:p w14:paraId="5D8AD058" w14:textId="77777777" w:rsidR="001725C3" w:rsidRDefault="001725C3" w:rsidP="001725C3">
      <w:r>
        <w:rPr>
          <w:b/>
          <w:color w:val="C00000"/>
        </w:rPr>
        <w:t>Tercera,</w:t>
      </w:r>
      <w:r>
        <w:t xml:space="preserve"> nos caracterizaremos por establecer acuerdos y dialogar respetuosamente con otros actores. Los problemas de Bogotá exigen un trabajo articulado y adecuado entre las instituciones del Gobierno Distrital, del Gobierno Nacional y de la Justicia, entre otras. Por eso, construiremos buenas relaciones, priorizando las necesidades de la ciudad sobre las diferencias.</w:t>
      </w:r>
    </w:p>
    <w:p w14:paraId="3167AE08" w14:textId="77777777" w:rsidR="001725C3" w:rsidRDefault="001725C3" w:rsidP="001725C3">
      <w:pPr>
        <w:rPr>
          <w:b/>
        </w:rPr>
      </w:pPr>
    </w:p>
    <w:p w14:paraId="718C2CF0" w14:textId="0DA72361" w:rsidR="001725C3" w:rsidRDefault="001725C3" w:rsidP="001725C3">
      <w:r>
        <w:rPr>
          <w:b/>
          <w:color w:val="C00000"/>
        </w:rPr>
        <w:t>Cuarta,</w:t>
      </w:r>
      <w:r>
        <w:t xml:space="preserve"> la toma de decisiones se basará en evidencias y en información veraz. El monitoreo, el </w:t>
      </w:r>
      <w:r>
        <w:t xml:space="preserve">seguimiento y la evaluación serán los pilares de esta Administración para conocer qué está funcionando y qué </w:t>
      </w:r>
      <w:r w:rsidR="0047526A">
        <w:t>es necesario mejorar</w:t>
      </w:r>
      <w:r>
        <w:t>. Igualmente, buscaremos reorganizar y articular toda la estructura del Distrito con el fin de evitar duplicidades, para que la ciudadanía no tenga que ir de un lado a otro sin encontrar una solución de fondo y así optimizar los tiempos de atención al usuario.</w:t>
      </w:r>
    </w:p>
    <w:p w14:paraId="798F36A9" w14:textId="77777777" w:rsidR="001725C3" w:rsidRDefault="001725C3" w:rsidP="001725C3"/>
    <w:p w14:paraId="37B299BB" w14:textId="77777777" w:rsidR="001725C3" w:rsidRDefault="001725C3" w:rsidP="001725C3">
      <w:r>
        <w:rPr>
          <w:b/>
          <w:color w:val="C00000"/>
        </w:rPr>
        <w:t>Quinta,</w:t>
      </w:r>
      <w:r>
        <w:t xml:space="preserve"> y la más importante: </w:t>
      </w:r>
      <w:r>
        <w:rPr>
          <w:i/>
        </w:rPr>
        <w:t>la ciudadanía primero</w:t>
      </w:r>
      <w:r>
        <w:t>. A veces los gobiernos olvidan que su prioridad debe ser la gente, no sus intereses particulares. La satisfacción de la ciudadanía debe orientar nuestro quehacer; por eso, trabajaremos en servicios a la ciudadanía de manera itinerante por toda la ciudad, con toda la oferta distrital, priorizando las zonas donde el Distrito ha estado ausente. Innovaremos mediante una participación amplia e incidente que acompañará todos los espacios de interlocución con la ciudadanía y buscaremos devolver el interés de la gente en la resolución de los conflictos de ciudad.</w:t>
      </w:r>
    </w:p>
    <w:p w14:paraId="59C07632" w14:textId="77777777" w:rsidR="001725C3" w:rsidRDefault="001725C3" w:rsidP="001725C3"/>
    <w:p w14:paraId="47833F25" w14:textId="77777777" w:rsidR="001725C3" w:rsidRDefault="001725C3" w:rsidP="001725C3">
      <w:r>
        <w:t xml:space="preserve">Con este modelo de gobernanza buscamos cambiar la forma como el Gobierno se relaciona con la ciudadanía y ser más cercanos, efectivos y eficientes para devolver el sentido de pertenecía, el orgullo y la confianza por Bogotá. </w:t>
      </w:r>
    </w:p>
    <w:p w14:paraId="111A4643" w14:textId="77777777" w:rsidR="001725C3" w:rsidRDefault="001725C3" w:rsidP="001725C3"/>
    <w:p w14:paraId="38062752" w14:textId="77777777" w:rsidR="001725C3" w:rsidRDefault="001725C3" w:rsidP="001725C3">
      <w:r>
        <w:t>Complementario a estas premisas, están cinco (5) criterios transversales a tener presente en la implementación de cada uno de los programas en los que divide este plan.</w:t>
      </w:r>
    </w:p>
    <w:p w14:paraId="4E746F88" w14:textId="77777777" w:rsidR="001725C3" w:rsidRDefault="001725C3" w:rsidP="001725C3">
      <w:r>
        <w:rPr>
          <w:b/>
          <w:color w:val="C00000"/>
        </w:rPr>
        <w:lastRenderedPageBreak/>
        <w:t>Derechos Humanos</w:t>
      </w:r>
      <w:r>
        <w:t>, la administración distrital dirige la atención para el desarrollo de acciones que garanticen de forma progresiva los derechos de las personas para integrar en las prácticas del desarrollo, los principios éticos y legales inherentes a los derechos humanos con énfasis en la vida libre y plena en sociedad, respetando y valorando las diferencias y la diversidad. Esto implica un permanente reconocimiento de los derechos humanos de todos, con especial énfasis en los grupos poblacionales que la ciudad ha identificado como de especial atención.</w:t>
      </w:r>
    </w:p>
    <w:p w14:paraId="63E79284" w14:textId="77777777" w:rsidR="001725C3" w:rsidRDefault="001725C3" w:rsidP="001725C3"/>
    <w:p w14:paraId="45ECB130" w14:textId="77777777" w:rsidR="001725C3" w:rsidRDefault="001725C3" w:rsidP="001725C3">
      <w:r>
        <w:rPr>
          <w:b/>
          <w:color w:val="C00000"/>
        </w:rPr>
        <w:t>Seguridad Humana</w:t>
      </w:r>
      <w:r>
        <w:t>, teniendo en consideración el compromiso de esta administración con la seguridad, la seguridad humana se incorporará en aquellas acciones encaminadas en atender la preocupación por proteger la vida y la dignidad humana, reconociendo la existencia de amenazas estructurales que viven las personas en sus diferencias y diversidad como lo es la pobreza, amenaza y la desprotección a los derechos humanos de las personas.</w:t>
      </w:r>
    </w:p>
    <w:p w14:paraId="2456531C" w14:textId="77777777" w:rsidR="001725C3" w:rsidRDefault="001725C3" w:rsidP="001725C3"/>
    <w:p w14:paraId="1EBF1664" w14:textId="77777777" w:rsidR="001725C3" w:rsidRDefault="001725C3" w:rsidP="001725C3">
      <w:r>
        <w:rPr>
          <w:b/>
          <w:color w:val="C00000"/>
        </w:rPr>
        <w:t>Cultura Ciudadana</w:t>
      </w:r>
      <w:r>
        <w:t xml:space="preserve">, para que la administración consiga que Bogotá Camine Segura, tiene que entender cuáles son las razones, intereses y emociones que derivan en el comportamiento de las personas que cruzados con aspectos éticos, morales y/o normativos conllevan a que las personas no perciban satisfacción en los </w:t>
      </w:r>
      <w:r w:rsidRPr="00980559">
        <w:t xml:space="preserve">servicios que actualmente presta la ciudad. Por ello, el desarrollo de la cultura ciudadana permitirá implementar acciones que fomentan la participación de las personas en los retos de transformación cultural, entendiendo que muchas de las causas que explican algunos de los principales problemas de la ciudad, así como, las oportunidades de cambio, dependen de la </w:t>
      </w:r>
      <w:r w:rsidRPr="00980559">
        <w:t>corresponsabilidad, la participación y la agencia ciudadana y del trabajo articulado intersectorial de y con la administración pública.</w:t>
      </w:r>
    </w:p>
    <w:p w14:paraId="23CABD2B" w14:textId="77777777" w:rsidR="001725C3" w:rsidRDefault="001725C3" w:rsidP="001725C3"/>
    <w:p w14:paraId="33C7CEFF" w14:textId="77777777" w:rsidR="001725C3" w:rsidRDefault="001725C3" w:rsidP="001725C3">
      <w:r>
        <w:rPr>
          <w:b/>
          <w:color w:val="C00000"/>
        </w:rPr>
        <w:t>Sensibilidad Ambiental</w:t>
      </w:r>
      <w:r>
        <w:t>, una de las interacciones más importantes es entender el ambiente como un sistema en el que los elementos naturales y sociales que lo integran se encuentran e interrelacionan. Por esto, las acciones que se desarrollen en la ciudad también responden a la comprensión de las estructuras complejas del ambiente y la integración entre los aspectos físicos, biológicos, sociales y culturales garantizando un desarrollo de la ciudad sostenible, es decir, donde las decisiones y acciones que se implementen se hagan bajo consideraciones y criterios ambientales para la ciudad en el corto, mediano y largo plazo en función de preservar la vida de todas y todos.</w:t>
      </w:r>
    </w:p>
    <w:p w14:paraId="135CE534" w14:textId="77777777" w:rsidR="001725C3" w:rsidRDefault="001725C3" w:rsidP="001725C3"/>
    <w:p w14:paraId="6DD1CA30" w14:textId="77777777" w:rsidR="001725C3" w:rsidRPr="00C62C3B" w:rsidRDefault="001725C3" w:rsidP="001725C3">
      <w:r>
        <w:rPr>
          <w:b/>
          <w:color w:val="C00000"/>
        </w:rPr>
        <w:t>Territorialización y Regionalización</w:t>
      </w:r>
      <w:r>
        <w:t>, las características de las personas, su entorno social, su movilidad, en donde la vida y el ejercicio de los derechos humanos se materializan en el territorio son fundamentales en este Plan de Desarrollo. Este orienta las acciones de la administración distrital a través de la caracterización de los problemas públicos en función de su georreferenciación, de la situación geográfica del territorio, a partir de la identificación de relaciones causantes de los problemas en zonas específicas de nuestra ciudad, que cuentan con características propias y de diversa índole, teniendo en cuenta la interrelación y pertenencia a dinámicas territoriales de mayor escala, teniendo en cuenta la situación geográfica del Distrito Capital en términos regionales, nacionales y globales.</w:t>
      </w:r>
    </w:p>
    <w:p w14:paraId="604E4227" w14:textId="79C12E14" w:rsidR="00B16D97" w:rsidRDefault="008C3A64" w:rsidP="00585339">
      <w:pPr>
        <w:rPr>
          <w:lang w:eastAsia="en-US"/>
        </w:rPr>
        <w:sectPr w:rsidR="00B16D97" w:rsidSect="00F7078E">
          <w:headerReference w:type="default" r:id="rId48"/>
          <w:footerReference w:type="even" r:id="rId49"/>
          <w:type w:val="continuous"/>
          <w:pgSz w:w="12240" w:h="15840"/>
          <w:pgMar w:top="2262" w:right="1440" w:bottom="1440" w:left="1440" w:header="709" w:footer="680" w:gutter="0"/>
          <w:cols w:num="2" w:space="567"/>
          <w:docGrid w:linePitch="360"/>
        </w:sectPr>
      </w:pPr>
      <w:r>
        <w:rPr>
          <w:lang w:eastAsia="en-US"/>
        </w:rPr>
        <w:br w:type="page"/>
      </w:r>
      <w:bookmarkStart w:id="70" w:name="OLE_LINK3"/>
      <w:bookmarkStart w:id="71" w:name="OLE_LINK4"/>
    </w:p>
    <w:p w14:paraId="3E420CA4" w14:textId="3CB206A0" w:rsidR="008C3A64" w:rsidRPr="005A31BC" w:rsidRDefault="008C3A64" w:rsidP="00585339">
      <w:pPr>
        <w:pStyle w:val="NIVEL2PDD"/>
        <w:rPr>
          <w:i/>
          <w:iCs/>
        </w:rPr>
      </w:pPr>
      <w:bookmarkStart w:id="72" w:name="_Toc165169738"/>
      <w:r w:rsidRPr="00260361">
        <w:lastRenderedPageBreak/>
        <w:t xml:space="preserve">Enfoques </w:t>
      </w:r>
      <w:r w:rsidR="00D00A8A">
        <w:t>p</w:t>
      </w:r>
      <w:r w:rsidR="00260361" w:rsidRPr="00260361">
        <w:t>oblacionales</w:t>
      </w:r>
      <w:bookmarkEnd w:id="72"/>
    </w:p>
    <w:p w14:paraId="2EC40386" w14:textId="77777777" w:rsidR="008C3A64" w:rsidRPr="005A31BC" w:rsidRDefault="008C3A64" w:rsidP="008C3A64">
      <w:pPr>
        <w:rPr>
          <w:rFonts w:cs="Times New Roman (Cuerpo en alfa"/>
          <w:spacing w:val="-6"/>
          <w:lang w:val="es-ES"/>
        </w:rPr>
        <w:sectPr w:rsidR="008C3A64" w:rsidRPr="005A31BC" w:rsidSect="00F7078E">
          <w:type w:val="continuous"/>
          <w:pgSz w:w="12240" w:h="15840"/>
          <w:pgMar w:top="2262" w:right="1440" w:bottom="1440" w:left="1440" w:header="709" w:footer="680" w:gutter="0"/>
          <w:cols w:space="708"/>
          <w:docGrid w:linePitch="360"/>
        </w:sectPr>
      </w:pPr>
    </w:p>
    <w:p w14:paraId="30C802AC" w14:textId="77777777" w:rsidR="008C3A64" w:rsidRPr="00800A7C" w:rsidRDefault="008C3A64" w:rsidP="008C3A64">
      <w:pPr>
        <w:rPr>
          <w:rFonts w:cs="Times New Roman (Cuerpo en alfa"/>
          <w:spacing w:val="-6"/>
          <w:szCs w:val="22"/>
        </w:rPr>
      </w:pPr>
      <w:r w:rsidRPr="00800A7C">
        <w:rPr>
          <w:rFonts w:cs="Times New Roman (Cuerpo en alfa"/>
          <w:spacing w:val="-6"/>
          <w:szCs w:val="22"/>
        </w:rPr>
        <w:t>Bogotá, como región diversa y multicultural, es tan compleja que requiere una mirada diferencial e integral en la que el reconocimiento, la escucha y la participación de las ciudadanías son fundamentales. Esta comprensión parte del entendimiento de que los saberes y experiencias de quienes la habitan son clave para construir conjuntamente con el Distrito.</w:t>
      </w:r>
    </w:p>
    <w:p w14:paraId="041B55E8" w14:textId="77777777" w:rsidR="008C3A64" w:rsidRPr="00800A7C" w:rsidRDefault="008C3A64" w:rsidP="008C3A64">
      <w:pPr>
        <w:rPr>
          <w:rFonts w:cs="Times New Roman (Cuerpo en alfa"/>
          <w:spacing w:val="-6"/>
          <w:szCs w:val="22"/>
        </w:rPr>
      </w:pPr>
    </w:p>
    <w:p w14:paraId="27BB5B75" w14:textId="77777777" w:rsidR="008C3A64" w:rsidRPr="00800A7C" w:rsidRDefault="008C3A64" w:rsidP="008C3A64">
      <w:pPr>
        <w:rPr>
          <w:rFonts w:cs="Times New Roman (Cuerpo en alfa"/>
          <w:spacing w:val="-6"/>
          <w:szCs w:val="22"/>
        </w:rPr>
      </w:pPr>
      <w:r w:rsidRPr="00800A7C">
        <w:rPr>
          <w:rFonts w:cs="Times New Roman (Cuerpo en alfa"/>
          <w:spacing w:val="-6"/>
          <w:szCs w:val="22"/>
        </w:rPr>
        <w:t>Los grandes retos que enfrenta Bogotá se manifiestan en las diversas realidades que coexisten en un mismo espacio geográfico, tanto en lo urbano como en lo rural, y que demandan políticas públicas que aseguren la no discriminación promoviendo una transformación cultural y social efectiva.</w:t>
      </w:r>
    </w:p>
    <w:p w14:paraId="59B0577E" w14:textId="77777777" w:rsidR="008C3A64" w:rsidRPr="00800A7C" w:rsidRDefault="008C3A64" w:rsidP="008C3A64">
      <w:pPr>
        <w:rPr>
          <w:rFonts w:cs="Times New Roman (Cuerpo en alfa"/>
          <w:spacing w:val="-6"/>
          <w:szCs w:val="22"/>
        </w:rPr>
      </w:pPr>
    </w:p>
    <w:p w14:paraId="5D195B42" w14:textId="77777777" w:rsidR="008C3A64" w:rsidRPr="00800A7C" w:rsidRDefault="008C3A64" w:rsidP="008C3A64">
      <w:pPr>
        <w:rPr>
          <w:rFonts w:cs="Times New Roman (Cuerpo en alfa"/>
          <w:spacing w:val="-6"/>
          <w:szCs w:val="22"/>
        </w:rPr>
      </w:pPr>
      <w:r w:rsidRPr="00800A7C">
        <w:rPr>
          <w:rFonts w:cs="Times New Roman (Cuerpo en alfa"/>
          <w:spacing w:val="-6"/>
          <w:szCs w:val="22"/>
        </w:rPr>
        <w:t>Ampliar la mirada implica reconocer que las preocupaciones actuales impactan a las personas de manera diferenciada de acuerdo con su condición, situación y posición en la sociedad. Esto requiere atender históricamente a la población, identificando y gestionando con acciones concretas el impacto diferencial en áreas como la acción climática, el crimen organizado, el transporte, la convivencia y la seguridad, la formación, la salud, el deporte, la cultura y la protección de la vida.</w:t>
      </w:r>
    </w:p>
    <w:p w14:paraId="30CECEB1" w14:textId="77777777" w:rsidR="008C3A64" w:rsidRPr="00800A7C" w:rsidRDefault="008C3A64" w:rsidP="008C3A64">
      <w:pPr>
        <w:rPr>
          <w:rFonts w:cs="Times New Roman (Cuerpo en alfa"/>
          <w:spacing w:val="-6"/>
          <w:szCs w:val="22"/>
        </w:rPr>
      </w:pPr>
    </w:p>
    <w:p w14:paraId="08DC1C5E" w14:textId="77777777" w:rsidR="008C3A64" w:rsidRPr="00800A7C" w:rsidRDefault="008C3A64" w:rsidP="008C3A64">
      <w:pPr>
        <w:rPr>
          <w:rFonts w:cs="Times New Roman (Cuerpo en alfa"/>
          <w:spacing w:val="-6"/>
          <w:szCs w:val="22"/>
        </w:rPr>
      </w:pPr>
      <w:r w:rsidRPr="00800A7C">
        <w:rPr>
          <w:rFonts w:cs="Times New Roman (Cuerpo en alfa"/>
          <w:spacing w:val="-6"/>
          <w:szCs w:val="22"/>
        </w:rPr>
        <w:t>La importancia de la transversalización de los enfoques en la planeación de Bogotá radica en comprender las necesidades particulares de todas las personas, reconociendo su diversidad y atendiendo a aquellos grupos históricamente excluidos y segregados en los procesos de planeación. Estos grupos incluyen mujeres, personas pertenecientes a grupos etarios específicos, comunidades étnicas, indígenas, víctimas del conflicto armado, personas con discapacidad, personas de los sectores sociales LGBTI, población rural y personas en situación de habitabilidad en calle.</w:t>
      </w:r>
    </w:p>
    <w:p w14:paraId="7F39013C" w14:textId="77777777" w:rsidR="008C3A64" w:rsidRPr="00800A7C" w:rsidRDefault="008C3A64" w:rsidP="008C3A64">
      <w:pPr>
        <w:rPr>
          <w:rFonts w:cs="Times New Roman (Cuerpo en alfa"/>
          <w:spacing w:val="-6"/>
          <w:szCs w:val="22"/>
        </w:rPr>
      </w:pPr>
    </w:p>
    <w:p w14:paraId="48F158C0" w14:textId="71249ABF" w:rsidR="008C3A64" w:rsidRPr="00800A7C" w:rsidRDefault="008C3A64" w:rsidP="008C3A64">
      <w:pPr>
        <w:rPr>
          <w:rFonts w:cs="Times New Roman (Cuerpo en alfa"/>
          <w:spacing w:val="-6"/>
          <w:szCs w:val="22"/>
        </w:rPr>
      </w:pPr>
      <w:r w:rsidRPr="00800A7C">
        <w:rPr>
          <w:rFonts w:cs="Times New Roman (Cuerpo en alfa"/>
          <w:spacing w:val="-6"/>
          <w:szCs w:val="22"/>
        </w:rPr>
        <w:t xml:space="preserve">Bogotá ha avanzado en la ratificación de acuerdos y lineamientos normativos internacionales, nacionales y distritales, así como en la orientación técnica para la incorporación de enfoques en los </w:t>
      </w:r>
      <w:r w:rsidRPr="00800A7C">
        <w:rPr>
          <w:rFonts w:cs="Times New Roman (Cuerpo en alfa"/>
          <w:spacing w:val="-6"/>
          <w:szCs w:val="22"/>
        </w:rPr>
        <w:t xml:space="preserve">instrumentos de planeación. En este contexto, la Administración Distrital asume el compromiso de incorporar estos enfoques en el nuevo </w:t>
      </w:r>
      <w:r w:rsidR="00A87961">
        <w:rPr>
          <w:rFonts w:cs="Times New Roman (Cuerpo en alfa"/>
          <w:spacing w:val="-6"/>
          <w:szCs w:val="22"/>
        </w:rPr>
        <w:t>Plan Distrital de Desarrollo</w:t>
      </w:r>
      <w:r w:rsidRPr="00800A7C">
        <w:rPr>
          <w:rFonts w:cs="Times New Roman (Cuerpo en alfa"/>
          <w:spacing w:val="-6"/>
          <w:szCs w:val="22"/>
        </w:rPr>
        <w:t xml:space="preserve"> 2024-2027, a través del planteamiento de objetivos, estrategias, programas, metas y proyectos de inversión que permitan su transversalización y materialización efectiva.</w:t>
      </w:r>
    </w:p>
    <w:p w14:paraId="6DE6A4A0" w14:textId="77777777" w:rsidR="008C3A64" w:rsidRPr="00800A7C" w:rsidRDefault="008C3A64" w:rsidP="008C3A64">
      <w:pPr>
        <w:rPr>
          <w:rFonts w:cs="Times New Roman (Cuerpo en alfa"/>
          <w:spacing w:val="-6"/>
          <w:szCs w:val="22"/>
        </w:rPr>
      </w:pPr>
    </w:p>
    <w:p w14:paraId="44467706" w14:textId="77777777" w:rsidR="008C3A64" w:rsidRPr="00800A7C" w:rsidRDefault="008C3A64" w:rsidP="008C3A64">
      <w:pPr>
        <w:rPr>
          <w:rFonts w:cs="Times New Roman (Cuerpo en alfa"/>
          <w:spacing w:val="-6"/>
          <w:szCs w:val="22"/>
        </w:rPr>
      </w:pPr>
      <w:r w:rsidRPr="00800A7C">
        <w:rPr>
          <w:rFonts w:cs="Times New Roman (Cuerpo en alfa"/>
          <w:spacing w:val="-6"/>
          <w:szCs w:val="22"/>
        </w:rPr>
        <w:t xml:space="preserve">El punto de partida es el enfoque basado en los Derechos Humanos, entendiéndose como atributos inherentes a las personas que garantizan el ejercicio de la autonomía, el bienestar y la integridad física y moral en condiciones de igualdad. </w:t>
      </w:r>
      <w:r w:rsidRPr="00800A7C">
        <w:rPr>
          <w:rFonts w:cs="Times New Roman (Cuerpo en alfa"/>
          <w:i/>
          <w:iCs/>
          <w:spacing w:val="-6"/>
          <w:szCs w:val="22"/>
        </w:rPr>
        <w:t>El enfoque de Derechos Humanos es el marco de referencia para la Administración Distrital,</w:t>
      </w:r>
      <w:r w:rsidRPr="00800A7C">
        <w:rPr>
          <w:rFonts w:cs="Times New Roman (Cuerpo en alfa"/>
          <w:spacing w:val="-6"/>
          <w:szCs w:val="22"/>
        </w:rPr>
        <w:t xml:space="preserve"> ya que dirige la atención al desarrollo de acciones que garanticen de forma progresiva los derechos de las personas para integrar en las prácticas del desarrollo, los principios éticos y legales inherentes a los derechos humanos con énfasis en la vida libre y plena en sociedad, respetando y valorando las diferencias y la diversidad.</w:t>
      </w:r>
    </w:p>
    <w:p w14:paraId="5E510668" w14:textId="77777777" w:rsidR="008C3A64" w:rsidRPr="00800A7C" w:rsidRDefault="008C3A64" w:rsidP="008C3A64">
      <w:pPr>
        <w:rPr>
          <w:rFonts w:cs="Times New Roman (Cuerpo en alfa"/>
          <w:spacing w:val="-6"/>
          <w:szCs w:val="22"/>
        </w:rPr>
      </w:pPr>
    </w:p>
    <w:p w14:paraId="656FACD4" w14:textId="77777777" w:rsidR="008C3A64" w:rsidRPr="00800A7C" w:rsidRDefault="008C3A64" w:rsidP="008C3A64">
      <w:pPr>
        <w:rPr>
          <w:rFonts w:cs="Times New Roman (Cuerpo en alfa"/>
          <w:spacing w:val="-6"/>
          <w:szCs w:val="22"/>
        </w:rPr>
      </w:pPr>
      <w:r w:rsidRPr="00800A7C">
        <w:rPr>
          <w:rFonts w:cs="Times New Roman (Cuerpo en alfa"/>
          <w:spacing w:val="-6"/>
          <w:szCs w:val="22"/>
        </w:rPr>
        <w:t>En Bogotá también existen grupos que han sido excluidos y discriminados históricamente y se encuentran bajo condiciones, situaciones y/o posiciones que pueden dificultar el disfrute de sus derechos:</w:t>
      </w:r>
    </w:p>
    <w:p w14:paraId="0846342F" w14:textId="77777777" w:rsidR="008C3A64" w:rsidRPr="00800A7C" w:rsidRDefault="008C3A64" w:rsidP="008C3A64">
      <w:pPr>
        <w:rPr>
          <w:rFonts w:cs="Times New Roman (Cuerpo en alfa"/>
          <w:spacing w:val="-6"/>
          <w:szCs w:val="22"/>
        </w:rPr>
      </w:pPr>
    </w:p>
    <w:p w14:paraId="084CA986" w14:textId="77777777" w:rsidR="008C3A64" w:rsidRPr="00800A7C" w:rsidRDefault="008C3A64" w:rsidP="008C3A64">
      <w:pPr>
        <w:pStyle w:val="Bullets"/>
        <w:ind w:left="284" w:hanging="284"/>
        <w:rPr>
          <w:spacing w:val="-6"/>
        </w:rPr>
      </w:pPr>
      <w:r w:rsidRPr="00800A7C">
        <w:rPr>
          <w:b/>
          <w:bCs/>
          <w:color w:val="C00000"/>
          <w:spacing w:val="-6"/>
        </w:rPr>
        <w:t>Por condición:</w:t>
      </w:r>
      <w:r w:rsidRPr="00800A7C">
        <w:rPr>
          <w:color w:val="C00000"/>
          <w:spacing w:val="-6"/>
        </w:rPr>
        <w:t xml:space="preserve"> </w:t>
      </w:r>
      <w:r w:rsidRPr="00800A7C">
        <w:rPr>
          <w:rFonts w:cs="Times New Roman (Cuerpo en alfa"/>
          <w:spacing w:val="-6"/>
        </w:rPr>
        <w:t>Condiciones materiales de vida de la persona o la población, se asocia con la satisfacción de necesidades o intereses prácticos, de sus requerimientos inmediatos, relacionados con su rol y modo de vida.</w:t>
      </w:r>
    </w:p>
    <w:p w14:paraId="001020DF" w14:textId="77777777" w:rsidR="008C3A64" w:rsidRPr="00800A7C" w:rsidRDefault="008C3A64" w:rsidP="008C3A64">
      <w:pPr>
        <w:pStyle w:val="Bullets"/>
        <w:numPr>
          <w:ilvl w:val="0"/>
          <w:numId w:val="0"/>
        </w:numPr>
        <w:ind w:left="284" w:hanging="284"/>
        <w:rPr>
          <w:spacing w:val="-6"/>
        </w:rPr>
      </w:pPr>
    </w:p>
    <w:p w14:paraId="05C9BE6B" w14:textId="77777777" w:rsidR="008C3A64" w:rsidRPr="00800A7C" w:rsidRDefault="008C3A64" w:rsidP="008C3A64">
      <w:pPr>
        <w:pStyle w:val="Bullets"/>
        <w:ind w:left="284" w:hanging="284"/>
        <w:rPr>
          <w:spacing w:val="-6"/>
        </w:rPr>
      </w:pPr>
      <w:r w:rsidRPr="00800A7C">
        <w:rPr>
          <w:b/>
          <w:bCs/>
          <w:color w:val="C00000"/>
          <w:spacing w:val="-6"/>
        </w:rPr>
        <w:t>Por situación:</w:t>
      </w:r>
      <w:r w:rsidRPr="00800A7C">
        <w:rPr>
          <w:color w:val="C00000"/>
          <w:spacing w:val="-6"/>
        </w:rPr>
        <w:t xml:space="preserve"> </w:t>
      </w:r>
      <w:r w:rsidRPr="00800A7C">
        <w:rPr>
          <w:spacing w:val="-6"/>
        </w:rPr>
        <w:t>Conjunto de circunstancias y elementos que contribuyen a generar la discriminación y la segregación y que puede o no ser coyuntural.</w:t>
      </w:r>
    </w:p>
    <w:p w14:paraId="279AB337" w14:textId="77777777" w:rsidR="008C3A64" w:rsidRPr="00800A7C" w:rsidRDefault="008C3A64" w:rsidP="008C3A64">
      <w:pPr>
        <w:pStyle w:val="Bullets"/>
        <w:numPr>
          <w:ilvl w:val="0"/>
          <w:numId w:val="0"/>
        </w:numPr>
        <w:ind w:left="284" w:hanging="284"/>
        <w:rPr>
          <w:spacing w:val="-6"/>
        </w:rPr>
      </w:pPr>
    </w:p>
    <w:p w14:paraId="74DA09C8" w14:textId="77777777" w:rsidR="008C3A64" w:rsidRPr="00800A7C" w:rsidRDefault="008C3A64" w:rsidP="008C3A64">
      <w:pPr>
        <w:pStyle w:val="Bullets"/>
        <w:ind w:left="284" w:hanging="284"/>
        <w:rPr>
          <w:spacing w:val="-6"/>
        </w:rPr>
      </w:pPr>
      <w:r w:rsidRPr="00800A7C">
        <w:rPr>
          <w:b/>
          <w:bCs/>
          <w:color w:val="C00000"/>
          <w:spacing w:val="-6"/>
        </w:rPr>
        <w:t>Por posición:</w:t>
      </w:r>
      <w:r w:rsidRPr="00800A7C">
        <w:rPr>
          <w:color w:val="C00000"/>
          <w:spacing w:val="-6"/>
        </w:rPr>
        <w:t xml:space="preserve"> </w:t>
      </w:r>
      <w:r w:rsidRPr="00800A7C">
        <w:rPr>
          <w:spacing w:val="-6"/>
        </w:rPr>
        <w:t xml:space="preserve">Es el lugar, o los lugares que ocupa la persona en la estructura social, en las relaciones de poder en que está inmersa y referida igualmente a la capacidad y recursos de poder que tiene la persona o población para influir en </w:t>
      </w:r>
      <w:r w:rsidRPr="00800A7C">
        <w:rPr>
          <w:spacing w:val="-6"/>
        </w:rPr>
        <w:lastRenderedPageBreak/>
        <w:t>la toma de decisiones que les afectan (Alcaldía de Bogotá, 2021, p. 13).</w:t>
      </w:r>
    </w:p>
    <w:p w14:paraId="6BB62C40" w14:textId="77777777" w:rsidR="008C3A64" w:rsidRPr="00800A7C" w:rsidRDefault="008C3A64" w:rsidP="008C3A64">
      <w:pPr>
        <w:rPr>
          <w:rFonts w:cs="Times New Roman (Cuerpo en alfa"/>
          <w:spacing w:val="-6"/>
          <w:szCs w:val="22"/>
        </w:rPr>
      </w:pPr>
    </w:p>
    <w:p w14:paraId="46CC70FC" w14:textId="786013A1" w:rsidR="008C3A64" w:rsidRPr="00800A7C" w:rsidRDefault="008C3A64" w:rsidP="008C3A64">
      <w:pPr>
        <w:rPr>
          <w:rFonts w:cs="Times New Roman (Cuerpo en alfa"/>
          <w:i/>
          <w:iCs/>
          <w:spacing w:val="-6"/>
          <w:szCs w:val="22"/>
        </w:rPr>
        <w:sectPr w:rsidR="008C3A64" w:rsidRPr="00800A7C" w:rsidSect="00F7078E">
          <w:type w:val="continuous"/>
          <w:pgSz w:w="12240" w:h="15840"/>
          <w:pgMar w:top="2262" w:right="1440" w:bottom="1440" w:left="1440" w:header="709" w:footer="709" w:gutter="0"/>
          <w:cols w:num="2" w:space="567"/>
          <w:docGrid w:linePitch="360"/>
        </w:sectPr>
      </w:pPr>
      <w:r w:rsidRPr="00800A7C">
        <w:rPr>
          <w:rFonts w:cs="Times New Roman (Cuerpo en alfa"/>
          <w:spacing w:val="-6"/>
          <w:szCs w:val="22"/>
        </w:rPr>
        <w:t xml:space="preserve">Para desarrollar el enfoque de Derechos Humanos es importante comprender cada uno de los enfoques poblacional-diferencial y de género, y las categorías a partir de las cuales se analizan diferencialmente las necesidades y se definen intervenciones dirigidas a garantizar la igualdad, la equidad, y no </w:t>
      </w:r>
      <w:r w:rsidRPr="00800A7C">
        <w:rPr>
          <w:rFonts w:cs="Times New Roman (Cuerpo en alfa"/>
          <w:spacing w:val="-6"/>
          <w:szCs w:val="22"/>
        </w:rPr>
        <w:t xml:space="preserve">discriminación a partir del reconocimiento de la diversidad por etapa de ciclo vital, género, discapacidad, orientación sexual, identidad de género y pertenencia étnica. La </w:t>
      </w:r>
      <w:r w:rsidR="006F0D1B" w:rsidRPr="006F0D1B">
        <w:rPr>
          <w:rFonts w:cs="Times New Roman (Cuerpo en alfa"/>
          <w:spacing w:val="-6"/>
          <w:szCs w:val="22"/>
        </w:rPr>
        <w:fldChar w:fldCharType="begin"/>
      </w:r>
      <w:r w:rsidR="006F0D1B" w:rsidRPr="006F0D1B">
        <w:rPr>
          <w:rFonts w:cs="Times New Roman (Cuerpo en alfa"/>
          <w:spacing w:val="-6"/>
          <w:szCs w:val="22"/>
        </w:rPr>
        <w:instrText xml:space="preserve"> REF _Ref165111974 \h  \* MERGEFORMAT </w:instrText>
      </w:r>
      <w:r w:rsidR="006F0D1B" w:rsidRPr="006F0D1B">
        <w:rPr>
          <w:rFonts w:cs="Times New Roman (Cuerpo en alfa"/>
          <w:spacing w:val="-6"/>
          <w:szCs w:val="22"/>
        </w:rPr>
      </w:r>
      <w:r w:rsidR="006F0D1B" w:rsidRPr="006F0D1B">
        <w:rPr>
          <w:rFonts w:cs="Times New Roman (Cuerpo en alfa"/>
          <w:spacing w:val="-6"/>
          <w:szCs w:val="22"/>
        </w:rPr>
        <w:fldChar w:fldCharType="separate"/>
      </w:r>
      <w:r w:rsidR="00D01651" w:rsidRPr="00D01651">
        <w:rPr>
          <w:sz w:val="18"/>
          <w:szCs w:val="14"/>
        </w:rPr>
        <w:t xml:space="preserve">Tabla </w:t>
      </w:r>
      <w:r w:rsidR="00D01651" w:rsidRPr="00D01651">
        <w:rPr>
          <w:noProof/>
          <w:sz w:val="18"/>
          <w:szCs w:val="14"/>
        </w:rPr>
        <w:t>2</w:t>
      </w:r>
      <w:r w:rsidR="006F0D1B" w:rsidRPr="006F0D1B">
        <w:rPr>
          <w:rFonts w:cs="Times New Roman (Cuerpo en alfa"/>
          <w:spacing w:val="-6"/>
          <w:szCs w:val="22"/>
        </w:rPr>
        <w:fldChar w:fldCharType="end"/>
      </w:r>
      <w:r w:rsidR="006F0D1B" w:rsidRPr="006F0D1B">
        <w:rPr>
          <w:rFonts w:cs="Times New Roman (Cuerpo en alfa"/>
          <w:spacing w:val="-6"/>
          <w:szCs w:val="22"/>
        </w:rPr>
        <w:t xml:space="preserve"> </w:t>
      </w:r>
      <w:r w:rsidRPr="00800A7C">
        <w:rPr>
          <w:rFonts w:cs="Times New Roman (Cuerpo en alfa"/>
          <w:spacing w:val="-6"/>
          <w:szCs w:val="22"/>
        </w:rPr>
        <w:t xml:space="preserve">presenta las descripciones de estas categorías de acuerdo con </w:t>
      </w:r>
      <w:r w:rsidRPr="00800A7C">
        <w:rPr>
          <w:rFonts w:cs="Times New Roman (Cuerpo en alfa"/>
          <w:i/>
          <w:iCs/>
          <w:spacing w:val="-6"/>
          <w:szCs w:val="22"/>
        </w:rPr>
        <w:t xml:space="preserve">Metodología para incorporar los enfoques </w:t>
      </w:r>
      <w:r w:rsidR="00A87961">
        <w:rPr>
          <w:rFonts w:cs="Times New Roman (Cuerpo en alfa"/>
          <w:i/>
          <w:iCs/>
          <w:spacing w:val="-6"/>
          <w:szCs w:val="22"/>
        </w:rPr>
        <w:t xml:space="preserve">de género, </w:t>
      </w:r>
      <w:r w:rsidRPr="00800A7C">
        <w:rPr>
          <w:rFonts w:cs="Times New Roman (Cuerpo en alfa"/>
          <w:i/>
          <w:iCs/>
          <w:spacing w:val="-6"/>
          <w:szCs w:val="22"/>
        </w:rPr>
        <w:t>poblacional</w:t>
      </w:r>
      <w:r w:rsidR="00A87961">
        <w:rPr>
          <w:rFonts w:cs="Times New Roman (Cuerpo en alfa"/>
          <w:i/>
          <w:iCs/>
          <w:spacing w:val="-6"/>
          <w:szCs w:val="22"/>
        </w:rPr>
        <w:t xml:space="preserve"> y</w:t>
      </w:r>
      <w:r w:rsidRPr="00800A7C">
        <w:rPr>
          <w:rFonts w:cs="Times New Roman (Cuerpo en alfa"/>
          <w:i/>
          <w:iCs/>
          <w:spacing w:val="-6"/>
          <w:szCs w:val="22"/>
        </w:rPr>
        <w:t xml:space="preserve"> diferencial en instrumentos de planeación Distrital.</w:t>
      </w:r>
    </w:p>
    <w:p w14:paraId="2C175661" w14:textId="77777777" w:rsidR="008C3A64" w:rsidRPr="005A31BC" w:rsidRDefault="008C3A64" w:rsidP="008C3A64">
      <w:pPr>
        <w:pStyle w:val="figuratitulo"/>
        <w:jc w:val="both"/>
        <w:rPr>
          <w:b/>
          <w:bCs/>
          <w:spacing w:val="-6"/>
        </w:rPr>
        <w:sectPr w:rsidR="008C3A64" w:rsidRPr="005A31BC" w:rsidSect="00F7078E">
          <w:type w:val="continuous"/>
          <w:pgSz w:w="12240" w:h="15840"/>
          <w:pgMar w:top="2262" w:right="1440" w:bottom="1440" w:left="1440" w:header="709" w:footer="709" w:gutter="0"/>
          <w:cols w:num="2" w:space="567"/>
          <w:docGrid w:linePitch="360"/>
        </w:sectPr>
      </w:pPr>
    </w:p>
    <w:p w14:paraId="1659911F" w14:textId="77777777" w:rsidR="008C3A64" w:rsidRPr="005A31BC" w:rsidRDefault="008C3A64" w:rsidP="008C3A64">
      <w:pPr>
        <w:pStyle w:val="figuratitulo"/>
        <w:jc w:val="both"/>
        <w:rPr>
          <w:b/>
          <w:bCs/>
          <w:spacing w:val="-6"/>
        </w:rPr>
      </w:pPr>
      <w:bookmarkStart w:id="73" w:name="_Toc164327845"/>
    </w:p>
    <w:p w14:paraId="0521097D" w14:textId="77777777" w:rsidR="008C3A64" w:rsidRPr="005A31BC" w:rsidRDefault="008C3A64" w:rsidP="008C3A64">
      <w:pPr>
        <w:pStyle w:val="figuratitulo"/>
        <w:rPr>
          <w:b/>
          <w:bCs/>
          <w:spacing w:val="-6"/>
        </w:rPr>
      </w:pPr>
    </w:p>
    <w:p w14:paraId="5F75AEDD" w14:textId="77777777" w:rsidR="008C3A64" w:rsidRPr="005A31BC" w:rsidRDefault="008C3A64" w:rsidP="008C3A64">
      <w:pPr>
        <w:pStyle w:val="figuratitulo"/>
        <w:rPr>
          <w:b/>
          <w:bCs/>
          <w:spacing w:val="-6"/>
        </w:rPr>
        <w:sectPr w:rsidR="008C3A64" w:rsidRPr="005A31BC" w:rsidSect="00F7078E">
          <w:footerReference w:type="default" r:id="rId50"/>
          <w:type w:val="continuous"/>
          <w:pgSz w:w="12240" w:h="15840"/>
          <w:pgMar w:top="2262" w:right="1440" w:bottom="1440" w:left="1440" w:header="709" w:footer="709" w:gutter="0"/>
          <w:cols w:num="2" w:space="567"/>
          <w:docGrid w:linePitch="360"/>
        </w:sectPr>
      </w:pPr>
    </w:p>
    <w:p w14:paraId="40C245CD" w14:textId="2E4BAF32" w:rsidR="008C3A64" w:rsidRPr="00A87961" w:rsidRDefault="00A87961" w:rsidP="00A87961">
      <w:pPr>
        <w:pStyle w:val="Descripcin"/>
        <w:jc w:val="center"/>
        <w:rPr>
          <w:b w:val="0"/>
          <w:bCs/>
          <w:spacing w:val="-6"/>
          <w:sz w:val="18"/>
          <w:szCs w:val="14"/>
        </w:rPr>
      </w:pPr>
      <w:bookmarkStart w:id="74" w:name="_Ref165111974"/>
      <w:bookmarkStart w:id="75" w:name="_Ref165111970"/>
      <w:bookmarkStart w:id="76" w:name="_Toc165169912"/>
      <w:bookmarkEnd w:id="73"/>
      <w:r w:rsidRPr="00A87961">
        <w:rPr>
          <w:color w:val="C00000"/>
          <w:sz w:val="18"/>
          <w:szCs w:val="14"/>
        </w:rPr>
        <w:t xml:space="preserve">Tabla </w:t>
      </w:r>
      <w:r w:rsidRPr="00A87961">
        <w:rPr>
          <w:color w:val="C00000"/>
          <w:sz w:val="18"/>
          <w:szCs w:val="14"/>
        </w:rPr>
        <w:fldChar w:fldCharType="begin"/>
      </w:r>
      <w:r w:rsidRPr="00A87961">
        <w:rPr>
          <w:color w:val="C00000"/>
          <w:sz w:val="18"/>
          <w:szCs w:val="14"/>
        </w:rPr>
        <w:instrText xml:space="preserve"> SEQ Tabla \* ARABIC </w:instrText>
      </w:r>
      <w:r w:rsidRPr="00A87961">
        <w:rPr>
          <w:color w:val="C00000"/>
          <w:sz w:val="18"/>
          <w:szCs w:val="14"/>
        </w:rPr>
        <w:fldChar w:fldCharType="separate"/>
      </w:r>
      <w:r w:rsidR="00D01651">
        <w:rPr>
          <w:noProof/>
          <w:color w:val="C00000"/>
          <w:sz w:val="18"/>
          <w:szCs w:val="14"/>
        </w:rPr>
        <w:t>2</w:t>
      </w:r>
      <w:r w:rsidRPr="00A87961">
        <w:rPr>
          <w:color w:val="C00000"/>
          <w:sz w:val="18"/>
          <w:szCs w:val="14"/>
        </w:rPr>
        <w:fldChar w:fldCharType="end"/>
      </w:r>
      <w:bookmarkEnd w:id="74"/>
      <w:r w:rsidRPr="00A87961">
        <w:rPr>
          <w:color w:val="C00000"/>
          <w:sz w:val="18"/>
          <w:szCs w:val="14"/>
        </w:rPr>
        <w:t xml:space="preserve">. </w:t>
      </w:r>
      <w:r w:rsidR="008C3A64" w:rsidRPr="00A87961">
        <w:rPr>
          <w:spacing w:val="-6"/>
          <w:sz w:val="18"/>
          <w:szCs w:val="14"/>
        </w:rPr>
        <w:t>Categorías del enfoque de Derechos Humanos</w:t>
      </w:r>
      <w:bookmarkEnd w:id="75"/>
      <w:bookmarkEnd w:id="76"/>
    </w:p>
    <w:p w14:paraId="77FCAA6D" w14:textId="77777777" w:rsidR="008C3A64" w:rsidRPr="005A31BC" w:rsidRDefault="008C3A64" w:rsidP="008C3A64">
      <w:pPr>
        <w:pStyle w:val="figuratitulo"/>
        <w:rPr>
          <w:b/>
          <w:bCs/>
          <w:color w:val="3B3838" w:themeColor="background2" w:themeShade="40"/>
          <w:spacing w:val="-6"/>
        </w:rPr>
        <w:sectPr w:rsidR="008C3A64" w:rsidRPr="005A31BC" w:rsidSect="00F7078E">
          <w:type w:val="continuous"/>
          <w:pgSz w:w="12240" w:h="15840"/>
          <w:pgMar w:top="2262" w:right="1440" w:bottom="1440" w:left="1440" w:header="709" w:footer="709" w:gutter="0"/>
          <w:cols w:space="567"/>
          <w:docGrid w:linePitch="360"/>
        </w:sectPr>
      </w:pPr>
    </w:p>
    <w:tbl>
      <w:tblPr>
        <w:tblStyle w:val="Tablaconcuadrcula"/>
        <w:tblW w:w="0" w:type="auto"/>
        <w:tblBorders>
          <w:top w:val="none" w:sz="0" w:space="0" w:color="auto"/>
          <w:left w:val="none" w:sz="0" w:space="0" w:color="auto"/>
          <w:bottom w:val="double" w:sz="4" w:space="0" w:color="C00000"/>
          <w:right w:val="none" w:sz="0" w:space="0" w:color="auto"/>
          <w:insideH w:val="double" w:sz="4" w:space="0" w:color="C00000"/>
          <w:insideV w:val="double" w:sz="4" w:space="0" w:color="C00000"/>
        </w:tblBorders>
        <w:tblLook w:val="0600" w:firstRow="0" w:lastRow="0" w:firstColumn="0" w:lastColumn="0" w:noHBand="1" w:noVBand="1"/>
      </w:tblPr>
      <w:tblGrid>
        <w:gridCol w:w="2622"/>
        <w:gridCol w:w="6216"/>
      </w:tblGrid>
      <w:tr w:rsidR="008C3A64" w:rsidRPr="005A31BC" w14:paraId="2BCD0A62" w14:textId="77777777" w:rsidTr="000C6321">
        <w:trPr>
          <w:trHeight w:val="795"/>
          <w:tblHeader/>
        </w:trPr>
        <w:tc>
          <w:tcPr>
            <w:tcW w:w="2622" w:type="dxa"/>
            <w:shd w:val="clear" w:color="auto" w:fill="C00000"/>
            <w:vAlign w:val="center"/>
          </w:tcPr>
          <w:p w14:paraId="21F78F4C" w14:textId="284ED558" w:rsidR="008C3A64" w:rsidRPr="00A87961" w:rsidRDefault="000C6321" w:rsidP="008A0F27">
            <w:pPr>
              <w:pStyle w:val="subnumeros"/>
              <w:numPr>
                <w:ilvl w:val="0"/>
                <w:numId w:val="0"/>
              </w:numPr>
              <w:outlineLvl w:val="9"/>
              <w:rPr>
                <w:color w:val="FFFFFF" w:themeColor="background1"/>
              </w:rPr>
            </w:pPr>
            <w:r>
              <w:rPr>
                <w:color w:val="FFFFFF" w:themeColor="background1"/>
              </w:rPr>
              <w:t>C</w:t>
            </w:r>
            <w:r w:rsidR="008C3A64" w:rsidRPr="00A87961">
              <w:rPr>
                <w:color w:val="FFFFFF" w:themeColor="background1"/>
              </w:rPr>
              <w:t>ategoría</w:t>
            </w:r>
          </w:p>
        </w:tc>
        <w:tc>
          <w:tcPr>
            <w:tcW w:w="6216" w:type="dxa"/>
            <w:shd w:val="clear" w:color="auto" w:fill="C00000"/>
            <w:vAlign w:val="center"/>
          </w:tcPr>
          <w:p w14:paraId="314128F5" w14:textId="77777777" w:rsidR="008C3A64" w:rsidRPr="00A87961" w:rsidRDefault="008C3A64" w:rsidP="008A0F27">
            <w:pPr>
              <w:pStyle w:val="subnumeros"/>
              <w:numPr>
                <w:ilvl w:val="0"/>
                <w:numId w:val="0"/>
              </w:numPr>
              <w:outlineLvl w:val="9"/>
              <w:rPr>
                <w:color w:val="FFFFFF" w:themeColor="background1"/>
              </w:rPr>
            </w:pPr>
            <w:r w:rsidRPr="00A87961">
              <w:rPr>
                <w:color w:val="FFFFFF" w:themeColor="background1"/>
              </w:rPr>
              <w:t>Definición</w:t>
            </w:r>
          </w:p>
        </w:tc>
      </w:tr>
      <w:tr w:rsidR="003951AC" w:rsidRPr="005A31BC" w14:paraId="7BFD6037" w14:textId="77777777" w:rsidTr="00FF1F9A">
        <w:trPr>
          <w:trHeight w:val="922"/>
        </w:trPr>
        <w:tc>
          <w:tcPr>
            <w:tcW w:w="2622" w:type="dxa"/>
            <w:vAlign w:val="center"/>
          </w:tcPr>
          <w:p w14:paraId="75AD9807" w14:textId="3DC42DED" w:rsidR="003951AC" w:rsidRPr="005A31BC" w:rsidRDefault="003951AC" w:rsidP="003951AC">
            <w:pPr>
              <w:jc w:val="right"/>
              <w:rPr>
                <w:b/>
                <w:spacing w:val="-6"/>
              </w:rPr>
            </w:pPr>
            <w:r w:rsidRPr="005A31BC">
              <w:rPr>
                <w:b/>
                <w:spacing w:val="-6"/>
              </w:rPr>
              <w:t>Género</w:t>
            </w:r>
          </w:p>
        </w:tc>
        <w:tc>
          <w:tcPr>
            <w:tcW w:w="6216" w:type="dxa"/>
            <w:vAlign w:val="center"/>
          </w:tcPr>
          <w:p w14:paraId="1FAE4798" w14:textId="2A22AE8C" w:rsidR="003951AC" w:rsidRPr="005A31BC" w:rsidRDefault="003951AC" w:rsidP="003951AC">
            <w:pPr>
              <w:jc w:val="left"/>
              <w:rPr>
                <w:spacing w:val="-6"/>
              </w:rPr>
            </w:pPr>
            <w:r w:rsidRPr="005A31BC">
              <w:rPr>
                <w:spacing w:val="-6"/>
              </w:rPr>
              <w:t>El género es una categoría que se refiere a la construcción social y cultural que determina roles, conductas, atributos y oportunidades diferenciadas entre hombres y mujeres, que analiza esas diferencias para reducir las brechas.</w:t>
            </w:r>
          </w:p>
        </w:tc>
      </w:tr>
      <w:tr w:rsidR="003951AC" w:rsidRPr="005A31BC" w14:paraId="0A1700B0" w14:textId="77777777" w:rsidTr="00FF1F9A">
        <w:trPr>
          <w:trHeight w:val="922"/>
        </w:trPr>
        <w:tc>
          <w:tcPr>
            <w:tcW w:w="2622" w:type="dxa"/>
            <w:vAlign w:val="center"/>
          </w:tcPr>
          <w:p w14:paraId="74142119" w14:textId="77777777" w:rsidR="003951AC" w:rsidRPr="005A31BC" w:rsidRDefault="003951AC" w:rsidP="003951AC">
            <w:pPr>
              <w:jc w:val="right"/>
              <w:rPr>
                <w:b/>
                <w:spacing w:val="-6"/>
              </w:rPr>
            </w:pPr>
            <w:r w:rsidRPr="005A31BC">
              <w:rPr>
                <w:b/>
                <w:spacing w:val="-6"/>
              </w:rPr>
              <w:t xml:space="preserve">Etario </w:t>
            </w:r>
          </w:p>
        </w:tc>
        <w:tc>
          <w:tcPr>
            <w:tcW w:w="6216" w:type="dxa"/>
            <w:vAlign w:val="center"/>
          </w:tcPr>
          <w:p w14:paraId="4346B192" w14:textId="77777777" w:rsidR="003951AC" w:rsidRPr="005A31BC" w:rsidRDefault="003951AC" w:rsidP="003951AC">
            <w:pPr>
              <w:jc w:val="left"/>
              <w:rPr>
                <w:spacing w:val="-6"/>
              </w:rPr>
            </w:pPr>
            <w:r w:rsidRPr="005A31BC">
              <w:rPr>
                <w:spacing w:val="-6"/>
              </w:rPr>
              <w:t>Este concepto aborda las etapas del transcurrir vital, permite entender las vulnerabilidades y oportunidades en las diferentes etapas del desarrollo Humano.</w:t>
            </w:r>
          </w:p>
        </w:tc>
      </w:tr>
      <w:tr w:rsidR="003951AC" w:rsidRPr="005A31BC" w14:paraId="549D1787" w14:textId="77777777" w:rsidTr="00FF1F9A">
        <w:trPr>
          <w:trHeight w:val="679"/>
        </w:trPr>
        <w:tc>
          <w:tcPr>
            <w:tcW w:w="2622" w:type="dxa"/>
            <w:vAlign w:val="center"/>
          </w:tcPr>
          <w:p w14:paraId="2F8220D4" w14:textId="77777777" w:rsidR="003951AC" w:rsidRPr="005A31BC" w:rsidRDefault="003951AC" w:rsidP="003951AC">
            <w:pPr>
              <w:jc w:val="right"/>
              <w:rPr>
                <w:b/>
                <w:spacing w:val="-6"/>
              </w:rPr>
            </w:pPr>
            <w:r w:rsidRPr="005A31BC">
              <w:rPr>
                <w:b/>
                <w:spacing w:val="-6"/>
              </w:rPr>
              <w:t>Discapacidad</w:t>
            </w:r>
          </w:p>
        </w:tc>
        <w:tc>
          <w:tcPr>
            <w:tcW w:w="6216" w:type="dxa"/>
            <w:vAlign w:val="center"/>
          </w:tcPr>
          <w:p w14:paraId="2E322408" w14:textId="77777777" w:rsidR="003951AC" w:rsidRPr="005A31BC" w:rsidRDefault="003951AC" w:rsidP="003951AC">
            <w:pPr>
              <w:jc w:val="left"/>
              <w:rPr>
                <w:spacing w:val="-6"/>
              </w:rPr>
            </w:pPr>
            <w:r w:rsidRPr="005A31BC">
              <w:rPr>
                <w:spacing w:val="-6"/>
              </w:rPr>
              <w:t>El análisis y la medición de este enfoque se enmarca en la Ley estatutaria 1618 de 2013 para garantizar el pleno ejercicio de los derechos de las personas con discapacidad, que define: “Personas con y/o en situación de discapacidad: Aquellas personas que tengan deficiencias físicas, mentales, intelectuales o sensoriales a mediano y largo plazo que, al interactuar con diversas barreras incluyendo las actitudinales, puedan impedir su participación plena y efectiva en la sociedad, en igualdad de condiciones con las demás”. Se reconocen los siguientes tipos de discapacidad: física, auditiva, visual, sordoceguera, cognitiva, psicosocial, múltiple.</w:t>
            </w:r>
          </w:p>
        </w:tc>
      </w:tr>
      <w:tr w:rsidR="003951AC" w:rsidRPr="005A31BC" w14:paraId="1A968E65" w14:textId="77777777" w:rsidTr="00800A7C">
        <w:trPr>
          <w:trHeight w:val="1805"/>
        </w:trPr>
        <w:tc>
          <w:tcPr>
            <w:tcW w:w="2622" w:type="dxa"/>
            <w:vAlign w:val="center"/>
          </w:tcPr>
          <w:p w14:paraId="299C80F8" w14:textId="77777777" w:rsidR="003951AC" w:rsidRPr="005A31BC" w:rsidRDefault="003951AC" w:rsidP="003951AC">
            <w:pPr>
              <w:jc w:val="right"/>
              <w:rPr>
                <w:b/>
                <w:spacing w:val="-6"/>
              </w:rPr>
            </w:pPr>
            <w:r w:rsidRPr="005A31BC">
              <w:rPr>
                <w:b/>
                <w:spacing w:val="-6"/>
              </w:rPr>
              <w:t>Étnico e indígena</w:t>
            </w:r>
          </w:p>
        </w:tc>
        <w:tc>
          <w:tcPr>
            <w:tcW w:w="6216" w:type="dxa"/>
            <w:vAlign w:val="center"/>
          </w:tcPr>
          <w:p w14:paraId="740C6549" w14:textId="77777777" w:rsidR="003951AC" w:rsidRPr="005A31BC" w:rsidRDefault="003951AC" w:rsidP="003951AC">
            <w:pPr>
              <w:jc w:val="left"/>
              <w:rPr>
                <w:spacing w:val="-6"/>
              </w:rPr>
            </w:pPr>
            <w:r w:rsidRPr="005A31BC">
              <w:rPr>
                <w:spacing w:val="-6"/>
              </w:rPr>
              <w:t>Se enmarca en los sujetos de especial protección consagrada en los artículos 7, 8 y 13 de la Constitución Política de Colombia que reconoce la diversidad étnica y cultural de la nación y en los lineamientos para la implementación del enfoque diferencial en las entidades territoriales del DNP. Los grupos étnicos reconocidos son: indígena, afrodescendiente o afrocolombiano/a, Rrom o gitano/a, negro, palenquero, raizal.</w:t>
            </w:r>
          </w:p>
        </w:tc>
      </w:tr>
      <w:tr w:rsidR="003951AC" w:rsidRPr="005A31BC" w14:paraId="5688BE5E" w14:textId="77777777" w:rsidTr="00800A7C">
        <w:trPr>
          <w:trHeight w:val="1829"/>
        </w:trPr>
        <w:tc>
          <w:tcPr>
            <w:tcW w:w="2622" w:type="dxa"/>
            <w:vAlign w:val="center"/>
          </w:tcPr>
          <w:p w14:paraId="313308BC" w14:textId="77777777" w:rsidR="003951AC" w:rsidRPr="005A31BC" w:rsidRDefault="003951AC" w:rsidP="003951AC">
            <w:pPr>
              <w:jc w:val="right"/>
              <w:rPr>
                <w:rFonts w:ascii="Times New Roman" w:hAnsi="Times New Roman"/>
                <w:b/>
                <w:spacing w:val="-6"/>
                <w:sz w:val="24"/>
                <w:szCs w:val="24"/>
              </w:rPr>
            </w:pPr>
            <w:r w:rsidRPr="005A31BC">
              <w:rPr>
                <w:b/>
                <w:spacing w:val="-6"/>
              </w:rPr>
              <w:lastRenderedPageBreak/>
              <w:t>Orientación sexual</w:t>
            </w:r>
          </w:p>
        </w:tc>
        <w:tc>
          <w:tcPr>
            <w:tcW w:w="6216" w:type="dxa"/>
            <w:vAlign w:val="center"/>
          </w:tcPr>
          <w:p w14:paraId="0DE2F2C9" w14:textId="77777777" w:rsidR="003951AC" w:rsidRPr="005A31BC" w:rsidRDefault="003951AC" w:rsidP="003951AC">
            <w:pPr>
              <w:jc w:val="left"/>
              <w:rPr>
                <w:spacing w:val="-6"/>
              </w:rPr>
            </w:pPr>
            <w:r w:rsidRPr="005A31BC">
              <w:rPr>
                <w:spacing w:val="-6"/>
              </w:rPr>
              <w:t>Analiza, reconoce, visibiliza y atiende situaciones de discriminación, segregación y violencias ejercidas hacia las personas debido a su orientación sexual, identidad y expresión de género no hegemónicas. Por orientación sexual las categorías son: homosexual (hombre gay, mujer lesbiana), heterosexual y bisexual. Por identidad de género se identifican las personas transgénero (hombres y mujeres trans).</w:t>
            </w:r>
          </w:p>
        </w:tc>
      </w:tr>
      <w:tr w:rsidR="003951AC" w:rsidRPr="005A31BC" w14:paraId="7D3CF725" w14:textId="77777777" w:rsidTr="00800A7C">
        <w:trPr>
          <w:trHeight w:val="1233"/>
        </w:trPr>
        <w:tc>
          <w:tcPr>
            <w:tcW w:w="2622" w:type="dxa"/>
            <w:vAlign w:val="center"/>
          </w:tcPr>
          <w:p w14:paraId="56FC0293" w14:textId="77777777" w:rsidR="003951AC" w:rsidRPr="005A31BC" w:rsidRDefault="003951AC" w:rsidP="003951AC">
            <w:pPr>
              <w:jc w:val="right"/>
              <w:rPr>
                <w:rFonts w:ascii="Times New Roman" w:hAnsi="Times New Roman"/>
                <w:b/>
                <w:spacing w:val="-6"/>
                <w:sz w:val="24"/>
                <w:szCs w:val="24"/>
              </w:rPr>
            </w:pPr>
            <w:r w:rsidRPr="005A31BC">
              <w:rPr>
                <w:b/>
                <w:spacing w:val="-6"/>
              </w:rPr>
              <w:t>Poblaciones rurales</w:t>
            </w:r>
          </w:p>
        </w:tc>
        <w:tc>
          <w:tcPr>
            <w:tcW w:w="6216" w:type="dxa"/>
            <w:vAlign w:val="center"/>
          </w:tcPr>
          <w:p w14:paraId="1CFBA6DC" w14:textId="77777777" w:rsidR="003951AC" w:rsidRPr="005A31BC" w:rsidRDefault="003951AC" w:rsidP="003951AC">
            <w:pPr>
              <w:jc w:val="left"/>
              <w:rPr>
                <w:spacing w:val="-6"/>
              </w:rPr>
            </w:pPr>
            <w:r w:rsidRPr="005A31BC">
              <w:rPr>
                <w:spacing w:val="-6"/>
              </w:rPr>
              <w:t>Define a los sujetos que interculturalmente se definen como tal, involucrados en el trabajo directo con la tierra y la naturaleza, inmersos en formas de organización social basadas en el trabajo familiar y comunitario no remunerado o en la venta de su fuerza de trabajo.</w:t>
            </w:r>
          </w:p>
        </w:tc>
      </w:tr>
      <w:tr w:rsidR="003951AC" w:rsidRPr="005A31BC" w14:paraId="034DE93F" w14:textId="77777777" w:rsidTr="00FF1F9A">
        <w:trPr>
          <w:trHeight w:val="1240"/>
        </w:trPr>
        <w:tc>
          <w:tcPr>
            <w:tcW w:w="2622" w:type="dxa"/>
            <w:vAlign w:val="center"/>
          </w:tcPr>
          <w:p w14:paraId="26E2539C" w14:textId="77777777" w:rsidR="003951AC" w:rsidRDefault="003951AC" w:rsidP="003951AC">
            <w:pPr>
              <w:jc w:val="right"/>
              <w:rPr>
                <w:b/>
                <w:spacing w:val="-6"/>
              </w:rPr>
            </w:pPr>
            <w:r w:rsidRPr="005A31BC">
              <w:rPr>
                <w:b/>
                <w:spacing w:val="-6"/>
              </w:rPr>
              <w:t xml:space="preserve">Fenómeno </w:t>
            </w:r>
          </w:p>
          <w:p w14:paraId="53AE433D" w14:textId="77777777" w:rsidR="003951AC" w:rsidRPr="005A31BC" w:rsidRDefault="003951AC" w:rsidP="003951AC">
            <w:pPr>
              <w:jc w:val="right"/>
              <w:rPr>
                <w:b/>
                <w:spacing w:val="-6"/>
              </w:rPr>
            </w:pPr>
            <w:r w:rsidRPr="005A31BC">
              <w:rPr>
                <w:b/>
                <w:spacing w:val="-6"/>
              </w:rPr>
              <w:t>de habitabilidad en calle</w:t>
            </w:r>
          </w:p>
          <w:p w14:paraId="5F566482" w14:textId="77777777" w:rsidR="003951AC" w:rsidRPr="005A31BC" w:rsidRDefault="003951AC" w:rsidP="003951AC">
            <w:pPr>
              <w:jc w:val="right"/>
              <w:rPr>
                <w:rFonts w:ascii="Times New Roman" w:hAnsi="Times New Roman"/>
                <w:b/>
                <w:spacing w:val="-6"/>
                <w:sz w:val="24"/>
                <w:szCs w:val="24"/>
              </w:rPr>
            </w:pPr>
          </w:p>
        </w:tc>
        <w:tc>
          <w:tcPr>
            <w:tcW w:w="6216" w:type="dxa"/>
            <w:vAlign w:val="center"/>
          </w:tcPr>
          <w:p w14:paraId="105AB7E8" w14:textId="77777777" w:rsidR="003951AC" w:rsidRPr="005A31BC" w:rsidRDefault="003951AC" w:rsidP="003951AC">
            <w:pPr>
              <w:jc w:val="left"/>
              <w:rPr>
                <w:spacing w:val="-6"/>
              </w:rPr>
            </w:pPr>
            <w:r w:rsidRPr="005A31BC">
              <w:rPr>
                <w:spacing w:val="-6"/>
              </w:rPr>
              <w:t xml:space="preserve">La Política Pública Distrital para el Fenómeno de Habitabilidad en Calle, parte de la Ley 1641 de 2013 en la que se establecen los lineamientos para la formulación de la política y se definen los conceptos en torno al fenómeno de la habitabilidad en calle. </w:t>
            </w:r>
          </w:p>
        </w:tc>
      </w:tr>
      <w:tr w:rsidR="003951AC" w:rsidRPr="005A31BC" w14:paraId="405DF5EC" w14:textId="77777777" w:rsidTr="00FF1F9A">
        <w:trPr>
          <w:trHeight w:val="1683"/>
        </w:trPr>
        <w:tc>
          <w:tcPr>
            <w:tcW w:w="2622" w:type="dxa"/>
            <w:vAlign w:val="center"/>
          </w:tcPr>
          <w:p w14:paraId="5EF9BE92" w14:textId="77777777" w:rsidR="003951AC" w:rsidRDefault="003951AC" w:rsidP="003951AC">
            <w:pPr>
              <w:jc w:val="right"/>
              <w:rPr>
                <w:b/>
                <w:spacing w:val="-6"/>
              </w:rPr>
            </w:pPr>
            <w:r w:rsidRPr="005A31BC">
              <w:rPr>
                <w:b/>
                <w:spacing w:val="-6"/>
              </w:rPr>
              <w:t xml:space="preserve">Víctima del conflicto </w:t>
            </w:r>
          </w:p>
          <w:p w14:paraId="2E10D915" w14:textId="77777777" w:rsidR="003951AC" w:rsidRPr="005A31BC" w:rsidRDefault="003951AC" w:rsidP="003951AC">
            <w:pPr>
              <w:jc w:val="right"/>
              <w:rPr>
                <w:b/>
                <w:spacing w:val="-6"/>
              </w:rPr>
            </w:pPr>
            <w:r w:rsidRPr="005A31BC">
              <w:rPr>
                <w:b/>
                <w:spacing w:val="-6"/>
              </w:rPr>
              <w:t>armado</w:t>
            </w:r>
          </w:p>
          <w:p w14:paraId="5764D6A4" w14:textId="77777777" w:rsidR="003951AC" w:rsidRPr="005A31BC" w:rsidRDefault="003951AC" w:rsidP="003951AC">
            <w:pPr>
              <w:jc w:val="right"/>
              <w:rPr>
                <w:rFonts w:ascii="Times New Roman" w:hAnsi="Times New Roman"/>
                <w:b/>
                <w:spacing w:val="-6"/>
                <w:sz w:val="24"/>
                <w:szCs w:val="24"/>
              </w:rPr>
            </w:pPr>
          </w:p>
        </w:tc>
        <w:tc>
          <w:tcPr>
            <w:tcW w:w="6216" w:type="dxa"/>
            <w:vAlign w:val="center"/>
          </w:tcPr>
          <w:p w14:paraId="528B2D84" w14:textId="77777777" w:rsidR="003951AC" w:rsidRPr="005A31BC" w:rsidRDefault="003951AC" w:rsidP="003951AC">
            <w:pPr>
              <w:jc w:val="left"/>
              <w:rPr>
                <w:spacing w:val="-6"/>
              </w:rPr>
            </w:pPr>
            <w:r w:rsidRPr="005A31BC">
              <w:rPr>
                <w:spacing w:val="-6"/>
              </w:rPr>
              <w:t>Aquellas personas que individual o colectivamente hayan sufrido un daño por hechos ocurridos a partir del 1 de enero de 1985, como consecuencia de infracciones al Derecho Internacional Humanitario o de violaciones graves y manifiestas a las normas internacionales de Derechos Humanos, ocurridas con ocasión del conflicto armado interno.</w:t>
            </w:r>
          </w:p>
        </w:tc>
      </w:tr>
      <w:tr w:rsidR="003951AC" w:rsidRPr="005A31BC" w14:paraId="178D3A06" w14:textId="77777777" w:rsidTr="00FF1F9A">
        <w:trPr>
          <w:trHeight w:val="1077"/>
        </w:trPr>
        <w:tc>
          <w:tcPr>
            <w:tcW w:w="2622" w:type="dxa"/>
            <w:vAlign w:val="center"/>
          </w:tcPr>
          <w:p w14:paraId="6FB037D2" w14:textId="77777777" w:rsidR="003951AC" w:rsidRDefault="003951AC" w:rsidP="003951AC">
            <w:pPr>
              <w:jc w:val="right"/>
              <w:rPr>
                <w:b/>
                <w:spacing w:val="-6"/>
              </w:rPr>
            </w:pPr>
            <w:r w:rsidRPr="005A31BC">
              <w:rPr>
                <w:b/>
                <w:spacing w:val="-6"/>
              </w:rPr>
              <w:t xml:space="preserve">Personas desplazas </w:t>
            </w:r>
          </w:p>
          <w:p w14:paraId="565A725E" w14:textId="77777777" w:rsidR="003951AC" w:rsidRPr="005A31BC" w:rsidRDefault="003951AC" w:rsidP="003951AC">
            <w:pPr>
              <w:jc w:val="right"/>
              <w:rPr>
                <w:b/>
                <w:spacing w:val="-6"/>
              </w:rPr>
            </w:pPr>
            <w:r w:rsidRPr="005A31BC">
              <w:rPr>
                <w:b/>
                <w:spacing w:val="-6"/>
              </w:rPr>
              <w:t>transfronterizas</w:t>
            </w:r>
          </w:p>
          <w:p w14:paraId="66E25C62" w14:textId="77777777" w:rsidR="003951AC" w:rsidRPr="005A31BC" w:rsidRDefault="003951AC" w:rsidP="003951AC">
            <w:pPr>
              <w:jc w:val="right"/>
              <w:rPr>
                <w:rFonts w:ascii="Times New Roman" w:hAnsi="Times New Roman"/>
                <w:b/>
                <w:spacing w:val="-6"/>
                <w:sz w:val="24"/>
                <w:szCs w:val="24"/>
              </w:rPr>
            </w:pPr>
          </w:p>
        </w:tc>
        <w:tc>
          <w:tcPr>
            <w:tcW w:w="6216" w:type="dxa"/>
            <w:vAlign w:val="center"/>
          </w:tcPr>
          <w:p w14:paraId="14FF0C72" w14:textId="77777777" w:rsidR="003951AC" w:rsidRPr="005A31BC" w:rsidRDefault="003951AC" w:rsidP="003951AC">
            <w:pPr>
              <w:jc w:val="left"/>
              <w:rPr>
                <w:spacing w:val="-6"/>
              </w:rPr>
            </w:pPr>
            <w:r w:rsidRPr="005A31BC">
              <w:rPr>
                <w:spacing w:val="-6"/>
              </w:rPr>
              <w:t>Esta categoría orienta la actuación estatal a partir del análisis de los movimientos de las personas que cruzan individual o colectivamente las fronteras, por decisión para mejorar sus condiciones de vida o por obligación con ocasión de conflictos armados o persecución.</w:t>
            </w:r>
          </w:p>
        </w:tc>
      </w:tr>
      <w:tr w:rsidR="003951AC" w:rsidRPr="005A31BC" w14:paraId="6014670B" w14:textId="77777777" w:rsidTr="00FF1F9A">
        <w:trPr>
          <w:trHeight w:val="1252"/>
        </w:trPr>
        <w:tc>
          <w:tcPr>
            <w:tcW w:w="2622" w:type="dxa"/>
            <w:vAlign w:val="center"/>
          </w:tcPr>
          <w:p w14:paraId="1FF7AC08" w14:textId="77777777" w:rsidR="003951AC" w:rsidRPr="005A31BC" w:rsidRDefault="003951AC" w:rsidP="003951AC">
            <w:pPr>
              <w:jc w:val="right"/>
              <w:rPr>
                <w:b/>
                <w:spacing w:val="-6"/>
              </w:rPr>
            </w:pPr>
            <w:r w:rsidRPr="005A31BC">
              <w:rPr>
                <w:b/>
                <w:spacing w:val="-6"/>
              </w:rPr>
              <w:t>Relación de parentesco/afecto</w:t>
            </w:r>
          </w:p>
          <w:p w14:paraId="7B8F7D0E" w14:textId="77777777" w:rsidR="003951AC" w:rsidRPr="005A31BC" w:rsidRDefault="003951AC" w:rsidP="003951AC">
            <w:pPr>
              <w:jc w:val="right"/>
              <w:rPr>
                <w:rFonts w:ascii="Times New Roman" w:hAnsi="Times New Roman"/>
                <w:b/>
                <w:spacing w:val="-6"/>
                <w:sz w:val="24"/>
                <w:szCs w:val="24"/>
              </w:rPr>
            </w:pPr>
          </w:p>
        </w:tc>
        <w:tc>
          <w:tcPr>
            <w:tcW w:w="6216" w:type="dxa"/>
            <w:vAlign w:val="center"/>
          </w:tcPr>
          <w:p w14:paraId="4ABD6D3C" w14:textId="77777777" w:rsidR="003951AC" w:rsidRPr="005A31BC" w:rsidRDefault="003951AC" w:rsidP="003951AC">
            <w:pPr>
              <w:jc w:val="left"/>
              <w:rPr>
                <w:spacing w:val="-6"/>
              </w:rPr>
            </w:pPr>
            <w:r w:rsidRPr="005A31BC">
              <w:rPr>
                <w:spacing w:val="-6"/>
              </w:rPr>
              <w:t>Hace referencia al vínculo, conexión o unión que puede darse entre dos o más personas que pueden compartir una relación de consanguinidad o de afinidad afectiva, o por disposición del marco legal vigente. En esta se relaciona la subcategoría de familia.</w:t>
            </w:r>
          </w:p>
        </w:tc>
      </w:tr>
    </w:tbl>
    <w:p w14:paraId="09C1FF72" w14:textId="77777777" w:rsidR="008C3A64" w:rsidRPr="005A31BC" w:rsidRDefault="008C3A64" w:rsidP="003951AC">
      <w:pPr>
        <w:pStyle w:val="figuratitulo"/>
        <w:spacing w:after="240"/>
        <w:rPr>
          <w:color w:val="3B3838" w:themeColor="background2" w:themeShade="40"/>
          <w:spacing w:val="-6"/>
        </w:rPr>
      </w:pPr>
      <w:r w:rsidRPr="005A31BC">
        <w:rPr>
          <w:b/>
          <w:bCs/>
          <w:color w:val="3B3838" w:themeColor="background2" w:themeShade="40"/>
          <w:spacing w:val="-6"/>
        </w:rPr>
        <w:t>Fuente:</w:t>
      </w:r>
      <w:r w:rsidRPr="005A31BC">
        <w:rPr>
          <w:color w:val="3B3838" w:themeColor="background2" w:themeShade="40"/>
          <w:spacing w:val="-6"/>
        </w:rPr>
        <w:t xml:space="preserve"> Alcaldía de Bogotá (2021, pp. 13-26).</w:t>
      </w:r>
    </w:p>
    <w:p w14:paraId="727161D9" w14:textId="77777777" w:rsidR="008C3A64" w:rsidRPr="005A31BC" w:rsidRDefault="008C3A64" w:rsidP="008C3A64">
      <w:pPr>
        <w:pStyle w:val="figuratitulo"/>
        <w:rPr>
          <w:color w:val="3B3838" w:themeColor="background2" w:themeShade="40"/>
          <w:spacing w:val="-6"/>
        </w:rPr>
      </w:pPr>
    </w:p>
    <w:p w14:paraId="02C3ACD5" w14:textId="77777777" w:rsidR="008C3A64" w:rsidRPr="005A31BC" w:rsidRDefault="008C3A64" w:rsidP="008C3A64">
      <w:pPr>
        <w:pStyle w:val="figuratitulo"/>
        <w:rPr>
          <w:color w:val="3B3838" w:themeColor="background2" w:themeShade="40"/>
          <w:spacing w:val="-6"/>
        </w:rPr>
      </w:pPr>
    </w:p>
    <w:p w14:paraId="27CA298B" w14:textId="77777777" w:rsidR="008C3A64" w:rsidRPr="005A31BC" w:rsidRDefault="008C3A64" w:rsidP="008C3A64">
      <w:pPr>
        <w:pStyle w:val="figuratitulo"/>
        <w:rPr>
          <w:color w:val="3B3838" w:themeColor="background2" w:themeShade="40"/>
          <w:spacing w:val="-6"/>
        </w:rPr>
        <w:sectPr w:rsidR="008C3A64" w:rsidRPr="005A31BC" w:rsidSect="00F7078E">
          <w:type w:val="continuous"/>
          <w:pgSz w:w="12240" w:h="15840"/>
          <w:pgMar w:top="2262" w:right="1440" w:bottom="1440" w:left="1440" w:header="708" w:footer="708" w:gutter="0"/>
          <w:cols w:space="720"/>
        </w:sectPr>
      </w:pPr>
    </w:p>
    <w:p w14:paraId="11A87BE3" w14:textId="77777777" w:rsidR="008C3A64" w:rsidRPr="00800A7C" w:rsidRDefault="008C3A64" w:rsidP="008C3A64">
      <w:pPr>
        <w:rPr>
          <w:rFonts w:cs="Times New Roman (Cuerpo en alfa"/>
          <w:szCs w:val="28"/>
        </w:rPr>
      </w:pPr>
      <w:r w:rsidRPr="00800A7C">
        <w:rPr>
          <w:rFonts w:cs="Times New Roman (Cuerpo en alfa"/>
          <w:szCs w:val="28"/>
        </w:rPr>
        <w:t xml:space="preserve">Es importante mencionar que las acciones de la Administración se encaminan bajo una </w:t>
      </w:r>
      <w:r w:rsidRPr="00800A7C">
        <w:rPr>
          <w:rFonts w:cs="Times New Roman (Cuerpo en alfa"/>
          <w:bCs/>
          <w:i/>
          <w:iCs/>
          <w:szCs w:val="28"/>
        </w:rPr>
        <w:t>mirada interseccional</w:t>
      </w:r>
      <w:r w:rsidRPr="00800A7C">
        <w:rPr>
          <w:rFonts w:cs="Times New Roman (Cuerpo en alfa"/>
          <w:szCs w:val="28"/>
        </w:rPr>
        <w:t>, comprendiendo que sobre una sola persona o grupo poblacional recaen múltiples opresiones, discriminaciones y brechas que limitan o le permiten avanzar en la garantía de sus derechos y oportunidades.</w:t>
      </w:r>
    </w:p>
    <w:p w14:paraId="727BB9EA" w14:textId="77777777" w:rsidR="008C3A64" w:rsidRPr="00800A7C" w:rsidRDefault="008C3A64" w:rsidP="008C3A64">
      <w:pPr>
        <w:rPr>
          <w:rFonts w:cs="Times New Roman (Cuerpo en alfa"/>
          <w:szCs w:val="28"/>
        </w:rPr>
      </w:pPr>
      <w:r w:rsidRPr="00800A7C">
        <w:rPr>
          <w:rFonts w:cs="Times New Roman (Cuerpo en alfa"/>
          <w:szCs w:val="28"/>
        </w:rPr>
        <w:t xml:space="preserve">Teniendo en cuenta el compromiso de esta Administración con la seguridad, el </w:t>
      </w:r>
      <w:r w:rsidRPr="00800A7C">
        <w:rPr>
          <w:rFonts w:cs="Times New Roman (Cuerpo en alfa"/>
          <w:bCs/>
          <w:i/>
          <w:iCs/>
          <w:szCs w:val="28"/>
        </w:rPr>
        <w:t>enfoque de seguridad humana</w:t>
      </w:r>
      <w:r w:rsidRPr="00800A7C">
        <w:rPr>
          <w:rFonts w:cs="Times New Roman (Cuerpo en alfa"/>
          <w:b/>
          <w:szCs w:val="28"/>
        </w:rPr>
        <w:t xml:space="preserve"> </w:t>
      </w:r>
      <w:r w:rsidRPr="00800A7C">
        <w:rPr>
          <w:rFonts w:cs="Times New Roman (Cuerpo en alfa"/>
          <w:szCs w:val="28"/>
        </w:rPr>
        <w:t xml:space="preserve">se incorpora a aquellas acciones dirigidas a atender la preocupación por proteger la vida y la dignidad humana, reconociendo la existencia de amenazas estructurales que experimentan las personas como la </w:t>
      </w:r>
      <w:r w:rsidRPr="00800A7C">
        <w:rPr>
          <w:rFonts w:cs="Times New Roman (Cuerpo en alfa"/>
          <w:szCs w:val="28"/>
        </w:rPr>
        <w:lastRenderedPageBreak/>
        <w:t>pobreza, la amenaza y la desprotección a los derechos humanos.</w:t>
      </w:r>
    </w:p>
    <w:p w14:paraId="0F983940" w14:textId="77777777" w:rsidR="008C3A64" w:rsidRPr="00800A7C" w:rsidRDefault="008C3A64" w:rsidP="008C3A64">
      <w:pPr>
        <w:rPr>
          <w:rFonts w:cs="Times New Roman (Cuerpo en alfa"/>
          <w:szCs w:val="28"/>
        </w:rPr>
      </w:pPr>
    </w:p>
    <w:p w14:paraId="5DD90DD0" w14:textId="77777777" w:rsidR="008C3A64" w:rsidRPr="00800A7C" w:rsidRDefault="008C3A64" w:rsidP="008C3A64">
      <w:pPr>
        <w:rPr>
          <w:rFonts w:cs="Times New Roman (Cuerpo en alfa"/>
          <w:szCs w:val="28"/>
        </w:rPr>
      </w:pPr>
      <w:r w:rsidRPr="00800A7C">
        <w:rPr>
          <w:rFonts w:cs="Times New Roman (Cuerpo en alfa"/>
          <w:szCs w:val="28"/>
        </w:rPr>
        <w:t xml:space="preserve">A través del </w:t>
      </w:r>
      <w:r w:rsidRPr="00800A7C">
        <w:rPr>
          <w:rFonts w:cs="Times New Roman (Cuerpo en alfa"/>
          <w:bCs/>
          <w:i/>
          <w:iCs/>
          <w:szCs w:val="28"/>
        </w:rPr>
        <w:t>enfoque de cultura ciudadana</w:t>
      </w:r>
      <w:r w:rsidRPr="00800A7C">
        <w:rPr>
          <w:rFonts w:cs="Times New Roman (Cuerpo en alfa"/>
          <w:b/>
          <w:szCs w:val="28"/>
        </w:rPr>
        <w:t xml:space="preserve"> </w:t>
      </w:r>
      <w:r w:rsidRPr="00800A7C">
        <w:rPr>
          <w:rFonts w:cs="Times New Roman (Cuerpo en alfa"/>
          <w:szCs w:val="28"/>
        </w:rPr>
        <w:t>se implementan acciones que</w:t>
      </w:r>
      <w:r w:rsidRPr="00800A7C">
        <w:rPr>
          <w:rFonts w:cs="Times New Roman (Cuerpo en alfa"/>
          <w:b/>
          <w:szCs w:val="28"/>
        </w:rPr>
        <w:t xml:space="preserve"> </w:t>
      </w:r>
      <w:r w:rsidRPr="00800A7C">
        <w:rPr>
          <w:rFonts w:cs="Times New Roman (Cuerpo en alfa"/>
          <w:szCs w:val="28"/>
        </w:rPr>
        <w:t>fomenten la participación y el compromiso de las personas en los retos de transformación cultural, comprendiendo que: “muchas de las causas que explican algunos de los principales problemas de la ciudad, así como, las oportunidades de cambio dependen de la corresponsabilidad, la participación y la agencia ciudadana y del trabajo articulado intersectorial de y con la administración pública” (Alcaldía Mayor de Bogotá, 2022a, p. 5).</w:t>
      </w:r>
    </w:p>
    <w:p w14:paraId="6AF3BBED" w14:textId="77777777" w:rsidR="008C3A64" w:rsidRPr="00800A7C" w:rsidRDefault="008C3A64" w:rsidP="008C3A64">
      <w:pPr>
        <w:rPr>
          <w:rFonts w:cs="Times New Roman (Cuerpo en alfa"/>
          <w:szCs w:val="28"/>
        </w:rPr>
      </w:pPr>
    </w:p>
    <w:p w14:paraId="237D6B5C" w14:textId="77777777" w:rsidR="008C3A64" w:rsidRPr="00800A7C" w:rsidRDefault="008C3A64" w:rsidP="008C3A64">
      <w:pPr>
        <w:rPr>
          <w:rFonts w:cs="Times New Roman (Cuerpo en alfa"/>
          <w:szCs w:val="28"/>
        </w:rPr>
      </w:pPr>
      <w:r w:rsidRPr="00800A7C">
        <w:rPr>
          <w:rFonts w:cs="Times New Roman (Cuerpo en alfa"/>
          <w:szCs w:val="28"/>
        </w:rPr>
        <w:t xml:space="preserve">En el marco del cambio climático, Bogotá ha comprendido la importancia y necesidad de que las acciones que se planteen en términos de desarrollo se dirijan a entender el ambiente como un sistema en el que los elementos naturales y sociales que lo integran se encuentren e interrelacionen. Por esto, las acciones que se desarrollen responderán a la comprensión de las estructuras complejas del ambiente y la integración entre los aspectos físicos, biológicos, sociales, culturales y económicos, garantizando un desarrollo sostenible, es decir, donde las acciones que se implementen se den bajo un </w:t>
      </w:r>
      <w:r w:rsidRPr="00800A7C">
        <w:rPr>
          <w:rFonts w:cs="Times New Roman (Cuerpo en alfa"/>
          <w:bCs/>
          <w:i/>
          <w:iCs/>
          <w:szCs w:val="28"/>
        </w:rPr>
        <w:t>enfoque ambiental</w:t>
      </w:r>
      <w:r w:rsidRPr="00800A7C">
        <w:rPr>
          <w:rFonts w:cs="Times New Roman (Cuerpo en alfa"/>
          <w:szCs w:val="28"/>
        </w:rPr>
        <w:t xml:space="preserve"> para que, en el corto, mediano y largo plazo, se logre la preservación de la vida de todas y todos.</w:t>
      </w:r>
    </w:p>
    <w:p w14:paraId="1D8C706E" w14:textId="77777777" w:rsidR="008C3A64" w:rsidRPr="00800A7C" w:rsidRDefault="008C3A64" w:rsidP="008C3A64">
      <w:pPr>
        <w:rPr>
          <w:rFonts w:cs="Times New Roman (Cuerpo en alfa"/>
          <w:szCs w:val="28"/>
        </w:rPr>
      </w:pPr>
    </w:p>
    <w:p w14:paraId="2FC1F4CB" w14:textId="77777777" w:rsidR="008C3A64" w:rsidRPr="00800A7C" w:rsidRDefault="008C3A64" w:rsidP="008C3A64">
      <w:pPr>
        <w:rPr>
          <w:rFonts w:cs="Times New Roman (Cuerpo en alfa"/>
          <w:szCs w:val="28"/>
        </w:rPr>
      </w:pPr>
      <w:r w:rsidRPr="00800A7C">
        <w:rPr>
          <w:rFonts w:cs="Times New Roman (Cuerpo en alfa"/>
          <w:szCs w:val="28"/>
        </w:rPr>
        <w:t xml:space="preserve">La actual Administración Distrital reconoce que los derechos humanos se materializan en el territorio, por esto, mediante el </w:t>
      </w:r>
      <w:r w:rsidRPr="00800A7C">
        <w:rPr>
          <w:rFonts w:cs="Times New Roman (Cuerpo en alfa"/>
          <w:bCs/>
          <w:i/>
          <w:iCs/>
          <w:szCs w:val="28"/>
        </w:rPr>
        <w:t>enfoque territorial</w:t>
      </w:r>
      <w:r w:rsidRPr="00800A7C">
        <w:rPr>
          <w:rFonts w:cs="Times New Roman (Cuerpo en alfa"/>
          <w:szCs w:val="28"/>
        </w:rPr>
        <w:t xml:space="preserve"> se comprende la importancia del espacio geográfico en el cual las relaciones socioculturales de los grupos humanos se construyen a través de prácticas, percepciones, valoraciones y competencias que generan una relación de complementariedad y de reciprocidad, pero también de confrontación necesaria.</w:t>
      </w:r>
    </w:p>
    <w:p w14:paraId="3ED8D880" w14:textId="77777777" w:rsidR="008C3A64" w:rsidRPr="00800A7C" w:rsidRDefault="008C3A64" w:rsidP="008C3A64">
      <w:pPr>
        <w:rPr>
          <w:rFonts w:cs="Times New Roman (Cuerpo en alfa"/>
          <w:szCs w:val="28"/>
        </w:rPr>
      </w:pPr>
    </w:p>
    <w:p w14:paraId="1FF68EA7" w14:textId="430E4EA1" w:rsidR="008C3A64" w:rsidRPr="00800A7C" w:rsidRDefault="008C3A64" w:rsidP="008C3A64">
      <w:pPr>
        <w:rPr>
          <w:rFonts w:cs="Times New Roman (Cuerpo en alfa"/>
          <w:bCs/>
          <w:i/>
          <w:iCs/>
          <w:szCs w:val="28"/>
        </w:rPr>
        <w:sectPr w:rsidR="008C3A64" w:rsidRPr="00800A7C" w:rsidSect="00F7078E">
          <w:type w:val="continuous"/>
          <w:pgSz w:w="12240" w:h="15840"/>
          <w:pgMar w:top="2262" w:right="1440" w:bottom="1440" w:left="1440" w:header="708" w:footer="708" w:gutter="0"/>
          <w:cols w:num="2" w:space="567"/>
          <w:docGrid w:linePitch="299"/>
        </w:sectPr>
      </w:pPr>
      <w:r w:rsidRPr="00800A7C">
        <w:rPr>
          <w:rFonts w:cs="Times New Roman (Cuerpo en alfa"/>
          <w:szCs w:val="28"/>
        </w:rPr>
        <w:t xml:space="preserve">Por lo tanto, uno de los énfasis de trabajo que se plantean en el nuevo Plan de Desarrollo es, para el caso regional, una coordinación con actores del sector público y privado que permitan gestionar, concertar e implementar procesos entre los municipios que </w:t>
      </w:r>
      <w:r w:rsidR="00E14655">
        <w:rPr>
          <w:rFonts w:cs="Times New Roman (Cuerpo en alfa"/>
          <w:szCs w:val="28"/>
        </w:rPr>
        <w:t>presenten mayores relaciones funcionales con</w:t>
      </w:r>
      <w:r w:rsidRPr="00800A7C">
        <w:rPr>
          <w:rFonts w:cs="Times New Roman (Cuerpo en alfa"/>
          <w:szCs w:val="28"/>
        </w:rPr>
        <w:t xml:space="preserve"> Bogotá</w:t>
      </w:r>
      <w:r w:rsidR="00E14655">
        <w:rPr>
          <w:rFonts w:cs="Times New Roman (Cuerpo en alfa"/>
          <w:szCs w:val="28"/>
        </w:rPr>
        <w:t xml:space="preserve"> </w:t>
      </w:r>
      <w:r w:rsidRPr="00800A7C">
        <w:rPr>
          <w:rFonts w:cs="Times New Roman (Cuerpo en alfa"/>
          <w:szCs w:val="28"/>
        </w:rPr>
        <w:t xml:space="preserve">para atender los temas que tienen impactos comunes en lo urbano-rural en aspectos de tipo: social, económico, cultural, ambiental y territorial y que inciden en el desarrollo ordenado, conectado y sostenible, desde un </w:t>
      </w:r>
      <w:r w:rsidRPr="00800A7C">
        <w:rPr>
          <w:rFonts w:cs="Times New Roman (Cuerpo en alfa"/>
          <w:bCs/>
          <w:i/>
          <w:iCs/>
          <w:szCs w:val="28"/>
        </w:rPr>
        <w:t xml:space="preserve">enfoque </w:t>
      </w:r>
      <w:r w:rsidR="00E14655">
        <w:rPr>
          <w:rFonts w:cs="Times New Roman (Cuerpo en alfa"/>
          <w:bCs/>
          <w:i/>
          <w:iCs/>
          <w:szCs w:val="28"/>
        </w:rPr>
        <w:t>r</w:t>
      </w:r>
      <w:r w:rsidRPr="00800A7C">
        <w:rPr>
          <w:rFonts w:cs="Times New Roman (Cuerpo en alfa"/>
          <w:bCs/>
          <w:i/>
          <w:iCs/>
          <w:szCs w:val="28"/>
        </w:rPr>
        <w:t>egi</w:t>
      </w:r>
      <w:r w:rsidR="00E14655">
        <w:rPr>
          <w:rFonts w:cs="Times New Roman (Cuerpo en alfa"/>
          <w:bCs/>
          <w:i/>
          <w:iCs/>
          <w:szCs w:val="28"/>
        </w:rPr>
        <w:t>o</w:t>
      </w:r>
      <w:r w:rsidRPr="00800A7C">
        <w:rPr>
          <w:rFonts w:cs="Times New Roman (Cuerpo en alfa"/>
          <w:bCs/>
          <w:i/>
          <w:iCs/>
          <w:szCs w:val="28"/>
        </w:rPr>
        <w:t>n</w:t>
      </w:r>
      <w:r w:rsidR="00E14655">
        <w:rPr>
          <w:rFonts w:cs="Times New Roman (Cuerpo en alfa"/>
          <w:bCs/>
          <w:i/>
          <w:iCs/>
          <w:szCs w:val="28"/>
        </w:rPr>
        <w:t>al</w:t>
      </w:r>
      <w:r w:rsidRPr="00800A7C">
        <w:rPr>
          <w:rFonts w:cs="Times New Roman (Cuerpo en alfa"/>
          <w:bCs/>
          <w:i/>
          <w:iCs/>
          <w:szCs w:val="28"/>
        </w:rPr>
        <w:t>.</w:t>
      </w:r>
    </w:p>
    <w:p w14:paraId="534667DE" w14:textId="4F0B90AE" w:rsidR="00800A7C" w:rsidRDefault="00800A7C" w:rsidP="00800A7C">
      <w:pPr>
        <w:rPr>
          <w:rFonts w:eastAsiaTheme="minorHAnsi"/>
          <w:lang w:eastAsia="en-US"/>
        </w:rPr>
      </w:pPr>
    </w:p>
    <w:p w14:paraId="09BA45AC" w14:textId="77777777" w:rsidR="00800A7C" w:rsidRPr="00800A7C" w:rsidRDefault="00800A7C" w:rsidP="00800A7C">
      <w:pPr>
        <w:rPr>
          <w:rFonts w:eastAsiaTheme="minorHAnsi"/>
          <w:lang w:eastAsia="en-US"/>
        </w:rPr>
      </w:pPr>
    </w:p>
    <w:p w14:paraId="75E3BBD9" w14:textId="77777777" w:rsidR="008C3A64" w:rsidRDefault="008C3A64" w:rsidP="008C3A64">
      <w:pPr>
        <w:rPr>
          <w:rFonts w:eastAsiaTheme="minorHAnsi"/>
          <w:lang w:eastAsia="en-US"/>
        </w:rPr>
      </w:pPr>
    </w:p>
    <w:p w14:paraId="50CB6293" w14:textId="035F30E7" w:rsidR="008C3A64" w:rsidRPr="008C3A64" w:rsidRDefault="008C3A64" w:rsidP="008C3A64">
      <w:pPr>
        <w:rPr>
          <w:rFonts w:eastAsiaTheme="minorHAnsi"/>
          <w:lang w:eastAsia="en-US"/>
        </w:rPr>
        <w:sectPr w:rsidR="008C3A64" w:rsidRPr="008C3A64" w:rsidSect="00F7078E">
          <w:type w:val="continuous"/>
          <w:pgSz w:w="12240" w:h="15840"/>
          <w:pgMar w:top="2262" w:right="1440" w:bottom="1440" w:left="1440" w:header="708" w:footer="708" w:gutter="0"/>
          <w:cols w:num="2" w:space="567"/>
          <w:docGrid w:linePitch="299"/>
        </w:sectPr>
      </w:pPr>
    </w:p>
    <w:p w14:paraId="25918D4D" w14:textId="77777777" w:rsidR="008C3A64" w:rsidRPr="005A31BC" w:rsidRDefault="008C3A64" w:rsidP="00F475AA">
      <w:pPr>
        <w:pStyle w:val="Ttulo3"/>
        <w:rPr>
          <w:rFonts w:eastAsiaTheme="minorHAnsi"/>
        </w:rPr>
      </w:pPr>
      <w:bookmarkStart w:id="77" w:name="_Toc165169739"/>
      <w:r w:rsidRPr="005A31BC">
        <w:rPr>
          <w:rFonts w:eastAsiaTheme="minorHAnsi"/>
        </w:rPr>
        <w:t>Diagnóstico</w:t>
      </w:r>
      <w:bookmarkEnd w:id="77"/>
    </w:p>
    <w:p w14:paraId="5BE68C07"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708" w:gutter="0"/>
          <w:cols w:space="567"/>
          <w:docGrid w:linePitch="299"/>
        </w:sectPr>
      </w:pPr>
    </w:p>
    <w:p w14:paraId="3696C634" w14:textId="77777777" w:rsidR="008C3A64" w:rsidRPr="00800A7C" w:rsidRDefault="008C3A64" w:rsidP="00673C01">
      <w:r w:rsidRPr="00800A7C">
        <w:t>Las entidades del orden nacional y distrital producen información que permite tener un acercamiento y lectura de los fenómenos y problemáticas sociales de la población que habita Bogotá, con la cual se identifican las afectaciones e impactos diferenciales teniendo en cuenta las variables de sexo, género, condición, situación, entre otros, y contribuye a reconocer que una misma problemática requiere un manejo diferenciado para garantizar de manera eficaz los derechos de toda la población.</w:t>
      </w:r>
    </w:p>
    <w:p w14:paraId="513E94AD" w14:textId="77777777" w:rsidR="008C3A64" w:rsidRPr="00800A7C" w:rsidRDefault="008C3A64" w:rsidP="00673C01"/>
    <w:p w14:paraId="68DA9E3E" w14:textId="77777777" w:rsidR="008C3A64" w:rsidRPr="00800A7C" w:rsidRDefault="008C3A64" w:rsidP="00673C01">
      <w:r w:rsidRPr="00800A7C">
        <w:t xml:space="preserve">El desplazamiento interno y transfronterizo, sumado a la pertenencia a grupos étnicos e </w:t>
      </w:r>
      <w:r w:rsidRPr="00800A7C">
        <w:t>indígenas, el reconocimiento como personas trans, la no satisfacción de necesidades básicas, entre otros, son algunos de los aspectos que plantean problemáticas alrededor de la desigualdad social y de factores sociales, culturales, económicos y políticos que agudizan las expresiones de discriminación y segregación para ciertos grupos poblacionales y sectores sociales.</w:t>
      </w:r>
    </w:p>
    <w:p w14:paraId="25F591DB" w14:textId="77777777" w:rsidR="008C3A64" w:rsidRPr="00800A7C" w:rsidRDefault="008C3A64" w:rsidP="00673C01"/>
    <w:p w14:paraId="58E95686" w14:textId="77777777" w:rsidR="008C3A64" w:rsidRPr="00800A7C" w:rsidRDefault="008C3A64" w:rsidP="00673C01">
      <w:r w:rsidRPr="00800A7C">
        <w:t xml:space="preserve">La existencia de brechas territoriales, poblacionales, ambientales, culturales y de género requieren una gestión pública acorde con las realidades sociales que garanticen los derechos </w:t>
      </w:r>
      <w:r w:rsidRPr="00800A7C">
        <w:lastRenderedPageBreak/>
        <w:t>humanos en la ciudadanía, eliminando barreras que impidan potencializar las capacidades e impactos para un desarrollo territorial sostenible.</w:t>
      </w:r>
    </w:p>
    <w:p w14:paraId="0AA935F7" w14:textId="77777777" w:rsidR="008C3A64" w:rsidRPr="00800A7C" w:rsidRDefault="008C3A64" w:rsidP="00673C01"/>
    <w:p w14:paraId="1887EBB2" w14:textId="77777777" w:rsidR="008C3A64" w:rsidRPr="00800A7C" w:rsidRDefault="008C3A64" w:rsidP="00673C01">
      <w:r w:rsidRPr="00800A7C">
        <w:t xml:space="preserve">Este diagnóstico toma como base la información contenida en las caracterizaciones </w:t>
      </w:r>
      <w:r w:rsidRPr="00800A7C">
        <w:t>realizadas en los documentos de Diagnóstico y Factores Estratégicos para la formulación de la Políticas Públicas y la Encuesta Multipropósito de Bogotá de 2021.</w:t>
      </w:r>
    </w:p>
    <w:p w14:paraId="3169D086" w14:textId="77777777" w:rsidR="008C3A64" w:rsidRPr="00800A7C" w:rsidRDefault="008C3A64" w:rsidP="008C3A64">
      <w:pPr>
        <w:rPr>
          <w:rFonts w:cs="Times New Roman (Cuerpo en alfa"/>
          <w:spacing w:val="-6"/>
          <w:szCs w:val="28"/>
        </w:rPr>
        <w:sectPr w:rsidR="008C3A64" w:rsidRPr="00800A7C" w:rsidSect="00F7078E">
          <w:footerReference w:type="default" r:id="rId51"/>
          <w:type w:val="continuous"/>
          <w:pgSz w:w="12240" w:h="15840"/>
          <w:pgMar w:top="2262" w:right="1440" w:bottom="1440" w:left="1440" w:header="708" w:footer="708" w:gutter="0"/>
          <w:cols w:num="2" w:space="567"/>
        </w:sectPr>
      </w:pPr>
    </w:p>
    <w:p w14:paraId="43717BBF" w14:textId="77777777" w:rsidR="008C3A64" w:rsidRPr="005A31BC" w:rsidRDefault="008C3A64" w:rsidP="008C3A64">
      <w:pPr>
        <w:rPr>
          <w:rFonts w:cs="Times New Roman (Cuerpo en alfa"/>
          <w:spacing w:val="-6"/>
        </w:rPr>
      </w:pPr>
    </w:p>
    <w:p w14:paraId="73A52AC5" w14:textId="77777777" w:rsidR="008C3A64" w:rsidRPr="005A31BC" w:rsidRDefault="008C3A64" w:rsidP="008C3A64">
      <w:pPr>
        <w:rPr>
          <w:rFonts w:cs="Times New Roman (Cuerpo en alfa"/>
          <w:spacing w:val="-6"/>
        </w:rPr>
      </w:pPr>
    </w:p>
    <w:p w14:paraId="2266C659" w14:textId="16969F13" w:rsidR="008C3A64" w:rsidRPr="004478C6" w:rsidRDefault="008C3A64" w:rsidP="009F61C7">
      <w:pPr>
        <w:pStyle w:val="subnumeros"/>
        <w:numPr>
          <w:ilvl w:val="0"/>
          <w:numId w:val="0"/>
        </w:numPr>
        <w:ind w:left="1145" w:hanging="720"/>
        <w:outlineLvl w:val="9"/>
      </w:pPr>
      <w:r w:rsidRPr="004478C6">
        <w:t>Género</w:t>
      </w:r>
    </w:p>
    <w:p w14:paraId="5BD404B2" w14:textId="77777777" w:rsidR="008C3A64" w:rsidRPr="005A31BC" w:rsidRDefault="008C3A64" w:rsidP="008C3A64">
      <w:pPr>
        <w:spacing w:line="259" w:lineRule="auto"/>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space="720"/>
        </w:sectPr>
      </w:pPr>
    </w:p>
    <w:p w14:paraId="6FC4FBA0" w14:textId="77777777" w:rsidR="008C3A64" w:rsidRPr="00673C01" w:rsidRDefault="008C3A64" w:rsidP="00673C01">
      <w:pPr>
        <w:rPr>
          <w:rFonts w:eastAsia="Calibri"/>
          <w:spacing w:val="-6"/>
          <w:lang w:eastAsia="es-MX"/>
        </w:rPr>
      </w:pPr>
      <w:r w:rsidRPr="00673C01">
        <w:rPr>
          <w:rFonts w:eastAsia="Calibri"/>
          <w:spacing w:val="-6"/>
          <w:lang w:eastAsia="es-MX"/>
        </w:rPr>
        <w:t>Bogotá ha adoptado la normativa nacional y los compromisos internacionales para asegurar los derechos de todas las mujeres que residen en la ciudad.</w:t>
      </w:r>
    </w:p>
    <w:p w14:paraId="72F61698" w14:textId="77777777" w:rsidR="008C3A64" w:rsidRPr="00673C01" w:rsidRDefault="008C3A64" w:rsidP="00673C01">
      <w:pPr>
        <w:rPr>
          <w:rFonts w:eastAsia="Calibri"/>
          <w:spacing w:val="-6"/>
          <w:lang w:eastAsia="es-MX"/>
        </w:rPr>
      </w:pPr>
    </w:p>
    <w:p w14:paraId="65CDAD98" w14:textId="77777777" w:rsidR="008C3A64" w:rsidRPr="00673C01" w:rsidRDefault="008C3A64" w:rsidP="00673C01">
      <w:pPr>
        <w:rPr>
          <w:rFonts w:eastAsia="Calibri"/>
          <w:spacing w:val="-6"/>
          <w:lang w:eastAsia="es-MX"/>
        </w:rPr>
      </w:pPr>
      <w:r w:rsidRPr="00673C01">
        <w:rPr>
          <w:rFonts w:eastAsia="Calibri"/>
          <w:spacing w:val="-6"/>
          <w:lang w:eastAsia="es-MX"/>
        </w:rPr>
        <w:t xml:space="preserve">El compromiso de garantizar los derechos de las mujeres en Bogotá se ve reflejado en el Acuerdo 490 de 2012, que estableció la creación del Sector Administrativo Mujeres y la Secretaría Distrital de la Mujer. Estas entidades fueron creadas con el propósito de liderar, dirigir, coordinar, articular y ejecutar políticas públicas para las mujeres. Además, este acuerdo se complementa con la actualización de la Política Pública de Mujeres y Equidad de Género 2020-2030, aprobada en el CONPES 14 de 2021, la cual está orientada a reconocer, garantizar y restablecer los derechos de las mujeres en el Distrito Capital. </w:t>
      </w:r>
    </w:p>
    <w:p w14:paraId="6E6F5A43" w14:textId="77777777" w:rsidR="008C3A64" w:rsidRPr="00673C01" w:rsidRDefault="008C3A64" w:rsidP="00673C01">
      <w:pPr>
        <w:rPr>
          <w:rFonts w:eastAsia="Calibri"/>
          <w:spacing w:val="-6"/>
          <w:lang w:eastAsia="es-MX"/>
        </w:rPr>
      </w:pPr>
    </w:p>
    <w:p w14:paraId="1E897B1C" w14:textId="3CAA5AEF" w:rsidR="008C3A64" w:rsidRPr="00673C01" w:rsidRDefault="008C3A64" w:rsidP="00673C01">
      <w:pPr>
        <w:rPr>
          <w:rFonts w:eastAsia="Calibri"/>
          <w:spacing w:val="-6"/>
          <w:lang w:eastAsia="es-MX"/>
        </w:rPr>
      </w:pPr>
      <w:r w:rsidRPr="00673C01">
        <w:rPr>
          <w:rFonts w:eastAsia="Calibri"/>
          <w:spacing w:val="-6"/>
          <w:lang w:eastAsia="es-MX"/>
        </w:rPr>
        <w:t>Se busca modificar de manera progresiva y sostenible las condiciones de discriminación, desigualdad y subordinación de género en los ámbitos público y privado, además de contribuir a que las mujeres vivan libres de violencia en diversos contextos. Los avances se evidencian en el reconocimiento institucional y normativo, la participación ciudadana y la integración de enfoques de género en la planificación administrativa del Distrito Capital.</w:t>
      </w:r>
    </w:p>
    <w:p w14:paraId="1B44A150" w14:textId="77777777" w:rsidR="008C3A64" w:rsidRPr="00673C01" w:rsidRDefault="008C3A64" w:rsidP="00673C01">
      <w:pPr>
        <w:rPr>
          <w:rFonts w:eastAsia="Calibri"/>
          <w:spacing w:val="-6"/>
          <w:lang w:eastAsia="es-MX"/>
        </w:rPr>
      </w:pPr>
    </w:p>
    <w:p w14:paraId="52C1B8BB" w14:textId="566E0222" w:rsidR="008C3A64" w:rsidRPr="00673C01" w:rsidRDefault="008C3A64" w:rsidP="00673C01">
      <w:pPr>
        <w:rPr>
          <w:rFonts w:eastAsia="Calibri"/>
          <w:spacing w:val="-6"/>
          <w:lang w:eastAsia="es-MX"/>
        </w:rPr>
        <w:sectPr w:rsidR="008C3A64" w:rsidRPr="00673C01" w:rsidSect="00F7078E">
          <w:type w:val="continuous"/>
          <w:pgSz w:w="12240" w:h="15840"/>
          <w:pgMar w:top="2262" w:right="1440" w:bottom="1440" w:left="1440" w:header="708" w:footer="708" w:gutter="0"/>
          <w:cols w:num="2" w:space="567"/>
        </w:sectPr>
      </w:pPr>
      <w:r w:rsidRPr="00673C01">
        <w:rPr>
          <w:rFonts w:eastAsia="Calibri"/>
          <w:spacing w:val="-6"/>
          <w:lang w:eastAsia="es-MX"/>
        </w:rPr>
        <w:t>Es importante reconocer los avances y logros en la garantía de derechos de las mujeres; sin embargo, persisten inequidades, barreras, desigualdades, discriminación, subordinación de género y violencias contra las mujeres que limitan el ejercicio pleno de sus derechos. Por lo tanto, es fundamental brindar una respuesta articulada e integral a las problemáticas que enfrentan las mujeres en Bogotá</w:t>
      </w:r>
      <w:r w:rsidR="00673C01">
        <w:rPr>
          <w:rFonts w:eastAsia="Calibri"/>
          <w:spacing w:val="-6"/>
          <w:lang w:eastAsia="es-MX"/>
        </w:rPr>
        <w:t>.</w:t>
      </w:r>
    </w:p>
    <w:p w14:paraId="530EA195" w14:textId="77777777" w:rsidR="008C3A64" w:rsidRPr="00CD5E15" w:rsidRDefault="008C3A64" w:rsidP="0084370C">
      <w:pPr>
        <w:pStyle w:val="subnumeros"/>
        <w:numPr>
          <w:ilvl w:val="0"/>
          <w:numId w:val="0"/>
        </w:numPr>
        <w:ind w:left="1145" w:hanging="720"/>
        <w:outlineLvl w:val="9"/>
        <w:rPr>
          <w:rFonts w:eastAsia="Arial"/>
        </w:rPr>
        <w:sectPr w:rsidR="008C3A64" w:rsidRPr="00CD5E15" w:rsidSect="00F7078E">
          <w:type w:val="continuous"/>
          <w:pgSz w:w="12240" w:h="15840"/>
          <w:pgMar w:top="2262" w:right="1440" w:bottom="1440" w:left="1440" w:header="708" w:footer="708" w:gutter="0"/>
          <w:cols w:space="720"/>
        </w:sectPr>
      </w:pPr>
      <w:r w:rsidRPr="00343430">
        <w:rPr>
          <w:rFonts w:eastAsia="Arial"/>
        </w:rPr>
        <w:t>Tipos de violencias</w:t>
      </w:r>
    </w:p>
    <w:p w14:paraId="7359A5DF" w14:textId="5554BEB2" w:rsidR="008C3A64" w:rsidRDefault="008C3A64" w:rsidP="00673C01">
      <w:pPr>
        <w:rPr>
          <w:rFonts w:eastAsia="Calibri"/>
          <w:lang w:eastAsia="es-MX"/>
        </w:rPr>
      </w:pPr>
      <w:r w:rsidRPr="00343430">
        <w:rPr>
          <w:rFonts w:eastAsia="Calibri"/>
          <w:lang w:eastAsia="es-MX"/>
        </w:rPr>
        <w:t>En el marco del CONPES 14 de 2021</w:t>
      </w:r>
      <w:r w:rsidRPr="00343430">
        <w:rPr>
          <w:rFonts w:eastAsia="Arial" w:cs="Arial"/>
          <w:lang w:eastAsia="es-MX"/>
        </w:rPr>
        <w:t xml:space="preserve"> </w:t>
      </w:r>
      <w:r w:rsidRPr="00343430">
        <w:rPr>
          <w:rFonts w:eastAsia="Arial" w:cs="Arial"/>
          <w:i/>
          <w:lang w:eastAsia="es-MX"/>
        </w:rPr>
        <w:t>“Política Pública de Mujeres y Equidad de Género 2020-2030”,</w:t>
      </w:r>
      <w:r w:rsidRPr="00343430">
        <w:rPr>
          <w:rFonts w:eastAsia="Arial" w:cs="Arial"/>
          <w:lang w:eastAsia="es-MX"/>
        </w:rPr>
        <w:t xml:space="preserve"> </w:t>
      </w:r>
      <w:r w:rsidRPr="00343430">
        <w:rPr>
          <w:rFonts w:eastAsia="Calibri"/>
          <w:lang w:eastAsia="es-MX"/>
        </w:rPr>
        <w:t>se reconoce el derecho a una vida libre de violencias como un objetivo fundamental. Este derecho busca garantizar que las mujeres, en todas las etapas de sus vidas, puedan vivir libres de violencia en los ámbitos político, comunitario, institucional, familiar, de pareja y en el espacio público y privado (CONPES 14, 2021, p. 169).</w:t>
      </w:r>
    </w:p>
    <w:p w14:paraId="2F24A588" w14:textId="77777777" w:rsidR="00673C01" w:rsidRDefault="00673C01" w:rsidP="00673C01">
      <w:pPr>
        <w:rPr>
          <w:rFonts w:eastAsia="Arial" w:cs="Arial"/>
          <w:lang w:eastAsia="es-MX"/>
        </w:rPr>
      </w:pPr>
    </w:p>
    <w:p w14:paraId="513D468F" w14:textId="77777777" w:rsidR="008C3A64" w:rsidRPr="00343430" w:rsidRDefault="008C3A64" w:rsidP="00673C01">
      <w:pPr>
        <w:rPr>
          <w:rFonts w:eastAsia="Calibri"/>
          <w:lang w:eastAsia="es-MX"/>
        </w:rPr>
      </w:pPr>
      <w:r w:rsidRPr="00343430">
        <w:rPr>
          <w:rFonts w:eastAsia="Calibri"/>
          <w:lang w:eastAsia="es-MX"/>
        </w:rPr>
        <w:t>A continuación, se presentan los tipos de violencias a los que están expuestas las mujeres en Bogotá D.C., según lo establecido en la Ley 1257 de 2008:</w:t>
      </w:r>
    </w:p>
    <w:p w14:paraId="36C8C12E" w14:textId="778C65D7" w:rsidR="008C3A64" w:rsidRPr="00673C01" w:rsidRDefault="008C3A64" w:rsidP="00673C01">
      <w:pPr>
        <w:pStyle w:val="Bullets"/>
        <w:rPr>
          <w:rFonts w:eastAsia="Arial" w:cs="Arial"/>
          <w:bCs/>
          <w:sz w:val="24"/>
        </w:rPr>
      </w:pPr>
      <w:r w:rsidRPr="00343430">
        <w:rPr>
          <w:b/>
          <w:bCs/>
          <w:color w:val="C00000"/>
        </w:rPr>
        <w:t>Violencia psicológica:</w:t>
      </w:r>
      <w:r w:rsidRPr="00343430">
        <w:rPr>
          <w:rFonts w:eastAsia="Arial" w:cs="Arial"/>
          <w:bCs/>
          <w:color w:val="C00000"/>
          <w:sz w:val="24"/>
        </w:rPr>
        <w:t xml:space="preserve"> </w:t>
      </w:r>
      <w:r w:rsidRPr="00343430">
        <w:t>Se refiere a actos de invalidación dirigidos a degradar, limitar</w:t>
      </w:r>
      <w:r>
        <w:t xml:space="preserve"> </w:t>
      </w:r>
      <w:r w:rsidRPr="00343430">
        <w:t>o controlar los comporta</w:t>
      </w:r>
      <w:r>
        <w:t xml:space="preserve">- </w:t>
      </w:r>
      <w:r w:rsidRPr="00343430">
        <w:t>mientos, acciones, creencias y decisiones de las víctimas. Esto puede incluir amenazas, aislamiento y manipulación, lo que afecta la salud psicológica, la autodeterminación y el desarrollo personal de la mujer.</w:t>
      </w:r>
    </w:p>
    <w:p w14:paraId="602BE842" w14:textId="77777777" w:rsidR="00673C01" w:rsidRPr="00343430" w:rsidRDefault="00673C01" w:rsidP="00673C01">
      <w:pPr>
        <w:pStyle w:val="Bullets"/>
        <w:numPr>
          <w:ilvl w:val="0"/>
          <w:numId w:val="0"/>
        </w:numPr>
        <w:ind w:left="714"/>
        <w:rPr>
          <w:rFonts w:eastAsia="Arial" w:cs="Arial"/>
          <w:bCs/>
          <w:sz w:val="24"/>
        </w:rPr>
      </w:pPr>
    </w:p>
    <w:p w14:paraId="4EA7C466" w14:textId="0F7A0F43" w:rsidR="008C3A64" w:rsidRPr="00673C01" w:rsidRDefault="008C3A64" w:rsidP="00673C01">
      <w:pPr>
        <w:pStyle w:val="Bullets"/>
        <w:rPr>
          <w:rFonts w:eastAsia="Arial" w:cs="Arial"/>
          <w:bCs/>
          <w:sz w:val="24"/>
        </w:rPr>
      </w:pPr>
      <w:r w:rsidRPr="00343430">
        <w:rPr>
          <w:b/>
          <w:bCs/>
          <w:color w:val="C00000"/>
        </w:rPr>
        <w:t>Violencia física:</w:t>
      </w:r>
      <w:r w:rsidRPr="00343430">
        <w:rPr>
          <w:rFonts w:eastAsia="Arial" w:cs="Arial"/>
          <w:bCs/>
          <w:color w:val="C00000"/>
          <w:sz w:val="24"/>
        </w:rPr>
        <w:t xml:space="preserve"> </w:t>
      </w:r>
      <w:r w:rsidRPr="00343430">
        <w:t>Comprende todas las situaciones y prácticas que implican agresiones corporales, utilizando objetos, armas o el cuerpo para ejercer la agresión.</w:t>
      </w:r>
    </w:p>
    <w:p w14:paraId="58A8244D" w14:textId="77777777" w:rsidR="00673C01" w:rsidRPr="00343430" w:rsidRDefault="00673C01" w:rsidP="00673C01">
      <w:pPr>
        <w:pStyle w:val="Bullets"/>
        <w:numPr>
          <w:ilvl w:val="0"/>
          <w:numId w:val="0"/>
        </w:numPr>
        <w:ind w:left="714"/>
        <w:rPr>
          <w:rFonts w:eastAsia="Arial" w:cs="Arial"/>
          <w:bCs/>
          <w:sz w:val="24"/>
        </w:rPr>
      </w:pPr>
    </w:p>
    <w:p w14:paraId="152649DC" w14:textId="7942FD1D" w:rsidR="008C3A64" w:rsidRPr="00673C01" w:rsidRDefault="008C3A64" w:rsidP="00673C01">
      <w:pPr>
        <w:pStyle w:val="Bullets"/>
        <w:rPr>
          <w:rFonts w:eastAsia="Arial" w:cs="Arial"/>
          <w:bCs/>
          <w:sz w:val="24"/>
        </w:rPr>
      </w:pPr>
      <w:r w:rsidRPr="00343430">
        <w:rPr>
          <w:b/>
          <w:bCs/>
          <w:color w:val="C00000"/>
        </w:rPr>
        <w:t>Violencia sexual:</w:t>
      </w:r>
      <w:r w:rsidRPr="00343430">
        <w:rPr>
          <w:rFonts w:eastAsia="Arial" w:cs="Arial"/>
          <w:bCs/>
          <w:color w:val="C00000"/>
          <w:sz w:val="24"/>
        </w:rPr>
        <w:t xml:space="preserve"> </w:t>
      </w:r>
      <w:r w:rsidRPr="00343430">
        <w:t xml:space="preserve">Consiste en forzar a una mujer a participar en interacciones sexuales, físicas o verbales contra su voluntad, suprimiendo e invalidando su </w:t>
      </w:r>
      <w:r w:rsidRPr="00343430">
        <w:lastRenderedPageBreak/>
        <w:t>consentimiento. Esto puede incluir manipulación, uso de fuerza, intimidación, chantaje, entre otros.</w:t>
      </w:r>
    </w:p>
    <w:p w14:paraId="19F542F0" w14:textId="77777777" w:rsidR="00673C01" w:rsidRPr="00343430" w:rsidRDefault="00673C01" w:rsidP="00673C01">
      <w:pPr>
        <w:pStyle w:val="Bullets"/>
        <w:numPr>
          <w:ilvl w:val="0"/>
          <w:numId w:val="0"/>
        </w:numPr>
        <w:ind w:left="714"/>
        <w:rPr>
          <w:rFonts w:eastAsia="Arial" w:cs="Arial"/>
          <w:bCs/>
          <w:sz w:val="24"/>
        </w:rPr>
      </w:pPr>
    </w:p>
    <w:p w14:paraId="78EC375D" w14:textId="591425D2" w:rsidR="008C3A64" w:rsidRPr="00673C01" w:rsidRDefault="008C3A64" w:rsidP="00673C01">
      <w:pPr>
        <w:pStyle w:val="Bullets"/>
        <w:rPr>
          <w:rFonts w:eastAsia="Arial" w:cs="Arial"/>
          <w:bCs/>
          <w:sz w:val="24"/>
        </w:rPr>
      </w:pPr>
      <w:r w:rsidRPr="00343430">
        <w:rPr>
          <w:b/>
          <w:bCs/>
          <w:color w:val="C00000"/>
        </w:rPr>
        <w:t>Violencia patrimonial y económica:</w:t>
      </w:r>
      <w:r w:rsidRPr="00343430">
        <w:rPr>
          <w:rFonts w:eastAsia="Arial" w:cs="Arial"/>
          <w:bCs/>
          <w:color w:val="C00000"/>
          <w:sz w:val="24"/>
        </w:rPr>
        <w:t xml:space="preserve"> </w:t>
      </w:r>
      <w:r w:rsidRPr="00343430">
        <w:t>Se refiere a prácticas u omisiones destinadas a abusar y controlar las finanzas de una mujer, así como a utilizar recompensas o castigos financieros basados en su condición socioeconómica o política.</w:t>
      </w:r>
    </w:p>
    <w:p w14:paraId="74FBC1B4" w14:textId="77777777" w:rsidR="00673C01" w:rsidRPr="00343430" w:rsidRDefault="00673C01" w:rsidP="00673C01">
      <w:pPr>
        <w:pStyle w:val="Bullets"/>
        <w:numPr>
          <w:ilvl w:val="0"/>
          <w:numId w:val="0"/>
        </w:numPr>
        <w:ind w:left="714" w:hanging="357"/>
        <w:rPr>
          <w:rFonts w:eastAsia="Arial" w:cs="Arial"/>
          <w:bCs/>
          <w:sz w:val="24"/>
        </w:rPr>
      </w:pPr>
    </w:p>
    <w:p w14:paraId="1914DEB4" w14:textId="45858932" w:rsidR="008C3A64" w:rsidRPr="00673C01" w:rsidRDefault="008C3A64" w:rsidP="00673C01">
      <w:pPr>
        <w:pStyle w:val="Bullets"/>
        <w:rPr>
          <w:rFonts w:eastAsia="Arial" w:cs="Arial"/>
          <w:bCs/>
          <w:sz w:val="24"/>
        </w:rPr>
      </w:pPr>
      <w:r w:rsidRPr="00343430">
        <w:rPr>
          <w:b/>
          <w:bCs/>
          <w:color w:val="C00000"/>
        </w:rPr>
        <w:t>Violencia en entornos digitales:</w:t>
      </w:r>
      <w:r w:rsidRPr="00343430">
        <w:rPr>
          <w:rFonts w:eastAsia="Arial" w:cs="Arial"/>
          <w:bCs/>
          <w:color w:val="C00000"/>
          <w:sz w:val="24"/>
        </w:rPr>
        <w:t xml:space="preserve"> </w:t>
      </w:r>
      <w:r w:rsidRPr="00343430">
        <w:t>Hace referencia al uso inapropiado de medios digitales y herramientas tecnológicas para realizar acciones de discriminación, acoso, intimidación y amenaza contra una mujer.</w:t>
      </w:r>
    </w:p>
    <w:p w14:paraId="2EED1A3B" w14:textId="77777777" w:rsidR="00673C01" w:rsidRPr="00343430" w:rsidRDefault="00673C01" w:rsidP="00673C01">
      <w:pPr>
        <w:pStyle w:val="Bullets"/>
        <w:numPr>
          <w:ilvl w:val="0"/>
          <w:numId w:val="0"/>
        </w:numPr>
        <w:ind w:left="714" w:hanging="357"/>
        <w:rPr>
          <w:rFonts w:eastAsia="Arial" w:cs="Arial"/>
          <w:bCs/>
          <w:sz w:val="24"/>
        </w:rPr>
      </w:pPr>
    </w:p>
    <w:p w14:paraId="1767E053" w14:textId="7115BF56" w:rsidR="008C3A64" w:rsidRDefault="008C3A64" w:rsidP="00673C01">
      <w:pPr>
        <w:pStyle w:val="Bullets"/>
      </w:pPr>
      <w:r w:rsidRPr="00343430">
        <w:rPr>
          <w:b/>
          <w:bCs/>
          <w:color w:val="C00000"/>
        </w:rPr>
        <w:t>Violencia intrafamiliar:</w:t>
      </w:r>
      <w:r w:rsidRPr="00343430">
        <w:rPr>
          <w:rFonts w:eastAsia="Arial" w:cs="Arial"/>
          <w:bCs/>
          <w:color w:val="C00000"/>
          <w:sz w:val="24"/>
        </w:rPr>
        <w:t xml:space="preserve"> </w:t>
      </w:r>
      <w:r w:rsidRPr="00343430">
        <w:t>Es aquella que implica acciones intimidantes, amenazas o agresiones físicas, psicológicas o verbales por parte de un miembro del núcleo familiar directo o indirecto hacia la víctima.</w:t>
      </w:r>
    </w:p>
    <w:p w14:paraId="6A5A3163" w14:textId="77777777" w:rsidR="00673C01" w:rsidRPr="008C3A64" w:rsidRDefault="00673C01" w:rsidP="00673C01">
      <w:pPr>
        <w:pStyle w:val="Bullets"/>
        <w:numPr>
          <w:ilvl w:val="0"/>
          <w:numId w:val="0"/>
        </w:numPr>
      </w:pPr>
    </w:p>
    <w:p w14:paraId="0715832F" w14:textId="31191687" w:rsidR="008C3A64" w:rsidRDefault="008C3A64" w:rsidP="00673C01">
      <w:pPr>
        <w:rPr>
          <w:rFonts w:eastAsia="Calibri"/>
          <w:lang w:eastAsia="es-MX"/>
        </w:rPr>
      </w:pPr>
      <w:r w:rsidRPr="00343430">
        <w:rPr>
          <w:rFonts w:eastAsia="Calibri"/>
          <w:lang w:eastAsia="es-MX"/>
        </w:rPr>
        <w:t xml:space="preserve">De acuerdo con el informe de resultados de la línea base de la Política Pública de Mujeres y </w:t>
      </w:r>
      <w:r w:rsidRPr="00343430">
        <w:rPr>
          <w:rFonts w:eastAsia="Calibri"/>
          <w:lang w:eastAsia="es-MX"/>
        </w:rPr>
        <w:t>Equidad de Género (SDMujer, 2022), se destaca que el grupo etario de 18 a 28 años presenta el mayor número de auto-reportes de violencias en comparación con otros grupos demográficos. Además, se observa que las mujeres víctimas de violencia tienden a concentrarse en los estratos 1 y 2. El riesgo de violencia se incrementa notablemente entre las mujeres que están buscando empleo, realizan labores del hogar o tienen algún tipo de discapacidad.</w:t>
      </w:r>
    </w:p>
    <w:p w14:paraId="0E5F42A5" w14:textId="77777777" w:rsidR="00673C01" w:rsidRPr="00343430" w:rsidRDefault="00673C01" w:rsidP="00673C01">
      <w:pPr>
        <w:rPr>
          <w:rFonts w:eastAsia="Calibri"/>
          <w:lang w:eastAsia="es-MX"/>
        </w:rPr>
      </w:pPr>
    </w:p>
    <w:p w14:paraId="6A527ED6" w14:textId="77777777" w:rsidR="00D01651" w:rsidRDefault="008C3A64" w:rsidP="00F475AA">
      <w:pPr>
        <w:pStyle w:val="Descripcin"/>
        <w:jc w:val="center"/>
        <w:rPr>
          <w:color w:val="C00000"/>
          <w:sz w:val="18"/>
        </w:rPr>
      </w:pPr>
      <w:r w:rsidRPr="00343430">
        <w:rPr>
          <w:rFonts w:eastAsia="Calibri"/>
          <w:lang w:eastAsia="es-MX"/>
        </w:rPr>
        <w:t xml:space="preserve">Al revisar las diferentes manifestaciones de violencia, se evidencia que la violencia psicológica es la más reportada en los últimos dos años según la encuesta realizada para la Línea Base, en comparación con la violencia física, sexual, económica y patrimonial. La violencia psicológica principalmente es ejercida por ex-parejas, seguida por ladrones y/o delincuentes y parejas actuales. Sin embargo, destaca que solo el 5% de las manifestaciones de violencia física, económica y sexual ocurren sin previa violencia psicológica </w:t>
      </w:r>
      <w:r w:rsidRPr="00F475AA">
        <w:rPr>
          <w:rFonts w:eastAsia="Calibri"/>
          <w:lang w:eastAsia="es-MX"/>
        </w:rPr>
        <w:t>(</w:t>
      </w:r>
      <w:r w:rsidR="00F475AA" w:rsidRPr="00F475AA">
        <w:rPr>
          <w:rFonts w:eastAsia="Calibri"/>
          <w:lang w:eastAsia="es-MX"/>
        </w:rPr>
        <w:fldChar w:fldCharType="begin"/>
      </w:r>
      <w:r w:rsidR="00F475AA" w:rsidRPr="00F475AA">
        <w:rPr>
          <w:rFonts w:eastAsia="Calibri"/>
          <w:lang w:eastAsia="es-MX"/>
        </w:rPr>
        <w:instrText xml:space="preserve"> REF _Ref165112333 \h </w:instrText>
      </w:r>
      <w:r w:rsidR="00F475AA" w:rsidRPr="00F475AA">
        <w:rPr>
          <w:rFonts w:eastAsia="Calibri"/>
          <w:lang w:eastAsia="es-MX"/>
        </w:rPr>
      </w:r>
      <w:r w:rsidR="00F475AA" w:rsidRPr="00F475AA">
        <w:rPr>
          <w:rFonts w:eastAsia="Calibri"/>
          <w:lang w:eastAsia="es-MX"/>
        </w:rPr>
        <w:fldChar w:fldCharType="separate"/>
      </w:r>
    </w:p>
    <w:p w14:paraId="5F5649EF" w14:textId="0DF85B11" w:rsidR="008C3A64" w:rsidRPr="00F475AA" w:rsidRDefault="00D01651" w:rsidP="00673C01">
      <w:pPr>
        <w:rPr>
          <w:rFonts w:eastAsia="Calibri"/>
          <w:lang w:eastAsia="es-MX"/>
        </w:rPr>
      </w:pPr>
      <w:r w:rsidRPr="00F475AA">
        <w:rPr>
          <w:color w:val="C00000"/>
          <w:sz w:val="18"/>
          <w:szCs w:val="18"/>
        </w:rPr>
        <w:t xml:space="preserve">Gráfica </w:t>
      </w:r>
      <w:r>
        <w:rPr>
          <w:noProof/>
          <w:color w:val="C00000"/>
          <w:sz w:val="18"/>
        </w:rPr>
        <w:t>9</w:t>
      </w:r>
      <w:r w:rsidR="00F475AA" w:rsidRPr="00F475AA">
        <w:rPr>
          <w:rFonts w:eastAsia="Calibri"/>
          <w:lang w:eastAsia="es-MX"/>
        </w:rPr>
        <w:fldChar w:fldCharType="end"/>
      </w:r>
      <w:r w:rsidR="008C3A64" w:rsidRPr="00F475AA">
        <w:rPr>
          <w:rFonts w:eastAsia="Calibri"/>
          <w:lang w:eastAsia="es-MX"/>
        </w:rPr>
        <w:t xml:space="preserve">). </w:t>
      </w:r>
    </w:p>
    <w:p w14:paraId="0C5F47F2" w14:textId="77777777" w:rsidR="008C3A64" w:rsidRPr="005A31BC" w:rsidRDefault="008C3A64" w:rsidP="008C3A64">
      <w:pPr>
        <w:spacing w:after="160" w:line="259" w:lineRule="auto"/>
        <w:rPr>
          <w:rFonts w:eastAsia="Arial" w:cs="Arial"/>
          <w:spacing w:val="-6"/>
          <w:sz w:val="24"/>
          <w:lang w:eastAsia="es-MX"/>
        </w:rPr>
        <w:sectPr w:rsidR="008C3A64" w:rsidRPr="005A31BC" w:rsidSect="00F7078E">
          <w:type w:val="continuous"/>
          <w:pgSz w:w="12240" w:h="15840"/>
          <w:pgMar w:top="2262" w:right="1440" w:bottom="1440" w:left="1440" w:header="708" w:footer="708" w:gutter="0"/>
          <w:cols w:num="2" w:space="567"/>
        </w:sectPr>
      </w:pPr>
    </w:p>
    <w:p w14:paraId="15EF9C08" w14:textId="77777777" w:rsidR="007961D9" w:rsidRDefault="007961D9" w:rsidP="00F475AA">
      <w:pPr>
        <w:pStyle w:val="Descripcin"/>
        <w:jc w:val="center"/>
        <w:rPr>
          <w:color w:val="C00000"/>
          <w:sz w:val="18"/>
        </w:rPr>
      </w:pPr>
      <w:bookmarkStart w:id="78" w:name="_Ref165112333"/>
      <w:bookmarkStart w:id="79" w:name="_Ref165112329"/>
    </w:p>
    <w:p w14:paraId="45B57FED" w14:textId="3F48279B" w:rsidR="008C3A64" w:rsidRPr="00F475AA" w:rsidRDefault="00F475AA" w:rsidP="00F475AA">
      <w:pPr>
        <w:pStyle w:val="Descripcin"/>
        <w:jc w:val="center"/>
        <w:rPr>
          <w:rFonts w:eastAsia="Arial" w:cs="Arial"/>
          <w:b w:val="0"/>
          <w:spacing w:val="-6"/>
          <w:sz w:val="18"/>
          <w:lang w:eastAsia="es-MX"/>
        </w:rPr>
      </w:pPr>
      <w:bookmarkStart w:id="80" w:name="_Toc165169835"/>
      <w:r w:rsidRPr="00F475AA">
        <w:rPr>
          <w:color w:val="C00000"/>
          <w:sz w:val="18"/>
        </w:rPr>
        <w:t xml:space="preserve">Gráfica </w:t>
      </w:r>
      <w:r w:rsidRPr="00F475AA">
        <w:rPr>
          <w:color w:val="C00000"/>
          <w:sz w:val="18"/>
        </w:rPr>
        <w:fldChar w:fldCharType="begin"/>
      </w:r>
      <w:r w:rsidRPr="00F475AA">
        <w:rPr>
          <w:color w:val="C00000"/>
          <w:sz w:val="18"/>
        </w:rPr>
        <w:instrText xml:space="preserve"> SEQ Gráfica \* ARABIC </w:instrText>
      </w:r>
      <w:r w:rsidRPr="00F475AA">
        <w:rPr>
          <w:color w:val="C00000"/>
          <w:sz w:val="18"/>
        </w:rPr>
        <w:fldChar w:fldCharType="separate"/>
      </w:r>
      <w:r w:rsidR="00D01651">
        <w:rPr>
          <w:noProof/>
          <w:color w:val="C00000"/>
          <w:sz w:val="18"/>
        </w:rPr>
        <w:t>9</w:t>
      </w:r>
      <w:r w:rsidRPr="00F475AA">
        <w:rPr>
          <w:color w:val="C00000"/>
          <w:sz w:val="18"/>
        </w:rPr>
        <w:fldChar w:fldCharType="end"/>
      </w:r>
      <w:bookmarkEnd w:id="78"/>
      <w:r w:rsidRPr="00F475AA">
        <w:rPr>
          <w:color w:val="C00000"/>
          <w:sz w:val="18"/>
        </w:rPr>
        <w:t xml:space="preserve">. </w:t>
      </w:r>
      <w:r w:rsidR="008C3A64" w:rsidRPr="00F475AA">
        <w:rPr>
          <w:bCs/>
          <w:spacing w:val="-6"/>
          <w:sz w:val="18"/>
        </w:rPr>
        <w:t>Personas agresoras - violencia psicológica</w:t>
      </w:r>
      <w:bookmarkEnd w:id="79"/>
      <w:bookmarkEnd w:id="80"/>
    </w:p>
    <w:p w14:paraId="5EF97B9D" w14:textId="77777777" w:rsidR="008C3A64" w:rsidRPr="00343430" w:rsidRDefault="008C3A64" w:rsidP="008C3A64">
      <w:pPr>
        <w:spacing w:after="160" w:line="259" w:lineRule="auto"/>
        <w:jc w:val="center"/>
        <w:rPr>
          <w:rFonts w:eastAsia="Arial" w:cs="Arial"/>
          <w:spacing w:val="-6"/>
          <w:sz w:val="24"/>
          <w:lang w:eastAsia="es-MX"/>
        </w:rPr>
      </w:pPr>
      <w:r w:rsidRPr="00343430">
        <w:rPr>
          <w:rFonts w:eastAsia="Calibri" w:cs="Calibri"/>
          <w:noProof/>
          <w:spacing w:val="-6"/>
          <w:sz w:val="18"/>
          <w:szCs w:val="18"/>
          <w:lang w:eastAsia="es-MX"/>
        </w:rPr>
        <w:drawing>
          <wp:inline distT="0" distB="0" distL="0" distR="0" wp14:anchorId="5DD41BC7" wp14:editId="7FDB87D8">
            <wp:extent cx="5269230" cy="2620107"/>
            <wp:effectExtent l="0" t="0" r="7620" b="8890"/>
            <wp:docPr id="30" name="Gráfico 30">
              <a:extLst xmlns:a="http://schemas.openxmlformats.org/drawingml/2006/main">
                <a:ext uri="{FF2B5EF4-FFF2-40B4-BE49-F238E27FC236}">
                  <a16:creationId xmlns:a16="http://schemas.microsoft.com/office/drawing/2014/main" id="{62BC0528-8058-AEBD-C1EF-837CF6A7CC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08320B" w14:textId="77777777" w:rsidR="008C3A64" w:rsidRPr="00343430" w:rsidRDefault="008C3A64" w:rsidP="008C3A64">
      <w:pPr>
        <w:spacing w:after="160" w:line="259" w:lineRule="auto"/>
        <w:jc w:val="center"/>
        <w:rPr>
          <w:spacing w:val="-6"/>
          <w:sz w:val="18"/>
        </w:rPr>
      </w:pPr>
      <w:r w:rsidRPr="00343430">
        <w:rPr>
          <w:b/>
          <w:bCs/>
          <w:spacing w:val="-6"/>
          <w:sz w:val="18"/>
        </w:rPr>
        <w:lastRenderedPageBreak/>
        <w:t>Fuente:</w:t>
      </w:r>
      <w:r w:rsidRPr="00343430">
        <w:rPr>
          <w:spacing w:val="-6"/>
          <w:sz w:val="18"/>
        </w:rPr>
        <w:t xml:space="preserve"> Línea de Base Política Pública de Mujeres y equidad de género 2022 SDMujer. Cálculos OMEG.</w:t>
      </w:r>
    </w:p>
    <w:p w14:paraId="396E01E4" w14:textId="77777777" w:rsidR="008C3A64" w:rsidRPr="005A31BC" w:rsidRDefault="008C3A64" w:rsidP="008C3A64">
      <w:pPr>
        <w:spacing w:after="160" w:line="259" w:lineRule="auto"/>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space="720"/>
        </w:sectPr>
      </w:pPr>
    </w:p>
    <w:p w14:paraId="7A5EB12D" w14:textId="77777777" w:rsidR="00D01651" w:rsidRDefault="008C3A64" w:rsidP="00125941">
      <w:pPr>
        <w:pStyle w:val="Descripcin"/>
        <w:jc w:val="center"/>
        <w:rPr>
          <w:color w:val="C00000"/>
          <w:sz w:val="18"/>
        </w:rPr>
      </w:pPr>
      <w:r w:rsidRPr="00343430">
        <w:rPr>
          <w:rFonts w:eastAsia="Calibri" w:cs="Times New Roman (Cuerpo en alfa"/>
          <w:spacing w:val="-6"/>
          <w:szCs w:val="22"/>
          <w:lang w:eastAsia="es-MX"/>
        </w:rPr>
        <w:t xml:space="preserve">Según los resultados de la Línea Base (2022) obtenidos a partir de las atenciones en la Línea Púrpura durante 2022, se ha identificado que las mujeres entre 18 y 40 años son las más expuestas a la violencia física, aunque este porcentaje </w:t>
      </w:r>
      <w:r w:rsidRPr="00450D56">
        <w:rPr>
          <w:rFonts w:eastAsia="Calibri" w:cs="Times New Roman (Cuerpo en alfa"/>
          <w:spacing w:val="-10"/>
          <w:szCs w:val="22"/>
          <w:lang w:eastAsia="es-MX"/>
        </w:rPr>
        <w:t>disminuye en mujeres mayores de 60 años. Sin embargo, este hallazgo no implica que las personas mayores sufran menos estas</w:t>
      </w:r>
      <w:r w:rsidRPr="00343430">
        <w:rPr>
          <w:rFonts w:eastAsia="Calibri" w:cs="Times New Roman (Cuerpo en alfa"/>
          <w:spacing w:val="-6"/>
          <w:szCs w:val="22"/>
          <w:lang w:eastAsia="es-MX"/>
        </w:rPr>
        <w:t xml:space="preserve"> vulneraciones. En cuanto a los perpetradores de la violencia física, las ex-parejas </w:t>
      </w:r>
      <w:r w:rsidRPr="00343430">
        <w:rPr>
          <w:rFonts w:eastAsia="Calibri" w:cs="Times New Roman (Cuerpo en alfa"/>
          <w:spacing w:val="-6"/>
          <w:szCs w:val="22"/>
          <w:lang w:eastAsia="es-MX"/>
        </w:rPr>
        <w:t xml:space="preserve">son señaladas como los principales agresores, seguidos por la pareja actual y, en tercer lugar, por padres y/o madres. Además, se evidencia que las localidades con auto-reportes de violencia física por encima del 50% son Sumapaz, Barrios Unidos, Fontibón y Ciudad Bolívar </w:t>
      </w:r>
      <w:r w:rsidRPr="004E6C72">
        <w:rPr>
          <w:rFonts w:eastAsia="Calibri" w:cs="Times New Roman (Cuerpo en alfa"/>
          <w:spacing w:val="-6"/>
          <w:szCs w:val="22"/>
          <w:lang w:eastAsia="es-MX"/>
        </w:rPr>
        <w:t>(</w:t>
      </w:r>
      <w:r w:rsidR="004E6C72" w:rsidRPr="004E6C72">
        <w:rPr>
          <w:rFonts w:eastAsia="Calibri" w:cs="Times New Roman (Cuerpo en alfa"/>
          <w:spacing w:val="-6"/>
          <w:szCs w:val="22"/>
          <w:lang w:eastAsia="es-MX"/>
        </w:rPr>
        <w:fldChar w:fldCharType="begin"/>
      </w:r>
      <w:r w:rsidR="004E6C72" w:rsidRPr="004E6C72">
        <w:rPr>
          <w:rFonts w:eastAsia="Calibri" w:cs="Times New Roman (Cuerpo en alfa"/>
          <w:spacing w:val="-6"/>
          <w:szCs w:val="22"/>
          <w:lang w:eastAsia="es-MX"/>
        </w:rPr>
        <w:instrText xml:space="preserve"> REF _Ref165112423 \h </w:instrText>
      </w:r>
      <w:r w:rsidR="004E6C72" w:rsidRPr="004E6C72">
        <w:rPr>
          <w:rFonts w:eastAsia="Calibri" w:cs="Times New Roman (Cuerpo en alfa"/>
          <w:spacing w:val="-6"/>
          <w:szCs w:val="22"/>
          <w:lang w:eastAsia="es-MX"/>
        </w:rPr>
      </w:r>
      <w:r w:rsidR="004E6C72" w:rsidRPr="004E6C72">
        <w:rPr>
          <w:rFonts w:eastAsia="Calibri" w:cs="Times New Roman (Cuerpo en alfa"/>
          <w:spacing w:val="-6"/>
          <w:szCs w:val="22"/>
          <w:lang w:eastAsia="es-MX"/>
        </w:rPr>
        <w:fldChar w:fldCharType="separate"/>
      </w:r>
    </w:p>
    <w:p w14:paraId="4C4B6770" w14:textId="6A48E03F" w:rsidR="008C3A64" w:rsidRPr="00567F5A" w:rsidRDefault="00D01651" w:rsidP="008C3A64">
      <w:pPr>
        <w:spacing w:after="160" w:line="259" w:lineRule="auto"/>
        <w:rPr>
          <w:rFonts w:eastAsia="Calibri" w:cs="Times New Roman (Cuerpo en alfa"/>
          <w:spacing w:val="-6"/>
          <w:szCs w:val="22"/>
          <w:lang w:eastAsia="es-MX"/>
        </w:rPr>
      </w:pPr>
      <w:r w:rsidRPr="004E6C72">
        <w:rPr>
          <w:color w:val="C00000"/>
          <w:sz w:val="18"/>
          <w:szCs w:val="18"/>
        </w:rPr>
        <w:t xml:space="preserve">Gráfica </w:t>
      </w:r>
      <w:r>
        <w:rPr>
          <w:noProof/>
          <w:color w:val="C00000"/>
          <w:sz w:val="18"/>
        </w:rPr>
        <w:t>10</w:t>
      </w:r>
      <w:r w:rsidR="004E6C72" w:rsidRPr="004E6C72">
        <w:rPr>
          <w:rFonts w:eastAsia="Calibri" w:cs="Times New Roman (Cuerpo en alfa"/>
          <w:spacing w:val="-6"/>
          <w:szCs w:val="22"/>
          <w:lang w:eastAsia="es-MX"/>
        </w:rPr>
        <w:fldChar w:fldCharType="end"/>
      </w:r>
      <w:r w:rsidR="008C3A64" w:rsidRPr="004E6C72">
        <w:rPr>
          <w:rFonts w:eastAsia="Calibri" w:cs="Times New Roman (Cuerpo en alfa"/>
          <w:spacing w:val="-6"/>
          <w:szCs w:val="22"/>
          <w:lang w:eastAsia="es-MX"/>
        </w:rPr>
        <w:t xml:space="preserve">). </w:t>
      </w:r>
    </w:p>
    <w:p w14:paraId="03CC04D7" w14:textId="77777777" w:rsidR="008C3A64" w:rsidRPr="005A31BC" w:rsidRDefault="008C3A64" w:rsidP="008C3A64">
      <w:pPr>
        <w:spacing w:after="160" w:line="259" w:lineRule="auto"/>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num="2" w:space="567"/>
        </w:sectPr>
      </w:pPr>
    </w:p>
    <w:p w14:paraId="0E92E2CE" w14:textId="77777777" w:rsidR="0084370C" w:rsidRDefault="0084370C" w:rsidP="00125941">
      <w:pPr>
        <w:pStyle w:val="Descripcin"/>
        <w:jc w:val="center"/>
        <w:rPr>
          <w:color w:val="C00000"/>
          <w:sz w:val="18"/>
        </w:rPr>
      </w:pPr>
      <w:bookmarkStart w:id="81" w:name="_Ref165112423"/>
    </w:p>
    <w:p w14:paraId="6EDB141B" w14:textId="3D1EBCD3" w:rsidR="008C3A64" w:rsidRPr="004E6C72" w:rsidRDefault="00125941" w:rsidP="00125941">
      <w:pPr>
        <w:pStyle w:val="Descripcin"/>
        <w:jc w:val="center"/>
        <w:rPr>
          <w:rFonts w:ascii="Calibri" w:eastAsia="Calibri" w:hAnsi="Calibri" w:cs="Times New Roman (Cuerpo en alfa"/>
          <w:bCs/>
          <w:spacing w:val="-6"/>
          <w:sz w:val="18"/>
          <w:lang w:eastAsia="es-MX"/>
        </w:rPr>
      </w:pPr>
      <w:bookmarkStart w:id="82" w:name="_Toc165169836"/>
      <w:r w:rsidRPr="004E6C72">
        <w:rPr>
          <w:color w:val="C00000"/>
          <w:sz w:val="18"/>
        </w:rPr>
        <w:t xml:space="preserve">Gráfica </w:t>
      </w:r>
      <w:r w:rsidRPr="004E6C72">
        <w:rPr>
          <w:color w:val="C00000"/>
          <w:sz w:val="18"/>
        </w:rPr>
        <w:fldChar w:fldCharType="begin"/>
      </w:r>
      <w:r w:rsidRPr="004E6C72">
        <w:rPr>
          <w:color w:val="C00000"/>
          <w:sz w:val="18"/>
        </w:rPr>
        <w:instrText xml:space="preserve"> SEQ Gráfica \* ARABIC </w:instrText>
      </w:r>
      <w:r w:rsidRPr="004E6C72">
        <w:rPr>
          <w:color w:val="C00000"/>
          <w:sz w:val="18"/>
        </w:rPr>
        <w:fldChar w:fldCharType="separate"/>
      </w:r>
      <w:r w:rsidR="00D01651">
        <w:rPr>
          <w:noProof/>
          <w:color w:val="C00000"/>
          <w:sz w:val="18"/>
        </w:rPr>
        <w:t>10</w:t>
      </w:r>
      <w:r w:rsidRPr="004E6C72">
        <w:rPr>
          <w:color w:val="C00000"/>
          <w:sz w:val="18"/>
        </w:rPr>
        <w:fldChar w:fldCharType="end"/>
      </w:r>
      <w:bookmarkEnd w:id="81"/>
      <w:r w:rsidRPr="004E6C72">
        <w:rPr>
          <w:color w:val="C00000"/>
          <w:sz w:val="18"/>
        </w:rPr>
        <w:t xml:space="preserve">. </w:t>
      </w:r>
      <w:r w:rsidR="008C3A64" w:rsidRPr="004E6C72">
        <w:rPr>
          <w:bCs/>
          <w:spacing w:val="-6"/>
          <w:sz w:val="18"/>
        </w:rPr>
        <w:t>Mujeres víctimas de violencias física en los últimos dos años en Bogotá</w:t>
      </w:r>
      <w:bookmarkEnd w:id="82"/>
    </w:p>
    <w:p w14:paraId="659F4DD6" w14:textId="77777777" w:rsidR="008C3A64" w:rsidRPr="00343430" w:rsidRDefault="008C3A64" w:rsidP="00367A56">
      <w:pPr>
        <w:spacing w:line="240" w:lineRule="auto"/>
        <w:jc w:val="center"/>
        <w:rPr>
          <w:rFonts w:eastAsia="Arial" w:cs="Arial"/>
          <w:spacing w:val="-6"/>
          <w:sz w:val="24"/>
          <w:lang w:eastAsia="es-MX"/>
        </w:rPr>
      </w:pPr>
      <w:r w:rsidRPr="00343430">
        <w:rPr>
          <w:rFonts w:eastAsia="Calibri" w:cs="Calibri"/>
          <w:noProof/>
          <w:spacing w:val="-6"/>
          <w:sz w:val="18"/>
          <w:szCs w:val="18"/>
          <w:lang w:eastAsia="es-MX"/>
        </w:rPr>
        <w:drawing>
          <wp:inline distT="0" distB="0" distL="0" distR="0" wp14:anchorId="39BD6010" wp14:editId="54347E09">
            <wp:extent cx="4216400" cy="3839210"/>
            <wp:effectExtent l="0" t="0" r="0" b="0"/>
            <wp:docPr id="31" name="Gráfico 31">
              <a:extLst xmlns:a="http://schemas.openxmlformats.org/drawingml/2006/main">
                <a:ext uri="{FF2B5EF4-FFF2-40B4-BE49-F238E27FC236}">
                  <a16:creationId xmlns:a16="http://schemas.microsoft.com/office/drawing/2014/main" id="{B54C7946-D2CF-CBC2-7F4F-1EF8CAB690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B79F8AA" w14:textId="77777777" w:rsidR="008C3A64" w:rsidRPr="00343430" w:rsidRDefault="008C3A64" w:rsidP="008C3A64">
      <w:pPr>
        <w:spacing w:after="160" w:line="259" w:lineRule="auto"/>
        <w:jc w:val="center"/>
        <w:rPr>
          <w:spacing w:val="-6"/>
          <w:sz w:val="18"/>
        </w:rPr>
      </w:pPr>
      <w:r w:rsidRPr="00343430">
        <w:rPr>
          <w:b/>
          <w:bCs/>
          <w:spacing w:val="-6"/>
          <w:sz w:val="18"/>
        </w:rPr>
        <w:t>Fuente:</w:t>
      </w:r>
      <w:r w:rsidRPr="00343430">
        <w:rPr>
          <w:spacing w:val="-6"/>
          <w:sz w:val="18"/>
        </w:rPr>
        <w:t xml:space="preserve"> Línea de Base Política Pública de Mujeres y equidad de género 2022 SDMujer. Cálculos OMEG.</w:t>
      </w:r>
    </w:p>
    <w:p w14:paraId="01455725" w14:textId="77777777" w:rsidR="008C3A64" w:rsidRPr="005A31BC" w:rsidRDefault="008C3A64" w:rsidP="008C3A64">
      <w:pPr>
        <w:spacing w:after="160" w:line="259" w:lineRule="auto"/>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space="720"/>
        </w:sectPr>
      </w:pPr>
    </w:p>
    <w:p w14:paraId="5C2CE18F" w14:textId="77777777" w:rsidR="008C3A64" w:rsidRPr="00567F5A" w:rsidRDefault="008C3A64" w:rsidP="008C3A64">
      <w:pPr>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 xml:space="preserve">El acoso sexual afecta principalmente a mujeres de entre 18 y 28 años, especialmente aquellas que están estudiando o en búsqueda de empleo. El </w:t>
      </w:r>
      <w:r w:rsidRPr="00343430">
        <w:rPr>
          <w:rFonts w:eastAsia="Calibri" w:cs="Times New Roman (Cuerpo en alfa"/>
          <w:spacing w:val="-6"/>
          <w:szCs w:val="22"/>
          <w:lang w:eastAsia="es-MX"/>
        </w:rPr>
        <w:t xml:space="preserve">espacio público es el lugar donde más frecuentemente las mujeres experimentan acoso sexual, como se muestra en la </w:t>
      </w:r>
      <w:r w:rsidRPr="005F0563">
        <w:rPr>
          <w:rFonts w:eastAsia="Calibri" w:cs="Times New Roman (Cuerpo en alfa"/>
          <w:spacing w:val="-6"/>
          <w:szCs w:val="22"/>
          <w:lang w:eastAsia="es-MX"/>
        </w:rPr>
        <w:t>siguiente gráfica.</w:t>
      </w:r>
    </w:p>
    <w:p w14:paraId="40D610DA" w14:textId="77777777" w:rsidR="008C3A64" w:rsidRPr="005A31BC" w:rsidRDefault="008C3A64" w:rsidP="008C3A64">
      <w:pPr>
        <w:spacing w:after="160" w:line="259" w:lineRule="auto"/>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num="2" w:space="567"/>
        </w:sectPr>
      </w:pPr>
    </w:p>
    <w:p w14:paraId="70679A82" w14:textId="77777777" w:rsidR="0084370C" w:rsidRDefault="0084370C">
      <w:pPr>
        <w:spacing w:line="240" w:lineRule="auto"/>
        <w:jc w:val="left"/>
        <w:rPr>
          <w:rFonts w:eastAsiaTheme="minorEastAsia" w:cstheme="minorBidi"/>
          <w:b/>
          <w:iCs/>
          <w:color w:val="C00000"/>
          <w:sz w:val="18"/>
          <w:szCs w:val="18"/>
          <w:lang w:val="es-419" w:eastAsia="en-US"/>
        </w:rPr>
      </w:pPr>
      <w:r>
        <w:rPr>
          <w:color w:val="C00000"/>
          <w:sz w:val="18"/>
        </w:rPr>
        <w:br w:type="page"/>
      </w:r>
    </w:p>
    <w:p w14:paraId="399EDB57" w14:textId="33212FED" w:rsidR="008C3A64" w:rsidRPr="00C53C81" w:rsidRDefault="00C53C81" w:rsidP="009711A7">
      <w:pPr>
        <w:pStyle w:val="Descripcin"/>
        <w:spacing w:after="0"/>
        <w:jc w:val="center"/>
        <w:rPr>
          <w:bCs/>
          <w:spacing w:val="-6"/>
          <w:sz w:val="18"/>
        </w:rPr>
      </w:pPr>
      <w:bookmarkStart w:id="83" w:name="_Toc165169837"/>
      <w:r w:rsidRPr="00C53C81">
        <w:rPr>
          <w:color w:val="C00000"/>
          <w:sz w:val="18"/>
        </w:rPr>
        <w:lastRenderedPageBreak/>
        <w:t xml:space="preserve">Gráfica </w:t>
      </w:r>
      <w:r w:rsidRPr="00C53C81">
        <w:rPr>
          <w:color w:val="C00000"/>
          <w:sz w:val="18"/>
        </w:rPr>
        <w:fldChar w:fldCharType="begin"/>
      </w:r>
      <w:r w:rsidRPr="00C53C81">
        <w:rPr>
          <w:color w:val="C00000"/>
          <w:sz w:val="18"/>
        </w:rPr>
        <w:instrText xml:space="preserve"> SEQ Gráfica \* ARABIC </w:instrText>
      </w:r>
      <w:r w:rsidRPr="00C53C81">
        <w:rPr>
          <w:color w:val="C00000"/>
          <w:sz w:val="18"/>
        </w:rPr>
        <w:fldChar w:fldCharType="separate"/>
      </w:r>
      <w:r w:rsidR="00D01651">
        <w:rPr>
          <w:noProof/>
          <w:color w:val="C00000"/>
          <w:sz w:val="18"/>
        </w:rPr>
        <w:t>11</w:t>
      </w:r>
      <w:r w:rsidRPr="00C53C81">
        <w:rPr>
          <w:color w:val="C00000"/>
          <w:sz w:val="18"/>
        </w:rPr>
        <w:fldChar w:fldCharType="end"/>
      </w:r>
      <w:r w:rsidRPr="00C53C81">
        <w:rPr>
          <w:color w:val="C00000"/>
          <w:sz w:val="18"/>
        </w:rPr>
        <w:t>.</w:t>
      </w:r>
      <w:r>
        <w:rPr>
          <w:bCs/>
          <w:spacing w:val="-6"/>
          <w:sz w:val="18"/>
        </w:rPr>
        <w:t xml:space="preserve"> </w:t>
      </w:r>
      <w:r w:rsidR="008C3A64" w:rsidRPr="00C53C81">
        <w:rPr>
          <w:bCs/>
          <w:spacing w:val="-6"/>
          <w:sz w:val="18"/>
        </w:rPr>
        <w:t>Porcentaje de lugares de ocurrencia de acoso sexual</w:t>
      </w:r>
      <w:bookmarkEnd w:id="83"/>
    </w:p>
    <w:p w14:paraId="1E515E5E" w14:textId="77777777" w:rsidR="008C3A64" w:rsidRPr="00343430" w:rsidRDefault="008C3A64" w:rsidP="00D350E3">
      <w:pPr>
        <w:spacing w:line="259" w:lineRule="auto"/>
        <w:rPr>
          <w:rFonts w:eastAsia="Arial" w:cs="Arial"/>
          <w:spacing w:val="-6"/>
          <w:szCs w:val="22"/>
          <w:lang w:eastAsia="es-MX"/>
        </w:rPr>
      </w:pPr>
      <w:r w:rsidRPr="00343430">
        <w:rPr>
          <w:rFonts w:eastAsia="Calibri" w:cs="Calibri"/>
          <w:noProof/>
          <w:spacing w:val="-6"/>
          <w:szCs w:val="22"/>
          <w:shd w:val="clear" w:color="auto" w:fill="C00000"/>
          <w:lang w:eastAsia="es-MX"/>
        </w:rPr>
        <w:drawing>
          <wp:inline distT="0" distB="0" distL="0" distR="0" wp14:anchorId="7A12AA65" wp14:editId="181468DE">
            <wp:extent cx="5963066" cy="3402957"/>
            <wp:effectExtent l="0" t="0" r="0" b="7620"/>
            <wp:docPr id="9" name="Gráfico 9">
              <a:extLst xmlns:a="http://schemas.openxmlformats.org/drawingml/2006/main">
                <a:ext uri="{FF2B5EF4-FFF2-40B4-BE49-F238E27FC236}">
                  <a16:creationId xmlns:a16="http://schemas.microsoft.com/office/drawing/2014/main" id="{3FDFB2A5-A776-3FBC-E8C0-D8400711A1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29DF3BF" w14:textId="77777777" w:rsidR="008C3A64" w:rsidRPr="00343430" w:rsidRDefault="008C3A64" w:rsidP="008C3A64">
      <w:pPr>
        <w:spacing w:after="160" w:line="259" w:lineRule="auto"/>
        <w:jc w:val="center"/>
        <w:rPr>
          <w:spacing w:val="-6"/>
          <w:sz w:val="18"/>
        </w:rPr>
      </w:pPr>
      <w:r w:rsidRPr="00343430">
        <w:rPr>
          <w:b/>
          <w:bCs/>
          <w:spacing w:val="-6"/>
          <w:sz w:val="18"/>
        </w:rPr>
        <w:t>Fuente:</w:t>
      </w:r>
      <w:r w:rsidRPr="00343430">
        <w:rPr>
          <w:spacing w:val="-6"/>
          <w:sz w:val="18"/>
        </w:rPr>
        <w:t xml:space="preserve"> Línea de Base Política Pública de Mujeres y equidad de género 2022 SDMujer. Cálculos OMEG.</w:t>
      </w:r>
    </w:p>
    <w:p w14:paraId="709CB7AE" w14:textId="77777777" w:rsidR="008C3A64" w:rsidRDefault="008C3A64" w:rsidP="008C3A64">
      <w:pPr>
        <w:spacing w:after="160" w:line="259" w:lineRule="auto"/>
        <w:rPr>
          <w:rFonts w:ascii="Calibri" w:eastAsia="Calibri" w:hAnsi="Calibri" w:cs="Times New Roman (Cuerpo en alfa"/>
          <w:spacing w:val="-6"/>
          <w:szCs w:val="22"/>
          <w:lang w:eastAsia="es-MX"/>
        </w:rPr>
      </w:pPr>
    </w:p>
    <w:p w14:paraId="473F917C" w14:textId="77777777" w:rsidR="008C3A64" w:rsidRPr="005A31BC" w:rsidRDefault="008C3A64" w:rsidP="008C3A64">
      <w:pPr>
        <w:spacing w:after="160" w:line="259" w:lineRule="auto"/>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space="720"/>
        </w:sectPr>
      </w:pPr>
    </w:p>
    <w:p w14:paraId="6CBD24E0" w14:textId="77777777" w:rsidR="008C3A64" w:rsidRPr="00343430" w:rsidRDefault="008C3A64" w:rsidP="008C3A64">
      <w:pPr>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 xml:space="preserve">Con respecto a la violencia económica y patrimonial, las mujeres de estratos 1, 2 y 3 son las que más reportan este tipo de violencia, destacando la prohibición de trabajar como una forma de esta violencia. De hecho, el 2,14% de las mujeres encuestadas manifestaron que sus parejas actuales o anteriores les quitaban sus bienes, su dinero o documentos. Desde un enfoque territorial, es posible afirmar que las mujeres de </w:t>
      </w:r>
      <w:r w:rsidRPr="00800A7C">
        <w:rPr>
          <w:rFonts w:eastAsia="Calibri" w:cs="Times New Roman (Cuerpo en alfa"/>
          <w:spacing w:val="-10"/>
          <w:szCs w:val="22"/>
          <w:lang w:eastAsia="es-MX"/>
        </w:rPr>
        <w:t>las localidades de Bosa, Suba y Kennedy experimentan principalmente la violencia económica y patrimonial.</w:t>
      </w:r>
    </w:p>
    <w:p w14:paraId="2F3C959E" w14:textId="33E29A9C" w:rsidR="008C3A64" w:rsidRPr="00343430" w:rsidRDefault="008C3A64" w:rsidP="008C3A64">
      <w:pPr>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Las parejas y ex parejas de las mujeres son las principales agresoras en casos de violencia económica y patrimonial, representando el 41% y 35% respectivamente. En menor medida, personas de su entorno familiar como hijas/os (10%) y la madre o el padre (8%) también son actores de esta forma de violencia. Finalmente, otros familiares representan un 5% como agresores de violencia económica y patrimonial hacia las mujeres (</w:t>
      </w:r>
      <w:r w:rsidR="0084370C" w:rsidRPr="0084370C">
        <w:rPr>
          <w:rFonts w:eastAsia="Calibri" w:cs="Times New Roman (Cuerpo en alfa"/>
          <w:spacing w:val="-6"/>
          <w:szCs w:val="22"/>
          <w:highlight w:val="yellow"/>
          <w:lang w:eastAsia="es-MX"/>
        </w:rPr>
        <w:fldChar w:fldCharType="begin"/>
      </w:r>
      <w:r w:rsidR="0084370C" w:rsidRPr="0084370C">
        <w:rPr>
          <w:rFonts w:eastAsia="Calibri" w:cs="Times New Roman (Cuerpo en alfa"/>
          <w:spacing w:val="-6"/>
          <w:szCs w:val="22"/>
          <w:lang w:eastAsia="es-MX"/>
        </w:rPr>
        <w:instrText xml:space="preserve"> REF _Ref165112721 \h </w:instrText>
      </w:r>
      <w:r w:rsidR="0084370C" w:rsidRPr="0084370C">
        <w:rPr>
          <w:rFonts w:eastAsia="Calibri" w:cs="Times New Roman (Cuerpo en alfa"/>
          <w:spacing w:val="-6"/>
          <w:szCs w:val="22"/>
          <w:highlight w:val="yellow"/>
          <w:lang w:eastAsia="es-MX"/>
        </w:rPr>
      </w:r>
      <w:r w:rsidR="0084370C" w:rsidRPr="0084370C">
        <w:rPr>
          <w:rFonts w:eastAsia="Calibri" w:cs="Times New Roman (Cuerpo en alfa"/>
          <w:spacing w:val="-6"/>
          <w:szCs w:val="22"/>
          <w:highlight w:val="yellow"/>
          <w:lang w:eastAsia="es-MX"/>
        </w:rPr>
        <w:fldChar w:fldCharType="separate"/>
      </w:r>
      <w:r w:rsidR="00D01651" w:rsidRPr="0084370C">
        <w:rPr>
          <w:color w:val="C00000"/>
          <w:sz w:val="18"/>
          <w:szCs w:val="18"/>
        </w:rPr>
        <w:t xml:space="preserve">Gráfica </w:t>
      </w:r>
      <w:r w:rsidR="00D01651">
        <w:rPr>
          <w:noProof/>
          <w:color w:val="C00000"/>
          <w:sz w:val="18"/>
        </w:rPr>
        <w:t>12</w:t>
      </w:r>
      <w:r w:rsidR="0084370C" w:rsidRPr="0084370C">
        <w:rPr>
          <w:rFonts w:eastAsia="Calibri" w:cs="Times New Roman (Cuerpo en alfa"/>
          <w:spacing w:val="-6"/>
          <w:szCs w:val="22"/>
          <w:highlight w:val="yellow"/>
          <w:lang w:eastAsia="es-MX"/>
        </w:rPr>
        <w:fldChar w:fldCharType="end"/>
      </w:r>
      <w:r w:rsidRPr="00343430">
        <w:rPr>
          <w:rFonts w:eastAsia="Calibri" w:cs="Times New Roman (Cuerpo en alfa"/>
          <w:spacing w:val="-6"/>
          <w:szCs w:val="22"/>
          <w:lang w:eastAsia="es-MX"/>
        </w:rPr>
        <w:t xml:space="preserve">). </w:t>
      </w:r>
    </w:p>
    <w:p w14:paraId="4244AC22" w14:textId="77777777" w:rsidR="008C3A64" w:rsidRPr="005A31BC" w:rsidRDefault="008C3A64" w:rsidP="008C3A64">
      <w:pPr>
        <w:spacing w:after="160" w:line="259" w:lineRule="auto"/>
        <w:rPr>
          <w:rFonts w:eastAsia="Arial" w:cs="Arial"/>
          <w:spacing w:val="-6"/>
          <w:sz w:val="24"/>
          <w:lang w:eastAsia="es-MX"/>
        </w:rPr>
        <w:sectPr w:rsidR="008C3A64" w:rsidRPr="005A31BC" w:rsidSect="00F7078E">
          <w:type w:val="continuous"/>
          <w:pgSz w:w="12240" w:h="15840"/>
          <w:pgMar w:top="2262" w:right="1440" w:bottom="1440" w:left="1440" w:header="708" w:footer="708" w:gutter="0"/>
          <w:cols w:num="2" w:space="567"/>
        </w:sectPr>
      </w:pPr>
    </w:p>
    <w:p w14:paraId="795DAB2C" w14:textId="61FCDB61" w:rsidR="0084370C" w:rsidRDefault="0084370C">
      <w:pPr>
        <w:spacing w:line="240" w:lineRule="auto"/>
        <w:jc w:val="left"/>
        <w:rPr>
          <w:rFonts w:eastAsia="Arial" w:cs="Arial"/>
          <w:spacing w:val="-6"/>
          <w:sz w:val="24"/>
          <w:lang w:eastAsia="es-MX"/>
        </w:rPr>
      </w:pPr>
      <w:r>
        <w:rPr>
          <w:rFonts w:eastAsia="Arial" w:cs="Arial"/>
          <w:spacing w:val="-6"/>
          <w:sz w:val="24"/>
          <w:lang w:eastAsia="es-MX"/>
        </w:rPr>
        <w:br w:type="page"/>
      </w:r>
    </w:p>
    <w:p w14:paraId="10DDF2B1" w14:textId="3D4107C1" w:rsidR="008C3A64" w:rsidRPr="0084370C" w:rsidRDefault="0084370C" w:rsidP="0084370C">
      <w:pPr>
        <w:pStyle w:val="Descripcin"/>
        <w:jc w:val="center"/>
        <w:rPr>
          <w:rFonts w:eastAsia="Arial" w:cs="Arial"/>
          <w:b w:val="0"/>
          <w:bCs/>
          <w:spacing w:val="-6"/>
          <w:sz w:val="18"/>
          <w:lang w:eastAsia="es-MX"/>
        </w:rPr>
      </w:pPr>
      <w:bookmarkStart w:id="84" w:name="_Ref165112721"/>
      <w:bookmarkStart w:id="85" w:name="_Toc165169838"/>
      <w:r w:rsidRPr="0084370C">
        <w:rPr>
          <w:color w:val="C00000"/>
          <w:sz w:val="18"/>
        </w:rPr>
        <w:lastRenderedPageBreak/>
        <w:t xml:space="preserve">Gráfica </w:t>
      </w:r>
      <w:r w:rsidRPr="0084370C">
        <w:rPr>
          <w:color w:val="C00000"/>
          <w:sz w:val="18"/>
        </w:rPr>
        <w:fldChar w:fldCharType="begin"/>
      </w:r>
      <w:r w:rsidRPr="0084370C">
        <w:rPr>
          <w:color w:val="C00000"/>
          <w:sz w:val="18"/>
        </w:rPr>
        <w:instrText xml:space="preserve"> SEQ Gráfica \* ARABIC </w:instrText>
      </w:r>
      <w:r w:rsidRPr="0084370C">
        <w:rPr>
          <w:color w:val="C00000"/>
          <w:sz w:val="18"/>
        </w:rPr>
        <w:fldChar w:fldCharType="separate"/>
      </w:r>
      <w:r w:rsidR="00D01651">
        <w:rPr>
          <w:noProof/>
          <w:color w:val="C00000"/>
          <w:sz w:val="18"/>
        </w:rPr>
        <w:t>12</w:t>
      </w:r>
      <w:r w:rsidRPr="0084370C">
        <w:rPr>
          <w:color w:val="C00000"/>
          <w:sz w:val="18"/>
        </w:rPr>
        <w:fldChar w:fldCharType="end"/>
      </w:r>
      <w:bookmarkEnd w:id="84"/>
      <w:r w:rsidRPr="0084370C">
        <w:rPr>
          <w:color w:val="C00000"/>
          <w:sz w:val="18"/>
        </w:rPr>
        <w:t xml:space="preserve">. </w:t>
      </w:r>
      <w:r w:rsidR="008C3A64" w:rsidRPr="0084370C">
        <w:rPr>
          <w:bCs/>
          <w:spacing w:val="-6"/>
          <w:sz w:val="18"/>
        </w:rPr>
        <w:t>Persona Agresora para violencia económica y patrimonial</w:t>
      </w:r>
      <w:bookmarkEnd w:id="85"/>
    </w:p>
    <w:p w14:paraId="2DB418B0" w14:textId="77777777" w:rsidR="008C3A64" w:rsidRPr="00343430" w:rsidRDefault="008C3A64" w:rsidP="0084370C">
      <w:pPr>
        <w:tabs>
          <w:tab w:val="left" w:pos="2338"/>
        </w:tabs>
        <w:spacing w:line="259" w:lineRule="auto"/>
        <w:jc w:val="center"/>
        <w:rPr>
          <w:rFonts w:eastAsia="Arial" w:cs="Arial"/>
          <w:spacing w:val="-6"/>
          <w:sz w:val="24"/>
          <w:lang w:eastAsia="es-MX"/>
        </w:rPr>
      </w:pPr>
      <w:r w:rsidRPr="00343430">
        <w:rPr>
          <w:rFonts w:eastAsia="Calibri" w:cs="Calibri"/>
          <w:noProof/>
          <w:spacing w:val="-6"/>
          <w:szCs w:val="22"/>
          <w:lang w:eastAsia="es-MX"/>
        </w:rPr>
        <w:drawing>
          <wp:inline distT="0" distB="0" distL="0" distR="0" wp14:anchorId="17215C6D" wp14:editId="6BD76F88">
            <wp:extent cx="4972050" cy="3136900"/>
            <wp:effectExtent l="0" t="0" r="0" b="0"/>
            <wp:docPr id="945231838" name="Gráfico 945231838">
              <a:extLst xmlns:a="http://schemas.openxmlformats.org/drawingml/2006/main">
                <a:ext uri="{FF2B5EF4-FFF2-40B4-BE49-F238E27FC236}">
                  <a16:creationId xmlns:a16="http://schemas.microsoft.com/office/drawing/2014/main" id="{C3728EB7-7E99-F4B9-C020-8E8A1120C8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123EE1A" w14:textId="77777777" w:rsidR="008C3A64" w:rsidRPr="00343430" w:rsidRDefault="008C3A64" w:rsidP="008C3A64">
      <w:pPr>
        <w:tabs>
          <w:tab w:val="left" w:pos="2338"/>
        </w:tabs>
        <w:spacing w:after="160" w:line="259" w:lineRule="auto"/>
        <w:jc w:val="center"/>
        <w:rPr>
          <w:spacing w:val="-6"/>
          <w:sz w:val="18"/>
        </w:rPr>
      </w:pPr>
      <w:r w:rsidRPr="00343430">
        <w:rPr>
          <w:b/>
          <w:bCs/>
          <w:spacing w:val="-6"/>
          <w:sz w:val="18"/>
        </w:rPr>
        <w:t>Fuente:</w:t>
      </w:r>
      <w:r w:rsidRPr="00343430">
        <w:rPr>
          <w:spacing w:val="-6"/>
          <w:sz w:val="18"/>
        </w:rPr>
        <w:t xml:space="preserve"> Línea de Base Política Pública de Mujeres y equidad de género 2022 SDMujer. Cálculos OMEG</w:t>
      </w:r>
    </w:p>
    <w:p w14:paraId="263C5E98" w14:textId="77777777" w:rsidR="008E0985" w:rsidRDefault="008C3A64" w:rsidP="008E0985">
      <w:pPr>
        <w:pStyle w:val="subnumeros"/>
        <w:numPr>
          <w:ilvl w:val="0"/>
          <w:numId w:val="0"/>
        </w:numPr>
        <w:ind w:left="1145" w:hanging="720"/>
        <w:outlineLvl w:val="9"/>
        <w:rPr>
          <w:rFonts w:eastAsia="Arial"/>
        </w:rPr>
      </w:pPr>
      <w:r w:rsidRPr="00270790">
        <w:rPr>
          <w:rFonts w:eastAsia="Arial"/>
        </w:rPr>
        <w:t>El trabajo del cuidado ha sido desempeñado</w:t>
      </w:r>
    </w:p>
    <w:p w14:paraId="1A30F26D" w14:textId="48301AEE" w:rsidR="008C3A64" w:rsidRPr="00097376" w:rsidRDefault="008C3A64" w:rsidP="00097376">
      <w:pPr>
        <w:pStyle w:val="subnumeros"/>
        <w:numPr>
          <w:ilvl w:val="0"/>
          <w:numId w:val="0"/>
        </w:numPr>
        <w:ind w:left="1145" w:hanging="720"/>
        <w:outlineLvl w:val="9"/>
        <w:rPr>
          <w:rFonts w:eastAsia="Arial"/>
        </w:rPr>
        <w:sectPr w:rsidR="008C3A64" w:rsidRPr="00097376" w:rsidSect="00F7078E">
          <w:type w:val="continuous"/>
          <w:pgSz w:w="12240" w:h="15840"/>
          <w:pgMar w:top="2262" w:right="1440" w:bottom="1440" w:left="1440" w:header="708" w:footer="708" w:gutter="0"/>
          <w:cols w:space="720"/>
        </w:sectPr>
      </w:pPr>
      <w:r w:rsidRPr="00270790">
        <w:rPr>
          <w:rFonts w:eastAsia="Arial"/>
        </w:rPr>
        <w:t>principalmente por las mujeres</w:t>
      </w:r>
    </w:p>
    <w:p w14:paraId="62D0F3F9"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La discriminación e inequidad han limitado la autonomía y el ejercicio pleno de los derechos de las mujeres en sus diversas diferencias y diversidades, generando desigualdades de género con consecuencias tanto en el ámbito público como en el privado.</w:t>
      </w:r>
    </w:p>
    <w:p w14:paraId="052C7007"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La división sexual del trabajo, asignada tradicionalmente a hombres y mujeres como un fenómeno cultural y social, ha sido parte de la asignación de roles ratificada por estereotipos e imaginarios que legitiman y naturalizan dichas divisiones. En este sentido, las mujeres, en toda su diversidad, han asumido mayormente la responsabilidad del trabajo doméstico y de cuidado en el ámbito privado, interpretado y asumido mayoritariamente como algo "propio" de los roles de género y no reconocido ni visibilizado en el ámbito del trabajo económico.</w:t>
      </w:r>
    </w:p>
    <w:p w14:paraId="14D2647C"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 xml:space="preserve">La Secretaría Distrital de la Mujer, en el Informe de Resultados de la línea base del Sistema Distrital del </w:t>
      </w:r>
      <w:r w:rsidRPr="00343430">
        <w:rPr>
          <w:rFonts w:eastAsia="Calibri" w:cs="Times New Roman (Cuerpo en alfa"/>
          <w:spacing w:val="-6"/>
          <w:szCs w:val="22"/>
          <w:lang w:eastAsia="es-MX"/>
        </w:rPr>
        <w:t>Cuidado con información del 2022, llevó a cabo un estudio cualitativo con 18 grupos focales en diversas localidades del Distrito Capital, tanto urbanas como rurales, que incluyeron personas de hogares ubicados en cada una de las veinte localidades de Bogotá y abarcando los seis estratos socioeconómicos.</w:t>
      </w:r>
    </w:p>
    <w:p w14:paraId="66659567" w14:textId="55CC44B9"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Los resultados de esta línea base sobre el cuidado revelaron que la cantidad y el tiempo dedicado a las labores domésticas y de cuidado están relacionados con la composición de los hogares en Bogotá, donde se identificaron 14</w:t>
      </w:r>
      <w:r w:rsidR="008E0985">
        <w:rPr>
          <w:rFonts w:eastAsia="Calibri" w:cs="Times New Roman (Cuerpo en alfa"/>
          <w:spacing w:val="-6"/>
          <w:szCs w:val="22"/>
          <w:lang w:eastAsia="es-MX"/>
        </w:rPr>
        <w:t>.</w:t>
      </w:r>
      <w:r w:rsidRPr="00343430">
        <w:rPr>
          <w:rFonts w:eastAsia="Calibri" w:cs="Times New Roman (Cuerpo en alfa"/>
          <w:spacing w:val="-6"/>
          <w:szCs w:val="22"/>
          <w:lang w:eastAsia="es-MX"/>
        </w:rPr>
        <w:t xml:space="preserve">363 hogares con un promedio de tres personas por hogar. Este promedio varía en tres localidades: en Bosa y Usme aumenta a cuatro personas por hogar, mientras que en Teusaquillo disminuye a dos personas por hogar. También se observó una diferencia territorial: el promedio en la zona urbana es de tres personas por </w:t>
      </w:r>
      <w:r w:rsidRPr="00343430">
        <w:rPr>
          <w:rFonts w:eastAsia="Calibri" w:cs="Times New Roman (Cuerpo en alfa"/>
          <w:spacing w:val="-6"/>
          <w:szCs w:val="22"/>
          <w:lang w:eastAsia="es-MX"/>
        </w:rPr>
        <w:lastRenderedPageBreak/>
        <w:t>hogar, mientras que en la zona rural es de cuatro personas por hogar.</w:t>
      </w:r>
    </w:p>
    <w:p w14:paraId="62217EA3"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En cuanto al concepto de cuidado, este incluye el cuidado de niños, niñas, personas mayores, personas con discapacidad, personas con enfermedades que limitan su desarrollo o su capacidad para valerse por sí mismas, así como el cuidado de animales de compañía, entre otros.</w:t>
      </w:r>
    </w:p>
    <w:p w14:paraId="3A041479"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Por otro lado, el informe menciona que del total de hogares encuestados en Bogotá, el 51% tienen como jefe de hogar a un hombre, mientras que el 49% tienen jefatura de hogar ejercida por una mujer. Es importante destacar que este dato varía según la localidad; por ejemplo, en Los Mártires la jefatura de hogar femenina aumenta en 9 puntos porcentuales (al 58%), mientras que en Sumapaz aumenta en 9 puntos porcentuales la jefatura de hogar masculina (al 60%). En cuanto a la conformación de los hogares respecto al parentesco con el jefe de hogar, la mayoría son hijas/os o hijastras/os (32%), seguido por la esposa o esposo (15%), y en menor medida, nietas/os (4%).</w:t>
      </w:r>
    </w:p>
    <w:p w14:paraId="499236F4"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 xml:space="preserve">La mayoría de los hogares con más de dos personas en la ciudad están compuestos por una madre o padre, hijo o hija, y esposo o esposa. Este dato se relaciona con las posibilidades de distribuir o redistribuir las cargas del trabajo doméstico y de cuidado. En los hogares con jefatura femenina, el 41% comparten esta jefatura, lo que implica compartir la toma de decisiones, gastos, responsabilidades y administración del hogar, entre otros aspectos. En hogares con jefatura masculina, este porcentaje aumenta al 53%. Sin embargo, al preguntar a las personas encuestadas sobre su disposición a redistribuir el trabajo doméstico y de cuidado en los hogares, el 48% de los hombres considera que no se debe redistribuir el cuidado directo y el 54% el cuidado indirecto, argumentando que ya están distribuidos equitativamente.  </w:t>
      </w:r>
    </w:p>
    <w:p w14:paraId="0953160C"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Es importante mencionar que el estado civil es una categoría clave en el análisis de las personas, excluyendo los hogares unipersonales. Entre las cuidadoras identificadas, el 45% están casadas o en uniones maritales de hecho, mientras que el 28% están solteras, seguido por un 10% que mencionó estar separadas.</w:t>
      </w:r>
    </w:p>
    <w:p w14:paraId="538170F2"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Según el OMEG 2022, la línea base de la Política Pública de Mujeres y Equidad de Género evidenció que el estado civil es un factor que incide en la decisión de algunas mujeres de no trabajar remuneradamente para dedicarse al cuidado. Por ejemplo, las mujeres entre 18 y 28 años que están casadas, conviven con su pareja por más de dos años o están separadas tienden a renunciar para ejercer labores de cuidado en mayor proporción que las mujeres solteras, con una convivencia menor a dos años o viudas.</w:t>
      </w:r>
    </w:p>
    <w:p w14:paraId="27D6E2A9"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 xml:space="preserve">En relación a las necesidades de cuidado por localidad, se identificó la relación entre el contexto, las características socio-demográficas y económicas en las que las personas cuidadoras se desarrollan, y su relación con las labores domésticas y de cuidado.   </w:t>
      </w:r>
    </w:p>
    <w:p w14:paraId="79C232B3"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Para comprender cómo se configuran las necesidades de cuidado en cada una de las localidades, se utilizan dos enfoques principales: la tasa de dependencia demográfica y la medición de las Necesidades Básicas Insatisfechas (NBI).</w:t>
      </w:r>
    </w:p>
    <w:p w14:paraId="2A1FFDE8" w14:textId="77777777"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Según el informe, la tasa de dependencia demográfica es una aproximación a la carga de cuidado que tienen los hogares, observando la proporción entre la población económicamente dependiente y la población económicamente productiva.</w:t>
      </w:r>
    </w:p>
    <w:p w14:paraId="285C70F1" w14:textId="166989AA" w:rsidR="008C3A64" w:rsidRPr="00343430" w:rsidRDefault="008C3A64" w:rsidP="008C3A64">
      <w:pPr>
        <w:tabs>
          <w:tab w:val="left" w:pos="2338"/>
        </w:tabs>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Por localidad, la tasa de dependencia demográfica muestra que la menor tasa se encuentra en Teusaquillo, con 0</w:t>
      </w:r>
      <w:r w:rsidR="0034182A">
        <w:rPr>
          <w:rFonts w:eastAsia="Calibri" w:cs="Times New Roman (Cuerpo en alfa"/>
          <w:spacing w:val="-6"/>
          <w:szCs w:val="22"/>
          <w:lang w:eastAsia="es-MX"/>
        </w:rPr>
        <w:t>,</w:t>
      </w:r>
      <w:r w:rsidRPr="00343430">
        <w:rPr>
          <w:rFonts w:eastAsia="Calibri" w:cs="Times New Roman (Cuerpo en alfa"/>
          <w:spacing w:val="-6"/>
          <w:szCs w:val="22"/>
          <w:lang w:eastAsia="es-MX"/>
        </w:rPr>
        <w:t>3 personas en edad dependiente por cada persona en edad productiva, mientras que la mayor tasa está en Sumapaz, con 0</w:t>
      </w:r>
      <w:r w:rsidR="0034182A">
        <w:rPr>
          <w:rFonts w:eastAsia="Calibri" w:cs="Times New Roman (Cuerpo en alfa"/>
          <w:spacing w:val="-6"/>
          <w:szCs w:val="22"/>
          <w:lang w:eastAsia="es-MX"/>
        </w:rPr>
        <w:t>,</w:t>
      </w:r>
      <w:r w:rsidRPr="00343430">
        <w:rPr>
          <w:rFonts w:eastAsia="Calibri" w:cs="Times New Roman (Cuerpo en alfa"/>
          <w:spacing w:val="-6"/>
          <w:szCs w:val="22"/>
          <w:lang w:eastAsia="es-MX"/>
        </w:rPr>
        <w:t xml:space="preserve">5 personas en </w:t>
      </w:r>
      <w:r w:rsidRPr="00343430">
        <w:rPr>
          <w:rFonts w:eastAsia="Calibri" w:cs="Times New Roman (Cuerpo en alfa"/>
          <w:spacing w:val="-6"/>
          <w:szCs w:val="22"/>
          <w:lang w:eastAsia="es-MX"/>
        </w:rPr>
        <w:lastRenderedPageBreak/>
        <w:t xml:space="preserve">edad dependiente por cada persona en edad productiva </w:t>
      </w:r>
      <w:r w:rsidRPr="00943D69">
        <w:rPr>
          <w:rFonts w:eastAsia="Calibri" w:cs="Times New Roman (Cuerpo en alfa"/>
          <w:spacing w:val="-6"/>
          <w:szCs w:val="22"/>
          <w:lang w:eastAsia="es-MX"/>
        </w:rPr>
        <w:t>(</w:t>
      </w:r>
      <w:r w:rsidR="00943D69" w:rsidRPr="00943D69">
        <w:rPr>
          <w:rFonts w:eastAsia="Calibri" w:cs="Times New Roman (Cuerpo en alfa"/>
          <w:spacing w:val="-6"/>
          <w:szCs w:val="22"/>
          <w:lang w:eastAsia="es-MX"/>
        </w:rPr>
        <w:fldChar w:fldCharType="begin"/>
      </w:r>
      <w:r w:rsidR="00943D69" w:rsidRPr="00943D69">
        <w:rPr>
          <w:rFonts w:eastAsia="Calibri" w:cs="Times New Roman (Cuerpo en alfa"/>
          <w:spacing w:val="-6"/>
          <w:szCs w:val="22"/>
          <w:lang w:eastAsia="es-MX"/>
        </w:rPr>
        <w:instrText xml:space="preserve"> REF _Ref165113010 \h </w:instrText>
      </w:r>
      <w:r w:rsidR="00943D69" w:rsidRPr="00943D69">
        <w:rPr>
          <w:rFonts w:eastAsia="Calibri" w:cs="Times New Roman (Cuerpo en alfa"/>
          <w:spacing w:val="-6"/>
          <w:szCs w:val="22"/>
          <w:lang w:eastAsia="es-MX"/>
        </w:rPr>
      </w:r>
      <w:r w:rsidR="00943D69" w:rsidRPr="00943D69">
        <w:rPr>
          <w:rFonts w:eastAsia="Calibri" w:cs="Times New Roman (Cuerpo en alfa"/>
          <w:spacing w:val="-6"/>
          <w:szCs w:val="22"/>
          <w:lang w:eastAsia="es-MX"/>
        </w:rPr>
        <w:fldChar w:fldCharType="separate"/>
      </w:r>
      <w:r w:rsidR="00D01651" w:rsidRPr="00943D69">
        <w:rPr>
          <w:color w:val="C00000"/>
          <w:sz w:val="18"/>
          <w:szCs w:val="18"/>
        </w:rPr>
        <w:t xml:space="preserve">Gráfica </w:t>
      </w:r>
      <w:r w:rsidR="00D01651">
        <w:rPr>
          <w:noProof/>
          <w:color w:val="C00000"/>
          <w:sz w:val="18"/>
        </w:rPr>
        <w:t>13</w:t>
      </w:r>
      <w:r w:rsidR="00943D69" w:rsidRPr="00943D69">
        <w:rPr>
          <w:rFonts w:eastAsia="Calibri" w:cs="Times New Roman (Cuerpo en alfa"/>
          <w:spacing w:val="-6"/>
          <w:szCs w:val="22"/>
          <w:lang w:eastAsia="es-MX"/>
        </w:rPr>
        <w:fldChar w:fldCharType="end"/>
      </w:r>
      <w:r w:rsidRPr="00343430">
        <w:rPr>
          <w:rFonts w:eastAsia="Calibri" w:cs="Times New Roman (Cuerpo en alfa"/>
          <w:spacing w:val="-6"/>
          <w:szCs w:val="22"/>
          <w:lang w:eastAsia="es-MX"/>
        </w:rPr>
        <w:t>).</w:t>
      </w:r>
    </w:p>
    <w:p w14:paraId="7D65A836" w14:textId="77777777" w:rsidR="008C3A64" w:rsidRPr="005A31BC" w:rsidRDefault="008C3A64" w:rsidP="008C3A64">
      <w:pPr>
        <w:tabs>
          <w:tab w:val="left" w:pos="2338"/>
        </w:tabs>
        <w:spacing w:after="160" w:line="259" w:lineRule="auto"/>
        <w:rPr>
          <w:rFonts w:eastAsia="Arial" w:cs="Arial"/>
          <w:spacing w:val="-6"/>
          <w:sz w:val="24"/>
          <w:highlight w:val="white"/>
          <w:lang w:eastAsia="es-MX"/>
        </w:rPr>
        <w:sectPr w:rsidR="008C3A64" w:rsidRPr="005A31BC" w:rsidSect="00F7078E">
          <w:type w:val="continuous"/>
          <w:pgSz w:w="12240" w:h="15840"/>
          <w:pgMar w:top="2262" w:right="1440" w:bottom="1440" w:left="1440" w:header="708" w:footer="708" w:gutter="0"/>
          <w:cols w:num="2" w:space="567"/>
        </w:sectPr>
      </w:pPr>
    </w:p>
    <w:p w14:paraId="6BDC5B42" w14:textId="52F31AA3" w:rsidR="008C3A64" w:rsidRPr="00943D69" w:rsidRDefault="00943D69" w:rsidP="00943D69">
      <w:pPr>
        <w:pStyle w:val="Descripcin"/>
        <w:jc w:val="center"/>
        <w:rPr>
          <w:rFonts w:eastAsia="Arial" w:cs="Arial"/>
          <w:b w:val="0"/>
          <w:bCs/>
          <w:spacing w:val="-6"/>
          <w:sz w:val="18"/>
          <w:highlight w:val="white"/>
          <w:lang w:eastAsia="es-MX"/>
        </w:rPr>
      </w:pPr>
      <w:bookmarkStart w:id="86" w:name="_Ref165113010"/>
      <w:bookmarkStart w:id="87" w:name="_Toc165169839"/>
      <w:r w:rsidRPr="00943D69">
        <w:rPr>
          <w:color w:val="C00000"/>
          <w:sz w:val="18"/>
        </w:rPr>
        <w:t xml:space="preserve">Gráfica </w:t>
      </w:r>
      <w:r w:rsidRPr="00943D69">
        <w:rPr>
          <w:color w:val="C00000"/>
          <w:sz w:val="18"/>
        </w:rPr>
        <w:fldChar w:fldCharType="begin"/>
      </w:r>
      <w:r w:rsidRPr="00943D69">
        <w:rPr>
          <w:color w:val="C00000"/>
          <w:sz w:val="18"/>
        </w:rPr>
        <w:instrText xml:space="preserve"> SEQ Gráfica \* ARABIC </w:instrText>
      </w:r>
      <w:r w:rsidRPr="00943D69">
        <w:rPr>
          <w:color w:val="C00000"/>
          <w:sz w:val="18"/>
        </w:rPr>
        <w:fldChar w:fldCharType="separate"/>
      </w:r>
      <w:r w:rsidR="00D01651">
        <w:rPr>
          <w:noProof/>
          <w:color w:val="C00000"/>
          <w:sz w:val="18"/>
        </w:rPr>
        <w:t>13</w:t>
      </w:r>
      <w:r w:rsidRPr="00943D69">
        <w:rPr>
          <w:color w:val="C00000"/>
          <w:sz w:val="18"/>
        </w:rPr>
        <w:fldChar w:fldCharType="end"/>
      </w:r>
      <w:bookmarkEnd w:id="86"/>
      <w:r w:rsidRPr="00943D69">
        <w:rPr>
          <w:color w:val="C00000"/>
          <w:sz w:val="18"/>
        </w:rPr>
        <w:t xml:space="preserve">. </w:t>
      </w:r>
      <w:r w:rsidR="008C3A64" w:rsidRPr="00943D69">
        <w:rPr>
          <w:rFonts w:eastAsia="Arial" w:cs="Arial"/>
          <w:bCs/>
          <w:color w:val="C00000"/>
          <w:spacing w:val="-6"/>
          <w:sz w:val="18"/>
          <w:highlight w:val="white"/>
          <w:lang w:eastAsia="es-MX"/>
        </w:rPr>
        <w:t xml:space="preserve"> </w:t>
      </w:r>
      <w:r w:rsidR="008C3A64" w:rsidRPr="00943D69">
        <w:rPr>
          <w:bCs/>
          <w:spacing w:val="-6"/>
          <w:sz w:val="18"/>
        </w:rPr>
        <w:t>Tasa de dependencia por localidad</w:t>
      </w:r>
      <w:bookmarkEnd w:id="87"/>
    </w:p>
    <w:p w14:paraId="7FA5F2A7" w14:textId="77777777" w:rsidR="008C3A64" w:rsidRPr="00343430" w:rsidRDefault="008C3A64" w:rsidP="008C3A64">
      <w:pPr>
        <w:tabs>
          <w:tab w:val="left" w:pos="2338"/>
        </w:tabs>
        <w:spacing w:after="160" w:line="259" w:lineRule="auto"/>
        <w:jc w:val="center"/>
        <w:rPr>
          <w:rFonts w:eastAsia="Arial" w:cs="Arial"/>
          <w:spacing w:val="-6"/>
          <w:sz w:val="24"/>
          <w:highlight w:val="white"/>
          <w:lang w:eastAsia="es-MX"/>
        </w:rPr>
      </w:pPr>
      <w:r w:rsidRPr="00343430">
        <w:rPr>
          <w:rFonts w:eastAsia="Calibri" w:cs="Calibri"/>
          <w:noProof/>
          <w:spacing w:val="-6"/>
          <w:szCs w:val="22"/>
          <w:lang w:eastAsia="es-MX"/>
        </w:rPr>
        <w:drawing>
          <wp:inline distT="0" distB="0" distL="0" distR="0" wp14:anchorId="358D235B" wp14:editId="42DE9823">
            <wp:extent cx="4478020" cy="2762250"/>
            <wp:effectExtent l="0" t="0" r="5080" b="0"/>
            <wp:docPr id="32" name="Gráfico 32">
              <a:extLst xmlns:a="http://schemas.openxmlformats.org/drawingml/2006/main">
                <a:ext uri="{FF2B5EF4-FFF2-40B4-BE49-F238E27FC236}">
                  <a16:creationId xmlns:a16="http://schemas.microsoft.com/office/drawing/2014/main" id="{9A7B2278-31FE-4AAD-8021-27A5E586E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50E8CD4" w14:textId="1E849C27" w:rsidR="008C3A64" w:rsidRPr="00D72686" w:rsidRDefault="008C3A64" w:rsidP="00D72686">
      <w:pPr>
        <w:tabs>
          <w:tab w:val="left" w:pos="2338"/>
        </w:tabs>
        <w:spacing w:after="160" w:line="259" w:lineRule="auto"/>
        <w:jc w:val="center"/>
        <w:rPr>
          <w:spacing w:val="-6"/>
          <w:sz w:val="18"/>
        </w:rPr>
      </w:pPr>
      <w:r w:rsidRPr="00343430">
        <w:rPr>
          <w:b/>
          <w:bCs/>
          <w:spacing w:val="-6"/>
          <w:sz w:val="18"/>
        </w:rPr>
        <w:t>Fuente:</w:t>
      </w:r>
      <w:r w:rsidRPr="00343430">
        <w:rPr>
          <w:spacing w:val="-6"/>
          <w:sz w:val="18"/>
        </w:rPr>
        <w:t xml:space="preserve"> Línea de base de Cuidado 2021-SDMujer. Cálculos OMEG</w:t>
      </w:r>
    </w:p>
    <w:p w14:paraId="7A3D99F2" w14:textId="77777777" w:rsidR="008C3A64" w:rsidRPr="00270790" w:rsidRDefault="008C3A64" w:rsidP="00D72686">
      <w:pPr>
        <w:pStyle w:val="subnumeros"/>
        <w:numPr>
          <w:ilvl w:val="0"/>
          <w:numId w:val="0"/>
        </w:numPr>
        <w:ind w:left="1145" w:hanging="720"/>
        <w:outlineLvl w:val="9"/>
        <w:rPr>
          <w:rFonts w:eastAsia="Arial"/>
        </w:rPr>
      </w:pPr>
      <w:r w:rsidRPr="00270790">
        <w:rPr>
          <w:rFonts w:eastAsia="Arial"/>
        </w:rPr>
        <w:t>Participación y representación política</w:t>
      </w:r>
    </w:p>
    <w:p w14:paraId="2847DF90" w14:textId="77777777" w:rsidR="008C3A64" w:rsidRPr="005A31BC" w:rsidRDefault="008C3A64" w:rsidP="008C3A64">
      <w:pPr>
        <w:spacing w:after="160" w:line="280" w:lineRule="exact"/>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space="720"/>
        </w:sectPr>
      </w:pPr>
    </w:p>
    <w:p w14:paraId="68585A85" w14:textId="77777777" w:rsidR="008C3A64" w:rsidRPr="00343430" w:rsidRDefault="008C3A64" w:rsidP="008C3A64">
      <w:pPr>
        <w:spacing w:after="16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Según la línea base de la Política Pública de Mujeres y Equidad de Género (SDMujer, 2022), la participación activa de las mujeres en las instancias proporcionadas por el Distrito Capital es un tema de vital importancia, ya que plantea la reflexión sobre las oportunidades de influencia, es decir, cómo se tienen en cuenta las voces femeninas en la creación, coordinación y desarrollo de políticas, planes, programas y proyectos.</w:t>
      </w:r>
    </w:p>
    <w:p w14:paraId="20959DE6" w14:textId="5AFD7929" w:rsidR="008C3A64" w:rsidRPr="00DA4FAD" w:rsidRDefault="008C3A64" w:rsidP="00DA4FAD">
      <w:pPr>
        <w:spacing w:line="240" w:lineRule="auto"/>
        <w:jc w:val="left"/>
        <w:rPr>
          <w:rFonts w:eastAsia="Calibri" w:cs="Times New Roman (Cuerpo en alfa"/>
          <w:spacing w:val="-6"/>
          <w:szCs w:val="22"/>
          <w:lang w:eastAsia="es-MX"/>
        </w:rPr>
      </w:pPr>
      <w:r w:rsidRPr="00343430">
        <w:rPr>
          <w:rFonts w:eastAsia="Calibri" w:cs="Times New Roman (Cuerpo en alfa"/>
          <w:spacing w:val="-6"/>
          <w:szCs w:val="22"/>
          <w:lang w:eastAsia="es-MX"/>
        </w:rPr>
        <w:t xml:space="preserve">En Bogotá, las instancias de participación ciudadana para incidir en estos procesos están </w:t>
      </w:r>
      <w:r w:rsidRPr="00343430">
        <w:rPr>
          <w:rFonts w:eastAsia="Calibri" w:cs="Times New Roman (Cuerpo en alfa"/>
          <w:spacing w:val="-6"/>
          <w:szCs w:val="22"/>
          <w:lang w:eastAsia="es-MX"/>
        </w:rPr>
        <w:t>compuestas principalmente por seis espacios exclusivos destinados a abordar temas de incidencia política en favor de los derechos de las mujeres. Entre ellos se encuentra el Consejo Consultivo de Mujeres, un órgano consultivo de carácter técnico y político que representa las necesidades e intereses de las mujeres en la capital. El objetivo de este organismo es analizar, formular propuestas y contribuir a la eliminación de desigualdades y discriminaciones de género, así como a la consolidación de enfoques de derechos diferenciales y de género en la Política</w:t>
      </w:r>
      <w:r>
        <w:rPr>
          <w:rFonts w:eastAsia="Calibri" w:cs="Times New Roman (Cuerpo en alfa"/>
          <w:spacing w:val="-6"/>
          <w:szCs w:val="22"/>
          <w:lang w:eastAsia="es-MX"/>
        </w:rPr>
        <w:t xml:space="preserve"> </w:t>
      </w:r>
      <w:r w:rsidRPr="00343430">
        <w:rPr>
          <w:rFonts w:eastAsia="Calibri" w:cs="Times New Roman (Cuerpo en alfa"/>
          <w:spacing w:val="-6"/>
          <w:szCs w:val="22"/>
          <w:lang w:eastAsia="es-MX"/>
        </w:rPr>
        <w:t>Pública de Mujeres y Equidad de Género</w:t>
      </w:r>
      <w:r w:rsidR="00DA4FAD" w:rsidRPr="00DA4FAD">
        <w:rPr>
          <w:rFonts w:eastAsia="Calibri" w:cs="Times New Roman (Cuerpo en alfa"/>
          <w:spacing w:val="-6"/>
          <w:szCs w:val="22"/>
          <w:lang w:eastAsia="es-MX"/>
        </w:rPr>
        <w:t xml:space="preserve"> (</w:t>
      </w:r>
      <w:r w:rsidR="00DA4FAD" w:rsidRPr="00DA4FAD">
        <w:rPr>
          <w:rFonts w:eastAsia="Calibri" w:cs="Times New Roman (Cuerpo en alfa"/>
          <w:spacing w:val="-6"/>
          <w:szCs w:val="22"/>
          <w:lang w:eastAsia="es-MX"/>
        </w:rPr>
        <w:fldChar w:fldCharType="begin"/>
      </w:r>
      <w:r w:rsidR="00DA4FAD" w:rsidRPr="00DA4FAD">
        <w:rPr>
          <w:rFonts w:eastAsia="Calibri" w:cs="Times New Roman (Cuerpo en alfa"/>
          <w:spacing w:val="-6"/>
          <w:szCs w:val="22"/>
          <w:lang w:eastAsia="es-MX"/>
        </w:rPr>
        <w:instrText xml:space="preserve"> REF _Ref165171016 \h </w:instrText>
      </w:r>
      <w:r w:rsidR="00DA4FAD" w:rsidRPr="00DA4FAD">
        <w:rPr>
          <w:rFonts w:eastAsia="Calibri" w:cs="Times New Roman (Cuerpo en alfa"/>
          <w:spacing w:val="-6"/>
          <w:szCs w:val="22"/>
          <w:lang w:eastAsia="es-MX"/>
        </w:rPr>
      </w:r>
      <w:r w:rsidR="00DA4FAD" w:rsidRPr="00DA4FAD">
        <w:rPr>
          <w:rFonts w:eastAsia="Calibri" w:cs="Times New Roman (Cuerpo en alfa"/>
          <w:spacing w:val="-6"/>
          <w:szCs w:val="22"/>
          <w:lang w:eastAsia="es-MX"/>
        </w:rPr>
        <w:fldChar w:fldCharType="separate"/>
      </w:r>
      <w:r w:rsidR="00D01651" w:rsidRPr="00D72686">
        <w:rPr>
          <w:color w:val="C00000"/>
          <w:sz w:val="18"/>
          <w:szCs w:val="18"/>
        </w:rPr>
        <w:t xml:space="preserve">Gráfica </w:t>
      </w:r>
      <w:r w:rsidR="00D01651">
        <w:rPr>
          <w:noProof/>
          <w:color w:val="C00000"/>
          <w:sz w:val="18"/>
        </w:rPr>
        <w:t>14</w:t>
      </w:r>
      <w:r w:rsidR="00DA4FAD" w:rsidRPr="00DA4FAD">
        <w:rPr>
          <w:rFonts w:eastAsia="Calibri" w:cs="Times New Roman (Cuerpo en alfa"/>
          <w:spacing w:val="-6"/>
          <w:szCs w:val="22"/>
          <w:lang w:eastAsia="es-MX"/>
        </w:rPr>
        <w:fldChar w:fldCharType="end"/>
      </w:r>
      <w:r w:rsidRPr="00DA4FAD">
        <w:rPr>
          <w:rFonts w:eastAsia="Calibri" w:cs="Times New Roman (Cuerpo en alfa"/>
          <w:spacing w:val="-6"/>
          <w:szCs w:val="22"/>
          <w:lang w:eastAsia="es-MX"/>
        </w:rPr>
        <w:t xml:space="preserve">). </w:t>
      </w:r>
    </w:p>
    <w:p w14:paraId="26D74484" w14:textId="77777777" w:rsidR="008C3A64" w:rsidRPr="00DA4FAD" w:rsidRDefault="008C3A64" w:rsidP="008C3A64">
      <w:pPr>
        <w:spacing w:after="160" w:line="259" w:lineRule="auto"/>
        <w:rPr>
          <w:b/>
          <w:bCs/>
          <w:spacing w:val="-6"/>
          <w:sz w:val="18"/>
        </w:rPr>
        <w:sectPr w:rsidR="008C3A64" w:rsidRPr="00DA4FAD" w:rsidSect="00F7078E">
          <w:type w:val="continuous"/>
          <w:pgSz w:w="12240" w:h="15840"/>
          <w:pgMar w:top="2262" w:right="1440" w:bottom="1440" w:left="1440" w:header="708" w:footer="708" w:gutter="0"/>
          <w:cols w:num="2" w:space="567"/>
        </w:sectPr>
      </w:pPr>
    </w:p>
    <w:p w14:paraId="5277C2D4" w14:textId="77777777" w:rsidR="00A70C8C" w:rsidRPr="00DA4FAD" w:rsidRDefault="00A70C8C">
      <w:pPr>
        <w:spacing w:line="240" w:lineRule="auto"/>
        <w:jc w:val="left"/>
        <w:rPr>
          <w:rFonts w:eastAsiaTheme="minorEastAsia" w:cstheme="minorBidi"/>
          <w:b/>
          <w:iCs/>
          <w:sz w:val="18"/>
          <w:szCs w:val="18"/>
          <w:lang w:val="es-419" w:eastAsia="en-US"/>
        </w:rPr>
      </w:pPr>
      <w:bookmarkStart w:id="88" w:name="_Ref165113096"/>
      <w:r w:rsidRPr="00DA4FAD">
        <w:rPr>
          <w:sz w:val="18"/>
        </w:rPr>
        <w:br w:type="page"/>
      </w:r>
    </w:p>
    <w:p w14:paraId="74B14F19" w14:textId="05AB8429" w:rsidR="008C3A64" w:rsidRPr="00D72686" w:rsidRDefault="00D72686" w:rsidP="00DA4FAD">
      <w:pPr>
        <w:pStyle w:val="Descripcin"/>
        <w:jc w:val="center"/>
        <w:rPr>
          <w:rFonts w:eastAsia="Arial" w:cs="Arial"/>
          <w:spacing w:val="-6"/>
          <w:sz w:val="18"/>
          <w:highlight w:val="white"/>
          <w:lang w:eastAsia="es-MX"/>
        </w:rPr>
      </w:pPr>
      <w:bookmarkStart w:id="89" w:name="_Ref165171016"/>
      <w:bookmarkStart w:id="90" w:name="_Toc165169840"/>
      <w:r w:rsidRPr="00D72686">
        <w:rPr>
          <w:color w:val="C00000"/>
          <w:sz w:val="18"/>
        </w:rPr>
        <w:lastRenderedPageBreak/>
        <w:t xml:space="preserve">Gráfica </w:t>
      </w:r>
      <w:r w:rsidRPr="00D72686">
        <w:rPr>
          <w:color w:val="C00000"/>
          <w:sz w:val="18"/>
        </w:rPr>
        <w:fldChar w:fldCharType="begin"/>
      </w:r>
      <w:r w:rsidRPr="00D72686">
        <w:rPr>
          <w:color w:val="C00000"/>
          <w:sz w:val="18"/>
        </w:rPr>
        <w:instrText xml:space="preserve"> SEQ Gráfica \* ARABIC </w:instrText>
      </w:r>
      <w:r w:rsidRPr="00D72686">
        <w:rPr>
          <w:color w:val="C00000"/>
          <w:sz w:val="18"/>
        </w:rPr>
        <w:fldChar w:fldCharType="separate"/>
      </w:r>
      <w:r w:rsidR="00D01651">
        <w:rPr>
          <w:noProof/>
          <w:color w:val="C00000"/>
          <w:sz w:val="18"/>
        </w:rPr>
        <w:t>14</w:t>
      </w:r>
      <w:r w:rsidRPr="00D72686">
        <w:rPr>
          <w:color w:val="C00000"/>
          <w:sz w:val="18"/>
        </w:rPr>
        <w:fldChar w:fldCharType="end"/>
      </w:r>
      <w:bookmarkEnd w:id="88"/>
      <w:bookmarkEnd w:id="89"/>
      <w:r w:rsidRPr="00D72686">
        <w:rPr>
          <w:color w:val="C00000"/>
          <w:sz w:val="18"/>
        </w:rPr>
        <w:t>.</w:t>
      </w:r>
      <w:r w:rsidR="008C3A64" w:rsidRPr="00D72686">
        <w:rPr>
          <w:rFonts w:eastAsia="Arial" w:cs="Arial"/>
          <w:color w:val="C00000"/>
          <w:spacing w:val="-6"/>
          <w:sz w:val="18"/>
          <w:highlight w:val="white"/>
          <w:lang w:eastAsia="es-MX"/>
        </w:rPr>
        <w:t xml:space="preserve"> </w:t>
      </w:r>
      <w:r w:rsidR="008C3A64" w:rsidRPr="00D72686">
        <w:rPr>
          <w:bCs/>
          <w:spacing w:val="-6"/>
          <w:sz w:val="18"/>
        </w:rPr>
        <w:t>Participación de las mujeres en instancias distritales</w:t>
      </w:r>
      <w:bookmarkEnd w:id="90"/>
    </w:p>
    <w:p w14:paraId="51346C5D" w14:textId="77777777" w:rsidR="008C3A64" w:rsidRPr="00343430" w:rsidRDefault="008C3A64" w:rsidP="008C3A64">
      <w:pPr>
        <w:spacing w:after="160" w:line="259" w:lineRule="auto"/>
        <w:jc w:val="center"/>
        <w:rPr>
          <w:rFonts w:eastAsia="Arial" w:cs="Arial"/>
          <w:noProof/>
          <w:color w:val="0D0D0D"/>
          <w:spacing w:val="-6"/>
          <w:sz w:val="24"/>
          <w:highlight w:val="white"/>
          <w:lang w:eastAsia="es-MX"/>
        </w:rPr>
      </w:pPr>
      <w:r w:rsidRPr="00343430">
        <w:rPr>
          <w:rFonts w:eastAsia="Calibri" w:cs="Calibri"/>
          <w:noProof/>
          <w:spacing w:val="-6"/>
          <w:szCs w:val="22"/>
          <w:lang w:eastAsia="es-MX"/>
        </w:rPr>
        <w:drawing>
          <wp:inline distT="0" distB="0" distL="0" distR="0" wp14:anchorId="3B76ABE7" wp14:editId="707F478F">
            <wp:extent cx="4673600" cy="2667000"/>
            <wp:effectExtent l="0" t="0" r="0" b="0"/>
            <wp:docPr id="33" name="Gráfico 33">
              <a:extLst xmlns:a="http://schemas.openxmlformats.org/drawingml/2006/main">
                <a:ext uri="{FF2B5EF4-FFF2-40B4-BE49-F238E27FC236}">
                  <a16:creationId xmlns:a16="http://schemas.microsoft.com/office/drawing/2014/main" id="{B8DA92AE-A981-E0BE-ABBB-9CB67A8BE9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32E1668" w14:textId="77777777" w:rsidR="008C3A64" w:rsidRDefault="008C3A64" w:rsidP="008C3A64">
      <w:pPr>
        <w:tabs>
          <w:tab w:val="left" w:pos="2338"/>
        </w:tabs>
        <w:spacing w:after="160" w:line="259" w:lineRule="auto"/>
        <w:jc w:val="center"/>
        <w:rPr>
          <w:spacing w:val="-6"/>
          <w:sz w:val="18"/>
        </w:rPr>
      </w:pPr>
      <w:r w:rsidRPr="00343430">
        <w:rPr>
          <w:b/>
          <w:bCs/>
          <w:spacing w:val="-6"/>
          <w:sz w:val="18"/>
        </w:rPr>
        <w:t>Fuente:</w:t>
      </w:r>
      <w:r w:rsidRPr="00343430">
        <w:rPr>
          <w:spacing w:val="-6"/>
          <w:sz w:val="18"/>
        </w:rPr>
        <w:t xml:space="preserve"> Línea de base Política Pública de Mujeres y Equidad de Género 2021-SDMujer. Cálculos OMEG. </w:t>
      </w:r>
    </w:p>
    <w:p w14:paraId="7A1E7FD3" w14:textId="77777777" w:rsidR="008C3A64" w:rsidRDefault="008C3A64" w:rsidP="008C3A64">
      <w:pPr>
        <w:tabs>
          <w:tab w:val="left" w:pos="2338"/>
        </w:tabs>
        <w:spacing w:after="160" w:line="259" w:lineRule="auto"/>
        <w:jc w:val="center"/>
        <w:rPr>
          <w:spacing w:val="-6"/>
          <w:sz w:val="18"/>
        </w:rPr>
      </w:pPr>
    </w:p>
    <w:p w14:paraId="7F1ABF01" w14:textId="77777777" w:rsidR="008C3A64" w:rsidRPr="005A31BC" w:rsidRDefault="008C3A64" w:rsidP="008C3A64">
      <w:pPr>
        <w:tabs>
          <w:tab w:val="left" w:pos="2338"/>
        </w:tabs>
        <w:spacing w:after="160" w:line="259" w:lineRule="auto"/>
        <w:jc w:val="center"/>
        <w:rPr>
          <w:rFonts w:ascii="Calibri" w:eastAsia="Calibri" w:hAnsi="Calibri" w:cs="Times New Roman (Cuerpo en alfa"/>
          <w:spacing w:val="-6"/>
          <w:szCs w:val="22"/>
          <w:lang w:eastAsia="es-MX"/>
        </w:rPr>
        <w:sectPr w:rsidR="008C3A64" w:rsidRPr="005A31BC" w:rsidSect="00F7078E">
          <w:type w:val="continuous"/>
          <w:pgSz w:w="12240" w:h="15840"/>
          <w:pgMar w:top="2262" w:right="1440" w:bottom="1440" w:left="1440" w:header="708" w:footer="708" w:gutter="0"/>
          <w:cols w:space="720"/>
        </w:sectPr>
      </w:pPr>
    </w:p>
    <w:p w14:paraId="401E8538" w14:textId="77777777" w:rsidR="008C3A64" w:rsidRPr="00343430" w:rsidRDefault="008C3A64" w:rsidP="008C3A64">
      <w:pPr>
        <w:pBdr>
          <w:top w:val="none" w:sz="0" w:space="0" w:color="E3E3E3"/>
          <w:left w:val="none" w:sz="0" w:space="0" w:color="E3E3E3"/>
          <w:bottom w:val="none" w:sz="0" w:space="0" w:color="E3E3E3"/>
          <w:right w:val="none" w:sz="0" w:space="0" w:color="E3E3E3"/>
          <w:between w:val="none" w:sz="0" w:space="0" w:color="E3E3E3"/>
        </w:pBdr>
        <w:shd w:val="clear" w:color="auto" w:fill="FFFFFF"/>
        <w:tabs>
          <w:tab w:val="left" w:pos="2338"/>
        </w:tabs>
        <w:spacing w:after="300" w:line="259" w:lineRule="auto"/>
        <w:rPr>
          <w:rFonts w:eastAsia="Calibri" w:cs="Times New Roman (Cuerpo en alfa"/>
          <w:spacing w:val="-6"/>
          <w:szCs w:val="22"/>
          <w:lang w:eastAsia="es-MX"/>
        </w:rPr>
      </w:pPr>
      <w:r w:rsidRPr="00343430">
        <w:rPr>
          <w:rFonts w:eastAsia="Calibri" w:cs="Times New Roman (Cuerpo en alfa"/>
          <w:spacing w:val="-6"/>
          <w:szCs w:val="22"/>
          <w:lang w:eastAsia="es-MX"/>
        </w:rPr>
        <w:t xml:space="preserve">En términos generales, el 21% de las mujeres se involucra en asociaciones de la sociedad civil, especialmente en aquellas con una orientación confesional o cultural. Es notable que en lo que respecta a organizaciones confesionales, como iglesias o grupos religiosos, la mayor participación se registra en la localidad de Antonio Nariño, con un 45%, seguida por Bosa y Engativá, cada una con un 20%. La participación en organizaciones de fe es más frecuente en áreas rurales que en urbanas, y es más común entre mujeres con niveles educativos de primaria (21,3%) y secundaria (13,9%). Además, la </w:t>
      </w:r>
      <w:r w:rsidRPr="00343430">
        <w:rPr>
          <w:rFonts w:eastAsia="Calibri" w:cs="Times New Roman (Cuerpo en alfa"/>
          <w:spacing w:val="-6"/>
          <w:szCs w:val="22"/>
          <w:lang w:eastAsia="es-MX"/>
        </w:rPr>
        <w:t>participación tiende a concentrarse en mujeres mayores de 60 años.</w:t>
      </w:r>
    </w:p>
    <w:p w14:paraId="03ECC7EB" w14:textId="1660BA68" w:rsidR="008C3A64" w:rsidRPr="00444EC8" w:rsidRDefault="008C3A64" w:rsidP="00444EC8">
      <w:pPr>
        <w:pBdr>
          <w:top w:val="none" w:sz="0" w:space="0" w:color="E3E3E3"/>
          <w:left w:val="none" w:sz="0" w:space="0" w:color="E3E3E3"/>
          <w:bottom w:val="none" w:sz="0" w:space="0" w:color="E3E3E3"/>
          <w:right w:val="none" w:sz="0" w:space="0" w:color="E3E3E3"/>
          <w:between w:val="none" w:sz="0" w:space="0" w:color="E3E3E3"/>
        </w:pBdr>
        <w:shd w:val="clear" w:color="auto" w:fill="FFFFFF"/>
        <w:tabs>
          <w:tab w:val="left" w:pos="2338"/>
        </w:tabs>
        <w:spacing w:after="300" w:line="259" w:lineRule="auto"/>
        <w:rPr>
          <w:rFonts w:eastAsia="Calibri" w:cs="Times New Roman (Cuerpo en alfa"/>
          <w:spacing w:val="-6"/>
          <w:szCs w:val="22"/>
          <w:lang w:eastAsia="es-MX"/>
        </w:rPr>
        <w:sectPr w:rsidR="008C3A64" w:rsidRPr="00444EC8" w:rsidSect="00F7078E">
          <w:type w:val="continuous"/>
          <w:pgSz w:w="12240" w:h="15840"/>
          <w:pgMar w:top="2262" w:right="1440" w:bottom="1440" w:left="1440" w:header="708" w:footer="708" w:gutter="0"/>
          <w:cols w:num="2" w:space="567"/>
        </w:sectPr>
      </w:pPr>
      <w:r w:rsidRPr="00343430">
        <w:rPr>
          <w:rFonts w:eastAsia="Calibri" w:cs="Times New Roman (Cuerpo en alfa"/>
          <w:spacing w:val="-6"/>
          <w:szCs w:val="22"/>
          <w:lang w:eastAsia="es-MX"/>
        </w:rPr>
        <w:t>La investigación de la Línea Base también exploró las razones detrás de la no afiliación a estas organizaciones. Si bien la falta de tiempo fue la razón principal (40%), también se observó que el desconocimiento de las organizaciones (20%), la falta de interés (13%) o la desconfianza en estos espacios (10%) son otros factores que plantean interrogantes sobre el significado o la percepción que se tiene sobre la participación en estas instancias.</w:t>
      </w:r>
    </w:p>
    <w:p w14:paraId="2DBE3D44" w14:textId="77777777" w:rsidR="008C3A64" w:rsidRDefault="008C3A64" w:rsidP="00886A9F">
      <w:pPr>
        <w:rPr>
          <w:rFonts w:eastAsiaTheme="minorHAnsi"/>
        </w:rPr>
      </w:pPr>
    </w:p>
    <w:p w14:paraId="76412AB3" w14:textId="30D68418" w:rsidR="008C3A64" w:rsidRPr="00413AF8" w:rsidRDefault="008C3A64" w:rsidP="00444EC8">
      <w:pPr>
        <w:pStyle w:val="subnumeros"/>
        <w:numPr>
          <w:ilvl w:val="0"/>
          <w:numId w:val="0"/>
        </w:numPr>
        <w:ind w:left="1145" w:hanging="720"/>
        <w:outlineLvl w:val="9"/>
        <w:rPr>
          <w:rFonts w:eastAsiaTheme="minorHAnsi"/>
        </w:rPr>
      </w:pPr>
      <w:r w:rsidRPr="00413AF8">
        <w:rPr>
          <w:rFonts w:eastAsiaTheme="minorHAnsi"/>
        </w:rPr>
        <w:t>Grupos etarios</w:t>
      </w:r>
    </w:p>
    <w:p w14:paraId="3D0FFC6E"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708" w:gutter="0"/>
          <w:cols w:space="720"/>
        </w:sectPr>
      </w:pPr>
    </w:p>
    <w:p w14:paraId="2953D4EA" w14:textId="76705A74" w:rsidR="008C3A64" w:rsidRPr="00567F5A" w:rsidRDefault="008C3A64" w:rsidP="008C3A64">
      <w:pPr>
        <w:rPr>
          <w:rFonts w:eastAsia="Calibri" w:cs="Times New Roman (Cuerpo en alfa"/>
          <w:spacing w:val="-6"/>
          <w:szCs w:val="22"/>
          <w:lang w:eastAsia="es-MX"/>
        </w:rPr>
      </w:pPr>
      <w:r w:rsidRPr="00567F5A">
        <w:rPr>
          <w:rFonts w:eastAsia="Calibri" w:cs="Times New Roman (Cuerpo en alfa"/>
          <w:spacing w:val="-6"/>
          <w:szCs w:val="22"/>
          <w:lang w:eastAsia="es-MX"/>
        </w:rPr>
        <w:t xml:space="preserve">De acuerdo con el Censo Nacional de Población y Vivienda - CNPV 2018 y las proyecciones poblacionales ajustadas para los años 2022 y 2026 post Covid-19, se observa un descenso progresivo en la población de Bogotá en grupos Primera Infancia, Infancia, Adolescencia y Juventud, mientras que se registra un incremento en los grupos etarios correspondientes a la Adultez y las Personas mayores. Se </w:t>
      </w:r>
      <w:r w:rsidRPr="00567F5A">
        <w:rPr>
          <w:rFonts w:eastAsia="Calibri" w:cs="Times New Roman (Cuerpo en alfa"/>
          <w:spacing w:val="-6"/>
          <w:szCs w:val="22"/>
          <w:lang w:eastAsia="es-MX"/>
        </w:rPr>
        <w:t xml:space="preserve">destaca que estos dos últimos grupos representan más del 50% de la población total de la ciudad. Estos cambios explican el incremento en la esperanza de vida, la reducción de las tasas de mortalidad entre las Personas mayores y la disminución de la tasa de natalidad en el distrito, lo que refleja una etapa de transición </w:t>
      </w:r>
      <w:r w:rsidRPr="00E0790F">
        <w:rPr>
          <w:rFonts w:eastAsia="Calibri" w:cs="Times New Roman (Cuerpo en alfa"/>
          <w:spacing w:val="-6"/>
          <w:szCs w:val="22"/>
          <w:lang w:eastAsia="es-MX"/>
        </w:rPr>
        <w:t>demográfica (</w:t>
      </w:r>
      <w:r w:rsidR="00F14D15" w:rsidRPr="00E0790F">
        <w:rPr>
          <w:rFonts w:eastAsia="Calibri" w:cs="Times New Roman (Cuerpo en alfa"/>
          <w:spacing w:val="-6"/>
          <w:szCs w:val="22"/>
          <w:lang w:eastAsia="es-MX"/>
        </w:rPr>
        <w:fldChar w:fldCharType="begin"/>
      </w:r>
      <w:r w:rsidR="00F14D15" w:rsidRPr="00E0790F">
        <w:rPr>
          <w:rFonts w:eastAsia="Calibri" w:cs="Times New Roman (Cuerpo en alfa"/>
          <w:spacing w:val="-6"/>
          <w:szCs w:val="22"/>
          <w:lang w:eastAsia="es-MX"/>
        </w:rPr>
        <w:instrText xml:space="preserve"> REF _Ref165113292 \h </w:instrText>
      </w:r>
      <w:r w:rsidR="00F14D15" w:rsidRPr="00E0790F">
        <w:rPr>
          <w:rFonts w:eastAsia="Calibri" w:cs="Times New Roman (Cuerpo en alfa"/>
          <w:spacing w:val="-6"/>
          <w:szCs w:val="22"/>
          <w:lang w:eastAsia="es-MX"/>
        </w:rPr>
      </w:r>
      <w:r w:rsidR="00F14D15" w:rsidRPr="00E0790F">
        <w:rPr>
          <w:rFonts w:eastAsia="Calibri" w:cs="Times New Roman (Cuerpo en alfa"/>
          <w:spacing w:val="-6"/>
          <w:szCs w:val="22"/>
          <w:lang w:eastAsia="es-MX"/>
        </w:rPr>
        <w:fldChar w:fldCharType="separate"/>
      </w:r>
      <w:r w:rsidR="00D01651" w:rsidRPr="001C7FB0">
        <w:rPr>
          <w:color w:val="C00000"/>
          <w:sz w:val="18"/>
          <w:szCs w:val="14"/>
        </w:rPr>
        <w:t xml:space="preserve">Tabla </w:t>
      </w:r>
      <w:r w:rsidR="00D01651">
        <w:rPr>
          <w:noProof/>
          <w:color w:val="C00000"/>
          <w:sz w:val="18"/>
          <w:szCs w:val="14"/>
        </w:rPr>
        <w:t>3</w:t>
      </w:r>
      <w:r w:rsidR="00F14D15" w:rsidRPr="00E0790F">
        <w:rPr>
          <w:rFonts w:eastAsia="Calibri" w:cs="Times New Roman (Cuerpo en alfa"/>
          <w:spacing w:val="-6"/>
          <w:szCs w:val="22"/>
          <w:lang w:eastAsia="es-MX"/>
        </w:rPr>
        <w:fldChar w:fldCharType="end"/>
      </w:r>
      <w:r w:rsidRPr="00567F5A">
        <w:rPr>
          <w:rFonts w:eastAsia="Calibri" w:cs="Times New Roman (Cuerpo en alfa"/>
          <w:spacing w:val="-6"/>
          <w:szCs w:val="22"/>
          <w:lang w:eastAsia="es-MX"/>
        </w:rPr>
        <w:t>).</w:t>
      </w:r>
    </w:p>
    <w:p w14:paraId="101BDD64" w14:textId="77777777" w:rsidR="008C3A64" w:rsidRPr="005A31BC" w:rsidRDefault="008C3A64" w:rsidP="008C3A64">
      <w:pPr>
        <w:rPr>
          <w:rFonts w:ascii="Calibri" w:eastAsia="Calibri" w:hAnsi="Calibri" w:cs="Times New Roman (Cuerpo en alfa"/>
          <w:spacing w:val="-6"/>
          <w:szCs w:val="22"/>
          <w:lang w:eastAsia="es-MX"/>
        </w:rPr>
        <w:sectPr w:rsidR="008C3A64" w:rsidRPr="005A31BC" w:rsidSect="00F7078E">
          <w:footerReference w:type="default" r:id="rId58"/>
          <w:type w:val="continuous"/>
          <w:pgSz w:w="12240" w:h="15840"/>
          <w:pgMar w:top="2262" w:right="1440" w:bottom="1440" w:left="1440" w:header="708" w:footer="708" w:gutter="0"/>
          <w:cols w:num="2" w:space="567"/>
        </w:sectPr>
      </w:pPr>
    </w:p>
    <w:p w14:paraId="2DE9E9BB" w14:textId="11500061" w:rsidR="008C3A64" w:rsidRPr="001C7FB0" w:rsidRDefault="001C7FB0" w:rsidP="001C7FB0">
      <w:pPr>
        <w:pStyle w:val="Descripcin"/>
        <w:jc w:val="center"/>
        <w:rPr>
          <w:bCs/>
          <w:spacing w:val="-6"/>
          <w:sz w:val="18"/>
          <w:szCs w:val="14"/>
        </w:rPr>
      </w:pPr>
      <w:bookmarkStart w:id="91" w:name="_Ref165113292"/>
      <w:bookmarkStart w:id="92" w:name="_Ref165113285"/>
      <w:bookmarkStart w:id="93" w:name="_Toc165169913"/>
      <w:r w:rsidRPr="001C7FB0">
        <w:rPr>
          <w:color w:val="C00000"/>
          <w:sz w:val="18"/>
          <w:szCs w:val="14"/>
        </w:rPr>
        <w:lastRenderedPageBreak/>
        <w:t xml:space="preserve">Tabla </w:t>
      </w:r>
      <w:r w:rsidRPr="001C7FB0">
        <w:rPr>
          <w:color w:val="C00000"/>
          <w:sz w:val="18"/>
          <w:szCs w:val="14"/>
        </w:rPr>
        <w:fldChar w:fldCharType="begin"/>
      </w:r>
      <w:r w:rsidRPr="001C7FB0">
        <w:rPr>
          <w:color w:val="C00000"/>
          <w:sz w:val="18"/>
          <w:szCs w:val="14"/>
        </w:rPr>
        <w:instrText xml:space="preserve"> SEQ Tabla \* ARABIC </w:instrText>
      </w:r>
      <w:r w:rsidRPr="001C7FB0">
        <w:rPr>
          <w:color w:val="C00000"/>
          <w:sz w:val="18"/>
          <w:szCs w:val="14"/>
        </w:rPr>
        <w:fldChar w:fldCharType="separate"/>
      </w:r>
      <w:r w:rsidR="00D01651">
        <w:rPr>
          <w:noProof/>
          <w:color w:val="C00000"/>
          <w:sz w:val="18"/>
          <w:szCs w:val="14"/>
        </w:rPr>
        <w:t>3</w:t>
      </w:r>
      <w:r w:rsidRPr="001C7FB0">
        <w:rPr>
          <w:color w:val="C00000"/>
          <w:sz w:val="18"/>
          <w:szCs w:val="14"/>
        </w:rPr>
        <w:fldChar w:fldCharType="end"/>
      </w:r>
      <w:bookmarkEnd w:id="91"/>
      <w:r w:rsidRPr="001C7FB0">
        <w:rPr>
          <w:color w:val="C00000"/>
          <w:sz w:val="18"/>
          <w:szCs w:val="14"/>
        </w:rPr>
        <w:t xml:space="preserve">. </w:t>
      </w:r>
      <w:r w:rsidR="008C3A64" w:rsidRPr="001C7FB0">
        <w:rPr>
          <w:bCs/>
          <w:spacing w:val="-6"/>
          <w:sz w:val="18"/>
          <w:szCs w:val="14"/>
        </w:rPr>
        <w:t>Proporción de la población por curso de vida, Bogotá (2018-2022-2026)</w:t>
      </w:r>
      <w:bookmarkEnd w:id="92"/>
      <w:bookmarkEnd w:id="93"/>
    </w:p>
    <w:tbl>
      <w:tblPr>
        <w:tblW w:w="8217" w:type="dxa"/>
        <w:jc w:val="center"/>
        <w:tblBorders>
          <w:bottom w:val="double" w:sz="4" w:space="0" w:color="C00000"/>
          <w:insideH w:val="double" w:sz="4" w:space="0" w:color="C00000"/>
          <w:insideV w:val="double" w:sz="4" w:space="0" w:color="C00000"/>
        </w:tblBorders>
        <w:tblLayout w:type="fixed"/>
        <w:tblLook w:val="0400" w:firstRow="0" w:lastRow="0" w:firstColumn="0" w:lastColumn="0" w:noHBand="0" w:noVBand="1"/>
      </w:tblPr>
      <w:tblGrid>
        <w:gridCol w:w="1701"/>
        <w:gridCol w:w="1418"/>
        <w:gridCol w:w="845"/>
        <w:gridCol w:w="1281"/>
        <w:gridCol w:w="846"/>
        <w:gridCol w:w="1134"/>
        <w:gridCol w:w="992"/>
      </w:tblGrid>
      <w:tr w:rsidR="008C3A64" w:rsidRPr="001C7FB0" w14:paraId="2A9DD16C" w14:textId="77777777" w:rsidTr="001C7FB0">
        <w:trPr>
          <w:trHeight w:val="499"/>
          <w:jc w:val="center"/>
        </w:trPr>
        <w:tc>
          <w:tcPr>
            <w:tcW w:w="1701" w:type="dxa"/>
            <w:vMerge w:val="restart"/>
            <w:shd w:val="clear" w:color="auto" w:fill="C00000"/>
            <w:vAlign w:val="center"/>
          </w:tcPr>
          <w:p w14:paraId="01B86E99" w14:textId="77777777" w:rsidR="008C3A64" w:rsidRPr="001C7FB0" w:rsidRDefault="008C3A64" w:rsidP="00FF1F9A">
            <w:pPr>
              <w:jc w:val="right"/>
              <w:rPr>
                <w:b/>
                <w:color w:val="FFFFFF" w:themeColor="background1"/>
                <w:spacing w:val="-6"/>
                <w:sz w:val="18"/>
                <w:szCs w:val="18"/>
              </w:rPr>
            </w:pPr>
            <w:r w:rsidRPr="001C7FB0">
              <w:rPr>
                <w:b/>
                <w:color w:val="FFFFFF" w:themeColor="background1"/>
                <w:spacing w:val="-6"/>
                <w:sz w:val="18"/>
                <w:szCs w:val="18"/>
              </w:rPr>
              <w:t>Curso de vida</w:t>
            </w:r>
          </w:p>
        </w:tc>
        <w:tc>
          <w:tcPr>
            <w:tcW w:w="2263" w:type="dxa"/>
            <w:gridSpan w:val="2"/>
            <w:shd w:val="clear" w:color="auto" w:fill="C00000"/>
            <w:vAlign w:val="center"/>
          </w:tcPr>
          <w:p w14:paraId="1B7797E2" w14:textId="77777777" w:rsidR="008C3A64" w:rsidRPr="001C7FB0" w:rsidRDefault="008C3A64" w:rsidP="00FF1F9A">
            <w:pPr>
              <w:jc w:val="center"/>
              <w:rPr>
                <w:b/>
                <w:color w:val="FFFFFF" w:themeColor="background1"/>
                <w:spacing w:val="-6"/>
                <w:sz w:val="18"/>
                <w:szCs w:val="18"/>
              </w:rPr>
            </w:pPr>
            <w:r w:rsidRPr="001C7FB0">
              <w:rPr>
                <w:b/>
                <w:color w:val="FFFFFF" w:themeColor="background1"/>
                <w:spacing w:val="-6"/>
                <w:sz w:val="18"/>
                <w:szCs w:val="18"/>
              </w:rPr>
              <w:t>2018</w:t>
            </w:r>
          </w:p>
        </w:tc>
        <w:tc>
          <w:tcPr>
            <w:tcW w:w="2127" w:type="dxa"/>
            <w:gridSpan w:val="2"/>
            <w:shd w:val="clear" w:color="auto" w:fill="C00000"/>
            <w:vAlign w:val="center"/>
          </w:tcPr>
          <w:p w14:paraId="560A8AB3" w14:textId="7F84E7BE" w:rsidR="008C3A64" w:rsidRPr="001C7FB0" w:rsidRDefault="008C3A64" w:rsidP="00FF1F9A">
            <w:pPr>
              <w:jc w:val="center"/>
              <w:rPr>
                <w:b/>
                <w:color w:val="FFFFFF" w:themeColor="background1"/>
                <w:spacing w:val="-6"/>
                <w:sz w:val="18"/>
                <w:szCs w:val="18"/>
              </w:rPr>
            </w:pPr>
            <w:r w:rsidRPr="001C7FB0">
              <w:rPr>
                <w:b/>
                <w:color w:val="FFFFFF" w:themeColor="background1"/>
                <w:spacing w:val="-6"/>
                <w:sz w:val="18"/>
                <w:szCs w:val="18"/>
              </w:rPr>
              <w:t>2022</w:t>
            </w:r>
          </w:p>
        </w:tc>
        <w:tc>
          <w:tcPr>
            <w:tcW w:w="2126" w:type="dxa"/>
            <w:gridSpan w:val="2"/>
            <w:shd w:val="clear" w:color="auto" w:fill="C00000"/>
            <w:vAlign w:val="center"/>
          </w:tcPr>
          <w:p w14:paraId="6D77DE73" w14:textId="28BB4FFF" w:rsidR="008C3A64" w:rsidRPr="001C7FB0" w:rsidRDefault="008C3A64" w:rsidP="00FF1F9A">
            <w:pPr>
              <w:jc w:val="center"/>
              <w:rPr>
                <w:b/>
                <w:color w:val="FFFFFF" w:themeColor="background1"/>
                <w:spacing w:val="-6"/>
                <w:sz w:val="18"/>
                <w:szCs w:val="18"/>
              </w:rPr>
            </w:pPr>
            <w:r w:rsidRPr="001C7FB0">
              <w:rPr>
                <w:b/>
                <w:color w:val="FFFFFF" w:themeColor="background1"/>
                <w:spacing w:val="-6"/>
                <w:sz w:val="18"/>
                <w:szCs w:val="18"/>
              </w:rPr>
              <w:t>2026</w:t>
            </w:r>
          </w:p>
        </w:tc>
      </w:tr>
      <w:tr w:rsidR="008C3A64" w:rsidRPr="001C7FB0" w14:paraId="7531A3CE" w14:textId="77777777" w:rsidTr="001C7FB0">
        <w:trPr>
          <w:trHeight w:val="501"/>
          <w:jc w:val="center"/>
        </w:trPr>
        <w:tc>
          <w:tcPr>
            <w:tcW w:w="1701" w:type="dxa"/>
            <w:vMerge/>
            <w:shd w:val="clear" w:color="auto" w:fill="C00000"/>
            <w:vAlign w:val="center"/>
          </w:tcPr>
          <w:p w14:paraId="0377E897" w14:textId="77777777" w:rsidR="008C3A64" w:rsidRPr="001C7FB0" w:rsidRDefault="008C3A64" w:rsidP="00FF1F9A">
            <w:pPr>
              <w:widowControl w:val="0"/>
              <w:pBdr>
                <w:top w:val="nil"/>
                <w:left w:val="nil"/>
                <w:bottom w:val="nil"/>
                <w:right w:val="nil"/>
                <w:between w:val="nil"/>
              </w:pBdr>
              <w:spacing w:line="276" w:lineRule="auto"/>
              <w:jc w:val="right"/>
              <w:rPr>
                <w:b/>
                <w:color w:val="FFFFFF" w:themeColor="background1"/>
                <w:spacing w:val="-6"/>
                <w:sz w:val="18"/>
                <w:szCs w:val="18"/>
              </w:rPr>
            </w:pPr>
          </w:p>
        </w:tc>
        <w:tc>
          <w:tcPr>
            <w:tcW w:w="1418" w:type="dxa"/>
            <w:shd w:val="clear" w:color="auto" w:fill="C00000"/>
            <w:vAlign w:val="center"/>
          </w:tcPr>
          <w:p w14:paraId="2A229FDB" w14:textId="77777777" w:rsidR="008C3A64" w:rsidRPr="001C7FB0" w:rsidRDefault="008C3A64" w:rsidP="00FF1F9A">
            <w:pPr>
              <w:jc w:val="center"/>
              <w:rPr>
                <w:b/>
                <w:bCs/>
                <w:color w:val="FFFFFF" w:themeColor="background1"/>
                <w:spacing w:val="-6"/>
                <w:sz w:val="18"/>
                <w:szCs w:val="18"/>
              </w:rPr>
            </w:pPr>
            <w:r w:rsidRPr="001C7FB0">
              <w:rPr>
                <w:b/>
                <w:bCs/>
                <w:color w:val="FFFFFF" w:themeColor="background1"/>
                <w:spacing w:val="-6"/>
                <w:sz w:val="18"/>
                <w:szCs w:val="18"/>
              </w:rPr>
              <w:t>Número</w:t>
            </w:r>
          </w:p>
        </w:tc>
        <w:tc>
          <w:tcPr>
            <w:tcW w:w="845" w:type="dxa"/>
            <w:shd w:val="clear" w:color="auto" w:fill="C00000"/>
            <w:vAlign w:val="center"/>
          </w:tcPr>
          <w:p w14:paraId="0D5B547A" w14:textId="77777777" w:rsidR="008C3A64" w:rsidRPr="001C7FB0" w:rsidRDefault="008C3A64" w:rsidP="00FF1F9A">
            <w:pPr>
              <w:jc w:val="center"/>
              <w:rPr>
                <w:b/>
                <w:bCs/>
                <w:color w:val="FFFFFF" w:themeColor="background1"/>
                <w:spacing w:val="-6"/>
                <w:sz w:val="18"/>
                <w:szCs w:val="18"/>
              </w:rPr>
            </w:pPr>
            <w:r w:rsidRPr="001C7FB0">
              <w:rPr>
                <w:b/>
                <w:bCs/>
                <w:color w:val="FFFFFF" w:themeColor="background1"/>
                <w:spacing w:val="-6"/>
                <w:sz w:val="18"/>
                <w:szCs w:val="18"/>
              </w:rPr>
              <w:t>%</w:t>
            </w:r>
          </w:p>
        </w:tc>
        <w:tc>
          <w:tcPr>
            <w:tcW w:w="1281" w:type="dxa"/>
            <w:shd w:val="clear" w:color="auto" w:fill="C00000"/>
            <w:vAlign w:val="center"/>
          </w:tcPr>
          <w:p w14:paraId="03C47D7A" w14:textId="77777777" w:rsidR="008C3A64" w:rsidRPr="001C7FB0" w:rsidRDefault="008C3A64" w:rsidP="00FF1F9A">
            <w:pPr>
              <w:jc w:val="center"/>
              <w:rPr>
                <w:b/>
                <w:bCs/>
                <w:color w:val="FFFFFF" w:themeColor="background1"/>
                <w:spacing w:val="-6"/>
                <w:sz w:val="18"/>
                <w:szCs w:val="18"/>
              </w:rPr>
            </w:pPr>
            <w:r w:rsidRPr="001C7FB0">
              <w:rPr>
                <w:b/>
                <w:bCs/>
                <w:color w:val="FFFFFF" w:themeColor="background1"/>
                <w:spacing w:val="-6"/>
                <w:sz w:val="18"/>
                <w:szCs w:val="18"/>
              </w:rPr>
              <w:t>Número</w:t>
            </w:r>
          </w:p>
        </w:tc>
        <w:tc>
          <w:tcPr>
            <w:tcW w:w="846" w:type="dxa"/>
            <w:shd w:val="clear" w:color="auto" w:fill="C00000"/>
            <w:vAlign w:val="center"/>
          </w:tcPr>
          <w:p w14:paraId="240E6ACB" w14:textId="77777777" w:rsidR="008C3A64" w:rsidRPr="001C7FB0" w:rsidRDefault="008C3A64" w:rsidP="00FF1F9A">
            <w:pPr>
              <w:jc w:val="center"/>
              <w:rPr>
                <w:b/>
                <w:bCs/>
                <w:color w:val="FFFFFF" w:themeColor="background1"/>
                <w:spacing w:val="-6"/>
                <w:sz w:val="18"/>
                <w:szCs w:val="18"/>
              </w:rPr>
            </w:pPr>
            <w:r w:rsidRPr="001C7FB0">
              <w:rPr>
                <w:b/>
                <w:bCs/>
                <w:color w:val="FFFFFF" w:themeColor="background1"/>
                <w:spacing w:val="-6"/>
                <w:sz w:val="18"/>
                <w:szCs w:val="18"/>
              </w:rPr>
              <w:t>%</w:t>
            </w:r>
          </w:p>
        </w:tc>
        <w:tc>
          <w:tcPr>
            <w:tcW w:w="1134" w:type="dxa"/>
            <w:shd w:val="clear" w:color="auto" w:fill="C00000"/>
            <w:vAlign w:val="center"/>
          </w:tcPr>
          <w:p w14:paraId="5823AD6F" w14:textId="77777777" w:rsidR="008C3A64" w:rsidRPr="001C7FB0" w:rsidRDefault="008C3A64" w:rsidP="00FF1F9A">
            <w:pPr>
              <w:jc w:val="center"/>
              <w:rPr>
                <w:b/>
                <w:bCs/>
                <w:color w:val="FFFFFF" w:themeColor="background1"/>
                <w:spacing w:val="-6"/>
                <w:sz w:val="18"/>
                <w:szCs w:val="18"/>
              </w:rPr>
            </w:pPr>
            <w:r w:rsidRPr="001C7FB0">
              <w:rPr>
                <w:b/>
                <w:bCs/>
                <w:color w:val="FFFFFF" w:themeColor="background1"/>
                <w:spacing w:val="-6"/>
                <w:sz w:val="18"/>
                <w:szCs w:val="18"/>
              </w:rPr>
              <w:t>Número</w:t>
            </w:r>
          </w:p>
        </w:tc>
        <w:tc>
          <w:tcPr>
            <w:tcW w:w="992" w:type="dxa"/>
            <w:shd w:val="clear" w:color="auto" w:fill="C00000"/>
            <w:vAlign w:val="center"/>
          </w:tcPr>
          <w:p w14:paraId="6BC1644C" w14:textId="77777777" w:rsidR="008C3A64" w:rsidRPr="001C7FB0" w:rsidRDefault="008C3A64" w:rsidP="00FF1F9A">
            <w:pPr>
              <w:jc w:val="center"/>
              <w:rPr>
                <w:b/>
                <w:bCs/>
                <w:color w:val="FFFFFF" w:themeColor="background1"/>
                <w:spacing w:val="-6"/>
                <w:sz w:val="18"/>
                <w:szCs w:val="18"/>
              </w:rPr>
            </w:pPr>
            <w:r w:rsidRPr="001C7FB0">
              <w:rPr>
                <w:b/>
                <w:bCs/>
                <w:color w:val="FFFFFF" w:themeColor="background1"/>
                <w:spacing w:val="-6"/>
                <w:sz w:val="18"/>
                <w:szCs w:val="18"/>
              </w:rPr>
              <w:t>%</w:t>
            </w:r>
          </w:p>
        </w:tc>
      </w:tr>
      <w:tr w:rsidR="008C3A64" w:rsidRPr="001C7FB0" w14:paraId="6349FF3A" w14:textId="77777777" w:rsidTr="001C7FB0">
        <w:trPr>
          <w:trHeight w:val="747"/>
          <w:jc w:val="center"/>
        </w:trPr>
        <w:tc>
          <w:tcPr>
            <w:tcW w:w="1701" w:type="dxa"/>
            <w:vAlign w:val="center"/>
          </w:tcPr>
          <w:p w14:paraId="0C65FAC5" w14:textId="77777777" w:rsidR="008C3A64" w:rsidRPr="001C7FB0" w:rsidRDefault="008C3A64" w:rsidP="00FD08B2">
            <w:pPr>
              <w:pStyle w:val="Contenidotablas"/>
              <w:spacing w:before="120" w:after="120"/>
              <w:jc w:val="right"/>
              <w:rPr>
                <w:sz w:val="18"/>
                <w:szCs w:val="18"/>
              </w:rPr>
            </w:pPr>
            <w:r w:rsidRPr="001C7FB0">
              <w:rPr>
                <w:sz w:val="18"/>
                <w:szCs w:val="18"/>
              </w:rPr>
              <w:t>Primera Infancia</w:t>
            </w:r>
          </w:p>
          <w:p w14:paraId="3F51FE74" w14:textId="77777777" w:rsidR="008C3A64" w:rsidRPr="001C7FB0" w:rsidRDefault="008C3A64" w:rsidP="00FD08B2">
            <w:pPr>
              <w:pStyle w:val="Contenidotablas"/>
              <w:spacing w:before="120" w:after="120"/>
              <w:jc w:val="right"/>
              <w:rPr>
                <w:sz w:val="18"/>
                <w:szCs w:val="18"/>
              </w:rPr>
            </w:pPr>
            <w:r w:rsidRPr="001C7FB0">
              <w:rPr>
                <w:sz w:val="18"/>
                <w:szCs w:val="18"/>
              </w:rPr>
              <w:t xml:space="preserve">0 a 5 años   </w:t>
            </w:r>
          </w:p>
        </w:tc>
        <w:tc>
          <w:tcPr>
            <w:tcW w:w="1418" w:type="dxa"/>
            <w:vAlign w:val="center"/>
          </w:tcPr>
          <w:p w14:paraId="479B8C65" w14:textId="77777777" w:rsidR="008C3A64" w:rsidRPr="001C7FB0" w:rsidRDefault="008C3A64" w:rsidP="00FD08B2">
            <w:pPr>
              <w:pStyle w:val="Contenidotablas"/>
              <w:spacing w:before="120" w:after="120"/>
              <w:jc w:val="right"/>
              <w:rPr>
                <w:sz w:val="18"/>
                <w:szCs w:val="18"/>
              </w:rPr>
            </w:pPr>
            <w:r w:rsidRPr="001C7FB0">
              <w:rPr>
                <w:sz w:val="18"/>
                <w:szCs w:val="18"/>
              </w:rPr>
              <w:t>569.639</w:t>
            </w:r>
          </w:p>
        </w:tc>
        <w:tc>
          <w:tcPr>
            <w:tcW w:w="845" w:type="dxa"/>
            <w:vAlign w:val="center"/>
          </w:tcPr>
          <w:p w14:paraId="3565D9E1" w14:textId="77777777" w:rsidR="008C3A64" w:rsidRPr="001C7FB0" w:rsidRDefault="008C3A64" w:rsidP="00FD08B2">
            <w:pPr>
              <w:pStyle w:val="Contenidotablas"/>
              <w:spacing w:before="120" w:after="120"/>
              <w:jc w:val="right"/>
              <w:rPr>
                <w:sz w:val="18"/>
                <w:szCs w:val="18"/>
              </w:rPr>
            </w:pPr>
            <w:r w:rsidRPr="001C7FB0">
              <w:rPr>
                <w:sz w:val="18"/>
                <w:szCs w:val="18"/>
              </w:rPr>
              <w:t>7,7</w:t>
            </w:r>
          </w:p>
        </w:tc>
        <w:tc>
          <w:tcPr>
            <w:tcW w:w="1281" w:type="dxa"/>
            <w:vAlign w:val="center"/>
          </w:tcPr>
          <w:p w14:paraId="1F6468C1" w14:textId="77777777" w:rsidR="008C3A64" w:rsidRPr="001C7FB0" w:rsidRDefault="008C3A64" w:rsidP="00FD08B2">
            <w:pPr>
              <w:pStyle w:val="Contenidotablas"/>
              <w:spacing w:before="120" w:after="120"/>
              <w:jc w:val="right"/>
              <w:rPr>
                <w:sz w:val="18"/>
                <w:szCs w:val="18"/>
              </w:rPr>
            </w:pPr>
            <w:r w:rsidRPr="001C7FB0">
              <w:rPr>
                <w:sz w:val="18"/>
                <w:szCs w:val="18"/>
              </w:rPr>
              <w:t>577.509</w:t>
            </w:r>
          </w:p>
        </w:tc>
        <w:tc>
          <w:tcPr>
            <w:tcW w:w="846" w:type="dxa"/>
            <w:vAlign w:val="center"/>
          </w:tcPr>
          <w:p w14:paraId="6A1369AF" w14:textId="77777777" w:rsidR="008C3A64" w:rsidRPr="001C7FB0" w:rsidRDefault="008C3A64" w:rsidP="00FD08B2">
            <w:pPr>
              <w:pStyle w:val="Contenidotablas"/>
              <w:spacing w:before="120" w:after="120"/>
              <w:jc w:val="right"/>
              <w:rPr>
                <w:sz w:val="18"/>
                <w:szCs w:val="18"/>
              </w:rPr>
            </w:pPr>
            <w:r w:rsidRPr="001C7FB0">
              <w:rPr>
                <w:sz w:val="18"/>
                <w:szCs w:val="18"/>
              </w:rPr>
              <w:t>7,3</w:t>
            </w:r>
          </w:p>
        </w:tc>
        <w:tc>
          <w:tcPr>
            <w:tcW w:w="1134" w:type="dxa"/>
            <w:vAlign w:val="center"/>
          </w:tcPr>
          <w:p w14:paraId="05CA59E9" w14:textId="77777777" w:rsidR="008C3A64" w:rsidRPr="001C7FB0" w:rsidRDefault="008C3A64" w:rsidP="00FD08B2">
            <w:pPr>
              <w:pStyle w:val="Contenidotablas"/>
              <w:spacing w:before="120" w:after="120"/>
              <w:jc w:val="right"/>
              <w:rPr>
                <w:sz w:val="18"/>
                <w:szCs w:val="18"/>
              </w:rPr>
            </w:pPr>
            <w:r w:rsidRPr="001C7FB0">
              <w:rPr>
                <w:sz w:val="18"/>
                <w:szCs w:val="18"/>
              </w:rPr>
              <w:t>538.001</w:t>
            </w:r>
          </w:p>
        </w:tc>
        <w:tc>
          <w:tcPr>
            <w:tcW w:w="992" w:type="dxa"/>
            <w:vAlign w:val="center"/>
          </w:tcPr>
          <w:p w14:paraId="3EE7F25F" w14:textId="77777777" w:rsidR="008C3A64" w:rsidRPr="001C7FB0" w:rsidRDefault="008C3A64" w:rsidP="00FD08B2">
            <w:pPr>
              <w:pStyle w:val="Contenidotablas"/>
              <w:spacing w:before="120" w:after="120"/>
              <w:jc w:val="right"/>
              <w:rPr>
                <w:sz w:val="18"/>
                <w:szCs w:val="18"/>
              </w:rPr>
            </w:pPr>
            <w:r w:rsidRPr="001C7FB0">
              <w:rPr>
                <w:sz w:val="18"/>
                <w:szCs w:val="18"/>
              </w:rPr>
              <w:t>6,8</w:t>
            </w:r>
          </w:p>
        </w:tc>
      </w:tr>
      <w:tr w:rsidR="008C3A64" w:rsidRPr="001C7FB0" w14:paraId="079FA24A" w14:textId="77777777" w:rsidTr="001C7FB0">
        <w:trPr>
          <w:trHeight w:val="679"/>
          <w:jc w:val="center"/>
        </w:trPr>
        <w:tc>
          <w:tcPr>
            <w:tcW w:w="1701" w:type="dxa"/>
            <w:vAlign w:val="center"/>
          </w:tcPr>
          <w:p w14:paraId="28D1304F" w14:textId="77777777" w:rsidR="008C3A64" w:rsidRPr="001C7FB0" w:rsidRDefault="008C3A64" w:rsidP="00FD08B2">
            <w:pPr>
              <w:pStyle w:val="Contenidotablas"/>
              <w:spacing w:before="120" w:after="120"/>
              <w:jc w:val="right"/>
              <w:rPr>
                <w:sz w:val="18"/>
                <w:szCs w:val="18"/>
              </w:rPr>
            </w:pPr>
            <w:r w:rsidRPr="001C7FB0">
              <w:rPr>
                <w:sz w:val="18"/>
                <w:szCs w:val="18"/>
              </w:rPr>
              <w:t>Infancia</w:t>
            </w:r>
          </w:p>
          <w:p w14:paraId="7C37112D" w14:textId="77777777" w:rsidR="008C3A64" w:rsidRPr="001C7FB0" w:rsidRDefault="008C3A64" w:rsidP="00FD08B2">
            <w:pPr>
              <w:pStyle w:val="Contenidotablas"/>
              <w:spacing w:before="120" w:after="120"/>
              <w:jc w:val="right"/>
              <w:rPr>
                <w:sz w:val="18"/>
                <w:szCs w:val="18"/>
              </w:rPr>
            </w:pPr>
            <w:r w:rsidRPr="001C7FB0">
              <w:rPr>
                <w:sz w:val="18"/>
                <w:szCs w:val="18"/>
              </w:rPr>
              <w:t>6 a 11 años</w:t>
            </w:r>
          </w:p>
        </w:tc>
        <w:tc>
          <w:tcPr>
            <w:tcW w:w="1418" w:type="dxa"/>
            <w:vAlign w:val="center"/>
          </w:tcPr>
          <w:p w14:paraId="679ADA50" w14:textId="77777777" w:rsidR="008C3A64" w:rsidRPr="001C7FB0" w:rsidRDefault="008C3A64" w:rsidP="00FD08B2">
            <w:pPr>
              <w:pStyle w:val="Contenidotablas"/>
              <w:spacing w:before="120" w:after="120"/>
              <w:jc w:val="right"/>
              <w:rPr>
                <w:sz w:val="18"/>
                <w:szCs w:val="18"/>
              </w:rPr>
            </w:pPr>
            <w:r w:rsidRPr="001C7FB0">
              <w:rPr>
                <w:sz w:val="18"/>
                <w:szCs w:val="18"/>
              </w:rPr>
              <w:t>570.282</w:t>
            </w:r>
          </w:p>
        </w:tc>
        <w:tc>
          <w:tcPr>
            <w:tcW w:w="845" w:type="dxa"/>
            <w:vAlign w:val="center"/>
          </w:tcPr>
          <w:p w14:paraId="3AB62FB7" w14:textId="77777777" w:rsidR="008C3A64" w:rsidRPr="001C7FB0" w:rsidRDefault="008C3A64" w:rsidP="00FD08B2">
            <w:pPr>
              <w:pStyle w:val="Contenidotablas"/>
              <w:spacing w:before="120" w:after="120"/>
              <w:jc w:val="right"/>
              <w:rPr>
                <w:sz w:val="18"/>
                <w:szCs w:val="18"/>
              </w:rPr>
            </w:pPr>
            <w:r w:rsidRPr="001C7FB0">
              <w:rPr>
                <w:sz w:val="18"/>
                <w:szCs w:val="18"/>
              </w:rPr>
              <w:t>7,7</w:t>
            </w:r>
          </w:p>
        </w:tc>
        <w:tc>
          <w:tcPr>
            <w:tcW w:w="1281" w:type="dxa"/>
            <w:vAlign w:val="center"/>
          </w:tcPr>
          <w:p w14:paraId="7A515499" w14:textId="77777777" w:rsidR="008C3A64" w:rsidRPr="001C7FB0" w:rsidRDefault="008C3A64" w:rsidP="00FD08B2">
            <w:pPr>
              <w:pStyle w:val="Contenidotablas"/>
              <w:spacing w:before="120" w:after="120"/>
              <w:jc w:val="right"/>
              <w:rPr>
                <w:sz w:val="18"/>
                <w:szCs w:val="18"/>
              </w:rPr>
            </w:pPr>
            <w:r w:rsidRPr="001C7FB0">
              <w:rPr>
                <w:sz w:val="18"/>
                <w:szCs w:val="18"/>
              </w:rPr>
              <w:t>574.007</w:t>
            </w:r>
          </w:p>
        </w:tc>
        <w:tc>
          <w:tcPr>
            <w:tcW w:w="846" w:type="dxa"/>
            <w:vAlign w:val="center"/>
          </w:tcPr>
          <w:p w14:paraId="1D27589C" w14:textId="77777777" w:rsidR="008C3A64" w:rsidRPr="001C7FB0" w:rsidRDefault="008C3A64" w:rsidP="00FD08B2">
            <w:pPr>
              <w:pStyle w:val="Contenidotablas"/>
              <w:spacing w:before="120" w:after="120"/>
              <w:jc w:val="right"/>
              <w:rPr>
                <w:sz w:val="18"/>
                <w:szCs w:val="18"/>
              </w:rPr>
            </w:pPr>
            <w:r w:rsidRPr="001C7FB0">
              <w:rPr>
                <w:sz w:val="18"/>
                <w:szCs w:val="18"/>
              </w:rPr>
              <w:t>7,3</w:t>
            </w:r>
          </w:p>
        </w:tc>
        <w:tc>
          <w:tcPr>
            <w:tcW w:w="1134" w:type="dxa"/>
            <w:vAlign w:val="center"/>
          </w:tcPr>
          <w:p w14:paraId="097F2939" w14:textId="77777777" w:rsidR="008C3A64" w:rsidRPr="001C7FB0" w:rsidRDefault="008C3A64" w:rsidP="00FD08B2">
            <w:pPr>
              <w:pStyle w:val="Contenidotablas"/>
              <w:spacing w:before="120" w:after="120"/>
              <w:jc w:val="right"/>
              <w:rPr>
                <w:sz w:val="18"/>
                <w:szCs w:val="18"/>
              </w:rPr>
            </w:pPr>
            <w:r w:rsidRPr="001C7FB0">
              <w:rPr>
                <w:sz w:val="18"/>
                <w:szCs w:val="18"/>
              </w:rPr>
              <w:t>566.804</w:t>
            </w:r>
          </w:p>
        </w:tc>
        <w:tc>
          <w:tcPr>
            <w:tcW w:w="992" w:type="dxa"/>
            <w:vAlign w:val="center"/>
          </w:tcPr>
          <w:p w14:paraId="6E5D2D4C" w14:textId="77777777" w:rsidR="008C3A64" w:rsidRPr="001C7FB0" w:rsidRDefault="008C3A64" w:rsidP="00FD08B2">
            <w:pPr>
              <w:pStyle w:val="Contenidotablas"/>
              <w:spacing w:before="120" w:after="120"/>
              <w:jc w:val="right"/>
              <w:rPr>
                <w:sz w:val="18"/>
                <w:szCs w:val="18"/>
              </w:rPr>
            </w:pPr>
            <w:r w:rsidRPr="001C7FB0">
              <w:rPr>
                <w:sz w:val="18"/>
                <w:szCs w:val="18"/>
              </w:rPr>
              <w:t>7,1</w:t>
            </w:r>
          </w:p>
        </w:tc>
      </w:tr>
      <w:tr w:rsidR="008C3A64" w:rsidRPr="001C7FB0" w14:paraId="4DE17BF1" w14:textId="77777777" w:rsidTr="001C7FB0">
        <w:trPr>
          <w:trHeight w:val="674"/>
          <w:jc w:val="center"/>
        </w:trPr>
        <w:tc>
          <w:tcPr>
            <w:tcW w:w="1701" w:type="dxa"/>
            <w:vAlign w:val="center"/>
          </w:tcPr>
          <w:p w14:paraId="1221B718" w14:textId="77777777" w:rsidR="008C3A64" w:rsidRPr="001C7FB0" w:rsidRDefault="008C3A64" w:rsidP="00FD08B2">
            <w:pPr>
              <w:pStyle w:val="Contenidotablas"/>
              <w:spacing w:before="120" w:after="120"/>
              <w:jc w:val="right"/>
              <w:rPr>
                <w:sz w:val="18"/>
                <w:szCs w:val="18"/>
              </w:rPr>
            </w:pPr>
            <w:r w:rsidRPr="001C7FB0">
              <w:rPr>
                <w:sz w:val="18"/>
                <w:szCs w:val="18"/>
              </w:rPr>
              <w:t xml:space="preserve">Adolescencia </w:t>
            </w:r>
          </w:p>
          <w:p w14:paraId="3279CEC3" w14:textId="68FC0F8E" w:rsidR="008C3A64" w:rsidRPr="001C7FB0" w:rsidRDefault="008C3A64" w:rsidP="00FD08B2">
            <w:pPr>
              <w:pStyle w:val="Contenidotablas"/>
              <w:spacing w:before="120" w:after="120"/>
              <w:jc w:val="right"/>
              <w:rPr>
                <w:sz w:val="18"/>
                <w:szCs w:val="18"/>
              </w:rPr>
            </w:pPr>
            <w:r w:rsidRPr="001C7FB0">
              <w:rPr>
                <w:sz w:val="18"/>
                <w:szCs w:val="18"/>
              </w:rPr>
              <w:t>12</w:t>
            </w:r>
            <w:r w:rsidR="001C7FB0">
              <w:rPr>
                <w:sz w:val="18"/>
                <w:szCs w:val="18"/>
              </w:rPr>
              <w:t xml:space="preserve"> a </w:t>
            </w:r>
            <w:r w:rsidRPr="001C7FB0">
              <w:rPr>
                <w:sz w:val="18"/>
                <w:szCs w:val="18"/>
              </w:rPr>
              <w:t>17 años</w:t>
            </w:r>
          </w:p>
        </w:tc>
        <w:tc>
          <w:tcPr>
            <w:tcW w:w="1418" w:type="dxa"/>
            <w:vAlign w:val="center"/>
          </w:tcPr>
          <w:p w14:paraId="05FDEDC7" w14:textId="77777777" w:rsidR="008C3A64" w:rsidRPr="001C7FB0" w:rsidRDefault="008C3A64" w:rsidP="00FD08B2">
            <w:pPr>
              <w:pStyle w:val="Contenidotablas"/>
              <w:spacing w:before="120" w:after="120"/>
              <w:jc w:val="right"/>
              <w:rPr>
                <w:sz w:val="18"/>
                <w:szCs w:val="18"/>
              </w:rPr>
            </w:pPr>
            <w:r w:rsidRPr="001C7FB0">
              <w:rPr>
                <w:sz w:val="18"/>
                <w:szCs w:val="18"/>
              </w:rPr>
              <w:t>627.869</w:t>
            </w:r>
          </w:p>
        </w:tc>
        <w:tc>
          <w:tcPr>
            <w:tcW w:w="845" w:type="dxa"/>
            <w:vAlign w:val="center"/>
          </w:tcPr>
          <w:p w14:paraId="7997A416" w14:textId="77777777" w:rsidR="008C3A64" w:rsidRPr="001C7FB0" w:rsidRDefault="008C3A64" w:rsidP="00FD08B2">
            <w:pPr>
              <w:pStyle w:val="Contenidotablas"/>
              <w:spacing w:before="120" w:after="120"/>
              <w:jc w:val="right"/>
              <w:rPr>
                <w:sz w:val="18"/>
                <w:szCs w:val="18"/>
              </w:rPr>
            </w:pPr>
            <w:r w:rsidRPr="001C7FB0">
              <w:rPr>
                <w:sz w:val="18"/>
                <w:szCs w:val="18"/>
              </w:rPr>
              <w:t>8,5</w:t>
            </w:r>
          </w:p>
        </w:tc>
        <w:tc>
          <w:tcPr>
            <w:tcW w:w="1281" w:type="dxa"/>
            <w:vAlign w:val="center"/>
          </w:tcPr>
          <w:p w14:paraId="497ED40E" w14:textId="77777777" w:rsidR="008C3A64" w:rsidRPr="001C7FB0" w:rsidRDefault="008C3A64" w:rsidP="00FD08B2">
            <w:pPr>
              <w:pStyle w:val="Contenidotablas"/>
              <w:spacing w:before="120" w:after="120"/>
              <w:jc w:val="right"/>
              <w:rPr>
                <w:sz w:val="18"/>
                <w:szCs w:val="18"/>
              </w:rPr>
            </w:pPr>
            <w:r w:rsidRPr="001C7FB0">
              <w:rPr>
                <w:sz w:val="18"/>
                <w:szCs w:val="18"/>
              </w:rPr>
              <w:t>578.444</w:t>
            </w:r>
          </w:p>
        </w:tc>
        <w:tc>
          <w:tcPr>
            <w:tcW w:w="846" w:type="dxa"/>
            <w:vAlign w:val="center"/>
          </w:tcPr>
          <w:p w14:paraId="219A04DD" w14:textId="77777777" w:rsidR="008C3A64" w:rsidRPr="001C7FB0" w:rsidRDefault="008C3A64" w:rsidP="00FD08B2">
            <w:pPr>
              <w:pStyle w:val="Contenidotablas"/>
              <w:spacing w:before="120" w:after="120"/>
              <w:jc w:val="right"/>
              <w:rPr>
                <w:sz w:val="18"/>
                <w:szCs w:val="18"/>
              </w:rPr>
            </w:pPr>
            <w:r w:rsidRPr="001C7FB0">
              <w:rPr>
                <w:sz w:val="18"/>
                <w:szCs w:val="18"/>
              </w:rPr>
              <w:t>7,3</w:t>
            </w:r>
          </w:p>
        </w:tc>
        <w:tc>
          <w:tcPr>
            <w:tcW w:w="1134" w:type="dxa"/>
            <w:vAlign w:val="center"/>
          </w:tcPr>
          <w:p w14:paraId="2CB95BB7" w14:textId="77777777" w:rsidR="008C3A64" w:rsidRPr="001C7FB0" w:rsidRDefault="008C3A64" w:rsidP="00FD08B2">
            <w:pPr>
              <w:pStyle w:val="Contenidotablas"/>
              <w:spacing w:before="120" w:after="120"/>
              <w:jc w:val="right"/>
              <w:rPr>
                <w:sz w:val="18"/>
                <w:szCs w:val="18"/>
              </w:rPr>
            </w:pPr>
            <w:r w:rsidRPr="001C7FB0">
              <w:rPr>
                <w:sz w:val="18"/>
                <w:szCs w:val="18"/>
              </w:rPr>
              <w:t>545.099</w:t>
            </w:r>
          </w:p>
        </w:tc>
        <w:tc>
          <w:tcPr>
            <w:tcW w:w="992" w:type="dxa"/>
            <w:vAlign w:val="center"/>
          </w:tcPr>
          <w:p w14:paraId="5E00559E" w14:textId="77777777" w:rsidR="008C3A64" w:rsidRPr="001C7FB0" w:rsidRDefault="008C3A64" w:rsidP="00FD08B2">
            <w:pPr>
              <w:pStyle w:val="Contenidotablas"/>
              <w:spacing w:before="120" w:after="120"/>
              <w:jc w:val="right"/>
              <w:rPr>
                <w:sz w:val="18"/>
                <w:szCs w:val="18"/>
              </w:rPr>
            </w:pPr>
            <w:r w:rsidRPr="001C7FB0">
              <w:rPr>
                <w:sz w:val="18"/>
                <w:szCs w:val="18"/>
              </w:rPr>
              <w:t>6,9</w:t>
            </w:r>
          </w:p>
        </w:tc>
      </w:tr>
      <w:tr w:rsidR="008C3A64" w:rsidRPr="001C7FB0" w14:paraId="1F40837F" w14:textId="77777777" w:rsidTr="001C7FB0">
        <w:trPr>
          <w:jc w:val="center"/>
        </w:trPr>
        <w:tc>
          <w:tcPr>
            <w:tcW w:w="1701" w:type="dxa"/>
            <w:vAlign w:val="center"/>
          </w:tcPr>
          <w:p w14:paraId="5E5CBBD1" w14:textId="77777777" w:rsidR="008C3A64" w:rsidRPr="001C7FB0" w:rsidRDefault="008C3A64" w:rsidP="00FD08B2">
            <w:pPr>
              <w:pStyle w:val="Contenidotablas"/>
              <w:spacing w:before="120" w:after="120"/>
              <w:jc w:val="right"/>
              <w:rPr>
                <w:sz w:val="18"/>
                <w:szCs w:val="18"/>
              </w:rPr>
            </w:pPr>
            <w:r w:rsidRPr="001C7FB0">
              <w:rPr>
                <w:sz w:val="18"/>
                <w:szCs w:val="18"/>
              </w:rPr>
              <w:t xml:space="preserve">Juventud </w:t>
            </w:r>
          </w:p>
          <w:p w14:paraId="269E3704" w14:textId="73D3FD99" w:rsidR="008C3A64" w:rsidRPr="001C7FB0" w:rsidRDefault="008C3A64" w:rsidP="00FD08B2">
            <w:pPr>
              <w:pStyle w:val="Contenidotablas"/>
              <w:spacing w:before="120" w:after="120"/>
              <w:jc w:val="right"/>
              <w:rPr>
                <w:sz w:val="18"/>
                <w:szCs w:val="18"/>
              </w:rPr>
            </w:pPr>
            <w:r w:rsidRPr="001C7FB0">
              <w:rPr>
                <w:sz w:val="18"/>
                <w:szCs w:val="18"/>
              </w:rPr>
              <w:t>18</w:t>
            </w:r>
            <w:r w:rsidR="001C7FB0">
              <w:rPr>
                <w:sz w:val="18"/>
                <w:szCs w:val="18"/>
              </w:rPr>
              <w:t xml:space="preserve"> a </w:t>
            </w:r>
            <w:r w:rsidRPr="001C7FB0">
              <w:rPr>
                <w:sz w:val="18"/>
                <w:szCs w:val="18"/>
              </w:rPr>
              <w:t>28 años</w:t>
            </w:r>
          </w:p>
        </w:tc>
        <w:tc>
          <w:tcPr>
            <w:tcW w:w="1418" w:type="dxa"/>
            <w:vAlign w:val="center"/>
          </w:tcPr>
          <w:p w14:paraId="1EB1521F" w14:textId="77777777" w:rsidR="008C3A64" w:rsidRPr="001C7FB0" w:rsidRDefault="008C3A64" w:rsidP="00FD08B2">
            <w:pPr>
              <w:pStyle w:val="Contenidotablas"/>
              <w:spacing w:before="120" w:after="120"/>
              <w:jc w:val="right"/>
              <w:rPr>
                <w:sz w:val="18"/>
                <w:szCs w:val="18"/>
              </w:rPr>
            </w:pPr>
            <w:r w:rsidRPr="001C7FB0">
              <w:rPr>
                <w:sz w:val="18"/>
                <w:szCs w:val="18"/>
              </w:rPr>
              <w:t>1.519.979</w:t>
            </w:r>
          </w:p>
        </w:tc>
        <w:tc>
          <w:tcPr>
            <w:tcW w:w="845" w:type="dxa"/>
            <w:vAlign w:val="center"/>
          </w:tcPr>
          <w:p w14:paraId="13A8358C" w14:textId="77777777" w:rsidR="008C3A64" w:rsidRPr="001C7FB0" w:rsidRDefault="008C3A64" w:rsidP="00FD08B2">
            <w:pPr>
              <w:pStyle w:val="Contenidotablas"/>
              <w:spacing w:before="120" w:after="120"/>
              <w:jc w:val="right"/>
              <w:rPr>
                <w:sz w:val="18"/>
                <w:szCs w:val="18"/>
              </w:rPr>
            </w:pPr>
            <w:r w:rsidRPr="001C7FB0">
              <w:rPr>
                <w:sz w:val="18"/>
                <w:szCs w:val="18"/>
              </w:rPr>
              <w:t>20,5</w:t>
            </w:r>
          </w:p>
        </w:tc>
        <w:tc>
          <w:tcPr>
            <w:tcW w:w="1281" w:type="dxa"/>
            <w:vAlign w:val="center"/>
          </w:tcPr>
          <w:p w14:paraId="371AFDDF" w14:textId="77777777" w:rsidR="008C3A64" w:rsidRPr="001C7FB0" w:rsidRDefault="008C3A64" w:rsidP="00FD08B2">
            <w:pPr>
              <w:pStyle w:val="Contenidotablas"/>
              <w:spacing w:before="120" w:after="120"/>
              <w:jc w:val="right"/>
              <w:rPr>
                <w:sz w:val="18"/>
                <w:szCs w:val="18"/>
              </w:rPr>
            </w:pPr>
            <w:r w:rsidRPr="001C7FB0">
              <w:rPr>
                <w:sz w:val="18"/>
                <w:szCs w:val="18"/>
              </w:rPr>
              <w:t>1.515.604</w:t>
            </w:r>
          </w:p>
        </w:tc>
        <w:tc>
          <w:tcPr>
            <w:tcW w:w="846" w:type="dxa"/>
            <w:vAlign w:val="center"/>
          </w:tcPr>
          <w:p w14:paraId="218A2ED4" w14:textId="77777777" w:rsidR="008C3A64" w:rsidRPr="001C7FB0" w:rsidRDefault="008C3A64" w:rsidP="00FD08B2">
            <w:pPr>
              <w:pStyle w:val="Contenidotablas"/>
              <w:spacing w:before="120" w:after="120"/>
              <w:jc w:val="right"/>
              <w:rPr>
                <w:sz w:val="18"/>
                <w:szCs w:val="18"/>
              </w:rPr>
            </w:pPr>
            <w:r w:rsidRPr="001C7FB0">
              <w:rPr>
                <w:sz w:val="18"/>
                <w:szCs w:val="18"/>
              </w:rPr>
              <w:t>19,2</w:t>
            </w:r>
          </w:p>
        </w:tc>
        <w:tc>
          <w:tcPr>
            <w:tcW w:w="1134" w:type="dxa"/>
            <w:vAlign w:val="center"/>
          </w:tcPr>
          <w:p w14:paraId="4D33342F" w14:textId="77777777" w:rsidR="008C3A64" w:rsidRPr="001C7FB0" w:rsidRDefault="008C3A64" w:rsidP="00FD08B2">
            <w:pPr>
              <w:pStyle w:val="Contenidotablas"/>
              <w:spacing w:before="120" w:after="120"/>
              <w:jc w:val="right"/>
              <w:rPr>
                <w:sz w:val="18"/>
                <w:szCs w:val="18"/>
              </w:rPr>
            </w:pPr>
            <w:r w:rsidRPr="001C7FB0">
              <w:rPr>
                <w:sz w:val="18"/>
                <w:szCs w:val="18"/>
              </w:rPr>
              <w:t>1.332.924</w:t>
            </w:r>
          </w:p>
        </w:tc>
        <w:tc>
          <w:tcPr>
            <w:tcW w:w="992" w:type="dxa"/>
            <w:vAlign w:val="center"/>
          </w:tcPr>
          <w:p w14:paraId="4065DF9E" w14:textId="77777777" w:rsidR="008C3A64" w:rsidRPr="001C7FB0" w:rsidRDefault="008C3A64" w:rsidP="00FD08B2">
            <w:pPr>
              <w:pStyle w:val="Contenidotablas"/>
              <w:spacing w:before="120" w:after="120"/>
              <w:jc w:val="right"/>
              <w:rPr>
                <w:sz w:val="18"/>
                <w:szCs w:val="18"/>
              </w:rPr>
            </w:pPr>
            <w:r w:rsidRPr="001C7FB0">
              <w:rPr>
                <w:sz w:val="18"/>
                <w:szCs w:val="18"/>
              </w:rPr>
              <w:t>16,8</w:t>
            </w:r>
          </w:p>
        </w:tc>
      </w:tr>
      <w:tr w:rsidR="008C3A64" w:rsidRPr="001C7FB0" w14:paraId="4F5357EC" w14:textId="77777777" w:rsidTr="001C7FB0">
        <w:trPr>
          <w:jc w:val="center"/>
        </w:trPr>
        <w:tc>
          <w:tcPr>
            <w:tcW w:w="1701" w:type="dxa"/>
            <w:vAlign w:val="center"/>
          </w:tcPr>
          <w:p w14:paraId="0901637A" w14:textId="77777777" w:rsidR="008C3A64" w:rsidRPr="001C7FB0" w:rsidRDefault="008C3A64" w:rsidP="00FD08B2">
            <w:pPr>
              <w:pStyle w:val="Contenidotablas"/>
              <w:spacing w:before="120" w:after="120"/>
              <w:jc w:val="right"/>
              <w:rPr>
                <w:sz w:val="18"/>
                <w:szCs w:val="18"/>
              </w:rPr>
            </w:pPr>
            <w:r w:rsidRPr="001C7FB0">
              <w:rPr>
                <w:sz w:val="18"/>
                <w:szCs w:val="18"/>
              </w:rPr>
              <w:t xml:space="preserve">Adultez </w:t>
            </w:r>
          </w:p>
          <w:p w14:paraId="1551E59D" w14:textId="51B4179B" w:rsidR="008C3A64" w:rsidRPr="001C7FB0" w:rsidRDefault="008C3A64" w:rsidP="00FD08B2">
            <w:pPr>
              <w:pStyle w:val="Contenidotablas"/>
              <w:spacing w:before="120" w:after="120"/>
              <w:jc w:val="right"/>
              <w:rPr>
                <w:sz w:val="18"/>
                <w:szCs w:val="18"/>
              </w:rPr>
            </w:pPr>
            <w:r w:rsidRPr="001C7FB0">
              <w:rPr>
                <w:sz w:val="18"/>
                <w:szCs w:val="18"/>
              </w:rPr>
              <w:t>29</w:t>
            </w:r>
            <w:r w:rsidR="001C7FB0">
              <w:rPr>
                <w:sz w:val="18"/>
                <w:szCs w:val="18"/>
              </w:rPr>
              <w:t xml:space="preserve"> a </w:t>
            </w:r>
            <w:r w:rsidRPr="001C7FB0">
              <w:rPr>
                <w:sz w:val="18"/>
                <w:szCs w:val="18"/>
              </w:rPr>
              <w:t xml:space="preserve">59 años </w:t>
            </w:r>
          </w:p>
        </w:tc>
        <w:tc>
          <w:tcPr>
            <w:tcW w:w="1418" w:type="dxa"/>
            <w:vAlign w:val="center"/>
          </w:tcPr>
          <w:p w14:paraId="01E2648C" w14:textId="77777777" w:rsidR="008C3A64" w:rsidRPr="001C7FB0" w:rsidRDefault="008C3A64" w:rsidP="00FD08B2">
            <w:pPr>
              <w:pStyle w:val="Contenidotablas"/>
              <w:spacing w:before="120" w:after="120"/>
              <w:jc w:val="right"/>
              <w:rPr>
                <w:sz w:val="18"/>
                <w:szCs w:val="18"/>
              </w:rPr>
            </w:pPr>
            <w:r w:rsidRPr="001C7FB0">
              <w:rPr>
                <w:sz w:val="18"/>
                <w:szCs w:val="18"/>
              </w:rPr>
              <w:t>3.178.230</w:t>
            </w:r>
          </w:p>
        </w:tc>
        <w:tc>
          <w:tcPr>
            <w:tcW w:w="845" w:type="dxa"/>
            <w:vAlign w:val="center"/>
          </w:tcPr>
          <w:p w14:paraId="6537FE49" w14:textId="77777777" w:rsidR="008C3A64" w:rsidRPr="001C7FB0" w:rsidRDefault="008C3A64" w:rsidP="00FD08B2">
            <w:pPr>
              <w:pStyle w:val="Contenidotablas"/>
              <w:spacing w:before="120" w:after="120"/>
              <w:jc w:val="right"/>
              <w:rPr>
                <w:sz w:val="18"/>
                <w:szCs w:val="18"/>
              </w:rPr>
            </w:pPr>
            <w:r w:rsidRPr="001C7FB0">
              <w:rPr>
                <w:sz w:val="18"/>
                <w:szCs w:val="18"/>
              </w:rPr>
              <w:t>42,9</w:t>
            </w:r>
          </w:p>
        </w:tc>
        <w:tc>
          <w:tcPr>
            <w:tcW w:w="1281" w:type="dxa"/>
            <w:vAlign w:val="center"/>
          </w:tcPr>
          <w:p w14:paraId="302335E7" w14:textId="77777777" w:rsidR="008C3A64" w:rsidRPr="001C7FB0" w:rsidRDefault="008C3A64" w:rsidP="00FD08B2">
            <w:pPr>
              <w:pStyle w:val="Contenidotablas"/>
              <w:spacing w:before="120" w:after="120"/>
              <w:jc w:val="right"/>
              <w:rPr>
                <w:sz w:val="18"/>
                <w:szCs w:val="18"/>
              </w:rPr>
            </w:pPr>
            <w:r w:rsidRPr="001C7FB0">
              <w:rPr>
                <w:sz w:val="18"/>
                <w:szCs w:val="18"/>
              </w:rPr>
              <w:t>3.489.406</w:t>
            </w:r>
          </w:p>
        </w:tc>
        <w:tc>
          <w:tcPr>
            <w:tcW w:w="846" w:type="dxa"/>
            <w:vAlign w:val="center"/>
          </w:tcPr>
          <w:p w14:paraId="51D7A14E" w14:textId="77777777" w:rsidR="008C3A64" w:rsidRPr="001C7FB0" w:rsidRDefault="008C3A64" w:rsidP="00FD08B2">
            <w:pPr>
              <w:pStyle w:val="Contenidotablas"/>
              <w:spacing w:before="120" w:after="120"/>
              <w:jc w:val="right"/>
              <w:rPr>
                <w:sz w:val="18"/>
                <w:szCs w:val="18"/>
              </w:rPr>
            </w:pPr>
            <w:r w:rsidRPr="001C7FB0">
              <w:rPr>
                <w:sz w:val="18"/>
                <w:szCs w:val="18"/>
              </w:rPr>
              <w:t>44,3</w:t>
            </w:r>
          </w:p>
        </w:tc>
        <w:tc>
          <w:tcPr>
            <w:tcW w:w="1134" w:type="dxa"/>
            <w:vAlign w:val="center"/>
          </w:tcPr>
          <w:p w14:paraId="585404A0" w14:textId="77777777" w:rsidR="008C3A64" w:rsidRPr="001C7FB0" w:rsidRDefault="008C3A64" w:rsidP="00FD08B2">
            <w:pPr>
              <w:pStyle w:val="Contenidotablas"/>
              <w:spacing w:before="120" w:after="120"/>
              <w:jc w:val="right"/>
              <w:rPr>
                <w:sz w:val="18"/>
                <w:szCs w:val="18"/>
              </w:rPr>
            </w:pPr>
            <w:r w:rsidRPr="001C7FB0">
              <w:rPr>
                <w:sz w:val="18"/>
                <w:szCs w:val="18"/>
              </w:rPr>
              <w:t>3.647.991</w:t>
            </w:r>
          </w:p>
        </w:tc>
        <w:tc>
          <w:tcPr>
            <w:tcW w:w="992" w:type="dxa"/>
            <w:vAlign w:val="center"/>
          </w:tcPr>
          <w:p w14:paraId="2A425F6B" w14:textId="77777777" w:rsidR="008C3A64" w:rsidRPr="001C7FB0" w:rsidRDefault="008C3A64" w:rsidP="00FD08B2">
            <w:pPr>
              <w:pStyle w:val="Contenidotablas"/>
              <w:spacing w:before="120" w:after="120"/>
              <w:jc w:val="right"/>
              <w:rPr>
                <w:sz w:val="18"/>
                <w:szCs w:val="18"/>
              </w:rPr>
            </w:pPr>
            <w:r w:rsidRPr="001C7FB0">
              <w:rPr>
                <w:sz w:val="18"/>
                <w:szCs w:val="18"/>
              </w:rPr>
              <w:t>46,0</w:t>
            </w:r>
          </w:p>
        </w:tc>
      </w:tr>
      <w:tr w:rsidR="008C3A64" w:rsidRPr="001C7FB0" w14:paraId="55921711" w14:textId="77777777" w:rsidTr="001C7FB0">
        <w:trPr>
          <w:trHeight w:val="672"/>
          <w:jc w:val="center"/>
        </w:trPr>
        <w:tc>
          <w:tcPr>
            <w:tcW w:w="1701" w:type="dxa"/>
            <w:vAlign w:val="center"/>
          </w:tcPr>
          <w:p w14:paraId="4B60E096" w14:textId="77777777" w:rsidR="008C3A64" w:rsidRPr="001C7FB0" w:rsidRDefault="008C3A64" w:rsidP="00FD08B2">
            <w:pPr>
              <w:pStyle w:val="Contenidotablas"/>
              <w:spacing w:before="120" w:after="120"/>
              <w:jc w:val="right"/>
              <w:rPr>
                <w:sz w:val="18"/>
                <w:szCs w:val="18"/>
              </w:rPr>
            </w:pPr>
            <w:r w:rsidRPr="001C7FB0">
              <w:rPr>
                <w:sz w:val="18"/>
                <w:szCs w:val="18"/>
              </w:rPr>
              <w:t>Vejez</w:t>
            </w:r>
          </w:p>
          <w:p w14:paraId="5E94AAE4" w14:textId="77777777" w:rsidR="008C3A64" w:rsidRPr="001C7FB0" w:rsidRDefault="008C3A64" w:rsidP="00FD08B2">
            <w:pPr>
              <w:pStyle w:val="Contenidotablas"/>
              <w:spacing w:before="120" w:after="120"/>
              <w:jc w:val="right"/>
              <w:rPr>
                <w:sz w:val="18"/>
                <w:szCs w:val="18"/>
              </w:rPr>
            </w:pPr>
            <w:r w:rsidRPr="001C7FB0">
              <w:rPr>
                <w:sz w:val="18"/>
                <w:szCs w:val="18"/>
              </w:rPr>
              <w:t>60 y más años</w:t>
            </w:r>
          </w:p>
        </w:tc>
        <w:tc>
          <w:tcPr>
            <w:tcW w:w="1418" w:type="dxa"/>
            <w:vAlign w:val="center"/>
          </w:tcPr>
          <w:p w14:paraId="086CC2D9" w14:textId="77777777" w:rsidR="008C3A64" w:rsidRPr="001C7FB0" w:rsidRDefault="008C3A64" w:rsidP="00FD08B2">
            <w:pPr>
              <w:pStyle w:val="Contenidotablas"/>
              <w:spacing w:before="120" w:after="120"/>
              <w:jc w:val="right"/>
              <w:rPr>
                <w:sz w:val="18"/>
                <w:szCs w:val="18"/>
              </w:rPr>
            </w:pPr>
            <w:r w:rsidRPr="001C7FB0">
              <w:rPr>
                <w:sz w:val="18"/>
                <w:szCs w:val="18"/>
              </w:rPr>
              <w:t>946.567</w:t>
            </w:r>
          </w:p>
        </w:tc>
        <w:tc>
          <w:tcPr>
            <w:tcW w:w="845" w:type="dxa"/>
            <w:vAlign w:val="center"/>
          </w:tcPr>
          <w:p w14:paraId="4F7BC663" w14:textId="77777777" w:rsidR="008C3A64" w:rsidRPr="001C7FB0" w:rsidRDefault="008C3A64" w:rsidP="00FD08B2">
            <w:pPr>
              <w:pStyle w:val="Contenidotablas"/>
              <w:spacing w:before="120" w:after="120"/>
              <w:jc w:val="right"/>
              <w:rPr>
                <w:sz w:val="18"/>
                <w:szCs w:val="18"/>
              </w:rPr>
            </w:pPr>
            <w:r w:rsidRPr="001C7FB0">
              <w:rPr>
                <w:sz w:val="18"/>
                <w:szCs w:val="18"/>
              </w:rPr>
              <w:t>12,8</w:t>
            </w:r>
          </w:p>
        </w:tc>
        <w:tc>
          <w:tcPr>
            <w:tcW w:w="1281" w:type="dxa"/>
            <w:vAlign w:val="center"/>
          </w:tcPr>
          <w:p w14:paraId="5A76AFB6" w14:textId="77777777" w:rsidR="008C3A64" w:rsidRPr="001C7FB0" w:rsidRDefault="008C3A64" w:rsidP="00FD08B2">
            <w:pPr>
              <w:pStyle w:val="Contenidotablas"/>
              <w:spacing w:before="120" w:after="120"/>
              <w:jc w:val="right"/>
              <w:rPr>
                <w:sz w:val="18"/>
                <w:szCs w:val="18"/>
              </w:rPr>
            </w:pPr>
            <w:r w:rsidRPr="001C7FB0">
              <w:rPr>
                <w:sz w:val="18"/>
                <w:szCs w:val="18"/>
              </w:rPr>
              <w:t>1.138.346</w:t>
            </w:r>
          </w:p>
        </w:tc>
        <w:tc>
          <w:tcPr>
            <w:tcW w:w="846" w:type="dxa"/>
            <w:vAlign w:val="center"/>
          </w:tcPr>
          <w:p w14:paraId="163FBA9A" w14:textId="77777777" w:rsidR="008C3A64" w:rsidRPr="001C7FB0" w:rsidRDefault="008C3A64" w:rsidP="00FD08B2">
            <w:pPr>
              <w:pStyle w:val="Contenidotablas"/>
              <w:spacing w:before="120" w:after="120"/>
              <w:jc w:val="right"/>
              <w:rPr>
                <w:sz w:val="18"/>
                <w:szCs w:val="18"/>
              </w:rPr>
            </w:pPr>
            <w:r w:rsidRPr="001C7FB0">
              <w:rPr>
                <w:sz w:val="18"/>
                <w:szCs w:val="18"/>
              </w:rPr>
              <w:t>14,5</w:t>
            </w:r>
          </w:p>
        </w:tc>
        <w:tc>
          <w:tcPr>
            <w:tcW w:w="1134" w:type="dxa"/>
            <w:vAlign w:val="center"/>
          </w:tcPr>
          <w:p w14:paraId="25E6657D" w14:textId="77777777" w:rsidR="008C3A64" w:rsidRPr="001C7FB0" w:rsidRDefault="008C3A64" w:rsidP="00FD08B2">
            <w:pPr>
              <w:pStyle w:val="Contenidotablas"/>
              <w:spacing w:before="120" w:after="120"/>
              <w:jc w:val="right"/>
              <w:rPr>
                <w:sz w:val="18"/>
                <w:szCs w:val="18"/>
              </w:rPr>
            </w:pPr>
            <w:r w:rsidRPr="001C7FB0">
              <w:rPr>
                <w:sz w:val="18"/>
                <w:szCs w:val="18"/>
              </w:rPr>
              <w:t>1.304.935</w:t>
            </w:r>
          </w:p>
        </w:tc>
        <w:tc>
          <w:tcPr>
            <w:tcW w:w="992" w:type="dxa"/>
            <w:vAlign w:val="center"/>
          </w:tcPr>
          <w:p w14:paraId="12D02116" w14:textId="77777777" w:rsidR="008C3A64" w:rsidRPr="001C7FB0" w:rsidRDefault="008C3A64" w:rsidP="00FD08B2">
            <w:pPr>
              <w:pStyle w:val="Contenidotablas"/>
              <w:spacing w:before="120" w:after="120"/>
              <w:jc w:val="right"/>
              <w:rPr>
                <w:sz w:val="18"/>
                <w:szCs w:val="18"/>
              </w:rPr>
            </w:pPr>
            <w:r w:rsidRPr="001C7FB0">
              <w:rPr>
                <w:sz w:val="18"/>
                <w:szCs w:val="18"/>
              </w:rPr>
              <w:t>16,4</w:t>
            </w:r>
          </w:p>
        </w:tc>
      </w:tr>
    </w:tbl>
    <w:p w14:paraId="608BCB5A" w14:textId="77777777" w:rsidR="008C3A64" w:rsidRPr="005A31BC" w:rsidRDefault="008C3A64" w:rsidP="008C3A64">
      <w:pPr>
        <w:pStyle w:val="figuratitulo"/>
        <w:rPr>
          <w:color w:val="3B3838" w:themeColor="background2" w:themeShade="40"/>
          <w:spacing w:val="-6"/>
        </w:rPr>
      </w:pPr>
      <w:r w:rsidRPr="005A31BC">
        <w:rPr>
          <w:b/>
          <w:bCs/>
          <w:color w:val="3B3838" w:themeColor="background2" w:themeShade="40"/>
          <w:spacing w:val="-6"/>
        </w:rPr>
        <w:t>Fuente:</w:t>
      </w:r>
      <w:r w:rsidRPr="005A31BC">
        <w:rPr>
          <w:color w:val="3B3838" w:themeColor="background2" w:themeShade="40"/>
          <w:spacing w:val="-6"/>
        </w:rPr>
        <w:t xml:space="preserve"> Elaboración propia a partir de la información tomada de Secretaría Distrital de Salud. </w:t>
      </w:r>
    </w:p>
    <w:p w14:paraId="6E053647" w14:textId="77777777" w:rsidR="008C3A64" w:rsidRPr="005A31BC" w:rsidRDefault="008C3A64" w:rsidP="008C3A64">
      <w:pPr>
        <w:pStyle w:val="figuratitulo"/>
        <w:rPr>
          <w:color w:val="3B3838" w:themeColor="background2" w:themeShade="40"/>
          <w:spacing w:val="-6"/>
        </w:rPr>
      </w:pPr>
      <w:r w:rsidRPr="005A31BC">
        <w:rPr>
          <w:color w:val="3B3838" w:themeColor="background2" w:themeShade="40"/>
          <w:spacing w:val="-6"/>
        </w:rPr>
        <w:t>Departamento Administrativo Nacional de Estadísticas (DANE). Censo General de Población de Bogotá DANE 2018. Proyecciones de población a nivel departamental por área, sexo y edad para los periodos 2018-2026.</w:t>
      </w:r>
    </w:p>
    <w:p w14:paraId="75225CBB" w14:textId="77777777" w:rsidR="008C3A64" w:rsidRPr="005A31BC" w:rsidRDefault="008C3A64" w:rsidP="00591C4D">
      <w:pPr>
        <w:pStyle w:val="figuratitulo"/>
        <w:jc w:val="both"/>
        <w:rPr>
          <w:color w:val="3B3838" w:themeColor="background2" w:themeShade="40"/>
          <w:spacing w:val="-6"/>
        </w:rPr>
        <w:sectPr w:rsidR="008C3A64" w:rsidRPr="005A31BC" w:rsidSect="00F7078E">
          <w:type w:val="continuous"/>
          <w:pgSz w:w="12240" w:h="15840"/>
          <w:pgMar w:top="2262" w:right="1440" w:bottom="1440" w:left="1440" w:header="708" w:footer="708" w:gutter="0"/>
          <w:cols w:space="720"/>
        </w:sectPr>
      </w:pPr>
    </w:p>
    <w:p w14:paraId="424C77C1" w14:textId="77777777" w:rsidR="008C3A64" w:rsidRPr="005A31BC" w:rsidRDefault="008C3A64" w:rsidP="00591C4D">
      <w:pPr>
        <w:pStyle w:val="figuratitulo"/>
        <w:jc w:val="both"/>
        <w:rPr>
          <w:color w:val="3B3838" w:themeColor="background2" w:themeShade="40"/>
          <w:spacing w:val="-6"/>
        </w:rPr>
      </w:pPr>
    </w:p>
    <w:p w14:paraId="095719CD" w14:textId="77777777" w:rsidR="008C3A64" w:rsidRDefault="008C3A64" w:rsidP="008C3A64">
      <w:pPr>
        <w:spacing w:line="480" w:lineRule="auto"/>
        <w:rPr>
          <w:rFonts w:ascii="Times New Roman" w:hAnsi="Times New Roman"/>
          <w:spacing w:val="-6"/>
          <w:sz w:val="24"/>
        </w:rPr>
      </w:pPr>
    </w:p>
    <w:p w14:paraId="0A9B10D7" w14:textId="09291D56" w:rsidR="00FD08B2" w:rsidRPr="005A31BC" w:rsidRDefault="00FD08B2" w:rsidP="008C3A64">
      <w:pPr>
        <w:spacing w:line="480" w:lineRule="auto"/>
        <w:rPr>
          <w:rFonts w:ascii="Times New Roman" w:hAnsi="Times New Roman"/>
          <w:spacing w:val="-6"/>
          <w:sz w:val="24"/>
        </w:rPr>
        <w:sectPr w:rsidR="00FD08B2" w:rsidRPr="005A31BC" w:rsidSect="00F7078E">
          <w:type w:val="continuous"/>
          <w:pgSz w:w="12240" w:h="15840"/>
          <w:pgMar w:top="2262" w:right="1440" w:bottom="1440" w:left="1440" w:header="708" w:footer="708" w:gutter="0"/>
          <w:cols w:space="720"/>
        </w:sectPr>
      </w:pPr>
    </w:p>
    <w:p w14:paraId="5FD19E32" w14:textId="362EE737" w:rsidR="00591C4D" w:rsidRDefault="008C3A64" w:rsidP="008C3A64">
      <w:pPr>
        <w:rPr>
          <w:rFonts w:cs="Times New Roman (Cuerpo en alfa"/>
          <w:spacing w:val="-6"/>
        </w:rPr>
      </w:pPr>
      <w:r w:rsidRPr="00CD5E15">
        <w:rPr>
          <w:rFonts w:cs="Times New Roman (Cuerpo en alfa"/>
          <w:spacing w:val="-6"/>
        </w:rPr>
        <w:t>En la</w:t>
      </w:r>
      <w:r w:rsidR="00435B6B" w:rsidRPr="00435B6B">
        <w:rPr>
          <w:rFonts w:cs="Times New Roman (Cuerpo en alfa"/>
          <w:spacing w:val="-6"/>
        </w:rPr>
        <w:t xml:space="preserve"> </w:t>
      </w:r>
      <w:r w:rsidR="00435B6B" w:rsidRPr="00435B6B">
        <w:rPr>
          <w:rFonts w:cs="Times New Roman (Cuerpo en alfa"/>
          <w:spacing w:val="-6"/>
        </w:rPr>
        <w:fldChar w:fldCharType="begin"/>
      </w:r>
      <w:r w:rsidR="00435B6B" w:rsidRPr="00435B6B">
        <w:rPr>
          <w:rFonts w:cs="Times New Roman (Cuerpo en alfa"/>
          <w:spacing w:val="-6"/>
        </w:rPr>
        <w:instrText xml:space="preserve"> REF _Ref165113349 \h </w:instrText>
      </w:r>
      <w:r w:rsidR="00435B6B" w:rsidRPr="00435B6B">
        <w:rPr>
          <w:rFonts w:cs="Times New Roman (Cuerpo en alfa"/>
          <w:spacing w:val="-6"/>
        </w:rPr>
      </w:r>
      <w:r w:rsidR="00435B6B" w:rsidRPr="00435B6B">
        <w:rPr>
          <w:rFonts w:cs="Times New Roman (Cuerpo en alfa"/>
          <w:spacing w:val="-6"/>
        </w:rPr>
        <w:fldChar w:fldCharType="separate"/>
      </w:r>
      <w:r w:rsidR="00D01651" w:rsidRPr="00435B6B">
        <w:rPr>
          <w:color w:val="C00000"/>
          <w:sz w:val="18"/>
          <w:szCs w:val="14"/>
        </w:rPr>
        <w:t xml:space="preserve">Tabla </w:t>
      </w:r>
      <w:r w:rsidR="00D01651">
        <w:rPr>
          <w:noProof/>
          <w:color w:val="C00000"/>
          <w:sz w:val="18"/>
          <w:szCs w:val="14"/>
        </w:rPr>
        <w:t>4</w:t>
      </w:r>
      <w:r w:rsidR="00435B6B" w:rsidRPr="00435B6B">
        <w:rPr>
          <w:rFonts w:cs="Times New Roman (Cuerpo en alfa"/>
          <w:spacing w:val="-6"/>
        </w:rPr>
        <w:fldChar w:fldCharType="end"/>
      </w:r>
      <w:r w:rsidR="00435B6B">
        <w:rPr>
          <w:rFonts w:cs="Times New Roman (Cuerpo en alfa"/>
          <w:spacing w:val="-6"/>
        </w:rPr>
        <w:t xml:space="preserve"> </w:t>
      </w:r>
      <w:r w:rsidRPr="00CD5E15">
        <w:rPr>
          <w:rFonts w:cs="Times New Roman (Cuerpo en alfa"/>
          <w:spacing w:val="-6"/>
        </w:rPr>
        <w:t xml:space="preserve">se relaciona la distribución de la población por momento de curso de vida de acuerdo con el sexo. </w:t>
      </w:r>
    </w:p>
    <w:p w14:paraId="79E1C6E4" w14:textId="07AECC18" w:rsidR="008C3A64" w:rsidRPr="00CD5E15" w:rsidRDefault="008C3A64" w:rsidP="008C3A64">
      <w:pPr>
        <w:rPr>
          <w:rFonts w:cs="Times New Roman (Cuerpo en alfa"/>
          <w:spacing w:val="-6"/>
        </w:rPr>
        <w:sectPr w:rsidR="008C3A64" w:rsidRPr="00CD5E15" w:rsidSect="00F7078E">
          <w:type w:val="continuous"/>
          <w:pgSz w:w="12240" w:h="15840"/>
          <w:pgMar w:top="2262" w:right="1440" w:bottom="1440" w:left="1440" w:header="708" w:footer="708" w:gutter="0"/>
          <w:cols w:num="2" w:space="567"/>
        </w:sectPr>
      </w:pPr>
      <w:r w:rsidRPr="00CD5E15">
        <w:rPr>
          <w:rFonts w:cs="Times New Roman (Cuerpo en alfa"/>
          <w:spacing w:val="-6"/>
        </w:rPr>
        <w:t>Se observa que para los años 2018-2022-2026 el mayor número de la población corresponde a mujeres</w:t>
      </w:r>
      <w:r w:rsidR="00591C4D">
        <w:rPr>
          <w:rFonts w:cs="Times New Roman (Cuerpo en alfa"/>
          <w:spacing w:val="-6"/>
        </w:rPr>
        <w:t>.</w:t>
      </w:r>
    </w:p>
    <w:p w14:paraId="61387ED0" w14:textId="77777777" w:rsidR="00FD08B2" w:rsidRDefault="00FD08B2" w:rsidP="008C3A64">
      <w:pPr>
        <w:pStyle w:val="figuratitulo"/>
        <w:rPr>
          <w:b/>
          <w:bCs/>
          <w:color w:val="3B3838" w:themeColor="background2" w:themeShade="40"/>
          <w:spacing w:val="-6"/>
        </w:rPr>
        <w:sectPr w:rsidR="00FD08B2" w:rsidSect="00F7078E">
          <w:type w:val="continuous"/>
          <w:pgSz w:w="12240" w:h="15840"/>
          <w:pgMar w:top="2262" w:right="1440" w:bottom="1440" w:left="1440" w:header="708" w:footer="708" w:gutter="0"/>
          <w:cols w:space="720"/>
        </w:sectPr>
      </w:pPr>
      <w:bookmarkStart w:id="94" w:name="_Toc164327911"/>
    </w:p>
    <w:p w14:paraId="76BDD2C7" w14:textId="0D0A5A57" w:rsidR="00591C4D" w:rsidRDefault="00591C4D" w:rsidP="008C3A64">
      <w:pPr>
        <w:pStyle w:val="figuratitulo"/>
        <w:rPr>
          <w:b/>
          <w:bCs/>
          <w:color w:val="3B3838" w:themeColor="background2" w:themeShade="40"/>
          <w:spacing w:val="-6"/>
        </w:rPr>
      </w:pPr>
    </w:p>
    <w:p w14:paraId="3948F3D3" w14:textId="6FE13C9C" w:rsidR="008C3A64" w:rsidRPr="00435B6B" w:rsidRDefault="00435B6B" w:rsidP="00435B6B">
      <w:pPr>
        <w:pStyle w:val="Descripcin"/>
        <w:jc w:val="center"/>
        <w:rPr>
          <w:spacing w:val="-6"/>
          <w:sz w:val="18"/>
          <w:szCs w:val="14"/>
        </w:rPr>
      </w:pPr>
      <w:bookmarkStart w:id="95" w:name="_Ref165113349"/>
      <w:bookmarkStart w:id="96" w:name="_Toc165169914"/>
      <w:bookmarkEnd w:id="94"/>
      <w:r w:rsidRPr="00435B6B">
        <w:rPr>
          <w:color w:val="C00000"/>
          <w:sz w:val="18"/>
          <w:szCs w:val="14"/>
        </w:rPr>
        <w:t xml:space="preserve">Tabla </w:t>
      </w:r>
      <w:r w:rsidRPr="00435B6B">
        <w:rPr>
          <w:color w:val="C00000"/>
          <w:sz w:val="18"/>
          <w:szCs w:val="14"/>
        </w:rPr>
        <w:fldChar w:fldCharType="begin"/>
      </w:r>
      <w:r w:rsidRPr="00435B6B">
        <w:rPr>
          <w:color w:val="C00000"/>
          <w:sz w:val="18"/>
          <w:szCs w:val="14"/>
        </w:rPr>
        <w:instrText xml:space="preserve"> SEQ Tabla \* ARABIC </w:instrText>
      </w:r>
      <w:r w:rsidRPr="00435B6B">
        <w:rPr>
          <w:color w:val="C00000"/>
          <w:sz w:val="18"/>
          <w:szCs w:val="14"/>
        </w:rPr>
        <w:fldChar w:fldCharType="separate"/>
      </w:r>
      <w:r w:rsidR="00D01651">
        <w:rPr>
          <w:noProof/>
          <w:color w:val="C00000"/>
          <w:sz w:val="18"/>
          <w:szCs w:val="14"/>
        </w:rPr>
        <w:t>4</w:t>
      </w:r>
      <w:r w:rsidRPr="00435B6B">
        <w:rPr>
          <w:color w:val="C00000"/>
          <w:sz w:val="18"/>
          <w:szCs w:val="14"/>
        </w:rPr>
        <w:fldChar w:fldCharType="end"/>
      </w:r>
      <w:bookmarkEnd w:id="95"/>
      <w:r w:rsidRPr="00435B6B">
        <w:rPr>
          <w:color w:val="C00000"/>
          <w:sz w:val="18"/>
          <w:szCs w:val="14"/>
        </w:rPr>
        <w:t xml:space="preserve">. </w:t>
      </w:r>
      <w:r w:rsidR="008C3A64" w:rsidRPr="00435B6B">
        <w:rPr>
          <w:bCs/>
          <w:spacing w:val="-6"/>
          <w:sz w:val="18"/>
          <w:szCs w:val="14"/>
        </w:rPr>
        <w:t>Proporción de la población por curso de vida y sexo, Bogotá (2018-2022-2026)</w:t>
      </w:r>
      <w:bookmarkEnd w:id="96"/>
    </w:p>
    <w:tbl>
      <w:tblPr>
        <w:tblW w:w="8505" w:type="dxa"/>
        <w:jc w:val="center"/>
        <w:tblBorders>
          <w:bottom w:val="double" w:sz="4" w:space="0" w:color="C00000"/>
          <w:insideH w:val="double" w:sz="4" w:space="0" w:color="C00000"/>
          <w:insideV w:val="double" w:sz="4" w:space="0" w:color="C00000"/>
        </w:tblBorders>
        <w:tblLayout w:type="fixed"/>
        <w:tblLook w:val="0400" w:firstRow="0" w:lastRow="0" w:firstColumn="0" w:lastColumn="0" w:noHBand="0" w:noVBand="1"/>
      </w:tblPr>
      <w:tblGrid>
        <w:gridCol w:w="1701"/>
        <w:gridCol w:w="1134"/>
        <w:gridCol w:w="1134"/>
        <w:gridCol w:w="1134"/>
        <w:gridCol w:w="1134"/>
        <w:gridCol w:w="1134"/>
        <w:gridCol w:w="1134"/>
      </w:tblGrid>
      <w:tr w:rsidR="008C3A64" w:rsidRPr="00FB3F88" w14:paraId="044EA518" w14:textId="77777777" w:rsidTr="00FB3F88">
        <w:trPr>
          <w:trHeight w:val="508"/>
          <w:tblHeader/>
          <w:jc w:val="center"/>
        </w:trPr>
        <w:tc>
          <w:tcPr>
            <w:tcW w:w="1701" w:type="dxa"/>
            <w:vMerge w:val="restart"/>
            <w:shd w:val="clear" w:color="auto" w:fill="C00000"/>
            <w:vAlign w:val="center"/>
          </w:tcPr>
          <w:p w14:paraId="34EACBC9" w14:textId="77777777" w:rsidR="008C3A64" w:rsidRPr="00FB3F88" w:rsidRDefault="008C3A64" w:rsidP="00FF1F9A">
            <w:pPr>
              <w:jc w:val="right"/>
              <w:rPr>
                <w:b/>
                <w:color w:val="FFFFFF" w:themeColor="background1"/>
                <w:spacing w:val="-6"/>
                <w:sz w:val="18"/>
                <w:szCs w:val="18"/>
              </w:rPr>
            </w:pPr>
            <w:r w:rsidRPr="00FB3F88">
              <w:rPr>
                <w:b/>
                <w:color w:val="FFFFFF" w:themeColor="background1"/>
                <w:spacing w:val="-6"/>
                <w:sz w:val="18"/>
                <w:szCs w:val="18"/>
              </w:rPr>
              <w:t>Curso de vida</w:t>
            </w:r>
          </w:p>
        </w:tc>
        <w:tc>
          <w:tcPr>
            <w:tcW w:w="2268" w:type="dxa"/>
            <w:gridSpan w:val="2"/>
            <w:shd w:val="clear" w:color="auto" w:fill="C00000"/>
            <w:vAlign w:val="center"/>
          </w:tcPr>
          <w:p w14:paraId="2E98ACD8"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2018</w:t>
            </w:r>
          </w:p>
        </w:tc>
        <w:tc>
          <w:tcPr>
            <w:tcW w:w="2268" w:type="dxa"/>
            <w:gridSpan w:val="2"/>
            <w:shd w:val="clear" w:color="auto" w:fill="C00000"/>
            <w:vAlign w:val="center"/>
          </w:tcPr>
          <w:p w14:paraId="322BB79B" w14:textId="34F8B9BC"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2022</w:t>
            </w:r>
          </w:p>
        </w:tc>
        <w:tc>
          <w:tcPr>
            <w:tcW w:w="2268" w:type="dxa"/>
            <w:gridSpan w:val="2"/>
            <w:shd w:val="clear" w:color="auto" w:fill="C00000"/>
            <w:vAlign w:val="center"/>
          </w:tcPr>
          <w:p w14:paraId="522F86AE" w14:textId="44FA41CE"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2026</w:t>
            </w:r>
          </w:p>
        </w:tc>
      </w:tr>
      <w:tr w:rsidR="008C3A64" w:rsidRPr="00FB3F88" w14:paraId="34BED8B7" w14:textId="77777777" w:rsidTr="00FB3F88">
        <w:trPr>
          <w:trHeight w:val="386"/>
          <w:tblHeader/>
          <w:jc w:val="center"/>
        </w:trPr>
        <w:tc>
          <w:tcPr>
            <w:tcW w:w="1701" w:type="dxa"/>
            <w:vMerge/>
            <w:shd w:val="clear" w:color="auto" w:fill="C00000"/>
            <w:vAlign w:val="center"/>
          </w:tcPr>
          <w:p w14:paraId="58204210" w14:textId="77777777" w:rsidR="008C3A64" w:rsidRPr="00FB3F88" w:rsidRDefault="008C3A64" w:rsidP="00FF1F9A">
            <w:pPr>
              <w:widowControl w:val="0"/>
              <w:pBdr>
                <w:top w:val="nil"/>
                <w:left w:val="nil"/>
                <w:bottom w:val="nil"/>
                <w:right w:val="nil"/>
                <w:between w:val="nil"/>
              </w:pBdr>
              <w:spacing w:line="276" w:lineRule="auto"/>
              <w:jc w:val="right"/>
              <w:rPr>
                <w:b/>
                <w:color w:val="FFFFFF" w:themeColor="background1"/>
                <w:spacing w:val="-6"/>
                <w:sz w:val="18"/>
                <w:szCs w:val="18"/>
              </w:rPr>
            </w:pPr>
          </w:p>
        </w:tc>
        <w:tc>
          <w:tcPr>
            <w:tcW w:w="1134" w:type="dxa"/>
            <w:shd w:val="clear" w:color="auto" w:fill="C00000"/>
            <w:vAlign w:val="center"/>
          </w:tcPr>
          <w:p w14:paraId="6893506D"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Mujeres</w:t>
            </w:r>
          </w:p>
        </w:tc>
        <w:tc>
          <w:tcPr>
            <w:tcW w:w="1134" w:type="dxa"/>
            <w:shd w:val="clear" w:color="auto" w:fill="C00000"/>
            <w:vAlign w:val="center"/>
          </w:tcPr>
          <w:p w14:paraId="76816606"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Hombres</w:t>
            </w:r>
          </w:p>
        </w:tc>
        <w:tc>
          <w:tcPr>
            <w:tcW w:w="1134" w:type="dxa"/>
            <w:shd w:val="clear" w:color="auto" w:fill="C00000"/>
            <w:vAlign w:val="center"/>
          </w:tcPr>
          <w:p w14:paraId="5D33DAC1"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Mujeres</w:t>
            </w:r>
          </w:p>
        </w:tc>
        <w:tc>
          <w:tcPr>
            <w:tcW w:w="1134" w:type="dxa"/>
            <w:shd w:val="clear" w:color="auto" w:fill="C00000"/>
            <w:vAlign w:val="center"/>
          </w:tcPr>
          <w:p w14:paraId="295C1194"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Hombres</w:t>
            </w:r>
          </w:p>
        </w:tc>
        <w:tc>
          <w:tcPr>
            <w:tcW w:w="1134" w:type="dxa"/>
            <w:shd w:val="clear" w:color="auto" w:fill="C00000"/>
            <w:vAlign w:val="center"/>
          </w:tcPr>
          <w:p w14:paraId="4C1B3115"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Mujeres</w:t>
            </w:r>
          </w:p>
        </w:tc>
        <w:tc>
          <w:tcPr>
            <w:tcW w:w="1134" w:type="dxa"/>
            <w:shd w:val="clear" w:color="auto" w:fill="C00000"/>
            <w:vAlign w:val="center"/>
          </w:tcPr>
          <w:p w14:paraId="4A36D60F" w14:textId="77777777" w:rsidR="008C3A64" w:rsidRPr="00FB3F88" w:rsidRDefault="008C3A64" w:rsidP="00FF1F9A">
            <w:pPr>
              <w:jc w:val="center"/>
              <w:rPr>
                <w:b/>
                <w:color w:val="FFFFFF" w:themeColor="background1"/>
                <w:spacing w:val="-6"/>
                <w:sz w:val="18"/>
                <w:szCs w:val="18"/>
              </w:rPr>
            </w:pPr>
            <w:r w:rsidRPr="00FB3F88">
              <w:rPr>
                <w:b/>
                <w:color w:val="FFFFFF" w:themeColor="background1"/>
                <w:spacing w:val="-6"/>
                <w:sz w:val="18"/>
                <w:szCs w:val="18"/>
              </w:rPr>
              <w:t>Hombres</w:t>
            </w:r>
          </w:p>
        </w:tc>
      </w:tr>
      <w:tr w:rsidR="008C3A64" w:rsidRPr="00FB3F88" w14:paraId="2B9C1204" w14:textId="77777777" w:rsidTr="00591C4D">
        <w:trPr>
          <w:trHeight w:val="454"/>
          <w:jc w:val="center"/>
        </w:trPr>
        <w:tc>
          <w:tcPr>
            <w:tcW w:w="1701" w:type="dxa"/>
            <w:vAlign w:val="center"/>
          </w:tcPr>
          <w:p w14:paraId="188CA11A" w14:textId="77777777" w:rsidR="008C3A64" w:rsidRPr="00FB3F88" w:rsidRDefault="008C3A64" w:rsidP="00FD08B2">
            <w:pPr>
              <w:pStyle w:val="Contenidotablas"/>
              <w:spacing w:before="120"/>
              <w:jc w:val="right"/>
              <w:rPr>
                <w:sz w:val="18"/>
                <w:szCs w:val="18"/>
              </w:rPr>
            </w:pPr>
            <w:r w:rsidRPr="00FB3F88">
              <w:rPr>
                <w:sz w:val="18"/>
                <w:szCs w:val="18"/>
              </w:rPr>
              <w:t>Primera Infancia 0 a 5 años</w:t>
            </w:r>
          </w:p>
        </w:tc>
        <w:tc>
          <w:tcPr>
            <w:tcW w:w="1134" w:type="dxa"/>
            <w:vAlign w:val="center"/>
          </w:tcPr>
          <w:p w14:paraId="660D13E5" w14:textId="77777777" w:rsidR="008C3A64" w:rsidRPr="00FB3F88" w:rsidRDefault="008C3A64" w:rsidP="00FD08B2">
            <w:pPr>
              <w:pStyle w:val="Contenidotablas"/>
              <w:spacing w:before="120"/>
              <w:jc w:val="right"/>
              <w:rPr>
                <w:sz w:val="18"/>
                <w:szCs w:val="18"/>
              </w:rPr>
            </w:pPr>
            <w:r w:rsidRPr="00FB3F88">
              <w:rPr>
                <w:sz w:val="18"/>
                <w:szCs w:val="18"/>
              </w:rPr>
              <w:t>278.580</w:t>
            </w:r>
          </w:p>
        </w:tc>
        <w:tc>
          <w:tcPr>
            <w:tcW w:w="1134" w:type="dxa"/>
            <w:vAlign w:val="center"/>
          </w:tcPr>
          <w:p w14:paraId="1EC133E6" w14:textId="77777777" w:rsidR="008C3A64" w:rsidRPr="00FB3F88" w:rsidRDefault="008C3A64" w:rsidP="00FD08B2">
            <w:pPr>
              <w:pStyle w:val="Contenidotablas"/>
              <w:spacing w:before="120"/>
              <w:jc w:val="right"/>
              <w:rPr>
                <w:sz w:val="18"/>
                <w:szCs w:val="18"/>
              </w:rPr>
            </w:pPr>
            <w:r w:rsidRPr="00FB3F88">
              <w:rPr>
                <w:sz w:val="18"/>
                <w:szCs w:val="18"/>
              </w:rPr>
              <w:t>291.059</w:t>
            </w:r>
          </w:p>
        </w:tc>
        <w:tc>
          <w:tcPr>
            <w:tcW w:w="1134" w:type="dxa"/>
            <w:vAlign w:val="center"/>
          </w:tcPr>
          <w:p w14:paraId="74F0D41F" w14:textId="77777777" w:rsidR="008C3A64" w:rsidRPr="00FB3F88" w:rsidRDefault="008C3A64" w:rsidP="00FD08B2">
            <w:pPr>
              <w:pStyle w:val="Contenidotablas"/>
              <w:spacing w:before="120"/>
              <w:jc w:val="right"/>
              <w:rPr>
                <w:sz w:val="18"/>
                <w:szCs w:val="18"/>
              </w:rPr>
            </w:pPr>
            <w:r w:rsidRPr="00FB3F88">
              <w:rPr>
                <w:sz w:val="18"/>
                <w:szCs w:val="18"/>
              </w:rPr>
              <w:t>282.485</w:t>
            </w:r>
          </w:p>
        </w:tc>
        <w:tc>
          <w:tcPr>
            <w:tcW w:w="1134" w:type="dxa"/>
            <w:vAlign w:val="center"/>
          </w:tcPr>
          <w:p w14:paraId="560693BC" w14:textId="77777777" w:rsidR="008C3A64" w:rsidRPr="00FB3F88" w:rsidRDefault="008C3A64" w:rsidP="00FD08B2">
            <w:pPr>
              <w:pStyle w:val="Contenidotablas"/>
              <w:spacing w:before="120"/>
              <w:jc w:val="right"/>
              <w:rPr>
                <w:sz w:val="18"/>
                <w:szCs w:val="18"/>
              </w:rPr>
            </w:pPr>
            <w:r w:rsidRPr="00FB3F88">
              <w:rPr>
                <w:sz w:val="18"/>
                <w:szCs w:val="18"/>
              </w:rPr>
              <w:t>295.024</w:t>
            </w:r>
          </w:p>
        </w:tc>
        <w:tc>
          <w:tcPr>
            <w:tcW w:w="1134" w:type="dxa"/>
            <w:vAlign w:val="center"/>
          </w:tcPr>
          <w:p w14:paraId="555E717B" w14:textId="77777777" w:rsidR="008C3A64" w:rsidRPr="00FB3F88" w:rsidRDefault="008C3A64" w:rsidP="00FD08B2">
            <w:pPr>
              <w:pStyle w:val="Contenidotablas"/>
              <w:spacing w:before="120"/>
              <w:jc w:val="right"/>
              <w:rPr>
                <w:sz w:val="18"/>
                <w:szCs w:val="18"/>
              </w:rPr>
            </w:pPr>
            <w:r w:rsidRPr="00FB3F88">
              <w:rPr>
                <w:sz w:val="18"/>
                <w:szCs w:val="18"/>
              </w:rPr>
              <w:t>262.852</w:t>
            </w:r>
          </w:p>
        </w:tc>
        <w:tc>
          <w:tcPr>
            <w:tcW w:w="1134" w:type="dxa"/>
            <w:vAlign w:val="center"/>
          </w:tcPr>
          <w:p w14:paraId="233461E3" w14:textId="77777777" w:rsidR="008C3A64" w:rsidRPr="00FB3F88" w:rsidRDefault="008C3A64" w:rsidP="00FD08B2">
            <w:pPr>
              <w:pStyle w:val="Contenidotablas"/>
              <w:spacing w:before="120"/>
              <w:jc w:val="right"/>
              <w:rPr>
                <w:sz w:val="18"/>
                <w:szCs w:val="18"/>
              </w:rPr>
            </w:pPr>
            <w:r w:rsidRPr="00FB3F88">
              <w:rPr>
                <w:sz w:val="18"/>
                <w:szCs w:val="18"/>
              </w:rPr>
              <w:t>275.149</w:t>
            </w:r>
          </w:p>
        </w:tc>
      </w:tr>
      <w:tr w:rsidR="008C3A64" w:rsidRPr="00FB3F88" w14:paraId="4FF0EECF" w14:textId="77777777" w:rsidTr="00591C4D">
        <w:trPr>
          <w:trHeight w:val="454"/>
          <w:jc w:val="center"/>
        </w:trPr>
        <w:tc>
          <w:tcPr>
            <w:tcW w:w="1701" w:type="dxa"/>
            <w:vAlign w:val="center"/>
          </w:tcPr>
          <w:p w14:paraId="1D6BE10C" w14:textId="77777777" w:rsidR="008C3A64" w:rsidRPr="00FB3F88" w:rsidRDefault="008C3A64" w:rsidP="00FD08B2">
            <w:pPr>
              <w:pStyle w:val="Contenidotablas"/>
              <w:spacing w:before="120"/>
              <w:jc w:val="right"/>
              <w:rPr>
                <w:sz w:val="18"/>
                <w:szCs w:val="18"/>
              </w:rPr>
            </w:pPr>
            <w:r w:rsidRPr="00FB3F88">
              <w:rPr>
                <w:sz w:val="18"/>
                <w:szCs w:val="18"/>
              </w:rPr>
              <w:t>Infancia</w:t>
            </w:r>
          </w:p>
          <w:p w14:paraId="4EA548AC" w14:textId="77777777" w:rsidR="008C3A64" w:rsidRPr="00FB3F88" w:rsidRDefault="008C3A64" w:rsidP="00FD08B2">
            <w:pPr>
              <w:pStyle w:val="Contenidotablas"/>
              <w:spacing w:before="120"/>
              <w:jc w:val="right"/>
              <w:rPr>
                <w:sz w:val="18"/>
                <w:szCs w:val="18"/>
              </w:rPr>
            </w:pPr>
            <w:r w:rsidRPr="00FB3F88">
              <w:rPr>
                <w:sz w:val="18"/>
                <w:szCs w:val="18"/>
              </w:rPr>
              <w:t>6 a 11 años</w:t>
            </w:r>
          </w:p>
        </w:tc>
        <w:tc>
          <w:tcPr>
            <w:tcW w:w="1134" w:type="dxa"/>
            <w:vAlign w:val="center"/>
          </w:tcPr>
          <w:p w14:paraId="35E1DAFB" w14:textId="77777777" w:rsidR="008C3A64" w:rsidRPr="00FB3F88" w:rsidRDefault="008C3A64" w:rsidP="00FD08B2">
            <w:pPr>
              <w:pStyle w:val="Contenidotablas"/>
              <w:spacing w:before="120"/>
              <w:jc w:val="right"/>
              <w:rPr>
                <w:sz w:val="18"/>
                <w:szCs w:val="18"/>
              </w:rPr>
            </w:pPr>
            <w:r w:rsidRPr="00FB3F88">
              <w:rPr>
                <w:sz w:val="18"/>
                <w:szCs w:val="18"/>
              </w:rPr>
              <w:t>279.820</w:t>
            </w:r>
          </w:p>
        </w:tc>
        <w:tc>
          <w:tcPr>
            <w:tcW w:w="1134" w:type="dxa"/>
            <w:vAlign w:val="center"/>
          </w:tcPr>
          <w:p w14:paraId="349AA9A0" w14:textId="77777777" w:rsidR="008C3A64" w:rsidRPr="00FB3F88" w:rsidRDefault="008C3A64" w:rsidP="00FD08B2">
            <w:pPr>
              <w:pStyle w:val="Contenidotablas"/>
              <w:spacing w:before="120"/>
              <w:jc w:val="right"/>
              <w:rPr>
                <w:sz w:val="18"/>
                <w:szCs w:val="18"/>
              </w:rPr>
            </w:pPr>
            <w:r w:rsidRPr="00FB3F88">
              <w:rPr>
                <w:sz w:val="18"/>
                <w:szCs w:val="18"/>
              </w:rPr>
              <w:t>290.462</w:t>
            </w:r>
          </w:p>
        </w:tc>
        <w:tc>
          <w:tcPr>
            <w:tcW w:w="1134" w:type="dxa"/>
            <w:vAlign w:val="center"/>
          </w:tcPr>
          <w:p w14:paraId="2C6A1BD2" w14:textId="77777777" w:rsidR="008C3A64" w:rsidRPr="00FB3F88" w:rsidRDefault="008C3A64" w:rsidP="00FD08B2">
            <w:pPr>
              <w:pStyle w:val="Contenidotablas"/>
              <w:spacing w:before="120"/>
              <w:jc w:val="right"/>
              <w:rPr>
                <w:sz w:val="18"/>
                <w:szCs w:val="18"/>
              </w:rPr>
            </w:pPr>
            <w:r w:rsidRPr="00FB3F88">
              <w:rPr>
                <w:sz w:val="18"/>
                <w:szCs w:val="18"/>
              </w:rPr>
              <w:t>281.628</w:t>
            </w:r>
          </w:p>
        </w:tc>
        <w:tc>
          <w:tcPr>
            <w:tcW w:w="1134" w:type="dxa"/>
            <w:vAlign w:val="center"/>
          </w:tcPr>
          <w:p w14:paraId="7DB9FFB5" w14:textId="77777777" w:rsidR="008C3A64" w:rsidRPr="00FB3F88" w:rsidRDefault="008C3A64" w:rsidP="00FD08B2">
            <w:pPr>
              <w:pStyle w:val="Contenidotablas"/>
              <w:spacing w:before="120"/>
              <w:jc w:val="right"/>
              <w:rPr>
                <w:sz w:val="18"/>
                <w:szCs w:val="18"/>
              </w:rPr>
            </w:pPr>
            <w:r w:rsidRPr="00FB3F88">
              <w:rPr>
                <w:sz w:val="18"/>
                <w:szCs w:val="18"/>
              </w:rPr>
              <w:t>292.379</w:t>
            </w:r>
          </w:p>
        </w:tc>
        <w:tc>
          <w:tcPr>
            <w:tcW w:w="1134" w:type="dxa"/>
            <w:vAlign w:val="center"/>
          </w:tcPr>
          <w:p w14:paraId="6393BA56" w14:textId="77777777" w:rsidR="008C3A64" w:rsidRPr="00FB3F88" w:rsidRDefault="008C3A64" w:rsidP="00FD08B2">
            <w:pPr>
              <w:pStyle w:val="Contenidotablas"/>
              <w:spacing w:before="120"/>
              <w:jc w:val="right"/>
              <w:rPr>
                <w:sz w:val="18"/>
                <w:szCs w:val="18"/>
              </w:rPr>
            </w:pPr>
            <w:r w:rsidRPr="00FB3F88">
              <w:rPr>
                <w:sz w:val="18"/>
                <w:szCs w:val="18"/>
              </w:rPr>
              <w:t>277.900</w:t>
            </w:r>
          </w:p>
        </w:tc>
        <w:tc>
          <w:tcPr>
            <w:tcW w:w="1134" w:type="dxa"/>
            <w:vAlign w:val="center"/>
          </w:tcPr>
          <w:p w14:paraId="3560718D" w14:textId="77777777" w:rsidR="008C3A64" w:rsidRPr="00FB3F88" w:rsidRDefault="008C3A64" w:rsidP="00FD08B2">
            <w:pPr>
              <w:pStyle w:val="Contenidotablas"/>
              <w:spacing w:before="120"/>
              <w:jc w:val="right"/>
              <w:rPr>
                <w:sz w:val="18"/>
                <w:szCs w:val="18"/>
              </w:rPr>
            </w:pPr>
            <w:r w:rsidRPr="00FB3F88">
              <w:rPr>
                <w:sz w:val="18"/>
                <w:szCs w:val="18"/>
              </w:rPr>
              <w:t>288.904</w:t>
            </w:r>
          </w:p>
        </w:tc>
      </w:tr>
      <w:tr w:rsidR="008C3A64" w:rsidRPr="00FB3F88" w14:paraId="13F09847" w14:textId="77777777" w:rsidTr="00591C4D">
        <w:trPr>
          <w:trHeight w:val="454"/>
          <w:jc w:val="center"/>
        </w:trPr>
        <w:tc>
          <w:tcPr>
            <w:tcW w:w="1701" w:type="dxa"/>
            <w:vAlign w:val="center"/>
          </w:tcPr>
          <w:p w14:paraId="69066B11" w14:textId="77777777" w:rsidR="008C3A64" w:rsidRPr="00FB3F88" w:rsidRDefault="008C3A64" w:rsidP="00FD08B2">
            <w:pPr>
              <w:pStyle w:val="Contenidotablas"/>
              <w:spacing w:before="120"/>
              <w:jc w:val="right"/>
              <w:rPr>
                <w:sz w:val="18"/>
                <w:szCs w:val="18"/>
              </w:rPr>
            </w:pPr>
            <w:r w:rsidRPr="00FB3F88">
              <w:rPr>
                <w:sz w:val="18"/>
                <w:szCs w:val="18"/>
              </w:rPr>
              <w:lastRenderedPageBreak/>
              <w:t>Adolescencia</w:t>
            </w:r>
          </w:p>
          <w:p w14:paraId="36464C49" w14:textId="42057FDB" w:rsidR="008C3A64" w:rsidRPr="00FB3F88" w:rsidRDefault="008C3A64" w:rsidP="00FD08B2">
            <w:pPr>
              <w:pStyle w:val="Contenidotablas"/>
              <w:spacing w:before="120"/>
              <w:jc w:val="right"/>
              <w:rPr>
                <w:sz w:val="18"/>
                <w:szCs w:val="18"/>
              </w:rPr>
            </w:pPr>
            <w:r w:rsidRPr="00FB3F88">
              <w:rPr>
                <w:sz w:val="18"/>
                <w:szCs w:val="18"/>
              </w:rPr>
              <w:t>12</w:t>
            </w:r>
            <w:r w:rsidR="001941F2">
              <w:rPr>
                <w:sz w:val="18"/>
                <w:szCs w:val="18"/>
              </w:rPr>
              <w:t xml:space="preserve"> a </w:t>
            </w:r>
            <w:r w:rsidRPr="00FB3F88">
              <w:rPr>
                <w:sz w:val="18"/>
                <w:szCs w:val="18"/>
              </w:rPr>
              <w:t>17 años</w:t>
            </w:r>
          </w:p>
        </w:tc>
        <w:tc>
          <w:tcPr>
            <w:tcW w:w="1134" w:type="dxa"/>
            <w:vAlign w:val="center"/>
          </w:tcPr>
          <w:p w14:paraId="41E94F95" w14:textId="77777777" w:rsidR="008C3A64" w:rsidRPr="00FB3F88" w:rsidRDefault="008C3A64" w:rsidP="00FD08B2">
            <w:pPr>
              <w:pStyle w:val="Contenidotablas"/>
              <w:spacing w:before="120"/>
              <w:jc w:val="right"/>
              <w:rPr>
                <w:sz w:val="18"/>
                <w:szCs w:val="18"/>
              </w:rPr>
            </w:pPr>
            <w:r w:rsidRPr="00FB3F88">
              <w:rPr>
                <w:sz w:val="18"/>
                <w:szCs w:val="18"/>
              </w:rPr>
              <w:t>310.428</w:t>
            </w:r>
          </w:p>
        </w:tc>
        <w:tc>
          <w:tcPr>
            <w:tcW w:w="1134" w:type="dxa"/>
            <w:vAlign w:val="center"/>
          </w:tcPr>
          <w:p w14:paraId="2E9ED069" w14:textId="77777777" w:rsidR="008C3A64" w:rsidRPr="00FB3F88" w:rsidRDefault="008C3A64" w:rsidP="00FD08B2">
            <w:pPr>
              <w:pStyle w:val="Contenidotablas"/>
              <w:spacing w:before="120"/>
              <w:jc w:val="right"/>
              <w:rPr>
                <w:sz w:val="18"/>
                <w:szCs w:val="18"/>
              </w:rPr>
            </w:pPr>
            <w:r w:rsidRPr="00FB3F88">
              <w:rPr>
                <w:sz w:val="18"/>
                <w:szCs w:val="18"/>
              </w:rPr>
              <w:t>317.441</w:t>
            </w:r>
          </w:p>
        </w:tc>
        <w:tc>
          <w:tcPr>
            <w:tcW w:w="1134" w:type="dxa"/>
            <w:vAlign w:val="center"/>
          </w:tcPr>
          <w:p w14:paraId="1DAE1859" w14:textId="77777777" w:rsidR="008C3A64" w:rsidRPr="00FB3F88" w:rsidRDefault="008C3A64" w:rsidP="00FD08B2">
            <w:pPr>
              <w:pStyle w:val="Contenidotablas"/>
              <w:spacing w:before="120"/>
              <w:jc w:val="right"/>
              <w:rPr>
                <w:sz w:val="18"/>
                <w:szCs w:val="18"/>
              </w:rPr>
            </w:pPr>
            <w:r w:rsidRPr="00FB3F88">
              <w:rPr>
                <w:sz w:val="18"/>
                <w:szCs w:val="18"/>
              </w:rPr>
              <w:t>284.547</w:t>
            </w:r>
          </w:p>
        </w:tc>
        <w:tc>
          <w:tcPr>
            <w:tcW w:w="1134" w:type="dxa"/>
            <w:vAlign w:val="center"/>
          </w:tcPr>
          <w:p w14:paraId="3AE8DDC2" w14:textId="77777777" w:rsidR="008C3A64" w:rsidRPr="00FB3F88" w:rsidRDefault="008C3A64" w:rsidP="00FD08B2">
            <w:pPr>
              <w:pStyle w:val="Contenidotablas"/>
              <w:spacing w:before="120"/>
              <w:jc w:val="right"/>
              <w:rPr>
                <w:sz w:val="18"/>
                <w:szCs w:val="18"/>
              </w:rPr>
            </w:pPr>
            <w:r w:rsidRPr="00FB3F88">
              <w:rPr>
                <w:sz w:val="18"/>
                <w:szCs w:val="18"/>
              </w:rPr>
              <w:t>293.897</w:t>
            </w:r>
          </w:p>
        </w:tc>
        <w:tc>
          <w:tcPr>
            <w:tcW w:w="1134" w:type="dxa"/>
            <w:vAlign w:val="center"/>
          </w:tcPr>
          <w:p w14:paraId="129023A3" w14:textId="77777777" w:rsidR="008C3A64" w:rsidRPr="00FB3F88" w:rsidRDefault="008C3A64" w:rsidP="00FD08B2">
            <w:pPr>
              <w:pStyle w:val="Contenidotablas"/>
              <w:spacing w:before="120"/>
              <w:jc w:val="right"/>
              <w:rPr>
                <w:sz w:val="18"/>
                <w:szCs w:val="18"/>
              </w:rPr>
            </w:pPr>
            <w:r w:rsidRPr="00FB3F88">
              <w:rPr>
                <w:sz w:val="18"/>
                <w:szCs w:val="18"/>
              </w:rPr>
              <w:t>267.871</w:t>
            </w:r>
          </w:p>
        </w:tc>
        <w:tc>
          <w:tcPr>
            <w:tcW w:w="1134" w:type="dxa"/>
            <w:vAlign w:val="center"/>
          </w:tcPr>
          <w:p w14:paraId="3EB3D49E" w14:textId="77777777" w:rsidR="008C3A64" w:rsidRPr="00FB3F88" w:rsidRDefault="008C3A64" w:rsidP="00FD08B2">
            <w:pPr>
              <w:pStyle w:val="Contenidotablas"/>
              <w:spacing w:before="120"/>
              <w:jc w:val="right"/>
              <w:rPr>
                <w:sz w:val="18"/>
                <w:szCs w:val="18"/>
              </w:rPr>
            </w:pPr>
            <w:r w:rsidRPr="00FB3F88">
              <w:rPr>
                <w:sz w:val="18"/>
                <w:szCs w:val="18"/>
              </w:rPr>
              <w:t>277.228</w:t>
            </w:r>
          </w:p>
        </w:tc>
      </w:tr>
      <w:tr w:rsidR="008C3A64" w:rsidRPr="00FB3F88" w14:paraId="1B02842F" w14:textId="77777777" w:rsidTr="00591C4D">
        <w:trPr>
          <w:trHeight w:val="454"/>
          <w:jc w:val="center"/>
        </w:trPr>
        <w:tc>
          <w:tcPr>
            <w:tcW w:w="1701" w:type="dxa"/>
            <w:vAlign w:val="center"/>
          </w:tcPr>
          <w:p w14:paraId="100E9E55" w14:textId="77777777" w:rsidR="008C3A64" w:rsidRPr="00FB3F88" w:rsidRDefault="008C3A64" w:rsidP="00FD08B2">
            <w:pPr>
              <w:pStyle w:val="Contenidotablas"/>
              <w:spacing w:before="120"/>
              <w:jc w:val="right"/>
              <w:rPr>
                <w:sz w:val="18"/>
                <w:szCs w:val="18"/>
              </w:rPr>
            </w:pPr>
            <w:r w:rsidRPr="00FB3F88">
              <w:rPr>
                <w:sz w:val="18"/>
                <w:szCs w:val="18"/>
              </w:rPr>
              <w:t>Juventud</w:t>
            </w:r>
          </w:p>
          <w:p w14:paraId="1BDCE1BF" w14:textId="2014D984" w:rsidR="008C3A64" w:rsidRPr="00FB3F88" w:rsidRDefault="008C3A64" w:rsidP="00FD08B2">
            <w:pPr>
              <w:pStyle w:val="Contenidotablas"/>
              <w:spacing w:before="120"/>
              <w:jc w:val="right"/>
              <w:rPr>
                <w:sz w:val="18"/>
                <w:szCs w:val="18"/>
              </w:rPr>
            </w:pPr>
            <w:r w:rsidRPr="00FB3F88">
              <w:rPr>
                <w:sz w:val="18"/>
                <w:szCs w:val="18"/>
              </w:rPr>
              <w:t>18</w:t>
            </w:r>
            <w:r w:rsidR="001941F2">
              <w:rPr>
                <w:sz w:val="18"/>
                <w:szCs w:val="18"/>
              </w:rPr>
              <w:t xml:space="preserve"> a </w:t>
            </w:r>
            <w:r w:rsidRPr="00FB3F88">
              <w:rPr>
                <w:sz w:val="18"/>
                <w:szCs w:val="18"/>
              </w:rPr>
              <w:t>28 años</w:t>
            </w:r>
          </w:p>
        </w:tc>
        <w:tc>
          <w:tcPr>
            <w:tcW w:w="1134" w:type="dxa"/>
            <w:vAlign w:val="center"/>
          </w:tcPr>
          <w:p w14:paraId="03CD1F14" w14:textId="77777777" w:rsidR="008C3A64" w:rsidRPr="00FB3F88" w:rsidRDefault="008C3A64" w:rsidP="00FD08B2">
            <w:pPr>
              <w:pStyle w:val="Contenidotablas"/>
              <w:spacing w:before="120"/>
              <w:jc w:val="right"/>
              <w:rPr>
                <w:sz w:val="18"/>
                <w:szCs w:val="18"/>
              </w:rPr>
            </w:pPr>
            <w:r w:rsidRPr="00FB3F88">
              <w:rPr>
                <w:sz w:val="18"/>
                <w:szCs w:val="18"/>
              </w:rPr>
              <w:t>763.483</w:t>
            </w:r>
          </w:p>
        </w:tc>
        <w:tc>
          <w:tcPr>
            <w:tcW w:w="1134" w:type="dxa"/>
            <w:vAlign w:val="center"/>
          </w:tcPr>
          <w:p w14:paraId="6F2DE8B4" w14:textId="77777777" w:rsidR="008C3A64" w:rsidRPr="00FB3F88" w:rsidRDefault="008C3A64" w:rsidP="00FD08B2">
            <w:pPr>
              <w:pStyle w:val="Contenidotablas"/>
              <w:spacing w:before="120"/>
              <w:jc w:val="right"/>
              <w:rPr>
                <w:sz w:val="18"/>
                <w:szCs w:val="18"/>
              </w:rPr>
            </w:pPr>
            <w:r w:rsidRPr="00FB3F88">
              <w:rPr>
                <w:sz w:val="18"/>
                <w:szCs w:val="18"/>
              </w:rPr>
              <w:t>756.496</w:t>
            </w:r>
          </w:p>
        </w:tc>
        <w:tc>
          <w:tcPr>
            <w:tcW w:w="1134" w:type="dxa"/>
            <w:vAlign w:val="center"/>
          </w:tcPr>
          <w:p w14:paraId="4F452233" w14:textId="77777777" w:rsidR="008C3A64" w:rsidRPr="00FB3F88" w:rsidRDefault="008C3A64" w:rsidP="00FD08B2">
            <w:pPr>
              <w:pStyle w:val="Contenidotablas"/>
              <w:spacing w:before="120"/>
              <w:jc w:val="right"/>
              <w:rPr>
                <w:sz w:val="18"/>
                <w:szCs w:val="18"/>
              </w:rPr>
            </w:pPr>
            <w:r w:rsidRPr="00FB3F88">
              <w:rPr>
                <w:sz w:val="18"/>
                <w:szCs w:val="18"/>
              </w:rPr>
              <w:t>757.793</w:t>
            </w:r>
          </w:p>
        </w:tc>
        <w:tc>
          <w:tcPr>
            <w:tcW w:w="1134" w:type="dxa"/>
            <w:vAlign w:val="center"/>
          </w:tcPr>
          <w:p w14:paraId="2A3DCC14" w14:textId="77777777" w:rsidR="008C3A64" w:rsidRPr="00FB3F88" w:rsidRDefault="008C3A64" w:rsidP="00FD08B2">
            <w:pPr>
              <w:pStyle w:val="Contenidotablas"/>
              <w:spacing w:before="120"/>
              <w:jc w:val="right"/>
              <w:rPr>
                <w:sz w:val="18"/>
                <w:szCs w:val="18"/>
              </w:rPr>
            </w:pPr>
            <w:r w:rsidRPr="00FB3F88">
              <w:rPr>
                <w:sz w:val="18"/>
                <w:szCs w:val="18"/>
              </w:rPr>
              <w:t>757.811</w:t>
            </w:r>
          </w:p>
        </w:tc>
        <w:tc>
          <w:tcPr>
            <w:tcW w:w="1134" w:type="dxa"/>
            <w:vAlign w:val="center"/>
          </w:tcPr>
          <w:p w14:paraId="1FCAF508" w14:textId="77777777" w:rsidR="008C3A64" w:rsidRPr="00FB3F88" w:rsidRDefault="008C3A64" w:rsidP="00FD08B2">
            <w:pPr>
              <w:pStyle w:val="Contenidotablas"/>
              <w:spacing w:before="120"/>
              <w:jc w:val="right"/>
              <w:rPr>
                <w:sz w:val="18"/>
                <w:szCs w:val="18"/>
              </w:rPr>
            </w:pPr>
            <w:r w:rsidRPr="00FB3F88">
              <w:rPr>
                <w:sz w:val="18"/>
                <w:szCs w:val="18"/>
              </w:rPr>
              <w:t>663.971</w:t>
            </w:r>
          </w:p>
        </w:tc>
        <w:tc>
          <w:tcPr>
            <w:tcW w:w="1134" w:type="dxa"/>
            <w:vAlign w:val="center"/>
          </w:tcPr>
          <w:p w14:paraId="4826FE9C" w14:textId="77777777" w:rsidR="008C3A64" w:rsidRPr="00FB3F88" w:rsidRDefault="008C3A64" w:rsidP="00FD08B2">
            <w:pPr>
              <w:pStyle w:val="Contenidotablas"/>
              <w:spacing w:before="120"/>
              <w:jc w:val="right"/>
              <w:rPr>
                <w:sz w:val="18"/>
                <w:szCs w:val="18"/>
              </w:rPr>
            </w:pPr>
            <w:r w:rsidRPr="00FB3F88">
              <w:rPr>
                <w:sz w:val="18"/>
                <w:szCs w:val="18"/>
              </w:rPr>
              <w:t>668.953</w:t>
            </w:r>
          </w:p>
        </w:tc>
      </w:tr>
      <w:tr w:rsidR="008C3A64" w:rsidRPr="00FB3F88" w14:paraId="0785510A" w14:textId="77777777" w:rsidTr="00591C4D">
        <w:trPr>
          <w:trHeight w:val="454"/>
          <w:jc w:val="center"/>
        </w:trPr>
        <w:tc>
          <w:tcPr>
            <w:tcW w:w="1701" w:type="dxa"/>
            <w:vAlign w:val="center"/>
          </w:tcPr>
          <w:p w14:paraId="4A95CCED" w14:textId="77777777" w:rsidR="008C3A64" w:rsidRPr="00FB3F88" w:rsidRDefault="008C3A64" w:rsidP="00FD08B2">
            <w:pPr>
              <w:pStyle w:val="Contenidotablas"/>
              <w:spacing w:before="120"/>
              <w:jc w:val="right"/>
              <w:rPr>
                <w:sz w:val="18"/>
                <w:szCs w:val="18"/>
              </w:rPr>
            </w:pPr>
            <w:r w:rsidRPr="00FB3F88">
              <w:rPr>
                <w:sz w:val="18"/>
                <w:szCs w:val="18"/>
              </w:rPr>
              <w:t>Adultez</w:t>
            </w:r>
          </w:p>
          <w:p w14:paraId="6FE36F5F" w14:textId="7C0F696E" w:rsidR="008C3A64" w:rsidRPr="00FB3F88" w:rsidRDefault="008C3A64" w:rsidP="00FD08B2">
            <w:pPr>
              <w:pStyle w:val="Contenidotablas"/>
              <w:spacing w:before="120"/>
              <w:jc w:val="right"/>
              <w:rPr>
                <w:sz w:val="18"/>
                <w:szCs w:val="18"/>
              </w:rPr>
            </w:pPr>
            <w:r w:rsidRPr="00FB3F88">
              <w:rPr>
                <w:sz w:val="18"/>
                <w:szCs w:val="18"/>
              </w:rPr>
              <w:t>29</w:t>
            </w:r>
            <w:r w:rsidR="001941F2">
              <w:rPr>
                <w:sz w:val="18"/>
                <w:szCs w:val="18"/>
              </w:rPr>
              <w:t xml:space="preserve"> a </w:t>
            </w:r>
            <w:r w:rsidRPr="00FB3F88">
              <w:rPr>
                <w:sz w:val="18"/>
                <w:szCs w:val="18"/>
              </w:rPr>
              <w:t>59 años</w:t>
            </w:r>
          </w:p>
        </w:tc>
        <w:tc>
          <w:tcPr>
            <w:tcW w:w="1134" w:type="dxa"/>
            <w:vAlign w:val="center"/>
          </w:tcPr>
          <w:p w14:paraId="03347019" w14:textId="77777777" w:rsidR="008C3A64" w:rsidRPr="00FB3F88" w:rsidRDefault="008C3A64" w:rsidP="00FD08B2">
            <w:pPr>
              <w:pStyle w:val="Contenidotablas"/>
              <w:spacing w:before="120"/>
              <w:jc w:val="right"/>
              <w:rPr>
                <w:sz w:val="18"/>
                <w:szCs w:val="18"/>
              </w:rPr>
            </w:pPr>
            <w:r w:rsidRPr="00FB3F88">
              <w:rPr>
                <w:sz w:val="18"/>
                <w:szCs w:val="18"/>
              </w:rPr>
              <w:t>1.688.985</w:t>
            </w:r>
          </w:p>
        </w:tc>
        <w:tc>
          <w:tcPr>
            <w:tcW w:w="1134" w:type="dxa"/>
            <w:vAlign w:val="center"/>
          </w:tcPr>
          <w:p w14:paraId="0DBD27CE" w14:textId="77777777" w:rsidR="008C3A64" w:rsidRPr="00FB3F88" w:rsidRDefault="008C3A64" w:rsidP="00FD08B2">
            <w:pPr>
              <w:pStyle w:val="Contenidotablas"/>
              <w:spacing w:before="120"/>
              <w:jc w:val="right"/>
              <w:rPr>
                <w:sz w:val="18"/>
                <w:szCs w:val="18"/>
              </w:rPr>
            </w:pPr>
            <w:r w:rsidRPr="00FB3F88">
              <w:rPr>
                <w:sz w:val="18"/>
                <w:szCs w:val="18"/>
              </w:rPr>
              <w:t>1.489.245</w:t>
            </w:r>
          </w:p>
        </w:tc>
        <w:tc>
          <w:tcPr>
            <w:tcW w:w="1134" w:type="dxa"/>
            <w:vAlign w:val="center"/>
          </w:tcPr>
          <w:p w14:paraId="2CACD092" w14:textId="77777777" w:rsidR="008C3A64" w:rsidRPr="00FB3F88" w:rsidRDefault="008C3A64" w:rsidP="00FD08B2">
            <w:pPr>
              <w:pStyle w:val="Contenidotablas"/>
              <w:spacing w:before="120"/>
              <w:jc w:val="right"/>
              <w:rPr>
                <w:sz w:val="18"/>
                <w:szCs w:val="18"/>
              </w:rPr>
            </w:pPr>
            <w:r w:rsidRPr="00FB3F88">
              <w:rPr>
                <w:sz w:val="18"/>
                <w:szCs w:val="18"/>
              </w:rPr>
              <w:t>1.832.194</w:t>
            </w:r>
          </w:p>
        </w:tc>
        <w:tc>
          <w:tcPr>
            <w:tcW w:w="1134" w:type="dxa"/>
            <w:vAlign w:val="center"/>
          </w:tcPr>
          <w:p w14:paraId="7CCA4D7F" w14:textId="77777777" w:rsidR="008C3A64" w:rsidRPr="00FB3F88" w:rsidRDefault="008C3A64" w:rsidP="00FD08B2">
            <w:pPr>
              <w:pStyle w:val="Contenidotablas"/>
              <w:spacing w:before="120"/>
              <w:jc w:val="right"/>
              <w:rPr>
                <w:sz w:val="18"/>
                <w:szCs w:val="18"/>
              </w:rPr>
            </w:pPr>
            <w:r w:rsidRPr="00FB3F88">
              <w:rPr>
                <w:sz w:val="18"/>
                <w:szCs w:val="18"/>
              </w:rPr>
              <w:t>1.657.212</w:t>
            </w:r>
          </w:p>
        </w:tc>
        <w:tc>
          <w:tcPr>
            <w:tcW w:w="1134" w:type="dxa"/>
            <w:vAlign w:val="center"/>
          </w:tcPr>
          <w:p w14:paraId="780C06E1" w14:textId="77777777" w:rsidR="008C3A64" w:rsidRPr="00FB3F88" w:rsidRDefault="008C3A64" w:rsidP="00FD08B2">
            <w:pPr>
              <w:pStyle w:val="Contenidotablas"/>
              <w:spacing w:before="120"/>
              <w:jc w:val="right"/>
              <w:rPr>
                <w:sz w:val="18"/>
                <w:szCs w:val="18"/>
              </w:rPr>
            </w:pPr>
            <w:r w:rsidRPr="00FB3F88">
              <w:rPr>
                <w:sz w:val="18"/>
                <w:szCs w:val="18"/>
              </w:rPr>
              <w:t>1.894.588</w:t>
            </w:r>
          </w:p>
        </w:tc>
        <w:tc>
          <w:tcPr>
            <w:tcW w:w="1134" w:type="dxa"/>
            <w:vAlign w:val="center"/>
          </w:tcPr>
          <w:p w14:paraId="0070EEC9" w14:textId="77777777" w:rsidR="008C3A64" w:rsidRPr="00FB3F88" w:rsidRDefault="008C3A64" w:rsidP="00FD08B2">
            <w:pPr>
              <w:pStyle w:val="Contenidotablas"/>
              <w:spacing w:before="120"/>
              <w:jc w:val="right"/>
              <w:rPr>
                <w:sz w:val="18"/>
                <w:szCs w:val="18"/>
              </w:rPr>
            </w:pPr>
            <w:r w:rsidRPr="00FB3F88">
              <w:rPr>
                <w:sz w:val="18"/>
                <w:szCs w:val="18"/>
              </w:rPr>
              <w:t>1.753.403</w:t>
            </w:r>
          </w:p>
        </w:tc>
      </w:tr>
      <w:tr w:rsidR="008C3A64" w:rsidRPr="00FB3F88" w14:paraId="56873F20" w14:textId="77777777" w:rsidTr="00591C4D">
        <w:trPr>
          <w:trHeight w:val="454"/>
          <w:jc w:val="center"/>
        </w:trPr>
        <w:tc>
          <w:tcPr>
            <w:tcW w:w="1701" w:type="dxa"/>
            <w:vAlign w:val="center"/>
          </w:tcPr>
          <w:p w14:paraId="2082B312" w14:textId="77777777" w:rsidR="008C3A64" w:rsidRPr="00FB3F88" w:rsidRDefault="008C3A64" w:rsidP="00FD08B2">
            <w:pPr>
              <w:pStyle w:val="Contenidotablas"/>
              <w:spacing w:before="120"/>
              <w:jc w:val="right"/>
              <w:rPr>
                <w:sz w:val="18"/>
                <w:szCs w:val="18"/>
              </w:rPr>
            </w:pPr>
            <w:r w:rsidRPr="00FB3F88">
              <w:rPr>
                <w:sz w:val="18"/>
                <w:szCs w:val="18"/>
              </w:rPr>
              <w:t>Vejez</w:t>
            </w:r>
          </w:p>
          <w:p w14:paraId="511C6EA0" w14:textId="77777777" w:rsidR="008C3A64" w:rsidRPr="00FB3F88" w:rsidRDefault="008C3A64" w:rsidP="00FD08B2">
            <w:pPr>
              <w:pStyle w:val="Contenidotablas"/>
              <w:spacing w:before="120"/>
              <w:jc w:val="right"/>
              <w:rPr>
                <w:sz w:val="18"/>
                <w:szCs w:val="18"/>
              </w:rPr>
            </w:pPr>
            <w:r w:rsidRPr="00FB3F88">
              <w:rPr>
                <w:sz w:val="18"/>
                <w:szCs w:val="18"/>
              </w:rPr>
              <w:t>60 y más años</w:t>
            </w:r>
          </w:p>
        </w:tc>
        <w:tc>
          <w:tcPr>
            <w:tcW w:w="1134" w:type="dxa"/>
            <w:vAlign w:val="center"/>
          </w:tcPr>
          <w:p w14:paraId="4ACCD158" w14:textId="77777777" w:rsidR="008C3A64" w:rsidRPr="00FB3F88" w:rsidRDefault="008C3A64" w:rsidP="00FD08B2">
            <w:pPr>
              <w:pStyle w:val="Contenidotablas"/>
              <w:spacing w:before="120"/>
              <w:jc w:val="right"/>
              <w:rPr>
                <w:sz w:val="18"/>
                <w:szCs w:val="18"/>
              </w:rPr>
            </w:pPr>
            <w:r w:rsidRPr="00FB3F88">
              <w:rPr>
                <w:sz w:val="18"/>
                <w:szCs w:val="18"/>
              </w:rPr>
              <w:t>547.192</w:t>
            </w:r>
          </w:p>
        </w:tc>
        <w:tc>
          <w:tcPr>
            <w:tcW w:w="1134" w:type="dxa"/>
            <w:vAlign w:val="center"/>
          </w:tcPr>
          <w:p w14:paraId="2E87FDA1" w14:textId="77777777" w:rsidR="008C3A64" w:rsidRPr="00FB3F88" w:rsidRDefault="008C3A64" w:rsidP="00FD08B2">
            <w:pPr>
              <w:pStyle w:val="Contenidotablas"/>
              <w:spacing w:before="120"/>
              <w:jc w:val="right"/>
              <w:rPr>
                <w:sz w:val="18"/>
                <w:szCs w:val="18"/>
              </w:rPr>
            </w:pPr>
            <w:r w:rsidRPr="00FB3F88">
              <w:rPr>
                <w:sz w:val="18"/>
                <w:szCs w:val="18"/>
              </w:rPr>
              <w:t>399.375</w:t>
            </w:r>
          </w:p>
        </w:tc>
        <w:tc>
          <w:tcPr>
            <w:tcW w:w="1134" w:type="dxa"/>
            <w:vAlign w:val="center"/>
          </w:tcPr>
          <w:p w14:paraId="3219C91B" w14:textId="77777777" w:rsidR="008C3A64" w:rsidRPr="00FB3F88" w:rsidRDefault="008C3A64" w:rsidP="00FD08B2">
            <w:pPr>
              <w:pStyle w:val="Contenidotablas"/>
              <w:spacing w:before="120"/>
              <w:jc w:val="right"/>
              <w:rPr>
                <w:sz w:val="18"/>
                <w:szCs w:val="18"/>
              </w:rPr>
            </w:pPr>
            <w:r w:rsidRPr="00FB3F88">
              <w:rPr>
                <w:sz w:val="18"/>
                <w:szCs w:val="18"/>
              </w:rPr>
              <w:t>664.447</w:t>
            </w:r>
          </w:p>
        </w:tc>
        <w:tc>
          <w:tcPr>
            <w:tcW w:w="1134" w:type="dxa"/>
            <w:vAlign w:val="center"/>
          </w:tcPr>
          <w:p w14:paraId="2244CC74" w14:textId="77777777" w:rsidR="008C3A64" w:rsidRPr="00FB3F88" w:rsidRDefault="008C3A64" w:rsidP="00FD08B2">
            <w:pPr>
              <w:pStyle w:val="Contenidotablas"/>
              <w:spacing w:before="120"/>
              <w:jc w:val="right"/>
              <w:rPr>
                <w:sz w:val="18"/>
                <w:szCs w:val="18"/>
              </w:rPr>
            </w:pPr>
            <w:r w:rsidRPr="00FB3F88">
              <w:rPr>
                <w:sz w:val="18"/>
                <w:szCs w:val="18"/>
              </w:rPr>
              <w:t>473.899</w:t>
            </w:r>
          </w:p>
        </w:tc>
        <w:tc>
          <w:tcPr>
            <w:tcW w:w="1134" w:type="dxa"/>
            <w:vAlign w:val="center"/>
          </w:tcPr>
          <w:p w14:paraId="44644818" w14:textId="77777777" w:rsidR="008C3A64" w:rsidRPr="00FB3F88" w:rsidRDefault="008C3A64" w:rsidP="00FD08B2">
            <w:pPr>
              <w:pStyle w:val="Contenidotablas"/>
              <w:spacing w:before="120"/>
              <w:jc w:val="right"/>
              <w:rPr>
                <w:sz w:val="18"/>
                <w:szCs w:val="18"/>
              </w:rPr>
            </w:pPr>
            <w:r w:rsidRPr="00FB3F88">
              <w:rPr>
                <w:sz w:val="18"/>
                <w:szCs w:val="18"/>
              </w:rPr>
              <w:t>767.552</w:t>
            </w:r>
          </w:p>
        </w:tc>
        <w:tc>
          <w:tcPr>
            <w:tcW w:w="1134" w:type="dxa"/>
            <w:vAlign w:val="center"/>
          </w:tcPr>
          <w:p w14:paraId="562EA546" w14:textId="77777777" w:rsidR="008C3A64" w:rsidRPr="00FB3F88" w:rsidRDefault="008C3A64" w:rsidP="00FD08B2">
            <w:pPr>
              <w:pStyle w:val="Contenidotablas"/>
              <w:spacing w:before="120"/>
              <w:jc w:val="right"/>
              <w:rPr>
                <w:sz w:val="18"/>
                <w:szCs w:val="18"/>
              </w:rPr>
            </w:pPr>
            <w:r w:rsidRPr="00FB3F88">
              <w:rPr>
                <w:sz w:val="18"/>
                <w:szCs w:val="18"/>
              </w:rPr>
              <w:t>537.383</w:t>
            </w:r>
          </w:p>
        </w:tc>
      </w:tr>
      <w:tr w:rsidR="008C3A64" w:rsidRPr="00FB3F88" w14:paraId="601D3CAF" w14:textId="77777777" w:rsidTr="00591C4D">
        <w:trPr>
          <w:trHeight w:val="454"/>
          <w:jc w:val="center"/>
        </w:trPr>
        <w:tc>
          <w:tcPr>
            <w:tcW w:w="1701" w:type="dxa"/>
            <w:shd w:val="clear" w:color="auto" w:fill="D0CECE" w:themeFill="background2" w:themeFillShade="E6"/>
            <w:vAlign w:val="center"/>
          </w:tcPr>
          <w:p w14:paraId="1D8DA085" w14:textId="1B616D80" w:rsidR="008C3A64" w:rsidRPr="00FB3F88" w:rsidRDefault="008C3A64" w:rsidP="00FF1F9A">
            <w:pPr>
              <w:pStyle w:val="Contenidotablas"/>
              <w:jc w:val="right"/>
              <w:rPr>
                <w:b/>
                <w:bCs/>
                <w:sz w:val="18"/>
                <w:szCs w:val="18"/>
              </w:rPr>
            </w:pPr>
            <w:r w:rsidRPr="00FB3F88">
              <w:rPr>
                <w:b/>
                <w:bCs/>
                <w:sz w:val="18"/>
                <w:szCs w:val="18"/>
              </w:rPr>
              <w:t>Total Bogotá</w:t>
            </w:r>
          </w:p>
        </w:tc>
        <w:tc>
          <w:tcPr>
            <w:tcW w:w="1134" w:type="dxa"/>
            <w:shd w:val="clear" w:color="auto" w:fill="D0CECE" w:themeFill="background2" w:themeFillShade="E6"/>
            <w:vAlign w:val="center"/>
          </w:tcPr>
          <w:p w14:paraId="5D53C563" w14:textId="77777777" w:rsidR="008C3A64" w:rsidRPr="00FB3F88" w:rsidRDefault="008C3A64" w:rsidP="00FF1F9A">
            <w:pPr>
              <w:pStyle w:val="Contenidotablas"/>
              <w:jc w:val="right"/>
              <w:rPr>
                <w:b/>
                <w:bCs/>
                <w:sz w:val="18"/>
                <w:szCs w:val="18"/>
              </w:rPr>
            </w:pPr>
            <w:r w:rsidRPr="00FB3F88">
              <w:rPr>
                <w:b/>
                <w:bCs/>
                <w:sz w:val="18"/>
                <w:szCs w:val="18"/>
              </w:rPr>
              <w:t>3.868.488</w:t>
            </w:r>
          </w:p>
        </w:tc>
        <w:tc>
          <w:tcPr>
            <w:tcW w:w="1134" w:type="dxa"/>
            <w:shd w:val="clear" w:color="auto" w:fill="D0CECE" w:themeFill="background2" w:themeFillShade="E6"/>
            <w:vAlign w:val="center"/>
          </w:tcPr>
          <w:p w14:paraId="71C85435" w14:textId="77777777" w:rsidR="008C3A64" w:rsidRPr="00FB3F88" w:rsidRDefault="008C3A64" w:rsidP="00FF1F9A">
            <w:pPr>
              <w:pStyle w:val="Contenidotablas"/>
              <w:jc w:val="right"/>
              <w:rPr>
                <w:b/>
                <w:bCs/>
                <w:sz w:val="18"/>
                <w:szCs w:val="18"/>
              </w:rPr>
            </w:pPr>
            <w:r w:rsidRPr="00FB3F88">
              <w:rPr>
                <w:b/>
                <w:bCs/>
                <w:sz w:val="18"/>
                <w:szCs w:val="18"/>
              </w:rPr>
              <w:t>3.544.078</w:t>
            </w:r>
          </w:p>
        </w:tc>
        <w:tc>
          <w:tcPr>
            <w:tcW w:w="1134" w:type="dxa"/>
            <w:shd w:val="clear" w:color="auto" w:fill="D0CECE" w:themeFill="background2" w:themeFillShade="E6"/>
            <w:vAlign w:val="center"/>
          </w:tcPr>
          <w:p w14:paraId="2D536F04" w14:textId="77777777" w:rsidR="008C3A64" w:rsidRPr="00FB3F88" w:rsidRDefault="008C3A64" w:rsidP="00FF1F9A">
            <w:pPr>
              <w:pStyle w:val="Contenidotablas"/>
              <w:jc w:val="right"/>
              <w:rPr>
                <w:b/>
                <w:bCs/>
                <w:sz w:val="18"/>
                <w:szCs w:val="18"/>
              </w:rPr>
            </w:pPr>
            <w:r w:rsidRPr="00FB3F88">
              <w:rPr>
                <w:b/>
                <w:bCs/>
                <w:sz w:val="18"/>
                <w:szCs w:val="18"/>
              </w:rPr>
              <w:t>4.103.094</w:t>
            </w:r>
          </w:p>
        </w:tc>
        <w:tc>
          <w:tcPr>
            <w:tcW w:w="1134" w:type="dxa"/>
            <w:shd w:val="clear" w:color="auto" w:fill="D0CECE" w:themeFill="background2" w:themeFillShade="E6"/>
            <w:vAlign w:val="center"/>
          </w:tcPr>
          <w:p w14:paraId="74D6A65F" w14:textId="77777777" w:rsidR="008C3A64" w:rsidRPr="00FB3F88" w:rsidRDefault="008C3A64" w:rsidP="00FF1F9A">
            <w:pPr>
              <w:pStyle w:val="Contenidotablas"/>
              <w:jc w:val="right"/>
              <w:rPr>
                <w:b/>
                <w:bCs/>
                <w:sz w:val="18"/>
                <w:szCs w:val="18"/>
              </w:rPr>
            </w:pPr>
            <w:r w:rsidRPr="00FB3F88">
              <w:rPr>
                <w:b/>
                <w:bCs/>
                <w:sz w:val="18"/>
                <w:szCs w:val="18"/>
              </w:rPr>
              <w:t>3.770.222</w:t>
            </w:r>
          </w:p>
        </w:tc>
        <w:tc>
          <w:tcPr>
            <w:tcW w:w="1134" w:type="dxa"/>
            <w:shd w:val="clear" w:color="auto" w:fill="D0CECE" w:themeFill="background2" w:themeFillShade="E6"/>
            <w:vAlign w:val="center"/>
          </w:tcPr>
          <w:p w14:paraId="69B97402" w14:textId="77777777" w:rsidR="008C3A64" w:rsidRPr="00FB3F88" w:rsidRDefault="008C3A64" w:rsidP="00FF1F9A">
            <w:pPr>
              <w:pStyle w:val="Contenidotablas"/>
              <w:jc w:val="right"/>
              <w:rPr>
                <w:b/>
                <w:bCs/>
                <w:sz w:val="18"/>
                <w:szCs w:val="18"/>
              </w:rPr>
            </w:pPr>
            <w:r w:rsidRPr="00FB3F88">
              <w:rPr>
                <w:b/>
                <w:bCs/>
                <w:sz w:val="18"/>
                <w:szCs w:val="18"/>
              </w:rPr>
              <w:t>4.134.734</w:t>
            </w:r>
          </w:p>
        </w:tc>
        <w:tc>
          <w:tcPr>
            <w:tcW w:w="1134" w:type="dxa"/>
            <w:shd w:val="clear" w:color="auto" w:fill="D0CECE" w:themeFill="background2" w:themeFillShade="E6"/>
            <w:vAlign w:val="center"/>
          </w:tcPr>
          <w:p w14:paraId="0AA46757" w14:textId="77777777" w:rsidR="008C3A64" w:rsidRPr="00FB3F88" w:rsidRDefault="008C3A64" w:rsidP="00FF1F9A">
            <w:pPr>
              <w:pStyle w:val="Contenidotablas"/>
              <w:jc w:val="right"/>
              <w:rPr>
                <w:b/>
                <w:bCs/>
                <w:sz w:val="18"/>
                <w:szCs w:val="18"/>
              </w:rPr>
            </w:pPr>
            <w:r w:rsidRPr="00FB3F88">
              <w:rPr>
                <w:b/>
                <w:bCs/>
                <w:sz w:val="18"/>
                <w:szCs w:val="18"/>
              </w:rPr>
              <w:t>3.801.020</w:t>
            </w:r>
          </w:p>
        </w:tc>
      </w:tr>
    </w:tbl>
    <w:p w14:paraId="336467CC" w14:textId="77777777" w:rsidR="00FD08B2" w:rsidRDefault="008C3A64" w:rsidP="00B16D97">
      <w:pPr>
        <w:pStyle w:val="figuratitulo"/>
        <w:rPr>
          <w:color w:val="3B3838" w:themeColor="background2" w:themeShade="40"/>
          <w:spacing w:val="-6"/>
        </w:rPr>
      </w:pPr>
      <w:r w:rsidRPr="005A31BC">
        <w:rPr>
          <w:b/>
          <w:bCs/>
          <w:color w:val="3B3838" w:themeColor="background2" w:themeShade="40"/>
          <w:spacing w:val="-6"/>
        </w:rPr>
        <w:t>Fuente:</w:t>
      </w:r>
      <w:r w:rsidRPr="005A31BC">
        <w:rPr>
          <w:color w:val="3B3838" w:themeColor="background2" w:themeShade="40"/>
          <w:spacing w:val="-6"/>
        </w:rPr>
        <w:t xml:space="preserve"> Elaboración propia a partir de la información tomada de Secretaría Distrital de Salud. Proyecciones </w:t>
      </w:r>
    </w:p>
    <w:p w14:paraId="199F464C" w14:textId="2DEED05B" w:rsidR="008C3A64" w:rsidRDefault="008C3A64" w:rsidP="00B16D97">
      <w:pPr>
        <w:pStyle w:val="figuratitulo"/>
        <w:rPr>
          <w:color w:val="3B3838" w:themeColor="background2" w:themeShade="40"/>
          <w:spacing w:val="-6"/>
        </w:rPr>
      </w:pPr>
      <w:r w:rsidRPr="005A31BC">
        <w:rPr>
          <w:color w:val="3B3838" w:themeColor="background2" w:themeShade="40"/>
          <w:spacing w:val="-6"/>
        </w:rPr>
        <w:t>de población a nivel departamental por área, sexo y edad para los periodos 2018-2026.</w:t>
      </w:r>
    </w:p>
    <w:p w14:paraId="3DBC0555" w14:textId="71255249" w:rsidR="00FD08B2" w:rsidRDefault="00FD08B2" w:rsidP="00B16D97">
      <w:pPr>
        <w:pStyle w:val="figuratitulo"/>
        <w:rPr>
          <w:color w:val="3B3838" w:themeColor="background2" w:themeShade="40"/>
          <w:spacing w:val="-6"/>
        </w:rPr>
      </w:pPr>
    </w:p>
    <w:p w14:paraId="32566834" w14:textId="77777777" w:rsidR="00FD08B2" w:rsidRPr="00B16D97" w:rsidRDefault="00FD08B2" w:rsidP="00B16D97">
      <w:pPr>
        <w:pStyle w:val="figuratitulo"/>
        <w:rPr>
          <w:color w:val="3B3838" w:themeColor="background2" w:themeShade="40"/>
          <w:spacing w:val="-6"/>
        </w:rPr>
      </w:pPr>
    </w:p>
    <w:p w14:paraId="0E5893C6" w14:textId="05E57281" w:rsidR="008C3A64" w:rsidRPr="005A31BC" w:rsidRDefault="008C3A64" w:rsidP="00B23F0C">
      <w:pPr>
        <w:pStyle w:val="subnumeros"/>
        <w:numPr>
          <w:ilvl w:val="0"/>
          <w:numId w:val="0"/>
        </w:numPr>
        <w:ind w:left="1145" w:hanging="720"/>
        <w:outlineLvl w:val="9"/>
        <w:rPr>
          <w:rFonts w:eastAsiaTheme="minorHAnsi"/>
        </w:rPr>
      </w:pPr>
      <w:r w:rsidRPr="005A31BC">
        <w:rPr>
          <w:rFonts w:eastAsiaTheme="minorHAnsi"/>
        </w:rPr>
        <w:t xml:space="preserve">Población </w:t>
      </w:r>
      <w:r w:rsidRPr="00736A83">
        <w:t>migrante</w:t>
      </w:r>
    </w:p>
    <w:p w14:paraId="7729D550"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708" w:gutter="0"/>
          <w:cols w:space="720"/>
        </w:sectPr>
      </w:pPr>
    </w:p>
    <w:p w14:paraId="1AE95BB8" w14:textId="77777777" w:rsidR="008C3A64" w:rsidRPr="005A31BC" w:rsidRDefault="008C3A64" w:rsidP="008C3A64">
      <w:pPr>
        <w:rPr>
          <w:rFonts w:cs="Times New Roman (Cuerpo en alfa"/>
          <w:spacing w:val="-6"/>
        </w:rPr>
      </w:pPr>
      <w:r w:rsidRPr="005A31BC">
        <w:rPr>
          <w:rFonts w:cs="Times New Roman (Cuerpo en alfa"/>
          <w:spacing w:val="-6"/>
        </w:rPr>
        <w:t>La migración en Colombia ha aumentado significativamente en los últimos años. Bogotá es una de las ciudades que ha recibido el mayor número de migrantes con una estimación aproximada de 416.145 personas en 2021, equivalente a un 5,3 % de la población bogotana (Secretaría Distrital de Planeación, 2023a, p. 5).</w:t>
      </w:r>
    </w:p>
    <w:p w14:paraId="05706CDA" w14:textId="77777777" w:rsidR="008C3A64" w:rsidRPr="005A31BC" w:rsidRDefault="008C3A64" w:rsidP="008C3A64">
      <w:pPr>
        <w:rPr>
          <w:rFonts w:cs="Times New Roman (Cuerpo en alfa"/>
          <w:spacing w:val="-6"/>
        </w:rPr>
      </w:pPr>
    </w:p>
    <w:p w14:paraId="450C93DA" w14:textId="77777777" w:rsidR="008C3A64" w:rsidRPr="005A31BC" w:rsidRDefault="008C3A64" w:rsidP="008C3A64">
      <w:pPr>
        <w:rPr>
          <w:rFonts w:cs="Times New Roman (Cuerpo en alfa"/>
          <w:spacing w:val="-6"/>
        </w:rPr>
      </w:pPr>
      <w:r w:rsidRPr="005A31BC">
        <w:rPr>
          <w:rFonts w:cs="Times New Roman (Cuerpo en alfa"/>
          <w:spacing w:val="-6"/>
        </w:rPr>
        <w:t xml:space="preserve">Adicionalmente, se evidencia un aumento del 286 % comparando con la cantidad de población de 2017 que era de 107.881 migrantes. En relación con la población que reside en las áreas urbana y rural, tanto la población nacional como migrante tienen proporciones similares, la mayoría se concentra en la zona urbana; aunque en 2021 la población migrante en la ruralidad bogotana aumentó en 0,1 puntos porcentuales (p.p.) con respecto a 2017. Esto implica 800 personas más en los dos años de </w:t>
      </w:r>
      <w:r w:rsidRPr="005A31BC">
        <w:rPr>
          <w:rFonts w:cs="Times New Roman (Cuerpo en alfa"/>
          <w:spacing w:val="-6"/>
        </w:rPr>
        <w:t>comparación. (Secretaría Distrital de Planeación, 2023a, p. 5).</w:t>
      </w:r>
    </w:p>
    <w:p w14:paraId="0E90F5EE" w14:textId="77777777" w:rsidR="008C3A64" w:rsidRPr="005A31BC" w:rsidRDefault="008C3A64" w:rsidP="008C3A64">
      <w:pPr>
        <w:rPr>
          <w:rFonts w:cs="Times New Roman (Cuerpo en alfa"/>
          <w:spacing w:val="-6"/>
        </w:rPr>
      </w:pPr>
    </w:p>
    <w:p w14:paraId="6A3755DE" w14:textId="77777777" w:rsidR="008C3A64" w:rsidRPr="005A31BC" w:rsidRDefault="008C3A64" w:rsidP="008C3A64">
      <w:pPr>
        <w:rPr>
          <w:rFonts w:cs="Times New Roman (Cuerpo en alfa"/>
          <w:spacing w:val="-6"/>
        </w:rPr>
      </w:pPr>
      <w:r w:rsidRPr="005A31BC">
        <w:rPr>
          <w:rFonts w:cs="Times New Roman (Cuerpo en alfa"/>
          <w:spacing w:val="-6"/>
        </w:rPr>
        <w:t>Por localización geográfica, se presenta el total de población migrante distribuida en Bogotá. Las localidades que concentraban poco más del 50 % de la población migrante eran Usaquén (10 %), Suba (16,8%), Kennedy (13,6 %) y Engativá (9%). (Secretaría Distrital de Planeación, 2023a, p. 6).</w:t>
      </w:r>
    </w:p>
    <w:p w14:paraId="67E61E81" w14:textId="77777777" w:rsidR="008C3A64" w:rsidRPr="005A31BC" w:rsidRDefault="008C3A64" w:rsidP="008C3A64">
      <w:pPr>
        <w:rPr>
          <w:rFonts w:cs="Times New Roman (Cuerpo en alfa"/>
          <w:spacing w:val="-6"/>
        </w:rPr>
      </w:pPr>
    </w:p>
    <w:p w14:paraId="022D3A8C" w14:textId="2376FE24" w:rsidR="008C3A64" w:rsidRPr="00170442" w:rsidRDefault="008C3A64" w:rsidP="00212E0F">
      <w:pPr>
        <w:spacing w:line="240" w:lineRule="auto"/>
        <w:rPr>
          <w:rFonts w:cs="Times New Roman (Cuerpo en alfa"/>
          <w:spacing w:val="-6"/>
        </w:rPr>
      </w:pPr>
      <w:r w:rsidRPr="005A31BC">
        <w:rPr>
          <w:rFonts w:cs="Times New Roman (Cuerpo en alfa"/>
          <w:spacing w:val="-6"/>
        </w:rPr>
        <w:t>Con respecto a la tenencia y el hacinamiento de vivienda en los hogares con población migrante se evidencia un aumento de 17 puntos porcentuales entre 2017 (76,3 %) y 2021 (93,3 %) en la tenencia de vivienda por arriendo. Esto se une con el aumento de hacinamiento en cuartos, que pasó de 18,9 % en 2017 a 19,9 % en 2021. (Secret</w:t>
      </w:r>
      <w:r w:rsidRPr="00212E0F">
        <w:rPr>
          <w:rFonts w:cs="Times New Roman (Cuerpo en alfa"/>
          <w:spacing w:val="-6"/>
        </w:rPr>
        <w:t>aría Distrital de Planeación, 2023a, p. 11)</w:t>
      </w:r>
      <w:r w:rsidR="00212E0F" w:rsidRPr="00212E0F">
        <w:rPr>
          <w:rFonts w:cs="Times New Roman (Cuerpo en alfa"/>
          <w:spacing w:val="-6"/>
        </w:rPr>
        <w:t xml:space="preserve"> (</w:t>
      </w:r>
      <w:r w:rsidR="00212E0F" w:rsidRPr="00212E0F">
        <w:rPr>
          <w:rFonts w:cs="Times New Roman (Cuerpo en alfa"/>
          <w:spacing w:val="-6"/>
        </w:rPr>
        <w:fldChar w:fldCharType="begin"/>
      </w:r>
      <w:r w:rsidR="00212E0F" w:rsidRPr="00212E0F">
        <w:rPr>
          <w:rFonts w:cs="Times New Roman (Cuerpo en alfa"/>
          <w:spacing w:val="-6"/>
        </w:rPr>
        <w:instrText xml:space="preserve"> REF _Ref165171084 \h </w:instrText>
      </w:r>
      <w:r w:rsidR="00212E0F" w:rsidRPr="00212E0F">
        <w:rPr>
          <w:rFonts w:cs="Times New Roman (Cuerpo en alfa"/>
          <w:spacing w:val="-6"/>
        </w:rPr>
      </w:r>
      <w:r w:rsidR="00212E0F" w:rsidRPr="00212E0F">
        <w:rPr>
          <w:rFonts w:cs="Times New Roman (Cuerpo en alfa"/>
          <w:spacing w:val="-6"/>
        </w:rPr>
        <w:fldChar w:fldCharType="separate"/>
      </w:r>
      <w:r w:rsidR="00D01651" w:rsidRPr="004111AF">
        <w:rPr>
          <w:color w:val="C00000"/>
          <w:sz w:val="18"/>
          <w:szCs w:val="14"/>
        </w:rPr>
        <w:t xml:space="preserve">Gráfica </w:t>
      </w:r>
      <w:r w:rsidR="00D01651">
        <w:rPr>
          <w:noProof/>
          <w:color w:val="C00000"/>
          <w:sz w:val="18"/>
          <w:szCs w:val="14"/>
        </w:rPr>
        <w:t>15</w:t>
      </w:r>
      <w:r w:rsidR="00212E0F" w:rsidRPr="00212E0F">
        <w:rPr>
          <w:rFonts w:cs="Times New Roman (Cuerpo en alfa"/>
          <w:spacing w:val="-6"/>
        </w:rPr>
        <w:fldChar w:fldCharType="end"/>
      </w:r>
      <w:r w:rsidRPr="00212E0F">
        <w:rPr>
          <w:rFonts w:cs="Times New Roman (Cuerpo en alfa"/>
          <w:spacing w:val="-6"/>
        </w:rPr>
        <w:t>)</w:t>
      </w:r>
      <w:r w:rsidR="00212E0F" w:rsidRPr="00212E0F">
        <w:rPr>
          <w:rFonts w:cs="Times New Roman (Cuerpo en alfa"/>
          <w:spacing w:val="-6"/>
        </w:rPr>
        <w:t>.</w:t>
      </w:r>
    </w:p>
    <w:p w14:paraId="1C2BADC1" w14:textId="77777777" w:rsidR="008C3A64" w:rsidRPr="005A31BC" w:rsidRDefault="008C3A64" w:rsidP="008C3A64">
      <w:pPr>
        <w:rPr>
          <w:rFonts w:ascii="Times New Roman" w:hAnsi="Times New Roman" w:cs="Times New Roman (Cuerpo en alfa"/>
          <w:spacing w:val="-6"/>
          <w:sz w:val="24"/>
        </w:rPr>
        <w:sectPr w:rsidR="008C3A64" w:rsidRPr="005A31BC" w:rsidSect="00F7078E">
          <w:type w:val="continuous"/>
          <w:pgSz w:w="12240" w:h="15840"/>
          <w:pgMar w:top="2262" w:right="1440" w:bottom="1440" w:left="1440" w:header="708" w:footer="708" w:gutter="0"/>
          <w:cols w:num="2" w:space="567"/>
        </w:sectPr>
      </w:pPr>
    </w:p>
    <w:p w14:paraId="52B594FD" w14:textId="77777777" w:rsidR="008C3A64" w:rsidRPr="005A31BC" w:rsidRDefault="008C3A64" w:rsidP="008C3A64">
      <w:pPr>
        <w:rPr>
          <w:rFonts w:ascii="Times New Roman" w:hAnsi="Times New Roman" w:cs="Times New Roman (Cuerpo en alfa"/>
          <w:spacing w:val="-6"/>
          <w:sz w:val="24"/>
        </w:rPr>
      </w:pPr>
    </w:p>
    <w:p w14:paraId="1B219085" w14:textId="77777777" w:rsidR="008C3A64" w:rsidRPr="005A31BC" w:rsidRDefault="008C3A64" w:rsidP="008C3A64">
      <w:pPr>
        <w:pStyle w:val="figuratitulo"/>
        <w:jc w:val="both"/>
        <w:rPr>
          <w:rFonts w:cs="Times New Roman (Cuerpo en alfa"/>
          <w:b/>
          <w:bCs/>
          <w:color w:val="3B3838" w:themeColor="background2" w:themeShade="40"/>
          <w:spacing w:val="-6"/>
        </w:rPr>
        <w:sectPr w:rsidR="008C3A64" w:rsidRPr="005A31BC" w:rsidSect="00F7078E">
          <w:type w:val="continuous"/>
          <w:pgSz w:w="12240" w:h="15840"/>
          <w:pgMar w:top="2262" w:right="1440" w:bottom="1440" w:left="1440" w:header="708" w:footer="708" w:gutter="0"/>
          <w:cols w:space="567"/>
        </w:sectPr>
      </w:pPr>
    </w:p>
    <w:p w14:paraId="71B1F34A" w14:textId="77777777" w:rsidR="008C3A64" w:rsidRDefault="008C3A64" w:rsidP="008C3A64">
      <w:pPr>
        <w:pStyle w:val="figuratitulo"/>
        <w:rPr>
          <w:b/>
          <w:bCs/>
          <w:color w:val="3B3838" w:themeColor="background2" w:themeShade="40"/>
          <w:spacing w:val="-6"/>
        </w:rPr>
      </w:pPr>
    </w:p>
    <w:p w14:paraId="27DD2AD5" w14:textId="77777777" w:rsidR="00170442" w:rsidRDefault="00170442">
      <w:pPr>
        <w:spacing w:line="240" w:lineRule="auto"/>
        <w:jc w:val="left"/>
        <w:rPr>
          <w:rFonts w:eastAsiaTheme="minorEastAsia" w:cstheme="minorBidi"/>
          <w:b/>
          <w:iCs/>
          <w:color w:val="C00000"/>
          <w:sz w:val="18"/>
          <w:szCs w:val="14"/>
          <w:lang w:val="es-419" w:eastAsia="en-US"/>
        </w:rPr>
      </w:pPr>
      <w:bookmarkStart w:id="97" w:name="_Ref165113519"/>
      <w:bookmarkStart w:id="98" w:name="_Ref165113517"/>
      <w:r>
        <w:rPr>
          <w:color w:val="C00000"/>
          <w:sz w:val="18"/>
          <w:szCs w:val="14"/>
        </w:rPr>
        <w:br w:type="page"/>
      </w:r>
    </w:p>
    <w:p w14:paraId="52CF47D5" w14:textId="638553F7" w:rsidR="008C3A64" w:rsidRPr="004111AF" w:rsidRDefault="004111AF" w:rsidP="004111AF">
      <w:pPr>
        <w:pStyle w:val="Descripcin"/>
        <w:jc w:val="center"/>
        <w:rPr>
          <w:rFonts w:cs="Times New Roman (Cuerpo en alfa"/>
          <w:spacing w:val="-6"/>
          <w:sz w:val="18"/>
          <w:szCs w:val="14"/>
        </w:rPr>
      </w:pPr>
      <w:bookmarkStart w:id="99" w:name="_Ref165171084"/>
      <w:bookmarkStart w:id="100" w:name="_Toc165169841"/>
      <w:r w:rsidRPr="004111AF">
        <w:rPr>
          <w:color w:val="C00000"/>
          <w:sz w:val="18"/>
          <w:szCs w:val="14"/>
        </w:rPr>
        <w:lastRenderedPageBreak/>
        <w:t xml:space="preserve">Gráfica </w:t>
      </w:r>
      <w:r w:rsidRPr="004111AF">
        <w:rPr>
          <w:color w:val="C00000"/>
          <w:sz w:val="18"/>
          <w:szCs w:val="14"/>
        </w:rPr>
        <w:fldChar w:fldCharType="begin"/>
      </w:r>
      <w:r w:rsidRPr="004111AF">
        <w:rPr>
          <w:color w:val="C00000"/>
          <w:sz w:val="18"/>
          <w:szCs w:val="14"/>
        </w:rPr>
        <w:instrText xml:space="preserve"> SEQ Gráfica \* ARABIC </w:instrText>
      </w:r>
      <w:r w:rsidRPr="004111AF">
        <w:rPr>
          <w:color w:val="C00000"/>
          <w:sz w:val="18"/>
          <w:szCs w:val="14"/>
        </w:rPr>
        <w:fldChar w:fldCharType="separate"/>
      </w:r>
      <w:r w:rsidR="00D01651">
        <w:rPr>
          <w:noProof/>
          <w:color w:val="C00000"/>
          <w:sz w:val="18"/>
          <w:szCs w:val="14"/>
        </w:rPr>
        <w:t>15</w:t>
      </w:r>
      <w:r w:rsidRPr="004111AF">
        <w:rPr>
          <w:color w:val="C00000"/>
          <w:sz w:val="18"/>
          <w:szCs w:val="14"/>
        </w:rPr>
        <w:fldChar w:fldCharType="end"/>
      </w:r>
      <w:bookmarkEnd w:id="97"/>
      <w:bookmarkEnd w:id="99"/>
      <w:r w:rsidRPr="004111AF">
        <w:rPr>
          <w:color w:val="C00000"/>
          <w:sz w:val="18"/>
          <w:szCs w:val="14"/>
        </w:rPr>
        <w:t xml:space="preserve">. </w:t>
      </w:r>
      <w:r w:rsidR="008C3A64" w:rsidRPr="004111AF">
        <w:rPr>
          <w:rFonts w:cs="Times New Roman (Cuerpo en alfa"/>
          <w:spacing w:val="-6"/>
          <w:sz w:val="18"/>
          <w:szCs w:val="14"/>
        </w:rPr>
        <w:t>Tipo de tenencia de vivienda personas migrantes en Bogotá</w:t>
      </w:r>
      <w:bookmarkEnd w:id="98"/>
      <w:bookmarkEnd w:id="100"/>
    </w:p>
    <w:p w14:paraId="75038A39" w14:textId="77777777" w:rsidR="008C3A64" w:rsidRPr="005A31BC" w:rsidRDefault="008C3A64" w:rsidP="008C3A64">
      <w:pPr>
        <w:pStyle w:val="figuratitulo"/>
        <w:rPr>
          <w:rFonts w:cs="Times New Roman (Cuerpo en alfa"/>
          <w:spacing w:val="-6"/>
        </w:rPr>
        <w:sectPr w:rsidR="008C3A64" w:rsidRPr="005A31BC" w:rsidSect="00F7078E">
          <w:type w:val="continuous"/>
          <w:pgSz w:w="12240" w:h="15840"/>
          <w:pgMar w:top="2262" w:right="1440" w:bottom="1440" w:left="1440" w:header="708" w:footer="708" w:gutter="0"/>
          <w:cols w:space="567"/>
        </w:sectPr>
      </w:pPr>
    </w:p>
    <w:p w14:paraId="23DA905D" w14:textId="77777777" w:rsidR="008C3A64" w:rsidRPr="005A31BC" w:rsidRDefault="008C3A64" w:rsidP="008C3A64">
      <w:pPr>
        <w:pStyle w:val="figuratitulo"/>
        <w:rPr>
          <w:rFonts w:cs="Times New Roman (Cuerpo en alfa"/>
          <w:spacing w:val="-6"/>
        </w:rPr>
      </w:pPr>
    </w:p>
    <w:p w14:paraId="12E109BE" w14:textId="77777777" w:rsidR="008C3A64" w:rsidRPr="005A31BC" w:rsidRDefault="008C3A64" w:rsidP="008C3A64">
      <w:pPr>
        <w:spacing w:line="480" w:lineRule="auto"/>
        <w:jc w:val="center"/>
        <w:rPr>
          <w:rFonts w:cs="Times New Roman (Cuerpo en alfa"/>
          <w:spacing w:val="-6"/>
        </w:rPr>
        <w:sectPr w:rsidR="008C3A64" w:rsidRPr="005A31BC" w:rsidSect="00F7078E">
          <w:type w:val="continuous"/>
          <w:pgSz w:w="12240" w:h="15840"/>
          <w:pgMar w:top="2262" w:right="1440" w:bottom="1440" w:left="1440" w:header="708" w:footer="708" w:gutter="0"/>
          <w:cols w:space="567"/>
        </w:sectPr>
      </w:pPr>
    </w:p>
    <w:p w14:paraId="5E3F7C36" w14:textId="77777777" w:rsidR="008C3A64" w:rsidRPr="005A31BC" w:rsidRDefault="008C3A64" w:rsidP="008C3A64">
      <w:pPr>
        <w:spacing w:line="480" w:lineRule="auto"/>
        <w:jc w:val="center"/>
        <w:rPr>
          <w:rFonts w:cs="Times New Roman (Cuerpo en alfa"/>
          <w:spacing w:val="-6"/>
        </w:rPr>
      </w:pPr>
      <w:r w:rsidRPr="005A31BC">
        <w:rPr>
          <w:rFonts w:cs="Times New Roman (Cuerpo en alfa"/>
          <w:spacing w:val="-6"/>
        </w:rPr>
        <w:t xml:space="preserve"> </w:t>
      </w:r>
      <w:r w:rsidRPr="005A31BC">
        <w:rPr>
          <w:noProof/>
          <w:spacing w:val="-6"/>
        </w:rPr>
        <w:drawing>
          <wp:inline distT="0" distB="0" distL="0" distR="0" wp14:anchorId="685AFAB3" wp14:editId="78017983">
            <wp:extent cx="5105400" cy="2439570"/>
            <wp:effectExtent l="0" t="0" r="0" b="0"/>
            <wp:docPr id="2117364858" name="Imagen 1"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364858" name="Imagen 1" descr="Gráfico, Gráfico circular&#10;&#10;Descripción generada automáticamente"/>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3076" b="3821"/>
                    <a:stretch/>
                  </pic:blipFill>
                  <pic:spPr bwMode="auto">
                    <a:xfrm>
                      <a:off x="0" y="0"/>
                      <a:ext cx="5130361" cy="2451498"/>
                    </a:xfrm>
                    <a:prstGeom prst="rect">
                      <a:avLst/>
                    </a:prstGeom>
                    <a:noFill/>
                    <a:ln>
                      <a:noFill/>
                    </a:ln>
                    <a:extLst>
                      <a:ext uri="{53640926-AAD7-44D8-BBD7-CCE9431645EC}">
                        <a14:shadowObscured xmlns:a14="http://schemas.microsoft.com/office/drawing/2010/main"/>
                      </a:ext>
                    </a:extLst>
                  </pic:spPr>
                </pic:pic>
              </a:graphicData>
            </a:graphic>
          </wp:inline>
        </w:drawing>
      </w:r>
    </w:p>
    <w:p w14:paraId="448D1AAE" w14:textId="77777777" w:rsidR="008C3A64" w:rsidRPr="005A31BC" w:rsidRDefault="008C3A64" w:rsidP="008C3A64">
      <w:pPr>
        <w:pStyle w:val="figuratitulo"/>
        <w:rPr>
          <w:rFonts w:cs="Times New Roman (Cuerpo en alfa"/>
          <w:color w:val="3B3838" w:themeColor="background2" w:themeShade="40"/>
          <w:spacing w:val="-6"/>
        </w:rPr>
      </w:pPr>
      <w:r w:rsidRPr="005A31BC">
        <w:rPr>
          <w:rFonts w:cs="Times New Roman (Cuerpo en alfa"/>
          <w:b/>
          <w:color w:val="3B3838" w:themeColor="background2" w:themeShade="40"/>
          <w:spacing w:val="-6"/>
        </w:rPr>
        <w:t>Fuente:</w:t>
      </w:r>
      <w:r w:rsidRPr="005A31BC">
        <w:rPr>
          <w:rFonts w:cs="Times New Roman (Cuerpo en alfa"/>
          <w:color w:val="3B3838" w:themeColor="background2" w:themeShade="40"/>
          <w:spacing w:val="-6"/>
        </w:rPr>
        <w:t xml:space="preserve"> Secretaría Distrital de Planeación (2023a).</w:t>
      </w:r>
    </w:p>
    <w:p w14:paraId="744550BC" w14:textId="77777777" w:rsidR="008C3A64" w:rsidRPr="005A31BC" w:rsidRDefault="008C3A64" w:rsidP="008C3A64">
      <w:pPr>
        <w:pStyle w:val="figuratitulo"/>
        <w:rPr>
          <w:rFonts w:cs="Times New Roman (Cuerpo en alfa"/>
          <w:spacing w:val="-6"/>
        </w:rPr>
      </w:pPr>
    </w:p>
    <w:p w14:paraId="22374019" w14:textId="77777777" w:rsidR="008C3A64" w:rsidRPr="005A31BC" w:rsidRDefault="008C3A64" w:rsidP="008C3A64">
      <w:pPr>
        <w:pStyle w:val="figuratitulo"/>
        <w:rPr>
          <w:rFonts w:cs="Times New Roman (Cuerpo en alfa"/>
          <w:spacing w:val="-6"/>
        </w:rPr>
      </w:pPr>
    </w:p>
    <w:p w14:paraId="3CA2C60A" w14:textId="77777777" w:rsidR="008C3A64" w:rsidRPr="005A31BC" w:rsidRDefault="008C3A64" w:rsidP="00B16D97">
      <w:pPr>
        <w:pStyle w:val="figuratitulo"/>
        <w:jc w:val="both"/>
        <w:rPr>
          <w:rFonts w:cs="Times New Roman (Cuerpo en alfa"/>
          <w:spacing w:val="-6"/>
        </w:rPr>
        <w:sectPr w:rsidR="008C3A64" w:rsidRPr="005A31BC" w:rsidSect="00F7078E">
          <w:type w:val="continuous"/>
          <w:pgSz w:w="12240" w:h="15840"/>
          <w:pgMar w:top="2262" w:right="1440" w:bottom="1440" w:left="1440" w:header="708" w:footer="708" w:gutter="0"/>
          <w:cols w:space="567"/>
        </w:sectPr>
      </w:pPr>
    </w:p>
    <w:p w14:paraId="4B9447FF" w14:textId="77777777" w:rsidR="008C3A64" w:rsidRPr="005A31BC" w:rsidRDefault="008C3A64" w:rsidP="008C3A64">
      <w:pPr>
        <w:rPr>
          <w:rFonts w:cs="Times New Roman (Cuerpo en alfa"/>
          <w:spacing w:val="-6"/>
        </w:rPr>
      </w:pPr>
      <w:r w:rsidRPr="005A31BC">
        <w:rPr>
          <w:rFonts w:cs="Times New Roman (Cuerpo en alfa"/>
          <w:spacing w:val="-6"/>
        </w:rPr>
        <w:t>Si se compara con los datos de la población nacional, estos suponen valores más bajos, sin embargo, la población migrante tiene bajo acceso a vivienda propia en comparación a la población nacional. Esta característica, puede relacionarse con la alta proporción de personas migrantes ubicadas dentro de la localidad de Los Mártires</w:t>
      </w:r>
      <w:r w:rsidRPr="00561E18">
        <w:rPr>
          <w:rFonts w:cs="Times New Roman (Cuerpo en alfa"/>
          <w:spacing w:val="-6"/>
          <w:vertAlign w:val="superscript"/>
        </w:rPr>
        <w:footnoteReference w:id="1"/>
      </w:r>
      <w:r w:rsidRPr="00561E18">
        <w:rPr>
          <w:rFonts w:cs="Times New Roman (Cuerpo en alfa"/>
          <w:spacing w:val="-6"/>
          <w:vertAlign w:val="superscript"/>
        </w:rPr>
        <w:t xml:space="preserve"> </w:t>
      </w:r>
      <w:r w:rsidRPr="005A31BC">
        <w:rPr>
          <w:rFonts w:cs="Times New Roman (Cuerpo en alfa"/>
          <w:spacing w:val="-6"/>
        </w:rPr>
        <w:t xml:space="preserve">la cual alberga la mayor cantidad de soluciones habitacionales temporales tipo inquilinato y tipo pagadiario. </w:t>
      </w:r>
    </w:p>
    <w:p w14:paraId="129ADDBA" w14:textId="77777777" w:rsidR="008C3A64" w:rsidRPr="005A31BC" w:rsidRDefault="008C3A64" w:rsidP="008C3A64">
      <w:pPr>
        <w:rPr>
          <w:rFonts w:cs="Times New Roman (Cuerpo en alfa"/>
          <w:spacing w:val="-6"/>
        </w:rPr>
      </w:pPr>
    </w:p>
    <w:p w14:paraId="5A38E51C" w14:textId="01821286" w:rsidR="008C3A64" w:rsidRPr="005A31BC" w:rsidRDefault="008C3A64" w:rsidP="008C3A64">
      <w:pPr>
        <w:rPr>
          <w:rFonts w:cs="Times New Roman (Cuerpo en alfa"/>
          <w:spacing w:val="-6"/>
        </w:rPr>
      </w:pPr>
      <w:r w:rsidRPr="005A31BC">
        <w:rPr>
          <w:rFonts w:cs="Times New Roman (Cuerpo en alfa"/>
          <w:spacing w:val="-6"/>
        </w:rPr>
        <w:t>Según las cifras del Observatorio Nacional de Migración y Salud - ONMS del DNP, con corte a marzo-2024 había 7.626 personas migrantes caracterizadas en el SISBEN IV, que corresponden a 3.205 hogares. Del total de personas, 41,7% son hombres y 58,3% mujeres. Según la clasificación socioeconómica del SISBEN IV, del total de personas 19,7% estaban en el grupo A (pobreza extrema), 49,4% en el grupo B (pobreza moderada), 29</w:t>
      </w:r>
      <w:r w:rsidR="00EE11EB">
        <w:rPr>
          <w:rFonts w:cs="Times New Roman (Cuerpo en alfa"/>
          <w:spacing w:val="-6"/>
        </w:rPr>
        <w:t>,</w:t>
      </w:r>
      <w:r w:rsidRPr="005A31BC">
        <w:rPr>
          <w:rFonts w:cs="Times New Roman (Cuerpo en alfa"/>
          <w:spacing w:val="-6"/>
        </w:rPr>
        <w:t xml:space="preserve">1% en el grupo C (vulnerabilidad), y 1,8% en el grupo D (no pobres o vulnerables). Y medida por el Índice de Pobreza Multidimensional - IPM, la incidencia de pobreza </w:t>
      </w:r>
      <w:r w:rsidRPr="005A31BC">
        <w:rPr>
          <w:rFonts w:cs="Times New Roman (Cuerpo en alfa"/>
          <w:spacing w:val="-6"/>
        </w:rPr>
        <w:t>multidimensional de la población migrante en el SISBEN IV es de 30,2%.</w:t>
      </w:r>
    </w:p>
    <w:p w14:paraId="53BA5A62" w14:textId="77777777" w:rsidR="008C3A64" w:rsidRPr="005A31BC" w:rsidRDefault="008C3A64" w:rsidP="008C3A64">
      <w:pPr>
        <w:rPr>
          <w:rFonts w:cs="Times New Roman (Cuerpo en alfa"/>
          <w:spacing w:val="-6"/>
        </w:rPr>
      </w:pPr>
    </w:p>
    <w:p w14:paraId="2F2A3B11" w14:textId="5560E458" w:rsidR="008C3A64" w:rsidRPr="005A31BC" w:rsidRDefault="008C3A64" w:rsidP="008C3A64">
      <w:pPr>
        <w:rPr>
          <w:rFonts w:cs="Times New Roman (Cuerpo en alfa"/>
          <w:spacing w:val="-6"/>
        </w:rPr>
      </w:pPr>
      <w:r w:rsidRPr="005A31BC">
        <w:rPr>
          <w:rFonts w:cs="Times New Roman (Cuerpo en alfa"/>
          <w:spacing w:val="-6"/>
        </w:rPr>
        <w:t>Según el ONMS del DNP, hasta diciembre de 2021, se registraron 62</w:t>
      </w:r>
      <w:r w:rsidR="00EE11EB">
        <w:rPr>
          <w:rFonts w:cs="Times New Roman (Cuerpo en alfa"/>
          <w:spacing w:val="-6"/>
        </w:rPr>
        <w:t>.</w:t>
      </w:r>
      <w:r w:rsidRPr="005A31BC">
        <w:rPr>
          <w:rFonts w:cs="Times New Roman (Cuerpo en alfa"/>
          <w:spacing w:val="-6"/>
        </w:rPr>
        <w:t>432 estudiantes matriculados en Bogotá, distribuidos de la siguiente manera: 16% en preescolar, 49% en primaria, 25% en secundaria, 6% en educación media, 2% en ciclos lectivos integrados y 2% en modelos flexibles. La mayoría de estas matrículas pertenecen al sector oficial, con una prevalencia del 95%.</w:t>
      </w:r>
    </w:p>
    <w:p w14:paraId="0228D060" w14:textId="77777777" w:rsidR="008C3A64" w:rsidRPr="005A31BC" w:rsidRDefault="008C3A64" w:rsidP="008C3A64">
      <w:pPr>
        <w:rPr>
          <w:rFonts w:cs="Times New Roman (Cuerpo en alfa"/>
          <w:spacing w:val="-6"/>
        </w:rPr>
      </w:pPr>
    </w:p>
    <w:p w14:paraId="72CE9424" w14:textId="1F63FA49" w:rsidR="008C3A64" w:rsidRPr="005A31BC" w:rsidRDefault="008C3A64" w:rsidP="008C3A64">
      <w:pPr>
        <w:rPr>
          <w:rFonts w:cs="Times New Roman (Cuerpo en alfa"/>
          <w:spacing w:val="-6"/>
        </w:rPr>
      </w:pPr>
      <w:r w:rsidRPr="005A31BC">
        <w:rPr>
          <w:rFonts w:cs="Times New Roman (Cuerpo en alfa"/>
          <w:spacing w:val="-6"/>
        </w:rPr>
        <w:t>Durante el período 2017-2021, se contabilizaron 9</w:t>
      </w:r>
      <w:r w:rsidR="00EE11EB">
        <w:rPr>
          <w:rFonts w:cs="Times New Roman (Cuerpo en alfa"/>
          <w:spacing w:val="-6"/>
        </w:rPr>
        <w:t>.</w:t>
      </w:r>
      <w:r w:rsidRPr="005A31BC">
        <w:rPr>
          <w:rFonts w:cs="Times New Roman (Cuerpo en alfa"/>
          <w:spacing w:val="-6"/>
        </w:rPr>
        <w:t>550 matrículas de estudiantes migrantes en educación superior, con la siguiente distribución: 3% en educación técnica, 35% en educación tecnológica, 52% en universidades, 5% en especializaciones, 0</w:t>
      </w:r>
      <w:r w:rsidR="00EE11EB">
        <w:rPr>
          <w:rFonts w:cs="Times New Roman (Cuerpo en alfa"/>
          <w:spacing w:val="-6"/>
        </w:rPr>
        <w:t>,</w:t>
      </w:r>
      <w:r w:rsidRPr="005A31BC">
        <w:rPr>
          <w:rFonts w:cs="Times New Roman (Cuerpo en alfa"/>
          <w:spacing w:val="-6"/>
        </w:rPr>
        <w:t>7% en especializaciones médicas, 3% en maestrías y 0</w:t>
      </w:r>
      <w:r w:rsidR="00EE11EB">
        <w:rPr>
          <w:rFonts w:cs="Times New Roman (Cuerpo en alfa"/>
          <w:spacing w:val="-6"/>
        </w:rPr>
        <w:t>,</w:t>
      </w:r>
      <w:r w:rsidRPr="005A31BC">
        <w:rPr>
          <w:rFonts w:cs="Times New Roman (Cuerpo en alfa"/>
          <w:spacing w:val="-6"/>
        </w:rPr>
        <w:t>4% en doctorados.</w:t>
      </w:r>
    </w:p>
    <w:p w14:paraId="7A161BCB" w14:textId="77777777" w:rsidR="008C3A64" w:rsidRPr="005A31BC" w:rsidRDefault="008C3A64" w:rsidP="008C3A64">
      <w:pPr>
        <w:rPr>
          <w:rFonts w:cs="Times New Roman (Cuerpo en alfa"/>
          <w:spacing w:val="-6"/>
        </w:rPr>
      </w:pPr>
    </w:p>
    <w:p w14:paraId="3D352F1C" w14:textId="084328A0" w:rsidR="008C3A64" w:rsidRPr="005A31BC" w:rsidRDefault="008C3A64" w:rsidP="008C3A64">
      <w:pPr>
        <w:rPr>
          <w:rFonts w:cs="Times New Roman (Cuerpo en alfa"/>
          <w:spacing w:val="-6"/>
        </w:rPr>
      </w:pPr>
      <w:r w:rsidRPr="005A31BC">
        <w:rPr>
          <w:rFonts w:cs="Times New Roman (Cuerpo en alfa"/>
          <w:spacing w:val="-6"/>
        </w:rPr>
        <w:t>Según el ONMS, hasta noviembre de 2023, había 218</w:t>
      </w:r>
      <w:r w:rsidR="00EE11EB">
        <w:rPr>
          <w:rFonts w:cs="Times New Roman (Cuerpo en alfa"/>
          <w:spacing w:val="-6"/>
        </w:rPr>
        <w:t>.</w:t>
      </w:r>
      <w:r w:rsidRPr="005A31BC">
        <w:rPr>
          <w:rFonts w:cs="Times New Roman (Cuerpo en alfa"/>
          <w:spacing w:val="-6"/>
        </w:rPr>
        <w:t xml:space="preserve">108 personas afiliadas al Sistema General de </w:t>
      </w:r>
      <w:r w:rsidRPr="005A31BC">
        <w:rPr>
          <w:rFonts w:cs="Times New Roman (Cuerpo en alfa"/>
          <w:spacing w:val="-6"/>
        </w:rPr>
        <w:lastRenderedPageBreak/>
        <w:t>Seguridad Social en Salud (SGSSS) en Bogotá, siendo el 61% del régimen subsidiado y el 39% del régimen contributivo.</w:t>
      </w:r>
    </w:p>
    <w:p w14:paraId="3C5D2275" w14:textId="77777777" w:rsidR="008C3A64" w:rsidRPr="005A31BC" w:rsidRDefault="008C3A64" w:rsidP="008C3A64">
      <w:pPr>
        <w:rPr>
          <w:rFonts w:cs="Times New Roman (Cuerpo en alfa"/>
          <w:spacing w:val="-6"/>
        </w:rPr>
      </w:pPr>
    </w:p>
    <w:p w14:paraId="5BFFC1D0" w14:textId="2FB7C5FC" w:rsidR="008C3A64" w:rsidRPr="005A31BC" w:rsidRDefault="008C3A64" w:rsidP="008C3A64">
      <w:pPr>
        <w:rPr>
          <w:rFonts w:cs="Times New Roman (Cuerpo en alfa"/>
          <w:spacing w:val="-6"/>
        </w:rPr>
      </w:pPr>
      <w:r w:rsidRPr="005A31BC">
        <w:rPr>
          <w:rFonts w:cs="Times New Roman (Cuerpo en alfa"/>
          <w:spacing w:val="-6"/>
        </w:rPr>
        <w:t xml:space="preserve">Con corte a mayo de 2023 y para el período 2015-2023, el Servicio Público de Empleo (SPE) registró </w:t>
      </w:r>
      <w:r w:rsidRPr="005A31BC">
        <w:rPr>
          <w:rFonts w:cs="Times New Roman (Cuerpo en alfa"/>
          <w:spacing w:val="-6"/>
        </w:rPr>
        <w:t>60</w:t>
      </w:r>
      <w:r w:rsidR="00CA7FD2">
        <w:rPr>
          <w:rFonts w:cs="Times New Roman (Cuerpo en alfa"/>
          <w:spacing w:val="-6"/>
        </w:rPr>
        <w:t>.</w:t>
      </w:r>
      <w:r w:rsidRPr="005A31BC">
        <w:rPr>
          <w:rFonts w:cs="Times New Roman (Cuerpo en alfa"/>
          <w:spacing w:val="-6"/>
        </w:rPr>
        <w:t>238 personas migrantes, logrando colocar laboralmente al 14% de ellas. En cuanto a formación para el trabajo, durante el período 2017-2023, el SENA otorgó 23</w:t>
      </w:r>
      <w:r w:rsidR="00CA7FD2">
        <w:rPr>
          <w:rFonts w:cs="Times New Roman (Cuerpo en alfa"/>
          <w:spacing w:val="-6"/>
        </w:rPr>
        <w:t>.</w:t>
      </w:r>
      <w:r w:rsidRPr="005A31BC">
        <w:rPr>
          <w:rFonts w:cs="Times New Roman (Cuerpo en alfa"/>
          <w:spacing w:val="-6"/>
        </w:rPr>
        <w:t>201 cupos, con una mayoría del 56% correspondiente a mujeres.</w:t>
      </w:r>
    </w:p>
    <w:p w14:paraId="7DBB2432" w14:textId="77777777" w:rsidR="008C3A64" w:rsidRPr="005A31BC" w:rsidRDefault="008C3A64" w:rsidP="008C3A64">
      <w:pPr>
        <w:spacing w:line="480" w:lineRule="auto"/>
        <w:rPr>
          <w:rFonts w:ascii="Times New Roman" w:hAnsi="Times New Roman" w:cs="Times New Roman (Cuerpo en alfa"/>
          <w:spacing w:val="-6"/>
          <w:sz w:val="24"/>
        </w:rPr>
        <w:sectPr w:rsidR="008C3A64" w:rsidRPr="005A31BC" w:rsidSect="00F7078E">
          <w:type w:val="continuous"/>
          <w:pgSz w:w="12240" w:h="15840"/>
          <w:pgMar w:top="2262" w:right="1440" w:bottom="1440" w:left="1440" w:header="708" w:footer="708" w:gutter="0"/>
          <w:cols w:num="2" w:space="567"/>
        </w:sectPr>
      </w:pPr>
    </w:p>
    <w:p w14:paraId="0F6897FD" w14:textId="77777777" w:rsidR="008C3A64" w:rsidRPr="005A31BC" w:rsidRDefault="008C3A64" w:rsidP="008C3A64">
      <w:pPr>
        <w:spacing w:line="480" w:lineRule="auto"/>
        <w:rPr>
          <w:rFonts w:ascii="Times New Roman" w:hAnsi="Times New Roman"/>
          <w:spacing w:val="-6"/>
          <w:sz w:val="24"/>
        </w:rPr>
      </w:pPr>
    </w:p>
    <w:p w14:paraId="3A9B8845" w14:textId="23A165FE" w:rsidR="008C3A64" w:rsidRPr="00736A83" w:rsidRDefault="008C3A64" w:rsidP="00EB3EF7">
      <w:pPr>
        <w:pStyle w:val="subnumeros"/>
        <w:numPr>
          <w:ilvl w:val="0"/>
          <w:numId w:val="0"/>
        </w:numPr>
        <w:ind w:left="720"/>
        <w:outlineLvl w:val="9"/>
        <w:sectPr w:rsidR="008C3A64" w:rsidRPr="00736A83" w:rsidSect="00F7078E">
          <w:type w:val="continuous"/>
          <w:pgSz w:w="12240" w:h="15840"/>
          <w:pgMar w:top="2262" w:right="1440" w:bottom="1440" w:left="1440" w:header="708" w:footer="708" w:gutter="0"/>
          <w:cols w:space="720"/>
        </w:sectPr>
      </w:pPr>
      <w:r w:rsidRPr="00736A83">
        <w:t>Sectores sociales LGBT</w:t>
      </w:r>
      <w:r w:rsidR="009F61C7">
        <w:t>I</w:t>
      </w:r>
    </w:p>
    <w:p w14:paraId="7BC7A437" w14:textId="77777777" w:rsidR="008C3A64" w:rsidRPr="005A31BC" w:rsidRDefault="008C3A64" w:rsidP="008C3A64">
      <w:pPr>
        <w:rPr>
          <w:rFonts w:cs="Times New Roman (Cuerpo en alfa"/>
          <w:spacing w:val="-6"/>
        </w:rPr>
      </w:pPr>
      <w:r w:rsidRPr="005A31BC">
        <w:rPr>
          <w:rFonts w:cs="Times New Roman (Cuerpo en alfa"/>
          <w:spacing w:val="-6"/>
        </w:rPr>
        <w:t>En Bogotá, las personas lesbianas, gais, bisexuales, transgénero e intersexuales históricamente han sido sujeto de vulneración de derechos y discriminación por su orientación sexual o su identidad de género. Conforman sectores sociales sobre los cuales se han concentrado diferentes formas de discriminación, exclusión y tratos inequitativos y desiguales basados en la orientación sexual e identidad o expresión de género. Dichas formas de discriminación y exclusión son violaciones de derechos humanos perpetradas tanto en los ámbitos privados como en los públicos e institucionales y se expresan desde actos sutiles de segregación hasta crímenes y actos de violencia física causados por el odio y la intolerancia.</w:t>
      </w:r>
    </w:p>
    <w:p w14:paraId="34F3DA6D" w14:textId="77777777" w:rsidR="008C3A64" w:rsidRPr="005A31BC" w:rsidRDefault="008C3A64" w:rsidP="008C3A64">
      <w:pPr>
        <w:rPr>
          <w:rFonts w:cs="Times New Roman (Cuerpo en alfa"/>
          <w:spacing w:val="-6"/>
        </w:rPr>
      </w:pPr>
    </w:p>
    <w:p w14:paraId="0A0F5899" w14:textId="77777777" w:rsidR="008C3A64" w:rsidRPr="005A31BC" w:rsidRDefault="008C3A64" w:rsidP="008C3A64">
      <w:pPr>
        <w:rPr>
          <w:rFonts w:cs="Times New Roman (Cuerpo en alfa"/>
          <w:spacing w:val="-6"/>
        </w:rPr>
      </w:pPr>
      <w:r w:rsidRPr="005A31BC">
        <w:rPr>
          <w:rFonts w:cs="Times New Roman (Cuerpo en alfa"/>
          <w:spacing w:val="-6"/>
        </w:rPr>
        <w:t>Según la Encuesta Multipropósito 2021, en Bogotá al menos 66.630 personas se autorreconocen como parte de los sectores sociales LGBTI, y de esa población encuestada, el 26,3 % manifestó haber sido discriminada en razón a su orientación sexual e identidad de género, en comparación con el 2017 cuando el porcentaje correspondía al 33,7 %.</w:t>
      </w:r>
    </w:p>
    <w:p w14:paraId="09C6A6A0" w14:textId="77777777" w:rsidR="008C3A64" w:rsidRPr="005A31BC" w:rsidRDefault="008C3A64" w:rsidP="008C3A64">
      <w:pPr>
        <w:rPr>
          <w:rFonts w:cs="Times New Roman (Cuerpo en alfa"/>
          <w:spacing w:val="-6"/>
        </w:rPr>
      </w:pPr>
    </w:p>
    <w:p w14:paraId="24F2EEB7" w14:textId="77777777" w:rsidR="008C3A64" w:rsidRPr="005A31BC" w:rsidRDefault="008C3A64" w:rsidP="008C3A64">
      <w:pPr>
        <w:rPr>
          <w:rFonts w:cs="Times New Roman (Cuerpo en alfa"/>
          <w:spacing w:val="-6"/>
        </w:rPr>
      </w:pPr>
      <w:r w:rsidRPr="005A31BC">
        <w:rPr>
          <w:rFonts w:cs="Times New Roman (Cuerpo en alfa"/>
          <w:spacing w:val="-6"/>
        </w:rPr>
        <w:t>En relación con la vulneración de derechos humanos para personas que se autorreconocen en la Encuesta Multipropósito como parte de los sectores LGBTI, los resultados de los principales indicadores muestran lo siguiente:</w:t>
      </w:r>
    </w:p>
    <w:p w14:paraId="16BCAADD" w14:textId="77777777" w:rsidR="008C3A64" w:rsidRPr="005A31BC" w:rsidRDefault="008C3A64" w:rsidP="008C3A64">
      <w:pPr>
        <w:rPr>
          <w:rFonts w:cs="Times New Roman (Cuerpo en alfa"/>
          <w:spacing w:val="-6"/>
        </w:rPr>
      </w:pPr>
    </w:p>
    <w:p w14:paraId="5EF3A598" w14:textId="77777777" w:rsidR="008C3A64" w:rsidRPr="005A31BC" w:rsidRDefault="008C3A64" w:rsidP="008C3A64">
      <w:pPr>
        <w:pStyle w:val="Bullets"/>
        <w:ind w:left="284" w:hanging="284"/>
        <w:rPr>
          <w:rFonts w:cs="Times New Roman (Cuerpo en alfa"/>
          <w:spacing w:val="-6"/>
        </w:rPr>
      </w:pPr>
      <w:r w:rsidRPr="005A31BC">
        <w:rPr>
          <w:rFonts w:cs="Times New Roman (Cuerpo en alfa"/>
          <w:b/>
          <w:color w:val="C00000"/>
          <w:spacing w:val="-6"/>
        </w:rPr>
        <w:t>Derecho a la integridad personal</w:t>
      </w:r>
      <w:r w:rsidRPr="005A31BC">
        <w:rPr>
          <w:rFonts w:cs="Times New Roman (Cuerpo en alfa"/>
          <w:color w:val="C00000"/>
          <w:spacing w:val="-6"/>
        </w:rPr>
        <w:t xml:space="preserve">. </w:t>
      </w:r>
      <w:r w:rsidRPr="005A31BC">
        <w:rPr>
          <w:rFonts w:cs="Times New Roman (Cuerpo en alfa"/>
          <w:spacing w:val="-6"/>
        </w:rPr>
        <w:t xml:space="preserve">Para el 2021, un 2,3 % de las personas LGBTI fue víctima de persecución o amenazas contra la vida, mientras que para las personas no LGBTI este mismo hecho se ubicó en 1 %, lo que indica que para estos sectores sociales la proporción es del doble frente a la población general. Por otra parte, en </w:t>
      </w:r>
      <w:r w:rsidRPr="005A31BC">
        <w:rPr>
          <w:rFonts w:cs="Times New Roman (Cuerpo en alfa"/>
          <w:spacing w:val="-6"/>
        </w:rPr>
        <w:t>el 2021, el 21,8 % de las personas de los sectores sociales LGBTI fue víctima de atracos o robos, 8 p.p. menos que en 2017 cuando la cifra correspondía al 30,4 %.</w:t>
      </w:r>
    </w:p>
    <w:p w14:paraId="442492BB" w14:textId="77777777" w:rsidR="008C3A64" w:rsidRPr="005A31BC" w:rsidRDefault="008C3A64" w:rsidP="008C3A64">
      <w:pPr>
        <w:pStyle w:val="Bullets"/>
        <w:numPr>
          <w:ilvl w:val="0"/>
          <w:numId w:val="0"/>
        </w:numPr>
        <w:ind w:left="284"/>
        <w:rPr>
          <w:rFonts w:cs="Times New Roman (Cuerpo en alfa"/>
          <w:spacing w:val="-6"/>
        </w:rPr>
      </w:pPr>
    </w:p>
    <w:p w14:paraId="4A1DF9F5" w14:textId="77777777" w:rsidR="008C3A64" w:rsidRPr="005A31BC" w:rsidRDefault="008C3A64" w:rsidP="008C3A64">
      <w:pPr>
        <w:pStyle w:val="Bullets"/>
        <w:numPr>
          <w:ilvl w:val="0"/>
          <w:numId w:val="0"/>
        </w:numPr>
        <w:ind w:left="284"/>
        <w:rPr>
          <w:rFonts w:cs="Times New Roman (Cuerpo en alfa"/>
          <w:spacing w:val="-6"/>
        </w:rPr>
      </w:pPr>
      <w:r w:rsidRPr="005A31BC">
        <w:rPr>
          <w:rFonts w:cs="Times New Roman (Cuerpo en alfa"/>
          <w:spacing w:val="-6"/>
        </w:rPr>
        <w:t>Otro aspecto asociado a la seguridad y la integridad física es el acoso (sexual, laboral, escolar, psicológico o ciberacoso). Para las personas LGBTI en Bogotá es mayor la proporción que señala que alguna persona en el hogar ha sido víctima de acoso, pues para el 2021 este indicador se ubicó en 5 %, mientras que para las personas que no se reconocen como LGBTI este se situó en 1,1 %.</w:t>
      </w:r>
    </w:p>
    <w:p w14:paraId="7B0B06AA" w14:textId="77777777" w:rsidR="008C3A64" w:rsidRPr="005A31BC" w:rsidRDefault="008C3A64" w:rsidP="008C3A64">
      <w:pPr>
        <w:pStyle w:val="Bullets"/>
        <w:numPr>
          <w:ilvl w:val="0"/>
          <w:numId w:val="0"/>
        </w:numPr>
        <w:ind w:left="284"/>
        <w:rPr>
          <w:rFonts w:cs="Times New Roman (Cuerpo en alfa"/>
          <w:spacing w:val="-6"/>
        </w:rPr>
      </w:pPr>
    </w:p>
    <w:p w14:paraId="710B9FB7" w14:textId="77777777" w:rsidR="008C3A64" w:rsidRPr="005A31BC" w:rsidRDefault="008C3A64" w:rsidP="008C3A64">
      <w:pPr>
        <w:pStyle w:val="Bullets"/>
        <w:rPr>
          <w:spacing w:val="-6"/>
        </w:rPr>
      </w:pPr>
      <w:r w:rsidRPr="005A31BC">
        <w:rPr>
          <w:spacing w:val="-6"/>
        </w:rPr>
        <w:t>Derecho a la participación. En el 2021, cerca de 84,3 % de personas LGBTI en Bogotá no pertenecían a una organización social. Las personas que no se reconocen como LGBTI participan menos en organizaciones sociales, pues un 91,7 % así lo aseguró.</w:t>
      </w:r>
    </w:p>
    <w:p w14:paraId="65FB2856" w14:textId="77777777" w:rsidR="008C3A64" w:rsidRPr="005A31BC" w:rsidRDefault="008C3A64" w:rsidP="008C3A64">
      <w:pPr>
        <w:pStyle w:val="Bullets"/>
        <w:numPr>
          <w:ilvl w:val="0"/>
          <w:numId w:val="0"/>
        </w:numPr>
        <w:ind w:left="714"/>
        <w:rPr>
          <w:spacing w:val="-6"/>
        </w:rPr>
      </w:pPr>
    </w:p>
    <w:p w14:paraId="6F476AFE" w14:textId="77777777" w:rsidR="008C3A64" w:rsidRPr="005A31BC" w:rsidRDefault="008C3A64" w:rsidP="008C3A64">
      <w:pPr>
        <w:pStyle w:val="Bullets"/>
        <w:rPr>
          <w:spacing w:val="-6"/>
        </w:rPr>
      </w:pPr>
      <w:r w:rsidRPr="005A31BC">
        <w:rPr>
          <w:spacing w:val="-6"/>
        </w:rPr>
        <w:t>Derecho a la salud. Un 87,9 % de las personas LGBTI están afiliadas o son beneficiarias de alguna entidad del Sistema de Seguridad Social en Salud, mientras que el porcentaje de afiliación en personas que no se reconocen como LGBTI corresponde al 91,5 %. En este sentido, al comparar la afiliación entre 2017 y 2021, para los sectores LGBTI el número de afiliados bajó en 3 p.p. al pasar de 90,7 % a 87,9 %.</w:t>
      </w:r>
    </w:p>
    <w:p w14:paraId="21E086DD" w14:textId="77777777" w:rsidR="008C3A64" w:rsidRPr="005A31BC" w:rsidRDefault="008C3A64" w:rsidP="008C3A64">
      <w:pPr>
        <w:pStyle w:val="Bullets"/>
        <w:numPr>
          <w:ilvl w:val="0"/>
          <w:numId w:val="0"/>
        </w:numPr>
        <w:ind w:left="714"/>
        <w:rPr>
          <w:spacing w:val="-6"/>
        </w:rPr>
      </w:pPr>
    </w:p>
    <w:p w14:paraId="3DA2980A" w14:textId="77777777" w:rsidR="008C3A64" w:rsidRPr="005A31BC" w:rsidRDefault="008C3A64" w:rsidP="008C3A64">
      <w:pPr>
        <w:pStyle w:val="Bullets"/>
        <w:rPr>
          <w:spacing w:val="-6"/>
        </w:rPr>
      </w:pPr>
      <w:r w:rsidRPr="005A31BC">
        <w:rPr>
          <w:spacing w:val="-6"/>
        </w:rPr>
        <w:t xml:space="preserve">Derecho a la educación. Al comparar el porcentaje de personas de los sectores LGBTI que se encontraban estudiando entre 2017 y 2021, los resultados indican que </w:t>
      </w:r>
      <w:r w:rsidRPr="005A31BC">
        <w:rPr>
          <w:spacing w:val="-6"/>
        </w:rPr>
        <w:lastRenderedPageBreak/>
        <w:t xml:space="preserve">el número aumentó por cada cien, al pasar de 15,4 % en 2017 a 20,0 % en 2021. Frente al tema de educación se analiza el indicador de grado educativo más alto alcanzado (mediante el porcentaje de personas que alcanzan la formación universitaria completa). En este sentido, se observa que para 2021 un 42,5 % de las personas LGBTI había alcanzado la educación universitaria </w:t>
      </w:r>
      <w:r w:rsidRPr="005A31BC">
        <w:rPr>
          <w:spacing w:val="-6"/>
        </w:rPr>
        <w:t>completa, 6 p.p. más que en 2017, cuando se registró un 36,1 %.</w:t>
      </w:r>
    </w:p>
    <w:p w14:paraId="21AF839D" w14:textId="77777777" w:rsidR="008C3A64" w:rsidRPr="005A31BC" w:rsidRDefault="008C3A64" w:rsidP="008C3A64">
      <w:pPr>
        <w:pStyle w:val="Bullets"/>
        <w:numPr>
          <w:ilvl w:val="0"/>
          <w:numId w:val="0"/>
        </w:numPr>
        <w:ind w:left="714"/>
        <w:rPr>
          <w:spacing w:val="-6"/>
        </w:rPr>
      </w:pPr>
    </w:p>
    <w:p w14:paraId="6558D88D" w14:textId="77777777" w:rsidR="008C3A64" w:rsidRPr="005A31BC" w:rsidRDefault="008C3A64" w:rsidP="008C3A64">
      <w:pPr>
        <w:pStyle w:val="Bullets"/>
        <w:rPr>
          <w:spacing w:val="-6"/>
        </w:rPr>
      </w:pPr>
      <w:r w:rsidRPr="005A31BC">
        <w:rPr>
          <w:spacing w:val="-6"/>
        </w:rPr>
        <w:t>Derecho al trabajo. En el ámbito de los derechos laborales, dentro del segmento de aquellos que forman parte de la fuerza de trabajo, se observa una tasa de ocupación del 70 % y una tasa de desocupación del 14,4 %.</w:t>
      </w:r>
    </w:p>
    <w:p w14:paraId="1C78941C" w14:textId="77777777" w:rsidR="008C3A64" w:rsidRPr="005A31BC" w:rsidRDefault="008C3A64" w:rsidP="008C3A64">
      <w:pPr>
        <w:pStyle w:val="Bullets"/>
        <w:ind w:left="284" w:hanging="284"/>
        <w:rPr>
          <w:rFonts w:ascii="Times New Roman" w:hAnsi="Times New Roman" w:cs="Times New Roman (Cuerpo en alfa"/>
          <w:spacing w:val="-6"/>
          <w:sz w:val="24"/>
        </w:rPr>
        <w:sectPr w:rsidR="008C3A64" w:rsidRPr="005A31BC" w:rsidSect="00F7078E">
          <w:type w:val="continuous"/>
          <w:pgSz w:w="12240" w:h="15840"/>
          <w:pgMar w:top="2262" w:right="1440" w:bottom="1440" w:left="1440" w:header="708" w:footer="708" w:gutter="0"/>
          <w:cols w:num="2" w:space="567"/>
        </w:sectPr>
      </w:pPr>
    </w:p>
    <w:p w14:paraId="58D6A573" w14:textId="77777777" w:rsidR="008C3A64" w:rsidRPr="005A31BC" w:rsidRDefault="008C3A64" w:rsidP="008C3A64">
      <w:pPr>
        <w:pStyle w:val="Bullets"/>
        <w:numPr>
          <w:ilvl w:val="0"/>
          <w:numId w:val="0"/>
        </w:numPr>
        <w:ind w:left="284"/>
        <w:rPr>
          <w:b/>
          <w:bCs/>
          <w:spacing w:val="-6"/>
        </w:rPr>
      </w:pPr>
      <w:bookmarkStart w:id="101" w:name="_Toc164327851"/>
    </w:p>
    <w:bookmarkEnd w:id="101"/>
    <w:p w14:paraId="3D961E38" w14:textId="77777777" w:rsidR="008C3A64" w:rsidRPr="005A31BC" w:rsidRDefault="008C3A64" w:rsidP="009F61C7">
      <w:pPr>
        <w:pStyle w:val="subnumeros"/>
        <w:numPr>
          <w:ilvl w:val="0"/>
          <w:numId w:val="0"/>
        </w:numPr>
        <w:ind w:left="425"/>
        <w:outlineLvl w:val="9"/>
      </w:pPr>
    </w:p>
    <w:p w14:paraId="43122455" w14:textId="76E8A81D" w:rsidR="008C3A64" w:rsidRPr="005A31BC" w:rsidRDefault="008C3A64" w:rsidP="009F61C7">
      <w:pPr>
        <w:pStyle w:val="subnumeros"/>
        <w:numPr>
          <w:ilvl w:val="0"/>
          <w:numId w:val="0"/>
        </w:numPr>
        <w:ind w:left="720"/>
        <w:outlineLvl w:val="9"/>
      </w:pPr>
      <w:r w:rsidRPr="005A31BC">
        <w:t>Personas con discapacidad</w:t>
      </w:r>
    </w:p>
    <w:p w14:paraId="2A08B07D"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708" w:gutter="0"/>
          <w:cols w:space="720"/>
        </w:sectPr>
      </w:pPr>
    </w:p>
    <w:p w14:paraId="2A677C8F" w14:textId="630D7A67" w:rsidR="008C3A64" w:rsidRPr="005A31BC" w:rsidRDefault="008C3A64" w:rsidP="008C3A64">
      <w:pPr>
        <w:rPr>
          <w:rFonts w:cs="Times New Roman (Cuerpo en alfa"/>
          <w:spacing w:val="-6"/>
        </w:rPr>
      </w:pPr>
      <w:r w:rsidRPr="005A31BC">
        <w:rPr>
          <w:rFonts w:cs="Times New Roman (Cuerpo en alfa"/>
          <w:spacing w:val="-6"/>
        </w:rPr>
        <w:t xml:space="preserve">En Bogotá, de acuerdo con la EMB 2021, se estimaron 353.154 personas con discapacidad, según la clasificación de la Escala de Washington, considerando los niveles de severidad 1 y 2. De este total, el 57,1 % son mujeres y el 42,9 % son hombres. Las </w:t>
      </w:r>
      <w:r w:rsidRPr="005A31BC">
        <w:rPr>
          <w:rFonts w:cs="Times New Roman (Cuerpo en alfa"/>
          <w:spacing w:val="-6"/>
        </w:rPr>
        <w:t>áreas con mayor concentración de esta población incluyen las localidades de Bosa (18 %), Suba (12,4 %), Kennedy (11,9 %) y Ciudad Bolívar (9,5 %) (</w:t>
      </w:r>
      <w:r w:rsidR="009F61C7" w:rsidRPr="009F61C7">
        <w:rPr>
          <w:rFonts w:cs="Times New Roman (Cuerpo en alfa"/>
          <w:spacing w:val="-6"/>
        </w:rPr>
        <w:fldChar w:fldCharType="begin"/>
      </w:r>
      <w:r w:rsidR="009F61C7" w:rsidRPr="009F61C7">
        <w:rPr>
          <w:rFonts w:cs="Times New Roman (Cuerpo en alfa"/>
          <w:spacing w:val="-6"/>
        </w:rPr>
        <w:instrText xml:space="preserve"> REF _Ref165113870 \h </w:instrText>
      </w:r>
      <w:r w:rsidR="009F61C7" w:rsidRPr="009F61C7">
        <w:rPr>
          <w:rFonts w:cs="Times New Roman (Cuerpo en alfa"/>
          <w:spacing w:val="-6"/>
        </w:rPr>
      </w:r>
      <w:r w:rsidR="009F61C7" w:rsidRPr="009F61C7">
        <w:rPr>
          <w:rFonts w:cs="Times New Roman (Cuerpo en alfa"/>
          <w:spacing w:val="-6"/>
        </w:rPr>
        <w:fldChar w:fldCharType="separate"/>
      </w:r>
      <w:r w:rsidR="00D01651" w:rsidRPr="009F61C7">
        <w:rPr>
          <w:color w:val="C00000"/>
          <w:sz w:val="18"/>
          <w:szCs w:val="14"/>
        </w:rPr>
        <w:t xml:space="preserve">Tabla </w:t>
      </w:r>
      <w:r w:rsidR="00D01651">
        <w:rPr>
          <w:noProof/>
          <w:color w:val="C00000"/>
          <w:sz w:val="18"/>
          <w:szCs w:val="14"/>
        </w:rPr>
        <w:t>5</w:t>
      </w:r>
      <w:r w:rsidR="009F61C7" w:rsidRPr="009F61C7">
        <w:rPr>
          <w:rFonts w:cs="Times New Roman (Cuerpo en alfa"/>
          <w:spacing w:val="-6"/>
        </w:rPr>
        <w:fldChar w:fldCharType="end"/>
      </w:r>
      <w:r w:rsidRPr="005A31BC">
        <w:rPr>
          <w:rFonts w:cs="Times New Roman (Cuerpo en alfa"/>
          <w:spacing w:val="-6"/>
        </w:rPr>
        <w:t>).</w:t>
      </w:r>
    </w:p>
    <w:p w14:paraId="5F2248EC" w14:textId="77777777" w:rsidR="008C3A64" w:rsidRPr="005A31BC" w:rsidRDefault="008C3A64" w:rsidP="008C3A64">
      <w:pPr>
        <w:spacing w:line="480" w:lineRule="auto"/>
        <w:rPr>
          <w:rFonts w:ascii="Times New Roman" w:hAnsi="Times New Roman"/>
          <w:spacing w:val="-6"/>
          <w:sz w:val="24"/>
        </w:rPr>
        <w:sectPr w:rsidR="008C3A64" w:rsidRPr="005A31BC" w:rsidSect="00F7078E">
          <w:type w:val="continuous"/>
          <w:pgSz w:w="12240" w:h="15840"/>
          <w:pgMar w:top="2262" w:right="1440" w:bottom="1440" w:left="1440" w:header="708" w:footer="708" w:gutter="0"/>
          <w:cols w:num="2" w:space="567"/>
        </w:sectPr>
      </w:pPr>
    </w:p>
    <w:p w14:paraId="215FB0D4" w14:textId="77777777" w:rsidR="00591C4D" w:rsidRPr="005A31BC" w:rsidRDefault="00591C4D" w:rsidP="00167A47">
      <w:pPr>
        <w:pStyle w:val="figuratitulo"/>
        <w:jc w:val="both"/>
      </w:pPr>
    </w:p>
    <w:p w14:paraId="2C934125" w14:textId="57B139DE" w:rsidR="008C3A64" w:rsidRPr="00393CC7" w:rsidRDefault="009F61C7" w:rsidP="00393CC7">
      <w:pPr>
        <w:pStyle w:val="Descripcin"/>
        <w:jc w:val="center"/>
        <w:rPr>
          <w:b w:val="0"/>
          <w:bCs/>
          <w:spacing w:val="-6"/>
          <w:sz w:val="18"/>
          <w:szCs w:val="14"/>
        </w:rPr>
      </w:pPr>
      <w:bookmarkStart w:id="102" w:name="_Ref165113870"/>
      <w:bookmarkStart w:id="103" w:name="_Toc165169915"/>
      <w:r w:rsidRPr="009F61C7">
        <w:rPr>
          <w:color w:val="C00000"/>
          <w:sz w:val="18"/>
          <w:szCs w:val="14"/>
        </w:rPr>
        <w:t xml:space="preserve">Tabla </w:t>
      </w:r>
      <w:r w:rsidRPr="009F61C7">
        <w:rPr>
          <w:color w:val="C00000"/>
          <w:sz w:val="18"/>
          <w:szCs w:val="14"/>
        </w:rPr>
        <w:fldChar w:fldCharType="begin"/>
      </w:r>
      <w:r w:rsidRPr="009F61C7">
        <w:rPr>
          <w:color w:val="C00000"/>
          <w:sz w:val="18"/>
          <w:szCs w:val="14"/>
        </w:rPr>
        <w:instrText xml:space="preserve"> SEQ Tabla \* ARABIC </w:instrText>
      </w:r>
      <w:r w:rsidRPr="009F61C7">
        <w:rPr>
          <w:color w:val="C00000"/>
          <w:sz w:val="18"/>
          <w:szCs w:val="14"/>
        </w:rPr>
        <w:fldChar w:fldCharType="separate"/>
      </w:r>
      <w:r w:rsidR="00D01651">
        <w:rPr>
          <w:noProof/>
          <w:color w:val="C00000"/>
          <w:sz w:val="18"/>
          <w:szCs w:val="14"/>
        </w:rPr>
        <w:t>5</w:t>
      </w:r>
      <w:r w:rsidRPr="009F61C7">
        <w:rPr>
          <w:color w:val="C00000"/>
          <w:sz w:val="18"/>
          <w:szCs w:val="14"/>
        </w:rPr>
        <w:fldChar w:fldCharType="end"/>
      </w:r>
      <w:bookmarkEnd w:id="102"/>
      <w:r w:rsidRPr="009F61C7">
        <w:rPr>
          <w:color w:val="C00000"/>
          <w:sz w:val="18"/>
          <w:szCs w:val="14"/>
        </w:rPr>
        <w:t xml:space="preserve">. </w:t>
      </w:r>
      <w:r w:rsidR="008C3A64" w:rsidRPr="009F61C7">
        <w:rPr>
          <w:spacing w:val="-6"/>
          <w:sz w:val="18"/>
          <w:szCs w:val="14"/>
        </w:rPr>
        <w:t>Población con discapacidad, según localidad de residencia y sexo</w:t>
      </w:r>
      <w:bookmarkEnd w:id="103"/>
    </w:p>
    <w:tbl>
      <w:tblPr>
        <w:tblW w:w="8826" w:type="dxa"/>
        <w:jc w:val="center"/>
        <w:tblBorders>
          <w:bottom w:val="double" w:sz="2" w:space="0" w:color="C00000"/>
          <w:insideH w:val="double" w:sz="2" w:space="0" w:color="C00000"/>
          <w:insideV w:val="double" w:sz="2" w:space="0" w:color="C00000"/>
        </w:tblBorders>
        <w:tblCellMar>
          <w:left w:w="85" w:type="dxa"/>
          <w:right w:w="142" w:type="dxa"/>
        </w:tblCellMar>
        <w:tblLook w:val="04A0" w:firstRow="1" w:lastRow="0" w:firstColumn="1" w:lastColumn="0" w:noHBand="0" w:noVBand="1"/>
      </w:tblPr>
      <w:tblGrid>
        <w:gridCol w:w="2249"/>
        <w:gridCol w:w="1276"/>
        <w:gridCol w:w="992"/>
        <w:gridCol w:w="1134"/>
        <w:gridCol w:w="870"/>
        <w:gridCol w:w="1134"/>
        <w:gridCol w:w="1171"/>
      </w:tblGrid>
      <w:tr w:rsidR="008C3A64" w:rsidRPr="005A31BC" w14:paraId="6920BC89" w14:textId="77777777" w:rsidTr="00CC67C0">
        <w:trPr>
          <w:trHeight w:val="397"/>
          <w:tblHeader/>
          <w:jc w:val="center"/>
        </w:trPr>
        <w:tc>
          <w:tcPr>
            <w:tcW w:w="2249" w:type="dxa"/>
            <w:vMerge w:val="restart"/>
            <w:shd w:val="clear" w:color="auto" w:fill="C00000"/>
            <w:vAlign w:val="center"/>
            <w:hideMark/>
          </w:tcPr>
          <w:p w14:paraId="610BF994" w14:textId="57115D25" w:rsidR="008C3A64" w:rsidRPr="005A31BC" w:rsidRDefault="008C3A64" w:rsidP="009376F5">
            <w:pPr>
              <w:jc w:val="right"/>
              <w:rPr>
                <w:b/>
                <w:bCs/>
                <w:color w:val="FFFFFF" w:themeColor="background1"/>
                <w:spacing w:val="-6"/>
                <w:sz w:val="28"/>
                <w:szCs w:val="32"/>
                <w:lang w:eastAsia="es-MX"/>
              </w:rPr>
            </w:pPr>
            <w:r w:rsidRPr="005A31BC">
              <w:rPr>
                <w:b/>
                <w:bCs/>
                <w:color w:val="FFFFFF" w:themeColor="background1"/>
                <w:spacing w:val="-6"/>
                <w:sz w:val="28"/>
                <w:szCs w:val="32"/>
                <w:lang w:eastAsia="es-MX"/>
              </w:rPr>
              <w:t>Localidad</w:t>
            </w:r>
          </w:p>
        </w:tc>
        <w:tc>
          <w:tcPr>
            <w:tcW w:w="4272" w:type="dxa"/>
            <w:gridSpan w:val="4"/>
            <w:shd w:val="clear" w:color="auto" w:fill="C00000"/>
            <w:vAlign w:val="center"/>
            <w:hideMark/>
          </w:tcPr>
          <w:p w14:paraId="23728094" w14:textId="77777777"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Sexo*</w:t>
            </w:r>
          </w:p>
          <w:p w14:paraId="7ABB711F" w14:textId="77777777" w:rsidR="008C3A64" w:rsidRPr="005A31BC" w:rsidRDefault="008C3A64" w:rsidP="00FF1F9A">
            <w:pPr>
              <w:jc w:val="center"/>
              <w:rPr>
                <w:b/>
                <w:bCs/>
                <w:color w:val="FFFFFF" w:themeColor="background1"/>
                <w:spacing w:val="-6"/>
                <w:sz w:val="28"/>
                <w:szCs w:val="32"/>
                <w:lang w:eastAsia="es-MX"/>
              </w:rPr>
            </w:pPr>
          </w:p>
        </w:tc>
        <w:tc>
          <w:tcPr>
            <w:tcW w:w="2305" w:type="dxa"/>
            <w:gridSpan w:val="2"/>
            <w:vMerge w:val="restart"/>
            <w:shd w:val="clear" w:color="auto" w:fill="C00000"/>
            <w:vAlign w:val="center"/>
            <w:hideMark/>
          </w:tcPr>
          <w:p w14:paraId="03EFBDC8" w14:textId="6AFCA021"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Tota</w:t>
            </w:r>
            <w:r w:rsidR="00393CC7">
              <w:rPr>
                <w:b/>
                <w:bCs/>
                <w:color w:val="FFFFFF" w:themeColor="background1"/>
                <w:spacing w:val="-6"/>
                <w:sz w:val="28"/>
                <w:szCs w:val="32"/>
                <w:lang w:eastAsia="es-MX"/>
              </w:rPr>
              <w:t>l</w:t>
            </w:r>
          </w:p>
          <w:p w14:paraId="1F505D87" w14:textId="77777777" w:rsidR="008C3A64" w:rsidRPr="005A31BC" w:rsidRDefault="008C3A64" w:rsidP="00FF1F9A">
            <w:pPr>
              <w:jc w:val="center"/>
              <w:rPr>
                <w:b/>
                <w:bCs/>
                <w:color w:val="FFFFFF" w:themeColor="background1"/>
                <w:spacing w:val="-6"/>
                <w:sz w:val="28"/>
                <w:szCs w:val="32"/>
                <w:lang w:eastAsia="es-MX"/>
              </w:rPr>
            </w:pPr>
          </w:p>
        </w:tc>
      </w:tr>
      <w:tr w:rsidR="008C3A64" w:rsidRPr="005A31BC" w14:paraId="46DB882A" w14:textId="77777777" w:rsidTr="00CC67C0">
        <w:trPr>
          <w:trHeight w:val="397"/>
          <w:jc w:val="center"/>
        </w:trPr>
        <w:tc>
          <w:tcPr>
            <w:tcW w:w="2249" w:type="dxa"/>
            <w:vMerge/>
            <w:shd w:val="clear" w:color="auto" w:fill="C00000"/>
            <w:vAlign w:val="center"/>
            <w:hideMark/>
          </w:tcPr>
          <w:p w14:paraId="27EDD253" w14:textId="77777777" w:rsidR="008C3A64" w:rsidRPr="005A31BC" w:rsidRDefault="008C3A64" w:rsidP="00FF1F9A">
            <w:pPr>
              <w:jc w:val="right"/>
              <w:rPr>
                <w:b/>
                <w:bCs/>
                <w:color w:val="FFFFFF" w:themeColor="background1"/>
                <w:spacing w:val="-6"/>
                <w:sz w:val="28"/>
                <w:szCs w:val="32"/>
                <w:lang w:eastAsia="es-MX"/>
              </w:rPr>
            </w:pPr>
          </w:p>
        </w:tc>
        <w:tc>
          <w:tcPr>
            <w:tcW w:w="2268" w:type="dxa"/>
            <w:gridSpan w:val="2"/>
            <w:shd w:val="clear" w:color="auto" w:fill="C00000"/>
            <w:vAlign w:val="center"/>
            <w:hideMark/>
          </w:tcPr>
          <w:p w14:paraId="69AA8BF9" w14:textId="77777777"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Mujeres</w:t>
            </w:r>
          </w:p>
          <w:p w14:paraId="4EC8B6C8" w14:textId="77777777" w:rsidR="008C3A64" w:rsidRPr="005A31BC" w:rsidRDefault="008C3A64" w:rsidP="00FF1F9A">
            <w:pPr>
              <w:jc w:val="center"/>
              <w:rPr>
                <w:b/>
                <w:bCs/>
                <w:color w:val="FFFFFF" w:themeColor="background1"/>
                <w:spacing w:val="-6"/>
                <w:sz w:val="28"/>
                <w:szCs w:val="32"/>
                <w:lang w:eastAsia="es-MX"/>
              </w:rPr>
            </w:pPr>
          </w:p>
        </w:tc>
        <w:tc>
          <w:tcPr>
            <w:tcW w:w="2004" w:type="dxa"/>
            <w:gridSpan w:val="2"/>
            <w:shd w:val="clear" w:color="auto" w:fill="C00000"/>
            <w:vAlign w:val="center"/>
            <w:hideMark/>
          </w:tcPr>
          <w:p w14:paraId="05190302" w14:textId="77777777"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Hombres</w:t>
            </w:r>
          </w:p>
          <w:p w14:paraId="2B9509DE" w14:textId="77777777" w:rsidR="008C3A64" w:rsidRPr="005A31BC" w:rsidRDefault="008C3A64" w:rsidP="00FF1F9A">
            <w:pPr>
              <w:jc w:val="center"/>
              <w:rPr>
                <w:b/>
                <w:bCs/>
                <w:color w:val="FFFFFF" w:themeColor="background1"/>
                <w:spacing w:val="-6"/>
                <w:sz w:val="28"/>
                <w:szCs w:val="32"/>
                <w:lang w:eastAsia="es-MX"/>
              </w:rPr>
            </w:pPr>
          </w:p>
        </w:tc>
        <w:tc>
          <w:tcPr>
            <w:tcW w:w="2305" w:type="dxa"/>
            <w:gridSpan w:val="2"/>
            <w:vMerge/>
            <w:shd w:val="clear" w:color="auto" w:fill="C00000"/>
            <w:vAlign w:val="center"/>
            <w:hideMark/>
          </w:tcPr>
          <w:p w14:paraId="0FA84E96" w14:textId="77777777" w:rsidR="008C3A64" w:rsidRPr="005A31BC" w:rsidRDefault="008C3A64" w:rsidP="00FF1F9A">
            <w:pPr>
              <w:jc w:val="center"/>
              <w:rPr>
                <w:b/>
                <w:bCs/>
                <w:color w:val="FFFFFF" w:themeColor="background1"/>
                <w:spacing w:val="-6"/>
                <w:sz w:val="28"/>
                <w:szCs w:val="32"/>
                <w:lang w:eastAsia="es-MX"/>
              </w:rPr>
            </w:pPr>
          </w:p>
        </w:tc>
      </w:tr>
      <w:tr w:rsidR="008C3A64" w:rsidRPr="005A31BC" w14:paraId="42036259" w14:textId="77777777" w:rsidTr="00CC67C0">
        <w:trPr>
          <w:trHeight w:val="397"/>
          <w:jc w:val="center"/>
        </w:trPr>
        <w:tc>
          <w:tcPr>
            <w:tcW w:w="2249" w:type="dxa"/>
            <w:vMerge/>
            <w:shd w:val="clear" w:color="auto" w:fill="auto"/>
            <w:vAlign w:val="center"/>
            <w:hideMark/>
          </w:tcPr>
          <w:p w14:paraId="6F038B85" w14:textId="77777777" w:rsidR="008C3A64" w:rsidRPr="005A31BC" w:rsidRDefault="008C3A64" w:rsidP="00FF1F9A">
            <w:pPr>
              <w:jc w:val="right"/>
              <w:rPr>
                <w:spacing w:val="-6"/>
                <w:lang w:eastAsia="es-MX"/>
              </w:rPr>
            </w:pPr>
          </w:p>
        </w:tc>
        <w:tc>
          <w:tcPr>
            <w:tcW w:w="1276" w:type="dxa"/>
            <w:shd w:val="clear" w:color="auto" w:fill="C00000"/>
            <w:vAlign w:val="center"/>
            <w:hideMark/>
          </w:tcPr>
          <w:p w14:paraId="760C6C77" w14:textId="77777777"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PcD</w:t>
            </w:r>
          </w:p>
        </w:tc>
        <w:tc>
          <w:tcPr>
            <w:tcW w:w="992" w:type="dxa"/>
            <w:shd w:val="clear" w:color="auto" w:fill="C00000"/>
            <w:vAlign w:val="center"/>
            <w:hideMark/>
          </w:tcPr>
          <w:p w14:paraId="55AA1ADF" w14:textId="6C2DCCB4" w:rsidR="008C3A64" w:rsidRPr="005A31BC" w:rsidRDefault="00393CC7" w:rsidP="00FF1F9A">
            <w:pPr>
              <w:jc w:val="center"/>
              <w:rPr>
                <w:b/>
                <w:bCs/>
                <w:color w:val="FFFFFF" w:themeColor="background1"/>
                <w:spacing w:val="-6"/>
                <w:sz w:val="28"/>
                <w:szCs w:val="32"/>
                <w:lang w:eastAsia="es-MX"/>
              </w:rPr>
            </w:pPr>
            <w:r>
              <w:rPr>
                <w:b/>
                <w:bCs/>
                <w:color w:val="FFFFFF" w:themeColor="background1"/>
                <w:spacing w:val="-6"/>
                <w:sz w:val="28"/>
                <w:szCs w:val="32"/>
                <w:lang w:eastAsia="es-MX"/>
              </w:rPr>
              <w:t>% fila</w:t>
            </w:r>
          </w:p>
        </w:tc>
        <w:tc>
          <w:tcPr>
            <w:tcW w:w="1134" w:type="dxa"/>
            <w:shd w:val="clear" w:color="auto" w:fill="C00000"/>
            <w:vAlign w:val="center"/>
            <w:hideMark/>
          </w:tcPr>
          <w:p w14:paraId="79D5D0C6" w14:textId="77777777"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PcD</w:t>
            </w:r>
          </w:p>
        </w:tc>
        <w:tc>
          <w:tcPr>
            <w:tcW w:w="870" w:type="dxa"/>
            <w:shd w:val="clear" w:color="auto" w:fill="C00000"/>
            <w:vAlign w:val="center"/>
            <w:hideMark/>
          </w:tcPr>
          <w:p w14:paraId="1AB72E1F" w14:textId="1346CA37" w:rsidR="008C3A64" w:rsidRPr="005A31BC" w:rsidRDefault="00393CC7" w:rsidP="00FF1F9A">
            <w:pPr>
              <w:jc w:val="center"/>
              <w:rPr>
                <w:b/>
                <w:bCs/>
                <w:color w:val="FFFFFF" w:themeColor="background1"/>
                <w:spacing w:val="-6"/>
                <w:sz w:val="28"/>
                <w:szCs w:val="32"/>
                <w:lang w:eastAsia="es-MX"/>
              </w:rPr>
            </w:pPr>
            <w:r>
              <w:rPr>
                <w:b/>
                <w:bCs/>
                <w:color w:val="FFFFFF" w:themeColor="background1"/>
                <w:spacing w:val="-6"/>
                <w:sz w:val="28"/>
                <w:szCs w:val="32"/>
                <w:lang w:eastAsia="es-MX"/>
              </w:rPr>
              <w:t>% fila</w:t>
            </w:r>
          </w:p>
        </w:tc>
        <w:tc>
          <w:tcPr>
            <w:tcW w:w="1134" w:type="dxa"/>
            <w:shd w:val="clear" w:color="auto" w:fill="C00000"/>
            <w:vAlign w:val="center"/>
            <w:hideMark/>
          </w:tcPr>
          <w:p w14:paraId="00712E36" w14:textId="77777777" w:rsidR="008C3A64" w:rsidRPr="005A31BC" w:rsidRDefault="008C3A64" w:rsidP="00FF1F9A">
            <w:pPr>
              <w:jc w:val="center"/>
              <w:rPr>
                <w:b/>
                <w:bCs/>
                <w:color w:val="FFFFFF" w:themeColor="background1"/>
                <w:spacing w:val="-6"/>
                <w:sz w:val="28"/>
                <w:szCs w:val="32"/>
                <w:lang w:eastAsia="es-MX"/>
              </w:rPr>
            </w:pPr>
            <w:r w:rsidRPr="005A31BC">
              <w:rPr>
                <w:b/>
                <w:bCs/>
                <w:color w:val="FFFFFF" w:themeColor="background1"/>
                <w:spacing w:val="-6"/>
                <w:sz w:val="28"/>
                <w:szCs w:val="32"/>
                <w:lang w:eastAsia="es-MX"/>
              </w:rPr>
              <w:t>PcD</w:t>
            </w:r>
          </w:p>
        </w:tc>
        <w:tc>
          <w:tcPr>
            <w:tcW w:w="1171" w:type="dxa"/>
            <w:shd w:val="clear" w:color="auto" w:fill="C00000"/>
            <w:vAlign w:val="center"/>
            <w:hideMark/>
          </w:tcPr>
          <w:p w14:paraId="11068405" w14:textId="091E4157" w:rsidR="008C3A64" w:rsidRPr="005A31BC" w:rsidRDefault="00393CC7" w:rsidP="00FF1F9A">
            <w:pPr>
              <w:jc w:val="center"/>
              <w:rPr>
                <w:b/>
                <w:bCs/>
                <w:color w:val="FFFFFF" w:themeColor="background1"/>
                <w:spacing w:val="-6"/>
                <w:sz w:val="28"/>
                <w:szCs w:val="32"/>
                <w:lang w:eastAsia="es-MX"/>
              </w:rPr>
            </w:pPr>
            <w:r>
              <w:rPr>
                <w:b/>
                <w:bCs/>
                <w:color w:val="FFFFFF" w:themeColor="background1"/>
                <w:spacing w:val="-6"/>
                <w:sz w:val="18"/>
                <w:szCs w:val="20"/>
                <w:lang w:eastAsia="es-MX"/>
              </w:rPr>
              <w:t>%</w:t>
            </w:r>
            <w:r w:rsidR="008C3A64" w:rsidRPr="00393CC7">
              <w:rPr>
                <w:b/>
                <w:bCs/>
                <w:color w:val="FFFFFF" w:themeColor="background1"/>
                <w:spacing w:val="-6"/>
                <w:sz w:val="18"/>
                <w:szCs w:val="20"/>
                <w:lang w:eastAsia="es-MX"/>
              </w:rPr>
              <w:t xml:space="preserve"> </w:t>
            </w:r>
            <w:r w:rsidRPr="00393CC7">
              <w:rPr>
                <w:b/>
                <w:bCs/>
                <w:color w:val="FFFFFF" w:themeColor="background1"/>
                <w:spacing w:val="-6"/>
                <w:sz w:val="18"/>
                <w:szCs w:val="20"/>
                <w:lang w:eastAsia="es-MX"/>
              </w:rPr>
              <w:t>columna</w:t>
            </w:r>
          </w:p>
        </w:tc>
      </w:tr>
      <w:tr w:rsidR="008C3A64" w:rsidRPr="005A31BC" w14:paraId="0BD193A2" w14:textId="77777777" w:rsidTr="00CC67C0">
        <w:trPr>
          <w:trHeight w:val="397"/>
          <w:jc w:val="center"/>
        </w:trPr>
        <w:tc>
          <w:tcPr>
            <w:tcW w:w="2249" w:type="dxa"/>
            <w:shd w:val="clear" w:color="auto" w:fill="auto"/>
            <w:vAlign w:val="center"/>
            <w:hideMark/>
          </w:tcPr>
          <w:p w14:paraId="16E0CDF5" w14:textId="77777777" w:rsidR="008C3A64" w:rsidRPr="005A31BC" w:rsidRDefault="008C3A64" w:rsidP="00FF1F9A">
            <w:pPr>
              <w:jc w:val="right"/>
              <w:rPr>
                <w:color w:val="000000"/>
                <w:spacing w:val="-6"/>
                <w:szCs w:val="22"/>
                <w:lang w:eastAsia="es-MX"/>
              </w:rPr>
            </w:pPr>
            <w:r w:rsidRPr="005A31BC">
              <w:rPr>
                <w:spacing w:val="-6"/>
                <w:szCs w:val="22"/>
                <w:lang w:eastAsia="es-MX"/>
              </w:rPr>
              <w:t>1  Usaquén</w:t>
            </w:r>
          </w:p>
        </w:tc>
        <w:tc>
          <w:tcPr>
            <w:tcW w:w="1276" w:type="dxa"/>
            <w:shd w:val="clear" w:color="auto" w:fill="auto"/>
            <w:noWrap/>
            <w:vAlign w:val="center"/>
            <w:hideMark/>
          </w:tcPr>
          <w:p w14:paraId="4949F516" w14:textId="77777777" w:rsidR="008C3A64" w:rsidRPr="005A31BC" w:rsidRDefault="008C3A64" w:rsidP="00FF1F9A">
            <w:pPr>
              <w:jc w:val="right"/>
              <w:rPr>
                <w:spacing w:val="-6"/>
                <w:szCs w:val="22"/>
                <w:lang w:eastAsia="es-MX"/>
              </w:rPr>
            </w:pPr>
            <w:r w:rsidRPr="005A31BC">
              <w:rPr>
                <w:spacing w:val="-6"/>
                <w:w w:val="110"/>
                <w:szCs w:val="22"/>
              </w:rPr>
              <w:t>8.874</w:t>
            </w:r>
          </w:p>
        </w:tc>
        <w:tc>
          <w:tcPr>
            <w:tcW w:w="992" w:type="dxa"/>
            <w:shd w:val="clear" w:color="auto" w:fill="auto"/>
            <w:noWrap/>
            <w:vAlign w:val="center"/>
            <w:hideMark/>
          </w:tcPr>
          <w:p w14:paraId="354C38F7" w14:textId="77777777" w:rsidR="008C3A64" w:rsidRPr="005A31BC" w:rsidRDefault="008C3A64" w:rsidP="00FF1F9A">
            <w:pPr>
              <w:jc w:val="right"/>
              <w:rPr>
                <w:spacing w:val="-6"/>
                <w:szCs w:val="22"/>
                <w:lang w:eastAsia="es-MX"/>
              </w:rPr>
            </w:pPr>
            <w:r w:rsidRPr="005A31BC">
              <w:rPr>
                <w:spacing w:val="-6"/>
                <w:w w:val="105"/>
                <w:szCs w:val="22"/>
              </w:rPr>
              <w:t>56</w:t>
            </w:r>
            <w:r w:rsidRPr="005A31BC">
              <w:rPr>
                <w:color w:val="606060"/>
                <w:spacing w:val="-6"/>
                <w:w w:val="105"/>
                <w:szCs w:val="22"/>
              </w:rPr>
              <w:t>,</w:t>
            </w:r>
            <w:r w:rsidRPr="005A31BC">
              <w:rPr>
                <w:color w:val="444444"/>
                <w:spacing w:val="-6"/>
                <w:w w:val="105"/>
                <w:szCs w:val="22"/>
              </w:rPr>
              <w:t>3</w:t>
            </w:r>
          </w:p>
        </w:tc>
        <w:tc>
          <w:tcPr>
            <w:tcW w:w="1134" w:type="dxa"/>
            <w:shd w:val="clear" w:color="auto" w:fill="auto"/>
            <w:noWrap/>
            <w:vAlign w:val="center"/>
            <w:hideMark/>
          </w:tcPr>
          <w:p w14:paraId="48322BC1" w14:textId="77777777" w:rsidR="008C3A64" w:rsidRPr="005A31BC" w:rsidRDefault="008C3A64" w:rsidP="00FF1F9A">
            <w:pPr>
              <w:jc w:val="right"/>
              <w:rPr>
                <w:spacing w:val="-6"/>
                <w:szCs w:val="22"/>
                <w:lang w:eastAsia="es-MX"/>
              </w:rPr>
            </w:pPr>
            <w:r w:rsidRPr="005A31BC">
              <w:rPr>
                <w:spacing w:val="-6"/>
                <w:w w:val="110"/>
                <w:szCs w:val="22"/>
              </w:rPr>
              <w:t>6.888</w:t>
            </w:r>
          </w:p>
        </w:tc>
        <w:tc>
          <w:tcPr>
            <w:tcW w:w="870" w:type="dxa"/>
            <w:shd w:val="clear" w:color="auto" w:fill="auto"/>
            <w:vAlign w:val="center"/>
            <w:hideMark/>
          </w:tcPr>
          <w:p w14:paraId="47C564A7" w14:textId="77777777" w:rsidR="008C3A64" w:rsidRPr="005A31BC" w:rsidRDefault="008C3A64" w:rsidP="00FF1F9A">
            <w:pPr>
              <w:jc w:val="right"/>
              <w:rPr>
                <w:spacing w:val="-6"/>
                <w:szCs w:val="22"/>
                <w:lang w:eastAsia="es-MX"/>
              </w:rPr>
            </w:pPr>
            <w:r w:rsidRPr="005A31BC">
              <w:rPr>
                <w:spacing w:val="-6"/>
                <w:w w:val="105"/>
                <w:szCs w:val="22"/>
              </w:rPr>
              <w:t>43</w:t>
            </w:r>
            <w:r w:rsidRPr="005A31BC">
              <w:rPr>
                <w:color w:val="606060"/>
                <w:spacing w:val="-6"/>
                <w:w w:val="105"/>
                <w:szCs w:val="22"/>
              </w:rPr>
              <w:t>,</w:t>
            </w:r>
            <w:r w:rsidRPr="005A31BC">
              <w:rPr>
                <w:color w:val="444444"/>
                <w:spacing w:val="-6"/>
                <w:w w:val="105"/>
                <w:szCs w:val="22"/>
              </w:rPr>
              <w:t>7</w:t>
            </w:r>
          </w:p>
        </w:tc>
        <w:tc>
          <w:tcPr>
            <w:tcW w:w="1134" w:type="dxa"/>
            <w:shd w:val="clear" w:color="auto" w:fill="D0CECE" w:themeFill="background2" w:themeFillShade="E6"/>
            <w:noWrap/>
            <w:vAlign w:val="center"/>
            <w:hideMark/>
          </w:tcPr>
          <w:p w14:paraId="7AB336D4" w14:textId="77777777" w:rsidR="008C3A64" w:rsidRPr="005A31BC" w:rsidRDefault="008C3A64" w:rsidP="00FF1F9A">
            <w:pPr>
              <w:jc w:val="right"/>
              <w:rPr>
                <w:color w:val="0C0C0C"/>
                <w:spacing w:val="-6"/>
                <w:szCs w:val="22"/>
                <w:lang w:eastAsia="es-MX"/>
              </w:rPr>
            </w:pPr>
            <w:r w:rsidRPr="005A31BC">
              <w:rPr>
                <w:color w:val="161616"/>
                <w:spacing w:val="-6"/>
                <w:w w:val="105"/>
                <w:szCs w:val="22"/>
              </w:rPr>
              <w:t>1</w:t>
            </w:r>
            <w:r w:rsidRPr="005A31BC">
              <w:rPr>
                <w:spacing w:val="-6"/>
                <w:w w:val="105"/>
                <w:szCs w:val="22"/>
              </w:rPr>
              <w:t>5</w:t>
            </w:r>
            <w:r w:rsidRPr="005A31BC">
              <w:rPr>
                <w:color w:val="030303"/>
                <w:spacing w:val="-6"/>
                <w:w w:val="105"/>
                <w:szCs w:val="22"/>
              </w:rPr>
              <w:t>.</w:t>
            </w:r>
            <w:r w:rsidRPr="005A31BC">
              <w:rPr>
                <w:color w:val="444444"/>
                <w:spacing w:val="-6"/>
                <w:w w:val="105"/>
                <w:szCs w:val="22"/>
              </w:rPr>
              <w:t>762</w:t>
            </w:r>
          </w:p>
        </w:tc>
        <w:tc>
          <w:tcPr>
            <w:tcW w:w="1171" w:type="dxa"/>
            <w:shd w:val="clear" w:color="auto" w:fill="D0CECE" w:themeFill="background2" w:themeFillShade="E6"/>
            <w:noWrap/>
            <w:vAlign w:val="center"/>
            <w:hideMark/>
          </w:tcPr>
          <w:p w14:paraId="484B4CE4" w14:textId="77777777" w:rsidR="008C3A64" w:rsidRPr="005A31BC" w:rsidRDefault="008C3A64" w:rsidP="00FF1F9A">
            <w:pPr>
              <w:jc w:val="right"/>
              <w:rPr>
                <w:color w:val="3B3B3B"/>
                <w:spacing w:val="-6"/>
                <w:szCs w:val="22"/>
                <w:lang w:eastAsia="es-MX"/>
              </w:rPr>
            </w:pPr>
            <w:r w:rsidRPr="005A31BC">
              <w:rPr>
                <w:spacing w:val="-6"/>
                <w:w w:val="105"/>
                <w:szCs w:val="22"/>
              </w:rPr>
              <w:t>4</w:t>
            </w:r>
            <w:r w:rsidRPr="005A31BC">
              <w:rPr>
                <w:color w:val="606060"/>
                <w:spacing w:val="-6"/>
                <w:w w:val="105"/>
                <w:szCs w:val="22"/>
              </w:rPr>
              <w:t>,</w:t>
            </w:r>
            <w:r w:rsidRPr="005A31BC">
              <w:rPr>
                <w:spacing w:val="-6"/>
                <w:w w:val="105"/>
                <w:szCs w:val="22"/>
              </w:rPr>
              <w:t>5</w:t>
            </w:r>
          </w:p>
        </w:tc>
      </w:tr>
      <w:tr w:rsidR="008C3A64" w:rsidRPr="005A31BC" w14:paraId="30A22D81" w14:textId="77777777" w:rsidTr="00CC67C0">
        <w:trPr>
          <w:trHeight w:val="397"/>
          <w:jc w:val="center"/>
        </w:trPr>
        <w:tc>
          <w:tcPr>
            <w:tcW w:w="2249" w:type="dxa"/>
            <w:shd w:val="clear" w:color="auto" w:fill="auto"/>
            <w:vAlign w:val="center"/>
            <w:hideMark/>
          </w:tcPr>
          <w:p w14:paraId="0219684D" w14:textId="77777777" w:rsidR="008C3A64" w:rsidRPr="005A31BC" w:rsidRDefault="008C3A64" w:rsidP="00FF1F9A">
            <w:pPr>
              <w:jc w:val="right"/>
              <w:rPr>
                <w:color w:val="000000"/>
                <w:spacing w:val="-6"/>
                <w:szCs w:val="22"/>
                <w:lang w:eastAsia="es-MX"/>
              </w:rPr>
            </w:pPr>
            <w:r w:rsidRPr="005A31BC">
              <w:rPr>
                <w:spacing w:val="-6"/>
                <w:szCs w:val="22"/>
                <w:lang w:eastAsia="es-MX"/>
              </w:rPr>
              <w:t>2  Chapinero</w:t>
            </w:r>
          </w:p>
        </w:tc>
        <w:tc>
          <w:tcPr>
            <w:tcW w:w="1276" w:type="dxa"/>
            <w:shd w:val="clear" w:color="auto" w:fill="auto"/>
            <w:noWrap/>
            <w:vAlign w:val="center"/>
            <w:hideMark/>
          </w:tcPr>
          <w:p w14:paraId="23C2F92A" w14:textId="77777777" w:rsidR="008C3A64" w:rsidRPr="005A31BC" w:rsidRDefault="008C3A64" w:rsidP="00FF1F9A">
            <w:pPr>
              <w:jc w:val="right"/>
              <w:rPr>
                <w:spacing w:val="-6"/>
                <w:szCs w:val="22"/>
                <w:lang w:eastAsia="es-MX"/>
              </w:rPr>
            </w:pPr>
            <w:r w:rsidRPr="005A31BC">
              <w:rPr>
                <w:color w:val="444444"/>
                <w:spacing w:val="-6"/>
                <w:w w:val="110"/>
                <w:szCs w:val="22"/>
              </w:rPr>
              <w:t>3.</w:t>
            </w:r>
            <w:r w:rsidRPr="005A31BC">
              <w:rPr>
                <w:color w:val="161616"/>
                <w:spacing w:val="-6"/>
                <w:w w:val="110"/>
                <w:szCs w:val="22"/>
              </w:rPr>
              <w:t>1</w:t>
            </w:r>
            <w:r w:rsidRPr="005A31BC">
              <w:rPr>
                <w:spacing w:val="-6"/>
                <w:w w:val="110"/>
                <w:szCs w:val="22"/>
              </w:rPr>
              <w:t>48</w:t>
            </w:r>
          </w:p>
        </w:tc>
        <w:tc>
          <w:tcPr>
            <w:tcW w:w="992" w:type="dxa"/>
            <w:shd w:val="clear" w:color="auto" w:fill="auto"/>
            <w:noWrap/>
            <w:vAlign w:val="center"/>
            <w:hideMark/>
          </w:tcPr>
          <w:p w14:paraId="09DD73AA" w14:textId="77777777" w:rsidR="008C3A64" w:rsidRPr="005A31BC" w:rsidRDefault="008C3A64" w:rsidP="00FF1F9A">
            <w:pPr>
              <w:jc w:val="right"/>
              <w:rPr>
                <w:color w:val="3B3B3B"/>
                <w:spacing w:val="-6"/>
                <w:szCs w:val="22"/>
                <w:lang w:eastAsia="es-MX"/>
              </w:rPr>
            </w:pPr>
            <w:r w:rsidRPr="005A31BC">
              <w:rPr>
                <w:spacing w:val="-6"/>
                <w:w w:val="105"/>
                <w:szCs w:val="22"/>
              </w:rPr>
              <w:t>58</w:t>
            </w:r>
            <w:r w:rsidRPr="005A31BC">
              <w:rPr>
                <w:color w:val="606060"/>
                <w:spacing w:val="-6"/>
                <w:w w:val="105"/>
                <w:szCs w:val="22"/>
              </w:rPr>
              <w:t>,</w:t>
            </w:r>
            <w:r w:rsidRPr="005A31BC">
              <w:rPr>
                <w:spacing w:val="-6"/>
                <w:w w:val="105"/>
                <w:szCs w:val="22"/>
              </w:rPr>
              <w:t>6</w:t>
            </w:r>
          </w:p>
        </w:tc>
        <w:tc>
          <w:tcPr>
            <w:tcW w:w="1134" w:type="dxa"/>
            <w:shd w:val="clear" w:color="auto" w:fill="auto"/>
            <w:noWrap/>
            <w:vAlign w:val="center"/>
            <w:hideMark/>
          </w:tcPr>
          <w:p w14:paraId="0FAAFC1B" w14:textId="77777777" w:rsidR="008C3A64" w:rsidRPr="005A31BC" w:rsidRDefault="008C3A64" w:rsidP="00FF1F9A">
            <w:pPr>
              <w:jc w:val="right"/>
              <w:rPr>
                <w:spacing w:val="-6"/>
                <w:szCs w:val="22"/>
                <w:lang w:eastAsia="es-MX"/>
              </w:rPr>
            </w:pPr>
            <w:r w:rsidRPr="005A31BC">
              <w:rPr>
                <w:spacing w:val="-6"/>
                <w:w w:val="110"/>
                <w:szCs w:val="22"/>
              </w:rPr>
              <w:t>2.220</w:t>
            </w:r>
          </w:p>
        </w:tc>
        <w:tc>
          <w:tcPr>
            <w:tcW w:w="870" w:type="dxa"/>
            <w:shd w:val="clear" w:color="auto" w:fill="auto"/>
            <w:noWrap/>
            <w:vAlign w:val="center"/>
            <w:hideMark/>
          </w:tcPr>
          <w:p w14:paraId="2D9645E4" w14:textId="77777777" w:rsidR="008C3A64" w:rsidRPr="005A31BC" w:rsidRDefault="008C3A64" w:rsidP="00FF1F9A">
            <w:pPr>
              <w:jc w:val="right"/>
              <w:rPr>
                <w:spacing w:val="-6"/>
                <w:szCs w:val="22"/>
                <w:lang w:eastAsia="es-MX"/>
              </w:rPr>
            </w:pPr>
            <w:r w:rsidRPr="005A31BC">
              <w:rPr>
                <w:spacing w:val="-6"/>
                <w:w w:val="105"/>
                <w:szCs w:val="22"/>
              </w:rPr>
              <w:t>4</w:t>
            </w:r>
            <w:r w:rsidRPr="005A31BC">
              <w:rPr>
                <w:color w:val="161616"/>
                <w:spacing w:val="-6"/>
                <w:w w:val="105"/>
                <w:szCs w:val="22"/>
              </w:rPr>
              <w:t>1</w:t>
            </w:r>
            <w:r w:rsidRPr="005A31BC">
              <w:rPr>
                <w:color w:val="606060"/>
                <w:spacing w:val="-6"/>
                <w:w w:val="105"/>
                <w:szCs w:val="22"/>
              </w:rPr>
              <w:t>,</w:t>
            </w:r>
            <w:r w:rsidRPr="005A31BC">
              <w:rPr>
                <w:spacing w:val="-6"/>
                <w:w w:val="105"/>
                <w:szCs w:val="22"/>
              </w:rPr>
              <w:t>4</w:t>
            </w:r>
          </w:p>
        </w:tc>
        <w:tc>
          <w:tcPr>
            <w:tcW w:w="1134" w:type="dxa"/>
            <w:shd w:val="clear" w:color="auto" w:fill="D0CECE" w:themeFill="background2" w:themeFillShade="E6"/>
            <w:noWrap/>
            <w:vAlign w:val="center"/>
            <w:hideMark/>
          </w:tcPr>
          <w:p w14:paraId="79040A80" w14:textId="77777777" w:rsidR="008C3A64" w:rsidRPr="005A31BC" w:rsidRDefault="008C3A64" w:rsidP="00FF1F9A">
            <w:pPr>
              <w:jc w:val="right"/>
              <w:rPr>
                <w:color w:val="3B3B3B"/>
                <w:spacing w:val="-6"/>
                <w:szCs w:val="22"/>
                <w:lang w:eastAsia="es-MX"/>
              </w:rPr>
            </w:pPr>
            <w:r w:rsidRPr="005A31BC">
              <w:rPr>
                <w:spacing w:val="-6"/>
                <w:w w:val="110"/>
                <w:szCs w:val="22"/>
              </w:rPr>
              <w:t>5.368</w:t>
            </w:r>
          </w:p>
        </w:tc>
        <w:tc>
          <w:tcPr>
            <w:tcW w:w="1171" w:type="dxa"/>
            <w:shd w:val="clear" w:color="auto" w:fill="D0CECE" w:themeFill="background2" w:themeFillShade="E6"/>
            <w:noWrap/>
            <w:vAlign w:val="center"/>
            <w:hideMark/>
          </w:tcPr>
          <w:p w14:paraId="2B13C610" w14:textId="77777777" w:rsidR="008C3A64" w:rsidRPr="005A31BC" w:rsidRDefault="008C3A64" w:rsidP="00FF1F9A">
            <w:pPr>
              <w:jc w:val="right"/>
              <w:rPr>
                <w:spacing w:val="-6"/>
                <w:szCs w:val="22"/>
                <w:lang w:eastAsia="es-MX"/>
              </w:rPr>
            </w:pPr>
            <w:r w:rsidRPr="005A31BC">
              <w:rPr>
                <w:color w:val="161616"/>
                <w:spacing w:val="-6"/>
                <w:w w:val="105"/>
                <w:szCs w:val="22"/>
              </w:rPr>
              <w:t>1</w:t>
            </w:r>
            <w:r w:rsidRPr="005A31BC">
              <w:rPr>
                <w:color w:val="606060"/>
                <w:spacing w:val="-6"/>
                <w:w w:val="105"/>
                <w:szCs w:val="22"/>
              </w:rPr>
              <w:t>,</w:t>
            </w:r>
            <w:r w:rsidRPr="005A31BC">
              <w:rPr>
                <w:spacing w:val="-6"/>
                <w:w w:val="105"/>
                <w:szCs w:val="22"/>
              </w:rPr>
              <w:t>5</w:t>
            </w:r>
          </w:p>
        </w:tc>
      </w:tr>
      <w:tr w:rsidR="008C3A64" w:rsidRPr="005A31BC" w14:paraId="452FE70F" w14:textId="77777777" w:rsidTr="00CC67C0">
        <w:trPr>
          <w:trHeight w:val="397"/>
          <w:jc w:val="center"/>
        </w:trPr>
        <w:tc>
          <w:tcPr>
            <w:tcW w:w="2249" w:type="dxa"/>
            <w:shd w:val="clear" w:color="auto" w:fill="auto"/>
            <w:vAlign w:val="center"/>
            <w:hideMark/>
          </w:tcPr>
          <w:p w14:paraId="58B87199" w14:textId="77777777" w:rsidR="008C3A64" w:rsidRPr="005A31BC" w:rsidRDefault="008C3A64" w:rsidP="00FF1F9A">
            <w:pPr>
              <w:jc w:val="right"/>
              <w:rPr>
                <w:color w:val="000000"/>
                <w:spacing w:val="-6"/>
                <w:szCs w:val="22"/>
                <w:lang w:eastAsia="es-MX"/>
              </w:rPr>
            </w:pPr>
            <w:r w:rsidRPr="005A31BC">
              <w:rPr>
                <w:color w:val="646464"/>
                <w:spacing w:val="-6"/>
                <w:szCs w:val="22"/>
                <w:lang w:eastAsia="es-MX"/>
              </w:rPr>
              <w:t xml:space="preserve">3  </w:t>
            </w:r>
            <w:r w:rsidRPr="005A31BC">
              <w:rPr>
                <w:spacing w:val="-6"/>
                <w:szCs w:val="22"/>
                <w:lang w:eastAsia="es-MX"/>
              </w:rPr>
              <w:t>Santafé</w:t>
            </w:r>
          </w:p>
        </w:tc>
        <w:tc>
          <w:tcPr>
            <w:tcW w:w="1276" w:type="dxa"/>
            <w:shd w:val="clear" w:color="auto" w:fill="auto"/>
            <w:noWrap/>
            <w:vAlign w:val="center"/>
            <w:hideMark/>
          </w:tcPr>
          <w:p w14:paraId="36EADC37" w14:textId="77777777" w:rsidR="008C3A64" w:rsidRPr="005A31BC" w:rsidRDefault="008C3A64" w:rsidP="00FF1F9A">
            <w:pPr>
              <w:jc w:val="right"/>
              <w:rPr>
                <w:spacing w:val="-6"/>
                <w:szCs w:val="22"/>
                <w:lang w:eastAsia="es-MX"/>
              </w:rPr>
            </w:pPr>
            <w:r w:rsidRPr="005A31BC">
              <w:rPr>
                <w:spacing w:val="-6"/>
                <w:w w:val="110"/>
                <w:szCs w:val="22"/>
              </w:rPr>
              <w:t>2.781</w:t>
            </w:r>
          </w:p>
        </w:tc>
        <w:tc>
          <w:tcPr>
            <w:tcW w:w="992" w:type="dxa"/>
            <w:shd w:val="clear" w:color="auto" w:fill="auto"/>
            <w:noWrap/>
            <w:vAlign w:val="center"/>
            <w:hideMark/>
          </w:tcPr>
          <w:p w14:paraId="6B0EF774" w14:textId="77777777" w:rsidR="008C3A64" w:rsidRPr="005A31BC" w:rsidRDefault="008C3A64" w:rsidP="00FF1F9A">
            <w:pPr>
              <w:jc w:val="right"/>
              <w:rPr>
                <w:color w:val="3B3B3B"/>
                <w:spacing w:val="-6"/>
                <w:szCs w:val="22"/>
                <w:lang w:eastAsia="es-MX"/>
              </w:rPr>
            </w:pPr>
            <w:r w:rsidRPr="005A31BC">
              <w:rPr>
                <w:spacing w:val="-6"/>
                <w:w w:val="105"/>
                <w:szCs w:val="22"/>
              </w:rPr>
              <w:t>54</w:t>
            </w:r>
            <w:r w:rsidRPr="005A31BC">
              <w:rPr>
                <w:color w:val="606060"/>
                <w:spacing w:val="-6"/>
                <w:w w:val="105"/>
                <w:szCs w:val="22"/>
              </w:rPr>
              <w:t>,</w:t>
            </w:r>
            <w:r w:rsidRPr="005A31BC">
              <w:rPr>
                <w:spacing w:val="-6"/>
                <w:w w:val="105"/>
                <w:szCs w:val="22"/>
              </w:rPr>
              <w:t>9</w:t>
            </w:r>
          </w:p>
        </w:tc>
        <w:tc>
          <w:tcPr>
            <w:tcW w:w="1134" w:type="dxa"/>
            <w:shd w:val="clear" w:color="auto" w:fill="auto"/>
            <w:noWrap/>
            <w:vAlign w:val="center"/>
            <w:hideMark/>
          </w:tcPr>
          <w:p w14:paraId="3838164D" w14:textId="77777777" w:rsidR="008C3A64" w:rsidRPr="005A31BC" w:rsidRDefault="008C3A64" w:rsidP="00FF1F9A">
            <w:pPr>
              <w:jc w:val="right"/>
              <w:rPr>
                <w:spacing w:val="-6"/>
                <w:szCs w:val="22"/>
                <w:lang w:eastAsia="es-MX"/>
              </w:rPr>
            </w:pPr>
            <w:r w:rsidRPr="005A31BC">
              <w:rPr>
                <w:spacing w:val="-6"/>
                <w:w w:val="110"/>
                <w:szCs w:val="22"/>
              </w:rPr>
              <w:t>2.288</w:t>
            </w:r>
          </w:p>
        </w:tc>
        <w:tc>
          <w:tcPr>
            <w:tcW w:w="870" w:type="dxa"/>
            <w:shd w:val="clear" w:color="auto" w:fill="auto"/>
            <w:noWrap/>
            <w:vAlign w:val="center"/>
            <w:hideMark/>
          </w:tcPr>
          <w:p w14:paraId="5ABC56DF" w14:textId="77777777" w:rsidR="008C3A64" w:rsidRPr="005A31BC" w:rsidRDefault="008C3A64" w:rsidP="00FF1F9A">
            <w:pPr>
              <w:jc w:val="right"/>
              <w:rPr>
                <w:color w:val="3B3B3B"/>
                <w:spacing w:val="-6"/>
                <w:szCs w:val="22"/>
                <w:lang w:eastAsia="es-MX"/>
              </w:rPr>
            </w:pPr>
            <w:r w:rsidRPr="005A31BC">
              <w:rPr>
                <w:spacing w:val="-6"/>
                <w:w w:val="105"/>
                <w:szCs w:val="22"/>
              </w:rPr>
              <w:t>45</w:t>
            </w:r>
            <w:r w:rsidRPr="005A31BC">
              <w:rPr>
                <w:color w:val="606060"/>
                <w:spacing w:val="-6"/>
                <w:w w:val="105"/>
                <w:szCs w:val="22"/>
              </w:rPr>
              <w:t>,</w:t>
            </w:r>
            <w:r w:rsidRPr="005A31BC">
              <w:rPr>
                <w:color w:val="161616"/>
                <w:spacing w:val="-6"/>
                <w:w w:val="105"/>
                <w:szCs w:val="22"/>
              </w:rPr>
              <w:t>1</w:t>
            </w:r>
          </w:p>
        </w:tc>
        <w:tc>
          <w:tcPr>
            <w:tcW w:w="1134" w:type="dxa"/>
            <w:shd w:val="clear" w:color="auto" w:fill="D0CECE" w:themeFill="background2" w:themeFillShade="E6"/>
            <w:noWrap/>
            <w:vAlign w:val="center"/>
            <w:hideMark/>
          </w:tcPr>
          <w:p w14:paraId="065D8D1F" w14:textId="77777777" w:rsidR="008C3A64" w:rsidRPr="005A31BC" w:rsidRDefault="008C3A64" w:rsidP="00FF1F9A">
            <w:pPr>
              <w:jc w:val="right"/>
              <w:rPr>
                <w:spacing w:val="-6"/>
                <w:szCs w:val="22"/>
                <w:lang w:eastAsia="es-MX"/>
              </w:rPr>
            </w:pPr>
            <w:r w:rsidRPr="005A31BC">
              <w:rPr>
                <w:spacing w:val="-6"/>
                <w:w w:val="110"/>
                <w:szCs w:val="22"/>
              </w:rPr>
              <w:t>5.069</w:t>
            </w:r>
          </w:p>
        </w:tc>
        <w:tc>
          <w:tcPr>
            <w:tcW w:w="1171" w:type="dxa"/>
            <w:shd w:val="clear" w:color="auto" w:fill="D0CECE" w:themeFill="background2" w:themeFillShade="E6"/>
            <w:noWrap/>
            <w:vAlign w:val="center"/>
            <w:hideMark/>
          </w:tcPr>
          <w:p w14:paraId="4DFB8526" w14:textId="77777777" w:rsidR="008C3A64" w:rsidRPr="005A31BC" w:rsidRDefault="008C3A64" w:rsidP="00FF1F9A">
            <w:pPr>
              <w:jc w:val="right"/>
              <w:rPr>
                <w:spacing w:val="-6"/>
                <w:szCs w:val="22"/>
                <w:lang w:eastAsia="es-MX"/>
              </w:rPr>
            </w:pPr>
            <w:r w:rsidRPr="005A31BC">
              <w:rPr>
                <w:color w:val="161616"/>
                <w:spacing w:val="-6"/>
                <w:w w:val="105"/>
                <w:szCs w:val="22"/>
              </w:rPr>
              <w:t>1</w:t>
            </w:r>
            <w:r w:rsidRPr="005A31BC">
              <w:rPr>
                <w:color w:val="606060"/>
                <w:spacing w:val="-6"/>
                <w:w w:val="105"/>
                <w:szCs w:val="22"/>
              </w:rPr>
              <w:t>,</w:t>
            </w:r>
            <w:r w:rsidRPr="005A31BC">
              <w:rPr>
                <w:spacing w:val="-6"/>
                <w:w w:val="105"/>
                <w:szCs w:val="22"/>
              </w:rPr>
              <w:t>4</w:t>
            </w:r>
          </w:p>
        </w:tc>
      </w:tr>
      <w:tr w:rsidR="008C3A64" w:rsidRPr="005A31BC" w14:paraId="44B6267F" w14:textId="77777777" w:rsidTr="00CC67C0">
        <w:trPr>
          <w:trHeight w:val="397"/>
          <w:jc w:val="center"/>
        </w:trPr>
        <w:tc>
          <w:tcPr>
            <w:tcW w:w="2249" w:type="dxa"/>
            <w:shd w:val="clear" w:color="auto" w:fill="auto"/>
            <w:vAlign w:val="center"/>
            <w:hideMark/>
          </w:tcPr>
          <w:p w14:paraId="59C005A3" w14:textId="77777777" w:rsidR="008C3A64" w:rsidRPr="005A31BC" w:rsidRDefault="008C3A64" w:rsidP="00FF1F9A">
            <w:pPr>
              <w:jc w:val="right"/>
              <w:rPr>
                <w:color w:val="000000"/>
                <w:spacing w:val="-6"/>
                <w:szCs w:val="22"/>
                <w:lang w:eastAsia="es-MX"/>
              </w:rPr>
            </w:pPr>
            <w:r w:rsidRPr="005A31BC">
              <w:rPr>
                <w:spacing w:val="-6"/>
                <w:szCs w:val="22"/>
                <w:lang w:eastAsia="es-MX"/>
              </w:rPr>
              <w:t>4  San C1istóbal</w:t>
            </w:r>
          </w:p>
        </w:tc>
        <w:tc>
          <w:tcPr>
            <w:tcW w:w="1276" w:type="dxa"/>
            <w:shd w:val="clear" w:color="auto" w:fill="auto"/>
            <w:noWrap/>
            <w:vAlign w:val="center"/>
            <w:hideMark/>
          </w:tcPr>
          <w:p w14:paraId="36A51A3A" w14:textId="77777777" w:rsidR="008C3A64" w:rsidRPr="005A31BC" w:rsidRDefault="008C3A64" w:rsidP="00FF1F9A">
            <w:pPr>
              <w:jc w:val="right"/>
              <w:rPr>
                <w:spacing w:val="-6"/>
                <w:szCs w:val="22"/>
                <w:lang w:eastAsia="es-MX"/>
              </w:rPr>
            </w:pPr>
            <w:r w:rsidRPr="005A31BC">
              <w:rPr>
                <w:color w:val="161616"/>
                <w:spacing w:val="-6"/>
                <w:w w:val="110"/>
                <w:szCs w:val="22"/>
              </w:rPr>
              <w:t>12.151</w:t>
            </w:r>
          </w:p>
        </w:tc>
        <w:tc>
          <w:tcPr>
            <w:tcW w:w="992" w:type="dxa"/>
            <w:shd w:val="clear" w:color="auto" w:fill="auto"/>
            <w:noWrap/>
            <w:vAlign w:val="center"/>
            <w:hideMark/>
          </w:tcPr>
          <w:p w14:paraId="76EBFF01" w14:textId="77777777" w:rsidR="008C3A64" w:rsidRPr="005A31BC" w:rsidRDefault="008C3A64" w:rsidP="00FF1F9A">
            <w:pPr>
              <w:jc w:val="right"/>
              <w:rPr>
                <w:spacing w:val="-6"/>
                <w:szCs w:val="22"/>
                <w:lang w:eastAsia="es-MX"/>
              </w:rPr>
            </w:pPr>
            <w:r w:rsidRPr="005A31BC">
              <w:rPr>
                <w:spacing w:val="-6"/>
                <w:w w:val="105"/>
                <w:szCs w:val="22"/>
              </w:rPr>
              <w:t>55</w:t>
            </w:r>
            <w:r w:rsidRPr="005A31BC">
              <w:rPr>
                <w:color w:val="606060"/>
                <w:spacing w:val="-6"/>
                <w:w w:val="105"/>
                <w:szCs w:val="22"/>
              </w:rPr>
              <w:t>,</w:t>
            </w:r>
            <w:r w:rsidRPr="005A31BC">
              <w:rPr>
                <w:spacing w:val="-6"/>
                <w:w w:val="105"/>
                <w:szCs w:val="22"/>
              </w:rPr>
              <w:t>5</w:t>
            </w:r>
          </w:p>
        </w:tc>
        <w:tc>
          <w:tcPr>
            <w:tcW w:w="1134" w:type="dxa"/>
            <w:shd w:val="clear" w:color="auto" w:fill="auto"/>
            <w:noWrap/>
            <w:vAlign w:val="center"/>
            <w:hideMark/>
          </w:tcPr>
          <w:p w14:paraId="56A2C4B2" w14:textId="77777777" w:rsidR="008C3A64" w:rsidRPr="005A31BC" w:rsidRDefault="008C3A64" w:rsidP="00FF1F9A">
            <w:pPr>
              <w:jc w:val="right"/>
              <w:rPr>
                <w:spacing w:val="-6"/>
                <w:szCs w:val="22"/>
                <w:lang w:eastAsia="es-MX"/>
              </w:rPr>
            </w:pPr>
            <w:r w:rsidRPr="005A31BC">
              <w:rPr>
                <w:spacing w:val="-6"/>
                <w:w w:val="110"/>
                <w:szCs w:val="22"/>
              </w:rPr>
              <w:t>9.736</w:t>
            </w:r>
          </w:p>
        </w:tc>
        <w:tc>
          <w:tcPr>
            <w:tcW w:w="870" w:type="dxa"/>
            <w:shd w:val="clear" w:color="auto" w:fill="auto"/>
            <w:vAlign w:val="center"/>
            <w:hideMark/>
          </w:tcPr>
          <w:p w14:paraId="3D60B9E7" w14:textId="77777777" w:rsidR="008C3A64" w:rsidRPr="005A31BC" w:rsidRDefault="008C3A64" w:rsidP="00FF1F9A">
            <w:pPr>
              <w:jc w:val="right"/>
              <w:rPr>
                <w:spacing w:val="-6"/>
                <w:szCs w:val="22"/>
                <w:lang w:eastAsia="es-MX"/>
              </w:rPr>
            </w:pPr>
            <w:r w:rsidRPr="005A31BC">
              <w:rPr>
                <w:spacing w:val="-6"/>
                <w:w w:val="110"/>
                <w:szCs w:val="22"/>
              </w:rPr>
              <w:t>44,5</w:t>
            </w:r>
          </w:p>
        </w:tc>
        <w:tc>
          <w:tcPr>
            <w:tcW w:w="1134" w:type="dxa"/>
            <w:shd w:val="clear" w:color="auto" w:fill="D0CECE" w:themeFill="background2" w:themeFillShade="E6"/>
            <w:noWrap/>
            <w:vAlign w:val="center"/>
            <w:hideMark/>
          </w:tcPr>
          <w:p w14:paraId="42C8B992" w14:textId="77777777" w:rsidR="008C3A64" w:rsidRPr="005A31BC" w:rsidRDefault="008C3A64" w:rsidP="00FF1F9A">
            <w:pPr>
              <w:jc w:val="right"/>
              <w:rPr>
                <w:spacing w:val="-6"/>
                <w:szCs w:val="22"/>
                <w:lang w:eastAsia="es-MX"/>
              </w:rPr>
            </w:pPr>
            <w:r w:rsidRPr="005A31BC">
              <w:rPr>
                <w:spacing w:val="-6"/>
                <w:w w:val="110"/>
                <w:szCs w:val="22"/>
              </w:rPr>
              <w:t>21.887</w:t>
            </w:r>
          </w:p>
        </w:tc>
        <w:tc>
          <w:tcPr>
            <w:tcW w:w="1171" w:type="dxa"/>
            <w:shd w:val="clear" w:color="auto" w:fill="D0CECE" w:themeFill="background2" w:themeFillShade="E6"/>
            <w:vAlign w:val="center"/>
            <w:hideMark/>
          </w:tcPr>
          <w:p w14:paraId="2983EA09" w14:textId="77777777" w:rsidR="008C3A64" w:rsidRPr="005A31BC" w:rsidRDefault="008C3A64" w:rsidP="00FF1F9A">
            <w:pPr>
              <w:jc w:val="right"/>
              <w:rPr>
                <w:spacing w:val="-6"/>
                <w:szCs w:val="22"/>
                <w:lang w:eastAsia="es-MX"/>
              </w:rPr>
            </w:pPr>
            <w:r w:rsidRPr="005A31BC">
              <w:rPr>
                <w:spacing w:val="-6"/>
                <w:w w:val="105"/>
                <w:szCs w:val="22"/>
              </w:rPr>
              <w:t>6</w:t>
            </w:r>
            <w:r w:rsidRPr="005A31BC">
              <w:rPr>
                <w:color w:val="606060"/>
                <w:spacing w:val="-6"/>
                <w:w w:val="105"/>
                <w:szCs w:val="22"/>
              </w:rPr>
              <w:t>,</w:t>
            </w:r>
            <w:r w:rsidRPr="005A31BC">
              <w:rPr>
                <w:spacing w:val="-6"/>
                <w:w w:val="105"/>
                <w:szCs w:val="22"/>
              </w:rPr>
              <w:t>2</w:t>
            </w:r>
          </w:p>
        </w:tc>
      </w:tr>
      <w:tr w:rsidR="008C3A64" w:rsidRPr="005A31BC" w14:paraId="340B97D4" w14:textId="77777777" w:rsidTr="00CC67C0">
        <w:trPr>
          <w:trHeight w:val="397"/>
          <w:jc w:val="center"/>
        </w:trPr>
        <w:tc>
          <w:tcPr>
            <w:tcW w:w="2249" w:type="dxa"/>
            <w:shd w:val="clear" w:color="auto" w:fill="auto"/>
            <w:vAlign w:val="center"/>
            <w:hideMark/>
          </w:tcPr>
          <w:p w14:paraId="1AEFBE11" w14:textId="77777777" w:rsidR="008C3A64" w:rsidRPr="005A31BC" w:rsidRDefault="008C3A64" w:rsidP="00FF1F9A">
            <w:pPr>
              <w:jc w:val="right"/>
              <w:rPr>
                <w:color w:val="000000"/>
                <w:spacing w:val="-6"/>
                <w:szCs w:val="22"/>
                <w:lang w:eastAsia="es-MX"/>
              </w:rPr>
            </w:pPr>
            <w:r w:rsidRPr="005A31BC">
              <w:rPr>
                <w:spacing w:val="-6"/>
                <w:szCs w:val="22"/>
                <w:lang w:eastAsia="es-MX"/>
              </w:rPr>
              <w:t>5  Usme</w:t>
            </w:r>
          </w:p>
        </w:tc>
        <w:tc>
          <w:tcPr>
            <w:tcW w:w="1276" w:type="dxa"/>
            <w:shd w:val="clear" w:color="auto" w:fill="auto"/>
            <w:noWrap/>
            <w:vAlign w:val="center"/>
            <w:hideMark/>
          </w:tcPr>
          <w:p w14:paraId="7A5B432D" w14:textId="77777777" w:rsidR="008C3A64" w:rsidRPr="005A31BC" w:rsidRDefault="008C3A64" w:rsidP="00FF1F9A">
            <w:pPr>
              <w:jc w:val="right"/>
              <w:rPr>
                <w:color w:val="3B3B3B"/>
                <w:spacing w:val="-6"/>
                <w:szCs w:val="22"/>
                <w:lang w:eastAsia="es-MX"/>
              </w:rPr>
            </w:pPr>
            <w:r w:rsidRPr="005A31BC">
              <w:rPr>
                <w:color w:val="161616"/>
                <w:spacing w:val="-6"/>
                <w:w w:val="110"/>
                <w:szCs w:val="22"/>
              </w:rPr>
              <w:t>11.396</w:t>
            </w:r>
          </w:p>
        </w:tc>
        <w:tc>
          <w:tcPr>
            <w:tcW w:w="992" w:type="dxa"/>
            <w:shd w:val="clear" w:color="auto" w:fill="auto"/>
            <w:noWrap/>
            <w:vAlign w:val="center"/>
            <w:hideMark/>
          </w:tcPr>
          <w:p w14:paraId="1A2D0D9C" w14:textId="77777777" w:rsidR="008C3A64" w:rsidRPr="005A31BC" w:rsidRDefault="008C3A64" w:rsidP="00FF1F9A">
            <w:pPr>
              <w:jc w:val="right"/>
              <w:rPr>
                <w:color w:val="3B3B3B"/>
                <w:spacing w:val="-6"/>
                <w:szCs w:val="22"/>
                <w:lang w:eastAsia="es-MX"/>
              </w:rPr>
            </w:pPr>
            <w:r w:rsidRPr="005A31BC">
              <w:rPr>
                <w:spacing w:val="-6"/>
                <w:w w:val="105"/>
                <w:szCs w:val="22"/>
              </w:rPr>
              <w:t>54</w:t>
            </w:r>
            <w:r w:rsidRPr="005A31BC">
              <w:rPr>
                <w:color w:val="606060"/>
                <w:spacing w:val="-6"/>
                <w:w w:val="105"/>
                <w:szCs w:val="22"/>
              </w:rPr>
              <w:t>,</w:t>
            </w:r>
            <w:r w:rsidRPr="005A31BC">
              <w:rPr>
                <w:color w:val="444444"/>
                <w:spacing w:val="-6"/>
                <w:w w:val="105"/>
                <w:szCs w:val="22"/>
              </w:rPr>
              <w:t>7</w:t>
            </w:r>
          </w:p>
        </w:tc>
        <w:tc>
          <w:tcPr>
            <w:tcW w:w="1134" w:type="dxa"/>
            <w:shd w:val="clear" w:color="auto" w:fill="auto"/>
            <w:noWrap/>
            <w:vAlign w:val="center"/>
            <w:hideMark/>
          </w:tcPr>
          <w:p w14:paraId="4D6FE1AD" w14:textId="77777777" w:rsidR="008C3A64" w:rsidRPr="005A31BC" w:rsidRDefault="008C3A64" w:rsidP="00FF1F9A">
            <w:pPr>
              <w:jc w:val="right"/>
              <w:rPr>
                <w:spacing w:val="-6"/>
                <w:szCs w:val="22"/>
                <w:lang w:eastAsia="es-MX"/>
              </w:rPr>
            </w:pPr>
            <w:r w:rsidRPr="005A31BC">
              <w:rPr>
                <w:spacing w:val="-6"/>
                <w:w w:val="110"/>
                <w:szCs w:val="22"/>
              </w:rPr>
              <w:t>9.433</w:t>
            </w:r>
          </w:p>
        </w:tc>
        <w:tc>
          <w:tcPr>
            <w:tcW w:w="870" w:type="dxa"/>
            <w:shd w:val="clear" w:color="auto" w:fill="auto"/>
            <w:noWrap/>
            <w:vAlign w:val="center"/>
            <w:hideMark/>
          </w:tcPr>
          <w:p w14:paraId="5831990A" w14:textId="77777777" w:rsidR="008C3A64" w:rsidRPr="005A31BC" w:rsidRDefault="008C3A64" w:rsidP="00FF1F9A">
            <w:pPr>
              <w:jc w:val="right"/>
              <w:rPr>
                <w:spacing w:val="-6"/>
                <w:szCs w:val="22"/>
                <w:lang w:eastAsia="es-MX"/>
              </w:rPr>
            </w:pPr>
            <w:r w:rsidRPr="005A31BC">
              <w:rPr>
                <w:spacing w:val="-6"/>
                <w:w w:val="110"/>
                <w:szCs w:val="22"/>
              </w:rPr>
              <w:t>45,3</w:t>
            </w:r>
          </w:p>
        </w:tc>
        <w:tc>
          <w:tcPr>
            <w:tcW w:w="1134" w:type="dxa"/>
            <w:shd w:val="clear" w:color="auto" w:fill="D0CECE" w:themeFill="background2" w:themeFillShade="E6"/>
            <w:noWrap/>
            <w:vAlign w:val="center"/>
            <w:hideMark/>
          </w:tcPr>
          <w:p w14:paraId="01C903C1" w14:textId="77777777" w:rsidR="008C3A64" w:rsidRPr="005A31BC" w:rsidRDefault="008C3A64" w:rsidP="00FF1F9A">
            <w:pPr>
              <w:jc w:val="right"/>
              <w:rPr>
                <w:spacing w:val="-6"/>
                <w:szCs w:val="22"/>
                <w:lang w:eastAsia="es-MX"/>
              </w:rPr>
            </w:pPr>
            <w:r w:rsidRPr="005A31BC">
              <w:rPr>
                <w:spacing w:val="-6"/>
                <w:w w:val="110"/>
                <w:szCs w:val="22"/>
              </w:rPr>
              <w:t>20.829</w:t>
            </w:r>
          </w:p>
        </w:tc>
        <w:tc>
          <w:tcPr>
            <w:tcW w:w="1171" w:type="dxa"/>
            <w:shd w:val="clear" w:color="auto" w:fill="D0CECE" w:themeFill="background2" w:themeFillShade="E6"/>
            <w:noWrap/>
            <w:vAlign w:val="center"/>
            <w:hideMark/>
          </w:tcPr>
          <w:p w14:paraId="17A1C4E7" w14:textId="77777777" w:rsidR="008C3A64" w:rsidRPr="005A31BC" w:rsidRDefault="008C3A64" w:rsidP="00FF1F9A">
            <w:pPr>
              <w:jc w:val="right"/>
              <w:rPr>
                <w:spacing w:val="-6"/>
                <w:szCs w:val="22"/>
                <w:lang w:eastAsia="es-MX"/>
              </w:rPr>
            </w:pPr>
            <w:r w:rsidRPr="005A31BC">
              <w:rPr>
                <w:spacing w:val="-6"/>
                <w:w w:val="105"/>
                <w:szCs w:val="22"/>
              </w:rPr>
              <w:t>5</w:t>
            </w:r>
            <w:r w:rsidRPr="005A31BC">
              <w:rPr>
                <w:color w:val="606060"/>
                <w:spacing w:val="-6"/>
                <w:w w:val="105"/>
                <w:szCs w:val="22"/>
              </w:rPr>
              <w:t>,</w:t>
            </w:r>
            <w:r w:rsidRPr="005A31BC">
              <w:rPr>
                <w:spacing w:val="-6"/>
                <w:w w:val="105"/>
                <w:szCs w:val="22"/>
              </w:rPr>
              <w:t>9</w:t>
            </w:r>
          </w:p>
        </w:tc>
      </w:tr>
      <w:tr w:rsidR="008C3A64" w:rsidRPr="005A31BC" w14:paraId="6A0512AD" w14:textId="77777777" w:rsidTr="00CC67C0">
        <w:trPr>
          <w:trHeight w:val="397"/>
          <w:jc w:val="center"/>
        </w:trPr>
        <w:tc>
          <w:tcPr>
            <w:tcW w:w="2249" w:type="dxa"/>
            <w:shd w:val="clear" w:color="auto" w:fill="auto"/>
            <w:vAlign w:val="center"/>
            <w:hideMark/>
          </w:tcPr>
          <w:p w14:paraId="3BCC7C8D" w14:textId="77777777" w:rsidR="008C3A64" w:rsidRPr="005A31BC" w:rsidRDefault="008C3A64" w:rsidP="00FF1F9A">
            <w:pPr>
              <w:jc w:val="right"/>
              <w:rPr>
                <w:color w:val="000000"/>
                <w:spacing w:val="-6"/>
                <w:szCs w:val="22"/>
                <w:lang w:eastAsia="es-MX"/>
              </w:rPr>
            </w:pPr>
            <w:r w:rsidRPr="005A31BC">
              <w:rPr>
                <w:spacing w:val="-6"/>
                <w:szCs w:val="22"/>
                <w:lang w:eastAsia="es-MX"/>
              </w:rPr>
              <w:t xml:space="preserve">6  </w:t>
            </w:r>
            <w:r w:rsidRPr="005A31BC">
              <w:rPr>
                <w:color w:val="3B3B3B"/>
                <w:spacing w:val="-6"/>
                <w:szCs w:val="22"/>
                <w:lang w:eastAsia="es-MX"/>
              </w:rPr>
              <w:t>Tunjuelito</w:t>
            </w:r>
          </w:p>
        </w:tc>
        <w:tc>
          <w:tcPr>
            <w:tcW w:w="1276" w:type="dxa"/>
            <w:shd w:val="clear" w:color="auto" w:fill="auto"/>
            <w:noWrap/>
            <w:vAlign w:val="center"/>
            <w:hideMark/>
          </w:tcPr>
          <w:p w14:paraId="2ED31393" w14:textId="77777777" w:rsidR="008C3A64" w:rsidRPr="005A31BC" w:rsidRDefault="008C3A64" w:rsidP="00FF1F9A">
            <w:pPr>
              <w:jc w:val="right"/>
              <w:rPr>
                <w:color w:val="3B3B3B"/>
                <w:spacing w:val="-6"/>
                <w:szCs w:val="22"/>
                <w:lang w:eastAsia="es-MX"/>
              </w:rPr>
            </w:pPr>
            <w:r w:rsidRPr="005A31BC">
              <w:rPr>
                <w:spacing w:val="-6"/>
                <w:w w:val="110"/>
                <w:szCs w:val="22"/>
              </w:rPr>
              <w:t>4.601</w:t>
            </w:r>
          </w:p>
        </w:tc>
        <w:tc>
          <w:tcPr>
            <w:tcW w:w="992" w:type="dxa"/>
            <w:shd w:val="clear" w:color="auto" w:fill="auto"/>
            <w:vAlign w:val="center"/>
            <w:hideMark/>
          </w:tcPr>
          <w:p w14:paraId="72A2CCE2" w14:textId="77777777" w:rsidR="008C3A64" w:rsidRPr="005A31BC" w:rsidRDefault="008C3A64" w:rsidP="00FF1F9A">
            <w:pPr>
              <w:jc w:val="right"/>
              <w:rPr>
                <w:spacing w:val="-6"/>
                <w:szCs w:val="22"/>
                <w:lang w:eastAsia="es-MX"/>
              </w:rPr>
            </w:pPr>
            <w:r w:rsidRPr="005A31BC">
              <w:rPr>
                <w:spacing w:val="-6"/>
                <w:w w:val="105"/>
                <w:szCs w:val="22"/>
              </w:rPr>
              <w:t>52</w:t>
            </w:r>
            <w:r w:rsidRPr="005A31BC">
              <w:rPr>
                <w:color w:val="606060"/>
                <w:spacing w:val="-6"/>
                <w:w w:val="105"/>
                <w:szCs w:val="22"/>
              </w:rPr>
              <w:t>,</w:t>
            </w:r>
            <w:r w:rsidRPr="005A31BC">
              <w:rPr>
                <w:color w:val="444444"/>
                <w:spacing w:val="-6"/>
                <w:w w:val="105"/>
                <w:szCs w:val="22"/>
              </w:rPr>
              <w:t>3</w:t>
            </w:r>
          </w:p>
        </w:tc>
        <w:tc>
          <w:tcPr>
            <w:tcW w:w="1134" w:type="dxa"/>
            <w:shd w:val="clear" w:color="auto" w:fill="auto"/>
            <w:noWrap/>
            <w:vAlign w:val="center"/>
            <w:hideMark/>
          </w:tcPr>
          <w:p w14:paraId="6A9AFC2D" w14:textId="77777777" w:rsidR="008C3A64" w:rsidRPr="005A31BC" w:rsidRDefault="008C3A64" w:rsidP="00FF1F9A">
            <w:pPr>
              <w:jc w:val="right"/>
              <w:rPr>
                <w:spacing w:val="-6"/>
                <w:szCs w:val="22"/>
                <w:lang w:eastAsia="es-MX"/>
              </w:rPr>
            </w:pPr>
            <w:r w:rsidRPr="005A31BC">
              <w:rPr>
                <w:spacing w:val="-6"/>
                <w:w w:val="110"/>
                <w:szCs w:val="22"/>
              </w:rPr>
              <w:t>4.190</w:t>
            </w:r>
          </w:p>
        </w:tc>
        <w:tc>
          <w:tcPr>
            <w:tcW w:w="870" w:type="dxa"/>
            <w:shd w:val="clear" w:color="auto" w:fill="auto"/>
            <w:vAlign w:val="center"/>
            <w:hideMark/>
          </w:tcPr>
          <w:p w14:paraId="56C930C6" w14:textId="77777777" w:rsidR="008C3A64" w:rsidRPr="005A31BC" w:rsidRDefault="008C3A64" w:rsidP="00FF1F9A">
            <w:pPr>
              <w:jc w:val="right"/>
              <w:rPr>
                <w:spacing w:val="-6"/>
                <w:szCs w:val="22"/>
                <w:lang w:eastAsia="es-MX"/>
              </w:rPr>
            </w:pPr>
            <w:r w:rsidRPr="005A31BC">
              <w:rPr>
                <w:spacing w:val="-6"/>
                <w:w w:val="105"/>
                <w:szCs w:val="22"/>
              </w:rPr>
              <w:t>47</w:t>
            </w:r>
            <w:r w:rsidRPr="005A31BC">
              <w:rPr>
                <w:color w:val="606060"/>
                <w:spacing w:val="-6"/>
                <w:w w:val="105"/>
                <w:szCs w:val="22"/>
              </w:rPr>
              <w:t>,</w:t>
            </w:r>
            <w:r w:rsidRPr="005A31BC">
              <w:rPr>
                <w:color w:val="444444"/>
                <w:spacing w:val="-6"/>
                <w:w w:val="105"/>
                <w:szCs w:val="22"/>
              </w:rPr>
              <w:t>7</w:t>
            </w:r>
          </w:p>
        </w:tc>
        <w:tc>
          <w:tcPr>
            <w:tcW w:w="1134" w:type="dxa"/>
            <w:shd w:val="clear" w:color="auto" w:fill="D0CECE" w:themeFill="background2" w:themeFillShade="E6"/>
            <w:noWrap/>
            <w:vAlign w:val="center"/>
            <w:hideMark/>
          </w:tcPr>
          <w:p w14:paraId="7F610161" w14:textId="77777777" w:rsidR="008C3A64" w:rsidRPr="005A31BC" w:rsidRDefault="008C3A64" w:rsidP="00FF1F9A">
            <w:pPr>
              <w:jc w:val="right"/>
              <w:rPr>
                <w:spacing w:val="-6"/>
                <w:szCs w:val="22"/>
                <w:lang w:eastAsia="es-MX"/>
              </w:rPr>
            </w:pPr>
            <w:r w:rsidRPr="005A31BC">
              <w:rPr>
                <w:spacing w:val="-6"/>
                <w:w w:val="110"/>
                <w:szCs w:val="22"/>
              </w:rPr>
              <w:t>8.791</w:t>
            </w:r>
          </w:p>
        </w:tc>
        <w:tc>
          <w:tcPr>
            <w:tcW w:w="1171" w:type="dxa"/>
            <w:shd w:val="clear" w:color="auto" w:fill="D0CECE" w:themeFill="background2" w:themeFillShade="E6"/>
            <w:noWrap/>
            <w:vAlign w:val="center"/>
            <w:hideMark/>
          </w:tcPr>
          <w:p w14:paraId="477EE431" w14:textId="77777777" w:rsidR="008C3A64" w:rsidRPr="005A31BC" w:rsidRDefault="008C3A64" w:rsidP="00FF1F9A">
            <w:pPr>
              <w:jc w:val="right"/>
              <w:rPr>
                <w:spacing w:val="-6"/>
                <w:szCs w:val="22"/>
                <w:lang w:eastAsia="es-MX"/>
              </w:rPr>
            </w:pPr>
            <w:r w:rsidRPr="005A31BC">
              <w:rPr>
                <w:spacing w:val="-6"/>
                <w:w w:val="105"/>
                <w:szCs w:val="22"/>
              </w:rPr>
              <w:t>2</w:t>
            </w:r>
            <w:r w:rsidRPr="005A31BC">
              <w:rPr>
                <w:color w:val="606060"/>
                <w:spacing w:val="-6"/>
                <w:w w:val="105"/>
                <w:szCs w:val="22"/>
              </w:rPr>
              <w:t>,</w:t>
            </w:r>
            <w:r w:rsidRPr="005A31BC">
              <w:rPr>
                <w:spacing w:val="-6"/>
                <w:w w:val="105"/>
                <w:szCs w:val="22"/>
              </w:rPr>
              <w:t>5</w:t>
            </w:r>
          </w:p>
        </w:tc>
      </w:tr>
      <w:tr w:rsidR="008C3A64" w:rsidRPr="005A31BC" w14:paraId="391DE163" w14:textId="77777777" w:rsidTr="00CC67C0">
        <w:trPr>
          <w:trHeight w:val="397"/>
          <w:jc w:val="center"/>
        </w:trPr>
        <w:tc>
          <w:tcPr>
            <w:tcW w:w="2249" w:type="dxa"/>
            <w:shd w:val="clear" w:color="auto" w:fill="auto"/>
            <w:vAlign w:val="center"/>
            <w:hideMark/>
          </w:tcPr>
          <w:p w14:paraId="5FAA5FBF" w14:textId="77777777" w:rsidR="008C3A64" w:rsidRPr="005A31BC" w:rsidRDefault="008C3A64" w:rsidP="00FF1F9A">
            <w:pPr>
              <w:jc w:val="right"/>
              <w:rPr>
                <w:color w:val="000000"/>
                <w:spacing w:val="-6"/>
                <w:szCs w:val="22"/>
                <w:lang w:eastAsia="es-MX"/>
              </w:rPr>
            </w:pPr>
            <w:r w:rsidRPr="005A31BC">
              <w:rPr>
                <w:color w:val="646464"/>
                <w:spacing w:val="-6"/>
                <w:szCs w:val="22"/>
                <w:lang w:eastAsia="es-MX"/>
              </w:rPr>
              <w:t xml:space="preserve">7  </w:t>
            </w:r>
            <w:r w:rsidRPr="005A31BC">
              <w:rPr>
                <w:color w:val="3B3B3B"/>
                <w:spacing w:val="-6"/>
                <w:szCs w:val="22"/>
                <w:lang w:eastAsia="es-MX"/>
              </w:rPr>
              <w:t>Bosa</w:t>
            </w:r>
          </w:p>
        </w:tc>
        <w:tc>
          <w:tcPr>
            <w:tcW w:w="1276" w:type="dxa"/>
            <w:shd w:val="clear" w:color="auto" w:fill="auto"/>
            <w:noWrap/>
            <w:vAlign w:val="center"/>
            <w:hideMark/>
          </w:tcPr>
          <w:p w14:paraId="2628079E" w14:textId="77777777" w:rsidR="008C3A64" w:rsidRPr="005A31BC" w:rsidRDefault="008C3A64" w:rsidP="00FF1F9A">
            <w:pPr>
              <w:jc w:val="right"/>
              <w:rPr>
                <w:spacing w:val="-6"/>
                <w:szCs w:val="22"/>
                <w:lang w:eastAsia="es-MX"/>
              </w:rPr>
            </w:pPr>
            <w:r w:rsidRPr="005A31BC">
              <w:rPr>
                <w:color w:val="444444"/>
                <w:spacing w:val="-6"/>
                <w:w w:val="110"/>
                <w:szCs w:val="22"/>
              </w:rPr>
              <w:t>35.</w:t>
            </w:r>
            <w:r w:rsidRPr="005A31BC">
              <w:rPr>
                <w:color w:val="161616"/>
                <w:spacing w:val="-6"/>
                <w:w w:val="110"/>
                <w:szCs w:val="22"/>
              </w:rPr>
              <w:t>1</w:t>
            </w:r>
            <w:r w:rsidRPr="005A31BC">
              <w:rPr>
                <w:spacing w:val="-6"/>
                <w:w w:val="110"/>
                <w:szCs w:val="22"/>
              </w:rPr>
              <w:t>95</w:t>
            </w:r>
          </w:p>
        </w:tc>
        <w:tc>
          <w:tcPr>
            <w:tcW w:w="992" w:type="dxa"/>
            <w:shd w:val="clear" w:color="auto" w:fill="auto"/>
            <w:noWrap/>
            <w:vAlign w:val="center"/>
            <w:hideMark/>
          </w:tcPr>
          <w:p w14:paraId="68B8FB15" w14:textId="77777777" w:rsidR="008C3A64" w:rsidRPr="005A31BC" w:rsidRDefault="008C3A64" w:rsidP="00FF1F9A">
            <w:pPr>
              <w:jc w:val="right"/>
              <w:rPr>
                <w:color w:val="3B3B3B"/>
                <w:spacing w:val="-6"/>
                <w:szCs w:val="22"/>
                <w:lang w:eastAsia="es-MX"/>
              </w:rPr>
            </w:pPr>
            <w:r w:rsidRPr="005A31BC">
              <w:rPr>
                <w:spacing w:val="-6"/>
                <w:w w:val="105"/>
                <w:szCs w:val="22"/>
              </w:rPr>
              <w:t>55</w:t>
            </w:r>
            <w:r w:rsidRPr="005A31BC">
              <w:rPr>
                <w:color w:val="606060"/>
                <w:spacing w:val="-6"/>
                <w:w w:val="105"/>
                <w:szCs w:val="22"/>
              </w:rPr>
              <w:t>,</w:t>
            </w:r>
            <w:r w:rsidRPr="005A31BC">
              <w:rPr>
                <w:color w:val="444444"/>
                <w:spacing w:val="-6"/>
                <w:w w:val="105"/>
                <w:szCs w:val="22"/>
              </w:rPr>
              <w:t>3</w:t>
            </w:r>
          </w:p>
        </w:tc>
        <w:tc>
          <w:tcPr>
            <w:tcW w:w="1134" w:type="dxa"/>
            <w:shd w:val="clear" w:color="auto" w:fill="auto"/>
            <w:noWrap/>
            <w:vAlign w:val="center"/>
            <w:hideMark/>
          </w:tcPr>
          <w:p w14:paraId="1B8547CC" w14:textId="77777777" w:rsidR="008C3A64" w:rsidRPr="005A31BC" w:rsidRDefault="008C3A64" w:rsidP="00FF1F9A">
            <w:pPr>
              <w:jc w:val="right"/>
              <w:rPr>
                <w:spacing w:val="-6"/>
                <w:szCs w:val="22"/>
                <w:lang w:eastAsia="es-MX"/>
              </w:rPr>
            </w:pPr>
            <w:r w:rsidRPr="005A31BC">
              <w:rPr>
                <w:spacing w:val="-6"/>
                <w:w w:val="110"/>
                <w:szCs w:val="22"/>
              </w:rPr>
              <w:t>28.485</w:t>
            </w:r>
          </w:p>
        </w:tc>
        <w:tc>
          <w:tcPr>
            <w:tcW w:w="870" w:type="dxa"/>
            <w:shd w:val="clear" w:color="auto" w:fill="auto"/>
            <w:noWrap/>
            <w:vAlign w:val="center"/>
            <w:hideMark/>
          </w:tcPr>
          <w:p w14:paraId="6320178D" w14:textId="77777777" w:rsidR="008C3A64" w:rsidRPr="005A31BC" w:rsidRDefault="008C3A64" w:rsidP="00FF1F9A">
            <w:pPr>
              <w:jc w:val="right"/>
              <w:rPr>
                <w:spacing w:val="-6"/>
                <w:szCs w:val="22"/>
                <w:lang w:eastAsia="es-MX"/>
              </w:rPr>
            </w:pPr>
            <w:r w:rsidRPr="005A31BC">
              <w:rPr>
                <w:spacing w:val="-6"/>
                <w:w w:val="105"/>
                <w:szCs w:val="22"/>
              </w:rPr>
              <w:t>44</w:t>
            </w:r>
            <w:r w:rsidRPr="005A31BC">
              <w:rPr>
                <w:color w:val="606060"/>
                <w:spacing w:val="-6"/>
                <w:w w:val="105"/>
                <w:szCs w:val="22"/>
              </w:rPr>
              <w:t>,</w:t>
            </w:r>
            <w:r w:rsidRPr="005A31BC">
              <w:rPr>
                <w:color w:val="444444"/>
                <w:spacing w:val="-6"/>
                <w:w w:val="105"/>
                <w:szCs w:val="22"/>
              </w:rPr>
              <w:t>7</w:t>
            </w:r>
          </w:p>
        </w:tc>
        <w:tc>
          <w:tcPr>
            <w:tcW w:w="1134" w:type="dxa"/>
            <w:shd w:val="clear" w:color="auto" w:fill="D0CECE" w:themeFill="background2" w:themeFillShade="E6"/>
            <w:noWrap/>
            <w:vAlign w:val="center"/>
            <w:hideMark/>
          </w:tcPr>
          <w:p w14:paraId="61347023" w14:textId="77777777" w:rsidR="008C3A64" w:rsidRPr="005A31BC" w:rsidRDefault="008C3A64" w:rsidP="00FF1F9A">
            <w:pPr>
              <w:jc w:val="right"/>
              <w:rPr>
                <w:spacing w:val="-6"/>
                <w:szCs w:val="22"/>
                <w:lang w:eastAsia="es-MX"/>
              </w:rPr>
            </w:pPr>
            <w:r w:rsidRPr="005A31BC">
              <w:rPr>
                <w:spacing w:val="-6"/>
                <w:w w:val="110"/>
                <w:szCs w:val="22"/>
              </w:rPr>
              <w:t>63.680</w:t>
            </w:r>
          </w:p>
        </w:tc>
        <w:tc>
          <w:tcPr>
            <w:tcW w:w="1171" w:type="dxa"/>
            <w:shd w:val="clear" w:color="auto" w:fill="D0CECE" w:themeFill="background2" w:themeFillShade="E6"/>
            <w:noWrap/>
            <w:vAlign w:val="center"/>
            <w:hideMark/>
          </w:tcPr>
          <w:p w14:paraId="33BEC87B" w14:textId="77777777" w:rsidR="008C3A64" w:rsidRPr="005A31BC" w:rsidRDefault="008C3A64" w:rsidP="00FF1F9A">
            <w:pPr>
              <w:jc w:val="right"/>
              <w:rPr>
                <w:spacing w:val="-6"/>
                <w:szCs w:val="22"/>
                <w:lang w:eastAsia="es-MX"/>
              </w:rPr>
            </w:pPr>
            <w:r w:rsidRPr="005A31BC">
              <w:rPr>
                <w:color w:val="161616"/>
                <w:spacing w:val="-6"/>
                <w:w w:val="105"/>
                <w:szCs w:val="22"/>
              </w:rPr>
              <w:t>1</w:t>
            </w:r>
            <w:r w:rsidRPr="005A31BC">
              <w:rPr>
                <w:spacing w:val="-6"/>
                <w:w w:val="105"/>
                <w:szCs w:val="22"/>
              </w:rPr>
              <w:t>8</w:t>
            </w:r>
            <w:r w:rsidRPr="005A31BC">
              <w:rPr>
                <w:color w:val="606060"/>
                <w:spacing w:val="-6"/>
                <w:w w:val="105"/>
                <w:szCs w:val="22"/>
              </w:rPr>
              <w:t>,</w:t>
            </w:r>
            <w:r w:rsidRPr="005A31BC">
              <w:rPr>
                <w:spacing w:val="-6"/>
                <w:w w:val="105"/>
                <w:szCs w:val="22"/>
              </w:rPr>
              <w:t>0</w:t>
            </w:r>
          </w:p>
        </w:tc>
      </w:tr>
      <w:tr w:rsidR="008C3A64" w:rsidRPr="005A31BC" w14:paraId="3C18C589" w14:textId="77777777" w:rsidTr="00CC67C0">
        <w:trPr>
          <w:trHeight w:val="397"/>
          <w:jc w:val="center"/>
        </w:trPr>
        <w:tc>
          <w:tcPr>
            <w:tcW w:w="2249" w:type="dxa"/>
            <w:shd w:val="clear" w:color="auto" w:fill="auto"/>
            <w:vAlign w:val="center"/>
            <w:hideMark/>
          </w:tcPr>
          <w:p w14:paraId="4A5C707A" w14:textId="77777777" w:rsidR="008C3A64" w:rsidRPr="005A31BC" w:rsidRDefault="008C3A64" w:rsidP="00FF1F9A">
            <w:pPr>
              <w:jc w:val="right"/>
              <w:rPr>
                <w:color w:val="000000"/>
                <w:spacing w:val="-6"/>
                <w:szCs w:val="22"/>
                <w:lang w:eastAsia="es-MX"/>
              </w:rPr>
            </w:pPr>
            <w:r w:rsidRPr="005A31BC">
              <w:rPr>
                <w:spacing w:val="-6"/>
                <w:szCs w:val="22"/>
                <w:lang w:eastAsia="es-MX"/>
              </w:rPr>
              <w:t xml:space="preserve">8  </w:t>
            </w:r>
            <w:r w:rsidRPr="005A31BC">
              <w:rPr>
                <w:color w:val="3B3B3B"/>
                <w:spacing w:val="-6"/>
                <w:szCs w:val="22"/>
                <w:lang w:eastAsia="es-MX"/>
              </w:rPr>
              <w:t>Kennedy</w:t>
            </w:r>
          </w:p>
        </w:tc>
        <w:tc>
          <w:tcPr>
            <w:tcW w:w="1276" w:type="dxa"/>
            <w:shd w:val="clear" w:color="auto" w:fill="auto"/>
            <w:noWrap/>
            <w:vAlign w:val="center"/>
            <w:hideMark/>
          </w:tcPr>
          <w:p w14:paraId="5753C62B" w14:textId="77777777" w:rsidR="008C3A64" w:rsidRPr="005A31BC" w:rsidRDefault="008C3A64" w:rsidP="00FF1F9A">
            <w:pPr>
              <w:jc w:val="right"/>
              <w:rPr>
                <w:spacing w:val="-6"/>
                <w:szCs w:val="22"/>
                <w:lang w:eastAsia="es-MX"/>
              </w:rPr>
            </w:pPr>
            <w:r w:rsidRPr="005A31BC">
              <w:rPr>
                <w:spacing w:val="-6"/>
                <w:w w:val="110"/>
                <w:szCs w:val="22"/>
              </w:rPr>
              <w:t>23.318</w:t>
            </w:r>
          </w:p>
        </w:tc>
        <w:tc>
          <w:tcPr>
            <w:tcW w:w="992" w:type="dxa"/>
            <w:shd w:val="clear" w:color="auto" w:fill="auto"/>
            <w:noWrap/>
            <w:vAlign w:val="center"/>
            <w:hideMark/>
          </w:tcPr>
          <w:p w14:paraId="43E65542" w14:textId="77777777" w:rsidR="008C3A64" w:rsidRPr="005A31BC" w:rsidRDefault="008C3A64" w:rsidP="00FF1F9A">
            <w:pPr>
              <w:jc w:val="right"/>
              <w:rPr>
                <w:color w:val="3B3B3B"/>
                <w:spacing w:val="-6"/>
                <w:szCs w:val="22"/>
                <w:lang w:eastAsia="es-MX"/>
              </w:rPr>
            </w:pPr>
            <w:r w:rsidRPr="005A31BC">
              <w:rPr>
                <w:spacing w:val="-6"/>
                <w:w w:val="110"/>
                <w:szCs w:val="22"/>
              </w:rPr>
              <w:t>55</w:t>
            </w:r>
            <w:r w:rsidRPr="005A31BC">
              <w:rPr>
                <w:color w:val="606060"/>
                <w:spacing w:val="-6"/>
                <w:w w:val="110"/>
                <w:szCs w:val="22"/>
              </w:rPr>
              <w:t>,</w:t>
            </w:r>
            <w:r w:rsidRPr="005A31BC">
              <w:rPr>
                <w:spacing w:val="-6"/>
                <w:w w:val="110"/>
                <w:szCs w:val="22"/>
              </w:rPr>
              <w:t>6</w:t>
            </w:r>
          </w:p>
        </w:tc>
        <w:tc>
          <w:tcPr>
            <w:tcW w:w="1134" w:type="dxa"/>
            <w:shd w:val="clear" w:color="auto" w:fill="auto"/>
            <w:noWrap/>
            <w:vAlign w:val="center"/>
            <w:hideMark/>
          </w:tcPr>
          <w:p w14:paraId="7661A58E" w14:textId="77777777" w:rsidR="008C3A64" w:rsidRPr="005A31BC" w:rsidRDefault="008C3A64" w:rsidP="00FF1F9A">
            <w:pPr>
              <w:jc w:val="right"/>
              <w:rPr>
                <w:color w:val="3B3B3B"/>
                <w:spacing w:val="-6"/>
                <w:szCs w:val="22"/>
                <w:lang w:eastAsia="es-MX"/>
              </w:rPr>
            </w:pPr>
            <w:r w:rsidRPr="005A31BC">
              <w:rPr>
                <w:color w:val="161616"/>
                <w:spacing w:val="-6"/>
                <w:w w:val="110"/>
                <w:szCs w:val="22"/>
              </w:rPr>
              <w:t>18.615</w:t>
            </w:r>
          </w:p>
        </w:tc>
        <w:tc>
          <w:tcPr>
            <w:tcW w:w="870" w:type="dxa"/>
            <w:shd w:val="clear" w:color="auto" w:fill="auto"/>
            <w:vAlign w:val="center"/>
            <w:hideMark/>
          </w:tcPr>
          <w:p w14:paraId="1B193DF6" w14:textId="77777777" w:rsidR="008C3A64" w:rsidRPr="005A31BC" w:rsidRDefault="008C3A64" w:rsidP="00FF1F9A">
            <w:pPr>
              <w:jc w:val="right"/>
              <w:rPr>
                <w:color w:val="3B3B3B"/>
                <w:spacing w:val="-6"/>
                <w:szCs w:val="22"/>
                <w:lang w:eastAsia="es-MX"/>
              </w:rPr>
            </w:pPr>
            <w:r w:rsidRPr="005A31BC">
              <w:rPr>
                <w:spacing w:val="-6"/>
                <w:w w:val="105"/>
                <w:szCs w:val="22"/>
              </w:rPr>
              <w:t>44</w:t>
            </w:r>
            <w:r w:rsidRPr="005A31BC">
              <w:rPr>
                <w:color w:val="606060"/>
                <w:spacing w:val="-6"/>
                <w:w w:val="105"/>
                <w:szCs w:val="22"/>
              </w:rPr>
              <w:t>,</w:t>
            </w:r>
            <w:r w:rsidRPr="005A31BC">
              <w:rPr>
                <w:spacing w:val="-6"/>
                <w:w w:val="105"/>
                <w:szCs w:val="22"/>
              </w:rPr>
              <w:t>4</w:t>
            </w:r>
          </w:p>
        </w:tc>
        <w:tc>
          <w:tcPr>
            <w:tcW w:w="1134" w:type="dxa"/>
            <w:shd w:val="clear" w:color="auto" w:fill="D0CECE" w:themeFill="background2" w:themeFillShade="E6"/>
            <w:noWrap/>
            <w:vAlign w:val="center"/>
            <w:hideMark/>
          </w:tcPr>
          <w:p w14:paraId="326AC622" w14:textId="77777777" w:rsidR="008C3A64" w:rsidRPr="005A31BC" w:rsidRDefault="008C3A64" w:rsidP="00FF1F9A">
            <w:pPr>
              <w:jc w:val="right"/>
              <w:rPr>
                <w:color w:val="3B3B3B"/>
                <w:spacing w:val="-6"/>
                <w:szCs w:val="22"/>
                <w:lang w:eastAsia="es-MX"/>
              </w:rPr>
            </w:pPr>
            <w:r w:rsidRPr="005A31BC">
              <w:rPr>
                <w:spacing w:val="-6"/>
                <w:w w:val="110"/>
                <w:szCs w:val="22"/>
              </w:rPr>
              <w:t>41.933</w:t>
            </w:r>
          </w:p>
        </w:tc>
        <w:tc>
          <w:tcPr>
            <w:tcW w:w="1171" w:type="dxa"/>
            <w:shd w:val="clear" w:color="auto" w:fill="D0CECE" w:themeFill="background2" w:themeFillShade="E6"/>
            <w:noWrap/>
            <w:vAlign w:val="center"/>
            <w:hideMark/>
          </w:tcPr>
          <w:p w14:paraId="453FCFEE" w14:textId="77777777" w:rsidR="008C3A64" w:rsidRPr="005A31BC" w:rsidRDefault="008C3A64" w:rsidP="00FF1F9A">
            <w:pPr>
              <w:jc w:val="right"/>
              <w:rPr>
                <w:color w:val="3B3B3B"/>
                <w:spacing w:val="-6"/>
                <w:szCs w:val="22"/>
                <w:lang w:eastAsia="es-MX"/>
              </w:rPr>
            </w:pPr>
            <w:r w:rsidRPr="005A31BC">
              <w:rPr>
                <w:color w:val="161616"/>
                <w:spacing w:val="-6"/>
                <w:w w:val="105"/>
                <w:szCs w:val="22"/>
              </w:rPr>
              <w:t>11</w:t>
            </w:r>
            <w:r w:rsidRPr="005A31BC">
              <w:rPr>
                <w:color w:val="606060"/>
                <w:spacing w:val="-6"/>
                <w:w w:val="105"/>
                <w:szCs w:val="22"/>
              </w:rPr>
              <w:t>,</w:t>
            </w:r>
            <w:r w:rsidRPr="005A31BC">
              <w:rPr>
                <w:spacing w:val="-6"/>
                <w:w w:val="105"/>
                <w:szCs w:val="22"/>
              </w:rPr>
              <w:t>9</w:t>
            </w:r>
          </w:p>
        </w:tc>
      </w:tr>
      <w:tr w:rsidR="008C3A64" w:rsidRPr="005A31BC" w14:paraId="3942E1A4" w14:textId="77777777" w:rsidTr="00CC67C0">
        <w:trPr>
          <w:trHeight w:val="397"/>
          <w:jc w:val="center"/>
        </w:trPr>
        <w:tc>
          <w:tcPr>
            <w:tcW w:w="2249" w:type="dxa"/>
            <w:shd w:val="clear" w:color="auto" w:fill="auto"/>
            <w:vAlign w:val="center"/>
            <w:hideMark/>
          </w:tcPr>
          <w:p w14:paraId="1D5EFE13" w14:textId="77777777" w:rsidR="008C3A64" w:rsidRPr="005A31BC" w:rsidRDefault="008C3A64" w:rsidP="00FF1F9A">
            <w:pPr>
              <w:jc w:val="right"/>
              <w:rPr>
                <w:color w:val="000000"/>
                <w:spacing w:val="-6"/>
                <w:szCs w:val="22"/>
                <w:lang w:eastAsia="es-MX"/>
              </w:rPr>
            </w:pPr>
            <w:r w:rsidRPr="005A31BC">
              <w:rPr>
                <w:spacing w:val="-6"/>
                <w:szCs w:val="22"/>
                <w:lang w:eastAsia="es-MX"/>
              </w:rPr>
              <w:t>9  Fontibón</w:t>
            </w:r>
          </w:p>
        </w:tc>
        <w:tc>
          <w:tcPr>
            <w:tcW w:w="1276" w:type="dxa"/>
            <w:shd w:val="clear" w:color="auto" w:fill="auto"/>
            <w:noWrap/>
            <w:vAlign w:val="center"/>
            <w:hideMark/>
          </w:tcPr>
          <w:p w14:paraId="6045E88E" w14:textId="77777777" w:rsidR="008C3A64" w:rsidRPr="005A31BC" w:rsidRDefault="008C3A64" w:rsidP="00FF1F9A">
            <w:pPr>
              <w:jc w:val="right"/>
              <w:rPr>
                <w:color w:val="646464"/>
                <w:spacing w:val="-6"/>
                <w:szCs w:val="22"/>
                <w:lang w:eastAsia="es-MX"/>
              </w:rPr>
            </w:pPr>
            <w:r w:rsidRPr="005A31BC">
              <w:rPr>
                <w:color w:val="444444"/>
                <w:spacing w:val="-6"/>
                <w:w w:val="110"/>
                <w:szCs w:val="22"/>
              </w:rPr>
              <w:t>7.374</w:t>
            </w:r>
          </w:p>
        </w:tc>
        <w:tc>
          <w:tcPr>
            <w:tcW w:w="992" w:type="dxa"/>
            <w:shd w:val="clear" w:color="auto" w:fill="auto"/>
            <w:noWrap/>
            <w:vAlign w:val="center"/>
            <w:hideMark/>
          </w:tcPr>
          <w:p w14:paraId="74F77EA0" w14:textId="77777777" w:rsidR="008C3A64" w:rsidRPr="005A31BC" w:rsidRDefault="008C3A64" w:rsidP="00FF1F9A">
            <w:pPr>
              <w:jc w:val="right"/>
              <w:rPr>
                <w:spacing w:val="-6"/>
                <w:szCs w:val="22"/>
                <w:lang w:eastAsia="es-MX"/>
              </w:rPr>
            </w:pPr>
            <w:r w:rsidRPr="005A31BC">
              <w:rPr>
                <w:spacing w:val="-6"/>
                <w:w w:val="105"/>
                <w:szCs w:val="22"/>
              </w:rPr>
              <w:t>56</w:t>
            </w:r>
            <w:r w:rsidRPr="005A31BC">
              <w:rPr>
                <w:color w:val="606060"/>
                <w:spacing w:val="-6"/>
                <w:w w:val="105"/>
                <w:szCs w:val="22"/>
              </w:rPr>
              <w:t>,</w:t>
            </w:r>
            <w:r w:rsidRPr="005A31BC">
              <w:rPr>
                <w:spacing w:val="-6"/>
                <w:w w:val="105"/>
                <w:szCs w:val="22"/>
              </w:rPr>
              <w:t>8</w:t>
            </w:r>
          </w:p>
        </w:tc>
        <w:tc>
          <w:tcPr>
            <w:tcW w:w="1134" w:type="dxa"/>
            <w:shd w:val="clear" w:color="auto" w:fill="auto"/>
            <w:noWrap/>
            <w:vAlign w:val="center"/>
            <w:hideMark/>
          </w:tcPr>
          <w:p w14:paraId="55C1C7AB" w14:textId="77777777" w:rsidR="008C3A64" w:rsidRPr="005A31BC" w:rsidRDefault="008C3A64" w:rsidP="00FF1F9A">
            <w:pPr>
              <w:jc w:val="right"/>
              <w:rPr>
                <w:spacing w:val="-6"/>
                <w:szCs w:val="22"/>
                <w:lang w:eastAsia="es-MX"/>
              </w:rPr>
            </w:pPr>
            <w:r w:rsidRPr="005A31BC">
              <w:rPr>
                <w:spacing w:val="-6"/>
                <w:w w:val="110"/>
                <w:szCs w:val="22"/>
              </w:rPr>
              <w:t>5.613</w:t>
            </w:r>
          </w:p>
        </w:tc>
        <w:tc>
          <w:tcPr>
            <w:tcW w:w="870" w:type="dxa"/>
            <w:shd w:val="clear" w:color="auto" w:fill="auto"/>
            <w:noWrap/>
            <w:vAlign w:val="center"/>
            <w:hideMark/>
          </w:tcPr>
          <w:p w14:paraId="0615DB98" w14:textId="77777777" w:rsidR="008C3A64" w:rsidRPr="005A31BC" w:rsidRDefault="008C3A64" w:rsidP="00FF1F9A">
            <w:pPr>
              <w:jc w:val="right"/>
              <w:rPr>
                <w:spacing w:val="-6"/>
                <w:szCs w:val="22"/>
                <w:lang w:eastAsia="es-MX"/>
              </w:rPr>
            </w:pPr>
            <w:r w:rsidRPr="005A31BC">
              <w:rPr>
                <w:spacing w:val="-6"/>
                <w:w w:val="105"/>
                <w:szCs w:val="22"/>
              </w:rPr>
              <w:t>43</w:t>
            </w:r>
            <w:r w:rsidRPr="005A31BC">
              <w:rPr>
                <w:color w:val="606060"/>
                <w:spacing w:val="-6"/>
                <w:w w:val="105"/>
                <w:szCs w:val="22"/>
              </w:rPr>
              <w:t>,</w:t>
            </w:r>
            <w:r w:rsidRPr="005A31BC">
              <w:rPr>
                <w:spacing w:val="-6"/>
                <w:w w:val="105"/>
                <w:szCs w:val="22"/>
              </w:rPr>
              <w:t>2</w:t>
            </w:r>
          </w:p>
        </w:tc>
        <w:tc>
          <w:tcPr>
            <w:tcW w:w="1134" w:type="dxa"/>
            <w:shd w:val="clear" w:color="auto" w:fill="D0CECE" w:themeFill="background2" w:themeFillShade="E6"/>
            <w:noWrap/>
            <w:vAlign w:val="center"/>
            <w:hideMark/>
          </w:tcPr>
          <w:p w14:paraId="0F95FBFC" w14:textId="77777777" w:rsidR="008C3A64" w:rsidRPr="005A31BC" w:rsidRDefault="008C3A64" w:rsidP="00FF1F9A">
            <w:pPr>
              <w:jc w:val="right"/>
              <w:rPr>
                <w:color w:val="3B3B3B"/>
                <w:spacing w:val="-6"/>
                <w:szCs w:val="22"/>
                <w:lang w:eastAsia="es-MX"/>
              </w:rPr>
            </w:pPr>
            <w:r w:rsidRPr="005A31BC">
              <w:rPr>
                <w:color w:val="161616"/>
                <w:spacing w:val="-6"/>
                <w:w w:val="110"/>
                <w:szCs w:val="22"/>
              </w:rPr>
              <w:t>12.987</w:t>
            </w:r>
          </w:p>
        </w:tc>
        <w:tc>
          <w:tcPr>
            <w:tcW w:w="1171" w:type="dxa"/>
            <w:shd w:val="clear" w:color="auto" w:fill="D0CECE" w:themeFill="background2" w:themeFillShade="E6"/>
            <w:noWrap/>
            <w:vAlign w:val="center"/>
            <w:hideMark/>
          </w:tcPr>
          <w:p w14:paraId="07F0BB02" w14:textId="77777777" w:rsidR="008C3A64" w:rsidRPr="005A31BC" w:rsidRDefault="008C3A64" w:rsidP="00FF1F9A">
            <w:pPr>
              <w:jc w:val="right"/>
              <w:rPr>
                <w:spacing w:val="-6"/>
                <w:szCs w:val="22"/>
                <w:lang w:eastAsia="es-MX"/>
              </w:rPr>
            </w:pPr>
            <w:r w:rsidRPr="005A31BC">
              <w:rPr>
                <w:color w:val="444444"/>
                <w:spacing w:val="-6"/>
                <w:w w:val="110"/>
                <w:szCs w:val="22"/>
              </w:rPr>
              <w:t>3,7</w:t>
            </w:r>
          </w:p>
        </w:tc>
      </w:tr>
      <w:tr w:rsidR="008C3A64" w:rsidRPr="005A31BC" w14:paraId="64CD9727" w14:textId="77777777" w:rsidTr="00CC67C0">
        <w:trPr>
          <w:trHeight w:val="397"/>
          <w:jc w:val="center"/>
        </w:trPr>
        <w:tc>
          <w:tcPr>
            <w:tcW w:w="2249" w:type="dxa"/>
            <w:shd w:val="clear" w:color="auto" w:fill="auto"/>
            <w:vAlign w:val="center"/>
            <w:hideMark/>
          </w:tcPr>
          <w:p w14:paraId="55D726F8" w14:textId="77777777" w:rsidR="008C3A64" w:rsidRPr="005A31BC" w:rsidRDefault="008C3A64" w:rsidP="00FF1F9A">
            <w:pPr>
              <w:jc w:val="right"/>
              <w:rPr>
                <w:color w:val="000000"/>
                <w:spacing w:val="-6"/>
                <w:szCs w:val="22"/>
                <w:lang w:eastAsia="es-MX"/>
              </w:rPr>
            </w:pPr>
            <w:r w:rsidRPr="005A31BC">
              <w:rPr>
                <w:color w:val="3B3B3B"/>
                <w:spacing w:val="-6"/>
                <w:szCs w:val="22"/>
                <w:lang w:eastAsia="es-MX"/>
              </w:rPr>
              <w:t xml:space="preserve">10  </w:t>
            </w:r>
            <w:r w:rsidRPr="005A31BC">
              <w:rPr>
                <w:spacing w:val="-6"/>
                <w:szCs w:val="22"/>
                <w:lang w:eastAsia="es-MX"/>
              </w:rPr>
              <w:t>Engativá</w:t>
            </w:r>
          </w:p>
        </w:tc>
        <w:tc>
          <w:tcPr>
            <w:tcW w:w="1276" w:type="dxa"/>
            <w:shd w:val="clear" w:color="auto" w:fill="auto"/>
            <w:noWrap/>
            <w:vAlign w:val="center"/>
            <w:hideMark/>
          </w:tcPr>
          <w:p w14:paraId="39FEE27E" w14:textId="77777777" w:rsidR="008C3A64" w:rsidRPr="005A31BC" w:rsidRDefault="008C3A64" w:rsidP="00FF1F9A">
            <w:pPr>
              <w:jc w:val="right"/>
              <w:rPr>
                <w:color w:val="3B3B3B"/>
                <w:spacing w:val="-6"/>
                <w:szCs w:val="22"/>
                <w:lang w:eastAsia="es-MX"/>
              </w:rPr>
            </w:pPr>
            <w:r w:rsidRPr="005A31BC">
              <w:rPr>
                <w:color w:val="161616"/>
                <w:spacing w:val="-6"/>
                <w:w w:val="110"/>
                <w:szCs w:val="22"/>
              </w:rPr>
              <w:t>16.610</w:t>
            </w:r>
          </w:p>
        </w:tc>
        <w:tc>
          <w:tcPr>
            <w:tcW w:w="992" w:type="dxa"/>
            <w:shd w:val="clear" w:color="auto" w:fill="auto"/>
            <w:noWrap/>
            <w:vAlign w:val="center"/>
            <w:hideMark/>
          </w:tcPr>
          <w:p w14:paraId="0243D2EB" w14:textId="77777777" w:rsidR="008C3A64" w:rsidRPr="005A31BC" w:rsidRDefault="008C3A64" w:rsidP="00FF1F9A">
            <w:pPr>
              <w:jc w:val="right"/>
              <w:rPr>
                <w:spacing w:val="-6"/>
                <w:szCs w:val="22"/>
                <w:lang w:eastAsia="es-MX"/>
              </w:rPr>
            </w:pPr>
            <w:r w:rsidRPr="005A31BC">
              <w:rPr>
                <w:spacing w:val="-6"/>
                <w:w w:val="125"/>
                <w:szCs w:val="22"/>
              </w:rPr>
              <w:t>566</w:t>
            </w:r>
          </w:p>
        </w:tc>
        <w:tc>
          <w:tcPr>
            <w:tcW w:w="1134" w:type="dxa"/>
            <w:shd w:val="clear" w:color="auto" w:fill="auto"/>
            <w:noWrap/>
            <w:vAlign w:val="center"/>
            <w:hideMark/>
          </w:tcPr>
          <w:p w14:paraId="7EFF3E5C" w14:textId="77777777" w:rsidR="008C3A64" w:rsidRPr="005A31BC" w:rsidRDefault="008C3A64" w:rsidP="00FF1F9A">
            <w:pPr>
              <w:jc w:val="right"/>
              <w:rPr>
                <w:color w:val="3B3B3B"/>
                <w:spacing w:val="-6"/>
                <w:szCs w:val="22"/>
                <w:lang w:eastAsia="es-MX"/>
              </w:rPr>
            </w:pPr>
            <w:r w:rsidRPr="005A31BC">
              <w:rPr>
                <w:color w:val="161616"/>
                <w:spacing w:val="-6"/>
                <w:w w:val="110"/>
                <w:szCs w:val="22"/>
              </w:rPr>
              <w:t>12.721</w:t>
            </w:r>
          </w:p>
        </w:tc>
        <w:tc>
          <w:tcPr>
            <w:tcW w:w="870" w:type="dxa"/>
            <w:shd w:val="clear" w:color="auto" w:fill="auto"/>
            <w:noWrap/>
            <w:vAlign w:val="center"/>
            <w:hideMark/>
          </w:tcPr>
          <w:p w14:paraId="21084A16" w14:textId="77777777" w:rsidR="008C3A64" w:rsidRPr="005A31BC" w:rsidRDefault="008C3A64" w:rsidP="00FF1F9A">
            <w:pPr>
              <w:jc w:val="right"/>
              <w:rPr>
                <w:color w:val="3B3B3B"/>
                <w:spacing w:val="-6"/>
                <w:szCs w:val="22"/>
                <w:lang w:eastAsia="es-MX"/>
              </w:rPr>
            </w:pPr>
            <w:r w:rsidRPr="005A31BC">
              <w:rPr>
                <w:spacing w:val="-6"/>
                <w:w w:val="105"/>
                <w:szCs w:val="22"/>
              </w:rPr>
              <w:t>43</w:t>
            </w:r>
            <w:r w:rsidRPr="005A31BC">
              <w:rPr>
                <w:color w:val="606060"/>
                <w:spacing w:val="-6"/>
                <w:w w:val="105"/>
                <w:szCs w:val="22"/>
              </w:rPr>
              <w:t>,</w:t>
            </w:r>
            <w:r w:rsidRPr="005A31BC">
              <w:rPr>
                <w:spacing w:val="-6"/>
                <w:w w:val="105"/>
                <w:szCs w:val="22"/>
              </w:rPr>
              <w:t>4</w:t>
            </w:r>
          </w:p>
        </w:tc>
        <w:tc>
          <w:tcPr>
            <w:tcW w:w="1134" w:type="dxa"/>
            <w:shd w:val="clear" w:color="auto" w:fill="D0CECE" w:themeFill="background2" w:themeFillShade="E6"/>
            <w:noWrap/>
            <w:vAlign w:val="center"/>
            <w:hideMark/>
          </w:tcPr>
          <w:p w14:paraId="560EDF5E" w14:textId="77777777" w:rsidR="008C3A64" w:rsidRPr="005A31BC" w:rsidRDefault="008C3A64" w:rsidP="00FF1F9A">
            <w:pPr>
              <w:jc w:val="right"/>
              <w:rPr>
                <w:spacing w:val="-6"/>
                <w:szCs w:val="22"/>
                <w:lang w:eastAsia="es-MX"/>
              </w:rPr>
            </w:pPr>
            <w:r w:rsidRPr="005A31BC">
              <w:rPr>
                <w:spacing w:val="-6"/>
                <w:w w:val="110"/>
                <w:szCs w:val="22"/>
              </w:rPr>
              <w:t>29.331</w:t>
            </w:r>
          </w:p>
        </w:tc>
        <w:tc>
          <w:tcPr>
            <w:tcW w:w="1171" w:type="dxa"/>
            <w:shd w:val="clear" w:color="auto" w:fill="D0CECE" w:themeFill="background2" w:themeFillShade="E6"/>
            <w:noWrap/>
            <w:vAlign w:val="center"/>
            <w:hideMark/>
          </w:tcPr>
          <w:p w14:paraId="139C0DE4" w14:textId="77777777" w:rsidR="008C3A64" w:rsidRPr="005A31BC" w:rsidRDefault="008C3A64" w:rsidP="00FF1F9A">
            <w:pPr>
              <w:jc w:val="right"/>
              <w:rPr>
                <w:spacing w:val="-6"/>
                <w:szCs w:val="22"/>
                <w:lang w:eastAsia="es-MX"/>
              </w:rPr>
            </w:pPr>
            <w:r w:rsidRPr="005A31BC">
              <w:rPr>
                <w:spacing w:val="-6"/>
                <w:w w:val="105"/>
                <w:szCs w:val="22"/>
              </w:rPr>
              <w:t>8</w:t>
            </w:r>
            <w:r w:rsidRPr="005A31BC">
              <w:rPr>
                <w:color w:val="606060"/>
                <w:spacing w:val="-6"/>
                <w:w w:val="105"/>
                <w:szCs w:val="22"/>
              </w:rPr>
              <w:t>,</w:t>
            </w:r>
            <w:r w:rsidRPr="005A31BC">
              <w:rPr>
                <w:color w:val="444444"/>
                <w:spacing w:val="-6"/>
                <w:w w:val="105"/>
                <w:szCs w:val="22"/>
              </w:rPr>
              <w:t>3</w:t>
            </w:r>
          </w:p>
        </w:tc>
      </w:tr>
      <w:tr w:rsidR="008C3A64" w:rsidRPr="005A31BC" w14:paraId="2664F0E3" w14:textId="77777777" w:rsidTr="00CC67C0">
        <w:trPr>
          <w:trHeight w:val="397"/>
          <w:jc w:val="center"/>
        </w:trPr>
        <w:tc>
          <w:tcPr>
            <w:tcW w:w="2249" w:type="dxa"/>
            <w:shd w:val="clear" w:color="auto" w:fill="auto"/>
            <w:vAlign w:val="center"/>
            <w:hideMark/>
          </w:tcPr>
          <w:p w14:paraId="3E2C9D44" w14:textId="77777777" w:rsidR="008C3A64" w:rsidRPr="005A31BC" w:rsidRDefault="008C3A64" w:rsidP="00FF1F9A">
            <w:pPr>
              <w:jc w:val="right"/>
              <w:rPr>
                <w:color w:val="000000"/>
                <w:spacing w:val="-6"/>
                <w:szCs w:val="22"/>
                <w:lang w:eastAsia="es-MX"/>
              </w:rPr>
            </w:pPr>
            <w:r w:rsidRPr="005A31BC">
              <w:rPr>
                <w:spacing w:val="-6"/>
                <w:szCs w:val="22"/>
                <w:lang w:eastAsia="es-MX"/>
              </w:rPr>
              <w:t>11  Suba</w:t>
            </w:r>
          </w:p>
        </w:tc>
        <w:tc>
          <w:tcPr>
            <w:tcW w:w="1276" w:type="dxa"/>
            <w:shd w:val="clear" w:color="auto" w:fill="auto"/>
            <w:noWrap/>
            <w:vAlign w:val="center"/>
            <w:hideMark/>
          </w:tcPr>
          <w:p w14:paraId="509A1B56" w14:textId="77777777" w:rsidR="008C3A64" w:rsidRPr="005A31BC" w:rsidRDefault="008C3A64" w:rsidP="00FF1F9A">
            <w:pPr>
              <w:jc w:val="right"/>
              <w:rPr>
                <w:spacing w:val="-6"/>
                <w:szCs w:val="22"/>
                <w:lang w:eastAsia="es-MX"/>
              </w:rPr>
            </w:pPr>
            <w:r w:rsidRPr="005A31BC">
              <w:rPr>
                <w:spacing w:val="-6"/>
                <w:w w:val="110"/>
                <w:szCs w:val="22"/>
              </w:rPr>
              <w:t>27.809</w:t>
            </w:r>
          </w:p>
        </w:tc>
        <w:tc>
          <w:tcPr>
            <w:tcW w:w="992" w:type="dxa"/>
            <w:shd w:val="clear" w:color="auto" w:fill="auto"/>
            <w:noWrap/>
            <w:vAlign w:val="center"/>
            <w:hideMark/>
          </w:tcPr>
          <w:p w14:paraId="43177FB8" w14:textId="77777777" w:rsidR="008C3A64" w:rsidRPr="005A31BC" w:rsidRDefault="008C3A64" w:rsidP="00FF1F9A">
            <w:pPr>
              <w:jc w:val="right"/>
              <w:rPr>
                <w:spacing w:val="-6"/>
                <w:szCs w:val="22"/>
                <w:lang w:eastAsia="es-MX"/>
              </w:rPr>
            </w:pPr>
            <w:r w:rsidRPr="005A31BC">
              <w:rPr>
                <w:spacing w:val="-6"/>
                <w:w w:val="105"/>
                <w:szCs w:val="22"/>
              </w:rPr>
              <w:t>63</w:t>
            </w:r>
            <w:r w:rsidRPr="005A31BC">
              <w:rPr>
                <w:color w:val="606060"/>
                <w:spacing w:val="-6"/>
                <w:w w:val="105"/>
                <w:szCs w:val="22"/>
              </w:rPr>
              <w:t>,</w:t>
            </w:r>
            <w:r w:rsidRPr="005A31BC">
              <w:rPr>
                <w:color w:val="444444"/>
                <w:spacing w:val="-6"/>
                <w:w w:val="105"/>
                <w:szCs w:val="22"/>
              </w:rPr>
              <w:t>7</w:t>
            </w:r>
          </w:p>
        </w:tc>
        <w:tc>
          <w:tcPr>
            <w:tcW w:w="1134" w:type="dxa"/>
            <w:shd w:val="clear" w:color="auto" w:fill="auto"/>
            <w:noWrap/>
            <w:vAlign w:val="center"/>
            <w:hideMark/>
          </w:tcPr>
          <w:p w14:paraId="778B88A3" w14:textId="77777777" w:rsidR="008C3A64" w:rsidRPr="005A31BC" w:rsidRDefault="008C3A64" w:rsidP="00FF1F9A">
            <w:pPr>
              <w:jc w:val="right"/>
              <w:rPr>
                <w:spacing w:val="-6"/>
                <w:szCs w:val="22"/>
                <w:lang w:eastAsia="es-MX"/>
              </w:rPr>
            </w:pPr>
            <w:r w:rsidRPr="005A31BC">
              <w:rPr>
                <w:color w:val="161616"/>
                <w:spacing w:val="-6"/>
                <w:w w:val="110"/>
                <w:szCs w:val="22"/>
              </w:rPr>
              <w:t>15.858</w:t>
            </w:r>
          </w:p>
        </w:tc>
        <w:tc>
          <w:tcPr>
            <w:tcW w:w="870" w:type="dxa"/>
            <w:shd w:val="clear" w:color="auto" w:fill="auto"/>
            <w:noWrap/>
            <w:vAlign w:val="center"/>
            <w:hideMark/>
          </w:tcPr>
          <w:p w14:paraId="3F05CA67" w14:textId="77777777" w:rsidR="008C3A64" w:rsidRPr="005A31BC" w:rsidRDefault="008C3A64" w:rsidP="00FF1F9A">
            <w:pPr>
              <w:jc w:val="right"/>
              <w:rPr>
                <w:spacing w:val="-6"/>
                <w:szCs w:val="22"/>
                <w:lang w:eastAsia="es-MX"/>
              </w:rPr>
            </w:pPr>
            <w:r w:rsidRPr="005A31BC">
              <w:rPr>
                <w:color w:val="444444"/>
                <w:spacing w:val="-6"/>
                <w:w w:val="110"/>
                <w:szCs w:val="22"/>
              </w:rPr>
              <w:t>36,3</w:t>
            </w:r>
          </w:p>
        </w:tc>
        <w:tc>
          <w:tcPr>
            <w:tcW w:w="1134" w:type="dxa"/>
            <w:shd w:val="clear" w:color="auto" w:fill="D0CECE" w:themeFill="background2" w:themeFillShade="E6"/>
            <w:noWrap/>
            <w:vAlign w:val="center"/>
            <w:hideMark/>
          </w:tcPr>
          <w:p w14:paraId="5C32AE8D" w14:textId="77777777" w:rsidR="008C3A64" w:rsidRPr="005A31BC" w:rsidRDefault="008C3A64" w:rsidP="00FF1F9A">
            <w:pPr>
              <w:jc w:val="right"/>
              <w:rPr>
                <w:color w:val="3B3B3B"/>
                <w:spacing w:val="-6"/>
                <w:szCs w:val="22"/>
                <w:lang w:eastAsia="es-MX"/>
              </w:rPr>
            </w:pPr>
            <w:r w:rsidRPr="005A31BC">
              <w:rPr>
                <w:spacing w:val="-6"/>
                <w:w w:val="110"/>
                <w:szCs w:val="22"/>
              </w:rPr>
              <w:t>43.667</w:t>
            </w:r>
          </w:p>
        </w:tc>
        <w:tc>
          <w:tcPr>
            <w:tcW w:w="1171" w:type="dxa"/>
            <w:shd w:val="clear" w:color="auto" w:fill="D0CECE" w:themeFill="background2" w:themeFillShade="E6"/>
            <w:noWrap/>
            <w:vAlign w:val="center"/>
            <w:hideMark/>
          </w:tcPr>
          <w:p w14:paraId="1F5F4EF6" w14:textId="77777777" w:rsidR="008C3A64" w:rsidRPr="005A31BC" w:rsidRDefault="008C3A64" w:rsidP="00FF1F9A">
            <w:pPr>
              <w:jc w:val="right"/>
              <w:rPr>
                <w:color w:val="3B3B3B"/>
                <w:spacing w:val="-6"/>
                <w:szCs w:val="22"/>
                <w:lang w:eastAsia="es-MX"/>
              </w:rPr>
            </w:pPr>
            <w:r w:rsidRPr="005A31BC">
              <w:rPr>
                <w:color w:val="161616"/>
                <w:spacing w:val="-6"/>
                <w:w w:val="105"/>
                <w:szCs w:val="22"/>
              </w:rPr>
              <w:t>1</w:t>
            </w:r>
            <w:r w:rsidRPr="005A31BC">
              <w:rPr>
                <w:spacing w:val="-6"/>
                <w:w w:val="105"/>
                <w:szCs w:val="22"/>
              </w:rPr>
              <w:t>2</w:t>
            </w:r>
            <w:r w:rsidRPr="005A31BC">
              <w:rPr>
                <w:color w:val="606060"/>
                <w:spacing w:val="-6"/>
                <w:w w:val="105"/>
                <w:szCs w:val="22"/>
              </w:rPr>
              <w:t>,</w:t>
            </w:r>
            <w:r w:rsidRPr="005A31BC">
              <w:rPr>
                <w:spacing w:val="-6"/>
                <w:w w:val="105"/>
                <w:szCs w:val="22"/>
              </w:rPr>
              <w:t>4</w:t>
            </w:r>
          </w:p>
        </w:tc>
      </w:tr>
      <w:tr w:rsidR="008C3A64" w:rsidRPr="005A31BC" w14:paraId="5FFE7B2D" w14:textId="77777777" w:rsidTr="00CC67C0">
        <w:trPr>
          <w:trHeight w:val="397"/>
          <w:jc w:val="center"/>
        </w:trPr>
        <w:tc>
          <w:tcPr>
            <w:tcW w:w="2249" w:type="dxa"/>
            <w:shd w:val="clear" w:color="auto" w:fill="auto"/>
            <w:vAlign w:val="center"/>
            <w:hideMark/>
          </w:tcPr>
          <w:p w14:paraId="0979ECD1" w14:textId="77777777" w:rsidR="008C3A64" w:rsidRPr="005A31BC" w:rsidRDefault="008C3A64" w:rsidP="00FF1F9A">
            <w:pPr>
              <w:jc w:val="right"/>
              <w:rPr>
                <w:color w:val="000000"/>
                <w:spacing w:val="-6"/>
                <w:szCs w:val="22"/>
                <w:lang w:eastAsia="es-MX"/>
              </w:rPr>
            </w:pPr>
            <w:r w:rsidRPr="005A31BC">
              <w:rPr>
                <w:color w:val="3B3B3B"/>
                <w:spacing w:val="-6"/>
                <w:szCs w:val="22"/>
                <w:lang w:eastAsia="es-MX"/>
              </w:rPr>
              <w:t>12  Barrio</w:t>
            </w:r>
            <w:r w:rsidRPr="005A31BC">
              <w:rPr>
                <w:color w:val="646464"/>
                <w:spacing w:val="-6"/>
                <w:szCs w:val="22"/>
                <w:lang w:eastAsia="es-MX"/>
              </w:rPr>
              <w:t xml:space="preserve">s </w:t>
            </w:r>
            <w:r w:rsidRPr="005A31BC">
              <w:rPr>
                <w:spacing w:val="-6"/>
                <w:szCs w:val="22"/>
                <w:lang w:eastAsia="es-MX"/>
              </w:rPr>
              <w:t>Unidos</w:t>
            </w:r>
          </w:p>
        </w:tc>
        <w:tc>
          <w:tcPr>
            <w:tcW w:w="1276" w:type="dxa"/>
            <w:shd w:val="clear" w:color="auto" w:fill="auto"/>
            <w:noWrap/>
            <w:vAlign w:val="center"/>
            <w:hideMark/>
          </w:tcPr>
          <w:p w14:paraId="257EB1D2" w14:textId="77777777" w:rsidR="008C3A64" w:rsidRPr="005A31BC" w:rsidRDefault="008C3A64" w:rsidP="00FF1F9A">
            <w:pPr>
              <w:jc w:val="right"/>
              <w:rPr>
                <w:spacing w:val="-6"/>
                <w:szCs w:val="22"/>
                <w:lang w:eastAsia="es-MX"/>
              </w:rPr>
            </w:pPr>
            <w:r w:rsidRPr="005A31BC">
              <w:rPr>
                <w:spacing w:val="-6"/>
                <w:w w:val="110"/>
                <w:szCs w:val="22"/>
              </w:rPr>
              <w:t>2</w:t>
            </w:r>
            <w:r w:rsidRPr="005A31BC">
              <w:rPr>
                <w:color w:val="030303"/>
                <w:spacing w:val="-6"/>
                <w:w w:val="110"/>
                <w:szCs w:val="22"/>
              </w:rPr>
              <w:t>.</w:t>
            </w:r>
            <w:r w:rsidRPr="005A31BC">
              <w:rPr>
                <w:color w:val="444444"/>
                <w:spacing w:val="-6"/>
                <w:w w:val="110"/>
                <w:szCs w:val="22"/>
              </w:rPr>
              <w:t>72</w:t>
            </w:r>
            <w:r w:rsidRPr="005A31BC">
              <w:rPr>
                <w:color w:val="161616"/>
                <w:spacing w:val="-6"/>
                <w:w w:val="110"/>
                <w:szCs w:val="22"/>
              </w:rPr>
              <w:t>1</w:t>
            </w:r>
          </w:p>
        </w:tc>
        <w:tc>
          <w:tcPr>
            <w:tcW w:w="992" w:type="dxa"/>
            <w:shd w:val="clear" w:color="auto" w:fill="auto"/>
            <w:vAlign w:val="center"/>
            <w:hideMark/>
          </w:tcPr>
          <w:p w14:paraId="087878FE" w14:textId="77777777" w:rsidR="008C3A64" w:rsidRPr="005A31BC" w:rsidRDefault="008C3A64" w:rsidP="00FF1F9A">
            <w:pPr>
              <w:jc w:val="right"/>
              <w:rPr>
                <w:i/>
                <w:iCs/>
                <w:spacing w:val="-6"/>
                <w:szCs w:val="22"/>
                <w:lang w:eastAsia="es-MX"/>
              </w:rPr>
            </w:pPr>
            <w:r w:rsidRPr="005A31BC">
              <w:rPr>
                <w:spacing w:val="-6"/>
                <w:w w:val="105"/>
                <w:szCs w:val="22"/>
              </w:rPr>
              <w:t>59</w:t>
            </w:r>
            <w:r w:rsidRPr="005A31BC">
              <w:rPr>
                <w:color w:val="606060"/>
                <w:spacing w:val="-6"/>
                <w:w w:val="105"/>
                <w:szCs w:val="22"/>
              </w:rPr>
              <w:t>,</w:t>
            </w:r>
            <w:r w:rsidRPr="005A31BC">
              <w:rPr>
                <w:color w:val="161616"/>
                <w:spacing w:val="-6"/>
                <w:w w:val="105"/>
                <w:szCs w:val="22"/>
              </w:rPr>
              <w:t>1</w:t>
            </w:r>
          </w:p>
        </w:tc>
        <w:tc>
          <w:tcPr>
            <w:tcW w:w="1134" w:type="dxa"/>
            <w:shd w:val="clear" w:color="auto" w:fill="auto"/>
            <w:noWrap/>
            <w:vAlign w:val="center"/>
            <w:hideMark/>
          </w:tcPr>
          <w:p w14:paraId="10C6687D" w14:textId="77777777" w:rsidR="008C3A64" w:rsidRPr="005A31BC" w:rsidRDefault="008C3A64" w:rsidP="00FF1F9A">
            <w:pPr>
              <w:jc w:val="right"/>
              <w:rPr>
                <w:color w:val="3B3B3B"/>
                <w:spacing w:val="-6"/>
                <w:szCs w:val="22"/>
                <w:lang w:eastAsia="es-MX"/>
              </w:rPr>
            </w:pPr>
            <w:r w:rsidRPr="005A31BC">
              <w:rPr>
                <w:spacing w:val="-6"/>
                <w:w w:val="110"/>
                <w:szCs w:val="22"/>
              </w:rPr>
              <w:t>1.885</w:t>
            </w:r>
          </w:p>
        </w:tc>
        <w:tc>
          <w:tcPr>
            <w:tcW w:w="870" w:type="dxa"/>
            <w:shd w:val="clear" w:color="auto" w:fill="auto"/>
            <w:noWrap/>
            <w:vAlign w:val="center"/>
            <w:hideMark/>
          </w:tcPr>
          <w:p w14:paraId="26A35070" w14:textId="77777777" w:rsidR="008C3A64" w:rsidRPr="005A31BC" w:rsidRDefault="008C3A64" w:rsidP="00FF1F9A">
            <w:pPr>
              <w:jc w:val="right"/>
              <w:rPr>
                <w:spacing w:val="-6"/>
                <w:szCs w:val="22"/>
                <w:lang w:eastAsia="es-MX"/>
              </w:rPr>
            </w:pPr>
            <w:r w:rsidRPr="005A31BC">
              <w:rPr>
                <w:spacing w:val="-6"/>
                <w:w w:val="105"/>
                <w:szCs w:val="22"/>
              </w:rPr>
              <w:t>40</w:t>
            </w:r>
            <w:r w:rsidRPr="005A31BC">
              <w:rPr>
                <w:color w:val="606060"/>
                <w:spacing w:val="-6"/>
                <w:w w:val="105"/>
                <w:szCs w:val="22"/>
              </w:rPr>
              <w:t>,</w:t>
            </w:r>
            <w:r w:rsidRPr="005A31BC">
              <w:rPr>
                <w:spacing w:val="-6"/>
                <w:w w:val="105"/>
                <w:szCs w:val="22"/>
              </w:rPr>
              <w:t>9</w:t>
            </w:r>
          </w:p>
        </w:tc>
        <w:tc>
          <w:tcPr>
            <w:tcW w:w="1134" w:type="dxa"/>
            <w:shd w:val="clear" w:color="auto" w:fill="D0CECE" w:themeFill="background2" w:themeFillShade="E6"/>
            <w:noWrap/>
            <w:vAlign w:val="center"/>
            <w:hideMark/>
          </w:tcPr>
          <w:p w14:paraId="6251A809" w14:textId="77777777" w:rsidR="008C3A64" w:rsidRPr="005A31BC" w:rsidRDefault="008C3A64" w:rsidP="00FF1F9A">
            <w:pPr>
              <w:jc w:val="right"/>
              <w:rPr>
                <w:spacing w:val="-6"/>
                <w:szCs w:val="22"/>
                <w:lang w:eastAsia="es-MX"/>
              </w:rPr>
            </w:pPr>
            <w:r w:rsidRPr="005A31BC">
              <w:rPr>
                <w:spacing w:val="-6"/>
                <w:w w:val="105"/>
                <w:szCs w:val="22"/>
              </w:rPr>
              <w:t>4</w:t>
            </w:r>
            <w:r w:rsidRPr="005A31BC">
              <w:rPr>
                <w:color w:val="030303"/>
                <w:spacing w:val="-6"/>
                <w:w w:val="105"/>
                <w:szCs w:val="22"/>
              </w:rPr>
              <w:t>.</w:t>
            </w:r>
            <w:r w:rsidRPr="005A31BC">
              <w:rPr>
                <w:spacing w:val="-6"/>
                <w:w w:val="105"/>
                <w:szCs w:val="22"/>
              </w:rPr>
              <w:t>606</w:t>
            </w:r>
          </w:p>
        </w:tc>
        <w:tc>
          <w:tcPr>
            <w:tcW w:w="1171" w:type="dxa"/>
            <w:shd w:val="clear" w:color="auto" w:fill="D0CECE" w:themeFill="background2" w:themeFillShade="E6"/>
            <w:noWrap/>
            <w:vAlign w:val="center"/>
            <w:hideMark/>
          </w:tcPr>
          <w:p w14:paraId="71A848D1" w14:textId="77777777" w:rsidR="008C3A64" w:rsidRPr="005A31BC" w:rsidRDefault="008C3A64" w:rsidP="00FF1F9A">
            <w:pPr>
              <w:jc w:val="right"/>
              <w:rPr>
                <w:spacing w:val="-6"/>
                <w:szCs w:val="22"/>
                <w:lang w:eastAsia="es-MX"/>
              </w:rPr>
            </w:pPr>
            <w:r w:rsidRPr="005A31BC">
              <w:rPr>
                <w:color w:val="161616"/>
                <w:spacing w:val="-6"/>
                <w:w w:val="105"/>
                <w:szCs w:val="22"/>
              </w:rPr>
              <w:t>1</w:t>
            </w:r>
            <w:r w:rsidRPr="005A31BC">
              <w:rPr>
                <w:color w:val="606060"/>
                <w:spacing w:val="-6"/>
                <w:w w:val="105"/>
                <w:szCs w:val="22"/>
              </w:rPr>
              <w:t>,</w:t>
            </w:r>
            <w:r w:rsidRPr="005A31BC">
              <w:rPr>
                <w:color w:val="444444"/>
                <w:spacing w:val="-6"/>
                <w:w w:val="105"/>
                <w:szCs w:val="22"/>
              </w:rPr>
              <w:t>3</w:t>
            </w:r>
          </w:p>
        </w:tc>
      </w:tr>
      <w:tr w:rsidR="008C3A64" w:rsidRPr="005A31BC" w14:paraId="18BEA946" w14:textId="77777777" w:rsidTr="00CC67C0">
        <w:trPr>
          <w:trHeight w:val="397"/>
          <w:jc w:val="center"/>
        </w:trPr>
        <w:tc>
          <w:tcPr>
            <w:tcW w:w="2249" w:type="dxa"/>
            <w:shd w:val="clear" w:color="auto" w:fill="auto"/>
            <w:vAlign w:val="center"/>
            <w:hideMark/>
          </w:tcPr>
          <w:p w14:paraId="40C853ED" w14:textId="77777777" w:rsidR="008C3A64" w:rsidRPr="005A31BC" w:rsidRDefault="008C3A64" w:rsidP="00FF1F9A">
            <w:pPr>
              <w:jc w:val="right"/>
              <w:rPr>
                <w:color w:val="000000"/>
                <w:spacing w:val="-6"/>
                <w:szCs w:val="22"/>
                <w:lang w:eastAsia="es-MX"/>
              </w:rPr>
            </w:pPr>
            <w:r w:rsidRPr="005A31BC">
              <w:rPr>
                <w:spacing w:val="-6"/>
                <w:szCs w:val="22"/>
                <w:lang w:eastAsia="es-MX"/>
              </w:rPr>
              <w:t>13  Teusaquillo</w:t>
            </w:r>
          </w:p>
        </w:tc>
        <w:tc>
          <w:tcPr>
            <w:tcW w:w="1276" w:type="dxa"/>
            <w:shd w:val="clear" w:color="auto" w:fill="auto"/>
            <w:noWrap/>
            <w:vAlign w:val="center"/>
            <w:hideMark/>
          </w:tcPr>
          <w:p w14:paraId="6048781F" w14:textId="77777777" w:rsidR="008C3A64" w:rsidRPr="005A31BC" w:rsidRDefault="008C3A64" w:rsidP="00FF1F9A">
            <w:pPr>
              <w:jc w:val="right"/>
              <w:rPr>
                <w:spacing w:val="-6"/>
                <w:szCs w:val="22"/>
                <w:lang w:eastAsia="es-MX"/>
              </w:rPr>
            </w:pPr>
            <w:r w:rsidRPr="005A31BC">
              <w:rPr>
                <w:spacing w:val="-6"/>
                <w:w w:val="105"/>
                <w:szCs w:val="22"/>
              </w:rPr>
              <w:t>2</w:t>
            </w:r>
            <w:r w:rsidRPr="005A31BC">
              <w:rPr>
                <w:color w:val="030303"/>
                <w:spacing w:val="-6"/>
                <w:w w:val="105"/>
                <w:szCs w:val="22"/>
              </w:rPr>
              <w:t>.</w:t>
            </w:r>
            <w:r w:rsidRPr="005A31BC">
              <w:rPr>
                <w:spacing w:val="-6"/>
                <w:w w:val="105"/>
                <w:szCs w:val="22"/>
              </w:rPr>
              <w:t>227</w:t>
            </w:r>
          </w:p>
        </w:tc>
        <w:tc>
          <w:tcPr>
            <w:tcW w:w="992" w:type="dxa"/>
            <w:shd w:val="clear" w:color="auto" w:fill="auto"/>
            <w:noWrap/>
            <w:vAlign w:val="center"/>
            <w:hideMark/>
          </w:tcPr>
          <w:p w14:paraId="573532F9" w14:textId="77777777" w:rsidR="008C3A64" w:rsidRPr="005A31BC" w:rsidRDefault="008C3A64" w:rsidP="00FF1F9A">
            <w:pPr>
              <w:jc w:val="right"/>
              <w:rPr>
                <w:color w:val="3B3B3B"/>
                <w:spacing w:val="-6"/>
                <w:szCs w:val="22"/>
                <w:lang w:eastAsia="es-MX"/>
              </w:rPr>
            </w:pPr>
            <w:r w:rsidRPr="005A31BC">
              <w:rPr>
                <w:spacing w:val="-6"/>
                <w:w w:val="110"/>
                <w:szCs w:val="22"/>
              </w:rPr>
              <w:t>62</w:t>
            </w:r>
            <w:r w:rsidRPr="005A31BC">
              <w:rPr>
                <w:color w:val="606060"/>
                <w:spacing w:val="-6"/>
                <w:w w:val="110"/>
                <w:szCs w:val="22"/>
              </w:rPr>
              <w:t>,</w:t>
            </w:r>
            <w:r w:rsidRPr="005A31BC">
              <w:rPr>
                <w:spacing w:val="-6"/>
                <w:w w:val="110"/>
                <w:szCs w:val="22"/>
              </w:rPr>
              <w:t>9</w:t>
            </w:r>
          </w:p>
        </w:tc>
        <w:tc>
          <w:tcPr>
            <w:tcW w:w="1134" w:type="dxa"/>
            <w:shd w:val="clear" w:color="auto" w:fill="auto"/>
            <w:noWrap/>
            <w:vAlign w:val="center"/>
            <w:hideMark/>
          </w:tcPr>
          <w:p w14:paraId="2EF16202" w14:textId="77777777" w:rsidR="008C3A64" w:rsidRPr="005A31BC" w:rsidRDefault="008C3A64" w:rsidP="00FF1F9A">
            <w:pPr>
              <w:jc w:val="right"/>
              <w:rPr>
                <w:color w:val="3B3B3B"/>
                <w:spacing w:val="-6"/>
                <w:szCs w:val="22"/>
                <w:lang w:eastAsia="es-MX"/>
              </w:rPr>
            </w:pPr>
            <w:r w:rsidRPr="005A31BC">
              <w:rPr>
                <w:spacing w:val="-6"/>
                <w:w w:val="110"/>
                <w:szCs w:val="22"/>
              </w:rPr>
              <w:t>1.313</w:t>
            </w:r>
          </w:p>
        </w:tc>
        <w:tc>
          <w:tcPr>
            <w:tcW w:w="870" w:type="dxa"/>
            <w:shd w:val="clear" w:color="auto" w:fill="auto"/>
            <w:noWrap/>
            <w:vAlign w:val="center"/>
            <w:hideMark/>
          </w:tcPr>
          <w:p w14:paraId="7D49C19C" w14:textId="77777777" w:rsidR="008C3A64" w:rsidRPr="005A31BC" w:rsidRDefault="008C3A64" w:rsidP="00FF1F9A">
            <w:pPr>
              <w:jc w:val="right"/>
              <w:rPr>
                <w:spacing w:val="-6"/>
                <w:szCs w:val="22"/>
                <w:lang w:eastAsia="es-MX"/>
              </w:rPr>
            </w:pPr>
            <w:r w:rsidRPr="005A31BC">
              <w:rPr>
                <w:color w:val="444444"/>
                <w:spacing w:val="-6"/>
                <w:w w:val="105"/>
                <w:szCs w:val="22"/>
              </w:rPr>
              <w:t>37,</w:t>
            </w:r>
            <w:r w:rsidRPr="005A31BC">
              <w:rPr>
                <w:color w:val="161616"/>
                <w:spacing w:val="-6"/>
                <w:w w:val="105"/>
                <w:szCs w:val="22"/>
              </w:rPr>
              <w:t>1</w:t>
            </w:r>
          </w:p>
        </w:tc>
        <w:tc>
          <w:tcPr>
            <w:tcW w:w="1134" w:type="dxa"/>
            <w:shd w:val="clear" w:color="auto" w:fill="D0CECE" w:themeFill="background2" w:themeFillShade="E6"/>
            <w:noWrap/>
            <w:vAlign w:val="center"/>
            <w:hideMark/>
          </w:tcPr>
          <w:p w14:paraId="11958A8A" w14:textId="77777777" w:rsidR="008C3A64" w:rsidRPr="005A31BC" w:rsidRDefault="008C3A64" w:rsidP="00FF1F9A">
            <w:pPr>
              <w:jc w:val="right"/>
              <w:rPr>
                <w:spacing w:val="-6"/>
                <w:szCs w:val="22"/>
                <w:lang w:eastAsia="es-MX"/>
              </w:rPr>
            </w:pPr>
            <w:r w:rsidRPr="005A31BC">
              <w:rPr>
                <w:color w:val="444444"/>
                <w:spacing w:val="-6"/>
                <w:w w:val="110"/>
                <w:szCs w:val="22"/>
              </w:rPr>
              <w:t>3.540</w:t>
            </w:r>
          </w:p>
        </w:tc>
        <w:tc>
          <w:tcPr>
            <w:tcW w:w="1171" w:type="dxa"/>
            <w:shd w:val="clear" w:color="auto" w:fill="D0CECE" w:themeFill="background2" w:themeFillShade="E6"/>
            <w:noWrap/>
            <w:vAlign w:val="center"/>
            <w:hideMark/>
          </w:tcPr>
          <w:p w14:paraId="30F09631" w14:textId="77777777" w:rsidR="008C3A64" w:rsidRPr="005A31BC" w:rsidRDefault="008C3A64" w:rsidP="00FF1F9A">
            <w:pPr>
              <w:jc w:val="right"/>
              <w:rPr>
                <w:spacing w:val="-6"/>
                <w:szCs w:val="22"/>
                <w:lang w:eastAsia="es-MX"/>
              </w:rPr>
            </w:pPr>
            <w:r w:rsidRPr="005A31BC">
              <w:rPr>
                <w:color w:val="161616"/>
                <w:spacing w:val="-6"/>
                <w:w w:val="110"/>
                <w:szCs w:val="22"/>
              </w:rPr>
              <w:t>1</w:t>
            </w:r>
            <w:r w:rsidRPr="005A31BC">
              <w:rPr>
                <w:color w:val="606060"/>
                <w:spacing w:val="-6"/>
                <w:w w:val="110"/>
                <w:szCs w:val="22"/>
              </w:rPr>
              <w:t>,</w:t>
            </w:r>
            <w:r w:rsidRPr="005A31BC">
              <w:rPr>
                <w:spacing w:val="-6"/>
                <w:w w:val="110"/>
                <w:szCs w:val="22"/>
              </w:rPr>
              <w:t>0</w:t>
            </w:r>
          </w:p>
        </w:tc>
      </w:tr>
      <w:tr w:rsidR="008C3A64" w:rsidRPr="005A31BC" w14:paraId="259BB7A4" w14:textId="77777777" w:rsidTr="00CC67C0">
        <w:trPr>
          <w:trHeight w:val="397"/>
          <w:jc w:val="center"/>
        </w:trPr>
        <w:tc>
          <w:tcPr>
            <w:tcW w:w="2249" w:type="dxa"/>
            <w:shd w:val="clear" w:color="auto" w:fill="auto"/>
            <w:vAlign w:val="center"/>
            <w:hideMark/>
          </w:tcPr>
          <w:p w14:paraId="6570A33E" w14:textId="77777777" w:rsidR="008C3A64" w:rsidRPr="005A31BC" w:rsidRDefault="008C3A64" w:rsidP="00FF1F9A">
            <w:pPr>
              <w:jc w:val="right"/>
              <w:rPr>
                <w:color w:val="000000"/>
                <w:spacing w:val="-6"/>
                <w:szCs w:val="22"/>
                <w:lang w:eastAsia="es-MX"/>
              </w:rPr>
            </w:pPr>
            <w:r w:rsidRPr="005A31BC">
              <w:rPr>
                <w:color w:val="3B3B3B"/>
                <w:spacing w:val="-6"/>
                <w:szCs w:val="22"/>
                <w:lang w:eastAsia="es-MX"/>
              </w:rPr>
              <w:lastRenderedPageBreak/>
              <w:t>14  Lo</w:t>
            </w:r>
            <w:r w:rsidRPr="005A31BC">
              <w:rPr>
                <w:color w:val="646464"/>
                <w:spacing w:val="-6"/>
                <w:szCs w:val="22"/>
                <w:lang w:eastAsia="es-MX"/>
              </w:rPr>
              <w:t xml:space="preserve">s </w:t>
            </w:r>
            <w:r w:rsidRPr="005A31BC">
              <w:rPr>
                <w:spacing w:val="-6"/>
                <w:szCs w:val="22"/>
                <w:lang w:eastAsia="es-MX"/>
              </w:rPr>
              <w:t>Mártires</w:t>
            </w:r>
          </w:p>
        </w:tc>
        <w:tc>
          <w:tcPr>
            <w:tcW w:w="1276" w:type="dxa"/>
            <w:shd w:val="clear" w:color="auto" w:fill="auto"/>
            <w:noWrap/>
            <w:vAlign w:val="center"/>
            <w:hideMark/>
          </w:tcPr>
          <w:p w14:paraId="2D335FEF" w14:textId="77777777" w:rsidR="008C3A64" w:rsidRPr="005A31BC" w:rsidRDefault="008C3A64" w:rsidP="00FF1F9A">
            <w:pPr>
              <w:jc w:val="right"/>
              <w:rPr>
                <w:spacing w:val="-6"/>
                <w:szCs w:val="22"/>
                <w:lang w:eastAsia="es-MX"/>
              </w:rPr>
            </w:pPr>
            <w:r w:rsidRPr="005A31BC">
              <w:rPr>
                <w:color w:val="444444"/>
                <w:spacing w:val="-6"/>
                <w:w w:val="105"/>
                <w:szCs w:val="22"/>
              </w:rPr>
              <w:t>3</w:t>
            </w:r>
            <w:r w:rsidRPr="005A31BC">
              <w:rPr>
                <w:color w:val="030303"/>
                <w:spacing w:val="-6"/>
                <w:w w:val="105"/>
                <w:szCs w:val="22"/>
              </w:rPr>
              <w:t>.11</w:t>
            </w:r>
            <w:r w:rsidRPr="005A31BC">
              <w:rPr>
                <w:spacing w:val="-6"/>
                <w:w w:val="105"/>
                <w:szCs w:val="22"/>
              </w:rPr>
              <w:t>9</w:t>
            </w:r>
          </w:p>
        </w:tc>
        <w:tc>
          <w:tcPr>
            <w:tcW w:w="992" w:type="dxa"/>
            <w:shd w:val="clear" w:color="auto" w:fill="auto"/>
            <w:vAlign w:val="center"/>
            <w:hideMark/>
          </w:tcPr>
          <w:p w14:paraId="26F42892" w14:textId="77777777" w:rsidR="008C3A64" w:rsidRPr="005A31BC" w:rsidRDefault="008C3A64" w:rsidP="00FF1F9A">
            <w:pPr>
              <w:jc w:val="right"/>
              <w:rPr>
                <w:spacing w:val="-6"/>
                <w:szCs w:val="22"/>
                <w:lang w:eastAsia="es-MX"/>
              </w:rPr>
            </w:pPr>
            <w:r w:rsidRPr="005A31BC">
              <w:rPr>
                <w:spacing w:val="-6"/>
                <w:w w:val="105"/>
                <w:szCs w:val="22"/>
              </w:rPr>
              <w:t>62</w:t>
            </w:r>
            <w:r w:rsidRPr="005A31BC">
              <w:rPr>
                <w:color w:val="7C7C7C"/>
                <w:spacing w:val="-6"/>
                <w:w w:val="105"/>
                <w:szCs w:val="22"/>
              </w:rPr>
              <w:t>,</w:t>
            </w:r>
            <w:r w:rsidRPr="005A31BC">
              <w:rPr>
                <w:color w:val="444444"/>
                <w:spacing w:val="-6"/>
                <w:w w:val="105"/>
                <w:szCs w:val="22"/>
              </w:rPr>
              <w:t>3</w:t>
            </w:r>
          </w:p>
        </w:tc>
        <w:tc>
          <w:tcPr>
            <w:tcW w:w="1134" w:type="dxa"/>
            <w:shd w:val="clear" w:color="auto" w:fill="auto"/>
            <w:noWrap/>
            <w:vAlign w:val="center"/>
            <w:hideMark/>
          </w:tcPr>
          <w:p w14:paraId="7FC52D38" w14:textId="77777777" w:rsidR="008C3A64" w:rsidRPr="005A31BC" w:rsidRDefault="008C3A64" w:rsidP="00FF1F9A">
            <w:pPr>
              <w:jc w:val="right"/>
              <w:rPr>
                <w:color w:val="3B3B3B"/>
                <w:spacing w:val="-6"/>
                <w:szCs w:val="22"/>
                <w:lang w:eastAsia="es-MX"/>
              </w:rPr>
            </w:pPr>
            <w:r w:rsidRPr="005A31BC">
              <w:rPr>
                <w:color w:val="161616"/>
                <w:spacing w:val="-6"/>
                <w:w w:val="110"/>
                <w:szCs w:val="22"/>
              </w:rPr>
              <w:t>1.887</w:t>
            </w:r>
          </w:p>
        </w:tc>
        <w:tc>
          <w:tcPr>
            <w:tcW w:w="870" w:type="dxa"/>
            <w:shd w:val="clear" w:color="auto" w:fill="auto"/>
            <w:vAlign w:val="center"/>
            <w:hideMark/>
          </w:tcPr>
          <w:p w14:paraId="4A64C8C9" w14:textId="77777777" w:rsidR="008C3A64" w:rsidRPr="005A31BC" w:rsidRDefault="008C3A64" w:rsidP="00FF1F9A">
            <w:pPr>
              <w:jc w:val="right"/>
              <w:rPr>
                <w:spacing w:val="-6"/>
                <w:szCs w:val="22"/>
                <w:lang w:eastAsia="es-MX"/>
              </w:rPr>
            </w:pPr>
            <w:r w:rsidRPr="005A31BC">
              <w:rPr>
                <w:color w:val="444444"/>
                <w:spacing w:val="-6"/>
                <w:w w:val="110"/>
                <w:szCs w:val="22"/>
              </w:rPr>
              <w:t>37,7</w:t>
            </w:r>
          </w:p>
        </w:tc>
        <w:tc>
          <w:tcPr>
            <w:tcW w:w="1134" w:type="dxa"/>
            <w:shd w:val="clear" w:color="auto" w:fill="D0CECE" w:themeFill="background2" w:themeFillShade="E6"/>
            <w:noWrap/>
            <w:vAlign w:val="center"/>
            <w:hideMark/>
          </w:tcPr>
          <w:p w14:paraId="1777A236" w14:textId="77777777" w:rsidR="008C3A64" w:rsidRPr="005A31BC" w:rsidRDefault="008C3A64" w:rsidP="00FF1F9A">
            <w:pPr>
              <w:jc w:val="right"/>
              <w:rPr>
                <w:spacing w:val="-6"/>
                <w:szCs w:val="22"/>
                <w:lang w:eastAsia="es-MX"/>
              </w:rPr>
            </w:pPr>
            <w:r w:rsidRPr="005A31BC">
              <w:rPr>
                <w:spacing w:val="-6"/>
                <w:w w:val="105"/>
                <w:szCs w:val="22"/>
              </w:rPr>
              <w:t>5</w:t>
            </w:r>
            <w:r w:rsidRPr="005A31BC">
              <w:rPr>
                <w:color w:val="030303"/>
                <w:spacing w:val="-6"/>
                <w:w w:val="105"/>
                <w:szCs w:val="22"/>
              </w:rPr>
              <w:t>.</w:t>
            </w:r>
            <w:r w:rsidRPr="005A31BC">
              <w:rPr>
                <w:color w:val="444444"/>
                <w:spacing w:val="-6"/>
                <w:w w:val="105"/>
                <w:szCs w:val="22"/>
              </w:rPr>
              <w:t>006</w:t>
            </w:r>
          </w:p>
        </w:tc>
        <w:tc>
          <w:tcPr>
            <w:tcW w:w="1171" w:type="dxa"/>
            <w:shd w:val="clear" w:color="auto" w:fill="D0CECE" w:themeFill="background2" w:themeFillShade="E6"/>
            <w:noWrap/>
            <w:vAlign w:val="center"/>
            <w:hideMark/>
          </w:tcPr>
          <w:p w14:paraId="6396A744" w14:textId="77777777" w:rsidR="008C3A64" w:rsidRPr="005A31BC" w:rsidRDefault="008C3A64" w:rsidP="00FF1F9A">
            <w:pPr>
              <w:jc w:val="right"/>
              <w:rPr>
                <w:color w:val="3B3B3B"/>
                <w:spacing w:val="-6"/>
                <w:szCs w:val="22"/>
                <w:lang w:eastAsia="es-MX"/>
              </w:rPr>
            </w:pPr>
            <w:r w:rsidRPr="005A31BC">
              <w:rPr>
                <w:color w:val="161616"/>
                <w:spacing w:val="-6"/>
                <w:w w:val="110"/>
                <w:szCs w:val="22"/>
              </w:rPr>
              <w:t>1</w:t>
            </w:r>
            <w:r w:rsidRPr="005A31BC">
              <w:rPr>
                <w:color w:val="606060"/>
                <w:spacing w:val="-6"/>
                <w:w w:val="110"/>
                <w:szCs w:val="22"/>
              </w:rPr>
              <w:t>,</w:t>
            </w:r>
            <w:r w:rsidRPr="005A31BC">
              <w:rPr>
                <w:spacing w:val="-6"/>
                <w:w w:val="110"/>
                <w:szCs w:val="22"/>
              </w:rPr>
              <w:t>4</w:t>
            </w:r>
          </w:p>
        </w:tc>
      </w:tr>
      <w:tr w:rsidR="008C3A64" w:rsidRPr="005A31BC" w14:paraId="12A15B2F" w14:textId="77777777" w:rsidTr="00CC67C0">
        <w:trPr>
          <w:trHeight w:val="397"/>
          <w:jc w:val="center"/>
        </w:trPr>
        <w:tc>
          <w:tcPr>
            <w:tcW w:w="2249" w:type="dxa"/>
            <w:shd w:val="clear" w:color="auto" w:fill="auto"/>
            <w:vAlign w:val="center"/>
            <w:hideMark/>
          </w:tcPr>
          <w:p w14:paraId="61E0E38C" w14:textId="77777777" w:rsidR="008C3A64" w:rsidRPr="005A31BC" w:rsidRDefault="008C3A64" w:rsidP="00FF1F9A">
            <w:pPr>
              <w:jc w:val="right"/>
              <w:rPr>
                <w:color w:val="000000"/>
                <w:spacing w:val="-6"/>
                <w:szCs w:val="22"/>
                <w:lang w:eastAsia="es-MX"/>
              </w:rPr>
            </w:pPr>
            <w:r w:rsidRPr="005A31BC">
              <w:rPr>
                <w:color w:val="3B3B3B"/>
                <w:spacing w:val="-6"/>
                <w:szCs w:val="22"/>
                <w:lang w:eastAsia="es-MX"/>
              </w:rPr>
              <w:t xml:space="preserve">15  Antonio </w:t>
            </w:r>
            <w:r w:rsidRPr="005A31BC">
              <w:rPr>
                <w:spacing w:val="-6"/>
                <w:szCs w:val="22"/>
                <w:lang w:eastAsia="es-MX"/>
              </w:rPr>
              <w:t>Narit1o</w:t>
            </w:r>
          </w:p>
        </w:tc>
        <w:tc>
          <w:tcPr>
            <w:tcW w:w="1276" w:type="dxa"/>
            <w:shd w:val="clear" w:color="auto" w:fill="auto"/>
            <w:noWrap/>
            <w:vAlign w:val="center"/>
            <w:hideMark/>
          </w:tcPr>
          <w:p w14:paraId="0B864AF4" w14:textId="77777777" w:rsidR="008C3A64" w:rsidRPr="005A31BC" w:rsidRDefault="008C3A64" w:rsidP="00FF1F9A">
            <w:pPr>
              <w:jc w:val="right"/>
              <w:rPr>
                <w:color w:val="646464"/>
                <w:spacing w:val="-6"/>
                <w:szCs w:val="22"/>
                <w:lang w:eastAsia="es-MX"/>
              </w:rPr>
            </w:pPr>
            <w:r w:rsidRPr="005A31BC">
              <w:rPr>
                <w:color w:val="444444"/>
                <w:spacing w:val="-6"/>
                <w:w w:val="105"/>
                <w:szCs w:val="22"/>
              </w:rPr>
              <w:t>3</w:t>
            </w:r>
            <w:r w:rsidRPr="005A31BC">
              <w:rPr>
                <w:color w:val="030303"/>
                <w:spacing w:val="-6"/>
                <w:w w:val="105"/>
                <w:szCs w:val="22"/>
              </w:rPr>
              <w:t>.1</w:t>
            </w:r>
            <w:r w:rsidRPr="005A31BC">
              <w:rPr>
                <w:spacing w:val="-6"/>
                <w:w w:val="105"/>
                <w:szCs w:val="22"/>
              </w:rPr>
              <w:t>65</w:t>
            </w:r>
          </w:p>
        </w:tc>
        <w:tc>
          <w:tcPr>
            <w:tcW w:w="992" w:type="dxa"/>
            <w:shd w:val="clear" w:color="auto" w:fill="auto"/>
            <w:noWrap/>
            <w:vAlign w:val="center"/>
            <w:hideMark/>
          </w:tcPr>
          <w:p w14:paraId="39F624FE" w14:textId="77777777" w:rsidR="008C3A64" w:rsidRPr="005A31BC" w:rsidRDefault="008C3A64" w:rsidP="00FF1F9A">
            <w:pPr>
              <w:jc w:val="right"/>
              <w:rPr>
                <w:color w:val="3B3B3B"/>
                <w:spacing w:val="-6"/>
                <w:szCs w:val="22"/>
                <w:lang w:eastAsia="es-MX"/>
              </w:rPr>
            </w:pPr>
            <w:r w:rsidRPr="005A31BC">
              <w:rPr>
                <w:spacing w:val="-6"/>
                <w:w w:val="105"/>
                <w:szCs w:val="22"/>
              </w:rPr>
              <w:t>62</w:t>
            </w:r>
            <w:r w:rsidRPr="005A31BC">
              <w:rPr>
                <w:color w:val="606060"/>
                <w:spacing w:val="-6"/>
                <w:w w:val="105"/>
                <w:szCs w:val="22"/>
              </w:rPr>
              <w:t>,</w:t>
            </w:r>
            <w:r w:rsidRPr="005A31BC">
              <w:rPr>
                <w:color w:val="444444"/>
                <w:spacing w:val="-6"/>
                <w:w w:val="105"/>
                <w:szCs w:val="22"/>
              </w:rPr>
              <w:t>3</w:t>
            </w:r>
          </w:p>
        </w:tc>
        <w:tc>
          <w:tcPr>
            <w:tcW w:w="1134" w:type="dxa"/>
            <w:shd w:val="clear" w:color="auto" w:fill="auto"/>
            <w:noWrap/>
            <w:vAlign w:val="center"/>
            <w:hideMark/>
          </w:tcPr>
          <w:p w14:paraId="32F60083" w14:textId="77777777" w:rsidR="008C3A64" w:rsidRPr="005A31BC" w:rsidRDefault="008C3A64" w:rsidP="00FF1F9A">
            <w:pPr>
              <w:jc w:val="right"/>
              <w:rPr>
                <w:color w:val="3B3B3B"/>
                <w:spacing w:val="-6"/>
                <w:szCs w:val="22"/>
                <w:lang w:eastAsia="es-MX"/>
              </w:rPr>
            </w:pPr>
            <w:r w:rsidRPr="005A31BC">
              <w:rPr>
                <w:color w:val="161616"/>
                <w:spacing w:val="-6"/>
                <w:w w:val="105"/>
                <w:szCs w:val="22"/>
              </w:rPr>
              <w:t>1.</w:t>
            </w:r>
            <w:r w:rsidRPr="005A31BC">
              <w:rPr>
                <w:spacing w:val="-6"/>
                <w:w w:val="105"/>
                <w:szCs w:val="22"/>
              </w:rPr>
              <w:t>9</w:t>
            </w:r>
            <w:r w:rsidRPr="005A31BC">
              <w:rPr>
                <w:color w:val="161616"/>
                <w:spacing w:val="-6"/>
                <w:w w:val="105"/>
                <w:szCs w:val="22"/>
              </w:rPr>
              <w:t>1</w:t>
            </w:r>
            <w:r w:rsidRPr="005A31BC">
              <w:rPr>
                <w:color w:val="444444"/>
                <w:spacing w:val="-6"/>
                <w:w w:val="105"/>
                <w:szCs w:val="22"/>
              </w:rPr>
              <w:t>7</w:t>
            </w:r>
          </w:p>
        </w:tc>
        <w:tc>
          <w:tcPr>
            <w:tcW w:w="870" w:type="dxa"/>
            <w:shd w:val="clear" w:color="auto" w:fill="auto"/>
            <w:noWrap/>
            <w:vAlign w:val="center"/>
            <w:hideMark/>
          </w:tcPr>
          <w:p w14:paraId="227E6C12" w14:textId="77777777" w:rsidR="008C3A64" w:rsidRPr="005A31BC" w:rsidRDefault="008C3A64" w:rsidP="00FF1F9A">
            <w:pPr>
              <w:jc w:val="right"/>
              <w:rPr>
                <w:spacing w:val="-6"/>
                <w:szCs w:val="22"/>
                <w:lang w:eastAsia="es-MX"/>
              </w:rPr>
            </w:pPr>
            <w:r w:rsidRPr="005A31BC">
              <w:rPr>
                <w:color w:val="444444"/>
                <w:spacing w:val="-6"/>
                <w:w w:val="110"/>
                <w:szCs w:val="22"/>
              </w:rPr>
              <w:t>37,7</w:t>
            </w:r>
          </w:p>
        </w:tc>
        <w:tc>
          <w:tcPr>
            <w:tcW w:w="1134" w:type="dxa"/>
            <w:shd w:val="clear" w:color="auto" w:fill="D0CECE" w:themeFill="background2" w:themeFillShade="E6"/>
            <w:noWrap/>
            <w:vAlign w:val="center"/>
            <w:hideMark/>
          </w:tcPr>
          <w:p w14:paraId="6704B724" w14:textId="77777777" w:rsidR="008C3A64" w:rsidRPr="005A31BC" w:rsidRDefault="008C3A64" w:rsidP="00FF1F9A">
            <w:pPr>
              <w:jc w:val="right"/>
              <w:rPr>
                <w:spacing w:val="-6"/>
                <w:szCs w:val="22"/>
                <w:lang w:eastAsia="es-MX"/>
              </w:rPr>
            </w:pPr>
            <w:r w:rsidRPr="005A31BC">
              <w:rPr>
                <w:spacing w:val="-6"/>
                <w:w w:val="105"/>
                <w:szCs w:val="22"/>
              </w:rPr>
              <w:t>5</w:t>
            </w:r>
            <w:r w:rsidRPr="005A31BC">
              <w:rPr>
                <w:color w:val="030303"/>
                <w:spacing w:val="-6"/>
                <w:w w:val="105"/>
                <w:szCs w:val="22"/>
              </w:rPr>
              <w:t>.</w:t>
            </w:r>
            <w:r w:rsidRPr="005A31BC">
              <w:rPr>
                <w:color w:val="444444"/>
                <w:spacing w:val="-6"/>
                <w:w w:val="105"/>
                <w:szCs w:val="22"/>
              </w:rPr>
              <w:t>082</w:t>
            </w:r>
          </w:p>
        </w:tc>
        <w:tc>
          <w:tcPr>
            <w:tcW w:w="1171" w:type="dxa"/>
            <w:shd w:val="clear" w:color="auto" w:fill="D0CECE" w:themeFill="background2" w:themeFillShade="E6"/>
            <w:noWrap/>
            <w:vAlign w:val="center"/>
            <w:hideMark/>
          </w:tcPr>
          <w:p w14:paraId="3AF2E0A8" w14:textId="77777777" w:rsidR="008C3A64" w:rsidRPr="005A31BC" w:rsidRDefault="008C3A64" w:rsidP="00FF1F9A">
            <w:pPr>
              <w:jc w:val="right"/>
              <w:rPr>
                <w:spacing w:val="-6"/>
                <w:szCs w:val="22"/>
                <w:lang w:eastAsia="es-MX"/>
              </w:rPr>
            </w:pPr>
            <w:r w:rsidRPr="005A31BC">
              <w:rPr>
                <w:color w:val="161616"/>
                <w:spacing w:val="-6"/>
                <w:w w:val="110"/>
                <w:szCs w:val="22"/>
              </w:rPr>
              <w:t>1</w:t>
            </w:r>
            <w:r w:rsidRPr="005A31BC">
              <w:rPr>
                <w:color w:val="606060"/>
                <w:spacing w:val="-6"/>
                <w:w w:val="110"/>
                <w:szCs w:val="22"/>
              </w:rPr>
              <w:t>,</w:t>
            </w:r>
            <w:r w:rsidRPr="005A31BC">
              <w:rPr>
                <w:spacing w:val="-6"/>
                <w:w w:val="110"/>
                <w:szCs w:val="22"/>
              </w:rPr>
              <w:t>4</w:t>
            </w:r>
          </w:p>
        </w:tc>
      </w:tr>
      <w:tr w:rsidR="008C3A64" w:rsidRPr="005A31BC" w14:paraId="1CD069FE" w14:textId="77777777" w:rsidTr="00CC67C0">
        <w:trPr>
          <w:trHeight w:val="397"/>
          <w:jc w:val="center"/>
        </w:trPr>
        <w:tc>
          <w:tcPr>
            <w:tcW w:w="2249" w:type="dxa"/>
            <w:shd w:val="clear" w:color="auto" w:fill="auto"/>
            <w:vAlign w:val="center"/>
            <w:hideMark/>
          </w:tcPr>
          <w:p w14:paraId="5333DEDC" w14:textId="77777777" w:rsidR="008C3A64" w:rsidRPr="005A31BC" w:rsidRDefault="008C3A64" w:rsidP="00FF1F9A">
            <w:pPr>
              <w:jc w:val="right"/>
              <w:rPr>
                <w:color w:val="000000"/>
                <w:spacing w:val="-6"/>
                <w:szCs w:val="22"/>
                <w:lang w:eastAsia="es-MX"/>
              </w:rPr>
            </w:pPr>
            <w:r w:rsidRPr="005A31BC">
              <w:rPr>
                <w:spacing w:val="-6"/>
                <w:szCs w:val="22"/>
                <w:lang w:eastAsia="es-MX"/>
              </w:rPr>
              <w:t>16  Puente Aranda</w:t>
            </w:r>
          </w:p>
        </w:tc>
        <w:tc>
          <w:tcPr>
            <w:tcW w:w="1276" w:type="dxa"/>
            <w:shd w:val="clear" w:color="auto" w:fill="auto"/>
            <w:noWrap/>
            <w:vAlign w:val="center"/>
            <w:hideMark/>
          </w:tcPr>
          <w:p w14:paraId="07F96E06" w14:textId="77777777" w:rsidR="008C3A64" w:rsidRPr="005A31BC" w:rsidRDefault="008C3A64" w:rsidP="00FF1F9A">
            <w:pPr>
              <w:jc w:val="right"/>
              <w:rPr>
                <w:color w:val="646464"/>
                <w:spacing w:val="-6"/>
                <w:szCs w:val="22"/>
                <w:lang w:eastAsia="es-MX"/>
              </w:rPr>
            </w:pPr>
            <w:r w:rsidRPr="005A31BC">
              <w:rPr>
                <w:color w:val="444444"/>
                <w:spacing w:val="-6"/>
                <w:w w:val="105"/>
                <w:szCs w:val="22"/>
              </w:rPr>
              <w:t>7</w:t>
            </w:r>
            <w:r w:rsidRPr="005A31BC">
              <w:rPr>
                <w:color w:val="030303"/>
                <w:spacing w:val="-6"/>
                <w:w w:val="105"/>
                <w:szCs w:val="22"/>
              </w:rPr>
              <w:t>.1</w:t>
            </w:r>
            <w:r w:rsidRPr="005A31BC">
              <w:rPr>
                <w:spacing w:val="-6"/>
                <w:w w:val="105"/>
                <w:szCs w:val="22"/>
              </w:rPr>
              <w:t>80</w:t>
            </w:r>
          </w:p>
        </w:tc>
        <w:tc>
          <w:tcPr>
            <w:tcW w:w="992" w:type="dxa"/>
            <w:shd w:val="clear" w:color="auto" w:fill="auto"/>
            <w:noWrap/>
            <w:vAlign w:val="center"/>
            <w:hideMark/>
          </w:tcPr>
          <w:p w14:paraId="06FE9654" w14:textId="77777777" w:rsidR="008C3A64" w:rsidRPr="005A31BC" w:rsidRDefault="008C3A64" w:rsidP="00FF1F9A">
            <w:pPr>
              <w:jc w:val="right"/>
              <w:rPr>
                <w:spacing w:val="-6"/>
                <w:szCs w:val="22"/>
                <w:lang w:eastAsia="es-MX"/>
              </w:rPr>
            </w:pPr>
            <w:r w:rsidRPr="005A31BC">
              <w:rPr>
                <w:spacing w:val="-6"/>
                <w:w w:val="105"/>
                <w:szCs w:val="22"/>
              </w:rPr>
              <w:t>58</w:t>
            </w:r>
            <w:r w:rsidRPr="005A31BC">
              <w:rPr>
                <w:color w:val="606060"/>
                <w:spacing w:val="-6"/>
                <w:w w:val="105"/>
                <w:szCs w:val="22"/>
              </w:rPr>
              <w:t>,</w:t>
            </w:r>
            <w:r w:rsidRPr="005A31BC">
              <w:rPr>
                <w:spacing w:val="-6"/>
                <w:w w:val="105"/>
                <w:szCs w:val="22"/>
              </w:rPr>
              <w:t>8</w:t>
            </w:r>
          </w:p>
        </w:tc>
        <w:tc>
          <w:tcPr>
            <w:tcW w:w="1134" w:type="dxa"/>
            <w:shd w:val="clear" w:color="auto" w:fill="auto"/>
            <w:noWrap/>
            <w:vAlign w:val="center"/>
            <w:hideMark/>
          </w:tcPr>
          <w:p w14:paraId="6FD9C631" w14:textId="77777777" w:rsidR="008C3A64" w:rsidRPr="005A31BC" w:rsidRDefault="008C3A64" w:rsidP="00FF1F9A">
            <w:pPr>
              <w:jc w:val="right"/>
              <w:rPr>
                <w:spacing w:val="-6"/>
                <w:szCs w:val="22"/>
                <w:lang w:eastAsia="es-MX"/>
              </w:rPr>
            </w:pPr>
            <w:r w:rsidRPr="005A31BC">
              <w:rPr>
                <w:spacing w:val="-6"/>
                <w:w w:val="110"/>
                <w:szCs w:val="22"/>
              </w:rPr>
              <w:t>5</w:t>
            </w:r>
            <w:r w:rsidRPr="005A31BC">
              <w:rPr>
                <w:color w:val="030303"/>
                <w:spacing w:val="-6"/>
                <w:w w:val="110"/>
                <w:szCs w:val="22"/>
              </w:rPr>
              <w:t>.</w:t>
            </w:r>
            <w:r w:rsidRPr="005A31BC">
              <w:rPr>
                <w:spacing w:val="-6"/>
                <w:w w:val="110"/>
                <w:szCs w:val="22"/>
              </w:rPr>
              <w:t>030</w:t>
            </w:r>
          </w:p>
        </w:tc>
        <w:tc>
          <w:tcPr>
            <w:tcW w:w="870" w:type="dxa"/>
            <w:shd w:val="clear" w:color="auto" w:fill="auto"/>
            <w:noWrap/>
            <w:vAlign w:val="center"/>
            <w:hideMark/>
          </w:tcPr>
          <w:p w14:paraId="1095300D" w14:textId="77777777" w:rsidR="008C3A64" w:rsidRPr="005A31BC" w:rsidRDefault="008C3A64" w:rsidP="00FF1F9A">
            <w:pPr>
              <w:jc w:val="right"/>
              <w:rPr>
                <w:color w:val="3B3B3B"/>
                <w:spacing w:val="-6"/>
                <w:szCs w:val="22"/>
                <w:lang w:eastAsia="es-MX"/>
              </w:rPr>
            </w:pPr>
            <w:r w:rsidRPr="005A31BC">
              <w:rPr>
                <w:spacing w:val="-6"/>
                <w:w w:val="110"/>
                <w:szCs w:val="22"/>
              </w:rPr>
              <w:t>41,2</w:t>
            </w:r>
          </w:p>
        </w:tc>
        <w:tc>
          <w:tcPr>
            <w:tcW w:w="1134" w:type="dxa"/>
            <w:shd w:val="clear" w:color="auto" w:fill="D0CECE" w:themeFill="background2" w:themeFillShade="E6"/>
            <w:noWrap/>
            <w:vAlign w:val="center"/>
            <w:hideMark/>
          </w:tcPr>
          <w:p w14:paraId="46612C14" w14:textId="77777777" w:rsidR="008C3A64" w:rsidRPr="005A31BC" w:rsidRDefault="008C3A64" w:rsidP="00FF1F9A">
            <w:pPr>
              <w:jc w:val="right"/>
              <w:rPr>
                <w:spacing w:val="-6"/>
                <w:szCs w:val="22"/>
                <w:lang w:eastAsia="es-MX"/>
              </w:rPr>
            </w:pPr>
            <w:r w:rsidRPr="005A31BC">
              <w:rPr>
                <w:color w:val="161616"/>
                <w:spacing w:val="-6"/>
                <w:w w:val="120"/>
                <w:szCs w:val="22"/>
              </w:rPr>
              <w:t>12209</w:t>
            </w:r>
          </w:p>
        </w:tc>
        <w:tc>
          <w:tcPr>
            <w:tcW w:w="1171" w:type="dxa"/>
            <w:shd w:val="clear" w:color="auto" w:fill="D0CECE" w:themeFill="background2" w:themeFillShade="E6"/>
            <w:noWrap/>
            <w:vAlign w:val="center"/>
            <w:hideMark/>
          </w:tcPr>
          <w:p w14:paraId="18E4CE70" w14:textId="77777777" w:rsidR="008C3A64" w:rsidRPr="005A31BC" w:rsidRDefault="008C3A64" w:rsidP="00FF1F9A">
            <w:pPr>
              <w:jc w:val="right"/>
              <w:rPr>
                <w:spacing w:val="-6"/>
                <w:szCs w:val="22"/>
                <w:lang w:eastAsia="es-MX"/>
              </w:rPr>
            </w:pPr>
            <w:r w:rsidRPr="005A31BC">
              <w:rPr>
                <w:color w:val="444444"/>
                <w:spacing w:val="-6"/>
                <w:w w:val="110"/>
                <w:szCs w:val="22"/>
              </w:rPr>
              <w:t>3,5</w:t>
            </w:r>
          </w:p>
        </w:tc>
      </w:tr>
      <w:tr w:rsidR="008C3A64" w:rsidRPr="005A31BC" w14:paraId="1D8CE498" w14:textId="77777777" w:rsidTr="00CC67C0">
        <w:trPr>
          <w:trHeight w:val="397"/>
          <w:jc w:val="center"/>
        </w:trPr>
        <w:tc>
          <w:tcPr>
            <w:tcW w:w="2249" w:type="dxa"/>
            <w:shd w:val="clear" w:color="auto" w:fill="auto"/>
            <w:vAlign w:val="center"/>
            <w:hideMark/>
          </w:tcPr>
          <w:p w14:paraId="027EFDCF" w14:textId="77777777" w:rsidR="008C3A64" w:rsidRPr="005A31BC" w:rsidRDefault="008C3A64" w:rsidP="00FF1F9A">
            <w:pPr>
              <w:jc w:val="right"/>
              <w:rPr>
                <w:color w:val="000000"/>
                <w:spacing w:val="-6"/>
                <w:szCs w:val="22"/>
                <w:lang w:eastAsia="es-MX"/>
              </w:rPr>
            </w:pPr>
            <w:r w:rsidRPr="005A31BC">
              <w:rPr>
                <w:color w:val="3B3B3B"/>
                <w:spacing w:val="-6"/>
                <w:szCs w:val="22"/>
                <w:lang w:eastAsia="es-MX"/>
              </w:rPr>
              <w:t>1</w:t>
            </w:r>
            <w:r w:rsidRPr="005A31BC">
              <w:rPr>
                <w:color w:val="646464"/>
                <w:spacing w:val="-6"/>
                <w:szCs w:val="22"/>
                <w:lang w:eastAsia="es-MX"/>
              </w:rPr>
              <w:t xml:space="preserve">7  </w:t>
            </w:r>
            <w:r w:rsidRPr="005A31BC">
              <w:rPr>
                <w:color w:val="3B3B3B"/>
                <w:spacing w:val="-6"/>
                <w:szCs w:val="22"/>
                <w:lang w:eastAsia="es-MX"/>
              </w:rPr>
              <w:t xml:space="preserve">La </w:t>
            </w:r>
            <w:r w:rsidRPr="005A31BC">
              <w:rPr>
                <w:spacing w:val="-6"/>
                <w:szCs w:val="22"/>
                <w:lang w:eastAsia="es-MX"/>
              </w:rPr>
              <w:t>Candelaria</w:t>
            </w:r>
          </w:p>
        </w:tc>
        <w:tc>
          <w:tcPr>
            <w:tcW w:w="1276" w:type="dxa"/>
            <w:shd w:val="clear" w:color="auto" w:fill="auto"/>
            <w:noWrap/>
            <w:vAlign w:val="center"/>
            <w:hideMark/>
          </w:tcPr>
          <w:p w14:paraId="5CDB9B14" w14:textId="77777777" w:rsidR="008C3A64" w:rsidRPr="005A31BC" w:rsidRDefault="008C3A64" w:rsidP="00FF1F9A">
            <w:pPr>
              <w:jc w:val="right"/>
              <w:rPr>
                <w:spacing w:val="-6"/>
                <w:szCs w:val="22"/>
                <w:lang w:eastAsia="es-MX"/>
              </w:rPr>
            </w:pPr>
            <w:r w:rsidRPr="005A31BC">
              <w:rPr>
                <w:spacing w:val="-6"/>
                <w:szCs w:val="22"/>
              </w:rPr>
              <w:t>472</w:t>
            </w:r>
          </w:p>
        </w:tc>
        <w:tc>
          <w:tcPr>
            <w:tcW w:w="992" w:type="dxa"/>
            <w:shd w:val="clear" w:color="auto" w:fill="auto"/>
            <w:noWrap/>
            <w:vAlign w:val="center"/>
            <w:hideMark/>
          </w:tcPr>
          <w:p w14:paraId="6FD946E6" w14:textId="77777777" w:rsidR="008C3A64" w:rsidRPr="005A31BC" w:rsidRDefault="008C3A64" w:rsidP="00FF1F9A">
            <w:pPr>
              <w:jc w:val="right"/>
              <w:rPr>
                <w:color w:val="3B3B3B"/>
                <w:spacing w:val="-6"/>
                <w:szCs w:val="22"/>
                <w:lang w:eastAsia="es-MX"/>
              </w:rPr>
            </w:pPr>
            <w:r w:rsidRPr="005A31BC">
              <w:rPr>
                <w:spacing w:val="-6"/>
                <w:w w:val="110"/>
                <w:szCs w:val="22"/>
              </w:rPr>
              <w:t>56,7</w:t>
            </w:r>
          </w:p>
        </w:tc>
        <w:tc>
          <w:tcPr>
            <w:tcW w:w="1134" w:type="dxa"/>
            <w:shd w:val="clear" w:color="auto" w:fill="auto"/>
            <w:noWrap/>
            <w:vAlign w:val="center"/>
            <w:hideMark/>
          </w:tcPr>
          <w:p w14:paraId="7D81E754" w14:textId="77777777" w:rsidR="008C3A64" w:rsidRPr="005A31BC" w:rsidRDefault="008C3A64" w:rsidP="00FF1F9A">
            <w:pPr>
              <w:jc w:val="right"/>
              <w:rPr>
                <w:color w:val="646464"/>
                <w:spacing w:val="-6"/>
                <w:szCs w:val="22"/>
                <w:lang w:eastAsia="es-MX"/>
              </w:rPr>
            </w:pPr>
            <w:r w:rsidRPr="005A31BC">
              <w:rPr>
                <w:color w:val="444444"/>
                <w:spacing w:val="-6"/>
                <w:w w:val="115"/>
                <w:szCs w:val="22"/>
              </w:rPr>
              <w:t>36</w:t>
            </w:r>
            <w:r w:rsidRPr="005A31BC">
              <w:rPr>
                <w:color w:val="161616"/>
                <w:spacing w:val="-6"/>
                <w:w w:val="115"/>
                <w:szCs w:val="22"/>
              </w:rPr>
              <w:t>1</w:t>
            </w:r>
          </w:p>
        </w:tc>
        <w:tc>
          <w:tcPr>
            <w:tcW w:w="870" w:type="dxa"/>
            <w:shd w:val="clear" w:color="auto" w:fill="auto"/>
            <w:noWrap/>
            <w:vAlign w:val="center"/>
            <w:hideMark/>
          </w:tcPr>
          <w:p w14:paraId="7B94726E" w14:textId="77777777" w:rsidR="008C3A64" w:rsidRPr="005A31BC" w:rsidRDefault="008C3A64" w:rsidP="00FF1F9A">
            <w:pPr>
              <w:jc w:val="right"/>
              <w:rPr>
                <w:spacing w:val="-6"/>
                <w:szCs w:val="22"/>
                <w:lang w:eastAsia="es-MX"/>
              </w:rPr>
            </w:pPr>
            <w:r w:rsidRPr="005A31BC">
              <w:rPr>
                <w:spacing w:val="-6"/>
                <w:w w:val="105"/>
                <w:szCs w:val="22"/>
              </w:rPr>
              <w:t>43</w:t>
            </w:r>
            <w:r w:rsidRPr="005A31BC">
              <w:rPr>
                <w:color w:val="606060"/>
                <w:spacing w:val="-6"/>
                <w:w w:val="105"/>
                <w:szCs w:val="22"/>
              </w:rPr>
              <w:t>,</w:t>
            </w:r>
            <w:r w:rsidRPr="005A31BC">
              <w:rPr>
                <w:color w:val="444444"/>
                <w:spacing w:val="-6"/>
                <w:w w:val="105"/>
                <w:szCs w:val="22"/>
              </w:rPr>
              <w:t>3</w:t>
            </w:r>
          </w:p>
        </w:tc>
        <w:tc>
          <w:tcPr>
            <w:tcW w:w="1134" w:type="dxa"/>
            <w:shd w:val="clear" w:color="auto" w:fill="D0CECE" w:themeFill="background2" w:themeFillShade="E6"/>
            <w:noWrap/>
            <w:vAlign w:val="center"/>
            <w:hideMark/>
          </w:tcPr>
          <w:p w14:paraId="08F6DBFA" w14:textId="77777777" w:rsidR="008C3A64" w:rsidRPr="005A31BC" w:rsidRDefault="008C3A64" w:rsidP="00FF1F9A">
            <w:pPr>
              <w:jc w:val="right"/>
              <w:rPr>
                <w:spacing w:val="-6"/>
                <w:szCs w:val="22"/>
                <w:lang w:eastAsia="es-MX"/>
              </w:rPr>
            </w:pPr>
            <w:r w:rsidRPr="005A31BC">
              <w:rPr>
                <w:spacing w:val="-6"/>
                <w:w w:val="105"/>
                <w:szCs w:val="22"/>
              </w:rPr>
              <w:t>833</w:t>
            </w:r>
          </w:p>
        </w:tc>
        <w:tc>
          <w:tcPr>
            <w:tcW w:w="1171" w:type="dxa"/>
            <w:shd w:val="clear" w:color="auto" w:fill="D0CECE" w:themeFill="background2" w:themeFillShade="E6"/>
            <w:noWrap/>
            <w:vAlign w:val="center"/>
            <w:hideMark/>
          </w:tcPr>
          <w:p w14:paraId="0161BC99" w14:textId="77777777" w:rsidR="008C3A64" w:rsidRPr="005A31BC" w:rsidRDefault="008C3A64" w:rsidP="00FF1F9A">
            <w:pPr>
              <w:jc w:val="right"/>
              <w:rPr>
                <w:spacing w:val="-6"/>
                <w:szCs w:val="22"/>
                <w:lang w:eastAsia="es-MX"/>
              </w:rPr>
            </w:pPr>
            <w:r w:rsidRPr="005A31BC">
              <w:rPr>
                <w:color w:val="444444"/>
                <w:spacing w:val="-6"/>
                <w:w w:val="110"/>
                <w:szCs w:val="22"/>
              </w:rPr>
              <w:t>0,2</w:t>
            </w:r>
          </w:p>
        </w:tc>
      </w:tr>
      <w:tr w:rsidR="008C3A64" w:rsidRPr="005A31BC" w14:paraId="0EA429F6" w14:textId="77777777" w:rsidTr="00CC67C0">
        <w:trPr>
          <w:trHeight w:val="397"/>
          <w:jc w:val="center"/>
        </w:trPr>
        <w:tc>
          <w:tcPr>
            <w:tcW w:w="2249" w:type="dxa"/>
            <w:shd w:val="clear" w:color="auto" w:fill="auto"/>
            <w:vAlign w:val="center"/>
            <w:hideMark/>
          </w:tcPr>
          <w:p w14:paraId="412A58BC" w14:textId="48088C79" w:rsidR="008C3A64" w:rsidRPr="005A31BC" w:rsidRDefault="008C3A64" w:rsidP="00FF1F9A">
            <w:pPr>
              <w:jc w:val="right"/>
              <w:rPr>
                <w:color w:val="000000"/>
                <w:spacing w:val="-6"/>
                <w:szCs w:val="22"/>
                <w:lang w:eastAsia="es-MX"/>
              </w:rPr>
            </w:pPr>
            <w:r w:rsidRPr="005A31BC">
              <w:rPr>
                <w:color w:val="3B3B3B"/>
                <w:spacing w:val="-6"/>
                <w:szCs w:val="22"/>
                <w:lang w:eastAsia="es-MX"/>
              </w:rPr>
              <w:t xml:space="preserve">18  Rafael </w:t>
            </w:r>
            <w:r w:rsidRPr="005A31BC">
              <w:rPr>
                <w:spacing w:val="-6"/>
                <w:szCs w:val="22"/>
                <w:lang w:eastAsia="es-MX"/>
              </w:rPr>
              <w:t>Uribe U</w:t>
            </w:r>
            <w:r w:rsidR="00393CC7">
              <w:rPr>
                <w:spacing w:val="-6"/>
                <w:szCs w:val="22"/>
                <w:lang w:eastAsia="es-MX"/>
              </w:rPr>
              <w:t>r</w:t>
            </w:r>
            <w:r w:rsidRPr="005A31BC">
              <w:rPr>
                <w:spacing w:val="-6"/>
                <w:szCs w:val="22"/>
                <w:lang w:eastAsia="es-MX"/>
              </w:rPr>
              <w:t>ibe</w:t>
            </w:r>
          </w:p>
        </w:tc>
        <w:tc>
          <w:tcPr>
            <w:tcW w:w="1276" w:type="dxa"/>
            <w:shd w:val="clear" w:color="auto" w:fill="auto"/>
            <w:noWrap/>
            <w:vAlign w:val="center"/>
            <w:hideMark/>
          </w:tcPr>
          <w:p w14:paraId="109B0E83" w14:textId="77777777" w:rsidR="008C3A64" w:rsidRPr="005A31BC" w:rsidRDefault="008C3A64" w:rsidP="00FF1F9A">
            <w:pPr>
              <w:jc w:val="right"/>
              <w:rPr>
                <w:color w:val="3B3B3B"/>
                <w:spacing w:val="-6"/>
                <w:szCs w:val="22"/>
                <w:lang w:eastAsia="es-MX"/>
              </w:rPr>
            </w:pPr>
            <w:r w:rsidRPr="005A31BC">
              <w:rPr>
                <w:color w:val="161616"/>
                <w:spacing w:val="-6"/>
                <w:w w:val="110"/>
                <w:szCs w:val="22"/>
              </w:rPr>
              <w:t>1</w:t>
            </w:r>
            <w:r w:rsidRPr="005A31BC">
              <w:rPr>
                <w:spacing w:val="-6"/>
                <w:w w:val="110"/>
                <w:szCs w:val="22"/>
              </w:rPr>
              <w:t>0</w:t>
            </w:r>
            <w:r w:rsidRPr="005A31BC">
              <w:rPr>
                <w:color w:val="030303"/>
                <w:spacing w:val="-6"/>
                <w:w w:val="110"/>
                <w:szCs w:val="22"/>
              </w:rPr>
              <w:t>.</w:t>
            </w:r>
            <w:r w:rsidRPr="005A31BC">
              <w:rPr>
                <w:color w:val="444444"/>
                <w:spacing w:val="-6"/>
                <w:w w:val="110"/>
                <w:szCs w:val="22"/>
              </w:rPr>
              <w:t>780</w:t>
            </w:r>
          </w:p>
        </w:tc>
        <w:tc>
          <w:tcPr>
            <w:tcW w:w="992" w:type="dxa"/>
            <w:shd w:val="clear" w:color="auto" w:fill="auto"/>
            <w:noWrap/>
            <w:vAlign w:val="center"/>
            <w:hideMark/>
          </w:tcPr>
          <w:p w14:paraId="27886A18" w14:textId="77777777" w:rsidR="008C3A64" w:rsidRPr="005A31BC" w:rsidRDefault="008C3A64" w:rsidP="00FF1F9A">
            <w:pPr>
              <w:jc w:val="right"/>
              <w:rPr>
                <w:color w:val="3B3B3B"/>
                <w:spacing w:val="-6"/>
                <w:szCs w:val="22"/>
                <w:lang w:eastAsia="es-MX"/>
              </w:rPr>
            </w:pPr>
            <w:r w:rsidRPr="005A31BC">
              <w:rPr>
                <w:spacing w:val="-6"/>
                <w:w w:val="105"/>
                <w:szCs w:val="22"/>
              </w:rPr>
              <w:t>57</w:t>
            </w:r>
            <w:r w:rsidRPr="005A31BC">
              <w:rPr>
                <w:color w:val="606060"/>
                <w:spacing w:val="-6"/>
                <w:w w:val="105"/>
                <w:szCs w:val="22"/>
              </w:rPr>
              <w:t>,</w:t>
            </w:r>
            <w:r w:rsidRPr="005A31BC">
              <w:rPr>
                <w:spacing w:val="-6"/>
                <w:w w:val="105"/>
                <w:szCs w:val="22"/>
              </w:rPr>
              <w:t>6</w:t>
            </w:r>
          </w:p>
        </w:tc>
        <w:tc>
          <w:tcPr>
            <w:tcW w:w="1134" w:type="dxa"/>
            <w:shd w:val="clear" w:color="auto" w:fill="auto"/>
            <w:noWrap/>
            <w:vAlign w:val="center"/>
            <w:hideMark/>
          </w:tcPr>
          <w:p w14:paraId="375ADE88" w14:textId="77777777" w:rsidR="008C3A64" w:rsidRPr="005A31BC" w:rsidRDefault="008C3A64" w:rsidP="00FF1F9A">
            <w:pPr>
              <w:jc w:val="right"/>
              <w:rPr>
                <w:color w:val="646464"/>
                <w:spacing w:val="-6"/>
                <w:szCs w:val="22"/>
                <w:lang w:eastAsia="es-MX"/>
              </w:rPr>
            </w:pPr>
            <w:r w:rsidRPr="005A31BC">
              <w:rPr>
                <w:color w:val="444444"/>
                <w:spacing w:val="-6"/>
                <w:w w:val="115"/>
                <w:szCs w:val="22"/>
              </w:rPr>
              <w:t>7</w:t>
            </w:r>
            <w:r w:rsidRPr="005A31BC">
              <w:rPr>
                <w:color w:val="030303"/>
                <w:spacing w:val="-6"/>
                <w:w w:val="115"/>
                <w:szCs w:val="22"/>
              </w:rPr>
              <w:t>.</w:t>
            </w:r>
            <w:r w:rsidRPr="005A31BC">
              <w:rPr>
                <w:spacing w:val="-6"/>
                <w:w w:val="115"/>
                <w:szCs w:val="22"/>
              </w:rPr>
              <w:t>93</w:t>
            </w:r>
            <w:r w:rsidRPr="005A31BC">
              <w:rPr>
                <w:color w:val="161616"/>
                <w:spacing w:val="-6"/>
                <w:w w:val="115"/>
                <w:szCs w:val="22"/>
              </w:rPr>
              <w:t>1</w:t>
            </w:r>
          </w:p>
        </w:tc>
        <w:tc>
          <w:tcPr>
            <w:tcW w:w="870" w:type="dxa"/>
            <w:shd w:val="clear" w:color="auto" w:fill="auto"/>
            <w:noWrap/>
            <w:vAlign w:val="center"/>
            <w:hideMark/>
          </w:tcPr>
          <w:p w14:paraId="3417C9A5" w14:textId="77777777" w:rsidR="008C3A64" w:rsidRPr="005A31BC" w:rsidRDefault="008C3A64" w:rsidP="00FF1F9A">
            <w:pPr>
              <w:jc w:val="right"/>
              <w:rPr>
                <w:color w:val="3B3B3B"/>
                <w:spacing w:val="-6"/>
                <w:szCs w:val="22"/>
                <w:lang w:eastAsia="es-MX"/>
              </w:rPr>
            </w:pPr>
            <w:r w:rsidRPr="005A31BC">
              <w:rPr>
                <w:spacing w:val="-6"/>
                <w:w w:val="105"/>
                <w:szCs w:val="22"/>
              </w:rPr>
              <w:t>42</w:t>
            </w:r>
            <w:r w:rsidRPr="005A31BC">
              <w:rPr>
                <w:color w:val="606060"/>
                <w:spacing w:val="-6"/>
                <w:w w:val="105"/>
                <w:szCs w:val="22"/>
              </w:rPr>
              <w:t>,</w:t>
            </w:r>
            <w:r w:rsidRPr="005A31BC">
              <w:rPr>
                <w:spacing w:val="-6"/>
                <w:w w:val="105"/>
                <w:szCs w:val="22"/>
              </w:rPr>
              <w:t>4</w:t>
            </w:r>
          </w:p>
        </w:tc>
        <w:tc>
          <w:tcPr>
            <w:tcW w:w="1134" w:type="dxa"/>
            <w:shd w:val="clear" w:color="auto" w:fill="D0CECE" w:themeFill="background2" w:themeFillShade="E6"/>
            <w:noWrap/>
            <w:vAlign w:val="center"/>
            <w:hideMark/>
          </w:tcPr>
          <w:p w14:paraId="0F9F884D" w14:textId="77777777" w:rsidR="008C3A64" w:rsidRPr="005A31BC" w:rsidRDefault="008C3A64" w:rsidP="00FF1F9A">
            <w:pPr>
              <w:jc w:val="right"/>
              <w:rPr>
                <w:spacing w:val="-6"/>
                <w:szCs w:val="22"/>
                <w:lang w:eastAsia="es-MX"/>
              </w:rPr>
            </w:pPr>
            <w:r w:rsidRPr="005A31BC">
              <w:rPr>
                <w:color w:val="161616"/>
                <w:spacing w:val="-6"/>
                <w:w w:val="105"/>
                <w:szCs w:val="22"/>
              </w:rPr>
              <w:t>1</w:t>
            </w:r>
            <w:r w:rsidRPr="005A31BC">
              <w:rPr>
                <w:spacing w:val="-6"/>
                <w:w w:val="105"/>
                <w:szCs w:val="22"/>
              </w:rPr>
              <w:t>8</w:t>
            </w:r>
            <w:r w:rsidRPr="005A31BC">
              <w:rPr>
                <w:color w:val="030303"/>
                <w:spacing w:val="-6"/>
                <w:w w:val="105"/>
                <w:szCs w:val="22"/>
              </w:rPr>
              <w:t>.</w:t>
            </w:r>
            <w:r w:rsidRPr="005A31BC">
              <w:rPr>
                <w:color w:val="444444"/>
                <w:spacing w:val="-6"/>
                <w:w w:val="105"/>
                <w:szCs w:val="22"/>
              </w:rPr>
              <w:t>7</w:t>
            </w:r>
            <w:r w:rsidRPr="005A31BC">
              <w:rPr>
                <w:color w:val="161616"/>
                <w:spacing w:val="-6"/>
                <w:w w:val="105"/>
                <w:szCs w:val="22"/>
              </w:rPr>
              <w:t>1</w:t>
            </w:r>
            <w:r w:rsidRPr="005A31BC">
              <w:rPr>
                <w:spacing w:val="-6"/>
                <w:w w:val="105"/>
                <w:szCs w:val="22"/>
              </w:rPr>
              <w:t>2</w:t>
            </w:r>
          </w:p>
        </w:tc>
        <w:tc>
          <w:tcPr>
            <w:tcW w:w="1171" w:type="dxa"/>
            <w:shd w:val="clear" w:color="auto" w:fill="D0CECE" w:themeFill="background2" w:themeFillShade="E6"/>
            <w:noWrap/>
            <w:vAlign w:val="center"/>
            <w:hideMark/>
          </w:tcPr>
          <w:p w14:paraId="763C9EC7" w14:textId="77777777" w:rsidR="008C3A64" w:rsidRPr="005A31BC" w:rsidRDefault="008C3A64" w:rsidP="00FF1F9A">
            <w:pPr>
              <w:jc w:val="right"/>
              <w:rPr>
                <w:spacing w:val="-6"/>
                <w:szCs w:val="22"/>
                <w:lang w:eastAsia="es-MX"/>
              </w:rPr>
            </w:pPr>
            <w:r w:rsidRPr="005A31BC">
              <w:rPr>
                <w:spacing w:val="-6"/>
                <w:w w:val="105"/>
                <w:szCs w:val="22"/>
              </w:rPr>
              <w:t>5</w:t>
            </w:r>
            <w:r w:rsidRPr="005A31BC">
              <w:rPr>
                <w:color w:val="606060"/>
                <w:spacing w:val="-6"/>
                <w:w w:val="105"/>
                <w:szCs w:val="22"/>
              </w:rPr>
              <w:t>,</w:t>
            </w:r>
            <w:r w:rsidRPr="005A31BC">
              <w:rPr>
                <w:color w:val="444444"/>
                <w:spacing w:val="-6"/>
                <w:w w:val="105"/>
                <w:szCs w:val="22"/>
              </w:rPr>
              <w:t>3</w:t>
            </w:r>
          </w:p>
        </w:tc>
      </w:tr>
      <w:tr w:rsidR="008C3A64" w:rsidRPr="005A31BC" w14:paraId="0CCDFC71" w14:textId="77777777" w:rsidTr="00CC67C0">
        <w:trPr>
          <w:trHeight w:val="397"/>
          <w:jc w:val="center"/>
        </w:trPr>
        <w:tc>
          <w:tcPr>
            <w:tcW w:w="2249" w:type="dxa"/>
            <w:shd w:val="clear" w:color="auto" w:fill="auto"/>
            <w:vAlign w:val="center"/>
            <w:hideMark/>
          </w:tcPr>
          <w:p w14:paraId="4AEA8AF9" w14:textId="0B01E98F" w:rsidR="008C3A64" w:rsidRPr="005A31BC" w:rsidRDefault="008C3A64" w:rsidP="00FF1F9A">
            <w:pPr>
              <w:jc w:val="right"/>
              <w:rPr>
                <w:color w:val="000000"/>
                <w:spacing w:val="-6"/>
                <w:szCs w:val="22"/>
                <w:lang w:eastAsia="es-MX"/>
              </w:rPr>
            </w:pPr>
            <w:r w:rsidRPr="005A31BC">
              <w:rPr>
                <w:color w:val="3B3B3B"/>
                <w:spacing w:val="-6"/>
                <w:szCs w:val="22"/>
                <w:lang w:eastAsia="es-MX"/>
              </w:rPr>
              <w:t xml:space="preserve">19  </w:t>
            </w:r>
            <w:r w:rsidRPr="005A31BC">
              <w:rPr>
                <w:spacing w:val="-6"/>
                <w:szCs w:val="22"/>
                <w:lang w:eastAsia="es-MX"/>
              </w:rPr>
              <w:t>Ciudad</w:t>
            </w:r>
            <w:r w:rsidR="00393CC7">
              <w:rPr>
                <w:spacing w:val="-6"/>
                <w:szCs w:val="22"/>
                <w:lang w:eastAsia="es-MX"/>
              </w:rPr>
              <w:t xml:space="preserve"> </w:t>
            </w:r>
            <w:r w:rsidRPr="005A31BC">
              <w:rPr>
                <w:spacing w:val="-6"/>
                <w:szCs w:val="22"/>
                <w:lang w:eastAsia="es-MX"/>
              </w:rPr>
              <w:t>Bolívar</w:t>
            </w:r>
          </w:p>
        </w:tc>
        <w:tc>
          <w:tcPr>
            <w:tcW w:w="1276" w:type="dxa"/>
            <w:shd w:val="clear" w:color="auto" w:fill="auto"/>
            <w:noWrap/>
            <w:vAlign w:val="center"/>
            <w:hideMark/>
          </w:tcPr>
          <w:p w14:paraId="22E24CAC" w14:textId="77777777" w:rsidR="008C3A64" w:rsidRPr="005A31BC" w:rsidRDefault="008C3A64" w:rsidP="00FF1F9A">
            <w:pPr>
              <w:jc w:val="right"/>
              <w:rPr>
                <w:color w:val="3B3B3B"/>
                <w:spacing w:val="-6"/>
                <w:szCs w:val="22"/>
                <w:lang w:eastAsia="es-MX"/>
              </w:rPr>
            </w:pPr>
            <w:r w:rsidRPr="005A31BC">
              <w:rPr>
                <w:color w:val="161616"/>
                <w:spacing w:val="-6"/>
                <w:w w:val="110"/>
                <w:szCs w:val="22"/>
              </w:rPr>
              <w:t>18.489</w:t>
            </w:r>
          </w:p>
        </w:tc>
        <w:tc>
          <w:tcPr>
            <w:tcW w:w="992" w:type="dxa"/>
            <w:shd w:val="clear" w:color="auto" w:fill="auto"/>
            <w:noWrap/>
            <w:vAlign w:val="center"/>
            <w:hideMark/>
          </w:tcPr>
          <w:p w14:paraId="5EA430A2" w14:textId="77777777" w:rsidR="008C3A64" w:rsidRPr="005A31BC" w:rsidRDefault="008C3A64" w:rsidP="00FF1F9A">
            <w:pPr>
              <w:jc w:val="right"/>
              <w:rPr>
                <w:color w:val="3B3B3B"/>
                <w:spacing w:val="-6"/>
                <w:szCs w:val="22"/>
                <w:lang w:eastAsia="es-MX"/>
              </w:rPr>
            </w:pPr>
            <w:r w:rsidRPr="005A31BC">
              <w:rPr>
                <w:spacing w:val="-6"/>
                <w:w w:val="105"/>
                <w:szCs w:val="22"/>
              </w:rPr>
              <w:t>55</w:t>
            </w:r>
            <w:r w:rsidRPr="005A31BC">
              <w:rPr>
                <w:color w:val="606060"/>
                <w:spacing w:val="-6"/>
                <w:w w:val="105"/>
                <w:szCs w:val="22"/>
              </w:rPr>
              <w:t>,</w:t>
            </w:r>
            <w:r w:rsidRPr="005A31BC">
              <w:rPr>
                <w:spacing w:val="-6"/>
                <w:w w:val="105"/>
                <w:szCs w:val="22"/>
              </w:rPr>
              <w:t>0</w:t>
            </w:r>
          </w:p>
        </w:tc>
        <w:tc>
          <w:tcPr>
            <w:tcW w:w="1134" w:type="dxa"/>
            <w:shd w:val="clear" w:color="auto" w:fill="auto"/>
            <w:noWrap/>
            <w:vAlign w:val="center"/>
            <w:hideMark/>
          </w:tcPr>
          <w:p w14:paraId="5BEAA1FF" w14:textId="77777777" w:rsidR="008C3A64" w:rsidRPr="005A31BC" w:rsidRDefault="008C3A64" w:rsidP="00FF1F9A">
            <w:pPr>
              <w:jc w:val="right"/>
              <w:rPr>
                <w:color w:val="3B3B3B"/>
                <w:spacing w:val="-6"/>
                <w:szCs w:val="22"/>
                <w:lang w:eastAsia="es-MX"/>
              </w:rPr>
            </w:pPr>
            <w:r w:rsidRPr="005A31BC">
              <w:rPr>
                <w:color w:val="161616"/>
                <w:spacing w:val="-6"/>
                <w:w w:val="110"/>
                <w:szCs w:val="22"/>
              </w:rPr>
              <w:t>15.106</w:t>
            </w:r>
          </w:p>
        </w:tc>
        <w:tc>
          <w:tcPr>
            <w:tcW w:w="870" w:type="dxa"/>
            <w:shd w:val="clear" w:color="auto" w:fill="auto"/>
            <w:noWrap/>
            <w:vAlign w:val="center"/>
            <w:hideMark/>
          </w:tcPr>
          <w:p w14:paraId="5355AA19" w14:textId="77777777" w:rsidR="008C3A64" w:rsidRPr="005A31BC" w:rsidRDefault="008C3A64" w:rsidP="00FF1F9A">
            <w:pPr>
              <w:jc w:val="right"/>
              <w:rPr>
                <w:spacing w:val="-6"/>
                <w:szCs w:val="22"/>
                <w:lang w:eastAsia="es-MX"/>
              </w:rPr>
            </w:pPr>
            <w:r w:rsidRPr="005A31BC">
              <w:rPr>
                <w:spacing w:val="-6"/>
                <w:w w:val="105"/>
                <w:szCs w:val="22"/>
              </w:rPr>
              <w:t>45</w:t>
            </w:r>
            <w:r w:rsidRPr="005A31BC">
              <w:rPr>
                <w:color w:val="606060"/>
                <w:spacing w:val="-6"/>
                <w:w w:val="105"/>
                <w:szCs w:val="22"/>
              </w:rPr>
              <w:t>,</w:t>
            </w:r>
            <w:r w:rsidRPr="005A31BC">
              <w:rPr>
                <w:spacing w:val="-6"/>
                <w:w w:val="105"/>
                <w:szCs w:val="22"/>
              </w:rPr>
              <w:t>0</w:t>
            </w:r>
          </w:p>
        </w:tc>
        <w:tc>
          <w:tcPr>
            <w:tcW w:w="1134" w:type="dxa"/>
            <w:shd w:val="clear" w:color="auto" w:fill="D0CECE" w:themeFill="background2" w:themeFillShade="E6"/>
            <w:noWrap/>
            <w:vAlign w:val="center"/>
            <w:hideMark/>
          </w:tcPr>
          <w:p w14:paraId="186B6198" w14:textId="77777777" w:rsidR="008C3A64" w:rsidRPr="005A31BC" w:rsidRDefault="008C3A64" w:rsidP="00FF1F9A">
            <w:pPr>
              <w:jc w:val="right"/>
              <w:rPr>
                <w:spacing w:val="-6"/>
                <w:szCs w:val="22"/>
                <w:lang w:eastAsia="es-MX"/>
              </w:rPr>
            </w:pPr>
            <w:r w:rsidRPr="005A31BC">
              <w:rPr>
                <w:color w:val="444444"/>
                <w:spacing w:val="-6"/>
                <w:w w:val="110"/>
                <w:szCs w:val="22"/>
              </w:rPr>
              <w:t>33</w:t>
            </w:r>
            <w:r w:rsidRPr="005A31BC">
              <w:rPr>
                <w:color w:val="030303"/>
                <w:spacing w:val="-6"/>
                <w:w w:val="110"/>
                <w:szCs w:val="22"/>
              </w:rPr>
              <w:t>.</w:t>
            </w:r>
            <w:r w:rsidRPr="005A31BC">
              <w:rPr>
                <w:spacing w:val="-6"/>
                <w:w w:val="110"/>
                <w:szCs w:val="22"/>
              </w:rPr>
              <w:t>595</w:t>
            </w:r>
          </w:p>
        </w:tc>
        <w:tc>
          <w:tcPr>
            <w:tcW w:w="1171" w:type="dxa"/>
            <w:shd w:val="clear" w:color="auto" w:fill="D0CECE" w:themeFill="background2" w:themeFillShade="E6"/>
            <w:noWrap/>
            <w:vAlign w:val="center"/>
            <w:hideMark/>
          </w:tcPr>
          <w:p w14:paraId="6A8BB5E5" w14:textId="77777777" w:rsidR="008C3A64" w:rsidRPr="005A31BC" w:rsidRDefault="008C3A64" w:rsidP="00FF1F9A">
            <w:pPr>
              <w:jc w:val="right"/>
              <w:rPr>
                <w:spacing w:val="-6"/>
                <w:szCs w:val="22"/>
                <w:lang w:eastAsia="es-MX"/>
              </w:rPr>
            </w:pPr>
            <w:r w:rsidRPr="005A31BC">
              <w:rPr>
                <w:spacing w:val="-6"/>
                <w:w w:val="105"/>
                <w:szCs w:val="22"/>
              </w:rPr>
              <w:t>9</w:t>
            </w:r>
            <w:r w:rsidRPr="005A31BC">
              <w:rPr>
                <w:color w:val="606060"/>
                <w:spacing w:val="-6"/>
                <w:w w:val="105"/>
                <w:szCs w:val="22"/>
              </w:rPr>
              <w:t>,</w:t>
            </w:r>
            <w:r w:rsidRPr="005A31BC">
              <w:rPr>
                <w:spacing w:val="-6"/>
                <w:w w:val="105"/>
                <w:szCs w:val="22"/>
              </w:rPr>
              <w:t>5</w:t>
            </w:r>
          </w:p>
        </w:tc>
      </w:tr>
      <w:tr w:rsidR="008C3A64" w:rsidRPr="005A31BC" w14:paraId="0D77B96F" w14:textId="77777777" w:rsidTr="00CC67C0">
        <w:trPr>
          <w:trHeight w:val="397"/>
          <w:jc w:val="center"/>
        </w:trPr>
        <w:tc>
          <w:tcPr>
            <w:tcW w:w="2249" w:type="dxa"/>
            <w:shd w:val="clear" w:color="auto" w:fill="auto"/>
            <w:vAlign w:val="center"/>
            <w:hideMark/>
          </w:tcPr>
          <w:p w14:paraId="555A4441" w14:textId="77777777" w:rsidR="008C3A64" w:rsidRPr="005A31BC" w:rsidRDefault="008C3A64" w:rsidP="00FF1F9A">
            <w:pPr>
              <w:jc w:val="right"/>
              <w:rPr>
                <w:color w:val="000000"/>
                <w:spacing w:val="-6"/>
                <w:szCs w:val="22"/>
                <w:lang w:eastAsia="es-MX"/>
              </w:rPr>
            </w:pPr>
            <w:r w:rsidRPr="005A31BC">
              <w:rPr>
                <w:spacing w:val="-6"/>
                <w:szCs w:val="22"/>
                <w:lang w:eastAsia="es-MX"/>
              </w:rPr>
              <w:t>20  Sumapaz</w:t>
            </w:r>
          </w:p>
        </w:tc>
        <w:tc>
          <w:tcPr>
            <w:tcW w:w="1276" w:type="dxa"/>
            <w:shd w:val="clear" w:color="auto" w:fill="auto"/>
            <w:noWrap/>
            <w:vAlign w:val="center"/>
            <w:hideMark/>
          </w:tcPr>
          <w:p w14:paraId="02F95D37" w14:textId="77777777" w:rsidR="008C3A64" w:rsidRPr="005A31BC" w:rsidRDefault="008C3A64" w:rsidP="00FF1F9A">
            <w:pPr>
              <w:jc w:val="right"/>
              <w:rPr>
                <w:spacing w:val="-6"/>
                <w:szCs w:val="22"/>
                <w:lang w:eastAsia="es-MX"/>
              </w:rPr>
            </w:pPr>
            <w:r w:rsidRPr="005A31BC">
              <w:rPr>
                <w:spacing w:val="-6"/>
                <w:szCs w:val="22"/>
              </w:rPr>
              <w:t>126</w:t>
            </w:r>
          </w:p>
        </w:tc>
        <w:tc>
          <w:tcPr>
            <w:tcW w:w="992" w:type="dxa"/>
            <w:shd w:val="clear" w:color="auto" w:fill="auto"/>
            <w:noWrap/>
            <w:vAlign w:val="center"/>
            <w:hideMark/>
          </w:tcPr>
          <w:p w14:paraId="3379B42A" w14:textId="77777777" w:rsidR="008C3A64" w:rsidRPr="005A31BC" w:rsidRDefault="008C3A64" w:rsidP="00FF1F9A">
            <w:pPr>
              <w:jc w:val="right"/>
              <w:rPr>
                <w:color w:val="3B3B3B"/>
                <w:spacing w:val="-6"/>
                <w:szCs w:val="22"/>
                <w:lang w:eastAsia="es-MX"/>
              </w:rPr>
            </w:pPr>
            <w:r w:rsidRPr="005A31BC">
              <w:rPr>
                <w:spacing w:val="-6"/>
                <w:w w:val="105"/>
                <w:szCs w:val="22"/>
              </w:rPr>
              <w:t>47</w:t>
            </w:r>
            <w:r w:rsidRPr="005A31BC">
              <w:rPr>
                <w:color w:val="606060"/>
                <w:spacing w:val="-6"/>
                <w:w w:val="105"/>
                <w:szCs w:val="22"/>
              </w:rPr>
              <w:t>,</w:t>
            </w:r>
            <w:r w:rsidRPr="005A31BC">
              <w:rPr>
                <w:spacing w:val="-6"/>
                <w:w w:val="105"/>
                <w:szCs w:val="22"/>
              </w:rPr>
              <w:t>0</w:t>
            </w:r>
          </w:p>
        </w:tc>
        <w:tc>
          <w:tcPr>
            <w:tcW w:w="1134" w:type="dxa"/>
            <w:shd w:val="clear" w:color="auto" w:fill="auto"/>
            <w:noWrap/>
            <w:vAlign w:val="center"/>
            <w:hideMark/>
          </w:tcPr>
          <w:p w14:paraId="5F01770A" w14:textId="77777777" w:rsidR="008C3A64" w:rsidRPr="005A31BC" w:rsidRDefault="008C3A64" w:rsidP="00FF1F9A">
            <w:pPr>
              <w:jc w:val="right"/>
              <w:rPr>
                <w:spacing w:val="-6"/>
                <w:szCs w:val="22"/>
                <w:lang w:eastAsia="es-MX"/>
              </w:rPr>
            </w:pPr>
            <w:r w:rsidRPr="005A31BC">
              <w:rPr>
                <w:spacing w:val="-6"/>
                <w:w w:val="105"/>
                <w:szCs w:val="22"/>
              </w:rPr>
              <w:t>143</w:t>
            </w:r>
          </w:p>
        </w:tc>
        <w:tc>
          <w:tcPr>
            <w:tcW w:w="870" w:type="dxa"/>
            <w:shd w:val="clear" w:color="auto" w:fill="auto"/>
            <w:vAlign w:val="center"/>
            <w:hideMark/>
          </w:tcPr>
          <w:p w14:paraId="5640ABEC" w14:textId="77777777" w:rsidR="008C3A64" w:rsidRPr="005A31BC" w:rsidRDefault="008C3A64" w:rsidP="00FF1F9A">
            <w:pPr>
              <w:jc w:val="right"/>
              <w:rPr>
                <w:color w:val="3B3B3B"/>
                <w:spacing w:val="-6"/>
                <w:szCs w:val="22"/>
                <w:lang w:eastAsia="es-MX"/>
              </w:rPr>
            </w:pPr>
            <w:r w:rsidRPr="005A31BC">
              <w:rPr>
                <w:spacing w:val="-6"/>
                <w:w w:val="105"/>
                <w:szCs w:val="22"/>
              </w:rPr>
              <w:t>53</w:t>
            </w:r>
            <w:r w:rsidRPr="005A31BC">
              <w:rPr>
                <w:color w:val="606060"/>
                <w:spacing w:val="-6"/>
                <w:w w:val="105"/>
                <w:szCs w:val="22"/>
              </w:rPr>
              <w:t>,</w:t>
            </w:r>
            <w:r w:rsidRPr="005A31BC">
              <w:rPr>
                <w:spacing w:val="-6"/>
                <w:w w:val="105"/>
                <w:szCs w:val="22"/>
              </w:rPr>
              <w:t>0</w:t>
            </w:r>
          </w:p>
        </w:tc>
        <w:tc>
          <w:tcPr>
            <w:tcW w:w="1134" w:type="dxa"/>
            <w:shd w:val="clear" w:color="auto" w:fill="D0CECE" w:themeFill="background2" w:themeFillShade="E6"/>
            <w:noWrap/>
            <w:vAlign w:val="center"/>
            <w:hideMark/>
          </w:tcPr>
          <w:p w14:paraId="0A106F27" w14:textId="77777777" w:rsidR="008C3A64" w:rsidRPr="005A31BC" w:rsidRDefault="008C3A64" w:rsidP="00FF1F9A">
            <w:pPr>
              <w:jc w:val="right"/>
              <w:rPr>
                <w:spacing w:val="-6"/>
                <w:szCs w:val="22"/>
                <w:lang w:eastAsia="es-MX"/>
              </w:rPr>
            </w:pPr>
            <w:r w:rsidRPr="005A31BC">
              <w:rPr>
                <w:spacing w:val="-6"/>
                <w:w w:val="105"/>
                <w:szCs w:val="22"/>
              </w:rPr>
              <w:t>269</w:t>
            </w:r>
          </w:p>
        </w:tc>
        <w:tc>
          <w:tcPr>
            <w:tcW w:w="1171" w:type="dxa"/>
            <w:shd w:val="clear" w:color="auto" w:fill="D0CECE" w:themeFill="background2" w:themeFillShade="E6"/>
            <w:noWrap/>
            <w:vAlign w:val="center"/>
            <w:hideMark/>
          </w:tcPr>
          <w:p w14:paraId="3384ECA8" w14:textId="77777777" w:rsidR="008C3A64" w:rsidRPr="005A31BC" w:rsidRDefault="008C3A64" w:rsidP="00FF1F9A">
            <w:pPr>
              <w:jc w:val="right"/>
              <w:rPr>
                <w:spacing w:val="-6"/>
                <w:szCs w:val="22"/>
                <w:lang w:eastAsia="es-MX"/>
              </w:rPr>
            </w:pPr>
            <w:r w:rsidRPr="005A31BC">
              <w:rPr>
                <w:spacing w:val="-6"/>
                <w:w w:val="105"/>
                <w:szCs w:val="22"/>
              </w:rPr>
              <w:t>0</w:t>
            </w:r>
            <w:r w:rsidRPr="005A31BC">
              <w:rPr>
                <w:color w:val="606060"/>
                <w:spacing w:val="-6"/>
                <w:w w:val="105"/>
                <w:szCs w:val="22"/>
              </w:rPr>
              <w:t>,</w:t>
            </w:r>
            <w:r w:rsidRPr="005A31BC">
              <w:rPr>
                <w:color w:val="161616"/>
                <w:spacing w:val="-6"/>
                <w:w w:val="105"/>
                <w:szCs w:val="22"/>
              </w:rPr>
              <w:t>1</w:t>
            </w:r>
          </w:p>
        </w:tc>
      </w:tr>
      <w:tr w:rsidR="008C3A64" w:rsidRPr="005A31BC" w14:paraId="35966025" w14:textId="77777777" w:rsidTr="00CC67C0">
        <w:trPr>
          <w:trHeight w:val="638"/>
          <w:jc w:val="center"/>
        </w:trPr>
        <w:tc>
          <w:tcPr>
            <w:tcW w:w="2249" w:type="dxa"/>
            <w:shd w:val="clear" w:color="auto" w:fill="C00000"/>
            <w:vAlign w:val="center"/>
            <w:hideMark/>
          </w:tcPr>
          <w:p w14:paraId="451186FB" w14:textId="77777777" w:rsidR="008C3A64" w:rsidRPr="005A31BC" w:rsidRDefault="008C3A64" w:rsidP="00FF1F9A">
            <w:pPr>
              <w:jc w:val="right"/>
              <w:rPr>
                <w:b/>
                <w:bCs/>
                <w:color w:val="FFFFFF" w:themeColor="background1"/>
                <w:spacing w:val="-6"/>
                <w:szCs w:val="22"/>
                <w:lang w:eastAsia="es-MX"/>
              </w:rPr>
            </w:pPr>
            <w:r w:rsidRPr="005A31BC">
              <w:rPr>
                <w:b/>
                <w:bCs/>
                <w:color w:val="FFFFFF" w:themeColor="background1"/>
                <w:spacing w:val="-6"/>
                <w:szCs w:val="22"/>
                <w:lang w:eastAsia="es-MX"/>
              </w:rPr>
              <w:t>Total Bogotá</w:t>
            </w:r>
          </w:p>
        </w:tc>
        <w:tc>
          <w:tcPr>
            <w:tcW w:w="1276" w:type="dxa"/>
            <w:shd w:val="clear" w:color="auto" w:fill="D0CECE" w:themeFill="background2" w:themeFillShade="E6"/>
            <w:noWrap/>
            <w:vAlign w:val="center"/>
            <w:hideMark/>
          </w:tcPr>
          <w:p w14:paraId="4C7412BD" w14:textId="77777777" w:rsidR="008C3A64" w:rsidRPr="005A31BC" w:rsidRDefault="008C3A64" w:rsidP="00FF1F9A">
            <w:pPr>
              <w:jc w:val="right"/>
              <w:rPr>
                <w:spacing w:val="-6"/>
                <w:szCs w:val="22"/>
                <w:lang w:eastAsia="es-MX"/>
              </w:rPr>
            </w:pPr>
            <w:r w:rsidRPr="005A31BC">
              <w:rPr>
                <w:b/>
                <w:bCs/>
                <w:color w:val="161616"/>
                <w:spacing w:val="-6"/>
                <w:w w:val="110"/>
                <w:szCs w:val="22"/>
              </w:rPr>
              <w:t>201.534</w:t>
            </w:r>
          </w:p>
        </w:tc>
        <w:tc>
          <w:tcPr>
            <w:tcW w:w="992" w:type="dxa"/>
            <w:shd w:val="clear" w:color="auto" w:fill="D0CECE" w:themeFill="background2" w:themeFillShade="E6"/>
            <w:vAlign w:val="center"/>
            <w:hideMark/>
          </w:tcPr>
          <w:p w14:paraId="1BFFC869" w14:textId="77777777" w:rsidR="008C3A64" w:rsidRPr="005A31BC" w:rsidRDefault="008C3A64" w:rsidP="00FF1F9A">
            <w:pPr>
              <w:jc w:val="right"/>
              <w:rPr>
                <w:color w:val="000000"/>
                <w:spacing w:val="-6"/>
                <w:szCs w:val="22"/>
                <w:lang w:eastAsia="es-MX"/>
              </w:rPr>
            </w:pPr>
            <w:r w:rsidRPr="005A31BC">
              <w:rPr>
                <w:b/>
                <w:bCs/>
                <w:color w:val="161616"/>
                <w:spacing w:val="-6"/>
                <w:szCs w:val="22"/>
              </w:rPr>
              <w:t>57,1</w:t>
            </w:r>
          </w:p>
        </w:tc>
        <w:tc>
          <w:tcPr>
            <w:tcW w:w="1134" w:type="dxa"/>
            <w:shd w:val="clear" w:color="auto" w:fill="D0CECE" w:themeFill="background2" w:themeFillShade="E6"/>
            <w:noWrap/>
            <w:vAlign w:val="center"/>
            <w:hideMark/>
          </w:tcPr>
          <w:p w14:paraId="3EB81F43" w14:textId="77777777" w:rsidR="008C3A64" w:rsidRPr="005A31BC" w:rsidRDefault="008C3A64" w:rsidP="00FF1F9A">
            <w:pPr>
              <w:jc w:val="right"/>
              <w:rPr>
                <w:color w:val="0C0C0C"/>
                <w:spacing w:val="-6"/>
                <w:szCs w:val="22"/>
                <w:lang w:eastAsia="es-MX"/>
              </w:rPr>
            </w:pPr>
            <w:r w:rsidRPr="005A31BC">
              <w:rPr>
                <w:b/>
                <w:bCs/>
                <w:color w:val="161616"/>
                <w:spacing w:val="-6"/>
                <w:w w:val="115"/>
                <w:szCs w:val="22"/>
              </w:rPr>
              <w:t>151.620</w:t>
            </w:r>
          </w:p>
        </w:tc>
        <w:tc>
          <w:tcPr>
            <w:tcW w:w="870" w:type="dxa"/>
            <w:shd w:val="clear" w:color="auto" w:fill="D0CECE" w:themeFill="background2" w:themeFillShade="E6"/>
            <w:noWrap/>
            <w:vAlign w:val="center"/>
            <w:hideMark/>
          </w:tcPr>
          <w:p w14:paraId="3894333E" w14:textId="77777777" w:rsidR="008C3A64" w:rsidRPr="005A31BC" w:rsidRDefault="008C3A64" w:rsidP="00FF1F9A">
            <w:pPr>
              <w:jc w:val="right"/>
              <w:rPr>
                <w:color w:val="0C0C0C"/>
                <w:spacing w:val="-6"/>
                <w:szCs w:val="22"/>
                <w:lang w:eastAsia="es-MX"/>
              </w:rPr>
            </w:pPr>
            <w:r w:rsidRPr="005A31BC">
              <w:rPr>
                <w:b/>
                <w:bCs/>
                <w:color w:val="161616"/>
                <w:spacing w:val="-6"/>
                <w:w w:val="110"/>
                <w:szCs w:val="22"/>
              </w:rPr>
              <w:t>42,9</w:t>
            </w:r>
          </w:p>
        </w:tc>
        <w:tc>
          <w:tcPr>
            <w:tcW w:w="1134" w:type="dxa"/>
            <w:shd w:val="clear" w:color="auto" w:fill="D0CECE" w:themeFill="background2" w:themeFillShade="E6"/>
            <w:noWrap/>
            <w:vAlign w:val="center"/>
            <w:hideMark/>
          </w:tcPr>
          <w:p w14:paraId="287EAC90" w14:textId="77777777" w:rsidR="008C3A64" w:rsidRPr="005A31BC" w:rsidRDefault="008C3A64" w:rsidP="00FF1F9A">
            <w:pPr>
              <w:jc w:val="right"/>
              <w:rPr>
                <w:color w:val="3B3B3B"/>
                <w:spacing w:val="-6"/>
                <w:szCs w:val="22"/>
                <w:lang w:eastAsia="es-MX"/>
              </w:rPr>
            </w:pPr>
            <w:r w:rsidRPr="005A31BC">
              <w:rPr>
                <w:b/>
                <w:bCs/>
                <w:color w:val="161616"/>
                <w:spacing w:val="-6"/>
                <w:w w:val="115"/>
                <w:szCs w:val="22"/>
              </w:rPr>
              <w:t>353.154</w:t>
            </w:r>
          </w:p>
        </w:tc>
        <w:tc>
          <w:tcPr>
            <w:tcW w:w="1171" w:type="dxa"/>
            <w:shd w:val="clear" w:color="auto" w:fill="D0CECE" w:themeFill="background2" w:themeFillShade="E6"/>
            <w:noWrap/>
            <w:vAlign w:val="center"/>
            <w:hideMark/>
          </w:tcPr>
          <w:p w14:paraId="1EAEDE64" w14:textId="77777777" w:rsidR="008C3A64" w:rsidRPr="005A31BC" w:rsidRDefault="008C3A64" w:rsidP="00FF1F9A">
            <w:pPr>
              <w:jc w:val="right"/>
              <w:rPr>
                <w:color w:val="0C0C0C"/>
                <w:spacing w:val="-6"/>
                <w:szCs w:val="22"/>
                <w:lang w:eastAsia="es-MX"/>
              </w:rPr>
            </w:pPr>
            <w:r w:rsidRPr="005A31BC">
              <w:rPr>
                <w:b/>
                <w:bCs/>
                <w:color w:val="161616"/>
                <w:spacing w:val="-6"/>
                <w:w w:val="110"/>
                <w:szCs w:val="22"/>
              </w:rPr>
              <w:t>100</w:t>
            </w:r>
          </w:p>
        </w:tc>
      </w:tr>
    </w:tbl>
    <w:p w14:paraId="64F33FA9" w14:textId="77777777" w:rsidR="008C3A64" w:rsidRPr="005A31BC" w:rsidRDefault="008C3A64" w:rsidP="008C3A64">
      <w:pPr>
        <w:pStyle w:val="figuratitulo"/>
        <w:rPr>
          <w:color w:val="3B3838" w:themeColor="background2" w:themeShade="40"/>
          <w:spacing w:val="-6"/>
        </w:rPr>
      </w:pPr>
      <w:r w:rsidRPr="005A31BC">
        <w:rPr>
          <w:b/>
          <w:bCs/>
          <w:color w:val="3B3838" w:themeColor="background2" w:themeShade="40"/>
          <w:spacing w:val="-6"/>
        </w:rPr>
        <w:t>* Sexo imputado</w:t>
      </w:r>
      <w:r w:rsidRPr="005A31BC">
        <w:rPr>
          <w:color w:val="3B3838" w:themeColor="background2" w:themeShade="40"/>
          <w:spacing w:val="-6"/>
        </w:rPr>
        <w:t xml:space="preserve"> (sin intersexuales)</w:t>
      </w:r>
    </w:p>
    <w:p w14:paraId="62DE1687" w14:textId="77777777" w:rsidR="008C3A64" w:rsidRPr="005A31BC" w:rsidRDefault="008C3A64" w:rsidP="008C3A64">
      <w:pPr>
        <w:pStyle w:val="figuratitulo"/>
        <w:rPr>
          <w:color w:val="3B3838" w:themeColor="background2" w:themeShade="40"/>
          <w:spacing w:val="-6"/>
        </w:rPr>
      </w:pPr>
      <w:r w:rsidRPr="005A31BC">
        <w:rPr>
          <w:b/>
          <w:bCs/>
          <w:color w:val="3B3838" w:themeColor="background2" w:themeShade="40"/>
          <w:spacing w:val="-6"/>
        </w:rPr>
        <w:t>PcD:</w:t>
      </w:r>
      <w:r w:rsidRPr="005A31BC">
        <w:rPr>
          <w:color w:val="3B3838" w:themeColor="background2" w:themeShade="40"/>
          <w:spacing w:val="-6"/>
        </w:rPr>
        <w:t xml:space="preserve"> Persona con Discapacidad</w:t>
      </w:r>
    </w:p>
    <w:p w14:paraId="600A56CC" w14:textId="40393824" w:rsidR="008C3A64" w:rsidRDefault="008C3A64" w:rsidP="00591C4D">
      <w:pPr>
        <w:pStyle w:val="figuratitulo"/>
        <w:rPr>
          <w:color w:val="3B3838" w:themeColor="background2" w:themeShade="40"/>
          <w:spacing w:val="-6"/>
        </w:rPr>
      </w:pPr>
      <w:r w:rsidRPr="005A31BC">
        <w:rPr>
          <w:b/>
          <w:bCs/>
          <w:color w:val="3B3838" w:themeColor="background2" w:themeShade="40"/>
          <w:spacing w:val="-6"/>
        </w:rPr>
        <w:t>Fuente:</w:t>
      </w:r>
      <w:r w:rsidRPr="005A31BC">
        <w:rPr>
          <w:color w:val="3B3838" w:themeColor="background2" w:themeShade="40"/>
          <w:spacing w:val="-6"/>
        </w:rPr>
        <w:t xml:space="preserve"> DANE-SDP, Encuesta Multipropósito (EM) 2021. Cálculos: OPDF, SDP.</w:t>
      </w:r>
    </w:p>
    <w:p w14:paraId="6E2B8A07" w14:textId="77777777" w:rsidR="00591C4D" w:rsidRPr="00591C4D" w:rsidRDefault="00591C4D" w:rsidP="00591C4D">
      <w:pPr>
        <w:pStyle w:val="figuratitulo"/>
        <w:rPr>
          <w:color w:val="3B3838" w:themeColor="background2" w:themeShade="40"/>
          <w:spacing w:val="-6"/>
        </w:rPr>
      </w:pPr>
    </w:p>
    <w:p w14:paraId="07B0BDE2"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708" w:gutter="0"/>
          <w:cols w:space="720"/>
        </w:sectPr>
      </w:pPr>
    </w:p>
    <w:p w14:paraId="22713E8D" w14:textId="1BFA38B5" w:rsidR="008C3A64" w:rsidRPr="005A31BC" w:rsidRDefault="008C3A64" w:rsidP="008C3A64">
      <w:pPr>
        <w:rPr>
          <w:rFonts w:cs="Times New Roman (Cuerpo en alfa"/>
          <w:spacing w:val="-6"/>
        </w:rPr>
        <w:sectPr w:rsidR="008C3A64" w:rsidRPr="005A31BC" w:rsidSect="00F7078E">
          <w:type w:val="continuous"/>
          <w:pgSz w:w="12240" w:h="15840"/>
          <w:pgMar w:top="2262" w:right="1440" w:bottom="1440" w:left="1440" w:header="708" w:footer="708" w:gutter="0"/>
          <w:cols w:num="2" w:space="567"/>
        </w:sectPr>
      </w:pPr>
      <w:r w:rsidRPr="005A31BC">
        <w:rPr>
          <w:rFonts w:cs="Times New Roman (Cuerpo en alfa"/>
          <w:spacing w:val="-6"/>
        </w:rPr>
        <w:t xml:space="preserve">En etapas de primera infancia, infancia, adolescencia, juventud y adultez hasta los 34 años, es mayor el número de hombres que el de mujeres con discapacidad. Sin embargo, este comportamiento cambia a partir de los 35 años, y es mayor el número de </w:t>
      </w:r>
      <w:r w:rsidRPr="005A31BC">
        <w:rPr>
          <w:rFonts w:cs="Times New Roman (Cuerpo en alfa"/>
          <w:spacing w:val="-6"/>
        </w:rPr>
        <w:t>mujeres con discapacidad en la adultez y la vejez. Al igual que el referente mundial, se evidencia que el aumento de edad puede constituirse en una posible correlación asociada con la presentación de discapacidad</w:t>
      </w:r>
      <w:r w:rsidRPr="00F55D55">
        <w:rPr>
          <w:rFonts w:cs="Times New Roman (Cuerpo en alfa"/>
          <w:spacing w:val="-6"/>
        </w:rPr>
        <w:t xml:space="preserve"> (</w:t>
      </w:r>
      <w:r w:rsidR="00F55D55" w:rsidRPr="00F55D55">
        <w:rPr>
          <w:rFonts w:cs="Times New Roman (Cuerpo en alfa"/>
          <w:spacing w:val="-6"/>
          <w:highlight w:val="yellow"/>
        </w:rPr>
        <w:fldChar w:fldCharType="begin"/>
      </w:r>
      <w:r w:rsidR="00F55D55" w:rsidRPr="00F55D55">
        <w:rPr>
          <w:rFonts w:cs="Times New Roman (Cuerpo en alfa"/>
          <w:spacing w:val="-6"/>
        </w:rPr>
        <w:instrText xml:space="preserve"> REF _Ref165114007 \h </w:instrText>
      </w:r>
      <w:r w:rsidR="00F55D55" w:rsidRPr="00F55D55">
        <w:rPr>
          <w:rFonts w:cs="Times New Roman (Cuerpo en alfa"/>
          <w:spacing w:val="-6"/>
          <w:highlight w:val="yellow"/>
        </w:rPr>
      </w:r>
      <w:r w:rsidR="00F55D55" w:rsidRPr="00F55D55">
        <w:rPr>
          <w:rFonts w:cs="Times New Roman (Cuerpo en alfa"/>
          <w:spacing w:val="-6"/>
          <w:highlight w:val="yellow"/>
        </w:rPr>
        <w:fldChar w:fldCharType="separate"/>
      </w:r>
      <w:r w:rsidR="00D01651" w:rsidRPr="00F55D55">
        <w:rPr>
          <w:color w:val="C00000"/>
          <w:sz w:val="18"/>
          <w:szCs w:val="14"/>
        </w:rPr>
        <w:t xml:space="preserve">Tabla </w:t>
      </w:r>
      <w:r w:rsidR="00D01651">
        <w:rPr>
          <w:noProof/>
          <w:color w:val="C00000"/>
          <w:sz w:val="18"/>
          <w:szCs w:val="14"/>
        </w:rPr>
        <w:t>6</w:t>
      </w:r>
      <w:r w:rsidR="00F55D55" w:rsidRPr="00F55D55">
        <w:rPr>
          <w:rFonts w:cs="Times New Roman (Cuerpo en alfa"/>
          <w:spacing w:val="-6"/>
          <w:highlight w:val="yellow"/>
        </w:rPr>
        <w:fldChar w:fldCharType="end"/>
      </w:r>
      <w:r w:rsidRPr="00F55D55">
        <w:rPr>
          <w:rFonts w:cs="Times New Roman (Cuerpo en alfa"/>
          <w:spacing w:val="-6"/>
        </w:rPr>
        <w:t>)</w:t>
      </w:r>
      <w:r w:rsidR="00F55D55">
        <w:rPr>
          <w:rFonts w:cs="Times New Roman (Cuerpo en alfa"/>
          <w:spacing w:val="-6"/>
        </w:rPr>
        <w:t xml:space="preserve">. </w:t>
      </w:r>
    </w:p>
    <w:p w14:paraId="64FD603D" w14:textId="77777777" w:rsidR="00167A47" w:rsidRDefault="00167A47" w:rsidP="008C3A64">
      <w:pPr>
        <w:pStyle w:val="figuratitulo"/>
        <w:jc w:val="both"/>
        <w:rPr>
          <w:b/>
          <w:bCs/>
          <w:spacing w:val="-6"/>
        </w:rPr>
      </w:pPr>
    </w:p>
    <w:p w14:paraId="32408425" w14:textId="77777777" w:rsidR="00167A47" w:rsidRDefault="00167A47" w:rsidP="008C3A64">
      <w:pPr>
        <w:pStyle w:val="figuratitulo"/>
        <w:jc w:val="both"/>
        <w:rPr>
          <w:b/>
          <w:bCs/>
          <w:spacing w:val="-6"/>
        </w:rPr>
      </w:pPr>
    </w:p>
    <w:p w14:paraId="6C4D9343" w14:textId="6761E950" w:rsidR="00167A47" w:rsidRPr="005A31BC" w:rsidRDefault="00167A47" w:rsidP="008C3A64">
      <w:pPr>
        <w:pStyle w:val="figuratitulo"/>
        <w:jc w:val="both"/>
        <w:rPr>
          <w:b/>
          <w:bCs/>
          <w:spacing w:val="-6"/>
        </w:rPr>
        <w:sectPr w:rsidR="00167A47" w:rsidRPr="005A31BC" w:rsidSect="00F7078E">
          <w:type w:val="continuous"/>
          <w:pgSz w:w="12240" w:h="15840"/>
          <w:pgMar w:top="2262" w:right="1440" w:bottom="1440" w:left="1440" w:header="708" w:footer="708" w:gutter="0"/>
          <w:cols w:space="720"/>
        </w:sectPr>
      </w:pPr>
    </w:p>
    <w:p w14:paraId="5729ED50" w14:textId="5FB9E0F0" w:rsidR="008C3A64" w:rsidRPr="00CC67C0" w:rsidRDefault="00F55D55" w:rsidP="00CC67C0">
      <w:pPr>
        <w:pStyle w:val="Descripcin"/>
        <w:jc w:val="center"/>
        <w:rPr>
          <w:b w:val="0"/>
          <w:spacing w:val="-6"/>
          <w:sz w:val="18"/>
          <w:szCs w:val="14"/>
        </w:rPr>
      </w:pPr>
      <w:bookmarkStart w:id="104" w:name="_Ref165114007"/>
      <w:bookmarkStart w:id="105" w:name="_Toc165169916"/>
      <w:r w:rsidRPr="00F55D55">
        <w:rPr>
          <w:color w:val="C00000"/>
          <w:sz w:val="18"/>
          <w:szCs w:val="14"/>
        </w:rPr>
        <w:t xml:space="preserve">Tabla </w:t>
      </w:r>
      <w:r w:rsidRPr="00F55D55">
        <w:rPr>
          <w:color w:val="C00000"/>
          <w:sz w:val="18"/>
          <w:szCs w:val="14"/>
        </w:rPr>
        <w:fldChar w:fldCharType="begin"/>
      </w:r>
      <w:r w:rsidRPr="00F55D55">
        <w:rPr>
          <w:color w:val="C00000"/>
          <w:sz w:val="18"/>
          <w:szCs w:val="14"/>
        </w:rPr>
        <w:instrText xml:space="preserve"> SEQ Tabla \* ARABIC </w:instrText>
      </w:r>
      <w:r w:rsidRPr="00F55D55">
        <w:rPr>
          <w:color w:val="C00000"/>
          <w:sz w:val="18"/>
          <w:szCs w:val="14"/>
        </w:rPr>
        <w:fldChar w:fldCharType="separate"/>
      </w:r>
      <w:r w:rsidR="00D01651">
        <w:rPr>
          <w:noProof/>
          <w:color w:val="C00000"/>
          <w:sz w:val="18"/>
          <w:szCs w:val="14"/>
        </w:rPr>
        <w:t>6</w:t>
      </w:r>
      <w:r w:rsidRPr="00F55D55">
        <w:rPr>
          <w:color w:val="C00000"/>
          <w:sz w:val="18"/>
          <w:szCs w:val="14"/>
        </w:rPr>
        <w:fldChar w:fldCharType="end"/>
      </w:r>
      <w:bookmarkEnd w:id="104"/>
      <w:r w:rsidRPr="00F55D55">
        <w:rPr>
          <w:color w:val="C00000"/>
          <w:sz w:val="18"/>
          <w:szCs w:val="14"/>
        </w:rPr>
        <w:t xml:space="preserve">. </w:t>
      </w:r>
      <w:r w:rsidR="008C3A64" w:rsidRPr="00F55D55">
        <w:rPr>
          <w:spacing w:val="-6"/>
          <w:sz w:val="18"/>
          <w:szCs w:val="14"/>
        </w:rPr>
        <w:t>Población con discapacidad, según edades quinquenales y sexo</w:t>
      </w:r>
      <w:bookmarkEnd w:id="105"/>
    </w:p>
    <w:tbl>
      <w:tblPr>
        <w:tblW w:w="0" w:type="auto"/>
        <w:jc w:val="center"/>
        <w:tblLayout w:type="fixed"/>
        <w:tblCellMar>
          <w:left w:w="85" w:type="dxa"/>
          <w:right w:w="113" w:type="dxa"/>
        </w:tblCellMar>
        <w:tblLook w:val="0000" w:firstRow="0" w:lastRow="0" w:firstColumn="0" w:lastColumn="0" w:noHBand="0" w:noVBand="0"/>
      </w:tblPr>
      <w:tblGrid>
        <w:gridCol w:w="1835"/>
        <w:gridCol w:w="1134"/>
        <w:gridCol w:w="992"/>
        <w:gridCol w:w="1276"/>
        <w:gridCol w:w="905"/>
        <w:gridCol w:w="1080"/>
        <w:gridCol w:w="1374"/>
      </w:tblGrid>
      <w:tr w:rsidR="008C3A64" w:rsidRPr="005A31BC" w14:paraId="05355D2E" w14:textId="77777777" w:rsidTr="00DB7ECF">
        <w:trPr>
          <w:trHeight w:val="454"/>
          <w:tblHeader/>
          <w:jc w:val="center"/>
        </w:trPr>
        <w:tc>
          <w:tcPr>
            <w:tcW w:w="1835" w:type="dxa"/>
            <w:vMerge w:val="restart"/>
            <w:tcBorders>
              <w:bottom w:val="double" w:sz="2" w:space="0" w:color="C00000"/>
              <w:right w:val="double" w:sz="2" w:space="0" w:color="C00000"/>
            </w:tcBorders>
            <w:shd w:val="clear" w:color="auto" w:fill="C00000"/>
            <w:vAlign w:val="center"/>
          </w:tcPr>
          <w:p w14:paraId="10406525" w14:textId="77777777" w:rsidR="00CC67C0"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 xml:space="preserve">Edades </w:t>
            </w:r>
          </w:p>
          <w:p w14:paraId="7E81EDCD" w14:textId="7B769BB5"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quinquenales</w:t>
            </w:r>
          </w:p>
        </w:tc>
        <w:tc>
          <w:tcPr>
            <w:tcW w:w="4307" w:type="dxa"/>
            <w:gridSpan w:val="4"/>
            <w:tcBorders>
              <w:left w:val="double" w:sz="2" w:space="0" w:color="C00000"/>
              <w:bottom w:val="double" w:sz="2" w:space="0" w:color="C00000"/>
              <w:right w:val="double" w:sz="2" w:space="0" w:color="C00000"/>
            </w:tcBorders>
            <w:shd w:val="clear" w:color="auto" w:fill="C00000"/>
            <w:vAlign w:val="center"/>
          </w:tcPr>
          <w:p w14:paraId="598CC636"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Sexo*</w:t>
            </w:r>
          </w:p>
        </w:tc>
        <w:tc>
          <w:tcPr>
            <w:tcW w:w="2454" w:type="dxa"/>
            <w:gridSpan w:val="2"/>
            <w:vMerge w:val="restart"/>
            <w:tcBorders>
              <w:left w:val="double" w:sz="2" w:space="0" w:color="C00000"/>
              <w:bottom w:val="double" w:sz="2" w:space="0" w:color="C00000"/>
            </w:tcBorders>
            <w:shd w:val="clear" w:color="auto" w:fill="C00000"/>
            <w:vAlign w:val="center"/>
          </w:tcPr>
          <w:p w14:paraId="089CDF76"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Total</w:t>
            </w:r>
          </w:p>
        </w:tc>
      </w:tr>
      <w:tr w:rsidR="008C3A64" w:rsidRPr="005A31BC" w14:paraId="4C7CEAAC" w14:textId="77777777" w:rsidTr="00DB7ECF">
        <w:trPr>
          <w:trHeight w:val="454"/>
          <w:tblHeader/>
          <w:jc w:val="center"/>
        </w:trPr>
        <w:tc>
          <w:tcPr>
            <w:tcW w:w="1835" w:type="dxa"/>
            <w:vMerge/>
            <w:tcBorders>
              <w:top w:val="double" w:sz="2" w:space="0" w:color="C00000"/>
              <w:bottom w:val="double" w:sz="2" w:space="0" w:color="C00000"/>
              <w:right w:val="double" w:sz="2" w:space="0" w:color="C00000"/>
            </w:tcBorders>
            <w:shd w:val="clear" w:color="auto" w:fill="C00000"/>
            <w:vAlign w:val="center"/>
          </w:tcPr>
          <w:p w14:paraId="6B4460BC" w14:textId="77777777" w:rsidR="008C3A64" w:rsidRPr="005A31BC" w:rsidRDefault="008C3A64" w:rsidP="00FF1F9A">
            <w:pPr>
              <w:jc w:val="center"/>
              <w:rPr>
                <w:b/>
                <w:bCs/>
                <w:color w:val="FFFFFF" w:themeColor="background1"/>
                <w:spacing w:val="-6"/>
                <w:sz w:val="28"/>
                <w:szCs w:val="28"/>
              </w:rPr>
            </w:pPr>
          </w:p>
        </w:tc>
        <w:tc>
          <w:tcPr>
            <w:tcW w:w="2126" w:type="dxa"/>
            <w:gridSpan w:val="2"/>
            <w:tcBorders>
              <w:top w:val="double" w:sz="2" w:space="0" w:color="C00000"/>
              <w:left w:val="double" w:sz="2" w:space="0" w:color="C00000"/>
              <w:bottom w:val="double" w:sz="2" w:space="0" w:color="C00000"/>
              <w:right w:val="double" w:sz="2" w:space="0" w:color="C00000"/>
            </w:tcBorders>
            <w:shd w:val="clear" w:color="auto" w:fill="C00000"/>
            <w:vAlign w:val="center"/>
          </w:tcPr>
          <w:p w14:paraId="394000E3"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Mujeres</w:t>
            </w:r>
          </w:p>
        </w:tc>
        <w:tc>
          <w:tcPr>
            <w:tcW w:w="2181" w:type="dxa"/>
            <w:gridSpan w:val="2"/>
            <w:tcBorders>
              <w:top w:val="double" w:sz="2" w:space="0" w:color="C00000"/>
              <w:left w:val="double" w:sz="2" w:space="0" w:color="C00000"/>
              <w:bottom w:val="double" w:sz="2" w:space="0" w:color="C00000"/>
              <w:right w:val="double" w:sz="2" w:space="0" w:color="C00000"/>
            </w:tcBorders>
            <w:shd w:val="clear" w:color="auto" w:fill="C00000"/>
            <w:vAlign w:val="center"/>
          </w:tcPr>
          <w:p w14:paraId="676ED037"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Hombres</w:t>
            </w:r>
          </w:p>
        </w:tc>
        <w:tc>
          <w:tcPr>
            <w:tcW w:w="2454" w:type="dxa"/>
            <w:gridSpan w:val="2"/>
            <w:vMerge/>
            <w:tcBorders>
              <w:top w:val="double" w:sz="2" w:space="0" w:color="C00000"/>
              <w:left w:val="double" w:sz="2" w:space="0" w:color="C00000"/>
              <w:bottom w:val="double" w:sz="2" w:space="0" w:color="C00000"/>
            </w:tcBorders>
            <w:shd w:val="clear" w:color="auto" w:fill="C00000"/>
            <w:vAlign w:val="center"/>
          </w:tcPr>
          <w:p w14:paraId="2136C053" w14:textId="77777777" w:rsidR="008C3A64" w:rsidRPr="005A31BC" w:rsidRDefault="008C3A64" w:rsidP="00FF1F9A">
            <w:pPr>
              <w:jc w:val="center"/>
              <w:rPr>
                <w:b/>
                <w:bCs/>
                <w:color w:val="FFFFFF" w:themeColor="background1"/>
                <w:spacing w:val="-6"/>
                <w:sz w:val="28"/>
                <w:szCs w:val="28"/>
              </w:rPr>
            </w:pPr>
          </w:p>
        </w:tc>
      </w:tr>
      <w:tr w:rsidR="008C3A64" w:rsidRPr="005A31BC" w14:paraId="452176F7" w14:textId="77777777" w:rsidTr="00DB7ECF">
        <w:trPr>
          <w:trHeight w:val="454"/>
          <w:tblHeader/>
          <w:jc w:val="center"/>
        </w:trPr>
        <w:tc>
          <w:tcPr>
            <w:tcW w:w="1835" w:type="dxa"/>
            <w:vMerge/>
            <w:tcBorders>
              <w:top w:val="double" w:sz="2" w:space="0" w:color="C00000"/>
              <w:bottom w:val="double" w:sz="2" w:space="0" w:color="C00000"/>
              <w:right w:val="double" w:sz="2" w:space="0" w:color="C00000"/>
            </w:tcBorders>
            <w:shd w:val="clear" w:color="auto" w:fill="C00000"/>
            <w:vAlign w:val="center"/>
          </w:tcPr>
          <w:p w14:paraId="6F439D00" w14:textId="77777777" w:rsidR="008C3A64" w:rsidRPr="005A31BC" w:rsidRDefault="008C3A64" w:rsidP="00FF1F9A">
            <w:pPr>
              <w:jc w:val="center"/>
              <w:rPr>
                <w:b/>
                <w:bCs/>
                <w:color w:val="FFFFFF" w:themeColor="background1"/>
                <w:spacing w:val="-6"/>
                <w:sz w:val="28"/>
                <w:szCs w:val="28"/>
              </w:rPr>
            </w:pPr>
          </w:p>
        </w:tc>
        <w:tc>
          <w:tcPr>
            <w:tcW w:w="1134"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0FEB0502"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PcD</w:t>
            </w:r>
          </w:p>
        </w:tc>
        <w:tc>
          <w:tcPr>
            <w:tcW w:w="992"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462BE8E1"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 fila</w:t>
            </w:r>
          </w:p>
        </w:tc>
        <w:tc>
          <w:tcPr>
            <w:tcW w:w="1276"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1D91E0B3"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PcD</w:t>
            </w:r>
          </w:p>
        </w:tc>
        <w:tc>
          <w:tcPr>
            <w:tcW w:w="905"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0065E828"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 fila</w:t>
            </w:r>
          </w:p>
        </w:tc>
        <w:tc>
          <w:tcPr>
            <w:tcW w:w="1080"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6087F1B0" w14:textId="77777777" w:rsidR="008C3A64" w:rsidRPr="005A31BC" w:rsidRDefault="008C3A64" w:rsidP="00FF1F9A">
            <w:pPr>
              <w:jc w:val="center"/>
              <w:rPr>
                <w:b/>
                <w:bCs/>
                <w:color w:val="FFFFFF" w:themeColor="background1"/>
                <w:spacing w:val="-6"/>
                <w:sz w:val="28"/>
                <w:szCs w:val="28"/>
              </w:rPr>
            </w:pPr>
            <w:r w:rsidRPr="005A31BC">
              <w:rPr>
                <w:b/>
                <w:bCs/>
                <w:color w:val="FFFFFF" w:themeColor="background1"/>
                <w:spacing w:val="-6"/>
                <w:sz w:val="28"/>
                <w:szCs w:val="28"/>
              </w:rPr>
              <w:t>PcD</w:t>
            </w:r>
          </w:p>
        </w:tc>
        <w:tc>
          <w:tcPr>
            <w:tcW w:w="1374" w:type="dxa"/>
            <w:tcBorders>
              <w:top w:val="double" w:sz="2" w:space="0" w:color="C00000"/>
              <w:left w:val="double" w:sz="2" w:space="0" w:color="C00000"/>
              <w:bottom w:val="double" w:sz="2" w:space="0" w:color="C00000"/>
            </w:tcBorders>
            <w:shd w:val="clear" w:color="auto" w:fill="C00000"/>
            <w:vAlign w:val="center"/>
          </w:tcPr>
          <w:p w14:paraId="5A4FDEC1" w14:textId="77777777" w:rsidR="008C3A64" w:rsidRPr="005A31BC" w:rsidRDefault="008C3A64" w:rsidP="00FF1F9A">
            <w:pPr>
              <w:jc w:val="center"/>
              <w:rPr>
                <w:b/>
                <w:bCs/>
                <w:color w:val="FFFFFF" w:themeColor="background1"/>
                <w:spacing w:val="-6"/>
                <w:sz w:val="28"/>
                <w:szCs w:val="28"/>
              </w:rPr>
            </w:pPr>
            <w:r w:rsidRPr="00CC67C0">
              <w:rPr>
                <w:b/>
                <w:bCs/>
                <w:color w:val="FFFFFF" w:themeColor="background1"/>
                <w:spacing w:val="-6"/>
                <w:szCs w:val="22"/>
              </w:rPr>
              <w:t>% columna</w:t>
            </w:r>
          </w:p>
        </w:tc>
      </w:tr>
      <w:tr w:rsidR="008C3A64" w:rsidRPr="005A31BC" w14:paraId="32F25487"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2FDDCE4E" w14:textId="77777777" w:rsidR="008C3A64" w:rsidRPr="005A31BC" w:rsidRDefault="008C3A64" w:rsidP="00FF1F9A">
            <w:pPr>
              <w:jc w:val="right"/>
              <w:rPr>
                <w:b/>
                <w:bCs/>
                <w:spacing w:val="-6"/>
                <w:szCs w:val="22"/>
              </w:rPr>
            </w:pPr>
            <w:r w:rsidRPr="005A31BC">
              <w:rPr>
                <w:b/>
                <w:bCs/>
                <w:spacing w:val="-6"/>
                <w:szCs w:val="22"/>
              </w:rPr>
              <w:t>0-4</w:t>
            </w:r>
          </w:p>
        </w:tc>
        <w:tc>
          <w:tcPr>
            <w:tcW w:w="1134" w:type="dxa"/>
            <w:tcBorders>
              <w:top w:val="double" w:sz="2" w:space="0" w:color="C00000"/>
              <w:left w:val="double" w:sz="2" w:space="0" w:color="C00000"/>
              <w:bottom w:val="double" w:sz="2" w:space="0" w:color="C00000"/>
              <w:right w:val="double" w:sz="2" w:space="0" w:color="C00000"/>
            </w:tcBorders>
            <w:vAlign w:val="center"/>
          </w:tcPr>
          <w:p w14:paraId="6B404161" w14:textId="77777777" w:rsidR="008C3A64" w:rsidRPr="005A31BC" w:rsidRDefault="008C3A64" w:rsidP="00FF1F9A">
            <w:pPr>
              <w:jc w:val="right"/>
              <w:rPr>
                <w:spacing w:val="-6"/>
                <w:szCs w:val="22"/>
              </w:rPr>
            </w:pPr>
            <w:r w:rsidRPr="005A31BC">
              <w:rPr>
                <w:spacing w:val="-6"/>
                <w:szCs w:val="22"/>
              </w:rPr>
              <w:t>12.142</w:t>
            </w:r>
          </w:p>
        </w:tc>
        <w:tc>
          <w:tcPr>
            <w:tcW w:w="992" w:type="dxa"/>
            <w:tcBorders>
              <w:top w:val="double" w:sz="2" w:space="0" w:color="C00000"/>
              <w:left w:val="double" w:sz="2" w:space="0" w:color="C00000"/>
              <w:bottom w:val="double" w:sz="2" w:space="0" w:color="C00000"/>
              <w:right w:val="double" w:sz="2" w:space="0" w:color="C00000"/>
            </w:tcBorders>
            <w:vAlign w:val="center"/>
          </w:tcPr>
          <w:p w14:paraId="1B19052D" w14:textId="77777777" w:rsidR="008C3A64" w:rsidRPr="005A31BC" w:rsidRDefault="008C3A64" w:rsidP="00FF1F9A">
            <w:pPr>
              <w:jc w:val="right"/>
              <w:rPr>
                <w:spacing w:val="-6"/>
                <w:szCs w:val="22"/>
              </w:rPr>
            </w:pPr>
            <w:r w:rsidRPr="005A31BC">
              <w:rPr>
                <w:spacing w:val="-6"/>
                <w:szCs w:val="22"/>
              </w:rPr>
              <w:t>44,6</w:t>
            </w:r>
          </w:p>
        </w:tc>
        <w:tc>
          <w:tcPr>
            <w:tcW w:w="1276" w:type="dxa"/>
            <w:tcBorders>
              <w:top w:val="double" w:sz="2" w:space="0" w:color="C00000"/>
              <w:left w:val="double" w:sz="2" w:space="0" w:color="C00000"/>
              <w:bottom w:val="double" w:sz="2" w:space="0" w:color="C00000"/>
              <w:right w:val="double" w:sz="2" w:space="0" w:color="C00000"/>
            </w:tcBorders>
            <w:vAlign w:val="center"/>
          </w:tcPr>
          <w:p w14:paraId="29E84838" w14:textId="77777777" w:rsidR="008C3A64" w:rsidRPr="005A31BC" w:rsidRDefault="008C3A64" w:rsidP="00FF1F9A">
            <w:pPr>
              <w:jc w:val="right"/>
              <w:rPr>
                <w:spacing w:val="-6"/>
                <w:szCs w:val="22"/>
              </w:rPr>
            </w:pPr>
            <w:r w:rsidRPr="005A31BC">
              <w:rPr>
                <w:spacing w:val="-6"/>
                <w:szCs w:val="22"/>
              </w:rPr>
              <w:t>15.074</w:t>
            </w:r>
          </w:p>
        </w:tc>
        <w:tc>
          <w:tcPr>
            <w:tcW w:w="905" w:type="dxa"/>
            <w:tcBorders>
              <w:top w:val="double" w:sz="2" w:space="0" w:color="C00000"/>
              <w:left w:val="double" w:sz="2" w:space="0" w:color="C00000"/>
              <w:bottom w:val="double" w:sz="2" w:space="0" w:color="C00000"/>
              <w:right w:val="double" w:sz="2" w:space="0" w:color="C00000"/>
            </w:tcBorders>
            <w:vAlign w:val="center"/>
          </w:tcPr>
          <w:p w14:paraId="4F276103" w14:textId="77777777" w:rsidR="008C3A64" w:rsidRPr="005A31BC" w:rsidRDefault="008C3A64" w:rsidP="00FF1F9A">
            <w:pPr>
              <w:jc w:val="right"/>
              <w:rPr>
                <w:spacing w:val="-6"/>
                <w:szCs w:val="22"/>
              </w:rPr>
            </w:pPr>
            <w:r w:rsidRPr="005A31BC">
              <w:rPr>
                <w:spacing w:val="-6"/>
                <w:szCs w:val="22"/>
              </w:rPr>
              <w:t>55,4</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34C193AC" w14:textId="77777777" w:rsidR="008C3A64" w:rsidRPr="005A31BC" w:rsidRDefault="008C3A64" w:rsidP="00FF1F9A">
            <w:pPr>
              <w:jc w:val="right"/>
              <w:rPr>
                <w:spacing w:val="-6"/>
                <w:szCs w:val="22"/>
              </w:rPr>
            </w:pPr>
            <w:r w:rsidRPr="005A31BC">
              <w:rPr>
                <w:spacing w:val="-6"/>
                <w:szCs w:val="22"/>
              </w:rPr>
              <w:t>27.216</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014AF053" w14:textId="77777777" w:rsidR="008C3A64" w:rsidRPr="005A31BC" w:rsidRDefault="008C3A64" w:rsidP="00FF1F9A">
            <w:pPr>
              <w:jc w:val="right"/>
              <w:rPr>
                <w:spacing w:val="-6"/>
                <w:szCs w:val="22"/>
              </w:rPr>
            </w:pPr>
            <w:r w:rsidRPr="005A31BC">
              <w:rPr>
                <w:spacing w:val="-6"/>
                <w:szCs w:val="22"/>
              </w:rPr>
              <w:t>7,7</w:t>
            </w:r>
          </w:p>
        </w:tc>
      </w:tr>
      <w:tr w:rsidR="008C3A64" w:rsidRPr="005A31BC" w14:paraId="790915F1"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15A1979D" w14:textId="77777777" w:rsidR="008C3A64" w:rsidRPr="005A31BC" w:rsidRDefault="008C3A64" w:rsidP="00FF1F9A">
            <w:pPr>
              <w:jc w:val="right"/>
              <w:rPr>
                <w:b/>
                <w:bCs/>
                <w:spacing w:val="-6"/>
                <w:szCs w:val="22"/>
              </w:rPr>
            </w:pPr>
            <w:r w:rsidRPr="005A31BC">
              <w:rPr>
                <w:b/>
                <w:bCs/>
                <w:spacing w:val="-6"/>
                <w:szCs w:val="22"/>
              </w:rPr>
              <w:t>5-9</w:t>
            </w:r>
          </w:p>
        </w:tc>
        <w:tc>
          <w:tcPr>
            <w:tcW w:w="1134" w:type="dxa"/>
            <w:tcBorders>
              <w:top w:val="double" w:sz="2" w:space="0" w:color="C00000"/>
              <w:left w:val="double" w:sz="2" w:space="0" w:color="C00000"/>
              <w:bottom w:val="double" w:sz="2" w:space="0" w:color="C00000"/>
              <w:right w:val="double" w:sz="2" w:space="0" w:color="C00000"/>
            </w:tcBorders>
            <w:vAlign w:val="center"/>
          </w:tcPr>
          <w:p w14:paraId="73421578" w14:textId="77777777" w:rsidR="008C3A64" w:rsidRPr="005A31BC" w:rsidRDefault="008C3A64" w:rsidP="00FF1F9A">
            <w:pPr>
              <w:jc w:val="right"/>
              <w:rPr>
                <w:spacing w:val="-6"/>
                <w:szCs w:val="22"/>
              </w:rPr>
            </w:pPr>
            <w:r w:rsidRPr="005A31BC">
              <w:rPr>
                <w:spacing w:val="-6"/>
                <w:szCs w:val="22"/>
              </w:rPr>
              <w:t>3.479</w:t>
            </w:r>
          </w:p>
        </w:tc>
        <w:tc>
          <w:tcPr>
            <w:tcW w:w="992" w:type="dxa"/>
            <w:tcBorders>
              <w:top w:val="double" w:sz="2" w:space="0" w:color="C00000"/>
              <w:left w:val="double" w:sz="2" w:space="0" w:color="C00000"/>
              <w:bottom w:val="double" w:sz="2" w:space="0" w:color="C00000"/>
              <w:right w:val="double" w:sz="2" w:space="0" w:color="C00000"/>
            </w:tcBorders>
            <w:vAlign w:val="center"/>
          </w:tcPr>
          <w:p w14:paraId="493EA453" w14:textId="77777777" w:rsidR="008C3A64" w:rsidRPr="005A31BC" w:rsidRDefault="008C3A64" w:rsidP="00FF1F9A">
            <w:pPr>
              <w:jc w:val="right"/>
              <w:rPr>
                <w:spacing w:val="-6"/>
                <w:szCs w:val="22"/>
              </w:rPr>
            </w:pPr>
            <w:r w:rsidRPr="005A31BC">
              <w:rPr>
                <w:spacing w:val="-6"/>
                <w:szCs w:val="22"/>
              </w:rPr>
              <w:t>42,9</w:t>
            </w:r>
          </w:p>
        </w:tc>
        <w:tc>
          <w:tcPr>
            <w:tcW w:w="1276" w:type="dxa"/>
            <w:tcBorders>
              <w:top w:val="double" w:sz="2" w:space="0" w:color="C00000"/>
              <w:left w:val="double" w:sz="2" w:space="0" w:color="C00000"/>
              <w:bottom w:val="double" w:sz="2" w:space="0" w:color="C00000"/>
              <w:right w:val="double" w:sz="2" w:space="0" w:color="C00000"/>
            </w:tcBorders>
            <w:vAlign w:val="center"/>
          </w:tcPr>
          <w:p w14:paraId="0332F2D3" w14:textId="77777777" w:rsidR="008C3A64" w:rsidRPr="005A31BC" w:rsidRDefault="008C3A64" w:rsidP="00FF1F9A">
            <w:pPr>
              <w:jc w:val="right"/>
              <w:rPr>
                <w:spacing w:val="-6"/>
                <w:szCs w:val="22"/>
              </w:rPr>
            </w:pPr>
            <w:r w:rsidRPr="005A31BC">
              <w:rPr>
                <w:spacing w:val="-6"/>
                <w:szCs w:val="22"/>
              </w:rPr>
              <w:t>4.623</w:t>
            </w:r>
          </w:p>
        </w:tc>
        <w:tc>
          <w:tcPr>
            <w:tcW w:w="905" w:type="dxa"/>
            <w:tcBorders>
              <w:top w:val="double" w:sz="2" w:space="0" w:color="C00000"/>
              <w:left w:val="double" w:sz="2" w:space="0" w:color="C00000"/>
              <w:bottom w:val="double" w:sz="2" w:space="0" w:color="C00000"/>
              <w:right w:val="double" w:sz="2" w:space="0" w:color="C00000"/>
            </w:tcBorders>
            <w:vAlign w:val="center"/>
          </w:tcPr>
          <w:p w14:paraId="549A46FE" w14:textId="77777777" w:rsidR="008C3A64" w:rsidRPr="005A31BC" w:rsidRDefault="008C3A64" w:rsidP="00FF1F9A">
            <w:pPr>
              <w:jc w:val="right"/>
              <w:rPr>
                <w:spacing w:val="-6"/>
                <w:szCs w:val="22"/>
              </w:rPr>
            </w:pPr>
            <w:r w:rsidRPr="005A31BC">
              <w:rPr>
                <w:spacing w:val="-6"/>
                <w:szCs w:val="22"/>
              </w:rPr>
              <w:t>57,1</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3DA25CE9" w14:textId="77777777" w:rsidR="008C3A64" w:rsidRPr="005A31BC" w:rsidRDefault="008C3A64" w:rsidP="00FF1F9A">
            <w:pPr>
              <w:jc w:val="right"/>
              <w:rPr>
                <w:spacing w:val="-6"/>
                <w:szCs w:val="22"/>
              </w:rPr>
            </w:pPr>
            <w:r w:rsidRPr="005A31BC">
              <w:rPr>
                <w:spacing w:val="-6"/>
                <w:szCs w:val="22"/>
              </w:rPr>
              <w:t>8.101</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18D330F0" w14:textId="77777777" w:rsidR="008C3A64" w:rsidRPr="005A31BC" w:rsidRDefault="008C3A64" w:rsidP="00FF1F9A">
            <w:pPr>
              <w:jc w:val="right"/>
              <w:rPr>
                <w:spacing w:val="-6"/>
                <w:szCs w:val="22"/>
              </w:rPr>
            </w:pPr>
            <w:r w:rsidRPr="005A31BC">
              <w:rPr>
                <w:spacing w:val="-6"/>
                <w:szCs w:val="22"/>
              </w:rPr>
              <w:t>2,3</w:t>
            </w:r>
          </w:p>
        </w:tc>
      </w:tr>
      <w:tr w:rsidR="008C3A64" w:rsidRPr="005A31BC" w14:paraId="634E1DCB"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6C9BA593" w14:textId="77777777" w:rsidR="008C3A64" w:rsidRPr="005A31BC" w:rsidRDefault="008C3A64" w:rsidP="00FF1F9A">
            <w:pPr>
              <w:jc w:val="right"/>
              <w:rPr>
                <w:b/>
                <w:bCs/>
                <w:spacing w:val="-6"/>
                <w:szCs w:val="22"/>
              </w:rPr>
            </w:pPr>
            <w:r w:rsidRPr="005A31BC">
              <w:rPr>
                <w:b/>
                <w:bCs/>
                <w:spacing w:val="-6"/>
                <w:szCs w:val="22"/>
              </w:rPr>
              <w:t>10 - 14</w:t>
            </w:r>
          </w:p>
        </w:tc>
        <w:tc>
          <w:tcPr>
            <w:tcW w:w="1134" w:type="dxa"/>
            <w:tcBorders>
              <w:top w:val="double" w:sz="2" w:space="0" w:color="C00000"/>
              <w:left w:val="double" w:sz="2" w:space="0" w:color="C00000"/>
              <w:bottom w:val="double" w:sz="2" w:space="0" w:color="C00000"/>
              <w:right w:val="double" w:sz="2" w:space="0" w:color="C00000"/>
            </w:tcBorders>
            <w:vAlign w:val="center"/>
          </w:tcPr>
          <w:p w14:paraId="2A2BEF51" w14:textId="77777777" w:rsidR="008C3A64" w:rsidRPr="005A31BC" w:rsidRDefault="008C3A64" w:rsidP="00FF1F9A">
            <w:pPr>
              <w:jc w:val="right"/>
              <w:rPr>
                <w:spacing w:val="-6"/>
                <w:szCs w:val="22"/>
              </w:rPr>
            </w:pPr>
            <w:r w:rsidRPr="005A31BC">
              <w:rPr>
                <w:spacing w:val="-6"/>
                <w:szCs w:val="22"/>
              </w:rPr>
              <w:t>4.837</w:t>
            </w:r>
          </w:p>
        </w:tc>
        <w:tc>
          <w:tcPr>
            <w:tcW w:w="992" w:type="dxa"/>
            <w:tcBorders>
              <w:top w:val="double" w:sz="2" w:space="0" w:color="C00000"/>
              <w:left w:val="double" w:sz="2" w:space="0" w:color="C00000"/>
              <w:bottom w:val="double" w:sz="2" w:space="0" w:color="C00000"/>
              <w:right w:val="double" w:sz="2" w:space="0" w:color="C00000"/>
            </w:tcBorders>
            <w:vAlign w:val="center"/>
          </w:tcPr>
          <w:p w14:paraId="7288B417" w14:textId="77777777" w:rsidR="008C3A64" w:rsidRPr="005A31BC" w:rsidRDefault="008C3A64" w:rsidP="00FF1F9A">
            <w:pPr>
              <w:jc w:val="right"/>
              <w:rPr>
                <w:spacing w:val="-6"/>
                <w:szCs w:val="22"/>
              </w:rPr>
            </w:pPr>
            <w:r w:rsidRPr="005A31BC">
              <w:rPr>
                <w:spacing w:val="-6"/>
                <w:szCs w:val="22"/>
              </w:rPr>
              <w:t>49,3</w:t>
            </w:r>
          </w:p>
        </w:tc>
        <w:tc>
          <w:tcPr>
            <w:tcW w:w="1276" w:type="dxa"/>
            <w:tcBorders>
              <w:top w:val="double" w:sz="2" w:space="0" w:color="C00000"/>
              <w:left w:val="double" w:sz="2" w:space="0" w:color="C00000"/>
              <w:bottom w:val="double" w:sz="2" w:space="0" w:color="C00000"/>
              <w:right w:val="double" w:sz="2" w:space="0" w:color="C00000"/>
            </w:tcBorders>
            <w:vAlign w:val="center"/>
          </w:tcPr>
          <w:p w14:paraId="0171C301" w14:textId="77777777" w:rsidR="008C3A64" w:rsidRPr="005A31BC" w:rsidRDefault="008C3A64" w:rsidP="00FF1F9A">
            <w:pPr>
              <w:jc w:val="right"/>
              <w:rPr>
                <w:spacing w:val="-6"/>
                <w:szCs w:val="22"/>
              </w:rPr>
            </w:pPr>
            <w:r w:rsidRPr="005A31BC">
              <w:rPr>
                <w:spacing w:val="-6"/>
                <w:szCs w:val="22"/>
              </w:rPr>
              <w:t>4.971</w:t>
            </w:r>
          </w:p>
        </w:tc>
        <w:tc>
          <w:tcPr>
            <w:tcW w:w="905" w:type="dxa"/>
            <w:tcBorders>
              <w:top w:val="double" w:sz="2" w:space="0" w:color="C00000"/>
              <w:left w:val="double" w:sz="2" w:space="0" w:color="C00000"/>
              <w:bottom w:val="double" w:sz="2" w:space="0" w:color="C00000"/>
              <w:right w:val="double" w:sz="2" w:space="0" w:color="C00000"/>
            </w:tcBorders>
            <w:vAlign w:val="center"/>
          </w:tcPr>
          <w:p w14:paraId="0452BF87" w14:textId="77777777" w:rsidR="008C3A64" w:rsidRPr="005A31BC" w:rsidRDefault="008C3A64" w:rsidP="00FF1F9A">
            <w:pPr>
              <w:jc w:val="right"/>
              <w:rPr>
                <w:spacing w:val="-6"/>
                <w:szCs w:val="22"/>
              </w:rPr>
            </w:pPr>
            <w:r w:rsidRPr="005A31BC">
              <w:rPr>
                <w:spacing w:val="-6"/>
                <w:szCs w:val="22"/>
              </w:rPr>
              <w:t>50,7</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758A606D" w14:textId="77777777" w:rsidR="008C3A64" w:rsidRPr="005A31BC" w:rsidRDefault="008C3A64" w:rsidP="00FF1F9A">
            <w:pPr>
              <w:jc w:val="right"/>
              <w:rPr>
                <w:spacing w:val="-6"/>
                <w:szCs w:val="22"/>
              </w:rPr>
            </w:pPr>
            <w:r w:rsidRPr="005A31BC">
              <w:rPr>
                <w:spacing w:val="-6"/>
                <w:szCs w:val="22"/>
              </w:rPr>
              <w:t>9.808</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58A23EBF" w14:textId="77777777" w:rsidR="008C3A64" w:rsidRPr="005A31BC" w:rsidRDefault="008C3A64" w:rsidP="00FF1F9A">
            <w:pPr>
              <w:jc w:val="right"/>
              <w:rPr>
                <w:spacing w:val="-6"/>
                <w:szCs w:val="22"/>
              </w:rPr>
            </w:pPr>
            <w:r w:rsidRPr="005A31BC">
              <w:rPr>
                <w:spacing w:val="-6"/>
                <w:szCs w:val="22"/>
              </w:rPr>
              <w:t>2,8</w:t>
            </w:r>
          </w:p>
        </w:tc>
      </w:tr>
      <w:tr w:rsidR="008C3A64" w:rsidRPr="005A31BC" w14:paraId="46A9756A"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46D9F0FA" w14:textId="77777777" w:rsidR="008C3A64" w:rsidRPr="005A31BC" w:rsidRDefault="008C3A64" w:rsidP="00FF1F9A">
            <w:pPr>
              <w:jc w:val="right"/>
              <w:rPr>
                <w:b/>
                <w:bCs/>
                <w:spacing w:val="-6"/>
                <w:szCs w:val="22"/>
              </w:rPr>
            </w:pPr>
            <w:r w:rsidRPr="005A31BC">
              <w:rPr>
                <w:b/>
                <w:bCs/>
                <w:spacing w:val="-6"/>
                <w:szCs w:val="22"/>
              </w:rPr>
              <w:t>15 - 19</w:t>
            </w:r>
          </w:p>
        </w:tc>
        <w:tc>
          <w:tcPr>
            <w:tcW w:w="1134" w:type="dxa"/>
            <w:tcBorders>
              <w:top w:val="double" w:sz="2" w:space="0" w:color="C00000"/>
              <w:left w:val="double" w:sz="2" w:space="0" w:color="C00000"/>
              <w:bottom w:val="double" w:sz="2" w:space="0" w:color="C00000"/>
              <w:right w:val="double" w:sz="2" w:space="0" w:color="C00000"/>
            </w:tcBorders>
            <w:vAlign w:val="center"/>
          </w:tcPr>
          <w:p w14:paraId="31FE86CE" w14:textId="77777777" w:rsidR="008C3A64" w:rsidRPr="005A31BC" w:rsidRDefault="008C3A64" w:rsidP="00FF1F9A">
            <w:pPr>
              <w:jc w:val="right"/>
              <w:rPr>
                <w:spacing w:val="-6"/>
                <w:szCs w:val="22"/>
              </w:rPr>
            </w:pPr>
            <w:r w:rsidRPr="005A31BC">
              <w:rPr>
                <w:spacing w:val="-6"/>
                <w:szCs w:val="22"/>
              </w:rPr>
              <w:t>6.022</w:t>
            </w:r>
          </w:p>
        </w:tc>
        <w:tc>
          <w:tcPr>
            <w:tcW w:w="992" w:type="dxa"/>
            <w:tcBorders>
              <w:top w:val="double" w:sz="2" w:space="0" w:color="C00000"/>
              <w:left w:val="double" w:sz="2" w:space="0" w:color="C00000"/>
              <w:bottom w:val="double" w:sz="2" w:space="0" w:color="C00000"/>
              <w:right w:val="double" w:sz="2" w:space="0" w:color="C00000"/>
            </w:tcBorders>
            <w:vAlign w:val="center"/>
          </w:tcPr>
          <w:p w14:paraId="0C865A77" w14:textId="77777777" w:rsidR="008C3A64" w:rsidRPr="005A31BC" w:rsidRDefault="008C3A64" w:rsidP="00FF1F9A">
            <w:pPr>
              <w:jc w:val="right"/>
              <w:rPr>
                <w:spacing w:val="-6"/>
                <w:szCs w:val="22"/>
              </w:rPr>
            </w:pPr>
            <w:r w:rsidRPr="005A31BC">
              <w:rPr>
                <w:spacing w:val="-6"/>
                <w:szCs w:val="22"/>
              </w:rPr>
              <w:t>46,4</w:t>
            </w:r>
          </w:p>
        </w:tc>
        <w:tc>
          <w:tcPr>
            <w:tcW w:w="1276" w:type="dxa"/>
            <w:tcBorders>
              <w:top w:val="double" w:sz="2" w:space="0" w:color="C00000"/>
              <w:left w:val="double" w:sz="2" w:space="0" w:color="C00000"/>
              <w:bottom w:val="double" w:sz="2" w:space="0" w:color="C00000"/>
              <w:right w:val="double" w:sz="2" w:space="0" w:color="C00000"/>
            </w:tcBorders>
            <w:vAlign w:val="center"/>
          </w:tcPr>
          <w:p w14:paraId="1949419A" w14:textId="77777777" w:rsidR="008C3A64" w:rsidRPr="005A31BC" w:rsidRDefault="008C3A64" w:rsidP="00FF1F9A">
            <w:pPr>
              <w:jc w:val="right"/>
              <w:rPr>
                <w:spacing w:val="-6"/>
                <w:szCs w:val="22"/>
              </w:rPr>
            </w:pPr>
            <w:r w:rsidRPr="005A31BC">
              <w:rPr>
                <w:spacing w:val="-6"/>
                <w:szCs w:val="22"/>
              </w:rPr>
              <w:t>6.946</w:t>
            </w:r>
          </w:p>
        </w:tc>
        <w:tc>
          <w:tcPr>
            <w:tcW w:w="905" w:type="dxa"/>
            <w:tcBorders>
              <w:top w:val="double" w:sz="2" w:space="0" w:color="C00000"/>
              <w:left w:val="double" w:sz="2" w:space="0" w:color="C00000"/>
              <w:bottom w:val="double" w:sz="2" w:space="0" w:color="C00000"/>
              <w:right w:val="double" w:sz="2" w:space="0" w:color="C00000"/>
            </w:tcBorders>
            <w:vAlign w:val="center"/>
          </w:tcPr>
          <w:p w14:paraId="2A667788" w14:textId="77777777" w:rsidR="008C3A64" w:rsidRPr="005A31BC" w:rsidRDefault="008C3A64" w:rsidP="00FF1F9A">
            <w:pPr>
              <w:jc w:val="right"/>
              <w:rPr>
                <w:spacing w:val="-6"/>
                <w:szCs w:val="22"/>
              </w:rPr>
            </w:pPr>
            <w:r w:rsidRPr="005A31BC">
              <w:rPr>
                <w:spacing w:val="-6"/>
                <w:szCs w:val="22"/>
              </w:rPr>
              <w:t>53,6</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380453EE" w14:textId="77777777" w:rsidR="008C3A64" w:rsidRPr="005A31BC" w:rsidRDefault="008C3A64" w:rsidP="00FF1F9A">
            <w:pPr>
              <w:jc w:val="right"/>
              <w:rPr>
                <w:spacing w:val="-6"/>
                <w:szCs w:val="22"/>
              </w:rPr>
            </w:pPr>
            <w:r w:rsidRPr="005A31BC">
              <w:rPr>
                <w:spacing w:val="-6"/>
                <w:szCs w:val="22"/>
              </w:rPr>
              <w:t>12.968</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19149BCB" w14:textId="77777777" w:rsidR="008C3A64" w:rsidRPr="005A31BC" w:rsidRDefault="008C3A64" w:rsidP="00FF1F9A">
            <w:pPr>
              <w:jc w:val="right"/>
              <w:rPr>
                <w:spacing w:val="-6"/>
                <w:szCs w:val="22"/>
              </w:rPr>
            </w:pPr>
            <w:r w:rsidRPr="005A31BC">
              <w:rPr>
                <w:spacing w:val="-6"/>
                <w:szCs w:val="22"/>
              </w:rPr>
              <w:t>3,7</w:t>
            </w:r>
          </w:p>
        </w:tc>
      </w:tr>
      <w:tr w:rsidR="008C3A64" w:rsidRPr="005A31BC" w14:paraId="77A69DC4"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6E0A45F6" w14:textId="77777777" w:rsidR="008C3A64" w:rsidRPr="005A31BC" w:rsidRDefault="008C3A64" w:rsidP="00FF1F9A">
            <w:pPr>
              <w:jc w:val="right"/>
              <w:rPr>
                <w:b/>
                <w:bCs/>
                <w:spacing w:val="-6"/>
                <w:szCs w:val="22"/>
              </w:rPr>
            </w:pPr>
            <w:r w:rsidRPr="005A31BC">
              <w:rPr>
                <w:b/>
                <w:bCs/>
                <w:spacing w:val="-6"/>
                <w:szCs w:val="22"/>
              </w:rPr>
              <w:t>20-24</w:t>
            </w:r>
          </w:p>
        </w:tc>
        <w:tc>
          <w:tcPr>
            <w:tcW w:w="1134" w:type="dxa"/>
            <w:tcBorders>
              <w:top w:val="double" w:sz="2" w:space="0" w:color="C00000"/>
              <w:left w:val="double" w:sz="2" w:space="0" w:color="C00000"/>
              <w:bottom w:val="double" w:sz="2" w:space="0" w:color="C00000"/>
              <w:right w:val="double" w:sz="2" w:space="0" w:color="C00000"/>
            </w:tcBorders>
            <w:vAlign w:val="center"/>
          </w:tcPr>
          <w:p w14:paraId="1B2AE222" w14:textId="77777777" w:rsidR="008C3A64" w:rsidRPr="005A31BC" w:rsidRDefault="008C3A64" w:rsidP="00FF1F9A">
            <w:pPr>
              <w:jc w:val="right"/>
              <w:rPr>
                <w:spacing w:val="-6"/>
                <w:szCs w:val="22"/>
              </w:rPr>
            </w:pPr>
            <w:r w:rsidRPr="005A31BC">
              <w:rPr>
                <w:spacing w:val="-6"/>
                <w:szCs w:val="22"/>
              </w:rPr>
              <w:t>7.749</w:t>
            </w:r>
          </w:p>
        </w:tc>
        <w:tc>
          <w:tcPr>
            <w:tcW w:w="992" w:type="dxa"/>
            <w:tcBorders>
              <w:top w:val="double" w:sz="2" w:space="0" w:color="C00000"/>
              <w:left w:val="double" w:sz="2" w:space="0" w:color="C00000"/>
              <w:bottom w:val="double" w:sz="2" w:space="0" w:color="C00000"/>
              <w:right w:val="double" w:sz="2" w:space="0" w:color="C00000"/>
            </w:tcBorders>
            <w:vAlign w:val="center"/>
          </w:tcPr>
          <w:p w14:paraId="5731FE41" w14:textId="77777777" w:rsidR="008C3A64" w:rsidRPr="005A31BC" w:rsidRDefault="008C3A64" w:rsidP="00FF1F9A">
            <w:pPr>
              <w:jc w:val="right"/>
              <w:rPr>
                <w:spacing w:val="-6"/>
                <w:szCs w:val="22"/>
              </w:rPr>
            </w:pPr>
            <w:r w:rsidRPr="005A31BC">
              <w:rPr>
                <w:spacing w:val="-6"/>
                <w:szCs w:val="22"/>
              </w:rPr>
              <w:t>48,3</w:t>
            </w:r>
          </w:p>
        </w:tc>
        <w:tc>
          <w:tcPr>
            <w:tcW w:w="1276" w:type="dxa"/>
            <w:tcBorders>
              <w:top w:val="double" w:sz="2" w:space="0" w:color="C00000"/>
              <w:left w:val="double" w:sz="2" w:space="0" w:color="C00000"/>
              <w:bottom w:val="double" w:sz="2" w:space="0" w:color="C00000"/>
              <w:right w:val="double" w:sz="2" w:space="0" w:color="C00000"/>
            </w:tcBorders>
            <w:vAlign w:val="center"/>
          </w:tcPr>
          <w:p w14:paraId="33F3DD87" w14:textId="77777777" w:rsidR="008C3A64" w:rsidRPr="005A31BC" w:rsidRDefault="008C3A64" w:rsidP="00FF1F9A">
            <w:pPr>
              <w:jc w:val="right"/>
              <w:rPr>
                <w:spacing w:val="-6"/>
                <w:szCs w:val="22"/>
              </w:rPr>
            </w:pPr>
            <w:r w:rsidRPr="005A31BC">
              <w:rPr>
                <w:spacing w:val="-6"/>
                <w:szCs w:val="22"/>
              </w:rPr>
              <w:t>8.283</w:t>
            </w:r>
          </w:p>
        </w:tc>
        <w:tc>
          <w:tcPr>
            <w:tcW w:w="905" w:type="dxa"/>
            <w:tcBorders>
              <w:top w:val="double" w:sz="2" w:space="0" w:color="C00000"/>
              <w:left w:val="double" w:sz="2" w:space="0" w:color="C00000"/>
              <w:bottom w:val="double" w:sz="2" w:space="0" w:color="C00000"/>
              <w:right w:val="double" w:sz="2" w:space="0" w:color="C00000"/>
            </w:tcBorders>
            <w:vAlign w:val="center"/>
          </w:tcPr>
          <w:p w14:paraId="2D865CAF" w14:textId="77777777" w:rsidR="008C3A64" w:rsidRPr="005A31BC" w:rsidRDefault="008C3A64" w:rsidP="00FF1F9A">
            <w:pPr>
              <w:jc w:val="right"/>
              <w:rPr>
                <w:spacing w:val="-6"/>
                <w:szCs w:val="22"/>
              </w:rPr>
            </w:pPr>
            <w:r w:rsidRPr="005A31BC">
              <w:rPr>
                <w:spacing w:val="-6"/>
                <w:szCs w:val="22"/>
              </w:rPr>
              <w:t>51,7</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169E7AD8" w14:textId="77777777" w:rsidR="008C3A64" w:rsidRPr="005A31BC" w:rsidRDefault="008C3A64" w:rsidP="00FF1F9A">
            <w:pPr>
              <w:jc w:val="right"/>
              <w:rPr>
                <w:spacing w:val="-6"/>
                <w:szCs w:val="22"/>
              </w:rPr>
            </w:pPr>
            <w:r w:rsidRPr="005A31BC">
              <w:rPr>
                <w:spacing w:val="-6"/>
                <w:szCs w:val="22"/>
              </w:rPr>
              <w:t>16.032</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58DB7F11" w14:textId="77777777" w:rsidR="008C3A64" w:rsidRPr="005A31BC" w:rsidRDefault="008C3A64" w:rsidP="00FF1F9A">
            <w:pPr>
              <w:jc w:val="right"/>
              <w:rPr>
                <w:spacing w:val="-6"/>
                <w:szCs w:val="22"/>
              </w:rPr>
            </w:pPr>
            <w:r w:rsidRPr="005A31BC">
              <w:rPr>
                <w:spacing w:val="-6"/>
                <w:szCs w:val="22"/>
              </w:rPr>
              <w:t>4,5</w:t>
            </w:r>
          </w:p>
        </w:tc>
      </w:tr>
      <w:tr w:rsidR="008C3A64" w:rsidRPr="005A31BC" w14:paraId="18F5500F"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4DFF6C4D" w14:textId="77777777" w:rsidR="008C3A64" w:rsidRPr="005A31BC" w:rsidRDefault="008C3A64" w:rsidP="00FF1F9A">
            <w:pPr>
              <w:jc w:val="right"/>
              <w:rPr>
                <w:b/>
                <w:bCs/>
                <w:spacing w:val="-6"/>
                <w:szCs w:val="22"/>
              </w:rPr>
            </w:pPr>
            <w:r w:rsidRPr="005A31BC">
              <w:rPr>
                <w:b/>
                <w:bCs/>
                <w:spacing w:val="-6"/>
                <w:szCs w:val="22"/>
              </w:rPr>
              <w:t>25 - 29</w:t>
            </w:r>
          </w:p>
        </w:tc>
        <w:tc>
          <w:tcPr>
            <w:tcW w:w="1134" w:type="dxa"/>
            <w:tcBorders>
              <w:top w:val="double" w:sz="2" w:space="0" w:color="C00000"/>
              <w:left w:val="double" w:sz="2" w:space="0" w:color="C00000"/>
              <w:bottom w:val="double" w:sz="2" w:space="0" w:color="C00000"/>
              <w:right w:val="double" w:sz="2" w:space="0" w:color="C00000"/>
            </w:tcBorders>
            <w:vAlign w:val="center"/>
          </w:tcPr>
          <w:p w14:paraId="5AEAA8CD" w14:textId="77777777" w:rsidR="008C3A64" w:rsidRPr="005A31BC" w:rsidRDefault="008C3A64" w:rsidP="00FF1F9A">
            <w:pPr>
              <w:jc w:val="right"/>
              <w:rPr>
                <w:spacing w:val="-6"/>
                <w:szCs w:val="22"/>
              </w:rPr>
            </w:pPr>
            <w:r w:rsidRPr="005A31BC">
              <w:rPr>
                <w:spacing w:val="-6"/>
                <w:szCs w:val="22"/>
              </w:rPr>
              <w:t>6.862</w:t>
            </w:r>
          </w:p>
        </w:tc>
        <w:tc>
          <w:tcPr>
            <w:tcW w:w="992" w:type="dxa"/>
            <w:tcBorders>
              <w:top w:val="double" w:sz="2" w:space="0" w:color="C00000"/>
              <w:left w:val="double" w:sz="2" w:space="0" w:color="C00000"/>
              <w:bottom w:val="double" w:sz="2" w:space="0" w:color="C00000"/>
              <w:right w:val="double" w:sz="2" w:space="0" w:color="C00000"/>
            </w:tcBorders>
            <w:vAlign w:val="center"/>
          </w:tcPr>
          <w:p w14:paraId="775AB0B6" w14:textId="77777777" w:rsidR="008C3A64" w:rsidRPr="005A31BC" w:rsidRDefault="008C3A64" w:rsidP="00FF1F9A">
            <w:pPr>
              <w:jc w:val="right"/>
              <w:rPr>
                <w:spacing w:val="-6"/>
                <w:szCs w:val="22"/>
              </w:rPr>
            </w:pPr>
            <w:r w:rsidRPr="005A31BC">
              <w:rPr>
                <w:spacing w:val="-6"/>
                <w:szCs w:val="22"/>
              </w:rPr>
              <w:t>45,2</w:t>
            </w:r>
          </w:p>
        </w:tc>
        <w:tc>
          <w:tcPr>
            <w:tcW w:w="1276" w:type="dxa"/>
            <w:tcBorders>
              <w:top w:val="double" w:sz="2" w:space="0" w:color="C00000"/>
              <w:left w:val="double" w:sz="2" w:space="0" w:color="C00000"/>
              <w:bottom w:val="double" w:sz="2" w:space="0" w:color="C00000"/>
              <w:right w:val="double" w:sz="2" w:space="0" w:color="C00000"/>
            </w:tcBorders>
            <w:vAlign w:val="center"/>
          </w:tcPr>
          <w:p w14:paraId="6D3A3A10" w14:textId="77777777" w:rsidR="008C3A64" w:rsidRPr="005A31BC" w:rsidRDefault="008C3A64" w:rsidP="00FF1F9A">
            <w:pPr>
              <w:jc w:val="right"/>
              <w:rPr>
                <w:spacing w:val="-6"/>
                <w:szCs w:val="22"/>
              </w:rPr>
            </w:pPr>
            <w:r w:rsidRPr="005A31BC">
              <w:rPr>
                <w:spacing w:val="-6"/>
                <w:szCs w:val="22"/>
              </w:rPr>
              <w:t>8.334</w:t>
            </w:r>
          </w:p>
        </w:tc>
        <w:tc>
          <w:tcPr>
            <w:tcW w:w="905" w:type="dxa"/>
            <w:tcBorders>
              <w:top w:val="double" w:sz="2" w:space="0" w:color="C00000"/>
              <w:left w:val="double" w:sz="2" w:space="0" w:color="C00000"/>
              <w:bottom w:val="double" w:sz="2" w:space="0" w:color="C00000"/>
              <w:right w:val="double" w:sz="2" w:space="0" w:color="C00000"/>
            </w:tcBorders>
            <w:vAlign w:val="center"/>
          </w:tcPr>
          <w:p w14:paraId="6DD27311" w14:textId="77777777" w:rsidR="008C3A64" w:rsidRPr="005A31BC" w:rsidRDefault="008C3A64" w:rsidP="00FF1F9A">
            <w:pPr>
              <w:jc w:val="right"/>
              <w:rPr>
                <w:spacing w:val="-6"/>
                <w:szCs w:val="22"/>
              </w:rPr>
            </w:pPr>
            <w:r w:rsidRPr="005A31BC">
              <w:rPr>
                <w:spacing w:val="-6"/>
                <w:szCs w:val="22"/>
              </w:rPr>
              <w:t>54,8</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3D954BBC" w14:textId="77777777" w:rsidR="008C3A64" w:rsidRPr="005A31BC" w:rsidRDefault="008C3A64" w:rsidP="00FF1F9A">
            <w:pPr>
              <w:jc w:val="right"/>
              <w:rPr>
                <w:spacing w:val="-6"/>
                <w:szCs w:val="22"/>
              </w:rPr>
            </w:pPr>
            <w:r w:rsidRPr="005A31BC">
              <w:rPr>
                <w:spacing w:val="-6"/>
                <w:szCs w:val="22"/>
              </w:rPr>
              <w:t>15.196</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23874F2E" w14:textId="77777777" w:rsidR="008C3A64" w:rsidRPr="005A31BC" w:rsidRDefault="008C3A64" w:rsidP="00FF1F9A">
            <w:pPr>
              <w:jc w:val="right"/>
              <w:rPr>
                <w:spacing w:val="-6"/>
                <w:szCs w:val="22"/>
              </w:rPr>
            </w:pPr>
            <w:r w:rsidRPr="005A31BC">
              <w:rPr>
                <w:spacing w:val="-6"/>
                <w:szCs w:val="22"/>
              </w:rPr>
              <w:t>4,3</w:t>
            </w:r>
          </w:p>
        </w:tc>
      </w:tr>
      <w:tr w:rsidR="008C3A64" w:rsidRPr="005A31BC" w14:paraId="3B05E68C"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160D19B5" w14:textId="77777777" w:rsidR="008C3A64" w:rsidRPr="005A31BC" w:rsidRDefault="008C3A64" w:rsidP="00FF1F9A">
            <w:pPr>
              <w:jc w:val="right"/>
              <w:rPr>
                <w:b/>
                <w:bCs/>
                <w:spacing w:val="-6"/>
                <w:szCs w:val="22"/>
              </w:rPr>
            </w:pPr>
            <w:r w:rsidRPr="005A31BC">
              <w:rPr>
                <w:b/>
                <w:bCs/>
                <w:spacing w:val="-6"/>
                <w:szCs w:val="22"/>
              </w:rPr>
              <w:t>30 - 34</w:t>
            </w:r>
          </w:p>
        </w:tc>
        <w:tc>
          <w:tcPr>
            <w:tcW w:w="1134" w:type="dxa"/>
            <w:tcBorders>
              <w:top w:val="double" w:sz="2" w:space="0" w:color="C00000"/>
              <w:left w:val="double" w:sz="2" w:space="0" w:color="C00000"/>
              <w:bottom w:val="double" w:sz="2" w:space="0" w:color="C00000"/>
              <w:right w:val="double" w:sz="2" w:space="0" w:color="C00000"/>
            </w:tcBorders>
            <w:vAlign w:val="center"/>
          </w:tcPr>
          <w:p w14:paraId="0F9FE875" w14:textId="77777777" w:rsidR="008C3A64" w:rsidRPr="005A31BC" w:rsidRDefault="008C3A64" w:rsidP="00FF1F9A">
            <w:pPr>
              <w:jc w:val="right"/>
              <w:rPr>
                <w:spacing w:val="-6"/>
                <w:szCs w:val="22"/>
              </w:rPr>
            </w:pPr>
            <w:r w:rsidRPr="005A31BC">
              <w:rPr>
                <w:spacing w:val="-6"/>
                <w:szCs w:val="22"/>
              </w:rPr>
              <w:t>7.744</w:t>
            </w:r>
          </w:p>
        </w:tc>
        <w:tc>
          <w:tcPr>
            <w:tcW w:w="992" w:type="dxa"/>
            <w:tcBorders>
              <w:top w:val="double" w:sz="2" w:space="0" w:color="C00000"/>
              <w:left w:val="double" w:sz="2" w:space="0" w:color="C00000"/>
              <w:bottom w:val="double" w:sz="2" w:space="0" w:color="C00000"/>
              <w:right w:val="double" w:sz="2" w:space="0" w:color="C00000"/>
            </w:tcBorders>
            <w:vAlign w:val="center"/>
          </w:tcPr>
          <w:p w14:paraId="04A590B9" w14:textId="77777777" w:rsidR="008C3A64" w:rsidRPr="005A31BC" w:rsidRDefault="008C3A64" w:rsidP="00FF1F9A">
            <w:pPr>
              <w:jc w:val="right"/>
              <w:rPr>
                <w:spacing w:val="-6"/>
                <w:szCs w:val="22"/>
              </w:rPr>
            </w:pPr>
            <w:r w:rsidRPr="005A31BC">
              <w:rPr>
                <w:spacing w:val="-6"/>
                <w:szCs w:val="22"/>
              </w:rPr>
              <w:t>48,7</w:t>
            </w:r>
          </w:p>
        </w:tc>
        <w:tc>
          <w:tcPr>
            <w:tcW w:w="1276" w:type="dxa"/>
            <w:tcBorders>
              <w:top w:val="double" w:sz="2" w:space="0" w:color="C00000"/>
              <w:left w:val="double" w:sz="2" w:space="0" w:color="C00000"/>
              <w:bottom w:val="double" w:sz="2" w:space="0" w:color="C00000"/>
              <w:right w:val="double" w:sz="2" w:space="0" w:color="C00000"/>
            </w:tcBorders>
            <w:vAlign w:val="center"/>
          </w:tcPr>
          <w:p w14:paraId="5EADAFDE" w14:textId="77777777" w:rsidR="008C3A64" w:rsidRPr="005A31BC" w:rsidRDefault="008C3A64" w:rsidP="00FF1F9A">
            <w:pPr>
              <w:jc w:val="right"/>
              <w:rPr>
                <w:spacing w:val="-6"/>
                <w:szCs w:val="22"/>
              </w:rPr>
            </w:pPr>
            <w:r w:rsidRPr="005A31BC">
              <w:rPr>
                <w:spacing w:val="-6"/>
                <w:szCs w:val="22"/>
              </w:rPr>
              <w:t>8.142</w:t>
            </w:r>
          </w:p>
        </w:tc>
        <w:tc>
          <w:tcPr>
            <w:tcW w:w="905" w:type="dxa"/>
            <w:tcBorders>
              <w:top w:val="double" w:sz="2" w:space="0" w:color="C00000"/>
              <w:left w:val="double" w:sz="2" w:space="0" w:color="C00000"/>
              <w:bottom w:val="double" w:sz="2" w:space="0" w:color="C00000"/>
              <w:right w:val="double" w:sz="2" w:space="0" w:color="C00000"/>
            </w:tcBorders>
            <w:vAlign w:val="center"/>
          </w:tcPr>
          <w:p w14:paraId="4840CD5C" w14:textId="77777777" w:rsidR="008C3A64" w:rsidRPr="005A31BC" w:rsidRDefault="008C3A64" w:rsidP="00FF1F9A">
            <w:pPr>
              <w:jc w:val="right"/>
              <w:rPr>
                <w:spacing w:val="-6"/>
                <w:szCs w:val="22"/>
              </w:rPr>
            </w:pPr>
            <w:r w:rsidRPr="005A31BC">
              <w:rPr>
                <w:spacing w:val="-6"/>
                <w:szCs w:val="22"/>
              </w:rPr>
              <w:t>51,3</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791329F8" w14:textId="77777777" w:rsidR="008C3A64" w:rsidRPr="005A31BC" w:rsidRDefault="008C3A64" w:rsidP="00FF1F9A">
            <w:pPr>
              <w:jc w:val="right"/>
              <w:rPr>
                <w:spacing w:val="-6"/>
                <w:szCs w:val="22"/>
              </w:rPr>
            </w:pPr>
            <w:r w:rsidRPr="005A31BC">
              <w:rPr>
                <w:spacing w:val="-6"/>
                <w:szCs w:val="22"/>
              </w:rPr>
              <w:t>15.885</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6F3E1058" w14:textId="77777777" w:rsidR="008C3A64" w:rsidRPr="005A31BC" w:rsidRDefault="008C3A64" w:rsidP="00FF1F9A">
            <w:pPr>
              <w:jc w:val="right"/>
              <w:rPr>
                <w:spacing w:val="-6"/>
                <w:szCs w:val="22"/>
              </w:rPr>
            </w:pPr>
            <w:r w:rsidRPr="005A31BC">
              <w:rPr>
                <w:spacing w:val="-6"/>
                <w:szCs w:val="22"/>
              </w:rPr>
              <w:t>4,5</w:t>
            </w:r>
          </w:p>
        </w:tc>
      </w:tr>
      <w:tr w:rsidR="008C3A64" w:rsidRPr="005A31BC" w14:paraId="3F36C52A"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6C6A55F5" w14:textId="77777777" w:rsidR="008C3A64" w:rsidRPr="005A31BC" w:rsidRDefault="008C3A64" w:rsidP="00FF1F9A">
            <w:pPr>
              <w:jc w:val="right"/>
              <w:rPr>
                <w:b/>
                <w:bCs/>
                <w:spacing w:val="-6"/>
                <w:szCs w:val="22"/>
              </w:rPr>
            </w:pPr>
            <w:r w:rsidRPr="005A31BC">
              <w:rPr>
                <w:b/>
                <w:bCs/>
                <w:spacing w:val="-6"/>
                <w:szCs w:val="22"/>
              </w:rPr>
              <w:lastRenderedPageBreak/>
              <w:t>35 - 39</w:t>
            </w:r>
          </w:p>
        </w:tc>
        <w:tc>
          <w:tcPr>
            <w:tcW w:w="1134" w:type="dxa"/>
            <w:tcBorders>
              <w:top w:val="double" w:sz="2" w:space="0" w:color="C00000"/>
              <w:left w:val="double" w:sz="2" w:space="0" w:color="C00000"/>
              <w:bottom w:val="double" w:sz="2" w:space="0" w:color="C00000"/>
              <w:right w:val="double" w:sz="2" w:space="0" w:color="C00000"/>
            </w:tcBorders>
            <w:vAlign w:val="center"/>
          </w:tcPr>
          <w:p w14:paraId="467094AF" w14:textId="77777777" w:rsidR="008C3A64" w:rsidRPr="005A31BC" w:rsidRDefault="008C3A64" w:rsidP="00FF1F9A">
            <w:pPr>
              <w:jc w:val="right"/>
              <w:rPr>
                <w:spacing w:val="-6"/>
                <w:szCs w:val="22"/>
              </w:rPr>
            </w:pPr>
            <w:r w:rsidRPr="005A31BC">
              <w:rPr>
                <w:spacing w:val="-6"/>
                <w:szCs w:val="22"/>
              </w:rPr>
              <w:t>7.775</w:t>
            </w:r>
          </w:p>
        </w:tc>
        <w:tc>
          <w:tcPr>
            <w:tcW w:w="992" w:type="dxa"/>
            <w:tcBorders>
              <w:top w:val="double" w:sz="2" w:space="0" w:color="C00000"/>
              <w:left w:val="double" w:sz="2" w:space="0" w:color="C00000"/>
              <w:bottom w:val="double" w:sz="2" w:space="0" w:color="C00000"/>
              <w:right w:val="double" w:sz="2" w:space="0" w:color="C00000"/>
            </w:tcBorders>
            <w:vAlign w:val="center"/>
          </w:tcPr>
          <w:p w14:paraId="6804E100" w14:textId="77777777" w:rsidR="008C3A64" w:rsidRPr="005A31BC" w:rsidRDefault="008C3A64" w:rsidP="00FF1F9A">
            <w:pPr>
              <w:jc w:val="right"/>
              <w:rPr>
                <w:spacing w:val="-6"/>
                <w:szCs w:val="22"/>
              </w:rPr>
            </w:pPr>
            <w:r w:rsidRPr="005A31BC">
              <w:rPr>
                <w:spacing w:val="-6"/>
                <w:szCs w:val="22"/>
              </w:rPr>
              <w:t>58,4</w:t>
            </w:r>
          </w:p>
        </w:tc>
        <w:tc>
          <w:tcPr>
            <w:tcW w:w="1276" w:type="dxa"/>
            <w:tcBorders>
              <w:top w:val="double" w:sz="2" w:space="0" w:color="C00000"/>
              <w:left w:val="double" w:sz="2" w:space="0" w:color="C00000"/>
              <w:bottom w:val="double" w:sz="2" w:space="0" w:color="C00000"/>
              <w:right w:val="double" w:sz="2" w:space="0" w:color="C00000"/>
            </w:tcBorders>
            <w:vAlign w:val="center"/>
          </w:tcPr>
          <w:p w14:paraId="1E38BEA1" w14:textId="77777777" w:rsidR="008C3A64" w:rsidRPr="005A31BC" w:rsidRDefault="008C3A64" w:rsidP="00FF1F9A">
            <w:pPr>
              <w:jc w:val="right"/>
              <w:rPr>
                <w:spacing w:val="-6"/>
                <w:szCs w:val="22"/>
              </w:rPr>
            </w:pPr>
            <w:r w:rsidRPr="005A31BC">
              <w:rPr>
                <w:spacing w:val="-6"/>
                <w:szCs w:val="22"/>
              </w:rPr>
              <w:t>5.548</w:t>
            </w:r>
          </w:p>
        </w:tc>
        <w:tc>
          <w:tcPr>
            <w:tcW w:w="905" w:type="dxa"/>
            <w:tcBorders>
              <w:top w:val="double" w:sz="2" w:space="0" w:color="C00000"/>
              <w:left w:val="double" w:sz="2" w:space="0" w:color="C00000"/>
              <w:bottom w:val="double" w:sz="2" w:space="0" w:color="C00000"/>
              <w:right w:val="double" w:sz="2" w:space="0" w:color="C00000"/>
            </w:tcBorders>
            <w:vAlign w:val="center"/>
          </w:tcPr>
          <w:p w14:paraId="01F5E31C" w14:textId="77777777" w:rsidR="008C3A64" w:rsidRPr="005A31BC" w:rsidRDefault="008C3A64" w:rsidP="00FF1F9A">
            <w:pPr>
              <w:jc w:val="right"/>
              <w:rPr>
                <w:spacing w:val="-6"/>
                <w:szCs w:val="22"/>
              </w:rPr>
            </w:pPr>
            <w:r w:rsidRPr="005A31BC">
              <w:rPr>
                <w:spacing w:val="-6"/>
                <w:szCs w:val="22"/>
              </w:rPr>
              <w:t>41,6</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51165AA0" w14:textId="77777777" w:rsidR="008C3A64" w:rsidRPr="005A31BC" w:rsidRDefault="008C3A64" w:rsidP="00FF1F9A">
            <w:pPr>
              <w:jc w:val="right"/>
              <w:rPr>
                <w:spacing w:val="-6"/>
                <w:szCs w:val="22"/>
              </w:rPr>
            </w:pPr>
            <w:r w:rsidRPr="005A31BC">
              <w:rPr>
                <w:spacing w:val="-6"/>
                <w:szCs w:val="22"/>
              </w:rPr>
              <w:t>13.323</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619F8178" w14:textId="77777777" w:rsidR="008C3A64" w:rsidRPr="005A31BC" w:rsidRDefault="008C3A64" w:rsidP="00FF1F9A">
            <w:pPr>
              <w:jc w:val="right"/>
              <w:rPr>
                <w:spacing w:val="-6"/>
                <w:szCs w:val="22"/>
              </w:rPr>
            </w:pPr>
            <w:r w:rsidRPr="005A31BC">
              <w:rPr>
                <w:spacing w:val="-6"/>
                <w:szCs w:val="22"/>
              </w:rPr>
              <w:t>3,8</w:t>
            </w:r>
          </w:p>
        </w:tc>
      </w:tr>
      <w:tr w:rsidR="008C3A64" w:rsidRPr="005A31BC" w14:paraId="1A4E0DB1"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3336BDAA" w14:textId="77777777" w:rsidR="008C3A64" w:rsidRPr="005A31BC" w:rsidRDefault="008C3A64" w:rsidP="00FF1F9A">
            <w:pPr>
              <w:jc w:val="right"/>
              <w:rPr>
                <w:b/>
                <w:bCs/>
                <w:spacing w:val="-6"/>
                <w:szCs w:val="22"/>
              </w:rPr>
            </w:pPr>
            <w:r w:rsidRPr="005A31BC">
              <w:rPr>
                <w:b/>
                <w:bCs/>
                <w:spacing w:val="-6"/>
                <w:szCs w:val="22"/>
              </w:rPr>
              <w:t>40 - 44</w:t>
            </w:r>
          </w:p>
        </w:tc>
        <w:tc>
          <w:tcPr>
            <w:tcW w:w="1134" w:type="dxa"/>
            <w:tcBorders>
              <w:top w:val="double" w:sz="2" w:space="0" w:color="C00000"/>
              <w:left w:val="double" w:sz="2" w:space="0" w:color="C00000"/>
              <w:bottom w:val="double" w:sz="2" w:space="0" w:color="C00000"/>
              <w:right w:val="double" w:sz="2" w:space="0" w:color="C00000"/>
            </w:tcBorders>
            <w:vAlign w:val="center"/>
          </w:tcPr>
          <w:p w14:paraId="561701B1" w14:textId="77777777" w:rsidR="008C3A64" w:rsidRPr="005A31BC" w:rsidRDefault="008C3A64" w:rsidP="00FF1F9A">
            <w:pPr>
              <w:jc w:val="right"/>
              <w:rPr>
                <w:spacing w:val="-6"/>
                <w:szCs w:val="22"/>
              </w:rPr>
            </w:pPr>
            <w:r w:rsidRPr="005A31BC">
              <w:rPr>
                <w:spacing w:val="-6"/>
                <w:szCs w:val="22"/>
              </w:rPr>
              <w:t>9.557</w:t>
            </w:r>
          </w:p>
        </w:tc>
        <w:tc>
          <w:tcPr>
            <w:tcW w:w="992" w:type="dxa"/>
            <w:tcBorders>
              <w:top w:val="double" w:sz="2" w:space="0" w:color="C00000"/>
              <w:left w:val="double" w:sz="2" w:space="0" w:color="C00000"/>
              <w:bottom w:val="double" w:sz="2" w:space="0" w:color="C00000"/>
              <w:right w:val="double" w:sz="2" w:space="0" w:color="C00000"/>
            </w:tcBorders>
            <w:vAlign w:val="center"/>
          </w:tcPr>
          <w:p w14:paraId="4BA8C276" w14:textId="77777777" w:rsidR="008C3A64" w:rsidRPr="005A31BC" w:rsidRDefault="008C3A64" w:rsidP="00FF1F9A">
            <w:pPr>
              <w:jc w:val="right"/>
              <w:rPr>
                <w:spacing w:val="-6"/>
                <w:szCs w:val="22"/>
              </w:rPr>
            </w:pPr>
            <w:r w:rsidRPr="005A31BC">
              <w:rPr>
                <w:spacing w:val="-6"/>
                <w:szCs w:val="22"/>
              </w:rPr>
              <w:t>56,9</w:t>
            </w:r>
          </w:p>
        </w:tc>
        <w:tc>
          <w:tcPr>
            <w:tcW w:w="1276" w:type="dxa"/>
            <w:tcBorders>
              <w:top w:val="double" w:sz="2" w:space="0" w:color="C00000"/>
              <w:left w:val="double" w:sz="2" w:space="0" w:color="C00000"/>
              <w:bottom w:val="double" w:sz="2" w:space="0" w:color="C00000"/>
              <w:right w:val="double" w:sz="2" w:space="0" w:color="C00000"/>
            </w:tcBorders>
            <w:vAlign w:val="center"/>
          </w:tcPr>
          <w:p w14:paraId="2438F692" w14:textId="77777777" w:rsidR="008C3A64" w:rsidRPr="005A31BC" w:rsidRDefault="008C3A64" w:rsidP="00FF1F9A">
            <w:pPr>
              <w:jc w:val="right"/>
              <w:rPr>
                <w:spacing w:val="-6"/>
                <w:szCs w:val="22"/>
              </w:rPr>
            </w:pPr>
            <w:r w:rsidRPr="005A31BC">
              <w:rPr>
                <w:spacing w:val="-6"/>
                <w:szCs w:val="22"/>
              </w:rPr>
              <w:t>7.253</w:t>
            </w:r>
          </w:p>
        </w:tc>
        <w:tc>
          <w:tcPr>
            <w:tcW w:w="905" w:type="dxa"/>
            <w:tcBorders>
              <w:top w:val="double" w:sz="2" w:space="0" w:color="C00000"/>
              <w:left w:val="double" w:sz="2" w:space="0" w:color="C00000"/>
              <w:bottom w:val="double" w:sz="2" w:space="0" w:color="C00000"/>
              <w:right w:val="double" w:sz="2" w:space="0" w:color="C00000"/>
            </w:tcBorders>
            <w:vAlign w:val="center"/>
          </w:tcPr>
          <w:p w14:paraId="38580061" w14:textId="77777777" w:rsidR="008C3A64" w:rsidRPr="005A31BC" w:rsidRDefault="008C3A64" w:rsidP="00FF1F9A">
            <w:pPr>
              <w:jc w:val="right"/>
              <w:rPr>
                <w:spacing w:val="-6"/>
                <w:szCs w:val="22"/>
              </w:rPr>
            </w:pPr>
            <w:r w:rsidRPr="005A31BC">
              <w:rPr>
                <w:spacing w:val="-6"/>
                <w:szCs w:val="22"/>
              </w:rPr>
              <w:t>43,1</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23134BB4" w14:textId="77777777" w:rsidR="008C3A64" w:rsidRPr="005A31BC" w:rsidRDefault="008C3A64" w:rsidP="00FF1F9A">
            <w:pPr>
              <w:jc w:val="right"/>
              <w:rPr>
                <w:spacing w:val="-6"/>
                <w:szCs w:val="22"/>
              </w:rPr>
            </w:pPr>
            <w:r w:rsidRPr="005A31BC">
              <w:rPr>
                <w:spacing w:val="-6"/>
                <w:szCs w:val="22"/>
              </w:rPr>
              <w:t>16.81O</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364BF04A" w14:textId="77777777" w:rsidR="008C3A64" w:rsidRPr="005A31BC" w:rsidRDefault="008C3A64" w:rsidP="00FF1F9A">
            <w:pPr>
              <w:jc w:val="right"/>
              <w:rPr>
                <w:spacing w:val="-6"/>
                <w:szCs w:val="22"/>
              </w:rPr>
            </w:pPr>
            <w:r w:rsidRPr="005A31BC">
              <w:rPr>
                <w:spacing w:val="-6"/>
                <w:szCs w:val="22"/>
              </w:rPr>
              <w:t>4,8</w:t>
            </w:r>
          </w:p>
        </w:tc>
      </w:tr>
      <w:tr w:rsidR="008C3A64" w:rsidRPr="005A31BC" w14:paraId="7FF14FFE"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3F700BBA" w14:textId="77777777" w:rsidR="008C3A64" w:rsidRPr="005A31BC" w:rsidRDefault="008C3A64" w:rsidP="00FF1F9A">
            <w:pPr>
              <w:jc w:val="right"/>
              <w:rPr>
                <w:b/>
                <w:bCs/>
                <w:spacing w:val="-6"/>
                <w:szCs w:val="22"/>
              </w:rPr>
            </w:pPr>
            <w:r w:rsidRPr="005A31BC">
              <w:rPr>
                <w:b/>
                <w:bCs/>
                <w:spacing w:val="-6"/>
                <w:szCs w:val="22"/>
              </w:rPr>
              <w:t>45 - 49</w:t>
            </w:r>
          </w:p>
        </w:tc>
        <w:tc>
          <w:tcPr>
            <w:tcW w:w="1134" w:type="dxa"/>
            <w:tcBorders>
              <w:top w:val="double" w:sz="2" w:space="0" w:color="C00000"/>
              <w:left w:val="double" w:sz="2" w:space="0" w:color="C00000"/>
              <w:bottom w:val="double" w:sz="2" w:space="0" w:color="C00000"/>
              <w:right w:val="double" w:sz="2" w:space="0" w:color="C00000"/>
            </w:tcBorders>
            <w:vAlign w:val="center"/>
          </w:tcPr>
          <w:p w14:paraId="487EC2E6" w14:textId="77777777" w:rsidR="008C3A64" w:rsidRPr="005A31BC" w:rsidRDefault="008C3A64" w:rsidP="00FF1F9A">
            <w:pPr>
              <w:jc w:val="right"/>
              <w:rPr>
                <w:spacing w:val="-6"/>
                <w:szCs w:val="22"/>
              </w:rPr>
            </w:pPr>
            <w:r w:rsidRPr="005A31BC">
              <w:rPr>
                <w:spacing w:val="-6"/>
                <w:szCs w:val="22"/>
              </w:rPr>
              <w:t>12.162</w:t>
            </w:r>
          </w:p>
        </w:tc>
        <w:tc>
          <w:tcPr>
            <w:tcW w:w="992" w:type="dxa"/>
            <w:tcBorders>
              <w:top w:val="double" w:sz="2" w:space="0" w:color="C00000"/>
              <w:left w:val="double" w:sz="2" w:space="0" w:color="C00000"/>
              <w:bottom w:val="double" w:sz="2" w:space="0" w:color="C00000"/>
              <w:right w:val="double" w:sz="2" w:space="0" w:color="C00000"/>
            </w:tcBorders>
            <w:vAlign w:val="center"/>
          </w:tcPr>
          <w:p w14:paraId="4207D3B6" w14:textId="77777777" w:rsidR="008C3A64" w:rsidRPr="005A31BC" w:rsidRDefault="008C3A64" w:rsidP="00FF1F9A">
            <w:pPr>
              <w:jc w:val="right"/>
              <w:rPr>
                <w:spacing w:val="-6"/>
                <w:szCs w:val="22"/>
              </w:rPr>
            </w:pPr>
            <w:r w:rsidRPr="005A31BC">
              <w:rPr>
                <w:spacing w:val="-6"/>
                <w:szCs w:val="22"/>
              </w:rPr>
              <w:t>57,9</w:t>
            </w:r>
          </w:p>
        </w:tc>
        <w:tc>
          <w:tcPr>
            <w:tcW w:w="1276" w:type="dxa"/>
            <w:tcBorders>
              <w:top w:val="double" w:sz="2" w:space="0" w:color="C00000"/>
              <w:left w:val="double" w:sz="2" w:space="0" w:color="C00000"/>
              <w:bottom w:val="double" w:sz="2" w:space="0" w:color="C00000"/>
              <w:right w:val="double" w:sz="2" w:space="0" w:color="C00000"/>
            </w:tcBorders>
            <w:vAlign w:val="center"/>
          </w:tcPr>
          <w:p w14:paraId="4151C502" w14:textId="77777777" w:rsidR="008C3A64" w:rsidRPr="005A31BC" w:rsidRDefault="008C3A64" w:rsidP="00FF1F9A">
            <w:pPr>
              <w:jc w:val="right"/>
              <w:rPr>
                <w:spacing w:val="-6"/>
                <w:szCs w:val="22"/>
              </w:rPr>
            </w:pPr>
            <w:r w:rsidRPr="005A31BC">
              <w:rPr>
                <w:spacing w:val="-6"/>
                <w:szCs w:val="22"/>
              </w:rPr>
              <w:t>8.837</w:t>
            </w:r>
          </w:p>
        </w:tc>
        <w:tc>
          <w:tcPr>
            <w:tcW w:w="905" w:type="dxa"/>
            <w:tcBorders>
              <w:top w:val="double" w:sz="2" w:space="0" w:color="C00000"/>
              <w:left w:val="double" w:sz="2" w:space="0" w:color="C00000"/>
              <w:bottom w:val="double" w:sz="2" w:space="0" w:color="C00000"/>
              <w:right w:val="double" w:sz="2" w:space="0" w:color="C00000"/>
            </w:tcBorders>
            <w:vAlign w:val="center"/>
          </w:tcPr>
          <w:p w14:paraId="78FFBA09" w14:textId="77777777" w:rsidR="008C3A64" w:rsidRPr="005A31BC" w:rsidRDefault="008C3A64" w:rsidP="00FF1F9A">
            <w:pPr>
              <w:jc w:val="right"/>
              <w:rPr>
                <w:spacing w:val="-6"/>
                <w:szCs w:val="22"/>
              </w:rPr>
            </w:pPr>
            <w:r w:rsidRPr="005A31BC">
              <w:rPr>
                <w:spacing w:val="-6"/>
                <w:szCs w:val="22"/>
              </w:rPr>
              <w:t>42,1</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0590E315" w14:textId="77777777" w:rsidR="008C3A64" w:rsidRPr="005A31BC" w:rsidRDefault="008C3A64" w:rsidP="00FF1F9A">
            <w:pPr>
              <w:jc w:val="right"/>
              <w:rPr>
                <w:spacing w:val="-6"/>
                <w:szCs w:val="22"/>
              </w:rPr>
            </w:pPr>
            <w:r w:rsidRPr="005A31BC">
              <w:rPr>
                <w:spacing w:val="-6"/>
                <w:szCs w:val="22"/>
              </w:rPr>
              <w:t>20.999</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22646131" w14:textId="77777777" w:rsidR="008C3A64" w:rsidRPr="005A31BC" w:rsidRDefault="008C3A64" w:rsidP="00FF1F9A">
            <w:pPr>
              <w:jc w:val="right"/>
              <w:rPr>
                <w:spacing w:val="-6"/>
                <w:szCs w:val="22"/>
              </w:rPr>
            </w:pPr>
            <w:r w:rsidRPr="005A31BC">
              <w:rPr>
                <w:spacing w:val="-6"/>
                <w:szCs w:val="22"/>
              </w:rPr>
              <w:t>5,9</w:t>
            </w:r>
          </w:p>
        </w:tc>
      </w:tr>
      <w:tr w:rsidR="008C3A64" w:rsidRPr="005A31BC" w14:paraId="7BE95667"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6796B024" w14:textId="77777777" w:rsidR="008C3A64" w:rsidRPr="005A31BC" w:rsidRDefault="008C3A64" w:rsidP="00FF1F9A">
            <w:pPr>
              <w:jc w:val="right"/>
              <w:rPr>
                <w:b/>
                <w:bCs/>
                <w:spacing w:val="-6"/>
                <w:szCs w:val="22"/>
              </w:rPr>
            </w:pPr>
            <w:r w:rsidRPr="005A31BC">
              <w:rPr>
                <w:b/>
                <w:bCs/>
                <w:spacing w:val="-6"/>
                <w:szCs w:val="22"/>
              </w:rPr>
              <w:t>50 - 54</w:t>
            </w:r>
          </w:p>
        </w:tc>
        <w:tc>
          <w:tcPr>
            <w:tcW w:w="1134" w:type="dxa"/>
            <w:tcBorders>
              <w:top w:val="double" w:sz="2" w:space="0" w:color="C00000"/>
              <w:left w:val="double" w:sz="2" w:space="0" w:color="C00000"/>
              <w:bottom w:val="double" w:sz="2" w:space="0" w:color="C00000"/>
              <w:right w:val="double" w:sz="2" w:space="0" w:color="C00000"/>
            </w:tcBorders>
            <w:vAlign w:val="center"/>
          </w:tcPr>
          <w:p w14:paraId="1AF05270" w14:textId="77777777" w:rsidR="008C3A64" w:rsidRPr="005A31BC" w:rsidRDefault="008C3A64" w:rsidP="00FF1F9A">
            <w:pPr>
              <w:jc w:val="right"/>
              <w:rPr>
                <w:spacing w:val="-6"/>
                <w:szCs w:val="22"/>
              </w:rPr>
            </w:pPr>
            <w:r w:rsidRPr="005A31BC">
              <w:rPr>
                <w:spacing w:val="-6"/>
                <w:szCs w:val="22"/>
              </w:rPr>
              <w:t>16.249</w:t>
            </w:r>
          </w:p>
        </w:tc>
        <w:tc>
          <w:tcPr>
            <w:tcW w:w="992" w:type="dxa"/>
            <w:tcBorders>
              <w:top w:val="double" w:sz="2" w:space="0" w:color="C00000"/>
              <w:left w:val="double" w:sz="2" w:space="0" w:color="C00000"/>
              <w:bottom w:val="double" w:sz="2" w:space="0" w:color="C00000"/>
              <w:right w:val="double" w:sz="2" w:space="0" w:color="C00000"/>
            </w:tcBorders>
            <w:vAlign w:val="center"/>
          </w:tcPr>
          <w:p w14:paraId="109741BF" w14:textId="77777777" w:rsidR="008C3A64" w:rsidRPr="005A31BC" w:rsidRDefault="008C3A64" w:rsidP="00FF1F9A">
            <w:pPr>
              <w:jc w:val="right"/>
              <w:rPr>
                <w:spacing w:val="-6"/>
                <w:szCs w:val="22"/>
              </w:rPr>
            </w:pPr>
            <w:r w:rsidRPr="005A31BC">
              <w:rPr>
                <w:spacing w:val="-6"/>
                <w:szCs w:val="22"/>
              </w:rPr>
              <w:t>63,5</w:t>
            </w:r>
          </w:p>
        </w:tc>
        <w:tc>
          <w:tcPr>
            <w:tcW w:w="1276" w:type="dxa"/>
            <w:tcBorders>
              <w:top w:val="double" w:sz="2" w:space="0" w:color="C00000"/>
              <w:left w:val="double" w:sz="2" w:space="0" w:color="C00000"/>
              <w:bottom w:val="double" w:sz="2" w:space="0" w:color="C00000"/>
              <w:right w:val="double" w:sz="2" w:space="0" w:color="C00000"/>
            </w:tcBorders>
            <w:vAlign w:val="center"/>
          </w:tcPr>
          <w:p w14:paraId="15C1F290" w14:textId="77777777" w:rsidR="008C3A64" w:rsidRPr="005A31BC" w:rsidRDefault="008C3A64" w:rsidP="00FF1F9A">
            <w:pPr>
              <w:jc w:val="right"/>
              <w:rPr>
                <w:spacing w:val="-6"/>
                <w:szCs w:val="22"/>
              </w:rPr>
            </w:pPr>
            <w:r w:rsidRPr="005A31BC">
              <w:rPr>
                <w:spacing w:val="-6"/>
                <w:szCs w:val="22"/>
              </w:rPr>
              <w:t>9.343</w:t>
            </w:r>
          </w:p>
        </w:tc>
        <w:tc>
          <w:tcPr>
            <w:tcW w:w="905" w:type="dxa"/>
            <w:tcBorders>
              <w:top w:val="double" w:sz="2" w:space="0" w:color="C00000"/>
              <w:left w:val="double" w:sz="2" w:space="0" w:color="C00000"/>
              <w:bottom w:val="double" w:sz="2" w:space="0" w:color="C00000"/>
              <w:right w:val="double" w:sz="2" w:space="0" w:color="C00000"/>
            </w:tcBorders>
            <w:vAlign w:val="center"/>
          </w:tcPr>
          <w:p w14:paraId="4C833E4D" w14:textId="77777777" w:rsidR="008C3A64" w:rsidRPr="005A31BC" w:rsidRDefault="008C3A64" w:rsidP="00FF1F9A">
            <w:pPr>
              <w:jc w:val="right"/>
              <w:rPr>
                <w:spacing w:val="-6"/>
                <w:szCs w:val="22"/>
              </w:rPr>
            </w:pPr>
            <w:r w:rsidRPr="005A31BC">
              <w:rPr>
                <w:spacing w:val="-6"/>
                <w:szCs w:val="22"/>
              </w:rPr>
              <w:t>36,5</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61F9EE75" w14:textId="77777777" w:rsidR="008C3A64" w:rsidRPr="005A31BC" w:rsidRDefault="008C3A64" w:rsidP="00FF1F9A">
            <w:pPr>
              <w:jc w:val="right"/>
              <w:rPr>
                <w:spacing w:val="-6"/>
                <w:szCs w:val="22"/>
              </w:rPr>
            </w:pPr>
            <w:r w:rsidRPr="005A31BC">
              <w:rPr>
                <w:spacing w:val="-6"/>
                <w:szCs w:val="22"/>
              </w:rPr>
              <w:t>25.592</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4C3DDA37" w14:textId="77777777" w:rsidR="008C3A64" w:rsidRPr="005A31BC" w:rsidRDefault="008C3A64" w:rsidP="00FF1F9A">
            <w:pPr>
              <w:jc w:val="right"/>
              <w:rPr>
                <w:spacing w:val="-6"/>
                <w:szCs w:val="22"/>
              </w:rPr>
            </w:pPr>
            <w:r w:rsidRPr="005A31BC">
              <w:rPr>
                <w:spacing w:val="-6"/>
                <w:szCs w:val="22"/>
              </w:rPr>
              <w:t>7,2</w:t>
            </w:r>
          </w:p>
        </w:tc>
      </w:tr>
      <w:tr w:rsidR="008C3A64" w:rsidRPr="005A31BC" w14:paraId="3D308FB6"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41A4B93C" w14:textId="77777777" w:rsidR="008C3A64" w:rsidRPr="005A31BC" w:rsidRDefault="008C3A64" w:rsidP="00FF1F9A">
            <w:pPr>
              <w:jc w:val="right"/>
              <w:rPr>
                <w:b/>
                <w:bCs/>
                <w:spacing w:val="-6"/>
                <w:szCs w:val="22"/>
              </w:rPr>
            </w:pPr>
            <w:r w:rsidRPr="005A31BC">
              <w:rPr>
                <w:b/>
                <w:bCs/>
                <w:spacing w:val="-6"/>
                <w:szCs w:val="22"/>
              </w:rPr>
              <w:t xml:space="preserve">55 – 59 </w:t>
            </w:r>
          </w:p>
        </w:tc>
        <w:tc>
          <w:tcPr>
            <w:tcW w:w="1134" w:type="dxa"/>
            <w:tcBorders>
              <w:top w:val="double" w:sz="2" w:space="0" w:color="C00000"/>
              <w:left w:val="double" w:sz="2" w:space="0" w:color="C00000"/>
              <w:bottom w:val="double" w:sz="2" w:space="0" w:color="C00000"/>
              <w:right w:val="double" w:sz="2" w:space="0" w:color="C00000"/>
            </w:tcBorders>
            <w:vAlign w:val="center"/>
          </w:tcPr>
          <w:p w14:paraId="67630A89" w14:textId="77777777" w:rsidR="008C3A64" w:rsidRPr="005A31BC" w:rsidRDefault="008C3A64" w:rsidP="00FF1F9A">
            <w:pPr>
              <w:jc w:val="right"/>
              <w:rPr>
                <w:spacing w:val="-6"/>
                <w:szCs w:val="22"/>
              </w:rPr>
            </w:pPr>
            <w:r w:rsidRPr="005A31BC">
              <w:rPr>
                <w:spacing w:val="-6"/>
                <w:szCs w:val="22"/>
              </w:rPr>
              <w:t>17.439</w:t>
            </w:r>
          </w:p>
        </w:tc>
        <w:tc>
          <w:tcPr>
            <w:tcW w:w="992" w:type="dxa"/>
            <w:tcBorders>
              <w:top w:val="double" w:sz="2" w:space="0" w:color="C00000"/>
              <w:left w:val="double" w:sz="2" w:space="0" w:color="C00000"/>
              <w:bottom w:val="double" w:sz="2" w:space="0" w:color="C00000"/>
              <w:right w:val="double" w:sz="2" w:space="0" w:color="C00000"/>
            </w:tcBorders>
            <w:vAlign w:val="center"/>
          </w:tcPr>
          <w:p w14:paraId="5D981E82" w14:textId="77777777" w:rsidR="008C3A64" w:rsidRPr="005A31BC" w:rsidRDefault="008C3A64" w:rsidP="00FF1F9A">
            <w:pPr>
              <w:jc w:val="right"/>
              <w:rPr>
                <w:spacing w:val="-6"/>
                <w:szCs w:val="22"/>
              </w:rPr>
            </w:pPr>
            <w:r w:rsidRPr="005A31BC">
              <w:rPr>
                <w:spacing w:val="-6"/>
                <w:szCs w:val="22"/>
              </w:rPr>
              <w:t>64,8</w:t>
            </w:r>
          </w:p>
        </w:tc>
        <w:tc>
          <w:tcPr>
            <w:tcW w:w="1276" w:type="dxa"/>
            <w:tcBorders>
              <w:top w:val="double" w:sz="2" w:space="0" w:color="C00000"/>
              <w:left w:val="double" w:sz="2" w:space="0" w:color="C00000"/>
              <w:bottom w:val="double" w:sz="2" w:space="0" w:color="C00000"/>
              <w:right w:val="double" w:sz="2" w:space="0" w:color="C00000"/>
            </w:tcBorders>
            <w:vAlign w:val="center"/>
          </w:tcPr>
          <w:p w14:paraId="2FD73AEB" w14:textId="77777777" w:rsidR="008C3A64" w:rsidRPr="005A31BC" w:rsidRDefault="008C3A64" w:rsidP="00FF1F9A">
            <w:pPr>
              <w:jc w:val="right"/>
              <w:rPr>
                <w:spacing w:val="-6"/>
                <w:szCs w:val="22"/>
              </w:rPr>
            </w:pPr>
            <w:r w:rsidRPr="005A31BC">
              <w:rPr>
                <w:spacing w:val="-6"/>
                <w:szCs w:val="22"/>
              </w:rPr>
              <w:t>9.475</w:t>
            </w:r>
          </w:p>
        </w:tc>
        <w:tc>
          <w:tcPr>
            <w:tcW w:w="905" w:type="dxa"/>
            <w:tcBorders>
              <w:top w:val="double" w:sz="2" w:space="0" w:color="C00000"/>
              <w:left w:val="double" w:sz="2" w:space="0" w:color="C00000"/>
              <w:bottom w:val="double" w:sz="2" w:space="0" w:color="C00000"/>
              <w:right w:val="double" w:sz="2" w:space="0" w:color="C00000"/>
            </w:tcBorders>
            <w:vAlign w:val="center"/>
          </w:tcPr>
          <w:p w14:paraId="6EFC0D1B" w14:textId="77777777" w:rsidR="008C3A64" w:rsidRPr="005A31BC" w:rsidRDefault="008C3A64" w:rsidP="00FF1F9A">
            <w:pPr>
              <w:jc w:val="right"/>
              <w:rPr>
                <w:spacing w:val="-6"/>
                <w:szCs w:val="22"/>
              </w:rPr>
            </w:pPr>
            <w:r w:rsidRPr="005A31BC">
              <w:rPr>
                <w:spacing w:val="-6"/>
                <w:szCs w:val="22"/>
              </w:rPr>
              <w:t>35,2</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568FA670" w14:textId="77777777" w:rsidR="008C3A64" w:rsidRPr="005A31BC" w:rsidRDefault="008C3A64" w:rsidP="00FF1F9A">
            <w:pPr>
              <w:jc w:val="right"/>
              <w:rPr>
                <w:spacing w:val="-6"/>
                <w:szCs w:val="22"/>
              </w:rPr>
            </w:pPr>
            <w:r w:rsidRPr="005A31BC">
              <w:rPr>
                <w:spacing w:val="-6"/>
                <w:szCs w:val="22"/>
              </w:rPr>
              <w:t>26.914</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5FF10A9A" w14:textId="77777777" w:rsidR="008C3A64" w:rsidRPr="005A31BC" w:rsidRDefault="008C3A64" w:rsidP="00FF1F9A">
            <w:pPr>
              <w:jc w:val="right"/>
              <w:rPr>
                <w:spacing w:val="-6"/>
                <w:szCs w:val="22"/>
              </w:rPr>
            </w:pPr>
            <w:r w:rsidRPr="005A31BC">
              <w:rPr>
                <w:spacing w:val="-6"/>
                <w:szCs w:val="22"/>
              </w:rPr>
              <w:t>7,6</w:t>
            </w:r>
          </w:p>
        </w:tc>
      </w:tr>
      <w:tr w:rsidR="008C3A64" w:rsidRPr="005A31BC" w14:paraId="1706D310"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0B0603D3" w14:textId="77777777" w:rsidR="008C3A64" w:rsidRPr="005A31BC" w:rsidRDefault="008C3A64" w:rsidP="00FF1F9A">
            <w:pPr>
              <w:jc w:val="right"/>
              <w:rPr>
                <w:b/>
                <w:bCs/>
                <w:spacing w:val="-6"/>
                <w:szCs w:val="22"/>
              </w:rPr>
            </w:pPr>
            <w:r w:rsidRPr="005A31BC">
              <w:rPr>
                <w:b/>
                <w:bCs/>
                <w:spacing w:val="-6"/>
                <w:szCs w:val="22"/>
              </w:rPr>
              <w:t>60 - 64</w:t>
            </w:r>
          </w:p>
        </w:tc>
        <w:tc>
          <w:tcPr>
            <w:tcW w:w="1134" w:type="dxa"/>
            <w:tcBorders>
              <w:top w:val="double" w:sz="2" w:space="0" w:color="C00000"/>
              <w:left w:val="double" w:sz="2" w:space="0" w:color="C00000"/>
              <w:bottom w:val="double" w:sz="2" w:space="0" w:color="C00000"/>
              <w:right w:val="double" w:sz="2" w:space="0" w:color="C00000"/>
            </w:tcBorders>
            <w:vAlign w:val="center"/>
          </w:tcPr>
          <w:p w14:paraId="00CD6CCE" w14:textId="77777777" w:rsidR="008C3A64" w:rsidRPr="005A31BC" w:rsidRDefault="008C3A64" w:rsidP="00FF1F9A">
            <w:pPr>
              <w:jc w:val="right"/>
              <w:rPr>
                <w:spacing w:val="-6"/>
                <w:szCs w:val="22"/>
              </w:rPr>
            </w:pPr>
            <w:r w:rsidRPr="005A31BC">
              <w:rPr>
                <w:spacing w:val="-6"/>
                <w:szCs w:val="22"/>
              </w:rPr>
              <w:t>15.024</w:t>
            </w:r>
          </w:p>
        </w:tc>
        <w:tc>
          <w:tcPr>
            <w:tcW w:w="992" w:type="dxa"/>
            <w:tcBorders>
              <w:top w:val="double" w:sz="2" w:space="0" w:color="C00000"/>
              <w:left w:val="double" w:sz="2" w:space="0" w:color="C00000"/>
              <w:bottom w:val="double" w:sz="2" w:space="0" w:color="C00000"/>
              <w:right w:val="double" w:sz="2" w:space="0" w:color="C00000"/>
            </w:tcBorders>
            <w:vAlign w:val="center"/>
          </w:tcPr>
          <w:p w14:paraId="63D3C252" w14:textId="77777777" w:rsidR="008C3A64" w:rsidRPr="005A31BC" w:rsidRDefault="008C3A64" w:rsidP="00FF1F9A">
            <w:pPr>
              <w:jc w:val="right"/>
              <w:rPr>
                <w:spacing w:val="-6"/>
                <w:szCs w:val="22"/>
              </w:rPr>
            </w:pPr>
            <w:r w:rsidRPr="005A31BC">
              <w:rPr>
                <w:spacing w:val="-6"/>
                <w:szCs w:val="22"/>
              </w:rPr>
              <w:t>56,8</w:t>
            </w:r>
          </w:p>
        </w:tc>
        <w:tc>
          <w:tcPr>
            <w:tcW w:w="1276" w:type="dxa"/>
            <w:tcBorders>
              <w:top w:val="double" w:sz="2" w:space="0" w:color="C00000"/>
              <w:left w:val="double" w:sz="2" w:space="0" w:color="C00000"/>
              <w:bottom w:val="double" w:sz="2" w:space="0" w:color="C00000"/>
              <w:right w:val="double" w:sz="2" w:space="0" w:color="C00000"/>
            </w:tcBorders>
            <w:vAlign w:val="center"/>
          </w:tcPr>
          <w:p w14:paraId="4DD2B96D" w14:textId="77777777" w:rsidR="008C3A64" w:rsidRPr="005A31BC" w:rsidRDefault="008C3A64" w:rsidP="00FF1F9A">
            <w:pPr>
              <w:jc w:val="right"/>
              <w:rPr>
                <w:spacing w:val="-6"/>
                <w:szCs w:val="22"/>
              </w:rPr>
            </w:pPr>
            <w:r w:rsidRPr="005A31BC">
              <w:rPr>
                <w:spacing w:val="-6"/>
                <w:szCs w:val="22"/>
              </w:rPr>
              <w:t>11.432</w:t>
            </w:r>
          </w:p>
        </w:tc>
        <w:tc>
          <w:tcPr>
            <w:tcW w:w="905" w:type="dxa"/>
            <w:tcBorders>
              <w:top w:val="double" w:sz="2" w:space="0" w:color="C00000"/>
              <w:left w:val="double" w:sz="2" w:space="0" w:color="C00000"/>
              <w:bottom w:val="double" w:sz="2" w:space="0" w:color="C00000"/>
              <w:right w:val="double" w:sz="2" w:space="0" w:color="C00000"/>
            </w:tcBorders>
            <w:vAlign w:val="center"/>
          </w:tcPr>
          <w:p w14:paraId="282076A5" w14:textId="77777777" w:rsidR="008C3A64" w:rsidRPr="005A31BC" w:rsidRDefault="008C3A64" w:rsidP="00FF1F9A">
            <w:pPr>
              <w:jc w:val="right"/>
              <w:rPr>
                <w:spacing w:val="-6"/>
                <w:szCs w:val="22"/>
              </w:rPr>
            </w:pPr>
            <w:r w:rsidRPr="005A31BC">
              <w:rPr>
                <w:spacing w:val="-6"/>
                <w:szCs w:val="22"/>
              </w:rPr>
              <w:t>43,2</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00746EF0" w14:textId="77777777" w:rsidR="008C3A64" w:rsidRPr="005A31BC" w:rsidRDefault="008C3A64" w:rsidP="00FF1F9A">
            <w:pPr>
              <w:jc w:val="right"/>
              <w:rPr>
                <w:spacing w:val="-6"/>
                <w:szCs w:val="22"/>
              </w:rPr>
            </w:pPr>
            <w:r w:rsidRPr="005A31BC">
              <w:rPr>
                <w:spacing w:val="-6"/>
                <w:szCs w:val="22"/>
              </w:rPr>
              <w:t>26.456</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0DD09C3F" w14:textId="77777777" w:rsidR="008C3A64" w:rsidRPr="005A31BC" w:rsidRDefault="008C3A64" w:rsidP="00FF1F9A">
            <w:pPr>
              <w:jc w:val="right"/>
              <w:rPr>
                <w:spacing w:val="-6"/>
                <w:szCs w:val="22"/>
              </w:rPr>
            </w:pPr>
            <w:r w:rsidRPr="005A31BC">
              <w:rPr>
                <w:spacing w:val="-6"/>
                <w:szCs w:val="22"/>
              </w:rPr>
              <w:t>7,5</w:t>
            </w:r>
          </w:p>
        </w:tc>
      </w:tr>
      <w:tr w:rsidR="008C3A64" w:rsidRPr="005A31BC" w14:paraId="78072BB0"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7BDBD84D" w14:textId="77777777" w:rsidR="008C3A64" w:rsidRPr="005A31BC" w:rsidRDefault="008C3A64" w:rsidP="00FF1F9A">
            <w:pPr>
              <w:jc w:val="right"/>
              <w:rPr>
                <w:b/>
                <w:bCs/>
                <w:spacing w:val="-6"/>
                <w:szCs w:val="22"/>
              </w:rPr>
            </w:pPr>
            <w:r w:rsidRPr="005A31BC">
              <w:rPr>
                <w:b/>
                <w:bCs/>
                <w:spacing w:val="-6"/>
                <w:szCs w:val="22"/>
              </w:rPr>
              <w:t>65 - 69</w:t>
            </w:r>
          </w:p>
        </w:tc>
        <w:tc>
          <w:tcPr>
            <w:tcW w:w="1134" w:type="dxa"/>
            <w:tcBorders>
              <w:top w:val="double" w:sz="2" w:space="0" w:color="C00000"/>
              <w:left w:val="double" w:sz="2" w:space="0" w:color="C00000"/>
              <w:bottom w:val="double" w:sz="2" w:space="0" w:color="C00000"/>
              <w:right w:val="double" w:sz="2" w:space="0" w:color="C00000"/>
            </w:tcBorders>
            <w:vAlign w:val="center"/>
          </w:tcPr>
          <w:p w14:paraId="3C05EF1B" w14:textId="77777777" w:rsidR="008C3A64" w:rsidRPr="005A31BC" w:rsidRDefault="008C3A64" w:rsidP="00FF1F9A">
            <w:pPr>
              <w:jc w:val="right"/>
              <w:rPr>
                <w:spacing w:val="-6"/>
                <w:szCs w:val="22"/>
              </w:rPr>
            </w:pPr>
            <w:r w:rsidRPr="005A31BC">
              <w:rPr>
                <w:spacing w:val="-6"/>
                <w:szCs w:val="22"/>
              </w:rPr>
              <w:t>15.290</w:t>
            </w:r>
          </w:p>
        </w:tc>
        <w:tc>
          <w:tcPr>
            <w:tcW w:w="992" w:type="dxa"/>
            <w:tcBorders>
              <w:top w:val="double" w:sz="2" w:space="0" w:color="C00000"/>
              <w:left w:val="double" w:sz="2" w:space="0" w:color="C00000"/>
              <w:bottom w:val="double" w:sz="2" w:space="0" w:color="C00000"/>
              <w:right w:val="double" w:sz="2" w:space="0" w:color="C00000"/>
            </w:tcBorders>
            <w:vAlign w:val="center"/>
          </w:tcPr>
          <w:p w14:paraId="4AB2BB0C" w14:textId="77777777" w:rsidR="008C3A64" w:rsidRPr="005A31BC" w:rsidRDefault="008C3A64" w:rsidP="00FF1F9A">
            <w:pPr>
              <w:jc w:val="right"/>
              <w:rPr>
                <w:spacing w:val="-6"/>
                <w:szCs w:val="22"/>
              </w:rPr>
            </w:pPr>
            <w:r w:rsidRPr="005A31BC">
              <w:rPr>
                <w:spacing w:val="-6"/>
                <w:szCs w:val="22"/>
              </w:rPr>
              <w:t>58,1</w:t>
            </w:r>
          </w:p>
        </w:tc>
        <w:tc>
          <w:tcPr>
            <w:tcW w:w="1276" w:type="dxa"/>
            <w:tcBorders>
              <w:top w:val="double" w:sz="2" w:space="0" w:color="C00000"/>
              <w:left w:val="double" w:sz="2" w:space="0" w:color="C00000"/>
              <w:bottom w:val="double" w:sz="2" w:space="0" w:color="C00000"/>
              <w:right w:val="double" w:sz="2" w:space="0" w:color="C00000"/>
            </w:tcBorders>
            <w:vAlign w:val="center"/>
          </w:tcPr>
          <w:p w14:paraId="45BE85D7" w14:textId="77777777" w:rsidR="008C3A64" w:rsidRPr="005A31BC" w:rsidRDefault="008C3A64" w:rsidP="00FF1F9A">
            <w:pPr>
              <w:jc w:val="right"/>
              <w:rPr>
                <w:spacing w:val="-6"/>
                <w:szCs w:val="22"/>
              </w:rPr>
            </w:pPr>
            <w:r w:rsidRPr="005A31BC">
              <w:rPr>
                <w:spacing w:val="-6"/>
                <w:szCs w:val="22"/>
              </w:rPr>
              <w:t>11.042</w:t>
            </w:r>
          </w:p>
        </w:tc>
        <w:tc>
          <w:tcPr>
            <w:tcW w:w="905" w:type="dxa"/>
            <w:tcBorders>
              <w:top w:val="double" w:sz="2" w:space="0" w:color="C00000"/>
              <w:left w:val="double" w:sz="2" w:space="0" w:color="C00000"/>
              <w:bottom w:val="double" w:sz="2" w:space="0" w:color="C00000"/>
              <w:right w:val="double" w:sz="2" w:space="0" w:color="C00000"/>
            </w:tcBorders>
            <w:vAlign w:val="center"/>
          </w:tcPr>
          <w:p w14:paraId="392151B6" w14:textId="77777777" w:rsidR="008C3A64" w:rsidRPr="005A31BC" w:rsidRDefault="008C3A64" w:rsidP="00FF1F9A">
            <w:pPr>
              <w:jc w:val="right"/>
              <w:rPr>
                <w:spacing w:val="-6"/>
                <w:szCs w:val="22"/>
              </w:rPr>
            </w:pPr>
            <w:r w:rsidRPr="005A31BC">
              <w:rPr>
                <w:spacing w:val="-6"/>
                <w:szCs w:val="22"/>
              </w:rPr>
              <w:t>41,9</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4E488D55" w14:textId="77777777" w:rsidR="008C3A64" w:rsidRPr="005A31BC" w:rsidRDefault="008C3A64" w:rsidP="00FF1F9A">
            <w:pPr>
              <w:jc w:val="right"/>
              <w:rPr>
                <w:spacing w:val="-6"/>
                <w:szCs w:val="22"/>
              </w:rPr>
            </w:pPr>
            <w:r w:rsidRPr="005A31BC">
              <w:rPr>
                <w:spacing w:val="-6"/>
                <w:szCs w:val="22"/>
              </w:rPr>
              <w:t>26.332</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5062C407" w14:textId="77777777" w:rsidR="008C3A64" w:rsidRPr="005A31BC" w:rsidRDefault="008C3A64" w:rsidP="00FF1F9A">
            <w:pPr>
              <w:jc w:val="right"/>
              <w:rPr>
                <w:spacing w:val="-6"/>
                <w:szCs w:val="22"/>
              </w:rPr>
            </w:pPr>
            <w:r w:rsidRPr="005A31BC">
              <w:rPr>
                <w:spacing w:val="-6"/>
                <w:szCs w:val="22"/>
              </w:rPr>
              <w:t>7,5</w:t>
            </w:r>
          </w:p>
        </w:tc>
      </w:tr>
      <w:tr w:rsidR="008C3A64" w:rsidRPr="005A31BC" w14:paraId="69BF2782"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4623F566" w14:textId="77777777" w:rsidR="008C3A64" w:rsidRPr="005A31BC" w:rsidRDefault="008C3A64" w:rsidP="00FF1F9A">
            <w:pPr>
              <w:jc w:val="right"/>
              <w:rPr>
                <w:b/>
                <w:bCs/>
                <w:spacing w:val="-6"/>
                <w:szCs w:val="22"/>
              </w:rPr>
            </w:pPr>
            <w:r w:rsidRPr="005A31BC">
              <w:rPr>
                <w:b/>
                <w:bCs/>
                <w:spacing w:val="-6"/>
                <w:szCs w:val="22"/>
              </w:rPr>
              <w:t>70 - 74</w:t>
            </w:r>
          </w:p>
        </w:tc>
        <w:tc>
          <w:tcPr>
            <w:tcW w:w="1134" w:type="dxa"/>
            <w:tcBorders>
              <w:top w:val="double" w:sz="2" w:space="0" w:color="C00000"/>
              <w:left w:val="double" w:sz="2" w:space="0" w:color="C00000"/>
              <w:bottom w:val="double" w:sz="2" w:space="0" w:color="C00000"/>
              <w:right w:val="double" w:sz="2" w:space="0" w:color="C00000"/>
            </w:tcBorders>
            <w:vAlign w:val="center"/>
          </w:tcPr>
          <w:p w14:paraId="6C8A2AA3" w14:textId="77777777" w:rsidR="008C3A64" w:rsidRPr="005A31BC" w:rsidRDefault="008C3A64" w:rsidP="00FF1F9A">
            <w:pPr>
              <w:jc w:val="right"/>
              <w:rPr>
                <w:spacing w:val="-6"/>
                <w:szCs w:val="22"/>
              </w:rPr>
            </w:pPr>
            <w:r w:rsidRPr="005A31BC">
              <w:rPr>
                <w:spacing w:val="-6"/>
                <w:szCs w:val="22"/>
              </w:rPr>
              <w:t>14.328</w:t>
            </w:r>
          </w:p>
        </w:tc>
        <w:tc>
          <w:tcPr>
            <w:tcW w:w="992" w:type="dxa"/>
            <w:tcBorders>
              <w:top w:val="double" w:sz="2" w:space="0" w:color="C00000"/>
              <w:left w:val="double" w:sz="2" w:space="0" w:color="C00000"/>
              <w:bottom w:val="double" w:sz="2" w:space="0" w:color="C00000"/>
              <w:right w:val="double" w:sz="2" w:space="0" w:color="C00000"/>
            </w:tcBorders>
            <w:vAlign w:val="center"/>
          </w:tcPr>
          <w:p w14:paraId="0B928E3A" w14:textId="77777777" w:rsidR="008C3A64" w:rsidRPr="005A31BC" w:rsidRDefault="008C3A64" w:rsidP="00FF1F9A">
            <w:pPr>
              <w:jc w:val="right"/>
              <w:rPr>
                <w:spacing w:val="-6"/>
                <w:szCs w:val="22"/>
              </w:rPr>
            </w:pPr>
            <w:r w:rsidRPr="005A31BC">
              <w:rPr>
                <w:spacing w:val="-6"/>
                <w:szCs w:val="22"/>
              </w:rPr>
              <w:t>61,6</w:t>
            </w:r>
          </w:p>
        </w:tc>
        <w:tc>
          <w:tcPr>
            <w:tcW w:w="1276" w:type="dxa"/>
            <w:tcBorders>
              <w:top w:val="double" w:sz="2" w:space="0" w:color="C00000"/>
              <w:left w:val="double" w:sz="2" w:space="0" w:color="C00000"/>
              <w:bottom w:val="double" w:sz="2" w:space="0" w:color="C00000"/>
              <w:right w:val="double" w:sz="2" w:space="0" w:color="C00000"/>
            </w:tcBorders>
            <w:vAlign w:val="center"/>
          </w:tcPr>
          <w:p w14:paraId="106706D6" w14:textId="77777777" w:rsidR="008C3A64" w:rsidRPr="005A31BC" w:rsidRDefault="008C3A64" w:rsidP="00FF1F9A">
            <w:pPr>
              <w:jc w:val="right"/>
              <w:rPr>
                <w:spacing w:val="-6"/>
                <w:szCs w:val="22"/>
              </w:rPr>
            </w:pPr>
            <w:r w:rsidRPr="005A31BC">
              <w:rPr>
                <w:spacing w:val="-6"/>
                <w:szCs w:val="22"/>
              </w:rPr>
              <w:t>8.917</w:t>
            </w:r>
          </w:p>
        </w:tc>
        <w:tc>
          <w:tcPr>
            <w:tcW w:w="905" w:type="dxa"/>
            <w:tcBorders>
              <w:top w:val="double" w:sz="2" w:space="0" w:color="C00000"/>
              <w:left w:val="double" w:sz="2" w:space="0" w:color="C00000"/>
              <w:bottom w:val="double" w:sz="2" w:space="0" w:color="C00000"/>
              <w:right w:val="double" w:sz="2" w:space="0" w:color="C00000"/>
            </w:tcBorders>
            <w:vAlign w:val="center"/>
          </w:tcPr>
          <w:p w14:paraId="5B7E0952" w14:textId="77777777" w:rsidR="008C3A64" w:rsidRPr="005A31BC" w:rsidRDefault="008C3A64" w:rsidP="00FF1F9A">
            <w:pPr>
              <w:jc w:val="right"/>
              <w:rPr>
                <w:spacing w:val="-6"/>
                <w:szCs w:val="22"/>
              </w:rPr>
            </w:pPr>
            <w:r w:rsidRPr="005A31BC">
              <w:rPr>
                <w:spacing w:val="-6"/>
                <w:szCs w:val="22"/>
              </w:rPr>
              <w:t>38,4</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0D3876DE" w14:textId="77777777" w:rsidR="008C3A64" w:rsidRPr="005A31BC" w:rsidRDefault="008C3A64" w:rsidP="00FF1F9A">
            <w:pPr>
              <w:jc w:val="right"/>
              <w:rPr>
                <w:spacing w:val="-6"/>
                <w:szCs w:val="22"/>
              </w:rPr>
            </w:pPr>
            <w:r w:rsidRPr="005A31BC">
              <w:rPr>
                <w:spacing w:val="-6"/>
                <w:szCs w:val="22"/>
              </w:rPr>
              <w:t>23.244</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4A34E197" w14:textId="77777777" w:rsidR="008C3A64" w:rsidRPr="005A31BC" w:rsidRDefault="008C3A64" w:rsidP="00FF1F9A">
            <w:pPr>
              <w:jc w:val="right"/>
              <w:rPr>
                <w:spacing w:val="-6"/>
                <w:szCs w:val="22"/>
              </w:rPr>
            </w:pPr>
            <w:r w:rsidRPr="005A31BC">
              <w:rPr>
                <w:spacing w:val="-6"/>
                <w:szCs w:val="22"/>
              </w:rPr>
              <w:t>6,6</w:t>
            </w:r>
          </w:p>
        </w:tc>
      </w:tr>
      <w:tr w:rsidR="008C3A64" w:rsidRPr="005A31BC" w14:paraId="22CB170A"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655B9545" w14:textId="77777777" w:rsidR="008C3A64" w:rsidRPr="005A31BC" w:rsidRDefault="008C3A64" w:rsidP="00FF1F9A">
            <w:pPr>
              <w:jc w:val="right"/>
              <w:rPr>
                <w:b/>
                <w:bCs/>
                <w:spacing w:val="-6"/>
                <w:szCs w:val="22"/>
              </w:rPr>
            </w:pPr>
            <w:r w:rsidRPr="005A31BC">
              <w:rPr>
                <w:b/>
                <w:bCs/>
                <w:spacing w:val="-6"/>
                <w:szCs w:val="22"/>
              </w:rPr>
              <w:t>75 - 79</w:t>
            </w:r>
          </w:p>
        </w:tc>
        <w:tc>
          <w:tcPr>
            <w:tcW w:w="1134" w:type="dxa"/>
            <w:tcBorders>
              <w:top w:val="double" w:sz="2" w:space="0" w:color="C00000"/>
              <w:left w:val="double" w:sz="2" w:space="0" w:color="C00000"/>
              <w:bottom w:val="double" w:sz="2" w:space="0" w:color="C00000"/>
              <w:right w:val="double" w:sz="2" w:space="0" w:color="C00000"/>
            </w:tcBorders>
            <w:vAlign w:val="center"/>
          </w:tcPr>
          <w:p w14:paraId="057A5941" w14:textId="77777777" w:rsidR="008C3A64" w:rsidRPr="005A31BC" w:rsidRDefault="008C3A64" w:rsidP="00FF1F9A">
            <w:pPr>
              <w:jc w:val="right"/>
              <w:rPr>
                <w:spacing w:val="-6"/>
                <w:szCs w:val="22"/>
              </w:rPr>
            </w:pPr>
            <w:r w:rsidRPr="005A31BC">
              <w:rPr>
                <w:spacing w:val="-6"/>
                <w:szCs w:val="22"/>
              </w:rPr>
              <w:t>14.193</w:t>
            </w:r>
          </w:p>
        </w:tc>
        <w:tc>
          <w:tcPr>
            <w:tcW w:w="992" w:type="dxa"/>
            <w:tcBorders>
              <w:top w:val="double" w:sz="2" w:space="0" w:color="C00000"/>
              <w:left w:val="double" w:sz="2" w:space="0" w:color="C00000"/>
              <w:bottom w:val="double" w:sz="2" w:space="0" w:color="C00000"/>
              <w:right w:val="double" w:sz="2" w:space="0" w:color="C00000"/>
            </w:tcBorders>
            <w:vAlign w:val="center"/>
          </w:tcPr>
          <w:p w14:paraId="41BEB648" w14:textId="77777777" w:rsidR="008C3A64" w:rsidRPr="005A31BC" w:rsidRDefault="008C3A64" w:rsidP="00FF1F9A">
            <w:pPr>
              <w:jc w:val="right"/>
              <w:rPr>
                <w:spacing w:val="-6"/>
                <w:szCs w:val="22"/>
              </w:rPr>
            </w:pPr>
            <w:r w:rsidRPr="005A31BC">
              <w:rPr>
                <w:spacing w:val="-6"/>
                <w:szCs w:val="22"/>
              </w:rPr>
              <w:t>61,0</w:t>
            </w:r>
          </w:p>
        </w:tc>
        <w:tc>
          <w:tcPr>
            <w:tcW w:w="1276" w:type="dxa"/>
            <w:tcBorders>
              <w:top w:val="double" w:sz="2" w:space="0" w:color="C00000"/>
              <w:left w:val="double" w:sz="2" w:space="0" w:color="C00000"/>
              <w:bottom w:val="double" w:sz="2" w:space="0" w:color="C00000"/>
              <w:right w:val="double" w:sz="2" w:space="0" w:color="C00000"/>
            </w:tcBorders>
            <w:vAlign w:val="center"/>
          </w:tcPr>
          <w:p w14:paraId="4C63AD51" w14:textId="77777777" w:rsidR="008C3A64" w:rsidRPr="005A31BC" w:rsidRDefault="008C3A64" w:rsidP="00FF1F9A">
            <w:pPr>
              <w:jc w:val="right"/>
              <w:rPr>
                <w:spacing w:val="-6"/>
                <w:szCs w:val="22"/>
              </w:rPr>
            </w:pPr>
            <w:r w:rsidRPr="005A31BC">
              <w:rPr>
                <w:spacing w:val="-6"/>
                <w:szCs w:val="22"/>
              </w:rPr>
              <w:t>9.072</w:t>
            </w:r>
          </w:p>
        </w:tc>
        <w:tc>
          <w:tcPr>
            <w:tcW w:w="905" w:type="dxa"/>
            <w:tcBorders>
              <w:top w:val="double" w:sz="2" w:space="0" w:color="C00000"/>
              <w:left w:val="double" w:sz="2" w:space="0" w:color="C00000"/>
              <w:bottom w:val="double" w:sz="2" w:space="0" w:color="C00000"/>
              <w:right w:val="double" w:sz="2" w:space="0" w:color="C00000"/>
            </w:tcBorders>
            <w:vAlign w:val="center"/>
          </w:tcPr>
          <w:p w14:paraId="26FCC901" w14:textId="77777777" w:rsidR="008C3A64" w:rsidRPr="005A31BC" w:rsidRDefault="008C3A64" w:rsidP="00FF1F9A">
            <w:pPr>
              <w:jc w:val="right"/>
              <w:rPr>
                <w:spacing w:val="-6"/>
                <w:szCs w:val="22"/>
              </w:rPr>
            </w:pPr>
            <w:r w:rsidRPr="005A31BC">
              <w:rPr>
                <w:spacing w:val="-6"/>
                <w:szCs w:val="22"/>
              </w:rPr>
              <w:t>39,0</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4AB7F744" w14:textId="77777777" w:rsidR="008C3A64" w:rsidRPr="005A31BC" w:rsidRDefault="008C3A64" w:rsidP="00FF1F9A">
            <w:pPr>
              <w:jc w:val="right"/>
              <w:rPr>
                <w:spacing w:val="-6"/>
                <w:szCs w:val="22"/>
              </w:rPr>
            </w:pPr>
            <w:r w:rsidRPr="005A31BC">
              <w:rPr>
                <w:spacing w:val="-6"/>
                <w:szCs w:val="22"/>
              </w:rPr>
              <w:t>23.266</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0E95C59F" w14:textId="77777777" w:rsidR="008C3A64" w:rsidRPr="005A31BC" w:rsidRDefault="008C3A64" w:rsidP="00FF1F9A">
            <w:pPr>
              <w:jc w:val="right"/>
              <w:rPr>
                <w:spacing w:val="-6"/>
                <w:szCs w:val="22"/>
              </w:rPr>
            </w:pPr>
            <w:r w:rsidRPr="005A31BC">
              <w:rPr>
                <w:spacing w:val="-6"/>
                <w:szCs w:val="22"/>
              </w:rPr>
              <w:t>6,6</w:t>
            </w:r>
          </w:p>
        </w:tc>
      </w:tr>
      <w:tr w:rsidR="008C3A64" w:rsidRPr="005A31BC" w14:paraId="769F1E05"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643FAFE6" w14:textId="75197765" w:rsidR="008C3A64" w:rsidRPr="005A31BC" w:rsidRDefault="008C3A64" w:rsidP="00FF1F9A">
            <w:pPr>
              <w:jc w:val="right"/>
              <w:rPr>
                <w:b/>
                <w:bCs/>
                <w:spacing w:val="-6"/>
                <w:szCs w:val="22"/>
              </w:rPr>
            </w:pPr>
            <w:r w:rsidRPr="005A31BC">
              <w:rPr>
                <w:b/>
                <w:bCs/>
                <w:spacing w:val="-6"/>
                <w:szCs w:val="22"/>
              </w:rPr>
              <w:t>80</w:t>
            </w:r>
            <w:r w:rsidR="0082557B">
              <w:rPr>
                <w:b/>
                <w:bCs/>
                <w:spacing w:val="-6"/>
                <w:szCs w:val="22"/>
              </w:rPr>
              <w:t xml:space="preserve"> </w:t>
            </w:r>
            <w:r w:rsidRPr="005A31BC">
              <w:rPr>
                <w:b/>
                <w:bCs/>
                <w:spacing w:val="-6"/>
                <w:szCs w:val="22"/>
              </w:rPr>
              <w:t>- 84</w:t>
            </w:r>
          </w:p>
        </w:tc>
        <w:tc>
          <w:tcPr>
            <w:tcW w:w="1134" w:type="dxa"/>
            <w:tcBorders>
              <w:top w:val="double" w:sz="2" w:space="0" w:color="C00000"/>
              <w:left w:val="double" w:sz="2" w:space="0" w:color="C00000"/>
              <w:bottom w:val="double" w:sz="2" w:space="0" w:color="C00000"/>
              <w:right w:val="double" w:sz="2" w:space="0" w:color="C00000"/>
            </w:tcBorders>
            <w:vAlign w:val="center"/>
          </w:tcPr>
          <w:p w14:paraId="7A4BFF84" w14:textId="77777777" w:rsidR="008C3A64" w:rsidRPr="005A31BC" w:rsidRDefault="008C3A64" w:rsidP="00FF1F9A">
            <w:pPr>
              <w:jc w:val="right"/>
              <w:rPr>
                <w:spacing w:val="-6"/>
                <w:szCs w:val="22"/>
              </w:rPr>
            </w:pPr>
            <w:r w:rsidRPr="005A31BC">
              <w:rPr>
                <w:spacing w:val="-6"/>
                <w:szCs w:val="22"/>
              </w:rPr>
              <w:t>12.509</w:t>
            </w:r>
          </w:p>
        </w:tc>
        <w:tc>
          <w:tcPr>
            <w:tcW w:w="992" w:type="dxa"/>
            <w:tcBorders>
              <w:top w:val="double" w:sz="2" w:space="0" w:color="C00000"/>
              <w:left w:val="double" w:sz="2" w:space="0" w:color="C00000"/>
              <w:bottom w:val="double" w:sz="2" w:space="0" w:color="C00000"/>
              <w:right w:val="double" w:sz="2" w:space="0" w:color="C00000"/>
            </w:tcBorders>
            <w:vAlign w:val="center"/>
          </w:tcPr>
          <w:p w14:paraId="5096598C" w14:textId="77777777" w:rsidR="008C3A64" w:rsidRPr="005A31BC" w:rsidRDefault="008C3A64" w:rsidP="00FF1F9A">
            <w:pPr>
              <w:jc w:val="right"/>
              <w:rPr>
                <w:spacing w:val="-6"/>
                <w:szCs w:val="22"/>
              </w:rPr>
            </w:pPr>
            <w:r w:rsidRPr="005A31BC">
              <w:rPr>
                <w:spacing w:val="-6"/>
                <w:szCs w:val="22"/>
              </w:rPr>
              <w:t>62,6</w:t>
            </w:r>
          </w:p>
        </w:tc>
        <w:tc>
          <w:tcPr>
            <w:tcW w:w="1276" w:type="dxa"/>
            <w:tcBorders>
              <w:top w:val="double" w:sz="2" w:space="0" w:color="C00000"/>
              <w:left w:val="double" w:sz="2" w:space="0" w:color="C00000"/>
              <w:bottom w:val="double" w:sz="2" w:space="0" w:color="C00000"/>
              <w:right w:val="double" w:sz="2" w:space="0" w:color="C00000"/>
            </w:tcBorders>
            <w:vAlign w:val="center"/>
          </w:tcPr>
          <w:p w14:paraId="32F62D99" w14:textId="77777777" w:rsidR="008C3A64" w:rsidRPr="005A31BC" w:rsidRDefault="008C3A64" w:rsidP="00FF1F9A">
            <w:pPr>
              <w:jc w:val="right"/>
              <w:rPr>
                <w:spacing w:val="-6"/>
                <w:szCs w:val="22"/>
              </w:rPr>
            </w:pPr>
            <w:r w:rsidRPr="005A31BC">
              <w:rPr>
                <w:spacing w:val="-6"/>
                <w:szCs w:val="22"/>
              </w:rPr>
              <w:t>7.482</w:t>
            </w:r>
          </w:p>
        </w:tc>
        <w:tc>
          <w:tcPr>
            <w:tcW w:w="905" w:type="dxa"/>
            <w:tcBorders>
              <w:top w:val="double" w:sz="2" w:space="0" w:color="C00000"/>
              <w:left w:val="double" w:sz="2" w:space="0" w:color="C00000"/>
              <w:bottom w:val="double" w:sz="2" w:space="0" w:color="C00000"/>
              <w:right w:val="double" w:sz="2" w:space="0" w:color="C00000"/>
            </w:tcBorders>
            <w:vAlign w:val="center"/>
          </w:tcPr>
          <w:p w14:paraId="294002FA" w14:textId="77777777" w:rsidR="008C3A64" w:rsidRPr="005A31BC" w:rsidRDefault="008C3A64" w:rsidP="00FF1F9A">
            <w:pPr>
              <w:jc w:val="right"/>
              <w:rPr>
                <w:spacing w:val="-6"/>
                <w:szCs w:val="22"/>
              </w:rPr>
            </w:pPr>
            <w:r w:rsidRPr="005A31BC">
              <w:rPr>
                <w:spacing w:val="-6"/>
                <w:szCs w:val="22"/>
              </w:rPr>
              <w:t>37,4</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17BEF3BC" w14:textId="77777777" w:rsidR="008C3A64" w:rsidRPr="005A31BC" w:rsidRDefault="008C3A64" w:rsidP="00FF1F9A">
            <w:pPr>
              <w:jc w:val="right"/>
              <w:rPr>
                <w:spacing w:val="-6"/>
                <w:szCs w:val="22"/>
              </w:rPr>
            </w:pPr>
            <w:r w:rsidRPr="005A31BC">
              <w:rPr>
                <w:spacing w:val="-6"/>
                <w:szCs w:val="22"/>
              </w:rPr>
              <w:t>19.991</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13992EA5" w14:textId="77777777" w:rsidR="008C3A64" w:rsidRPr="005A31BC" w:rsidRDefault="008C3A64" w:rsidP="00FF1F9A">
            <w:pPr>
              <w:jc w:val="right"/>
              <w:rPr>
                <w:spacing w:val="-6"/>
                <w:szCs w:val="22"/>
              </w:rPr>
            </w:pPr>
            <w:r w:rsidRPr="005A31BC">
              <w:rPr>
                <w:spacing w:val="-6"/>
                <w:szCs w:val="22"/>
              </w:rPr>
              <w:t>5,7</w:t>
            </w:r>
          </w:p>
        </w:tc>
      </w:tr>
      <w:tr w:rsidR="008C3A64" w:rsidRPr="005A31BC" w14:paraId="3C82C031"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514F9ADB" w14:textId="6D0662E9" w:rsidR="008C3A64" w:rsidRPr="005A31BC" w:rsidRDefault="008C3A64" w:rsidP="00FF1F9A">
            <w:pPr>
              <w:jc w:val="right"/>
              <w:rPr>
                <w:b/>
                <w:bCs/>
                <w:spacing w:val="-6"/>
                <w:szCs w:val="22"/>
              </w:rPr>
            </w:pPr>
            <w:r w:rsidRPr="005A31BC">
              <w:rPr>
                <w:b/>
                <w:bCs/>
                <w:spacing w:val="-6"/>
                <w:szCs w:val="22"/>
              </w:rPr>
              <w:t>85</w:t>
            </w:r>
            <w:r w:rsidR="0082557B">
              <w:rPr>
                <w:b/>
                <w:bCs/>
                <w:spacing w:val="-6"/>
                <w:szCs w:val="22"/>
              </w:rPr>
              <w:t xml:space="preserve"> </w:t>
            </w:r>
            <w:r w:rsidRPr="005A31BC">
              <w:rPr>
                <w:b/>
                <w:bCs/>
                <w:spacing w:val="-6"/>
                <w:szCs w:val="22"/>
              </w:rPr>
              <w:t>- 89</w:t>
            </w:r>
          </w:p>
        </w:tc>
        <w:tc>
          <w:tcPr>
            <w:tcW w:w="1134" w:type="dxa"/>
            <w:tcBorders>
              <w:top w:val="double" w:sz="2" w:space="0" w:color="C00000"/>
              <w:left w:val="double" w:sz="2" w:space="0" w:color="C00000"/>
              <w:bottom w:val="double" w:sz="2" w:space="0" w:color="C00000"/>
              <w:right w:val="double" w:sz="2" w:space="0" w:color="C00000"/>
            </w:tcBorders>
            <w:vAlign w:val="center"/>
          </w:tcPr>
          <w:p w14:paraId="75F492E8" w14:textId="77777777" w:rsidR="008C3A64" w:rsidRPr="005A31BC" w:rsidRDefault="008C3A64" w:rsidP="00FF1F9A">
            <w:pPr>
              <w:jc w:val="right"/>
              <w:rPr>
                <w:spacing w:val="-6"/>
                <w:szCs w:val="22"/>
              </w:rPr>
            </w:pPr>
            <w:r w:rsidRPr="005A31BC">
              <w:rPr>
                <w:spacing w:val="-6"/>
                <w:szCs w:val="22"/>
              </w:rPr>
              <w:t>10.367</w:t>
            </w:r>
          </w:p>
        </w:tc>
        <w:tc>
          <w:tcPr>
            <w:tcW w:w="992" w:type="dxa"/>
            <w:tcBorders>
              <w:top w:val="double" w:sz="2" w:space="0" w:color="C00000"/>
              <w:left w:val="double" w:sz="2" w:space="0" w:color="C00000"/>
              <w:bottom w:val="double" w:sz="2" w:space="0" w:color="C00000"/>
              <w:right w:val="double" w:sz="2" w:space="0" w:color="C00000"/>
            </w:tcBorders>
            <w:vAlign w:val="center"/>
          </w:tcPr>
          <w:p w14:paraId="42B4B5D5" w14:textId="77777777" w:rsidR="008C3A64" w:rsidRPr="005A31BC" w:rsidRDefault="008C3A64" w:rsidP="00FF1F9A">
            <w:pPr>
              <w:jc w:val="right"/>
              <w:rPr>
                <w:spacing w:val="-6"/>
                <w:szCs w:val="22"/>
              </w:rPr>
            </w:pPr>
            <w:r w:rsidRPr="005A31BC">
              <w:rPr>
                <w:spacing w:val="-6"/>
                <w:szCs w:val="22"/>
              </w:rPr>
              <w:t>73,0</w:t>
            </w:r>
          </w:p>
        </w:tc>
        <w:tc>
          <w:tcPr>
            <w:tcW w:w="1276" w:type="dxa"/>
            <w:tcBorders>
              <w:top w:val="double" w:sz="2" w:space="0" w:color="C00000"/>
              <w:left w:val="double" w:sz="2" w:space="0" w:color="C00000"/>
              <w:bottom w:val="double" w:sz="2" w:space="0" w:color="C00000"/>
              <w:right w:val="double" w:sz="2" w:space="0" w:color="C00000"/>
            </w:tcBorders>
            <w:vAlign w:val="center"/>
          </w:tcPr>
          <w:p w14:paraId="29B0876B" w14:textId="77777777" w:rsidR="008C3A64" w:rsidRPr="005A31BC" w:rsidRDefault="008C3A64" w:rsidP="00FF1F9A">
            <w:pPr>
              <w:jc w:val="right"/>
              <w:rPr>
                <w:spacing w:val="-6"/>
                <w:szCs w:val="22"/>
              </w:rPr>
            </w:pPr>
            <w:r w:rsidRPr="005A31BC">
              <w:rPr>
                <w:spacing w:val="-6"/>
                <w:szCs w:val="22"/>
              </w:rPr>
              <w:t>3.843</w:t>
            </w:r>
          </w:p>
        </w:tc>
        <w:tc>
          <w:tcPr>
            <w:tcW w:w="905" w:type="dxa"/>
            <w:tcBorders>
              <w:top w:val="double" w:sz="2" w:space="0" w:color="C00000"/>
              <w:left w:val="double" w:sz="2" w:space="0" w:color="C00000"/>
              <w:bottom w:val="double" w:sz="2" w:space="0" w:color="C00000"/>
              <w:right w:val="double" w:sz="2" w:space="0" w:color="C00000"/>
            </w:tcBorders>
            <w:vAlign w:val="center"/>
          </w:tcPr>
          <w:p w14:paraId="7447E1F2" w14:textId="77777777" w:rsidR="008C3A64" w:rsidRPr="005A31BC" w:rsidRDefault="008C3A64" w:rsidP="00FF1F9A">
            <w:pPr>
              <w:jc w:val="right"/>
              <w:rPr>
                <w:spacing w:val="-6"/>
                <w:szCs w:val="22"/>
              </w:rPr>
            </w:pPr>
            <w:r w:rsidRPr="005A31BC">
              <w:rPr>
                <w:spacing w:val="-6"/>
                <w:szCs w:val="22"/>
              </w:rPr>
              <w:t>27,0</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04B3E519" w14:textId="77777777" w:rsidR="008C3A64" w:rsidRPr="005A31BC" w:rsidRDefault="008C3A64" w:rsidP="00FF1F9A">
            <w:pPr>
              <w:jc w:val="right"/>
              <w:rPr>
                <w:spacing w:val="-6"/>
                <w:szCs w:val="22"/>
              </w:rPr>
            </w:pPr>
            <w:r w:rsidRPr="005A31BC">
              <w:rPr>
                <w:spacing w:val="-6"/>
                <w:szCs w:val="22"/>
              </w:rPr>
              <w:t>14.211</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04689E04" w14:textId="77777777" w:rsidR="008C3A64" w:rsidRPr="005A31BC" w:rsidRDefault="008C3A64" w:rsidP="00FF1F9A">
            <w:pPr>
              <w:jc w:val="right"/>
              <w:rPr>
                <w:spacing w:val="-6"/>
                <w:szCs w:val="22"/>
              </w:rPr>
            </w:pPr>
            <w:r w:rsidRPr="005A31BC">
              <w:rPr>
                <w:spacing w:val="-6"/>
                <w:szCs w:val="22"/>
              </w:rPr>
              <w:t>4,0</w:t>
            </w:r>
          </w:p>
        </w:tc>
      </w:tr>
      <w:tr w:rsidR="008C3A64" w:rsidRPr="005A31BC" w14:paraId="32FB8422" w14:textId="77777777" w:rsidTr="00CC67C0">
        <w:trPr>
          <w:trHeight w:val="397"/>
          <w:jc w:val="center"/>
        </w:trPr>
        <w:tc>
          <w:tcPr>
            <w:tcW w:w="1835" w:type="dxa"/>
            <w:tcBorders>
              <w:top w:val="double" w:sz="2" w:space="0" w:color="C00000"/>
              <w:bottom w:val="double" w:sz="2" w:space="0" w:color="C00000"/>
              <w:right w:val="double" w:sz="2" w:space="0" w:color="C00000"/>
            </w:tcBorders>
            <w:vAlign w:val="center"/>
          </w:tcPr>
          <w:p w14:paraId="7F13EF3D" w14:textId="77777777" w:rsidR="008C3A64" w:rsidRPr="005A31BC" w:rsidRDefault="008C3A64" w:rsidP="00FF1F9A">
            <w:pPr>
              <w:jc w:val="right"/>
              <w:rPr>
                <w:b/>
                <w:bCs/>
                <w:spacing w:val="-6"/>
                <w:szCs w:val="22"/>
              </w:rPr>
            </w:pPr>
            <w:r w:rsidRPr="005A31BC">
              <w:rPr>
                <w:b/>
                <w:bCs/>
                <w:spacing w:val="-6"/>
                <w:szCs w:val="22"/>
              </w:rPr>
              <w:t>90 y más</w:t>
            </w:r>
          </w:p>
        </w:tc>
        <w:tc>
          <w:tcPr>
            <w:tcW w:w="1134" w:type="dxa"/>
            <w:tcBorders>
              <w:top w:val="double" w:sz="2" w:space="0" w:color="C00000"/>
              <w:left w:val="double" w:sz="2" w:space="0" w:color="C00000"/>
              <w:bottom w:val="double" w:sz="2" w:space="0" w:color="C00000"/>
              <w:right w:val="double" w:sz="2" w:space="0" w:color="C00000"/>
            </w:tcBorders>
            <w:vAlign w:val="center"/>
          </w:tcPr>
          <w:p w14:paraId="3ACDF664" w14:textId="77777777" w:rsidR="008C3A64" w:rsidRPr="005A31BC" w:rsidRDefault="008C3A64" w:rsidP="00FF1F9A">
            <w:pPr>
              <w:jc w:val="right"/>
              <w:rPr>
                <w:spacing w:val="-6"/>
                <w:szCs w:val="22"/>
              </w:rPr>
            </w:pPr>
            <w:r w:rsidRPr="005A31BC">
              <w:rPr>
                <w:spacing w:val="-6"/>
                <w:szCs w:val="22"/>
              </w:rPr>
              <w:t>7.808</w:t>
            </w:r>
          </w:p>
        </w:tc>
        <w:tc>
          <w:tcPr>
            <w:tcW w:w="992" w:type="dxa"/>
            <w:tcBorders>
              <w:top w:val="double" w:sz="2" w:space="0" w:color="C00000"/>
              <w:left w:val="double" w:sz="2" w:space="0" w:color="C00000"/>
              <w:bottom w:val="double" w:sz="2" w:space="0" w:color="C00000"/>
              <w:right w:val="double" w:sz="2" w:space="0" w:color="C00000"/>
            </w:tcBorders>
            <w:vAlign w:val="center"/>
          </w:tcPr>
          <w:p w14:paraId="0A721E4B" w14:textId="77777777" w:rsidR="008C3A64" w:rsidRPr="005A31BC" w:rsidRDefault="008C3A64" w:rsidP="00FF1F9A">
            <w:pPr>
              <w:jc w:val="right"/>
              <w:rPr>
                <w:spacing w:val="-6"/>
                <w:szCs w:val="22"/>
              </w:rPr>
            </w:pPr>
            <w:r w:rsidRPr="005A31BC">
              <w:rPr>
                <w:spacing w:val="-6"/>
                <w:szCs w:val="22"/>
              </w:rPr>
              <w:t>72,2</w:t>
            </w:r>
          </w:p>
        </w:tc>
        <w:tc>
          <w:tcPr>
            <w:tcW w:w="1276" w:type="dxa"/>
            <w:tcBorders>
              <w:top w:val="double" w:sz="2" w:space="0" w:color="C00000"/>
              <w:left w:val="double" w:sz="2" w:space="0" w:color="C00000"/>
              <w:bottom w:val="double" w:sz="2" w:space="0" w:color="C00000"/>
              <w:right w:val="double" w:sz="2" w:space="0" w:color="C00000"/>
            </w:tcBorders>
            <w:vAlign w:val="center"/>
          </w:tcPr>
          <w:p w14:paraId="5700CD0E" w14:textId="77777777" w:rsidR="008C3A64" w:rsidRPr="005A31BC" w:rsidRDefault="008C3A64" w:rsidP="00FF1F9A">
            <w:pPr>
              <w:jc w:val="right"/>
              <w:rPr>
                <w:spacing w:val="-6"/>
                <w:szCs w:val="22"/>
              </w:rPr>
            </w:pPr>
            <w:r w:rsidRPr="005A31BC">
              <w:rPr>
                <w:spacing w:val="-6"/>
                <w:szCs w:val="22"/>
              </w:rPr>
              <w:t>3.002</w:t>
            </w:r>
          </w:p>
        </w:tc>
        <w:tc>
          <w:tcPr>
            <w:tcW w:w="905" w:type="dxa"/>
            <w:tcBorders>
              <w:top w:val="double" w:sz="2" w:space="0" w:color="C00000"/>
              <w:left w:val="double" w:sz="2" w:space="0" w:color="C00000"/>
              <w:bottom w:val="double" w:sz="2" w:space="0" w:color="C00000"/>
              <w:right w:val="double" w:sz="2" w:space="0" w:color="C00000"/>
            </w:tcBorders>
            <w:vAlign w:val="center"/>
          </w:tcPr>
          <w:p w14:paraId="54C77990" w14:textId="77777777" w:rsidR="008C3A64" w:rsidRPr="005A31BC" w:rsidRDefault="008C3A64" w:rsidP="00FF1F9A">
            <w:pPr>
              <w:jc w:val="right"/>
              <w:rPr>
                <w:spacing w:val="-6"/>
                <w:szCs w:val="22"/>
              </w:rPr>
            </w:pPr>
            <w:r w:rsidRPr="005A31BC">
              <w:rPr>
                <w:spacing w:val="-6"/>
                <w:szCs w:val="22"/>
              </w:rPr>
              <w:t>27,8</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038F5D3C" w14:textId="77777777" w:rsidR="008C3A64" w:rsidRPr="005A31BC" w:rsidRDefault="008C3A64" w:rsidP="00FF1F9A">
            <w:pPr>
              <w:jc w:val="right"/>
              <w:rPr>
                <w:spacing w:val="-6"/>
                <w:szCs w:val="22"/>
              </w:rPr>
            </w:pPr>
            <w:r w:rsidRPr="005A31BC">
              <w:rPr>
                <w:spacing w:val="-6"/>
                <w:szCs w:val="22"/>
              </w:rPr>
              <w:t>10.811</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2DF88B0F" w14:textId="77777777" w:rsidR="008C3A64" w:rsidRPr="005A31BC" w:rsidRDefault="008C3A64" w:rsidP="00FF1F9A">
            <w:pPr>
              <w:jc w:val="right"/>
              <w:rPr>
                <w:spacing w:val="-6"/>
                <w:szCs w:val="22"/>
              </w:rPr>
            </w:pPr>
            <w:r w:rsidRPr="005A31BC">
              <w:rPr>
                <w:spacing w:val="-6"/>
                <w:szCs w:val="22"/>
              </w:rPr>
              <w:t>3,1</w:t>
            </w:r>
          </w:p>
        </w:tc>
      </w:tr>
      <w:tr w:rsidR="008C3A64" w:rsidRPr="005A31BC" w14:paraId="14E0835A" w14:textId="77777777" w:rsidTr="00CC67C0">
        <w:trPr>
          <w:trHeight w:val="397"/>
          <w:jc w:val="center"/>
        </w:trPr>
        <w:tc>
          <w:tcPr>
            <w:tcW w:w="1835" w:type="dxa"/>
            <w:tcBorders>
              <w:top w:val="double" w:sz="2" w:space="0" w:color="C00000"/>
              <w:bottom w:val="double" w:sz="2" w:space="0" w:color="C00000"/>
              <w:right w:val="double" w:sz="2" w:space="0" w:color="C00000"/>
            </w:tcBorders>
            <w:shd w:val="clear" w:color="auto" w:fill="C00000"/>
            <w:vAlign w:val="center"/>
          </w:tcPr>
          <w:p w14:paraId="7608E357" w14:textId="77777777" w:rsidR="008C3A64" w:rsidRPr="005A31BC" w:rsidRDefault="008C3A64" w:rsidP="00FF1F9A">
            <w:pPr>
              <w:jc w:val="right"/>
              <w:rPr>
                <w:b/>
                <w:bCs/>
                <w:color w:val="FFFFFF" w:themeColor="background1"/>
                <w:spacing w:val="-6"/>
                <w:szCs w:val="22"/>
              </w:rPr>
            </w:pPr>
            <w:r w:rsidRPr="005A31BC">
              <w:rPr>
                <w:b/>
                <w:bCs/>
                <w:color w:val="FFFFFF" w:themeColor="background1"/>
                <w:spacing w:val="-6"/>
                <w:szCs w:val="22"/>
              </w:rPr>
              <w:t>Total Bogotá</w:t>
            </w:r>
          </w:p>
        </w:tc>
        <w:tc>
          <w:tcPr>
            <w:tcW w:w="1134"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4E067C63" w14:textId="77777777" w:rsidR="008C3A64" w:rsidRPr="005A31BC" w:rsidRDefault="008C3A64" w:rsidP="00FF1F9A">
            <w:pPr>
              <w:jc w:val="right"/>
              <w:rPr>
                <w:b/>
                <w:bCs/>
                <w:spacing w:val="-6"/>
                <w:szCs w:val="22"/>
              </w:rPr>
            </w:pPr>
            <w:r w:rsidRPr="005A31BC">
              <w:rPr>
                <w:b/>
                <w:bCs/>
                <w:spacing w:val="-6"/>
                <w:szCs w:val="22"/>
              </w:rPr>
              <w:t>201.534</w:t>
            </w:r>
          </w:p>
        </w:tc>
        <w:tc>
          <w:tcPr>
            <w:tcW w:w="992"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69DEBE80" w14:textId="77777777" w:rsidR="008C3A64" w:rsidRPr="005A31BC" w:rsidRDefault="008C3A64" w:rsidP="00FF1F9A">
            <w:pPr>
              <w:jc w:val="right"/>
              <w:rPr>
                <w:b/>
                <w:bCs/>
                <w:spacing w:val="-6"/>
                <w:szCs w:val="22"/>
              </w:rPr>
            </w:pPr>
            <w:r w:rsidRPr="005A31BC">
              <w:rPr>
                <w:b/>
                <w:bCs/>
                <w:spacing w:val="-6"/>
                <w:szCs w:val="22"/>
              </w:rPr>
              <w:t>57,1</w:t>
            </w:r>
          </w:p>
        </w:tc>
        <w:tc>
          <w:tcPr>
            <w:tcW w:w="1276"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213F1ADB" w14:textId="77777777" w:rsidR="008C3A64" w:rsidRPr="005A31BC" w:rsidRDefault="008C3A64" w:rsidP="00FF1F9A">
            <w:pPr>
              <w:jc w:val="right"/>
              <w:rPr>
                <w:b/>
                <w:bCs/>
                <w:spacing w:val="-6"/>
                <w:szCs w:val="22"/>
              </w:rPr>
            </w:pPr>
            <w:r w:rsidRPr="005A31BC">
              <w:rPr>
                <w:b/>
                <w:bCs/>
                <w:spacing w:val="-6"/>
                <w:szCs w:val="22"/>
              </w:rPr>
              <w:t>151.620</w:t>
            </w:r>
          </w:p>
        </w:tc>
        <w:tc>
          <w:tcPr>
            <w:tcW w:w="905"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0CF5FBAF" w14:textId="77777777" w:rsidR="008C3A64" w:rsidRPr="005A31BC" w:rsidRDefault="008C3A64" w:rsidP="00FF1F9A">
            <w:pPr>
              <w:jc w:val="right"/>
              <w:rPr>
                <w:b/>
                <w:bCs/>
                <w:spacing w:val="-6"/>
                <w:szCs w:val="22"/>
              </w:rPr>
            </w:pPr>
            <w:r w:rsidRPr="005A31BC">
              <w:rPr>
                <w:b/>
                <w:bCs/>
                <w:spacing w:val="-6"/>
                <w:szCs w:val="22"/>
              </w:rPr>
              <w:t>42,9</w:t>
            </w:r>
          </w:p>
        </w:tc>
        <w:tc>
          <w:tcPr>
            <w:tcW w:w="1080" w:type="dxa"/>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53C51DEC" w14:textId="77777777" w:rsidR="008C3A64" w:rsidRPr="005A31BC" w:rsidRDefault="008C3A64" w:rsidP="00FF1F9A">
            <w:pPr>
              <w:jc w:val="right"/>
              <w:rPr>
                <w:b/>
                <w:bCs/>
                <w:spacing w:val="-6"/>
                <w:szCs w:val="22"/>
              </w:rPr>
            </w:pPr>
            <w:r w:rsidRPr="005A31BC">
              <w:rPr>
                <w:b/>
                <w:bCs/>
                <w:spacing w:val="-6"/>
                <w:szCs w:val="22"/>
              </w:rPr>
              <w:t>353.154</w:t>
            </w:r>
          </w:p>
        </w:tc>
        <w:tc>
          <w:tcPr>
            <w:tcW w:w="1374" w:type="dxa"/>
            <w:tcBorders>
              <w:top w:val="double" w:sz="2" w:space="0" w:color="C00000"/>
              <w:left w:val="double" w:sz="2" w:space="0" w:color="C00000"/>
              <w:bottom w:val="double" w:sz="2" w:space="0" w:color="C00000"/>
            </w:tcBorders>
            <w:shd w:val="clear" w:color="auto" w:fill="D0CECE" w:themeFill="background2" w:themeFillShade="E6"/>
            <w:vAlign w:val="center"/>
          </w:tcPr>
          <w:p w14:paraId="4C19CD29" w14:textId="77777777" w:rsidR="008C3A64" w:rsidRPr="005A31BC" w:rsidRDefault="008C3A64" w:rsidP="00FF1F9A">
            <w:pPr>
              <w:jc w:val="right"/>
              <w:rPr>
                <w:b/>
                <w:bCs/>
                <w:spacing w:val="-6"/>
                <w:szCs w:val="22"/>
              </w:rPr>
            </w:pPr>
            <w:r w:rsidRPr="005A31BC">
              <w:rPr>
                <w:b/>
                <w:bCs/>
                <w:spacing w:val="-6"/>
                <w:szCs w:val="22"/>
              </w:rPr>
              <w:t>100,0</w:t>
            </w:r>
          </w:p>
        </w:tc>
      </w:tr>
    </w:tbl>
    <w:p w14:paraId="041BC4ED" w14:textId="77777777" w:rsidR="008C3A64" w:rsidRPr="005A31BC" w:rsidRDefault="008C3A64" w:rsidP="008C3A64">
      <w:pPr>
        <w:pStyle w:val="figuratitulo"/>
        <w:rPr>
          <w:bCs/>
          <w:color w:val="3B3838" w:themeColor="background2" w:themeShade="40"/>
          <w:spacing w:val="-6"/>
        </w:rPr>
      </w:pPr>
      <w:r w:rsidRPr="005A31BC">
        <w:rPr>
          <w:b/>
          <w:color w:val="3B3838" w:themeColor="background2" w:themeShade="40"/>
          <w:spacing w:val="-6"/>
        </w:rPr>
        <w:t>* Sexo imputado</w:t>
      </w:r>
      <w:r w:rsidRPr="005A31BC">
        <w:rPr>
          <w:bCs/>
          <w:color w:val="3B3838" w:themeColor="background2" w:themeShade="40"/>
          <w:spacing w:val="-6"/>
        </w:rPr>
        <w:t xml:space="preserve"> (sin intersexuales)</w:t>
      </w:r>
    </w:p>
    <w:p w14:paraId="385E7889" w14:textId="77777777" w:rsidR="008C3A64" w:rsidRPr="005A31BC" w:rsidRDefault="008C3A64" w:rsidP="008C3A64">
      <w:pPr>
        <w:pStyle w:val="figuratitulo"/>
        <w:rPr>
          <w:bCs/>
          <w:color w:val="3B3838" w:themeColor="background2" w:themeShade="40"/>
          <w:spacing w:val="-6"/>
        </w:rPr>
      </w:pPr>
      <w:r w:rsidRPr="005A31BC">
        <w:rPr>
          <w:b/>
          <w:color w:val="3B3838" w:themeColor="background2" w:themeShade="40"/>
          <w:spacing w:val="-6"/>
        </w:rPr>
        <w:t>PcD:</w:t>
      </w:r>
      <w:r w:rsidRPr="005A31BC">
        <w:rPr>
          <w:bCs/>
          <w:color w:val="3B3838" w:themeColor="background2" w:themeShade="40"/>
          <w:spacing w:val="-6"/>
        </w:rPr>
        <w:t xml:space="preserve"> Persona con Discapacidad</w:t>
      </w:r>
    </w:p>
    <w:p w14:paraId="1B4301B4" w14:textId="5D680651" w:rsidR="008C3A64" w:rsidRPr="005A31BC" w:rsidRDefault="008C3A64" w:rsidP="008C3A64">
      <w:pPr>
        <w:pStyle w:val="figuratitulo"/>
        <w:rPr>
          <w:bCs/>
          <w:color w:val="3B3838" w:themeColor="background2" w:themeShade="40"/>
          <w:spacing w:val="-6"/>
        </w:rPr>
      </w:pPr>
      <w:r w:rsidRPr="005A31BC">
        <w:rPr>
          <w:b/>
          <w:color w:val="3B3838" w:themeColor="background2" w:themeShade="40"/>
          <w:spacing w:val="-6"/>
        </w:rPr>
        <w:t>Fuente:</w:t>
      </w:r>
      <w:r w:rsidRPr="005A31BC">
        <w:rPr>
          <w:bCs/>
          <w:color w:val="3B3838" w:themeColor="background2" w:themeShade="40"/>
          <w:spacing w:val="-6"/>
        </w:rPr>
        <w:t xml:space="preserve"> DANE-SDP, Encuesta Multipropósito (EM</w:t>
      </w:r>
      <w:r w:rsidR="00DB7ECF">
        <w:rPr>
          <w:bCs/>
          <w:color w:val="3B3838" w:themeColor="background2" w:themeShade="40"/>
          <w:spacing w:val="-6"/>
        </w:rPr>
        <w:t>B</w:t>
      </w:r>
      <w:r w:rsidRPr="005A31BC">
        <w:rPr>
          <w:bCs/>
          <w:color w:val="3B3838" w:themeColor="background2" w:themeShade="40"/>
          <w:spacing w:val="-6"/>
        </w:rPr>
        <w:t>) 2021. Cálculos: OPDF, SDP.</w:t>
      </w:r>
    </w:p>
    <w:p w14:paraId="4525BA1E" w14:textId="77777777" w:rsidR="008C3A64" w:rsidRDefault="008C3A64" w:rsidP="008C3A64">
      <w:pPr>
        <w:spacing w:line="480" w:lineRule="auto"/>
        <w:rPr>
          <w:rFonts w:ascii="Times New Roman" w:hAnsi="Times New Roman"/>
          <w:spacing w:val="-6"/>
          <w:sz w:val="24"/>
        </w:rPr>
      </w:pPr>
    </w:p>
    <w:p w14:paraId="7CCB608C" w14:textId="77777777" w:rsidR="00DB7ECF" w:rsidRPr="005A31BC" w:rsidRDefault="00DB7ECF" w:rsidP="008C3A64">
      <w:pPr>
        <w:spacing w:line="480" w:lineRule="auto"/>
        <w:rPr>
          <w:rFonts w:ascii="Times New Roman" w:hAnsi="Times New Roman"/>
          <w:spacing w:val="-6"/>
          <w:sz w:val="24"/>
        </w:rPr>
        <w:sectPr w:rsidR="00DB7ECF" w:rsidRPr="005A31BC" w:rsidSect="00F7078E">
          <w:type w:val="continuous"/>
          <w:pgSz w:w="12240" w:h="15840"/>
          <w:pgMar w:top="2262" w:right="1440" w:bottom="1440" w:left="1440" w:header="708" w:footer="708" w:gutter="0"/>
          <w:cols w:space="720"/>
        </w:sectPr>
      </w:pPr>
    </w:p>
    <w:p w14:paraId="2143D19F" w14:textId="77777777" w:rsidR="008C3A64" w:rsidRPr="005A31BC" w:rsidRDefault="008C3A64" w:rsidP="008C3A64">
      <w:pPr>
        <w:rPr>
          <w:rFonts w:cs="Times New Roman (Cuerpo en alfa"/>
          <w:spacing w:val="-6"/>
        </w:rPr>
      </w:pPr>
      <w:bookmarkStart w:id="106" w:name="_Toc163322403"/>
      <w:r w:rsidRPr="005A31BC">
        <w:rPr>
          <w:rFonts w:cs="Times New Roman (Cuerpo en alfa"/>
          <w:spacing w:val="-6"/>
        </w:rPr>
        <w:t>Lo anterior indica entre otras, algunas de las diferencias entre hombres y mujeres con discapacidad que se dan no solo por su determinación biológica, sino también por las diferencias de los contextos social, familiar y cultural. Por otra parte, el 35,3 % de personas con discapacidad requieren la ayuda permanente de una persona para su desenvolvimiento cotidiano como bañarse, vestirse, alimentarse; de ellas, el 53,9 % son mujeres y el 46,1 % son hombres (Alcaldía Mayor de Bogotá, 2023b, p. 42).</w:t>
      </w:r>
    </w:p>
    <w:p w14:paraId="41CD96DB" w14:textId="77777777" w:rsidR="008C3A64" w:rsidRPr="005A31BC" w:rsidRDefault="008C3A64" w:rsidP="008C3A64">
      <w:pPr>
        <w:rPr>
          <w:rFonts w:cs="Times New Roman (Cuerpo en alfa"/>
          <w:spacing w:val="-6"/>
        </w:rPr>
      </w:pPr>
    </w:p>
    <w:p w14:paraId="07211E16" w14:textId="77777777" w:rsidR="008C3A64" w:rsidRPr="005A31BC" w:rsidRDefault="008C3A64" w:rsidP="008C3A64">
      <w:pPr>
        <w:rPr>
          <w:rFonts w:cs="Times New Roman (Cuerpo en alfa"/>
          <w:spacing w:val="-6"/>
        </w:rPr>
      </w:pPr>
      <w:r w:rsidRPr="005A31BC">
        <w:rPr>
          <w:rFonts w:cs="Times New Roman (Cuerpo en alfa"/>
          <w:spacing w:val="-6"/>
        </w:rPr>
        <w:t xml:space="preserve">Las principales deficiencias asociadas a la discapacidad están relacionadas con el movimiento de cuerpo o extremidades (54,8 %), sistema nervioso (42,2 %), con alteraciones visuales (31,6 %), con sistema cardiorrespiratorio (30,4 %); digestión, </w:t>
      </w:r>
      <w:r w:rsidRPr="005A31BC">
        <w:rPr>
          <w:rFonts w:cs="Times New Roman (Cuerpo en alfa"/>
          <w:spacing w:val="-6"/>
        </w:rPr>
        <w:t>metabolismo y hormonas (17,2 %), alteraciones auditivas (13,7 %) y de voz y habla (14,2 %).</w:t>
      </w:r>
    </w:p>
    <w:p w14:paraId="1C8BF342" w14:textId="77777777" w:rsidR="008C3A64" w:rsidRPr="005A31BC" w:rsidRDefault="008C3A64" w:rsidP="008C3A64">
      <w:pPr>
        <w:rPr>
          <w:rFonts w:cs="Times New Roman (Cuerpo en alfa"/>
          <w:spacing w:val="-6"/>
        </w:rPr>
      </w:pPr>
    </w:p>
    <w:p w14:paraId="3FFFE678" w14:textId="77777777" w:rsidR="008C3A64" w:rsidRPr="005A31BC" w:rsidRDefault="008C3A64" w:rsidP="008C3A64">
      <w:pPr>
        <w:rPr>
          <w:rFonts w:cs="Times New Roman (Cuerpo en alfa"/>
          <w:spacing w:val="-6"/>
        </w:rPr>
      </w:pPr>
      <w:r w:rsidRPr="005A31BC">
        <w:rPr>
          <w:rFonts w:cs="Times New Roman (Cuerpo en alfa"/>
          <w:spacing w:val="-6"/>
        </w:rPr>
        <w:t>Según el origen de la discapacidad, se adquiere por enfermedad general (38,1 %), en segunda instancia por enfermedades genéticas y hereditarias (12,3 %) y en un 25 % se desconoce su causa. Con respecto al régimen de afiliación en salud, el 43,9 % corresponden al régimen contributivo, el 38,7 % están en el régimen subsidiado, le sigue la población vinculada (8,3 %) y la afiliada a régimen especial (4,3 %). En cuanto a condición socioeconómica, el mayor número de personas refieren estar en el estrato 2 (32,8 %) y en el 3 (32,8 %) (Alcaldía Mayor de Bogotá, 2023b, p. 42).</w:t>
      </w:r>
    </w:p>
    <w:p w14:paraId="57396BF9" w14:textId="77777777" w:rsidR="008C3A64" w:rsidRPr="005A31BC" w:rsidRDefault="008C3A64" w:rsidP="008C3A64">
      <w:pPr>
        <w:rPr>
          <w:rFonts w:cs="Times New Roman (Cuerpo en alfa"/>
          <w:spacing w:val="-6"/>
        </w:rPr>
      </w:pPr>
    </w:p>
    <w:p w14:paraId="50F01C41" w14:textId="77777777" w:rsidR="008C3A64" w:rsidRPr="005A31BC" w:rsidRDefault="008C3A64" w:rsidP="008C3A64">
      <w:pPr>
        <w:rPr>
          <w:rFonts w:cs="Times New Roman (Cuerpo en alfa"/>
          <w:spacing w:val="-6"/>
        </w:rPr>
      </w:pPr>
      <w:r w:rsidRPr="005A31BC">
        <w:rPr>
          <w:rFonts w:cs="Times New Roman (Cuerpo en alfa"/>
          <w:spacing w:val="-6"/>
        </w:rPr>
        <w:lastRenderedPageBreak/>
        <w:t>Es relevante para el análisis de la situación actual de la población con discapacidad, la presencia de barreras actitudinales identificadas en familiares, amigos, compañeros y vecinos, así como también en funcionarios o empleados y en otras personas, comparadas con la que refieren no percibir estas en nadie.</w:t>
      </w:r>
    </w:p>
    <w:p w14:paraId="2678B990" w14:textId="77777777" w:rsidR="008C3A64" w:rsidRPr="005A31BC" w:rsidRDefault="008C3A64" w:rsidP="008C3A64">
      <w:pPr>
        <w:rPr>
          <w:rFonts w:cs="Times New Roman (Cuerpo en alfa"/>
          <w:spacing w:val="-6"/>
        </w:rPr>
      </w:pPr>
    </w:p>
    <w:p w14:paraId="00739BE3" w14:textId="574DBDDA" w:rsidR="008C3A64" w:rsidRPr="005A31BC" w:rsidRDefault="008C3A64" w:rsidP="008C3A64">
      <w:pPr>
        <w:rPr>
          <w:rFonts w:cs="Times New Roman (Cuerpo en alfa"/>
          <w:spacing w:val="-6"/>
        </w:rPr>
        <w:sectPr w:rsidR="008C3A64" w:rsidRPr="005A31BC" w:rsidSect="00F7078E">
          <w:type w:val="continuous"/>
          <w:pgSz w:w="12240" w:h="15840"/>
          <w:pgMar w:top="2262" w:right="1440" w:bottom="1440" w:left="1440" w:header="708" w:footer="708" w:gutter="0"/>
          <w:cols w:num="2" w:space="567"/>
        </w:sectPr>
      </w:pPr>
      <w:r w:rsidRPr="005A31BC">
        <w:rPr>
          <w:rFonts w:cs="Times New Roman (Cuerpo en alfa"/>
          <w:spacing w:val="-6"/>
        </w:rPr>
        <w:t xml:space="preserve">Así, es posible evidenciar que el 37,6 % de personas refieren no percibir barreras actitudinales por parte de ninguna persona, mientras que el 8,0 % las </w:t>
      </w:r>
      <w:r w:rsidRPr="005A31BC">
        <w:rPr>
          <w:rFonts w:cs="Times New Roman (Cuerpo en alfa"/>
          <w:spacing w:val="-6"/>
        </w:rPr>
        <w:t>percibe por parte de otras personas, que no hacen parte de sus círculos sociales o de trabajo y el 6,5 % las vive a través de sus familiares. Estos datos indican que si bien ha habido un cambio significativo en el trato y las relaciones de la población con discapacidad con los demás ciudadanos, continúa siendo evidente un desconocimiento por parte de otras, y en muchos casos, de sus familiares (Alcaldía Mayor de Bogotá, s.f., p. 44</w:t>
      </w:r>
      <w:r w:rsidRPr="00343E1D">
        <w:rPr>
          <w:rFonts w:cs="Times New Roman (Cuerpo en alfa"/>
          <w:spacing w:val="-6"/>
        </w:rPr>
        <w:t>) (</w:t>
      </w:r>
      <w:r w:rsidR="00343E1D" w:rsidRPr="00343E1D">
        <w:rPr>
          <w:rFonts w:cs="Times New Roman (Cuerpo en alfa"/>
          <w:spacing w:val="-6"/>
        </w:rPr>
        <w:fldChar w:fldCharType="begin"/>
      </w:r>
      <w:r w:rsidR="00343E1D" w:rsidRPr="00343E1D">
        <w:rPr>
          <w:rFonts w:cs="Times New Roman (Cuerpo en alfa"/>
          <w:spacing w:val="-6"/>
        </w:rPr>
        <w:instrText xml:space="preserve"> REF _Ref165114133 \h </w:instrText>
      </w:r>
      <w:r w:rsidR="00343E1D" w:rsidRPr="00343E1D">
        <w:rPr>
          <w:rFonts w:cs="Times New Roman (Cuerpo en alfa"/>
          <w:spacing w:val="-6"/>
        </w:rPr>
      </w:r>
      <w:r w:rsidR="00343E1D" w:rsidRPr="00343E1D">
        <w:rPr>
          <w:rFonts w:cs="Times New Roman (Cuerpo en alfa"/>
          <w:spacing w:val="-6"/>
        </w:rPr>
        <w:fldChar w:fldCharType="separate"/>
      </w:r>
      <w:r w:rsidR="00D01651">
        <w:rPr>
          <w:color w:val="C00000"/>
          <w:sz w:val="18"/>
          <w:szCs w:val="14"/>
        </w:rPr>
        <w:br/>
      </w:r>
      <w:r w:rsidR="00D01651" w:rsidRPr="00343E1D">
        <w:rPr>
          <w:color w:val="C00000"/>
          <w:sz w:val="18"/>
          <w:szCs w:val="14"/>
        </w:rPr>
        <w:t xml:space="preserve">Tabla </w:t>
      </w:r>
      <w:r w:rsidR="00D01651">
        <w:rPr>
          <w:noProof/>
          <w:color w:val="C00000"/>
          <w:sz w:val="18"/>
          <w:szCs w:val="14"/>
        </w:rPr>
        <w:t>7</w:t>
      </w:r>
      <w:r w:rsidR="00343E1D" w:rsidRPr="00343E1D">
        <w:rPr>
          <w:rFonts w:cs="Times New Roman (Cuerpo en alfa"/>
          <w:spacing w:val="-6"/>
        </w:rPr>
        <w:fldChar w:fldCharType="end"/>
      </w:r>
      <w:r w:rsidRPr="00343E1D">
        <w:rPr>
          <w:rFonts w:cs="Times New Roman (Cuerpo en alfa"/>
          <w:spacing w:val="-6"/>
        </w:rPr>
        <w:t>).</w:t>
      </w:r>
    </w:p>
    <w:p w14:paraId="7A1CB26F" w14:textId="60014289" w:rsidR="00973DCC" w:rsidRPr="00343E1D" w:rsidRDefault="00FF5CC5" w:rsidP="00343E1D">
      <w:pPr>
        <w:pStyle w:val="Descripcin"/>
        <w:jc w:val="center"/>
        <w:rPr>
          <w:spacing w:val="-6"/>
          <w:sz w:val="18"/>
          <w:szCs w:val="14"/>
        </w:rPr>
      </w:pPr>
      <w:bookmarkStart w:id="107" w:name="_Ref165114133"/>
      <w:bookmarkStart w:id="108" w:name="_Toc164327853"/>
      <w:bookmarkEnd w:id="106"/>
      <w:r>
        <w:rPr>
          <w:color w:val="C00000"/>
          <w:sz w:val="18"/>
          <w:szCs w:val="14"/>
        </w:rPr>
        <w:br/>
      </w:r>
      <w:bookmarkStart w:id="109" w:name="_Toc165169917"/>
      <w:r w:rsidR="00343E1D" w:rsidRPr="00343E1D">
        <w:rPr>
          <w:color w:val="C00000"/>
          <w:sz w:val="18"/>
          <w:szCs w:val="14"/>
        </w:rPr>
        <w:t xml:space="preserve">Tabla </w:t>
      </w:r>
      <w:r w:rsidR="00343E1D" w:rsidRPr="00343E1D">
        <w:rPr>
          <w:color w:val="C00000"/>
          <w:sz w:val="18"/>
          <w:szCs w:val="14"/>
        </w:rPr>
        <w:fldChar w:fldCharType="begin"/>
      </w:r>
      <w:r w:rsidR="00343E1D" w:rsidRPr="00343E1D">
        <w:rPr>
          <w:color w:val="C00000"/>
          <w:sz w:val="18"/>
          <w:szCs w:val="14"/>
        </w:rPr>
        <w:instrText xml:space="preserve"> SEQ Tabla \* ARABIC </w:instrText>
      </w:r>
      <w:r w:rsidR="00343E1D" w:rsidRPr="00343E1D">
        <w:rPr>
          <w:color w:val="C00000"/>
          <w:sz w:val="18"/>
          <w:szCs w:val="14"/>
        </w:rPr>
        <w:fldChar w:fldCharType="separate"/>
      </w:r>
      <w:r w:rsidR="00D01651">
        <w:rPr>
          <w:noProof/>
          <w:color w:val="C00000"/>
          <w:sz w:val="18"/>
          <w:szCs w:val="14"/>
        </w:rPr>
        <w:t>7</w:t>
      </w:r>
      <w:r w:rsidR="00343E1D" w:rsidRPr="00343E1D">
        <w:rPr>
          <w:color w:val="C00000"/>
          <w:sz w:val="18"/>
          <w:szCs w:val="14"/>
        </w:rPr>
        <w:fldChar w:fldCharType="end"/>
      </w:r>
      <w:bookmarkEnd w:id="107"/>
      <w:r w:rsidR="00343E1D" w:rsidRPr="00343E1D">
        <w:rPr>
          <w:color w:val="C00000"/>
          <w:sz w:val="18"/>
          <w:szCs w:val="14"/>
        </w:rPr>
        <w:t xml:space="preserve">. </w:t>
      </w:r>
      <w:r w:rsidR="008C3A64" w:rsidRPr="00343E1D">
        <w:rPr>
          <w:spacing w:val="-6"/>
          <w:sz w:val="18"/>
          <w:szCs w:val="14"/>
        </w:rPr>
        <w:t>Población con discapacidad, condición “vivos” según barreras físicas y sexo</w:t>
      </w:r>
      <w:bookmarkEnd w:id="109"/>
    </w:p>
    <w:tbl>
      <w:tblPr>
        <w:tblStyle w:val="Tablaconcuadrcula"/>
        <w:tblW w:w="8789" w:type="dxa"/>
        <w:tblLayout w:type="fixed"/>
        <w:tblLook w:val="0400" w:firstRow="0" w:lastRow="0" w:firstColumn="0" w:lastColumn="0" w:noHBand="0" w:noVBand="1"/>
      </w:tblPr>
      <w:tblGrid>
        <w:gridCol w:w="1983"/>
        <w:gridCol w:w="929"/>
        <w:gridCol w:w="720"/>
        <w:gridCol w:w="896"/>
        <w:gridCol w:w="714"/>
        <w:gridCol w:w="851"/>
        <w:gridCol w:w="711"/>
        <w:gridCol w:w="988"/>
        <w:gridCol w:w="997"/>
      </w:tblGrid>
      <w:tr w:rsidR="008C3A64" w:rsidRPr="00147DD2" w14:paraId="0C4D7528" w14:textId="77777777" w:rsidTr="00F64BED">
        <w:trPr>
          <w:trHeight w:val="454"/>
          <w:tblHeader/>
        </w:trPr>
        <w:tc>
          <w:tcPr>
            <w:tcW w:w="1983" w:type="dxa"/>
            <w:vMerge w:val="restart"/>
            <w:tcBorders>
              <w:top w:val="nil"/>
              <w:left w:val="nil"/>
              <w:bottom w:val="double" w:sz="2" w:space="0" w:color="C00000"/>
              <w:right w:val="double" w:sz="2" w:space="0" w:color="C00000"/>
            </w:tcBorders>
            <w:shd w:val="clear" w:color="auto" w:fill="C00000"/>
            <w:vAlign w:val="center"/>
          </w:tcPr>
          <w:p w14:paraId="3D208B3C"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Barreras físicas</w:t>
            </w:r>
          </w:p>
        </w:tc>
        <w:tc>
          <w:tcPr>
            <w:tcW w:w="4821" w:type="dxa"/>
            <w:gridSpan w:val="6"/>
            <w:tcBorders>
              <w:top w:val="nil"/>
              <w:left w:val="double" w:sz="2" w:space="0" w:color="C00000"/>
              <w:bottom w:val="double" w:sz="2" w:space="0" w:color="C00000"/>
              <w:right w:val="double" w:sz="2" w:space="0" w:color="C00000"/>
            </w:tcBorders>
            <w:shd w:val="clear" w:color="auto" w:fill="C00000"/>
            <w:vAlign w:val="center"/>
          </w:tcPr>
          <w:p w14:paraId="248A43D5"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Sexo</w:t>
            </w:r>
          </w:p>
        </w:tc>
        <w:tc>
          <w:tcPr>
            <w:tcW w:w="1985" w:type="dxa"/>
            <w:gridSpan w:val="2"/>
            <w:vMerge w:val="restart"/>
            <w:tcBorders>
              <w:top w:val="nil"/>
              <w:left w:val="double" w:sz="2" w:space="0" w:color="C00000"/>
              <w:bottom w:val="double" w:sz="2" w:space="0" w:color="C00000"/>
              <w:right w:val="nil"/>
            </w:tcBorders>
            <w:shd w:val="clear" w:color="auto" w:fill="C00000"/>
            <w:vAlign w:val="center"/>
          </w:tcPr>
          <w:p w14:paraId="6758FD58" w14:textId="77777777" w:rsidR="008C3A64" w:rsidRPr="00147DD2" w:rsidRDefault="008C3A64" w:rsidP="00FF1F9A">
            <w:pPr>
              <w:jc w:val="center"/>
              <w:rPr>
                <w:b/>
                <w:bCs/>
                <w:color w:val="FFFFFF" w:themeColor="background1"/>
                <w:spacing w:val="-6"/>
              </w:rPr>
            </w:pPr>
          </w:p>
          <w:p w14:paraId="5BFC174C"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Total</w:t>
            </w:r>
          </w:p>
          <w:p w14:paraId="7116A1E3" w14:textId="77777777" w:rsidR="008C3A64" w:rsidRPr="00147DD2" w:rsidRDefault="008C3A64" w:rsidP="00FF1F9A">
            <w:pPr>
              <w:jc w:val="center"/>
              <w:rPr>
                <w:b/>
                <w:bCs/>
                <w:color w:val="FFFFFF" w:themeColor="background1"/>
                <w:spacing w:val="-6"/>
              </w:rPr>
            </w:pPr>
          </w:p>
        </w:tc>
      </w:tr>
      <w:tr w:rsidR="008C3A64" w:rsidRPr="00147DD2" w14:paraId="300D4827" w14:textId="77777777" w:rsidTr="00F64BED">
        <w:trPr>
          <w:trHeight w:val="454"/>
        </w:trPr>
        <w:tc>
          <w:tcPr>
            <w:tcW w:w="1983" w:type="dxa"/>
            <w:vMerge/>
            <w:tcBorders>
              <w:top w:val="double" w:sz="2" w:space="0" w:color="C00000"/>
              <w:left w:val="nil"/>
              <w:bottom w:val="double" w:sz="2" w:space="0" w:color="C00000"/>
              <w:right w:val="double" w:sz="2" w:space="0" w:color="C00000"/>
            </w:tcBorders>
            <w:shd w:val="clear" w:color="auto" w:fill="C00000"/>
            <w:vAlign w:val="center"/>
          </w:tcPr>
          <w:p w14:paraId="12944465" w14:textId="77777777" w:rsidR="008C3A64" w:rsidRPr="00147DD2" w:rsidRDefault="008C3A64" w:rsidP="00FF1F9A">
            <w:pPr>
              <w:jc w:val="center"/>
              <w:rPr>
                <w:b/>
                <w:bCs/>
                <w:color w:val="FFFFFF" w:themeColor="background1"/>
                <w:spacing w:val="-6"/>
              </w:rPr>
            </w:pPr>
          </w:p>
        </w:tc>
        <w:tc>
          <w:tcPr>
            <w:tcW w:w="1649" w:type="dxa"/>
            <w:gridSpan w:val="2"/>
            <w:tcBorders>
              <w:top w:val="double" w:sz="2" w:space="0" w:color="C00000"/>
              <w:left w:val="double" w:sz="2" w:space="0" w:color="C00000"/>
              <w:bottom w:val="double" w:sz="2" w:space="0" w:color="C00000"/>
              <w:right w:val="double" w:sz="2" w:space="0" w:color="C00000"/>
            </w:tcBorders>
            <w:shd w:val="clear" w:color="auto" w:fill="C00000"/>
            <w:vAlign w:val="center"/>
          </w:tcPr>
          <w:p w14:paraId="5D108765"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Hombre</w:t>
            </w:r>
          </w:p>
        </w:tc>
        <w:tc>
          <w:tcPr>
            <w:tcW w:w="1610" w:type="dxa"/>
            <w:gridSpan w:val="2"/>
            <w:tcBorders>
              <w:top w:val="double" w:sz="2" w:space="0" w:color="C00000"/>
              <w:left w:val="double" w:sz="2" w:space="0" w:color="C00000"/>
              <w:bottom w:val="double" w:sz="2" w:space="0" w:color="C00000"/>
              <w:right w:val="double" w:sz="2" w:space="0" w:color="C00000"/>
            </w:tcBorders>
            <w:shd w:val="clear" w:color="auto" w:fill="C00000"/>
            <w:vAlign w:val="center"/>
          </w:tcPr>
          <w:p w14:paraId="5E270A14"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Mujer</w:t>
            </w:r>
          </w:p>
        </w:tc>
        <w:tc>
          <w:tcPr>
            <w:tcW w:w="1562" w:type="dxa"/>
            <w:gridSpan w:val="2"/>
            <w:tcBorders>
              <w:top w:val="double" w:sz="2" w:space="0" w:color="C00000"/>
              <w:left w:val="double" w:sz="2" w:space="0" w:color="C00000"/>
              <w:bottom w:val="double" w:sz="2" w:space="0" w:color="C00000"/>
              <w:right w:val="double" w:sz="2" w:space="0" w:color="C00000"/>
            </w:tcBorders>
            <w:shd w:val="clear" w:color="auto" w:fill="C00000"/>
            <w:vAlign w:val="center"/>
          </w:tcPr>
          <w:p w14:paraId="1ABA79AF"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Intersexual</w:t>
            </w:r>
          </w:p>
        </w:tc>
        <w:tc>
          <w:tcPr>
            <w:tcW w:w="1985" w:type="dxa"/>
            <w:gridSpan w:val="2"/>
            <w:vMerge/>
            <w:tcBorders>
              <w:top w:val="double" w:sz="2" w:space="0" w:color="C00000"/>
              <w:left w:val="double" w:sz="2" w:space="0" w:color="C00000"/>
              <w:bottom w:val="double" w:sz="2" w:space="0" w:color="C00000"/>
              <w:right w:val="nil"/>
            </w:tcBorders>
            <w:shd w:val="clear" w:color="auto" w:fill="C00000"/>
            <w:vAlign w:val="center"/>
          </w:tcPr>
          <w:p w14:paraId="7EDAEEEF" w14:textId="77777777" w:rsidR="008C3A64" w:rsidRPr="00147DD2" w:rsidRDefault="008C3A64" w:rsidP="00FF1F9A">
            <w:pPr>
              <w:jc w:val="center"/>
              <w:rPr>
                <w:b/>
                <w:bCs/>
                <w:color w:val="FFFFFF" w:themeColor="background1"/>
                <w:spacing w:val="-6"/>
              </w:rPr>
            </w:pPr>
          </w:p>
        </w:tc>
      </w:tr>
      <w:tr w:rsidR="008C3A64" w:rsidRPr="00147DD2" w14:paraId="6BC3F22E" w14:textId="77777777" w:rsidTr="00F64BED">
        <w:trPr>
          <w:trHeight w:val="454"/>
        </w:trPr>
        <w:tc>
          <w:tcPr>
            <w:tcW w:w="1983" w:type="dxa"/>
            <w:vMerge/>
            <w:tcBorders>
              <w:top w:val="double" w:sz="2" w:space="0" w:color="C00000"/>
              <w:left w:val="nil"/>
              <w:bottom w:val="double" w:sz="2" w:space="0" w:color="C00000"/>
              <w:right w:val="double" w:sz="2" w:space="0" w:color="C00000"/>
            </w:tcBorders>
            <w:shd w:val="clear" w:color="auto" w:fill="C00000"/>
            <w:vAlign w:val="center"/>
          </w:tcPr>
          <w:p w14:paraId="0895C76E" w14:textId="77777777" w:rsidR="008C3A64" w:rsidRPr="00147DD2" w:rsidRDefault="008C3A64" w:rsidP="00FF1F9A">
            <w:pPr>
              <w:jc w:val="center"/>
              <w:rPr>
                <w:b/>
                <w:bCs/>
                <w:color w:val="FFFFFF" w:themeColor="background1"/>
                <w:spacing w:val="-6"/>
              </w:rPr>
            </w:pPr>
          </w:p>
        </w:tc>
        <w:tc>
          <w:tcPr>
            <w:tcW w:w="929"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75107078"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PcD</w:t>
            </w:r>
          </w:p>
        </w:tc>
        <w:tc>
          <w:tcPr>
            <w:tcW w:w="720"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12B79D90"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w:t>
            </w:r>
          </w:p>
        </w:tc>
        <w:tc>
          <w:tcPr>
            <w:tcW w:w="896"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29245B6E"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PcD</w:t>
            </w:r>
          </w:p>
        </w:tc>
        <w:tc>
          <w:tcPr>
            <w:tcW w:w="714"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72D454B0"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w:t>
            </w:r>
          </w:p>
        </w:tc>
        <w:tc>
          <w:tcPr>
            <w:tcW w:w="851"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56C1D9F3"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PcD</w:t>
            </w:r>
          </w:p>
        </w:tc>
        <w:tc>
          <w:tcPr>
            <w:tcW w:w="711"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65D31C69"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w:t>
            </w:r>
          </w:p>
        </w:tc>
        <w:tc>
          <w:tcPr>
            <w:tcW w:w="988" w:type="dxa"/>
            <w:tcBorders>
              <w:top w:val="double" w:sz="2" w:space="0" w:color="C00000"/>
              <w:left w:val="double" w:sz="2" w:space="0" w:color="C00000"/>
              <w:bottom w:val="double" w:sz="2" w:space="0" w:color="C00000"/>
              <w:right w:val="double" w:sz="2" w:space="0" w:color="C00000"/>
            </w:tcBorders>
            <w:shd w:val="clear" w:color="auto" w:fill="C00000"/>
            <w:vAlign w:val="center"/>
          </w:tcPr>
          <w:p w14:paraId="6EF5DFE1"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PcD</w:t>
            </w:r>
          </w:p>
        </w:tc>
        <w:tc>
          <w:tcPr>
            <w:tcW w:w="997" w:type="dxa"/>
            <w:tcBorders>
              <w:top w:val="double" w:sz="2" w:space="0" w:color="C00000"/>
              <w:left w:val="double" w:sz="2" w:space="0" w:color="C00000"/>
              <w:bottom w:val="double" w:sz="2" w:space="0" w:color="C00000"/>
              <w:right w:val="nil"/>
            </w:tcBorders>
            <w:shd w:val="clear" w:color="auto" w:fill="C00000"/>
            <w:vAlign w:val="center"/>
          </w:tcPr>
          <w:p w14:paraId="699A9E9E" w14:textId="77777777" w:rsidR="008C3A64" w:rsidRPr="00147DD2" w:rsidRDefault="008C3A64" w:rsidP="00FF1F9A">
            <w:pPr>
              <w:jc w:val="center"/>
              <w:rPr>
                <w:b/>
                <w:bCs/>
                <w:color w:val="FFFFFF" w:themeColor="background1"/>
                <w:spacing w:val="-6"/>
              </w:rPr>
            </w:pPr>
            <w:r w:rsidRPr="00147DD2">
              <w:rPr>
                <w:b/>
                <w:bCs/>
                <w:color w:val="FFFFFF" w:themeColor="background1"/>
                <w:spacing w:val="-6"/>
              </w:rPr>
              <w:t>%</w:t>
            </w:r>
          </w:p>
        </w:tc>
      </w:tr>
      <w:tr w:rsidR="008C3A64" w:rsidRPr="00147DD2" w14:paraId="0E382C5C"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572EC64C" w14:textId="77777777" w:rsidR="008C3A64" w:rsidRPr="00147DD2" w:rsidRDefault="008C3A64" w:rsidP="00FF1F9A">
            <w:pPr>
              <w:jc w:val="right"/>
              <w:rPr>
                <w:b/>
                <w:bCs/>
                <w:spacing w:val="-6"/>
              </w:rPr>
            </w:pPr>
            <w:r w:rsidRPr="00147DD2">
              <w:rPr>
                <w:b/>
                <w:bCs/>
                <w:spacing w:val="-6"/>
              </w:rPr>
              <w:t>En dormitorio</w:t>
            </w:r>
          </w:p>
        </w:tc>
        <w:tc>
          <w:tcPr>
            <w:tcW w:w="929" w:type="dxa"/>
            <w:tcBorders>
              <w:top w:val="double" w:sz="2" w:space="0" w:color="C00000"/>
              <w:left w:val="double" w:sz="2" w:space="0" w:color="C00000"/>
              <w:bottom w:val="double" w:sz="2" w:space="0" w:color="C00000"/>
              <w:right w:val="double" w:sz="2" w:space="0" w:color="C00000"/>
            </w:tcBorders>
            <w:vAlign w:val="center"/>
          </w:tcPr>
          <w:p w14:paraId="387A278E" w14:textId="77777777" w:rsidR="008C3A64" w:rsidRPr="00147DD2" w:rsidRDefault="008C3A64" w:rsidP="00FF1F9A">
            <w:pPr>
              <w:jc w:val="right"/>
              <w:rPr>
                <w:spacing w:val="-6"/>
              </w:rPr>
            </w:pPr>
            <w:r w:rsidRPr="00147DD2">
              <w:rPr>
                <w:spacing w:val="-6"/>
              </w:rPr>
              <w:t>12.002</w:t>
            </w:r>
          </w:p>
        </w:tc>
        <w:tc>
          <w:tcPr>
            <w:tcW w:w="720" w:type="dxa"/>
            <w:tcBorders>
              <w:top w:val="double" w:sz="2" w:space="0" w:color="C00000"/>
              <w:left w:val="double" w:sz="2" w:space="0" w:color="C00000"/>
              <w:bottom w:val="double" w:sz="2" w:space="0" w:color="C00000"/>
              <w:right w:val="double" w:sz="2" w:space="0" w:color="C00000"/>
            </w:tcBorders>
            <w:vAlign w:val="center"/>
          </w:tcPr>
          <w:p w14:paraId="414C332D" w14:textId="77777777" w:rsidR="008C3A64" w:rsidRPr="00147DD2" w:rsidRDefault="008C3A64" w:rsidP="00FF1F9A">
            <w:pPr>
              <w:jc w:val="right"/>
              <w:rPr>
                <w:spacing w:val="-6"/>
              </w:rPr>
            </w:pPr>
            <w:r w:rsidRPr="00147DD2">
              <w:rPr>
                <w:spacing w:val="-6"/>
              </w:rPr>
              <w:t>11,3 </w:t>
            </w:r>
          </w:p>
        </w:tc>
        <w:tc>
          <w:tcPr>
            <w:tcW w:w="896" w:type="dxa"/>
            <w:tcBorders>
              <w:top w:val="double" w:sz="2" w:space="0" w:color="C00000"/>
              <w:left w:val="double" w:sz="2" w:space="0" w:color="C00000"/>
              <w:bottom w:val="double" w:sz="2" w:space="0" w:color="C00000"/>
              <w:right w:val="double" w:sz="2" w:space="0" w:color="C00000"/>
            </w:tcBorders>
            <w:vAlign w:val="center"/>
          </w:tcPr>
          <w:p w14:paraId="23540EDB" w14:textId="77777777" w:rsidR="008C3A64" w:rsidRPr="00147DD2" w:rsidRDefault="008C3A64" w:rsidP="00FF1F9A">
            <w:pPr>
              <w:jc w:val="right"/>
              <w:rPr>
                <w:spacing w:val="-6"/>
              </w:rPr>
            </w:pPr>
            <w:r w:rsidRPr="00147DD2">
              <w:rPr>
                <w:spacing w:val="-6"/>
              </w:rPr>
              <w:t>13.696</w:t>
            </w:r>
          </w:p>
        </w:tc>
        <w:tc>
          <w:tcPr>
            <w:tcW w:w="714" w:type="dxa"/>
            <w:tcBorders>
              <w:top w:val="double" w:sz="2" w:space="0" w:color="C00000"/>
              <w:left w:val="double" w:sz="2" w:space="0" w:color="C00000"/>
              <w:bottom w:val="double" w:sz="2" w:space="0" w:color="C00000"/>
              <w:right w:val="double" w:sz="2" w:space="0" w:color="C00000"/>
            </w:tcBorders>
            <w:vAlign w:val="center"/>
          </w:tcPr>
          <w:p w14:paraId="6ACAA24D" w14:textId="77777777" w:rsidR="008C3A64" w:rsidRPr="00147DD2" w:rsidRDefault="008C3A64" w:rsidP="00FF1F9A">
            <w:pPr>
              <w:jc w:val="right"/>
              <w:rPr>
                <w:spacing w:val="-6"/>
              </w:rPr>
            </w:pPr>
            <w:r w:rsidRPr="00147DD2">
              <w:rPr>
                <w:spacing w:val="-6"/>
              </w:rPr>
              <w:t>9,9 </w:t>
            </w:r>
          </w:p>
        </w:tc>
        <w:tc>
          <w:tcPr>
            <w:tcW w:w="851" w:type="dxa"/>
            <w:tcBorders>
              <w:top w:val="double" w:sz="2" w:space="0" w:color="C00000"/>
              <w:left w:val="double" w:sz="2" w:space="0" w:color="C00000"/>
              <w:bottom w:val="double" w:sz="2" w:space="0" w:color="C00000"/>
              <w:right w:val="double" w:sz="2" w:space="0" w:color="C00000"/>
            </w:tcBorders>
            <w:vAlign w:val="center"/>
          </w:tcPr>
          <w:p w14:paraId="7AC14D65"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64C30B68"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29998E64" w14:textId="77777777" w:rsidR="008C3A64" w:rsidRPr="00147DD2" w:rsidRDefault="008C3A64" w:rsidP="00FF1F9A">
            <w:pPr>
              <w:jc w:val="right"/>
              <w:rPr>
                <w:spacing w:val="-6"/>
              </w:rPr>
            </w:pPr>
            <w:r w:rsidRPr="00147DD2">
              <w:rPr>
                <w:spacing w:val="-6"/>
              </w:rPr>
              <w:t>25.699</w:t>
            </w:r>
          </w:p>
        </w:tc>
        <w:tc>
          <w:tcPr>
            <w:tcW w:w="997" w:type="dxa"/>
            <w:tcBorders>
              <w:top w:val="double" w:sz="2" w:space="0" w:color="C00000"/>
              <w:left w:val="double" w:sz="2" w:space="0" w:color="C00000"/>
              <w:bottom w:val="double" w:sz="2" w:space="0" w:color="C00000"/>
              <w:right w:val="nil"/>
            </w:tcBorders>
            <w:vAlign w:val="center"/>
          </w:tcPr>
          <w:p w14:paraId="02F8649A" w14:textId="77777777" w:rsidR="008C3A64" w:rsidRPr="00147DD2" w:rsidRDefault="008C3A64" w:rsidP="00FF1F9A">
            <w:pPr>
              <w:jc w:val="right"/>
              <w:rPr>
                <w:spacing w:val="-6"/>
              </w:rPr>
            </w:pPr>
            <w:r w:rsidRPr="00147DD2">
              <w:rPr>
                <w:spacing w:val="-6"/>
              </w:rPr>
              <w:t>10,5 </w:t>
            </w:r>
          </w:p>
        </w:tc>
      </w:tr>
      <w:tr w:rsidR="008C3A64" w:rsidRPr="00147DD2" w14:paraId="428A3588"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1C0A72AF" w14:textId="77777777" w:rsidR="008C3A64" w:rsidRPr="00147DD2" w:rsidRDefault="008C3A64" w:rsidP="00FF1F9A">
            <w:pPr>
              <w:jc w:val="right"/>
              <w:rPr>
                <w:b/>
                <w:bCs/>
                <w:spacing w:val="-6"/>
              </w:rPr>
            </w:pPr>
            <w:r w:rsidRPr="00147DD2">
              <w:rPr>
                <w:b/>
                <w:bCs/>
                <w:spacing w:val="-6"/>
              </w:rPr>
              <w:t>En sala</w:t>
            </w:r>
          </w:p>
        </w:tc>
        <w:tc>
          <w:tcPr>
            <w:tcW w:w="929" w:type="dxa"/>
            <w:tcBorders>
              <w:top w:val="double" w:sz="2" w:space="0" w:color="C00000"/>
              <w:left w:val="double" w:sz="2" w:space="0" w:color="C00000"/>
              <w:bottom w:val="double" w:sz="2" w:space="0" w:color="C00000"/>
              <w:right w:val="double" w:sz="2" w:space="0" w:color="C00000"/>
            </w:tcBorders>
            <w:vAlign w:val="center"/>
          </w:tcPr>
          <w:p w14:paraId="57DE62F6" w14:textId="77777777" w:rsidR="008C3A64" w:rsidRPr="00147DD2" w:rsidRDefault="008C3A64" w:rsidP="00FF1F9A">
            <w:pPr>
              <w:jc w:val="right"/>
              <w:rPr>
                <w:spacing w:val="-6"/>
              </w:rPr>
            </w:pPr>
            <w:r w:rsidRPr="00147DD2">
              <w:rPr>
                <w:spacing w:val="-6"/>
              </w:rPr>
              <w:t>12.247</w:t>
            </w:r>
          </w:p>
        </w:tc>
        <w:tc>
          <w:tcPr>
            <w:tcW w:w="720" w:type="dxa"/>
            <w:tcBorders>
              <w:top w:val="double" w:sz="2" w:space="0" w:color="C00000"/>
              <w:left w:val="double" w:sz="2" w:space="0" w:color="C00000"/>
              <w:bottom w:val="double" w:sz="2" w:space="0" w:color="C00000"/>
              <w:right w:val="double" w:sz="2" w:space="0" w:color="C00000"/>
            </w:tcBorders>
            <w:vAlign w:val="center"/>
          </w:tcPr>
          <w:p w14:paraId="09876AD6" w14:textId="77777777" w:rsidR="008C3A64" w:rsidRPr="00147DD2" w:rsidRDefault="008C3A64" w:rsidP="00FF1F9A">
            <w:pPr>
              <w:jc w:val="right"/>
              <w:rPr>
                <w:spacing w:val="-6"/>
              </w:rPr>
            </w:pPr>
            <w:r w:rsidRPr="00147DD2">
              <w:rPr>
                <w:spacing w:val="-6"/>
              </w:rPr>
              <w:t>11,5 </w:t>
            </w:r>
          </w:p>
        </w:tc>
        <w:tc>
          <w:tcPr>
            <w:tcW w:w="896" w:type="dxa"/>
            <w:tcBorders>
              <w:top w:val="double" w:sz="2" w:space="0" w:color="C00000"/>
              <w:left w:val="double" w:sz="2" w:space="0" w:color="C00000"/>
              <w:bottom w:val="double" w:sz="2" w:space="0" w:color="C00000"/>
              <w:right w:val="double" w:sz="2" w:space="0" w:color="C00000"/>
            </w:tcBorders>
            <w:vAlign w:val="center"/>
          </w:tcPr>
          <w:p w14:paraId="2B1A43B3" w14:textId="77777777" w:rsidR="008C3A64" w:rsidRPr="00147DD2" w:rsidRDefault="008C3A64" w:rsidP="00FF1F9A">
            <w:pPr>
              <w:jc w:val="right"/>
              <w:rPr>
                <w:spacing w:val="-6"/>
              </w:rPr>
            </w:pPr>
            <w:r w:rsidRPr="00147DD2">
              <w:rPr>
                <w:spacing w:val="-6"/>
              </w:rPr>
              <w:t>13.905</w:t>
            </w:r>
          </w:p>
        </w:tc>
        <w:tc>
          <w:tcPr>
            <w:tcW w:w="714" w:type="dxa"/>
            <w:tcBorders>
              <w:top w:val="double" w:sz="2" w:space="0" w:color="C00000"/>
              <w:left w:val="double" w:sz="2" w:space="0" w:color="C00000"/>
              <w:bottom w:val="double" w:sz="2" w:space="0" w:color="C00000"/>
              <w:right w:val="double" w:sz="2" w:space="0" w:color="C00000"/>
            </w:tcBorders>
            <w:vAlign w:val="center"/>
          </w:tcPr>
          <w:p w14:paraId="29A3E718" w14:textId="77777777" w:rsidR="008C3A64" w:rsidRPr="00147DD2" w:rsidRDefault="008C3A64" w:rsidP="00FF1F9A">
            <w:pPr>
              <w:jc w:val="right"/>
              <w:rPr>
                <w:spacing w:val="-6"/>
              </w:rPr>
            </w:pPr>
            <w:r w:rsidRPr="00147DD2">
              <w:rPr>
                <w:spacing w:val="-6"/>
              </w:rPr>
              <w:t>10,0 </w:t>
            </w:r>
          </w:p>
        </w:tc>
        <w:tc>
          <w:tcPr>
            <w:tcW w:w="851" w:type="dxa"/>
            <w:tcBorders>
              <w:top w:val="double" w:sz="2" w:space="0" w:color="C00000"/>
              <w:left w:val="double" w:sz="2" w:space="0" w:color="C00000"/>
              <w:bottom w:val="double" w:sz="2" w:space="0" w:color="C00000"/>
              <w:right w:val="double" w:sz="2" w:space="0" w:color="C00000"/>
            </w:tcBorders>
            <w:vAlign w:val="center"/>
          </w:tcPr>
          <w:p w14:paraId="0FE55EFC"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6D79A629"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6EE87112" w14:textId="77777777" w:rsidR="008C3A64" w:rsidRPr="00147DD2" w:rsidRDefault="008C3A64" w:rsidP="00FF1F9A">
            <w:pPr>
              <w:jc w:val="right"/>
              <w:rPr>
                <w:spacing w:val="-6"/>
              </w:rPr>
            </w:pPr>
            <w:r w:rsidRPr="00147DD2">
              <w:rPr>
                <w:spacing w:val="-6"/>
              </w:rPr>
              <w:t>26.153</w:t>
            </w:r>
          </w:p>
        </w:tc>
        <w:tc>
          <w:tcPr>
            <w:tcW w:w="997" w:type="dxa"/>
            <w:tcBorders>
              <w:top w:val="double" w:sz="2" w:space="0" w:color="C00000"/>
              <w:left w:val="double" w:sz="2" w:space="0" w:color="C00000"/>
              <w:bottom w:val="double" w:sz="2" w:space="0" w:color="C00000"/>
              <w:right w:val="nil"/>
            </w:tcBorders>
            <w:vAlign w:val="center"/>
          </w:tcPr>
          <w:p w14:paraId="6646BB3E" w14:textId="77777777" w:rsidR="008C3A64" w:rsidRPr="00147DD2" w:rsidRDefault="008C3A64" w:rsidP="00FF1F9A">
            <w:pPr>
              <w:jc w:val="right"/>
              <w:rPr>
                <w:spacing w:val="-6"/>
              </w:rPr>
            </w:pPr>
            <w:r w:rsidRPr="00147DD2">
              <w:rPr>
                <w:spacing w:val="-6"/>
              </w:rPr>
              <w:t>10,7 </w:t>
            </w:r>
          </w:p>
        </w:tc>
      </w:tr>
      <w:tr w:rsidR="008C3A64" w:rsidRPr="00147DD2" w14:paraId="05550DC9"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4B346D7C" w14:textId="77777777" w:rsidR="008C3A64" w:rsidRPr="00147DD2" w:rsidRDefault="008C3A64" w:rsidP="00FF1F9A">
            <w:pPr>
              <w:jc w:val="right"/>
              <w:rPr>
                <w:b/>
                <w:bCs/>
                <w:spacing w:val="-6"/>
              </w:rPr>
            </w:pPr>
            <w:r w:rsidRPr="00147DD2">
              <w:rPr>
                <w:b/>
                <w:bCs/>
                <w:spacing w:val="-6"/>
              </w:rPr>
              <w:t>En sanitario</w:t>
            </w:r>
          </w:p>
        </w:tc>
        <w:tc>
          <w:tcPr>
            <w:tcW w:w="929" w:type="dxa"/>
            <w:tcBorders>
              <w:top w:val="double" w:sz="2" w:space="0" w:color="C00000"/>
              <w:left w:val="double" w:sz="2" w:space="0" w:color="C00000"/>
              <w:bottom w:val="double" w:sz="2" w:space="0" w:color="C00000"/>
              <w:right w:val="double" w:sz="2" w:space="0" w:color="C00000"/>
            </w:tcBorders>
            <w:vAlign w:val="center"/>
          </w:tcPr>
          <w:p w14:paraId="35590809" w14:textId="77777777" w:rsidR="008C3A64" w:rsidRPr="00147DD2" w:rsidRDefault="008C3A64" w:rsidP="00FF1F9A">
            <w:pPr>
              <w:jc w:val="right"/>
              <w:rPr>
                <w:spacing w:val="-6"/>
              </w:rPr>
            </w:pPr>
            <w:r w:rsidRPr="00147DD2">
              <w:rPr>
                <w:spacing w:val="-6"/>
              </w:rPr>
              <w:t>18.061</w:t>
            </w:r>
          </w:p>
        </w:tc>
        <w:tc>
          <w:tcPr>
            <w:tcW w:w="720" w:type="dxa"/>
            <w:tcBorders>
              <w:top w:val="double" w:sz="2" w:space="0" w:color="C00000"/>
              <w:left w:val="double" w:sz="2" w:space="0" w:color="C00000"/>
              <w:bottom w:val="double" w:sz="2" w:space="0" w:color="C00000"/>
              <w:right w:val="double" w:sz="2" w:space="0" w:color="C00000"/>
            </w:tcBorders>
            <w:vAlign w:val="center"/>
          </w:tcPr>
          <w:p w14:paraId="339620E1" w14:textId="77777777" w:rsidR="008C3A64" w:rsidRPr="00147DD2" w:rsidRDefault="008C3A64" w:rsidP="00FF1F9A">
            <w:pPr>
              <w:jc w:val="right"/>
              <w:rPr>
                <w:spacing w:val="-6"/>
              </w:rPr>
            </w:pPr>
            <w:r w:rsidRPr="00147DD2">
              <w:rPr>
                <w:spacing w:val="-6"/>
              </w:rPr>
              <w:t>17,0 </w:t>
            </w:r>
          </w:p>
        </w:tc>
        <w:tc>
          <w:tcPr>
            <w:tcW w:w="896" w:type="dxa"/>
            <w:tcBorders>
              <w:top w:val="double" w:sz="2" w:space="0" w:color="C00000"/>
              <w:left w:val="double" w:sz="2" w:space="0" w:color="C00000"/>
              <w:bottom w:val="double" w:sz="2" w:space="0" w:color="C00000"/>
              <w:right w:val="double" w:sz="2" w:space="0" w:color="C00000"/>
            </w:tcBorders>
            <w:vAlign w:val="center"/>
          </w:tcPr>
          <w:p w14:paraId="217828E3" w14:textId="77777777" w:rsidR="008C3A64" w:rsidRPr="00147DD2" w:rsidRDefault="008C3A64" w:rsidP="00FF1F9A">
            <w:pPr>
              <w:jc w:val="right"/>
              <w:rPr>
                <w:spacing w:val="-6"/>
              </w:rPr>
            </w:pPr>
            <w:r w:rsidRPr="00147DD2">
              <w:rPr>
                <w:spacing w:val="-6"/>
              </w:rPr>
              <w:t>20.890</w:t>
            </w:r>
          </w:p>
        </w:tc>
        <w:tc>
          <w:tcPr>
            <w:tcW w:w="714" w:type="dxa"/>
            <w:tcBorders>
              <w:top w:val="double" w:sz="2" w:space="0" w:color="C00000"/>
              <w:left w:val="double" w:sz="2" w:space="0" w:color="C00000"/>
              <w:bottom w:val="double" w:sz="2" w:space="0" w:color="C00000"/>
              <w:right w:val="double" w:sz="2" w:space="0" w:color="C00000"/>
            </w:tcBorders>
            <w:vAlign w:val="center"/>
          </w:tcPr>
          <w:p w14:paraId="19C55B71" w14:textId="77777777" w:rsidR="008C3A64" w:rsidRPr="00147DD2" w:rsidRDefault="008C3A64" w:rsidP="00FF1F9A">
            <w:pPr>
              <w:jc w:val="right"/>
              <w:rPr>
                <w:spacing w:val="-6"/>
              </w:rPr>
            </w:pPr>
            <w:r w:rsidRPr="00147DD2">
              <w:rPr>
                <w:spacing w:val="-6"/>
              </w:rPr>
              <w:t>15,0 </w:t>
            </w:r>
          </w:p>
        </w:tc>
        <w:tc>
          <w:tcPr>
            <w:tcW w:w="851" w:type="dxa"/>
            <w:tcBorders>
              <w:top w:val="double" w:sz="2" w:space="0" w:color="C00000"/>
              <w:left w:val="double" w:sz="2" w:space="0" w:color="C00000"/>
              <w:bottom w:val="double" w:sz="2" w:space="0" w:color="C00000"/>
              <w:right w:val="double" w:sz="2" w:space="0" w:color="C00000"/>
            </w:tcBorders>
            <w:vAlign w:val="center"/>
          </w:tcPr>
          <w:p w14:paraId="4351C2C3"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32A97BF9"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2B05BDB9" w14:textId="77777777" w:rsidR="008C3A64" w:rsidRPr="00147DD2" w:rsidRDefault="008C3A64" w:rsidP="00FF1F9A">
            <w:pPr>
              <w:jc w:val="right"/>
              <w:rPr>
                <w:spacing w:val="-6"/>
              </w:rPr>
            </w:pPr>
            <w:r w:rsidRPr="00147DD2">
              <w:rPr>
                <w:spacing w:val="-6"/>
              </w:rPr>
              <w:t>38.952</w:t>
            </w:r>
          </w:p>
        </w:tc>
        <w:tc>
          <w:tcPr>
            <w:tcW w:w="997" w:type="dxa"/>
            <w:tcBorders>
              <w:top w:val="double" w:sz="2" w:space="0" w:color="C00000"/>
              <w:left w:val="double" w:sz="2" w:space="0" w:color="C00000"/>
              <w:bottom w:val="double" w:sz="2" w:space="0" w:color="C00000"/>
              <w:right w:val="nil"/>
            </w:tcBorders>
            <w:vAlign w:val="center"/>
          </w:tcPr>
          <w:p w14:paraId="164C39E0" w14:textId="77777777" w:rsidR="008C3A64" w:rsidRPr="00147DD2" w:rsidRDefault="008C3A64" w:rsidP="00FF1F9A">
            <w:pPr>
              <w:jc w:val="right"/>
              <w:rPr>
                <w:spacing w:val="-6"/>
              </w:rPr>
            </w:pPr>
            <w:r w:rsidRPr="00147DD2">
              <w:rPr>
                <w:spacing w:val="-6"/>
              </w:rPr>
              <w:t>15,9 </w:t>
            </w:r>
          </w:p>
        </w:tc>
      </w:tr>
      <w:tr w:rsidR="008C3A64" w:rsidRPr="00147DD2" w14:paraId="73146B29"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2AFE8F78" w14:textId="77777777" w:rsidR="008C3A64" w:rsidRPr="00147DD2" w:rsidRDefault="008C3A64" w:rsidP="00FF1F9A">
            <w:pPr>
              <w:jc w:val="right"/>
              <w:rPr>
                <w:b/>
                <w:bCs/>
                <w:spacing w:val="-6"/>
              </w:rPr>
            </w:pPr>
            <w:r w:rsidRPr="00147DD2">
              <w:rPr>
                <w:b/>
                <w:bCs/>
                <w:spacing w:val="-6"/>
              </w:rPr>
              <w:t>En escalera</w:t>
            </w:r>
          </w:p>
        </w:tc>
        <w:tc>
          <w:tcPr>
            <w:tcW w:w="929" w:type="dxa"/>
            <w:tcBorders>
              <w:top w:val="double" w:sz="2" w:space="0" w:color="C00000"/>
              <w:left w:val="double" w:sz="2" w:space="0" w:color="C00000"/>
              <w:bottom w:val="double" w:sz="2" w:space="0" w:color="C00000"/>
              <w:right w:val="double" w:sz="2" w:space="0" w:color="C00000"/>
            </w:tcBorders>
            <w:vAlign w:val="center"/>
          </w:tcPr>
          <w:p w14:paraId="02D2B1F5" w14:textId="77777777" w:rsidR="008C3A64" w:rsidRPr="00147DD2" w:rsidRDefault="008C3A64" w:rsidP="00FF1F9A">
            <w:pPr>
              <w:jc w:val="right"/>
              <w:rPr>
                <w:spacing w:val="-6"/>
              </w:rPr>
            </w:pPr>
            <w:r w:rsidRPr="00147DD2">
              <w:rPr>
                <w:spacing w:val="-6"/>
              </w:rPr>
              <w:t>57.301</w:t>
            </w:r>
          </w:p>
        </w:tc>
        <w:tc>
          <w:tcPr>
            <w:tcW w:w="720" w:type="dxa"/>
            <w:tcBorders>
              <w:top w:val="double" w:sz="2" w:space="0" w:color="C00000"/>
              <w:left w:val="double" w:sz="2" w:space="0" w:color="C00000"/>
              <w:bottom w:val="double" w:sz="2" w:space="0" w:color="C00000"/>
              <w:right w:val="double" w:sz="2" w:space="0" w:color="C00000"/>
            </w:tcBorders>
            <w:vAlign w:val="center"/>
          </w:tcPr>
          <w:p w14:paraId="6801C2CB" w14:textId="77777777" w:rsidR="008C3A64" w:rsidRPr="00147DD2" w:rsidRDefault="008C3A64" w:rsidP="00FF1F9A">
            <w:pPr>
              <w:jc w:val="right"/>
              <w:rPr>
                <w:spacing w:val="-6"/>
              </w:rPr>
            </w:pPr>
            <w:r w:rsidRPr="00147DD2">
              <w:rPr>
                <w:spacing w:val="-6"/>
              </w:rPr>
              <w:t>53,8 </w:t>
            </w:r>
          </w:p>
        </w:tc>
        <w:tc>
          <w:tcPr>
            <w:tcW w:w="896" w:type="dxa"/>
            <w:tcBorders>
              <w:top w:val="double" w:sz="2" w:space="0" w:color="C00000"/>
              <w:left w:val="double" w:sz="2" w:space="0" w:color="C00000"/>
              <w:bottom w:val="double" w:sz="2" w:space="0" w:color="C00000"/>
              <w:right w:val="double" w:sz="2" w:space="0" w:color="C00000"/>
            </w:tcBorders>
            <w:vAlign w:val="center"/>
          </w:tcPr>
          <w:p w14:paraId="269AC7D5" w14:textId="77777777" w:rsidR="008C3A64" w:rsidRPr="00147DD2" w:rsidRDefault="008C3A64" w:rsidP="00FF1F9A">
            <w:pPr>
              <w:jc w:val="right"/>
              <w:rPr>
                <w:spacing w:val="-6"/>
              </w:rPr>
            </w:pPr>
            <w:r w:rsidRPr="00147DD2">
              <w:rPr>
                <w:spacing w:val="-6"/>
              </w:rPr>
              <w:t>88.592</w:t>
            </w:r>
          </w:p>
        </w:tc>
        <w:tc>
          <w:tcPr>
            <w:tcW w:w="714" w:type="dxa"/>
            <w:tcBorders>
              <w:top w:val="double" w:sz="2" w:space="0" w:color="C00000"/>
              <w:left w:val="double" w:sz="2" w:space="0" w:color="C00000"/>
              <w:bottom w:val="double" w:sz="2" w:space="0" w:color="C00000"/>
              <w:right w:val="double" w:sz="2" w:space="0" w:color="C00000"/>
            </w:tcBorders>
            <w:vAlign w:val="center"/>
          </w:tcPr>
          <w:p w14:paraId="1AF0F7F2" w14:textId="77777777" w:rsidR="008C3A64" w:rsidRPr="00147DD2" w:rsidRDefault="008C3A64" w:rsidP="00FF1F9A">
            <w:pPr>
              <w:jc w:val="right"/>
              <w:rPr>
                <w:spacing w:val="-6"/>
              </w:rPr>
            </w:pPr>
            <w:r w:rsidRPr="00147DD2">
              <w:rPr>
                <w:spacing w:val="-6"/>
              </w:rPr>
              <w:t>63,8 </w:t>
            </w:r>
          </w:p>
        </w:tc>
        <w:tc>
          <w:tcPr>
            <w:tcW w:w="851" w:type="dxa"/>
            <w:tcBorders>
              <w:top w:val="double" w:sz="2" w:space="0" w:color="C00000"/>
              <w:left w:val="double" w:sz="2" w:space="0" w:color="C00000"/>
              <w:bottom w:val="double" w:sz="2" w:space="0" w:color="C00000"/>
              <w:right w:val="double" w:sz="2" w:space="0" w:color="C00000"/>
            </w:tcBorders>
            <w:vAlign w:val="center"/>
          </w:tcPr>
          <w:p w14:paraId="2964AFEB"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16BD9C45"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0320CB00" w14:textId="77777777" w:rsidR="008C3A64" w:rsidRPr="00147DD2" w:rsidRDefault="008C3A64" w:rsidP="00FF1F9A">
            <w:pPr>
              <w:jc w:val="right"/>
              <w:rPr>
                <w:spacing w:val="-6"/>
              </w:rPr>
            </w:pPr>
            <w:r w:rsidRPr="00147DD2">
              <w:rPr>
                <w:spacing w:val="-6"/>
              </w:rPr>
              <w:t>145.894</w:t>
            </w:r>
          </w:p>
        </w:tc>
        <w:tc>
          <w:tcPr>
            <w:tcW w:w="997" w:type="dxa"/>
            <w:tcBorders>
              <w:top w:val="double" w:sz="2" w:space="0" w:color="C00000"/>
              <w:left w:val="double" w:sz="2" w:space="0" w:color="C00000"/>
              <w:bottom w:val="double" w:sz="2" w:space="0" w:color="C00000"/>
              <w:right w:val="nil"/>
            </w:tcBorders>
            <w:vAlign w:val="center"/>
          </w:tcPr>
          <w:p w14:paraId="1C1880DD" w14:textId="77777777" w:rsidR="008C3A64" w:rsidRPr="00147DD2" w:rsidRDefault="008C3A64" w:rsidP="00FF1F9A">
            <w:pPr>
              <w:jc w:val="right"/>
              <w:rPr>
                <w:spacing w:val="-6"/>
              </w:rPr>
            </w:pPr>
            <w:r w:rsidRPr="00147DD2">
              <w:rPr>
                <w:spacing w:val="-6"/>
              </w:rPr>
              <w:t>59,5 </w:t>
            </w:r>
          </w:p>
        </w:tc>
      </w:tr>
      <w:tr w:rsidR="008C3A64" w:rsidRPr="00147DD2" w14:paraId="7F01ACC5"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716002AC" w14:textId="77777777" w:rsidR="008C3A64" w:rsidRPr="00147DD2" w:rsidRDefault="008C3A64" w:rsidP="00FF1F9A">
            <w:pPr>
              <w:jc w:val="right"/>
              <w:rPr>
                <w:b/>
                <w:bCs/>
                <w:spacing w:val="-6"/>
              </w:rPr>
            </w:pPr>
            <w:r w:rsidRPr="00147DD2">
              <w:rPr>
                <w:b/>
                <w:bCs/>
                <w:spacing w:val="-6"/>
              </w:rPr>
              <w:t>En pasillo</w:t>
            </w:r>
          </w:p>
        </w:tc>
        <w:tc>
          <w:tcPr>
            <w:tcW w:w="929" w:type="dxa"/>
            <w:tcBorders>
              <w:top w:val="double" w:sz="2" w:space="0" w:color="C00000"/>
              <w:left w:val="double" w:sz="2" w:space="0" w:color="C00000"/>
              <w:bottom w:val="double" w:sz="2" w:space="0" w:color="C00000"/>
              <w:right w:val="double" w:sz="2" w:space="0" w:color="C00000"/>
            </w:tcBorders>
            <w:vAlign w:val="center"/>
          </w:tcPr>
          <w:p w14:paraId="0B536737" w14:textId="77777777" w:rsidR="008C3A64" w:rsidRPr="00147DD2" w:rsidRDefault="008C3A64" w:rsidP="00FF1F9A">
            <w:pPr>
              <w:jc w:val="right"/>
              <w:rPr>
                <w:spacing w:val="-6"/>
              </w:rPr>
            </w:pPr>
            <w:r w:rsidRPr="00147DD2">
              <w:rPr>
                <w:spacing w:val="-6"/>
              </w:rPr>
              <w:t>31.640</w:t>
            </w:r>
          </w:p>
        </w:tc>
        <w:tc>
          <w:tcPr>
            <w:tcW w:w="720" w:type="dxa"/>
            <w:tcBorders>
              <w:top w:val="double" w:sz="2" w:space="0" w:color="C00000"/>
              <w:left w:val="double" w:sz="2" w:space="0" w:color="C00000"/>
              <w:bottom w:val="double" w:sz="2" w:space="0" w:color="C00000"/>
              <w:right w:val="double" w:sz="2" w:space="0" w:color="C00000"/>
            </w:tcBorders>
            <w:vAlign w:val="center"/>
          </w:tcPr>
          <w:p w14:paraId="19AB5DA8" w14:textId="77777777" w:rsidR="008C3A64" w:rsidRPr="00147DD2" w:rsidRDefault="008C3A64" w:rsidP="00FF1F9A">
            <w:pPr>
              <w:jc w:val="right"/>
              <w:rPr>
                <w:spacing w:val="-6"/>
              </w:rPr>
            </w:pPr>
            <w:r w:rsidRPr="00147DD2">
              <w:rPr>
                <w:spacing w:val="-6"/>
              </w:rPr>
              <w:t>29,7 </w:t>
            </w:r>
          </w:p>
        </w:tc>
        <w:tc>
          <w:tcPr>
            <w:tcW w:w="896" w:type="dxa"/>
            <w:tcBorders>
              <w:top w:val="double" w:sz="2" w:space="0" w:color="C00000"/>
              <w:left w:val="double" w:sz="2" w:space="0" w:color="C00000"/>
              <w:bottom w:val="double" w:sz="2" w:space="0" w:color="C00000"/>
              <w:right w:val="double" w:sz="2" w:space="0" w:color="C00000"/>
            </w:tcBorders>
            <w:vAlign w:val="center"/>
          </w:tcPr>
          <w:p w14:paraId="5E34C41B" w14:textId="77777777" w:rsidR="008C3A64" w:rsidRPr="00147DD2" w:rsidRDefault="008C3A64" w:rsidP="00FF1F9A">
            <w:pPr>
              <w:jc w:val="right"/>
              <w:rPr>
                <w:spacing w:val="-6"/>
              </w:rPr>
            </w:pPr>
            <w:r w:rsidRPr="00147DD2">
              <w:rPr>
                <w:spacing w:val="-6"/>
              </w:rPr>
              <w:t>41.817</w:t>
            </w:r>
          </w:p>
        </w:tc>
        <w:tc>
          <w:tcPr>
            <w:tcW w:w="714" w:type="dxa"/>
            <w:tcBorders>
              <w:top w:val="double" w:sz="2" w:space="0" w:color="C00000"/>
              <w:left w:val="double" w:sz="2" w:space="0" w:color="C00000"/>
              <w:bottom w:val="double" w:sz="2" w:space="0" w:color="C00000"/>
              <w:right w:val="double" w:sz="2" w:space="0" w:color="C00000"/>
            </w:tcBorders>
            <w:vAlign w:val="center"/>
          </w:tcPr>
          <w:p w14:paraId="295423FD" w14:textId="77777777" w:rsidR="008C3A64" w:rsidRPr="00147DD2" w:rsidRDefault="008C3A64" w:rsidP="00FF1F9A">
            <w:pPr>
              <w:jc w:val="right"/>
              <w:rPr>
                <w:spacing w:val="-6"/>
              </w:rPr>
            </w:pPr>
            <w:r w:rsidRPr="00147DD2">
              <w:rPr>
                <w:spacing w:val="-6"/>
              </w:rPr>
              <w:t>30,1 </w:t>
            </w:r>
          </w:p>
        </w:tc>
        <w:tc>
          <w:tcPr>
            <w:tcW w:w="851" w:type="dxa"/>
            <w:tcBorders>
              <w:top w:val="double" w:sz="2" w:space="0" w:color="C00000"/>
              <w:left w:val="double" w:sz="2" w:space="0" w:color="C00000"/>
              <w:bottom w:val="double" w:sz="2" w:space="0" w:color="C00000"/>
              <w:right w:val="double" w:sz="2" w:space="0" w:color="C00000"/>
            </w:tcBorders>
            <w:vAlign w:val="center"/>
          </w:tcPr>
          <w:p w14:paraId="1BF57522"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329B531F"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0BD0A7D4" w14:textId="77777777" w:rsidR="008C3A64" w:rsidRPr="00147DD2" w:rsidRDefault="008C3A64" w:rsidP="00FF1F9A">
            <w:pPr>
              <w:jc w:val="right"/>
              <w:rPr>
                <w:spacing w:val="-6"/>
              </w:rPr>
            </w:pPr>
            <w:r w:rsidRPr="00147DD2">
              <w:rPr>
                <w:spacing w:val="-6"/>
              </w:rPr>
              <w:t>73.458</w:t>
            </w:r>
          </w:p>
        </w:tc>
        <w:tc>
          <w:tcPr>
            <w:tcW w:w="997" w:type="dxa"/>
            <w:tcBorders>
              <w:top w:val="double" w:sz="2" w:space="0" w:color="C00000"/>
              <w:left w:val="double" w:sz="2" w:space="0" w:color="C00000"/>
              <w:bottom w:val="double" w:sz="2" w:space="0" w:color="C00000"/>
              <w:right w:val="nil"/>
            </w:tcBorders>
            <w:vAlign w:val="center"/>
          </w:tcPr>
          <w:p w14:paraId="5EC32224" w14:textId="77777777" w:rsidR="008C3A64" w:rsidRPr="00147DD2" w:rsidRDefault="008C3A64" w:rsidP="00FF1F9A">
            <w:pPr>
              <w:jc w:val="right"/>
              <w:rPr>
                <w:spacing w:val="-6"/>
              </w:rPr>
            </w:pPr>
            <w:r w:rsidRPr="00147DD2">
              <w:rPr>
                <w:spacing w:val="-6"/>
              </w:rPr>
              <w:t>29,9 </w:t>
            </w:r>
          </w:p>
        </w:tc>
      </w:tr>
      <w:tr w:rsidR="008C3A64" w:rsidRPr="00147DD2" w14:paraId="388DC993"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7E4DFEC5" w14:textId="77777777" w:rsidR="008C3A64" w:rsidRPr="00147DD2" w:rsidRDefault="008C3A64" w:rsidP="00FF1F9A">
            <w:pPr>
              <w:jc w:val="right"/>
              <w:rPr>
                <w:b/>
                <w:bCs/>
                <w:spacing w:val="-6"/>
              </w:rPr>
            </w:pPr>
            <w:r w:rsidRPr="00147DD2">
              <w:rPr>
                <w:b/>
                <w:bCs/>
                <w:spacing w:val="-6"/>
              </w:rPr>
              <w:t>En acera</w:t>
            </w:r>
          </w:p>
        </w:tc>
        <w:tc>
          <w:tcPr>
            <w:tcW w:w="929" w:type="dxa"/>
            <w:tcBorders>
              <w:top w:val="double" w:sz="2" w:space="0" w:color="C00000"/>
              <w:left w:val="double" w:sz="2" w:space="0" w:color="C00000"/>
              <w:bottom w:val="double" w:sz="2" w:space="0" w:color="C00000"/>
              <w:right w:val="double" w:sz="2" w:space="0" w:color="C00000"/>
            </w:tcBorders>
            <w:vAlign w:val="center"/>
          </w:tcPr>
          <w:p w14:paraId="1133B97D" w14:textId="77777777" w:rsidR="008C3A64" w:rsidRPr="00147DD2" w:rsidRDefault="008C3A64" w:rsidP="00FF1F9A">
            <w:pPr>
              <w:jc w:val="right"/>
              <w:rPr>
                <w:spacing w:val="-6"/>
              </w:rPr>
            </w:pPr>
            <w:r w:rsidRPr="00147DD2">
              <w:rPr>
                <w:spacing w:val="-6"/>
              </w:rPr>
              <w:t>49.548</w:t>
            </w:r>
          </w:p>
        </w:tc>
        <w:tc>
          <w:tcPr>
            <w:tcW w:w="720" w:type="dxa"/>
            <w:tcBorders>
              <w:top w:val="double" w:sz="2" w:space="0" w:color="C00000"/>
              <w:left w:val="double" w:sz="2" w:space="0" w:color="C00000"/>
              <w:bottom w:val="double" w:sz="2" w:space="0" w:color="C00000"/>
              <w:right w:val="double" w:sz="2" w:space="0" w:color="C00000"/>
            </w:tcBorders>
            <w:vAlign w:val="center"/>
          </w:tcPr>
          <w:p w14:paraId="085FB5DF" w14:textId="77777777" w:rsidR="008C3A64" w:rsidRPr="00147DD2" w:rsidRDefault="008C3A64" w:rsidP="00FF1F9A">
            <w:pPr>
              <w:jc w:val="right"/>
              <w:rPr>
                <w:spacing w:val="-6"/>
              </w:rPr>
            </w:pPr>
            <w:r w:rsidRPr="00147DD2">
              <w:rPr>
                <w:spacing w:val="-6"/>
              </w:rPr>
              <w:t>46,5 </w:t>
            </w:r>
          </w:p>
        </w:tc>
        <w:tc>
          <w:tcPr>
            <w:tcW w:w="896" w:type="dxa"/>
            <w:tcBorders>
              <w:top w:val="double" w:sz="2" w:space="0" w:color="C00000"/>
              <w:left w:val="double" w:sz="2" w:space="0" w:color="C00000"/>
              <w:bottom w:val="double" w:sz="2" w:space="0" w:color="C00000"/>
              <w:right w:val="double" w:sz="2" w:space="0" w:color="C00000"/>
            </w:tcBorders>
            <w:vAlign w:val="center"/>
          </w:tcPr>
          <w:p w14:paraId="5AD0EE19" w14:textId="77777777" w:rsidR="008C3A64" w:rsidRPr="00147DD2" w:rsidRDefault="008C3A64" w:rsidP="00FF1F9A">
            <w:pPr>
              <w:jc w:val="right"/>
              <w:rPr>
                <w:spacing w:val="-6"/>
              </w:rPr>
            </w:pPr>
            <w:r w:rsidRPr="00147DD2">
              <w:rPr>
                <w:spacing w:val="-6"/>
              </w:rPr>
              <w:t>69.276</w:t>
            </w:r>
          </w:p>
        </w:tc>
        <w:tc>
          <w:tcPr>
            <w:tcW w:w="714" w:type="dxa"/>
            <w:tcBorders>
              <w:top w:val="double" w:sz="2" w:space="0" w:color="C00000"/>
              <w:left w:val="double" w:sz="2" w:space="0" w:color="C00000"/>
              <w:bottom w:val="double" w:sz="2" w:space="0" w:color="C00000"/>
              <w:right w:val="double" w:sz="2" w:space="0" w:color="C00000"/>
            </w:tcBorders>
            <w:vAlign w:val="center"/>
          </w:tcPr>
          <w:p w14:paraId="1C4B16DE" w14:textId="77777777" w:rsidR="008C3A64" w:rsidRPr="00147DD2" w:rsidRDefault="008C3A64" w:rsidP="00FF1F9A">
            <w:pPr>
              <w:jc w:val="right"/>
              <w:rPr>
                <w:spacing w:val="-6"/>
              </w:rPr>
            </w:pPr>
            <w:r w:rsidRPr="00147DD2">
              <w:rPr>
                <w:spacing w:val="-6"/>
              </w:rPr>
              <w:t>49,9 </w:t>
            </w:r>
          </w:p>
        </w:tc>
        <w:tc>
          <w:tcPr>
            <w:tcW w:w="851" w:type="dxa"/>
            <w:tcBorders>
              <w:top w:val="double" w:sz="2" w:space="0" w:color="C00000"/>
              <w:left w:val="double" w:sz="2" w:space="0" w:color="C00000"/>
              <w:bottom w:val="double" w:sz="2" w:space="0" w:color="C00000"/>
              <w:right w:val="double" w:sz="2" w:space="0" w:color="C00000"/>
            </w:tcBorders>
            <w:vAlign w:val="center"/>
          </w:tcPr>
          <w:p w14:paraId="07B8F7B4"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5E035894"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416A1BB4" w14:textId="77777777" w:rsidR="008C3A64" w:rsidRPr="00147DD2" w:rsidRDefault="008C3A64" w:rsidP="00FF1F9A">
            <w:pPr>
              <w:jc w:val="right"/>
              <w:rPr>
                <w:spacing w:val="-6"/>
              </w:rPr>
            </w:pPr>
            <w:r w:rsidRPr="00147DD2">
              <w:rPr>
                <w:spacing w:val="-6"/>
              </w:rPr>
              <w:t>118.825</w:t>
            </w:r>
          </w:p>
        </w:tc>
        <w:tc>
          <w:tcPr>
            <w:tcW w:w="997" w:type="dxa"/>
            <w:tcBorders>
              <w:top w:val="double" w:sz="2" w:space="0" w:color="C00000"/>
              <w:left w:val="double" w:sz="2" w:space="0" w:color="C00000"/>
              <w:bottom w:val="double" w:sz="2" w:space="0" w:color="C00000"/>
              <w:right w:val="nil"/>
            </w:tcBorders>
            <w:vAlign w:val="center"/>
          </w:tcPr>
          <w:p w14:paraId="1EB59E7C" w14:textId="77777777" w:rsidR="008C3A64" w:rsidRPr="00147DD2" w:rsidRDefault="008C3A64" w:rsidP="00FF1F9A">
            <w:pPr>
              <w:jc w:val="right"/>
              <w:rPr>
                <w:spacing w:val="-6"/>
              </w:rPr>
            </w:pPr>
            <w:r w:rsidRPr="00147DD2">
              <w:rPr>
                <w:spacing w:val="-6"/>
              </w:rPr>
              <w:t>48,4 </w:t>
            </w:r>
          </w:p>
        </w:tc>
      </w:tr>
      <w:tr w:rsidR="008C3A64" w:rsidRPr="00147DD2" w14:paraId="7AD29172"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327ACDAB" w14:textId="77777777" w:rsidR="008C3A64" w:rsidRPr="00147DD2" w:rsidRDefault="008C3A64" w:rsidP="00FF1F9A">
            <w:pPr>
              <w:jc w:val="right"/>
              <w:rPr>
                <w:b/>
                <w:bCs/>
                <w:spacing w:val="-6"/>
              </w:rPr>
            </w:pPr>
            <w:r w:rsidRPr="00147DD2">
              <w:rPr>
                <w:b/>
                <w:bCs/>
                <w:spacing w:val="-6"/>
              </w:rPr>
              <w:t>En calle</w:t>
            </w:r>
          </w:p>
        </w:tc>
        <w:tc>
          <w:tcPr>
            <w:tcW w:w="929" w:type="dxa"/>
            <w:tcBorders>
              <w:top w:val="double" w:sz="2" w:space="0" w:color="C00000"/>
              <w:left w:val="double" w:sz="2" w:space="0" w:color="C00000"/>
              <w:bottom w:val="double" w:sz="2" w:space="0" w:color="C00000"/>
              <w:right w:val="double" w:sz="2" w:space="0" w:color="C00000"/>
            </w:tcBorders>
            <w:vAlign w:val="center"/>
          </w:tcPr>
          <w:p w14:paraId="2C30D49E" w14:textId="77777777" w:rsidR="008C3A64" w:rsidRPr="00147DD2" w:rsidRDefault="008C3A64" w:rsidP="00FF1F9A">
            <w:pPr>
              <w:jc w:val="right"/>
              <w:rPr>
                <w:spacing w:val="-6"/>
              </w:rPr>
            </w:pPr>
            <w:r w:rsidRPr="00147DD2">
              <w:rPr>
                <w:spacing w:val="-6"/>
              </w:rPr>
              <w:t>69.392</w:t>
            </w:r>
          </w:p>
        </w:tc>
        <w:tc>
          <w:tcPr>
            <w:tcW w:w="720" w:type="dxa"/>
            <w:tcBorders>
              <w:top w:val="double" w:sz="2" w:space="0" w:color="C00000"/>
              <w:left w:val="double" w:sz="2" w:space="0" w:color="C00000"/>
              <w:bottom w:val="double" w:sz="2" w:space="0" w:color="C00000"/>
              <w:right w:val="double" w:sz="2" w:space="0" w:color="C00000"/>
            </w:tcBorders>
            <w:vAlign w:val="center"/>
          </w:tcPr>
          <w:p w14:paraId="68596D6A" w14:textId="77777777" w:rsidR="008C3A64" w:rsidRPr="00147DD2" w:rsidRDefault="008C3A64" w:rsidP="00FF1F9A">
            <w:pPr>
              <w:jc w:val="right"/>
              <w:rPr>
                <w:spacing w:val="-6"/>
              </w:rPr>
            </w:pPr>
            <w:r w:rsidRPr="00147DD2">
              <w:rPr>
                <w:spacing w:val="-6"/>
              </w:rPr>
              <w:t>65,2 </w:t>
            </w:r>
          </w:p>
        </w:tc>
        <w:tc>
          <w:tcPr>
            <w:tcW w:w="896" w:type="dxa"/>
            <w:tcBorders>
              <w:top w:val="double" w:sz="2" w:space="0" w:color="C00000"/>
              <w:left w:val="double" w:sz="2" w:space="0" w:color="C00000"/>
              <w:bottom w:val="double" w:sz="2" w:space="0" w:color="C00000"/>
              <w:right w:val="double" w:sz="2" w:space="0" w:color="C00000"/>
            </w:tcBorders>
            <w:vAlign w:val="center"/>
          </w:tcPr>
          <w:p w14:paraId="49C7684E" w14:textId="77777777" w:rsidR="008C3A64" w:rsidRPr="00147DD2" w:rsidRDefault="008C3A64" w:rsidP="00FF1F9A">
            <w:pPr>
              <w:jc w:val="right"/>
              <w:rPr>
                <w:spacing w:val="-6"/>
              </w:rPr>
            </w:pPr>
            <w:r w:rsidRPr="00147DD2">
              <w:rPr>
                <w:spacing w:val="-6"/>
              </w:rPr>
              <w:t>94.301</w:t>
            </w:r>
          </w:p>
        </w:tc>
        <w:tc>
          <w:tcPr>
            <w:tcW w:w="714" w:type="dxa"/>
            <w:tcBorders>
              <w:top w:val="double" w:sz="2" w:space="0" w:color="C00000"/>
              <w:left w:val="double" w:sz="2" w:space="0" w:color="C00000"/>
              <w:bottom w:val="double" w:sz="2" w:space="0" w:color="C00000"/>
              <w:right w:val="double" w:sz="2" w:space="0" w:color="C00000"/>
            </w:tcBorders>
            <w:vAlign w:val="center"/>
          </w:tcPr>
          <w:p w14:paraId="01F9484A" w14:textId="77777777" w:rsidR="008C3A64" w:rsidRPr="00147DD2" w:rsidRDefault="008C3A64" w:rsidP="00FF1F9A">
            <w:pPr>
              <w:jc w:val="right"/>
              <w:rPr>
                <w:spacing w:val="-6"/>
              </w:rPr>
            </w:pPr>
            <w:r w:rsidRPr="00147DD2">
              <w:rPr>
                <w:spacing w:val="-6"/>
              </w:rPr>
              <w:t>67,9 </w:t>
            </w:r>
          </w:p>
        </w:tc>
        <w:tc>
          <w:tcPr>
            <w:tcW w:w="851" w:type="dxa"/>
            <w:tcBorders>
              <w:top w:val="double" w:sz="2" w:space="0" w:color="C00000"/>
              <w:left w:val="double" w:sz="2" w:space="0" w:color="C00000"/>
              <w:bottom w:val="double" w:sz="2" w:space="0" w:color="C00000"/>
              <w:right w:val="double" w:sz="2" w:space="0" w:color="C00000"/>
            </w:tcBorders>
            <w:vAlign w:val="center"/>
          </w:tcPr>
          <w:p w14:paraId="5356EB17"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4885B1A4"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4BFCBAB7" w14:textId="77777777" w:rsidR="008C3A64" w:rsidRPr="00147DD2" w:rsidRDefault="008C3A64" w:rsidP="00FF1F9A">
            <w:pPr>
              <w:jc w:val="right"/>
              <w:rPr>
                <w:spacing w:val="-6"/>
              </w:rPr>
            </w:pPr>
            <w:r w:rsidRPr="00147DD2">
              <w:rPr>
                <w:spacing w:val="-6"/>
              </w:rPr>
              <w:t>163.694</w:t>
            </w:r>
          </w:p>
        </w:tc>
        <w:tc>
          <w:tcPr>
            <w:tcW w:w="997" w:type="dxa"/>
            <w:tcBorders>
              <w:top w:val="double" w:sz="2" w:space="0" w:color="C00000"/>
              <w:left w:val="double" w:sz="2" w:space="0" w:color="C00000"/>
              <w:bottom w:val="double" w:sz="2" w:space="0" w:color="C00000"/>
              <w:right w:val="nil"/>
            </w:tcBorders>
            <w:vAlign w:val="center"/>
          </w:tcPr>
          <w:p w14:paraId="3993EC07" w14:textId="77777777" w:rsidR="008C3A64" w:rsidRPr="00147DD2" w:rsidRDefault="008C3A64" w:rsidP="00FF1F9A">
            <w:pPr>
              <w:jc w:val="right"/>
              <w:rPr>
                <w:spacing w:val="-6"/>
              </w:rPr>
            </w:pPr>
            <w:r w:rsidRPr="00147DD2">
              <w:rPr>
                <w:spacing w:val="-6"/>
              </w:rPr>
              <w:t>66,7 </w:t>
            </w:r>
          </w:p>
        </w:tc>
      </w:tr>
      <w:tr w:rsidR="008C3A64" w:rsidRPr="00147DD2" w14:paraId="5D6C7375"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7B22B87F" w14:textId="77777777" w:rsidR="008C3A64" w:rsidRPr="00147DD2" w:rsidRDefault="008C3A64" w:rsidP="00FF1F9A">
            <w:pPr>
              <w:jc w:val="right"/>
              <w:rPr>
                <w:b/>
                <w:bCs/>
                <w:spacing w:val="-6"/>
              </w:rPr>
            </w:pPr>
            <w:r w:rsidRPr="00147DD2">
              <w:rPr>
                <w:b/>
                <w:bCs/>
                <w:spacing w:val="-6"/>
              </w:rPr>
              <w:t>En parque</w:t>
            </w:r>
          </w:p>
        </w:tc>
        <w:tc>
          <w:tcPr>
            <w:tcW w:w="929" w:type="dxa"/>
            <w:tcBorders>
              <w:top w:val="double" w:sz="2" w:space="0" w:color="C00000"/>
              <w:left w:val="double" w:sz="2" w:space="0" w:color="C00000"/>
              <w:bottom w:val="double" w:sz="2" w:space="0" w:color="C00000"/>
              <w:right w:val="double" w:sz="2" w:space="0" w:color="C00000"/>
            </w:tcBorders>
            <w:vAlign w:val="center"/>
          </w:tcPr>
          <w:p w14:paraId="7E0CEA87" w14:textId="77777777" w:rsidR="008C3A64" w:rsidRPr="00147DD2" w:rsidRDefault="008C3A64" w:rsidP="00FF1F9A">
            <w:pPr>
              <w:jc w:val="right"/>
              <w:rPr>
                <w:spacing w:val="-6"/>
              </w:rPr>
            </w:pPr>
            <w:r w:rsidRPr="00147DD2">
              <w:rPr>
                <w:spacing w:val="-6"/>
              </w:rPr>
              <w:t>47.540</w:t>
            </w:r>
          </w:p>
        </w:tc>
        <w:tc>
          <w:tcPr>
            <w:tcW w:w="720" w:type="dxa"/>
            <w:tcBorders>
              <w:top w:val="double" w:sz="2" w:space="0" w:color="C00000"/>
              <w:left w:val="double" w:sz="2" w:space="0" w:color="C00000"/>
              <w:bottom w:val="double" w:sz="2" w:space="0" w:color="C00000"/>
              <w:right w:val="double" w:sz="2" w:space="0" w:color="C00000"/>
            </w:tcBorders>
            <w:vAlign w:val="center"/>
          </w:tcPr>
          <w:p w14:paraId="508E29C3" w14:textId="77777777" w:rsidR="008C3A64" w:rsidRPr="00147DD2" w:rsidRDefault="008C3A64" w:rsidP="00FF1F9A">
            <w:pPr>
              <w:jc w:val="right"/>
              <w:rPr>
                <w:spacing w:val="-6"/>
              </w:rPr>
            </w:pPr>
            <w:r w:rsidRPr="00147DD2">
              <w:rPr>
                <w:spacing w:val="-6"/>
              </w:rPr>
              <w:t>44,7 </w:t>
            </w:r>
          </w:p>
        </w:tc>
        <w:tc>
          <w:tcPr>
            <w:tcW w:w="896" w:type="dxa"/>
            <w:tcBorders>
              <w:top w:val="double" w:sz="2" w:space="0" w:color="C00000"/>
              <w:left w:val="double" w:sz="2" w:space="0" w:color="C00000"/>
              <w:bottom w:val="double" w:sz="2" w:space="0" w:color="C00000"/>
              <w:right w:val="double" w:sz="2" w:space="0" w:color="C00000"/>
            </w:tcBorders>
            <w:vAlign w:val="center"/>
          </w:tcPr>
          <w:p w14:paraId="78E50D41" w14:textId="77777777" w:rsidR="008C3A64" w:rsidRPr="00147DD2" w:rsidRDefault="008C3A64" w:rsidP="00FF1F9A">
            <w:pPr>
              <w:jc w:val="right"/>
              <w:rPr>
                <w:spacing w:val="-6"/>
              </w:rPr>
            </w:pPr>
            <w:r w:rsidRPr="00147DD2">
              <w:rPr>
                <w:spacing w:val="-6"/>
              </w:rPr>
              <w:t>61.057</w:t>
            </w:r>
          </w:p>
        </w:tc>
        <w:tc>
          <w:tcPr>
            <w:tcW w:w="714" w:type="dxa"/>
            <w:tcBorders>
              <w:top w:val="double" w:sz="2" w:space="0" w:color="C00000"/>
              <w:left w:val="double" w:sz="2" w:space="0" w:color="C00000"/>
              <w:bottom w:val="double" w:sz="2" w:space="0" w:color="C00000"/>
              <w:right w:val="double" w:sz="2" w:space="0" w:color="C00000"/>
            </w:tcBorders>
            <w:vAlign w:val="center"/>
          </w:tcPr>
          <w:p w14:paraId="063A7AA4" w14:textId="77777777" w:rsidR="008C3A64" w:rsidRPr="00147DD2" w:rsidRDefault="008C3A64" w:rsidP="00FF1F9A">
            <w:pPr>
              <w:jc w:val="right"/>
              <w:rPr>
                <w:spacing w:val="-6"/>
              </w:rPr>
            </w:pPr>
            <w:r w:rsidRPr="00147DD2">
              <w:rPr>
                <w:spacing w:val="-6"/>
              </w:rPr>
              <w:t>44,0 </w:t>
            </w:r>
          </w:p>
        </w:tc>
        <w:tc>
          <w:tcPr>
            <w:tcW w:w="851" w:type="dxa"/>
            <w:tcBorders>
              <w:top w:val="double" w:sz="2" w:space="0" w:color="C00000"/>
              <w:left w:val="double" w:sz="2" w:space="0" w:color="C00000"/>
              <w:bottom w:val="double" w:sz="2" w:space="0" w:color="C00000"/>
              <w:right w:val="double" w:sz="2" w:space="0" w:color="C00000"/>
            </w:tcBorders>
            <w:vAlign w:val="center"/>
          </w:tcPr>
          <w:p w14:paraId="0C7F9B28"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166FFC24"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6128A3CE" w14:textId="77777777" w:rsidR="008C3A64" w:rsidRPr="00147DD2" w:rsidRDefault="008C3A64" w:rsidP="00FF1F9A">
            <w:pPr>
              <w:jc w:val="right"/>
              <w:rPr>
                <w:spacing w:val="-6"/>
              </w:rPr>
            </w:pPr>
            <w:r w:rsidRPr="00147DD2">
              <w:rPr>
                <w:spacing w:val="-6"/>
              </w:rPr>
              <w:t>108.598</w:t>
            </w:r>
          </w:p>
        </w:tc>
        <w:tc>
          <w:tcPr>
            <w:tcW w:w="997" w:type="dxa"/>
            <w:tcBorders>
              <w:top w:val="double" w:sz="2" w:space="0" w:color="C00000"/>
              <w:left w:val="double" w:sz="2" w:space="0" w:color="C00000"/>
              <w:bottom w:val="double" w:sz="2" w:space="0" w:color="C00000"/>
              <w:right w:val="nil"/>
            </w:tcBorders>
            <w:vAlign w:val="center"/>
          </w:tcPr>
          <w:p w14:paraId="6F20EE8C" w14:textId="77777777" w:rsidR="008C3A64" w:rsidRPr="00147DD2" w:rsidRDefault="008C3A64" w:rsidP="00FF1F9A">
            <w:pPr>
              <w:jc w:val="right"/>
              <w:rPr>
                <w:spacing w:val="-6"/>
              </w:rPr>
            </w:pPr>
            <w:r w:rsidRPr="00147DD2">
              <w:rPr>
                <w:spacing w:val="-6"/>
              </w:rPr>
              <w:t>44,3 </w:t>
            </w:r>
          </w:p>
        </w:tc>
      </w:tr>
      <w:tr w:rsidR="008C3A64" w:rsidRPr="00147DD2" w14:paraId="3FD52738"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2496406C" w14:textId="77777777" w:rsidR="008C3A64" w:rsidRPr="00147DD2" w:rsidRDefault="008C3A64" w:rsidP="00FF1F9A">
            <w:pPr>
              <w:jc w:val="right"/>
              <w:rPr>
                <w:b/>
                <w:bCs/>
                <w:spacing w:val="-6"/>
              </w:rPr>
            </w:pPr>
            <w:r w:rsidRPr="00147DD2">
              <w:rPr>
                <w:b/>
                <w:bCs/>
                <w:spacing w:val="-6"/>
              </w:rPr>
              <w:t>En terminal</w:t>
            </w:r>
          </w:p>
        </w:tc>
        <w:tc>
          <w:tcPr>
            <w:tcW w:w="929" w:type="dxa"/>
            <w:tcBorders>
              <w:top w:val="double" w:sz="2" w:space="0" w:color="C00000"/>
              <w:left w:val="double" w:sz="2" w:space="0" w:color="C00000"/>
              <w:bottom w:val="double" w:sz="2" w:space="0" w:color="C00000"/>
              <w:right w:val="double" w:sz="2" w:space="0" w:color="C00000"/>
            </w:tcBorders>
            <w:vAlign w:val="center"/>
          </w:tcPr>
          <w:p w14:paraId="33323ECF" w14:textId="77777777" w:rsidR="008C3A64" w:rsidRPr="00147DD2" w:rsidRDefault="008C3A64" w:rsidP="00FF1F9A">
            <w:pPr>
              <w:jc w:val="right"/>
              <w:rPr>
                <w:spacing w:val="-6"/>
              </w:rPr>
            </w:pPr>
            <w:r w:rsidRPr="00147DD2">
              <w:rPr>
                <w:spacing w:val="-6"/>
              </w:rPr>
              <w:t>48.048</w:t>
            </w:r>
          </w:p>
        </w:tc>
        <w:tc>
          <w:tcPr>
            <w:tcW w:w="720" w:type="dxa"/>
            <w:tcBorders>
              <w:top w:val="double" w:sz="2" w:space="0" w:color="C00000"/>
              <w:left w:val="double" w:sz="2" w:space="0" w:color="C00000"/>
              <w:bottom w:val="double" w:sz="2" w:space="0" w:color="C00000"/>
              <w:right w:val="double" w:sz="2" w:space="0" w:color="C00000"/>
            </w:tcBorders>
            <w:vAlign w:val="center"/>
          </w:tcPr>
          <w:p w14:paraId="29A0614B" w14:textId="77777777" w:rsidR="008C3A64" w:rsidRPr="00147DD2" w:rsidRDefault="008C3A64" w:rsidP="00FF1F9A">
            <w:pPr>
              <w:jc w:val="right"/>
              <w:rPr>
                <w:spacing w:val="-6"/>
              </w:rPr>
            </w:pPr>
            <w:r w:rsidRPr="00147DD2">
              <w:rPr>
                <w:spacing w:val="-6"/>
              </w:rPr>
              <w:t>45,1 </w:t>
            </w:r>
          </w:p>
        </w:tc>
        <w:tc>
          <w:tcPr>
            <w:tcW w:w="896" w:type="dxa"/>
            <w:tcBorders>
              <w:top w:val="double" w:sz="2" w:space="0" w:color="C00000"/>
              <w:left w:val="double" w:sz="2" w:space="0" w:color="C00000"/>
              <w:bottom w:val="double" w:sz="2" w:space="0" w:color="C00000"/>
              <w:right w:val="double" w:sz="2" w:space="0" w:color="C00000"/>
            </w:tcBorders>
            <w:vAlign w:val="center"/>
          </w:tcPr>
          <w:p w14:paraId="08C148C6" w14:textId="77777777" w:rsidR="008C3A64" w:rsidRPr="00147DD2" w:rsidRDefault="008C3A64" w:rsidP="00FF1F9A">
            <w:pPr>
              <w:jc w:val="right"/>
              <w:rPr>
                <w:spacing w:val="-6"/>
              </w:rPr>
            </w:pPr>
            <w:r w:rsidRPr="00147DD2">
              <w:rPr>
                <w:spacing w:val="-6"/>
              </w:rPr>
              <w:t>60.857</w:t>
            </w:r>
          </w:p>
        </w:tc>
        <w:tc>
          <w:tcPr>
            <w:tcW w:w="714" w:type="dxa"/>
            <w:tcBorders>
              <w:top w:val="double" w:sz="2" w:space="0" w:color="C00000"/>
              <w:left w:val="double" w:sz="2" w:space="0" w:color="C00000"/>
              <w:bottom w:val="double" w:sz="2" w:space="0" w:color="C00000"/>
              <w:right w:val="double" w:sz="2" w:space="0" w:color="C00000"/>
            </w:tcBorders>
            <w:vAlign w:val="center"/>
          </w:tcPr>
          <w:p w14:paraId="7A119530" w14:textId="77777777" w:rsidR="008C3A64" w:rsidRPr="00147DD2" w:rsidRDefault="008C3A64" w:rsidP="00FF1F9A">
            <w:pPr>
              <w:jc w:val="right"/>
              <w:rPr>
                <w:spacing w:val="-6"/>
              </w:rPr>
            </w:pPr>
            <w:r w:rsidRPr="00147DD2">
              <w:rPr>
                <w:spacing w:val="-6"/>
              </w:rPr>
              <w:t>43,8 </w:t>
            </w:r>
          </w:p>
        </w:tc>
        <w:tc>
          <w:tcPr>
            <w:tcW w:w="851" w:type="dxa"/>
            <w:tcBorders>
              <w:top w:val="double" w:sz="2" w:space="0" w:color="C00000"/>
              <w:left w:val="double" w:sz="2" w:space="0" w:color="C00000"/>
              <w:bottom w:val="double" w:sz="2" w:space="0" w:color="C00000"/>
              <w:right w:val="double" w:sz="2" w:space="0" w:color="C00000"/>
            </w:tcBorders>
            <w:vAlign w:val="center"/>
          </w:tcPr>
          <w:p w14:paraId="0F955AA9"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6FC3C18F"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43E585AF" w14:textId="77777777" w:rsidR="008C3A64" w:rsidRPr="00147DD2" w:rsidRDefault="008C3A64" w:rsidP="00FF1F9A">
            <w:pPr>
              <w:jc w:val="right"/>
              <w:rPr>
                <w:spacing w:val="-6"/>
              </w:rPr>
            </w:pPr>
            <w:r w:rsidRPr="00147DD2">
              <w:rPr>
                <w:spacing w:val="-6"/>
              </w:rPr>
              <w:t>108.906</w:t>
            </w:r>
          </w:p>
        </w:tc>
        <w:tc>
          <w:tcPr>
            <w:tcW w:w="997" w:type="dxa"/>
            <w:tcBorders>
              <w:top w:val="double" w:sz="2" w:space="0" w:color="C00000"/>
              <w:left w:val="double" w:sz="2" w:space="0" w:color="C00000"/>
              <w:bottom w:val="double" w:sz="2" w:space="0" w:color="C00000"/>
              <w:right w:val="nil"/>
            </w:tcBorders>
            <w:vAlign w:val="center"/>
          </w:tcPr>
          <w:p w14:paraId="5746526E" w14:textId="77777777" w:rsidR="008C3A64" w:rsidRPr="00147DD2" w:rsidRDefault="008C3A64" w:rsidP="00FF1F9A">
            <w:pPr>
              <w:jc w:val="right"/>
              <w:rPr>
                <w:spacing w:val="-6"/>
              </w:rPr>
            </w:pPr>
            <w:r w:rsidRPr="00147DD2">
              <w:rPr>
                <w:spacing w:val="-6"/>
              </w:rPr>
              <w:t>44,4 </w:t>
            </w:r>
          </w:p>
        </w:tc>
      </w:tr>
      <w:tr w:rsidR="008C3A64" w:rsidRPr="00147DD2" w14:paraId="6DD05886"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6F4E6057" w14:textId="77777777" w:rsidR="008C3A64" w:rsidRPr="00147DD2" w:rsidRDefault="008C3A64" w:rsidP="00FF1F9A">
            <w:pPr>
              <w:jc w:val="right"/>
              <w:rPr>
                <w:b/>
                <w:bCs/>
                <w:spacing w:val="-6"/>
              </w:rPr>
            </w:pPr>
            <w:r w:rsidRPr="00147DD2">
              <w:rPr>
                <w:b/>
                <w:bCs/>
                <w:spacing w:val="-6"/>
              </w:rPr>
              <w:t>En vehículo</w:t>
            </w:r>
          </w:p>
        </w:tc>
        <w:tc>
          <w:tcPr>
            <w:tcW w:w="929" w:type="dxa"/>
            <w:tcBorders>
              <w:top w:val="double" w:sz="2" w:space="0" w:color="C00000"/>
              <w:left w:val="double" w:sz="2" w:space="0" w:color="C00000"/>
              <w:bottom w:val="double" w:sz="2" w:space="0" w:color="C00000"/>
              <w:right w:val="double" w:sz="2" w:space="0" w:color="C00000"/>
            </w:tcBorders>
            <w:vAlign w:val="center"/>
          </w:tcPr>
          <w:p w14:paraId="2CD2D102" w14:textId="77777777" w:rsidR="008C3A64" w:rsidRPr="00147DD2" w:rsidRDefault="008C3A64" w:rsidP="00FF1F9A">
            <w:pPr>
              <w:jc w:val="right"/>
              <w:rPr>
                <w:spacing w:val="-6"/>
              </w:rPr>
            </w:pPr>
            <w:r w:rsidRPr="00147DD2">
              <w:rPr>
                <w:spacing w:val="-6"/>
              </w:rPr>
              <w:t>64.718</w:t>
            </w:r>
          </w:p>
        </w:tc>
        <w:tc>
          <w:tcPr>
            <w:tcW w:w="720" w:type="dxa"/>
            <w:tcBorders>
              <w:top w:val="double" w:sz="2" w:space="0" w:color="C00000"/>
              <w:left w:val="double" w:sz="2" w:space="0" w:color="C00000"/>
              <w:bottom w:val="double" w:sz="2" w:space="0" w:color="C00000"/>
              <w:right w:val="double" w:sz="2" w:space="0" w:color="C00000"/>
            </w:tcBorders>
            <w:vAlign w:val="center"/>
          </w:tcPr>
          <w:p w14:paraId="2EA906AE" w14:textId="77777777" w:rsidR="008C3A64" w:rsidRPr="00147DD2" w:rsidRDefault="008C3A64" w:rsidP="00FF1F9A">
            <w:pPr>
              <w:jc w:val="right"/>
              <w:rPr>
                <w:spacing w:val="-6"/>
              </w:rPr>
            </w:pPr>
            <w:r w:rsidRPr="00147DD2">
              <w:rPr>
                <w:spacing w:val="-6"/>
              </w:rPr>
              <w:t>60,8 </w:t>
            </w:r>
          </w:p>
        </w:tc>
        <w:tc>
          <w:tcPr>
            <w:tcW w:w="896" w:type="dxa"/>
            <w:tcBorders>
              <w:top w:val="double" w:sz="2" w:space="0" w:color="C00000"/>
              <w:left w:val="double" w:sz="2" w:space="0" w:color="C00000"/>
              <w:bottom w:val="double" w:sz="2" w:space="0" w:color="C00000"/>
              <w:right w:val="double" w:sz="2" w:space="0" w:color="C00000"/>
            </w:tcBorders>
            <w:vAlign w:val="center"/>
          </w:tcPr>
          <w:p w14:paraId="25720998" w14:textId="77777777" w:rsidR="008C3A64" w:rsidRPr="00147DD2" w:rsidRDefault="008C3A64" w:rsidP="00FF1F9A">
            <w:pPr>
              <w:jc w:val="right"/>
              <w:rPr>
                <w:spacing w:val="-6"/>
              </w:rPr>
            </w:pPr>
            <w:r w:rsidRPr="00147DD2">
              <w:rPr>
                <w:spacing w:val="-6"/>
              </w:rPr>
              <w:t>85.944</w:t>
            </w:r>
          </w:p>
        </w:tc>
        <w:tc>
          <w:tcPr>
            <w:tcW w:w="714" w:type="dxa"/>
            <w:tcBorders>
              <w:top w:val="double" w:sz="2" w:space="0" w:color="C00000"/>
              <w:left w:val="double" w:sz="2" w:space="0" w:color="C00000"/>
              <w:bottom w:val="double" w:sz="2" w:space="0" w:color="C00000"/>
              <w:right w:val="double" w:sz="2" w:space="0" w:color="C00000"/>
            </w:tcBorders>
            <w:vAlign w:val="center"/>
          </w:tcPr>
          <w:p w14:paraId="22E6D188" w14:textId="77777777" w:rsidR="008C3A64" w:rsidRPr="00147DD2" w:rsidRDefault="008C3A64" w:rsidP="00FF1F9A">
            <w:pPr>
              <w:jc w:val="right"/>
              <w:rPr>
                <w:spacing w:val="-6"/>
              </w:rPr>
            </w:pPr>
            <w:r w:rsidRPr="00147DD2">
              <w:rPr>
                <w:spacing w:val="-6"/>
              </w:rPr>
              <w:t>61,9 </w:t>
            </w:r>
          </w:p>
        </w:tc>
        <w:tc>
          <w:tcPr>
            <w:tcW w:w="851" w:type="dxa"/>
            <w:tcBorders>
              <w:top w:val="double" w:sz="2" w:space="0" w:color="C00000"/>
              <w:left w:val="double" w:sz="2" w:space="0" w:color="C00000"/>
              <w:bottom w:val="double" w:sz="2" w:space="0" w:color="C00000"/>
              <w:right w:val="double" w:sz="2" w:space="0" w:color="C00000"/>
            </w:tcBorders>
            <w:vAlign w:val="center"/>
          </w:tcPr>
          <w:p w14:paraId="0C01028F"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1DCBEB9D"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331A9A56" w14:textId="77777777" w:rsidR="008C3A64" w:rsidRPr="00147DD2" w:rsidRDefault="008C3A64" w:rsidP="00FF1F9A">
            <w:pPr>
              <w:jc w:val="right"/>
              <w:rPr>
                <w:spacing w:val="-6"/>
              </w:rPr>
            </w:pPr>
            <w:r w:rsidRPr="00147DD2">
              <w:rPr>
                <w:spacing w:val="-6"/>
              </w:rPr>
              <w:t>150.663</w:t>
            </w:r>
          </w:p>
        </w:tc>
        <w:tc>
          <w:tcPr>
            <w:tcW w:w="997" w:type="dxa"/>
            <w:tcBorders>
              <w:top w:val="double" w:sz="2" w:space="0" w:color="C00000"/>
              <w:left w:val="double" w:sz="2" w:space="0" w:color="C00000"/>
              <w:bottom w:val="double" w:sz="2" w:space="0" w:color="C00000"/>
              <w:right w:val="nil"/>
            </w:tcBorders>
            <w:vAlign w:val="center"/>
          </w:tcPr>
          <w:p w14:paraId="1E9FA6D7" w14:textId="77777777" w:rsidR="008C3A64" w:rsidRPr="00147DD2" w:rsidRDefault="008C3A64" w:rsidP="00FF1F9A">
            <w:pPr>
              <w:jc w:val="right"/>
              <w:rPr>
                <w:spacing w:val="-6"/>
              </w:rPr>
            </w:pPr>
            <w:r w:rsidRPr="00147DD2">
              <w:rPr>
                <w:spacing w:val="-6"/>
              </w:rPr>
              <w:t>61,4 </w:t>
            </w:r>
          </w:p>
        </w:tc>
      </w:tr>
      <w:tr w:rsidR="008C3A64" w:rsidRPr="00147DD2" w14:paraId="733B0804"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6CE10563" w14:textId="77777777" w:rsidR="008C3A64" w:rsidRPr="00147DD2" w:rsidRDefault="008C3A64" w:rsidP="00FF1F9A">
            <w:pPr>
              <w:jc w:val="right"/>
              <w:rPr>
                <w:b/>
                <w:bCs/>
                <w:spacing w:val="-6"/>
              </w:rPr>
            </w:pPr>
            <w:r w:rsidRPr="00147DD2">
              <w:rPr>
                <w:b/>
                <w:bCs/>
                <w:spacing w:val="-6"/>
              </w:rPr>
              <w:t>En centro educativo</w:t>
            </w:r>
          </w:p>
        </w:tc>
        <w:tc>
          <w:tcPr>
            <w:tcW w:w="929" w:type="dxa"/>
            <w:tcBorders>
              <w:top w:val="double" w:sz="2" w:space="0" w:color="C00000"/>
              <w:left w:val="double" w:sz="2" w:space="0" w:color="C00000"/>
              <w:bottom w:val="double" w:sz="2" w:space="0" w:color="C00000"/>
              <w:right w:val="double" w:sz="2" w:space="0" w:color="C00000"/>
            </w:tcBorders>
            <w:vAlign w:val="center"/>
          </w:tcPr>
          <w:p w14:paraId="0F9898C9" w14:textId="77777777" w:rsidR="008C3A64" w:rsidRPr="00147DD2" w:rsidRDefault="008C3A64" w:rsidP="00FF1F9A">
            <w:pPr>
              <w:jc w:val="right"/>
              <w:rPr>
                <w:spacing w:val="-6"/>
              </w:rPr>
            </w:pPr>
            <w:r w:rsidRPr="00147DD2">
              <w:rPr>
                <w:spacing w:val="-6"/>
              </w:rPr>
              <w:t>22.740</w:t>
            </w:r>
          </w:p>
        </w:tc>
        <w:tc>
          <w:tcPr>
            <w:tcW w:w="720" w:type="dxa"/>
            <w:tcBorders>
              <w:top w:val="double" w:sz="2" w:space="0" w:color="C00000"/>
              <w:left w:val="double" w:sz="2" w:space="0" w:color="C00000"/>
              <w:bottom w:val="double" w:sz="2" w:space="0" w:color="C00000"/>
              <w:right w:val="double" w:sz="2" w:space="0" w:color="C00000"/>
            </w:tcBorders>
            <w:vAlign w:val="center"/>
          </w:tcPr>
          <w:p w14:paraId="6C2A0732" w14:textId="77777777" w:rsidR="008C3A64" w:rsidRPr="00147DD2" w:rsidRDefault="008C3A64" w:rsidP="00FF1F9A">
            <w:pPr>
              <w:jc w:val="right"/>
              <w:rPr>
                <w:spacing w:val="-6"/>
              </w:rPr>
            </w:pPr>
            <w:r w:rsidRPr="00147DD2">
              <w:rPr>
                <w:spacing w:val="-6"/>
              </w:rPr>
              <w:t>21,4 </w:t>
            </w:r>
          </w:p>
        </w:tc>
        <w:tc>
          <w:tcPr>
            <w:tcW w:w="896" w:type="dxa"/>
            <w:tcBorders>
              <w:top w:val="double" w:sz="2" w:space="0" w:color="C00000"/>
              <w:left w:val="double" w:sz="2" w:space="0" w:color="C00000"/>
              <w:bottom w:val="double" w:sz="2" w:space="0" w:color="C00000"/>
              <w:right w:val="double" w:sz="2" w:space="0" w:color="C00000"/>
            </w:tcBorders>
            <w:vAlign w:val="center"/>
          </w:tcPr>
          <w:p w14:paraId="23630180" w14:textId="77777777" w:rsidR="008C3A64" w:rsidRPr="00147DD2" w:rsidRDefault="008C3A64" w:rsidP="00FF1F9A">
            <w:pPr>
              <w:jc w:val="right"/>
              <w:rPr>
                <w:spacing w:val="-6"/>
              </w:rPr>
            </w:pPr>
            <w:r w:rsidRPr="00147DD2">
              <w:rPr>
                <w:spacing w:val="-6"/>
              </w:rPr>
              <w:t>23.585</w:t>
            </w:r>
          </w:p>
        </w:tc>
        <w:tc>
          <w:tcPr>
            <w:tcW w:w="714" w:type="dxa"/>
            <w:tcBorders>
              <w:top w:val="double" w:sz="2" w:space="0" w:color="C00000"/>
              <w:left w:val="double" w:sz="2" w:space="0" w:color="C00000"/>
              <w:bottom w:val="double" w:sz="2" w:space="0" w:color="C00000"/>
              <w:right w:val="double" w:sz="2" w:space="0" w:color="C00000"/>
            </w:tcBorders>
            <w:vAlign w:val="center"/>
          </w:tcPr>
          <w:p w14:paraId="283D5A8D" w14:textId="77777777" w:rsidR="008C3A64" w:rsidRPr="00147DD2" w:rsidRDefault="008C3A64" w:rsidP="00FF1F9A">
            <w:pPr>
              <w:jc w:val="right"/>
              <w:rPr>
                <w:spacing w:val="-6"/>
              </w:rPr>
            </w:pPr>
            <w:r w:rsidRPr="00147DD2">
              <w:rPr>
                <w:spacing w:val="-6"/>
              </w:rPr>
              <w:t>17,0 </w:t>
            </w:r>
          </w:p>
        </w:tc>
        <w:tc>
          <w:tcPr>
            <w:tcW w:w="851" w:type="dxa"/>
            <w:tcBorders>
              <w:top w:val="double" w:sz="2" w:space="0" w:color="C00000"/>
              <w:left w:val="double" w:sz="2" w:space="0" w:color="C00000"/>
              <w:bottom w:val="double" w:sz="2" w:space="0" w:color="C00000"/>
              <w:right w:val="double" w:sz="2" w:space="0" w:color="C00000"/>
            </w:tcBorders>
            <w:vAlign w:val="center"/>
          </w:tcPr>
          <w:p w14:paraId="54C79EE6"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0927C8EE"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5654111A" w14:textId="77777777" w:rsidR="008C3A64" w:rsidRPr="00147DD2" w:rsidRDefault="008C3A64" w:rsidP="00FF1F9A">
            <w:pPr>
              <w:jc w:val="right"/>
              <w:rPr>
                <w:spacing w:val="-6"/>
              </w:rPr>
            </w:pPr>
            <w:r w:rsidRPr="00147DD2">
              <w:rPr>
                <w:spacing w:val="-6"/>
              </w:rPr>
              <w:t>46.326</w:t>
            </w:r>
          </w:p>
        </w:tc>
        <w:tc>
          <w:tcPr>
            <w:tcW w:w="997" w:type="dxa"/>
            <w:tcBorders>
              <w:top w:val="double" w:sz="2" w:space="0" w:color="C00000"/>
              <w:left w:val="double" w:sz="2" w:space="0" w:color="C00000"/>
              <w:bottom w:val="double" w:sz="2" w:space="0" w:color="C00000"/>
              <w:right w:val="nil"/>
            </w:tcBorders>
            <w:vAlign w:val="center"/>
          </w:tcPr>
          <w:p w14:paraId="7220E696" w14:textId="77777777" w:rsidR="008C3A64" w:rsidRPr="00147DD2" w:rsidRDefault="008C3A64" w:rsidP="00FF1F9A">
            <w:pPr>
              <w:jc w:val="right"/>
              <w:rPr>
                <w:spacing w:val="-6"/>
              </w:rPr>
            </w:pPr>
            <w:r w:rsidRPr="00147DD2">
              <w:rPr>
                <w:spacing w:val="-6"/>
              </w:rPr>
              <w:t>18,9 </w:t>
            </w:r>
          </w:p>
        </w:tc>
      </w:tr>
      <w:tr w:rsidR="008C3A64" w:rsidRPr="00147DD2" w14:paraId="4EA0F2C1"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3AAF87A6" w14:textId="77777777" w:rsidR="008C3A64" w:rsidRPr="00147DD2" w:rsidRDefault="008C3A64" w:rsidP="00FF1F9A">
            <w:pPr>
              <w:jc w:val="right"/>
              <w:rPr>
                <w:b/>
                <w:bCs/>
                <w:spacing w:val="-6"/>
              </w:rPr>
            </w:pPr>
            <w:r w:rsidRPr="00147DD2">
              <w:rPr>
                <w:b/>
                <w:bCs/>
                <w:spacing w:val="-6"/>
              </w:rPr>
              <w:t>En trabajo</w:t>
            </w:r>
          </w:p>
        </w:tc>
        <w:tc>
          <w:tcPr>
            <w:tcW w:w="929" w:type="dxa"/>
            <w:tcBorders>
              <w:top w:val="double" w:sz="2" w:space="0" w:color="C00000"/>
              <w:left w:val="double" w:sz="2" w:space="0" w:color="C00000"/>
              <w:bottom w:val="double" w:sz="2" w:space="0" w:color="C00000"/>
              <w:right w:val="double" w:sz="2" w:space="0" w:color="C00000"/>
            </w:tcBorders>
            <w:vAlign w:val="center"/>
          </w:tcPr>
          <w:p w14:paraId="7AF3D16E" w14:textId="77777777" w:rsidR="008C3A64" w:rsidRPr="00147DD2" w:rsidRDefault="008C3A64" w:rsidP="00FF1F9A">
            <w:pPr>
              <w:jc w:val="right"/>
              <w:rPr>
                <w:spacing w:val="-6"/>
              </w:rPr>
            </w:pPr>
            <w:r w:rsidRPr="00147DD2">
              <w:rPr>
                <w:spacing w:val="-6"/>
              </w:rPr>
              <w:t>25.388</w:t>
            </w:r>
          </w:p>
        </w:tc>
        <w:tc>
          <w:tcPr>
            <w:tcW w:w="720" w:type="dxa"/>
            <w:tcBorders>
              <w:top w:val="double" w:sz="2" w:space="0" w:color="C00000"/>
              <w:left w:val="double" w:sz="2" w:space="0" w:color="C00000"/>
              <w:bottom w:val="double" w:sz="2" w:space="0" w:color="C00000"/>
              <w:right w:val="double" w:sz="2" w:space="0" w:color="C00000"/>
            </w:tcBorders>
            <w:vAlign w:val="center"/>
          </w:tcPr>
          <w:p w14:paraId="76B658E7" w14:textId="77777777" w:rsidR="008C3A64" w:rsidRPr="00147DD2" w:rsidRDefault="008C3A64" w:rsidP="00FF1F9A">
            <w:pPr>
              <w:jc w:val="right"/>
              <w:rPr>
                <w:spacing w:val="-6"/>
              </w:rPr>
            </w:pPr>
            <w:r w:rsidRPr="00147DD2">
              <w:rPr>
                <w:spacing w:val="-6"/>
              </w:rPr>
              <w:t>23,8 </w:t>
            </w:r>
          </w:p>
        </w:tc>
        <w:tc>
          <w:tcPr>
            <w:tcW w:w="896" w:type="dxa"/>
            <w:tcBorders>
              <w:top w:val="double" w:sz="2" w:space="0" w:color="C00000"/>
              <w:left w:val="double" w:sz="2" w:space="0" w:color="C00000"/>
              <w:bottom w:val="double" w:sz="2" w:space="0" w:color="C00000"/>
              <w:right w:val="double" w:sz="2" w:space="0" w:color="C00000"/>
            </w:tcBorders>
            <w:vAlign w:val="center"/>
          </w:tcPr>
          <w:p w14:paraId="4C7D7E25" w14:textId="77777777" w:rsidR="008C3A64" w:rsidRPr="00147DD2" w:rsidRDefault="008C3A64" w:rsidP="00FF1F9A">
            <w:pPr>
              <w:jc w:val="right"/>
              <w:rPr>
                <w:spacing w:val="-6"/>
              </w:rPr>
            </w:pPr>
            <w:r w:rsidRPr="00147DD2">
              <w:rPr>
                <w:spacing w:val="-6"/>
              </w:rPr>
              <w:t>28.930</w:t>
            </w:r>
          </w:p>
        </w:tc>
        <w:tc>
          <w:tcPr>
            <w:tcW w:w="714" w:type="dxa"/>
            <w:tcBorders>
              <w:top w:val="double" w:sz="2" w:space="0" w:color="C00000"/>
              <w:left w:val="double" w:sz="2" w:space="0" w:color="C00000"/>
              <w:bottom w:val="double" w:sz="2" w:space="0" w:color="C00000"/>
              <w:right w:val="double" w:sz="2" w:space="0" w:color="C00000"/>
            </w:tcBorders>
            <w:vAlign w:val="center"/>
          </w:tcPr>
          <w:p w14:paraId="055D1E66" w14:textId="77777777" w:rsidR="008C3A64" w:rsidRPr="00147DD2" w:rsidRDefault="008C3A64" w:rsidP="00FF1F9A">
            <w:pPr>
              <w:jc w:val="right"/>
              <w:rPr>
                <w:spacing w:val="-6"/>
              </w:rPr>
            </w:pPr>
            <w:r w:rsidRPr="00147DD2">
              <w:rPr>
                <w:spacing w:val="-6"/>
              </w:rPr>
              <w:t>20,8 </w:t>
            </w:r>
          </w:p>
        </w:tc>
        <w:tc>
          <w:tcPr>
            <w:tcW w:w="851" w:type="dxa"/>
            <w:tcBorders>
              <w:top w:val="double" w:sz="2" w:space="0" w:color="C00000"/>
              <w:left w:val="double" w:sz="2" w:space="0" w:color="C00000"/>
              <w:bottom w:val="double" w:sz="2" w:space="0" w:color="C00000"/>
              <w:right w:val="double" w:sz="2" w:space="0" w:color="C00000"/>
            </w:tcBorders>
            <w:vAlign w:val="center"/>
          </w:tcPr>
          <w:p w14:paraId="6063D112" w14:textId="77777777" w:rsidR="008C3A64" w:rsidRPr="00147DD2" w:rsidRDefault="008C3A64" w:rsidP="00FF1F9A">
            <w:pPr>
              <w:jc w:val="right"/>
              <w:rPr>
                <w:spacing w:val="-6"/>
              </w:rPr>
            </w:pPr>
            <w:r w:rsidRPr="00147DD2">
              <w:rPr>
                <w:spacing w:val="-6"/>
              </w:rPr>
              <w:t>1</w:t>
            </w:r>
          </w:p>
        </w:tc>
        <w:tc>
          <w:tcPr>
            <w:tcW w:w="711" w:type="dxa"/>
            <w:tcBorders>
              <w:top w:val="double" w:sz="2" w:space="0" w:color="C00000"/>
              <w:left w:val="double" w:sz="2" w:space="0" w:color="C00000"/>
              <w:bottom w:val="double" w:sz="2" w:space="0" w:color="C00000"/>
              <w:right w:val="double" w:sz="2" w:space="0" w:color="C00000"/>
            </w:tcBorders>
            <w:vAlign w:val="center"/>
          </w:tcPr>
          <w:p w14:paraId="70588B35" w14:textId="77777777" w:rsidR="008C3A64" w:rsidRPr="00147DD2" w:rsidRDefault="008C3A64" w:rsidP="00FF1F9A">
            <w:pPr>
              <w:jc w:val="right"/>
              <w:rPr>
                <w:spacing w:val="-6"/>
              </w:rPr>
            </w:pPr>
            <w:r w:rsidRPr="00147DD2">
              <w:rPr>
                <w:spacing w:val="-6"/>
              </w:rPr>
              <w:t>100 </w:t>
            </w:r>
          </w:p>
        </w:tc>
        <w:tc>
          <w:tcPr>
            <w:tcW w:w="988" w:type="dxa"/>
            <w:tcBorders>
              <w:top w:val="double" w:sz="2" w:space="0" w:color="C00000"/>
              <w:left w:val="double" w:sz="2" w:space="0" w:color="C00000"/>
              <w:bottom w:val="double" w:sz="2" w:space="0" w:color="C00000"/>
              <w:right w:val="double" w:sz="2" w:space="0" w:color="C00000"/>
            </w:tcBorders>
            <w:vAlign w:val="center"/>
          </w:tcPr>
          <w:p w14:paraId="0FE17122" w14:textId="77777777" w:rsidR="008C3A64" w:rsidRPr="00147DD2" w:rsidRDefault="008C3A64" w:rsidP="00FF1F9A">
            <w:pPr>
              <w:jc w:val="right"/>
              <w:rPr>
                <w:spacing w:val="-6"/>
              </w:rPr>
            </w:pPr>
            <w:r w:rsidRPr="00147DD2">
              <w:rPr>
                <w:spacing w:val="-6"/>
              </w:rPr>
              <w:t>54.319</w:t>
            </w:r>
          </w:p>
        </w:tc>
        <w:tc>
          <w:tcPr>
            <w:tcW w:w="997" w:type="dxa"/>
            <w:tcBorders>
              <w:top w:val="double" w:sz="2" w:space="0" w:color="C00000"/>
              <w:left w:val="double" w:sz="2" w:space="0" w:color="C00000"/>
              <w:bottom w:val="double" w:sz="2" w:space="0" w:color="C00000"/>
              <w:right w:val="nil"/>
            </w:tcBorders>
            <w:vAlign w:val="center"/>
          </w:tcPr>
          <w:p w14:paraId="56BDE903" w14:textId="77777777" w:rsidR="008C3A64" w:rsidRPr="00147DD2" w:rsidRDefault="008C3A64" w:rsidP="00FF1F9A">
            <w:pPr>
              <w:jc w:val="right"/>
              <w:rPr>
                <w:spacing w:val="-6"/>
              </w:rPr>
            </w:pPr>
            <w:r w:rsidRPr="00147DD2">
              <w:rPr>
                <w:spacing w:val="-6"/>
              </w:rPr>
              <w:t>22,1 </w:t>
            </w:r>
          </w:p>
        </w:tc>
      </w:tr>
      <w:tr w:rsidR="008C3A64" w:rsidRPr="00147DD2" w14:paraId="58D04285"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0F8DA7B7" w14:textId="77777777" w:rsidR="008C3A64" w:rsidRPr="00147DD2" w:rsidRDefault="008C3A64" w:rsidP="00FF1F9A">
            <w:pPr>
              <w:jc w:val="right"/>
              <w:rPr>
                <w:b/>
                <w:bCs/>
                <w:spacing w:val="-6"/>
              </w:rPr>
            </w:pPr>
            <w:r w:rsidRPr="00147DD2">
              <w:rPr>
                <w:b/>
                <w:bCs/>
                <w:spacing w:val="-6"/>
              </w:rPr>
              <w:t>En hospital</w:t>
            </w:r>
          </w:p>
        </w:tc>
        <w:tc>
          <w:tcPr>
            <w:tcW w:w="929" w:type="dxa"/>
            <w:tcBorders>
              <w:top w:val="double" w:sz="2" w:space="0" w:color="C00000"/>
              <w:left w:val="double" w:sz="2" w:space="0" w:color="C00000"/>
              <w:bottom w:val="double" w:sz="2" w:space="0" w:color="C00000"/>
              <w:right w:val="double" w:sz="2" w:space="0" w:color="C00000"/>
            </w:tcBorders>
            <w:vAlign w:val="center"/>
          </w:tcPr>
          <w:p w14:paraId="4867C38A" w14:textId="77777777" w:rsidR="008C3A64" w:rsidRPr="00147DD2" w:rsidRDefault="008C3A64" w:rsidP="00FF1F9A">
            <w:pPr>
              <w:jc w:val="right"/>
              <w:rPr>
                <w:spacing w:val="-6"/>
              </w:rPr>
            </w:pPr>
            <w:r w:rsidRPr="00147DD2">
              <w:rPr>
                <w:spacing w:val="-6"/>
              </w:rPr>
              <w:t>28.773</w:t>
            </w:r>
          </w:p>
        </w:tc>
        <w:tc>
          <w:tcPr>
            <w:tcW w:w="720" w:type="dxa"/>
            <w:tcBorders>
              <w:top w:val="double" w:sz="2" w:space="0" w:color="C00000"/>
              <w:left w:val="double" w:sz="2" w:space="0" w:color="C00000"/>
              <w:bottom w:val="double" w:sz="2" w:space="0" w:color="C00000"/>
              <w:right w:val="double" w:sz="2" w:space="0" w:color="C00000"/>
            </w:tcBorders>
            <w:vAlign w:val="center"/>
          </w:tcPr>
          <w:p w14:paraId="4FC5577A" w14:textId="77777777" w:rsidR="008C3A64" w:rsidRPr="00147DD2" w:rsidRDefault="008C3A64" w:rsidP="00FF1F9A">
            <w:pPr>
              <w:jc w:val="right"/>
              <w:rPr>
                <w:spacing w:val="-6"/>
              </w:rPr>
            </w:pPr>
            <w:r w:rsidRPr="00147DD2">
              <w:rPr>
                <w:spacing w:val="-6"/>
              </w:rPr>
              <w:t>27,0 </w:t>
            </w:r>
          </w:p>
        </w:tc>
        <w:tc>
          <w:tcPr>
            <w:tcW w:w="896" w:type="dxa"/>
            <w:tcBorders>
              <w:top w:val="double" w:sz="2" w:space="0" w:color="C00000"/>
              <w:left w:val="double" w:sz="2" w:space="0" w:color="C00000"/>
              <w:bottom w:val="double" w:sz="2" w:space="0" w:color="C00000"/>
              <w:right w:val="double" w:sz="2" w:space="0" w:color="C00000"/>
            </w:tcBorders>
            <w:vAlign w:val="center"/>
          </w:tcPr>
          <w:p w14:paraId="60B9D50F" w14:textId="77777777" w:rsidR="008C3A64" w:rsidRPr="00147DD2" w:rsidRDefault="008C3A64" w:rsidP="00FF1F9A">
            <w:pPr>
              <w:jc w:val="right"/>
              <w:rPr>
                <w:spacing w:val="-6"/>
              </w:rPr>
            </w:pPr>
            <w:r w:rsidRPr="00147DD2">
              <w:rPr>
                <w:spacing w:val="-6"/>
              </w:rPr>
              <w:t>35.339</w:t>
            </w:r>
          </w:p>
        </w:tc>
        <w:tc>
          <w:tcPr>
            <w:tcW w:w="714" w:type="dxa"/>
            <w:tcBorders>
              <w:top w:val="double" w:sz="2" w:space="0" w:color="C00000"/>
              <w:left w:val="double" w:sz="2" w:space="0" w:color="C00000"/>
              <w:bottom w:val="double" w:sz="2" w:space="0" w:color="C00000"/>
              <w:right w:val="double" w:sz="2" w:space="0" w:color="C00000"/>
            </w:tcBorders>
            <w:vAlign w:val="center"/>
          </w:tcPr>
          <w:p w14:paraId="542F964F" w14:textId="77777777" w:rsidR="008C3A64" w:rsidRPr="00147DD2" w:rsidRDefault="008C3A64" w:rsidP="00FF1F9A">
            <w:pPr>
              <w:jc w:val="right"/>
              <w:rPr>
                <w:spacing w:val="-6"/>
              </w:rPr>
            </w:pPr>
            <w:r w:rsidRPr="00147DD2">
              <w:rPr>
                <w:spacing w:val="-6"/>
              </w:rPr>
              <w:t>25,4 </w:t>
            </w:r>
          </w:p>
        </w:tc>
        <w:tc>
          <w:tcPr>
            <w:tcW w:w="851" w:type="dxa"/>
            <w:tcBorders>
              <w:top w:val="double" w:sz="2" w:space="0" w:color="C00000"/>
              <w:left w:val="double" w:sz="2" w:space="0" w:color="C00000"/>
              <w:bottom w:val="double" w:sz="2" w:space="0" w:color="C00000"/>
              <w:right w:val="double" w:sz="2" w:space="0" w:color="C00000"/>
            </w:tcBorders>
            <w:vAlign w:val="center"/>
          </w:tcPr>
          <w:p w14:paraId="40A64A30" w14:textId="77777777" w:rsidR="008C3A64" w:rsidRPr="00147DD2" w:rsidRDefault="008C3A64" w:rsidP="00FF1F9A">
            <w:pPr>
              <w:jc w:val="right"/>
              <w:rPr>
                <w:spacing w:val="-6"/>
              </w:rPr>
            </w:pPr>
            <w:r w:rsidRPr="00147DD2">
              <w:rPr>
                <w:spacing w:val="-6"/>
              </w:rPr>
              <w:t>0</w:t>
            </w:r>
          </w:p>
        </w:tc>
        <w:tc>
          <w:tcPr>
            <w:tcW w:w="711" w:type="dxa"/>
            <w:tcBorders>
              <w:top w:val="double" w:sz="2" w:space="0" w:color="C00000"/>
              <w:left w:val="double" w:sz="2" w:space="0" w:color="C00000"/>
              <w:bottom w:val="double" w:sz="2" w:space="0" w:color="C00000"/>
              <w:right w:val="double" w:sz="2" w:space="0" w:color="C00000"/>
            </w:tcBorders>
            <w:vAlign w:val="center"/>
          </w:tcPr>
          <w:p w14:paraId="4678E615" w14:textId="77777777" w:rsidR="008C3A64" w:rsidRPr="00147DD2" w:rsidRDefault="008C3A64" w:rsidP="00FF1F9A">
            <w:pPr>
              <w:jc w:val="right"/>
              <w:rPr>
                <w:spacing w:val="-6"/>
              </w:rPr>
            </w:pPr>
            <w:r w:rsidRPr="00147DD2">
              <w:rPr>
                <w:spacing w:val="-6"/>
              </w:rPr>
              <w:t>0 </w:t>
            </w:r>
          </w:p>
        </w:tc>
        <w:tc>
          <w:tcPr>
            <w:tcW w:w="988" w:type="dxa"/>
            <w:tcBorders>
              <w:top w:val="double" w:sz="2" w:space="0" w:color="C00000"/>
              <w:left w:val="double" w:sz="2" w:space="0" w:color="C00000"/>
              <w:bottom w:val="double" w:sz="2" w:space="0" w:color="C00000"/>
              <w:right w:val="double" w:sz="2" w:space="0" w:color="C00000"/>
            </w:tcBorders>
            <w:vAlign w:val="center"/>
          </w:tcPr>
          <w:p w14:paraId="271F9AE2" w14:textId="77777777" w:rsidR="008C3A64" w:rsidRPr="00147DD2" w:rsidRDefault="008C3A64" w:rsidP="00FF1F9A">
            <w:pPr>
              <w:jc w:val="right"/>
              <w:rPr>
                <w:spacing w:val="-6"/>
              </w:rPr>
            </w:pPr>
            <w:r w:rsidRPr="00147DD2">
              <w:rPr>
                <w:spacing w:val="-6"/>
              </w:rPr>
              <w:t>64.112</w:t>
            </w:r>
          </w:p>
        </w:tc>
        <w:tc>
          <w:tcPr>
            <w:tcW w:w="997" w:type="dxa"/>
            <w:tcBorders>
              <w:top w:val="double" w:sz="2" w:space="0" w:color="C00000"/>
              <w:left w:val="double" w:sz="2" w:space="0" w:color="C00000"/>
              <w:bottom w:val="double" w:sz="2" w:space="0" w:color="C00000"/>
              <w:right w:val="nil"/>
            </w:tcBorders>
            <w:vAlign w:val="center"/>
          </w:tcPr>
          <w:p w14:paraId="02858F1F" w14:textId="77777777" w:rsidR="008C3A64" w:rsidRPr="00147DD2" w:rsidRDefault="008C3A64" w:rsidP="00FF1F9A">
            <w:pPr>
              <w:jc w:val="right"/>
              <w:rPr>
                <w:spacing w:val="-6"/>
              </w:rPr>
            </w:pPr>
            <w:r w:rsidRPr="00147DD2">
              <w:rPr>
                <w:spacing w:val="-6"/>
              </w:rPr>
              <w:t>26,1 </w:t>
            </w:r>
          </w:p>
        </w:tc>
      </w:tr>
      <w:tr w:rsidR="008C3A64" w:rsidRPr="00147DD2" w14:paraId="76EA9288"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4894D33E" w14:textId="77777777" w:rsidR="008C3A64" w:rsidRPr="00147DD2" w:rsidRDefault="008C3A64" w:rsidP="00FF1F9A">
            <w:pPr>
              <w:jc w:val="right"/>
              <w:rPr>
                <w:b/>
                <w:bCs/>
                <w:spacing w:val="-6"/>
              </w:rPr>
            </w:pPr>
            <w:r w:rsidRPr="00147DD2">
              <w:rPr>
                <w:b/>
                <w:bCs/>
                <w:spacing w:val="-6"/>
              </w:rPr>
              <w:t>En tienda</w:t>
            </w:r>
          </w:p>
        </w:tc>
        <w:tc>
          <w:tcPr>
            <w:tcW w:w="929" w:type="dxa"/>
            <w:tcBorders>
              <w:top w:val="double" w:sz="2" w:space="0" w:color="C00000"/>
              <w:left w:val="double" w:sz="2" w:space="0" w:color="C00000"/>
              <w:bottom w:val="double" w:sz="2" w:space="0" w:color="C00000"/>
              <w:right w:val="double" w:sz="2" w:space="0" w:color="C00000"/>
            </w:tcBorders>
            <w:vAlign w:val="center"/>
          </w:tcPr>
          <w:p w14:paraId="1078C3B9" w14:textId="77777777" w:rsidR="008C3A64" w:rsidRPr="00147DD2" w:rsidRDefault="008C3A64" w:rsidP="00FF1F9A">
            <w:pPr>
              <w:jc w:val="right"/>
              <w:rPr>
                <w:spacing w:val="-6"/>
              </w:rPr>
            </w:pPr>
            <w:r w:rsidRPr="00147DD2">
              <w:rPr>
                <w:spacing w:val="-6"/>
              </w:rPr>
              <w:t>35.210</w:t>
            </w:r>
          </w:p>
        </w:tc>
        <w:tc>
          <w:tcPr>
            <w:tcW w:w="720" w:type="dxa"/>
            <w:tcBorders>
              <w:top w:val="double" w:sz="2" w:space="0" w:color="C00000"/>
              <w:left w:val="double" w:sz="2" w:space="0" w:color="C00000"/>
              <w:bottom w:val="double" w:sz="2" w:space="0" w:color="C00000"/>
              <w:right w:val="double" w:sz="2" w:space="0" w:color="C00000"/>
            </w:tcBorders>
            <w:vAlign w:val="center"/>
          </w:tcPr>
          <w:p w14:paraId="03F94DA7" w14:textId="77777777" w:rsidR="008C3A64" w:rsidRPr="00147DD2" w:rsidRDefault="008C3A64" w:rsidP="00FF1F9A">
            <w:pPr>
              <w:jc w:val="right"/>
              <w:rPr>
                <w:spacing w:val="-6"/>
              </w:rPr>
            </w:pPr>
            <w:r w:rsidRPr="00147DD2">
              <w:rPr>
                <w:spacing w:val="-6"/>
              </w:rPr>
              <w:t>33,1 </w:t>
            </w:r>
          </w:p>
        </w:tc>
        <w:tc>
          <w:tcPr>
            <w:tcW w:w="896" w:type="dxa"/>
            <w:tcBorders>
              <w:top w:val="double" w:sz="2" w:space="0" w:color="C00000"/>
              <w:left w:val="double" w:sz="2" w:space="0" w:color="C00000"/>
              <w:bottom w:val="double" w:sz="2" w:space="0" w:color="C00000"/>
              <w:right w:val="double" w:sz="2" w:space="0" w:color="C00000"/>
            </w:tcBorders>
            <w:vAlign w:val="center"/>
          </w:tcPr>
          <w:p w14:paraId="0E24B10D" w14:textId="77777777" w:rsidR="008C3A64" w:rsidRPr="00147DD2" w:rsidRDefault="008C3A64" w:rsidP="00FF1F9A">
            <w:pPr>
              <w:jc w:val="right"/>
              <w:rPr>
                <w:spacing w:val="-6"/>
              </w:rPr>
            </w:pPr>
            <w:r w:rsidRPr="00147DD2">
              <w:rPr>
                <w:spacing w:val="-6"/>
              </w:rPr>
              <w:t>45.883</w:t>
            </w:r>
          </w:p>
        </w:tc>
        <w:tc>
          <w:tcPr>
            <w:tcW w:w="714" w:type="dxa"/>
            <w:tcBorders>
              <w:top w:val="double" w:sz="2" w:space="0" w:color="C00000"/>
              <w:left w:val="double" w:sz="2" w:space="0" w:color="C00000"/>
              <w:bottom w:val="double" w:sz="2" w:space="0" w:color="C00000"/>
              <w:right w:val="double" w:sz="2" w:space="0" w:color="C00000"/>
            </w:tcBorders>
            <w:vAlign w:val="center"/>
          </w:tcPr>
          <w:p w14:paraId="30A8E7BC" w14:textId="77777777" w:rsidR="008C3A64" w:rsidRPr="00147DD2" w:rsidRDefault="008C3A64" w:rsidP="00FF1F9A">
            <w:pPr>
              <w:jc w:val="right"/>
              <w:rPr>
                <w:spacing w:val="-6"/>
              </w:rPr>
            </w:pPr>
            <w:r w:rsidRPr="00147DD2">
              <w:rPr>
                <w:spacing w:val="-6"/>
              </w:rPr>
              <w:t>33,0 </w:t>
            </w:r>
          </w:p>
        </w:tc>
        <w:tc>
          <w:tcPr>
            <w:tcW w:w="851" w:type="dxa"/>
            <w:tcBorders>
              <w:top w:val="double" w:sz="2" w:space="0" w:color="C00000"/>
              <w:left w:val="double" w:sz="2" w:space="0" w:color="C00000"/>
              <w:bottom w:val="double" w:sz="2" w:space="0" w:color="C00000"/>
              <w:right w:val="double" w:sz="2" w:space="0" w:color="C00000"/>
            </w:tcBorders>
            <w:vAlign w:val="center"/>
          </w:tcPr>
          <w:p w14:paraId="5ACEF0FC" w14:textId="77777777" w:rsidR="008C3A64" w:rsidRPr="00147DD2" w:rsidRDefault="008C3A64" w:rsidP="00FF1F9A">
            <w:pPr>
              <w:jc w:val="right"/>
              <w:rPr>
                <w:spacing w:val="-6"/>
              </w:rPr>
            </w:pPr>
            <w:r w:rsidRPr="00147DD2">
              <w:rPr>
                <w:spacing w:val="-6"/>
              </w:rPr>
              <w:t>0</w:t>
            </w:r>
          </w:p>
        </w:tc>
        <w:tc>
          <w:tcPr>
            <w:tcW w:w="711" w:type="dxa"/>
            <w:tcBorders>
              <w:top w:val="double" w:sz="2" w:space="0" w:color="C00000"/>
              <w:left w:val="double" w:sz="2" w:space="0" w:color="C00000"/>
              <w:bottom w:val="double" w:sz="2" w:space="0" w:color="C00000"/>
              <w:right w:val="double" w:sz="2" w:space="0" w:color="C00000"/>
            </w:tcBorders>
            <w:vAlign w:val="center"/>
          </w:tcPr>
          <w:p w14:paraId="4FFFDDA5" w14:textId="77777777" w:rsidR="008C3A64" w:rsidRPr="00147DD2" w:rsidRDefault="008C3A64" w:rsidP="00FF1F9A">
            <w:pPr>
              <w:jc w:val="right"/>
              <w:rPr>
                <w:spacing w:val="-6"/>
              </w:rPr>
            </w:pPr>
            <w:r w:rsidRPr="00147DD2">
              <w:rPr>
                <w:spacing w:val="-6"/>
              </w:rPr>
              <w:t>0 </w:t>
            </w:r>
          </w:p>
        </w:tc>
        <w:tc>
          <w:tcPr>
            <w:tcW w:w="988" w:type="dxa"/>
            <w:tcBorders>
              <w:top w:val="double" w:sz="2" w:space="0" w:color="C00000"/>
              <w:left w:val="double" w:sz="2" w:space="0" w:color="C00000"/>
              <w:bottom w:val="double" w:sz="2" w:space="0" w:color="C00000"/>
              <w:right w:val="double" w:sz="2" w:space="0" w:color="C00000"/>
            </w:tcBorders>
            <w:vAlign w:val="center"/>
          </w:tcPr>
          <w:p w14:paraId="25E6E493" w14:textId="77777777" w:rsidR="008C3A64" w:rsidRPr="00147DD2" w:rsidRDefault="008C3A64" w:rsidP="00FF1F9A">
            <w:pPr>
              <w:jc w:val="right"/>
              <w:rPr>
                <w:spacing w:val="-6"/>
              </w:rPr>
            </w:pPr>
            <w:r w:rsidRPr="00147DD2">
              <w:rPr>
                <w:spacing w:val="-6"/>
              </w:rPr>
              <w:t>81.093</w:t>
            </w:r>
          </w:p>
        </w:tc>
        <w:tc>
          <w:tcPr>
            <w:tcW w:w="997" w:type="dxa"/>
            <w:tcBorders>
              <w:top w:val="double" w:sz="2" w:space="0" w:color="C00000"/>
              <w:left w:val="double" w:sz="2" w:space="0" w:color="C00000"/>
              <w:bottom w:val="double" w:sz="2" w:space="0" w:color="C00000"/>
              <w:right w:val="nil"/>
            </w:tcBorders>
            <w:vAlign w:val="center"/>
          </w:tcPr>
          <w:p w14:paraId="25DBA8E1" w14:textId="77777777" w:rsidR="008C3A64" w:rsidRPr="00147DD2" w:rsidRDefault="008C3A64" w:rsidP="00FF1F9A">
            <w:pPr>
              <w:jc w:val="right"/>
              <w:rPr>
                <w:spacing w:val="-6"/>
              </w:rPr>
            </w:pPr>
            <w:r w:rsidRPr="00147DD2">
              <w:rPr>
                <w:spacing w:val="-6"/>
              </w:rPr>
              <w:t>33,0 </w:t>
            </w:r>
          </w:p>
        </w:tc>
      </w:tr>
      <w:tr w:rsidR="008C3A64" w:rsidRPr="00147DD2" w14:paraId="4638C99D" w14:textId="77777777" w:rsidTr="00F64BED">
        <w:trPr>
          <w:trHeight w:val="340"/>
        </w:trPr>
        <w:tc>
          <w:tcPr>
            <w:tcW w:w="1983" w:type="dxa"/>
            <w:tcBorders>
              <w:top w:val="double" w:sz="2" w:space="0" w:color="C00000"/>
              <w:left w:val="nil"/>
              <w:bottom w:val="double" w:sz="2" w:space="0" w:color="C00000"/>
              <w:right w:val="double" w:sz="2" w:space="0" w:color="C00000"/>
            </w:tcBorders>
            <w:vAlign w:val="center"/>
          </w:tcPr>
          <w:p w14:paraId="20046099" w14:textId="77777777" w:rsidR="008C3A64" w:rsidRPr="00147DD2" w:rsidRDefault="008C3A64" w:rsidP="00FF1F9A">
            <w:pPr>
              <w:jc w:val="right"/>
              <w:rPr>
                <w:b/>
                <w:bCs/>
                <w:spacing w:val="-6"/>
              </w:rPr>
            </w:pPr>
            <w:r w:rsidRPr="00147DD2">
              <w:rPr>
                <w:b/>
                <w:bCs/>
                <w:spacing w:val="-6"/>
              </w:rPr>
              <w:t>Otras</w:t>
            </w:r>
          </w:p>
        </w:tc>
        <w:tc>
          <w:tcPr>
            <w:tcW w:w="929" w:type="dxa"/>
            <w:tcBorders>
              <w:top w:val="double" w:sz="2" w:space="0" w:color="C00000"/>
              <w:left w:val="double" w:sz="2" w:space="0" w:color="C00000"/>
              <w:bottom w:val="double" w:sz="2" w:space="0" w:color="C00000"/>
              <w:right w:val="double" w:sz="2" w:space="0" w:color="C00000"/>
            </w:tcBorders>
            <w:vAlign w:val="center"/>
          </w:tcPr>
          <w:p w14:paraId="62FA845A" w14:textId="77777777" w:rsidR="008C3A64" w:rsidRPr="00147DD2" w:rsidRDefault="008C3A64" w:rsidP="00FF1F9A">
            <w:pPr>
              <w:jc w:val="right"/>
              <w:rPr>
                <w:spacing w:val="-6"/>
              </w:rPr>
            </w:pPr>
            <w:r w:rsidRPr="00147DD2">
              <w:rPr>
                <w:spacing w:val="-6"/>
              </w:rPr>
              <w:t>16.968</w:t>
            </w:r>
          </w:p>
        </w:tc>
        <w:tc>
          <w:tcPr>
            <w:tcW w:w="720" w:type="dxa"/>
            <w:tcBorders>
              <w:top w:val="double" w:sz="2" w:space="0" w:color="C00000"/>
              <w:left w:val="double" w:sz="2" w:space="0" w:color="C00000"/>
              <w:bottom w:val="double" w:sz="2" w:space="0" w:color="C00000"/>
              <w:right w:val="double" w:sz="2" w:space="0" w:color="C00000"/>
            </w:tcBorders>
            <w:vAlign w:val="center"/>
          </w:tcPr>
          <w:p w14:paraId="3FB4686E" w14:textId="77777777" w:rsidR="008C3A64" w:rsidRPr="00147DD2" w:rsidRDefault="008C3A64" w:rsidP="00FF1F9A">
            <w:pPr>
              <w:jc w:val="right"/>
              <w:rPr>
                <w:spacing w:val="-6"/>
              </w:rPr>
            </w:pPr>
            <w:r w:rsidRPr="00147DD2">
              <w:rPr>
                <w:spacing w:val="-6"/>
              </w:rPr>
              <w:t>15,9 </w:t>
            </w:r>
          </w:p>
        </w:tc>
        <w:tc>
          <w:tcPr>
            <w:tcW w:w="896" w:type="dxa"/>
            <w:tcBorders>
              <w:top w:val="double" w:sz="2" w:space="0" w:color="C00000"/>
              <w:left w:val="double" w:sz="2" w:space="0" w:color="C00000"/>
              <w:bottom w:val="double" w:sz="2" w:space="0" w:color="C00000"/>
              <w:right w:val="double" w:sz="2" w:space="0" w:color="C00000"/>
            </w:tcBorders>
            <w:vAlign w:val="center"/>
          </w:tcPr>
          <w:p w14:paraId="071727D8" w14:textId="77777777" w:rsidR="008C3A64" w:rsidRPr="00147DD2" w:rsidRDefault="008C3A64" w:rsidP="00FF1F9A">
            <w:pPr>
              <w:jc w:val="right"/>
              <w:rPr>
                <w:spacing w:val="-6"/>
              </w:rPr>
            </w:pPr>
            <w:r w:rsidRPr="00147DD2">
              <w:rPr>
                <w:spacing w:val="-6"/>
              </w:rPr>
              <w:t>19.355</w:t>
            </w:r>
          </w:p>
        </w:tc>
        <w:tc>
          <w:tcPr>
            <w:tcW w:w="714" w:type="dxa"/>
            <w:tcBorders>
              <w:top w:val="double" w:sz="2" w:space="0" w:color="C00000"/>
              <w:left w:val="double" w:sz="2" w:space="0" w:color="C00000"/>
              <w:bottom w:val="double" w:sz="2" w:space="0" w:color="C00000"/>
              <w:right w:val="double" w:sz="2" w:space="0" w:color="C00000"/>
            </w:tcBorders>
            <w:vAlign w:val="center"/>
          </w:tcPr>
          <w:p w14:paraId="1E6041D1" w14:textId="77777777" w:rsidR="008C3A64" w:rsidRPr="00147DD2" w:rsidRDefault="008C3A64" w:rsidP="00FF1F9A">
            <w:pPr>
              <w:jc w:val="right"/>
              <w:rPr>
                <w:spacing w:val="-6"/>
              </w:rPr>
            </w:pPr>
            <w:r w:rsidRPr="00147DD2">
              <w:rPr>
                <w:spacing w:val="-6"/>
              </w:rPr>
              <w:t>13,9 </w:t>
            </w:r>
          </w:p>
        </w:tc>
        <w:tc>
          <w:tcPr>
            <w:tcW w:w="851" w:type="dxa"/>
            <w:tcBorders>
              <w:top w:val="double" w:sz="2" w:space="0" w:color="C00000"/>
              <w:left w:val="double" w:sz="2" w:space="0" w:color="C00000"/>
              <w:bottom w:val="double" w:sz="2" w:space="0" w:color="C00000"/>
              <w:right w:val="double" w:sz="2" w:space="0" w:color="C00000"/>
            </w:tcBorders>
            <w:vAlign w:val="center"/>
          </w:tcPr>
          <w:p w14:paraId="6DC9B92D" w14:textId="77777777" w:rsidR="008C3A64" w:rsidRPr="00147DD2" w:rsidRDefault="008C3A64" w:rsidP="00FF1F9A">
            <w:pPr>
              <w:jc w:val="right"/>
              <w:rPr>
                <w:spacing w:val="-6"/>
              </w:rPr>
            </w:pPr>
            <w:r w:rsidRPr="00147DD2">
              <w:rPr>
                <w:spacing w:val="-6"/>
              </w:rPr>
              <w:t>0</w:t>
            </w:r>
          </w:p>
        </w:tc>
        <w:tc>
          <w:tcPr>
            <w:tcW w:w="711" w:type="dxa"/>
            <w:tcBorders>
              <w:top w:val="double" w:sz="2" w:space="0" w:color="C00000"/>
              <w:left w:val="double" w:sz="2" w:space="0" w:color="C00000"/>
              <w:bottom w:val="double" w:sz="2" w:space="0" w:color="C00000"/>
              <w:right w:val="double" w:sz="2" w:space="0" w:color="C00000"/>
            </w:tcBorders>
            <w:vAlign w:val="center"/>
          </w:tcPr>
          <w:p w14:paraId="6ED1F3C6" w14:textId="77777777" w:rsidR="008C3A64" w:rsidRPr="00147DD2" w:rsidRDefault="008C3A64" w:rsidP="00FF1F9A">
            <w:pPr>
              <w:jc w:val="right"/>
              <w:rPr>
                <w:spacing w:val="-6"/>
              </w:rPr>
            </w:pPr>
            <w:r w:rsidRPr="00147DD2">
              <w:rPr>
                <w:spacing w:val="-6"/>
              </w:rPr>
              <w:t>0 </w:t>
            </w:r>
          </w:p>
        </w:tc>
        <w:tc>
          <w:tcPr>
            <w:tcW w:w="988" w:type="dxa"/>
            <w:tcBorders>
              <w:top w:val="double" w:sz="2" w:space="0" w:color="C00000"/>
              <w:left w:val="double" w:sz="2" w:space="0" w:color="C00000"/>
              <w:bottom w:val="double" w:sz="2" w:space="0" w:color="C00000"/>
              <w:right w:val="double" w:sz="2" w:space="0" w:color="C00000"/>
            </w:tcBorders>
            <w:vAlign w:val="center"/>
          </w:tcPr>
          <w:p w14:paraId="0781D9A9" w14:textId="77777777" w:rsidR="008C3A64" w:rsidRPr="00147DD2" w:rsidRDefault="008C3A64" w:rsidP="00FF1F9A">
            <w:pPr>
              <w:jc w:val="right"/>
              <w:rPr>
                <w:spacing w:val="-6"/>
              </w:rPr>
            </w:pPr>
            <w:r w:rsidRPr="00147DD2">
              <w:rPr>
                <w:spacing w:val="-6"/>
              </w:rPr>
              <w:t>36.323</w:t>
            </w:r>
          </w:p>
        </w:tc>
        <w:tc>
          <w:tcPr>
            <w:tcW w:w="997" w:type="dxa"/>
            <w:tcBorders>
              <w:top w:val="double" w:sz="2" w:space="0" w:color="C00000"/>
              <w:left w:val="double" w:sz="2" w:space="0" w:color="C00000"/>
              <w:bottom w:val="double" w:sz="2" w:space="0" w:color="C00000"/>
              <w:right w:val="nil"/>
            </w:tcBorders>
            <w:vAlign w:val="center"/>
          </w:tcPr>
          <w:p w14:paraId="1B87DD12" w14:textId="77777777" w:rsidR="008C3A64" w:rsidRPr="00147DD2" w:rsidRDefault="008C3A64" w:rsidP="00FF1F9A">
            <w:pPr>
              <w:jc w:val="right"/>
              <w:rPr>
                <w:spacing w:val="-6"/>
              </w:rPr>
            </w:pPr>
            <w:r w:rsidRPr="00147DD2">
              <w:rPr>
                <w:spacing w:val="-6"/>
              </w:rPr>
              <w:t>14,8 </w:t>
            </w:r>
          </w:p>
        </w:tc>
      </w:tr>
      <w:tr w:rsidR="008C3A64" w:rsidRPr="00147DD2" w14:paraId="10B90444" w14:textId="77777777" w:rsidTr="000176EC">
        <w:trPr>
          <w:trHeight w:val="340"/>
        </w:trPr>
        <w:tc>
          <w:tcPr>
            <w:tcW w:w="1983" w:type="dxa"/>
            <w:tcBorders>
              <w:top w:val="double" w:sz="2" w:space="0" w:color="C00000"/>
              <w:left w:val="nil"/>
              <w:bottom w:val="double" w:sz="2" w:space="0" w:color="C00000"/>
              <w:right w:val="double" w:sz="2" w:space="0" w:color="C00000"/>
            </w:tcBorders>
            <w:vAlign w:val="center"/>
          </w:tcPr>
          <w:p w14:paraId="0B9B7038" w14:textId="77777777" w:rsidR="008C3A64" w:rsidRPr="00147DD2" w:rsidRDefault="008C3A64" w:rsidP="00FF1F9A">
            <w:pPr>
              <w:jc w:val="right"/>
              <w:rPr>
                <w:b/>
                <w:bCs/>
                <w:spacing w:val="-6"/>
              </w:rPr>
            </w:pPr>
            <w:r w:rsidRPr="00147DD2">
              <w:rPr>
                <w:b/>
                <w:bCs/>
                <w:spacing w:val="-6"/>
              </w:rPr>
              <w:t>Ninguna</w:t>
            </w:r>
          </w:p>
        </w:tc>
        <w:tc>
          <w:tcPr>
            <w:tcW w:w="929" w:type="dxa"/>
            <w:tcBorders>
              <w:top w:val="double" w:sz="2" w:space="0" w:color="C00000"/>
              <w:left w:val="double" w:sz="2" w:space="0" w:color="C00000"/>
              <w:bottom w:val="double" w:sz="2" w:space="0" w:color="C00000"/>
              <w:right w:val="double" w:sz="2" w:space="0" w:color="C00000"/>
            </w:tcBorders>
            <w:vAlign w:val="center"/>
          </w:tcPr>
          <w:p w14:paraId="652CC233" w14:textId="77777777" w:rsidR="008C3A64" w:rsidRPr="00147DD2" w:rsidRDefault="008C3A64" w:rsidP="00FF1F9A">
            <w:pPr>
              <w:jc w:val="right"/>
              <w:rPr>
                <w:spacing w:val="-6"/>
              </w:rPr>
            </w:pPr>
            <w:r w:rsidRPr="00147DD2">
              <w:rPr>
                <w:spacing w:val="-6"/>
              </w:rPr>
              <w:t>4.558</w:t>
            </w:r>
          </w:p>
        </w:tc>
        <w:tc>
          <w:tcPr>
            <w:tcW w:w="720" w:type="dxa"/>
            <w:tcBorders>
              <w:top w:val="double" w:sz="2" w:space="0" w:color="C00000"/>
              <w:left w:val="double" w:sz="2" w:space="0" w:color="C00000"/>
              <w:bottom w:val="double" w:sz="2" w:space="0" w:color="C00000"/>
              <w:right w:val="double" w:sz="2" w:space="0" w:color="C00000"/>
            </w:tcBorders>
            <w:vAlign w:val="center"/>
          </w:tcPr>
          <w:p w14:paraId="0122FEAA" w14:textId="77777777" w:rsidR="008C3A64" w:rsidRPr="00147DD2" w:rsidRDefault="008C3A64" w:rsidP="00FF1F9A">
            <w:pPr>
              <w:jc w:val="right"/>
              <w:rPr>
                <w:spacing w:val="-6"/>
              </w:rPr>
            </w:pPr>
            <w:r w:rsidRPr="00147DD2">
              <w:rPr>
                <w:spacing w:val="-6"/>
              </w:rPr>
              <w:t>4,3 </w:t>
            </w:r>
          </w:p>
        </w:tc>
        <w:tc>
          <w:tcPr>
            <w:tcW w:w="896" w:type="dxa"/>
            <w:tcBorders>
              <w:top w:val="double" w:sz="2" w:space="0" w:color="C00000"/>
              <w:left w:val="double" w:sz="2" w:space="0" w:color="C00000"/>
              <w:bottom w:val="double" w:sz="2" w:space="0" w:color="C00000"/>
              <w:right w:val="double" w:sz="2" w:space="0" w:color="C00000"/>
            </w:tcBorders>
            <w:vAlign w:val="center"/>
          </w:tcPr>
          <w:p w14:paraId="369074F5" w14:textId="77777777" w:rsidR="008C3A64" w:rsidRPr="00147DD2" w:rsidRDefault="008C3A64" w:rsidP="00FF1F9A">
            <w:pPr>
              <w:jc w:val="right"/>
              <w:rPr>
                <w:spacing w:val="-6"/>
              </w:rPr>
            </w:pPr>
            <w:r w:rsidRPr="00147DD2">
              <w:rPr>
                <w:spacing w:val="-6"/>
              </w:rPr>
              <w:t>3.291</w:t>
            </w:r>
          </w:p>
        </w:tc>
        <w:tc>
          <w:tcPr>
            <w:tcW w:w="714" w:type="dxa"/>
            <w:tcBorders>
              <w:top w:val="double" w:sz="2" w:space="0" w:color="C00000"/>
              <w:left w:val="double" w:sz="2" w:space="0" w:color="C00000"/>
              <w:bottom w:val="double" w:sz="2" w:space="0" w:color="C00000"/>
              <w:right w:val="double" w:sz="2" w:space="0" w:color="C00000"/>
            </w:tcBorders>
            <w:vAlign w:val="center"/>
          </w:tcPr>
          <w:p w14:paraId="5EE3B37E" w14:textId="77777777" w:rsidR="008C3A64" w:rsidRPr="00147DD2" w:rsidRDefault="008C3A64" w:rsidP="00FF1F9A">
            <w:pPr>
              <w:jc w:val="right"/>
              <w:rPr>
                <w:spacing w:val="-6"/>
              </w:rPr>
            </w:pPr>
            <w:r w:rsidRPr="00147DD2">
              <w:rPr>
                <w:spacing w:val="-6"/>
              </w:rPr>
              <w:t>2,4 </w:t>
            </w:r>
          </w:p>
        </w:tc>
        <w:tc>
          <w:tcPr>
            <w:tcW w:w="851" w:type="dxa"/>
            <w:tcBorders>
              <w:top w:val="double" w:sz="2" w:space="0" w:color="C00000"/>
              <w:left w:val="double" w:sz="2" w:space="0" w:color="C00000"/>
              <w:bottom w:val="double" w:sz="2" w:space="0" w:color="C00000"/>
              <w:right w:val="double" w:sz="2" w:space="0" w:color="C00000"/>
            </w:tcBorders>
            <w:vAlign w:val="center"/>
          </w:tcPr>
          <w:p w14:paraId="6069E1EE" w14:textId="77777777" w:rsidR="008C3A64" w:rsidRPr="00147DD2" w:rsidRDefault="008C3A64" w:rsidP="00FF1F9A">
            <w:pPr>
              <w:jc w:val="right"/>
              <w:rPr>
                <w:spacing w:val="-6"/>
              </w:rPr>
            </w:pPr>
            <w:r w:rsidRPr="00147DD2">
              <w:rPr>
                <w:spacing w:val="-6"/>
              </w:rPr>
              <w:t>0</w:t>
            </w:r>
          </w:p>
        </w:tc>
        <w:tc>
          <w:tcPr>
            <w:tcW w:w="711" w:type="dxa"/>
            <w:tcBorders>
              <w:top w:val="double" w:sz="2" w:space="0" w:color="C00000"/>
              <w:left w:val="double" w:sz="2" w:space="0" w:color="C00000"/>
              <w:bottom w:val="double" w:sz="2" w:space="0" w:color="C00000"/>
              <w:right w:val="double" w:sz="4" w:space="0" w:color="C00000"/>
            </w:tcBorders>
            <w:vAlign w:val="center"/>
          </w:tcPr>
          <w:p w14:paraId="590D5CA6" w14:textId="77777777" w:rsidR="008C3A64" w:rsidRPr="00147DD2" w:rsidRDefault="008C3A64" w:rsidP="00FF1F9A">
            <w:pPr>
              <w:jc w:val="right"/>
              <w:rPr>
                <w:spacing w:val="-6"/>
              </w:rPr>
            </w:pPr>
            <w:r w:rsidRPr="00147DD2">
              <w:rPr>
                <w:spacing w:val="-6"/>
              </w:rPr>
              <w:t>0 </w:t>
            </w:r>
          </w:p>
        </w:tc>
        <w:tc>
          <w:tcPr>
            <w:tcW w:w="988" w:type="dxa"/>
            <w:tcBorders>
              <w:top w:val="double" w:sz="2" w:space="0" w:color="C00000"/>
              <w:left w:val="double" w:sz="4" w:space="0" w:color="C00000"/>
              <w:bottom w:val="double" w:sz="2" w:space="0" w:color="C00000"/>
              <w:right w:val="double" w:sz="2" w:space="0" w:color="C00000"/>
            </w:tcBorders>
            <w:vAlign w:val="center"/>
          </w:tcPr>
          <w:p w14:paraId="70A82970" w14:textId="77777777" w:rsidR="008C3A64" w:rsidRPr="00147DD2" w:rsidRDefault="008C3A64" w:rsidP="00FF1F9A">
            <w:pPr>
              <w:jc w:val="right"/>
              <w:rPr>
                <w:spacing w:val="-6"/>
              </w:rPr>
            </w:pPr>
            <w:r w:rsidRPr="00147DD2">
              <w:rPr>
                <w:spacing w:val="-6"/>
              </w:rPr>
              <w:t>7.849</w:t>
            </w:r>
          </w:p>
        </w:tc>
        <w:tc>
          <w:tcPr>
            <w:tcW w:w="997" w:type="dxa"/>
            <w:tcBorders>
              <w:top w:val="double" w:sz="2" w:space="0" w:color="C00000"/>
              <w:left w:val="double" w:sz="2" w:space="0" w:color="C00000"/>
              <w:bottom w:val="double" w:sz="2" w:space="0" w:color="C00000"/>
              <w:right w:val="nil"/>
            </w:tcBorders>
            <w:vAlign w:val="center"/>
          </w:tcPr>
          <w:p w14:paraId="7E4AA56B" w14:textId="77777777" w:rsidR="008C3A64" w:rsidRPr="00147DD2" w:rsidRDefault="008C3A64" w:rsidP="00FF1F9A">
            <w:pPr>
              <w:jc w:val="right"/>
              <w:rPr>
                <w:spacing w:val="-6"/>
              </w:rPr>
            </w:pPr>
            <w:r w:rsidRPr="00147DD2">
              <w:rPr>
                <w:spacing w:val="-6"/>
              </w:rPr>
              <w:t>3,2 </w:t>
            </w:r>
          </w:p>
        </w:tc>
      </w:tr>
      <w:tr w:rsidR="00F64BED" w:rsidRPr="00147DD2" w14:paraId="545E3C03" w14:textId="23FE64DB" w:rsidTr="000176EC">
        <w:trPr>
          <w:trHeight w:val="915"/>
        </w:trPr>
        <w:tc>
          <w:tcPr>
            <w:tcW w:w="1983" w:type="dxa"/>
            <w:tcBorders>
              <w:top w:val="double" w:sz="2" w:space="0" w:color="C00000"/>
              <w:left w:val="nil"/>
              <w:bottom w:val="double" w:sz="2" w:space="0" w:color="C00000"/>
              <w:right w:val="double" w:sz="2" w:space="0" w:color="C00000"/>
            </w:tcBorders>
            <w:shd w:val="clear" w:color="auto" w:fill="C00000"/>
            <w:vAlign w:val="center"/>
          </w:tcPr>
          <w:p w14:paraId="4B26CF0C" w14:textId="77777777" w:rsidR="00F64BED" w:rsidRDefault="00F64BED" w:rsidP="00FF1F9A">
            <w:pPr>
              <w:jc w:val="right"/>
              <w:rPr>
                <w:b/>
                <w:bCs/>
                <w:color w:val="FFFFFF" w:themeColor="background1"/>
                <w:spacing w:val="-6"/>
              </w:rPr>
            </w:pPr>
            <w:r w:rsidRPr="00147DD2">
              <w:rPr>
                <w:b/>
                <w:bCs/>
                <w:color w:val="FFFFFF" w:themeColor="background1"/>
                <w:spacing w:val="-6"/>
              </w:rPr>
              <w:t>Total población con discapacidad</w:t>
            </w:r>
          </w:p>
          <w:p w14:paraId="24E56B10" w14:textId="3D44E459" w:rsidR="005376BC" w:rsidRPr="005376BC" w:rsidRDefault="005376BC" w:rsidP="00FF1F9A">
            <w:pPr>
              <w:jc w:val="right"/>
              <w:rPr>
                <w:i/>
                <w:iCs/>
                <w:spacing w:val="-6"/>
                <w:sz w:val="18"/>
                <w:szCs w:val="18"/>
              </w:rPr>
            </w:pPr>
            <w:r w:rsidRPr="005376BC">
              <w:rPr>
                <w:i/>
                <w:iCs/>
                <w:color w:val="FFFFFF" w:themeColor="background1"/>
                <w:spacing w:val="-6"/>
                <w:sz w:val="18"/>
                <w:szCs w:val="18"/>
              </w:rPr>
              <w:t>(personas únicas)</w:t>
            </w:r>
          </w:p>
        </w:tc>
        <w:tc>
          <w:tcPr>
            <w:tcW w:w="1649" w:type="dxa"/>
            <w:gridSpan w:val="2"/>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10490DCC" w14:textId="77777777" w:rsidR="00F64BED" w:rsidRPr="00147DD2" w:rsidRDefault="00F64BED" w:rsidP="00FF1F9A">
            <w:pPr>
              <w:jc w:val="right"/>
              <w:rPr>
                <w:b/>
                <w:bCs/>
                <w:spacing w:val="-6"/>
              </w:rPr>
            </w:pPr>
            <w:r w:rsidRPr="00147DD2">
              <w:rPr>
                <w:b/>
                <w:bCs/>
                <w:spacing w:val="-6"/>
              </w:rPr>
              <w:t>106.454</w:t>
            </w:r>
          </w:p>
        </w:tc>
        <w:tc>
          <w:tcPr>
            <w:tcW w:w="1610" w:type="dxa"/>
            <w:gridSpan w:val="2"/>
            <w:tcBorders>
              <w:top w:val="double" w:sz="2" w:space="0" w:color="C00000"/>
              <w:left w:val="double" w:sz="2" w:space="0" w:color="C00000"/>
              <w:bottom w:val="double" w:sz="2" w:space="0" w:color="C00000"/>
              <w:right w:val="double" w:sz="2" w:space="0" w:color="C00000"/>
            </w:tcBorders>
            <w:shd w:val="clear" w:color="auto" w:fill="D0CECE" w:themeFill="background2" w:themeFillShade="E6"/>
            <w:vAlign w:val="center"/>
          </w:tcPr>
          <w:p w14:paraId="5DA2FB70" w14:textId="77777777" w:rsidR="00F64BED" w:rsidRPr="00147DD2" w:rsidRDefault="00F64BED" w:rsidP="00FF1F9A">
            <w:pPr>
              <w:jc w:val="right"/>
              <w:rPr>
                <w:b/>
                <w:bCs/>
                <w:spacing w:val="-6"/>
              </w:rPr>
            </w:pPr>
            <w:r w:rsidRPr="00147DD2">
              <w:rPr>
                <w:b/>
                <w:bCs/>
                <w:spacing w:val="-6"/>
              </w:rPr>
              <w:t>138.917</w:t>
            </w:r>
          </w:p>
        </w:tc>
        <w:tc>
          <w:tcPr>
            <w:tcW w:w="1562" w:type="dxa"/>
            <w:gridSpan w:val="2"/>
            <w:tcBorders>
              <w:top w:val="double" w:sz="2" w:space="0" w:color="C00000"/>
              <w:left w:val="double" w:sz="2" w:space="0" w:color="C00000"/>
              <w:bottom w:val="double" w:sz="2" w:space="0" w:color="C00000"/>
              <w:right w:val="double" w:sz="4" w:space="0" w:color="C00000"/>
            </w:tcBorders>
            <w:shd w:val="clear" w:color="auto" w:fill="D0CECE" w:themeFill="background2" w:themeFillShade="E6"/>
            <w:vAlign w:val="center"/>
          </w:tcPr>
          <w:p w14:paraId="791FCF3C" w14:textId="59F081DC" w:rsidR="00F64BED" w:rsidRPr="00147DD2" w:rsidRDefault="00F64BED" w:rsidP="00B352AA">
            <w:pPr>
              <w:jc w:val="right"/>
              <w:rPr>
                <w:b/>
                <w:bCs/>
                <w:spacing w:val="-6"/>
              </w:rPr>
            </w:pPr>
            <w:r w:rsidRPr="00147DD2">
              <w:rPr>
                <w:b/>
                <w:bCs/>
                <w:spacing w:val="-6"/>
              </w:rPr>
              <w:t>1</w:t>
            </w:r>
          </w:p>
        </w:tc>
        <w:tc>
          <w:tcPr>
            <w:tcW w:w="1985" w:type="dxa"/>
            <w:gridSpan w:val="2"/>
            <w:tcBorders>
              <w:top w:val="double" w:sz="2" w:space="0" w:color="C00000"/>
              <w:left w:val="double" w:sz="4" w:space="0" w:color="C00000"/>
              <w:bottom w:val="double" w:sz="2" w:space="0" w:color="C00000"/>
              <w:right w:val="nil"/>
            </w:tcBorders>
            <w:shd w:val="clear" w:color="auto" w:fill="D0CECE" w:themeFill="background2" w:themeFillShade="E6"/>
            <w:vAlign w:val="center"/>
          </w:tcPr>
          <w:p w14:paraId="716FD9C8" w14:textId="6EB561C8" w:rsidR="00F64BED" w:rsidRPr="00147DD2" w:rsidRDefault="00F64BED" w:rsidP="00B352AA">
            <w:pPr>
              <w:jc w:val="right"/>
              <w:rPr>
                <w:b/>
                <w:bCs/>
                <w:spacing w:val="-6"/>
              </w:rPr>
            </w:pPr>
            <w:r w:rsidRPr="00147DD2">
              <w:rPr>
                <w:b/>
                <w:bCs/>
                <w:spacing w:val="-6"/>
              </w:rPr>
              <w:t>245.37</w:t>
            </w:r>
            <w:r w:rsidR="00B352AA">
              <w:rPr>
                <w:b/>
                <w:bCs/>
                <w:spacing w:val="-6"/>
              </w:rPr>
              <w:t>2</w:t>
            </w:r>
          </w:p>
        </w:tc>
      </w:tr>
    </w:tbl>
    <w:p w14:paraId="3E312BD0" w14:textId="77777777" w:rsidR="008C3A64" w:rsidRPr="005A31BC" w:rsidRDefault="008C3A64" w:rsidP="008C3A64">
      <w:pPr>
        <w:pStyle w:val="figuratitulo"/>
        <w:rPr>
          <w:color w:val="3B3838" w:themeColor="background2" w:themeShade="40"/>
          <w:spacing w:val="-6"/>
        </w:rPr>
      </w:pPr>
      <w:r w:rsidRPr="005A31BC">
        <w:rPr>
          <w:b/>
          <w:bCs/>
          <w:color w:val="3B3838" w:themeColor="background2" w:themeShade="40"/>
          <w:spacing w:val="-6"/>
        </w:rPr>
        <w:t>PcD:</w:t>
      </w:r>
      <w:r w:rsidRPr="005A31BC">
        <w:rPr>
          <w:color w:val="3B3838" w:themeColor="background2" w:themeShade="40"/>
          <w:spacing w:val="-6"/>
        </w:rPr>
        <w:t xml:space="preserve"> población con discapacidad.</w:t>
      </w:r>
    </w:p>
    <w:p w14:paraId="7F6A938A" w14:textId="77777777" w:rsidR="008C3A64" w:rsidRPr="005A31BC" w:rsidRDefault="008C3A64" w:rsidP="008C3A64">
      <w:pPr>
        <w:pStyle w:val="figuratitulo"/>
        <w:rPr>
          <w:color w:val="3B3838" w:themeColor="background2" w:themeShade="40"/>
          <w:spacing w:val="-6"/>
        </w:rPr>
      </w:pPr>
      <w:r w:rsidRPr="005A31BC">
        <w:rPr>
          <w:b/>
          <w:bCs/>
          <w:color w:val="3B3838" w:themeColor="background2" w:themeShade="40"/>
          <w:spacing w:val="-6"/>
        </w:rPr>
        <w:t>Fuente:</w:t>
      </w:r>
      <w:r w:rsidRPr="005A31BC">
        <w:rPr>
          <w:color w:val="3B3838" w:themeColor="background2" w:themeShade="40"/>
          <w:spacing w:val="-6"/>
        </w:rPr>
        <w:t xml:space="preserve"> Registro para la Localización y Caracterización de Personas con Discapacidad, Ministerio de Salud </w:t>
      </w:r>
    </w:p>
    <w:p w14:paraId="36AB1230" w14:textId="77777777" w:rsidR="008C3A64" w:rsidRPr="005A31BC" w:rsidRDefault="008C3A64" w:rsidP="008C3A64">
      <w:pPr>
        <w:pStyle w:val="figuratitulo"/>
        <w:rPr>
          <w:color w:val="3B3838" w:themeColor="background2" w:themeShade="40"/>
          <w:spacing w:val="-6"/>
        </w:rPr>
      </w:pPr>
      <w:r w:rsidRPr="005A31BC">
        <w:rPr>
          <w:color w:val="3B3838" w:themeColor="background2" w:themeShade="40"/>
          <w:spacing w:val="-6"/>
        </w:rPr>
        <w:lastRenderedPageBreak/>
        <w:t xml:space="preserve">y Protección Social, Secretaría Distrital de Salud.). **Ultima fecha de actualización 21 de septiembre de 2020. </w:t>
      </w:r>
    </w:p>
    <w:p w14:paraId="5BE59B6B" w14:textId="26756D0E" w:rsidR="008C3A64" w:rsidRPr="005A31BC" w:rsidRDefault="008C3A64" w:rsidP="008C3A64">
      <w:pPr>
        <w:pStyle w:val="figuratitulo"/>
        <w:rPr>
          <w:i/>
          <w:iCs/>
          <w:color w:val="3B3838" w:themeColor="background2" w:themeShade="40"/>
          <w:spacing w:val="-6"/>
        </w:rPr>
      </w:pPr>
      <w:r w:rsidRPr="005A31BC">
        <w:rPr>
          <w:color w:val="3B3838" w:themeColor="background2" w:themeShade="40"/>
          <w:spacing w:val="-6"/>
        </w:rPr>
        <w:t xml:space="preserve">En Alcaldía Mayor de Bogotá, </w:t>
      </w:r>
      <w:r w:rsidRPr="005A31BC">
        <w:rPr>
          <w:i/>
          <w:iCs/>
          <w:color w:val="3B3838" w:themeColor="background2" w:themeShade="40"/>
          <w:spacing w:val="-6"/>
        </w:rPr>
        <w:t>Diagnóstico y Factores estratégicos. Política Pública de Discapacidad.</w:t>
      </w:r>
    </w:p>
    <w:p w14:paraId="7335FD8E" w14:textId="77777777" w:rsidR="008C3A64" w:rsidRDefault="008C3A64" w:rsidP="008C3A64">
      <w:pPr>
        <w:rPr>
          <w:spacing w:val="-6"/>
        </w:rPr>
      </w:pPr>
    </w:p>
    <w:p w14:paraId="11D317A8" w14:textId="794D17E9" w:rsidR="00C454E0" w:rsidRPr="005A31BC" w:rsidRDefault="00C454E0" w:rsidP="008C3A64">
      <w:pPr>
        <w:rPr>
          <w:spacing w:val="-6"/>
        </w:rPr>
        <w:sectPr w:rsidR="00C454E0" w:rsidRPr="005A31BC" w:rsidSect="00F7078E">
          <w:type w:val="continuous"/>
          <w:pgSz w:w="12240" w:h="15840"/>
          <w:pgMar w:top="2262" w:right="1440" w:bottom="1440" w:left="1440" w:header="708" w:footer="680" w:gutter="0"/>
          <w:cols w:space="720"/>
          <w:docGrid w:linePitch="299"/>
        </w:sectPr>
      </w:pPr>
    </w:p>
    <w:p w14:paraId="6A3F4E9D" w14:textId="35605D24" w:rsidR="008C3A64" w:rsidRPr="00973DCC" w:rsidRDefault="008C3A64" w:rsidP="008C3A64">
      <w:pPr>
        <w:rPr>
          <w:spacing w:val="-10"/>
        </w:rPr>
        <w:sectPr w:rsidR="008C3A64" w:rsidRPr="00973DCC" w:rsidSect="00F7078E">
          <w:type w:val="continuous"/>
          <w:pgSz w:w="12240" w:h="15840"/>
          <w:pgMar w:top="2262" w:right="1440" w:bottom="1440" w:left="1440" w:header="708" w:footer="680" w:gutter="0"/>
          <w:cols w:num="2" w:sep="1" w:space="567"/>
          <w:docGrid w:linePitch="299"/>
        </w:sectPr>
      </w:pPr>
    </w:p>
    <w:p w14:paraId="19B7BAEC" w14:textId="501E1420" w:rsidR="008C3A64" w:rsidRPr="00973DCC" w:rsidRDefault="008C3A64" w:rsidP="008C3A64">
      <w:pPr>
        <w:rPr>
          <w:spacing w:val="-10"/>
          <w:szCs w:val="22"/>
        </w:rPr>
      </w:pPr>
      <w:r w:rsidRPr="00973DCC">
        <w:rPr>
          <w:rFonts w:cs="Times New Roman (Cuerpo en alfa"/>
          <w:spacing w:val="-10"/>
          <w:szCs w:val="22"/>
        </w:rPr>
        <w:t>En relación los de derechos humanos para personas con discapacidad, de acuerdo con la Encuesta Multipropósito de Bogotá de 2021, los resultados de los principales indicadores muestran lo siguiente</w:t>
      </w:r>
      <w:r w:rsidRPr="00973DCC">
        <w:rPr>
          <w:spacing w:val="-10"/>
          <w:szCs w:val="22"/>
        </w:rPr>
        <w:t>:</w:t>
      </w:r>
    </w:p>
    <w:p w14:paraId="388ABA10" w14:textId="099BDE41" w:rsidR="008C3A64" w:rsidRPr="00973DCC" w:rsidRDefault="008C3A64" w:rsidP="008C3A64">
      <w:pPr>
        <w:rPr>
          <w:spacing w:val="-10"/>
          <w:szCs w:val="22"/>
        </w:rPr>
      </w:pPr>
    </w:p>
    <w:p w14:paraId="4A5BB8ED" w14:textId="4E925A28" w:rsidR="008C3A64" w:rsidRPr="00591C4D" w:rsidRDefault="008C3A64" w:rsidP="00CB6AEC">
      <w:pPr>
        <w:pStyle w:val="Prrafodelista"/>
        <w:numPr>
          <w:ilvl w:val="0"/>
          <w:numId w:val="19"/>
        </w:numPr>
        <w:rPr>
          <w:rFonts w:eastAsiaTheme="minorHAnsi" w:cs="Times New Roman (Cuerpo en alfa"/>
          <w:spacing w:val="-6"/>
          <w:szCs w:val="22"/>
          <w:lang w:val="es-CO" w:eastAsia="en-US"/>
        </w:rPr>
        <w:sectPr w:rsidR="008C3A64" w:rsidRPr="00591C4D" w:rsidSect="00F7078E">
          <w:type w:val="continuous"/>
          <w:pgSz w:w="12240" w:h="15840"/>
          <w:pgMar w:top="2262" w:right="1440" w:bottom="1440" w:left="1440" w:header="708" w:footer="680" w:gutter="0"/>
          <w:cols w:num="2" w:space="567" w:equalWidth="0">
            <w:col w:w="4396" w:space="567"/>
            <w:col w:w="4320"/>
          </w:cols>
          <w:docGrid w:linePitch="299"/>
        </w:sectPr>
      </w:pPr>
      <w:r w:rsidRPr="00973DCC">
        <w:rPr>
          <w:rFonts w:eastAsiaTheme="minorHAnsi" w:cs="Times New Roman (Cuerpo en alfa"/>
          <w:b/>
          <w:bCs/>
          <w:spacing w:val="-10"/>
          <w:szCs w:val="22"/>
          <w:lang w:val="es-CO" w:eastAsia="en-US"/>
        </w:rPr>
        <w:t>Derecho a la educación:</w:t>
      </w:r>
      <w:r w:rsidRPr="00973DCC">
        <w:rPr>
          <w:rFonts w:eastAsiaTheme="minorHAnsi" w:cs="Times New Roman (Cuerpo en alfa"/>
          <w:spacing w:val="-10"/>
          <w:szCs w:val="22"/>
          <w:lang w:val="es-CO" w:eastAsia="en-US"/>
        </w:rPr>
        <w:t xml:space="preserve"> de las personas mayores de 5 años con discapacidad, el 35% ha </w:t>
      </w:r>
      <w:r w:rsidRPr="00973DCC">
        <w:rPr>
          <w:rFonts w:eastAsiaTheme="minorHAnsi" w:cs="Times New Roman (Cuerpo en alfa"/>
          <w:spacing w:val="-10"/>
          <w:szCs w:val="22"/>
          <w:lang w:val="es-CO" w:eastAsia="en-US"/>
        </w:rPr>
        <w:t>alcanzado el nivel de educación secundaria o media, seguido por un 35% que solamente ha completado preescolar o primaria. Además, un 21</w:t>
      </w:r>
      <w:r w:rsidR="007D7E31">
        <w:rPr>
          <w:rFonts w:eastAsiaTheme="minorHAnsi" w:cs="Times New Roman (Cuerpo en alfa"/>
          <w:spacing w:val="-10"/>
          <w:szCs w:val="22"/>
          <w:lang w:val="es-CO" w:eastAsia="en-US"/>
        </w:rPr>
        <w:t>,</w:t>
      </w:r>
      <w:r w:rsidRPr="00973DCC">
        <w:rPr>
          <w:rFonts w:eastAsiaTheme="minorHAnsi" w:cs="Times New Roman (Cuerpo en alfa"/>
          <w:spacing w:val="-10"/>
          <w:szCs w:val="22"/>
          <w:lang w:val="es-CO" w:eastAsia="en-US"/>
        </w:rPr>
        <w:t>1% de las personas con discapacidad han logrado</w:t>
      </w:r>
      <w:r w:rsidRPr="00F518D3">
        <w:rPr>
          <w:rFonts w:eastAsiaTheme="minorHAnsi" w:cs="Times New Roman (Cuerpo en alfa"/>
          <w:spacing w:val="-6"/>
          <w:szCs w:val="22"/>
          <w:lang w:val="es-CO" w:eastAsia="en-US"/>
        </w:rPr>
        <w:t xml:space="preserve"> una educación posmedia (</w:t>
      </w:r>
      <w:r w:rsidR="009D0FDB" w:rsidRPr="009D0FDB">
        <w:rPr>
          <w:rFonts w:eastAsiaTheme="minorHAnsi" w:cs="Times New Roman (Cuerpo en alfa"/>
          <w:spacing w:val="-6"/>
          <w:szCs w:val="22"/>
          <w:lang w:val="es-CO" w:eastAsia="en-US"/>
        </w:rPr>
        <w:fldChar w:fldCharType="begin"/>
      </w:r>
      <w:r w:rsidR="009D0FDB" w:rsidRPr="009D0FDB">
        <w:rPr>
          <w:rFonts w:eastAsiaTheme="minorHAnsi" w:cs="Times New Roman (Cuerpo en alfa"/>
          <w:spacing w:val="-6"/>
          <w:szCs w:val="22"/>
          <w:lang w:val="es-CO" w:eastAsia="en-US"/>
        </w:rPr>
        <w:instrText xml:space="preserve"> REF _Ref165114619 \h </w:instrText>
      </w:r>
      <w:r w:rsidR="009D0FDB" w:rsidRPr="009D0FDB">
        <w:rPr>
          <w:rFonts w:eastAsiaTheme="minorHAnsi" w:cs="Times New Roman (Cuerpo en alfa"/>
          <w:spacing w:val="-6"/>
          <w:szCs w:val="22"/>
          <w:lang w:val="es-CO" w:eastAsia="en-US"/>
        </w:rPr>
      </w:r>
      <w:r w:rsidR="009D0FDB" w:rsidRPr="009D0FDB">
        <w:rPr>
          <w:rFonts w:eastAsiaTheme="minorHAnsi" w:cs="Times New Roman (Cuerpo en alfa"/>
          <w:spacing w:val="-6"/>
          <w:szCs w:val="22"/>
          <w:lang w:val="es-CO" w:eastAsia="en-US"/>
        </w:rPr>
        <w:fldChar w:fldCharType="separate"/>
      </w:r>
      <w:r w:rsidR="00D01651" w:rsidRPr="009D0FDB">
        <w:rPr>
          <w:color w:val="C00000"/>
          <w:sz w:val="18"/>
          <w:szCs w:val="14"/>
        </w:rPr>
        <w:t xml:space="preserve">Gráfica </w:t>
      </w:r>
      <w:r w:rsidR="00D01651">
        <w:rPr>
          <w:noProof/>
          <w:color w:val="C00000"/>
          <w:sz w:val="18"/>
          <w:szCs w:val="14"/>
        </w:rPr>
        <w:t>16</w:t>
      </w:r>
      <w:r w:rsidR="009D0FDB" w:rsidRPr="009D0FDB">
        <w:rPr>
          <w:rFonts w:eastAsiaTheme="minorHAnsi" w:cs="Times New Roman (Cuerpo en alfa"/>
          <w:spacing w:val="-6"/>
          <w:szCs w:val="22"/>
          <w:lang w:val="es-CO" w:eastAsia="en-US"/>
        </w:rPr>
        <w:fldChar w:fldCharType="end"/>
      </w:r>
      <w:r w:rsidR="009D0FDB">
        <w:rPr>
          <w:rFonts w:eastAsiaTheme="minorHAnsi" w:cs="Times New Roman (Cuerpo en alfa"/>
          <w:spacing w:val="-6"/>
          <w:szCs w:val="22"/>
          <w:lang w:val="es-CO" w:eastAsia="en-US"/>
        </w:rPr>
        <w:t>).</w:t>
      </w:r>
    </w:p>
    <w:p w14:paraId="3B3963B2" w14:textId="77777777" w:rsidR="000324CB" w:rsidRDefault="000324CB" w:rsidP="00591C4D">
      <w:pPr>
        <w:rPr>
          <w:b/>
          <w:bCs/>
          <w:spacing w:val="-6"/>
          <w:sz w:val="18"/>
        </w:rPr>
      </w:pPr>
    </w:p>
    <w:p w14:paraId="3FF7BA2A" w14:textId="466F03AD" w:rsidR="008C3A64" w:rsidRDefault="009D0FDB" w:rsidP="009D0FDB">
      <w:pPr>
        <w:pStyle w:val="Descripcin"/>
        <w:jc w:val="center"/>
        <w:rPr>
          <w:spacing w:val="-6"/>
          <w:sz w:val="18"/>
          <w:szCs w:val="16"/>
        </w:rPr>
      </w:pPr>
      <w:bookmarkStart w:id="110" w:name="_Ref165114619"/>
      <w:bookmarkStart w:id="111" w:name="_Toc165169842"/>
      <w:r w:rsidRPr="009D0FDB">
        <w:rPr>
          <w:color w:val="C00000"/>
          <w:sz w:val="18"/>
          <w:szCs w:val="14"/>
        </w:rPr>
        <w:t xml:space="preserve">Gráfica </w:t>
      </w:r>
      <w:r w:rsidRPr="009D0FDB">
        <w:rPr>
          <w:color w:val="C00000"/>
          <w:sz w:val="18"/>
          <w:szCs w:val="14"/>
        </w:rPr>
        <w:fldChar w:fldCharType="begin"/>
      </w:r>
      <w:r w:rsidRPr="009D0FDB">
        <w:rPr>
          <w:color w:val="C00000"/>
          <w:sz w:val="18"/>
          <w:szCs w:val="14"/>
        </w:rPr>
        <w:instrText xml:space="preserve"> SEQ Gráfica \* ARABIC </w:instrText>
      </w:r>
      <w:r w:rsidRPr="009D0FDB">
        <w:rPr>
          <w:color w:val="C00000"/>
          <w:sz w:val="18"/>
          <w:szCs w:val="14"/>
        </w:rPr>
        <w:fldChar w:fldCharType="separate"/>
      </w:r>
      <w:r w:rsidR="00D01651">
        <w:rPr>
          <w:noProof/>
          <w:color w:val="C00000"/>
          <w:sz w:val="18"/>
          <w:szCs w:val="14"/>
        </w:rPr>
        <w:t>16</w:t>
      </w:r>
      <w:r w:rsidRPr="009D0FDB">
        <w:rPr>
          <w:color w:val="C00000"/>
          <w:sz w:val="18"/>
          <w:szCs w:val="14"/>
        </w:rPr>
        <w:fldChar w:fldCharType="end"/>
      </w:r>
      <w:bookmarkEnd w:id="110"/>
      <w:r w:rsidRPr="009D0FDB">
        <w:rPr>
          <w:color w:val="C00000"/>
          <w:sz w:val="18"/>
          <w:szCs w:val="14"/>
        </w:rPr>
        <w:t xml:space="preserve">. </w:t>
      </w:r>
      <w:r w:rsidR="008C3A64" w:rsidRPr="009D0FDB">
        <w:rPr>
          <w:spacing w:val="-6"/>
          <w:sz w:val="18"/>
          <w:szCs w:val="16"/>
        </w:rPr>
        <w:t>Población mayor a 5 años con discapacidad, según máximo nivel educativo*</w:t>
      </w:r>
      <w:bookmarkEnd w:id="111"/>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9D0FDB" w14:paraId="20B79CF3" w14:textId="77777777" w:rsidTr="009D0FDB">
        <w:tc>
          <w:tcPr>
            <w:tcW w:w="9350" w:type="dxa"/>
          </w:tcPr>
          <w:p w14:paraId="202403EF" w14:textId="727D0FCF" w:rsidR="009D0FDB" w:rsidRDefault="009D0FDB" w:rsidP="009D0FDB">
            <w:pPr>
              <w:rPr>
                <w:lang w:val="es-419" w:eastAsia="en-US"/>
              </w:rPr>
            </w:pPr>
            <w:r w:rsidRPr="009D0FDB">
              <w:rPr>
                <w:b/>
                <w:noProof/>
                <w:spacing w:val="-6"/>
                <w:sz w:val="20"/>
                <w:szCs w:val="18"/>
              </w:rPr>
              <w:drawing>
                <wp:anchor distT="0" distB="0" distL="114300" distR="114300" simplePos="0" relativeHeight="251877376" behindDoc="0" locked="0" layoutInCell="1" allowOverlap="1" wp14:anchorId="42D46AEA" wp14:editId="21A045CC">
                  <wp:simplePos x="0" y="0"/>
                  <wp:positionH relativeFrom="column">
                    <wp:posOffset>1136503</wp:posOffset>
                  </wp:positionH>
                  <wp:positionV relativeFrom="paragraph">
                    <wp:posOffset>147</wp:posOffset>
                  </wp:positionV>
                  <wp:extent cx="3529330" cy="2232025"/>
                  <wp:effectExtent l="0" t="0" r="1270" b="3175"/>
                  <wp:wrapSquare wrapText="bothSides"/>
                  <wp:docPr id="1493786300" name="Imagen 2"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49143" name="Imagen 2" descr="Gráfico, Gráfico circular&#10;&#10;Descripción generada automáticamente"/>
                          <pic:cNvPicPr/>
                        </pic:nvPicPr>
                        <pic:blipFill rotWithShape="1">
                          <a:blip r:embed="rId60" cstate="print">
                            <a:extLst>
                              <a:ext uri="{28A0092B-C50C-407E-A947-70E740481C1C}">
                                <a14:useLocalDpi xmlns:a14="http://schemas.microsoft.com/office/drawing/2010/main" val="0"/>
                              </a:ext>
                            </a:extLst>
                          </a:blip>
                          <a:srcRect l="16741" r="14426"/>
                          <a:stretch/>
                        </pic:blipFill>
                        <pic:spPr bwMode="auto">
                          <a:xfrm>
                            <a:off x="0" y="0"/>
                            <a:ext cx="3529330" cy="2232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03909EB4" w14:textId="77777777" w:rsidR="009D0FDB" w:rsidRDefault="009D0FDB" w:rsidP="009D0FDB">
      <w:pPr>
        <w:rPr>
          <w:spacing w:val="-6"/>
          <w:sz w:val="16"/>
          <w:szCs w:val="22"/>
        </w:rPr>
      </w:pPr>
      <w:r>
        <w:rPr>
          <w:spacing w:val="-6"/>
          <w:sz w:val="16"/>
          <w:szCs w:val="22"/>
        </w:rPr>
        <w:t>*</w:t>
      </w:r>
      <w:r w:rsidRPr="009D0FDB">
        <w:rPr>
          <w:spacing w:val="-6"/>
          <w:sz w:val="16"/>
          <w:szCs w:val="22"/>
        </w:rPr>
        <w:t>Niveles educativos se definieron como: Ninguno: no alcanzaron ningún nivel educativo. Preescolar - primaria: estudian actualmente o estudiaron hasta preescolar o básica primaria. Secundaria - media: estudiaron hasta básica secundaria o media o estudian actualmente básica secundaria o media, técnico o tecnológico. Técnico - tecnólogo: alcanzaron máximo el nivel técnico o tecnológico. Universitario incompleto: cursaron nivel universitario incompleto o aquellas que actualmente estudian una carrera universitaria. Universitario completo: estudiaron una carrera universitaria completa, cursaron un programa de posgrado o actualmente estudian algún posgrado (especialización, maestría o doctorado).</w:t>
      </w:r>
    </w:p>
    <w:p w14:paraId="6A734B7F" w14:textId="541D4FF0" w:rsidR="008C3A64" w:rsidRPr="005A31BC" w:rsidRDefault="008C3A64" w:rsidP="008C3A64">
      <w:pPr>
        <w:jc w:val="center"/>
        <w:rPr>
          <w:spacing w:val="-6"/>
          <w:sz w:val="18"/>
        </w:rPr>
      </w:pPr>
      <w:r w:rsidRPr="005A31BC">
        <w:rPr>
          <w:b/>
          <w:bCs/>
          <w:spacing w:val="-6"/>
          <w:sz w:val="18"/>
        </w:rPr>
        <w:t>Fuente:</w:t>
      </w:r>
      <w:r w:rsidRPr="005A31BC">
        <w:rPr>
          <w:spacing w:val="-6"/>
          <w:sz w:val="18"/>
        </w:rPr>
        <w:t xml:space="preserve"> DANE – SDP, Encuesta Multipropósito de Bogotá - EMB 2021.</w:t>
      </w:r>
    </w:p>
    <w:p w14:paraId="64244A1C" w14:textId="77777777" w:rsidR="008C3A64" w:rsidRPr="005A31BC" w:rsidRDefault="008C3A64" w:rsidP="008C3A64">
      <w:pPr>
        <w:rPr>
          <w:spacing w:val="-6"/>
          <w:szCs w:val="20"/>
        </w:rPr>
      </w:pPr>
    </w:p>
    <w:p w14:paraId="5F3C017E" w14:textId="77777777" w:rsidR="008C3A64" w:rsidRPr="005A31BC" w:rsidRDefault="008C3A64" w:rsidP="00CB6AEC">
      <w:pPr>
        <w:pStyle w:val="Prrafodelista"/>
        <w:numPr>
          <w:ilvl w:val="0"/>
          <w:numId w:val="19"/>
        </w:numPr>
        <w:ind w:left="714" w:hanging="357"/>
        <w:rPr>
          <w:rFonts w:eastAsiaTheme="minorHAnsi" w:cs="Times New Roman (Cuerpo en alfa"/>
          <w:b/>
          <w:bCs/>
          <w:spacing w:val="-6"/>
          <w:szCs w:val="24"/>
          <w:lang w:val="es-CO" w:eastAsia="en-US"/>
        </w:rPr>
        <w:sectPr w:rsidR="008C3A64" w:rsidRPr="005A31BC" w:rsidSect="00F7078E">
          <w:type w:val="continuous"/>
          <w:pgSz w:w="12240" w:h="15840"/>
          <w:pgMar w:top="2262" w:right="1440" w:bottom="1440" w:left="1440" w:header="708" w:footer="680" w:gutter="0"/>
          <w:cols w:space="720"/>
          <w:docGrid w:linePitch="299"/>
        </w:sectPr>
      </w:pPr>
    </w:p>
    <w:p w14:paraId="1C121924" w14:textId="3A14ED20" w:rsidR="008C3A64" w:rsidRPr="008B730A" w:rsidRDefault="008C3A64" w:rsidP="008D46D4">
      <w:pPr>
        <w:spacing w:line="240" w:lineRule="auto"/>
        <w:jc w:val="left"/>
        <w:rPr>
          <w:rFonts w:eastAsiaTheme="minorEastAsia" w:cstheme="minorBidi"/>
          <w:b/>
          <w:iCs/>
          <w:sz w:val="18"/>
          <w:szCs w:val="18"/>
          <w:lang w:val="es-419" w:eastAsia="en-US"/>
        </w:rPr>
      </w:pPr>
      <w:r w:rsidRPr="005A31BC">
        <w:rPr>
          <w:b/>
          <w:bCs/>
        </w:rPr>
        <w:t>Derecho a la salud:</w:t>
      </w:r>
      <w:r w:rsidRPr="005A31BC">
        <w:t xml:space="preserve"> el 94,4% de las personas con discapacidad se encuentran afiliadas al Sistema de Seguridad Social de Salud.  De estas, el </w:t>
      </w:r>
      <w:r w:rsidRPr="005A31BC">
        <w:t xml:space="preserve">65,4% pertenecen </w:t>
      </w:r>
      <w:r w:rsidRPr="001706E9">
        <w:t xml:space="preserve">al régimen contributivo, seguido por un 31,5% que están inscritas en el régimen subsidiado </w:t>
      </w:r>
      <w:r w:rsidRPr="008B730A">
        <w:t>(</w:t>
      </w:r>
      <w:r w:rsidR="00B6288D" w:rsidRPr="00B6288D">
        <w:fldChar w:fldCharType="begin"/>
      </w:r>
      <w:r w:rsidR="00B6288D" w:rsidRPr="00B6288D">
        <w:instrText xml:space="preserve"> REF _Ref165172667 \h </w:instrText>
      </w:r>
      <w:r w:rsidR="00B6288D" w:rsidRPr="00B6288D">
        <w:fldChar w:fldCharType="separate"/>
      </w:r>
      <w:r w:rsidR="00D01651" w:rsidRPr="00880681">
        <w:rPr>
          <w:b/>
          <w:bCs/>
          <w:color w:val="C00000"/>
          <w:sz w:val="18"/>
          <w:szCs w:val="18"/>
        </w:rPr>
        <w:t xml:space="preserve">Gráfica </w:t>
      </w:r>
      <w:r w:rsidR="00D01651">
        <w:rPr>
          <w:b/>
          <w:bCs/>
          <w:noProof/>
          <w:color w:val="C00000"/>
          <w:sz w:val="18"/>
          <w:szCs w:val="18"/>
        </w:rPr>
        <w:t>17</w:t>
      </w:r>
      <w:r w:rsidR="00B6288D" w:rsidRPr="00B6288D">
        <w:fldChar w:fldCharType="end"/>
      </w:r>
      <w:r w:rsidRPr="00B6288D">
        <w:t>).</w:t>
      </w:r>
    </w:p>
    <w:p w14:paraId="7D5B2FCC" w14:textId="77777777" w:rsidR="008C3A64" w:rsidRPr="005A31BC" w:rsidRDefault="008C3A64" w:rsidP="008C3A64">
      <w:pPr>
        <w:pStyle w:val="Bullets"/>
        <w:rPr>
          <w:b/>
          <w:sz w:val="20"/>
          <w:szCs w:val="20"/>
        </w:rPr>
        <w:sectPr w:rsidR="008C3A64" w:rsidRPr="005A31BC" w:rsidSect="00F7078E">
          <w:type w:val="continuous"/>
          <w:pgSz w:w="12240" w:h="15840"/>
          <w:pgMar w:top="2262" w:right="1440" w:bottom="1440" w:left="1440" w:header="708" w:footer="680" w:gutter="0"/>
          <w:cols w:num="2" w:space="567"/>
          <w:docGrid w:linePitch="299"/>
        </w:sectPr>
      </w:pPr>
    </w:p>
    <w:p w14:paraId="2E45AE61" w14:textId="77777777" w:rsidR="008C3A64" w:rsidRDefault="008C3A64" w:rsidP="008C3A64">
      <w:pPr>
        <w:pStyle w:val="Bullets"/>
        <w:numPr>
          <w:ilvl w:val="0"/>
          <w:numId w:val="0"/>
        </w:numPr>
        <w:ind w:left="714"/>
        <w:rPr>
          <w:b/>
          <w:sz w:val="20"/>
          <w:szCs w:val="20"/>
        </w:rPr>
      </w:pPr>
    </w:p>
    <w:p w14:paraId="799B3243" w14:textId="77777777" w:rsidR="008C3A64" w:rsidRDefault="008C3A64" w:rsidP="005A5DBC">
      <w:pPr>
        <w:pStyle w:val="Bullets"/>
        <w:numPr>
          <w:ilvl w:val="0"/>
          <w:numId w:val="0"/>
        </w:numPr>
        <w:ind w:left="714" w:hanging="357"/>
        <w:rPr>
          <w:b/>
          <w:bCs/>
        </w:rPr>
      </w:pPr>
    </w:p>
    <w:p w14:paraId="074A7945" w14:textId="77777777" w:rsidR="00822A42" w:rsidRDefault="00822A42">
      <w:pPr>
        <w:spacing w:line="240" w:lineRule="auto"/>
        <w:jc w:val="left"/>
        <w:rPr>
          <w:color w:val="C00000"/>
          <w:sz w:val="18"/>
        </w:rPr>
      </w:pPr>
      <w:bookmarkStart w:id="112" w:name="_Ref165114763"/>
      <w:r>
        <w:rPr>
          <w:color w:val="C00000"/>
          <w:sz w:val="18"/>
        </w:rPr>
        <w:br w:type="page"/>
      </w:r>
    </w:p>
    <w:p w14:paraId="23B6126E" w14:textId="78FC1C22" w:rsidR="00880681" w:rsidRPr="00880681" w:rsidRDefault="00880681" w:rsidP="00880681">
      <w:pPr>
        <w:jc w:val="center"/>
        <w:rPr>
          <w:b/>
          <w:bCs/>
          <w:sz w:val="18"/>
          <w:szCs w:val="18"/>
        </w:rPr>
      </w:pPr>
      <w:bookmarkStart w:id="113" w:name="_Ref165172667"/>
      <w:bookmarkStart w:id="114" w:name="_Toc165169843"/>
      <w:r w:rsidRPr="00880681">
        <w:rPr>
          <w:b/>
          <w:bCs/>
          <w:color w:val="C00000"/>
          <w:sz w:val="18"/>
          <w:szCs w:val="18"/>
        </w:rPr>
        <w:lastRenderedPageBreak/>
        <w:t xml:space="preserve">Gráfica </w:t>
      </w:r>
      <w:r w:rsidRPr="00880681">
        <w:rPr>
          <w:b/>
          <w:bCs/>
          <w:color w:val="C00000"/>
          <w:sz w:val="18"/>
          <w:szCs w:val="18"/>
        </w:rPr>
        <w:fldChar w:fldCharType="begin"/>
      </w:r>
      <w:r w:rsidRPr="00880681">
        <w:rPr>
          <w:b/>
          <w:bCs/>
          <w:color w:val="C00000"/>
          <w:sz w:val="18"/>
          <w:szCs w:val="18"/>
        </w:rPr>
        <w:instrText xml:space="preserve"> SEQ Gráfica \* ARABIC </w:instrText>
      </w:r>
      <w:r w:rsidRPr="00880681">
        <w:rPr>
          <w:b/>
          <w:bCs/>
          <w:color w:val="C00000"/>
          <w:sz w:val="18"/>
          <w:szCs w:val="18"/>
        </w:rPr>
        <w:fldChar w:fldCharType="separate"/>
      </w:r>
      <w:r w:rsidR="00D01651">
        <w:rPr>
          <w:b/>
          <w:bCs/>
          <w:noProof/>
          <w:color w:val="C00000"/>
          <w:sz w:val="18"/>
          <w:szCs w:val="18"/>
        </w:rPr>
        <w:t>17</w:t>
      </w:r>
      <w:r w:rsidRPr="00880681">
        <w:rPr>
          <w:b/>
          <w:bCs/>
          <w:color w:val="C00000"/>
          <w:sz w:val="18"/>
          <w:szCs w:val="18"/>
        </w:rPr>
        <w:fldChar w:fldCharType="end"/>
      </w:r>
      <w:bookmarkEnd w:id="113"/>
      <w:r w:rsidRPr="00880681">
        <w:rPr>
          <w:b/>
          <w:bCs/>
          <w:color w:val="C00000"/>
          <w:sz w:val="18"/>
          <w:szCs w:val="18"/>
        </w:rPr>
        <w:t xml:space="preserve">. </w:t>
      </w:r>
      <w:r w:rsidRPr="00880681">
        <w:rPr>
          <w:b/>
          <w:bCs/>
          <w:sz w:val="18"/>
          <w:szCs w:val="18"/>
        </w:rPr>
        <w:t>Población con discapacidad, según afiliación a salud y el tipo de régimen</w:t>
      </w:r>
      <w:bookmarkEnd w:id="114"/>
    </w:p>
    <w:p w14:paraId="37389FA2" w14:textId="77777777" w:rsidR="00880681" w:rsidRPr="00880681" w:rsidRDefault="00880681">
      <w:pPr>
        <w:spacing w:line="240" w:lineRule="auto"/>
        <w:jc w:val="left"/>
        <w:rPr>
          <w:rFonts w:eastAsiaTheme="minorEastAsia" w:cstheme="minorBidi"/>
          <w:b/>
          <w:iCs/>
          <w:color w:val="C00000"/>
          <w:sz w:val="18"/>
          <w:szCs w:val="18"/>
          <w:lang w:eastAsia="en-US"/>
        </w:rPr>
      </w:pPr>
    </w:p>
    <w:tbl>
      <w:tblPr>
        <w:tblStyle w:val="Tablaconcuadrcula"/>
        <w:tblW w:w="0" w:type="auto"/>
        <w:tblLook w:val="04A0" w:firstRow="1" w:lastRow="0" w:firstColumn="1" w:lastColumn="0" w:noHBand="0" w:noVBand="1"/>
      </w:tblPr>
      <w:tblGrid>
        <w:gridCol w:w="9350"/>
      </w:tblGrid>
      <w:tr w:rsidR="00822A42" w14:paraId="318B0C6D" w14:textId="77777777" w:rsidTr="00822A42">
        <w:tc>
          <w:tcPr>
            <w:tcW w:w="9350" w:type="dxa"/>
            <w:tcBorders>
              <w:top w:val="nil"/>
              <w:left w:val="nil"/>
              <w:bottom w:val="nil"/>
              <w:right w:val="nil"/>
            </w:tcBorders>
          </w:tcPr>
          <w:bookmarkEnd w:id="112"/>
          <w:p w14:paraId="50E9B9D5" w14:textId="0C008C3F" w:rsidR="00822A42" w:rsidRDefault="00822A42" w:rsidP="00822A42">
            <w:pPr>
              <w:rPr>
                <w:lang w:val="es-419" w:eastAsia="en-US"/>
              </w:rPr>
            </w:pPr>
            <w:r w:rsidRPr="005A31BC">
              <w:rPr>
                <w:b/>
                <w:noProof/>
                <w:sz w:val="20"/>
                <w:szCs w:val="20"/>
              </w:rPr>
              <w:drawing>
                <wp:anchor distT="0" distB="0" distL="114300" distR="114300" simplePos="0" relativeHeight="251879424" behindDoc="0" locked="0" layoutInCell="1" allowOverlap="1" wp14:anchorId="4C52D102" wp14:editId="21A5FDAC">
                  <wp:simplePos x="0" y="0"/>
                  <wp:positionH relativeFrom="column">
                    <wp:posOffset>216242</wp:posOffset>
                  </wp:positionH>
                  <wp:positionV relativeFrom="paragraph">
                    <wp:posOffset>49</wp:posOffset>
                  </wp:positionV>
                  <wp:extent cx="5196840" cy="2262505"/>
                  <wp:effectExtent l="0" t="0" r="0" b="0"/>
                  <wp:wrapSquare wrapText="bothSides"/>
                  <wp:docPr id="1822214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1467" name="Imagen 18222146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96840" cy="2262505"/>
                          </a:xfrm>
                          <a:prstGeom prst="rect">
                            <a:avLst/>
                          </a:prstGeom>
                        </pic:spPr>
                      </pic:pic>
                    </a:graphicData>
                  </a:graphic>
                  <wp14:sizeRelH relativeFrom="page">
                    <wp14:pctWidth>0</wp14:pctWidth>
                  </wp14:sizeRelH>
                  <wp14:sizeRelV relativeFrom="page">
                    <wp14:pctHeight>0</wp14:pctHeight>
                  </wp14:sizeRelV>
                </wp:anchor>
              </w:drawing>
            </w:r>
          </w:p>
        </w:tc>
      </w:tr>
    </w:tbl>
    <w:p w14:paraId="1FCC5AEF" w14:textId="77777777" w:rsidR="008C3A64" w:rsidRPr="00822A42" w:rsidRDefault="008C3A64" w:rsidP="008C3A64">
      <w:pPr>
        <w:pStyle w:val="Bullets"/>
        <w:numPr>
          <w:ilvl w:val="0"/>
          <w:numId w:val="0"/>
        </w:numPr>
        <w:ind w:left="714"/>
        <w:jc w:val="center"/>
        <w:rPr>
          <w:sz w:val="18"/>
          <w:szCs w:val="18"/>
        </w:rPr>
      </w:pPr>
      <w:r w:rsidRPr="00822A42">
        <w:rPr>
          <w:b/>
          <w:sz w:val="18"/>
          <w:szCs w:val="18"/>
        </w:rPr>
        <w:t>Fuente</w:t>
      </w:r>
      <w:r w:rsidRPr="00822A42">
        <w:rPr>
          <w:sz w:val="18"/>
          <w:szCs w:val="18"/>
        </w:rPr>
        <w:t>: DANE – SDP, Encuesta Multipropósito de Bogotá - EMB 2021.</w:t>
      </w:r>
    </w:p>
    <w:p w14:paraId="7DC93DA4" w14:textId="77777777" w:rsidR="008C3A64" w:rsidRPr="005A31BC" w:rsidRDefault="008C3A64" w:rsidP="008C3A64">
      <w:pPr>
        <w:pStyle w:val="Bullets"/>
        <w:numPr>
          <w:ilvl w:val="0"/>
          <w:numId w:val="0"/>
        </w:numPr>
        <w:ind w:left="714"/>
        <w:rPr>
          <w:sz w:val="20"/>
          <w:szCs w:val="20"/>
        </w:rPr>
      </w:pPr>
    </w:p>
    <w:p w14:paraId="2C4EACF9" w14:textId="77777777" w:rsidR="008C3A64" w:rsidRPr="005A31BC" w:rsidRDefault="008C3A64" w:rsidP="008C3A64">
      <w:pPr>
        <w:pStyle w:val="Bullets"/>
        <w:rPr>
          <w:b/>
          <w:bCs/>
        </w:rPr>
        <w:sectPr w:rsidR="008C3A64" w:rsidRPr="005A31BC" w:rsidSect="00F7078E">
          <w:type w:val="continuous"/>
          <w:pgSz w:w="12240" w:h="15840"/>
          <w:pgMar w:top="2262" w:right="1440" w:bottom="1440" w:left="1440" w:header="708" w:footer="680" w:gutter="0"/>
          <w:cols w:space="720"/>
          <w:docGrid w:linePitch="299"/>
        </w:sectPr>
      </w:pPr>
    </w:p>
    <w:p w14:paraId="614E919D" w14:textId="77777777" w:rsidR="008C3A64" w:rsidRPr="00F518D3" w:rsidRDefault="008C3A64" w:rsidP="008C3A64">
      <w:pPr>
        <w:pStyle w:val="Bullets"/>
      </w:pPr>
      <w:r w:rsidRPr="00F518D3">
        <w:rPr>
          <w:b/>
          <w:bCs/>
        </w:rPr>
        <w:t>Derecho al trabajo:</w:t>
      </w:r>
      <w:r w:rsidRPr="00F518D3">
        <w:rPr>
          <w:rFonts w:ascii="Times New Roman" w:hAnsi="Times New Roman" w:cs="Times New Roman"/>
          <w:b/>
          <w:bCs/>
        </w:rPr>
        <w:t xml:space="preserve"> </w:t>
      </w:r>
      <w:r w:rsidRPr="00F518D3">
        <w:t>dentro de la población identificada con discapacidad, un total de 181.077 individuos se encuentran en edad laboral. De este grupo, 47.954 forman parte de la fuerza laboral, lo que equivale a una Tasa Global de Participación del 26,5%. De aquellos que estaban activos en la fuerza laboral, 39.231 personas estaban actualmente empleadas durante 2021 representando una Tasa de Ocupación del 25,7%.</w:t>
      </w:r>
    </w:p>
    <w:p w14:paraId="1E3526FA" w14:textId="77777777" w:rsidR="008C3A64" w:rsidRPr="00F518D3" w:rsidRDefault="008C3A64" w:rsidP="008C3A64">
      <w:pPr>
        <w:rPr>
          <w:spacing w:val="-6"/>
          <w:szCs w:val="22"/>
        </w:rPr>
      </w:pPr>
    </w:p>
    <w:p w14:paraId="40FF631F" w14:textId="77777777" w:rsidR="008C3A64" w:rsidRPr="00F518D3" w:rsidRDefault="008C3A64" w:rsidP="008C3A64">
      <w:pPr>
        <w:rPr>
          <w:spacing w:val="-6"/>
          <w:szCs w:val="22"/>
        </w:rPr>
      </w:pPr>
      <w:r w:rsidRPr="00F518D3">
        <w:rPr>
          <w:spacing w:val="-6"/>
          <w:szCs w:val="22"/>
        </w:rPr>
        <w:t xml:space="preserve">Según el estudio ‘Caracterización de los cuidadores y cuidadoras de la población con discapacidad de la ciudad de Bogotá’ (2019) de la Secretaría Distrital de Integración Social, la mayoría de las personas encargadas del cuidado de las personas con discapacidad son mujeres (81%) y cerca del 60% de las mujeres cuidadoras son mayores de 50 años. En el grupo de cuidadores y cuidadoras, un 18% de las personas presenta algún tipo de discapacidad, y cerca de la mitad (49%) considera que su estado de salud es malo como resultado de sus actividades de cuidado. </w:t>
      </w:r>
    </w:p>
    <w:p w14:paraId="208A74E7" w14:textId="77777777" w:rsidR="008C3A64" w:rsidRPr="00F518D3" w:rsidRDefault="008C3A64" w:rsidP="008C3A64">
      <w:pPr>
        <w:rPr>
          <w:spacing w:val="-6"/>
          <w:szCs w:val="22"/>
        </w:rPr>
      </w:pPr>
    </w:p>
    <w:p w14:paraId="7AB3972F" w14:textId="77777777" w:rsidR="008C3A64" w:rsidRPr="00F518D3" w:rsidRDefault="008C3A64" w:rsidP="008C3A64">
      <w:pPr>
        <w:rPr>
          <w:spacing w:val="-6"/>
          <w:szCs w:val="22"/>
        </w:rPr>
      </w:pPr>
      <w:r w:rsidRPr="00F518D3">
        <w:rPr>
          <w:spacing w:val="-6"/>
          <w:szCs w:val="22"/>
        </w:rPr>
        <w:t xml:space="preserve">El estudio muestra que, como resultado de las actividades de cuidado, el 55% de los cuidadores y cuidadoras consideran que tienen dificultades en su </w:t>
      </w:r>
      <w:r w:rsidRPr="00F518D3">
        <w:rPr>
          <w:spacing w:val="-6"/>
          <w:szCs w:val="22"/>
        </w:rPr>
        <w:t xml:space="preserve">salud. </w:t>
      </w:r>
      <w:r w:rsidRPr="00F518D3">
        <w:rPr>
          <w:rFonts w:cs="Times New Roman (Cuerpo en alfa"/>
          <w:spacing w:val="-6"/>
          <w:szCs w:val="22"/>
        </w:rPr>
        <w:t>Específicamente</w:t>
      </w:r>
      <w:r w:rsidRPr="00F518D3">
        <w:rPr>
          <w:spacing w:val="-6"/>
          <w:szCs w:val="22"/>
        </w:rPr>
        <w:t xml:space="preserve">, del total de los cuidadores y cuidadoras que consideran que tienen problemas de salud por su actividad de cuidado, el 93% lo asocian con estrés, el 90% con fatiga, el 71% con problemas de sueño, el 66% con problemas musculares y el 65% con depresión. (Alcaldía Mayor de Bogotá. </w:t>
      </w:r>
      <w:r w:rsidRPr="00F518D3">
        <w:rPr>
          <w:i/>
          <w:spacing w:val="-6"/>
          <w:szCs w:val="22"/>
        </w:rPr>
        <w:t>Diagnóstico y Factores estratégicos. Política Pública de Discapacidad</w:t>
      </w:r>
      <w:r w:rsidRPr="00F518D3">
        <w:rPr>
          <w:spacing w:val="-6"/>
          <w:szCs w:val="22"/>
        </w:rPr>
        <w:t xml:space="preserve"> s.f. p.45). </w:t>
      </w:r>
    </w:p>
    <w:p w14:paraId="56BBDB09" w14:textId="77777777" w:rsidR="008C3A64" w:rsidRPr="00F518D3" w:rsidRDefault="008C3A64" w:rsidP="008C3A64">
      <w:pPr>
        <w:rPr>
          <w:rFonts w:ascii="Arial" w:eastAsia="Arial" w:hAnsi="Arial" w:cs="Arial"/>
          <w:i/>
          <w:color w:val="333333"/>
          <w:spacing w:val="-6"/>
          <w:szCs w:val="22"/>
        </w:rPr>
      </w:pPr>
    </w:p>
    <w:p w14:paraId="7FCED6EF" w14:textId="77777777" w:rsidR="008C3A64" w:rsidRPr="00F518D3" w:rsidRDefault="008C3A64" w:rsidP="008C3A64">
      <w:pPr>
        <w:rPr>
          <w:spacing w:val="-6"/>
          <w:szCs w:val="22"/>
        </w:rPr>
      </w:pPr>
      <w:r w:rsidRPr="00F518D3">
        <w:rPr>
          <w:spacing w:val="-6"/>
          <w:szCs w:val="22"/>
        </w:rPr>
        <w:t xml:space="preserve">Según el documento de factores estratégicos para la construcción de la Política Pública de discapacidad 2023, y las narrativas sociales indagadas para dicho ejercicio, persisten las condiciones de discriminación y segregación hacia las personas con algún tipo de discapacidad. Esto, por los limitados mecanismos para la identificación, reconocimiento y autorreconocimiento de la discapacidad en el marco del modelo social, generados por las dificultades para el acceso y permanencia a los procesos de detección temprana, oportuna, atención y rehabilitación integral de la discapacidad, el insuficiente conocimiento y voluntad por parte de la familia y la sociedad para reconocer a la persona con discapacidad y las oportunidades de acceso a programas, proyectos, servicios y beneficios para el desarrollo de las capacidades humanas. (Alcaldía Mayor de Bogotá. </w:t>
      </w:r>
      <w:r w:rsidRPr="00F518D3">
        <w:rPr>
          <w:i/>
          <w:spacing w:val="-6"/>
          <w:szCs w:val="22"/>
        </w:rPr>
        <w:t>Diagnóstico y Factores estratégicos. Política Pública de Discapacidad</w:t>
      </w:r>
      <w:r w:rsidRPr="00F518D3">
        <w:rPr>
          <w:spacing w:val="-6"/>
          <w:szCs w:val="22"/>
        </w:rPr>
        <w:t xml:space="preserve"> s.f. p.47).</w:t>
      </w:r>
    </w:p>
    <w:p w14:paraId="3D1899E4" w14:textId="77777777" w:rsidR="008C3A64" w:rsidRPr="00F518D3" w:rsidRDefault="008C3A64" w:rsidP="008C3A64">
      <w:pPr>
        <w:rPr>
          <w:spacing w:val="-6"/>
          <w:szCs w:val="22"/>
        </w:rPr>
        <w:sectPr w:rsidR="008C3A64" w:rsidRPr="00F518D3" w:rsidSect="00F7078E">
          <w:type w:val="continuous"/>
          <w:pgSz w:w="12240" w:h="15840"/>
          <w:pgMar w:top="2262" w:right="1440" w:bottom="1440" w:left="1440" w:header="708" w:footer="680" w:gutter="0"/>
          <w:cols w:num="2" w:space="567"/>
          <w:docGrid w:linePitch="299"/>
        </w:sectPr>
      </w:pPr>
    </w:p>
    <w:p w14:paraId="73D49E76" w14:textId="77777777" w:rsidR="008C3A64" w:rsidRDefault="008C3A64" w:rsidP="008C3A64">
      <w:pPr>
        <w:rPr>
          <w:spacing w:val="-6"/>
          <w:szCs w:val="22"/>
        </w:rPr>
      </w:pPr>
    </w:p>
    <w:p w14:paraId="3ECFFE84" w14:textId="77777777" w:rsidR="008C3A64" w:rsidRPr="00F518D3" w:rsidRDefault="008C3A64" w:rsidP="008C3A64">
      <w:pPr>
        <w:rPr>
          <w:spacing w:val="-6"/>
          <w:szCs w:val="22"/>
        </w:rPr>
      </w:pPr>
    </w:p>
    <w:p w14:paraId="4C63EC4A" w14:textId="77777777" w:rsidR="008C3A64" w:rsidRPr="00F518D3" w:rsidRDefault="008C3A64" w:rsidP="008C3A64">
      <w:pPr>
        <w:rPr>
          <w:spacing w:val="-6"/>
          <w:szCs w:val="22"/>
        </w:rPr>
      </w:pPr>
    </w:p>
    <w:p w14:paraId="306CA0A9" w14:textId="77777777" w:rsidR="008C3A64" w:rsidRDefault="008C3A64" w:rsidP="007A78EE">
      <w:pPr>
        <w:pStyle w:val="subnumeros"/>
        <w:numPr>
          <w:ilvl w:val="0"/>
          <w:numId w:val="0"/>
        </w:numPr>
        <w:ind w:left="1145" w:hanging="720"/>
        <w:rPr>
          <w:rFonts w:eastAsiaTheme="minorHAnsi"/>
        </w:rPr>
        <w:sectPr w:rsidR="008C3A64" w:rsidSect="00F7078E">
          <w:type w:val="continuous"/>
          <w:pgSz w:w="12240" w:h="15840"/>
          <w:pgMar w:top="2262" w:right="1440" w:bottom="1440" w:left="1440" w:header="708" w:footer="680" w:gutter="0"/>
          <w:cols w:num="2" w:space="567"/>
          <w:docGrid w:linePitch="299"/>
        </w:sectPr>
      </w:pPr>
    </w:p>
    <w:p w14:paraId="525C3BB3" w14:textId="59167243" w:rsidR="008C3A64" w:rsidRPr="00F518D3" w:rsidRDefault="008C3A64" w:rsidP="00360A46">
      <w:pPr>
        <w:pStyle w:val="subnumeros"/>
        <w:numPr>
          <w:ilvl w:val="0"/>
          <w:numId w:val="0"/>
        </w:numPr>
        <w:ind w:left="720"/>
        <w:outlineLvl w:val="9"/>
        <w:rPr>
          <w:rFonts w:eastAsiaTheme="minorHAnsi"/>
        </w:rPr>
      </w:pPr>
      <w:r w:rsidRPr="00F518D3">
        <w:rPr>
          <w:rFonts w:eastAsiaTheme="minorHAnsi"/>
        </w:rPr>
        <w:t>Campesinas, campesinos y población rural</w:t>
      </w:r>
    </w:p>
    <w:p w14:paraId="376B26BB" w14:textId="77777777" w:rsidR="008C3A64" w:rsidRPr="00F518D3" w:rsidRDefault="008C3A64" w:rsidP="008C3A64">
      <w:pPr>
        <w:rPr>
          <w:spacing w:val="-6"/>
          <w:szCs w:val="22"/>
        </w:rPr>
        <w:sectPr w:rsidR="008C3A64" w:rsidRPr="00F518D3" w:rsidSect="00F7078E">
          <w:type w:val="continuous"/>
          <w:pgSz w:w="12240" w:h="15840"/>
          <w:pgMar w:top="2262" w:right="1440" w:bottom="1440" w:left="1440" w:header="708" w:footer="680" w:gutter="0"/>
          <w:cols w:space="567"/>
          <w:docGrid w:linePitch="299"/>
        </w:sectPr>
      </w:pPr>
    </w:p>
    <w:p w14:paraId="24B9B292" w14:textId="5D0C3728" w:rsidR="008C3A64" w:rsidRPr="00F518D3" w:rsidRDefault="008C3A64" w:rsidP="008C3A64">
      <w:pPr>
        <w:rPr>
          <w:rFonts w:cs="Times New Roman (Cuerpo en alfa"/>
          <w:spacing w:val="-6"/>
          <w:szCs w:val="22"/>
        </w:rPr>
      </w:pPr>
      <w:r w:rsidRPr="00F518D3">
        <w:rPr>
          <w:rFonts w:cs="Times New Roman (Cuerpo en alfa"/>
          <w:spacing w:val="-6"/>
          <w:szCs w:val="22"/>
        </w:rPr>
        <w:t xml:space="preserve">Según el documento de </w:t>
      </w:r>
      <w:r w:rsidRPr="00F518D3">
        <w:rPr>
          <w:rFonts w:cs="Times New Roman (Cuerpo en alfa"/>
          <w:i/>
          <w:spacing w:val="-6"/>
          <w:szCs w:val="22"/>
        </w:rPr>
        <w:t>Diagnóstico y los Factores estratégicos para la formulación de la Política Pública de Ruralidad de Bogotá</w:t>
      </w:r>
      <w:r w:rsidRPr="00F518D3">
        <w:rPr>
          <w:rFonts w:cs="Times New Roman (Cuerpo en alfa"/>
          <w:spacing w:val="-6"/>
          <w:szCs w:val="22"/>
        </w:rPr>
        <w:t xml:space="preserve"> (</w:t>
      </w:r>
      <w:r w:rsidR="00360A46">
        <w:rPr>
          <w:rFonts w:cs="Times New Roman (Cuerpo en alfa"/>
          <w:spacing w:val="-6"/>
          <w:szCs w:val="22"/>
        </w:rPr>
        <w:t xml:space="preserve">Secretaría Distrital de Planeación, </w:t>
      </w:r>
      <w:r w:rsidRPr="00F518D3">
        <w:rPr>
          <w:rFonts w:cs="Times New Roman (Cuerpo en alfa"/>
          <w:spacing w:val="-6"/>
          <w:szCs w:val="22"/>
        </w:rPr>
        <w:t>2023b) y teniendo como fuentes los distintos ejercicios de participación de las personas campesinas y rurales, las principales problemáticas a las que se enfrenta esta población son:</w:t>
      </w:r>
    </w:p>
    <w:p w14:paraId="03044E54" w14:textId="77777777" w:rsidR="008C3A64" w:rsidRPr="00F518D3" w:rsidRDefault="008C3A64" w:rsidP="008C3A64">
      <w:pPr>
        <w:rPr>
          <w:rFonts w:cs="Times New Roman (Cuerpo en alfa"/>
          <w:spacing w:val="-6"/>
          <w:szCs w:val="22"/>
        </w:rPr>
      </w:pPr>
    </w:p>
    <w:p w14:paraId="573DA456" w14:textId="77777777" w:rsidR="008C3A64" w:rsidRPr="00F518D3" w:rsidRDefault="008C3A64" w:rsidP="008C3A64">
      <w:pPr>
        <w:pStyle w:val="Bullets"/>
        <w:ind w:left="284" w:hanging="283"/>
        <w:rPr>
          <w:rFonts w:cs="Times New Roman (Cuerpo en alfa"/>
          <w:spacing w:val="-6"/>
        </w:rPr>
      </w:pPr>
      <w:r w:rsidRPr="00F518D3">
        <w:rPr>
          <w:rFonts w:cs="Times New Roman (Cuerpo en alfa"/>
          <w:spacing w:val="-6"/>
        </w:rPr>
        <w:t>La pérdida de identidad cultural y la falta de apropiación territorial.</w:t>
      </w:r>
    </w:p>
    <w:p w14:paraId="72D65D72" w14:textId="77777777" w:rsidR="008C3A64" w:rsidRPr="00F518D3" w:rsidRDefault="008C3A64" w:rsidP="008C3A64">
      <w:pPr>
        <w:pStyle w:val="Bullets"/>
        <w:numPr>
          <w:ilvl w:val="0"/>
          <w:numId w:val="0"/>
        </w:numPr>
        <w:ind w:left="284"/>
        <w:rPr>
          <w:rFonts w:cs="Times New Roman (Cuerpo en alfa"/>
          <w:spacing w:val="-6"/>
        </w:rPr>
      </w:pPr>
    </w:p>
    <w:p w14:paraId="24CBC5F8" w14:textId="77777777" w:rsidR="008C3A64" w:rsidRPr="00F518D3" w:rsidRDefault="008C3A64" w:rsidP="008C3A64">
      <w:pPr>
        <w:pStyle w:val="Bullets"/>
        <w:ind w:left="284" w:hanging="283"/>
        <w:rPr>
          <w:rFonts w:cs="Times New Roman (Cuerpo en alfa"/>
          <w:spacing w:val="-6"/>
        </w:rPr>
      </w:pPr>
      <w:r w:rsidRPr="00F518D3">
        <w:rPr>
          <w:rFonts w:cs="Times New Roman (Cuerpo en alfa"/>
          <w:spacing w:val="-6"/>
        </w:rPr>
        <w:t>La percepción desfavorable de las normas y su desconocimiento por las comunidades; se conciben como obstáculos para el desarrollo de actividades productivas y el ejercicio pleno de derechos.</w:t>
      </w:r>
    </w:p>
    <w:p w14:paraId="38766FC5" w14:textId="77777777" w:rsidR="008C3A64" w:rsidRPr="00F518D3" w:rsidRDefault="008C3A64" w:rsidP="008C3A64">
      <w:pPr>
        <w:pStyle w:val="Bullets"/>
        <w:numPr>
          <w:ilvl w:val="0"/>
          <w:numId w:val="0"/>
        </w:numPr>
        <w:ind w:left="284"/>
        <w:rPr>
          <w:rFonts w:cs="Times New Roman (Cuerpo en alfa"/>
          <w:spacing w:val="-6"/>
        </w:rPr>
      </w:pPr>
    </w:p>
    <w:p w14:paraId="32AAA6A5" w14:textId="77777777" w:rsidR="008C3A64" w:rsidRPr="00F518D3" w:rsidRDefault="008C3A64" w:rsidP="008C3A64">
      <w:pPr>
        <w:pStyle w:val="Bullets"/>
        <w:ind w:left="284" w:hanging="283"/>
        <w:rPr>
          <w:rFonts w:cs="Times New Roman (Cuerpo en alfa"/>
          <w:spacing w:val="-6"/>
        </w:rPr>
      </w:pPr>
      <w:r w:rsidRPr="00F518D3">
        <w:rPr>
          <w:rFonts w:cs="Times New Roman (Cuerpo en alfa"/>
          <w:spacing w:val="-6"/>
        </w:rPr>
        <w:t>La pérdida de vocación agrícola y las barreras para las actividades productivas.</w:t>
      </w:r>
    </w:p>
    <w:p w14:paraId="57C7C5C2" w14:textId="77777777" w:rsidR="008C3A64" w:rsidRPr="00F518D3" w:rsidRDefault="008C3A64" w:rsidP="008C3A64">
      <w:pPr>
        <w:pStyle w:val="Bullets"/>
        <w:numPr>
          <w:ilvl w:val="0"/>
          <w:numId w:val="0"/>
        </w:numPr>
        <w:rPr>
          <w:rFonts w:cs="Times New Roman (Cuerpo en alfa"/>
          <w:spacing w:val="-6"/>
        </w:rPr>
      </w:pPr>
    </w:p>
    <w:p w14:paraId="25FA77B3" w14:textId="77777777" w:rsidR="008C3A64" w:rsidRPr="00F518D3" w:rsidRDefault="008C3A64" w:rsidP="008C3A64">
      <w:pPr>
        <w:pStyle w:val="Bullets"/>
        <w:ind w:left="284" w:hanging="283"/>
        <w:rPr>
          <w:rFonts w:cs="Times New Roman (Cuerpo en alfa"/>
          <w:spacing w:val="-6"/>
        </w:rPr>
      </w:pPr>
      <w:r w:rsidRPr="00F518D3">
        <w:rPr>
          <w:rFonts w:cs="Times New Roman (Cuerpo en alfa"/>
          <w:spacing w:val="-6"/>
        </w:rPr>
        <w:t>Las dificultades para la participación y el liderazgo de las comunidades, expresado en la baja incidencia en la toma de decisiones y en la amenaza a la gestión comunitaria.</w:t>
      </w:r>
    </w:p>
    <w:p w14:paraId="14CEC7CD" w14:textId="77777777" w:rsidR="008C3A64" w:rsidRPr="00F518D3" w:rsidRDefault="008C3A64" w:rsidP="008C3A64">
      <w:pPr>
        <w:pStyle w:val="Bullets"/>
        <w:numPr>
          <w:ilvl w:val="0"/>
          <w:numId w:val="0"/>
        </w:numPr>
        <w:rPr>
          <w:rFonts w:cs="Times New Roman (Cuerpo en alfa"/>
          <w:spacing w:val="-6"/>
        </w:rPr>
      </w:pPr>
    </w:p>
    <w:p w14:paraId="5BD3B8AC" w14:textId="77777777" w:rsidR="008C3A64" w:rsidRPr="00F518D3" w:rsidRDefault="008C3A64" w:rsidP="008C3A64">
      <w:pPr>
        <w:pStyle w:val="Bullets"/>
        <w:ind w:left="284" w:hanging="283"/>
        <w:rPr>
          <w:rFonts w:cs="Times New Roman (Cuerpo en alfa"/>
          <w:spacing w:val="-6"/>
        </w:rPr>
      </w:pPr>
      <w:r w:rsidRPr="00F518D3">
        <w:rPr>
          <w:rFonts w:cs="Times New Roman (Cuerpo en alfa"/>
          <w:spacing w:val="-6"/>
        </w:rPr>
        <w:t>La percepción de baja presencia institucional o poco efectiva en los territorios rurales.</w:t>
      </w:r>
    </w:p>
    <w:p w14:paraId="646076F9" w14:textId="77777777" w:rsidR="008C3A64" w:rsidRPr="00F518D3" w:rsidRDefault="008C3A64" w:rsidP="008C3A64">
      <w:pPr>
        <w:pStyle w:val="Bullets"/>
        <w:numPr>
          <w:ilvl w:val="0"/>
          <w:numId w:val="0"/>
        </w:numPr>
        <w:ind w:left="284"/>
        <w:rPr>
          <w:rFonts w:cs="Times New Roman (Cuerpo en alfa"/>
          <w:spacing w:val="-6"/>
        </w:rPr>
      </w:pPr>
    </w:p>
    <w:p w14:paraId="63C11C26" w14:textId="77777777" w:rsidR="008C3A64" w:rsidRPr="00F518D3" w:rsidRDefault="008C3A64" w:rsidP="008C3A64">
      <w:pPr>
        <w:pStyle w:val="Bullets"/>
        <w:ind w:left="284" w:hanging="283"/>
        <w:rPr>
          <w:rFonts w:cs="Times New Roman (Cuerpo en alfa"/>
          <w:spacing w:val="-6"/>
        </w:rPr>
      </w:pPr>
      <w:r w:rsidRPr="00F518D3">
        <w:rPr>
          <w:rFonts w:cs="Times New Roman (Cuerpo en alfa"/>
          <w:spacing w:val="-6"/>
        </w:rPr>
        <w:t>Las vías en mal estado.</w:t>
      </w:r>
    </w:p>
    <w:p w14:paraId="0261DB04" w14:textId="77777777" w:rsidR="008C3A64" w:rsidRPr="00F518D3" w:rsidRDefault="008C3A64" w:rsidP="008C3A64">
      <w:pPr>
        <w:pStyle w:val="Bullets"/>
        <w:numPr>
          <w:ilvl w:val="0"/>
          <w:numId w:val="0"/>
        </w:numPr>
        <w:ind w:left="284"/>
        <w:rPr>
          <w:rFonts w:cs="Times New Roman (Cuerpo en alfa"/>
          <w:spacing w:val="-6"/>
        </w:rPr>
      </w:pPr>
    </w:p>
    <w:p w14:paraId="7F1BC991" w14:textId="77777777" w:rsidR="008C3A64" w:rsidRDefault="008C3A64" w:rsidP="008C3A64">
      <w:pPr>
        <w:pStyle w:val="Bullets"/>
        <w:ind w:left="284" w:hanging="283"/>
        <w:rPr>
          <w:rFonts w:cs="Times New Roman (Cuerpo en alfa"/>
          <w:spacing w:val="-6"/>
        </w:rPr>
      </w:pPr>
      <w:r w:rsidRPr="00F518D3">
        <w:rPr>
          <w:rFonts w:cs="Times New Roman (Cuerpo en alfa"/>
          <w:spacing w:val="-6"/>
        </w:rPr>
        <w:t>Barreras de acceso a servicios y programas sociales.</w:t>
      </w:r>
    </w:p>
    <w:p w14:paraId="6810CAD1" w14:textId="77777777" w:rsidR="008C3A64" w:rsidRPr="00D4259D" w:rsidRDefault="008C3A64" w:rsidP="008C3A64">
      <w:pPr>
        <w:pStyle w:val="Bullets"/>
        <w:numPr>
          <w:ilvl w:val="0"/>
          <w:numId w:val="0"/>
        </w:numPr>
        <w:rPr>
          <w:rFonts w:cs="Times New Roman (Cuerpo en alfa"/>
          <w:spacing w:val="-6"/>
        </w:rPr>
      </w:pPr>
    </w:p>
    <w:p w14:paraId="6741B088" w14:textId="77777777" w:rsidR="008C3A64" w:rsidRPr="00F518D3" w:rsidRDefault="008C3A64" w:rsidP="008C3A64">
      <w:pPr>
        <w:rPr>
          <w:rFonts w:cs="Times New Roman (Cuerpo en alfa"/>
          <w:spacing w:val="-6"/>
          <w:szCs w:val="22"/>
        </w:rPr>
      </w:pPr>
      <w:r w:rsidRPr="00F518D3">
        <w:rPr>
          <w:rFonts w:cs="Times New Roman (Cuerpo en alfa"/>
          <w:spacing w:val="-6"/>
          <w:szCs w:val="22"/>
        </w:rPr>
        <w:t>El mismo documento enuncia datos y estadísticas que evidencian el déficit cuantitativo y cualitativo de vivienda y el acceso a servicios sociales:</w:t>
      </w:r>
    </w:p>
    <w:p w14:paraId="5E1E2DDE" w14:textId="77777777" w:rsidR="008C3A64" w:rsidRPr="00F518D3" w:rsidRDefault="008C3A64" w:rsidP="008C3A64">
      <w:pPr>
        <w:rPr>
          <w:rFonts w:cs="Times New Roman (Cuerpo en alfa"/>
          <w:spacing w:val="-6"/>
          <w:szCs w:val="22"/>
        </w:rPr>
      </w:pPr>
    </w:p>
    <w:p w14:paraId="46D27D08" w14:textId="77777777" w:rsidR="008C3A64" w:rsidRPr="00F518D3" w:rsidRDefault="008C3A64" w:rsidP="008C3A64">
      <w:pPr>
        <w:pStyle w:val="Bullets"/>
        <w:ind w:left="284" w:hanging="284"/>
        <w:rPr>
          <w:rFonts w:cs="Times New Roman (Cuerpo en alfa"/>
          <w:spacing w:val="-6"/>
        </w:rPr>
      </w:pPr>
      <w:r w:rsidRPr="00F518D3">
        <w:rPr>
          <w:rFonts w:cs="Times New Roman (Cuerpo en alfa"/>
          <w:spacing w:val="-6"/>
        </w:rPr>
        <w:t xml:space="preserve">Hay 543 hogares en la Pieza Rural Cerros Orientales, de los cuales el 14,5 % se encuentra en déficit cuantitativo y el 64,8 % en déficit cualitativo. </w:t>
      </w:r>
      <w:r w:rsidRPr="00F518D3">
        <w:rPr>
          <w:rFonts w:cs="Times New Roman (Cuerpo en alfa"/>
          <w:spacing w:val="-6"/>
        </w:rPr>
        <w:t>En este sentido, el 79,4 % de los hogares de la Pieza Cerros Orientales se encuentra en déficit habitacional.</w:t>
      </w:r>
    </w:p>
    <w:p w14:paraId="14137E84" w14:textId="77777777" w:rsidR="008C3A64" w:rsidRPr="00F518D3" w:rsidRDefault="008C3A64" w:rsidP="008C3A64">
      <w:pPr>
        <w:pStyle w:val="Bullets"/>
        <w:numPr>
          <w:ilvl w:val="0"/>
          <w:numId w:val="0"/>
        </w:numPr>
        <w:ind w:left="284"/>
        <w:rPr>
          <w:rFonts w:cs="Times New Roman (Cuerpo en alfa"/>
          <w:spacing w:val="-6"/>
        </w:rPr>
      </w:pPr>
    </w:p>
    <w:p w14:paraId="4AE942ED" w14:textId="77777777" w:rsidR="008C3A64" w:rsidRPr="00F518D3" w:rsidRDefault="008C3A64" w:rsidP="008C3A64">
      <w:pPr>
        <w:pStyle w:val="Bullets"/>
        <w:ind w:left="284" w:hanging="284"/>
        <w:rPr>
          <w:rFonts w:cs="Times New Roman (Cuerpo en alfa"/>
          <w:spacing w:val="-6"/>
        </w:rPr>
      </w:pPr>
      <w:r w:rsidRPr="00F518D3">
        <w:rPr>
          <w:rFonts w:cs="Times New Roman (Cuerpo en alfa"/>
          <w:spacing w:val="-6"/>
        </w:rPr>
        <w:t>Hay 3.077 hogares en la Pieza Rural Cuenca del Tunjuelo, de los cuales el 7 % se encuentra en déficit cuantitativo y el 46,8 % en déficit cualitativo. En este sentido, el 53,8 % de los hogares de la Pieza Cuenca Tunjuelo se encuentra en déficit habitacional.</w:t>
      </w:r>
    </w:p>
    <w:p w14:paraId="71B9680B" w14:textId="77777777" w:rsidR="008C3A64" w:rsidRPr="00F518D3" w:rsidRDefault="008C3A64" w:rsidP="008C3A64">
      <w:pPr>
        <w:pStyle w:val="Bullets"/>
        <w:numPr>
          <w:ilvl w:val="0"/>
          <w:numId w:val="0"/>
        </w:numPr>
        <w:ind w:left="284"/>
        <w:rPr>
          <w:rFonts w:cs="Times New Roman (Cuerpo en alfa"/>
          <w:spacing w:val="-6"/>
        </w:rPr>
      </w:pPr>
    </w:p>
    <w:p w14:paraId="70D9680D" w14:textId="77777777" w:rsidR="008C3A64" w:rsidRPr="00F518D3" w:rsidRDefault="008C3A64" w:rsidP="008C3A64">
      <w:pPr>
        <w:pStyle w:val="Bullets"/>
        <w:ind w:left="284" w:hanging="284"/>
        <w:rPr>
          <w:rFonts w:cs="Times New Roman (Cuerpo en alfa"/>
          <w:spacing w:val="-6"/>
        </w:rPr>
      </w:pPr>
      <w:r w:rsidRPr="00F518D3">
        <w:rPr>
          <w:rFonts w:cs="Times New Roman (Cuerpo en alfa"/>
          <w:spacing w:val="-6"/>
        </w:rPr>
        <w:t>Hay 659 hogares en la Pieza Rural Sumapaz, de los cuales el 21,1 % se encuentra en déficit cuantitativo y el 64,6 % en déficit cualitativo. En este sentido, el 85,7 % de los hogares de la Pieza Sumapaz se encuentra en déficit habitacional.</w:t>
      </w:r>
    </w:p>
    <w:p w14:paraId="5F79B6E1" w14:textId="77777777" w:rsidR="008C3A64" w:rsidRPr="00F518D3" w:rsidRDefault="008C3A64" w:rsidP="008C3A64">
      <w:pPr>
        <w:pStyle w:val="Bullets"/>
        <w:numPr>
          <w:ilvl w:val="0"/>
          <w:numId w:val="0"/>
        </w:numPr>
        <w:ind w:left="284"/>
        <w:rPr>
          <w:rFonts w:cs="Times New Roman (Cuerpo en alfa"/>
          <w:spacing w:val="-6"/>
        </w:rPr>
      </w:pPr>
    </w:p>
    <w:p w14:paraId="5B69AED4" w14:textId="77777777" w:rsidR="008C3A64" w:rsidRPr="00F518D3" w:rsidRDefault="008C3A64" w:rsidP="008C3A64">
      <w:pPr>
        <w:pStyle w:val="Bullets"/>
        <w:ind w:left="284" w:hanging="284"/>
        <w:rPr>
          <w:rFonts w:cs="Times New Roman (Cuerpo en alfa"/>
          <w:spacing w:val="-6"/>
        </w:rPr>
      </w:pPr>
      <w:r w:rsidRPr="00F518D3">
        <w:rPr>
          <w:rFonts w:cs="Times New Roman (Cuerpo en alfa"/>
          <w:spacing w:val="-6"/>
        </w:rPr>
        <w:t>Hay 636 hogares en la Pieza Rural Norte-Torca, de los cuales el 5,7 % se encuentra en déficit cuantitativo y el 62,4 % en déficit cualitativo. En este sentido, el 68,1 % de los hogares de esta Pieza Rural se encuentra en déficit habitacional.</w:t>
      </w:r>
    </w:p>
    <w:p w14:paraId="0064D3BC" w14:textId="77777777" w:rsidR="008C3A64" w:rsidRPr="00F518D3" w:rsidRDefault="008C3A64" w:rsidP="008C3A64">
      <w:pPr>
        <w:rPr>
          <w:rFonts w:cs="Times New Roman (Cuerpo en alfa"/>
          <w:spacing w:val="-6"/>
          <w:szCs w:val="22"/>
        </w:rPr>
      </w:pPr>
    </w:p>
    <w:p w14:paraId="371B892C" w14:textId="77777777" w:rsidR="008C3A64" w:rsidRPr="00F518D3" w:rsidRDefault="008C3A64" w:rsidP="008C3A64">
      <w:pPr>
        <w:rPr>
          <w:rFonts w:cs="Times New Roman (Cuerpo en alfa"/>
          <w:spacing w:val="-6"/>
          <w:szCs w:val="22"/>
        </w:rPr>
      </w:pPr>
      <w:r w:rsidRPr="00F518D3">
        <w:rPr>
          <w:rFonts w:cs="Times New Roman (Cuerpo en alfa"/>
          <w:spacing w:val="-6"/>
          <w:szCs w:val="22"/>
        </w:rPr>
        <w:t>Este documento menciona que gracias al Índice de Condiciones Ampliadas de Vida (ICAV) se pudieron identificar las siguientes problemáticas:</w:t>
      </w:r>
    </w:p>
    <w:p w14:paraId="366A2777" w14:textId="77777777" w:rsidR="008C3A64" w:rsidRPr="005A31BC" w:rsidRDefault="008C3A64" w:rsidP="008C3A64">
      <w:pPr>
        <w:rPr>
          <w:rFonts w:cs="Times New Roman (Cuerpo en alfa"/>
          <w:spacing w:val="-6"/>
        </w:rPr>
      </w:pPr>
    </w:p>
    <w:p w14:paraId="2178D739" w14:textId="77777777" w:rsidR="008C3A64" w:rsidRPr="005A31BC" w:rsidRDefault="008C3A64" w:rsidP="008C3A64">
      <w:pPr>
        <w:pStyle w:val="Bullets"/>
        <w:ind w:left="426" w:hanging="426"/>
        <w:rPr>
          <w:rFonts w:cs="Times New Roman (Cuerpo en alfa"/>
          <w:spacing w:val="-6"/>
        </w:rPr>
      </w:pPr>
      <w:r w:rsidRPr="005A31BC">
        <w:rPr>
          <w:rFonts w:cs="Times New Roman (Cuerpo en alfa"/>
          <w:b/>
          <w:bCs/>
          <w:color w:val="C00000"/>
          <w:spacing w:val="-6"/>
        </w:rPr>
        <w:t>Educación:</w:t>
      </w:r>
      <w:r w:rsidRPr="005A31BC">
        <w:rPr>
          <w:rFonts w:cs="Times New Roman (Cuerpo en alfa"/>
          <w:color w:val="C00000"/>
          <w:spacing w:val="-6"/>
        </w:rPr>
        <w:t xml:space="preserve"> </w:t>
      </w:r>
      <w:r w:rsidRPr="005A31BC">
        <w:rPr>
          <w:rFonts w:cs="Times New Roman (Cuerpo en alfa"/>
          <w:spacing w:val="-6"/>
        </w:rPr>
        <w:t>La privación de bajo logro educativo</w:t>
      </w:r>
      <w:r w:rsidRPr="005A31BC">
        <w:rPr>
          <w:rFonts w:cs="Times New Roman (Cuerpo en alfa"/>
          <w:spacing w:val="-6"/>
          <w:vertAlign w:val="superscript"/>
        </w:rPr>
        <w:footnoteReference w:id="2"/>
      </w:r>
      <w:r w:rsidRPr="005A31BC">
        <w:rPr>
          <w:rFonts w:cs="Times New Roman (Cuerpo en alfa"/>
          <w:spacing w:val="-6"/>
        </w:rPr>
        <w:t xml:space="preserve"> se registró en el 74,5 % de los hogares, y se destaca que el rezago escolar se presenta en cerca del 30 % del total de hogares de la ruralidad del distrito.</w:t>
      </w:r>
    </w:p>
    <w:p w14:paraId="33E57B20" w14:textId="77777777" w:rsidR="008C3A64" w:rsidRPr="005A31BC" w:rsidRDefault="008C3A64" w:rsidP="008C3A64">
      <w:pPr>
        <w:pStyle w:val="Bullets"/>
        <w:numPr>
          <w:ilvl w:val="0"/>
          <w:numId w:val="0"/>
        </w:numPr>
        <w:ind w:left="714" w:hanging="357"/>
        <w:rPr>
          <w:rFonts w:cs="Times New Roman (Cuerpo en alfa"/>
          <w:spacing w:val="-6"/>
        </w:rPr>
      </w:pPr>
    </w:p>
    <w:p w14:paraId="05B1572A" w14:textId="77777777" w:rsidR="008C3A64" w:rsidRPr="005A31BC" w:rsidRDefault="008C3A64" w:rsidP="008C3A64">
      <w:pPr>
        <w:pStyle w:val="Bullets"/>
        <w:ind w:left="426" w:hanging="426"/>
        <w:rPr>
          <w:rFonts w:cs="Times New Roman (Cuerpo en alfa"/>
          <w:spacing w:val="-6"/>
        </w:rPr>
      </w:pPr>
      <w:r w:rsidRPr="005A31BC">
        <w:rPr>
          <w:rFonts w:cs="Times New Roman (Cuerpo en alfa"/>
          <w:b/>
          <w:color w:val="C00000"/>
          <w:spacing w:val="-6"/>
        </w:rPr>
        <w:t>Empleo:</w:t>
      </w:r>
      <w:r w:rsidRPr="005A31BC">
        <w:rPr>
          <w:rFonts w:cs="Times New Roman (Cuerpo en alfa"/>
          <w:color w:val="C00000"/>
          <w:spacing w:val="-6"/>
        </w:rPr>
        <w:t xml:space="preserve"> </w:t>
      </w:r>
      <w:r w:rsidRPr="005A31BC">
        <w:rPr>
          <w:rFonts w:cs="Times New Roman (Cuerpo en alfa"/>
          <w:spacing w:val="-6"/>
        </w:rPr>
        <w:t>El empleo formal corresponde a una privación predominante del 74 % de los trabajadores rurales.</w:t>
      </w:r>
    </w:p>
    <w:p w14:paraId="7F69A63E" w14:textId="77777777" w:rsidR="008C3A64" w:rsidRPr="005A31BC" w:rsidRDefault="008C3A64" w:rsidP="008C3A64">
      <w:pPr>
        <w:pStyle w:val="Bullets"/>
        <w:numPr>
          <w:ilvl w:val="0"/>
          <w:numId w:val="0"/>
        </w:numPr>
        <w:ind w:left="714" w:hanging="357"/>
        <w:rPr>
          <w:rFonts w:cs="Times New Roman (Cuerpo en alfa"/>
          <w:spacing w:val="-6"/>
        </w:rPr>
      </w:pPr>
    </w:p>
    <w:p w14:paraId="131B9D60" w14:textId="77777777" w:rsidR="008C3A64" w:rsidRPr="005A31BC" w:rsidRDefault="008C3A64" w:rsidP="008C3A64">
      <w:pPr>
        <w:pStyle w:val="Bullets"/>
        <w:ind w:left="426" w:hanging="426"/>
        <w:rPr>
          <w:rFonts w:cs="Times New Roman (Cuerpo en alfa"/>
          <w:spacing w:val="-6"/>
        </w:rPr>
      </w:pPr>
      <w:r w:rsidRPr="005A31BC">
        <w:rPr>
          <w:rFonts w:cs="Times New Roman (Cuerpo en alfa"/>
          <w:b/>
          <w:bCs/>
          <w:color w:val="C00000"/>
          <w:spacing w:val="-6"/>
        </w:rPr>
        <w:t>Salud:</w:t>
      </w:r>
      <w:r w:rsidRPr="005A31BC">
        <w:rPr>
          <w:rFonts w:cs="Times New Roman (Cuerpo en alfa"/>
          <w:color w:val="C00000"/>
          <w:spacing w:val="-6"/>
        </w:rPr>
        <w:t xml:space="preserve"> </w:t>
      </w:r>
      <w:r w:rsidRPr="005A31BC">
        <w:rPr>
          <w:rFonts w:cs="Times New Roman (Cuerpo en alfa"/>
          <w:spacing w:val="-6"/>
        </w:rPr>
        <w:t xml:space="preserve">La inseguridad alimentaria representa un mayor peso en la dimensión de salud con un total del 17,4 % de la población de las piezas </w:t>
      </w:r>
      <w:r w:rsidRPr="005A31BC">
        <w:rPr>
          <w:rFonts w:cs="Times New Roman (Cuerpo en alfa"/>
          <w:spacing w:val="-6"/>
        </w:rPr>
        <w:lastRenderedPageBreak/>
        <w:t>rurales, la Cuenca Tunjuelo es la que más registra esta privación, con un 22,3 %. La segunda variable que tiene más peso es la de aseguramiento en salud, que se presenta en 2,8 % de la población; seguida de embarazo adolescente, con el 2,2 %.</w:t>
      </w:r>
    </w:p>
    <w:p w14:paraId="00174E02" w14:textId="77777777" w:rsidR="008C3A64" w:rsidRPr="005A31BC" w:rsidRDefault="008C3A64" w:rsidP="008C3A64">
      <w:pPr>
        <w:pStyle w:val="Bullets"/>
        <w:ind w:left="426" w:hanging="426"/>
        <w:rPr>
          <w:rFonts w:cs="Times New Roman (Cuerpo en alfa"/>
          <w:spacing w:val="-6"/>
        </w:rPr>
        <w:sectPr w:rsidR="008C3A64" w:rsidRPr="005A31BC" w:rsidSect="00F7078E">
          <w:type w:val="continuous"/>
          <w:pgSz w:w="12240" w:h="15840"/>
          <w:pgMar w:top="2262" w:right="1440" w:bottom="1440" w:left="1440" w:header="708" w:footer="680" w:gutter="0"/>
          <w:cols w:num="2" w:space="567"/>
          <w:docGrid w:linePitch="299"/>
        </w:sectPr>
      </w:pPr>
      <w:r w:rsidRPr="005A31BC">
        <w:rPr>
          <w:rFonts w:cs="Times New Roman (Cuerpo en alfa"/>
          <w:b/>
          <w:bCs/>
          <w:color w:val="C00000"/>
          <w:spacing w:val="-6"/>
        </w:rPr>
        <w:t>Cuidado y uso del tiempo:</w:t>
      </w:r>
      <w:r w:rsidRPr="005A31BC">
        <w:rPr>
          <w:rFonts w:cs="Times New Roman (Cuerpo en alfa"/>
          <w:color w:val="C00000"/>
          <w:spacing w:val="-6"/>
        </w:rPr>
        <w:t xml:space="preserve"> </w:t>
      </w:r>
      <w:r w:rsidRPr="005A31BC">
        <w:rPr>
          <w:rFonts w:cs="Times New Roman (Cuerpo en alfa"/>
          <w:spacing w:val="-6"/>
        </w:rPr>
        <w:t>El 56,7 % de los hogares rurales se encuentran privados de actividades de tiempo libre, en tanto carecen de tiempo para realizar actividades culturales o propias del tiempo libre y para compartir en familia.</w:t>
      </w:r>
    </w:p>
    <w:p w14:paraId="19185DB3" w14:textId="77777777" w:rsidR="008C3A64" w:rsidRDefault="008C3A64" w:rsidP="008C3A64">
      <w:pPr>
        <w:rPr>
          <w:spacing w:val="-6"/>
        </w:rPr>
        <w:sectPr w:rsidR="008C3A64" w:rsidSect="00F7078E">
          <w:type w:val="continuous"/>
          <w:pgSz w:w="12240" w:h="15840"/>
          <w:pgMar w:top="2262" w:right="1440" w:bottom="1440" w:left="1440" w:header="708" w:footer="680" w:gutter="0"/>
          <w:cols w:num="2" w:space="567"/>
          <w:docGrid w:linePitch="299"/>
        </w:sectPr>
      </w:pPr>
    </w:p>
    <w:p w14:paraId="40D5E6A8" w14:textId="30BEBECA" w:rsidR="008C3A64" w:rsidRPr="00DE1C45" w:rsidRDefault="008C3A64" w:rsidP="00DE1C45">
      <w:pPr>
        <w:ind w:firstLine="426"/>
        <w:rPr>
          <w:rFonts w:eastAsiaTheme="minorHAnsi"/>
          <w:b/>
          <w:sz w:val="28"/>
          <w:lang w:val="es-419" w:eastAsia="en-US"/>
        </w:rPr>
      </w:pPr>
      <w:r w:rsidRPr="00DE1C45">
        <w:rPr>
          <w:rFonts w:eastAsiaTheme="minorHAnsi"/>
          <w:b/>
          <w:sz w:val="28"/>
          <w:lang w:val="es-419" w:eastAsia="en-US"/>
        </w:rPr>
        <w:t>Grupos étnicos e indígenas</w:t>
      </w:r>
    </w:p>
    <w:p w14:paraId="68FE9445"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space="567"/>
          <w:docGrid w:linePitch="299"/>
        </w:sectPr>
      </w:pPr>
    </w:p>
    <w:p w14:paraId="098B01B9" w14:textId="77777777" w:rsidR="008C3A64" w:rsidRPr="005A31BC" w:rsidRDefault="008C3A64" w:rsidP="008C3A64">
      <w:pPr>
        <w:rPr>
          <w:rFonts w:cs="Times New Roman (Cuerpo en alfa"/>
          <w:spacing w:val="-6"/>
        </w:rPr>
      </w:pPr>
      <w:r w:rsidRPr="005A31BC">
        <w:rPr>
          <w:rFonts w:cs="Times New Roman (Cuerpo en alfa"/>
          <w:spacing w:val="-6"/>
        </w:rPr>
        <w:t>Según la Encuesta Multipropósito de Bogotá 2017-2021 las personas que se autorreconocen como parte de grupos étnicos aumentaron, pasando de 1,02 % en 2017 a un 1,68 % para el 2021.</w:t>
      </w:r>
    </w:p>
    <w:p w14:paraId="34CDC3D7" w14:textId="77777777" w:rsidR="008C3A64" w:rsidRPr="005A31BC" w:rsidRDefault="008C3A64" w:rsidP="008C3A64">
      <w:pPr>
        <w:rPr>
          <w:rFonts w:cs="Times New Roman (Cuerpo en alfa"/>
          <w:spacing w:val="-6"/>
        </w:rPr>
      </w:pPr>
    </w:p>
    <w:p w14:paraId="54DEDA55" w14:textId="2CB6DBE3" w:rsidR="008C3A64" w:rsidRPr="005A31BC" w:rsidRDefault="008C3A64" w:rsidP="008C3A64">
      <w:pPr>
        <w:rPr>
          <w:rFonts w:cs="Times New Roman (Cuerpo en alfa"/>
          <w:spacing w:val="-6"/>
        </w:rPr>
      </w:pPr>
      <w:r w:rsidRPr="005A31BC">
        <w:rPr>
          <w:rFonts w:cs="Times New Roman (Cuerpo en alfa"/>
          <w:spacing w:val="-6"/>
        </w:rPr>
        <w:t xml:space="preserve">De este grupo, las personas indígenas en 2017 representaban el 19,10 % y para 2021 este porcentaje </w:t>
      </w:r>
      <w:r w:rsidRPr="005A31BC">
        <w:rPr>
          <w:rFonts w:cs="Times New Roman (Cuerpo en alfa"/>
          <w:spacing w:val="-6"/>
        </w:rPr>
        <w:t xml:space="preserve">se incrementó hasta representar el 58,40 % del total, el porcentaje de afrocolombianos se redujo del 77,32 % a un 41,12 % y las personas pertenecientes al pueblo Rrom pasaron de 3,57 % a un 0,48 % (Alcaldía Mayor de Bogotá, 2023c, p. 40) </w:t>
      </w:r>
      <w:r w:rsidRPr="00DE1C45">
        <w:rPr>
          <w:rFonts w:cs="Times New Roman (Cuerpo en alfa"/>
          <w:spacing w:val="-6"/>
        </w:rPr>
        <w:t>(</w:t>
      </w:r>
      <w:r w:rsidR="00DE1C45" w:rsidRPr="00DE1C45">
        <w:rPr>
          <w:rFonts w:cs="Times New Roman (Cuerpo en alfa"/>
          <w:spacing w:val="-6"/>
        </w:rPr>
        <w:fldChar w:fldCharType="begin"/>
      </w:r>
      <w:r w:rsidR="00DE1C45" w:rsidRPr="00DE1C45">
        <w:rPr>
          <w:rFonts w:cs="Times New Roman (Cuerpo en alfa"/>
          <w:spacing w:val="-6"/>
        </w:rPr>
        <w:instrText xml:space="preserve"> REF _Ref165115233 \h </w:instrText>
      </w:r>
      <w:r w:rsidR="00DE1C45" w:rsidRPr="00DE1C45">
        <w:rPr>
          <w:rFonts w:cs="Times New Roman (Cuerpo en alfa"/>
          <w:spacing w:val="-6"/>
        </w:rPr>
      </w:r>
      <w:r w:rsidR="00DE1C45" w:rsidRPr="00DE1C45">
        <w:rPr>
          <w:rFonts w:cs="Times New Roman (Cuerpo en alfa"/>
          <w:spacing w:val="-6"/>
        </w:rPr>
        <w:fldChar w:fldCharType="separate"/>
      </w:r>
      <w:r w:rsidR="00D01651" w:rsidRPr="00DE1C45">
        <w:rPr>
          <w:color w:val="C00000"/>
          <w:sz w:val="18"/>
          <w:szCs w:val="14"/>
        </w:rPr>
        <w:t xml:space="preserve">Tabla </w:t>
      </w:r>
      <w:r w:rsidR="00D01651">
        <w:rPr>
          <w:noProof/>
          <w:color w:val="C00000"/>
          <w:sz w:val="18"/>
          <w:szCs w:val="14"/>
        </w:rPr>
        <w:t>8</w:t>
      </w:r>
      <w:r w:rsidR="00DE1C45" w:rsidRPr="00DE1C45">
        <w:rPr>
          <w:rFonts w:cs="Times New Roman (Cuerpo en alfa"/>
          <w:spacing w:val="-6"/>
        </w:rPr>
        <w:fldChar w:fldCharType="end"/>
      </w:r>
      <w:r w:rsidRPr="005A31BC">
        <w:rPr>
          <w:rFonts w:cs="Times New Roman (Cuerpo en alfa"/>
          <w:spacing w:val="-6"/>
        </w:rPr>
        <w:t>).</w:t>
      </w:r>
    </w:p>
    <w:p w14:paraId="046AD6CF"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num="2" w:space="567"/>
          <w:docGrid w:linePitch="299"/>
        </w:sectPr>
      </w:pPr>
    </w:p>
    <w:p w14:paraId="78D9C0C9" w14:textId="3901A0C2" w:rsidR="008C3A64" w:rsidRDefault="008C3A64" w:rsidP="008C3A64">
      <w:pPr>
        <w:rPr>
          <w:spacing w:val="-6"/>
        </w:rPr>
      </w:pPr>
    </w:p>
    <w:p w14:paraId="0E8111A4" w14:textId="77777777" w:rsidR="00C454E0" w:rsidRPr="005A31BC" w:rsidRDefault="00C454E0" w:rsidP="008C3A64">
      <w:pPr>
        <w:rPr>
          <w:spacing w:val="-6"/>
        </w:rPr>
      </w:pPr>
    </w:p>
    <w:p w14:paraId="31E1B490" w14:textId="0106EA6B" w:rsidR="000324CB" w:rsidRPr="00D768C0" w:rsidRDefault="00DE1C45" w:rsidP="00D768C0">
      <w:pPr>
        <w:pStyle w:val="Descripcin"/>
        <w:jc w:val="center"/>
        <w:rPr>
          <w:spacing w:val="-6"/>
          <w:sz w:val="18"/>
          <w:szCs w:val="14"/>
        </w:rPr>
      </w:pPr>
      <w:bookmarkStart w:id="115" w:name="_Ref165115233"/>
      <w:bookmarkStart w:id="116" w:name="_Toc165169918"/>
      <w:r w:rsidRPr="00DE1C45">
        <w:rPr>
          <w:color w:val="C00000"/>
          <w:sz w:val="18"/>
          <w:szCs w:val="14"/>
        </w:rPr>
        <w:t xml:space="preserve">Tabla </w:t>
      </w:r>
      <w:r w:rsidRPr="00DE1C45">
        <w:rPr>
          <w:color w:val="C00000"/>
          <w:sz w:val="18"/>
          <w:szCs w:val="14"/>
        </w:rPr>
        <w:fldChar w:fldCharType="begin"/>
      </w:r>
      <w:r w:rsidRPr="00DE1C45">
        <w:rPr>
          <w:color w:val="C00000"/>
          <w:sz w:val="18"/>
          <w:szCs w:val="14"/>
        </w:rPr>
        <w:instrText xml:space="preserve"> SEQ Tabla \* ARABIC </w:instrText>
      </w:r>
      <w:r w:rsidRPr="00DE1C45">
        <w:rPr>
          <w:color w:val="C00000"/>
          <w:sz w:val="18"/>
          <w:szCs w:val="14"/>
        </w:rPr>
        <w:fldChar w:fldCharType="separate"/>
      </w:r>
      <w:r w:rsidR="00D01651">
        <w:rPr>
          <w:noProof/>
          <w:color w:val="C00000"/>
          <w:sz w:val="18"/>
          <w:szCs w:val="14"/>
        </w:rPr>
        <w:t>8</w:t>
      </w:r>
      <w:r w:rsidRPr="00DE1C45">
        <w:rPr>
          <w:color w:val="C00000"/>
          <w:sz w:val="18"/>
          <w:szCs w:val="14"/>
        </w:rPr>
        <w:fldChar w:fldCharType="end"/>
      </w:r>
      <w:bookmarkEnd w:id="115"/>
      <w:r w:rsidRPr="00DE1C45">
        <w:rPr>
          <w:color w:val="C00000"/>
          <w:sz w:val="18"/>
          <w:szCs w:val="14"/>
        </w:rPr>
        <w:t xml:space="preserve">. </w:t>
      </w:r>
      <w:r w:rsidR="008C3A64" w:rsidRPr="00DE1C45">
        <w:rPr>
          <w:spacing w:val="-6"/>
          <w:sz w:val="18"/>
          <w:szCs w:val="14"/>
        </w:rPr>
        <w:t>Población habitante de Bogotá según autorreconocimiento étnico y zona</w:t>
      </w:r>
      <w:bookmarkEnd w:id="116"/>
    </w:p>
    <w:tbl>
      <w:tblPr>
        <w:tblW w:w="8940" w:type="dxa"/>
        <w:jc w:val="center"/>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112"/>
        <w:gridCol w:w="711"/>
        <w:gridCol w:w="608"/>
        <w:gridCol w:w="573"/>
        <w:gridCol w:w="553"/>
        <w:gridCol w:w="735"/>
        <w:gridCol w:w="802"/>
        <w:gridCol w:w="776"/>
        <w:gridCol w:w="573"/>
        <w:gridCol w:w="573"/>
        <w:gridCol w:w="550"/>
        <w:gridCol w:w="738"/>
        <w:gridCol w:w="630"/>
        <w:gridCol w:w="6"/>
      </w:tblGrid>
      <w:tr w:rsidR="008C3A64" w:rsidRPr="005A31BC" w14:paraId="42BF0223" w14:textId="77777777" w:rsidTr="000324CB">
        <w:trPr>
          <w:trHeight w:val="405"/>
          <w:jc w:val="center"/>
        </w:trPr>
        <w:tc>
          <w:tcPr>
            <w:tcW w:w="1115" w:type="dxa"/>
            <w:vMerge w:val="restart"/>
            <w:shd w:val="clear" w:color="auto" w:fill="C00000"/>
            <w:vAlign w:val="center"/>
            <w:hideMark/>
          </w:tcPr>
          <w:p w14:paraId="43625E4A" w14:textId="77777777" w:rsidR="008C3A64"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 xml:space="preserve">Grupo </w:t>
            </w:r>
          </w:p>
          <w:p w14:paraId="2FC809C3" w14:textId="77777777" w:rsidR="008C3A64" w:rsidRPr="00B321E6" w:rsidRDefault="008C3A64" w:rsidP="00FF1F9A">
            <w:pPr>
              <w:spacing w:line="200" w:lineRule="exact"/>
              <w:jc w:val="center"/>
              <w:rPr>
                <w:b/>
                <w:bCs/>
                <w:color w:val="FFFFFF" w:themeColor="background1"/>
                <w:spacing w:val="-6"/>
                <w:sz w:val="16"/>
                <w:szCs w:val="16"/>
                <w:lang w:eastAsia="es-MX"/>
              </w:rPr>
            </w:pPr>
            <w:r w:rsidRPr="005A31BC">
              <w:rPr>
                <w:b/>
                <w:bCs/>
                <w:color w:val="FFFFFF" w:themeColor="background1"/>
                <w:spacing w:val="-6"/>
                <w:sz w:val="16"/>
                <w:szCs w:val="16"/>
                <w:lang w:eastAsia="es-MX"/>
              </w:rPr>
              <w:t>é</w:t>
            </w:r>
            <w:r w:rsidRPr="00B321E6">
              <w:rPr>
                <w:b/>
                <w:bCs/>
                <w:color w:val="FFFFFF" w:themeColor="background1"/>
                <w:spacing w:val="-6"/>
                <w:sz w:val="16"/>
                <w:szCs w:val="16"/>
                <w:lang w:eastAsia="es-MX"/>
              </w:rPr>
              <w:t>tnico</w:t>
            </w:r>
          </w:p>
        </w:tc>
        <w:tc>
          <w:tcPr>
            <w:tcW w:w="3982" w:type="dxa"/>
            <w:gridSpan w:val="6"/>
            <w:shd w:val="clear" w:color="auto" w:fill="C00000"/>
            <w:noWrap/>
            <w:vAlign w:val="center"/>
            <w:hideMark/>
          </w:tcPr>
          <w:p w14:paraId="282B3F41" w14:textId="77777777" w:rsidR="008C3A64" w:rsidRPr="00B17E80" w:rsidRDefault="008C3A64" w:rsidP="00FF1F9A">
            <w:pPr>
              <w:spacing w:line="200" w:lineRule="exact"/>
              <w:jc w:val="center"/>
              <w:rPr>
                <w:b/>
                <w:bCs/>
                <w:color w:val="FFFFFF" w:themeColor="background1"/>
                <w:spacing w:val="-6"/>
                <w:szCs w:val="22"/>
                <w:lang w:eastAsia="es-MX"/>
              </w:rPr>
            </w:pPr>
            <w:r w:rsidRPr="00B17E80">
              <w:rPr>
                <w:b/>
                <w:bCs/>
                <w:color w:val="FFFFFF" w:themeColor="background1"/>
                <w:spacing w:val="-6"/>
                <w:szCs w:val="22"/>
                <w:lang w:eastAsia="es-MX"/>
              </w:rPr>
              <w:t>2017</w:t>
            </w:r>
          </w:p>
        </w:tc>
        <w:tc>
          <w:tcPr>
            <w:tcW w:w="3843" w:type="dxa"/>
            <w:gridSpan w:val="7"/>
            <w:shd w:val="clear" w:color="auto" w:fill="C00000"/>
            <w:noWrap/>
            <w:vAlign w:val="center"/>
            <w:hideMark/>
          </w:tcPr>
          <w:p w14:paraId="1E266A0C" w14:textId="77777777" w:rsidR="008C3A64" w:rsidRPr="00B17E80" w:rsidRDefault="008C3A64" w:rsidP="00FF1F9A">
            <w:pPr>
              <w:spacing w:line="200" w:lineRule="exact"/>
              <w:jc w:val="center"/>
              <w:rPr>
                <w:b/>
                <w:bCs/>
                <w:color w:val="FFFFFF" w:themeColor="background1"/>
                <w:spacing w:val="-6"/>
                <w:szCs w:val="22"/>
                <w:lang w:eastAsia="es-MX"/>
              </w:rPr>
            </w:pPr>
            <w:r w:rsidRPr="00B17E80">
              <w:rPr>
                <w:b/>
                <w:bCs/>
                <w:color w:val="FFFFFF" w:themeColor="background1"/>
                <w:spacing w:val="-6"/>
                <w:szCs w:val="22"/>
                <w:lang w:eastAsia="es-MX"/>
              </w:rPr>
              <w:t>2021</w:t>
            </w:r>
          </w:p>
        </w:tc>
      </w:tr>
      <w:tr w:rsidR="008C3A64" w:rsidRPr="005A31BC" w14:paraId="62F84A73" w14:textId="77777777" w:rsidTr="000324CB">
        <w:trPr>
          <w:gridAfter w:val="1"/>
          <w:wAfter w:w="6" w:type="dxa"/>
          <w:trHeight w:val="472"/>
          <w:jc w:val="center"/>
        </w:trPr>
        <w:tc>
          <w:tcPr>
            <w:tcW w:w="1115" w:type="dxa"/>
            <w:vMerge/>
            <w:shd w:val="clear" w:color="auto" w:fill="C00000"/>
            <w:vAlign w:val="center"/>
            <w:hideMark/>
          </w:tcPr>
          <w:p w14:paraId="34C1BFE6" w14:textId="77777777" w:rsidR="008C3A64" w:rsidRPr="00B321E6" w:rsidRDefault="008C3A64" w:rsidP="00FF1F9A">
            <w:pPr>
              <w:spacing w:line="200" w:lineRule="exact"/>
              <w:jc w:val="center"/>
              <w:rPr>
                <w:b/>
                <w:bCs/>
                <w:color w:val="FFFFFF" w:themeColor="background1"/>
                <w:spacing w:val="-6"/>
                <w:sz w:val="16"/>
                <w:szCs w:val="16"/>
                <w:lang w:eastAsia="es-MX"/>
              </w:rPr>
            </w:pPr>
          </w:p>
        </w:tc>
        <w:tc>
          <w:tcPr>
            <w:tcW w:w="711" w:type="dxa"/>
            <w:shd w:val="clear" w:color="auto" w:fill="C00000"/>
            <w:vAlign w:val="center"/>
            <w:hideMark/>
          </w:tcPr>
          <w:p w14:paraId="07EBA377" w14:textId="77777777" w:rsidR="008C3A64" w:rsidRPr="00B321E6"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Urbano</w:t>
            </w:r>
          </w:p>
        </w:tc>
        <w:tc>
          <w:tcPr>
            <w:tcW w:w="608" w:type="dxa"/>
            <w:shd w:val="clear" w:color="auto" w:fill="C00000"/>
            <w:vAlign w:val="center"/>
            <w:hideMark/>
          </w:tcPr>
          <w:p w14:paraId="75EAB597" w14:textId="5B0B15B9" w:rsidR="008C3A64" w:rsidRPr="00B321E6" w:rsidRDefault="00DD0786" w:rsidP="00FF1F9A">
            <w:pPr>
              <w:spacing w:line="200" w:lineRule="exact"/>
              <w:jc w:val="center"/>
              <w:rPr>
                <w:b/>
                <w:bCs/>
                <w:color w:val="FFFFFF" w:themeColor="background1"/>
                <w:spacing w:val="-6"/>
                <w:sz w:val="16"/>
                <w:szCs w:val="16"/>
                <w:lang w:eastAsia="es-MX"/>
              </w:rPr>
            </w:pPr>
            <w:r>
              <w:rPr>
                <w:b/>
                <w:bCs/>
                <w:color w:val="FFFFFF" w:themeColor="background1"/>
                <w:spacing w:val="-6"/>
                <w:sz w:val="16"/>
                <w:szCs w:val="16"/>
                <w:lang w:eastAsia="es-MX"/>
              </w:rPr>
              <w:t xml:space="preserve">% </w:t>
            </w:r>
            <w:r w:rsidR="008C3A64" w:rsidRPr="00B321E6">
              <w:rPr>
                <w:b/>
                <w:bCs/>
                <w:color w:val="FFFFFF" w:themeColor="background1"/>
                <w:spacing w:val="-6"/>
                <w:sz w:val="16"/>
                <w:szCs w:val="16"/>
                <w:lang w:eastAsia="es-MX"/>
              </w:rPr>
              <w:t>fila</w:t>
            </w:r>
          </w:p>
        </w:tc>
        <w:tc>
          <w:tcPr>
            <w:tcW w:w="573" w:type="dxa"/>
            <w:shd w:val="clear" w:color="auto" w:fill="C00000"/>
            <w:vAlign w:val="center"/>
            <w:hideMark/>
          </w:tcPr>
          <w:p w14:paraId="484545E2" w14:textId="77777777" w:rsidR="008C3A64" w:rsidRPr="00B321E6"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Rural</w:t>
            </w:r>
          </w:p>
        </w:tc>
        <w:tc>
          <w:tcPr>
            <w:tcW w:w="553" w:type="dxa"/>
            <w:shd w:val="clear" w:color="auto" w:fill="C00000"/>
            <w:vAlign w:val="center"/>
            <w:hideMark/>
          </w:tcPr>
          <w:p w14:paraId="2496DBD3" w14:textId="54201E8A" w:rsidR="008C3A64" w:rsidRPr="00B321E6" w:rsidRDefault="00DD0786" w:rsidP="00FF1F9A">
            <w:pPr>
              <w:spacing w:line="200" w:lineRule="exact"/>
              <w:jc w:val="center"/>
              <w:rPr>
                <w:b/>
                <w:bCs/>
                <w:color w:val="FFFFFF" w:themeColor="background1"/>
                <w:spacing w:val="-6"/>
                <w:sz w:val="16"/>
                <w:szCs w:val="16"/>
                <w:lang w:eastAsia="es-MX"/>
              </w:rPr>
            </w:pPr>
            <w:r>
              <w:rPr>
                <w:b/>
                <w:bCs/>
                <w:color w:val="FFFFFF" w:themeColor="background1"/>
                <w:spacing w:val="-6"/>
                <w:sz w:val="16"/>
                <w:szCs w:val="16"/>
                <w:lang w:eastAsia="es-MX"/>
              </w:rPr>
              <w:t>%</w:t>
            </w:r>
            <w:r w:rsidR="008C3A64" w:rsidRPr="00B321E6">
              <w:rPr>
                <w:b/>
                <w:bCs/>
                <w:color w:val="FFFFFF" w:themeColor="background1"/>
                <w:spacing w:val="-6"/>
                <w:sz w:val="16"/>
                <w:szCs w:val="16"/>
                <w:lang w:eastAsia="es-MX"/>
              </w:rPr>
              <w:t xml:space="preserve">  fila</w:t>
            </w:r>
          </w:p>
        </w:tc>
        <w:tc>
          <w:tcPr>
            <w:tcW w:w="735" w:type="dxa"/>
            <w:shd w:val="clear" w:color="auto" w:fill="C00000"/>
            <w:vAlign w:val="center"/>
            <w:hideMark/>
          </w:tcPr>
          <w:p w14:paraId="4A7BF6A2" w14:textId="77777777" w:rsidR="008C3A64" w:rsidRPr="00B321E6"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Total</w:t>
            </w:r>
          </w:p>
        </w:tc>
        <w:tc>
          <w:tcPr>
            <w:tcW w:w="799" w:type="dxa"/>
            <w:shd w:val="clear" w:color="auto" w:fill="C00000"/>
            <w:vAlign w:val="center"/>
            <w:hideMark/>
          </w:tcPr>
          <w:p w14:paraId="10B17B8C" w14:textId="65222B40" w:rsidR="008C3A64" w:rsidRPr="00B321E6" w:rsidRDefault="00DD0786" w:rsidP="00FF1F9A">
            <w:pPr>
              <w:spacing w:line="200" w:lineRule="exact"/>
              <w:jc w:val="center"/>
              <w:rPr>
                <w:b/>
                <w:bCs/>
                <w:color w:val="FFFFFF" w:themeColor="background1"/>
                <w:spacing w:val="-6"/>
                <w:sz w:val="16"/>
                <w:szCs w:val="16"/>
                <w:lang w:eastAsia="es-MX"/>
              </w:rPr>
            </w:pPr>
            <w:r w:rsidRPr="00DD0786">
              <w:rPr>
                <w:b/>
                <w:bCs/>
                <w:color w:val="FFFFFF" w:themeColor="background1"/>
                <w:spacing w:val="-6"/>
                <w:sz w:val="14"/>
                <w:szCs w:val="14"/>
                <w:lang w:eastAsia="es-MX"/>
              </w:rPr>
              <w:t xml:space="preserve">% </w:t>
            </w:r>
            <w:r w:rsidR="008C3A64" w:rsidRPr="00DD0786">
              <w:rPr>
                <w:b/>
                <w:bCs/>
                <w:color w:val="FFFFFF" w:themeColor="background1"/>
                <w:spacing w:val="-6"/>
                <w:sz w:val="14"/>
                <w:szCs w:val="14"/>
                <w:lang w:eastAsia="es-MX"/>
              </w:rPr>
              <w:t>Columna</w:t>
            </w:r>
          </w:p>
        </w:tc>
        <w:tc>
          <w:tcPr>
            <w:tcW w:w="776" w:type="dxa"/>
            <w:shd w:val="clear" w:color="auto" w:fill="C00000"/>
            <w:vAlign w:val="center"/>
            <w:hideMark/>
          </w:tcPr>
          <w:p w14:paraId="03DD6369" w14:textId="77777777" w:rsidR="008C3A64" w:rsidRPr="00B321E6"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Urbano</w:t>
            </w:r>
          </w:p>
        </w:tc>
        <w:tc>
          <w:tcPr>
            <w:tcW w:w="573" w:type="dxa"/>
            <w:shd w:val="clear" w:color="auto" w:fill="C00000"/>
            <w:vAlign w:val="center"/>
            <w:hideMark/>
          </w:tcPr>
          <w:p w14:paraId="5F3B5370" w14:textId="3D01E276" w:rsidR="008C3A64" w:rsidRPr="00B321E6" w:rsidRDefault="00DD0786" w:rsidP="00FF1F9A">
            <w:pPr>
              <w:spacing w:line="200" w:lineRule="exact"/>
              <w:jc w:val="center"/>
              <w:rPr>
                <w:b/>
                <w:bCs/>
                <w:color w:val="FFFFFF" w:themeColor="background1"/>
                <w:spacing w:val="-6"/>
                <w:sz w:val="16"/>
                <w:szCs w:val="16"/>
                <w:lang w:eastAsia="es-MX"/>
              </w:rPr>
            </w:pPr>
            <w:r>
              <w:rPr>
                <w:b/>
                <w:bCs/>
                <w:color w:val="FFFFFF" w:themeColor="background1"/>
                <w:spacing w:val="-6"/>
                <w:sz w:val="16"/>
                <w:szCs w:val="16"/>
                <w:lang w:eastAsia="es-MX"/>
              </w:rPr>
              <w:t>%</w:t>
            </w:r>
            <w:r w:rsidR="008C3A64" w:rsidRPr="00B321E6">
              <w:rPr>
                <w:b/>
                <w:bCs/>
                <w:color w:val="FFFFFF" w:themeColor="background1"/>
                <w:spacing w:val="-6"/>
                <w:sz w:val="16"/>
                <w:szCs w:val="16"/>
                <w:lang w:eastAsia="es-MX"/>
              </w:rPr>
              <w:t>fila</w:t>
            </w:r>
          </w:p>
        </w:tc>
        <w:tc>
          <w:tcPr>
            <w:tcW w:w="573" w:type="dxa"/>
            <w:shd w:val="clear" w:color="auto" w:fill="C00000"/>
            <w:vAlign w:val="center"/>
            <w:hideMark/>
          </w:tcPr>
          <w:p w14:paraId="01FCD48C" w14:textId="77777777" w:rsidR="008C3A64" w:rsidRPr="00B321E6"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Rural</w:t>
            </w:r>
          </w:p>
        </w:tc>
        <w:tc>
          <w:tcPr>
            <w:tcW w:w="550" w:type="dxa"/>
            <w:shd w:val="clear" w:color="auto" w:fill="C00000"/>
            <w:vAlign w:val="center"/>
            <w:hideMark/>
          </w:tcPr>
          <w:p w14:paraId="5B729EB4" w14:textId="6248B384" w:rsidR="008C3A64" w:rsidRPr="00B321E6" w:rsidRDefault="00DD0786" w:rsidP="00FF1F9A">
            <w:pPr>
              <w:spacing w:line="200" w:lineRule="exact"/>
              <w:jc w:val="center"/>
              <w:rPr>
                <w:b/>
                <w:bCs/>
                <w:color w:val="FFFFFF" w:themeColor="background1"/>
                <w:spacing w:val="-6"/>
                <w:sz w:val="16"/>
                <w:szCs w:val="16"/>
                <w:lang w:eastAsia="es-MX"/>
              </w:rPr>
            </w:pPr>
            <w:r>
              <w:rPr>
                <w:b/>
                <w:bCs/>
                <w:color w:val="FFFFFF" w:themeColor="background1"/>
                <w:spacing w:val="-6"/>
                <w:sz w:val="16"/>
                <w:szCs w:val="16"/>
                <w:lang w:eastAsia="es-MX"/>
              </w:rPr>
              <w:t>%</w:t>
            </w:r>
            <w:r w:rsidR="008C3A64" w:rsidRPr="00B321E6">
              <w:rPr>
                <w:b/>
                <w:bCs/>
                <w:color w:val="FFFFFF" w:themeColor="background1"/>
                <w:spacing w:val="-6"/>
                <w:sz w:val="16"/>
                <w:szCs w:val="16"/>
                <w:lang w:eastAsia="es-MX"/>
              </w:rPr>
              <w:t>fila</w:t>
            </w:r>
          </w:p>
        </w:tc>
        <w:tc>
          <w:tcPr>
            <w:tcW w:w="738" w:type="dxa"/>
            <w:shd w:val="clear" w:color="auto" w:fill="C00000"/>
            <w:vAlign w:val="center"/>
            <w:hideMark/>
          </w:tcPr>
          <w:p w14:paraId="573F40CC" w14:textId="77777777" w:rsidR="008C3A64" w:rsidRPr="00B321E6" w:rsidRDefault="008C3A64" w:rsidP="00FF1F9A">
            <w:pPr>
              <w:spacing w:line="200" w:lineRule="exact"/>
              <w:jc w:val="center"/>
              <w:rPr>
                <w:b/>
                <w:bCs/>
                <w:color w:val="FFFFFF" w:themeColor="background1"/>
                <w:spacing w:val="-6"/>
                <w:sz w:val="16"/>
                <w:szCs w:val="16"/>
                <w:lang w:eastAsia="es-MX"/>
              </w:rPr>
            </w:pPr>
            <w:r w:rsidRPr="00B321E6">
              <w:rPr>
                <w:b/>
                <w:bCs/>
                <w:color w:val="FFFFFF" w:themeColor="background1"/>
                <w:spacing w:val="-6"/>
                <w:sz w:val="16"/>
                <w:szCs w:val="16"/>
                <w:lang w:eastAsia="es-MX"/>
              </w:rPr>
              <w:t>Total</w:t>
            </w:r>
          </w:p>
        </w:tc>
        <w:tc>
          <w:tcPr>
            <w:tcW w:w="630" w:type="dxa"/>
            <w:shd w:val="clear" w:color="auto" w:fill="C00000"/>
            <w:vAlign w:val="center"/>
            <w:hideMark/>
          </w:tcPr>
          <w:p w14:paraId="30A5C80C" w14:textId="6B4B2152" w:rsidR="008C3A64" w:rsidRPr="00B321E6" w:rsidRDefault="00DD0786" w:rsidP="00FF1F9A">
            <w:pPr>
              <w:spacing w:line="200" w:lineRule="exact"/>
              <w:jc w:val="center"/>
              <w:rPr>
                <w:b/>
                <w:bCs/>
                <w:color w:val="FFFFFF" w:themeColor="background1"/>
                <w:spacing w:val="-6"/>
                <w:sz w:val="16"/>
                <w:szCs w:val="16"/>
                <w:lang w:eastAsia="es-MX"/>
              </w:rPr>
            </w:pPr>
            <w:r w:rsidRPr="00DD0786">
              <w:rPr>
                <w:b/>
                <w:bCs/>
                <w:color w:val="FFFFFF" w:themeColor="background1"/>
                <w:spacing w:val="-6"/>
                <w:sz w:val="14"/>
                <w:szCs w:val="14"/>
                <w:lang w:eastAsia="es-MX"/>
              </w:rPr>
              <w:t>% Columna</w:t>
            </w:r>
          </w:p>
        </w:tc>
      </w:tr>
      <w:tr w:rsidR="008C3A64" w:rsidRPr="005A31BC" w14:paraId="4A7A481B" w14:textId="77777777" w:rsidTr="00C454E0">
        <w:trPr>
          <w:gridAfter w:val="1"/>
          <w:wAfter w:w="6" w:type="dxa"/>
          <w:trHeight w:val="397"/>
          <w:jc w:val="center"/>
        </w:trPr>
        <w:tc>
          <w:tcPr>
            <w:tcW w:w="1115" w:type="dxa"/>
            <w:shd w:val="clear" w:color="auto" w:fill="auto"/>
            <w:vAlign w:val="center"/>
            <w:hideMark/>
          </w:tcPr>
          <w:p w14:paraId="6A4D12AA" w14:textId="77777777" w:rsidR="008C3A64" w:rsidRPr="00D4259D" w:rsidRDefault="008C3A64" w:rsidP="00FF1F9A">
            <w:pPr>
              <w:pStyle w:val="Contenidotablas"/>
              <w:spacing w:line="160" w:lineRule="exact"/>
              <w:jc w:val="right"/>
              <w:rPr>
                <w:b/>
                <w:bCs/>
                <w:sz w:val="16"/>
                <w:szCs w:val="16"/>
              </w:rPr>
            </w:pPr>
            <w:r w:rsidRPr="00D4259D">
              <w:rPr>
                <w:b/>
                <w:bCs/>
                <w:sz w:val="16"/>
                <w:szCs w:val="16"/>
              </w:rPr>
              <w:t>Indígena</w:t>
            </w:r>
          </w:p>
        </w:tc>
        <w:tc>
          <w:tcPr>
            <w:tcW w:w="711" w:type="dxa"/>
            <w:shd w:val="clear" w:color="auto" w:fill="auto"/>
            <w:noWrap/>
            <w:vAlign w:val="center"/>
            <w:hideMark/>
          </w:tcPr>
          <w:p w14:paraId="29D1EB63"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14.220</w:t>
            </w:r>
          </w:p>
        </w:tc>
        <w:tc>
          <w:tcPr>
            <w:tcW w:w="608" w:type="dxa"/>
            <w:shd w:val="clear" w:color="auto" w:fill="auto"/>
            <w:noWrap/>
            <w:vAlign w:val="center"/>
            <w:hideMark/>
          </w:tcPr>
          <w:p w14:paraId="753FF07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99,2</w:t>
            </w:r>
          </w:p>
        </w:tc>
        <w:tc>
          <w:tcPr>
            <w:tcW w:w="573" w:type="dxa"/>
            <w:shd w:val="clear" w:color="auto" w:fill="auto"/>
            <w:noWrap/>
            <w:vAlign w:val="center"/>
            <w:hideMark/>
          </w:tcPr>
          <w:p w14:paraId="30F89AE3"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117</w:t>
            </w:r>
          </w:p>
        </w:tc>
        <w:tc>
          <w:tcPr>
            <w:tcW w:w="553" w:type="dxa"/>
            <w:shd w:val="clear" w:color="auto" w:fill="auto"/>
            <w:noWrap/>
            <w:vAlign w:val="center"/>
            <w:hideMark/>
          </w:tcPr>
          <w:p w14:paraId="4C5ABCF9"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0,8</w:t>
            </w:r>
          </w:p>
        </w:tc>
        <w:tc>
          <w:tcPr>
            <w:tcW w:w="735" w:type="dxa"/>
            <w:shd w:val="clear" w:color="auto" w:fill="auto"/>
            <w:noWrap/>
            <w:vAlign w:val="center"/>
            <w:hideMark/>
          </w:tcPr>
          <w:p w14:paraId="50107360"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14.337</w:t>
            </w:r>
          </w:p>
        </w:tc>
        <w:tc>
          <w:tcPr>
            <w:tcW w:w="799" w:type="dxa"/>
            <w:shd w:val="clear" w:color="auto" w:fill="auto"/>
            <w:noWrap/>
            <w:vAlign w:val="center"/>
            <w:hideMark/>
          </w:tcPr>
          <w:p w14:paraId="2226F85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0,2</w:t>
            </w:r>
          </w:p>
        </w:tc>
        <w:tc>
          <w:tcPr>
            <w:tcW w:w="776" w:type="dxa"/>
            <w:shd w:val="clear" w:color="auto" w:fill="auto"/>
            <w:noWrap/>
            <w:vAlign w:val="center"/>
            <w:hideMark/>
          </w:tcPr>
          <w:p w14:paraId="4C1168CF"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76.874</w:t>
            </w:r>
          </w:p>
        </w:tc>
        <w:tc>
          <w:tcPr>
            <w:tcW w:w="573" w:type="dxa"/>
            <w:shd w:val="clear" w:color="auto" w:fill="auto"/>
            <w:noWrap/>
            <w:vAlign w:val="center"/>
            <w:hideMark/>
          </w:tcPr>
          <w:p w14:paraId="52EEB32D" w14:textId="7D758ACC"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99,9</w:t>
            </w:r>
          </w:p>
        </w:tc>
        <w:tc>
          <w:tcPr>
            <w:tcW w:w="573" w:type="dxa"/>
            <w:shd w:val="clear" w:color="auto" w:fill="auto"/>
            <w:noWrap/>
            <w:vAlign w:val="center"/>
            <w:hideMark/>
          </w:tcPr>
          <w:p w14:paraId="2A5CA75B"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94</w:t>
            </w:r>
          </w:p>
        </w:tc>
        <w:tc>
          <w:tcPr>
            <w:tcW w:w="550" w:type="dxa"/>
            <w:shd w:val="clear" w:color="auto" w:fill="auto"/>
            <w:noWrap/>
            <w:vAlign w:val="center"/>
            <w:hideMark/>
          </w:tcPr>
          <w:p w14:paraId="3F8D1803" w14:textId="1C7BB30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0,1</w:t>
            </w:r>
          </w:p>
        </w:tc>
        <w:tc>
          <w:tcPr>
            <w:tcW w:w="738" w:type="dxa"/>
            <w:shd w:val="clear" w:color="auto" w:fill="auto"/>
            <w:noWrap/>
            <w:vAlign w:val="center"/>
            <w:hideMark/>
          </w:tcPr>
          <w:p w14:paraId="22DF0FA5"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76.968</w:t>
            </w:r>
          </w:p>
        </w:tc>
        <w:tc>
          <w:tcPr>
            <w:tcW w:w="630" w:type="dxa"/>
            <w:shd w:val="clear" w:color="auto" w:fill="auto"/>
            <w:noWrap/>
            <w:vAlign w:val="center"/>
            <w:hideMark/>
          </w:tcPr>
          <w:p w14:paraId="6267FDA3"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1,0</w:t>
            </w:r>
          </w:p>
        </w:tc>
      </w:tr>
      <w:tr w:rsidR="008C3A64" w:rsidRPr="005A31BC" w14:paraId="2E0F60FA" w14:textId="77777777" w:rsidTr="00C454E0">
        <w:trPr>
          <w:gridAfter w:val="1"/>
          <w:wAfter w:w="6" w:type="dxa"/>
          <w:trHeight w:val="397"/>
          <w:jc w:val="center"/>
        </w:trPr>
        <w:tc>
          <w:tcPr>
            <w:tcW w:w="1115" w:type="dxa"/>
            <w:shd w:val="clear" w:color="auto" w:fill="auto"/>
            <w:vAlign w:val="center"/>
            <w:hideMark/>
          </w:tcPr>
          <w:p w14:paraId="502D113E" w14:textId="0FA834D4" w:rsidR="008C3A64" w:rsidRPr="00D4259D" w:rsidRDefault="008C3A64" w:rsidP="00FF1F9A">
            <w:pPr>
              <w:pStyle w:val="Contenidotablas"/>
              <w:spacing w:line="160" w:lineRule="exact"/>
              <w:jc w:val="right"/>
              <w:rPr>
                <w:b/>
                <w:bCs/>
                <w:sz w:val="16"/>
                <w:szCs w:val="16"/>
              </w:rPr>
            </w:pPr>
            <w:r w:rsidRPr="00D4259D">
              <w:rPr>
                <w:b/>
                <w:bCs/>
                <w:sz w:val="16"/>
                <w:szCs w:val="16"/>
              </w:rPr>
              <w:t>Gitano (R</w:t>
            </w:r>
            <w:r w:rsidR="00DD0786">
              <w:rPr>
                <w:b/>
                <w:bCs/>
                <w:sz w:val="16"/>
                <w:szCs w:val="16"/>
              </w:rPr>
              <w:t>r</w:t>
            </w:r>
            <w:r w:rsidRPr="00D4259D">
              <w:rPr>
                <w:b/>
                <w:bCs/>
                <w:sz w:val="16"/>
                <w:szCs w:val="16"/>
              </w:rPr>
              <w:t>om)</w:t>
            </w:r>
          </w:p>
        </w:tc>
        <w:tc>
          <w:tcPr>
            <w:tcW w:w="711" w:type="dxa"/>
            <w:shd w:val="clear" w:color="auto" w:fill="auto"/>
            <w:noWrap/>
            <w:vAlign w:val="center"/>
            <w:hideMark/>
          </w:tcPr>
          <w:p w14:paraId="6BFB64C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2.676</w:t>
            </w:r>
          </w:p>
        </w:tc>
        <w:tc>
          <w:tcPr>
            <w:tcW w:w="608" w:type="dxa"/>
            <w:shd w:val="clear" w:color="auto" w:fill="auto"/>
            <w:noWrap/>
            <w:vAlign w:val="center"/>
            <w:hideMark/>
          </w:tcPr>
          <w:p w14:paraId="2655ACF7"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99,9</w:t>
            </w:r>
          </w:p>
        </w:tc>
        <w:tc>
          <w:tcPr>
            <w:tcW w:w="573" w:type="dxa"/>
            <w:shd w:val="clear" w:color="auto" w:fill="auto"/>
            <w:noWrap/>
            <w:vAlign w:val="center"/>
            <w:hideMark/>
          </w:tcPr>
          <w:p w14:paraId="3FD939A6"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4</w:t>
            </w:r>
          </w:p>
        </w:tc>
        <w:tc>
          <w:tcPr>
            <w:tcW w:w="553" w:type="dxa"/>
            <w:shd w:val="clear" w:color="auto" w:fill="auto"/>
            <w:noWrap/>
            <w:vAlign w:val="center"/>
            <w:hideMark/>
          </w:tcPr>
          <w:p w14:paraId="0B857ECF"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0,1</w:t>
            </w:r>
          </w:p>
        </w:tc>
        <w:tc>
          <w:tcPr>
            <w:tcW w:w="735" w:type="dxa"/>
            <w:shd w:val="clear" w:color="auto" w:fill="auto"/>
            <w:noWrap/>
            <w:vAlign w:val="center"/>
            <w:hideMark/>
          </w:tcPr>
          <w:p w14:paraId="1B5E7516"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2.680</w:t>
            </w:r>
          </w:p>
        </w:tc>
        <w:tc>
          <w:tcPr>
            <w:tcW w:w="799" w:type="dxa"/>
            <w:shd w:val="clear" w:color="auto" w:fill="auto"/>
            <w:noWrap/>
            <w:vAlign w:val="center"/>
            <w:hideMark/>
          </w:tcPr>
          <w:p w14:paraId="11BE951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0,0</w:t>
            </w:r>
          </w:p>
        </w:tc>
        <w:tc>
          <w:tcPr>
            <w:tcW w:w="776" w:type="dxa"/>
            <w:shd w:val="clear" w:color="auto" w:fill="auto"/>
            <w:noWrap/>
            <w:vAlign w:val="center"/>
            <w:hideMark/>
          </w:tcPr>
          <w:p w14:paraId="5769C9B3"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633</w:t>
            </w:r>
          </w:p>
        </w:tc>
        <w:tc>
          <w:tcPr>
            <w:tcW w:w="573" w:type="dxa"/>
            <w:shd w:val="clear" w:color="auto" w:fill="auto"/>
            <w:noWrap/>
            <w:vAlign w:val="center"/>
            <w:hideMark/>
          </w:tcPr>
          <w:p w14:paraId="106BC307" w14:textId="215AB4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100,0</w:t>
            </w:r>
          </w:p>
        </w:tc>
        <w:tc>
          <w:tcPr>
            <w:tcW w:w="573" w:type="dxa"/>
            <w:shd w:val="clear" w:color="auto" w:fill="auto"/>
            <w:vAlign w:val="center"/>
            <w:hideMark/>
          </w:tcPr>
          <w:p w14:paraId="1125A5B5" w14:textId="77777777" w:rsidR="008C3A64" w:rsidRPr="00D4259D" w:rsidRDefault="008C3A64" w:rsidP="00FF1F9A">
            <w:pPr>
              <w:spacing w:line="200" w:lineRule="exact"/>
              <w:jc w:val="right"/>
              <w:rPr>
                <w:spacing w:val="-6"/>
                <w:sz w:val="16"/>
                <w:szCs w:val="16"/>
                <w:lang w:eastAsia="es-MX"/>
              </w:rPr>
            </w:pPr>
          </w:p>
        </w:tc>
        <w:tc>
          <w:tcPr>
            <w:tcW w:w="550" w:type="dxa"/>
            <w:shd w:val="clear" w:color="auto" w:fill="auto"/>
            <w:noWrap/>
            <w:vAlign w:val="center"/>
            <w:hideMark/>
          </w:tcPr>
          <w:p w14:paraId="6C52D323" w14:textId="508FE01E"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0,0</w:t>
            </w:r>
          </w:p>
        </w:tc>
        <w:tc>
          <w:tcPr>
            <w:tcW w:w="738" w:type="dxa"/>
            <w:shd w:val="clear" w:color="auto" w:fill="auto"/>
            <w:noWrap/>
            <w:vAlign w:val="center"/>
            <w:hideMark/>
          </w:tcPr>
          <w:p w14:paraId="407AE35F"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633</w:t>
            </w:r>
          </w:p>
        </w:tc>
        <w:tc>
          <w:tcPr>
            <w:tcW w:w="630" w:type="dxa"/>
            <w:shd w:val="clear" w:color="auto" w:fill="auto"/>
            <w:noWrap/>
            <w:vAlign w:val="center"/>
            <w:hideMark/>
          </w:tcPr>
          <w:p w14:paraId="45717E8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0,0</w:t>
            </w:r>
          </w:p>
        </w:tc>
      </w:tr>
      <w:tr w:rsidR="008C3A64" w:rsidRPr="005A31BC" w14:paraId="557142F7" w14:textId="77777777" w:rsidTr="00C454E0">
        <w:trPr>
          <w:gridAfter w:val="1"/>
          <w:wAfter w:w="6" w:type="dxa"/>
          <w:trHeight w:val="624"/>
          <w:jc w:val="center"/>
        </w:trPr>
        <w:tc>
          <w:tcPr>
            <w:tcW w:w="1115" w:type="dxa"/>
            <w:shd w:val="clear" w:color="auto" w:fill="auto"/>
            <w:vAlign w:val="center"/>
            <w:hideMark/>
          </w:tcPr>
          <w:p w14:paraId="1F081430" w14:textId="3C4A359C" w:rsidR="008C3A64" w:rsidRPr="00D4259D" w:rsidRDefault="008C3A64" w:rsidP="00FF1F9A">
            <w:pPr>
              <w:pStyle w:val="Contenidotablas"/>
              <w:spacing w:line="160" w:lineRule="exact"/>
              <w:jc w:val="right"/>
              <w:rPr>
                <w:b/>
                <w:bCs/>
                <w:sz w:val="16"/>
                <w:szCs w:val="16"/>
              </w:rPr>
            </w:pPr>
            <w:r w:rsidRPr="00D4259D">
              <w:rPr>
                <w:b/>
                <w:bCs/>
                <w:sz w:val="16"/>
                <w:szCs w:val="16"/>
              </w:rPr>
              <w:t xml:space="preserve">Negro, Afro,  </w:t>
            </w:r>
            <w:r w:rsidR="00DD0786">
              <w:rPr>
                <w:b/>
                <w:bCs/>
                <w:sz w:val="16"/>
                <w:szCs w:val="16"/>
              </w:rPr>
              <w:t>Raizal</w:t>
            </w:r>
            <w:r w:rsidRPr="00D4259D">
              <w:rPr>
                <w:b/>
                <w:bCs/>
                <w:sz w:val="16"/>
                <w:szCs w:val="16"/>
              </w:rPr>
              <w:t>,</w:t>
            </w:r>
            <w:r w:rsidRPr="00D4259D">
              <w:rPr>
                <w:b/>
                <w:bCs/>
                <w:sz w:val="16"/>
                <w:szCs w:val="16"/>
              </w:rPr>
              <w:br/>
              <w:t>Palenquero</w:t>
            </w:r>
          </w:p>
        </w:tc>
        <w:tc>
          <w:tcPr>
            <w:tcW w:w="711" w:type="dxa"/>
            <w:shd w:val="clear" w:color="auto" w:fill="auto"/>
            <w:noWrap/>
            <w:vAlign w:val="center"/>
            <w:hideMark/>
          </w:tcPr>
          <w:p w14:paraId="13FB4637"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57.958</w:t>
            </w:r>
          </w:p>
        </w:tc>
        <w:tc>
          <w:tcPr>
            <w:tcW w:w="608" w:type="dxa"/>
            <w:shd w:val="clear" w:color="auto" w:fill="auto"/>
            <w:noWrap/>
            <w:vAlign w:val="center"/>
            <w:hideMark/>
          </w:tcPr>
          <w:p w14:paraId="29C1581D"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99,9</w:t>
            </w:r>
          </w:p>
        </w:tc>
        <w:tc>
          <w:tcPr>
            <w:tcW w:w="573" w:type="dxa"/>
            <w:shd w:val="clear" w:color="auto" w:fill="auto"/>
            <w:noWrap/>
            <w:vAlign w:val="center"/>
            <w:hideMark/>
          </w:tcPr>
          <w:p w14:paraId="795E29D9"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71</w:t>
            </w:r>
          </w:p>
        </w:tc>
        <w:tc>
          <w:tcPr>
            <w:tcW w:w="553" w:type="dxa"/>
            <w:shd w:val="clear" w:color="auto" w:fill="auto"/>
            <w:noWrap/>
            <w:vAlign w:val="center"/>
            <w:hideMark/>
          </w:tcPr>
          <w:p w14:paraId="2C78577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0,1</w:t>
            </w:r>
          </w:p>
        </w:tc>
        <w:tc>
          <w:tcPr>
            <w:tcW w:w="735" w:type="dxa"/>
            <w:shd w:val="clear" w:color="auto" w:fill="auto"/>
            <w:noWrap/>
            <w:vAlign w:val="center"/>
            <w:hideMark/>
          </w:tcPr>
          <w:p w14:paraId="1FBFCD17"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58.029</w:t>
            </w:r>
          </w:p>
        </w:tc>
        <w:tc>
          <w:tcPr>
            <w:tcW w:w="799" w:type="dxa"/>
            <w:shd w:val="clear" w:color="auto" w:fill="auto"/>
            <w:noWrap/>
            <w:vAlign w:val="center"/>
            <w:hideMark/>
          </w:tcPr>
          <w:p w14:paraId="1C2BBDEE"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0,8</w:t>
            </w:r>
          </w:p>
        </w:tc>
        <w:tc>
          <w:tcPr>
            <w:tcW w:w="776" w:type="dxa"/>
            <w:shd w:val="clear" w:color="auto" w:fill="auto"/>
            <w:noWrap/>
            <w:vAlign w:val="center"/>
            <w:hideMark/>
          </w:tcPr>
          <w:p w14:paraId="55220D61"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54.042</w:t>
            </w:r>
          </w:p>
        </w:tc>
        <w:tc>
          <w:tcPr>
            <w:tcW w:w="573" w:type="dxa"/>
            <w:shd w:val="clear" w:color="auto" w:fill="auto"/>
            <w:noWrap/>
            <w:vAlign w:val="center"/>
            <w:hideMark/>
          </w:tcPr>
          <w:p w14:paraId="16682BBD" w14:textId="2FC9F28D"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99,7</w:t>
            </w:r>
          </w:p>
        </w:tc>
        <w:tc>
          <w:tcPr>
            <w:tcW w:w="573" w:type="dxa"/>
            <w:shd w:val="clear" w:color="auto" w:fill="auto"/>
            <w:noWrap/>
            <w:vAlign w:val="center"/>
            <w:hideMark/>
          </w:tcPr>
          <w:p w14:paraId="3562C1E9"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146</w:t>
            </w:r>
          </w:p>
        </w:tc>
        <w:tc>
          <w:tcPr>
            <w:tcW w:w="550" w:type="dxa"/>
            <w:shd w:val="clear" w:color="auto" w:fill="auto"/>
            <w:noWrap/>
            <w:vAlign w:val="center"/>
            <w:hideMark/>
          </w:tcPr>
          <w:p w14:paraId="28B5CFBA" w14:textId="3A95D12A"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0,3</w:t>
            </w:r>
          </w:p>
        </w:tc>
        <w:tc>
          <w:tcPr>
            <w:tcW w:w="738" w:type="dxa"/>
            <w:shd w:val="clear" w:color="auto" w:fill="auto"/>
            <w:noWrap/>
            <w:vAlign w:val="center"/>
            <w:hideMark/>
          </w:tcPr>
          <w:p w14:paraId="61EEE25E"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54.188</w:t>
            </w:r>
          </w:p>
        </w:tc>
        <w:tc>
          <w:tcPr>
            <w:tcW w:w="630" w:type="dxa"/>
            <w:shd w:val="clear" w:color="auto" w:fill="auto"/>
            <w:noWrap/>
            <w:vAlign w:val="center"/>
            <w:hideMark/>
          </w:tcPr>
          <w:p w14:paraId="246F1B26"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0,7</w:t>
            </w:r>
          </w:p>
        </w:tc>
      </w:tr>
      <w:tr w:rsidR="008C3A64" w:rsidRPr="005A31BC" w14:paraId="500D3508" w14:textId="77777777" w:rsidTr="00C454E0">
        <w:trPr>
          <w:gridAfter w:val="1"/>
          <w:wAfter w:w="6" w:type="dxa"/>
          <w:trHeight w:val="397"/>
          <w:jc w:val="center"/>
        </w:trPr>
        <w:tc>
          <w:tcPr>
            <w:tcW w:w="1115" w:type="dxa"/>
            <w:shd w:val="clear" w:color="auto" w:fill="auto"/>
            <w:vAlign w:val="center"/>
            <w:hideMark/>
          </w:tcPr>
          <w:p w14:paraId="7522E67A" w14:textId="098404F8" w:rsidR="008C3A64" w:rsidRPr="00D4259D" w:rsidRDefault="008C3A64" w:rsidP="00FF1F9A">
            <w:pPr>
              <w:pStyle w:val="Contenidotablas"/>
              <w:spacing w:line="160" w:lineRule="exact"/>
              <w:jc w:val="right"/>
              <w:rPr>
                <w:b/>
                <w:bCs/>
                <w:sz w:val="16"/>
                <w:szCs w:val="16"/>
              </w:rPr>
            </w:pPr>
            <w:r w:rsidRPr="00D4259D">
              <w:rPr>
                <w:b/>
                <w:bCs/>
                <w:sz w:val="16"/>
                <w:szCs w:val="16"/>
              </w:rPr>
              <w:t>Ning</w:t>
            </w:r>
            <w:r w:rsidR="00DD0786">
              <w:rPr>
                <w:b/>
                <w:bCs/>
                <w:sz w:val="16"/>
                <w:szCs w:val="16"/>
              </w:rPr>
              <w:t>un</w:t>
            </w:r>
            <w:r w:rsidRPr="00D4259D">
              <w:rPr>
                <w:b/>
                <w:bCs/>
                <w:sz w:val="16"/>
                <w:szCs w:val="16"/>
              </w:rPr>
              <w:t>o</w:t>
            </w:r>
          </w:p>
        </w:tc>
        <w:tc>
          <w:tcPr>
            <w:tcW w:w="711" w:type="dxa"/>
            <w:shd w:val="clear" w:color="auto" w:fill="auto"/>
            <w:noWrap/>
            <w:vAlign w:val="center"/>
            <w:hideMark/>
          </w:tcPr>
          <w:p w14:paraId="56F0D3F9"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7.238.391</w:t>
            </w:r>
          </w:p>
        </w:tc>
        <w:tc>
          <w:tcPr>
            <w:tcW w:w="608" w:type="dxa"/>
            <w:shd w:val="clear" w:color="auto" w:fill="auto"/>
            <w:noWrap/>
            <w:vAlign w:val="center"/>
            <w:hideMark/>
          </w:tcPr>
          <w:p w14:paraId="7000E8D2" w14:textId="1F4E4288"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99,7</w:t>
            </w:r>
          </w:p>
        </w:tc>
        <w:tc>
          <w:tcPr>
            <w:tcW w:w="573" w:type="dxa"/>
            <w:shd w:val="clear" w:color="auto" w:fill="auto"/>
            <w:noWrap/>
            <w:vAlign w:val="center"/>
            <w:hideMark/>
          </w:tcPr>
          <w:p w14:paraId="6DF0B9AC"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24.106</w:t>
            </w:r>
          </w:p>
        </w:tc>
        <w:tc>
          <w:tcPr>
            <w:tcW w:w="553" w:type="dxa"/>
            <w:shd w:val="clear" w:color="auto" w:fill="auto"/>
            <w:noWrap/>
            <w:vAlign w:val="center"/>
            <w:hideMark/>
          </w:tcPr>
          <w:p w14:paraId="470FDF37" w14:textId="36C65635"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0,3</w:t>
            </w:r>
          </w:p>
        </w:tc>
        <w:tc>
          <w:tcPr>
            <w:tcW w:w="735" w:type="dxa"/>
            <w:shd w:val="clear" w:color="auto" w:fill="auto"/>
            <w:noWrap/>
            <w:vAlign w:val="center"/>
            <w:hideMark/>
          </w:tcPr>
          <w:p w14:paraId="46F311D4"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7.262.497</w:t>
            </w:r>
          </w:p>
        </w:tc>
        <w:tc>
          <w:tcPr>
            <w:tcW w:w="799" w:type="dxa"/>
            <w:shd w:val="clear" w:color="auto" w:fill="auto"/>
            <w:noWrap/>
            <w:vAlign w:val="center"/>
            <w:hideMark/>
          </w:tcPr>
          <w:p w14:paraId="75FFCB7A"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99,0</w:t>
            </w:r>
          </w:p>
        </w:tc>
        <w:tc>
          <w:tcPr>
            <w:tcW w:w="776" w:type="dxa"/>
            <w:shd w:val="clear" w:color="auto" w:fill="auto"/>
            <w:noWrap/>
            <w:vAlign w:val="center"/>
            <w:hideMark/>
          </w:tcPr>
          <w:p w14:paraId="712E02E0"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7.696.400</w:t>
            </w:r>
          </w:p>
        </w:tc>
        <w:tc>
          <w:tcPr>
            <w:tcW w:w="573" w:type="dxa"/>
            <w:shd w:val="clear" w:color="auto" w:fill="auto"/>
            <w:noWrap/>
            <w:vAlign w:val="center"/>
            <w:hideMark/>
          </w:tcPr>
          <w:p w14:paraId="0D313973" w14:textId="716AE356"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99,6</w:t>
            </w:r>
          </w:p>
        </w:tc>
        <w:tc>
          <w:tcPr>
            <w:tcW w:w="573" w:type="dxa"/>
            <w:shd w:val="clear" w:color="auto" w:fill="auto"/>
            <w:noWrap/>
            <w:vAlign w:val="center"/>
            <w:hideMark/>
          </w:tcPr>
          <w:p w14:paraId="34759DCF"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29.267</w:t>
            </w:r>
          </w:p>
        </w:tc>
        <w:tc>
          <w:tcPr>
            <w:tcW w:w="550" w:type="dxa"/>
            <w:shd w:val="clear" w:color="auto" w:fill="auto"/>
            <w:noWrap/>
            <w:vAlign w:val="center"/>
            <w:hideMark/>
          </w:tcPr>
          <w:p w14:paraId="1F33EE69" w14:textId="2086122D"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0,4</w:t>
            </w:r>
          </w:p>
        </w:tc>
        <w:tc>
          <w:tcPr>
            <w:tcW w:w="738" w:type="dxa"/>
            <w:shd w:val="clear" w:color="auto" w:fill="auto"/>
            <w:noWrap/>
            <w:vAlign w:val="center"/>
            <w:hideMark/>
          </w:tcPr>
          <w:p w14:paraId="264DEE50"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7.725.667</w:t>
            </w:r>
          </w:p>
        </w:tc>
        <w:tc>
          <w:tcPr>
            <w:tcW w:w="630" w:type="dxa"/>
            <w:shd w:val="clear" w:color="auto" w:fill="auto"/>
            <w:noWrap/>
            <w:vAlign w:val="center"/>
            <w:hideMark/>
          </w:tcPr>
          <w:p w14:paraId="16BC476F" w14:textId="77777777" w:rsidR="008C3A64" w:rsidRPr="00D4259D" w:rsidRDefault="008C3A64" w:rsidP="00FF1F9A">
            <w:pPr>
              <w:spacing w:line="200" w:lineRule="exact"/>
              <w:jc w:val="right"/>
              <w:rPr>
                <w:spacing w:val="-6"/>
                <w:sz w:val="16"/>
                <w:szCs w:val="16"/>
                <w:lang w:eastAsia="es-MX"/>
              </w:rPr>
            </w:pPr>
            <w:r w:rsidRPr="00D4259D">
              <w:rPr>
                <w:spacing w:val="-6"/>
                <w:sz w:val="16"/>
                <w:szCs w:val="16"/>
                <w:lang w:eastAsia="es-MX"/>
              </w:rPr>
              <w:t>98,3</w:t>
            </w:r>
          </w:p>
        </w:tc>
      </w:tr>
      <w:tr w:rsidR="008C3A64" w:rsidRPr="005A31BC" w14:paraId="13028B8D" w14:textId="77777777" w:rsidTr="00C454E0">
        <w:trPr>
          <w:gridAfter w:val="1"/>
          <w:wAfter w:w="6" w:type="dxa"/>
          <w:trHeight w:val="389"/>
          <w:jc w:val="center"/>
        </w:trPr>
        <w:tc>
          <w:tcPr>
            <w:tcW w:w="1115" w:type="dxa"/>
            <w:shd w:val="clear" w:color="auto" w:fill="D0CECE" w:themeFill="background2" w:themeFillShade="E6"/>
            <w:vAlign w:val="center"/>
            <w:hideMark/>
          </w:tcPr>
          <w:p w14:paraId="25B8473A" w14:textId="77777777"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Total</w:t>
            </w:r>
          </w:p>
        </w:tc>
        <w:tc>
          <w:tcPr>
            <w:tcW w:w="711" w:type="dxa"/>
            <w:shd w:val="clear" w:color="auto" w:fill="D0CECE" w:themeFill="background2" w:themeFillShade="E6"/>
            <w:noWrap/>
            <w:vAlign w:val="center"/>
            <w:hideMark/>
          </w:tcPr>
          <w:p w14:paraId="29915550" w14:textId="2D542D27" w:rsidR="008C3A64" w:rsidRPr="00B17E80" w:rsidRDefault="00AE6ACA" w:rsidP="00FF1F9A">
            <w:pPr>
              <w:spacing w:line="200" w:lineRule="exact"/>
              <w:jc w:val="right"/>
              <w:rPr>
                <w:b/>
                <w:bCs/>
                <w:spacing w:val="-6"/>
                <w:sz w:val="16"/>
                <w:szCs w:val="16"/>
                <w:lang w:eastAsia="es-MX"/>
              </w:rPr>
            </w:pPr>
            <w:r>
              <w:rPr>
                <w:b/>
                <w:bCs/>
                <w:spacing w:val="-6"/>
                <w:sz w:val="16"/>
                <w:szCs w:val="16"/>
                <w:lang w:eastAsia="es-MX"/>
              </w:rPr>
              <w:t>7.313.244</w:t>
            </w:r>
          </w:p>
        </w:tc>
        <w:tc>
          <w:tcPr>
            <w:tcW w:w="608" w:type="dxa"/>
            <w:shd w:val="clear" w:color="auto" w:fill="D0CECE" w:themeFill="background2" w:themeFillShade="E6"/>
            <w:vAlign w:val="center"/>
            <w:hideMark/>
          </w:tcPr>
          <w:p w14:paraId="47829E5A" w14:textId="185B310D"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99,7</w:t>
            </w:r>
          </w:p>
        </w:tc>
        <w:tc>
          <w:tcPr>
            <w:tcW w:w="573" w:type="dxa"/>
            <w:shd w:val="clear" w:color="auto" w:fill="D0CECE" w:themeFill="background2" w:themeFillShade="E6"/>
            <w:noWrap/>
            <w:vAlign w:val="center"/>
            <w:hideMark/>
          </w:tcPr>
          <w:p w14:paraId="7901B6B0" w14:textId="77777777"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24.299</w:t>
            </w:r>
          </w:p>
        </w:tc>
        <w:tc>
          <w:tcPr>
            <w:tcW w:w="553" w:type="dxa"/>
            <w:shd w:val="clear" w:color="auto" w:fill="D0CECE" w:themeFill="background2" w:themeFillShade="E6"/>
            <w:vAlign w:val="center"/>
            <w:hideMark/>
          </w:tcPr>
          <w:p w14:paraId="51CA6F87" w14:textId="71E5FE00"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0,3</w:t>
            </w:r>
          </w:p>
        </w:tc>
        <w:tc>
          <w:tcPr>
            <w:tcW w:w="735" w:type="dxa"/>
            <w:shd w:val="clear" w:color="auto" w:fill="D0CECE" w:themeFill="background2" w:themeFillShade="E6"/>
            <w:vAlign w:val="center"/>
            <w:hideMark/>
          </w:tcPr>
          <w:p w14:paraId="5E2575F8" w14:textId="7D52FF0D"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7.337.</w:t>
            </w:r>
            <w:r w:rsidR="00AE6ACA">
              <w:rPr>
                <w:b/>
                <w:bCs/>
                <w:spacing w:val="-6"/>
                <w:sz w:val="16"/>
                <w:szCs w:val="16"/>
                <w:lang w:eastAsia="es-MX"/>
              </w:rPr>
              <w:t>5</w:t>
            </w:r>
            <w:r w:rsidRPr="00B17E80">
              <w:rPr>
                <w:b/>
                <w:bCs/>
                <w:spacing w:val="-6"/>
                <w:sz w:val="16"/>
                <w:szCs w:val="16"/>
                <w:lang w:eastAsia="es-MX"/>
              </w:rPr>
              <w:t>43</w:t>
            </w:r>
          </w:p>
        </w:tc>
        <w:tc>
          <w:tcPr>
            <w:tcW w:w="799" w:type="dxa"/>
            <w:shd w:val="clear" w:color="auto" w:fill="D0CECE" w:themeFill="background2" w:themeFillShade="E6"/>
            <w:vAlign w:val="center"/>
            <w:hideMark/>
          </w:tcPr>
          <w:p w14:paraId="5E2B8275" w14:textId="77777777"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100,0</w:t>
            </w:r>
          </w:p>
        </w:tc>
        <w:tc>
          <w:tcPr>
            <w:tcW w:w="776" w:type="dxa"/>
            <w:shd w:val="clear" w:color="auto" w:fill="D0CECE" w:themeFill="background2" w:themeFillShade="E6"/>
            <w:noWrap/>
            <w:vAlign w:val="center"/>
            <w:hideMark/>
          </w:tcPr>
          <w:p w14:paraId="4638BAC4" w14:textId="77777777"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7.827.949</w:t>
            </w:r>
          </w:p>
        </w:tc>
        <w:tc>
          <w:tcPr>
            <w:tcW w:w="573" w:type="dxa"/>
            <w:shd w:val="clear" w:color="auto" w:fill="D0CECE" w:themeFill="background2" w:themeFillShade="E6"/>
            <w:vAlign w:val="center"/>
            <w:hideMark/>
          </w:tcPr>
          <w:p w14:paraId="0961B923" w14:textId="2CA04B76"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99,6</w:t>
            </w:r>
          </w:p>
        </w:tc>
        <w:tc>
          <w:tcPr>
            <w:tcW w:w="573" w:type="dxa"/>
            <w:shd w:val="clear" w:color="auto" w:fill="D0CECE" w:themeFill="background2" w:themeFillShade="E6"/>
            <w:noWrap/>
            <w:vAlign w:val="center"/>
            <w:hideMark/>
          </w:tcPr>
          <w:p w14:paraId="05083595" w14:textId="77777777"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29.507</w:t>
            </w:r>
          </w:p>
        </w:tc>
        <w:tc>
          <w:tcPr>
            <w:tcW w:w="550" w:type="dxa"/>
            <w:shd w:val="clear" w:color="auto" w:fill="D0CECE" w:themeFill="background2" w:themeFillShade="E6"/>
            <w:vAlign w:val="center"/>
            <w:hideMark/>
          </w:tcPr>
          <w:p w14:paraId="26FC3BA5" w14:textId="5273FAA0"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0,4</w:t>
            </w:r>
          </w:p>
        </w:tc>
        <w:tc>
          <w:tcPr>
            <w:tcW w:w="738" w:type="dxa"/>
            <w:shd w:val="clear" w:color="auto" w:fill="D0CECE" w:themeFill="background2" w:themeFillShade="E6"/>
            <w:vAlign w:val="center"/>
            <w:hideMark/>
          </w:tcPr>
          <w:p w14:paraId="3588EA5B" w14:textId="05ED64E7" w:rsidR="008C3A64" w:rsidRPr="00B17E80" w:rsidRDefault="008C3A64" w:rsidP="00FF1F9A">
            <w:pPr>
              <w:spacing w:line="200" w:lineRule="exact"/>
              <w:jc w:val="right"/>
              <w:rPr>
                <w:b/>
                <w:bCs/>
                <w:spacing w:val="-6"/>
                <w:sz w:val="16"/>
                <w:szCs w:val="16"/>
                <w:lang w:eastAsia="es-MX"/>
              </w:rPr>
            </w:pPr>
            <w:r w:rsidRPr="00B17E80">
              <w:rPr>
                <w:b/>
                <w:bCs/>
                <w:spacing w:val="-6"/>
                <w:sz w:val="16"/>
                <w:szCs w:val="16"/>
                <w:lang w:eastAsia="es-MX"/>
              </w:rPr>
              <w:t>7.8</w:t>
            </w:r>
            <w:r w:rsidR="00AE6ACA">
              <w:rPr>
                <w:b/>
                <w:bCs/>
                <w:spacing w:val="-6"/>
                <w:sz w:val="16"/>
                <w:szCs w:val="16"/>
                <w:lang w:eastAsia="es-MX"/>
              </w:rPr>
              <w:t>5</w:t>
            </w:r>
            <w:r w:rsidRPr="00B17E80">
              <w:rPr>
                <w:b/>
                <w:bCs/>
                <w:spacing w:val="-6"/>
                <w:sz w:val="16"/>
                <w:szCs w:val="16"/>
                <w:lang w:eastAsia="es-MX"/>
              </w:rPr>
              <w:t>7.456</w:t>
            </w:r>
          </w:p>
        </w:tc>
        <w:tc>
          <w:tcPr>
            <w:tcW w:w="630" w:type="dxa"/>
            <w:shd w:val="clear" w:color="auto" w:fill="D0CECE" w:themeFill="background2" w:themeFillShade="E6"/>
            <w:vAlign w:val="center"/>
            <w:hideMark/>
          </w:tcPr>
          <w:p w14:paraId="60936E7D" w14:textId="161B778F" w:rsidR="008C3A64" w:rsidRPr="00B17E80" w:rsidRDefault="00AE6ACA" w:rsidP="00FF1F9A">
            <w:pPr>
              <w:spacing w:line="200" w:lineRule="exact"/>
              <w:jc w:val="right"/>
              <w:rPr>
                <w:b/>
                <w:bCs/>
                <w:spacing w:val="-6"/>
                <w:sz w:val="16"/>
                <w:szCs w:val="16"/>
                <w:lang w:eastAsia="es-MX"/>
              </w:rPr>
            </w:pPr>
            <w:r>
              <w:rPr>
                <w:b/>
                <w:bCs/>
                <w:spacing w:val="-6"/>
                <w:sz w:val="16"/>
                <w:szCs w:val="16"/>
                <w:lang w:eastAsia="es-MX"/>
              </w:rPr>
              <w:t>10</w:t>
            </w:r>
            <w:r w:rsidR="008C3A64" w:rsidRPr="00B17E80">
              <w:rPr>
                <w:b/>
                <w:bCs/>
                <w:spacing w:val="-6"/>
                <w:sz w:val="16"/>
                <w:szCs w:val="16"/>
                <w:lang w:eastAsia="es-MX"/>
              </w:rPr>
              <w:t>0,0</w:t>
            </w:r>
          </w:p>
        </w:tc>
      </w:tr>
    </w:tbl>
    <w:p w14:paraId="63B06767" w14:textId="2746E007" w:rsidR="008C3A64" w:rsidRPr="005A31BC" w:rsidRDefault="008C3A64" w:rsidP="008C3A64">
      <w:pPr>
        <w:pStyle w:val="figuratitulo"/>
        <w:rPr>
          <w:color w:val="3B3838" w:themeColor="background2" w:themeShade="40"/>
          <w:spacing w:val="-6"/>
        </w:rPr>
      </w:pPr>
      <w:r w:rsidRPr="005A31BC">
        <w:rPr>
          <w:b/>
          <w:color w:val="3B3838" w:themeColor="background2" w:themeShade="40"/>
          <w:spacing w:val="-6"/>
        </w:rPr>
        <w:t>Fuente:</w:t>
      </w:r>
      <w:r w:rsidRPr="005A31BC">
        <w:rPr>
          <w:color w:val="3B3838" w:themeColor="background2" w:themeShade="40"/>
          <w:spacing w:val="-6"/>
        </w:rPr>
        <w:t xml:space="preserve"> </w:t>
      </w:r>
      <w:r w:rsidR="00A23436">
        <w:rPr>
          <w:color w:val="3B3838" w:themeColor="background2" w:themeShade="40"/>
          <w:spacing w:val="-6"/>
        </w:rPr>
        <w:t>EMB</w:t>
      </w:r>
      <w:r w:rsidRPr="005A31BC">
        <w:rPr>
          <w:color w:val="3B3838" w:themeColor="background2" w:themeShade="40"/>
          <w:spacing w:val="-6"/>
        </w:rPr>
        <w:t>-Cundinamarca 2017 y 2021 DANE. En Alcaldía Mayor de Bogotá (2023c).</w:t>
      </w:r>
    </w:p>
    <w:p w14:paraId="017BC9B1" w14:textId="77777777" w:rsidR="008C3A64" w:rsidRPr="005A31BC" w:rsidRDefault="008C3A64" w:rsidP="00A23436">
      <w:pPr>
        <w:spacing w:after="240"/>
        <w:rPr>
          <w:spacing w:val="-6"/>
        </w:rPr>
        <w:sectPr w:rsidR="008C3A64" w:rsidRPr="005A31BC" w:rsidSect="00F7078E">
          <w:type w:val="continuous"/>
          <w:pgSz w:w="12240" w:h="15840"/>
          <w:pgMar w:top="2262" w:right="1440" w:bottom="1440" w:left="1440" w:header="708" w:footer="680" w:gutter="0"/>
          <w:cols w:space="720"/>
          <w:docGrid w:linePitch="299"/>
        </w:sectPr>
      </w:pPr>
    </w:p>
    <w:p w14:paraId="04F534AA" w14:textId="77777777" w:rsidR="008C3A64" w:rsidRPr="005A31BC" w:rsidRDefault="008C3A64" w:rsidP="008C3A64">
      <w:pPr>
        <w:rPr>
          <w:rFonts w:cs="Times New Roman (Cuerpo en alfa"/>
          <w:spacing w:val="-6"/>
        </w:rPr>
      </w:pPr>
    </w:p>
    <w:p w14:paraId="4DF21B6D" w14:textId="77777777" w:rsidR="008C3A64" w:rsidRPr="005A31BC" w:rsidRDefault="008C3A64" w:rsidP="008C3A64">
      <w:pPr>
        <w:rPr>
          <w:rFonts w:cs="Times New Roman (Cuerpo en alfa"/>
          <w:spacing w:val="-6"/>
        </w:rPr>
      </w:pPr>
    </w:p>
    <w:p w14:paraId="5C12F660" w14:textId="77777777" w:rsidR="008C3A64" w:rsidRPr="005A31BC" w:rsidRDefault="008C3A64" w:rsidP="008C3A64">
      <w:pPr>
        <w:rPr>
          <w:rFonts w:cs="Times New Roman (Cuerpo en alfa"/>
          <w:spacing w:val="-6"/>
        </w:rPr>
        <w:sectPr w:rsidR="008C3A64" w:rsidRPr="005A31BC" w:rsidSect="00F7078E">
          <w:type w:val="continuous"/>
          <w:pgSz w:w="12240" w:h="15840"/>
          <w:pgMar w:top="2262" w:right="1440" w:bottom="1440" w:left="1440" w:header="708" w:footer="680" w:gutter="0"/>
          <w:cols w:space="567"/>
          <w:docGrid w:linePitch="299"/>
        </w:sectPr>
      </w:pPr>
    </w:p>
    <w:p w14:paraId="56B20AE8" w14:textId="47638584" w:rsidR="008C3A64" w:rsidRPr="005A31BC" w:rsidRDefault="008C3A64" w:rsidP="008C3A64">
      <w:pPr>
        <w:rPr>
          <w:rFonts w:cs="Times New Roman (Cuerpo en alfa"/>
          <w:spacing w:val="-6"/>
        </w:rPr>
      </w:pPr>
      <w:r w:rsidRPr="005A31BC">
        <w:rPr>
          <w:rFonts w:cs="Times New Roman (Cuerpo en alfa"/>
          <w:spacing w:val="-6"/>
        </w:rPr>
        <w:t>Según el documento de diagnóstico y factores estratégicos para la formulación de la Política Pública de indígenas que tiene como fuente la Encuesta Multipropósito de Bogotá (EM</w:t>
      </w:r>
      <w:r w:rsidR="00A23436">
        <w:rPr>
          <w:rFonts w:cs="Times New Roman (Cuerpo en alfa"/>
          <w:spacing w:val="-6"/>
        </w:rPr>
        <w:t>B</w:t>
      </w:r>
      <w:r w:rsidRPr="005A31BC">
        <w:rPr>
          <w:rFonts w:cs="Times New Roman (Cuerpo en alfa"/>
          <w:spacing w:val="-6"/>
        </w:rPr>
        <w:t>), la percepción de pobreza de los hogares autorreconocidos como indígenas aumentó del 20 % en 2017 al 34,1 % en 2021.</w:t>
      </w:r>
    </w:p>
    <w:p w14:paraId="07594212" w14:textId="77777777" w:rsidR="008C3A64" w:rsidRPr="005A31BC" w:rsidRDefault="008C3A64" w:rsidP="008C3A64">
      <w:pPr>
        <w:rPr>
          <w:rFonts w:cs="Times New Roman (Cuerpo en alfa"/>
          <w:spacing w:val="-6"/>
        </w:rPr>
      </w:pPr>
    </w:p>
    <w:p w14:paraId="06487393" w14:textId="02BAE17F" w:rsidR="008C3A64" w:rsidRPr="005A31BC" w:rsidRDefault="008C3A64" w:rsidP="008C3A64">
      <w:pPr>
        <w:rPr>
          <w:rFonts w:cs="Times New Roman (Cuerpo en alfa"/>
          <w:spacing w:val="-6"/>
        </w:rPr>
      </w:pPr>
      <w:r w:rsidRPr="005A31BC">
        <w:rPr>
          <w:rFonts w:cs="Times New Roman (Cuerpo en alfa"/>
          <w:spacing w:val="-6"/>
        </w:rPr>
        <w:t>De acuerdo con la Encuesta multipropósito se presenta un incremento de aquellos hogares que consideraban que sus ingresos no alcanzan para cubrir los gastos mínimos, pasando del 19,3 % en 2017</w:t>
      </w:r>
      <w:r w:rsidR="00CC7A6B">
        <w:rPr>
          <w:rFonts w:cs="Times New Roman (Cuerpo en alfa"/>
          <w:spacing w:val="-6"/>
        </w:rPr>
        <w:t xml:space="preserve"> </w:t>
      </w:r>
      <w:r w:rsidRPr="005A31BC">
        <w:rPr>
          <w:rFonts w:cs="Times New Roman (Cuerpo en alfa"/>
          <w:spacing w:val="-6"/>
        </w:rPr>
        <w:t>(equivalente a 1.310 hogares) al 29,4 % (8.799) en 2021 (Alcaldía Mayor de Bogotá, 2023c, p. 49).</w:t>
      </w:r>
    </w:p>
    <w:p w14:paraId="2486895F" w14:textId="77777777" w:rsidR="008C3A64" w:rsidRPr="005A31BC" w:rsidRDefault="008C3A64" w:rsidP="008C3A64">
      <w:pPr>
        <w:rPr>
          <w:rFonts w:cs="Times New Roman (Cuerpo en alfa"/>
          <w:spacing w:val="-6"/>
        </w:rPr>
      </w:pPr>
    </w:p>
    <w:p w14:paraId="5850D97A" w14:textId="4D3EFF94" w:rsidR="008C3A64" w:rsidRDefault="008C3A64" w:rsidP="008C3A64">
      <w:pPr>
        <w:rPr>
          <w:rFonts w:cs="Times New Roman (Cuerpo en alfa"/>
          <w:spacing w:val="-6"/>
        </w:rPr>
      </w:pPr>
      <w:r w:rsidRPr="005A31BC">
        <w:rPr>
          <w:rFonts w:cs="Times New Roman (Cuerpo en alfa"/>
          <w:spacing w:val="-6"/>
        </w:rPr>
        <w:t xml:space="preserve">De acuerdo con el mercado laboral, y ante la pregunta para indagar sobre la actividad que se encontraban desarrollando las personas la semana anterior, para las personas indígenas se infiere una desmejora en su situación, ya que según la EM 2017 el 63,01 % de las personas encuestadas se encontraba trabajando, mientras que para el 2021 esta cifra se redujo al 43,9 %. Esto se puede complementar con un aumento de las personas en búsqueda de </w:t>
      </w:r>
      <w:r w:rsidRPr="005A31BC">
        <w:rPr>
          <w:rFonts w:cs="Times New Roman (Cuerpo en alfa"/>
          <w:spacing w:val="-6"/>
        </w:rPr>
        <w:lastRenderedPageBreak/>
        <w:t>trabajo que para los mismos años pasó del 3,08 % al 9,87 % (Alcaldía Mayor de Bogotá, 2023c, p. 53).</w:t>
      </w:r>
    </w:p>
    <w:p w14:paraId="04DFAF08" w14:textId="77777777" w:rsidR="00C454E0" w:rsidRPr="005A31BC" w:rsidRDefault="00C454E0" w:rsidP="008C3A64">
      <w:pPr>
        <w:rPr>
          <w:rFonts w:cs="Times New Roman (Cuerpo en alfa"/>
          <w:spacing w:val="-6"/>
        </w:rPr>
      </w:pPr>
    </w:p>
    <w:p w14:paraId="30B4009A" w14:textId="0C3C4BC0" w:rsidR="008C3A64" w:rsidRPr="005A31BC" w:rsidRDefault="008C3A64" w:rsidP="008C3A64">
      <w:pPr>
        <w:rPr>
          <w:rFonts w:cs="Times New Roman (Cuerpo en alfa"/>
          <w:spacing w:val="-6"/>
        </w:rPr>
      </w:pPr>
      <w:r w:rsidRPr="005A31BC">
        <w:rPr>
          <w:rFonts w:cs="Times New Roman (Cuerpo en alfa"/>
          <w:spacing w:val="-6"/>
        </w:rPr>
        <w:t>En relación con el aspecto educativo de las personas pertenecientes a las comunidades indígenas presentes en la ciudad, los resultados de la EM</w:t>
      </w:r>
      <w:r w:rsidR="009A189A">
        <w:rPr>
          <w:rFonts w:cs="Times New Roman (Cuerpo en alfa"/>
          <w:spacing w:val="-6"/>
        </w:rPr>
        <w:t>B</w:t>
      </w:r>
      <w:r w:rsidRPr="005A31BC">
        <w:rPr>
          <w:rFonts w:cs="Times New Roman (Cuerpo en alfa"/>
          <w:spacing w:val="-6"/>
        </w:rPr>
        <w:t xml:space="preserve"> en 2017 y 2021 acerca del nivel educativo más alto alcanzado indica que en 2017 las personas indígenas encuestadas que contaban con educación media representaban un 30,61 % y para 2021 alcanzó un 31,46 %.</w:t>
      </w:r>
    </w:p>
    <w:p w14:paraId="0487E146" w14:textId="77777777" w:rsidR="008C3A64" w:rsidRPr="005A31BC" w:rsidRDefault="008C3A64" w:rsidP="008C3A64">
      <w:pPr>
        <w:rPr>
          <w:rFonts w:cs="Times New Roman (Cuerpo en alfa"/>
          <w:spacing w:val="-6"/>
        </w:rPr>
      </w:pPr>
    </w:p>
    <w:p w14:paraId="6BD9FF49" w14:textId="251A0D30" w:rsidR="008C3A64" w:rsidRPr="005A31BC" w:rsidRDefault="008C3A64" w:rsidP="008C3A64">
      <w:pPr>
        <w:rPr>
          <w:rFonts w:cs="Times New Roman (Cuerpo en alfa"/>
          <w:spacing w:val="-6"/>
        </w:rPr>
      </w:pPr>
      <w:r w:rsidRPr="005A31BC">
        <w:rPr>
          <w:rFonts w:cs="Times New Roman (Cuerpo en alfa"/>
          <w:spacing w:val="-6"/>
        </w:rPr>
        <w:t xml:space="preserve">En lo que respecta al acceso a la salud de las comunidades indígenas en Bogotá, el grado de afiliación al Sistema General Seguridad Social en Salud </w:t>
      </w:r>
      <w:r w:rsidRPr="005A31BC">
        <w:rPr>
          <w:rFonts w:cs="Times New Roman (Cuerpo en alfa"/>
          <w:spacing w:val="-6"/>
        </w:rPr>
        <w:t>(SGSSS) de la población indígena era la segunda dentro de las poblaciones consideradas por la EM</w:t>
      </w:r>
      <w:r w:rsidR="009A189A">
        <w:rPr>
          <w:rFonts w:cs="Times New Roman (Cuerpo en alfa"/>
          <w:spacing w:val="-6"/>
        </w:rPr>
        <w:t>B</w:t>
      </w:r>
      <w:r w:rsidRPr="005A31BC">
        <w:rPr>
          <w:rFonts w:cs="Times New Roman (Cuerpo en alfa"/>
          <w:spacing w:val="-6"/>
        </w:rPr>
        <w:t xml:space="preserve"> 2017, con un 90,6 %, por debajo de la población “no étnica” que contaba con un nivel de afiliación al SGSS del 93,2 % y no muy alejada de afrodescendientes (87,5 %) y Rrom (83,7 %).</w:t>
      </w:r>
    </w:p>
    <w:p w14:paraId="252390F4" w14:textId="77777777" w:rsidR="008C3A64" w:rsidRPr="005A31BC" w:rsidRDefault="008C3A64" w:rsidP="008C3A64">
      <w:pPr>
        <w:rPr>
          <w:rFonts w:cs="Times New Roman (Cuerpo en alfa"/>
          <w:spacing w:val="-6"/>
        </w:rPr>
      </w:pPr>
    </w:p>
    <w:p w14:paraId="607C96D0" w14:textId="50C38B80" w:rsidR="008C3A64" w:rsidRPr="00D43DD1" w:rsidRDefault="008C3A64" w:rsidP="008C3A64">
      <w:pPr>
        <w:rPr>
          <w:rFonts w:cs="Times New Roman (Cuerpo en alfa"/>
          <w:spacing w:val="-8"/>
        </w:rPr>
      </w:pPr>
      <w:r w:rsidRPr="00D43DD1">
        <w:rPr>
          <w:rFonts w:cs="Times New Roman (Cuerpo en alfa"/>
          <w:spacing w:val="-8"/>
        </w:rPr>
        <w:t>Para el 2021, la cobertura del SGSSS para la población indígena de Bogotá alcanzaba un nivel de cubrimiento del 88,7 % similar a afrodescendientes (89,7 %) e inferior a la afiliación de los no autorreconocidos como pueblo étnico (91,5 %), y superando únicamente al pueblo Rrom (51,7 %) (Alcaldía Mayor de Bogotá, 2023c, p. 60) (</w:t>
      </w:r>
      <w:r w:rsidR="009A189A" w:rsidRPr="009A189A">
        <w:rPr>
          <w:rFonts w:cs="Times New Roman (Cuerpo en alfa"/>
          <w:spacing w:val="-8"/>
        </w:rPr>
        <w:fldChar w:fldCharType="begin"/>
      </w:r>
      <w:r w:rsidR="009A189A" w:rsidRPr="009A189A">
        <w:rPr>
          <w:rFonts w:cs="Times New Roman (Cuerpo en alfa"/>
          <w:spacing w:val="-8"/>
        </w:rPr>
        <w:instrText xml:space="preserve"> REF _Ref165115645 \h </w:instrText>
      </w:r>
      <w:r w:rsidR="009A189A" w:rsidRPr="009A189A">
        <w:rPr>
          <w:rFonts w:cs="Times New Roman (Cuerpo en alfa"/>
          <w:spacing w:val="-8"/>
        </w:rPr>
      </w:r>
      <w:r w:rsidR="009A189A" w:rsidRPr="009A189A">
        <w:rPr>
          <w:rFonts w:cs="Times New Roman (Cuerpo en alfa"/>
          <w:spacing w:val="-8"/>
        </w:rPr>
        <w:fldChar w:fldCharType="separate"/>
      </w:r>
      <w:r w:rsidR="00D01651" w:rsidRPr="009A189A">
        <w:rPr>
          <w:color w:val="C00000"/>
          <w:sz w:val="18"/>
          <w:szCs w:val="18"/>
        </w:rPr>
        <w:t xml:space="preserve">Gráfica </w:t>
      </w:r>
      <w:r w:rsidR="00D01651">
        <w:rPr>
          <w:noProof/>
          <w:color w:val="C00000"/>
          <w:sz w:val="18"/>
        </w:rPr>
        <w:t>18</w:t>
      </w:r>
      <w:r w:rsidR="009A189A" w:rsidRPr="009A189A">
        <w:rPr>
          <w:rFonts w:cs="Times New Roman (Cuerpo en alfa"/>
          <w:spacing w:val="-8"/>
        </w:rPr>
        <w:fldChar w:fldCharType="end"/>
      </w:r>
      <w:r w:rsidRPr="00D43DD1">
        <w:rPr>
          <w:rFonts w:cs="Times New Roman (Cuerpo en alfa"/>
          <w:spacing w:val="-8"/>
        </w:rPr>
        <w:t>)</w:t>
      </w:r>
    </w:p>
    <w:p w14:paraId="26B28FEB"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num="2" w:space="567"/>
          <w:docGrid w:linePitch="299"/>
        </w:sectPr>
      </w:pPr>
    </w:p>
    <w:p w14:paraId="3BB53163" w14:textId="77777777" w:rsidR="005A5DBC" w:rsidRDefault="005A5DBC" w:rsidP="005A5DBC">
      <w:pPr>
        <w:spacing w:line="480" w:lineRule="auto"/>
        <w:jc w:val="center"/>
        <w:rPr>
          <w:b/>
          <w:bCs/>
          <w:spacing w:val="-6"/>
          <w:sz w:val="18"/>
        </w:rPr>
      </w:pPr>
    </w:p>
    <w:p w14:paraId="7FC8D77B" w14:textId="30CF9D80" w:rsidR="008C3A64" w:rsidRDefault="009A189A" w:rsidP="009A189A">
      <w:pPr>
        <w:pStyle w:val="Descripcin"/>
        <w:jc w:val="center"/>
        <w:rPr>
          <w:spacing w:val="-6"/>
          <w:sz w:val="18"/>
        </w:rPr>
      </w:pPr>
      <w:bookmarkStart w:id="117" w:name="_Ref165115645"/>
      <w:bookmarkStart w:id="118" w:name="_Toc165169844"/>
      <w:r w:rsidRPr="009A189A">
        <w:rPr>
          <w:color w:val="C00000"/>
          <w:sz w:val="18"/>
        </w:rPr>
        <w:t xml:space="preserve">Gráfica </w:t>
      </w:r>
      <w:r w:rsidRPr="009A189A">
        <w:rPr>
          <w:color w:val="C00000"/>
          <w:sz w:val="18"/>
        </w:rPr>
        <w:fldChar w:fldCharType="begin"/>
      </w:r>
      <w:r w:rsidRPr="009A189A">
        <w:rPr>
          <w:color w:val="C00000"/>
          <w:sz w:val="18"/>
        </w:rPr>
        <w:instrText xml:space="preserve"> SEQ Gráfica \* ARABIC </w:instrText>
      </w:r>
      <w:r w:rsidRPr="009A189A">
        <w:rPr>
          <w:color w:val="C00000"/>
          <w:sz w:val="18"/>
        </w:rPr>
        <w:fldChar w:fldCharType="separate"/>
      </w:r>
      <w:r w:rsidR="00D01651">
        <w:rPr>
          <w:noProof/>
          <w:color w:val="C00000"/>
          <w:sz w:val="18"/>
        </w:rPr>
        <w:t>18</w:t>
      </w:r>
      <w:r w:rsidRPr="009A189A">
        <w:rPr>
          <w:color w:val="C00000"/>
          <w:sz w:val="18"/>
        </w:rPr>
        <w:fldChar w:fldCharType="end"/>
      </w:r>
      <w:bookmarkEnd w:id="117"/>
      <w:r w:rsidRPr="009A189A">
        <w:rPr>
          <w:sz w:val="18"/>
        </w:rPr>
        <w:t>.</w:t>
      </w:r>
      <w:r w:rsidR="001201FA" w:rsidRPr="009A189A">
        <w:rPr>
          <w:noProof/>
          <w:spacing w:val="-6"/>
          <w:sz w:val="18"/>
        </w:rPr>
        <w:drawing>
          <wp:anchor distT="0" distB="0" distL="114300" distR="114300" simplePos="0" relativeHeight="251681792" behindDoc="0" locked="0" layoutInCell="1" allowOverlap="1" wp14:anchorId="3F4BD9FC" wp14:editId="3D993CA8">
            <wp:simplePos x="0" y="0"/>
            <wp:positionH relativeFrom="column">
              <wp:posOffset>-112395</wp:posOffset>
            </wp:positionH>
            <wp:positionV relativeFrom="paragraph">
              <wp:posOffset>231775</wp:posOffset>
            </wp:positionV>
            <wp:extent cx="5832475" cy="2644140"/>
            <wp:effectExtent l="0" t="0" r="0" b="0"/>
            <wp:wrapNone/>
            <wp:docPr id="99" name="Grá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page">
              <wp14:pctWidth>0</wp14:pctWidth>
            </wp14:sizeRelH>
            <wp14:sizeRelV relativeFrom="page">
              <wp14:pctHeight>0</wp14:pctHeight>
            </wp14:sizeRelV>
          </wp:anchor>
        </w:drawing>
      </w:r>
      <w:r w:rsidRPr="009A189A">
        <w:rPr>
          <w:bCs/>
          <w:spacing w:val="-6"/>
          <w:sz w:val="18"/>
        </w:rPr>
        <w:t xml:space="preserve"> </w:t>
      </w:r>
      <w:r w:rsidR="008C3A64" w:rsidRPr="009A189A">
        <w:rPr>
          <w:spacing w:val="-6"/>
          <w:sz w:val="18"/>
        </w:rPr>
        <w:t>Condiciones de vida en el hogar</w:t>
      </w:r>
      <w:bookmarkEnd w:id="118"/>
    </w:p>
    <w:p w14:paraId="7C442345" w14:textId="79AB985E" w:rsidR="009A189A" w:rsidRPr="009A189A" w:rsidRDefault="009A189A" w:rsidP="009A189A">
      <w:pPr>
        <w:rPr>
          <w:lang w:val="es-419" w:eastAsia="en-US"/>
        </w:rPr>
      </w:pPr>
    </w:p>
    <w:p w14:paraId="5579779F" w14:textId="77777777" w:rsidR="009A189A" w:rsidRPr="009A189A" w:rsidRDefault="009A189A" w:rsidP="009A189A">
      <w:pPr>
        <w:rPr>
          <w:lang w:val="es-419" w:eastAsia="en-US"/>
        </w:rPr>
      </w:pPr>
    </w:p>
    <w:p w14:paraId="4E8A0D19" w14:textId="26567C95" w:rsidR="001201FA" w:rsidRDefault="001201FA" w:rsidP="005A5DBC">
      <w:pPr>
        <w:spacing w:line="480" w:lineRule="auto"/>
        <w:jc w:val="center"/>
        <w:rPr>
          <w:color w:val="C00000"/>
          <w:spacing w:val="-6"/>
          <w:sz w:val="18"/>
          <w:szCs w:val="20"/>
        </w:rPr>
      </w:pPr>
    </w:p>
    <w:p w14:paraId="6B9059B5" w14:textId="1BCE593C" w:rsidR="001201FA" w:rsidRDefault="001201FA" w:rsidP="005A5DBC">
      <w:pPr>
        <w:spacing w:line="480" w:lineRule="auto"/>
        <w:jc w:val="center"/>
        <w:rPr>
          <w:color w:val="C00000"/>
          <w:spacing w:val="-6"/>
          <w:sz w:val="18"/>
          <w:szCs w:val="20"/>
        </w:rPr>
      </w:pPr>
    </w:p>
    <w:p w14:paraId="56421C9A" w14:textId="77777777" w:rsidR="001201FA" w:rsidRPr="005A31BC" w:rsidRDefault="001201FA" w:rsidP="005A5DBC">
      <w:pPr>
        <w:spacing w:line="480" w:lineRule="auto"/>
        <w:jc w:val="center"/>
        <w:rPr>
          <w:b/>
          <w:bCs/>
          <w:spacing w:val="-6"/>
        </w:rPr>
      </w:pPr>
    </w:p>
    <w:p w14:paraId="56FF9679" w14:textId="413C237D" w:rsidR="008C3A64" w:rsidRPr="005A31BC" w:rsidRDefault="008C3A64" w:rsidP="008C3A64">
      <w:pPr>
        <w:rPr>
          <w:spacing w:val="-6"/>
        </w:rPr>
      </w:pPr>
    </w:p>
    <w:p w14:paraId="263C857D" w14:textId="0AA444EB" w:rsidR="008C3A64" w:rsidRPr="005A31BC" w:rsidRDefault="008C3A64" w:rsidP="008C3A64">
      <w:pPr>
        <w:rPr>
          <w:bCs/>
          <w:spacing w:val="-6"/>
        </w:rPr>
      </w:pPr>
    </w:p>
    <w:p w14:paraId="7AD9C49A" w14:textId="24BB29EB" w:rsidR="008C3A64" w:rsidRPr="005A31BC" w:rsidRDefault="008C3A64" w:rsidP="008C3A64">
      <w:pPr>
        <w:rPr>
          <w:bCs/>
          <w:spacing w:val="-6"/>
        </w:rPr>
      </w:pPr>
    </w:p>
    <w:p w14:paraId="0F5850FE" w14:textId="7517B946" w:rsidR="008C3A64" w:rsidRPr="005A31BC" w:rsidRDefault="008C3A64" w:rsidP="008C3A64">
      <w:pPr>
        <w:rPr>
          <w:bCs/>
          <w:spacing w:val="-6"/>
        </w:rPr>
      </w:pPr>
    </w:p>
    <w:p w14:paraId="4A27DC4A" w14:textId="367DB2A1" w:rsidR="008C3A64" w:rsidRPr="005A31BC" w:rsidRDefault="008C3A64" w:rsidP="008C3A64">
      <w:pPr>
        <w:rPr>
          <w:bCs/>
          <w:spacing w:val="-6"/>
        </w:rPr>
      </w:pPr>
    </w:p>
    <w:p w14:paraId="763AEFAD" w14:textId="1BCBE1E4" w:rsidR="008C3A64" w:rsidRPr="005A31BC" w:rsidRDefault="008C3A64" w:rsidP="008C3A64">
      <w:pPr>
        <w:rPr>
          <w:bCs/>
          <w:spacing w:val="-6"/>
        </w:rPr>
      </w:pPr>
    </w:p>
    <w:p w14:paraId="4E09B629" w14:textId="7183316E" w:rsidR="008C3A64" w:rsidRPr="005A31BC" w:rsidRDefault="008C3A64" w:rsidP="008C3A64">
      <w:pPr>
        <w:rPr>
          <w:bCs/>
          <w:spacing w:val="-6"/>
        </w:rPr>
      </w:pPr>
    </w:p>
    <w:p w14:paraId="198BF1ED" w14:textId="77777777" w:rsidR="008C3A64" w:rsidRPr="005A31BC" w:rsidRDefault="008C3A64" w:rsidP="009A189A">
      <w:pPr>
        <w:pStyle w:val="figuratitulo"/>
        <w:rPr>
          <w:color w:val="3B3838" w:themeColor="background2" w:themeShade="40"/>
          <w:spacing w:val="-6"/>
        </w:rPr>
      </w:pPr>
      <w:r w:rsidRPr="005A31BC">
        <w:rPr>
          <w:b/>
          <w:color w:val="3B3838" w:themeColor="background2" w:themeShade="40"/>
          <w:spacing w:val="-6"/>
        </w:rPr>
        <w:t>Fuente:</w:t>
      </w:r>
      <w:r w:rsidRPr="005A31BC">
        <w:rPr>
          <w:color w:val="3B3838" w:themeColor="background2" w:themeShade="40"/>
          <w:spacing w:val="-6"/>
        </w:rPr>
        <w:t xml:space="preserve"> Encuesta Multipropósito de Bogotá (2021).</w:t>
      </w:r>
    </w:p>
    <w:p w14:paraId="330BDB96" w14:textId="77777777" w:rsidR="001201FA" w:rsidRDefault="001201FA" w:rsidP="008C3A64">
      <w:pPr>
        <w:rPr>
          <w:rFonts w:cs="Times New Roman (Cuerpo en alfa"/>
          <w:spacing w:val="-6"/>
        </w:rPr>
      </w:pPr>
    </w:p>
    <w:p w14:paraId="6C31CA68" w14:textId="77777777" w:rsidR="00C454E0" w:rsidRDefault="00C454E0" w:rsidP="008C3A64">
      <w:pPr>
        <w:rPr>
          <w:rFonts w:cs="Times New Roman (Cuerpo en alfa"/>
          <w:spacing w:val="-6"/>
        </w:rPr>
      </w:pPr>
    </w:p>
    <w:p w14:paraId="3A4E03E6" w14:textId="68F3CDF9" w:rsidR="00C454E0" w:rsidRDefault="00C454E0" w:rsidP="008C3A64">
      <w:pPr>
        <w:rPr>
          <w:rFonts w:cs="Times New Roman (Cuerpo en alfa"/>
          <w:spacing w:val="-6"/>
        </w:rPr>
        <w:sectPr w:rsidR="00C454E0" w:rsidSect="00F7078E">
          <w:type w:val="continuous"/>
          <w:pgSz w:w="12240" w:h="15840"/>
          <w:pgMar w:top="2262" w:right="1440" w:bottom="1440" w:left="1440" w:header="708" w:footer="680" w:gutter="0"/>
          <w:cols w:space="567"/>
          <w:docGrid w:linePitch="299"/>
        </w:sectPr>
      </w:pPr>
    </w:p>
    <w:p w14:paraId="306BC2E7" w14:textId="42C85AE3" w:rsidR="008C3A64" w:rsidRDefault="008C3A64" w:rsidP="008C3A64">
      <w:pPr>
        <w:rPr>
          <w:rFonts w:cs="Times New Roman (Cuerpo en alfa"/>
          <w:spacing w:val="-6"/>
        </w:rPr>
      </w:pPr>
      <w:r w:rsidRPr="005A31BC">
        <w:rPr>
          <w:rFonts w:cs="Times New Roman (Cuerpo en alfa"/>
          <w:spacing w:val="-6"/>
        </w:rPr>
        <w:t>Según el Índice de Condiciones Ampliadas de Vida (ICAV) para la población con autorreconocimiento étnico las privaciones con una mayor incidencia, en comparación con la población no étnica, son la falta de espacio público efectivo, el trabajo informal y la vivienda en zona de riesgo. De hecho, el 46,2 % de esta población habita en una vivienda con menos de 2,3 m</w:t>
      </w:r>
      <w:r w:rsidRPr="005A31BC">
        <w:rPr>
          <w:rFonts w:cs="Times New Roman (Cuerpo en alfa"/>
          <w:spacing w:val="-6"/>
          <w:vertAlign w:val="superscript"/>
        </w:rPr>
        <w:t>2</w:t>
      </w:r>
      <w:r w:rsidRPr="005A31BC">
        <w:rPr>
          <w:rFonts w:cs="Times New Roman (Cuerpo en alfa"/>
          <w:spacing w:val="-6"/>
        </w:rPr>
        <w:t xml:space="preserve"> de áreas libres, verdes y abiertas para el disfrute por habitante.</w:t>
      </w:r>
    </w:p>
    <w:p w14:paraId="53BFE100" w14:textId="50B97937" w:rsidR="008C3A64" w:rsidRPr="005A31BC" w:rsidRDefault="008C3A64" w:rsidP="008C3A64">
      <w:pPr>
        <w:rPr>
          <w:rFonts w:cs="Times New Roman (Cuerpo en alfa"/>
          <w:spacing w:val="-6"/>
        </w:rPr>
      </w:pPr>
      <w:r w:rsidRPr="005A31BC">
        <w:rPr>
          <w:rFonts w:cs="Times New Roman (Cuerpo en alfa"/>
          <w:spacing w:val="-6"/>
        </w:rPr>
        <w:t xml:space="preserve">Asimismo, cerca del 65 % de esta población trabaja de manera informal, y el 31,5 % habita en una vivienda que presenta riesgo de inundación, derrumbes o hundimiento del terreno. Estas privaciones son en promedio 15,3 p.p. menores para las personas que no se autorreconocen en algún grupo étnico </w:t>
      </w:r>
      <w:r w:rsidRPr="00157801">
        <w:rPr>
          <w:rFonts w:cs="Times New Roman (Cuerpo en alfa"/>
          <w:spacing w:val="-6"/>
        </w:rPr>
        <w:t>(</w:t>
      </w:r>
      <w:r w:rsidR="00157801" w:rsidRPr="00157801">
        <w:rPr>
          <w:rFonts w:cs="Times New Roman (Cuerpo en alfa"/>
          <w:spacing w:val="-6"/>
        </w:rPr>
        <w:fldChar w:fldCharType="begin"/>
      </w:r>
      <w:r w:rsidR="00157801" w:rsidRPr="00157801">
        <w:rPr>
          <w:rFonts w:cs="Times New Roman (Cuerpo en alfa"/>
          <w:spacing w:val="-6"/>
        </w:rPr>
        <w:instrText xml:space="preserve"> REF _Ref165115752 \h </w:instrText>
      </w:r>
      <w:r w:rsidR="00157801" w:rsidRPr="00157801">
        <w:rPr>
          <w:rFonts w:cs="Times New Roman (Cuerpo en alfa"/>
          <w:spacing w:val="-6"/>
        </w:rPr>
      </w:r>
      <w:r w:rsidR="00157801" w:rsidRPr="00157801">
        <w:rPr>
          <w:rFonts w:cs="Times New Roman (Cuerpo en alfa"/>
          <w:spacing w:val="-6"/>
        </w:rPr>
        <w:fldChar w:fldCharType="separate"/>
      </w:r>
      <w:r w:rsidR="00D01651" w:rsidRPr="00D762E4">
        <w:rPr>
          <w:color w:val="C00000"/>
          <w:sz w:val="18"/>
          <w:szCs w:val="14"/>
        </w:rPr>
        <w:t xml:space="preserve">Gráfica </w:t>
      </w:r>
      <w:r w:rsidR="00D01651">
        <w:rPr>
          <w:noProof/>
          <w:color w:val="C00000"/>
          <w:sz w:val="18"/>
          <w:szCs w:val="14"/>
        </w:rPr>
        <w:t>19</w:t>
      </w:r>
      <w:r w:rsidR="00157801" w:rsidRPr="00157801">
        <w:rPr>
          <w:rFonts w:cs="Times New Roman (Cuerpo en alfa"/>
          <w:spacing w:val="-6"/>
        </w:rPr>
        <w:fldChar w:fldCharType="end"/>
      </w:r>
      <w:r w:rsidR="00157801">
        <w:rPr>
          <w:rFonts w:cs="Times New Roman (Cuerpo en alfa"/>
          <w:spacing w:val="-6"/>
        </w:rPr>
        <w:t>).</w:t>
      </w:r>
    </w:p>
    <w:p w14:paraId="03278CA7"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num="2" w:space="567"/>
          <w:docGrid w:linePitch="299"/>
        </w:sectPr>
      </w:pPr>
    </w:p>
    <w:p w14:paraId="1F4B995E" w14:textId="77777777" w:rsidR="008C3A64" w:rsidRPr="005A31BC" w:rsidRDefault="008C3A64" w:rsidP="008C3A64">
      <w:pPr>
        <w:pStyle w:val="figuratitulo"/>
        <w:rPr>
          <w:b/>
          <w:bCs/>
          <w:color w:val="3B3838" w:themeColor="background2" w:themeShade="40"/>
          <w:spacing w:val="-6"/>
        </w:rPr>
      </w:pPr>
    </w:p>
    <w:p w14:paraId="3247758E" w14:textId="77777777" w:rsidR="008C3A64" w:rsidRPr="005A31BC" w:rsidRDefault="008C3A64" w:rsidP="008C3A64">
      <w:pPr>
        <w:pStyle w:val="figuratitulo"/>
        <w:rPr>
          <w:b/>
          <w:bCs/>
          <w:color w:val="3B3838" w:themeColor="background2" w:themeShade="40"/>
          <w:spacing w:val="-6"/>
        </w:rPr>
      </w:pPr>
    </w:p>
    <w:p w14:paraId="7A75A139" w14:textId="77777777" w:rsidR="008C3A64" w:rsidRPr="005A31BC" w:rsidRDefault="008C3A64" w:rsidP="008C3A64">
      <w:pPr>
        <w:pStyle w:val="figuratitulo"/>
        <w:rPr>
          <w:rFonts w:cs="Times New Roman (Cuerpo en alfa"/>
          <w:b/>
          <w:bCs/>
          <w:color w:val="3B3838" w:themeColor="background2" w:themeShade="40"/>
          <w:spacing w:val="-6"/>
          <w:szCs w:val="18"/>
        </w:rPr>
        <w:sectPr w:rsidR="008C3A64" w:rsidRPr="005A31BC" w:rsidSect="00F7078E">
          <w:type w:val="continuous"/>
          <w:pgSz w:w="12240" w:h="15840"/>
          <w:pgMar w:top="2262" w:right="1440" w:bottom="1440" w:left="1440" w:header="708" w:footer="680" w:gutter="0"/>
          <w:cols w:num="2" w:space="567"/>
          <w:docGrid w:linePitch="299"/>
        </w:sectPr>
      </w:pPr>
      <w:r w:rsidRPr="005A31BC">
        <w:rPr>
          <w:rFonts w:cs="Times New Roman (Cuerpo en alfa"/>
          <w:b/>
          <w:bCs/>
          <w:color w:val="3B3838" w:themeColor="background2" w:themeShade="40"/>
          <w:spacing w:val="-6"/>
          <w:szCs w:val="18"/>
        </w:rPr>
        <w:t xml:space="preserve"> </w:t>
      </w:r>
    </w:p>
    <w:p w14:paraId="0DB70358" w14:textId="36EBE659" w:rsidR="008C3A64" w:rsidRPr="005A31BC" w:rsidRDefault="00C454E0" w:rsidP="00D762E4">
      <w:pPr>
        <w:pStyle w:val="Descripcin"/>
        <w:jc w:val="center"/>
        <w:rPr>
          <w:spacing w:val="-6"/>
        </w:rPr>
      </w:pPr>
      <w:bookmarkStart w:id="119" w:name="_Ref165115752"/>
      <w:bookmarkStart w:id="120" w:name="_Toc165169845"/>
      <w:r w:rsidRPr="00D762E4">
        <w:rPr>
          <w:noProof/>
          <w:color w:val="C00000"/>
          <w:spacing w:val="-6"/>
          <w:sz w:val="18"/>
          <w:szCs w:val="14"/>
        </w:rPr>
        <w:lastRenderedPageBreak/>
        <w:drawing>
          <wp:anchor distT="0" distB="0" distL="114300" distR="114300" simplePos="0" relativeHeight="251688960" behindDoc="0" locked="0" layoutInCell="1" allowOverlap="1" wp14:anchorId="17390107" wp14:editId="678F1419">
            <wp:simplePos x="0" y="0"/>
            <wp:positionH relativeFrom="margin">
              <wp:posOffset>-1308735</wp:posOffset>
            </wp:positionH>
            <wp:positionV relativeFrom="paragraph">
              <wp:posOffset>182880</wp:posOffset>
            </wp:positionV>
            <wp:extent cx="7338060" cy="2964180"/>
            <wp:effectExtent l="0" t="0" r="0" b="0"/>
            <wp:wrapNone/>
            <wp:docPr id="102" name="Gráfico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page">
              <wp14:pctWidth>0</wp14:pctWidth>
            </wp14:sizeRelH>
            <wp14:sizeRelV relativeFrom="page">
              <wp14:pctHeight>0</wp14:pctHeight>
            </wp14:sizeRelV>
          </wp:anchor>
        </w:drawing>
      </w:r>
      <w:r w:rsidR="00D762E4" w:rsidRPr="00D762E4">
        <w:rPr>
          <w:color w:val="C00000"/>
          <w:sz w:val="18"/>
          <w:szCs w:val="14"/>
        </w:rPr>
        <w:t xml:space="preserve">Gráfica </w:t>
      </w:r>
      <w:r w:rsidR="00D762E4" w:rsidRPr="00D762E4">
        <w:rPr>
          <w:color w:val="C00000"/>
          <w:sz w:val="18"/>
          <w:szCs w:val="14"/>
        </w:rPr>
        <w:fldChar w:fldCharType="begin"/>
      </w:r>
      <w:r w:rsidR="00D762E4" w:rsidRPr="00D762E4">
        <w:rPr>
          <w:color w:val="C00000"/>
          <w:sz w:val="18"/>
          <w:szCs w:val="14"/>
        </w:rPr>
        <w:instrText xml:space="preserve"> SEQ Gráfica \* ARABIC </w:instrText>
      </w:r>
      <w:r w:rsidR="00D762E4" w:rsidRPr="00D762E4">
        <w:rPr>
          <w:color w:val="C00000"/>
          <w:sz w:val="18"/>
          <w:szCs w:val="14"/>
        </w:rPr>
        <w:fldChar w:fldCharType="separate"/>
      </w:r>
      <w:r w:rsidR="00D01651">
        <w:rPr>
          <w:noProof/>
          <w:color w:val="C00000"/>
          <w:sz w:val="18"/>
          <w:szCs w:val="14"/>
        </w:rPr>
        <w:t>19</w:t>
      </w:r>
      <w:r w:rsidR="00D762E4" w:rsidRPr="00D762E4">
        <w:rPr>
          <w:color w:val="C00000"/>
          <w:sz w:val="18"/>
          <w:szCs w:val="14"/>
        </w:rPr>
        <w:fldChar w:fldCharType="end"/>
      </w:r>
      <w:bookmarkEnd w:id="119"/>
      <w:r w:rsidR="00D762E4" w:rsidRPr="00D762E4">
        <w:rPr>
          <w:color w:val="C00000"/>
          <w:sz w:val="18"/>
          <w:szCs w:val="14"/>
        </w:rPr>
        <w:t xml:space="preserve">. </w:t>
      </w:r>
      <w:r w:rsidR="008C3A64" w:rsidRPr="00D762E4">
        <w:rPr>
          <w:spacing w:val="-6"/>
          <w:sz w:val="18"/>
          <w:szCs w:val="14"/>
        </w:rPr>
        <w:t>Privaciones por indicador, personas con autorreconocimiento étnico</w:t>
      </w:r>
      <w:bookmarkEnd w:id="120"/>
    </w:p>
    <w:p w14:paraId="4107EF5B" w14:textId="763313C0" w:rsidR="008C3A64" w:rsidRPr="005A31BC" w:rsidRDefault="008C3A64" w:rsidP="008C3A64">
      <w:pPr>
        <w:pStyle w:val="figuratitulo"/>
        <w:rPr>
          <w:spacing w:val="-6"/>
        </w:rPr>
      </w:pPr>
    </w:p>
    <w:p w14:paraId="68764C39" w14:textId="77777777" w:rsidR="008C3A64" w:rsidRPr="005A31BC" w:rsidRDefault="008C3A64" w:rsidP="008C3A64">
      <w:pPr>
        <w:pStyle w:val="figuratitulo"/>
        <w:rPr>
          <w:spacing w:val="-6"/>
        </w:rPr>
      </w:pPr>
    </w:p>
    <w:p w14:paraId="1D572291" w14:textId="77777777" w:rsidR="008C3A64" w:rsidRPr="005A31BC" w:rsidRDefault="008C3A64" w:rsidP="008C3A64">
      <w:pPr>
        <w:pStyle w:val="figuratitulo"/>
        <w:rPr>
          <w:spacing w:val="-6"/>
        </w:rPr>
      </w:pPr>
    </w:p>
    <w:p w14:paraId="32D5D1D2" w14:textId="77777777" w:rsidR="008C3A64" w:rsidRPr="005A31BC" w:rsidRDefault="008C3A64" w:rsidP="008C3A64">
      <w:pPr>
        <w:pStyle w:val="figuratitulo"/>
        <w:rPr>
          <w:spacing w:val="-6"/>
        </w:rPr>
      </w:pPr>
    </w:p>
    <w:p w14:paraId="4FDF2128" w14:textId="77777777" w:rsidR="008C3A64" w:rsidRPr="005A31BC" w:rsidRDefault="008C3A64" w:rsidP="008C3A64">
      <w:pPr>
        <w:pStyle w:val="figuratitulo"/>
        <w:rPr>
          <w:spacing w:val="-6"/>
        </w:rPr>
      </w:pPr>
    </w:p>
    <w:p w14:paraId="3E07DA64" w14:textId="77777777" w:rsidR="008C3A64" w:rsidRPr="005A31BC" w:rsidRDefault="008C3A64" w:rsidP="008C3A64">
      <w:pPr>
        <w:pStyle w:val="figuratitulo"/>
        <w:rPr>
          <w:spacing w:val="-6"/>
        </w:rPr>
      </w:pPr>
    </w:p>
    <w:p w14:paraId="4E520685" w14:textId="77777777" w:rsidR="008C3A64" w:rsidRPr="005A31BC" w:rsidRDefault="008C3A64" w:rsidP="008C3A64">
      <w:pPr>
        <w:pStyle w:val="figuratitulo"/>
        <w:rPr>
          <w:spacing w:val="-6"/>
        </w:rPr>
      </w:pPr>
    </w:p>
    <w:p w14:paraId="3BD0EE24" w14:textId="77777777" w:rsidR="008C3A64" w:rsidRPr="005A31BC" w:rsidRDefault="008C3A64" w:rsidP="008C3A64">
      <w:pPr>
        <w:pStyle w:val="figuratitulo"/>
        <w:rPr>
          <w:spacing w:val="-6"/>
        </w:rPr>
      </w:pPr>
    </w:p>
    <w:p w14:paraId="594C9C0A" w14:textId="77777777" w:rsidR="008C3A64" w:rsidRPr="005A31BC" w:rsidRDefault="008C3A64" w:rsidP="008C3A64">
      <w:pPr>
        <w:pStyle w:val="figuratitulo"/>
        <w:rPr>
          <w:spacing w:val="-6"/>
        </w:rPr>
        <w:sectPr w:rsidR="008C3A64" w:rsidRPr="005A31BC" w:rsidSect="00F7078E">
          <w:type w:val="continuous"/>
          <w:pgSz w:w="12240" w:h="15840"/>
          <w:pgMar w:top="2262" w:right="1440" w:bottom="1440" w:left="1440" w:header="708" w:footer="680" w:gutter="0"/>
          <w:cols w:space="567"/>
          <w:docGrid w:linePitch="299"/>
        </w:sectPr>
      </w:pPr>
    </w:p>
    <w:p w14:paraId="6B0B17FA" w14:textId="77777777" w:rsidR="008C3A64" w:rsidRPr="005A31BC" w:rsidRDefault="008C3A64" w:rsidP="008C3A64">
      <w:pPr>
        <w:pStyle w:val="figuratitulo"/>
        <w:rPr>
          <w:spacing w:val="-6"/>
        </w:rPr>
        <w:sectPr w:rsidR="008C3A64" w:rsidRPr="005A31BC" w:rsidSect="00F7078E">
          <w:type w:val="continuous"/>
          <w:pgSz w:w="12240" w:h="15840"/>
          <w:pgMar w:top="2262" w:right="1440" w:bottom="1440" w:left="1440" w:header="708" w:footer="680" w:gutter="0"/>
          <w:cols w:space="567"/>
          <w:docGrid w:linePitch="299"/>
        </w:sectPr>
      </w:pPr>
    </w:p>
    <w:p w14:paraId="23A3C4B0" w14:textId="77777777" w:rsidR="008C3A64" w:rsidRPr="005A31BC" w:rsidRDefault="008C3A64" w:rsidP="008C3A64">
      <w:pPr>
        <w:pStyle w:val="figuratitulo"/>
        <w:rPr>
          <w:spacing w:val="-6"/>
        </w:rPr>
      </w:pPr>
    </w:p>
    <w:p w14:paraId="5CBD58F2" w14:textId="77777777" w:rsidR="008C3A64" w:rsidRPr="005A31BC" w:rsidRDefault="008C3A64" w:rsidP="008C3A64">
      <w:pPr>
        <w:pStyle w:val="figuratitulo"/>
        <w:rPr>
          <w:spacing w:val="-6"/>
        </w:rPr>
      </w:pPr>
    </w:p>
    <w:p w14:paraId="670A20EA" w14:textId="77777777" w:rsidR="008C3A64" w:rsidRPr="005A31BC" w:rsidRDefault="008C3A64" w:rsidP="008C3A64">
      <w:pPr>
        <w:pStyle w:val="figuratitulo"/>
        <w:rPr>
          <w:spacing w:val="-6"/>
        </w:rPr>
      </w:pPr>
    </w:p>
    <w:p w14:paraId="0A9DAB85" w14:textId="77777777" w:rsidR="008C3A64" w:rsidRPr="005A31BC" w:rsidRDefault="008C3A64" w:rsidP="008C3A64">
      <w:pPr>
        <w:pStyle w:val="figuratitulo"/>
        <w:rPr>
          <w:spacing w:val="-6"/>
        </w:rPr>
      </w:pPr>
    </w:p>
    <w:p w14:paraId="5DC9C01E" w14:textId="77777777" w:rsidR="008C3A64" w:rsidRPr="005A31BC" w:rsidRDefault="008C3A64" w:rsidP="008C3A64">
      <w:pPr>
        <w:pStyle w:val="figuratitulo"/>
        <w:rPr>
          <w:spacing w:val="-6"/>
        </w:rPr>
      </w:pPr>
    </w:p>
    <w:p w14:paraId="1FDC1E96" w14:textId="77777777" w:rsidR="008C3A64" w:rsidRPr="005A31BC" w:rsidRDefault="008C3A64" w:rsidP="008C3A64">
      <w:pPr>
        <w:pStyle w:val="figuratitulo"/>
        <w:rPr>
          <w:spacing w:val="-6"/>
        </w:rPr>
      </w:pPr>
    </w:p>
    <w:p w14:paraId="5A8E123E" w14:textId="77777777" w:rsidR="008C3A64" w:rsidRPr="005A31BC" w:rsidRDefault="008C3A64" w:rsidP="008C3A64">
      <w:pPr>
        <w:pStyle w:val="figuratitulo"/>
        <w:rPr>
          <w:spacing w:val="-6"/>
        </w:rPr>
      </w:pPr>
    </w:p>
    <w:p w14:paraId="175EC5BE" w14:textId="77777777" w:rsidR="008C3A64" w:rsidRPr="005A31BC" w:rsidRDefault="008C3A64" w:rsidP="008C3A64">
      <w:pPr>
        <w:pStyle w:val="figuratitulo"/>
        <w:rPr>
          <w:spacing w:val="-6"/>
        </w:rPr>
      </w:pPr>
    </w:p>
    <w:p w14:paraId="29D4CF1C" w14:textId="77777777" w:rsidR="008C3A64" w:rsidRPr="005A31BC" w:rsidRDefault="008C3A64" w:rsidP="008C3A64">
      <w:pPr>
        <w:pStyle w:val="figuratitulo"/>
        <w:rPr>
          <w:color w:val="3B3838" w:themeColor="background2" w:themeShade="40"/>
          <w:spacing w:val="-6"/>
        </w:rPr>
      </w:pPr>
    </w:p>
    <w:p w14:paraId="641A2AC7" w14:textId="77777777" w:rsidR="008C3A64" w:rsidRPr="005A31BC" w:rsidRDefault="008C3A64" w:rsidP="008C3A64">
      <w:pPr>
        <w:pStyle w:val="figuratitulo"/>
        <w:rPr>
          <w:color w:val="3B3838" w:themeColor="background2" w:themeShade="40"/>
          <w:spacing w:val="-6"/>
        </w:rPr>
      </w:pPr>
    </w:p>
    <w:p w14:paraId="5AE80AAE" w14:textId="77777777" w:rsidR="008C3A64" w:rsidRPr="005A31BC" w:rsidRDefault="008C3A64" w:rsidP="008C3A64">
      <w:pPr>
        <w:pStyle w:val="figuratitulo"/>
        <w:rPr>
          <w:color w:val="3B3838" w:themeColor="background2" w:themeShade="40"/>
          <w:spacing w:val="-6"/>
        </w:rPr>
      </w:pPr>
    </w:p>
    <w:p w14:paraId="12EE8EC1" w14:textId="77777777" w:rsidR="008C3A64" w:rsidRPr="005A31BC" w:rsidRDefault="008C3A64" w:rsidP="008C3A64">
      <w:pPr>
        <w:pStyle w:val="figuratitulo"/>
        <w:rPr>
          <w:color w:val="3B3838" w:themeColor="background2" w:themeShade="40"/>
          <w:spacing w:val="-6"/>
        </w:rPr>
      </w:pPr>
    </w:p>
    <w:p w14:paraId="0B1DEE0C" w14:textId="1BF855EE" w:rsidR="008C3A64" w:rsidRPr="00C454E0" w:rsidRDefault="008C3A64" w:rsidP="00C454E0">
      <w:pPr>
        <w:pStyle w:val="figuratitulo"/>
        <w:rPr>
          <w:color w:val="3B3838" w:themeColor="background2" w:themeShade="40"/>
          <w:spacing w:val="-6"/>
        </w:rPr>
        <w:sectPr w:rsidR="008C3A64" w:rsidRPr="00C454E0" w:rsidSect="00F7078E">
          <w:type w:val="continuous"/>
          <w:pgSz w:w="12240" w:h="15840"/>
          <w:pgMar w:top="2262" w:right="1440" w:bottom="1440" w:left="1440" w:header="708" w:footer="680" w:gutter="0"/>
          <w:cols w:space="567"/>
          <w:docGrid w:linePitch="299"/>
        </w:sectPr>
      </w:pPr>
      <w:r w:rsidRPr="005A31BC">
        <w:rPr>
          <w:b/>
          <w:bCs/>
          <w:color w:val="3B3838" w:themeColor="background2" w:themeShade="40"/>
          <w:spacing w:val="-6"/>
        </w:rPr>
        <w:t>Fuente:</w:t>
      </w:r>
      <w:r w:rsidRPr="005A31BC">
        <w:rPr>
          <w:color w:val="3B3838" w:themeColor="background2" w:themeShade="40"/>
          <w:spacing w:val="-6"/>
        </w:rPr>
        <w:t xml:space="preserve"> Alcaldía Mayor de Bogotá. Secretaría Distrital de Planeación (2023d).</w:t>
      </w:r>
    </w:p>
    <w:p w14:paraId="036C3728" w14:textId="77777777" w:rsidR="001201FA" w:rsidRDefault="001201FA" w:rsidP="008C3A64">
      <w:pPr>
        <w:rPr>
          <w:spacing w:val="-6"/>
        </w:rPr>
      </w:pPr>
    </w:p>
    <w:p w14:paraId="2F4040F7" w14:textId="4F0916FA" w:rsidR="001201FA" w:rsidRDefault="001201FA" w:rsidP="008C3A64">
      <w:pPr>
        <w:rPr>
          <w:spacing w:val="-6"/>
        </w:rPr>
      </w:pPr>
    </w:p>
    <w:p w14:paraId="2AC34718" w14:textId="77777777" w:rsidR="001201FA" w:rsidRDefault="001201FA" w:rsidP="008C3A64">
      <w:pPr>
        <w:rPr>
          <w:spacing w:val="-6"/>
        </w:rPr>
      </w:pPr>
    </w:p>
    <w:p w14:paraId="1AC78FE6" w14:textId="77777777" w:rsidR="008C3A64" w:rsidRDefault="008C3A64" w:rsidP="008C3A64">
      <w:pPr>
        <w:rPr>
          <w:spacing w:val="-6"/>
        </w:rPr>
      </w:pPr>
    </w:p>
    <w:p w14:paraId="74E838DA"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num="2" w:space="567"/>
          <w:docGrid w:linePitch="299"/>
        </w:sectPr>
      </w:pPr>
    </w:p>
    <w:p w14:paraId="0BD9FC48" w14:textId="74323142" w:rsidR="008C3A64" w:rsidRPr="005A31BC" w:rsidRDefault="008C3A64" w:rsidP="00157801">
      <w:pPr>
        <w:pStyle w:val="subnumeros"/>
        <w:numPr>
          <w:ilvl w:val="0"/>
          <w:numId w:val="0"/>
        </w:numPr>
        <w:ind w:left="720"/>
        <w:outlineLvl w:val="9"/>
        <w:rPr>
          <w:rFonts w:eastAsiaTheme="minorHAnsi"/>
        </w:rPr>
      </w:pPr>
      <w:r w:rsidRPr="005A31BC">
        <w:rPr>
          <w:rFonts w:eastAsiaTheme="minorHAnsi"/>
        </w:rPr>
        <w:t xml:space="preserve">Víctimas del conflicto </w:t>
      </w:r>
      <w:r w:rsidRPr="002E281A">
        <w:t>armado</w:t>
      </w:r>
    </w:p>
    <w:p w14:paraId="44B01E03"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space="567"/>
          <w:docGrid w:linePitch="299"/>
        </w:sectPr>
      </w:pPr>
    </w:p>
    <w:p w14:paraId="337C3A59" w14:textId="77777777" w:rsidR="008C3A64" w:rsidRPr="005A31BC" w:rsidRDefault="008C3A64" w:rsidP="008C3A64">
      <w:pPr>
        <w:rPr>
          <w:rFonts w:cs="Times New Roman (Cuerpo en alfa"/>
          <w:spacing w:val="-6"/>
        </w:rPr>
      </w:pPr>
      <w:r w:rsidRPr="005A31BC">
        <w:rPr>
          <w:rFonts w:cs="Times New Roman (Cuerpo en alfa"/>
          <w:spacing w:val="-6"/>
        </w:rPr>
        <w:t>Según el Registro Único de Víctimas en Bogotá para el último trimestre del 2023 se ubican 370.752 víctimas del conflicto armado (VCA), lo cual representa el 3,88 % de las víctimas en el país y el 4,7 % de la población de Bogotá.</w:t>
      </w:r>
    </w:p>
    <w:p w14:paraId="3EBF32EB" w14:textId="0268AA0F" w:rsidR="008C3A64" w:rsidRPr="005A31BC" w:rsidRDefault="008C3A64" w:rsidP="008C3A64">
      <w:pPr>
        <w:rPr>
          <w:rFonts w:cs="Times New Roman (Cuerpo en alfa"/>
          <w:spacing w:val="-6"/>
        </w:rPr>
      </w:pPr>
      <w:r w:rsidRPr="005A31BC">
        <w:rPr>
          <w:rFonts w:cs="Times New Roman (Cuerpo en alfa"/>
          <w:spacing w:val="-6"/>
        </w:rPr>
        <w:t>Si bien hay una proporción mayor de mujeres VCA en el trimestre de mayo a julio de 2022, se presenta un incremento de 3.709, esto es, del 2 %. (Alcaldía Mayor de Bogotá, (2023e, p.</w:t>
      </w:r>
      <w:r w:rsidRPr="005A31BC">
        <w:rPr>
          <w:rFonts w:cs="Times New Roman (Cuerpo en alfa"/>
          <w:i/>
          <w:spacing w:val="-6"/>
        </w:rPr>
        <w:t xml:space="preserve"> </w:t>
      </w:r>
      <w:r w:rsidRPr="005A31BC">
        <w:rPr>
          <w:rFonts w:cs="Times New Roman (Cuerpo en alfa"/>
          <w:spacing w:val="-6"/>
        </w:rPr>
        <w:t>14) (</w:t>
      </w:r>
      <w:r w:rsidR="009D3CC1" w:rsidRPr="009D3CC1">
        <w:rPr>
          <w:rFonts w:cs="Times New Roman (Cuerpo en alfa"/>
          <w:spacing w:val="-6"/>
          <w:highlight w:val="yellow"/>
        </w:rPr>
        <w:fldChar w:fldCharType="begin"/>
      </w:r>
      <w:r w:rsidR="009D3CC1" w:rsidRPr="009D3CC1">
        <w:rPr>
          <w:rFonts w:cs="Times New Roman (Cuerpo en alfa"/>
          <w:spacing w:val="-6"/>
        </w:rPr>
        <w:instrText xml:space="preserve"> REF _Ref165115835 \h </w:instrText>
      </w:r>
      <w:r w:rsidR="009D3CC1" w:rsidRPr="009D3CC1">
        <w:rPr>
          <w:rFonts w:cs="Times New Roman (Cuerpo en alfa"/>
          <w:spacing w:val="-6"/>
          <w:highlight w:val="yellow"/>
        </w:rPr>
      </w:r>
      <w:r w:rsidR="009D3CC1" w:rsidRPr="009D3CC1">
        <w:rPr>
          <w:rFonts w:cs="Times New Roman (Cuerpo en alfa"/>
          <w:spacing w:val="-6"/>
          <w:highlight w:val="yellow"/>
        </w:rPr>
        <w:fldChar w:fldCharType="separate"/>
      </w:r>
      <w:r w:rsidR="00D01651" w:rsidRPr="009D3CC1">
        <w:rPr>
          <w:color w:val="C00000"/>
          <w:sz w:val="18"/>
          <w:szCs w:val="14"/>
        </w:rPr>
        <w:t xml:space="preserve">Gráfica </w:t>
      </w:r>
      <w:r w:rsidR="00D01651">
        <w:rPr>
          <w:noProof/>
          <w:color w:val="C00000"/>
          <w:sz w:val="18"/>
          <w:szCs w:val="14"/>
        </w:rPr>
        <w:t>20</w:t>
      </w:r>
      <w:r w:rsidR="009D3CC1" w:rsidRPr="009D3CC1">
        <w:rPr>
          <w:rFonts w:cs="Times New Roman (Cuerpo en alfa"/>
          <w:spacing w:val="-6"/>
          <w:highlight w:val="yellow"/>
        </w:rPr>
        <w:fldChar w:fldCharType="end"/>
      </w:r>
      <w:r w:rsidRPr="005A31BC">
        <w:rPr>
          <w:rFonts w:cs="Times New Roman (Cuerpo en alfa"/>
          <w:spacing w:val="-6"/>
        </w:rPr>
        <w:t>).</w:t>
      </w:r>
    </w:p>
    <w:p w14:paraId="48112E53"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num="2" w:space="567"/>
          <w:docGrid w:linePitch="299"/>
        </w:sectPr>
      </w:pPr>
    </w:p>
    <w:p w14:paraId="562AEE88" w14:textId="77777777" w:rsidR="008C3A64" w:rsidRPr="005A31BC" w:rsidRDefault="008C3A64" w:rsidP="008C3A64">
      <w:pPr>
        <w:rPr>
          <w:spacing w:val="-6"/>
        </w:rPr>
      </w:pPr>
    </w:p>
    <w:p w14:paraId="4EBA95F4" w14:textId="2F4385D7" w:rsidR="008C3A64" w:rsidRPr="009D3CC1" w:rsidRDefault="009D3CC1" w:rsidP="009D3CC1">
      <w:pPr>
        <w:pStyle w:val="Descripcin"/>
        <w:jc w:val="center"/>
        <w:rPr>
          <w:spacing w:val="-6"/>
          <w:sz w:val="18"/>
          <w:szCs w:val="14"/>
        </w:rPr>
      </w:pPr>
      <w:bookmarkStart w:id="121" w:name="_Ref165115835"/>
      <w:bookmarkStart w:id="122" w:name="_Toc165169846"/>
      <w:r w:rsidRPr="009D3CC1">
        <w:rPr>
          <w:color w:val="C00000"/>
          <w:sz w:val="18"/>
          <w:szCs w:val="14"/>
        </w:rPr>
        <w:t xml:space="preserve">Gráfica </w:t>
      </w:r>
      <w:r w:rsidRPr="009D3CC1">
        <w:rPr>
          <w:color w:val="C00000"/>
          <w:sz w:val="18"/>
          <w:szCs w:val="14"/>
        </w:rPr>
        <w:fldChar w:fldCharType="begin"/>
      </w:r>
      <w:r w:rsidRPr="009D3CC1">
        <w:rPr>
          <w:color w:val="C00000"/>
          <w:sz w:val="18"/>
          <w:szCs w:val="14"/>
        </w:rPr>
        <w:instrText xml:space="preserve"> SEQ Gráfica \* ARABIC </w:instrText>
      </w:r>
      <w:r w:rsidRPr="009D3CC1">
        <w:rPr>
          <w:color w:val="C00000"/>
          <w:sz w:val="18"/>
          <w:szCs w:val="14"/>
        </w:rPr>
        <w:fldChar w:fldCharType="separate"/>
      </w:r>
      <w:r w:rsidR="00D01651">
        <w:rPr>
          <w:noProof/>
          <w:color w:val="C00000"/>
          <w:sz w:val="18"/>
          <w:szCs w:val="14"/>
        </w:rPr>
        <w:t>20</w:t>
      </w:r>
      <w:r w:rsidRPr="009D3CC1">
        <w:rPr>
          <w:color w:val="C00000"/>
          <w:sz w:val="18"/>
          <w:szCs w:val="14"/>
        </w:rPr>
        <w:fldChar w:fldCharType="end"/>
      </w:r>
      <w:bookmarkEnd w:id="121"/>
      <w:r w:rsidRPr="009D3CC1">
        <w:rPr>
          <w:color w:val="C00000"/>
          <w:sz w:val="18"/>
          <w:szCs w:val="14"/>
        </w:rPr>
        <w:t xml:space="preserve">. </w:t>
      </w:r>
      <w:r w:rsidR="008C3A64" w:rsidRPr="009D3CC1">
        <w:rPr>
          <w:spacing w:val="-6"/>
          <w:sz w:val="18"/>
          <w:szCs w:val="14"/>
        </w:rPr>
        <w:t>Población víctima del conflicto armado ubicada en Bogotá, por sexo (2021-2023)</w:t>
      </w:r>
      <w:bookmarkEnd w:id="122"/>
    </w:p>
    <w:p w14:paraId="67179B0E" w14:textId="42E14748" w:rsidR="008C3A64" w:rsidRPr="005A31BC" w:rsidRDefault="00C454E0" w:rsidP="008C3A64">
      <w:pPr>
        <w:pStyle w:val="figuratitulo"/>
        <w:rPr>
          <w:spacing w:val="-6"/>
        </w:rPr>
      </w:pPr>
      <w:r w:rsidRPr="005A31BC">
        <w:rPr>
          <w:noProof/>
          <w:spacing w:val="-6"/>
        </w:rPr>
        <mc:AlternateContent>
          <mc:Choice Requires="wps">
            <w:drawing>
              <wp:anchor distT="0" distB="0" distL="114300" distR="114300" simplePos="0" relativeHeight="251684864" behindDoc="0" locked="0" layoutInCell="1" allowOverlap="1" wp14:anchorId="0E7A8768" wp14:editId="7702EDD0">
                <wp:simplePos x="0" y="0"/>
                <wp:positionH relativeFrom="margin">
                  <wp:posOffset>94615</wp:posOffset>
                </wp:positionH>
                <wp:positionV relativeFrom="paragraph">
                  <wp:posOffset>81280</wp:posOffset>
                </wp:positionV>
                <wp:extent cx="5422900" cy="1895717"/>
                <wp:effectExtent l="0" t="0" r="0" b="0"/>
                <wp:wrapNone/>
                <wp:docPr id="1894517445" name="Rectángulo 5"/>
                <wp:cNvGraphicFramePr/>
                <a:graphic xmlns:a="http://schemas.openxmlformats.org/drawingml/2006/main">
                  <a:graphicData uri="http://schemas.microsoft.com/office/word/2010/wordprocessingShape">
                    <wps:wsp>
                      <wps:cNvSpPr/>
                      <wps:spPr>
                        <a:xfrm>
                          <a:off x="0" y="0"/>
                          <a:ext cx="5422900" cy="1895717"/>
                        </a:xfrm>
                        <a:prstGeom prst="rect">
                          <a:avLst/>
                        </a:prstGeom>
                        <a:blipFill>
                          <a:blip r:embed="rId64"/>
                          <a:srcRect/>
                          <a:stretch>
                            <a:fillRect b="-7876"/>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FC917" id="Rectángulo 5" o:spid="_x0000_s1026" style="position:absolute;margin-left:7.45pt;margin-top:6.4pt;width:427pt;height:149.2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" stroked="f" strokeweight="1pt">
                <v:fill r:id="rId65" o:title="" recolor="t" rotate="t" type="frame"/>
                <w10:wrap anchorx="margin"/>
              </v:rect>
            </w:pict>
          </mc:Fallback>
        </mc:AlternateContent>
      </w:r>
    </w:p>
    <w:p w14:paraId="0FA44872" w14:textId="77777777" w:rsidR="008C3A64" w:rsidRPr="005A31BC" w:rsidRDefault="008C3A64" w:rsidP="008C3A64">
      <w:pPr>
        <w:pStyle w:val="figuratitulo"/>
        <w:rPr>
          <w:spacing w:val="-6"/>
        </w:rPr>
      </w:pPr>
    </w:p>
    <w:p w14:paraId="2C7C0785" w14:textId="77777777" w:rsidR="008C3A64" w:rsidRPr="005A31BC" w:rsidRDefault="008C3A64" w:rsidP="008C3A64">
      <w:pPr>
        <w:pStyle w:val="figuratitulo"/>
        <w:rPr>
          <w:spacing w:val="-6"/>
        </w:rPr>
      </w:pPr>
    </w:p>
    <w:p w14:paraId="2D394572" w14:textId="77777777" w:rsidR="008C3A64" w:rsidRPr="005A31BC" w:rsidRDefault="008C3A64" w:rsidP="008C3A64">
      <w:pPr>
        <w:pStyle w:val="figuratitulo"/>
        <w:rPr>
          <w:color w:val="3B3838" w:themeColor="background2" w:themeShade="40"/>
          <w:spacing w:val="-6"/>
        </w:rPr>
      </w:pPr>
    </w:p>
    <w:p w14:paraId="0929EEE0" w14:textId="77777777" w:rsidR="008C3A64" w:rsidRPr="005A31BC" w:rsidRDefault="008C3A64" w:rsidP="008C3A64">
      <w:pPr>
        <w:pStyle w:val="figuratitulo"/>
        <w:rPr>
          <w:color w:val="3B3838" w:themeColor="background2" w:themeShade="40"/>
          <w:spacing w:val="-6"/>
        </w:rPr>
      </w:pPr>
    </w:p>
    <w:p w14:paraId="28BDAD4A" w14:textId="77777777" w:rsidR="008C3A64" w:rsidRPr="005A31BC" w:rsidRDefault="008C3A64" w:rsidP="008C3A64">
      <w:pPr>
        <w:pStyle w:val="figuratitulo"/>
        <w:rPr>
          <w:color w:val="3B3838" w:themeColor="background2" w:themeShade="40"/>
          <w:spacing w:val="-6"/>
        </w:rPr>
      </w:pPr>
    </w:p>
    <w:p w14:paraId="0FADC647" w14:textId="77777777" w:rsidR="008C3A64" w:rsidRPr="005A31BC" w:rsidRDefault="008C3A64" w:rsidP="008C3A64">
      <w:pPr>
        <w:pStyle w:val="figuratitulo"/>
        <w:rPr>
          <w:color w:val="3B3838" w:themeColor="background2" w:themeShade="40"/>
          <w:spacing w:val="-6"/>
        </w:rPr>
      </w:pPr>
    </w:p>
    <w:p w14:paraId="189C55D5" w14:textId="77777777" w:rsidR="008C3A64" w:rsidRPr="005A31BC" w:rsidRDefault="008C3A64" w:rsidP="008C3A64">
      <w:pPr>
        <w:pStyle w:val="figuratitulo"/>
        <w:rPr>
          <w:color w:val="3B3838" w:themeColor="background2" w:themeShade="40"/>
          <w:spacing w:val="-6"/>
        </w:rPr>
      </w:pPr>
    </w:p>
    <w:p w14:paraId="40957D28" w14:textId="77777777" w:rsidR="008C3A64" w:rsidRPr="005A31BC" w:rsidRDefault="008C3A64" w:rsidP="008C3A64">
      <w:pPr>
        <w:pStyle w:val="figuratitulo"/>
        <w:rPr>
          <w:color w:val="3B3838" w:themeColor="background2" w:themeShade="40"/>
          <w:spacing w:val="-6"/>
        </w:rPr>
      </w:pPr>
    </w:p>
    <w:p w14:paraId="41EF4AE3" w14:textId="77777777" w:rsidR="008C3A64" w:rsidRPr="005A31BC" w:rsidRDefault="008C3A64" w:rsidP="008C3A64">
      <w:pPr>
        <w:pStyle w:val="figuratitulo"/>
        <w:jc w:val="both"/>
        <w:rPr>
          <w:color w:val="3B3838" w:themeColor="background2" w:themeShade="40"/>
          <w:spacing w:val="-6"/>
        </w:rPr>
      </w:pPr>
    </w:p>
    <w:p w14:paraId="1418BAC3" w14:textId="77777777" w:rsidR="008C3A64" w:rsidRPr="005A31BC" w:rsidRDefault="008C3A64" w:rsidP="008C3A64">
      <w:pPr>
        <w:pStyle w:val="figuratitulo"/>
        <w:jc w:val="both"/>
        <w:rPr>
          <w:color w:val="3B3838" w:themeColor="background2" w:themeShade="40"/>
          <w:spacing w:val="-6"/>
        </w:rPr>
      </w:pPr>
    </w:p>
    <w:p w14:paraId="13C18B95" w14:textId="77777777" w:rsidR="008C3A64" w:rsidRPr="005A31BC" w:rsidRDefault="008C3A64" w:rsidP="008C3A64">
      <w:pPr>
        <w:pStyle w:val="figuratitulo"/>
        <w:rPr>
          <w:color w:val="3B3838" w:themeColor="background2" w:themeShade="40"/>
          <w:spacing w:val="-6"/>
        </w:rPr>
      </w:pPr>
    </w:p>
    <w:p w14:paraId="3AF40524" w14:textId="77777777" w:rsidR="008C3A64" w:rsidRPr="005A31BC" w:rsidRDefault="008C3A64" w:rsidP="00C454E0">
      <w:pPr>
        <w:pStyle w:val="figuratitulo"/>
        <w:jc w:val="both"/>
        <w:rPr>
          <w:color w:val="3B3838" w:themeColor="background2" w:themeShade="40"/>
          <w:spacing w:val="-6"/>
        </w:rPr>
      </w:pPr>
    </w:p>
    <w:p w14:paraId="3E761CBB" w14:textId="77777777" w:rsidR="008C3A64" w:rsidRPr="005A31BC" w:rsidRDefault="008C3A64" w:rsidP="008C3A64">
      <w:pPr>
        <w:pStyle w:val="figuratitulo"/>
        <w:rPr>
          <w:color w:val="3B3838" w:themeColor="background2" w:themeShade="40"/>
          <w:spacing w:val="-6"/>
        </w:rPr>
      </w:pPr>
    </w:p>
    <w:p w14:paraId="543905ED" w14:textId="77777777" w:rsidR="008C3A64" w:rsidRPr="005A31BC" w:rsidRDefault="008C3A64" w:rsidP="008C3A64">
      <w:pPr>
        <w:pStyle w:val="figuratitulo"/>
        <w:rPr>
          <w:color w:val="3B3838" w:themeColor="background2" w:themeShade="40"/>
          <w:spacing w:val="-6"/>
        </w:rPr>
      </w:pPr>
      <w:r w:rsidRPr="005A31BC">
        <w:rPr>
          <w:b/>
          <w:color w:val="3B3838" w:themeColor="background2" w:themeShade="40"/>
          <w:spacing w:val="-6"/>
        </w:rPr>
        <w:t>Fuente:</w:t>
      </w:r>
      <w:r w:rsidRPr="005A31BC">
        <w:rPr>
          <w:color w:val="3B3838" w:themeColor="background2" w:themeShade="40"/>
          <w:spacing w:val="-6"/>
        </w:rPr>
        <w:t xml:space="preserve"> Registro Único de Víctimas (RUV), Bogotá D.C. septiembre 2021 a agosto de 2023.</w:t>
      </w:r>
    </w:p>
    <w:p w14:paraId="2AA546B1" w14:textId="77777777" w:rsidR="008C3A64" w:rsidRPr="005A31BC" w:rsidRDefault="008C3A64" w:rsidP="008C3A64">
      <w:pPr>
        <w:pStyle w:val="figuratitulo"/>
        <w:rPr>
          <w:color w:val="3B3838" w:themeColor="background2" w:themeShade="40"/>
          <w:spacing w:val="-6"/>
        </w:rPr>
      </w:pPr>
      <w:r w:rsidRPr="005A31BC">
        <w:rPr>
          <w:color w:val="3B3838" w:themeColor="background2" w:themeShade="40"/>
          <w:spacing w:val="-6"/>
        </w:rPr>
        <w:t>En Alcaldía Mayor de Bogotá (2023e).</w:t>
      </w:r>
    </w:p>
    <w:p w14:paraId="2195B5DD" w14:textId="77777777" w:rsidR="008C3A64" w:rsidRPr="005A31BC" w:rsidRDefault="008C3A64" w:rsidP="008C3A64">
      <w:pPr>
        <w:rPr>
          <w:spacing w:val="-6"/>
        </w:rPr>
      </w:pPr>
    </w:p>
    <w:p w14:paraId="076EB6A8"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space="720"/>
          <w:docGrid w:linePitch="299"/>
        </w:sectPr>
      </w:pPr>
    </w:p>
    <w:p w14:paraId="723CE09B" w14:textId="3C286997" w:rsidR="008C3A64" w:rsidRDefault="008C3A64" w:rsidP="008C3A64">
      <w:pPr>
        <w:rPr>
          <w:spacing w:val="-6"/>
        </w:rPr>
        <w:sectPr w:rsidR="008C3A64" w:rsidSect="00F7078E">
          <w:type w:val="continuous"/>
          <w:pgSz w:w="12240" w:h="15840"/>
          <w:pgMar w:top="2262" w:right="1440" w:bottom="1440" w:left="1440" w:header="708" w:footer="680" w:gutter="0"/>
          <w:cols w:space="567"/>
          <w:docGrid w:linePitch="299"/>
        </w:sectPr>
      </w:pPr>
      <w:r w:rsidRPr="005A31BC">
        <w:rPr>
          <w:spacing w:val="-6"/>
        </w:rPr>
        <w:lastRenderedPageBreak/>
        <w:t xml:space="preserve">Por grupo etario, para agosto del 2023 se ubicaban en Bogotá 39.975 adolescentes (12 a 17 años), 28.518 niños (6 a 11 años) y 4.861 infantes (0 a 5 años) </w:t>
      </w:r>
      <w:r w:rsidRPr="00B845F4">
        <w:rPr>
          <w:spacing w:val="-6"/>
        </w:rPr>
        <w:t>(</w:t>
      </w:r>
      <w:r w:rsidR="00B845F4" w:rsidRPr="00B845F4">
        <w:rPr>
          <w:rFonts w:cs="Times New Roman (Cuerpo en alfa"/>
          <w:spacing w:val="-6"/>
          <w:highlight w:val="yellow"/>
        </w:rPr>
        <w:fldChar w:fldCharType="begin"/>
      </w:r>
      <w:r w:rsidR="00B845F4" w:rsidRPr="00B845F4">
        <w:rPr>
          <w:spacing w:val="-6"/>
        </w:rPr>
        <w:instrText xml:space="preserve"> REF _Ref165115892 \h </w:instrText>
      </w:r>
      <w:r w:rsidR="00B845F4" w:rsidRPr="00B845F4">
        <w:rPr>
          <w:rFonts w:cs="Times New Roman (Cuerpo en alfa"/>
          <w:spacing w:val="-6"/>
          <w:highlight w:val="yellow"/>
        </w:rPr>
      </w:r>
      <w:r w:rsidR="00B845F4" w:rsidRPr="00B845F4">
        <w:rPr>
          <w:rFonts w:cs="Times New Roman (Cuerpo en alfa"/>
          <w:spacing w:val="-6"/>
          <w:highlight w:val="yellow"/>
        </w:rPr>
        <w:fldChar w:fldCharType="separate"/>
      </w:r>
      <w:r w:rsidR="00D01651" w:rsidRPr="00B845F4">
        <w:rPr>
          <w:color w:val="C00000"/>
          <w:sz w:val="18"/>
          <w:szCs w:val="14"/>
        </w:rPr>
        <w:t xml:space="preserve">Gráfica </w:t>
      </w:r>
      <w:r w:rsidR="00D01651">
        <w:rPr>
          <w:noProof/>
          <w:color w:val="C00000"/>
          <w:sz w:val="18"/>
          <w:szCs w:val="14"/>
        </w:rPr>
        <w:t>21</w:t>
      </w:r>
      <w:r w:rsidR="00B845F4" w:rsidRPr="00B845F4">
        <w:rPr>
          <w:rFonts w:cs="Times New Roman (Cuerpo en alfa"/>
          <w:spacing w:val="-6"/>
          <w:highlight w:val="yellow"/>
        </w:rPr>
        <w:fldChar w:fldCharType="end"/>
      </w:r>
      <w:r w:rsidRPr="00B845F4">
        <w:rPr>
          <w:spacing w:val="-6"/>
        </w:rPr>
        <w:t>).</w:t>
      </w:r>
    </w:p>
    <w:p w14:paraId="24818289" w14:textId="77777777" w:rsidR="008C3A64" w:rsidRPr="005A31BC" w:rsidRDefault="008C3A64" w:rsidP="008C3A64">
      <w:pPr>
        <w:rPr>
          <w:spacing w:val="-6"/>
        </w:rPr>
        <w:sectPr w:rsidR="008C3A64" w:rsidRPr="005A31BC" w:rsidSect="00F7078E">
          <w:type w:val="continuous"/>
          <w:pgSz w:w="12240" w:h="15840"/>
          <w:pgMar w:top="2262" w:right="1440" w:bottom="1440" w:left="1440" w:header="708" w:footer="680" w:gutter="0"/>
          <w:cols w:space="567"/>
          <w:docGrid w:linePitch="299"/>
        </w:sectPr>
      </w:pPr>
    </w:p>
    <w:p w14:paraId="276D42C6" w14:textId="77777777" w:rsidR="008C3A64" w:rsidRPr="005A31BC" w:rsidRDefault="008C3A64" w:rsidP="008C3A64">
      <w:pPr>
        <w:pStyle w:val="figuratitulo"/>
        <w:rPr>
          <w:rFonts w:cs="Times New Roman (Cuerpo en alfa"/>
          <w:b/>
          <w:bCs/>
          <w:color w:val="3B3838" w:themeColor="background2" w:themeShade="40"/>
          <w:spacing w:val="-6"/>
          <w:szCs w:val="18"/>
        </w:rPr>
        <w:sectPr w:rsidR="008C3A64" w:rsidRPr="005A31BC" w:rsidSect="00F7078E">
          <w:type w:val="continuous"/>
          <w:pgSz w:w="12240" w:h="15840"/>
          <w:pgMar w:top="2262" w:right="1440" w:bottom="1440" w:left="1440" w:header="708" w:footer="680" w:gutter="0"/>
          <w:cols w:num="2" w:space="567"/>
          <w:docGrid w:linePitch="299"/>
        </w:sectPr>
      </w:pPr>
    </w:p>
    <w:bookmarkStart w:id="123" w:name="_Ref165115892"/>
    <w:bookmarkStart w:id="124" w:name="_Toc165169847"/>
    <w:p w14:paraId="25A76998" w14:textId="681B4BC6" w:rsidR="008C3A64" w:rsidRPr="00B845F4" w:rsidRDefault="009C3566" w:rsidP="00B845F4">
      <w:pPr>
        <w:pStyle w:val="Descripcin"/>
        <w:jc w:val="center"/>
        <w:rPr>
          <w:spacing w:val="-6"/>
          <w:sz w:val="18"/>
          <w:szCs w:val="14"/>
        </w:rPr>
      </w:pPr>
      <w:r w:rsidRPr="005A31BC">
        <w:rPr>
          <w:noProof/>
          <w:spacing w:val="-6"/>
        </w:rPr>
        <mc:AlternateContent>
          <mc:Choice Requires="wps">
            <w:drawing>
              <wp:anchor distT="0" distB="0" distL="114300" distR="114300" simplePos="0" relativeHeight="251685888" behindDoc="0" locked="0" layoutInCell="1" allowOverlap="1" wp14:anchorId="3745804B" wp14:editId="09CCF0F9">
                <wp:simplePos x="0" y="0"/>
                <wp:positionH relativeFrom="margin">
                  <wp:align>center</wp:align>
                </wp:positionH>
                <wp:positionV relativeFrom="paragraph">
                  <wp:posOffset>211602</wp:posOffset>
                </wp:positionV>
                <wp:extent cx="5853723" cy="2266262"/>
                <wp:effectExtent l="0" t="0" r="0" b="0"/>
                <wp:wrapNone/>
                <wp:docPr id="403693733" name="Rectángulo 7"/>
                <wp:cNvGraphicFramePr/>
                <a:graphic xmlns:a="http://schemas.openxmlformats.org/drawingml/2006/main">
                  <a:graphicData uri="http://schemas.microsoft.com/office/word/2010/wordprocessingShape">
                    <wps:wsp>
                      <wps:cNvSpPr/>
                      <wps:spPr>
                        <a:xfrm>
                          <a:off x="0" y="0"/>
                          <a:ext cx="5853723" cy="2266262"/>
                        </a:xfrm>
                        <a:prstGeom prst="rect">
                          <a:avLst/>
                        </a:prstGeom>
                        <a:blipFill>
                          <a:blip r:embed="rId66"/>
                          <a:srcRect/>
                          <a:stretch>
                            <a:fillRect t="-6775" b="-1101"/>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6CC1A3" id="Rectángulo 7" o:spid="_x0000_s1026" style="position:absolute;margin-left:0;margin-top:16.65pt;width:460.9pt;height:178.45pt;z-index:2516858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" stroked="f" strokeweight="1pt">
                <v:fill r:id="rId67" o:title="" recolor="t" rotate="t" type="frame"/>
                <w10:wrap anchorx="margin"/>
              </v:rect>
            </w:pict>
          </mc:Fallback>
        </mc:AlternateContent>
      </w:r>
      <w:r w:rsidR="00B845F4" w:rsidRPr="00B845F4">
        <w:rPr>
          <w:color w:val="C00000"/>
          <w:sz w:val="18"/>
          <w:szCs w:val="14"/>
        </w:rPr>
        <w:t xml:space="preserve">Gráfica </w:t>
      </w:r>
      <w:r w:rsidR="00B845F4" w:rsidRPr="00B845F4">
        <w:rPr>
          <w:color w:val="C00000"/>
          <w:sz w:val="18"/>
          <w:szCs w:val="14"/>
        </w:rPr>
        <w:fldChar w:fldCharType="begin"/>
      </w:r>
      <w:r w:rsidR="00B845F4" w:rsidRPr="00B845F4">
        <w:rPr>
          <w:color w:val="C00000"/>
          <w:sz w:val="18"/>
          <w:szCs w:val="14"/>
        </w:rPr>
        <w:instrText xml:space="preserve"> SEQ Gráfica \* ARABIC </w:instrText>
      </w:r>
      <w:r w:rsidR="00B845F4" w:rsidRPr="00B845F4">
        <w:rPr>
          <w:color w:val="C00000"/>
          <w:sz w:val="18"/>
          <w:szCs w:val="14"/>
        </w:rPr>
        <w:fldChar w:fldCharType="separate"/>
      </w:r>
      <w:r w:rsidR="00D01651">
        <w:rPr>
          <w:noProof/>
          <w:color w:val="C00000"/>
          <w:sz w:val="18"/>
          <w:szCs w:val="14"/>
        </w:rPr>
        <w:t>21</w:t>
      </w:r>
      <w:r w:rsidR="00B845F4" w:rsidRPr="00B845F4">
        <w:rPr>
          <w:color w:val="C00000"/>
          <w:sz w:val="18"/>
          <w:szCs w:val="14"/>
        </w:rPr>
        <w:fldChar w:fldCharType="end"/>
      </w:r>
      <w:bookmarkEnd w:id="123"/>
      <w:r w:rsidR="00B845F4" w:rsidRPr="00B845F4">
        <w:rPr>
          <w:color w:val="C00000"/>
          <w:sz w:val="18"/>
          <w:szCs w:val="14"/>
        </w:rPr>
        <w:t xml:space="preserve">. </w:t>
      </w:r>
      <w:r w:rsidR="008C3A64" w:rsidRPr="00B845F4">
        <w:rPr>
          <w:spacing w:val="-6"/>
          <w:sz w:val="18"/>
          <w:szCs w:val="14"/>
        </w:rPr>
        <w:t>Población víctima del conflicto armado ubicada en Bogotá, por ciclo vital (2021-2023)</w:t>
      </w:r>
      <w:bookmarkEnd w:id="124"/>
    </w:p>
    <w:p w14:paraId="228AA085" w14:textId="77777777" w:rsidR="008C3A64" w:rsidRPr="005A31BC" w:rsidRDefault="008C3A64" w:rsidP="008C3A64">
      <w:pPr>
        <w:pStyle w:val="figuratitulo"/>
        <w:rPr>
          <w:color w:val="3B3838" w:themeColor="background2" w:themeShade="40"/>
          <w:spacing w:val="-6"/>
        </w:rPr>
        <w:sectPr w:rsidR="008C3A64" w:rsidRPr="005A31BC" w:rsidSect="00F7078E">
          <w:type w:val="continuous"/>
          <w:pgSz w:w="12240" w:h="15840"/>
          <w:pgMar w:top="2262" w:right="1440" w:bottom="1440" w:left="1440" w:header="708" w:footer="680" w:gutter="0"/>
          <w:cols w:space="567"/>
          <w:docGrid w:linePitch="299"/>
        </w:sectPr>
      </w:pPr>
    </w:p>
    <w:p w14:paraId="3B3CDFEA" w14:textId="77777777" w:rsidR="008C3A64" w:rsidRPr="005A31BC" w:rsidRDefault="008C3A64" w:rsidP="008C3A64">
      <w:pPr>
        <w:pStyle w:val="figuratitulo"/>
        <w:rPr>
          <w:color w:val="3B3838" w:themeColor="background2" w:themeShade="40"/>
          <w:spacing w:val="-6"/>
        </w:rPr>
        <w:sectPr w:rsidR="008C3A64" w:rsidRPr="005A31BC" w:rsidSect="00F7078E">
          <w:type w:val="continuous"/>
          <w:pgSz w:w="12240" w:h="15840"/>
          <w:pgMar w:top="2262" w:right="1440" w:bottom="1440" w:left="1440" w:header="708" w:footer="680" w:gutter="0"/>
          <w:cols w:space="567"/>
          <w:docGrid w:linePitch="299"/>
        </w:sectPr>
      </w:pPr>
    </w:p>
    <w:p w14:paraId="2966E66E" w14:textId="724905ED" w:rsidR="008C3A64" w:rsidRPr="005A31BC" w:rsidRDefault="008C3A64" w:rsidP="008C3A64">
      <w:pPr>
        <w:pStyle w:val="figuratitulo"/>
        <w:rPr>
          <w:color w:val="3B3838" w:themeColor="background2" w:themeShade="40"/>
          <w:spacing w:val="-6"/>
        </w:rPr>
      </w:pPr>
    </w:p>
    <w:p w14:paraId="6BA2DC4E" w14:textId="77777777" w:rsidR="008C3A64" w:rsidRPr="005A31BC" w:rsidRDefault="008C3A64" w:rsidP="008C3A64">
      <w:pPr>
        <w:pStyle w:val="figuratitulo"/>
        <w:rPr>
          <w:color w:val="3B3838" w:themeColor="background2" w:themeShade="40"/>
          <w:spacing w:val="-6"/>
        </w:rPr>
      </w:pPr>
    </w:p>
    <w:p w14:paraId="61EA8E13" w14:textId="77777777" w:rsidR="008C3A64" w:rsidRPr="005A31BC" w:rsidRDefault="008C3A64" w:rsidP="008C3A64">
      <w:pPr>
        <w:pStyle w:val="figuratitulo"/>
        <w:rPr>
          <w:color w:val="3B3838" w:themeColor="background2" w:themeShade="40"/>
          <w:spacing w:val="-6"/>
        </w:rPr>
      </w:pPr>
    </w:p>
    <w:p w14:paraId="7E5964E9" w14:textId="77777777" w:rsidR="008C3A64" w:rsidRPr="005A31BC" w:rsidRDefault="008C3A64" w:rsidP="008C3A64">
      <w:pPr>
        <w:pStyle w:val="figuratitulo"/>
        <w:rPr>
          <w:color w:val="3B3838" w:themeColor="background2" w:themeShade="40"/>
          <w:spacing w:val="-6"/>
        </w:rPr>
      </w:pPr>
    </w:p>
    <w:p w14:paraId="46814212" w14:textId="77777777" w:rsidR="008C3A64" w:rsidRPr="005A31BC" w:rsidRDefault="008C3A64" w:rsidP="008C3A64">
      <w:pPr>
        <w:pStyle w:val="figuratitulo"/>
        <w:rPr>
          <w:color w:val="3B3838" w:themeColor="background2" w:themeShade="40"/>
          <w:spacing w:val="-6"/>
        </w:rPr>
      </w:pPr>
    </w:p>
    <w:p w14:paraId="67D07717" w14:textId="77777777" w:rsidR="008C3A64" w:rsidRPr="005A31BC" w:rsidRDefault="008C3A64" w:rsidP="008C3A64">
      <w:pPr>
        <w:pStyle w:val="figuratitulo"/>
        <w:rPr>
          <w:color w:val="3B3838" w:themeColor="background2" w:themeShade="40"/>
          <w:spacing w:val="-6"/>
        </w:rPr>
      </w:pPr>
    </w:p>
    <w:p w14:paraId="4375A34B" w14:textId="77777777" w:rsidR="008C3A64" w:rsidRPr="005A31BC" w:rsidRDefault="008C3A64" w:rsidP="008C3A64">
      <w:pPr>
        <w:pStyle w:val="figuratitulo"/>
        <w:rPr>
          <w:color w:val="3B3838" w:themeColor="background2" w:themeShade="40"/>
          <w:spacing w:val="-6"/>
        </w:rPr>
      </w:pPr>
    </w:p>
    <w:p w14:paraId="13064A57" w14:textId="77777777" w:rsidR="008C3A64" w:rsidRPr="005A31BC" w:rsidRDefault="008C3A64" w:rsidP="008C3A64">
      <w:pPr>
        <w:pStyle w:val="figuratitulo"/>
        <w:rPr>
          <w:color w:val="3B3838" w:themeColor="background2" w:themeShade="40"/>
          <w:spacing w:val="-6"/>
        </w:rPr>
      </w:pPr>
    </w:p>
    <w:p w14:paraId="735EBA21" w14:textId="77777777" w:rsidR="008C3A64" w:rsidRPr="005A31BC" w:rsidRDefault="008C3A64" w:rsidP="008C3A64">
      <w:pPr>
        <w:pStyle w:val="figuratitulo"/>
        <w:rPr>
          <w:color w:val="3B3838" w:themeColor="background2" w:themeShade="40"/>
          <w:spacing w:val="-6"/>
        </w:rPr>
      </w:pPr>
    </w:p>
    <w:p w14:paraId="14176B9E" w14:textId="77777777" w:rsidR="008C3A64" w:rsidRPr="005A31BC" w:rsidRDefault="008C3A64" w:rsidP="008C3A64">
      <w:pPr>
        <w:pStyle w:val="figuratitulo"/>
        <w:rPr>
          <w:color w:val="3B3838" w:themeColor="background2" w:themeShade="40"/>
          <w:spacing w:val="-6"/>
        </w:rPr>
      </w:pPr>
    </w:p>
    <w:p w14:paraId="618847F7" w14:textId="77777777" w:rsidR="008C3A64" w:rsidRPr="005A31BC" w:rsidRDefault="008C3A64" w:rsidP="008C3A64">
      <w:pPr>
        <w:pStyle w:val="figuratitulo"/>
        <w:rPr>
          <w:color w:val="3B3838" w:themeColor="background2" w:themeShade="40"/>
          <w:spacing w:val="-6"/>
        </w:rPr>
      </w:pPr>
    </w:p>
    <w:p w14:paraId="443DB814" w14:textId="77777777" w:rsidR="008C3A64" w:rsidRPr="005A31BC" w:rsidRDefault="008C3A64" w:rsidP="008C3A64">
      <w:pPr>
        <w:pStyle w:val="figuratitulo"/>
        <w:rPr>
          <w:color w:val="3B3838" w:themeColor="background2" w:themeShade="40"/>
          <w:spacing w:val="-6"/>
        </w:rPr>
      </w:pPr>
    </w:p>
    <w:p w14:paraId="0ECBBFF2" w14:textId="77777777" w:rsidR="008C3A64" w:rsidRPr="005A31BC" w:rsidRDefault="008C3A64" w:rsidP="008C3A64">
      <w:pPr>
        <w:pStyle w:val="figuratitulo"/>
        <w:rPr>
          <w:color w:val="3B3838" w:themeColor="background2" w:themeShade="40"/>
          <w:spacing w:val="-6"/>
        </w:rPr>
      </w:pPr>
    </w:p>
    <w:p w14:paraId="398F50E0" w14:textId="77777777" w:rsidR="008C3A64" w:rsidRPr="005A31BC" w:rsidRDefault="008C3A64" w:rsidP="008C3A64">
      <w:pPr>
        <w:pStyle w:val="figuratitulo"/>
        <w:rPr>
          <w:color w:val="3B3838" w:themeColor="background2" w:themeShade="40"/>
          <w:spacing w:val="-6"/>
        </w:rPr>
      </w:pPr>
    </w:p>
    <w:p w14:paraId="022855CE" w14:textId="77777777" w:rsidR="008C3A64" w:rsidRPr="005A31BC" w:rsidRDefault="008C3A64" w:rsidP="009C3566">
      <w:pPr>
        <w:pStyle w:val="figuratitulo"/>
        <w:jc w:val="both"/>
        <w:rPr>
          <w:color w:val="3B3838" w:themeColor="background2" w:themeShade="40"/>
          <w:spacing w:val="-6"/>
        </w:rPr>
      </w:pPr>
    </w:p>
    <w:p w14:paraId="3305685B" w14:textId="0F4FC695" w:rsidR="008C3A64" w:rsidRPr="005A31BC" w:rsidRDefault="008C3A64" w:rsidP="009C3566">
      <w:pPr>
        <w:pStyle w:val="figuratitulo"/>
        <w:spacing w:after="240" w:line="240" w:lineRule="auto"/>
        <w:rPr>
          <w:color w:val="3B3838" w:themeColor="background2" w:themeShade="40"/>
          <w:spacing w:val="-6"/>
        </w:rPr>
      </w:pPr>
      <w:r w:rsidRPr="005A31BC">
        <w:rPr>
          <w:b/>
          <w:bCs/>
          <w:color w:val="3B3838" w:themeColor="background2" w:themeShade="40"/>
          <w:spacing w:val="-6"/>
        </w:rPr>
        <w:t>Fuente:</w:t>
      </w:r>
      <w:r w:rsidRPr="005A31BC">
        <w:rPr>
          <w:color w:val="3B3838" w:themeColor="background2" w:themeShade="40"/>
          <w:spacing w:val="-6"/>
        </w:rPr>
        <w:t xml:space="preserve"> Registro </w:t>
      </w:r>
      <w:r w:rsidR="00B845F4">
        <w:rPr>
          <w:color w:val="3B3838" w:themeColor="background2" w:themeShade="40"/>
          <w:spacing w:val="-6"/>
        </w:rPr>
        <w:t>Ú</w:t>
      </w:r>
      <w:r w:rsidRPr="005A31BC">
        <w:rPr>
          <w:color w:val="3B3838" w:themeColor="background2" w:themeShade="40"/>
          <w:spacing w:val="-6"/>
        </w:rPr>
        <w:t xml:space="preserve">nico de Víctimas (RUV), Bogotá, D. C., septiembre 2021, agosto de 2023. </w:t>
      </w:r>
      <w:r w:rsidR="009C3566">
        <w:rPr>
          <w:color w:val="3B3838" w:themeColor="background2" w:themeShade="40"/>
          <w:spacing w:val="-6"/>
        </w:rPr>
        <w:br/>
      </w:r>
      <w:r w:rsidRPr="005A31BC">
        <w:rPr>
          <w:color w:val="3B3838" w:themeColor="background2" w:themeShade="40"/>
          <w:spacing w:val="-6"/>
        </w:rPr>
        <w:t>En Alcaldía Mayor de Bogotá (2023e).</w:t>
      </w:r>
    </w:p>
    <w:p w14:paraId="59876660" w14:textId="77777777" w:rsidR="008C3A64" w:rsidRDefault="008C3A64" w:rsidP="008C3A64">
      <w:pPr>
        <w:rPr>
          <w:spacing w:val="-6"/>
        </w:rPr>
      </w:pPr>
    </w:p>
    <w:p w14:paraId="718134CA" w14:textId="04916975" w:rsidR="00F5036E" w:rsidRPr="005A31BC" w:rsidRDefault="00F5036E" w:rsidP="008C3A64">
      <w:pPr>
        <w:rPr>
          <w:spacing w:val="-6"/>
        </w:rPr>
        <w:sectPr w:rsidR="00F5036E" w:rsidRPr="005A31BC" w:rsidSect="00F7078E">
          <w:type w:val="continuous"/>
          <w:pgSz w:w="12240" w:h="15840"/>
          <w:pgMar w:top="2262" w:right="1440" w:bottom="1440" w:left="1440" w:header="708" w:footer="680" w:gutter="0"/>
          <w:cols w:space="567"/>
          <w:docGrid w:linePitch="299"/>
        </w:sectPr>
      </w:pPr>
    </w:p>
    <w:p w14:paraId="301AFD6A" w14:textId="6D2556C6" w:rsidR="008C3A64" w:rsidRDefault="008C3A64" w:rsidP="008C3A64">
      <w:pPr>
        <w:rPr>
          <w:spacing w:val="-6"/>
        </w:rPr>
      </w:pPr>
      <w:r w:rsidRPr="005A31BC">
        <w:rPr>
          <w:spacing w:val="-6"/>
        </w:rPr>
        <w:t>El Observatorio Distrital de Víctimas del Conflicto Armado realiza una medición de los principales indicadores para el acceso de los derechos de las VCA. A continuación, se relacionan dichas mediciones por derecho:</w:t>
      </w:r>
    </w:p>
    <w:p w14:paraId="4C7ED53A" w14:textId="77777777" w:rsidR="008123B1" w:rsidRPr="005A31BC" w:rsidRDefault="008123B1" w:rsidP="008C3A64">
      <w:pPr>
        <w:rPr>
          <w:spacing w:val="-6"/>
        </w:rPr>
      </w:pPr>
    </w:p>
    <w:p w14:paraId="1678A4AD" w14:textId="77777777" w:rsidR="008C3A64" w:rsidRPr="005A31BC" w:rsidRDefault="008C3A64" w:rsidP="008123B1">
      <w:pPr>
        <w:pStyle w:val="Bullets"/>
      </w:pPr>
      <w:r w:rsidRPr="005A31BC">
        <w:rPr>
          <w:b/>
          <w:bCs/>
          <w:color w:val="C00000"/>
        </w:rPr>
        <w:t>Derecho a la vivienda:</w:t>
      </w:r>
      <w:r w:rsidRPr="005A31BC">
        <w:rPr>
          <w:color w:val="C00000"/>
        </w:rPr>
        <w:t xml:space="preserve"> </w:t>
      </w:r>
      <w:r w:rsidRPr="005A31BC">
        <w:t>El 64,3 % (216.555 VCA) ejerce este derecho, teniendo en cuenta que la víctima hace parte de un hogar que no tiene privación de vivienda, según los criterios establecidos en el Índice de Pobreza Multidimensional del DANE, y algún miembro del hogar es propietario, arrendatario con contrato o cuenta con la sana posesión en zona rural.</w:t>
      </w:r>
    </w:p>
    <w:p w14:paraId="2D523A2B" w14:textId="77777777" w:rsidR="008C3A64" w:rsidRPr="005A31BC" w:rsidRDefault="008C3A64" w:rsidP="008123B1">
      <w:pPr>
        <w:pStyle w:val="Bullets"/>
        <w:numPr>
          <w:ilvl w:val="0"/>
          <w:numId w:val="0"/>
        </w:numPr>
        <w:ind w:left="714" w:hanging="357"/>
      </w:pPr>
    </w:p>
    <w:p w14:paraId="468E5BBD" w14:textId="77777777" w:rsidR="008C3A64" w:rsidRPr="005A31BC" w:rsidRDefault="008C3A64" w:rsidP="008123B1">
      <w:pPr>
        <w:pStyle w:val="Bullets"/>
      </w:pPr>
      <w:r w:rsidRPr="005A31BC">
        <w:rPr>
          <w:b/>
          <w:bCs/>
          <w:color w:val="C00000"/>
        </w:rPr>
        <w:t>Derecho a la salud:</w:t>
      </w:r>
      <w:r w:rsidRPr="005A31BC">
        <w:rPr>
          <w:color w:val="C00000"/>
        </w:rPr>
        <w:t xml:space="preserve"> </w:t>
      </w:r>
      <w:r w:rsidRPr="005A31BC">
        <w:t>El 97,5 % de la población víctima de desplazamiento forzado se encuentra afiliada al Sistema de Salud (328.307 VCA). El 2,5 % (8.405 VCA) no se encuentra afiliado al SGSSS.</w:t>
      </w:r>
    </w:p>
    <w:p w14:paraId="5E622C83" w14:textId="77777777" w:rsidR="008C3A64" w:rsidRPr="005A31BC" w:rsidRDefault="008C3A64" w:rsidP="008123B1">
      <w:pPr>
        <w:pStyle w:val="Bullets"/>
        <w:numPr>
          <w:ilvl w:val="0"/>
          <w:numId w:val="0"/>
        </w:numPr>
        <w:ind w:left="714" w:hanging="357"/>
      </w:pPr>
    </w:p>
    <w:p w14:paraId="77528909" w14:textId="77777777" w:rsidR="008C3A64" w:rsidRPr="005A31BC" w:rsidRDefault="008C3A64" w:rsidP="008123B1">
      <w:pPr>
        <w:pStyle w:val="Bullets"/>
      </w:pPr>
      <w:r w:rsidRPr="005A31BC">
        <w:rPr>
          <w:b/>
          <w:bCs/>
          <w:color w:val="C00000"/>
        </w:rPr>
        <w:t>Derecho a la reunificación familiar:</w:t>
      </w:r>
      <w:r w:rsidRPr="005A31BC">
        <w:rPr>
          <w:color w:val="C00000"/>
        </w:rPr>
        <w:t xml:space="preserve"> </w:t>
      </w:r>
      <w:r w:rsidRPr="005A31BC">
        <w:t>Este derecho se cumple si en un periodo menor a dos años desde el hecho de desplazamiento forzado, la víctima ha solicitado apoyo del Estado para reunificarse con su familia y logró dicha unificación o la víctima no ha solicitado apoyo para reunificar. En tal sentido, para el 99,2 % (333.901 VCA) no aplica este derecho; para el 0,6 % se cumple (2.087 VCA), y para el 0,2 % (724 VCA) no se cumple este derecho.</w:t>
      </w:r>
    </w:p>
    <w:p w14:paraId="34600A3E" w14:textId="77777777" w:rsidR="008C3A64" w:rsidRPr="005A31BC" w:rsidRDefault="008C3A64" w:rsidP="008123B1">
      <w:pPr>
        <w:pStyle w:val="Bullets"/>
        <w:numPr>
          <w:ilvl w:val="0"/>
          <w:numId w:val="0"/>
        </w:numPr>
        <w:ind w:left="714" w:hanging="357"/>
      </w:pPr>
    </w:p>
    <w:p w14:paraId="6375BC9F" w14:textId="77777777" w:rsidR="008C3A64" w:rsidRPr="005A31BC" w:rsidRDefault="008C3A64" w:rsidP="008123B1">
      <w:pPr>
        <w:pStyle w:val="Bullets"/>
        <w:rPr>
          <w:rFonts w:cs="Times New Roman (Cuerpo en alfa"/>
        </w:rPr>
      </w:pPr>
      <w:r w:rsidRPr="005A31BC">
        <w:rPr>
          <w:rFonts w:cs="Times New Roman (Cuerpo en alfa"/>
          <w:b/>
          <w:bCs/>
          <w:color w:val="C00000"/>
        </w:rPr>
        <w:t>Derecho a la generación de ingresos: Este</w:t>
      </w:r>
      <w:r w:rsidRPr="005A31BC">
        <w:rPr>
          <w:rFonts w:cs="Times New Roman (Cuerpo en alfa"/>
          <w:color w:val="C00000"/>
        </w:rPr>
        <w:t xml:space="preserve"> </w:t>
      </w:r>
      <w:r w:rsidRPr="005A31BC">
        <w:rPr>
          <w:rFonts w:cs="Times New Roman (Cuerpo en alfa"/>
        </w:rPr>
        <w:t xml:space="preserve">derecho se cumple si la víctima hace parte de un hogar que percibe ingresos por encima de la línea de pobreza o ingresos por encima de la línea de pobreza extrema establecida por el DANE. También se asume cumplido el derecho si la víctima habita en un hogar que percibe ingresos superiores a 1,5 veces la línea de pobreza extrema y ha accedido a programa para la generación </w:t>
      </w:r>
      <w:r w:rsidRPr="005A31BC">
        <w:rPr>
          <w:rFonts w:cs="Times New Roman (Cuerpo en alfa"/>
        </w:rPr>
        <w:lastRenderedPageBreak/>
        <w:t>de ingresos o de empleabilidad con posterioridad al hecho victimizante. Teniendo en cuenta lo anterior, el 70,4 % (237.122 VCA) cuenta con este derecho; el 9,7 % no cuenta (32.640), y no está determinado en el 19,9 % (66.950).</w:t>
      </w:r>
    </w:p>
    <w:p w14:paraId="36D20045" w14:textId="77777777" w:rsidR="008C3A64" w:rsidRPr="005A31BC" w:rsidRDefault="008C3A64" w:rsidP="008123B1">
      <w:pPr>
        <w:pStyle w:val="Bullets"/>
        <w:numPr>
          <w:ilvl w:val="0"/>
          <w:numId w:val="0"/>
        </w:numPr>
        <w:ind w:left="714" w:hanging="357"/>
      </w:pPr>
    </w:p>
    <w:p w14:paraId="7859090E" w14:textId="4AFA6208" w:rsidR="008C3A64" w:rsidRPr="0025407E" w:rsidRDefault="008C3A64" w:rsidP="008123B1">
      <w:pPr>
        <w:pStyle w:val="Bullets"/>
        <w:sectPr w:rsidR="008C3A64" w:rsidRPr="0025407E" w:rsidSect="00F7078E">
          <w:type w:val="continuous"/>
          <w:pgSz w:w="12240" w:h="15840"/>
          <w:pgMar w:top="2262" w:right="1440" w:bottom="1440" w:left="1440" w:header="708" w:footer="680" w:gutter="0"/>
          <w:cols w:num="2" w:space="567"/>
          <w:docGrid w:linePitch="299"/>
        </w:sectPr>
      </w:pPr>
      <w:r w:rsidRPr="005A31BC">
        <w:rPr>
          <w:b/>
          <w:bCs/>
          <w:color w:val="C00000"/>
        </w:rPr>
        <w:t>Derecho a la educación:</w:t>
      </w:r>
      <w:r w:rsidRPr="005A31BC">
        <w:rPr>
          <w:color w:val="C00000"/>
        </w:rPr>
        <w:t xml:space="preserve"> </w:t>
      </w:r>
      <w:r w:rsidRPr="005A31BC">
        <w:t xml:space="preserve">Se cumple si los niños, niñas y adolescentes entre los 5 y </w:t>
      </w:r>
      <w:r w:rsidRPr="005A31BC">
        <w:t>17 años se encuentran matriculados y tienen permanencia escolar. Así, el 22 % (74.153 VCA) cumple con el derecho; en el 76,5 % (257.659 VCA) no se aplica el derecho, ya que es población que se encuentra por fuera del rango de edad, y el 1,4 % (4.880) no cuenta con el derecho a la educación.</w:t>
      </w:r>
    </w:p>
    <w:bookmarkEnd w:id="70"/>
    <w:bookmarkEnd w:id="71"/>
    <w:bookmarkEnd w:id="108"/>
    <w:p w14:paraId="12A50D68" w14:textId="77777777" w:rsidR="001725C3" w:rsidRPr="001725C3" w:rsidRDefault="001725C3" w:rsidP="001725C3">
      <w:pPr>
        <w:rPr>
          <w:lang w:eastAsia="en-US"/>
        </w:rPr>
        <w:sectPr w:rsidR="001725C3" w:rsidRPr="001725C3" w:rsidSect="00F7078E">
          <w:type w:val="continuous"/>
          <w:pgSz w:w="12240" w:h="15840"/>
          <w:pgMar w:top="2262" w:right="1440" w:bottom="1440" w:left="1440" w:header="709" w:footer="709" w:gutter="0"/>
          <w:pgNumType w:start="1"/>
          <w:cols w:num="2" w:space="567"/>
        </w:sectPr>
      </w:pPr>
    </w:p>
    <w:p w14:paraId="41456CAD" w14:textId="573B9D8B" w:rsidR="0025407E" w:rsidRPr="0025407E" w:rsidRDefault="00CC372B" w:rsidP="005F14E1">
      <w:r w:rsidRPr="0025407E">
        <w:rPr>
          <w:noProof/>
        </w:rPr>
        <w:lastRenderedPageBreak/>
        <w:drawing>
          <wp:anchor distT="0" distB="0" distL="114300" distR="114300" simplePos="0" relativeHeight="251727872" behindDoc="1" locked="0" layoutInCell="1" allowOverlap="1" wp14:anchorId="36C9C5B1" wp14:editId="52FC1D56">
            <wp:simplePos x="0" y="0"/>
            <wp:positionH relativeFrom="margin">
              <wp:posOffset>3810</wp:posOffset>
            </wp:positionH>
            <wp:positionV relativeFrom="margin">
              <wp:posOffset>-1620520</wp:posOffset>
            </wp:positionV>
            <wp:extent cx="5932800" cy="2240504"/>
            <wp:effectExtent l="0" t="0" r="0" b="7620"/>
            <wp:wrapNone/>
            <wp:docPr id="1763969657" name="Imagen 176396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69657" name="Imagen 1763969657"/>
                    <pic:cNvPicPr/>
                  </pic:nvPicPr>
                  <pic:blipFill>
                    <a:blip r:embed="rId68">
                      <a:extLst>
                        <a:ext uri="{28A0092B-C50C-407E-A947-70E740481C1C}">
                          <a14:useLocalDpi xmlns:a14="http://schemas.microsoft.com/office/drawing/2010/main" val="0"/>
                        </a:ext>
                      </a:extLst>
                    </a:blip>
                    <a:stretch>
                      <a:fillRect/>
                    </a:stretch>
                  </pic:blipFill>
                  <pic:spPr>
                    <a:xfrm>
                      <a:off x="0" y="0"/>
                      <a:ext cx="5932800" cy="2240504"/>
                    </a:xfrm>
                    <a:prstGeom prst="rect">
                      <a:avLst/>
                    </a:prstGeom>
                  </pic:spPr>
                </pic:pic>
              </a:graphicData>
            </a:graphic>
            <wp14:sizeRelH relativeFrom="page">
              <wp14:pctWidth>0</wp14:pctWidth>
            </wp14:sizeRelH>
            <wp14:sizeRelV relativeFrom="page">
              <wp14:pctHeight>0</wp14:pctHeight>
            </wp14:sizeRelV>
          </wp:anchor>
        </w:drawing>
      </w:r>
    </w:p>
    <w:p w14:paraId="1F66EDC9" w14:textId="77777777" w:rsidR="0025407E" w:rsidRPr="0025407E" w:rsidRDefault="0025407E" w:rsidP="005F14E1">
      <w:pPr>
        <w:rPr>
          <w:rFonts w:eastAsiaTheme="majorEastAsia" w:cstheme="majorBidi"/>
          <w:b/>
          <w:color w:val="C00000"/>
          <w:spacing w:val="-6"/>
          <w:sz w:val="40"/>
          <w:szCs w:val="32"/>
          <w:lang w:eastAsia="en-US"/>
        </w:rPr>
      </w:pPr>
    </w:p>
    <w:p w14:paraId="4ABCFB28" w14:textId="77777777" w:rsidR="0025407E" w:rsidRPr="0025407E" w:rsidRDefault="0025407E" w:rsidP="0025407E">
      <w:pPr>
        <w:rPr>
          <w:rFonts w:eastAsiaTheme="minorHAnsi" w:cs="Times New Roman (Cuerpo en alfa"/>
          <w:spacing w:val="-6"/>
          <w:lang w:eastAsia="en-US"/>
        </w:rPr>
      </w:pPr>
    </w:p>
    <w:p w14:paraId="4EFBFDC7" w14:textId="77777777" w:rsidR="0025407E" w:rsidRPr="0025407E" w:rsidRDefault="0025407E" w:rsidP="0025407E">
      <w:pPr>
        <w:spacing w:line="220" w:lineRule="exact"/>
        <w:rPr>
          <w:rFonts w:eastAsiaTheme="minorHAnsi" w:cstheme="minorBidi"/>
          <w:b/>
          <w:bCs/>
          <w:color w:val="C00000"/>
          <w:spacing w:val="-6"/>
          <w:sz w:val="18"/>
          <w:lang w:eastAsia="en-US"/>
        </w:rPr>
      </w:pPr>
    </w:p>
    <w:p w14:paraId="3443A9BD" w14:textId="77777777" w:rsidR="0025407E" w:rsidRPr="0025407E" w:rsidRDefault="0025407E" w:rsidP="0025407E">
      <w:pPr>
        <w:spacing w:line="520" w:lineRule="exact"/>
        <w:contextualSpacing/>
        <w:jc w:val="left"/>
        <w:rPr>
          <w:rFonts w:eastAsiaTheme="majorEastAsia" w:cs="Arial"/>
          <w:b/>
          <w:bCs/>
          <w:color w:val="C00000"/>
          <w:spacing w:val="-6"/>
          <w:kern w:val="28"/>
          <w:sz w:val="48"/>
          <w:szCs w:val="36"/>
          <w:lang w:eastAsia="en-US"/>
        </w:rPr>
        <w:sectPr w:rsidR="0025407E" w:rsidRPr="0025407E" w:rsidSect="00F7078E">
          <w:pgSz w:w="12240" w:h="15840"/>
          <w:pgMar w:top="2262" w:right="1440" w:bottom="1440" w:left="1440" w:header="708" w:footer="680" w:gutter="0"/>
          <w:pgNumType w:start="52"/>
          <w:cols w:num="2" w:space="567"/>
          <w:docGrid w:linePitch="299"/>
        </w:sectPr>
      </w:pPr>
    </w:p>
    <w:p w14:paraId="37B07C6E" w14:textId="77777777" w:rsidR="005F14E1" w:rsidRDefault="005F14E1" w:rsidP="005F14E1">
      <w:pPr>
        <w:rPr>
          <w:rFonts w:cs="Arial"/>
          <w:bCs/>
          <w:color w:val="C00000"/>
          <w:spacing w:val="-6"/>
          <w:kern w:val="28"/>
          <w:sz w:val="48"/>
          <w:szCs w:val="36"/>
        </w:rPr>
      </w:pPr>
    </w:p>
    <w:p w14:paraId="360CC7E4" w14:textId="77777777" w:rsidR="005F14E1" w:rsidRDefault="005F14E1" w:rsidP="005F14E1">
      <w:pPr>
        <w:rPr>
          <w:rFonts w:cs="Arial"/>
          <w:bCs/>
          <w:color w:val="C00000"/>
          <w:spacing w:val="-6"/>
          <w:kern w:val="28"/>
          <w:sz w:val="48"/>
          <w:szCs w:val="36"/>
        </w:rPr>
      </w:pPr>
    </w:p>
    <w:p w14:paraId="35291EE4" w14:textId="77777777" w:rsidR="005F14E1" w:rsidRDefault="005F14E1" w:rsidP="005F14E1">
      <w:pPr>
        <w:rPr>
          <w:rFonts w:cs="Arial"/>
          <w:bCs/>
          <w:color w:val="C00000"/>
          <w:spacing w:val="-6"/>
          <w:kern w:val="28"/>
          <w:sz w:val="48"/>
          <w:szCs w:val="36"/>
        </w:rPr>
      </w:pPr>
    </w:p>
    <w:p w14:paraId="22D38776" w14:textId="23B37C33" w:rsidR="0025407E" w:rsidRPr="0025407E" w:rsidRDefault="0025407E" w:rsidP="005F14E1">
      <w:pPr>
        <w:pStyle w:val="NIVEL2PDD"/>
      </w:pPr>
      <w:bookmarkStart w:id="125" w:name="_Toc165169740"/>
      <w:r w:rsidRPr="0025407E">
        <w:t>Gerencia, seguimiento y evaluación del plan</w:t>
      </w:r>
      <w:bookmarkEnd w:id="125"/>
    </w:p>
    <w:p w14:paraId="3601DD07"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space="567"/>
          <w:docGrid w:linePitch="299"/>
        </w:sectPr>
      </w:pPr>
    </w:p>
    <w:p w14:paraId="008917EF" w14:textId="77777777" w:rsidR="0025407E" w:rsidRPr="0025407E" w:rsidRDefault="0025407E" w:rsidP="008123B1">
      <w:pPr>
        <w:rPr>
          <w:rFonts w:eastAsiaTheme="minorHAnsi"/>
          <w:lang w:eastAsia="en-US"/>
        </w:rPr>
      </w:pPr>
      <w:r w:rsidRPr="0025407E">
        <w:rPr>
          <w:rFonts w:eastAsiaTheme="minorHAnsi"/>
          <w:lang w:eastAsia="en-US"/>
        </w:rPr>
        <w:t xml:space="preserve">Para alcanzar el objetivo general y cada uno de sus objetivos estratégicos se requiere fortalecer el esquema de seguimiento y evaluación del Plan Distrital de Desarrollo Bogotá Camina Segura, soportado en evidencias, resultados y compromiso por parte de las entidades ejecutoras. Se requiere consolidar un esquema de seguimiento capaz de mantener informado al ciudadano de los avances, ajustes y resultados que se van alcanzando en la ejecución del plan. </w:t>
      </w:r>
    </w:p>
    <w:p w14:paraId="70BD0E3B" w14:textId="77777777" w:rsidR="005F14E1" w:rsidRDefault="005F14E1" w:rsidP="008123B1">
      <w:pPr>
        <w:rPr>
          <w:rFonts w:eastAsiaTheme="minorHAnsi"/>
          <w:lang w:eastAsia="en-US"/>
        </w:rPr>
      </w:pPr>
    </w:p>
    <w:p w14:paraId="798CA30A" w14:textId="0592EDE5" w:rsidR="0025407E" w:rsidRPr="0025407E" w:rsidRDefault="0025407E" w:rsidP="008123B1">
      <w:pPr>
        <w:rPr>
          <w:rFonts w:eastAsiaTheme="minorHAnsi"/>
          <w:lang w:eastAsia="en-US"/>
        </w:rPr>
      </w:pPr>
      <w:r w:rsidRPr="0025407E">
        <w:rPr>
          <w:rFonts w:eastAsiaTheme="minorHAnsi"/>
          <w:lang w:eastAsia="en-US"/>
        </w:rPr>
        <w:t>Para lograr este fin nos proponemos tres frentes de trabajo: i) agregar valor público, con transparencia y de cara a una ciudadanía activa e informada, ii) coordinar acciones en función de objetivos claros y pertinentes, y iii) lograr que el diseño de gasto público se dé en forma eficiente y de calidad.</w:t>
      </w:r>
    </w:p>
    <w:p w14:paraId="2357B48D"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num="2" w:space="567"/>
          <w:docGrid w:linePitch="299"/>
        </w:sectPr>
      </w:pPr>
    </w:p>
    <w:p w14:paraId="76B65578" w14:textId="77777777" w:rsidR="0025407E" w:rsidRPr="0025407E" w:rsidRDefault="0025407E" w:rsidP="0025407E">
      <w:pPr>
        <w:rPr>
          <w:rFonts w:eastAsiaTheme="minorHAnsi" w:cstheme="minorBidi"/>
          <w:lang w:eastAsia="en-US"/>
        </w:rPr>
      </w:pPr>
    </w:p>
    <w:p w14:paraId="4BF9CB0A" w14:textId="77777777" w:rsidR="0025407E" w:rsidRPr="0025407E" w:rsidRDefault="0025407E" w:rsidP="005F14E1">
      <w:pPr>
        <w:pStyle w:val="Ttulo3"/>
      </w:pPr>
      <w:bookmarkStart w:id="126" w:name="_Toc165169741"/>
      <w:r w:rsidRPr="0025407E">
        <w:t>Agregar valor</w:t>
      </w:r>
      <w:bookmarkEnd w:id="126"/>
    </w:p>
    <w:p w14:paraId="160F3CB4"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space="567"/>
          <w:docGrid w:linePitch="299"/>
        </w:sectPr>
      </w:pPr>
    </w:p>
    <w:p w14:paraId="61987F4F"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Un primer paso en este sentido es el fortalecimiento de los ejercicios de planeación distrital, sectorial y local, para que mantengan entre sí coherencia y consistencia en estrategias y metas. Los planes más específicos, deben crear indicadores y metas propias de la especificidad de cada sector y entidad, al tiempo en que deben evidenciar su aporte a las metas estratégicas y de programas, definidas en el Plan Distrital de Desarrollo.</w:t>
      </w:r>
    </w:p>
    <w:p w14:paraId="3258E333" w14:textId="77777777" w:rsidR="0025407E" w:rsidRPr="0025407E" w:rsidRDefault="0025407E" w:rsidP="0025407E">
      <w:pPr>
        <w:rPr>
          <w:rFonts w:eastAsiaTheme="minorHAnsi" w:cstheme="minorBidi"/>
          <w:lang w:eastAsia="en-US"/>
        </w:rPr>
      </w:pPr>
    </w:p>
    <w:p w14:paraId="1710EBC7"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Otro aspecto, se relaciona con la frecuencia del seguimiento y el uso de la información. Los informes de avances obtenidos consolidados y analizados por la Secretaría Distrital de Planeación de manera trimestral, se cruzarán con la información de BogData, de la Secretaría de Hacienda, y servirán para la preparación del informe que se someterá a discusión en el Consejo de Gobierno. Lo anterior, sin perjuicio de que, en el proceso de análisis de ejecución mensual, tanto la Secretaría Distrital de Planeación como la Secretaría Distrital de Hacienda lideren procesos de coordinación y resolución de problemas.</w:t>
      </w:r>
    </w:p>
    <w:p w14:paraId="7F31F95F" w14:textId="77777777" w:rsidR="0025407E" w:rsidRPr="0025407E" w:rsidRDefault="0025407E" w:rsidP="0025407E">
      <w:pPr>
        <w:rPr>
          <w:rFonts w:eastAsiaTheme="minorHAnsi" w:cstheme="minorBidi"/>
          <w:lang w:eastAsia="en-US"/>
        </w:rPr>
      </w:pPr>
    </w:p>
    <w:p w14:paraId="3B38A7AD"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De esta forma, con la información mensual y trimestral acumulada, así como las acciones de mejora adoptadas, cada semestre se preparará el informe ejecutivo dirigido al Concejo Distrital, donde se describan avances en el Plan de Desarrollo, los cuellos de botella para su implementación y oportunidades de ajustes. Los informes semestrales y su discusión serán la base para el informe anual que, de acuerdo con el artículo 43 de la Ley 152 de 1994, la Alcaldía Mayor debe presentar al Concejo de Bogotá.</w:t>
      </w:r>
    </w:p>
    <w:p w14:paraId="07855C90" w14:textId="77777777" w:rsidR="0025407E" w:rsidRPr="0025407E" w:rsidRDefault="0025407E" w:rsidP="0025407E">
      <w:pPr>
        <w:rPr>
          <w:rFonts w:eastAsiaTheme="minorHAnsi" w:cstheme="minorBidi"/>
          <w:lang w:eastAsia="en-US"/>
        </w:rPr>
      </w:pPr>
    </w:p>
    <w:p w14:paraId="223CA315" w14:textId="3623E1A9" w:rsidR="0025407E" w:rsidRPr="0025407E" w:rsidRDefault="0025407E" w:rsidP="0025407E">
      <w:pPr>
        <w:rPr>
          <w:rFonts w:eastAsiaTheme="minorHAnsi" w:cstheme="minorBidi"/>
          <w:lang w:eastAsia="en-US"/>
        </w:rPr>
      </w:pPr>
      <w:r w:rsidRPr="0025407E">
        <w:rPr>
          <w:rFonts w:eastAsiaTheme="minorHAnsi" w:cstheme="minorBidi"/>
          <w:lang w:eastAsia="en-US"/>
        </w:rPr>
        <w:t>Para el logro de este objetivo, se combinará la analítica de la información del Plan de Ordenamiento Territorial, de las Políticas Públicas y del Plan Distrital de Desarrollo y locales. Al tiempo, el sistema Segpl</w:t>
      </w:r>
      <w:r w:rsidR="005F14E1">
        <w:rPr>
          <w:rFonts w:eastAsiaTheme="minorHAnsi" w:cstheme="minorBidi"/>
          <w:lang w:eastAsia="en-US"/>
        </w:rPr>
        <w:t>a</w:t>
      </w:r>
      <w:r w:rsidRPr="0025407E">
        <w:rPr>
          <w:rFonts w:eastAsiaTheme="minorHAnsi" w:cstheme="minorBidi"/>
          <w:lang w:eastAsia="en-US"/>
        </w:rPr>
        <w:t xml:space="preserve">n se transformará en un eje articulador de la gerencia pública del Distrito. Esta herramienta, que ha construido la ciudad por muchos años, se pondrá activamente al servicio de gerentes sectoriales de todas las entidades. Su rol en el sistema no será solo de reporte de información, para el control y la rendición de cuentas, sino que a través de ella se podrá organizar, planear, evaluar e impulsar su propia gestión, observando el avance de otras entidades, </w:t>
      </w:r>
      <w:r w:rsidRPr="0025407E">
        <w:rPr>
          <w:rFonts w:eastAsiaTheme="minorHAnsi" w:cstheme="minorBidi"/>
          <w:lang w:eastAsia="en-US"/>
        </w:rPr>
        <w:lastRenderedPageBreak/>
        <w:t xml:space="preserve">en actividades paralelas o complementarias, necesarias para alcanzar los objetivos de ciudad. </w:t>
      </w:r>
    </w:p>
    <w:p w14:paraId="0B491AE6" w14:textId="77777777" w:rsidR="0025407E" w:rsidRPr="0025407E" w:rsidRDefault="0025407E" w:rsidP="0025407E">
      <w:pPr>
        <w:rPr>
          <w:rFonts w:eastAsiaTheme="minorHAnsi" w:cstheme="minorBidi"/>
          <w:lang w:eastAsia="en-US"/>
        </w:rPr>
      </w:pPr>
    </w:p>
    <w:p w14:paraId="0E999ADC" w14:textId="65B922DE" w:rsidR="0025407E" w:rsidRPr="0025407E" w:rsidRDefault="0025407E" w:rsidP="0025407E">
      <w:pPr>
        <w:rPr>
          <w:rFonts w:eastAsiaTheme="minorHAnsi" w:cstheme="minorBidi"/>
          <w:lang w:eastAsia="en-US"/>
        </w:rPr>
      </w:pPr>
      <w:r w:rsidRPr="0025407E">
        <w:rPr>
          <w:rFonts w:eastAsiaTheme="minorHAnsi" w:cstheme="minorBidi"/>
          <w:lang w:eastAsia="en-US"/>
        </w:rPr>
        <w:t>El nuevo Segpl</w:t>
      </w:r>
      <w:r w:rsidR="00225537">
        <w:rPr>
          <w:rFonts w:eastAsiaTheme="minorHAnsi" w:cstheme="minorBidi"/>
          <w:lang w:eastAsia="en-US"/>
        </w:rPr>
        <w:t>a</w:t>
      </w:r>
      <w:r w:rsidRPr="0025407E">
        <w:rPr>
          <w:rFonts w:eastAsiaTheme="minorHAnsi" w:cstheme="minorBidi"/>
          <w:lang w:eastAsia="en-US"/>
        </w:rPr>
        <w:t>n servirá así para evidenciar y coordinar iniciativas en las que confluyen múltiples sectores, manteniendo enfoques transversales y de territorialización.</w:t>
      </w:r>
    </w:p>
    <w:p w14:paraId="35D6B154" w14:textId="77777777" w:rsidR="0025407E" w:rsidRPr="0025407E" w:rsidRDefault="0025407E" w:rsidP="0025407E">
      <w:pPr>
        <w:rPr>
          <w:rFonts w:eastAsiaTheme="minorHAnsi" w:cstheme="minorBidi"/>
          <w:lang w:eastAsia="en-US"/>
        </w:rPr>
      </w:pPr>
    </w:p>
    <w:p w14:paraId="085DC154"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 xml:space="preserve">El seguimiento adecuado, con información veraz, oportuna y completa, permitirá además construir agendas de evaluaciones institucionales, de diseño, de resultado e incluso de impacto, que acompañen el rediseño de programas cuando se identifique o requiera esa necesidad. </w:t>
      </w:r>
    </w:p>
    <w:p w14:paraId="0FCE76E1"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num="2" w:space="567"/>
          <w:docGrid w:linePitch="299"/>
        </w:sectPr>
      </w:pPr>
    </w:p>
    <w:p w14:paraId="7EB35486" w14:textId="2F99AF77" w:rsidR="0025407E" w:rsidRDefault="0025407E" w:rsidP="0025407E">
      <w:pPr>
        <w:rPr>
          <w:rFonts w:eastAsiaTheme="minorHAnsi" w:cstheme="minorBidi"/>
          <w:lang w:eastAsia="en-US"/>
        </w:rPr>
      </w:pPr>
    </w:p>
    <w:p w14:paraId="35ED3B7A" w14:textId="77777777" w:rsidR="00AC7CEF" w:rsidRPr="0025407E" w:rsidRDefault="00AC7CEF" w:rsidP="0025407E">
      <w:pPr>
        <w:rPr>
          <w:rFonts w:eastAsiaTheme="minorHAnsi" w:cstheme="minorBidi"/>
          <w:lang w:eastAsia="en-US"/>
        </w:rPr>
      </w:pPr>
    </w:p>
    <w:p w14:paraId="40BEA120" w14:textId="77777777" w:rsidR="0025407E" w:rsidRPr="0025407E" w:rsidRDefault="0025407E" w:rsidP="00225537">
      <w:pPr>
        <w:pStyle w:val="Ttulo3"/>
      </w:pPr>
      <w:bookmarkStart w:id="127" w:name="_Toc165169742"/>
      <w:r w:rsidRPr="0025407E">
        <w:t>Coordinación y gestión articulada</w:t>
      </w:r>
      <w:bookmarkEnd w:id="127"/>
    </w:p>
    <w:p w14:paraId="3F3BD02A"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space="567"/>
          <w:docGrid w:linePitch="299"/>
        </w:sectPr>
      </w:pPr>
    </w:p>
    <w:p w14:paraId="74ADA835"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La Secretaría Distrital de Planeación, liderará el seguimiento de las apuestas de la administración para agilizar su cumplimiento. Para las tareas más grandes y estratégicas de la ciudad, la administración trabajará de forma coordinada para que el seguimiento a las metas del Plan Distrital de Desarrollo conduzca de inmediato a mejoras en la gestión interinstitucional. Esto con el propósito de orientar y canalizar las decisiones e instrucciones del Alcalde Mayor, y organizar la comunicación dentro y fuera del gobierno, frente al avance de esos grandes temas.</w:t>
      </w:r>
    </w:p>
    <w:p w14:paraId="451AE7FF" w14:textId="77777777" w:rsidR="0025407E" w:rsidRPr="0025407E" w:rsidRDefault="0025407E" w:rsidP="0025407E">
      <w:pPr>
        <w:rPr>
          <w:rFonts w:eastAsiaTheme="minorHAnsi" w:cstheme="minorBidi"/>
          <w:lang w:eastAsia="en-US"/>
        </w:rPr>
      </w:pPr>
    </w:p>
    <w:p w14:paraId="34430D76"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 xml:space="preserve">Los proyectos de movilidad y de transporte masivo, los programas de seguridad, los equipamientos públicos, entre otras grandes apuestas, harán parte de esta agenda de seguimiento, evaluación y gestión permanente. Esta coordinación institucional tendrá un enfoque de colaboración, solución y atención a cuellos de </w:t>
      </w:r>
      <w:r w:rsidRPr="0025407E">
        <w:rPr>
          <w:rFonts w:eastAsiaTheme="minorHAnsi" w:cstheme="minorBidi"/>
          <w:lang w:eastAsia="en-US"/>
        </w:rPr>
        <w:t>botella, de acción preventiva y no reactiva frente a las necesidades y problemáticas. Cada gerente público contará así con un apoyo directo que le permita solucionar los desafíos de gestión intersectorial, generando un diálogo técnico entre las entidades, priorizando siempre las necesidades y urgencias de los ciudadanos.</w:t>
      </w:r>
    </w:p>
    <w:p w14:paraId="0B6829F5" w14:textId="77777777" w:rsidR="0025407E" w:rsidRPr="0025407E" w:rsidRDefault="0025407E" w:rsidP="0025407E">
      <w:pPr>
        <w:rPr>
          <w:rFonts w:eastAsiaTheme="minorHAnsi" w:cstheme="minorBidi"/>
          <w:lang w:eastAsia="en-US"/>
        </w:rPr>
      </w:pPr>
    </w:p>
    <w:p w14:paraId="361E576C" w14:textId="77777777" w:rsidR="0025407E" w:rsidRPr="0025407E" w:rsidRDefault="0025407E" w:rsidP="0025407E">
      <w:pPr>
        <w:rPr>
          <w:rFonts w:eastAsiaTheme="minorHAnsi" w:cstheme="minorBidi"/>
          <w:lang w:eastAsia="en-US"/>
        </w:rPr>
      </w:pPr>
      <w:r w:rsidRPr="0025407E">
        <w:rPr>
          <w:rFonts w:eastAsiaTheme="minorHAnsi" w:cstheme="minorBidi"/>
          <w:lang w:eastAsia="en-US"/>
        </w:rPr>
        <w:t>Para alcanzar estos propósitos, se llevará a cabo una revisión del Consejo Nacional de Política Económica y Social, CONPES D.C., con el objetivo de fortalecer su papel como mecanismo de coordinación interagencial para la implementación efectiva de los planes, programas y proyectos de ciudad. Este nuevo arreglo institucional se centrará en la gestión proactiva, colaborativa y orientada a la solución de problemas, abordando de manera preventiva las necesidades y problemáticas ciudadanas.</w:t>
      </w:r>
    </w:p>
    <w:p w14:paraId="450CA5A6"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num="2" w:space="567"/>
          <w:docGrid w:linePitch="299"/>
        </w:sectPr>
      </w:pPr>
    </w:p>
    <w:p w14:paraId="113B9BDD" w14:textId="690F8997" w:rsidR="0025407E" w:rsidRDefault="0025407E" w:rsidP="0025407E">
      <w:pPr>
        <w:rPr>
          <w:rFonts w:eastAsiaTheme="minorHAnsi" w:cstheme="minorBidi"/>
          <w:lang w:eastAsia="en-US"/>
        </w:rPr>
      </w:pPr>
    </w:p>
    <w:p w14:paraId="141E50A2" w14:textId="77777777" w:rsidR="00AC7CEF" w:rsidRPr="0025407E" w:rsidRDefault="00AC7CEF" w:rsidP="0025407E">
      <w:pPr>
        <w:rPr>
          <w:rFonts w:eastAsiaTheme="minorHAnsi" w:cstheme="minorBidi"/>
          <w:lang w:eastAsia="en-US"/>
        </w:rPr>
      </w:pPr>
    </w:p>
    <w:p w14:paraId="36D7167F" w14:textId="77777777" w:rsidR="0025407E" w:rsidRPr="0025407E" w:rsidRDefault="0025407E" w:rsidP="0099160E">
      <w:pPr>
        <w:pStyle w:val="Ttulo3"/>
      </w:pPr>
      <w:bookmarkStart w:id="128" w:name="_Toc165169743"/>
      <w:r w:rsidRPr="0025407E">
        <w:t>Seguimiento y evaluación para un gasto de calidad</w:t>
      </w:r>
      <w:bookmarkEnd w:id="128"/>
    </w:p>
    <w:p w14:paraId="74BB91F5" w14:textId="77777777" w:rsidR="0025407E" w:rsidRPr="0025407E" w:rsidRDefault="0025407E" w:rsidP="0025407E">
      <w:pPr>
        <w:rPr>
          <w:rFonts w:eastAsiaTheme="minorHAnsi" w:cstheme="minorBidi"/>
          <w:lang w:eastAsia="en-US"/>
        </w:rPr>
        <w:sectPr w:rsidR="0025407E" w:rsidRPr="0025407E" w:rsidSect="00F7078E">
          <w:type w:val="continuous"/>
          <w:pgSz w:w="12240" w:h="15840"/>
          <w:pgMar w:top="2262" w:right="1440" w:bottom="1440" w:left="1440" w:header="708" w:footer="680" w:gutter="0"/>
          <w:cols w:space="567"/>
          <w:docGrid w:linePitch="299"/>
        </w:sectPr>
      </w:pPr>
    </w:p>
    <w:p w14:paraId="5ADB4BA1" w14:textId="77777777" w:rsidR="0025407E" w:rsidRPr="0025407E" w:rsidRDefault="0025407E" w:rsidP="0025407E">
      <w:pPr>
        <w:rPr>
          <w:lang w:eastAsia="en-US"/>
        </w:rPr>
      </w:pPr>
      <w:r w:rsidRPr="0025407E">
        <w:rPr>
          <w:lang w:eastAsia="en-US"/>
        </w:rPr>
        <w:t xml:space="preserve">El seguimiento, la evaluación y la gestión basada en evidencia son fundamentales para la construcción de una administración distrital eficiente que haga el mejor uso de sus recursos y los asigne con mejor criterio a tareas prioritarias y de alto impacto, con resultados sobresalientes. En consecuencia, los avances de las metas y los resultados del Plan Distrital de Desarrollo alcanzados serán tenidos en cuenta para los procesos de asignación presupuestal de cada año. </w:t>
      </w:r>
      <w:r w:rsidRPr="0025407E">
        <w:rPr>
          <w:lang w:eastAsia="en-US"/>
        </w:rPr>
        <w:t>Para ello, las Secretarías de Hacienda y Planeación, a la luz del plan y de estos criterios, adicionados a los de tipo presupuestal, prepararán una metodología de asignación de los recursos de inversión, que incluirán en la circular presupuestal.</w:t>
      </w:r>
    </w:p>
    <w:p w14:paraId="29F1416C" w14:textId="77777777" w:rsidR="0025407E" w:rsidRPr="0025407E" w:rsidRDefault="0025407E" w:rsidP="0025407E">
      <w:pPr>
        <w:rPr>
          <w:lang w:eastAsia="en-US"/>
        </w:rPr>
      </w:pPr>
    </w:p>
    <w:p w14:paraId="27678F39" w14:textId="60BBCE53" w:rsidR="0025407E" w:rsidRPr="0025407E" w:rsidRDefault="0025407E" w:rsidP="0025407E">
      <w:pPr>
        <w:rPr>
          <w:lang w:eastAsia="en-US"/>
        </w:rPr>
      </w:pPr>
      <w:r w:rsidRPr="0025407E">
        <w:rPr>
          <w:lang w:eastAsia="en-US"/>
        </w:rPr>
        <w:t xml:space="preserve">La interoperabilidad del </w:t>
      </w:r>
      <w:r w:rsidR="000458DE">
        <w:rPr>
          <w:lang w:eastAsia="en-US"/>
        </w:rPr>
        <w:t>Segplan</w:t>
      </w:r>
      <w:r w:rsidRPr="0025407E">
        <w:rPr>
          <w:lang w:eastAsia="en-US"/>
        </w:rPr>
        <w:t xml:space="preserve">, los instrumentos de seguimiento a políticas públicas, los instrumentos de seguimiento al Plan de </w:t>
      </w:r>
      <w:r w:rsidRPr="0025407E">
        <w:rPr>
          <w:lang w:eastAsia="en-US"/>
        </w:rPr>
        <w:lastRenderedPageBreak/>
        <w:t xml:space="preserve">Ordenamiento Territorial a la gestión de las entidades y la ejecución presupuestal, será determinante para articular un análisis que permita una asignación eficiente del gasto y redistribución de este. </w:t>
      </w:r>
    </w:p>
    <w:p w14:paraId="4AEE4005" w14:textId="77777777" w:rsidR="0025407E" w:rsidRPr="0025407E" w:rsidRDefault="0025407E" w:rsidP="0025407E">
      <w:pPr>
        <w:rPr>
          <w:lang w:eastAsia="en-US"/>
        </w:rPr>
      </w:pPr>
    </w:p>
    <w:p w14:paraId="311AD024" w14:textId="77777777" w:rsidR="0025407E" w:rsidRDefault="0025407E" w:rsidP="0025407E">
      <w:pPr>
        <w:rPr>
          <w:lang w:eastAsia="en-US"/>
        </w:rPr>
      </w:pPr>
      <w:r w:rsidRPr="0025407E">
        <w:rPr>
          <w:lang w:eastAsia="en-US"/>
        </w:rPr>
        <w:t>Para ello, la Secretaría Distrital de Planeación implementará herramientas y rutinas periódicas de las llamadas evaluaciones de gasto (</w:t>
      </w:r>
      <w:r w:rsidRPr="000458DE">
        <w:rPr>
          <w:i/>
          <w:iCs/>
          <w:lang w:eastAsia="en-US"/>
        </w:rPr>
        <w:t xml:space="preserve">expenditure reviews), </w:t>
      </w:r>
      <w:r w:rsidRPr="0025407E">
        <w:rPr>
          <w:lang w:eastAsia="en-US"/>
        </w:rPr>
        <w:t>llevadas a cabo con la participación activa de los gerentes técnicos en los sectores de la administración distrital.</w:t>
      </w:r>
    </w:p>
    <w:p w14:paraId="13D5DED5" w14:textId="77777777" w:rsidR="005915D2" w:rsidRPr="0025407E" w:rsidRDefault="005915D2" w:rsidP="0025407E">
      <w:pPr>
        <w:rPr>
          <w:lang w:eastAsia="en-US"/>
        </w:rPr>
      </w:pPr>
    </w:p>
    <w:p w14:paraId="6CAFC420" w14:textId="77777777" w:rsidR="0025407E" w:rsidRPr="0025407E" w:rsidRDefault="0025407E" w:rsidP="0025407E">
      <w:pPr>
        <w:rPr>
          <w:lang w:eastAsia="en-US"/>
        </w:rPr>
      </w:pPr>
      <w:r w:rsidRPr="0025407E">
        <w:rPr>
          <w:lang w:eastAsia="en-US"/>
        </w:rPr>
        <w:t xml:space="preserve">Junto con las evaluaciones de gasto, se construirá una agenda completa de evaluaciones. El </w:t>
      </w:r>
      <w:r w:rsidRPr="0025407E">
        <w:rPr>
          <w:lang w:eastAsia="en-US"/>
        </w:rPr>
        <w:t xml:space="preserve">objetivo será construir una valoración sistemática y objetiva de una política pública, plan, programa o proyecto, que permita alcanzar un juicio basado en evidencia, respecto a su diseño, operación, resultados e impactos. </w:t>
      </w:r>
    </w:p>
    <w:p w14:paraId="2E03F1AB" w14:textId="77777777" w:rsidR="0025407E" w:rsidRPr="0025407E" w:rsidRDefault="0025407E" w:rsidP="0025407E">
      <w:pPr>
        <w:rPr>
          <w:lang w:eastAsia="en-US"/>
        </w:rPr>
      </w:pPr>
    </w:p>
    <w:p w14:paraId="685AF247" w14:textId="092375CA" w:rsidR="0025407E" w:rsidRDefault="0025407E" w:rsidP="0025407E">
      <w:pPr>
        <w:rPr>
          <w:lang w:eastAsia="en-US"/>
        </w:rPr>
      </w:pPr>
      <w:r w:rsidRPr="0025407E">
        <w:rPr>
          <w:lang w:eastAsia="en-US"/>
        </w:rPr>
        <w:t>Al tiempo, se generará información para una mejor toma de decisiones; realizar intervenciones más pertinentes y basadas en evidencia y retroalimentar el accionar de las entidades para mejorar la asignación del gasto público. Con todo ello, y en consonancia con el Programa de Gobierno Bogotá Camina Segura, la ciudad será ejemplo en materia de evaluación de la calidad del gasto.</w:t>
      </w:r>
    </w:p>
    <w:p w14:paraId="7E4C401D" w14:textId="77777777" w:rsidR="0025407E" w:rsidRDefault="0025407E">
      <w:pPr>
        <w:jc w:val="left"/>
        <w:rPr>
          <w:lang w:eastAsia="en-US"/>
        </w:rPr>
        <w:sectPr w:rsidR="0025407E" w:rsidSect="00F7078E">
          <w:type w:val="continuous"/>
          <w:pgSz w:w="12240" w:h="15840"/>
          <w:pgMar w:top="2262" w:right="1440" w:bottom="1440" w:left="1440" w:header="708" w:footer="680" w:gutter="0"/>
          <w:cols w:num="2" w:space="567"/>
          <w:docGrid w:linePitch="299"/>
        </w:sectPr>
      </w:pPr>
    </w:p>
    <w:p w14:paraId="306A6FB5" w14:textId="77777777" w:rsidR="0025407E" w:rsidRDefault="0025407E">
      <w:pPr>
        <w:jc w:val="left"/>
        <w:rPr>
          <w:lang w:eastAsia="en-US"/>
        </w:rPr>
      </w:pPr>
      <w:r>
        <w:rPr>
          <w:lang w:eastAsia="en-US"/>
        </w:rPr>
        <w:br w:type="page"/>
      </w:r>
    </w:p>
    <w:p w14:paraId="2C77C092" w14:textId="77777777" w:rsidR="0025407E" w:rsidRPr="0025407E" w:rsidRDefault="0025407E" w:rsidP="0025407E">
      <w:pPr>
        <w:rPr>
          <w:lang w:eastAsia="en-US"/>
        </w:rPr>
        <w:sectPr w:rsidR="0025407E" w:rsidRPr="0025407E" w:rsidSect="00F7078E">
          <w:type w:val="continuous"/>
          <w:pgSz w:w="12240" w:h="15840"/>
          <w:pgMar w:top="2262" w:right="1440" w:bottom="1440" w:left="1440" w:header="708" w:footer="680" w:gutter="0"/>
          <w:cols w:space="567"/>
          <w:docGrid w:linePitch="299"/>
        </w:sectPr>
      </w:pPr>
    </w:p>
    <w:p w14:paraId="37D12CF3" w14:textId="1CE2EF84" w:rsidR="0025407E" w:rsidRDefault="0025407E" w:rsidP="00CC2A62">
      <w:pPr>
        <w:sectPr w:rsidR="0025407E" w:rsidSect="00F7078E">
          <w:headerReference w:type="default" r:id="rId69"/>
          <w:footerReference w:type="even" r:id="rId70"/>
          <w:pgSz w:w="12240" w:h="15840"/>
          <w:pgMar w:top="2262" w:right="1440" w:bottom="1440" w:left="1440" w:header="709" w:footer="680" w:gutter="0"/>
          <w:cols w:space="708"/>
          <w:docGrid w:linePitch="360"/>
        </w:sectPr>
      </w:pPr>
    </w:p>
    <w:p w14:paraId="3DED9999" w14:textId="040D80BD" w:rsidR="00AC0221" w:rsidRDefault="00AC0221" w:rsidP="00CC2A62"/>
    <w:p w14:paraId="0CFECBB1" w14:textId="66EC937C" w:rsidR="0083520B" w:rsidRDefault="0083520B" w:rsidP="00540FE5">
      <w:r w:rsidRPr="00562BAF">
        <w:rPr>
          <w:noProof/>
        </w:rPr>
        <w:drawing>
          <wp:anchor distT="0" distB="0" distL="114300" distR="114300" simplePos="0" relativeHeight="251691008" behindDoc="1" locked="0" layoutInCell="1" allowOverlap="1" wp14:anchorId="16411FFD" wp14:editId="514589B6">
            <wp:simplePos x="0" y="0"/>
            <wp:positionH relativeFrom="margin">
              <wp:posOffset>6350</wp:posOffset>
            </wp:positionH>
            <wp:positionV relativeFrom="margin">
              <wp:posOffset>-1620520</wp:posOffset>
            </wp:positionV>
            <wp:extent cx="5932800" cy="2241073"/>
            <wp:effectExtent l="0" t="0" r="0" b="6985"/>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71">
                      <a:extLst>
                        <a:ext uri="{28A0092B-C50C-407E-A947-70E740481C1C}">
                          <a14:useLocalDpi xmlns:a14="http://schemas.microsoft.com/office/drawing/2010/main" val="0"/>
                        </a:ext>
                      </a:extLst>
                    </a:blip>
                    <a:stretch>
                      <a:fillRect/>
                    </a:stretch>
                  </pic:blipFill>
                  <pic:spPr>
                    <a:xfrm>
                      <a:off x="0" y="0"/>
                      <a:ext cx="5932800" cy="2241073"/>
                    </a:xfrm>
                    <a:prstGeom prst="rect">
                      <a:avLst/>
                    </a:prstGeom>
                  </pic:spPr>
                </pic:pic>
              </a:graphicData>
            </a:graphic>
            <wp14:sizeRelH relativeFrom="page">
              <wp14:pctWidth>0</wp14:pctWidth>
            </wp14:sizeRelH>
            <wp14:sizeRelV relativeFrom="page">
              <wp14:pctHeight>0</wp14:pctHeight>
            </wp14:sizeRelV>
          </wp:anchor>
        </w:drawing>
      </w:r>
    </w:p>
    <w:p w14:paraId="25D8F495" w14:textId="07F47CE3" w:rsidR="0083520B" w:rsidRDefault="0083520B" w:rsidP="00540FE5"/>
    <w:p w14:paraId="704527F8" w14:textId="77777777" w:rsidR="00540FE5" w:rsidRDefault="00540FE5" w:rsidP="00540FE5"/>
    <w:p w14:paraId="1CECA23F" w14:textId="52D3102C" w:rsidR="0083520B" w:rsidRPr="00540FE5" w:rsidRDefault="0083520B" w:rsidP="00540FE5">
      <w:pPr>
        <w:pStyle w:val="NIVEL2PDD"/>
        <w:rPr>
          <w:i/>
          <w:iCs/>
        </w:rPr>
      </w:pPr>
      <w:bookmarkStart w:id="129" w:name="_Toc165169744"/>
      <w:r>
        <w:t>Estrategia financiera</w:t>
      </w:r>
      <w:r w:rsidR="000A0171">
        <w:t xml:space="preserve"> del Plan de Desarroll</w:t>
      </w:r>
      <w:r w:rsidR="00540FE5">
        <w:t>o</w:t>
      </w:r>
      <w:bookmarkEnd w:id="129"/>
    </w:p>
    <w:p w14:paraId="3D190422" w14:textId="77777777" w:rsidR="0083520B" w:rsidRDefault="0083520B" w:rsidP="0083520B">
      <w:pPr>
        <w:rPr>
          <w:rFonts w:cs="Times New Roman (Cuerpo en alfa"/>
          <w:spacing w:val="-4"/>
          <w:lang w:val="es-ES"/>
        </w:rPr>
      </w:pPr>
    </w:p>
    <w:p w14:paraId="03C05D81" w14:textId="77777777" w:rsidR="0083520B" w:rsidRPr="00DF4131" w:rsidRDefault="0083520B" w:rsidP="0083520B">
      <w:pPr>
        <w:rPr>
          <w:rFonts w:cs="Times New Roman (Cuerpo en alfa"/>
          <w:spacing w:val="-4"/>
          <w:lang w:val="es-ES"/>
        </w:rPr>
        <w:sectPr w:rsidR="0083520B" w:rsidRPr="00DF4131" w:rsidSect="00F7078E">
          <w:type w:val="continuous"/>
          <w:pgSz w:w="12240" w:h="15840"/>
          <w:pgMar w:top="2262" w:right="1440" w:bottom="1440" w:left="1440" w:header="709" w:footer="680" w:gutter="0"/>
          <w:cols w:space="708"/>
          <w:docGrid w:linePitch="360"/>
        </w:sectPr>
      </w:pPr>
    </w:p>
    <w:p w14:paraId="05CFC67A" w14:textId="77777777" w:rsidR="0083520B" w:rsidRPr="00182EA1" w:rsidRDefault="0083520B" w:rsidP="0083520B">
      <w:pPr>
        <w:rPr>
          <w:rFonts w:ascii="Times New Roman" w:hAnsi="Times New Roman"/>
          <w:sz w:val="24"/>
        </w:rPr>
      </w:pPr>
      <w:r w:rsidRPr="00DF4504">
        <w:t xml:space="preserve">Bogotá ha sido históricamente un modelo de cultura tributaria y de solidez de sus finanzas públicas. </w:t>
      </w:r>
      <w:r w:rsidRPr="001F73B5">
        <w:t>El cumplimiento en el pago de los impuestos locales por parte de los contribuyentes ha sido un aporte fundamental a la sostenibilidad de las finanzas del Distrito y al desarrollo económico y social de la ciudad. </w:t>
      </w:r>
    </w:p>
    <w:p w14:paraId="0EFDFB08" w14:textId="77777777" w:rsidR="0083520B" w:rsidRPr="00DF4504" w:rsidRDefault="0083520B" w:rsidP="0083520B"/>
    <w:p w14:paraId="310ED2F3" w14:textId="77777777" w:rsidR="00540FE5" w:rsidRDefault="0083520B" w:rsidP="0083520B">
      <w:r w:rsidRPr="00DF4504">
        <w:t xml:space="preserve">Lo anterior se evidencia en la dinámica que han tenido los ingresos de la ciudad en los últimos años. Durante el periodo 2020-2023 los ingresos de la Administración central sumaron 89,2 billones de pesos (107,6 billones de pesos a precios de 2024). En este periodo, con la pérdida de capacidad de pago de los contribuyentes debido a la crisis del covid-19 y la caída en el PIB distrital, los ingresos presentaron una reducción del 9,2 % en términos nominales para 2020. Sin embargo, en 2021 los ingresos crecieron 21,8 %, y en 2022 y 2023 mostraron crecimientos de 11,4 % y 11 %, respectivamente. </w:t>
      </w:r>
    </w:p>
    <w:p w14:paraId="6EBEF1F3" w14:textId="77777777" w:rsidR="00540FE5" w:rsidRDefault="00540FE5" w:rsidP="0083520B"/>
    <w:p w14:paraId="40942B09" w14:textId="20BF8786" w:rsidR="0083520B" w:rsidRPr="00DF4504" w:rsidRDefault="0083520B" w:rsidP="0083520B">
      <w:r w:rsidRPr="00DF4504">
        <w:t>Esta dinámica de recuperación en el recaudo estuvo asociada, entre otros factores, a la reactivación económica, así como a los alivios ofrecidos a los contribuyentes en términos de aplazamiento del calendario tributario y pago por cuotas en algunos tributos, que facilitaron el cumplimiento de las obligaciones tributarias en el periodo de crisis.</w:t>
      </w:r>
    </w:p>
    <w:p w14:paraId="0F43DCE7" w14:textId="77777777" w:rsidR="0083520B" w:rsidRPr="00DF4504" w:rsidRDefault="0083520B" w:rsidP="0083520B"/>
    <w:p w14:paraId="397E3B39" w14:textId="77777777" w:rsidR="0083520B" w:rsidRPr="00DF4504" w:rsidRDefault="0083520B" w:rsidP="0083520B">
      <w:r w:rsidRPr="00DF4504">
        <w:t xml:space="preserve">Respecto a los ingresos tributarios, representaron en promedio el 48,8 % de los ingresos totales en el periodo 2020-2023 y sumaron en total 43,5 billones de pesos (52,5 billones de pesos a precios de 2024). Se destacó el </w:t>
      </w:r>
      <w:r w:rsidRPr="00DF4504">
        <w:t>comportamiento del ICA, que aportó aproximadamente el 50 % de los impuestos distritales. Dicho tributo, al ser el más relacionado con la actividad económica distrital al gravar las actividades de industria, comercio y servicios, resultó siendo uno de los más afectados durante 2020, cayó 6,8 % en términos reales, para posteriormente tener crecimientos de 7 % en 2021, 17,8 % en 2022 y 8,5 % en 2023.</w:t>
      </w:r>
    </w:p>
    <w:p w14:paraId="3AB2C11D" w14:textId="77777777" w:rsidR="0083520B" w:rsidRPr="00DF4504" w:rsidRDefault="0083520B" w:rsidP="0083520B"/>
    <w:p w14:paraId="76A75358" w14:textId="77777777" w:rsidR="0083520B" w:rsidRPr="00DF4504" w:rsidRDefault="0083520B" w:rsidP="0083520B">
      <w:r w:rsidRPr="00DF4504">
        <w:t>De la misma manera, los ingresos no tributarios tuvieron un recaudo de 21,4 billones de pesos (25,9 billones de pesos de 2024) en el periodo 2020-2023, recursos dentro de los que se destaca el Sistema General de Participaciones, que representó en 2023 el 59 % de los ingresos no tributarios de la Administración central. Por otra parte, los ingresos de capital sumaron 24,1 billones de pesos entre 2020 y 2023 (29,2 billones de pesos a precios de 2024), mostrando un crecimiento importante especialmente en 2021, con una variación de 46,9 % frente a 2020, explicada principalmente por el aumento en los recursos de crédito.</w:t>
      </w:r>
    </w:p>
    <w:p w14:paraId="0C3540B2" w14:textId="77777777" w:rsidR="0083520B" w:rsidRPr="00DF4504" w:rsidRDefault="0083520B" w:rsidP="0083520B"/>
    <w:p w14:paraId="71FFAB87" w14:textId="77777777" w:rsidR="0083520B" w:rsidRPr="00DF4504" w:rsidRDefault="0083520B" w:rsidP="0083520B">
      <w:r w:rsidRPr="00DF4504">
        <w:t>En cuanto a los gastos, es fundamental señalar que durante el periodo 2020-2023, la ciudad tuvo el crecimiento más alto en los recursos destinados a la inversión en la historia reciente, particularmente en infraestructura de movilidad, educación, salud y del cuidado, en buena parte con base en la estrategia de endeudamiento, aprobada por el Concejo de Bogotá, que permitió ampliar las fuentes de financiación con espacio adicional de alrededor de 17 billones de pesos en el plan de inversiones</w:t>
      </w:r>
      <w:r w:rsidRPr="00182EA1">
        <w:rPr>
          <w:b/>
          <w:bCs/>
          <w:color w:val="C00000"/>
          <w:vertAlign w:val="superscript"/>
        </w:rPr>
        <w:footnoteReference w:id="3"/>
      </w:r>
      <w:r w:rsidRPr="00DF4504">
        <w:t>.</w:t>
      </w:r>
    </w:p>
    <w:p w14:paraId="396EBCAC" w14:textId="77777777" w:rsidR="0083520B" w:rsidRPr="00DF4504" w:rsidRDefault="0083520B" w:rsidP="0083520B">
      <w:r w:rsidRPr="00DF4504">
        <w:lastRenderedPageBreak/>
        <w:t>Como consecuencia, el ritmo de inversión observado en los últimos años ha sido alto frente al promedio histórico; por lo cual, lograr una inversión aún mayor en los próximos años requiere nuevas fuentes de ingreso y de medidas de austeridad eficaces.</w:t>
      </w:r>
    </w:p>
    <w:p w14:paraId="6848DAF0" w14:textId="77777777" w:rsidR="0083520B" w:rsidRPr="00DF4504" w:rsidRDefault="0083520B" w:rsidP="0083520B"/>
    <w:p w14:paraId="4E041BD4" w14:textId="77777777" w:rsidR="0083520B" w:rsidRPr="00DF4504" w:rsidRDefault="0083520B" w:rsidP="0083520B">
      <w:r w:rsidRPr="00DF4504">
        <w:t xml:space="preserve">Se debe tener en cuenta la presencia de algunos factores que generan presión en el espacio disponible de inversión y en la situación de las finanzas públicas de la ciudad hacia los próximos años, relacionados con gastos que ha asumido la ciudad por el mayor endeudamiento, la financiación del sistema de transporte y el gasto </w:t>
      </w:r>
      <w:r w:rsidRPr="00DF4504">
        <w:t>adicional que han requerido algunos sectores como educación, salud y el sistema de cuidado.</w:t>
      </w:r>
    </w:p>
    <w:p w14:paraId="0EAC6A69" w14:textId="77777777" w:rsidR="0083520B" w:rsidRPr="00DF4504" w:rsidRDefault="0083520B" w:rsidP="0083520B"/>
    <w:p w14:paraId="077B022F" w14:textId="5489A611" w:rsidR="0083520B" w:rsidRPr="00822CEB" w:rsidRDefault="0083520B" w:rsidP="0083520B">
      <w:pPr>
        <w:sectPr w:rsidR="0083520B" w:rsidRPr="00822CEB" w:rsidSect="00F7078E">
          <w:type w:val="continuous"/>
          <w:pgSz w:w="12240" w:h="15840"/>
          <w:pgMar w:top="2262" w:right="1440" w:bottom="1440" w:left="1440" w:header="708" w:footer="708" w:gutter="0"/>
          <w:cols w:num="2" w:space="624"/>
          <w:docGrid w:linePitch="299"/>
        </w:sectPr>
      </w:pPr>
      <w:r w:rsidRPr="00DF4504">
        <w:t xml:space="preserve">El nivel de endeudamiento de los entes territoriales en Colombia está regulado por ley, particularmente por la Ley 358 de 1997, que establece el cumplimiento de indicadores que evalúan la sostenibilidad y la capacidad de pago de la deuda de las entidades territoriales para la contratación de operaciones de crédito público. Ante las decisiones tomadas en el periodo 2020-2023, los indicadores para Bogotá se </w:t>
      </w:r>
      <w:r w:rsidRPr="00822CEB">
        <w:t xml:space="preserve">incrementaron, lo que limita el tamaño de un nuevo cupo de endeudamiento </w:t>
      </w:r>
      <w:r w:rsidRPr="00A42D29">
        <w:t>(</w:t>
      </w:r>
      <w:r w:rsidR="00A42D29" w:rsidRPr="00A42D29">
        <w:fldChar w:fldCharType="begin"/>
      </w:r>
      <w:r w:rsidR="00A42D29" w:rsidRPr="00A42D29">
        <w:instrText xml:space="preserve"> REF _Ref165116342 \h </w:instrText>
      </w:r>
      <w:r w:rsidR="00A42D29" w:rsidRPr="00A42D29">
        <w:fldChar w:fldCharType="separate"/>
      </w:r>
      <w:r w:rsidR="00D01651" w:rsidRPr="00A42D29">
        <w:rPr>
          <w:color w:val="C00000"/>
          <w:sz w:val="18"/>
          <w:szCs w:val="14"/>
        </w:rPr>
        <w:t xml:space="preserve">Gráfica </w:t>
      </w:r>
      <w:r w:rsidR="00D01651">
        <w:rPr>
          <w:noProof/>
          <w:color w:val="C00000"/>
          <w:sz w:val="18"/>
          <w:szCs w:val="14"/>
        </w:rPr>
        <w:t>22</w:t>
      </w:r>
      <w:r w:rsidR="00A42D29" w:rsidRPr="00A42D29">
        <w:fldChar w:fldCharType="end"/>
      </w:r>
      <w:r w:rsidRPr="00822CEB">
        <w:t>).</w:t>
      </w:r>
    </w:p>
    <w:p w14:paraId="150F75DB" w14:textId="77777777" w:rsidR="0083520B" w:rsidRPr="00822CEB" w:rsidRDefault="0083520B" w:rsidP="0083520B">
      <w:pPr>
        <w:rPr>
          <w:spacing w:val="-10"/>
        </w:rPr>
        <w:sectPr w:rsidR="0083520B" w:rsidRPr="00822CEB" w:rsidSect="00F7078E">
          <w:footerReference w:type="default" r:id="rId72"/>
          <w:type w:val="continuous"/>
          <w:pgSz w:w="12240" w:h="15840"/>
          <w:pgMar w:top="2262" w:right="1440" w:bottom="1440" w:left="1440" w:header="708" w:footer="708" w:gutter="0"/>
          <w:cols w:space="567"/>
        </w:sectPr>
      </w:pPr>
    </w:p>
    <w:p w14:paraId="0D290F8E" w14:textId="4A87A78A" w:rsidR="0083520B" w:rsidRPr="00A42D29" w:rsidRDefault="00A42D29" w:rsidP="00A42D29">
      <w:pPr>
        <w:pStyle w:val="Descripcin"/>
        <w:jc w:val="center"/>
        <w:rPr>
          <w:rFonts w:cs="Times New Roman (Cuerpo en alfa"/>
          <w:spacing w:val="-10"/>
          <w:sz w:val="18"/>
          <w:szCs w:val="14"/>
        </w:rPr>
      </w:pPr>
      <w:bookmarkStart w:id="130" w:name="_Ref165116342"/>
      <w:bookmarkStart w:id="131" w:name="_Toc165169848"/>
      <w:r w:rsidRPr="00A42D29">
        <w:rPr>
          <w:color w:val="C00000"/>
          <w:sz w:val="18"/>
          <w:szCs w:val="14"/>
        </w:rPr>
        <w:t xml:space="preserve">Gráfica </w:t>
      </w:r>
      <w:r w:rsidRPr="00A42D29">
        <w:rPr>
          <w:color w:val="C00000"/>
          <w:sz w:val="18"/>
          <w:szCs w:val="14"/>
        </w:rPr>
        <w:fldChar w:fldCharType="begin"/>
      </w:r>
      <w:r w:rsidRPr="00A42D29">
        <w:rPr>
          <w:color w:val="C00000"/>
          <w:sz w:val="18"/>
          <w:szCs w:val="14"/>
        </w:rPr>
        <w:instrText xml:space="preserve"> SEQ Gráfica \* ARABIC </w:instrText>
      </w:r>
      <w:r w:rsidRPr="00A42D29">
        <w:rPr>
          <w:color w:val="C00000"/>
          <w:sz w:val="18"/>
          <w:szCs w:val="14"/>
        </w:rPr>
        <w:fldChar w:fldCharType="separate"/>
      </w:r>
      <w:r w:rsidR="00D01651">
        <w:rPr>
          <w:noProof/>
          <w:color w:val="C00000"/>
          <w:sz w:val="18"/>
          <w:szCs w:val="14"/>
        </w:rPr>
        <w:t>22</w:t>
      </w:r>
      <w:r w:rsidRPr="00A42D29">
        <w:rPr>
          <w:color w:val="C00000"/>
          <w:sz w:val="18"/>
          <w:szCs w:val="14"/>
        </w:rPr>
        <w:fldChar w:fldCharType="end"/>
      </w:r>
      <w:bookmarkEnd w:id="130"/>
      <w:r w:rsidRPr="00A42D29">
        <w:rPr>
          <w:color w:val="C00000"/>
          <w:sz w:val="18"/>
          <w:szCs w:val="14"/>
        </w:rPr>
        <w:t xml:space="preserve">. </w:t>
      </w:r>
      <w:r w:rsidR="0083520B" w:rsidRPr="00A42D29">
        <w:rPr>
          <w:rFonts w:cs="Times New Roman (Cuerpo en alfa"/>
          <w:spacing w:val="-10"/>
          <w:sz w:val="18"/>
          <w:szCs w:val="14"/>
        </w:rPr>
        <w:t>Indicador de sostenibilidad de la deuda Ley 358 de 1997 (2010-2023)</w:t>
      </w:r>
      <w:bookmarkEnd w:id="131"/>
    </w:p>
    <w:p w14:paraId="2CF82B87" w14:textId="77777777" w:rsidR="0083520B" w:rsidRPr="00DF4504" w:rsidRDefault="0083520B" w:rsidP="0083520B">
      <w:pPr>
        <w:pStyle w:val="figuratitulo"/>
        <w:rPr>
          <w:rFonts w:cs="Times New Roman (Cuerpo en alfa"/>
          <w:b/>
          <w:bCs/>
          <w:color w:val="3B3838" w:themeColor="background2" w:themeShade="40"/>
          <w:spacing w:val="-10"/>
          <w:sz w:val="22"/>
          <w:szCs w:val="28"/>
        </w:rPr>
        <w:sectPr w:rsidR="0083520B" w:rsidRPr="00DF4504" w:rsidSect="00F7078E">
          <w:type w:val="continuous"/>
          <w:pgSz w:w="12240" w:h="15840"/>
          <w:pgMar w:top="2262" w:right="1440" w:bottom="1440" w:left="1440" w:header="708" w:footer="708" w:gutter="0"/>
          <w:cols w:space="567"/>
        </w:sectPr>
      </w:pPr>
      <w:r w:rsidRPr="00DF4504">
        <w:rPr>
          <w:rFonts w:cs="Times New Roman (Cuerpo en alfa"/>
          <w:b/>
          <w:bCs/>
          <w:color w:val="3B3838" w:themeColor="background2" w:themeShade="40"/>
          <w:spacing w:val="-10"/>
          <w:sz w:val="22"/>
          <w:szCs w:val="28"/>
        </w:rPr>
        <w:t>Saldo de la deuda / ingresos corrientes</w:t>
      </w:r>
    </w:p>
    <w:p w14:paraId="47AAB2E8" w14:textId="77777777" w:rsidR="0083520B" w:rsidRPr="00DF4504" w:rsidRDefault="0083520B" w:rsidP="0083520B">
      <w:pPr>
        <w:pStyle w:val="figuratitulo"/>
        <w:jc w:val="both"/>
        <w:rPr>
          <w:rFonts w:cs="Times New Roman (Cuerpo en alfa"/>
          <w:spacing w:val="-10"/>
        </w:rPr>
        <w:sectPr w:rsidR="0083520B" w:rsidRPr="00DF4504" w:rsidSect="00F7078E">
          <w:type w:val="continuous"/>
          <w:pgSz w:w="12240" w:h="15840"/>
          <w:pgMar w:top="2262" w:right="1440" w:bottom="1440" w:left="1440" w:header="708" w:footer="708" w:gutter="0"/>
          <w:cols w:space="567"/>
        </w:sectPr>
      </w:pPr>
      <w:r w:rsidRPr="00DF4504">
        <w:rPr>
          <w:rFonts w:ascii="Times New Roman" w:hAnsi="Times New Roman" w:cs="Times New Roman"/>
          <w:b/>
          <w:bCs/>
          <w:noProof/>
          <w:spacing w:val="-10"/>
          <w:sz w:val="24"/>
        </w:rPr>
        <w:drawing>
          <wp:anchor distT="0" distB="0" distL="114300" distR="114300" simplePos="0" relativeHeight="251692032" behindDoc="1" locked="0" layoutInCell="1" allowOverlap="1" wp14:anchorId="2D5B2CF1" wp14:editId="09AA86CD">
            <wp:simplePos x="0" y="0"/>
            <wp:positionH relativeFrom="margin">
              <wp:align>right</wp:align>
            </wp:positionH>
            <wp:positionV relativeFrom="paragraph">
              <wp:posOffset>43180</wp:posOffset>
            </wp:positionV>
            <wp:extent cx="5724525" cy="2461260"/>
            <wp:effectExtent l="0" t="0" r="0" b="0"/>
            <wp:wrapSquare wrapText="bothSides"/>
            <wp:docPr id="17665393" name="Gráfico 1">
              <a:extLst xmlns:a="http://schemas.openxmlformats.org/drawingml/2006/main">
                <a:ext uri="{FF2B5EF4-FFF2-40B4-BE49-F238E27FC236}">
                  <a16:creationId xmlns:a16="http://schemas.microsoft.com/office/drawing/2014/main" id="{1ED34410-A7BA-D173-0746-5A252C09FD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14:sizeRelH relativeFrom="margin">
              <wp14:pctWidth>0</wp14:pctWidth>
            </wp14:sizeRelH>
            <wp14:sizeRelV relativeFrom="margin">
              <wp14:pctHeight>0</wp14:pctHeight>
            </wp14:sizeRelV>
          </wp:anchor>
        </w:drawing>
      </w:r>
    </w:p>
    <w:p w14:paraId="49713C61" w14:textId="77777777" w:rsidR="0083520B" w:rsidRPr="00DF4504" w:rsidRDefault="0083520B" w:rsidP="0083520B">
      <w:pPr>
        <w:pStyle w:val="figuratitulo"/>
        <w:rPr>
          <w:rFonts w:cs="Times New Roman (Cuerpo en alfa"/>
          <w:b/>
          <w:color w:val="3B3838" w:themeColor="background2" w:themeShade="40"/>
          <w:spacing w:val="-10"/>
        </w:rPr>
        <w:sectPr w:rsidR="0083520B" w:rsidRPr="00DF4504" w:rsidSect="00F7078E">
          <w:type w:val="continuous"/>
          <w:pgSz w:w="12240" w:h="15840"/>
          <w:pgMar w:top="2262" w:right="1440" w:bottom="1440" w:left="1440" w:header="708" w:footer="708" w:gutter="0"/>
          <w:cols w:num="2" w:space="567"/>
        </w:sectPr>
      </w:pPr>
    </w:p>
    <w:p w14:paraId="18262869" w14:textId="77777777" w:rsidR="0083520B" w:rsidRPr="00DF4504" w:rsidRDefault="0083520B" w:rsidP="0083520B">
      <w:pPr>
        <w:pStyle w:val="figuratitulo"/>
        <w:rPr>
          <w:rFonts w:cs="Times New Roman (Cuerpo en alfa"/>
          <w:color w:val="3B3838" w:themeColor="background2" w:themeShade="40"/>
          <w:spacing w:val="-10"/>
        </w:rPr>
      </w:pPr>
      <w:r w:rsidRPr="00DF4504">
        <w:rPr>
          <w:rFonts w:cs="Times New Roman (Cuerpo en alfa"/>
          <w:b/>
          <w:color w:val="3B3838" w:themeColor="background2" w:themeShade="40"/>
          <w:spacing w:val="-10"/>
        </w:rPr>
        <w:t>Fuente:</w:t>
      </w:r>
      <w:r w:rsidRPr="00DF4504">
        <w:rPr>
          <w:rFonts w:cs="Times New Roman (Cuerpo en alfa"/>
          <w:color w:val="3B3838" w:themeColor="background2" w:themeShade="40"/>
          <w:spacing w:val="-10"/>
        </w:rPr>
        <w:t xml:space="preserve"> Secretaría Distrital de Hacienda, Dirección Distrital de Crédito Público.</w:t>
      </w:r>
    </w:p>
    <w:p w14:paraId="0AE90F73" w14:textId="77777777" w:rsidR="0083520B" w:rsidRPr="00DF4504" w:rsidRDefault="0083520B" w:rsidP="0083520B">
      <w:pPr>
        <w:pStyle w:val="figuratitulo"/>
        <w:rPr>
          <w:rFonts w:cs="Times New Roman (Cuerpo en alfa"/>
          <w:spacing w:val="-10"/>
        </w:rPr>
        <w:sectPr w:rsidR="0083520B" w:rsidRPr="00DF4504" w:rsidSect="00F7078E">
          <w:type w:val="continuous"/>
          <w:pgSz w:w="12240" w:h="15840"/>
          <w:pgMar w:top="2262" w:right="1440" w:bottom="1440" w:left="1440" w:header="708" w:footer="708" w:gutter="0"/>
          <w:cols w:space="567"/>
        </w:sectPr>
      </w:pPr>
    </w:p>
    <w:p w14:paraId="2A02774F" w14:textId="77777777" w:rsidR="0083520B" w:rsidRPr="00DF4504" w:rsidRDefault="0083520B" w:rsidP="0083520B">
      <w:pPr>
        <w:pStyle w:val="figuratitulo"/>
        <w:rPr>
          <w:rFonts w:cs="Times New Roman (Cuerpo en alfa"/>
          <w:spacing w:val="-10"/>
        </w:rPr>
      </w:pPr>
    </w:p>
    <w:p w14:paraId="3BA7E4F2" w14:textId="77777777" w:rsidR="0083520B" w:rsidRPr="00DF4504" w:rsidRDefault="0083520B" w:rsidP="0083520B">
      <w:pPr>
        <w:pStyle w:val="figuratitulo"/>
        <w:rPr>
          <w:rFonts w:cs="Times New Roman (Cuerpo en alfa"/>
          <w:spacing w:val="-10"/>
        </w:rPr>
      </w:pPr>
    </w:p>
    <w:p w14:paraId="3306EA30" w14:textId="77777777" w:rsidR="0083520B" w:rsidRPr="00DF4504" w:rsidRDefault="0083520B" w:rsidP="0083520B">
      <w:pPr>
        <w:pStyle w:val="figuratitulo"/>
        <w:rPr>
          <w:rFonts w:cs="Times New Roman (Cuerpo en alfa"/>
          <w:spacing w:val="-10"/>
        </w:rPr>
        <w:sectPr w:rsidR="0083520B" w:rsidRPr="00DF4504" w:rsidSect="00F7078E">
          <w:type w:val="continuous"/>
          <w:pgSz w:w="12240" w:h="15840"/>
          <w:pgMar w:top="2262" w:right="1440" w:bottom="1440" w:left="1440" w:header="708" w:footer="708" w:gutter="0"/>
          <w:cols w:num="2" w:space="567"/>
        </w:sectPr>
      </w:pPr>
    </w:p>
    <w:p w14:paraId="6EAB5DE2" w14:textId="3F3D86B6" w:rsidR="005104D1" w:rsidRDefault="0083520B" w:rsidP="005104D1">
      <w:pPr>
        <w:pStyle w:val="figuratitulo"/>
        <w:spacing w:line="260" w:lineRule="exact"/>
        <w:jc w:val="both"/>
        <w:rPr>
          <w:rFonts w:cs="Times New Roman (Cuerpo en alfa"/>
          <w:spacing w:val="-10"/>
        </w:rPr>
      </w:pPr>
      <w:r w:rsidRPr="00DF4504">
        <w:rPr>
          <w:rFonts w:cs="Times New Roman (Cuerpo en alfa"/>
          <w:color w:val="3B3838" w:themeColor="background2" w:themeShade="40"/>
          <w:spacing w:val="-10"/>
          <w:sz w:val="22"/>
        </w:rPr>
        <w:t xml:space="preserve">Como se </w:t>
      </w:r>
      <w:r w:rsidRPr="00822CEB">
        <w:rPr>
          <w:rFonts w:cs="Times New Roman (Cuerpo en alfa"/>
          <w:color w:val="3B3838" w:themeColor="background2" w:themeShade="40"/>
          <w:spacing w:val="-10"/>
          <w:sz w:val="22"/>
        </w:rPr>
        <w:t xml:space="preserve">observa, el indicador de sostenibilidad de la deuda, calculado como el cociente entre el saldo de la deuda y los ingresos corrientes, pasó de 22,9 % en 2019 a 56,2 % en 2023, comportamiento derivado del </w:t>
      </w:r>
      <w:r w:rsidRPr="00822CEB">
        <w:rPr>
          <w:rFonts w:cs="Times New Roman (Cuerpo en alfa"/>
          <w:color w:val="3B3838" w:themeColor="background2" w:themeShade="40"/>
          <w:spacing w:val="-10"/>
          <w:sz w:val="22"/>
        </w:rPr>
        <w:t>incremento en el saldo de la deuda, el cual se pasó de 2,5 billones de pesos a 9,3 billones de pesos en este periodo.</w:t>
      </w:r>
      <w:r w:rsidR="005104D1">
        <w:rPr>
          <w:rFonts w:cs="Times New Roman (Cuerpo en alfa"/>
          <w:color w:val="3B3838" w:themeColor="background2" w:themeShade="40"/>
          <w:spacing w:val="-10"/>
          <w:sz w:val="22"/>
        </w:rPr>
        <w:br w:type="page"/>
      </w:r>
    </w:p>
    <w:p w14:paraId="28A2D519" w14:textId="77777777" w:rsidR="0083520B" w:rsidRPr="00DF4504" w:rsidRDefault="0083520B" w:rsidP="0083520B">
      <w:pPr>
        <w:pStyle w:val="figuratitulo"/>
        <w:spacing w:line="260" w:lineRule="exact"/>
        <w:jc w:val="both"/>
        <w:rPr>
          <w:b/>
          <w:bCs/>
          <w:color w:val="3B3838" w:themeColor="background2" w:themeShade="40"/>
          <w:spacing w:val="-10"/>
          <w:sz w:val="14"/>
          <w:szCs w:val="20"/>
        </w:rPr>
        <w:sectPr w:rsidR="0083520B" w:rsidRPr="00DF4504" w:rsidSect="00F7078E">
          <w:footerReference w:type="default" r:id="rId74"/>
          <w:type w:val="continuous"/>
          <w:pgSz w:w="12240" w:h="15840"/>
          <w:pgMar w:top="2262" w:right="1440" w:bottom="1440" w:left="1440" w:header="708" w:footer="680" w:gutter="0"/>
          <w:cols w:num="2" w:space="567"/>
          <w:docGrid w:linePitch="299"/>
        </w:sectPr>
      </w:pPr>
    </w:p>
    <w:p w14:paraId="28FB1374" w14:textId="77777777" w:rsidR="0083520B" w:rsidRDefault="0083520B" w:rsidP="0083520B">
      <w:pPr>
        <w:pStyle w:val="figuratitulo"/>
        <w:jc w:val="both"/>
        <w:rPr>
          <w:b/>
          <w:bCs/>
          <w:color w:val="3B3838" w:themeColor="background2" w:themeShade="40"/>
          <w:sz w:val="14"/>
          <w:szCs w:val="20"/>
        </w:rPr>
        <w:sectPr w:rsidR="0083520B" w:rsidSect="00F7078E">
          <w:type w:val="continuous"/>
          <w:pgSz w:w="12240" w:h="15840"/>
          <w:pgMar w:top="2262" w:right="1440" w:bottom="1440" w:left="1440" w:header="708" w:footer="708" w:gutter="0"/>
          <w:cols w:space="567"/>
        </w:sectPr>
      </w:pPr>
    </w:p>
    <w:p w14:paraId="1655ABD9" w14:textId="211915A2" w:rsidR="005104D1" w:rsidRPr="005104D1" w:rsidRDefault="005104D1" w:rsidP="005104D1">
      <w:pPr>
        <w:jc w:val="center"/>
        <w:rPr>
          <w:rFonts w:eastAsia="Arial" w:cs="Arial"/>
          <w:b/>
          <w:bCs/>
          <w:sz w:val="18"/>
          <w:szCs w:val="20"/>
        </w:rPr>
      </w:pPr>
      <w:bookmarkStart w:id="132" w:name="_Toc165169849"/>
      <w:r w:rsidRPr="005104D1">
        <w:rPr>
          <w:b/>
          <w:bCs/>
          <w:color w:val="C00000"/>
          <w:sz w:val="18"/>
          <w:szCs w:val="20"/>
        </w:rPr>
        <w:t xml:space="preserve">Gráfica </w:t>
      </w:r>
      <w:r w:rsidRPr="005104D1">
        <w:rPr>
          <w:b/>
          <w:bCs/>
          <w:color w:val="C00000"/>
          <w:sz w:val="18"/>
          <w:szCs w:val="20"/>
        </w:rPr>
        <w:fldChar w:fldCharType="begin"/>
      </w:r>
      <w:r w:rsidRPr="005104D1">
        <w:rPr>
          <w:b/>
          <w:bCs/>
          <w:color w:val="C00000"/>
          <w:sz w:val="18"/>
          <w:szCs w:val="20"/>
        </w:rPr>
        <w:instrText xml:space="preserve"> SEQ Gráfica \* ARABIC </w:instrText>
      </w:r>
      <w:r w:rsidRPr="005104D1">
        <w:rPr>
          <w:b/>
          <w:bCs/>
          <w:color w:val="C00000"/>
          <w:sz w:val="18"/>
          <w:szCs w:val="20"/>
        </w:rPr>
        <w:fldChar w:fldCharType="separate"/>
      </w:r>
      <w:r w:rsidR="00D01651">
        <w:rPr>
          <w:b/>
          <w:bCs/>
          <w:noProof/>
          <w:color w:val="C00000"/>
          <w:sz w:val="18"/>
          <w:szCs w:val="20"/>
        </w:rPr>
        <w:t>23</w:t>
      </w:r>
      <w:r w:rsidRPr="005104D1">
        <w:rPr>
          <w:b/>
          <w:bCs/>
          <w:color w:val="C00000"/>
          <w:sz w:val="18"/>
          <w:szCs w:val="20"/>
        </w:rPr>
        <w:fldChar w:fldCharType="end"/>
      </w:r>
      <w:r w:rsidRPr="005104D1">
        <w:rPr>
          <w:b/>
          <w:bCs/>
          <w:color w:val="C00000"/>
          <w:sz w:val="18"/>
          <w:szCs w:val="20"/>
        </w:rPr>
        <w:t xml:space="preserve">. </w:t>
      </w:r>
      <w:r w:rsidRPr="005104D1">
        <w:rPr>
          <w:rFonts w:eastAsia="Arial" w:cs="Arial"/>
          <w:b/>
          <w:bCs/>
          <w:sz w:val="18"/>
          <w:szCs w:val="20"/>
        </w:rPr>
        <w:t>Saldo de la deuda pública Distrito Capital 2010-2023</w:t>
      </w:r>
      <w:bookmarkEnd w:id="132"/>
    </w:p>
    <w:tbl>
      <w:tblPr>
        <w:tblW w:w="9862" w:type="dxa"/>
        <w:tblBorders>
          <w:top w:val="nil"/>
          <w:left w:val="nil"/>
          <w:bottom w:val="nil"/>
          <w:right w:val="nil"/>
          <w:insideH w:val="nil"/>
          <w:insideV w:val="nil"/>
        </w:tblBorders>
        <w:tblLayout w:type="fixed"/>
        <w:tblLook w:val="0400" w:firstRow="0" w:lastRow="0" w:firstColumn="0" w:lastColumn="0" w:noHBand="0" w:noVBand="1"/>
      </w:tblPr>
      <w:tblGrid>
        <w:gridCol w:w="4442"/>
        <w:gridCol w:w="5420"/>
      </w:tblGrid>
      <w:tr w:rsidR="0083520B" w14:paraId="22D74FC0" w14:textId="77777777" w:rsidTr="00FF1F9A">
        <w:trPr>
          <w:trHeight w:val="4682"/>
        </w:trPr>
        <w:tc>
          <w:tcPr>
            <w:tcW w:w="4442" w:type="dxa"/>
          </w:tcPr>
          <w:p w14:paraId="76291B20" w14:textId="77777777" w:rsidR="0083520B" w:rsidRPr="00822CEB" w:rsidRDefault="0083520B" w:rsidP="00FF1F9A">
            <w:pPr>
              <w:jc w:val="center"/>
              <w:rPr>
                <w:rFonts w:eastAsia="Arial" w:cs="Arial"/>
                <w:b/>
              </w:rPr>
            </w:pPr>
            <w:r w:rsidRPr="00822CEB">
              <w:rPr>
                <w:rFonts w:eastAsia="Arial" w:cs="Arial"/>
                <w:b/>
              </w:rPr>
              <w:t>Saldo de la deuda pública Distrito Capital 2010-2023</w:t>
            </w:r>
          </w:p>
          <w:p w14:paraId="2202A47F" w14:textId="77777777" w:rsidR="0083520B" w:rsidRPr="00822CEB" w:rsidRDefault="0083520B" w:rsidP="00FF1F9A">
            <w:pPr>
              <w:jc w:val="center"/>
              <w:rPr>
                <w:rFonts w:eastAsia="Arial" w:cs="Arial"/>
                <w:b/>
              </w:rPr>
            </w:pPr>
            <w:r w:rsidRPr="00822CEB">
              <w:rPr>
                <w:noProof/>
                <w:szCs w:val="22"/>
              </w:rPr>
              <w:drawing>
                <wp:anchor distT="0" distB="0" distL="114300" distR="114300" simplePos="0" relativeHeight="251694080" behindDoc="0" locked="0" layoutInCell="1" allowOverlap="1" wp14:anchorId="7D231D38" wp14:editId="6E0221F7">
                  <wp:simplePos x="0" y="0"/>
                  <wp:positionH relativeFrom="column">
                    <wp:posOffset>-68580</wp:posOffset>
                  </wp:positionH>
                  <wp:positionV relativeFrom="paragraph">
                    <wp:posOffset>191135</wp:posOffset>
                  </wp:positionV>
                  <wp:extent cx="2731770" cy="2318385"/>
                  <wp:effectExtent l="0" t="0" r="0" b="5715"/>
                  <wp:wrapSquare wrapText="bothSides"/>
                  <wp:docPr id="1695009299" name="Gráfico 169500929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anchor>
              </w:drawing>
            </w:r>
            <w:r w:rsidRPr="00822CEB">
              <w:rPr>
                <w:rFonts w:eastAsia="Arial" w:cs="Arial"/>
                <w:szCs w:val="22"/>
              </w:rPr>
              <w:t>Billones de pesos</w:t>
            </w:r>
          </w:p>
          <w:p w14:paraId="5A6D5801" w14:textId="77777777" w:rsidR="0083520B" w:rsidRPr="00822CEB" w:rsidRDefault="0083520B" w:rsidP="00FF1F9A">
            <w:pPr>
              <w:jc w:val="center"/>
              <w:rPr>
                <w:rFonts w:eastAsia="Arial" w:cs="Arial"/>
                <w:b/>
              </w:rPr>
            </w:pPr>
          </w:p>
        </w:tc>
        <w:tc>
          <w:tcPr>
            <w:tcW w:w="5420" w:type="dxa"/>
          </w:tcPr>
          <w:p w14:paraId="3F604BE6" w14:textId="77777777" w:rsidR="0083520B" w:rsidRPr="00822CEB" w:rsidRDefault="0083520B" w:rsidP="00FF1F9A">
            <w:pPr>
              <w:jc w:val="center"/>
              <w:rPr>
                <w:rFonts w:eastAsia="Arial" w:cs="Arial"/>
                <w:b/>
              </w:rPr>
            </w:pPr>
            <w:r w:rsidRPr="00822CEB">
              <w:rPr>
                <w:rFonts w:eastAsia="Arial" w:cs="Arial"/>
                <w:b/>
              </w:rPr>
              <w:t>Servicio de la deuda pública</w:t>
            </w:r>
            <w:r w:rsidRPr="00822CEB">
              <w:rPr>
                <w:rFonts w:eastAsia="Arial" w:cs="Arial"/>
                <w:b/>
                <w:color w:val="C00000"/>
              </w:rPr>
              <w:t>*</w:t>
            </w:r>
            <w:r w:rsidRPr="00822CEB">
              <w:rPr>
                <w:rFonts w:eastAsia="Arial" w:cs="Arial"/>
                <w:b/>
              </w:rPr>
              <w:t xml:space="preserve"> Distrito Capital 2010-2027 proyectado</w:t>
            </w:r>
          </w:p>
          <w:p w14:paraId="6C4C8860" w14:textId="77777777" w:rsidR="0083520B" w:rsidRPr="00182EA1" w:rsidRDefault="0083520B" w:rsidP="00FF1F9A">
            <w:pPr>
              <w:jc w:val="center"/>
              <w:rPr>
                <w:rFonts w:eastAsia="Arial" w:cs="Arial"/>
              </w:rPr>
            </w:pPr>
            <w:r w:rsidRPr="00822CEB">
              <w:rPr>
                <w:noProof/>
                <w:szCs w:val="22"/>
              </w:rPr>
              <w:drawing>
                <wp:anchor distT="0" distB="0" distL="114300" distR="114300" simplePos="0" relativeHeight="251695104" behindDoc="0" locked="0" layoutInCell="1" allowOverlap="1" wp14:anchorId="6B41ADA4" wp14:editId="62DDE31C">
                  <wp:simplePos x="0" y="0"/>
                  <wp:positionH relativeFrom="column">
                    <wp:posOffset>92075</wp:posOffset>
                  </wp:positionH>
                  <wp:positionV relativeFrom="paragraph">
                    <wp:posOffset>182880</wp:posOffset>
                  </wp:positionV>
                  <wp:extent cx="3048000" cy="2305050"/>
                  <wp:effectExtent l="0" t="0" r="0" b="0"/>
                  <wp:wrapSquare wrapText="bothSides"/>
                  <wp:docPr id="1695009298" name="Gráfico 169500929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14:sizeRelV relativeFrom="margin">
                    <wp14:pctHeight>0</wp14:pctHeight>
                  </wp14:sizeRelV>
                </wp:anchor>
              </w:drawing>
            </w:r>
            <w:r w:rsidRPr="00822CEB">
              <w:rPr>
                <w:rFonts w:eastAsia="Arial" w:cs="Arial"/>
                <w:szCs w:val="22"/>
              </w:rPr>
              <w:t>Billones de pesos de 2024</w:t>
            </w:r>
          </w:p>
          <w:p w14:paraId="4F18B233" w14:textId="77777777" w:rsidR="0083520B" w:rsidRDefault="0083520B" w:rsidP="00FF1F9A">
            <w:pPr>
              <w:jc w:val="center"/>
              <w:rPr>
                <w:rFonts w:ascii="Arial" w:eastAsia="Arial" w:hAnsi="Arial" w:cs="Arial"/>
              </w:rPr>
            </w:pPr>
          </w:p>
          <w:p w14:paraId="01793AF4" w14:textId="77777777" w:rsidR="0083520B" w:rsidRDefault="0083520B" w:rsidP="00FF1F9A">
            <w:pPr>
              <w:tabs>
                <w:tab w:val="left" w:pos="737"/>
                <w:tab w:val="center" w:pos="2250"/>
              </w:tabs>
              <w:rPr>
                <w:rFonts w:ascii="Arial" w:eastAsia="Arial" w:hAnsi="Arial" w:cs="Arial"/>
                <w:b/>
              </w:rPr>
            </w:pPr>
            <w:r>
              <w:rPr>
                <w:rFonts w:ascii="Arial" w:eastAsia="Arial" w:hAnsi="Arial" w:cs="Arial"/>
                <w:b/>
              </w:rPr>
              <w:tab/>
            </w:r>
          </w:p>
        </w:tc>
      </w:tr>
    </w:tbl>
    <w:p w14:paraId="391B3991" w14:textId="77777777" w:rsidR="0083520B" w:rsidRPr="00182EA1" w:rsidRDefault="0083520B" w:rsidP="0083520B">
      <w:pPr>
        <w:pStyle w:val="figuratitulo"/>
        <w:rPr>
          <w:color w:val="3B3838" w:themeColor="background2" w:themeShade="40"/>
          <w:spacing w:val="-6"/>
        </w:rPr>
      </w:pPr>
      <w:r w:rsidRPr="00182EA1">
        <w:rPr>
          <w:spacing w:val="-6"/>
        </w:rPr>
        <w:t>*</w:t>
      </w:r>
      <w:r w:rsidRPr="00182EA1">
        <w:rPr>
          <w:color w:val="3B3838" w:themeColor="background2" w:themeShade="40"/>
          <w:spacing w:val="-6"/>
        </w:rPr>
        <w:t xml:space="preserve"> El servicio de la deuda incluye los compromisos de principal, intereses, comisiones y otros gastos de deuda interna y externa.</w:t>
      </w:r>
    </w:p>
    <w:p w14:paraId="647C3339" w14:textId="77777777" w:rsidR="0083520B" w:rsidRPr="00182EA1" w:rsidRDefault="0083520B" w:rsidP="0083520B">
      <w:pPr>
        <w:pStyle w:val="figuratitulo"/>
        <w:rPr>
          <w:color w:val="3B3838" w:themeColor="background2" w:themeShade="40"/>
          <w:spacing w:val="-6"/>
        </w:rPr>
      </w:pPr>
      <w:r w:rsidRPr="00182EA1">
        <w:rPr>
          <w:b/>
          <w:bCs/>
          <w:color w:val="3B3838" w:themeColor="background2" w:themeShade="40"/>
          <w:spacing w:val="-6"/>
        </w:rPr>
        <w:t>Fuente:</w:t>
      </w:r>
      <w:r w:rsidRPr="00182EA1">
        <w:rPr>
          <w:color w:val="3B3838" w:themeColor="background2" w:themeShade="40"/>
          <w:spacing w:val="-6"/>
        </w:rPr>
        <w:t xml:space="preserve"> Secretaría Distrital de Hacienda – Dirección Distrital de Crédito Público</w:t>
      </w:r>
    </w:p>
    <w:p w14:paraId="0BC5F511" w14:textId="77777777" w:rsidR="0083520B" w:rsidRPr="00516CB0" w:rsidRDefault="0083520B" w:rsidP="0083520B">
      <w:pPr>
        <w:pStyle w:val="figuratitulo"/>
        <w:jc w:val="both"/>
        <w:rPr>
          <w:rFonts w:cs="Times New Roman (Cuerpo en alfa"/>
          <w:spacing w:val="-6"/>
        </w:rPr>
        <w:sectPr w:rsidR="0083520B" w:rsidRPr="00516CB0" w:rsidSect="00F7078E">
          <w:type w:val="continuous"/>
          <w:pgSz w:w="12240" w:h="15840"/>
          <w:pgMar w:top="2262" w:right="1440" w:bottom="1440" w:left="1440" w:header="708" w:footer="708" w:gutter="0"/>
          <w:cols w:space="567"/>
        </w:sectPr>
      </w:pPr>
    </w:p>
    <w:p w14:paraId="44573B1B" w14:textId="77777777" w:rsidR="0083520B" w:rsidRDefault="0083520B" w:rsidP="0083520B">
      <w:pPr>
        <w:pStyle w:val="figuratitulo"/>
        <w:jc w:val="both"/>
        <w:rPr>
          <w:rFonts w:cs="Times New Roman (Cuerpo en alfa"/>
          <w:b/>
          <w:color w:val="3B3838" w:themeColor="background2" w:themeShade="40"/>
          <w:spacing w:val="-6"/>
        </w:rPr>
        <w:sectPr w:rsidR="0083520B" w:rsidSect="00F7078E">
          <w:type w:val="continuous"/>
          <w:pgSz w:w="12240" w:h="15840"/>
          <w:pgMar w:top="2262" w:right="1440" w:bottom="1440" w:left="1440" w:header="708" w:footer="708" w:gutter="0"/>
          <w:cols w:num="2" w:space="567"/>
        </w:sectPr>
      </w:pPr>
    </w:p>
    <w:p w14:paraId="084FFF17" w14:textId="77777777" w:rsidR="0083520B" w:rsidRDefault="0083520B" w:rsidP="0083520B">
      <w:pPr>
        <w:rPr>
          <w:rFonts w:cs="Times New Roman (Cuerpo en alfa"/>
          <w:spacing w:val="-8"/>
        </w:rPr>
      </w:pPr>
      <w:r w:rsidRPr="003D5B94">
        <w:rPr>
          <w:rFonts w:cs="Times New Roman (Cuerpo en alfa"/>
          <w:spacing w:val="-8"/>
        </w:rPr>
        <w:t>S</w:t>
      </w:r>
      <w:r w:rsidRPr="00C075CD">
        <w:rPr>
          <w:rFonts w:cs="Times New Roman (Cuerpo en alfa"/>
          <w:spacing w:val="-8"/>
        </w:rPr>
        <w:t>i bien, como se indicó anteriormente, el servicio de la deuda aumentó en el periodo 2020-2023 ubicándose alrededor de 2,5 billones de pesos de 2024, para el periodo 2024- 2027 se estima que el servicio de la deuda continúe en aumento, acercándose a la cifra de 8 billones de pesos de 2024, debido a los intereses y amortizaciones que se deben pagar por la deuda adquirida en el periodo anterior. Dado que los recursos para el pago del servicio de la deuda corresponden a los recursos ordinarios del Distrito, este incremento disminuye el espacio disponible para destinar a inversión. Si bien es posible llevar a cabo operaciones de manejo de deuda, estas dependen de las condiciones del mercado para determinar su impacto</w:t>
      </w:r>
      <w:r w:rsidRPr="003D5B94">
        <w:rPr>
          <w:rFonts w:cs="Times New Roman (Cuerpo en alfa"/>
          <w:spacing w:val="-8"/>
        </w:rPr>
        <w:t>.</w:t>
      </w:r>
    </w:p>
    <w:p w14:paraId="0E03A02D" w14:textId="77777777" w:rsidR="00FC5891" w:rsidRDefault="00FC5891" w:rsidP="0083520B">
      <w:pPr>
        <w:rPr>
          <w:rFonts w:cs="Times New Roman (Cuerpo en alfa"/>
          <w:spacing w:val="-8"/>
        </w:rPr>
      </w:pPr>
    </w:p>
    <w:p w14:paraId="015F0A78" w14:textId="543EF32B" w:rsidR="0083520B" w:rsidRPr="001F686D" w:rsidRDefault="0083520B" w:rsidP="0083520B">
      <w:pPr>
        <w:rPr>
          <w:rFonts w:cs="Times New Roman (Cuerpo en alfa"/>
          <w:spacing w:val="-10"/>
        </w:rPr>
      </w:pPr>
      <w:r w:rsidRPr="001F686D">
        <w:rPr>
          <w:rFonts w:cs="Times New Roman (Cuerpo en alfa"/>
          <w:spacing w:val="-10"/>
        </w:rPr>
        <w:t xml:space="preserve">Por otra parte, la financiación del Fondo de Estabilización Tarifaria (FET) para el sistema de movilidad de la ciudad en el periodo 2020-2023 incluyó recursos por el orden de los 11 billones de pesos, de los cuales el </w:t>
      </w:r>
      <w:r w:rsidRPr="001F686D">
        <w:rPr>
          <w:rFonts w:cs="Times New Roman (Cuerpo en alfa"/>
          <w:spacing w:val="-10"/>
        </w:rPr>
        <w:t>Gobierno nacional aportó para su financiamiento recursos por el orden de 1,3 billones de pesos (1,6 billones de</w:t>
      </w:r>
      <w:r>
        <w:rPr>
          <w:rFonts w:cs="Times New Roman (Cuerpo en alfa"/>
          <w:spacing w:val="-10"/>
        </w:rPr>
        <w:t xml:space="preserve"> </w:t>
      </w:r>
      <w:r w:rsidRPr="001F686D">
        <w:rPr>
          <w:rFonts w:cs="Times New Roman (Cuerpo en alfa"/>
          <w:spacing w:val="-10"/>
        </w:rPr>
        <w:t>pesos de 2024), cifra que alcanzó en 2023 un valor de 3,2 billones de pesos de 2024</w:t>
      </w:r>
      <w:r w:rsidRPr="001F686D">
        <w:rPr>
          <w:rStyle w:val="Refdenotaalpie"/>
          <w:rFonts w:cs="Times New Roman (Cuerpo en alfa"/>
          <w:b/>
          <w:bCs/>
          <w:color w:val="C00000"/>
          <w:spacing w:val="-10"/>
        </w:rPr>
        <w:footnoteReference w:id="4"/>
      </w:r>
      <w:r w:rsidRPr="001F686D">
        <w:rPr>
          <w:rFonts w:cs="Times New Roman (Cuerpo en alfa"/>
          <w:spacing w:val="-10"/>
        </w:rPr>
        <w:t>, y que hace base en el mediano plazo en el caso en que no se implementen medidas para atenuar dicho costo para la ciudad. Este monto también resta espacio para la destinación de recursos a la inversión.</w:t>
      </w:r>
    </w:p>
    <w:p w14:paraId="36215F28" w14:textId="77777777" w:rsidR="0083520B" w:rsidRPr="001F686D" w:rsidRDefault="0083520B" w:rsidP="0083520B">
      <w:pPr>
        <w:rPr>
          <w:rFonts w:cs="Times New Roman (Cuerpo en alfa"/>
          <w:spacing w:val="-10"/>
        </w:rPr>
      </w:pPr>
    </w:p>
    <w:p w14:paraId="394C58E6" w14:textId="77777777" w:rsidR="0083520B" w:rsidRPr="00822CEB" w:rsidRDefault="0083520B" w:rsidP="0083520B">
      <w:pPr>
        <w:rPr>
          <w:rFonts w:cs="Times New Roman (Cuerpo en alfa"/>
          <w:spacing w:val="-10"/>
        </w:rPr>
      </w:pPr>
      <w:r w:rsidRPr="001F686D">
        <w:rPr>
          <w:rFonts w:cs="Times New Roman (Cuerpo en alfa"/>
          <w:spacing w:val="-10"/>
        </w:rPr>
        <w:t xml:space="preserve">Sin embargo, la Administración distrital, en cabeza de la Secretaría de Movilidad y la Secretaría de Hacienda, implementará una serie de medidas con el objetivo de reducir la brecha de la tarifa técnica y evitar que esta se convierta en un limitante de las finanzas distritales hacia el futuro. Estas acciones incluyen el fortalecimiento de las medidas contra la evasión, eficiencia operacional del sistema, mejor gestión de </w:t>
      </w:r>
      <w:r w:rsidRPr="00822CEB">
        <w:rPr>
          <w:rFonts w:cs="Times New Roman (Cuerpo en alfa"/>
          <w:spacing w:val="-10"/>
        </w:rPr>
        <w:t xml:space="preserve">fuentes específicas para el FET, y la renovación de flota con cofinanciación de la Nación, principalmente. </w:t>
      </w:r>
    </w:p>
    <w:p w14:paraId="40FB4CEA" w14:textId="77777777" w:rsidR="0083520B" w:rsidRPr="00822CEB" w:rsidRDefault="0083520B" w:rsidP="0083520B">
      <w:pPr>
        <w:sectPr w:rsidR="0083520B" w:rsidRPr="00822CEB" w:rsidSect="00F7078E">
          <w:type w:val="continuous"/>
          <w:pgSz w:w="12240" w:h="15840"/>
          <w:pgMar w:top="2262" w:right="1440" w:bottom="1440" w:left="1440" w:header="708" w:footer="680" w:gutter="0"/>
          <w:cols w:num="2" w:space="567"/>
          <w:docGrid w:linePitch="299"/>
        </w:sectPr>
      </w:pPr>
    </w:p>
    <w:p w14:paraId="61941D13" w14:textId="0C00503C" w:rsidR="0083520B" w:rsidRPr="00A923E9" w:rsidRDefault="00C72B66" w:rsidP="00A923E9">
      <w:pPr>
        <w:pStyle w:val="Descripcin"/>
        <w:jc w:val="center"/>
        <w:rPr>
          <w:rFonts w:cs="Times New Roman (Cuerpo en alfa"/>
          <w:spacing w:val="-6"/>
          <w:sz w:val="18"/>
          <w:szCs w:val="14"/>
        </w:rPr>
      </w:pPr>
      <w:bookmarkStart w:id="133" w:name="_Toc165169850"/>
      <w:r w:rsidRPr="00C72B66">
        <w:rPr>
          <w:color w:val="C00000"/>
          <w:sz w:val="18"/>
          <w:szCs w:val="14"/>
        </w:rPr>
        <w:lastRenderedPageBreak/>
        <w:t xml:space="preserve">Gráfica </w:t>
      </w:r>
      <w:r w:rsidRPr="00C72B66">
        <w:rPr>
          <w:color w:val="C00000"/>
          <w:sz w:val="18"/>
          <w:szCs w:val="14"/>
        </w:rPr>
        <w:fldChar w:fldCharType="begin"/>
      </w:r>
      <w:r w:rsidRPr="00C72B66">
        <w:rPr>
          <w:color w:val="C00000"/>
          <w:sz w:val="18"/>
          <w:szCs w:val="14"/>
        </w:rPr>
        <w:instrText xml:space="preserve"> SEQ Gráfica \* ARABIC </w:instrText>
      </w:r>
      <w:r w:rsidRPr="00C72B66">
        <w:rPr>
          <w:color w:val="C00000"/>
          <w:sz w:val="18"/>
          <w:szCs w:val="14"/>
        </w:rPr>
        <w:fldChar w:fldCharType="separate"/>
      </w:r>
      <w:r w:rsidR="00D01651">
        <w:rPr>
          <w:noProof/>
          <w:color w:val="C00000"/>
          <w:sz w:val="18"/>
          <w:szCs w:val="14"/>
        </w:rPr>
        <w:t>24</w:t>
      </w:r>
      <w:r w:rsidRPr="00C72B66">
        <w:rPr>
          <w:color w:val="C00000"/>
          <w:sz w:val="18"/>
          <w:szCs w:val="14"/>
        </w:rPr>
        <w:fldChar w:fldCharType="end"/>
      </w:r>
      <w:r w:rsidRPr="00C72B66">
        <w:rPr>
          <w:color w:val="C00000"/>
          <w:sz w:val="18"/>
          <w:szCs w:val="14"/>
        </w:rPr>
        <w:t xml:space="preserve">. </w:t>
      </w:r>
      <w:r w:rsidR="0083520B" w:rsidRPr="00C72B66">
        <w:rPr>
          <w:rFonts w:cs="Times New Roman (Cuerpo en alfa"/>
          <w:spacing w:val="-6"/>
          <w:sz w:val="18"/>
          <w:szCs w:val="14"/>
        </w:rPr>
        <w:t>Transferencias de inversión de la Administración Central para FET y FFE * 2012-2023</w:t>
      </w:r>
      <w:bookmarkEnd w:id="133"/>
    </w:p>
    <w:p w14:paraId="0A2C5572" w14:textId="77777777" w:rsidR="0083520B" w:rsidRDefault="0083520B" w:rsidP="0083520B">
      <w:pPr>
        <w:pStyle w:val="figuratitulo"/>
        <w:rPr>
          <w:rFonts w:cs="Times New Roman (Cuerpo en alfa"/>
          <w:color w:val="3B3838" w:themeColor="background2" w:themeShade="40"/>
          <w:spacing w:val="-6"/>
          <w:sz w:val="22"/>
          <w:szCs w:val="28"/>
        </w:rPr>
      </w:pPr>
      <w:r w:rsidRPr="00F549A2">
        <w:rPr>
          <w:rFonts w:ascii="Times New Roman" w:hAnsi="Times New Roman" w:cs="Times New Roman"/>
          <w:noProof/>
          <w:sz w:val="22"/>
          <w:szCs w:val="22"/>
        </w:rPr>
        <w:drawing>
          <wp:anchor distT="0" distB="0" distL="114300" distR="114300" simplePos="0" relativeHeight="251693056" behindDoc="0" locked="0" layoutInCell="1" allowOverlap="1" wp14:anchorId="4F4F449C" wp14:editId="3C6B1826">
            <wp:simplePos x="0" y="0"/>
            <wp:positionH relativeFrom="margin">
              <wp:align>left</wp:align>
            </wp:positionH>
            <wp:positionV relativeFrom="paragraph">
              <wp:posOffset>141605</wp:posOffset>
            </wp:positionV>
            <wp:extent cx="5708650" cy="2733675"/>
            <wp:effectExtent l="0" t="0" r="6350" b="0"/>
            <wp:wrapSquare wrapText="bothSides"/>
            <wp:docPr id="401875192" name="Gráfico 1">
              <a:extLst xmlns:a="http://schemas.openxmlformats.org/drawingml/2006/main">
                <a:ext uri="{FF2B5EF4-FFF2-40B4-BE49-F238E27FC236}">
                  <a16:creationId xmlns:a16="http://schemas.microsoft.com/office/drawing/2014/main" id="{F0E65B70-98FC-46FB-392F-1503E0C806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14:sizeRelH relativeFrom="margin">
              <wp14:pctWidth>0</wp14:pctWidth>
            </wp14:sizeRelH>
            <wp14:sizeRelV relativeFrom="margin">
              <wp14:pctHeight>0</wp14:pctHeight>
            </wp14:sizeRelV>
          </wp:anchor>
        </w:drawing>
      </w:r>
      <w:r w:rsidRPr="00F549A2">
        <w:rPr>
          <w:rFonts w:cs="Times New Roman (Cuerpo en alfa"/>
          <w:color w:val="3B3838" w:themeColor="background2" w:themeShade="40"/>
          <w:spacing w:val="-6"/>
          <w:sz w:val="20"/>
          <w:szCs w:val="26"/>
        </w:rPr>
        <w:t>Billones de pesos de 2024</w:t>
      </w:r>
    </w:p>
    <w:p w14:paraId="61D6AD56" w14:textId="77777777" w:rsidR="0083520B" w:rsidRPr="00294A5A" w:rsidRDefault="0083520B" w:rsidP="0083520B">
      <w:pPr>
        <w:pStyle w:val="figuratitulo"/>
        <w:jc w:val="both"/>
        <w:rPr>
          <w:rFonts w:cs="Times New Roman (Cuerpo en alfa"/>
          <w:color w:val="3B3838" w:themeColor="background2" w:themeShade="40"/>
          <w:spacing w:val="-6"/>
          <w:sz w:val="22"/>
          <w:szCs w:val="28"/>
        </w:rPr>
        <w:sectPr w:rsidR="0083520B" w:rsidRPr="00294A5A" w:rsidSect="00F7078E">
          <w:type w:val="continuous"/>
          <w:pgSz w:w="12240" w:h="15840"/>
          <w:pgMar w:top="2262" w:right="1440" w:bottom="1440" w:left="1440" w:header="708" w:footer="708" w:gutter="0"/>
          <w:cols w:space="567"/>
        </w:sectPr>
      </w:pPr>
    </w:p>
    <w:p w14:paraId="03C49B8E" w14:textId="77777777" w:rsidR="0083520B" w:rsidRPr="00516CB0" w:rsidRDefault="0083520B" w:rsidP="0083520B">
      <w:pPr>
        <w:pStyle w:val="figuratitulo"/>
        <w:jc w:val="both"/>
        <w:rPr>
          <w:rFonts w:cs="Times New Roman (Cuerpo en alfa"/>
          <w:spacing w:val="-6"/>
        </w:rPr>
        <w:sectPr w:rsidR="0083520B" w:rsidRPr="00516CB0" w:rsidSect="00F7078E">
          <w:type w:val="continuous"/>
          <w:pgSz w:w="12240" w:h="15840"/>
          <w:pgMar w:top="2262" w:right="1440" w:bottom="1440" w:left="1440" w:header="708" w:footer="708" w:gutter="0"/>
          <w:cols w:space="567"/>
        </w:sectPr>
      </w:pPr>
    </w:p>
    <w:p w14:paraId="1E5670D1" w14:textId="77777777" w:rsidR="0083520B" w:rsidRDefault="0083520B" w:rsidP="0083520B">
      <w:pPr>
        <w:pStyle w:val="figuratitulo"/>
        <w:rPr>
          <w:rFonts w:cs="Times New Roman (Cuerpo en alfa"/>
          <w:b/>
          <w:color w:val="3B3838" w:themeColor="background2" w:themeShade="40"/>
          <w:spacing w:val="-6"/>
        </w:rPr>
        <w:sectPr w:rsidR="0083520B" w:rsidSect="00F7078E">
          <w:type w:val="continuous"/>
          <w:pgSz w:w="12240" w:h="15840"/>
          <w:pgMar w:top="2262" w:right="1440" w:bottom="1440" w:left="1440" w:header="708" w:footer="708" w:gutter="0"/>
          <w:cols w:num="2" w:space="567"/>
        </w:sectPr>
      </w:pPr>
    </w:p>
    <w:p w14:paraId="7532B2C7" w14:textId="21B8319C" w:rsidR="0083520B" w:rsidRPr="00C075CD" w:rsidRDefault="00C72B66" w:rsidP="0083520B">
      <w:pPr>
        <w:pStyle w:val="figuratitulo"/>
        <w:rPr>
          <w:rFonts w:cs="Times New Roman (Cuerpo en alfa"/>
          <w:bCs/>
          <w:color w:val="3B3838" w:themeColor="background2" w:themeShade="40"/>
          <w:spacing w:val="-6"/>
        </w:rPr>
      </w:pPr>
      <w:r w:rsidRPr="00C075CD">
        <w:rPr>
          <w:rFonts w:cs="Times New Roman (Cuerpo en alfa"/>
          <w:b/>
          <w:spacing w:val="-6"/>
        </w:rPr>
        <w:t>*</w:t>
      </w:r>
      <w:r w:rsidRPr="007934EB">
        <w:rPr>
          <w:rFonts w:cs="Times New Roman (Cuerpo en alfa"/>
          <w:bCs/>
          <w:color w:val="3B3838" w:themeColor="background2" w:themeShade="40"/>
          <w:spacing w:val="-6"/>
        </w:rPr>
        <w:t xml:space="preserve">Corresponden a subsidios, incentivo </w:t>
      </w:r>
      <w:r w:rsidR="0083520B" w:rsidRPr="007934EB">
        <w:rPr>
          <w:rFonts w:cs="Times New Roman (Cuerpo en alfa"/>
          <w:bCs/>
          <w:color w:val="3B3838" w:themeColor="background2" w:themeShade="40"/>
          <w:spacing w:val="-6"/>
        </w:rPr>
        <w:t>SISBEN y diferencial tarifario. FFE: Fondo Fuente Externa.</w:t>
      </w:r>
    </w:p>
    <w:p w14:paraId="3501669E" w14:textId="77777777" w:rsidR="0083520B" w:rsidRPr="00516CB0" w:rsidRDefault="0083520B" w:rsidP="0083520B">
      <w:pPr>
        <w:pStyle w:val="figuratitulo"/>
        <w:rPr>
          <w:rFonts w:cs="Times New Roman (Cuerpo en alfa"/>
          <w:color w:val="3B3838" w:themeColor="background2" w:themeShade="40"/>
          <w:spacing w:val="-6"/>
        </w:rPr>
      </w:pPr>
      <w:r w:rsidRPr="00516CB0">
        <w:rPr>
          <w:rFonts w:cs="Times New Roman (Cuerpo en alfa"/>
          <w:b/>
          <w:color w:val="3B3838" w:themeColor="background2" w:themeShade="40"/>
          <w:spacing w:val="-6"/>
        </w:rPr>
        <w:t>Fuente:</w:t>
      </w:r>
      <w:r w:rsidRPr="00516CB0">
        <w:rPr>
          <w:rFonts w:cs="Times New Roman (Cuerpo en alfa"/>
          <w:color w:val="3B3838" w:themeColor="background2" w:themeShade="40"/>
          <w:spacing w:val="-6"/>
        </w:rPr>
        <w:t xml:space="preserve"> </w:t>
      </w:r>
      <w:r w:rsidRPr="00145D29">
        <w:rPr>
          <w:rFonts w:cs="Times New Roman (Cuerpo en alfa"/>
          <w:color w:val="3B3838" w:themeColor="background2" w:themeShade="40"/>
          <w:spacing w:val="-6"/>
        </w:rPr>
        <w:t>S</w:t>
      </w:r>
      <w:r>
        <w:rPr>
          <w:rFonts w:cs="Times New Roman (Cuerpo en alfa"/>
          <w:color w:val="3B3838" w:themeColor="background2" w:themeShade="40"/>
          <w:spacing w:val="-6"/>
        </w:rPr>
        <w:t>DM-TMSA</w:t>
      </w:r>
      <w:r w:rsidRPr="00145D29">
        <w:rPr>
          <w:rFonts w:cs="Times New Roman (Cuerpo en alfa"/>
          <w:color w:val="3B3838" w:themeColor="background2" w:themeShade="40"/>
          <w:spacing w:val="-6"/>
        </w:rPr>
        <w:t>.</w:t>
      </w:r>
    </w:p>
    <w:p w14:paraId="11CA8BA6" w14:textId="77777777" w:rsidR="0083520B" w:rsidRDefault="0083520B" w:rsidP="0083520B"/>
    <w:p w14:paraId="445FD0C3" w14:textId="77777777" w:rsidR="0083520B" w:rsidRDefault="0083520B" w:rsidP="0083520B">
      <w:pPr>
        <w:sectPr w:rsidR="0083520B" w:rsidSect="00F7078E">
          <w:type w:val="continuous"/>
          <w:pgSz w:w="12240" w:h="15840"/>
          <w:pgMar w:top="2262" w:right="1440" w:bottom="1440" w:left="1440" w:header="708" w:footer="680" w:gutter="0"/>
          <w:cols w:space="720"/>
          <w:docGrid w:linePitch="299"/>
        </w:sectPr>
      </w:pPr>
    </w:p>
    <w:p w14:paraId="2AD8B3D7" w14:textId="77777777" w:rsidR="0083520B" w:rsidRPr="005D43C0" w:rsidRDefault="0083520B" w:rsidP="0083520B">
      <w:pPr>
        <w:rPr>
          <w:rFonts w:cs="Times New Roman (Cuerpo en alfa"/>
        </w:rPr>
      </w:pPr>
      <w:r w:rsidRPr="005D43C0">
        <w:rPr>
          <w:rFonts w:cs="Times New Roman (Cuerpo en alfa"/>
        </w:rPr>
        <w:t xml:space="preserve">Ante estas perspectivas, la presente Administración buscará plantear diferentes estrategias para la generación de mayores ingresos, recursos que, junto con una mayor eficiencia y calidad del gasto, permitirán ejecutar la inversión que necesita la ciudad y cumplir los compromisos adquiridos con los ciudadanos en el Programa de Gobierno y plasmados en el Plan Distrital de Desarrollo </w:t>
      </w:r>
      <w:r w:rsidRPr="005D43C0">
        <w:rPr>
          <w:rFonts w:cs="Times New Roman (Cuerpo en alfa"/>
          <w:i/>
          <w:iCs/>
        </w:rPr>
        <w:t>Bogotá camina segura.</w:t>
      </w:r>
    </w:p>
    <w:p w14:paraId="56780144" w14:textId="77777777" w:rsidR="0083520B" w:rsidRPr="005D43C0" w:rsidRDefault="0083520B" w:rsidP="0083520B"/>
    <w:p w14:paraId="54D57674" w14:textId="77777777" w:rsidR="0083520B" w:rsidRPr="005D43C0" w:rsidRDefault="0083520B" w:rsidP="0083520B">
      <w:r w:rsidRPr="005D43C0">
        <w:rPr>
          <w:rFonts w:cs="Times New Roman (Cuerpo en alfa"/>
        </w:rPr>
        <w:t>En primer lugar, la Secretaría Distrital de Hacienda planea una estrategia de gestión de cartera que busca generar recursos superiores a 7,5 billones de pesos de 2024 entre 2024 y 2027, a través de dos medidas: i) el cobro prejurídico, que permitirá, a través de la gestión masiva de obligaciones, utilizando mecanismos persuasivos, invitar a los ciudadanos morosos al pago sin que medie la apertura de procesos de cobro coactivo, y ii) el cobro coactivo, que se</w:t>
      </w:r>
      <w:r w:rsidRPr="005D43C0">
        <w:t xml:space="preserve"> llevará a cabo atendiendo las etapas previstas en el Estatuto Tributario Nacional.</w:t>
      </w:r>
    </w:p>
    <w:p w14:paraId="1C2E176F" w14:textId="77777777" w:rsidR="0083520B" w:rsidRPr="005D43C0" w:rsidRDefault="0083520B" w:rsidP="0083520B"/>
    <w:p w14:paraId="2F45C841" w14:textId="77777777" w:rsidR="0083520B" w:rsidRPr="005D43C0" w:rsidRDefault="0083520B" w:rsidP="0083520B">
      <w:pPr>
        <w:rPr>
          <w:rFonts w:cs="Times New Roman (Cuerpo en alfa"/>
        </w:rPr>
      </w:pPr>
      <w:r w:rsidRPr="005D43C0">
        <w:rPr>
          <w:rFonts w:cs="Times New Roman (Cuerpo en alfa"/>
        </w:rPr>
        <w:t xml:space="preserve">Adicionalmente, la gestión de recursos tributarios para la financiación del Plan Distrital de </w:t>
      </w:r>
      <w:r w:rsidRPr="005D43C0">
        <w:rPr>
          <w:rFonts w:cs="Times New Roman (Cuerpo en alfa"/>
        </w:rPr>
        <w:t>Desarrollo se realizará a través de acciones como:</w:t>
      </w:r>
    </w:p>
    <w:p w14:paraId="232031AB" w14:textId="77777777" w:rsidR="0083520B" w:rsidRPr="005D43C0" w:rsidRDefault="0083520B" w:rsidP="0083520B">
      <w:pPr>
        <w:rPr>
          <w:szCs w:val="22"/>
        </w:rPr>
      </w:pPr>
    </w:p>
    <w:p w14:paraId="251E2E9C" w14:textId="77777777" w:rsidR="0083520B" w:rsidRPr="005D43C0" w:rsidRDefault="0083520B" w:rsidP="00AD2047">
      <w:pPr>
        <w:pStyle w:val="Bullets"/>
      </w:pPr>
      <w:r w:rsidRPr="005D43C0">
        <w:rPr>
          <w:b/>
          <w:bCs/>
          <w:color w:val="C00000"/>
        </w:rPr>
        <w:t>Tributación simple:</w:t>
      </w:r>
      <w:r w:rsidRPr="005D43C0">
        <w:rPr>
          <w:color w:val="C00000"/>
        </w:rPr>
        <w:t xml:space="preserve"> </w:t>
      </w:r>
      <w:r w:rsidRPr="005D43C0">
        <w:t>La Administración Tributaria Distrital adelantará programas de educación tributaria y fortalecerá todos los canales de atención, que les permitan a los contribuyentes atender sus obligaciones tributarias.</w:t>
      </w:r>
    </w:p>
    <w:p w14:paraId="11EEE713" w14:textId="77777777" w:rsidR="0083520B" w:rsidRPr="005D43C0" w:rsidRDefault="0083520B" w:rsidP="00AD2047">
      <w:pPr>
        <w:pStyle w:val="Bullets"/>
        <w:numPr>
          <w:ilvl w:val="0"/>
          <w:numId w:val="0"/>
        </w:numPr>
        <w:ind w:left="714"/>
      </w:pPr>
    </w:p>
    <w:p w14:paraId="1523738F" w14:textId="77777777" w:rsidR="0083520B" w:rsidRPr="005D43C0" w:rsidRDefault="0083520B" w:rsidP="00975017">
      <w:pPr>
        <w:pStyle w:val="Bullets"/>
        <w:numPr>
          <w:ilvl w:val="0"/>
          <w:numId w:val="0"/>
        </w:numPr>
        <w:ind w:left="714"/>
        <w:rPr>
          <w:rFonts w:cs="Times New Roman (Cuerpo en alfa"/>
        </w:rPr>
      </w:pPr>
      <w:r w:rsidRPr="005D43C0">
        <w:t xml:space="preserve">Además, se desarrollará un estudio con el fin de facturar el impuesto de industria y comercio y su complementario de avisos y tableros, simplificando el cumplimiento de la obligación a los contribuyentes. Con lo anterior, el </w:t>
      </w:r>
      <w:r w:rsidRPr="005D43C0">
        <w:rPr>
          <w:rFonts w:cs="Times New Roman (Cuerpo en alfa"/>
        </w:rPr>
        <w:t>cumplimiento oportuno de los impuestos distritales se situará en el 90 %.</w:t>
      </w:r>
    </w:p>
    <w:p w14:paraId="0C14FC82" w14:textId="77777777" w:rsidR="0083520B" w:rsidRPr="005D43C0" w:rsidRDefault="0083520B" w:rsidP="00AD2047">
      <w:pPr>
        <w:pStyle w:val="Bullets"/>
        <w:numPr>
          <w:ilvl w:val="0"/>
          <w:numId w:val="0"/>
        </w:numPr>
        <w:ind w:left="714"/>
        <w:rPr>
          <w:rFonts w:cs="Times New Roman (Cuerpo en alfa"/>
        </w:rPr>
      </w:pPr>
    </w:p>
    <w:p w14:paraId="1C27CC9D" w14:textId="77777777" w:rsidR="0083520B" w:rsidRPr="005D43C0" w:rsidRDefault="0083520B" w:rsidP="00AD2047">
      <w:pPr>
        <w:pStyle w:val="Bullets"/>
        <w:rPr>
          <w:rFonts w:cs="Times New Roman (Cuerpo en alfa"/>
        </w:rPr>
      </w:pPr>
      <w:r w:rsidRPr="005D43C0">
        <w:rPr>
          <w:rFonts w:cs="Times New Roman (Cuerpo en alfa"/>
          <w:b/>
          <w:bCs/>
          <w:color w:val="C00000"/>
        </w:rPr>
        <w:t>Reducción de niveles de evasión:</w:t>
      </w:r>
      <w:r w:rsidRPr="005D43C0">
        <w:rPr>
          <w:rFonts w:cs="Times New Roman (Cuerpo en alfa"/>
          <w:color w:val="C00000"/>
        </w:rPr>
        <w:t xml:space="preserve"> </w:t>
      </w:r>
      <w:r w:rsidRPr="005D43C0">
        <w:rPr>
          <w:rFonts w:cs="Times New Roman (Cuerpo en alfa"/>
        </w:rPr>
        <w:t>Al finalizar el cuatrienio se reducirá la evasión de los impuestos predial, vehículos e ICA en 4 %, 3 % y 2 %, respectivamente.</w:t>
      </w:r>
    </w:p>
    <w:p w14:paraId="3DE15E27" w14:textId="77777777" w:rsidR="0083520B" w:rsidRPr="005D43C0" w:rsidRDefault="0083520B" w:rsidP="00AD2047">
      <w:pPr>
        <w:pStyle w:val="Bullets"/>
        <w:numPr>
          <w:ilvl w:val="0"/>
          <w:numId w:val="0"/>
        </w:numPr>
        <w:ind w:left="714"/>
      </w:pPr>
    </w:p>
    <w:p w14:paraId="09E5E413" w14:textId="77777777" w:rsidR="0083520B" w:rsidRPr="005D43C0" w:rsidRDefault="0083520B" w:rsidP="00342FDA">
      <w:pPr>
        <w:pStyle w:val="Bullets"/>
        <w:numPr>
          <w:ilvl w:val="0"/>
          <w:numId w:val="0"/>
        </w:numPr>
        <w:ind w:left="714"/>
      </w:pPr>
      <w:r w:rsidRPr="005D43C0">
        <w:lastRenderedPageBreak/>
        <w:t>Para la reducción de la evasión se desarrollarán campañas de fidelización y control extensivo de manera focalizada, reconociendo las características de cada contribuyente y el grado de intervención por realizar.</w:t>
      </w:r>
    </w:p>
    <w:p w14:paraId="536B6193" w14:textId="77777777" w:rsidR="0083520B" w:rsidRPr="005D43C0" w:rsidRDefault="0083520B" w:rsidP="0083520B">
      <w:pPr>
        <w:pStyle w:val="Bullets"/>
        <w:numPr>
          <w:ilvl w:val="0"/>
          <w:numId w:val="0"/>
        </w:numPr>
        <w:ind w:left="714"/>
      </w:pPr>
    </w:p>
    <w:p w14:paraId="598B38D7" w14:textId="77777777" w:rsidR="0083520B" w:rsidRPr="005D43C0" w:rsidRDefault="0083520B" w:rsidP="0083520B">
      <w:pPr>
        <w:pStyle w:val="Bullets"/>
        <w:numPr>
          <w:ilvl w:val="0"/>
          <w:numId w:val="0"/>
        </w:numPr>
        <w:rPr>
          <w:rFonts w:cs="Times New Roman (Cuerpo en alfa"/>
        </w:rPr>
      </w:pPr>
      <w:r w:rsidRPr="005D43C0">
        <w:rPr>
          <w:rFonts w:cs="Times New Roman (Cuerpo en alfa"/>
        </w:rPr>
        <w:t>Por otra parte, se realizarán esfuerzos para impulsar la adopción de nuevas fuentes de ingresos que financien acciones en tres sectores relevantes para la ciudad. En primer lugar, se plantea la adopción de la Sobretasa bomberil</w:t>
      </w:r>
      <w:r w:rsidRPr="005D43C0">
        <w:rPr>
          <w:rStyle w:val="Refdenotaalpie"/>
          <w:rFonts w:cs="Times New Roman (Cuerpo en alfa"/>
          <w:b/>
          <w:bCs/>
          <w:color w:val="C00000"/>
        </w:rPr>
        <w:footnoteReference w:id="5"/>
      </w:r>
      <w:r w:rsidRPr="005D43C0">
        <w:rPr>
          <w:rFonts w:cs="Times New Roman (Cuerpo en alfa"/>
        </w:rPr>
        <w:t>, que será destinada a las actividades de mitigación y atención integral de riesgo de incendios, rescates, incidentes y atención de desastres. Como se vio a inicios de 2024, las condiciones presentadas por el fenómeno de El Niño derivaron en incrementos de la temperatura de la ciudad con la consecuencia de incendios forestales, especialmente, en los cerros orientales. Estos hechos ponen de presente la necesidad de destinar recursos que contribuyan a la mitigación y atención de emergencias de este tipo, asociadas con el cambio climático.</w:t>
      </w:r>
    </w:p>
    <w:p w14:paraId="4D107449" w14:textId="77777777" w:rsidR="0083520B" w:rsidRPr="00AD50E7" w:rsidRDefault="0083520B" w:rsidP="0083520B">
      <w:pPr>
        <w:pStyle w:val="Bullets"/>
        <w:numPr>
          <w:ilvl w:val="0"/>
          <w:numId w:val="0"/>
        </w:numPr>
        <w:ind w:left="357"/>
        <w:rPr>
          <w:rFonts w:cs="Times New Roman (Cuerpo en alfa"/>
          <w:spacing w:val="-10"/>
        </w:rPr>
      </w:pPr>
    </w:p>
    <w:p w14:paraId="0B49E8BE" w14:textId="77777777" w:rsidR="0083520B" w:rsidRPr="005D43C0" w:rsidRDefault="0083520B" w:rsidP="0083520B">
      <w:pPr>
        <w:pStyle w:val="Bullets"/>
        <w:numPr>
          <w:ilvl w:val="0"/>
          <w:numId w:val="0"/>
        </w:numPr>
        <w:rPr>
          <w:rFonts w:cs="Times New Roman (Cuerpo en alfa"/>
        </w:rPr>
      </w:pPr>
      <w:r w:rsidRPr="005D43C0">
        <w:rPr>
          <w:rFonts w:cs="Times New Roman (Cuerpo en alfa"/>
        </w:rPr>
        <w:t>De igual manera, la Administración distrital presentará la propuesta de cobro del servicio de alumbrado público</w:t>
      </w:r>
      <w:r w:rsidRPr="005D43C0">
        <w:rPr>
          <w:rStyle w:val="Refdenotaalpie"/>
          <w:rFonts w:cs="Times New Roman (Cuerpo en alfa"/>
          <w:b/>
          <w:bCs/>
          <w:color w:val="C00000"/>
        </w:rPr>
        <w:footnoteReference w:id="6"/>
      </w:r>
      <w:r w:rsidRPr="005D43C0">
        <w:rPr>
          <w:rFonts w:cs="Times New Roman (Cuerpo en alfa"/>
        </w:rPr>
        <w:t>. Este impuesto, ampliamente empleado en otras ciudades, se destinará a la prestación, mantenimiento, modernización y ampliación del servicio de alumbrado público, el cual es importante para mejorar las condiciones de seguridad de los ciudadanos, ya que ayuda a prevenir accidentes, actos delictivos y contribuye al bienestar general de la comunidad.</w:t>
      </w:r>
    </w:p>
    <w:p w14:paraId="2D727ACB" w14:textId="77777777" w:rsidR="0083520B" w:rsidRPr="005D43C0" w:rsidRDefault="0083520B" w:rsidP="0083520B">
      <w:pPr>
        <w:pStyle w:val="Bullets"/>
        <w:numPr>
          <w:ilvl w:val="0"/>
          <w:numId w:val="0"/>
        </w:numPr>
        <w:ind w:left="357"/>
        <w:rPr>
          <w:rFonts w:cs="Times New Roman (Cuerpo en alfa"/>
        </w:rPr>
      </w:pPr>
    </w:p>
    <w:p w14:paraId="1BDD9950" w14:textId="77777777" w:rsidR="0083520B" w:rsidRPr="005D43C0" w:rsidRDefault="0083520B" w:rsidP="0083520B">
      <w:pPr>
        <w:pStyle w:val="Bullets"/>
        <w:numPr>
          <w:ilvl w:val="0"/>
          <w:numId w:val="0"/>
        </w:numPr>
        <w:rPr>
          <w:rFonts w:cs="Times New Roman (Cuerpo en alfa"/>
        </w:rPr>
      </w:pPr>
      <w:r w:rsidRPr="005D43C0">
        <w:rPr>
          <w:rFonts w:cs="Times New Roman (Cuerpo en alfa"/>
        </w:rPr>
        <w:t>Adicionalmente, se gestionará la fuente de parqueo fuera de vía (contribución de parqueaderos)</w:t>
      </w:r>
      <w:r w:rsidRPr="005D43C0">
        <w:rPr>
          <w:rStyle w:val="Refdenotaalpie"/>
          <w:rFonts w:cs="Times New Roman (Cuerpo en alfa"/>
          <w:b/>
          <w:bCs/>
          <w:color w:val="C00000"/>
        </w:rPr>
        <w:footnoteReference w:id="7"/>
      </w:r>
      <w:r w:rsidRPr="005D43C0">
        <w:rPr>
          <w:rFonts w:cs="Times New Roman (Cuerpo en alfa"/>
        </w:rPr>
        <w:t xml:space="preserve">. Los recursos de esta fuente se destinarán a la financiación del subsidio de transporte que tienen los adultos mayores y la población de Sisbén, así como la población en condición de </w:t>
      </w:r>
      <w:r w:rsidRPr="005D43C0">
        <w:rPr>
          <w:rFonts w:cs="Times New Roman (Cuerpo en alfa"/>
        </w:rPr>
        <w:t>discapacidad, en el sistema integrado de transporte público de la ciudad, acorde con la estrategia de atención social que lleva a cabo la Secretaría Distrital de Integración Social.</w:t>
      </w:r>
    </w:p>
    <w:p w14:paraId="1F4F4431" w14:textId="77777777" w:rsidR="0083520B" w:rsidRPr="005D43C0" w:rsidRDefault="0083520B" w:rsidP="0083520B">
      <w:pPr>
        <w:pStyle w:val="Bullets"/>
        <w:numPr>
          <w:ilvl w:val="0"/>
          <w:numId w:val="0"/>
        </w:numPr>
        <w:rPr>
          <w:rFonts w:cs="Times New Roman (Cuerpo en alfa"/>
        </w:rPr>
      </w:pPr>
    </w:p>
    <w:p w14:paraId="3EF7D322" w14:textId="77777777" w:rsidR="0083520B" w:rsidRPr="005D43C0" w:rsidRDefault="0083520B" w:rsidP="0083520B">
      <w:pPr>
        <w:pStyle w:val="Bullets"/>
        <w:numPr>
          <w:ilvl w:val="0"/>
          <w:numId w:val="0"/>
        </w:numPr>
        <w:rPr>
          <w:rFonts w:cs="Times New Roman (Cuerpo en alfa"/>
        </w:rPr>
      </w:pPr>
      <w:r w:rsidRPr="005D43C0">
        <w:rPr>
          <w:rFonts w:cs="Times New Roman (Cuerpo en alfa"/>
        </w:rPr>
        <w:t>A partir de estas iniciativas, se espera garantizar la continuidad de las inversiones estratégicas que actualmente se realizan en Bogotá, como las desarrolladas en infraestructura de transporte público, incluyendo la Primera Línea de Metro, los cables aéreos de San Cristóbal y Potosí y las troncales del sistema de transporte público, entre otros, y se generará espacio para el fortalecimiento de nuevos proyectos de movilidad, mantenimiento de la malla vial y transporte público, además de nuevas obras para la conectividad de la ciudad.</w:t>
      </w:r>
    </w:p>
    <w:p w14:paraId="446B9632" w14:textId="77777777" w:rsidR="0083520B" w:rsidRPr="005D43C0" w:rsidRDefault="0083520B" w:rsidP="0083520B">
      <w:pPr>
        <w:pStyle w:val="Bullets"/>
        <w:numPr>
          <w:ilvl w:val="0"/>
          <w:numId w:val="0"/>
        </w:numPr>
        <w:rPr>
          <w:rFonts w:cs="Times New Roman (Cuerpo en alfa"/>
        </w:rPr>
      </w:pPr>
    </w:p>
    <w:p w14:paraId="6E6DC3A5" w14:textId="77777777" w:rsidR="0083520B" w:rsidRPr="005D43C0" w:rsidRDefault="0083520B" w:rsidP="0083520B">
      <w:pPr>
        <w:pStyle w:val="Bullets"/>
        <w:numPr>
          <w:ilvl w:val="0"/>
          <w:numId w:val="0"/>
        </w:numPr>
        <w:rPr>
          <w:rFonts w:cs="Times New Roman (Cuerpo en alfa"/>
        </w:rPr>
      </w:pPr>
      <w:r w:rsidRPr="005D43C0">
        <w:rPr>
          <w:rFonts w:cs="Times New Roman (Cuerpo en alfa"/>
        </w:rPr>
        <w:t xml:space="preserve">Por otra parte, se fortalecerá la reactivación económica a través de programas como los subsidios de vivienda, que permitirán facilitar el acceso de las familias bogotanas a viviendas dignas y asequibles, impulsando la reactivación del sector de la construcción y reduciendo la brecha de pobreza. El capital humano de la ciudad se verá fortalecido con el programa </w:t>
      </w:r>
      <w:r w:rsidRPr="005D43C0">
        <w:rPr>
          <w:rFonts w:cs="Times New Roman (Cuerpo en alfa"/>
          <w:i/>
          <w:iCs/>
        </w:rPr>
        <w:t>“Jóvenes a la E”,</w:t>
      </w:r>
      <w:r w:rsidRPr="005D43C0">
        <w:rPr>
          <w:rFonts w:cs="Times New Roman (Cuerpo en alfa"/>
        </w:rPr>
        <w:t xml:space="preserve"> estrategia que busca aumentar el número de personas que se mantienen en el sistema educativo, con el apoyo de las matrículas en programas universitarios, técnicos y tecnológicos y formación para el trabajo. Además, se otorgarán auxilios de sostenimiento.</w:t>
      </w:r>
    </w:p>
    <w:p w14:paraId="03F775B9" w14:textId="77777777" w:rsidR="0083520B" w:rsidRPr="005D43C0" w:rsidRDefault="0083520B" w:rsidP="0083520B">
      <w:pPr>
        <w:pStyle w:val="Bullets"/>
        <w:numPr>
          <w:ilvl w:val="0"/>
          <w:numId w:val="0"/>
        </w:numPr>
        <w:rPr>
          <w:rFonts w:cs="Times New Roman (Cuerpo en alfa"/>
        </w:rPr>
      </w:pPr>
    </w:p>
    <w:p w14:paraId="476BF985" w14:textId="77777777" w:rsidR="0083520B" w:rsidRPr="005D43C0" w:rsidRDefault="0083520B" w:rsidP="0083520B">
      <w:pPr>
        <w:pStyle w:val="Bullets"/>
        <w:numPr>
          <w:ilvl w:val="0"/>
          <w:numId w:val="0"/>
        </w:numPr>
        <w:rPr>
          <w:rFonts w:cs="Times New Roman (Cuerpo en alfa"/>
        </w:rPr>
      </w:pPr>
      <w:r w:rsidRPr="005D43C0">
        <w:rPr>
          <w:rFonts w:cs="Times New Roman (Cuerpo en alfa"/>
        </w:rPr>
        <w:t xml:space="preserve">En el sector salud, se llevarán a cabo las inversiones dirigidas a cubrir el fortalecimiento de la red pública, y el fortalecimiento patrimonial de Capital Salud EPS. En lo referente a la estrategia de protección del medio ambiente y mitigación de cambio climático, se dará cumplimiento a la Política Pública de Acción Climática, el Plan de Acción Climática (PPAC), la Política Pública para la Gestión de la Conservación de la </w:t>
      </w:r>
      <w:r w:rsidRPr="005D43C0">
        <w:rPr>
          <w:rFonts w:cs="Times New Roman (Cuerpo en alfa"/>
        </w:rPr>
        <w:lastRenderedPageBreak/>
        <w:t>Biodiversidad en el D.C. y la Política Pública Distrital de Economía Circular.</w:t>
      </w:r>
    </w:p>
    <w:p w14:paraId="14504FD1" w14:textId="77777777" w:rsidR="0083520B" w:rsidRPr="005D43C0" w:rsidRDefault="0083520B" w:rsidP="0083520B">
      <w:pPr>
        <w:pStyle w:val="Bullets"/>
        <w:numPr>
          <w:ilvl w:val="0"/>
          <w:numId w:val="0"/>
        </w:numPr>
      </w:pPr>
    </w:p>
    <w:p w14:paraId="6812B900" w14:textId="554CE999" w:rsidR="0083520B" w:rsidRPr="005D43C0" w:rsidRDefault="0083520B" w:rsidP="0083520B">
      <w:pPr>
        <w:pStyle w:val="Bullets"/>
        <w:numPr>
          <w:ilvl w:val="0"/>
          <w:numId w:val="0"/>
        </w:numPr>
      </w:pPr>
      <w:r w:rsidRPr="005D43C0">
        <w:t xml:space="preserve">Por último, la Administración distrital priorizará la inversión en el sector seguridad, como eje central del </w:t>
      </w:r>
      <w:r w:rsidR="00A87961">
        <w:t>Plan Distrital de Desarrollo</w:t>
      </w:r>
      <w:r w:rsidRPr="005D43C0">
        <w:t>, con el objetivo de generar confianza en los ciudadanos, garantizando los derechos fundamentales y la respuesta por parte de los organismos de seguridad, justicia y atención de emergencias ante cualquier eventualidad. Todo esto, promoviendo la convivencia pacífica, la cultura ciudadana y el espacio público como un lugar de encuentro seguro, adecuado y accesible para la ciudadanía.</w:t>
      </w:r>
    </w:p>
    <w:p w14:paraId="3150180E" w14:textId="77777777" w:rsidR="0083520B" w:rsidRPr="00AD50E7" w:rsidRDefault="0083520B" w:rsidP="0083520B">
      <w:pPr>
        <w:pStyle w:val="Bullets"/>
        <w:numPr>
          <w:ilvl w:val="0"/>
          <w:numId w:val="0"/>
        </w:numPr>
        <w:rPr>
          <w:spacing w:val="-10"/>
        </w:rPr>
      </w:pPr>
    </w:p>
    <w:p w14:paraId="68B7AFDE" w14:textId="77777777" w:rsidR="0083520B" w:rsidRPr="005D43C0" w:rsidRDefault="0083520B" w:rsidP="0083520B">
      <w:pPr>
        <w:pStyle w:val="Bullets"/>
        <w:numPr>
          <w:ilvl w:val="0"/>
          <w:numId w:val="0"/>
        </w:numPr>
      </w:pPr>
      <w:r w:rsidRPr="005D43C0">
        <w:t>Para alcanzar las metas de inversión se requiere no solo los esfuerzos que se han señalado en términos de consecución de ingresos, sino también que los recursos se usen de manera eficiente, eficaz y transparente, de forma tal, que se logren los objetivos y resultados esperados con el menor costo posible, con una distribución de los beneficios de manera justa entre los diferentes grupos sociales. Para esto, se profundizarán las acciones encaminadas a favorecer la calidad del gasto público para lo cual se desarrollará una estrategia de gestión pública orientada a resultados, que permita planificar, ejecutar, monitorear y evaluar el gasto público de manera estratégica, orientada al logro de los fines públicos.</w:t>
      </w:r>
    </w:p>
    <w:p w14:paraId="69E2CF3B" w14:textId="77777777" w:rsidR="0083520B" w:rsidRPr="005D43C0" w:rsidRDefault="0083520B" w:rsidP="0083520B">
      <w:pPr>
        <w:pStyle w:val="Bullets"/>
        <w:numPr>
          <w:ilvl w:val="0"/>
          <w:numId w:val="0"/>
        </w:numPr>
      </w:pPr>
    </w:p>
    <w:p w14:paraId="3D3506BD" w14:textId="77777777" w:rsidR="0083520B" w:rsidRPr="005D43C0" w:rsidRDefault="0083520B" w:rsidP="0083520B">
      <w:pPr>
        <w:pStyle w:val="Bullets"/>
        <w:numPr>
          <w:ilvl w:val="0"/>
          <w:numId w:val="0"/>
        </w:numPr>
      </w:pPr>
      <w:r w:rsidRPr="005D43C0">
        <w:t xml:space="preserve">Esta estrategia estará apuntalada en el marco del esquema de Productos, Metas y Resultados (PMR), con lo cual se espera actualizar los productos que constituyen el Presupuesto del Distrito y por esta vía contar con mejor información que permita identificar las fortalezas y debilidades del gasto, los rezagos en ejecución de los productos más representativos del Distrito, y la reorientación de recursos a las necesidades prioritarias de la ciudad. Por otro lado, se espera que esta medición facilite la rendición de cuentas y la transparencia, al generar información relevante y accesible para la ciudadanía y las </w:t>
      </w:r>
      <w:r w:rsidRPr="005D43C0">
        <w:t>partes interesadas. Esto permitirá mejorar la asignación y la utilización de los recursos públicos, a través de la implementación de herramientas de medición de la prioridad y desempeño del gasto, lo que se traduce en una mayor eficiencia y equidad del gasto público.</w:t>
      </w:r>
    </w:p>
    <w:p w14:paraId="3650679D" w14:textId="77777777" w:rsidR="0083520B" w:rsidRPr="005D43C0" w:rsidRDefault="0083520B" w:rsidP="0083520B">
      <w:pPr>
        <w:pStyle w:val="Bullets"/>
        <w:numPr>
          <w:ilvl w:val="0"/>
          <w:numId w:val="0"/>
        </w:numPr>
      </w:pPr>
    </w:p>
    <w:p w14:paraId="45A3BB8A" w14:textId="77777777" w:rsidR="0083520B" w:rsidRPr="005D43C0" w:rsidRDefault="0083520B" w:rsidP="0083520B">
      <w:pPr>
        <w:pStyle w:val="Bullets"/>
        <w:numPr>
          <w:ilvl w:val="0"/>
          <w:numId w:val="0"/>
        </w:numPr>
      </w:pPr>
      <w:r w:rsidRPr="005D43C0">
        <w:t>Una primera medida relacionada con la eficiencia del gasto consiste en reducir los gastos en órdenes de prestación de servicios, ahorro que solo en 2024 asciende a 170.000 millones de pesos, recursos que serán invertidos en seguridad y en el fortalecimiento del sistema de salud de la ciudad. Igualmente, la reducción de planes de celulares corporativos y de internet, gastos en eventos, viáticos, entre otros, generarán ahorros que se destinarán a fortalecer las inversiones que generan mayor impacto en la ciudadanía.</w:t>
      </w:r>
    </w:p>
    <w:p w14:paraId="355E7E3E" w14:textId="77777777" w:rsidR="0083520B" w:rsidRPr="005D43C0" w:rsidRDefault="0083520B" w:rsidP="0083520B">
      <w:pPr>
        <w:pStyle w:val="Bullets"/>
        <w:numPr>
          <w:ilvl w:val="0"/>
          <w:numId w:val="0"/>
        </w:numPr>
      </w:pPr>
    </w:p>
    <w:p w14:paraId="051DD397" w14:textId="77777777" w:rsidR="0083520B" w:rsidRPr="005D43C0" w:rsidRDefault="0083520B" w:rsidP="0083520B">
      <w:pPr>
        <w:pStyle w:val="Bullets"/>
        <w:numPr>
          <w:ilvl w:val="0"/>
          <w:numId w:val="0"/>
        </w:numPr>
      </w:pPr>
      <w:r w:rsidRPr="005D43C0">
        <w:t>Por otra parte, en el análisis de la utilización de los cupos de endeudamiento anteriores se encontró que puede haber recursos no comprometidos o comprometidos y no ejecutados, dejando espacio para mejorar la eficiencia en su ejecución. Con esto, se espera obtener recursos adicionales de liberación del cupo de endeudamiento actualmente vigente, que podría utilizarse entre los años 2024 y 2027. Adicionalmente, se contempla un nuevo cupo de endeudamiento para la ciudad hasta por 8 billones de pesos de 2024 para nuevas inversiones estratégicas.</w:t>
      </w:r>
    </w:p>
    <w:p w14:paraId="644AEAC5" w14:textId="77777777" w:rsidR="0083520B" w:rsidRPr="005D43C0" w:rsidRDefault="0083520B" w:rsidP="0083520B">
      <w:pPr>
        <w:pStyle w:val="Bullets"/>
        <w:numPr>
          <w:ilvl w:val="0"/>
          <w:numId w:val="0"/>
        </w:numPr>
        <w:rPr>
          <w:spacing w:val="-10"/>
        </w:rPr>
      </w:pPr>
    </w:p>
    <w:p w14:paraId="291D7A22" w14:textId="3CEEC85C" w:rsidR="0083520B" w:rsidRPr="005D43C0" w:rsidRDefault="0083520B" w:rsidP="0083520B">
      <w:pPr>
        <w:rPr>
          <w:rFonts w:eastAsia="Arial" w:cs="Arial"/>
        </w:rPr>
      </w:pPr>
      <w:r w:rsidRPr="005D43C0">
        <w:rPr>
          <w:rFonts w:eastAsia="Arial" w:cs="Arial"/>
        </w:rPr>
        <w:t>Acorde con lo anterior, para el periodo 2024-2027 se alcanzaría un monto de inversión alrededor de $</w:t>
      </w:r>
      <w:r w:rsidR="00975017">
        <w:rPr>
          <w:rFonts w:eastAsia="Arial" w:cs="Arial"/>
        </w:rPr>
        <w:t>142</w:t>
      </w:r>
      <w:r w:rsidRPr="005D43C0">
        <w:rPr>
          <w:rFonts w:eastAsia="Arial" w:cs="Arial"/>
        </w:rPr>
        <w:t xml:space="preserve"> billones de 2024, de esta forma logrando mantener y afianzar los esfuerzos por llevar a cabo las inversiones de los proyectos estratégicos como el espacio para las grandes apuestas del Plan Distrital de Desarrollo. Estas inversiones previstas en el presente Plan Distrital de Desarrollo permitirán una contribución adicional al crecimiento económico de la ciudad. Se estima que estas representarán 0,4 p.p. en promedio durante los próximos años, </w:t>
      </w:r>
      <w:r w:rsidRPr="005D43C0">
        <w:rPr>
          <w:rFonts w:eastAsia="Arial" w:cs="Arial"/>
        </w:rPr>
        <w:lastRenderedPageBreak/>
        <w:t xml:space="preserve">generando nuevos empleos y apalancando el potencial de la </w:t>
      </w:r>
      <w:sdt>
        <w:sdtPr>
          <w:tag w:val="goog_rdk_0"/>
          <w:id w:val="-709026016"/>
        </w:sdtPr>
        <w:sdtContent/>
      </w:sdt>
      <w:r w:rsidRPr="005D43C0">
        <w:rPr>
          <w:rFonts w:eastAsia="Arial" w:cs="Arial"/>
        </w:rPr>
        <w:t>ciudad.</w:t>
      </w:r>
    </w:p>
    <w:p w14:paraId="74431113" w14:textId="77777777" w:rsidR="00984009" w:rsidRDefault="00984009" w:rsidP="0083520B">
      <w:pPr>
        <w:pStyle w:val="Bullets"/>
        <w:numPr>
          <w:ilvl w:val="0"/>
          <w:numId w:val="0"/>
        </w:numPr>
      </w:pPr>
    </w:p>
    <w:p w14:paraId="156F743A" w14:textId="6E7AB372" w:rsidR="0083520B" w:rsidRPr="00AD50E7" w:rsidRDefault="0083520B" w:rsidP="0083520B">
      <w:pPr>
        <w:pStyle w:val="Bullets"/>
        <w:numPr>
          <w:ilvl w:val="0"/>
          <w:numId w:val="0"/>
        </w:numPr>
        <w:rPr>
          <w:rFonts w:cs="Times New Roman (Cuerpo en alfa"/>
          <w:spacing w:val="-8"/>
        </w:rPr>
      </w:pPr>
      <w:r w:rsidRPr="00AD50E7">
        <w:rPr>
          <w:rFonts w:cs="Times New Roman (Cuerpo en alfa"/>
          <w:spacing w:val="-8"/>
        </w:rPr>
        <w:t>En el ejercicio de programación de la inversión del Distrito para el cuatrienio se incluyen programas que tienen fuente específica de recursos, rubros en los que la normatividad vigente obliga a asignar partidas y el resto de los programas financiados con recursos de inversión. La distribución de los recursos en el marco de este plan se realizó a partir de un ejercicio de priorización de la inversión que tuvo en cuenta: las indicaciones del Programa de Gobierno, el concepto y las recomendaciones del Consejo Territorial de Planeación, los ejercicios de participación, las necesidades sectoriales y el espacio fiscal proyectado para el Distrito, con base en el Marco Fiscal de Mediano Plazo.</w:t>
      </w:r>
    </w:p>
    <w:p w14:paraId="6FCA8D44" w14:textId="77777777" w:rsidR="0083520B" w:rsidRPr="00AD50E7" w:rsidRDefault="0083520B" w:rsidP="0083520B">
      <w:pPr>
        <w:pStyle w:val="Bullets"/>
        <w:numPr>
          <w:ilvl w:val="0"/>
          <w:numId w:val="0"/>
        </w:numPr>
        <w:rPr>
          <w:rFonts w:cs="Times New Roman (Cuerpo en alfa"/>
          <w:spacing w:val="-8"/>
        </w:rPr>
      </w:pPr>
    </w:p>
    <w:p w14:paraId="489A4C62" w14:textId="77777777" w:rsidR="0083520B" w:rsidRPr="00AD50E7" w:rsidRDefault="0083520B" w:rsidP="0083520B">
      <w:pPr>
        <w:pStyle w:val="Bullets"/>
        <w:numPr>
          <w:ilvl w:val="0"/>
          <w:numId w:val="0"/>
        </w:numPr>
        <w:rPr>
          <w:rFonts w:cs="Times New Roman (Cuerpo en alfa"/>
          <w:spacing w:val="-8"/>
        </w:rPr>
      </w:pPr>
      <w:r w:rsidRPr="00AD50E7">
        <w:rPr>
          <w:rFonts w:cs="Times New Roman (Cuerpo en alfa"/>
          <w:spacing w:val="-8"/>
        </w:rPr>
        <w:t>Además de las asignaciones priorizadas para cada uno de los objetivos y programas, en cumplimiento de lo establecido en el artículo 89 del Decreto Ley 1421 de 1993, la Administración distrital tiene previstos, además, recursos de inversión como proporción de los ingresos corrientes, con una medida asignada a partir de las conclusiones del proceso de construcción de los Presupuestos Participativos. La asignación por cada localidad la hará la Secretaría Distrital de Planeación.</w:t>
      </w:r>
    </w:p>
    <w:p w14:paraId="62712DFB" w14:textId="77777777" w:rsidR="0083520B" w:rsidRPr="00AD50E7" w:rsidRDefault="0083520B" w:rsidP="0083520B">
      <w:pPr>
        <w:pStyle w:val="Bullets"/>
        <w:numPr>
          <w:ilvl w:val="0"/>
          <w:numId w:val="0"/>
        </w:numPr>
        <w:rPr>
          <w:rFonts w:cs="Times New Roman (Cuerpo en alfa"/>
          <w:spacing w:val="-8"/>
        </w:rPr>
      </w:pPr>
    </w:p>
    <w:p w14:paraId="2AFDE2FB" w14:textId="77777777" w:rsidR="0083520B" w:rsidRDefault="0083520B" w:rsidP="0083520B">
      <w:pPr>
        <w:pStyle w:val="Bullets"/>
        <w:numPr>
          <w:ilvl w:val="0"/>
          <w:numId w:val="0"/>
        </w:numPr>
        <w:rPr>
          <w:rFonts w:cs="Times New Roman (Cuerpo en alfa"/>
          <w:spacing w:val="-8"/>
        </w:rPr>
      </w:pPr>
      <w:r w:rsidRPr="00AD50E7">
        <w:rPr>
          <w:rFonts w:cs="Times New Roman (Cuerpo en alfa"/>
          <w:spacing w:val="-8"/>
        </w:rPr>
        <w:t>El cumplimiento de las metas programadas en el presente Plan de Desarrollo está sujeto al recaudo del valor total de recursos que conforman el Plan Plurianual de Inversiones.</w:t>
      </w:r>
    </w:p>
    <w:p w14:paraId="68F98721" w14:textId="77777777" w:rsidR="0083520B" w:rsidRDefault="0083520B" w:rsidP="0083520B">
      <w:pPr>
        <w:pStyle w:val="Bullets"/>
        <w:numPr>
          <w:ilvl w:val="0"/>
          <w:numId w:val="0"/>
        </w:numPr>
        <w:rPr>
          <w:rFonts w:cs="Times New Roman (Cuerpo en alfa"/>
          <w:spacing w:val="-8"/>
        </w:rPr>
      </w:pPr>
    </w:p>
    <w:p w14:paraId="47C1F5EC" w14:textId="5C8696B3" w:rsidR="0083520B" w:rsidRPr="00AD50E7" w:rsidRDefault="00A361BD" w:rsidP="0083520B">
      <w:pPr>
        <w:pStyle w:val="Bullets"/>
        <w:numPr>
          <w:ilvl w:val="0"/>
          <w:numId w:val="0"/>
        </w:numPr>
        <w:rPr>
          <w:rFonts w:cs="Times New Roman (Cuerpo en alfa"/>
          <w:spacing w:val="-8"/>
        </w:rPr>
      </w:pPr>
      <w:r>
        <w:rPr>
          <w:rFonts w:cs="Times New Roman (Cuerpo en alfa"/>
          <w:spacing w:val="-8"/>
        </w:rPr>
        <w:t>En la siguiente sección</w:t>
      </w:r>
      <w:r w:rsidR="0083520B">
        <w:rPr>
          <w:rFonts w:cs="Times New Roman (Cuerpo en alfa"/>
          <w:spacing w:val="-8"/>
        </w:rPr>
        <w:t xml:space="preserve">, se presenta el Plan Plurianual de Inversiones para ejecutar el Plan Distrital de Desarrollo </w:t>
      </w:r>
      <w:r w:rsidR="0083520B" w:rsidRPr="00820972">
        <w:rPr>
          <w:rFonts w:cs="Times New Roman (Cuerpo en alfa"/>
          <w:i/>
          <w:iCs/>
          <w:spacing w:val="-8"/>
        </w:rPr>
        <w:t>Bogotá Camina Segura.</w:t>
      </w:r>
    </w:p>
    <w:p w14:paraId="3A464CF7" w14:textId="77777777" w:rsidR="000324CB" w:rsidRDefault="000324CB" w:rsidP="0083520B">
      <w:pPr>
        <w:rPr>
          <w:rFonts w:eastAsia="Arial" w:cs="Arial"/>
        </w:rPr>
        <w:sectPr w:rsidR="000324CB" w:rsidSect="00F7078E">
          <w:type w:val="continuous"/>
          <w:pgSz w:w="12240" w:h="15840"/>
          <w:pgMar w:top="2262" w:right="1440" w:bottom="1440" w:left="1440" w:header="708" w:footer="680" w:gutter="0"/>
          <w:cols w:num="2" w:space="567"/>
          <w:docGrid w:linePitch="299"/>
        </w:sectPr>
      </w:pPr>
    </w:p>
    <w:p w14:paraId="2A4115D5" w14:textId="77777777" w:rsidR="000324CB" w:rsidRDefault="000324CB" w:rsidP="0083520B">
      <w:pPr>
        <w:rPr>
          <w:rFonts w:eastAsia="Arial" w:cs="Arial"/>
        </w:rPr>
      </w:pPr>
    </w:p>
    <w:p w14:paraId="007F9A12" w14:textId="77777777" w:rsidR="000324CB" w:rsidRDefault="000324CB" w:rsidP="0083520B">
      <w:pPr>
        <w:rPr>
          <w:rFonts w:eastAsia="Arial" w:cs="Arial"/>
        </w:rPr>
      </w:pPr>
    </w:p>
    <w:p w14:paraId="77728F91" w14:textId="77777777" w:rsidR="000324CB" w:rsidRDefault="000324CB" w:rsidP="0083520B">
      <w:pPr>
        <w:rPr>
          <w:rFonts w:eastAsia="Arial" w:cs="Arial"/>
        </w:rPr>
        <w:sectPr w:rsidR="000324CB" w:rsidSect="00F7078E">
          <w:type w:val="continuous"/>
          <w:pgSz w:w="12240" w:h="15840"/>
          <w:pgMar w:top="2262" w:right="1440" w:bottom="1440" w:left="1440" w:header="708" w:footer="680" w:gutter="0"/>
          <w:cols w:space="567"/>
          <w:docGrid w:linePitch="299"/>
        </w:sectPr>
      </w:pPr>
    </w:p>
    <w:p w14:paraId="77043F04" w14:textId="77777777" w:rsidR="0083520B" w:rsidRPr="005D43C0" w:rsidRDefault="0083520B" w:rsidP="0083520B">
      <w:pPr>
        <w:rPr>
          <w:rFonts w:eastAsia="Arial" w:cs="Arial"/>
        </w:rPr>
      </w:pPr>
    </w:p>
    <w:p w14:paraId="78F265F3" w14:textId="77777777" w:rsidR="0083520B" w:rsidRPr="005D43C0" w:rsidRDefault="0083520B" w:rsidP="0083520B">
      <w:pPr>
        <w:sectPr w:rsidR="0083520B" w:rsidRPr="005D43C0" w:rsidSect="00F7078E">
          <w:type w:val="continuous"/>
          <w:pgSz w:w="12240" w:h="15840"/>
          <w:pgMar w:top="2262" w:right="1440" w:bottom="1440" w:left="1440" w:header="708" w:footer="680" w:gutter="0"/>
          <w:cols w:num="2" w:space="567"/>
          <w:docGrid w:linePitch="299"/>
        </w:sectPr>
      </w:pPr>
    </w:p>
    <w:p w14:paraId="14D558BB" w14:textId="77777777" w:rsidR="00513F0E" w:rsidRDefault="00513F0E" w:rsidP="0000558C">
      <w:r w:rsidRPr="00562BAF">
        <w:rPr>
          <w:noProof/>
        </w:rPr>
        <w:lastRenderedPageBreak/>
        <w:drawing>
          <wp:anchor distT="0" distB="0" distL="114300" distR="114300" simplePos="0" relativeHeight="251697152" behindDoc="1" locked="0" layoutInCell="1" allowOverlap="1" wp14:anchorId="4FE0942C" wp14:editId="7CD1D7C4">
            <wp:simplePos x="0" y="0"/>
            <wp:positionH relativeFrom="margin">
              <wp:posOffset>6350</wp:posOffset>
            </wp:positionH>
            <wp:positionV relativeFrom="margin">
              <wp:posOffset>-1620520</wp:posOffset>
            </wp:positionV>
            <wp:extent cx="5932800" cy="2241073"/>
            <wp:effectExtent l="0" t="0" r="0" b="6985"/>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78">
                      <a:extLst>
                        <a:ext uri="{28A0092B-C50C-407E-A947-70E740481C1C}">
                          <a14:useLocalDpi xmlns:a14="http://schemas.microsoft.com/office/drawing/2010/main" val="0"/>
                        </a:ext>
                      </a:extLst>
                    </a:blip>
                    <a:stretch>
                      <a:fillRect/>
                    </a:stretch>
                  </pic:blipFill>
                  <pic:spPr>
                    <a:xfrm>
                      <a:off x="0" y="0"/>
                      <a:ext cx="5932800" cy="2241073"/>
                    </a:xfrm>
                    <a:prstGeom prst="rect">
                      <a:avLst/>
                    </a:prstGeom>
                  </pic:spPr>
                </pic:pic>
              </a:graphicData>
            </a:graphic>
            <wp14:sizeRelH relativeFrom="page">
              <wp14:pctWidth>0</wp14:pctWidth>
            </wp14:sizeRelH>
            <wp14:sizeRelV relativeFrom="page">
              <wp14:pctHeight>0</wp14:pctHeight>
            </wp14:sizeRelV>
          </wp:anchor>
        </w:drawing>
      </w:r>
    </w:p>
    <w:p w14:paraId="57B9A99E" w14:textId="77777777" w:rsidR="00513F0E" w:rsidRDefault="00513F0E" w:rsidP="0000558C"/>
    <w:p w14:paraId="0987CC2B" w14:textId="77777777" w:rsidR="0000558C" w:rsidRDefault="0000558C" w:rsidP="00513F0E">
      <w:pPr>
        <w:pStyle w:val="titulodocumento"/>
        <w:rPr>
          <w:color w:val="C00000"/>
        </w:rPr>
      </w:pPr>
    </w:p>
    <w:p w14:paraId="65028A0D" w14:textId="77777777" w:rsidR="006E0EB3" w:rsidRPr="006E0EB3" w:rsidRDefault="006E0EB3" w:rsidP="006E0EB3">
      <w:pPr>
        <w:pStyle w:val="titulodocumento"/>
        <w:spacing w:line="240" w:lineRule="auto"/>
        <w:rPr>
          <w:color w:val="C00000"/>
          <w:sz w:val="36"/>
          <w:szCs w:val="24"/>
        </w:rPr>
      </w:pPr>
    </w:p>
    <w:p w14:paraId="08ACE845" w14:textId="6EABE794" w:rsidR="00513F0E" w:rsidRDefault="00513F0E" w:rsidP="0000558C">
      <w:pPr>
        <w:pStyle w:val="NIVEL2PDD"/>
      </w:pPr>
      <w:bookmarkStart w:id="134" w:name="_Toc165169745"/>
      <w:r>
        <w:t>Plan Plurianual de Inversiones</w:t>
      </w:r>
      <w:bookmarkEnd w:id="134"/>
    </w:p>
    <w:p w14:paraId="6DF22590" w14:textId="7CEC91AA" w:rsidR="00513F0E" w:rsidRPr="002B3526" w:rsidRDefault="00513F0E" w:rsidP="0000558C">
      <w:pPr>
        <w:pStyle w:val="Ttulo3"/>
        <w:rPr>
          <w:rFonts w:cs="Times New Roman (Cuerpo en alfa"/>
          <w:spacing w:val="-10"/>
        </w:rPr>
      </w:pPr>
      <w:bookmarkStart w:id="135" w:name="_Toc165169746"/>
      <w:r>
        <w:t>Fuentes de financiación del Plan Plurianual de Inversiones</w:t>
      </w:r>
      <w:bookmarkEnd w:id="135"/>
    </w:p>
    <w:p w14:paraId="7D97E60B" w14:textId="77777777" w:rsidR="00513F0E" w:rsidRDefault="00513F0E" w:rsidP="00513F0E">
      <w:pPr>
        <w:rPr>
          <w:rFonts w:cs="Times New Roman (Cuerpo en alfa"/>
          <w:spacing w:val="-10"/>
        </w:rPr>
      </w:pPr>
    </w:p>
    <w:p w14:paraId="47612104" w14:textId="77777777" w:rsidR="00513F0E" w:rsidRDefault="00513F0E" w:rsidP="00513F0E">
      <w:pPr>
        <w:rPr>
          <w:rFonts w:cs="Times New Roman (Cuerpo en alfa"/>
          <w:spacing w:val="-10"/>
        </w:rPr>
        <w:sectPr w:rsidR="00513F0E" w:rsidSect="00F7078E">
          <w:headerReference w:type="default" r:id="rId79"/>
          <w:pgSz w:w="12240" w:h="15840"/>
          <w:pgMar w:top="2262" w:right="1440" w:bottom="1440" w:left="1440" w:header="709" w:footer="680" w:gutter="0"/>
          <w:cols w:space="708"/>
          <w:docGrid w:linePitch="360"/>
        </w:sectPr>
      </w:pPr>
    </w:p>
    <w:p w14:paraId="743C7B61" w14:textId="7ED19888" w:rsidR="00513F0E" w:rsidRDefault="00513F0E" w:rsidP="00513F0E">
      <w:pPr>
        <w:rPr>
          <w:rFonts w:cs="Times New Roman (Cuerpo en alfa"/>
          <w:spacing w:val="-10"/>
        </w:rPr>
      </w:pPr>
      <w:r w:rsidRPr="00E83291">
        <w:rPr>
          <w:rFonts w:cs="Times New Roman (Cuerpo en alfa"/>
          <w:spacing w:val="-10"/>
        </w:rPr>
        <w:t>Bogotá Camina Segura 2024-2027 tiene recursos indicativos por el orden de los $142,5 billones, de los cuales $90,86 billones son recursos de la administración central asociados a la inversión que se destina</w:t>
      </w:r>
      <w:r w:rsidR="0000558C">
        <w:rPr>
          <w:rFonts w:cs="Times New Roman (Cuerpo en alfa"/>
          <w:spacing w:val="-10"/>
        </w:rPr>
        <w:t>n en forma directa</w:t>
      </w:r>
      <w:r w:rsidRPr="00E83291">
        <w:rPr>
          <w:rFonts w:cs="Times New Roman (Cuerpo en alfa"/>
          <w:spacing w:val="-10"/>
        </w:rPr>
        <w:t xml:space="preserve"> a los objetivos del Plan de Desarrollo. </w:t>
      </w:r>
    </w:p>
    <w:p w14:paraId="4F562BC7" w14:textId="77777777" w:rsidR="00513F0E" w:rsidRPr="00E83291" w:rsidRDefault="00513F0E" w:rsidP="00513F0E">
      <w:pPr>
        <w:rPr>
          <w:rFonts w:cs="Times New Roman (Cuerpo en alfa"/>
          <w:spacing w:val="-10"/>
        </w:rPr>
      </w:pPr>
    </w:p>
    <w:p w14:paraId="37DA4EBB" w14:textId="77777777" w:rsidR="00513F0E" w:rsidRDefault="00513F0E" w:rsidP="00513F0E">
      <w:pPr>
        <w:rPr>
          <w:rFonts w:cs="Times New Roman (Cuerpo en alfa"/>
          <w:spacing w:val="-10"/>
        </w:rPr>
      </w:pPr>
      <w:r w:rsidRPr="00E83291">
        <w:rPr>
          <w:rFonts w:cs="Times New Roman (Cuerpo en alfa"/>
          <w:spacing w:val="-10"/>
        </w:rPr>
        <w:t xml:space="preserve">Dentro de las fuentes, se destacan los recursos de administración central y establecimientos públicos, que </w:t>
      </w:r>
      <w:r w:rsidRPr="00E83291">
        <w:rPr>
          <w:rFonts w:cs="Times New Roman (Cuerpo en alfa"/>
          <w:spacing w:val="-10"/>
        </w:rPr>
        <w:t xml:space="preserve">aportan un total de $107,3 billones (75 % del total). A esto se le suman $6,7 billones que se asignan a los fondos de desarrollo local (artículo 89 del Decreto Ley 1421 de 1993) mientras que las empresas industriales y comerciales del distrito, por su parte, concentran el 19,5 % del Plan Plurianual de Inversiones (PPI).  </w:t>
      </w:r>
    </w:p>
    <w:p w14:paraId="4D0B22D1" w14:textId="77777777" w:rsidR="00513F0E" w:rsidRDefault="00513F0E" w:rsidP="00513F0E">
      <w:pPr>
        <w:rPr>
          <w:rFonts w:cs="Times New Roman (Cuerpo en alfa"/>
          <w:spacing w:val="-10"/>
        </w:rPr>
        <w:sectPr w:rsidR="00513F0E" w:rsidSect="00F7078E">
          <w:type w:val="continuous"/>
          <w:pgSz w:w="12240" w:h="15840"/>
          <w:pgMar w:top="2262" w:right="1440" w:bottom="1440" w:left="1440" w:header="709" w:footer="680" w:gutter="0"/>
          <w:cols w:num="2" w:space="567"/>
          <w:docGrid w:linePitch="360"/>
        </w:sectPr>
      </w:pPr>
    </w:p>
    <w:p w14:paraId="1071BECF" w14:textId="77777777" w:rsidR="00513F0E" w:rsidRPr="00E83291" w:rsidRDefault="00513F0E" w:rsidP="00513F0E">
      <w:pPr>
        <w:rPr>
          <w:rFonts w:cs="Times New Roman (Cuerpo en alfa"/>
          <w:spacing w:val="-10"/>
        </w:rPr>
      </w:pPr>
    </w:p>
    <w:p w14:paraId="1B784D00" w14:textId="204E6FE2" w:rsidR="00513F0E" w:rsidRPr="006E0EB3" w:rsidRDefault="006E0EB3" w:rsidP="006E0EB3">
      <w:pPr>
        <w:pStyle w:val="Descripcin"/>
        <w:jc w:val="center"/>
        <w:rPr>
          <w:b w:val="0"/>
          <w:bCs/>
          <w:sz w:val="18"/>
          <w:szCs w:val="14"/>
        </w:rPr>
      </w:pPr>
      <w:bookmarkStart w:id="136" w:name="_Toc165169919"/>
      <w:r w:rsidRPr="006E0EB3">
        <w:rPr>
          <w:color w:val="C00000"/>
          <w:sz w:val="18"/>
          <w:szCs w:val="14"/>
        </w:rPr>
        <w:t xml:space="preserve">Tabla </w:t>
      </w:r>
      <w:r w:rsidRPr="006E0EB3">
        <w:rPr>
          <w:color w:val="C00000"/>
          <w:sz w:val="18"/>
          <w:szCs w:val="14"/>
        </w:rPr>
        <w:fldChar w:fldCharType="begin"/>
      </w:r>
      <w:r w:rsidRPr="006E0EB3">
        <w:rPr>
          <w:color w:val="C00000"/>
          <w:sz w:val="18"/>
          <w:szCs w:val="14"/>
        </w:rPr>
        <w:instrText xml:space="preserve"> SEQ Tabla \* ARABIC </w:instrText>
      </w:r>
      <w:r w:rsidRPr="006E0EB3">
        <w:rPr>
          <w:color w:val="C00000"/>
          <w:sz w:val="18"/>
          <w:szCs w:val="14"/>
        </w:rPr>
        <w:fldChar w:fldCharType="separate"/>
      </w:r>
      <w:r w:rsidR="00D01651">
        <w:rPr>
          <w:noProof/>
          <w:color w:val="C00000"/>
          <w:sz w:val="18"/>
          <w:szCs w:val="14"/>
        </w:rPr>
        <w:t>9</w:t>
      </w:r>
      <w:r w:rsidRPr="006E0EB3">
        <w:rPr>
          <w:color w:val="C00000"/>
          <w:sz w:val="18"/>
          <w:szCs w:val="14"/>
        </w:rPr>
        <w:fldChar w:fldCharType="end"/>
      </w:r>
      <w:r w:rsidRPr="006E0EB3">
        <w:rPr>
          <w:color w:val="C00000"/>
          <w:sz w:val="18"/>
          <w:szCs w:val="14"/>
        </w:rPr>
        <w:t xml:space="preserve">. </w:t>
      </w:r>
      <w:r w:rsidR="00513F0E" w:rsidRPr="006E0EB3">
        <w:rPr>
          <w:sz w:val="18"/>
          <w:szCs w:val="14"/>
        </w:rPr>
        <w:t xml:space="preserve">Plan Plurianual de Inversiones - </w:t>
      </w:r>
      <w:r w:rsidR="00A87961" w:rsidRPr="006E0EB3">
        <w:rPr>
          <w:sz w:val="18"/>
          <w:szCs w:val="14"/>
        </w:rPr>
        <w:t>Plan Distrital de Desarrollo</w:t>
      </w:r>
      <w:r w:rsidR="00513F0E" w:rsidRPr="006E0EB3">
        <w:rPr>
          <w:sz w:val="18"/>
          <w:szCs w:val="14"/>
        </w:rPr>
        <w:t xml:space="preserve"> 2024 – </w:t>
      </w:r>
      <w:r w:rsidR="00B161CB" w:rsidRPr="006E0EB3">
        <w:rPr>
          <w:sz w:val="18"/>
          <w:szCs w:val="14"/>
        </w:rPr>
        <w:t>2027 “</w:t>
      </w:r>
      <w:r w:rsidR="00513F0E" w:rsidRPr="006E0EB3">
        <w:rPr>
          <w:sz w:val="18"/>
          <w:szCs w:val="14"/>
        </w:rPr>
        <w:t xml:space="preserve">Bogotá Camina Segura” </w:t>
      </w:r>
      <w:r w:rsidR="00733B27">
        <w:rPr>
          <w:sz w:val="18"/>
          <w:szCs w:val="14"/>
        </w:rPr>
        <w:br/>
      </w:r>
      <w:r w:rsidR="00513F0E" w:rsidRPr="006E0EB3">
        <w:rPr>
          <w:sz w:val="18"/>
          <w:szCs w:val="14"/>
        </w:rPr>
        <w:t>(miles de millones de pesos constantes 2024)</w:t>
      </w:r>
      <w:bookmarkEnd w:id="136"/>
    </w:p>
    <w:tbl>
      <w:tblPr>
        <w:tblW w:w="0" w:type="auto"/>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2552"/>
        <w:gridCol w:w="1134"/>
        <w:gridCol w:w="1134"/>
        <w:gridCol w:w="1134"/>
        <w:gridCol w:w="992"/>
        <w:gridCol w:w="1890"/>
      </w:tblGrid>
      <w:tr w:rsidR="00513F0E" w14:paraId="64E4DA61" w14:textId="77777777" w:rsidTr="00B55540">
        <w:tc>
          <w:tcPr>
            <w:tcW w:w="2552" w:type="dxa"/>
            <w:shd w:val="clear" w:color="auto" w:fill="C00000"/>
            <w:vAlign w:val="center"/>
          </w:tcPr>
          <w:p w14:paraId="27E906FE" w14:textId="77777777" w:rsidR="00513F0E" w:rsidRPr="00A00020" w:rsidRDefault="00513F0E" w:rsidP="00EB2035">
            <w:pPr>
              <w:ind w:right="10"/>
              <w:jc w:val="left"/>
              <w:rPr>
                <w:rFonts w:eastAsia="Arial" w:cs="Arial"/>
                <w:color w:val="FFFFFF"/>
                <w:sz w:val="28"/>
                <w:szCs w:val="28"/>
              </w:rPr>
            </w:pPr>
            <w:r w:rsidRPr="00A00020">
              <w:rPr>
                <w:rFonts w:eastAsia="Arial" w:cs="Arial"/>
                <w:b/>
                <w:color w:val="FFFFFF"/>
                <w:sz w:val="28"/>
                <w:szCs w:val="28"/>
              </w:rPr>
              <w:t>Concepto</w:t>
            </w:r>
          </w:p>
        </w:tc>
        <w:tc>
          <w:tcPr>
            <w:tcW w:w="1134" w:type="dxa"/>
            <w:shd w:val="clear" w:color="auto" w:fill="C00000"/>
            <w:vAlign w:val="center"/>
          </w:tcPr>
          <w:p w14:paraId="31BE0622" w14:textId="77777777" w:rsidR="00513F0E" w:rsidRPr="00A00020" w:rsidRDefault="00513F0E" w:rsidP="00FF1F9A">
            <w:pPr>
              <w:ind w:right="10"/>
              <w:jc w:val="center"/>
              <w:rPr>
                <w:rFonts w:eastAsia="Arial" w:cs="Arial"/>
                <w:color w:val="FFFFFF"/>
                <w:sz w:val="28"/>
                <w:szCs w:val="28"/>
              </w:rPr>
            </w:pPr>
            <w:r w:rsidRPr="00A00020">
              <w:rPr>
                <w:rFonts w:eastAsia="Arial" w:cs="Arial"/>
                <w:b/>
                <w:color w:val="FFFFFF"/>
                <w:sz w:val="28"/>
                <w:szCs w:val="28"/>
              </w:rPr>
              <w:t>2024</w:t>
            </w:r>
          </w:p>
        </w:tc>
        <w:tc>
          <w:tcPr>
            <w:tcW w:w="1134" w:type="dxa"/>
            <w:shd w:val="clear" w:color="auto" w:fill="C00000"/>
            <w:vAlign w:val="center"/>
          </w:tcPr>
          <w:p w14:paraId="61FE013E" w14:textId="77777777" w:rsidR="00513F0E" w:rsidRPr="00A00020" w:rsidRDefault="00513F0E" w:rsidP="00FF1F9A">
            <w:pPr>
              <w:ind w:right="10"/>
              <w:jc w:val="center"/>
              <w:rPr>
                <w:rFonts w:eastAsia="Arial" w:cs="Arial"/>
                <w:color w:val="FFFFFF"/>
                <w:sz w:val="28"/>
                <w:szCs w:val="28"/>
              </w:rPr>
            </w:pPr>
            <w:r w:rsidRPr="00A00020">
              <w:rPr>
                <w:rFonts w:eastAsia="Arial" w:cs="Arial"/>
                <w:b/>
                <w:color w:val="FFFFFF"/>
                <w:sz w:val="28"/>
                <w:szCs w:val="28"/>
              </w:rPr>
              <w:t>2025</w:t>
            </w:r>
          </w:p>
        </w:tc>
        <w:tc>
          <w:tcPr>
            <w:tcW w:w="1134" w:type="dxa"/>
            <w:shd w:val="clear" w:color="auto" w:fill="C00000"/>
            <w:vAlign w:val="center"/>
          </w:tcPr>
          <w:p w14:paraId="68829EE2" w14:textId="77777777" w:rsidR="00513F0E" w:rsidRPr="00A00020" w:rsidRDefault="00513F0E" w:rsidP="00FF1F9A">
            <w:pPr>
              <w:ind w:right="10"/>
              <w:jc w:val="center"/>
              <w:rPr>
                <w:rFonts w:eastAsia="Arial" w:cs="Arial"/>
                <w:color w:val="FFFFFF"/>
                <w:sz w:val="28"/>
                <w:szCs w:val="28"/>
              </w:rPr>
            </w:pPr>
            <w:r w:rsidRPr="00A00020">
              <w:rPr>
                <w:rFonts w:eastAsia="Arial" w:cs="Arial"/>
                <w:b/>
                <w:color w:val="FFFFFF"/>
                <w:sz w:val="28"/>
                <w:szCs w:val="28"/>
              </w:rPr>
              <w:t>2026</w:t>
            </w:r>
          </w:p>
        </w:tc>
        <w:tc>
          <w:tcPr>
            <w:tcW w:w="992" w:type="dxa"/>
            <w:shd w:val="clear" w:color="auto" w:fill="C00000"/>
            <w:vAlign w:val="center"/>
          </w:tcPr>
          <w:p w14:paraId="76162B80" w14:textId="77777777" w:rsidR="00513F0E" w:rsidRPr="00A00020" w:rsidRDefault="00513F0E" w:rsidP="00FF1F9A">
            <w:pPr>
              <w:ind w:right="10"/>
              <w:jc w:val="center"/>
              <w:rPr>
                <w:rFonts w:eastAsia="Arial" w:cs="Arial"/>
                <w:color w:val="FFFFFF"/>
                <w:sz w:val="28"/>
                <w:szCs w:val="28"/>
              </w:rPr>
            </w:pPr>
            <w:r w:rsidRPr="00A00020">
              <w:rPr>
                <w:rFonts w:eastAsia="Arial" w:cs="Arial"/>
                <w:b/>
                <w:color w:val="FFFFFF"/>
                <w:sz w:val="28"/>
                <w:szCs w:val="28"/>
              </w:rPr>
              <w:t>2027</w:t>
            </w:r>
          </w:p>
        </w:tc>
        <w:tc>
          <w:tcPr>
            <w:tcW w:w="1890" w:type="dxa"/>
            <w:shd w:val="clear" w:color="auto" w:fill="C00000"/>
            <w:vAlign w:val="center"/>
          </w:tcPr>
          <w:p w14:paraId="4B8FC0D0" w14:textId="77777777" w:rsidR="00513F0E" w:rsidRPr="00A00020" w:rsidRDefault="00513F0E" w:rsidP="00FF1F9A">
            <w:pPr>
              <w:ind w:right="10"/>
              <w:jc w:val="center"/>
              <w:rPr>
                <w:rFonts w:eastAsia="Arial" w:cs="Arial"/>
                <w:color w:val="FFFFFF"/>
                <w:sz w:val="28"/>
                <w:szCs w:val="28"/>
              </w:rPr>
            </w:pPr>
            <w:r w:rsidRPr="00A00020">
              <w:rPr>
                <w:rFonts w:eastAsia="Arial" w:cs="Arial"/>
                <w:b/>
                <w:color w:val="FFFFFF"/>
                <w:sz w:val="28"/>
                <w:szCs w:val="28"/>
              </w:rPr>
              <w:t>2024-2027</w:t>
            </w:r>
          </w:p>
        </w:tc>
      </w:tr>
      <w:tr w:rsidR="00513F0E" w14:paraId="771C8515" w14:textId="77777777" w:rsidTr="00B55540">
        <w:trPr>
          <w:trHeight w:val="454"/>
        </w:trPr>
        <w:tc>
          <w:tcPr>
            <w:tcW w:w="2552" w:type="dxa"/>
            <w:vAlign w:val="center"/>
          </w:tcPr>
          <w:p w14:paraId="2C3A4763" w14:textId="74273D36" w:rsidR="00513F0E" w:rsidRPr="00513F0E" w:rsidRDefault="0003700E" w:rsidP="00EB2035">
            <w:pPr>
              <w:jc w:val="left"/>
              <w:rPr>
                <w:szCs w:val="20"/>
              </w:rPr>
            </w:pPr>
            <w:r>
              <w:rPr>
                <w:szCs w:val="20"/>
              </w:rPr>
              <w:t xml:space="preserve">A. </w:t>
            </w:r>
            <w:r w:rsidR="00513F0E" w:rsidRPr="00513F0E">
              <w:rPr>
                <w:szCs w:val="20"/>
              </w:rPr>
              <w:t>Administración Central</w:t>
            </w:r>
          </w:p>
        </w:tc>
        <w:tc>
          <w:tcPr>
            <w:tcW w:w="1134" w:type="dxa"/>
            <w:vAlign w:val="center"/>
          </w:tcPr>
          <w:p w14:paraId="52D1781B" w14:textId="77777777" w:rsidR="00513F0E" w:rsidRPr="00513F0E" w:rsidRDefault="00513F0E" w:rsidP="006E0EB3">
            <w:pPr>
              <w:jc w:val="right"/>
              <w:rPr>
                <w:szCs w:val="20"/>
              </w:rPr>
            </w:pPr>
            <w:r w:rsidRPr="00513F0E">
              <w:rPr>
                <w:szCs w:val="20"/>
              </w:rPr>
              <w:t>21.755</w:t>
            </w:r>
          </w:p>
        </w:tc>
        <w:tc>
          <w:tcPr>
            <w:tcW w:w="1134" w:type="dxa"/>
            <w:vAlign w:val="center"/>
          </w:tcPr>
          <w:p w14:paraId="48F9872A" w14:textId="77777777" w:rsidR="00513F0E" w:rsidRPr="00513F0E" w:rsidRDefault="00513F0E" w:rsidP="006E0EB3">
            <w:pPr>
              <w:jc w:val="right"/>
              <w:rPr>
                <w:szCs w:val="20"/>
              </w:rPr>
            </w:pPr>
            <w:r w:rsidRPr="00513F0E">
              <w:rPr>
                <w:szCs w:val="20"/>
              </w:rPr>
              <w:t>23.777</w:t>
            </w:r>
          </w:p>
        </w:tc>
        <w:tc>
          <w:tcPr>
            <w:tcW w:w="1134" w:type="dxa"/>
            <w:vAlign w:val="center"/>
          </w:tcPr>
          <w:p w14:paraId="27C32A8E" w14:textId="77777777" w:rsidR="00513F0E" w:rsidRPr="00513F0E" w:rsidRDefault="00513F0E" w:rsidP="006E0EB3">
            <w:pPr>
              <w:jc w:val="right"/>
              <w:rPr>
                <w:szCs w:val="20"/>
              </w:rPr>
            </w:pPr>
            <w:r w:rsidRPr="00513F0E">
              <w:rPr>
                <w:szCs w:val="20"/>
              </w:rPr>
              <w:t>25.463</w:t>
            </w:r>
          </w:p>
        </w:tc>
        <w:tc>
          <w:tcPr>
            <w:tcW w:w="992" w:type="dxa"/>
            <w:vAlign w:val="center"/>
          </w:tcPr>
          <w:p w14:paraId="05444A54" w14:textId="77777777" w:rsidR="00513F0E" w:rsidRPr="00513F0E" w:rsidRDefault="00513F0E" w:rsidP="006E0EB3">
            <w:pPr>
              <w:jc w:val="right"/>
              <w:rPr>
                <w:szCs w:val="20"/>
              </w:rPr>
            </w:pPr>
            <w:r w:rsidRPr="00513F0E">
              <w:rPr>
                <w:szCs w:val="20"/>
              </w:rPr>
              <w:t>25.567</w:t>
            </w:r>
          </w:p>
        </w:tc>
        <w:tc>
          <w:tcPr>
            <w:tcW w:w="1890" w:type="dxa"/>
            <w:vAlign w:val="center"/>
          </w:tcPr>
          <w:p w14:paraId="27E42998" w14:textId="77777777" w:rsidR="00513F0E" w:rsidRPr="00513F0E" w:rsidRDefault="00513F0E" w:rsidP="006E0EB3">
            <w:pPr>
              <w:jc w:val="right"/>
              <w:rPr>
                <w:szCs w:val="20"/>
              </w:rPr>
            </w:pPr>
            <w:r w:rsidRPr="00513F0E">
              <w:rPr>
                <w:b/>
                <w:szCs w:val="20"/>
              </w:rPr>
              <w:t>96.561</w:t>
            </w:r>
          </w:p>
        </w:tc>
      </w:tr>
      <w:tr w:rsidR="00513F0E" w14:paraId="6B10D41C" w14:textId="77777777" w:rsidTr="00B55540">
        <w:trPr>
          <w:trHeight w:val="454"/>
        </w:trPr>
        <w:tc>
          <w:tcPr>
            <w:tcW w:w="2552" w:type="dxa"/>
            <w:vAlign w:val="center"/>
          </w:tcPr>
          <w:p w14:paraId="40C729F4" w14:textId="1C20A3D7" w:rsidR="00EB2035" w:rsidRDefault="0003700E" w:rsidP="00EB2035">
            <w:pPr>
              <w:jc w:val="left"/>
              <w:rPr>
                <w:szCs w:val="20"/>
              </w:rPr>
            </w:pPr>
            <w:r>
              <w:rPr>
                <w:szCs w:val="20"/>
              </w:rPr>
              <w:t xml:space="preserve">B. </w:t>
            </w:r>
            <w:r w:rsidR="00513F0E" w:rsidRPr="00513F0E">
              <w:rPr>
                <w:szCs w:val="20"/>
              </w:rPr>
              <w:t xml:space="preserve">Establecimientos </w:t>
            </w:r>
          </w:p>
          <w:p w14:paraId="79F75F20" w14:textId="295F1C23" w:rsidR="00513F0E" w:rsidRPr="00513F0E" w:rsidRDefault="00513F0E" w:rsidP="00EB2035">
            <w:pPr>
              <w:jc w:val="left"/>
              <w:rPr>
                <w:szCs w:val="20"/>
              </w:rPr>
            </w:pPr>
            <w:r w:rsidRPr="00513F0E">
              <w:rPr>
                <w:szCs w:val="20"/>
              </w:rPr>
              <w:t>Públicos</w:t>
            </w:r>
          </w:p>
        </w:tc>
        <w:tc>
          <w:tcPr>
            <w:tcW w:w="1134" w:type="dxa"/>
            <w:vAlign w:val="center"/>
          </w:tcPr>
          <w:p w14:paraId="2209440A" w14:textId="77777777" w:rsidR="00513F0E" w:rsidRPr="00513F0E" w:rsidRDefault="00513F0E" w:rsidP="006E0EB3">
            <w:pPr>
              <w:jc w:val="right"/>
              <w:rPr>
                <w:szCs w:val="20"/>
              </w:rPr>
            </w:pPr>
            <w:r w:rsidRPr="00513F0E">
              <w:rPr>
                <w:szCs w:val="20"/>
              </w:rPr>
              <w:t>3.446</w:t>
            </w:r>
          </w:p>
        </w:tc>
        <w:tc>
          <w:tcPr>
            <w:tcW w:w="1134" w:type="dxa"/>
            <w:vAlign w:val="center"/>
          </w:tcPr>
          <w:p w14:paraId="5883FF62" w14:textId="77777777" w:rsidR="00513F0E" w:rsidRPr="00513F0E" w:rsidRDefault="00513F0E" w:rsidP="006E0EB3">
            <w:pPr>
              <w:jc w:val="right"/>
              <w:rPr>
                <w:szCs w:val="20"/>
              </w:rPr>
            </w:pPr>
            <w:r w:rsidRPr="00513F0E">
              <w:rPr>
                <w:szCs w:val="20"/>
              </w:rPr>
              <w:t>2.502</w:t>
            </w:r>
          </w:p>
        </w:tc>
        <w:tc>
          <w:tcPr>
            <w:tcW w:w="1134" w:type="dxa"/>
            <w:vAlign w:val="center"/>
          </w:tcPr>
          <w:p w14:paraId="5AE944F1" w14:textId="77777777" w:rsidR="00513F0E" w:rsidRPr="00513F0E" w:rsidRDefault="00513F0E" w:rsidP="006E0EB3">
            <w:pPr>
              <w:jc w:val="right"/>
              <w:rPr>
                <w:szCs w:val="20"/>
              </w:rPr>
            </w:pPr>
            <w:r w:rsidRPr="00513F0E">
              <w:rPr>
                <w:szCs w:val="20"/>
              </w:rPr>
              <w:t>2.446</w:t>
            </w:r>
          </w:p>
        </w:tc>
        <w:tc>
          <w:tcPr>
            <w:tcW w:w="992" w:type="dxa"/>
            <w:vAlign w:val="center"/>
          </w:tcPr>
          <w:p w14:paraId="4206B26F" w14:textId="77777777" w:rsidR="00513F0E" w:rsidRPr="00513F0E" w:rsidRDefault="00513F0E" w:rsidP="006E0EB3">
            <w:pPr>
              <w:jc w:val="right"/>
              <w:rPr>
                <w:szCs w:val="20"/>
              </w:rPr>
            </w:pPr>
            <w:r w:rsidRPr="00513F0E">
              <w:rPr>
                <w:szCs w:val="20"/>
              </w:rPr>
              <w:t>2.405</w:t>
            </w:r>
          </w:p>
        </w:tc>
        <w:tc>
          <w:tcPr>
            <w:tcW w:w="1890" w:type="dxa"/>
            <w:vAlign w:val="center"/>
          </w:tcPr>
          <w:p w14:paraId="15F820D9" w14:textId="77777777" w:rsidR="00513F0E" w:rsidRPr="00513F0E" w:rsidRDefault="00513F0E" w:rsidP="006E0EB3">
            <w:pPr>
              <w:jc w:val="right"/>
              <w:rPr>
                <w:szCs w:val="20"/>
              </w:rPr>
            </w:pPr>
            <w:r w:rsidRPr="00513F0E">
              <w:rPr>
                <w:b/>
                <w:szCs w:val="20"/>
              </w:rPr>
              <w:t>10.800</w:t>
            </w:r>
          </w:p>
        </w:tc>
      </w:tr>
      <w:tr w:rsidR="00513F0E" w14:paraId="4C8B3AA1" w14:textId="77777777" w:rsidTr="0003700E">
        <w:trPr>
          <w:trHeight w:val="968"/>
        </w:trPr>
        <w:tc>
          <w:tcPr>
            <w:tcW w:w="2552" w:type="dxa"/>
            <w:shd w:val="clear" w:color="auto" w:fill="D9D9D9" w:themeFill="background1" w:themeFillShade="D9"/>
            <w:vAlign w:val="center"/>
          </w:tcPr>
          <w:p w14:paraId="200F1A2C" w14:textId="78C4FF0E" w:rsidR="0003700E" w:rsidRDefault="0003700E" w:rsidP="00EB2035">
            <w:pPr>
              <w:jc w:val="left"/>
              <w:rPr>
                <w:b/>
                <w:szCs w:val="20"/>
              </w:rPr>
            </w:pPr>
            <w:r>
              <w:rPr>
                <w:b/>
                <w:szCs w:val="20"/>
              </w:rPr>
              <w:t>C. (A + B)</w:t>
            </w:r>
          </w:p>
          <w:p w14:paraId="5AF0619A" w14:textId="6D2E30B2" w:rsidR="00513F0E" w:rsidRPr="00B55540" w:rsidRDefault="00513F0E" w:rsidP="00EB2035">
            <w:pPr>
              <w:jc w:val="left"/>
              <w:rPr>
                <w:b/>
                <w:szCs w:val="20"/>
              </w:rPr>
            </w:pPr>
            <w:r w:rsidRPr="00513F0E">
              <w:rPr>
                <w:b/>
                <w:szCs w:val="20"/>
              </w:rPr>
              <w:t>Subtotal Administración Central + Establecimientos Públicos</w:t>
            </w:r>
          </w:p>
        </w:tc>
        <w:tc>
          <w:tcPr>
            <w:tcW w:w="1134" w:type="dxa"/>
            <w:shd w:val="clear" w:color="auto" w:fill="D9D9D9" w:themeFill="background1" w:themeFillShade="D9"/>
            <w:vAlign w:val="center"/>
          </w:tcPr>
          <w:p w14:paraId="52DD472E" w14:textId="77777777" w:rsidR="00513F0E" w:rsidRPr="00513F0E" w:rsidRDefault="00513F0E" w:rsidP="006E0EB3">
            <w:pPr>
              <w:jc w:val="right"/>
              <w:rPr>
                <w:szCs w:val="20"/>
              </w:rPr>
            </w:pPr>
            <w:r w:rsidRPr="00513F0E">
              <w:rPr>
                <w:b/>
                <w:szCs w:val="20"/>
              </w:rPr>
              <w:t>25.201</w:t>
            </w:r>
          </w:p>
        </w:tc>
        <w:tc>
          <w:tcPr>
            <w:tcW w:w="1134" w:type="dxa"/>
            <w:shd w:val="clear" w:color="auto" w:fill="D9D9D9" w:themeFill="background1" w:themeFillShade="D9"/>
            <w:vAlign w:val="center"/>
          </w:tcPr>
          <w:p w14:paraId="0E00A1AE" w14:textId="77777777" w:rsidR="00513F0E" w:rsidRPr="00513F0E" w:rsidRDefault="00513F0E" w:rsidP="006E0EB3">
            <w:pPr>
              <w:jc w:val="right"/>
              <w:rPr>
                <w:szCs w:val="20"/>
              </w:rPr>
            </w:pPr>
            <w:r w:rsidRPr="00513F0E">
              <w:rPr>
                <w:b/>
                <w:szCs w:val="20"/>
              </w:rPr>
              <w:t>26.279</w:t>
            </w:r>
          </w:p>
        </w:tc>
        <w:tc>
          <w:tcPr>
            <w:tcW w:w="1134" w:type="dxa"/>
            <w:shd w:val="clear" w:color="auto" w:fill="D9D9D9" w:themeFill="background1" w:themeFillShade="D9"/>
            <w:vAlign w:val="center"/>
          </w:tcPr>
          <w:p w14:paraId="49474E40" w14:textId="77777777" w:rsidR="00513F0E" w:rsidRPr="00513F0E" w:rsidRDefault="00513F0E" w:rsidP="006E0EB3">
            <w:pPr>
              <w:jc w:val="right"/>
              <w:rPr>
                <w:szCs w:val="20"/>
              </w:rPr>
            </w:pPr>
            <w:r w:rsidRPr="00513F0E">
              <w:rPr>
                <w:b/>
                <w:szCs w:val="20"/>
              </w:rPr>
              <w:t>27.909</w:t>
            </w:r>
          </w:p>
        </w:tc>
        <w:tc>
          <w:tcPr>
            <w:tcW w:w="992" w:type="dxa"/>
            <w:shd w:val="clear" w:color="auto" w:fill="D9D9D9" w:themeFill="background1" w:themeFillShade="D9"/>
            <w:vAlign w:val="center"/>
          </w:tcPr>
          <w:p w14:paraId="4F91D660" w14:textId="77777777" w:rsidR="00513F0E" w:rsidRPr="00513F0E" w:rsidRDefault="00513F0E" w:rsidP="006E0EB3">
            <w:pPr>
              <w:jc w:val="right"/>
              <w:rPr>
                <w:szCs w:val="20"/>
              </w:rPr>
            </w:pPr>
            <w:r w:rsidRPr="00513F0E">
              <w:rPr>
                <w:b/>
                <w:szCs w:val="20"/>
              </w:rPr>
              <w:t>27.972</w:t>
            </w:r>
          </w:p>
        </w:tc>
        <w:tc>
          <w:tcPr>
            <w:tcW w:w="1890" w:type="dxa"/>
            <w:shd w:val="clear" w:color="auto" w:fill="D9D9D9" w:themeFill="background1" w:themeFillShade="D9"/>
            <w:vAlign w:val="center"/>
          </w:tcPr>
          <w:p w14:paraId="28D9F4A6" w14:textId="77777777" w:rsidR="00513F0E" w:rsidRPr="00513F0E" w:rsidRDefault="00513F0E" w:rsidP="006E0EB3">
            <w:pPr>
              <w:jc w:val="right"/>
              <w:rPr>
                <w:szCs w:val="20"/>
              </w:rPr>
            </w:pPr>
            <w:r w:rsidRPr="00513F0E">
              <w:rPr>
                <w:b/>
                <w:szCs w:val="20"/>
              </w:rPr>
              <w:t>107.360</w:t>
            </w:r>
          </w:p>
        </w:tc>
      </w:tr>
      <w:tr w:rsidR="00513F0E" w14:paraId="541082C4" w14:textId="77777777" w:rsidTr="00B55540">
        <w:trPr>
          <w:trHeight w:val="454"/>
        </w:trPr>
        <w:tc>
          <w:tcPr>
            <w:tcW w:w="2552" w:type="dxa"/>
            <w:vAlign w:val="center"/>
          </w:tcPr>
          <w:p w14:paraId="50335F2E" w14:textId="66E54D90" w:rsidR="00EB2035" w:rsidRDefault="0003700E" w:rsidP="00EB2035">
            <w:pPr>
              <w:jc w:val="left"/>
              <w:rPr>
                <w:szCs w:val="20"/>
              </w:rPr>
            </w:pPr>
            <w:r>
              <w:rPr>
                <w:szCs w:val="20"/>
              </w:rPr>
              <w:t xml:space="preserve">D. </w:t>
            </w:r>
            <w:r w:rsidR="00513F0E" w:rsidRPr="00513F0E">
              <w:rPr>
                <w:szCs w:val="20"/>
              </w:rPr>
              <w:t xml:space="preserve">Fondos de Desarrollo </w:t>
            </w:r>
          </w:p>
          <w:p w14:paraId="6FA57A35" w14:textId="33A15B2B" w:rsidR="00513F0E" w:rsidRPr="00513F0E" w:rsidRDefault="00513F0E" w:rsidP="00EB2035">
            <w:pPr>
              <w:jc w:val="left"/>
              <w:rPr>
                <w:szCs w:val="20"/>
              </w:rPr>
            </w:pPr>
            <w:r w:rsidRPr="00513F0E">
              <w:rPr>
                <w:szCs w:val="20"/>
              </w:rPr>
              <w:t>Local</w:t>
            </w:r>
          </w:p>
        </w:tc>
        <w:tc>
          <w:tcPr>
            <w:tcW w:w="1134" w:type="dxa"/>
            <w:vAlign w:val="center"/>
          </w:tcPr>
          <w:p w14:paraId="3A4E4900" w14:textId="77777777" w:rsidR="00513F0E" w:rsidRPr="00513F0E" w:rsidRDefault="00513F0E" w:rsidP="006E0EB3">
            <w:pPr>
              <w:jc w:val="right"/>
              <w:rPr>
                <w:szCs w:val="20"/>
              </w:rPr>
            </w:pPr>
            <w:r w:rsidRPr="00513F0E">
              <w:rPr>
                <w:szCs w:val="20"/>
              </w:rPr>
              <w:t>1.650</w:t>
            </w:r>
          </w:p>
        </w:tc>
        <w:tc>
          <w:tcPr>
            <w:tcW w:w="1134" w:type="dxa"/>
            <w:vAlign w:val="center"/>
          </w:tcPr>
          <w:p w14:paraId="685367AE" w14:textId="77777777" w:rsidR="00513F0E" w:rsidRPr="00513F0E" w:rsidRDefault="00513F0E" w:rsidP="006E0EB3">
            <w:pPr>
              <w:jc w:val="right"/>
              <w:rPr>
                <w:szCs w:val="20"/>
              </w:rPr>
            </w:pPr>
            <w:r w:rsidRPr="00513F0E">
              <w:rPr>
                <w:szCs w:val="20"/>
              </w:rPr>
              <w:t>1.659</w:t>
            </w:r>
          </w:p>
        </w:tc>
        <w:tc>
          <w:tcPr>
            <w:tcW w:w="1134" w:type="dxa"/>
            <w:vAlign w:val="center"/>
          </w:tcPr>
          <w:p w14:paraId="62BD6084" w14:textId="77777777" w:rsidR="00513F0E" w:rsidRPr="00513F0E" w:rsidRDefault="00513F0E" w:rsidP="006E0EB3">
            <w:pPr>
              <w:jc w:val="right"/>
              <w:rPr>
                <w:szCs w:val="20"/>
              </w:rPr>
            </w:pPr>
            <w:r w:rsidRPr="00513F0E">
              <w:rPr>
                <w:szCs w:val="20"/>
              </w:rPr>
              <w:t>1.708</w:t>
            </w:r>
          </w:p>
        </w:tc>
        <w:tc>
          <w:tcPr>
            <w:tcW w:w="992" w:type="dxa"/>
            <w:vAlign w:val="center"/>
          </w:tcPr>
          <w:p w14:paraId="162C8DC9" w14:textId="77777777" w:rsidR="00513F0E" w:rsidRPr="00513F0E" w:rsidRDefault="00513F0E" w:rsidP="006E0EB3">
            <w:pPr>
              <w:jc w:val="right"/>
              <w:rPr>
                <w:szCs w:val="20"/>
              </w:rPr>
            </w:pPr>
            <w:r w:rsidRPr="00513F0E">
              <w:rPr>
                <w:szCs w:val="20"/>
              </w:rPr>
              <w:t>1.758</w:t>
            </w:r>
          </w:p>
        </w:tc>
        <w:tc>
          <w:tcPr>
            <w:tcW w:w="1890" w:type="dxa"/>
            <w:vAlign w:val="center"/>
          </w:tcPr>
          <w:p w14:paraId="464805BA" w14:textId="77777777" w:rsidR="00513F0E" w:rsidRPr="00513F0E" w:rsidRDefault="00513F0E" w:rsidP="006E0EB3">
            <w:pPr>
              <w:jc w:val="right"/>
              <w:rPr>
                <w:szCs w:val="20"/>
              </w:rPr>
            </w:pPr>
            <w:r w:rsidRPr="00513F0E">
              <w:rPr>
                <w:b/>
                <w:szCs w:val="20"/>
              </w:rPr>
              <w:t>6.775</w:t>
            </w:r>
          </w:p>
        </w:tc>
      </w:tr>
      <w:tr w:rsidR="00513F0E" w14:paraId="75DC4F57" w14:textId="77777777" w:rsidTr="0003700E">
        <w:trPr>
          <w:trHeight w:val="454"/>
        </w:trPr>
        <w:tc>
          <w:tcPr>
            <w:tcW w:w="2552" w:type="dxa"/>
            <w:shd w:val="clear" w:color="auto" w:fill="D9D9D9" w:themeFill="background1" w:themeFillShade="D9"/>
            <w:vAlign w:val="center"/>
          </w:tcPr>
          <w:p w14:paraId="2E74E0AE" w14:textId="1FA1FEA2" w:rsidR="0003700E" w:rsidRDefault="0003700E" w:rsidP="00EB2035">
            <w:pPr>
              <w:jc w:val="left"/>
              <w:rPr>
                <w:b/>
                <w:szCs w:val="20"/>
              </w:rPr>
            </w:pPr>
            <w:r>
              <w:rPr>
                <w:b/>
                <w:szCs w:val="20"/>
              </w:rPr>
              <w:t>E. (C + D)</w:t>
            </w:r>
          </w:p>
          <w:p w14:paraId="16C502F9" w14:textId="442DDC9A" w:rsidR="00513F0E" w:rsidRPr="00B55540" w:rsidRDefault="00513F0E" w:rsidP="00EB2035">
            <w:pPr>
              <w:jc w:val="left"/>
              <w:rPr>
                <w:b/>
                <w:szCs w:val="20"/>
              </w:rPr>
            </w:pPr>
            <w:r w:rsidRPr="00513F0E">
              <w:rPr>
                <w:b/>
                <w:szCs w:val="20"/>
              </w:rPr>
              <w:t>Subtotal Inversión</w:t>
            </w:r>
          </w:p>
        </w:tc>
        <w:tc>
          <w:tcPr>
            <w:tcW w:w="1134" w:type="dxa"/>
            <w:shd w:val="clear" w:color="auto" w:fill="D9D9D9" w:themeFill="background1" w:themeFillShade="D9"/>
            <w:vAlign w:val="center"/>
          </w:tcPr>
          <w:p w14:paraId="1F0FBDEF" w14:textId="77777777" w:rsidR="00513F0E" w:rsidRPr="00513F0E" w:rsidRDefault="00513F0E" w:rsidP="006E0EB3">
            <w:pPr>
              <w:jc w:val="right"/>
              <w:rPr>
                <w:szCs w:val="20"/>
              </w:rPr>
            </w:pPr>
            <w:r w:rsidRPr="00513F0E">
              <w:rPr>
                <w:b/>
                <w:szCs w:val="20"/>
              </w:rPr>
              <w:t>26.851</w:t>
            </w:r>
          </w:p>
        </w:tc>
        <w:tc>
          <w:tcPr>
            <w:tcW w:w="1134" w:type="dxa"/>
            <w:shd w:val="clear" w:color="auto" w:fill="D9D9D9" w:themeFill="background1" w:themeFillShade="D9"/>
            <w:vAlign w:val="center"/>
          </w:tcPr>
          <w:p w14:paraId="39F64B7F" w14:textId="77777777" w:rsidR="00513F0E" w:rsidRPr="00513F0E" w:rsidRDefault="00513F0E" w:rsidP="006E0EB3">
            <w:pPr>
              <w:jc w:val="right"/>
              <w:rPr>
                <w:szCs w:val="20"/>
              </w:rPr>
            </w:pPr>
            <w:r w:rsidRPr="00513F0E">
              <w:rPr>
                <w:b/>
                <w:szCs w:val="20"/>
              </w:rPr>
              <w:t>27.938</w:t>
            </w:r>
          </w:p>
        </w:tc>
        <w:tc>
          <w:tcPr>
            <w:tcW w:w="1134" w:type="dxa"/>
            <w:shd w:val="clear" w:color="auto" w:fill="D9D9D9" w:themeFill="background1" w:themeFillShade="D9"/>
            <w:vAlign w:val="center"/>
          </w:tcPr>
          <w:p w14:paraId="38BB2087" w14:textId="77777777" w:rsidR="00513F0E" w:rsidRPr="00513F0E" w:rsidRDefault="00513F0E" w:rsidP="006E0EB3">
            <w:pPr>
              <w:jc w:val="right"/>
              <w:rPr>
                <w:szCs w:val="20"/>
              </w:rPr>
            </w:pPr>
            <w:r w:rsidRPr="00513F0E">
              <w:rPr>
                <w:b/>
                <w:szCs w:val="20"/>
              </w:rPr>
              <w:t>29.617</w:t>
            </w:r>
          </w:p>
        </w:tc>
        <w:tc>
          <w:tcPr>
            <w:tcW w:w="992" w:type="dxa"/>
            <w:shd w:val="clear" w:color="auto" w:fill="D9D9D9" w:themeFill="background1" w:themeFillShade="D9"/>
            <w:vAlign w:val="center"/>
          </w:tcPr>
          <w:p w14:paraId="7DDBA944" w14:textId="77777777" w:rsidR="00513F0E" w:rsidRPr="00513F0E" w:rsidRDefault="00513F0E" w:rsidP="006E0EB3">
            <w:pPr>
              <w:jc w:val="right"/>
              <w:rPr>
                <w:szCs w:val="20"/>
              </w:rPr>
            </w:pPr>
            <w:r w:rsidRPr="00513F0E">
              <w:rPr>
                <w:b/>
                <w:szCs w:val="20"/>
              </w:rPr>
              <w:t>29.730</w:t>
            </w:r>
          </w:p>
        </w:tc>
        <w:tc>
          <w:tcPr>
            <w:tcW w:w="1890" w:type="dxa"/>
            <w:shd w:val="clear" w:color="auto" w:fill="D9D9D9" w:themeFill="background1" w:themeFillShade="D9"/>
            <w:vAlign w:val="center"/>
          </w:tcPr>
          <w:p w14:paraId="6EF987D1" w14:textId="77777777" w:rsidR="00513F0E" w:rsidRPr="00513F0E" w:rsidRDefault="00513F0E" w:rsidP="006E0EB3">
            <w:pPr>
              <w:jc w:val="right"/>
              <w:rPr>
                <w:szCs w:val="20"/>
              </w:rPr>
            </w:pPr>
            <w:r w:rsidRPr="00513F0E">
              <w:rPr>
                <w:b/>
                <w:szCs w:val="20"/>
              </w:rPr>
              <w:t>114.136</w:t>
            </w:r>
          </w:p>
        </w:tc>
      </w:tr>
      <w:tr w:rsidR="00513F0E" w14:paraId="674B9124" w14:textId="77777777" w:rsidTr="00B55540">
        <w:trPr>
          <w:trHeight w:val="685"/>
        </w:trPr>
        <w:tc>
          <w:tcPr>
            <w:tcW w:w="2552" w:type="dxa"/>
            <w:vAlign w:val="center"/>
          </w:tcPr>
          <w:p w14:paraId="20E6C0DD" w14:textId="430D9AE7" w:rsidR="00513F0E" w:rsidRPr="00513F0E" w:rsidRDefault="00FA20B7" w:rsidP="00EB2035">
            <w:pPr>
              <w:jc w:val="left"/>
              <w:rPr>
                <w:szCs w:val="20"/>
              </w:rPr>
            </w:pPr>
            <w:r>
              <w:rPr>
                <w:szCs w:val="20"/>
              </w:rPr>
              <w:t xml:space="preserve">F. </w:t>
            </w:r>
            <w:r w:rsidR="00513F0E" w:rsidRPr="00513F0E">
              <w:rPr>
                <w:szCs w:val="20"/>
              </w:rPr>
              <w:t xml:space="preserve">Empresas Industriales </w:t>
            </w:r>
          </w:p>
          <w:p w14:paraId="29DF79B3" w14:textId="65842EE6" w:rsidR="00513F0E" w:rsidRPr="00513F0E" w:rsidRDefault="00513F0E" w:rsidP="00EB2035">
            <w:pPr>
              <w:jc w:val="left"/>
              <w:rPr>
                <w:szCs w:val="20"/>
              </w:rPr>
            </w:pPr>
            <w:r w:rsidRPr="00513F0E">
              <w:rPr>
                <w:szCs w:val="20"/>
              </w:rPr>
              <w:t>y Comerciales</w:t>
            </w:r>
          </w:p>
        </w:tc>
        <w:tc>
          <w:tcPr>
            <w:tcW w:w="1134" w:type="dxa"/>
            <w:vAlign w:val="center"/>
          </w:tcPr>
          <w:p w14:paraId="7D4C8BFC" w14:textId="77777777" w:rsidR="00513F0E" w:rsidRPr="00513F0E" w:rsidRDefault="00513F0E" w:rsidP="006E0EB3">
            <w:pPr>
              <w:jc w:val="right"/>
              <w:rPr>
                <w:szCs w:val="20"/>
              </w:rPr>
            </w:pPr>
            <w:r w:rsidRPr="00513F0E">
              <w:rPr>
                <w:szCs w:val="20"/>
              </w:rPr>
              <w:t>8.036</w:t>
            </w:r>
          </w:p>
        </w:tc>
        <w:tc>
          <w:tcPr>
            <w:tcW w:w="1134" w:type="dxa"/>
            <w:vAlign w:val="center"/>
          </w:tcPr>
          <w:p w14:paraId="7CA33914" w14:textId="77777777" w:rsidR="00513F0E" w:rsidRPr="00513F0E" w:rsidRDefault="00513F0E" w:rsidP="006E0EB3">
            <w:pPr>
              <w:jc w:val="right"/>
              <w:rPr>
                <w:szCs w:val="20"/>
              </w:rPr>
            </w:pPr>
            <w:r w:rsidRPr="00513F0E">
              <w:rPr>
                <w:szCs w:val="20"/>
              </w:rPr>
              <w:t>4.807</w:t>
            </w:r>
          </w:p>
        </w:tc>
        <w:tc>
          <w:tcPr>
            <w:tcW w:w="1134" w:type="dxa"/>
            <w:vAlign w:val="center"/>
          </w:tcPr>
          <w:p w14:paraId="1CD1C242" w14:textId="77777777" w:rsidR="00513F0E" w:rsidRPr="00513F0E" w:rsidRDefault="00513F0E" w:rsidP="006E0EB3">
            <w:pPr>
              <w:jc w:val="right"/>
              <w:rPr>
                <w:szCs w:val="20"/>
              </w:rPr>
            </w:pPr>
            <w:r w:rsidRPr="00513F0E">
              <w:rPr>
                <w:szCs w:val="20"/>
              </w:rPr>
              <w:t>7.584</w:t>
            </w:r>
          </w:p>
        </w:tc>
        <w:tc>
          <w:tcPr>
            <w:tcW w:w="992" w:type="dxa"/>
            <w:vAlign w:val="center"/>
          </w:tcPr>
          <w:p w14:paraId="3616198C" w14:textId="77777777" w:rsidR="00513F0E" w:rsidRPr="00513F0E" w:rsidRDefault="00513F0E" w:rsidP="006E0EB3">
            <w:pPr>
              <w:jc w:val="right"/>
              <w:rPr>
                <w:szCs w:val="20"/>
              </w:rPr>
            </w:pPr>
            <w:r w:rsidRPr="00513F0E">
              <w:rPr>
                <w:szCs w:val="20"/>
              </w:rPr>
              <w:t>7.403</w:t>
            </w:r>
          </w:p>
        </w:tc>
        <w:tc>
          <w:tcPr>
            <w:tcW w:w="1890" w:type="dxa"/>
            <w:vAlign w:val="center"/>
          </w:tcPr>
          <w:p w14:paraId="08DED2D9" w14:textId="77777777" w:rsidR="00513F0E" w:rsidRPr="00513F0E" w:rsidRDefault="00513F0E" w:rsidP="006E0EB3">
            <w:pPr>
              <w:jc w:val="right"/>
              <w:rPr>
                <w:szCs w:val="20"/>
              </w:rPr>
            </w:pPr>
            <w:r w:rsidRPr="00513F0E">
              <w:rPr>
                <w:b/>
                <w:szCs w:val="20"/>
              </w:rPr>
              <w:t>27.830</w:t>
            </w:r>
          </w:p>
        </w:tc>
      </w:tr>
      <w:tr w:rsidR="00513F0E" w14:paraId="139FD25A" w14:textId="77777777" w:rsidTr="00B55540">
        <w:trPr>
          <w:trHeight w:val="593"/>
        </w:trPr>
        <w:tc>
          <w:tcPr>
            <w:tcW w:w="2552" w:type="dxa"/>
            <w:vAlign w:val="center"/>
          </w:tcPr>
          <w:p w14:paraId="39B8EC64" w14:textId="33AD7468" w:rsidR="00513F0E" w:rsidRPr="00513F0E" w:rsidRDefault="00FA20B7" w:rsidP="00EB2035">
            <w:pPr>
              <w:jc w:val="left"/>
              <w:rPr>
                <w:szCs w:val="20"/>
              </w:rPr>
            </w:pPr>
            <w:r>
              <w:rPr>
                <w:szCs w:val="20"/>
              </w:rPr>
              <w:t xml:space="preserve">G. </w:t>
            </w:r>
            <w:r w:rsidR="00513F0E" w:rsidRPr="00513F0E">
              <w:rPr>
                <w:szCs w:val="20"/>
              </w:rPr>
              <w:t xml:space="preserve">Sistema General </w:t>
            </w:r>
          </w:p>
          <w:p w14:paraId="0097874C" w14:textId="1B081D93" w:rsidR="00513F0E" w:rsidRPr="00513F0E" w:rsidRDefault="00513F0E" w:rsidP="00EB2035">
            <w:pPr>
              <w:jc w:val="left"/>
              <w:rPr>
                <w:szCs w:val="20"/>
              </w:rPr>
            </w:pPr>
            <w:r w:rsidRPr="00513F0E">
              <w:rPr>
                <w:szCs w:val="20"/>
              </w:rPr>
              <w:t>de Regalías</w:t>
            </w:r>
          </w:p>
        </w:tc>
        <w:tc>
          <w:tcPr>
            <w:tcW w:w="1134" w:type="dxa"/>
            <w:vAlign w:val="center"/>
          </w:tcPr>
          <w:p w14:paraId="502E0D41" w14:textId="77777777" w:rsidR="00513F0E" w:rsidRPr="00513F0E" w:rsidRDefault="00513F0E" w:rsidP="006E0EB3">
            <w:pPr>
              <w:jc w:val="right"/>
              <w:rPr>
                <w:szCs w:val="20"/>
              </w:rPr>
            </w:pPr>
            <w:r w:rsidRPr="00513F0E">
              <w:rPr>
                <w:szCs w:val="20"/>
              </w:rPr>
              <w:t>209</w:t>
            </w:r>
          </w:p>
        </w:tc>
        <w:tc>
          <w:tcPr>
            <w:tcW w:w="1134" w:type="dxa"/>
            <w:vAlign w:val="center"/>
          </w:tcPr>
          <w:p w14:paraId="11BF5B9F" w14:textId="77777777" w:rsidR="00513F0E" w:rsidRPr="00513F0E" w:rsidRDefault="00513F0E" w:rsidP="006E0EB3">
            <w:pPr>
              <w:jc w:val="right"/>
              <w:rPr>
                <w:szCs w:val="20"/>
              </w:rPr>
            </w:pPr>
            <w:r w:rsidRPr="00513F0E">
              <w:rPr>
                <w:szCs w:val="20"/>
              </w:rPr>
              <w:t>143</w:t>
            </w:r>
          </w:p>
        </w:tc>
        <w:tc>
          <w:tcPr>
            <w:tcW w:w="1134" w:type="dxa"/>
            <w:vAlign w:val="center"/>
          </w:tcPr>
          <w:p w14:paraId="752A9C01" w14:textId="77777777" w:rsidR="00513F0E" w:rsidRPr="00513F0E" w:rsidRDefault="00513F0E" w:rsidP="006E0EB3">
            <w:pPr>
              <w:jc w:val="right"/>
              <w:rPr>
                <w:szCs w:val="20"/>
              </w:rPr>
            </w:pPr>
            <w:r w:rsidRPr="00513F0E">
              <w:rPr>
                <w:szCs w:val="20"/>
              </w:rPr>
              <w:t>97</w:t>
            </w:r>
          </w:p>
        </w:tc>
        <w:tc>
          <w:tcPr>
            <w:tcW w:w="992" w:type="dxa"/>
            <w:vAlign w:val="center"/>
          </w:tcPr>
          <w:p w14:paraId="7EAFC9DF" w14:textId="77777777" w:rsidR="00513F0E" w:rsidRPr="00513F0E" w:rsidRDefault="00513F0E" w:rsidP="006E0EB3">
            <w:pPr>
              <w:jc w:val="right"/>
              <w:rPr>
                <w:szCs w:val="20"/>
              </w:rPr>
            </w:pPr>
            <w:r w:rsidRPr="00513F0E">
              <w:rPr>
                <w:szCs w:val="20"/>
              </w:rPr>
              <w:t>87</w:t>
            </w:r>
          </w:p>
        </w:tc>
        <w:tc>
          <w:tcPr>
            <w:tcW w:w="1890" w:type="dxa"/>
            <w:vAlign w:val="center"/>
          </w:tcPr>
          <w:p w14:paraId="38E0656D" w14:textId="77777777" w:rsidR="00513F0E" w:rsidRPr="00513F0E" w:rsidRDefault="00513F0E" w:rsidP="006E0EB3">
            <w:pPr>
              <w:jc w:val="right"/>
              <w:rPr>
                <w:szCs w:val="20"/>
              </w:rPr>
            </w:pPr>
            <w:r w:rsidRPr="00513F0E">
              <w:rPr>
                <w:b/>
                <w:szCs w:val="20"/>
              </w:rPr>
              <w:t>536</w:t>
            </w:r>
          </w:p>
        </w:tc>
      </w:tr>
      <w:tr w:rsidR="00513F0E" w14:paraId="0DF31C6B" w14:textId="77777777" w:rsidTr="00B55540">
        <w:trPr>
          <w:trHeight w:val="454"/>
        </w:trPr>
        <w:tc>
          <w:tcPr>
            <w:tcW w:w="2552" w:type="dxa"/>
            <w:shd w:val="clear" w:color="auto" w:fill="D0CECE" w:themeFill="background2" w:themeFillShade="E6"/>
            <w:vAlign w:val="center"/>
          </w:tcPr>
          <w:p w14:paraId="63A7B2FD" w14:textId="77777777" w:rsidR="00FA20B7" w:rsidRDefault="00FA20B7" w:rsidP="00FA20B7">
            <w:pPr>
              <w:shd w:val="clear" w:color="auto" w:fill="D0CECE" w:themeFill="background2" w:themeFillShade="E6"/>
              <w:jc w:val="left"/>
              <w:rPr>
                <w:b/>
                <w:szCs w:val="20"/>
              </w:rPr>
            </w:pPr>
            <w:r>
              <w:rPr>
                <w:b/>
                <w:szCs w:val="20"/>
              </w:rPr>
              <w:t xml:space="preserve">H. (E + F + G) </w:t>
            </w:r>
          </w:p>
          <w:p w14:paraId="6FE937BD" w14:textId="17DBBB28" w:rsidR="00513F0E" w:rsidRPr="00B55540" w:rsidRDefault="00513F0E" w:rsidP="00FA20B7">
            <w:pPr>
              <w:shd w:val="clear" w:color="auto" w:fill="D0CECE" w:themeFill="background2" w:themeFillShade="E6"/>
              <w:jc w:val="left"/>
              <w:rPr>
                <w:b/>
                <w:szCs w:val="20"/>
              </w:rPr>
            </w:pPr>
            <w:r w:rsidRPr="00513F0E">
              <w:rPr>
                <w:b/>
                <w:szCs w:val="20"/>
              </w:rPr>
              <w:t>Total</w:t>
            </w:r>
            <w:r w:rsidR="0003700E">
              <w:rPr>
                <w:b/>
                <w:szCs w:val="20"/>
              </w:rPr>
              <w:t xml:space="preserve"> </w:t>
            </w:r>
          </w:p>
        </w:tc>
        <w:tc>
          <w:tcPr>
            <w:tcW w:w="1134" w:type="dxa"/>
            <w:shd w:val="clear" w:color="auto" w:fill="D0CECE" w:themeFill="background2" w:themeFillShade="E6"/>
            <w:vAlign w:val="center"/>
          </w:tcPr>
          <w:p w14:paraId="610C50B5" w14:textId="77777777" w:rsidR="00513F0E" w:rsidRPr="00513F0E" w:rsidRDefault="00513F0E" w:rsidP="006E0EB3">
            <w:pPr>
              <w:shd w:val="clear" w:color="auto" w:fill="D0CECE" w:themeFill="background2" w:themeFillShade="E6"/>
              <w:jc w:val="right"/>
              <w:rPr>
                <w:szCs w:val="20"/>
              </w:rPr>
            </w:pPr>
            <w:r w:rsidRPr="00513F0E">
              <w:rPr>
                <w:b/>
                <w:szCs w:val="20"/>
              </w:rPr>
              <w:t>35.096</w:t>
            </w:r>
          </w:p>
        </w:tc>
        <w:tc>
          <w:tcPr>
            <w:tcW w:w="1134" w:type="dxa"/>
            <w:shd w:val="clear" w:color="auto" w:fill="D0CECE" w:themeFill="background2" w:themeFillShade="E6"/>
            <w:vAlign w:val="center"/>
          </w:tcPr>
          <w:p w14:paraId="3081241E" w14:textId="77777777" w:rsidR="00513F0E" w:rsidRPr="00513F0E" w:rsidRDefault="00513F0E" w:rsidP="006E0EB3">
            <w:pPr>
              <w:shd w:val="clear" w:color="auto" w:fill="D0CECE" w:themeFill="background2" w:themeFillShade="E6"/>
              <w:jc w:val="right"/>
              <w:rPr>
                <w:szCs w:val="20"/>
              </w:rPr>
            </w:pPr>
            <w:r w:rsidRPr="00513F0E">
              <w:rPr>
                <w:b/>
                <w:szCs w:val="20"/>
              </w:rPr>
              <w:t>32.888</w:t>
            </w:r>
          </w:p>
        </w:tc>
        <w:tc>
          <w:tcPr>
            <w:tcW w:w="1134" w:type="dxa"/>
            <w:shd w:val="clear" w:color="auto" w:fill="D0CECE" w:themeFill="background2" w:themeFillShade="E6"/>
            <w:vAlign w:val="center"/>
          </w:tcPr>
          <w:p w14:paraId="6553701B" w14:textId="77777777" w:rsidR="00513F0E" w:rsidRPr="00513F0E" w:rsidRDefault="00513F0E" w:rsidP="006E0EB3">
            <w:pPr>
              <w:shd w:val="clear" w:color="auto" w:fill="D0CECE" w:themeFill="background2" w:themeFillShade="E6"/>
              <w:jc w:val="right"/>
              <w:rPr>
                <w:szCs w:val="20"/>
              </w:rPr>
            </w:pPr>
            <w:r w:rsidRPr="00513F0E">
              <w:rPr>
                <w:b/>
                <w:szCs w:val="20"/>
              </w:rPr>
              <w:t>37.297</w:t>
            </w:r>
          </w:p>
        </w:tc>
        <w:tc>
          <w:tcPr>
            <w:tcW w:w="992" w:type="dxa"/>
            <w:shd w:val="clear" w:color="auto" w:fill="D0CECE" w:themeFill="background2" w:themeFillShade="E6"/>
            <w:vAlign w:val="center"/>
          </w:tcPr>
          <w:p w14:paraId="4D00BA83" w14:textId="77777777" w:rsidR="00513F0E" w:rsidRPr="00513F0E" w:rsidRDefault="00513F0E" w:rsidP="006E0EB3">
            <w:pPr>
              <w:shd w:val="clear" w:color="auto" w:fill="D0CECE" w:themeFill="background2" w:themeFillShade="E6"/>
              <w:jc w:val="right"/>
              <w:rPr>
                <w:szCs w:val="20"/>
              </w:rPr>
            </w:pPr>
            <w:r w:rsidRPr="00513F0E">
              <w:rPr>
                <w:b/>
                <w:szCs w:val="20"/>
              </w:rPr>
              <w:t>37.220</w:t>
            </w:r>
          </w:p>
        </w:tc>
        <w:tc>
          <w:tcPr>
            <w:tcW w:w="1890" w:type="dxa"/>
            <w:shd w:val="clear" w:color="auto" w:fill="D0CECE" w:themeFill="background2" w:themeFillShade="E6"/>
            <w:vAlign w:val="center"/>
          </w:tcPr>
          <w:p w14:paraId="30001359" w14:textId="77777777" w:rsidR="00513F0E" w:rsidRPr="00513F0E" w:rsidRDefault="00513F0E" w:rsidP="006E0EB3">
            <w:pPr>
              <w:shd w:val="clear" w:color="auto" w:fill="D0CECE" w:themeFill="background2" w:themeFillShade="E6"/>
              <w:jc w:val="right"/>
              <w:rPr>
                <w:szCs w:val="20"/>
              </w:rPr>
            </w:pPr>
            <w:r w:rsidRPr="00513F0E">
              <w:rPr>
                <w:b/>
                <w:szCs w:val="20"/>
              </w:rPr>
              <w:t>142.502</w:t>
            </w:r>
          </w:p>
        </w:tc>
      </w:tr>
    </w:tbl>
    <w:p w14:paraId="0EE22EC5" w14:textId="77777777" w:rsidR="00513F0E" w:rsidRPr="00127C27" w:rsidRDefault="00513F0E" w:rsidP="005B3F85">
      <w:pPr>
        <w:jc w:val="center"/>
        <w:rPr>
          <w:sz w:val="18"/>
          <w:szCs w:val="20"/>
        </w:rPr>
      </w:pPr>
      <w:r w:rsidRPr="00127C27">
        <w:rPr>
          <w:b/>
          <w:bCs/>
          <w:sz w:val="18"/>
          <w:szCs w:val="20"/>
        </w:rPr>
        <w:t>Fuente:</w:t>
      </w:r>
      <w:r w:rsidRPr="00127C27">
        <w:rPr>
          <w:sz w:val="18"/>
          <w:szCs w:val="20"/>
        </w:rPr>
        <w:t xml:space="preserve"> CONFIS, abril de 2024.</w:t>
      </w:r>
    </w:p>
    <w:p w14:paraId="1628FDA8" w14:textId="38B64C8F" w:rsidR="00513F0E" w:rsidRDefault="00513F0E" w:rsidP="00513F0E"/>
    <w:p w14:paraId="44A3D9D3" w14:textId="7B5D5BCF" w:rsidR="005B3F85" w:rsidRDefault="005B3F85" w:rsidP="00513F0E"/>
    <w:p w14:paraId="47980497" w14:textId="2DF50061" w:rsidR="00B55540" w:rsidRDefault="00B55540" w:rsidP="00513F0E"/>
    <w:p w14:paraId="3D97D173" w14:textId="394F7EEE" w:rsidR="00513F0E" w:rsidRPr="002B3526" w:rsidRDefault="00513F0E" w:rsidP="00FA5DD3">
      <w:pPr>
        <w:pStyle w:val="subnumeros"/>
        <w:numPr>
          <w:ilvl w:val="0"/>
          <w:numId w:val="0"/>
        </w:numPr>
        <w:spacing w:after="240" w:line="240" w:lineRule="auto"/>
        <w:ind w:left="1145"/>
        <w:outlineLvl w:val="2"/>
        <w:rPr>
          <w:rFonts w:cs="Times New Roman (Cuerpo en alfa"/>
          <w:spacing w:val="-10"/>
        </w:rPr>
      </w:pPr>
      <w:bookmarkStart w:id="137" w:name="_Toc165169747"/>
      <w:r>
        <w:t>Estructura del Plan Plurianual de Inversiones</w:t>
      </w:r>
      <w:bookmarkEnd w:id="137"/>
    </w:p>
    <w:p w14:paraId="4CEC965B" w14:textId="77777777" w:rsidR="00513F0E" w:rsidRDefault="00513F0E" w:rsidP="00FA5DD3">
      <w:pPr>
        <w:spacing w:line="240" w:lineRule="auto"/>
        <w:sectPr w:rsidR="00513F0E" w:rsidSect="00F7078E">
          <w:type w:val="continuous"/>
          <w:pgSz w:w="12240" w:h="15840"/>
          <w:pgMar w:top="2262" w:right="1440" w:bottom="1440" w:left="1440" w:header="709" w:footer="680" w:gutter="0"/>
          <w:cols w:space="708"/>
          <w:docGrid w:linePitch="360"/>
        </w:sectPr>
      </w:pPr>
    </w:p>
    <w:p w14:paraId="2B50F0A2" w14:textId="77777777" w:rsidR="00513F0E" w:rsidRDefault="00513F0E" w:rsidP="00513F0E">
      <w:r>
        <w:t xml:space="preserve">Dentro del total de recursos, la inversión que se destina a las metas detalladas en el Plan de Desarrollo asciende a $90,87 billones. De ellos, cerca del 80 % se concentra en los sectores de educación, salud, integración social y movilidad, coincidiendo así con las prioridades de una ciudad con mejores oportunidades, y mayor </w:t>
      </w:r>
      <w:r>
        <w:t>bienestar para la población más vulnerable. El sector seguridad, a su vez, y alineado con la prioridad que tiene dentro del Plan de Desarrollo, contará con recursos que casi duplican su asignación histórica, y ascienden a $3,5 billones de pesos para el cuatrienio.</w:t>
      </w:r>
    </w:p>
    <w:p w14:paraId="5B2C4CF1" w14:textId="77777777" w:rsidR="00513F0E" w:rsidRDefault="00513F0E" w:rsidP="00513F0E">
      <w:pPr>
        <w:sectPr w:rsidR="00513F0E" w:rsidSect="00F7078E">
          <w:type w:val="continuous"/>
          <w:pgSz w:w="12240" w:h="15840"/>
          <w:pgMar w:top="2262" w:right="1440" w:bottom="1440" w:left="1440" w:header="709" w:footer="680" w:gutter="0"/>
          <w:cols w:num="2" w:space="567"/>
          <w:docGrid w:linePitch="360"/>
        </w:sectPr>
      </w:pPr>
    </w:p>
    <w:p w14:paraId="4D90AE70" w14:textId="77777777" w:rsidR="00513F0E" w:rsidRDefault="00513F0E" w:rsidP="00513F0E"/>
    <w:p w14:paraId="4280E650" w14:textId="77777777" w:rsidR="00513F0E" w:rsidRDefault="00513F0E" w:rsidP="00513F0E"/>
    <w:p w14:paraId="66106CEB" w14:textId="21CBE33B" w:rsidR="00513F0E" w:rsidRPr="00454DFE" w:rsidRDefault="00454DFE" w:rsidP="00454DFE">
      <w:pPr>
        <w:pStyle w:val="Descripcin"/>
        <w:jc w:val="center"/>
        <w:rPr>
          <w:sz w:val="18"/>
          <w:szCs w:val="14"/>
        </w:rPr>
      </w:pPr>
      <w:bookmarkStart w:id="138" w:name="_Toc165169920"/>
      <w:r w:rsidRPr="00454DFE">
        <w:rPr>
          <w:color w:val="C00000"/>
          <w:sz w:val="18"/>
          <w:szCs w:val="14"/>
        </w:rPr>
        <w:t xml:space="preserve">Tabla </w:t>
      </w:r>
      <w:r w:rsidRPr="00454DFE">
        <w:rPr>
          <w:color w:val="C00000"/>
          <w:sz w:val="18"/>
          <w:szCs w:val="14"/>
        </w:rPr>
        <w:fldChar w:fldCharType="begin"/>
      </w:r>
      <w:r w:rsidRPr="00454DFE">
        <w:rPr>
          <w:color w:val="C00000"/>
          <w:sz w:val="18"/>
          <w:szCs w:val="14"/>
        </w:rPr>
        <w:instrText xml:space="preserve"> SEQ Tabla \* ARABIC </w:instrText>
      </w:r>
      <w:r w:rsidRPr="00454DFE">
        <w:rPr>
          <w:color w:val="C00000"/>
          <w:sz w:val="18"/>
          <w:szCs w:val="14"/>
        </w:rPr>
        <w:fldChar w:fldCharType="separate"/>
      </w:r>
      <w:r w:rsidR="00D01651">
        <w:rPr>
          <w:noProof/>
          <w:color w:val="C00000"/>
          <w:sz w:val="18"/>
          <w:szCs w:val="14"/>
        </w:rPr>
        <w:t>10</w:t>
      </w:r>
      <w:r w:rsidRPr="00454DFE">
        <w:rPr>
          <w:color w:val="C00000"/>
          <w:sz w:val="18"/>
          <w:szCs w:val="14"/>
        </w:rPr>
        <w:fldChar w:fldCharType="end"/>
      </w:r>
      <w:r w:rsidRPr="00454DFE">
        <w:rPr>
          <w:color w:val="C00000"/>
          <w:sz w:val="18"/>
          <w:szCs w:val="14"/>
        </w:rPr>
        <w:t xml:space="preserve">. </w:t>
      </w:r>
      <w:r w:rsidR="00513F0E" w:rsidRPr="00454DFE">
        <w:rPr>
          <w:sz w:val="18"/>
          <w:szCs w:val="14"/>
        </w:rPr>
        <w:t xml:space="preserve">Plan Plurianual de Inversiones por sector - Total 2024-2027 </w:t>
      </w:r>
      <w:r>
        <w:rPr>
          <w:sz w:val="18"/>
          <w:szCs w:val="14"/>
        </w:rPr>
        <w:br/>
      </w:r>
      <w:r w:rsidR="00513F0E" w:rsidRPr="00454DFE">
        <w:rPr>
          <w:sz w:val="18"/>
          <w:szCs w:val="14"/>
        </w:rPr>
        <w:t>(miles de millones de pesos constantes 2024)</w:t>
      </w:r>
      <w:bookmarkEnd w:id="138"/>
    </w:p>
    <w:tbl>
      <w:tblPr>
        <w:tblW w:w="0" w:type="auto"/>
        <w:jc w:val="center"/>
        <w:tblBorders>
          <w:bottom w:val="double" w:sz="4" w:space="0" w:color="C00000"/>
          <w:insideH w:val="double" w:sz="4" w:space="0" w:color="C00000"/>
          <w:insideV w:val="double" w:sz="4" w:space="0" w:color="C00000"/>
        </w:tblBorders>
        <w:tblLook w:val="04A0" w:firstRow="1" w:lastRow="0" w:firstColumn="1" w:lastColumn="0" w:noHBand="0" w:noVBand="1"/>
      </w:tblPr>
      <w:tblGrid>
        <w:gridCol w:w="3381"/>
        <w:gridCol w:w="3381"/>
      </w:tblGrid>
      <w:tr w:rsidR="00345B8A" w14:paraId="435BA00E" w14:textId="77777777" w:rsidTr="00FA5DD3">
        <w:trPr>
          <w:cantSplit/>
          <w:trHeight w:val="397"/>
          <w:jc w:val="center"/>
        </w:trPr>
        <w:tc>
          <w:tcPr>
            <w:tcW w:w="3381" w:type="dxa"/>
            <w:shd w:val="clear" w:color="auto" w:fill="C00000"/>
            <w:vAlign w:val="center"/>
          </w:tcPr>
          <w:p w14:paraId="6D7369ED" w14:textId="77777777" w:rsidR="00345B8A" w:rsidRPr="00345B8A" w:rsidRDefault="00345B8A" w:rsidP="00FA5DD3">
            <w:pPr>
              <w:spacing w:line="0" w:lineRule="atLeast"/>
              <w:jc w:val="left"/>
              <w:rPr>
                <w:rFonts w:eastAsia="Arial"/>
                <w:b/>
                <w:bCs/>
                <w:color w:val="FFFFFF" w:themeColor="background1"/>
                <w:sz w:val="28"/>
                <w:szCs w:val="28"/>
              </w:rPr>
            </w:pPr>
            <w:r w:rsidRPr="00345B8A">
              <w:rPr>
                <w:rFonts w:eastAsia="Arial"/>
                <w:b/>
                <w:bCs/>
                <w:color w:val="FFFFFF" w:themeColor="background1"/>
                <w:sz w:val="28"/>
                <w:szCs w:val="28"/>
              </w:rPr>
              <w:t>Sector</w:t>
            </w:r>
          </w:p>
        </w:tc>
        <w:tc>
          <w:tcPr>
            <w:tcW w:w="3381" w:type="dxa"/>
            <w:shd w:val="clear" w:color="auto" w:fill="C00000"/>
            <w:vAlign w:val="center"/>
          </w:tcPr>
          <w:p w14:paraId="7FB38927" w14:textId="77777777" w:rsidR="00345B8A" w:rsidRDefault="00345B8A" w:rsidP="00FA5DD3">
            <w:pPr>
              <w:spacing w:line="0" w:lineRule="atLeast"/>
              <w:jc w:val="right"/>
              <w:rPr>
                <w:rFonts w:eastAsia="Arial"/>
                <w:b/>
                <w:bCs/>
                <w:color w:val="FFFFFF" w:themeColor="background1"/>
                <w:sz w:val="28"/>
                <w:szCs w:val="28"/>
              </w:rPr>
            </w:pPr>
            <w:r w:rsidRPr="00345B8A">
              <w:rPr>
                <w:rFonts w:eastAsia="Arial"/>
                <w:b/>
                <w:bCs/>
                <w:color w:val="FFFFFF" w:themeColor="background1"/>
                <w:sz w:val="28"/>
                <w:szCs w:val="28"/>
              </w:rPr>
              <w:t xml:space="preserve">Recursos PPI </w:t>
            </w:r>
          </w:p>
          <w:p w14:paraId="25A19847" w14:textId="77777777" w:rsidR="00345B8A" w:rsidRPr="00345B8A" w:rsidRDefault="00345B8A" w:rsidP="00FA5DD3">
            <w:pPr>
              <w:spacing w:line="0" w:lineRule="atLeast"/>
              <w:jc w:val="right"/>
              <w:rPr>
                <w:rFonts w:eastAsia="Arial"/>
                <w:b/>
                <w:bCs/>
                <w:color w:val="FFFFFF" w:themeColor="background1"/>
                <w:sz w:val="28"/>
                <w:szCs w:val="28"/>
              </w:rPr>
            </w:pPr>
            <w:r w:rsidRPr="00345B8A">
              <w:rPr>
                <w:rFonts w:eastAsia="Arial"/>
                <w:b/>
                <w:bCs/>
                <w:color w:val="FFFFFF" w:themeColor="background1"/>
                <w:sz w:val="28"/>
                <w:szCs w:val="28"/>
              </w:rPr>
              <w:t>(en miles</w:t>
            </w:r>
            <w:r>
              <w:rPr>
                <w:rFonts w:eastAsia="Arial"/>
                <w:b/>
                <w:bCs/>
                <w:color w:val="FFFFFF" w:themeColor="background1"/>
                <w:sz w:val="28"/>
                <w:szCs w:val="28"/>
              </w:rPr>
              <w:t xml:space="preserve"> </w:t>
            </w:r>
            <w:r w:rsidRPr="00345B8A">
              <w:rPr>
                <w:rFonts w:eastAsia="Arial"/>
                <w:b/>
                <w:bCs/>
                <w:color w:val="FFFFFF" w:themeColor="background1"/>
                <w:sz w:val="28"/>
                <w:szCs w:val="28"/>
              </w:rPr>
              <w:t xml:space="preserve">de millones </w:t>
            </w:r>
            <w:r>
              <w:rPr>
                <w:rFonts w:eastAsia="Arial"/>
                <w:b/>
                <w:bCs/>
                <w:color w:val="FFFFFF" w:themeColor="background1"/>
                <w:sz w:val="28"/>
                <w:szCs w:val="28"/>
              </w:rPr>
              <w:t xml:space="preserve">         </w:t>
            </w:r>
            <w:r w:rsidRPr="00345B8A">
              <w:rPr>
                <w:rFonts w:eastAsia="Arial"/>
                <w:b/>
                <w:bCs/>
                <w:color w:val="FFFFFF" w:themeColor="background1"/>
                <w:sz w:val="28"/>
                <w:szCs w:val="28"/>
              </w:rPr>
              <w:t>de pesos de 2024)</w:t>
            </w:r>
          </w:p>
        </w:tc>
      </w:tr>
      <w:tr w:rsidR="00345B8A" w14:paraId="35B6CEED" w14:textId="77777777" w:rsidTr="00FA5DD3">
        <w:trPr>
          <w:cantSplit/>
          <w:trHeight w:val="170"/>
          <w:jc w:val="center"/>
        </w:trPr>
        <w:tc>
          <w:tcPr>
            <w:tcW w:w="3381" w:type="dxa"/>
            <w:vAlign w:val="center"/>
          </w:tcPr>
          <w:p w14:paraId="638A1D5E" w14:textId="69156264" w:rsidR="00345B8A" w:rsidRPr="005B3F85" w:rsidRDefault="00B55540" w:rsidP="00FA5DD3">
            <w:pPr>
              <w:spacing w:line="0" w:lineRule="atLeast"/>
              <w:jc w:val="left"/>
            </w:pPr>
            <w:r w:rsidRPr="005B3F85">
              <w:t>Ambiente</w:t>
            </w:r>
          </w:p>
        </w:tc>
        <w:tc>
          <w:tcPr>
            <w:tcW w:w="3381" w:type="dxa"/>
            <w:vAlign w:val="center"/>
          </w:tcPr>
          <w:p w14:paraId="44957BAF" w14:textId="77777777" w:rsidR="00345B8A" w:rsidRPr="005B3F85" w:rsidRDefault="00345B8A" w:rsidP="00FA5DD3">
            <w:pPr>
              <w:spacing w:line="0" w:lineRule="atLeast"/>
              <w:jc w:val="right"/>
            </w:pPr>
            <w:r w:rsidRPr="005B3F85">
              <w:t>1.361</w:t>
            </w:r>
          </w:p>
        </w:tc>
      </w:tr>
      <w:tr w:rsidR="00345B8A" w14:paraId="17184E63" w14:textId="77777777" w:rsidTr="00FA5DD3">
        <w:trPr>
          <w:cantSplit/>
          <w:trHeight w:val="170"/>
          <w:jc w:val="center"/>
        </w:trPr>
        <w:tc>
          <w:tcPr>
            <w:tcW w:w="3381" w:type="dxa"/>
            <w:vAlign w:val="center"/>
          </w:tcPr>
          <w:p w14:paraId="06C82989" w14:textId="746C933B" w:rsidR="00345B8A" w:rsidRPr="005B3F85" w:rsidRDefault="00345B8A" w:rsidP="00FA5DD3">
            <w:pPr>
              <w:spacing w:line="0" w:lineRule="atLeast"/>
              <w:jc w:val="left"/>
            </w:pPr>
            <w:r w:rsidRPr="005B3F85">
              <w:t>Cultura, Recreación y Deporte</w:t>
            </w:r>
          </w:p>
        </w:tc>
        <w:tc>
          <w:tcPr>
            <w:tcW w:w="3381" w:type="dxa"/>
            <w:vAlign w:val="center"/>
          </w:tcPr>
          <w:p w14:paraId="47EE2BEF" w14:textId="77777777" w:rsidR="00345B8A" w:rsidRPr="005B3F85" w:rsidRDefault="00345B8A" w:rsidP="00FA5DD3">
            <w:pPr>
              <w:spacing w:line="0" w:lineRule="atLeast"/>
              <w:jc w:val="right"/>
            </w:pPr>
            <w:r w:rsidRPr="005B3F85">
              <w:t>3.564</w:t>
            </w:r>
          </w:p>
        </w:tc>
      </w:tr>
      <w:tr w:rsidR="00345B8A" w14:paraId="21A7767F" w14:textId="77777777" w:rsidTr="00FA5DD3">
        <w:trPr>
          <w:cantSplit/>
          <w:trHeight w:val="170"/>
          <w:jc w:val="center"/>
        </w:trPr>
        <w:tc>
          <w:tcPr>
            <w:tcW w:w="3381" w:type="dxa"/>
            <w:vAlign w:val="center"/>
          </w:tcPr>
          <w:p w14:paraId="421938B2" w14:textId="045936C6" w:rsidR="00345B8A" w:rsidRPr="005B3F85" w:rsidRDefault="00345B8A" w:rsidP="00FA5DD3">
            <w:pPr>
              <w:spacing w:line="0" w:lineRule="atLeast"/>
              <w:jc w:val="left"/>
            </w:pPr>
            <w:r w:rsidRPr="005B3F85">
              <w:t>Desarrollo Económico</w:t>
            </w:r>
          </w:p>
        </w:tc>
        <w:tc>
          <w:tcPr>
            <w:tcW w:w="3381" w:type="dxa"/>
            <w:vAlign w:val="center"/>
          </w:tcPr>
          <w:p w14:paraId="5CA0D8BB" w14:textId="77777777" w:rsidR="00345B8A" w:rsidRPr="005B3F85" w:rsidRDefault="00345B8A" w:rsidP="00FA5DD3">
            <w:pPr>
              <w:spacing w:line="0" w:lineRule="atLeast"/>
              <w:jc w:val="right"/>
            </w:pPr>
            <w:r w:rsidRPr="005B3F85">
              <w:t>1.143</w:t>
            </w:r>
          </w:p>
        </w:tc>
      </w:tr>
      <w:tr w:rsidR="00345B8A" w14:paraId="4C18C6F3" w14:textId="77777777" w:rsidTr="00FA5DD3">
        <w:trPr>
          <w:cantSplit/>
          <w:trHeight w:val="170"/>
          <w:jc w:val="center"/>
        </w:trPr>
        <w:tc>
          <w:tcPr>
            <w:tcW w:w="3381" w:type="dxa"/>
            <w:vAlign w:val="center"/>
          </w:tcPr>
          <w:p w14:paraId="236F159B" w14:textId="6D96F29D" w:rsidR="00345B8A" w:rsidRPr="005B3F85" w:rsidRDefault="00345B8A" w:rsidP="00FA5DD3">
            <w:pPr>
              <w:spacing w:line="0" w:lineRule="atLeast"/>
              <w:jc w:val="left"/>
            </w:pPr>
            <w:r w:rsidRPr="005B3F85">
              <w:t>Educación</w:t>
            </w:r>
          </w:p>
        </w:tc>
        <w:tc>
          <w:tcPr>
            <w:tcW w:w="3381" w:type="dxa"/>
            <w:vAlign w:val="center"/>
          </w:tcPr>
          <w:p w14:paraId="779C8EA2" w14:textId="77777777" w:rsidR="00345B8A" w:rsidRPr="005B3F85" w:rsidRDefault="00345B8A" w:rsidP="00FA5DD3">
            <w:pPr>
              <w:spacing w:line="0" w:lineRule="atLeast"/>
              <w:jc w:val="right"/>
            </w:pPr>
            <w:r w:rsidRPr="005B3F85">
              <w:t>27.278</w:t>
            </w:r>
          </w:p>
        </w:tc>
      </w:tr>
      <w:tr w:rsidR="00345B8A" w14:paraId="4EF09D59" w14:textId="77777777" w:rsidTr="00FA5DD3">
        <w:trPr>
          <w:cantSplit/>
          <w:trHeight w:val="170"/>
          <w:jc w:val="center"/>
        </w:trPr>
        <w:tc>
          <w:tcPr>
            <w:tcW w:w="3381" w:type="dxa"/>
            <w:vAlign w:val="center"/>
          </w:tcPr>
          <w:p w14:paraId="4CF61135" w14:textId="52E66313" w:rsidR="00345B8A" w:rsidRPr="005B3F85" w:rsidRDefault="00345B8A" w:rsidP="00FA5DD3">
            <w:pPr>
              <w:spacing w:line="0" w:lineRule="atLeast"/>
              <w:jc w:val="left"/>
            </w:pPr>
            <w:r w:rsidRPr="005B3F85">
              <w:t>Gestión Jurídica</w:t>
            </w:r>
          </w:p>
        </w:tc>
        <w:tc>
          <w:tcPr>
            <w:tcW w:w="3381" w:type="dxa"/>
            <w:vAlign w:val="center"/>
          </w:tcPr>
          <w:p w14:paraId="16FEFB05" w14:textId="77777777" w:rsidR="00345B8A" w:rsidRPr="005B3F85" w:rsidRDefault="00345B8A" w:rsidP="00FA5DD3">
            <w:pPr>
              <w:spacing w:line="0" w:lineRule="atLeast"/>
              <w:jc w:val="right"/>
            </w:pPr>
            <w:r w:rsidRPr="005B3F85">
              <w:t>40</w:t>
            </w:r>
          </w:p>
        </w:tc>
      </w:tr>
      <w:tr w:rsidR="00345B8A" w14:paraId="47347281" w14:textId="77777777" w:rsidTr="00FA5DD3">
        <w:trPr>
          <w:cantSplit/>
          <w:trHeight w:val="170"/>
          <w:jc w:val="center"/>
        </w:trPr>
        <w:tc>
          <w:tcPr>
            <w:tcW w:w="3381" w:type="dxa"/>
            <w:vAlign w:val="center"/>
          </w:tcPr>
          <w:p w14:paraId="4DCF51C2" w14:textId="6B73BB6C" w:rsidR="00345B8A" w:rsidRPr="005B3F85" w:rsidRDefault="00345B8A" w:rsidP="00FA5DD3">
            <w:pPr>
              <w:spacing w:line="0" w:lineRule="atLeast"/>
              <w:jc w:val="left"/>
            </w:pPr>
            <w:r w:rsidRPr="005B3F85">
              <w:t>Gestión Pública</w:t>
            </w:r>
          </w:p>
        </w:tc>
        <w:tc>
          <w:tcPr>
            <w:tcW w:w="3381" w:type="dxa"/>
            <w:vAlign w:val="center"/>
          </w:tcPr>
          <w:p w14:paraId="25805472" w14:textId="77777777" w:rsidR="00345B8A" w:rsidRPr="005B3F85" w:rsidRDefault="00345B8A" w:rsidP="00FA5DD3">
            <w:pPr>
              <w:spacing w:line="0" w:lineRule="atLeast"/>
              <w:jc w:val="right"/>
            </w:pPr>
            <w:r w:rsidRPr="005B3F85">
              <w:t>481</w:t>
            </w:r>
          </w:p>
        </w:tc>
      </w:tr>
      <w:tr w:rsidR="00345B8A" w14:paraId="50C386DB" w14:textId="77777777" w:rsidTr="00FA5DD3">
        <w:trPr>
          <w:cantSplit/>
          <w:trHeight w:val="170"/>
          <w:jc w:val="center"/>
        </w:trPr>
        <w:tc>
          <w:tcPr>
            <w:tcW w:w="3381" w:type="dxa"/>
            <w:vAlign w:val="center"/>
          </w:tcPr>
          <w:p w14:paraId="1DD621D8" w14:textId="51EA112C" w:rsidR="00345B8A" w:rsidRPr="005B3F85" w:rsidRDefault="00345B8A" w:rsidP="00FA5DD3">
            <w:pPr>
              <w:spacing w:line="0" w:lineRule="atLeast"/>
              <w:jc w:val="left"/>
            </w:pPr>
            <w:r w:rsidRPr="005B3F85">
              <w:t>Gobierno</w:t>
            </w:r>
          </w:p>
        </w:tc>
        <w:tc>
          <w:tcPr>
            <w:tcW w:w="3381" w:type="dxa"/>
            <w:vAlign w:val="center"/>
          </w:tcPr>
          <w:p w14:paraId="3ADD243A" w14:textId="77777777" w:rsidR="00345B8A" w:rsidRPr="005B3F85" w:rsidRDefault="00345B8A" w:rsidP="00FA5DD3">
            <w:pPr>
              <w:spacing w:line="0" w:lineRule="atLeast"/>
              <w:jc w:val="right"/>
            </w:pPr>
            <w:r w:rsidRPr="005B3F85">
              <w:t>646</w:t>
            </w:r>
          </w:p>
        </w:tc>
      </w:tr>
      <w:tr w:rsidR="00345B8A" w14:paraId="2E4D60BE" w14:textId="77777777" w:rsidTr="00FA5DD3">
        <w:trPr>
          <w:cantSplit/>
          <w:trHeight w:val="170"/>
          <w:jc w:val="center"/>
        </w:trPr>
        <w:tc>
          <w:tcPr>
            <w:tcW w:w="3381" w:type="dxa"/>
            <w:vAlign w:val="center"/>
          </w:tcPr>
          <w:p w14:paraId="017FCD11" w14:textId="1BA1B767" w:rsidR="00345B8A" w:rsidRPr="005B3F85" w:rsidRDefault="00345B8A" w:rsidP="00FA5DD3">
            <w:pPr>
              <w:spacing w:line="0" w:lineRule="atLeast"/>
              <w:jc w:val="left"/>
            </w:pPr>
            <w:r w:rsidRPr="005B3F85">
              <w:t>Hábitat</w:t>
            </w:r>
          </w:p>
        </w:tc>
        <w:tc>
          <w:tcPr>
            <w:tcW w:w="3381" w:type="dxa"/>
            <w:vAlign w:val="center"/>
          </w:tcPr>
          <w:p w14:paraId="1EEABC7A" w14:textId="77777777" w:rsidR="00345B8A" w:rsidRPr="005B3F85" w:rsidRDefault="00345B8A" w:rsidP="00FA5DD3">
            <w:pPr>
              <w:spacing w:line="0" w:lineRule="atLeast"/>
              <w:jc w:val="right"/>
            </w:pPr>
            <w:r w:rsidRPr="005B3F85">
              <w:t>6.275</w:t>
            </w:r>
          </w:p>
        </w:tc>
      </w:tr>
      <w:tr w:rsidR="00345B8A" w14:paraId="193BC9F4" w14:textId="77777777" w:rsidTr="00FA5DD3">
        <w:trPr>
          <w:cantSplit/>
          <w:trHeight w:val="170"/>
          <w:jc w:val="center"/>
        </w:trPr>
        <w:tc>
          <w:tcPr>
            <w:tcW w:w="3381" w:type="dxa"/>
            <w:vAlign w:val="center"/>
          </w:tcPr>
          <w:p w14:paraId="0914DF10" w14:textId="2605ABE8" w:rsidR="00345B8A" w:rsidRPr="005B3F85" w:rsidRDefault="00345B8A" w:rsidP="00FA5DD3">
            <w:pPr>
              <w:spacing w:line="0" w:lineRule="atLeast"/>
              <w:jc w:val="left"/>
            </w:pPr>
            <w:r w:rsidRPr="005B3F85">
              <w:t>Hacienda</w:t>
            </w:r>
          </w:p>
        </w:tc>
        <w:tc>
          <w:tcPr>
            <w:tcW w:w="3381" w:type="dxa"/>
            <w:vAlign w:val="center"/>
          </w:tcPr>
          <w:p w14:paraId="00BE2270" w14:textId="77777777" w:rsidR="00345B8A" w:rsidRPr="005B3F85" w:rsidRDefault="00345B8A" w:rsidP="00FA5DD3">
            <w:pPr>
              <w:spacing w:line="0" w:lineRule="atLeast"/>
              <w:jc w:val="right"/>
            </w:pPr>
            <w:r w:rsidRPr="005B3F85">
              <w:t>473</w:t>
            </w:r>
          </w:p>
        </w:tc>
      </w:tr>
      <w:tr w:rsidR="00345B8A" w14:paraId="06BAFF5A" w14:textId="77777777" w:rsidTr="00FA5DD3">
        <w:trPr>
          <w:cantSplit/>
          <w:trHeight w:val="170"/>
          <w:jc w:val="center"/>
        </w:trPr>
        <w:tc>
          <w:tcPr>
            <w:tcW w:w="3381" w:type="dxa"/>
            <w:vAlign w:val="center"/>
          </w:tcPr>
          <w:p w14:paraId="78696584" w14:textId="42A0B3AE" w:rsidR="00345B8A" w:rsidRPr="005B3F85" w:rsidRDefault="00345B8A" w:rsidP="00FA5DD3">
            <w:pPr>
              <w:spacing w:line="0" w:lineRule="atLeast"/>
              <w:jc w:val="left"/>
            </w:pPr>
            <w:r w:rsidRPr="005B3F85">
              <w:t>Integración Social</w:t>
            </w:r>
          </w:p>
        </w:tc>
        <w:tc>
          <w:tcPr>
            <w:tcW w:w="3381" w:type="dxa"/>
            <w:vAlign w:val="center"/>
          </w:tcPr>
          <w:p w14:paraId="7E686A17" w14:textId="77777777" w:rsidR="00345B8A" w:rsidRPr="005B3F85" w:rsidRDefault="00345B8A" w:rsidP="00FA5DD3">
            <w:pPr>
              <w:spacing w:line="0" w:lineRule="atLeast"/>
              <w:jc w:val="right"/>
            </w:pPr>
            <w:r w:rsidRPr="005B3F85">
              <w:t>8.481</w:t>
            </w:r>
          </w:p>
        </w:tc>
      </w:tr>
      <w:tr w:rsidR="00345B8A" w14:paraId="2C64BB29" w14:textId="77777777" w:rsidTr="00FA5DD3">
        <w:trPr>
          <w:cantSplit/>
          <w:trHeight w:val="170"/>
          <w:jc w:val="center"/>
        </w:trPr>
        <w:tc>
          <w:tcPr>
            <w:tcW w:w="3381" w:type="dxa"/>
            <w:vAlign w:val="center"/>
          </w:tcPr>
          <w:p w14:paraId="15F4417C" w14:textId="2A19F03B" w:rsidR="00345B8A" w:rsidRPr="005B3F85" w:rsidRDefault="00345B8A" w:rsidP="00FA5DD3">
            <w:pPr>
              <w:spacing w:line="0" w:lineRule="atLeast"/>
              <w:jc w:val="left"/>
            </w:pPr>
            <w:r w:rsidRPr="005B3F85">
              <w:t>Movilidad</w:t>
            </w:r>
          </w:p>
        </w:tc>
        <w:tc>
          <w:tcPr>
            <w:tcW w:w="3381" w:type="dxa"/>
            <w:vAlign w:val="center"/>
          </w:tcPr>
          <w:p w14:paraId="5680F5DB" w14:textId="77777777" w:rsidR="00345B8A" w:rsidRPr="005B3F85" w:rsidRDefault="00345B8A" w:rsidP="00FA5DD3">
            <w:pPr>
              <w:spacing w:line="0" w:lineRule="atLeast"/>
              <w:jc w:val="right"/>
            </w:pPr>
            <w:r w:rsidRPr="005B3F85">
              <w:t>19.854</w:t>
            </w:r>
          </w:p>
        </w:tc>
      </w:tr>
      <w:tr w:rsidR="00345B8A" w14:paraId="2F32D3E0" w14:textId="77777777" w:rsidTr="00FA5DD3">
        <w:trPr>
          <w:cantSplit/>
          <w:trHeight w:val="170"/>
          <w:jc w:val="center"/>
        </w:trPr>
        <w:tc>
          <w:tcPr>
            <w:tcW w:w="3381" w:type="dxa"/>
            <w:vAlign w:val="center"/>
          </w:tcPr>
          <w:p w14:paraId="44A0018A" w14:textId="4021CEFE" w:rsidR="00345B8A" w:rsidRPr="005B3F85" w:rsidRDefault="00345B8A" w:rsidP="00FA5DD3">
            <w:pPr>
              <w:spacing w:line="0" w:lineRule="atLeast"/>
              <w:jc w:val="left"/>
            </w:pPr>
            <w:r w:rsidRPr="005B3F85">
              <w:t>Mujer</w:t>
            </w:r>
          </w:p>
        </w:tc>
        <w:tc>
          <w:tcPr>
            <w:tcW w:w="3381" w:type="dxa"/>
            <w:vAlign w:val="center"/>
          </w:tcPr>
          <w:p w14:paraId="4967D3BD" w14:textId="77777777" w:rsidR="00345B8A" w:rsidRPr="005B3F85" w:rsidRDefault="00345B8A" w:rsidP="00FA5DD3">
            <w:pPr>
              <w:spacing w:line="0" w:lineRule="atLeast"/>
              <w:jc w:val="right"/>
            </w:pPr>
            <w:r w:rsidRPr="005B3F85">
              <w:t>415</w:t>
            </w:r>
          </w:p>
        </w:tc>
      </w:tr>
      <w:tr w:rsidR="00345B8A" w14:paraId="0DBB110A" w14:textId="77777777" w:rsidTr="00FA5DD3">
        <w:trPr>
          <w:cantSplit/>
          <w:trHeight w:val="170"/>
          <w:jc w:val="center"/>
        </w:trPr>
        <w:tc>
          <w:tcPr>
            <w:tcW w:w="3381" w:type="dxa"/>
            <w:vAlign w:val="center"/>
          </w:tcPr>
          <w:p w14:paraId="5A64EE1D" w14:textId="6C0EABA8" w:rsidR="00345B8A" w:rsidRPr="005B3F85" w:rsidRDefault="00345B8A" w:rsidP="00FA5DD3">
            <w:pPr>
              <w:spacing w:line="0" w:lineRule="atLeast"/>
              <w:jc w:val="left"/>
            </w:pPr>
            <w:r w:rsidRPr="005B3F85">
              <w:t>Planeación</w:t>
            </w:r>
          </w:p>
        </w:tc>
        <w:tc>
          <w:tcPr>
            <w:tcW w:w="3381" w:type="dxa"/>
            <w:vAlign w:val="center"/>
          </w:tcPr>
          <w:p w14:paraId="6D0FAF0A" w14:textId="77777777" w:rsidR="00345B8A" w:rsidRPr="005B3F85" w:rsidRDefault="00345B8A" w:rsidP="00FA5DD3">
            <w:pPr>
              <w:spacing w:line="0" w:lineRule="atLeast"/>
              <w:jc w:val="right"/>
            </w:pPr>
            <w:r w:rsidRPr="005B3F85">
              <w:t>272</w:t>
            </w:r>
          </w:p>
        </w:tc>
      </w:tr>
      <w:tr w:rsidR="00345B8A" w14:paraId="55E01EBC" w14:textId="77777777" w:rsidTr="00FA5DD3">
        <w:trPr>
          <w:cantSplit/>
          <w:trHeight w:val="170"/>
          <w:jc w:val="center"/>
        </w:trPr>
        <w:tc>
          <w:tcPr>
            <w:tcW w:w="3381" w:type="dxa"/>
            <w:vAlign w:val="center"/>
          </w:tcPr>
          <w:p w14:paraId="6F0CAECD" w14:textId="09DC2D84" w:rsidR="00345B8A" w:rsidRPr="005B3F85" w:rsidRDefault="00345B8A" w:rsidP="00FA5DD3">
            <w:pPr>
              <w:spacing w:line="0" w:lineRule="atLeast"/>
              <w:jc w:val="left"/>
            </w:pPr>
            <w:r w:rsidRPr="005B3F85">
              <w:t>Salud</w:t>
            </w:r>
          </w:p>
        </w:tc>
        <w:tc>
          <w:tcPr>
            <w:tcW w:w="3381" w:type="dxa"/>
            <w:vAlign w:val="center"/>
          </w:tcPr>
          <w:p w14:paraId="549AE8C1" w14:textId="77777777" w:rsidR="00345B8A" w:rsidRPr="005B3F85" w:rsidRDefault="00345B8A" w:rsidP="00FA5DD3">
            <w:pPr>
              <w:spacing w:line="0" w:lineRule="atLeast"/>
              <w:jc w:val="right"/>
            </w:pPr>
            <w:r w:rsidRPr="005B3F85">
              <w:t>17.058</w:t>
            </w:r>
          </w:p>
        </w:tc>
      </w:tr>
      <w:tr w:rsidR="00345B8A" w14:paraId="315A9AF0" w14:textId="77777777" w:rsidTr="00FA5DD3">
        <w:trPr>
          <w:cantSplit/>
          <w:trHeight w:val="170"/>
          <w:jc w:val="center"/>
        </w:trPr>
        <w:tc>
          <w:tcPr>
            <w:tcW w:w="3381" w:type="dxa"/>
            <w:vAlign w:val="center"/>
          </w:tcPr>
          <w:p w14:paraId="61564EC9" w14:textId="5ECAE091" w:rsidR="00345B8A" w:rsidRPr="005B3F85" w:rsidRDefault="00345B8A" w:rsidP="00FA5DD3">
            <w:pPr>
              <w:spacing w:line="0" w:lineRule="atLeast"/>
              <w:jc w:val="left"/>
            </w:pPr>
            <w:r w:rsidRPr="005B3F85">
              <w:t>Seguridad, Convivencia y Justicia</w:t>
            </w:r>
          </w:p>
        </w:tc>
        <w:tc>
          <w:tcPr>
            <w:tcW w:w="3381" w:type="dxa"/>
            <w:vAlign w:val="center"/>
          </w:tcPr>
          <w:p w14:paraId="4719518E" w14:textId="77777777" w:rsidR="00345B8A" w:rsidRPr="005B3F85" w:rsidRDefault="00345B8A" w:rsidP="00FA5DD3">
            <w:pPr>
              <w:spacing w:line="0" w:lineRule="atLeast"/>
              <w:jc w:val="right"/>
            </w:pPr>
            <w:r w:rsidRPr="005B3F85">
              <w:t>3.528</w:t>
            </w:r>
          </w:p>
        </w:tc>
      </w:tr>
      <w:tr w:rsidR="00345B8A" w14:paraId="4495814A" w14:textId="77777777" w:rsidTr="00FA5DD3">
        <w:trPr>
          <w:cantSplit/>
          <w:trHeight w:val="170"/>
          <w:jc w:val="center"/>
        </w:trPr>
        <w:tc>
          <w:tcPr>
            <w:tcW w:w="3381" w:type="dxa"/>
            <w:vAlign w:val="center"/>
          </w:tcPr>
          <w:p w14:paraId="32D67D98" w14:textId="2815FCAF" w:rsidR="00345B8A" w:rsidRPr="005B3F85" w:rsidRDefault="00345B8A" w:rsidP="00FA5DD3">
            <w:pPr>
              <w:spacing w:line="0" w:lineRule="atLeast"/>
              <w:jc w:val="left"/>
            </w:pPr>
            <w:r w:rsidRPr="005B3F85">
              <w:t>Veeduría</w:t>
            </w:r>
          </w:p>
        </w:tc>
        <w:tc>
          <w:tcPr>
            <w:tcW w:w="3381" w:type="dxa"/>
            <w:vAlign w:val="center"/>
          </w:tcPr>
          <w:p w14:paraId="699CEF4E" w14:textId="77777777" w:rsidR="00345B8A" w:rsidRPr="005B3F85" w:rsidRDefault="00345B8A" w:rsidP="00FA5DD3">
            <w:pPr>
              <w:spacing w:line="0" w:lineRule="atLeast"/>
              <w:jc w:val="right"/>
            </w:pPr>
            <w:r w:rsidRPr="005B3F85">
              <w:t>16</w:t>
            </w:r>
          </w:p>
        </w:tc>
      </w:tr>
      <w:tr w:rsidR="0012219E" w14:paraId="1E35FC63" w14:textId="77777777" w:rsidTr="00FA5DD3">
        <w:trPr>
          <w:cantSplit/>
          <w:trHeight w:val="397"/>
          <w:jc w:val="center"/>
        </w:trPr>
        <w:tc>
          <w:tcPr>
            <w:tcW w:w="3381" w:type="dxa"/>
            <w:shd w:val="clear" w:color="auto" w:fill="D0CECE" w:themeFill="background2" w:themeFillShade="E6"/>
            <w:vAlign w:val="center"/>
          </w:tcPr>
          <w:p w14:paraId="7BA93736" w14:textId="6E8B8F87" w:rsidR="00345B8A" w:rsidRPr="00454DFE" w:rsidRDefault="00345B8A" w:rsidP="00FA5DD3">
            <w:pPr>
              <w:spacing w:line="0" w:lineRule="atLeast"/>
              <w:jc w:val="left"/>
              <w:rPr>
                <w:b/>
                <w:bCs/>
              </w:rPr>
            </w:pPr>
            <w:r w:rsidRPr="00454DFE">
              <w:rPr>
                <w:b/>
                <w:bCs/>
              </w:rPr>
              <w:t>Total</w:t>
            </w:r>
          </w:p>
        </w:tc>
        <w:tc>
          <w:tcPr>
            <w:tcW w:w="3381" w:type="dxa"/>
            <w:shd w:val="clear" w:color="auto" w:fill="D0CECE" w:themeFill="background2" w:themeFillShade="E6"/>
            <w:vAlign w:val="center"/>
          </w:tcPr>
          <w:p w14:paraId="25B7FB72" w14:textId="77777777" w:rsidR="00345B8A" w:rsidRPr="00454DFE" w:rsidRDefault="00345B8A" w:rsidP="00FA5DD3">
            <w:pPr>
              <w:spacing w:line="0" w:lineRule="atLeast"/>
              <w:jc w:val="right"/>
              <w:rPr>
                <w:b/>
                <w:bCs/>
              </w:rPr>
            </w:pPr>
            <w:r w:rsidRPr="00454DFE">
              <w:rPr>
                <w:b/>
                <w:bCs/>
              </w:rPr>
              <w:t>90.886</w:t>
            </w:r>
          </w:p>
        </w:tc>
      </w:tr>
    </w:tbl>
    <w:p w14:paraId="18202FBE" w14:textId="77777777" w:rsidR="00345B8A" w:rsidRPr="00127C27" w:rsidRDefault="00345B8A" w:rsidP="00345B8A">
      <w:pPr>
        <w:pStyle w:val="figuratitulo"/>
        <w:rPr>
          <w:b/>
          <w:bCs/>
          <w:color w:val="3B3838" w:themeColor="background2" w:themeShade="40"/>
        </w:rPr>
      </w:pPr>
      <w:r w:rsidRPr="00127C27">
        <w:rPr>
          <w:b/>
          <w:bCs/>
          <w:color w:val="3B3838" w:themeColor="background2" w:themeShade="40"/>
        </w:rPr>
        <w:t xml:space="preserve">Fuente: </w:t>
      </w:r>
      <w:r w:rsidRPr="00127C27">
        <w:rPr>
          <w:color w:val="3B3838" w:themeColor="background2" w:themeShade="40"/>
        </w:rPr>
        <w:t>CONFIS, abril de 2024.</w:t>
      </w:r>
    </w:p>
    <w:p w14:paraId="1F2F55C1" w14:textId="77777777" w:rsidR="00513F0E" w:rsidRDefault="00513F0E" w:rsidP="00513F0E"/>
    <w:p w14:paraId="6DD019AC" w14:textId="77777777" w:rsidR="00513F0E" w:rsidRDefault="00513F0E" w:rsidP="00513F0E">
      <w:bookmarkStart w:id="139" w:name="_heading=h.gjdgxs" w:colFirst="0" w:colLast="0"/>
      <w:bookmarkEnd w:id="139"/>
    </w:p>
    <w:p w14:paraId="6375BD57" w14:textId="77777777" w:rsidR="00513F0E" w:rsidRDefault="00513F0E" w:rsidP="00513F0E">
      <w:pPr>
        <w:sectPr w:rsidR="00513F0E" w:rsidSect="00F7078E">
          <w:type w:val="continuous"/>
          <w:pgSz w:w="12240" w:h="15840"/>
          <w:pgMar w:top="2262" w:right="1440" w:bottom="1440" w:left="1440" w:header="709" w:footer="680" w:gutter="0"/>
          <w:cols w:space="708"/>
          <w:docGrid w:linePitch="360"/>
        </w:sectPr>
      </w:pPr>
    </w:p>
    <w:p w14:paraId="36ED9523" w14:textId="77777777" w:rsidR="00513F0E" w:rsidRDefault="00513F0E" w:rsidP="00513F0E">
      <w:r>
        <w:lastRenderedPageBreak/>
        <w:t xml:space="preserve">Según la estructura del Plan de Desarrollo, los objetivos 2, 3 y 4, tienen una distribución cercana al 30 % cada uno. El objetivo 2, Bogotá confía en su bien-estar, tiene un presupuesto de $27,3 billones que se invertirán en temas de lucha contra la pobreza, el hambre y la exclusión, salud, paz y reconciliación y protección de la vida, entre otros. El objetivo 3, Bogotá confía en su potencial, tiene un presupuesto de $24,4 billones que se invertirá principalmente en temas de educación, formación para el trabajo, ciencia tecnología e innovación y el desarrollo del tejido empresarial y el emprendimiento. El objetivo 4, Bogotá ordena su territorio y avanza en su acción climática con inversiones por $23,2 billones, en temas del sistema de movilidad como motor </w:t>
      </w:r>
      <w:r>
        <w:t xml:space="preserve">de bienestar social, la atención del déficit de vivienda, equipamientos sociales del cuidado, así como en el desarrollo de territorios equilibrados y con criterios de sostenibilidad ambiental. </w:t>
      </w:r>
    </w:p>
    <w:p w14:paraId="537F3415" w14:textId="77777777" w:rsidR="00513F0E" w:rsidRDefault="00513F0E" w:rsidP="00513F0E"/>
    <w:p w14:paraId="23D04F01" w14:textId="77777777" w:rsidR="00F44DA2" w:rsidRDefault="00513F0E" w:rsidP="00F44DA2">
      <w:r>
        <w:t xml:space="preserve">Por su parte, con $7,4 billones, el objetivo 1 apuesta por una ciudad que respeta la vida, la diferencia y la propiedad, con cero tolerancia a la violencia contra las mujeres, y espacios públicos con servicios de movilidad seguros e incluyentes. Finalmente, el objetivo 5, con $8,5 billones con inversiones para una ciudad que atiende y garantiza los derechos de las personas, que brinda servicios amables, ágiles y oportunos y que gasta con eficiencia.  </w:t>
      </w:r>
    </w:p>
    <w:p w14:paraId="4BD1217B" w14:textId="77777777" w:rsidR="00F44DA2" w:rsidRDefault="00F44DA2" w:rsidP="00F44DA2">
      <w:pPr>
        <w:sectPr w:rsidR="00F44DA2" w:rsidSect="00F7078E">
          <w:pgSz w:w="12240" w:h="15840"/>
          <w:pgMar w:top="2262" w:right="1440" w:bottom="1440" w:left="1440" w:header="708" w:footer="708" w:gutter="0"/>
          <w:cols w:num="2" w:space="567"/>
          <w:docGrid w:linePitch="360"/>
        </w:sectPr>
      </w:pPr>
    </w:p>
    <w:p w14:paraId="1CD7E732" w14:textId="77777777" w:rsidR="005858FE" w:rsidRDefault="005858FE" w:rsidP="005858FE">
      <w:pPr>
        <w:pStyle w:val="Descripcin"/>
        <w:jc w:val="center"/>
        <w:rPr>
          <w:color w:val="C00000"/>
          <w:sz w:val="18"/>
          <w:szCs w:val="14"/>
        </w:rPr>
      </w:pPr>
    </w:p>
    <w:p w14:paraId="603D03B0" w14:textId="1D19987E" w:rsidR="00513F0E" w:rsidRPr="005858FE" w:rsidRDefault="005858FE" w:rsidP="005858FE">
      <w:pPr>
        <w:pStyle w:val="Descripcin"/>
        <w:jc w:val="center"/>
        <w:rPr>
          <w:sz w:val="18"/>
          <w:szCs w:val="14"/>
        </w:rPr>
      </w:pPr>
      <w:bookmarkStart w:id="140" w:name="_Toc165169851"/>
      <w:r w:rsidRPr="005858FE">
        <w:rPr>
          <w:color w:val="C00000"/>
          <w:sz w:val="18"/>
          <w:szCs w:val="14"/>
        </w:rPr>
        <w:t xml:space="preserve">Gráfica </w:t>
      </w:r>
      <w:r w:rsidRPr="005858FE">
        <w:rPr>
          <w:color w:val="C00000"/>
          <w:sz w:val="18"/>
          <w:szCs w:val="14"/>
        </w:rPr>
        <w:fldChar w:fldCharType="begin"/>
      </w:r>
      <w:r w:rsidRPr="005858FE">
        <w:rPr>
          <w:color w:val="C00000"/>
          <w:sz w:val="18"/>
          <w:szCs w:val="14"/>
        </w:rPr>
        <w:instrText xml:space="preserve"> SEQ Gráfica \* ARABIC </w:instrText>
      </w:r>
      <w:r w:rsidRPr="005858FE">
        <w:rPr>
          <w:color w:val="C00000"/>
          <w:sz w:val="18"/>
          <w:szCs w:val="14"/>
        </w:rPr>
        <w:fldChar w:fldCharType="separate"/>
      </w:r>
      <w:r w:rsidR="00D01651">
        <w:rPr>
          <w:noProof/>
          <w:color w:val="C00000"/>
          <w:sz w:val="18"/>
          <w:szCs w:val="14"/>
        </w:rPr>
        <w:t>25</w:t>
      </w:r>
      <w:r w:rsidRPr="005858FE">
        <w:rPr>
          <w:color w:val="C00000"/>
          <w:sz w:val="18"/>
          <w:szCs w:val="14"/>
        </w:rPr>
        <w:fldChar w:fldCharType="end"/>
      </w:r>
      <w:r w:rsidRPr="005858FE">
        <w:rPr>
          <w:color w:val="C00000"/>
          <w:sz w:val="18"/>
          <w:szCs w:val="14"/>
        </w:rPr>
        <w:t xml:space="preserve">. </w:t>
      </w:r>
      <w:r w:rsidR="00513F0E" w:rsidRPr="005858FE">
        <w:rPr>
          <w:sz w:val="18"/>
          <w:szCs w:val="14"/>
        </w:rPr>
        <w:t>Plan Plurianual de Inversiones por objetivo estratégico - Total 2024-2027</w:t>
      </w:r>
      <w:bookmarkEnd w:id="140"/>
    </w:p>
    <w:p w14:paraId="1FC3714C" w14:textId="446DD6E3" w:rsidR="00513F0E" w:rsidRDefault="00513F0E" w:rsidP="00513F0E"/>
    <w:tbl>
      <w:tblPr>
        <w:tblW w:w="8828" w:type="dxa"/>
        <w:tblLayout w:type="fixed"/>
        <w:tblLook w:val="0400" w:firstRow="0" w:lastRow="0" w:firstColumn="0" w:lastColumn="0" w:noHBand="0" w:noVBand="1"/>
      </w:tblPr>
      <w:tblGrid>
        <w:gridCol w:w="4429"/>
        <w:gridCol w:w="4399"/>
      </w:tblGrid>
      <w:tr w:rsidR="00513F0E" w:rsidRPr="00B87118" w14:paraId="2C185EB7" w14:textId="77777777" w:rsidTr="00FF1F9A">
        <w:tc>
          <w:tcPr>
            <w:tcW w:w="4429" w:type="dxa"/>
            <w:vAlign w:val="center"/>
          </w:tcPr>
          <w:p w14:paraId="27DE3BD7" w14:textId="77777777" w:rsidR="00513F0E" w:rsidRPr="003B3745" w:rsidRDefault="00513F0E" w:rsidP="00FF1F9A">
            <w:pPr>
              <w:jc w:val="center"/>
              <w:rPr>
                <w:i/>
                <w:iCs/>
                <w:sz w:val="20"/>
                <w:szCs w:val="22"/>
              </w:rPr>
            </w:pPr>
            <w:r w:rsidRPr="003B3745">
              <w:rPr>
                <w:i/>
                <w:iCs/>
                <w:noProof/>
                <w:sz w:val="20"/>
                <w:szCs w:val="22"/>
              </w:rPr>
              <w:drawing>
                <wp:anchor distT="0" distB="0" distL="114300" distR="114300" simplePos="0" relativeHeight="251698176" behindDoc="0" locked="0" layoutInCell="1" allowOverlap="1" wp14:anchorId="44A630CF" wp14:editId="6C06BC02">
                  <wp:simplePos x="0" y="0"/>
                  <wp:positionH relativeFrom="column">
                    <wp:posOffset>1905</wp:posOffset>
                  </wp:positionH>
                  <wp:positionV relativeFrom="paragraph">
                    <wp:posOffset>-2477770</wp:posOffset>
                  </wp:positionV>
                  <wp:extent cx="2941320" cy="2461260"/>
                  <wp:effectExtent l="0" t="0" r="0" b="0"/>
                  <wp:wrapSquare wrapText="bothSides"/>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14:sizeRelH relativeFrom="margin">
                    <wp14:pctWidth>0</wp14:pctWidth>
                  </wp14:sizeRelH>
                  <wp14:sizeRelV relativeFrom="margin">
                    <wp14:pctHeight>0</wp14:pctHeight>
                  </wp14:sizeRelV>
                </wp:anchor>
              </w:drawing>
            </w:r>
            <w:r w:rsidRPr="003B3745">
              <w:rPr>
                <w:i/>
                <w:iCs/>
                <w:sz w:val="20"/>
                <w:szCs w:val="22"/>
              </w:rPr>
              <w:t>Recursos PPI por objetivo (Miles de millones de pesos constantes 2024)</w:t>
            </w:r>
          </w:p>
          <w:p w14:paraId="13AA68AC" w14:textId="77777777" w:rsidR="00513F0E" w:rsidRPr="00B87118" w:rsidRDefault="00513F0E" w:rsidP="00FF1F9A">
            <w:pPr>
              <w:jc w:val="left"/>
            </w:pPr>
          </w:p>
        </w:tc>
        <w:tc>
          <w:tcPr>
            <w:tcW w:w="4399" w:type="dxa"/>
          </w:tcPr>
          <w:p w14:paraId="0B7E3F7E" w14:textId="0F6DC10C" w:rsidR="00513F0E" w:rsidRPr="003B3745" w:rsidRDefault="0012219E" w:rsidP="00FF1F9A">
            <w:pPr>
              <w:jc w:val="center"/>
              <w:rPr>
                <w:i/>
                <w:iCs/>
                <w:sz w:val="20"/>
                <w:szCs w:val="22"/>
              </w:rPr>
            </w:pPr>
            <w:r w:rsidRPr="003B3745">
              <w:rPr>
                <w:i/>
                <w:iCs/>
                <w:noProof/>
                <w:sz w:val="20"/>
                <w:szCs w:val="22"/>
              </w:rPr>
              <w:drawing>
                <wp:anchor distT="0" distB="0" distL="114300" distR="114300" simplePos="0" relativeHeight="251699200" behindDoc="0" locked="0" layoutInCell="1" allowOverlap="1" wp14:anchorId="62802146" wp14:editId="63FAF87E">
                  <wp:simplePos x="0" y="0"/>
                  <wp:positionH relativeFrom="column">
                    <wp:posOffset>-6350</wp:posOffset>
                  </wp:positionH>
                  <wp:positionV relativeFrom="paragraph">
                    <wp:posOffset>2540</wp:posOffset>
                  </wp:positionV>
                  <wp:extent cx="2714625" cy="2491740"/>
                  <wp:effectExtent l="0" t="0" r="0" b="3810"/>
                  <wp:wrapSquare wrapText="bothSides"/>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V relativeFrom="margin">
                    <wp14:pctHeight>0</wp14:pctHeight>
                  </wp14:sizeRelV>
                </wp:anchor>
              </w:drawing>
            </w:r>
            <w:r w:rsidR="00513F0E" w:rsidRPr="003B3745">
              <w:rPr>
                <w:i/>
                <w:iCs/>
                <w:sz w:val="20"/>
                <w:szCs w:val="22"/>
              </w:rPr>
              <w:t>Participación % de objetivos del PPI</w:t>
            </w:r>
          </w:p>
          <w:p w14:paraId="05567050" w14:textId="77777777" w:rsidR="00513F0E" w:rsidRPr="00B87118" w:rsidRDefault="00513F0E" w:rsidP="00FF1F9A"/>
          <w:p w14:paraId="601F4EA1" w14:textId="780E066B" w:rsidR="00513F0E" w:rsidRPr="00B87118" w:rsidRDefault="00513F0E" w:rsidP="00FF1F9A"/>
        </w:tc>
      </w:tr>
    </w:tbl>
    <w:p w14:paraId="14494A6A" w14:textId="5426F5AE" w:rsidR="003B3745" w:rsidRDefault="003B3745" w:rsidP="00F44DA2">
      <w:pPr>
        <w:pStyle w:val="figuratitulo"/>
        <w:rPr>
          <w:b/>
          <w:bCs/>
          <w:color w:val="3B3838" w:themeColor="background2" w:themeShade="40"/>
        </w:rPr>
      </w:pPr>
      <w:r>
        <w:rPr>
          <w:b/>
          <w:bCs/>
          <w:color w:val="3B3838" w:themeColor="background2" w:themeShade="40"/>
        </w:rPr>
        <w:t>*Incluye los recursos propios de la Empresa de Renovación y Desarrollo Urbano de Bogotá – RenoBo y Empresa de Acueducto y Alcantarillado de Bogotá – EAAB</w:t>
      </w:r>
    </w:p>
    <w:p w14:paraId="2FB50DD6" w14:textId="4FABFE58" w:rsidR="00513F0E" w:rsidRPr="00787133" w:rsidRDefault="00513F0E" w:rsidP="00F44DA2">
      <w:pPr>
        <w:pStyle w:val="figuratitulo"/>
        <w:rPr>
          <w:color w:val="3B3838" w:themeColor="background2" w:themeShade="40"/>
        </w:rPr>
      </w:pPr>
      <w:r w:rsidRPr="00787133">
        <w:rPr>
          <w:b/>
          <w:bCs/>
          <w:color w:val="3B3838" w:themeColor="background2" w:themeShade="40"/>
        </w:rPr>
        <w:t>Fuente:</w:t>
      </w:r>
      <w:r w:rsidRPr="00787133">
        <w:rPr>
          <w:color w:val="3B3838" w:themeColor="background2" w:themeShade="40"/>
        </w:rPr>
        <w:t xml:space="preserve"> CONFIS, abril de 2024</w:t>
      </w:r>
    </w:p>
    <w:p w14:paraId="063E11E5" w14:textId="00F843E6" w:rsidR="0083520B" w:rsidRPr="005D43C0" w:rsidRDefault="0083520B" w:rsidP="0083520B"/>
    <w:p w14:paraId="2EADE626" w14:textId="2334CA52" w:rsidR="00F7619F" w:rsidRDefault="00F7619F" w:rsidP="00CC2A62">
      <w:r>
        <w:br w:type="page"/>
      </w:r>
    </w:p>
    <w:p w14:paraId="565ECC0D" w14:textId="29B44D65" w:rsidR="00F7619F" w:rsidRDefault="00F7619F" w:rsidP="00F42F38">
      <w:r w:rsidRPr="00562BAF">
        <w:rPr>
          <w:noProof/>
        </w:rPr>
        <w:lastRenderedPageBreak/>
        <w:drawing>
          <wp:anchor distT="0" distB="0" distL="114300" distR="114300" simplePos="0" relativeHeight="251701248" behindDoc="1" locked="0" layoutInCell="1" allowOverlap="1" wp14:anchorId="157F122E" wp14:editId="0F797578">
            <wp:simplePos x="0" y="0"/>
            <wp:positionH relativeFrom="margin">
              <wp:posOffset>6350</wp:posOffset>
            </wp:positionH>
            <wp:positionV relativeFrom="margin">
              <wp:posOffset>-1620520</wp:posOffset>
            </wp:positionV>
            <wp:extent cx="5932800" cy="2241073"/>
            <wp:effectExtent l="0" t="0" r="0" b="6985"/>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2">
                      <a:extLst>
                        <a:ext uri="{28A0092B-C50C-407E-A947-70E740481C1C}">
                          <a14:useLocalDpi xmlns:a14="http://schemas.microsoft.com/office/drawing/2010/main" val="0"/>
                        </a:ext>
                      </a:extLst>
                    </a:blip>
                    <a:stretch>
                      <a:fillRect/>
                    </a:stretch>
                  </pic:blipFill>
                  <pic:spPr>
                    <a:xfrm>
                      <a:off x="0" y="0"/>
                      <a:ext cx="5932800" cy="2241073"/>
                    </a:xfrm>
                    <a:prstGeom prst="rect">
                      <a:avLst/>
                    </a:prstGeom>
                  </pic:spPr>
                </pic:pic>
              </a:graphicData>
            </a:graphic>
            <wp14:sizeRelH relativeFrom="page">
              <wp14:pctWidth>0</wp14:pctWidth>
            </wp14:sizeRelH>
            <wp14:sizeRelV relativeFrom="page">
              <wp14:pctHeight>0</wp14:pctHeight>
            </wp14:sizeRelV>
          </wp:anchor>
        </w:drawing>
      </w:r>
    </w:p>
    <w:p w14:paraId="247C2120" w14:textId="77777777" w:rsidR="00AD2047" w:rsidRDefault="00AD2047" w:rsidP="00F7619F">
      <w:pPr>
        <w:pStyle w:val="titulodocumento"/>
      </w:pPr>
    </w:p>
    <w:p w14:paraId="1D0E7B1E" w14:textId="77777777" w:rsidR="00F42F38" w:rsidRDefault="00F42F38" w:rsidP="00F7619F">
      <w:pPr>
        <w:pStyle w:val="titulodocumento"/>
      </w:pPr>
    </w:p>
    <w:p w14:paraId="0DC6FF58" w14:textId="2F279867" w:rsidR="00F7619F" w:rsidRPr="00C735C1" w:rsidRDefault="00AB625C" w:rsidP="00CD46E6">
      <w:pPr>
        <w:pStyle w:val="NIVEL2PDD"/>
        <w:rPr>
          <w:i/>
          <w:iCs/>
        </w:rPr>
      </w:pPr>
      <w:bookmarkStart w:id="141" w:name="_Toc165169748"/>
      <w:r w:rsidRPr="00AB625C">
        <w:t>El Plan de Desarrollo y los ODS</w:t>
      </w:r>
      <w:bookmarkEnd w:id="141"/>
    </w:p>
    <w:p w14:paraId="5A0F840D" w14:textId="77777777" w:rsidR="00F7619F" w:rsidRPr="00DF4131" w:rsidRDefault="00F7619F" w:rsidP="00F7619F">
      <w:pPr>
        <w:rPr>
          <w:rFonts w:cs="Times New Roman (Cuerpo en alfa"/>
          <w:spacing w:val="-4"/>
          <w:lang w:val="es-ES"/>
        </w:rPr>
        <w:sectPr w:rsidR="00F7619F" w:rsidRPr="00DF4131" w:rsidSect="00F7078E">
          <w:headerReference w:type="default" r:id="rId83"/>
          <w:footerReference w:type="even" r:id="rId84"/>
          <w:type w:val="continuous"/>
          <w:pgSz w:w="12240" w:h="15840"/>
          <w:pgMar w:top="2262" w:right="1440" w:bottom="1440" w:left="1440" w:header="709" w:footer="680" w:gutter="0"/>
          <w:cols w:space="708"/>
          <w:docGrid w:linePitch="360"/>
        </w:sectPr>
      </w:pPr>
    </w:p>
    <w:p w14:paraId="2049DC70" w14:textId="77777777" w:rsidR="00F7619F" w:rsidRPr="00B83E88" w:rsidRDefault="00F7619F" w:rsidP="00F7619F">
      <w:pPr>
        <w:rPr>
          <w:rFonts w:cs="Times New Roman (Cuerpo en alfa"/>
        </w:rPr>
      </w:pPr>
      <w:r w:rsidRPr="00B83E88">
        <w:rPr>
          <w:rFonts w:cs="Times New Roman (Cuerpo en alfa"/>
        </w:rPr>
        <w:t>La Agenda Global 2030 constituye una hoja de ruta para el desarrollo sostenible que propone un conjunto de prioridades y aspiraciones en relación con los desafíos económicos, sociales y medioambientales más urgentes que plantea la globalización, y orientando a los territorios nacionales y subnacionales en todo el mundo, para proponer e implementar mecanismos y acciones que permitan generar transformaciones para el logro de un desarrollo equitativo y sostenible, además de impulsar acciones para el mejoramiento de la calidad de vida de toda la población, con especial énfasis en las poblaciones más vulnerables y el fortalecimiento de los territorios.</w:t>
      </w:r>
    </w:p>
    <w:p w14:paraId="4C9A75E0" w14:textId="77777777" w:rsidR="00F7619F" w:rsidRPr="00B83E88" w:rsidRDefault="00F7619F" w:rsidP="00F7619F">
      <w:pPr>
        <w:rPr>
          <w:rFonts w:cs="Times New Roman (Cuerpo en alfa"/>
        </w:rPr>
      </w:pPr>
    </w:p>
    <w:p w14:paraId="5CA8ED43" w14:textId="77777777" w:rsidR="00F7619F" w:rsidRPr="00B83E88" w:rsidRDefault="00F7619F" w:rsidP="00F7619F">
      <w:pPr>
        <w:rPr>
          <w:rFonts w:cs="Times New Roman (Cuerpo en alfa"/>
        </w:rPr>
      </w:pPr>
      <w:r w:rsidRPr="00B83E88">
        <w:rPr>
          <w:rFonts w:cs="Times New Roman (Cuerpo en alfa"/>
        </w:rPr>
        <w:t xml:space="preserve">La Agenda para el Desarrollo Sostenible presenta una apuesta y plantea una oportunidad para abordar los principales desafíos de las naciones y los territorios subnacionales promoviendo la participación de diferentes actores para construir una visión integrada del territorio que permita el desarrollo productivo y económico a diferentes escalas, sin dejar de prestar atención a la importancia a los aspectos sociales, institucionales y culturales. </w:t>
      </w:r>
    </w:p>
    <w:p w14:paraId="57A309D7" w14:textId="77777777" w:rsidR="00F7619F" w:rsidRPr="00B83E88" w:rsidRDefault="00F7619F" w:rsidP="00F7619F">
      <w:pPr>
        <w:rPr>
          <w:rFonts w:cs="Times New Roman (Cuerpo en alfa"/>
        </w:rPr>
      </w:pPr>
    </w:p>
    <w:p w14:paraId="24BD6987" w14:textId="77777777" w:rsidR="00F7619F" w:rsidRPr="00B83E88" w:rsidRDefault="00F7619F" w:rsidP="00F7619F">
      <w:pPr>
        <w:rPr>
          <w:rFonts w:cs="Times New Roman (Cuerpo en alfa"/>
        </w:rPr>
      </w:pPr>
      <w:r w:rsidRPr="00B83E88">
        <w:rPr>
          <w:rFonts w:cs="Times New Roman (Cuerpo en alfa"/>
        </w:rPr>
        <w:t xml:space="preserve">La Agenda 2030 se alinea con un enfoque de desarrollo territorial que propende por un modelo de desarrollo </w:t>
      </w:r>
      <w:r w:rsidRPr="00B83E88">
        <w:rPr>
          <w:rFonts w:cs="Times New Roman (Cuerpo en alfa"/>
          <w:i/>
          <w:iCs/>
        </w:rPr>
        <w:t>“desde abajo”,</w:t>
      </w:r>
      <w:r w:rsidRPr="00B83E88">
        <w:rPr>
          <w:rFonts w:cs="Times New Roman (Cuerpo en alfa"/>
        </w:rPr>
        <w:t xml:space="preserve"> y en esta medida reconoce la importancia de los gobiernos locales para la materialización de la Agenda Global y sus Objetivos de Desarrollo Sostenible (ODS). Por ello, se ha enfatizado en la necesidad de lograr la articulación de las agendas locales y mundiales en clave del cumplimiento de los ODS; es decir, se promueve una alineación de las prioridades de los territorios subnacionales con dichos objetivos, en busca de alcanzar un </w:t>
      </w:r>
      <w:r w:rsidRPr="00B83E88">
        <w:rPr>
          <w:rFonts w:cs="Times New Roman (Cuerpo en alfa"/>
        </w:rPr>
        <w:t>compromiso más eficiente y eficaz que genere un impacto positivo.</w:t>
      </w:r>
    </w:p>
    <w:p w14:paraId="11863384" w14:textId="77777777" w:rsidR="00F7619F" w:rsidRPr="00B83E88" w:rsidRDefault="00F7619F" w:rsidP="00F7619F">
      <w:pPr>
        <w:rPr>
          <w:rFonts w:cs="Times New Roman (Cuerpo en alfa"/>
        </w:rPr>
      </w:pPr>
    </w:p>
    <w:p w14:paraId="64730FC4" w14:textId="77777777" w:rsidR="00F7619F" w:rsidRPr="00B83E88" w:rsidRDefault="00F7619F" w:rsidP="00F7619F">
      <w:pPr>
        <w:rPr>
          <w:rFonts w:cs="Times New Roman (Cuerpo en alfa"/>
        </w:rPr>
      </w:pPr>
      <w:r w:rsidRPr="00B83E88">
        <w:rPr>
          <w:rFonts w:cs="Times New Roman (Cuerpo en alfa"/>
        </w:rPr>
        <w:t xml:space="preserve">A nivel nacional, el documento 3918 del Consejo de Política Económica y Social (CONPES) expuso la necesidad de contar con herramientas y mecanismos territoriales que posibiliten acelerar el logro de los ODS propendiendo por el cierre de las brechas existentes dentro del país. En esta medida, el CONPES 3918 convidó a los municipios y demás entes territoriales a que localicen la Agenda 2030 a través de la inclusión de los ODS en programas de gobierno y en procesos de planeación territorial desde su fase de formulación, resaltando que ello constituye </w:t>
      </w:r>
      <w:r w:rsidRPr="00B83E88">
        <w:rPr>
          <w:rFonts w:cs="Times New Roman (Cuerpo en alfa"/>
          <w:i/>
          <w:iCs/>
        </w:rPr>
        <w:t>“una oportunidad para identificar y asociar recursos específicos para apoyar el efectivo cumplimiento de los ODS por parte de las entidades territoriales del país”,</w:t>
      </w:r>
      <w:r w:rsidRPr="00B83E88">
        <w:rPr>
          <w:rFonts w:cs="Times New Roman (Cuerpo en alfa"/>
        </w:rPr>
        <w:t xml:space="preserve"> y reconociendo que </w:t>
      </w:r>
      <w:r w:rsidRPr="00B83E88">
        <w:rPr>
          <w:rFonts w:cs="Times New Roman (Cuerpo en alfa"/>
          <w:i/>
          <w:iCs/>
        </w:rPr>
        <w:t>“El seguimiento a los planes departamentales y municipales de desarrollo configuran el punto de partida para la lectura de cómo avanzan los entes territoriales en la implementación de los ODS”</w:t>
      </w:r>
      <w:r w:rsidRPr="00B83E88">
        <w:rPr>
          <w:rFonts w:cs="Times New Roman (Cuerpo en alfa"/>
        </w:rPr>
        <w:t xml:space="preserve"> (DNP, 2018, p. 42).</w:t>
      </w:r>
    </w:p>
    <w:p w14:paraId="2D30B09D" w14:textId="77777777" w:rsidR="00F7619F" w:rsidRPr="00B83E88" w:rsidRDefault="00F7619F" w:rsidP="00F7619F">
      <w:pPr>
        <w:rPr>
          <w:rFonts w:cs="Times New Roman (Cuerpo en alfa"/>
        </w:rPr>
      </w:pPr>
    </w:p>
    <w:p w14:paraId="3FF44BC8" w14:textId="77777777" w:rsidR="00F7619F" w:rsidRDefault="00F7619F" w:rsidP="00AD2047">
      <w:pPr>
        <w:rPr>
          <w:spacing w:val="-6"/>
        </w:rPr>
      </w:pPr>
      <w:r w:rsidRPr="00B83E88">
        <w:t xml:space="preserve">En línea con lo anterior, y reconociendo que Bogotá contempla importantes retos de planeación para afrontar los problemas sociales, económicos y ambientales planteados por la Agenda 2030, la Administración Distrital ha optado por la articulación de los instrumentos de planeación con las agendas mundiales estableciendo sus prioridades y definiendo sus metas e indicadores para potenciar la materialización de los ODS. En ese sentido, el Plan Distrital de Desarrollo (PDD) 2024-2027 </w:t>
      </w:r>
      <w:r w:rsidRPr="00B83E88">
        <w:rPr>
          <w:i/>
          <w:iCs/>
        </w:rPr>
        <w:t>“Bogotá Camina Segura”</w:t>
      </w:r>
      <w:r w:rsidRPr="00B83E88">
        <w:t xml:space="preserve"> garantiza la alineación de los principios, objetivos y metas de la Agenda Global con la plataforma estratégica y la estructura programática </w:t>
      </w:r>
      <w:r w:rsidRPr="00B83E88">
        <w:lastRenderedPageBreak/>
        <w:t xml:space="preserve">del PDD, desde las etapas iniciales de construcción, y ubicando a la ciudad como aliada y referente en el cumplimiento de los ODS. De esta manera, el programa de gobierno </w:t>
      </w:r>
      <w:r w:rsidRPr="00AD2047">
        <w:rPr>
          <w:i/>
          <w:iCs/>
          <w:spacing w:val="-6"/>
        </w:rPr>
        <w:t>“Bogotá Camina Segura”</w:t>
      </w:r>
      <w:r w:rsidRPr="00AD2047">
        <w:rPr>
          <w:spacing w:val="-6"/>
        </w:rPr>
        <w:t xml:space="preserve"> se constituye en un proyecto de desarrollo sostenible, comprometido con la acción climática y la justicia ambiental.</w:t>
      </w:r>
    </w:p>
    <w:p w14:paraId="18D99B20" w14:textId="77777777" w:rsidR="0061728F" w:rsidRPr="00AD2047" w:rsidRDefault="0061728F" w:rsidP="00AD2047">
      <w:pPr>
        <w:rPr>
          <w:spacing w:val="-6"/>
        </w:rPr>
      </w:pPr>
    </w:p>
    <w:p w14:paraId="58C94C2F" w14:textId="676B76D0" w:rsidR="00F7619F" w:rsidRPr="00F7619F" w:rsidRDefault="00F7619F" w:rsidP="00AD2047">
      <w:pPr>
        <w:rPr>
          <w:spacing w:val="-6"/>
        </w:rPr>
      </w:pPr>
      <w:r w:rsidRPr="00B83E88">
        <w:t xml:space="preserve">Este documento presenta las principales consideraciones frente al ejercicio de articulación de los ODS y sus metas con la estructura programática del PDD dando cuenta de los antecedentes </w:t>
      </w:r>
      <w:r w:rsidRPr="00B83E88">
        <w:t>en materia de alineación y armonización de agendas a diferentes escalas, exponiendo los aspectos metodológicos de la asociación de los ODS al PDD y los resultados del ejercicio adelantado y, finalmente, proponiendo los pasos por seguir en las posteriores etapas del plan. El presente texto se elabora con el propósito de garantizar la documentación de los procesos desarrollados en el marco de la formulación del PDD 2024-</w:t>
      </w:r>
      <w:r w:rsidR="0061728F">
        <w:t>2027</w:t>
      </w:r>
      <w:r w:rsidRPr="00B83E88">
        <w:t xml:space="preserve">, para </w:t>
      </w:r>
      <w:r w:rsidRPr="00F7619F">
        <w:rPr>
          <w:spacing w:val="-6"/>
        </w:rPr>
        <w:t>asegurar así la memoria institucional y el suministro de elementos para las actividades que prosiguen.</w:t>
      </w:r>
    </w:p>
    <w:p w14:paraId="3D7C8230" w14:textId="77777777" w:rsidR="00F7619F" w:rsidRDefault="00F7619F" w:rsidP="00AD2047">
      <w:pPr>
        <w:rPr>
          <w:spacing w:val="-6"/>
        </w:rPr>
        <w:sectPr w:rsidR="00F7619F" w:rsidSect="00F7078E">
          <w:type w:val="continuous"/>
          <w:pgSz w:w="12240" w:h="15840"/>
          <w:pgMar w:top="2262" w:right="1440" w:bottom="1440" w:left="1440" w:header="709" w:footer="709" w:gutter="0"/>
          <w:cols w:num="2" w:space="567"/>
          <w:docGrid w:linePitch="360"/>
        </w:sectPr>
      </w:pPr>
    </w:p>
    <w:p w14:paraId="58D67DF9" w14:textId="77777777" w:rsidR="00F7619F" w:rsidRPr="00B83E88" w:rsidRDefault="00F7619F" w:rsidP="00F7619F">
      <w:pPr>
        <w:rPr>
          <w:rFonts w:cs="Times New Roman (Cuerpo en alfa"/>
          <w:spacing w:val="-6"/>
        </w:rPr>
      </w:pPr>
    </w:p>
    <w:p w14:paraId="3F41E3C5" w14:textId="77777777" w:rsidR="00F7619F" w:rsidRPr="00B83E88" w:rsidRDefault="00F7619F" w:rsidP="00B85209">
      <w:pPr>
        <w:pStyle w:val="Ttulo3"/>
      </w:pPr>
      <w:bookmarkStart w:id="142" w:name="_Toc165169749"/>
      <w:r w:rsidRPr="00B83E88">
        <w:t>Antecedentes</w:t>
      </w:r>
      <w:bookmarkEnd w:id="142"/>
    </w:p>
    <w:p w14:paraId="5DCBC0C0" w14:textId="77777777" w:rsidR="00F7619F" w:rsidRDefault="00F7619F" w:rsidP="00F7619F">
      <w:pPr>
        <w:rPr>
          <w:rFonts w:cs="Times New Roman (Cuerpo en alfa"/>
          <w:spacing w:val="-6"/>
        </w:rPr>
        <w:sectPr w:rsidR="00F7619F" w:rsidSect="00F7078E">
          <w:type w:val="continuous"/>
          <w:pgSz w:w="12240" w:h="15840"/>
          <w:pgMar w:top="2262" w:right="1440" w:bottom="1440" w:left="1440" w:header="709" w:footer="709" w:gutter="0"/>
          <w:cols w:space="567"/>
          <w:docGrid w:linePitch="360"/>
        </w:sectPr>
      </w:pPr>
    </w:p>
    <w:p w14:paraId="6CAE6AD3" w14:textId="77777777" w:rsidR="00F7619F" w:rsidRPr="00B83E88" w:rsidRDefault="00F7619F" w:rsidP="00F7619F">
      <w:pPr>
        <w:rPr>
          <w:rFonts w:cs="Times New Roman (Cuerpo en alfa"/>
          <w:spacing w:val="-6"/>
        </w:rPr>
      </w:pPr>
      <w:r w:rsidRPr="00B83E88">
        <w:rPr>
          <w:rFonts w:cs="Times New Roman (Cuerpo en alfa"/>
          <w:spacing w:val="-6"/>
        </w:rPr>
        <w:t>El CONPES 3918 estableció las directrices de adopción, implementación y seguimiento de los ODS a nivel nacional, haciendo un llamado a los gobiernos municipales para la localización de la Agenda 2030, a través de su incorporación en instrumentos de planeación territorial y resaltando que el ejercicio de armonización de agendas a diferentes escalas constituye una ocasión para vincular recursos específicos a favor del logro de los ODS, y para un adecuado reconocimiento frente al avance en la materialización de la Agenda Global.</w:t>
      </w:r>
    </w:p>
    <w:p w14:paraId="7A452220" w14:textId="77777777" w:rsidR="00F7619F" w:rsidRPr="00B83E88" w:rsidRDefault="00F7619F" w:rsidP="00F7619F">
      <w:pPr>
        <w:rPr>
          <w:rFonts w:cs="Times New Roman (Cuerpo en alfa"/>
          <w:spacing w:val="-6"/>
        </w:rPr>
      </w:pPr>
    </w:p>
    <w:p w14:paraId="493B2108" w14:textId="77777777" w:rsidR="00F7619F" w:rsidRPr="00B83E88" w:rsidRDefault="00F7619F" w:rsidP="00F7619F">
      <w:pPr>
        <w:rPr>
          <w:rFonts w:cs="Times New Roman (Cuerpo en alfa"/>
          <w:spacing w:val="-6"/>
        </w:rPr>
      </w:pPr>
      <w:r w:rsidRPr="00B83E88">
        <w:rPr>
          <w:rFonts w:cs="Times New Roman (Cuerpo en alfa"/>
          <w:spacing w:val="-6"/>
        </w:rPr>
        <w:t xml:space="preserve">Siguiendo las recomendaciones del Gobierno nacional, la Administración distrital ha propendido por armonizar la Agenda Global con sus principales instrumentos de planeación y los planes de gobierno, y ubicando a la ciudad como una aliada en el camino al logro de los ODS. En particular, se destacan las experiencias de los PDD formulados para los periodos 2016-2020 </w:t>
      </w:r>
      <w:r w:rsidRPr="00B83E88">
        <w:rPr>
          <w:rFonts w:cs="Times New Roman (Cuerpo en alfa"/>
          <w:i/>
          <w:iCs/>
          <w:spacing w:val="-6"/>
        </w:rPr>
        <w:t>(“Bogotá Mejor Para Todos”)</w:t>
      </w:r>
      <w:r w:rsidRPr="00B83E88">
        <w:rPr>
          <w:rFonts w:cs="Times New Roman (Cuerpo en alfa"/>
          <w:spacing w:val="-6"/>
        </w:rPr>
        <w:t xml:space="preserve"> y 2020-2024 </w:t>
      </w:r>
      <w:r w:rsidRPr="00B83E88">
        <w:rPr>
          <w:rFonts w:cs="Times New Roman (Cuerpo en alfa"/>
          <w:i/>
          <w:iCs/>
          <w:spacing w:val="-6"/>
        </w:rPr>
        <w:t>(“Un Nuevo Contrato Social y Ambiental para la Bogotá del Siglo XXI”),</w:t>
      </w:r>
      <w:r w:rsidRPr="00B83E88">
        <w:rPr>
          <w:rFonts w:cs="Times New Roman (Cuerpo en alfa"/>
          <w:spacing w:val="-6"/>
        </w:rPr>
        <w:t xml:space="preserve"> que se enmarcaron en la Agenda 2030 para el Desarrollo Sostenible, en busca de poner fin a la pobreza, luchar contra las desigualdades y la injusticia, el cierre de brechas de género y hacer frente al cambio climático.</w:t>
      </w:r>
    </w:p>
    <w:p w14:paraId="7C6F1009" w14:textId="77777777" w:rsidR="00F7619F" w:rsidRPr="00B83E88" w:rsidRDefault="00F7619F" w:rsidP="00F7619F">
      <w:pPr>
        <w:rPr>
          <w:rFonts w:cs="Times New Roman (Cuerpo en alfa"/>
          <w:spacing w:val="-6"/>
        </w:rPr>
      </w:pPr>
    </w:p>
    <w:p w14:paraId="4BC72B32" w14:textId="77777777" w:rsidR="00F7619F" w:rsidRPr="00B83E88" w:rsidRDefault="00F7619F" w:rsidP="00F7619F">
      <w:pPr>
        <w:rPr>
          <w:rFonts w:cs="Times New Roman (Cuerpo en alfa"/>
          <w:spacing w:val="-6"/>
        </w:rPr>
      </w:pPr>
      <w:r w:rsidRPr="00B83E88">
        <w:rPr>
          <w:rFonts w:cs="Times New Roman (Cuerpo en alfa"/>
          <w:spacing w:val="-6"/>
        </w:rPr>
        <w:t xml:space="preserve">El Plan de Desarrollo 2016-2020 </w:t>
      </w:r>
      <w:r w:rsidRPr="00BE2337">
        <w:rPr>
          <w:rFonts w:cs="Times New Roman (Cuerpo en alfa"/>
          <w:i/>
          <w:iCs/>
          <w:spacing w:val="-6"/>
        </w:rPr>
        <w:t>“Bogotá Mejor Para Todos”</w:t>
      </w:r>
      <w:r w:rsidRPr="00B83E88">
        <w:rPr>
          <w:rFonts w:cs="Times New Roman (Cuerpo en alfa"/>
          <w:spacing w:val="-6"/>
        </w:rPr>
        <w:t xml:space="preserve"> hizo un esfuerzo importante para incorporar los ODS mostrando de forma sintética cómo los objetivos estratégicos consignados en el PDD </w:t>
      </w:r>
      <w:r w:rsidRPr="00B83E88">
        <w:rPr>
          <w:rFonts w:cs="Times New Roman (Cuerpo en alfa"/>
          <w:spacing w:val="-6"/>
        </w:rPr>
        <w:t>respondían a esta importante iniciativa global. La estrategia del PDD 2016-2020 se estructuró en tres pilares y cuatro ejes transversales, consistentes con el programa de gobierno, y que, a su vez, contienen las políticas generales y sectoriales. Para el desarrollo de las estrategias y políticas se identificaron programas que debían ser ejecutados por las diferentes entidades distritales. Los programas se elaboraron a partir del diagnóstico de problemáticas, incluyendo los objetivos específicos, la estrategia expresada a nivel de proyectos y las metas. Se destaca que el 80</w:t>
      </w:r>
      <w:r w:rsidRPr="00B83E88">
        <w:rPr>
          <w:rFonts w:ascii="Arial" w:hAnsi="Arial" w:cs="Arial"/>
          <w:spacing w:val="-6"/>
        </w:rPr>
        <w:t> </w:t>
      </w:r>
      <w:r w:rsidRPr="00B83E88">
        <w:rPr>
          <w:rFonts w:cs="Times New Roman (Cuerpo en alfa"/>
          <w:spacing w:val="-6"/>
        </w:rPr>
        <w:t>% de los programas del PDD contaron con asociaciones a los ODS.</w:t>
      </w:r>
    </w:p>
    <w:p w14:paraId="32D0F5CE" w14:textId="77777777" w:rsidR="00F7619F" w:rsidRPr="00B83E88" w:rsidRDefault="00F7619F" w:rsidP="00F7619F">
      <w:pPr>
        <w:rPr>
          <w:rFonts w:cs="Times New Roman (Cuerpo en alfa"/>
          <w:spacing w:val="-6"/>
        </w:rPr>
      </w:pPr>
    </w:p>
    <w:p w14:paraId="1572B51B" w14:textId="77777777" w:rsidR="00F7619F" w:rsidRPr="00B83E88" w:rsidRDefault="00F7619F" w:rsidP="00F7619F">
      <w:pPr>
        <w:rPr>
          <w:rFonts w:cs="Times New Roman (Cuerpo en alfa"/>
          <w:spacing w:val="-6"/>
        </w:rPr>
      </w:pPr>
      <w:r w:rsidRPr="00B83E88">
        <w:rPr>
          <w:rFonts w:cs="Times New Roman (Cuerpo en alfa"/>
          <w:spacing w:val="-6"/>
        </w:rPr>
        <w:t xml:space="preserve">Por otra parte, el Plan de Desarrollo 2020-2024 </w:t>
      </w:r>
      <w:r w:rsidRPr="00BE2337">
        <w:rPr>
          <w:rFonts w:cs="Times New Roman (Cuerpo en alfa"/>
          <w:i/>
          <w:iCs/>
          <w:spacing w:val="-6"/>
        </w:rPr>
        <w:t>“Un Nuevo Contrato Social y Ambiental para la Bogotá del Siglo XXI”</w:t>
      </w:r>
      <w:r w:rsidRPr="00B83E88">
        <w:rPr>
          <w:rFonts w:cs="Times New Roman (Cuerpo en alfa"/>
          <w:spacing w:val="-6"/>
        </w:rPr>
        <w:t xml:space="preserve"> estableció 5 propósitos y 30 logros de ciudad con metas trazadoras orientadas al logro de los ODS, y que se ejecutaron a través de los programas generales y estratégicos y de metas estratégicas y sectoriales en el cuatrienio. El Acuerdo 761 de 2020 estableció que la ciudad sería un referente global de logro de los ODS en 2030 (artículo 8), y señaló que el seguimiento al logro de los ODS en desarrollo de los diferentes programas y proyectos contenidos en el Plan se realizaría a través de las metas trazadoras.</w:t>
      </w:r>
    </w:p>
    <w:p w14:paraId="6C9A9B68" w14:textId="77777777" w:rsidR="00F7619F" w:rsidRPr="00B83E88" w:rsidRDefault="00F7619F" w:rsidP="00F7619F">
      <w:pPr>
        <w:rPr>
          <w:rFonts w:cs="Times New Roman (Cuerpo en alfa"/>
          <w:spacing w:val="-6"/>
        </w:rPr>
      </w:pPr>
    </w:p>
    <w:p w14:paraId="0248D361" w14:textId="77777777" w:rsidR="00F7619F" w:rsidRPr="00BE2337" w:rsidRDefault="00F7619F" w:rsidP="00F7619F">
      <w:pPr>
        <w:rPr>
          <w:rFonts w:cs="Times New Roman (Cuerpo en alfa"/>
          <w:spacing w:val="-6"/>
          <w:szCs w:val="22"/>
        </w:rPr>
      </w:pPr>
      <w:r w:rsidRPr="00B83E88">
        <w:rPr>
          <w:rFonts w:cs="Times New Roman (Cuerpo en alfa"/>
          <w:spacing w:val="-6"/>
        </w:rPr>
        <w:t xml:space="preserve">El Plan de Desarrollo 2024-2027 </w:t>
      </w:r>
      <w:r w:rsidRPr="00BE2337">
        <w:rPr>
          <w:rFonts w:cs="Times New Roman (Cuerpo en alfa"/>
          <w:i/>
          <w:iCs/>
          <w:spacing w:val="-6"/>
        </w:rPr>
        <w:t>“Bogotá Camina Segura”</w:t>
      </w:r>
      <w:r w:rsidRPr="00B83E88">
        <w:rPr>
          <w:rFonts w:cs="Times New Roman (Cuerpo en alfa"/>
          <w:spacing w:val="-6"/>
        </w:rPr>
        <w:t xml:space="preserve"> continúa con los esfuerzos iniciados en las administraciones previas en materia de ODS, </w:t>
      </w:r>
      <w:r w:rsidRPr="00B83E88">
        <w:rPr>
          <w:rFonts w:cs="Times New Roman (Cuerpo en alfa"/>
          <w:spacing w:val="-6"/>
        </w:rPr>
        <w:lastRenderedPageBreak/>
        <w:t xml:space="preserve">partiendo de la identificación de los temas que preocupan a la ciudadanía, y los cuales se plasman en los cinco Objetivos del Plan de Desarrollo que representan los frentes de acción de la Administración para el apalancamiento de todos los ODS. Posteriormente, se hace un análisis de la contribución de cada objetivo del PDD a los ODS, lo </w:t>
      </w:r>
      <w:r w:rsidRPr="00BE2337">
        <w:rPr>
          <w:rFonts w:cs="Times New Roman (Cuerpo en alfa"/>
          <w:spacing w:val="-6"/>
          <w:szCs w:val="22"/>
        </w:rPr>
        <w:t>cual da como resultado que:</w:t>
      </w:r>
    </w:p>
    <w:p w14:paraId="3EE1E79C" w14:textId="77777777" w:rsidR="00F7619F" w:rsidRPr="00BE2337" w:rsidRDefault="00F7619F" w:rsidP="00F7619F">
      <w:pPr>
        <w:rPr>
          <w:rFonts w:cs="Times New Roman (Cuerpo en alfa"/>
          <w:spacing w:val="-6"/>
          <w:szCs w:val="22"/>
        </w:rPr>
      </w:pPr>
    </w:p>
    <w:p w14:paraId="7B7F2E6D" w14:textId="2175DF2C" w:rsidR="00F7619F" w:rsidRDefault="00F7619F" w:rsidP="00CB6AEC">
      <w:pPr>
        <w:pStyle w:val="Prrafodelista"/>
        <w:numPr>
          <w:ilvl w:val="0"/>
          <w:numId w:val="22"/>
        </w:numPr>
        <w:rPr>
          <w:rFonts w:cs="Times New Roman (Cuerpo en alfa"/>
          <w:spacing w:val="-6"/>
          <w:szCs w:val="22"/>
        </w:rPr>
      </w:pPr>
      <w:r w:rsidRPr="00BE2337">
        <w:rPr>
          <w:rFonts w:cs="Times New Roman (Cuerpo en alfa"/>
          <w:spacing w:val="-6"/>
          <w:szCs w:val="22"/>
        </w:rPr>
        <w:t xml:space="preserve">El objetivo estratégico </w:t>
      </w:r>
      <w:r w:rsidRPr="00BE2337">
        <w:rPr>
          <w:rFonts w:cs="Times New Roman (Cuerpo en alfa"/>
          <w:i/>
          <w:iCs/>
          <w:spacing w:val="-6"/>
          <w:szCs w:val="22"/>
        </w:rPr>
        <w:t>“Bogotá avanza en seguridad”</w:t>
      </w:r>
      <w:r w:rsidRPr="00BE2337">
        <w:rPr>
          <w:rFonts w:cs="Times New Roman (Cuerpo en alfa"/>
          <w:spacing w:val="-6"/>
          <w:szCs w:val="22"/>
        </w:rPr>
        <w:t xml:space="preserve"> aporta principalmente al logro del ODS 5 y el ODS 16.</w:t>
      </w:r>
    </w:p>
    <w:p w14:paraId="41FF66ED" w14:textId="77777777" w:rsidR="00AD2047" w:rsidRPr="00BE2337" w:rsidRDefault="00AD2047" w:rsidP="00AD2047">
      <w:pPr>
        <w:pStyle w:val="Prrafodelista"/>
        <w:rPr>
          <w:rFonts w:cs="Times New Roman (Cuerpo en alfa"/>
          <w:spacing w:val="-6"/>
          <w:szCs w:val="22"/>
        </w:rPr>
      </w:pPr>
    </w:p>
    <w:p w14:paraId="59250BE0" w14:textId="2953A40B" w:rsidR="00F7619F" w:rsidRDefault="00F7619F" w:rsidP="00CB6AEC">
      <w:pPr>
        <w:pStyle w:val="Prrafodelista"/>
        <w:numPr>
          <w:ilvl w:val="0"/>
          <w:numId w:val="22"/>
        </w:numPr>
        <w:rPr>
          <w:rFonts w:cs="Times New Roman (Cuerpo en alfa"/>
          <w:spacing w:val="-6"/>
          <w:szCs w:val="22"/>
        </w:rPr>
      </w:pPr>
      <w:r w:rsidRPr="00BE2337">
        <w:rPr>
          <w:rFonts w:cs="Times New Roman (Cuerpo en alfa"/>
          <w:spacing w:val="-6"/>
          <w:szCs w:val="22"/>
        </w:rPr>
        <w:t xml:space="preserve">El objetivo estratégico </w:t>
      </w:r>
      <w:r w:rsidRPr="00BE2337">
        <w:rPr>
          <w:rFonts w:cs="Times New Roman (Cuerpo en alfa"/>
          <w:i/>
          <w:iCs/>
          <w:spacing w:val="-6"/>
          <w:szCs w:val="22"/>
        </w:rPr>
        <w:t xml:space="preserve">“Bogotá confía en su bien-estar” </w:t>
      </w:r>
      <w:r w:rsidRPr="00BE2337">
        <w:rPr>
          <w:rFonts w:cs="Times New Roman (Cuerpo en alfa"/>
          <w:spacing w:val="-6"/>
          <w:szCs w:val="22"/>
        </w:rPr>
        <w:t>contribuye al ODS 1, el ODS 2, el ODS 3 y el ODS 10. El objetivo estratégico “Bogotá confía en su potencial” favorece al ODS 4, el ODS 8 y el ODS 9.</w:t>
      </w:r>
    </w:p>
    <w:p w14:paraId="08C8FBF0" w14:textId="77777777" w:rsidR="00AD2047" w:rsidRPr="00BE2337" w:rsidRDefault="00AD2047" w:rsidP="00AD2047">
      <w:pPr>
        <w:pStyle w:val="Prrafodelista"/>
        <w:rPr>
          <w:rFonts w:cs="Times New Roman (Cuerpo en alfa"/>
          <w:spacing w:val="-6"/>
          <w:szCs w:val="22"/>
        </w:rPr>
      </w:pPr>
    </w:p>
    <w:p w14:paraId="7D456903" w14:textId="7E1C5C50" w:rsidR="00F7619F" w:rsidRDefault="00F7619F" w:rsidP="00CB6AEC">
      <w:pPr>
        <w:pStyle w:val="Prrafodelista"/>
        <w:numPr>
          <w:ilvl w:val="0"/>
          <w:numId w:val="22"/>
        </w:numPr>
        <w:rPr>
          <w:rFonts w:cs="Times New Roman (Cuerpo en alfa"/>
          <w:spacing w:val="-6"/>
          <w:szCs w:val="22"/>
        </w:rPr>
      </w:pPr>
      <w:r w:rsidRPr="00BE2337">
        <w:rPr>
          <w:rFonts w:cs="Times New Roman (Cuerpo en alfa"/>
          <w:spacing w:val="-6"/>
          <w:szCs w:val="22"/>
        </w:rPr>
        <w:t xml:space="preserve">El objetivo estratégico </w:t>
      </w:r>
      <w:r w:rsidRPr="00BE2337">
        <w:rPr>
          <w:rFonts w:cs="Times New Roman (Cuerpo en alfa"/>
          <w:i/>
          <w:iCs/>
          <w:spacing w:val="-6"/>
          <w:szCs w:val="22"/>
        </w:rPr>
        <w:t>“Bogotá ordena su territorio y avanza en su acción climática”</w:t>
      </w:r>
      <w:r w:rsidRPr="00BE2337">
        <w:rPr>
          <w:rFonts w:cs="Times New Roman (Cuerpo en alfa"/>
          <w:spacing w:val="-6"/>
          <w:szCs w:val="22"/>
        </w:rPr>
        <w:t xml:space="preserve"> aporta al ODS 6, el ODS 7, el ODS 11, el ODS 12, el ODS 13 y el ODS 15.</w:t>
      </w:r>
    </w:p>
    <w:p w14:paraId="210E52DD" w14:textId="77777777" w:rsidR="00AD2047" w:rsidRPr="00AD2047" w:rsidRDefault="00AD2047" w:rsidP="00AD2047">
      <w:pPr>
        <w:rPr>
          <w:rFonts w:cs="Times New Roman (Cuerpo en alfa"/>
          <w:spacing w:val="-6"/>
          <w:szCs w:val="22"/>
        </w:rPr>
      </w:pPr>
    </w:p>
    <w:p w14:paraId="6ADA93B8" w14:textId="77777777" w:rsidR="00F7619F" w:rsidRPr="00BE2337" w:rsidRDefault="00F7619F" w:rsidP="00CB6AEC">
      <w:pPr>
        <w:pStyle w:val="Prrafodelista"/>
        <w:numPr>
          <w:ilvl w:val="0"/>
          <w:numId w:val="22"/>
        </w:numPr>
        <w:rPr>
          <w:rFonts w:cs="Times New Roman (Cuerpo en alfa"/>
          <w:spacing w:val="-6"/>
          <w:szCs w:val="22"/>
        </w:rPr>
      </w:pPr>
      <w:r w:rsidRPr="00BE2337">
        <w:rPr>
          <w:rFonts w:cs="Times New Roman (Cuerpo en alfa"/>
          <w:spacing w:val="-6"/>
          <w:szCs w:val="22"/>
        </w:rPr>
        <w:t xml:space="preserve">El objetivo estratégico </w:t>
      </w:r>
      <w:r w:rsidRPr="00BE2337">
        <w:rPr>
          <w:rFonts w:cs="Times New Roman (Cuerpo en alfa"/>
          <w:i/>
          <w:iCs/>
          <w:spacing w:val="-6"/>
          <w:szCs w:val="22"/>
        </w:rPr>
        <w:t>“Bogotá confía en su gobierno”</w:t>
      </w:r>
      <w:r w:rsidRPr="00BE2337">
        <w:rPr>
          <w:rFonts w:cs="Times New Roman (Cuerpo en alfa"/>
          <w:spacing w:val="-6"/>
          <w:szCs w:val="22"/>
        </w:rPr>
        <w:t xml:space="preserve"> contribuye al ODS 17 (SDP, 2024b; SDP, 2024a).</w:t>
      </w:r>
    </w:p>
    <w:p w14:paraId="5E61EEF5" w14:textId="77777777" w:rsidR="00F7619F" w:rsidRPr="00BE2337" w:rsidRDefault="00F7619F" w:rsidP="00F7619F">
      <w:pPr>
        <w:rPr>
          <w:rFonts w:cs="Times New Roman (Cuerpo en alfa"/>
          <w:spacing w:val="-6"/>
          <w:szCs w:val="22"/>
        </w:rPr>
        <w:sectPr w:rsidR="00F7619F" w:rsidRPr="00BE2337" w:rsidSect="00F7078E">
          <w:type w:val="continuous"/>
          <w:pgSz w:w="12240" w:h="15840"/>
          <w:pgMar w:top="2262" w:right="1440" w:bottom="1440" w:left="1440" w:header="709" w:footer="709" w:gutter="0"/>
          <w:cols w:num="2" w:space="567"/>
          <w:docGrid w:linePitch="360"/>
        </w:sectPr>
      </w:pPr>
    </w:p>
    <w:p w14:paraId="6E19033E" w14:textId="77777777" w:rsidR="00F7619F" w:rsidRPr="00BE2337" w:rsidRDefault="00F7619F" w:rsidP="00F7619F">
      <w:pPr>
        <w:rPr>
          <w:rFonts w:cs="Times New Roman (Cuerpo en alfa"/>
          <w:spacing w:val="-6"/>
          <w:szCs w:val="22"/>
        </w:rPr>
      </w:pPr>
    </w:p>
    <w:p w14:paraId="509E6459" w14:textId="37AB9791" w:rsidR="00F7619F" w:rsidRDefault="00F7619F" w:rsidP="00F7619F">
      <w:pPr>
        <w:rPr>
          <w:rFonts w:cs="Times New Roman (Cuerpo en alfa"/>
          <w:spacing w:val="-6"/>
        </w:rPr>
      </w:pPr>
    </w:p>
    <w:p w14:paraId="4CE274E9" w14:textId="77777777" w:rsidR="00F7619F" w:rsidRDefault="00F7619F" w:rsidP="00F7619F">
      <w:pPr>
        <w:rPr>
          <w:rFonts w:cs="Times New Roman (Cuerpo en alfa"/>
          <w:spacing w:val="-6"/>
        </w:rPr>
      </w:pPr>
    </w:p>
    <w:p w14:paraId="677C89DD" w14:textId="77777777" w:rsidR="00F7619F" w:rsidRPr="00B83E88" w:rsidRDefault="00F7619F" w:rsidP="00B85209">
      <w:pPr>
        <w:pStyle w:val="Ttulo3"/>
      </w:pPr>
      <w:bookmarkStart w:id="143" w:name="_Toc165169750"/>
      <w:r w:rsidRPr="00B83E88">
        <w:t>Metodología</w:t>
      </w:r>
      <w:bookmarkEnd w:id="143"/>
    </w:p>
    <w:p w14:paraId="2FC1D3D4" w14:textId="77777777" w:rsidR="00F7619F" w:rsidRDefault="00F7619F" w:rsidP="00F7619F">
      <w:pPr>
        <w:rPr>
          <w:rFonts w:cs="Times New Roman (Cuerpo en alfa"/>
          <w:spacing w:val="-6"/>
        </w:rPr>
        <w:sectPr w:rsidR="00F7619F" w:rsidSect="00F7078E">
          <w:type w:val="continuous"/>
          <w:pgSz w:w="12240" w:h="15840"/>
          <w:pgMar w:top="2262" w:right="1440" w:bottom="1440" w:left="1440" w:header="709" w:footer="709" w:gutter="0"/>
          <w:cols w:space="567"/>
          <w:docGrid w:linePitch="360"/>
        </w:sectPr>
      </w:pPr>
    </w:p>
    <w:p w14:paraId="39E83F1D" w14:textId="77777777" w:rsidR="00F7619F" w:rsidRPr="00867499" w:rsidRDefault="00F7619F" w:rsidP="00F7619F">
      <w:pPr>
        <w:rPr>
          <w:rFonts w:cs="Times New Roman (Cuerpo en alfa"/>
        </w:rPr>
      </w:pPr>
      <w:r w:rsidRPr="00867499">
        <w:rPr>
          <w:rFonts w:cs="Times New Roman (Cuerpo en alfa"/>
        </w:rPr>
        <w:t>A nivel mundial se ha producido un acervo documental importante que orienta la manera de territorializar los ODS a través de su inclusión en los instrumentos de planeación. Estas herramientas, que se han generado a diferentes escalas, y cuyo propósito es suministrar lineamientos para la articulación de las agendas de desarrollo locales y globales, han constituido la base para desarrollar procesos de incorporación de los ODS en el Distrito Capital. La principal herramienta adoptada y adaptada para realizar los procesos de alineación de los PDD con los ODS a nivel subnacional en Colombia es el kit de planeación territorial, herramienta creada por el Departamento Nacional de Planeación (DNP), y cuyo propósito es brindar apoyo en la construcción de los Planes de Desarrollo Territorial y suministrar lineamientos en relación con los ODS.</w:t>
      </w:r>
    </w:p>
    <w:p w14:paraId="1DC9FFDF" w14:textId="77777777" w:rsidR="00F7619F" w:rsidRPr="00867499" w:rsidRDefault="00F7619F" w:rsidP="00F7619F">
      <w:pPr>
        <w:rPr>
          <w:rFonts w:cs="Times New Roman (Cuerpo en alfa"/>
        </w:rPr>
      </w:pPr>
    </w:p>
    <w:p w14:paraId="6969DAA9" w14:textId="77777777" w:rsidR="00F7619F" w:rsidRPr="00867499" w:rsidRDefault="00F7619F" w:rsidP="00F7619F">
      <w:pPr>
        <w:rPr>
          <w:rFonts w:cs="Times New Roman (Cuerpo en alfa"/>
        </w:rPr>
      </w:pPr>
      <w:r w:rsidRPr="00867499">
        <w:rPr>
          <w:rFonts w:cs="Times New Roman (Cuerpo en alfa"/>
        </w:rPr>
        <w:t xml:space="preserve">El esfuerzo realizado por el nivel nacional para elaborar y proveer orientaciones frente a la construcción de Planes de Desarrollo Territorial y la integración de la Agenda 2030 parte del reconocimiento de estos instrumentos como referente principal para la planeación y promoción del desarrollo en el orden municipal, y para la generación de transformaciones orientadas a </w:t>
      </w:r>
      <w:r w:rsidRPr="00867499">
        <w:rPr>
          <w:rFonts w:cs="Times New Roman (Cuerpo en alfa"/>
        </w:rPr>
        <w:t>promover el desarrollo sostenible, al igual que el reconocimiento de la importancia de los ODS como herramienta que posibilita articular esfuerzos y recursos a diferentes escalas, para el desarrollo de los municipios y para consolidar el camino de la sostenibilidad.</w:t>
      </w:r>
    </w:p>
    <w:p w14:paraId="1CF67EA2" w14:textId="77777777" w:rsidR="00F7619F" w:rsidRPr="00867499" w:rsidRDefault="00F7619F" w:rsidP="00F7619F">
      <w:pPr>
        <w:rPr>
          <w:rFonts w:cs="Times New Roman (Cuerpo en alfa"/>
        </w:rPr>
      </w:pPr>
    </w:p>
    <w:p w14:paraId="3764BC48" w14:textId="77777777" w:rsidR="00F7619F" w:rsidRPr="00867499" w:rsidRDefault="00F7619F" w:rsidP="00F7619F">
      <w:pPr>
        <w:rPr>
          <w:rFonts w:cs="Times New Roman (Cuerpo en alfa"/>
        </w:rPr>
      </w:pPr>
      <w:r w:rsidRPr="00867499">
        <w:rPr>
          <w:rFonts w:cs="Times New Roman (Cuerpo en alfa"/>
        </w:rPr>
        <w:t>Las directrices proporcionadas por el DNP fueron adaptadas para el contexto distrital y plasmadas en la Guía de formulación, adopción e implementación de los planes de desarrollo distrital y local (SDP, 2024c), la cual establece que la alineación de las metas y objetivos de las agendas locales, nacionales y globales resulta estratégica para lograr que dichas agendas se potencien mutuamente para mejorar, y para reducir las acciones atomizadas en algunos frentes del desarrollo. Esta alineación posibilita un seguimiento y un impacto más duradero, así como un financiamiento integrado que permita optimizar los recursos destinados a alcanzar cada meta y lograr cada objetivo.</w:t>
      </w:r>
    </w:p>
    <w:p w14:paraId="2E97EF2C" w14:textId="77777777" w:rsidR="00F7619F" w:rsidRPr="00867499" w:rsidRDefault="00F7619F" w:rsidP="00F7619F">
      <w:pPr>
        <w:rPr>
          <w:rFonts w:cs="Times New Roman (Cuerpo en alfa"/>
        </w:rPr>
      </w:pPr>
    </w:p>
    <w:p w14:paraId="15BF3CBC" w14:textId="77777777" w:rsidR="00F7619F" w:rsidRPr="00BE2337" w:rsidRDefault="00F7619F" w:rsidP="00F7619F">
      <w:pPr>
        <w:rPr>
          <w:rFonts w:cs="Times New Roman (Cuerpo en alfa"/>
          <w:szCs w:val="22"/>
        </w:rPr>
      </w:pPr>
      <w:r w:rsidRPr="00867499">
        <w:rPr>
          <w:rFonts w:cs="Times New Roman (Cuerpo en alfa"/>
        </w:rPr>
        <w:t>En línea con lo anterior, el ejercicio de articulación de los ODS y sus metas con los objetivos estratégicos y metas del Plan de Desarrollo 2024-</w:t>
      </w:r>
      <w:r w:rsidRPr="00867499">
        <w:rPr>
          <w:rFonts w:cs="Times New Roman (Cuerpo en alfa"/>
        </w:rPr>
        <w:lastRenderedPageBreak/>
        <w:t xml:space="preserve">2027 </w:t>
      </w:r>
      <w:r w:rsidRPr="00BE2337">
        <w:rPr>
          <w:rFonts w:cs="Times New Roman (Cuerpo en alfa"/>
          <w:i/>
          <w:iCs/>
        </w:rPr>
        <w:t>“Bogotá Camina Segura”,</w:t>
      </w:r>
      <w:r w:rsidRPr="00867499">
        <w:rPr>
          <w:rFonts w:cs="Times New Roman (Cuerpo en alfa"/>
        </w:rPr>
        <w:t xml:space="preserve"> se </w:t>
      </w:r>
      <w:r w:rsidRPr="00BE2337">
        <w:rPr>
          <w:rFonts w:cs="Times New Roman (Cuerpo en alfa"/>
          <w:szCs w:val="22"/>
        </w:rPr>
        <w:t>desarrolló de la siguiente manera:</w:t>
      </w:r>
    </w:p>
    <w:p w14:paraId="6489B24A" w14:textId="77777777" w:rsidR="00F7619F" w:rsidRPr="00BE2337" w:rsidRDefault="00F7619F" w:rsidP="00F7619F">
      <w:pPr>
        <w:rPr>
          <w:rFonts w:cs="Times New Roman (Cuerpo en alfa"/>
          <w:szCs w:val="22"/>
        </w:rPr>
      </w:pPr>
    </w:p>
    <w:p w14:paraId="1189B15A" w14:textId="0B5B7172" w:rsidR="00F7619F" w:rsidRDefault="00F7619F" w:rsidP="00CB6AEC">
      <w:pPr>
        <w:pStyle w:val="Prrafodelista"/>
        <w:numPr>
          <w:ilvl w:val="0"/>
          <w:numId w:val="23"/>
        </w:numPr>
        <w:rPr>
          <w:rFonts w:cs="Times New Roman (Cuerpo en alfa"/>
          <w:szCs w:val="22"/>
        </w:rPr>
      </w:pPr>
      <w:r w:rsidRPr="00BE2337">
        <w:rPr>
          <w:rFonts w:cs="Times New Roman (Cuerpo en alfa"/>
          <w:szCs w:val="22"/>
        </w:rPr>
        <w:t>Identificación de las cuestiones que deben ser atendidas por la Administración en busca de lograr un mejoramiento de la calidad de vida de la población. Este ejercicio de reconocimiento de problemáticas fue realizado por los sectores distritales de acuerdo con sus competencias y experticia, y a partir de un diagnóstico que da cuenta del estado del territorio en sus dimensiones socioeconómicas y ambientales, determinando de manera preliminar el rol de las entidades en la resolución de dichos asuntos, la oferta programática disponible para su atención, las poblaciones afectadas por las problemáticas y las acciones que contribuirían a subsanarlas.</w:t>
      </w:r>
    </w:p>
    <w:p w14:paraId="4E1BC721" w14:textId="77777777" w:rsidR="00F7619F" w:rsidRPr="00BE2337" w:rsidRDefault="00F7619F" w:rsidP="00F7619F">
      <w:pPr>
        <w:pStyle w:val="Prrafodelista"/>
        <w:rPr>
          <w:rFonts w:cs="Times New Roman (Cuerpo en alfa"/>
          <w:szCs w:val="22"/>
        </w:rPr>
      </w:pPr>
    </w:p>
    <w:p w14:paraId="6A6595D2" w14:textId="1AB316FB" w:rsidR="00F7619F" w:rsidRDefault="00F7619F" w:rsidP="00CB6AEC">
      <w:pPr>
        <w:pStyle w:val="Prrafodelista"/>
        <w:numPr>
          <w:ilvl w:val="0"/>
          <w:numId w:val="23"/>
        </w:numPr>
        <w:rPr>
          <w:rFonts w:cs="Times New Roman (Cuerpo en alfa"/>
          <w:szCs w:val="22"/>
        </w:rPr>
      </w:pPr>
      <w:r w:rsidRPr="00BE2337">
        <w:rPr>
          <w:rFonts w:cs="Times New Roman (Cuerpo en alfa"/>
          <w:szCs w:val="22"/>
        </w:rPr>
        <w:t>Vinculación de los ODS y sus metas con las problemáticas identificadas por los sectores distritales, así como una identificación inicial de datos e indicadores disponibles en el Distrito Capital asociados a los temas propuestos.</w:t>
      </w:r>
    </w:p>
    <w:p w14:paraId="6385546D" w14:textId="77777777" w:rsidR="00F7619F" w:rsidRPr="00F7619F" w:rsidRDefault="00F7619F" w:rsidP="00F7619F">
      <w:pPr>
        <w:rPr>
          <w:rFonts w:cs="Times New Roman (Cuerpo en alfa"/>
          <w:szCs w:val="22"/>
        </w:rPr>
      </w:pPr>
    </w:p>
    <w:p w14:paraId="5631881B" w14:textId="00F8FF55" w:rsidR="00F7619F" w:rsidRDefault="00F7619F" w:rsidP="00CB6AEC">
      <w:pPr>
        <w:pStyle w:val="Prrafodelista"/>
        <w:numPr>
          <w:ilvl w:val="0"/>
          <w:numId w:val="23"/>
        </w:numPr>
        <w:rPr>
          <w:rFonts w:cs="Times New Roman (Cuerpo en alfa"/>
          <w:szCs w:val="22"/>
        </w:rPr>
      </w:pPr>
      <w:r w:rsidRPr="00BE2337">
        <w:rPr>
          <w:rFonts w:cs="Times New Roman (Cuerpo en alfa"/>
          <w:szCs w:val="22"/>
        </w:rPr>
        <w:t>Definición de temas estratégicos, enfoques y apuestas del Gobierno distrital, con base en los resultados de la participación ciudadana, los aportes realizados por las partes interesadas y las discusiones técnicas sectoriales. Dichos temas se constituyen en los frentes de acción que componen la estructura programática del plan.</w:t>
      </w:r>
    </w:p>
    <w:p w14:paraId="6B681497" w14:textId="77777777" w:rsidR="00F7619F" w:rsidRPr="00F7619F" w:rsidRDefault="00F7619F" w:rsidP="00F7619F">
      <w:pPr>
        <w:rPr>
          <w:rFonts w:cs="Times New Roman (Cuerpo en alfa"/>
          <w:szCs w:val="22"/>
        </w:rPr>
      </w:pPr>
    </w:p>
    <w:p w14:paraId="36C1123D" w14:textId="68B6230E" w:rsidR="00F7619F" w:rsidRDefault="00F7619F" w:rsidP="00CB6AEC">
      <w:pPr>
        <w:pStyle w:val="Prrafodelista"/>
        <w:numPr>
          <w:ilvl w:val="0"/>
          <w:numId w:val="23"/>
        </w:numPr>
        <w:rPr>
          <w:rFonts w:cs="Times New Roman (Cuerpo en alfa"/>
          <w:szCs w:val="22"/>
        </w:rPr>
      </w:pPr>
      <w:r w:rsidRPr="00BE2337">
        <w:rPr>
          <w:rFonts w:cs="Times New Roman (Cuerpo en alfa"/>
          <w:szCs w:val="22"/>
        </w:rPr>
        <w:t>A partir de la identificación de los frentes de acción, se definieron 5 objetivos estratégicos para el PDD, 39 programas generales y 400 metas, todos los cuales plasman la visión de ciudad por la que optaron los ciudadanos y ciudadanas como la ruta por seguir en este cuatrienio.</w:t>
      </w:r>
    </w:p>
    <w:p w14:paraId="2E6BC56D" w14:textId="77777777" w:rsidR="00F7619F" w:rsidRPr="00F7619F" w:rsidRDefault="00F7619F" w:rsidP="00F7619F">
      <w:pPr>
        <w:rPr>
          <w:rFonts w:cs="Times New Roman (Cuerpo en alfa"/>
          <w:szCs w:val="22"/>
        </w:rPr>
      </w:pPr>
    </w:p>
    <w:p w14:paraId="2C4A202C" w14:textId="6C4AE011" w:rsidR="00F7619F" w:rsidRDefault="00F7619F" w:rsidP="00CB6AEC">
      <w:pPr>
        <w:pStyle w:val="Prrafodelista"/>
        <w:numPr>
          <w:ilvl w:val="0"/>
          <w:numId w:val="23"/>
        </w:numPr>
        <w:rPr>
          <w:rFonts w:cs="Times New Roman (Cuerpo en alfa"/>
          <w:szCs w:val="22"/>
        </w:rPr>
      </w:pPr>
      <w:r w:rsidRPr="00BE2337">
        <w:rPr>
          <w:rFonts w:cs="Times New Roman (Cuerpo en alfa"/>
          <w:szCs w:val="22"/>
        </w:rPr>
        <w:t>Se hizo la identificación de la correspondencia entre los objetivos y metas del Programa de Gobierno que reflejan las prioridades territoriales con los de la Agenda Global; es decir, se generó la asociación explícita de los ODS y sus metas a la estructura programática del PDD. Además, se relacionaron los recursos financieros destinados a cada meta del PDD. Es importante mencionar que, en busca de facilitar el seguimiento al avance en la implementación de los ODS, se solicitó a los sectores que se hiciera la vinculación de, mínimo, un ODS y, máximo, dos ODS o metas a cada una de las 406 metas del PDD.</w:t>
      </w:r>
    </w:p>
    <w:p w14:paraId="0F82DA8C" w14:textId="77777777" w:rsidR="00F7619F" w:rsidRPr="00F7619F" w:rsidRDefault="00F7619F" w:rsidP="00F7619F">
      <w:pPr>
        <w:rPr>
          <w:rFonts w:cs="Times New Roman (Cuerpo en alfa"/>
          <w:szCs w:val="22"/>
        </w:rPr>
      </w:pPr>
    </w:p>
    <w:p w14:paraId="32C0FC05" w14:textId="77777777" w:rsidR="00F7619F" w:rsidRPr="00BE2337" w:rsidRDefault="00F7619F" w:rsidP="00CB6AEC">
      <w:pPr>
        <w:pStyle w:val="Prrafodelista"/>
        <w:numPr>
          <w:ilvl w:val="0"/>
          <w:numId w:val="23"/>
        </w:numPr>
        <w:rPr>
          <w:rFonts w:cs="Times New Roman (Cuerpo en alfa"/>
          <w:szCs w:val="22"/>
        </w:rPr>
        <w:sectPr w:rsidR="00F7619F" w:rsidRPr="00BE2337" w:rsidSect="00F7078E">
          <w:type w:val="continuous"/>
          <w:pgSz w:w="12240" w:h="15840"/>
          <w:pgMar w:top="2262" w:right="1440" w:bottom="1440" w:left="1440" w:header="709" w:footer="709" w:gutter="0"/>
          <w:cols w:num="2" w:space="567"/>
          <w:docGrid w:linePitch="360"/>
        </w:sectPr>
      </w:pPr>
      <w:r w:rsidRPr="00BE2337">
        <w:rPr>
          <w:rFonts w:cs="Times New Roman (Cuerpo en alfa"/>
          <w:szCs w:val="22"/>
        </w:rPr>
        <w:t>A partir de la interrelación entre los ODS con las estrategias y metas del PDD, se derivó un listado armonizado. Además, se generó una lista de metas de la Agenda 2030 que no tienen correlato en el PDD, en busca de asegurar que no se excluya algún tema prioritario para el nivel local, nacional o internacional.</w:t>
      </w:r>
    </w:p>
    <w:p w14:paraId="309122F6" w14:textId="77777777" w:rsidR="00F7619F" w:rsidRPr="00BE2337" w:rsidRDefault="00F7619F" w:rsidP="00F7619F">
      <w:pPr>
        <w:rPr>
          <w:rFonts w:cs="Times New Roman (Cuerpo en alfa"/>
          <w:spacing w:val="-6"/>
          <w:szCs w:val="22"/>
        </w:rPr>
        <w:sectPr w:rsidR="00F7619F" w:rsidRPr="00BE2337" w:rsidSect="00F7078E">
          <w:type w:val="continuous"/>
          <w:pgSz w:w="12240" w:h="15840"/>
          <w:pgMar w:top="2262" w:right="1440" w:bottom="1440" w:left="1440" w:header="709" w:footer="709" w:gutter="0"/>
          <w:cols w:space="567"/>
          <w:docGrid w:linePitch="360"/>
        </w:sectPr>
      </w:pPr>
    </w:p>
    <w:p w14:paraId="4AF6F45C" w14:textId="26ABE351" w:rsidR="00F7619F" w:rsidRDefault="00F7619F" w:rsidP="00F7619F">
      <w:pPr>
        <w:rPr>
          <w:rFonts w:cs="Times New Roman (Cuerpo en alfa"/>
          <w:spacing w:val="-6"/>
        </w:rPr>
      </w:pPr>
    </w:p>
    <w:p w14:paraId="2B3C57A5" w14:textId="44FB17C7" w:rsidR="00F7619F" w:rsidRDefault="00F7619F" w:rsidP="00F7619F">
      <w:pPr>
        <w:rPr>
          <w:rFonts w:cs="Times New Roman (Cuerpo en alfa"/>
          <w:spacing w:val="-6"/>
        </w:rPr>
      </w:pPr>
    </w:p>
    <w:p w14:paraId="7F0941B6" w14:textId="54CAA6DF" w:rsidR="00F7619F" w:rsidRPr="00B83E88" w:rsidRDefault="00B85209" w:rsidP="00B85209">
      <w:pPr>
        <w:pStyle w:val="Ttulo3"/>
      </w:pPr>
      <w:bookmarkStart w:id="144" w:name="_Toc165169751"/>
      <w:r>
        <w:t>Asociación del Plan Distrital de Desarrollo con los Objetivos de Desarrollo Sostenible</w:t>
      </w:r>
      <w:bookmarkEnd w:id="144"/>
    </w:p>
    <w:p w14:paraId="212AF096" w14:textId="77777777" w:rsidR="00F7619F" w:rsidRDefault="00F7619F" w:rsidP="00F7619F">
      <w:pPr>
        <w:rPr>
          <w:rFonts w:cs="Times New Roman (Cuerpo en alfa"/>
          <w:spacing w:val="-6"/>
        </w:rPr>
        <w:sectPr w:rsidR="00F7619F" w:rsidSect="00F7078E">
          <w:type w:val="continuous"/>
          <w:pgSz w:w="12240" w:h="15840"/>
          <w:pgMar w:top="2262" w:right="1440" w:bottom="1440" w:left="1440" w:header="709" w:footer="709" w:gutter="0"/>
          <w:cols w:space="567"/>
          <w:docGrid w:linePitch="360"/>
        </w:sectPr>
      </w:pPr>
    </w:p>
    <w:p w14:paraId="60B82049" w14:textId="77777777" w:rsidR="0061728F" w:rsidRDefault="00F7619F" w:rsidP="00F7619F">
      <w:pPr>
        <w:rPr>
          <w:rFonts w:cs="Times New Roman (Cuerpo en alfa"/>
          <w:spacing w:val="-6"/>
        </w:rPr>
      </w:pPr>
      <w:r w:rsidRPr="00B83E88">
        <w:rPr>
          <w:rFonts w:cs="Times New Roman (Cuerpo en alfa"/>
          <w:spacing w:val="-6"/>
        </w:rPr>
        <w:t xml:space="preserve">Una vez surtidos los pasos descritos en la sección anterior, se obtuvieron los resultados que se presentan en este apartado. Es pertinente señalar que </w:t>
      </w:r>
      <w:r w:rsidRPr="00B83E88">
        <w:rPr>
          <w:rFonts w:cs="Times New Roman (Cuerpo en alfa"/>
          <w:spacing w:val="-6"/>
        </w:rPr>
        <w:t xml:space="preserve">las metas definidas para cada objetivo estratégico del PDD no son definitivas y podrán ser modificadas conforme a los recursos que se incorporen en el </w:t>
      </w:r>
      <w:r w:rsidRPr="00B83E88">
        <w:rPr>
          <w:rFonts w:cs="Times New Roman (Cuerpo en alfa"/>
          <w:spacing w:val="-6"/>
        </w:rPr>
        <w:lastRenderedPageBreak/>
        <w:t xml:space="preserve">Plan Plurianual de Inversiones definitivo y los análisis técnicos que se hagan, lo cual se vincula con el reconocimiento de la naturaleza mutable y dinámica de los territorios. </w:t>
      </w:r>
    </w:p>
    <w:p w14:paraId="3BC3B365" w14:textId="77777777" w:rsidR="0061728F" w:rsidRDefault="0061728F" w:rsidP="00F7619F">
      <w:pPr>
        <w:rPr>
          <w:rFonts w:cs="Times New Roman (Cuerpo en alfa"/>
          <w:spacing w:val="-6"/>
        </w:rPr>
      </w:pPr>
    </w:p>
    <w:p w14:paraId="2245789C" w14:textId="280C5FA2" w:rsidR="005B2DEB" w:rsidRDefault="00F7619F" w:rsidP="00F7619F">
      <w:pPr>
        <w:rPr>
          <w:rFonts w:cs="Times New Roman (Cuerpo en alfa"/>
          <w:spacing w:val="-6"/>
        </w:rPr>
      </w:pPr>
      <w:r w:rsidRPr="00B83E88">
        <w:rPr>
          <w:rFonts w:cs="Times New Roman (Cuerpo en alfa"/>
          <w:spacing w:val="-6"/>
        </w:rPr>
        <w:t>Actualmente, 68 metas del PDD (17,0</w:t>
      </w:r>
      <w:r w:rsidRPr="00B83E88">
        <w:rPr>
          <w:rFonts w:ascii="Arial" w:hAnsi="Arial" w:cs="Arial"/>
          <w:spacing w:val="-6"/>
        </w:rPr>
        <w:t> </w:t>
      </w:r>
      <w:r w:rsidRPr="00B83E88">
        <w:rPr>
          <w:rFonts w:cs="Times New Roman (Cuerpo en alfa"/>
          <w:spacing w:val="-6"/>
        </w:rPr>
        <w:t>%) no cuentan con asociaci</w:t>
      </w:r>
      <w:r w:rsidRPr="00B83E88">
        <w:rPr>
          <w:rFonts w:cs="Candara"/>
          <w:spacing w:val="-6"/>
        </w:rPr>
        <w:t>ó</w:t>
      </w:r>
      <w:r w:rsidRPr="00B83E88">
        <w:rPr>
          <w:rFonts w:cs="Times New Roman (Cuerpo en alfa"/>
          <w:spacing w:val="-6"/>
        </w:rPr>
        <w:t>n a ODS ni meta de la Agenda 2030, y 332 metas (83,0</w:t>
      </w:r>
      <w:r w:rsidRPr="00B83E88">
        <w:rPr>
          <w:rFonts w:ascii="Arial" w:hAnsi="Arial" w:cs="Arial"/>
          <w:spacing w:val="-6"/>
        </w:rPr>
        <w:t> </w:t>
      </w:r>
      <w:r w:rsidRPr="00B83E88">
        <w:rPr>
          <w:rFonts w:cs="Times New Roman (Cuerpo en alfa"/>
          <w:spacing w:val="-6"/>
        </w:rPr>
        <w:t>%) se vinculan con uno (m</w:t>
      </w:r>
      <w:r w:rsidRPr="00B83E88">
        <w:rPr>
          <w:rFonts w:cs="Candara"/>
          <w:spacing w:val="-6"/>
        </w:rPr>
        <w:t>í</w:t>
      </w:r>
      <w:r w:rsidRPr="00B83E88">
        <w:rPr>
          <w:rFonts w:cs="Times New Roman (Cuerpo en alfa"/>
          <w:spacing w:val="-6"/>
        </w:rPr>
        <w:t>nimo) o 2 (m</w:t>
      </w:r>
      <w:r w:rsidRPr="00B83E88">
        <w:rPr>
          <w:rFonts w:cs="Candara"/>
          <w:spacing w:val="-6"/>
        </w:rPr>
        <w:t>á</w:t>
      </w:r>
      <w:r w:rsidRPr="00B83E88">
        <w:rPr>
          <w:rFonts w:cs="Times New Roman (Cuerpo en alfa"/>
          <w:spacing w:val="-6"/>
        </w:rPr>
        <w:t>ximo) ODS y con una (m</w:t>
      </w:r>
      <w:r w:rsidRPr="00B83E88">
        <w:rPr>
          <w:rFonts w:cs="Candara"/>
          <w:spacing w:val="-6"/>
        </w:rPr>
        <w:t>í</w:t>
      </w:r>
      <w:r w:rsidRPr="00B83E88">
        <w:rPr>
          <w:rFonts w:cs="Times New Roman (Cuerpo en alfa"/>
          <w:spacing w:val="-6"/>
        </w:rPr>
        <w:t>nimo) o 2 (m</w:t>
      </w:r>
      <w:r w:rsidRPr="00B83E88">
        <w:rPr>
          <w:rFonts w:cs="Candara"/>
          <w:spacing w:val="-6"/>
        </w:rPr>
        <w:t>á</w:t>
      </w:r>
      <w:r w:rsidRPr="00B83E88">
        <w:rPr>
          <w:rFonts w:cs="Times New Roman (Cuerpo en alfa"/>
          <w:spacing w:val="-6"/>
        </w:rPr>
        <w:t>ximo) metas de la Agenda 2030. Los ODS con mayor n</w:t>
      </w:r>
      <w:r w:rsidRPr="00B83E88">
        <w:rPr>
          <w:rFonts w:cs="Candara"/>
          <w:spacing w:val="-6"/>
        </w:rPr>
        <w:t>ú</w:t>
      </w:r>
      <w:r w:rsidRPr="00B83E88">
        <w:rPr>
          <w:rFonts w:cs="Times New Roman (Cuerpo en alfa"/>
          <w:spacing w:val="-6"/>
        </w:rPr>
        <w:t xml:space="preserve">mero de apariciones o relacionamientos en las metas del PDD son el ODS 11 (Ciudades y comunidades </w:t>
      </w:r>
      <w:r w:rsidRPr="00B83E88">
        <w:rPr>
          <w:rFonts w:cs="Times New Roman (Cuerpo en alfa"/>
          <w:spacing w:val="-6"/>
        </w:rPr>
        <w:t>sostenibles), que se asoci</w:t>
      </w:r>
      <w:r w:rsidRPr="00B83E88">
        <w:rPr>
          <w:rFonts w:cs="Candara"/>
          <w:spacing w:val="-6"/>
        </w:rPr>
        <w:t>ó</w:t>
      </w:r>
      <w:r w:rsidRPr="00B83E88">
        <w:rPr>
          <w:rFonts w:cs="Times New Roman (Cuerpo en alfa"/>
          <w:spacing w:val="-6"/>
        </w:rPr>
        <w:t xml:space="preserve"> a 99 de las 400 metas del PDD, y el ODS 16 (Paz, justicia e instituciones s</w:t>
      </w:r>
      <w:r w:rsidRPr="00B83E88">
        <w:rPr>
          <w:rFonts w:cs="Candara"/>
          <w:spacing w:val="-6"/>
        </w:rPr>
        <w:t>ó</w:t>
      </w:r>
      <w:r w:rsidRPr="00B83E88">
        <w:rPr>
          <w:rFonts w:cs="Times New Roman (Cuerpo en alfa"/>
          <w:spacing w:val="-6"/>
        </w:rPr>
        <w:t>lidas), que se vincul</w:t>
      </w:r>
      <w:r w:rsidRPr="00B83E88">
        <w:rPr>
          <w:rFonts w:cs="Candara"/>
          <w:spacing w:val="-6"/>
        </w:rPr>
        <w:t>ó</w:t>
      </w:r>
      <w:r w:rsidRPr="00B83E88">
        <w:rPr>
          <w:rFonts w:cs="Times New Roman (Cuerpo en alfa"/>
          <w:spacing w:val="-6"/>
        </w:rPr>
        <w:t xml:space="preserve"> con 89 metas del PDD (</w:t>
      </w:r>
      <w:r w:rsidR="002C0248" w:rsidRPr="002C0248">
        <w:rPr>
          <w:rFonts w:cs="Times New Roman (Cuerpo en alfa"/>
          <w:spacing w:val="-6"/>
        </w:rPr>
        <w:fldChar w:fldCharType="begin"/>
      </w:r>
      <w:r w:rsidR="002C0248" w:rsidRPr="002C0248">
        <w:rPr>
          <w:rFonts w:cs="Times New Roman (Cuerpo en alfa"/>
          <w:spacing w:val="-6"/>
        </w:rPr>
        <w:instrText xml:space="preserve"> REF _Ref165120736 \h </w:instrText>
      </w:r>
      <w:r w:rsidR="002C0248" w:rsidRPr="002C0248">
        <w:rPr>
          <w:rFonts w:cs="Times New Roman (Cuerpo en alfa"/>
          <w:spacing w:val="-6"/>
        </w:rPr>
      </w:r>
      <w:r w:rsidR="002C0248" w:rsidRPr="002C0248">
        <w:rPr>
          <w:rFonts w:cs="Times New Roman (Cuerpo en alfa"/>
          <w:spacing w:val="-6"/>
        </w:rPr>
        <w:fldChar w:fldCharType="separate"/>
      </w:r>
      <w:r w:rsidR="00D01651" w:rsidRPr="005B2DEB">
        <w:rPr>
          <w:color w:val="C00000"/>
          <w:sz w:val="18"/>
          <w:szCs w:val="14"/>
        </w:rPr>
        <w:t xml:space="preserve">Gráfica </w:t>
      </w:r>
      <w:r w:rsidR="00D01651">
        <w:rPr>
          <w:noProof/>
          <w:color w:val="C00000"/>
          <w:sz w:val="18"/>
          <w:szCs w:val="14"/>
        </w:rPr>
        <w:t>26</w:t>
      </w:r>
      <w:r w:rsidR="002C0248" w:rsidRPr="002C0248">
        <w:rPr>
          <w:rFonts w:cs="Times New Roman (Cuerpo en alfa"/>
          <w:spacing w:val="-6"/>
        </w:rPr>
        <w:fldChar w:fldCharType="end"/>
      </w:r>
      <w:r w:rsidRPr="00B83E88">
        <w:rPr>
          <w:rFonts w:cs="Times New Roman (Cuerpo en alfa"/>
          <w:spacing w:val="-6"/>
        </w:rPr>
        <w:t>).</w:t>
      </w:r>
    </w:p>
    <w:p w14:paraId="04EB5E71" w14:textId="77777777" w:rsidR="005B2DEB" w:rsidRDefault="005B2DEB" w:rsidP="00F7619F">
      <w:pPr>
        <w:rPr>
          <w:rFonts w:cs="Times New Roman (Cuerpo en alfa"/>
          <w:spacing w:val="-6"/>
        </w:rPr>
      </w:pPr>
    </w:p>
    <w:p w14:paraId="769128B9" w14:textId="20BC1D20" w:rsidR="005B2DEB" w:rsidRDefault="005B2DEB" w:rsidP="005B2DEB">
      <w:pPr>
        <w:rPr>
          <w:rFonts w:eastAsia="Arial Narrow"/>
          <w:spacing w:val="-4"/>
        </w:rPr>
      </w:pPr>
      <w:r w:rsidRPr="00B9641F">
        <w:rPr>
          <w:rFonts w:eastAsia="Arial Narrow"/>
          <w:spacing w:val="-4"/>
        </w:rPr>
        <w:t>La mayor inversión programada se encuentra asociada al ODS 4 (Educación de calidad), al ODS 11 (Ciudades y comunidades sostenibles), al ODS 3 (Salud y bienestar) y al ODS 1 (Fin de la pobreza), como se muestra en la</w:t>
      </w:r>
      <w:r w:rsidR="002C0248">
        <w:rPr>
          <w:rFonts w:eastAsia="Arial Narrow"/>
          <w:spacing w:val="-4"/>
        </w:rPr>
        <w:t xml:space="preserve"> </w:t>
      </w:r>
      <w:r w:rsidR="002C0248" w:rsidRPr="002C0248">
        <w:rPr>
          <w:rFonts w:eastAsia="Arial Narrow"/>
          <w:spacing w:val="-4"/>
        </w:rPr>
        <w:fldChar w:fldCharType="begin"/>
      </w:r>
      <w:r w:rsidR="002C0248" w:rsidRPr="002C0248">
        <w:rPr>
          <w:rFonts w:eastAsia="Arial Narrow"/>
          <w:spacing w:val="-4"/>
        </w:rPr>
        <w:instrText xml:space="preserve"> REF _Ref165120794 \h </w:instrText>
      </w:r>
      <w:r w:rsidR="002C0248" w:rsidRPr="002C0248">
        <w:rPr>
          <w:rFonts w:eastAsia="Arial Narrow"/>
          <w:spacing w:val="-4"/>
        </w:rPr>
      </w:r>
      <w:r w:rsidR="002C0248" w:rsidRPr="002C0248">
        <w:rPr>
          <w:rFonts w:eastAsia="Arial Narrow"/>
          <w:spacing w:val="-4"/>
        </w:rPr>
        <w:fldChar w:fldCharType="separate"/>
      </w:r>
      <w:r w:rsidR="00D01651" w:rsidRPr="002C0248">
        <w:rPr>
          <w:color w:val="C00000"/>
          <w:sz w:val="18"/>
          <w:szCs w:val="14"/>
        </w:rPr>
        <w:t xml:space="preserve">Gráfica </w:t>
      </w:r>
      <w:r w:rsidR="00D01651">
        <w:rPr>
          <w:noProof/>
          <w:color w:val="C00000"/>
          <w:sz w:val="18"/>
          <w:szCs w:val="14"/>
        </w:rPr>
        <w:t>27</w:t>
      </w:r>
      <w:r w:rsidR="002C0248" w:rsidRPr="002C0248">
        <w:rPr>
          <w:rFonts w:eastAsia="Arial Narrow"/>
          <w:spacing w:val="-4"/>
        </w:rPr>
        <w:fldChar w:fldCharType="end"/>
      </w:r>
      <w:r w:rsidRPr="00B9641F">
        <w:rPr>
          <w:rFonts w:eastAsia="Arial Narrow"/>
          <w:spacing w:val="-4"/>
        </w:rPr>
        <w:t>.</w:t>
      </w:r>
    </w:p>
    <w:p w14:paraId="1D3ADF31" w14:textId="77777777" w:rsidR="005B2DEB" w:rsidRPr="00B83E88" w:rsidRDefault="005B2DEB" w:rsidP="00F7619F">
      <w:pPr>
        <w:rPr>
          <w:rFonts w:cs="Times New Roman (Cuerpo en alfa"/>
          <w:spacing w:val="-6"/>
        </w:rPr>
      </w:pPr>
    </w:p>
    <w:p w14:paraId="239D6E51" w14:textId="77777777" w:rsidR="00F7619F" w:rsidRDefault="00F7619F" w:rsidP="00F7619F">
      <w:pPr>
        <w:rPr>
          <w:b/>
          <w:bCs/>
        </w:rPr>
      </w:pPr>
    </w:p>
    <w:p w14:paraId="7D31C8E7" w14:textId="77777777" w:rsidR="005B2DEB" w:rsidRDefault="005B2DEB" w:rsidP="00F7619F">
      <w:pPr>
        <w:rPr>
          <w:b/>
          <w:bCs/>
        </w:rPr>
        <w:sectPr w:rsidR="005B2DEB" w:rsidSect="00F7078E">
          <w:type w:val="continuous"/>
          <w:pgSz w:w="12240" w:h="15840"/>
          <w:pgMar w:top="2262" w:right="1440" w:bottom="1440" w:left="1440" w:header="709" w:footer="709" w:gutter="0"/>
          <w:cols w:num="2" w:space="567"/>
          <w:docGrid w:linePitch="360"/>
        </w:sectPr>
      </w:pPr>
    </w:p>
    <w:p w14:paraId="1E54311A" w14:textId="77777777" w:rsidR="005B2DEB" w:rsidRDefault="005B2DEB" w:rsidP="005B2DEB">
      <w:pPr>
        <w:pStyle w:val="Descripcin"/>
        <w:jc w:val="center"/>
        <w:rPr>
          <w:color w:val="C00000"/>
          <w:sz w:val="18"/>
          <w:szCs w:val="14"/>
        </w:rPr>
      </w:pPr>
    </w:p>
    <w:p w14:paraId="0F625BC9" w14:textId="2EBAFEEF" w:rsidR="005B2DEB" w:rsidRPr="005B2DEB" w:rsidRDefault="005B2DEB" w:rsidP="005B2DEB">
      <w:pPr>
        <w:pStyle w:val="Descripcin"/>
        <w:jc w:val="center"/>
        <w:rPr>
          <w:b w:val="0"/>
          <w:bCs/>
          <w:sz w:val="18"/>
          <w:szCs w:val="14"/>
        </w:rPr>
      </w:pPr>
      <w:bookmarkStart w:id="145" w:name="_Ref165120736"/>
      <w:bookmarkStart w:id="146" w:name="_Toc165169852"/>
      <w:r w:rsidRPr="005B2DEB">
        <w:rPr>
          <w:color w:val="C00000"/>
          <w:sz w:val="18"/>
          <w:szCs w:val="14"/>
        </w:rPr>
        <w:t xml:space="preserve">Gráfica </w:t>
      </w:r>
      <w:r w:rsidRPr="005B2DEB">
        <w:rPr>
          <w:color w:val="C00000"/>
          <w:sz w:val="18"/>
          <w:szCs w:val="14"/>
        </w:rPr>
        <w:fldChar w:fldCharType="begin"/>
      </w:r>
      <w:r w:rsidRPr="005B2DEB">
        <w:rPr>
          <w:color w:val="C00000"/>
          <w:sz w:val="18"/>
          <w:szCs w:val="14"/>
        </w:rPr>
        <w:instrText xml:space="preserve"> SEQ Gráfica \* ARABIC </w:instrText>
      </w:r>
      <w:r w:rsidRPr="005B2DEB">
        <w:rPr>
          <w:color w:val="C00000"/>
          <w:sz w:val="18"/>
          <w:szCs w:val="14"/>
        </w:rPr>
        <w:fldChar w:fldCharType="separate"/>
      </w:r>
      <w:r w:rsidR="00D01651">
        <w:rPr>
          <w:noProof/>
          <w:color w:val="C00000"/>
          <w:sz w:val="18"/>
          <w:szCs w:val="14"/>
        </w:rPr>
        <w:t>26</w:t>
      </w:r>
      <w:r w:rsidRPr="005B2DEB">
        <w:rPr>
          <w:color w:val="C00000"/>
          <w:sz w:val="18"/>
          <w:szCs w:val="14"/>
        </w:rPr>
        <w:fldChar w:fldCharType="end"/>
      </w:r>
      <w:bookmarkEnd w:id="145"/>
      <w:r w:rsidRPr="005B2DEB">
        <w:rPr>
          <w:color w:val="C00000"/>
          <w:sz w:val="18"/>
          <w:szCs w:val="14"/>
        </w:rPr>
        <w:t xml:space="preserve">. </w:t>
      </w:r>
      <w:r w:rsidRPr="005B2DEB">
        <w:rPr>
          <w:sz w:val="18"/>
          <w:szCs w:val="14"/>
        </w:rPr>
        <w:t>Número de metas del PDD a las que se asocian los ODS</w:t>
      </w:r>
      <w:bookmarkEnd w:id="146"/>
    </w:p>
    <w:p w14:paraId="79F53017" w14:textId="77777777" w:rsidR="00F7619F" w:rsidRPr="005B2DEB" w:rsidRDefault="00F7619F" w:rsidP="00F7619F">
      <w:pPr>
        <w:pStyle w:val="figuratitulo"/>
        <w:rPr>
          <w:b/>
          <w:bCs/>
          <w:lang w:val="es-419"/>
        </w:rPr>
      </w:pPr>
    </w:p>
    <w:p w14:paraId="4E42CB08" w14:textId="77777777" w:rsidR="00F7619F" w:rsidRDefault="00F7619F" w:rsidP="00F7619F">
      <w:pPr>
        <w:pStyle w:val="figuratitulo"/>
        <w:rPr>
          <w:b/>
          <w:bCs/>
        </w:rPr>
      </w:pPr>
    </w:p>
    <w:p w14:paraId="3AF2005B" w14:textId="07BF9A45" w:rsidR="00F7619F" w:rsidRPr="000B71FD" w:rsidRDefault="00F7619F" w:rsidP="00F7619F">
      <w:pPr>
        <w:spacing w:line="480" w:lineRule="auto"/>
        <w:rPr>
          <w:rFonts w:ascii="Times New Roman" w:eastAsia="Arial Narrow" w:hAnsi="Times New Roman"/>
        </w:rPr>
      </w:pPr>
      <w:r>
        <w:rPr>
          <w:noProof/>
        </w:rPr>
        <w:drawing>
          <wp:anchor distT="0" distB="0" distL="114300" distR="114300" simplePos="0" relativeHeight="251702272" behindDoc="0" locked="0" layoutInCell="1" allowOverlap="1" wp14:anchorId="77D1889E" wp14:editId="129794C3">
            <wp:simplePos x="0" y="0"/>
            <wp:positionH relativeFrom="margin">
              <wp:posOffset>-113030</wp:posOffset>
            </wp:positionH>
            <wp:positionV relativeFrom="paragraph">
              <wp:posOffset>181566</wp:posOffset>
            </wp:positionV>
            <wp:extent cx="5836285" cy="2232660"/>
            <wp:effectExtent l="0" t="0" r="0" b="0"/>
            <wp:wrapSquare wrapText="bothSides"/>
            <wp:docPr id="1684249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36285" cy="22326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046A9D" w14:textId="77777777" w:rsidR="00F7619F" w:rsidRPr="00B4119A" w:rsidRDefault="00F7619F" w:rsidP="00F7619F">
      <w:pPr>
        <w:pStyle w:val="figuratitulo"/>
        <w:rPr>
          <w:color w:val="3B3838" w:themeColor="background2" w:themeShade="40"/>
          <w:spacing w:val="-6"/>
        </w:rPr>
      </w:pPr>
      <w:r w:rsidRPr="00B4119A">
        <w:rPr>
          <w:b/>
          <w:bCs/>
          <w:color w:val="3B3838" w:themeColor="background2" w:themeShade="40"/>
          <w:spacing w:val="-6"/>
        </w:rPr>
        <w:t>Fuente:</w:t>
      </w:r>
      <w:r w:rsidRPr="00B4119A">
        <w:rPr>
          <w:color w:val="3B3838" w:themeColor="background2" w:themeShade="40"/>
          <w:spacing w:val="-6"/>
        </w:rPr>
        <w:t xml:space="preserve"> elaboración propia.</w:t>
      </w:r>
    </w:p>
    <w:p w14:paraId="4B67EE88" w14:textId="77777777" w:rsidR="005B2DEB" w:rsidRDefault="00F7619F" w:rsidP="00F7619F">
      <w:pPr>
        <w:pStyle w:val="figuratitulo"/>
        <w:rPr>
          <w:color w:val="3B3838" w:themeColor="background2" w:themeShade="40"/>
          <w:spacing w:val="-6"/>
        </w:rPr>
        <w:sectPr w:rsidR="005B2DEB" w:rsidSect="00F7078E">
          <w:footerReference w:type="default" r:id="rId86"/>
          <w:type w:val="continuous"/>
          <w:pgSz w:w="12240" w:h="15840"/>
          <w:pgMar w:top="2262" w:right="1440" w:bottom="1440" w:left="1440" w:header="708" w:footer="708" w:gutter="0"/>
          <w:cols w:space="567"/>
        </w:sectPr>
      </w:pPr>
      <w:r w:rsidRPr="00B4119A">
        <w:rPr>
          <w:b/>
          <w:bCs/>
          <w:color w:val="3B3838" w:themeColor="background2" w:themeShade="40"/>
          <w:spacing w:val="-6"/>
        </w:rPr>
        <w:t>Nota:</w:t>
      </w:r>
      <w:r w:rsidRPr="00B4119A">
        <w:rPr>
          <w:color w:val="3B3838" w:themeColor="background2" w:themeShade="40"/>
          <w:spacing w:val="-6"/>
        </w:rPr>
        <w:t xml:space="preserve"> no se encuentran metas asociadas al ODS 7 (Energía asequible y no contaminante) ni al ODS 14 (Vida submarina).</w:t>
      </w:r>
    </w:p>
    <w:p w14:paraId="517AF4C8" w14:textId="77777777" w:rsidR="00F7619F" w:rsidRPr="00B4119A" w:rsidRDefault="00F7619F" w:rsidP="00F7619F">
      <w:pPr>
        <w:pStyle w:val="figuratitulo"/>
        <w:rPr>
          <w:color w:val="3B3838" w:themeColor="background2" w:themeShade="40"/>
          <w:spacing w:val="-6"/>
        </w:rPr>
      </w:pPr>
    </w:p>
    <w:p w14:paraId="19B718EA" w14:textId="77777777" w:rsidR="00F7619F" w:rsidRDefault="00F7619F" w:rsidP="00F7619F">
      <w:pPr>
        <w:rPr>
          <w:rFonts w:eastAsia="Arial Narrow"/>
          <w:spacing w:val="-4"/>
        </w:rPr>
        <w:sectPr w:rsidR="00F7619F" w:rsidSect="00F7078E">
          <w:type w:val="continuous"/>
          <w:pgSz w:w="12240" w:h="15840"/>
          <w:pgMar w:top="2262" w:right="1440" w:bottom="1440" w:left="1440" w:header="708" w:footer="708" w:gutter="0"/>
          <w:cols w:num="2" w:space="567"/>
        </w:sectPr>
      </w:pPr>
    </w:p>
    <w:p w14:paraId="2043778A" w14:textId="77777777" w:rsidR="00F7619F" w:rsidRDefault="00F7619F" w:rsidP="00F7619F">
      <w:pPr>
        <w:pStyle w:val="figuratitulo"/>
        <w:rPr>
          <w:b/>
          <w:bCs/>
          <w:color w:val="3B3838" w:themeColor="background2" w:themeShade="40"/>
        </w:rPr>
      </w:pPr>
    </w:p>
    <w:p w14:paraId="574DBB41" w14:textId="4A391696" w:rsidR="00F7619F" w:rsidRPr="00B4119A" w:rsidRDefault="00F7619F" w:rsidP="002C0248">
      <w:pPr>
        <w:pStyle w:val="Descripcin"/>
        <w:jc w:val="center"/>
        <w:rPr>
          <w:b w:val="0"/>
          <w:bCs/>
        </w:rPr>
      </w:pPr>
      <w:bookmarkStart w:id="147" w:name="_Ref165120794"/>
      <w:bookmarkStart w:id="148" w:name="_Toc165169853"/>
      <w:r w:rsidRPr="002C0248">
        <w:rPr>
          <w:noProof/>
          <w:color w:val="C00000"/>
          <w:sz w:val="18"/>
          <w:szCs w:val="14"/>
        </w:rPr>
        <w:lastRenderedPageBreak/>
        <w:drawing>
          <wp:anchor distT="0" distB="0" distL="114300" distR="114300" simplePos="0" relativeHeight="251703296" behindDoc="1" locked="0" layoutInCell="1" allowOverlap="1" wp14:anchorId="2378847E" wp14:editId="5C32BE8D">
            <wp:simplePos x="0" y="0"/>
            <wp:positionH relativeFrom="margin">
              <wp:posOffset>-109220</wp:posOffset>
            </wp:positionH>
            <wp:positionV relativeFrom="paragraph">
              <wp:posOffset>197485</wp:posOffset>
            </wp:positionV>
            <wp:extent cx="5836285" cy="2040890"/>
            <wp:effectExtent l="0" t="0" r="0" b="0"/>
            <wp:wrapSquare wrapText="bothSides"/>
            <wp:docPr id="1242215406" name="Imagen 2" descr="Interfaz de usuario gráfica, Aplicación, Team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15406" name="Imagen 2" descr="Interfaz de usuario gráfica, Aplicación, Teams&#10;&#10;Descripción generada automáticament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836285" cy="2040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0248" w:rsidRPr="002C0248">
        <w:rPr>
          <w:color w:val="C00000"/>
          <w:sz w:val="18"/>
          <w:szCs w:val="14"/>
        </w:rPr>
        <w:t xml:space="preserve">Gráfica </w:t>
      </w:r>
      <w:r w:rsidR="002C0248" w:rsidRPr="002C0248">
        <w:rPr>
          <w:color w:val="C00000"/>
          <w:sz w:val="18"/>
          <w:szCs w:val="14"/>
        </w:rPr>
        <w:fldChar w:fldCharType="begin"/>
      </w:r>
      <w:r w:rsidR="002C0248" w:rsidRPr="002C0248">
        <w:rPr>
          <w:color w:val="C00000"/>
          <w:sz w:val="18"/>
          <w:szCs w:val="14"/>
        </w:rPr>
        <w:instrText xml:space="preserve"> SEQ Gráfica \* ARABIC </w:instrText>
      </w:r>
      <w:r w:rsidR="002C0248" w:rsidRPr="002C0248">
        <w:rPr>
          <w:color w:val="C00000"/>
          <w:sz w:val="18"/>
          <w:szCs w:val="14"/>
        </w:rPr>
        <w:fldChar w:fldCharType="separate"/>
      </w:r>
      <w:r w:rsidR="00D01651">
        <w:rPr>
          <w:noProof/>
          <w:color w:val="C00000"/>
          <w:sz w:val="18"/>
          <w:szCs w:val="14"/>
        </w:rPr>
        <w:t>27</w:t>
      </w:r>
      <w:r w:rsidR="002C0248" w:rsidRPr="002C0248">
        <w:rPr>
          <w:color w:val="C00000"/>
          <w:sz w:val="18"/>
          <w:szCs w:val="14"/>
        </w:rPr>
        <w:fldChar w:fldCharType="end"/>
      </w:r>
      <w:bookmarkEnd w:id="147"/>
      <w:r w:rsidR="002C0248" w:rsidRPr="002C0248">
        <w:rPr>
          <w:color w:val="C00000"/>
          <w:sz w:val="18"/>
          <w:szCs w:val="14"/>
        </w:rPr>
        <w:t xml:space="preserve">. </w:t>
      </w:r>
      <w:r w:rsidRPr="002C0248">
        <w:rPr>
          <w:sz w:val="18"/>
          <w:szCs w:val="14"/>
        </w:rPr>
        <w:t>Inversión programada según ODS</w:t>
      </w:r>
      <w:bookmarkEnd w:id="148"/>
    </w:p>
    <w:p w14:paraId="4146DCA4" w14:textId="77777777" w:rsidR="00F7619F" w:rsidRPr="00B4119A" w:rsidRDefault="00F7619F" w:rsidP="00F7619F">
      <w:pPr>
        <w:pStyle w:val="figuratitulo"/>
        <w:rPr>
          <w:color w:val="3B3838" w:themeColor="background2" w:themeShade="40"/>
          <w:spacing w:val="-6"/>
        </w:rPr>
      </w:pPr>
      <w:r w:rsidRPr="00B4119A">
        <w:rPr>
          <w:b/>
          <w:bCs/>
          <w:color w:val="3B3838" w:themeColor="background2" w:themeShade="40"/>
          <w:spacing w:val="-6"/>
        </w:rPr>
        <w:t>Fuente:</w:t>
      </w:r>
      <w:r w:rsidRPr="00B4119A">
        <w:rPr>
          <w:color w:val="3B3838" w:themeColor="background2" w:themeShade="40"/>
          <w:spacing w:val="-6"/>
        </w:rPr>
        <w:t xml:space="preserve"> </w:t>
      </w:r>
      <w:r w:rsidRPr="0081578C">
        <w:rPr>
          <w:color w:val="3B3838" w:themeColor="background2" w:themeShade="40"/>
          <w:spacing w:val="-6"/>
        </w:rPr>
        <w:t>elaboración propia, con base en matriz PDD-Dirección de Planeación de la Inversión SDP.</w:t>
      </w:r>
    </w:p>
    <w:p w14:paraId="568B4D94" w14:textId="77777777" w:rsidR="00F7619F" w:rsidRPr="0081578C" w:rsidRDefault="00F7619F" w:rsidP="00F7619F">
      <w:pPr>
        <w:pStyle w:val="figuratitulo"/>
        <w:rPr>
          <w:color w:val="3B3838" w:themeColor="background2" w:themeShade="40"/>
          <w:spacing w:val="-6"/>
        </w:rPr>
      </w:pPr>
      <w:r w:rsidRPr="00B4119A">
        <w:rPr>
          <w:b/>
          <w:bCs/>
          <w:color w:val="3B3838" w:themeColor="background2" w:themeShade="40"/>
          <w:spacing w:val="-6"/>
        </w:rPr>
        <w:t>Nota:</w:t>
      </w:r>
      <w:r w:rsidRPr="00B4119A">
        <w:rPr>
          <w:color w:val="3B3838" w:themeColor="background2" w:themeShade="40"/>
          <w:spacing w:val="-6"/>
        </w:rPr>
        <w:t xml:space="preserve"> </w:t>
      </w:r>
      <w:r w:rsidRPr="0081578C">
        <w:rPr>
          <w:color w:val="3B3838" w:themeColor="background2" w:themeShade="40"/>
          <w:spacing w:val="-6"/>
        </w:rPr>
        <w:t>inversión en pesos corrientes para el cuatrienio estimada por cada sector. Cifras en miles de millones de pesos.</w:t>
      </w:r>
    </w:p>
    <w:p w14:paraId="392C03FA" w14:textId="77777777" w:rsidR="00F7619F" w:rsidRPr="0081578C" w:rsidRDefault="00F7619F" w:rsidP="00F7619F">
      <w:pPr>
        <w:pStyle w:val="figuratitulo"/>
        <w:rPr>
          <w:color w:val="3B3838" w:themeColor="background2" w:themeShade="40"/>
          <w:spacing w:val="-6"/>
        </w:rPr>
      </w:pPr>
      <w:r w:rsidRPr="0081578C">
        <w:rPr>
          <w:color w:val="3B3838" w:themeColor="background2" w:themeShade="40"/>
          <w:spacing w:val="-6"/>
        </w:rPr>
        <w:t>No se encuentran metas asociadas al ODS 7 (Energía asequible y no contaminante) ni al ODS 14 (Vida submarina).</w:t>
      </w:r>
    </w:p>
    <w:p w14:paraId="68A16629" w14:textId="77777777" w:rsidR="00F7619F" w:rsidRPr="00B4119A" w:rsidRDefault="00F7619F" w:rsidP="00F7619F">
      <w:pPr>
        <w:pStyle w:val="figuratitulo"/>
        <w:rPr>
          <w:color w:val="3B3838" w:themeColor="background2" w:themeShade="40"/>
          <w:spacing w:val="-6"/>
        </w:rPr>
      </w:pPr>
      <w:r w:rsidRPr="0081578C">
        <w:rPr>
          <w:color w:val="3B3838" w:themeColor="background2" w:themeShade="40"/>
          <w:spacing w:val="-6"/>
        </w:rPr>
        <w:t>Considerando que algunas metas del PDD tienen vínculo con dos ODS, es importante leer con precaución las cifras, pues el presupuesto registrado puede estar asociado a 2 ODS.</w:t>
      </w:r>
    </w:p>
    <w:p w14:paraId="12D912A8" w14:textId="77777777" w:rsidR="00F7619F" w:rsidRPr="00B9641F" w:rsidRDefault="00F7619F" w:rsidP="00F7619F">
      <w:pPr>
        <w:rPr>
          <w:rFonts w:eastAsia="Arial Narrow"/>
          <w:spacing w:val="-4"/>
        </w:rPr>
      </w:pPr>
    </w:p>
    <w:p w14:paraId="2CAD6FC1" w14:textId="77777777" w:rsidR="00F7619F" w:rsidRDefault="00F7619F" w:rsidP="00F7619F">
      <w:pPr>
        <w:pStyle w:val="figuratitulo"/>
        <w:jc w:val="both"/>
        <w:rPr>
          <w:color w:val="3B3838" w:themeColor="background2" w:themeShade="40"/>
        </w:rPr>
      </w:pPr>
    </w:p>
    <w:p w14:paraId="14A505D9" w14:textId="77777777" w:rsidR="00F7619F" w:rsidRDefault="00F7619F" w:rsidP="00F7619F">
      <w:pPr>
        <w:pStyle w:val="figuratitulo"/>
        <w:spacing w:after="240" w:line="260" w:lineRule="exact"/>
        <w:jc w:val="both"/>
        <w:rPr>
          <w:color w:val="3B3838" w:themeColor="background2" w:themeShade="40"/>
          <w:spacing w:val="-6"/>
          <w:sz w:val="22"/>
        </w:rPr>
        <w:sectPr w:rsidR="00F7619F" w:rsidSect="00F7078E">
          <w:type w:val="continuous"/>
          <w:pgSz w:w="12240" w:h="15840"/>
          <w:pgMar w:top="2262" w:right="1440" w:bottom="1440" w:left="1440" w:header="708" w:footer="708" w:gutter="0"/>
          <w:cols w:space="720"/>
        </w:sectPr>
      </w:pPr>
    </w:p>
    <w:p w14:paraId="19DE1B4B" w14:textId="77777777" w:rsidR="00F7619F" w:rsidRDefault="00F7619F" w:rsidP="00F7619F">
      <w:pPr>
        <w:pStyle w:val="figuratitulo"/>
        <w:spacing w:after="240" w:line="260" w:lineRule="exact"/>
        <w:jc w:val="both"/>
        <w:rPr>
          <w:color w:val="3B3838" w:themeColor="background2" w:themeShade="40"/>
          <w:spacing w:val="-6"/>
          <w:sz w:val="22"/>
        </w:rPr>
      </w:pPr>
      <w:r w:rsidRPr="006C7DA9">
        <w:rPr>
          <w:color w:val="3B3838" w:themeColor="background2" w:themeShade="40"/>
          <w:spacing w:val="-6"/>
          <w:sz w:val="22"/>
        </w:rPr>
        <w:t xml:space="preserve">La figura 3 presenta las metas de la Agenda 2030 que tienen correlato en el PDD; es decir, muestra a cuáles ODS y a cuáles metas aporta el programa de Gobierno definido para el cuatrienio 2024-2027. Los cuadros en color gris corresponden a las metas que </w:t>
      </w:r>
      <w:r w:rsidRPr="006C7DA9">
        <w:rPr>
          <w:color w:val="3B3838" w:themeColor="background2" w:themeShade="40"/>
          <w:spacing w:val="-6"/>
          <w:sz w:val="22"/>
        </w:rPr>
        <w:t>hasta el momento no se encuentran vinculadas en el PDD; los cuadros en color (del ODS correspondiente) referencian las metas que están incorporadas en el PDD.</w:t>
      </w:r>
    </w:p>
    <w:p w14:paraId="78C9CE54" w14:textId="77777777" w:rsidR="00F7619F" w:rsidRDefault="00F7619F" w:rsidP="00F7619F">
      <w:pPr>
        <w:pStyle w:val="figuratitulo"/>
        <w:rPr>
          <w:b/>
          <w:bCs/>
          <w:color w:val="3B3838" w:themeColor="background2" w:themeShade="40"/>
        </w:rPr>
        <w:sectPr w:rsidR="00F7619F" w:rsidSect="00F7078E">
          <w:type w:val="continuous"/>
          <w:pgSz w:w="12240" w:h="15840"/>
          <w:pgMar w:top="2262" w:right="1440" w:bottom="1440" w:left="1440" w:header="708" w:footer="708" w:gutter="0"/>
          <w:cols w:num="2" w:space="567"/>
        </w:sectPr>
      </w:pPr>
    </w:p>
    <w:p w14:paraId="4C0B1A2D" w14:textId="77777777" w:rsidR="00F7619F" w:rsidRDefault="00F7619F" w:rsidP="00F7619F">
      <w:pPr>
        <w:pStyle w:val="figuratitulo"/>
        <w:rPr>
          <w:b/>
          <w:bCs/>
          <w:color w:val="3B3838" w:themeColor="background2" w:themeShade="40"/>
        </w:rPr>
      </w:pPr>
    </w:p>
    <w:p w14:paraId="467152E2" w14:textId="27793CC6" w:rsidR="00F7619F" w:rsidRPr="0061728F" w:rsidRDefault="00F7619F" w:rsidP="0061728F">
      <w:pPr>
        <w:pStyle w:val="Descripcin"/>
        <w:jc w:val="center"/>
        <w:rPr>
          <w:b w:val="0"/>
          <w:bCs/>
          <w:sz w:val="18"/>
          <w:szCs w:val="14"/>
        </w:rPr>
      </w:pPr>
      <w:bookmarkStart w:id="149" w:name="_Toc165169978"/>
      <w:r w:rsidRPr="0061728F">
        <w:rPr>
          <w:noProof/>
          <w:color w:val="C00000"/>
          <w:sz w:val="18"/>
          <w:szCs w:val="14"/>
        </w:rPr>
        <w:drawing>
          <wp:anchor distT="0" distB="0" distL="114300" distR="114300" simplePos="0" relativeHeight="251704320" behindDoc="0" locked="0" layoutInCell="1" allowOverlap="1" wp14:anchorId="795E98C4" wp14:editId="21C50C87">
            <wp:simplePos x="0" y="0"/>
            <wp:positionH relativeFrom="margin">
              <wp:posOffset>-144145</wp:posOffset>
            </wp:positionH>
            <wp:positionV relativeFrom="paragraph">
              <wp:posOffset>196736</wp:posOffset>
            </wp:positionV>
            <wp:extent cx="5900420" cy="2040890"/>
            <wp:effectExtent l="0" t="0" r="5080" b="3810"/>
            <wp:wrapSquare wrapText="bothSides"/>
            <wp:docPr id="34860544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1478" t="4699" r="1182" b="6036"/>
                    <a:stretch/>
                  </pic:blipFill>
                  <pic:spPr bwMode="auto">
                    <a:xfrm>
                      <a:off x="0" y="0"/>
                      <a:ext cx="5900420" cy="2040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28F" w:rsidRPr="0061728F">
        <w:rPr>
          <w:color w:val="C00000"/>
          <w:sz w:val="18"/>
          <w:szCs w:val="14"/>
        </w:rPr>
        <w:t xml:space="preserve">Figura </w:t>
      </w:r>
      <w:r w:rsidR="0061728F" w:rsidRPr="0061728F">
        <w:rPr>
          <w:color w:val="C00000"/>
          <w:sz w:val="18"/>
          <w:szCs w:val="14"/>
        </w:rPr>
        <w:fldChar w:fldCharType="begin"/>
      </w:r>
      <w:r w:rsidR="0061728F" w:rsidRPr="0061728F">
        <w:rPr>
          <w:color w:val="C00000"/>
          <w:sz w:val="18"/>
          <w:szCs w:val="14"/>
        </w:rPr>
        <w:instrText xml:space="preserve"> SEQ Figura \* ARABIC </w:instrText>
      </w:r>
      <w:r w:rsidR="0061728F" w:rsidRPr="0061728F">
        <w:rPr>
          <w:color w:val="C00000"/>
          <w:sz w:val="18"/>
          <w:szCs w:val="14"/>
        </w:rPr>
        <w:fldChar w:fldCharType="separate"/>
      </w:r>
      <w:r w:rsidR="00D01651">
        <w:rPr>
          <w:noProof/>
          <w:color w:val="C00000"/>
          <w:sz w:val="18"/>
          <w:szCs w:val="14"/>
        </w:rPr>
        <w:t>2</w:t>
      </w:r>
      <w:r w:rsidR="0061728F" w:rsidRPr="0061728F">
        <w:rPr>
          <w:color w:val="C00000"/>
          <w:sz w:val="18"/>
          <w:szCs w:val="14"/>
        </w:rPr>
        <w:fldChar w:fldCharType="end"/>
      </w:r>
      <w:r w:rsidR="0061728F" w:rsidRPr="0061728F">
        <w:rPr>
          <w:color w:val="C00000"/>
          <w:sz w:val="18"/>
          <w:szCs w:val="14"/>
        </w:rPr>
        <w:t xml:space="preserve">. </w:t>
      </w:r>
      <w:r w:rsidRPr="0061728F">
        <w:rPr>
          <w:sz w:val="18"/>
          <w:szCs w:val="14"/>
        </w:rPr>
        <w:t>Vinculación de ODS y metas en la estructura del PDD</w:t>
      </w:r>
      <w:bookmarkEnd w:id="149"/>
    </w:p>
    <w:p w14:paraId="048579B4" w14:textId="77777777" w:rsidR="00F7619F" w:rsidRPr="00B4119A" w:rsidRDefault="00F7619F" w:rsidP="00F7619F">
      <w:pPr>
        <w:pStyle w:val="figuratitulo"/>
        <w:rPr>
          <w:color w:val="3B3838" w:themeColor="background2" w:themeShade="40"/>
          <w:spacing w:val="-6"/>
        </w:rPr>
      </w:pPr>
      <w:r w:rsidRPr="00B4119A">
        <w:rPr>
          <w:b/>
          <w:bCs/>
          <w:color w:val="3B3838" w:themeColor="background2" w:themeShade="40"/>
          <w:spacing w:val="-6"/>
        </w:rPr>
        <w:t>Fuente:</w:t>
      </w:r>
      <w:r w:rsidRPr="00B4119A">
        <w:rPr>
          <w:color w:val="3B3838" w:themeColor="background2" w:themeShade="40"/>
          <w:spacing w:val="-6"/>
        </w:rPr>
        <w:t xml:space="preserve"> elaboración propia.</w:t>
      </w:r>
    </w:p>
    <w:p w14:paraId="0F9A9A74" w14:textId="77777777" w:rsidR="00F7619F" w:rsidRPr="00B4119A" w:rsidRDefault="00F7619F" w:rsidP="00F7619F">
      <w:pPr>
        <w:pStyle w:val="figuratitulo"/>
        <w:rPr>
          <w:color w:val="3B3838" w:themeColor="background2" w:themeShade="40"/>
          <w:spacing w:val="-6"/>
        </w:rPr>
      </w:pPr>
      <w:r w:rsidRPr="00B4119A">
        <w:rPr>
          <w:b/>
          <w:bCs/>
          <w:color w:val="3B3838" w:themeColor="background2" w:themeShade="40"/>
          <w:spacing w:val="-6"/>
        </w:rPr>
        <w:t>Nota:</w:t>
      </w:r>
      <w:r w:rsidRPr="00B4119A">
        <w:rPr>
          <w:color w:val="3B3838" w:themeColor="background2" w:themeShade="40"/>
          <w:spacing w:val="-6"/>
        </w:rPr>
        <w:t xml:space="preserve"> no se encuentran metas asociadas al ODS 7 (Energía asequible y no contaminante) ni al ODS 14 (Vida submarina).</w:t>
      </w:r>
    </w:p>
    <w:p w14:paraId="35259701" w14:textId="77777777" w:rsidR="00F7619F" w:rsidRPr="006C7DA9" w:rsidRDefault="00F7619F" w:rsidP="00F7619F">
      <w:pPr>
        <w:pStyle w:val="figuratitulo"/>
        <w:spacing w:after="240" w:line="260" w:lineRule="exact"/>
        <w:jc w:val="both"/>
        <w:rPr>
          <w:color w:val="3B3838" w:themeColor="background2" w:themeShade="40"/>
          <w:spacing w:val="-6"/>
          <w:sz w:val="22"/>
        </w:rPr>
        <w:sectPr w:rsidR="00F7619F" w:rsidRPr="006C7DA9" w:rsidSect="00F7078E">
          <w:type w:val="continuous"/>
          <w:pgSz w:w="12240" w:h="15840"/>
          <w:pgMar w:top="2262" w:right="1440" w:bottom="1440" w:left="1440" w:header="708" w:footer="708" w:gutter="0"/>
          <w:cols w:space="720"/>
        </w:sectPr>
      </w:pPr>
    </w:p>
    <w:p w14:paraId="7E1ED0DC" w14:textId="77777777" w:rsidR="00F7619F" w:rsidRDefault="00F7619F" w:rsidP="00F7619F">
      <w:pPr>
        <w:rPr>
          <w:spacing w:val="-8"/>
          <w:w w:val="98"/>
        </w:rPr>
        <w:sectPr w:rsidR="00F7619F" w:rsidSect="00F7078E">
          <w:type w:val="continuous"/>
          <w:pgSz w:w="12240" w:h="15840"/>
          <w:pgMar w:top="2262" w:right="1440" w:bottom="1440" w:left="1440" w:header="708" w:footer="708" w:gutter="0"/>
          <w:cols w:num="2" w:space="567"/>
          <w:docGrid w:linePitch="299"/>
        </w:sectPr>
      </w:pPr>
    </w:p>
    <w:p w14:paraId="10022BED" w14:textId="77777777" w:rsidR="005B2DEB" w:rsidRDefault="005B2DEB">
      <w:pPr>
        <w:spacing w:line="240" w:lineRule="auto"/>
        <w:jc w:val="left"/>
        <w:rPr>
          <w:rFonts w:eastAsia="Arial Narrow" w:cstheme="majorBidi"/>
          <w:b/>
          <w:color w:val="C00000"/>
          <w:sz w:val="40"/>
          <w:szCs w:val="32"/>
          <w:highlight w:val="white"/>
          <w:lang w:eastAsia="en-US"/>
        </w:rPr>
      </w:pPr>
      <w:r>
        <w:rPr>
          <w:rFonts w:eastAsia="Arial Narrow"/>
          <w:highlight w:val="white"/>
        </w:rPr>
        <w:br w:type="page"/>
      </w:r>
    </w:p>
    <w:p w14:paraId="7F3F7D68" w14:textId="134A0A61" w:rsidR="00F7619F" w:rsidRPr="000B71FD" w:rsidRDefault="00F7619F" w:rsidP="005B7AF9">
      <w:pPr>
        <w:pStyle w:val="Ttulo3"/>
        <w:rPr>
          <w:rFonts w:eastAsia="Arial Narrow"/>
          <w:highlight w:val="white"/>
        </w:rPr>
      </w:pPr>
      <w:bookmarkStart w:id="150" w:name="_Toc165169752"/>
      <w:r w:rsidRPr="000B71FD">
        <w:rPr>
          <w:rFonts w:eastAsia="Arial Narrow"/>
          <w:highlight w:val="white"/>
        </w:rPr>
        <w:lastRenderedPageBreak/>
        <w:t xml:space="preserve">Pasos </w:t>
      </w:r>
      <w:r w:rsidR="005B7AF9">
        <w:rPr>
          <w:rFonts w:eastAsia="Arial Narrow"/>
          <w:highlight w:val="white"/>
        </w:rPr>
        <w:t>a</w:t>
      </w:r>
      <w:r w:rsidRPr="000B71FD">
        <w:rPr>
          <w:rFonts w:eastAsia="Arial Narrow"/>
          <w:highlight w:val="white"/>
        </w:rPr>
        <w:t xml:space="preserve"> seguir</w:t>
      </w:r>
      <w:bookmarkEnd w:id="150"/>
    </w:p>
    <w:p w14:paraId="41BAF7CA" w14:textId="77777777" w:rsidR="00F7619F" w:rsidRDefault="00F7619F" w:rsidP="00F7619F">
      <w:pPr>
        <w:rPr>
          <w:rFonts w:eastAsia="Arial Narrow"/>
          <w:spacing w:val="-6"/>
        </w:rPr>
        <w:sectPr w:rsidR="00F7619F" w:rsidSect="00F7078E">
          <w:type w:val="continuous"/>
          <w:pgSz w:w="12240" w:h="15840"/>
          <w:pgMar w:top="2262" w:right="1440" w:bottom="1440" w:left="1440" w:header="708" w:footer="680" w:gutter="0"/>
          <w:cols w:space="720"/>
          <w:docGrid w:linePitch="299"/>
        </w:sectPr>
      </w:pPr>
    </w:p>
    <w:p w14:paraId="3CC0E7B6" w14:textId="77777777" w:rsidR="00F7619F" w:rsidRDefault="00F7619F" w:rsidP="00F7619F">
      <w:pPr>
        <w:rPr>
          <w:rFonts w:eastAsia="Arial Narrow"/>
          <w:spacing w:val="-6"/>
        </w:rPr>
      </w:pPr>
      <w:r w:rsidRPr="0064239A">
        <w:rPr>
          <w:rFonts w:eastAsia="Arial Narrow"/>
          <w:spacing w:val="-6"/>
        </w:rPr>
        <w:t>Para que se surta su efecto todo el proceso de articulación del Plan de Gobierno del cuatrienio 2024-2027 con los ODS, aún se deben adelantar los siguientes pasos:</w:t>
      </w:r>
    </w:p>
    <w:p w14:paraId="4F85F719" w14:textId="77777777" w:rsidR="00F7619F" w:rsidRPr="0064239A" w:rsidRDefault="00F7619F" w:rsidP="00F7619F">
      <w:pPr>
        <w:rPr>
          <w:rFonts w:eastAsia="Arial Narrow"/>
          <w:spacing w:val="-6"/>
          <w:sz w:val="24"/>
          <w:szCs w:val="28"/>
        </w:rPr>
      </w:pPr>
    </w:p>
    <w:p w14:paraId="61656CF2" w14:textId="4D3D11AB" w:rsidR="00F7619F" w:rsidRDefault="00F7619F" w:rsidP="00AD2047">
      <w:pPr>
        <w:pStyle w:val="Bullets"/>
      </w:pPr>
      <w:r w:rsidRPr="0064239A">
        <w:t>Identificación de eslabones y nodos críticos, a partir del listado armonizado de las metas establecidas entre la Agenda 2030 estableciendo prioridades que orienten la definición de los ODS dinamizadores.</w:t>
      </w:r>
    </w:p>
    <w:p w14:paraId="3ADB9FB1" w14:textId="77777777" w:rsidR="00AD2047" w:rsidRPr="0064239A" w:rsidRDefault="00AD2047" w:rsidP="00AD2047">
      <w:pPr>
        <w:pStyle w:val="Bullets"/>
        <w:numPr>
          <w:ilvl w:val="0"/>
          <w:numId w:val="0"/>
        </w:numPr>
        <w:ind w:left="714"/>
      </w:pPr>
    </w:p>
    <w:p w14:paraId="0B116B37" w14:textId="2BC6D4F9" w:rsidR="00F7619F" w:rsidRDefault="00F7619F" w:rsidP="00AD2047">
      <w:pPr>
        <w:pStyle w:val="Bullets"/>
      </w:pPr>
      <w:r w:rsidRPr="0064239A">
        <w:t>El resultado de la realización de las actividades previas permite establecer la relación entre las metas e identificar una justificación para dicha vinculación, con lo cual se sientan las bases para realizar los análisis de cadena de valor público y, finalmente, tener el PDD alineado con los ODS priorizando las necesidades locales.</w:t>
      </w:r>
    </w:p>
    <w:p w14:paraId="05E5271B" w14:textId="77777777" w:rsidR="00AD2047" w:rsidRPr="0064239A" w:rsidRDefault="00AD2047" w:rsidP="00AD2047">
      <w:pPr>
        <w:pStyle w:val="Bullets"/>
        <w:numPr>
          <w:ilvl w:val="0"/>
          <w:numId w:val="0"/>
        </w:numPr>
      </w:pPr>
    </w:p>
    <w:p w14:paraId="364AD4A7" w14:textId="08D771F2" w:rsidR="00F7619F" w:rsidRDefault="00F7619F" w:rsidP="00AD2047">
      <w:pPr>
        <w:pStyle w:val="Bullets"/>
      </w:pPr>
      <w:r w:rsidRPr="0064239A">
        <w:t xml:space="preserve">Una vez surtidos los pasos anteriores, se construye la hoja de ruta, a partir de la identificación del impacto y factibilidad de las intervenciones propuestas, así </w:t>
      </w:r>
      <w:r w:rsidRPr="0064239A">
        <w:t>como estableciendo cuáles de estas intervenciones son aceleradoras, cuáles son los cuellos de botella y soluciones, y cuáles son los medios de implementación.</w:t>
      </w:r>
    </w:p>
    <w:p w14:paraId="4C3AFC86" w14:textId="77777777" w:rsidR="00224833" w:rsidRPr="0064239A" w:rsidRDefault="00224833" w:rsidP="00224833">
      <w:pPr>
        <w:pStyle w:val="Bullets"/>
        <w:numPr>
          <w:ilvl w:val="0"/>
          <w:numId w:val="0"/>
        </w:numPr>
      </w:pPr>
    </w:p>
    <w:p w14:paraId="6FCCE2EE" w14:textId="05B59222" w:rsidR="00F7619F" w:rsidRDefault="00F7619F" w:rsidP="00AD2047">
      <w:pPr>
        <w:pStyle w:val="Bullets"/>
      </w:pPr>
      <w:r w:rsidRPr="0064239A">
        <w:t xml:space="preserve">Es importante definir el esquema de seguimiento y evaluación, para lo que es fundamental establecer un sistema de indicadores que permita dar cuenta de los avances en la implementación de los ODS incorporando las capacidades del territorio. Tomando en cuenta el marco de indicadores mundiales, el marco de indicadores regionales y el marco de indicadores nacionales, estos constituyen el punto de partida para la elaboración de la batería de indicadores distrital y de las líneas base. </w:t>
      </w:r>
    </w:p>
    <w:p w14:paraId="21B3C69E" w14:textId="77777777" w:rsidR="00224833" w:rsidRPr="0064239A" w:rsidRDefault="00224833" w:rsidP="00224833">
      <w:pPr>
        <w:pStyle w:val="Bullets"/>
        <w:numPr>
          <w:ilvl w:val="0"/>
          <w:numId w:val="0"/>
        </w:numPr>
        <w:ind w:left="714"/>
      </w:pPr>
    </w:p>
    <w:p w14:paraId="222AC39E" w14:textId="77777777" w:rsidR="00F7619F" w:rsidRPr="0064239A" w:rsidRDefault="00F7619F" w:rsidP="00AD2047">
      <w:pPr>
        <w:pStyle w:val="Bullets"/>
      </w:pPr>
      <w:r w:rsidRPr="0064239A">
        <w:t>La inversión programada debe ser revisada conjuntamente con la Dirección de Planeación de la Inversión, en busca de asegurar el relacionamiento y entrega de información adecuada.</w:t>
      </w:r>
    </w:p>
    <w:p w14:paraId="5D9F4150" w14:textId="77777777" w:rsidR="00EC5FA7" w:rsidRPr="00EC5FA7" w:rsidRDefault="00EC5FA7" w:rsidP="00EC5FA7">
      <w:pPr>
        <w:rPr>
          <w:lang w:eastAsia="en-US"/>
        </w:rPr>
        <w:sectPr w:rsidR="00EC5FA7" w:rsidRPr="00EC5FA7" w:rsidSect="00F7078E">
          <w:type w:val="continuous"/>
          <w:pgSz w:w="12240" w:h="15840"/>
          <w:pgMar w:top="2262" w:right="1440" w:bottom="1440" w:left="1440" w:header="708" w:footer="680" w:gutter="0"/>
          <w:cols w:num="2" w:space="567"/>
          <w:docGrid w:linePitch="299"/>
        </w:sectPr>
      </w:pPr>
    </w:p>
    <w:p w14:paraId="3B426DCD" w14:textId="77777777" w:rsidR="005F670F" w:rsidRDefault="005F670F" w:rsidP="00CC2A62"/>
    <w:p w14:paraId="2329A6CA" w14:textId="77777777" w:rsidR="00EC5FA7" w:rsidRPr="00EC5FA7" w:rsidRDefault="00EC5FA7" w:rsidP="00EC5FA7"/>
    <w:p w14:paraId="153939C7" w14:textId="77777777" w:rsidR="00EC5FA7" w:rsidRPr="00EC5FA7" w:rsidRDefault="00EC5FA7" w:rsidP="00EC5FA7"/>
    <w:p w14:paraId="3D0C3ED2" w14:textId="77777777" w:rsidR="00EC5FA7" w:rsidRDefault="00EC5FA7" w:rsidP="00EC5FA7"/>
    <w:p w14:paraId="47500BF4" w14:textId="64E77D8F" w:rsidR="00EC5FA7" w:rsidRDefault="00EC5FA7" w:rsidP="00EC5FA7">
      <w:pPr>
        <w:tabs>
          <w:tab w:val="left" w:pos="2484"/>
        </w:tabs>
      </w:pPr>
      <w:r>
        <w:tab/>
      </w:r>
    </w:p>
    <w:p w14:paraId="73E20825" w14:textId="77777777" w:rsidR="00EC5FA7" w:rsidRDefault="00EC5FA7" w:rsidP="00EC5FA7">
      <w:pPr>
        <w:tabs>
          <w:tab w:val="left" w:pos="2484"/>
        </w:tabs>
      </w:pPr>
    </w:p>
    <w:p w14:paraId="01F36003" w14:textId="77777777" w:rsidR="00EC5FA7" w:rsidRDefault="00EC5FA7" w:rsidP="00EC5FA7">
      <w:pPr>
        <w:tabs>
          <w:tab w:val="left" w:pos="2484"/>
        </w:tabs>
      </w:pPr>
    </w:p>
    <w:p w14:paraId="36C06EA8" w14:textId="77777777" w:rsidR="00EC5FA7" w:rsidRDefault="00EC5FA7" w:rsidP="00EC5FA7">
      <w:pPr>
        <w:tabs>
          <w:tab w:val="left" w:pos="2484"/>
        </w:tabs>
      </w:pPr>
    </w:p>
    <w:p w14:paraId="3A09ECE5" w14:textId="77777777" w:rsidR="00EC5FA7" w:rsidRDefault="00EC5FA7" w:rsidP="00EC5FA7">
      <w:pPr>
        <w:tabs>
          <w:tab w:val="left" w:pos="2484"/>
        </w:tabs>
      </w:pPr>
    </w:p>
    <w:p w14:paraId="74FAAB2E" w14:textId="77777777" w:rsidR="00EC5FA7" w:rsidRDefault="00EC5FA7" w:rsidP="00EC5FA7">
      <w:pPr>
        <w:tabs>
          <w:tab w:val="left" w:pos="2484"/>
        </w:tabs>
      </w:pPr>
    </w:p>
    <w:p w14:paraId="5F7FA5B9" w14:textId="77777777" w:rsidR="00EC5FA7" w:rsidRDefault="00EC5FA7" w:rsidP="00EC5FA7">
      <w:pPr>
        <w:tabs>
          <w:tab w:val="left" w:pos="2484"/>
        </w:tabs>
      </w:pPr>
    </w:p>
    <w:p w14:paraId="55A4041F" w14:textId="77777777" w:rsidR="00EC5FA7" w:rsidRDefault="00EC5FA7" w:rsidP="00EC5FA7">
      <w:pPr>
        <w:tabs>
          <w:tab w:val="left" w:pos="2484"/>
        </w:tabs>
      </w:pPr>
    </w:p>
    <w:p w14:paraId="592967D1" w14:textId="77777777" w:rsidR="00EC5FA7" w:rsidRDefault="00EC5FA7" w:rsidP="00EC5FA7">
      <w:pPr>
        <w:tabs>
          <w:tab w:val="left" w:pos="2484"/>
        </w:tabs>
      </w:pPr>
    </w:p>
    <w:p w14:paraId="7466CBE6" w14:textId="77777777" w:rsidR="00EC5FA7" w:rsidRDefault="00EC5FA7" w:rsidP="00EC5FA7">
      <w:pPr>
        <w:tabs>
          <w:tab w:val="left" w:pos="2484"/>
        </w:tabs>
      </w:pPr>
    </w:p>
    <w:p w14:paraId="41E08218" w14:textId="77777777" w:rsidR="00EC5FA7" w:rsidRDefault="00EC5FA7" w:rsidP="00EC5FA7">
      <w:pPr>
        <w:tabs>
          <w:tab w:val="left" w:pos="2484"/>
        </w:tabs>
      </w:pPr>
    </w:p>
    <w:p w14:paraId="55877B4E" w14:textId="77777777" w:rsidR="00EC5FA7" w:rsidRDefault="00EC5FA7" w:rsidP="00EC5FA7">
      <w:pPr>
        <w:tabs>
          <w:tab w:val="left" w:pos="2484"/>
        </w:tabs>
      </w:pPr>
    </w:p>
    <w:p w14:paraId="0B6B90B8" w14:textId="77777777" w:rsidR="00EC5FA7" w:rsidRDefault="00EC5FA7" w:rsidP="00EC5FA7">
      <w:pPr>
        <w:tabs>
          <w:tab w:val="left" w:pos="2484"/>
        </w:tabs>
      </w:pPr>
    </w:p>
    <w:p w14:paraId="4497B150" w14:textId="77777777" w:rsidR="00EC5FA7" w:rsidRDefault="00EC5FA7" w:rsidP="00EC5FA7">
      <w:pPr>
        <w:tabs>
          <w:tab w:val="left" w:pos="2484"/>
        </w:tabs>
      </w:pPr>
    </w:p>
    <w:p w14:paraId="0C04F7FB" w14:textId="77777777" w:rsidR="00EC5FA7" w:rsidRDefault="00EC5FA7" w:rsidP="00EC5FA7">
      <w:pPr>
        <w:tabs>
          <w:tab w:val="left" w:pos="2484"/>
        </w:tabs>
      </w:pPr>
    </w:p>
    <w:p w14:paraId="0FC73488" w14:textId="4838744C" w:rsidR="00EC5FA7" w:rsidRDefault="00EC5FA7">
      <w:pPr>
        <w:jc w:val="left"/>
        <w:rPr>
          <w:rFonts w:ascii="Roboto" w:hAnsi="Roboto"/>
          <w:color w:val="1F1F1F"/>
          <w:sz w:val="18"/>
          <w:szCs w:val="18"/>
          <w:shd w:val="clear" w:color="auto" w:fill="FFFFFF"/>
        </w:rPr>
      </w:pPr>
    </w:p>
    <w:p w14:paraId="223B94A8" w14:textId="4337AC16" w:rsidR="00CE3AE7" w:rsidRDefault="00CE3AE7">
      <w:pPr>
        <w:jc w:val="left"/>
      </w:pPr>
      <w:r>
        <w:rPr>
          <w:noProof/>
        </w:rPr>
        <w:drawing>
          <wp:anchor distT="0" distB="0" distL="114300" distR="114300" simplePos="0" relativeHeight="251709440" behindDoc="1" locked="0" layoutInCell="1" allowOverlap="1" wp14:anchorId="5052F3C3" wp14:editId="1CCCFFAB">
            <wp:simplePos x="0" y="0"/>
            <wp:positionH relativeFrom="page">
              <wp:align>left</wp:align>
            </wp:positionH>
            <wp:positionV relativeFrom="paragraph">
              <wp:posOffset>-1620520</wp:posOffset>
            </wp:positionV>
            <wp:extent cx="7795260" cy="10087620"/>
            <wp:effectExtent l="0" t="0" r="0" b="8890"/>
            <wp:wrapNone/>
            <wp:docPr id="2028051679" name="Imagen 3"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51679" name="Imagen 3" descr="Imagen que contiene Mapa&#10;&#10;Descripción generada automáticament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795260" cy="10087620"/>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page"/>
      </w:r>
    </w:p>
    <w:p w14:paraId="4FD6D80C" w14:textId="77777777" w:rsidR="003F2AA2" w:rsidRDefault="003F2AA2" w:rsidP="00341FB2">
      <w:bookmarkStart w:id="151" w:name="_heading=h.30j0zll" w:colFirst="0" w:colLast="0"/>
      <w:bookmarkEnd w:id="151"/>
    </w:p>
    <w:p w14:paraId="13D8BDAE" w14:textId="77777777" w:rsidR="003F2AA2" w:rsidRDefault="003F2AA2" w:rsidP="00341FB2"/>
    <w:p w14:paraId="6BAB2F47" w14:textId="62FC35B6" w:rsidR="003F2AA2" w:rsidRDefault="003F2AA2" w:rsidP="00341FB2">
      <w:r>
        <w:rPr>
          <w:noProof/>
        </w:rPr>
        <w:drawing>
          <wp:anchor distT="0" distB="0" distL="0" distR="0" simplePos="0" relativeHeight="251739136" behindDoc="1" locked="0" layoutInCell="1" hidden="0" allowOverlap="1" wp14:anchorId="472CCACE" wp14:editId="7BD95E12">
            <wp:simplePos x="0" y="0"/>
            <wp:positionH relativeFrom="column">
              <wp:posOffset>4445</wp:posOffset>
            </wp:positionH>
            <wp:positionV relativeFrom="paragraph">
              <wp:posOffset>-2202180</wp:posOffset>
            </wp:positionV>
            <wp:extent cx="5932800" cy="2117725"/>
            <wp:effectExtent l="0" t="0" r="0" b="0"/>
            <wp:wrapNone/>
            <wp:docPr id="2133515990" name="image13.png"/>
            <wp:cNvGraphicFramePr/>
            <a:graphic xmlns:a="http://schemas.openxmlformats.org/drawingml/2006/main">
              <a:graphicData uri="http://schemas.openxmlformats.org/drawingml/2006/picture">
                <pic:pic xmlns:pic="http://schemas.openxmlformats.org/drawingml/2006/picture">
                  <pic:nvPicPr>
                    <pic:cNvPr id="2133515990" name="image13.png"/>
                    <pic:cNvPicPr preferRelativeResize="0"/>
                  </pic:nvPicPr>
                  <pic:blipFill>
                    <a:blip r:embed="rId90">
                      <a:extLst>
                        <a:ext uri="{28A0092B-C50C-407E-A947-70E740481C1C}">
                          <a14:useLocalDpi xmlns:a14="http://schemas.microsoft.com/office/drawing/2010/main" val="0"/>
                        </a:ext>
                      </a:extLst>
                    </a:blip>
                    <a:stretch>
                      <a:fillRect/>
                    </a:stretch>
                  </pic:blipFill>
                  <pic:spPr>
                    <a:xfrm>
                      <a:off x="0" y="0"/>
                      <a:ext cx="5932800" cy="2117725"/>
                    </a:xfrm>
                    <a:prstGeom prst="rect">
                      <a:avLst/>
                    </a:prstGeom>
                    <a:ln/>
                  </pic:spPr>
                </pic:pic>
              </a:graphicData>
            </a:graphic>
            <wp14:sizeRelH relativeFrom="margin">
              <wp14:pctWidth>0</wp14:pctWidth>
            </wp14:sizeRelH>
          </wp:anchor>
        </w:drawing>
      </w:r>
    </w:p>
    <w:p w14:paraId="11AD937F" w14:textId="77777777" w:rsidR="00EB5EA3" w:rsidRDefault="00EB5EA3" w:rsidP="003F2AA2">
      <w:pPr>
        <w:pBdr>
          <w:top w:val="nil"/>
          <w:left w:val="nil"/>
          <w:bottom w:val="nil"/>
          <w:right w:val="nil"/>
          <w:between w:val="nil"/>
        </w:pBdr>
        <w:spacing w:line="520" w:lineRule="auto"/>
        <w:jc w:val="left"/>
        <w:rPr>
          <w:b/>
          <w:color w:val="3B3838"/>
          <w:sz w:val="48"/>
          <w:szCs w:val="48"/>
        </w:rPr>
        <w:sectPr w:rsidR="00EB5EA3" w:rsidSect="00F7078E">
          <w:headerReference w:type="default" r:id="rId91"/>
          <w:footerReference w:type="even" r:id="rId92"/>
          <w:type w:val="continuous"/>
          <w:pgSz w:w="12240" w:h="15840"/>
          <w:pgMar w:top="2262" w:right="1440" w:bottom="1440" w:left="1440" w:header="709" w:footer="709" w:gutter="0"/>
          <w:cols w:space="720"/>
        </w:sectPr>
      </w:pPr>
    </w:p>
    <w:p w14:paraId="52BE3B78" w14:textId="4CBA9031" w:rsidR="00341FB2" w:rsidRDefault="00341FB2" w:rsidP="00341FB2">
      <w:pPr>
        <w:pStyle w:val="titulodocumento"/>
        <w:outlineLvl w:val="0"/>
        <w:rPr>
          <w:color w:val="C00000"/>
          <w:lang w:eastAsia="en-US"/>
        </w:rPr>
      </w:pPr>
      <w:bookmarkStart w:id="152" w:name="_Toc165169753"/>
      <w:r w:rsidRPr="009752E9">
        <w:rPr>
          <w:lang w:eastAsia="en-US"/>
        </w:rPr>
        <w:t>II</w:t>
      </w:r>
      <w:r>
        <w:rPr>
          <w:lang w:eastAsia="en-US"/>
        </w:rPr>
        <w:t>I</w:t>
      </w:r>
      <w:r w:rsidRPr="009752E9">
        <w:rPr>
          <w:lang w:eastAsia="en-US"/>
        </w:rPr>
        <w:t xml:space="preserve">. </w:t>
      </w:r>
      <w:r w:rsidRPr="00341FB2">
        <w:rPr>
          <w:lang w:eastAsia="en-US"/>
        </w:rPr>
        <w:t xml:space="preserve">Parte general: </w:t>
      </w:r>
      <w:r>
        <w:rPr>
          <w:lang w:eastAsia="en-US"/>
        </w:rPr>
        <w:br/>
      </w:r>
      <w:r>
        <w:rPr>
          <w:color w:val="C00000"/>
          <w:lang w:eastAsia="en-US"/>
        </w:rPr>
        <w:t>Objetivos, Estrategias y Programas</w:t>
      </w:r>
      <w:bookmarkEnd w:id="152"/>
    </w:p>
    <w:p w14:paraId="1EB5BEA2" w14:textId="77777777" w:rsidR="00341FB2" w:rsidRDefault="00341FB2" w:rsidP="00EB5EA3">
      <w:pPr>
        <w:pBdr>
          <w:top w:val="nil"/>
          <w:left w:val="nil"/>
          <w:bottom w:val="nil"/>
          <w:right w:val="nil"/>
          <w:between w:val="nil"/>
        </w:pBdr>
        <w:spacing w:line="480" w:lineRule="exact"/>
        <w:jc w:val="left"/>
        <w:rPr>
          <w:b/>
          <w:color w:val="3B3838"/>
          <w:sz w:val="48"/>
          <w:szCs w:val="48"/>
        </w:rPr>
      </w:pPr>
    </w:p>
    <w:p w14:paraId="6211121D" w14:textId="5CFADB23" w:rsidR="00EB5EA3" w:rsidRPr="00EB5EA3" w:rsidRDefault="003F2AA2" w:rsidP="008C5C40">
      <w:pPr>
        <w:pStyle w:val="NIVEL2PDD"/>
        <w:rPr>
          <w:color w:val="3B3838"/>
        </w:rPr>
        <w:sectPr w:rsidR="00EB5EA3" w:rsidRPr="00EB5EA3" w:rsidSect="00F7078E">
          <w:type w:val="continuous"/>
          <w:pgSz w:w="12240" w:h="15840"/>
          <w:pgMar w:top="2262" w:right="1440" w:bottom="1440" w:left="1440" w:header="709" w:footer="709" w:gutter="0"/>
          <w:pgNumType w:start="1"/>
          <w:cols w:space="720"/>
        </w:sectPr>
      </w:pPr>
      <w:bookmarkStart w:id="153" w:name="_Toc165169754"/>
      <w:r>
        <w:rPr>
          <w:color w:val="3B3838"/>
        </w:rPr>
        <w:t xml:space="preserve">Objetivo 1. </w:t>
      </w:r>
      <w:r>
        <w:t>Bogotá avanza en seguridad</w:t>
      </w:r>
      <w:bookmarkEnd w:id="153"/>
    </w:p>
    <w:p w14:paraId="6DBD8CEC" w14:textId="4B00357E" w:rsidR="003F2AA2" w:rsidRDefault="003F2AA2" w:rsidP="00EB5EA3">
      <w:pPr>
        <w:spacing w:line="480" w:lineRule="exact"/>
      </w:pPr>
    </w:p>
    <w:p w14:paraId="1BD41A8B" w14:textId="00082C2D" w:rsidR="003F2AA2" w:rsidRDefault="003F2AA2" w:rsidP="00EB5EA3">
      <w:pPr>
        <w:spacing w:line="480" w:lineRule="exact"/>
        <w:sectPr w:rsidR="003F2AA2" w:rsidSect="00F7078E">
          <w:type w:val="continuous"/>
          <w:pgSz w:w="12240" w:h="15840"/>
          <w:pgMar w:top="2262" w:right="1440" w:bottom="1440" w:left="1440" w:header="709" w:footer="709" w:gutter="0"/>
          <w:pgNumType w:start="1"/>
          <w:cols w:space="720"/>
        </w:sectPr>
      </w:pPr>
    </w:p>
    <w:p w14:paraId="330B140C" w14:textId="77777777" w:rsidR="003F2AA2" w:rsidRPr="00171CE8" w:rsidRDefault="003F2AA2" w:rsidP="003F2AA2">
      <w:bookmarkStart w:id="154" w:name="_heading=h.1fob9te" w:colFirst="0" w:colLast="0"/>
      <w:bookmarkEnd w:id="154"/>
      <w:r w:rsidRPr="00171CE8">
        <w:t>Bogotá debe ser una ciudad en la que todos sus habitantes se puedan desplazar tranquilamente en los ámbitos urbano, rural y regional, disfrutar del espacio público, y vivir, trabajar y soñar sin restricciones, donde especialmente las mujeres puedan caminar sin sentir miedo y no haya espacio para el accionar delincuencial y violento. Para ello, se debe construir una ciudad en la que se respete la vida, la diferencia, la propiedad y donde se construyan y fortalezcan lazos de confianza entre las personas y entre la ciudadanía y sus instituciones. De esta manera se garantiza el bienestar de las personas y el desarrollo del potencial de la ciudad.</w:t>
      </w:r>
    </w:p>
    <w:p w14:paraId="4B0CEA20" w14:textId="77777777" w:rsidR="003F2AA2" w:rsidRPr="00171CE8" w:rsidRDefault="003F2AA2" w:rsidP="003F2AA2"/>
    <w:p w14:paraId="497E9854" w14:textId="77777777" w:rsidR="003F2AA2" w:rsidRPr="00171CE8" w:rsidRDefault="003F2AA2" w:rsidP="003F2AA2">
      <w:r w:rsidRPr="00171CE8">
        <w:t>Para lograrlo, se deben construir entornos seguros que permitan la interacción de la ciudadanía sin temor a ser víctima de delitos contra la vida y el patrimonio, garantizando los derechos fundamentales y la respuesta por parte  de los organismos de seguridad y justicia ante cualquier amenaza; así mismo, se deben promover la convivencia pacífica, la cultura ciudadana, el derecho a una vida libre de violencias y el espacio público como un lugar de encuentro seguro, limpio y accesible para la ciudadanía, para lo cual se implementarán los planes de intervención de mejoramiento integral del hábitat, desde los enfoques de integración regional, mujer y género, derechos humanos de las mujeres, diferencial-poblacional e interseccional.</w:t>
      </w:r>
    </w:p>
    <w:p w14:paraId="18A6AC07" w14:textId="77777777" w:rsidR="003F2AA2" w:rsidRPr="00171CE8" w:rsidRDefault="003F2AA2" w:rsidP="003F2AA2">
      <w:r w:rsidRPr="00171CE8">
        <w:t xml:space="preserve">Para ello, la Administración distrital desarrollará sus acciones en el marco de un modelo de </w:t>
      </w:r>
      <w:r w:rsidRPr="00171CE8">
        <w:t>seguridad fundamentado en la acción conjunta, coordinada e interagencial de sus entidades, los organismos de seguridad y justicia que operan en el ámbito distrital, en coordinación con el Gobierno Nacional, la región, el sector privado y la ciudadanía, sobre la base de la recuperación de la funcionalidad y el orden urbano, la reconstrucción del tejido social y la confianza ciudadana.</w:t>
      </w:r>
    </w:p>
    <w:p w14:paraId="4D225665" w14:textId="77777777" w:rsidR="003F2AA2" w:rsidRPr="00171CE8" w:rsidRDefault="003F2AA2" w:rsidP="003F2AA2"/>
    <w:p w14:paraId="39592FF7" w14:textId="77777777" w:rsidR="003F2AA2" w:rsidRPr="00171CE8" w:rsidRDefault="003F2AA2" w:rsidP="003F2AA2">
      <w:r w:rsidRPr="00171CE8">
        <w:t>Este modelo se orienta, además, por un concepto de seguridad integral, en el que se requiere una comprensión multidimensional de las dinámicas de la ciudad y los servicios que en ella se prestan para, así mismo, establecer las acciones coordinadas en procura de un entorno más seguro.</w:t>
      </w:r>
    </w:p>
    <w:p w14:paraId="2D91F751" w14:textId="77777777" w:rsidR="003F2AA2" w:rsidRPr="00171CE8" w:rsidRDefault="003F2AA2" w:rsidP="003F2AA2"/>
    <w:p w14:paraId="53C99712" w14:textId="77777777" w:rsidR="003F2AA2" w:rsidRPr="00171CE8" w:rsidRDefault="003F2AA2" w:rsidP="003F2AA2">
      <w:r w:rsidRPr="00171CE8">
        <w:t>El nuevo modelo de seguridad en Bogotá demanda el sostenimiento de operaciones permanentes enfocadas en el control del territorio, la protección de los espacios y las personas, así como la prevención y anticipación frente a dinámicas y fenómenos que ponen en riesgo la vida, la convivencia, los derechos y los proyectos de vida de quienes habitan Bogotá. En tal sentido, el fortalecimiento de las capacidades operativas es una acción fundamental para garantizar la operatividad de las unidades policiales y militares que contribuyen a estos objetivos, así como a un esfuerzo fundamental para alcanzar la meta de una tasa de homicidios de un dígito.</w:t>
      </w:r>
    </w:p>
    <w:p w14:paraId="77B573AA" w14:textId="77777777" w:rsidR="003F2AA2" w:rsidRPr="00171CE8" w:rsidRDefault="003F2AA2" w:rsidP="003F2AA2"/>
    <w:p w14:paraId="072330B4" w14:textId="77777777" w:rsidR="003F2AA2" w:rsidRPr="00171CE8" w:rsidRDefault="003F2AA2" w:rsidP="003F2AA2">
      <w:r w:rsidRPr="00171CE8">
        <w:lastRenderedPageBreak/>
        <w:t>Para que el ciudadano se pueda desplazar tranquilamente en la ciudad se deben poner en marcha tres estrategias: 1) mejorar la convivencia a través de la confianza ciudadanía-instituciones, cultura ciudadana y prevención de violencias; 2) fortalecer la seguridad y justicia con tecnología, recursos humanos y articulación interinstitucional, y 3) garantizar espacios públicos seguros y en mejores condiciones.</w:t>
      </w:r>
    </w:p>
    <w:p w14:paraId="6C102B40" w14:textId="77777777" w:rsidR="003F2AA2" w:rsidRPr="00171CE8" w:rsidRDefault="003F2AA2" w:rsidP="003F2AA2"/>
    <w:p w14:paraId="4358297D" w14:textId="77777777" w:rsidR="003F2AA2" w:rsidRPr="00171CE8" w:rsidRDefault="003F2AA2" w:rsidP="003F2AA2">
      <w:r w:rsidRPr="00171CE8">
        <w:t>Estas estrategias se desarrollarán mediante la ejecución de seis (6) programas que buscan fortalecer las capacidades en seguridad y la lucha contra la criminalidad, así como la promoción de la convivencia ciudadana, el acceso a la justicia, la revitalización y mejoramiento del espacio público, la garantía del derecho a una vida libre de violencias y la movilidad segura.</w:t>
      </w:r>
    </w:p>
    <w:p w14:paraId="283C8856" w14:textId="77777777" w:rsidR="003F2AA2" w:rsidRPr="00171CE8" w:rsidRDefault="003F2AA2" w:rsidP="003F2AA2">
      <w:r w:rsidRPr="00171CE8">
        <w:t>Esta visión contribuye al cumplimiento de los Objetivos de Desarrollo Sostenibles, así: apoya al ODS 5 Igualdad de Género, buscando la construcción de una Bogotá que reconoce la necesidad de generar acciones que contribuyan a disminuir la brecha en el acceso a derechos entre hombres y mujeres, y a la garantía plena de sus derechos, en especial los derechos establecidos en la política pública de mujeres y equidad de género de Bogotá. El ODS 11, que propone que las ciudades y los asentamientos humanos sean inclusivos, seguros, resilientes y sostenibles, y al  ODS 16 Paz, Justicia e Instituciones Sólidas, para promover sociedades con paz, justicia, seguridad y participación.</w:t>
      </w:r>
    </w:p>
    <w:p w14:paraId="3547229C" w14:textId="77777777" w:rsidR="003F2AA2" w:rsidRPr="00171CE8" w:rsidRDefault="003F2AA2" w:rsidP="003F2AA2"/>
    <w:p w14:paraId="05078C93" w14:textId="13D0709F" w:rsidR="003F2AA2" w:rsidRPr="00171CE8" w:rsidRDefault="003F2AA2" w:rsidP="003F2AA2">
      <w:pPr>
        <w:sectPr w:rsidR="003F2AA2" w:rsidRPr="00171CE8" w:rsidSect="00F7078E">
          <w:type w:val="continuous"/>
          <w:pgSz w:w="12240" w:h="15840"/>
          <w:pgMar w:top="2262" w:right="1440" w:bottom="1440" w:left="1440" w:header="709" w:footer="709" w:gutter="0"/>
          <w:pgNumType w:start="73"/>
          <w:cols w:num="2" w:space="720" w:equalWidth="0">
            <w:col w:w="4396" w:space="567"/>
            <w:col w:w="4396" w:space="0"/>
          </w:cols>
        </w:sectPr>
      </w:pPr>
      <w:r w:rsidRPr="00171CE8">
        <w:t xml:space="preserve">En la </w:t>
      </w:r>
      <w:r w:rsidR="0058410B" w:rsidRPr="00AB4FF0">
        <w:rPr>
          <w:szCs w:val="22"/>
        </w:rPr>
        <w:fldChar w:fldCharType="begin"/>
      </w:r>
      <w:r w:rsidR="0058410B" w:rsidRPr="00AB4FF0">
        <w:rPr>
          <w:szCs w:val="22"/>
        </w:rPr>
        <w:instrText xml:space="preserve"> REF _Ref165121275 \h </w:instrText>
      </w:r>
      <w:r w:rsidR="00AB4FF0">
        <w:rPr>
          <w:szCs w:val="22"/>
        </w:rPr>
        <w:instrText xml:space="preserve"> \* MERGEFORMAT </w:instrText>
      </w:r>
      <w:r w:rsidR="0058410B" w:rsidRPr="00AB4FF0">
        <w:rPr>
          <w:szCs w:val="22"/>
        </w:rPr>
      </w:r>
      <w:r w:rsidR="0058410B" w:rsidRPr="00AB4FF0">
        <w:rPr>
          <w:szCs w:val="22"/>
        </w:rPr>
        <w:fldChar w:fldCharType="separate"/>
      </w:r>
      <w:r w:rsidR="00D01651" w:rsidRPr="00D01651">
        <w:rPr>
          <w:szCs w:val="22"/>
        </w:rPr>
        <w:t xml:space="preserve">Figura </w:t>
      </w:r>
      <w:r w:rsidR="00D01651" w:rsidRPr="00D01651">
        <w:rPr>
          <w:noProof/>
          <w:szCs w:val="22"/>
        </w:rPr>
        <w:t>3</w:t>
      </w:r>
      <w:r w:rsidR="0058410B" w:rsidRPr="00AB4FF0">
        <w:rPr>
          <w:szCs w:val="22"/>
        </w:rPr>
        <w:fldChar w:fldCharType="end"/>
      </w:r>
      <w:r w:rsidR="0058410B">
        <w:t xml:space="preserve"> </w:t>
      </w:r>
      <w:r w:rsidRPr="00171CE8">
        <w:t>se representa la relación estrecha que existe entre las tres estrategias, que son complementarias entre sí y los seis programas.</w:t>
      </w:r>
    </w:p>
    <w:p w14:paraId="0DA884F9" w14:textId="77777777" w:rsidR="003F2AA2" w:rsidRDefault="003F2AA2" w:rsidP="003F2AA2">
      <w:pPr>
        <w:pBdr>
          <w:top w:val="nil"/>
          <w:left w:val="nil"/>
          <w:bottom w:val="nil"/>
          <w:right w:val="nil"/>
          <w:between w:val="nil"/>
        </w:pBdr>
        <w:spacing w:line="220" w:lineRule="auto"/>
        <w:jc w:val="center"/>
        <w:rPr>
          <w:b/>
          <w:color w:val="C00000"/>
          <w:sz w:val="18"/>
          <w:szCs w:val="18"/>
        </w:rPr>
      </w:pPr>
    </w:p>
    <w:p w14:paraId="15020652" w14:textId="77777777" w:rsidR="003F2AA2" w:rsidRDefault="003F2AA2" w:rsidP="003F2AA2">
      <w:pPr>
        <w:pBdr>
          <w:top w:val="nil"/>
          <w:left w:val="nil"/>
          <w:bottom w:val="nil"/>
          <w:right w:val="nil"/>
          <w:between w:val="nil"/>
        </w:pBdr>
        <w:spacing w:line="220" w:lineRule="auto"/>
        <w:jc w:val="center"/>
        <w:rPr>
          <w:b/>
          <w:color w:val="C00000"/>
          <w:sz w:val="18"/>
          <w:szCs w:val="18"/>
        </w:rPr>
      </w:pPr>
    </w:p>
    <w:p w14:paraId="09B944AB" w14:textId="77777777" w:rsidR="003F2AA2" w:rsidRDefault="003F2AA2" w:rsidP="003F2AA2">
      <w:pPr>
        <w:pBdr>
          <w:top w:val="nil"/>
          <w:left w:val="nil"/>
          <w:bottom w:val="nil"/>
          <w:right w:val="nil"/>
          <w:between w:val="nil"/>
        </w:pBdr>
        <w:spacing w:line="220" w:lineRule="auto"/>
        <w:jc w:val="center"/>
        <w:rPr>
          <w:b/>
          <w:color w:val="C00000"/>
          <w:sz w:val="18"/>
          <w:szCs w:val="18"/>
        </w:rPr>
        <w:sectPr w:rsidR="003F2AA2" w:rsidSect="00F7078E">
          <w:type w:val="continuous"/>
          <w:pgSz w:w="12240" w:h="15840"/>
          <w:pgMar w:top="2262" w:right="1440" w:bottom="1440" w:left="1440" w:header="709" w:footer="709" w:gutter="0"/>
          <w:cols w:space="720"/>
        </w:sectPr>
      </w:pPr>
    </w:p>
    <w:p w14:paraId="79748064" w14:textId="0B20BA6E" w:rsidR="003F2AA2" w:rsidRDefault="0058410B" w:rsidP="0058410B">
      <w:pPr>
        <w:pStyle w:val="Descripcin"/>
        <w:jc w:val="center"/>
        <w:rPr>
          <w:sz w:val="18"/>
        </w:rPr>
      </w:pPr>
      <w:bookmarkStart w:id="155" w:name="_Ref165121275"/>
      <w:bookmarkStart w:id="156" w:name="_Toc165169979"/>
      <w:r w:rsidRPr="0058410B">
        <w:rPr>
          <w:color w:val="C00000"/>
          <w:sz w:val="18"/>
        </w:rPr>
        <w:t xml:space="preserve">Figura </w:t>
      </w:r>
      <w:r w:rsidRPr="0058410B">
        <w:rPr>
          <w:color w:val="C00000"/>
          <w:sz w:val="18"/>
        </w:rPr>
        <w:fldChar w:fldCharType="begin"/>
      </w:r>
      <w:r w:rsidRPr="0058410B">
        <w:rPr>
          <w:color w:val="C00000"/>
          <w:sz w:val="18"/>
        </w:rPr>
        <w:instrText xml:space="preserve"> SEQ Figura \* ARABIC </w:instrText>
      </w:r>
      <w:r w:rsidRPr="0058410B">
        <w:rPr>
          <w:color w:val="C00000"/>
          <w:sz w:val="18"/>
        </w:rPr>
        <w:fldChar w:fldCharType="separate"/>
      </w:r>
      <w:r w:rsidR="00D01651">
        <w:rPr>
          <w:noProof/>
          <w:color w:val="C00000"/>
          <w:sz w:val="18"/>
        </w:rPr>
        <w:t>3</w:t>
      </w:r>
      <w:r w:rsidRPr="0058410B">
        <w:rPr>
          <w:color w:val="C00000"/>
          <w:sz w:val="18"/>
        </w:rPr>
        <w:fldChar w:fldCharType="end"/>
      </w:r>
      <w:bookmarkEnd w:id="155"/>
      <w:r w:rsidRPr="0058410B">
        <w:rPr>
          <w:color w:val="C00000"/>
          <w:sz w:val="18"/>
        </w:rPr>
        <w:t xml:space="preserve">. </w:t>
      </w:r>
      <w:r w:rsidR="009617DF">
        <w:rPr>
          <w:sz w:val="18"/>
        </w:rPr>
        <w:t>Estructura de Objetivo 1</w:t>
      </w:r>
      <w:bookmarkEnd w:id="156"/>
    </w:p>
    <w:p w14:paraId="7A22455C" w14:textId="67D82470" w:rsidR="00AD6F56" w:rsidRDefault="00870E41" w:rsidP="00AD6F56">
      <w:pPr>
        <w:rPr>
          <w:highlight w:val="white"/>
          <w:lang w:val="es-419" w:eastAsia="en-US"/>
        </w:rPr>
      </w:pPr>
      <w:r>
        <w:rPr>
          <w:noProof/>
        </w:rPr>
        <w:drawing>
          <wp:anchor distT="0" distB="0" distL="114300" distR="114300" simplePos="0" relativeHeight="251741184" behindDoc="0" locked="0" layoutInCell="1" hidden="0" allowOverlap="1" wp14:anchorId="2231B851" wp14:editId="734431AC">
            <wp:simplePos x="0" y="0"/>
            <wp:positionH relativeFrom="column">
              <wp:posOffset>295275</wp:posOffset>
            </wp:positionH>
            <wp:positionV relativeFrom="paragraph">
              <wp:posOffset>90170</wp:posOffset>
            </wp:positionV>
            <wp:extent cx="5322570" cy="2993390"/>
            <wp:effectExtent l="0" t="0" r="0" b="0"/>
            <wp:wrapNone/>
            <wp:docPr id="2133515982" name="image3.png"/>
            <wp:cNvGraphicFramePr/>
            <a:graphic xmlns:a="http://schemas.openxmlformats.org/drawingml/2006/main">
              <a:graphicData uri="http://schemas.openxmlformats.org/drawingml/2006/picture">
                <pic:pic xmlns:pic="http://schemas.openxmlformats.org/drawingml/2006/picture">
                  <pic:nvPicPr>
                    <pic:cNvPr id="2133515982" name="image3.png"/>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5322570" cy="2993390"/>
                    </a:xfrm>
                    <a:prstGeom prst="rect">
                      <a:avLst/>
                    </a:prstGeom>
                    <a:ln/>
                  </pic:spPr>
                </pic:pic>
              </a:graphicData>
            </a:graphic>
            <wp14:sizeRelH relativeFrom="margin">
              <wp14:pctWidth>0</wp14:pctWidth>
            </wp14:sizeRelH>
            <wp14:sizeRelV relativeFrom="margin">
              <wp14:pctHeight>0</wp14:pctHeight>
            </wp14:sizeRelV>
          </wp:anchor>
        </w:drawing>
      </w:r>
    </w:p>
    <w:p w14:paraId="16AF4A91" w14:textId="77777777" w:rsidR="00AD6F56" w:rsidRDefault="00AD6F56" w:rsidP="00AD6F56">
      <w:pPr>
        <w:rPr>
          <w:highlight w:val="white"/>
          <w:lang w:val="es-419" w:eastAsia="en-US"/>
        </w:rPr>
      </w:pPr>
    </w:p>
    <w:p w14:paraId="633CC602" w14:textId="77777777" w:rsidR="00AD6F56" w:rsidRDefault="00AD6F56" w:rsidP="003F2AA2">
      <w:pPr>
        <w:ind w:left="1134" w:hanging="708"/>
      </w:pPr>
      <w:bookmarkStart w:id="157" w:name="_heading=h.3znysh7" w:colFirst="0" w:colLast="0"/>
      <w:bookmarkEnd w:id="157"/>
    </w:p>
    <w:p w14:paraId="6ABF934E" w14:textId="77777777" w:rsidR="00AD6F56" w:rsidRDefault="00AD6F56" w:rsidP="003F2AA2">
      <w:pPr>
        <w:ind w:left="1134" w:hanging="708"/>
      </w:pPr>
    </w:p>
    <w:p w14:paraId="060ECA24" w14:textId="77777777" w:rsidR="00AD6F56" w:rsidRDefault="00AD6F56" w:rsidP="003F2AA2">
      <w:pPr>
        <w:ind w:left="1134" w:hanging="708"/>
      </w:pPr>
    </w:p>
    <w:p w14:paraId="04C3D716" w14:textId="77777777" w:rsidR="00AD6F56" w:rsidRDefault="00AD6F56" w:rsidP="003F2AA2">
      <w:pPr>
        <w:ind w:left="1134" w:hanging="708"/>
      </w:pPr>
    </w:p>
    <w:p w14:paraId="0D9A7B81" w14:textId="77777777" w:rsidR="00AD6F56" w:rsidRDefault="00AD6F56" w:rsidP="003F2AA2">
      <w:pPr>
        <w:ind w:left="1134" w:hanging="708"/>
      </w:pPr>
    </w:p>
    <w:p w14:paraId="39E0756E" w14:textId="77777777" w:rsidR="00AD6F56" w:rsidRDefault="00AD6F56" w:rsidP="003F2AA2">
      <w:pPr>
        <w:ind w:left="1134" w:hanging="708"/>
      </w:pPr>
    </w:p>
    <w:p w14:paraId="40595BCD" w14:textId="77777777" w:rsidR="00AD6F56" w:rsidRDefault="00AD6F56" w:rsidP="003F2AA2">
      <w:pPr>
        <w:ind w:left="1134" w:hanging="708"/>
      </w:pPr>
    </w:p>
    <w:p w14:paraId="56C7B686" w14:textId="77777777" w:rsidR="00AD6F56" w:rsidRDefault="00AD6F56" w:rsidP="003F2AA2">
      <w:pPr>
        <w:ind w:left="1134" w:hanging="708"/>
      </w:pPr>
    </w:p>
    <w:p w14:paraId="39B9436B" w14:textId="77777777" w:rsidR="00AD6F56" w:rsidRDefault="00AD6F56" w:rsidP="003F2AA2">
      <w:pPr>
        <w:ind w:left="1134" w:hanging="708"/>
      </w:pPr>
    </w:p>
    <w:p w14:paraId="51B1E8B9" w14:textId="77777777" w:rsidR="00AD6F56" w:rsidRDefault="00AD6F56" w:rsidP="003F2AA2">
      <w:pPr>
        <w:ind w:left="1134" w:hanging="708"/>
      </w:pPr>
    </w:p>
    <w:p w14:paraId="14AEE05C" w14:textId="77777777" w:rsidR="00AD6F56" w:rsidRDefault="00AD6F56" w:rsidP="003F2AA2">
      <w:pPr>
        <w:ind w:left="1134" w:hanging="708"/>
      </w:pPr>
    </w:p>
    <w:p w14:paraId="5D8A96B4" w14:textId="77777777" w:rsidR="00AD6F56" w:rsidRDefault="00AD6F56" w:rsidP="003F2AA2">
      <w:pPr>
        <w:ind w:left="1134" w:hanging="708"/>
      </w:pPr>
    </w:p>
    <w:p w14:paraId="12162BF3" w14:textId="77777777" w:rsidR="00AD6F56" w:rsidRDefault="00AD6F56" w:rsidP="003F2AA2">
      <w:pPr>
        <w:ind w:left="1134" w:hanging="708"/>
      </w:pPr>
    </w:p>
    <w:p w14:paraId="6C480BDA" w14:textId="77777777" w:rsidR="00AD6F56" w:rsidRDefault="00AD6F56" w:rsidP="003F2AA2">
      <w:pPr>
        <w:ind w:left="1134" w:hanging="708"/>
      </w:pPr>
    </w:p>
    <w:p w14:paraId="2A1B6FF1" w14:textId="77777777" w:rsidR="00AD6F56" w:rsidRDefault="00AD6F56" w:rsidP="003F2AA2">
      <w:pPr>
        <w:ind w:left="1134" w:hanging="708"/>
      </w:pPr>
    </w:p>
    <w:p w14:paraId="62714B79" w14:textId="77777777" w:rsidR="00AD6F56" w:rsidRDefault="00AD6F56" w:rsidP="003F2AA2">
      <w:pPr>
        <w:ind w:left="1134" w:hanging="708"/>
      </w:pPr>
    </w:p>
    <w:p w14:paraId="7454A685" w14:textId="77777777" w:rsidR="00AD6F56" w:rsidRDefault="00AD6F56" w:rsidP="003F2AA2">
      <w:pPr>
        <w:ind w:left="1134" w:hanging="708"/>
      </w:pPr>
    </w:p>
    <w:p w14:paraId="047BB997" w14:textId="4E1EF70A" w:rsidR="00AD6F56" w:rsidRPr="00AD6F56" w:rsidRDefault="00AD6F56" w:rsidP="00AD6F56">
      <w:pPr>
        <w:ind w:left="1134" w:hanging="708"/>
        <w:jc w:val="center"/>
        <w:rPr>
          <w:sz w:val="18"/>
          <w:szCs w:val="20"/>
        </w:rPr>
      </w:pPr>
      <w:r w:rsidRPr="00AD6F56">
        <w:rPr>
          <w:b/>
          <w:bCs/>
          <w:sz w:val="18"/>
          <w:szCs w:val="20"/>
        </w:rPr>
        <w:t>Fuente:</w:t>
      </w:r>
      <w:r w:rsidRPr="00AD6F56">
        <w:rPr>
          <w:sz w:val="18"/>
          <w:szCs w:val="20"/>
        </w:rPr>
        <w:t xml:space="preserve"> elaboración propia</w:t>
      </w:r>
      <w:r w:rsidR="00CD7F20">
        <w:rPr>
          <w:sz w:val="18"/>
          <w:szCs w:val="20"/>
        </w:rPr>
        <w:t>.</w:t>
      </w:r>
    </w:p>
    <w:p w14:paraId="363CB2EB" w14:textId="6E852224" w:rsidR="003F2AA2" w:rsidRDefault="003F2AA2" w:rsidP="003F2AA2">
      <w:pPr>
        <w:ind w:left="1134" w:hanging="708"/>
      </w:pPr>
      <w:r>
        <w:br w:type="page"/>
      </w:r>
    </w:p>
    <w:p w14:paraId="4A4B9983" w14:textId="77777777" w:rsidR="00AD6F56" w:rsidRDefault="00AD6F56" w:rsidP="003F2AA2">
      <w:pPr>
        <w:ind w:left="1134" w:hanging="708"/>
        <w:rPr>
          <w:b/>
          <w:color w:val="C00000"/>
          <w:sz w:val="40"/>
          <w:szCs w:val="40"/>
        </w:rPr>
      </w:pPr>
    </w:p>
    <w:p w14:paraId="51A8A7A7" w14:textId="77777777" w:rsidR="003F2AA2" w:rsidRPr="0010451A" w:rsidRDefault="003F2AA2" w:rsidP="00A370E9">
      <w:pPr>
        <w:pStyle w:val="Ttulo3"/>
        <w:rPr>
          <w:color w:val="C00000"/>
        </w:rPr>
      </w:pPr>
      <w:bookmarkStart w:id="158" w:name="_Toc165169755"/>
      <w:r w:rsidRPr="0010451A">
        <w:rPr>
          <w:color w:val="C00000"/>
        </w:rPr>
        <w:t>Estrategias</w:t>
      </w:r>
      <w:bookmarkEnd w:id="158"/>
    </w:p>
    <w:p w14:paraId="4E349A0B" w14:textId="77777777" w:rsidR="003F2AA2" w:rsidRPr="00076432" w:rsidRDefault="003F2AA2" w:rsidP="003F2AA2"/>
    <w:p w14:paraId="530672CF" w14:textId="77777777" w:rsidR="003F2AA2" w:rsidRPr="00076432" w:rsidRDefault="003F2AA2" w:rsidP="003F2AA2">
      <w:pPr>
        <w:sectPr w:rsidR="003F2AA2" w:rsidRPr="00076432" w:rsidSect="00F7078E">
          <w:type w:val="continuous"/>
          <w:pgSz w:w="12240" w:h="15840"/>
          <w:pgMar w:top="2262" w:right="1440" w:bottom="1440" w:left="1440" w:header="709" w:footer="709" w:gutter="0"/>
          <w:cols w:space="720"/>
        </w:sectPr>
      </w:pPr>
    </w:p>
    <w:p w14:paraId="396F4EBC" w14:textId="77777777" w:rsidR="003F2AA2" w:rsidRPr="00A370E9" w:rsidRDefault="003F2AA2" w:rsidP="00A370E9">
      <w:pPr>
        <w:ind w:left="708"/>
        <w:jc w:val="left"/>
        <w:rPr>
          <w:b/>
          <w:sz w:val="28"/>
          <w:szCs w:val="32"/>
        </w:rPr>
      </w:pPr>
      <w:bookmarkStart w:id="159" w:name="_heading=h.2et92p0" w:colFirst="0" w:colLast="0"/>
      <w:bookmarkEnd w:id="159"/>
      <w:r w:rsidRPr="00A370E9">
        <w:rPr>
          <w:b/>
          <w:sz w:val="28"/>
          <w:szCs w:val="32"/>
        </w:rPr>
        <w:t xml:space="preserve">Convivencia pacífica con confianza, cultura ciudadana                                   y prevención y atención a violencias basadas en género </w:t>
      </w:r>
    </w:p>
    <w:p w14:paraId="7E2C4C79" w14:textId="77777777" w:rsidR="003F2AA2" w:rsidRPr="00076432" w:rsidRDefault="003F2AA2" w:rsidP="003F2AA2">
      <w:pPr>
        <w:keepNext/>
        <w:keepLines/>
        <w:pBdr>
          <w:top w:val="nil"/>
          <w:left w:val="nil"/>
          <w:bottom w:val="nil"/>
          <w:right w:val="nil"/>
          <w:between w:val="nil"/>
        </w:pBdr>
        <w:spacing w:line="340" w:lineRule="auto"/>
        <w:ind w:left="1145" w:hanging="720"/>
        <w:jc w:val="left"/>
        <w:rPr>
          <w:b/>
          <w:color w:val="3B3838"/>
          <w:sz w:val="28"/>
          <w:szCs w:val="28"/>
        </w:rPr>
        <w:sectPr w:rsidR="003F2AA2" w:rsidRPr="00076432" w:rsidSect="00F7078E">
          <w:type w:val="continuous"/>
          <w:pgSz w:w="12240" w:h="15840"/>
          <w:pgMar w:top="2262" w:right="1440" w:bottom="1440" w:left="1440" w:header="709" w:footer="709" w:gutter="0"/>
          <w:cols w:space="720"/>
        </w:sectPr>
      </w:pPr>
    </w:p>
    <w:p w14:paraId="047EB76B" w14:textId="77777777" w:rsidR="003F2AA2" w:rsidRPr="00076432" w:rsidRDefault="003F2AA2" w:rsidP="003F2AA2">
      <w:r w:rsidRPr="00076432">
        <w:t>Para lograr una mejor experiencia de ciudad para todos y todas, la reconstrucción de la confianza entre las autoridades y la ciudadanía es uno de los principios orientadores del Modelo de Seguridad, Convivencia y Justicia que pondrá en marcha la administración distrital. Esto será posible mediante una alianza estratégica entre todos los actores: organismos de seguridad y justicia, empresas prestadoras de servicios, actores privados y ciudadanía.</w:t>
      </w:r>
    </w:p>
    <w:p w14:paraId="0C4F4849" w14:textId="77777777" w:rsidR="003F2AA2" w:rsidRPr="00076432" w:rsidRDefault="003F2AA2" w:rsidP="003F2AA2"/>
    <w:p w14:paraId="5894C5C6" w14:textId="77777777" w:rsidR="003F2AA2" w:rsidRPr="00076432" w:rsidRDefault="003F2AA2" w:rsidP="003F2AA2">
      <w:r w:rsidRPr="00076432">
        <w:t>En el marco del fortalecimiento de las instituciones, Bogotá promoverá una mayor articulación de las autoridades y las organizaciones que integren la red de convivencia para la aplicación del Código Nacional de Seguridad y Convivencia Ciudadana (CNSCC) y una mayor apropiación de las normas que fortalezcan la cultura ciudadana.</w:t>
      </w:r>
    </w:p>
    <w:p w14:paraId="5E74320B" w14:textId="77777777" w:rsidR="003F2AA2" w:rsidRPr="00076432" w:rsidRDefault="003F2AA2" w:rsidP="003F2AA2"/>
    <w:p w14:paraId="2AB0A62A" w14:textId="77777777" w:rsidR="003F2AA2" w:rsidRPr="00076432" w:rsidRDefault="003F2AA2" w:rsidP="003F2AA2">
      <w:r w:rsidRPr="00076432">
        <w:t>En tal sentido, la confianza se construirá mediante el esfuerzo de las instituciones para fortalecer y garantizar la aplicación de la ley y la materialización de medidas correctivas, con especial atención en las personas que han sido víctimas de delitos y comportamientos contrarios a la convivencia. El Distrito será el primer respondiente, brindando la orientación y facilitando el proceso de denuncia y garantizando la debida atención para proteger los derechos. Esto contribuirá a brindar garantías a la ciudadanía frente a la atención de sus necesidades en seguridad, convivencia y acceso a la justicia, así como a reconstruir ese tejido social que trabaje mancomunadamente por una ciudad más tranquila para todos y todas expresada en una mejoría en la percepción de seguridad en Bogotá y la región.</w:t>
      </w:r>
    </w:p>
    <w:p w14:paraId="55E36EC0" w14:textId="77777777" w:rsidR="003F2AA2" w:rsidRPr="00076432" w:rsidRDefault="003F2AA2" w:rsidP="003F2AA2"/>
    <w:p w14:paraId="111C9F42" w14:textId="7C721A01" w:rsidR="003F2AA2" w:rsidRDefault="003F2AA2" w:rsidP="003F2AA2">
      <w:r w:rsidRPr="00076432">
        <w:t xml:space="preserve">En materia de seguridad, se pondrán en marcha varias acciones para dar seguimiento a la </w:t>
      </w:r>
      <w:r w:rsidRPr="00076432">
        <w:t>gestión en</w:t>
      </w:r>
      <w:r>
        <w:t xml:space="preserve"> el transporte público y en las zonas o polígonos de la ciudad donde se concentra el delito, la percepción de inseguridad y la vulneración de derechos. Una de las estrategias clave será la promoción de la cultura ciudadana en diversos frentes, para lo cual se implementarán campañas de prevención y sensibilización con el fin de fomentar valores de tolerancia, respeto y solidaridad entre la ciudadanía y el cuidado de los bienes y el espacio público de la ciudad. Estos esfuerzos se centrarán en abordar los factores de riesgo que afectan a la ciudad y en reconocer la importancia de construir un entorno, </w:t>
      </w:r>
      <w:r w:rsidR="0010451A">
        <w:t>tanto urbano</w:t>
      </w:r>
      <w:r>
        <w:t xml:space="preserve"> como rural, inclusivo que respete las diferencias entre sus habitantes.</w:t>
      </w:r>
    </w:p>
    <w:p w14:paraId="121662D9" w14:textId="77777777" w:rsidR="003F2AA2" w:rsidRDefault="003F2AA2" w:rsidP="003F2AA2"/>
    <w:p w14:paraId="7FDAD753" w14:textId="77777777" w:rsidR="003F2AA2" w:rsidRDefault="003F2AA2" w:rsidP="003F2AA2">
      <w:pPr>
        <w:rPr>
          <w:spacing w:val="-6"/>
        </w:rPr>
      </w:pPr>
      <w:r w:rsidRPr="00E573E3">
        <w:rPr>
          <w:spacing w:val="-6"/>
        </w:rPr>
        <w:t>Es así, como la promoción de la cultura ciudadana será fundamental para impulsar una transformación de los imaginarios y prácticas que contribuyan a erradicar diferentes formas de discriminación en la sociedad. Se buscará cambiar los imaginarios sociales promoviendo masculinidades corresponsables y no violentas, al tiempo que se brindarán garantías para que las mujeres puedan desarrollarse plenamente en la ciudad, disfrutando de sus derechos con dignidad y libertad. Se promoverá un entorno que valore y respete la diferencia y diversidad de sus habitantes y aporte a la eliminación de barreras actitudinales, comunicativas y de acceso en la ciudad.</w:t>
      </w:r>
    </w:p>
    <w:p w14:paraId="3D63CCD5" w14:textId="77777777" w:rsidR="0010451A" w:rsidRPr="00E573E3" w:rsidRDefault="0010451A" w:rsidP="003F2AA2">
      <w:pPr>
        <w:rPr>
          <w:spacing w:val="-6"/>
        </w:rPr>
      </w:pPr>
    </w:p>
    <w:p w14:paraId="1646B6A7" w14:textId="77777777" w:rsidR="003F2AA2" w:rsidRPr="0010451A" w:rsidRDefault="003F2AA2" w:rsidP="003F2AA2">
      <w:r>
        <w:t xml:space="preserve">En materia de violencias basadas en género y especialmente contra las mujeres, la estrategia tendrá varios frentes, entre ellos: la atención a través de la línea púrpura, la agencia mujer, el sistema articulado de alertas tempranas, la representación jurídica, el acompañamiento psicosocial, la atención y acogida a mujeres en riesgo de feminicidio, la atención integral a las víctimas para garantizar su acceso a la justicia y </w:t>
      </w:r>
      <w:r>
        <w:lastRenderedPageBreak/>
        <w:t xml:space="preserve">la respuesta oportuna en el marco de la debida diligencia y demás estándares internacionales de protección, que son obligación del Estado </w:t>
      </w:r>
      <w:r w:rsidRPr="0010451A">
        <w:t>colombiano.</w:t>
      </w:r>
    </w:p>
    <w:p w14:paraId="31D9EC9A" w14:textId="77777777" w:rsidR="003F2AA2" w:rsidRPr="0010451A" w:rsidRDefault="003F2AA2" w:rsidP="003F2AA2"/>
    <w:p w14:paraId="105691CF" w14:textId="77777777" w:rsidR="003F2AA2" w:rsidRPr="0010451A" w:rsidRDefault="003F2AA2" w:rsidP="003F2AA2">
      <w:r w:rsidRPr="0010451A">
        <w:t>Para ello, se promoverán respuestas directas a través de las Casas de Justicia que estén articuladas con los espacios de atención especializados de la Fiscalía (CAF) y al modelo de ruta de atención integral de las Casas de Justicia; a su vez se impulsarán los procedimientos administrativos y judiciales que garanticen el trámite oportuno y eficiente de asuntos de atención y protección efectiva a las mujeres víctimas de violencias.</w:t>
      </w:r>
    </w:p>
    <w:p w14:paraId="64247F13" w14:textId="77777777" w:rsidR="003F2AA2" w:rsidRPr="0010451A" w:rsidRDefault="003F2AA2" w:rsidP="003F2AA2"/>
    <w:p w14:paraId="672BE3AD" w14:textId="77777777" w:rsidR="003F2AA2" w:rsidRPr="0010451A" w:rsidRDefault="003F2AA2" w:rsidP="003F2AA2">
      <w:r w:rsidRPr="0010451A">
        <w:t>También, se capacitará al personal de todas las entidades competentes en la atención de casos de violencia contra las mujeres en el espacio público y privado, para prevenir la discriminación y la revictimización, entre otros. Además de fortalecer la articulación interinstitucional con enfoque de género para atender casos de violencia contra las mujeres, que se presenten en el espacio y el transporte público de la ciudad.</w:t>
      </w:r>
    </w:p>
    <w:p w14:paraId="19CA53A5" w14:textId="77777777" w:rsidR="003F2AA2" w:rsidRPr="0010451A" w:rsidRDefault="003F2AA2" w:rsidP="003F2AA2"/>
    <w:p w14:paraId="01F794B9" w14:textId="77777777" w:rsidR="003F2AA2" w:rsidRPr="0010451A" w:rsidRDefault="003F2AA2" w:rsidP="003F2AA2">
      <w:r w:rsidRPr="0010451A">
        <w:t xml:space="preserve">De igual manera, Bogotá promoverá entornos seguros y de no violencia contra las mujeres, reconociendo sus diferencias y diversidades. Una de estas acciones será la implementación del </w:t>
      </w:r>
      <w:r w:rsidRPr="0010451A">
        <w:t>modelo móvil y fijo de “casa de todas” para atender a mujeres en actividades sexuales pagadas en Bogotá. Además del fortalecimiento de las rutas integrales de prevención, protección, atención y reparación integral, oportuna y pertinente, tanto a nivel local como de forma articulada con el entorno supradistrital. Se calificará el Observatorio Distrital de Mujer y Equidad de Género de Bogotá (OMEG) para tener una herramienta de recolección de datos actualizados y diversificados sobre la situación de derechos de las mujeres en Bogotá, así como de las violencias basadas en género.</w:t>
      </w:r>
    </w:p>
    <w:p w14:paraId="12111E07" w14:textId="77777777" w:rsidR="003F2AA2" w:rsidRPr="0010451A" w:rsidRDefault="003F2AA2" w:rsidP="003F2AA2"/>
    <w:p w14:paraId="6C52F81F" w14:textId="06A8E753" w:rsidR="003F2AA2" w:rsidRPr="0010451A" w:rsidRDefault="003F2AA2" w:rsidP="005B6CFA">
      <w:pPr>
        <w:shd w:val="clear" w:color="auto" w:fill="FFFFFF"/>
        <w:sectPr w:rsidR="003F2AA2" w:rsidRPr="0010451A" w:rsidSect="00F7078E">
          <w:type w:val="continuous"/>
          <w:pgSz w:w="12240" w:h="15840"/>
          <w:pgMar w:top="2262" w:right="1440" w:bottom="1440" w:left="1440" w:header="709" w:footer="709" w:gutter="0"/>
          <w:cols w:num="2" w:space="720" w:equalWidth="0">
            <w:col w:w="4396" w:space="567"/>
            <w:col w:w="4396" w:space="0"/>
          </w:cols>
        </w:sectPr>
      </w:pPr>
      <w:r w:rsidRPr="0010451A">
        <w:t>La implementación de la estrategia tendrá un especial énfasis en la prevención de comportamientos contrarios a la convivencia. En primer lugar, con acciones innovadoras,  pedagógicas y de trabajo articulado con líderes de organizaciones sociales y comunitarias, que permitan a la ciudadanía desarrollar autorregulación comportamental, corresponsabilidad y solidaridad, como pilares para el disfrute de la ciudad y la bogotaneidad.  A su vez, y con relación a los infractores con la materialización de medidas correctivas, a través de programas comunitarios y actividades pedagógicas, que conlleven a transformar su comportamiento, a la prestación de servicios funcionales para la ciudad y a fortalecer su cultura ciudadana.</w:t>
      </w:r>
    </w:p>
    <w:p w14:paraId="514BF63E" w14:textId="77777777" w:rsidR="003F2AA2" w:rsidRDefault="003F2AA2" w:rsidP="003F2AA2"/>
    <w:p w14:paraId="6A327F23" w14:textId="4FCCDE77" w:rsidR="003F2AA2" w:rsidRPr="0010451A" w:rsidRDefault="003F2AA2" w:rsidP="0010451A">
      <w:pPr>
        <w:keepNext/>
        <w:keepLines/>
        <w:pBdr>
          <w:top w:val="nil"/>
          <w:left w:val="nil"/>
          <w:bottom w:val="nil"/>
          <w:right w:val="nil"/>
          <w:between w:val="nil"/>
        </w:pBdr>
        <w:spacing w:line="340" w:lineRule="auto"/>
        <w:ind w:firstLine="708"/>
        <w:jc w:val="left"/>
        <w:rPr>
          <w:b/>
          <w:color w:val="3B3838"/>
          <w:sz w:val="28"/>
          <w:szCs w:val="28"/>
        </w:rPr>
      </w:pPr>
      <w:bookmarkStart w:id="160" w:name="_heading=h.tyjcwt" w:colFirst="0" w:colLast="0"/>
      <w:bookmarkEnd w:id="160"/>
      <w:r w:rsidRPr="0010451A">
        <w:rPr>
          <w:b/>
          <w:color w:val="3B3838"/>
          <w:sz w:val="28"/>
          <w:szCs w:val="28"/>
        </w:rPr>
        <w:t>Seguridad y justicia fortalecidas</w:t>
      </w:r>
    </w:p>
    <w:p w14:paraId="2E446105" w14:textId="77777777" w:rsidR="003F2AA2" w:rsidRDefault="003F2AA2" w:rsidP="003F2AA2">
      <w:pPr>
        <w:keepNext/>
        <w:keepLines/>
        <w:pBdr>
          <w:top w:val="nil"/>
          <w:left w:val="nil"/>
          <w:bottom w:val="nil"/>
          <w:right w:val="nil"/>
          <w:between w:val="nil"/>
        </w:pBdr>
        <w:spacing w:line="340" w:lineRule="auto"/>
        <w:ind w:left="1145" w:hanging="720"/>
        <w:jc w:val="left"/>
        <w:rPr>
          <w:b/>
          <w:color w:val="3B3838"/>
          <w:sz w:val="28"/>
          <w:szCs w:val="28"/>
        </w:rPr>
        <w:sectPr w:rsidR="003F2AA2" w:rsidSect="00F7078E">
          <w:type w:val="continuous"/>
          <w:pgSz w:w="12240" w:h="15840"/>
          <w:pgMar w:top="2262" w:right="1440" w:bottom="1440" w:left="1440" w:header="709" w:footer="709" w:gutter="0"/>
          <w:cols w:space="720"/>
        </w:sectPr>
      </w:pPr>
    </w:p>
    <w:p w14:paraId="104AC799" w14:textId="77777777" w:rsidR="003F2AA2" w:rsidRDefault="003F2AA2" w:rsidP="003F2AA2">
      <w:r>
        <w:t>La seguridad y estabilidad de Bogotá requieren una estrategia integral que potencie las capacidades institucionales y promueva la colaboración entre los sectores público, privado y la ciudadanía.  Este enfoque multidimensional aborda diversas áreas de acción para garantizar un entorno seguro y propicio para el desarrollo de la ciudad.</w:t>
      </w:r>
    </w:p>
    <w:p w14:paraId="1FD7F6B3" w14:textId="77777777" w:rsidR="003F2AA2" w:rsidRDefault="003F2AA2" w:rsidP="003F2AA2"/>
    <w:p w14:paraId="3B1FFAC2" w14:textId="77777777" w:rsidR="003F2AA2" w:rsidRDefault="003F2AA2" w:rsidP="003F2AA2">
      <w:r>
        <w:t xml:space="preserve">Se ampliarán las capacidades institucionales tanto del sector público como el privado para abordar los desafíos de seguridad.  Esto implica invertir en tecnología, talento humano y </w:t>
      </w:r>
      <w:r>
        <w:t xml:space="preserve">sistemas de gestión que permitan una respuesta eficiente y coordinada ante </w:t>
      </w:r>
      <w:r w:rsidRPr="00E573E3">
        <w:rPr>
          <w:spacing w:val="-6"/>
        </w:rPr>
        <w:t>situaciones de riesgo y violencia, lo que conlleva a fortalecer a los cuadrantes de la Policía Metropolitana de Bogotá con tecnología para garantizar una respuesta rápida y resolutiva; y desarrollar un plan de aprovechamiento del recurso humano capacitado de la Policía para labores de vigilancia e inteligencia.</w:t>
      </w:r>
      <w:r>
        <w:t xml:space="preserve">  </w:t>
      </w:r>
    </w:p>
    <w:p w14:paraId="54E3B420" w14:textId="77777777" w:rsidR="003F2AA2" w:rsidRDefault="003F2AA2" w:rsidP="003F2AA2"/>
    <w:p w14:paraId="3E820CB0" w14:textId="77777777" w:rsidR="003F2AA2" w:rsidRDefault="003F2AA2" w:rsidP="003F2AA2">
      <w:r>
        <w:t xml:space="preserve">Sumado a esto, se harán más robustos los canales para que la ciudadanía pueda realizar denuncias, mediante una acción articulada con los organismos de seguridad y justicia para </w:t>
      </w:r>
      <w:r>
        <w:lastRenderedPageBreak/>
        <w:t>fomentar la confianza en estos mecanismos y eliminar restricciones o barreras. La denuncia es una demostración de confianza de la ciudadanía en las autoridades, y un recurso mediante el cual los organismos de seguridad y justicia establecen las acciones correspondientes para investigar y resolver delitos.</w:t>
      </w:r>
    </w:p>
    <w:p w14:paraId="1E2D8658" w14:textId="77777777" w:rsidR="003F2AA2" w:rsidRDefault="003F2AA2" w:rsidP="003F2AA2"/>
    <w:p w14:paraId="53879F9B" w14:textId="77777777" w:rsidR="003F2AA2" w:rsidRDefault="003F2AA2" w:rsidP="00EB5EA3">
      <w:r>
        <w:t>De esta manera, la tecnología estará puesta al servicio de la seguridad, incluyendo el uso de cámaras de reconocimiento facial, análisis de datos para la investigación criminal predictiva, tecnología de inteligencia artificial para la administración y visualización de datos, y el uso eficiente de la infraestructura existente de videovigilancia. Además, se seguirán promoviendo los acuerdos de colaboración para la utilización de cámaras privadas de videovigilancia y la consulta rápida de grabaciones, en un ámbito local y en el marco de relaciones funcionales supradistritales, integrado con herramientas que permitan anticipar y reaccionar ante amenazas bajo la gestión del Centro de Comando, Cómputo y Control.</w:t>
      </w:r>
    </w:p>
    <w:p w14:paraId="7EE29A60" w14:textId="77777777" w:rsidR="0010451A" w:rsidRDefault="0010451A" w:rsidP="00EB5EA3"/>
    <w:p w14:paraId="29B116B8" w14:textId="77777777" w:rsidR="003F2AA2" w:rsidRDefault="003F2AA2" w:rsidP="00EB5EA3">
      <w:r>
        <w:t xml:space="preserve">En el campo de la justicia, se gestionarán convenios con la Fiscalía y la Dirección Ejecutiva de la Administración Judicial para brindar apoyo en infraestructura, tecnología y recurso humano. Además, el Distrito acompañará a las víctimas de delitos en el espacio público con enfoque de género y derechos humanos de las mujeres, a través de orientación y facilitación de </w:t>
      </w:r>
      <w:r>
        <w:t>denuncias, mediante gestores judiciales, aumento de las Casas de Justicia Móviles, y la ampliación del pie de fuerza de la Policía.</w:t>
      </w:r>
    </w:p>
    <w:p w14:paraId="09C15927" w14:textId="77777777" w:rsidR="003F2AA2" w:rsidRDefault="003F2AA2" w:rsidP="00EB5EA3"/>
    <w:p w14:paraId="5985EB82" w14:textId="77777777" w:rsidR="003F2AA2" w:rsidRDefault="003F2AA2" w:rsidP="00EB5EA3">
      <w:r>
        <w:t>La colaboración entre el sector público y privado es fundamental para maximizar el impacto de las medidas de seguridad. Se deben establecer alianzas estratégicas que permitan compartir información, recursos y mejores prácticas para enfrentar de manera conjunta las amenazas a la seguridad. Además, se promoverá la participación activa de la ciudadanía en la construcción de un entorno seguro, fomentando la cultura de la denuncia, capacitando a los ciudadanos en medidas de autoprotección y promoviendo la participación en programas de prevención del delito.</w:t>
      </w:r>
    </w:p>
    <w:p w14:paraId="01A8B8DD" w14:textId="77777777" w:rsidR="003F2AA2" w:rsidRDefault="003F2AA2" w:rsidP="00EB5EA3"/>
    <w:p w14:paraId="40C8B992" w14:textId="77777777" w:rsidR="003F2AA2" w:rsidRDefault="003F2AA2" w:rsidP="00EB5EA3">
      <w:r>
        <w:t>El fortalecimiento institucional incluye la formación y capacitación del personal encargado de garantizar la seguridad. Es necesario invertir en programas de formación continua que les permitan adquirir las habilidades y conocimientos necesarios para enfrentar los desafíos del entorno actual.</w:t>
      </w:r>
    </w:p>
    <w:p w14:paraId="6F83F439" w14:textId="77777777" w:rsidR="003F2AA2" w:rsidRDefault="003F2AA2" w:rsidP="00EB5EA3"/>
    <w:p w14:paraId="1E2CD5D2" w14:textId="3DAD3125" w:rsidR="00E573E3" w:rsidRPr="00E573E3" w:rsidRDefault="003F2AA2" w:rsidP="00EB5EA3">
      <w:pPr>
        <w:rPr>
          <w:spacing w:val="-6"/>
        </w:rPr>
        <w:sectPr w:rsidR="00E573E3" w:rsidRPr="00E573E3" w:rsidSect="00F7078E">
          <w:type w:val="continuous"/>
          <w:pgSz w:w="12240" w:h="15840"/>
          <w:pgMar w:top="2262" w:right="1440" w:bottom="1440" w:left="1440" w:header="709" w:footer="709" w:gutter="0"/>
          <w:cols w:num="2" w:space="720"/>
        </w:sectPr>
      </w:pPr>
      <w:r w:rsidRPr="005B6CFA">
        <w:rPr>
          <w:spacing w:val="-6"/>
        </w:rPr>
        <w:t>Finalmente, no se puede perder de vista que Bogotá reconoce las grandes apuestas de la ciudad región y en este sentido avanzará en los hechos metropolitanos iniciando con el primer plan de seguridad integral, proporcionando una estructura estratégica que aborde integralmente los aspectos claves de la seguridad regional</w:t>
      </w:r>
      <w:bookmarkStart w:id="161" w:name="_heading=h.41mghml" w:colFirst="0" w:colLast="0"/>
      <w:bookmarkEnd w:id="161"/>
    </w:p>
    <w:p w14:paraId="00FE07E7" w14:textId="77777777" w:rsidR="003F2AA2" w:rsidRDefault="003F2AA2" w:rsidP="00EB5EA3"/>
    <w:p w14:paraId="45B57436" w14:textId="71CE79CB" w:rsidR="003F2AA2" w:rsidRPr="0010451A" w:rsidRDefault="003F2AA2" w:rsidP="0010451A">
      <w:pPr>
        <w:keepNext/>
        <w:keepLines/>
        <w:pBdr>
          <w:top w:val="nil"/>
          <w:left w:val="nil"/>
          <w:bottom w:val="nil"/>
          <w:right w:val="nil"/>
          <w:between w:val="nil"/>
        </w:pBdr>
        <w:spacing w:line="340" w:lineRule="auto"/>
        <w:ind w:firstLine="708"/>
        <w:jc w:val="left"/>
        <w:rPr>
          <w:b/>
          <w:color w:val="3B3838"/>
          <w:sz w:val="28"/>
          <w:szCs w:val="28"/>
        </w:rPr>
      </w:pPr>
      <w:r w:rsidRPr="0010451A">
        <w:rPr>
          <w:b/>
          <w:color w:val="3B3838"/>
          <w:sz w:val="28"/>
          <w:szCs w:val="28"/>
        </w:rPr>
        <w:t>Espacio público óptimo y movilidad segura</w:t>
      </w:r>
    </w:p>
    <w:p w14:paraId="5D3819CD" w14:textId="77777777" w:rsidR="003F2AA2" w:rsidRDefault="003F2AA2" w:rsidP="003F2AA2">
      <w:pPr>
        <w:sectPr w:rsidR="003F2AA2" w:rsidSect="00F7078E">
          <w:type w:val="continuous"/>
          <w:pgSz w:w="12240" w:h="15840"/>
          <w:pgMar w:top="2262" w:right="1440" w:bottom="1440" w:left="1440" w:header="709" w:footer="709" w:gutter="0"/>
          <w:cols w:space="720"/>
        </w:sectPr>
      </w:pPr>
    </w:p>
    <w:p w14:paraId="4C42B3AD" w14:textId="55340F04" w:rsidR="003F2AA2" w:rsidRDefault="003F2AA2" w:rsidP="003F2AA2">
      <w:r>
        <w:t>Esta estrategia busca que la ciudad cuente con espacio público donde la ciudadanía pueda disfrutar con tranquilidad. Para ello se mejorará la infraestructura peatonal de andenes, pasos elevados y a nivel, y las condiciones de iluminación y se recuperarán y construirán parques con servicios públicos que permitan el uso, disfrute y apropiación permanente de los ciudadanos, incluso con horarios extendidos.</w:t>
      </w:r>
    </w:p>
    <w:p w14:paraId="35F3C466" w14:textId="77777777" w:rsidR="003F2AA2" w:rsidRDefault="003F2AA2" w:rsidP="003F2AA2"/>
    <w:p w14:paraId="63C23AA5" w14:textId="77777777" w:rsidR="003F2AA2" w:rsidRDefault="003F2AA2" w:rsidP="003F2AA2">
      <w:r>
        <w:t xml:space="preserve">A su vez, se promoverá, el saneamiento, titulación e incorporación de bienes fiscales y de uso público al Inventario General del Espacio Público y Bienes Fiscales, así como la recuperación y construcción de espacio público para la movilidad. Las empresas de servicios públicos jugarán un papel relevante para garantizar el aseo, iluminación, recolección de basuras y buen mantenimiento de los espacios públicos, para que sean un lugar de encuentro, caracterizado por </w:t>
      </w:r>
      <w:r>
        <w:lastRenderedPageBreak/>
        <w:t>ser un área abierta, de socialización, recreación y esparcimiento con el fin de contribuir a mejorar la percepción de seguridad.</w:t>
      </w:r>
    </w:p>
    <w:p w14:paraId="2D50B19F" w14:textId="77777777" w:rsidR="003F2AA2" w:rsidRDefault="003F2AA2" w:rsidP="003F2AA2"/>
    <w:p w14:paraId="0BBAE6E6" w14:textId="77777777" w:rsidR="003F2AA2" w:rsidRDefault="003F2AA2" w:rsidP="003F2AA2">
      <w:r>
        <w:t>En lo concerniente a seguridad y movilidad, se trabajará en mejorar la capacidad de reacción inmediata para abordar eventos delictivos y cualquier forma de violencia en el transporte público, en colaboración con la Policía Metropolitana de Bogotá y con las autoridades supradistritales. Asimismo, se buscará fortalecer la interoperabilidad del sistema de videovigilancia y se instalarán cámaras inteligentes con reconocimiento facial en las estaciones y portales de mayor afluencia.</w:t>
      </w:r>
    </w:p>
    <w:p w14:paraId="1C38B9A2" w14:textId="77777777" w:rsidR="003F2AA2" w:rsidRDefault="003F2AA2" w:rsidP="003F2AA2"/>
    <w:p w14:paraId="4736388B" w14:textId="4930DCED" w:rsidR="003F2AA2" w:rsidRDefault="003F2AA2" w:rsidP="003F2AA2">
      <w:bookmarkStart w:id="162" w:name="_heading=h.3dy6vkm" w:colFirst="0" w:colLast="0"/>
      <w:bookmarkEnd w:id="162"/>
      <w:r>
        <w:t xml:space="preserve">Conjuntamente, la movilidad en Bogotá tendrá opciones convenientes, amables y seguras para </w:t>
      </w:r>
      <w:r>
        <w:t>la ciudadanía, con una infraestructura y dispositivos tecnológicos que permitan un mejor flujo vehicular y peatonal, haciéndola más inclusiva para niñas y niños, personas con movilidad reducida, reduciendo accidentes, mejorando la seguridad vial y haciendo que la ciudadanía se sienta segura cuando se moviliza, en especial las mujeres.</w:t>
      </w:r>
    </w:p>
    <w:p w14:paraId="06240B49" w14:textId="77777777" w:rsidR="003F2AA2" w:rsidRDefault="003F2AA2" w:rsidP="003F2AA2"/>
    <w:p w14:paraId="7F7BB8C8" w14:textId="662C8A9F" w:rsidR="003F2AA2" w:rsidRDefault="003F2AA2" w:rsidP="003F2AA2">
      <w:r>
        <w:t>En ese sentido, se fortalecerá la articulación interinstitucional con enfoque de género para atender casos de violencia contra las mujeres que se presenten en el espacio y el transporte público de la ciudad</w:t>
      </w:r>
      <w:r w:rsidR="00126232">
        <w:t>.</w:t>
      </w:r>
    </w:p>
    <w:p w14:paraId="129DCDC6" w14:textId="77777777" w:rsidR="00EB5EA3" w:rsidRDefault="00EB5EA3" w:rsidP="003F2AA2"/>
    <w:p w14:paraId="56806C71" w14:textId="77777777" w:rsidR="00EB5EA3" w:rsidRDefault="00EB5EA3" w:rsidP="003F2AA2"/>
    <w:p w14:paraId="2FD19A61" w14:textId="4AEBE36B" w:rsidR="00EB5EA3" w:rsidRDefault="00EB5EA3" w:rsidP="003F2AA2">
      <w:pPr>
        <w:sectPr w:rsidR="00EB5EA3" w:rsidSect="00F7078E">
          <w:type w:val="continuous"/>
          <w:pgSz w:w="12240" w:h="15840"/>
          <w:pgMar w:top="2262" w:right="1440" w:bottom="1440" w:left="1440" w:header="709" w:footer="709" w:gutter="0"/>
          <w:cols w:num="2" w:space="720" w:equalWidth="0">
            <w:col w:w="4396" w:space="567"/>
            <w:col w:w="4396" w:space="0"/>
          </w:cols>
        </w:sectPr>
      </w:pPr>
    </w:p>
    <w:p w14:paraId="29DD9F36" w14:textId="77777777" w:rsidR="00E573E3" w:rsidRDefault="00E573E3" w:rsidP="0036010E">
      <w:pPr>
        <w:pBdr>
          <w:top w:val="nil"/>
          <w:left w:val="nil"/>
          <w:bottom w:val="nil"/>
          <w:right w:val="nil"/>
          <w:between w:val="nil"/>
        </w:pBdr>
        <w:spacing w:line="220" w:lineRule="auto"/>
        <w:jc w:val="center"/>
        <w:rPr>
          <w:b/>
          <w:color w:val="3B3838"/>
          <w:sz w:val="18"/>
          <w:szCs w:val="18"/>
        </w:rPr>
      </w:pPr>
    </w:p>
    <w:p w14:paraId="268C7BBD" w14:textId="77777777" w:rsidR="00E573E3" w:rsidRDefault="00E573E3" w:rsidP="0036010E">
      <w:pPr>
        <w:pBdr>
          <w:top w:val="nil"/>
          <w:left w:val="nil"/>
          <w:bottom w:val="nil"/>
          <w:right w:val="nil"/>
          <w:between w:val="nil"/>
        </w:pBdr>
        <w:spacing w:line="220" w:lineRule="auto"/>
        <w:jc w:val="center"/>
        <w:rPr>
          <w:b/>
          <w:color w:val="3B3838"/>
          <w:sz w:val="18"/>
          <w:szCs w:val="18"/>
        </w:rPr>
      </w:pPr>
    </w:p>
    <w:p w14:paraId="52F8F117" w14:textId="77777777" w:rsidR="00C265C7" w:rsidRDefault="00C265C7">
      <w:pPr>
        <w:spacing w:line="240" w:lineRule="auto"/>
        <w:jc w:val="left"/>
        <w:rPr>
          <w:rFonts w:eastAsiaTheme="minorEastAsia" w:cstheme="minorBidi"/>
          <w:b/>
          <w:iCs/>
          <w:color w:val="C00000"/>
          <w:sz w:val="18"/>
          <w:szCs w:val="18"/>
          <w:lang w:val="es-419" w:eastAsia="en-US"/>
        </w:rPr>
      </w:pPr>
      <w:bookmarkStart w:id="163" w:name="_Ref165121728"/>
      <w:r>
        <w:rPr>
          <w:color w:val="C00000"/>
          <w:sz w:val="18"/>
        </w:rPr>
        <w:br w:type="page"/>
      </w:r>
    </w:p>
    <w:p w14:paraId="5D819B43" w14:textId="13192657" w:rsidR="003F2AA2" w:rsidRPr="0010451A" w:rsidRDefault="0036010E" w:rsidP="0010451A">
      <w:pPr>
        <w:pStyle w:val="Descripcin"/>
        <w:jc w:val="center"/>
        <w:rPr>
          <w:sz w:val="18"/>
        </w:rPr>
      </w:pPr>
      <w:bookmarkStart w:id="164" w:name="_Toc165169980"/>
      <w:r w:rsidRPr="0010451A">
        <w:rPr>
          <w:noProof/>
          <w:color w:val="C00000"/>
          <w:sz w:val="18"/>
        </w:rPr>
        <w:lastRenderedPageBreak/>
        <w:drawing>
          <wp:anchor distT="0" distB="0" distL="114300" distR="114300" simplePos="0" relativeHeight="251752448" behindDoc="0" locked="0" layoutInCell="1" allowOverlap="1" wp14:anchorId="7CABF99E" wp14:editId="24EFBB57">
            <wp:simplePos x="0" y="0"/>
            <wp:positionH relativeFrom="margin">
              <wp:align>left</wp:align>
            </wp:positionH>
            <wp:positionV relativeFrom="paragraph">
              <wp:posOffset>137160</wp:posOffset>
            </wp:positionV>
            <wp:extent cx="5932800" cy="7675726"/>
            <wp:effectExtent l="0" t="0" r="0" b="0"/>
            <wp:wrapNone/>
            <wp:docPr id="2133515992"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15992" name="image15.png"/>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5932800" cy="7675726"/>
                    </a:xfrm>
                    <a:prstGeom prst="rect">
                      <a:avLst/>
                    </a:prstGeom>
                    <a:ln/>
                  </pic:spPr>
                </pic:pic>
              </a:graphicData>
            </a:graphic>
            <wp14:sizeRelH relativeFrom="page">
              <wp14:pctWidth>0</wp14:pctWidth>
            </wp14:sizeRelH>
            <wp14:sizeRelV relativeFrom="page">
              <wp14:pctHeight>0</wp14:pctHeight>
            </wp14:sizeRelV>
          </wp:anchor>
        </w:drawing>
      </w:r>
      <w:r w:rsidR="0010451A" w:rsidRPr="0010451A">
        <w:rPr>
          <w:color w:val="C00000"/>
          <w:sz w:val="18"/>
        </w:rPr>
        <w:t xml:space="preserve">Figura </w:t>
      </w:r>
      <w:r w:rsidR="0010451A" w:rsidRPr="0010451A">
        <w:rPr>
          <w:color w:val="C00000"/>
          <w:sz w:val="18"/>
        </w:rPr>
        <w:fldChar w:fldCharType="begin"/>
      </w:r>
      <w:r w:rsidR="0010451A" w:rsidRPr="0010451A">
        <w:rPr>
          <w:color w:val="C00000"/>
          <w:sz w:val="18"/>
        </w:rPr>
        <w:instrText xml:space="preserve"> SEQ Figura \* ARABIC </w:instrText>
      </w:r>
      <w:r w:rsidR="0010451A" w:rsidRPr="0010451A">
        <w:rPr>
          <w:color w:val="C00000"/>
          <w:sz w:val="18"/>
        </w:rPr>
        <w:fldChar w:fldCharType="separate"/>
      </w:r>
      <w:r w:rsidR="00D01651">
        <w:rPr>
          <w:noProof/>
          <w:color w:val="C00000"/>
          <w:sz w:val="18"/>
        </w:rPr>
        <w:t>4</w:t>
      </w:r>
      <w:r w:rsidR="0010451A" w:rsidRPr="0010451A">
        <w:rPr>
          <w:color w:val="C00000"/>
          <w:sz w:val="18"/>
        </w:rPr>
        <w:fldChar w:fldCharType="end"/>
      </w:r>
      <w:bookmarkEnd w:id="163"/>
      <w:r w:rsidR="0010451A" w:rsidRPr="0010451A">
        <w:rPr>
          <w:color w:val="C00000"/>
          <w:sz w:val="18"/>
        </w:rPr>
        <w:t xml:space="preserve">. </w:t>
      </w:r>
      <w:r w:rsidR="0010451A">
        <w:rPr>
          <w:sz w:val="18"/>
        </w:rPr>
        <w:t>Metas Estratégicas</w:t>
      </w:r>
      <w:r w:rsidR="003F2AA2" w:rsidRPr="0010451A">
        <w:rPr>
          <w:sz w:val="18"/>
        </w:rPr>
        <w:t xml:space="preserve"> Objetivo 1</w:t>
      </w:r>
      <w:bookmarkEnd w:id="164"/>
    </w:p>
    <w:p w14:paraId="502E3A72" w14:textId="3326787D" w:rsidR="003F2AA2" w:rsidRDefault="003F2AA2" w:rsidP="003F2AA2">
      <w:pPr>
        <w:pBdr>
          <w:top w:val="nil"/>
          <w:left w:val="nil"/>
          <w:bottom w:val="nil"/>
          <w:right w:val="nil"/>
          <w:between w:val="nil"/>
        </w:pBdr>
        <w:spacing w:line="220" w:lineRule="auto"/>
        <w:jc w:val="center"/>
      </w:pPr>
    </w:p>
    <w:p w14:paraId="188510D7" w14:textId="1B73276A" w:rsidR="003F2AA2" w:rsidRDefault="003F2AA2" w:rsidP="003F2AA2">
      <w:pPr>
        <w:pBdr>
          <w:top w:val="nil"/>
          <w:left w:val="nil"/>
          <w:bottom w:val="nil"/>
          <w:right w:val="nil"/>
          <w:between w:val="nil"/>
        </w:pBdr>
        <w:spacing w:line="220" w:lineRule="auto"/>
        <w:jc w:val="center"/>
      </w:pPr>
    </w:p>
    <w:p w14:paraId="43E3D163" w14:textId="77777777" w:rsidR="003F2AA2" w:rsidRDefault="003F2AA2" w:rsidP="003F2AA2"/>
    <w:p w14:paraId="15E48F2B" w14:textId="77777777" w:rsidR="003F2AA2" w:rsidRDefault="003F2AA2" w:rsidP="003F2AA2"/>
    <w:p w14:paraId="7C55340B" w14:textId="77777777" w:rsidR="003F2AA2" w:rsidRDefault="003F2AA2" w:rsidP="003F2AA2"/>
    <w:p w14:paraId="6BBA7883" w14:textId="77777777" w:rsidR="003F2AA2" w:rsidRDefault="003F2AA2" w:rsidP="003F2AA2"/>
    <w:p w14:paraId="6BAE36CB" w14:textId="77777777" w:rsidR="003F2AA2" w:rsidRDefault="003F2AA2" w:rsidP="003F2AA2"/>
    <w:p w14:paraId="1578F7AB" w14:textId="77777777" w:rsidR="003F2AA2" w:rsidRDefault="003F2AA2" w:rsidP="003F2AA2"/>
    <w:p w14:paraId="5CC22094" w14:textId="77777777" w:rsidR="003F2AA2" w:rsidRDefault="003F2AA2" w:rsidP="003F2AA2"/>
    <w:p w14:paraId="1E68B638" w14:textId="77777777" w:rsidR="003F2AA2" w:rsidRDefault="003F2AA2" w:rsidP="003F2AA2"/>
    <w:p w14:paraId="32233DC3" w14:textId="77777777" w:rsidR="003F2AA2" w:rsidRDefault="003F2AA2" w:rsidP="003F2AA2"/>
    <w:p w14:paraId="0D053D41" w14:textId="77777777" w:rsidR="003F2AA2" w:rsidRDefault="003F2AA2" w:rsidP="003F2AA2"/>
    <w:p w14:paraId="1D0BB12B" w14:textId="77777777" w:rsidR="003F2AA2" w:rsidRDefault="003F2AA2" w:rsidP="003F2AA2"/>
    <w:p w14:paraId="64988E31" w14:textId="77777777" w:rsidR="003F2AA2" w:rsidRDefault="003F2AA2" w:rsidP="003F2AA2"/>
    <w:p w14:paraId="4B93EA42" w14:textId="77777777" w:rsidR="003F2AA2" w:rsidRDefault="003F2AA2" w:rsidP="003F2AA2"/>
    <w:p w14:paraId="6A5AAEB8" w14:textId="5CD05640" w:rsidR="00AE1C8E" w:rsidRPr="00B85815" w:rsidRDefault="0036010E" w:rsidP="00C265C7">
      <w:pPr>
        <w:pStyle w:val="Ttulo3"/>
      </w:pPr>
      <w:bookmarkStart w:id="165" w:name="_heading=h.1t3h5sf" w:colFirst="0" w:colLast="0"/>
      <w:bookmarkEnd w:id="165"/>
      <w:r>
        <w:br w:type="page"/>
      </w:r>
      <w:bookmarkStart w:id="166" w:name="_Toc165169756"/>
      <w:r w:rsidR="00B85815" w:rsidRPr="00E21A3C">
        <w:rPr>
          <w:color w:val="C00000"/>
        </w:rPr>
        <w:lastRenderedPageBreak/>
        <w:t>Programas</w:t>
      </w:r>
      <w:bookmarkEnd w:id="166"/>
    </w:p>
    <w:p w14:paraId="71AF7A20" w14:textId="77777777" w:rsidR="003F2AA2" w:rsidRPr="00B85815" w:rsidRDefault="003F2AA2" w:rsidP="00B85815"/>
    <w:p w14:paraId="73ECFF7B" w14:textId="60866709" w:rsidR="003F2AA2" w:rsidRPr="00B85815" w:rsidRDefault="003F2AA2" w:rsidP="00E21A3C">
      <w:pPr>
        <w:pStyle w:val="NIVEL4"/>
        <w:jc w:val="left"/>
      </w:pPr>
      <w:bookmarkStart w:id="167" w:name="_Toc165169757"/>
      <w:r w:rsidRPr="00B85815">
        <w:rPr>
          <w:color w:val="C00000"/>
        </w:rPr>
        <w:t xml:space="preserve">Programa 1: </w:t>
      </w:r>
      <w:r w:rsidR="00E21A3C">
        <w:rPr>
          <w:color w:val="C00000"/>
        </w:rPr>
        <w:br/>
      </w:r>
      <w:r w:rsidRPr="00B85815">
        <w:t>Diálogo social y cultura ciudadana para la convivencia pacífica y la recuperación de la confianza</w:t>
      </w:r>
      <w:bookmarkEnd w:id="167"/>
    </w:p>
    <w:p w14:paraId="6611F436" w14:textId="77777777" w:rsidR="003F2AA2" w:rsidRPr="00B85815" w:rsidRDefault="003F2AA2" w:rsidP="00E21A3C">
      <w:pPr>
        <w:pStyle w:val="subnumeros"/>
        <w:numPr>
          <w:ilvl w:val="0"/>
          <w:numId w:val="0"/>
        </w:numPr>
        <w:ind w:left="1134"/>
        <w:outlineLvl w:val="9"/>
      </w:pPr>
    </w:p>
    <w:p w14:paraId="59D2B66C" w14:textId="77777777" w:rsidR="003F2AA2" w:rsidRPr="004D52F2" w:rsidRDefault="003F2AA2" w:rsidP="004D52F2">
      <w:pPr>
        <w:pStyle w:val="subnumeros"/>
        <w:numPr>
          <w:ilvl w:val="0"/>
          <w:numId w:val="0"/>
        </w:numPr>
        <w:ind w:left="425"/>
        <w:outlineLvl w:val="9"/>
        <w:rPr>
          <w:sz w:val="24"/>
          <w:szCs w:val="22"/>
        </w:rPr>
        <w:sectPr w:rsidR="003F2AA2" w:rsidRPr="004D52F2" w:rsidSect="00F7078E">
          <w:type w:val="continuous"/>
          <w:pgSz w:w="12240" w:h="15840"/>
          <w:pgMar w:top="2262" w:right="1440" w:bottom="1440" w:left="1440" w:header="709" w:footer="709" w:gutter="0"/>
          <w:cols w:space="720"/>
        </w:sectPr>
      </w:pPr>
      <w:r w:rsidRPr="004D52F2">
        <w:rPr>
          <w:sz w:val="24"/>
          <w:szCs w:val="22"/>
        </w:rPr>
        <w:t>Diagnóstico</w:t>
      </w:r>
    </w:p>
    <w:p w14:paraId="03AD4247" w14:textId="77777777" w:rsidR="003F2AA2" w:rsidRPr="000A0323" w:rsidRDefault="003F2AA2" w:rsidP="003F2AA2">
      <w:pPr>
        <w:rPr>
          <w:spacing w:val="-6"/>
        </w:rPr>
      </w:pPr>
      <w:r w:rsidRPr="000A0323">
        <w:rPr>
          <w:spacing w:val="-6"/>
        </w:rPr>
        <w:t>Cerca del 80 % de la población muestra desconfianza hacia personas desconocidas, según la Encuesta de Cultura Política de 2023. Esta actitud impacta negativamente en la convivencia pacífica, por lo que, para construir una ciudad más segura, es crucial abordar y mitigar los factores de riesgo que pueden generar hechos de inseguridad o violencias, ya sea por motivos de edad, orientación sexual, identidad de género, origen, pertenencia étnica, credo o discapacidad, entre otros. Asimismo, promover iniciativas para fomentar el respeto mutuo y la resolución no violenta de conflictos.</w:t>
      </w:r>
    </w:p>
    <w:p w14:paraId="28D446A1" w14:textId="77777777" w:rsidR="003F2AA2" w:rsidRPr="000A0323" w:rsidRDefault="003F2AA2" w:rsidP="003F2AA2">
      <w:pPr>
        <w:rPr>
          <w:spacing w:val="-6"/>
        </w:rPr>
      </w:pPr>
    </w:p>
    <w:p w14:paraId="72A6681A" w14:textId="77777777" w:rsidR="003F2AA2" w:rsidRPr="000A0323" w:rsidRDefault="003F2AA2" w:rsidP="003F2AA2">
      <w:pPr>
        <w:rPr>
          <w:spacing w:val="-6"/>
        </w:rPr>
      </w:pPr>
      <w:r w:rsidRPr="000A0323">
        <w:rPr>
          <w:spacing w:val="-6"/>
        </w:rPr>
        <w:t xml:space="preserve">La desconfianza y la resolución violenta de conflictos está reflejada en los incidentes registrados en el Número Único de Seguridad y Emergencias (NUSE), más conocido como “el 123”, los cuales se </w:t>
      </w:r>
      <w:r w:rsidRPr="000A0323">
        <w:rPr>
          <w:spacing w:val="-6"/>
        </w:rPr>
        <w:t>deben principalmente a las faltas de autorregulación frente a eventos que afectan la convivencia ciudadana, incrementando los riesgos de ocurrencia de eventos de violencia. Uno de estos comportamientos es el consumo de bebidas embriagantes y sustancias psicoactivas en el espacio público, que suelen conllevar a confrontaciones violentas y agresiones físicas (riñas).</w:t>
      </w:r>
    </w:p>
    <w:p w14:paraId="74F49093" w14:textId="77777777" w:rsidR="003F2AA2" w:rsidRPr="000A0323" w:rsidRDefault="003F2AA2" w:rsidP="003F2AA2">
      <w:pPr>
        <w:rPr>
          <w:spacing w:val="-6"/>
        </w:rPr>
      </w:pPr>
    </w:p>
    <w:p w14:paraId="655B3D3A" w14:textId="79288F74" w:rsidR="003F2AA2" w:rsidRPr="000A0323" w:rsidRDefault="003F2AA2" w:rsidP="003F2AA2">
      <w:pPr>
        <w:rPr>
          <w:spacing w:val="-6"/>
        </w:rPr>
        <w:sectPr w:rsidR="003F2AA2" w:rsidRPr="000A0323" w:rsidSect="00F7078E">
          <w:type w:val="continuous"/>
          <w:pgSz w:w="12240" w:h="15840"/>
          <w:pgMar w:top="2262" w:right="1440" w:bottom="1440" w:left="1440" w:header="709" w:footer="709" w:gutter="0"/>
          <w:cols w:num="2" w:space="720" w:equalWidth="0">
            <w:col w:w="4396" w:space="567"/>
            <w:col w:w="4396" w:space="0"/>
          </w:cols>
        </w:sectPr>
      </w:pPr>
      <w:r w:rsidRPr="000A0323">
        <w:rPr>
          <w:spacing w:val="-6"/>
        </w:rPr>
        <w:t xml:space="preserve">En 2023, la línea 123 recibió 440.000 llamadas por riñas; entre 2020 y 2023, este tipo de incidentes pasaron de representar un 45 % a un 51 % de las llamadas recibidas. Esta situación impacta directamente en la capacidad de respuesta de la Policía, especialmente considerando que la ciudad dispone de solo 17.000 efectivos para hacer frente a este tipo de eventos y otros </w:t>
      </w:r>
      <w:r w:rsidR="00EC7F56">
        <w:rPr>
          <w:spacing w:val="-6"/>
        </w:rPr>
        <w:t>(</w:t>
      </w:r>
      <w:r w:rsidR="00EC7F56" w:rsidRPr="00EC7F56">
        <w:rPr>
          <w:spacing w:val="-6"/>
        </w:rPr>
        <w:fldChar w:fldCharType="begin"/>
      </w:r>
      <w:r w:rsidR="00EC7F56" w:rsidRPr="00EC7F56">
        <w:rPr>
          <w:spacing w:val="-6"/>
        </w:rPr>
        <w:instrText xml:space="preserve"> REF _Ref165122657 \h </w:instrText>
      </w:r>
      <w:r w:rsidR="00EC7F56" w:rsidRPr="00EC7F56">
        <w:rPr>
          <w:spacing w:val="-6"/>
        </w:rPr>
      </w:r>
      <w:r w:rsidR="00EC7F56" w:rsidRPr="00EC7F56">
        <w:rPr>
          <w:spacing w:val="-6"/>
        </w:rPr>
        <w:fldChar w:fldCharType="separate"/>
      </w:r>
      <w:r w:rsidR="00D01651" w:rsidRPr="00EC7F56">
        <w:rPr>
          <w:color w:val="C00000"/>
          <w:sz w:val="18"/>
          <w:szCs w:val="18"/>
        </w:rPr>
        <w:t xml:space="preserve">Gráfica </w:t>
      </w:r>
      <w:r w:rsidR="00D01651">
        <w:rPr>
          <w:noProof/>
          <w:color w:val="C00000"/>
          <w:sz w:val="18"/>
        </w:rPr>
        <w:t>28</w:t>
      </w:r>
      <w:r w:rsidR="00EC7F56" w:rsidRPr="00EC7F56">
        <w:rPr>
          <w:spacing w:val="-6"/>
        </w:rPr>
        <w:fldChar w:fldCharType="end"/>
      </w:r>
      <w:r w:rsidRPr="00EC7F56">
        <w:rPr>
          <w:spacing w:val="-6"/>
        </w:rPr>
        <w:t>).</w:t>
      </w:r>
    </w:p>
    <w:p w14:paraId="7848D493" w14:textId="77777777" w:rsidR="003F2AA2" w:rsidRDefault="003F2AA2" w:rsidP="003F2AA2">
      <w:pPr>
        <w:sectPr w:rsidR="003F2AA2" w:rsidSect="00F7078E">
          <w:type w:val="continuous"/>
          <w:pgSz w:w="12240" w:h="15840"/>
          <w:pgMar w:top="2262" w:right="1440" w:bottom="1440" w:left="1440" w:header="709" w:footer="709" w:gutter="0"/>
          <w:cols w:num="2" w:space="720" w:equalWidth="0">
            <w:col w:w="4396" w:space="567"/>
            <w:col w:w="4396" w:space="0"/>
          </w:cols>
        </w:sectPr>
      </w:pPr>
    </w:p>
    <w:p w14:paraId="1D100AEF" w14:textId="50D07C2C" w:rsidR="003F2AA2" w:rsidRDefault="003F2AA2" w:rsidP="003F2AA2">
      <w:pPr>
        <w:sectPr w:rsidR="003F2AA2" w:rsidSect="00F7078E">
          <w:type w:val="continuous"/>
          <w:pgSz w:w="12240" w:h="15840"/>
          <w:pgMar w:top="2262" w:right="1440" w:bottom="1440" w:left="1440" w:header="709" w:footer="709" w:gutter="0"/>
          <w:cols w:space="720"/>
        </w:sectPr>
      </w:pPr>
    </w:p>
    <w:p w14:paraId="09D306AF" w14:textId="1DC9CA2D" w:rsidR="004D52F2" w:rsidRPr="00EC7F56" w:rsidRDefault="00EC7F56" w:rsidP="004D52F2">
      <w:pPr>
        <w:pStyle w:val="Descripcin"/>
        <w:jc w:val="center"/>
        <w:rPr>
          <w:color w:val="C00000"/>
          <w:sz w:val="18"/>
        </w:rPr>
      </w:pPr>
      <w:bookmarkStart w:id="168" w:name="_Ref165122657"/>
      <w:bookmarkStart w:id="169" w:name="_Ref165122651"/>
      <w:bookmarkStart w:id="170" w:name="_Toc165169854"/>
      <w:r>
        <w:rPr>
          <w:noProof/>
        </w:rPr>
        <w:drawing>
          <wp:anchor distT="0" distB="0" distL="114300" distR="114300" simplePos="0" relativeHeight="251743232" behindDoc="0" locked="0" layoutInCell="1" hidden="0" allowOverlap="1" wp14:anchorId="53A3AACF" wp14:editId="47D0C13C">
            <wp:simplePos x="0" y="0"/>
            <wp:positionH relativeFrom="margin">
              <wp:align>center</wp:align>
            </wp:positionH>
            <wp:positionV relativeFrom="paragraph">
              <wp:posOffset>244591</wp:posOffset>
            </wp:positionV>
            <wp:extent cx="4941570" cy="2151380"/>
            <wp:effectExtent l="0" t="0" r="0" b="0"/>
            <wp:wrapNone/>
            <wp:docPr id="213351598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rotWithShape="1">
                    <a:blip r:embed="rId95"/>
                    <a:srcRect t="12898"/>
                    <a:stretch/>
                  </pic:blipFill>
                  <pic:spPr bwMode="auto">
                    <a:xfrm>
                      <a:off x="0" y="0"/>
                      <a:ext cx="4941570" cy="215138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D52F2" w:rsidRPr="00EC7F56">
        <w:rPr>
          <w:color w:val="C00000"/>
          <w:sz w:val="18"/>
        </w:rPr>
        <w:t xml:space="preserve">Gráfica </w:t>
      </w:r>
      <w:r w:rsidR="004D52F2" w:rsidRPr="00EC7F56">
        <w:rPr>
          <w:color w:val="C00000"/>
          <w:sz w:val="18"/>
        </w:rPr>
        <w:fldChar w:fldCharType="begin"/>
      </w:r>
      <w:r w:rsidR="004D52F2" w:rsidRPr="00EC7F56">
        <w:rPr>
          <w:color w:val="C00000"/>
          <w:sz w:val="18"/>
        </w:rPr>
        <w:instrText xml:space="preserve"> SEQ Gráfica \* ARABIC </w:instrText>
      </w:r>
      <w:r w:rsidR="004D52F2" w:rsidRPr="00EC7F56">
        <w:rPr>
          <w:color w:val="C00000"/>
          <w:sz w:val="18"/>
        </w:rPr>
        <w:fldChar w:fldCharType="separate"/>
      </w:r>
      <w:r w:rsidR="00D01651">
        <w:rPr>
          <w:noProof/>
          <w:color w:val="C00000"/>
          <w:sz w:val="18"/>
        </w:rPr>
        <w:t>28</w:t>
      </w:r>
      <w:r w:rsidR="004D52F2" w:rsidRPr="00EC7F56">
        <w:rPr>
          <w:color w:val="C00000"/>
          <w:sz w:val="18"/>
        </w:rPr>
        <w:fldChar w:fldCharType="end"/>
      </w:r>
      <w:bookmarkEnd w:id="168"/>
      <w:r w:rsidR="004D52F2" w:rsidRPr="00EC7F56">
        <w:rPr>
          <w:color w:val="C00000"/>
          <w:sz w:val="18"/>
        </w:rPr>
        <w:t>.</w:t>
      </w:r>
      <w:r w:rsidR="003F2AA2" w:rsidRPr="00EC7F56">
        <w:rPr>
          <w:color w:val="C00000"/>
          <w:sz w:val="18"/>
        </w:rPr>
        <w:t xml:space="preserve"> </w:t>
      </w:r>
      <w:r w:rsidR="004D52F2" w:rsidRPr="00EC7F56">
        <w:rPr>
          <w:color w:val="3B3838"/>
          <w:sz w:val="18"/>
        </w:rPr>
        <w:t>Incidentes por riñas reportados al NUSE 123</w:t>
      </w:r>
      <w:bookmarkEnd w:id="169"/>
      <w:bookmarkEnd w:id="170"/>
    </w:p>
    <w:p w14:paraId="0B802C4C" w14:textId="0B4AFD76" w:rsidR="003F2AA2" w:rsidRDefault="003F2AA2" w:rsidP="003F2AA2">
      <w:pPr>
        <w:pBdr>
          <w:top w:val="nil"/>
          <w:left w:val="nil"/>
          <w:bottom w:val="nil"/>
          <w:right w:val="nil"/>
          <w:between w:val="nil"/>
        </w:pBdr>
        <w:spacing w:line="220" w:lineRule="auto"/>
        <w:jc w:val="center"/>
        <w:rPr>
          <w:color w:val="C00000"/>
          <w:sz w:val="18"/>
          <w:szCs w:val="18"/>
        </w:rPr>
        <w:sectPr w:rsidR="003F2AA2" w:rsidSect="00F7078E">
          <w:type w:val="continuous"/>
          <w:pgSz w:w="12240" w:h="15840"/>
          <w:pgMar w:top="2262" w:right="1440" w:bottom="1440" w:left="1440" w:header="709" w:footer="709" w:gutter="0"/>
          <w:cols w:space="720"/>
        </w:sectPr>
      </w:pPr>
      <w:r>
        <w:rPr>
          <w:color w:val="C00000"/>
          <w:sz w:val="18"/>
          <w:szCs w:val="18"/>
        </w:rPr>
        <w:t xml:space="preserve"> </w:t>
      </w:r>
    </w:p>
    <w:p w14:paraId="4F301F4C" w14:textId="686D5018" w:rsidR="003F2AA2" w:rsidRDefault="003F2AA2" w:rsidP="003F2AA2">
      <w:pPr>
        <w:pBdr>
          <w:top w:val="nil"/>
          <w:left w:val="nil"/>
          <w:bottom w:val="nil"/>
          <w:right w:val="nil"/>
          <w:between w:val="nil"/>
        </w:pBdr>
        <w:spacing w:line="220" w:lineRule="auto"/>
        <w:jc w:val="center"/>
        <w:rPr>
          <w:color w:val="C00000"/>
          <w:sz w:val="18"/>
          <w:szCs w:val="18"/>
        </w:rPr>
      </w:pPr>
    </w:p>
    <w:p w14:paraId="042D8F96" w14:textId="30DFC391" w:rsidR="003F2AA2" w:rsidRDefault="003F2AA2" w:rsidP="003F2AA2">
      <w:pPr>
        <w:pBdr>
          <w:top w:val="nil"/>
          <w:left w:val="nil"/>
          <w:bottom w:val="nil"/>
          <w:right w:val="nil"/>
          <w:between w:val="nil"/>
        </w:pBdr>
        <w:spacing w:line="220" w:lineRule="auto"/>
        <w:jc w:val="center"/>
        <w:rPr>
          <w:color w:val="C00000"/>
          <w:sz w:val="18"/>
          <w:szCs w:val="18"/>
        </w:rPr>
      </w:pPr>
    </w:p>
    <w:p w14:paraId="62EA3353" w14:textId="6A39ED9A" w:rsidR="003F2AA2" w:rsidRDefault="003F2AA2" w:rsidP="003F2AA2">
      <w:pPr>
        <w:pBdr>
          <w:top w:val="nil"/>
          <w:left w:val="nil"/>
          <w:bottom w:val="nil"/>
          <w:right w:val="nil"/>
          <w:between w:val="nil"/>
        </w:pBdr>
        <w:spacing w:line="220" w:lineRule="auto"/>
        <w:jc w:val="center"/>
        <w:rPr>
          <w:color w:val="C00000"/>
          <w:sz w:val="18"/>
          <w:szCs w:val="18"/>
        </w:rPr>
      </w:pPr>
    </w:p>
    <w:p w14:paraId="4B5D0E80" w14:textId="28A85729" w:rsidR="004E6650" w:rsidRDefault="004E6650" w:rsidP="003F2AA2">
      <w:pPr>
        <w:pBdr>
          <w:top w:val="nil"/>
          <w:left w:val="nil"/>
          <w:bottom w:val="nil"/>
          <w:right w:val="nil"/>
          <w:between w:val="nil"/>
        </w:pBdr>
        <w:spacing w:line="220" w:lineRule="auto"/>
        <w:jc w:val="center"/>
        <w:rPr>
          <w:color w:val="C00000"/>
          <w:sz w:val="18"/>
          <w:szCs w:val="18"/>
        </w:rPr>
      </w:pPr>
    </w:p>
    <w:p w14:paraId="0B2CE06F" w14:textId="6D65DD48" w:rsidR="004E6650" w:rsidRDefault="004E6650" w:rsidP="003F2AA2">
      <w:pPr>
        <w:pBdr>
          <w:top w:val="nil"/>
          <w:left w:val="nil"/>
          <w:bottom w:val="nil"/>
          <w:right w:val="nil"/>
          <w:between w:val="nil"/>
        </w:pBdr>
        <w:spacing w:line="220" w:lineRule="auto"/>
        <w:jc w:val="center"/>
        <w:rPr>
          <w:color w:val="C00000"/>
          <w:sz w:val="18"/>
          <w:szCs w:val="18"/>
        </w:rPr>
      </w:pPr>
    </w:p>
    <w:p w14:paraId="55585ECD" w14:textId="3A39C473" w:rsidR="004E6650" w:rsidRDefault="004E6650" w:rsidP="003F2AA2">
      <w:pPr>
        <w:pBdr>
          <w:top w:val="nil"/>
          <w:left w:val="nil"/>
          <w:bottom w:val="nil"/>
          <w:right w:val="nil"/>
          <w:between w:val="nil"/>
        </w:pBdr>
        <w:spacing w:line="220" w:lineRule="auto"/>
        <w:jc w:val="center"/>
        <w:rPr>
          <w:color w:val="C00000"/>
          <w:sz w:val="18"/>
          <w:szCs w:val="18"/>
        </w:rPr>
      </w:pPr>
    </w:p>
    <w:p w14:paraId="553251C8" w14:textId="1282471F" w:rsidR="004E6650" w:rsidRDefault="004E6650" w:rsidP="003F2AA2">
      <w:pPr>
        <w:pBdr>
          <w:top w:val="nil"/>
          <w:left w:val="nil"/>
          <w:bottom w:val="nil"/>
          <w:right w:val="nil"/>
          <w:between w:val="nil"/>
        </w:pBdr>
        <w:spacing w:line="220" w:lineRule="auto"/>
        <w:jc w:val="center"/>
        <w:rPr>
          <w:color w:val="C00000"/>
          <w:sz w:val="18"/>
          <w:szCs w:val="18"/>
        </w:rPr>
      </w:pPr>
    </w:p>
    <w:p w14:paraId="51871603" w14:textId="466441CA" w:rsidR="004E6650" w:rsidRDefault="004E6650" w:rsidP="003F2AA2">
      <w:pPr>
        <w:pBdr>
          <w:top w:val="nil"/>
          <w:left w:val="nil"/>
          <w:bottom w:val="nil"/>
          <w:right w:val="nil"/>
          <w:between w:val="nil"/>
        </w:pBdr>
        <w:spacing w:line="220" w:lineRule="auto"/>
        <w:jc w:val="center"/>
        <w:rPr>
          <w:color w:val="C00000"/>
          <w:sz w:val="18"/>
          <w:szCs w:val="18"/>
        </w:rPr>
      </w:pPr>
    </w:p>
    <w:p w14:paraId="0F3CADEA" w14:textId="6EABA380" w:rsidR="004E6650" w:rsidRDefault="004E6650" w:rsidP="003F2AA2">
      <w:pPr>
        <w:pBdr>
          <w:top w:val="nil"/>
          <w:left w:val="nil"/>
          <w:bottom w:val="nil"/>
          <w:right w:val="nil"/>
          <w:between w:val="nil"/>
        </w:pBdr>
        <w:spacing w:line="220" w:lineRule="auto"/>
        <w:jc w:val="center"/>
        <w:rPr>
          <w:color w:val="C00000"/>
          <w:sz w:val="18"/>
          <w:szCs w:val="18"/>
        </w:rPr>
      </w:pPr>
    </w:p>
    <w:p w14:paraId="68786982" w14:textId="6E7499FC" w:rsidR="004E6650" w:rsidRDefault="004E6650" w:rsidP="003F2AA2">
      <w:pPr>
        <w:pBdr>
          <w:top w:val="nil"/>
          <w:left w:val="nil"/>
          <w:bottom w:val="nil"/>
          <w:right w:val="nil"/>
          <w:between w:val="nil"/>
        </w:pBdr>
        <w:spacing w:line="220" w:lineRule="auto"/>
        <w:jc w:val="center"/>
        <w:rPr>
          <w:color w:val="C00000"/>
          <w:sz w:val="18"/>
          <w:szCs w:val="18"/>
        </w:rPr>
      </w:pPr>
    </w:p>
    <w:p w14:paraId="0A4438C2" w14:textId="764226A4" w:rsidR="004E6650" w:rsidRDefault="004E6650" w:rsidP="003F2AA2">
      <w:pPr>
        <w:pBdr>
          <w:top w:val="nil"/>
          <w:left w:val="nil"/>
          <w:bottom w:val="nil"/>
          <w:right w:val="nil"/>
          <w:between w:val="nil"/>
        </w:pBdr>
        <w:spacing w:line="220" w:lineRule="auto"/>
        <w:jc w:val="center"/>
        <w:rPr>
          <w:color w:val="C00000"/>
          <w:sz w:val="18"/>
          <w:szCs w:val="18"/>
        </w:rPr>
      </w:pPr>
    </w:p>
    <w:p w14:paraId="62D15C4F" w14:textId="14CF30EC" w:rsidR="004E6650" w:rsidRDefault="004E6650" w:rsidP="003F2AA2">
      <w:pPr>
        <w:pBdr>
          <w:top w:val="nil"/>
          <w:left w:val="nil"/>
          <w:bottom w:val="nil"/>
          <w:right w:val="nil"/>
          <w:between w:val="nil"/>
        </w:pBdr>
        <w:spacing w:line="220" w:lineRule="auto"/>
        <w:jc w:val="center"/>
        <w:rPr>
          <w:color w:val="C00000"/>
          <w:sz w:val="18"/>
          <w:szCs w:val="18"/>
        </w:rPr>
      </w:pPr>
    </w:p>
    <w:p w14:paraId="6B9488A0" w14:textId="6B548C1D" w:rsidR="004E6650" w:rsidRDefault="004E6650" w:rsidP="003F2AA2">
      <w:pPr>
        <w:pBdr>
          <w:top w:val="nil"/>
          <w:left w:val="nil"/>
          <w:bottom w:val="nil"/>
          <w:right w:val="nil"/>
          <w:between w:val="nil"/>
        </w:pBdr>
        <w:spacing w:line="220" w:lineRule="auto"/>
        <w:jc w:val="center"/>
        <w:rPr>
          <w:color w:val="C00000"/>
          <w:sz w:val="18"/>
          <w:szCs w:val="18"/>
        </w:rPr>
      </w:pPr>
    </w:p>
    <w:p w14:paraId="0B57D187" w14:textId="430DD599" w:rsidR="004E6650" w:rsidRDefault="004E6650" w:rsidP="003F2AA2">
      <w:pPr>
        <w:pBdr>
          <w:top w:val="nil"/>
          <w:left w:val="nil"/>
          <w:bottom w:val="nil"/>
          <w:right w:val="nil"/>
          <w:between w:val="nil"/>
        </w:pBdr>
        <w:spacing w:line="220" w:lineRule="auto"/>
        <w:jc w:val="center"/>
        <w:rPr>
          <w:color w:val="C00000"/>
          <w:sz w:val="18"/>
          <w:szCs w:val="18"/>
        </w:rPr>
      </w:pPr>
    </w:p>
    <w:p w14:paraId="04C83935" w14:textId="10476BF1" w:rsidR="004E6650" w:rsidRDefault="004E6650" w:rsidP="003F2AA2">
      <w:pPr>
        <w:pBdr>
          <w:top w:val="nil"/>
          <w:left w:val="nil"/>
          <w:bottom w:val="nil"/>
          <w:right w:val="nil"/>
          <w:between w:val="nil"/>
        </w:pBdr>
        <w:spacing w:line="220" w:lineRule="auto"/>
        <w:jc w:val="center"/>
        <w:rPr>
          <w:color w:val="C00000"/>
          <w:sz w:val="18"/>
          <w:szCs w:val="18"/>
        </w:rPr>
      </w:pPr>
    </w:p>
    <w:p w14:paraId="1F04AD2E" w14:textId="11749322" w:rsidR="004E6650" w:rsidRDefault="004E6650" w:rsidP="003F2AA2">
      <w:pPr>
        <w:pBdr>
          <w:top w:val="nil"/>
          <w:left w:val="nil"/>
          <w:bottom w:val="nil"/>
          <w:right w:val="nil"/>
          <w:between w:val="nil"/>
        </w:pBdr>
        <w:spacing w:line="220" w:lineRule="auto"/>
        <w:jc w:val="center"/>
        <w:rPr>
          <w:color w:val="C00000"/>
          <w:sz w:val="18"/>
          <w:szCs w:val="18"/>
        </w:rPr>
      </w:pPr>
    </w:p>
    <w:p w14:paraId="4DBFDC15" w14:textId="6CFBCD55" w:rsidR="003F2AA2" w:rsidRDefault="003F2AA2" w:rsidP="003F2AA2"/>
    <w:p w14:paraId="1C125BD3"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Cálculos propios a partir de reportes de incidentes al NUSE 123.</w:t>
      </w:r>
    </w:p>
    <w:p w14:paraId="0A324933" w14:textId="77777777" w:rsidR="00392285" w:rsidRDefault="00392285" w:rsidP="003F2AA2">
      <w:pPr>
        <w:pBdr>
          <w:top w:val="nil"/>
          <w:left w:val="nil"/>
          <w:bottom w:val="nil"/>
          <w:right w:val="nil"/>
          <w:between w:val="nil"/>
        </w:pBdr>
        <w:spacing w:line="220" w:lineRule="auto"/>
        <w:jc w:val="center"/>
        <w:rPr>
          <w:color w:val="3B3838"/>
          <w:sz w:val="18"/>
          <w:szCs w:val="18"/>
        </w:rPr>
      </w:pPr>
    </w:p>
    <w:p w14:paraId="546ADECE" w14:textId="3F5A3AF5" w:rsidR="00392285" w:rsidRDefault="00392285" w:rsidP="003F2AA2">
      <w:pPr>
        <w:pBdr>
          <w:top w:val="nil"/>
          <w:left w:val="nil"/>
          <w:bottom w:val="nil"/>
          <w:right w:val="nil"/>
          <w:between w:val="nil"/>
        </w:pBdr>
        <w:spacing w:line="220" w:lineRule="auto"/>
        <w:jc w:val="center"/>
        <w:rPr>
          <w:color w:val="3B3838"/>
          <w:sz w:val="18"/>
          <w:szCs w:val="18"/>
        </w:rPr>
        <w:sectPr w:rsidR="00392285" w:rsidSect="00F7078E">
          <w:type w:val="continuous"/>
          <w:pgSz w:w="12240" w:h="15840"/>
          <w:pgMar w:top="2262" w:right="1440" w:bottom="1440" w:left="1440" w:header="709" w:footer="709" w:gutter="0"/>
          <w:cols w:space="720"/>
        </w:sectPr>
      </w:pPr>
    </w:p>
    <w:p w14:paraId="2D83B0C2" w14:textId="72A7BFB2" w:rsidR="003F2AA2" w:rsidRDefault="003F2AA2" w:rsidP="003F2AA2">
      <w:pPr>
        <w:sectPr w:rsidR="003F2AA2" w:rsidSect="00F7078E">
          <w:type w:val="continuous"/>
          <w:pgSz w:w="12240" w:h="15840"/>
          <w:pgMar w:top="2262" w:right="1440" w:bottom="1440" w:left="1440" w:header="709" w:footer="709" w:gutter="0"/>
          <w:cols w:num="2" w:space="720" w:equalWidth="0">
            <w:col w:w="4396" w:space="567"/>
            <w:col w:w="4396" w:space="0"/>
          </w:cols>
        </w:sectPr>
      </w:pPr>
      <w:r>
        <w:t xml:space="preserve">Ahora bien, el diagnóstico de comportamientos que afectan la convivencia ciudadana se </w:t>
      </w:r>
      <w:r>
        <w:t xml:space="preserve">atribuye en gran medida al incumplimiento de las normas establecidas; ejemplo de estos son el </w:t>
      </w:r>
      <w:r>
        <w:lastRenderedPageBreak/>
        <w:t xml:space="preserve">no pago del pasaje de transporte, el consumo de bebidas alcohólicas en lugares públicos, el porte de objetos contundentes y cortopunzantes, y la ocupación indebida del espacio público. </w:t>
      </w:r>
      <w:r>
        <w:t>Estos datos se reflejan en el seguimiento de las infracciones al Código Nacional de Seguridad y Convivencia Ciudadana (CNSCC) (</w:t>
      </w:r>
      <w:r w:rsidR="00392285" w:rsidRPr="00392285">
        <w:fldChar w:fldCharType="begin"/>
      </w:r>
      <w:r w:rsidR="00392285" w:rsidRPr="00392285">
        <w:instrText xml:space="preserve"> REF _Ref165122716 \h </w:instrText>
      </w:r>
      <w:r w:rsidR="00392285" w:rsidRPr="00392285">
        <w:fldChar w:fldCharType="separate"/>
      </w:r>
      <w:r w:rsidR="00D01651" w:rsidRPr="00392285">
        <w:rPr>
          <w:color w:val="C00000"/>
          <w:sz w:val="18"/>
          <w:szCs w:val="18"/>
        </w:rPr>
        <w:t xml:space="preserve">Tabla </w:t>
      </w:r>
      <w:r w:rsidR="00D01651">
        <w:rPr>
          <w:noProof/>
          <w:color w:val="C00000"/>
          <w:sz w:val="18"/>
        </w:rPr>
        <w:t>11</w:t>
      </w:r>
      <w:r w:rsidR="00392285" w:rsidRPr="00392285">
        <w:fldChar w:fldCharType="end"/>
      </w:r>
      <w:r>
        <w:t>).</w:t>
      </w:r>
    </w:p>
    <w:p w14:paraId="3020C444" w14:textId="77777777" w:rsidR="003F2AA2" w:rsidRDefault="003F2AA2" w:rsidP="003F2AA2">
      <w:pPr>
        <w:rPr>
          <w:b/>
        </w:rPr>
      </w:pPr>
    </w:p>
    <w:p w14:paraId="74162A9C" w14:textId="77777777" w:rsidR="003F2AA2" w:rsidRDefault="003F2AA2" w:rsidP="003F2AA2">
      <w:pPr>
        <w:pBdr>
          <w:top w:val="nil"/>
          <w:left w:val="nil"/>
          <w:bottom w:val="nil"/>
          <w:right w:val="nil"/>
          <w:between w:val="nil"/>
        </w:pBdr>
        <w:spacing w:line="220" w:lineRule="auto"/>
        <w:jc w:val="center"/>
        <w:rPr>
          <w:b/>
          <w:color w:val="C00000"/>
          <w:sz w:val="18"/>
          <w:szCs w:val="18"/>
        </w:rPr>
      </w:pPr>
      <w:bookmarkStart w:id="171" w:name="_heading=h.4d34og8" w:colFirst="0" w:colLast="0"/>
      <w:bookmarkEnd w:id="171"/>
    </w:p>
    <w:p w14:paraId="116D8E92" w14:textId="38428B1C" w:rsidR="003F2AA2" w:rsidRPr="00392285" w:rsidRDefault="00392285" w:rsidP="00392285">
      <w:pPr>
        <w:pStyle w:val="Descripcin"/>
        <w:jc w:val="center"/>
        <w:rPr>
          <w:color w:val="3B3838"/>
          <w:sz w:val="18"/>
        </w:rPr>
      </w:pPr>
      <w:bookmarkStart w:id="172" w:name="_Ref165122716"/>
      <w:bookmarkStart w:id="173" w:name="_Toc165169921"/>
      <w:r w:rsidRPr="00392285">
        <w:rPr>
          <w:color w:val="C00000"/>
          <w:sz w:val="18"/>
        </w:rPr>
        <w:t xml:space="preserve">Tabla </w:t>
      </w:r>
      <w:r w:rsidRPr="00392285">
        <w:rPr>
          <w:color w:val="C00000"/>
          <w:sz w:val="18"/>
        </w:rPr>
        <w:fldChar w:fldCharType="begin"/>
      </w:r>
      <w:r w:rsidRPr="00392285">
        <w:rPr>
          <w:color w:val="C00000"/>
          <w:sz w:val="18"/>
        </w:rPr>
        <w:instrText xml:space="preserve"> SEQ Tabla \* ARABIC </w:instrText>
      </w:r>
      <w:r w:rsidRPr="00392285">
        <w:rPr>
          <w:color w:val="C00000"/>
          <w:sz w:val="18"/>
        </w:rPr>
        <w:fldChar w:fldCharType="separate"/>
      </w:r>
      <w:r w:rsidR="00D01651">
        <w:rPr>
          <w:noProof/>
          <w:color w:val="C00000"/>
          <w:sz w:val="18"/>
        </w:rPr>
        <w:t>11</w:t>
      </w:r>
      <w:r w:rsidRPr="00392285">
        <w:rPr>
          <w:color w:val="C00000"/>
          <w:sz w:val="18"/>
        </w:rPr>
        <w:fldChar w:fldCharType="end"/>
      </w:r>
      <w:bookmarkEnd w:id="172"/>
      <w:r w:rsidRPr="00392285">
        <w:rPr>
          <w:color w:val="C00000"/>
          <w:sz w:val="18"/>
        </w:rPr>
        <w:t xml:space="preserve">. </w:t>
      </w:r>
      <w:r w:rsidR="003F2AA2" w:rsidRPr="00392285">
        <w:rPr>
          <w:color w:val="3B3838"/>
          <w:sz w:val="18"/>
        </w:rPr>
        <w:t>Top 5 de los comportamientos contrarios a la convivencia más comunes en Bogotá (2023)</w:t>
      </w:r>
      <w:bookmarkEnd w:id="173"/>
    </w:p>
    <w:p w14:paraId="33034018" w14:textId="77777777" w:rsidR="003F2AA2" w:rsidRDefault="003F2AA2" w:rsidP="003F2AA2">
      <w:pPr>
        <w:pBdr>
          <w:top w:val="nil"/>
          <w:left w:val="nil"/>
          <w:bottom w:val="nil"/>
          <w:right w:val="nil"/>
          <w:between w:val="nil"/>
        </w:pBdr>
        <w:spacing w:line="220" w:lineRule="auto"/>
        <w:jc w:val="center"/>
        <w:rPr>
          <w:b/>
          <w:color w:val="3B3838"/>
          <w:sz w:val="18"/>
          <w:szCs w:val="18"/>
        </w:rPr>
        <w:sectPr w:rsidR="003F2AA2" w:rsidSect="00F7078E">
          <w:type w:val="continuous"/>
          <w:pgSz w:w="12240" w:h="15840"/>
          <w:pgMar w:top="2262" w:right="1440" w:bottom="1440" w:left="1440" w:header="709" w:footer="709" w:gutter="0"/>
          <w:cols w:space="720"/>
        </w:sectPr>
      </w:pPr>
    </w:p>
    <w:p w14:paraId="1EBEB662" w14:textId="77777777" w:rsidR="003F2AA2" w:rsidRDefault="003F2AA2" w:rsidP="003F2AA2">
      <w:pPr>
        <w:widowControl w:val="0"/>
        <w:pBdr>
          <w:top w:val="nil"/>
          <w:left w:val="nil"/>
          <w:bottom w:val="nil"/>
          <w:right w:val="nil"/>
          <w:between w:val="nil"/>
        </w:pBdr>
        <w:spacing w:line="276" w:lineRule="auto"/>
        <w:jc w:val="left"/>
        <w:rPr>
          <w:b/>
          <w:color w:val="3B3838"/>
          <w:sz w:val="18"/>
          <w:szCs w:val="18"/>
        </w:rPr>
      </w:pPr>
    </w:p>
    <w:tbl>
      <w:tblPr>
        <w:tblW w:w="9183" w:type="dxa"/>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5670"/>
        <w:gridCol w:w="3513"/>
      </w:tblGrid>
      <w:tr w:rsidR="003F2AA2" w14:paraId="77999BC4" w14:textId="77777777" w:rsidTr="004E6650">
        <w:trPr>
          <w:trHeight w:val="795"/>
        </w:trPr>
        <w:tc>
          <w:tcPr>
            <w:tcW w:w="5670" w:type="dxa"/>
            <w:shd w:val="clear" w:color="auto" w:fill="C00000"/>
            <w:vAlign w:val="center"/>
          </w:tcPr>
          <w:p w14:paraId="15678307" w14:textId="77777777" w:rsidR="003F2AA2" w:rsidRDefault="003F2AA2" w:rsidP="004F6427">
            <w:pPr>
              <w:keepNext/>
              <w:keepLines/>
              <w:pBdr>
                <w:top w:val="nil"/>
                <w:left w:val="nil"/>
                <w:bottom w:val="nil"/>
                <w:right w:val="nil"/>
                <w:between w:val="nil"/>
              </w:pBdr>
              <w:spacing w:line="280" w:lineRule="exact"/>
              <w:ind w:left="1145" w:hanging="720"/>
              <w:jc w:val="right"/>
              <w:rPr>
                <w:b/>
                <w:color w:val="FFFFFF"/>
                <w:sz w:val="28"/>
                <w:szCs w:val="28"/>
              </w:rPr>
            </w:pPr>
            <w:r>
              <w:rPr>
                <w:b/>
                <w:color w:val="FFFFFF"/>
                <w:sz w:val="28"/>
                <w:szCs w:val="28"/>
              </w:rPr>
              <w:t xml:space="preserve">Comportamiento </w:t>
            </w:r>
          </w:p>
          <w:p w14:paraId="3F1A6A93" w14:textId="77777777" w:rsidR="003F2AA2" w:rsidRDefault="003F2AA2" w:rsidP="004F6427">
            <w:pPr>
              <w:keepNext/>
              <w:keepLines/>
              <w:pBdr>
                <w:top w:val="nil"/>
                <w:left w:val="nil"/>
                <w:bottom w:val="nil"/>
                <w:right w:val="nil"/>
                <w:between w:val="nil"/>
              </w:pBdr>
              <w:spacing w:line="280" w:lineRule="exact"/>
              <w:ind w:left="1145" w:hanging="720"/>
              <w:jc w:val="right"/>
              <w:rPr>
                <w:b/>
                <w:color w:val="FFFFFF"/>
                <w:sz w:val="28"/>
                <w:szCs w:val="28"/>
              </w:rPr>
            </w:pPr>
            <w:r>
              <w:rPr>
                <w:b/>
                <w:color w:val="FFFFFF"/>
                <w:sz w:val="28"/>
                <w:szCs w:val="28"/>
              </w:rPr>
              <w:t>contrario a la convivencia</w:t>
            </w:r>
          </w:p>
        </w:tc>
        <w:tc>
          <w:tcPr>
            <w:tcW w:w="3513" w:type="dxa"/>
            <w:shd w:val="clear" w:color="auto" w:fill="C00000"/>
            <w:vAlign w:val="center"/>
          </w:tcPr>
          <w:p w14:paraId="73776ABB" w14:textId="77777777" w:rsidR="003F2AA2" w:rsidRDefault="003F2AA2" w:rsidP="004F6427">
            <w:pPr>
              <w:keepNext/>
              <w:keepLines/>
              <w:pBdr>
                <w:top w:val="nil"/>
                <w:left w:val="nil"/>
                <w:bottom w:val="nil"/>
                <w:right w:val="nil"/>
                <w:between w:val="nil"/>
              </w:pBdr>
              <w:spacing w:line="280" w:lineRule="exact"/>
              <w:ind w:left="1586" w:hanging="1843"/>
              <w:jc w:val="center"/>
              <w:rPr>
                <w:b/>
                <w:color w:val="FFFFFF"/>
                <w:sz w:val="28"/>
                <w:szCs w:val="28"/>
              </w:rPr>
            </w:pPr>
            <w:r>
              <w:rPr>
                <w:b/>
                <w:color w:val="FFFFFF"/>
                <w:sz w:val="28"/>
                <w:szCs w:val="28"/>
              </w:rPr>
              <w:t>Cantidad</w:t>
            </w:r>
          </w:p>
          <w:p w14:paraId="47468643" w14:textId="77777777" w:rsidR="003F2AA2" w:rsidRDefault="003F2AA2" w:rsidP="004F6427">
            <w:pPr>
              <w:keepNext/>
              <w:keepLines/>
              <w:pBdr>
                <w:top w:val="nil"/>
                <w:left w:val="nil"/>
                <w:bottom w:val="nil"/>
                <w:right w:val="nil"/>
                <w:between w:val="nil"/>
              </w:pBdr>
              <w:spacing w:line="280" w:lineRule="exact"/>
              <w:ind w:left="1586" w:right="-142" w:hanging="1843"/>
              <w:jc w:val="center"/>
              <w:rPr>
                <w:b/>
                <w:color w:val="FFFFFF"/>
                <w:sz w:val="28"/>
                <w:szCs w:val="28"/>
              </w:rPr>
            </w:pPr>
            <w:r>
              <w:rPr>
                <w:b/>
                <w:color w:val="FFFFFF"/>
                <w:sz w:val="28"/>
                <w:szCs w:val="28"/>
              </w:rPr>
              <w:t>de comparendos</w:t>
            </w:r>
          </w:p>
        </w:tc>
      </w:tr>
      <w:tr w:rsidR="003F2AA2" w14:paraId="7078E031" w14:textId="77777777" w:rsidTr="00180F78">
        <w:trPr>
          <w:trHeight w:val="567"/>
        </w:trPr>
        <w:tc>
          <w:tcPr>
            <w:tcW w:w="5670" w:type="dxa"/>
            <w:shd w:val="clear" w:color="auto" w:fill="FFFFFF" w:themeFill="background1"/>
            <w:vAlign w:val="center"/>
          </w:tcPr>
          <w:p w14:paraId="5AF9AFD4" w14:textId="77777777" w:rsidR="003F2AA2" w:rsidRDefault="003F2AA2" w:rsidP="004F6427">
            <w:pPr>
              <w:jc w:val="right"/>
              <w:rPr>
                <w:b/>
              </w:rPr>
            </w:pPr>
            <w:r>
              <w:t>Portar objetos cortopunzantes</w:t>
            </w:r>
          </w:p>
        </w:tc>
        <w:tc>
          <w:tcPr>
            <w:tcW w:w="3513" w:type="dxa"/>
            <w:shd w:val="clear" w:color="auto" w:fill="FFFFFF" w:themeFill="background1"/>
            <w:vAlign w:val="center"/>
          </w:tcPr>
          <w:p w14:paraId="37DB3B26" w14:textId="77777777" w:rsidR="003F2AA2" w:rsidRDefault="003F2AA2" w:rsidP="004F6427">
            <w:pPr>
              <w:ind w:left="1248" w:right="-142" w:hanging="1505"/>
              <w:jc w:val="center"/>
              <w:rPr>
                <w:b/>
              </w:rPr>
            </w:pPr>
            <w:r>
              <w:rPr>
                <w:b/>
              </w:rPr>
              <w:t>133.978</w:t>
            </w:r>
          </w:p>
        </w:tc>
      </w:tr>
      <w:tr w:rsidR="003F2AA2" w14:paraId="5222511E" w14:textId="77777777" w:rsidTr="00180F78">
        <w:trPr>
          <w:trHeight w:val="343"/>
        </w:trPr>
        <w:tc>
          <w:tcPr>
            <w:tcW w:w="5670" w:type="dxa"/>
            <w:shd w:val="clear" w:color="auto" w:fill="FFFFFF" w:themeFill="background1"/>
            <w:vAlign w:val="center"/>
          </w:tcPr>
          <w:p w14:paraId="683DAB43" w14:textId="77777777" w:rsidR="003F2AA2" w:rsidRDefault="003F2AA2" w:rsidP="004F6427">
            <w:pPr>
              <w:jc w:val="right"/>
              <w:rPr>
                <w:b/>
              </w:rPr>
            </w:pPr>
            <w:r>
              <w:t>Evadir el pago del transporte</w:t>
            </w:r>
          </w:p>
        </w:tc>
        <w:tc>
          <w:tcPr>
            <w:tcW w:w="3513" w:type="dxa"/>
            <w:shd w:val="clear" w:color="auto" w:fill="FFFFFF" w:themeFill="background1"/>
            <w:vAlign w:val="center"/>
          </w:tcPr>
          <w:p w14:paraId="20E02619" w14:textId="77777777" w:rsidR="003F2AA2" w:rsidRDefault="003F2AA2" w:rsidP="004F6427">
            <w:pPr>
              <w:ind w:left="1248" w:right="-142" w:hanging="1505"/>
              <w:jc w:val="center"/>
              <w:rPr>
                <w:b/>
              </w:rPr>
            </w:pPr>
            <w:r>
              <w:rPr>
                <w:b/>
              </w:rPr>
              <w:t>62.694</w:t>
            </w:r>
          </w:p>
        </w:tc>
      </w:tr>
      <w:tr w:rsidR="003F2AA2" w14:paraId="76067334" w14:textId="77777777" w:rsidTr="00180F78">
        <w:trPr>
          <w:trHeight w:val="323"/>
        </w:trPr>
        <w:tc>
          <w:tcPr>
            <w:tcW w:w="5670" w:type="dxa"/>
            <w:shd w:val="clear" w:color="auto" w:fill="FFFFFF" w:themeFill="background1"/>
            <w:vAlign w:val="center"/>
          </w:tcPr>
          <w:p w14:paraId="098EC30B" w14:textId="77777777" w:rsidR="003F2AA2" w:rsidRDefault="003F2AA2" w:rsidP="004F6427">
            <w:pPr>
              <w:jc w:val="right"/>
              <w:rPr>
                <w:b/>
              </w:rPr>
            </w:pPr>
            <w:r>
              <w:t>Ingresar y salir del transporte por puertas no autorizadas</w:t>
            </w:r>
          </w:p>
        </w:tc>
        <w:tc>
          <w:tcPr>
            <w:tcW w:w="3513" w:type="dxa"/>
            <w:shd w:val="clear" w:color="auto" w:fill="FFFFFF" w:themeFill="background1"/>
            <w:vAlign w:val="center"/>
          </w:tcPr>
          <w:p w14:paraId="44DD39FD" w14:textId="77777777" w:rsidR="003F2AA2" w:rsidRDefault="003F2AA2" w:rsidP="004F6427">
            <w:pPr>
              <w:ind w:left="1248" w:right="-142" w:hanging="1505"/>
              <w:jc w:val="center"/>
              <w:rPr>
                <w:b/>
              </w:rPr>
            </w:pPr>
            <w:r>
              <w:rPr>
                <w:b/>
              </w:rPr>
              <w:t>53.362</w:t>
            </w:r>
          </w:p>
        </w:tc>
      </w:tr>
      <w:tr w:rsidR="003F2AA2" w14:paraId="44D4686C" w14:textId="77777777" w:rsidTr="00180F78">
        <w:trPr>
          <w:trHeight w:val="567"/>
        </w:trPr>
        <w:tc>
          <w:tcPr>
            <w:tcW w:w="5670" w:type="dxa"/>
            <w:shd w:val="clear" w:color="auto" w:fill="FFFFFF" w:themeFill="background1"/>
            <w:vAlign w:val="center"/>
          </w:tcPr>
          <w:p w14:paraId="252BE660" w14:textId="77777777" w:rsidR="004E6650" w:rsidRDefault="003F2AA2" w:rsidP="004F6427">
            <w:pPr>
              <w:jc w:val="right"/>
            </w:pPr>
            <w:r>
              <w:t xml:space="preserve">Consumir sustancias psicoactivas en el perímetro </w:t>
            </w:r>
          </w:p>
          <w:p w14:paraId="707E78FD" w14:textId="4F91BDD1" w:rsidR="003F2AA2" w:rsidRDefault="003F2AA2" w:rsidP="004F6427">
            <w:pPr>
              <w:jc w:val="right"/>
              <w:rPr>
                <w:b/>
              </w:rPr>
            </w:pPr>
            <w:r>
              <w:t>de instituciones educativas</w:t>
            </w:r>
          </w:p>
        </w:tc>
        <w:tc>
          <w:tcPr>
            <w:tcW w:w="3513" w:type="dxa"/>
            <w:shd w:val="clear" w:color="auto" w:fill="FFFFFF" w:themeFill="background1"/>
            <w:vAlign w:val="center"/>
          </w:tcPr>
          <w:p w14:paraId="3EF47FB7" w14:textId="77777777" w:rsidR="003F2AA2" w:rsidRDefault="003F2AA2" w:rsidP="004F6427">
            <w:pPr>
              <w:ind w:left="1248" w:right="-142" w:hanging="1505"/>
              <w:jc w:val="center"/>
              <w:rPr>
                <w:b/>
              </w:rPr>
            </w:pPr>
            <w:r>
              <w:rPr>
                <w:b/>
              </w:rPr>
              <w:t>51.392</w:t>
            </w:r>
          </w:p>
        </w:tc>
      </w:tr>
      <w:tr w:rsidR="003F2AA2" w14:paraId="1F9D97C5" w14:textId="77777777" w:rsidTr="00180F78">
        <w:trPr>
          <w:trHeight w:val="567"/>
        </w:trPr>
        <w:tc>
          <w:tcPr>
            <w:tcW w:w="5670" w:type="dxa"/>
            <w:shd w:val="clear" w:color="auto" w:fill="FFFFFF" w:themeFill="background1"/>
            <w:vAlign w:val="center"/>
          </w:tcPr>
          <w:p w14:paraId="2E328312" w14:textId="77777777" w:rsidR="004E6650" w:rsidRDefault="003F2AA2" w:rsidP="004F6427">
            <w:pPr>
              <w:spacing w:line="220" w:lineRule="auto"/>
              <w:jc w:val="right"/>
            </w:pPr>
            <w:r>
              <w:t xml:space="preserve">Consumir sustancias psicoactivas en áreas </w:t>
            </w:r>
          </w:p>
          <w:p w14:paraId="23B6C204" w14:textId="2031B67C" w:rsidR="003F2AA2" w:rsidRDefault="003F2AA2" w:rsidP="004F6427">
            <w:pPr>
              <w:spacing w:line="220" w:lineRule="auto"/>
              <w:jc w:val="right"/>
            </w:pPr>
            <w:r>
              <w:t>del espacio público</w:t>
            </w:r>
          </w:p>
        </w:tc>
        <w:tc>
          <w:tcPr>
            <w:tcW w:w="3513" w:type="dxa"/>
            <w:shd w:val="clear" w:color="auto" w:fill="FFFFFF" w:themeFill="background1"/>
            <w:vAlign w:val="center"/>
          </w:tcPr>
          <w:p w14:paraId="353DD192" w14:textId="77777777" w:rsidR="003F2AA2" w:rsidRDefault="003F2AA2" w:rsidP="004F6427">
            <w:pPr>
              <w:spacing w:line="220" w:lineRule="auto"/>
              <w:ind w:left="1248" w:right="-142" w:hanging="1505"/>
              <w:jc w:val="center"/>
              <w:rPr>
                <w:b/>
              </w:rPr>
            </w:pPr>
            <w:r>
              <w:rPr>
                <w:b/>
              </w:rPr>
              <w:t>11.205</w:t>
            </w:r>
          </w:p>
        </w:tc>
      </w:tr>
    </w:tbl>
    <w:p w14:paraId="7BD43036" w14:textId="77777777" w:rsidR="003F2AA2" w:rsidRDefault="003F2AA2" w:rsidP="00180F78">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Encuesta de Seguridad, Convivencia y Justicia (2023).</w:t>
      </w:r>
    </w:p>
    <w:p w14:paraId="164A8B0B" w14:textId="77777777" w:rsidR="003F2AA2" w:rsidRDefault="003F2AA2" w:rsidP="00392285">
      <w:bookmarkStart w:id="174" w:name="_heading=h.2s8eyo1" w:colFirst="0" w:colLast="0"/>
      <w:bookmarkEnd w:id="174"/>
    </w:p>
    <w:p w14:paraId="44C4EF8D" w14:textId="77777777" w:rsidR="003F2AA2" w:rsidRDefault="003F2AA2" w:rsidP="003F2AA2">
      <w:pPr>
        <w:rPr>
          <w:b/>
          <w:sz w:val="28"/>
          <w:szCs w:val="28"/>
        </w:rPr>
      </w:pPr>
    </w:p>
    <w:p w14:paraId="5226C3CC" w14:textId="77777777" w:rsidR="003F2AA2" w:rsidRDefault="003F2AA2" w:rsidP="003F2AA2">
      <w:pPr>
        <w:rPr>
          <w:b/>
          <w:sz w:val="28"/>
          <w:szCs w:val="28"/>
        </w:rPr>
        <w:sectPr w:rsidR="003F2AA2" w:rsidSect="00F7078E">
          <w:footerReference w:type="default" r:id="rId96"/>
          <w:type w:val="continuous"/>
          <w:pgSz w:w="12240" w:h="15840"/>
          <w:pgMar w:top="2262" w:right="1440" w:bottom="1440" w:left="1440" w:header="708" w:footer="708" w:gutter="0"/>
          <w:cols w:space="720"/>
        </w:sectPr>
      </w:pPr>
    </w:p>
    <w:p w14:paraId="54834AD1" w14:textId="77777777" w:rsidR="00E37D99" w:rsidRDefault="003F2AA2" w:rsidP="003F2AA2">
      <w:r>
        <w:t>Se resalta de la tabla anterior que, de los 312.631 comparendos impuestos en 2023 , más de una tercera parte de ellos se asocia al porte de objetos cortopunzantes, situación problemática si se considera que la Encuesta de Seguridad, Convivencia y Justicia (ESCJ</w:t>
      </w:r>
      <w:r w:rsidR="00392285">
        <w:t xml:space="preserve">, </w:t>
      </w:r>
      <w:r>
        <w:t xml:space="preserve">2023), mostró que el 25,3 % de la ciudadanía estaba de acuerdo con que “es necesario que las personas tengan un arma de fuego para protegerse” y el 42,6 % con que “los ciudadanos deberían portar armas traumáticas u otro tipo de artículos de defensa personal para protegerse”. </w:t>
      </w:r>
    </w:p>
    <w:p w14:paraId="0A31A8A4" w14:textId="77777777" w:rsidR="00E37D99" w:rsidRDefault="00E37D99" w:rsidP="003F2AA2"/>
    <w:p w14:paraId="34323F34" w14:textId="4BDA2105" w:rsidR="003F2AA2" w:rsidRDefault="003F2AA2" w:rsidP="003F2AA2">
      <w:r>
        <w:t>Adicionalmente, en 2022 se identificó que el 54 % de las personas que respondieron la encuesta estaba de acuerdo con defenderse por cuenta propia ante la agresión o amenaza de un delincuente</w:t>
      </w:r>
      <w:r w:rsidR="00E37D99">
        <w:t xml:space="preserve"> </w:t>
      </w:r>
      <w:r w:rsidR="00392285">
        <w:t>(Bogotá Cómo Vamos, 2022)</w:t>
      </w:r>
      <w:r>
        <w:t>. Estas respuestas están asociadas a mayores niveles de agresividad, pero también a la necesidad de protección de la ciudadanía.</w:t>
      </w:r>
    </w:p>
    <w:p w14:paraId="06AF7C6B" w14:textId="77777777" w:rsidR="003F2AA2" w:rsidRDefault="003F2AA2" w:rsidP="003F2AA2"/>
    <w:p w14:paraId="1544D623" w14:textId="77777777" w:rsidR="003F2AA2" w:rsidRDefault="003F2AA2" w:rsidP="003F2AA2">
      <w:r>
        <w:t xml:space="preserve">La segunda contravención más sancionada es la evasión del pago del pasaje de transporte público —“colados”—, para lo cual, según la ESCJ 2023, se identifican tres razones para este comportamiento: </w:t>
      </w:r>
      <w:r>
        <w:rPr>
          <w:i/>
        </w:rPr>
        <w:t>oportunidad</w:t>
      </w:r>
      <w:r>
        <w:t xml:space="preserve">, ya que el sistema es vulnerable a estas prácticas; </w:t>
      </w:r>
      <w:r>
        <w:rPr>
          <w:i/>
        </w:rPr>
        <w:t>necesidad,</w:t>
      </w:r>
      <w:r>
        <w:t xml:space="preserve"> quienes justifican la infracción argumentando falta de recursos, y </w:t>
      </w:r>
      <w:r>
        <w:rPr>
          <w:i/>
        </w:rPr>
        <w:t>emociones,</w:t>
      </w:r>
      <w:r>
        <w:t xml:space="preserve"> algunas personas justifican el no pago como rechazo a un mal servicio.</w:t>
      </w:r>
    </w:p>
    <w:p w14:paraId="0CD7B836" w14:textId="77777777" w:rsidR="003F2AA2" w:rsidRDefault="003F2AA2" w:rsidP="003F2AA2"/>
    <w:p w14:paraId="4AC2ABA2" w14:textId="77777777" w:rsidR="003F2AA2" w:rsidRDefault="003F2AA2" w:rsidP="003F2AA2">
      <w:r>
        <w:t xml:space="preserve">Paralelamente a los comportamientos contrarios a la convivencia, se encuentra que parte de la desconfianza en la sociedad surge de la inconformidad social, lo cual se manifiesta en protestas públicas, marchas y aglomeraciones de personas. Durante el 2023 se registró un aumento de 9,49 % en la ocurrencia de manifestaciones, protestas y movilizaciones sociales en comparación con el año anterior, según datos de la Secretaría de Gobierno. En la mayoría de los casos (63 %) estas protestas concluyen gracias a procesos de autorregulación, mientras que en un </w:t>
      </w:r>
      <w:r>
        <w:lastRenderedPageBreak/>
        <w:t>31 % se logra mediante el diálogo social; sin embargo, en 103 eventos se requirió la intervención de la fuerza pública.</w:t>
      </w:r>
    </w:p>
    <w:p w14:paraId="293F52A6" w14:textId="77777777" w:rsidR="003F2AA2" w:rsidRDefault="003F2AA2" w:rsidP="003F2AA2"/>
    <w:p w14:paraId="7D527A40" w14:textId="07813E3A"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El análisis también reveló dificultades persistentes en la aplicación integral del CNSCC. Según la ESCJ 2023, el 69,4 % de la ciudadanía manifestó no conocer el CNSCC, siendo este </w:t>
      </w:r>
      <w:r>
        <w:t xml:space="preserve">desconocimiento más pronunciado en las localidades de San Cristóbal, Bosa, Los Mártires, Usme, Tunjuelito, Ciudad Bolívar y Sumapaz. Además, se observó una falta de legitimación de la resolución pacífica de conflictos y una desconfianza generalizada hacia las instituciones, especialmente las relacionadas con la administración de la justicia </w:t>
      </w:r>
      <w:r w:rsidRPr="00392285">
        <w:t>(</w:t>
      </w:r>
      <w:r w:rsidR="00392285" w:rsidRPr="00392285">
        <w:fldChar w:fldCharType="begin"/>
      </w:r>
      <w:r w:rsidR="00392285" w:rsidRPr="00392285">
        <w:instrText xml:space="preserve"> REF _Ref165122786 \h </w:instrText>
      </w:r>
      <w:r w:rsidR="00392285" w:rsidRPr="00392285">
        <w:fldChar w:fldCharType="separate"/>
      </w:r>
      <w:r w:rsidR="00D01651" w:rsidRPr="00392285">
        <w:rPr>
          <w:color w:val="C00000"/>
          <w:sz w:val="18"/>
          <w:szCs w:val="18"/>
        </w:rPr>
        <w:t xml:space="preserve">Tabla </w:t>
      </w:r>
      <w:r w:rsidR="00D01651">
        <w:rPr>
          <w:noProof/>
          <w:color w:val="C00000"/>
          <w:sz w:val="18"/>
        </w:rPr>
        <w:t>12</w:t>
      </w:r>
      <w:r w:rsidR="00392285" w:rsidRPr="00392285">
        <w:fldChar w:fldCharType="end"/>
      </w:r>
      <w:r>
        <w:t>).</w:t>
      </w:r>
    </w:p>
    <w:p w14:paraId="0332DF8F" w14:textId="379B2C1E" w:rsidR="00180F78" w:rsidRDefault="00392285" w:rsidP="00392285">
      <w:pPr>
        <w:pStyle w:val="Descripcin"/>
        <w:spacing w:before="240"/>
        <w:jc w:val="center"/>
        <w:rPr>
          <w:color w:val="3B3838"/>
          <w:sz w:val="18"/>
        </w:rPr>
      </w:pPr>
      <w:bookmarkStart w:id="175" w:name="_heading=h.17dp8vu" w:colFirst="0" w:colLast="0"/>
      <w:bookmarkStart w:id="176" w:name="_Ref165122786"/>
      <w:bookmarkStart w:id="177" w:name="_Toc165169922"/>
      <w:bookmarkEnd w:id="175"/>
      <w:r w:rsidRPr="00392285">
        <w:rPr>
          <w:color w:val="C00000"/>
          <w:sz w:val="18"/>
        </w:rPr>
        <w:t xml:space="preserve">Tabla </w:t>
      </w:r>
      <w:r w:rsidRPr="00392285">
        <w:rPr>
          <w:color w:val="C00000"/>
          <w:sz w:val="18"/>
        </w:rPr>
        <w:fldChar w:fldCharType="begin"/>
      </w:r>
      <w:r w:rsidRPr="00392285">
        <w:rPr>
          <w:color w:val="C00000"/>
          <w:sz w:val="18"/>
        </w:rPr>
        <w:instrText xml:space="preserve"> SEQ Tabla \* ARABIC </w:instrText>
      </w:r>
      <w:r w:rsidRPr="00392285">
        <w:rPr>
          <w:color w:val="C00000"/>
          <w:sz w:val="18"/>
        </w:rPr>
        <w:fldChar w:fldCharType="separate"/>
      </w:r>
      <w:r w:rsidR="00D01651">
        <w:rPr>
          <w:noProof/>
          <w:color w:val="C00000"/>
          <w:sz w:val="18"/>
        </w:rPr>
        <w:t>12</w:t>
      </w:r>
      <w:r w:rsidRPr="00392285">
        <w:rPr>
          <w:color w:val="C00000"/>
          <w:sz w:val="18"/>
        </w:rPr>
        <w:fldChar w:fldCharType="end"/>
      </w:r>
      <w:bookmarkEnd w:id="176"/>
      <w:r w:rsidRPr="00392285">
        <w:rPr>
          <w:color w:val="C00000"/>
          <w:sz w:val="18"/>
        </w:rPr>
        <w:t xml:space="preserve">. </w:t>
      </w:r>
      <w:r w:rsidR="003F2AA2" w:rsidRPr="00392285">
        <w:rPr>
          <w:color w:val="3B3838"/>
          <w:sz w:val="18"/>
        </w:rPr>
        <w:t>Número de protestas y etapas de finalización</w:t>
      </w:r>
      <w:bookmarkEnd w:id="177"/>
    </w:p>
    <w:tbl>
      <w:tblPr>
        <w:tblW w:w="8838" w:type="dxa"/>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3261"/>
        <w:gridCol w:w="1768"/>
        <w:gridCol w:w="1905"/>
        <w:gridCol w:w="1904"/>
      </w:tblGrid>
      <w:tr w:rsidR="003F2AA2" w14:paraId="74B3CB67" w14:textId="77777777" w:rsidTr="00665D61">
        <w:trPr>
          <w:trHeight w:val="567"/>
        </w:trPr>
        <w:tc>
          <w:tcPr>
            <w:tcW w:w="3261" w:type="dxa"/>
            <w:shd w:val="clear" w:color="auto" w:fill="C00000"/>
            <w:vAlign w:val="center"/>
          </w:tcPr>
          <w:p w14:paraId="33321D4D" w14:textId="77777777" w:rsidR="003F2AA2" w:rsidRDefault="003F2AA2" w:rsidP="003D00A3">
            <w:pPr>
              <w:jc w:val="right"/>
              <w:rPr>
                <w:color w:val="FFFFFF"/>
                <w:sz w:val="28"/>
                <w:szCs w:val="28"/>
              </w:rPr>
            </w:pPr>
            <w:r>
              <w:rPr>
                <w:color w:val="FFFFFF"/>
                <w:sz w:val="28"/>
                <w:szCs w:val="28"/>
              </w:rPr>
              <w:t>Etapa de finalización</w:t>
            </w:r>
          </w:p>
        </w:tc>
        <w:tc>
          <w:tcPr>
            <w:tcW w:w="1768" w:type="dxa"/>
            <w:shd w:val="clear" w:color="auto" w:fill="C00000"/>
            <w:vAlign w:val="center"/>
          </w:tcPr>
          <w:p w14:paraId="249ADAFB" w14:textId="77777777" w:rsidR="003F2AA2" w:rsidRDefault="003F2AA2" w:rsidP="004F6427">
            <w:pPr>
              <w:jc w:val="center"/>
              <w:rPr>
                <w:color w:val="FFFFFF"/>
                <w:sz w:val="28"/>
                <w:szCs w:val="28"/>
              </w:rPr>
            </w:pPr>
            <w:r>
              <w:rPr>
                <w:color w:val="FFFFFF"/>
                <w:sz w:val="28"/>
                <w:szCs w:val="28"/>
              </w:rPr>
              <w:t>2021</w:t>
            </w:r>
          </w:p>
        </w:tc>
        <w:tc>
          <w:tcPr>
            <w:tcW w:w="1905" w:type="dxa"/>
            <w:shd w:val="clear" w:color="auto" w:fill="C00000"/>
            <w:vAlign w:val="center"/>
          </w:tcPr>
          <w:p w14:paraId="63CF9803" w14:textId="77777777" w:rsidR="003F2AA2" w:rsidRDefault="003F2AA2" w:rsidP="004F6427">
            <w:pPr>
              <w:jc w:val="center"/>
              <w:rPr>
                <w:color w:val="FFFFFF"/>
                <w:sz w:val="28"/>
                <w:szCs w:val="28"/>
              </w:rPr>
            </w:pPr>
            <w:r>
              <w:rPr>
                <w:color w:val="FFFFFF"/>
                <w:sz w:val="28"/>
                <w:szCs w:val="28"/>
              </w:rPr>
              <w:t>2022</w:t>
            </w:r>
          </w:p>
        </w:tc>
        <w:tc>
          <w:tcPr>
            <w:tcW w:w="1904" w:type="dxa"/>
            <w:shd w:val="clear" w:color="auto" w:fill="C00000"/>
            <w:vAlign w:val="center"/>
          </w:tcPr>
          <w:p w14:paraId="2E079A36" w14:textId="77777777" w:rsidR="003F2AA2" w:rsidRDefault="003F2AA2" w:rsidP="004F6427">
            <w:pPr>
              <w:jc w:val="center"/>
              <w:rPr>
                <w:color w:val="FFFFFF"/>
                <w:sz w:val="28"/>
                <w:szCs w:val="28"/>
              </w:rPr>
            </w:pPr>
            <w:r>
              <w:rPr>
                <w:color w:val="FFFFFF"/>
                <w:sz w:val="28"/>
                <w:szCs w:val="28"/>
              </w:rPr>
              <w:t>2023</w:t>
            </w:r>
          </w:p>
        </w:tc>
      </w:tr>
      <w:tr w:rsidR="003F2AA2" w14:paraId="0C87DFA2" w14:textId="77777777" w:rsidTr="00665D61">
        <w:trPr>
          <w:trHeight w:val="397"/>
        </w:trPr>
        <w:tc>
          <w:tcPr>
            <w:tcW w:w="3261" w:type="dxa"/>
            <w:vAlign w:val="center"/>
          </w:tcPr>
          <w:p w14:paraId="308F1AB1" w14:textId="77777777" w:rsidR="003F2AA2" w:rsidRDefault="003F2AA2" w:rsidP="004F6427">
            <w:pPr>
              <w:jc w:val="right"/>
            </w:pPr>
            <w:r>
              <w:t>Autorregulación</w:t>
            </w:r>
          </w:p>
        </w:tc>
        <w:tc>
          <w:tcPr>
            <w:tcW w:w="1768" w:type="dxa"/>
            <w:vAlign w:val="center"/>
          </w:tcPr>
          <w:p w14:paraId="7CFFBDE8" w14:textId="77777777" w:rsidR="003F2AA2" w:rsidRDefault="003F2AA2" w:rsidP="004F6427">
            <w:pPr>
              <w:ind w:right="526"/>
              <w:jc w:val="right"/>
            </w:pPr>
            <w:r>
              <w:t>2</w:t>
            </w:r>
          </w:p>
        </w:tc>
        <w:tc>
          <w:tcPr>
            <w:tcW w:w="1905" w:type="dxa"/>
            <w:vAlign w:val="center"/>
          </w:tcPr>
          <w:p w14:paraId="7A2563AA" w14:textId="77777777" w:rsidR="003F2AA2" w:rsidRDefault="003F2AA2" w:rsidP="004F6427">
            <w:pPr>
              <w:ind w:right="580"/>
              <w:jc w:val="right"/>
            </w:pPr>
            <w:r>
              <w:t>743</w:t>
            </w:r>
          </w:p>
        </w:tc>
        <w:tc>
          <w:tcPr>
            <w:tcW w:w="1904" w:type="dxa"/>
            <w:vAlign w:val="center"/>
          </w:tcPr>
          <w:p w14:paraId="076D70AA" w14:textId="77777777" w:rsidR="003F2AA2" w:rsidRDefault="003F2AA2" w:rsidP="004F6427">
            <w:pPr>
              <w:ind w:right="510"/>
              <w:jc w:val="right"/>
            </w:pPr>
            <w:r>
              <w:t>855</w:t>
            </w:r>
          </w:p>
        </w:tc>
      </w:tr>
      <w:tr w:rsidR="003F2AA2" w14:paraId="652C328E" w14:textId="77777777" w:rsidTr="00665D61">
        <w:trPr>
          <w:trHeight w:val="397"/>
        </w:trPr>
        <w:tc>
          <w:tcPr>
            <w:tcW w:w="3261" w:type="dxa"/>
            <w:vAlign w:val="center"/>
          </w:tcPr>
          <w:p w14:paraId="539B1454" w14:textId="77777777" w:rsidR="003F2AA2" w:rsidRDefault="003F2AA2" w:rsidP="004F6427">
            <w:pPr>
              <w:jc w:val="right"/>
            </w:pPr>
            <w:r>
              <w:t>Diálogo</w:t>
            </w:r>
          </w:p>
        </w:tc>
        <w:tc>
          <w:tcPr>
            <w:tcW w:w="1768" w:type="dxa"/>
            <w:vAlign w:val="center"/>
          </w:tcPr>
          <w:p w14:paraId="7F67C97B" w14:textId="77777777" w:rsidR="003F2AA2" w:rsidRDefault="003F2AA2" w:rsidP="004F6427">
            <w:pPr>
              <w:ind w:right="526"/>
              <w:jc w:val="right"/>
            </w:pPr>
            <w:r>
              <w:t>1.811</w:t>
            </w:r>
          </w:p>
        </w:tc>
        <w:tc>
          <w:tcPr>
            <w:tcW w:w="1905" w:type="dxa"/>
            <w:vAlign w:val="center"/>
          </w:tcPr>
          <w:p w14:paraId="4BA97443" w14:textId="77777777" w:rsidR="003F2AA2" w:rsidRDefault="003F2AA2" w:rsidP="004F6427">
            <w:pPr>
              <w:ind w:right="580"/>
              <w:jc w:val="right"/>
            </w:pPr>
            <w:r>
              <w:t>471</w:t>
            </w:r>
          </w:p>
        </w:tc>
        <w:tc>
          <w:tcPr>
            <w:tcW w:w="1904" w:type="dxa"/>
            <w:vAlign w:val="center"/>
          </w:tcPr>
          <w:p w14:paraId="3EDDFC7E" w14:textId="77777777" w:rsidR="003F2AA2" w:rsidRDefault="003F2AA2" w:rsidP="004F6427">
            <w:pPr>
              <w:ind w:right="510"/>
              <w:jc w:val="right"/>
            </w:pPr>
            <w:r>
              <w:t>426</w:t>
            </w:r>
          </w:p>
        </w:tc>
      </w:tr>
      <w:tr w:rsidR="003F2AA2" w14:paraId="1D681CA5" w14:textId="77777777" w:rsidTr="00665D61">
        <w:trPr>
          <w:trHeight w:val="397"/>
        </w:trPr>
        <w:tc>
          <w:tcPr>
            <w:tcW w:w="3261" w:type="dxa"/>
            <w:vAlign w:val="center"/>
          </w:tcPr>
          <w:p w14:paraId="6B9C680C" w14:textId="77777777" w:rsidR="003F2AA2" w:rsidRDefault="003F2AA2" w:rsidP="004F6427">
            <w:pPr>
              <w:jc w:val="right"/>
            </w:pPr>
            <w:r>
              <w:t>Policía de vigilancia</w:t>
            </w:r>
          </w:p>
        </w:tc>
        <w:tc>
          <w:tcPr>
            <w:tcW w:w="1768" w:type="dxa"/>
            <w:vAlign w:val="center"/>
          </w:tcPr>
          <w:p w14:paraId="6A5074DD" w14:textId="53021205" w:rsidR="003F2AA2" w:rsidRDefault="00392285" w:rsidP="004F6427">
            <w:pPr>
              <w:ind w:right="526"/>
              <w:jc w:val="right"/>
            </w:pPr>
            <w:r>
              <w:t>0</w:t>
            </w:r>
          </w:p>
        </w:tc>
        <w:tc>
          <w:tcPr>
            <w:tcW w:w="1905" w:type="dxa"/>
            <w:vAlign w:val="center"/>
          </w:tcPr>
          <w:p w14:paraId="2BA040B1" w14:textId="77777777" w:rsidR="003F2AA2" w:rsidRDefault="003F2AA2" w:rsidP="004F6427">
            <w:pPr>
              <w:ind w:right="580"/>
              <w:jc w:val="right"/>
            </w:pPr>
            <w:r>
              <w:t>1</w:t>
            </w:r>
          </w:p>
        </w:tc>
        <w:tc>
          <w:tcPr>
            <w:tcW w:w="1904" w:type="dxa"/>
            <w:vAlign w:val="center"/>
          </w:tcPr>
          <w:p w14:paraId="3DDE8A30" w14:textId="77777777" w:rsidR="003F2AA2" w:rsidRDefault="003F2AA2" w:rsidP="004F6427">
            <w:pPr>
              <w:ind w:right="510"/>
              <w:jc w:val="right"/>
            </w:pPr>
            <w:r>
              <w:t>5</w:t>
            </w:r>
          </w:p>
        </w:tc>
      </w:tr>
      <w:tr w:rsidR="003F2AA2" w14:paraId="1CA1FE82" w14:textId="77777777" w:rsidTr="00665D61">
        <w:trPr>
          <w:trHeight w:val="397"/>
        </w:trPr>
        <w:tc>
          <w:tcPr>
            <w:tcW w:w="3261" w:type="dxa"/>
            <w:vAlign w:val="center"/>
          </w:tcPr>
          <w:p w14:paraId="3E1FAB2D" w14:textId="77777777" w:rsidR="003F2AA2" w:rsidRDefault="003F2AA2" w:rsidP="004F6427">
            <w:pPr>
              <w:jc w:val="right"/>
            </w:pPr>
            <w:r>
              <w:t>FUDIS-GUFUD</w:t>
            </w:r>
          </w:p>
        </w:tc>
        <w:tc>
          <w:tcPr>
            <w:tcW w:w="1768" w:type="dxa"/>
            <w:vAlign w:val="center"/>
          </w:tcPr>
          <w:p w14:paraId="5FF6B0E4" w14:textId="77777777" w:rsidR="003F2AA2" w:rsidRDefault="003F2AA2" w:rsidP="004F6427">
            <w:pPr>
              <w:ind w:right="526"/>
              <w:jc w:val="right"/>
            </w:pPr>
            <w:r>
              <w:t>19</w:t>
            </w:r>
          </w:p>
        </w:tc>
        <w:tc>
          <w:tcPr>
            <w:tcW w:w="1905" w:type="dxa"/>
            <w:vAlign w:val="center"/>
          </w:tcPr>
          <w:p w14:paraId="15ED08FA" w14:textId="77777777" w:rsidR="003F2AA2" w:rsidRDefault="003F2AA2" w:rsidP="004F6427">
            <w:pPr>
              <w:ind w:right="580"/>
              <w:jc w:val="right"/>
            </w:pPr>
            <w:r>
              <w:t>8</w:t>
            </w:r>
          </w:p>
        </w:tc>
        <w:tc>
          <w:tcPr>
            <w:tcW w:w="1904" w:type="dxa"/>
            <w:vAlign w:val="center"/>
          </w:tcPr>
          <w:p w14:paraId="417E12BF" w14:textId="77777777" w:rsidR="003F2AA2" w:rsidRDefault="003F2AA2" w:rsidP="004F6427">
            <w:pPr>
              <w:ind w:right="510"/>
              <w:jc w:val="right"/>
            </w:pPr>
            <w:r>
              <w:t>28</w:t>
            </w:r>
          </w:p>
        </w:tc>
      </w:tr>
      <w:tr w:rsidR="003F2AA2" w14:paraId="73F91297" w14:textId="77777777" w:rsidTr="00665D61">
        <w:trPr>
          <w:trHeight w:val="397"/>
        </w:trPr>
        <w:tc>
          <w:tcPr>
            <w:tcW w:w="3261" w:type="dxa"/>
            <w:vAlign w:val="center"/>
          </w:tcPr>
          <w:p w14:paraId="0DAD81E5" w14:textId="77777777" w:rsidR="003F2AA2" w:rsidRDefault="003F2AA2" w:rsidP="004F6427">
            <w:pPr>
              <w:jc w:val="right"/>
            </w:pPr>
            <w:r>
              <w:t>ESMAD-UNDMO</w:t>
            </w:r>
          </w:p>
        </w:tc>
        <w:tc>
          <w:tcPr>
            <w:tcW w:w="1768" w:type="dxa"/>
            <w:vAlign w:val="center"/>
          </w:tcPr>
          <w:p w14:paraId="545CD84D" w14:textId="77777777" w:rsidR="003F2AA2" w:rsidRDefault="003F2AA2" w:rsidP="004F6427">
            <w:pPr>
              <w:ind w:right="526"/>
              <w:jc w:val="right"/>
            </w:pPr>
            <w:r>
              <w:t>93</w:t>
            </w:r>
          </w:p>
        </w:tc>
        <w:tc>
          <w:tcPr>
            <w:tcW w:w="1905" w:type="dxa"/>
            <w:vAlign w:val="center"/>
          </w:tcPr>
          <w:p w14:paraId="08E2DEF6" w14:textId="77777777" w:rsidR="003F2AA2" w:rsidRDefault="003F2AA2" w:rsidP="004F6427">
            <w:pPr>
              <w:ind w:right="580"/>
              <w:jc w:val="right"/>
            </w:pPr>
            <w:r>
              <w:t>41</w:t>
            </w:r>
          </w:p>
        </w:tc>
        <w:tc>
          <w:tcPr>
            <w:tcW w:w="1904" w:type="dxa"/>
            <w:vAlign w:val="center"/>
          </w:tcPr>
          <w:p w14:paraId="029046CF" w14:textId="77777777" w:rsidR="003F2AA2" w:rsidRDefault="003F2AA2" w:rsidP="004F6427">
            <w:pPr>
              <w:ind w:right="510"/>
              <w:jc w:val="right"/>
            </w:pPr>
            <w:r>
              <w:t>70</w:t>
            </w:r>
          </w:p>
        </w:tc>
      </w:tr>
      <w:tr w:rsidR="003F2AA2" w14:paraId="16C442B2" w14:textId="77777777" w:rsidTr="00665D61">
        <w:trPr>
          <w:trHeight w:val="397"/>
        </w:trPr>
        <w:tc>
          <w:tcPr>
            <w:tcW w:w="3261" w:type="dxa"/>
            <w:shd w:val="clear" w:color="auto" w:fill="D0CECE"/>
            <w:vAlign w:val="center"/>
          </w:tcPr>
          <w:p w14:paraId="354B2F2F" w14:textId="77777777" w:rsidR="003F2AA2" w:rsidRDefault="003F2AA2" w:rsidP="004F6427">
            <w:pPr>
              <w:jc w:val="right"/>
              <w:rPr>
                <w:b/>
              </w:rPr>
            </w:pPr>
            <w:r>
              <w:rPr>
                <w:b/>
              </w:rPr>
              <w:t>Total</w:t>
            </w:r>
          </w:p>
        </w:tc>
        <w:tc>
          <w:tcPr>
            <w:tcW w:w="1768" w:type="dxa"/>
            <w:shd w:val="clear" w:color="auto" w:fill="D0CECE"/>
            <w:vAlign w:val="center"/>
          </w:tcPr>
          <w:p w14:paraId="205DE017" w14:textId="77777777" w:rsidR="003F2AA2" w:rsidRDefault="003F2AA2" w:rsidP="004F6427">
            <w:pPr>
              <w:ind w:right="526"/>
              <w:jc w:val="right"/>
              <w:rPr>
                <w:b/>
              </w:rPr>
            </w:pPr>
            <w:r>
              <w:rPr>
                <w:b/>
              </w:rPr>
              <w:t>1.925</w:t>
            </w:r>
          </w:p>
        </w:tc>
        <w:tc>
          <w:tcPr>
            <w:tcW w:w="1905" w:type="dxa"/>
            <w:shd w:val="clear" w:color="auto" w:fill="D0CECE"/>
            <w:vAlign w:val="center"/>
          </w:tcPr>
          <w:p w14:paraId="4C6A86CE" w14:textId="77777777" w:rsidR="003F2AA2" w:rsidRDefault="003F2AA2" w:rsidP="004F6427">
            <w:pPr>
              <w:ind w:right="580"/>
              <w:jc w:val="right"/>
              <w:rPr>
                <w:b/>
              </w:rPr>
            </w:pPr>
            <w:r>
              <w:rPr>
                <w:b/>
              </w:rPr>
              <w:t>1.264</w:t>
            </w:r>
          </w:p>
        </w:tc>
        <w:tc>
          <w:tcPr>
            <w:tcW w:w="1904" w:type="dxa"/>
            <w:shd w:val="clear" w:color="auto" w:fill="D0CECE"/>
            <w:vAlign w:val="center"/>
          </w:tcPr>
          <w:p w14:paraId="2DC26C5F" w14:textId="77777777" w:rsidR="003F2AA2" w:rsidRDefault="003F2AA2" w:rsidP="004F6427">
            <w:pPr>
              <w:ind w:right="510"/>
              <w:jc w:val="right"/>
              <w:rPr>
                <w:b/>
              </w:rPr>
            </w:pPr>
            <w:r>
              <w:rPr>
                <w:b/>
              </w:rPr>
              <w:t>1.384</w:t>
            </w:r>
          </w:p>
        </w:tc>
      </w:tr>
    </w:tbl>
    <w:p w14:paraId="023F5366" w14:textId="77777777" w:rsidR="003F2AA2" w:rsidRDefault="003F2AA2" w:rsidP="003F2AA2">
      <w:pPr>
        <w:pBdr>
          <w:top w:val="nil"/>
          <w:left w:val="nil"/>
          <w:bottom w:val="nil"/>
          <w:right w:val="nil"/>
          <w:between w:val="nil"/>
        </w:pBdr>
        <w:spacing w:line="220" w:lineRule="auto"/>
        <w:jc w:val="center"/>
        <w:rPr>
          <w:color w:val="3B3838"/>
          <w:sz w:val="18"/>
          <w:szCs w:val="18"/>
        </w:rPr>
      </w:pPr>
      <w:bookmarkStart w:id="178" w:name="_heading=h.3rdcrjn" w:colFirst="0" w:colLast="0"/>
      <w:bookmarkEnd w:id="178"/>
      <w:r>
        <w:rPr>
          <w:b/>
          <w:color w:val="3B3838"/>
          <w:sz w:val="18"/>
          <w:szCs w:val="18"/>
        </w:rPr>
        <w:t>Fuente:</w:t>
      </w:r>
      <w:r>
        <w:rPr>
          <w:color w:val="3B3838"/>
          <w:sz w:val="18"/>
          <w:szCs w:val="18"/>
        </w:rPr>
        <w:t xml:space="preserve"> Encuesta de Seguridad, Convivencia y Justicia (2023).</w:t>
      </w:r>
    </w:p>
    <w:p w14:paraId="2F41B9AD" w14:textId="77777777" w:rsidR="003F2AA2" w:rsidRDefault="003F2AA2" w:rsidP="00392285"/>
    <w:p w14:paraId="526F3463" w14:textId="03F37E52" w:rsidR="004E6650" w:rsidRPr="004E6650" w:rsidRDefault="004E6650" w:rsidP="004E6650">
      <w:pPr>
        <w:rPr>
          <w:lang w:eastAsia="en-US"/>
        </w:rPr>
        <w:sectPr w:rsidR="004E6650" w:rsidRPr="004E6650" w:rsidSect="00F7078E">
          <w:type w:val="continuous"/>
          <w:pgSz w:w="12240" w:h="15840"/>
          <w:pgMar w:top="2262" w:right="1440" w:bottom="1440" w:left="1440" w:header="708" w:footer="708" w:gutter="0"/>
          <w:cols w:space="720"/>
        </w:sectPr>
      </w:pPr>
    </w:p>
    <w:p w14:paraId="0F39ACFC" w14:textId="77777777" w:rsidR="003F2AA2" w:rsidRDefault="003F2AA2" w:rsidP="003F2AA2">
      <w:r>
        <w:t>Un ejemplo de la importancia que tiene la creación de espacios institucionales de diálogo para promover la reducción de conflictividades latentes, es el programa Goles en Paz, el cual, según datos de la Secretaría Distrital de Gobierno, entre 2021 y 2023 logró que solo en el 2,9 % de partidos de fútbol se presentaran hechos de violencia (equivalente a 15 partidos), siendo fundamental poder continuar con estrategias que promuevan la autorregulación y eviten la violencia dentro y fuera de los estadios.</w:t>
      </w:r>
    </w:p>
    <w:p w14:paraId="32AE030F" w14:textId="77777777" w:rsidR="003F2AA2" w:rsidRDefault="003F2AA2" w:rsidP="003F2AA2"/>
    <w:p w14:paraId="58B8232D" w14:textId="77777777" w:rsidR="003F2AA2" w:rsidRDefault="003F2AA2" w:rsidP="003F2AA2">
      <w:r>
        <w:t xml:space="preserve">Gracias a Goles en Paz se logró una reducción de hechos violentos y contrarios a la convivencia, dentro de los cuales se encuentra el consumo excesivo de alcohol y sustancias alucinógenas, riñas entre barras populares, invasión de campo, enfrentamientos con la Policía, robos de banderas, ataques a hinchas locales. No obstante, esta reducción, aún se presentaron 30 personas afectadas, 16 con algún tipo de herida </w:t>
      </w:r>
      <w:r>
        <w:t>(10 de ellos con arma blanca), 14 lesionados y un fallecido entre el 2021 y el 2023.</w:t>
      </w:r>
    </w:p>
    <w:p w14:paraId="2B2A4F30" w14:textId="77777777" w:rsidR="003F2AA2" w:rsidRDefault="003F2AA2" w:rsidP="003F2AA2"/>
    <w:p w14:paraId="112CB61D" w14:textId="77777777" w:rsidR="003F2AA2" w:rsidRDefault="003F2AA2" w:rsidP="003F2AA2">
      <w:r>
        <w:rPr>
          <w:highlight w:val="white"/>
        </w:rPr>
        <w:t>Cabe señalar que las poblaciones más vulnerables, como mujeres, niños y niñas, o comunidades étnicas, experimentan una mayor incidencia de violencias debido a una intersección de factores estructurales y sociales. Según la Encuesta Multipropósito del 2021, cerca del 9,6% de la población manifestó sentirse discriminada por su condición económica y social, apariencia física, género, entre otras. Situación que debe transformarse y erradicarse en la ciudad. Según el Banco Mundial (2007), las tasas de criminalidad y violencia impactan de manera desproporcionada a las comunidades más vulnerables, incluidos los jóvenes en situación de pobreza y desempleo.</w:t>
      </w:r>
    </w:p>
    <w:p w14:paraId="7B53298F" w14:textId="77777777" w:rsidR="003F2AA2" w:rsidRDefault="003F2AA2" w:rsidP="003F2AA2"/>
    <w:p w14:paraId="406E478A" w14:textId="77777777"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Todo lo anterior deja de manifiesto la necesidad de fomentar una convivencia ciudadana más sólida y fortalecer el conocimiento, la apropiación </w:t>
      </w:r>
      <w:r>
        <w:lastRenderedPageBreak/>
        <w:t xml:space="preserve">y la aplicación del CNSCC, así como del mejoramiento en la eficacia de las instituciones en su </w:t>
      </w:r>
      <w:r>
        <w:t>capacidad de respuesta frente a incidentes y transgresiones a este código.</w:t>
      </w:r>
    </w:p>
    <w:p w14:paraId="61BB44E2" w14:textId="77777777" w:rsidR="003F2AA2" w:rsidRDefault="003F2AA2" w:rsidP="003F2AA2">
      <w:pPr>
        <w:spacing w:line="480" w:lineRule="auto"/>
        <w:rPr>
          <w:rFonts w:ascii="Times New Roman" w:hAnsi="Times New Roman"/>
          <w:sz w:val="24"/>
        </w:rPr>
      </w:pPr>
    </w:p>
    <w:p w14:paraId="684E8471" w14:textId="1B6EE277" w:rsidR="003F2AA2" w:rsidRPr="003D00A3" w:rsidRDefault="003F2AA2" w:rsidP="003D00A3">
      <w:pPr>
        <w:ind w:firstLine="708"/>
        <w:rPr>
          <w:b/>
          <w:sz w:val="24"/>
        </w:rPr>
        <w:sectPr w:rsidR="003F2AA2" w:rsidRPr="003D00A3" w:rsidSect="00F7078E">
          <w:type w:val="continuous"/>
          <w:pgSz w:w="12240" w:h="15840"/>
          <w:pgMar w:top="2262" w:right="1440" w:bottom="1440" w:left="1440" w:header="708" w:footer="708" w:gutter="0"/>
          <w:cols w:space="720"/>
        </w:sectPr>
      </w:pPr>
      <w:r w:rsidRPr="003D00A3">
        <w:rPr>
          <w:b/>
          <w:sz w:val="24"/>
        </w:rPr>
        <w:t>Descripción del programa</w:t>
      </w:r>
    </w:p>
    <w:p w14:paraId="273BC3EF" w14:textId="77777777" w:rsidR="003F2AA2" w:rsidRDefault="003F2AA2" w:rsidP="003F2AA2">
      <w:r>
        <w:t>Para lograr el fomento de una cultura de la convivencia basada en el diálogo, es importante realizar esfuerzos institucionales orientados a identificar conflictividades y acompañar los escenarios de protesta, movilización y expresión de la ciudadanía; los cuales se abordarán en los siguientes dos frentes: gobernanza y cultura ciudadana.</w:t>
      </w:r>
    </w:p>
    <w:p w14:paraId="3AD87C58" w14:textId="77777777" w:rsidR="003F2AA2" w:rsidRDefault="003F2AA2" w:rsidP="003F2AA2"/>
    <w:p w14:paraId="1E27119D" w14:textId="77777777" w:rsidR="003F2AA2" w:rsidRDefault="003F2AA2" w:rsidP="003F2AA2">
      <w:r>
        <w:t>En cuanto a la gobernanza, se propone una estrategia que desarrolle las siguientes herramientas: acciones de cultura del diálogo; actividades para transformar situaciones de alto riesgo de conflictividad en el espacio público, y mesas de diálogo y/o pactos, que garanticen un gobierno abierto a la ciudadanía. Estas herramientas se han de materializar con la generación de condiciones que fortalezcan la apropiación de la ciudad y de lo público, la protección del interés común y el aumento de la confianza ciudadana en los entornos públicos y privados.</w:t>
      </w:r>
    </w:p>
    <w:p w14:paraId="5BDB7F1D" w14:textId="77777777" w:rsidR="003F2AA2" w:rsidRDefault="003F2AA2" w:rsidP="003F2AA2"/>
    <w:p w14:paraId="0EA85587" w14:textId="77777777" w:rsidR="003F2AA2" w:rsidRDefault="003F2AA2" w:rsidP="003F2AA2">
      <w:r>
        <w:t xml:space="preserve">Además, la Administración distrital profundizará la puesta en marcha de acciones de </w:t>
      </w:r>
      <w:r>
        <w:t>prevención y materialización del CNSCC. Así mismo, consolidará procesos de articulación de los organismos de seguridad y justicia con el sector privado y el reconocimiento de las organizaciones y la ciudadanía en la búsqueda conjunta de espacios más seguros en Bogotá y la región.</w:t>
      </w:r>
    </w:p>
    <w:p w14:paraId="6AE5D549" w14:textId="77777777" w:rsidR="003F2AA2" w:rsidRDefault="003F2AA2" w:rsidP="003F2AA2"/>
    <w:p w14:paraId="0E344909" w14:textId="77777777" w:rsidR="003F2AA2" w:rsidRDefault="003F2AA2" w:rsidP="003F2AA2">
      <w:r>
        <w:t>En el segundo frente se propenderá por la promoción de la cultura ciudadana para lo cual se implementarán estrategias que fomenten el respeto, la tolerancia, la convivencia pacífica, la corresponsabilidad, la autorregulación y la solidaridad entre la ciudadanía, el cuidado de los bienes, la confianza y el respeto por las instituciones, y fortalezca la identidad cultural y el orgullo que la ciudadanía siente por su ciudad.</w:t>
      </w:r>
    </w:p>
    <w:p w14:paraId="06E286F6" w14:textId="77777777" w:rsidR="003F2AA2" w:rsidRDefault="003F2AA2" w:rsidP="003F2AA2"/>
    <w:p w14:paraId="3B6030AF" w14:textId="77777777" w:rsidR="003F2AA2" w:rsidRDefault="003F2AA2" w:rsidP="003F2AA2">
      <w:r>
        <w:t>Finalmente, se busca fortalecer estrategias y acciones interinstitucionales orientadas a mejorar las conflictividades sociales y brindar condiciones necesarias para ejercer libremente los derechos y promover la sana convivencia y el diálogo social.</w:t>
      </w:r>
    </w:p>
    <w:p w14:paraId="33F72F22" w14:textId="654030E0" w:rsidR="003F2AA2" w:rsidRDefault="003F2AA2" w:rsidP="003F2AA2">
      <w:pPr>
        <w:sectPr w:rsidR="003F2AA2" w:rsidSect="00F7078E">
          <w:type w:val="continuous"/>
          <w:pgSz w:w="12240" w:h="15840"/>
          <w:pgMar w:top="2262" w:right="1440" w:bottom="1440" w:left="1440" w:header="708" w:footer="708" w:gutter="0"/>
          <w:cols w:num="2" w:space="567" w:equalWidth="0">
            <w:col w:w="4396" w:space="567"/>
            <w:col w:w="4396" w:space="0"/>
          </w:cols>
        </w:sectPr>
      </w:pPr>
      <w:r>
        <w:t>.</w:t>
      </w:r>
    </w:p>
    <w:p w14:paraId="67DBFF70" w14:textId="77777777" w:rsidR="00AC6515" w:rsidRDefault="00AC6515" w:rsidP="003F2AA2">
      <w:pPr>
        <w:pBdr>
          <w:top w:val="nil"/>
          <w:left w:val="nil"/>
          <w:bottom w:val="nil"/>
          <w:right w:val="nil"/>
          <w:between w:val="nil"/>
        </w:pBdr>
        <w:spacing w:line="220" w:lineRule="auto"/>
        <w:jc w:val="center"/>
        <w:rPr>
          <w:b/>
          <w:color w:val="C00000"/>
          <w:sz w:val="18"/>
          <w:szCs w:val="18"/>
        </w:rPr>
      </w:pPr>
      <w:bookmarkStart w:id="179" w:name="_heading=h.26in1rg" w:colFirst="0" w:colLast="0"/>
      <w:bookmarkEnd w:id="179"/>
    </w:p>
    <w:p w14:paraId="137BF762" w14:textId="77777777" w:rsidR="00AC6515" w:rsidRDefault="00AC6515" w:rsidP="003F2AA2">
      <w:pPr>
        <w:pBdr>
          <w:top w:val="nil"/>
          <w:left w:val="nil"/>
          <w:bottom w:val="nil"/>
          <w:right w:val="nil"/>
          <w:between w:val="nil"/>
        </w:pBdr>
        <w:spacing w:line="220" w:lineRule="auto"/>
        <w:jc w:val="center"/>
        <w:rPr>
          <w:b/>
          <w:color w:val="C00000"/>
          <w:sz w:val="18"/>
          <w:szCs w:val="18"/>
        </w:rPr>
      </w:pPr>
    </w:p>
    <w:p w14:paraId="4690C0ED" w14:textId="77777777" w:rsidR="003D00A3" w:rsidRDefault="003D00A3">
      <w:pPr>
        <w:spacing w:line="240" w:lineRule="auto"/>
        <w:jc w:val="left"/>
        <w:rPr>
          <w:b/>
          <w:color w:val="C00000"/>
          <w:sz w:val="18"/>
          <w:szCs w:val="18"/>
        </w:rPr>
      </w:pPr>
      <w:r>
        <w:rPr>
          <w:b/>
          <w:color w:val="C00000"/>
          <w:sz w:val="18"/>
          <w:szCs w:val="18"/>
        </w:rPr>
        <w:br w:type="page"/>
      </w:r>
    </w:p>
    <w:p w14:paraId="18ACCFCC" w14:textId="7555433E" w:rsidR="003F2AA2" w:rsidRDefault="003D00A3" w:rsidP="003D00A3">
      <w:pPr>
        <w:pStyle w:val="Descripcin"/>
        <w:jc w:val="center"/>
        <w:rPr>
          <w:sz w:val="18"/>
        </w:rPr>
      </w:pPr>
      <w:bookmarkStart w:id="180" w:name="_Toc165169923"/>
      <w:r w:rsidRPr="003D00A3">
        <w:rPr>
          <w:color w:val="C00000"/>
          <w:sz w:val="18"/>
        </w:rPr>
        <w:lastRenderedPageBreak/>
        <w:t xml:space="preserve">Tabla </w:t>
      </w:r>
      <w:r w:rsidRPr="003D00A3">
        <w:rPr>
          <w:color w:val="C00000"/>
          <w:sz w:val="18"/>
        </w:rPr>
        <w:fldChar w:fldCharType="begin"/>
      </w:r>
      <w:r w:rsidRPr="003D00A3">
        <w:rPr>
          <w:color w:val="C00000"/>
          <w:sz w:val="18"/>
        </w:rPr>
        <w:instrText xml:space="preserve"> SEQ Tabla \* ARABIC </w:instrText>
      </w:r>
      <w:r w:rsidRPr="003D00A3">
        <w:rPr>
          <w:color w:val="C00000"/>
          <w:sz w:val="18"/>
        </w:rPr>
        <w:fldChar w:fldCharType="separate"/>
      </w:r>
      <w:r w:rsidR="00D01651">
        <w:rPr>
          <w:noProof/>
          <w:color w:val="C00000"/>
          <w:sz w:val="18"/>
        </w:rPr>
        <w:t>13</w:t>
      </w:r>
      <w:r w:rsidRPr="003D00A3">
        <w:rPr>
          <w:color w:val="C00000"/>
          <w:sz w:val="18"/>
        </w:rPr>
        <w:fldChar w:fldCharType="end"/>
      </w:r>
      <w:r w:rsidRPr="003D00A3">
        <w:rPr>
          <w:color w:val="C00000"/>
          <w:sz w:val="18"/>
        </w:rPr>
        <w:t xml:space="preserve">. </w:t>
      </w:r>
      <w:r w:rsidR="003F2AA2" w:rsidRPr="003D00A3">
        <w:rPr>
          <w:color w:val="3B3838"/>
          <w:sz w:val="18"/>
        </w:rPr>
        <w:t>Metas del programa 1: Diálogo social y cultura ciudadana</w:t>
      </w:r>
      <w:r w:rsidRPr="003D00A3">
        <w:rPr>
          <w:color w:val="3B3838"/>
          <w:sz w:val="18"/>
        </w:rPr>
        <w:t xml:space="preserve"> </w:t>
      </w:r>
      <w:r w:rsidR="003F2AA2" w:rsidRPr="003D00A3">
        <w:rPr>
          <w:color w:val="3B3838"/>
          <w:sz w:val="18"/>
        </w:rPr>
        <w:t xml:space="preserve">para la convivencia </w:t>
      </w:r>
      <w:r>
        <w:rPr>
          <w:color w:val="3B3838"/>
          <w:sz w:val="18"/>
        </w:rPr>
        <w:br/>
      </w:r>
      <w:r w:rsidR="003F2AA2" w:rsidRPr="003D00A3">
        <w:rPr>
          <w:color w:val="3B3838"/>
          <w:sz w:val="18"/>
        </w:rPr>
        <w:t>pacífica y la recuperación de la confianza</w:t>
      </w:r>
      <w:bookmarkEnd w:id="180"/>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524"/>
        <w:gridCol w:w="1392"/>
        <w:gridCol w:w="1336"/>
        <w:gridCol w:w="1373"/>
        <w:gridCol w:w="1391"/>
        <w:gridCol w:w="1344"/>
      </w:tblGrid>
      <w:tr w:rsidR="00FA0B1F" w:rsidRPr="00FA0B1F" w14:paraId="463AFAD6" w14:textId="77777777" w:rsidTr="006E096C">
        <w:trPr>
          <w:tblHeader/>
        </w:trPr>
        <w:tc>
          <w:tcPr>
            <w:tcW w:w="0" w:type="auto"/>
            <w:vMerge w:val="restart"/>
            <w:shd w:val="clear" w:color="auto" w:fill="C00000"/>
            <w:tcMar>
              <w:top w:w="30" w:type="dxa"/>
              <w:left w:w="45" w:type="dxa"/>
              <w:bottom w:w="30" w:type="dxa"/>
              <w:right w:w="45" w:type="dxa"/>
            </w:tcMar>
            <w:vAlign w:val="center"/>
            <w:hideMark/>
          </w:tcPr>
          <w:p w14:paraId="4DC4EA55" w14:textId="77777777" w:rsidR="00FA0B1F" w:rsidRPr="00FA0B1F" w:rsidRDefault="00FA0B1F" w:rsidP="00AA4BBB">
            <w:pPr>
              <w:jc w:val="center"/>
              <w:rPr>
                <w:rFonts w:cs="Arial"/>
                <w:b/>
                <w:bCs/>
                <w:color w:val="FFFFFF"/>
                <w:sz w:val="20"/>
                <w:szCs w:val="20"/>
              </w:rPr>
            </w:pPr>
            <w:r w:rsidRPr="00FA0B1F">
              <w:rPr>
                <w:rFonts w:cs="Arial"/>
                <w:b/>
                <w:bCs/>
                <w:color w:val="FFFFFF"/>
                <w:sz w:val="20"/>
                <w:szCs w:val="20"/>
              </w:rPr>
              <w:t>SECTOR / Metas</w:t>
            </w:r>
          </w:p>
        </w:tc>
        <w:tc>
          <w:tcPr>
            <w:tcW w:w="0" w:type="auto"/>
            <w:gridSpan w:val="5"/>
            <w:shd w:val="clear" w:color="auto" w:fill="C00000"/>
            <w:tcMar>
              <w:top w:w="30" w:type="dxa"/>
              <w:left w:w="45" w:type="dxa"/>
              <w:bottom w:w="30" w:type="dxa"/>
              <w:right w:w="45" w:type="dxa"/>
            </w:tcMar>
            <w:vAlign w:val="center"/>
            <w:hideMark/>
          </w:tcPr>
          <w:p w14:paraId="2613B20E" w14:textId="77777777" w:rsidR="000F2D9F" w:rsidRDefault="00FA0B1F" w:rsidP="00AA4BBB">
            <w:pPr>
              <w:jc w:val="center"/>
              <w:rPr>
                <w:rFonts w:cs="Arial"/>
                <w:b/>
                <w:bCs/>
                <w:color w:val="FFFFFF"/>
                <w:sz w:val="20"/>
                <w:szCs w:val="20"/>
              </w:rPr>
            </w:pPr>
            <w:r w:rsidRPr="00FA0B1F">
              <w:rPr>
                <w:rFonts w:cs="Arial"/>
                <w:b/>
                <w:bCs/>
                <w:color w:val="FFFFFF"/>
                <w:sz w:val="20"/>
                <w:szCs w:val="20"/>
              </w:rPr>
              <w:t xml:space="preserve">Magnitudes e Inversión </w:t>
            </w:r>
          </w:p>
          <w:p w14:paraId="165E99B2" w14:textId="6E35EEB6" w:rsidR="00FA0B1F" w:rsidRPr="00FA0B1F" w:rsidRDefault="00FA0B1F" w:rsidP="00AA4BBB">
            <w:pPr>
              <w:jc w:val="center"/>
              <w:rPr>
                <w:rFonts w:cs="Arial"/>
                <w:b/>
                <w:bCs/>
                <w:color w:val="FFFFFF"/>
                <w:sz w:val="20"/>
                <w:szCs w:val="20"/>
              </w:rPr>
            </w:pPr>
            <w:r w:rsidRPr="0031681F">
              <w:rPr>
                <w:rFonts w:cs="Arial"/>
                <w:b/>
                <w:bCs/>
                <w:color w:val="FFFFFF"/>
                <w:sz w:val="18"/>
                <w:szCs w:val="18"/>
              </w:rPr>
              <w:t>(Precios Constantes 2024)</w:t>
            </w:r>
          </w:p>
        </w:tc>
      </w:tr>
      <w:tr w:rsidR="00FA0B1F" w:rsidRPr="00FA0B1F" w14:paraId="5B5A258E" w14:textId="77777777" w:rsidTr="006E096C">
        <w:trPr>
          <w:tblHeader/>
        </w:trPr>
        <w:tc>
          <w:tcPr>
            <w:tcW w:w="0" w:type="auto"/>
            <w:vMerge/>
            <w:shd w:val="clear" w:color="auto" w:fill="C00000"/>
            <w:vAlign w:val="center"/>
            <w:hideMark/>
          </w:tcPr>
          <w:p w14:paraId="5FB5ADEB" w14:textId="77777777" w:rsidR="00FA0B1F" w:rsidRPr="00FA0B1F" w:rsidRDefault="00FA0B1F" w:rsidP="00AA4BBB">
            <w:pPr>
              <w:rPr>
                <w:rFonts w:cs="Arial"/>
                <w:b/>
                <w:bCs/>
                <w:color w:val="FFFFFF"/>
                <w:sz w:val="20"/>
                <w:szCs w:val="20"/>
              </w:rPr>
            </w:pPr>
          </w:p>
        </w:tc>
        <w:tc>
          <w:tcPr>
            <w:tcW w:w="0" w:type="auto"/>
            <w:shd w:val="clear" w:color="auto" w:fill="D9D9D9"/>
            <w:tcMar>
              <w:top w:w="30" w:type="dxa"/>
              <w:left w:w="45" w:type="dxa"/>
              <w:bottom w:w="30" w:type="dxa"/>
              <w:right w:w="45" w:type="dxa"/>
            </w:tcMar>
            <w:vAlign w:val="center"/>
            <w:hideMark/>
          </w:tcPr>
          <w:p w14:paraId="57DE09D4" w14:textId="77777777" w:rsidR="00FA0B1F" w:rsidRPr="00FA0B1F" w:rsidRDefault="00FA0B1F" w:rsidP="00AA4BBB">
            <w:pPr>
              <w:jc w:val="center"/>
              <w:rPr>
                <w:rFonts w:cs="Arial"/>
                <w:b/>
                <w:bCs/>
                <w:sz w:val="20"/>
                <w:szCs w:val="20"/>
              </w:rPr>
            </w:pPr>
            <w:r w:rsidRPr="00FA0B1F">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7C2BF4B6" w14:textId="77777777" w:rsidR="00FA0B1F" w:rsidRPr="00FA0B1F" w:rsidRDefault="00FA0B1F" w:rsidP="00AA4BBB">
            <w:pPr>
              <w:jc w:val="center"/>
              <w:rPr>
                <w:rFonts w:cs="Arial"/>
                <w:b/>
                <w:bCs/>
                <w:sz w:val="20"/>
                <w:szCs w:val="20"/>
              </w:rPr>
            </w:pPr>
            <w:r w:rsidRPr="00FA0B1F">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3D57DD22" w14:textId="77777777" w:rsidR="00FA0B1F" w:rsidRPr="00FA0B1F" w:rsidRDefault="00FA0B1F" w:rsidP="00AA4BBB">
            <w:pPr>
              <w:jc w:val="center"/>
              <w:rPr>
                <w:rFonts w:cs="Arial"/>
                <w:b/>
                <w:bCs/>
                <w:sz w:val="20"/>
                <w:szCs w:val="20"/>
              </w:rPr>
            </w:pPr>
            <w:r w:rsidRPr="00FA0B1F">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6ECB344B" w14:textId="77777777" w:rsidR="00FA0B1F" w:rsidRPr="00FA0B1F" w:rsidRDefault="00FA0B1F" w:rsidP="00AA4BBB">
            <w:pPr>
              <w:jc w:val="center"/>
              <w:rPr>
                <w:rFonts w:cs="Arial"/>
                <w:b/>
                <w:bCs/>
                <w:sz w:val="20"/>
                <w:szCs w:val="20"/>
              </w:rPr>
            </w:pPr>
            <w:r w:rsidRPr="00FA0B1F">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1FCE4765" w14:textId="77777777" w:rsidR="00FA0B1F" w:rsidRDefault="00FA0B1F" w:rsidP="00AA4BBB">
            <w:pPr>
              <w:jc w:val="center"/>
              <w:rPr>
                <w:rFonts w:cs="Arial"/>
                <w:b/>
                <w:bCs/>
                <w:sz w:val="20"/>
                <w:szCs w:val="20"/>
              </w:rPr>
            </w:pPr>
            <w:r w:rsidRPr="00FA0B1F">
              <w:rPr>
                <w:rFonts w:cs="Arial"/>
                <w:b/>
                <w:bCs/>
                <w:sz w:val="20"/>
                <w:szCs w:val="20"/>
              </w:rPr>
              <w:t xml:space="preserve">Total </w:t>
            </w:r>
          </w:p>
          <w:p w14:paraId="04A22460" w14:textId="24746187" w:rsidR="00FA0B1F" w:rsidRPr="00FA0B1F" w:rsidRDefault="00FA0B1F" w:rsidP="00AA4BBB">
            <w:pPr>
              <w:jc w:val="center"/>
              <w:rPr>
                <w:rFonts w:cs="Arial"/>
                <w:b/>
                <w:bCs/>
                <w:sz w:val="20"/>
                <w:szCs w:val="20"/>
              </w:rPr>
            </w:pPr>
            <w:r w:rsidRPr="00FA0B1F">
              <w:rPr>
                <w:rFonts w:cs="Arial"/>
                <w:b/>
                <w:bCs/>
                <w:sz w:val="20"/>
                <w:szCs w:val="20"/>
              </w:rPr>
              <w:t>Inversión</w:t>
            </w:r>
          </w:p>
        </w:tc>
      </w:tr>
      <w:tr w:rsidR="00FA0B1F" w:rsidRPr="00FA0B1F" w14:paraId="6A6FC688" w14:textId="77777777" w:rsidTr="006E096C">
        <w:tc>
          <w:tcPr>
            <w:tcW w:w="0" w:type="auto"/>
            <w:gridSpan w:val="6"/>
            <w:shd w:val="clear" w:color="auto" w:fill="C00000"/>
            <w:tcMar>
              <w:top w:w="30" w:type="dxa"/>
              <w:left w:w="45" w:type="dxa"/>
              <w:bottom w:w="30" w:type="dxa"/>
              <w:right w:w="45" w:type="dxa"/>
            </w:tcMar>
            <w:vAlign w:val="center"/>
            <w:hideMark/>
          </w:tcPr>
          <w:p w14:paraId="2C5F98A5" w14:textId="081CE0F8" w:rsidR="00FA0B1F" w:rsidRPr="006E096C" w:rsidRDefault="006E096C" w:rsidP="006E096C">
            <w:pPr>
              <w:jc w:val="center"/>
              <w:rPr>
                <w:rFonts w:cs="Arial"/>
                <w:b/>
                <w:bCs/>
                <w:color w:val="FFFFFF" w:themeColor="background1"/>
                <w:sz w:val="20"/>
                <w:szCs w:val="20"/>
              </w:rPr>
            </w:pPr>
            <w:r w:rsidRPr="006E096C">
              <w:rPr>
                <w:rFonts w:cs="Arial"/>
                <w:b/>
                <w:bCs/>
                <w:color w:val="FFFFFF" w:themeColor="background1"/>
                <w:sz w:val="20"/>
                <w:szCs w:val="20"/>
              </w:rPr>
              <w:t>Cultura</w:t>
            </w:r>
            <w:r>
              <w:rPr>
                <w:rFonts w:cs="Arial"/>
                <w:b/>
                <w:bCs/>
                <w:color w:val="FFFFFF" w:themeColor="background1"/>
                <w:sz w:val="20"/>
                <w:szCs w:val="20"/>
              </w:rPr>
              <w:t>,</w:t>
            </w:r>
            <w:r w:rsidRPr="006E096C">
              <w:rPr>
                <w:rFonts w:cs="Arial"/>
                <w:b/>
                <w:bCs/>
                <w:color w:val="FFFFFF" w:themeColor="background1"/>
                <w:sz w:val="20"/>
                <w:szCs w:val="20"/>
              </w:rPr>
              <w:t xml:space="preserve"> </w:t>
            </w:r>
            <w:r>
              <w:rPr>
                <w:rFonts w:cs="Arial"/>
                <w:b/>
                <w:bCs/>
                <w:color w:val="FFFFFF" w:themeColor="background1"/>
                <w:sz w:val="20"/>
                <w:szCs w:val="20"/>
              </w:rPr>
              <w:t>R</w:t>
            </w:r>
            <w:r w:rsidRPr="006E096C">
              <w:rPr>
                <w:rFonts w:cs="Arial"/>
                <w:b/>
                <w:bCs/>
                <w:color w:val="FFFFFF" w:themeColor="background1"/>
                <w:sz w:val="20"/>
                <w:szCs w:val="20"/>
              </w:rPr>
              <w:t xml:space="preserve">ecreación y </w:t>
            </w:r>
            <w:r>
              <w:rPr>
                <w:rFonts w:cs="Arial"/>
                <w:b/>
                <w:bCs/>
                <w:color w:val="FFFFFF" w:themeColor="background1"/>
                <w:sz w:val="20"/>
                <w:szCs w:val="20"/>
              </w:rPr>
              <w:t>D</w:t>
            </w:r>
            <w:r w:rsidRPr="006E096C">
              <w:rPr>
                <w:rFonts w:cs="Arial"/>
                <w:b/>
                <w:bCs/>
                <w:color w:val="FFFFFF" w:themeColor="background1"/>
                <w:sz w:val="20"/>
                <w:szCs w:val="20"/>
              </w:rPr>
              <w:t>eporte</w:t>
            </w:r>
          </w:p>
        </w:tc>
      </w:tr>
      <w:tr w:rsidR="00FA0B1F" w:rsidRPr="00FA0B1F" w14:paraId="7AB55444" w14:textId="77777777" w:rsidTr="006E096C">
        <w:tc>
          <w:tcPr>
            <w:tcW w:w="0" w:type="auto"/>
            <w:vMerge w:val="restart"/>
            <w:tcMar>
              <w:top w:w="30" w:type="dxa"/>
              <w:left w:w="45" w:type="dxa"/>
              <w:bottom w:w="30" w:type="dxa"/>
              <w:right w:w="45" w:type="dxa"/>
            </w:tcMar>
            <w:vAlign w:val="center"/>
            <w:hideMark/>
          </w:tcPr>
          <w:p w14:paraId="5D205261" w14:textId="634D2684" w:rsidR="00FA0B1F" w:rsidRPr="00FA0B1F" w:rsidRDefault="00FA0B1F" w:rsidP="00AA4BBB">
            <w:pPr>
              <w:rPr>
                <w:rFonts w:cs="Arial"/>
                <w:sz w:val="20"/>
                <w:szCs w:val="20"/>
              </w:rPr>
            </w:pPr>
            <w:r w:rsidRPr="00FA0B1F">
              <w:rPr>
                <w:rFonts w:cs="Arial"/>
                <w:sz w:val="20"/>
                <w:szCs w:val="20"/>
              </w:rPr>
              <w:t>Implementar 8 estrategias de cultura ciudadana que promuevan la convivencia</w:t>
            </w:r>
            <w:r w:rsidR="003F47BC">
              <w:rPr>
                <w:rFonts w:cs="Arial"/>
                <w:sz w:val="20"/>
                <w:szCs w:val="20"/>
              </w:rPr>
              <w:t>,</w:t>
            </w:r>
            <w:r w:rsidRPr="00FA0B1F">
              <w:rPr>
                <w:rFonts w:cs="Arial"/>
                <w:sz w:val="20"/>
                <w:szCs w:val="20"/>
              </w:rPr>
              <w:t xml:space="preserve"> la eliminación del machismo y de la discriminación</w:t>
            </w:r>
            <w:r w:rsidR="003F47BC">
              <w:rPr>
                <w:rFonts w:cs="Arial"/>
                <w:sz w:val="20"/>
                <w:szCs w:val="20"/>
              </w:rPr>
              <w:t>,</w:t>
            </w:r>
            <w:r w:rsidRPr="00FA0B1F">
              <w:rPr>
                <w:rFonts w:cs="Arial"/>
                <w:sz w:val="20"/>
                <w:szCs w:val="20"/>
              </w:rPr>
              <w:t xml:space="preserve"> los hábitos saludables</w:t>
            </w:r>
            <w:r w:rsidR="003F47BC">
              <w:rPr>
                <w:rFonts w:cs="Arial"/>
                <w:sz w:val="20"/>
                <w:szCs w:val="20"/>
              </w:rPr>
              <w:t>,</w:t>
            </w:r>
            <w:r w:rsidRPr="00FA0B1F">
              <w:rPr>
                <w:rFonts w:cs="Arial"/>
                <w:sz w:val="20"/>
                <w:szCs w:val="20"/>
              </w:rPr>
              <w:t xml:space="preserve"> la salud mental</w:t>
            </w:r>
            <w:r w:rsidR="003F47BC">
              <w:rPr>
                <w:rFonts w:cs="Arial"/>
                <w:sz w:val="20"/>
                <w:szCs w:val="20"/>
              </w:rPr>
              <w:t>,</w:t>
            </w:r>
            <w:r w:rsidRPr="00FA0B1F">
              <w:rPr>
                <w:rFonts w:cs="Arial"/>
                <w:sz w:val="20"/>
                <w:szCs w:val="20"/>
              </w:rPr>
              <w:t xml:space="preserve"> la cultura ambiental y la movilidad sostenible en Bogotá</w:t>
            </w:r>
          </w:p>
        </w:tc>
        <w:tc>
          <w:tcPr>
            <w:tcW w:w="0" w:type="auto"/>
            <w:tcMar>
              <w:top w:w="30" w:type="dxa"/>
              <w:left w:w="45" w:type="dxa"/>
              <w:bottom w:w="30" w:type="dxa"/>
              <w:right w:w="45" w:type="dxa"/>
            </w:tcMar>
            <w:vAlign w:val="center"/>
            <w:hideMark/>
          </w:tcPr>
          <w:p w14:paraId="3C05408F" w14:textId="77777777" w:rsidR="00FA0B1F" w:rsidRPr="00FA0B1F" w:rsidRDefault="00FA0B1F" w:rsidP="00AA4BBB">
            <w:pPr>
              <w:jc w:val="center"/>
              <w:rPr>
                <w:rFonts w:cs="Arial"/>
                <w:sz w:val="20"/>
                <w:szCs w:val="20"/>
              </w:rPr>
            </w:pPr>
            <w:r w:rsidRPr="00FA0B1F">
              <w:rPr>
                <w:rFonts w:cs="Arial"/>
                <w:sz w:val="20"/>
                <w:szCs w:val="20"/>
              </w:rPr>
              <w:t>4</w:t>
            </w:r>
          </w:p>
        </w:tc>
        <w:tc>
          <w:tcPr>
            <w:tcW w:w="0" w:type="auto"/>
            <w:tcMar>
              <w:top w:w="30" w:type="dxa"/>
              <w:left w:w="45" w:type="dxa"/>
              <w:bottom w:w="30" w:type="dxa"/>
              <w:right w:w="45" w:type="dxa"/>
            </w:tcMar>
            <w:vAlign w:val="center"/>
            <w:hideMark/>
          </w:tcPr>
          <w:p w14:paraId="308A8850" w14:textId="77777777" w:rsidR="00FA0B1F" w:rsidRPr="00FA0B1F" w:rsidRDefault="00FA0B1F" w:rsidP="00AA4BBB">
            <w:pPr>
              <w:jc w:val="center"/>
              <w:rPr>
                <w:rFonts w:cs="Arial"/>
                <w:sz w:val="20"/>
                <w:szCs w:val="20"/>
              </w:rPr>
            </w:pPr>
            <w:r w:rsidRPr="00FA0B1F">
              <w:rPr>
                <w:rFonts w:cs="Arial"/>
                <w:sz w:val="20"/>
                <w:szCs w:val="20"/>
              </w:rPr>
              <w:t>6</w:t>
            </w:r>
          </w:p>
        </w:tc>
        <w:tc>
          <w:tcPr>
            <w:tcW w:w="0" w:type="auto"/>
            <w:tcMar>
              <w:top w:w="30" w:type="dxa"/>
              <w:left w:w="45" w:type="dxa"/>
              <w:bottom w:w="30" w:type="dxa"/>
              <w:right w:w="45" w:type="dxa"/>
            </w:tcMar>
            <w:vAlign w:val="center"/>
            <w:hideMark/>
          </w:tcPr>
          <w:p w14:paraId="4D9C4126" w14:textId="77777777" w:rsidR="00FA0B1F" w:rsidRPr="00FA0B1F" w:rsidRDefault="00FA0B1F" w:rsidP="00AA4BBB">
            <w:pPr>
              <w:jc w:val="center"/>
              <w:rPr>
                <w:rFonts w:cs="Arial"/>
                <w:sz w:val="20"/>
                <w:szCs w:val="20"/>
              </w:rPr>
            </w:pPr>
            <w:r w:rsidRPr="00FA0B1F">
              <w:rPr>
                <w:rFonts w:cs="Arial"/>
                <w:sz w:val="20"/>
                <w:szCs w:val="20"/>
              </w:rPr>
              <w:t>7</w:t>
            </w:r>
          </w:p>
        </w:tc>
        <w:tc>
          <w:tcPr>
            <w:tcW w:w="0" w:type="auto"/>
            <w:tcMar>
              <w:top w:w="30" w:type="dxa"/>
              <w:left w:w="45" w:type="dxa"/>
              <w:bottom w:w="30" w:type="dxa"/>
              <w:right w:w="45" w:type="dxa"/>
            </w:tcMar>
            <w:vAlign w:val="center"/>
            <w:hideMark/>
          </w:tcPr>
          <w:p w14:paraId="7E7C31B5" w14:textId="77777777" w:rsidR="00FA0B1F" w:rsidRPr="00FA0B1F" w:rsidRDefault="00FA0B1F" w:rsidP="00AA4BBB">
            <w:pPr>
              <w:jc w:val="center"/>
              <w:rPr>
                <w:rFonts w:cs="Arial"/>
                <w:sz w:val="20"/>
                <w:szCs w:val="20"/>
              </w:rPr>
            </w:pPr>
            <w:r w:rsidRPr="00FA0B1F">
              <w:rPr>
                <w:rFonts w:cs="Arial"/>
                <w:sz w:val="20"/>
                <w:szCs w:val="20"/>
              </w:rPr>
              <w:t>8</w:t>
            </w:r>
          </w:p>
        </w:tc>
        <w:tc>
          <w:tcPr>
            <w:tcW w:w="0" w:type="auto"/>
            <w:vMerge w:val="restart"/>
            <w:tcMar>
              <w:top w:w="30" w:type="dxa"/>
              <w:left w:w="45" w:type="dxa"/>
              <w:bottom w:w="30" w:type="dxa"/>
              <w:right w:w="45" w:type="dxa"/>
            </w:tcMar>
            <w:vAlign w:val="center"/>
            <w:hideMark/>
          </w:tcPr>
          <w:p w14:paraId="7D8BE3F6" w14:textId="77777777" w:rsidR="00FA0B1F" w:rsidRPr="00FA0B1F" w:rsidRDefault="00FA0B1F" w:rsidP="00AA4BBB">
            <w:pPr>
              <w:jc w:val="center"/>
              <w:rPr>
                <w:rFonts w:cs="Arial"/>
                <w:b/>
                <w:bCs/>
                <w:sz w:val="20"/>
                <w:szCs w:val="20"/>
              </w:rPr>
            </w:pPr>
            <w:r w:rsidRPr="00FA0B1F">
              <w:rPr>
                <w:rFonts w:cs="Arial"/>
                <w:b/>
                <w:bCs/>
                <w:sz w:val="20"/>
                <w:szCs w:val="20"/>
              </w:rPr>
              <w:t>24.143.362.873</w:t>
            </w:r>
          </w:p>
        </w:tc>
      </w:tr>
      <w:tr w:rsidR="00FA0B1F" w:rsidRPr="00FA0B1F" w14:paraId="22257AC1" w14:textId="77777777" w:rsidTr="006E096C">
        <w:tc>
          <w:tcPr>
            <w:tcW w:w="0" w:type="auto"/>
            <w:vMerge/>
            <w:vAlign w:val="center"/>
            <w:hideMark/>
          </w:tcPr>
          <w:p w14:paraId="196EB74E"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477AF5E4" w14:textId="77777777" w:rsidR="00FA0B1F" w:rsidRPr="00FA0B1F" w:rsidRDefault="00FA0B1F" w:rsidP="00AA4BBB">
            <w:pPr>
              <w:jc w:val="center"/>
              <w:rPr>
                <w:rFonts w:cs="Arial"/>
                <w:sz w:val="20"/>
                <w:szCs w:val="20"/>
              </w:rPr>
            </w:pPr>
            <w:r w:rsidRPr="00FA0B1F">
              <w:rPr>
                <w:rFonts w:cs="Arial"/>
                <w:sz w:val="20"/>
                <w:szCs w:val="20"/>
              </w:rPr>
              <w:t>5.972.590.000</w:t>
            </w:r>
          </w:p>
        </w:tc>
        <w:tc>
          <w:tcPr>
            <w:tcW w:w="0" w:type="auto"/>
            <w:tcMar>
              <w:top w:w="30" w:type="dxa"/>
              <w:left w:w="45" w:type="dxa"/>
              <w:bottom w:w="30" w:type="dxa"/>
              <w:right w:w="45" w:type="dxa"/>
            </w:tcMar>
            <w:vAlign w:val="center"/>
            <w:hideMark/>
          </w:tcPr>
          <w:p w14:paraId="5337FB67" w14:textId="77777777" w:rsidR="00FA0B1F" w:rsidRPr="00FA0B1F" w:rsidRDefault="00FA0B1F" w:rsidP="00AA4BBB">
            <w:pPr>
              <w:jc w:val="center"/>
              <w:rPr>
                <w:rFonts w:cs="Arial"/>
                <w:sz w:val="20"/>
                <w:szCs w:val="20"/>
              </w:rPr>
            </w:pPr>
            <w:r w:rsidRPr="00FA0B1F">
              <w:rPr>
                <w:rFonts w:cs="Arial"/>
                <w:sz w:val="20"/>
                <w:szCs w:val="20"/>
              </w:rPr>
              <w:t>5.334.378.641</w:t>
            </w:r>
          </w:p>
        </w:tc>
        <w:tc>
          <w:tcPr>
            <w:tcW w:w="0" w:type="auto"/>
            <w:tcMar>
              <w:top w:w="30" w:type="dxa"/>
              <w:left w:w="45" w:type="dxa"/>
              <w:bottom w:w="30" w:type="dxa"/>
              <w:right w:w="45" w:type="dxa"/>
            </w:tcMar>
            <w:vAlign w:val="center"/>
            <w:hideMark/>
          </w:tcPr>
          <w:p w14:paraId="25B47483" w14:textId="77777777" w:rsidR="00FA0B1F" w:rsidRPr="00FA0B1F" w:rsidRDefault="00FA0B1F" w:rsidP="00AA4BBB">
            <w:pPr>
              <w:jc w:val="center"/>
              <w:rPr>
                <w:rFonts w:cs="Arial"/>
                <w:sz w:val="20"/>
                <w:szCs w:val="20"/>
              </w:rPr>
            </w:pPr>
            <w:r w:rsidRPr="00FA0B1F">
              <w:rPr>
                <w:rFonts w:cs="Arial"/>
                <w:sz w:val="20"/>
                <w:szCs w:val="20"/>
              </w:rPr>
              <w:t>6.419.975.493</w:t>
            </w:r>
          </w:p>
        </w:tc>
        <w:tc>
          <w:tcPr>
            <w:tcW w:w="0" w:type="auto"/>
            <w:tcMar>
              <w:top w:w="30" w:type="dxa"/>
              <w:left w:w="45" w:type="dxa"/>
              <w:bottom w:w="30" w:type="dxa"/>
              <w:right w:w="45" w:type="dxa"/>
            </w:tcMar>
            <w:vAlign w:val="center"/>
            <w:hideMark/>
          </w:tcPr>
          <w:p w14:paraId="16E6941E" w14:textId="77777777" w:rsidR="00FA0B1F" w:rsidRPr="00FA0B1F" w:rsidRDefault="00FA0B1F" w:rsidP="00AA4BBB">
            <w:pPr>
              <w:jc w:val="center"/>
              <w:rPr>
                <w:rFonts w:cs="Arial"/>
                <w:sz w:val="20"/>
                <w:szCs w:val="20"/>
              </w:rPr>
            </w:pPr>
            <w:r w:rsidRPr="00FA0B1F">
              <w:rPr>
                <w:rFonts w:cs="Arial"/>
                <w:sz w:val="20"/>
                <w:szCs w:val="20"/>
              </w:rPr>
              <w:t>6.416.418.740</w:t>
            </w:r>
          </w:p>
        </w:tc>
        <w:tc>
          <w:tcPr>
            <w:tcW w:w="0" w:type="auto"/>
            <w:vMerge/>
            <w:vAlign w:val="center"/>
            <w:hideMark/>
          </w:tcPr>
          <w:p w14:paraId="26CD042A" w14:textId="77777777" w:rsidR="00FA0B1F" w:rsidRPr="00FA0B1F" w:rsidRDefault="00FA0B1F" w:rsidP="00AA4BBB">
            <w:pPr>
              <w:rPr>
                <w:rFonts w:cs="Arial"/>
                <w:b/>
                <w:bCs/>
                <w:sz w:val="20"/>
                <w:szCs w:val="20"/>
              </w:rPr>
            </w:pPr>
          </w:p>
        </w:tc>
      </w:tr>
      <w:tr w:rsidR="00FA0B1F" w:rsidRPr="00FA0B1F" w14:paraId="0EF7E19A" w14:textId="77777777" w:rsidTr="006E096C">
        <w:tc>
          <w:tcPr>
            <w:tcW w:w="0" w:type="auto"/>
            <w:vMerge w:val="restart"/>
            <w:tcMar>
              <w:top w:w="30" w:type="dxa"/>
              <w:left w:w="45" w:type="dxa"/>
              <w:bottom w:w="30" w:type="dxa"/>
              <w:right w:w="45" w:type="dxa"/>
            </w:tcMar>
            <w:vAlign w:val="center"/>
            <w:hideMark/>
          </w:tcPr>
          <w:p w14:paraId="12E2FA22" w14:textId="58BFC3F4" w:rsidR="00FA0B1F" w:rsidRPr="00FA0B1F" w:rsidRDefault="00FA0B1F" w:rsidP="00AA4BBB">
            <w:pPr>
              <w:rPr>
                <w:rFonts w:cs="Arial"/>
                <w:sz w:val="20"/>
                <w:szCs w:val="20"/>
              </w:rPr>
            </w:pPr>
            <w:r w:rsidRPr="00FA0B1F">
              <w:rPr>
                <w:rFonts w:cs="Arial"/>
                <w:sz w:val="20"/>
                <w:szCs w:val="20"/>
              </w:rPr>
              <w:t>Realizar 120 investigaciones</w:t>
            </w:r>
            <w:r w:rsidR="003F47BC">
              <w:rPr>
                <w:rFonts w:cs="Arial"/>
                <w:sz w:val="20"/>
                <w:szCs w:val="20"/>
              </w:rPr>
              <w:t>,</w:t>
            </w:r>
            <w:r w:rsidRPr="00FA0B1F">
              <w:rPr>
                <w:rFonts w:cs="Arial"/>
                <w:sz w:val="20"/>
                <w:szCs w:val="20"/>
              </w:rPr>
              <w:t xml:space="preserve"> encuestas y mediciones que permitan consolidar una herramienta de medición de ciudad y cultura para articular a Bogotá con otros centros de pensamiento de Iberoamérica</w:t>
            </w:r>
          </w:p>
        </w:tc>
        <w:tc>
          <w:tcPr>
            <w:tcW w:w="0" w:type="auto"/>
            <w:tcMar>
              <w:top w:w="30" w:type="dxa"/>
              <w:left w:w="45" w:type="dxa"/>
              <w:bottom w:w="30" w:type="dxa"/>
              <w:right w:w="45" w:type="dxa"/>
            </w:tcMar>
            <w:vAlign w:val="center"/>
            <w:hideMark/>
          </w:tcPr>
          <w:p w14:paraId="28A2B0C9" w14:textId="77777777" w:rsidR="00FA0B1F" w:rsidRPr="00FA0B1F" w:rsidRDefault="00FA0B1F" w:rsidP="00AA4BBB">
            <w:pPr>
              <w:jc w:val="center"/>
              <w:rPr>
                <w:rFonts w:cs="Arial"/>
                <w:sz w:val="20"/>
                <w:szCs w:val="20"/>
              </w:rPr>
            </w:pPr>
            <w:r w:rsidRPr="00FA0B1F">
              <w:rPr>
                <w:rFonts w:cs="Arial"/>
                <w:sz w:val="20"/>
                <w:szCs w:val="20"/>
              </w:rPr>
              <w:t>30</w:t>
            </w:r>
          </w:p>
        </w:tc>
        <w:tc>
          <w:tcPr>
            <w:tcW w:w="0" w:type="auto"/>
            <w:tcMar>
              <w:top w:w="30" w:type="dxa"/>
              <w:left w:w="45" w:type="dxa"/>
              <w:bottom w:w="30" w:type="dxa"/>
              <w:right w:w="45" w:type="dxa"/>
            </w:tcMar>
            <w:vAlign w:val="center"/>
            <w:hideMark/>
          </w:tcPr>
          <w:p w14:paraId="0464DEF9" w14:textId="77777777" w:rsidR="00FA0B1F" w:rsidRPr="00FA0B1F" w:rsidRDefault="00FA0B1F" w:rsidP="00AA4BBB">
            <w:pPr>
              <w:jc w:val="center"/>
              <w:rPr>
                <w:rFonts w:cs="Arial"/>
                <w:sz w:val="20"/>
                <w:szCs w:val="20"/>
              </w:rPr>
            </w:pPr>
            <w:r w:rsidRPr="00FA0B1F">
              <w:rPr>
                <w:rFonts w:cs="Arial"/>
                <w:sz w:val="20"/>
                <w:szCs w:val="20"/>
              </w:rPr>
              <w:t>30</w:t>
            </w:r>
          </w:p>
        </w:tc>
        <w:tc>
          <w:tcPr>
            <w:tcW w:w="0" w:type="auto"/>
            <w:tcMar>
              <w:top w:w="30" w:type="dxa"/>
              <w:left w:w="45" w:type="dxa"/>
              <w:bottom w:w="30" w:type="dxa"/>
              <w:right w:w="45" w:type="dxa"/>
            </w:tcMar>
            <w:vAlign w:val="center"/>
            <w:hideMark/>
          </w:tcPr>
          <w:p w14:paraId="2CCAA2AB" w14:textId="77777777" w:rsidR="00FA0B1F" w:rsidRPr="00FA0B1F" w:rsidRDefault="00FA0B1F" w:rsidP="00AA4BBB">
            <w:pPr>
              <w:jc w:val="center"/>
              <w:rPr>
                <w:rFonts w:cs="Arial"/>
                <w:sz w:val="20"/>
                <w:szCs w:val="20"/>
              </w:rPr>
            </w:pPr>
            <w:r w:rsidRPr="00FA0B1F">
              <w:rPr>
                <w:rFonts w:cs="Arial"/>
                <w:sz w:val="20"/>
                <w:szCs w:val="20"/>
              </w:rPr>
              <w:t>30</w:t>
            </w:r>
          </w:p>
        </w:tc>
        <w:tc>
          <w:tcPr>
            <w:tcW w:w="0" w:type="auto"/>
            <w:tcMar>
              <w:top w:w="30" w:type="dxa"/>
              <w:left w:w="45" w:type="dxa"/>
              <w:bottom w:w="30" w:type="dxa"/>
              <w:right w:w="45" w:type="dxa"/>
            </w:tcMar>
            <w:vAlign w:val="center"/>
            <w:hideMark/>
          </w:tcPr>
          <w:p w14:paraId="74CF340A" w14:textId="77777777" w:rsidR="00FA0B1F" w:rsidRPr="00FA0B1F" w:rsidRDefault="00FA0B1F" w:rsidP="00AA4BBB">
            <w:pPr>
              <w:jc w:val="center"/>
              <w:rPr>
                <w:rFonts w:cs="Arial"/>
                <w:sz w:val="20"/>
                <w:szCs w:val="20"/>
              </w:rPr>
            </w:pPr>
            <w:r w:rsidRPr="00FA0B1F">
              <w:rPr>
                <w:rFonts w:cs="Arial"/>
                <w:sz w:val="20"/>
                <w:szCs w:val="20"/>
              </w:rPr>
              <w:t>30</w:t>
            </w:r>
          </w:p>
        </w:tc>
        <w:tc>
          <w:tcPr>
            <w:tcW w:w="0" w:type="auto"/>
            <w:vMerge w:val="restart"/>
            <w:tcMar>
              <w:top w:w="30" w:type="dxa"/>
              <w:left w:w="45" w:type="dxa"/>
              <w:bottom w:w="30" w:type="dxa"/>
              <w:right w:w="45" w:type="dxa"/>
            </w:tcMar>
            <w:vAlign w:val="center"/>
            <w:hideMark/>
          </w:tcPr>
          <w:p w14:paraId="4C0C4D22" w14:textId="77777777" w:rsidR="00FA0B1F" w:rsidRPr="00FA0B1F" w:rsidRDefault="00FA0B1F" w:rsidP="00AA4BBB">
            <w:pPr>
              <w:jc w:val="center"/>
              <w:rPr>
                <w:rFonts w:cs="Arial"/>
                <w:b/>
                <w:bCs/>
                <w:sz w:val="20"/>
                <w:szCs w:val="20"/>
              </w:rPr>
            </w:pPr>
            <w:r w:rsidRPr="00FA0B1F">
              <w:rPr>
                <w:rFonts w:cs="Arial"/>
                <w:b/>
                <w:bCs/>
                <w:sz w:val="20"/>
                <w:szCs w:val="20"/>
              </w:rPr>
              <w:t>12.815.952.726</w:t>
            </w:r>
          </w:p>
        </w:tc>
      </w:tr>
      <w:tr w:rsidR="00FA0B1F" w:rsidRPr="00FA0B1F" w14:paraId="7F842144" w14:textId="77777777" w:rsidTr="006E096C">
        <w:tc>
          <w:tcPr>
            <w:tcW w:w="0" w:type="auto"/>
            <w:vMerge/>
            <w:vAlign w:val="center"/>
            <w:hideMark/>
          </w:tcPr>
          <w:p w14:paraId="56969906"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6A797157" w14:textId="77777777" w:rsidR="00FA0B1F" w:rsidRPr="00FA0B1F" w:rsidRDefault="00FA0B1F" w:rsidP="00AA4BBB">
            <w:pPr>
              <w:jc w:val="center"/>
              <w:rPr>
                <w:rFonts w:cs="Arial"/>
                <w:sz w:val="20"/>
                <w:szCs w:val="20"/>
              </w:rPr>
            </w:pPr>
            <w:r w:rsidRPr="00FA0B1F">
              <w:rPr>
                <w:rFonts w:cs="Arial"/>
                <w:sz w:val="20"/>
                <w:szCs w:val="20"/>
              </w:rPr>
              <w:t>2.986.295.000</w:t>
            </w:r>
          </w:p>
        </w:tc>
        <w:tc>
          <w:tcPr>
            <w:tcW w:w="0" w:type="auto"/>
            <w:tcMar>
              <w:top w:w="30" w:type="dxa"/>
              <w:left w:w="45" w:type="dxa"/>
              <w:bottom w:w="30" w:type="dxa"/>
              <w:right w:w="45" w:type="dxa"/>
            </w:tcMar>
            <w:vAlign w:val="center"/>
            <w:hideMark/>
          </w:tcPr>
          <w:p w14:paraId="4FFE019A" w14:textId="77777777" w:rsidR="00FA0B1F" w:rsidRPr="00FA0B1F" w:rsidRDefault="00FA0B1F" w:rsidP="00AA4BBB">
            <w:pPr>
              <w:jc w:val="center"/>
              <w:rPr>
                <w:rFonts w:cs="Arial"/>
                <w:sz w:val="20"/>
                <w:szCs w:val="20"/>
              </w:rPr>
            </w:pPr>
            <w:r w:rsidRPr="00FA0B1F">
              <w:rPr>
                <w:rFonts w:cs="Arial"/>
                <w:sz w:val="20"/>
                <w:szCs w:val="20"/>
              </w:rPr>
              <w:t>3.413.352.427</w:t>
            </w:r>
          </w:p>
        </w:tc>
        <w:tc>
          <w:tcPr>
            <w:tcW w:w="0" w:type="auto"/>
            <w:tcMar>
              <w:top w:w="30" w:type="dxa"/>
              <w:left w:w="45" w:type="dxa"/>
              <w:bottom w:w="30" w:type="dxa"/>
              <w:right w:w="45" w:type="dxa"/>
            </w:tcMar>
            <w:vAlign w:val="center"/>
            <w:hideMark/>
          </w:tcPr>
          <w:p w14:paraId="5E905978" w14:textId="77777777" w:rsidR="00FA0B1F" w:rsidRPr="00FA0B1F" w:rsidRDefault="00FA0B1F" w:rsidP="00AA4BBB">
            <w:pPr>
              <w:jc w:val="center"/>
              <w:rPr>
                <w:rFonts w:cs="Arial"/>
                <w:sz w:val="20"/>
                <w:szCs w:val="20"/>
              </w:rPr>
            </w:pPr>
            <w:r w:rsidRPr="00FA0B1F">
              <w:rPr>
                <w:rFonts w:cs="Arial"/>
                <w:sz w:val="20"/>
                <w:szCs w:val="20"/>
              </w:rPr>
              <w:t>3.145.035.347</w:t>
            </w:r>
          </w:p>
        </w:tc>
        <w:tc>
          <w:tcPr>
            <w:tcW w:w="0" w:type="auto"/>
            <w:tcMar>
              <w:top w:w="30" w:type="dxa"/>
              <w:left w:w="45" w:type="dxa"/>
              <w:bottom w:w="30" w:type="dxa"/>
              <w:right w:w="45" w:type="dxa"/>
            </w:tcMar>
            <w:vAlign w:val="center"/>
            <w:hideMark/>
          </w:tcPr>
          <w:p w14:paraId="62C53957" w14:textId="77777777" w:rsidR="00FA0B1F" w:rsidRPr="00FA0B1F" w:rsidRDefault="00FA0B1F" w:rsidP="00AA4BBB">
            <w:pPr>
              <w:jc w:val="center"/>
              <w:rPr>
                <w:rFonts w:cs="Arial"/>
                <w:sz w:val="20"/>
                <w:szCs w:val="20"/>
              </w:rPr>
            </w:pPr>
            <w:r w:rsidRPr="00FA0B1F">
              <w:rPr>
                <w:rFonts w:cs="Arial"/>
                <w:sz w:val="20"/>
                <w:szCs w:val="20"/>
              </w:rPr>
              <w:t>3.271.269.951</w:t>
            </w:r>
          </w:p>
        </w:tc>
        <w:tc>
          <w:tcPr>
            <w:tcW w:w="0" w:type="auto"/>
            <w:vMerge/>
            <w:vAlign w:val="center"/>
            <w:hideMark/>
          </w:tcPr>
          <w:p w14:paraId="4335BC43" w14:textId="77777777" w:rsidR="00FA0B1F" w:rsidRPr="00FA0B1F" w:rsidRDefault="00FA0B1F" w:rsidP="00AA4BBB">
            <w:pPr>
              <w:rPr>
                <w:rFonts w:cs="Arial"/>
                <w:b/>
                <w:bCs/>
                <w:sz w:val="20"/>
                <w:szCs w:val="20"/>
              </w:rPr>
            </w:pPr>
          </w:p>
        </w:tc>
      </w:tr>
      <w:tr w:rsidR="00FA0B1F" w:rsidRPr="00FA0B1F" w14:paraId="7EDD2A62" w14:textId="77777777" w:rsidTr="006E096C">
        <w:tc>
          <w:tcPr>
            <w:tcW w:w="0" w:type="auto"/>
            <w:vMerge w:val="restart"/>
            <w:tcMar>
              <w:top w:w="30" w:type="dxa"/>
              <w:left w:w="45" w:type="dxa"/>
              <w:bottom w:w="30" w:type="dxa"/>
              <w:right w:w="45" w:type="dxa"/>
            </w:tcMar>
            <w:vAlign w:val="center"/>
            <w:hideMark/>
          </w:tcPr>
          <w:p w14:paraId="0AFD201F" w14:textId="149FEBF5" w:rsidR="00FA0B1F" w:rsidRPr="00FA0B1F" w:rsidRDefault="00FA0B1F" w:rsidP="00AA4BBB">
            <w:pPr>
              <w:rPr>
                <w:rFonts w:cs="Arial"/>
                <w:sz w:val="20"/>
                <w:szCs w:val="20"/>
              </w:rPr>
            </w:pPr>
            <w:r w:rsidRPr="00FA0B1F">
              <w:rPr>
                <w:rFonts w:cs="Arial"/>
                <w:sz w:val="20"/>
                <w:szCs w:val="20"/>
              </w:rPr>
              <w:t>Vincular a 10.000 personas en acciones pedagógicas y de apropiación que fortalezcan la identidad cultural</w:t>
            </w:r>
            <w:r w:rsidR="003F47BC">
              <w:rPr>
                <w:rFonts w:cs="Arial"/>
                <w:sz w:val="20"/>
                <w:szCs w:val="20"/>
              </w:rPr>
              <w:t>,</w:t>
            </w:r>
            <w:r w:rsidRPr="00FA0B1F">
              <w:rPr>
                <w:rFonts w:cs="Arial"/>
                <w:sz w:val="20"/>
                <w:szCs w:val="20"/>
              </w:rPr>
              <w:t xml:space="preserve"> el respeto por las instituciones</w:t>
            </w:r>
            <w:r w:rsidR="003F47BC">
              <w:rPr>
                <w:rFonts w:cs="Arial"/>
                <w:sz w:val="20"/>
                <w:szCs w:val="20"/>
              </w:rPr>
              <w:t>,</w:t>
            </w:r>
            <w:r w:rsidRPr="00FA0B1F">
              <w:rPr>
                <w:rFonts w:cs="Arial"/>
                <w:sz w:val="20"/>
                <w:szCs w:val="20"/>
              </w:rPr>
              <w:t xml:space="preserve"> la confianza y el orgullo por la ciudad</w:t>
            </w:r>
          </w:p>
        </w:tc>
        <w:tc>
          <w:tcPr>
            <w:tcW w:w="0" w:type="auto"/>
            <w:tcMar>
              <w:top w:w="30" w:type="dxa"/>
              <w:left w:w="45" w:type="dxa"/>
              <w:bottom w:w="30" w:type="dxa"/>
              <w:right w:w="45" w:type="dxa"/>
            </w:tcMar>
            <w:vAlign w:val="center"/>
            <w:hideMark/>
          </w:tcPr>
          <w:p w14:paraId="2BC606D3" w14:textId="77777777" w:rsidR="00FA0B1F" w:rsidRPr="00FA0B1F" w:rsidRDefault="00FA0B1F" w:rsidP="00AA4BBB">
            <w:pPr>
              <w:jc w:val="center"/>
              <w:rPr>
                <w:rFonts w:cs="Arial"/>
                <w:sz w:val="20"/>
                <w:szCs w:val="20"/>
              </w:rPr>
            </w:pPr>
            <w:r w:rsidRPr="00FA0B1F">
              <w:rPr>
                <w:rFonts w:cs="Arial"/>
                <w:sz w:val="20"/>
                <w:szCs w:val="20"/>
              </w:rPr>
              <w:t>2.500</w:t>
            </w:r>
          </w:p>
        </w:tc>
        <w:tc>
          <w:tcPr>
            <w:tcW w:w="0" w:type="auto"/>
            <w:tcMar>
              <w:top w:w="30" w:type="dxa"/>
              <w:left w:w="45" w:type="dxa"/>
              <w:bottom w:w="30" w:type="dxa"/>
              <w:right w:w="45" w:type="dxa"/>
            </w:tcMar>
            <w:vAlign w:val="center"/>
            <w:hideMark/>
          </w:tcPr>
          <w:p w14:paraId="6700A404" w14:textId="77777777" w:rsidR="00FA0B1F" w:rsidRPr="00FA0B1F" w:rsidRDefault="00FA0B1F" w:rsidP="00AA4BBB">
            <w:pPr>
              <w:jc w:val="center"/>
              <w:rPr>
                <w:rFonts w:cs="Arial"/>
                <w:sz w:val="20"/>
                <w:szCs w:val="20"/>
              </w:rPr>
            </w:pPr>
            <w:r w:rsidRPr="00FA0B1F">
              <w:rPr>
                <w:rFonts w:cs="Arial"/>
                <w:sz w:val="20"/>
                <w:szCs w:val="20"/>
              </w:rPr>
              <w:t>2.500</w:t>
            </w:r>
          </w:p>
        </w:tc>
        <w:tc>
          <w:tcPr>
            <w:tcW w:w="0" w:type="auto"/>
            <w:tcMar>
              <w:top w:w="30" w:type="dxa"/>
              <w:left w:w="45" w:type="dxa"/>
              <w:bottom w:w="30" w:type="dxa"/>
              <w:right w:w="45" w:type="dxa"/>
            </w:tcMar>
            <w:vAlign w:val="center"/>
            <w:hideMark/>
          </w:tcPr>
          <w:p w14:paraId="1EA125B7" w14:textId="77777777" w:rsidR="00FA0B1F" w:rsidRPr="00FA0B1F" w:rsidRDefault="00FA0B1F" w:rsidP="00AA4BBB">
            <w:pPr>
              <w:jc w:val="center"/>
              <w:rPr>
                <w:rFonts w:cs="Arial"/>
                <w:sz w:val="20"/>
                <w:szCs w:val="20"/>
              </w:rPr>
            </w:pPr>
            <w:r w:rsidRPr="00FA0B1F">
              <w:rPr>
                <w:rFonts w:cs="Arial"/>
                <w:sz w:val="20"/>
                <w:szCs w:val="20"/>
              </w:rPr>
              <w:t>2.500</w:t>
            </w:r>
          </w:p>
        </w:tc>
        <w:tc>
          <w:tcPr>
            <w:tcW w:w="0" w:type="auto"/>
            <w:tcMar>
              <w:top w:w="30" w:type="dxa"/>
              <w:left w:w="45" w:type="dxa"/>
              <w:bottom w:w="30" w:type="dxa"/>
              <w:right w:w="45" w:type="dxa"/>
            </w:tcMar>
            <w:vAlign w:val="center"/>
            <w:hideMark/>
          </w:tcPr>
          <w:p w14:paraId="2730A56A" w14:textId="77777777" w:rsidR="00FA0B1F" w:rsidRPr="00FA0B1F" w:rsidRDefault="00FA0B1F" w:rsidP="00AA4BBB">
            <w:pPr>
              <w:jc w:val="center"/>
              <w:rPr>
                <w:rFonts w:cs="Arial"/>
                <w:sz w:val="20"/>
                <w:szCs w:val="20"/>
              </w:rPr>
            </w:pPr>
            <w:r w:rsidRPr="00FA0B1F">
              <w:rPr>
                <w:rFonts w:cs="Arial"/>
                <w:sz w:val="20"/>
                <w:szCs w:val="20"/>
              </w:rPr>
              <w:t>2.500</w:t>
            </w:r>
          </w:p>
        </w:tc>
        <w:tc>
          <w:tcPr>
            <w:tcW w:w="0" w:type="auto"/>
            <w:vMerge w:val="restart"/>
            <w:tcMar>
              <w:top w:w="30" w:type="dxa"/>
              <w:left w:w="45" w:type="dxa"/>
              <w:bottom w:w="30" w:type="dxa"/>
              <w:right w:w="45" w:type="dxa"/>
            </w:tcMar>
            <w:vAlign w:val="center"/>
            <w:hideMark/>
          </w:tcPr>
          <w:p w14:paraId="1046955F" w14:textId="77777777" w:rsidR="00FA0B1F" w:rsidRPr="00FA0B1F" w:rsidRDefault="00FA0B1F" w:rsidP="00AA4BBB">
            <w:pPr>
              <w:jc w:val="center"/>
              <w:rPr>
                <w:rFonts w:cs="Arial"/>
                <w:b/>
                <w:bCs/>
                <w:sz w:val="20"/>
                <w:szCs w:val="20"/>
              </w:rPr>
            </w:pPr>
            <w:r w:rsidRPr="00FA0B1F">
              <w:rPr>
                <w:rFonts w:cs="Arial"/>
                <w:b/>
                <w:bCs/>
                <w:sz w:val="20"/>
                <w:szCs w:val="20"/>
              </w:rPr>
              <w:t>9.469.671.608</w:t>
            </w:r>
          </w:p>
        </w:tc>
      </w:tr>
      <w:tr w:rsidR="00FA0B1F" w:rsidRPr="00FA0B1F" w14:paraId="2BF8E500" w14:textId="77777777" w:rsidTr="006E096C">
        <w:tc>
          <w:tcPr>
            <w:tcW w:w="0" w:type="auto"/>
            <w:vMerge/>
            <w:vAlign w:val="center"/>
            <w:hideMark/>
          </w:tcPr>
          <w:p w14:paraId="05AFFFBF"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4BF2E587" w14:textId="77777777" w:rsidR="00FA0B1F" w:rsidRPr="00FA0B1F" w:rsidRDefault="00FA0B1F" w:rsidP="00AA4BBB">
            <w:pPr>
              <w:jc w:val="center"/>
              <w:rPr>
                <w:rFonts w:cs="Arial"/>
                <w:sz w:val="20"/>
                <w:szCs w:val="20"/>
              </w:rPr>
            </w:pPr>
            <w:r w:rsidRPr="00FA0B1F">
              <w:rPr>
                <w:rFonts w:cs="Arial"/>
                <w:sz w:val="20"/>
                <w:szCs w:val="20"/>
              </w:rPr>
              <w:t>2.986.295.000</w:t>
            </w:r>
          </w:p>
        </w:tc>
        <w:tc>
          <w:tcPr>
            <w:tcW w:w="0" w:type="auto"/>
            <w:tcMar>
              <w:top w:w="30" w:type="dxa"/>
              <w:left w:w="45" w:type="dxa"/>
              <w:bottom w:w="30" w:type="dxa"/>
              <w:right w:w="45" w:type="dxa"/>
            </w:tcMar>
            <w:vAlign w:val="center"/>
            <w:hideMark/>
          </w:tcPr>
          <w:p w14:paraId="405C4D26" w14:textId="77777777" w:rsidR="00FA0B1F" w:rsidRPr="00FA0B1F" w:rsidRDefault="00FA0B1F" w:rsidP="00AA4BBB">
            <w:pPr>
              <w:jc w:val="center"/>
              <w:rPr>
                <w:rFonts w:cs="Arial"/>
                <w:sz w:val="20"/>
                <w:szCs w:val="20"/>
              </w:rPr>
            </w:pPr>
            <w:r w:rsidRPr="00FA0B1F">
              <w:rPr>
                <w:rFonts w:cs="Arial"/>
                <w:sz w:val="20"/>
                <w:szCs w:val="20"/>
              </w:rPr>
              <w:t>1.921.025.243</w:t>
            </w:r>
          </w:p>
        </w:tc>
        <w:tc>
          <w:tcPr>
            <w:tcW w:w="0" w:type="auto"/>
            <w:tcMar>
              <w:top w:w="30" w:type="dxa"/>
              <w:left w:w="45" w:type="dxa"/>
              <w:bottom w:w="30" w:type="dxa"/>
              <w:right w:w="45" w:type="dxa"/>
            </w:tcMar>
            <w:vAlign w:val="center"/>
            <w:hideMark/>
          </w:tcPr>
          <w:p w14:paraId="3008943B" w14:textId="77777777" w:rsidR="00FA0B1F" w:rsidRPr="00FA0B1F" w:rsidRDefault="00FA0B1F" w:rsidP="00AA4BBB">
            <w:pPr>
              <w:jc w:val="center"/>
              <w:rPr>
                <w:rFonts w:cs="Arial"/>
                <w:sz w:val="20"/>
                <w:szCs w:val="20"/>
              </w:rPr>
            </w:pPr>
            <w:r w:rsidRPr="00FA0B1F">
              <w:rPr>
                <w:rFonts w:cs="Arial"/>
                <w:sz w:val="20"/>
                <w:szCs w:val="20"/>
              </w:rPr>
              <w:t>2.332.344.236</w:t>
            </w:r>
          </w:p>
        </w:tc>
        <w:tc>
          <w:tcPr>
            <w:tcW w:w="0" w:type="auto"/>
            <w:tcMar>
              <w:top w:w="30" w:type="dxa"/>
              <w:left w:w="45" w:type="dxa"/>
              <w:bottom w:w="30" w:type="dxa"/>
              <w:right w:w="45" w:type="dxa"/>
            </w:tcMar>
            <w:vAlign w:val="center"/>
            <w:hideMark/>
          </w:tcPr>
          <w:p w14:paraId="542B64B6" w14:textId="77777777" w:rsidR="00FA0B1F" w:rsidRPr="00FA0B1F" w:rsidRDefault="00FA0B1F" w:rsidP="00AA4BBB">
            <w:pPr>
              <w:jc w:val="center"/>
              <w:rPr>
                <w:rFonts w:cs="Arial"/>
                <w:sz w:val="20"/>
                <w:szCs w:val="20"/>
              </w:rPr>
            </w:pPr>
            <w:r w:rsidRPr="00FA0B1F">
              <w:rPr>
                <w:rFonts w:cs="Arial"/>
                <w:sz w:val="20"/>
                <w:szCs w:val="20"/>
              </w:rPr>
              <w:t>2.230.007.129</w:t>
            </w:r>
          </w:p>
        </w:tc>
        <w:tc>
          <w:tcPr>
            <w:tcW w:w="0" w:type="auto"/>
            <w:vMerge/>
            <w:vAlign w:val="center"/>
            <w:hideMark/>
          </w:tcPr>
          <w:p w14:paraId="1FC38CAF" w14:textId="77777777" w:rsidR="00FA0B1F" w:rsidRPr="00FA0B1F" w:rsidRDefault="00FA0B1F" w:rsidP="00AA4BBB">
            <w:pPr>
              <w:rPr>
                <w:rFonts w:cs="Arial"/>
                <w:b/>
                <w:bCs/>
                <w:sz w:val="20"/>
                <w:szCs w:val="20"/>
              </w:rPr>
            </w:pPr>
          </w:p>
        </w:tc>
      </w:tr>
      <w:tr w:rsidR="00FA0B1F" w:rsidRPr="00FA0B1F" w14:paraId="76E44A4C" w14:textId="77777777" w:rsidTr="006E096C">
        <w:tc>
          <w:tcPr>
            <w:tcW w:w="0" w:type="auto"/>
            <w:gridSpan w:val="6"/>
            <w:shd w:val="clear" w:color="auto" w:fill="C00000"/>
            <w:tcMar>
              <w:top w:w="30" w:type="dxa"/>
              <w:left w:w="45" w:type="dxa"/>
              <w:bottom w:w="30" w:type="dxa"/>
              <w:right w:w="45" w:type="dxa"/>
            </w:tcMar>
            <w:vAlign w:val="center"/>
            <w:hideMark/>
          </w:tcPr>
          <w:p w14:paraId="0675F929" w14:textId="1B59431F" w:rsidR="00FA0B1F" w:rsidRPr="00FA0B1F" w:rsidRDefault="006E096C" w:rsidP="006E096C">
            <w:pPr>
              <w:jc w:val="center"/>
              <w:rPr>
                <w:rFonts w:cs="Arial"/>
                <w:b/>
                <w:bCs/>
                <w:sz w:val="20"/>
                <w:szCs w:val="20"/>
              </w:rPr>
            </w:pPr>
            <w:r>
              <w:rPr>
                <w:rFonts w:cs="Arial"/>
                <w:b/>
                <w:bCs/>
                <w:color w:val="FFFFFF" w:themeColor="background1"/>
                <w:sz w:val="20"/>
                <w:szCs w:val="20"/>
              </w:rPr>
              <w:t>Gobierno</w:t>
            </w:r>
          </w:p>
        </w:tc>
      </w:tr>
      <w:tr w:rsidR="00FA0B1F" w:rsidRPr="00FA0B1F" w14:paraId="37EE6842" w14:textId="77777777" w:rsidTr="006E096C">
        <w:tc>
          <w:tcPr>
            <w:tcW w:w="0" w:type="auto"/>
            <w:vMerge w:val="restart"/>
            <w:tcMar>
              <w:top w:w="30" w:type="dxa"/>
              <w:left w:w="45" w:type="dxa"/>
              <w:bottom w:w="30" w:type="dxa"/>
              <w:right w:w="45" w:type="dxa"/>
            </w:tcMar>
            <w:vAlign w:val="center"/>
            <w:hideMark/>
          </w:tcPr>
          <w:p w14:paraId="2F032C7D" w14:textId="77777777" w:rsidR="00FA0B1F" w:rsidRPr="00FA0B1F" w:rsidRDefault="00FA0B1F" w:rsidP="00AA4BBB">
            <w:pPr>
              <w:rPr>
                <w:rFonts w:cs="Arial"/>
                <w:sz w:val="20"/>
                <w:szCs w:val="20"/>
              </w:rPr>
            </w:pPr>
            <w:r w:rsidRPr="00FA0B1F">
              <w:rPr>
                <w:rFonts w:cs="Arial"/>
                <w:sz w:val="20"/>
                <w:szCs w:val="20"/>
              </w:rPr>
              <w:t>Fortalecer un (1) programa de atención integral en el marco del diálogo social a situaciones de convivencia y conflictividad social en Bogotá.</w:t>
            </w:r>
          </w:p>
        </w:tc>
        <w:tc>
          <w:tcPr>
            <w:tcW w:w="0" w:type="auto"/>
            <w:tcMar>
              <w:top w:w="30" w:type="dxa"/>
              <w:left w:w="45" w:type="dxa"/>
              <w:bottom w:w="30" w:type="dxa"/>
              <w:right w:w="45" w:type="dxa"/>
            </w:tcMar>
            <w:vAlign w:val="center"/>
            <w:hideMark/>
          </w:tcPr>
          <w:p w14:paraId="27CE7A06" w14:textId="77777777" w:rsidR="00FA0B1F" w:rsidRPr="00FA0B1F" w:rsidRDefault="00FA0B1F" w:rsidP="00AA4BBB">
            <w:pPr>
              <w:jc w:val="center"/>
              <w:rPr>
                <w:rFonts w:cs="Arial"/>
                <w:sz w:val="20"/>
                <w:szCs w:val="20"/>
              </w:rPr>
            </w:pPr>
            <w:r w:rsidRPr="00FA0B1F">
              <w:rPr>
                <w:rFonts w:cs="Arial"/>
                <w:sz w:val="20"/>
                <w:szCs w:val="20"/>
              </w:rPr>
              <w:t>0,10</w:t>
            </w:r>
          </w:p>
        </w:tc>
        <w:tc>
          <w:tcPr>
            <w:tcW w:w="0" w:type="auto"/>
            <w:tcMar>
              <w:top w:w="30" w:type="dxa"/>
              <w:left w:w="45" w:type="dxa"/>
              <w:bottom w:w="30" w:type="dxa"/>
              <w:right w:w="45" w:type="dxa"/>
            </w:tcMar>
            <w:vAlign w:val="center"/>
            <w:hideMark/>
          </w:tcPr>
          <w:p w14:paraId="372BFE04" w14:textId="77777777" w:rsidR="00FA0B1F" w:rsidRPr="00FA0B1F" w:rsidRDefault="00FA0B1F" w:rsidP="00AA4BBB">
            <w:pPr>
              <w:jc w:val="center"/>
              <w:rPr>
                <w:rFonts w:cs="Arial"/>
                <w:sz w:val="20"/>
                <w:szCs w:val="20"/>
              </w:rPr>
            </w:pPr>
            <w:r w:rsidRPr="00FA0B1F">
              <w:rPr>
                <w:rFonts w:cs="Arial"/>
                <w:sz w:val="20"/>
                <w:szCs w:val="20"/>
              </w:rPr>
              <w:t>0,25</w:t>
            </w:r>
          </w:p>
        </w:tc>
        <w:tc>
          <w:tcPr>
            <w:tcW w:w="0" w:type="auto"/>
            <w:tcMar>
              <w:top w:w="30" w:type="dxa"/>
              <w:left w:w="45" w:type="dxa"/>
              <w:bottom w:w="30" w:type="dxa"/>
              <w:right w:w="45" w:type="dxa"/>
            </w:tcMar>
            <w:vAlign w:val="center"/>
            <w:hideMark/>
          </w:tcPr>
          <w:p w14:paraId="2DBC9E05" w14:textId="77777777" w:rsidR="00FA0B1F" w:rsidRPr="00FA0B1F" w:rsidRDefault="00FA0B1F" w:rsidP="00AA4BBB">
            <w:pPr>
              <w:jc w:val="center"/>
              <w:rPr>
                <w:rFonts w:cs="Arial"/>
                <w:sz w:val="20"/>
                <w:szCs w:val="20"/>
              </w:rPr>
            </w:pPr>
            <w:r w:rsidRPr="00FA0B1F">
              <w:rPr>
                <w:rFonts w:cs="Arial"/>
                <w:sz w:val="20"/>
                <w:szCs w:val="20"/>
              </w:rPr>
              <w:t>0,25</w:t>
            </w:r>
          </w:p>
        </w:tc>
        <w:tc>
          <w:tcPr>
            <w:tcW w:w="0" w:type="auto"/>
            <w:tcMar>
              <w:top w:w="30" w:type="dxa"/>
              <w:left w:w="45" w:type="dxa"/>
              <w:bottom w:w="30" w:type="dxa"/>
              <w:right w:w="45" w:type="dxa"/>
            </w:tcMar>
            <w:vAlign w:val="center"/>
            <w:hideMark/>
          </w:tcPr>
          <w:p w14:paraId="3806F2FE" w14:textId="77777777" w:rsidR="00FA0B1F" w:rsidRPr="00FA0B1F" w:rsidRDefault="00FA0B1F" w:rsidP="00AA4BBB">
            <w:pPr>
              <w:jc w:val="center"/>
              <w:rPr>
                <w:rFonts w:cs="Arial"/>
                <w:sz w:val="20"/>
                <w:szCs w:val="20"/>
              </w:rPr>
            </w:pPr>
            <w:r w:rsidRPr="00FA0B1F">
              <w:rPr>
                <w:rFonts w:cs="Arial"/>
                <w:sz w:val="20"/>
                <w:szCs w:val="20"/>
              </w:rPr>
              <w:t>0,40</w:t>
            </w:r>
          </w:p>
        </w:tc>
        <w:tc>
          <w:tcPr>
            <w:tcW w:w="0" w:type="auto"/>
            <w:vMerge w:val="restart"/>
            <w:tcMar>
              <w:top w:w="30" w:type="dxa"/>
              <w:left w:w="45" w:type="dxa"/>
              <w:bottom w:w="30" w:type="dxa"/>
              <w:right w:w="45" w:type="dxa"/>
            </w:tcMar>
            <w:vAlign w:val="center"/>
            <w:hideMark/>
          </w:tcPr>
          <w:p w14:paraId="7DA4D78E" w14:textId="77777777" w:rsidR="00FA0B1F" w:rsidRPr="00FA0B1F" w:rsidRDefault="00FA0B1F" w:rsidP="00AA4BBB">
            <w:pPr>
              <w:jc w:val="center"/>
              <w:rPr>
                <w:rFonts w:cs="Arial"/>
                <w:b/>
                <w:bCs/>
                <w:sz w:val="20"/>
                <w:szCs w:val="20"/>
              </w:rPr>
            </w:pPr>
            <w:r w:rsidRPr="00FA0B1F">
              <w:rPr>
                <w:rFonts w:cs="Arial"/>
                <w:b/>
                <w:bCs/>
                <w:sz w:val="20"/>
                <w:szCs w:val="20"/>
              </w:rPr>
              <w:t>36.921.454.190</w:t>
            </w:r>
          </w:p>
        </w:tc>
      </w:tr>
      <w:tr w:rsidR="00FA0B1F" w:rsidRPr="00FA0B1F" w14:paraId="299AD489" w14:textId="77777777" w:rsidTr="006E096C">
        <w:tc>
          <w:tcPr>
            <w:tcW w:w="0" w:type="auto"/>
            <w:vMerge/>
            <w:vAlign w:val="center"/>
            <w:hideMark/>
          </w:tcPr>
          <w:p w14:paraId="5022879D"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57B9717E" w14:textId="77777777" w:rsidR="00FA0B1F" w:rsidRPr="00FA0B1F" w:rsidRDefault="00FA0B1F" w:rsidP="00AA4BBB">
            <w:pPr>
              <w:jc w:val="center"/>
              <w:rPr>
                <w:rFonts w:cs="Arial"/>
                <w:sz w:val="20"/>
                <w:szCs w:val="20"/>
              </w:rPr>
            </w:pPr>
            <w:r w:rsidRPr="00FA0B1F">
              <w:rPr>
                <w:rFonts w:cs="Arial"/>
                <w:sz w:val="20"/>
                <w:szCs w:val="20"/>
              </w:rPr>
              <w:t>3.799.000.000</w:t>
            </w:r>
          </w:p>
        </w:tc>
        <w:tc>
          <w:tcPr>
            <w:tcW w:w="0" w:type="auto"/>
            <w:tcMar>
              <w:top w:w="30" w:type="dxa"/>
              <w:left w:w="45" w:type="dxa"/>
              <w:bottom w:w="30" w:type="dxa"/>
              <w:right w:w="45" w:type="dxa"/>
            </w:tcMar>
            <w:vAlign w:val="center"/>
            <w:hideMark/>
          </w:tcPr>
          <w:p w14:paraId="0043D85A" w14:textId="77777777" w:rsidR="00FA0B1F" w:rsidRPr="00FA0B1F" w:rsidRDefault="00FA0B1F" w:rsidP="00AA4BBB">
            <w:pPr>
              <w:jc w:val="center"/>
              <w:rPr>
                <w:rFonts w:cs="Arial"/>
                <w:sz w:val="20"/>
                <w:szCs w:val="20"/>
              </w:rPr>
            </w:pPr>
            <w:r w:rsidRPr="00FA0B1F">
              <w:rPr>
                <w:rFonts w:cs="Arial"/>
                <w:sz w:val="20"/>
                <w:szCs w:val="20"/>
              </w:rPr>
              <w:t>11.650.485.437</w:t>
            </w:r>
          </w:p>
        </w:tc>
        <w:tc>
          <w:tcPr>
            <w:tcW w:w="0" w:type="auto"/>
            <w:tcMar>
              <w:top w:w="30" w:type="dxa"/>
              <w:left w:w="45" w:type="dxa"/>
              <w:bottom w:w="30" w:type="dxa"/>
              <w:right w:w="45" w:type="dxa"/>
            </w:tcMar>
            <w:vAlign w:val="center"/>
            <w:hideMark/>
          </w:tcPr>
          <w:p w14:paraId="45CFA58C" w14:textId="77777777" w:rsidR="00FA0B1F" w:rsidRPr="00FA0B1F" w:rsidRDefault="00FA0B1F" w:rsidP="00AA4BBB">
            <w:pPr>
              <w:jc w:val="center"/>
              <w:rPr>
                <w:rFonts w:cs="Arial"/>
                <w:sz w:val="20"/>
                <w:szCs w:val="20"/>
              </w:rPr>
            </w:pPr>
            <w:r w:rsidRPr="00FA0B1F">
              <w:rPr>
                <w:rFonts w:cs="Arial"/>
                <w:sz w:val="20"/>
                <w:szCs w:val="20"/>
              </w:rPr>
              <w:t>11.405.410.501</w:t>
            </w:r>
          </w:p>
        </w:tc>
        <w:tc>
          <w:tcPr>
            <w:tcW w:w="0" w:type="auto"/>
            <w:tcMar>
              <w:top w:w="30" w:type="dxa"/>
              <w:left w:w="45" w:type="dxa"/>
              <w:bottom w:w="30" w:type="dxa"/>
              <w:right w:w="45" w:type="dxa"/>
            </w:tcMar>
            <w:vAlign w:val="center"/>
            <w:hideMark/>
          </w:tcPr>
          <w:p w14:paraId="4A0ED62F" w14:textId="77777777" w:rsidR="00FA0B1F" w:rsidRPr="00FA0B1F" w:rsidRDefault="00FA0B1F" w:rsidP="00AA4BBB">
            <w:pPr>
              <w:jc w:val="center"/>
              <w:rPr>
                <w:rFonts w:cs="Arial"/>
                <w:sz w:val="20"/>
                <w:szCs w:val="20"/>
              </w:rPr>
            </w:pPr>
            <w:r w:rsidRPr="00FA0B1F">
              <w:rPr>
                <w:rFonts w:cs="Arial"/>
                <w:sz w:val="20"/>
                <w:szCs w:val="20"/>
              </w:rPr>
              <w:t>10.066.558.253</w:t>
            </w:r>
          </w:p>
        </w:tc>
        <w:tc>
          <w:tcPr>
            <w:tcW w:w="0" w:type="auto"/>
            <w:vMerge/>
            <w:vAlign w:val="center"/>
            <w:hideMark/>
          </w:tcPr>
          <w:p w14:paraId="363BA7A2" w14:textId="77777777" w:rsidR="00FA0B1F" w:rsidRPr="00FA0B1F" w:rsidRDefault="00FA0B1F" w:rsidP="00AA4BBB">
            <w:pPr>
              <w:rPr>
                <w:rFonts w:cs="Arial"/>
                <w:b/>
                <w:bCs/>
                <w:sz w:val="20"/>
                <w:szCs w:val="20"/>
              </w:rPr>
            </w:pPr>
          </w:p>
        </w:tc>
      </w:tr>
      <w:tr w:rsidR="00FA0B1F" w:rsidRPr="00FA0B1F" w14:paraId="533836DA" w14:textId="77777777" w:rsidTr="006E096C">
        <w:tc>
          <w:tcPr>
            <w:tcW w:w="0" w:type="auto"/>
            <w:vMerge w:val="restart"/>
            <w:tcMar>
              <w:top w:w="30" w:type="dxa"/>
              <w:left w:w="45" w:type="dxa"/>
              <w:bottom w:w="30" w:type="dxa"/>
              <w:right w:w="45" w:type="dxa"/>
            </w:tcMar>
            <w:vAlign w:val="center"/>
            <w:hideMark/>
          </w:tcPr>
          <w:p w14:paraId="33D847B7" w14:textId="562BC7AE" w:rsidR="00FA0B1F" w:rsidRPr="00FA0B1F" w:rsidRDefault="00FA0B1F" w:rsidP="00AA4BBB">
            <w:pPr>
              <w:rPr>
                <w:rFonts w:cs="Arial"/>
                <w:sz w:val="20"/>
                <w:szCs w:val="20"/>
              </w:rPr>
            </w:pPr>
            <w:r w:rsidRPr="00FA0B1F">
              <w:rPr>
                <w:rFonts w:cs="Arial"/>
                <w:sz w:val="20"/>
                <w:szCs w:val="20"/>
              </w:rPr>
              <w:t>Fortalecer un (1) programa para el fomento de la cultura ciudadana</w:t>
            </w:r>
            <w:r w:rsidR="003F47BC">
              <w:rPr>
                <w:rFonts w:cs="Arial"/>
                <w:sz w:val="20"/>
                <w:szCs w:val="20"/>
              </w:rPr>
              <w:t>,</w:t>
            </w:r>
            <w:r w:rsidRPr="00FA0B1F">
              <w:rPr>
                <w:rFonts w:cs="Arial"/>
                <w:sz w:val="20"/>
                <w:szCs w:val="20"/>
              </w:rPr>
              <w:t xml:space="preserve"> la convivencia y la prevención de las violencias asociadas al fútbol</w:t>
            </w:r>
          </w:p>
        </w:tc>
        <w:tc>
          <w:tcPr>
            <w:tcW w:w="0" w:type="auto"/>
            <w:tcMar>
              <w:top w:w="30" w:type="dxa"/>
              <w:left w:w="45" w:type="dxa"/>
              <w:bottom w:w="30" w:type="dxa"/>
              <w:right w:w="45" w:type="dxa"/>
            </w:tcMar>
            <w:vAlign w:val="center"/>
            <w:hideMark/>
          </w:tcPr>
          <w:p w14:paraId="0B43F6F3" w14:textId="77777777" w:rsidR="00FA0B1F" w:rsidRPr="00FA0B1F" w:rsidRDefault="00FA0B1F" w:rsidP="00AA4BBB">
            <w:pPr>
              <w:jc w:val="center"/>
              <w:rPr>
                <w:rFonts w:cs="Arial"/>
                <w:sz w:val="20"/>
                <w:szCs w:val="20"/>
              </w:rPr>
            </w:pPr>
            <w:r w:rsidRPr="00FA0B1F">
              <w:rPr>
                <w:rFonts w:cs="Arial"/>
                <w:sz w:val="20"/>
                <w:szCs w:val="20"/>
              </w:rPr>
              <w:t>0,10</w:t>
            </w:r>
          </w:p>
        </w:tc>
        <w:tc>
          <w:tcPr>
            <w:tcW w:w="0" w:type="auto"/>
            <w:tcMar>
              <w:top w:w="30" w:type="dxa"/>
              <w:left w:w="45" w:type="dxa"/>
              <w:bottom w:w="30" w:type="dxa"/>
              <w:right w:w="45" w:type="dxa"/>
            </w:tcMar>
            <w:vAlign w:val="center"/>
            <w:hideMark/>
          </w:tcPr>
          <w:p w14:paraId="496575FC" w14:textId="77777777" w:rsidR="00FA0B1F" w:rsidRPr="00FA0B1F" w:rsidRDefault="00FA0B1F" w:rsidP="00AA4BBB">
            <w:pPr>
              <w:jc w:val="center"/>
              <w:rPr>
                <w:rFonts w:cs="Arial"/>
                <w:sz w:val="20"/>
                <w:szCs w:val="20"/>
              </w:rPr>
            </w:pPr>
            <w:r w:rsidRPr="00FA0B1F">
              <w:rPr>
                <w:rFonts w:cs="Arial"/>
                <w:sz w:val="20"/>
                <w:szCs w:val="20"/>
              </w:rPr>
              <w:t>0,25</w:t>
            </w:r>
          </w:p>
        </w:tc>
        <w:tc>
          <w:tcPr>
            <w:tcW w:w="0" w:type="auto"/>
            <w:tcMar>
              <w:top w:w="30" w:type="dxa"/>
              <w:left w:w="45" w:type="dxa"/>
              <w:bottom w:w="30" w:type="dxa"/>
              <w:right w:w="45" w:type="dxa"/>
            </w:tcMar>
            <w:vAlign w:val="center"/>
            <w:hideMark/>
          </w:tcPr>
          <w:p w14:paraId="546C16BE" w14:textId="77777777" w:rsidR="00FA0B1F" w:rsidRPr="00FA0B1F" w:rsidRDefault="00FA0B1F" w:rsidP="00AA4BBB">
            <w:pPr>
              <w:jc w:val="center"/>
              <w:rPr>
                <w:rFonts w:cs="Arial"/>
                <w:sz w:val="20"/>
                <w:szCs w:val="20"/>
              </w:rPr>
            </w:pPr>
            <w:r w:rsidRPr="00FA0B1F">
              <w:rPr>
                <w:rFonts w:cs="Arial"/>
                <w:sz w:val="20"/>
                <w:szCs w:val="20"/>
              </w:rPr>
              <w:t>0,25</w:t>
            </w:r>
          </w:p>
        </w:tc>
        <w:tc>
          <w:tcPr>
            <w:tcW w:w="0" w:type="auto"/>
            <w:tcMar>
              <w:top w:w="30" w:type="dxa"/>
              <w:left w:w="45" w:type="dxa"/>
              <w:bottom w:w="30" w:type="dxa"/>
              <w:right w:w="45" w:type="dxa"/>
            </w:tcMar>
            <w:vAlign w:val="center"/>
            <w:hideMark/>
          </w:tcPr>
          <w:p w14:paraId="51B15AD4" w14:textId="77777777" w:rsidR="00FA0B1F" w:rsidRPr="00FA0B1F" w:rsidRDefault="00FA0B1F" w:rsidP="00AA4BBB">
            <w:pPr>
              <w:jc w:val="center"/>
              <w:rPr>
                <w:rFonts w:cs="Arial"/>
                <w:sz w:val="20"/>
                <w:szCs w:val="20"/>
              </w:rPr>
            </w:pPr>
            <w:r w:rsidRPr="00FA0B1F">
              <w:rPr>
                <w:rFonts w:cs="Arial"/>
                <w:sz w:val="20"/>
                <w:szCs w:val="20"/>
              </w:rPr>
              <w:t>0,40</w:t>
            </w:r>
          </w:p>
        </w:tc>
        <w:tc>
          <w:tcPr>
            <w:tcW w:w="0" w:type="auto"/>
            <w:vMerge w:val="restart"/>
            <w:tcMar>
              <w:top w:w="30" w:type="dxa"/>
              <w:left w:w="45" w:type="dxa"/>
              <w:bottom w:w="30" w:type="dxa"/>
              <w:right w:w="45" w:type="dxa"/>
            </w:tcMar>
            <w:vAlign w:val="center"/>
            <w:hideMark/>
          </w:tcPr>
          <w:p w14:paraId="1BF64EC2" w14:textId="77777777" w:rsidR="00FA0B1F" w:rsidRPr="00FA0B1F" w:rsidRDefault="00FA0B1F" w:rsidP="00AA4BBB">
            <w:pPr>
              <w:jc w:val="center"/>
              <w:rPr>
                <w:rFonts w:cs="Arial"/>
                <w:b/>
                <w:bCs/>
                <w:sz w:val="20"/>
                <w:szCs w:val="20"/>
              </w:rPr>
            </w:pPr>
            <w:r w:rsidRPr="00FA0B1F">
              <w:rPr>
                <w:rFonts w:cs="Arial"/>
                <w:b/>
                <w:bCs/>
                <w:sz w:val="20"/>
                <w:szCs w:val="20"/>
              </w:rPr>
              <w:t>3.319.526.524</w:t>
            </w:r>
          </w:p>
        </w:tc>
      </w:tr>
      <w:tr w:rsidR="00FA0B1F" w:rsidRPr="00FA0B1F" w14:paraId="4F2643D1" w14:textId="77777777" w:rsidTr="006E096C">
        <w:tc>
          <w:tcPr>
            <w:tcW w:w="0" w:type="auto"/>
            <w:vMerge/>
            <w:vAlign w:val="center"/>
            <w:hideMark/>
          </w:tcPr>
          <w:p w14:paraId="2E9D22E3"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5D502233" w14:textId="77777777" w:rsidR="00FA0B1F" w:rsidRPr="00FA0B1F" w:rsidRDefault="00FA0B1F" w:rsidP="00AA4BBB">
            <w:pPr>
              <w:jc w:val="center"/>
              <w:rPr>
                <w:rFonts w:cs="Arial"/>
                <w:sz w:val="20"/>
                <w:szCs w:val="20"/>
              </w:rPr>
            </w:pPr>
            <w:r w:rsidRPr="00FA0B1F">
              <w:rPr>
                <w:rFonts w:cs="Arial"/>
                <w:sz w:val="20"/>
                <w:szCs w:val="20"/>
              </w:rPr>
              <w:t>380.000.000</w:t>
            </w:r>
          </w:p>
        </w:tc>
        <w:tc>
          <w:tcPr>
            <w:tcW w:w="0" w:type="auto"/>
            <w:tcMar>
              <w:top w:w="30" w:type="dxa"/>
              <w:left w:w="45" w:type="dxa"/>
              <w:bottom w:w="30" w:type="dxa"/>
              <w:right w:w="45" w:type="dxa"/>
            </w:tcMar>
            <w:vAlign w:val="center"/>
            <w:hideMark/>
          </w:tcPr>
          <w:p w14:paraId="663CE028" w14:textId="77777777" w:rsidR="00FA0B1F" w:rsidRPr="00FA0B1F" w:rsidRDefault="00FA0B1F" w:rsidP="00AA4BBB">
            <w:pPr>
              <w:jc w:val="center"/>
              <w:rPr>
                <w:rFonts w:cs="Arial"/>
                <w:sz w:val="20"/>
                <w:szCs w:val="20"/>
              </w:rPr>
            </w:pPr>
            <w:r w:rsidRPr="00FA0B1F">
              <w:rPr>
                <w:rFonts w:cs="Arial"/>
                <w:sz w:val="20"/>
                <w:szCs w:val="20"/>
              </w:rPr>
              <w:t>970.873.786</w:t>
            </w:r>
          </w:p>
        </w:tc>
        <w:tc>
          <w:tcPr>
            <w:tcW w:w="0" w:type="auto"/>
            <w:tcMar>
              <w:top w:w="30" w:type="dxa"/>
              <w:left w:w="45" w:type="dxa"/>
              <w:bottom w:w="30" w:type="dxa"/>
              <w:right w:w="45" w:type="dxa"/>
            </w:tcMar>
            <w:vAlign w:val="center"/>
            <w:hideMark/>
          </w:tcPr>
          <w:p w14:paraId="4870525F" w14:textId="77777777" w:rsidR="00FA0B1F" w:rsidRPr="00FA0B1F" w:rsidRDefault="00FA0B1F" w:rsidP="00AA4BBB">
            <w:pPr>
              <w:jc w:val="center"/>
              <w:rPr>
                <w:rFonts w:cs="Arial"/>
                <w:sz w:val="20"/>
                <w:szCs w:val="20"/>
              </w:rPr>
            </w:pPr>
            <w:r w:rsidRPr="00FA0B1F">
              <w:rPr>
                <w:rFonts w:cs="Arial"/>
                <w:sz w:val="20"/>
                <w:szCs w:val="20"/>
              </w:rPr>
              <w:t>980.299.745</w:t>
            </w:r>
          </w:p>
        </w:tc>
        <w:tc>
          <w:tcPr>
            <w:tcW w:w="0" w:type="auto"/>
            <w:tcMar>
              <w:top w:w="30" w:type="dxa"/>
              <w:left w:w="45" w:type="dxa"/>
              <w:bottom w:w="30" w:type="dxa"/>
              <w:right w:w="45" w:type="dxa"/>
            </w:tcMar>
            <w:vAlign w:val="center"/>
            <w:hideMark/>
          </w:tcPr>
          <w:p w14:paraId="1814D94F" w14:textId="77777777" w:rsidR="00FA0B1F" w:rsidRPr="00FA0B1F" w:rsidRDefault="00FA0B1F" w:rsidP="00AA4BBB">
            <w:pPr>
              <w:jc w:val="center"/>
              <w:rPr>
                <w:rFonts w:cs="Arial"/>
                <w:sz w:val="20"/>
                <w:szCs w:val="20"/>
              </w:rPr>
            </w:pPr>
            <w:r w:rsidRPr="00FA0B1F">
              <w:rPr>
                <w:rFonts w:cs="Arial"/>
                <w:sz w:val="20"/>
                <w:szCs w:val="20"/>
              </w:rPr>
              <w:t>988.352.992</w:t>
            </w:r>
          </w:p>
        </w:tc>
        <w:tc>
          <w:tcPr>
            <w:tcW w:w="0" w:type="auto"/>
            <w:vMerge/>
            <w:vAlign w:val="center"/>
            <w:hideMark/>
          </w:tcPr>
          <w:p w14:paraId="72E17A85" w14:textId="77777777" w:rsidR="00FA0B1F" w:rsidRPr="00FA0B1F" w:rsidRDefault="00FA0B1F" w:rsidP="00AA4BBB">
            <w:pPr>
              <w:rPr>
                <w:rFonts w:cs="Arial"/>
                <w:b/>
                <w:bCs/>
                <w:sz w:val="20"/>
                <w:szCs w:val="20"/>
              </w:rPr>
            </w:pPr>
          </w:p>
        </w:tc>
      </w:tr>
      <w:tr w:rsidR="00FA0B1F" w:rsidRPr="00FA0B1F" w14:paraId="1742FC17" w14:textId="77777777" w:rsidTr="006E096C">
        <w:tc>
          <w:tcPr>
            <w:tcW w:w="0" w:type="auto"/>
            <w:vMerge w:val="restart"/>
            <w:tcMar>
              <w:top w:w="30" w:type="dxa"/>
              <w:left w:w="45" w:type="dxa"/>
              <w:bottom w:w="30" w:type="dxa"/>
              <w:right w:w="45" w:type="dxa"/>
            </w:tcMar>
            <w:vAlign w:val="center"/>
            <w:hideMark/>
          </w:tcPr>
          <w:p w14:paraId="0A047A60" w14:textId="3FA9BE23" w:rsidR="00FA0B1F" w:rsidRPr="00FA0B1F" w:rsidRDefault="00FA0B1F" w:rsidP="00AA4BBB">
            <w:pPr>
              <w:rPr>
                <w:rFonts w:cs="Arial"/>
                <w:sz w:val="20"/>
                <w:szCs w:val="20"/>
              </w:rPr>
            </w:pPr>
            <w:r w:rsidRPr="00FA0B1F">
              <w:rPr>
                <w:rFonts w:cs="Arial"/>
                <w:sz w:val="20"/>
                <w:szCs w:val="20"/>
              </w:rPr>
              <w:lastRenderedPageBreak/>
              <w:t>Proferir 1.608.200 fallos de fondo en primera instancia de los expedientes de policía por comportamientos contrarios a la convivencia</w:t>
            </w:r>
            <w:r w:rsidR="003F47BC">
              <w:rPr>
                <w:rFonts w:cs="Arial"/>
                <w:sz w:val="20"/>
                <w:szCs w:val="20"/>
              </w:rPr>
              <w:t>,</w:t>
            </w:r>
            <w:r w:rsidRPr="00FA0B1F">
              <w:rPr>
                <w:rFonts w:cs="Arial"/>
                <w:sz w:val="20"/>
                <w:szCs w:val="20"/>
              </w:rPr>
              <w:t xml:space="preserve"> en el marco del Código Nacional de Seguridad y Convivencia Ciudadana</w:t>
            </w:r>
          </w:p>
        </w:tc>
        <w:tc>
          <w:tcPr>
            <w:tcW w:w="0" w:type="auto"/>
            <w:tcMar>
              <w:top w:w="30" w:type="dxa"/>
              <w:left w:w="45" w:type="dxa"/>
              <w:bottom w:w="30" w:type="dxa"/>
              <w:right w:w="45" w:type="dxa"/>
            </w:tcMar>
            <w:vAlign w:val="center"/>
            <w:hideMark/>
          </w:tcPr>
          <w:p w14:paraId="68D7795B" w14:textId="77777777" w:rsidR="00FA0B1F" w:rsidRPr="00FA0B1F" w:rsidRDefault="00FA0B1F" w:rsidP="00AA4BBB">
            <w:pPr>
              <w:jc w:val="center"/>
              <w:rPr>
                <w:rFonts w:cs="Arial"/>
                <w:sz w:val="20"/>
                <w:szCs w:val="20"/>
              </w:rPr>
            </w:pPr>
            <w:r w:rsidRPr="00FA0B1F">
              <w:rPr>
                <w:rFonts w:cs="Arial"/>
                <w:sz w:val="20"/>
                <w:szCs w:val="20"/>
              </w:rPr>
              <w:t>50.000</w:t>
            </w:r>
          </w:p>
        </w:tc>
        <w:tc>
          <w:tcPr>
            <w:tcW w:w="0" w:type="auto"/>
            <w:tcMar>
              <w:top w:w="30" w:type="dxa"/>
              <w:left w:w="45" w:type="dxa"/>
              <w:bottom w:w="30" w:type="dxa"/>
              <w:right w:w="45" w:type="dxa"/>
            </w:tcMar>
            <w:vAlign w:val="center"/>
            <w:hideMark/>
          </w:tcPr>
          <w:p w14:paraId="2D579903" w14:textId="77777777" w:rsidR="00FA0B1F" w:rsidRPr="00FA0B1F" w:rsidRDefault="00FA0B1F" w:rsidP="00AA4BBB">
            <w:pPr>
              <w:jc w:val="center"/>
              <w:rPr>
                <w:rFonts w:cs="Arial"/>
                <w:sz w:val="20"/>
                <w:szCs w:val="20"/>
              </w:rPr>
            </w:pPr>
            <w:r w:rsidRPr="00FA0B1F">
              <w:rPr>
                <w:rFonts w:cs="Arial"/>
                <w:sz w:val="20"/>
                <w:szCs w:val="20"/>
              </w:rPr>
              <w:t>263.780</w:t>
            </w:r>
          </w:p>
        </w:tc>
        <w:tc>
          <w:tcPr>
            <w:tcW w:w="0" w:type="auto"/>
            <w:tcMar>
              <w:top w:w="30" w:type="dxa"/>
              <w:left w:w="45" w:type="dxa"/>
              <w:bottom w:w="30" w:type="dxa"/>
              <w:right w:w="45" w:type="dxa"/>
            </w:tcMar>
            <w:vAlign w:val="center"/>
            <w:hideMark/>
          </w:tcPr>
          <w:p w14:paraId="1495D2B9" w14:textId="77777777" w:rsidR="00FA0B1F" w:rsidRPr="00FA0B1F" w:rsidRDefault="00FA0B1F" w:rsidP="00AA4BBB">
            <w:pPr>
              <w:jc w:val="center"/>
              <w:rPr>
                <w:rFonts w:cs="Arial"/>
                <w:sz w:val="20"/>
                <w:szCs w:val="20"/>
              </w:rPr>
            </w:pPr>
            <w:r w:rsidRPr="00FA0B1F">
              <w:rPr>
                <w:rFonts w:cs="Arial"/>
                <w:sz w:val="20"/>
                <w:szCs w:val="20"/>
              </w:rPr>
              <w:t>544.016</w:t>
            </w:r>
          </w:p>
        </w:tc>
        <w:tc>
          <w:tcPr>
            <w:tcW w:w="0" w:type="auto"/>
            <w:tcMar>
              <w:top w:w="30" w:type="dxa"/>
              <w:left w:w="45" w:type="dxa"/>
              <w:bottom w:w="30" w:type="dxa"/>
              <w:right w:w="45" w:type="dxa"/>
            </w:tcMar>
            <w:vAlign w:val="center"/>
            <w:hideMark/>
          </w:tcPr>
          <w:p w14:paraId="52C1B363" w14:textId="77777777" w:rsidR="00FA0B1F" w:rsidRPr="00FA0B1F" w:rsidRDefault="00FA0B1F" w:rsidP="00AA4BBB">
            <w:pPr>
              <w:jc w:val="center"/>
              <w:rPr>
                <w:rFonts w:cs="Arial"/>
                <w:sz w:val="20"/>
                <w:szCs w:val="20"/>
              </w:rPr>
            </w:pPr>
            <w:r w:rsidRPr="00FA0B1F">
              <w:rPr>
                <w:rFonts w:cs="Arial"/>
                <w:sz w:val="20"/>
                <w:szCs w:val="20"/>
              </w:rPr>
              <w:t>750.404</w:t>
            </w:r>
          </w:p>
        </w:tc>
        <w:tc>
          <w:tcPr>
            <w:tcW w:w="0" w:type="auto"/>
            <w:vMerge w:val="restart"/>
            <w:tcMar>
              <w:top w:w="30" w:type="dxa"/>
              <w:left w:w="45" w:type="dxa"/>
              <w:bottom w:w="30" w:type="dxa"/>
              <w:right w:w="45" w:type="dxa"/>
            </w:tcMar>
            <w:vAlign w:val="center"/>
            <w:hideMark/>
          </w:tcPr>
          <w:p w14:paraId="6C0BAEEF" w14:textId="77777777" w:rsidR="00FA0B1F" w:rsidRPr="00FA0B1F" w:rsidRDefault="00FA0B1F" w:rsidP="00AA4BBB">
            <w:pPr>
              <w:jc w:val="center"/>
              <w:rPr>
                <w:rFonts w:cs="Arial"/>
                <w:b/>
                <w:bCs/>
                <w:sz w:val="20"/>
                <w:szCs w:val="20"/>
              </w:rPr>
            </w:pPr>
            <w:r w:rsidRPr="00FA0B1F">
              <w:rPr>
                <w:rFonts w:cs="Arial"/>
                <w:b/>
                <w:bCs/>
                <w:sz w:val="20"/>
                <w:szCs w:val="20"/>
              </w:rPr>
              <w:t>141.465.014.165</w:t>
            </w:r>
          </w:p>
        </w:tc>
      </w:tr>
      <w:tr w:rsidR="00FA0B1F" w:rsidRPr="00FA0B1F" w14:paraId="403F0B5D" w14:textId="77777777" w:rsidTr="006E096C">
        <w:tc>
          <w:tcPr>
            <w:tcW w:w="0" w:type="auto"/>
            <w:vMerge/>
            <w:vAlign w:val="center"/>
            <w:hideMark/>
          </w:tcPr>
          <w:p w14:paraId="7FCDBC2B"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12B8B835" w14:textId="77777777" w:rsidR="00FA0B1F" w:rsidRPr="00FA0B1F" w:rsidRDefault="00FA0B1F" w:rsidP="00AA4BBB">
            <w:pPr>
              <w:jc w:val="center"/>
              <w:rPr>
                <w:rFonts w:cs="Arial"/>
                <w:sz w:val="20"/>
                <w:szCs w:val="20"/>
              </w:rPr>
            </w:pPr>
            <w:r w:rsidRPr="00FA0B1F">
              <w:rPr>
                <w:rFonts w:cs="Arial"/>
                <w:sz w:val="20"/>
                <w:szCs w:val="20"/>
              </w:rPr>
              <w:t>1.489.589.423</w:t>
            </w:r>
          </w:p>
        </w:tc>
        <w:tc>
          <w:tcPr>
            <w:tcW w:w="0" w:type="auto"/>
            <w:tcMar>
              <w:top w:w="30" w:type="dxa"/>
              <w:left w:w="45" w:type="dxa"/>
              <w:bottom w:w="30" w:type="dxa"/>
              <w:right w:w="45" w:type="dxa"/>
            </w:tcMar>
            <w:vAlign w:val="center"/>
            <w:hideMark/>
          </w:tcPr>
          <w:p w14:paraId="537F8306" w14:textId="77777777" w:rsidR="00FA0B1F" w:rsidRPr="00FA0B1F" w:rsidRDefault="00FA0B1F" w:rsidP="00AA4BBB">
            <w:pPr>
              <w:jc w:val="center"/>
              <w:rPr>
                <w:rFonts w:cs="Arial"/>
                <w:sz w:val="20"/>
                <w:szCs w:val="20"/>
              </w:rPr>
            </w:pPr>
            <w:r w:rsidRPr="00FA0B1F">
              <w:rPr>
                <w:rFonts w:cs="Arial"/>
                <w:sz w:val="20"/>
                <w:szCs w:val="20"/>
              </w:rPr>
              <w:t>28.291.514.589</w:t>
            </w:r>
          </w:p>
        </w:tc>
        <w:tc>
          <w:tcPr>
            <w:tcW w:w="0" w:type="auto"/>
            <w:tcMar>
              <w:top w:w="30" w:type="dxa"/>
              <w:left w:w="45" w:type="dxa"/>
              <w:bottom w:w="30" w:type="dxa"/>
              <w:right w:w="45" w:type="dxa"/>
            </w:tcMar>
            <w:vAlign w:val="center"/>
            <w:hideMark/>
          </w:tcPr>
          <w:p w14:paraId="5DD258BE" w14:textId="77777777" w:rsidR="00FA0B1F" w:rsidRPr="00FA0B1F" w:rsidRDefault="00FA0B1F" w:rsidP="00AA4BBB">
            <w:pPr>
              <w:jc w:val="center"/>
              <w:rPr>
                <w:rFonts w:cs="Arial"/>
                <w:sz w:val="20"/>
                <w:szCs w:val="20"/>
              </w:rPr>
            </w:pPr>
            <w:r w:rsidRPr="00FA0B1F">
              <w:rPr>
                <w:rFonts w:cs="Arial"/>
                <w:sz w:val="20"/>
                <w:szCs w:val="20"/>
              </w:rPr>
              <w:t>43.041.239.803</w:t>
            </w:r>
          </w:p>
        </w:tc>
        <w:tc>
          <w:tcPr>
            <w:tcW w:w="0" w:type="auto"/>
            <w:tcMar>
              <w:top w:w="30" w:type="dxa"/>
              <w:left w:w="45" w:type="dxa"/>
              <w:bottom w:w="30" w:type="dxa"/>
              <w:right w:w="45" w:type="dxa"/>
            </w:tcMar>
            <w:vAlign w:val="center"/>
            <w:hideMark/>
          </w:tcPr>
          <w:p w14:paraId="69A34983" w14:textId="77777777" w:rsidR="00FA0B1F" w:rsidRPr="00FA0B1F" w:rsidRDefault="00FA0B1F" w:rsidP="00AA4BBB">
            <w:pPr>
              <w:jc w:val="center"/>
              <w:rPr>
                <w:rFonts w:cs="Arial"/>
                <w:sz w:val="20"/>
                <w:szCs w:val="20"/>
              </w:rPr>
            </w:pPr>
            <w:r w:rsidRPr="00FA0B1F">
              <w:rPr>
                <w:rFonts w:cs="Arial"/>
                <w:sz w:val="20"/>
                <w:szCs w:val="20"/>
              </w:rPr>
              <w:t>68.642.670.350</w:t>
            </w:r>
          </w:p>
        </w:tc>
        <w:tc>
          <w:tcPr>
            <w:tcW w:w="0" w:type="auto"/>
            <w:vMerge/>
            <w:vAlign w:val="center"/>
            <w:hideMark/>
          </w:tcPr>
          <w:p w14:paraId="38481449" w14:textId="77777777" w:rsidR="00FA0B1F" w:rsidRPr="00FA0B1F" w:rsidRDefault="00FA0B1F" w:rsidP="00AA4BBB">
            <w:pPr>
              <w:rPr>
                <w:rFonts w:cs="Arial"/>
                <w:b/>
                <w:bCs/>
                <w:sz w:val="20"/>
                <w:szCs w:val="20"/>
              </w:rPr>
            </w:pPr>
          </w:p>
        </w:tc>
      </w:tr>
      <w:tr w:rsidR="00FA0B1F" w:rsidRPr="00FA0B1F" w14:paraId="1C94337C" w14:textId="77777777" w:rsidTr="007C0D34">
        <w:tc>
          <w:tcPr>
            <w:tcW w:w="0" w:type="auto"/>
            <w:gridSpan w:val="6"/>
            <w:shd w:val="clear" w:color="auto" w:fill="C00000"/>
            <w:tcMar>
              <w:top w:w="30" w:type="dxa"/>
              <w:left w:w="45" w:type="dxa"/>
              <w:bottom w:w="30" w:type="dxa"/>
              <w:right w:w="45" w:type="dxa"/>
            </w:tcMar>
            <w:vAlign w:val="center"/>
            <w:hideMark/>
          </w:tcPr>
          <w:p w14:paraId="4DA3B644" w14:textId="291C50C6" w:rsidR="00FA0B1F" w:rsidRPr="007C0D34" w:rsidRDefault="007C0D34" w:rsidP="007C0D34">
            <w:pPr>
              <w:jc w:val="center"/>
              <w:rPr>
                <w:rFonts w:cs="Arial"/>
                <w:b/>
                <w:bCs/>
                <w:color w:val="FFFFFF" w:themeColor="background1"/>
                <w:sz w:val="20"/>
                <w:szCs w:val="20"/>
              </w:rPr>
            </w:pPr>
            <w:r w:rsidRPr="007C0D34">
              <w:rPr>
                <w:rFonts w:cs="Arial"/>
                <w:b/>
                <w:bCs/>
                <w:color w:val="FFFFFF" w:themeColor="background1"/>
                <w:sz w:val="20"/>
                <w:szCs w:val="20"/>
              </w:rPr>
              <w:t>Seguridad</w:t>
            </w:r>
            <w:r>
              <w:rPr>
                <w:rFonts w:cs="Arial"/>
                <w:b/>
                <w:bCs/>
                <w:color w:val="FFFFFF" w:themeColor="background1"/>
                <w:sz w:val="20"/>
                <w:szCs w:val="20"/>
              </w:rPr>
              <w:t>, C</w:t>
            </w:r>
            <w:r w:rsidRPr="007C0D34">
              <w:rPr>
                <w:rFonts w:cs="Arial"/>
                <w:b/>
                <w:bCs/>
                <w:color w:val="FFFFFF" w:themeColor="background1"/>
                <w:sz w:val="20"/>
                <w:szCs w:val="20"/>
              </w:rPr>
              <w:t xml:space="preserve">onvivencia y </w:t>
            </w:r>
            <w:r>
              <w:rPr>
                <w:rFonts w:cs="Arial"/>
                <w:b/>
                <w:bCs/>
                <w:color w:val="FFFFFF" w:themeColor="background1"/>
                <w:sz w:val="20"/>
                <w:szCs w:val="20"/>
              </w:rPr>
              <w:t>J</w:t>
            </w:r>
            <w:r w:rsidRPr="007C0D34">
              <w:rPr>
                <w:rFonts w:cs="Arial"/>
                <w:b/>
                <w:bCs/>
                <w:color w:val="FFFFFF" w:themeColor="background1"/>
                <w:sz w:val="20"/>
                <w:szCs w:val="20"/>
              </w:rPr>
              <w:t>usticia</w:t>
            </w:r>
          </w:p>
        </w:tc>
      </w:tr>
      <w:tr w:rsidR="00FA0B1F" w:rsidRPr="00FA0B1F" w14:paraId="75634246" w14:textId="77777777" w:rsidTr="006E096C">
        <w:tc>
          <w:tcPr>
            <w:tcW w:w="0" w:type="auto"/>
            <w:vMerge w:val="restart"/>
            <w:tcMar>
              <w:top w:w="30" w:type="dxa"/>
              <w:left w:w="45" w:type="dxa"/>
              <w:bottom w:w="30" w:type="dxa"/>
              <w:right w:w="45" w:type="dxa"/>
            </w:tcMar>
            <w:vAlign w:val="center"/>
            <w:hideMark/>
          </w:tcPr>
          <w:p w14:paraId="7C87DB48" w14:textId="77777777" w:rsidR="00FA0B1F" w:rsidRPr="00FA0B1F" w:rsidRDefault="00FA0B1F" w:rsidP="00AA4BBB">
            <w:pPr>
              <w:rPr>
                <w:rFonts w:cs="Arial"/>
                <w:sz w:val="20"/>
                <w:szCs w:val="20"/>
              </w:rPr>
            </w:pPr>
            <w:r w:rsidRPr="00FA0B1F">
              <w:rPr>
                <w:rFonts w:cs="Arial"/>
                <w:sz w:val="20"/>
                <w:szCs w:val="20"/>
              </w:rPr>
              <w:t>Implementar un (1) plan para la prevención y mitigación de factores de riesgo que favorecen la ocurrencia de violencias y delitos contra poblaciones vulnerables</w:t>
            </w:r>
          </w:p>
        </w:tc>
        <w:tc>
          <w:tcPr>
            <w:tcW w:w="0" w:type="auto"/>
            <w:tcMar>
              <w:top w:w="30" w:type="dxa"/>
              <w:left w:w="45" w:type="dxa"/>
              <w:bottom w:w="30" w:type="dxa"/>
              <w:right w:w="45" w:type="dxa"/>
            </w:tcMar>
            <w:vAlign w:val="center"/>
            <w:hideMark/>
          </w:tcPr>
          <w:p w14:paraId="02F4650D" w14:textId="77777777" w:rsidR="00FA0B1F" w:rsidRPr="00FA0B1F" w:rsidRDefault="00FA0B1F" w:rsidP="00AA4BBB">
            <w:pPr>
              <w:jc w:val="center"/>
              <w:rPr>
                <w:rFonts w:cs="Arial"/>
                <w:sz w:val="20"/>
                <w:szCs w:val="20"/>
              </w:rPr>
            </w:pPr>
            <w:r w:rsidRPr="00FA0B1F">
              <w:rPr>
                <w:rFonts w:cs="Arial"/>
                <w:sz w:val="20"/>
                <w:szCs w:val="20"/>
              </w:rPr>
              <w:t>100%</w:t>
            </w:r>
          </w:p>
        </w:tc>
        <w:tc>
          <w:tcPr>
            <w:tcW w:w="0" w:type="auto"/>
            <w:tcMar>
              <w:top w:w="30" w:type="dxa"/>
              <w:left w:w="45" w:type="dxa"/>
              <w:bottom w:w="30" w:type="dxa"/>
              <w:right w:w="45" w:type="dxa"/>
            </w:tcMar>
            <w:vAlign w:val="center"/>
            <w:hideMark/>
          </w:tcPr>
          <w:p w14:paraId="74D55BFE" w14:textId="77777777" w:rsidR="00FA0B1F" w:rsidRPr="00FA0B1F" w:rsidRDefault="00FA0B1F" w:rsidP="00AA4BBB">
            <w:pPr>
              <w:jc w:val="center"/>
              <w:rPr>
                <w:rFonts w:cs="Arial"/>
                <w:sz w:val="20"/>
                <w:szCs w:val="20"/>
              </w:rPr>
            </w:pPr>
            <w:r w:rsidRPr="00FA0B1F">
              <w:rPr>
                <w:rFonts w:cs="Arial"/>
                <w:sz w:val="20"/>
                <w:szCs w:val="20"/>
              </w:rPr>
              <w:t>100%</w:t>
            </w:r>
          </w:p>
        </w:tc>
        <w:tc>
          <w:tcPr>
            <w:tcW w:w="0" w:type="auto"/>
            <w:tcMar>
              <w:top w:w="30" w:type="dxa"/>
              <w:left w:w="45" w:type="dxa"/>
              <w:bottom w:w="30" w:type="dxa"/>
              <w:right w:w="45" w:type="dxa"/>
            </w:tcMar>
            <w:vAlign w:val="center"/>
            <w:hideMark/>
          </w:tcPr>
          <w:p w14:paraId="383708ED" w14:textId="77777777" w:rsidR="00FA0B1F" w:rsidRPr="00FA0B1F" w:rsidRDefault="00FA0B1F" w:rsidP="00AA4BBB">
            <w:pPr>
              <w:jc w:val="center"/>
              <w:rPr>
                <w:rFonts w:cs="Arial"/>
                <w:sz w:val="20"/>
                <w:szCs w:val="20"/>
              </w:rPr>
            </w:pPr>
            <w:r w:rsidRPr="00FA0B1F">
              <w:rPr>
                <w:rFonts w:cs="Arial"/>
                <w:sz w:val="20"/>
                <w:szCs w:val="20"/>
              </w:rPr>
              <w:t>100%</w:t>
            </w:r>
          </w:p>
        </w:tc>
        <w:tc>
          <w:tcPr>
            <w:tcW w:w="0" w:type="auto"/>
            <w:tcMar>
              <w:top w:w="30" w:type="dxa"/>
              <w:left w:w="45" w:type="dxa"/>
              <w:bottom w:w="30" w:type="dxa"/>
              <w:right w:w="45" w:type="dxa"/>
            </w:tcMar>
            <w:vAlign w:val="center"/>
            <w:hideMark/>
          </w:tcPr>
          <w:p w14:paraId="325E3B00" w14:textId="77777777" w:rsidR="00FA0B1F" w:rsidRPr="00FA0B1F" w:rsidRDefault="00FA0B1F" w:rsidP="00AA4BBB">
            <w:pPr>
              <w:jc w:val="center"/>
              <w:rPr>
                <w:rFonts w:cs="Arial"/>
                <w:sz w:val="20"/>
                <w:szCs w:val="20"/>
              </w:rPr>
            </w:pPr>
            <w:r w:rsidRPr="00FA0B1F">
              <w:rPr>
                <w:rFonts w:cs="Arial"/>
                <w:sz w:val="20"/>
                <w:szCs w:val="20"/>
              </w:rPr>
              <w:t>100%</w:t>
            </w:r>
          </w:p>
        </w:tc>
        <w:tc>
          <w:tcPr>
            <w:tcW w:w="0" w:type="auto"/>
            <w:vMerge w:val="restart"/>
            <w:tcMar>
              <w:top w:w="30" w:type="dxa"/>
              <w:left w:w="45" w:type="dxa"/>
              <w:bottom w:w="30" w:type="dxa"/>
              <w:right w:w="45" w:type="dxa"/>
            </w:tcMar>
            <w:vAlign w:val="center"/>
            <w:hideMark/>
          </w:tcPr>
          <w:p w14:paraId="640A2CBD" w14:textId="77777777" w:rsidR="00FA0B1F" w:rsidRPr="00FA0B1F" w:rsidRDefault="00FA0B1F" w:rsidP="00AA4BBB">
            <w:pPr>
              <w:jc w:val="center"/>
              <w:rPr>
                <w:rFonts w:cs="Arial"/>
                <w:b/>
                <w:bCs/>
                <w:sz w:val="20"/>
                <w:szCs w:val="20"/>
              </w:rPr>
            </w:pPr>
            <w:r w:rsidRPr="00FA0B1F">
              <w:rPr>
                <w:rFonts w:cs="Arial"/>
                <w:b/>
                <w:bCs/>
                <w:sz w:val="20"/>
                <w:szCs w:val="20"/>
              </w:rPr>
              <w:t>51.496.485.208</w:t>
            </w:r>
          </w:p>
        </w:tc>
      </w:tr>
      <w:tr w:rsidR="00FA0B1F" w:rsidRPr="00FA0B1F" w14:paraId="49129A81" w14:textId="77777777" w:rsidTr="006E096C">
        <w:tc>
          <w:tcPr>
            <w:tcW w:w="0" w:type="auto"/>
            <w:vMerge/>
            <w:vAlign w:val="center"/>
            <w:hideMark/>
          </w:tcPr>
          <w:p w14:paraId="7BF25BAE"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1BB423EA" w14:textId="77777777" w:rsidR="00FA0B1F" w:rsidRPr="00FA0B1F" w:rsidRDefault="00FA0B1F" w:rsidP="00AA4BBB">
            <w:pPr>
              <w:jc w:val="center"/>
              <w:rPr>
                <w:rFonts w:cs="Arial"/>
                <w:sz w:val="20"/>
                <w:szCs w:val="20"/>
              </w:rPr>
            </w:pPr>
            <w:r w:rsidRPr="00FA0B1F">
              <w:rPr>
                <w:rFonts w:cs="Arial"/>
                <w:sz w:val="20"/>
                <w:szCs w:val="20"/>
              </w:rPr>
              <w:t>8.625.688.000</w:t>
            </w:r>
          </w:p>
        </w:tc>
        <w:tc>
          <w:tcPr>
            <w:tcW w:w="0" w:type="auto"/>
            <w:tcMar>
              <w:top w:w="30" w:type="dxa"/>
              <w:left w:w="45" w:type="dxa"/>
              <w:bottom w:w="30" w:type="dxa"/>
              <w:right w:w="45" w:type="dxa"/>
            </w:tcMar>
            <w:vAlign w:val="center"/>
            <w:hideMark/>
          </w:tcPr>
          <w:p w14:paraId="68D28BAA" w14:textId="77777777" w:rsidR="00FA0B1F" w:rsidRPr="00FA0B1F" w:rsidRDefault="00FA0B1F" w:rsidP="00AA4BBB">
            <w:pPr>
              <w:jc w:val="center"/>
              <w:rPr>
                <w:rFonts w:cs="Arial"/>
                <w:sz w:val="20"/>
                <w:szCs w:val="20"/>
              </w:rPr>
            </w:pPr>
            <w:r w:rsidRPr="00FA0B1F">
              <w:rPr>
                <w:rFonts w:cs="Arial"/>
                <w:sz w:val="20"/>
                <w:szCs w:val="20"/>
              </w:rPr>
              <w:t>14.106.279.612</w:t>
            </w:r>
          </w:p>
        </w:tc>
        <w:tc>
          <w:tcPr>
            <w:tcW w:w="0" w:type="auto"/>
            <w:tcMar>
              <w:top w:w="30" w:type="dxa"/>
              <w:left w:w="45" w:type="dxa"/>
              <w:bottom w:w="30" w:type="dxa"/>
              <w:right w:w="45" w:type="dxa"/>
            </w:tcMar>
            <w:vAlign w:val="center"/>
            <w:hideMark/>
          </w:tcPr>
          <w:p w14:paraId="7044F9C8" w14:textId="77777777" w:rsidR="00FA0B1F" w:rsidRPr="00FA0B1F" w:rsidRDefault="00FA0B1F" w:rsidP="00AA4BBB">
            <w:pPr>
              <w:jc w:val="center"/>
              <w:rPr>
                <w:rFonts w:cs="Arial"/>
                <w:sz w:val="20"/>
                <w:szCs w:val="20"/>
              </w:rPr>
            </w:pPr>
            <w:r w:rsidRPr="00FA0B1F">
              <w:rPr>
                <w:rFonts w:cs="Arial"/>
                <w:sz w:val="20"/>
                <w:szCs w:val="20"/>
              </w:rPr>
              <w:t>14.282.339.523</w:t>
            </w:r>
          </w:p>
        </w:tc>
        <w:tc>
          <w:tcPr>
            <w:tcW w:w="0" w:type="auto"/>
            <w:tcMar>
              <w:top w:w="30" w:type="dxa"/>
              <w:left w:w="45" w:type="dxa"/>
              <w:bottom w:w="30" w:type="dxa"/>
              <w:right w:w="45" w:type="dxa"/>
            </w:tcMar>
            <w:vAlign w:val="center"/>
            <w:hideMark/>
          </w:tcPr>
          <w:p w14:paraId="212F659E" w14:textId="77777777" w:rsidR="00FA0B1F" w:rsidRPr="00FA0B1F" w:rsidRDefault="00FA0B1F" w:rsidP="00AA4BBB">
            <w:pPr>
              <w:jc w:val="center"/>
              <w:rPr>
                <w:rFonts w:cs="Arial"/>
                <w:sz w:val="20"/>
                <w:szCs w:val="20"/>
              </w:rPr>
            </w:pPr>
            <w:r w:rsidRPr="00FA0B1F">
              <w:rPr>
                <w:rFonts w:cs="Arial"/>
                <w:sz w:val="20"/>
                <w:szCs w:val="20"/>
              </w:rPr>
              <w:t>14.482.178.074</w:t>
            </w:r>
          </w:p>
        </w:tc>
        <w:tc>
          <w:tcPr>
            <w:tcW w:w="0" w:type="auto"/>
            <w:vMerge/>
            <w:vAlign w:val="center"/>
            <w:hideMark/>
          </w:tcPr>
          <w:p w14:paraId="325A30E5" w14:textId="77777777" w:rsidR="00FA0B1F" w:rsidRPr="00FA0B1F" w:rsidRDefault="00FA0B1F" w:rsidP="00AA4BBB">
            <w:pPr>
              <w:rPr>
                <w:rFonts w:cs="Arial"/>
                <w:b/>
                <w:bCs/>
                <w:sz w:val="20"/>
                <w:szCs w:val="20"/>
              </w:rPr>
            </w:pPr>
          </w:p>
        </w:tc>
      </w:tr>
      <w:tr w:rsidR="00FA0B1F" w:rsidRPr="00FA0B1F" w14:paraId="54E0A299" w14:textId="77777777" w:rsidTr="006E096C">
        <w:tc>
          <w:tcPr>
            <w:tcW w:w="0" w:type="auto"/>
            <w:vMerge w:val="restart"/>
            <w:tcMar>
              <w:top w:w="30" w:type="dxa"/>
              <w:left w:w="45" w:type="dxa"/>
              <w:bottom w:w="30" w:type="dxa"/>
              <w:right w:w="45" w:type="dxa"/>
            </w:tcMar>
            <w:vAlign w:val="center"/>
            <w:hideMark/>
          </w:tcPr>
          <w:p w14:paraId="69BE347B" w14:textId="6DF01842" w:rsidR="00FA0B1F" w:rsidRPr="00FA0B1F" w:rsidRDefault="00FA0B1F" w:rsidP="00AA4BBB">
            <w:pPr>
              <w:rPr>
                <w:rFonts w:cs="Arial"/>
                <w:sz w:val="20"/>
                <w:szCs w:val="20"/>
              </w:rPr>
            </w:pPr>
            <w:r w:rsidRPr="00FA0B1F">
              <w:rPr>
                <w:rFonts w:cs="Arial"/>
                <w:sz w:val="20"/>
                <w:szCs w:val="20"/>
              </w:rPr>
              <w:t>Incrementar los espacios transformados conjuntamente con las instituciones de seguridad</w:t>
            </w:r>
            <w:r w:rsidR="003F47BC">
              <w:rPr>
                <w:rFonts w:cs="Arial"/>
                <w:sz w:val="20"/>
                <w:szCs w:val="20"/>
              </w:rPr>
              <w:t>,</w:t>
            </w:r>
            <w:r w:rsidRPr="00FA0B1F">
              <w:rPr>
                <w:rFonts w:cs="Arial"/>
                <w:sz w:val="20"/>
                <w:szCs w:val="20"/>
              </w:rPr>
              <w:t xml:space="preserve"> justicia</w:t>
            </w:r>
            <w:r w:rsidR="003F47BC">
              <w:rPr>
                <w:rFonts w:cs="Arial"/>
                <w:sz w:val="20"/>
                <w:szCs w:val="20"/>
              </w:rPr>
              <w:t>,</w:t>
            </w:r>
            <w:r w:rsidRPr="00FA0B1F">
              <w:rPr>
                <w:rFonts w:cs="Arial"/>
                <w:sz w:val="20"/>
                <w:szCs w:val="20"/>
              </w:rPr>
              <w:t xml:space="preserve"> gobierno distrital</w:t>
            </w:r>
            <w:r w:rsidR="003F47BC">
              <w:rPr>
                <w:rFonts w:cs="Arial"/>
                <w:sz w:val="20"/>
                <w:szCs w:val="20"/>
              </w:rPr>
              <w:t>,</w:t>
            </w:r>
            <w:r w:rsidRPr="00FA0B1F">
              <w:rPr>
                <w:rFonts w:cs="Arial"/>
                <w:sz w:val="20"/>
                <w:szCs w:val="20"/>
              </w:rPr>
              <w:t xml:space="preserve"> sector privado y ciudadanía</w:t>
            </w:r>
          </w:p>
        </w:tc>
        <w:tc>
          <w:tcPr>
            <w:tcW w:w="0" w:type="auto"/>
            <w:tcMar>
              <w:top w:w="30" w:type="dxa"/>
              <w:left w:w="45" w:type="dxa"/>
              <w:bottom w:w="30" w:type="dxa"/>
              <w:right w:w="45" w:type="dxa"/>
            </w:tcMar>
            <w:vAlign w:val="center"/>
            <w:hideMark/>
          </w:tcPr>
          <w:p w14:paraId="40F048EC" w14:textId="77777777" w:rsidR="00FA0B1F" w:rsidRPr="00FA0B1F" w:rsidRDefault="00FA0B1F" w:rsidP="00AA4BBB">
            <w:pPr>
              <w:jc w:val="center"/>
              <w:rPr>
                <w:rFonts w:cs="Arial"/>
                <w:sz w:val="20"/>
                <w:szCs w:val="20"/>
              </w:rPr>
            </w:pPr>
            <w:r w:rsidRPr="00FA0B1F">
              <w:rPr>
                <w:rFonts w:cs="Arial"/>
                <w:sz w:val="20"/>
                <w:szCs w:val="20"/>
              </w:rPr>
              <w:t>50,0%</w:t>
            </w:r>
          </w:p>
        </w:tc>
        <w:tc>
          <w:tcPr>
            <w:tcW w:w="0" w:type="auto"/>
            <w:tcMar>
              <w:top w:w="30" w:type="dxa"/>
              <w:left w:w="45" w:type="dxa"/>
              <w:bottom w:w="30" w:type="dxa"/>
              <w:right w:w="45" w:type="dxa"/>
            </w:tcMar>
            <w:vAlign w:val="center"/>
            <w:hideMark/>
          </w:tcPr>
          <w:p w14:paraId="5D2A5156" w14:textId="77777777" w:rsidR="00FA0B1F" w:rsidRPr="00FA0B1F" w:rsidRDefault="00FA0B1F" w:rsidP="00AA4BBB">
            <w:pPr>
              <w:jc w:val="center"/>
              <w:rPr>
                <w:rFonts w:cs="Arial"/>
                <w:sz w:val="20"/>
                <w:szCs w:val="20"/>
              </w:rPr>
            </w:pPr>
            <w:r w:rsidRPr="00FA0B1F">
              <w:rPr>
                <w:rFonts w:cs="Arial"/>
                <w:sz w:val="20"/>
                <w:szCs w:val="20"/>
              </w:rPr>
              <w:t>70,0%</w:t>
            </w:r>
          </w:p>
        </w:tc>
        <w:tc>
          <w:tcPr>
            <w:tcW w:w="0" w:type="auto"/>
            <w:tcMar>
              <w:top w:w="30" w:type="dxa"/>
              <w:left w:w="45" w:type="dxa"/>
              <w:bottom w:w="30" w:type="dxa"/>
              <w:right w:w="45" w:type="dxa"/>
            </w:tcMar>
            <w:vAlign w:val="center"/>
            <w:hideMark/>
          </w:tcPr>
          <w:p w14:paraId="3B7F34A6" w14:textId="77777777" w:rsidR="00FA0B1F" w:rsidRPr="00FA0B1F" w:rsidRDefault="00FA0B1F" w:rsidP="00AA4BBB">
            <w:pPr>
              <w:jc w:val="center"/>
              <w:rPr>
                <w:rFonts w:cs="Arial"/>
                <w:sz w:val="20"/>
                <w:szCs w:val="20"/>
              </w:rPr>
            </w:pPr>
            <w:r w:rsidRPr="00FA0B1F">
              <w:rPr>
                <w:rFonts w:cs="Arial"/>
                <w:sz w:val="20"/>
                <w:szCs w:val="20"/>
              </w:rPr>
              <w:t>90,0%</w:t>
            </w:r>
          </w:p>
        </w:tc>
        <w:tc>
          <w:tcPr>
            <w:tcW w:w="0" w:type="auto"/>
            <w:tcMar>
              <w:top w:w="30" w:type="dxa"/>
              <w:left w:w="45" w:type="dxa"/>
              <w:bottom w:w="30" w:type="dxa"/>
              <w:right w:w="45" w:type="dxa"/>
            </w:tcMar>
            <w:vAlign w:val="center"/>
            <w:hideMark/>
          </w:tcPr>
          <w:p w14:paraId="1A138712" w14:textId="77777777" w:rsidR="00FA0B1F" w:rsidRPr="00FA0B1F" w:rsidRDefault="00FA0B1F" w:rsidP="00AA4BBB">
            <w:pPr>
              <w:jc w:val="center"/>
              <w:rPr>
                <w:rFonts w:cs="Arial"/>
                <w:sz w:val="20"/>
                <w:szCs w:val="20"/>
              </w:rPr>
            </w:pPr>
            <w:r w:rsidRPr="00FA0B1F">
              <w:rPr>
                <w:rFonts w:cs="Arial"/>
                <w:sz w:val="20"/>
                <w:szCs w:val="20"/>
              </w:rPr>
              <w:t>100,0%</w:t>
            </w:r>
          </w:p>
        </w:tc>
        <w:tc>
          <w:tcPr>
            <w:tcW w:w="0" w:type="auto"/>
            <w:vMerge w:val="restart"/>
            <w:tcMar>
              <w:top w:w="30" w:type="dxa"/>
              <w:left w:w="45" w:type="dxa"/>
              <w:bottom w:w="30" w:type="dxa"/>
              <w:right w:w="45" w:type="dxa"/>
            </w:tcMar>
            <w:vAlign w:val="center"/>
            <w:hideMark/>
          </w:tcPr>
          <w:p w14:paraId="7A316AF1" w14:textId="77777777" w:rsidR="00FA0B1F" w:rsidRPr="00FA0B1F" w:rsidRDefault="00FA0B1F" w:rsidP="00AA4BBB">
            <w:pPr>
              <w:jc w:val="center"/>
              <w:rPr>
                <w:rFonts w:cs="Arial"/>
                <w:b/>
                <w:bCs/>
                <w:sz w:val="20"/>
                <w:szCs w:val="20"/>
              </w:rPr>
            </w:pPr>
            <w:r w:rsidRPr="00FA0B1F">
              <w:rPr>
                <w:rFonts w:cs="Arial"/>
                <w:b/>
                <w:bCs/>
                <w:sz w:val="20"/>
                <w:szCs w:val="20"/>
              </w:rPr>
              <w:t>76.828.474.322</w:t>
            </w:r>
          </w:p>
        </w:tc>
      </w:tr>
      <w:tr w:rsidR="00FA0B1F" w:rsidRPr="00FA0B1F" w14:paraId="0A924279" w14:textId="77777777" w:rsidTr="006E096C">
        <w:tc>
          <w:tcPr>
            <w:tcW w:w="0" w:type="auto"/>
            <w:vMerge/>
            <w:vAlign w:val="center"/>
            <w:hideMark/>
          </w:tcPr>
          <w:p w14:paraId="48CABBF2" w14:textId="77777777" w:rsidR="00FA0B1F" w:rsidRPr="00FA0B1F" w:rsidRDefault="00FA0B1F" w:rsidP="00AA4BBB">
            <w:pPr>
              <w:rPr>
                <w:rFonts w:cs="Arial"/>
                <w:sz w:val="20"/>
                <w:szCs w:val="20"/>
              </w:rPr>
            </w:pPr>
          </w:p>
        </w:tc>
        <w:tc>
          <w:tcPr>
            <w:tcW w:w="0" w:type="auto"/>
            <w:tcMar>
              <w:top w:w="30" w:type="dxa"/>
              <w:left w:w="45" w:type="dxa"/>
              <w:bottom w:w="30" w:type="dxa"/>
              <w:right w:w="45" w:type="dxa"/>
            </w:tcMar>
            <w:vAlign w:val="center"/>
            <w:hideMark/>
          </w:tcPr>
          <w:p w14:paraId="24991020" w14:textId="77777777" w:rsidR="00FA0B1F" w:rsidRPr="00FA0B1F" w:rsidRDefault="00FA0B1F" w:rsidP="00AA4BBB">
            <w:pPr>
              <w:jc w:val="center"/>
              <w:rPr>
                <w:rFonts w:cs="Arial"/>
                <w:sz w:val="20"/>
                <w:szCs w:val="20"/>
              </w:rPr>
            </w:pPr>
            <w:r w:rsidRPr="00FA0B1F">
              <w:rPr>
                <w:rFonts w:cs="Arial"/>
                <w:sz w:val="20"/>
                <w:szCs w:val="20"/>
              </w:rPr>
              <w:t>16.989.784.000</w:t>
            </w:r>
          </w:p>
        </w:tc>
        <w:tc>
          <w:tcPr>
            <w:tcW w:w="0" w:type="auto"/>
            <w:tcMar>
              <w:top w:w="30" w:type="dxa"/>
              <w:left w:w="45" w:type="dxa"/>
              <w:bottom w:w="30" w:type="dxa"/>
              <w:right w:w="45" w:type="dxa"/>
            </w:tcMar>
            <w:vAlign w:val="center"/>
            <w:hideMark/>
          </w:tcPr>
          <w:p w14:paraId="1F0C73F8" w14:textId="77777777" w:rsidR="00FA0B1F" w:rsidRPr="00FA0B1F" w:rsidRDefault="00FA0B1F" w:rsidP="00AA4BBB">
            <w:pPr>
              <w:jc w:val="center"/>
              <w:rPr>
                <w:rFonts w:cs="Arial"/>
                <w:sz w:val="20"/>
                <w:szCs w:val="20"/>
              </w:rPr>
            </w:pPr>
            <w:r w:rsidRPr="00FA0B1F">
              <w:rPr>
                <w:rFonts w:cs="Arial"/>
                <w:sz w:val="20"/>
                <w:szCs w:val="20"/>
              </w:rPr>
              <w:t>19.372.436.893</w:t>
            </w:r>
          </w:p>
        </w:tc>
        <w:tc>
          <w:tcPr>
            <w:tcW w:w="0" w:type="auto"/>
            <w:tcMar>
              <w:top w:w="30" w:type="dxa"/>
              <w:left w:w="45" w:type="dxa"/>
              <w:bottom w:w="30" w:type="dxa"/>
              <w:right w:w="45" w:type="dxa"/>
            </w:tcMar>
            <w:vAlign w:val="center"/>
            <w:hideMark/>
          </w:tcPr>
          <w:p w14:paraId="3BC9AA7D" w14:textId="77777777" w:rsidR="00FA0B1F" w:rsidRPr="00FA0B1F" w:rsidRDefault="00FA0B1F" w:rsidP="00AA4BBB">
            <w:pPr>
              <w:jc w:val="center"/>
              <w:rPr>
                <w:rFonts w:cs="Arial"/>
                <w:sz w:val="20"/>
                <w:szCs w:val="20"/>
              </w:rPr>
            </w:pPr>
            <w:r w:rsidRPr="00FA0B1F">
              <w:rPr>
                <w:rFonts w:cs="Arial"/>
                <w:sz w:val="20"/>
                <w:szCs w:val="20"/>
              </w:rPr>
              <w:t>20.388.497.502</w:t>
            </w:r>
          </w:p>
        </w:tc>
        <w:tc>
          <w:tcPr>
            <w:tcW w:w="0" w:type="auto"/>
            <w:tcMar>
              <w:top w:w="30" w:type="dxa"/>
              <w:left w:w="45" w:type="dxa"/>
              <w:bottom w:w="30" w:type="dxa"/>
              <w:right w:w="45" w:type="dxa"/>
            </w:tcMar>
            <w:vAlign w:val="center"/>
            <w:hideMark/>
          </w:tcPr>
          <w:p w14:paraId="429E5C7F" w14:textId="77777777" w:rsidR="00FA0B1F" w:rsidRPr="00FA0B1F" w:rsidRDefault="00FA0B1F" w:rsidP="00AA4BBB">
            <w:pPr>
              <w:jc w:val="center"/>
              <w:rPr>
                <w:rFonts w:cs="Arial"/>
                <w:sz w:val="20"/>
                <w:szCs w:val="20"/>
              </w:rPr>
            </w:pPr>
            <w:r w:rsidRPr="00FA0B1F">
              <w:rPr>
                <w:rFonts w:cs="Arial"/>
                <w:sz w:val="20"/>
                <w:szCs w:val="20"/>
              </w:rPr>
              <w:t>20.077.755.926</w:t>
            </w:r>
          </w:p>
        </w:tc>
        <w:tc>
          <w:tcPr>
            <w:tcW w:w="0" w:type="auto"/>
            <w:vMerge/>
            <w:vAlign w:val="center"/>
            <w:hideMark/>
          </w:tcPr>
          <w:p w14:paraId="504F3ADE" w14:textId="77777777" w:rsidR="00FA0B1F" w:rsidRPr="00FA0B1F" w:rsidRDefault="00FA0B1F" w:rsidP="00AA4BBB">
            <w:pPr>
              <w:rPr>
                <w:rFonts w:cs="Arial"/>
                <w:b/>
                <w:bCs/>
                <w:sz w:val="20"/>
                <w:szCs w:val="20"/>
              </w:rPr>
            </w:pPr>
          </w:p>
        </w:tc>
      </w:tr>
      <w:tr w:rsidR="00FA0B1F" w:rsidRPr="00FA0B1F" w14:paraId="7716D834" w14:textId="77777777" w:rsidTr="006E096C">
        <w:tc>
          <w:tcPr>
            <w:tcW w:w="0" w:type="auto"/>
            <w:vMerge w:val="restart"/>
            <w:tcMar>
              <w:top w:w="30" w:type="dxa"/>
              <w:left w:w="45" w:type="dxa"/>
              <w:bottom w:w="30" w:type="dxa"/>
              <w:right w:w="45" w:type="dxa"/>
            </w:tcMar>
            <w:vAlign w:val="center"/>
            <w:hideMark/>
          </w:tcPr>
          <w:p w14:paraId="280CDE0C" w14:textId="77777777" w:rsidR="00FA0B1F" w:rsidRPr="00FA0B1F" w:rsidRDefault="00FA0B1F" w:rsidP="00AA4BBB">
            <w:pPr>
              <w:rPr>
                <w:rFonts w:cs="Arial"/>
                <w:sz w:val="20"/>
                <w:szCs w:val="20"/>
              </w:rPr>
            </w:pPr>
            <w:r w:rsidRPr="00FA0B1F">
              <w:rPr>
                <w:rFonts w:cs="Arial"/>
                <w:sz w:val="20"/>
                <w:szCs w:val="20"/>
              </w:rPr>
              <w:t>Desarrollar el Sistema Distrital de aplicación del Código Nacional de Seguridad y Convivencia Ciudadana</w:t>
            </w:r>
          </w:p>
        </w:tc>
        <w:tc>
          <w:tcPr>
            <w:tcW w:w="0" w:type="auto"/>
            <w:tcMar>
              <w:top w:w="30" w:type="dxa"/>
              <w:left w:w="45" w:type="dxa"/>
              <w:bottom w:w="30" w:type="dxa"/>
              <w:right w:w="45" w:type="dxa"/>
            </w:tcMar>
            <w:vAlign w:val="center"/>
            <w:hideMark/>
          </w:tcPr>
          <w:p w14:paraId="10AF2DC8" w14:textId="77777777" w:rsidR="00FA0B1F" w:rsidRPr="00FA0B1F" w:rsidRDefault="00FA0B1F" w:rsidP="00AA4BBB">
            <w:pPr>
              <w:jc w:val="center"/>
              <w:rPr>
                <w:rFonts w:cs="Arial"/>
                <w:sz w:val="20"/>
                <w:szCs w:val="20"/>
              </w:rPr>
            </w:pPr>
            <w:r w:rsidRPr="00FA0B1F">
              <w:rPr>
                <w:rFonts w:cs="Arial"/>
                <w:sz w:val="20"/>
                <w:szCs w:val="20"/>
              </w:rPr>
              <w:t>150</w:t>
            </w:r>
          </w:p>
        </w:tc>
        <w:tc>
          <w:tcPr>
            <w:tcW w:w="0" w:type="auto"/>
            <w:tcMar>
              <w:top w:w="30" w:type="dxa"/>
              <w:left w:w="45" w:type="dxa"/>
              <w:bottom w:w="30" w:type="dxa"/>
              <w:right w:w="45" w:type="dxa"/>
            </w:tcMar>
            <w:vAlign w:val="center"/>
            <w:hideMark/>
          </w:tcPr>
          <w:p w14:paraId="2B7C06B5" w14:textId="77777777" w:rsidR="00FA0B1F" w:rsidRPr="00FA0B1F" w:rsidRDefault="00FA0B1F" w:rsidP="00AA4BBB">
            <w:pPr>
              <w:jc w:val="center"/>
              <w:rPr>
                <w:rFonts w:cs="Arial"/>
                <w:sz w:val="20"/>
                <w:szCs w:val="20"/>
              </w:rPr>
            </w:pPr>
            <w:r w:rsidRPr="00FA0B1F">
              <w:rPr>
                <w:rFonts w:cs="Arial"/>
                <w:sz w:val="20"/>
                <w:szCs w:val="20"/>
              </w:rPr>
              <w:t>300</w:t>
            </w:r>
          </w:p>
        </w:tc>
        <w:tc>
          <w:tcPr>
            <w:tcW w:w="0" w:type="auto"/>
            <w:tcMar>
              <w:top w:w="30" w:type="dxa"/>
              <w:left w:w="45" w:type="dxa"/>
              <w:bottom w:w="30" w:type="dxa"/>
              <w:right w:w="45" w:type="dxa"/>
            </w:tcMar>
            <w:vAlign w:val="center"/>
            <w:hideMark/>
          </w:tcPr>
          <w:p w14:paraId="501A184F" w14:textId="77777777" w:rsidR="00FA0B1F" w:rsidRPr="00FA0B1F" w:rsidRDefault="00FA0B1F" w:rsidP="00AA4BBB">
            <w:pPr>
              <w:jc w:val="center"/>
              <w:rPr>
                <w:rFonts w:cs="Arial"/>
                <w:sz w:val="20"/>
                <w:szCs w:val="20"/>
              </w:rPr>
            </w:pPr>
            <w:r w:rsidRPr="00FA0B1F">
              <w:rPr>
                <w:rFonts w:cs="Arial"/>
                <w:sz w:val="20"/>
                <w:szCs w:val="20"/>
              </w:rPr>
              <w:t>300</w:t>
            </w:r>
          </w:p>
        </w:tc>
        <w:tc>
          <w:tcPr>
            <w:tcW w:w="0" w:type="auto"/>
            <w:tcMar>
              <w:top w:w="30" w:type="dxa"/>
              <w:left w:w="45" w:type="dxa"/>
              <w:bottom w:w="30" w:type="dxa"/>
              <w:right w:w="45" w:type="dxa"/>
            </w:tcMar>
            <w:vAlign w:val="center"/>
            <w:hideMark/>
          </w:tcPr>
          <w:p w14:paraId="14235E47" w14:textId="77777777" w:rsidR="00FA0B1F" w:rsidRPr="00FA0B1F" w:rsidRDefault="00FA0B1F" w:rsidP="00AA4BBB">
            <w:pPr>
              <w:jc w:val="center"/>
              <w:rPr>
                <w:rFonts w:cs="Arial"/>
                <w:sz w:val="20"/>
                <w:szCs w:val="20"/>
              </w:rPr>
            </w:pPr>
            <w:r w:rsidRPr="00FA0B1F">
              <w:rPr>
                <w:rFonts w:cs="Arial"/>
                <w:sz w:val="20"/>
                <w:szCs w:val="20"/>
              </w:rPr>
              <w:t>450</w:t>
            </w:r>
          </w:p>
        </w:tc>
        <w:tc>
          <w:tcPr>
            <w:tcW w:w="0" w:type="auto"/>
            <w:vMerge w:val="restart"/>
            <w:tcMar>
              <w:top w:w="30" w:type="dxa"/>
              <w:left w:w="45" w:type="dxa"/>
              <w:bottom w:w="30" w:type="dxa"/>
              <w:right w:w="45" w:type="dxa"/>
            </w:tcMar>
            <w:vAlign w:val="center"/>
            <w:hideMark/>
          </w:tcPr>
          <w:p w14:paraId="2BE47986" w14:textId="77777777" w:rsidR="00FA0B1F" w:rsidRPr="00FA0B1F" w:rsidRDefault="00FA0B1F" w:rsidP="00AA4BBB">
            <w:pPr>
              <w:jc w:val="center"/>
              <w:rPr>
                <w:rFonts w:cs="Arial"/>
                <w:b/>
                <w:bCs/>
                <w:sz w:val="20"/>
                <w:szCs w:val="20"/>
              </w:rPr>
            </w:pPr>
            <w:r w:rsidRPr="00FA0B1F">
              <w:rPr>
                <w:rFonts w:cs="Arial"/>
                <w:b/>
                <w:bCs/>
                <w:sz w:val="20"/>
                <w:szCs w:val="20"/>
              </w:rPr>
              <w:t>14.523.633.010</w:t>
            </w:r>
          </w:p>
        </w:tc>
      </w:tr>
      <w:tr w:rsidR="00FA0B1F" w:rsidRPr="00FA0B1F" w14:paraId="40AE25D6" w14:textId="77777777" w:rsidTr="00A16E06">
        <w:tc>
          <w:tcPr>
            <w:tcW w:w="0" w:type="auto"/>
            <w:vMerge/>
            <w:tcBorders>
              <w:bottom w:val="double" w:sz="4" w:space="0" w:color="C00000"/>
            </w:tcBorders>
            <w:vAlign w:val="center"/>
            <w:hideMark/>
          </w:tcPr>
          <w:p w14:paraId="42712A84" w14:textId="77777777" w:rsidR="00FA0B1F" w:rsidRPr="00FA0B1F" w:rsidRDefault="00FA0B1F" w:rsidP="00AA4BBB">
            <w:pPr>
              <w:rPr>
                <w:rFonts w:cs="Arial"/>
                <w:sz w:val="20"/>
                <w:szCs w:val="20"/>
              </w:rPr>
            </w:pPr>
          </w:p>
        </w:tc>
        <w:tc>
          <w:tcPr>
            <w:tcW w:w="0" w:type="auto"/>
            <w:tcBorders>
              <w:bottom w:val="double" w:sz="4" w:space="0" w:color="C00000"/>
            </w:tcBorders>
            <w:tcMar>
              <w:top w:w="30" w:type="dxa"/>
              <w:left w:w="45" w:type="dxa"/>
              <w:bottom w:w="30" w:type="dxa"/>
              <w:right w:w="45" w:type="dxa"/>
            </w:tcMar>
            <w:vAlign w:val="center"/>
            <w:hideMark/>
          </w:tcPr>
          <w:p w14:paraId="0A78EBE3" w14:textId="77777777" w:rsidR="00FA0B1F" w:rsidRPr="00FA0B1F" w:rsidRDefault="00FA0B1F" w:rsidP="00AA4BBB">
            <w:pPr>
              <w:jc w:val="center"/>
              <w:rPr>
                <w:rFonts w:cs="Arial"/>
                <w:sz w:val="20"/>
                <w:szCs w:val="20"/>
              </w:rPr>
            </w:pPr>
            <w:r w:rsidRPr="00FA0B1F">
              <w:rPr>
                <w:rFonts w:cs="Arial"/>
                <w:sz w:val="20"/>
                <w:szCs w:val="20"/>
              </w:rPr>
              <w:t>2.125.056.000</w:t>
            </w:r>
          </w:p>
        </w:tc>
        <w:tc>
          <w:tcPr>
            <w:tcW w:w="0" w:type="auto"/>
            <w:tcBorders>
              <w:bottom w:val="double" w:sz="4" w:space="0" w:color="C00000"/>
            </w:tcBorders>
            <w:tcMar>
              <w:top w:w="30" w:type="dxa"/>
              <w:left w:w="45" w:type="dxa"/>
              <w:bottom w:w="30" w:type="dxa"/>
              <w:right w:w="45" w:type="dxa"/>
            </w:tcMar>
            <w:vAlign w:val="center"/>
            <w:hideMark/>
          </w:tcPr>
          <w:p w14:paraId="5BFE2673" w14:textId="77777777" w:rsidR="00FA0B1F" w:rsidRPr="00FA0B1F" w:rsidRDefault="00FA0B1F" w:rsidP="00AA4BBB">
            <w:pPr>
              <w:jc w:val="center"/>
              <w:rPr>
                <w:rFonts w:cs="Arial"/>
                <w:sz w:val="20"/>
                <w:szCs w:val="20"/>
              </w:rPr>
            </w:pPr>
            <w:r w:rsidRPr="00FA0B1F">
              <w:rPr>
                <w:rFonts w:cs="Arial"/>
                <w:sz w:val="20"/>
                <w:szCs w:val="20"/>
              </w:rPr>
              <w:t>4.147.270.874</w:t>
            </w:r>
          </w:p>
        </w:tc>
        <w:tc>
          <w:tcPr>
            <w:tcW w:w="0" w:type="auto"/>
            <w:tcBorders>
              <w:bottom w:val="double" w:sz="4" w:space="0" w:color="C00000"/>
            </w:tcBorders>
            <w:tcMar>
              <w:top w:w="30" w:type="dxa"/>
              <w:left w:w="45" w:type="dxa"/>
              <w:bottom w:w="30" w:type="dxa"/>
              <w:right w:w="45" w:type="dxa"/>
            </w:tcMar>
            <w:vAlign w:val="center"/>
            <w:hideMark/>
          </w:tcPr>
          <w:p w14:paraId="4015F274" w14:textId="77777777" w:rsidR="00FA0B1F" w:rsidRPr="00FA0B1F" w:rsidRDefault="00FA0B1F" w:rsidP="00AA4BBB">
            <w:pPr>
              <w:jc w:val="center"/>
              <w:rPr>
                <w:rFonts w:cs="Arial"/>
                <w:sz w:val="20"/>
                <w:szCs w:val="20"/>
              </w:rPr>
            </w:pPr>
            <w:r w:rsidRPr="00FA0B1F">
              <w:rPr>
                <w:rFonts w:cs="Arial"/>
                <w:sz w:val="20"/>
                <w:szCs w:val="20"/>
              </w:rPr>
              <w:t>4.132.717.504</w:t>
            </w:r>
          </w:p>
        </w:tc>
        <w:tc>
          <w:tcPr>
            <w:tcW w:w="0" w:type="auto"/>
            <w:tcBorders>
              <w:bottom w:val="double" w:sz="4" w:space="0" w:color="C00000"/>
            </w:tcBorders>
            <w:tcMar>
              <w:top w:w="30" w:type="dxa"/>
              <w:left w:w="45" w:type="dxa"/>
              <w:bottom w:w="30" w:type="dxa"/>
              <w:right w:w="45" w:type="dxa"/>
            </w:tcMar>
            <w:vAlign w:val="center"/>
            <w:hideMark/>
          </w:tcPr>
          <w:p w14:paraId="25031C77" w14:textId="77777777" w:rsidR="00FA0B1F" w:rsidRPr="00FA0B1F" w:rsidRDefault="00FA0B1F" w:rsidP="00AA4BBB">
            <w:pPr>
              <w:jc w:val="center"/>
              <w:rPr>
                <w:rFonts w:cs="Arial"/>
                <w:sz w:val="20"/>
                <w:szCs w:val="20"/>
              </w:rPr>
            </w:pPr>
            <w:r w:rsidRPr="00FA0B1F">
              <w:rPr>
                <w:rFonts w:cs="Arial"/>
                <w:sz w:val="20"/>
                <w:szCs w:val="20"/>
              </w:rPr>
              <w:t>4.118.588.632</w:t>
            </w:r>
          </w:p>
        </w:tc>
        <w:tc>
          <w:tcPr>
            <w:tcW w:w="0" w:type="auto"/>
            <w:vMerge/>
            <w:tcBorders>
              <w:bottom w:val="double" w:sz="4" w:space="0" w:color="C00000"/>
            </w:tcBorders>
            <w:vAlign w:val="center"/>
            <w:hideMark/>
          </w:tcPr>
          <w:p w14:paraId="0367D049" w14:textId="77777777" w:rsidR="00FA0B1F" w:rsidRPr="00FA0B1F" w:rsidRDefault="00FA0B1F" w:rsidP="00AA4BBB">
            <w:pPr>
              <w:rPr>
                <w:rFonts w:cs="Arial"/>
                <w:b/>
                <w:bCs/>
                <w:sz w:val="20"/>
                <w:szCs w:val="20"/>
              </w:rPr>
            </w:pPr>
          </w:p>
        </w:tc>
      </w:tr>
    </w:tbl>
    <w:p w14:paraId="73A921A0" w14:textId="170C158E" w:rsidR="003F2AA2" w:rsidRDefault="003F2AA2" w:rsidP="003F2AA2">
      <w:pPr>
        <w:pBdr>
          <w:top w:val="nil"/>
          <w:left w:val="nil"/>
          <w:bottom w:val="nil"/>
          <w:right w:val="nil"/>
          <w:between w:val="nil"/>
        </w:pBdr>
        <w:spacing w:line="220" w:lineRule="auto"/>
        <w:jc w:val="center"/>
        <w:rPr>
          <w:sz w:val="18"/>
          <w:szCs w:val="18"/>
        </w:rPr>
      </w:pPr>
    </w:p>
    <w:p w14:paraId="3A7BF36F" w14:textId="77777777" w:rsidR="003F2AA2" w:rsidRDefault="003F2AA2" w:rsidP="003F2AA2">
      <w:pPr>
        <w:pBdr>
          <w:top w:val="nil"/>
          <w:left w:val="nil"/>
          <w:bottom w:val="nil"/>
          <w:right w:val="nil"/>
          <w:between w:val="nil"/>
        </w:pBdr>
        <w:spacing w:line="220" w:lineRule="auto"/>
        <w:jc w:val="center"/>
        <w:rPr>
          <w:sz w:val="18"/>
          <w:szCs w:val="18"/>
        </w:rPr>
      </w:pPr>
    </w:p>
    <w:p w14:paraId="3F0C3AF0" w14:textId="77777777" w:rsidR="005B6CFA" w:rsidRDefault="005B6CFA" w:rsidP="005B6CFA">
      <w:pPr>
        <w:spacing w:line="240" w:lineRule="auto"/>
        <w:jc w:val="left"/>
        <w:rPr>
          <w:b/>
          <w:color w:val="C00000"/>
          <w:sz w:val="28"/>
          <w:szCs w:val="28"/>
        </w:rPr>
      </w:pPr>
      <w:bookmarkStart w:id="181" w:name="_heading=h.lnxbz9" w:colFirst="0" w:colLast="0"/>
      <w:bookmarkEnd w:id="181"/>
      <w:r>
        <w:rPr>
          <w:b/>
          <w:color w:val="C00000"/>
          <w:sz w:val="28"/>
          <w:szCs w:val="28"/>
        </w:rPr>
        <w:br w:type="page"/>
      </w:r>
    </w:p>
    <w:p w14:paraId="41540373" w14:textId="6502AF9F" w:rsidR="003F2AA2" w:rsidRDefault="003F2AA2" w:rsidP="00DB6DED">
      <w:pPr>
        <w:pStyle w:val="NIVEL4"/>
      </w:pPr>
      <w:bookmarkStart w:id="182" w:name="_Toc165169758"/>
      <w:r w:rsidRPr="002A4863">
        <w:rPr>
          <w:color w:val="C00000"/>
        </w:rPr>
        <w:lastRenderedPageBreak/>
        <w:t xml:space="preserve">Programa 2: </w:t>
      </w:r>
      <w:r w:rsidRPr="002A4863">
        <w:t>Cero</w:t>
      </w:r>
      <w:r w:rsidR="006B713C">
        <w:t xml:space="preserve"> </w:t>
      </w:r>
      <w:r w:rsidRPr="002A4863">
        <w:t>tolerancia a las violencias</w:t>
      </w:r>
      <w:r w:rsidR="00DB6DED">
        <w:t xml:space="preserve"> </w:t>
      </w:r>
      <w:r w:rsidRPr="002A4863">
        <w:t>contra las mujeres y basadas en género</w:t>
      </w:r>
      <w:bookmarkEnd w:id="182"/>
    </w:p>
    <w:p w14:paraId="1ACF0020" w14:textId="77777777" w:rsidR="004575B4" w:rsidRPr="00DB6DED" w:rsidRDefault="004575B4" w:rsidP="00DB6DED">
      <w:pPr>
        <w:pStyle w:val="subnumeros"/>
        <w:numPr>
          <w:ilvl w:val="0"/>
          <w:numId w:val="0"/>
        </w:numPr>
        <w:ind w:left="1134"/>
        <w:outlineLvl w:val="9"/>
        <w:rPr>
          <w:lang w:val="es-CO"/>
        </w:rPr>
      </w:pPr>
    </w:p>
    <w:p w14:paraId="4F152FB0" w14:textId="479C1780" w:rsidR="003F2AA2" w:rsidRPr="00DB6DED" w:rsidRDefault="003F2AA2" w:rsidP="00DB6DED">
      <w:pPr>
        <w:pStyle w:val="subnumeros"/>
        <w:numPr>
          <w:ilvl w:val="0"/>
          <w:numId w:val="0"/>
        </w:numPr>
        <w:ind w:left="719" w:hanging="11"/>
        <w:outlineLvl w:val="9"/>
        <w:rPr>
          <w:sz w:val="24"/>
          <w:szCs w:val="22"/>
        </w:rPr>
        <w:sectPr w:rsidR="003F2AA2" w:rsidRPr="00DB6DED" w:rsidSect="00F7078E">
          <w:type w:val="continuous"/>
          <w:pgSz w:w="12240" w:h="15840"/>
          <w:pgMar w:top="2262" w:right="1440" w:bottom="1440" w:left="1440" w:header="709" w:footer="709" w:gutter="0"/>
          <w:cols w:space="720"/>
          <w:docGrid w:linePitch="299"/>
        </w:sectPr>
      </w:pPr>
      <w:r w:rsidRPr="00DB6DED">
        <w:rPr>
          <w:sz w:val="24"/>
          <w:szCs w:val="22"/>
        </w:rPr>
        <w:t>Diagnóstico</w:t>
      </w:r>
    </w:p>
    <w:p w14:paraId="7AD355C4" w14:textId="0D05FAA5" w:rsidR="003F2AA2" w:rsidRDefault="003F2AA2" w:rsidP="003F2AA2">
      <w:r>
        <w:t>Las violencias contra las mujeres en Bogotá persisten. De acuerdo con las valoraciones del Instituto de Medicina Legal y Ciencias Forenses (INMLCF), en relación con la valoración de víctimas de violencias físicas no fatales, más del 50</w:t>
      </w:r>
      <w:r w:rsidR="00AC6515">
        <w:t xml:space="preserve"> </w:t>
      </w:r>
      <w:r>
        <w:t>% de los exámenes realizados por año entre 2019 y 2023 fueron a mujeres, y entre los delitos que más destacaron se encuentran los relacionados con violencia sexual, violencia de pareja y violencia entre otros familiares. La misma fuente muestra que en 2022 más de 21.000 mujeres fueron valoradas por ser víctimas de violencias no fatales y en 2023 (con corte a noviembre) la cifra iba en 18.700; adicionalmente se destaca que el número de mujeres valoradas por el INMLCF creció 12,6</w:t>
      </w:r>
      <w:r w:rsidR="00AC6515">
        <w:t xml:space="preserve"> </w:t>
      </w:r>
      <w:r>
        <w:t>% en el 2022 frente al 2021.  Y aunque si bien se observa una disminución en el 2023 frente al 2022, se trata de cifras parciales y si evidencia que el número de mujeres valoradas supera al de los hombres</w:t>
      </w:r>
      <w:r w:rsidR="001E5397">
        <w:t xml:space="preserve"> </w:t>
      </w:r>
      <w:r w:rsidR="001E5397" w:rsidRPr="001E5397">
        <w:t>(</w:t>
      </w:r>
      <w:r w:rsidR="001E5397" w:rsidRPr="001E5397">
        <w:fldChar w:fldCharType="begin"/>
      </w:r>
      <w:r w:rsidR="001E5397" w:rsidRPr="001E5397">
        <w:instrText xml:space="preserve"> REF _Ref165123576 \h </w:instrText>
      </w:r>
      <w:r w:rsidR="001E5397" w:rsidRPr="001E5397">
        <w:fldChar w:fldCharType="separate"/>
      </w:r>
      <w:r w:rsidR="00D01651" w:rsidRPr="001E5397">
        <w:rPr>
          <w:color w:val="C00000"/>
          <w:sz w:val="18"/>
          <w:szCs w:val="18"/>
        </w:rPr>
        <w:t xml:space="preserve">Tabla </w:t>
      </w:r>
      <w:r w:rsidR="00D01651">
        <w:rPr>
          <w:noProof/>
          <w:color w:val="C00000"/>
          <w:sz w:val="18"/>
        </w:rPr>
        <w:t>14</w:t>
      </w:r>
      <w:r w:rsidR="001E5397" w:rsidRPr="001E5397">
        <w:fldChar w:fldCharType="end"/>
      </w:r>
      <w:r w:rsidR="001E5397">
        <w:t>).</w:t>
      </w:r>
    </w:p>
    <w:p w14:paraId="327E5C93" w14:textId="77777777" w:rsidR="001E5397" w:rsidRDefault="001E5397" w:rsidP="003F2AA2"/>
    <w:p w14:paraId="21E56327" w14:textId="77777777" w:rsidR="003F2AA2" w:rsidRDefault="003F2AA2" w:rsidP="003F2AA2">
      <w:r>
        <w:t xml:space="preserve">Por su parte, según cifras del Sistema de Información Estadístico, Delincuencial, Contravencional y Operativo (SIEDCO), el número de feminicidios ha aumentado 40 % entre 2020 y 2023. </w:t>
      </w:r>
    </w:p>
    <w:p w14:paraId="78198B8F" w14:textId="77777777" w:rsidR="003F2AA2" w:rsidRDefault="003F2AA2" w:rsidP="003F2AA2"/>
    <w:p w14:paraId="070BD63A" w14:textId="77777777" w:rsidR="003F2AA2" w:rsidRDefault="003F2AA2" w:rsidP="003F2AA2">
      <w:r>
        <w:t>Esto ha significado una importante presión para la capacidad de atención a este tipo de violencias, y a su vez revela la importancia de mantener la acción distrital para la prevención y atención de las violencias contra las mujeres. Por ello, es necesario fortalecer la implementación de la Política Pública de Mujer y Equidad de Género, reforzar el acompañamiento y atención y adelantar acciones que permitan reducir los hechos generadores de la violencia de género, entre estos, la asignación cultural de estereotipos sobre hombres y mujeres, los imaginarios y representaciones sobre el amor y la división social de los roles.</w:t>
      </w:r>
    </w:p>
    <w:p w14:paraId="6C262A7C" w14:textId="77777777" w:rsidR="003F2AA2" w:rsidRDefault="003F2AA2" w:rsidP="003F2AA2">
      <w:pPr>
        <w:sectPr w:rsidR="003F2AA2" w:rsidSect="00F7078E">
          <w:type w:val="continuous"/>
          <w:pgSz w:w="12240" w:h="15840"/>
          <w:pgMar w:top="2262" w:right="1440" w:bottom="1440" w:left="1440" w:header="708" w:footer="708" w:gutter="0"/>
          <w:cols w:num="2" w:space="567" w:equalWidth="0">
            <w:col w:w="4320" w:space="567"/>
            <w:col w:w="4473" w:space="0"/>
          </w:cols>
        </w:sectPr>
      </w:pPr>
    </w:p>
    <w:p w14:paraId="7732EFFA" w14:textId="77777777" w:rsidR="00EB74C5" w:rsidRDefault="00EB74C5" w:rsidP="003F2AA2">
      <w:pPr>
        <w:rPr>
          <w:b/>
        </w:rPr>
      </w:pPr>
    </w:p>
    <w:p w14:paraId="11021C96" w14:textId="6026C98C" w:rsidR="003F2AA2" w:rsidRPr="001E5397" w:rsidRDefault="001E5397" w:rsidP="001E5397">
      <w:pPr>
        <w:pStyle w:val="Descripcin"/>
        <w:jc w:val="center"/>
        <w:rPr>
          <w:color w:val="3B3838"/>
          <w:sz w:val="18"/>
        </w:rPr>
      </w:pPr>
      <w:bookmarkStart w:id="183" w:name="_Ref165123576"/>
      <w:bookmarkStart w:id="184" w:name="_Toc165169924"/>
      <w:r w:rsidRPr="001E5397">
        <w:rPr>
          <w:color w:val="C00000"/>
          <w:sz w:val="18"/>
        </w:rPr>
        <w:t xml:space="preserve">Tabla </w:t>
      </w:r>
      <w:r w:rsidRPr="001E5397">
        <w:rPr>
          <w:color w:val="C00000"/>
          <w:sz w:val="18"/>
        </w:rPr>
        <w:fldChar w:fldCharType="begin"/>
      </w:r>
      <w:r w:rsidRPr="001E5397">
        <w:rPr>
          <w:color w:val="C00000"/>
          <w:sz w:val="18"/>
        </w:rPr>
        <w:instrText xml:space="preserve"> SEQ Tabla \* ARABIC </w:instrText>
      </w:r>
      <w:r w:rsidRPr="001E5397">
        <w:rPr>
          <w:color w:val="C00000"/>
          <w:sz w:val="18"/>
        </w:rPr>
        <w:fldChar w:fldCharType="separate"/>
      </w:r>
      <w:r w:rsidR="00D01651">
        <w:rPr>
          <w:noProof/>
          <w:color w:val="C00000"/>
          <w:sz w:val="18"/>
        </w:rPr>
        <w:t>14</w:t>
      </w:r>
      <w:r w:rsidRPr="001E5397">
        <w:rPr>
          <w:color w:val="C00000"/>
          <w:sz w:val="18"/>
        </w:rPr>
        <w:fldChar w:fldCharType="end"/>
      </w:r>
      <w:bookmarkEnd w:id="183"/>
      <w:r w:rsidRPr="001E5397">
        <w:rPr>
          <w:color w:val="C00000"/>
          <w:sz w:val="18"/>
        </w:rPr>
        <w:t>.</w:t>
      </w:r>
      <w:r w:rsidR="003F2AA2" w:rsidRPr="001E5397">
        <w:rPr>
          <w:color w:val="C00000"/>
          <w:sz w:val="18"/>
        </w:rPr>
        <w:t xml:space="preserve"> </w:t>
      </w:r>
      <w:r w:rsidR="003F2AA2" w:rsidRPr="001E5397">
        <w:rPr>
          <w:color w:val="3B3838"/>
          <w:sz w:val="18"/>
        </w:rPr>
        <w:t>Número de exámenes médico-legales según tipo de violencia no fatal y sexo (Bogotá, 2019-2023)</w:t>
      </w:r>
      <w:bookmarkEnd w:id="184"/>
    </w:p>
    <w:tbl>
      <w:tblPr>
        <w:tblW w:w="5000" w:type="pct"/>
        <w:tblBorders>
          <w:bottom w:val="double" w:sz="4" w:space="0" w:color="C00000"/>
          <w:insideH w:val="double" w:sz="4" w:space="0" w:color="C00000"/>
          <w:insideV w:val="double" w:sz="4" w:space="0" w:color="C00000"/>
        </w:tblBorders>
        <w:tblLook w:val="0600" w:firstRow="0" w:lastRow="0" w:firstColumn="0" w:lastColumn="0" w:noHBand="1" w:noVBand="1"/>
      </w:tblPr>
      <w:tblGrid>
        <w:gridCol w:w="1759"/>
        <w:gridCol w:w="691"/>
        <w:gridCol w:w="691"/>
        <w:gridCol w:w="692"/>
        <w:gridCol w:w="692"/>
        <w:gridCol w:w="692"/>
        <w:gridCol w:w="693"/>
        <w:gridCol w:w="692"/>
        <w:gridCol w:w="693"/>
        <w:gridCol w:w="692"/>
        <w:gridCol w:w="1112"/>
      </w:tblGrid>
      <w:tr w:rsidR="008B5CED" w14:paraId="59A81B10" w14:textId="77777777" w:rsidTr="00595EE8">
        <w:trPr>
          <w:trHeight w:val="20"/>
        </w:trPr>
        <w:tc>
          <w:tcPr>
            <w:tcW w:w="967" w:type="pct"/>
            <w:vMerge w:val="restart"/>
            <w:shd w:val="clear" w:color="auto" w:fill="C00000"/>
            <w:vAlign w:val="center"/>
          </w:tcPr>
          <w:p w14:paraId="577FC1DA" w14:textId="77777777" w:rsidR="001E5397" w:rsidRDefault="008B5CED" w:rsidP="004F6427">
            <w:pPr>
              <w:jc w:val="right"/>
              <w:rPr>
                <w:b/>
                <w:color w:val="FFFFFF"/>
                <w:sz w:val="28"/>
                <w:szCs w:val="28"/>
              </w:rPr>
            </w:pPr>
            <w:r>
              <w:rPr>
                <w:b/>
                <w:color w:val="FFFFFF"/>
                <w:sz w:val="28"/>
                <w:szCs w:val="28"/>
              </w:rPr>
              <w:t xml:space="preserve">Tipo de </w:t>
            </w:r>
          </w:p>
          <w:p w14:paraId="7F205810" w14:textId="074E076E" w:rsidR="008B5CED" w:rsidRDefault="008B5CED" w:rsidP="004F6427">
            <w:pPr>
              <w:jc w:val="right"/>
              <w:rPr>
                <w:b/>
                <w:color w:val="FFFFFF"/>
                <w:sz w:val="28"/>
                <w:szCs w:val="28"/>
              </w:rPr>
            </w:pPr>
            <w:r>
              <w:rPr>
                <w:b/>
                <w:color w:val="FFFFFF"/>
                <w:sz w:val="28"/>
                <w:szCs w:val="28"/>
              </w:rPr>
              <w:t>violencia</w:t>
            </w:r>
          </w:p>
        </w:tc>
        <w:tc>
          <w:tcPr>
            <w:tcW w:w="760" w:type="pct"/>
            <w:gridSpan w:val="2"/>
            <w:shd w:val="clear" w:color="auto" w:fill="C00000"/>
            <w:vAlign w:val="center"/>
          </w:tcPr>
          <w:p w14:paraId="16DF49B6" w14:textId="77777777" w:rsidR="008B5CED" w:rsidRDefault="008B5CED" w:rsidP="004F6427">
            <w:pPr>
              <w:jc w:val="center"/>
              <w:rPr>
                <w:b/>
                <w:color w:val="FFFFFF"/>
                <w:sz w:val="28"/>
                <w:szCs w:val="28"/>
              </w:rPr>
            </w:pPr>
            <w:r>
              <w:rPr>
                <w:b/>
                <w:color w:val="FFFFFF"/>
                <w:sz w:val="28"/>
                <w:szCs w:val="28"/>
              </w:rPr>
              <w:t>2019</w:t>
            </w:r>
          </w:p>
        </w:tc>
        <w:tc>
          <w:tcPr>
            <w:tcW w:w="760" w:type="pct"/>
            <w:gridSpan w:val="2"/>
            <w:shd w:val="clear" w:color="auto" w:fill="C00000"/>
            <w:vAlign w:val="center"/>
          </w:tcPr>
          <w:p w14:paraId="0F1B942D" w14:textId="77777777" w:rsidR="008B5CED" w:rsidRDefault="008B5CED" w:rsidP="004F6427">
            <w:pPr>
              <w:jc w:val="center"/>
              <w:rPr>
                <w:b/>
                <w:color w:val="FFFFFF"/>
                <w:sz w:val="28"/>
                <w:szCs w:val="28"/>
              </w:rPr>
            </w:pPr>
            <w:r>
              <w:rPr>
                <w:b/>
                <w:color w:val="FFFFFF"/>
                <w:sz w:val="28"/>
                <w:szCs w:val="28"/>
              </w:rPr>
              <w:t>2020</w:t>
            </w:r>
          </w:p>
        </w:tc>
        <w:tc>
          <w:tcPr>
            <w:tcW w:w="761" w:type="pct"/>
            <w:gridSpan w:val="2"/>
            <w:shd w:val="clear" w:color="auto" w:fill="C00000"/>
            <w:vAlign w:val="center"/>
          </w:tcPr>
          <w:p w14:paraId="301039A5" w14:textId="77777777" w:rsidR="008B5CED" w:rsidRDefault="008B5CED" w:rsidP="004F6427">
            <w:pPr>
              <w:jc w:val="center"/>
              <w:rPr>
                <w:b/>
                <w:color w:val="FFFFFF"/>
                <w:sz w:val="28"/>
                <w:szCs w:val="28"/>
              </w:rPr>
            </w:pPr>
            <w:r>
              <w:rPr>
                <w:b/>
                <w:color w:val="FFFFFF"/>
                <w:sz w:val="28"/>
                <w:szCs w:val="28"/>
              </w:rPr>
              <w:t>2021</w:t>
            </w:r>
          </w:p>
        </w:tc>
        <w:tc>
          <w:tcPr>
            <w:tcW w:w="761" w:type="pct"/>
            <w:gridSpan w:val="2"/>
            <w:shd w:val="clear" w:color="auto" w:fill="C00000"/>
            <w:vAlign w:val="center"/>
          </w:tcPr>
          <w:p w14:paraId="79804ABA" w14:textId="77777777" w:rsidR="008B5CED" w:rsidRDefault="008B5CED" w:rsidP="004F6427">
            <w:pPr>
              <w:jc w:val="center"/>
              <w:rPr>
                <w:b/>
                <w:color w:val="FFFFFF"/>
                <w:sz w:val="28"/>
                <w:szCs w:val="28"/>
              </w:rPr>
            </w:pPr>
            <w:r>
              <w:rPr>
                <w:b/>
                <w:color w:val="FFFFFF"/>
                <w:sz w:val="28"/>
                <w:szCs w:val="28"/>
              </w:rPr>
              <w:t>2022</w:t>
            </w:r>
          </w:p>
        </w:tc>
        <w:tc>
          <w:tcPr>
            <w:tcW w:w="991" w:type="pct"/>
            <w:gridSpan w:val="2"/>
            <w:shd w:val="clear" w:color="auto" w:fill="C00000"/>
            <w:vAlign w:val="center"/>
          </w:tcPr>
          <w:p w14:paraId="49BFAEF7" w14:textId="77777777" w:rsidR="008B5CED" w:rsidRDefault="008B5CED" w:rsidP="004F6427">
            <w:pPr>
              <w:jc w:val="center"/>
              <w:rPr>
                <w:b/>
                <w:color w:val="FFFFFF"/>
                <w:sz w:val="28"/>
                <w:szCs w:val="28"/>
              </w:rPr>
            </w:pPr>
            <w:r>
              <w:rPr>
                <w:b/>
                <w:color w:val="FFFFFF"/>
                <w:sz w:val="28"/>
                <w:szCs w:val="28"/>
              </w:rPr>
              <w:t>2023*</w:t>
            </w:r>
          </w:p>
        </w:tc>
      </w:tr>
      <w:tr w:rsidR="00595EE8" w14:paraId="0808E2AA" w14:textId="77777777" w:rsidTr="00595EE8">
        <w:trPr>
          <w:trHeight w:val="20"/>
        </w:trPr>
        <w:tc>
          <w:tcPr>
            <w:tcW w:w="967" w:type="pct"/>
            <w:vMerge/>
            <w:shd w:val="clear" w:color="auto" w:fill="C00000"/>
            <w:vAlign w:val="center"/>
          </w:tcPr>
          <w:p w14:paraId="21230CC8" w14:textId="77777777" w:rsidR="008B5CED" w:rsidRDefault="008B5CED" w:rsidP="004F6427">
            <w:pPr>
              <w:widowControl w:val="0"/>
              <w:pBdr>
                <w:top w:val="nil"/>
                <w:left w:val="nil"/>
                <w:bottom w:val="nil"/>
                <w:right w:val="nil"/>
                <w:between w:val="nil"/>
              </w:pBdr>
              <w:spacing w:line="276" w:lineRule="auto"/>
              <w:jc w:val="left"/>
              <w:rPr>
                <w:b/>
                <w:color w:val="FFFFFF"/>
                <w:sz w:val="28"/>
                <w:szCs w:val="28"/>
              </w:rPr>
            </w:pPr>
          </w:p>
        </w:tc>
        <w:tc>
          <w:tcPr>
            <w:tcW w:w="380" w:type="pct"/>
            <w:shd w:val="clear" w:color="auto" w:fill="C00000"/>
            <w:vAlign w:val="center"/>
          </w:tcPr>
          <w:p w14:paraId="58AE1192" w14:textId="77777777" w:rsidR="008B5CED" w:rsidRDefault="008B5CED" w:rsidP="004F6427">
            <w:pPr>
              <w:jc w:val="center"/>
              <w:rPr>
                <w:b/>
                <w:color w:val="FFFFFF"/>
                <w:sz w:val="28"/>
                <w:szCs w:val="28"/>
              </w:rPr>
            </w:pPr>
            <w:r>
              <w:rPr>
                <w:b/>
                <w:color w:val="FFFFFF"/>
                <w:sz w:val="28"/>
                <w:szCs w:val="28"/>
              </w:rPr>
              <w:t>M</w:t>
            </w:r>
          </w:p>
        </w:tc>
        <w:tc>
          <w:tcPr>
            <w:tcW w:w="380" w:type="pct"/>
            <w:shd w:val="clear" w:color="auto" w:fill="C00000"/>
            <w:vAlign w:val="center"/>
          </w:tcPr>
          <w:p w14:paraId="28E501BB" w14:textId="77777777" w:rsidR="008B5CED" w:rsidRDefault="008B5CED" w:rsidP="004F6427">
            <w:pPr>
              <w:jc w:val="center"/>
              <w:rPr>
                <w:b/>
                <w:color w:val="FFFFFF"/>
                <w:sz w:val="28"/>
                <w:szCs w:val="28"/>
              </w:rPr>
            </w:pPr>
            <w:r>
              <w:rPr>
                <w:b/>
                <w:color w:val="FFFFFF"/>
                <w:sz w:val="28"/>
                <w:szCs w:val="28"/>
              </w:rPr>
              <w:t>H</w:t>
            </w:r>
          </w:p>
        </w:tc>
        <w:tc>
          <w:tcPr>
            <w:tcW w:w="380" w:type="pct"/>
            <w:shd w:val="clear" w:color="auto" w:fill="C00000"/>
            <w:vAlign w:val="center"/>
          </w:tcPr>
          <w:p w14:paraId="748027CA" w14:textId="77777777" w:rsidR="008B5CED" w:rsidRDefault="008B5CED" w:rsidP="004F6427">
            <w:pPr>
              <w:jc w:val="center"/>
              <w:rPr>
                <w:b/>
                <w:color w:val="FFFFFF"/>
                <w:sz w:val="28"/>
                <w:szCs w:val="28"/>
              </w:rPr>
            </w:pPr>
            <w:r>
              <w:rPr>
                <w:b/>
                <w:color w:val="FFFFFF"/>
                <w:sz w:val="28"/>
                <w:szCs w:val="28"/>
              </w:rPr>
              <w:t>M</w:t>
            </w:r>
          </w:p>
        </w:tc>
        <w:tc>
          <w:tcPr>
            <w:tcW w:w="380" w:type="pct"/>
            <w:shd w:val="clear" w:color="auto" w:fill="C00000"/>
            <w:vAlign w:val="center"/>
          </w:tcPr>
          <w:p w14:paraId="73836DCF" w14:textId="77777777" w:rsidR="008B5CED" w:rsidRDefault="008B5CED" w:rsidP="004F6427">
            <w:pPr>
              <w:jc w:val="center"/>
              <w:rPr>
                <w:b/>
                <w:color w:val="FFFFFF"/>
                <w:sz w:val="28"/>
                <w:szCs w:val="28"/>
              </w:rPr>
            </w:pPr>
            <w:r>
              <w:rPr>
                <w:b/>
                <w:color w:val="FFFFFF"/>
                <w:sz w:val="28"/>
                <w:szCs w:val="28"/>
              </w:rPr>
              <w:t>H</w:t>
            </w:r>
          </w:p>
        </w:tc>
        <w:tc>
          <w:tcPr>
            <w:tcW w:w="380" w:type="pct"/>
            <w:shd w:val="clear" w:color="auto" w:fill="C00000"/>
            <w:vAlign w:val="center"/>
          </w:tcPr>
          <w:p w14:paraId="1418A11A" w14:textId="77777777" w:rsidR="008B5CED" w:rsidRDefault="008B5CED" w:rsidP="004F6427">
            <w:pPr>
              <w:jc w:val="center"/>
              <w:rPr>
                <w:b/>
                <w:color w:val="FFFFFF"/>
                <w:sz w:val="28"/>
                <w:szCs w:val="28"/>
              </w:rPr>
            </w:pPr>
            <w:r>
              <w:rPr>
                <w:b/>
                <w:color w:val="FFFFFF"/>
                <w:sz w:val="28"/>
                <w:szCs w:val="28"/>
              </w:rPr>
              <w:t>M</w:t>
            </w:r>
          </w:p>
        </w:tc>
        <w:tc>
          <w:tcPr>
            <w:tcW w:w="380" w:type="pct"/>
            <w:shd w:val="clear" w:color="auto" w:fill="C00000"/>
            <w:vAlign w:val="center"/>
          </w:tcPr>
          <w:p w14:paraId="0FE92283" w14:textId="77777777" w:rsidR="008B5CED" w:rsidRDefault="008B5CED" w:rsidP="004F6427">
            <w:pPr>
              <w:jc w:val="center"/>
              <w:rPr>
                <w:b/>
                <w:color w:val="FFFFFF"/>
                <w:sz w:val="28"/>
                <w:szCs w:val="28"/>
              </w:rPr>
            </w:pPr>
            <w:r>
              <w:rPr>
                <w:b/>
                <w:color w:val="FFFFFF"/>
                <w:sz w:val="28"/>
                <w:szCs w:val="28"/>
              </w:rPr>
              <w:t>H</w:t>
            </w:r>
          </w:p>
        </w:tc>
        <w:tc>
          <w:tcPr>
            <w:tcW w:w="380" w:type="pct"/>
            <w:shd w:val="clear" w:color="auto" w:fill="C00000"/>
            <w:vAlign w:val="center"/>
          </w:tcPr>
          <w:p w14:paraId="7DDDBAAD" w14:textId="77777777" w:rsidR="008B5CED" w:rsidRDefault="008B5CED" w:rsidP="004F6427">
            <w:pPr>
              <w:jc w:val="center"/>
              <w:rPr>
                <w:b/>
                <w:color w:val="FFFFFF"/>
                <w:sz w:val="28"/>
                <w:szCs w:val="28"/>
              </w:rPr>
            </w:pPr>
            <w:r>
              <w:rPr>
                <w:b/>
                <w:color w:val="FFFFFF"/>
                <w:sz w:val="28"/>
                <w:szCs w:val="28"/>
              </w:rPr>
              <w:t>M</w:t>
            </w:r>
          </w:p>
        </w:tc>
        <w:tc>
          <w:tcPr>
            <w:tcW w:w="380" w:type="pct"/>
            <w:shd w:val="clear" w:color="auto" w:fill="C00000"/>
            <w:vAlign w:val="center"/>
          </w:tcPr>
          <w:p w14:paraId="3E4F7CCD" w14:textId="77777777" w:rsidR="008B5CED" w:rsidRDefault="008B5CED" w:rsidP="004F6427">
            <w:pPr>
              <w:jc w:val="center"/>
              <w:rPr>
                <w:b/>
                <w:color w:val="FFFFFF"/>
                <w:sz w:val="28"/>
                <w:szCs w:val="28"/>
              </w:rPr>
            </w:pPr>
            <w:r>
              <w:rPr>
                <w:b/>
                <w:color w:val="FFFFFF"/>
                <w:sz w:val="28"/>
                <w:szCs w:val="28"/>
              </w:rPr>
              <w:t>H</w:t>
            </w:r>
          </w:p>
        </w:tc>
        <w:tc>
          <w:tcPr>
            <w:tcW w:w="380" w:type="pct"/>
            <w:shd w:val="clear" w:color="auto" w:fill="C00000"/>
            <w:vAlign w:val="center"/>
          </w:tcPr>
          <w:p w14:paraId="0A73AB5A" w14:textId="77777777" w:rsidR="008B5CED" w:rsidRDefault="008B5CED" w:rsidP="004F6427">
            <w:pPr>
              <w:jc w:val="center"/>
              <w:rPr>
                <w:b/>
                <w:color w:val="FFFFFF"/>
                <w:sz w:val="28"/>
                <w:szCs w:val="28"/>
              </w:rPr>
            </w:pPr>
            <w:r>
              <w:rPr>
                <w:b/>
                <w:color w:val="FFFFFF"/>
                <w:sz w:val="28"/>
                <w:szCs w:val="28"/>
              </w:rPr>
              <w:t>M</w:t>
            </w:r>
          </w:p>
        </w:tc>
        <w:tc>
          <w:tcPr>
            <w:tcW w:w="610" w:type="pct"/>
            <w:shd w:val="clear" w:color="auto" w:fill="C00000"/>
            <w:vAlign w:val="center"/>
          </w:tcPr>
          <w:p w14:paraId="12815E3C" w14:textId="77777777" w:rsidR="008B5CED" w:rsidRDefault="008B5CED" w:rsidP="004F6427">
            <w:pPr>
              <w:jc w:val="center"/>
              <w:rPr>
                <w:b/>
                <w:color w:val="FFFFFF"/>
                <w:sz w:val="28"/>
                <w:szCs w:val="28"/>
              </w:rPr>
            </w:pPr>
            <w:r>
              <w:rPr>
                <w:b/>
                <w:color w:val="FFFFFF"/>
                <w:sz w:val="28"/>
                <w:szCs w:val="28"/>
              </w:rPr>
              <w:t>H</w:t>
            </w:r>
          </w:p>
        </w:tc>
      </w:tr>
      <w:tr w:rsidR="008B5CED" w14:paraId="0CE3EE4D" w14:textId="77777777" w:rsidTr="00595EE8">
        <w:trPr>
          <w:trHeight w:val="20"/>
        </w:trPr>
        <w:tc>
          <w:tcPr>
            <w:tcW w:w="967" w:type="pct"/>
            <w:vAlign w:val="center"/>
          </w:tcPr>
          <w:p w14:paraId="57EC5671" w14:textId="77777777" w:rsidR="008B5CED" w:rsidRPr="00735297" w:rsidRDefault="008B5CED" w:rsidP="004F6427">
            <w:pPr>
              <w:spacing w:line="240" w:lineRule="auto"/>
              <w:jc w:val="right"/>
              <w:rPr>
                <w:b/>
                <w:sz w:val="16"/>
                <w:szCs w:val="16"/>
              </w:rPr>
            </w:pPr>
            <w:r w:rsidRPr="00735297">
              <w:rPr>
                <w:b/>
                <w:sz w:val="16"/>
                <w:szCs w:val="16"/>
              </w:rPr>
              <w:t>Presunto delito sexual</w:t>
            </w:r>
          </w:p>
        </w:tc>
        <w:tc>
          <w:tcPr>
            <w:tcW w:w="380" w:type="pct"/>
            <w:vAlign w:val="center"/>
          </w:tcPr>
          <w:p w14:paraId="20BD2038" w14:textId="77777777" w:rsidR="008B5CED" w:rsidRPr="00735297" w:rsidRDefault="008B5CED" w:rsidP="004F6427">
            <w:pPr>
              <w:jc w:val="right"/>
              <w:rPr>
                <w:sz w:val="16"/>
                <w:szCs w:val="16"/>
              </w:rPr>
            </w:pPr>
            <w:r w:rsidRPr="00735297">
              <w:rPr>
                <w:sz w:val="16"/>
                <w:szCs w:val="16"/>
              </w:rPr>
              <w:t>3.792</w:t>
            </w:r>
          </w:p>
        </w:tc>
        <w:tc>
          <w:tcPr>
            <w:tcW w:w="380" w:type="pct"/>
            <w:vAlign w:val="center"/>
          </w:tcPr>
          <w:p w14:paraId="1289BECA" w14:textId="77777777" w:rsidR="008B5CED" w:rsidRPr="00735297" w:rsidRDefault="008B5CED" w:rsidP="004F6427">
            <w:pPr>
              <w:jc w:val="right"/>
              <w:rPr>
                <w:sz w:val="16"/>
                <w:szCs w:val="16"/>
              </w:rPr>
            </w:pPr>
            <w:r w:rsidRPr="00735297">
              <w:rPr>
                <w:sz w:val="16"/>
                <w:szCs w:val="16"/>
              </w:rPr>
              <w:t>654</w:t>
            </w:r>
          </w:p>
        </w:tc>
        <w:tc>
          <w:tcPr>
            <w:tcW w:w="380" w:type="pct"/>
            <w:vAlign w:val="center"/>
          </w:tcPr>
          <w:p w14:paraId="496918EF" w14:textId="77777777" w:rsidR="008B5CED" w:rsidRPr="00735297" w:rsidRDefault="008B5CED" w:rsidP="004F6427">
            <w:pPr>
              <w:jc w:val="right"/>
              <w:rPr>
                <w:sz w:val="16"/>
                <w:szCs w:val="16"/>
              </w:rPr>
            </w:pPr>
            <w:r w:rsidRPr="00735297">
              <w:rPr>
                <w:sz w:val="16"/>
                <w:szCs w:val="16"/>
              </w:rPr>
              <w:t>2.972</w:t>
            </w:r>
          </w:p>
        </w:tc>
        <w:tc>
          <w:tcPr>
            <w:tcW w:w="380" w:type="pct"/>
            <w:vAlign w:val="center"/>
          </w:tcPr>
          <w:p w14:paraId="5FEE6296" w14:textId="77777777" w:rsidR="008B5CED" w:rsidRPr="00735297" w:rsidRDefault="008B5CED" w:rsidP="004F6427">
            <w:pPr>
              <w:jc w:val="right"/>
              <w:rPr>
                <w:sz w:val="16"/>
                <w:szCs w:val="16"/>
              </w:rPr>
            </w:pPr>
            <w:r w:rsidRPr="00735297">
              <w:rPr>
                <w:sz w:val="16"/>
                <w:szCs w:val="16"/>
              </w:rPr>
              <w:t>543</w:t>
            </w:r>
          </w:p>
        </w:tc>
        <w:tc>
          <w:tcPr>
            <w:tcW w:w="380" w:type="pct"/>
            <w:vAlign w:val="center"/>
          </w:tcPr>
          <w:p w14:paraId="5749058F" w14:textId="77777777" w:rsidR="008B5CED" w:rsidRPr="00735297" w:rsidRDefault="008B5CED" w:rsidP="004F6427">
            <w:pPr>
              <w:jc w:val="right"/>
              <w:rPr>
                <w:sz w:val="16"/>
                <w:szCs w:val="16"/>
              </w:rPr>
            </w:pPr>
            <w:r w:rsidRPr="00735297">
              <w:rPr>
                <w:sz w:val="16"/>
                <w:szCs w:val="16"/>
              </w:rPr>
              <w:t>3.647</w:t>
            </w:r>
          </w:p>
        </w:tc>
        <w:tc>
          <w:tcPr>
            <w:tcW w:w="380" w:type="pct"/>
            <w:vAlign w:val="center"/>
          </w:tcPr>
          <w:p w14:paraId="27671C76" w14:textId="77777777" w:rsidR="008B5CED" w:rsidRPr="00735297" w:rsidRDefault="008B5CED" w:rsidP="004F6427">
            <w:pPr>
              <w:jc w:val="right"/>
              <w:rPr>
                <w:sz w:val="16"/>
                <w:szCs w:val="16"/>
              </w:rPr>
            </w:pPr>
            <w:r w:rsidRPr="00735297">
              <w:rPr>
                <w:sz w:val="16"/>
                <w:szCs w:val="16"/>
              </w:rPr>
              <w:t>537</w:t>
            </w:r>
          </w:p>
        </w:tc>
        <w:tc>
          <w:tcPr>
            <w:tcW w:w="380" w:type="pct"/>
            <w:vAlign w:val="center"/>
          </w:tcPr>
          <w:p w14:paraId="39BBA8B8" w14:textId="77777777" w:rsidR="008B5CED" w:rsidRPr="00735297" w:rsidRDefault="008B5CED" w:rsidP="004F6427">
            <w:pPr>
              <w:jc w:val="right"/>
              <w:rPr>
                <w:sz w:val="16"/>
                <w:szCs w:val="16"/>
              </w:rPr>
            </w:pPr>
            <w:r w:rsidRPr="00735297">
              <w:rPr>
                <w:sz w:val="16"/>
                <w:szCs w:val="16"/>
              </w:rPr>
              <w:t>4.515</w:t>
            </w:r>
          </w:p>
        </w:tc>
        <w:tc>
          <w:tcPr>
            <w:tcW w:w="380" w:type="pct"/>
            <w:vAlign w:val="center"/>
          </w:tcPr>
          <w:p w14:paraId="6F446A1E" w14:textId="77777777" w:rsidR="008B5CED" w:rsidRPr="00735297" w:rsidRDefault="008B5CED" w:rsidP="004F6427">
            <w:pPr>
              <w:jc w:val="right"/>
              <w:rPr>
                <w:sz w:val="16"/>
                <w:szCs w:val="16"/>
              </w:rPr>
            </w:pPr>
            <w:r w:rsidRPr="00735297">
              <w:rPr>
                <w:sz w:val="16"/>
                <w:szCs w:val="16"/>
              </w:rPr>
              <w:t>628</w:t>
            </w:r>
          </w:p>
        </w:tc>
        <w:tc>
          <w:tcPr>
            <w:tcW w:w="380" w:type="pct"/>
            <w:vAlign w:val="center"/>
          </w:tcPr>
          <w:p w14:paraId="2EA7E17B" w14:textId="77777777" w:rsidR="008B5CED" w:rsidRPr="00735297" w:rsidRDefault="008B5CED" w:rsidP="004F6427">
            <w:pPr>
              <w:jc w:val="right"/>
              <w:rPr>
                <w:sz w:val="16"/>
                <w:szCs w:val="16"/>
              </w:rPr>
            </w:pPr>
            <w:r w:rsidRPr="00735297">
              <w:rPr>
                <w:sz w:val="16"/>
                <w:szCs w:val="16"/>
              </w:rPr>
              <w:t>3.230</w:t>
            </w:r>
          </w:p>
        </w:tc>
        <w:tc>
          <w:tcPr>
            <w:tcW w:w="610" w:type="pct"/>
            <w:vAlign w:val="center"/>
          </w:tcPr>
          <w:p w14:paraId="79820AC4" w14:textId="77777777" w:rsidR="008B5CED" w:rsidRPr="00735297" w:rsidRDefault="008B5CED" w:rsidP="004F6427">
            <w:pPr>
              <w:jc w:val="right"/>
              <w:rPr>
                <w:sz w:val="16"/>
                <w:szCs w:val="16"/>
              </w:rPr>
            </w:pPr>
            <w:r w:rsidRPr="00735297">
              <w:rPr>
                <w:sz w:val="16"/>
                <w:szCs w:val="16"/>
              </w:rPr>
              <w:t>467</w:t>
            </w:r>
          </w:p>
        </w:tc>
      </w:tr>
      <w:tr w:rsidR="008B5CED" w14:paraId="6866DDED" w14:textId="77777777" w:rsidTr="00595EE8">
        <w:trPr>
          <w:trHeight w:val="20"/>
        </w:trPr>
        <w:tc>
          <w:tcPr>
            <w:tcW w:w="967" w:type="pct"/>
            <w:vAlign w:val="center"/>
          </w:tcPr>
          <w:p w14:paraId="1F39C56F" w14:textId="77777777" w:rsidR="008B5CED" w:rsidRPr="00735297" w:rsidRDefault="008B5CED" w:rsidP="004F6427">
            <w:pPr>
              <w:spacing w:line="240" w:lineRule="auto"/>
              <w:jc w:val="right"/>
              <w:rPr>
                <w:b/>
                <w:sz w:val="16"/>
                <w:szCs w:val="16"/>
              </w:rPr>
            </w:pPr>
            <w:r w:rsidRPr="00735297">
              <w:rPr>
                <w:b/>
                <w:sz w:val="16"/>
                <w:szCs w:val="16"/>
              </w:rPr>
              <w:t>Violencia de pareja</w:t>
            </w:r>
          </w:p>
        </w:tc>
        <w:tc>
          <w:tcPr>
            <w:tcW w:w="380" w:type="pct"/>
            <w:vAlign w:val="center"/>
          </w:tcPr>
          <w:p w14:paraId="0657F56A" w14:textId="77777777" w:rsidR="008B5CED" w:rsidRPr="00735297" w:rsidRDefault="008B5CED" w:rsidP="004F6427">
            <w:pPr>
              <w:jc w:val="right"/>
              <w:rPr>
                <w:sz w:val="16"/>
                <w:szCs w:val="16"/>
              </w:rPr>
            </w:pPr>
            <w:r w:rsidRPr="00735297">
              <w:rPr>
                <w:sz w:val="16"/>
                <w:szCs w:val="16"/>
              </w:rPr>
              <w:t>9.936</w:t>
            </w:r>
          </w:p>
        </w:tc>
        <w:tc>
          <w:tcPr>
            <w:tcW w:w="380" w:type="pct"/>
            <w:vAlign w:val="center"/>
          </w:tcPr>
          <w:p w14:paraId="776E9EEC" w14:textId="77777777" w:rsidR="008B5CED" w:rsidRPr="00735297" w:rsidRDefault="008B5CED" w:rsidP="004F6427">
            <w:pPr>
              <w:jc w:val="right"/>
              <w:rPr>
                <w:sz w:val="16"/>
                <w:szCs w:val="16"/>
              </w:rPr>
            </w:pPr>
            <w:r w:rsidRPr="00735297">
              <w:rPr>
                <w:sz w:val="16"/>
                <w:szCs w:val="16"/>
              </w:rPr>
              <w:t>2.127</w:t>
            </w:r>
          </w:p>
        </w:tc>
        <w:tc>
          <w:tcPr>
            <w:tcW w:w="380" w:type="pct"/>
            <w:vAlign w:val="center"/>
          </w:tcPr>
          <w:p w14:paraId="69D3C582" w14:textId="77777777" w:rsidR="008B5CED" w:rsidRPr="00735297" w:rsidRDefault="008B5CED" w:rsidP="004F6427">
            <w:pPr>
              <w:jc w:val="right"/>
              <w:rPr>
                <w:sz w:val="16"/>
                <w:szCs w:val="16"/>
              </w:rPr>
            </w:pPr>
            <w:r w:rsidRPr="00735297">
              <w:rPr>
                <w:sz w:val="16"/>
                <w:szCs w:val="16"/>
              </w:rPr>
              <w:t>6.839</w:t>
            </w:r>
          </w:p>
        </w:tc>
        <w:tc>
          <w:tcPr>
            <w:tcW w:w="380" w:type="pct"/>
            <w:vAlign w:val="center"/>
          </w:tcPr>
          <w:p w14:paraId="7C4CFD24" w14:textId="77777777" w:rsidR="008B5CED" w:rsidRPr="00735297" w:rsidRDefault="008B5CED" w:rsidP="004F6427">
            <w:pPr>
              <w:jc w:val="right"/>
              <w:rPr>
                <w:sz w:val="16"/>
                <w:szCs w:val="16"/>
              </w:rPr>
            </w:pPr>
            <w:r w:rsidRPr="00735297">
              <w:rPr>
                <w:sz w:val="16"/>
                <w:szCs w:val="16"/>
              </w:rPr>
              <w:t>1.535</w:t>
            </w:r>
          </w:p>
        </w:tc>
        <w:tc>
          <w:tcPr>
            <w:tcW w:w="380" w:type="pct"/>
            <w:vAlign w:val="center"/>
          </w:tcPr>
          <w:p w14:paraId="30984404" w14:textId="77777777" w:rsidR="008B5CED" w:rsidRPr="00735297" w:rsidRDefault="008B5CED" w:rsidP="004F6427">
            <w:pPr>
              <w:jc w:val="right"/>
              <w:rPr>
                <w:sz w:val="16"/>
                <w:szCs w:val="16"/>
              </w:rPr>
            </w:pPr>
            <w:r w:rsidRPr="00735297">
              <w:rPr>
                <w:sz w:val="16"/>
                <w:szCs w:val="16"/>
              </w:rPr>
              <w:t>7.067</w:t>
            </w:r>
          </w:p>
        </w:tc>
        <w:tc>
          <w:tcPr>
            <w:tcW w:w="380" w:type="pct"/>
            <w:vAlign w:val="center"/>
          </w:tcPr>
          <w:p w14:paraId="5C7623B2" w14:textId="77777777" w:rsidR="008B5CED" w:rsidRPr="00735297" w:rsidRDefault="008B5CED" w:rsidP="004F6427">
            <w:pPr>
              <w:jc w:val="right"/>
              <w:rPr>
                <w:sz w:val="16"/>
                <w:szCs w:val="16"/>
              </w:rPr>
            </w:pPr>
            <w:r w:rsidRPr="00735297">
              <w:rPr>
                <w:sz w:val="16"/>
                <w:szCs w:val="16"/>
              </w:rPr>
              <w:t>1.492</w:t>
            </w:r>
          </w:p>
        </w:tc>
        <w:tc>
          <w:tcPr>
            <w:tcW w:w="380" w:type="pct"/>
            <w:vAlign w:val="center"/>
          </w:tcPr>
          <w:p w14:paraId="3B444020" w14:textId="77777777" w:rsidR="008B5CED" w:rsidRPr="00735297" w:rsidRDefault="008B5CED" w:rsidP="004F6427">
            <w:pPr>
              <w:jc w:val="right"/>
              <w:rPr>
                <w:sz w:val="16"/>
                <w:szCs w:val="16"/>
              </w:rPr>
            </w:pPr>
            <w:r w:rsidRPr="00735297">
              <w:rPr>
                <w:sz w:val="16"/>
                <w:szCs w:val="16"/>
              </w:rPr>
              <w:t>7.654</w:t>
            </w:r>
          </w:p>
        </w:tc>
        <w:tc>
          <w:tcPr>
            <w:tcW w:w="380" w:type="pct"/>
            <w:vAlign w:val="center"/>
          </w:tcPr>
          <w:p w14:paraId="445CEB02" w14:textId="77777777" w:rsidR="008B5CED" w:rsidRPr="00735297" w:rsidRDefault="008B5CED" w:rsidP="004F6427">
            <w:pPr>
              <w:jc w:val="right"/>
              <w:rPr>
                <w:sz w:val="16"/>
                <w:szCs w:val="16"/>
              </w:rPr>
            </w:pPr>
            <w:r w:rsidRPr="00735297">
              <w:rPr>
                <w:sz w:val="16"/>
                <w:szCs w:val="16"/>
              </w:rPr>
              <w:t>1.648</w:t>
            </w:r>
          </w:p>
        </w:tc>
        <w:tc>
          <w:tcPr>
            <w:tcW w:w="380" w:type="pct"/>
            <w:vAlign w:val="center"/>
          </w:tcPr>
          <w:p w14:paraId="3BB08E55" w14:textId="77777777" w:rsidR="008B5CED" w:rsidRPr="00735297" w:rsidRDefault="008B5CED" w:rsidP="004F6427">
            <w:pPr>
              <w:jc w:val="right"/>
              <w:rPr>
                <w:sz w:val="16"/>
                <w:szCs w:val="16"/>
              </w:rPr>
            </w:pPr>
            <w:r w:rsidRPr="00735297">
              <w:rPr>
                <w:sz w:val="16"/>
                <w:szCs w:val="16"/>
              </w:rPr>
              <w:t>6.991</w:t>
            </w:r>
          </w:p>
        </w:tc>
        <w:tc>
          <w:tcPr>
            <w:tcW w:w="610" w:type="pct"/>
            <w:vAlign w:val="center"/>
          </w:tcPr>
          <w:p w14:paraId="7F512E37" w14:textId="77777777" w:rsidR="008B5CED" w:rsidRPr="00735297" w:rsidRDefault="008B5CED" w:rsidP="004F6427">
            <w:pPr>
              <w:jc w:val="right"/>
              <w:rPr>
                <w:sz w:val="16"/>
                <w:szCs w:val="16"/>
              </w:rPr>
            </w:pPr>
            <w:r w:rsidRPr="00735297">
              <w:rPr>
                <w:sz w:val="16"/>
                <w:szCs w:val="16"/>
              </w:rPr>
              <w:t>1.518</w:t>
            </w:r>
          </w:p>
        </w:tc>
      </w:tr>
      <w:tr w:rsidR="008B5CED" w14:paraId="44F5E2E5" w14:textId="77777777" w:rsidTr="00595EE8">
        <w:trPr>
          <w:trHeight w:val="20"/>
        </w:trPr>
        <w:tc>
          <w:tcPr>
            <w:tcW w:w="967" w:type="pct"/>
            <w:vAlign w:val="center"/>
          </w:tcPr>
          <w:p w14:paraId="4D5CC74E" w14:textId="77777777" w:rsidR="008B5CED" w:rsidRPr="00735297" w:rsidRDefault="008B5CED" w:rsidP="004F6427">
            <w:pPr>
              <w:spacing w:line="240" w:lineRule="auto"/>
              <w:jc w:val="right"/>
              <w:rPr>
                <w:b/>
                <w:sz w:val="16"/>
                <w:szCs w:val="16"/>
              </w:rPr>
            </w:pPr>
            <w:r w:rsidRPr="00735297">
              <w:rPr>
                <w:b/>
                <w:sz w:val="16"/>
                <w:szCs w:val="16"/>
              </w:rPr>
              <w:t>Violencia contra niñas, niños y adolescentes (VIF)</w:t>
            </w:r>
          </w:p>
        </w:tc>
        <w:tc>
          <w:tcPr>
            <w:tcW w:w="380" w:type="pct"/>
            <w:vAlign w:val="center"/>
          </w:tcPr>
          <w:p w14:paraId="7B56DEFD" w14:textId="77777777" w:rsidR="008B5CED" w:rsidRPr="00735297" w:rsidRDefault="008B5CED" w:rsidP="004F6427">
            <w:pPr>
              <w:jc w:val="right"/>
              <w:rPr>
                <w:sz w:val="16"/>
                <w:szCs w:val="16"/>
              </w:rPr>
            </w:pPr>
            <w:r w:rsidRPr="00735297">
              <w:rPr>
                <w:sz w:val="16"/>
                <w:szCs w:val="16"/>
              </w:rPr>
              <w:t>1.783</w:t>
            </w:r>
          </w:p>
        </w:tc>
        <w:tc>
          <w:tcPr>
            <w:tcW w:w="380" w:type="pct"/>
            <w:vAlign w:val="center"/>
          </w:tcPr>
          <w:p w14:paraId="4EB58014" w14:textId="77777777" w:rsidR="008B5CED" w:rsidRPr="00735297" w:rsidRDefault="008B5CED" w:rsidP="004F6427">
            <w:pPr>
              <w:jc w:val="right"/>
              <w:rPr>
                <w:sz w:val="16"/>
                <w:szCs w:val="16"/>
              </w:rPr>
            </w:pPr>
            <w:r w:rsidRPr="00735297">
              <w:rPr>
                <w:sz w:val="16"/>
                <w:szCs w:val="16"/>
              </w:rPr>
              <w:t>1.816</w:t>
            </w:r>
          </w:p>
        </w:tc>
        <w:tc>
          <w:tcPr>
            <w:tcW w:w="380" w:type="pct"/>
            <w:vAlign w:val="center"/>
          </w:tcPr>
          <w:p w14:paraId="23FF55F6" w14:textId="77777777" w:rsidR="008B5CED" w:rsidRPr="00735297" w:rsidRDefault="008B5CED" w:rsidP="004F6427">
            <w:pPr>
              <w:jc w:val="right"/>
              <w:rPr>
                <w:sz w:val="16"/>
                <w:szCs w:val="16"/>
              </w:rPr>
            </w:pPr>
            <w:r w:rsidRPr="00735297">
              <w:rPr>
                <w:sz w:val="16"/>
                <w:szCs w:val="16"/>
              </w:rPr>
              <w:t>765</w:t>
            </w:r>
          </w:p>
        </w:tc>
        <w:tc>
          <w:tcPr>
            <w:tcW w:w="380" w:type="pct"/>
            <w:vAlign w:val="center"/>
          </w:tcPr>
          <w:p w14:paraId="159177EA" w14:textId="77777777" w:rsidR="008B5CED" w:rsidRPr="00735297" w:rsidRDefault="008B5CED" w:rsidP="004F6427">
            <w:pPr>
              <w:jc w:val="right"/>
              <w:rPr>
                <w:sz w:val="16"/>
                <w:szCs w:val="16"/>
              </w:rPr>
            </w:pPr>
            <w:r w:rsidRPr="00735297">
              <w:rPr>
                <w:sz w:val="16"/>
                <w:szCs w:val="16"/>
              </w:rPr>
              <w:t>753</w:t>
            </w:r>
          </w:p>
        </w:tc>
        <w:tc>
          <w:tcPr>
            <w:tcW w:w="380" w:type="pct"/>
            <w:vAlign w:val="center"/>
          </w:tcPr>
          <w:p w14:paraId="08B212AB" w14:textId="77777777" w:rsidR="008B5CED" w:rsidRPr="00735297" w:rsidRDefault="008B5CED" w:rsidP="004F6427">
            <w:pPr>
              <w:jc w:val="right"/>
              <w:rPr>
                <w:sz w:val="16"/>
                <w:szCs w:val="16"/>
              </w:rPr>
            </w:pPr>
            <w:r w:rsidRPr="00735297">
              <w:rPr>
                <w:sz w:val="16"/>
                <w:szCs w:val="16"/>
              </w:rPr>
              <w:t>885</w:t>
            </w:r>
          </w:p>
        </w:tc>
        <w:tc>
          <w:tcPr>
            <w:tcW w:w="380" w:type="pct"/>
            <w:vAlign w:val="center"/>
          </w:tcPr>
          <w:p w14:paraId="3282E89D" w14:textId="77777777" w:rsidR="008B5CED" w:rsidRPr="00735297" w:rsidRDefault="008B5CED" w:rsidP="004F6427">
            <w:pPr>
              <w:jc w:val="right"/>
              <w:rPr>
                <w:sz w:val="16"/>
                <w:szCs w:val="16"/>
              </w:rPr>
            </w:pPr>
            <w:r w:rsidRPr="00735297">
              <w:rPr>
                <w:sz w:val="16"/>
                <w:szCs w:val="16"/>
              </w:rPr>
              <w:t>824</w:t>
            </w:r>
          </w:p>
        </w:tc>
        <w:tc>
          <w:tcPr>
            <w:tcW w:w="380" w:type="pct"/>
            <w:vAlign w:val="center"/>
          </w:tcPr>
          <w:p w14:paraId="6322953E" w14:textId="77777777" w:rsidR="008B5CED" w:rsidRPr="00735297" w:rsidRDefault="008B5CED" w:rsidP="004F6427">
            <w:pPr>
              <w:jc w:val="right"/>
              <w:rPr>
                <w:sz w:val="16"/>
                <w:szCs w:val="16"/>
              </w:rPr>
            </w:pPr>
            <w:r w:rsidRPr="00735297">
              <w:rPr>
                <w:sz w:val="16"/>
                <w:szCs w:val="16"/>
              </w:rPr>
              <w:t>1.002</w:t>
            </w:r>
          </w:p>
        </w:tc>
        <w:tc>
          <w:tcPr>
            <w:tcW w:w="380" w:type="pct"/>
            <w:vAlign w:val="center"/>
          </w:tcPr>
          <w:p w14:paraId="40C44CEE" w14:textId="77777777" w:rsidR="008B5CED" w:rsidRPr="00735297" w:rsidRDefault="008B5CED" w:rsidP="004F6427">
            <w:pPr>
              <w:jc w:val="right"/>
              <w:rPr>
                <w:sz w:val="16"/>
                <w:szCs w:val="16"/>
              </w:rPr>
            </w:pPr>
            <w:r w:rsidRPr="00735297">
              <w:rPr>
                <w:sz w:val="16"/>
                <w:szCs w:val="16"/>
              </w:rPr>
              <w:t>923</w:t>
            </w:r>
          </w:p>
        </w:tc>
        <w:tc>
          <w:tcPr>
            <w:tcW w:w="380" w:type="pct"/>
            <w:vAlign w:val="center"/>
          </w:tcPr>
          <w:p w14:paraId="45C82565" w14:textId="77777777" w:rsidR="008B5CED" w:rsidRPr="00735297" w:rsidRDefault="008B5CED" w:rsidP="004F6427">
            <w:pPr>
              <w:jc w:val="right"/>
              <w:rPr>
                <w:sz w:val="16"/>
                <w:szCs w:val="16"/>
              </w:rPr>
            </w:pPr>
            <w:r w:rsidRPr="00735297">
              <w:rPr>
                <w:sz w:val="16"/>
                <w:szCs w:val="16"/>
              </w:rPr>
              <w:t>894</w:t>
            </w:r>
          </w:p>
        </w:tc>
        <w:tc>
          <w:tcPr>
            <w:tcW w:w="610" w:type="pct"/>
            <w:vAlign w:val="center"/>
          </w:tcPr>
          <w:p w14:paraId="2A4F72DA" w14:textId="77777777" w:rsidR="008B5CED" w:rsidRPr="00735297" w:rsidRDefault="008B5CED" w:rsidP="004F6427">
            <w:pPr>
              <w:jc w:val="right"/>
              <w:rPr>
                <w:sz w:val="16"/>
                <w:szCs w:val="16"/>
              </w:rPr>
            </w:pPr>
            <w:r w:rsidRPr="00735297">
              <w:rPr>
                <w:sz w:val="16"/>
                <w:szCs w:val="16"/>
              </w:rPr>
              <w:t>863</w:t>
            </w:r>
          </w:p>
        </w:tc>
      </w:tr>
      <w:tr w:rsidR="008B5CED" w14:paraId="4007E934" w14:textId="77777777" w:rsidTr="00595EE8">
        <w:trPr>
          <w:trHeight w:val="20"/>
        </w:trPr>
        <w:tc>
          <w:tcPr>
            <w:tcW w:w="967" w:type="pct"/>
            <w:vAlign w:val="center"/>
          </w:tcPr>
          <w:p w14:paraId="280E52E5" w14:textId="77777777" w:rsidR="008B5CED" w:rsidRPr="00735297" w:rsidRDefault="008B5CED" w:rsidP="004F6427">
            <w:pPr>
              <w:spacing w:line="240" w:lineRule="auto"/>
              <w:jc w:val="right"/>
              <w:rPr>
                <w:b/>
                <w:sz w:val="16"/>
                <w:szCs w:val="16"/>
              </w:rPr>
            </w:pPr>
            <w:r w:rsidRPr="00735297">
              <w:rPr>
                <w:b/>
                <w:sz w:val="16"/>
                <w:szCs w:val="16"/>
              </w:rPr>
              <w:t>Violencia entre otros familiares (VIF)</w:t>
            </w:r>
          </w:p>
        </w:tc>
        <w:tc>
          <w:tcPr>
            <w:tcW w:w="380" w:type="pct"/>
            <w:vAlign w:val="center"/>
          </w:tcPr>
          <w:p w14:paraId="488EDDA7" w14:textId="77777777" w:rsidR="008B5CED" w:rsidRPr="00735297" w:rsidRDefault="008B5CED" w:rsidP="004F6427">
            <w:pPr>
              <w:jc w:val="right"/>
              <w:rPr>
                <w:sz w:val="16"/>
                <w:szCs w:val="16"/>
              </w:rPr>
            </w:pPr>
            <w:r w:rsidRPr="00735297">
              <w:rPr>
                <w:sz w:val="16"/>
                <w:szCs w:val="16"/>
              </w:rPr>
              <w:t>2.091</w:t>
            </w:r>
          </w:p>
        </w:tc>
        <w:tc>
          <w:tcPr>
            <w:tcW w:w="380" w:type="pct"/>
            <w:vAlign w:val="center"/>
          </w:tcPr>
          <w:p w14:paraId="2BDA2DEE" w14:textId="77777777" w:rsidR="008B5CED" w:rsidRPr="00735297" w:rsidRDefault="008B5CED" w:rsidP="004F6427">
            <w:pPr>
              <w:jc w:val="right"/>
              <w:rPr>
                <w:sz w:val="16"/>
                <w:szCs w:val="16"/>
              </w:rPr>
            </w:pPr>
            <w:r w:rsidRPr="00735297">
              <w:rPr>
                <w:sz w:val="16"/>
                <w:szCs w:val="16"/>
              </w:rPr>
              <w:t>1.141</w:t>
            </w:r>
          </w:p>
        </w:tc>
        <w:tc>
          <w:tcPr>
            <w:tcW w:w="380" w:type="pct"/>
            <w:vAlign w:val="center"/>
          </w:tcPr>
          <w:p w14:paraId="6C20CA44" w14:textId="77777777" w:rsidR="008B5CED" w:rsidRPr="00735297" w:rsidRDefault="008B5CED" w:rsidP="004F6427">
            <w:pPr>
              <w:jc w:val="right"/>
              <w:rPr>
                <w:sz w:val="16"/>
                <w:szCs w:val="16"/>
              </w:rPr>
            </w:pPr>
            <w:r w:rsidRPr="00735297">
              <w:rPr>
                <w:sz w:val="16"/>
                <w:szCs w:val="16"/>
              </w:rPr>
              <w:t>1.734</w:t>
            </w:r>
          </w:p>
        </w:tc>
        <w:tc>
          <w:tcPr>
            <w:tcW w:w="380" w:type="pct"/>
            <w:vAlign w:val="center"/>
          </w:tcPr>
          <w:p w14:paraId="40FC857E" w14:textId="77777777" w:rsidR="008B5CED" w:rsidRPr="00735297" w:rsidRDefault="008B5CED" w:rsidP="004F6427">
            <w:pPr>
              <w:jc w:val="right"/>
              <w:rPr>
                <w:sz w:val="16"/>
                <w:szCs w:val="16"/>
              </w:rPr>
            </w:pPr>
            <w:r w:rsidRPr="00735297">
              <w:rPr>
                <w:sz w:val="16"/>
                <w:szCs w:val="16"/>
              </w:rPr>
              <w:t>1.062</w:t>
            </w:r>
          </w:p>
        </w:tc>
        <w:tc>
          <w:tcPr>
            <w:tcW w:w="380" w:type="pct"/>
            <w:vAlign w:val="center"/>
          </w:tcPr>
          <w:p w14:paraId="329A171B" w14:textId="77777777" w:rsidR="008B5CED" w:rsidRPr="00735297" w:rsidRDefault="008B5CED" w:rsidP="004F6427">
            <w:pPr>
              <w:jc w:val="right"/>
              <w:rPr>
                <w:sz w:val="16"/>
                <w:szCs w:val="16"/>
              </w:rPr>
            </w:pPr>
            <w:r w:rsidRPr="00735297">
              <w:rPr>
                <w:sz w:val="16"/>
                <w:szCs w:val="16"/>
              </w:rPr>
              <w:t>1.803</w:t>
            </w:r>
          </w:p>
        </w:tc>
        <w:tc>
          <w:tcPr>
            <w:tcW w:w="380" w:type="pct"/>
            <w:vAlign w:val="center"/>
          </w:tcPr>
          <w:p w14:paraId="5C75229A" w14:textId="77777777" w:rsidR="008B5CED" w:rsidRPr="00735297" w:rsidRDefault="008B5CED" w:rsidP="004F6427">
            <w:pPr>
              <w:jc w:val="right"/>
              <w:rPr>
                <w:sz w:val="16"/>
                <w:szCs w:val="16"/>
              </w:rPr>
            </w:pPr>
            <w:r w:rsidRPr="00735297">
              <w:rPr>
                <w:sz w:val="16"/>
                <w:szCs w:val="16"/>
              </w:rPr>
              <w:t>1.119</w:t>
            </w:r>
          </w:p>
        </w:tc>
        <w:tc>
          <w:tcPr>
            <w:tcW w:w="380" w:type="pct"/>
            <w:vAlign w:val="center"/>
          </w:tcPr>
          <w:p w14:paraId="14BD45D7" w14:textId="77777777" w:rsidR="008B5CED" w:rsidRPr="00735297" w:rsidRDefault="008B5CED" w:rsidP="004F6427">
            <w:pPr>
              <w:jc w:val="right"/>
              <w:rPr>
                <w:sz w:val="16"/>
                <w:szCs w:val="16"/>
              </w:rPr>
            </w:pPr>
            <w:r w:rsidRPr="00735297">
              <w:rPr>
                <w:sz w:val="16"/>
                <w:szCs w:val="16"/>
              </w:rPr>
              <w:t>1.714</w:t>
            </w:r>
          </w:p>
        </w:tc>
        <w:tc>
          <w:tcPr>
            <w:tcW w:w="380" w:type="pct"/>
            <w:vAlign w:val="center"/>
          </w:tcPr>
          <w:p w14:paraId="3C2CFF0E" w14:textId="77777777" w:rsidR="008B5CED" w:rsidRPr="00735297" w:rsidRDefault="008B5CED" w:rsidP="004F6427">
            <w:pPr>
              <w:jc w:val="right"/>
              <w:rPr>
                <w:sz w:val="16"/>
                <w:szCs w:val="16"/>
              </w:rPr>
            </w:pPr>
            <w:r w:rsidRPr="00735297">
              <w:rPr>
                <w:sz w:val="16"/>
                <w:szCs w:val="16"/>
              </w:rPr>
              <w:t>988</w:t>
            </w:r>
          </w:p>
        </w:tc>
        <w:tc>
          <w:tcPr>
            <w:tcW w:w="380" w:type="pct"/>
            <w:vAlign w:val="center"/>
          </w:tcPr>
          <w:p w14:paraId="25418D89" w14:textId="77777777" w:rsidR="008B5CED" w:rsidRPr="00735297" w:rsidRDefault="008B5CED" w:rsidP="004F6427">
            <w:pPr>
              <w:jc w:val="right"/>
              <w:rPr>
                <w:sz w:val="16"/>
                <w:szCs w:val="16"/>
              </w:rPr>
            </w:pPr>
            <w:r w:rsidRPr="00735297">
              <w:rPr>
                <w:sz w:val="16"/>
                <w:szCs w:val="16"/>
              </w:rPr>
              <w:t>1.414</w:t>
            </w:r>
          </w:p>
        </w:tc>
        <w:tc>
          <w:tcPr>
            <w:tcW w:w="610" w:type="pct"/>
            <w:vAlign w:val="center"/>
          </w:tcPr>
          <w:p w14:paraId="5EDF8541" w14:textId="77777777" w:rsidR="008B5CED" w:rsidRPr="00735297" w:rsidRDefault="008B5CED" w:rsidP="004F6427">
            <w:pPr>
              <w:jc w:val="right"/>
              <w:rPr>
                <w:sz w:val="16"/>
                <w:szCs w:val="16"/>
              </w:rPr>
            </w:pPr>
            <w:r w:rsidRPr="00735297">
              <w:rPr>
                <w:sz w:val="16"/>
                <w:szCs w:val="16"/>
              </w:rPr>
              <w:t>831</w:t>
            </w:r>
          </w:p>
        </w:tc>
      </w:tr>
      <w:tr w:rsidR="008B5CED" w14:paraId="3B257A77" w14:textId="77777777" w:rsidTr="00595EE8">
        <w:trPr>
          <w:trHeight w:val="20"/>
        </w:trPr>
        <w:tc>
          <w:tcPr>
            <w:tcW w:w="967" w:type="pct"/>
            <w:vAlign w:val="center"/>
          </w:tcPr>
          <w:p w14:paraId="310434CE" w14:textId="77777777" w:rsidR="008B5CED" w:rsidRDefault="008B5CED" w:rsidP="004F6427">
            <w:pPr>
              <w:spacing w:line="240" w:lineRule="auto"/>
              <w:jc w:val="right"/>
              <w:rPr>
                <w:b/>
                <w:sz w:val="16"/>
                <w:szCs w:val="16"/>
              </w:rPr>
            </w:pPr>
            <w:r w:rsidRPr="00735297">
              <w:rPr>
                <w:b/>
                <w:sz w:val="16"/>
                <w:szCs w:val="16"/>
              </w:rPr>
              <w:t xml:space="preserve">Violencia contra </w:t>
            </w:r>
          </w:p>
          <w:p w14:paraId="58AABA4C" w14:textId="77777777" w:rsidR="008B5CED" w:rsidRDefault="008B5CED" w:rsidP="004F6427">
            <w:pPr>
              <w:spacing w:line="240" w:lineRule="auto"/>
              <w:jc w:val="right"/>
              <w:rPr>
                <w:b/>
                <w:sz w:val="16"/>
                <w:szCs w:val="16"/>
              </w:rPr>
            </w:pPr>
            <w:r w:rsidRPr="00735297">
              <w:rPr>
                <w:b/>
                <w:sz w:val="16"/>
                <w:szCs w:val="16"/>
              </w:rPr>
              <w:t xml:space="preserve">personas adultas </w:t>
            </w:r>
          </w:p>
          <w:p w14:paraId="0A8A3A86" w14:textId="096A938A" w:rsidR="008B5CED" w:rsidRPr="00735297" w:rsidRDefault="008B5CED" w:rsidP="004F6427">
            <w:pPr>
              <w:spacing w:line="240" w:lineRule="auto"/>
              <w:jc w:val="right"/>
              <w:rPr>
                <w:b/>
                <w:sz w:val="16"/>
                <w:szCs w:val="16"/>
              </w:rPr>
            </w:pPr>
            <w:r w:rsidRPr="00735297">
              <w:rPr>
                <w:b/>
                <w:sz w:val="16"/>
                <w:szCs w:val="16"/>
              </w:rPr>
              <w:t>mayores (VIF)</w:t>
            </w:r>
          </w:p>
        </w:tc>
        <w:tc>
          <w:tcPr>
            <w:tcW w:w="380" w:type="pct"/>
            <w:vAlign w:val="center"/>
          </w:tcPr>
          <w:p w14:paraId="73F3D6DB" w14:textId="77777777" w:rsidR="008B5CED" w:rsidRPr="00735297" w:rsidRDefault="008B5CED" w:rsidP="004F6427">
            <w:pPr>
              <w:jc w:val="right"/>
              <w:rPr>
                <w:sz w:val="16"/>
                <w:szCs w:val="16"/>
              </w:rPr>
            </w:pPr>
            <w:r w:rsidRPr="00735297">
              <w:rPr>
                <w:sz w:val="16"/>
                <w:szCs w:val="16"/>
              </w:rPr>
              <w:t>285</w:t>
            </w:r>
          </w:p>
        </w:tc>
        <w:tc>
          <w:tcPr>
            <w:tcW w:w="380" w:type="pct"/>
            <w:vAlign w:val="center"/>
          </w:tcPr>
          <w:p w14:paraId="6C8687E4" w14:textId="77777777" w:rsidR="008B5CED" w:rsidRPr="00735297" w:rsidRDefault="008B5CED" w:rsidP="004F6427">
            <w:pPr>
              <w:jc w:val="right"/>
              <w:rPr>
                <w:sz w:val="16"/>
                <w:szCs w:val="16"/>
              </w:rPr>
            </w:pPr>
            <w:r w:rsidRPr="00735297">
              <w:rPr>
                <w:sz w:val="16"/>
                <w:szCs w:val="16"/>
              </w:rPr>
              <w:t>230</w:t>
            </w:r>
          </w:p>
        </w:tc>
        <w:tc>
          <w:tcPr>
            <w:tcW w:w="380" w:type="pct"/>
            <w:vAlign w:val="center"/>
          </w:tcPr>
          <w:p w14:paraId="00182B3F" w14:textId="77777777" w:rsidR="008B5CED" w:rsidRPr="00735297" w:rsidRDefault="008B5CED" w:rsidP="004F6427">
            <w:pPr>
              <w:jc w:val="right"/>
              <w:rPr>
                <w:sz w:val="16"/>
                <w:szCs w:val="16"/>
              </w:rPr>
            </w:pPr>
            <w:r w:rsidRPr="00735297">
              <w:rPr>
                <w:sz w:val="16"/>
                <w:szCs w:val="16"/>
              </w:rPr>
              <w:t>216</w:t>
            </w:r>
          </w:p>
        </w:tc>
        <w:tc>
          <w:tcPr>
            <w:tcW w:w="380" w:type="pct"/>
            <w:vAlign w:val="center"/>
          </w:tcPr>
          <w:p w14:paraId="3A3FB547" w14:textId="77777777" w:rsidR="008B5CED" w:rsidRPr="00735297" w:rsidRDefault="008B5CED" w:rsidP="004F6427">
            <w:pPr>
              <w:jc w:val="right"/>
              <w:rPr>
                <w:sz w:val="16"/>
                <w:szCs w:val="16"/>
              </w:rPr>
            </w:pPr>
            <w:r w:rsidRPr="00735297">
              <w:rPr>
                <w:sz w:val="16"/>
                <w:szCs w:val="16"/>
              </w:rPr>
              <w:t>216</w:t>
            </w:r>
          </w:p>
        </w:tc>
        <w:tc>
          <w:tcPr>
            <w:tcW w:w="380" w:type="pct"/>
            <w:vAlign w:val="center"/>
          </w:tcPr>
          <w:p w14:paraId="391A30C6" w14:textId="77777777" w:rsidR="008B5CED" w:rsidRPr="00735297" w:rsidRDefault="008B5CED" w:rsidP="004F6427">
            <w:pPr>
              <w:jc w:val="right"/>
              <w:rPr>
                <w:sz w:val="16"/>
                <w:szCs w:val="16"/>
              </w:rPr>
            </w:pPr>
            <w:r w:rsidRPr="00735297">
              <w:rPr>
                <w:sz w:val="16"/>
                <w:szCs w:val="16"/>
              </w:rPr>
              <w:t>261</w:t>
            </w:r>
          </w:p>
        </w:tc>
        <w:tc>
          <w:tcPr>
            <w:tcW w:w="380" w:type="pct"/>
            <w:vAlign w:val="center"/>
          </w:tcPr>
          <w:p w14:paraId="3CCDE416" w14:textId="77777777" w:rsidR="008B5CED" w:rsidRPr="00735297" w:rsidRDefault="008B5CED" w:rsidP="004F6427">
            <w:pPr>
              <w:jc w:val="right"/>
              <w:rPr>
                <w:sz w:val="16"/>
                <w:szCs w:val="16"/>
              </w:rPr>
            </w:pPr>
            <w:r w:rsidRPr="00735297">
              <w:rPr>
                <w:sz w:val="16"/>
                <w:szCs w:val="16"/>
              </w:rPr>
              <w:t>242</w:t>
            </w:r>
          </w:p>
        </w:tc>
        <w:tc>
          <w:tcPr>
            <w:tcW w:w="380" w:type="pct"/>
            <w:vAlign w:val="center"/>
          </w:tcPr>
          <w:p w14:paraId="41B3F6C2" w14:textId="77777777" w:rsidR="008B5CED" w:rsidRPr="00735297" w:rsidRDefault="008B5CED" w:rsidP="004F6427">
            <w:pPr>
              <w:jc w:val="right"/>
              <w:rPr>
                <w:sz w:val="16"/>
                <w:szCs w:val="16"/>
              </w:rPr>
            </w:pPr>
            <w:r w:rsidRPr="00735297">
              <w:rPr>
                <w:sz w:val="16"/>
                <w:szCs w:val="16"/>
              </w:rPr>
              <w:t>268</w:t>
            </w:r>
          </w:p>
        </w:tc>
        <w:tc>
          <w:tcPr>
            <w:tcW w:w="380" w:type="pct"/>
            <w:vAlign w:val="center"/>
          </w:tcPr>
          <w:p w14:paraId="300E575B" w14:textId="77777777" w:rsidR="008B5CED" w:rsidRPr="00735297" w:rsidRDefault="008B5CED" w:rsidP="004F6427">
            <w:pPr>
              <w:jc w:val="right"/>
              <w:rPr>
                <w:sz w:val="16"/>
                <w:szCs w:val="16"/>
              </w:rPr>
            </w:pPr>
            <w:r w:rsidRPr="00735297">
              <w:rPr>
                <w:sz w:val="16"/>
                <w:szCs w:val="16"/>
              </w:rPr>
              <w:t>262</w:t>
            </w:r>
          </w:p>
        </w:tc>
        <w:tc>
          <w:tcPr>
            <w:tcW w:w="380" w:type="pct"/>
            <w:vAlign w:val="center"/>
          </w:tcPr>
          <w:p w14:paraId="313A0099" w14:textId="77777777" w:rsidR="008B5CED" w:rsidRPr="00735297" w:rsidRDefault="008B5CED" w:rsidP="004F6427">
            <w:pPr>
              <w:jc w:val="right"/>
              <w:rPr>
                <w:sz w:val="16"/>
                <w:szCs w:val="16"/>
              </w:rPr>
            </w:pPr>
            <w:r w:rsidRPr="00735297">
              <w:rPr>
                <w:sz w:val="16"/>
                <w:szCs w:val="16"/>
              </w:rPr>
              <w:t>209</w:t>
            </w:r>
          </w:p>
        </w:tc>
        <w:tc>
          <w:tcPr>
            <w:tcW w:w="610" w:type="pct"/>
            <w:vAlign w:val="center"/>
          </w:tcPr>
          <w:p w14:paraId="1935AC73" w14:textId="77777777" w:rsidR="008B5CED" w:rsidRPr="00735297" w:rsidRDefault="008B5CED" w:rsidP="004F6427">
            <w:pPr>
              <w:jc w:val="right"/>
              <w:rPr>
                <w:sz w:val="16"/>
                <w:szCs w:val="16"/>
              </w:rPr>
            </w:pPr>
            <w:r w:rsidRPr="00735297">
              <w:rPr>
                <w:sz w:val="16"/>
                <w:szCs w:val="16"/>
              </w:rPr>
              <w:t>264</w:t>
            </w:r>
          </w:p>
        </w:tc>
      </w:tr>
      <w:tr w:rsidR="008B5CED" w14:paraId="1C42431E" w14:textId="77777777" w:rsidTr="00595EE8">
        <w:trPr>
          <w:trHeight w:val="20"/>
        </w:trPr>
        <w:tc>
          <w:tcPr>
            <w:tcW w:w="967" w:type="pct"/>
            <w:vAlign w:val="center"/>
          </w:tcPr>
          <w:p w14:paraId="27D7F409" w14:textId="77777777" w:rsidR="008B5CED" w:rsidRPr="00735297" w:rsidRDefault="008B5CED" w:rsidP="004F6427">
            <w:pPr>
              <w:spacing w:line="240" w:lineRule="auto"/>
              <w:jc w:val="right"/>
              <w:rPr>
                <w:b/>
                <w:sz w:val="16"/>
                <w:szCs w:val="16"/>
              </w:rPr>
            </w:pPr>
            <w:r w:rsidRPr="00735297">
              <w:rPr>
                <w:b/>
                <w:sz w:val="16"/>
                <w:szCs w:val="16"/>
              </w:rPr>
              <w:t>Violencia interpersonal</w:t>
            </w:r>
          </w:p>
        </w:tc>
        <w:tc>
          <w:tcPr>
            <w:tcW w:w="380" w:type="pct"/>
            <w:vAlign w:val="center"/>
          </w:tcPr>
          <w:p w14:paraId="22B9B7B7" w14:textId="77777777" w:rsidR="008B5CED" w:rsidRPr="00735297" w:rsidRDefault="008B5CED" w:rsidP="004F6427">
            <w:pPr>
              <w:jc w:val="right"/>
              <w:rPr>
                <w:sz w:val="16"/>
                <w:szCs w:val="16"/>
              </w:rPr>
            </w:pPr>
            <w:r w:rsidRPr="00735297">
              <w:rPr>
                <w:sz w:val="16"/>
                <w:szCs w:val="16"/>
              </w:rPr>
              <w:t>8.356</w:t>
            </w:r>
          </w:p>
        </w:tc>
        <w:tc>
          <w:tcPr>
            <w:tcW w:w="380" w:type="pct"/>
            <w:vAlign w:val="center"/>
          </w:tcPr>
          <w:p w14:paraId="49C9B508" w14:textId="77777777" w:rsidR="008B5CED" w:rsidRPr="00735297" w:rsidRDefault="008B5CED" w:rsidP="004F6427">
            <w:pPr>
              <w:jc w:val="right"/>
              <w:rPr>
                <w:sz w:val="16"/>
                <w:szCs w:val="16"/>
              </w:rPr>
            </w:pPr>
            <w:r w:rsidRPr="00735297">
              <w:rPr>
                <w:sz w:val="16"/>
                <w:szCs w:val="16"/>
              </w:rPr>
              <w:t>18.138</w:t>
            </w:r>
          </w:p>
        </w:tc>
        <w:tc>
          <w:tcPr>
            <w:tcW w:w="380" w:type="pct"/>
            <w:vAlign w:val="center"/>
          </w:tcPr>
          <w:p w14:paraId="5A32CDAB" w14:textId="77777777" w:rsidR="008B5CED" w:rsidRPr="00735297" w:rsidRDefault="008B5CED" w:rsidP="004F6427">
            <w:pPr>
              <w:jc w:val="right"/>
              <w:rPr>
                <w:sz w:val="16"/>
                <w:szCs w:val="16"/>
              </w:rPr>
            </w:pPr>
            <w:r w:rsidRPr="00735297">
              <w:rPr>
                <w:sz w:val="16"/>
                <w:szCs w:val="16"/>
              </w:rPr>
              <w:t>4.936</w:t>
            </w:r>
          </w:p>
        </w:tc>
        <w:tc>
          <w:tcPr>
            <w:tcW w:w="380" w:type="pct"/>
            <w:vAlign w:val="center"/>
          </w:tcPr>
          <w:p w14:paraId="6A090A30" w14:textId="77777777" w:rsidR="008B5CED" w:rsidRPr="00735297" w:rsidRDefault="008B5CED" w:rsidP="004F6427">
            <w:pPr>
              <w:jc w:val="right"/>
              <w:rPr>
                <w:sz w:val="16"/>
                <w:szCs w:val="16"/>
              </w:rPr>
            </w:pPr>
            <w:r w:rsidRPr="00735297">
              <w:rPr>
                <w:sz w:val="16"/>
                <w:szCs w:val="16"/>
              </w:rPr>
              <w:t>11.904</w:t>
            </w:r>
          </w:p>
        </w:tc>
        <w:tc>
          <w:tcPr>
            <w:tcW w:w="380" w:type="pct"/>
            <w:vAlign w:val="center"/>
          </w:tcPr>
          <w:p w14:paraId="77D8B0F2" w14:textId="77777777" w:rsidR="008B5CED" w:rsidRPr="00735297" w:rsidRDefault="008B5CED" w:rsidP="004F6427">
            <w:pPr>
              <w:jc w:val="right"/>
              <w:rPr>
                <w:sz w:val="16"/>
                <w:szCs w:val="16"/>
              </w:rPr>
            </w:pPr>
            <w:r w:rsidRPr="00735297">
              <w:rPr>
                <w:sz w:val="16"/>
                <w:szCs w:val="16"/>
              </w:rPr>
              <w:t>5.479</w:t>
            </w:r>
          </w:p>
        </w:tc>
        <w:tc>
          <w:tcPr>
            <w:tcW w:w="380" w:type="pct"/>
            <w:vAlign w:val="center"/>
          </w:tcPr>
          <w:p w14:paraId="4F092821" w14:textId="77777777" w:rsidR="008B5CED" w:rsidRPr="00735297" w:rsidRDefault="008B5CED" w:rsidP="004F6427">
            <w:pPr>
              <w:jc w:val="right"/>
              <w:rPr>
                <w:sz w:val="16"/>
                <w:szCs w:val="16"/>
              </w:rPr>
            </w:pPr>
            <w:r w:rsidRPr="00735297">
              <w:rPr>
                <w:sz w:val="16"/>
                <w:szCs w:val="16"/>
              </w:rPr>
              <w:t>13.520</w:t>
            </w:r>
          </w:p>
        </w:tc>
        <w:tc>
          <w:tcPr>
            <w:tcW w:w="380" w:type="pct"/>
            <w:vAlign w:val="center"/>
          </w:tcPr>
          <w:p w14:paraId="2D554957" w14:textId="77777777" w:rsidR="008B5CED" w:rsidRPr="00735297" w:rsidRDefault="008B5CED" w:rsidP="004F6427">
            <w:pPr>
              <w:jc w:val="right"/>
              <w:rPr>
                <w:sz w:val="16"/>
                <w:szCs w:val="16"/>
              </w:rPr>
            </w:pPr>
            <w:r w:rsidRPr="00735297">
              <w:rPr>
                <w:sz w:val="16"/>
                <w:szCs w:val="16"/>
              </w:rPr>
              <w:t>6.410</w:t>
            </w:r>
          </w:p>
        </w:tc>
        <w:tc>
          <w:tcPr>
            <w:tcW w:w="380" w:type="pct"/>
            <w:vAlign w:val="center"/>
          </w:tcPr>
          <w:p w14:paraId="3BEB4FCB" w14:textId="77777777" w:rsidR="008B5CED" w:rsidRPr="00735297" w:rsidRDefault="008B5CED" w:rsidP="004F6427">
            <w:pPr>
              <w:jc w:val="right"/>
              <w:rPr>
                <w:sz w:val="16"/>
                <w:szCs w:val="16"/>
              </w:rPr>
            </w:pPr>
            <w:r w:rsidRPr="00735297">
              <w:rPr>
                <w:sz w:val="16"/>
                <w:szCs w:val="16"/>
              </w:rPr>
              <w:t>15.572</w:t>
            </w:r>
          </w:p>
        </w:tc>
        <w:tc>
          <w:tcPr>
            <w:tcW w:w="380" w:type="pct"/>
            <w:vAlign w:val="center"/>
          </w:tcPr>
          <w:p w14:paraId="4D60F9A2" w14:textId="77777777" w:rsidR="008B5CED" w:rsidRPr="00735297" w:rsidRDefault="008B5CED" w:rsidP="004F6427">
            <w:pPr>
              <w:jc w:val="right"/>
              <w:rPr>
                <w:sz w:val="16"/>
                <w:szCs w:val="16"/>
              </w:rPr>
            </w:pPr>
            <w:r w:rsidRPr="00735297">
              <w:rPr>
                <w:sz w:val="16"/>
                <w:szCs w:val="16"/>
              </w:rPr>
              <w:t>6.032</w:t>
            </w:r>
          </w:p>
        </w:tc>
        <w:tc>
          <w:tcPr>
            <w:tcW w:w="610" w:type="pct"/>
            <w:vAlign w:val="center"/>
          </w:tcPr>
          <w:p w14:paraId="1C55A25B" w14:textId="77777777" w:rsidR="008B5CED" w:rsidRPr="00735297" w:rsidRDefault="008B5CED" w:rsidP="004F6427">
            <w:pPr>
              <w:jc w:val="right"/>
              <w:rPr>
                <w:sz w:val="16"/>
                <w:szCs w:val="16"/>
              </w:rPr>
            </w:pPr>
            <w:r w:rsidRPr="00735297">
              <w:rPr>
                <w:sz w:val="16"/>
                <w:szCs w:val="16"/>
              </w:rPr>
              <w:t>14.455</w:t>
            </w:r>
          </w:p>
        </w:tc>
      </w:tr>
      <w:tr w:rsidR="008B5CED" w14:paraId="0CAEB103" w14:textId="77777777" w:rsidTr="00595EE8">
        <w:trPr>
          <w:trHeight w:val="20"/>
        </w:trPr>
        <w:tc>
          <w:tcPr>
            <w:tcW w:w="967" w:type="pct"/>
            <w:vAlign w:val="center"/>
          </w:tcPr>
          <w:p w14:paraId="7BE23A3D" w14:textId="77777777" w:rsidR="008B5CED" w:rsidRDefault="008B5CED" w:rsidP="004F6427">
            <w:pPr>
              <w:spacing w:line="240" w:lineRule="auto"/>
              <w:jc w:val="right"/>
              <w:rPr>
                <w:b/>
                <w:sz w:val="16"/>
                <w:szCs w:val="16"/>
              </w:rPr>
            </w:pPr>
            <w:r w:rsidRPr="00735297">
              <w:rPr>
                <w:b/>
                <w:sz w:val="16"/>
                <w:szCs w:val="16"/>
              </w:rPr>
              <w:t xml:space="preserve">Total violencias </w:t>
            </w:r>
          </w:p>
          <w:p w14:paraId="3515A95F" w14:textId="28B9D30C" w:rsidR="008B5CED" w:rsidRPr="00735297" w:rsidRDefault="008B5CED" w:rsidP="004F6427">
            <w:pPr>
              <w:spacing w:line="240" w:lineRule="auto"/>
              <w:jc w:val="right"/>
              <w:rPr>
                <w:b/>
                <w:sz w:val="16"/>
                <w:szCs w:val="16"/>
              </w:rPr>
            </w:pPr>
            <w:r w:rsidRPr="00735297">
              <w:rPr>
                <w:b/>
                <w:sz w:val="16"/>
                <w:szCs w:val="16"/>
              </w:rPr>
              <w:t>físicas no fatales</w:t>
            </w:r>
          </w:p>
        </w:tc>
        <w:tc>
          <w:tcPr>
            <w:tcW w:w="380" w:type="pct"/>
            <w:vAlign w:val="center"/>
          </w:tcPr>
          <w:p w14:paraId="1B0F6254" w14:textId="77777777" w:rsidR="008B5CED" w:rsidRPr="00735297" w:rsidRDefault="008B5CED" w:rsidP="004F6427">
            <w:pPr>
              <w:jc w:val="right"/>
              <w:rPr>
                <w:sz w:val="16"/>
                <w:szCs w:val="16"/>
              </w:rPr>
            </w:pPr>
            <w:r w:rsidRPr="00735297">
              <w:rPr>
                <w:sz w:val="16"/>
                <w:szCs w:val="16"/>
              </w:rPr>
              <w:t>26.243</w:t>
            </w:r>
          </w:p>
        </w:tc>
        <w:tc>
          <w:tcPr>
            <w:tcW w:w="380" w:type="pct"/>
            <w:vAlign w:val="center"/>
          </w:tcPr>
          <w:p w14:paraId="383BE890" w14:textId="77777777" w:rsidR="008B5CED" w:rsidRPr="00735297" w:rsidRDefault="008B5CED" w:rsidP="004F6427">
            <w:pPr>
              <w:jc w:val="right"/>
              <w:rPr>
                <w:sz w:val="16"/>
                <w:szCs w:val="16"/>
              </w:rPr>
            </w:pPr>
            <w:r w:rsidRPr="00735297">
              <w:rPr>
                <w:sz w:val="16"/>
                <w:szCs w:val="16"/>
              </w:rPr>
              <w:t>24.106</w:t>
            </w:r>
          </w:p>
        </w:tc>
        <w:tc>
          <w:tcPr>
            <w:tcW w:w="380" w:type="pct"/>
            <w:vAlign w:val="center"/>
          </w:tcPr>
          <w:p w14:paraId="6D55B10E" w14:textId="77777777" w:rsidR="008B5CED" w:rsidRPr="00735297" w:rsidRDefault="008B5CED" w:rsidP="004F6427">
            <w:pPr>
              <w:jc w:val="right"/>
              <w:rPr>
                <w:sz w:val="16"/>
                <w:szCs w:val="16"/>
              </w:rPr>
            </w:pPr>
            <w:r w:rsidRPr="00735297">
              <w:rPr>
                <w:sz w:val="16"/>
                <w:szCs w:val="16"/>
              </w:rPr>
              <w:t>17.462</w:t>
            </w:r>
          </w:p>
        </w:tc>
        <w:tc>
          <w:tcPr>
            <w:tcW w:w="380" w:type="pct"/>
            <w:vAlign w:val="center"/>
          </w:tcPr>
          <w:p w14:paraId="0B7650A3" w14:textId="77777777" w:rsidR="008B5CED" w:rsidRPr="00735297" w:rsidRDefault="008B5CED" w:rsidP="004F6427">
            <w:pPr>
              <w:jc w:val="right"/>
              <w:rPr>
                <w:sz w:val="16"/>
                <w:szCs w:val="16"/>
              </w:rPr>
            </w:pPr>
            <w:r w:rsidRPr="00735297">
              <w:rPr>
                <w:sz w:val="16"/>
                <w:szCs w:val="16"/>
              </w:rPr>
              <w:t>16.013</w:t>
            </w:r>
          </w:p>
        </w:tc>
        <w:tc>
          <w:tcPr>
            <w:tcW w:w="380" w:type="pct"/>
            <w:vAlign w:val="center"/>
          </w:tcPr>
          <w:p w14:paraId="55003C14" w14:textId="77777777" w:rsidR="008B5CED" w:rsidRPr="00735297" w:rsidRDefault="008B5CED" w:rsidP="004F6427">
            <w:pPr>
              <w:jc w:val="right"/>
              <w:rPr>
                <w:sz w:val="16"/>
                <w:szCs w:val="16"/>
              </w:rPr>
            </w:pPr>
            <w:r w:rsidRPr="00735297">
              <w:rPr>
                <w:sz w:val="16"/>
                <w:szCs w:val="16"/>
              </w:rPr>
              <w:t>19.142</w:t>
            </w:r>
          </w:p>
        </w:tc>
        <w:tc>
          <w:tcPr>
            <w:tcW w:w="380" w:type="pct"/>
            <w:vAlign w:val="center"/>
          </w:tcPr>
          <w:p w14:paraId="050DB452" w14:textId="77777777" w:rsidR="008B5CED" w:rsidRPr="00735297" w:rsidRDefault="008B5CED" w:rsidP="004F6427">
            <w:pPr>
              <w:jc w:val="right"/>
              <w:rPr>
                <w:sz w:val="16"/>
                <w:szCs w:val="16"/>
              </w:rPr>
            </w:pPr>
            <w:r w:rsidRPr="00735297">
              <w:rPr>
                <w:sz w:val="16"/>
                <w:szCs w:val="16"/>
              </w:rPr>
              <w:t>17.734</w:t>
            </w:r>
          </w:p>
        </w:tc>
        <w:tc>
          <w:tcPr>
            <w:tcW w:w="380" w:type="pct"/>
            <w:vAlign w:val="center"/>
          </w:tcPr>
          <w:p w14:paraId="79CB5439" w14:textId="77777777" w:rsidR="008B5CED" w:rsidRPr="00735297" w:rsidRDefault="008B5CED" w:rsidP="004F6427">
            <w:pPr>
              <w:jc w:val="right"/>
              <w:rPr>
                <w:sz w:val="16"/>
                <w:szCs w:val="16"/>
              </w:rPr>
            </w:pPr>
            <w:r w:rsidRPr="00735297">
              <w:rPr>
                <w:sz w:val="16"/>
                <w:szCs w:val="16"/>
              </w:rPr>
              <w:t>21.563</w:t>
            </w:r>
          </w:p>
        </w:tc>
        <w:tc>
          <w:tcPr>
            <w:tcW w:w="380" w:type="pct"/>
            <w:vAlign w:val="center"/>
          </w:tcPr>
          <w:p w14:paraId="086B15E2" w14:textId="77777777" w:rsidR="008B5CED" w:rsidRPr="00735297" w:rsidRDefault="008B5CED" w:rsidP="004F6427">
            <w:pPr>
              <w:jc w:val="right"/>
              <w:rPr>
                <w:sz w:val="16"/>
                <w:szCs w:val="16"/>
              </w:rPr>
            </w:pPr>
            <w:r w:rsidRPr="00735297">
              <w:rPr>
                <w:sz w:val="16"/>
                <w:szCs w:val="16"/>
              </w:rPr>
              <w:t>20.021</w:t>
            </w:r>
          </w:p>
        </w:tc>
        <w:tc>
          <w:tcPr>
            <w:tcW w:w="380" w:type="pct"/>
            <w:vAlign w:val="center"/>
          </w:tcPr>
          <w:p w14:paraId="0F33264B" w14:textId="77777777" w:rsidR="008B5CED" w:rsidRPr="00735297" w:rsidRDefault="008B5CED" w:rsidP="004F6427">
            <w:pPr>
              <w:jc w:val="right"/>
              <w:rPr>
                <w:sz w:val="16"/>
                <w:szCs w:val="16"/>
              </w:rPr>
            </w:pPr>
            <w:r w:rsidRPr="00735297">
              <w:rPr>
                <w:sz w:val="16"/>
                <w:szCs w:val="16"/>
              </w:rPr>
              <w:t>18.770</w:t>
            </w:r>
          </w:p>
        </w:tc>
        <w:tc>
          <w:tcPr>
            <w:tcW w:w="610" w:type="pct"/>
            <w:vAlign w:val="center"/>
          </w:tcPr>
          <w:p w14:paraId="3850BEA6" w14:textId="77777777" w:rsidR="008B5CED" w:rsidRPr="00735297" w:rsidRDefault="008B5CED" w:rsidP="004F6427">
            <w:pPr>
              <w:jc w:val="right"/>
              <w:rPr>
                <w:sz w:val="16"/>
                <w:szCs w:val="16"/>
              </w:rPr>
            </w:pPr>
            <w:r w:rsidRPr="00735297">
              <w:rPr>
                <w:sz w:val="16"/>
                <w:szCs w:val="16"/>
              </w:rPr>
              <w:t>18.398</w:t>
            </w:r>
          </w:p>
        </w:tc>
      </w:tr>
    </w:tbl>
    <w:p w14:paraId="24C9773D" w14:textId="0B0D31D4" w:rsidR="003F2AA2" w:rsidRDefault="003F2AA2" w:rsidP="003F2AA2">
      <w:pPr>
        <w:pBdr>
          <w:top w:val="nil"/>
          <w:left w:val="nil"/>
          <w:bottom w:val="nil"/>
          <w:right w:val="nil"/>
          <w:between w:val="nil"/>
        </w:pBdr>
        <w:spacing w:line="220" w:lineRule="auto"/>
        <w:jc w:val="center"/>
        <w:rPr>
          <w:i/>
          <w:color w:val="3B3838"/>
          <w:sz w:val="18"/>
          <w:szCs w:val="18"/>
        </w:rPr>
      </w:pPr>
      <w:r>
        <w:rPr>
          <w:b/>
          <w:i/>
          <w:color w:val="3B3838"/>
          <w:sz w:val="18"/>
          <w:szCs w:val="18"/>
        </w:rPr>
        <w:t>*</w:t>
      </w:r>
      <w:r w:rsidR="000107EE" w:rsidRPr="000107EE">
        <w:rPr>
          <w:bCs/>
          <w:iCs/>
          <w:color w:val="3B3838"/>
          <w:sz w:val="18"/>
          <w:szCs w:val="18"/>
        </w:rPr>
        <w:t>Información a</w:t>
      </w:r>
      <w:r w:rsidRPr="000107EE">
        <w:rPr>
          <w:bCs/>
          <w:color w:val="3B3838"/>
          <w:sz w:val="18"/>
          <w:szCs w:val="18"/>
        </w:rPr>
        <w:t xml:space="preserve"> </w:t>
      </w:r>
      <w:r>
        <w:rPr>
          <w:color w:val="3B3838"/>
          <w:sz w:val="18"/>
          <w:szCs w:val="18"/>
        </w:rPr>
        <w:t>noviembre de 2023.</w:t>
      </w:r>
    </w:p>
    <w:p w14:paraId="5FF02D02"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INMLCF.</w:t>
      </w:r>
    </w:p>
    <w:p w14:paraId="211BD1EC" w14:textId="77777777" w:rsidR="00EB74C5" w:rsidRDefault="00EB74C5" w:rsidP="003F2AA2"/>
    <w:p w14:paraId="1BFB9B5E" w14:textId="054AC95E" w:rsidR="00EB74C5" w:rsidRDefault="00EB74C5" w:rsidP="003F2AA2">
      <w:pPr>
        <w:sectPr w:rsidR="00EB74C5" w:rsidSect="00F7078E">
          <w:type w:val="continuous"/>
          <w:pgSz w:w="12240" w:h="15840"/>
          <w:pgMar w:top="2262" w:right="1440" w:bottom="1440" w:left="1440" w:header="708" w:footer="708" w:gutter="0"/>
          <w:cols w:space="720" w:equalWidth="0">
            <w:col w:w="9099" w:space="0"/>
          </w:cols>
        </w:sectPr>
      </w:pPr>
    </w:p>
    <w:p w14:paraId="1E841F5F" w14:textId="37132972" w:rsidR="003F2AA2" w:rsidRDefault="003F2AA2" w:rsidP="003F2AA2">
      <w:pPr>
        <w:sectPr w:rsidR="003F2AA2" w:rsidSect="00F7078E">
          <w:type w:val="continuous"/>
          <w:pgSz w:w="12240" w:h="15840"/>
          <w:pgMar w:top="2262" w:right="1440" w:bottom="1440" w:left="1440" w:header="708" w:footer="708" w:gutter="0"/>
          <w:cols w:num="2" w:space="567" w:equalWidth="0">
            <w:col w:w="4320" w:space="567"/>
            <w:col w:w="4473" w:space="0"/>
          </w:cols>
        </w:sectPr>
      </w:pPr>
      <w:r>
        <w:t xml:space="preserve">En complemento de lo anterior, se identifican los delitos de más alto impacto, encontrando que se denunciaron cerca de 100 asesinatos de </w:t>
      </w:r>
      <w:r>
        <w:t xml:space="preserve">mujeres por cada año entre 2020 y 2023, entre 15 % y 20 % de ellos tipificados como feminicidios (SDJ-SIEDCO, 2024). En el 2023 se registró el </w:t>
      </w:r>
      <w:r>
        <w:lastRenderedPageBreak/>
        <w:t xml:space="preserve">número de feminicidios más alto de los últimos cuatro años. Estas cifras son muy superiores a ciudades como Buenos Aires y la Comunidad de </w:t>
      </w:r>
      <w:r>
        <w:t>Madrid, que registraron 6 y 7 feminicidios respectivamente para el 2022</w:t>
      </w:r>
      <w:r>
        <w:rPr>
          <w:vertAlign w:val="superscript"/>
        </w:rPr>
        <w:footnoteReference w:id="8"/>
      </w:r>
      <w:r>
        <w:t xml:space="preserve"> (</w:t>
      </w:r>
      <w:r w:rsidR="0081160B" w:rsidRPr="0081160B">
        <w:fldChar w:fldCharType="begin"/>
      </w:r>
      <w:r w:rsidR="0081160B" w:rsidRPr="0081160B">
        <w:instrText xml:space="preserve"> REF _Ref165123729 \h </w:instrText>
      </w:r>
      <w:r w:rsidR="0081160B" w:rsidRPr="0081160B">
        <w:fldChar w:fldCharType="separate"/>
      </w:r>
      <w:r w:rsidR="00D01651" w:rsidRPr="0081160B">
        <w:rPr>
          <w:color w:val="C00000"/>
          <w:sz w:val="18"/>
          <w:szCs w:val="18"/>
        </w:rPr>
        <w:t xml:space="preserve">Tabla </w:t>
      </w:r>
      <w:r w:rsidR="00D01651">
        <w:rPr>
          <w:noProof/>
          <w:color w:val="C00000"/>
          <w:sz w:val="18"/>
        </w:rPr>
        <w:t>15</w:t>
      </w:r>
      <w:r w:rsidR="0081160B" w:rsidRPr="0081160B">
        <w:fldChar w:fldCharType="end"/>
      </w:r>
      <w:r w:rsidRPr="0081160B">
        <w:t>).</w:t>
      </w:r>
    </w:p>
    <w:p w14:paraId="5F9D9456" w14:textId="77777777" w:rsidR="00735297" w:rsidRDefault="00735297" w:rsidP="0081160B">
      <w:pPr>
        <w:pBdr>
          <w:top w:val="nil"/>
          <w:left w:val="nil"/>
          <w:bottom w:val="nil"/>
          <w:right w:val="nil"/>
          <w:between w:val="nil"/>
        </w:pBdr>
        <w:spacing w:line="220" w:lineRule="auto"/>
        <w:rPr>
          <w:b/>
          <w:color w:val="C00000"/>
          <w:sz w:val="18"/>
          <w:szCs w:val="18"/>
        </w:rPr>
      </w:pPr>
    </w:p>
    <w:p w14:paraId="706FC6B5" w14:textId="6F1947FA" w:rsidR="003F2AA2" w:rsidRPr="0081160B" w:rsidRDefault="0081160B" w:rsidP="0081160B">
      <w:pPr>
        <w:pStyle w:val="Descripcin"/>
        <w:jc w:val="center"/>
        <w:rPr>
          <w:color w:val="3B3838"/>
          <w:sz w:val="18"/>
        </w:rPr>
      </w:pPr>
      <w:bookmarkStart w:id="185" w:name="_Ref165123729"/>
      <w:bookmarkStart w:id="186" w:name="_Toc165169925"/>
      <w:r w:rsidRPr="0081160B">
        <w:rPr>
          <w:color w:val="C00000"/>
          <w:sz w:val="18"/>
        </w:rPr>
        <w:t xml:space="preserve">Tabla </w:t>
      </w:r>
      <w:r w:rsidRPr="0081160B">
        <w:rPr>
          <w:color w:val="C00000"/>
          <w:sz w:val="18"/>
        </w:rPr>
        <w:fldChar w:fldCharType="begin"/>
      </w:r>
      <w:r w:rsidRPr="0081160B">
        <w:rPr>
          <w:color w:val="C00000"/>
          <w:sz w:val="18"/>
        </w:rPr>
        <w:instrText xml:space="preserve"> SEQ Tabla \* ARABIC </w:instrText>
      </w:r>
      <w:r w:rsidRPr="0081160B">
        <w:rPr>
          <w:color w:val="C00000"/>
          <w:sz w:val="18"/>
        </w:rPr>
        <w:fldChar w:fldCharType="separate"/>
      </w:r>
      <w:r w:rsidR="00D01651">
        <w:rPr>
          <w:noProof/>
          <w:color w:val="C00000"/>
          <w:sz w:val="18"/>
        </w:rPr>
        <w:t>15</w:t>
      </w:r>
      <w:r w:rsidRPr="0081160B">
        <w:rPr>
          <w:color w:val="C00000"/>
          <w:sz w:val="18"/>
        </w:rPr>
        <w:fldChar w:fldCharType="end"/>
      </w:r>
      <w:bookmarkEnd w:id="185"/>
      <w:r w:rsidRPr="0081160B">
        <w:rPr>
          <w:color w:val="C00000"/>
          <w:sz w:val="18"/>
        </w:rPr>
        <w:t xml:space="preserve">. </w:t>
      </w:r>
      <w:r w:rsidR="003F2AA2" w:rsidRPr="0081160B">
        <w:rPr>
          <w:color w:val="3B3838"/>
          <w:sz w:val="18"/>
        </w:rPr>
        <w:t>Casos de mujeres asesinadas y, entre ellos, los tipificados</w:t>
      </w:r>
      <w:r>
        <w:rPr>
          <w:color w:val="3B3838"/>
          <w:sz w:val="18"/>
        </w:rPr>
        <w:t xml:space="preserve"> </w:t>
      </w:r>
      <w:r w:rsidR="003F2AA2">
        <w:rPr>
          <w:color w:val="3B3838"/>
          <w:sz w:val="18"/>
        </w:rPr>
        <w:t>como feminicidios</w:t>
      </w:r>
      <w:r w:rsidR="00735297">
        <w:rPr>
          <w:color w:val="3B3838"/>
          <w:sz w:val="18"/>
        </w:rPr>
        <w:t xml:space="preserve"> </w:t>
      </w:r>
      <w:r w:rsidR="003F2AA2">
        <w:rPr>
          <w:color w:val="3B3838"/>
          <w:sz w:val="18"/>
        </w:rPr>
        <w:t>(Bogotá, 2020-2023)</w:t>
      </w:r>
      <w:bookmarkEnd w:id="186"/>
    </w:p>
    <w:tbl>
      <w:tblPr>
        <w:tblW w:w="8838" w:type="dxa"/>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1968"/>
        <w:gridCol w:w="1746"/>
        <w:gridCol w:w="2770"/>
        <w:gridCol w:w="2354"/>
      </w:tblGrid>
      <w:tr w:rsidR="003F2AA2" w14:paraId="0E909EF6" w14:textId="77777777" w:rsidTr="00735297">
        <w:trPr>
          <w:trHeight w:val="868"/>
        </w:trPr>
        <w:tc>
          <w:tcPr>
            <w:tcW w:w="1968" w:type="dxa"/>
            <w:shd w:val="clear" w:color="auto" w:fill="C00000"/>
            <w:vAlign w:val="center"/>
          </w:tcPr>
          <w:p w14:paraId="0B26FDC6" w14:textId="77777777" w:rsidR="003F2AA2" w:rsidRDefault="003F2AA2" w:rsidP="004F6427">
            <w:pPr>
              <w:jc w:val="right"/>
              <w:rPr>
                <w:b/>
                <w:color w:val="FFFFFF"/>
                <w:sz w:val="28"/>
                <w:szCs w:val="28"/>
              </w:rPr>
            </w:pPr>
            <w:r>
              <w:rPr>
                <w:b/>
                <w:color w:val="FFFFFF"/>
                <w:sz w:val="28"/>
                <w:szCs w:val="28"/>
              </w:rPr>
              <w:t>Año</w:t>
            </w:r>
          </w:p>
        </w:tc>
        <w:tc>
          <w:tcPr>
            <w:tcW w:w="1746" w:type="dxa"/>
            <w:shd w:val="clear" w:color="auto" w:fill="C00000"/>
            <w:vAlign w:val="center"/>
          </w:tcPr>
          <w:p w14:paraId="41CA9C7C" w14:textId="77777777" w:rsidR="009A6824" w:rsidRDefault="003F2AA2" w:rsidP="004F6427">
            <w:pPr>
              <w:jc w:val="center"/>
              <w:rPr>
                <w:b/>
                <w:color w:val="FFFFFF"/>
                <w:sz w:val="28"/>
                <w:szCs w:val="28"/>
              </w:rPr>
            </w:pPr>
            <w:r>
              <w:rPr>
                <w:b/>
                <w:color w:val="FFFFFF"/>
                <w:sz w:val="28"/>
                <w:szCs w:val="28"/>
              </w:rPr>
              <w:t xml:space="preserve">Total de </w:t>
            </w:r>
          </w:p>
          <w:p w14:paraId="71E25DAF" w14:textId="09028C3C" w:rsidR="003F2AA2" w:rsidRDefault="003F2AA2" w:rsidP="004F6427">
            <w:pPr>
              <w:jc w:val="center"/>
              <w:rPr>
                <w:b/>
                <w:color w:val="FFFFFF"/>
                <w:sz w:val="28"/>
                <w:szCs w:val="28"/>
              </w:rPr>
            </w:pPr>
            <w:r>
              <w:rPr>
                <w:b/>
                <w:color w:val="FFFFFF"/>
                <w:sz w:val="28"/>
                <w:szCs w:val="28"/>
              </w:rPr>
              <w:t>asesinatos</w:t>
            </w:r>
          </w:p>
        </w:tc>
        <w:tc>
          <w:tcPr>
            <w:tcW w:w="2770" w:type="dxa"/>
            <w:shd w:val="clear" w:color="auto" w:fill="C00000"/>
            <w:vAlign w:val="center"/>
          </w:tcPr>
          <w:p w14:paraId="1430EABA" w14:textId="77777777" w:rsidR="003F2AA2" w:rsidRDefault="003F2AA2" w:rsidP="004F6427">
            <w:pPr>
              <w:jc w:val="center"/>
              <w:rPr>
                <w:b/>
                <w:color w:val="FFFFFF"/>
                <w:sz w:val="28"/>
                <w:szCs w:val="28"/>
              </w:rPr>
            </w:pPr>
            <w:r>
              <w:rPr>
                <w:b/>
                <w:color w:val="FFFFFF"/>
                <w:sz w:val="28"/>
                <w:szCs w:val="28"/>
              </w:rPr>
              <w:t>No tipificados como feminicidios</w:t>
            </w:r>
          </w:p>
        </w:tc>
        <w:tc>
          <w:tcPr>
            <w:tcW w:w="2354" w:type="dxa"/>
            <w:shd w:val="clear" w:color="auto" w:fill="C00000"/>
            <w:vAlign w:val="center"/>
          </w:tcPr>
          <w:p w14:paraId="33A9A7A1" w14:textId="77777777" w:rsidR="003F2AA2" w:rsidRDefault="003F2AA2" w:rsidP="004F6427">
            <w:pPr>
              <w:jc w:val="center"/>
              <w:rPr>
                <w:b/>
                <w:color w:val="FFFFFF"/>
                <w:sz w:val="28"/>
                <w:szCs w:val="28"/>
              </w:rPr>
            </w:pPr>
            <w:r>
              <w:rPr>
                <w:b/>
                <w:color w:val="FFFFFF"/>
                <w:sz w:val="28"/>
                <w:szCs w:val="28"/>
              </w:rPr>
              <w:t>Tipificados como feminicidios</w:t>
            </w:r>
          </w:p>
        </w:tc>
      </w:tr>
      <w:tr w:rsidR="003F2AA2" w14:paraId="3BD55C98" w14:textId="77777777" w:rsidTr="00735297">
        <w:trPr>
          <w:trHeight w:val="397"/>
        </w:trPr>
        <w:tc>
          <w:tcPr>
            <w:tcW w:w="1968" w:type="dxa"/>
            <w:vAlign w:val="center"/>
          </w:tcPr>
          <w:p w14:paraId="5D2F042E" w14:textId="77777777" w:rsidR="003F2AA2" w:rsidRDefault="003F2AA2" w:rsidP="004F6427">
            <w:pPr>
              <w:jc w:val="right"/>
            </w:pPr>
            <w:r>
              <w:t>2020</w:t>
            </w:r>
          </w:p>
        </w:tc>
        <w:tc>
          <w:tcPr>
            <w:tcW w:w="1746" w:type="dxa"/>
            <w:vAlign w:val="center"/>
          </w:tcPr>
          <w:p w14:paraId="6FC0371E" w14:textId="77777777" w:rsidR="003F2AA2" w:rsidRDefault="003F2AA2" w:rsidP="004F6427">
            <w:pPr>
              <w:jc w:val="center"/>
            </w:pPr>
            <w:r>
              <w:t>96</w:t>
            </w:r>
          </w:p>
        </w:tc>
        <w:tc>
          <w:tcPr>
            <w:tcW w:w="2770" w:type="dxa"/>
            <w:vAlign w:val="center"/>
          </w:tcPr>
          <w:p w14:paraId="3C0F7502" w14:textId="77777777" w:rsidR="003F2AA2" w:rsidRDefault="003F2AA2" w:rsidP="004F6427">
            <w:pPr>
              <w:jc w:val="center"/>
            </w:pPr>
            <w:r>
              <w:t>81</w:t>
            </w:r>
          </w:p>
        </w:tc>
        <w:tc>
          <w:tcPr>
            <w:tcW w:w="2354" w:type="dxa"/>
            <w:vAlign w:val="center"/>
          </w:tcPr>
          <w:p w14:paraId="380891FD" w14:textId="77777777" w:rsidR="003F2AA2" w:rsidRDefault="003F2AA2" w:rsidP="004F6427">
            <w:pPr>
              <w:jc w:val="center"/>
            </w:pPr>
            <w:r>
              <w:t>15</w:t>
            </w:r>
          </w:p>
        </w:tc>
      </w:tr>
      <w:tr w:rsidR="003F2AA2" w14:paraId="53408138" w14:textId="77777777" w:rsidTr="00735297">
        <w:trPr>
          <w:trHeight w:val="397"/>
        </w:trPr>
        <w:tc>
          <w:tcPr>
            <w:tcW w:w="1968" w:type="dxa"/>
            <w:vAlign w:val="center"/>
          </w:tcPr>
          <w:p w14:paraId="034E0A37" w14:textId="77777777" w:rsidR="003F2AA2" w:rsidRDefault="003F2AA2" w:rsidP="004F6427">
            <w:pPr>
              <w:jc w:val="right"/>
            </w:pPr>
            <w:r>
              <w:t>2021</w:t>
            </w:r>
          </w:p>
        </w:tc>
        <w:tc>
          <w:tcPr>
            <w:tcW w:w="1746" w:type="dxa"/>
            <w:vAlign w:val="center"/>
          </w:tcPr>
          <w:p w14:paraId="63EA8F09" w14:textId="77777777" w:rsidR="003F2AA2" w:rsidRDefault="003F2AA2" w:rsidP="004F6427">
            <w:pPr>
              <w:jc w:val="center"/>
            </w:pPr>
            <w:r>
              <w:t>98</w:t>
            </w:r>
          </w:p>
        </w:tc>
        <w:tc>
          <w:tcPr>
            <w:tcW w:w="2770" w:type="dxa"/>
            <w:vAlign w:val="center"/>
          </w:tcPr>
          <w:p w14:paraId="387E28CF" w14:textId="77777777" w:rsidR="003F2AA2" w:rsidRDefault="003F2AA2" w:rsidP="004F6427">
            <w:pPr>
              <w:jc w:val="center"/>
            </w:pPr>
            <w:r>
              <w:t>80</w:t>
            </w:r>
          </w:p>
        </w:tc>
        <w:tc>
          <w:tcPr>
            <w:tcW w:w="2354" w:type="dxa"/>
            <w:vAlign w:val="center"/>
          </w:tcPr>
          <w:p w14:paraId="5AF06431" w14:textId="77777777" w:rsidR="003F2AA2" w:rsidRDefault="003F2AA2" w:rsidP="004F6427">
            <w:pPr>
              <w:jc w:val="center"/>
            </w:pPr>
            <w:r>
              <w:t>18</w:t>
            </w:r>
          </w:p>
        </w:tc>
      </w:tr>
      <w:tr w:rsidR="003F2AA2" w14:paraId="78AF8648" w14:textId="77777777" w:rsidTr="00735297">
        <w:trPr>
          <w:trHeight w:val="397"/>
        </w:trPr>
        <w:tc>
          <w:tcPr>
            <w:tcW w:w="1968" w:type="dxa"/>
            <w:vAlign w:val="center"/>
          </w:tcPr>
          <w:p w14:paraId="6CAA1DE1" w14:textId="77777777" w:rsidR="003F2AA2" w:rsidRDefault="003F2AA2" w:rsidP="004F6427">
            <w:pPr>
              <w:jc w:val="right"/>
            </w:pPr>
            <w:r>
              <w:t>2022</w:t>
            </w:r>
          </w:p>
        </w:tc>
        <w:tc>
          <w:tcPr>
            <w:tcW w:w="1746" w:type="dxa"/>
            <w:vAlign w:val="center"/>
          </w:tcPr>
          <w:p w14:paraId="55492717" w14:textId="77777777" w:rsidR="003F2AA2" w:rsidRDefault="003F2AA2" w:rsidP="004F6427">
            <w:pPr>
              <w:jc w:val="center"/>
            </w:pPr>
            <w:r>
              <w:t>99</w:t>
            </w:r>
          </w:p>
        </w:tc>
        <w:tc>
          <w:tcPr>
            <w:tcW w:w="2770" w:type="dxa"/>
            <w:vAlign w:val="center"/>
          </w:tcPr>
          <w:p w14:paraId="726D7BFD" w14:textId="77777777" w:rsidR="003F2AA2" w:rsidRDefault="003F2AA2" w:rsidP="004F6427">
            <w:pPr>
              <w:jc w:val="center"/>
            </w:pPr>
            <w:r>
              <w:t>84</w:t>
            </w:r>
          </w:p>
        </w:tc>
        <w:tc>
          <w:tcPr>
            <w:tcW w:w="2354" w:type="dxa"/>
            <w:vAlign w:val="center"/>
          </w:tcPr>
          <w:p w14:paraId="6D3A828E" w14:textId="77777777" w:rsidR="003F2AA2" w:rsidRDefault="003F2AA2" w:rsidP="004F6427">
            <w:pPr>
              <w:jc w:val="center"/>
            </w:pPr>
            <w:r>
              <w:t>15</w:t>
            </w:r>
          </w:p>
        </w:tc>
      </w:tr>
      <w:tr w:rsidR="003F2AA2" w14:paraId="00101756" w14:textId="77777777" w:rsidTr="00735297">
        <w:trPr>
          <w:trHeight w:val="397"/>
        </w:trPr>
        <w:tc>
          <w:tcPr>
            <w:tcW w:w="1968" w:type="dxa"/>
            <w:shd w:val="clear" w:color="auto" w:fill="D0CECE"/>
            <w:vAlign w:val="center"/>
          </w:tcPr>
          <w:p w14:paraId="00BF6C60" w14:textId="77777777" w:rsidR="003F2AA2" w:rsidRDefault="003F2AA2" w:rsidP="004F6427">
            <w:pPr>
              <w:jc w:val="right"/>
            </w:pPr>
            <w:r>
              <w:t>2023*</w:t>
            </w:r>
          </w:p>
        </w:tc>
        <w:tc>
          <w:tcPr>
            <w:tcW w:w="1746" w:type="dxa"/>
            <w:shd w:val="clear" w:color="auto" w:fill="D0CECE"/>
            <w:vAlign w:val="center"/>
          </w:tcPr>
          <w:p w14:paraId="4AAD47DC" w14:textId="77777777" w:rsidR="003F2AA2" w:rsidRDefault="003F2AA2" w:rsidP="004F6427">
            <w:pPr>
              <w:jc w:val="center"/>
            </w:pPr>
            <w:r>
              <w:t>74</w:t>
            </w:r>
          </w:p>
        </w:tc>
        <w:tc>
          <w:tcPr>
            <w:tcW w:w="2770" w:type="dxa"/>
            <w:shd w:val="clear" w:color="auto" w:fill="D0CECE"/>
            <w:vAlign w:val="center"/>
          </w:tcPr>
          <w:p w14:paraId="74AAAA79" w14:textId="77777777" w:rsidR="003F2AA2" w:rsidRDefault="003F2AA2" w:rsidP="004F6427">
            <w:pPr>
              <w:jc w:val="center"/>
            </w:pPr>
            <w:r>
              <w:t>53</w:t>
            </w:r>
          </w:p>
        </w:tc>
        <w:tc>
          <w:tcPr>
            <w:tcW w:w="2354" w:type="dxa"/>
            <w:shd w:val="clear" w:color="auto" w:fill="D0CECE"/>
            <w:vAlign w:val="center"/>
          </w:tcPr>
          <w:p w14:paraId="525ACA4F" w14:textId="77777777" w:rsidR="003F2AA2" w:rsidRDefault="003F2AA2" w:rsidP="004F6427">
            <w:pPr>
              <w:jc w:val="center"/>
            </w:pPr>
            <w:r>
              <w:t>21</w:t>
            </w:r>
          </w:p>
        </w:tc>
      </w:tr>
    </w:tbl>
    <w:p w14:paraId="045C0188" w14:textId="46E7E434" w:rsidR="003F2AA2" w:rsidRDefault="003F2AA2" w:rsidP="003F2AA2">
      <w:pPr>
        <w:pBdr>
          <w:top w:val="nil"/>
          <w:left w:val="nil"/>
          <w:bottom w:val="nil"/>
          <w:right w:val="nil"/>
          <w:between w:val="nil"/>
        </w:pBdr>
        <w:spacing w:line="220" w:lineRule="auto"/>
        <w:jc w:val="center"/>
        <w:rPr>
          <w:i/>
          <w:color w:val="3B3838"/>
          <w:sz w:val="18"/>
          <w:szCs w:val="18"/>
        </w:rPr>
      </w:pPr>
      <w:r>
        <w:rPr>
          <w:b/>
          <w:i/>
          <w:color w:val="3B3838"/>
          <w:sz w:val="18"/>
          <w:szCs w:val="18"/>
        </w:rPr>
        <w:t>*</w:t>
      </w:r>
      <w:r w:rsidR="0081160B">
        <w:rPr>
          <w:bCs/>
          <w:iCs/>
          <w:color w:val="3B3838"/>
          <w:sz w:val="18"/>
          <w:szCs w:val="18"/>
        </w:rPr>
        <w:t>Información a</w:t>
      </w:r>
      <w:r>
        <w:rPr>
          <w:color w:val="3B3838"/>
          <w:sz w:val="18"/>
          <w:szCs w:val="18"/>
        </w:rPr>
        <w:t xml:space="preserve"> octubre.</w:t>
      </w:r>
    </w:p>
    <w:p w14:paraId="76DF2D37" w14:textId="77777777" w:rsidR="003F2AA2" w:rsidRDefault="003F2AA2" w:rsidP="00735297">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SIEDCO, Secretaría Distrital de Seguridad, Convivencia y Justicia.</w:t>
      </w:r>
    </w:p>
    <w:p w14:paraId="43F748E4" w14:textId="77777777" w:rsidR="00735297" w:rsidRDefault="00735297" w:rsidP="00735297">
      <w:pPr>
        <w:pBdr>
          <w:top w:val="nil"/>
          <w:left w:val="nil"/>
          <w:bottom w:val="nil"/>
          <w:right w:val="nil"/>
          <w:between w:val="nil"/>
        </w:pBdr>
        <w:spacing w:line="220" w:lineRule="auto"/>
        <w:jc w:val="center"/>
        <w:rPr>
          <w:color w:val="3B3838"/>
          <w:sz w:val="18"/>
          <w:szCs w:val="18"/>
        </w:rPr>
      </w:pPr>
    </w:p>
    <w:p w14:paraId="1D27D684" w14:textId="77777777" w:rsidR="00735297" w:rsidRDefault="00735297" w:rsidP="00735297">
      <w:pPr>
        <w:pBdr>
          <w:top w:val="nil"/>
          <w:left w:val="nil"/>
          <w:bottom w:val="nil"/>
          <w:right w:val="nil"/>
          <w:between w:val="nil"/>
        </w:pBdr>
        <w:spacing w:line="220" w:lineRule="auto"/>
        <w:jc w:val="center"/>
        <w:rPr>
          <w:color w:val="3B3838"/>
          <w:sz w:val="18"/>
          <w:szCs w:val="18"/>
        </w:rPr>
      </w:pPr>
    </w:p>
    <w:p w14:paraId="77CB82ED" w14:textId="00B43A29" w:rsidR="00735297" w:rsidRPr="00735297" w:rsidRDefault="00735297" w:rsidP="00735297">
      <w:pPr>
        <w:pBdr>
          <w:top w:val="nil"/>
          <w:left w:val="nil"/>
          <w:bottom w:val="nil"/>
          <w:right w:val="nil"/>
          <w:between w:val="nil"/>
        </w:pBdr>
        <w:spacing w:line="220" w:lineRule="auto"/>
        <w:jc w:val="center"/>
        <w:rPr>
          <w:color w:val="3B3838"/>
          <w:sz w:val="18"/>
          <w:szCs w:val="18"/>
        </w:rPr>
        <w:sectPr w:rsidR="00735297" w:rsidRPr="00735297" w:rsidSect="00F7078E">
          <w:type w:val="continuous"/>
          <w:pgSz w:w="12240" w:h="15840"/>
          <w:pgMar w:top="2262" w:right="1440" w:bottom="1440" w:left="1440" w:header="708" w:footer="708" w:gutter="0"/>
          <w:cols w:space="720" w:equalWidth="0">
            <w:col w:w="9099" w:space="0"/>
          </w:cols>
        </w:sectPr>
      </w:pPr>
    </w:p>
    <w:p w14:paraId="78D75B61" w14:textId="0D67F440" w:rsidR="003F2AA2" w:rsidRDefault="003F2AA2" w:rsidP="003F2AA2">
      <w:pPr>
        <w:rPr>
          <w:b/>
        </w:rPr>
        <w:sectPr w:rsidR="003F2AA2" w:rsidSect="00F7078E">
          <w:type w:val="continuous"/>
          <w:pgSz w:w="12240" w:h="15840"/>
          <w:pgMar w:top="2262" w:right="1440" w:bottom="1440" w:left="1440" w:header="708" w:footer="708" w:gutter="0"/>
          <w:cols w:num="2" w:space="720" w:equalWidth="0">
            <w:col w:w="4396" w:space="567"/>
            <w:col w:w="4396" w:space="0"/>
          </w:cols>
        </w:sectPr>
      </w:pPr>
      <w:r>
        <w:t>Adicionalmente, el INMLCF presenta los reportes de mujeres identificadas en riesgo de feminicidio. Como se muestra en la</w:t>
      </w:r>
      <w:r w:rsidR="006F5972">
        <w:t xml:space="preserve"> </w:t>
      </w:r>
      <w:r w:rsidR="006F5972" w:rsidRPr="006F5972">
        <w:fldChar w:fldCharType="begin"/>
      </w:r>
      <w:r w:rsidR="006F5972" w:rsidRPr="006F5972">
        <w:instrText xml:space="preserve"> REF _Ref165123788 \h </w:instrText>
      </w:r>
      <w:r w:rsidR="006F5972" w:rsidRPr="006F5972">
        <w:fldChar w:fldCharType="separate"/>
      </w:r>
      <w:r w:rsidR="00D01651" w:rsidRPr="006F5972">
        <w:rPr>
          <w:color w:val="C00000"/>
          <w:sz w:val="18"/>
          <w:szCs w:val="18"/>
        </w:rPr>
        <w:t xml:space="preserve">Tabla </w:t>
      </w:r>
      <w:r w:rsidR="00D01651">
        <w:rPr>
          <w:noProof/>
          <w:color w:val="C00000"/>
          <w:sz w:val="18"/>
        </w:rPr>
        <w:t>16</w:t>
      </w:r>
      <w:r w:rsidR="006F5972" w:rsidRPr="006F5972">
        <w:fldChar w:fldCharType="end"/>
      </w:r>
      <w:r>
        <w:t xml:space="preserve">, para cada año comprendido entre 2020 y 2022 se </w:t>
      </w:r>
      <w:r>
        <w:t>registraron más de 3.500 mujeres en riesgo de feminicidio, 25 % de ellas de nivel grave y extremo; a noviembre de 2023, se presentó una reducción importante con 1.041 casos</w:t>
      </w:r>
      <w:r w:rsidR="006F5972">
        <w:t>.</w:t>
      </w:r>
    </w:p>
    <w:p w14:paraId="1DD2490C" w14:textId="77777777" w:rsidR="00AC6515" w:rsidRDefault="00AC6515" w:rsidP="006F5972">
      <w:pPr>
        <w:pBdr>
          <w:top w:val="nil"/>
          <w:left w:val="nil"/>
          <w:bottom w:val="nil"/>
          <w:right w:val="nil"/>
          <w:between w:val="nil"/>
        </w:pBdr>
        <w:spacing w:line="220" w:lineRule="auto"/>
        <w:rPr>
          <w:b/>
          <w:color w:val="C00000"/>
          <w:sz w:val="18"/>
          <w:szCs w:val="18"/>
        </w:rPr>
      </w:pPr>
    </w:p>
    <w:p w14:paraId="3773959B" w14:textId="77777777" w:rsidR="00AC6515" w:rsidRDefault="00AC6515" w:rsidP="003F2AA2">
      <w:pPr>
        <w:pBdr>
          <w:top w:val="nil"/>
          <w:left w:val="nil"/>
          <w:bottom w:val="nil"/>
          <w:right w:val="nil"/>
          <w:between w:val="nil"/>
        </w:pBdr>
        <w:spacing w:line="220" w:lineRule="auto"/>
        <w:jc w:val="center"/>
        <w:rPr>
          <w:b/>
          <w:color w:val="C00000"/>
          <w:sz w:val="18"/>
          <w:szCs w:val="18"/>
        </w:rPr>
      </w:pPr>
    </w:p>
    <w:p w14:paraId="4B13C2E7" w14:textId="415915CC" w:rsidR="003F2AA2" w:rsidRPr="00AC2A92" w:rsidRDefault="006F5972" w:rsidP="00AC2A92">
      <w:pPr>
        <w:pStyle w:val="Descripcin"/>
        <w:jc w:val="center"/>
        <w:rPr>
          <w:color w:val="3B3838"/>
          <w:sz w:val="18"/>
        </w:rPr>
      </w:pPr>
      <w:bookmarkStart w:id="187" w:name="_Ref165123788"/>
      <w:bookmarkStart w:id="188" w:name="_Toc165169926"/>
      <w:r w:rsidRPr="006F5972">
        <w:rPr>
          <w:color w:val="C00000"/>
          <w:sz w:val="18"/>
        </w:rPr>
        <w:t xml:space="preserve">Tabla </w:t>
      </w:r>
      <w:r w:rsidRPr="006F5972">
        <w:rPr>
          <w:color w:val="C00000"/>
          <w:sz w:val="18"/>
        </w:rPr>
        <w:fldChar w:fldCharType="begin"/>
      </w:r>
      <w:r w:rsidRPr="006F5972">
        <w:rPr>
          <w:color w:val="C00000"/>
          <w:sz w:val="18"/>
        </w:rPr>
        <w:instrText xml:space="preserve"> SEQ Tabla \* ARABIC </w:instrText>
      </w:r>
      <w:r w:rsidRPr="006F5972">
        <w:rPr>
          <w:color w:val="C00000"/>
          <w:sz w:val="18"/>
        </w:rPr>
        <w:fldChar w:fldCharType="separate"/>
      </w:r>
      <w:r w:rsidR="00D01651">
        <w:rPr>
          <w:noProof/>
          <w:color w:val="C00000"/>
          <w:sz w:val="18"/>
        </w:rPr>
        <w:t>16</w:t>
      </w:r>
      <w:r w:rsidRPr="006F5972">
        <w:rPr>
          <w:color w:val="C00000"/>
          <w:sz w:val="18"/>
        </w:rPr>
        <w:fldChar w:fldCharType="end"/>
      </w:r>
      <w:bookmarkEnd w:id="187"/>
      <w:r w:rsidRPr="006F5972">
        <w:rPr>
          <w:color w:val="C00000"/>
          <w:sz w:val="18"/>
        </w:rPr>
        <w:t xml:space="preserve">. </w:t>
      </w:r>
      <w:r w:rsidR="003F2AA2" w:rsidRPr="006F5972">
        <w:rPr>
          <w:color w:val="3B3838"/>
          <w:sz w:val="18"/>
        </w:rPr>
        <w:t>Casos reportados de mujeres en riesgo de feminicidio, según grado de riesgo (Bogotá, 2020-2023)</w:t>
      </w:r>
      <w:bookmarkEnd w:id="188"/>
    </w:p>
    <w:tbl>
      <w:tblPr>
        <w:tblW w:w="8838" w:type="dxa"/>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1868"/>
        <w:gridCol w:w="1736"/>
        <w:gridCol w:w="1736"/>
        <w:gridCol w:w="1368"/>
        <w:gridCol w:w="2130"/>
      </w:tblGrid>
      <w:tr w:rsidR="003F2AA2" w14:paraId="2EFDC8F5" w14:textId="77777777" w:rsidTr="008B5CED">
        <w:trPr>
          <w:trHeight w:val="552"/>
        </w:trPr>
        <w:tc>
          <w:tcPr>
            <w:tcW w:w="1868" w:type="dxa"/>
            <w:shd w:val="clear" w:color="auto" w:fill="C00000"/>
            <w:vAlign w:val="center"/>
          </w:tcPr>
          <w:p w14:paraId="5028FBF2" w14:textId="77777777" w:rsidR="003F2AA2" w:rsidRDefault="003F2AA2" w:rsidP="004F6427">
            <w:pPr>
              <w:jc w:val="right"/>
              <w:rPr>
                <w:b/>
                <w:color w:val="FFFFFF"/>
                <w:sz w:val="28"/>
                <w:szCs w:val="28"/>
              </w:rPr>
            </w:pPr>
            <w:r>
              <w:rPr>
                <w:b/>
                <w:color w:val="FFFFFF"/>
                <w:sz w:val="28"/>
                <w:szCs w:val="28"/>
              </w:rPr>
              <w:t>Riesgo</w:t>
            </w:r>
          </w:p>
        </w:tc>
        <w:tc>
          <w:tcPr>
            <w:tcW w:w="1736" w:type="dxa"/>
            <w:shd w:val="clear" w:color="auto" w:fill="C00000"/>
            <w:vAlign w:val="center"/>
          </w:tcPr>
          <w:p w14:paraId="4F565F8F" w14:textId="77777777" w:rsidR="003F2AA2" w:rsidRDefault="003F2AA2" w:rsidP="004F6427">
            <w:pPr>
              <w:jc w:val="center"/>
              <w:rPr>
                <w:b/>
                <w:color w:val="FFFFFF"/>
                <w:sz w:val="28"/>
                <w:szCs w:val="28"/>
              </w:rPr>
            </w:pPr>
            <w:r>
              <w:rPr>
                <w:b/>
                <w:color w:val="FFFFFF"/>
                <w:sz w:val="28"/>
                <w:szCs w:val="28"/>
              </w:rPr>
              <w:t>2020</w:t>
            </w:r>
          </w:p>
        </w:tc>
        <w:tc>
          <w:tcPr>
            <w:tcW w:w="1736" w:type="dxa"/>
            <w:shd w:val="clear" w:color="auto" w:fill="C00000"/>
            <w:vAlign w:val="center"/>
          </w:tcPr>
          <w:p w14:paraId="3F9CD953" w14:textId="77777777" w:rsidR="003F2AA2" w:rsidRDefault="003F2AA2" w:rsidP="004F6427">
            <w:pPr>
              <w:jc w:val="center"/>
              <w:rPr>
                <w:b/>
                <w:color w:val="FFFFFF"/>
                <w:sz w:val="28"/>
                <w:szCs w:val="28"/>
              </w:rPr>
            </w:pPr>
            <w:r>
              <w:rPr>
                <w:b/>
                <w:color w:val="FFFFFF"/>
                <w:sz w:val="28"/>
                <w:szCs w:val="28"/>
              </w:rPr>
              <w:t>2021</w:t>
            </w:r>
          </w:p>
        </w:tc>
        <w:tc>
          <w:tcPr>
            <w:tcW w:w="1368" w:type="dxa"/>
            <w:shd w:val="clear" w:color="auto" w:fill="C00000"/>
            <w:vAlign w:val="center"/>
          </w:tcPr>
          <w:p w14:paraId="7F4A1FF6" w14:textId="77777777" w:rsidR="003F2AA2" w:rsidRDefault="003F2AA2" w:rsidP="004F6427">
            <w:pPr>
              <w:jc w:val="center"/>
              <w:rPr>
                <w:b/>
                <w:color w:val="FFFFFF"/>
                <w:sz w:val="28"/>
                <w:szCs w:val="28"/>
              </w:rPr>
            </w:pPr>
            <w:r>
              <w:rPr>
                <w:b/>
                <w:color w:val="FFFFFF"/>
                <w:sz w:val="28"/>
                <w:szCs w:val="28"/>
              </w:rPr>
              <w:t>2022</w:t>
            </w:r>
          </w:p>
        </w:tc>
        <w:tc>
          <w:tcPr>
            <w:tcW w:w="2130" w:type="dxa"/>
            <w:shd w:val="clear" w:color="auto" w:fill="C00000"/>
            <w:vAlign w:val="center"/>
          </w:tcPr>
          <w:p w14:paraId="16578B83" w14:textId="77777777" w:rsidR="00AC2A92" w:rsidRDefault="003F2AA2" w:rsidP="004F6427">
            <w:pPr>
              <w:jc w:val="center"/>
              <w:rPr>
                <w:b/>
                <w:color w:val="FFFFFF"/>
                <w:sz w:val="28"/>
                <w:szCs w:val="28"/>
              </w:rPr>
            </w:pPr>
            <w:r>
              <w:rPr>
                <w:b/>
                <w:color w:val="FFFFFF"/>
                <w:sz w:val="28"/>
                <w:szCs w:val="28"/>
              </w:rPr>
              <w:t>2023</w:t>
            </w:r>
          </w:p>
          <w:p w14:paraId="59B92643" w14:textId="153C5FC9" w:rsidR="003F2AA2" w:rsidRDefault="003F2AA2" w:rsidP="00AC2A92">
            <w:pPr>
              <w:ind w:left="708" w:hanging="708"/>
              <w:jc w:val="center"/>
              <w:rPr>
                <w:b/>
                <w:color w:val="FFFFFF"/>
                <w:sz w:val="28"/>
                <w:szCs w:val="28"/>
              </w:rPr>
            </w:pPr>
            <w:r>
              <w:rPr>
                <w:b/>
                <w:color w:val="FFFFFF"/>
                <w:sz w:val="28"/>
                <w:szCs w:val="28"/>
              </w:rPr>
              <w:t xml:space="preserve"> </w:t>
            </w:r>
            <w:r w:rsidR="00CA189D">
              <w:rPr>
                <w:b/>
                <w:color w:val="FFFFFF"/>
                <w:sz w:val="20"/>
                <w:szCs w:val="20"/>
              </w:rPr>
              <w:t>(n</w:t>
            </w:r>
            <w:r w:rsidRPr="00CA189D">
              <w:rPr>
                <w:b/>
                <w:color w:val="FFFFFF"/>
                <w:sz w:val="20"/>
                <w:szCs w:val="20"/>
              </w:rPr>
              <w:t>ov</w:t>
            </w:r>
            <w:r w:rsidR="00AC2A92" w:rsidRPr="00CA189D">
              <w:rPr>
                <w:b/>
                <w:color w:val="FFFFFF"/>
                <w:sz w:val="20"/>
                <w:szCs w:val="20"/>
              </w:rPr>
              <w:t>.</w:t>
            </w:r>
            <w:r w:rsidRPr="00CA189D">
              <w:rPr>
                <w:b/>
                <w:color w:val="FFFFFF"/>
                <w:sz w:val="20"/>
                <w:szCs w:val="20"/>
              </w:rPr>
              <w:t>)</w:t>
            </w:r>
          </w:p>
        </w:tc>
      </w:tr>
      <w:tr w:rsidR="003F2AA2" w14:paraId="45E8FDB1" w14:textId="77777777" w:rsidTr="008B5CED">
        <w:trPr>
          <w:trHeight w:val="397"/>
        </w:trPr>
        <w:tc>
          <w:tcPr>
            <w:tcW w:w="1868" w:type="dxa"/>
            <w:vAlign w:val="center"/>
          </w:tcPr>
          <w:p w14:paraId="59133911" w14:textId="77777777" w:rsidR="003F2AA2" w:rsidRDefault="003F2AA2" w:rsidP="004F6427">
            <w:pPr>
              <w:jc w:val="right"/>
              <w:rPr>
                <w:b/>
              </w:rPr>
            </w:pPr>
            <w:r>
              <w:rPr>
                <w:b/>
              </w:rPr>
              <w:t>Extremo</w:t>
            </w:r>
          </w:p>
        </w:tc>
        <w:tc>
          <w:tcPr>
            <w:tcW w:w="1736" w:type="dxa"/>
            <w:vAlign w:val="center"/>
          </w:tcPr>
          <w:p w14:paraId="518127C0" w14:textId="77777777" w:rsidR="003F2AA2" w:rsidRDefault="003F2AA2" w:rsidP="004F6427">
            <w:pPr>
              <w:jc w:val="center"/>
            </w:pPr>
            <w:r>
              <w:t>583</w:t>
            </w:r>
          </w:p>
        </w:tc>
        <w:tc>
          <w:tcPr>
            <w:tcW w:w="1736" w:type="dxa"/>
            <w:vAlign w:val="center"/>
          </w:tcPr>
          <w:p w14:paraId="62DEE423" w14:textId="77777777" w:rsidR="003F2AA2" w:rsidRDefault="003F2AA2" w:rsidP="004F6427">
            <w:pPr>
              <w:jc w:val="center"/>
            </w:pPr>
            <w:r>
              <w:t>564</w:t>
            </w:r>
          </w:p>
        </w:tc>
        <w:tc>
          <w:tcPr>
            <w:tcW w:w="1368" w:type="dxa"/>
            <w:vAlign w:val="center"/>
          </w:tcPr>
          <w:p w14:paraId="1BE3086E" w14:textId="77777777" w:rsidR="003F2AA2" w:rsidRDefault="003F2AA2" w:rsidP="004F6427">
            <w:pPr>
              <w:jc w:val="center"/>
            </w:pPr>
            <w:r>
              <w:t>620</w:t>
            </w:r>
          </w:p>
        </w:tc>
        <w:tc>
          <w:tcPr>
            <w:tcW w:w="2130" w:type="dxa"/>
            <w:vAlign w:val="center"/>
          </w:tcPr>
          <w:p w14:paraId="6FC72525" w14:textId="77777777" w:rsidR="003F2AA2" w:rsidRDefault="003F2AA2" w:rsidP="004F6427">
            <w:pPr>
              <w:jc w:val="center"/>
            </w:pPr>
            <w:r>
              <w:t>543</w:t>
            </w:r>
          </w:p>
        </w:tc>
      </w:tr>
      <w:tr w:rsidR="003F2AA2" w14:paraId="7C61F351" w14:textId="77777777" w:rsidTr="008B5CED">
        <w:trPr>
          <w:trHeight w:val="397"/>
        </w:trPr>
        <w:tc>
          <w:tcPr>
            <w:tcW w:w="1868" w:type="dxa"/>
            <w:vAlign w:val="center"/>
          </w:tcPr>
          <w:p w14:paraId="165955E1" w14:textId="77777777" w:rsidR="003F2AA2" w:rsidRDefault="003F2AA2" w:rsidP="004F6427">
            <w:pPr>
              <w:jc w:val="right"/>
              <w:rPr>
                <w:b/>
              </w:rPr>
            </w:pPr>
            <w:r>
              <w:rPr>
                <w:b/>
              </w:rPr>
              <w:t>Grave</w:t>
            </w:r>
          </w:p>
        </w:tc>
        <w:tc>
          <w:tcPr>
            <w:tcW w:w="1736" w:type="dxa"/>
            <w:vAlign w:val="center"/>
          </w:tcPr>
          <w:p w14:paraId="7C4065C3" w14:textId="77777777" w:rsidR="003F2AA2" w:rsidRDefault="003F2AA2" w:rsidP="004F6427">
            <w:pPr>
              <w:jc w:val="center"/>
            </w:pPr>
            <w:r>
              <w:t>341</w:t>
            </w:r>
          </w:p>
        </w:tc>
        <w:tc>
          <w:tcPr>
            <w:tcW w:w="1736" w:type="dxa"/>
            <w:vAlign w:val="center"/>
          </w:tcPr>
          <w:p w14:paraId="4D8CDF8D" w14:textId="77777777" w:rsidR="003F2AA2" w:rsidRDefault="003F2AA2" w:rsidP="004F6427">
            <w:pPr>
              <w:jc w:val="center"/>
            </w:pPr>
            <w:r>
              <w:t>348</w:t>
            </w:r>
          </w:p>
        </w:tc>
        <w:tc>
          <w:tcPr>
            <w:tcW w:w="1368" w:type="dxa"/>
            <w:vAlign w:val="center"/>
          </w:tcPr>
          <w:p w14:paraId="30690BDA" w14:textId="77777777" w:rsidR="003F2AA2" w:rsidRDefault="003F2AA2" w:rsidP="004F6427">
            <w:pPr>
              <w:jc w:val="center"/>
            </w:pPr>
            <w:r>
              <w:t>380</w:t>
            </w:r>
          </w:p>
        </w:tc>
        <w:tc>
          <w:tcPr>
            <w:tcW w:w="2130" w:type="dxa"/>
            <w:vAlign w:val="center"/>
          </w:tcPr>
          <w:p w14:paraId="48F865B0" w14:textId="77777777" w:rsidR="003F2AA2" w:rsidRDefault="003F2AA2" w:rsidP="004F6427">
            <w:pPr>
              <w:jc w:val="center"/>
            </w:pPr>
            <w:r>
              <w:t>211</w:t>
            </w:r>
          </w:p>
        </w:tc>
      </w:tr>
      <w:tr w:rsidR="003F2AA2" w14:paraId="19520B12" w14:textId="77777777" w:rsidTr="008B5CED">
        <w:trPr>
          <w:trHeight w:val="397"/>
        </w:trPr>
        <w:tc>
          <w:tcPr>
            <w:tcW w:w="1868" w:type="dxa"/>
            <w:vAlign w:val="center"/>
          </w:tcPr>
          <w:p w14:paraId="54C05739" w14:textId="77777777" w:rsidR="003F2AA2" w:rsidRDefault="003F2AA2" w:rsidP="004F6427">
            <w:pPr>
              <w:jc w:val="right"/>
              <w:rPr>
                <w:b/>
              </w:rPr>
            </w:pPr>
            <w:r>
              <w:rPr>
                <w:b/>
              </w:rPr>
              <w:t>Moderado</w:t>
            </w:r>
          </w:p>
        </w:tc>
        <w:tc>
          <w:tcPr>
            <w:tcW w:w="1736" w:type="dxa"/>
            <w:vAlign w:val="center"/>
          </w:tcPr>
          <w:p w14:paraId="71DEF5A7" w14:textId="77777777" w:rsidR="003F2AA2" w:rsidRDefault="003F2AA2" w:rsidP="004F6427">
            <w:pPr>
              <w:jc w:val="center"/>
            </w:pPr>
            <w:r>
              <w:t>348</w:t>
            </w:r>
          </w:p>
        </w:tc>
        <w:tc>
          <w:tcPr>
            <w:tcW w:w="1736" w:type="dxa"/>
            <w:vAlign w:val="center"/>
          </w:tcPr>
          <w:p w14:paraId="1183009B" w14:textId="77777777" w:rsidR="003F2AA2" w:rsidRDefault="003F2AA2" w:rsidP="004F6427">
            <w:pPr>
              <w:jc w:val="center"/>
            </w:pPr>
            <w:r>
              <w:t>424</w:t>
            </w:r>
          </w:p>
        </w:tc>
        <w:tc>
          <w:tcPr>
            <w:tcW w:w="1368" w:type="dxa"/>
            <w:vAlign w:val="center"/>
          </w:tcPr>
          <w:p w14:paraId="69BAF460" w14:textId="77777777" w:rsidR="003F2AA2" w:rsidRDefault="003F2AA2" w:rsidP="004F6427">
            <w:pPr>
              <w:jc w:val="center"/>
            </w:pPr>
            <w:r>
              <w:t>559</w:t>
            </w:r>
          </w:p>
        </w:tc>
        <w:tc>
          <w:tcPr>
            <w:tcW w:w="2130" w:type="dxa"/>
            <w:vAlign w:val="center"/>
          </w:tcPr>
          <w:p w14:paraId="443DFE50" w14:textId="77777777" w:rsidR="003F2AA2" w:rsidRDefault="003F2AA2" w:rsidP="004F6427">
            <w:pPr>
              <w:jc w:val="center"/>
            </w:pPr>
            <w:r>
              <w:t>210</w:t>
            </w:r>
          </w:p>
        </w:tc>
      </w:tr>
      <w:tr w:rsidR="003F2AA2" w14:paraId="0A583640" w14:textId="77777777" w:rsidTr="008B5CED">
        <w:trPr>
          <w:trHeight w:val="397"/>
        </w:trPr>
        <w:tc>
          <w:tcPr>
            <w:tcW w:w="1868" w:type="dxa"/>
            <w:vAlign w:val="center"/>
          </w:tcPr>
          <w:p w14:paraId="7B7F7A5E" w14:textId="77777777" w:rsidR="003F2AA2" w:rsidRDefault="003F2AA2" w:rsidP="004F6427">
            <w:pPr>
              <w:jc w:val="right"/>
              <w:rPr>
                <w:b/>
              </w:rPr>
            </w:pPr>
            <w:r>
              <w:rPr>
                <w:b/>
              </w:rPr>
              <w:t>Variable</w:t>
            </w:r>
          </w:p>
        </w:tc>
        <w:tc>
          <w:tcPr>
            <w:tcW w:w="1736" w:type="dxa"/>
            <w:vAlign w:val="center"/>
          </w:tcPr>
          <w:p w14:paraId="64865744" w14:textId="77777777" w:rsidR="003F2AA2" w:rsidRDefault="003F2AA2" w:rsidP="004F6427">
            <w:pPr>
              <w:jc w:val="center"/>
            </w:pPr>
            <w:r>
              <w:t>210</w:t>
            </w:r>
          </w:p>
        </w:tc>
        <w:tc>
          <w:tcPr>
            <w:tcW w:w="1736" w:type="dxa"/>
            <w:vAlign w:val="center"/>
          </w:tcPr>
          <w:p w14:paraId="10CEB3EE" w14:textId="77777777" w:rsidR="003F2AA2" w:rsidRDefault="003F2AA2" w:rsidP="004F6427">
            <w:pPr>
              <w:jc w:val="center"/>
            </w:pPr>
            <w:r>
              <w:t>261</w:t>
            </w:r>
          </w:p>
        </w:tc>
        <w:tc>
          <w:tcPr>
            <w:tcW w:w="1368" w:type="dxa"/>
            <w:vAlign w:val="center"/>
          </w:tcPr>
          <w:p w14:paraId="64D97E56" w14:textId="77777777" w:rsidR="003F2AA2" w:rsidRDefault="003F2AA2" w:rsidP="004F6427">
            <w:pPr>
              <w:jc w:val="center"/>
            </w:pPr>
            <w:r>
              <w:t>278</w:t>
            </w:r>
          </w:p>
        </w:tc>
        <w:tc>
          <w:tcPr>
            <w:tcW w:w="2130" w:type="dxa"/>
            <w:vAlign w:val="center"/>
          </w:tcPr>
          <w:p w14:paraId="06D09106" w14:textId="77777777" w:rsidR="003F2AA2" w:rsidRDefault="003F2AA2" w:rsidP="004F6427">
            <w:pPr>
              <w:jc w:val="center"/>
            </w:pPr>
            <w:r>
              <w:t>77</w:t>
            </w:r>
          </w:p>
        </w:tc>
      </w:tr>
    </w:tbl>
    <w:p w14:paraId="7525E906"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 xml:space="preserve">Fuente: </w:t>
      </w:r>
      <w:r>
        <w:rPr>
          <w:color w:val="3B3838"/>
          <w:sz w:val="18"/>
          <w:szCs w:val="18"/>
        </w:rPr>
        <w:t xml:space="preserve">INMLCF, en el marco del Grupo de Trabajo para la Atención de la Violencia contra las Mujeres </w:t>
      </w:r>
    </w:p>
    <w:p w14:paraId="4A6978B9" w14:textId="4D276713" w:rsidR="003F2AA2" w:rsidRDefault="003F2AA2" w:rsidP="003F2AA2">
      <w:pPr>
        <w:pBdr>
          <w:top w:val="nil"/>
          <w:left w:val="nil"/>
          <w:bottom w:val="nil"/>
          <w:right w:val="nil"/>
          <w:between w:val="nil"/>
        </w:pBdr>
        <w:spacing w:line="220" w:lineRule="auto"/>
        <w:jc w:val="center"/>
        <w:rPr>
          <w:color w:val="3B3838"/>
          <w:sz w:val="18"/>
          <w:szCs w:val="18"/>
        </w:rPr>
      </w:pPr>
      <w:r>
        <w:rPr>
          <w:color w:val="3B3838"/>
          <w:sz w:val="18"/>
          <w:szCs w:val="18"/>
        </w:rPr>
        <w:t>y el Riesgo de Feminicidio. Una misma mujer puede haber acudido al INMLCF dos o más veces.</w:t>
      </w:r>
    </w:p>
    <w:p w14:paraId="7BAA1FFC" w14:textId="77777777" w:rsidR="008B5CED" w:rsidRDefault="008B5CED" w:rsidP="003F2AA2">
      <w:pPr>
        <w:pBdr>
          <w:top w:val="nil"/>
          <w:left w:val="nil"/>
          <w:bottom w:val="nil"/>
          <w:right w:val="nil"/>
          <w:between w:val="nil"/>
        </w:pBdr>
        <w:spacing w:line="220" w:lineRule="auto"/>
        <w:jc w:val="center"/>
        <w:rPr>
          <w:color w:val="3B3838"/>
          <w:sz w:val="18"/>
          <w:szCs w:val="18"/>
        </w:rPr>
      </w:pPr>
    </w:p>
    <w:p w14:paraId="6CF0CAB5" w14:textId="77777777" w:rsidR="008B5CED" w:rsidRDefault="008B5CED" w:rsidP="003F2AA2">
      <w:pPr>
        <w:pBdr>
          <w:top w:val="nil"/>
          <w:left w:val="nil"/>
          <w:bottom w:val="nil"/>
          <w:right w:val="nil"/>
          <w:between w:val="nil"/>
        </w:pBdr>
        <w:spacing w:line="220" w:lineRule="auto"/>
        <w:jc w:val="center"/>
        <w:rPr>
          <w:color w:val="3B3838"/>
          <w:sz w:val="18"/>
          <w:szCs w:val="18"/>
        </w:rPr>
      </w:pPr>
    </w:p>
    <w:p w14:paraId="4B4940A0" w14:textId="77777777" w:rsidR="003F2AA2" w:rsidRDefault="003F2AA2" w:rsidP="003F2AA2">
      <w:pPr>
        <w:sectPr w:rsidR="003F2AA2" w:rsidSect="00F7078E">
          <w:type w:val="continuous"/>
          <w:pgSz w:w="12240" w:h="15840"/>
          <w:pgMar w:top="2262" w:right="1440" w:bottom="1440" w:left="1440" w:header="708" w:footer="708" w:gutter="0"/>
          <w:cols w:space="720"/>
        </w:sectPr>
      </w:pPr>
    </w:p>
    <w:p w14:paraId="544117C9" w14:textId="489A0FD1" w:rsidR="003F2AA2" w:rsidRDefault="003F2AA2" w:rsidP="003F2AA2">
      <w:r>
        <w:t xml:space="preserve">Aunado a lo anterior, se resalta la afectación de la violencia fatal y no fatal hacia las mujeres que realizan trabajos domésticos y de cuidado no remunerado en Bogotá en 2022. Según el INMLCF, durante este año más del 20 % de los casos de violencia intrafamiliar contra mujeres, 22 % de </w:t>
      </w:r>
      <w:r>
        <w:t>los delitos sexuales y 21 % de la violencia de pareja estuvo dirigida a mujeres dedicadas a labores del cuidado.</w:t>
      </w:r>
    </w:p>
    <w:p w14:paraId="595D95C6" w14:textId="77777777" w:rsidR="008B5CED" w:rsidRDefault="008B5CED" w:rsidP="003F2AA2"/>
    <w:p w14:paraId="603A55CE" w14:textId="36C66414" w:rsidR="003F2AA2" w:rsidRDefault="003F2AA2" w:rsidP="003F2AA2">
      <w:r>
        <w:t xml:space="preserve">En lo que a salud mental se refiere, la Política Pública de Mujer y Equidad de Género (PPMyEG) </w:t>
      </w:r>
      <w:r>
        <w:lastRenderedPageBreak/>
        <w:t>2021  refleja que la semana previa al momento de la recolección de datos las mujeres habían experimentado algunas sensaciones o síntomas negativos, que pueden influir en su estado de salud mental y emocional relacionados con cansancio (60,3 %), preocupación o nerviosismo (45,9 %), dolores de cabeza o estomacales (43,7 %), tristeza (38,9 %), dificultades para dormir (33,6 %), irritabilidad (32,8 %), soledad (28,2 %), taquicardia a pesar de no haber realizado ningún esfuerzo físico (14,7 %), imposibilidad para tener sentimientos positivos (11,2 %). También es pertinente indicar que, de conformidad con la EM</w:t>
      </w:r>
      <w:r w:rsidR="00C708DD">
        <w:t>B</w:t>
      </w:r>
      <w:r>
        <w:t xml:space="preserve"> 2021, en los 30 días anteriores a la medición tan solo el 1,4 % de las mujeres tuvieron consulta de psicología o psiquiatría (hombres: 1,0 %).</w:t>
      </w:r>
    </w:p>
    <w:p w14:paraId="38FAAD3B" w14:textId="77777777" w:rsidR="003F2AA2" w:rsidRDefault="003F2AA2" w:rsidP="003F2AA2"/>
    <w:p w14:paraId="03D491C5" w14:textId="77777777" w:rsidR="003F2AA2" w:rsidRDefault="003F2AA2" w:rsidP="003F2AA2">
      <w:r>
        <w:t>Para brindar atención y acompañamiento a las mujeres víctimas de violencia, Bogotá cuenta con la Ruta de Atención Integral para Mujeres Víctimas de Violencias del Distrito, implementada en siete Casas de Justicia: Barrios Unidos, Bosa Campo Verde, Ciudad Bolívar, Fontibón, Kennedy, San Cristóbal y Suba Ciudad Jardín, la cual inició en 2021 y, a 30 de junio de 2023, brindó atención y orientación a 19.664 mujeres.</w:t>
      </w:r>
    </w:p>
    <w:p w14:paraId="0CE8E42C" w14:textId="77777777" w:rsidR="003F2AA2" w:rsidRDefault="003F2AA2" w:rsidP="003F2AA2"/>
    <w:p w14:paraId="5D8628E6" w14:textId="77777777" w:rsidR="003F2AA2" w:rsidRPr="005B6CFA" w:rsidRDefault="003F2AA2" w:rsidP="003F2AA2">
      <w:pPr>
        <w:rPr>
          <w:spacing w:val="-6"/>
        </w:rPr>
      </w:pPr>
      <w:r w:rsidRPr="005B6CFA">
        <w:rPr>
          <w:spacing w:val="-6"/>
        </w:rPr>
        <w:t>En relación con las características ciudadanas de quienes hacen uso de las Casas de Justicia, se destaca el volumen de atenciones ofrecidas a mujeres, que ha sido entre el 61 % y 63 % entre 2019 y 2023. Las mujeres con algún tipo de ocupación y nivel educativo de bachiller son quienes más acuden a estos equipamientos.</w:t>
      </w:r>
    </w:p>
    <w:p w14:paraId="7EDBF33E" w14:textId="77777777" w:rsidR="003F2AA2" w:rsidRDefault="003F2AA2" w:rsidP="003F2AA2"/>
    <w:p w14:paraId="570F7CBF" w14:textId="77777777" w:rsidR="003F2AA2" w:rsidRDefault="003F2AA2" w:rsidP="003F2AA2">
      <w:r>
        <w:t xml:space="preserve">Sin embargo, la falta de capacidad de respuesta efectiva por parte de las entidades encargadas de brindar un adecuado y oportuno acceso a la </w:t>
      </w:r>
      <w:r>
        <w:t>justicia ha contribuido a incrementar la percepción de vulnerabilidad e inseguridad para las mujeres y en consecuencia una mayor desconfianza hacia las instituciones de justicia.</w:t>
      </w:r>
    </w:p>
    <w:p w14:paraId="08318288" w14:textId="77777777" w:rsidR="003F2AA2" w:rsidRDefault="003F2AA2" w:rsidP="003F2AA2"/>
    <w:p w14:paraId="6E695865" w14:textId="77777777" w:rsidR="003F2AA2" w:rsidRDefault="003F2AA2" w:rsidP="003F2AA2">
      <w:r>
        <w:t>A su vez, se identifican falencias en el trámite integral, trato digno a la víctima, celeridad en el direccionamiento y activación de medidas urgentes, lo que tiene como consecuencia insatisfacción con el sistema distrital de justicia y el desistimiento.</w:t>
      </w:r>
    </w:p>
    <w:p w14:paraId="2FE5CE49" w14:textId="77777777" w:rsidR="002F5D64" w:rsidRDefault="002F5D64" w:rsidP="003F2AA2"/>
    <w:p w14:paraId="3F4CDE82" w14:textId="1E279C51" w:rsidR="003F2AA2" w:rsidRDefault="003F2AA2" w:rsidP="005B6CFA">
      <w:r>
        <w:t>Por su parte, los datos de la encuesta de movilidad y género (SDM, 2022) evidencian que las mujeres cisgénero heterosexuales en una escala de 1 a 10 perciben la seguridad en el transporte público en un 3,97 % y transitando las calles y espacios públicos en 3,81 %; este dato es de mayor atención en mujeres lesbianas, quienes la califican en 2,79 %. Por su parte, el 7 % de las mujeres fueron víctimas de violencia sexual en el transporte o espacio público en el último año y el 19 % a lo largo de su vida (hombres 1 % y 7 %).</w:t>
      </w:r>
    </w:p>
    <w:p w14:paraId="0300FFA4" w14:textId="77777777" w:rsidR="003F2AA2" w:rsidRDefault="003F2AA2" w:rsidP="005B6CFA"/>
    <w:p w14:paraId="585BE4F5" w14:textId="77777777" w:rsidR="003F2AA2" w:rsidRPr="000E47A8" w:rsidRDefault="003F2AA2" w:rsidP="005B6CFA">
      <w:pPr>
        <w:rPr>
          <w:spacing w:val="-6"/>
        </w:rPr>
        <w:sectPr w:rsidR="003F2AA2" w:rsidRPr="000E47A8" w:rsidSect="00F7078E">
          <w:type w:val="continuous"/>
          <w:pgSz w:w="12240" w:h="15840"/>
          <w:pgMar w:top="2262" w:right="1440" w:bottom="1440" w:left="1440" w:header="708" w:footer="708" w:gutter="0"/>
          <w:cols w:num="2" w:space="720" w:equalWidth="0">
            <w:col w:w="4396" w:space="567"/>
            <w:col w:w="4396" w:space="0"/>
          </w:cols>
        </w:sectPr>
      </w:pPr>
      <w:r w:rsidRPr="000E47A8">
        <w:rPr>
          <w:spacing w:val="-6"/>
        </w:rPr>
        <w:t>El reporte de violencias aumenta entre tres y cinco veces al preguntar por actos específicos en las mujeres cis heterosexuales: al 43,79 % les   miraron morbosamente el cuerpo; al 35,36 % les dijeron piropos obscenos u ofensivos de carácter sexual; al 20,83 % se les recargaron con el cuerpo con intenciones de carácter sexual; al 12,40 % les hicieron sentir miedo de sufrir un ataque o abuso sexual; al 9,57 % les tocaron o manosearon el cuerpo sin su consentimiento, y al 6,52 % les mostraron los genitales. Los principales lugares de ocurrencia de estas violencias fueron: la calle, 62 %; los buses de TransMilenio o cabinas de TransMiCable, 37 %; los paraderos o estaciones, 30 %, y bus SITP, 25 %.</w:t>
      </w:r>
    </w:p>
    <w:p w14:paraId="586B758E" w14:textId="77777777" w:rsidR="003F2AA2" w:rsidRDefault="003F2AA2" w:rsidP="003F2AA2"/>
    <w:p w14:paraId="5F4F1216" w14:textId="77777777" w:rsidR="005B6CFA" w:rsidRDefault="005B6CFA" w:rsidP="003F2AA2"/>
    <w:p w14:paraId="138AE863" w14:textId="2DB91D0F" w:rsidR="003F2AA2" w:rsidRPr="000C0177" w:rsidRDefault="003F2AA2" w:rsidP="000C0177">
      <w:pPr>
        <w:keepNext/>
        <w:keepLines/>
        <w:pBdr>
          <w:top w:val="nil"/>
          <w:left w:val="nil"/>
          <w:bottom w:val="nil"/>
          <w:right w:val="nil"/>
          <w:between w:val="nil"/>
        </w:pBdr>
        <w:spacing w:line="340" w:lineRule="auto"/>
        <w:ind w:left="425"/>
        <w:jc w:val="left"/>
        <w:rPr>
          <w:b/>
          <w:color w:val="3B3838"/>
          <w:sz w:val="24"/>
        </w:rPr>
        <w:sectPr w:rsidR="003F2AA2" w:rsidRPr="000C0177" w:rsidSect="00F7078E">
          <w:type w:val="continuous"/>
          <w:pgSz w:w="12240" w:h="15840"/>
          <w:pgMar w:top="2262" w:right="1440" w:bottom="1440" w:left="1440" w:header="708" w:footer="708" w:gutter="0"/>
          <w:cols w:space="720"/>
        </w:sectPr>
      </w:pPr>
      <w:r w:rsidRPr="000C0177">
        <w:rPr>
          <w:b/>
          <w:color w:val="3B3838"/>
          <w:sz w:val="24"/>
        </w:rPr>
        <w:t>Descripción del programa</w:t>
      </w:r>
    </w:p>
    <w:p w14:paraId="5301CD78" w14:textId="1E926224" w:rsidR="003F2AA2" w:rsidRDefault="003F2AA2" w:rsidP="003F2AA2">
      <w:r>
        <w:t xml:space="preserve">Bogotá se compromete a proteger y garantizar a las mujeres el derecho a una vida libre de violencias en todas sus diferencias y diversidades, asegurando su integridad mediante </w:t>
      </w:r>
      <w:r>
        <w:t xml:space="preserve">componentes de programas de prevención, atención especializada, acceso a la justicia y articulación de acciones entre el orden distrital y nacional. Este compromiso busca la garantía del </w:t>
      </w:r>
      <w:r>
        <w:lastRenderedPageBreak/>
        <w:t>pleno goce de sus derechos en los ámbitos públicos y privados, así como en el transporte público. En Bogotá, las mujeres tienen el derecho fundamental de vivir, habitar y movilizarse sin miedo, con la certeza de regresar a casa sanas y salvas.</w:t>
      </w:r>
    </w:p>
    <w:p w14:paraId="07345495" w14:textId="77777777" w:rsidR="003F2AA2" w:rsidRDefault="003F2AA2" w:rsidP="003F2AA2"/>
    <w:p w14:paraId="7D9D7F63" w14:textId="77777777" w:rsidR="003F2AA2" w:rsidRDefault="003F2AA2" w:rsidP="003F2AA2">
      <w:pPr>
        <w:rPr>
          <w:spacing w:val="-6"/>
        </w:rPr>
      </w:pPr>
      <w:r>
        <w:t xml:space="preserve">El reconocimiento de este derecho es una prioridad establecida por la Política Pública para las Mujeres y la Equidad de Género (PPMYEG) y su garantía implica reconocer los impactos diferenciados que enfrentan las mujeres en materia de seguridad, así como la </w:t>
      </w:r>
      <w:r w:rsidRPr="00E36E40">
        <w:rPr>
          <w:spacing w:val="-6"/>
        </w:rPr>
        <w:t>responsabilidad de una actuación integral en el marco del deber de debida diligencia y demás estándares internacionales de protección.</w:t>
      </w:r>
    </w:p>
    <w:p w14:paraId="23A30F32" w14:textId="77777777" w:rsidR="0065752F" w:rsidRDefault="0065752F" w:rsidP="003F2AA2"/>
    <w:p w14:paraId="3F682C78" w14:textId="77777777" w:rsidR="003F2AA2" w:rsidRDefault="003F2AA2" w:rsidP="003F2AA2">
      <w:r>
        <w:t xml:space="preserve">La Administración distrital fortalecerá la articulación de los sectores y todas las entidades competentes, para que, en el marco del principio de la corresponsabilidad, concurran en la garantía del derecho de las mujeres a vivir una vida libre de violencias. Se impulsarán estrategias integrales de prevención y transformación cultural, así como una atención integral a las víctimas para garantizar su acceso a la justicia y la respuesta oportuna, robusteciendo esquemas de atención articulados en los territorios y a nivel distrital, que permitan a las mujeres en sus diferencias y </w:t>
      </w:r>
      <w:r w:rsidRPr="00E36E40">
        <w:rPr>
          <w:spacing w:val="-6"/>
        </w:rPr>
        <w:t>diversidades acceder de manera oportuna y gratuita a servicios de calidad y especializados desde los enfoques de género, derechos y diferencial.</w:t>
      </w:r>
      <w:r>
        <w:t xml:space="preserve"> </w:t>
      </w:r>
    </w:p>
    <w:p w14:paraId="1A7EDC73" w14:textId="77777777" w:rsidR="003F2AA2" w:rsidRDefault="003F2AA2" w:rsidP="003F2AA2"/>
    <w:p w14:paraId="0FDBEDFD" w14:textId="77777777" w:rsidR="003F2AA2" w:rsidRDefault="003F2AA2" w:rsidP="003F2AA2">
      <w:r>
        <w:t xml:space="preserve">Frente a la atención integral a mujeres víctima de violencias, por un lado se implementarán espacios interinstitucionales con servicios jurídicos y psicosociales a mujeres víctimas de violencias  fortaleciendo el modelo de ruta integral y el acompañamiento psicojurídico en los Centros de Atención de la Fiscalía y URI; y por el otro, se mejorará la eficiencia </w:t>
      </w:r>
      <w:r w:rsidRPr="000E47A8">
        <w:rPr>
          <w:spacing w:val="-6"/>
        </w:rPr>
        <w:t>en la prestación de servicios sociojurídicos y psicosociales dirigidos a mujeres víctimas de violencia a través de diferentes canales, como la Línea Púrpura, la Agencia Mujer y el Sistema Articulado de alertas Tempranas y Hospitales. Adicionalmente, se garantizará una representación jurídica integral a favor de las mujeres víctimas de violencia mediante el apoyo en psicología forense y acompañamiento psicosocial; y se dará acogida y atención a mujeres víctimas de violencia y sus familiares dependientes con enfoque diferencial.</w:t>
      </w:r>
    </w:p>
    <w:p w14:paraId="0345BDF5" w14:textId="77777777" w:rsidR="003F2AA2" w:rsidRDefault="003F2AA2" w:rsidP="003F2AA2"/>
    <w:p w14:paraId="25951894" w14:textId="77777777" w:rsidR="003F2AA2" w:rsidRDefault="003F2AA2" w:rsidP="003F2AA2">
      <w:r>
        <w:t>De igual forma, se promoverán entornos seguros de no violencia para las mujeres desde sus diferencias y diversidades implementando un modelo de prevención y atención de entornos incluyentes y seguros para mujeres en sus diversidades en el transporte y en el espacio público a través de estrategias como Sofía Local y Distrital que proporcionen herramientas para activar rutas de atención y de acceso a la justicia.</w:t>
      </w:r>
    </w:p>
    <w:p w14:paraId="63DC9E90" w14:textId="77777777" w:rsidR="003F2AA2" w:rsidRDefault="003F2AA2" w:rsidP="003F2AA2"/>
    <w:p w14:paraId="3E82301E" w14:textId="0BDAE239"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Finalmente, se ejecutarán acciones en pro de cumplir a cabalidad el Plan Distrital en Prevención de Violencias por Razones de Sexo y Género, con Énfasis en Violencia Intrafamiliar y Sexual.</w:t>
      </w:r>
      <w:r w:rsidR="0065752F">
        <w:t xml:space="preserve"> </w:t>
      </w:r>
      <w:r>
        <w:t xml:space="preserve">Este programa se ejecutará mediante las siguientes </w:t>
      </w:r>
      <w:r w:rsidRPr="00F81652">
        <w:t>metas</w:t>
      </w:r>
      <w:r w:rsidR="00F81652" w:rsidRPr="00F81652">
        <w:t xml:space="preserve"> (</w:t>
      </w:r>
      <w:r w:rsidR="00F81652" w:rsidRPr="00F81652">
        <w:fldChar w:fldCharType="begin"/>
      </w:r>
      <w:r w:rsidR="00F81652" w:rsidRPr="00F81652">
        <w:instrText xml:space="preserve"> REF _Ref165123925 \h </w:instrText>
      </w:r>
      <w:r w:rsidR="00F81652" w:rsidRPr="00F81652">
        <w:fldChar w:fldCharType="separate"/>
      </w:r>
      <w:r w:rsidR="00D01651" w:rsidRPr="00F81652">
        <w:rPr>
          <w:color w:val="C00000"/>
          <w:sz w:val="18"/>
          <w:szCs w:val="18"/>
        </w:rPr>
        <w:t xml:space="preserve">Tabla </w:t>
      </w:r>
      <w:r w:rsidR="00D01651">
        <w:rPr>
          <w:noProof/>
          <w:color w:val="C00000"/>
          <w:sz w:val="18"/>
        </w:rPr>
        <w:t>17</w:t>
      </w:r>
      <w:r w:rsidR="00F81652" w:rsidRPr="00F81652">
        <w:fldChar w:fldCharType="end"/>
      </w:r>
      <w:r w:rsidR="00F81652">
        <w:t>).</w:t>
      </w:r>
    </w:p>
    <w:p w14:paraId="237CC66B" w14:textId="77777777" w:rsidR="003F2AA2" w:rsidRDefault="003F2AA2" w:rsidP="003F2AA2"/>
    <w:p w14:paraId="04D4B058" w14:textId="77777777" w:rsidR="003F2AA2" w:rsidRDefault="003F2AA2" w:rsidP="003F2AA2"/>
    <w:p w14:paraId="7505BB36" w14:textId="77777777" w:rsidR="0065752F" w:rsidRDefault="0065752F">
      <w:pPr>
        <w:spacing w:line="240" w:lineRule="auto"/>
        <w:jc w:val="left"/>
        <w:rPr>
          <w:b/>
          <w:color w:val="C00000"/>
          <w:sz w:val="18"/>
          <w:szCs w:val="18"/>
        </w:rPr>
      </w:pPr>
      <w:r>
        <w:rPr>
          <w:b/>
          <w:color w:val="C00000"/>
          <w:sz w:val="18"/>
          <w:szCs w:val="18"/>
        </w:rPr>
        <w:br w:type="page"/>
      </w:r>
    </w:p>
    <w:p w14:paraId="04635DD4" w14:textId="3A0A3136" w:rsidR="003F2AA2" w:rsidRPr="00257873" w:rsidRDefault="00F81652" w:rsidP="00257873">
      <w:pPr>
        <w:pStyle w:val="Descripcin"/>
        <w:jc w:val="center"/>
        <w:rPr>
          <w:color w:val="3B3838"/>
          <w:sz w:val="18"/>
        </w:rPr>
      </w:pPr>
      <w:bookmarkStart w:id="189" w:name="_Ref165123925"/>
      <w:bookmarkStart w:id="190" w:name="_Toc165169927"/>
      <w:r w:rsidRPr="00F81652">
        <w:rPr>
          <w:color w:val="C00000"/>
          <w:sz w:val="18"/>
        </w:rPr>
        <w:lastRenderedPageBreak/>
        <w:t xml:space="preserve">Tabla </w:t>
      </w:r>
      <w:r w:rsidRPr="00F81652">
        <w:rPr>
          <w:color w:val="C00000"/>
          <w:sz w:val="18"/>
        </w:rPr>
        <w:fldChar w:fldCharType="begin"/>
      </w:r>
      <w:r w:rsidRPr="00F81652">
        <w:rPr>
          <w:color w:val="C00000"/>
          <w:sz w:val="18"/>
        </w:rPr>
        <w:instrText xml:space="preserve"> SEQ Tabla \* ARABIC </w:instrText>
      </w:r>
      <w:r w:rsidRPr="00F81652">
        <w:rPr>
          <w:color w:val="C00000"/>
          <w:sz w:val="18"/>
        </w:rPr>
        <w:fldChar w:fldCharType="separate"/>
      </w:r>
      <w:r w:rsidR="00D01651">
        <w:rPr>
          <w:noProof/>
          <w:color w:val="C00000"/>
          <w:sz w:val="18"/>
        </w:rPr>
        <w:t>17</w:t>
      </w:r>
      <w:r w:rsidRPr="00F81652">
        <w:rPr>
          <w:color w:val="C00000"/>
          <w:sz w:val="18"/>
        </w:rPr>
        <w:fldChar w:fldCharType="end"/>
      </w:r>
      <w:bookmarkEnd w:id="189"/>
      <w:r w:rsidRPr="00F81652">
        <w:rPr>
          <w:color w:val="C00000"/>
          <w:sz w:val="18"/>
        </w:rPr>
        <w:t>.</w:t>
      </w:r>
      <w:r w:rsidR="003F2AA2" w:rsidRPr="00F81652">
        <w:rPr>
          <w:color w:val="C00000"/>
          <w:sz w:val="18"/>
        </w:rPr>
        <w:t xml:space="preserve"> </w:t>
      </w:r>
      <w:r w:rsidR="003F2AA2" w:rsidRPr="00F81652">
        <w:rPr>
          <w:color w:val="3B3838"/>
          <w:sz w:val="18"/>
        </w:rPr>
        <w:t>Metas del programa 2: Cero tolerancia a las violencias contra las mujeres y basadas en género</w:t>
      </w:r>
      <w:bookmarkEnd w:id="190"/>
    </w:p>
    <w:tbl>
      <w:tblPr>
        <w:tblW w:w="9923" w:type="dxa"/>
        <w:jc w:val="center"/>
        <w:tblBorders>
          <w:top w:val="nil"/>
          <w:left w:val="nil"/>
          <w:bottom w:val="nil"/>
          <w:right w:val="nil"/>
          <w:insideH w:val="nil"/>
          <w:insideV w:val="nil"/>
        </w:tblBorders>
        <w:tblLayout w:type="fixed"/>
        <w:tblLook w:val="0600" w:firstRow="0" w:lastRow="0" w:firstColumn="0" w:lastColumn="0" w:noHBand="1" w:noVBand="1"/>
      </w:tblPr>
      <w:tblGrid>
        <w:gridCol w:w="3402"/>
        <w:gridCol w:w="1418"/>
        <w:gridCol w:w="1276"/>
        <w:gridCol w:w="1275"/>
        <w:gridCol w:w="1276"/>
        <w:gridCol w:w="1276"/>
      </w:tblGrid>
      <w:tr w:rsidR="002A4863" w14:paraId="5387C85E" w14:textId="77777777" w:rsidTr="00257873">
        <w:trPr>
          <w:trHeight w:val="153"/>
          <w:jc w:val="center"/>
        </w:trPr>
        <w:tc>
          <w:tcPr>
            <w:tcW w:w="3402"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731337AC" w14:textId="62EDA3A6" w:rsidR="003F2AA2" w:rsidRDefault="003F2AA2" w:rsidP="00C34B1D">
            <w:pPr>
              <w:widowControl w:val="0"/>
              <w:spacing w:line="276" w:lineRule="auto"/>
              <w:ind w:left="180" w:right="219"/>
              <w:jc w:val="center"/>
              <w:rPr>
                <w:b/>
                <w:color w:val="FFFFFF"/>
                <w:sz w:val="24"/>
              </w:rPr>
            </w:pPr>
            <w:r>
              <w:rPr>
                <w:b/>
                <w:color w:val="FFFFFF"/>
                <w:sz w:val="24"/>
              </w:rPr>
              <w:t>S</w:t>
            </w:r>
            <w:r w:rsidR="000E47A8">
              <w:rPr>
                <w:b/>
                <w:color w:val="FFFFFF"/>
                <w:sz w:val="24"/>
              </w:rPr>
              <w:t>ector</w:t>
            </w:r>
            <w:r>
              <w:rPr>
                <w:b/>
                <w:color w:val="FFFFFF"/>
                <w:sz w:val="24"/>
              </w:rPr>
              <w:t xml:space="preserve"> / Metas</w:t>
            </w:r>
          </w:p>
        </w:tc>
        <w:tc>
          <w:tcPr>
            <w:tcW w:w="6521"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434BC163" w14:textId="77777777" w:rsidR="003F2AA2" w:rsidRDefault="003F2AA2" w:rsidP="002A4863">
            <w:pPr>
              <w:widowControl w:val="0"/>
              <w:spacing w:line="276" w:lineRule="auto"/>
              <w:ind w:right="100"/>
              <w:jc w:val="center"/>
              <w:rPr>
                <w:b/>
                <w:color w:val="FFFFFF"/>
                <w:sz w:val="24"/>
              </w:rPr>
            </w:pPr>
            <w:r>
              <w:rPr>
                <w:b/>
                <w:color w:val="FFFFFF"/>
                <w:sz w:val="24"/>
              </w:rPr>
              <w:t>Magnitudes e Inversión</w:t>
            </w:r>
          </w:p>
          <w:p w14:paraId="4C46CF33" w14:textId="77777777" w:rsidR="003F2AA2" w:rsidRDefault="003F2AA2" w:rsidP="002A4863">
            <w:pPr>
              <w:widowControl w:val="0"/>
              <w:spacing w:line="276" w:lineRule="auto"/>
              <w:ind w:right="100"/>
              <w:jc w:val="center"/>
              <w:rPr>
                <w:rFonts w:ascii="Arial" w:eastAsia="Arial" w:hAnsi="Arial" w:cs="Arial"/>
                <w:color w:val="000000"/>
              </w:rPr>
            </w:pPr>
            <w:r>
              <w:rPr>
                <w:b/>
                <w:color w:val="FFFFFF"/>
                <w:sz w:val="18"/>
                <w:szCs w:val="18"/>
              </w:rPr>
              <w:t>(Precios Constantes 2024)</w:t>
            </w:r>
          </w:p>
        </w:tc>
      </w:tr>
      <w:tr w:rsidR="002A4863" w14:paraId="05424AB8" w14:textId="77777777" w:rsidTr="00257873">
        <w:trPr>
          <w:trHeight w:val="20"/>
          <w:jc w:val="center"/>
        </w:trPr>
        <w:tc>
          <w:tcPr>
            <w:tcW w:w="3402" w:type="dxa"/>
            <w:vMerge/>
            <w:tcBorders>
              <w:top w:val="double" w:sz="4" w:space="0" w:color="C00000"/>
              <w:left w:val="nil"/>
              <w:bottom w:val="double" w:sz="4" w:space="0" w:color="C00000"/>
              <w:right w:val="double" w:sz="4" w:space="0" w:color="C00000"/>
            </w:tcBorders>
            <w:shd w:val="clear" w:color="auto" w:fill="C00000"/>
            <w:tcMar>
              <w:top w:w="100" w:type="dxa"/>
              <w:left w:w="100" w:type="dxa"/>
              <w:bottom w:w="100" w:type="dxa"/>
              <w:right w:w="100" w:type="dxa"/>
            </w:tcMar>
            <w:vAlign w:val="center"/>
          </w:tcPr>
          <w:p w14:paraId="1B1EAD1F" w14:textId="77777777" w:rsidR="003F2AA2" w:rsidRDefault="003F2AA2" w:rsidP="00C34B1D">
            <w:pPr>
              <w:widowControl w:val="0"/>
              <w:spacing w:line="276" w:lineRule="auto"/>
              <w:ind w:left="180" w:right="219"/>
              <w:jc w:val="center"/>
              <w:rPr>
                <w:rFonts w:ascii="Arial" w:eastAsia="Arial" w:hAnsi="Arial" w:cs="Arial"/>
                <w:color w:val="000000"/>
              </w:rPr>
            </w:pPr>
          </w:p>
        </w:tc>
        <w:tc>
          <w:tcPr>
            <w:tcW w:w="1418"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02E4321E" w14:textId="77777777" w:rsidR="003F2AA2" w:rsidRPr="00257873" w:rsidRDefault="003F2AA2" w:rsidP="002A4863">
            <w:pPr>
              <w:widowControl w:val="0"/>
              <w:spacing w:line="276" w:lineRule="auto"/>
              <w:ind w:right="100"/>
              <w:jc w:val="center"/>
              <w:rPr>
                <w:rFonts w:ascii="Arial" w:eastAsia="Arial" w:hAnsi="Arial" w:cs="Arial"/>
                <w:color w:val="000000"/>
                <w:sz w:val="20"/>
                <w:szCs w:val="22"/>
              </w:rPr>
            </w:pPr>
            <w:r w:rsidRPr="00257873">
              <w:rPr>
                <w:b/>
                <w:color w:val="000000"/>
                <w:sz w:val="20"/>
                <w:szCs w:val="22"/>
              </w:rPr>
              <w:t>2024</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076350B0" w14:textId="77777777" w:rsidR="003F2AA2" w:rsidRPr="00257873" w:rsidRDefault="003F2AA2" w:rsidP="002A4863">
            <w:pPr>
              <w:widowControl w:val="0"/>
              <w:spacing w:line="276" w:lineRule="auto"/>
              <w:ind w:right="100"/>
              <w:jc w:val="center"/>
              <w:rPr>
                <w:rFonts w:ascii="Arial" w:eastAsia="Arial" w:hAnsi="Arial" w:cs="Arial"/>
                <w:color w:val="000000"/>
                <w:sz w:val="20"/>
                <w:szCs w:val="22"/>
              </w:rPr>
            </w:pPr>
            <w:r w:rsidRPr="00257873">
              <w:rPr>
                <w:b/>
                <w:color w:val="000000"/>
                <w:sz w:val="20"/>
                <w:szCs w:val="22"/>
              </w:rPr>
              <w:t>2025</w:t>
            </w:r>
          </w:p>
        </w:tc>
        <w:tc>
          <w:tcPr>
            <w:tcW w:w="127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081B34BA" w14:textId="77777777" w:rsidR="003F2AA2" w:rsidRPr="00257873" w:rsidRDefault="003F2AA2" w:rsidP="002A4863">
            <w:pPr>
              <w:widowControl w:val="0"/>
              <w:spacing w:line="276" w:lineRule="auto"/>
              <w:ind w:right="100"/>
              <w:jc w:val="center"/>
              <w:rPr>
                <w:rFonts w:ascii="Arial" w:eastAsia="Arial" w:hAnsi="Arial" w:cs="Arial"/>
                <w:color w:val="000000"/>
                <w:sz w:val="20"/>
                <w:szCs w:val="22"/>
              </w:rPr>
            </w:pPr>
            <w:r w:rsidRPr="00257873">
              <w:rPr>
                <w:b/>
                <w:color w:val="000000"/>
                <w:sz w:val="20"/>
                <w:szCs w:val="22"/>
              </w:rPr>
              <w:t>2026</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16C2844D" w14:textId="77777777" w:rsidR="003F2AA2" w:rsidRPr="00257873" w:rsidRDefault="003F2AA2" w:rsidP="002A4863">
            <w:pPr>
              <w:widowControl w:val="0"/>
              <w:spacing w:line="276" w:lineRule="auto"/>
              <w:ind w:right="100"/>
              <w:jc w:val="center"/>
              <w:rPr>
                <w:rFonts w:ascii="Arial" w:eastAsia="Arial" w:hAnsi="Arial" w:cs="Arial"/>
                <w:color w:val="000000"/>
                <w:sz w:val="20"/>
                <w:szCs w:val="22"/>
              </w:rPr>
            </w:pPr>
            <w:r w:rsidRPr="00257873">
              <w:rPr>
                <w:b/>
                <w:color w:val="000000"/>
                <w:sz w:val="20"/>
                <w:szCs w:val="22"/>
              </w:rPr>
              <w:t>2027</w:t>
            </w:r>
          </w:p>
        </w:tc>
        <w:tc>
          <w:tcPr>
            <w:tcW w:w="1276"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3C822D19" w14:textId="0BACF77D" w:rsidR="00C34B1D" w:rsidRPr="00257873" w:rsidRDefault="003F2AA2" w:rsidP="002A4863">
            <w:pPr>
              <w:widowControl w:val="0"/>
              <w:spacing w:line="276" w:lineRule="auto"/>
              <w:ind w:right="100"/>
              <w:jc w:val="center"/>
              <w:rPr>
                <w:b/>
                <w:color w:val="000000"/>
                <w:sz w:val="20"/>
                <w:szCs w:val="22"/>
              </w:rPr>
            </w:pPr>
            <w:r w:rsidRPr="00257873">
              <w:rPr>
                <w:b/>
                <w:color w:val="000000"/>
                <w:sz w:val="20"/>
                <w:szCs w:val="22"/>
              </w:rPr>
              <w:t>Total</w:t>
            </w:r>
          </w:p>
          <w:p w14:paraId="3F5A4628" w14:textId="7BBDD430" w:rsidR="003F2AA2" w:rsidRPr="00257873" w:rsidRDefault="003F2AA2" w:rsidP="002A4863">
            <w:pPr>
              <w:widowControl w:val="0"/>
              <w:spacing w:line="276" w:lineRule="auto"/>
              <w:ind w:right="100"/>
              <w:jc w:val="center"/>
              <w:rPr>
                <w:rFonts w:ascii="Arial" w:eastAsia="Arial" w:hAnsi="Arial" w:cs="Arial"/>
                <w:color w:val="000000"/>
                <w:sz w:val="20"/>
                <w:szCs w:val="22"/>
              </w:rPr>
            </w:pPr>
            <w:r w:rsidRPr="00257873">
              <w:rPr>
                <w:b/>
                <w:color w:val="000000"/>
                <w:sz w:val="20"/>
                <w:szCs w:val="22"/>
              </w:rPr>
              <w:t>Inversión</w:t>
            </w:r>
          </w:p>
        </w:tc>
      </w:tr>
      <w:tr w:rsidR="002A4863" w14:paraId="3CA6EE1F" w14:textId="77777777" w:rsidTr="00257873">
        <w:trPr>
          <w:trHeight w:val="17"/>
          <w:jc w:val="center"/>
        </w:trPr>
        <w:tc>
          <w:tcPr>
            <w:tcW w:w="9923"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5B3934AE" w14:textId="3C1068B8" w:rsidR="003F2AA2" w:rsidRPr="000E47A8" w:rsidRDefault="000E47A8" w:rsidP="002A4863">
            <w:pPr>
              <w:widowControl w:val="0"/>
              <w:spacing w:line="276" w:lineRule="auto"/>
              <w:ind w:left="180" w:right="100"/>
              <w:jc w:val="center"/>
              <w:rPr>
                <w:rFonts w:ascii="Arial" w:eastAsia="Arial" w:hAnsi="Arial" w:cs="Arial"/>
                <w:color w:val="FFFFFF" w:themeColor="background1"/>
              </w:rPr>
            </w:pPr>
            <w:r w:rsidRPr="000E47A8">
              <w:rPr>
                <w:b/>
                <w:color w:val="FFFFFF" w:themeColor="background1"/>
              </w:rPr>
              <w:t>Mujer</w:t>
            </w:r>
          </w:p>
        </w:tc>
      </w:tr>
      <w:tr w:rsidR="002A4863" w14:paraId="37519435" w14:textId="77777777" w:rsidTr="00257873">
        <w:trPr>
          <w:trHeight w:val="138"/>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B09FF37" w14:textId="77777777"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Asegurar que el 100% de los casos de representación jurídica ejercida por la SDMUJER que requieran servicios de psicología forense y acompañamiento psicosocial accedan a los mismos</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90C6A8"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222079A"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8A806E"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6DBB8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6BEF88A"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20.526.119.197</w:t>
            </w:r>
          </w:p>
        </w:tc>
      </w:tr>
      <w:tr w:rsidR="002A4863" w14:paraId="68E316E7" w14:textId="77777777" w:rsidTr="00257873">
        <w:trPr>
          <w:trHeight w:val="42"/>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4FAF996F" w14:textId="77777777" w:rsidR="003F2AA2" w:rsidRPr="00C34B1D" w:rsidRDefault="003F2AA2" w:rsidP="00C34B1D">
            <w:pPr>
              <w:widowControl w:val="0"/>
              <w:spacing w:line="276" w:lineRule="auto"/>
              <w:ind w:left="180" w:right="219"/>
              <w:jc w:val="right"/>
              <w:rPr>
                <w:rFonts w:eastAsia="Arial" w:cs="Arial"/>
                <w:color w:val="000000"/>
                <w:sz w:val="16"/>
                <w:szCs w:val="16"/>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9E0B8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4.781.149.223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02DB3A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5.082.872.233</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51030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5.255.591.192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EEE237"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5.406.506.548</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71691F4F" w14:textId="77777777" w:rsidR="003F2AA2" w:rsidRPr="00C34B1D" w:rsidRDefault="003F2AA2" w:rsidP="002A4863">
            <w:pPr>
              <w:widowControl w:val="0"/>
              <w:spacing w:line="276" w:lineRule="auto"/>
              <w:ind w:right="100"/>
              <w:jc w:val="right"/>
              <w:rPr>
                <w:rFonts w:eastAsia="Arial" w:cs="Arial"/>
                <w:color w:val="000000"/>
                <w:sz w:val="16"/>
                <w:szCs w:val="16"/>
              </w:rPr>
            </w:pPr>
          </w:p>
        </w:tc>
      </w:tr>
      <w:tr w:rsidR="002A4863" w14:paraId="4D451044" w14:textId="77777777" w:rsidTr="004575B4">
        <w:trPr>
          <w:trHeight w:val="528"/>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AF289D6" w14:textId="77777777"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Aumentar a (22) espacios interinstitucionales los servicios jurídicos y psicosociales dirigidos a mujeres víctimas de violencia, fortaleciendo el modelo de ruta integral y la oferta de acompañamiento psico jurídico en los Centros de Atención de Fiscalía y URIs</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59EC27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98170A"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3B8CE8B"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3D8AAA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22</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A1686FA"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23.676.639.818</w:t>
            </w:r>
          </w:p>
        </w:tc>
      </w:tr>
      <w:tr w:rsidR="002A4863" w14:paraId="3D10DE7D" w14:textId="77777777" w:rsidTr="004575B4">
        <w:trPr>
          <w:trHeight w:val="360"/>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6D8DECD2" w14:textId="77777777" w:rsidR="003F2AA2" w:rsidRPr="00C34B1D" w:rsidRDefault="003F2AA2" w:rsidP="00C34B1D">
            <w:pPr>
              <w:widowControl w:val="0"/>
              <w:spacing w:line="276" w:lineRule="auto"/>
              <w:ind w:left="180" w:right="219"/>
              <w:jc w:val="right"/>
              <w:rPr>
                <w:rFonts w:eastAsia="Arial" w:cs="Arial"/>
                <w:color w:val="000000"/>
                <w:sz w:val="16"/>
                <w:szCs w:val="16"/>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C3389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5.515.000.034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45FB07B"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5.863.034.017</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02499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6.062.263.328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CEA0F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6.236.342.438</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42010B07" w14:textId="77777777" w:rsidR="003F2AA2" w:rsidRPr="00C34B1D" w:rsidRDefault="003F2AA2" w:rsidP="002A4863">
            <w:pPr>
              <w:widowControl w:val="0"/>
              <w:spacing w:line="276" w:lineRule="auto"/>
              <w:ind w:right="100"/>
              <w:jc w:val="right"/>
              <w:rPr>
                <w:rFonts w:eastAsia="Arial" w:cs="Arial"/>
                <w:color w:val="000000"/>
                <w:sz w:val="16"/>
                <w:szCs w:val="16"/>
              </w:rPr>
            </w:pPr>
          </w:p>
        </w:tc>
      </w:tr>
      <w:tr w:rsidR="002A4863" w14:paraId="7C7FD742" w14:textId="77777777" w:rsidTr="004575B4">
        <w:trPr>
          <w:trHeight w:val="267"/>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9ADD63A" w14:textId="77777777" w:rsidR="009331CF" w:rsidRDefault="003F2AA2" w:rsidP="00C34B1D">
            <w:pPr>
              <w:widowControl w:val="0"/>
              <w:spacing w:line="276" w:lineRule="auto"/>
              <w:ind w:left="180" w:right="219"/>
              <w:jc w:val="right"/>
              <w:rPr>
                <w:color w:val="000000"/>
                <w:sz w:val="16"/>
                <w:szCs w:val="16"/>
              </w:rPr>
            </w:pPr>
            <w:r w:rsidRPr="00C34B1D">
              <w:rPr>
                <w:color w:val="000000"/>
                <w:sz w:val="16"/>
                <w:szCs w:val="16"/>
              </w:rPr>
              <w:t>Aumentar a 2 unidades de operación la estrategia Casa de Todas</w:t>
            </w:r>
            <w:r w:rsidR="009331CF">
              <w:rPr>
                <w:color w:val="000000"/>
                <w:sz w:val="16"/>
                <w:szCs w:val="16"/>
              </w:rPr>
              <w:t>,</w:t>
            </w:r>
            <w:r w:rsidRPr="00C34B1D">
              <w:rPr>
                <w:color w:val="000000"/>
                <w:sz w:val="16"/>
                <w:szCs w:val="16"/>
              </w:rPr>
              <w:t xml:space="preserve"> 1</w:t>
            </w:r>
            <w:r w:rsidR="009331CF">
              <w:rPr>
                <w:color w:val="000000"/>
                <w:sz w:val="16"/>
                <w:szCs w:val="16"/>
              </w:rPr>
              <w:t xml:space="preserve"> sede física</w:t>
            </w:r>
            <w:r w:rsidRPr="00C34B1D">
              <w:rPr>
                <w:color w:val="000000"/>
                <w:sz w:val="16"/>
                <w:szCs w:val="16"/>
              </w:rPr>
              <w:t xml:space="preserve"> y </w:t>
            </w:r>
          </w:p>
          <w:p w14:paraId="4B343E2C" w14:textId="3EBB11FC"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1 móvil.</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41F2E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0F73D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2DC9BC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4503D57"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2,0</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54E00C1"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9.260.621.219</w:t>
            </w:r>
          </w:p>
        </w:tc>
      </w:tr>
      <w:tr w:rsidR="002A4863" w14:paraId="100D0291" w14:textId="77777777" w:rsidTr="004575B4">
        <w:trPr>
          <w:trHeight w:val="113"/>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4F71F570" w14:textId="77777777" w:rsidR="003F2AA2" w:rsidRPr="00C34B1D" w:rsidRDefault="003F2AA2" w:rsidP="00C34B1D">
            <w:pPr>
              <w:widowControl w:val="0"/>
              <w:spacing w:line="276" w:lineRule="auto"/>
              <w:ind w:left="180" w:right="219"/>
              <w:jc w:val="right"/>
              <w:rPr>
                <w:rFonts w:eastAsia="Arial" w:cs="Arial"/>
                <w:color w:val="000000"/>
                <w:sz w:val="16"/>
                <w:szCs w:val="16"/>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E1AA45"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2.157.076.626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94DF814"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2.293.202.821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F32D708"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2.371.127.189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70177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2.439.214.582</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0341D820" w14:textId="77777777" w:rsidR="003F2AA2" w:rsidRPr="00C34B1D" w:rsidRDefault="003F2AA2" w:rsidP="002A4863">
            <w:pPr>
              <w:widowControl w:val="0"/>
              <w:spacing w:line="276" w:lineRule="auto"/>
              <w:ind w:right="100"/>
              <w:jc w:val="right"/>
              <w:rPr>
                <w:rFonts w:eastAsia="Arial" w:cs="Arial"/>
                <w:color w:val="000000"/>
                <w:sz w:val="16"/>
                <w:szCs w:val="16"/>
              </w:rPr>
            </w:pPr>
          </w:p>
        </w:tc>
      </w:tr>
      <w:tr w:rsidR="002A4863" w14:paraId="11420E0E" w14:textId="77777777" w:rsidTr="00257873">
        <w:trPr>
          <w:trHeight w:val="20"/>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E283E55" w14:textId="77777777"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Garantizar la prestación de servicios socio jurídicos y psicosociales especializados al 100% de las mujeres víctimas de violencia remitidas a través de las estrategias Línea Púrpura, Agencia Mujer, sistema de alertas tempranas y hospitales, entre otros.</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EC229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F6C66E"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2734D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21FB03"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0A767B2"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69.693.334.947</w:t>
            </w:r>
          </w:p>
        </w:tc>
      </w:tr>
      <w:tr w:rsidR="002A4863" w14:paraId="3DB427D7" w14:textId="77777777" w:rsidTr="004575B4">
        <w:trPr>
          <w:trHeight w:val="394"/>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2E21E243" w14:textId="77777777" w:rsidR="003F2AA2" w:rsidRPr="00C34B1D" w:rsidRDefault="003F2AA2" w:rsidP="00C34B1D">
            <w:pPr>
              <w:widowControl w:val="0"/>
              <w:spacing w:line="276" w:lineRule="auto"/>
              <w:ind w:left="180" w:right="219"/>
              <w:jc w:val="right"/>
              <w:rPr>
                <w:rFonts w:eastAsia="Arial" w:cs="Arial"/>
                <w:color w:val="000000"/>
                <w:sz w:val="16"/>
                <w:szCs w:val="16"/>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F2008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16.233.669.456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0A186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17.258.124.325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55E79B"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17.844.565.443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A2D8C8"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18.356.975.723</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616368B1" w14:textId="77777777" w:rsidR="003F2AA2" w:rsidRPr="00C34B1D" w:rsidRDefault="003F2AA2" w:rsidP="002A4863">
            <w:pPr>
              <w:widowControl w:val="0"/>
              <w:spacing w:line="276" w:lineRule="auto"/>
              <w:ind w:right="100"/>
              <w:jc w:val="right"/>
              <w:rPr>
                <w:rFonts w:eastAsia="Arial" w:cs="Arial"/>
                <w:color w:val="000000"/>
                <w:sz w:val="16"/>
                <w:szCs w:val="16"/>
              </w:rPr>
            </w:pPr>
          </w:p>
        </w:tc>
      </w:tr>
      <w:tr w:rsidR="002A4863" w14:paraId="2F4E58F7" w14:textId="77777777" w:rsidTr="004575B4">
        <w:trPr>
          <w:trHeight w:val="325"/>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3693F44" w14:textId="77777777"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Implementar 1 modelo integral para garantizar los derechos humanos de las mujeres construyendo entornos seguros e incluyentes en transporte y espacio público.</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ACFD94"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0,5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288E37F"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0,7</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8C329C"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0,8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7E82B6"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1,0</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1694A26"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14.320.548.277</w:t>
            </w:r>
          </w:p>
        </w:tc>
      </w:tr>
      <w:tr w:rsidR="002A4863" w14:paraId="486F7F89" w14:textId="77777777" w:rsidTr="00257873">
        <w:trPr>
          <w:trHeight w:val="20"/>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6BB7C84E" w14:textId="77777777" w:rsidR="003F2AA2" w:rsidRPr="00C34B1D" w:rsidRDefault="003F2AA2" w:rsidP="00C34B1D">
            <w:pPr>
              <w:widowControl w:val="0"/>
              <w:spacing w:line="276" w:lineRule="auto"/>
              <w:ind w:left="180" w:right="219"/>
              <w:jc w:val="right"/>
              <w:rPr>
                <w:rFonts w:eastAsia="Arial" w:cs="Arial"/>
                <w:color w:val="000000"/>
                <w:sz w:val="16"/>
                <w:szCs w:val="16"/>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8C4A9B"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3.335.685.505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16CFF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3.546.189.930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733E36F"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3.666.691.529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A8EA7A"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3.771.981.313</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4737F2EE" w14:textId="77777777" w:rsidR="003F2AA2" w:rsidRPr="00C34B1D" w:rsidRDefault="003F2AA2" w:rsidP="002A4863">
            <w:pPr>
              <w:widowControl w:val="0"/>
              <w:spacing w:line="276" w:lineRule="auto"/>
              <w:ind w:right="100"/>
              <w:jc w:val="right"/>
              <w:rPr>
                <w:rFonts w:eastAsia="Arial" w:cs="Arial"/>
                <w:color w:val="000000"/>
                <w:sz w:val="16"/>
                <w:szCs w:val="16"/>
              </w:rPr>
            </w:pPr>
          </w:p>
        </w:tc>
      </w:tr>
      <w:tr w:rsidR="002A4863" w14:paraId="20543068" w14:textId="77777777" w:rsidTr="00257873">
        <w:trPr>
          <w:trHeight w:val="20"/>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87C73E5" w14:textId="77777777"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Implementar en 6 Casas Refugio los servicios con enfoque diferencial brindando atención a mujeres víctimas de violencia y sus sistemas familiares dependientes entre otras incluyendo una casa para mujeres de la ruralidad y campesinas y un modelo intermedio</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77232F"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A8D99D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552B54D"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0224A9"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6</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A45517F"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57.186.722.785</w:t>
            </w:r>
          </w:p>
        </w:tc>
      </w:tr>
      <w:tr w:rsidR="002A4863" w14:paraId="6B3E355C" w14:textId="77777777" w:rsidTr="00257873">
        <w:trPr>
          <w:trHeight w:val="671"/>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58D1D342" w14:textId="77777777" w:rsidR="003F2AA2" w:rsidRPr="00C34B1D" w:rsidRDefault="003F2AA2" w:rsidP="00C34B1D">
            <w:pPr>
              <w:widowControl w:val="0"/>
              <w:spacing w:line="276" w:lineRule="auto"/>
              <w:ind w:left="180" w:right="219"/>
              <w:jc w:val="right"/>
              <w:rPr>
                <w:rFonts w:eastAsia="Arial" w:cs="Arial"/>
                <w:color w:val="000000"/>
                <w:sz w:val="16"/>
                <w:szCs w:val="16"/>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A25DC7"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13.320.504.116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3F443C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14.161.118.453</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D82040"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14.642.321.507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5A089E"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15.062.778.709</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6B099FA4" w14:textId="77777777" w:rsidR="003F2AA2" w:rsidRPr="00C34B1D" w:rsidRDefault="003F2AA2" w:rsidP="002A4863">
            <w:pPr>
              <w:widowControl w:val="0"/>
              <w:spacing w:line="276" w:lineRule="auto"/>
              <w:ind w:right="100"/>
              <w:jc w:val="right"/>
              <w:rPr>
                <w:rFonts w:eastAsia="Arial" w:cs="Arial"/>
                <w:color w:val="000000"/>
                <w:sz w:val="16"/>
                <w:szCs w:val="16"/>
              </w:rPr>
            </w:pPr>
          </w:p>
        </w:tc>
      </w:tr>
      <w:tr w:rsidR="002A4863" w14:paraId="1866BC9E" w14:textId="77777777" w:rsidTr="00257873">
        <w:trPr>
          <w:trHeight w:val="15"/>
          <w:jc w:val="center"/>
        </w:trPr>
        <w:tc>
          <w:tcPr>
            <w:tcW w:w="9923"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4C920215" w14:textId="7C125B1F" w:rsidR="003F2AA2" w:rsidRPr="002A4863" w:rsidRDefault="002A4863" w:rsidP="002A4863">
            <w:pPr>
              <w:widowControl w:val="0"/>
              <w:spacing w:line="276" w:lineRule="auto"/>
              <w:ind w:left="180" w:right="100"/>
              <w:jc w:val="center"/>
              <w:rPr>
                <w:rFonts w:eastAsia="Arial" w:cs="Arial"/>
                <w:color w:val="000000"/>
                <w:szCs w:val="22"/>
              </w:rPr>
            </w:pPr>
            <w:r w:rsidRPr="002A4863">
              <w:rPr>
                <w:b/>
                <w:color w:val="FFFFFF" w:themeColor="background1"/>
                <w:szCs w:val="22"/>
              </w:rPr>
              <w:t>Salud</w:t>
            </w:r>
          </w:p>
        </w:tc>
      </w:tr>
      <w:tr w:rsidR="002A4863" w14:paraId="522BCB05" w14:textId="77777777" w:rsidTr="004575B4">
        <w:trPr>
          <w:trHeight w:val="510"/>
          <w:jc w:val="center"/>
        </w:trPr>
        <w:tc>
          <w:tcPr>
            <w:tcW w:w="340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85EBCD6" w14:textId="77777777" w:rsidR="003F2AA2" w:rsidRPr="00C34B1D" w:rsidRDefault="003F2AA2" w:rsidP="00C34B1D">
            <w:pPr>
              <w:widowControl w:val="0"/>
              <w:spacing w:line="276" w:lineRule="auto"/>
              <w:ind w:left="180" w:right="219"/>
              <w:jc w:val="right"/>
              <w:rPr>
                <w:color w:val="000000"/>
                <w:sz w:val="16"/>
                <w:szCs w:val="16"/>
              </w:rPr>
            </w:pPr>
            <w:r w:rsidRPr="00C34B1D">
              <w:rPr>
                <w:color w:val="000000"/>
                <w:sz w:val="16"/>
                <w:szCs w:val="16"/>
              </w:rPr>
              <w:t>Lograr el 100% de implementación de las acciones para la prevención y atención de la violencia intrafamiliar el maltrato infantil y la violencia sexual.</w:t>
            </w: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7F2381"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981C376"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34572B"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00C32B" w14:textId="77777777" w:rsidR="003F2AA2" w:rsidRPr="00C34B1D" w:rsidRDefault="003F2AA2" w:rsidP="002A4863">
            <w:pPr>
              <w:widowControl w:val="0"/>
              <w:spacing w:line="276" w:lineRule="auto"/>
              <w:ind w:right="100"/>
              <w:jc w:val="right"/>
              <w:rPr>
                <w:rFonts w:eastAsia="Arial" w:cs="Arial"/>
                <w:color w:val="000000"/>
                <w:sz w:val="16"/>
                <w:szCs w:val="16"/>
              </w:rPr>
            </w:pPr>
            <w:r w:rsidRPr="00C34B1D">
              <w:rPr>
                <w:color w:val="000000"/>
                <w:sz w:val="16"/>
                <w:szCs w:val="16"/>
              </w:rPr>
              <w:t>100%</w:t>
            </w:r>
          </w:p>
        </w:tc>
        <w:tc>
          <w:tcPr>
            <w:tcW w:w="1276"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14C2B74" w14:textId="77777777" w:rsidR="003F2AA2" w:rsidRPr="00C34B1D" w:rsidRDefault="003F2AA2" w:rsidP="002A4863">
            <w:pPr>
              <w:widowControl w:val="0"/>
              <w:spacing w:line="276" w:lineRule="auto"/>
              <w:ind w:right="100"/>
              <w:jc w:val="right"/>
              <w:rPr>
                <w:b/>
                <w:color w:val="000000"/>
                <w:sz w:val="16"/>
                <w:szCs w:val="16"/>
              </w:rPr>
            </w:pPr>
            <w:r w:rsidRPr="00C34B1D">
              <w:rPr>
                <w:b/>
                <w:color w:val="000000"/>
                <w:sz w:val="16"/>
                <w:szCs w:val="16"/>
              </w:rPr>
              <w:t>2.638.065.529</w:t>
            </w:r>
          </w:p>
        </w:tc>
      </w:tr>
      <w:tr w:rsidR="002A4863" w14:paraId="5C91B860" w14:textId="77777777" w:rsidTr="004575B4">
        <w:trPr>
          <w:trHeight w:val="315"/>
          <w:jc w:val="center"/>
        </w:trPr>
        <w:tc>
          <w:tcPr>
            <w:tcW w:w="340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5185C66" w14:textId="77777777" w:rsidR="003F2AA2" w:rsidRDefault="003F2AA2" w:rsidP="00C34B1D">
            <w:pPr>
              <w:widowControl w:val="0"/>
              <w:spacing w:line="276" w:lineRule="auto"/>
              <w:ind w:left="180" w:right="219"/>
              <w:rPr>
                <w:rFonts w:ascii="Arial" w:eastAsia="Arial" w:hAnsi="Arial" w:cs="Arial"/>
                <w:color w:val="000000"/>
              </w:rPr>
            </w:pPr>
          </w:p>
        </w:tc>
        <w:tc>
          <w:tcPr>
            <w:tcW w:w="1418"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29DB03D" w14:textId="77777777" w:rsidR="003F2AA2" w:rsidRDefault="003F2AA2" w:rsidP="002A4863">
            <w:pPr>
              <w:widowControl w:val="0"/>
              <w:spacing w:line="276" w:lineRule="auto"/>
              <w:ind w:right="100"/>
              <w:jc w:val="center"/>
              <w:rPr>
                <w:rFonts w:ascii="Arial" w:eastAsia="Arial" w:hAnsi="Arial" w:cs="Arial"/>
                <w:color w:val="000000"/>
                <w:sz w:val="18"/>
                <w:szCs w:val="18"/>
              </w:rPr>
            </w:pPr>
            <w:r>
              <w:rPr>
                <w:color w:val="000000"/>
                <w:sz w:val="18"/>
                <w:szCs w:val="18"/>
              </w:rPr>
              <w:t>50.169.000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367EDF50" w14:textId="77777777" w:rsidR="003F2AA2" w:rsidRDefault="003F2AA2" w:rsidP="002A4863">
            <w:pPr>
              <w:widowControl w:val="0"/>
              <w:spacing w:line="276" w:lineRule="auto"/>
              <w:ind w:right="100"/>
              <w:jc w:val="center"/>
              <w:rPr>
                <w:rFonts w:ascii="Arial" w:eastAsia="Arial" w:hAnsi="Arial" w:cs="Arial"/>
                <w:color w:val="000000"/>
                <w:sz w:val="18"/>
                <w:szCs w:val="18"/>
              </w:rPr>
            </w:pPr>
            <w:r>
              <w:rPr>
                <w:color w:val="000000"/>
                <w:sz w:val="18"/>
                <w:szCs w:val="18"/>
              </w:rPr>
              <w:t>888.252.427</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3C49E105" w14:textId="77777777" w:rsidR="003F2AA2" w:rsidRDefault="003F2AA2" w:rsidP="002A4863">
            <w:pPr>
              <w:widowControl w:val="0"/>
              <w:spacing w:line="276" w:lineRule="auto"/>
              <w:ind w:right="100"/>
              <w:jc w:val="center"/>
              <w:rPr>
                <w:rFonts w:ascii="Arial" w:eastAsia="Arial" w:hAnsi="Arial" w:cs="Arial"/>
                <w:color w:val="000000"/>
                <w:sz w:val="18"/>
                <w:szCs w:val="18"/>
              </w:rPr>
            </w:pPr>
            <w:r>
              <w:rPr>
                <w:color w:val="000000"/>
                <w:sz w:val="18"/>
                <w:szCs w:val="18"/>
              </w:rPr>
              <w:t>862.380.997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794A584D" w14:textId="77777777" w:rsidR="003F2AA2" w:rsidRDefault="003F2AA2" w:rsidP="002A4863">
            <w:pPr>
              <w:widowControl w:val="0"/>
              <w:spacing w:line="276" w:lineRule="auto"/>
              <w:ind w:right="100"/>
              <w:jc w:val="center"/>
              <w:rPr>
                <w:rFonts w:ascii="Arial" w:eastAsia="Arial" w:hAnsi="Arial" w:cs="Arial"/>
                <w:color w:val="000000"/>
                <w:sz w:val="18"/>
                <w:szCs w:val="18"/>
              </w:rPr>
            </w:pPr>
            <w:r>
              <w:rPr>
                <w:color w:val="000000"/>
                <w:sz w:val="18"/>
                <w:szCs w:val="18"/>
              </w:rPr>
              <w:t>837.263.104</w:t>
            </w:r>
          </w:p>
        </w:tc>
        <w:tc>
          <w:tcPr>
            <w:tcW w:w="1276"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42A79DC" w14:textId="77777777" w:rsidR="003F2AA2" w:rsidRDefault="003F2AA2" w:rsidP="002A4863">
            <w:pPr>
              <w:widowControl w:val="0"/>
              <w:spacing w:line="276" w:lineRule="auto"/>
              <w:ind w:right="100"/>
              <w:jc w:val="left"/>
              <w:rPr>
                <w:rFonts w:ascii="Arial" w:eastAsia="Arial" w:hAnsi="Arial" w:cs="Arial"/>
                <w:color w:val="000000"/>
              </w:rPr>
            </w:pPr>
          </w:p>
        </w:tc>
      </w:tr>
    </w:tbl>
    <w:p w14:paraId="7F4CC3A1" w14:textId="2CDF0D12" w:rsidR="003F2AA2" w:rsidRDefault="003F2AA2" w:rsidP="00DC1CE3">
      <w:pPr>
        <w:pStyle w:val="NIVEL4"/>
      </w:pPr>
      <w:bookmarkStart w:id="191" w:name="_Toc165169759"/>
      <w:r>
        <w:rPr>
          <w:color w:val="C00000"/>
        </w:rPr>
        <w:lastRenderedPageBreak/>
        <w:t xml:space="preserve">Programa 3: </w:t>
      </w:r>
      <w:r>
        <w:t>Desmantelamiento de estructuras criminales y delincuenciales con mejores capacidades y activos tecnológicos</w:t>
      </w:r>
      <w:bookmarkEnd w:id="191"/>
    </w:p>
    <w:p w14:paraId="0F47F272" w14:textId="77777777" w:rsidR="004575B4" w:rsidRDefault="004575B4" w:rsidP="00F95E7C">
      <w:pPr>
        <w:pStyle w:val="subnumeros"/>
        <w:numPr>
          <w:ilvl w:val="0"/>
          <w:numId w:val="0"/>
        </w:numPr>
        <w:ind w:left="708"/>
        <w:outlineLvl w:val="9"/>
      </w:pPr>
    </w:p>
    <w:p w14:paraId="3EF9F73E" w14:textId="4A2BA3DF" w:rsidR="003F2AA2" w:rsidRPr="005F7350" w:rsidRDefault="003F2AA2" w:rsidP="00AD24BD">
      <w:pPr>
        <w:pStyle w:val="subnumeros"/>
        <w:numPr>
          <w:ilvl w:val="0"/>
          <w:numId w:val="0"/>
        </w:numPr>
        <w:ind w:left="1145" w:hanging="720"/>
        <w:outlineLvl w:val="9"/>
        <w:rPr>
          <w:sz w:val="24"/>
          <w:szCs w:val="22"/>
        </w:rPr>
        <w:sectPr w:rsidR="003F2AA2" w:rsidRPr="005F7350" w:rsidSect="00F7078E">
          <w:type w:val="continuous"/>
          <w:pgSz w:w="12240" w:h="15840"/>
          <w:pgMar w:top="2262" w:right="1440" w:bottom="1440" w:left="1440" w:header="709" w:footer="709" w:gutter="0"/>
          <w:cols w:space="720"/>
          <w:docGrid w:linePitch="299"/>
        </w:sectPr>
      </w:pPr>
      <w:r w:rsidRPr="005F7350">
        <w:rPr>
          <w:sz w:val="24"/>
          <w:szCs w:val="22"/>
        </w:rPr>
        <w:t>Diagnóstico</w:t>
      </w:r>
    </w:p>
    <w:p w14:paraId="168ED3D4" w14:textId="77777777" w:rsidR="003F2AA2" w:rsidRDefault="003F2AA2" w:rsidP="003F2AA2">
      <w:r>
        <w:t>En Bogotá se ha registrado un aumento en las actividades del crimen organizado, las cuales impactan a nivel regional. Este incremento se refleja en casos de tráfico de drogas, extorsión, violencia homicida y hurto, entre otros delitos. La diversidad de factores que contribuyen a este aumento de la delincuencia resalta la urgencia de una mayor coordinación entre las instituciones, así como el fortalecimiento de la Policía y sus recursos tecnológicos.</w:t>
      </w:r>
    </w:p>
    <w:p w14:paraId="00611861" w14:textId="77777777" w:rsidR="003F2AA2" w:rsidRDefault="003F2AA2" w:rsidP="003F2AA2"/>
    <w:p w14:paraId="27F0E2BC" w14:textId="06A48564" w:rsidR="003F2AA2" w:rsidRDefault="003F2AA2" w:rsidP="003F2AA2">
      <w:r>
        <w:t>El mercado del tráfico de drogas es uno de los principales generadores de violencia, que opera en escalas locales y zonales. Para mantener el control tanto dentro como fuera de las organizaciones criminales, se recurre a tácticas como el homicidio de integrantes de otras bandas o incluso de los propios, y de personas de la comunidad consideradas una amenaza para sus intereses. Estas mismas estrategias de control se observan en otros mercados ilícitos, como la trata de personas y el mercado ilegal de tierras.</w:t>
      </w:r>
    </w:p>
    <w:p w14:paraId="5F370131" w14:textId="77777777" w:rsidR="003F2AA2" w:rsidRDefault="003F2AA2" w:rsidP="003F2AA2"/>
    <w:p w14:paraId="5C35942F" w14:textId="77777777" w:rsidR="003F2AA2" w:rsidRDefault="003F2AA2" w:rsidP="003F2AA2">
      <w:r>
        <w:t xml:space="preserve">Otra renta ilegal que se ha dinamizado es la extorsión; entre 2022 y 2023 se presentó un incremento del 18 %, pasó de 1.336 a 1.583 denuncias. En la territorialización del delito se observa que </w:t>
      </w:r>
      <w:r>
        <w:t>las variaciones por localidades son disímiles, pero se destacan con mayor incremento Los Mártires (190 %), Kennedy (66 %) y Bosa (65 %) (SSCJ-SIEDCO, 2024). Frente a lo anterior, se debe considerar que estas denuncias tienden a presentar subregistros por temor a las represalias que pueda ejercer la delincuencia.</w:t>
      </w:r>
    </w:p>
    <w:p w14:paraId="0E82B1AF" w14:textId="77777777" w:rsidR="003F2AA2" w:rsidRDefault="003F2AA2" w:rsidP="003F2AA2"/>
    <w:p w14:paraId="46E73B8C" w14:textId="77777777" w:rsidR="003F2AA2" w:rsidRDefault="003F2AA2" w:rsidP="003F2AA2">
      <w:r>
        <w:t>Así mismo, la ciudad ha evidenciado un aumento en la frecuencia de la violencia a través del homicidio por sicariato en localidades con alta concentración de economías criminales. Por ejemplo, Ciudad Bolívar presentó un incremento exponencial de sicariato entre 2019 y 2022, pasó de 66 registros a 91, y Kennedy pasó de 46 registros en 2019 a 82 en 2021.</w:t>
      </w:r>
    </w:p>
    <w:p w14:paraId="2FE453CF" w14:textId="77777777" w:rsidR="003F2AA2" w:rsidRDefault="003F2AA2" w:rsidP="003F2AA2"/>
    <w:p w14:paraId="656FFFE4" w14:textId="1F07F4C1"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Estos datos sugieren que las economías ilegales en Bogotá han sido impulsadas por una fuerte competencia, al mismo tiempo que los métodos violentos de los actores del crimen se han vuelto más evidentes (OAIEE, 2023), lo que indica una falta de confianza en la capacidad del Estado para hacer cumplir la ley. Al analizar la tasa de homicidios del último año, se observa un aumento en comparación con el año anterior (0,8 % para 2023 frente a 2022) </w:t>
      </w:r>
      <w:r w:rsidRPr="00F95E7C">
        <w:t>(</w:t>
      </w:r>
      <w:r w:rsidR="00F95E7C" w:rsidRPr="00F95E7C">
        <w:fldChar w:fldCharType="begin"/>
      </w:r>
      <w:r w:rsidR="00F95E7C" w:rsidRPr="00F95E7C">
        <w:instrText xml:space="preserve"> REF _Ref165124286 \h </w:instrText>
      </w:r>
      <w:r w:rsidR="00F95E7C" w:rsidRPr="00F95E7C">
        <w:fldChar w:fldCharType="separate"/>
      </w:r>
      <w:r w:rsidR="00D01651" w:rsidRPr="00F95E7C">
        <w:rPr>
          <w:color w:val="C00000"/>
          <w:sz w:val="18"/>
          <w:szCs w:val="18"/>
        </w:rPr>
        <w:t xml:space="preserve">Gráfica </w:t>
      </w:r>
      <w:r w:rsidR="00D01651">
        <w:rPr>
          <w:noProof/>
          <w:color w:val="C00000"/>
          <w:sz w:val="18"/>
        </w:rPr>
        <w:t>29</w:t>
      </w:r>
      <w:r w:rsidR="00F95E7C" w:rsidRPr="00F95E7C">
        <w:fldChar w:fldCharType="end"/>
      </w:r>
      <w:r>
        <w:t>).</w:t>
      </w:r>
    </w:p>
    <w:p w14:paraId="14B8C9EA" w14:textId="77777777" w:rsidR="003F2AA2" w:rsidRDefault="003F2AA2" w:rsidP="003F2AA2"/>
    <w:p w14:paraId="4E694873" w14:textId="516B2985" w:rsidR="004575B4" w:rsidRDefault="006239FB" w:rsidP="006239FB">
      <w:pPr>
        <w:pStyle w:val="Descripcin"/>
        <w:jc w:val="center"/>
        <w:rPr>
          <w:sz w:val="18"/>
        </w:rPr>
      </w:pPr>
      <w:bookmarkStart w:id="192" w:name="_Ref165124286"/>
      <w:bookmarkStart w:id="193" w:name="_Toc165169855"/>
      <w:r>
        <w:rPr>
          <w:noProof/>
        </w:rPr>
        <w:drawing>
          <wp:anchor distT="0" distB="0" distL="114300" distR="114300" simplePos="0" relativeHeight="251744256" behindDoc="0" locked="0" layoutInCell="1" hidden="0" allowOverlap="1" wp14:anchorId="570EA0C8" wp14:editId="3E1CB4F7">
            <wp:simplePos x="0" y="0"/>
            <wp:positionH relativeFrom="column">
              <wp:posOffset>216881</wp:posOffset>
            </wp:positionH>
            <wp:positionV relativeFrom="paragraph">
              <wp:posOffset>182476</wp:posOffset>
            </wp:positionV>
            <wp:extent cx="5209847" cy="1634383"/>
            <wp:effectExtent l="19050" t="19050" r="10160" b="23495"/>
            <wp:wrapNone/>
            <wp:docPr id="213351598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7"/>
                    <a:srcRect/>
                    <a:stretch>
                      <a:fillRect/>
                    </a:stretch>
                  </pic:blipFill>
                  <pic:spPr>
                    <a:xfrm>
                      <a:off x="0" y="0"/>
                      <a:ext cx="5209847" cy="1634383"/>
                    </a:xfrm>
                    <a:prstGeom prst="rect">
                      <a:avLst/>
                    </a:prstGeom>
                    <a:ln w="3175">
                      <a:solidFill>
                        <a:schemeClr val="bg1"/>
                      </a:solidFill>
                      <a:prstDash val="solid"/>
                    </a:ln>
                  </pic:spPr>
                </pic:pic>
              </a:graphicData>
            </a:graphic>
            <wp14:sizeRelH relativeFrom="margin">
              <wp14:pctWidth>0</wp14:pctWidth>
            </wp14:sizeRelH>
            <wp14:sizeRelV relativeFrom="margin">
              <wp14:pctHeight>0</wp14:pctHeight>
            </wp14:sizeRelV>
          </wp:anchor>
        </w:drawing>
      </w:r>
      <w:r w:rsidR="00F95E7C" w:rsidRPr="00F95E7C">
        <w:rPr>
          <w:color w:val="C00000"/>
          <w:sz w:val="18"/>
        </w:rPr>
        <w:t xml:space="preserve">Gráfica </w:t>
      </w:r>
      <w:r w:rsidR="00F95E7C" w:rsidRPr="00F95E7C">
        <w:rPr>
          <w:color w:val="C00000"/>
          <w:sz w:val="18"/>
        </w:rPr>
        <w:fldChar w:fldCharType="begin"/>
      </w:r>
      <w:r w:rsidR="00F95E7C" w:rsidRPr="00F95E7C">
        <w:rPr>
          <w:color w:val="C00000"/>
          <w:sz w:val="18"/>
        </w:rPr>
        <w:instrText xml:space="preserve"> SEQ Gráfica \* ARABIC </w:instrText>
      </w:r>
      <w:r w:rsidR="00F95E7C" w:rsidRPr="00F95E7C">
        <w:rPr>
          <w:color w:val="C00000"/>
          <w:sz w:val="18"/>
        </w:rPr>
        <w:fldChar w:fldCharType="separate"/>
      </w:r>
      <w:r w:rsidR="00D01651">
        <w:rPr>
          <w:noProof/>
          <w:color w:val="C00000"/>
          <w:sz w:val="18"/>
        </w:rPr>
        <w:t>29</w:t>
      </w:r>
      <w:r w:rsidR="00F95E7C" w:rsidRPr="00F95E7C">
        <w:rPr>
          <w:color w:val="C00000"/>
          <w:sz w:val="18"/>
        </w:rPr>
        <w:fldChar w:fldCharType="end"/>
      </w:r>
      <w:bookmarkEnd w:id="192"/>
      <w:r w:rsidR="00F95E7C" w:rsidRPr="00F95E7C">
        <w:rPr>
          <w:color w:val="C00000"/>
          <w:sz w:val="18"/>
        </w:rPr>
        <w:t xml:space="preserve">. </w:t>
      </w:r>
      <w:r w:rsidR="003F2AA2" w:rsidRPr="00F95E7C">
        <w:rPr>
          <w:sz w:val="18"/>
        </w:rPr>
        <w:t>Tasa de homicidios de Bogotá (1962-2023)</w:t>
      </w:r>
      <w:bookmarkEnd w:id="193"/>
    </w:p>
    <w:p w14:paraId="551AEE8A" w14:textId="77777777" w:rsidR="006239FB" w:rsidRPr="006239FB" w:rsidRDefault="006239FB" w:rsidP="006239FB">
      <w:pPr>
        <w:rPr>
          <w:lang w:val="es-419" w:eastAsia="en-US"/>
        </w:rPr>
      </w:pPr>
    </w:p>
    <w:p w14:paraId="7023FB01" w14:textId="2C37AFA2" w:rsidR="004575B4" w:rsidRDefault="004575B4" w:rsidP="003F2AA2">
      <w:pPr>
        <w:pBdr>
          <w:top w:val="nil"/>
          <w:left w:val="nil"/>
          <w:bottom w:val="nil"/>
          <w:right w:val="nil"/>
          <w:between w:val="nil"/>
        </w:pBdr>
        <w:spacing w:line="220" w:lineRule="auto"/>
        <w:jc w:val="center"/>
        <w:rPr>
          <w:color w:val="C00000"/>
          <w:sz w:val="18"/>
          <w:szCs w:val="18"/>
        </w:rPr>
      </w:pPr>
    </w:p>
    <w:p w14:paraId="7E8B75EE" w14:textId="5284A6E6" w:rsidR="003F2AA2" w:rsidRDefault="003F2AA2" w:rsidP="003F2AA2">
      <w:pPr>
        <w:pBdr>
          <w:top w:val="nil"/>
          <w:left w:val="nil"/>
          <w:bottom w:val="nil"/>
          <w:right w:val="nil"/>
          <w:between w:val="nil"/>
        </w:pBdr>
        <w:spacing w:line="220" w:lineRule="auto"/>
        <w:jc w:val="center"/>
        <w:rPr>
          <w:color w:val="C00000"/>
          <w:sz w:val="18"/>
          <w:szCs w:val="18"/>
        </w:rPr>
      </w:pPr>
    </w:p>
    <w:p w14:paraId="4738328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1F85E9B"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4052452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F34227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E1B10A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F5A1C25"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EF6BD09"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ABEFD61"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4771D98" w14:textId="77777777" w:rsidR="003F2AA2" w:rsidRDefault="003F2AA2" w:rsidP="003F2AA2"/>
    <w:p w14:paraId="48B72CC1" w14:textId="1614BFB3"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SIEDCO y </w:t>
      </w:r>
      <w:r>
        <w:rPr>
          <w:i/>
          <w:color w:val="3B3838"/>
          <w:sz w:val="18"/>
          <w:szCs w:val="18"/>
        </w:rPr>
        <w:t>Revista Criminalidad.</w:t>
      </w:r>
      <w:r>
        <w:rPr>
          <w:color w:val="3B3838"/>
          <w:sz w:val="18"/>
          <w:szCs w:val="18"/>
        </w:rPr>
        <w:t xml:space="preserve"> Población proyectada a partir de crecimientos de población del 3 % hasta 1984. Proyecciones y retroproyecciones de población del DANE a partir de los censos de 1984, 2005 y 2018.</w:t>
      </w:r>
    </w:p>
    <w:p w14:paraId="350AF62B" w14:textId="009295AF" w:rsidR="004575B4" w:rsidRDefault="004575B4" w:rsidP="003F2AA2">
      <w:pPr>
        <w:pBdr>
          <w:top w:val="nil"/>
          <w:left w:val="nil"/>
          <w:bottom w:val="nil"/>
          <w:right w:val="nil"/>
          <w:between w:val="nil"/>
        </w:pBdr>
        <w:spacing w:line="220" w:lineRule="auto"/>
        <w:jc w:val="center"/>
        <w:rPr>
          <w:color w:val="3B3838"/>
          <w:sz w:val="18"/>
          <w:szCs w:val="18"/>
        </w:rPr>
      </w:pPr>
    </w:p>
    <w:p w14:paraId="128507AF" w14:textId="77777777" w:rsidR="004575B4" w:rsidRDefault="004575B4" w:rsidP="003F2AA2">
      <w:pPr>
        <w:pBdr>
          <w:top w:val="nil"/>
          <w:left w:val="nil"/>
          <w:bottom w:val="nil"/>
          <w:right w:val="nil"/>
          <w:between w:val="nil"/>
        </w:pBdr>
        <w:spacing w:line="220" w:lineRule="auto"/>
        <w:jc w:val="center"/>
        <w:rPr>
          <w:color w:val="3B3838"/>
          <w:sz w:val="18"/>
          <w:szCs w:val="18"/>
        </w:rPr>
      </w:pPr>
    </w:p>
    <w:p w14:paraId="363CCE77" w14:textId="77777777" w:rsidR="003F2AA2" w:rsidRDefault="003F2AA2" w:rsidP="003F2AA2">
      <w:pPr>
        <w:rPr>
          <w:i/>
        </w:rPr>
        <w:sectPr w:rsidR="003F2AA2" w:rsidSect="00F7078E">
          <w:type w:val="continuous"/>
          <w:pgSz w:w="12240" w:h="15840"/>
          <w:pgMar w:top="2262" w:right="1440" w:bottom="1440" w:left="1440" w:header="708" w:footer="708" w:gutter="0"/>
          <w:cols w:space="720"/>
        </w:sectPr>
      </w:pPr>
    </w:p>
    <w:p w14:paraId="55C989B7" w14:textId="77777777" w:rsidR="003F2AA2" w:rsidRDefault="003F2AA2" w:rsidP="003F2AA2">
      <w:r>
        <w:t>A nivel territorial, se consolidan focos históricos de violencia homicida, relacionados con la presencia de estructuras y mercados criminales, en particular en las localidades de Ciudad Bolívar, Kennedy y Bosa, que en promedio presentan el 42 % de los homicidios desde el 2019.</w:t>
      </w:r>
    </w:p>
    <w:p w14:paraId="2FB50D32" w14:textId="77777777" w:rsidR="003F2AA2" w:rsidRDefault="003F2AA2" w:rsidP="003F2AA2"/>
    <w:p w14:paraId="4FC7F73A" w14:textId="16F7355B"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Adicionalmente, en la región, los municipios cercanos a Bogotá con mayor tasa de homicidios por cada 10.000 habitantes son Soacha (1,49), Madrid (1,11) y Funza (1,07). Sin embargo, la mayoría de los municipios que comparten frontera con Bogotá registran tasas relativamente más bajas que las del Distrito de Bogotá (1,10) (</w:t>
      </w:r>
      <w:r w:rsidR="008E11FC" w:rsidRPr="008E11FC">
        <w:fldChar w:fldCharType="begin"/>
      </w:r>
      <w:r w:rsidR="008E11FC" w:rsidRPr="008E11FC">
        <w:instrText xml:space="preserve"> REF _Ref165124381 \h </w:instrText>
      </w:r>
      <w:r w:rsidR="008E11FC" w:rsidRPr="008E11FC">
        <w:fldChar w:fldCharType="separate"/>
      </w:r>
      <w:r w:rsidR="00D01651" w:rsidRPr="00D325BE">
        <w:rPr>
          <w:color w:val="C00000"/>
          <w:sz w:val="18"/>
          <w:szCs w:val="18"/>
        </w:rPr>
        <w:t xml:space="preserve">Mapa </w:t>
      </w:r>
      <w:r w:rsidR="00D01651">
        <w:rPr>
          <w:noProof/>
          <w:color w:val="C00000"/>
          <w:sz w:val="18"/>
        </w:rPr>
        <w:t>4</w:t>
      </w:r>
      <w:r w:rsidR="008E11FC" w:rsidRPr="008E11FC">
        <w:fldChar w:fldCharType="end"/>
      </w:r>
      <w:r w:rsidRPr="008E11FC">
        <w:t>).</w:t>
      </w:r>
    </w:p>
    <w:p w14:paraId="45645186" w14:textId="77777777" w:rsidR="003F2AA2" w:rsidRDefault="003F2AA2" w:rsidP="003F2AA2">
      <w:pPr>
        <w:rPr>
          <w:b/>
        </w:rPr>
      </w:pPr>
    </w:p>
    <w:p w14:paraId="53A592DE" w14:textId="1CFAF76B" w:rsidR="003F2AA2" w:rsidRPr="00D325BE" w:rsidRDefault="00D325BE" w:rsidP="00D325BE">
      <w:pPr>
        <w:pStyle w:val="Descripcin"/>
        <w:jc w:val="center"/>
        <w:rPr>
          <w:sz w:val="18"/>
        </w:rPr>
      </w:pPr>
      <w:bookmarkStart w:id="194" w:name="_Ref165124381"/>
      <w:bookmarkStart w:id="195" w:name="_Toc165170028"/>
      <w:r w:rsidRPr="00D325BE">
        <w:rPr>
          <w:color w:val="C00000"/>
          <w:sz w:val="18"/>
        </w:rPr>
        <w:t xml:space="preserve">Mapa </w:t>
      </w:r>
      <w:r w:rsidRPr="00D325BE">
        <w:rPr>
          <w:color w:val="C00000"/>
          <w:sz w:val="18"/>
        </w:rPr>
        <w:fldChar w:fldCharType="begin"/>
      </w:r>
      <w:r w:rsidRPr="00D325BE">
        <w:rPr>
          <w:color w:val="C00000"/>
          <w:sz w:val="18"/>
        </w:rPr>
        <w:instrText xml:space="preserve"> SEQ Mapa \* ARABIC </w:instrText>
      </w:r>
      <w:r w:rsidRPr="00D325BE">
        <w:rPr>
          <w:color w:val="C00000"/>
          <w:sz w:val="18"/>
        </w:rPr>
        <w:fldChar w:fldCharType="separate"/>
      </w:r>
      <w:r w:rsidR="00D01651">
        <w:rPr>
          <w:noProof/>
          <w:color w:val="C00000"/>
          <w:sz w:val="18"/>
        </w:rPr>
        <w:t>4</w:t>
      </w:r>
      <w:r w:rsidRPr="00D325BE">
        <w:rPr>
          <w:color w:val="C00000"/>
          <w:sz w:val="18"/>
        </w:rPr>
        <w:fldChar w:fldCharType="end"/>
      </w:r>
      <w:bookmarkEnd w:id="194"/>
      <w:r w:rsidRPr="00D325BE">
        <w:rPr>
          <w:color w:val="C00000"/>
          <w:sz w:val="18"/>
        </w:rPr>
        <w:t xml:space="preserve">. </w:t>
      </w:r>
      <w:r w:rsidR="003F2AA2" w:rsidRPr="00D325BE">
        <w:rPr>
          <w:sz w:val="18"/>
        </w:rPr>
        <w:t>Tasa de homicidios por cada 10.000 habitantes (2023)</w:t>
      </w:r>
      <w:bookmarkEnd w:id="195"/>
    </w:p>
    <w:p w14:paraId="12003095" w14:textId="77777777" w:rsidR="003F2AA2" w:rsidRDefault="003F2AA2" w:rsidP="003F2AA2">
      <w:r>
        <w:rPr>
          <w:noProof/>
        </w:rPr>
        <w:drawing>
          <wp:anchor distT="0" distB="0" distL="114300" distR="114300" simplePos="0" relativeHeight="251745280" behindDoc="0" locked="0" layoutInCell="1" hidden="0" allowOverlap="1" wp14:anchorId="5C78782B" wp14:editId="6423B3CC">
            <wp:simplePos x="0" y="0"/>
            <wp:positionH relativeFrom="column">
              <wp:posOffset>1536065</wp:posOffset>
            </wp:positionH>
            <wp:positionV relativeFrom="paragraph">
              <wp:posOffset>52803</wp:posOffset>
            </wp:positionV>
            <wp:extent cx="2536043" cy="2912817"/>
            <wp:effectExtent l="0" t="0" r="0" b="1905"/>
            <wp:wrapNone/>
            <wp:docPr id="2133515983" name="image4.pn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Mapa&#10;&#10;Descripción generada automáticamente"/>
                    <pic:cNvPicPr preferRelativeResize="0"/>
                  </pic:nvPicPr>
                  <pic:blipFill>
                    <a:blip r:embed="rId98"/>
                    <a:srcRect/>
                    <a:stretch>
                      <a:fillRect/>
                    </a:stretch>
                  </pic:blipFill>
                  <pic:spPr>
                    <a:xfrm>
                      <a:off x="0" y="0"/>
                      <a:ext cx="2536043" cy="2912817"/>
                    </a:xfrm>
                    <a:prstGeom prst="rect">
                      <a:avLst/>
                    </a:prstGeom>
                    <a:ln/>
                    <a:effectLst>
                      <a:innerShdw>
                        <a:prstClr val="black"/>
                      </a:innerShdw>
                      <a:softEdge rad="0"/>
                    </a:effectLst>
                  </pic:spPr>
                </pic:pic>
              </a:graphicData>
            </a:graphic>
          </wp:anchor>
        </w:drawing>
      </w:r>
    </w:p>
    <w:p w14:paraId="2C54871E" w14:textId="77777777" w:rsidR="003F2AA2" w:rsidRDefault="003F2AA2" w:rsidP="003F2AA2"/>
    <w:p w14:paraId="41D04C36" w14:textId="77777777" w:rsidR="003F2AA2" w:rsidRDefault="003F2AA2" w:rsidP="003F2AA2"/>
    <w:p w14:paraId="6F0883F0" w14:textId="77777777" w:rsidR="003F2AA2" w:rsidRDefault="003F2AA2" w:rsidP="003F2AA2"/>
    <w:p w14:paraId="34BA839A" w14:textId="2D5BC91C" w:rsidR="003F2AA2" w:rsidRDefault="003F2AA2" w:rsidP="003F2AA2"/>
    <w:p w14:paraId="0FBE80FB" w14:textId="77777777" w:rsidR="005D1AD3" w:rsidRDefault="005D1AD3" w:rsidP="003F2AA2"/>
    <w:p w14:paraId="725776B2" w14:textId="77777777" w:rsidR="003F2AA2" w:rsidRDefault="003F2AA2" w:rsidP="003F2AA2"/>
    <w:p w14:paraId="20717D02" w14:textId="77777777" w:rsidR="003F2AA2" w:rsidRDefault="003F2AA2" w:rsidP="003F2AA2"/>
    <w:p w14:paraId="3CD57065" w14:textId="77777777" w:rsidR="003F2AA2" w:rsidRDefault="003F2AA2" w:rsidP="003F2AA2"/>
    <w:p w14:paraId="6345B525" w14:textId="77777777" w:rsidR="003F2AA2" w:rsidRDefault="003F2AA2" w:rsidP="003F2AA2"/>
    <w:p w14:paraId="04434036" w14:textId="77777777" w:rsidR="003F2AA2" w:rsidRDefault="003F2AA2" w:rsidP="003F2AA2"/>
    <w:p w14:paraId="2302FD15" w14:textId="77777777" w:rsidR="003F2AA2" w:rsidRDefault="003F2AA2" w:rsidP="003F2AA2"/>
    <w:p w14:paraId="44B3E193" w14:textId="77777777" w:rsidR="003F2AA2" w:rsidRDefault="003F2AA2" w:rsidP="003F2AA2"/>
    <w:p w14:paraId="43E1A12A" w14:textId="77777777" w:rsidR="003F2AA2" w:rsidRDefault="003F2AA2" w:rsidP="003F2AA2"/>
    <w:p w14:paraId="46C9B34A" w14:textId="77777777" w:rsidR="003F2AA2" w:rsidRDefault="003F2AA2" w:rsidP="003F2AA2"/>
    <w:p w14:paraId="42EFFAB8" w14:textId="77777777" w:rsidR="003F2AA2" w:rsidRDefault="003F2AA2" w:rsidP="003F2AA2"/>
    <w:p w14:paraId="0B7240B6" w14:textId="77777777" w:rsidR="003F2AA2" w:rsidRDefault="003F2AA2" w:rsidP="003F2AA2"/>
    <w:p w14:paraId="39292DC1"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BCD225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99965CD"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ODUR, SDP a partir de Estadísticas Delictivas de la Policía Nacional y proyecciones de población DANE.</w:t>
      </w:r>
    </w:p>
    <w:p w14:paraId="09AAB6FF" w14:textId="77777777" w:rsidR="008E11FC" w:rsidRDefault="008E11FC" w:rsidP="003F2AA2">
      <w:pPr>
        <w:pBdr>
          <w:top w:val="nil"/>
          <w:left w:val="nil"/>
          <w:bottom w:val="nil"/>
          <w:right w:val="nil"/>
          <w:between w:val="nil"/>
        </w:pBdr>
        <w:spacing w:line="220" w:lineRule="auto"/>
        <w:jc w:val="center"/>
        <w:rPr>
          <w:color w:val="3B3838"/>
          <w:sz w:val="18"/>
          <w:szCs w:val="18"/>
        </w:rPr>
      </w:pPr>
    </w:p>
    <w:p w14:paraId="07AAA27F" w14:textId="77777777" w:rsidR="008E11FC" w:rsidRDefault="008E11FC" w:rsidP="003F2AA2">
      <w:pPr>
        <w:pBdr>
          <w:top w:val="nil"/>
          <w:left w:val="nil"/>
          <w:bottom w:val="nil"/>
          <w:right w:val="nil"/>
          <w:between w:val="nil"/>
        </w:pBdr>
        <w:spacing w:line="220" w:lineRule="auto"/>
        <w:jc w:val="center"/>
        <w:rPr>
          <w:i/>
          <w:color w:val="3B3838"/>
          <w:sz w:val="18"/>
          <w:szCs w:val="18"/>
        </w:rPr>
        <w:sectPr w:rsidR="008E11FC" w:rsidSect="00F7078E">
          <w:type w:val="continuous"/>
          <w:pgSz w:w="12240" w:h="15840"/>
          <w:pgMar w:top="2262" w:right="1440" w:bottom="1440" w:left="1440" w:header="708" w:footer="708" w:gutter="0"/>
          <w:cols w:space="720"/>
        </w:sectPr>
      </w:pPr>
    </w:p>
    <w:p w14:paraId="38289B9C" w14:textId="620BA708"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Ahora bien, con respecto a la tasa de hurto a personas por cada 10.000 habitantes, el patrón espacial resulta en una concentración de </w:t>
      </w:r>
      <w:r>
        <w:t xml:space="preserve">municipios con tasas por encima de 85 en torno a Bogotá. Se destacan: Bogotá, Cota, Funza, Chía, Soacha y </w:t>
      </w:r>
      <w:r w:rsidRPr="00BD4860">
        <w:t>Mosquera (</w:t>
      </w:r>
      <w:r w:rsidR="00BD4860" w:rsidRPr="00BD4860">
        <w:fldChar w:fldCharType="begin"/>
      </w:r>
      <w:r w:rsidR="00BD4860" w:rsidRPr="00BD4860">
        <w:instrText xml:space="preserve"> REF _Ref165124473 \h </w:instrText>
      </w:r>
      <w:r w:rsidR="00BD4860" w:rsidRPr="00BD4860">
        <w:fldChar w:fldCharType="separate"/>
      </w:r>
      <w:r w:rsidR="00D01651" w:rsidRPr="00BD4860">
        <w:rPr>
          <w:color w:val="C00000"/>
          <w:sz w:val="18"/>
          <w:szCs w:val="18"/>
        </w:rPr>
        <w:t xml:space="preserve">Mapa </w:t>
      </w:r>
      <w:r w:rsidR="00D01651">
        <w:rPr>
          <w:noProof/>
          <w:color w:val="C00000"/>
          <w:sz w:val="18"/>
        </w:rPr>
        <w:t>5</w:t>
      </w:r>
      <w:r w:rsidR="00BD4860" w:rsidRPr="00BD4860">
        <w:fldChar w:fldCharType="end"/>
      </w:r>
      <w:r w:rsidRPr="00BD4860">
        <w:t>).</w:t>
      </w:r>
    </w:p>
    <w:p w14:paraId="08E66F5D" w14:textId="77777777" w:rsidR="003F2AA2" w:rsidRDefault="003F2AA2" w:rsidP="003F2AA2"/>
    <w:p w14:paraId="0B4B0566" w14:textId="77777777" w:rsidR="003F2AA2" w:rsidRPr="005D1AD3" w:rsidRDefault="003F2AA2" w:rsidP="003F2AA2">
      <w:pPr>
        <w:rPr>
          <w:b/>
          <w:bCs/>
        </w:rPr>
      </w:pPr>
    </w:p>
    <w:p w14:paraId="1E2BA2FC" w14:textId="77777777" w:rsidR="00BD4860" w:rsidRDefault="00BD4860">
      <w:pPr>
        <w:spacing w:line="240" w:lineRule="auto"/>
        <w:jc w:val="left"/>
        <w:rPr>
          <w:b/>
          <w:bCs/>
          <w:sz w:val="18"/>
          <w:szCs w:val="18"/>
        </w:rPr>
      </w:pPr>
      <w:r>
        <w:rPr>
          <w:b/>
          <w:bCs/>
          <w:sz w:val="18"/>
          <w:szCs w:val="18"/>
        </w:rPr>
        <w:br w:type="page"/>
      </w:r>
    </w:p>
    <w:p w14:paraId="1A0BEC65" w14:textId="114C12E4" w:rsidR="003F2AA2" w:rsidRPr="00BE2319" w:rsidRDefault="00BE2319" w:rsidP="00BE2319">
      <w:pPr>
        <w:pStyle w:val="Descripcin"/>
        <w:jc w:val="center"/>
        <w:rPr>
          <w:sz w:val="18"/>
        </w:rPr>
      </w:pPr>
      <w:bookmarkStart w:id="196" w:name="_Ref165124473"/>
      <w:bookmarkStart w:id="197" w:name="_Toc165170029"/>
      <w:r>
        <w:rPr>
          <w:noProof/>
        </w:rPr>
        <w:lastRenderedPageBreak/>
        <w:drawing>
          <wp:anchor distT="0" distB="0" distL="114300" distR="114300" simplePos="0" relativeHeight="251746304" behindDoc="0" locked="0" layoutInCell="1" hidden="0" allowOverlap="1" wp14:anchorId="63486254" wp14:editId="39AFE249">
            <wp:simplePos x="0" y="0"/>
            <wp:positionH relativeFrom="column">
              <wp:posOffset>1262092</wp:posOffset>
            </wp:positionH>
            <wp:positionV relativeFrom="paragraph">
              <wp:posOffset>209608</wp:posOffset>
            </wp:positionV>
            <wp:extent cx="3318510" cy="3803236"/>
            <wp:effectExtent l="0" t="0" r="0" b="6985"/>
            <wp:wrapNone/>
            <wp:docPr id="213351599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9"/>
                    <a:srcRect/>
                    <a:stretch>
                      <a:fillRect/>
                    </a:stretch>
                  </pic:blipFill>
                  <pic:spPr>
                    <a:xfrm>
                      <a:off x="0" y="0"/>
                      <a:ext cx="3318510" cy="3803236"/>
                    </a:xfrm>
                    <a:prstGeom prst="rect">
                      <a:avLst/>
                    </a:prstGeom>
                    <a:ln/>
                    <a:effectLst>
                      <a:innerShdw>
                        <a:prstClr val="black"/>
                      </a:innerShdw>
                      <a:softEdge rad="0"/>
                    </a:effectLst>
                  </pic:spPr>
                </pic:pic>
              </a:graphicData>
            </a:graphic>
          </wp:anchor>
        </w:drawing>
      </w:r>
      <w:r w:rsidR="00BD4860" w:rsidRPr="00BD4860">
        <w:rPr>
          <w:color w:val="C00000"/>
          <w:sz w:val="18"/>
        </w:rPr>
        <w:t xml:space="preserve">Mapa </w:t>
      </w:r>
      <w:r w:rsidR="00BD4860" w:rsidRPr="00BD4860">
        <w:rPr>
          <w:color w:val="C00000"/>
          <w:sz w:val="18"/>
        </w:rPr>
        <w:fldChar w:fldCharType="begin"/>
      </w:r>
      <w:r w:rsidR="00BD4860" w:rsidRPr="00BD4860">
        <w:rPr>
          <w:color w:val="C00000"/>
          <w:sz w:val="18"/>
        </w:rPr>
        <w:instrText xml:space="preserve"> SEQ Mapa \* ARABIC </w:instrText>
      </w:r>
      <w:r w:rsidR="00BD4860" w:rsidRPr="00BD4860">
        <w:rPr>
          <w:color w:val="C00000"/>
          <w:sz w:val="18"/>
        </w:rPr>
        <w:fldChar w:fldCharType="separate"/>
      </w:r>
      <w:r w:rsidR="00D01651">
        <w:rPr>
          <w:noProof/>
          <w:color w:val="C00000"/>
          <w:sz w:val="18"/>
        </w:rPr>
        <w:t>5</w:t>
      </w:r>
      <w:r w:rsidR="00BD4860" w:rsidRPr="00BD4860">
        <w:rPr>
          <w:color w:val="C00000"/>
          <w:sz w:val="18"/>
        </w:rPr>
        <w:fldChar w:fldCharType="end"/>
      </w:r>
      <w:bookmarkEnd w:id="196"/>
      <w:r w:rsidR="00BD4860" w:rsidRPr="00BD4860">
        <w:rPr>
          <w:color w:val="C00000"/>
          <w:sz w:val="18"/>
        </w:rPr>
        <w:t xml:space="preserve">. </w:t>
      </w:r>
      <w:r w:rsidR="003F2AA2" w:rsidRPr="00BD4860">
        <w:rPr>
          <w:sz w:val="18"/>
        </w:rPr>
        <w:t>Tasa de hurtos por cada 10.000 habitantes (2023)</w:t>
      </w:r>
      <w:bookmarkEnd w:id="197"/>
      <w:r>
        <w:rPr>
          <w:sz w:val="18"/>
        </w:rPr>
        <w:br/>
      </w:r>
    </w:p>
    <w:p w14:paraId="5678ABD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E6640EF"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3D5F02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16A23F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FF3805D"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B907FB9"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180B380"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173006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3E44804"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7AB82F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9CB27F3"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1C86B4B"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0C90A2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B97D90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B6CDCD9"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A613060"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4D89878D"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021FA4D"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28C19C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3C62E99"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4F6AA15"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5E79CE7"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17B2961"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CEF3173"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F48DFF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9C5FD9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B9EA6C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0702196"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48C571C6"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ACE5BBD"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ODUR, SDP a partir de Estadísticas Delictivas de la Policía Nacional y proyecciones de población DANE.</w:t>
      </w:r>
    </w:p>
    <w:p w14:paraId="49A23A60" w14:textId="77777777" w:rsidR="003F2AA2" w:rsidRDefault="003F2AA2" w:rsidP="003F2AA2"/>
    <w:p w14:paraId="6FA6511C" w14:textId="77777777" w:rsidR="003F2AA2" w:rsidRDefault="003F2AA2" w:rsidP="003F2AA2">
      <w:pPr>
        <w:sectPr w:rsidR="003F2AA2" w:rsidSect="00F7078E">
          <w:type w:val="continuous"/>
          <w:pgSz w:w="12240" w:h="15840"/>
          <w:pgMar w:top="2262" w:right="1440" w:bottom="1440" w:left="1440" w:header="708" w:footer="708" w:gutter="0"/>
          <w:cols w:space="720"/>
        </w:sectPr>
      </w:pPr>
    </w:p>
    <w:p w14:paraId="5A829003" w14:textId="77777777" w:rsidR="003F2AA2" w:rsidRDefault="003F2AA2" w:rsidP="003F2AA2">
      <w:r>
        <w:t>Ante el creciente impacto de las actividades del crimen organizado en la ciudad y su influencia en la aglomeración económica a nivel regional, es importante reconocer que, si bien esta concentración económica favorece la generación de empleo, también puede tener efectos negativos, especialmente en los índices de criminalidad. Lo anterior, bajo la premisa de que la actividad criminal no tiene restricciones en cuanto a los límites administrativos; por el contrario, son actividades con una relación de costo-eficiencia que está en función de las debilidades subyacentes de la estructura político-administrativa de los territorios.</w:t>
      </w:r>
    </w:p>
    <w:p w14:paraId="5DDBB235" w14:textId="77777777" w:rsidR="003F2AA2" w:rsidRDefault="003F2AA2" w:rsidP="003F2AA2"/>
    <w:p w14:paraId="50508367" w14:textId="77777777" w:rsidR="003F2AA2" w:rsidRDefault="003F2AA2" w:rsidP="003F2AA2">
      <w:r>
        <w:t xml:space="preserve">Como consecuencia de este aumento acelerado del crimen organizado, el Sistema de Videovigilancia del Distrito Capital, durante años recientes y en cumplimiento de la Ley 1801 de 2016, </w:t>
      </w:r>
      <w:r>
        <w:t>desde el Centro de Comando Control, Comunicaciones y Cómputo (C4) de la SDSCJ, ha adelantado una estrategia de integración de cámaras de privados que tienen una visualización única y exclusiva hacia exteriores o espacios públicos. A junio de 2023, cuenta con 9.905 cámaras localizadas en puntos estratégicos de la ciudad, 5.828 de ellas son propiedad de la SDSCJ, 2.241 son integradas de entidades privadas, 1.776 de TransMilenio, 40 de la Secretaría de Movilidad, 14 de la Corporación Autónoma Regional (CAR) y 6 de Invías.</w:t>
      </w:r>
    </w:p>
    <w:p w14:paraId="3BCDF2B1" w14:textId="77777777" w:rsidR="003F2AA2" w:rsidRDefault="003F2AA2" w:rsidP="003F2AA2"/>
    <w:p w14:paraId="66E435D5" w14:textId="77777777" w:rsidR="003F2AA2" w:rsidRDefault="003F2AA2" w:rsidP="003F2AA2">
      <w:r>
        <w:t xml:space="preserve">Es más, Bogotá cuenta con 801 Redes Ciudadanas y 1.577 Frentes de Seguridad, los cuales se fortalecen con la entrega de kits tecnológicos que incluyen alarmas, botones de pánico, cámaras de vigilancia, radios y otras herramientas conectadas al C4 de la ciudad. Incluso, se cuenta </w:t>
      </w:r>
      <w:r>
        <w:lastRenderedPageBreak/>
        <w:t>con la nueva plataforma tecnológica VESTA NG911 en el C4, para la gestión de llamadas de emergencia del Número Único de Seguridad y Emergencias (NUSE).</w:t>
      </w:r>
    </w:p>
    <w:p w14:paraId="5BF21BCC" w14:textId="77777777" w:rsidR="003F2AA2" w:rsidRDefault="003F2AA2" w:rsidP="003F2AA2"/>
    <w:p w14:paraId="72213EC4" w14:textId="77777777" w:rsidR="003F2AA2" w:rsidRDefault="003F2AA2" w:rsidP="003F2AA2">
      <w:r>
        <w:t xml:space="preserve">Igualmente, a nivel regional, con el objetivo de hacer frente al fenómeno de la criminalidad, el Acuerdo Regional 003 de 2022 que determina la estructura organizacional de la Región Metropolitana Bogotá-Cundinamarca y las funciones de sus dependencias, define en su artículo 15 que los miembros del Consejo Regional conformarán el Consejo Regional de Seguridad y Convivencia Ciudadana y Justicia para la coordinación y complementariedad de las acciones en esta materia, incluyendo también a las demás autoridades relacionadas, de conformidad con </w:t>
      </w:r>
      <w:r>
        <w:t>las leye</w:t>
      </w:r>
      <w:r>
        <w:rPr>
          <w:color w:val="000000"/>
        </w:rPr>
        <w:t xml:space="preserve">s </w:t>
      </w:r>
      <w:hyperlink r:id="rId100">
        <w:r>
          <w:rPr>
            <w:color w:val="000000"/>
          </w:rPr>
          <w:t>2199</w:t>
        </w:r>
      </w:hyperlink>
      <w:r>
        <w:rPr>
          <w:color w:val="000000"/>
        </w:rPr>
        <w:t xml:space="preserve"> de 2022, </w:t>
      </w:r>
      <w:hyperlink r:id="rId101">
        <w:r>
          <w:rPr>
            <w:color w:val="000000"/>
          </w:rPr>
          <w:t>1801</w:t>
        </w:r>
      </w:hyperlink>
      <w:r>
        <w:rPr>
          <w:color w:val="000000"/>
        </w:rPr>
        <w:t xml:space="preserve"> </w:t>
      </w:r>
      <w:r>
        <w:t>de 2016 y demás normas que las modifiquen o adicionen. Por tanto, se requiere establecer los compromisos necesarios para gestionar las acciones encaminadas al desmantelamiento del crimen organizado ante la Región Metropolitana.</w:t>
      </w:r>
    </w:p>
    <w:p w14:paraId="0071E75C" w14:textId="77777777" w:rsidR="003F2AA2" w:rsidRDefault="003F2AA2" w:rsidP="003F2AA2"/>
    <w:p w14:paraId="2CC5552B" w14:textId="77777777"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A la fecha, no se ha reglamentado el hecho metropolitano relacionado con el sector ni el Plan Integral de Seguridad, Convivencia y Justicia, según la normatividad anterior. Por tanto, se requiere establecer los compromisos necesarios para gestionar ante la Región Metropolitana y la Gobernación de Cundinamarca la reglamentación del hecho metropolitano y la elaboración del correspondiente Plan.</w:t>
      </w:r>
    </w:p>
    <w:p w14:paraId="29611490" w14:textId="34873501" w:rsidR="003F2AA2" w:rsidRDefault="003F2AA2" w:rsidP="003F2AA2"/>
    <w:p w14:paraId="420935AA" w14:textId="77777777" w:rsidR="005D1AD3" w:rsidRDefault="005D1AD3" w:rsidP="003F2AA2"/>
    <w:p w14:paraId="0C5E914D" w14:textId="32BCDE5E" w:rsidR="003F2AA2" w:rsidRPr="00D70F98" w:rsidRDefault="003F2AA2" w:rsidP="00D70F98">
      <w:pPr>
        <w:keepNext/>
        <w:keepLines/>
        <w:pBdr>
          <w:top w:val="nil"/>
          <w:left w:val="nil"/>
          <w:bottom w:val="nil"/>
          <w:right w:val="nil"/>
          <w:between w:val="nil"/>
        </w:pBdr>
        <w:spacing w:line="340" w:lineRule="auto"/>
        <w:ind w:firstLine="708"/>
        <w:jc w:val="left"/>
        <w:rPr>
          <w:b/>
          <w:color w:val="3B3838"/>
          <w:sz w:val="24"/>
        </w:rPr>
        <w:sectPr w:rsidR="003F2AA2" w:rsidRPr="00D70F98" w:rsidSect="00F7078E">
          <w:type w:val="continuous"/>
          <w:pgSz w:w="12240" w:h="15840"/>
          <w:pgMar w:top="2262" w:right="1440" w:bottom="1440" w:left="1440" w:header="708" w:footer="708" w:gutter="0"/>
          <w:cols w:space="720"/>
        </w:sectPr>
      </w:pPr>
      <w:r w:rsidRPr="00D70F98">
        <w:rPr>
          <w:b/>
          <w:color w:val="3B3838"/>
          <w:sz w:val="24"/>
        </w:rPr>
        <w:t>Descripción del programa</w:t>
      </w:r>
    </w:p>
    <w:p w14:paraId="22F8DC8D" w14:textId="77777777" w:rsidR="003F2AA2" w:rsidRDefault="003F2AA2" w:rsidP="003F2AA2">
      <w:bookmarkStart w:id="198" w:name="_heading=h.35nkun2" w:colFirst="0" w:colLast="0"/>
      <w:bookmarkEnd w:id="198"/>
      <w:r>
        <w:t>Para lograr el debilitamiento del crimen organizado y el desmantelamiento de las estructuras criminales, Bogotá demanda una postura anticipatoria de los organismos de seguridad y justicia frente a su evolución, arraigo y desempeño. Por ello, este programa implementará esfuerzos para la documentación de dinámicas del crimen, identificación de estructuras criminales y delincuenciales, desarrollo de capacidades para su desmantelamiento y estrategias dirigidas al cierre de espacios que permitan su supervivencia. Además, el programa reconoce que, mediante el hecho metropolitano, toda la Región Metropolitana Bogotá-Cundinamarca debe coordinar y aunar esfuerzos para combatir las estructuras criminales.</w:t>
      </w:r>
    </w:p>
    <w:p w14:paraId="4031D770" w14:textId="77777777" w:rsidR="003F2AA2" w:rsidRDefault="003F2AA2" w:rsidP="003F2AA2">
      <w:pPr>
        <w:rPr>
          <w:b/>
        </w:rPr>
      </w:pPr>
    </w:p>
    <w:p w14:paraId="5322CD73" w14:textId="77777777" w:rsidR="003F2AA2" w:rsidRDefault="003F2AA2" w:rsidP="003F2AA2">
      <w:r>
        <w:t xml:space="preserve">Además del plan interinstitucional contra las estructuras criminales que amenazan la ciudad, se implementará un modelo de operación distrital que consolide las capacidades de actuación conjunta entre el Distrito, la Policía Metropolitana de Bogotá (MEBOG) y la Brigada (BR) 13, para tener una respuesta coordinada y efectiva en entornos urbanos y rurales. Para esto, se trabajará en el fortalecimiento de las capacidades </w:t>
      </w:r>
      <w:r>
        <w:t>operativas para la vigilancia policial y las funciones militares específicas para el Distrito. Este enfoque integral busca no solo optimizar la respuesta ante situaciones de seguridad, sino también asegurar el bienestar del personal y fortalecer continuamente las capacidades operativas en el ámbito policial y militar.</w:t>
      </w:r>
    </w:p>
    <w:p w14:paraId="79308A31" w14:textId="77777777" w:rsidR="003F2AA2" w:rsidRDefault="003F2AA2" w:rsidP="003F2AA2"/>
    <w:p w14:paraId="56327CB3" w14:textId="77777777" w:rsidR="003F2AA2" w:rsidRDefault="003F2AA2" w:rsidP="003F2AA2">
      <w:r>
        <w:t>Bajo esta misma lógica, el programa orientará recursos y acciones para hacer más eficiente el sistema de videovigilancia de Bogotá, incorporando nuevas tecnologías basadas en inteligencia artificial que mejoren la administración de datos y la producción de información adecuada con la investigación criminal y la vigilancia y control para la reacción y respuesta oportuna de las autoridades competentes ante las amenazas. Además, el fortalecimiento del sistema de videovigilancia de Bogotá permitirá que los organismos de seguridad puedan identificar poblaciones con mayor riesgo de delitos y prácticas violentas contra la ciudadanía y la infraestructura de la ciudad, y facilitar a la MEBOG el despliegue operacional ante fenómenos delictivos.</w:t>
      </w:r>
    </w:p>
    <w:p w14:paraId="69E6C574" w14:textId="77777777" w:rsidR="003F2AA2" w:rsidRDefault="003F2AA2" w:rsidP="003F2AA2"/>
    <w:p w14:paraId="5531D898" w14:textId="77777777" w:rsidR="003F2AA2" w:rsidRDefault="003F2AA2" w:rsidP="003F2AA2">
      <w:r>
        <w:lastRenderedPageBreak/>
        <w:t>Sin olvidar la Región Metropolitana, el programa finalmente diseñará e implementará el primer Plan Integral de Seguridad, Convivencia y Justicia en el marco de la Región Metropolitana Bogotá-Cundinamarca (RMBC), teniendo en cuenta la Ley 2199 de 2022. Conseguir este propósito demanda el desarrollo de capacidades institucionales, operativas y de gestión dirigidas a garantizar la integración de visiones, esfuerzos y objetivos para la consolidación de una región metropolitana segura y confiable.</w:t>
      </w:r>
    </w:p>
    <w:p w14:paraId="192AEA01" w14:textId="77777777" w:rsidR="003F2AA2" w:rsidRDefault="003F2AA2" w:rsidP="003F2AA2">
      <w:r>
        <w:t>Con todo lo anterior, Bogotá implementará esfuerzos para la documentación de dinámicas del crimen, identificación de estructuras criminales y delincuenciales, desarrollo de capacidades para su desmantelamiento y estrategias dirigidas al cierre de espacios que permitan su supervivencia.</w:t>
      </w:r>
    </w:p>
    <w:p w14:paraId="1E5FE3EF" w14:textId="77777777" w:rsidR="003F2AA2" w:rsidRDefault="003F2AA2" w:rsidP="003F2AA2"/>
    <w:p w14:paraId="5FB80ACF" w14:textId="6D4EC381"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Este programa se ejecutará mediante las siguientes metas </w:t>
      </w:r>
      <w:r w:rsidRPr="0048122B">
        <w:t>(</w:t>
      </w:r>
      <w:r w:rsidR="0048122B" w:rsidRPr="0048122B">
        <w:fldChar w:fldCharType="begin"/>
      </w:r>
      <w:r w:rsidR="0048122B" w:rsidRPr="0048122B">
        <w:instrText xml:space="preserve"> REF _Ref165124569 \h </w:instrText>
      </w:r>
      <w:r w:rsidR="0048122B" w:rsidRPr="0048122B">
        <w:fldChar w:fldCharType="separate"/>
      </w:r>
      <w:r w:rsidR="00D01651" w:rsidRPr="009074BD">
        <w:rPr>
          <w:color w:val="C00000"/>
          <w:sz w:val="18"/>
          <w:szCs w:val="18"/>
        </w:rPr>
        <w:t xml:space="preserve">Tabla </w:t>
      </w:r>
      <w:r w:rsidR="00D01651">
        <w:rPr>
          <w:noProof/>
          <w:color w:val="C00000"/>
          <w:sz w:val="18"/>
        </w:rPr>
        <w:t>18</w:t>
      </w:r>
      <w:r w:rsidR="0048122B" w:rsidRPr="0048122B">
        <w:fldChar w:fldCharType="end"/>
      </w:r>
      <w:r w:rsidRPr="0048122B">
        <w:t>)</w:t>
      </w:r>
    </w:p>
    <w:p w14:paraId="32838FE0" w14:textId="77777777" w:rsidR="003F2AA2" w:rsidRDefault="003F2AA2" w:rsidP="003F2AA2"/>
    <w:p w14:paraId="2B1370D3" w14:textId="2348BD20" w:rsidR="003F2AA2" w:rsidRDefault="009074BD" w:rsidP="00014D9B">
      <w:pPr>
        <w:pStyle w:val="Descripcin"/>
        <w:jc w:val="center"/>
        <w:rPr>
          <w:sz w:val="18"/>
        </w:rPr>
      </w:pPr>
      <w:bookmarkStart w:id="199" w:name="_heading=h.2zbgiuw" w:colFirst="0" w:colLast="0"/>
      <w:bookmarkStart w:id="200" w:name="_Ref165124569"/>
      <w:bookmarkStart w:id="201" w:name="_Toc165169928"/>
      <w:bookmarkEnd w:id="199"/>
      <w:r w:rsidRPr="009074BD">
        <w:rPr>
          <w:color w:val="C00000"/>
          <w:sz w:val="18"/>
        </w:rPr>
        <w:t xml:space="preserve">Tabla </w:t>
      </w:r>
      <w:r w:rsidRPr="009074BD">
        <w:rPr>
          <w:color w:val="C00000"/>
          <w:sz w:val="18"/>
        </w:rPr>
        <w:fldChar w:fldCharType="begin"/>
      </w:r>
      <w:r w:rsidRPr="009074BD">
        <w:rPr>
          <w:color w:val="C00000"/>
          <w:sz w:val="18"/>
        </w:rPr>
        <w:instrText xml:space="preserve"> SEQ Tabla \* ARABIC </w:instrText>
      </w:r>
      <w:r w:rsidRPr="009074BD">
        <w:rPr>
          <w:color w:val="C00000"/>
          <w:sz w:val="18"/>
        </w:rPr>
        <w:fldChar w:fldCharType="separate"/>
      </w:r>
      <w:r w:rsidR="00D01651">
        <w:rPr>
          <w:noProof/>
          <w:color w:val="C00000"/>
          <w:sz w:val="18"/>
        </w:rPr>
        <w:t>18</w:t>
      </w:r>
      <w:r w:rsidRPr="009074BD">
        <w:rPr>
          <w:color w:val="C00000"/>
          <w:sz w:val="18"/>
        </w:rPr>
        <w:fldChar w:fldCharType="end"/>
      </w:r>
      <w:bookmarkEnd w:id="200"/>
      <w:r w:rsidRPr="009074BD">
        <w:rPr>
          <w:color w:val="C00000"/>
          <w:sz w:val="18"/>
        </w:rPr>
        <w:t xml:space="preserve">. </w:t>
      </w:r>
      <w:r w:rsidR="003F2AA2" w:rsidRPr="009074BD">
        <w:rPr>
          <w:sz w:val="18"/>
        </w:rPr>
        <w:t>Metas del programa 3: Desmantelamiento de estructuras criminales</w:t>
      </w:r>
      <w:r w:rsidRPr="009074BD">
        <w:rPr>
          <w:sz w:val="18"/>
        </w:rPr>
        <w:t xml:space="preserve"> </w:t>
      </w:r>
      <w:r w:rsidR="003F2AA2" w:rsidRPr="009074BD">
        <w:rPr>
          <w:sz w:val="18"/>
        </w:rPr>
        <w:t>y delincuenciales con mejores capacidades y activos tecnológicos</w:t>
      </w:r>
      <w:bookmarkEnd w:id="201"/>
    </w:p>
    <w:tbl>
      <w:tblPr>
        <w:tblW w:w="9783" w:type="dxa"/>
        <w:jc w:val="center"/>
        <w:tblBorders>
          <w:top w:val="nil"/>
          <w:left w:val="nil"/>
          <w:bottom w:val="nil"/>
          <w:right w:val="nil"/>
          <w:insideH w:val="nil"/>
          <w:insideV w:val="nil"/>
        </w:tblBorders>
        <w:tblLayout w:type="fixed"/>
        <w:tblLook w:val="0600" w:firstRow="0" w:lastRow="0" w:firstColumn="0" w:lastColumn="0" w:noHBand="1" w:noVBand="1"/>
      </w:tblPr>
      <w:tblGrid>
        <w:gridCol w:w="3261"/>
        <w:gridCol w:w="1417"/>
        <w:gridCol w:w="1276"/>
        <w:gridCol w:w="1276"/>
        <w:gridCol w:w="1275"/>
        <w:gridCol w:w="1278"/>
      </w:tblGrid>
      <w:tr w:rsidR="003F2AA2" w14:paraId="60339742" w14:textId="77777777" w:rsidTr="005D1AD3">
        <w:trPr>
          <w:trHeight w:val="600"/>
          <w:jc w:val="center"/>
        </w:trPr>
        <w:tc>
          <w:tcPr>
            <w:tcW w:w="3261"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23DC2306" w14:textId="77777777" w:rsidR="003F2AA2" w:rsidRDefault="003F2AA2" w:rsidP="004F6427">
            <w:pPr>
              <w:widowControl w:val="0"/>
              <w:spacing w:line="276" w:lineRule="auto"/>
              <w:jc w:val="center"/>
              <w:rPr>
                <w:b/>
                <w:color w:val="FFFFFF"/>
              </w:rPr>
            </w:pPr>
            <w:r>
              <w:rPr>
                <w:b/>
                <w:color w:val="FFFFFF"/>
              </w:rPr>
              <w:t>SECTOR / Metas</w:t>
            </w:r>
          </w:p>
        </w:tc>
        <w:tc>
          <w:tcPr>
            <w:tcW w:w="6522"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4F3864E3" w14:textId="77777777" w:rsidR="003F2AA2" w:rsidRDefault="003F2AA2" w:rsidP="005D1AD3">
            <w:pPr>
              <w:widowControl w:val="0"/>
              <w:spacing w:line="276" w:lineRule="auto"/>
              <w:ind w:right="103"/>
              <w:jc w:val="center"/>
              <w:rPr>
                <w:b/>
                <w:color w:val="FFFFFF"/>
              </w:rPr>
            </w:pPr>
            <w:r>
              <w:rPr>
                <w:b/>
                <w:color w:val="FFFFFF"/>
              </w:rPr>
              <w:t>Magnitudes e Inversión</w:t>
            </w:r>
          </w:p>
          <w:p w14:paraId="41832BC9" w14:textId="77777777" w:rsidR="003F2AA2" w:rsidRDefault="003F2AA2" w:rsidP="005D1AD3">
            <w:pPr>
              <w:widowControl w:val="0"/>
              <w:spacing w:line="276" w:lineRule="auto"/>
              <w:ind w:right="103"/>
              <w:jc w:val="center"/>
              <w:rPr>
                <w:rFonts w:ascii="Arial" w:eastAsia="Arial" w:hAnsi="Arial" w:cs="Arial"/>
                <w:color w:val="000000"/>
                <w:sz w:val="16"/>
                <w:szCs w:val="16"/>
              </w:rPr>
            </w:pPr>
            <w:r>
              <w:rPr>
                <w:b/>
                <w:color w:val="FFFFFF"/>
                <w:sz w:val="14"/>
                <w:szCs w:val="14"/>
              </w:rPr>
              <w:t>(Precios Constantes 2024)</w:t>
            </w:r>
          </w:p>
        </w:tc>
      </w:tr>
      <w:tr w:rsidR="00886DDD" w14:paraId="7B8B1F11" w14:textId="77777777" w:rsidTr="00886DDD">
        <w:trPr>
          <w:trHeight w:val="315"/>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63EA5A1" w14:textId="77777777" w:rsidR="003F2AA2" w:rsidRDefault="003F2AA2" w:rsidP="004F6427">
            <w:pPr>
              <w:widowControl w:val="0"/>
              <w:spacing w:line="276" w:lineRule="auto"/>
              <w:jc w:val="left"/>
              <w:rPr>
                <w:rFonts w:ascii="Arial" w:eastAsia="Arial" w:hAnsi="Arial" w:cs="Arial"/>
                <w:color w:val="000000"/>
              </w:rPr>
            </w:pPr>
          </w:p>
        </w:tc>
        <w:tc>
          <w:tcPr>
            <w:tcW w:w="1417"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1C64E57C" w14:textId="77777777" w:rsidR="003F2AA2" w:rsidRDefault="003F2AA2" w:rsidP="005D1AD3">
            <w:pPr>
              <w:widowControl w:val="0"/>
              <w:spacing w:line="276" w:lineRule="auto"/>
              <w:ind w:right="103"/>
              <w:jc w:val="center"/>
              <w:rPr>
                <w:rFonts w:ascii="Arial" w:eastAsia="Arial" w:hAnsi="Arial" w:cs="Arial"/>
                <w:color w:val="000000"/>
                <w:sz w:val="16"/>
                <w:szCs w:val="16"/>
              </w:rPr>
            </w:pPr>
            <w:r>
              <w:rPr>
                <w:b/>
                <w:color w:val="000000"/>
                <w:sz w:val="16"/>
                <w:szCs w:val="16"/>
              </w:rPr>
              <w:t>2024</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65C49146" w14:textId="77777777" w:rsidR="003F2AA2" w:rsidRDefault="003F2AA2" w:rsidP="005D1AD3">
            <w:pPr>
              <w:widowControl w:val="0"/>
              <w:spacing w:line="276" w:lineRule="auto"/>
              <w:ind w:right="103"/>
              <w:jc w:val="center"/>
              <w:rPr>
                <w:rFonts w:ascii="Arial" w:eastAsia="Arial" w:hAnsi="Arial" w:cs="Arial"/>
                <w:color w:val="000000"/>
                <w:sz w:val="16"/>
                <w:szCs w:val="16"/>
              </w:rPr>
            </w:pPr>
            <w:r>
              <w:rPr>
                <w:b/>
                <w:color w:val="000000"/>
                <w:sz w:val="16"/>
                <w:szCs w:val="16"/>
              </w:rPr>
              <w:t>2025</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4106125B" w14:textId="77777777" w:rsidR="003F2AA2" w:rsidRDefault="003F2AA2" w:rsidP="005D1AD3">
            <w:pPr>
              <w:widowControl w:val="0"/>
              <w:spacing w:line="276" w:lineRule="auto"/>
              <w:ind w:right="103"/>
              <w:jc w:val="center"/>
              <w:rPr>
                <w:rFonts w:ascii="Arial" w:eastAsia="Arial" w:hAnsi="Arial" w:cs="Arial"/>
                <w:color w:val="000000"/>
                <w:sz w:val="16"/>
                <w:szCs w:val="16"/>
              </w:rPr>
            </w:pPr>
            <w:r>
              <w:rPr>
                <w:b/>
                <w:color w:val="000000"/>
                <w:sz w:val="16"/>
                <w:szCs w:val="16"/>
              </w:rPr>
              <w:t>2026</w:t>
            </w:r>
          </w:p>
        </w:tc>
        <w:tc>
          <w:tcPr>
            <w:tcW w:w="127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20FB046D" w14:textId="77777777" w:rsidR="003F2AA2" w:rsidRDefault="003F2AA2" w:rsidP="005D1AD3">
            <w:pPr>
              <w:widowControl w:val="0"/>
              <w:spacing w:line="276" w:lineRule="auto"/>
              <w:ind w:right="103"/>
              <w:jc w:val="center"/>
              <w:rPr>
                <w:rFonts w:ascii="Arial" w:eastAsia="Arial" w:hAnsi="Arial" w:cs="Arial"/>
                <w:color w:val="000000"/>
                <w:sz w:val="16"/>
                <w:szCs w:val="16"/>
              </w:rPr>
            </w:pPr>
            <w:r>
              <w:rPr>
                <w:b/>
                <w:color w:val="000000"/>
                <w:sz w:val="16"/>
                <w:szCs w:val="16"/>
              </w:rPr>
              <w:t>2027</w:t>
            </w:r>
          </w:p>
        </w:tc>
        <w:tc>
          <w:tcPr>
            <w:tcW w:w="1278"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58E59B7E" w14:textId="77777777" w:rsidR="003F2AA2" w:rsidRDefault="003F2AA2" w:rsidP="005D1AD3">
            <w:pPr>
              <w:widowControl w:val="0"/>
              <w:spacing w:line="276" w:lineRule="auto"/>
              <w:ind w:right="103"/>
              <w:jc w:val="center"/>
              <w:rPr>
                <w:rFonts w:ascii="Arial" w:eastAsia="Arial" w:hAnsi="Arial" w:cs="Arial"/>
                <w:color w:val="000000"/>
                <w:sz w:val="16"/>
                <w:szCs w:val="16"/>
              </w:rPr>
            </w:pPr>
            <w:r>
              <w:rPr>
                <w:b/>
                <w:color w:val="000000"/>
                <w:sz w:val="16"/>
                <w:szCs w:val="16"/>
              </w:rPr>
              <w:t>Total Inversión</w:t>
            </w:r>
          </w:p>
        </w:tc>
      </w:tr>
      <w:tr w:rsidR="003F2AA2" w14:paraId="120FB75F" w14:textId="77777777" w:rsidTr="005D1AD3">
        <w:trPr>
          <w:trHeight w:val="315"/>
          <w:jc w:val="center"/>
        </w:trPr>
        <w:tc>
          <w:tcPr>
            <w:tcW w:w="9783"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2333B767" w14:textId="57AC6F8A" w:rsidR="003F2AA2" w:rsidRDefault="005D1AD3" w:rsidP="005D1AD3">
            <w:pPr>
              <w:widowControl w:val="0"/>
              <w:spacing w:line="276" w:lineRule="auto"/>
              <w:ind w:right="103"/>
              <w:jc w:val="center"/>
              <w:rPr>
                <w:rFonts w:ascii="Arial" w:eastAsia="Arial" w:hAnsi="Arial" w:cs="Arial"/>
                <w:color w:val="000000"/>
                <w:sz w:val="16"/>
                <w:szCs w:val="16"/>
              </w:rPr>
            </w:pPr>
            <w:r w:rsidRPr="005D1AD3">
              <w:rPr>
                <w:b/>
                <w:color w:val="FFFFFF" w:themeColor="background1"/>
                <w:szCs w:val="22"/>
              </w:rPr>
              <w:t>Seguridad convivencia y justicia</w:t>
            </w:r>
          </w:p>
        </w:tc>
      </w:tr>
      <w:tr w:rsidR="003F2AA2" w14:paraId="7DE44D69" w14:textId="77777777" w:rsidTr="00E36E40">
        <w:trPr>
          <w:trHeight w:val="315"/>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FFA7FE4" w14:textId="77777777" w:rsidR="003F2AA2" w:rsidRPr="005D1AD3" w:rsidRDefault="003F2AA2" w:rsidP="00E36E40">
            <w:pPr>
              <w:widowControl w:val="0"/>
              <w:spacing w:line="276" w:lineRule="auto"/>
              <w:jc w:val="right"/>
              <w:rPr>
                <w:color w:val="000000"/>
                <w:sz w:val="16"/>
                <w:szCs w:val="16"/>
              </w:rPr>
            </w:pPr>
            <w:r w:rsidRPr="005D1AD3">
              <w:rPr>
                <w:color w:val="000000"/>
                <w:sz w:val="16"/>
                <w:szCs w:val="16"/>
              </w:rPr>
              <w:t>Aplicar un (1) modelo de fortalecimiento a las capacidades operativas de vigilancia policial, funciones militares y otras de apoyo a la seguridad, la convivencia y la justicia.</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093980" w14:textId="22D3DDF1"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20</w:t>
            </w:r>
            <w:r w:rsidR="005D1AD3">
              <w:rPr>
                <w:color w:val="000000"/>
                <w:sz w:val="16"/>
                <w:szCs w:val="16"/>
              </w:rPr>
              <w:t xml:space="preserve"> </w:t>
            </w:r>
            <w:r w:rsidRPr="005D1AD3">
              <w:rPr>
                <w:color w:val="000000"/>
                <w:sz w:val="16"/>
                <w:szCs w:val="16"/>
              </w:rPr>
              <w:t>%</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4EFBE17" w14:textId="34F61994"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40</w:t>
            </w:r>
            <w:r w:rsidR="005D1AD3">
              <w:rPr>
                <w:color w:val="000000"/>
                <w:sz w:val="16"/>
                <w:szCs w:val="16"/>
              </w:rPr>
              <w:t xml:space="preserve"> </w:t>
            </w:r>
            <w:r w:rsidRPr="005D1AD3">
              <w:rPr>
                <w:color w:val="000000"/>
                <w:sz w:val="16"/>
                <w:szCs w:val="16"/>
              </w:rPr>
              <w:t>%</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C5C42FD" w14:textId="604010FD"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70</w:t>
            </w:r>
            <w:r w:rsidR="005D1AD3">
              <w:rPr>
                <w:color w:val="000000"/>
                <w:sz w:val="16"/>
                <w:szCs w:val="16"/>
              </w:rPr>
              <w:t xml:space="preserve"> </w:t>
            </w:r>
            <w:r w:rsidRPr="005D1AD3">
              <w:rPr>
                <w:color w:val="000000"/>
                <w:sz w:val="16"/>
                <w:szCs w:val="16"/>
              </w:rPr>
              <w:t>%</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A829417" w14:textId="14D8AC0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100</w:t>
            </w:r>
            <w:r w:rsidR="005D1AD3">
              <w:rPr>
                <w:color w:val="000000"/>
                <w:sz w:val="16"/>
                <w:szCs w:val="16"/>
              </w:rPr>
              <w:t xml:space="preserve"> </w:t>
            </w:r>
            <w:r w:rsidRPr="005D1AD3">
              <w:rPr>
                <w:color w:val="000000"/>
                <w:sz w:val="16"/>
                <w:szCs w:val="16"/>
              </w:rPr>
              <w:t>%</w:t>
            </w:r>
          </w:p>
        </w:tc>
        <w:tc>
          <w:tcPr>
            <w:tcW w:w="1278"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E780854" w14:textId="77777777" w:rsidR="003F2AA2" w:rsidRPr="005D1AD3" w:rsidRDefault="003F2AA2" w:rsidP="005D1AD3">
            <w:pPr>
              <w:widowControl w:val="0"/>
              <w:spacing w:line="276" w:lineRule="auto"/>
              <w:ind w:right="103"/>
              <w:jc w:val="right"/>
              <w:rPr>
                <w:b/>
                <w:color w:val="000000"/>
                <w:sz w:val="16"/>
                <w:szCs w:val="16"/>
              </w:rPr>
            </w:pPr>
            <w:r w:rsidRPr="005D1AD3">
              <w:rPr>
                <w:b/>
                <w:color w:val="000000"/>
                <w:sz w:val="16"/>
                <w:szCs w:val="16"/>
              </w:rPr>
              <w:t>606.918.715.764</w:t>
            </w:r>
          </w:p>
        </w:tc>
      </w:tr>
      <w:tr w:rsidR="003F2AA2" w14:paraId="167EE32D" w14:textId="77777777" w:rsidTr="00E36E40">
        <w:trPr>
          <w:trHeight w:val="332"/>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3A7ABF9D" w14:textId="77777777" w:rsidR="003F2AA2" w:rsidRPr="005D1AD3" w:rsidRDefault="003F2AA2" w:rsidP="00E36E40">
            <w:pPr>
              <w:widowControl w:val="0"/>
              <w:spacing w:line="276" w:lineRule="auto"/>
              <w:jc w:val="righ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15B74A"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127.163.205.000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254FC6"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161.960.292.233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723A1E"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155.146.094.825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2C6CE8"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162.649.123.706</w:t>
            </w:r>
          </w:p>
        </w:tc>
        <w:tc>
          <w:tcPr>
            <w:tcW w:w="1278"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385B0295"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p>
        </w:tc>
      </w:tr>
      <w:tr w:rsidR="003F2AA2" w14:paraId="4C0381BF" w14:textId="77777777" w:rsidTr="00E36E40">
        <w:trPr>
          <w:trHeight w:val="175"/>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CDDEF0B" w14:textId="77777777" w:rsidR="003F2AA2" w:rsidRPr="005D1AD3" w:rsidRDefault="003F2AA2" w:rsidP="00E36E40">
            <w:pPr>
              <w:widowControl w:val="0"/>
              <w:spacing w:line="276" w:lineRule="auto"/>
              <w:jc w:val="right"/>
              <w:rPr>
                <w:color w:val="000000"/>
                <w:sz w:val="16"/>
                <w:szCs w:val="16"/>
              </w:rPr>
            </w:pPr>
            <w:r w:rsidRPr="005D1AD3">
              <w:rPr>
                <w:color w:val="000000"/>
                <w:sz w:val="16"/>
                <w:szCs w:val="16"/>
              </w:rPr>
              <w:t>Desarrollar un plan de modernización del C4 para mejorar la respuesta distrital a la demanda de servicios de los ciudadanos.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9284D98" w14:textId="0427C202"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19</w:t>
            </w:r>
            <w:r w:rsidR="005D1AD3">
              <w:rPr>
                <w:color w:val="000000"/>
                <w:sz w:val="16"/>
                <w:szCs w:val="16"/>
              </w:rPr>
              <w:t xml:space="preserve"> </w:t>
            </w:r>
            <w:r w:rsidRPr="005D1AD3">
              <w:rPr>
                <w:color w:val="000000"/>
                <w:sz w:val="16"/>
                <w:szCs w:val="16"/>
              </w:rPr>
              <w:t>%</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A357677" w14:textId="65ABA00B"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47</w:t>
            </w:r>
            <w:r w:rsidR="005D1AD3">
              <w:rPr>
                <w:color w:val="000000"/>
                <w:sz w:val="16"/>
                <w:szCs w:val="16"/>
              </w:rPr>
              <w:t xml:space="preserve"> </w:t>
            </w:r>
            <w:r w:rsidRPr="005D1AD3">
              <w:rPr>
                <w:color w:val="000000"/>
                <w:sz w:val="16"/>
                <w:szCs w:val="16"/>
              </w:rPr>
              <w:t>%</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00EA08E" w14:textId="26535333"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74</w:t>
            </w:r>
            <w:r w:rsidR="005D1AD3">
              <w:rPr>
                <w:color w:val="000000"/>
                <w:sz w:val="16"/>
                <w:szCs w:val="16"/>
              </w:rPr>
              <w:t xml:space="preserve"> </w:t>
            </w:r>
            <w:r w:rsidRPr="005D1AD3">
              <w:rPr>
                <w:color w:val="000000"/>
                <w:sz w:val="16"/>
                <w:szCs w:val="16"/>
              </w:rPr>
              <w:t>%</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321B95" w14:textId="574C5485"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100</w:t>
            </w:r>
            <w:r w:rsidR="005D1AD3">
              <w:rPr>
                <w:color w:val="000000"/>
                <w:sz w:val="16"/>
                <w:szCs w:val="16"/>
              </w:rPr>
              <w:t xml:space="preserve"> </w:t>
            </w:r>
            <w:r w:rsidRPr="005D1AD3">
              <w:rPr>
                <w:color w:val="000000"/>
                <w:sz w:val="16"/>
                <w:szCs w:val="16"/>
              </w:rPr>
              <w:t>%</w:t>
            </w:r>
          </w:p>
        </w:tc>
        <w:tc>
          <w:tcPr>
            <w:tcW w:w="1278"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9592594" w14:textId="77777777" w:rsidR="003F2AA2" w:rsidRPr="005D1AD3" w:rsidRDefault="003F2AA2" w:rsidP="005D1AD3">
            <w:pPr>
              <w:widowControl w:val="0"/>
              <w:spacing w:line="276" w:lineRule="auto"/>
              <w:ind w:right="103"/>
              <w:jc w:val="right"/>
              <w:rPr>
                <w:b/>
                <w:color w:val="000000"/>
                <w:sz w:val="16"/>
                <w:szCs w:val="16"/>
              </w:rPr>
            </w:pPr>
            <w:r w:rsidRPr="005D1AD3">
              <w:rPr>
                <w:b/>
                <w:color w:val="000000"/>
                <w:sz w:val="16"/>
                <w:szCs w:val="16"/>
              </w:rPr>
              <w:t>723.954.432.383</w:t>
            </w:r>
          </w:p>
        </w:tc>
      </w:tr>
      <w:tr w:rsidR="003F2AA2" w14:paraId="0E694FBE" w14:textId="77777777" w:rsidTr="00E36E40">
        <w:trPr>
          <w:trHeight w:val="208"/>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3D955434" w14:textId="77777777" w:rsidR="003F2AA2" w:rsidRPr="005D1AD3" w:rsidRDefault="003F2AA2" w:rsidP="00E36E40">
            <w:pPr>
              <w:widowControl w:val="0"/>
              <w:spacing w:line="276" w:lineRule="auto"/>
              <w:jc w:val="righ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4CC243C"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147.438.470.000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696E75D"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204.824.300.971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636C543"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194.309.048.921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3A5317"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177.382.612.492</w:t>
            </w:r>
          </w:p>
        </w:tc>
        <w:tc>
          <w:tcPr>
            <w:tcW w:w="1278"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3E92523A"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p>
        </w:tc>
      </w:tr>
      <w:tr w:rsidR="003F2AA2" w14:paraId="709B43C1" w14:textId="77777777" w:rsidTr="00E36E40">
        <w:trPr>
          <w:trHeight w:val="362"/>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924E93D" w14:textId="77777777" w:rsidR="003F2AA2" w:rsidRPr="005D1AD3" w:rsidRDefault="003F2AA2" w:rsidP="00E36E40">
            <w:pPr>
              <w:widowControl w:val="0"/>
              <w:spacing w:line="276" w:lineRule="auto"/>
              <w:jc w:val="right"/>
              <w:rPr>
                <w:color w:val="000000"/>
                <w:sz w:val="16"/>
                <w:szCs w:val="16"/>
              </w:rPr>
            </w:pPr>
            <w:r w:rsidRPr="005D1AD3">
              <w:rPr>
                <w:color w:val="000000"/>
                <w:sz w:val="16"/>
                <w:szCs w:val="16"/>
              </w:rPr>
              <w:t>Estructurar y desarrollar las instancias de gobernanza necesarias para el diseño y ejecución del Plan de Seguridad Integral ante la Región Metropolitana</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14B25D" w14:textId="044A6B72"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10</w:t>
            </w:r>
            <w:r w:rsidR="005D1AD3">
              <w:rPr>
                <w:color w:val="000000"/>
                <w:sz w:val="16"/>
                <w:szCs w:val="16"/>
              </w:rPr>
              <w:t xml:space="preserve"> </w:t>
            </w:r>
            <w:r w:rsidRPr="005D1AD3">
              <w:rPr>
                <w:color w:val="000000"/>
                <w:sz w:val="16"/>
                <w:szCs w:val="16"/>
              </w:rPr>
              <w:t>%</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0B4E28" w14:textId="3608A80A"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40</w:t>
            </w:r>
            <w:r w:rsidR="005D1AD3">
              <w:rPr>
                <w:color w:val="000000"/>
                <w:sz w:val="16"/>
                <w:szCs w:val="16"/>
              </w:rPr>
              <w:t xml:space="preserve"> </w:t>
            </w:r>
            <w:r w:rsidRPr="005D1AD3">
              <w:rPr>
                <w:color w:val="000000"/>
                <w:sz w:val="16"/>
                <w:szCs w:val="16"/>
              </w:rPr>
              <w:t>%</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5C25375" w14:textId="0523673F"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70</w:t>
            </w:r>
            <w:r w:rsidR="005D1AD3">
              <w:rPr>
                <w:color w:val="000000"/>
                <w:sz w:val="16"/>
                <w:szCs w:val="16"/>
              </w:rPr>
              <w:t xml:space="preserve"> </w:t>
            </w:r>
            <w:r w:rsidRPr="005D1AD3">
              <w:rPr>
                <w:color w:val="000000"/>
                <w:sz w:val="16"/>
                <w:szCs w:val="16"/>
              </w:rPr>
              <w:t>%</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08A451" w14:textId="3A3C86AC"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100</w:t>
            </w:r>
            <w:r w:rsidR="005D1AD3">
              <w:rPr>
                <w:color w:val="000000"/>
                <w:sz w:val="16"/>
                <w:szCs w:val="16"/>
              </w:rPr>
              <w:t xml:space="preserve"> </w:t>
            </w:r>
            <w:r w:rsidRPr="005D1AD3">
              <w:rPr>
                <w:color w:val="000000"/>
                <w:sz w:val="16"/>
                <w:szCs w:val="16"/>
              </w:rPr>
              <w:t>%</w:t>
            </w:r>
          </w:p>
        </w:tc>
        <w:tc>
          <w:tcPr>
            <w:tcW w:w="1278"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5949815" w14:textId="77777777" w:rsidR="003F2AA2" w:rsidRPr="005D1AD3" w:rsidRDefault="003F2AA2" w:rsidP="005D1AD3">
            <w:pPr>
              <w:widowControl w:val="0"/>
              <w:spacing w:line="276" w:lineRule="auto"/>
              <w:ind w:right="103"/>
              <w:jc w:val="right"/>
              <w:rPr>
                <w:b/>
                <w:color w:val="000000"/>
                <w:sz w:val="16"/>
                <w:szCs w:val="16"/>
              </w:rPr>
            </w:pPr>
            <w:r w:rsidRPr="005D1AD3">
              <w:rPr>
                <w:b/>
                <w:color w:val="000000"/>
                <w:sz w:val="16"/>
                <w:szCs w:val="16"/>
              </w:rPr>
              <w:t>8.812.172.980</w:t>
            </w:r>
          </w:p>
        </w:tc>
      </w:tr>
      <w:tr w:rsidR="003F2AA2" w14:paraId="17A10F74" w14:textId="77777777" w:rsidTr="00E36E40">
        <w:trPr>
          <w:trHeight w:val="51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0F83330F" w14:textId="77777777" w:rsidR="003F2AA2" w:rsidRPr="005D1AD3" w:rsidRDefault="003F2AA2" w:rsidP="00E36E40">
            <w:pPr>
              <w:widowControl w:val="0"/>
              <w:spacing w:line="276" w:lineRule="auto"/>
              <w:jc w:val="righ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4A8850"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2.211.674.000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5C31F0"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2.157.992.233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F4ABF8"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2.199.895.372</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D75EC29"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2.242.611.375</w:t>
            </w:r>
          </w:p>
        </w:tc>
        <w:tc>
          <w:tcPr>
            <w:tcW w:w="1278"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1FF1BB09"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p>
        </w:tc>
      </w:tr>
      <w:tr w:rsidR="003F2AA2" w14:paraId="0B6F6BDA" w14:textId="77777777" w:rsidTr="00E36E40">
        <w:trPr>
          <w:trHeight w:val="162"/>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8DA9E0C" w14:textId="77777777" w:rsidR="003F2AA2" w:rsidRPr="005D1AD3" w:rsidRDefault="003F2AA2" w:rsidP="00E36E40">
            <w:pPr>
              <w:widowControl w:val="0"/>
              <w:spacing w:line="276" w:lineRule="auto"/>
              <w:jc w:val="right"/>
              <w:rPr>
                <w:color w:val="000000"/>
                <w:sz w:val="16"/>
                <w:szCs w:val="16"/>
              </w:rPr>
            </w:pPr>
            <w:r w:rsidRPr="005D1AD3">
              <w:rPr>
                <w:color w:val="000000"/>
                <w:sz w:val="16"/>
                <w:szCs w:val="16"/>
              </w:rPr>
              <w:t>Implementar acciones conjuntas de intervención en áreas identificadas como críticas por la presencia de estructuras criminales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EE0216"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20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D2C3A8"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35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A8F0AD"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35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2260538" w14:textId="77777777" w:rsidR="003F2AA2" w:rsidRPr="005D1AD3" w:rsidRDefault="003F2AA2" w:rsidP="005D1AD3">
            <w:pPr>
              <w:widowControl w:val="0"/>
              <w:spacing w:line="276" w:lineRule="auto"/>
              <w:ind w:right="103"/>
              <w:jc w:val="right"/>
              <w:rPr>
                <w:rFonts w:ascii="Arial" w:eastAsia="Arial" w:hAnsi="Arial" w:cs="Arial"/>
                <w:color w:val="000000"/>
                <w:sz w:val="16"/>
                <w:szCs w:val="16"/>
              </w:rPr>
            </w:pPr>
            <w:r w:rsidRPr="005D1AD3">
              <w:rPr>
                <w:color w:val="000000"/>
                <w:sz w:val="16"/>
                <w:szCs w:val="16"/>
              </w:rPr>
              <w:t>35</w:t>
            </w:r>
          </w:p>
        </w:tc>
        <w:tc>
          <w:tcPr>
            <w:tcW w:w="1278"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7A33685" w14:textId="77777777" w:rsidR="003F2AA2" w:rsidRPr="005D1AD3" w:rsidRDefault="003F2AA2" w:rsidP="005D1AD3">
            <w:pPr>
              <w:widowControl w:val="0"/>
              <w:spacing w:line="276" w:lineRule="auto"/>
              <w:ind w:right="103"/>
              <w:jc w:val="right"/>
              <w:rPr>
                <w:b/>
                <w:color w:val="000000"/>
                <w:sz w:val="16"/>
                <w:szCs w:val="16"/>
              </w:rPr>
            </w:pPr>
            <w:r w:rsidRPr="005D1AD3">
              <w:rPr>
                <w:b/>
                <w:color w:val="000000"/>
                <w:sz w:val="16"/>
                <w:szCs w:val="16"/>
              </w:rPr>
              <w:t>30.823.547.920</w:t>
            </w:r>
          </w:p>
        </w:tc>
      </w:tr>
      <w:tr w:rsidR="003F2AA2" w14:paraId="6F413CD7" w14:textId="77777777" w:rsidTr="00886DDD">
        <w:trPr>
          <w:trHeight w:val="192"/>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4C895460" w14:textId="77777777" w:rsidR="003F2AA2" w:rsidRDefault="003F2AA2" w:rsidP="004F6427">
            <w:pPr>
              <w:widowControl w:val="0"/>
              <w:spacing w:line="276" w:lineRule="auto"/>
              <w:jc w:val="left"/>
              <w:rPr>
                <w:rFonts w:ascii="Arial" w:eastAsia="Arial" w:hAnsi="Arial" w:cs="Arial"/>
                <w:color w:val="000000"/>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76B9F8" w14:textId="77777777" w:rsidR="003F2AA2" w:rsidRDefault="003F2AA2" w:rsidP="005D1AD3">
            <w:pPr>
              <w:widowControl w:val="0"/>
              <w:spacing w:line="276" w:lineRule="auto"/>
              <w:ind w:right="103"/>
              <w:jc w:val="right"/>
              <w:rPr>
                <w:rFonts w:ascii="Arial" w:eastAsia="Arial" w:hAnsi="Arial" w:cs="Arial"/>
                <w:color w:val="000000"/>
                <w:sz w:val="16"/>
                <w:szCs w:val="16"/>
              </w:rPr>
            </w:pPr>
            <w:r>
              <w:rPr>
                <w:color w:val="000000"/>
                <w:sz w:val="16"/>
                <w:szCs w:val="16"/>
              </w:rPr>
              <w:t>1.937.686.000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4C949CB" w14:textId="77777777" w:rsidR="003F2AA2" w:rsidRDefault="003F2AA2" w:rsidP="005D1AD3">
            <w:pPr>
              <w:widowControl w:val="0"/>
              <w:spacing w:line="276" w:lineRule="auto"/>
              <w:ind w:right="103"/>
              <w:jc w:val="right"/>
              <w:rPr>
                <w:rFonts w:ascii="Arial" w:eastAsia="Arial" w:hAnsi="Arial" w:cs="Arial"/>
                <w:color w:val="000000"/>
                <w:sz w:val="16"/>
                <w:szCs w:val="16"/>
              </w:rPr>
            </w:pPr>
            <w:r>
              <w:rPr>
                <w:color w:val="000000"/>
                <w:sz w:val="16"/>
                <w:szCs w:val="16"/>
              </w:rPr>
              <w:t>8.709.037.864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20BD66" w14:textId="77777777" w:rsidR="003F2AA2" w:rsidRDefault="003F2AA2" w:rsidP="005D1AD3">
            <w:pPr>
              <w:widowControl w:val="0"/>
              <w:spacing w:line="276" w:lineRule="auto"/>
              <w:ind w:right="103"/>
              <w:jc w:val="right"/>
              <w:rPr>
                <w:rFonts w:ascii="Arial" w:eastAsia="Arial" w:hAnsi="Arial" w:cs="Arial"/>
                <w:color w:val="000000"/>
                <w:sz w:val="16"/>
                <w:szCs w:val="16"/>
              </w:rPr>
            </w:pPr>
            <w:r>
              <w:rPr>
                <w:color w:val="000000"/>
                <w:sz w:val="16"/>
                <w:szCs w:val="16"/>
              </w:rPr>
              <w:t>9.794.338.769</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0EC4ED" w14:textId="77777777" w:rsidR="003F2AA2" w:rsidRDefault="003F2AA2" w:rsidP="005D1AD3">
            <w:pPr>
              <w:widowControl w:val="0"/>
              <w:spacing w:line="276" w:lineRule="auto"/>
              <w:ind w:right="103"/>
              <w:jc w:val="right"/>
              <w:rPr>
                <w:rFonts w:ascii="Arial" w:eastAsia="Arial" w:hAnsi="Arial" w:cs="Arial"/>
                <w:color w:val="000000"/>
                <w:sz w:val="16"/>
                <w:szCs w:val="16"/>
              </w:rPr>
            </w:pPr>
            <w:r>
              <w:rPr>
                <w:color w:val="000000"/>
                <w:sz w:val="16"/>
                <w:szCs w:val="16"/>
              </w:rPr>
              <w:t>10.382.485.287</w:t>
            </w:r>
          </w:p>
        </w:tc>
        <w:tc>
          <w:tcPr>
            <w:tcW w:w="1278"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9A58DE4" w14:textId="77777777" w:rsidR="003F2AA2" w:rsidRDefault="003F2AA2" w:rsidP="005D1AD3">
            <w:pPr>
              <w:widowControl w:val="0"/>
              <w:spacing w:line="276" w:lineRule="auto"/>
              <w:ind w:right="103"/>
              <w:jc w:val="left"/>
              <w:rPr>
                <w:rFonts w:ascii="Arial" w:eastAsia="Arial" w:hAnsi="Arial" w:cs="Arial"/>
                <w:color w:val="000000"/>
              </w:rPr>
            </w:pPr>
          </w:p>
        </w:tc>
      </w:tr>
    </w:tbl>
    <w:p w14:paraId="34C7FC37" w14:textId="77777777" w:rsidR="003F2AA2" w:rsidRDefault="003F2AA2" w:rsidP="003F2AA2">
      <w:pPr>
        <w:pBdr>
          <w:top w:val="nil"/>
          <w:left w:val="nil"/>
          <w:bottom w:val="nil"/>
          <w:right w:val="nil"/>
          <w:between w:val="nil"/>
        </w:pBdr>
        <w:spacing w:line="220" w:lineRule="auto"/>
        <w:jc w:val="center"/>
        <w:rPr>
          <w:sz w:val="18"/>
          <w:szCs w:val="18"/>
        </w:rPr>
      </w:pPr>
    </w:p>
    <w:p w14:paraId="7723AA69" w14:textId="77777777" w:rsidR="003F2AA2" w:rsidRDefault="003F2AA2" w:rsidP="003F2AA2">
      <w:pPr>
        <w:keepNext/>
        <w:keepLines/>
        <w:pBdr>
          <w:top w:val="nil"/>
          <w:left w:val="nil"/>
          <w:bottom w:val="nil"/>
          <w:right w:val="nil"/>
          <w:between w:val="nil"/>
        </w:pBdr>
        <w:spacing w:line="340" w:lineRule="auto"/>
        <w:ind w:left="851" w:hanging="426"/>
        <w:jc w:val="left"/>
        <w:rPr>
          <w:sz w:val="18"/>
          <w:szCs w:val="18"/>
        </w:rPr>
      </w:pPr>
    </w:p>
    <w:p w14:paraId="6FF0F1B7" w14:textId="77777777" w:rsidR="00886DDD" w:rsidRDefault="00886DDD" w:rsidP="003F2AA2">
      <w:pPr>
        <w:keepNext/>
        <w:keepLines/>
        <w:pBdr>
          <w:top w:val="nil"/>
          <w:left w:val="nil"/>
          <w:bottom w:val="nil"/>
          <w:right w:val="nil"/>
          <w:between w:val="nil"/>
        </w:pBdr>
        <w:spacing w:line="340" w:lineRule="auto"/>
        <w:ind w:left="851" w:hanging="426"/>
        <w:jc w:val="left"/>
        <w:rPr>
          <w:b/>
          <w:color w:val="C00000"/>
          <w:sz w:val="28"/>
          <w:szCs w:val="28"/>
        </w:rPr>
      </w:pPr>
      <w:r>
        <w:rPr>
          <w:b/>
          <w:color w:val="C00000"/>
          <w:sz w:val="28"/>
          <w:szCs w:val="28"/>
        </w:rPr>
        <w:br w:type="page"/>
      </w:r>
    </w:p>
    <w:p w14:paraId="6CA49D48" w14:textId="257F0516" w:rsidR="003F2AA2" w:rsidRDefault="003F2AA2" w:rsidP="00487E1E">
      <w:pPr>
        <w:pStyle w:val="NIVEL4"/>
      </w:pPr>
      <w:bookmarkStart w:id="202" w:name="_Toc165169760"/>
      <w:r>
        <w:rPr>
          <w:color w:val="C00000"/>
        </w:rPr>
        <w:lastRenderedPageBreak/>
        <w:t xml:space="preserve">Programa 4: </w:t>
      </w:r>
      <w:r>
        <w:t>Servicios centrados en la justicia</w:t>
      </w:r>
      <w:bookmarkEnd w:id="202"/>
    </w:p>
    <w:p w14:paraId="7443C612" w14:textId="77777777" w:rsidR="00886DDD" w:rsidRPr="008306E4" w:rsidRDefault="00886DDD" w:rsidP="008306E4">
      <w:pPr>
        <w:pStyle w:val="subnumeros"/>
        <w:numPr>
          <w:ilvl w:val="0"/>
          <w:numId w:val="0"/>
        </w:numPr>
        <w:ind w:left="1134"/>
        <w:outlineLvl w:val="9"/>
        <w:rPr>
          <w:lang w:val="es-CO"/>
        </w:rPr>
      </w:pPr>
    </w:p>
    <w:p w14:paraId="0232D04A" w14:textId="174DC472" w:rsidR="003F2AA2" w:rsidRPr="004E66D8" w:rsidRDefault="003F2AA2" w:rsidP="00AD24BD">
      <w:pPr>
        <w:pStyle w:val="subnumeros"/>
        <w:numPr>
          <w:ilvl w:val="0"/>
          <w:numId w:val="0"/>
        </w:numPr>
        <w:ind w:left="425"/>
        <w:outlineLvl w:val="9"/>
        <w:rPr>
          <w:sz w:val="24"/>
          <w:szCs w:val="22"/>
        </w:rPr>
        <w:sectPr w:rsidR="003F2AA2" w:rsidRPr="004E66D8" w:rsidSect="00F7078E">
          <w:type w:val="continuous"/>
          <w:pgSz w:w="12240" w:h="15840"/>
          <w:pgMar w:top="2262" w:right="1440" w:bottom="1440" w:left="1440" w:header="709" w:footer="709" w:gutter="0"/>
          <w:cols w:space="720"/>
          <w:docGrid w:linePitch="299"/>
        </w:sectPr>
      </w:pPr>
      <w:r w:rsidRPr="004E66D8">
        <w:rPr>
          <w:sz w:val="24"/>
          <w:szCs w:val="22"/>
        </w:rPr>
        <w:t>Diagnóstico</w:t>
      </w:r>
    </w:p>
    <w:p w14:paraId="726D678B" w14:textId="77777777" w:rsidR="003F2AA2" w:rsidRDefault="003F2AA2" w:rsidP="003F2AA2">
      <w:r>
        <w:t>La administración de justicia en Bogotá cuenta con bajos niveles de credibilidad, lo cual se expresa en factores problemáticos como el bajo nivel de denuncia y la desconfianza en las autoridades. Según la Encuesta de Percepción y Victimización en Bogotá del primer semestre de 2023 efectuada por la Cámara de Comercio de Bogotá, el promedio de denuncia alcanza tan solo del 55 %; quienes decidieron no denunciar, señalaron principalmente que no lo hicieron por la complejidad del trámite, la lentitud en el proceso o la falta de confianza en las instituciones.</w:t>
      </w:r>
    </w:p>
    <w:p w14:paraId="6A2A3655" w14:textId="77777777" w:rsidR="003F2AA2" w:rsidRDefault="003F2AA2" w:rsidP="003F2AA2"/>
    <w:p w14:paraId="70734EF1" w14:textId="23811A69"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Desde la administración distrital se ha generado un esfuerzo por la superación de barreras geográficas, económicas, de capacidad y culturales en el acceso a la justicia. Gran parte de la oferta de justicia se encuentra concentrada en las Casas de Justicia, al respecto, se evidencia que el volumen de atenciones que recibe Bogotá sufrió una caída durante la emergencia sanitaria de 2020, no obstante, desde el 2022 vienen al alza (</w:t>
      </w:r>
      <w:r w:rsidR="0052451C" w:rsidRPr="0052451C">
        <w:fldChar w:fldCharType="begin"/>
      </w:r>
      <w:r w:rsidR="0052451C" w:rsidRPr="0052451C">
        <w:instrText xml:space="preserve"> REF _Ref165124666 \h </w:instrText>
      </w:r>
      <w:r w:rsidR="0052451C" w:rsidRPr="0052451C">
        <w:fldChar w:fldCharType="separate"/>
      </w:r>
      <w:r w:rsidR="00D01651" w:rsidRPr="0052451C">
        <w:rPr>
          <w:color w:val="C00000"/>
          <w:sz w:val="18"/>
          <w:szCs w:val="18"/>
        </w:rPr>
        <w:t xml:space="preserve">Tabla </w:t>
      </w:r>
      <w:r w:rsidR="00D01651">
        <w:rPr>
          <w:noProof/>
          <w:color w:val="C00000"/>
          <w:sz w:val="18"/>
        </w:rPr>
        <w:t>19</w:t>
      </w:r>
      <w:r w:rsidR="0052451C" w:rsidRPr="0052451C">
        <w:fldChar w:fldCharType="end"/>
      </w:r>
      <w:r>
        <w:t>).</w:t>
      </w:r>
    </w:p>
    <w:p w14:paraId="00EDC1C4" w14:textId="77777777" w:rsidR="00886DDD" w:rsidRDefault="00886DDD" w:rsidP="003F2AA2"/>
    <w:p w14:paraId="5FC18F13" w14:textId="39CB5B98" w:rsidR="003F2AA2" w:rsidRPr="0052451C" w:rsidRDefault="0052451C" w:rsidP="0052451C">
      <w:pPr>
        <w:pStyle w:val="Descripcin"/>
        <w:jc w:val="center"/>
        <w:rPr>
          <w:color w:val="3B3838"/>
          <w:sz w:val="18"/>
        </w:rPr>
      </w:pPr>
      <w:bookmarkStart w:id="203" w:name="_Ref165124666"/>
      <w:bookmarkStart w:id="204" w:name="_Toc165169929"/>
      <w:r w:rsidRPr="0052451C">
        <w:rPr>
          <w:color w:val="C00000"/>
          <w:sz w:val="18"/>
        </w:rPr>
        <w:t xml:space="preserve">Tabla </w:t>
      </w:r>
      <w:r w:rsidRPr="0052451C">
        <w:rPr>
          <w:color w:val="C00000"/>
          <w:sz w:val="18"/>
        </w:rPr>
        <w:fldChar w:fldCharType="begin"/>
      </w:r>
      <w:r w:rsidRPr="0052451C">
        <w:rPr>
          <w:color w:val="C00000"/>
          <w:sz w:val="18"/>
        </w:rPr>
        <w:instrText xml:space="preserve"> SEQ Tabla \* ARABIC </w:instrText>
      </w:r>
      <w:r w:rsidRPr="0052451C">
        <w:rPr>
          <w:color w:val="C00000"/>
          <w:sz w:val="18"/>
        </w:rPr>
        <w:fldChar w:fldCharType="separate"/>
      </w:r>
      <w:r w:rsidR="00D01651">
        <w:rPr>
          <w:noProof/>
          <w:color w:val="C00000"/>
          <w:sz w:val="18"/>
        </w:rPr>
        <w:t>19</w:t>
      </w:r>
      <w:r w:rsidRPr="0052451C">
        <w:rPr>
          <w:color w:val="C00000"/>
          <w:sz w:val="18"/>
        </w:rPr>
        <w:fldChar w:fldCharType="end"/>
      </w:r>
      <w:bookmarkEnd w:id="203"/>
      <w:r w:rsidRPr="0052451C">
        <w:rPr>
          <w:color w:val="C00000"/>
          <w:sz w:val="18"/>
        </w:rPr>
        <w:t xml:space="preserve">. </w:t>
      </w:r>
      <w:r w:rsidR="003F2AA2" w:rsidRPr="0052451C">
        <w:rPr>
          <w:color w:val="3B3838"/>
          <w:sz w:val="18"/>
        </w:rPr>
        <w:t>Visitas y atenciones históricas</w:t>
      </w:r>
      <w:r>
        <w:rPr>
          <w:color w:val="3B3838"/>
          <w:sz w:val="18"/>
        </w:rPr>
        <w:t xml:space="preserve"> a Casa</w:t>
      </w:r>
      <w:r w:rsidR="00263027">
        <w:rPr>
          <w:color w:val="3B3838"/>
          <w:sz w:val="18"/>
        </w:rPr>
        <w:t>s</w:t>
      </w:r>
      <w:r>
        <w:rPr>
          <w:color w:val="3B3838"/>
          <w:sz w:val="18"/>
        </w:rPr>
        <w:t xml:space="preserve"> de Justicia</w:t>
      </w:r>
      <w:bookmarkEnd w:id="204"/>
    </w:p>
    <w:tbl>
      <w:tblPr>
        <w:tblW w:w="3847" w:type="dxa"/>
        <w:jc w:val="center"/>
        <w:tblBorders>
          <w:top w:val="nil"/>
          <w:left w:val="nil"/>
          <w:bottom w:val="single" w:sz="4" w:space="0" w:color="C00000"/>
          <w:right w:val="nil"/>
          <w:insideH w:val="single" w:sz="4" w:space="0" w:color="C00000"/>
          <w:insideV w:val="single" w:sz="4" w:space="0" w:color="C00000"/>
        </w:tblBorders>
        <w:tblLayout w:type="fixed"/>
        <w:tblLook w:val="0400" w:firstRow="0" w:lastRow="0" w:firstColumn="0" w:lastColumn="0" w:noHBand="0" w:noVBand="1"/>
      </w:tblPr>
      <w:tblGrid>
        <w:gridCol w:w="1587"/>
        <w:gridCol w:w="2260"/>
      </w:tblGrid>
      <w:tr w:rsidR="003F2AA2" w14:paraId="0BDF6447" w14:textId="77777777" w:rsidTr="00977882">
        <w:trPr>
          <w:trHeight w:val="766"/>
          <w:jc w:val="center"/>
        </w:trPr>
        <w:tc>
          <w:tcPr>
            <w:tcW w:w="1587" w:type="dxa"/>
            <w:tcBorders>
              <w:bottom w:val="double" w:sz="4" w:space="0" w:color="C00000"/>
              <w:right w:val="double" w:sz="4" w:space="0" w:color="C00000"/>
            </w:tcBorders>
            <w:shd w:val="clear" w:color="auto" w:fill="C00000"/>
            <w:vAlign w:val="center"/>
          </w:tcPr>
          <w:p w14:paraId="0B7ED412" w14:textId="77777777" w:rsidR="003F2AA2" w:rsidRDefault="003F2AA2" w:rsidP="004F6427">
            <w:pPr>
              <w:jc w:val="right"/>
              <w:rPr>
                <w:b/>
                <w:color w:val="FFFFFF"/>
                <w:sz w:val="28"/>
                <w:szCs w:val="28"/>
              </w:rPr>
            </w:pPr>
            <w:r>
              <w:rPr>
                <w:b/>
                <w:color w:val="FFFFFF"/>
                <w:sz w:val="28"/>
                <w:szCs w:val="28"/>
              </w:rPr>
              <w:t>Año</w:t>
            </w:r>
          </w:p>
        </w:tc>
        <w:tc>
          <w:tcPr>
            <w:tcW w:w="2260" w:type="dxa"/>
            <w:tcBorders>
              <w:left w:val="double" w:sz="4" w:space="0" w:color="C00000"/>
              <w:bottom w:val="double" w:sz="4" w:space="0" w:color="C00000"/>
            </w:tcBorders>
            <w:shd w:val="clear" w:color="auto" w:fill="C00000"/>
            <w:vAlign w:val="center"/>
          </w:tcPr>
          <w:p w14:paraId="1B9A5C9B" w14:textId="0C47D941" w:rsidR="003F2AA2" w:rsidRDefault="003F2AA2" w:rsidP="004F6427">
            <w:pPr>
              <w:jc w:val="left"/>
              <w:rPr>
                <w:b/>
                <w:color w:val="FFFFFF"/>
                <w:sz w:val="28"/>
                <w:szCs w:val="28"/>
              </w:rPr>
            </w:pPr>
            <w:r>
              <w:rPr>
                <w:b/>
                <w:color w:val="FFFFFF"/>
                <w:sz w:val="28"/>
                <w:szCs w:val="28"/>
              </w:rPr>
              <w:t>Atenciones en Casa</w:t>
            </w:r>
            <w:r w:rsidR="00263027">
              <w:rPr>
                <w:b/>
                <w:color w:val="FFFFFF"/>
                <w:sz w:val="28"/>
                <w:szCs w:val="28"/>
              </w:rPr>
              <w:t>s</w:t>
            </w:r>
            <w:r>
              <w:rPr>
                <w:b/>
                <w:color w:val="FFFFFF"/>
                <w:sz w:val="28"/>
                <w:szCs w:val="28"/>
              </w:rPr>
              <w:t xml:space="preserve"> de Justicia</w:t>
            </w:r>
          </w:p>
        </w:tc>
      </w:tr>
      <w:tr w:rsidR="003F2AA2" w14:paraId="4A15E0EA" w14:textId="77777777" w:rsidTr="00977882">
        <w:trPr>
          <w:trHeight w:val="397"/>
          <w:jc w:val="center"/>
        </w:trPr>
        <w:tc>
          <w:tcPr>
            <w:tcW w:w="1587" w:type="dxa"/>
            <w:tcBorders>
              <w:top w:val="double" w:sz="4" w:space="0" w:color="C00000"/>
              <w:bottom w:val="double" w:sz="4" w:space="0" w:color="C00000"/>
              <w:right w:val="double" w:sz="4" w:space="0" w:color="C00000"/>
            </w:tcBorders>
            <w:vAlign w:val="center"/>
          </w:tcPr>
          <w:p w14:paraId="1416B397" w14:textId="77777777" w:rsidR="003F2AA2" w:rsidRDefault="003F2AA2" w:rsidP="004F6427">
            <w:pPr>
              <w:jc w:val="right"/>
              <w:rPr>
                <w:b/>
              </w:rPr>
            </w:pPr>
            <w:r>
              <w:rPr>
                <w:b/>
              </w:rPr>
              <w:t>2018</w:t>
            </w:r>
          </w:p>
        </w:tc>
        <w:tc>
          <w:tcPr>
            <w:tcW w:w="2260" w:type="dxa"/>
            <w:tcBorders>
              <w:top w:val="double" w:sz="4" w:space="0" w:color="C00000"/>
              <w:left w:val="double" w:sz="4" w:space="0" w:color="C00000"/>
              <w:bottom w:val="double" w:sz="4" w:space="0" w:color="C00000"/>
            </w:tcBorders>
            <w:vAlign w:val="center"/>
          </w:tcPr>
          <w:p w14:paraId="45F45962" w14:textId="77777777" w:rsidR="003F2AA2" w:rsidRDefault="003F2AA2" w:rsidP="008D02A0">
            <w:pPr>
              <w:jc w:val="right"/>
            </w:pPr>
            <w:r>
              <w:t>119.557</w:t>
            </w:r>
          </w:p>
        </w:tc>
      </w:tr>
      <w:tr w:rsidR="003F2AA2" w14:paraId="6E5C327F" w14:textId="77777777" w:rsidTr="00977882">
        <w:trPr>
          <w:trHeight w:val="397"/>
          <w:jc w:val="center"/>
        </w:trPr>
        <w:tc>
          <w:tcPr>
            <w:tcW w:w="1587" w:type="dxa"/>
            <w:tcBorders>
              <w:top w:val="double" w:sz="4" w:space="0" w:color="C00000"/>
              <w:bottom w:val="double" w:sz="4" w:space="0" w:color="C00000"/>
              <w:right w:val="double" w:sz="4" w:space="0" w:color="C00000"/>
            </w:tcBorders>
            <w:vAlign w:val="center"/>
          </w:tcPr>
          <w:p w14:paraId="44624274" w14:textId="77777777" w:rsidR="003F2AA2" w:rsidRDefault="003F2AA2" w:rsidP="004F6427">
            <w:pPr>
              <w:jc w:val="right"/>
              <w:rPr>
                <w:b/>
              </w:rPr>
            </w:pPr>
            <w:r>
              <w:rPr>
                <w:b/>
              </w:rPr>
              <w:t>2019</w:t>
            </w:r>
          </w:p>
        </w:tc>
        <w:tc>
          <w:tcPr>
            <w:tcW w:w="2260" w:type="dxa"/>
            <w:tcBorders>
              <w:top w:val="double" w:sz="4" w:space="0" w:color="C00000"/>
              <w:left w:val="double" w:sz="4" w:space="0" w:color="C00000"/>
              <w:bottom w:val="double" w:sz="4" w:space="0" w:color="C00000"/>
            </w:tcBorders>
            <w:vAlign w:val="center"/>
          </w:tcPr>
          <w:p w14:paraId="089C46FE" w14:textId="77777777" w:rsidR="003F2AA2" w:rsidRDefault="003F2AA2" w:rsidP="008D02A0">
            <w:pPr>
              <w:jc w:val="right"/>
            </w:pPr>
            <w:r>
              <w:t>163.700</w:t>
            </w:r>
          </w:p>
        </w:tc>
      </w:tr>
      <w:tr w:rsidR="003F2AA2" w14:paraId="27135661" w14:textId="77777777" w:rsidTr="00977882">
        <w:trPr>
          <w:trHeight w:val="397"/>
          <w:jc w:val="center"/>
        </w:trPr>
        <w:tc>
          <w:tcPr>
            <w:tcW w:w="1587" w:type="dxa"/>
            <w:tcBorders>
              <w:top w:val="double" w:sz="4" w:space="0" w:color="C00000"/>
              <w:bottom w:val="double" w:sz="4" w:space="0" w:color="C00000"/>
              <w:right w:val="double" w:sz="4" w:space="0" w:color="C00000"/>
            </w:tcBorders>
            <w:vAlign w:val="center"/>
          </w:tcPr>
          <w:p w14:paraId="620A2320" w14:textId="77777777" w:rsidR="003F2AA2" w:rsidRDefault="003F2AA2" w:rsidP="004F6427">
            <w:pPr>
              <w:jc w:val="right"/>
              <w:rPr>
                <w:b/>
              </w:rPr>
            </w:pPr>
            <w:r>
              <w:rPr>
                <w:b/>
              </w:rPr>
              <w:t>2020</w:t>
            </w:r>
          </w:p>
        </w:tc>
        <w:tc>
          <w:tcPr>
            <w:tcW w:w="2260" w:type="dxa"/>
            <w:tcBorders>
              <w:top w:val="double" w:sz="4" w:space="0" w:color="C00000"/>
              <w:left w:val="double" w:sz="4" w:space="0" w:color="C00000"/>
              <w:bottom w:val="double" w:sz="4" w:space="0" w:color="C00000"/>
            </w:tcBorders>
            <w:vAlign w:val="center"/>
          </w:tcPr>
          <w:p w14:paraId="39F27F88" w14:textId="77777777" w:rsidR="003F2AA2" w:rsidRDefault="003F2AA2" w:rsidP="008D02A0">
            <w:pPr>
              <w:jc w:val="right"/>
            </w:pPr>
            <w:r>
              <w:t>63.096</w:t>
            </w:r>
          </w:p>
        </w:tc>
      </w:tr>
      <w:tr w:rsidR="003F2AA2" w14:paraId="02CF658B" w14:textId="77777777" w:rsidTr="00977882">
        <w:trPr>
          <w:trHeight w:val="397"/>
          <w:jc w:val="center"/>
        </w:trPr>
        <w:tc>
          <w:tcPr>
            <w:tcW w:w="1587" w:type="dxa"/>
            <w:tcBorders>
              <w:top w:val="double" w:sz="4" w:space="0" w:color="C00000"/>
              <w:bottom w:val="double" w:sz="4" w:space="0" w:color="C00000"/>
              <w:right w:val="double" w:sz="4" w:space="0" w:color="C00000"/>
            </w:tcBorders>
            <w:vAlign w:val="center"/>
          </w:tcPr>
          <w:p w14:paraId="2BE59624" w14:textId="77777777" w:rsidR="003F2AA2" w:rsidRDefault="003F2AA2" w:rsidP="004F6427">
            <w:pPr>
              <w:jc w:val="right"/>
              <w:rPr>
                <w:b/>
              </w:rPr>
            </w:pPr>
            <w:r>
              <w:rPr>
                <w:b/>
              </w:rPr>
              <w:t>2021</w:t>
            </w:r>
          </w:p>
        </w:tc>
        <w:tc>
          <w:tcPr>
            <w:tcW w:w="2260" w:type="dxa"/>
            <w:tcBorders>
              <w:top w:val="double" w:sz="4" w:space="0" w:color="C00000"/>
              <w:left w:val="double" w:sz="4" w:space="0" w:color="C00000"/>
              <w:bottom w:val="double" w:sz="4" w:space="0" w:color="C00000"/>
            </w:tcBorders>
            <w:vAlign w:val="center"/>
          </w:tcPr>
          <w:p w14:paraId="21BDA0D2" w14:textId="77777777" w:rsidR="003F2AA2" w:rsidRDefault="003F2AA2" w:rsidP="008D02A0">
            <w:pPr>
              <w:jc w:val="right"/>
            </w:pPr>
            <w:r>
              <w:t>69.169</w:t>
            </w:r>
          </w:p>
        </w:tc>
      </w:tr>
      <w:tr w:rsidR="003F2AA2" w14:paraId="6882B32E" w14:textId="77777777" w:rsidTr="00977882">
        <w:trPr>
          <w:trHeight w:val="397"/>
          <w:jc w:val="center"/>
        </w:trPr>
        <w:tc>
          <w:tcPr>
            <w:tcW w:w="1587" w:type="dxa"/>
            <w:tcBorders>
              <w:top w:val="double" w:sz="4" w:space="0" w:color="C00000"/>
              <w:bottom w:val="double" w:sz="4" w:space="0" w:color="C00000"/>
              <w:right w:val="double" w:sz="4" w:space="0" w:color="C00000"/>
            </w:tcBorders>
            <w:vAlign w:val="center"/>
          </w:tcPr>
          <w:p w14:paraId="69774362" w14:textId="77777777" w:rsidR="003F2AA2" w:rsidRDefault="003F2AA2" w:rsidP="004F6427">
            <w:pPr>
              <w:jc w:val="right"/>
              <w:rPr>
                <w:b/>
              </w:rPr>
            </w:pPr>
            <w:r>
              <w:rPr>
                <w:b/>
              </w:rPr>
              <w:t>2022</w:t>
            </w:r>
          </w:p>
        </w:tc>
        <w:tc>
          <w:tcPr>
            <w:tcW w:w="2260" w:type="dxa"/>
            <w:tcBorders>
              <w:top w:val="double" w:sz="4" w:space="0" w:color="C00000"/>
              <w:left w:val="double" w:sz="4" w:space="0" w:color="C00000"/>
              <w:bottom w:val="double" w:sz="4" w:space="0" w:color="C00000"/>
            </w:tcBorders>
            <w:vAlign w:val="center"/>
          </w:tcPr>
          <w:p w14:paraId="1F610828" w14:textId="77777777" w:rsidR="003F2AA2" w:rsidRDefault="003F2AA2" w:rsidP="008D02A0">
            <w:pPr>
              <w:jc w:val="right"/>
            </w:pPr>
            <w:r>
              <w:t>129.809</w:t>
            </w:r>
          </w:p>
        </w:tc>
      </w:tr>
      <w:tr w:rsidR="003F2AA2" w14:paraId="44DB11D8" w14:textId="77777777" w:rsidTr="00977882">
        <w:trPr>
          <w:trHeight w:val="397"/>
          <w:jc w:val="center"/>
        </w:trPr>
        <w:tc>
          <w:tcPr>
            <w:tcW w:w="1587" w:type="dxa"/>
            <w:tcBorders>
              <w:top w:val="double" w:sz="4" w:space="0" w:color="C00000"/>
              <w:bottom w:val="double" w:sz="4" w:space="0" w:color="C00000"/>
              <w:right w:val="double" w:sz="4" w:space="0" w:color="C00000"/>
            </w:tcBorders>
            <w:vAlign w:val="center"/>
          </w:tcPr>
          <w:p w14:paraId="7920E4F1" w14:textId="77777777" w:rsidR="003F2AA2" w:rsidRDefault="003F2AA2" w:rsidP="004F6427">
            <w:pPr>
              <w:jc w:val="right"/>
              <w:rPr>
                <w:b/>
              </w:rPr>
            </w:pPr>
            <w:r>
              <w:rPr>
                <w:b/>
              </w:rPr>
              <w:t>2023</w:t>
            </w:r>
          </w:p>
        </w:tc>
        <w:tc>
          <w:tcPr>
            <w:tcW w:w="2260" w:type="dxa"/>
            <w:tcBorders>
              <w:top w:val="double" w:sz="4" w:space="0" w:color="C00000"/>
              <w:left w:val="double" w:sz="4" w:space="0" w:color="C00000"/>
              <w:bottom w:val="double" w:sz="4" w:space="0" w:color="C00000"/>
            </w:tcBorders>
            <w:vAlign w:val="center"/>
          </w:tcPr>
          <w:p w14:paraId="7DFBEDB4" w14:textId="77777777" w:rsidR="003F2AA2" w:rsidRDefault="003F2AA2" w:rsidP="008D02A0">
            <w:pPr>
              <w:jc w:val="right"/>
            </w:pPr>
            <w:r>
              <w:t>170.592</w:t>
            </w:r>
          </w:p>
        </w:tc>
      </w:tr>
    </w:tbl>
    <w:p w14:paraId="23486443" w14:textId="7BCC012A"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con base en Sistema de Información Distrital de Justicia (SIDIJUS). Corte 01-01-2018 / 01</w:t>
      </w:r>
      <w:r w:rsidR="008D02A0">
        <w:rPr>
          <w:color w:val="3B3838"/>
          <w:sz w:val="18"/>
          <w:szCs w:val="18"/>
        </w:rPr>
        <w:t>-</w:t>
      </w:r>
      <w:r>
        <w:rPr>
          <w:color w:val="3B3838"/>
          <w:sz w:val="18"/>
          <w:szCs w:val="18"/>
        </w:rPr>
        <w:t>01</w:t>
      </w:r>
      <w:r w:rsidR="008D02A0">
        <w:rPr>
          <w:color w:val="3B3838"/>
          <w:sz w:val="18"/>
          <w:szCs w:val="18"/>
        </w:rPr>
        <w:t>-</w:t>
      </w:r>
      <w:r>
        <w:rPr>
          <w:color w:val="3B3838"/>
          <w:sz w:val="18"/>
          <w:szCs w:val="18"/>
        </w:rPr>
        <w:t>2024. Extraídos el 24-01-2024. Oficina de Análisis de Información y Estudios Estratégicos.</w:t>
      </w:r>
    </w:p>
    <w:p w14:paraId="4E09E916" w14:textId="77777777" w:rsidR="003F2AA2" w:rsidRDefault="003F2AA2" w:rsidP="003F2AA2">
      <w:pPr>
        <w:rPr>
          <w:i/>
        </w:rPr>
      </w:pPr>
    </w:p>
    <w:p w14:paraId="44AB2FA9" w14:textId="77777777" w:rsidR="00886DDD" w:rsidRDefault="00886DDD" w:rsidP="003F2AA2">
      <w:pPr>
        <w:rPr>
          <w:i/>
        </w:rPr>
      </w:pPr>
    </w:p>
    <w:p w14:paraId="2B3B1B2F" w14:textId="6D3FD3BF" w:rsidR="00886DDD" w:rsidRDefault="00886DDD" w:rsidP="003F2AA2">
      <w:pPr>
        <w:rPr>
          <w:i/>
        </w:rPr>
        <w:sectPr w:rsidR="00886DDD" w:rsidSect="00F7078E">
          <w:type w:val="continuous"/>
          <w:pgSz w:w="12240" w:h="15840"/>
          <w:pgMar w:top="2262" w:right="1440" w:bottom="1440" w:left="1440" w:header="708" w:footer="708" w:gutter="0"/>
          <w:cols w:space="720"/>
        </w:sectPr>
      </w:pPr>
    </w:p>
    <w:p w14:paraId="158EA06F" w14:textId="76FA9243" w:rsidR="003F2AA2" w:rsidRDefault="003F2AA2" w:rsidP="003F2AA2">
      <w:r>
        <w:t>Los principales motivos de atención en las Casas de Justicia en 2023 se relacionaron con conflictos familiares (41 %, incluyendo casos de divorcio, asuntos alimentarios y herencias), delitos (16 %, como robos y lesiones personales), bienes inmuebles (16 %, abordando temas como ocupación o falta de pagos de arriendos), trámites estatales (9 %), deudas (5 %), y problemas relacionados con ruidos o manejo de basuras (4 %).</w:t>
      </w:r>
      <w:r w:rsidR="00886DDD">
        <w:t xml:space="preserve"> </w:t>
      </w:r>
      <w:r>
        <w:t xml:space="preserve">Actualmente, hay 16 Casas de Justicia habilitadas en 14 localidades, distribuidas en Suba (2), Bosa (2), Usaquén, Chapinero, Barrios Unidos, </w:t>
      </w:r>
      <w:r>
        <w:t>Engativá, Fontibón, Tunjuelito, Los Mártires, Puente Aranda, San Cristóbal, Usme, Ciudad Bolívar y Kennedy. Las ubicaciones con mayor cantidad de visitas y atención son las de Ciudad Bolívar, Bosa y Kennedy.</w:t>
      </w:r>
    </w:p>
    <w:p w14:paraId="6BC60607" w14:textId="77777777" w:rsidR="003F2AA2" w:rsidRDefault="003F2AA2" w:rsidP="003F2AA2">
      <w:r>
        <w:t xml:space="preserve">Sin embargo, es importante destacar que la ubicación de estas casas es determinante en el flujo de atención, y actualmente no todas las localidades cuentan con una Casa de Justicia. Esto representa una barrera significativa para el acceso a la justicia, ya que se observa que los ciudadanos tienden a acudir a los servicios más </w:t>
      </w:r>
      <w:r>
        <w:lastRenderedPageBreak/>
        <w:t>cercanos a su lugar de residencia. La ausencia histórica de Casas de Justicia en algunas localidades obliga a los residentes a desplazarse para acceder a los servicios disponibles en otras áreas de la ciudad.</w:t>
      </w:r>
    </w:p>
    <w:p w14:paraId="26E21A74" w14:textId="77777777" w:rsidR="003F2AA2" w:rsidRDefault="003F2AA2" w:rsidP="003F2AA2"/>
    <w:p w14:paraId="4B1D9ACC" w14:textId="77777777" w:rsidR="003F2AA2" w:rsidRDefault="003F2AA2" w:rsidP="003F2AA2">
      <w:r>
        <w:t>Ahora bien, es preciso mencionar que en las Casas de Justicia existe una oferta amplia de instituciones y operadores de justicia, a saber: Centro de Recepción e Información (CRI), Unidades de Mediación y Conciliación (UMC), Facilitadores de acceso a la justicia, y Centro de radicación de demandas, Juzgados de Pequeñas Causas y Competencia Múltiple (Consejo Superior de la Judicatura [CSJ]), Inspección de Policía (Secretaría Distrital de Gobierno [SDG]), Comisarías de Familia (Secretaría Distrital de Integración Social [SDIS]), Atención a Violencias Basadas en Género -en algunas Casas (Secretaría Distrital de la Mujer [SDM]); Fiscal local, asistente y receptor de denuncias (Fiscalía General de la Nación [FGN]); médico forense (Instituto Nacional de Medicina Legal [INML]); Defensor de familia (Instituto Colombiano de Bienestar Familiar [ICBF]), y consultorio jurídico. Si bien con la concentración de la oferta de justicia y de resolución de conflictos se ha dado un avance significativo en la atención a la ciudadanía, no necesariamente se han superado todas las barreras.</w:t>
      </w:r>
    </w:p>
    <w:p w14:paraId="49C868F6" w14:textId="77777777" w:rsidR="003F2AA2" w:rsidRDefault="003F2AA2" w:rsidP="003F2AA2"/>
    <w:p w14:paraId="286F91F1" w14:textId="77777777" w:rsidR="003F2AA2" w:rsidRDefault="003F2AA2" w:rsidP="00886DDD">
      <w:pPr>
        <w:rPr>
          <w:highlight w:val="white"/>
        </w:rPr>
      </w:pPr>
      <w:r>
        <w:t xml:space="preserve">A pesar de contar con estas capacidades de cara a la oferta, siguen presentándose dinámicas de desarticulación institucional, falta de </w:t>
      </w:r>
      <w:r w:rsidRPr="00886DDD">
        <w:rPr>
          <w:spacing w:val="-6"/>
        </w:rPr>
        <w:t>respuesta oportuna a las demandas de la población, tiempos prolongados de espera y creciente desconfianza hacia las instituciones judiciales, lo que demanda una reconfiguración del sistema de justicia. No se puede perder de vista que las barreras de acceso a la justicia en la ciudad no son las mismas para todas las personas; los obstáculos para acceder a la justicia y los efectos de los servicios</w:t>
      </w:r>
      <w:r>
        <w:t xml:space="preserve"> de la justicia son diferentes dependiendo del grupo poblacional (La Rota, Lalinde, Santa, &amp; Uprimny, 2014). Aun así, se pueden agrupar en diferentes tipologías macro: (i) barreras de capacidad, son aquellas necesidades de tipo infraestructural, logístico o </w:t>
      </w:r>
      <w:r>
        <w:t xml:space="preserve">humano, </w:t>
      </w:r>
      <w:r>
        <w:rPr>
          <w:highlight w:val="white"/>
        </w:rPr>
        <w:t>en este grupo Bogotá ha mejorado significativamente; (ii) barreras de eficiencia, son aquellas que hacen referencia a la mejor utilización de los recursos existentes; aquí persiste la desarticulación entre las diferentes instituciones y el “pimponeo” y; (iii) barreras de eficacia, son aquellas que hablan de la efectividad y la celeridad en las respuestas a las necesidades de justicia de la ciudadanía.</w:t>
      </w:r>
    </w:p>
    <w:p w14:paraId="5B3E8598" w14:textId="77777777" w:rsidR="003F2AA2" w:rsidRDefault="003F2AA2" w:rsidP="00886DDD">
      <w:pPr>
        <w:rPr>
          <w:highlight w:val="white"/>
        </w:rPr>
      </w:pPr>
    </w:p>
    <w:p w14:paraId="0897F728" w14:textId="77777777" w:rsidR="003F2AA2" w:rsidRDefault="003F2AA2" w:rsidP="00886DDD">
      <w:r>
        <w:t>Estas barreras traen de la mano las debilidades sustanciales en los procesos de investigación y juzgamiento en el acceso a la justicia en Bogotá. Estas deficiencias se manifiestan en la falta de recursos humanos y tecnológicos, así como en la capacitación insuficiente del personal judicial. La escasez de investigadores especializados y de tecnologías forenses adecuadas limita la capacidad de recopilar pruebas sólidas y de calidad, lo que resulta en investigaciones superficiales y fallos judiciales poco fundamentados. Esta situación no solo genera impunidad para los delincuentes, sino que también mina la confianza de los ciudadanos en la imparcialidad y eficacia del sistema judicial. La percepción de que los responsables de los delitos no son debidamente investigados y juzgados fomenta la desconfianza en las instituciones gubernamentales y socava la cohesión social en Bogotá.</w:t>
      </w:r>
    </w:p>
    <w:p w14:paraId="48F17254" w14:textId="77777777" w:rsidR="003F2AA2" w:rsidRDefault="003F2AA2" w:rsidP="00886DDD"/>
    <w:p w14:paraId="71BBCE37" w14:textId="77777777" w:rsidR="003F2AA2" w:rsidRDefault="003F2AA2" w:rsidP="003F2AA2">
      <w:r>
        <w:t>Los problemas de la justicia también se extienden al manejo y supervisión de las penas, en especial cuando se refiere a la población privada de la libertad y a la población sancionada en el Sistema de Responsabilidad Penal Adolescente.</w:t>
      </w:r>
    </w:p>
    <w:p w14:paraId="4CE2FBAE" w14:textId="77777777" w:rsidR="003F2AA2" w:rsidRDefault="003F2AA2" w:rsidP="003F2AA2"/>
    <w:p w14:paraId="3ADE2B09" w14:textId="77777777" w:rsidR="003F2AA2" w:rsidRDefault="003F2AA2" w:rsidP="003F2AA2">
      <w:pPr>
        <w:shd w:val="clear" w:color="auto" w:fill="FFFFFF"/>
      </w:pPr>
      <w:r>
        <w:t xml:space="preserve">En relación con esto último, Bogotá cuenta con la única cárcel certificada por la Asociación Americana de Correccionales (ACA), organismo que cuenta con estándares de calidad orientados a garantizar que en las prisiones se respete la dignidad y los derechos de las personas privadas de la libertad. Sin embargo, la capacidad de cupos de la Cárcel Distrital no es suficiente para cubrir la demanda requerida.  </w:t>
      </w:r>
    </w:p>
    <w:p w14:paraId="7825D687" w14:textId="77777777" w:rsidR="003F2AA2" w:rsidRDefault="003F2AA2" w:rsidP="003F2AA2"/>
    <w:p w14:paraId="5EA3E636" w14:textId="77777777" w:rsidR="003F2AA2" w:rsidRDefault="003F2AA2" w:rsidP="003F2AA2">
      <w:r>
        <w:lastRenderedPageBreak/>
        <w:t>Es importante recordar que la Corte Constitucional ha señalado en diferentes sentencias que el hacinamiento y la crisis del Sistema Penitenciario y Carcelario (SPC), obedece a “problemas estructurales” de la política criminal.</w:t>
      </w:r>
    </w:p>
    <w:p w14:paraId="50C3987B" w14:textId="77777777" w:rsidR="003F2AA2" w:rsidRDefault="003F2AA2" w:rsidP="003F2AA2"/>
    <w:p w14:paraId="7ABD91FA" w14:textId="77777777" w:rsidR="003F2AA2" w:rsidRDefault="003F2AA2" w:rsidP="003F2AA2">
      <w:r>
        <w:t xml:space="preserve">Actualmente, las personas recluidas inicialmente en un centro transitorio reciben medidas de detención intramurales, sin disponibilidad de cupos en cárceles o penitenciarias para hacerlas efectivas, por lo que, terminan recluidas irregularmente y por tiempos prolongados en celdas transitorias de las Unidades de Reacción Inmediata (URI) o Estaciones de Policía, que no son </w:t>
      </w:r>
      <w:r>
        <w:t>equipamientos adecuados para una reclusión superior a las 36 horas.</w:t>
      </w:r>
    </w:p>
    <w:p w14:paraId="55962838" w14:textId="77777777" w:rsidR="003F2AA2" w:rsidRDefault="003F2AA2" w:rsidP="003F2AA2"/>
    <w:p w14:paraId="7C91C4AE" w14:textId="41A76DE8"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Como se observa en la</w:t>
      </w:r>
      <w:r w:rsidR="000B5D30">
        <w:t xml:space="preserve"> </w:t>
      </w:r>
      <w:r w:rsidR="000B5D30" w:rsidRPr="000B5D30">
        <w:fldChar w:fldCharType="begin"/>
      </w:r>
      <w:r w:rsidR="000B5D30" w:rsidRPr="000B5D30">
        <w:instrText xml:space="preserve"> REF _Ref165124760 \h </w:instrText>
      </w:r>
      <w:r w:rsidR="000B5D30" w:rsidRPr="000B5D30">
        <w:fldChar w:fldCharType="separate"/>
      </w:r>
      <w:r w:rsidR="00D01651" w:rsidRPr="000B5D30">
        <w:rPr>
          <w:color w:val="C00000"/>
          <w:sz w:val="18"/>
          <w:szCs w:val="18"/>
        </w:rPr>
        <w:t xml:space="preserve">Gráfica </w:t>
      </w:r>
      <w:r w:rsidR="00D01651">
        <w:rPr>
          <w:noProof/>
          <w:color w:val="C00000"/>
          <w:sz w:val="18"/>
        </w:rPr>
        <w:t>30</w:t>
      </w:r>
      <w:r w:rsidR="000B5D30" w:rsidRPr="000B5D30">
        <w:fldChar w:fldCharType="end"/>
      </w:r>
      <w:r>
        <w:t>, los problemas de hacinamiento del SPC han sido una constante histórica, presentando en enero de 2024 una tasa de 140 % en los centros de detención transitoria. Estas condiciones se acentuaron con la emergencia sanitaria a causa de la no recepción de población —temporal— en los centros de reclusión por el Instituto Nacional Penitenciario y Carcelario (INPEC), lo que redujo el hacinamiento de las cárceles a su cargo, pero lo aumentó en las URI y Estaciones de Policía.</w:t>
      </w:r>
    </w:p>
    <w:p w14:paraId="7F334D54" w14:textId="77777777" w:rsidR="003F2AA2" w:rsidRDefault="003F2AA2" w:rsidP="003F2AA2"/>
    <w:p w14:paraId="6E2A951C" w14:textId="6D7DE2AD" w:rsidR="003F2AA2" w:rsidRPr="000B5D30" w:rsidRDefault="000B5D30" w:rsidP="000B5D30">
      <w:pPr>
        <w:pStyle w:val="Descripcin"/>
        <w:jc w:val="center"/>
        <w:rPr>
          <w:sz w:val="18"/>
        </w:rPr>
      </w:pPr>
      <w:bookmarkStart w:id="205" w:name="_Ref165124760"/>
      <w:bookmarkStart w:id="206" w:name="_Toc165169856"/>
      <w:r w:rsidRPr="000B5D30">
        <w:rPr>
          <w:color w:val="C00000"/>
          <w:sz w:val="18"/>
        </w:rPr>
        <w:t xml:space="preserve">Gráfica </w:t>
      </w:r>
      <w:r w:rsidRPr="000B5D30">
        <w:rPr>
          <w:color w:val="C00000"/>
          <w:sz w:val="18"/>
        </w:rPr>
        <w:fldChar w:fldCharType="begin"/>
      </w:r>
      <w:r w:rsidRPr="000B5D30">
        <w:rPr>
          <w:color w:val="C00000"/>
          <w:sz w:val="18"/>
        </w:rPr>
        <w:instrText xml:space="preserve"> SEQ Gráfica \* ARABIC </w:instrText>
      </w:r>
      <w:r w:rsidRPr="000B5D30">
        <w:rPr>
          <w:color w:val="C00000"/>
          <w:sz w:val="18"/>
        </w:rPr>
        <w:fldChar w:fldCharType="separate"/>
      </w:r>
      <w:r w:rsidR="00D01651">
        <w:rPr>
          <w:noProof/>
          <w:color w:val="C00000"/>
          <w:sz w:val="18"/>
        </w:rPr>
        <w:t>30</w:t>
      </w:r>
      <w:r w:rsidRPr="000B5D30">
        <w:rPr>
          <w:color w:val="C00000"/>
          <w:sz w:val="18"/>
        </w:rPr>
        <w:fldChar w:fldCharType="end"/>
      </w:r>
      <w:bookmarkEnd w:id="205"/>
      <w:r w:rsidRPr="000B5D30">
        <w:rPr>
          <w:color w:val="C00000"/>
          <w:sz w:val="18"/>
        </w:rPr>
        <w:t xml:space="preserve">. </w:t>
      </w:r>
      <w:r w:rsidR="003F2AA2" w:rsidRPr="000B5D30">
        <w:rPr>
          <w:sz w:val="18"/>
        </w:rPr>
        <w:t>Hacinamiento en centros de detención transitoria</w:t>
      </w:r>
      <w:bookmarkEnd w:id="206"/>
    </w:p>
    <w:p w14:paraId="72A74E47" w14:textId="77777777" w:rsidR="003F2AA2" w:rsidRDefault="003F2AA2" w:rsidP="003F2AA2">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47328" behindDoc="0" locked="0" layoutInCell="1" hidden="0" allowOverlap="1" wp14:anchorId="3E493E29" wp14:editId="2F46D49A">
            <wp:simplePos x="0" y="0"/>
            <wp:positionH relativeFrom="column">
              <wp:posOffset>259080</wp:posOffset>
            </wp:positionH>
            <wp:positionV relativeFrom="paragraph">
              <wp:posOffset>20066</wp:posOffset>
            </wp:positionV>
            <wp:extent cx="5309235" cy="2192020"/>
            <wp:effectExtent l="19050" t="19050" r="24765" b="17780"/>
            <wp:wrapNone/>
            <wp:docPr id="213351598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2"/>
                    <a:srcRect/>
                    <a:stretch>
                      <a:fillRect/>
                    </a:stretch>
                  </pic:blipFill>
                  <pic:spPr>
                    <a:xfrm>
                      <a:off x="0" y="0"/>
                      <a:ext cx="5309235" cy="2192020"/>
                    </a:xfrm>
                    <a:prstGeom prst="rect">
                      <a:avLst/>
                    </a:prstGeom>
                    <a:ln w="6350">
                      <a:solidFill>
                        <a:schemeClr val="bg1"/>
                      </a:solidFill>
                      <a:prstDash val="solid"/>
                    </a:ln>
                  </pic:spPr>
                </pic:pic>
              </a:graphicData>
            </a:graphic>
          </wp:anchor>
        </w:drawing>
      </w:r>
    </w:p>
    <w:p w14:paraId="1772E46B"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DB1A2A1"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2B8D874"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8548513"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D8206D0"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404C3C65"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47B5B89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17696A0"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D7D4CF1"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AFDAB1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0988C2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744CFD7"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5E63CA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CB0B7F0" w14:textId="77777777" w:rsidR="003F2AA2" w:rsidRDefault="003F2AA2" w:rsidP="003F2AA2"/>
    <w:p w14:paraId="528D6F04" w14:textId="77777777" w:rsidR="003F2AA2" w:rsidRDefault="003F2AA2" w:rsidP="003F2AA2"/>
    <w:p w14:paraId="16E8DDF9" w14:textId="77777777" w:rsidR="003F2AA2" w:rsidRDefault="003F2AA2" w:rsidP="003F2AA2">
      <w:pPr>
        <w:pBdr>
          <w:top w:val="nil"/>
          <w:left w:val="nil"/>
          <w:bottom w:val="nil"/>
          <w:right w:val="nil"/>
          <w:between w:val="nil"/>
        </w:pBdr>
        <w:spacing w:line="220" w:lineRule="auto"/>
        <w:jc w:val="center"/>
        <w:rPr>
          <w:b/>
          <w:sz w:val="18"/>
          <w:szCs w:val="18"/>
        </w:rPr>
      </w:pPr>
    </w:p>
    <w:p w14:paraId="7E98540C"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con información de la Subsecretaría de Acceso a la Justicia. Secretaría Distrital </w:t>
      </w:r>
    </w:p>
    <w:p w14:paraId="34DD5236" w14:textId="77777777" w:rsidR="003F2AA2" w:rsidRDefault="003F2AA2" w:rsidP="003F2AA2">
      <w:pPr>
        <w:pBdr>
          <w:top w:val="nil"/>
          <w:left w:val="nil"/>
          <w:bottom w:val="nil"/>
          <w:right w:val="nil"/>
          <w:between w:val="nil"/>
        </w:pBdr>
        <w:spacing w:line="220" w:lineRule="auto"/>
        <w:jc w:val="center"/>
        <w:rPr>
          <w:color w:val="3B3838"/>
          <w:sz w:val="18"/>
          <w:szCs w:val="18"/>
        </w:rPr>
      </w:pPr>
      <w:r>
        <w:rPr>
          <w:color w:val="3B3838"/>
          <w:sz w:val="18"/>
          <w:szCs w:val="18"/>
        </w:rPr>
        <w:t>de Seguridad, Convivencia y Justicia (SDSCJ). Información sujeta a cambios.</w:t>
      </w:r>
    </w:p>
    <w:p w14:paraId="7A36EE6F" w14:textId="77777777" w:rsidR="003F2AA2" w:rsidRDefault="003F2AA2" w:rsidP="003F2AA2"/>
    <w:p w14:paraId="6E691491" w14:textId="77777777" w:rsidR="00886DDD" w:rsidRDefault="00886DDD" w:rsidP="003F2AA2"/>
    <w:p w14:paraId="29A7B337" w14:textId="28660F63" w:rsidR="00886DDD" w:rsidRDefault="00886DDD" w:rsidP="003F2AA2">
      <w:pPr>
        <w:sectPr w:rsidR="00886DDD" w:rsidSect="00F7078E">
          <w:type w:val="continuous"/>
          <w:pgSz w:w="12240" w:h="15840"/>
          <w:pgMar w:top="2262" w:right="1440" w:bottom="1440" w:left="1440" w:header="708" w:footer="708" w:gutter="0"/>
          <w:cols w:space="720"/>
        </w:sectPr>
      </w:pPr>
    </w:p>
    <w:p w14:paraId="22F59CC4" w14:textId="77777777" w:rsidR="003F2AA2" w:rsidRDefault="003F2AA2" w:rsidP="003F2AA2">
      <w:r>
        <w:t xml:space="preserve">Durante la emergencia económica y sanitaria del covid-19, el Gobierno Nacional permitió que los entes territoriales pudieran habilitar espacios para la reclusión de personas detenidas preventivamente. Bajo este contexto, Bogotá creó un Centro Especial de Reclusión (CER), con capacidad de 216 cupos en 2023, y en donde se dispuso una ruta de atención diferencial con condiciones dignas de reclusión, que favorezcan la atención de las necesidades de las personas privadas de la libertad, basadas en el principio de respeto de los derechos humanos, la dignidad </w:t>
      </w:r>
      <w:r>
        <w:t>humana y bajo el enfoque de justicia restaurativa.</w:t>
      </w:r>
    </w:p>
    <w:p w14:paraId="438BD695" w14:textId="77777777" w:rsidR="003F2AA2" w:rsidRDefault="003F2AA2" w:rsidP="003F2AA2"/>
    <w:p w14:paraId="66B3E1A0" w14:textId="77777777" w:rsidR="003F2AA2" w:rsidRDefault="003F2AA2" w:rsidP="003F2AA2">
      <w:r>
        <w:t xml:space="preserve">Es relevante destacar que la Corte Constitucional, con la Sentencia SU-122 de 2022, extendió el estado de cosas inconstitucional a los Centros de Detención Transitoria (CDT), se dieron órdenes a entidades en todos los niveles territoriales para solucionar esa anomalía en acciones de corto (2 meses), mediano (1 año y medio) y largo plazo (6 años). Al respecto, se identifica un problema de competencias frente a las personas privadas de la libertad, pues no existe una </w:t>
      </w:r>
      <w:r>
        <w:lastRenderedPageBreak/>
        <w:t>norma que disponga a cargo de qué autoridad están las personas recluidas en lugares que no hacen parte del SPC, por ejemplo, en los CDT. Lo que conlleva a que no exista claridad sobre qué entidad debe proveer su custodia, vigilancia y traslado, o quién debe dotar los servicios, entre otros.</w:t>
      </w:r>
    </w:p>
    <w:p w14:paraId="1DE3AC9D" w14:textId="77777777" w:rsidR="003F2AA2" w:rsidRDefault="003F2AA2" w:rsidP="003F2AA2"/>
    <w:p w14:paraId="4261D5AE" w14:textId="77777777" w:rsidR="003F2AA2" w:rsidRDefault="003F2AA2" w:rsidP="003F2AA2">
      <w:r>
        <w:t>Así, la Corte Constitucional ha proferido decisiones definiendo algunas competencias para la atención de población privada de la libertad en CDT. Para el caso de Bogotá, desde 2016, dispuso que el Distrito tiene la obligación de suministrar algunos bienes y servicios para las personas privadas de la libertad en CDT (sentencia T-151), como colchonetas y kits de aseo.</w:t>
      </w:r>
    </w:p>
    <w:p w14:paraId="3E4F5B76" w14:textId="77777777" w:rsidR="003F2AA2" w:rsidRDefault="003F2AA2" w:rsidP="003F2AA2"/>
    <w:p w14:paraId="0574A340" w14:textId="77777777" w:rsidR="003F2AA2" w:rsidRDefault="003F2AA2" w:rsidP="003F2AA2">
      <w:r>
        <w:t>Frente a este panorama, se inició el proyecto de construcción de una nueva cárcel, para lo cual la administración distrital suscribió un convenio interadministrativo con MinJusticia, INPEC y USPEC. Al 2023, se avanzó en la ejecución de ese compromiso, el cual tiene previsto garantizar alrededor de 2.000 cupos nuevos.</w:t>
      </w:r>
    </w:p>
    <w:p w14:paraId="66A77882" w14:textId="77777777" w:rsidR="003F2AA2" w:rsidRDefault="003F2AA2" w:rsidP="003F2AA2"/>
    <w:p w14:paraId="41C6FE26" w14:textId="77777777" w:rsidR="003F2AA2" w:rsidRDefault="003F2AA2" w:rsidP="003F2AA2">
      <w:r>
        <w:t>De manera complementaria, se evidencia la necesidad de mejorar los programas de resocialización y prevención de la reincidencia delictiva en Bogotá. Aunque se han implementado iniciativas como la ampliación de cupos del Centro de Educación y Rehabilitación (CER) y el programa Casa Libertad Bogotá, aún persisten desafíos significativos.</w:t>
      </w:r>
    </w:p>
    <w:p w14:paraId="0A10D95D" w14:textId="77777777" w:rsidR="003F2AA2" w:rsidRDefault="003F2AA2" w:rsidP="003F2AA2"/>
    <w:p w14:paraId="436F8B4B" w14:textId="77777777" w:rsidR="003F2AA2" w:rsidRDefault="003F2AA2" w:rsidP="003F2AA2">
      <w:r>
        <w:t xml:space="preserve">A pesar de que se estima que, hasta agosto de 2023, 1.731 personas se habían vinculado al programa Casa Libertad y más de 710 habían accedido al modelo de educación flexible, así como </w:t>
      </w:r>
      <w:r>
        <w:t>se había facilitado la vinculación laboral de 358 más, es necesario profundizar en la efectividad de estas iniciativas. Se requiere una evaluación exhaustiva de los programas existentes para identificar áreas de mejora y garantizar que proporcionen el apoyo necesario para buscar la resocialización exitosa de los individuos pospenados y la prevención de la reincidencia delictiva.</w:t>
      </w:r>
    </w:p>
    <w:p w14:paraId="293F932A" w14:textId="77777777" w:rsidR="003F2AA2" w:rsidRDefault="003F2AA2" w:rsidP="003F2AA2"/>
    <w:p w14:paraId="06FD80B6" w14:textId="77777777" w:rsidR="003F2AA2" w:rsidRDefault="003F2AA2" w:rsidP="003F2AA2">
      <w:r>
        <w:t>Esto incluye abordar posibles barreras para acceder a la educación y al empleo, así como garantizar la sostenibilidad y el seguimiento a largo plazo de los programas de reinserción social.</w:t>
      </w:r>
    </w:p>
    <w:p w14:paraId="463F8069" w14:textId="77777777" w:rsidR="003F2AA2" w:rsidRDefault="003F2AA2" w:rsidP="003F2AA2"/>
    <w:p w14:paraId="0D2E2220" w14:textId="77777777" w:rsidR="003F2AA2" w:rsidRDefault="003F2AA2" w:rsidP="003F2AA2">
      <w:pPr>
        <w:shd w:val="clear" w:color="auto" w:fill="FFFFFF"/>
      </w:pPr>
      <w:r>
        <w:t xml:space="preserve">En esa línea, se espera ampliar y seguir especializando la atención de jóvenes y adolescentes que se encuentran en conflicto con la ley en el marco del Sistema de Responsabilidad Penal Adolescente, ello da cumplimiento al Plan Nacional de Política Criminal 2022-2025, la Política Nacional de Justicia Juvenil Restaurativa, la ley 1098 de 2006 y el Decreto 413 de 2016, buscando asegurar que los delitos en los que se ven inmersos adolescentes y jóvenes y que impactan negativamente la seguridad ciudadana se tramiten mediante la justicia restaurativa y la justicia terapéutica.  </w:t>
      </w:r>
    </w:p>
    <w:p w14:paraId="3DDFE145" w14:textId="77777777" w:rsidR="003F2AA2" w:rsidRDefault="003F2AA2" w:rsidP="003F2AA2">
      <w:pPr>
        <w:shd w:val="clear" w:color="auto" w:fill="FFFFFF"/>
      </w:pPr>
      <w:r>
        <w:t xml:space="preserve">  </w:t>
      </w:r>
    </w:p>
    <w:p w14:paraId="50D1DE05" w14:textId="77777777" w:rsidR="003F2AA2" w:rsidRDefault="003F2AA2" w:rsidP="003F2AA2">
      <w:pPr>
        <w:shd w:val="clear" w:color="auto" w:fill="FFFFFF"/>
      </w:pPr>
      <w:r>
        <w:t xml:space="preserve">Importante resaltar que Bogotá es epicentro de la justicia restaurativa en el país y que cuenta con una gran experiencia acumulada en el Programa Distrital de Justicia Juvenil Restaurativa, el cual es considerado una Buena Práctica en la Región en materia de atención a adolescentes y jóvenes inmersos en delitos. </w:t>
      </w:r>
    </w:p>
    <w:p w14:paraId="1E3F4A5F" w14:textId="77777777"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p>
    <w:p w14:paraId="7D14EF35" w14:textId="77777777" w:rsidR="003F2AA2" w:rsidRDefault="003F2AA2" w:rsidP="003F2AA2"/>
    <w:p w14:paraId="2729B626" w14:textId="77777777" w:rsidR="003F2AA2" w:rsidRDefault="003F2AA2" w:rsidP="003F2AA2"/>
    <w:p w14:paraId="063D86E1" w14:textId="637E99F7" w:rsidR="003F2AA2" w:rsidRPr="00FE7912" w:rsidRDefault="00FE7912" w:rsidP="003F2AA2">
      <w:pPr>
        <w:keepNext/>
        <w:keepLines/>
        <w:pBdr>
          <w:top w:val="nil"/>
          <w:left w:val="nil"/>
          <w:bottom w:val="nil"/>
          <w:right w:val="nil"/>
          <w:between w:val="nil"/>
        </w:pBdr>
        <w:spacing w:line="340" w:lineRule="auto"/>
        <w:ind w:left="1145" w:hanging="720"/>
        <w:jc w:val="left"/>
        <w:rPr>
          <w:b/>
          <w:color w:val="3B3838"/>
          <w:sz w:val="24"/>
        </w:rPr>
        <w:sectPr w:rsidR="003F2AA2" w:rsidRPr="00FE7912" w:rsidSect="00F7078E">
          <w:type w:val="continuous"/>
          <w:pgSz w:w="12240" w:h="15840"/>
          <w:pgMar w:top="2262" w:right="1440" w:bottom="1440" w:left="1440" w:header="708" w:footer="708" w:gutter="0"/>
          <w:cols w:space="720"/>
        </w:sectPr>
      </w:pPr>
      <w:r w:rsidRPr="00FE7912">
        <w:rPr>
          <w:b/>
          <w:color w:val="3B3838"/>
          <w:sz w:val="24"/>
        </w:rPr>
        <w:t>D</w:t>
      </w:r>
      <w:r w:rsidR="003F2AA2" w:rsidRPr="00FE7912">
        <w:rPr>
          <w:b/>
          <w:color w:val="3B3838"/>
          <w:sz w:val="24"/>
        </w:rPr>
        <w:t>escripción del programa</w:t>
      </w:r>
    </w:p>
    <w:p w14:paraId="016C2CA0" w14:textId="0AE5933E" w:rsidR="003F2AA2" w:rsidRDefault="003F2AA2" w:rsidP="003F2AA2">
      <w:bookmarkStart w:id="207" w:name="_heading=h.j5wc4dml1w6o" w:colFirst="0" w:colLast="0"/>
      <w:bookmarkEnd w:id="207"/>
      <w:r>
        <w:t xml:space="preserve">La garantía efectiva del derecho fundamental al acceso a la justicia es una de las condiciones para mejorar la percepción de seguridad y frenar la intimidación de la acción delictiva. Es así como, partiendo de la problemática señalada y </w:t>
      </w:r>
      <w:r>
        <w:t>como parte de la construcción de confianza y recuperación del tejido social, la administración distrital fortalecerá la prestación de los servicios de justicia para apoyar la atención de la ciudadanía que ha sido víctima de delitos.</w:t>
      </w:r>
    </w:p>
    <w:p w14:paraId="369815BE" w14:textId="77777777" w:rsidR="003F2AA2" w:rsidRDefault="003F2AA2" w:rsidP="003F2AA2">
      <w:r>
        <w:lastRenderedPageBreak/>
        <w:t xml:space="preserve">Para ello, el Distrito, en articulación con los organismos de seguridad y justicia del orden nacional y regional, trabajará en la ampliación de los equipamientos y de los servicios de justicia, y en la generación de alternativas que permitan que la ciudadanía: pueda acceder a información y a orientación oportuna, conozca las distintas alternativas de resolución de conflictos con que cuenta la ciudad, acceda con facilidad y rapidez a la denuncia y logre respuestas efectivas a sus necesidades por parte de las autoridades de justicia. Esto implicará no solo mejorar el acceso a información clara y comprensible sobre los derechos legales y los procedimientos judiciales, sino la disponibilidad de información y estrategias de acceso a diversos mecanismos de resolución alternativa de conflictos, la atención de facilitadores capacitados para ayudar a que las partes involucradas en un conflicto o una disputa puedan llegar a acuerdos mutuamente satisfactorios cuando hubiere lugar a ello, el acompañamiento y orientación para presentar sus denuncias ante las autoridades judiciales o administrativas, y la certeza de que obtendrá una respuesta efectiva y oportuna por parte de las autoridades competentes. </w:t>
      </w:r>
    </w:p>
    <w:p w14:paraId="0386E1B2" w14:textId="77777777" w:rsidR="003F2AA2" w:rsidRDefault="003F2AA2" w:rsidP="003F2AA2"/>
    <w:p w14:paraId="688D265B" w14:textId="4FB899F4" w:rsidR="003F2AA2" w:rsidRDefault="003F2AA2" w:rsidP="003F2AA2">
      <w:pPr>
        <w:rPr>
          <w:highlight w:val="white"/>
        </w:rPr>
      </w:pPr>
      <w:r>
        <w:rPr>
          <w:highlight w:val="white"/>
        </w:rPr>
        <w:t xml:space="preserve">De igual manera, se avanzará en el fortalecimiento de la oferta de servicios de justicia a través de la ampliación del número de equipamientos. Esto, con el fin de facilitar la articulación interinstitucional y la acción coordinada de los operadores de justicia nacionales y distritales, formales, no formales y comunitarios en el objetivo de eliminar las brechas en el acceso a la justicia, la complejidad de los trámites, la lentitud en el proceso y la ausencia de respuestas eficaces y oportunas, teniendo en cuenta que ello mejorará la confianza en la justicia y en las instituciones. </w:t>
      </w:r>
    </w:p>
    <w:p w14:paraId="0A054FD9" w14:textId="77777777" w:rsidR="003F2AA2" w:rsidRDefault="003F2AA2" w:rsidP="003F2AA2">
      <w:pPr>
        <w:rPr>
          <w:highlight w:val="white"/>
        </w:rPr>
      </w:pPr>
    </w:p>
    <w:p w14:paraId="08D4E2B2" w14:textId="77777777" w:rsidR="003F2AA2" w:rsidRDefault="003F2AA2" w:rsidP="003F2AA2">
      <w:pPr>
        <w:shd w:val="clear" w:color="auto" w:fill="FFFFFF"/>
        <w:rPr>
          <w:highlight w:val="white"/>
        </w:rPr>
      </w:pPr>
      <w:r>
        <w:rPr>
          <w:highlight w:val="white"/>
        </w:rPr>
        <w:t xml:space="preserve">Para garantizar lo anterior, se concentrarán los esfuerzos en la implementación del Sistema Distrital de Justicia - SDJ en Bogotá, lo que implica el establecimiento de un marco organizativo y funcional que busca superar las barreras en el </w:t>
      </w:r>
      <w:r>
        <w:rPr>
          <w:highlight w:val="white"/>
        </w:rPr>
        <w:t xml:space="preserve">acceso a la justicia, promover la articulación interinstitucional, ampliar las rutas, oferta y equipamientos disponibles para la resolución de conflictos legales, visibilizar y poner en valor la justicia comunitaria y garantizar que haya amparo oportuno y respuestas eficaces a las necesidades de justicia de la ciudadanía. Este Sistema se centra en la creación de mecanismos que faciliten el acceso equitativo a los servicios de justicia para todos los ciudadanos, independientemente de su ubicación geográfica, nivel socioeconómico o grupo étnico. </w:t>
      </w:r>
    </w:p>
    <w:p w14:paraId="6A09763E" w14:textId="77777777" w:rsidR="003F2AA2" w:rsidRDefault="003F2AA2" w:rsidP="003F2AA2">
      <w:pPr>
        <w:shd w:val="clear" w:color="auto" w:fill="FFFFFF"/>
        <w:rPr>
          <w:highlight w:val="white"/>
        </w:rPr>
      </w:pPr>
    </w:p>
    <w:p w14:paraId="080A0F7B" w14:textId="77777777" w:rsidR="003F2AA2" w:rsidRPr="00886DDD" w:rsidRDefault="003F2AA2" w:rsidP="003F2AA2">
      <w:pPr>
        <w:shd w:val="clear" w:color="auto" w:fill="FFFFFF"/>
        <w:rPr>
          <w:spacing w:val="-6"/>
          <w:highlight w:val="white"/>
        </w:rPr>
      </w:pPr>
      <w:r w:rsidRPr="00886DDD">
        <w:rPr>
          <w:spacing w:val="-6"/>
          <w:highlight w:val="white"/>
        </w:rPr>
        <w:t xml:space="preserve">Además, busca fortalecer la coordinación entre las distintas instituciones involucradas en la administración de justicia, tanto a nivel local como nacional, con el fin de mejorar la eficiencia y eficacia del sistema en su conjunto. Con el SDJ se dará expansión a los centros de atención legal, las Casas de Justicia y otros puntos de acceso a servicios legales, y se crearán sistemas locales de justicia con el propósito de acercar la justicia a la comunidad y brindar una mayor variedad de opciones para la resolución de conflictos y reaccionar ante el delito. </w:t>
      </w:r>
    </w:p>
    <w:p w14:paraId="050084D4" w14:textId="77777777" w:rsidR="003F2AA2" w:rsidRPr="00886DDD" w:rsidRDefault="003F2AA2" w:rsidP="003F2AA2">
      <w:pPr>
        <w:shd w:val="clear" w:color="auto" w:fill="FFFFFF"/>
        <w:rPr>
          <w:spacing w:val="-6"/>
          <w:highlight w:val="white"/>
        </w:rPr>
      </w:pPr>
      <w:r w:rsidRPr="00886DDD">
        <w:rPr>
          <w:spacing w:val="-6"/>
          <w:highlight w:val="white"/>
        </w:rPr>
        <w:t xml:space="preserve"> </w:t>
      </w:r>
    </w:p>
    <w:p w14:paraId="7FF473C1" w14:textId="5D0C7CD1" w:rsidR="003F2AA2" w:rsidRPr="00886DDD" w:rsidRDefault="003F2AA2" w:rsidP="003F2AA2">
      <w:pPr>
        <w:rPr>
          <w:spacing w:val="-6"/>
          <w:highlight w:val="white"/>
        </w:rPr>
      </w:pPr>
      <w:r w:rsidRPr="00886DDD">
        <w:rPr>
          <w:spacing w:val="-6"/>
          <w:highlight w:val="white"/>
        </w:rPr>
        <w:t>En el abordaje del delito se buscará profundizar la justicia restaurativa. Se fortalecerán las capacidades del Programa Distrital de Justicia Restaurativa para Adultos y en sinergia con la Fiscalía</w:t>
      </w:r>
      <w:r w:rsidR="00BD2417">
        <w:rPr>
          <w:spacing w:val="-6"/>
          <w:highlight w:val="white"/>
        </w:rPr>
        <w:t xml:space="preserve"> </w:t>
      </w:r>
      <w:r w:rsidRPr="00886DDD">
        <w:rPr>
          <w:spacing w:val="-6"/>
          <w:highlight w:val="white"/>
        </w:rPr>
        <w:t xml:space="preserve">General de la Nación se buscarán alternativas para el abordaje restaurativo de delitos de baja lesividad y alto impacto social en el entendido que ello asegura el desistimiento delictivo, disminuye la posibilidad de la reincidencia, atenúa el hacinamiento de los centros de detención transitoria y mejora la confianza en la justicia por parte de la ciudadanía.  </w:t>
      </w:r>
    </w:p>
    <w:p w14:paraId="6009C2E6" w14:textId="77777777" w:rsidR="003F2AA2" w:rsidRPr="00886DDD" w:rsidRDefault="003F2AA2" w:rsidP="003F2AA2">
      <w:pPr>
        <w:rPr>
          <w:spacing w:val="-6"/>
        </w:rPr>
      </w:pPr>
    </w:p>
    <w:p w14:paraId="7186E145" w14:textId="77777777" w:rsidR="003F2AA2" w:rsidRPr="00886DDD" w:rsidRDefault="003F2AA2" w:rsidP="003F2AA2">
      <w:pPr>
        <w:shd w:val="clear" w:color="auto" w:fill="FFFFFF"/>
        <w:rPr>
          <w:spacing w:val="-6"/>
        </w:rPr>
      </w:pPr>
      <w:r w:rsidRPr="00886DDD">
        <w:rPr>
          <w:spacing w:val="-6"/>
        </w:rPr>
        <w:t xml:space="preserve">En materia de atención a la población privada de la libertad, el esfuerzo se concentrará en mantener la acreditación de la Cárcel Distrital y en buscar su transformación en la primera cárcel restaurativa del país; para ello, se seguirán garantizando la dignidad y los derechos de las personas privadas de la libertad, se crearán programas de atención especializada centrados en el enfoque de la desistencia delictiva, se profundizará la garantía del derecho a </w:t>
      </w:r>
      <w:r w:rsidRPr="00886DDD">
        <w:rPr>
          <w:spacing w:val="-6"/>
        </w:rPr>
        <w:lastRenderedPageBreak/>
        <w:t xml:space="preserve">la educación primaria y secundaria, se crearán programas de formación técnica certificada en oficios, se trabajará con las instituciones de educación superior para garantizar que existan opciones para quienes quieran formarse como profesionales, se buscará que quienes quieran reparar el daño causado accedan a mecanismos de justicia restaurativa y se articularán esfuerzos con el sector público y privado para y fortalecer la resocialización y prevenir la reincidencia delictiva. </w:t>
      </w:r>
    </w:p>
    <w:p w14:paraId="5E7D0D99" w14:textId="77777777" w:rsidR="003F2AA2" w:rsidRPr="00886DDD" w:rsidRDefault="003F2AA2" w:rsidP="003F2AA2">
      <w:pPr>
        <w:shd w:val="clear" w:color="auto" w:fill="FFFFFF"/>
        <w:rPr>
          <w:spacing w:val="-6"/>
        </w:rPr>
      </w:pPr>
      <w:r w:rsidRPr="00886DDD">
        <w:rPr>
          <w:spacing w:val="-6"/>
        </w:rPr>
        <w:t xml:space="preserve">  </w:t>
      </w:r>
    </w:p>
    <w:p w14:paraId="7E7F9865" w14:textId="77777777" w:rsidR="003F2AA2" w:rsidRPr="00886DDD" w:rsidRDefault="003F2AA2" w:rsidP="003F2AA2">
      <w:pPr>
        <w:shd w:val="clear" w:color="auto" w:fill="FFFFFF"/>
        <w:rPr>
          <w:spacing w:val="-6"/>
        </w:rPr>
      </w:pPr>
      <w:r w:rsidRPr="00886DDD">
        <w:rPr>
          <w:spacing w:val="-6"/>
        </w:rPr>
        <w:t xml:space="preserve">Así mismo, en el tema de descongestión carcelaria la administración distrital avanzará en la construcción de una nueva segunda Cárcel Distrital y buscará el mejoramiento de la infraestructura destinada a la atención de la población privada de la libertad.  </w:t>
      </w:r>
    </w:p>
    <w:p w14:paraId="00065787" w14:textId="77777777" w:rsidR="003F2AA2" w:rsidRPr="00886DDD" w:rsidRDefault="003F2AA2" w:rsidP="003F2AA2">
      <w:pPr>
        <w:shd w:val="clear" w:color="auto" w:fill="FFFFFF"/>
        <w:rPr>
          <w:spacing w:val="-6"/>
        </w:rPr>
      </w:pPr>
      <w:r w:rsidRPr="00886DDD">
        <w:rPr>
          <w:spacing w:val="-6"/>
        </w:rPr>
        <w:t xml:space="preserve">  </w:t>
      </w:r>
    </w:p>
    <w:p w14:paraId="0E587AD6" w14:textId="77777777" w:rsidR="003F2AA2" w:rsidRPr="001C3F0D" w:rsidRDefault="003F2AA2" w:rsidP="003F2AA2">
      <w:pPr>
        <w:shd w:val="clear" w:color="auto" w:fill="FFFFFF"/>
        <w:rPr>
          <w:spacing w:val="-6"/>
        </w:rPr>
      </w:pPr>
      <w:r w:rsidRPr="001C3F0D">
        <w:rPr>
          <w:spacing w:val="-6"/>
        </w:rPr>
        <w:t xml:space="preserve">En relación con el delito juvenil y adolescente, la administración fortalecerá y ampliará las capacidades del Programa Distrital de Justicia Juvenil Restaurativa, el cual atenderá de manera diferenciada las necesidades de las y los adolescentes y jóvenes que se </w:t>
      </w:r>
      <w:r w:rsidRPr="001C3F0D">
        <w:rPr>
          <w:spacing w:val="-6"/>
        </w:rPr>
        <w:t>ven inmersos en delitos en la ciudad y responderá a las dinámicas del delito juvenil y adolescente. De una parte, atendiendo la complejidad creciente que evidencia la violencia intrafamiliar y el conflicto escolar, ampliando las estrategias de mitigación del consumo de sustancias psicoactivas y justicia terapéutica a las unidades privativas de la libertad del Sistema de Responsabilidad Penal para Adolescentes -</w:t>
      </w:r>
      <w:r w:rsidRPr="001C3F0D">
        <w:rPr>
          <w:spacing w:val="-6"/>
          <w:highlight w:val="white"/>
        </w:rPr>
        <w:t xml:space="preserve"> SRPA, </w:t>
      </w:r>
      <w:r w:rsidRPr="001C3F0D">
        <w:rPr>
          <w:spacing w:val="-6"/>
        </w:rPr>
        <w:t xml:space="preserve">ofreciendo a las autoridades judiciales mejores opciones de atención y seguimiento a las sanciones no privativas de la libertad, generando condiciones para que las y los adolescentes y jóvenes cuenten con oportunidades para desarrollar proyectos de vida autónomos y sostenibles en el marco de la legalidad, y ampliando las estrategias de prevención de la utilización e instrumentalización de adolescentes y jóvenes en la comisión de delitos por parte de las redes criminales. </w:t>
      </w:r>
    </w:p>
    <w:p w14:paraId="736D1E56" w14:textId="77777777" w:rsidR="003F2AA2" w:rsidRPr="00886DDD" w:rsidRDefault="003F2AA2" w:rsidP="003F2AA2">
      <w:pPr>
        <w:rPr>
          <w:spacing w:val="-6"/>
        </w:rPr>
      </w:pPr>
    </w:p>
    <w:p w14:paraId="52CEAD6D" w14:textId="0CEA9FF4" w:rsidR="003F2AA2" w:rsidRDefault="003F2AA2" w:rsidP="003F2AA2">
      <w:pPr>
        <w:rPr>
          <w:spacing w:val="-6"/>
        </w:rPr>
      </w:pPr>
      <w:r w:rsidRPr="00886DDD">
        <w:rPr>
          <w:spacing w:val="-6"/>
        </w:rPr>
        <w:t>Este programa se ejecutará mediante las siguientes metas (</w:t>
      </w:r>
      <w:r w:rsidR="0019044E" w:rsidRPr="0019044E">
        <w:rPr>
          <w:spacing w:val="-6"/>
        </w:rPr>
        <w:fldChar w:fldCharType="begin"/>
      </w:r>
      <w:r w:rsidR="0019044E" w:rsidRPr="0019044E">
        <w:rPr>
          <w:spacing w:val="-6"/>
        </w:rPr>
        <w:instrText xml:space="preserve"> REF _Ref165124880 \h </w:instrText>
      </w:r>
      <w:r w:rsidR="0019044E" w:rsidRPr="0019044E">
        <w:rPr>
          <w:spacing w:val="-6"/>
        </w:rPr>
      </w:r>
      <w:r w:rsidR="0019044E" w:rsidRPr="0019044E">
        <w:rPr>
          <w:spacing w:val="-6"/>
        </w:rPr>
        <w:fldChar w:fldCharType="separate"/>
      </w:r>
      <w:r w:rsidR="00D01651" w:rsidRPr="001C3F0D">
        <w:rPr>
          <w:color w:val="C00000"/>
          <w:sz w:val="18"/>
          <w:szCs w:val="18"/>
        </w:rPr>
        <w:t xml:space="preserve">Tabla </w:t>
      </w:r>
      <w:r w:rsidR="00D01651">
        <w:rPr>
          <w:noProof/>
          <w:color w:val="C00000"/>
          <w:sz w:val="18"/>
        </w:rPr>
        <w:t>20</w:t>
      </w:r>
      <w:r w:rsidR="0019044E" w:rsidRPr="0019044E">
        <w:rPr>
          <w:spacing w:val="-6"/>
        </w:rPr>
        <w:fldChar w:fldCharType="end"/>
      </w:r>
      <w:r w:rsidRPr="0019044E">
        <w:rPr>
          <w:spacing w:val="-6"/>
        </w:rPr>
        <w:t>)</w:t>
      </w:r>
      <w:r w:rsidR="001C3F0D" w:rsidRPr="0019044E">
        <w:rPr>
          <w:spacing w:val="-6"/>
        </w:rPr>
        <w:t>.</w:t>
      </w:r>
    </w:p>
    <w:p w14:paraId="407EDD63" w14:textId="77777777" w:rsidR="001C3F0D" w:rsidRDefault="001C3F0D" w:rsidP="003F2AA2">
      <w:pPr>
        <w:rPr>
          <w:spacing w:val="-6"/>
        </w:rPr>
      </w:pPr>
    </w:p>
    <w:p w14:paraId="3C31B263" w14:textId="5046E314" w:rsidR="00BD2417" w:rsidRPr="00886DDD" w:rsidRDefault="00BD2417" w:rsidP="003F2AA2">
      <w:pPr>
        <w:rPr>
          <w:spacing w:val="-6"/>
        </w:rPr>
        <w:sectPr w:rsidR="00BD2417" w:rsidRPr="00886DDD" w:rsidSect="00F7078E">
          <w:type w:val="continuous"/>
          <w:pgSz w:w="12240" w:h="15840"/>
          <w:pgMar w:top="2262" w:right="1440" w:bottom="1440" w:left="1440" w:header="708" w:footer="708" w:gutter="0"/>
          <w:cols w:num="2" w:space="720" w:equalWidth="0">
            <w:col w:w="4396" w:space="567"/>
            <w:col w:w="4396" w:space="0"/>
          </w:cols>
        </w:sectPr>
      </w:pPr>
    </w:p>
    <w:p w14:paraId="3E2CDD33" w14:textId="77777777" w:rsidR="001C3F0D" w:rsidRDefault="001C3F0D" w:rsidP="003F2AA2">
      <w:pPr>
        <w:pBdr>
          <w:top w:val="nil"/>
          <w:left w:val="nil"/>
          <w:bottom w:val="nil"/>
          <w:right w:val="nil"/>
          <w:between w:val="nil"/>
        </w:pBdr>
        <w:spacing w:line="220" w:lineRule="auto"/>
        <w:jc w:val="center"/>
        <w:rPr>
          <w:b/>
          <w:color w:val="C00000"/>
          <w:sz w:val="18"/>
          <w:szCs w:val="18"/>
        </w:rPr>
      </w:pPr>
      <w:bookmarkStart w:id="208" w:name="_heading=h.1rvwp1q" w:colFirst="0" w:colLast="0"/>
      <w:bookmarkEnd w:id="208"/>
    </w:p>
    <w:p w14:paraId="337B09BC" w14:textId="1C98CAD0" w:rsidR="003F2AA2" w:rsidRDefault="001C3F0D" w:rsidP="00081D7A">
      <w:pPr>
        <w:pStyle w:val="Descripcin"/>
        <w:jc w:val="center"/>
        <w:rPr>
          <w:sz w:val="18"/>
        </w:rPr>
      </w:pPr>
      <w:bookmarkStart w:id="209" w:name="_Ref165124880"/>
      <w:bookmarkStart w:id="210" w:name="_Toc165169930"/>
      <w:r w:rsidRPr="001C3F0D">
        <w:rPr>
          <w:color w:val="C00000"/>
          <w:sz w:val="18"/>
        </w:rPr>
        <w:t xml:space="preserve">Tabla </w:t>
      </w:r>
      <w:r w:rsidRPr="001C3F0D">
        <w:rPr>
          <w:color w:val="C00000"/>
          <w:sz w:val="18"/>
        </w:rPr>
        <w:fldChar w:fldCharType="begin"/>
      </w:r>
      <w:r w:rsidRPr="001C3F0D">
        <w:rPr>
          <w:color w:val="C00000"/>
          <w:sz w:val="18"/>
        </w:rPr>
        <w:instrText xml:space="preserve"> SEQ Tabla \* ARABIC </w:instrText>
      </w:r>
      <w:r w:rsidRPr="001C3F0D">
        <w:rPr>
          <w:color w:val="C00000"/>
          <w:sz w:val="18"/>
        </w:rPr>
        <w:fldChar w:fldCharType="separate"/>
      </w:r>
      <w:r w:rsidR="00D01651">
        <w:rPr>
          <w:noProof/>
          <w:color w:val="C00000"/>
          <w:sz w:val="18"/>
        </w:rPr>
        <w:t>20</w:t>
      </w:r>
      <w:r w:rsidRPr="001C3F0D">
        <w:rPr>
          <w:color w:val="C00000"/>
          <w:sz w:val="18"/>
        </w:rPr>
        <w:fldChar w:fldCharType="end"/>
      </w:r>
      <w:bookmarkEnd w:id="209"/>
      <w:r w:rsidRPr="001C3F0D">
        <w:rPr>
          <w:color w:val="C00000"/>
          <w:sz w:val="18"/>
        </w:rPr>
        <w:t xml:space="preserve">. </w:t>
      </w:r>
      <w:r w:rsidR="003F2AA2" w:rsidRPr="001C3F0D">
        <w:rPr>
          <w:color w:val="3B3838"/>
          <w:sz w:val="18"/>
        </w:rPr>
        <w:t>Metas del programa 4: Servicios centrados en la justicia</w:t>
      </w:r>
      <w:bookmarkEnd w:id="210"/>
    </w:p>
    <w:tbl>
      <w:tblPr>
        <w:tblW w:w="9908" w:type="dxa"/>
        <w:jc w:val="center"/>
        <w:tblBorders>
          <w:top w:val="nil"/>
          <w:left w:val="nil"/>
          <w:bottom w:val="nil"/>
          <w:right w:val="nil"/>
          <w:insideH w:val="nil"/>
          <w:insideV w:val="nil"/>
        </w:tblBorders>
        <w:tblLayout w:type="fixed"/>
        <w:tblLook w:val="0600" w:firstRow="0" w:lastRow="0" w:firstColumn="0" w:lastColumn="0" w:noHBand="1" w:noVBand="1"/>
      </w:tblPr>
      <w:tblGrid>
        <w:gridCol w:w="3544"/>
        <w:gridCol w:w="1361"/>
        <w:gridCol w:w="1191"/>
        <w:gridCol w:w="1275"/>
        <w:gridCol w:w="1254"/>
        <w:gridCol w:w="1283"/>
      </w:tblGrid>
      <w:tr w:rsidR="003F2AA2" w14:paraId="3BA2D374" w14:textId="77777777" w:rsidTr="00081D7A">
        <w:trPr>
          <w:trHeight w:val="600"/>
          <w:tblHeader/>
          <w:jc w:val="center"/>
        </w:trPr>
        <w:tc>
          <w:tcPr>
            <w:tcW w:w="3544"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0789B5FC" w14:textId="77777777" w:rsidR="003F2AA2" w:rsidRDefault="003F2AA2" w:rsidP="00171671">
            <w:pPr>
              <w:widowControl w:val="0"/>
              <w:spacing w:line="276" w:lineRule="auto"/>
              <w:ind w:right="86"/>
              <w:jc w:val="right"/>
              <w:rPr>
                <w:b/>
                <w:color w:val="FFFFFF"/>
                <w:sz w:val="24"/>
              </w:rPr>
            </w:pPr>
            <w:r>
              <w:rPr>
                <w:b/>
                <w:color w:val="FFFFFF"/>
                <w:sz w:val="24"/>
              </w:rPr>
              <w:t>SECTOR / Metas</w:t>
            </w:r>
          </w:p>
        </w:tc>
        <w:tc>
          <w:tcPr>
            <w:tcW w:w="6364"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491749EE" w14:textId="77777777" w:rsidR="003F2AA2" w:rsidRDefault="003F2AA2" w:rsidP="00171671">
            <w:pPr>
              <w:widowControl w:val="0"/>
              <w:spacing w:line="276" w:lineRule="auto"/>
              <w:ind w:right="86"/>
              <w:jc w:val="center"/>
              <w:rPr>
                <w:b/>
                <w:color w:val="FFFFFF"/>
                <w:sz w:val="24"/>
              </w:rPr>
            </w:pPr>
            <w:r>
              <w:rPr>
                <w:b/>
                <w:color w:val="FFFFFF"/>
                <w:sz w:val="24"/>
              </w:rPr>
              <w:t>Magnitudes e Inversión</w:t>
            </w:r>
          </w:p>
          <w:p w14:paraId="1D7C10F2" w14:textId="77777777" w:rsidR="003F2AA2" w:rsidRDefault="003F2AA2" w:rsidP="00171671">
            <w:pPr>
              <w:widowControl w:val="0"/>
              <w:spacing w:line="276" w:lineRule="auto"/>
              <w:ind w:right="86"/>
              <w:jc w:val="center"/>
              <w:rPr>
                <w:rFonts w:ascii="Arial" w:eastAsia="Arial" w:hAnsi="Arial" w:cs="Arial"/>
                <w:color w:val="000000"/>
              </w:rPr>
            </w:pPr>
            <w:r>
              <w:rPr>
                <w:b/>
                <w:color w:val="FFFFFF"/>
                <w:sz w:val="18"/>
                <w:szCs w:val="18"/>
              </w:rPr>
              <w:t>(Precios Constantes 2024)</w:t>
            </w:r>
          </w:p>
        </w:tc>
      </w:tr>
      <w:tr w:rsidR="00171671" w14:paraId="71F2B3E9" w14:textId="77777777" w:rsidTr="00081D7A">
        <w:trPr>
          <w:trHeight w:val="204"/>
          <w:tblHeader/>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7096E42D" w14:textId="77777777" w:rsidR="003F2AA2" w:rsidRDefault="003F2AA2" w:rsidP="00171671">
            <w:pPr>
              <w:widowControl w:val="0"/>
              <w:spacing w:line="276" w:lineRule="auto"/>
              <w:ind w:right="86"/>
              <w:jc w:val="right"/>
              <w:rPr>
                <w:rFonts w:ascii="Arial" w:eastAsia="Arial" w:hAnsi="Arial" w:cs="Arial"/>
                <w:color w:val="000000"/>
              </w:rPr>
            </w:pPr>
          </w:p>
        </w:tc>
        <w:tc>
          <w:tcPr>
            <w:tcW w:w="1361"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67BC86C9" w14:textId="77777777" w:rsidR="003F2AA2" w:rsidRDefault="003F2AA2" w:rsidP="00171671">
            <w:pPr>
              <w:widowControl w:val="0"/>
              <w:spacing w:line="276" w:lineRule="auto"/>
              <w:ind w:right="86"/>
              <w:jc w:val="center"/>
              <w:rPr>
                <w:rFonts w:ascii="Arial" w:eastAsia="Arial" w:hAnsi="Arial" w:cs="Arial"/>
                <w:color w:val="000000"/>
              </w:rPr>
            </w:pPr>
            <w:r>
              <w:rPr>
                <w:b/>
                <w:color w:val="000000"/>
              </w:rPr>
              <w:t>2024</w:t>
            </w:r>
          </w:p>
        </w:tc>
        <w:tc>
          <w:tcPr>
            <w:tcW w:w="1191"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468BB159" w14:textId="77777777" w:rsidR="003F2AA2" w:rsidRDefault="003F2AA2" w:rsidP="00171671">
            <w:pPr>
              <w:widowControl w:val="0"/>
              <w:spacing w:line="276" w:lineRule="auto"/>
              <w:ind w:right="86"/>
              <w:jc w:val="center"/>
              <w:rPr>
                <w:rFonts w:ascii="Arial" w:eastAsia="Arial" w:hAnsi="Arial" w:cs="Arial"/>
                <w:color w:val="000000"/>
              </w:rPr>
            </w:pPr>
            <w:r>
              <w:rPr>
                <w:b/>
                <w:color w:val="000000"/>
              </w:rPr>
              <w:t>2025</w:t>
            </w:r>
          </w:p>
        </w:tc>
        <w:tc>
          <w:tcPr>
            <w:tcW w:w="127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781F857C" w14:textId="77777777" w:rsidR="003F2AA2" w:rsidRDefault="003F2AA2" w:rsidP="00171671">
            <w:pPr>
              <w:widowControl w:val="0"/>
              <w:spacing w:line="276" w:lineRule="auto"/>
              <w:ind w:right="86"/>
              <w:jc w:val="center"/>
              <w:rPr>
                <w:rFonts w:ascii="Arial" w:eastAsia="Arial" w:hAnsi="Arial" w:cs="Arial"/>
                <w:color w:val="000000"/>
              </w:rPr>
            </w:pPr>
            <w:r>
              <w:rPr>
                <w:b/>
                <w:color w:val="000000"/>
              </w:rPr>
              <w:t>2026</w:t>
            </w:r>
          </w:p>
        </w:tc>
        <w:tc>
          <w:tcPr>
            <w:tcW w:w="1254"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6C50E44C" w14:textId="77777777" w:rsidR="003F2AA2" w:rsidRDefault="003F2AA2" w:rsidP="00171671">
            <w:pPr>
              <w:widowControl w:val="0"/>
              <w:spacing w:line="276" w:lineRule="auto"/>
              <w:ind w:right="86"/>
              <w:jc w:val="center"/>
              <w:rPr>
                <w:rFonts w:ascii="Arial" w:eastAsia="Arial" w:hAnsi="Arial" w:cs="Arial"/>
                <w:color w:val="000000"/>
              </w:rPr>
            </w:pPr>
            <w:r>
              <w:rPr>
                <w:b/>
                <w:color w:val="000000"/>
              </w:rPr>
              <w:t>2027</w:t>
            </w:r>
          </w:p>
        </w:tc>
        <w:tc>
          <w:tcPr>
            <w:tcW w:w="1283"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2AA63949" w14:textId="77777777" w:rsidR="00171671" w:rsidRDefault="003F2AA2" w:rsidP="00171671">
            <w:pPr>
              <w:widowControl w:val="0"/>
              <w:spacing w:line="276" w:lineRule="auto"/>
              <w:ind w:right="86"/>
              <w:jc w:val="center"/>
              <w:rPr>
                <w:b/>
                <w:color w:val="000000"/>
              </w:rPr>
            </w:pPr>
            <w:r>
              <w:rPr>
                <w:b/>
                <w:color w:val="000000"/>
              </w:rPr>
              <w:t xml:space="preserve">Total </w:t>
            </w:r>
          </w:p>
          <w:p w14:paraId="76533A5B" w14:textId="3F8D4BEA" w:rsidR="003F2AA2" w:rsidRDefault="003F2AA2" w:rsidP="00171671">
            <w:pPr>
              <w:widowControl w:val="0"/>
              <w:spacing w:line="276" w:lineRule="auto"/>
              <w:ind w:right="86"/>
              <w:jc w:val="center"/>
              <w:rPr>
                <w:rFonts w:ascii="Arial" w:eastAsia="Arial" w:hAnsi="Arial" w:cs="Arial"/>
                <w:color w:val="000000"/>
              </w:rPr>
            </w:pPr>
            <w:r>
              <w:rPr>
                <w:b/>
                <w:color w:val="000000"/>
              </w:rPr>
              <w:t>Inversión</w:t>
            </w:r>
          </w:p>
        </w:tc>
      </w:tr>
      <w:tr w:rsidR="003F2AA2" w14:paraId="4843C365" w14:textId="77777777" w:rsidTr="00886DDD">
        <w:trPr>
          <w:trHeight w:val="315"/>
          <w:jc w:val="center"/>
        </w:trPr>
        <w:tc>
          <w:tcPr>
            <w:tcW w:w="9908"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06ECDF6B" w14:textId="03831725" w:rsidR="003F2AA2" w:rsidRPr="00886DDD" w:rsidRDefault="00886DDD" w:rsidP="00171671">
            <w:pPr>
              <w:widowControl w:val="0"/>
              <w:spacing w:line="276" w:lineRule="auto"/>
              <w:ind w:right="86"/>
              <w:jc w:val="center"/>
              <w:rPr>
                <w:rFonts w:ascii="Arial" w:eastAsia="Arial" w:hAnsi="Arial" w:cs="Arial"/>
                <w:b/>
                <w:color w:val="000000"/>
              </w:rPr>
            </w:pPr>
            <w:r w:rsidRPr="00886DDD">
              <w:rPr>
                <w:b/>
                <w:color w:val="FFFFFF" w:themeColor="background1"/>
              </w:rPr>
              <w:t>Integración social</w:t>
            </w:r>
          </w:p>
        </w:tc>
      </w:tr>
      <w:tr w:rsidR="00171671" w:rsidRPr="00171671" w14:paraId="7259D0A0" w14:textId="77777777" w:rsidTr="00171671">
        <w:trPr>
          <w:trHeight w:val="315"/>
          <w:jc w:val="center"/>
        </w:trPr>
        <w:tc>
          <w:tcPr>
            <w:tcW w:w="3544"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AABC405" w14:textId="77777777" w:rsidR="003F2AA2" w:rsidRPr="00171671" w:rsidRDefault="003F2AA2" w:rsidP="00171671">
            <w:pPr>
              <w:widowControl w:val="0"/>
              <w:spacing w:line="276" w:lineRule="auto"/>
              <w:ind w:right="86"/>
              <w:jc w:val="right"/>
              <w:rPr>
                <w:color w:val="000000"/>
                <w:sz w:val="16"/>
                <w:szCs w:val="16"/>
              </w:rPr>
            </w:pPr>
            <w:r w:rsidRPr="00171671">
              <w:rPr>
                <w:color w:val="000000"/>
                <w:sz w:val="16"/>
                <w:szCs w:val="16"/>
              </w:rPr>
              <w:t>Llegar a 67 equipos interdisciplinarios para las Comisarías de Familia en Bogotá de acuerdo con la ley 2126 de 2021</w:t>
            </w: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A8BD4D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52</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716B4A"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56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2DC34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62</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A99358"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67</w:t>
            </w:r>
          </w:p>
        </w:tc>
        <w:tc>
          <w:tcPr>
            <w:tcW w:w="12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1869048" w14:textId="77777777" w:rsidR="003F2AA2" w:rsidRPr="00171671" w:rsidRDefault="003F2AA2" w:rsidP="00171671">
            <w:pPr>
              <w:widowControl w:val="0"/>
              <w:spacing w:line="276" w:lineRule="auto"/>
              <w:ind w:right="86"/>
              <w:jc w:val="right"/>
              <w:rPr>
                <w:b/>
                <w:color w:val="000000"/>
                <w:sz w:val="16"/>
                <w:szCs w:val="16"/>
              </w:rPr>
            </w:pPr>
            <w:r w:rsidRPr="00171671">
              <w:rPr>
                <w:b/>
                <w:color w:val="000000"/>
                <w:sz w:val="16"/>
                <w:szCs w:val="16"/>
              </w:rPr>
              <w:t>61.558.516.818</w:t>
            </w:r>
          </w:p>
        </w:tc>
      </w:tr>
      <w:tr w:rsidR="00171671" w:rsidRPr="00171671" w14:paraId="06A36BCE" w14:textId="77777777" w:rsidTr="00171671">
        <w:trPr>
          <w:trHeight w:val="315"/>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7AA58C59" w14:textId="77777777" w:rsidR="003F2AA2" w:rsidRPr="00171671" w:rsidRDefault="003F2AA2" w:rsidP="00171671">
            <w:pPr>
              <w:widowControl w:val="0"/>
              <w:spacing w:line="276" w:lineRule="auto"/>
              <w:ind w:right="86"/>
              <w:jc w:val="right"/>
              <w:rPr>
                <w:rFonts w:eastAsia="Arial" w:cs="Arial"/>
                <w:color w:val="000000"/>
                <w:sz w:val="16"/>
                <w:szCs w:val="16"/>
              </w:rPr>
            </w:pP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C0626D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14.741.000.000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30D17B1"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15.129.126.214</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852B85E"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15.733.810.915</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77CA8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15.954.579.689</w:t>
            </w:r>
          </w:p>
        </w:tc>
        <w:tc>
          <w:tcPr>
            <w:tcW w:w="12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06A1C230" w14:textId="77777777" w:rsidR="003F2AA2" w:rsidRPr="00171671" w:rsidRDefault="003F2AA2" w:rsidP="00171671">
            <w:pPr>
              <w:widowControl w:val="0"/>
              <w:spacing w:line="276" w:lineRule="auto"/>
              <w:ind w:right="86"/>
              <w:jc w:val="right"/>
              <w:rPr>
                <w:rFonts w:eastAsia="Arial" w:cs="Arial"/>
                <w:color w:val="000000"/>
                <w:sz w:val="16"/>
                <w:szCs w:val="16"/>
              </w:rPr>
            </w:pPr>
          </w:p>
        </w:tc>
      </w:tr>
      <w:tr w:rsidR="003F2AA2" w:rsidRPr="00171671" w14:paraId="2311F9CC" w14:textId="77777777" w:rsidTr="00886DDD">
        <w:trPr>
          <w:trHeight w:val="315"/>
          <w:jc w:val="center"/>
        </w:trPr>
        <w:tc>
          <w:tcPr>
            <w:tcW w:w="9908"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466B726F" w14:textId="4D46E2EC" w:rsidR="003F2AA2" w:rsidRPr="00171671" w:rsidRDefault="00886DDD" w:rsidP="00171671">
            <w:pPr>
              <w:widowControl w:val="0"/>
              <w:spacing w:line="276" w:lineRule="auto"/>
              <w:ind w:right="86"/>
              <w:jc w:val="center"/>
              <w:rPr>
                <w:rFonts w:eastAsia="Arial" w:cs="Arial"/>
                <w:color w:val="FFFFFF" w:themeColor="background1"/>
                <w:szCs w:val="22"/>
              </w:rPr>
            </w:pPr>
            <w:r w:rsidRPr="00171671">
              <w:rPr>
                <w:b/>
                <w:color w:val="FFFFFF" w:themeColor="background1"/>
                <w:szCs w:val="22"/>
              </w:rPr>
              <w:t>Seguridad convivencia y justicia</w:t>
            </w:r>
          </w:p>
        </w:tc>
      </w:tr>
      <w:tr w:rsidR="00171671" w:rsidRPr="00171671" w14:paraId="68129F1C" w14:textId="77777777" w:rsidTr="00171671">
        <w:trPr>
          <w:trHeight w:val="160"/>
          <w:jc w:val="center"/>
        </w:trPr>
        <w:tc>
          <w:tcPr>
            <w:tcW w:w="3544"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3A8C90D" w14:textId="77777777" w:rsidR="003F2AA2" w:rsidRPr="00171671" w:rsidRDefault="003F2AA2" w:rsidP="00171671">
            <w:pPr>
              <w:widowControl w:val="0"/>
              <w:spacing w:line="276" w:lineRule="auto"/>
              <w:ind w:right="86"/>
              <w:jc w:val="right"/>
              <w:rPr>
                <w:color w:val="000000"/>
                <w:sz w:val="16"/>
                <w:szCs w:val="16"/>
              </w:rPr>
            </w:pPr>
            <w:r w:rsidRPr="00171671">
              <w:rPr>
                <w:color w:val="000000"/>
                <w:sz w:val="16"/>
                <w:szCs w:val="16"/>
              </w:rPr>
              <w:t>Ampliar en 2 equipamientos para la atención de las personas privadas de la libertad</w:t>
            </w: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D35A53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E0F9F8C"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6887D1"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0</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D2F1B1E"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w:t>
            </w:r>
          </w:p>
        </w:tc>
        <w:tc>
          <w:tcPr>
            <w:tcW w:w="12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3301E9A" w14:textId="77777777" w:rsidR="003F2AA2" w:rsidRPr="00171671" w:rsidRDefault="003F2AA2" w:rsidP="00171671">
            <w:pPr>
              <w:widowControl w:val="0"/>
              <w:spacing w:line="276" w:lineRule="auto"/>
              <w:ind w:right="86"/>
              <w:jc w:val="right"/>
              <w:rPr>
                <w:b/>
                <w:color w:val="000000"/>
                <w:sz w:val="16"/>
                <w:szCs w:val="16"/>
              </w:rPr>
            </w:pPr>
            <w:r w:rsidRPr="00171671">
              <w:rPr>
                <w:b/>
                <w:color w:val="000000"/>
                <w:sz w:val="16"/>
                <w:szCs w:val="16"/>
              </w:rPr>
              <w:t>268.984.154.075</w:t>
            </w:r>
          </w:p>
        </w:tc>
      </w:tr>
      <w:tr w:rsidR="00171671" w:rsidRPr="00171671" w14:paraId="7AF2B2F8" w14:textId="77777777" w:rsidTr="00171671">
        <w:trPr>
          <w:trHeight w:val="91"/>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2D6ED29C" w14:textId="77777777" w:rsidR="003F2AA2" w:rsidRPr="00171671" w:rsidRDefault="003F2AA2" w:rsidP="00171671">
            <w:pPr>
              <w:widowControl w:val="0"/>
              <w:spacing w:line="276" w:lineRule="auto"/>
              <w:ind w:right="86"/>
              <w:jc w:val="right"/>
              <w:rPr>
                <w:rFonts w:eastAsia="Arial" w:cs="Arial"/>
                <w:color w:val="000000"/>
                <w:sz w:val="16"/>
                <w:szCs w:val="16"/>
              </w:rPr>
            </w:pP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F92888F"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24.990.000.000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8DA048"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58.252.427.184</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4AA4D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108.869.827.505</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9A2151C"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76.871.899.386</w:t>
            </w:r>
          </w:p>
        </w:tc>
        <w:tc>
          <w:tcPr>
            <w:tcW w:w="12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4A10A0B9" w14:textId="77777777" w:rsidR="003F2AA2" w:rsidRPr="00171671" w:rsidRDefault="003F2AA2" w:rsidP="00171671">
            <w:pPr>
              <w:widowControl w:val="0"/>
              <w:spacing w:line="276" w:lineRule="auto"/>
              <w:ind w:right="86"/>
              <w:jc w:val="right"/>
              <w:rPr>
                <w:rFonts w:eastAsia="Arial" w:cs="Arial"/>
                <w:color w:val="000000"/>
                <w:sz w:val="16"/>
                <w:szCs w:val="16"/>
              </w:rPr>
            </w:pPr>
          </w:p>
        </w:tc>
      </w:tr>
      <w:tr w:rsidR="00171671" w:rsidRPr="00171671" w14:paraId="32B69144" w14:textId="77777777" w:rsidTr="00171671">
        <w:trPr>
          <w:trHeight w:val="71"/>
          <w:jc w:val="center"/>
        </w:trPr>
        <w:tc>
          <w:tcPr>
            <w:tcW w:w="3544"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BC8C529" w14:textId="77777777" w:rsidR="003F2AA2" w:rsidRPr="00171671" w:rsidRDefault="003F2AA2" w:rsidP="00171671">
            <w:pPr>
              <w:widowControl w:val="0"/>
              <w:spacing w:line="276" w:lineRule="auto"/>
              <w:ind w:right="86"/>
              <w:jc w:val="right"/>
              <w:rPr>
                <w:color w:val="000000"/>
                <w:sz w:val="16"/>
                <w:szCs w:val="16"/>
              </w:rPr>
            </w:pPr>
            <w:r w:rsidRPr="00171671">
              <w:rPr>
                <w:color w:val="000000"/>
                <w:sz w:val="16"/>
                <w:szCs w:val="16"/>
              </w:rPr>
              <w:t>Ampliar en 7 equipamientos la oferta de servicios de acceso a la justicia y convivencia</w:t>
            </w: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40937A"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66AA80"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A7E205"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96947C"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3</w:t>
            </w:r>
          </w:p>
        </w:tc>
        <w:tc>
          <w:tcPr>
            <w:tcW w:w="12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FCB3B80" w14:textId="77777777" w:rsidR="003F2AA2" w:rsidRPr="00171671" w:rsidRDefault="003F2AA2" w:rsidP="00171671">
            <w:pPr>
              <w:widowControl w:val="0"/>
              <w:spacing w:line="276" w:lineRule="auto"/>
              <w:ind w:right="86"/>
              <w:jc w:val="right"/>
              <w:rPr>
                <w:b/>
                <w:color w:val="000000"/>
                <w:sz w:val="16"/>
                <w:szCs w:val="16"/>
              </w:rPr>
            </w:pPr>
            <w:r w:rsidRPr="00171671">
              <w:rPr>
                <w:b/>
                <w:color w:val="000000"/>
                <w:sz w:val="16"/>
                <w:szCs w:val="16"/>
              </w:rPr>
              <w:t>183.792.342.003</w:t>
            </w:r>
          </w:p>
        </w:tc>
      </w:tr>
      <w:tr w:rsidR="00171671" w:rsidRPr="00171671" w14:paraId="5A804817" w14:textId="77777777" w:rsidTr="00171671">
        <w:trPr>
          <w:trHeight w:val="102"/>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20EFA99C" w14:textId="77777777" w:rsidR="003F2AA2" w:rsidRPr="00171671" w:rsidRDefault="003F2AA2" w:rsidP="00171671">
            <w:pPr>
              <w:widowControl w:val="0"/>
              <w:spacing w:line="276" w:lineRule="auto"/>
              <w:ind w:right="86"/>
              <w:jc w:val="right"/>
              <w:rPr>
                <w:rFonts w:eastAsia="Arial" w:cs="Arial"/>
                <w:color w:val="000000"/>
                <w:sz w:val="16"/>
                <w:szCs w:val="16"/>
              </w:rPr>
            </w:pP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4A793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519585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32.432.038.835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5F239A"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76.334.244.509</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E5998B"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75.026.058.659</w:t>
            </w:r>
          </w:p>
        </w:tc>
        <w:tc>
          <w:tcPr>
            <w:tcW w:w="12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57405817" w14:textId="77777777" w:rsidR="003F2AA2" w:rsidRPr="00171671" w:rsidRDefault="003F2AA2" w:rsidP="00171671">
            <w:pPr>
              <w:widowControl w:val="0"/>
              <w:spacing w:line="276" w:lineRule="auto"/>
              <w:ind w:right="86"/>
              <w:jc w:val="right"/>
              <w:rPr>
                <w:rFonts w:eastAsia="Arial" w:cs="Arial"/>
                <w:color w:val="000000"/>
                <w:sz w:val="16"/>
                <w:szCs w:val="16"/>
              </w:rPr>
            </w:pPr>
          </w:p>
        </w:tc>
      </w:tr>
      <w:tr w:rsidR="00171671" w:rsidRPr="00171671" w14:paraId="35B05382" w14:textId="77777777" w:rsidTr="00171671">
        <w:trPr>
          <w:trHeight w:val="139"/>
          <w:jc w:val="center"/>
        </w:trPr>
        <w:tc>
          <w:tcPr>
            <w:tcW w:w="3544"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65A7D1D" w14:textId="77777777" w:rsidR="003F2AA2" w:rsidRPr="00171671" w:rsidRDefault="003F2AA2" w:rsidP="00171671">
            <w:pPr>
              <w:widowControl w:val="0"/>
              <w:spacing w:line="276" w:lineRule="auto"/>
              <w:ind w:right="86"/>
              <w:jc w:val="right"/>
              <w:rPr>
                <w:color w:val="000000"/>
                <w:sz w:val="16"/>
                <w:szCs w:val="16"/>
              </w:rPr>
            </w:pPr>
            <w:r w:rsidRPr="00171671">
              <w:rPr>
                <w:color w:val="000000"/>
                <w:sz w:val="16"/>
                <w:szCs w:val="16"/>
              </w:rPr>
              <w:t xml:space="preserve">Estructurar el Sistema Distrital de Justicia para </w:t>
            </w:r>
            <w:r w:rsidRPr="00171671">
              <w:rPr>
                <w:color w:val="000000"/>
                <w:sz w:val="16"/>
                <w:szCs w:val="16"/>
              </w:rPr>
              <w:lastRenderedPageBreak/>
              <w:t>articular servicios funcionales de acceso a la justicia</w:t>
            </w: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7E8472"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lastRenderedPageBreak/>
              <w:t>81%</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ABEB20"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89%</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667D8B5"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89%</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F1666E"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100%</w:t>
            </w:r>
          </w:p>
        </w:tc>
        <w:tc>
          <w:tcPr>
            <w:tcW w:w="12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FF35928" w14:textId="77777777" w:rsidR="003F2AA2" w:rsidRPr="00171671" w:rsidRDefault="003F2AA2" w:rsidP="00171671">
            <w:pPr>
              <w:widowControl w:val="0"/>
              <w:spacing w:line="276" w:lineRule="auto"/>
              <w:ind w:right="86"/>
              <w:jc w:val="right"/>
              <w:rPr>
                <w:b/>
                <w:color w:val="000000"/>
                <w:sz w:val="16"/>
                <w:szCs w:val="16"/>
              </w:rPr>
            </w:pPr>
            <w:r w:rsidRPr="00171671">
              <w:rPr>
                <w:b/>
                <w:color w:val="000000"/>
                <w:sz w:val="16"/>
                <w:szCs w:val="16"/>
              </w:rPr>
              <w:t>65.423.796.716</w:t>
            </w:r>
          </w:p>
        </w:tc>
      </w:tr>
      <w:tr w:rsidR="00171671" w:rsidRPr="00171671" w14:paraId="440F090F" w14:textId="77777777" w:rsidTr="00171671">
        <w:trPr>
          <w:trHeight w:val="169"/>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4880855B" w14:textId="77777777" w:rsidR="003F2AA2" w:rsidRPr="00171671" w:rsidRDefault="003F2AA2" w:rsidP="00171671">
            <w:pPr>
              <w:widowControl w:val="0"/>
              <w:spacing w:line="276" w:lineRule="auto"/>
              <w:ind w:right="86"/>
              <w:jc w:val="right"/>
              <w:rPr>
                <w:rFonts w:eastAsia="Arial" w:cs="Arial"/>
                <w:color w:val="000000"/>
                <w:sz w:val="16"/>
                <w:szCs w:val="16"/>
              </w:rPr>
            </w:pP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88D9D1"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16.796.216.000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18CDA9"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16.299.636.893</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96C91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16.334.780.846</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BACC155"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15.993.162.977</w:t>
            </w:r>
          </w:p>
        </w:tc>
        <w:tc>
          <w:tcPr>
            <w:tcW w:w="12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0D81B525" w14:textId="77777777" w:rsidR="003F2AA2" w:rsidRPr="00171671" w:rsidRDefault="003F2AA2" w:rsidP="00171671">
            <w:pPr>
              <w:widowControl w:val="0"/>
              <w:spacing w:line="276" w:lineRule="auto"/>
              <w:ind w:right="86"/>
              <w:jc w:val="right"/>
              <w:rPr>
                <w:rFonts w:eastAsia="Arial" w:cs="Arial"/>
                <w:color w:val="000000"/>
                <w:sz w:val="16"/>
                <w:szCs w:val="16"/>
              </w:rPr>
            </w:pPr>
          </w:p>
        </w:tc>
      </w:tr>
      <w:tr w:rsidR="00171671" w:rsidRPr="00171671" w14:paraId="74B5B9B5" w14:textId="77777777" w:rsidTr="00171671">
        <w:trPr>
          <w:trHeight w:val="335"/>
          <w:jc w:val="center"/>
        </w:trPr>
        <w:tc>
          <w:tcPr>
            <w:tcW w:w="3544"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FDB5C45" w14:textId="77777777" w:rsidR="003F2AA2" w:rsidRPr="00171671" w:rsidRDefault="003F2AA2" w:rsidP="00171671">
            <w:pPr>
              <w:widowControl w:val="0"/>
              <w:spacing w:line="276" w:lineRule="auto"/>
              <w:ind w:right="86"/>
              <w:jc w:val="right"/>
              <w:rPr>
                <w:color w:val="000000"/>
                <w:sz w:val="16"/>
                <w:szCs w:val="16"/>
              </w:rPr>
            </w:pPr>
            <w:r w:rsidRPr="00171671">
              <w:rPr>
                <w:color w:val="000000"/>
                <w:sz w:val="16"/>
                <w:szCs w:val="16"/>
              </w:rPr>
              <w:t>Implementar (1) un plan de atención y descongestión carcelaria que incluya la implementación de mecanismos de justicia restaurativa atención integral a PPL y atención a la población pospenada</w:t>
            </w: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6F720B"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7770BED"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40%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116DB8"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70%</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0AB17E5"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100%</w:t>
            </w:r>
          </w:p>
        </w:tc>
        <w:tc>
          <w:tcPr>
            <w:tcW w:w="12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EC05CD2" w14:textId="77777777" w:rsidR="003F2AA2" w:rsidRPr="00171671" w:rsidRDefault="003F2AA2" w:rsidP="00171671">
            <w:pPr>
              <w:widowControl w:val="0"/>
              <w:spacing w:line="276" w:lineRule="auto"/>
              <w:ind w:right="86"/>
              <w:jc w:val="right"/>
              <w:rPr>
                <w:b/>
                <w:color w:val="000000"/>
                <w:sz w:val="16"/>
                <w:szCs w:val="16"/>
              </w:rPr>
            </w:pPr>
            <w:r w:rsidRPr="00171671">
              <w:rPr>
                <w:b/>
                <w:color w:val="000000"/>
                <w:sz w:val="16"/>
                <w:szCs w:val="16"/>
              </w:rPr>
              <w:t>265.833.600.024</w:t>
            </w:r>
          </w:p>
        </w:tc>
      </w:tr>
      <w:tr w:rsidR="00171671" w:rsidRPr="00171671" w14:paraId="272795DE" w14:textId="77777777" w:rsidTr="00171671">
        <w:trPr>
          <w:trHeight w:val="253"/>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7AA23CC0" w14:textId="77777777" w:rsidR="003F2AA2" w:rsidRPr="00171671" w:rsidRDefault="003F2AA2" w:rsidP="00171671">
            <w:pPr>
              <w:widowControl w:val="0"/>
              <w:spacing w:line="276" w:lineRule="auto"/>
              <w:ind w:right="86"/>
              <w:jc w:val="right"/>
              <w:rPr>
                <w:rFonts w:eastAsia="Arial" w:cs="Arial"/>
                <w:color w:val="000000"/>
                <w:sz w:val="16"/>
                <w:szCs w:val="16"/>
              </w:rPr>
            </w:pP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D01967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11.720.000.000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0F587A2"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73.687.490.291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60FAC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85.072.002.074</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180EB6D"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95.354.107.659</w:t>
            </w:r>
          </w:p>
        </w:tc>
        <w:tc>
          <w:tcPr>
            <w:tcW w:w="12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39D478B5" w14:textId="77777777" w:rsidR="003F2AA2" w:rsidRPr="00171671" w:rsidRDefault="003F2AA2" w:rsidP="00171671">
            <w:pPr>
              <w:widowControl w:val="0"/>
              <w:spacing w:line="276" w:lineRule="auto"/>
              <w:ind w:right="86"/>
              <w:jc w:val="right"/>
              <w:rPr>
                <w:rFonts w:eastAsia="Arial" w:cs="Arial"/>
                <w:color w:val="000000"/>
                <w:sz w:val="16"/>
                <w:szCs w:val="16"/>
              </w:rPr>
            </w:pPr>
          </w:p>
        </w:tc>
      </w:tr>
      <w:tr w:rsidR="00171671" w:rsidRPr="00171671" w14:paraId="23E6D7B2" w14:textId="77777777" w:rsidTr="00171671">
        <w:trPr>
          <w:trHeight w:val="360"/>
          <w:jc w:val="center"/>
        </w:trPr>
        <w:tc>
          <w:tcPr>
            <w:tcW w:w="3544"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4AD1E85" w14:textId="77777777" w:rsidR="003F2AA2" w:rsidRPr="00171671" w:rsidRDefault="003F2AA2" w:rsidP="00171671">
            <w:pPr>
              <w:widowControl w:val="0"/>
              <w:spacing w:line="276" w:lineRule="auto"/>
              <w:ind w:right="86"/>
              <w:jc w:val="right"/>
              <w:rPr>
                <w:color w:val="000000"/>
                <w:sz w:val="16"/>
                <w:szCs w:val="16"/>
              </w:rPr>
            </w:pPr>
            <w:r w:rsidRPr="00171671">
              <w:rPr>
                <w:color w:val="000000"/>
                <w:sz w:val="16"/>
                <w:szCs w:val="16"/>
              </w:rPr>
              <w:t>Implementar una estrategia para la ampliación de capacidades del Programa Distrital de Justicia Juvenil Restaurativa a través de la atención de personas víctimas, ofensores y redes.</w:t>
            </w: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78A8FC"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2.300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FF7AF20"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3.200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C0647E6"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3.250</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01244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3.300</w:t>
            </w:r>
          </w:p>
        </w:tc>
        <w:tc>
          <w:tcPr>
            <w:tcW w:w="12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ED8F2C9" w14:textId="77777777" w:rsidR="003F2AA2" w:rsidRPr="00171671" w:rsidRDefault="003F2AA2" w:rsidP="00171671">
            <w:pPr>
              <w:widowControl w:val="0"/>
              <w:spacing w:line="276" w:lineRule="auto"/>
              <w:ind w:right="86"/>
              <w:jc w:val="right"/>
              <w:rPr>
                <w:b/>
                <w:color w:val="000000"/>
                <w:sz w:val="16"/>
                <w:szCs w:val="16"/>
              </w:rPr>
            </w:pPr>
            <w:r w:rsidRPr="00171671">
              <w:rPr>
                <w:b/>
                <w:color w:val="000000"/>
                <w:sz w:val="16"/>
                <w:szCs w:val="16"/>
              </w:rPr>
              <w:t>77.306.143.438</w:t>
            </w:r>
          </w:p>
        </w:tc>
      </w:tr>
      <w:tr w:rsidR="00171671" w:rsidRPr="00171671" w14:paraId="05C307EA" w14:textId="77777777" w:rsidTr="00171671">
        <w:trPr>
          <w:trHeight w:val="360"/>
          <w:jc w:val="center"/>
        </w:trPr>
        <w:tc>
          <w:tcPr>
            <w:tcW w:w="3544"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69ED96DC" w14:textId="77777777" w:rsidR="003F2AA2" w:rsidRPr="00171671" w:rsidRDefault="003F2AA2" w:rsidP="00171671">
            <w:pPr>
              <w:widowControl w:val="0"/>
              <w:spacing w:line="276" w:lineRule="auto"/>
              <w:ind w:right="86"/>
              <w:jc w:val="right"/>
              <w:rPr>
                <w:rFonts w:eastAsia="Arial" w:cs="Arial"/>
                <w:color w:val="000000"/>
                <w:sz w:val="16"/>
                <w:szCs w:val="16"/>
              </w:rPr>
            </w:pPr>
          </w:p>
        </w:tc>
        <w:tc>
          <w:tcPr>
            <w:tcW w:w="136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AC175E6"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4.200.000.000</w:t>
            </w:r>
          </w:p>
        </w:tc>
        <w:tc>
          <w:tcPr>
            <w:tcW w:w="1191"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AD4DBAF"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24.250.766.019</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2FCAE53"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24.368.932.039</w:t>
            </w:r>
          </w:p>
        </w:tc>
        <w:tc>
          <w:tcPr>
            <w:tcW w:w="125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B8999F" w14:textId="77777777" w:rsidR="003F2AA2" w:rsidRPr="00171671" w:rsidRDefault="003F2AA2" w:rsidP="00171671">
            <w:pPr>
              <w:widowControl w:val="0"/>
              <w:spacing w:line="276" w:lineRule="auto"/>
              <w:ind w:right="86"/>
              <w:jc w:val="right"/>
              <w:rPr>
                <w:rFonts w:eastAsia="Arial" w:cs="Arial"/>
                <w:color w:val="000000"/>
                <w:sz w:val="16"/>
                <w:szCs w:val="16"/>
              </w:rPr>
            </w:pPr>
            <w:r w:rsidRPr="00171671">
              <w:rPr>
                <w:color w:val="000000"/>
                <w:sz w:val="16"/>
                <w:szCs w:val="16"/>
              </w:rPr>
              <w:t>24.486.445.379</w:t>
            </w:r>
          </w:p>
        </w:tc>
        <w:tc>
          <w:tcPr>
            <w:tcW w:w="12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4EEA18B7" w14:textId="77777777" w:rsidR="003F2AA2" w:rsidRPr="00171671" w:rsidRDefault="003F2AA2" w:rsidP="00171671">
            <w:pPr>
              <w:widowControl w:val="0"/>
              <w:spacing w:line="276" w:lineRule="auto"/>
              <w:ind w:right="86"/>
              <w:jc w:val="right"/>
              <w:rPr>
                <w:rFonts w:eastAsia="Arial" w:cs="Arial"/>
                <w:color w:val="000000"/>
                <w:sz w:val="16"/>
                <w:szCs w:val="16"/>
              </w:rPr>
            </w:pPr>
          </w:p>
        </w:tc>
      </w:tr>
    </w:tbl>
    <w:p w14:paraId="261350E9" w14:textId="77777777" w:rsidR="003F2AA2" w:rsidRPr="00171671" w:rsidRDefault="003F2AA2" w:rsidP="003F2AA2">
      <w:pPr>
        <w:pBdr>
          <w:top w:val="nil"/>
          <w:left w:val="nil"/>
          <w:bottom w:val="nil"/>
          <w:right w:val="nil"/>
          <w:between w:val="nil"/>
        </w:pBdr>
        <w:spacing w:line="220" w:lineRule="auto"/>
        <w:jc w:val="center"/>
        <w:rPr>
          <w:sz w:val="16"/>
          <w:szCs w:val="16"/>
        </w:rPr>
      </w:pPr>
    </w:p>
    <w:p w14:paraId="1C16D60A" w14:textId="77777777" w:rsidR="00171671" w:rsidRDefault="00171671" w:rsidP="003F2AA2">
      <w:pPr>
        <w:keepNext/>
        <w:keepLines/>
        <w:pBdr>
          <w:top w:val="nil"/>
          <w:left w:val="nil"/>
          <w:bottom w:val="nil"/>
          <w:right w:val="nil"/>
          <w:between w:val="nil"/>
        </w:pBdr>
        <w:spacing w:line="340" w:lineRule="auto"/>
        <w:ind w:left="1145" w:hanging="720"/>
        <w:jc w:val="left"/>
        <w:rPr>
          <w:b/>
          <w:color w:val="C00000"/>
          <w:sz w:val="28"/>
          <w:szCs w:val="28"/>
        </w:rPr>
      </w:pPr>
      <w:r>
        <w:rPr>
          <w:b/>
          <w:color w:val="C00000"/>
          <w:sz w:val="28"/>
          <w:szCs w:val="28"/>
        </w:rPr>
        <w:br w:type="page"/>
      </w:r>
    </w:p>
    <w:p w14:paraId="4E13B743" w14:textId="1710A47F" w:rsidR="003F2AA2" w:rsidRDefault="003F2AA2" w:rsidP="00AE7DBB">
      <w:pPr>
        <w:pStyle w:val="NIVEL4"/>
      </w:pPr>
      <w:bookmarkStart w:id="211" w:name="_Toc165169761"/>
      <w:r>
        <w:rPr>
          <w:color w:val="C00000"/>
        </w:rPr>
        <w:lastRenderedPageBreak/>
        <w:t xml:space="preserve">Programa 5: </w:t>
      </w:r>
      <w:r>
        <w:t>Espacio público seguro e inclusivo</w:t>
      </w:r>
      <w:bookmarkEnd w:id="211"/>
    </w:p>
    <w:p w14:paraId="229FE3D7" w14:textId="77777777" w:rsidR="00171671" w:rsidRDefault="00171671" w:rsidP="00AD24BD">
      <w:pPr>
        <w:pStyle w:val="subnumeros"/>
        <w:numPr>
          <w:ilvl w:val="0"/>
          <w:numId w:val="0"/>
        </w:numPr>
        <w:ind w:left="420"/>
        <w:outlineLvl w:val="9"/>
      </w:pPr>
    </w:p>
    <w:p w14:paraId="656A5D27" w14:textId="67F96617" w:rsidR="003F2AA2" w:rsidRPr="0083178D" w:rsidRDefault="003F2AA2" w:rsidP="0083178D">
      <w:pPr>
        <w:pStyle w:val="subnumeros"/>
        <w:numPr>
          <w:ilvl w:val="0"/>
          <w:numId w:val="0"/>
        </w:numPr>
        <w:ind w:left="1145" w:hanging="720"/>
        <w:outlineLvl w:val="9"/>
        <w:rPr>
          <w:sz w:val="24"/>
          <w:szCs w:val="22"/>
        </w:rPr>
        <w:sectPr w:rsidR="003F2AA2" w:rsidRPr="0083178D" w:rsidSect="00F7078E">
          <w:type w:val="continuous"/>
          <w:pgSz w:w="12240" w:h="15840"/>
          <w:pgMar w:top="2262" w:right="1440" w:bottom="1440" w:left="1440" w:header="708" w:footer="708" w:gutter="0"/>
          <w:cols w:space="720"/>
        </w:sectPr>
      </w:pPr>
      <w:r w:rsidRPr="0083178D">
        <w:rPr>
          <w:sz w:val="24"/>
          <w:szCs w:val="22"/>
        </w:rPr>
        <w:t>Diagnóstico</w:t>
      </w:r>
    </w:p>
    <w:p w14:paraId="3C849CE0" w14:textId="77777777" w:rsidR="003F2AA2" w:rsidRPr="00171671" w:rsidRDefault="003F2AA2" w:rsidP="003F2AA2">
      <w:pPr>
        <w:rPr>
          <w:spacing w:val="-6"/>
        </w:rPr>
      </w:pPr>
      <w:r w:rsidRPr="00171671">
        <w:rPr>
          <w:spacing w:val="-6"/>
        </w:rPr>
        <w:t>La seguridad en el espacio público es un aspecto crucial para el bienestar y la calidad de vida de la ciudadanía. El disfrute de este va más allá de la ausencia de hechos delictivos y violencias, pues requiere la posibilidad de habitar el espacio e incidir en su construcción. En este sentido, la ausencia de condiciones de seguridad en el espacio público afecta el derecho a la ciudad, desde las garantías para la preservación de la vida y el patrimonio hasta las garantías de habitabilidad y disfrute.</w:t>
      </w:r>
    </w:p>
    <w:p w14:paraId="468312F1" w14:textId="77777777" w:rsidR="003F2AA2" w:rsidRPr="00171671" w:rsidRDefault="003F2AA2" w:rsidP="003F2AA2">
      <w:pPr>
        <w:rPr>
          <w:spacing w:val="-6"/>
        </w:rPr>
      </w:pPr>
    </w:p>
    <w:p w14:paraId="2D7A9206" w14:textId="336B3FC3" w:rsidR="003F2AA2" w:rsidRPr="00171671" w:rsidRDefault="003F2AA2" w:rsidP="003F2AA2">
      <w:pPr>
        <w:rPr>
          <w:spacing w:val="-6"/>
        </w:rPr>
      </w:pPr>
      <w:r w:rsidRPr="00171671">
        <w:rPr>
          <w:spacing w:val="-6"/>
        </w:rPr>
        <w:t>En la actualidad, nos enfrentamos a desafíos significativos como el hurto, el acoso callejero, la ocupación ilegal, entre otros fenómenos que afectan negativamente la percepción de seguridad y el disfrute de estos espacios. Según la Encuesta de Percepción y Victimización, las calles (33 %), puentes peatonales (20 %), potreros (12 %) y parques (11 %) son los escenarios del espacio público percibidos como los más inseguros (Cámara de Comercio, 2023).</w:t>
      </w:r>
    </w:p>
    <w:p w14:paraId="3FF1D7B6" w14:textId="77777777" w:rsidR="00171671" w:rsidRPr="00171671" w:rsidRDefault="00171671" w:rsidP="003F2AA2">
      <w:pPr>
        <w:rPr>
          <w:spacing w:val="-6"/>
        </w:rPr>
      </w:pPr>
    </w:p>
    <w:p w14:paraId="1B36CC1F" w14:textId="77777777" w:rsidR="003F2AA2" w:rsidRPr="00171671" w:rsidRDefault="003F2AA2" w:rsidP="003F2AA2">
      <w:pPr>
        <w:rPr>
          <w:spacing w:val="-6"/>
        </w:rPr>
      </w:pPr>
      <w:r w:rsidRPr="00171671">
        <w:rPr>
          <w:spacing w:val="-6"/>
        </w:rPr>
        <w:t>Este incremento se refleja en cifras como el aumento del hurto a personas de 137.132 en 2022 a 147.762 casos en el 2023, siendo estos delitos los que ocurren principalmente en los espacios públicos. Adicionalmente, las series destacan que entre 2022 y 2023 se redujeron las denuncias por hurtos de celulares (15.845 casos menos), bicicletas (2.307 casos menos) y motocicletas 150.839 en 2023.</w:t>
      </w:r>
    </w:p>
    <w:p w14:paraId="20416F92" w14:textId="77777777" w:rsidR="003F2AA2" w:rsidRPr="00171671" w:rsidRDefault="003F2AA2" w:rsidP="003F2AA2">
      <w:pPr>
        <w:rPr>
          <w:spacing w:val="-6"/>
        </w:rPr>
      </w:pPr>
    </w:p>
    <w:p w14:paraId="0961F142" w14:textId="5DAD3161" w:rsidR="003F2AA2" w:rsidRPr="00171671" w:rsidRDefault="003F2AA2" w:rsidP="003F2AA2">
      <w:pPr>
        <w:rPr>
          <w:spacing w:val="-6"/>
        </w:rPr>
        <w:sectPr w:rsidR="003F2AA2" w:rsidRPr="00171671" w:rsidSect="00F7078E">
          <w:type w:val="continuous"/>
          <w:pgSz w:w="12240" w:h="15840"/>
          <w:pgMar w:top="2262" w:right="1440" w:bottom="1440" w:left="1440" w:header="708" w:footer="708" w:gutter="0"/>
          <w:cols w:num="2" w:space="720" w:equalWidth="0">
            <w:col w:w="4396" w:space="567"/>
            <w:col w:w="4396" w:space="0"/>
          </w:cols>
        </w:sectPr>
      </w:pPr>
      <w:r w:rsidRPr="00171671">
        <w:rPr>
          <w:spacing w:val="-6"/>
        </w:rPr>
        <w:t>Al revisar la desagregación por géner</w:t>
      </w:r>
      <w:r w:rsidR="001F23CA">
        <w:rPr>
          <w:spacing w:val="-6"/>
        </w:rPr>
        <w:t>o,</w:t>
      </w:r>
      <w:r w:rsidRPr="00171671">
        <w:rPr>
          <w:spacing w:val="-6"/>
        </w:rPr>
        <w:t xml:space="preserve"> las mujeres son las que perciben mayor inseguridad con un 80 % frente al 72 % reportado por los hombres. En el caso de las mujeres, al preguntarles qué tan seguras se sienten en las calles o en el espacio público, en una escala de 1 a 10, ellas califican con un 3,8, este dato es más bajo para mujeres con niveles socioeconómico medio llegando a un 3,4 (Encuesta de Movilidad y Género, 2022) </w:t>
      </w:r>
      <w:r w:rsidRPr="00E54E9D">
        <w:rPr>
          <w:spacing w:val="-6"/>
        </w:rPr>
        <w:t>(</w:t>
      </w:r>
      <w:r w:rsidR="00E54E9D" w:rsidRPr="00E54E9D">
        <w:rPr>
          <w:spacing w:val="-6"/>
        </w:rPr>
        <w:fldChar w:fldCharType="begin"/>
      </w:r>
      <w:r w:rsidR="00E54E9D" w:rsidRPr="00E54E9D">
        <w:rPr>
          <w:spacing w:val="-6"/>
        </w:rPr>
        <w:instrText xml:space="preserve"> REF _Ref165125042 \h </w:instrText>
      </w:r>
      <w:r w:rsidR="00E54E9D" w:rsidRPr="00E54E9D">
        <w:rPr>
          <w:spacing w:val="-6"/>
        </w:rPr>
      </w:r>
      <w:r w:rsidR="00E54E9D" w:rsidRPr="00E54E9D">
        <w:rPr>
          <w:spacing w:val="-6"/>
        </w:rPr>
        <w:fldChar w:fldCharType="separate"/>
      </w:r>
      <w:r w:rsidR="00D01651" w:rsidRPr="00E54E9D">
        <w:rPr>
          <w:color w:val="C00000"/>
          <w:sz w:val="18"/>
          <w:szCs w:val="18"/>
        </w:rPr>
        <w:t xml:space="preserve">Gráfica </w:t>
      </w:r>
      <w:r w:rsidR="00D01651">
        <w:rPr>
          <w:noProof/>
          <w:color w:val="C00000"/>
          <w:sz w:val="18"/>
        </w:rPr>
        <w:t>31</w:t>
      </w:r>
      <w:r w:rsidR="00E54E9D" w:rsidRPr="00E54E9D">
        <w:rPr>
          <w:spacing w:val="-6"/>
        </w:rPr>
        <w:fldChar w:fldCharType="end"/>
      </w:r>
      <w:r w:rsidR="00E54E9D">
        <w:rPr>
          <w:spacing w:val="-6"/>
        </w:rPr>
        <w:t>).</w:t>
      </w:r>
    </w:p>
    <w:p w14:paraId="0D7133D1" w14:textId="1B15B139" w:rsidR="003F2AA2" w:rsidRDefault="003F2AA2" w:rsidP="003F2AA2"/>
    <w:p w14:paraId="30829B8A" w14:textId="6A599136" w:rsidR="003F2AA2" w:rsidRPr="00E54E9D" w:rsidRDefault="00E54E9D" w:rsidP="00E54E9D">
      <w:pPr>
        <w:pStyle w:val="Descripcin"/>
        <w:jc w:val="center"/>
        <w:rPr>
          <w:color w:val="C00000"/>
          <w:sz w:val="18"/>
        </w:rPr>
      </w:pPr>
      <w:bookmarkStart w:id="212" w:name="_Ref165125042"/>
      <w:bookmarkStart w:id="213" w:name="_Toc165169857"/>
      <w:r w:rsidRPr="00E54E9D">
        <w:rPr>
          <w:color w:val="C00000"/>
          <w:sz w:val="18"/>
        </w:rPr>
        <w:t xml:space="preserve">Gráfica </w:t>
      </w:r>
      <w:r w:rsidRPr="00E54E9D">
        <w:rPr>
          <w:color w:val="C00000"/>
          <w:sz w:val="18"/>
        </w:rPr>
        <w:fldChar w:fldCharType="begin"/>
      </w:r>
      <w:r w:rsidRPr="00E54E9D">
        <w:rPr>
          <w:color w:val="C00000"/>
          <w:sz w:val="18"/>
        </w:rPr>
        <w:instrText xml:space="preserve"> SEQ Gráfica \* ARABIC </w:instrText>
      </w:r>
      <w:r w:rsidRPr="00E54E9D">
        <w:rPr>
          <w:color w:val="C00000"/>
          <w:sz w:val="18"/>
        </w:rPr>
        <w:fldChar w:fldCharType="separate"/>
      </w:r>
      <w:r w:rsidR="00D01651">
        <w:rPr>
          <w:noProof/>
          <w:color w:val="C00000"/>
          <w:sz w:val="18"/>
        </w:rPr>
        <w:t>31</w:t>
      </w:r>
      <w:r w:rsidRPr="00E54E9D">
        <w:rPr>
          <w:color w:val="C00000"/>
          <w:sz w:val="18"/>
        </w:rPr>
        <w:fldChar w:fldCharType="end"/>
      </w:r>
      <w:bookmarkEnd w:id="212"/>
      <w:r w:rsidRPr="00E54E9D">
        <w:rPr>
          <w:color w:val="C00000"/>
          <w:sz w:val="18"/>
        </w:rPr>
        <w:t xml:space="preserve">. </w:t>
      </w:r>
      <w:r w:rsidR="003F2AA2" w:rsidRPr="00E54E9D">
        <w:rPr>
          <w:sz w:val="18"/>
        </w:rPr>
        <w:t>Casos denunciados de hurtos por modalidad (</w:t>
      </w:r>
      <w:r>
        <w:rPr>
          <w:sz w:val="18"/>
        </w:rPr>
        <w:t>2018</w:t>
      </w:r>
      <w:r w:rsidR="003F2AA2" w:rsidRPr="00E54E9D">
        <w:rPr>
          <w:sz w:val="18"/>
        </w:rPr>
        <w:t>-202</w:t>
      </w:r>
      <w:r>
        <w:rPr>
          <w:sz w:val="18"/>
        </w:rPr>
        <w:t>4</w:t>
      </w:r>
      <w:r w:rsidR="003F2AA2" w:rsidRPr="00E54E9D">
        <w:rPr>
          <w:sz w:val="18"/>
        </w:rPr>
        <w:t>)</w:t>
      </w:r>
      <w:bookmarkEnd w:id="213"/>
    </w:p>
    <w:p w14:paraId="1D95CB6F" w14:textId="2F994F4E" w:rsidR="003F2AA2" w:rsidRDefault="00171671" w:rsidP="003F2AA2">
      <w:r>
        <w:rPr>
          <w:noProof/>
        </w:rPr>
        <w:drawing>
          <wp:anchor distT="0" distB="0" distL="114300" distR="114300" simplePos="0" relativeHeight="251748352" behindDoc="0" locked="0" layoutInCell="1" hidden="0" allowOverlap="1" wp14:anchorId="7C9E0DE6" wp14:editId="72ED7FE7">
            <wp:simplePos x="0" y="0"/>
            <wp:positionH relativeFrom="column">
              <wp:posOffset>-264795</wp:posOffset>
            </wp:positionH>
            <wp:positionV relativeFrom="paragraph">
              <wp:posOffset>76263</wp:posOffset>
            </wp:positionV>
            <wp:extent cx="6149340" cy="2538095"/>
            <wp:effectExtent l="0" t="0" r="0" b="0"/>
            <wp:wrapNone/>
            <wp:docPr id="213351598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3"/>
                    <a:srcRect/>
                    <a:stretch>
                      <a:fillRect/>
                    </a:stretch>
                  </pic:blipFill>
                  <pic:spPr>
                    <a:xfrm>
                      <a:off x="0" y="0"/>
                      <a:ext cx="6149340" cy="2538095"/>
                    </a:xfrm>
                    <a:prstGeom prst="rect">
                      <a:avLst/>
                    </a:prstGeom>
                    <a:ln/>
                  </pic:spPr>
                </pic:pic>
              </a:graphicData>
            </a:graphic>
          </wp:anchor>
        </w:drawing>
      </w:r>
    </w:p>
    <w:p w14:paraId="16AA340C" w14:textId="77777777" w:rsidR="003F2AA2" w:rsidRDefault="003F2AA2" w:rsidP="003F2AA2"/>
    <w:p w14:paraId="1A9B7838" w14:textId="77777777" w:rsidR="003F2AA2" w:rsidRDefault="003F2AA2" w:rsidP="003F2AA2"/>
    <w:p w14:paraId="595FB73C" w14:textId="77777777" w:rsidR="003F2AA2" w:rsidRDefault="003F2AA2" w:rsidP="003F2AA2"/>
    <w:p w14:paraId="48057028" w14:textId="77777777" w:rsidR="003F2AA2" w:rsidRDefault="003F2AA2" w:rsidP="003F2AA2"/>
    <w:p w14:paraId="13AC95EF" w14:textId="77777777" w:rsidR="003F2AA2" w:rsidRDefault="003F2AA2" w:rsidP="003F2AA2"/>
    <w:p w14:paraId="5F00BEC6" w14:textId="77777777" w:rsidR="003F2AA2" w:rsidRDefault="003F2AA2" w:rsidP="003F2AA2"/>
    <w:p w14:paraId="3AA3A0AD" w14:textId="77777777" w:rsidR="003F2AA2" w:rsidRDefault="003F2AA2" w:rsidP="003F2AA2"/>
    <w:p w14:paraId="3257D228" w14:textId="77777777" w:rsidR="003F2AA2" w:rsidRDefault="003F2AA2" w:rsidP="003F2AA2"/>
    <w:p w14:paraId="6E26230B" w14:textId="77777777" w:rsidR="003F2AA2" w:rsidRDefault="003F2AA2" w:rsidP="003F2AA2"/>
    <w:p w14:paraId="481B4705" w14:textId="77777777" w:rsidR="003F2AA2" w:rsidRDefault="003F2AA2" w:rsidP="003F2AA2"/>
    <w:p w14:paraId="5980658E" w14:textId="77777777" w:rsidR="003F2AA2" w:rsidRDefault="003F2AA2" w:rsidP="003F2AA2"/>
    <w:p w14:paraId="2DC4D127" w14:textId="1797FE68" w:rsidR="003F2AA2" w:rsidRDefault="003F2AA2" w:rsidP="003F2AA2"/>
    <w:p w14:paraId="3D07AC08" w14:textId="28A6DF47" w:rsidR="00171671" w:rsidRDefault="00171671" w:rsidP="003F2AA2"/>
    <w:p w14:paraId="24D0692E" w14:textId="6A5FE100" w:rsidR="00171671" w:rsidRDefault="00171671" w:rsidP="003F2AA2"/>
    <w:p w14:paraId="0CE72E8A" w14:textId="77777777" w:rsidR="00171671" w:rsidRDefault="00171671" w:rsidP="003F2AA2"/>
    <w:p w14:paraId="72989377"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SIEDO, SSCJ.</w:t>
      </w:r>
    </w:p>
    <w:p w14:paraId="625E3550" w14:textId="77777777" w:rsidR="003F2AA2" w:rsidRDefault="003F2AA2" w:rsidP="003F2AA2">
      <w:pPr>
        <w:pBdr>
          <w:top w:val="nil"/>
          <w:left w:val="nil"/>
          <w:bottom w:val="nil"/>
          <w:right w:val="nil"/>
          <w:between w:val="nil"/>
        </w:pBdr>
        <w:spacing w:line="220" w:lineRule="auto"/>
        <w:jc w:val="center"/>
        <w:rPr>
          <w:sz w:val="18"/>
          <w:szCs w:val="18"/>
        </w:rPr>
      </w:pPr>
    </w:p>
    <w:p w14:paraId="53302C48" w14:textId="77777777" w:rsidR="003F2AA2" w:rsidRDefault="003F2AA2" w:rsidP="003F2AA2">
      <w:pPr>
        <w:pBdr>
          <w:top w:val="nil"/>
          <w:left w:val="nil"/>
          <w:bottom w:val="nil"/>
          <w:right w:val="nil"/>
          <w:between w:val="nil"/>
        </w:pBdr>
        <w:spacing w:line="220" w:lineRule="auto"/>
        <w:jc w:val="center"/>
        <w:rPr>
          <w:sz w:val="18"/>
          <w:szCs w:val="18"/>
        </w:rPr>
        <w:sectPr w:rsidR="003F2AA2" w:rsidSect="00F7078E">
          <w:type w:val="continuous"/>
          <w:pgSz w:w="12240" w:h="15840"/>
          <w:pgMar w:top="2262" w:right="1440" w:bottom="1440" w:left="1440" w:header="708" w:footer="708" w:gutter="0"/>
          <w:cols w:space="720"/>
        </w:sectPr>
      </w:pPr>
    </w:p>
    <w:p w14:paraId="7A1FA769" w14:textId="77777777" w:rsidR="003F2AA2" w:rsidRDefault="003F2AA2" w:rsidP="003F2AA2">
      <w:r>
        <w:t xml:space="preserve">Estas cifras ponen de manifiesto la creciente vulnerabilidad de los ciudadanos al utilizar los </w:t>
      </w:r>
      <w:r>
        <w:t xml:space="preserve">espacios públicos para actividades cotidianas como caminar, hacer ejercicio o simplemente </w:t>
      </w:r>
      <w:r>
        <w:lastRenderedPageBreak/>
        <w:t>disfrutar del aire libre; y además genera un efecto negativo en la cohesión social y el sentido de pertenencia a la comunidad, ya que la percepción de inseguridad disminuye la interacción entre vecinos y limita el uso compartido de los espacios públicos.</w:t>
      </w:r>
    </w:p>
    <w:p w14:paraId="2B665E82" w14:textId="77777777" w:rsidR="003F2AA2" w:rsidRDefault="003F2AA2" w:rsidP="003F2AA2"/>
    <w:p w14:paraId="11446258" w14:textId="77777777" w:rsidR="003F2AA2" w:rsidRDefault="003F2AA2" w:rsidP="003F2AA2">
      <w:r>
        <w:t>Esta percepción de inseguridad en el espacio público se puede ver aumentada por las condiciones de iluminación.</w:t>
      </w:r>
    </w:p>
    <w:p w14:paraId="077D7787" w14:textId="77777777" w:rsidR="003F2AA2" w:rsidRDefault="003F2AA2" w:rsidP="003F2AA2"/>
    <w:p w14:paraId="735F3A4D" w14:textId="77777777" w:rsidR="003F2AA2" w:rsidRDefault="003F2AA2" w:rsidP="003F2AA2">
      <w:r>
        <w:t>El hurto de los componentes de la infraestructura del servicio de alumbrado público trae como consecuencia el aumento de hechos delictivos, aumentando la inseguridad en espacios con poca iluminación y generando afectaciones de carácter económico derivadas de las inversiones que debe realizar el Distrito para la reposición de infraestructura afectada y restablecimiento del servicio. Como evidencia de ello, la UAESP reporta que entre enero de 2022 y abril de 2023 se reportaron 4.352 robos de luminarias, 352 robos de tapas de cajas de inspección o alimentación de energía eléctrica y se tuvieron que reemplazar 400 kilómetros de cableado robado del sistema de iluminación pública, esta problemática se concentró principalmente en las localidades de Suba, Kennedy, Puente Aranda y Engativá.</w:t>
      </w:r>
    </w:p>
    <w:p w14:paraId="274C8805" w14:textId="77777777" w:rsidR="003F2AA2" w:rsidRDefault="003F2AA2" w:rsidP="003F2AA2"/>
    <w:p w14:paraId="3E0AFEF5" w14:textId="36BB340A" w:rsidR="003F2AA2" w:rsidRDefault="003F2AA2" w:rsidP="003F2AA2">
      <w:r>
        <w:t>Por otra parte, la ciudad cuenta con un parque lumínico instalado de 361.014 luminarias a diciembre 2023, de las cuales el 98 % son propiedad de Enel y solo el 2 % es propiedad del Distrito, lo cual ocasiona una limitada gobernanza y alto costo en la prestación del servicio de alumbrado público en la ciudad.</w:t>
      </w:r>
    </w:p>
    <w:p w14:paraId="44C10C85" w14:textId="77777777" w:rsidR="0024770F" w:rsidRDefault="0024770F" w:rsidP="003F2AA2"/>
    <w:p w14:paraId="2F22FDB8" w14:textId="001F1DA6" w:rsidR="003F2AA2" w:rsidRDefault="003F2AA2" w:rsidP="003F2AA2">
      <w:r>
        <w:t>Aunado al problema de cobertura de iluminación, el aseo de la ciudad exige una atención especial relacionada con los residuos dispuestos en el espacio público como puntos críticos y arrojo clandestino de Residuos de Construcción y Demolición (RCD). En diciembre de 2023 se identificaron cerca de 700 puntos críticos en la ciudad, de acuerdo con el informe N.° 70 de Interventoría a la prestación del servicio público domiciliario de aseo, los cuales son atendidos por los prestadores del servicio, siendo prioridad el establecimiento de un modelo de cultura, autoridad y servicio que propendan por su eliminación.</w:t>
      </w:r>
    </w:p>
    <w:p w14:paraId="6C6C3C94" w14:textId="77777777" w:rsidR="003F2AA2" w:rsidRDefault="003F2AA2" w:rsidP="003F2AA2"/>
    <w:p w14:paraId="0F5CF793" w14:textId="77777777" w:rsidR="003F2AA2" w:rsidRDefault="003F2AA2" w:rsidP="003F2AA2">
      <w:r>
        <w:t>De otro lado, la ocupación sistemática de los ámbitos públicos por la delincuencia ha limitado la oportunidad de su disfrute y reducido los espacios seguros, debido a la problemática asociada a la criminalidad, el conflicto y el deterioro físico.</w:t>
      </w:r>
    </w:p>
    <w:p w14:paraId="7C9274FA" w14:textId="77777777" w:rsidR="003F2AA2" w:rsidRDefault="003F2AA2" w:rsidP="003F2AA2"/>
    <w:p w14:paraId="199E8BF7" w14:textId="66101055" w:rsidR="0024770F" w:rsidRDefault="003F2AA2" w:rsidP="003F2AA2">
      <w:r>
        <w:t>Situación agravada por la limitación de espacio público en la ciudad, 4,7</w:t>
      </w:r>
      <w:r w:rsidR="00401E1C">
        <w:t>9</w:t>
      </w:r>
      <w:r>
        <w:t xml:space="preserve"> m</w:t>
      </w:r>
      <w:r>
        <w:rPr>
          <w:vertAlign w:val="superscript"/>
        </w:rPr>
        <w:t>2</w:t>
      </w:r>
      <w:r>
        <w:t xml:space="preserve"> por habitante, cifra por debajo de la meta nacional (6 m</w:t>
      </w:r>
      <w:r>
        <w:rPr>
          <w:vertAlign w:val="superscript"/>
        </w:rPr>
        <w:t>2</w:t>
      </w:r>
      <w:r>
        <w:t>) y de los estándares de la Organización Mundial de la salud (15 m</w:t>
      </w:r>
      <w:r>
        <w:rPr>
          <w:vertAlign w:val="superscript"/>
        </w:rPr>
        <w:t>2</w:t>
      </w:r>
      <w:r>
        <w:t>). Situación que se profundiza cuando se analiza localmente. Bogotá cuenta solo con cuatro localidades que superan la meta nacional (Santafé, Teusaquillo, Barrios Unidos y Engativá), mientras que localidades como Bosa, Los Mártires, San Cristóbal y Rafel Uribe presentan indicadores por debajo de 3,5 m</w:t>
      </w:r>
      <w:r>
        <w:rPr>
          <w:vertAlign w:val="superscript"/>
        </w:rPr>
        <w:t>2</w:t>
      </w:r>
      <w:r>
        <w:t xml:space="preserve"> por habitante </w:t>
      </w:r>
      <w:r w:rsidRPr="00493980">
        <w:t>(</w:t>
      </w:r>
      <w:r w:rsidR="00493980" w:rsidRPr="00493980">
        <w:fldChar w:fldCharType="begin"/>
      </w:r>
      <w:r w:rsidR="00493980" w:rsidRPr="00493980">
        <w:instrText xml:space="preserve"> REF _Ref165125150 \h </w:instrText>
      </w:r>
      <w:r w:rsidR="00493980" w:rsidRPr="00493980">
        <w:fldChar w:fldCharType="separate"/>
      </w:r>
      <w:r w:rsidR="00D01651" w:rsidRPr="00696643">
        <w:rPr>
          <w:color w:val="C00000"/>
          <w:sz w:val="18"/>
          <w:szCs w:val="18"/>
        </w:rPr>
        <w:t xml:space="preserve">Gráfica </w:t>
      </w:r>
      <w:r w:rsidR="00D01651">
        <w:rPr>
          <w:noProof/>
          <w:color w:val="C00000"/>
          <w:sz w:val="18"/>
        </w:rPr>
        <w:t>32</w:t>
      </w:r>
      <w:r w:rsidR="00493980" w:rsidRPr="00493980">
        <w:fldChar w:fldCharType="end"/>
      </w:r>
      <w:r w:rsidRPr="00493980">
        <w:t>).</w:t>
      </w:r>
    </w:p>
    <w:p w14:paraId="313995C4" w14:textId="77777777" w:rsidR="0024770F" w:rsidRDefault="0024770F">
      <w:pPr>
        <w:spacing w:line="240" w:lineRule="auto"/>
        <w:jc w:val="left"/>
      </w:pPr>
      <w:r>
        <w:br w:type="page"/>
      </w:r>
    </w:p>
    <w:p w14:paraId="01E426F9" w14:textId="77777777"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p>
    <w:p w14:paraId="12F6CDE5" w14:textId="6E21A284" w:rsidR="003F2AA2" w:rsidRPr="00696643" w:rsidRDefault="00696643" w:rsidP="00696643">
      <w:pPr>
        <w:pStyle w:val="Descripcin"/>
        <w:jc w:val="center"/>
        <w:rPr>
          <w:sz w:val="18"/>
        </w:rPr>
      </w:pPr>
      <w:bookmarkStart w:id="214" w:name="_Ref165125150"/>
      <w:bookmarkStart w:id="215" w:name="_Toc165169858"/>
      <w:r w:rsidRPr="00696643">
        <w:rPr>
          <w:color w:val="C00000"/>
          <w:sz w:val="18"/>
        </w:rPr>
        <w:lastRenderedPageBreak/>
        <w:t xml:space="preserve">Gráfica </w:t>
      </w:r>
      <w:r w:rsidRPr="00696643">
        <w:rPr>
          <w:color w:val="C00000"/>
          <w:sz w:val="18"/>
        </w:rPr>
        <w:fldChar w:fldCharType="begin"/>
      </w:r>
      <w:r w:rsidRPr="00696643">
        <w:rPr>
          <w:color w:val="C00000"/>
          <w:sz w:val="18"/>
        </w:rPr>
        <w:instrText xml:space="preserve"> SEQ Gráfica \* ARABIC </w:instrText>
      </w:r>
      <w:r w:rsidRPr="00696643">
        <w:rPr>
          <w:color w:val="C00000"/>
          <w:sz w:val="18"/>
        </w:rPr>
        <w:fldChar w:fldCharType="separate"/>
      </w:r>
      <w:r w:rsidR="00D01651">
        <w:rPr>
          <w:noProof/>
          <w:color w:val="C00000"/>
          <w:sz w:val="18"/>
        </w:rPr>
        <w:t>32</w:t>
      </w:r>
      <w:r w:rsidRPr="00696643">
        <w:rPr>
          <w:color w:val="C00000"/>
          <w:sz w:val="18"/>
        </w:rPr>
        <w:fldChar w:fldCharType="end"/>
      </w:r>
      <w:bookmarkEnd w:id="214"/>
      <w:r w:rsidRPr="00696643">
        <w:rPr>
          <w:color w:val="C00000"/>
          <w:sz w:val="18"/>
        </w:rPr>
        <w:t xml:space="preserve">. </w:t>
      </w:r>
      <w:r w:rsidR="003F2AA2" w:rsidRPr="00696643">
        <w:rPr>
          <w:sz w:val="18"/>
        </w:rPr>
        <w:t>Espacio público efectivo (m</w:t>
      </w:r>
      <w:r w:rsidR="003F2AA2" w:rsidRPr="00696643">
        <w:rPr>
          <w:sz w:val="18"/>
          <w:vertAlign w:val="superscript"/>
        </w:rPr>
        <w:t>2</w:t>
      </w:r>
      <w:r w:rsidR="003F2AA2" w:rsidRPr="00696643">
        <w:rPr>
          <w:sz w:val="18"/>
        </w:rPr>
        <w:t>/hab)</w:t>
      </w:r>
      <w:bookmarkEnd w:id="215"/>
    </w:p>
    <w:p w14:paraId="6EA73A94" w14:textId="483524A5" w:rsidR="0024770F" w:rsidRDefault="0024770F" w:rsidP="0024770F">
      <w:pPr>
        <w:jc w:val="center"/>
        <w:rPr>
          <w:color w:val="C00000"/>
          <w:sz w:val="18"/>
          <w:szCs w:val="18"/>
        </w:rPr>
      </w:pPr>
      <w:r>
        <w:rPr>
          <w:noProof/>
        </w:rPr>
        <w:drawing>
          <wp:anchor distT="0" distB="0" distL="114300" distR="114300" simplePos="0" relativeHeight="251749376" behindDoc="0" locked="0" layoutInCell="1" hidden="0" allowOverlap="1" wp14:anchorId="42DD078D" wp14:editId="5125C1E0">
            <wp:simplePos x="0" y="0"/>
            <wp:positionH relativeFrom="column">
              <wp:posOffset>341655</wp:posOffset>
            </wp:positionH>
            <wp:positionV relativeFrom="paragraph">
              <wp:posOffset>46701</wp:posOffset>
            </wp:positionV>
            <wp:extent cx="5191676" cy="2425969"/>
            <wp:effectExtent l="0" t="0" r="0" b="0"/>
            <wp:wrapNone/>
            <wp:docPr id="213351598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4"/>
                    <a:srcRect/>
                    <a:stretch>
                      <a:fillRect/>
                    </a:stretch>
                  </pic:blipFill>
                  <pic:spPr>
                    <a:xfrm>
                      <a:off x="0" y="0"/>
                      <a:ext cx="5191676" cy="2425969"/>
                    </a:xfrm>
                    <a:prstGeom prst="rect">
                      <a:avLst/>
                    </a:prstGeom>
                    <a:ln/>
                  </pic:spPr>
                </pic:pic>
              </a:graphicData>
            </a:graphic>
            <wp14:sizeRelH relativeFrom="margin">
              <wp14:pctWidth>0</wp14:pctWidth>
            </wp14:sizeRelH>
            <wp14:sizeRelV relativeFrom="margin">
              <wp14:pctHeight>0</wp14:pctHeight>
            </wp14:sizeRelV>
          </wp:anchor>
        </w:drawing>
      </w:r>
    </w:p>
    <w:p w14:paraId="21458F94" w14:textId="359A7A80" w:rsidR="003F2AA2" w:rsidRDefault="003F2AA2" w:rsidP="003F2AA2">
      <w:pPr>
        <w:pBdr>
          <w:top w:val="nil"/>
          <w:left w:val="nil"/>
          <w:bottom w:val="nil"/>
          <w:right w:val="nil"/>
          <w:between w:val="nil"/>
        </w:pBdr>
        <w:spacing w:line="220" w:lineRule="auto"/>
        <w:jc w:val="center"/>
        <w:rPr>
          <w:color w:val="C00000"/>
          <w:sz w:val="18"/>
          <w:szCs w:val="18"/>
        </w:rPr>
      </w:pPr>
    </w:p>
    <w:p w14:paraId="04A1DBE3" w14:textId="0BAF5529" w:rsidR="003F2AA2" w:rsidRDefault="003F2AA2" w:rsidP="003F2AA2">
      <w:pPr>
        <w:pBdr>
          <w:top w:val="nil"/>
          <w:left w:val="nil"/>
          <w:bottom w:val="nil"/>
          <w:right w:val="nil"/>
          <w:between w:val="nil"/>
        </w:pBdr>
        <w:spacing w:line="220" w:lineRule="auto"/>
        <w:jc w:val="center"/>
        <w:rPr>
          <w:color w:val="C00000"/>
          <w:sz w:val="18"/>
          <w:szCs w:val="18"/>
        </w:rPr>
      </w:pPr>
    </w:p>
    <w:p w14:paraId="507D5301"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2E62866"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2A8C57F"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FAD571B"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7F3629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F1A9CD7"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AFFB75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F29C9F8" w14:textId="77777777" w:rsidR="003F2AA2" w:rsidRDefault="003F2AA2" w:rsidP="003F2AA2"/>
    <w:p w14:paraId="7135F380" w14:textId="77777777" w:rsidR="003F2AA2" w:rsidRDefault="003F2AA2" w:rsidP="003F2AA2"/>
    <w:p w14:paraId="1A2740EE" w14:textId="77777777" w:rsidR="0024770F" w:rsidRDefault="0024770F" w:rsidP="003F2AA2"/>
    <w:p w14:paraId="3DCB6F7C" w14:textId="77777777" w:rsidR="003F2AA2" w:rsidRDefault="003F2AA2" w:rsidP="003F2AA2"/>
    <w:p w14:paraId="4080B6CC" w14:textId="77777777" w:rsidR="003F2AA2" w:rsidRDefault="003F2AA2" w:rsidP="003F2AA2"/>
    <w:p w14:paraId="24F18647" w14:textId="77777777" w:rsidR="003F2AA2" w:rsidRDefault="003F2AA2" w:rsidP="003F2AA2"/>
    <w:p w14:paraId="60B92749" w14:textId="77777777" w:rsidR="003F2AA2" w:rsidRDefault="003F2AA2" w:rsidP="003F2AA2"/>
    <w:p w14:paraId="38586B69" w14:textId="77777777" w:rsidR="003F2AA2" w:rsidRDefault="003F2AA2" w:rsidP="00171671">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Observatorio de Espacio Público DADEP.</w:t>
      </w:r>
    </w:p>
    <w:p w14:paraId="7C5262F2" w14:textId="77777777" w:rsidR="003F2AA2" w:rsidRDefault="003F2AA2" w:rsidP="003F2AA2">
      <w:pPr>
        <w:rPr>
          <w:i/>
        </w:rPr>
      </w:pPr>
    </w:p>
    <w:p w14:paraId="57E1849C" w14:textId="77777777" w:rsidR="00171671" w:rsidRDefault="00171671" w:rsidP="003F2AA2">
      <w:pPr>
        <w:rPr>
          <w:i/>
        </w:rPr>
      </w:pPr>
    </w:p>
    <w:p w14:paraId="331D7A01" w14:textId="7FAAD605" w:rsidR="00171671" w:rsidRDefault="00171671" w:rsidP="003F2AA2">
      <w:pPr>
        <w:rPr>
          <w:i/>
        </w:rPr>
        <w:sectPr w:rsidR="00171671" w:rsidSect="00F7078E">
          <w:type w:val="continuous"/>
          <w:pgSz w:w="12240" w:h="15840"/>
          <w:pgMar w:top="2262" w:right="1440" w:bottom="1440" w:left="1440" w:header="708" w:footer="708" w:gutter="0"/>
          <w:cols w:space="720"/>
        </w:sectPr>
      </w:pPr>
    </w:p>
    <w:p w14:paraId="0CDE508F" w14:textId="77777777" w:rsidR="003F2AA2" w:rsidRDefault="003F2AA2" w:rsidP="003F2AA2">
      <w:r>
        <w:t>La ciudadanía ha buscado dinamizar el uso del espacio público apropiándose de él para realizar actividades físicas, artísticas y culturales; sin embargo, las limitaciones de construir más espacios derivadas del saneamiento y titulación de bienes públicos para avanzar en obras de espacio público, ha llevado a que la administración busque posibilidades en el POT que lleven a intervenir zonas en las áreas de las Estructuras Territoriales con espacio público o infraestructura vial, entre otras intervenciones.</w:t>
      </w:r>
    </w:p>
    <w:p w14:paraId="47C52968" w14:textId="77777777" w:rsidR="003F2AA2" w:rsidRDefault="003F2AA2" w:rsidP="003F2AA2"/>
    <w:p w14:paraId="71D2621B" w14:textId="77777777" w:rsidR="003F2AA2" w:rsidRDefault="003F2AA2" w:rsidP="003F2AA2">
      <w:r>
        <w:t>Es preciso superar la falta de consolidación del espacio público (falta de integralidad y conexión entre las diferentes estructuras del modelo de ocupación territorial), con el fin de mejorar las condiciones físicas del mismo para ofrecer acceso y disfrute a espacios de calidad con seguridad.</w:t>
      </w:r>
    </w:p>
    <w:p w14:paraId="2F0A9228" w14:textId="77777777" w:rsidR="003F2AA2" w:rsidRDefault="003F2AA2" w:rsidP="003F2AA2"/>
    <w:p w14:paraId="4395D52F" w14:textId="77777777" w:rsidR="003F2AA2" w:rsidRDefault="003F2AA2" w:rsidP="003F2AA2">
      <w:r>
        <w:t xml:space="preserve">Parte importante de este espacio público que es lugar de encuentro, disfrute, recreación y deporte para la ciudadanía son los parques. Bogotá tiene 5.241 parques de carácter público que conforman el Sistema Distrital de Parques y que </w:t>
      </w:r>
      <w:r>
        <w:t>ofrecen a los residentes de la ciudad lugares para relajarse, compartir y practicar actividades al aire libre, los cuales poco han sido intervenidos en los últimos años. La encuesta de prácticas deportivas 2022 indica que el 57 % de las personas se encuentran satisfechas con el estado de los parques, el 51 % no los consideran seguros; el 35 % no los consideran limpios y el 56 % se encuentran satisfechos con el equipamiento que se encuentra en el parque</w:t>
      </w:r>
      <w:r>
        <w:rPr>
          <w:vertAlign w:val="superscript"/>
        </w:rPr>
        <w:footnoteReference w:id="9"/>
      </w:r>
      <w:r>
        <w:t>.</w:t>
      </w:r>
    </w:p>
    <w:p w14:paraId="66203EF1" w14:textId="77777777" w:rsidR="003F2AA2" w:rsidRDefault="003F2AA2" w:rsidP="003F2AA2"/>
    <w:p w14:paraId="7E1B9FB4" w14:textId="77777777" w:rsidR="003F2AA2" w:rsidRDefault="003F2AA2" w:rsidP="003F2AA2">
      <w:r>
        <w:t>Estos resultados reflejan la necesidad de fortalecer las estrategias para mejorar la percepción de seguridad de las personas a través de acciones como la iluminación de parques, ampliación de horarios de funcionamiento de los espacios y el mantenimiento y mejoramiento de la infraestructura.</w:t>
      </w:r>
    </w:p>
    <w:p w14:paraId="04CABBC6" w14:textId="77777777" w:rsidR="003F2AA2" w:rsidRDefault="003F2AA2" w:rsidP="003F2AA2"/>
    <w:p w14:paraId="7092464F" w14:textId="77777777" w:rsidR="003F2AA2" w:rsidRDefault="003F2AA2" w:rsidP="003F2AA2">
      <w:r>
        <w:t xml:space="preserve">Así mismo, la percepción de las prácticas artísticas y culturales en el espacio público tiene una tendencia positiva según la encuesta realizada en 2022 por el Observatorio de la SCRD, frente a las intervenciones artísticas en el espacio urbano, encontrándose que el 84 % percibe que </w:t>
      </w:r>
      <w:r>
        <w:lastRenderedPageBreak/>
        <w:t>promueven el arte, el 75 % que invitan a la reflexión, el 68 % que embellecen la ciudad y el 51 % que incentivan el uso por la ciudad</w:t>
      </w:r>
      <w:r>
        <w:rPr>
          <w:vertAlign w:val="superscript"/>
        </w:rPr>
        <w:footnoteReference w:id="10"/>
      </w:r>
      <w:r>
        <w:t>.</w:t>
      </w:r>
    </w:p>
    <w:p w14:paraId="36A04B6C" w14:textId="77777777" w:rsidR="003F2AA2" w:rsidRDefault="003F2AA2" w:rsidP="003F2AA2"/>
    <w:p w14:paraId="3E7A387D" w14:textId="77777777" w:rsidR="003F2AA2" w:rsidRDefault="003F2AA2" w:rsidP="003F2AA2">
      <w:r>
        <w:t>Por otro lado, la estrategia de intervención del territorio que busca detonar con desarrollo urbano áreas de la ciudad incluidas en los instrumentos de planeamiento del Plan de Ordenamiento Territorial (POT, Decreto Distrital 555 de 2021) busca concluir ciclos de intervención pública que conlleven a la dotación de espacio público, equipamientos e infraestructura vial. El objetivo es combatir la informalidad y la inseguridad, y propender por la reactivación económica para la adecuada integración de los barrios con las estructuras del territorio.</w:t>
      </w:r>
    </w:p>
    <w:p w14:paraId="71D5ED79" w14:textId="77777777" w:rsidR="003F2AA2" w:rsidRDefault="003F2AA2" w:rsidP="003F2AA2"/>
    <w:p w14:paraId="37042189" w14:textId="77777777" w:rsidR="003F2AA2" w:rsidRDefault="003F2AA2" w:rsidP="003F2AA2">
      <w:r>
        <w:t>Actualmente hay 2.587 predios legalizados que requieren saneamiento y titulación y 9.430 sin titular (Subdirección de registro, DADEP, 2023). Entre estos se encuentran equipamientos distritales que no han podido obtener licencias porque requieren acciones de saneamiento. Una vez se surtan estas acciones, se puede avanzar en obras que permitan mejorar, entre otras cosas, el espacio público de la ciudad.</w:t>
      </w:r>
    </w:p>
    <w:p w14:paraId="348751DF" w14:textId="77777777" w:rsidR="003F2AA2" w:rsidRDefault="003F2AA2" w:rsidP="003F2AA2"/>
    <w:p w14:paraId="465CAE54" w14:textId="77777777" w:rsidR="003F2AA2" w:rsidRDefault="003F2AA2" w:rsidP="003F2AA2">
      <w:r>
        <w:t xml:space="preserve">Sumado a esto, no se cuenta con un plan de acción que defina las actuaciones, condiciones, </w:t>
      </w:r>
      <w:r>
        <w:t>estrategias y erogaciones que se destinan para la operación y mantenimiento de obras de infraestructura y equipamientos públicos, asegurando su rendimiento y beneficio para la ciudadanía.</w:t>
      </w:r>
    </w:p>
    <w:p w14:paraId="6C98AFF1" w14:textId="77777777" w:rsidR="003F2AA2" w:rsidRDefault="003F2AA2" w:rsidP="003F2AA2"/>
    <w:p w14:paraId="38A2B22D" w14:textId="77777777" w:rsidR="003F2AA2" w:rsidRDefault="003F2AA2" w:rsidP="003F2AA2">
      <w:r>
        <w:t>Con relación a la venta informal en el espacio público, el Instituto para la Economía Social -IPES cuenta con la herramienta misional - HeMi para caracterizar a los vendedores informales registrados entre 2008 y 2022, con un registro aproximado de 51.403 vendedores informales que actualmente se encuentran ejerciendo su actividad económica en el espacio público de la ciudad; de los cuales 14.298 fueron registrados en jornadas adelantadas en el periodo 2020 – 2023.</w:t>
      </w:r>
    </w:p>
    <w:p w14:paraId="549A4B7A" w14:textId="77777777" w:rsidR="003F2AA2" w:rsidRDefault="003F2AA2" w:rsidP="003F2AA2"/>
    <w:p w14:paraId="3E4E6D13" w14:textId="77777777" w:rsidR="003F2AA2" w:rsidRPr="00171671" w:rsidRDefault="003F2AA2" w:rsidP="003F2AA2">
      <w:pPr>
        <w:rPr>
          <w:spacing w:val="-6"/>
        </w:rPr>
        <w:sectPr w:rsidR="003F2AA2" w:rsidRPr="00171671" w:rsidSect="00F7078E">
          <w:type w:val="continuous"/>
          <w:pgSz w:w="12240" w:h="15840"/>
          <w:pgMar w:top="2262" w:right="1440" w:bottom="1440" w:left="1440" w:header="708" w:footer="708" w:gutter="0"/>
          <w:cols w:num="2" w:space="720" w:equalWidth="0">
            <w:col w:w="4396" w:space="567"/>
            <w:col w:w="4396" w:space="0"/>
          </w:cols>
        </w:sectPr>
      </w:pPr>
      <w:r w:rsidRPr="00171671">
        <w:rPr>
          <w:spacing w:val="-6"/>
        </w:rPr>
        <w:t>Frente a esta temática, se destaca que el diagnóstico de la política pública (SDDE, 2023) permitió identificar que entre las principales problemáticas que identifican las y los vendedores se encuentran en materia de seguridad, la explotación de vendedores por terceros, los problemas de convivencia, el microtráfico, la discriminación, los hurtos y la venta de licor a menores de edad. Respecto al espacio público, la ocupación sin control, la falta de espacios adecuados y sin alternativas de reubicación, y la politización de los espacios.</w:t>
      </w:r>
    </w:p>
    <w:p w14:paraId="61BB3F00" w14:textId="77777777" w:rsidR="003F2AA2" w:rsidRDefault="003F2AA2" w:rsidP="003F2AA2"/>
    <w:p w14:paraId="676CDFAE" w14:textId="77777777" w:rsidR="003F2AA2" w:rsidRDefault="003F2AA2" w:rsidP="003F2AA2"/>
    <w:p w14:paraId="56CDF9A4" w14:textId="11E6FB97" w:rsidR="003F2AA2" w:rsidRPr="00EF5BA7" w:rsidRDefault="003F2AA2" w:rsidP="00EF5BA7">
      <w:pPr>
        <w:ind w:firstLine="708"/>
        <w:rPr>
          <w:b/>
          <w:color w:val="3B3838"/>
          <w:sz w:val="24"/>
        </w:rPr>
        <w:sectPr w:rsidR="003F2AA2" w:rsidRPr="00EF5BA7" w:rsidSect="00F7078E">
          <w:type w:val="continuous"/>
          <w:pgSz w:w="12240" w:h="15840"/>
          <w:pgMar w:top="2262" w:right="1440" w:bottom="1440" w:left="1440" w:header="708" w:footer="708" w:gutter="0"/>
          <w:cols w:space="720"/>
        </w:sectPr>
      </w:pPr>
      <w:r w:rsidRPr="00EF5BA7">
        <w:rPr>
          <w:b/>
          <w:color w:val="3B3838"/>
          <w:sz w:val="24"/>
        </w:rPr>
        <w:t>Descripción del programa</w:t>
      </w:r>
    </w:p>
    <w:p w14:paraId="36EEE3D7" w14:textId="77777777" w:rsidR="003F2AA2" w:rsidRDefault="003F2AA2" w:rsidP="003F2AA2">
      <w:r w:rsidRPr="00171671">
        <w:rPr>
          <w:spacing w:val="-6"/>
        </w:rPr>
        <w:t>Bogotá garantizará que el uso del espacio público por la ciudadanía se ejerza sin temor a la violencia o las amenazas que comprometan la vida de las personas, en especial los riesgos que afrontan las mujeres</w:t>
      </w:r>
      <w:r>
        <w:t>.</w:t>
      </w:r>
    </w:p>
    <w:p w14:paraId="05A79217" w14:textId="77777777" w:rsidR="003F2AA2" w:rsidRDefault="003F2AA2" w:rsidP="003F2AA2"/>
    <w:p w14:paraId="089C2DD0" w14:textId="77777777" w:rsidR="003F2AA2" w:rsidRDefault="003F2AA2" w:rsidP="003F2AA2">
      <w:r>
        <w:t xml:space="preserve">Esto implica que la administración distrital, en un ejercicio conjunto orientado por el concepto de seguridad integral, actuará de forma interagencial para prevenir y controlar hechos delictivos, mejorar el orden urbano y fomentar </w:t>
      </w:r>
      <w:r>
        <w:t>actividades que permitan el uso continuo y la apropiación de los espacios para reducir la desconfianza frente a lugares dispuestos para el disfrute de la ciudadanía, en el marco de la ley.</w:t>
      </w:r>
    </w:p>
    <w:p w14:paraId="6A96338A" w14:textId="77777777" w:rsidR="003F2AA2" w:rsidRDefault="003F2AA2" w:rsidP="003F2AA2"/>
    <w:p w14:paraId="1F443111" w14:textId="77777777" w:rsidR="003F2AA2" w:rsidRDefault="003F2AA2" w:rsidP="003F2AA2">
      <w:r>
        <w:t xml:space="preserve">Este esfuerzo de las autoridades debe llevar a que la Administración distrital consolide la presencia territorial para fomentar la confianza de la ciudadanía en la actuación de las entidades distritales y los organismos de seguridad y justicia para construir un espacio público seguro e </w:t>
      </w:r>
      <w:r>
        <w:lastRenderedPageBreak/>
        <w:t>inclusivo, que promueva el ejercicio de los derechos de cada ciudadano.</w:t>
      </w:r>
    </w:p>
    <w:p w14:paraId="161B1D4A" w14:textId="77777777" w:rsidR="003F2AA2" w:rsidRDefault="003F2AA2" w:rsidP="003F2AA2"/>
    <w:p w14:paraId="293F57A2" w14:textId="77777777" w:rsidR="003F2AA2" w:rsidRDefault="003F2AA2" w:rsidP="003F2AA2">
      <w:r>
        <w:t>En ese sentido, la administración distrital realizará consejos de seguridad para hacer seguimiento a las acciones de las autoridades en las que haya mayor concentración de delitos, percepción de inseguridad y vulneración de derechos de niños, niñas, adolescentes y jóvenes (NNAJ), mujeres, grupos étnicos e integrantes de las comunidades LGBTI que existen en Bogotá.</w:t>
      </w:r>
    </w:p>
    <w:p w14:paraId="7E119AB8" w14:textId="77777777" w:rsidR="003F2AA2" w:rsidRDefault="003F2AA2" w:rsidP="003F2AA2"/>
    <w:p w14:paraId="04697FE1" w14:textId="77777777" w:rsidR="003F2AA2" w:rsidRDefault="003F2AA2" w:rsidP="003F2AA2">
      <w:r>
        <w:t>Se fortalecerá la MEBOG para que pueda realizar vigilancia y control del espacio público y responder de forma inmediata a situaciones que afecten la seguridad y la convivencia en la ciudad. Así, se trabajará en una propuesta jurídica y técnica para aumentar los efectivos de la Policía en Bogotá, reduciendo el déficit de uniformados para la prestación del servicio en la ciudad y garantizar la formación y permanencia de unidades policiales para atender cada componente de la cadena de seguridad.</w:t>
      </w:r>
    </w:p>
    <w:p w14:paraId="5E5B981A" w14:textId="77777777" w:rsidR="003F2AA2" w:rsidRDefault="003F2AA2" w:rsidP="003F2AA2"/>
    <w:p w14:paraId="7AE71494" w14:textId="77777777" w:rsidR="003F2AA2" w:rsidRDefault="003F2AA2" w:rsidP="003F2AA2">
      <w:r>
        <w:t>Esto está fundamentado, además, en el propósito de consolidar un modelo de uso de la fuerza policial que permita el crecimiento sostenible del pie de fuerza, así como en la asignación y administración de recursos con participación del Distrito Capital, en cooperación con la MEBOG y el Gobierno nacional.</w:t>
      </w:r>
    </w:p>
    <w:p w14:paraId="0E0D6AA1" w14:textId="77777777" w:rsidR="003F2AA2" w:rsidRDefault="003F2AA2" w:rsidP="003F2AA2"/>
    <w:p w14:paraId="33C05584" w14:textId="77777777" w:rsidR="003F2AA2" w:rsidRDefault="003F2AA2" w:rsidP="003F2AA2">
      <w:r>
        <w:t>También, se implementará el modelo integrado para la gestión de la convivencia y seguridad en los territorios que respondan de forma inmediata a situaciones que afecten el disfrute del espacio público y la garantía de derechos de la ciudadanía.</w:t>
      </w:r>
    </w:p>
    <w:p w14:paraId="749D772D" w14:textId="77777777" w:rsidR="003F2AA2" w:rsidRDefault="003F2AA2" w:rsidP="003F2AA2"/>
    <w:p w14:paraId="57F1EB76" w14:textId="77777777" w:rsidR="003F2AA2" w:rsidRDefault="003F2AA2" w:rsidP="003F2AA2">
      <w:r>
        <w:t xml:space="preserve">El espacio público en Bogotá se entiende como un escenario fundamental para que la ciudadanía ejerza sus derechos y pueda relacionarse en sana convivencia. Desde el enfoque de seguridad integral, ello se promueve tanto a partir de la focalización de estrategias de monitoreo y </w:t>
      </w:r>
      <w:r>
        <w:t>control como de la intervención para la recuperación y generación de oportunidades formales y legales para su disfrute y en general, a partir de la implementación de acciones que propicien el goce efectivo del derecho a la ciudad.</w:t>
      </w:r>
    </w:p>
    <w:p w14:paraId="76E30048" w14:textId="77777777" w:rsidR="003F2AA2" w:rsidRDefault="003F2AA2" w:rsidP="003F2AA2"/>
    <w:p w14:paraId="7D8EB201" w14:textId="77777777" w:rsidR="003F2AA2" w:rsidRDefault="003F2AA2" w:rsidP="003F2AA2">
      <w:r>
        <w:t>Ahora bien, para mejorar el orden y los espacios urbanos se avanzará en la estrategia de revitalización del territorio. Esta se desarrollará a través de proyectos urbanos integrales, actuaciones estratégicas y planes parciales en polígonos priorizados, para dotarlos de mejores condiciones sin importar su tratamiento urbanístico, y podrán incluir acciones de renovación, mejoramiento de barrios, legalización, espacio público, construcción de equipamientos, desarrollo de nuevos proyectos de vivienda con mezcla de usos, prestación de servicios públicos y trabajo comunitario impulsando la sostenibilidad ambiental y la conservación de los recursos naturales.</w:t>
      </w:r>
      <w:r>
        <w:rPr>
          <w:highlight w:val="white"/>
        </w:rPr>
        <w:t xml:space="preserve"> . De igual manera, se promueve la participación activa de los habitantes en la toma de decisiones y la implementación de proyectos, asegurando así, que las acciones emprendidas responden a las necesidades y expectativas de la población</w:t>
      </w:r>
      <w:r>
        <w:t xml:space="preserve">.  </w:t>
      </w:r>
    </w:p>
    <w:p w14:paraId="664FC746" w14:textId="77777777" w:rsidR="003F2AA2" w:rsidRDefault="003F2AA2" w:rsidP="003F2AA2"/>
    <w:p w14:paraId="1D9CAC76" w14:textId="77777777" w:rsidR="003F2AA2" w:rsidRDefault="003F2AA2" w:rsidP="003F2AA2">
      <w:r>
        <w:t>Estas actuaciones se vincularán al modelo de seguridad integral y contarán con la estructuración técnica y financiera articulada con la inversión pública, mediante un esquema de anticipación de cargas urbanísticas, estudios, diseños y construcción de estos espacios públicos.</w:t>
      </w:r>
    </w:p>
    <w:p w14:paraId="1E90F127" w14:textId="77777777" w:rsidR="003F2AA2" w:rsidRDefault="003F2AA2" w:rsidP="003F2AA2"/>
    <w:p w14:paraId="3980272E" w14:textId="77777777" w:rsidR="003F2AA2" w:rsidRDefault="003F2AA2" w:rsidP="003F2AA2">
      <w:r>
        <w:t>En este sentido, la revitalización urbana corresponde a una estrategia de intervención que busca dotar de mejores condiciones para habitar en los barrios de la ciudad sin importar su tratamiento urbanístico, a través de un conjunto de acciones físico-sociales, ambientales, económicas y jurídico-legales.</w:t>
      </w:r>
    </w:p>
    <w:p w14:paraId="046BEA87" w14:textId="77777777" w:rsidR="003F2AA2" w:rsidRDefault="003F2AA2" w:rsidP="003F2AA2"/>
    <w:p w14:paraId="3B10F637" w14:textId="77777777" w:rsidR="003F2AA2" w:rsidRDefault="003F2AA2" w:rsidP="003F2AA2">
      <w:pPr>
        <w:rPr>
          <w:highlight w:val="white"/>
        </w:rPr>
      </w:pPr>
      <w:r>
        <w:t>Por otro lado, se fortalecerá la administración</w:t>
      </w:r>
      <w:r>
        <w:rPr>
          <w:highlight w:val="white"/>
        </w:rPr>
        <w:t xml:space="preserve"> de los parques con la implementación de la estrategia de guardaparques, ampliaciones de horarios y el mejoramiento de su iluminación. Se </w:t>
      </w:r>
      <w:r>
        <w:rPr>
          <w:highlight w:val="white"/>
        </w:rPr>
        <w:lastRenderedPageBreak/>
        <w:t xml:space="preserve">realizarán intervenciones artísticas y culturales en el espacio público que busquen promover la convivencia ciudadana para fortalecer el papel del arte, la cultura y el patrimonio como derecho en la ciudad. </w:t>
      </w:r>
    </w:p>
    <w:p w14:paraId="14C2662A" w14:textId="77777777" w:rsidR="003F2AA2" w:rsidRDefault="003F2AA2" w:rsidP="003F2AA2"/>
    <w:p w14:paraId="00D605FF" w14:textId="271DB61D" w:rsidR="003F2AA2" w:rsidRDefault="003F2AA2" w:rsidP="003F2AA2">
      <w:pPr>
        <w:rPr>
          <w:highlight w:val="white"/>
        </w:rPr>
      </w:pPr>
      <w:r>
        <w:t xml:space="preserve">Para la utilización del espacio público como lugar de encuentro se realizarán intervenciones con el objetivo de fortalecer la oferta de programas destinados al goce y disfrute de estos escenarios y aportar no solamente a la promoción de las prácticas artísticas y culturales, sino también a la resignificación del espacio seguro y de encuentro para las comunidades. </w:t>
      </w:r>
      <w:r>
        <w:rPr>
          <w:highlight w:val="white"/>
        </w:rPr>
        <w:t>Se realizará también la intervención de espacios patrimoniales mediante acciones de gestión y recuperación, entre las que se encuentran el enlucimiento de fachadas, el mantenimiento de monumentos ubicados en el espacio público, el mejoramiento físico de espacios públicos patrimoniales y reverdecimiento de espacios públicos.</w:t>
      </w:r>
    </w:p>
    <w:p w14:paraId="2DB0A59C" w14:textId="77777777" w:rsidR="003F2AA2" w:rsidRDefault="003F2AA2" w:rsidP="003F2AA2"/>
    <w:p w14:paraId="6CCE1E53" w14:textId="77777777" w:rsidR="003F2AA2" w:rsidRDefault="003F2AA2" w:rsidP="003F2AA2">
      <w:r>
        <w:t xml:space="preserve">En lo relacionado con el alumbrado público, se establecerán las condiciones técnicas, financieras e institucionales que permitan la modernización y garanticen la prestación del servicio eficiente, con calidad y asequibilidad para todos los habitantes, contribuyendo a espacios más seguros. </w:t>
      </w:r>
    </w:p>
    <w:p w14:paraId="3A6E3486" w14:textId="77777777" w:rsidR="003F2AA2" w:rsidRDefault="003F2AA2" w:rsidP="003F2AA2"/>
    <w:p w14:paraId="30E1DD29" w14:textId="77777777" w:rsidR="003F2AA2" w:rsidRDefault="003F2AA2" w:rsidP="003F2AA2">
      <w:r>
        <w:t xml:space="preserve">Adicionalmente, para garantizar una óptima oferta cuantitativa y cualitativa de espacio </w:t>
      </w:r>
      <w:r>
        <w:t>público para su uso, goce y disfrute por la ciudadanía, la administración distrital desarrollará acciones para la eficaz defensa del espacio público, la óptima administración del patrimonio inmobiliario de la ciudad y la construcción de una nueva cultura del espacio público.</w:t>
      </w:r>
    </w:p>
    <w:p w14:paraId="63EE379F" w14:textId="77777777" w:rsidR="003F2AA2" w:rsidRDefault="003F2AA2" w:rsidP="003F2AA2"/>
    <w:p w14:paraId="44D8C4C6" w14:textId="77777777" w:rsidR="003F2AA2" w:rsidRDefault="003F2AA2" w:rsidP="003F2AA2">
      <w:pPr>
        <w:rPr>
          <w:highlight w:val="white"/>
        </w:rPr>
      </w:pPr>
      <w:r>
        <w:rPr>
          <w:highlight w:val="white"/>
        </w:rPr>
        <w:t>Así mismo, se diseñará e implementará una estrategia para recuperar la cultura de aseo, elevando el sentido de pertenencia de la ciudadanía, la sostenibilidad de las formas de vida, el cuidado y respeto de lo público como un bien común.</w:t>
      </w:r>
    </w:p>
    <w:p w14:paraId="4B01BCFE" w14:textId="77777777" w:rsidR="003F2AA2" w:rsidRDefault="003F2AA2" w:rsidP="003F2AA2"/>
    <w:p w14:paraId="1CBC26AE" w14:textId="77777777" w:rsidR="003F2AA2" w:rsidRDefault="003F2AA2" w:rsidP="003F2AA2">
      <w:r>
        <w:t xml:space="preserve">Finalmente, para asegurar el aprovechamiento del espacio público para el desarrollo social, controlando las zonas en las que se evidencian los altos niveles de aglomeración de vendedores, y evitar así la percepción de inseguridad y desorden del espacio público, se implementará una estrategia para gestionar efectivamente el derecho al mínimo vital y el derecho al uso y disfrute del espacio público. Adicionalmente, se dará cumplimiento a los fallos y/o sentencias que ordenan la organización y recuperación de los espacios que fortalezcan la economía social de la ciudad. </w:t>
      </w:r>
    </w:p>
    <w:p w14:paraId="7924A2D8" w14:textId="77777777" w:rsidR="003F2AA2" w:rsidRDefault="003F2AA2" w:rsidP="003F2AA2"/>
    <w:p w14:paraId="0D883D2C" w14:textId="3FDFF153"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Este programa se ejecutará mediante las siguient</w:t>
      </w:r>
      <w:r w:rsidRPr="004F4075">
        <w:t>es metas (</w:t>
      </w:r>
      <w:r w:rsidR="004F4075" w:rsidRPr="004F4075">
        <w:fldChar w:fldCharType="begin"/>
      </w:r>
      <w:r w:rsidR="004F4075" w:rsidRPr="004F4075">
        <w:instrText xml:space="preserve"> REF _Ref165125261 \h </w:instrText>
      </w:r>
      <w:r w:rsidR="004F4075" w:rsidRPr="004F4075">
        <w:fldChar w:fldCharType="separate"/>
      </w:r>
      <w:r w:rsidR="00D01651" w:rsidRPr="004F4075">
        <w:rPr>
          <w:color w:val="C00000"/>
          <w:sz w:val="18"/>
          <w:szCs w:val="18"/>
        </w:rPr>
        <w:t xml:space="preserve">Tabla </w:t>
      </w:r>
      <w:r w:rsidR="00D01651">
        <w:rPr>
          <w:noProof/>
          <w:color w:val="C00000"/>
          <w:sz w:val="18"/>
        </w:rPr>
        <w:t>21</w:t>
      </w:r>
      <w:r w:rsidR="004F4075" w:rsidRPr="004F4075">
        <w:fldChar w:fldCharType="end"/>
      </w:r>
      <w:r w:rsidRPr="004F4075">
        <w:t>)</w:t>
      </w:r>
    </w:p>
    <w:p w14:paraId="3E9F6879" w14:textId="77777777" w:rsidR="003F2AA2" w:rsidRDefault="003F2AA2" w:rsidP="003F2AA2"/>
    <w:p w14:paraId="17D69177" w14:textId="77777777" w:rsidR="003F2AA2" w:rsidRDefault="003F2AA2" w:rsidP="004F4075">
      <w:pPr>
        <w:pBdr>
          <w:top w:val="nil"/>
          <w:left w:val="nil"/>
          <w:bottom w:val="nil"/>
          <w:right w:val="nil"/>
          <w:between w:val="nil"/>
        </w:pBdr>
        <w:spacing w:line="220" w:lineRule="auto"/>
        <w:rPr>
          <w:b/>
          <w:color w:val="C00000"/>
          <w:sz w:val="18"/>
          <w:szCs w:val="18"/>
        </w:rPr>
      </w:pPr>
    </w:p>
    <w:p w14:paraId="0CF54CDF" w14:textId="6E23076F" w:rsidR="003F2AA2" w:rsidRDefault="004F4075" w:rsidP="004F4075">
      <w:pPr>
        <w:pStyle w:val="Descripcin"/>
        <w:jc w:val="center"/>
        <w:rPr>
          <w:sz w:val="18"/>
        </w:rPr>
      </w:pPr>
      <w:bookmarkStart w:id="216" w:name="_Ref165125261"/>
      <w:bookmarkStart w:id="217" w:name="_Toc165169931"/>
      <w:r w:rsidRPr="004F4075">
        <w:rPr>
          <w:color w:val="C00000"/>
          <w:sz w:val="18"/>
        </w:rPr>
        <w:t xml:space="preserve">Tabla </w:t>
      </w:r>
      <w:r w:rsidRPr="004F4075">
        <w:rPr>
          <w:color w:val="C00000"/>
          <w:sz w:val="18"/>
        </w:rPr>
        <w:fldChar w:fldCharType="begin"/>
      </w:r>
      <w:r w:rsidRPr="004F4075">
        <w:rPr>
          <w:color w:val="C00000"/>
          <w:sz w:val="18"/>
        </w:rPr>
        <w:instrText xml:space="preserve"> SEQ Tabla \* ARABIC </w:instrText>
      </w:r>
      <w:r w:rsidRPr="004F4075">
        <w:rPr>
          <w:color w:val="C00000"/>
          <w:sz w:val="18"/>
        </w:rPr>
        <w:fldChar w:fldCharType="separate"/>
      </w:r>
      <w:r w:rsidR="00D01651">
        <w:rPr>
          <w:noProof/>
          <w:color w:val="C00000"/>
          <w:sz w:val="18"/>
        </w:rPr>
        <w:t>21</w:t>
      </w:r>
      <w:r w:rsidRPr="004F4075">
        <w:rPr>
          <w:color w:val="C00000"/>
          <w:sz w:val="18"/>
        </w:rPr>
        <w:fldChar w:fldCharType="end"/>
      </w:r>
      <w:bookmarkEnd w:id="216"/>
      <w:r w:rsidRPr="004F4075">
        <w:rPr>
          <w:color w:val="C00000"/>
          <w:sz w:val="18"/>
        </w:rPr>
        <w:t xml:space="preserve">. </w:t>
      </w:r>
      <w:r w:rsidR="003F2AA2" w:rsidRPr="004F4075">
        <w:rPr>
          <w:color w:val="3B3838"/>
          <w:sz w:val="18"/>
        </w:rPr>
        <w:t>Metas del programa 5: Espacio público seguro e inclusivo</w:t>
      </w:r>
      <w:bookmarkEnd w:id="217"/>
    </w:p>
    <w:tbl>
      <w:tblPr>
        <w:tblW w:w="9480" w:type="dxa"/>
        <w:jc w:val="center"/>
        <w:tblBorders>
          <w:top w:val="nil"/>
          <w:left w:val="nil"/>
          <w:bottom w:val="nil"/>
          <w:right w:val="nil"/>
          <w:insideH w:val="nil"/>
          <w:insideV w:val="nil"/>
        </w:tblBorders>
        <w:tblLayout w:type="fixed"/>
        <w:tblLook w:val="0600" w:firstRow="0" w:lastRow="0" w:firstColumn="0" w:lastColumn="0" w:noHBand="1" w:noVBand="1"/>
      </w:tblPr>
      <w:tblGrid>
        <w:gridCol w:w="3261"/>
        <w:gridCol w:w="1209"/>
        <w:gridCol w:w="1200"/>
        <w:gridCol w:w="1365"/>
        <w:gridCol w:w="1215"/>
        <w:gridCol w:w="1230"/>
      </w:tblGrid>
      <w:tr w:rsidR="004C477F" w:rsidRPr="008419FB" w14:paraId="1F5396AE" w14:textId="77777777" w:rsidTr="002D1C39">
        <w:trPr>
          <w:trHeight w:val="537"/>
          <w:tblHeader/>
          <w:jc w:val="center"/>
        </w:trPr>
        <w:tc>
          <w:tcPr>
            <w:tcW w:w="3261"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3992CBB9" w14:textId="0F7C0509" w:rsidR="003F2AA2" w:rsidRPr="008419FB" w:rsidRDefault="0067286A" w:rsidP="00E36E40">
            <w:pPr>
              <w:widowControl w:val="0"/>
              <w:spacing w:line="276" w:lineRule="auto"/>
              <w:ind w:left="184" w:right="191"/>
              <w:jc w:val="center"/>
              <w:rPr>
                <w:b/>
                <w:color w:val="FFFFFF"/>
                <w:sz w:val="24"/>
              </w:rPr>
            </w:pPr>
            <w:r w:rsidRPr="008419FB">
              <w:rPr>
                <w:b/>
                <w:color w:val="FFFFFF"/>
                <w:sz w:val="24"/>
              </w:rPr>
              <w:t>Sector</w:t>
            </w:r>
            <w:r w:rsidR="003F2AA2" w:rsidRPr="008419FB">
              <w:rPr>
                <w:b/>
                <w:color w:val="FFFFFF"/>
                <w:sz w:val="24"/>
              </w:rPr>
              <w:t xml:space="preserve"> / Metas</w:t>
            </w:r>
          </w:p>
        </w:tc>
        <w:tc>
          <w:tcPr>
            <w:tcW w:w="6219"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4F9E4156" w14:textId="77777777" w:rsidR="003F2AA2" w:rsidRPr="008419FB" w:rsidRDefault="003F2AA2" w:rsidP="004C477F">
            <w:pPr>
              <w:widowControl w:val="0"/>
              <w:spacing w:line="276" w:lineRule="auto"/>
              <w:jc w:val="center"/>
              <w:rPr>
                <w:b/>
                <w:color w:val="FFFFFF"/>
                <w:sz w:val="24"/>
              </w:rPr>
            </w:pPr>
            <w:r w:rsidRPr="008419FB">
              <w:rPr>
                <w:b/>
                <w:color w:val="FFFFFF"/>
                <w:sz w:val="24"/>
              </w:rPr>
              <w:t>Magnitudes e Inversión</w:t>
            </w:r>
          </w:p>
          <w:p w14:paraId="053D64E0" w14:textId="77777777" w:rsidR="003F2AA2" w:rsidRPr="008419FB" w:rsidRDefault="003F2AA2" w:rsidP="004C477F">
            <w:pPr>
              <w:widowControl w:val="0"/>
              <w:spacing w:line="276" w:lineRule="auto"/>
              <w:jc w:val="center"/>
              <w:rPr>
                <w:rFonts w:ascii="Arial" w:eastAsia="Arial" w:hAnsi="Arial" w:cs="Arial"/>
                <w:color w:val="000000"/>
                <w:sz w:val="20"/>
              </w:rPr>
            </w:pPr>
            <w:r w:rsidRPr="008419FB">
              <w:rPr>
                <w:b/>
                <w:color w:val="FFFFFF"/>
                <w:sz w:val="18"/>
                <w:szCs w:val="18"/>
              </w:rPr>
              <w:t>(Precios Constantes 2024)</w:t>
            </w:r>
          </w:p>
        </w:tc>
      </w:tr>
      <w:tr w:rsidR="004C477F" w:rsidRPr="008419FB" w14:paraId="117CB6B9" w14:textId="77777777" w:rsidTr="002D1C39">
        <w:trPr>
          <w:trHeight w:val="315"/>
          <w:tblHeader/>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64C8589E" w14:textId="77777777" w:rsidR="003F2AA2" w:rsidRPr="008419FB" w:rsidRDefault="003F2AA2" w:rsidP="004C477F">
            <w:pPr>
              <w:widowControl w:val="0"/>
              <w:spacing w:line="276" w:lineRule="auto"/>
              <w:ind w:left="184" w:right="191"/>
              <w:jc w:val="center"/>
              <w:rPr>
                <w:rFonts w:ascii="Arial" w:eastAsia="Arial" w:hAnsi="Arial" w:cs="Arial"/>
                <w:color w:val="000000"/>
                <w:sz w:val="20"/>
              </w:rPr>
            </w:pPr>
          </w:p>
        </w:tc>
        <w:tc>
          <w:tcPr>
            <w:tcW w:w="1209"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74FC8335" w14:textId="77777777" w:rsidR="003F2AA2" w:rsidRPr="008419FB" w:rsidRDefault="003F2AA2" w:rsidP="004C477F">
            <w:pPr>
              <w:widowControl w:val="0"/>
              <w:spacing w:line="276" w:lineRule="auto"/>
              <w:jc w:val="center"/>
              <w:rPr>
                <w:rFonts w:ascii="Arial" w:eastAsia="Arial" w:hAnsi="Arial" w:cs="Arial"/>
                <w:color w:val="000000"/>
                <w:sz w:val="20"/>
              </w:rPr>
            </w:pPr>
            <w:r w:rsidRPr="008419FB">
              <w:rPr>
                <w:b/>
                <w:color w:val="000000"/>
                <w:sz w:val="20"/>
                <w:szCs w:val="20"/>
              </w:rPr>
              <w:t>2024</w:t>
            </w:r>
          </w:p>
        </w:tc>
        <w:tc>
          <w:tcPr>
            <w:tcW w:w="1200"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164271FB" w14:textId="77777777" w:rsidR="003F2AA2" w:rsidRPr="008419FB" w:rsidRDefault="003F2AA2" w:rsidP="004C477F">
            <w:pPr>
              <w:widowControl w:val="0"/>
              <w:spacing w:line="276" w:lineRule="auto"/>
              <w:jc w:val="center"/>
              <w:rPr>
                <w:rFonts w:ascii="Arial" w:eastAsia="Arial" w:hAnsi="Arial" w:cs="Arial"/>
                <w:color w:val="000000"/>
                <w:sz w:val="20"/>
              </w:rPr>
            </w:pPr>
            <w:r w:rsidRPr="008419FB">
              <w:rPr>
                <w:b/>
                <w:color w:val="000000"/>
                <w:sz w:val="20"/>
                <w:szCs w:val="20"/>
              </w:rPr>
              <w:t>2025</w:t>
            </w:r>
          </w:p>
        </w:tc>
        <w:tc>
          <w:tcPr>
            <w:tcW w:w="136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0E1B690D" w14:textId="77777777" w:rsidR="003F2AA2" w:rsidRPr="008419FB" w:rsidRDefault="003F2AA2" w:rsidP="004C477F">
            <w:pPr>
              <w:widowControl w:val="0"/>
              <w:spacing w:line="276" w:lineRule="auto"/>
              <w:jc w:val="center"/>
              <w:rPr>
                <w:rFonts w:ascii="Arial" w:eastAsia="Arial" w:hAnsi="Arial" w:cs="Arial"/>
                <w:color w:val="000000"/>
                <w:sz w:val="20"/>
              </w:rPr>
            </w:pPr>
            <w:r w:rsidRPr="008419FB">
              <w:rPr>
                <w:b/>
                <w:color w:val="000000"/>
                <w:sz w:val="20"/>
                <w:szCs w:val="20"/>
              </w:rPr>
              <w:t>2026</w:t>
            </w:r>
          </w:p>
        </w:tc>
        <w:tc>
          <w:tcPr>
            <w:tcW w:w="121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4C99DA69" w14:textId="77777777" w:rsidR="003F2AA2" w:rsidRPr="008419FB" w:rsidRDefault="003F2AA2" w:rsidP="004C477F">
            <w:pPr>
              <w:widowControl w:val="0"/>
              <w:spacing w:line="276" w:lineRule="auto"/>
              <w:jc w:val="center"/>
              <w:rPr>
                <w:rFonts w:ascii="Arial" w:eastAsia="Arial" w:hAnsi="Arial" w:cs="Arial"/>
                <w:color w:val="000000"/>
                <w:sz w:val="20"/>
              </w:rPr>
            </w:pPr>
            <w:r w:rsidRPr="008419FB">
              <w:rPr>
                <w:b/>
                <w:color w:val="000000"/>
                <w:sz w:val="20"/>
                <w:szCs w:val="20"/>
              </w:rPr>
              <w:t>2027</w:t>
            </w:r>
          </w:p>
        </w:tc>
        <w:tc>
          <w:tcPr>
            <w:tcW w:w="1230"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7F429F44" w14:textId="3FDB99F4" w:rsidR="0067286A" w:rsidRDefault="003F2AA2" w:rsidP="004C477F">
            <w:pPr>
              <w:widowControl w:val="0"/>
              <w:spacing w:line="276" w:lineRule="auto"/>
              <w:jc w:val="center"/>
              <w:rPr>
                <w:b/>
                <w:color w:val="000000"/>
                <w:sz w:val="20"/>
                <w:szCs w:val="20"/>
              </w:rPr>
            </w:pPr>
            <w:r w:rsidRPr="008419FB">
              <w:rPr>
                <w:b/>
                <w:color w:val="000000"/>
                <w:sz w:val="20"/>
                <w:szCs w:val="20"/>
              </w:rPr>
              <w:t>Total</w:t>
            </w:r>
          </w:p>
          <w:p w14:paraId="455CBAF2" w14:textId="3EC74F86" w:rsidR="003F2AA2" w:rsidRPr="008419FB" w:rsidRDefault="003F2AA2" w:rsidP="004C477F">
            <w:pPr>
              <w:widowControl w:val="0"/>
              <w:spacing w:line="276" w:lineRule="auto"/>
              <w:jc w:val="center"/>
              <w:rPr>
                <w:rFonts w:ascii="Arial" w:eastAsia="Arial" w:hAnsi="Arial" w:cs="Arial"/>
                <w:color w:val="000000"/>
                <w:sz w:val="20"/>
              </w:rPr>
            </w:pPr>
            <w:r w:rsidRPr="008419FB">
              <w:rPr>
                <w:b/>
                <w:color w:val="000000"/>
                <w:sz w:val="20"/>
                <w:szCs w:val="20"/>
              </w:rPr>
              <w:t>Inversión</w:t>
            </w:r>
          </w:p>
        </w:tc>
      </w:tr>
      <w:tr w:rsidR="003F2AA2" w:rsidRPr="008419FB" w14:paraId="140F803E" w14:textId="77777777" w:rsidTr="004C477F">
        <w:trPr>
          <w:trHeight w:val="332"/>
          <w:jc w:val="center"/>
        </w:trPr>
        <w:tc>
          <w:tcPr>
            <w:tcW w:w="9480"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tcPr>
          <w:p w14:paraId="787AA4C1" w14:textId="78FD7235" w:rsidR="003F2AA2" w:rsidRPr="008419FB" w:rsidRDefault="0067286A" w:rsidP="004C477F">
            <w:pPr>
              <w:widowControl w:val="0"/>
              <w:spacing w:line="276" w:lineRule="auto"/>
              <w:ind w:left="184"/>
              <w:jc w:val="center"/>
              <w:rPr>
                <w:rFonts w:ascii="Arial" w:eastAsia="Arial" w:hAnsi="Arial" w:cs="Arial"/>
                <w:color w:val="000000"/>
                <w:sz w:val="20"/>
              </w:rPr>
            </w:pPr>
            <w:r w:rsidRPr="004C477F">
              <w:rPr>
                <w:b/>
                <w:color w:val="FFFFFF" w:themeColor="background1"/>
                <w:sz w:val="20"/>
                <w:szCs w:val="20"/>
              </w:rPr>
              <w:t>Cultura recreación y deporte</w:t>
            </w:r>
          </w:p>
        </w:tc>
      </w:tr>
      <w:tr w:rsidR="004C477F" w:rsidRPr="004C477F" w14:paraId="17B4D6A4" w14:textId="77777777" w:rsidTr="00C7729B">
        <w:trPr>
          <w:trHeight w:val="315"/>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1B79561"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Administrar 146 parques y escenarios del sistema de Espacio Público Peatonal y para el Encuentro.</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AEA6F5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130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BD88C3"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130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3470F1"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146</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DD87B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146</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3AB8FB4" w14:textId="77777777" w:rsidR="003F2AA2" w:rsidRPr="004C477F" w:rsidRDefault="003F2AA2" w:rsidP="004C477F">
            <w:pPr>
              <w:widowControl w:val="0"/>
              <w:spacing w:line="276" w:lineRule="auto"/>
              <w:jc w:val="right"/>
              <w:rPr>
                <w:b/>
                <w:color w:val="000000"/>
                <w:sz w:val="16"/>
                <w:szCs w:val="16"/>
              </w:rPr>
            </w:pPr>
            <w:r w:rsidRPr="004C477F">
              <w:rPr>
                <w:b/>
                <w:color w:val="000000"/>
                <w:sz w:val="16"/>
                <w:szCs w:val="16"/>
              </w:rPr>
              <w:t>724.795.988.789</w:t>
            </w:r>
          </w:p>
        </w:tc>
      </w:tr>
      <w:tr w:rsidR="004C477F" w:rsidRPr="004C477F" w14:paraId="520313B7" w14:textId="77777777" w:rsidTr="00C7729B">
        <w:trPr>
          <w:trHeight w:val="2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0F9B1AF0"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6515FF"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193.713.000.000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09A2F0"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150.485.436.893</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5BCC015"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166.410.220.567</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521B8E0"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214.187.331.328</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9BE3BA6" w14:textId="77777777" w:rsidR="003F2AA2" w:rsidRPr="004C477F" w:rsidRDefault="003F2AA2" w:rsidP="004C477F">
            <w:pPr>
              <w:widowControl w:val="0"/>
              <w:spacing w:line="276" w:lineRule="auto"/>
              <w:jc w:val="right"/>
              <w:rPr>
                <w:rFonts w:eastAsia="Arial" w:cs="Arial"/>
                <w:color w:val="000000"/>
                <w:sz w:val="16"/>
                <w:szCs w:val="16"/>
              </w:rPr>
            </w:pPr>
          </w:p>
        </w:tc>
      </w:tr>
      <w:tr w:rsidR="004C477F" w:rsidRPr="004C477F" w14:paraId="31E1C86F" w14:textId="77777777" w:rsidTr="00C7729B">
        <w:trPr>
          <w:trHeight w:val="577"/>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B182719"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lastRenderedPageBreak/>
              <w:t>Desarrollar 5.000 intervenciones y actividades artísticas y culturales, que promuevan la interrelación de la ciudadanía con el espacio público, como un lugar de encuentro, convivencia pacífica y transformación social.</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A0DF3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800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9F5754"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1.300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1E62D60"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1.400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677905"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1.500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A9A70B0" w14:textId="77777777" w:rsidR="003F2AA2" w:rsidRPr="004C477F" w:rsidRDefault="003F2AA2" w:rsidP="004C477F">
            <w:pPr>
              <w:widowControl w:val="0"/>
              <w:spacing w:line="276" w:lineRule="auto"/>
              <w:jc w:val="right"/>
              <w:rPr>
                <w:b/>
                <w:color w:val="000000"/>
                <w:sz w:val="16"/>
                <w:szCs w:val="16"/>
              </w:rPr>
            </w:pPr>
            <w:r w:rsidRPr="004C477F">
              <w:rPr>
                <w:b/>
                <w:color w:val="000000"/>
                <w:sz w:val="16"/>
                <w:szCs w:val="16"/>
              </w:rPr>
              <w:t>112.808.099.370</w:t>
            </w:r>
          </w:p>
        </w:tc>
      </w:tr>
      <w:tr w:rsidR="004C477F" w:rsidRPr="004C477F" w14:paraId="70E00CD1" w14:textId="77777777" w:rsidTr="00C7729B">
        <w:trPr>
          <w:trHeight w:val="101"/>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3DD32284"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7DFF3C6"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28.000.000.000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97DA4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28.155.339.806</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D9CDBF5"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28.466.396.456</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AF38DF"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28.186.363.108</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2E258806" w14:textId="77777777" w:rsidR="003F2AA2" w:rsidRPr="004C477F" w:rsidRDefault="003F2AA2" w:rsidP="004C477F">
            <w:pPr>
              <w:widowControl w:val="0"/>
              <w:spacing w:line="276" w:lineRule="auto"/>
              <w:jc w:val="right"/>
              <w:rPr>
                <w:rFonts w:eastAsia="Arial" w:cs="Arial"/>
                <w:color w:val="000000"/>
                <w:sz w:val="16"/>
                <w:szCs w:val="16"/>
              </w:rPr>
            </w:pPr>
          </w:p>
        </w:tc>
      </w:tr>
      <w:tr w:rsidR="004C477F" w:rsidRPr="004C477F" w14:paraId="715910A2" w14:textId="77777777" w:rsidTr="00C7729B">
        <w:trPr>
          <w:trHeight w:val="626"/>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E58A86F"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Intervenir 10 espacios patrimoniales en el marco de los componentes de la Estructura Integradora de los Patrimonios mediante acciones de recuperación y mantenimiento para generar lugares de encuentro de la ciudadanía.</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A428391"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BE11F7"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C404B9"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F61ECC"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908600A" w14:textId="77777777" w:rsidR="003F2AA2" w:rsidRPr="004C477F" w:rsidRDefault="003F2AA2" w:rsidP="004C477F">
            <w:pPr>
              <w:widowControl w:val="0"/>
              <w:spacing w:line="276" w:lineRule="auto"/>
              <w:jc w:val="right"/>
              <w:rPr>
                <w:b/>
                <w:color w:val="000000"/>
                <w:sz w:val="16"/>
                <w:szCs w:val="16"/>
              </w:rPr>
            </w:pPr>
            <w:r w:rsidRPr="004C477F">
              <w:rPr>
                <w:b/>
                <w:color w:val="000000"/>
                <w:sz w:val="16"/>
                <w:szCs w:val="16"/>
              </w:rPr>
              <w:t>41.939.676.635</w:t>
            </w:r>
          </w:p>
        </w:tc>
      </w:tr>
      <w:tr w:rsidR="004C477F" w:rsidRPr="004C477F" w14:paraId="39EAA74B" w14:textId="77777777" w:rsidTr="00C7729B">
        <w:trPr>
          <w:trHeight w:val="397"/>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0E00F1E" w14:textId="77777777" w:rsidR="003F2AA2" w:rsidRPr="004C477F" w:rsidRDefault="003F2AA2" w:rsidP="004C477F">
            <w:pPr>
              <w:widowControl w:val="0"/>
              <w:spacing w:line="276" w:lineRule="auto"/>
              <w:ind w:left="184" w:right="191"/>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B0938B"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5.650.172.429</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190454"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7.146.340.311</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C7DEC6"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16.267.809.157</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BA2266"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12.875.354.738</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22C6A668" w14:textId="77777777" w:rsidR="003F2AA2" w:rsidRPr="004C477F" w:rsidRDefault="003F2AA2" w:rsidP="004C477F">
            <w:pPr>
              <w:widowControl w:val="0"/>
              <w:spacing w:line="276" w:lineRule="auto"/>
              <w:jc w:val="left"/>
              <w:rPr>
                <w:rFonts w:eastAsia="Arial" w:cs="Arial"/>
                <w:color w:val="000000"/>
                <w:sz w:val="16"/>
                <w:szCs w:val="16"/>
              </w:rPr>
            </w:pPr>
          </w:p>
        </w:tc>
      </w:tr>
      <w:tr w:rsidR="003F2AA2" w:rsidRPr="004C477F" w14:paraId="53CB8E4C" w14:textId="77777777" w:rsidTr="00C7729B">
        <w:trPr>
          <w:trHeight w:val="397"/>
          <w:jc w:val="center"/>
        </w:trPr>
        <w:tc>
          <w:tcPr>
            <w:tcW w:w="9480"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7A20B4F8" w14:textId="0259D301" w:rsidR="003F2AA2" w:rsidRPr="004C477F" w:rsidRDefault="004C477F" w:rsidP="004C477F">
            <w:pPr>
              <w:widowControl w:val="0"/>
              <w:spacing w:line="276" w:lineRule="auto"/>
              <w:ind w:left="184"/>
              <w:jc w:val="center"/>
              <w:rPr>
                <w:rFonts w:eastAsia="Arial" w:cs="Arial"/>
                <w:color w:val="FFFFFF" w:themeColor="background1"/>
                <w:szCs w:val="22"/>
              </w:rPr>
            </w:pPr>
            <w:r w:rsidRPr="004C477F">
              <w:rPr>
                <w:b/>
                <w:color w:val="FFFFFF" w:themeColor="background1"/>
                <w:szCs w:val="22"/>
              </w:rPr>
              <w:t>Desarrollo económico</w:t>
            </w:r>
          </w:p>
        </w:tc>
      </w:tr>
      <w:tr w:rsidR="004C477F" w:rsidRPr="004C477F" w14:paraId="57A124DF" w14:textId="77777777" w:rsidTr="00C7729B">
        <w:trPr>
          <w:trHeight w:val="57"/>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31ECB5B"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Intervenir 16 zonas de aglomeración de venta informal para contribuir a la organización del espacio público en la ciudad.</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F6C426B"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3CCCFA"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5</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2905EF4"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5</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79758BB"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4</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433F095" w14:textId="77777777" w:rsidR="003F2AA2" w:rsidRPr="004C477F" w:rsidRDefault="003F2AA2" w:rsidP="004C477F">
            <w:pPr>
              <w:widowControl w:val="0"/>
              <w:spacing w:line="276" w:lineRule="auto"/>
              <w:jc w:val="center"/>
              <w:rPr>
                <w:b/>
                <w:color w:val="000000"/>
                <w:sz w:val="16"/>
                <w:szCs w:val="16"/>
              </w:rPr>
            </w:pPr>
            <w:r w:rsidRPr="004C477F">
              <w:rPr>
                <w:b/>
                <w:color w:val="000000"/>
                <w:sz w:val="16"/>
                <w:szCs w:val="16"/>
              </w:rPr>
              <w:t>50.414.290.389</w:t>
            </w:r>
          </w:p>
        </w:tc>
      </w:tr>
      <w:tr w:rsidR="004C477F" w:rsidRPr="004C477F" w14:paraId="241C53C1" w14:textId="77777777" w:rsidTr="00C7729B">
        <w:trPr>
          <w:trHeight w:val="57"/>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5C10674F"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C583BE7"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6.922.000.000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FFF16EF"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13.786.407.767</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1FBF24"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14.529.173.343</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4F4ACA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15.176.709.279</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98F938D" w14:textId="77777777" w:rsidR="003F2AA2" w:rsidRPr="004C477F" w:rsidRDefault="003F2AA2" w:rsidP="004C477F">
            <w:pPr>
              <w:widowControl w:val="0"/>
              <w:spacing w:line="276" w:lineRule="auto"/>
              <w:jc w:val="left"/>
              <w:rPr>
                <w:rFonts w:eastAsia="Arial" w:cs="Arial"/>
                <w:color w:val="000000"/>
                <w:sz w:val="16"/>
                <w:szCs w:val="16"/>
              </w:rPr>
            </w:pPr>
          </w:p>
        </w:tc>
      </w:tr>
      <w:tr w:rsidR="004C477F" w:rsidRPr="004C477F" w14:paraId="57EA5A52" w14:textId="77777777" w:rsidTr="00C7729B">
        <w:trPr>
          <w:trHeight w:val="57"/>
          <w:jc w:val="center"/>
        </w:trPr>
        <w:tc>
          <w:tcPr>
            <w:tcW w:w="9480"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6DC5CA2F" w14:textId="6C7B53DD" w:rsidR="003F2AA2" w:rsidRPr="004C477F" w:rsidRDefault="004C477F" w:rsidP="00C7729B">
            <w:pPr>
              <w:widowControl w:val="0"/>
              <w:spacing w:line="276" w:lineRule="auto"/>
              <w:ind w:left="184"/>
              <w:jc w:val="center"/>
              <w:rPr>
                <w:rFonts w:eastAsia="Arial" w:cs="Arial"/>
                <w:color w:val="FFFFFF" w:themeColor="background1"/>
                <w:szCs w:val="22"/>
              </w:rPr>
            </w:pPr>
            <w:r w:rsidRPr="004C477F">
              <w:rPr>
                <w:b/>
                <w:color w:val="FFFFFF" w:themeColor="background1"/>
                <w:szCs w:val="22"/>
              </w:rPr>
              <w:t>Gobierno</w:t>
            </w:r>
          </w:p>
        </w:tc>
      </w:tr>
      <w:tr w:rsidR="004C477F" w:rsidRPr="004C477F" w14:paraId="320FA7FF" w14:textId="77777777" w:rsidTr="00C7729B">
        <w:trPr>
          <w:trHeight w:val="360"/>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497CF55"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Desarrollar 1 estrategia para aumentar la oferta cualitativa y cuantitativa de espacio público, para el uso goce y disfrute ciudadano con enfoque diferencial, género y poblacional</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F9DE06"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C76678"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6B2DEB7"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16D325"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1AF02EB" w14:textId="77777777" w:rsidR="003F2AA2" w:rsidRPr="004C477F" w:rsidRDefault="003F2AA2" w:rsidP="004C477F">
            <w:pPr>
              <w:widowControl w:val="0"/>
              <w:spacing w:line="276" w:lineRule="auto"/>
              <w:jc w:val="center"/>
              <w:rPr>
                <w:b/>
                <w:color w:val="000000"/>
                <w:sz w:val="16"/>
                <w:szCs w:val="16"/>
              </w:rPr>
            </w:pPr>
            <w:r w:rsidRPr="004C477F">
              <w:rPr>
                <w:b/>
                <w:color w:val="000000"/>
                <w:sz w:val="16"/>
                <w:szCs w:val="16"/>
              </w:rPr>
              <w:t>87.175.959.366</w:t>
            </w:r>
          </w:p>
        </w:tc>
      </w:tr>
      <w:tr w:rsidR="004C477F" w:rsidRPr="004C477F" w14:paraId="5843016E" w14:textId="77777777" w:rsidTr="00C7729B">
        <w:trPr>
          <w:trHeight w:val="36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1DACA514"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45A6AB"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9.150.000.000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179CA7"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31.092.233.010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E184CA"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30.186.633.990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B02D39"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16.747.092.366</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7DC3B6A6" w14:textId="77777777" w:rsidR="003F2AA2" w:rsidRPr="004C477F" w:rsidRDefault="003F2AA2" w:rsidP="004C477F">
            <w:pPr>
              <w:widowControl w:val="0"/>
              <w:spacing w:line="276" w:lineRule="auto"/>
              <w:jc w:val="left"/>
              <w:rPr>
                <w:rFonts w:eastAsia="Arial" w:cs="Arial"/>
                <w:color w:val="000000"/>
                <w:sz w:val="16"/>
                <w:szCs w:val="16"/>
              </w:rPr>
            </w:pPr>
          </w:p>
        </w:tc>
      </w:tr>
      <w:tr w:rsidR="004C477F" w:rsidRPr="004C477F" w14:paraId="3C88E440" w14:textId="77777777" w:rsidTr="00C7729B">
        <w:trPr>
          <w:trHeight w:val="113"/>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D9AAE02"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Impulsar 15 proyectos de bienestar con enfoque de género, poblacional y diferencial en espacios públicos.</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2123C6C"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2</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0A4CFD5"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5</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C5D4A0"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5</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7AEB7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BA74EDA" w14:textId="77777777" w:rsidR="003F2AA2" w:rsidRPr="004C477F" w:rsidRDefault="003F2AA2" w:rsidP="004C477F">
            <w:pPr>
              <w:widowControl w:val="0"/>
              <w:spacing w:line="276" w:lineRule="auto"/>
              <w:jc w:val="center"/>
              <w:rPr>
                <w:b/>
                <w:color w:val="000000"/>
                <w:sz w:val="16"/>
                <w:szCs w:val="16"/>
              </w:rPr>
            </w:pPr>
            <w:r w:rsidRPr="004C477F">
              <w:rPr>
                <w:b/>
                <w:color w:val="000000"/>
                <w:sz w:val="16"/>
                <w:szCs w:val="16"/>
              </w:rPr>
              <w:t>5.725.109.382</w:t>
            </w:r>
          </w:p>
        </w:tc>
      </w:tr>
      <w:tr w:rsidR="004C477F" w:rsidRPr="004C477F" w14:paraId="045CBBC9" w14:textId="77777777" w:rsidTr="00C7729B">
        <w:trPr>
          <w:trHeight w:val="57"/>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6AA94A08"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B8A0C7D"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800.000.000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0E13B7"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1.941.747.573</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9173A83"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1.885.191.818</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B2C5DC6"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1.098.169.991</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01658E2" w14:textId="77777777" w:rsidR="003F2AA2" w:rsidRPr="004C477F" w:rsidRDefault="003F2AA2" w:rsidP="004C477F">
            <w:pPr>
              <w:widowControl w:val="0"/>
              <w:spacing w:line="276" w:lineRule="auto"/>
              <w:jc w:val="left"/>
              <w:rPr>
                <w:rFonts w:eastAsia="Arial" w:cs="Arial"/>
                <w:color w:val="000000"/>
                <w:sz w:val="16"/>
                <w:szCs w:val="16"/>
              </w:rPr>
            </w:pPr>
          </w:p>
        </w:tc>
      </w:tr>
      <w:tr w:rsidR="004C477F" w:rsidRPr="004C477F" w14:paraId="3BA38C65" w14:textId="77777777" w:rsidTr="00C7729B">
        <w:trPr>
          <w:trHeight w:val="57"/>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49CADC9" w14:textId="75D3732B"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Ofertar 35 bienes fiscales del distrito capital para enajenación</w:t>
            </w:r>
            <w:r w:rsidR="00C7729B">
              <w:rPr>
                <w:color w:val="000000"/>
                <w:sz w:val="16"/>
                <w:szCs w:val="16"/>
              </w:rPr>
              <w:t>.</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C3F8D2"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5</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2D736C"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0B1B5A0"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C91883A"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10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623EF63" w14:textId="77777777" w:rsidR="003F2AA2" w:rsidRPr="004C477F" w:rsidRDefault="003F2AA2" w:rsidP="004C477F">
            <w:pPr>
              <w:widowControl w:val="0"/>
              <w:spacing w:line="276" w:lineRule="auto"/>
              <w:jc w:val="center"/>
              <w:rPr>
                <w:b/>
                <w:color w:val="000000"/>
                <w:sz w:val="16"/>
                <w:szCs w:val="16"/>
              </w:rPr>
            </w:pPr>
            <w:r w:rsidRPr="004C477F">
              <w:rPr>
                <w:b/>
                <w:color w:val="000000"/>
                <w:sz w:val="16"/>
                <w:szCs w:val="16"/>
              </w:rPr>
              <w:t>2.845.750.219</w:t>
            </w:r>
          </w:p>
        </w:tc>
      </w:tr>
      <w:tr w:rsidR="004C477F" w:rsidRPr="004C477F" w14:paraId="2093B035" w14:textId="77777777" w:rsidTr="00C7729B">
        <w:trPr>
          <w:trHeight w:val="57"/>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C4DD9F5" w14:textId="77777777" w:rsidR="003F2AA2" w:rsidRPr="004C477F" w:rsidRDefault="003F2AA2" w:rsidP="004C477F">
            <w:pPr>
              <w:widowControl w:val="0"/>
              <w:spacing w:line="276" w:lineRule="auto"/>
              <w:ind w:left="184" w:right="191"/>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1AF48A0"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300.000.000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C81D394"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873.786.408</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B9EAA1B"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848.336.318</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0F0C9BE" w14:textId="77777777" w:rsidR="003F2AA2" w:rsidRPr="004C477F" w:rsidRDefault="003F2AA2" w:rsidP="004C477F">
            <w:pPr>
              <w:widowControl w:val="0"/>
              <w:spacing w:line="276" w:lineRule="auto"/>
              <w:jc w:val="right"/>
              <w:rPr>
                <w:rFonts w:eastAsia="Arial" w:cs="Arial"/>
                <w:color w:val="000000"/>
                <w:sz w:val="16"/>
                <w:szCs w:val="16"/>
              </w:rPr>
            </w:pPr>
            <w:r w:rsidRPr="004C477F">
              <w:rPr>
                <w:color w:val="000000"/>
                <w:sz w:val="16"/>
                <w:szCs w:val="16"/>
              </w:rPr>
              <w:t>823.627.493</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078424A" w14:textId="77777777" w:rsidR="003F2AA2" w:rsidRPr="004C477F" w:rsidRDefault="003F2AA2" w:rsidP="004C477F">
            <w:pPr>
              <w:widowControl w:val="0"/>
              <w:spacing w:line="276" w:lineRule="auto"/>
              <w:jc w:val="left"/>
              <w:rPr>
                <w:rFonts w:eastAsia="Arial" w:cs="Arial"/>
                <w:color w:val="000000"/>
                <w:sz w:val="16"/>
                <w:szCs w:val="16"/>
              </w:rPr>
            </w:pPr>
          </w:p>
        </w:tc>
      </w:tr>
      <w:tr w:rsidR="004C477F" w:rsidRPr="004C477F" w14:paraId="16C84B80" w14:textId="77777777" w:rsidTr="00C7729B">
        <w:trPr>
          <w:trHeight w:val="57"/>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CDB91E2"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Realizar 20 ejercicios demostrativos de apropiación de predios públicos, por medio de procesos formativos y acciones concretas en sitios críticos, impulsando la participación ciudadana para fortalecer el cuidado, la rehabilitación y la sostenibilidad del Espacio Público.</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786C05"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CD4E6F7"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AD61FB"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94A24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4</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D21DA80"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9.527.427.253</w:t>
            </w:r>
          </w:p>
        </w:tc>
      </w:tr>
      <w:tr w:rsidR="004C477F" w:rsidRPr="004C477F" w14:paraId="452FCF23" w14:textId="77777777" w:rsidTr="00C7729B">
        <w:trPr>
          <w:trHeight w:val="57"/>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1D052FAA"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024F2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1.000.000.000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2A315BB"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3.398.058.252</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585984D"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3.299.085.682</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13094FF"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1.830.283.319</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3FD0B801" w14:textId="77777777" w:rsidR="003F2AA2" w:rsidRPr="004C477F" w:rsidRDefault="003F2AA2" w:rsidP="00C7729B">
            <w:pPr>
              <w:widowControl w:val="0"/>
              <w:spacing w:line="276" w:lineRule="auto"/>
              <w:jc w:val="right"/>
              <w:rPr>
                <w:rFonts w:eastAsia="Arial" w:cs="Arial"/>
                <w:color w:val="000000"/>
                <w:sz w:val="16"/>
                <w:szCs w:val="16"/>
              </w:rPr>
            </w:pPr>
          </w:p>
        </w:tc>
      </w:tr>
      <w:tr w:rsidR="00C7729B" w:rsidRPr="00C7729B" w14:paraId="303F7125" w14:textId="77777777" w:rsidTr="00C7729B">
        <w:trPr>
          <w:trHeight w:val="57"/>
          <w:jc w:val="center"/>
        </w:trPr>
        <w:tc>
          <w:tcPr>
            <w:tcW w:w="9480"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562A4FAD" w14:textId="0E2CEDD1" w:rsidR="003F2AA2" w:rsidRPr="00C7729B" w:rsidRDefault="00C7729B" w:rsidP="00C7729B">
            <w:pPr>
              <w:widowControl w:val="0"/>
              <w:spacing w:line="276" w:lineRule="auto"/>
              <w:ind w:left="184"/>
              <w:jc w:val="center"/>
              <w:rPr>
                <w:rFonts w:eastAsia="Arial" w:cs="Arial"/>
                <w:color w:val="FFFFFF" w:themeColor="background1"/>
                <w:szCs w:val="22"/>
              </w:rPr>
            </w:pPr>
            <w:r w:rsidRPr="00C7729B">
              <w:rPr>
                <w:b/>
                <w:color w:val="FFFFFF" w:themeColor="background1"/>
                <w:szCs w:val="22"/>
              </w:rPr>
              <w:t>Hábitat</w:t>
            </w:r>
          </w:p>
        </w:tc>
      </w:tr>
      <w:tr w:rsidR="004C477F" w:rsidRPr="004C477F" w14:paraId="6EFDE17F" w14:textId="77777777" w:rsidTr="00C7729B">
        <w:trPr>
          <w:trHeight w:val="57"/>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CE4755B"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 xml:space="preserve">Construir 3 Ha de espacio público en los </w:t>
            </w:r>
            <w:r w:rsidRPr="004C477F">
              <w:rPr>
                <w:color w:val="000000"/>
                <w:sz w:val="16"/>
                <w:szCs w:val="16"/>
              </w:rPr>
              <w:lastRenderedPageBreak/>
              <w:t>territorios priorizados para Mejoramiento Integral de Barrios, con el fin de promover espacios seguros</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76E087"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lastRenderedPageBreak/>
              <w:t>0,15</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29064EB"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0,76</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7C8F52"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1,14</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9311AF"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0,96</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E1A38B3"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103.314.521.829</w:t>
            </w:r>
          </w:p>
        </w:tc>
      </w:tr>
      <w:tr w:rsidR="004C477F" w:rsidRPr="004C477F" w14:paraId="012CC7BB" w14:textId="77777777" w:rsidTr="00C7729B">
        <w:trPr>
          <w:trHeight w:val="57"/>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1CC0C75D"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AAD08F0"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16.159.608.525</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3CA3F9"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24.194.174.757</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6B578E"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35.234.235.083</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0AC318"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27.726.503.463</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74EB47C2" w14:textId="77777777" w:rsidR="003F2AA2" w:rsidRPr="004C477F" w:rsidRDefault="003F2AA2" w:rsidP="00C7729B">
            <w:pPr>
              <w:widowControl w:val="0"/>
              <w:spacing w:line="276" w:lineRule="auto"/>
              <w:jc w:val="right"/>
              <w:rPr>
                <w:rFonts w:eastAsia="Arial" w:cs="Arial"/>
                <w:color w:val="000000"/>
                <w:sz w:val="16"/>
                <w:szCs w:val="16"/>
              </w:rPr>
            </w:pPr>
          </w:p>
        </w:tc>
      </w:tr>
      <w:tr w:rsidR="004C477F" w:rsidRPr="004C477F" w14:paraId="4BA33FF7" w14:textId="77777777" w:rsidTr="00C7729B">
        <w:trPr>
          <w:trHeight w:val="170"/>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DF6F3ED"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Intervenir 18 polígonos de intervención integral de espacio público, y revitalización para la promoción de espacios públicos seguros.</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5F89E4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0,90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DC93DF"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2,70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221A94D"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7,20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068E04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7,20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2705CC2"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200.876.074.709</w:t>
            </w:r>
          </w:p>
        </w:tc>
      </w:tr>
      <w:tr w:rsidR="004C477F" w:rsidRPr="004C477F" w14:paraId="4D33C2E9" w14:textId="77777777" w:rsidTr="00C7729B">
        <w:trPr>
          <w:trHeight w:val="17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50D9B721"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534301"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5.466.000.000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43E6B48"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64.229.126.214</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A694E6"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74.083.325.478</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AB4367"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57.097.623.017</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73458607" w14:textId="77777777" w:rsidR="003F2AA2" w:rsidRPr="004C477F" w:rsidRDefault="003F2AA2" w:rsidP="00C7729B">
            <w:pPr>
              <w:widowControl w:val="0"/>
              <w:spacing w:line="276" w:lineRule="auto"/>
              <w:jc w:val="right"/>
              <w:rPr>
                <w:rFonts w:eastAsia="Arial" w:cs="Arial"/>
                <w:color w:val="000000"/>
                <w:sz w:val="16"/>
                <w:szCs w:val="16"/>
              </w:rPr>
            </w:pPr>
          </w:p>
        </w:tc>
      </w:tr>
      <w:tr w:rsidR="004C477F" w:rsidRPr="004C477F" w14:paraId="11FC10B2" w14:textId="77777777" w:rsidTr="00C7729B">
        <w:trPr>
          <w:trHeight w:val="170"/>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5C954F6" w14:textId="77777777" w:rsidR="003F2AA2" w:rsidRPr="004C477F" w:rsidRDefault="003F2AA2" w:rsidP="00C7729B">
            <w:pPr>
              <w:ind w:left="184" w:right="191"/>
              <w:jc w:val="right"/>
              <w:rPr>
                <w:sz w:val="16"/>
                <w:szCs w:val="16"/>
              </w:rPr>
            </w:pPr>
            <w:r w:rsidRPr="004C477F">
              <w:rPr>
                <w:sz w:val="16"/>
                <w:szCs w:val="16"/>
              </w:rPr>
              <w:t>Realizar el 100% de las actividades para garantizar la prestación del servicio de alumbrado público</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7CD45EC"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9003F70"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98E50DA"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3C098A2"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EAC45BB" w14:textId="77777777" w:rsidR="003F2AA2" w:rsidRPr="004C477F" w:rsidRDefault="003F2AA2" w:rsidP="00C7729B">
            <w:pPr>
              <w:jc w:val="right"/>
              <w:rPr>
                <w:sz w:val="16"/>
                <w:szCs w:val="16"/>
              </w:rPr>
            </w:pPr>
            <w:r w:rsidRPr="004C477F">
              <w:rPr>
                <w:sz w:val="16"/>
                <w:szCs w:val="16"/>
              </w:rPr>
              <w:t>112.989.552.285</w:t>
            </w:r>
          </w:p>
        </w:tc>
      </w:tr>
      <w:tr w:rsidR="004C477F" w:rsidRPr="004C477F" w14:paraId="1A966960" w14:textId="77777777" w:rsidTr="00C7729B">
        <w:trPr>
          <w:trHeight w:val="17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0E193683"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4CFBC1"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12.500.000.000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C6315D9"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35.417.475.728</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49EDB0"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44.066.830.050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F305A31"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21.005.246.507</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2D01012A" w14:textId="77777777" w:rsidR="003F2AA2" w:rsidRPr="004C477F" w:rsidRDefault="003F2AA2" w:rsidP="00C7729B">
            <w:pPr>
              <w:widowControl w:val="0"/>
              <w:spacing w:line="276" w:lineRule="auto"/>
              <w:jc w:val="right"/>
              <w:rPr>
                <w:rFonts w:eastAsia="Arial" w:cs="Arial"/>
                <w:color w:val="000000"/>
                <w:sz w:val="16"/>
                <w:szCs w:val="16"/>
              </w:rPr>
            </w:pPr>
          </w:p>
        </w:tc>
      </w:tr>
      <w:tr w:rsidR="004C477F" w:rsidRPr="004C477F" w14:paraId="45B9A7E8" w14:textId="77777777" w:rsidTr="00C7729B">
        <w:trPr>
          <w:trHeight w:val="170"/>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755356F"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Reducir 100 puntos de arrojo clandestino de residuos sólidos, pasando de 700 a 600 puntos.</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AEFA796"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FCEB2E"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670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D6F456"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640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4688305"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600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87759B7"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222.880.590.033</w:t>
            </w:r>
          </w:p>
        </w:tc>
      </w:tr>
      <w:tr w:rsidR="004C477F" w:rsidRPr="004C477F" w14:paraId="704EDBC8" w14:textId="77777777" w:rsidTr="00C7729B">
        <w:trPr>
          <w:trHeight w:val="17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7E6B54BB"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69E87E3"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70.664.740.146</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ACFF658"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57.000.000.000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72A509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51.004.807.239</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D6229F7"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44.211.042.648</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09F0A74D" w14:textId="77777777" w:rsidR="003F2AA2" w:rsidRPr="004C477F" w:rsidRDefault="003F2AA2" w:rsidP="00C7729B">
            <w:pPr>
              <w:widowControl w:val="0"/>
              <w:spacing w:line="276" w:lineRule="auto"/>
              <w:jc w:val="right"/>
              <w:rPr>
                <w:rFonts w:eastAsia="Arial" w:cs="Arial"/>
                <w:color w:val="000000"/>
                <w:sz w:val="16"/>
                <w:szCs w:val="16"/>
              </w:rPr>
            </w:pPr>
          </w:p>
        </w:tc>
      </w:tr>
      <w:tr w:rsidR="003F2AA2" w:rsidRPr="004C477F" w14:paraId="25B70EB9" w14:textId="77777777" w:rsidTr="00C7729B">
        <w:trPr>
          <w:trHeight w:val="450"/>
          <w:jc w:val="center"/>
        </w:trPr>
        <w:tc>
          <w:tcPr>
            <w:tcW w:w="9480"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1C528B4F" w14:textId="3D81E455" w:rsidR="003F2AA2" w:rsidRPr="00C7729B" w:rsidRDefault="00C7729B" w:rsidP="00C7729B">
            <w:pPr>
              <w:widowControl w:val="0"/>
              <w:spacing w:line="276" w:lineRule="auto"/>
              <w:ind w:left="184"/>
              <w:jc w:val="center"/>
              <w:rPr>
                <w:rFonts w:eastAsia="Arial" w:cs="Arial"/>
                <w:color w:val="FFFFFF" w:themeColor="background1"/>
                <w:szCs w:val="22"/>
              </w:rPr>
            </w:pPr>
            <w:r w:rsidRPr="00C7729B">
              <w:rPr>
                <w:b/>
                <w:color w:val="FFFFFF" w:themeColor="background1"/>
                <w:szCs w:val="22"/>
              </w:rPr>
              <w:t>Movilidad</w:t>
            </w:r>
          </w:p>
        </w:tc>
      </w:tr>
      <w:tr w:rsidR="004C477F" w:rsidRPr="004C477F" w14:paraId="727484A5" w14:textId="77777777" w:rsidTr="00C7729B">
        <w:trPr>
          <w:trHeight w:val="113"/>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ABC8B72"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Conservar 1.120.000 m2 de la red de infraestructura peatonal</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3E961E"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16.853</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11C08F"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387.023</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15089C"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362.603</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F840A2"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353.521</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9D45959"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277.405.623.020</w:t>
            </w:r>
          </w:p>
        </w:tc>
      </w:tr>
      <w:tr w:rsidR="004C477F" w:rsidRPr="004C477F" w14:paraId="197D5E09" w14:textId="77777777" w:rsidTr="00C7729B">
        <w:trPr>
          <w:trHeight w:val="113"/>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B119B8F" w14:textId="77777777" w:rsidR="003F2AA2" w:rsidRPr="004C477F" w:rsidRDefault="003F2AA2" w:rsidP="004C477F">
            <w:pPr>
              <w:widowControl w:val="0"/>
              <w:spacing w:line="276" w:lineRule="auto"/>
              <w:ind w:left="184" w:right="191"/>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89B342"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17.238.000.000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6AEE3FC"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87.493.203.883</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E6D21E0"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88.509.755.868</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BB9545D"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84.164.663.269</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5FE619EC" w14:textId="77777777" w:rsidR="003F2AA2" w:rsidRPr="004C477F" w:rsidRDefault="003F2AA2" w:rsidP="00C7729B">
            <w:pPr>
              <w:widowControl w:val="0"/>
              <w:spacing w:line="276" w:lineRule="auto"/>
              <w:jc w:val="right"/>
              <w:rPr>
                <w:rFonts w:eastAsia="Arial" w:cs="Arial"/>
                <w:color w:val="000000"/>
                <w:sz w:val="16"/>
                <w:szCs w:val="16"/>
              </w:rPr>
            </w:pPr>
          </w:p>
        </w:tc>
      </w:tr>
      <w:tr w:rsidR="004C477F" w:rsidRPr="004C477F" w14:paraId="4EDEE449" w14:textId="77777777" w:rsidTr="00C7729B">
        <w:trPr>
          <w:trHeight w:val="113"/>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tcPr>
          <w:p w14:paraId="798D36F0" w14:textId="77777777" w:rsidR="003F2AA2" w:rsidRPr="004C477F" w:rsidRDefault="003F2AA2" w:rsidP="004C477F">
            <w:pPr>
              <w:widowControl w:val="0"/>
              <w:spacing w:line="276" w:lineRule="auto"/>
              <w:ind w:left="184" w:right="191"/>
              <w:rPr>
                <w:color w:val="000000"/>
                <w:sz w:val="16"/>
                <w:szCs w:val="16"/>
              </w:rPr>
            </w:pPr>
            <w:r w:rsidRPr="004C477F">
              <w:rPr>
                <w:color w:val="000000"/>
                <w:sz w:val="16"/>
                <w:szCs w:val="16"/>
              </w:rPr>
              <w:t>Conservar 126 enlaces de la red de espacio público para la movilidad multimodal (pasos peatonales seguros ciclopuentes)</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8193D1"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B1091DE"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38</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B8BC6E"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42</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B21861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46</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02176FE"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104.231.587.096</w:t>
            </w:r>
          </w:p>
        </w:tc>
      </w:tr>
      <w:tr w:rsidR="004C477F" w:rsidRPr="004C477F" w14:paraId="7F924606" w14:textId="77777777" w:rsidTr="00C7729B">
        <w:trPr>
          <w:trHeight w:val="113"/>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7E8A1A7" w14:textId="77777777" w:rsidR="003F2AA2" w:rsidRPr="004C477F" w:rsidRDefault="003F2AA2" w:rsidP="004C477F">
            <w:pPr>
              <w:widowControl w:val="0"/>
              <w:spacing w:line="276" w:lineRule="auto"/>
              <w:ind w:left="184" w:right="191"/>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8E7B68"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10.999.000.000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21024B"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29.250.485.437</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061FC52"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31.104.722.406</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A19A00B"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32.877.379.254</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041DA010" w14:textId="77777777" w:rsidR="003F2AA2" w:rsidRPr="004C477F" w:rsidRDefault="003F2AA2" w:rsidP="00C7729B">
            <w:pPr>
              <w:widowControl w:val="0"/>
              <w:spacing w:line="276" w:lineRule="auto"/>
              <w:jc w:val="right"/>
              <w:rPr>
                <w:rFonts w:eastAsia="Arial" w:cs="Arial"/>
                <w:color w:val="000000"/>
                <w:sz w:val="16"/>
                <w:szCs w:val="16"/>
              </w:rPr>
            </w:pPr>
          </w:p>
        </w:tc>
      </w:tr>
      <w:tr w:rsidR="004C477F" w:rsidRPr="004C477F" w14:paraId="364BF54C" w14:textId="77777777" w:rsidTr="00C7729B">
        <w:trPr>
          <w:trHeight w:val="170"/>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9954792"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Construir 417.460 m2 de Espacio Público</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E77B63"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100.189</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756C83"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133.588</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D0DED7"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96.016</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01C4AF"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87.667</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6E33A99" w14:textId="77777777" w:rsidR="003F2AA2" w:rsidRPr="004C477F" w:rsidRDefault="003F2AA2" w:rsidP="00C7729B">
            <w:pPr>
              <w:widowControl w:val="0"/>
              <w:spacing w:line="276" w:lineRule="auto"/>
              <w:jc w:val="right"/>
              <w:rPr>
                <w:b/>
                <w:color w:val="000000"/>
                <w:sz w:val="16"/>
                <w:szCs w:val="16"/>
              </w:rPr>
            </w:pPr>
            <w:r w:rsidRPr="004C477F">
              <w:rPr>
                <w:b/>
                <w:color w:val="000000"/>
                <w:sz w:val="16"/>
                <w:szCs w:val="16"/>
              </w:rPr>
              <w:t>457.904.781.257</w:t>
            </w:r>
          </w:p>
        </w:tc>
      </w:tr>
      <w:tr w:rsidR="004C477F" w:rsidRPr="004C477F" w14:paraId="4B089EA9" w14:textId="77777777" w:rsidTr="00C7729B">
        <w:trPr>
          <w:trHeight w:val="17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B0E25CD" w14:textId="77777777" w:rsidR="003F2AA2" w:rsidRPr="004C477F" w:rsidRDefault="003F2AA2" w:rsidP="004C477F">
            <w:pPr>
              <w:widowControl w:val="0"/>
              <w:spacing w:line="276" w:lineRule="auto"/>
              <w:ind w:left="184" w:right="191"/>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CCDE00"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260.167.000.000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66D6624"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82.063.106.796</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DF43923"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59.692.713.734</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D40C72F" w14:textId="77777777" w:rsidR="003F2AA2" w:rsidRPr="004C477F" w:rsidRDefault="003F2AA2" w:rsidP="00C7729B">
            <w:pPr>
              <w:widowControl w:val="0"/>
              <w:spacing w:line="276" w:lineRule="auto"/>
              <w:jc w:val="right"/>
              <w:rPr>
                <w:rFonts w:eastAsia="Arial" w:cs="Arial"/>
                <w:color w:val="000000"/>
                <w:sz w:val="16"/>
                <w:szCs w:val="16"/>
              </w:rPr>
            </w:pPr>
            <w:r w:rsidRPr="004C477F">
              <w:rPr>
                <w:color w:val="000000"/>
                <w:sz w:val="16"/>
                <w:szCs w:val="16"/>
              </w:rPr>
              <w:t>55.981.960.728</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79263D3F" w14:textId="77777777" w:rsidR="003F2AA2" w:rsidRPr="004C477F" w:rsidRDefault="003F2AA2" w:rsidP="004C477F">
            <w:pPr>
              <w:widowControl w:val="0"/>
              <w:spacing w:line="276" w:lineRule="auto"/>
              <w:jc w:val="left"/>
              <w:rPr>
                <w:rFonts w:eastAsia="Arial" w:cs="Arial"/>
                <w:color w:val="000000"/>
                <w:sz w:val="16"/>
                <w:szCs w:val="16"/>
              </w:rPr>
            </w:pPr>
          </w:p>
        </w:tc>
      </w:tr>
      <w:tr w:rsidR="003F2AA2" w:rsidRPr="004C477F" w14:paraId="4A48BF43" w14:textId="77777777" w:rsidTr="00C7729B">
        <w:trPr>
          <w:trHeight w:val="315"/>
          <w:jc w:val="center"/>
        </w:trPr>
        <w:tc>
          <w:tcPr>
            <w:tcW w:w="9480"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24BB8E24" w14:textId="11CBA81E" w:rsidR="003F2AA2" w:rsidRPr="00C7729B" w:rsidRDefault="00C7729B" w:rsidP="00C7729B">
            <w:pPr>
              <w:widowControl w:val="0"/>
              <w:spacing w:line="276" w:lineRule="auto"/>
              <w:ind w:left="184"/>
              <w:jc w:val="center"/>
              <w:rPr>
                <w:rFonts w:eastAsia="Arial" w:cs="Arial"/>
                <w:color w:val="FFFFFF" w:themeColor="background1"/>
                <w:szCs w:val="22"/>
              </w:rPr>
            </w:pPr>
            <w:r w:rsidRPr="00C7729B">
              <w:rPr>
                <w:b/>
                <w:color w:val="FFFFFF" w:themeColor="background1"/>
                <w:szCs w:val="22"/>
              </w:rPr>
              <w:t>Seguridad convivencia y justicia</w:t>
            </w:r>
          </w:p>
        </w:tc>
      </w:tr>
      <w:tr w:rsidR="004C477F" w:rsidRPr="004C477F" w14:paraId="23F8C6B1" w14:textId="77777777" w:rsidTr="00C7729B">
        <w:trPr>
          <w:trHeight w:val="283"/>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3DE526B"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Implementar el modelo integrado para la gestión de la convivencia y seguridad en los territorios</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30CADFB"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269</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7B7196"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309</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C18DEA"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356</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66E1EC0"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500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99E964D" w14:textId="77777777" w:rsidR="003F2AA2" w:rsidRPr="004C477F" w:rsidRDefault="003F2AA2" w:rsidP="004C477F">
            <w:pPr>
              <w:widowControl w:val="0"/>
              <w:spacing w:line="276" w:lineRule="auto"/>
              <w:jc w:val="center"/>
              <w:rPr>
                <w:b/>
                <w:color w:val="000000"/>
                <w:sz w:val="16"/>
                <w:szCs w:val="16"/>
              </w:rPr>
            </w:pPr>
            <w:r w:rsidRPr="004C477F">
              <w:rPr>
                <w:b/>
                <w:color w:val="000000"/>
                <w:sz w:val="16"/>
                <w:szCs w:val="16"/>
              </w:rPr>
              <w:t>26.694.824.850</w:t>
            </w:r>
          </w:p>
        </w:tc>
      </w:tr>
      <w:tr w:rsidR="004C477F" w:rsidRPr="004C477F" w14:paraId="3577FDB6" w14:textId="77777777" w:rsidTr="00C7729B">
        <w:trPr>
          <w:trHeight w:val="283"/>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19EB290E" w14:textId="77777777" w:rsidR="003F2AA2" w:rsidRPr="004C477F" w:rsidRDefault="003F2AA2" w:rsidP="00C7729B">
            <w:pPr>
              <w:widowControl w:val="0"/>
              <w:spacing w:line="276" w:lineRule="auto"/>
              <w:ind w:left="184" w:right="191"/>
              <w:jc w:val="right"/>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92ACC4"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17.263.320.000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FABB43"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3.300.970.874</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3EECE15"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3.110.566.500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B64E62D"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3.019.967.476</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8DF316D" w14:textId="77777777" w:rsidR="003F2AA2" w:rsidRPr="004C477F" w:rsidRDefault="003F2AA2" w:rsidP="004C477F">
            <w:pPr>
              <w:widowControl w:val="0"/>
              <w:spacing w:line="276" w:lineRule="auto"/>
              <w:jc w:val="left"/>
              <w:rPr>
                <w:rFonts w:eastAsia="Arial" w:cs="Arial"/>
                <w:color w:val="000000"/>
                <w:sz w:val="16"/>
                <w:szCs w:val="16"/>
              </w:rPr>
            </w:pPr>
          </w:p>
        </w:tc>
      </w:tr>
      <w:tr w:rsidR="004C477F" w:rsidRPr="004C477F" w14:paraId="67B8EE49" w14:textId="77777777" w:rsidTr="00C7729B">
        <w:trPr>
          <w:trHeight w:val="20"/>
          <w:jc w:val="center"/>
        </w:trPr>
        <w:tc>
          <w:tcPr>
            <w:tcW w:w="3261"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74D0429" w14:textId="77777777" w:rsidR="003F2AA2" w:rsidRPr="004C477F" w:rsidRDefault="003F2AA2" w:rsidP="00C7729B">
            <w:pPr>
              <w:widowControl w:val="0"/>
              <w:spacing w:line="276" w:lineRule="auto"/>
              <w:ind w:left="184" w:right="191"/>
              <w:jc w:val="right"/>
              <w:rPr>
                <w:color w:val="000000"/>
                <w:sz w:val="16"/>
                <w:szCs w:val="16"/>
              </w:rPr>
            </w:pPr>
            <w:r w:rsidRPr="004C477F">
              <w:rPr>
                <w:color w:val="000000"/>
                <w:sz w:val="16"/>
                <w:szCs w:val="16"/>
              </w:rPr>
              <w:t>Incrementar en 2.000 efectivos el pie de fuerza policial de la MEBOG con base en un acuerdo de cooperación Gobierno Nacional - Distrito Capital.</w:t>
            </w: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A578F4"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71DFD3D"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500</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488C369"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1.000</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BD5A1A"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2.000</w:t>
            </w:r>
          </w:p>
        </w:tc>
        <w:tc>
          <w:tcPr>
            <w:tcW w:w="1230"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43671CE" w14:textId="77777777" w:rsidR="003F2AA2" w:rsidRPr="004C477F" w:rsidRDefault="003F2AA2" w:rsidP="004C477F">
            <w:pPr>
              <w:widowControl w:val="0"/>
              <w:spacing w:line="276" w:lineRule="auto"/>
              <w:jc w:val="center"/>
              <w:rPr>
                <w:b/>
                <w:color w:val="000000"/>
                <w:sz w:val="16"/>
                <w:szCs w:val="16"/>
              </w:rPr>
            </w:pPr>
            <w:r w:rsidRPr="004C477F">
              <w:rPr>
                <w:b/>
                <w:color w:val="000000"/>
                <w:sz w:val="16"/>
                <w:szCs w:val="16"/>
              </w:rPr>
              <w:t>321.018.208.868</w:t>
            </w:r>
          </w:p>
        </w:tc>
      </w:tr>
      <w:tr w:rsidR="004C477F" w:rsidRPr="004C477F" w14:paraId="52E083F2" w14:textId="77777777" w:rsidTr="00C7729B">
        <w:trPr>
          <w:trHeight w:val="20"/>
          <w:jc w:val="center"/>
        </w:trPr>
        <w:tc>
          <w:tcPr>
            <w:tcW w:w="3261"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C9A4980" w14:textId="77777777" w:rsidR="003F2AA2" w:rsidRPr="004C477F" w:rsidRDefault="003F2AA2" w:rsidP="004C477F">
            <w:pPr>
              <w:widowControl w:val="0"/>
              <w:spacing w:line="276" w:lineRule="auto"/>
              <w:ind w:left="184" w:right="191"/>
              <w:rPr>
                <w:rFonts w:eastAsia="Arial" w:cs="Arial"/>
                <w:color w:val="000000"/>
                <w:sz w:val="16"/>
                <w:szCs w:val="16"/>
              </w:rPr>
            </w:pPr>
          </w:p>
        </w:tc>
        <w:tc>
          <w:tcPr>
            <w:tcW w:w="1209"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028B52"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0</w:t>
            </w:r>
          </w:p>
        </w:tc>
        <w:tc>
          <w:tcPr>
            <w:tcW w:w="1200"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AA777C5"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46.963.367.961</w:t>
            </w:r>
          </w:p>
        </w:tc>
        <w:tc>
          <w:tcPr>
            <w:tcW w:w="136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5AA9622"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88.008.801.961</w:t>
            </w:r>
          </w:p>
        </w:tc>
        <w:tc>
          <w:tcPr>
            <w:tcW w:w="121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4E80D4" w14:textId="77777777" w:rsidR="003F2AA2" w:rsidRPr="004C477F" w:rsidRDefault="003F2AA2" w:rsidP="004C477F">
            <w:pPr>
              <w:widowControl w:val="0"/>
              <w:spacing w:line="276" w:lineRule="auto"/>
              <w:jc w:val="center"/>
              <w:rPr>
                <w:rFonts w:eastAsia="Arial" w:cs="Arial"/>
                <w:color w:val="000000"/>
                <w:sz w:val="16"/>
                <w:szCs w:val="16"/>
              </w:rPr>
            </w:pPr>
            <w:r w:rsidRPr="004C477F">
              <w:rPr>
                <w:color w:val="000000"/>
                <w:sz w:val="16"/>
                <w:szCs w:val="16"/>
              </w:rPr>
              <w:t>186.046.038.947</w:t>
            </w:r>
          </w:p>
        </w:tc>
        <w:tc>
          <w:tcPr>
            <w:tcW w:w="1230"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AB0FCD6" w14:textId="77777777" w:rsidR="003F2AA2" w:rsidRPr="004C477F" w:rsidRDefault="003F2AA2" w:rsidP="004C477F">
            <w:pPr>
              <w:widowControl w:val="0"/>
              <w:spacing w:line="276" w:lineRule="auto"/>
              <w:jc w:val="left"/>
              <w:rPr>
                <w:rFonts w:eastAsia="Arial" w:cs="Arial"/>
                <w:color w:val="000000"/>
                <w:sz w:val="16"/>
                <w:szCs w:val="16"/>
              </w:rPr>
            </w:pPr>
          </w:p>
        </w:tc>
      </w:tr>
    </w:tbl>
    <w:p w14:paraId="0A32AB77" w14:textId="77777777" w:rsidR="003F2AA2" w:rsidRPr="004C477F" w:rsidRDefault="003F2AA2" w:rsidP="003F2AA2">
      <w:pPr>
        <w:pBdr>
          <w:top w:val="nil"/>
          <w:left w:val="nil"/>
          <w:bottom w:val="nil"/>
          <w:right w:val="nil"/>
          <w:between w:val="nil"/>
        </w:pBdr>
        <w:spacing w:line="220" w:lineRule="auto"/>
        <w:jc w:val="center"/>
        <w:rPr>
          <w:sz w:val="16"/>
          <w:szCs w:val="16"/>
        </w:rPr>
      </w:pPr>
    </w:p>
    <w:p w14:paraId="7DFAAAF7" w14:textId="77777777" w:rsidR="003F2AA2" w:rsidRDefault="003F2AA2" w:rsidP="004C477F">
      <w:pPr>
        <w:pBdr>
          <w:top w:val="nil"/>
          <w:left w:val="nil"/>
          <w:bottom w:val="nil"/>
          <w:right w:val="nil"/>
          <w:between w:val="nil"/>
        </w:pBdr>
        <w:spacing w:line="220" w:lineRule="auto"/>
        <w:rPr>
          <w:sz w:val="18"/>
          <w:szCs w:val="18"/>
        </w:rPr>
      </w:pPr>
    </w:p>
    <w:p w14:paraId="147DB23B" w14:textId="77777777" w:rsidR="003F2AA2" w:rsidRDefault="003F2AA2" w:rsidP="003F2AA2">
      <w:pPr>
        <w:spacing w:line="240" w:lineRule="auto"/>
        <w:jc w:val="left"/>
        <w:rPr>
          <w:b/>
          <w:color w:val="C00000"/>
          <w:sz w:val="28"/>
          <w:szCs w:val="28"/>
        </w:rPr>
      </w:pPr>
      <w:r>
        <w:br w:type="page"/>
      </w:r>
    </w:p>
    <w:p w14:paraId="352B3582" w14:textId="584EE708" w:rsidR="003F2AA2" w:rsidRDefault="003F2AA2" w:rsidP="00B77AC5">
      <w:pPr>
        <w:pStyle w:val="NIVEL4"/>
        <w:spacing w:line="240" w:lineRule="auto"/>
      </w:pPr>
      <w:bookmarkStart w:id="218" w:name="_Toc165169762"/>
      <w:r>
        <w:rPr>
          <w:color w:val="C00000"/>
        </w:rPr>
        <w:lastRenderedPageBreak/>
        <w:t xml:space="preserve">Programa 6: </w:t>
      </w:r>
      <w:r>
        <w:t>Movilidad segura e inclusiva</w:t>
      </w:r>
      <w:bookmarkEnd w:id="218"/>
    </w:p>
    <w:p w14:paraId="55B09F48" w14:textId="54249F12" w:rsidR="003F2AA2" w:rsidRPr="00B213CA" w:rsidRDefault="00B213CA" w:rsidP="00B77AC5">
      <w:pPr>
        <w:keepNext/>
        <w:keepLines/>
        <w:pBdr>
          <w:top w:val="nil"/>
          <w:left w:val="nil"/>
          <w:bottom w:val="nil"/>
          <w:right w:val="nil"/>
          <w:between w:val="nil"/>
        </w:pBdr>
        <w:spacing w:line="240" w:lineRule="auto"/>
        <w:ind w:left="708"/>
        <w:jc w:val="left"/>
        <w:rPr>
          <w:b/>
          <w:color w:val="3B3838"/>
          <w:sz w:val="24"/>
          <w:u w:val="single"/>
        </w:rPr>
        <w:sectPr w:rsidR="003F2AA2" w:rsidRPr="00B213CA" w:rsidSect="00F7078E">
          <w:type w:val="continuous"/>
          <w:pgSz w:w="12240" w:h="15840"/>
          <w:pgMar w:top="2262" w:right="1440" w:bottom="1440" w:left="1440" w:header="708" w:footer="708" w:gutter="0"/>
          <w:cols w:space="720"/>
        </w:sectPr>
      </w:pPr>
      <w:r>
        <w:rPr>
          <w:b/>
          <w:color w:val="3B3838"/>
          <w:sz w:val="24"/>
        </w:rPr>
        <w:br/>
      </w:r>
      <w:r w:rsidR="003F2AA2" w:rsidRPr="00B213CA">
        <w:rPr>
          <w:b/>
          <w:color w:val="3B3838"/>
          <w:sz w:val="24"/>
        </w:rPr>
        <w:t>Diagnóstico</w:t>
      </w:r>
    </w:p>
    <w:p w14:paraId="73DB6BF0" w14:textId="77777777" w:rsidR="003F2AA2" w:rsidRDefault="003F2AA2" w:rsidP="003F2AA2">
      <w:r>
        <w:t>La movilidad fluida y segura es esencial para un buen disfrute de la ciudad. Cuando esto no se da así, se reduce el tiempo para disfrutar de esta, de compartir con la familia, aumentan los tiempos para el desplazamiento para otras actividades. Y en paralelo, se generan situaciones de inseguridad y aumento de percepción de la misma en los diferentes espacios de convivencia.</w:t>
      </w:r>
    </w:p>
    <w:p w14:paraId="43C8CDC6" w14:textId="77777777" w:rsidR="003F2AA2" w:rsidRDefault="003F2AA2" w:rsidP="003F2AA2"/>
    <w:p w14:paraId="098AFAE0" w14:textId="77777777" w:rsidR="003F2AA2" w:rsidRDefault="003F2AA2" w:rsidP="003F2AA2">
      <w:r>
        <w:t>En la actualidad, los hurtos en las estaciones y portales del sistema TransMilenio ascienden a 4.616 (2023), lo cual sumado al hurto de bicicletas de 7.162 (2023), y las dificultades en la movilidad derivadas de malos comportamientos de la ciudadanía, tales como mal parqueo y obstaculización de los espacios peatonales como los andenes, causan por un lado, congestión en las vías y, por otro, afectan la movilidad peatonal.</w:t>
      </w:r>
    </w:p>
    <w:p w14:paraId="33C723F7" w14:textId="77777777" w:rsidR="003F2AA2" w:rsidRDefault="003F2AA2" w:rsidP="003F2AA2"/>
    <w:p w14:paraId="79BB843B" w14:textId="77777777" w:rsidR="003F2AA2" w:rsidRDefault="003F2AA2" w:rsidP="003F2AA2">
      <w:r>
        <w:t>Adicionalmente, los problemas en la movilidad también han cobrado vidas con una tendencia creciente a partir del 2020 (año en que como es natural debido a la pandemia se redujo la siniestralidad), siendo los más afectados en su orden, los motociclistas, los peatones y los ciclistas.</w:t>
      </w:r>
    </w:p>
    <w:p w14:paraId="29CCD2E8" w14:textId="77777777" w:rsidR="003F2AA2" w:rsidRDefault="003F2AA2" w:rsidP="003F2AA2"/>
    <w:p w14:paraId="31C3D158" w14:textId="77777777" w:rsidR="003F2AA2" w:rsidRDefault="003F2AA2" w:rsidP="003F2AA2">
      <w:r>
        <w:t>La conjunción de factores como la inseguridad y el poco comportamiento cívico como la evasión del pago, sumado a la congestión fruto de las obras en la infraestructura vial de la ciudad, puede incidir en el derecho a movilizarse de manera segura, invitando a tomar acciones.</w:t>
      </w:r>
    </w:p>
    <w:p w14:paraId="4042E640" w14:textId="77777777" w:rsidR="003F2AA2" w:rsidRDefault="003F2AA2" w:rsidP="003F2AA2"/>
    <w:p w14:paraId="6187F173" w14:textId="77777777" w:rsidR="003F2AA2" w:rsidRDefault="003F2AA2" w:rsidP="003F2AA2">
      <w:r>
        <w:t xml:space="preserve">En concordancia con lo anterior, de acuerdo con las cifras del Sistema de Información Estadístico Delictivo Contravencional y Operativo (SIEDCO), en el 2022 se registraron hurtos en las estaciones y portales del sistema troncal de TransMilenio, y 11.629 en lugares como el bus zonal (7.336) y el alimentador (4.293); mientras que, en el 2023, los hurtos descendieron a 2.657 en el componente troncal (-42 %), y 10.293 en el zonal (-11 %), especialmente en el bus zonal </w:t>
      </w:r>
      <w:r>
        <w:t>(4.732), alimentador (1.318), y en paraderos de buses (4.267).</w:t>
      </w:r>
    </w:p>
    <w:p w14:paraId="3746BE91" w14:textId="77777777" w:rsidR="003F2AA2" w:rsidRDefault="003F2AA2" w:rsidP="003F2AA2"/>
    <w:p w14:paraId="300988D5" w14:textId="77777777" w:rsidR="003F2AA2" w:rsidRDefault="003F2AA2" w:rsidP="003F2AA2">
      <w:r>
        <w:t>De igual manera, de los 4.616 hurtos registrados en el componente troncal de TransMilenio durante el 2022, el 67,8 % fueron cometidos contra los hombres, mientras que el 32,2 % contra las mujeres; tendencia que se mantuvo en el 2023, con un leve aumento en los hurtos contra la mujer, los cuales representaron el 35,3 % del total de los 2.657 hurtos ocurridos durante el año.</w:t>
      </w:r>
    </w:p>
    <w:p w14:paraId="78D32A25" w14:textId="77777777" w:rsidR="003F2AA2" w:rsidRDefault="003F2AA2" w:rsidP="003F2AA2"/>
    <w:p w14:paraId="5804B451" w14:textId="77777777" w:rsidR="003F2AA2" w:rsidRDefault="003F2AA2" w:rsidP="003F2AA2">
      <w:r>
        <w:t>Por su parte, en el componente zonal, los hombres representaron el 51,1 % y las mujeres el 48,9 % en el 2022, mientras que en 2023 se mantuvo esta tendencia, pero esta vez con una leve disminución en los hurtos contra la mujer, los cuales registraron el 46,1 % de los 10.293 casos registrados.</w:t>
      </w:r>
    </w:p>
    <w:p w14:paraId="47867066" w14:textId="77777777" w:rsidR="003F2AA2" w:rsidRDefault="003F2AA2" w:rsidP="003F2AA2"/>
    <w:p w14:paraId="0B92E541" w14:textId="77777777" w:rsidR="003F2AA2" w:rsidRDefault="003F2AA2" w:rsidP="003F2AA2">
      <w:r>
        <w:t>De hecho, en 2023, 39,8 % de las personas que reportaron usar TransMilenio y 37,6 % del SITP, afirman estar insatisfechos con el medio de transporte, las principales razones fueron robos (58 %), seguidos de la congestión (49 %) y la demora en los trayectos (30 %) (Bogotá Cómo Vamos, 2024).</w:t>
      </w:r>
    </w:p>
    <w:p w14:paraId="1D71AD2E" w14:textId="77777777" w:rsidR="003F2AA2" w:rsidRDefault="003F2AA2" w:rsidP="003F2AA2"/>
    <w:p w14:paraId="2D0D8AE3" w14:textId="77777777" w:rsidR="003F2AA2" w:rsidRDefault="003F2AA2" w:rsidP="003F2AA2">
      <w:r>
        <w:t>Asimismo, se puede observar cómo, durante el 2022, en el componente troncal, el grupo etario de mujeres donde se concentraron los hurtos fue en el de mujeres entre 20 y 29 años (44 %) y en el de 30 a 39 años (20 %), en donde se concentran seis de cada diez hurtos contra las mujeres, cometidos en el componente troncal de TransMilenio; mientras que, en el 2023, el grupo de 20 a 29 años descendió a 38 %, y aumentó en el de 30 a 39 años a 24 %.</w:t>
      </w:r>
    </w:p>
    <w:p w14:paraId="7B9603BF" w14:textId="77777777" w:rsidR="003F2AA2" w:rsidRDefault="003F2AA2" w:rsidP="003F2AA2"/>
    <w:p w14:paraId="451ABC0F" w14:textId="0AD2E3F5"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Lo anterior, aunado al aumento de casos de Violencias Basadas en Género (VBG) en el sistema de transporte público, identificados y gestionados por el equipo psicosocial de TransMilenio </w:t>
      </w:r>
      <w:r>
        <w:lastRenderedPageBreak/>
        <w:t xml:space="preserve">S.A., como se relaciona en la </w:t>
      </w:r>
      <w:r w:rsidR="001B6E05" w:rsidRPr="001B6E05">
        <w:fldChar w:fldCharType="begin"/>
      </w:r>
      <w:r w:rsidR="001B6E05" w:rsidRPr="001B6E05">
        <w:instrText xml:space="preserve"> REF _Ref165125424 \h </w:instrText>
      </w:r>
      <w:r w:rsidR="001B6E05" w:rsidRPr="001B6E05">
        <w:fldChar w:fldCharType="separate"/>
      </w:r>
      <w:r w:rsidR="00D01651" w:rsidRPr="00A137D1">
        <w:rPr>
          <w:color w:val="C00000"/>
          <w:sz w:val="18"/>
          <w:szCs w:val="18"/>
        </w:rPr>
        <w:t xml:space="preserve">Gráfica </w:t>
      </w:r>
      <w:r w:rsidR="00D01651">
        <w:rPr>
          <w:noProof/>
          <w:color w:val="C00000"/>
          <w:sz w:val="18"/>
        </w:rPr>
        <w:t>33</w:t>
      </w:r>
      <w:r w:rsidR="001B6E05" w:rsidRPr="001B6E05">
        <w:fldChar w:fldCharType="end"/>
      </w:r>
      <w:r w:rsidR="001B6E05">
        <w:t xml:space="preserve"> </w:t>
      </w:r>
      <w:r>
        <w:t xml:space="preserve">y se mencionó anteriormente </w:t>
      </w:r>
    </w:p>
    <w:p w14:paraId="2DAD6717" w14:textId="77777777" w:rsidR="003F2AA2" w:rsidRDefault="003F2AA2" w:rsidP="003F2AA2"/>
    <w:p w14:paraId="70589673" w14:textId="70E1689C" w:rsidR="003F2AA2" w:rsidRPr="00A137D1" w:rsidRDefault="00A137D1" w:rsidP="00A137D1">
      <w:pPr>
        <w:pStyle w:val="Descripcin"/>
        <w:jc w:val="center"/>
        <w:rPr>
          <w:sz w:val="18"/>
        </w:rPr>
      </w:pPr>
      <w:bookmarkStart w:id="219" w:name="_Ref165125424"/>
      <w:bookmarkStart w:id="220" w:name="_Toc165169859"/>
      <w:r w:rsidRPr="00A137D1">
        <w:rPr>
          <w:color w:val="C00000"/>
          <w:sz w:val="18"/>
        </w:rPr>
        <w:t xml:space="preserve">Gráfica </w:t>
      </w:r>
      <w:r w:rsidRPr="00A137D1">
        <w:rPr>
          <w:color w:val="C00000"/>
          <w:sz w:val="18"/>
        </w:rPr>
        <w:fldChar w:fldCharType="begin"/>
      </w:r>
      <w:r w:rsidRPr="00A137D1">
        <w:rPr>
          <w:color w:val="C00000"/>
          <w:sz w:val="18"/>
        </w:rPr>
        <w:instrText xml:space="preserve"> SEQ Gráfica \* ARABIC </w:instrText>
      </w:r>
      <w:r w:rsidRPr="00A137D1">
        <w:rPr>
          <w:color w:val="C00000"/>
          <w:sz w:val="18"/>
        </w:rPr>
        <w:fldChar w:fldCharType="separate"/>
      </w:r>
      <w:r w:rsidR="00D01651">
        <w:rPr>
          <w:noProof/>
          <w:color w:val="C00000"/>
          <w:sz w:val="18"/>
        </w:rPr>
        <w:t>33</w:t>
      </w:r>
      <w:r w:rsidRPr="00A137D1">
        <w:rPr>
          <w:color w:val="C00000"/>
          <w:sz w:val="18"/>
        </w:rPr>
        <w:fldChar w:fldCharType="end"/>
      </w:r>
      <w:bookmarkEnd w:id="219"/>
      <w:r w:rsidRPr="00A137D1">
        <w:rPr>
          <w:color w:val="C00000"/>
          <w:sz w:val="18"/>
        </w:rPr>
        <w:t xml:space="preserve">. </w:t>
      </w:r>
      <w:r w:rsidR="003F2AA2" w:rsidRPr="00A137D1">
        <w:rPr>
          <w:sz w:val="18"/>
        </w:rPr>
        <w:t>Casos de VBG y acoso sexual callejero gestionados por TransMilenio S. A.</w:t>
      </w:r>
      <w:bookmarkEnd w:id="220"/>
    </w:p>
    <w:p w14:paraId="1190A35B" w14:textId="77777777" w:rsidR="003F2AA2" w:rsidRDefault="003F2AA2" w:rsidP="003F2AA2">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50400" behindDoc="0" locked="0" layoutInCell="1" hidden="0" allowOverlap="1" wp14:anchorId="6650DD26" wp14:editId="63C4192E">
            <wp:simplePos x="0" y="0"/>
            <wp:positionH relativeFrom="column">
              <wp:posOffset>159327</wp:posOffset>
            </wp:positionH>
            <wp:positionV relativeFrom="paragraph">
              <wp:posOffset>71466</wp:posOffset>
            </wp:positionV>
            <wp:extent cx="5288280" cy="2729346"/>
            <wp:effectExtent l="0" t="0" r="0" b="0"/>
            <wp:wrapNone/>
            <wp:docPr id="213351598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5"/>
                    <a:srcRect/>
                    <a:stretch>
                      <a:fillRect/>
                    </a:stretch>
                  </pic:blipFill>
                  <pic:spPr>
                    <a:xfrm>
                      <a:off x="0" y="0"/>
                      <a:ext cx="5291390" cy="2730951"/>
                    </a:xfrm>
                    <a:prstGeom prst="rect">
                      <a:avLst/>
                    </a:prstGeom>
                    <a:ln/>
                  </pic:spPr>
                </pic:pic>
              </a:graphicData>
            </a:graphic>
            <wp14:sizeRelV relativeFrom="margin">
              <wp14:pctHeight>0</wp14:pctHeight>
            </wp14:sizeRelV>
          </wp:anchor>
        </w:drawing>
      </w:r>
    </w:p>
    <w:p w14:paraId="74D78AFC"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0BFBD6D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76DC22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8BE606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A846000"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363B605"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34AA560"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1B71943"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850DA75"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0D9A06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7EB90D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31F965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DD851F7"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ECD44F4"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3DAFE6A"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35EDDB5"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96C413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490FD53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F739C2F"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13BA4EC"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832B04D" w14:textId="77777777" w:rsidR="003F2AA2" w:rsidRDefault="003F2AA2" w:rsidP="003F2AA2">
      <w:pPr>
        <w:pBdr>
          <w:top w:val="nil"/>
          <w:left w:val="nil"/>
          <w:bottom w:val="nil"/>
          <w:right w:val="nil"/>
          <w:between w:val="nil"/>
        </w:pBdr>
        <w:spacing w:line="220" w:lineRule="auto"/>
        <w:jc w:val="center"/>
        <w:rPr>
          <w:b/>
          <w:sz w:val="18"/>
          <w:szCs w:val="18"/>
        </w:rPr>
      </w:pPr>
    </w:p>
    <w:p w14:paraId="0BA24727" w14:textId="77777777"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Relatoría Gestores de Convivencia DTS TMSA. Corte febrero 23 de 2024.</w:t>
      </w:r>
    </w:p>
    <w:p w14:paraId="6B905A17" w14:textId="77777777" w:rsidR="003F2AA2" w:rsidRDefault="003F2AA2" w:rsidP="003F2AA2">
      <w:pPr>
        <w:rPr>
          <w:i/>
        </w:rPr>
      </w:pPr>
    </w:p>
    <w:p w14:paraId="1BDD03AB" w14:textId="77777777" w:rsidR="003F2AA2" w:rsidRDefault="003F2AA2" w:rsidP="003F2AA2">
      <w:pPr>
        <w:sectPr w:rsidR="003F2AA2" w:rsidSect="00F7078E">
          <w:type w:val="continuous"/>
          <w:pgSz w:w="12240" w:h="15840"/>
          <w:pgMar w:top="2262" w:right="1440" w:bottom="1440" w:left="1440" w:header="708" w:footer="708" w:gutter="0"/>
          <w:cols w:space="720"/>
        </w:sectPr>
      </w:pPr>
    </w:p>
    <w:p w14:paraId="08E26C66" w14:textId="77777777" w:rsidR="003F2AA2" w:rsidRDefault="003F2AA2" w:rsidP="003F2AA2">
      <w:r>
        <w:t>Frente al uso de la bicicleta, los robos de estos bienes han disminuido desde 2020, año en el que se denunciaron 10.861 hurtos, mientras que en 2023 se reportaron 7.162 denuncias, 8,2 % del total de hurtos reportados (SCJ, SIEDCO, 2024). En complemento, entre 2019 y 2022 se reportó una mayor satisfacción de este medio de transporte con 81 % y 87 % de usuarios satisfechos (Bogotá Cómo Vamos, 2023).</w:t>
      </w:r>
    </w:p>
    <w:p w14:paraId="71653E26" w14:textId="77777777" w:rsidR="003F2AA2" w:rsidRDefault="003F2AA2" w:rsidP="003F2AA2"/>
    <w:p w14:paraId="540E2161" w14:textId="77777777" w:rsidR="003F2AA2" w:rsidRDefault="003F2AA2" w:rsidP="003F2AA2">
      <w:r>
        <w:t>En relación con la gestión vial, se destaca la congestión vial como problemática causada principalmente por malos comportamientos asociados al mal parqueo, lo cual provoca una reducción de la velocidad en el flujo vehicular y desorden por la disminución del espacio. Se estima que el estacionamiento indebido en vía aumenta en 5,1 % los tiempos de viaje, equivalente a tener 5.000 automóviles adicionales en la red para la hora de máxima demanda.</w:t>
      </w:r>
    </w:p>
    <w:p w14:paraId="3D235D88" w14:textId="77777777" w:rsidR="003F2AA2" w:rsidRDefault="003F2AA2" w:rsidP="003F2AA2"/>
    <w:p w14:paraId="10C7F556" w14:textId="77777777" w:rsidR="003F2AA2" w:rsidRDefault="003F2AA2" w:rsidP="003F2AA2">
      <w:r>
        <w:t xml:space="preserve">Adicionalmente, se observa que la invasión de las franjas peatonales (andenes) y de bicicletas </w:t>
      </w:r>
      <w:r>
        <w:t>mediante el parqueo irregular afecta la sana y libre circulación de las personas más vulnerables, evidenciando el desconocimiento e incumplimiento del Código Nacional de Tránsito y Transporte (Ley 769 de 2002) (SDM, 2024).</w:t>
      </w:r>
    </w:p>
    <w:p w14:paraId="621BB04B" w14:textId="77777777" w:rsidR="003F2AA2" w:rsidRDefault="003F2AA2" w:rsidP="003F2AA2"/>
    <w:p w14:paraId="5B471518" w14:textId="77777777" w:rsidR="003F2AA2" w:rsidRDefault="003F2AA2" w:rsidP="003F2AA2">
      <w:r>
        <w:t>Frente a lo anterior, se han tenido avances en el ordenamiento del espacio y ocupación vial, como la reglamentación de zonas de parqueo, la gestión de los servicios de Valet Parking, la disposición de zonas de cargue y descargue y la delimitación de zonas amarillas para beneficio de usuarios y prestadores. Adicionalmente, se encuentran estrategias orientadas a la seguridad peatonal en los Barrios Vitales de San Felipe, Porvenir (Bosa), Las Cruces y San Cristóbal, y a la mejora de la calidad del aire a través de la reducción de emisiones de contaminantes en la Zona Urbana por un Mejor Aire (ZUMA) Bosa Apogeo.</w:t>
      </w:r>
    </w:p>
    <w:p w14:paraId="5101307B" w14:textId="77777777" w:rsidR="003F2AA2" w:rsidRDefault="003F2AA2" w:rsidP="003F2AA2"/>
    <w:p w14:paraId="35ADB4B4" w14:textId="77777777" w:rsidR="003F2AA2" w:rsidRDefault="003F2AA2" w:rsidP="003F2AA2">
      <w:r>
        <w:t xml:space="preserve">Pese a lo anterior, se siguen presentando dificultades en la movilidad debido al deficiente </w:t>
      </w:r>
      <w:r>
        <w:lastRenderedPageBreak/>
        <w:t>estado, calidad y continuidad de la infraestructura que conforma el espacio público para la movilidad (fisuras y baches, entre otros), daños que afectan la seguridad vial y que pueden llevar a un aumento en la incidencia de accidentes de tráfico y una mayor vulnerabilidad de los usuarios del sistema de transporte ante la posibilidad de lesiones y pérdidas de vidas humanas.</w:t>
      </w:r>
    </w:p>
    <w:p w14:paraId="63FA24F2" w14:textId="77777777" w:rsidR="003F2AA2" w:rsidRDefault="003F2AA2" w:rsidP="003F2AA2"/>
    <w:p w14:paraId="0E6843AA" w14:textId="77777777" w:rsidR="003F2AA2" w:rsidRDefault="003F2AA2" w:rsidP="003F2AA2">
      <w:bookmarkStart w:id="221" w:name="_heading=h.3j2qqm3" w:colFirst="0" w:colLast="0"/>
      <w:bookmarkEnd w:id="221"/>
      <w:r>
        <w:t xml:space="preserve">Respecto a los viajes a pie, la principal dificultad se encuentra en las condiciones de la infraestructura y el uso inadecuado de espacios para la movilidad. Al profundizar en las problemáticas que afectan a los peatones, resaltan: i) la invasión del espacio público, en parte provocado por el mal parqueo de vehículos motorizados y </w:t>
      </w:r>
      <w:r>
        <w:t>el mal estado de andenes; ii) la falta de accesibilidad, y iii) la presencia de basuras, la mala interacción con otros actores visuales, la falta de mobiliario y la contaminación visual y auditiva (Encuesta de Movilidad, 2019).</w:t>
      </w:r>
    </w:p>
    <w:p w14:paraId="50F88BE0" w14:textId="77777777" w:rsidR="003F2AA2" w:rsidRDefault="003F2AA2" w:rsidP="003F2AA2"/>
    <w:p w14:paraId="6A1AF646" w14:textId="77777777" w:rsidR="003F2AA2" w:rsidRDefault="003F2AA2" w:rsidP="003F2AA2">
      <w:r>
        <w:t>Por otra parte, el diagnóstico en torno a la gestión de la movilidad destaca los beneficios obtenidos en los últimos años por los programas de movilidad segura orientados a niños y niñas, a partir de los cuales se estima que se realizaron por lo menos 1.755.746 viajes seguros entre las escuelas y lugares de residencia.</w:t>
      </w:r>
    </w:p>
    <w:p w14:paraId="2766DCD5" w14:textId="77777777" w:rsidR="003F2AA2" w:rsidRDefault="003F2AA2" w:rsidP="003F2AA2"/>
    <w:p w14:paraId="3032A575" w14:textId="7573DFAF" w:rsidR="003F2AA2" w:rsidRDefault="003F2AA2" w:rsidP="003F2AA2">
      <w:pPr>
        <w:sectPr w:rsidR="003F2AA2" w:rsidSect="00F7078E">
          <w:type w:val="continuous"/>
          <w:pgSz w:w="12240" w:h="15840"/>
          <w:pgMar w:top="2262" w:right="1440" w:bottom="1440" w:left="1440" w:header="708" w:footer="708" w:gutter="0"/>
          <w:cols w:num="2" w:space="720" w:equalWidth="0">
            <w:col w:w="4320" w:space="720"/>
            <w:col w:w="4320" w:space="0"/>
          </w:cols>
        </w:sectPr>
      </w:pPr>
      <w:r>
        <w:t xml:space="preserve">La </w:t>
      </w:r>
      <w:r w:rsidR="004A1D8A" w:rsidRPr="004A1D8A">
        <w:fldChar w:fldCharType="begin"/>
      </w:r>
      <w:r w:rsidR="004A1D8A" w:rsidRPr="004A1D8A">
        <w:instrText xml:space="preserve"> REF _Ref165125517 \h </w:instrText>
      </w:r>
      <w:r w:rsidR="004A1D8A" w:rsidRPr="004A1D8A">
        <w:fldChar w:fldCharType="separate"/>
      </w:r>
      <w:r w:rsidR="00D01651" w:rsidRPr="00D123AA">
        <w:rPr>
          <w:color w:val="C00000"/>
          <w:sz w:val="18"/>
          <w:szCs w:val="18"/>
        </w:rPr>
        <w:t xml:space="preserve">Tabla </w:t>
      </w:r>
      <w:r w:rsidR="00D01651">
        <w:rPr>
          <w:noProof/>
          <w:color w:val="C00000"/>
          <w:sz w:val="18"/>
        </w:rPr>
        <w:t>22</w:t>
      </w:r>
      <w:r w:rsidR="004A1D8A" w:rsidRPr="004A1D8A">
        <w:fldChar w:fldCharType="end"/>
      </w:r>
      <w:r w:rsidR="004A1D8A" w:rsidRPr="004A1D8A">
        <w:t xml:space="preserve"> </w:t>
      </w:r>
      <w:r w:rsidRPr="004A1D8A">
        <w:t xml:space="preserve">muestra </w:t>
      </w:r>
      <w:r>
        <w:t>los beneficios obtenidos por programa, base para que Bogotá mejore en este frente.</w:t>
      </w:r>
    </w:p>
    <w:p w14:paraId="22023752" w14:textId="4CFD3282" w:rsidR="003F2AA2" w:rsidRDefault="003F2AA2" w:rsidP="003F2AA2"/>
    <w:p w14:paraId="28877421" w14:textId="77777777" w:rsidR="00C7729B" w:rsidRDefault="00C7729B" w:rsidP="003F2AA2"/>
    <w:p w14:paraId="753E154F" w14:textId="37F90158" w:rsidR="00E36E40" w:rsidRPr="00D123AA" w:rsidRDefault="00D123AA" w:rsidP="00D123AA">
      <w:pPr>
        <w:pStyle w:val="Descripcin"/>
        <w:jc w:val="center"/>
        <w:rPr>
          <w:color w:val="3B3838"/>
          <w:sz w:val="18"/>
        </w:rPr>
      </w:pPr>
      <w:bookmarkStart w:id="222" w:name="_Ref165125517"/>
      <w:bookmarkStart w:id="223" w:name="_Toc165169932"/>
      <w:r w:rsidRPr="00D123AA">
        <w:rPr>
          <w:color w:val="C00000"/>
          <w:sz w:val="18"/>
        </w:rPr>
        <w:t xml:space="preserve">Tabla </w:t>
      </w:r>
      <w:r w:rsidRPr="00D123AA">
        <w:rPr>
          <w:color w:val="C00000"/>
          <w:sz w:val="18"/>
        </w:rPr>
        <w:fldChar w:fldCharType="begin"/>
      </w:r>
      <w:r w:rsidRPr="00D123AA">
        <w:rPr>
          <w:color w:val="C00000"/>
          <w:sz w:val="18"/>
        </w:rPr>
        <w:instrText xml:space="preserve"> SEQ Tabla \* ARABIC </w:instrText>
      </w:r>
      <w:r w:rsidRPr="00D123AA">
        <w:rPr>
          <w:color w:val="C00000"/>
          <w:sz w:val="18"/>
        </w:rPr>
        <w:fldChar w:fldCharType="separate"/>
      </w:r>
      <w:r w:rsidR="00D01651">
        <w:rPr>
          <w:noProof/>
          <w:color w:val="C00000"/>
          <w:sz w:val="18"/>
        </w:rPr>
        <w:t>22</w:t>
      </w:r>
      <w:r w:rsidRPr="00D123AA">
        <w:rPr>
          <w:color w:val="C00000"/>
          <w:sz w:val="18"/>
        </w:rPr>
        <w:fldChar w:fldCharType="end"/>
      </w:r>
      <w:bookmarkEnd w:id="222"/>
      <w:r w:rsidRPr="00D123AA">
        <w:rPr>
          <w:color w:val="C00000"/>
          <w:sz w:val="18"/>
        </w:rPr>
        <w:t xml:space="preserve">. </w:t>
      </w:r>
      <w:r w:rsidR="003F2AA2" w:rsidRPr="00D123AA">
        <w:rPr>
          <w:color w:val="3B3838"/>
          <w:sz w:val="18"/>
        </w:rPr>
        <w:t>Programa de movilidad segura orientado a niños y niñas</w:t>
      </w:r>
      <w:bookmarkEnd w:id="223"/>
    </w:p>
    <w:tbl>
      <w:tblPr>
        <w:tblW w:w="8637" w:type="dxa"/>
        <w:tblBorders>
          <w:bottom w:val="double" w:sz="4" w:space="0" w:color="C00000"/>
          <w:insideH w:val="double" w:sz="4" w:space="0" w:color="C00000"/>
          <w:insideV w:val="double" w:sz="4" w:space="0" w:color="C00000"/>
        </w:tblBorders>
        <w:tblLayout w:type="fixed"/>
        <w:tblLook w:val="0400" w:firstRow="0" w:lastRow="0" w:firstColumn="0" w:lastColumn="0" w:noHBand="0" w:noVBand="1"/>
      </w:tblPr>
      <w:tblGrid>
        <w:gridCol w:w="1843"/>
        <w:gridCol w:w="2268"/>
        <w:gridCol w:w="850"/>
        <w:gridCol w:w="992"/>
        <w:gridCol w:w="823"/>
        <w:gridCol w:w="878"/>
        <w:gridCol w:w="983"/>
      </w:tblGrid>
      <w:tr w:rsidR="003F2AA2" w:rsidRPr="00E36E40" w14:paraId="7E2BF212" w14:textId="77777777" w:rsidTr="00E36E40">
        <w:trPr>
          <w:trHeight w:val="537"/>
        </w:trPr>
        <w:tc>
          <w:tcPr>
            <w:tcW w:w="1843" w:type="dxa"/>
            <w:vMerge w:val="restart"/>
            <w:shd w:val="clear" w:color="auto" w:fill="C00000"/>
            <w:vAlign w:val="center"/>
          </w:tcPr>
          <w:p w14:paraId="5160707C" w14:textId="77777777" w:rsidR="003F2AA2" w:rsidRPr="00E36E40" w:rsidRDefault="003F2AA2" w:rsidP="004F6427">
            <w:pPr>
              <w:jc w:val="right"/>
              <w:rPr>
                <w:b/>
                <w:color w:val="FFFFFF"/>
                <w:szCs w:val="22"/>
              </w:rPr>
            </w:pPr>
            <w:r w:rsidRPr="00E36E40">
              <w:rPr>
                <w:b/>
                <w:color w:val="FFFFFF"/>
                <w:szCs w:val="22"/>
              </w:rPr>
              <w:t>Proyecto</w:t>
            </w:r>
          </w:p>
        </w:tc>
        <w:tc>
          <w:tcPr>
            <w:tcW w:w="2268" w:type="dxa"/>
            <w:vMerge w:val="restart"/>
            <w:shd w:val="clear" w:color="auto" w:fill="C00000"/>
            <w:vAlign w:val="center"/>
          </w:tcPr>
          <w:p w14:paraId="7BC81D89" w14:textId="77777777" w:rsidR="003F2AA2" w:rsidRPr="00E36E40" w:rsidRDefault="003F2AA2" w:rsidP="00E36E40">
            <w:pPr>
              <w:jc w:val="left"/>
              <w:rPr>
                <w:b/>
                <w:color w:val="FFFFFF"/>
                <w:szCs w:val="22"/>
              </w:rPr>
            </w:pPr>
            <w:r w:rsidRPr="00E36E40">
              <w:rPr>
                <w:b/>
                <w:color w:val="FFFFFF"/>
                <w:szCs w:val="22"/>
              </w:rPr>
              <w:t>Descripción</w:t>
            </w:r>
          </w:p>
        </w:tc>
        <w:tc>
          <w:tcPr>
            <w:tcW w:w="4526" w:type="dxa"/>
            <w:gridSpan w:val="5"/>
            <w:shd w:val="clear" w:color="auto" w:fill="C00000"/>
            <w:vAlign w:val="center"/>
          </w:tcPr>
          <w:p w14:paraId="4721FE77" w14:textId="77777777" w:rsidR="003F2AA2" w:rsidRPr="00E36E40" w:rsidRDefault="003F2AA2" w:rsidP="004F6427">
            <w:pPr>
              <w:jc w:val="center"/>
              <w:rPr>
                <w:b/>
                <w:color w:val="FFFFFF"/>
                <w:szCs w:val="22"/>
              </w:rPr>
            </w:pPr>
            <w:r w:rsidRPr="00E36E40">
              <w:rPr>
                <w:b/>
                <w:color w:val="FFFFFF"/>
                <w:szCs w:val="22"/>
              </w:rPr>
              <w:t>Beneficiarios</w:t>
            </w:r>
          </w:p>
        </w:tc>
      </w:tr>
      <w:tr w:rsidR="003F2AA2" w:rsidRPr="00E36E40" w14:paraId="38155CAB" w14:textId="77777777" w:rsidTr="00E36E40">
        <w:trPr>
          <w:trHeight w:val="397"/>
        </w:trPr>
        <w:tc>
          <w:tcPr>
            <w:tcW w:w="1843" w:type="dxa"/>
            <w:vMerge/>
            <w:shd w:val="clear" w:color="auto" w:fill="C00000"/>
            <w:vAlign w:val="center"/>
          </w:tcPr>
          <w:p w14:paraId="76F28A62" w14:textId="77777777" w:rsidR="003F2AA2" w:rsidRPr="00E36E40" w:rsidRDefault="003F2AA2" w:rsidP="004F6427">
            <w:pPr>
              <w:widowControl w:val="0"/>
              <w:pBdr>
                <w:top w:val="nil"/>
                <w:left w:val="nil"/>
                <w:bottom w:val="nil"/>
                <w:right w:val="nil"/>
                <w:between w:val="nil"/>
              </w:pBdr>
              <w:spacing w:line="276" w:lineRule="auto"/>
              <w:jc w:val="left"/>
              <w:rPr>
                <w:b/>
                <w:color w:val="FFFFFF"/>
                <w:szCs w:val="22"/>
              </w:rPr>
            </w:pPr>
          </w:p>
        </w:tc>
        <w:tc>
          <w:tcPr>
            <w:tcW w:w="2268" w:type="dxa"/>
            <w:vMerge/>
            <w:shd w:val="clear" w:color="auto" w:fill="C00000"/>
            <w:vAlign w:val="center"/>
          </w:tcPr>
          <w:p w14:paraId="51B3B687" w14:textId="77777777" w:rsidR="003F2AA2" w:rsidRPr="00E36E40" w:rsidRDefault="003F2AA2" w:rsidP="00E36E40">
            <w:pPr>
              <w:widowControl w:val="0"/>
              <w:pBdr>
                <w:top w:val="nil"/>
                <w:left w:val="nil"/>
                <w:bottom w:val="nil"/>
                <w:right w:val="nil"/>
                <w:between w:val="nil"/>
              </w:pBdr>
              <w:spacing w:line="276" w:lineRule="auto"/>
              <w:jc w:val="left"/>
              <w:rPr>
                <w:b/>
                <w:color w:val="FFFFFF"/>
                <w:szCs w:val="22"/>
              </w:rPr>
            </w:pPr>
          </w:p>
        </w:tc>
        <w:tc>
          <w:tcPr>
            <w:tcW w:w="850" w:type="dxa"/>
            <w:shd w:val="clear" w:color="auto" w:fill="C00000"/>
            <w:vAlign w:val="center"/>
          </w:tcPr>
          <w:p w14:paraId="766E4CA8" w14:textId="77777777" w:rsidR="003F2AA2" w:rsidRPr="00E36E40" w:rsidRDefault="003F2AA2" w:rsidP="004F6427">
            <w:pPr>
              <w:jc w:val="center"/>
              <w:rPr>
                <w:b/>
                <w:color w:val="FFFFFF"/>
                <w:szCs w:val="22"/>
              </w:rPr>
            </w:pPr>
            <w:r w:rsidRPr="00E36E40">
              <w:rPr>
                <w:b/>
                <w:color w:val="FFFFFF"/>
                <w:szCs w:val="22"/>
              </w:rPr>
              <w:t>2019</w:t>
            </w:r>
          </w:p>
        </w:tc>
        <w:tc>
          <w:tcPr>
            <w:tcW w:w="992" w:type="dxa"/>
            <w:shd w:val="clear" w:color="auto" w:fill="C00000"/>
            <w:vAlign w:val="center"/>
          </w:tcPr>
          <w:p w14:paraId="007FAD4A" w14:textId="77777777" w:rsidR="003F2AA2" w:rsidRPr="00E36E40" w:rsidRDefault="003F2AA2" w:rsidP="004F6427">
            <w:pPr>
              <w:jc w:val="center"/>
              <w:rPr>
                <w:b/>
                <w:color w:val="FFFFFF"/>
                <w:szCs w:val="22"/>
              </w:rPr>
            </w:pPr>
            <w:r w:rsidRPr="00E36E40">
              <w:rPr>
                <w:b/>
                <w:color w:val="FFFFFF"/>
                <w:szCs w:val="22"/>
              </w:rPr>
              <w:t>2020</w:t>
            </w:r>
          </w:p>
        </w:tc>
        <w:tc>
          <w:tcPr>
            <w:tcW w:w="823" w:type="dxa"/>
            <w:shd w:val="clear" w:color="auto" w:fill="C00000"/>
            <w:vAlign w:val="center"/>
          </w:tcPr>
          <w:p w14:paraId="3D27A4DC" w14:textId="77777777" w:rsidR="003F2AA2" w:rsidRPr="00E36E40" w:rsidRDefault="003F2AA2" w:rsidP="004F6427">
            <w:pPr>
              <w:jc w:val="center"/>
              <w:rPr>
                <w:b/>
                <w:color w:val="FFFFFF"/>
                <w:szCs w:val="22"/>
              </w:rPr>
            </w:pPr>
            <w:r w:rsidRPr="00E36E40">
              <w:rPr>
                <w:b/>
                <w:color w:val="FFFFFF"/>
                <w:szCs w:val="22"/>
              </w:rPr>
              <w:t>2021</w:t>
            </w:r>
          </w:p>
        </w:tc>
        <w:tc>
          <w:tcPr>
            <w:tcW w:w="878" w:type="dxa"/>
            <w:shd w:val="clear" w:color="auto" w:fill="C00000"/>
            <w:vAlign w:val="center"/>
          </w:tcPr>
          <w:p w14:paraId="34EC4F82" w14:textId="77777777" w:rsidR="003F2AA2" w:rsidRPr="00E36E40" w:rsidRDefault="003F2AA2" w:rsidP="004F6427">
            <w:pPr>
              <w:jc w:val="center"/>
              <w:rPr>
                <w:b/>
                <w:color w:val="FFFFFF"/>
                <w:szCs w:val="22"/>
              </w:rPr>
            </w:pPr>
            <w:r w:rsidRPr="00E36E40">
              <w:rPr>
                <w:b/>
                <w:color w:val="FFFFFF"/>
                <w:szCs w:val="22"/>
              </w:rPr>
              <w:t>2022</w:t>
            </w:r>
          </w:p>
        </w:tc>
        <w:tc>
          <w:tcPr>
            <w:tcW w:w="983" w:type="dxa"/>
            <w:shd w:val="clear" w:color="auto" w:fill="C00000"/>
            <w:vAlign w:val="center"/>
          </w:tcPr>
          <w:p w14:paraId="68B30D62" w14:textId="77777777" w:rsidR="003F2AA2" w:rsidRPr="00E36E40" w:rsidRDefault="003F2AA2" w:rsidP="004F6427">
            <w:pPr>
              <w:jc w:val="center"/>
              <w:rPr>
                <w:b/>
                <w:color w:val="FFFFFF"/>
                <w:szCs w:val="22"/>
              </w:rPr>
            </w:pPr>
            <w:r w:rsidRPr="00E36E40">
              <w:rPr>
                <w:b/>
                <w:color w:val="FFFFFF"/>
                <w:szCs w:val="22"/>
              </w:rPr>
              <w:t>2023</w:t>
            </w:r>
          </w:p>
        </w:tc>
      </w:tr>
      <w:tr w:rsidR="00E36E40" w:rsidRPr="00E36E40" w14:paraId="3AC412BB" w14:textId="77777777" w:rsidTr="00E36E40">
        <w:trPr>
          <w:trHeight w:val="397"/>
        </w:trPr>
        <w:tc>
          <w:tcPr>
            <w:tcW w:w="1843" w:type="dxa"/>
            <w:vAlign w:val="center"/>
          </w:tcPr>
          <w:p w14:paraId="2690CD76" w14:textId="77777777" w:rsidR="003F2AA2" w:rsidRPr="00E36E40" w:rsidRDefault="003F2AA2" w:rsidP="00E36E40">
            <w:pPr>
              <w:jc w:val="right"/>
              <w:rPr>
                <w:b/>
                <w:sz w:val="20"/>
                <w:szCs w:val="20"/>
              </w:rPr>
            </w:pPr>
            <w:r w:rsidRPr="00E36E40">
              <w:rPr>
                <w:b/>
                <w:sz w:val="20"/>
                <w:szCs w:val="20"/>
              </w:rPr>
              <w:t>Ciempiés</w:t>
            </w:r>
          </w:p>
        </w:tc>
        <w:tc>
          <w:tcPr>
            <w:tcW w:w="2268" w:type="dxa"/>
            <w:vMerge w:val="restart"/>
            <w:vAlign w:val="center"/>
          </w:tcPr>
          <w:p w14:paraId="1C26EA55" w14:textId="77777777" w:rsidR="003F2AA2" w:rsidRPr="00E36E40" w:rsidRDefault="003F2AA2" w:rsidP="00E36E40">
            <w:pPr>
              <w:jc w:val="left"/>
              <w:rPr>
                <w:sz w:val="20"/>
                <w:szCs w:val="20"/>
              </w:rPr>
            </w:pPr>
            <w:r w:rsidRPr="00E36E40">
              <w:rPr>
                <w:sz w:val="20"/>
                <w:szCs w:val="20"/>
              </w:rPr>
              <w:t>Estudiantes movilizados en la operación de los proyectos</w:t>
            </w:r>
          </w:p>
        </w:tc>
        <w:tc>
          <w:tcPr>
            <w:tcW w:w="850" w:type="dxa"/>
            <w:vAlign w:val="center"/>
          </w:tcPr>
          <w:p w14:paraId="1BF876C7" w14:textId="77777777" w:rsidR="003F2AA2" w:rsidRPr="00E36E40" w:rsidRDefault="003F2AA2" w:rsidP="004F6427">
            <w:pPr>
              <w:jc w:val="center"/>
              <w:rPr>
                <w:b/>
                <w:sz w:val="20"/>
                <w:szCs w:val="20"/>
              </w:rPr>
            </w:pPr>
            <w:r w:rsidRPr="00E36E40">
              <w:rPr>
                <w:sz w:val="20"/>
                <w:szCs w:val="20"/>
              </w:rPr>
              <w:t>932</w:t>
            </w:r>
          </w:p>
        </w:tc>
        <w:tc>
          <w:tcPr>
            <w:tcW w:w="992" w:type="dxa"/>
            <w:vAlign w:val="center"/>
          </w:tcPr>
          <w:p w14:paraId="25F1771A" w14:textId="77777777" w:rsidR="003F2AA2" w:rsidRPr="00E36E40" w:rsidRDefault="003F2AA2" w:rsidP="004F6427">
            <w:pPr>
              <w:jc w:val="center"/>
              <w:rPr>
                <w:b/>
                <w:sz w:val="20"/>
                <w:szCs w:val="20"/>
              </w:rPr>
            </w:pPr>
            <w:r w:rsidRPr="00E36E40">
              <w:rPr>
                <w:sz w:val="20"/>
                <w:szCs w:val="20"/>
              </w:rPr>
              <w:t>508</w:t>
            </w:r>
          </w:p>
        </w:tc>
        <w:tc>
          <w:tcPr>
            <w:tcW w:w="823" w:type="dxa"/>
            <w:vAlign w:val="center"/>
          </w:tcPr>
          <w:p w14:paraId="3B72ECDF" w14:textId="77777777" w:rsidR="003F2AA2" w:rsidRPr="00E36E40" w:rsidRDefault="003F2AA2" w:rsidP="004F6427">
            <w:pPr>
              <w:jc w:val="center"/>
              <w:rPr>
                <w:b/>
                <w:sz w:val="20"/>
                <w:szCs w:val="20"/>
              </w:rPr>
            </w:pPr>
            <w:r w:rsidRPr="00E36E40">
              <w:rPr>
                <w:sz w:val="20"/>
                <w:szCs w:val="20"/>
              </w:rPr>
              <w:t>1.592</w:t>
            </w:r>
          </w:p>
        </w:tc>
        <w:tc>
          <w:tcPr>
            <w:tcW w:w="878" w:type="dxa"/>
            <w:vAlign w:val="center"/>
          </w:tcPr>
          <w:p w14:paraId="42F60B57" w14:textId="77777777" w:rsidR="003F2AA2" w:rsidRPr="00E36E40" w:rsidRDefault="003F2AA2" w:rsidP="004F6427">
            <w:pPr>
              <w:jc w:val="center"/>
              <w:rPr>
                <w:b/>
                <w:sz w:val="20"/>
                <w:szCs w:val="20"/>
              </w:rPr>
            </w:pPr>
            <w:r w:rsidRPr="00E36E40">
              <w:rPr>
                <w:sz w:val="20"/>
                <w:szCs w:val="20"/>
              </w:rPr>
              <w:t>2.410</w:t>
            </w:r>
          </w:p>
        </w:tc>
        <w:tc>
          <w:tcPr>
            <w:tcW w:w="983" w:type="dxa"/>
            <w:vAlign w:val="center"/>
          </w:tcPr>
          <w:p w14:paraId="741DEAC2" w14:textId="77777777" w:rsidR="003F2AA2" w:rsidRPr="00E36E40" w:rsidRDefault="003F2AA2" w:rsidP="004F6427">
            <w:pPr>
              <w:jc w:val="center"/>
              <w:rPr>
                <w:b/>
                <w:sz w:val="20"/>
                <w:szCs w:val="20"/>
              </w:rPr>
            </w:pPr>
            <w:r w:rsidRPr="00E36E40">
              <w:rPr>
                <w:sz w:val="20"/>
                <w:szCs w:val="20"/>
              </w:rPr>
              <w:t>2.400</w:t>
            </w:r>
          </w:p>
        </w:tc>
      </w:tr>
      <w:tr w:rsidR="00E36E40" w:rsidRPr="00E36E40" w14:paraId="6F858C70" w14:textId="77777777" w:rsidTr="00E36E40">
        <w:trPr>
          <w:trHeight w:val="397"/>
        </w:trPr>
        <w:tc>
          <w:tcPr>
            <w:tcW w:w="1843" w:type="dxa"/>
            <w:vAlign w:val="center"/>
          </w:tcPr>
          <w:p w14:paraId="0F0F6C53" w14:textId="77777777" w:rsidR="003F2AA2" w:rsidRPr="00E36E40" w:rsidRDefault="003F2AA2" w:rsidP="00E36E40">
            <w:pPr>
              <w:jc w:val="right"/>
              <w:rPr>
                <w:b/>
                <w:sz w:val="20"/>
                <w:szCs w:val="20"/>
              </w:rPr>
            </w:pPr>
            <w:r w:rsidRPr="00E36E40">
              <w:rPr>
                <w:b/>
                <w:sz w:val="20"/>
                <w:szCs w:val="20"/>
              </w:rPr>
              <w:t>Al Colegio en Bici</w:t>
            </w:r>
          </w:p>
        </w:tc>
        <w:tc>
          <w:tcPr>
            <w:tcW w:w="2268" w:type="dxa"/>
            <w:vMerge/>
            <w:vAlign w:val="center"/>
          </w:tcPr>
          <w:p w14:paraId="5DBB5E34" w14:textId="77777777" w:rsidR="003F2AA2" w:rsidRPr="00E36E40" w:rsidRDefault="003F2AA2" w:rsidP="00E36E40">
            <w:pPr>
              <w:widowControl w:val="0"/>
              <w:pBdr>
                <w:top w:val="nil"/>
                <w:left w:val="nil"/>
                <w:bottom w:val="nil"/>
                <w:right w:val="nil"/>
                <w:between w:val="nil"/>
              </w:pBdr>
              <w:spacing w:line="276" w:lineRule="auto"/>
              <w:jc w:val="left"/>
              <w:rPr>
                <w:b/>
                <w:sz w:val="20"/>
                <w:szCs w:val="20"/>
              </w:rPr>
            </w:pPr>
          </w:p>
        </w:tc>
        <w:tc>
          <w:tcPr>
            <w:tcW w:w="850" w:type="dxa"/>
            <w:vAlign w:val="center"/>
          </w:tcPr>
          <w:p w14:paraId="7819D79D" w14:textId="77777777" w:rsidR="003F2AA2" w:rsidRPr="00E36E40" w:rsidRDefault="003F2AA2" w:rsidP="004F6427">
            <w:pPr>
              <w:jc w:val="center"/>
              <w:rPr>
                <w:b/>
                <w:sz w:val="20"/>
                <w:szCs w:val="20"/>
              </w:rPr>
            </w:pPr>
            <w:r w:rsidRPr="00E36E40">
              <w:rPr>
                <w:sz w:val="20"/>
                <w:szCs w:val="20"/>
              </w:rPr>
              <w:t>1.115</w:t>
            </w:r>
          </w:p>
        </w:tc>
        <w:tc>
          <w:tcPr>
            <w:tcW w:w="992" w:type="dxa"/>
            <w:vAlign w:val="center"/>
          </w:tcPr>
          <w:p w14:paraId="1271A35D" w14:textId="77777777" w:rsidR="003F2AA2" w:rsidRPr="00E36E40" w:rsidRDefault="003F2AA2" w:rsidP="004F6427">
            <w:pPr>
              <w:jc w:val="center"/>
              <w:rPr>
                <w:b/>
                <w:sz w:val="20"/>
                <w:szCs w:val="20"/>
              </w:rPr>
            </w:pPr>
            <w:r w:rsidRPr="00E36E40">
              <w:rPr>
                <w:sz w:val="20"/>
                <w:szCs w:val="20"/>
              </w:rPr>
              <w:t>2.504</w:t>
            </w:r>
          </w:p>
        </w:tc>
        <w:tc>
          <w:tcPr>
            <w:tcW w:w="823" w:type="dxa"/>
            <w:vAlign w:val="center"/>
          </w:tcPr>
          <w:p w14:paraId="2C94EE0B" w14:textId="77777777" w:rsidR="003F2AA2" w:rsidRPr="00E36E40" w:rsidRDefault="003F2AA2" w:rsidP="004F6427">
            <w:pPr>
              <w:jc w:val="center"/>
              <w:rPr>
                <w:b/>
                <w:sz w:val="20"/>
                <w:szCs w:val="20"/>
              </w:rPr>
            </w:pPr>
            <w:r w:rsidRPr="00E36E40">
              <w:rPr>
                <w:sz w:val="20"/>
                <w:szCs w:val="20"/>
              </w:rPr>
              <w:t>3.576</w:t>
            </w:r>
          </w:p>
        </w:tc>
        <w:tc>
          <w:tcPr>
            <w:tcW w:w="878" w:type="dxa"/>
            <w:vAlign w:val="center"/>
          </w:tcPr>
          <w:p w14:paraId="687CEBDE" w14:textId="77777777" w:rsidR="003F2AA2" w:rsidRPr="00E36E40" w:rsidRDefault="003F2AA2" w:rsidP="004F6427">
            <w:pPr>
              <w:jc w:val="center"/>
              <w:rPr>
                <w:b/>
                <w:sz w:val="20"/>
                <w:szCs w:val="20"/>
              </w:rPr>
            </w:pPr>
            <w:r w:rsidRPr="00E36E40">
              <w:rPr>
                <w:sz w:val="20"/>
                <w:szCs w:val="20"/>
              </w:rPr>
              <w:t>6.007</w:t>
            </w:r>
          </w:p>
        </w:tc>
        <w:tc>
          <w:tcPr>
            <w:tcW w:w="983" w:type="dxa"/>
            <w:vAlign w:val="center"/>
          </w:tcPr>
          <w:p w14:paraId="1B71959E" w14:textId="77777777" w:rsidR="003F2AA2" w:rsidRPr="00E36E40" w:rsidRDefault="003F2AA2" w:rsidP="004F6427">
            <w:pPr>
              <w:jc w:val="center"/>
              <w:rPr>
                <w:b/>
                <w:sz w:val="20"/>
                <w:szCs w:val="20"/>
              </w:rPr>
            </w:pPr>
            <w:r w:rsidRPr="00E36E40">
              <w:rPr>
                <w:sz w:val="20"/>
                <w:szCs w:val="20"/>
              </w:rPr>
              <w:t>5.439</w:t>
            </w:r>
          </w:p>
        </w:tc>
      </w:tr>
      <w:tr w:rsidR="00E36E40" w:rsidRPr="00E36E40" w14:paraId="32BCDE39" w14:textId="77777777" w:rsidTr="00E36E40">
        <w:trPr>
          <w:trHeight w:val="397"/>
        </w:trPr>
        <w:tc>
          <w:tcPr>
            <w:tcW w:w="1843" w:type="dxa"/>
            <w:vAlign w:val="center"/>
          </w:tcPr>
          <w:p w14:paraId="71698DCF" w14:textId="77777777" w:rsidR="003F2AA2" w:rsidRPr="00E36E40" w:rsidRDefault="003F2AA2" w:rsidP="00E36E40">
            <w:pPr>
              <w:jc w:val="right"/>
              <w:rPr>
                <w:b/>
                <w:sz w:val="20"/>
                <w:szCs w:val="20"/>
              </w:rPr>
            </w:pPr>
            <w:r w:rsidRPr="00E36E40">
              <w:rPr>
                <w:b/>
                <w:sz w:val="20"/>
                <w:szCs w:val="20"/>
              </w:rPr>
              <w:t>Bici Parceros</w:t>
            </w:r>
          </w:p>
        </w:tc>
        <w:tc>
          <w:tcPr>
            <w:tcW w:w="2268" w:type="dxa"/>
            <w:vMerge/>
            <w:vAlign w:val="center"/>
          </w:tcPr>
          <w:p w14:paraId="79723867" w14:textId="77777777" w:rsidR="003F2AA2" w:rsidRPr="00E36E40" w:rsidRDefault="003F2AA2" w:rsidP="00E36E40">
            <w:pPr>
              <w:widowControl w:val="0"/>
              <w:pBdr>
                <w:top w:val="nil"/>
                <w:left w:val="nil"/>
                <w:bottom w:val="nil"/>
                <w:right w:val="nil"/>
                <w:between w:val="nil"/>
              </w:pBdr>
              <w:spacing w:line="276" w:lineRule="auto"/>
              <w:jc w:val="left"/>
              <w:rPr>
                <w:b/>
                <w:sz w:val="20"/>
                <w:szCs w:val="20"/>
              </w:rPr>
            </w:pPr>
          </w:p>
        </w:tc>
        <w:tc>
          <w:tcPr>
            <w:tcW w:w="850" w:type="dxa"/>
            <w:vAlign w:val="center"/>
          </w:tcPr>
          <w:p w14:paraId="2DEAD183" w14:textId="77777777" w:rsidR="003F2AA2" w:rsidRPr="00E36E40" w:rsidRDefault="003F2AA2" w:rsidP="004F6427">
            <w:pPr>
              <w:jc w:val="center"/>
              <w:rPr>
                <w:b/>
                <w:sz w:val="20"/>
                <w:szCs w:val="20"/>
              </w:rPr>
            </w:pPr>
            <w:r w:rsidRPr="00E36E40">
              <w:rPr>
                <w:sz w:val="20"/>
                <w:szCs w:val="20"/>
              </w:rPr>
              <w:t>0</w:t>
            </w:r>
          </w:p>
        </w:tc>
        <w:tc>
          <w:tcPr>
            <w:tcW w:w="992" w:type="dxa"/>
            <w:vAlign w:val="center"/>
          </w:tcPr>
          <w:p w14:paraId="24745F71" w14:textId="77777777" w:rsidR="003F2AA2" w:rsidRPr="00E36E40" w:rsidRDefault="003F2AA2" w:rsidP="004F6427">
            <w:pPr>
              <w:jc w:val="center"/>
              <w:rPr>
                <w:b/>
                <w:sz w:val="20"/>
                <w:szCs w:val="20"/>
              </w:rPr>
            </w:pPr>
            <w:r w:rsidRPr="00E36E40">
              <w:rPr>
                <w:sz w:val="20"/>
                <w:szCs w:val="20"/>
              </w:rPr>
              <w:t>0</w:t>
            </w:r>
          </w:p>
        </w:tc>
        <w:tc>
          <w:tcPr>
            <w:tcW w:w="823" w:type="dxa"/>
            <w:vAlign w:val="center"/>
          </w:tcPr>
          <w:p w14:paraId="1F7E2527" w14:textId="77777777" w:rsidR="003F2AA2" w:rsidRPr="00E36E40" w:rsidRDefault="003F2AA2" w:rsidP="004F6427">
            <w:pPr>
              <w:jc w:val="center"/>
              <w:rPr>
                <w:b/>
                <w:sz w:val="20"/>
                <w:szCs w:val="20"/>
              </w:rPr>
            </w:pPr>
            <w:r w:rsidRPr="00E36E40">
              <w:rPr>
                <w:sz w:val="20"/>
                <w:szCs w:val="20"/>
              </w:rPr>
              <w:t>877</w:t>
            </w:r>
          </w:p>
        </w:tc>
        <w:tc>
          <w:tcPr>
            <w:tcW w:w="878" w:type="dxa"/>
            <w:vAlign w:val="center"/>
          </w:tcPr>
          <w:p w14:paraId="45641E5D" w14:textId="77777777" w:rsidR="003F2AA2" w:rsidRPr="00E36E40" w:rsidRDefault="003F2AA2" w:rsidP="004F6427">
            <w:pPr>
              <w:jc w:val="center"/>
              <w:rPr>
                <w:b/>
                <w:sz w:val="20"/>
                <w:szCs w:val="20"/>
              </w:rPr>
            </w:pPr>
            <w:r w:rsidRPr="00E36E40">
              <w:rPr>
                <w:sz w:val="20"/>
                <w:szCs w:val="20"/>
              </w:rPr>
              <w:t>2.509</w:t>
            </w:r>
          </w:p>
        </w:tc>
        <w:tc>
          <w:tcPr>
            <w:tcW w:w="983" w:type="dxa"/>
            <w:vAlign w:val="center"/>
          </w:tcPr>
          <w:p w14:paraId="2CED9D6B" w14:textId="77777777" w:rsidR="003F2AA2" w:rsidRPr="00E36E40" w:rsidRDefault="003F2AA2" w:rsidP="004F6427">
            <w:pPr>
              <w:jc w:val="center"/>
              <w:rPr>
                <w:b/>
                <w:sz w:val="20"/>
                <w:szCs w:val="20"/>
              </w:rPr>
            </w:pPr>
            <w:r w:rsidRPr="00E36E40">
              <w:rPr>
                <w:sz w:val="20"/>
                <w:szCs w:val="20"/>
              </w:rPr>
              <w:t>3.437</w:t>
            </w:r>
          </w:p>
        </w:tc>
      </w:tr>
      <w:tr w:rsidR="00E36E40" w:rsidRPr="00E36E40" w14:paraId="18B0FE47" w14:textId="77777777" w:rsidTr="00E36E40">
        <w:trPr>
          <w:trHeight w:val="20"/>
        </w:trPr>
        <w:tc>
          <w:tcPr>
            <w:tcW w:w="1843" w:type="dxa"/>
            <w:vAlign w:val="center"/>
          </w:tcPr>
          <w:p w14:paraId="12A60E12" w14:textId="77777777" w:rsidR="003F2AA2" w:rsidRPr="00E36E40" w:rsidRDefault="003F2AA2" w:rsidP="00E36E40">
            <w:pPr>
              <w:jc w:val="right"/>
              <w:rPr>
                <w:b/>
                <w:sz w:val="20"/>
                <w:szCs w:val="20"/>
              </w:rPr>
            </w:pPr>
            <w:r w:rsidRPr="00E36E40">
              <w:rPr>
                <w:b/>
                <w:sz w:val="20"/>
                <w:szCs w:val="20"/>
              </w:rPr>
              <w:t>Guardacaminos</w:t>
            </w:r>
          </w:p>
        </w:tc>
        <w:tc>
          <w:tcPr>
            <w:tcW w:w="2268" w:type="dxa"/>
            <w:vAlign w:val="center"/>
          </w:tcPr>
          <w:p w14:paraId="07768875" w14:textId="77777777" w:rsidR="003F2AA2" w:rsidRPr="00E36E40" w:rsidRDefault="003F2AA2" w:rsidP="00E36E40">
            <w:pPr>
              <w:jc w:val="left"/>
              <w:rPr>
                <w:sz w:val="20"/>
                <w:szCs w:val="20"/>
              </w:rPr>
            </w:pPr>
            <w:r w:rsidRPr="00E36E40">
              <w:rPr>
                <w:sz w:val="20"/>
                <w:szCs w:val="20"/>
              </w:rPr>
              <w:t>Estudiantes que utilizaron los pasos seguros</w:t>
            </w:r>
          </w:p>
        </w:tc>
        <w:tc>
          <w:tcPr>
            <w:tcW w:w="850" w:type="dxa"/>
            <w:vAlign w:val="center"/>
          </w:tcPr>
          <w:p w14:paraId="695DA1A8" w14:textId="77777777" w:rsidR="003F2AA2" w:rsidRPr="00E36E40" w:rsidRDefault="003F2AA2" w:rsidP="004F6427">
            <w:pPr>
              <w:jc w:val="center"/>
              <w:rPr>
                <w:b/>
                <w:sz w:val="20"/>
                <w:szCs w:val="20"/>
              </w:rPr>
            </w:pPr>
            <w:r w:rsidRPr="00E36E40">
              <w:rPr>
                <w:sz w:val="20"/>
                <w:szCs w:val="20"/>
              </w:rPr>
              <w:t>0</w:t>
            </w:r>
          </w:p>
        </w:tc>
        <w:tc>
          <w:tcPr>
            <w:tcW w:w="992" w:type="dxa"/>
            <w:vAlign w:val="center"/>
          </w:tcPr>
          <w:p w14:paraId="480F89DD" w14:textId="77777777" w:rsidR="003F2AA2" w:rsidRPr="00E36E40" w:rsidRDefault="003F2AA2" w:rsidP="004F6427">
            <w:pPr>
              <w:jc w:val="center"/>
              <w:rPr>
                <w:b/>
                <w:sz w:val="20"/>
                <w:szCs w:val="20"/>
              </w:rPr>
            </w:pPr>
            <w:r w:rsidRPr="00E36E40">
              <w:rPr>
                <w:sz w:val="20"/>
                <w:szCs w:val="20"/>
              </w:rPr>
              <w:t>0</w:t>
            </w:r>
          </w:p>
        </w:tc>
        <w:tc>
          <w:tcPr>
            <w:tcW w:w="823" w:type="dxa"/>
            <w:vAlign w:val="center"/>
          </w:tcPr>
          <w:p w14:paraId="1728C957" w14:textId="77777777" w:rsidR="003F2AA2" w:rsidRPr="00E36E40" w:rsidRDefault="003F2AA2" w:rsidP="004F6427">
            <w:pPr>
              <w:jc w:val="center"/>
              <w:rPr>
                <w:b/>
                <w:sz w:val="20"/>
                <w:szCs w:val="20"/>
              </w:rPr>
            </w:pPr>
            <w:r w:rsidRPr="00E36E40">
              <w:rPr>
                <w:sz w:val="20"/>
                <w:szCs w:val="20"/>
              </w:rPr>
              <w:t>0</w:t>
            </w:r>
          </w:p>
        </w:tc>
        <w:tc>
          <w:tcPr>
            <w:tcW w:w="878" w:type="dxa"/>
            <w:vAlign w:val="center"/>
          </w:tcPr>
          <w:p w14:paraId="12C0D138" w14:textId="77777777" w:rsidR="003F2AA2" w:rsidRPr="00E36E40" w:rsidRDefault="003F2AA2" w:rsidP="004F6427">
            <w:pPr>
              <w:jc w:val="center"/>
              <w:rPr>
                <w:b/>
                <w:sz w:val="20"/>
                <w:szCs w:val="20"/>
              </w:rPr>
            </w:pPr>
            <w:r w:rsidRPr="00E36E40">
              <w:rPr>
                <w:sz w:val="20"/>
                <w:szCs w:val="20"/>
              </w:rPr>
              <w:t>0</w:t>
            </w:r>
          </w:p>
        </w:tc>
        <w:tc>
          <w:tcPr>
            <w:tcW w:w="983" w:type="dxa"/>
            <w:vAlign w:val="center"/>
          </w:tcPr>
          <w:p w14:paraId="0A27172E" w14:textId="77777777" w:rsidR="003F2AA2" w:rsidRPr="00E36E40" w:rsidRDefault="003F2AA2" w:rsidP="004F6427">
            <w:pPr>
              <w:jc w:val="center"/>
              <w:rPr>
                <w:b/>
                <w:sz w:val="20"/>
                <w:szCs w:val="20"/>
              </w:rPr>
            </w:pPr>
            <w:r w:rsidRPr="00E36E40">
              <w:rPr>
                <w:sz w:val="20"/>
                <w:szCs w:val="20"/>
              </w:rPr>
              <w:t>21.607</w:t>
            </w:r>
          </w:p>
        </w:tc>
      </w:tr>
      <w:tr w:rsidR="00E36E40" w:rsidRPr="00E36E40" w14:paraId="33E91B31" w14:textId="77777777" w:rsidTr="00E36E40">
        <w:trPr>
          <w:trHeight w:val="20"/>
        </w:trPr>
        <w:tc>
          <w:tcPr>
            <w:tcW w:w="1843" w:type="dxa"/>
            <w:vAlign w:val="center"/>
          </w:tcPr>
          <w:p w14:paraId="5917B6F8" w14:textId="77777777" w:rsidR="003F2AA2" w:rsidRPr="00E36E40" w:rsidRDefault="003F2AA2" w:rsidP="00E36E40">
            <w:pPr>
              <w:jc w:val="right"/>
              <w:rPr>
                <w:b/>
                <w:sz w:val="20"/>
                <w:szCs w:val="20"/>
              </w:rPr>
            </w:pPr>
            <w:r w:rsidRPr="00E36E40">
              <w:rPr>
                <w:b/>
                <w:sz w:val="20"/>
                <w:szCs w:val="20"/>
              </w:rPr>
              <w:t>Ruta Pila</w:t>
            </w:r>
          </w:p>
        </w:tc>
        <w:tc>
          <w:tcPr>
            <w:tcW w:w="2268" w:type="dxa"/>
            <w:vAlign w:val="center"/>
          </w:tcPr>
          <w:p w14:paraId="7DD32560" w14:textId="77777777" w:rsidR="003F2AA2" w:rsidRPr="00E36E40" w:rsidRDefault="003F2AA2" w:rsidP="00E36E40">
            <w:pPr>
              <w:jc w:val="left"/>
              <w:rPr>
                <w:sz w:val="20"/>
                <w:szCs w:val="20"/>
              </w:rPr>
            </w:pPr>
            <w:r w:rsidRPr="00E36E40">
              <w:rPr>
                <w:sz w:val="20"/>
                <w:szCs w:val="20"/>
              </w:rPr>
              <w:t>Estudiantes beneficiarios de los vehículos escolares verificados</w:t>
            </w:r>
          </w:p>
        </w:tc>
        <w:tc>
          <w:tcPr>
            <w:tcW w:w="850" w:type="dxa"/>
            <w:vAlign w:val="center"/>
          </w:tcPr>
          <w:p w14:paraId="284DD98D" w14:textId="77777777" w:rsidR="003F2AA2" w:rsidRPr="00E36E40" w:rsidRDefault="003F2AA2" w:rsidP="004F6427">
            <w:pPr>
              <w:jc w:val="center"/>
              <w:rPr>
                <w:b/>
                <w:sz w:val="20"/>
                <w:szCs w:val="20"/>
              </w:rPr>
            </w:pPr>
            <w:r w:rsidRPr="00E36E40">
              <w:rPr>
                <w:sz w:val="20"/>
                <w:szCs w:val="20"/>
              </w:rPr>
              <w:t>62.000</w:t>
            </w:r>
          </w:p>
        </w:tc>
        <w:tc>
          <w:tcPr>
            <w:tcW w:w="992" w:type="dxa"/>
            <w:vAlign w:val="center"/>
          </w:tcPr>
          <w:p w14:paraId="4D9FAB7F" w14:textId="77777777" w:rsidR="003F2AA2" w:rsidRPr="00E36E40" w:rsidRDefault="003F2AA2" w:rsidP="004F6427">
            <w:pPr>
              <w:jc w:val="center"/>
              <w:rPr>
                <w:b/>
                <w:sz w:val="20"/>
                <w:szCs w:val="20"/>
              </w:rPr>
            </w:pPr>
            <w:r w:rsidRPr="00E36E40">
              <w:rPr>
                <w:sz w:val="20"/>
                <w:szCs w:val="20"/>
              </w:rPr>
              <w:t>31.001</w:t>
            </w:r>
          </w:p>
        </w:tc>
        <w:tc>
          <w:tcPr>
            <w:tcW w:w="823" w:type="dxa"/>
            <w:vAlign w:val="center"/>
          </w:tcPr>
          <w:p w14:paraId="01830699" w14:textId="77777777" w:rsidR="003F2AA2" w:rsidRPr="00E36E40" w:rsidRDefault="003F2AA2" w:rsidP="004F6427">
            <w:pPr>
              <w:jc w:val="center"/>
              <w:rPr>
                <w:b/>
                <w:sz w:val="20"/>
                <w:szCs w:val="20"/>
              </w:rPr>
            </w:pPr>
            <w:r w:rsidRPr="00E36E40">
              <w:rPr>
                <w:sz w:val="20"/>
                <w:szCs w:val="20"/>
              </w:rPr>
              <w:t>61.087</w:t>
            </w:r>
          </w:p>
        </w:tc>
        <w:tc>
          <w:tcPr>
            <w:tcW w:w="878" w:type="dxa"/>
            <w:vAlign w:val="center"/>
          </w:tcPr>
          <w:p w14:paraId="1AA0DECC" w14:textId="77777777" w:rsidR="003F2AA2" w:rsidRPr="00E36E40" w:rsidRDefault="003F2AA2" w:rsidP="004F6427">
            <w:pPr>
              <w:jc w:val="center"/>
              <w:rPr>
                <w:b/>
                <w:sz w:val="20"/>
                <w:szCs w:val="20"/>
              </w:rPr>
            </w:pPr>
            <w:r w:rsidRPr="00E36E40">
              <w:rPr>
                <w:sz w:val="20"/>
                <w:szCs w:val="20"/>
              </w:rPr>
              <w:t>126.000</w:t>
            </w:r>
          </w:p>
        </w:tc>
        <w:tc>
          <w:tcPr>
            <w:tcW w:w="983" w:type="dxa"/>
            <w:vAlign w:val="center"/>
          </w:tcPr>
          <w:p w14:paraId="288FE8F7" w14:textId="77777777" w:rsidR="003F2AA2" w:rsidRPr="00E36E40" w:rsidRDefault="003F2AA2" w:rsidP="004F6427">
            <w:pPr>
              <w:jc w:val="center"/>
              <w:rPr>
                <w:b/>
                <w:sz w:val="20"/>
                <w:szCs w:val="20"/>
              </w:rPr>
            </w:pPr>
            <w:r w:rsidRPr="00E36E40">
              <w:rPr>
                <w:sz w:val="20"/>
                <w:szCs w:val="20"/>
              </w:rPr>
              <w:t>126.000</w:t>
            </w:r>
          </w:p>
        </w:tc>
      </w:tr>
    </w:tbl>
    <w:p w14:paraId="10C505A0" w14:textId="6D2A3430" w:rsidR="003F2AA2" w:rsidRDefault="003F2AA2" w:rsidP="003F2AA2">
      <w:pPr>
        <w:pBdr>
          <w:top w:val="nil"/>
          <w:left w:val="nil"/>
          <w:bottom w:val="nil"/>
          <w:right w:val="nil"/>
          <w:between w:val="nil"/>
        </w:pBdr>
        <w:spacing w:line="220" w:lineRule="auto"/>
        <w:jc w:val="center"/>
        <w:rPr>
          <w:color w:val="3B3838"/>
          <w:sz w:val="18"/>
          <w:szCs w:val="18"/>
        </w:rPr>
      </w:pPr>
      <w:r w:rsidRPr="00511C88">
        <w:rPr>
          <w:b/>
          <w:bCs/>
          <w:color w:val="3B3838"/>
          <w:sz w:val="18"/>
          <w:szCs w:val="18"/>
        </w:rPr>
        <w:t>Fuente:</w:t>
      </w:r>
      <w:r>
        <w:rPr>
          <w:color w:val="3B3838"/>
          <w:sz w:val="18"/>
          <w:szCs w:val="18"/>
        </w:rPr>
        <w:t xml:space="preserve"> SDM. Corte a abril de 2024.</w:t>
      </w:r>
    </w:p>
    <w:p w14:paraId="07211605" w14:textId="77777777" w:rsidR="00E36E40" w:rsidRDefault="00E36E40" w:rsidP="003F2AA2">
      <w:pPr>
        <w:pBdr>
          <w:top w:val="nil"/>
          <w:left w:val="nil"/>
          <w:bottom w:val="nil"/>
          <w:right w:val="nil"/>
          <w:between w:val="nil"/>
        </w:pBdr>
        <w:spacing w:line="220" w:lineRule="auto"/>
        <w:jc w:val="center"/>
        <w:rPr>
          <w:color w:val="C00000"/>
          <w:sz w:val="18"/>
          <w:szCs w:val="18"/>
        </w:rPr>
      </w:pPr>
    </w:p>
    <w:p w14:paraId="71758CA6" w14:textId="7DAF0FB2" w:rsidR="00E36E40" w:rsidRDefault="00E36E40" w:rsidP="003F2AA2">
      <w:pPr>
        <w:rPr>
          <w:i/>
        </w:rPr>
        <w:sectPr w:rsidR="00E36E40" w:rsidSect="00F7078E">
          <w:type w:val="continuous"/>
          <w:pgSz w:w="12240" w:h="15840"/>
          <w:pgMar w:top="2262" w:right="1440" w:bottom="1440" w:left="1440" w:header="708" w:footer="708" w:gutter="0"/>
          <w:cols w:space="720"/>
        </w:sectPr>
      </w:pPr>
    </w:p>
    <w:p w14:paraId="45A1A35E" w14:textId="79066E38"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Por último, el análisis de la siniestralidad se centra en sus consecuencias más graves, esto es la pérdida de vidas humanas. Como se observa en la</w:t>
      </w:r>
      <w:r w:rsidR="001C6DED" w:rsidRPr="001C6DED">
        <w:t xml:space="preserve"> </w:t>
      </w:r>
      <w:r w:rsidR="001C6DED" w:rsidRPr="001C6DED">
        <w:fldChar w:fldCharType="begin"/>
      </w:r>
      <w:r w:rsidR="001C6DED" w:rsidRPr="001C6DED">
        <w:instrText xml:space="preserve"> REF _Ref165125586 \h </w:instrText>
      </w:r>
      <w:r w:rsidR="001C6DED" w:rsidRPr="001C6DED">
        <w:fldChar w:fldCharType="separate"/>
      </w:r>
      <w:r w:rsidR="00D01651" w:rsidRPr="00511C88">
        <w:rPr>
          <w:color w:val="C00000"/>
          <w:sz w:val="18"/>
          <w:szCs w:val="18"/>
        </w:rPr>
        <w:t xml:space="preserve">Gráfica </w:t>
      </w:r>
      <w:r w:rsidR="00D01651">
        <w:rPr>
          <w:noProof/>
          <w:color w:val="C00000"/>
          <w:sz w:val="18"/>
        </w:rPr>
        <w:t>34</w:t>
      </w:r>
      <w:r w:rsidR="001C6DED" w:rsidRPr="001C6DED">
        <w:fldChar w:fldCharType="end"/>
      </w:r>
      <w:r w:rsidRPr="001C6DED">
        <w:t xml:space="preserve">, </w:t>
      </w:r>
      <w:r>
        <w:t xml:space="preserve">este fenómeno tuvo una tendencia </w:t>
      </w:r>
      <w:r>
        <w:t>decreciente hacia el 2020, reportando el menor valor en el año de pandemia 2020, con 365 muertes, y una tendencia creciente que alcanzó 542 fatalidades en 2023.</w:t>
      </w:r>
    </w:p>
    <w:p w14:paraId="65053453" w14:textId="77777777" w:rsidR="003F2AA2" w:rsidRDefault="003F2AA2" w:rsidP="003F2AA2"/>
    <w:p w14:paraId="13B53291" w14:textId="77777777" w:rsidR="003F2AA2" w:rsidRDefault="003F2AA2" w:rsidP="003F2AA2"/>
    <w:p w14:paraId="0D92C4DF" w14:textId="77777777" w:rsidR="00511C88" w:rsidRDefault="00511C88">
      <w:pPr>
        <w:spacing w:line="240" w:lineRule="auto"/>
        <w:jc w:val="left"/>
        <w:rPr>
          <w:b/>
          <w:color w:val="3B3838"/>
          <w:sz w:val="18"/>
          <w:szCs w:val="18"/>
        </w:rPr>
      </w:pPr>
      <w:r>
        <w:rPr>
          <w:b/>
          <w:color w:val="3B3838"/>
          <w:sz w:val="18"/>
          <w:szCs w:val="18"/>
        </w:rPr>
        <w:br w:type="page"/>
      </w:r>
    </w:p>
    <w:p w14:paraId="2961930F" w14:textId="0E78E0D8" w:rsidR="003F2AA2" w:rsidRPr="00511C88" w:rsidRDefault="00511C88" w:rsidP="00511C88">
      <w:pPr>
        <w:pStyle w:val="Descripcin"/>
        <w:jc w:val="center"/>
        <w:rPr>
          <w:sz w:val="18"/>
        </w:rPr>
      </w:pPr>
      <w:bookmarkStart w:id="224" w:name="_Ref165125586"/>
      <w:bookmarkStart w:id="225" w:name="_Toc165169860"/>
      <w:r w:rsidRPr="00511C88">
        <w:rPr>
          <w:color w:val="C00000"/>
          <w:sz w:val="18"/>
        </w:rPr>
        <w:lastRenderedPageBreak/>
        <w:t xml:space="preserve">Gráfica </w:t>
      </w:r>
      <w:r w:rsidRPr="00511C88">
        <w:rPr>
          <w:color w:val="C00000"/>
          <w:sz w:val="18"/>
        </w:rPr>
        <w:fldChar w:fldCharType="begin"/>
      </w:r>
      <w:r w:rsidRPr="00511C88">
        <w:rPr>
          <w:color w:val="C00000"/>
          <w:sz w:val="18"/>
        </w:rPr>
        <w:instrText xml:space="preserve"> SEQ Gráfica \* ARABIC </w:instrText>
      </w:r>
      <w:r w:rsidRPr="00511C88">
        <w:rPr>
          <w:color w:val="C00000"/>
          <w:sz w:val="18"/>
        </w:rPr>
        <w:fldChar w:fldCharType="separate"/>
      </w:r>
      <w:r w:rsidR="00D01651">
        <w:rPr>
          <w:noProof/>
          <w:color w:val="C00000"/>
          <w:sz w:val="18"/>
        </w:rPr>
        <w:t>34</w:t>
      </w:r>
      <w:r w:rsidRPr="00511C88">
        <w:rPr>
          <w:color w:val="C00000"/>
          <w:sz w:val="18"/>
        </w:rPr>
        <w:fldChar w:fldCharType="end"/>
      </w:r>
      <w:bookmarkEnd w:id="224"/>
      <w:r w:rsidRPr="00511C88">
        <w:rPr>
          <w:color w:val="C00000"/>
          <w:sz w:val="18"/>
        </w:rPr>
        <w:t xml:space="preserve">. </w:t>
      </w:r>
      <w:r w:rsidR="003F2AA2" w:rsidRPr="00511C88">
        <w:rPr>
          <w:sz w:val="18"/>
        </w:rPr>
        <w:t>Número de fatalidades anuales por siniestros viales en Bogotá</w:t>
      </w:r>
      <w:bookmarkEnd w:id="225"/>
    </w:p>
    <w:p w14:paraId="1F536AA3" w14:textId="77777777" w:rsidR="003F2AA2" w:rsidRDefault="003F2AA2" w:rsidP="003F2AA2">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51424" behindDoc="0" locked="0" layoutInCell="1" hidden="0" allowOverlap="1" wp14:anchorId="20E204CF" wp14:editId="19DF3D3D">
            <wp:simplePos x="0" y="0"/>
            <wp:positionH relativeFrom="column">
              <wp:posOffset>152427</wp:posOffset>
            </wp:positionH>
            <wp:positionV relativeFrom="paragraph">
              <wp:posOffset>19766</wp:posOffset>
            </wp:positionV>
            <wp:extent cx="5307276" cy="2850204"/>
            <wp:effectExtent l="0" t="0" r="0" b="0"/>
            <wp:wrapNone/>
            <wp:docPr id="213351598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6"/>
                    <a:srcRect/>
                    <a:stretch>
                      <a:fillRect/>
                    </a:stretch>
                  </pic:blipFill>
                  <pic:spPr>
                    <a:xfrm>
                      <a:off x="0" y="0"/>
                      <a:ext cx="5307276" cy="2850204"/>
                    </a:xfrm>
                    <a:prstGeom prst="rect">
                      <a:avLst/>
                    </a:prstGeom>
                    <a:ln/>
                  </pic:spPr>
                </pic:pic>
              </a:graphicData>
            </a:graphic>
          </wp:anchor>
        </w:drawing>
      </w:r>
    </w:p>
    <w:p w14:paraId="5E2EADE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FD35E93"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AE00273"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ECAAF7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0BA898C"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F3BC2E9"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2B132A4"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12F0C128"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92ECD8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38ED3FC"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296749A2"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7A809295" w14:textId="2E764422" w:rsidR="003F2AA2" w:rsidRDefault="003F2AA2" w:rsidP="003F2AA2">
      <w:pPr>
        <w:pBdr>
          <w:top w:val="nil"/>
          <w:left w:val="nil"/>
          <w:bottom w:val="nil"/>
          <w:right w:val="nil"/>
          <w:between w:val="nil"/>
        </w:pBdr>
        <w:spacing w:line="220" w:lineRule="auto"/>
        <w:jc w:val="center"/>
        <w:rPr>
          <w:color w:val="C00000"/>
          <w:sz w:val="18"/>
          <w:szCs w:val="18"/>
        </w:rPr>
      </w:pPr>
    </w:p>
    <w:p w14:paraId="0A209423" w14:textId="1EDFB6A4" w:rsidR="00E36E40" w:rsidRDefault="00E36E40" w:rsidP="003F2AA2">
      <w:pPr>
        <w:pBdr>
          <w:top w:val="nil"/>
          <w:left w:val="nil"/>
          <w:bottom w:val="nil"/>
          <w:right w:val="nil"/>
          <w:between w:val="nil"/>
        </w:pBdr>
        <w:spacing w:line="220" w:lineRule="auto"/>
        <w:jc w:val="center"/>
        <w:rPr>
          <w:color w:val="C00000"/>
          <w:sz w:val="18"/>
          <w:szCs w:val="18"/>
        </w:rPr>
      </w:pPr>
    </w:p>
    <w:p w14:paraId="076E86B3" w14:textId="363241B1" w:rsidR="00E36E40" w:rsidRDefault="00E36E40" w:rsidP="003F2AA2">
      <w:pPr>
        <w:pBdr>
          <w:top w:val="nil"/>
          <w:left w:val="nil"/>
          <w:bottom w:val="nil"/>
          <w:right w:val="nil"/>
          <w:between w:val="nil"/>
        </w:pBdr>
        <w:spacing w:line="220" w:lineRule="auto"/>
        <w:jc w:val="center"/>
        <w:rPr>
          <w:color w:val="C00000"/>
          <w:sz w:val="18"/>
          <w:szCs w:val="18"/>
        </w:rPr>
      </w:pPr>
    </w:p>
    <w:p w14:paraId="410EF3C6" w14:textId="75AACFEA" w:rsidR="00E36E40" w:rsidRDefault="00E36E40" w:rsidP="003F2AA2">
      <w:pPr>
        <w:pBdr>
          <w:top w:val="nil"/>
          <w:left w:val="nil"/>
          <w:bottom w:val="nil"/>
          <w:right w:val="nil"/>
          <w:between w:val="nil"/>
        </w:pBdr>
        <w:spacing w:line="220" w:lineRule="auto"/>
        <w:jc w:val="center"/>
        <w:rPr>
          <w:color w:val="C00000"/>
          <w:sz w:val="18"/>
          <w:szCs w:val="18"/>
        </w:rPr>
      </w:pPr>
    </w:p>
    <w:p w14:paraId="34F72DCF" w14:textId="09A523F6" w:rsidR="00E36E40" w:rsidRDefault="00E36E40" w:rsidP="003F2AA2">
      <w:pPr>
        <w:pBdr>
          <w:top w:val="nil"/>
          <w:left w:val="nil"/>
          <w:bottom w:val="nil"/>
          <w:right w:val="nil"/>
          <w:between w:val="nil"/>
        </w:pBdr>
        <w:spacing w:line="220" w:lineRule="auto"/>
        <w:jc w:val="center"/>
        <w:rPr>
          <w:color w:val="C00000"/>
          <w:sz w:val="18"/>
          <w:szCs w:val="18"/>
        </w:rPr>
      </w:pPr>
    </w:p>
    <w:p w14:paraId="1F614BF7" w14:textId="77777777" w:rsidR="00E36E40" w:rsidRDefault="00E36E40" w:rsidP="003F2AA2">
      <w:pPr>
        <w:pBdr>
          <w:top w:val="nil"/>
          <w:left w:val="nil"/>
          <w:bottom w:val="nil"/>
          <w:right w:val="nil"/>
          <w:between w:val="nil"/>
        </w:pBdr>
        <w:spacing w:line="220" w:lineRule="auto"/>
        <w:jc w:val="center"/>
        <w:rPr>
          <w:color w:val="C00000"/>
          <w:sz w:val="18"/>
          <w:szCs w:val="18"/>
        </w:rPr>
      </w:pPr>
    </w:p>
    <w:p w14:paraId="318449F4"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B15D7C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5004BC39"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60B5ADFF"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4E100EE" w14:textId="77777777" w:rsidR="003F2AA2" w:rsidRDefault="003F2AA2" w:rsidP="003F2AA2">
      <w:pPr>
        <w:pBdr>
          <w:top w:val="nil"/>
          <w:left w:val="nil"/>
          <w:bottom w:val="nil"/>
          <w:right w:val="nil"/>
          <w:between w:val="nil"/>
        </w:pBdr>
        <w:spacing w:line="220" w:lineRule="auto"/>
        <w:jc w:val="center"/>
        <w:rPr>
          <w:color w:val="C00000"/>
          <w:sz w:val="18"/>
          <w:szCs w:val="18"/>
        </w:rPr>
      </w:pPr>
    </w:p>
    <w:p w14:paraId="36ED7684" w14:textId="1B56659B" w:rsidR="003F2AA2" w:rsidRDefault="003F2AA2" w:rsidP="003F2AA2">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SIGAT.</w:t>
      </w:r>
    </w:p>
    <w:p w14:paraId="4E892D74" w14:textId="77777777" w:rsidR="00E36E40" w:rsidRDefault="00E36E40" w:rsidP="003F2AA2">
      <w:pPr>
        <w:pBdr>
          <w:top w:val="nil"/>
          <w:left w:val="nil"/>
          <w:bottom w:val="nil"/>
          <w:right w:val="nil"/>
          <w:between w:val="nil"/>
        </w:pBdr>
        <w:spacing w:line="220" w:lineRule="auto"/>
        <w:jc w:val="center"/>
        <w:rPr>
          <w:color w:val="3B3838"/>
          <w:sz w:val="18"/>
          <w:szCs w:val="18"/>
        </w:rPr>
      </w:pPr>
    </w:p>
    <w:p w14:paraId="2FF03D8E" w14:textId="77777777" w:rsidR="00E36E40" w:rsidRDefault="00E36E40" w:rsidP="003F2AA2">
      <w:pPr>
        <w:pBdr>
          <w:top w:val="nil"/>
          <w:left w:val="nil"/>
          <w:bottom w:val="nil"/>
          <w:right w:val="nil"/>
          <w:between w:val="nil"/>
        </w:pBdr>
        <w:spacing w:line="220" w:lineRule="auto"/>
        <w:jc w:val="center"/>
        <w:rPr>
          <w:color w:val="3B3838"/>
          <w:sz w:val="18"/>
          <w:szCs w:val="18"/>
        </w:rPr>
      </w:pPr>
    </w:p>
    <w:p w14:paraId="4EE86771" w14:textId="77777777" w:rsidR="003F2AA2" w:rsidRDefault="003F2AA2" w:rsidP="003F2AA2">
      <w:pPr>
        <w:rPr>
          <w:i/>
        </w:rPr>
        <w:sectPr w:rsidR="003F2AA2" w:rsidSect="00F7078E">
          <w:type w:val="continuous"/>
          <w:pgSz w:w="12240" w:h="15840"/>
          <w:pgMar w:top="2262" w:right="1440" w:bottom="1440" w:left="1440" w:header="708" w:footer="708" w:gutter="0"/>
          <w:cols w:space="720"/>
        </w:sectPr>
      </w:pPr>
    </w:p>
    <w:p w14:paraId="44D52A73" w14:textId="77777777" w:rsidR="003F2AA2" w:rsidRDefault="003F2AA2" w:rsidP="003F2AA2">
      <w:r>
        <w:t>Al revisar las fatalidades de 2020 a 2023, el 75 % de los fallecidos en general son hombres con edades entre 21 y 44 años (60 % de los hombres fallecidos) y que pierden la vida en siniestros viales ocurridos entre las 10:00 p. m. y 5:00 a. m. entre los viernes y el sábado. Por su parte, las localidades con la mayor incidencia de fatalidades son Kennedy (13,5 %), Engativá (8,62 %), Ciudad Bolívar (8,04 %), Fontibón (7,62 %), Suba (7,52 %) y Bosa (7,15 %).</w:t>
      </w:r>
    </w:p>
    <w:p w14:paraId="40CA53CC" w14:textId="77777777" w:rsidR="003F2AA2" w:rsidRDefault="003F2AA2" w:rsidP="003F2AA2"/>
    <w:p w14:paraId="2CFD80AB" w14:textId="77777777" w:rsidR="003F2AA2" w:rsidRDefault="003F2AA2" w:rsidP="003F2AA2">
      <w:r>
        <w:t xml:space="preserve">Frente a este fenómeno, se destaca que las víctimas por lo general se movilizaban en los modos más vulnerables. Las personas usuarias de motocicleta que fallecieron en siniestros viales entre 2020 y 2023 corresponden al 43 % del total de víctimas, seguido por los peatones en un 37 % y ciclistas en un 15 %. Entre el total de las personas usuarias de motocicleta fallecidas, el 55 % eran hombres entre los 18 y 34 años. En el mismo periodo, los usuarios de motocicleta son los que más se vieron involucrados en siniestros con personas fallecidas (en 61,5 % el total), bien sea porque son los usuarios que fallecen o porque se ven involucrados en la interacción con </w:t>
      </w:r>
      <w:r>
        <w:t>otro usuario vial que muere. Del total de fatalidades de usuarios de motocicleta, el 15 % corresponde a pasajeros, de los cuales el 71 % fueron mujeres.</w:t>
      </w:r>
    </w:p>
    <w:p w14:paraId="143DE582" w14:textId="77777777" w:rsidR="003F2AA2" w:rsidRDefault="003F2AA2" w:rsidP="003F2AA2"/>
    <w:p w14:paraId="259A6759" w14:textId="77777777" w:rsidR="003F2AA2" w:rsidRDefault="003F2AA2" w:rsidP="003F2AA2">
      <w:r>
        <w:t>Frente a los comportamientos problemáticos que se observan en el transporte público, el Registro Nacional de Medidas Correctivas de la Policía Nacional (RNMC) reportó para 2022, 49.188 comparendos por evasión del pago del tiquete y 19.938 por ingresar o salir de estaciones por sitios distintos a las puertas designadas. En 2023 se registraron 76.624 y 75.556 comparendos en cada caso. Lo anterior, como consecuencia de las acciones de control de evasión de pago adelantadas por las autoridades.</w:t>
      </w:r>
    </w:p>
    <w:p w14:paraId="2F7B80DF" w14:textId="77777777" w:rsidR="003F2AA2" w:rsidRDefault="003F2AA2" w:rsidP="003F2AA2"/>
    <w:p w14:paraId="300BC60D" w14:textId="77777777"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Finalmente, Bogotá es una ciudad que avanza en la construcción de infraestructura vial, y así lo evidencian los frentes de obra que incrementaron más del 100 % de su longitud entre 2020 y 2023, tendencia que se proyecta que se mantenga por los siguientes cuatro años. Esto supone un reto importante en materia de seguridad y movilidad, pues los diagnósticos reflejan </w:t>
      </w:r>
      <w:r>
        <w:lastRenderedPageBreak/>
        <w:t>que la ciudad no ofrece garantías para una movilidad amable y segura para toda su población.</w:t>
      </w:r>
    </w:p>
    <w:p w14:paraId="4EB9AECC" w14:textId="77777777" w:rsidR="003F2AA2" w:rsidRDefault="003F2AA2" w:rsidP="003F2AA2">
      <w:pPr>
        <w:keepNext/>
        <w:keepLines/>
        <w:pBdr>
          <w:top w:val="nil"/>
          <w:left w:val="nil"/>
          <w:bottom w:val="nil"/>
          <w:right w:val="nil"/>
          <w:between w:val="nil"/>
        </w:pBdr>
        <w:spacing w:line="340" w:lineRule="auto"/>
        <w:ind w:left="1145" w:hanging="720"/>
        <w:jc w:val="left"/>
        <w:rPr>
          <w:b/>
          <w:sz w:val="28"/>
          <w:szCs w:val="28"/>
        </w:rPr>
      </w:pPr>
    </w:p>
    <w:p w14:paraId="4473AC4A" w14:textId="3C25BF0B" w:rsidR="003F2AA2" w:rsidRPr="0025081C" w:rsidRDefault="003F2AA2" w:rsidP="0025081C">
      <w:pPr>
        <w:keepNext/>
        <w:keepLines/>
        <w:pBdr>
          <w:top w:val="nil"/>
          <w:left w:val="nil"/>
          <w:bottom w:val="nil"/>
          <w:right w:val="nil"/>
          <w:between w:val="nil"/>
        </w:pBdr>
        <w:spacing w:line="340" w:lineRule="auto"/>
        <w:ind w:left="425"/>
        <w:jc w:val="left"/>
        <w:rPr>
          <w:b/>
          <w:color w:val="3B3838"/>
          <w:sz w:val="24"/>
        </w:rPr>
        <w:sectPr w:rsidR="003F2AA2" w:rsidRPr="0025081C" w:rsidSect="00F7078E">
          <w:type w:val="continuous"/>
          <w:pgSz w:w="12240" w:h="15840"/>
          <w:pgMar w:top="2262" w:right="1440" w:bottom="1440" w:left="1440" w:header="708" w:footer="708" w:gutter="0"/>
          <w:cols w:space="720"/>
        </w:sectPr>
      </w:pPr>
      <w:r w:rsidRPr="0025081C">
        <w:rPr>
          <w:b/>
          <w:color w:val="3B3838"/>
          <w:sz w:val="24"/>
        </w:rPr>
        <w:t>Descripción del programa</w:t>
      </w:r>
    </w:p>
    <w:p w14:paraId="24A5671B" w14:textId="77777777" w:rsidR="003F2AA2" w:rsidRDefault="003F2AA2" w:rsidP="003F2AA2">
      <w:r>
        <w:t>La administración distrital propone un plan interinstitucional para la seguridad integral del Sistema de Transporte Público de Bogotá dirigido a mitigar los fenómenos que afectan la seguridad y convivencia, mediante articulación distrital y local, coordinando acciones de control a la problemática que afecta la seguridad ciudadana en el Sistema.</w:t>
      </w:r>
    </w:p>
    <w:p w14:paraId="78713093" w14:textId="77777777" w:rsidR="003F2AA2" w:rsidRDefault="003F2AA2" w:rsidP="003F2AA2"/>
    <w:p w14:paraId="29617954" w14:textId="77777777" w:rsidR="003F2AA2" w:rsidRDefault="003F2AA2" w:rsidP="003F2AA2">
      <w:r>
        <w:t xml:space="preserve">Así mismo, para la problemática de congestión y seguridad vial se tendrán acciones de regulación y gestión de tránsito articuladas entre el sector movilidad y la Policía Nacional; así mismo, se realizarán operativos de control, señalización y fotodetección, entre otros </w:t>
      </w:r>
      <w:r>
        <w:rPr>
          <w:color w:val="000000"/>
        </w:rPr>
        <w:t>en diferentes puntos de la ciudad y estratégicos con la ciudad región.</w:t>
      </w:r>
    </w:p>
    <w:p w14:paraId="1B786429" w14:textId="77777777" w:rsidR="003F2AA2" w:rsidRDefault="003F2AA2" w:rsidP="003F2AA2"/>
    <w:p w14:paraId="74A727CC" w14:textId="77777777" w:rsidR="003F2AA2" w:rsidRDefault="003F2AA2" w:rsidP="003F2AA2">
      <w:r>
        <w:t>De igual forma, la administración realizará acciones de prevención y control en portales y estaciones del componente troncal y zonal del Sistema Integral de Transporte Público para mitigar el fenómeno de la evasión, por un lado, a través de herramientas tecnológicas para monitorearla y controlarla y, por otro, fomentando acciones pedagógicas. También, se realizará la promoción de comportamientos seguros en la vía y de cuidado para reducir el riesgo de perder la vida y sufrir lesiones graves en la vía.</w:t>
      </w:r>
    </w:p>
    <w:p w14:paraId="4BAEB212" w14:textId="77777777" w:rsidR="003F2AA2" w:rsidRDefault="003F2AA2" w:rsidP="003F2AA2"/>
    <w:p w14:paraId="07F24B36" w14:textId="77777777" w:rsidR="003F2AA2" w:rsidRDefault="003F2AA2" w:rsidP="003F2AA2">
      <w:bookmarkStart w:id="226" w:name="_heading=h.2p2csry" w:colFirst="0" w:colLast="0"/>
      <w:bookmarkEnd w:id="226"/>
      <w:r>
        <w:t xml:space="preserve">En este sentido, la administración distrital y particularmente el Sector Movilidad trabajará de forma conjunta con la MEBOG en la atención oportuna de los hechos delictivos y violentos que comprometan la seguridad del Sistema Integrado de Transporte Público (SITP), tanto en el componente troncal como en el componente zonal, para que en el marco del concepto de seguridad integral de la administración distrital, se aborden de manera preventiva los fenómenos que afectan la seguridad, convivencia e </w:t>
      </w:r>
      <w:r>
        <w:t>integridad del SITP para atenderlos anticipadamente o intervenir de manera rápida y oportuna.</w:t>
      </w:r>
    </w:p>
    <w:p w14:paraId="753C14F4" w14:textId="77777777" w:rsidR="003F2AA2" w:rsidRDefault="003F2AA2" w:rsidP="003F2AA2"/>
    <w:p w14:paraId="1CFCD9A4" w14:textId="77777777" w:rsidR="003F2AA2" w:rsidRDefault="003F2AA2" w:rsidP="003F2AA2">
      <w:r>
        <w:t>Adicionalmente, con base en el concepto de seguridad integral, la administración distrital intervendrá en el espacio público para la movilidad mediante acciones orientadas a la seguridad vial, para lo cual se ampliarán los operativos de control a cargo de la MEBOG y las entidades competentes, así como se garantizará la operación adecuada de los semáforos y los sistemas de videovigilancia utilizados en la fotodetección para velar por la integridad de todos los actores viales.</w:t>
      </w:r>
    </w:p>
    <w:p w14:paraId="2B362BF1" w14:textId="77777777" w:rsidR="003F2AA2" w:rsidRDefault="003F2AA2" w:rsidP="003F2AA2"/>
    <w:p w14:paraId="58407B57" w14:textId="77777777" w:rsidR="003F2AA2" w:rsidRDefault="003F2AA2" w:rsidP="003F2AA2">
      <w:r>
        <w:t>De otro lado, el Distrito recuperará espacio público para una movilidad más segura y accesible a través de cargue y descargue de mercancías, zonas para el cargue y descargue de pasajeros en vías secundarias, y zonas de parqueo entre otras entre otras; fortaleciendo de esta manera el ordenamiento del espacio y ocupación vial. Para esto, se fortalecerá y optimizará la figura de Gerencia de vía para los principales corredores de la ciudad, que además de promover el mejor uso de la vía, se encargará de velar por el buen estado de la vía respectiva y velar por la reacción rápida ante choques simples y congestión en la vía.</w:t>
      </w:r>
    </w:p>
    <w:p w14:paraId="7AD65107" w14:textId="77777777" w:rsidR="006E05F6" w:rsidRDefault="006E05F6" w:rsidP="003F2AA2"/>
    <w:p w14:paraId="2F419E35" w14:textId="6D5CB34B" w:rsidR="003F2AA2" w:rsidRDefault="003F2AA2" w:rsidP="003F2AA2">
      <w:pPr>
        <w:sectPr w:rsidR="003F2AA2" w:rsidSect="00F7078E">
          <w:type w:val="continuous"/>
          <w:pgSz w:w="12240" w:h="15840"/>
          <w:pgMar w:top="2262" w:right="1440" w:bottom="1440" w:left="1440" w:header="708" w:footer="708" w:gutter="0"/>
          <w:cols w:num="2" w:space="720" w:equalWidth="0">
            <w:col w:w="4396" w:space="567"/>
            <w:col w:w="4396" w:space="0"/>
          </w:cols>
        </w:sectPr>
      </w:pPr>
      <w:r>
        <w:t xml:space="preserve">Finalmente, se promoverán hábitos y comportamientos seguros en la vía y en el espacio público para reducir el riesgo de siniestros que conlleven a la pérdida de una vida o una lesión grave en la vía, principalmente de los actores viales que mayor accidentalidad presentan (motociclistas, peatones y ciclistas), y proteger especialmente a los niños y niñas de Bogotá en sus desplazamientos diarios. </w:t>
      </w:r>
      <w:r w:rsidR="006E05F6">
        <w:t xml:space="preserve"> </w:t>
      </w:r>
      <w:r>
        <w:t xml:space="preserve">Este programa se ejecutará mediante las siguientes </w:t>
      </w:r>
      <w:r w:rsidRPr="00226E69">
        <w:t>metas (</w:t>
      </w:r>
      <w:r w:rsidR="00226E69" w:rsidRPr="00226E69">
        <w:fldChar w:fldCharType="begin"/>
      </w:r>
      <w:r w:rsidR="00226E69" w:rsidRPr="00226E69">
        <w:instrText xml:space="preserve"> REF _Ref165125671 \h </w:instrText>
      </w:r>
      <w:r w:rsidR="00226E69" w:rsidRPr="00226E69">
        <w:fldChar w:fldCharType="separate"/>
      </w:r>
      <w:r w:rsidR="00D01651" w:rsidRPr="00226E69">
        <w:rPr>
          <w:color w:val="C00000"/>
          <w:sz w:val="18"/>
          <w:szCs w:val="18"/>
        </w:rPr>
        <w:t xml:space="preserve">Tabla </w:t>
      </w:r>
      <w:r w:rsidR="00D01651">
        <w:rPr>
          <w:noProof/>
          <w:color w:val="C00000"/>
          <w:sz w:val="18"/>
        </w:rPr>
        <w:t>23</w:t>
      </w:r>
      <w:r w:rsidR="00226E69" w:rsidRPr="00226E69">
        <w:fldChar w:fldCharType="end"/>
      </w:r>
      <w:r w:rsidRPr="00226E69">
        <w:t>)</w:t>
      </w:r>
    </w:p>
    <w:p w14:paraId="50391CE8" w14:textId="151E2B49" w:rsidR="003F2AA2" w:rsidRPr="00226E69" w:rsidRDefault="00226E69" w:rsidP="00226E69">
      <w:pPr>
        <w:pStyle w:val="Descripcin"/>
        <w:jc w:val="center"/>
        <w:rPr>
          <w:color w:val="3B3838"/>
          <w:sz w:val="18"/>
        </w:rPr>
      </w:pPr>
      <w:bookmarkStart w:id="227" w:name="_Ref165125671"/>
      <w:bookmarkStart w:id="228" w:name="_Toc165169933"/>
      <w:r w:rsidRPr="00226E69">
        <w:rPr>
          <w:color w:val="C00000"/>
          <w:sz w:val="18"/>
        </w:rPr>
        <w:lastRenderedPageBreak/>
        <w:t xml:space="preserve">Tabla </w:t>
      </w:r>
      <w:r w:rsidRPr="00226E69">
        <w:rPr>
          <w:color w:val="C00000"/>
          <w:sz w:val="18"/>
        </w:rPr>
        <w:fldChar w:fldCharType="begin"/>
      </w:r>
      <w:r w:rsidRPr="00226E69">
        <w:rPr>
          <w:color w:val="C00000"/>
          <w:sz w:val="18"/>
        </w:rPr>
        <w:instrText xml:space="preserve"> SEQ Tabla \* ARABIC </w:instrText>
      </w:r>
      <w:r w:rsidRPr="00226E69">
        <w:rPr>
          <w:color w:val="C00000"/>
          <w:sz w:val="18"/>
        </w:rPr>
        <w:fldChar w:fldCharType="separate"/>
      </w:r>
      <w:r w:rsidR="00D01651">
        <w:rPr>
          <w:noProof/>
          <w:color w:val="C00000"/>
          <w:sz w:val="18"/>
        </w:rPr>
        <w:t>23</w:t>
      </w:r>
      <w:r w:rsidRPr="00226E69">
        <w:rPr>
          <w:color w:val="C00000"/>
          <w:sz w:val="18"/>
        </w:rPr>
        <w:fldChar w:fldCharType="end"/>
      </w:r>
      <w:bookmarkEnd w:id="227"/>
      <w:r w:rsidRPr="00226E69">
        <w:rPr>
          <w:color w:val="C00000"/>
          <w:sz w:val="18"/>
        </w:rPr>
        <w:t xml:space="preserve">. </w:t>
      </w:r>
      <w:r w:rsidR="003F2AA2" w:rsidRPr="00226E69">
        <w:rPr>
          <w:color w:val="3B3838"/>
          <w:sz w:val="18"/>
        </w:rPr>
        <w:t>Metas del programa 6: Movilidad segura e inclusiva</w:t>
      </w:r>
      <w:bookmarkEnd w:id="228"/>
    </w:p>
    <w:tbl>
      <w:tblPr>
        <w:tblW w:w="9315" w:type="dxa"/>
        <w:jc w:val="center"/>
        <w:tblBorders>
          <w:top w:val="nil"/>
          <w:left w:val="nil"/>
          <w:bottom w:val="nil"/>
          <w:right w:val="nil"/>
          <w:insideH w:val="nil"/>
          <w:insideV w:val="nil"/>
        </w:tblBorders>
        <w:tblLayout w:type="fixed"/>
        <w:tblLook w:val="0600" w:firstRow="0" w:lastRow="0" w:firstColumn="0" w:lastColumn="0" w:noHBand="1" w:noVBand="1"/>
      </w:tblPr>
      <w:tblGrid>
        <w:gridCol w:w="3119"/>
        <w:gridCol w:w="1276"/>
        <w:gridCol w:w="1275"/>
        <w:gridCol w:w="1276"/>
        <w:gridCol w:w="1134"/>
        <w:gridCol w:w="1235"/>
      </w:tblGrid>
      <w:tr w:rsidR="003F2AA2" w14:paraId="01C5108E" w14:textId="77777777" w:rsidTr="0029490F">
        <w:trPr>
          <w:trHeight w:val="600"/>
          <w:tblHeader/>
          <w:jc w:val="center"/>
        </w:trPr>
        <w:tc>
          <w:tcPr>
            <w:tcW w:w="3119"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18A809AD" w14:textId="18D49CC9" w:rsidR="003F2AA2" w:rsidRDefault="00C16F7E" w:rsidP="00E36E40">
            <w:pPr>
              <w:widowControl w:val="0"/>
              <w:spacing w:line="276" w:lineRule="auto"/>
              <w:ind w:left="189" w:right="45"/>
              <w:jc w:val="center"/>
              <w:rPr>
                <w:b/>
                <w:color w:val="FFFFFF"/>
                <w:sz w:val="24"/>
              </w:rPr>
            </w:pPr>
            <w:r>
              <w:rPr>
                <w:b/>
                <w:color w:val="FFFFFF"/>
                <w:sz w:val="24"/>
              </w:rPr>
              <w:t>Sector</w:t>
            </w:r>
            <w:r w:rsidR="003F2AA2">
              <w:rPr>
                <w:b/>
                <w:color w:val="FFFFFF"/>
                <w:sz w:val="24"/>
              </w:rPr>
              <w:t xml:space="preserve"> / Metas</w:t>
            </w:r>
          </w:p>
        </w:tc>
        <w:tc>
          <w:tcPr>
            <w:tcW w:w="6196"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tcPr>
          <w:p w14:paraId="0187F151" w14:textId="77777777" w:rsidR="003F2AA2" w:rsidRDefault="003F2AA2" w:rsidP="0067286A">
            <w:pPr>
              <w:widowControl w:val="0"/>
              <w:spacing w:line="276" w:lineRule="auto"/>
              <w:ind w:right="10"/>
              <w:jc w:val="center"/>
              <w:rPr>
                <w:b/>
                <w:color w:val="FFFFFF"/>
                <w:sz w:val="24"/>
              </w:rPr>
            </w:pPr>
            <w:r>
              <w:rPr>
                <w:b/>
                <w:color w:val="FFFFFF"/>
                <w:sz w:val="24"/>
              </w:rPr>
              <w:t>Magnitudes e Inversión</w:t>
            </w:r>
          </w:p>
          <w:p w14:paraId="57415E22" w14:textId="77777777" w:rsidR="003F2AA2" w:rsidRDefault="003F2AA2" w:rsidP="0067286A">
            <w:pPr>
              <w:widowControl w:val="0"/>
              <w:spacing w:line="276" w:lineRule="auto"/>
              <w:ind w:right="10"/>
              <w:jc w:val="center"/>
              <w:rPr>
                <w:rFonts w:ascii="Arial" w:eastAsia="Arial" w:hAnsi="Arial" w:cs="Arial"/>
                <w:color w:val="000000"/>
                <w:sz w:val="20"/>
              </w:rPr>
            </w:pPr>
            <w:r>
              <w:rPr>
                <w:b/>
                <w:color w:val="FFFFFF"/>
                <w:sz w:val="18"/>
                <w:szCs w:val="18"/>
              </w:rPr>
              <w:t>(Precios Constantes 2024)</w:t>
            </w:r>
          </w:p>
        </w:tc>
      </w:tr>
      <w:tr w:rsidR="0067286A" w14:paraId="5B230A5B" w14:textId="77777777" w:rsidTr="0029490F">
        <w:trPr>
          <w:trHeight w:val="88"/>
          <w:tblHeader/>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018BA22" w14:textId="77777777" w:rsidR="003F2AA2" w:rsidRDefault="003F2AA2" w:rsidP="0067286A">
            <w:pPr>
              <w:widowControl w:val="0"/>
              <w:spacing w:line="276" w:lineRule="auto"/>
              <w:ind w:left="189" w:right="45"/>
              <w:jc w:val="center"/>
              <w:rPr>
                <w:rFonts w:ascii="Arial" w:eastAsia="Arial" w:hAnsi="Arial" w:cs="Arial"/>
                <w:color w:val="000000"/>
                <w:sz w:val="20"/>
              </w:rPr>
            </w:pP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tcPr>
          <w:p w14:paraId="4FA953B7" w14:textId="77777777" w:rsidR="003F2AA2" w:rsidRDefault="003F2AA2" w:rsidP="0067286A">
            <w:pPr>
              <w:widowControl w:val="0"/>
              <w:spacing w:line="276" w:lineRule="auto"/>
              <w:ind w:right="10"/>
              <w:jc w:val="center"/>
              <w:rPr>
                <w:rFonts w:ascii="Arial" w:eastAsia="Arial" w:hAnsi="Arial" w:cs="Arial"/>
                <w:color w:val="000000"/>
                <w:sz w:val="20"/>
              </w:rPr>
            </w:pPr>
            <w:r>
              <w:rPr>
                <w:b/>
                <w:color w:val="000000"/>
                <w:sz w:val="20"/>
                <w:szCs w:val="20"/>
              </w:rPr>
              <w:t>2024</w:t>
            </w:r>
          </w:p>
        </w:tc>
        <w:tc>
          <w:tcPr>
            <w:tcW w:w="127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tcPr>
          <w:p w14:paraId="2DFD6825" w14:textId="77777777" w:rsidR="003F2AA2" w:rsidRDefault="003F2AA2" w:rsidP="0067286A">
            <w:pPr>
              <w:widowControl w:val="0"/>
              <w:spacing w:line="276" w:lineRule="auto"/>
              <w:ind w:right="10"/>
              <w:jc w:val="center"/>
              <w:rPr>
                <w:rFonts w:ascii="Arial" w:eastAsia="Arial" w:hAnsi="Arial" w:cs="Arial"/>
                <w:color w:val="000000"/>
                <w:sz w:val="20"/>
              </w:rPr>
            </w:pPr>
            <w:r>
              <w:rPr>
                <w:b/>
                <w:color w:val="000000"/>
                <w:sz w:val="20"/>
                <w:szCs w:val="20"/>
              </w:rPr>
              <w:t>2025</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tcPr>
          <w:p w14:paraId="6D912616" w14:textId="77777777" w:rsidR="003F2AA2" w:rsidRDefault="003F2AA2" w:rsidP="0067286A">
            <w:pPr>
              <w:widowControl w:val="0"/>
              <w:spacing w:line="276" w:lineRule="auto"/>
              <w:ind w:right="10"/>
              <w:jc w:val="center"/>
              <w:rPr>
                <w:rFonts w:ascii="Arial" w:eastAsia="Arial" w:hAnsi="Arial" w:cs="Arial"/>
                <w:color w:val="000000"/>
                <w:sz w:val="20"/>
              </w:rPr>
            </w:pPr>
            <w:r>
              <w:rPr>
                <w:b/>
                <w:color w:val="000000"/>
                <w:sz w:val="20"/>
                <w:szCs w:val="20"/>
              </w:rPr>
              <w:t>2026</w:t>
            </w:r>
          </w:p>
        </w:tc>
        <w:tc>
          <w:tcPr>
            <w:tcW w:w="1134"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tcPr>
          <w:p w14:paraId="746F013E" w14:textId="77777777" w:rsidR="003F2AA2" w:rsidRDefault="003F2AA2" w:rsidP="0067286A">
            <w:pPr>
              <w:widowControl w:val="0"/>
              <w:spacing w:line="276" w:lineRule="auto"/>
              <w:ind w:right="10"/>
              <w:jc w:val="center"/>
              <w:rPr>
                <w:rFonts w:ascii="Arial" w:eastAsia="Arial" w:hAnsi="Arial" w:cs="Arial"/>
                <w:color w:val="000000"/>
                <w:sz w:val="20"/>
              </w:rPr>
            </w:pPr>
            <w:r>
              <w:rPr>
                <w:b/>
                <w:color w:val="000000"/>
                <w:sz w:val="20"/>
                <w:szCs w:val="20"/>
              </w:rPr>
              <w:t>2027</w:t>
            </w:r>
          </w:p>
        </w:tc>
        <w:tc>
          <w:tcPr>
            <w:tcW w:w="1235"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tcPr>
          <w:p w14:paraId="54F964B5" w14:textId="77777777" w:rsidR="00C16F7E" w:rsidRDefault="003F2AA2" w:rsidP="0067286A">
            <w:pPr>
              <w:widowControl w:val="0"/>
              <w:spacing w:line="276" w:lineRule="auto"/>
              <w:ind w:right="10"/>
              <w:jc w:val="center"/>
              <w:rPr>
                <w:b/>
                <w:color w:val="000000"/>
                <w:sz w:val="20"/>
                <w:szCs w:val="20"/>
              </w:rPr>
            </w:pPr>
            <w:r>
              <w:rPr>
                <w:b/>
                <w:color w:val="000000"/>
                <w:sz w:val="20"/>
                <w:szCs w:val="20"/>
              </w:rPr>
              <w:t xml:space="preserve">Total </w:t>
            </w:r>
          </w:p>
          <w:p w14:paraId="618F8D0D" w14:textId="2CE7D594" w:rsidR="003F2AA2" w:rsidRDefault="003F2AA2" w:rsidP="0067286A">
            <w:pPr>
              <w:widowControl w:val="0"/>
              <w:spacing w:line="276" w:lineRule="auto"/>
              <w:ind w:right="10"/>
              <w:jc w:val="center"/>
              <w:rPr>
                <w:rFonts w:ascii="Arial" w:eastAsia="Arial" w:hAnsi="Arial" w:cs="Arial"/>
                <w:color w:val="000000"/>
                <w:sz w:val="20"/>
              </w:rPr>
            </w:pPr>
            <w:r>
              <w:rPr>
                <w:b/>
                <w:color w:val="000000"/>
                <w:sz w:val="20"/>
                <w:szCs w:val="20"/>
              </w:rPr>
              <w:t>Inversión</w:t>
            </w:r>
          </w:p>
        </w:tc>
      </w:tr>
      <w:tr w:rsidR="003F2AA2" w14:paraId="4779B3F0" w14:textId="77777777" w:rsidTr="0067286A">
        <w:trPr>
          <w:trHeight w:val="315"/>
          <w:jc w:val="center"/>
        </w:trPr>
        <w:tc>
          <w:tcPr>
            <w:tcW w:w="9315"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tcPr>
          <w:p w14:paraId="6A512EB5" w14:textId="33E644C8" w:rsidR="003F2AA2" w:rsidRDefault="0067286A" w:rsidP="0067286A">
            <w:pPr>
              <w:widowControl w:val="0"/>
              <w:spacing w:line="276" w:lineRule="auto"/>
              <w:ind w:left="189" w:right="45"/>
              <w:jc w:val="center"/>
              <w:rPr>
                <w:rFonts w:ascii="Arial" w:eastAsia="Arial" w:hAnsi="Arial" w:cs="Arial"/>
                <w:color w:val="000000"/>
                <w:sz w:val="20"/>
              </w:rPr>
            </w:pPr>
            <w:r w:rsidRPr="0067286A">
              <w:rPr>
                <w:b/>
                <w:color w:val="FFFFFF" w:themeColor="background1"/>
                <w:sz w:val="20"/>
                <w:szCs w:val="20"/>
              </w:rPr>
              <w:t>Movilidad</w:t>
            </w:r>
          </w:p>
        </w:tc>
      </w:tr>
      <w:tr w:rsidR="0067286A" w14:paraId="69A8AA6A" w14:textId="77777777" w:rsidTr="00E36E40">
        <w:trPr>
          <w:trHeight w:val="20"/>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2F8E464"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Alcanzar 460.000 estudiantes beneficiadas y beneficiados en el programa de Niños y Niñas Primero - NNP</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5EA0E0"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65.300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4E9554"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118.450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FC39D31"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133.272</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724D4C"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142.978</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20C370C"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60.167.455.508</w:t>
            </w:r>
          </w:p>
        </w:tc>
      </w:tr>
      <w:tr w:rsidR="0067286A" w14:paraId="401BECC9" w14:textId="77777777" w:rsidTr="00E36E40">
        <w:trPr>
          <w:trHeight w:val="2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069E834C" w14:textId="77777777" w:rsidR="003F2AA2" w:rsidRPr="00C16F7E" w:rsidRDefault="003F2AA2" w:rsidP="00E36E40">
            <w:pPr>
              <w:widowControl w:val="0"/>
              <w:spacing w:line="276" w:lineRule="auto"/>
              <w:ind w:left="189" w:right="45"/>
              <w:jc w:val="righ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A1FA579"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4.965.000.000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B1BC289"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18.353.398.058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302E8B8"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18.410.783.297</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1A6CADC"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18.438.274.153</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06C1490B" w14:textId="77777777" w:rsidR="003F2AA2" w:rsidRPr="00C16F7E" w:rsidRDefault="003F2AA2" w:rsidP="00E36E40">
            <w:pPr>
              <w:widowControl w:val="0"/>
              <w:spacing w:line="276" w:lineRule="auto"/>
              <w:ind w:right="10"/>
              <w:jc w:val="right"/>
              <w:rPr>
                <w:rFonts w:eastAsia="Arial" w:cs="Arial"/>
                <w:color w:val="000000"/>
                <w:sz w:val="16"/>
                <w:szCs w:val="16"/>
              </w:rPr>
            </w:pPr>
          </w:p>
        </w:tc>
      </w:tr>
      <w:tr w:rsidR="0067286A" w14:paraId="5412DFA5" w14:textId="77777777" w:rsidTr="00E36E40">
        <w:trPr>
          <w:trHeight w:val="460"/>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A57A0EE"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Diseñar e implementar el 100% del plan sectorial de cultura ciudadana, comunicación y pedagogía cívica que propicien transformaciones voluntarias y corresponsables en el sistema de movilidad.</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C58FFE"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C31F2B1"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384DF7"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13B228"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8A66F90"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123.811.050.611</w:t>
            </w:r>
          </w:p>
        </w:tc>
      </w:tr>
      <w:tr w:rsidR="0067286A" w14:paraId="3180FA4F" w14:textId="77777777" w:rsidTr="00E36E40">
        <w:trPr>
          <w:trHeight w:val="2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731AB234" w14:textId="77777777" w:rsidR="003F2AA2" w:rsidRPr="00C16F7E" w:rsidRDefault="003F2AA2" w:rsidP="00E36E40">
            <w:pPr>
              <w:widowControl w:val="0"/>
              <w:spacing w:line="276" w:lineRule="auto"/>
              <w:ind w:left="189" w:right="45"/>
              <w:jc w:val="righ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23358FE"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3.463.000.000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E9FBE3"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37.793.203.883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7117B8"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42.979.545.669</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2A7C908"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39.575.301.059</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39D813EB" w14:textId="77777777" w:rsidR="003F2AA2" w:rsidRPr="00C16F7E" w:rsidRDefault="003F2AA2" w:rsidP="00E36E40">
            <w:pPr>
              <w:widowControl w:val="0"/>
              <w:spacing w:line="276" w:lineRule="auto"/>
              <w:ind w:right="10"/>
              <w:jc w:val="right"/>
              <w:rPr>
                <w:rFonts w:eastAsia="Arial" w:cs="Arial"/>
                <w:color w:val="000000"/>
                <w:sz w:val="16"/>
                <w:szCs w:val="16"/>
              </w:rPr>
            </w:pPr>
          </w:p>
        </w:tc>
      </w:tr>
      <w:tr w:rsidR="0067286A" w14:paraId="2CD41DAF" w14:textId="77777777" w:rsidTr="00E36E40">
        <w:trPr>
          <w:trHeight w:val="579"/>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C0F7DAB"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Diseñar e implementar un plan interinstitucional para la seguridad integral del Sistema de Transporte Público en Bogotá, encaminado a mitigar los fenómenos que afectan la seguridad y convivencia en el SITP.</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54E236"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0,05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770A56"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0,35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D43B1D"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0,65</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DECB861"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D6A29D8"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376.824.667.154</w:t>
            </w:r>
          </w:p>
        </w:tc>
      </w:tr>
      <w:tr w:rsidR="0067286A" w14:paraId="4233365F" w14:textId="77777777" w:rsidTr="00E36E40">
        <w:trPr>
          <w:trHeight w:val="2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608390B9" w14:textId="77777777" w:rsidR="003F2AA2" w:rsidRPr="00C16F7E" w:rsidRDefault="003F2AA2" w:rsidP="00E36E40">
            <w:pPr>
              <w:widowControl w:val="0"/>
              <w:spacing w:line="276" w:lineRule="auto"/>
              <w:ind w:left="189" w:right="45"/>
              <w:jc w:val="righ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53F45B"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80.295.000.000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D21728"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64.372.815.534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CF3A09"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118.580.450.561</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F269AD"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113.576.401.059</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79CCD5CE" w14:textId="77777777" w:rsidR="003F2AA2" w:rsidRPr="00C16F7E" w:rsidRDefault="003F2AA2" w:rsidP="00E36E40">
            <w:pPr>
              <w:widowControl w:val="0"/>
              <w:spacing w:line="276" w:lineRule="auto"/>
              <w:ind w:right="10"/>
              <w:jc w:val="right"/>
              <w:rPr>
                <w:rFonts w:eastAsia="Arial" w:cs="Arial"/>
                <w:color w:val="000000"/>
                <w:sz w:val="16"/>
                <w:szCs w:val="16"/>
              </w:rPr>
            </w:pPr>
          </w:p>
        </w:tc>
      </w:tr>
      <w:tr w:rsidR="0067286A" w14:paraId="5B2DC166" w14:textId="77777777" w:rsidTr="00E36E40">
        <w:trPr>
          <w:trHeight w:val="772"/>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1B9C223"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Implementar el 100% de las acciones de prevención y control requeridas en portales y estaciones del Componente Troncal del Sistema Integrado de Transporte Público de Bogotá, así como en la infraestructura que ingrese a operar en el cuatrienio con el fin de mitigar el fenómeno de la evasión.</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E599A93"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8BB56C"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BBB6AA"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5B8E11"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F661B30"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190.382.877.611</w:t>
            </w:r>
          </w:p>
        </w:tc>
      </w:tr>
      <w:tr w:rsidR="0067286A" w14:paraId="0D52E4FB" w14:textId="77777777" w:rsidTr="00E36E40">
        <w:trPr>
          <w:trHeight w:val="663"/>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5615268" w14:textId="77777777" w:rsidR="003F2AA2" w:rsidRPr="00C16F7E" w:rsidRDefault="003F2AA2" w:rsidP="0067286A">
            <w:pPr>
              <w:widowControl w:val="0"/>
              <w:spacing w:line="276" w:lineRule="auto"/>
              <w:ind w:left="189" w:right="45"/>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1A305ED"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64.089.000.000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26F3AB"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28.446.601.942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5EC527"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50.440.192.290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BE7342"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47.407.083.379</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258A230" w14:textId="77777777" w:rsidR="003F2AA2" w:rsidRPr="00C16F7E" w:rsidRDefault="003F2AA2" w:rsidP="0067286A">
            <w:pPr>
              <w:widowControl w:val="0"/>
              <w:spacing w:line="276" w:lineRule="auto"/>
              <w:ind w:right="10"/>
              <w:jc w:val="right"/>
              <w:rPr>
                <w:rFonts w:eastAsia="Arial" w:cs="Arial"/>
                <w:color w:val="000000"/>
                <w:sz w:val="16"/>
                <w:szCs w:val="16"/>
              </w:rPr>
            </w:pPr>
          </w:p>
        </w:tc>
      </w:tr>
      <w:tr w:rsidR="0067286A" w14:paraId="5CBF3189" w14:textId="77777777" w:rsidTr="00E36E40">
        <w:trPr>
          <w:trHeight w:val="20"/>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02726FC"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Implementar un plan enfocado a la prevención y atención de violencias basadas en género y al acoso sexual callejero, reconociendo las experiencias de la ciudadania del sistema de Transporte Público.</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390F550F"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0,05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1C3EED2E"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0,35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351DB130"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0,65</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F23501C"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8C51B90"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7.999.773.045</w:t>
            </w:r>
          </w:p>
        </w:tc>
      </w:tr>
      <w:tr w:rsidR="0067286A" w14:paraId="5CCDD7BA" w14:textId="77777777" w:rsidTr="00E36E40">
        <w:trPr>
          <w:trHeight w:val="2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2DDC46E3" w14:textId="77777777" w:rsidR="003F2AA2" w:rsidRPr="00C16F7E" w:rsidRDefault="003F2AA2" w:rsidP="00E36E40">
            <w:pPr>
              <w:widowControl w:val="0"/>
              <w:spacing w:line="276" w:lineRule="auto"/>
              <w:ind w:left="189" w:right="45"/>
              <w:jc w:val="right"/>
              <w:rPr>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76983E70"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2.000.000.000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9A055EF"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2.000.000.000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270D866C"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2.000.188.519</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CEA937B"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1.999.584.526</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5E28C301" w14:textId="77777777" w:rsidR="003F2AA2" w:rsidRPr="00C16F7E" w:rsidRDefault="003F2AA2" w:rsidP="00E36E40">
            <w:pPr>
              <w:widowControl w:val="0"/>
              <w:spacing w:line="276" w:lineRule="auto"/>
              <w:ind w:right="10"/>
              <w:jc w:val="right"/>
              <w:rPr>
                <w:b/>
                <w:color w:val="000000"/>
                <w:sz w:val="16"/>
                <w:szCs w:val="16"/>
              </w:rPr>
            </w:pPr>
          </w:p>
        </w:tc>
      </w:tr>
      <w:tr w:rsidR="0067286A" w14:paraId="77A99B21" w14:textId="77777777" w:rsidTr="00E36E40">
        <w:trPr>
          <w:trHeight w:val="340"/>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FD9D6A8"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Intervenir 10 zonas críticas en evasión en el Componente Zonal del Sistema Integrado de Transporte Público de Bogotá, a través de acciones de prevención y control.</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30CCDF0"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454109"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4DCCFBC"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1A347D"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65C8D68"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74.427.800.502</w:t>
            </w:r>
          </w:p>
        </w:tc>
      </w:tr>
      <w:tr w:rsidR="0067286A" w14:paraId="1CC3A383" w14:textId="77777777" w:rsidTr="00E36E40">
        <w:trPr>
          <w:trHeight w:val="34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40B144B6" w14:textId="77777777" w:rsidR="003F2AA2" w:rsidRPr="00C16F7E" w:rsidRDefault="003F2AA2" w:rsidP="00E36E40">
            <w:pPr>
              <w:widowControl w:val="0"/>
              <w:spacing w:line="276" w:lineRule="auto"/>
              <w:ind w:left="189" w:right="45"/>
              <w:jc w:val="righ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A5E08B"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4.017.000.000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5A419F3"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14.846.601.942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3845705"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30.964.275.615</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70B2931"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24.599.922.945</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6238167D" w14:textId="77777777" w:rsidR="003F2AA2" w:rsidRPr="00C16F7E" w:rsidRDefault="003F2AA2" w:rsidP="00E36E40">
            <w:pPr>
              <w:widowControl w:val="0"/>
              <w:spacing w:line="276" w:lineRule="auto"/>
              <w:ind w:right="10"/>
              <w:jc w:val="right"/>
              <w:rPr>
                <w:rFonts w:eastAsia="Arial" w:cs="Arial"/>
                <w:color w:val="000000"/>
                <w:sz w:val="16"/>
                <w:szCs w:val="16"/>
              </w:rPr>
            </w:pPr>
          </w:p>
        </w:tc>
      </w:tr>
      <w:tr w:rsidR="0067286A" w14:paraId="10B875D8" w14:textId="77777777" w:rsidTr="00E36E40">
        <w:trPr>
          <w:trHeight w:val="340"/>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86493DC"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Realizar 300.000 intervenciones para mejorar las condiciones de movilidad en los corredores y puntos estratégicos de la ciudad Región</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65892C65"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41.306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5A7917D9"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83.440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7294D504"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87.627</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52BCFDF4"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87.627</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7674B17"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537.570.367.931</w:t>
            </w:r>
          </w:p>
        </w:tc>
      </w:tr>
      <w:tr w:rsidR="0067286A" w14:paraId="3694836D" w14:textId="77777777" w:rsidTr="00E36E40">
        <w:trPr>
          <w:trHeight w:val="34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0F8D93B2" w14:textId="77777777" w:rsidR="003F2AA2" w:rsidRPr="00C16F7E" w:rsidRDefault="003F2AA2" w:rsidP="00E36E40">
            <w:pPr>
              <w:widowControl w:val="0"/>
              <w:spacing w:line="276" w:lineRule="auto"/>
              <w:ind w:left="189" w:right="45"/>
              <w:jc w:val="righ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567DE4B"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144.994.000.000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3CC7B9CA"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123.157.281.553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552F4C5A"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136.315.392.591</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12910DF6"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133.103.693.786</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61D1541B" w14:textId="77777777" w:rsidR="003F2AA2" w:rsidRPr="00C16F7E" w:rsidRDefault="003F2AA2" w:rsidP="00E36E40">
            <w:pPr>
              <w:widowControl w:val="0"/>
              <w:spacing w:line="276" w:lineRule="auto"/>
              <w:ind w:right="10"/>
              <w:jc w:val="right"/>
              <w:rPr>
                <w:rFonts w:eastAsia="Arial" w:cs="Arial"/>
                <w:color w:val="000000"/>
                <w:sz w:val="16"/>
                <w:szCs w:val="16"/>
              </w:rPr>
            </w:pPr>
          </w:p>
        </w:tc>
      </w:tr>
      <w:tr w:rsidR="0067286A" w14:paraId="2BD94360" w14:textId="77777777" w:rsidTr="00E36E40">
        <w:trPr>
          <w:trHeight w:val="283"/>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A82AA7C"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 xml:space="preserve">Realizar 35.000 intervenciones en el </w:t>
            </w:r>
            <w:r w:rsidRPr="00C16F7E">
              <w:rPr>
                <w:color w:val="000000"/>
                <w:sz w:val="16"/>
                <w:szCs w:val="16"/>
              </w:rPr>
              <w:lastRenderedPageBreak/>
              <w:t>espacio público para la movilidad enfocadas en la mejora de la seguridad vial</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01D3589A"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lastRenderedPageBreak/>
              <w:t>2.500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23FAC1AC"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9.000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65E4A007"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10.000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0EDC1466"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13.500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C073717"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470.721.069.144</w:t>
            </w:r>
          </w:p>
        </w:tc>
      </w:tr>
      <w:tr w:rsidR="0067286A" w14:paraId="269BFF6E" w14:textId="77777777" w:rsidTr="00E36E40">
        <w:trPr>
          <w:trHeight w:val="283"/>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48FA816E" w14:textId="77777777" w:rsidR="003F2AA2" w:rsidRPr="00C16F7E" w:rsidRDefault="003F2AA2" w:rsidP="00E36E40">
            <w:pPr>
              <w:widowControl w:val="0"/>
              <w:spacing w:line="276" w:lineRule="auto"/>
              <w:ind w:left="189" w:right="45"/>
              <w:jc w:val="righ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D4444B5"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118.786.000.000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F0CB53C"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114.414.563.107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3591A4B3"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119.586.200.396</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2F684211"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117.934.305.641</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4DBB5440" w14:textId="77777777" w:rsidR="003F2AA2" w:rsidRPr="00C16F7E" w:rsidRDefault="003F2AA2" w:rsidP="00E36E40">
            <w:pPr>
              <w:widowControl w:val="0"/>
              <w:spacing w:line="276" w:lineRule="auto"/>
              <w:ind w:right="10"/>
              <w:jc w:val="right"/>
              <w:rPr>
                <w:rFonts w:eastAsia="Arial" w:cs="Arial"/>
                <w:color w:val="000000"/>
                <w:sz w:val="16"/>
                <w:szCs w:val="16"/>
              </w:rPr>
            </w:pPr>
          </w:p>
        </w:tc>
      </w:tr>
      <w:tr w:rsidR="0067286A" w14:paraId="565098AE" w14:textId="77777777" w:rsidTr="00E36E40">
        <w:trPr>
          <w:trHeight w:val="113"/>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9A2F32E"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Recuperar 30.000 m2 de metros cuadrados de espacio público para una movilidad más segura y accesible</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0B580BD9"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BCB3908"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8.000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4E57C065"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10.000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177CD064"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10.000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A533CCF"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11.526.276.445</w:t>
            </w:r>
          </w:p>
        </w:tc>
      </w:tr>
      <w:tr w:rsidR="0067286A" w14:paraId="1FA21D45" w14:textId="77777777" w:rsidTr="00E36E40">
        <w:trPr>
          <w:trHeight w:val="113"/>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6CFE2FFD" w14:textId="77777777" w:rsidR="003F2AA2" w:rsidRPr="00C16F7E" w:rsidRDefault="003F2AA2" w:rsidP="00E36E40">
            <w:pPr>
              <w:widowControl w:val="0"/>
              <w:spacing w:line="276" w:lineRule="auto"/>
              <w:ind w:left="189" w:right="45"/>
              <w:jc w:val="left"/>
              <w:rPr>
                <w:rFonts w:eastAsia="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6E83E283"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3.903.000.000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5495A11E"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2.330.097.087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0B52DA89"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2.639.268.546</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tcPr>
          <w:p w14:paraId="04967D0F" w14:textId="77777777" w:rsidR="003F2AA2" w:rsidRPr="00C16F7E" w:rsidRDefault="003F2AA2" w:rsidP="0067286A">
            <w:pPr>
              <w:widowControl w:val="0"/>
              <w:spacing w:line="276" w:lineRule="auto"/>
              <w:ind w:right="10"/>
              <w:jc w:val="right"/>
              <w:rPr>
                <w:rFonts w:eastAsia="Arial" w:cs="Arial"/>
                <w:color w:val="000000"/>
                <w:sz w:val="16"/>
                <w:szCs w:val="16"/>
              </w:rPr>
            </w:pPr>
            <w:r w:rsidRPr="00C16F7E">
              <w:rPr>
                <w:color w:val="000000"/>
                <w:sz w:val="16"/>
                <w:szCs w:val="16"/>
              </w:rPr>
              <w:t>2.653.910.812</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C486046" w14:textId="77777777" w:rsidR="003F2AA2" w:rsidRPr="00C16F7E" w:rsidRDefault="003F2AA2" w:rsidP="0067286A">
            <w:pPr>
              <w:widowControl w:val="0"/>
              <w:spacing w:line="276" w:lineRule="auto"/>
              <w:ind w:right="10"/>
              <w:jc w:val="right"/>
              <w:rPr>
                <w:rFonts w:eastAsia="Arial" w:cs="Arial"/>
                <w:color w:val="000000"/>
                <w:sz w:val="16"/>
                <w:szCs w:val="16"/>
              </w:rPr>
            </w:pPr>
          </w:p>
        </w:tc>
      </w:tr>
      <w:tr w:rsidR="003F2AA2" w14:paraId="0B095AFE" w14:textId="77777777" w:rsidTr="00E36E40">
        <w:trPr>
          <w:trHeight w:val="315"/>
          <w:jc w:val="center"/>
        </w:trPr>
        <w:tc>
          <w:tcPr>
            <w:tcW w:w="9315"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2949B09E" w14:textId="2981A555" w:rsidR="003F2AA2" w:rsidRPr="0067286A" w:rsidRDefault="0067286A" w:rsidP="00511DB9">
            <w:pPr>
              <w:widowControl w:val="0"/>
              <w:spacing w:line="276" w:lineRule="auto"/>
              <w:ind w:left="189" w:right="45"/>
              <w:jc w:val="center"/>
              <w:rPr>
                <w:rFonts w:eastAsia="Arial" w:cs="Arial"/>
                <w:color w:val="000000"/>
                <w:szCs w:val="22"/>
              </w:rPr>
            </w:pPr>
            <w:r w:rsidRPr="0067286A">
              <w:rPr>
                <w:b/>
                <w:color w:val="FFFFFF" w:themeColor="background1"/>
                <w:szCs w:val="22"/>
              </w:rPr>
              <w:t>Salud</w:t>
            </w:r>
          </w:p>
        </w:tc>
      </w:tr>
      <w:tr w:rsidR="0067286A" w14:paraId="7F8ECF3C" w14:textId="77777777" w:rsidTr="00E36E40">
        <w:trPr>
          <w:trHeight w:val="632"/>
          <w:jc w:val="center"/>
        </w:trPr>
        <w:tc>
          <w:tcPr>
            <w:tcW w:w="311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0F48198" w14:textId="77777777" w:rsidR="003F2AA2" w:rsidRPr="00C16F7E" w:rsidRDefault="003F2AA2" w:rsidP="00E36E40">
            <w:pPr>
              <w:widowControl w:val="0"/>
              <w:spacing w:line="276" w:lineRule="auto"/>
              <w:ind w:left="189" w:right="45"/>
              <w:jc w:val="right"/>
              <w:rPr>
                <w:color w:val="000000"/>
                <w:sz w:val="16"/>
                <w:szCs w:val="16"/>
              </w:rPr>
            </w:pPr>
            <w:r w:rsidRPr="00C16F7E">
              <w:rPr>
                <w:color w:val="000000"/>
                <w:sz w:val="16"/>
                <w:szCs w:val="16"/>
              </w:rPr>
              <w:t>Implementar 100% de acciones del plan distrital de seguridad vial a cargo del sector salud, para la promoción de comportamientos de cuidado, reducción del riesgo de perder vidas y sufrir lesiones graves en las vías.</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F1C43FD"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A691B5A"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4B13D9"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44568F6" w14:textId="77777777" w:rsidR="003F2AA2" w:rsidRPr="00C16F7E" w:rsidRDefault="003F2AA2" w:rsidP="00E36E40">
            <w:pPr>
              <w:widowControl w:val="0"/>
              <w:spacing w:line="276" w:lineRule="auto"/>
              <w:ind w:right="10"/>
              <w:jc w:val="right"/>
              <w:rPr>
                <w:rFonts w:eastAsia="Arial" w:cs="Arial"/>
                <w:color w:val="000000"/>
                <w:sz w:val="16"/>
                <w:szCs w:val="16"/>
              </w:rPr>
            </w:pPr>
            <w:r w:rsidRPr="00C16F7E">
              <w:rPr>
                <w:color w:val="000000"/>
                <w:sz w:val="16"/>
                <w:szCs w:val="16"/>
              </w:rPr>
              <w:t>100%</w:t>
            </w:r>
          </w:p>
        </w:tc>
        <w:tc>
          <w:tcPr>
            <w:tcW w:w="123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5D88C65" w14:textId="77777777" w:rsidR="003F2AA2" w:rsidRPr="00C16F7E" w:rsidRDefault="003F2AA2" w:rsidP="00E36E40">
            <w:pPr>
              <w:widowControl w:val="0"/>
              <w:spacing w:line="276" w:lineRule="auto"/>
              <w:ind w:right="10"/>
              <w:jc w:val="right"/>
              <w:rPr>
                <w:b/>
                <w:color w:val="000000"/>
                <w:sz w:val="16"/>
                <w:szCs w:val="16"/>
              </w:rPr>
            </w:pPr>
            <w:r w:rsidRPr="00C16F7E">
              <w:rPr>
                <w:b/>
                <w:color w:val="000000"/>
                <w:sz w:val="16"/>
                <w:szCs w:val="16"/>
              </w:rPr>
              <w:t>1.434.305.677</w:t>
            </w:r>
          </w:p>
        </w:tc>
      </w:tr>
      <w:tr w:rsidR="0067286A" w14:paraId="26AEABE9" w14:textId="77777777" w:rsidTr="00E36E40">
        <w:trPr>
          <w:trHeight w:val="20"/>
          <w:jc w:val="center"/>
        </w:trPr>
        <w:tc>
          <w:tcPr>
            <w:tcW w:w="311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vAlign w:val="center"/>
          </w:tcPr>
          <w:p w14:paraId="24B13B1E" w14:textId="77777777" w:rsidR="003F2AA2" w:rsidRDefault="003F2AA2" w:rsidP="00E36E40">
            <w:pPr>
              <w:widowControl w:val="0"/>
              <w:spacing w:line="276" w:lineRule="auto"/>
              <w:ind w:left="189" w:right="45"/>
              <w:jc w:val="right"/>
              <w:rPr>
                <w:rFonts w:ascii="Arial" w:eastAsia="Arial" w:hAnsi="Arial" w:cs="Arial"/>
                <w:color w:val="000000"/>
                <w:sz w:val="20"/>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35AD5D" w14:textId="77777777" w:rsidR="003F2AA2" w:rsidRDefault="003F2AA2" w:rsidP="00E36E40">
            <w:pPr>
              <w:widowControl w:val="0"/>
              <w:spacing w:line="276" w:lineRule="auto"/>
              <w:ind w:right="10"/>
              <w:jc w:val="right"/>
              <w:rPr>
                <w:rFonts w:ascii="Arial" w:eastAsia="Arial" w:hAnsi="Arial" w:cs="Arial"/>
                <w:color w:val="000000"/>
                <w:sz w:val="16"/>
                <w:szCs w:val="16"/>
              </w:rPr>
            </w:pPr>
            <w:r>
              <w:rPr>
                <w:color w:val="000000"/>
                <w:sz w:val="16"/>
                <w:szCs w:val="16"/>
              </w:rPr>
              <w:t>20.000.000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489CDB" w14:textId="77777777" w:rsidR="003F2AA2" w:rsidRDefault="003F2AA2" w:rsidP="00E36E40">
            <w:pPr>
              <w:widowControl w:val="0"/>
              <w:spacing w:line="276" w:lineRule="auto"/>
              <w:ind w:right="10"/>
              <w:jc w:val="right"/>
              <w:rPr>
                <w:rFonts w:ascii="Arial" w:eastAsia="Arial" w:hAnsi="Arial" w:cs="Arial"/>
                <w:color w:val="000000"/>
                <w:sz w:val="16"/>
                <w:szCs w:val="16"/>
              </w:rPr>
            </w:pPr>
            <w:r>
              <w:rPr>
                <w:color w:val="000000"/>
                <w:sz w:val="16"/>
                <w:szCs w:val="16"/>
              </w:rPr>
              <w:t>485.436.893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B64FC0" w14:textId="77777777" w:rsidR="003F2AA2" w:rsidRDefault="003F2AA2" w:rsidP="00E36E40">
            <w:pPr>
              <w:widowControl w:val="0"/>
              <w:spacing w:line="276" w:lineRule="auto"/>
              <w:ind w:right="10"/>
              <w:jc w:val="right"/>
              <w:rPr>
                <w:rFonts w:ascii="Arial" w:eastAsia="Arial" w:hAnsi="Arial" w:cs="Arial"/>
                <w:color w:val="000000"/>
                <w:sz w:val="16"/>
                <w:szCs w:val="16"/>
              </w:rPr>
            </w:pPr>
            <w:r>
              <w:rPr>
                <w:color w:val="000000"/>
                <w:sz w:val="16"/>
                <w:szCs w:val="16"/>
              </w:rPr>
              <w:t>471.297.955</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1E82EC" w14:textId="77777777" w:rsidR="003F2AA2" w:rsidRDefault="003F2AA2" w:rsidP="00E36E40">
            <w:pPr>
              <w:widowControl w:val="0"/>
              <w:spacing w:line="276" w:lineRule="auto"/>
              <w:ind w:right="10"/>
              <w:jc w:val="right"/>
              <w:rPr>
                <w:rFonts w:ascii="Arial" w:eastAsia="Arial" w:hAnsi="Arial" w:cs="Arial"/>
                <w:color w:val="000000"/>
                <w:sz w:val="16"/>
                <w:szCs w:val="16"/>
              </w:rPr>
            </w:pPr>
            <w:r>
              <w:rPr>
                <w:color w:val="000000"/>
                <w:sz w:val="16"/>
                <w:szCs w:val="16"/>
              </w:rPr>
              <w:t>457.570.830</w:t>
            </w:r>
          </w:p>
        </w:tc>
        <w:tc>
          <w:tcPr>
            <w:tcW w:w="123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vAlign w:val="center"/>
          </w:tcPr>
          <w:p w14:paraId="7E91491C" w14:textId="77777777" w:rsidR="003F2AA2" w:rsidRDefault="003F2AA2" w:rsidP="00E36E40">
            <w:pPr>
              <w:widowControl w:val="0"/>
              <w:spacing w:line="276" w:lineRule="auto"/>
              <w:ind w:right="10"/>
              <w:jc w:val="right"/>
              <w:rPr>
                <w:rFonts w:ascii="Arial" w:eastAsia="Arial" w:hAnsi="Arial" w:cs="Arial"/>
                <w:color w:val="000000"/>
                <w:sz w:val="20"/>
              </w:rPr>
            </w:pPr>
          </w:p>
        </w:tc>
      </w:tr>
    </w:tbl>
    <w:p w14:paraId="1605E37D" w14:textId="77777777" w:rsidR="003F2AA2" w:rsidRDefault="003F2AA2" w:rsidP="003F2AA2">
      <w:pPr>
        <w:pBdr>
          <w:top w:val="nil"/>
          <w:left w:val="nil"/>
          <w:bottom w:val="nil"/>
          <w:right w:val="nil"/>
          <w:between w:val="nil"/>
        </w:pBdr>
        <w:spacing w:line="220" w:lineRule="auto"/>
        <w:jc w:val="center"/>
        <w:rPr>
          <w:sz w:val="18"/>
          <w:szCs w:val="18"/>
        </w:rPr>
      </w:pPr>
    </w:p>
    <w:p w14:paraId="7AF4DDB7" w14:textId="77777777" w:rsidR="003F2AA2" w:rsidRDefault="003F2AA2" w:rsidP="003F2AA2">
      <w:pPr>
        <w:pBdr>
          <w:top w:val="nil"/>
          <w:left w:val="nil"/>
          <w:bottom w:val="nil"/>
          <w:right w:val="nil"/>
          <w:between w:val="nil"/>
        </w:pBdr>
        <w:spacing w:line="220" w:lineRule="auto"/>
        <w:jc w:val="center"/>
        <w:rPr>
          <w:sz w:val="18"/>
          <w:szCs w:val="18"/>
        </w:rPr>
      </w:pPr>
    </w:p>
    <w:p w14:paraId="1EEAB53C" w14:textId="77777777" w:rsidR="003F2AA2" w:rsidRDefault="003F2AA2" w:rsidP="003F2AA2">
      <w:pPr>
        <w:pBdr>
          <w:top w:val="nil"/>
          <w:left w:val="nil"/>
          <w:bottom w:val="nil"/>
          <w:right w:val="nil"/>
          <w:between w:val="nil"/>
        </w:pBdr>
        <w:spacing w:line="220" w:lineRule="auto"/>
        <w:jc w:val="center"/>
        <w:rPr>
          <w:sz w:val="18"/>
          <w:szCs w:val="18"/>
        </w:rPr>
      </w:pPr>
    </w:p>
    <w:p w14:paraId="2D378D19" w14:textId="77777777" w:rsidR="003F2AA2" w:rsidRDefault="003F2AA2" w:rsidP="003F2AA2"/>
    <w:p w14:paraId="1E199D3E" w14:textId="470B492E" w:rsidR="00B14E38" w:rsidRDefault="00B14E38" w:rsidP="00EC5FA7">
      <w:pPr>
        <w:tabs>
          <w:tab w:val="left" w:pos="2484"/>
        </w:tabs>
        <w:jc w:val="center"/>
      </w:pPr>
      <w:r>
        <w:br w:type="page"/>
      </w:r>
    </w:p>
    <w:p w14:paraId="737427B1" w14:textId="6DAE420D" w:rsidR="00B14E38" w:rsidRDefault="00B14E38" w:rsidP="00B213CA">
      <w:r>
        <w:rPr>
          <w:noProof/>
        </w:rPr>
        <w:lastRenderedPageBreak/>
        <w:drawing>
          <wp:anchor distT="0" distB="0" distL="114300" distR="114300" simplePos="0" relativeHeight="251754496" behindDoc="1" locked="0" layoutInCell="1" allowOverlap="1" wp14:anchorId="5534FCD1" wp14:editId="0692223A">
            <wp:simplePos x="0" y="0"/>
            <wp:positionH relativeFrom="column">
              <wp:posOffset>2540</wp:posOffset>
            </wp:positionH>
            <wp:positionV relativeFrom="paragraph">
              <wp:posOffset>-1605280</wp:posOffset>
            </wp:positionV>
            <wp:extent cx="5932800" cy="2241073"/>
            <wp:effectExtent l="0" t="0" r="0" b="698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7">
                      <a:extLst>
                        <a:ext uri="{28A0092B-C50C-407E-A947-70E740481C1C}">
                          <a14:useLocalDpi xmlns:a14="http://schemas.microsoft.com/office/drawing/2010/main" val="0"/>
                        </a:ext>
                      </a:extLst>
                    </a:blip>
                    <a:stretch>
                      <a:fillRect/>
                    </a:stretch>
                  </pic:blipFill>
                  <pic:spPr>
                    <a:xfrm>
                      <a:off x="0" y="0"/>
                      <a:ext cx="5932800" cy="2241073"/>
                    </a:xfrm>
                    <a:prstGeom prst="rect">
                      <a:avLst/>
                    </a:prstGeom>
                  </pic:spPr>
                </pic:pic>
              </a:graphicData>
            </a:graphic>
            <wp14:sizeRelH relativeFrom="page">
              <wp14:pctWidth>0</wp14:pctWidth>
            </wp14:sizeRelH>
            <wp14:sizeRelV relativeFrom="page">
              <wp14:pctHeight>0</wp14:pctHeight>
            </wp14:sizeRelV>
          </wp:anchor>
        </w:drawing>
      </w:r>
    </w:p>
    <w:p w14:paraId="4A23B7B9" w14:textId="77777777" w:rsidR="00B14E38" w:rsidRDefault="00B14E38" w:rsidP="00B14E38">
      <w:pPr>
        <w:pStyle w:val="titulodocumento"/>
      </w:pPr>
    </w:p>
    <w:p w14:paraId="0B72D18F" w14:textId="77777777" w:rsidR="00C6178F" w:rsidRDefault="00C6178F" w:rsidP="00B14E38">
      <w:pPr>
        <w:pStyle w:val="titulodocumento"/>
      </w:pPr>
    </w:p>
    <w:p w14:paraId="732A4FBA" w14:textId="79CE400F" w:rsidR="00B14E38" w:rsidRDefault="00B14E38" w:rsidP="00295B57">
      <w:pPr>
        <w:pStyle w:val="NIVEL2PDD"/>
        <w:rPr>
          <w:i/>
          <w:iCs/>
        </w:rPr>
      </w:pPr>
      <w:bookmarkStart w:id="229" w:name="_Toc165169763"/>
      <w:r w:rsidRPr="00295B57">
        <w:rPr>
          <w:color w:val="3B3838" w:themeColor="background2" w:themeShade="40"/>
        </w:rPr>
        <w:t>Objetivo 2</w:t>
      </w:r>
      <w:r w:rsidR="00295B57" w:rsidRPr="00295B57">
        <w:rPr>
          <w:color w:val="3B3838" w:themeColor="background2" w:themeShade="40"/>
        </w:rPr>
        <w:t xml:space="preserve">. </w:t>
      </w:r>
      <w:bookmarkStart w:id="230" w:name="_Hlk164875250"/>
      <w:bookmarkStart w:id="231" w:name="OLE_LINK1"/>
      <w:r w:rsidRPr="00B944E8">
        <w:t xml:space="preserve">Bogotá confía en su </w:t>
      </w:r>
      <w:r w:rsidRPr="00B944E8">
        <w:rPr>
          <w:i/>
          <w:iCs/>
        </w:rPr>
        <w:t>bien-estar</w:t>
      </w:r>
      <w:bookmarkEnd w:id="229"/>
    </w:p>
    <w:p w14:paraId="44E101D3" w14:textId="77777777" w:rsidR="00295B57" w:rsidRPr="00B944E8" w:rsidRDefault="00295B57" w:rsidP="00295B57">
      <w:pPr>
        <w:pStyle w:val="titulodocumento"/>
      </w:pPr>
    </w:p>
    <w:p w14:paraId="3941940C" w14:textId="77777777" w:rsidR="00B14E38" w:rsidRDefault="00B14E38" w:rsidP="00B14E38">
      <w:pPr>
        <w:sectPr w:rsidR="00B14E38" w:rsidSect="00F7078E">
          <w:headerReference w:type="default" r:id="rId108"/>
          <w:type w:val="continuous"/>
          <w:pgSz w:w="12240" w:h="15840"/>
          <w:pgMar w:top="2262" w:right="1440" w:bottom="1440" w:left="1440" w:header="709" w:footer="680" w:gutter="0"/>
          <w:cols w:space="720"/>
          <w:docGrid w:linePitch="299"/>
        </w:sectPr>
      </w:pPr>
    </w:p>
    <w:p w14:paraId="2F3012C2" w14:textId="77777777" w:rsidR="00745C99" w:rsidRPr="00745C99" w:rsidRDefault="00745C99" w:rsidP="00745C99">
      <w:r w:rsidRPr="00745C99">
        <w:t xml:space="preserve">Bogotá ha de ser el sitio donde sus habitantes quieran estar y puedan desarrollar todo su potencial. Una ciudad que sea la misma para todas y todos sus habitantes. Bien-estar es la posibilidad efectiva que tiene la ciudadanía de elegir sobre lo que quiere ser y hacer en la ciudad de Bogotá. </w:t>
      </w:r>
    </w:p>
    <w:p w14:paraId="624C61F0" w14:textId="77777777" w:rsidR="00745C99" w:rsidRPr="00745C99" w:rsidRDefault="00745C99" w:rsidP="00745C99"/>
    <w:p w14:paraId="27560D47" w14:textId="77777777" w:rsidR="00745C99" w:rsidRPr="00745C99" w:rsidRDefault="00745C99" w:rsidP="00745C99">
      <w:r w:rsidRPr="00745C99">
        <w:t>Para lograr ese fin hay que impulsar el acceso equitativo y de calidad a la educación, a la salud, a los servicios de cuidado, a la cultura, la recreación, el deporte y la actividad física. Así mismo, hay que garantizar disponibilidad y acceso a alimentos de calidad y a soluciones habitacionales. De esa manera, la ciudad no solo será más justa en el sentido de una efectiva igualdad de oportunidades, cerrando brechas entre lo urbano y lo rural, sino también, un ejemplo para seguir en la construcción de una mejor sociedad; donde cada persona pueda elegir la vida que desee atendiendo a su diversidad, pueda alcanzar su máximo potencial y contribuir al bienestar colectivo, así como a la protección y el bienestar de todas las formas de vida.</w:t>
      </w:r>
    </w:p>
    <w:p w14:paraId="2B483582" w14:textId="77777777" w:rsidR="00745C99" w:rsidRPr="00745C99" w:rsidRDefault="00745C99" w:rsidP="00745C99"/>
    <w:p w14:paraId="0C399877" w14:textId="77777777" w:rsidR="00745C99" w:rsidRPr="00745C99" w:rsidRDefault="00745C99" w:rsidP="00745C99">
      <w:r w:rsidRPr="00745C99">
        <w:t xml:space="preserve">El camino hacia el bien-estar es un esfuerzo conjunto que requiere la corresponsabilidad de la ciudadanía, el sector privado, comunitario y académico, la cooperación y el Estado. En este esfuerzo, Bogotá confía en el potencial económico, la cohesión social y la resiliencia de su territorio urbano y rural, en el que se cuente con una estructura funcional y del cuidado, soporte del territorio y garante del derecho a la ciudad. </w:t>
      </w:r>
      <w:r w:rsidRPr="00745C99">
        <w:t>El logro de este objetivo implica trabajar en tres grandes frentes, que son, a la vez, las estrategias que implementaremos en la Administración. El primero de dichos frentes está centrado en reducir la pobreza y erradicar el hambre, sin ninguna exclusión. Esto implica entender muy bien las condiciones de nuestra gente y trabajar en la efectividad de nuestro sistema de inclusión social. El segundo frente busca que la salud sea una prioridad, entendiendo que nadie disfruta de la ciudad si no tiene la garantía de una atención de calidad. Ello implica velar por que el sistema de salud de la ciudad, en lo preventivo y lo curativo, sea incluyente y oportuno. Un sistema que sea ejemplo para el país.</w:t>
      </w:r>
    </w:p>
    <w:p w14:paraId="189AD7B6" w14:textId="77777777" w:rsidR="00745C99" w:rsidRPr="00745C99" w:rsidRDefault="00745C99" w:rsidP="00745C99"/>
    <w:p w14:paraId="075229BA" w14:textId="77777777" w:rsidR="00745C99" w:rsidRPr="00745C99" w:rsidRDefault="00745C99" w:rsidP="00745C99">
      <w:r w:rsidRPr="00745C99">
        <w:t>El tercer frente está orientado a que la ciudad sea entendida como un espacio donde el derecho a la vida digna se ejerza sin distingo de condiciones. Pero, a su vez, un lugar donde cada persona pueda expresarse según sus preferencias, demandas e intereses, con respeto y tolerancia por el otro, sin discriminación. Así, Bogotá Camina Segura se enfocará en la atención a los grupos vulnerables, cualquiera sea su origen, así como en la protección de los animales. De esta manera, todos los espacios de la ciudad permitirán la expresión y vida en sociedad.</w:t>
      </w:r>
    </w:p>
    <w:p w14:paraId="7617786B" w14:textId="77777777" w:rsidR="00745C99" w:rsidRPr="00745C99" w:rsidRDefault="00745C99" w:rsidP="00745C99"/>
    <w:p w14:paraId="67743085" w14:textId="7D739562" w:rsidR="00B14E38" w:rsidRPr="00745C99" w:rsidRDefault="00745C99" w:rsidP="00745C99">
      <w:pPr>
        <w:sectPr w:rsidR="00B14E38" w:rsidRPr="00745C99" w:rsidSect="00F7078E">
          <w:type w:val="continuous"/>
          <w:pgSz w:w="12240" w:h="15840"/>
          <w:pgMar w:top="2262" w:right="1440" w:bottom="1440" w:left="1440" w:header="708" w:footer="680" w:gutter="0"/>
          <w:cols w:num="2" w:space="567"/>
          <w:docGrid w:linePitch="299"/>
        </w:sectPr>
      </w:pPr>
      <w:r w:rsidRPr="00745C99">
        <w:t>Las mencionadas estrategias, articuladas, nos llevarán a tener una ciudad donde todas y todos, viviendo dignamente, podamos disfrutar de la ciudad y de la vida.</w:t>
      </w:r>
    </w:p>
    <w:p w14:paraId="6F764557" w14:textId="50F932CB" w:rsidR="00745C99" w:rsidRDefault="00745C99">
      <w:pPr>
        <w:spacing w:line="240" w:lineRule="auto"/>
        <w:jc w:val="left"/>
        <w:rPr>
          <w:rFonts w:eastAsiaTheme="minorHAnsi" w:cstheme="minorBidi"/>
          <w:b/>
          <w:bCs/>
          <w:color w:val="C00000"/>
          <w:sz w:val="18"/>
          <w:lang w:eastAsia="en-US"/>
        </w:rPr>
      </w:pPr>
      <w:r>
        <w:rPr>
          <w:b/>
          <w:bCs/>
        </w:rPr>
        <w:br w:type="page"/>
      </w:r>
    </w:p>
    <w:p w14:paraId="274F1172" w14:textId="4CC259D3" w:rsidR="00B14E38" w:rsidRPr="00745C99" w:rsidRDefault="00745C99" w:rsidP="00745C99">
      <w:pPr>
        <w:pStyle w:val="Descripcin"/>
        <w:jc w:val="center"/>
        <w:rPr>
          <w:i/>
          <w:iCs w:val="0"/>
          <w:color w:val="000000" w:themeColor="text1"/>
          <w:sz w:val="18"/>
        </w:rPr>
      </w:pPr>
      <w:bookmarkStart w:id="232" w:name="_Toc165169981"/>
      <w:r w:rsidRPr="00745C99">
        <w:rPr>
          <w:color w:val="C00000"/>
          <w:sz w:val="18"/>
        </w:rPr>
        <w:lastRenderedPageBreak/>
        <w:t xml:space="preserve">Figura </w:t>
      </w:r>
      <w:r w:rsidRPr="00745C99">
        <w:rPr>
          <w:color w:val="C00000"/>
          <w:sz w:val="18"/>
        </w:rPr>
        <w:fldChar w:fldCharType="begin"/>
      </w:r>
      <w:r w:rsidRPr="00745C99">
        <w:rPr>
          <w:color w:val="C00000"/>
          <w:sz w:val="18"/>
        </w:rPr>
        <w:instrText xml:space="preserve"> SEQ Figura \* ARABIC </w:instrText>
      </w:r>
      <w:r w:rsidRPr="00745C99">
        <w:rPr>
          <w:color w:val="C00000"/>
          <w:sz w:val="18"/>
        </w:rPr>
        <w:fldChar w:fldCharType="separate"/>
      </w:r>
      <w:r w:rsidR="00D01651">
        <w:rPr>
          <w:noProof/>
          <w:color w:val="C00000"/>
          <w:sz w:val="18"/>
        </w:rPr>
        <w:t>5</w:t>
      </w:r>
      <w:r w:rsidRPr="00745C99">
        <w:rPr>
          <w:color w:val="C00000"/>
          <w:sz w:val="18"/>
        </w:rPr>
        <w:fldChar w:fldCharType="end"/>
      </w:r>
      <w:r w:rsidRPr="00745C99">
        <w:rPr>
          <w:color w:val="C00000"/>
          <w:sz w:val="18"/>
        </w:rPr>
        <w:t xml:space="preserve">. </w:t>
      </w:r>
      <w:r w:rsidR="00B14E38" w:rsidRPr="00745C99">
        <w:rPr>
          <w:color w:val="000000" w:themeColor="text1"/>
          <w:sz w:val="18"/>
        </w:rPr>
        <w:t>Estructura del Objetivo 2</w:t>
      </w:r>
      <w:bookmarkEnd w:id="232"/>
    </w:p>
    <w:p w14:paraId="4CD077CF" w14:textId="1FBF38A4" w:rsidR="00B14E38" w:rsidRDefault="009617DF" w:rsidP="00B14E38">
      <w:pPr>
        <w:pStyle w:val="figuratitulo"/>
        <w:rPr>
          <w:i/>
          <w:iCs/>
          <w:color w:val="000000" w:themeColor="text1"/>
        </w:rPr>
      </w:pPr>
      <w:r>
        <w:rPr>
          <w:i/>
          <w:iCs/>
          <w:noProof/>
          <w:color w:val="000000" w:themeColor="text1"/>
        </w:rPr>
        <w:drawing>
          <wp:anchor distT="0" distB="0" distL="114300" distR="114300" simplePos="0" relativeHeight="251755520" behindDoc="0" locked="0" layoutInCell="1" allowOverlap="1" wp14:anchorId="12C77A29" wp14:editId="0F9BB337">
            <wp:simplePos x="0" y="0"/>
            <wp:positionH relativeFrom="column">
              <wp:posOffset>-22225</wp:posOffset>
            </wp:positionH>
            <wp:positionV relativeFrom="paragraph">
              <wp:posOffset>128270</wp:posOffset>
            </wp:positionV>
            <wp:extent cx="5612130" cy="3156585"/>
            <wp:effectExtent l="0" t="0" r="7620" b="5715"/>
            <wp:wrapNone/>
            <wp:docPr id="76982328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823288" name="Imagen 9"/>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14:sizeRelH relativeFrom="page">
              <wp14:pctWidth>0</wp14:pctWidth>
            </wp14:sizeRelH>
            <wp14:sizeRelV relativeFrom="page">
              <wp14:pctHeight>0</wp14:pctHeight>
            </wp14:sizeRelV>
          </wp:anchor>
        </w:drawing>
      </w:r>
    </w:p>
    <w:p w14:paraId="74912413" w14:textId="77777777" w:rsidR="00B14E38" w:rsidRDefault="00B14E38" w:rsidP="00B14E38">
      <w:pPr>
        <w:pStyle w:val="figuratitulo"/>
        <w:rPr>
          <w:i/>
          <w:iCs/>
          <w:color w:val="000000" w:themeColor="text1"/>
        </w:rPr>
      </w:pPr>
    </w:p>
    <w:p w14:paraId="7F21F1F9" w14:textId="77777777" w:rsidR="00B14E38" w:rsidRDefault="00B14E38" w:rsidP="00B14E38">
      <w:pPr>
        <w:pStyle w:val="figuratitulo"/>
        <w:rPr>
          <w:i/>
          <w:iCs/>
          <w:color w:val="000000" w:themeColor="text1"/>
        </w:rPr>
      </w:pPr>
    </w:p>
    <w:p w14:paraId="544CCE13" w14:textId="77777777" w:rsidR="00B14E38" w:rsidRDefault="00B14E38" w:rsidP="00B14E38">
      <w:pPr>
        <w:pStyle w:val="figuratitulo"/>
        <w:rPr>
          <w:i/>
          <w:iCs/>
          <w:color w:val="000000" w:themeColor="text1"/>
        </w:rPr>
      </w:pPr>
    </w:p>
    <w:p w14:paraId="218A890B" w14:textId="77777777" w:rsidR="00B14E38" w:rsidRDefault="00B14E38" w:rsidP="00B14E38">
      <w:pPr>
        <w:pStyle w:val="figuratitulo"/>
        <w:rPr>
          <w:i/>
          <w:iCs/>
          <w:color w:val="000000" w:themeColor="text1"/>
        </w:rPr>
      </w:pPr>
    </w:p>
    <w:p w14:paraId="5AB8322D" w14:textId="77777777" w:rsidR="00B14E38" w:rsidRDefault="00B14E38" w:rsidP="00B14E38">
      <w:pPr>
        <w:pStyle w:val="figuratitulo"/>
        <w:rPr>
          <w:i/>
          <w:iCs/>
          <w:color w:val="000000" w:themeColor="text1"/>
        </w:rPr>
      </w:pPr>
    </w:p>
    <w:p w14:paraId="6769D79D" w14:textId="77777777" w:rsidR="00B14E38" w:rsidRDefault="00B14E38" w:rsidP="00B14E38">
      <w:pPr>
        <w:pStyle w:val="figuratitulo"/>
        <w:rPr>
          <w:i/>
          <w:iCs/>
          <w:color w:val="000000" w:themeColor="text1"/>
        </w:rPr>
      </w:pPr>
    </w:p>
    <w:p w14:paraId="6281981F" w14:textId="77777777" w:rsidR="00B14E38" w:rsidRDefault="00B14E38" w:rsidP="00B14E38">
      <w:pPr>
        <w:pStyle w:val="figuratitulo"/>
        <w:rPr>
          <w:i/>
          <w:iCs/>
          <w:color w:val="000000" w:themeColor="text1"/>
        </w:rPr>
      </w:pPr>
    </w:p>
    <w:p w14:paraId="20B5C14B" w14:textId="77777777" w:rsidR="00B14E38" w:rsidRDefault="00B14E38" w:rsidP="00B14E38">
      <w:pPr>
        <w:pStyle w:val="figuratitulo"/>
        <w:rPr>
          <w:i/>
          <w:iCs/>
          <w:color w:val="000000" w:themeColor="text1"/>
        </w:rPr>
      </w:pPr>
    </w:p>
    <w:p w14:paraId="77C52087" w14:textId="77777777" w:rsidR="00B14E38" w:rsidRDefault="00B14E38" w:rsidP="00B14E38">
      <w:pPr>
        <w:pStyle w:val="figuratitulo"/>
        <w:rPr>
          <w:i/>
          <w:iCs/>
          <w:color w:val="000000" w:themeColor="text1"/>
        </w:rPr>
      </w:pPr>
    </w:p>
    <w:p w14:paraId="607DC36B" w14:textId="77777777" w:rsidR="00B14E38" w:rsidRDefault="00B14E38" w:rsidP="00B14E38">
      <w:pPr>
        <w:pStyle w:val="figuratitulo"/>
        <w:rPr>
          <w:i/>
          <w:iCs/>
          <w:color w:val="000000" w:themeColor="text1"/>
        </w:rPr>
      </w:pPr>
    </w:p>
    <w:p w14:paraId="53BEBAC2" w14:textId="77777777" w:rsidR="00B14E38" w:rsidRDefault="00B14E38" w:rsidP="00B14E38">
      <w:pPr>
        <w:pStyle w:val="figuratitulo"/>
        <w:rPr>
          <w:i/>
          <w:iCs/>
          <w:color w:val="000000" w:themeColor="text1"/>
        </w:rPr>
      </w:pPr>
      <w:r>
        <w:rPr>
          <w:i/>
          <w:iCs/>
          <w:noProof/>
          <w:color w:val="000000" w:themeColor="text1"/>
        </w:rPr>
        <w:drawing>
          <wp:inline distT="0" distB="0" distL="0" distR="0" wp14:anchorId="4846BE14" wp14:editId="0EFD2CA2">
            <wp:extent cx="5612130" cy="3448050"/>
            <wp:effectExtent l="0" t="0" r="0" b="0"/>
            <wp:docPr id="26784580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845804" name="Imagen 267845804"/>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612130" cy="3448050"/>
                    </a:xfrm>
                    <a:prstGeom prst="rect">
                      <a:avLst/>
                    </a:prstGeom>
                  </pic:spPr>
                </pic:pic>
              </a:graphicData>
            </a:graphic>
          </wp:inline>
        </w:drawing>
      </w:r>
    </w:p>
    <w:p w14:paraId="570F8AFA" w14:textId="77777777" w:rsidR="00B14E38" w:rsidRDefault="00B14E38" w:rsidP="00B14E38">
      <w:pPr>
        <w:pStyle w:val="figuratitulo"/>
        <w:rPr>
          <w:i/>
          <w:iCs/>
          <w:color w:val="000000" w:themeColor="text1"/>
        </w:rPr>
      </w:pPr>
    </w:p>
    <w:p w14:paraId="0A53853F" w14:textId="77777777" w:rsidR="00B14E38" w:rsidRDefault="00B14E38" w:rsidP="00B14E38">
      <w:pPr>
        <w:pStyle w:val="figuratitulo"/>
        <w:rPr>
          <w:i/>
          <w:iCs/>
          <w:color w:val="000000" w:themeColor="text1"/>
        </w:rPr>
      </w:pPr>
    </w:p>
    <w:p w14:paraId="412B6EFE" w14:textId="77777777" w:rsidR="00B14E38" w:rsidRDefault="00B14E38" w:rsidP="00B14E38">
      <w:pPr>
        <w:pStyle w:val="figuratitulo"/>
        <w:rPr>
          <w:i/>
          <w:iCs/>
          <w:color w:val="000000" w:themeColor="text1"/>
        </w:rPr>
      </w:pPr>
    </w:p>
    <w:p w14:paraId="3A4DED73" w14:textId="77777777" w:rsidR="00B14E38" w:rsidRDefault="00B14E38" w:rsidP="00B14E38">
      <w:pPr>
        <w:pStyle w:val="figuratitulo"/>
        <w:rPr>
          <w:i/>
          <w:iCs/>
          <w:color w:val="000000" w:themeColor="text1"/>
        </w:rPr>
      </w:pPr>
    </w:p>
    <w:p w14:paraId="5A9B3330" w14:textId="77777777" w:rsidR="00B14E38" w:rsidRDefault="00B14E38" w:rsidP="00B14E38">
      <w:pPr>
        <w:pStyle w:val="figuratitulo"/>
        <w:rPr>
          <w:i/>
          <w:iCs/>
          <w:color w:val="000000" w:themeColor="text1"/>
        </w:rPr>
      </w:pPr>
    </w:p>
    <w:p w14:paraId="0F078D2F" w14:textId="77777777" w:rsidR="00B14E38" w:rsidRDefault="00B14E38" w:rsidP="00B14E38">
      <w:pPr>
        <w:pStyle w:val="figuratitulo"/>
        <w:rPr>
          <w:i/>
          <w:iCs/>
          <w:color w:val="000000" w:themeColor="text1"/>
        </w:rPr>
      </w:pPr>
    </w:p>
    <w:p w14:paraId="2FC00843" w14:textId="77777777" w:rsidR="00B14E38" w:rsidRDefault="00B14E38" w:rsidP="00B14E38">
      <w:pPr>
        <w:pStyle w:val="figuratitulo"/>
        <w:rPr>
          <w:i/>
          <w:iCs/>
          <w:color w:val="000000" w:themeColor="text1"/>
        </w:rPr>
      </w:pPr>
    </w:p>
    <w:p w14:paraId="7509B10D" w14:textId="77777777" w:rsidR="00B14E38" w:rsidRDefault="00B14E38" w:rsidP="00B14E38">
      <w:pPr>
        <w:pStyle w:val="figuratitulo"/>
        <w:rPr>
          <w:i/>
          <w:iCs/>
          <w:color w:val="000000" w:themeColor="text1"/>
        </w:rPr>
      </w:pPr>
    </w:p>
    <w:p w14:paraId="0FDA4134" w14:textId="77777777" w:rsidR="00B14E38" w:rsidRDefault="00B14E38" w:rsidP="00B14E38">
      <w:pPr>
        <w:pStyle w:val="figuratitulo"/>
        <w:rPr>
          <w:i/>
          <w:iCs/>
          <w:color w:val="000000" w:themeColor="text1"/>
        </w:rPr>
      </w:pPr>
    </w:p>
    <w:p w14:paraId="43041692" w14:textId="77777777" w:rsidR="00B14E38" w:rsidRDefault="00B14E38" w:rsidP="00B14E38">
      <w:pPr>
        <w:pStyle w:val="figuratitulo"/>
        <w:rPr>
          <w:i/>
          <w:iCs/>
          <w:color w:val="000000" w:themeColor="text1"/>
        </w:rPr>
      </w:pPr>
    </w:p>
    <w:p w14:paraId="0EE2BF1A" w14:textId="77777777" w:rsidR="00B14E38" w:rsidRDefault="00B14E38" w:rsidP="00B14E38">
      <w:pPr>
        <w:pStyle w:val="figuratitulo"/>
        <w:rPr>
          <w:i/>
          <w:iCs/>
        </w:rPr>
      </w:pPr>
    </w:p>
    <w:p w14:paraId="2BC9F6AD" w14:textId="77777777" w:rsidR="00B14E38" w:rsidRDefault="00B14E38" w:rsidP="00B14E38">
      <w:pPr>
        <w:pStyle w:val="figuratitulo"/>
        <w:rPr>
          <w:i/>
          <w:iCs/>
        </w:rPr>
      </w:pPr>
    </w:p>
    <w:p w14:paraId="7E092775" w14:textId="77777777" w:rsidR="00B14E38" w:rsidRDefault="00B14E38" w:rsidP="00B14E38">
      <w:pPr>
        <w:pStyle w:val="figuratitulo"/>
        <w:rPr>
          <w:i/>
          <w:iCs/>
        </w:rPr>
      </w:pPr>
    </w:p>
    <w:p w14:paraId="403BA0D3" w14:textId="77777777" w:rsidR="00B14E38" w:rsidRPr="005D5A4A" w:rsidRDefault="00B14E38" w:rsidP="00B14E38">
      <w:pPr>
        <w:pStyle w:val="figuratitulo"/>
        <w:rPr>
          <w:color w:val="3B3838" w:themeColor="background2" w:themeShade="40"/>
        </w:rPr>
      </w:pPr>
      <w:r w:rsidRPr="00745C99">
        <w:rPr>
          <w:b/>
          <w:bCs/>
          <w:color w:val="3B3838" w:themeColor="background2" w:themeShade="40"/>
        </w:rPr>
        <w:t>Fuente:</w:t>
      </w:r>
      <w:r w:rsidRPr="005D5A4A">
        <w:rPr>
          <w:color w:val="3B3838" w:themeColor="background2" w:themeShade="40"/>
        </w:rPr>
        <w:t xml:space="preserve"> Elaboración Propia SDP, Subsecretaría de Planeación de la Inversión.</w:t>
      </w:r>
    </w:p>
    <w:p w14:paraId="4A959917" w14:textId="77777777" w:rsidR="00B14E38" w:rsidRPr="00B944E8" w:rsidRDefault="00B14E38" w:rsidP="00B14E38">
      <w:pPr>
        <w:spacing w:line="480" w:lineRule="auto"/>
        <w:rPr>
          <w:rFonts w:ascii="Times New Roman" w:hAnsi="Times New Roman"/>
          <w:sz w:val="24"/>
        </w:rPr>
      </w:pPr>
    </w:p>
    <w:p w14:paraId="681EEA69"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space="720"/>
          <w:docGrid w:linePitch="299"/>
        </w:sectPr>
      </w:pPr>
    </w:p>
    <w:p w14:paraId="72467A1D" w14:textId="390585F8" w:rsidR="0010327E" w:rsidRDefault="00B14E38" w:rsidP="0010327E">
      <w:r w:rsidRPr="00B944E8">
        <w:t>Las</w:t>
      </w:r>
      <w:r w:rsidR="0010327E">
        <w:t xml:space="preserve"> estrategias se implementarán por medio de nueve programas, que incluyen el enfoque poblacional-diferencial y de género. Algunos de ellos se centrarán en la lucha contra la pobreza y el hambre, canalizando y haciendo más eficientes los apoyos y estrategias que hoy tiene la ciudad para estos fines. Otros articularán acciones hacia una mejor y más amplia atención en salud, mientras algunos más buscarán que todas las personas podamos disfrutar nuestro derecho a ser auténticas y auténticos.</w:t>
      </w:r>
    </w:p>
    <w:p w14:paraId="14C78E91" w14:textId="77777777" w:rsidR="0010327E" w:rsidRDefault="0010327E" w:rsidP="0010327E"/>
    <w:p w14:paraId="46B51709" w14:textId="77777777" w:rsidR="0010327E" w:rsidRDefault="0010327E" w:rsidP="0010327E">
      <w:r>
        <w:t xml:space="preserve">Esta visión es acorde con los Objetivos de Desarrollo Sostenible (ODS); en particular, con el ODS1, Fin de la pobreza, el cual reconoce, entre otras, la importancia de entender la dinámica de la pobreza y su feminización, que obliga a hacer grandes esfuerzos para cerrar las brechas de género. Además, se busca mejorar la cobertura y efectividad de las transferencias monetarias a la </w:t>
      </w:r>
      <w:r>
        <w:t>población pobre, lo que, a su vez, promueve el autoempleo.</w:t>
      </w:r>
    </w:p>
    <w:p w14:paraId="2C417D40" w14:textId="77777777" w:rsidR="0010327E" w:rsidRDefault="0010327E" w:rsidP="0010327E"/>
    <w:p w14:paraId="761869A0" w14:textId="77777777" w:rsidR="00B14E38" w:rsidRDefault="0010327E" w:rsidP="00F835ED">
      <w:r>
        <w:t>El ODS 2, Hambre cero, buscando reducir la inseguridad alimentaria, garantiza el derecho a la alimentación para quienes habitan Bogotá. El ODS 3, Salud y bienestar, se orienta hacia el logro de una Atención Primaria que será integrada en un ejercicio de articulación entre las instituciones y las comunidades. El ODS 5 promoverá la igualdad entre los géneros empoderando a todas las mujeres y las niñas. El ODS 10 busca reducir las desigualdades en razón de ingresos, género, edad, discapacidad, orientación sexual, raza, clase, etnia o religión, así como la desigualdad de oportunidades. En los programas de este objetivo, además, se aborda el ODS 11, que busca ciudades y asentamientos humanos inclusivos, seguros, resilientes y sostenibles, mientras que el programa de Bogotá, un territorio</w:t>
      </w:r>
      <w:r w:rsidR="009D53FA">
        <w:t xml:space="preserve"> </w:t>
      </w:r>
      <w:r w:rsidR="009D53FA" w:rsidRPr="009D53FA">
        <w:t xml:space="preserve">de </w:t>
      </w:r>
      <w:r w:rsidR="009D53FA" w:rsidRPr="009D53FA">
        <w:lastRenderedPageBreak/>
        <w:t>paz, atiende el ODS 16, de Paz, que se enfoca en justicia e instituciones sólidas.</w:t>
      </w:r>
    </w:p>
    <w:p w14:paraId="07F246AF" w14:textId="77777777" w:rsidR="00055404" w:rsidRDefault="00055404" w:rsidP="00F835ED"/>
    <w:p w14:paraId="13F47726" w14:textId="77777777" w:rsidR="00055404" w:rsidRDefault="00055404" w:rsidP="00F835ED"/>
    <w:p w14:paraId="1C2BF4D9" w14:textId="77777777" w:rsidR="00055404" w:rsidRDefault="00055404" w:rsidP="00F835ED"/>
    <w:p w14:paraId="67C1F920" w14:textId="492C4878" w:rsidR="00055404" w:rsidRPr="00F835ED" w:rsidRDefault="00055404" w:rsidP="00F835ED">
      <w:pPr>
        <w:sectPr w:rsidR="00055404" w:rsidRPr="00F835ED" w:rsidSect="00F7078E">
          <w:type w:val="continuous"/>
          <w:pgSz w:w="12240" w:h="15840"/>
          <w:pgMar w:top="2262" w:right="1440" w:bottom="1440" w:left="1440" w:header="708" w:footer="680" w:gutter="0"/>
          <w:cols w:num="2" w:space="567"/>
          <w:docGrid w:linePitch="299"/>
        </w:sectPr>
      </w:pPr>
    </w:p>
    <w:p w14:paraId="2A6BE21A" w14:textId="59B9B3EF" w:rsidR="00B14E38" w:rsidRPr="00F835ED" w:rsidRDefault="00B14E38" w:rsidP="00F835ED">
      <w:pPr>
        <w:pStyle w:val="Ttulo3"/>
        <w:rPr>
          <w:color w:val="C00000"/>
        </w:rPr>
        <w:sectPr w:rsidR="00B14E38" w:rsidRPr="00F835ED" w:rsidSect="00F7078E">
          <w:type w:val="continuous"/>
          <w:pgSz w:w="12240" w:h="15840"/>
          <w:pgMar w:top="2262" w:right="1440" w:bottom="1440" w:left="1440" w:header="708" w:footer="680" w:gutter="0"/>
          <w:cols w:space="720"/>
          <w:docGrid w:linePitch="299"/>
        </w:sectPr>
      </w:pPr>
      <w:bookmarkStart w:id="233" w:name="_Toc165169764"/>
      <w:r w:rsidRPr="00F835ED">
        <w:rPr>
          <w:color w:val="C00000"/>
        </w:rPr>
        <w:t>Estrategias</w:t>
      </w:r>
      <w:bookmarkEnd w:id="233"/>
    </w:p>
    <w:p w14:paraId="07CDC79B" w14:textId="5D5CE380" w:rsidR="00B14E38" w:rsidRPr="009F127C" w:rsidRDefault="00055404" w:rsidP="009F127C">
      <w:pPr>
        <w:rPr>
          <w:b/>
          <w:bCs/>
          <w:sz w:val="28"/>
          <w:szCs w:val="32"/>
        </w:rPr>
      </w:pPr>
      <w:r>
        <w:rPr>
          <w:b/>
          <w:bCs/>
          <w:sz w:val="28"/>
          <w:szCs w:val="32"/>
        </w:rPr>
        <w:t>¡</w:t>
      </w:r>
      <w:r w:rsidR="00B14E38" w:rsidRPr="009F127C">
        <w:rPr>
          <w:b/>
          <w:bCs/>
          <w:sz w:val="28"/>
          <w:szCs w:val="32"/>
        </w:rPr>
        <w:t>Bogotá, una ciudad con menos pobreza, sin hambre y sin exclusión!</w:t>
      </w:r>
    </w:p>
    <w:p w14:paraId="7C6F35B5"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75A9F49E" w14:textId="22425A02" w:rsidR="00710E0C" w:rsidRDefault="00B14E38" w:rsidP="00710E0C">
      <w:r w:rsidRPr="00B944E8">
        <w:rPr>
          <w:highlight w:val="white"/>
        </w:rPr>
        <w:t>Luchar</w:t>
      </w:r>
      <w:r w:rsidR="00710E0C" w:rsidRPr="00710E0C">
        <w:t xml:space="preserve"> </w:t>
      </w:r>
      <w:r w:rsidR="00710E0C">
        <w:t xml:space="preserve">contra la pobreza, la exclusión y el hambre es una de las principales premisas de nuestra Administración. Para esto, es fundamental un mayor conocimiento de cómo se comporta este fenómeno social, de manera específica, en la ciudad. Se deben articular todos los esfuerzos para luchar contra la pobreza, la exclusión, la discriminación y el hambre en una ciudad de 8 millones de habitantes, donde, a pesar de tener niveles aceptables de cobertura de servicios públicos, cada punto de aumento de la pobreza representa miles de personas y familias que sufren por estos flagelos. Hoy Bogotá tiene más de 1,4 millones de habitantes en condiciones de pobreza. La ciudad debe moverse hacia la reducción de dicha cifra, así como la de cualquier forma extrema de exclusión. </w:t>
      </w:r>
    </w:p>
    <w:p w14:paraId="141A5700" w14:textId="77777777" w:rsidR="00710E0C" w:rsidRDefault="00710E0C" w:rsidP="00710E0C">
      <w:r>
        <w:t xml:space="preserve">Con este fin, Bogotá Camina Segura brindará una oferta de servicios sociales orientados a transformar las desigualdades —en especial, aquellas basadas en género— y robustecerá la capacidad de los servicios para las personas que están en extrema exclusión, como los habitantes de calle, y las que están en riesgo de caer en estas condiciones. </w:t>
      </w:r>
    </w:p>
    <w:p w14:paraId="51884961" w14:textId="77777777" w:rsidR="00710E0C" w:rsidRDefault="00710E0C" w:rsidP="00710E0C"/>
    <w:p w14:paraId="7473F8C9" w14:textId="77777777" w:rsidR="00710E0C" w:rsidRDefault="00710E0C" w:rsidP="00710E0C">
      <w:r>
        <w:t xml:space="preserve">Además, se orientarán esfuerzos para aumentar los ingresos de la población más vulnerable, incluidos los grupos étnicos, sectores sociales y población con discapacidad, a través del fortalecimiento y rediseño del modelo de transferencias monetarias de Ingreso Mínimo Garantizado (IMG). El objetivo será generar y complementar oportunidades de movilidad social que permitan a los hogares cubrir el costo de una canasta básica de bienes (alimentarios y no alimentarios) y reducir de manera progresiva, con énfasis en la población con mayor exclusión y pobreza, la participación del gasto en servicios de ciudad, así como el gasto en transporte, </w:t>
      </w:r>
      <w:r>
        <w:t>respecto al gasto total de los hogares. Además, los hogares podrán superar la exclusión productiva, a través de la integración con mercados de trabajo y con la oferta pública y privada de generación de ingresos y empleabilidad.</w:t>
      </w:r>
    </w:p>
    <w:p w14:paraId="201C1C1A" w14:textId="77777777" w:rsidR="00710E0C" w:rsidRDefault="00710E0C" w:rsidP="00710E0C"/>
    <w:p w14:paraId="716EC644" w14:textId="77777777" w:rsidR="00710E0C" w:rsidRDefault="00710E0C" w:rsidP="00710E0C">
      <w:r>
        <w:t>La información sobre las condiciones de pobreza en la ciudad, obtenida a través de la Encuesta Multipropósito (2021), evidenció la privación que las personas están teniendo en materia alimenticia. Así, el 7,5</w:t>
      </w:r>
      <w:r>
        <w:rPr>
          <w:rFonts w:ascii="Arial" w:hAnsi="Arial" w:cs="Arial"/>
        </w:rPr>
        <w:t> </w:t>
      </w:r>
      <w:r>
        <w:t>% de los hogares manifestaron que algunos de sus integrantes dejaron de comer uno o m</w:t>
      </w:r>
      <w:r>
        <w:rPr>
          <w:rFonts w:cs="Candara"/>
        </w:rPr>
        <w:t>á</w:t>
      </w:r>
      <w:r>
        <w:t>s d</w:t>
      </w:r>
      <w:r>
        <w:rPr>
          <w:rFonts w:cs="Candara"/>
        </w:rPr>
        <w:t>í</w:t>
      </w:r>
      <w:r>
        <w:t>as de la semana, en parte, por falta de dinero. Se implementar</w:t>
      </w:r>
      <w:r>
        <w:rPr>
          <w:rFonts w:cs="Candara"/>
        </w:rPr>
        <w:t>á</w:t>
      </w:r>
      <w:r>
        <w:t>n acciones efectivas en materia de acceso y disponibilidad de alimentos. De esta manera, las poblaciones excluidas, vulnerables e hist</w:t>
      </w:r>
      <w:r>
        <w:rPr>
          <w:rFonts w:cs="Candara"/>
        </w:rPr>
        <w:t>ó</w:t>
      </w:r>
      <w:r>
        <w:t>ricamente discriminadas tendrán el derecho fundamental a las tres comidas al día; especialmente, en las zonas de la ciudad de mayor riesgo de inseguridad alimentaria y en un contexto en el cual un importante porcentaje del abastecimiento alimentario se produce en los departamentos vecinos.</w:t>
      </w:r>
    </w:p>
    <w:p w14:paraId="41B92114" w14:textId="77777777" w:rsidR="00710E0C" w:rsidRDefault="00710E0C" w:rsidP="00710E0C"/>
    <w:p w14:paraId="7636D833" w14:textId="77777777" w:rsidR="00710E0C" w:rsidRDefault="00710E0C" w:rsidP="00710E0C">
      <w:r>
        <w:t>Estos análisis también evidenciaron limitaciones en materia de vivienda, de un techo digno. Bogotá hoy presenta déficits cuantitativos y cualitativos de vivienda. La baja tasa de generación de viviendas, en comparación con las necesidades, requiere la intervención del Estado. La solución de política pública se orienta a promover la generación de variadas alternativas de soluciones habitacionales (vivienda nueva, mejoramientos y arrendamientos) que permitan generar cambios en las dinámicas de acceso a la vivienda de interés social y mejorar las condiciones de vida de las ciudadanas y los ciudadanos a través del acceso a una vivienda nueva, digna y de calidad.</w:t>
      </w:r>
    </w:p>
    <w:p w14:paraId="311117DC" w14:textId="77777777" w:rsidR="00710E0C" w:rsidRDefault="00710E0C" w:rsidP="00710E0C"/>
    <w:p w14:paraId="1F59E9DF" w14:textId="653E67B9" w:rsidR="00B14E38" w:rsidRPr="00710E0C" w:rsidRDefault="00710E0C" w:rsidP="00B14E38">
      <w:r>
        <w:t xml:space="preserve">Recientemente, Bogotá elaboró el Índice de Pobreza Multidimensional Ampliado (2023), a raíz de lo cual se encontraron limitaciones en materia de inclusión y reconocimiento de derechos de las personas. Ese resultado implica para la Administración distrital trabajar en pro </w:t>
      </w:r>
      <w:r>
        <w:t>de erradicar la discriminación y el prejuicio. En suma, prevé velar por que todos y todas, sin distinción alguna, puedan acceder a los servicios sociales. Solo de esta manera lucharemos de manera efectiva contra la pobreza, el hambre y la exclusión.</w:t>
      </w:r>
    </w:p>
    <w:p w14:paraId="576DD3F8" w14:textId="77777777" w:rsidR="00B14E38" w:rsidRDefault="00B14E38" w:rsidP="00B14E38">
      <w:pPr>
        <w:rPr>
          <w:highlight w:val="white"/>
        </w:rPr>
        <w:sectPr w:rsidR="00B14E38" w:rsidSect="00F7078E">
          <w:type w:val="continuous"/>
          <w:pgSz w:w="12240" w:h="15840"/>
          <w:pgMar w:top="2262" w:right="1440" w:bottom="1440" w:left="1440" w:header="708" w:footer="680" w:gutter="0"/>
          <w:cols w:num="2" w:space="720"/>
          <w:docGrid w:linePitch="299"/>
        </w:sectPr>
      </w:pPr>
    </w:p>
    <w:p w14:paraId="2B69C7A2" w14:textId="77777777" w:rsidR="00B14E38" w:rsidRDefault="00B14E38" w:rsidP="00B14E38">
      <w:pPr>
        <w:rPr>
          <w:highlight w:val="white"/>
        </w:rPr>
      </w:pPr>
    </w:p>
    <w:p w14:paraId="141C52F8" w14:textId="77777777" w:rsidR="00B14E38" w:rsidRDefault="00B14E38" w:rsidP="00B14E38">
      <w:pPr>
        <w:rPr>
          <w:highlight w:val="white"/>
        </w:rPr>
      </w:pPr>
    </w:p>
    <w:p w14:paraId="1DA7A1A7" w14:textId="77777777" w:rsidR="00B14E38" w:rsidRPr="00316777" w:rsidRDefault="00B14E38" w:rsidP="00316777">
      <w:pPr>
        <w:rPr>
          <w:b/>
          <w:bCs/>
          <w:i/>
          <w:sz w:val="28"/>
          <w:szCs w:val="32"/>
        </w:rPr>
      </w:pPr>
      <w:r w:rsidRPr="00316777">
        <w:rPr>
          <w:b/>
          <w:bCs/>
          <w:sz w:val="28"/>
          <w:szCs w:val="32"/>
        </w:rPr>
        <w:t>¡Bogotá, una ciudad saludable con bien-estar!</w:t>
      </w:r>
    </w:p>
    <w:p w14:paraId="42F147EE"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67552E03" w14:textId="0362A07B" w:rsidR="00316777" w:rsidRDefault="00B14E38" w:rsidP="00316777">
      <w:r w:rsidRPr="00B944E8">
        <w:t>El</w:t>
      </w:r>
      <w:r w:rsidR="00316777">
        <w:t xml:space="preserve"> acceso a los servicios de salud siempre se ha identificado como una de las condiciones para tener un buen vivir, para poder tener un bien-estar. Pero acceder es mucho más que tener cobertura, pues también implica tener la garantía de que los servicios se presten, y facilidades de acceso a ellos cuando se necesitan. Hoy, el perfil de morbilidad de la ciudad demanda unos servicios más amplios y exigentes que en el pasado.</w:t>
      </w:r>
    </w:p>
    <w:p w14:paraId="49D305B3" w14:textId="77777777" w:rsidR="00316777" w:rsidRDefault="00316777" w:rsidP="00316777"/>
    <w:p w14:paraId="3F8E9159" w14:textId="77777777" w:rsidR="00316777" w:rsidRDefault="00316777" w:rsidP="00316777">
      <w:r>
        <w:t>Un primer paso, es desarrollar una estrategia de Atención Primaria Social (APSocial) con enfoque familiar y comunitario, la cual se constituirá en la ruta para avanzar en la afectación positiva de las inequidades en los determinantes sociales relacionados con la salud y para garantizar el acceso a los servicios socio- sanitarios. La ciudad requiere fortalecer la Atención Primaria en Salud con un alto contenido social, mediante la implementación de un modelo de atención integral generador de bienestar, que avance en la garantía de los derechos para las personas, familias y comunidades de Bogotá.</w:t>
      </w:r>
    </w:p>
    <w:p w14:paraId="5B6ADDB2" w14:textId="77777777" w:rsidR="00316777" w:rsidRDefault="00316777" w:rsidP="00316777"/>
    <w:p w14:paraId="2DC7D1C1" w14:textId="77777777" w:rsidR="00316777" w:rsidRDefault="00316777" w:rsidP="00316777">
      <w:r>
        <w:t xml:space="preserve">La atención en salud se realizará a través de la conformación de equipos integrales (extramurales-intramurales), el fortalecimiento de red pública y la conformación de una red territorializada, integrada, resolutiva y especializada, que vincule a los actores públicos y privados, </w:t>
      </w:r>
      <w:r>
        <w:t>para la gestión integral del riesgo a nivel individual, familiar y colectivo, desde los enfoques de género y los derechos humanos de las mujeres, así como teniendo una mirada interseccional.</w:t>
      </w:r>
    </w:p>
    <w:p w14:paraId="65C695A7" w14:textId="77777777" w:rsidR="00316777" w:rsidRDefault="00316777" w:rsidP="00316777"/>
    <w:p w14:paraId="0E681EE2" w14:textId="77777777" w:rsidR="00316777" w:rsidRDefault="00316777" w:rsidP="00316777">
      <w:r>
        <w:t>La información será un elemento fundamental para gestionar los servicios socio-sanitarios. Avanzar en la salud digital implica la interoperabilidad de los sistemas que intervienen en la prestación del servicio. Así, dicho servicio se priorizará de mejor manera en función de situaciones de vulnerabilidad, riesgos y eventos en salud. La estrategia permitirá disponer, de manera adecuada y equitativa, de la oferta del distrito.</w:t>
      </w:r>
    </w:p>
    <w:p w14:paraId="4B757734" w14:textId="77777777" w:rsidR="00316777" w:rsidRDefault="00316777" w:rsidP="00316777"/>
    <w:p w14:paraId="6E4E244E" w14:textId="5389A458" w:rsidR="00B14E38" w:rsidRPr="00B944E8" w:rsidRDefault="00316777" w:rsidP="00B14E38">
      <w:r>
        <w:t>En el mismo sentido, también se promoverá el desarrollo del ecosistema de Ciencia, Tecnología e Innovación (CTeI) en salud del Distrito Capital. Su objetivo será aportar información para la toma de decisiones, nuevas investigaciones en salud y desarrollo biotecnológico, en beneficio de los diferentes grupos poblacionales y sectores sociales. La apuesta no solo representa un mejor servicio de salud para las y los habitantes, sino que se debe convertir en un motor de generación de empleo y posicionamiento de la ciudad a nivel nacional e internaciona</w:t>
      </w:r>
      <w:r w:rsidR="00306B3D">
        <w:t>l</w:t>
      </w:r>
      <w:r w:rsidR="00B14E38" w:rsidRPr="00B944E8">
        <w:t>.</w:t>
      </w:r>
    </w:p>
    <w:p w14:paraId="46D3C942" w14:textId="77777777" w:rsidR="00B14E38" w:rsidRDefault="00B14E38" w:rsidP="00B14E38">
      <w:pPr>
        <w:sectPr w:rsidR="00B14E38" w:rsidSect="00F7078E">
          <w:type w:val="continuous"/>
          <w:pgSz w:w="12240" w:h="15840"/>
          <w:pgMar w:top="2262" w:right="1440" w:bottom="1440" w:left="1440" w:header="708" w:footer="680" w:gutter="0"/>
          <w:cols w:num="2" w:space="720"/>
          <w:docGrid w:linePitch="299"/>
        </w:sectPr>
      </w:pPr>
    </w:p>
    <w:p w14:paraId="45DCCBCF" w14:textId="77777777" w:rsidR="00B14E38" w:rsidRPr="00B944E8" w:rsidRDefault="00B14E38" w:rsidP="00B14E38"/>
    <w:p w14:paraId="42838E14" w14:textId="77777777" w:rsidR="00B14E38" w:rsidRDefault="00B14E38" w:rsidP="00CB6AEC">
      <w:pPr>
        <w:pStyle w:val="Prrafodelista"/>
        <w:numPr>
          <w:ilvl w:val="1"/>
          <w:numId w:val="31"/>
        </w:numPr>
        <w:spacing w:line="240" w:lineRule="auto"/>
        <w:rPr>
          <w:b/>
          <w:bCs/>
          <w:sz w:val="28"/>
          <w:szCs w:val="28"/>
        </w:rPr>
        <w:sectPr w:rsidR="00B14E38" w:rsidSect="00F7078E">
          <w:type w:val="continuous"/>
          <w:pgSz w:w="12240" w:h="15840"/>
          <w:pgMar w:top="2262" w:right="1440" w:bottom="1440" w:left="1440" w:header="708" w:footer="680" w:gutter="0"/>
          <w:cols w:num="2" w:space="720"/>
          <w:docGrid w:linePitch="299"/>
        </w:sectPr>
      </w:pPr>
      <w:bookmarkStart w:id="234" w:name="_heading=h.z337ya" w:colFirst="0" w:colLast="0"/>
      <w:bookmarkEnd w:id="234"/>
    </w:p>
    <w:p w14:paraId="4BEE72DA" w14:textId="77777777" w:rsidR="00B14E38" w:rsidRPr="00391F62" w:rsidRDefault="00B14E38" w:rsidP="00391F62">
      <w:pPr>
        <w:rPr>
          <w:b/>
          <w:bCs/>
          <w:i/>
          <w:sz w:val="28"/>
          <w:szCs w:val="32"/>
        </w:rPr>
      </w:pPr>
      <w:r w:rsidRPr="00391F62">
        <w:rPr>
          <w:b/>
          <w:bCs/>
          <w:sz w:val="28"/>
          <w:szCs w:val="32"/>
        </w:rPr>
        <w:t>¡Todas y todos con derecho a la misma ciudad!</w:t>
      </w:r>
    </w:p>
    <w:p w14:paraId="15B8EA04"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2264F3A7" w14:textId="2FC88CB3" w:rsidR="002213FE" w:rsidRDefault="00B14E38" w:rsidP="002213FE">
      <w:r w:rsidRPr="00B944E8">
        <w:t xml:space="preserve">Querer </w:t>
      </w:r>
      <w:r w:rsidR="002213FE">
        <w:t xml:space="preserve">estar, ser parte de y desarrollar la vida en una ciudad depende de que ella le ofrezca a cada persona, sin exclusión, la oportunidad de </w:t>
      </w:r>
      <w:r w:rsidR="002213FE">
        <w:t xml:space="preserve">ser y de vivir con los mismos derechos. Para esto, la ciudad debe prever la atención en los servicios sociales a la población con </w:t>
      </w:r>
      <w:r w:rsidR="002213FE">
        <w:lastRenderedPageBreak/>
        <w:t>desventajas sistemáticas —discapacidad, personas mayores, personas LGTBI, grupos étnicos, personas migrantes o en condición de refugiadas, personas víctimas del conflicto armado, población rural, y personas en procesos de reintegración y reincorporación, entre otros— en todo su transcurrir vital. A través de la atención a grupos poblacionales y sectores sociales, se busca no solo garantizar los derechos al acceso a los servicios sociales y de salud de alta calidad, sino implementar acciones para la estabilización de sus condiciones socioeconómicas y superar las condiciones de vulnerabilidad. La acción pública se concentrará en medidas innovadoras que vayan más allá de la asistencia, orientando a las personas en situación de pobreza hacia espacios que les permitan conectarse a oportunidades en el ámbito social y económico y generar ingresos autónomos.</w:t>
      </w:r>
    </w:p>
    <w:p w14:paraId="15E401E5" w14:textId="77777777" w:rsidR="002213FE" w:rsidRDefault="002213FE" w:rsidP="002213FE"/>
    <w:p w14:paraId="672978D1" w14:textId="77777777" w:rsidR="002213FE" w:rsidRDefault="002213FE" w:rsidP="002213FE">
      <w:r>
        <w:t>Así mismo, se debe poner especial atención al cuidado de las personas que requieren una atención diferencial, tomando en cuenta su transcurrir vital y necesidades diferenciales: niñas, niños, personas mayores y personas con discapacidades, y a las mujeres con sobrecarga de trabajos de cuidado. Esto implica dinamizar y ampliar las redes de cuidado permitiendo el cuidado a personas cuidadoras, y las intervenciones necesarias en todas las áreas de su vida.</w:t>
      </w:r>
    </w:p>
    <w:p w14:paraId="3D0CE6D5" w14:textId="77777777" w:rsidR="002213FE" w:rsidRDefault="002213FE" w:rsidP="002213FE"/>
    <w:p w14:paraId="33004B5A" w14:textId="77777777" w:rsidR="002213FE" w:rsidRDefault="002213FE" w:rsidP="002213FE">
      <w:r>
        <w:t>Se fomentará el programa de bienestar escolar integral de los niños, niñas y jóvenes en cuanto al mejoramiento de las condiciones nutricionales del Programa de Alimentación Escolar (PAE), el fomento de vida saludable y la movilidad escolar segura.</w:t>
      </w:r>
    </w:p>
    <w:p w14:paraId="2D578A99" w14:textId="77777777" w:rsidR="002213FE" w:rsidRDefault="002213FE" w:rsidP="002213FE"/>
    <w:p w14:paraId="126CCD53" w14:textId="77777777" w:rsidR="002213FE" w:rsidRDefault="002213FE" w:rsidP="002213FE">
      <w:r>
        <w:t>Considerando todas las formas de vida, también se promoverá la prestación de servicios de atención integral y especializada, así como acciones de protección contra la crueldad animal. Las buenas prácticas se orientarán al ejercicio de actividades de prevención, atención y protección de la fauna doméstica y las especies sinantrópicas.</w:t>
      </w:r>
    </w:p>
    <w:p w14:paraId="730DB667" w14:textId="77777777" w:rsidR="002213FE" w:rsidRDefault="002213FE" w:rsidP="002213FE"/>
    <w:p w14:paraId="701B71AB" w14:textId="77777777" w:rsidR="002213FE" w:rsidRDefault="002213FE" w:rsidP="002213FE">
      <w:r>
        <w:t>Pero querer vivir y estar en una ciudad también se relaciona con la expresión y los buenos hábitos de vida. Bogotá Camina Segura incentivará la práctica deportiva, recreativa, de actividad física, artística, cultural y del patrimonio, en barrios y comunidades, con el uso de espacios públicos innovadores, accesibles, incluyentes y seguros, los cuales serán prioritarios para el desarrollo de dicha estrategia.</w:t>
      </w:r>
    </w:p>
    <w:p w14:paraId="67E4AED2" w14:textId="77777777" w:rsidR="002213FE" w:rsidRDefault="002213FE" w:rsidP="002213FE"/>
    <w:p w14:paraId="4B139850" w14:textId="77777777" w:rsidR="002213FE" w:rsidRDefault="002213FE" w:rsidP="002213FE">
      <w:r>
        <w:t>Bogotá se posicionará como sede de eventos deportivos, recreativos y de actividad física para todas las personas reconociendo sus necesidades, demandas e intereses desde el enfoque poblacional-diferencial y de género. Será líder en la ejecución de acciones que busquen perfeccionar las condiciones para los y las deportistas en su proceso de iniciación, formación y perfeccionamiento deportivo, en búsqueda de mayores logros en el alto rendimiento y de asegurar las condiciones adecuadas en programas, espacios y escenarios para comunidades que adoptan estilos de vida saludables y que reconozcan el deporte, la actividad física y la recreación como prácticas que aportan a su bienestar y desarrollo humano.</w:t>
      </w:r>
    </w:p>
    <w:p w14:paraId="49C70FBA" w14:textId="77777777" w:rsidR="002213FE" w:rsidRDefault="002213FE" w:rsidP="002213FE"/>
    <w:p w14:paraId="74B3242A" w14:textId="77777777" w:rsidR="002213FE" w:rsidRDefault="002213FE" w:rsidP="002213FE">
      <w:r>
        <w:t>Así mismo, se apoyarán proyectos culturales y artísticos que preserven y promuevan la riqueza cultural de los grupos étnicos y sectores sociales LGBTI presentes en Bogotá.</w:t>
      </w:r>
    </w:p>
    <w:p w14:paraId="177F580C" w14:textId="77777777" w:rsidR="002213FE" w:rsidRDefault="002213FE" w:rsidP="002213FE"/>
    <w:p w14:paraId="0B617059" w14:textId="77777777" w:rsidR="002213FE" w:rsidRDefault="002213FE" w:rsidP="002213FE">
      <w:r>
        <w:t>También se impulsará la visibilización y circulación de las prácticas artísticas y del patrimonio cultural, a través de un festival internacional de las culturas afrocolombianas, la realización de los encuentros distritales de pueblos indígenas, la Semana Raizal, los encuentros de los pueblos gitanos, y el Encuentro Palenquero, así como la visibilización de prácticas artísticas de personas con discapacidad y otras expresiones culturales, como el Festival por la Igualdad.</w:t>
      </w:r>
    </w:p>
    <w:p w14:paraId="341FAB59" w14:textId="77777777" w:rsidR="002213FE" w:rsidRDefault="002213FE" w:rsidP="002213FE"/>
    <w:p w14:paraId="3DFD44D5" w14:textId="77777777" w:rsidR="002213FE" w:rsidRDefault="002213FE" w:rsidP="002213FE">
      <w:r>
        <w:t xml:space="preserve">Se apoyarán proyectos culturales y artísticos que preserven y promuevan la riqueza cultural </w:t>
      </w:r>
      <w:r>
        <w:lastRenderedPageBreak/>
        <w:t>de las y los jóvenes en Bogotá, al igual que los festivales en el parque. Se busca diversificar la oferta de bienes y servicios culturales y artísticos en todos los territorios de la ciudad y se brindará apoyo a artistas y gestores culturales en iniciativas a corto, mediano y largo plazo</w:t>
      </w:r>
    </w:p>
    <w:p w14:paraId="38466E81" w14:textId="77777777" w:rsidR="002213FE" w:rsidRDefault="002213FE" w:rsidP="002213FE"/>
    <w:p w14:paraId="2ACDC2DC" w14:textId="7C1AEB79" w:rsidR="00B14E38" w:rsidRPr="00B944E8" w:rsidRDefault="002213FE" w:rsidP="002213FE">
      <w:r>
        <w:t>También habrá un lugar importante para mediadores de la cultura escrita que contribuyan a la vinculación duradera y satisfactoria con las prácticas y espacios de lectura, escritura y oralidad. Se fomentarán espacios de creación y co-creación de contenidos multiplataformas en formatos accesibles, potenciando la industria audiovisual.</w:t>
      </w:r>
    </w:p>
    <w:p w14:paraId="32B9343C"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720"/>
          <w:docGrid w:linePitch="299"/>
        </w:sectPr>
      </w:pPr>
    </w:p>
    <w:p w14:paraId="22AB3A48" w14:textId="77777777" w:rsidR="00D4424F" w:rsidRDefault="00D4424F" w:rsidP="00D4424F">
      <w:pPr>
        <w:pStyle w:val="Descripcin"/>
        <w:jc w:val="center"/>
        <w:rPr>
          <w:sz w:val="18"/>
        </w:rPr>
      </w:pPr>
    </w:p>
    <w:p w14:paraId="7AA44A80" w14:textId="77777777" w:rsidR="00DA2F90" w:rsidRDefault="00DA2F90">
      <w:pPr>
        <w:spacing w:line="240" w:lineRule="auto"/>
        <w:jc w:val="left"/>
        <w:rPr>
          <w:rFonts w:eastAsiaTheme="minorEastAsia" w:cstheme="minorBidi"/>
          <w:b/>
          <w:iCs/>
          <w:color w:val="C00000"/>
          <w:sz w:val="18"/>
          <w:szCs w:val="18"/>
          <w:lang w:val="es-419" w:eastAsia="en-US"/>
        </w:rPr>
      </w:pPr>
      <w:r>
        <w:rPr>
          <w:color w:val="C00000"/>
          <w:sz w:val="18"/>
        </w:rPr>
        <w:br w:type="page"/>
      </w:r>
    </w:p>
    <w:p w14:paraId="211AAEBE" w14:textId="09333A6B" w:rsidR="00B14E38" w:rsidRDefault="00D4424F" w:rsidP="00D4424F">
      <w:pPr>
        <w:pStyle w:val="Descripcin"/>
        <w:jc w:val="center"/>
      </w:pPr>
      <w:bookmarkStart w:id="235" w:name="_Toc165169982"/>
      <w:r w:rsidRPr="00D4424F">
        <w:rPr>
          <w:color w:val="C00000"/>
          <w:sz w:val="18"/>
        </w:rPr>
        <w:lastRenderedPageBreak/>
        <w:t xml:space="preserve">Figura </w:t>
      </w:r>
      <w:r w:rsidRPr="00D4424F">
        <w:rPr>
          <w:color w:val="C00000"/>
          <w:sz w:val="18"/>
        </w:rPr>
        <w:fldChar w:fldCharType="begin"/>
      </w:r>
      <w:r w:rsidRPr="00D4424F">
        <w:rPr>
          <w:color w:val="C00000"/>
          <w:sz w:val="18"/>
        </w:rPr>
        <w:instrText xml:space="preserve"> SEQ Figura \* ARABIC </w:instrText>
      </w:r>
      <w:r w:rsidRPr="00D4424F">
        <w:rPr>
          <w:color w:val="C00000"/>
          <w:sz w:val="18"/>
        </w:rPr>
        <w:fldChar w:fldCharType="separate"/>
      </w:r>
      <w:r w:rsidR="00D01651">
        <w:rPr>
          <w:noProof/>
          <w:color w:val="C00000"/>
          <w:sz w:val="18"/>
        </w:rPr>
        <w:t>6</w:t>
      </w:r>
      <w:r w:rsidRPr="00D4424F">
        <w:rPr>
          <w:color w:val="C00000"/>
          <w:sz w:val="18"/>
        </w:rPr>
        <w:fldChar w:fldCharType="end"/>
      </w:r>
      <w:r w:rsidRPr="00D4424F">
        <w:rPr>
          <w:color w:val="C00000"/>
          <w:sz w:val="18"/>
        </w:rPr>
        <w:t xml:space="preserve">. </w:t>
      </w:r>
      <w:r w:rsidRPr="00D4424F">
        <w:rPr>
          <w:sz w:val="18"/>
        </w:rPr>
        <w:t xml:space="preserve">Metas Estratégicas Objetivo </w:t>
      </w:r>
      <w:r>
        <w:rPr>
          <w:sz w:val="18"/>
        </w:rPr>
        <w:t>2</w:t>
      </w:r>
      <w:bookmarkEnd w:id="235"/>
    </w:p>
    <w:p w14:paraId="423F838B" w14:textId="79E4DEE3" w:rsidR="00DA2F90" w:rsidRDefault="00DA2F90" w:rsidP="00DA2F90">
      <w:pPr>
        <w:spacing w:line="240" w:lineRule="auto"/>
        <w:jc w:val="center"/>
        <w:rPr>
          <w:color w:val="C00000"/>
        </w:rPr>
      </w:pPr>
      <w:bookmarkStart w:id="236" w:name="_heading=h.g8mna6wvusqc" w:colFirst="0" w:colLast="0"/>
      <w:bookmarkStart w:id="237" w:name="_Toc164097713"/>
      <w:bookmarkEnd w:id="236"/>
      <w:r>
        <w:rPr>
          <w:noProof/>
          <w:lang w:val="es-419"/>
        </w:rPr>
        <w:drawing>
          <wp:inline distT="0" distB="0" distL="0" distR="0" wp14:anchorId="55AC9B8D" wp14:editId="0347F093">
            <wp:extent cx="5531231" cy="7380000"/>
            <wp:effectExtent l="0" t="0" r="0" b="0"/>
            <wp:docPr id="78197283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72832" name="Imagen 781972832"/>
                    <pic:cNvPicPr/>
                  </pic:nvPicPr>
                  <pic:blipFill rotWithShape="1">
                    <a:blip r:embed="rId111">
                      <a:extLst>
                        <a:ext uri="{28A0092B-C50C-407E-A947-70E740481C1C}">
                          <a14:useLocalDpi xmlns:a14="http://schemas.microsoft.com/office/drawing/2010/main" val="0"/>
                        </a:ext>
                      </a:extLst>
                    </a:blip>
                    <a:srcRect l="3462" t="1189" r="2564" b="1907"/>
                    <a:stretch/>
                  </pic:blipFill>
                  <pic:spPr bwMode="auto">
                    <a:xfrm>
                      <a:off x="0" y="0"/>
                      <a:ext cx="5531231" cy="7380000"/>
                    </a:xfrm>
                    <a:prstGeom prst="rect">
                      <a:avLst/>
                    </a:prstGeom>
                    <a:ln>
                      <a:noFill/>
                    </a:ln>
                    <a:extLst>
                      <a:ext uri="{53640926-AAD7-44D8-BBD7-CCE9431645EC}">
                        <a14:shadowObscured xmlns:a14="http://schemas.microsoft.com/office/drawing/2010/main"/>
                      </a:ext>
                    </a:extLst>
                  </pic:spPr>
                </pic:pic>
              </a:graphicData>
            </a:graphic>
          </wp:inline>
        </w:drawing>
      </w:r>
      <w:r>
        <w:rPr>
          <w:color w:val="C00000"/>
        </w:rPr>
        <w:br w:type="page"/>
      </w:r>
    </w:p>
    <w:p w14:paraId="14A8A1B8" w14:textId="7DF1D9DA" w:rsidR="00B14E38" w:rsidRPr="00DA2F90" w:rsidRDefault="00B14E38" w:rsidP="00DA2F90">
      <w:pPr>
        <w:pStyle w:val="Ttulo3"/>
        <w:rPr>
          <w:color w:val="C00000"/>
        </w:rPr>
      </w:pPr>
      <w:bookmarkStart w:id="238" w:name="_Toc165169765"/>
      <w:r w:rsidRPr="00DA2F90">
        <w:rPr>
          <w:color w:val="C00000"/>
        </w:rPr>
        <w:lastRenderedPageBreak/>
        <w:t>Programas</w:t>
      </w:r>
      <w:bookmarkEnd w:id="237"/>
      <w:bookmarkEnd w:id="238"/>
    </w:p>
    <w:p w14:paraId="2450D621" w14:textId="77777777" w:rsidR="00B14E38" w:rsidRPr="0063173D" w:rsidRDefault="00B14E38" w:rsidP="0063173D"/>
    <w:p w14:paraId="4C337200" w14:textId="3670AE84" w:rsidR="00B14E38" w:rsidRPr="0063173D" w:rsidRDefault="00B14E38" w:rsidP="00D4424F">
      <w:pPr>
        <w:pStyle w:val="NIVEL4"/>
      </w:pPr>
      <w:bookmarkStart w:id="239" w:name="_Toc165169766"/>
      <w:r w:rsidRPr="000570BB">
        <w:rPr>
          <w:color w:val="C00000"/>
        </w:rPr>
        <w:t xml:space="preserve">Programa </w:t>
      </w:r>
      <w:r w:rsidRPr="00B556DE">
        <w:rPr>
          <w:color w:val="C00000"/>
        </w:rPr>
        <w:t xml:space="preserve">7: </w:t>
      </w:r>
      <w:r w:rsidRPr="0063173D">
        <w:t>Bogotá, una ciudad con menos pobreza</w:t>
      </w:r>
      <w:bookmarkEnd w:id="239"/>
    </w:p>
    <w:p w14:paraId="6CA944D0" w14:textId="77777777" w:rsidR="00B14E38" w:rsidRPr="0063173D" w:rsidRDefault="00B14E38" w:rsidP="0063173D">
      <w:bookmarkStart w:id="240" w:name="_heading=h.nmf14n" w:colFirst="0" w:colLast="0"/>
      <w:bookmarkEnd w:id="240"/>
    </w:p>
    <w:p w14:paraId="34C1BF19" w14:textId="12DDA966" w:rsidR="00B14E38" w:rsidRPr="00D4424F" w:rsidRDefault="00B14E38" w:rsidP="000B3115">
      <w:pPr>
        <w:pStyle w:val="subnumeros"/>
        <w:numPr>
          <w:ilvl w:val="0"/>
          <w:numId w:val="0"/>
        </w:numPr>
        <w:ind w:left="425"/>
        <w:outlineLvl w:val="9"/>
        <w:rPr>
          <w:sz w:val="24"/>
          <w:szCs w:val="22"/>
        </w:rPr>
        <w:sectPr w:rsidR="00B14E38" w:rsidRPr="00D4424F" w:rsidSect="00F7078E">
          <w:type w:val="continuous"/>
          <w:pgSz w:w="12240" w:h="15840"/>
          <w:pgMar w:top="2262" w:right="1440" w:bottom="1440" w:left="1440" w:header="708" w:footer="680" w:gutter="0"/>
          <w:cols w:space="720"/>
          <w:docGrid w:linePitch="299"/>
        </w:sectPr>
      </w:pPr>
      <w:r w:rsidRPr="00D4424F">
        <w:rPr>
          <w:sz w:val="24"/>
          <w:szCs w:val="22"/>
        </w:rPr>
        <w:t>Diagnóstico</w:t>
      </w:r>
    </w:p>
    <w:p w14:paraId="60DA8FE5" w14:textId="77777777" w:rsidR="00164B40" w:rsidRDefault="00164B40" w:rsidP="00164B40">
      <w:r>
        <w:t>Si bien Bogotá presenta la incidencia de pobreza multidimensional más baja del país (3,8</w:t>
      </w:r>
      <w:r>
        <w:rPr>
          <w:rFonts w:ascii="Arial" w:hAnsi="Arial" w:cs="Arial"/>
        </w:rPr>
        <w:t> </w:t>
      </w:r>
      <w:r>
        <w:t>% de la poblaci</w:t>
      </w:r>
      <w:r>
        <w:rPr>
          <w:rFonts w:cs="Candara"/>
        </w:rPr>
        <w:t>ó</w:t>
      </w:r>
      <w:r>
        <w:t>n en 2022), a</w:t>
      </w:r>
      <w:r>
        <w:rPr>
          <w:rFonts w:cs="Candara"/>
        </w:rPr>
        <w:t>ú</w:t>
      </w:r>
      <w:r>
        <w:t>n persisten privaciones de alta incidencia como: trabajo informal (54,1</w:t>
      </w:r>
      <w:r>
        <w:rPr>
          <w:rFonts w:ascii="Arial" w:hAnsi="Arial" w:cs="Arial"/>
        </w:rPr>
        <w:t> </w:t>
      </w:r>
      <w:r>
        <w:t>%), bajo logro educativo (21,6</w:t>
      </w:r>
      <w:r>
        <w:rPr>
          <w:rFonts w:ascii="Arial" w:hAnsi="Arial" w:cs="Arial"/>
        </w:rPr>
        <w:t> </w:t>
      </w:r>
      <w:r>
        <w:t>%), rezago escolar (18,7</w:t>
      </w:r>
      <w:r>
        <w:rPr>
          <w:rFonts w:ascii="Arial" w:hAnsi="Arial" w:cs="Arial"/>
        </w:rPr>
        <w:t> </w:t>
      </w:r>
      <w:r>
        <w:t>%) y falta de aseguramiento en salud (13,1</w:t>
      </w:r>
      <w:r>
        <w:rPr>
          <w:rFonts w:ascii="Arial" w:hAnsi="Arial" w:cs="Arial"/>
        </w:rPr>
        <w:t> </w:t>
      </w:r>
      <w:r>
        <w:t>%).</w:t>
      </w:r>
    </w:p>
    <w:p w14:paraId="3BCF25C0" w14:textId="77777777" w:rsidR="00164B40" w:rsidRDefault="00164B40" w:rsidP="00164B40"/>
    <w:p w14:paraId="14E7FD43" w14:textId="77777777" w:rsidR="00164B40" w:rsidRDefault="00164B40" w:rsidP="00164B40">
      <w:r>
        <w:t>Los efectos de la pandemia aún se sienten. En Bogotá, más de un millón de personas entraron en situación de pobreza monetaria a raíz de ello, y tres cuartas partes de estos, cayeron en pobreza extrema. Pero, más aún, la pandemia nos evidenció la vulnerabilidad de las personas que están en los intervalos de pobreza.</w:t>
      </w:r>
    </w:p>
    <w:p w14:paraId="22EBA3E5" w14:textId="77777777" w:rsidR="00164B40" w:rsidRDefault="00164B40" w:rsidP="00164B40"/>
    <w:p w14:paraId="44FB56A4" w14:textId="3A6BAB3B" w:rsidR="00164B40" w:rsidRDefault="00164B40" w:rsidP="00164B40">
      <w:r>
        <w:t>La pobreza monetaria pasó del 27,2</w:t>
      </w:r>
      <w:r>
        <w:rPr>
          <w:rFonts w:ascii="Arial" w:hAnsi="Arial" w:cs="Arial"/>
        </w:rPr>
        <w:t> </w:t>
      </w:r>
      <w:r>
        <w:t>% al 40,1</w:t>
      </w:r>
      <w:r>
        <w:rPr>
          <w:rFonts w:ascii="Arial" w:hAnsi="Arial" w:cs="Arial"/>
        </w:rPr>
        <w:t> </w:t>
      </w:r>
      <w:r>
        <w:t>% durante este periodo, y la extrema creci</w:t>
      </w:r>
      <w:r>
        <w:rPr>
          <w:rFonts w:cs="Candara"/>
        </w:rPr>
        <w:t>ó</w:t>
      </w:r>
      <w:r>
        <w:t xml:space="preserve"> en 9 p.p.; Bogot</w:t>
      </w:r>
      <w:r>
        <w:rPr>
          <w:rFonts w:cs="Candara"/>
        </w:rPr>
        <w:t>á</w:t>
      </w:r>
      <w:r>
        <w:t xml:space="preserve"> aport</w:t>
      </w:r>
      <w:r>
        <w:rPr>
          <w:rFonts w:cs="Candara"/>
        </w:rPr>
        <w:t>ó</w:t>
      </w:r>
      <w:r>
        <w:t xml:space="preserve"> el 31,3</w:t>
      </w:r>
      <w:r>
        <w:rPr>
          <w:rFonts w:ascii="Arial" w:hAnsi="Arial" w:cs="Arial"/>
        </w:rPr>
        <w:t> </w:t>
      </w:r>
      <w:r>
        <w:t>% de dicho porcentaje, y el 27,5</w:t>
      </w:r>
      <w:r>
        <w:rPr>
          <w:rFonts w:ascii="Arial" w:hAnsi="Arial" w:cs="Arial"/>
        </w:rPr>
        <w:t> </w:t>
      </w:r>
      <w:r>
        <w:t>% del total de la poblaci</w:t>
      </w:r>
      <w:r>
        <w:rPr>
          <w:rFonts w:cs="Candara"/>
        </w:rPr>
        <w:t>ó</w:t>
      </w:r>
      <w:r>
        <w:t>n que ingres</w:t>
      </w:r>
      <w:r>
        <w:rPr>
          <w:rFonts w:cs="Candara"/>
        </w:rPr>
        <w:t>ó</w:t>
      </w:r>
      <w:r>
        <w:t xml:space="preserve"> a la pobreza y pobreza extrema en el pa</w:t>
      </w:r>
      <w:r>
        <w:rPr>
          <w:rFonts w:cs="Candara"/>
        </w:rPr>
        <w:t>í</w:t>
      </w:r>
      <w:r>
        <w:t>s. Dicha situaci</w:t>
      </w:r>
      <w:r>
        <w:rPr>
          <w:rFonts w:cs="Candara"/>
        </w:rPr>
        <w:t>ó</w:t>
      </w:r>
      <w:r>
        <w:t>n se ha remediado, en parte, gracias a medidas como el ingreso m</w:t>
      </w:r>
      <w:r>
        <w:rPr>
          <w:rFonts w:cs="Candara"/>
        </w:rPr>
        <w:t>í</w:t>
      </w:r>
      <w:r>
        <w:t xml:space="preserve">nimo garantizado. Para finales de 2022, al menos 2,2 millones </w:t>
      </w:r>
      <w:r>
        <w:t>de personas viv</w:t>
      </w:r>
      <w:r>
        <w:rPr>
          <w:rFonts w:cs="Candara"/>
        </w:rPr>
        <w:t>í</w:t>
      </w:r>
      <w:r>
        <w:t>an con menos de 536.000 pesos mensuales para cubrir gastos de alimentaci</w:t>
      </w:r>
      <w:r>
        <w:rPr>
          <w:rFonts w:cs="Candara"/>
        </w:rPr>
        <w:t>ó</w:t>
      </w:r>
      <w:r>
        <w:t>n, vivienda y otros bienes de primera necesidad (línea de pobreza), y el 8,1</w:t>
      </w:r>
      <w:r>
        <w:rPr>
          <w:rFonts w:ascii="Arial" w:hAnsi="Arial" w:cs="Arial"/>
        </w:rPr>
        <w:t> </w:t>
      </w:r>
      <w:r>
        <w:t>% de la poblaci</w:t>
      </w:r>
      <w:r>
        <w:rPr>
          <w:rFonts w:cs="Candara"/>
        </w:rPr>
        <w:t>ó</w:t>
      </w:r>
      <w:r>
        <w:t>n, que equivale, aproximadamente, a 640.000 personas, viv</w:t>
      </w:r>
      <w:r>
        <w:rPr>
          <w:rFonts w:cs="Candara"/>
        </w:rPr>
        <w:t>í</w:t>
      </w:r>
      <w:r>
        <w:t>a con menos de 246.000 pesos mensuales, correspondiente ello a la l</w:t>
      </w:r>
      <w:r>
        <w:rPr>
          <w:rFonts w:cs="Candara"/>
        </w:rPr>
        <w:t>í</w:t>
      </w:r>
      <w:r>
        <w:t>nea de pobreza extrema. Todo esto ha sido m</w:t>
      </w:r>
      <w:r>
        <w:rPr>
          <w:rFonts w:cs="Candara"/>
        </w:rPr>
        <w:t>á</w:t>
      </w:r>
      <w:r>
        <w:t>s cr</w:t>
      </w:r>
      <w:r>
        <w:rPr>
          <w:rFonts w:cs="Candara"/>
        </w:rPr>
        <w:t>í</w:t>
      </w:r>
      <w:r>
        <w:t xml:space="preserve">tico en las mujeres </w:t>
      </w:r>
      <w:r>
        <w:rPr>
          <w:rFonts w:cs="Candara"/>
        </w:rPr>
        <w:t>—</w:t>
      </w:r>
      <w:r>
        <w:t>entre 6 y 13 p. p. m</w:t>
      </w:r>
      <w:r>
        <w:rPr>
          <w:rFonts w:cs="Candara"/>
        </w:rPr>
        <w:t>á</w:t>
      </w:r>
      <w:r>
        <w:t>s, seg</w:t>
      </w:r>
      <w:r>
        <w:rPr>
          <w:rFonts w:cs="Candara"/>
        </w:rPr>
        <w:t>ú</w:t>
      </w:r>
      <w:r>
        <w:t>n la pobreza monetaria</w:t>
      </w:r>
      <w:r>
        <w:rPr>
          <w:rFonts w:cs="Candara"/>
        </w:rPr>
        <w:t>—</w:t>
      </w:r>
      <w:r>
        <w:t>, lo cual evidencia la necesidad de pensar en pol</w:t>
      </w:r>
      <w:r>
        <w:rPr>
          <w:rFonts w:cs="Candara"/>
        </w:rPr>
        <w:t>í</w:t>
      </w:r>
      <w:r>
        <w:t>ticas de lucha contra la pobreza con enfoque de g</w:t>
      </w:r>
      <w:r>
        <w:rPr>
          <w:rFonts w:cs="Candara"/>
        </w:rPr>
        <w:t>é</w:t>
      </w:r>
      <w:r>
        <w:t xml:space="preserve">nero. De hecho, cuando se observa la pobreza multidimensional de jefes de hogar se encuentra una persistente brecha, pese a la generalizada disminución del indicador </w:t>
      </w:r>
      <w:r w:rsidRPr="006A733E">
        <w:t>(</w:t>
      </w:r>
      <w:r w:rsidR="006A733E" w:rsidRPr="006A733E">
        <w:fldChar w:fldCharType="begin"/>
      </w:r>
      <w:r w:rsidR="006A733E" w:rsidRPr="006A733E">
        <w:instrText xml:space="preserve"> REF _Ref165127913 \h </w:instrText>
      </w:r>
      <w:r w:rsidR="006A733E" w:rsidRPr="006A733E">
        <w:fldChar w:fldCharType="separate"/>
      </w:r>
      <w:r w:rsidR="00D01651" w:rsidRPr="006A733E">
        <w:rPr>
          <w:color w:val="C00000"/>
          <w:sz w:val="18"/>
          <w:szCs w:val="14"/>
        </w:rPr>
        <w:t xml:space="preserve">Tabla </w:t>
      </w:r>
      <w:r w:rsidR="00D01651">
        <w:rPr>
          <w:noProof/>
          <w:color w:val="C00000"/>
          <w:sz w:val="18"/>
          <w:szCs w:val="14"/>
        </w:rPr>
        <w:t>24</w:t>
      </w:r>
      <w:r w:rsidR="006A733E" w:rsidRPr="006A733E">
        <w:fldChar w:fldCharType="end"/>
      </w:r>
      <w:r>
        <w:t>).</w:t>
      </w:r>
    </w:p>
    <w:p w14:paraId="7937B23C" w14:textId="77777777" w:rsidR="00164B40" w:rsidRDefault="00164B40" w:rsidP="00164B40"/>
    <w:p w14:paraId="727421F2" w14:textId="71124685" w:rsidR="00B14E38" w:rsidRDefault="00164B40" w:rsidP="00164B40">
      <w:r>
        <w:t>A nivel territorial, de acuerdo con la Encuesta Multipropósito de Bogotá de 2021, las localidades de Usme (57,8</w:t>
      </w:r>
      <w:r>
        <w:rPr>
          <w:rFonts w:ascii="Arial" w:hAnsi="Arial" w:cs="Arial"/>
        </w:rPr>
        <w:t> </w:t>
      </w:r>
      <w:r>
        <w:t>%), Ciudad Bol</w:t>
      </w:r>
      <w:r>
        <w:rPr>
          <w:rFonts w:cs="Candara"/>
        </w:rPr>
        <w:t>í</w:t>
      </w:r>
      <w:r>
        <w:t>var (57,4</w:t>
      </w:r>
      <w:r>
        <w:rPr>
          <w:rFonts w:ascii="Arial" w:hAnsi="Arial" w:cs="Arial"/>
        </w:rPr>
        <w:t> </w:t>
      </w:r>
      <w:r>
        <w:t>%), Bosa (53,2</w:t>
      </w:r>
      <w:r>
        <w:rPr>
          <w:rFonts w:ascii="Arial" w:hAnsi="Arial" w:cs="Arial"/>
        </w:rPr>
        <w:t> </w:t>
      </w:r>
      <w:r>
        <w:t>%) y Rafael Uribe Uribe (50,0</w:t>
      </w:r>
      <w:r>
        <w:rPr>
          <w:rFonts w:ascii="Arial" w:hAnsi="Arial" w:cs="Arial"/>
        </w:rPr>
        <w:t> </w:t>
      </w:r>
      <w:r>
        <w:t>%) registraron indicadores de pobreza monetaria superiores al 50</w:t>
      </w:r>
      <w:r w:rsidR="00B14E38" w:rsidRPr="00B944E8">
        <w:rPr>
          <w:rFonts w:ascii="Arial" w:hAnsi="Arial" w:cs="Arial"/>
        </w:rPr>
        <w:t> </w:t>
      </w:r>
      <w:r w:rsidR="00B14E38" w:rsidRPr="00B944E8">
        <w:t>%.</w:t>
      </w:r>
    </w:p>
    <w:p w14:paraId="6C47422A" w14:textId="77777777" w:rsidR="00B14E38" w:rsidRDefault="00B14E38" w:rsidP="00B14E38">
      <w:pPr>
        <w:sectPr w:rsidR="00B14E38" w:rsidSect="00F7078E">
          <w:type w:val="continuous"/>
          <w:pgSz w:w="12240" w:h="15840"/>
          <w:pgMar w:top="2262" w:right="1440" w:bottom="1440" w:left="1440" w:header="708" w:footer="680" w:gutter="0"/>
          <w:cols w:num="2" w:space="567"/>
          <w:docGrid w:linePitch="299"/>
        </w:sectPr>
      </w:pPr>
    </w:p>
    <w:p w14:paraId="5721DB45" w14:textId="77777777" w:rsidR="00164B40" w:rsidRDefault="00164B40" w:rsidP="00B14E38">
      <w:pPr>
        <w:pStyle w:val="figuratitulo"/>
        <w:rPr>
          <w:b/>
          <w:bCs/>
        </w:rPr>
      </w:pPr>
      <w:bookmarkStart w:id="241" w:name="_heading=h.3mzq4wv" w:colFirst="0" w:colLast="0"/>
      <w:bookmarkEnd w:id="241"/>
    </w:p>
    <w:p w14:paraId="5C2B5FCB" w14:textId="26EFAD99" w:rsidR="00B14E38" w:rsidRPr="00164B40" w:rsidRDefault="00164B40" w:rsidP="00164B40">
      <w:pPr>
        <w:pStyle w:val="Descripcin"/>
        <w:jc w:val="center"/>
        <w:rPr>
          <w:sz w:val="18"/>
          <w:szCs w:val="14"/>
        </w:rPr>
      </w:pPr>
      <w:bookmarkStart w:id="242" w:name="_Toc165169861"/>
      <w:r w:rsidRPr="00164B40">
        <w:rPr>
          <w:color w:val="C00000"/>
          <w:sz w:val="18"/>
          <w:szCs w:val="14"/>
        </w:rPr>
        <w:t xml:space="preserve">Gráfica </w:t>
      </w:r>
      <w:r w:rsidRPr="00164B40">
        <w:rPr>
          <w:color w:val="C00000"/>
          <w:sz w:val="18"/>
          <w:szCs w:val="14"/>
        </w:rPr>
        <w:fldChar w:fldCharType="begin"/>
      </w:r>
      <w:r w:rsidRPr="00164B40">
        <w:rPr>
          <w:color w:val="C00000"/>
          <w:sz w:val="18"/>
          <w:szCs w:val="14"/>
        </w:rPr>
        <w:instrText xml:space="preserve"> SEQ Gráfica \* ARABIC </w:instrText>
      </w:r>
      <w:r w:rsidRPr="00164B40">
        <w:rPr>
          <w:color w:val="C00000"/>
          <w:sz w:val="18"/>
          <w:szCs w:val="14"/>
        </w:rPr>
        <w:fldChar w:fldCharType="separate"/>
      </w:r>
      <w:r w:rsidR="00D01651">
        <w:rPr>
          <w:noProof/>
          <w:color w:val="C00000"/>
          <w:sz w:val="18"/>
          <w:szCs w:val="14"/>
        </w:rPr>
        <w:t>35</w:t>
      </w:r>
      <w:r w:rsidRPr="00164B40">
        <w:rPr>
          <w:color w:val="C00000"/>
          <w:sz w:val="18"/>
          <w:szCs w:val="14"/>
        </w:rPr>
        <w:fldChar w:fldCharType="end"/>
      </w:r>
      <w:r w:rsidRPr="00164B40">
        <w:rPr>
          <w:color w:val="C00000"/>
          <w:sz w:val="18"/>
          <w:szCs w:val="14"/>
        </w:rPr>
        <w:t xml:space="preserve">. </w:t>
      </w:r>
      <w:r w:rsidR="00B14E38" w:rsidRPr="00164B40">
        <w:rPr>
          <w:sz w:val="18"/>
          <w:szCs w:val="14"/>
        </w:rPr>
        <w:t>Pobreza monetaria para Bogotá (2018-2022)</w:t>
      </w:r>
      <w:bookmarkEnd w:id="242"/>
    </w:p>
    <w:p w14:paraId="2E82C38A" w14:textId="46A56451" w:rsidR="00B14E38" w:rsidRPr="00A708C9" w:rsidRDefault="00B14E38" w:rsidP="00164B40">
      <w:pPr>
        <w:spacing w:line="240" w:lineRule="auto"/>
        <w:jc w:val="center"/>
      </w:pPr>
      <w:r w:rsidRPr="004648A2">
        <w:rPr>
          <w:noProof/>
          <w:sz w:val="24"/>
        </w:rPr>
        <w:drawing>
          <wp:inline distT="0" distB="0" distL="0" distR="0" wp14:anchorId="058F23D9" wp14:editId="72729FC1">
            <wp:extent cx="5612130" cy="1739900"/>
            <wp:effectExtent l="0" t="0" r="7620" b="0"/>
            <wp:docPr id="19" name="Gráfico 19">
              <a:extLst xmlns:a="http://schemas.openxmlformats.org/drawingml/2006/main">
                <a:ext uri="{FF2B5EF4-FFF2-40B4-BE49-F238E27FC236}">
                  <a16:creationId xmlns:a16="http://schemas.microsoft.com/office/drawing/2014/main" id="{D9B71BBA-019D-F919-E3F2-E1E5B43B1A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164B40">
        <w:rPr>
          <w:b/>
          <w:bCs/>
          <w:i/>
          <w:iCs/>
          <w:sz w:val="18"/>
          <w:szCs w:val="18"/>
        </w:rPr>
        <w:t>Fuente:</w:t>
      </w:r>
      <w:r w:rsidRPr="00164B40">
        <w:rPr>
          <w:i/>
          <w:iCs/>
          <w:sz w:val="18"/>
          <w:szCs w:val="18"/>
        </w:rPr>
        <w:t xml:space="preserve"> </w:t>
      </w:r>
      <w:r w:rsidRPr="00164B40">
        <w:rPr>
          <w:sz w:val="18"/>
          <w:szCs w:val="18"/>
        </w:rPr>
        <w:t xml:space="preserve">elaboración propia SDIS, a partir de DANE, Gran Encuesta Integrada de Hogares (2012-2021), </w:t>
      </w:r>
      <w:r w:rsidR="00164B40" w:rsidRPr="00164B40">
        <w:rPr>
          <w:sz w:val="18"/>
          <w:szCs w:val="18"/>
        </w:rPr>
        <w:t xml:space="preserve"> </w:t>
      </w:r>
      <w:r w:rsidRPr="00164B40">
        <w:rPr>
          <w:sz w:val="18"/>
          <w:szCs w:val="18"/>
        </w:rPr>
        <w:t>2022 (Publicación: 26 de abril de 2022) DANE, Gran Encuesta Integrada de Hogares (2021-2022), 2023a (Publicación: 22 de septiembre de 2023).</w:t>
      </w:r>
    </w:p>
    <w:p w14:paraId="69944F89" w14:textId="77777777" w:rsidR="00B14E38" w:rsidRPr="00B944E8" w:rsidRDefault="00B14E38" w:rsidP="00B14E38">
      <w:pPr>
        <w:spacing w:line="480" w:lineRule="auto"/>
        <w:rPr>
          <w:rFonts w:ascii="Times New Roman" w:hAnsi="Times New Roman"/>
          <w:sz w:val="24"/>
        </w:rPr>
      </w:pPr>
    </w:p>
    <w:p w14:paraId="418EBDE7" w14:textId="5884BE6F" w:rsidR="00B14E38" w:rsidRPr="006A733E" w:rsidRDefault="006A733E" w:rsidP="006A733E">
      <w:pPr>
        <w:pStyle w:val="Descripcin"/>
        <w:jc w:val="center"/>
        <w:rPr>
          <w:sz w:val="18"/>
          <w:szCs w:val="14"/>
        </w:rPr>
      </w:pPr>
      <w:bookmarkStart w:id="243" w:name="_Ref165127913"/>
      <w:bookmarkStart w:id="244" w:name="_Toc165169934"/>
      <w:r w:rsidRPr="006A733E">
        <w:rPr>
          <w:color w:val="C00000"/>
          <w:sz w:val="18"/>
          <w:szCs w:val="14"/>
        </w:rPr>
        <w:lastRenderedPageBreak/>
        <w:t xml:space="preserve">Tabla </w:t>
      </w:r>
      <w:r w:rsidRPr="006A733E">
        <w:rPr>
          <w:color w:val="C00000"/>
          <w:sz w:val="18"/>
          <w:szCs w:val="14"/>
        </w:rPr>
        <w:fldChar w:fldCharType="begin"/>
      </w:r>
      <w:r w:rsidRPr="006A733E">
        <w:rPr>
          <w:color w:val="C00000"/>
          <w:sz w:val="18"/>
          <w:szCs w:val="14"/>
        </w:rPr>
        <w:instrText xml:space="preserve"> SEQ Tabla \* ARABIC </w:instrText>
      </w:r>
      <w:r w:rsidRPr="006A733E">
        <w:rPr>
          <w:color w:val="C00000"/>
          <w:sz w:val="18"/>
          <w:szCs w:val="14"/>
        </w:rPr>
        <w:fldChar w:fldCharType="separate"/>
      </w:r>
      <w:r w:rsidR="00D01651">
        <w:rPr>
          <w:noProof/>
          <w:color w:val="C00000"/>
          <w:sz w:val="18"/>
          <w:szCs w:val="14"/>
        </w:rPr>
        <w:t>24</w:t>
      </w:r>
      <w:r w:rsidRPr="006A733E">
        <w:rPr>
          <w:color w:val="C00000"/>
          <w:sz w:val="18"/>
          <w:szCs w:val="14"/>
        </w:rPr>
        <w:fldChar w:fldCharType="end"/>
      </w:r>
      <w:bookmarkEnd w:id="243"/>
      <w:r w:rsidRPr="006A733E">
        <w:rPr>
          <w:color w:val="C00000"/>
          <w:sz w:val="18"/>
          <w:szCs w:val="14"/>
        </w:rPr>
        <w:t xml:space="preserve">. </w:t>
      </w:r>
      <w:r w:rsidR="00B14E38" w:rsidRPr="006A733E">
        <w:rPr>
          <w:color w:val="000000" w:themeColor="text1"/>
          <w:sz w:val="18"/>
          <w:szCs w:val="14"/>
        </w:rPr>
        <w:t>Índice de pobreza multidimensional (IPM) según sexo (jefaturas de hogar)</w:t>
      </w:r>
      <w:bookmarkEnd w:id="244"/>
    </w:p>
    <w:tbl>
      <w:tblPr>
        <w:tblStyle w:val="Tablaconcuadrcula"/>
        <w:tblW w:w="2045" w:type="pct"/>
        <w:jc w:val="center"/>
        <w:tblBorders>
          <w:top w:val="none" w:sz="0" w:space="0" w:color="auto"/>
          <w:left w:val="none" w:sz="0" w:space="0" w:color="auto"/>
          <w:bottom w:val="double" w:sz="4" w:space="0" w:color="C00000"/>
          <w:right w:val="none" w:sz="0" w:space="0" w:color="auto"/>
          <w:insideH w:val="double" w:sz="4" w:space="0" w:color="C00000"/>
          <w:insideV w:val="double" w:sz="4" w:space="0" w:color="C00000"/>
        </w:tblBorders>
        <w:tblLayout w:type="fixed"/>
        <w:tblLook w:val="0600" w:firstRow="0" w:lastRow="0" w:firstColumn="0" w:lastColumn="0" w:noHBand="1" w:noVBand="1"/>
      </w:tblPr>
      <w:tblGrid>
        <w:gridCol w:w="992"/>
        <w:gridCol w:w="1277"/>
        <w:gridCol w:w="1559"/>
      </w:tblGrid>
      <w:tr w:rsidR="00B14E38" w:rsidRPr="00311DC7" w14:paraId="44714EF2" w14:textId="77777777" w:rsidTr="006A733E">
        <w:trPr>
          <w:jc w:val="center"/>
        </w:trPr>
        <w:tc>
          <w:tcPr>
            <w:tcW w:w="1296" w:type="pct"/>
            <w:shd w:val="clear" w:color="auto" w:fill="C00000"/>
            <w:vAlign w:val="bottom"/>
          </w:tcPr>
          <w:p w14:paraId="1C1814C5" w14:textId="77777777" w:rsidR="00B14E38" w:rsidRPr="00311DC7" w:rsidRDefault="00B14E38" w:rsidP="004F6427">
            <w:pPr>
              <w:widowControl w:val="0"/>
              <w:pBdr>
                <w:top w:val="nil"/>
                <w:left w:val="nil"/>
                <w:bottom w:val="nil"/>
                <w:right w:val="nil"/>
                <w:between w:val="nil"/>
              </w:pBdr>
              <w:spacing w:line="276" w:lineRule="auto"/>
              <w:jc w:val="right"/>
              <w:rPr>
                <w:b/>
                <w:bCs/>
                <w:color w:val="FFFFFF" w:themeColor="background1"/>
                <w:sz w:val="28"/>
                <w:szCs w:val="28"/>
              </w:rPr>
            </w:pPr>
            <w:r w:rsidRPr="00311DC7">
              <w:rPr>
                <w:b/>
                <w:bCs/>
                <w:color w:val="FFFFFF" w:themeColor="background1"/>
                <w:sz w:val="28"/>
                <w:szCs w:val="28"/>
              </w:rPr>
              <w:t>Año</w:t>
            </w:r>
          </w:p>
        </w:tc>
        <w:tc>
          <w:tcPr>
            <w:tcW w:w="1668" w:type="pct"/>
            <w:shd w:val="clear" w:color="auto" w:fill="C00000"/>
            <w:vAlign w:val="bottom"/>
          </w:tcPr>
          <w:p w14:paraId="62E198D7" w14:textId="77777777" w:rsidR="00B14E38" w:rsidRPr="00311DC7" w:rsidRDefault="00B14E38" w:rsidP="004F6427">
            <w:pPr>
              <w:spacing w:line="276" w:lineRule="auto"/>
              <w:jc w:val="left"/>
              <w:rPr>
                <w:b/>
                <w:bCs/>
                <w:color w:val="FFFFFF" w:themeColor="background1"/>
                <w:sz w:val="28"/>
                <w:szCs w:val="28"/>
              </w:rPr>
            </w:pPr>
            <w:r w:rsidRPr="00311DC7">
              <w:rPr>
                <w:b/>
                <w:bCs/>
                <w:color w:val="FFFFFF" w:themeColor="background1"/>
                <w:sz w:val="28"/>
                <w:szCs w:val="28"/>
              </w:rPr>
              <w:t>Mujeres</w:t>
            </w:r>
          </w:p>
        </w:tc>
        <w:tc>
          <w:tcPr>
            <w:tcW w:w="2036" w:type="pct"/>
            <w:shd w:val="clear" w:color="auto" w:fill="C00000"/>
            <w:vAlign w:val="bottom"/>
          </w:tcPr>
          <w:p w14:paraId="03B150B1" w14:textId="77777777" w:rsidR="00B14E38" w:rsidRPr="00311DC7" w:rsidRDefault="00B14E38" w:rsidP="004F6427">
            <w:pPr>
              <w:spacing w:line="276" w:lineRule="auto"/>
              <w:jc w:val="left"/>
              <w:rPr>
                <w:b/>
                <w:bCs/>
                <w:color w:val="FFFFFF" w:themeColor="background1"/>
                <w:sz w:val="28"/>
                <w:szCs w:val="28"/>
              </w:rPr>
            </w:pPr>
            <w:r w:rsidRPr="00311DC7">
              <w:rPr>
                <w:b/>
                <w:bCs/>
                <w:color w:val="FFFFFF" w:themeColor="background1"/>
                <w:sz w:val="28"/>
                <w:szCs w:val="28"/>
              </w:rPr>
              <w:t>Hombres</w:t>
            </w:r>
          </w:p>
        </w:tc>
      </w:tr>
      <w:tr w:rsidR="00B14E38" w:rsidRPr="00311DC7" w14:paraId="233AA7A0" w14:textId="77777777" w:rsidTr="006A733E">
        <w:trPr>
          <w:jc w:val="center"/>
        </w:trPr>
        <w:tc>
          <w:tcPr>
            <w:tcW w:w="1296" w:type="pct"/>
            <w:vAlign w:val="bottom"/>
          </w:tcPr>
          <w:p w14:paraId="49EE800B" w14:textId="77777777" w:rsidR="00B14E38" w:rsidRPr="00B4511B" w:rsidRDefault="00B14E38" w:rsidP="004F6427">
            <w:pPr>
              <w:spacing w:line="276" w:lineRule="auto"/>
              <w:jc w:val="right"/>
            </w:pPr>
            <w:r w:rsidRPr="00B4511B">
              <w:t>2019</w:t>
            </w:r>
          </w:p>
        </w:tc>
        <w:tc>
          <w:tcPr>
            <w:tcW w:w="1668" w:type="pct"/>
            <w:vAlign w:val="bottom"/>
          </w:tcPr>
          <w:p w14:paraId="5DB2EF93" w14:textId="77777777" w:rsidR="00B14E38" w:rsidRPr="00B4511B" w:rsidRDefault="00B14E38" w:rsidP="006A733E">
            <w:pPr>
              <w:spacing w:line="276" w:lineRule="auto"/>
              <w:jc w:val="right"/>
            </w:pPr>
            <w:r w:rsidRPr="00B4511B">
              <w:t>7,3</w:t>
            </w:r>
          </w:p>
        </w:tc>
        <w:tc>
          <w:tcPr>
            <w:tcW w:w="2036" w:type="pct"/>
            <w:vAlign w:val="bottom"/>
          </w:tcPr>
          <w:p w14:paraId="349DC27B" w14:textId="77777777" w:rsidR="00B14E38" w:rsidRPr="00B4511B" w:rsidRDefault="00B14E38" w:rsidP="006A733E">
            <w:pPr>
              <w:spacing w:line="276" w:lineRule="auto"/>
              <w:jc w:val="right"/>
            </w:pPr>
            <w:r w:rsidRPr="00B4511B">
              <w:t>7,0</w:t>
            </w:r>
          </w:p>
        </w:tc>
      </w:tr>
      <w:tr w:rsidR="00B14E38" w:rsidRPr="00311DC7" w14:paraId="5FC302B3" w14:textId="77777777" w:rsidTr="006A733E">
        <w:trPr>
          <w:jc w:val="center"/>
        </w:trPr>
        <w:tc>
          <w:tcPr>
            <w:tcW w:w="1296" w:type="pct"/>
            <w:vAlign w:val="bottom"/>
          </w:tcPr>
          <w:p w14:paraId="1C3D6EC8" w14:textId="77777777" w:rsidR="00B14E38" w:rsidRPr="00B4511B" w:rsidRDefault="00B14E38" w:rsidP="004F6427">
            <w:pPr>
              <w:spacing w:line="276" w:lineRule="auto"/>
              <w:jc w:val="right"/>
            </w:pPr>
            <w:r w:rsidRPr="00B4511B">
              <w:t>2020</w:t>
            </w:r>
          </w:p>
        </w:tc>
        <w:tc>
          <w:tcPr>
            <w:tcW w:w="1668" w:type="pct"/>
            <w:vAlign w:val="bottom"/>
          </w:tcPr>
          <w:p w14:paraId="7BCFB755" w14:textId="77777777" w:rsidR="00B14E38" w:rsidRPr="00B4511B" w:rsidRDefault="00B14E38" w:rsidP="006A733E">
            <w:pPr>
              <w:spacing w:line="276" w:lineRule="auto"/>
              <w:jc w:val="right"/>
            </w:pPr>
            <w:r w:rsidRPr="00B4511B">
              <w:t>9,8</w:t>
            </w:r>
          </w:p>
        </w:tc>
        <w:tc>
          <w:tcPr>
            <w:tcW w:w="2036" w:type="pct"/>
            <w:vAlign w:val="bottom"/>
          </w:tcPr>
          <w:p w14:paraId="6AB93F6C" w14:textId="77777777" w:rsidR="00B14E38" w:rsidRPr="00B4511B" w:rsidRDefault="00B14E38" w:rsidP="006A733E">
            <w:pPr>
              <w:spacing w:line="276" w:lineRule="auto"/>
              <w:jc w:val="right"/>
            </w:pPr>
            <w:r w:rsidRPr="00B4511B">
              <w:t>6,0</w:t>
            </w:r>
          </w:p>
        </w:tc>
      </w:tr>
      <w:tr w:rsidR="00B14E38" w:rsidRPr="00311DC7" w14:paraId="6110C0A5" w14:textId="77777777" w:rsidTr="006A733E">
        <w:trPr>
          <w:jc w:val="center"/>
        </w:trPr>
        <w:tc>
          <w:tcPr>
            <w:tcW w:w="1296" w:type="pct"/>
            <w:vAlign w:val="bottom"/>
          </w:tcPr>
          <w:p w14:paraId="574B7F84" w14:textId="77777777" w:rsidR="00B14E38" w:rsidRPr="00B4511B" w:rsidRDefault="00B14E38" w:rsidP="004F6427">
            <w:pPr>
              <w:spacing w:line="276" w:lineRule="auto"/>
              <w:jc w:val="right"/>
            </w:pPr>
            <w:r w:rsidRPr="00B4511B">
              <w:t>2021</w:t>
            </w:r>
          </w:p>
        </w:tc>
        <w:tc>
          <w:tcPr>
            <w:tcW w:w="1668" w:type="pct"/>
            <w:vAlign w:val="bottom"/>
          </w:tcPr>
          <w:p w14:paraId="0667D9C7" w14:textId="77777777" w:rsidR="00B14E38" w:rsidRPr="00B4511B" w:rsidRDefault="00B14E38" w:rsidP="006A733E">
            <w:pPr>
              <w:spacing w:line="276" w:lineRule="auto"/>
              <w:jc w:val="right"/>
            </w:pPr>
            <w:r w:rsidRPr="00B4511B">
              <w:t>8,2</w:t>
            </w:r>
          </w:p>
        </w:tc>
        <w:tc>
          <w:tcPr>
            <w:tcW w:w="2036" w:type="pct"/>
            <w:vAlign w:val="bottom"/>
          </w:tcPr>
          <w:p w14:paraId="591A4D35" w14:textId="77777777" w:rsidR="00B14E38" w:rsidRPr="00B4511B" w:rsidRDefault="00B14E38" w:rsidP="006A733E">
            <w:pPr>
              <w:spacing w:line="276" w:lineRule="auto"/>
              <w:jc w:val="right"/>
            </w:pPr>
            <w:r w:rsidRPr="00B4511B">
              <w:t>3,6</w:t>
            </w:r>
          </w:p>
        </w:tc>
      </w:tr>
      <w:tr w:rsidR="00B14E38" w:rsidRPr="00311DC7" w14:paraId="3C035B51" w14:textId="77777777" w:rsidTr="006A733E">
        <w:trPr>
          <w:jc w:val="center"/>
        </w:trPr>
        <w:tc>
          <w:tcPr>
            <w:tcW w:w="1296" w:type="pct"/>
            <w:vAlign w:val="bottom"/>
          </w:tcPr>
          <w:p w14:paraId="5ABB6457" w14:textId="77777777" w:rsidR="00B14E38" w:rsidRPr="00B4511B" w:rsidRDefault="00B14E38" w:rsidP="004F6427">
            <w:pPr>
              <w:spacing w:line="276" w:lineRule="auto"/>
              <w:jc w:val="right"/>
            </w:pPr>
            <w:r w:rsidRPr="00B4511B">
              <w:t>2022</w:t>
            </w:r>
          </w:p>
        </w:tc>
        <w:tc>
          <w:tcPr>
            <w:tcW w:w="1668" w:type="pct"/>
            <w:vAlign w:val="bottom"/>
          </w:tcPr>
          <w:p w14:paraId="620534BF" w14:textId="77777777" w:rsidR="00B14E38" w:rsidRPr="00B4511B" w:rsidRDefault="00B14E38" w:rsidP="006A733E">
            <w:pPr>
              <w:spacing w:line="276" w:lineRule="auto"/>
              <w:jc w:val="right"/>
            </w:pPr>
            <w:r w:rsidRPr="00B4511B">
              <w:t>4,7</w:t>
            </w:r>
          </w:p>
        </w:tc>
        <w:tc>
          <w:tcPr>
            <w:tcW w:w="2036" w:type="pct"/>
            <w:vAlign w:val="bottom"/>
          </w:tcPr>
          <w:p w14:paraId="7CC566BD" w14:textId="77777777" w:rsidR="00B14E38" w:rsidRPr="00B4511B" w:rsidRDefault="00B14E38" w:rsidP="006A733E">
            <w:pPr>
              <w:spacing w:line="276" w:lineRule="auto"/>
              <w:jc w:val="right"/>
            </w:pPr>
            <w:r w:rsidRPr="00B4511B">
              <w:t>3,1</w:t>
            </w:r>
          </w:p>
        </w:tc>
      </w:tr>
    </w:tbl>
    <w:p w14:paraId="67D3199A" w14:textId="77777777" w:rsidR="00B14E38" w:rsidRDefault="00B14E38" w:rsidP="00B14E38">
      <w:pPr>
        <w:pStyle w:val="figuratitulo"/>
        <w:rPr>
          <w:i/>
          <w:iCs/>
          <w:color w:val="3B3838" w:themeColor="background2" w:themeShade="40"/>
        </w:rPr>
      </w:pPr>
    </w:p>
    <w:p w14:paraId="07340F20" w14:textId="77777777" w:rsidR="00B556DE" w:rsidRDefault="00B14E38" w:rsidP="00B556DE">
      <w:pPr>
        <w:pStyle w:val="figuratitulo"/>
        <w:rPr>
          <w:color w:val="3B3838" w:themeColor="background2" w:themeShade="40"/>
        </w:rPr>
      </w:pPr>
      <w:r w:rsidRPr="00A708C9">
        <w:rPr>
          <w:b/>
          <w:bCs/>
          <w:color w:val="3B3838" w:themeColor="background2" w:themeShade="40"/>
        </w:rPr>
        <w:t>Fuente:</w:t>
      </w:r>
      <w:r w:rsidRPr="00A708C9">
        <w:rPr>
          <w:color w:val="3B3838" w:themeColor="background2" w:themeShade="40"/>
        </w:rPr>
        <w:t xml:space="preserve"> DANE, anexo departamental del IPM (datos expandidos con proyecciones de población CNPV 2018).</w:t>
      </w:r>
      <w:bookmarkStart w:id="245" w:name="_heading=h.2250f4o" w:colFirst="0" w:colLast="0"/>
      <w:bookmarkEnd w:id="245"/>
    </w:p>
    <w:p w14:paraId="66116D66" w14:textId="77777777" w:rsidR="006A733E" w:rsidRDefault="006A733E" w:rsidP="00B556DE">
      <w:pPr>
        <w:pStyle w:val="figuratitulo"/>
        <w:rPr>
          <w:color w:val="3B3838" w:themeColor="background2" w:themeShade="40"/>
        </w:rPr>
      </w:pPr>
    </w:p>
    <w:p w14:paraId="55FD5D05" w14:textId="317040D8" w:rsidR="00B14E38" w:rsidRPr="00713F8E" w:rsidRDefault="00713F8E" w:rsidP="00713F8E">
      <w:pPr>
        <w:pStyle w:val="Descripcin"/>
        <w:spacing w:after="0"/>
        <w:jc w:val="center"/>
        <w:rPr>
          <w:color w:val="000000" w:themeColor="text1"/>
          <w:sz w:val="18"/>
          <w:szCs w:val="14"/>
        </w:rPr>
      </w:pPr>
      <w:bookmarkStart w:id="246" w:name="_Toc165170030"/>
      <w:r w:rsidRPr="00713F8E">
        <w:rPr>
          <w:color w:val="C00000"/>
          <w:sz w:val="18"/>
          <w:szCs w:val="14"/>
        </w:rPr>
        <w:t xml:space="preserve">Mapa </w:t>
      </w:r>
      <w:r w:rsidRPr="00713F8E">
        <w:rPr>
          <w:color w:val="C00000"/>
          <w:sz w:val="18"/>
          <w:szCs w:val="14"/>
        </w:rPr>
        <w:fldChar w:fldCharType="begin"/>
      </w:r>
      <w:r w:rsidRPr="00713F8E">
        <w:rPr>
          <w:color w:val="C00000"/>
          <w:sz w:val="18"/>
          <w:szCs w:val="14"/>
        </w:rPr>
        <w:instrText xml:space="preserve"> SEQ Mapa \* ARABIC </w:instrText>
      </w:r>
      <w:r w:rsidRPr="00713F8E">
        <w:rPr>
          <w:color w:val="C00000"/>
          <w:sz w:val="18"/>
          <w:szCs w:val="14"/>
        </w:rPr>
        <w:fldChar w:fldCharType="separate"/>
      </w:r>
      <w:r w:rsidR="00D01651">
        <w:rPr>
          <w:noProof/>
          <w:color w:val="C00000"/>
          <w:sz w:val="18"/>
          <w:szCs w:val="14"/>
        </w:rPr>
        <w:t>6</w:t>
      </w:r>
      <w:r w:rsidRPr="00713F8E">
        <w:rPr>
          <w:color w:val="C00000"/>
          <w:sz w:val="18"/>
          <w:szCs w:val="14"/>
        </w:rPr>
        <w:fldChar w:fldCharType="end"/>
      </w:r>
      <w:r w:rsidRPr="00713F8E">
        <w:rPr>
          <w:color w:val="C00000"/>
          <w:sz w:val="18"/>
          <w:szCs w:val="14"/>
        </w:rPr>
        <w:t xml:space="preserve">. </w:t>
      </w:r>
      <w:r w:rsidR="00B14E38" w:rsidRPr="00713F8E">
        <w:rPr>
          <w:color w:val="000000" w:themeColor="text1"/>
          <w:sz w:val="18"/>
          <w:szCs w:val="14"/>
        </w:rPr>
        <w:t>Mapa de la pobreza monetaria y extrema por localidad y UPZ en Bogotá (2021)</w:t>
      </w:r>
      <w:bookmarkEnd w:id="246"/>
    </w:p>
    <w:p w14:paraId="3601FBE6" w14:textId="21B38763" w:rsidR="00B556DE" w:rsidRDefault="00B556DE" w:rsidP="00B556DE">
      <w:pPr>
        <w:pStyle w:val="figuratitulo"/>
        <w:rPr>
          <w:color w:val="000000" w:themeColor="text1"/>
        </w:rPr>
      </w:pPr>
      <w:r w:rsidRPr="00B944E8">
        <w:rPr>
          <w:rFonts w:ascii="Times New Roman" w:hAnsi="Times New Roman"/>
          <w:noProof/>
          <w:sz w:val="24"/>
        </w:rPr>
        <w:drawing>
          <wp:anchor distT="0" distB="0" distL="114300" distR="114300" simplePos="0" relativeHeight="251756544" behindDoc="0" locked="0" layoutInCell="1" allowOverlap="1" wp14:anchorId="5EB7896F" wp14:editId="1CEB6E8F">
            <wp:simplePos x="0" y="0"/>
            <wp:positionH relativeFrom="column">
              <wp:posOffset>2774950</wp:posOffset>
            </wp:positionH>
            <wp:positionV relativeFrom="paragraph">
              <wp:posOffset>138430</wp:posOffset>
            </wp:positionV>
            <wp:extent cx="2792730" cy="3221355"/>
            <wp:effectExtent l="0" t="0" r="1270" b="4445"/>
            <wp:wrapNone/>
            <wp:docPr id="2133515995" name="image4.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jpg" descr="Mapa&#10;&#10;Descripción generada automáticamente"/>
                    <pic:cNvPicPr preferRelativeResize="0"/>
                  </pic:nvPicPr>
                  <pic:blipFill>
                    <a:blip r:embed="rId113" cstate="print">
                      <a:extLst>
                        <a:ext uri="{28A0092B-C50C-407E-A947-70E740481C1C}">
                          <a14:useLocalDpi xmlns:a14="http://schemas.microsoft.com/office/drawing/2010/main" val="0"/>
                        </a:ext>
                      </a:extLst>
                    </a:blip>
                    <a:srcRect/>
                    <a:stretch>
                      <a:fillRect/>
                    </a:stretch>
                  </pic:blipFill>
                  <pic:spPr>
                    <a:xfrm>
                      <a:off x="0" y="0"/>
                      <a:ext cx="2792730" cy="3221355"/>
                    </a:xfrm>
                    <a:prstGeom prst="rect">
                      <a:avLst/>
                    </a:prstGeom>
                    <a:ln/>
                    <a:effectLst>
                      <a:innerShdw blurRad="63500" dist="50800" dir="18900000">
                        <a:prstClr val="black">
                          <a:alpha val="50000"/>
                        </a:prstClr>
                      </a:innerShdw>
                      <a:softEdge rad="75549"/>
                    </a:effectLst>
                  </pic:spPr>
                </pic:pic>
              </a:graphicData>
            </a:graphic>
            <wp14:sizeRelH relativeFrom="page">
              <wp14:pctWidth>0</wp14:pctWidth>
            </wp14:sizeRelH>
            <wp14:sizeRelV relativeFrom="page">
              <wp14:pctHeight>0</wp14:pctHeight>
            </wp14:sizeRelV>
          </wp:anchor>
        </w:drawing>
      </w:r>
      <w:r w:rsidRPr="00B944E8">
        <w:rPr>
          <w:rFonts w:ascii="Times New Roman" w:hAnsi="Times New Roman"/>
          <w:noProof/>
          <w:sz w:val="24"/>
        </w:rPr>
        <w:drawing>
          <wp:anchor distT="0" distB="0" distL="114300" distR="114300" simplePos="0" relativeHeight="251757568" behindDoc="0" locked="0" layoutInCell="1" allowOverlap="1" wp14:anchorId="56CD89DB" wp14:editId="52763C12">
            <wp:simplePos x="0" y="0"/>
            <wp:positionH relativeFrom="column">
              <wp:posOffset>97790</wp:posOffset>
            </wp:positionH>
            <wp:positionV relativeFrom="paragraph">
              <wp:posOffset>138548</wp:posOffset>
            </wp:positionV>
            <wp:extent cx="2739256" cy="3229977"/>
            <wp:effectExtent l="0" t="0" r="4445" b="0"/>
            <wp:wrapNone/>
            <wp:docPr id="2133515996" name="image5.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jpg" descr="Mapa&#10;&#10;Descripción generada automáticamente"/>
                    <pic:cNvPicPr preferRelativeResize="0"/>
                  </pic:nvPicPr>
                  <pic:blipFill>
                    <a:blip r:embed="rId114" cstate="print">
                      <a:extLst>
                        <a:ext uri="{28A0092B-C50C-407E-A947-70E740481C1C}">
                          <a14:useLocalDpi xmlns:a14="http://schemas.microsoft.com/office/drawing/2010/main" val="0"/>
                        </a:ext>
                      </a:extLst>
                    </a:blip>
                    <a:srcRect/>
                    <a:stretch>
                      <a:fillRect/>
                    </a:stretch>
                  </pic:blipFill>
                  <pic:spPr>
                    <a:xfrm>
                      <a:off x="0" y="0"/>
                      <a:ext cx="2739256" cy="3229977"/>
                    </a:xfrm>
                    <a:prstGeom prst="rect">
                      <a:avLst/>
                    </a:prstGeom>
                    <a:ln/>
                  </pic:spPr>
                </pic:pic>
              </a:graphicData>
            </a:graphic>
            <wp14:sizeRelH relativeFrom="page">
              <wp14:pctWidth>0</wp14:pctWidth>
            </wp14:sizeRelH>
            <wp14:sizeRelV relativeFrom="page">
              <wp14:pctHeight>0</wp14:pctHeight>
            </wp14:sizeRelV>
          </wp:anchor>
        </w:drawing>
      </w:r>
    </w:p>
    <w:p w14:paraId="50A777A6" w14:textId="79CAAEF4" w:rsidR="00B556DE" w:rsidRDefault="00B556DE" w:rsidP="00B556DE">
      <w:pPr>
        <w:pStyle w:val="figuratitulo"/>
        <w:rPr>
          <w:color w:val="000000" w:themeColor="text1"/>
        </w:rPr>
      </w:pPr>
    </w:p>
    <w:p w14:paraId="503BE3CE" w14:textId="5C182F7A" w:rsidR="00B556DE" w:rsidRDefault="00B556DE" w:rsidP="00B556DE">
      <w:pPr>
        <w:pStyle w:val="figuratitulo"/>
        <w:rPr>
          <w:color w:val="000000" w:themeColor="text1"/>
        </w:rPr>
      </w:pPr>
    </w:p>
    <w:p w14:paraId="08512468" w14:textId="53ABEB74" w:rsidR="00B556DE" w:rsidRDefault="00B556DE" w:rsidP="00B556DE">
      <w:pPr>
        <w:pStyle w:val="figuratitulo"/>
        <w:rPr>
          <w:color w:val="000000" w:themeColor="text1"/>
        </w:rPr>
      </w:pPr>
    </w:p>
    <w:p w14:paraId="6A13AD6A" w14:textId="77777777" w:rsidR="00B556DE" w:rsidRDefault="00B556DE" w:rsidP="00B556DE">
      <w:pPr>
        <w:pStyle w:val="figuratitulo"/>
        <w:rPr>
          <w:color w:val="000000" w:themeColor="text1"/>
        </w:rPr>
      </w:pPr>
    </w:p>
    <w:p w14:paraId="7099945F" w14:textId="77777777" w:rsidR="00B556DE" w:rsidRPr="00B556DE" w:rsidRDefault="00B556DE" w:rsidP="00B556DE">
      <w:pPr>
        <w:pStyle w:val="figuratitulo"/>
        <w:rPr>
          <w:color w:val="3B3838" w:themeColor="background2" w:themeShade="40"/>
        </w:rPr>
      </w:pPr>
    </w:p>
    <w:p w14:paraId="3496232D" w14:textId="7ED04BF6" w:rsidR="00B556DE" w:rsidRDefault="00B556DE" w:rsidP="00B14E38">
      <w:pPr>
        <w:pStyle w:val="figuratitulo"/>
        <w:rPr>
          <w:color w:val="000000" w:themeColor="text1"/>
        </w:rPr>
      </w:pPr>
    </w:p>
    <w:p w14:paraId="17FF1BAC" w14:textId="30D56057" w:rsidR="00B556DE" w:rsidRDefault="00B556DE" w:rsidP="00B14E38">
      <w:pPr>
        <w:pStyle w:val="figuratitulo"/>
        <w:rPr>
          <w:color w:val="000000" w:themeColor="text1"/>
        </w:rPr>
      </w:pPr>
    </w:p>
    <w:p w14:paraId="04DDAEB1" w14:textId="478381E9" w:rsidR="00B556DE" w:rsidRDefault="00B556DE" w:rsidP="00B14E38">
      <w:pPr>
        <w:pStyle w:val="figuratitulo"/>
        <w:rPr>
          <w:color w:val="000000" w:themeColor="text1"/>
        </w:rPr>
      </w:pPr>
    </w:p>
    <w:p w14:paraId="1B1B97AC" w14:textId="0C9654AA" w:rsidR="00B556DE" w:rsidRDefault="00B556DE" w:rsidP="00B14E38">
      <w:pPr>
        <w:pStyle w:val="figuratitulo"/>
        <w:rPr>
          <w:color w:val="000000" w:themeColor="text1"/>
        </w:rPr>
      </w:pPr>
    </w:p>
    <w:p w14:paraId="7E3AB38E" w14:textId="2D073876" w:rsidR="00B556DE" w:rsidRDefault="00B556DE" w:rsidP="00B14E38">
      <w:pPr>
        <w:pStyle w:val="figuratitulo"/>
        <w:rPr>
          <w:color w:val="000000" w:themeColor="text1"/>
        </w:rPr>
      </w:pPr>
    </w:p>
    <w:p w14:paraId="090DD3AC" w14:textId="727E27ED" w:rsidR="00B556DE" w:rsidRDefault="00B556DE" w:rsidP="00B14E38">
      <w:pPr>
        <w:pStyle w:val="figuratitulo"/>
        <w:rPr>
          <w:color w:val="000000" w:themeColor="text1"/>
        </w:rPr>
      </w:pPr>
    </w:p>
    <w:p w14:paraId="6CCEA302" w14:textId="4E5083EE" w:rsidR="00B556DE" w:rsidRDefault="00B556DE" w:rsidP="00B14E38">
      <w:pPr>
        <w:pStyle w:val="figuratitulo"/>
        <w:rPr>
          <w:color w:val="000000" w:themeColor="text1"/>
        </w:rPr>
      </w:pPr>
    </w:p>
    <w:p w14:paraId="01E21336" w14:textId="5907B89C" w:rsidR="00B556DE" w:rsidRDefault="00B556DE" w:rsidP="00B14E38">
      <w:pPr>
        <w:pStyle w:val="figuratitulo"/>
        <w:rPr>
          <w:color w:val="000000" w:themeColor="text1"/>
        </w:rPr>
      </w:pPr>
    </w:p>
    <w:p w14:paraId="18422925" w14:textId="3D312D35" w:rsidR="00B556DE" w:rsidRDefault="00B556DE" w:rsidP="00B14E38">
      <w:pPr>
        <w:pStyle w:val="figuratitulo"/>
        <w:rPr>
          <w:color w:val="000000" w:themeColor="text1"/>
        </w:rPr>
      </w:pPr>
    </w:p>
    <w:p w14:paraId="22A03002" w14:textId="765E89D3" w:rsidR="00B556DE" w:rsidRDefault="00B556DE" w:rsidP="00B14E38">
      <w:pPr>
        <w:pStyle w:val="figuratitulo"/>
        <w:rPr>
          <w:color w:val="000000" w:themeColor="text1"/>
        </w:rPr>
      </w:pPr>
    </w:p>
    <w:p w14:paraId="23DA6056" w14:textId="0BAE8050" w:rsidR="00B556DE" w:rsidRDefault="00B556DE" w:rsidP="00B14E38">
      <w:pPr>
        <w:pStyle w:val="figuratitulo"/>
        <w:rPr>
          <w:color w:val="000000" w:themeColor="text1"/>
        </w:rPr>
      </w:pPr>
    </w:p>
    <w:p w14:paraId="407D31F6" w14:textId="1DF28D5A" w:rsidR="00B556DE" w:rsidRDefault="00B556DE" w:rsidP="00B14E38">
      <w:pPr>
        <w:pStyle w:val="figuratitulo"/>
        <w:rPr>
          <w:color w:val="000000" w:themeColor="text1"/>
        </w:rPr>
      </w:pPr>
    </w:p>
    <w:p w14:paraId="7D256725" w14:textId="1EF2F226" w:rsidR="00B556DE" w:rsidRDefault="00B556DE" w:rsidP="00B14E38">
      <w:pPr>
        <w:pStyle w:val="figuratitulo"/>
        <w:rPr>
          <w:color w:val="000000" w:themeColor="text1"/>
        </w:rPr>
      </w:pPr>
    </w:p>
    <w:p w14:paraId="69407172" w14:textId="684D13DA" w:rsidR="00B556DE" w:rsidRDefault="00B556DE" w:rsidP="00B14E38">
      <w:pPr>
        <w:pStyle w:val="figuratitulo"/>
        <w:rPr>
          <w:color w:val="000000" w:themeColor="text1"/>
        </w:rPr>
      </w:pPr>
    </w:p>
    <w:p w14:paraId="6FFF928B" w14:textId="3AA5E478" w:rsidR="00B556DE" w:rsidRDefault="00B556DE" w:rsidP="00B14E38">
      <w:pPr>
        <w:pStyle w:val="figuratitulo"/>
        <w:rPr>
          <w:color w:val="000000" w:themeColor="text1"/>
        </w:rPr>
      </w:pPr>
    </w:p>
    <w:p w14:paraId="093AA0BF" w14:textId="29356800" w:rsidR="00B556DE" w:rsidRDefault="00B556DE" w:rsidP="00B14E38">
      <w:pPr>
        <w:pStyle w:val="figuratitulo"/>
        <w:rPr>
          <w:color w:val="000000" w:themeColor="text1"/>
        </w:rPr>
      </w:pPr>
    </w:p>
    <w:p w14:paraId="00E38CB7" w14:textId="77777777" w:rsidR="00B556DE" w:rsidRDefault="00B556DE" w:rsidP="00B14E38">
      <w:pPr>
        <w:pStyle w:val="figuratitulo"/>
        <w:rPr>
          <w:color w:val="000000" w:themeColor="text1"/>
        </w:rPr>
      </w:pPr>
    </w:p>
    <w:p w14:paraId="73E66DE4" w14:textId="77777777" w:rsidR="00B14E38" w:rsidRPr="00A708C9" w:rsidRDefault="00B14E38" w:rsidP="00B14E38">
      <w:pPr>
        <w:pStyle w:val="figuratitulo"/>
        <w:rPr>
          <w:color w:val="000000" w:themeColor="text1"/>
        </w:rPr>
      </w:pPr>
    </w:p>
    <w:p w14:paraId="6D281661" w14:textId="295ABC3E" w:rsidR="00B14E38" w:rsidRPr="00B556DE" w:rsidRDefault="00B14E38" w:rsidP="00B556DE">
      <w:pPr>
        <w:pStyle w:val="figuratitulo"/>
        <w:rPr>
          <w:rFonts w:ascii="Times New Roman" w:hAnsi="Times New Roman"/>
          <w:color w:val="3B3838" w:themeColor="background2" w:themeShade="40"/>
          <w:sz w:val="24"/>
        </w:rPr>
      </w:pPr>
      <w:r w:rsidRPr="00713F8E">
        <w:rPr>
          <w:b/>
          <w:bCs/>
          <w:color w:val="3B3838" w:themeColor="background2" w:themeShade="40"/>
        </w:rPr>
        <w:t>Fuente:</w:t>
      </w:r>
      <w:r w:rsidRPr="00B556DE">
        <w:rPr>
          <w:i/>
          <w:iCs/>
          <w:color w:val="3B3838" w:themeColor="background2" w:themeShade="40"/>
        </w:rPr>
        <w:t xml:space="preserve"> </w:t>
      </w:r>
      <w:r w:rsidRPr="00B556DE">
        <w:rPr>
          <w:color w:val="3B3838" w:themeColor="background2" w:themeShade="40"/>
        </w:rPr>
        <w:t>elaboración propia SDIS, a partir de (DANE-SDP, 2021) (Última publicación: junio de 2021).</w:t>
      </w:r>
    </w:p>
    <w:p w14:paraId="35EF674C" w14:textId="77777777" w:rsidR="00B14E38" w:rsidRPr="00B944E8" w:rsidRDefault="00B14E38" w:rsidP="00B14E38">
      <w:pPr>
        <w:spacing w:line="480" w:lineRule="auto"/>
        <w:rPr>
          <w:rFonts w:ascii="Times New Roman" w:hAnsi="Times New Roman"/>
          <w:sz w:val="24"/>
        </w:rPr>
      </w:pPr>
    </w:p>
    <w:p w14:paraId="3C5AA35B"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17B3E4F9" w14:textId="77777777" w:rsidR="00C95B70" w:rsidRDefault="00C95B70" w:rsidP="00C95B70">
      <w:r>
        <w:t>Otro aspecto que los análisis sobre la pobreza han venido mostrando en la ciudad es la sensibilidad de esta a la inflación. Dado el limitado nivel del ingreso, tal incremento generalizado en los precios se ha traducido en un menor consumo de alimentos, entre otros productos.</w:t>
      </w:r>
    </w:p>
    <w:p w14:paraId="6B63EB1D" w14:textId="77777777" w:rsidR="00C95B70" w:rsidRDefault="00C95B70" w:rsidP="00C95B70"/>
    <w:p w14:paraId="733F9C63" w14:textId="77777777" w:rsidR="00C95B70" w:rsidRDefault="00C95B70" w:rsidP="00C95B70">
      <w:r>
        <w:t>En efecto, durante 2023 la inflación de Bogotá se ubicó en el 9,4</w:t>
      </w:r>
      <w:r>
        <w:rPr>
          <w:rFonts w:ascii="Arial" w:hAnsi="Arial" w:cs="Arial"/>
        </w:rPr>
        <w:t> </w:t>
      </w:r>
      <w:r>
        <w:t>%, explicada, principalmente, por el alza en la divisi</w:t>
      </w:r>
      <w:r>
        <w:rPr>
          <w:rFonts w:cs="Candara"/>
        </w:rPr>
        <w:t>ó</w:t>
      </w:r>
      <w:r>
        <w:t>n de alojamiento y servicios p</w:t>
      </w:r>
      <w:r>
        <w:rPr>
          <w:rFonts w:cs="Candara"/>
        </w:rPr>
        <w:t>ú</w:t>
      </w:r>
      <w:r>
        <w:t>blicos (9,3</w:t>
      </w:r>
      <w:r>
        <w:rPr>
          <w:rFonts w:ascii="Arial" w:hAnsi="Arial" w:cs="Arial"/>
        </w:rPr>
        <w:t> </w:t>
      </w:r>
      <w:r>
        <w:t>% y con una contribuci</w:t>
      </w:r>
      <w:r>
        <w:rPr>
          <w:rFonts w:cs="Candara"/>
        </w:rPr>
        <w:t>ó</w:t>
      </w:r>
      <w:r>
        <w:t xml:space="preserve">n de </w:t>
      </w:r>
      <w:r>
        <w:t>2,8 p.p.) y transporte (14</w:t>
      </w:r>
      <w:r>
        <w:rPr>
          <w:rFonts w:ascii="Arial" w:hAnsi="Arial" w:cs="Arial"/>
        </w:rPr>
        <w:t> </w:t>
      </w:r>
      <w:r>
        <w:t>% y una contribuci</w:t>
      </w:r>
      <w:r>
        <w:rPr>
          <w:rFonts w:cs="Candara"/>
        </w:rPr>
        <w:t>ó</w:t>
      </w:r>
      <w:r>
        <w:t>n de 1,9 p.p.) (DANE, 2024). Adicionalmente, la distribuci</w:t>
      </w:r>
      <w:r>
        <w:rPr>
          <w:rFonts w:cs="Candara"/>
        </w:rPr>
        <w:t>ó</w:t>
      </w:r>
      <w:r>
        <w:t>n inequitativa de los ingresos lleva a profundizar las brechas econ</w:t>
      </w:r>
      <w:r>
        <w:rPr>
          <w:rFonts w:cs="Candara"/>
        </w:rPr>
        <w:t>ó</w:t>
      </w:r>
      <w:r>
        <w:t>micas presentes en la ciudad. Durante el per</w:t>
      </w:r>
      <w:r>
        <w:rPr>
          <w:rFonts w:cs="Candara"/>
        </w:rPr>
        <w:t>í</w:t>
      </w:r>
      <w:r>
        <w:t xml:space="preserve">odo 2021-2022, el </w:t>
      </w:r>
      <w:r>
        <w:rPr>
          <w:rFonts w:cs="Candara"/>
        </w:rPr>
        <w:t>í</w:t>
      </w:r>
      <w:r>
        <w:t>ndice de Gini para Bogot</w:t>
      </w:r>
      <w:r>
        <w:rPr>
          <w:rFonts w:cs="Candara"/>
        </w:rPr>
        <w:t>á</w:t>
      </w:r>
      <w:r>
        <w:t xml:space="preserve"> fue superior a 0,50, y alcanz</w:t>
      </w:r>
      <w:r>
        <w:rPr>
          <w:rFonts w:cs="Candara"/>
        </w:rPr>
        <w:t>ó</w:t>
      </w:r>
      <w:r>
        <w:t xml:space="preserve"> su punto m</w:t>
      </w:r>
      <w:r>
        <w:rPr>
          <w:rFonts w:cs="Candara"/>
        </w:rPr>
        <w:t>á</w:t>
      </w:r>
      <w:r>
        <w:t xml:space="preserve">ximo en 2021, con un valor de 0,565. En 2022 este índice presentó una disminución menor a un punto porcentual, por lo que se ubicó en 0,549. El anterior indicador </w:t>
      </w:r>
      <w:r>
        <w:lastRenderedPageBreak/>
        <w:t>se evidencia con los resultados territoriales de la pobreza ya presentados (DANE, 2023a).</w:t>
      </w:r>
    </w:p>
    <w:p w14:paraId="6A5F6EAF" w14:textId="77777777" w:rsidR="00C95B70" w:rsidRDefault="00C95B70" w:rsidP="00C95B70"/>
    <w:p w14:paraId="6A261EFE" w14:textId="77777777" w:rsidR="00C95B70" w:rsidRDefault="00C95B70" w:rsidP="00C95B70">
      <w:r>
        <w:t>Además de estos factores macroeconómicos, las restricciones a oportunidades laborales o educativas, considerando tanto el número de ofertas disponibles como la calidad y las garantías para su desarrollo, son causales de la falta de ingresos corrientes en los hogares. Respecto al ámbito laboral, entendido como la falta de empleo, discriminación y precariedad en la empleabilidad, es pertinente destacar que interactúan en dicha situación múltiples aspectos, que van desde las ofertas laborales disponibles hasta la presencia de barreras sociales y culturales que limitan el acceso al mercado laboral.</w:t>
      </w:r>
    </w:p>
    <w:p w14:paraId="537FD3EF" w14:textId="77777777" w:rsidR="00C95B70" w:rsidRDefault="00C95B70" w:rsidP="00C95B70"/>
    <w:p w14:paraId="69F2539C" w14:textId="77777777" w:rsidR="00C95B70" w:rsidRDefault="00C95B70" w:rsidP="00C95B70">
      <w:r>
        <w:t>Además de las anteriores causas, las barreras sociales y culturales preexistentes pueden propiciar la discriminación basada en género, etnia, orientación sexual, discapacidad u otras características personales. Todo eso crea desigualdades sistémicas que dificultan la participación equitativa; particularmente, en el acceso al mercado laboral. De acuerdo con Índice de Condiciones Ampliadas de Vida (ICAV) 2021, alrededor del 40</w:t>
      </w:r>
      <w:r>
        <w:rPr>
          <w:rFonts w:ascii="Arial" w:hAnsi="Arial" w:cs="Arial"/>
        </w:rPr>
        <w:t> </w:t>
      </w:r>
      <w:r>
        <w:t>% de la poblaci</w:t>
      </w:r>
      <w:r>
        <w:rPr>
          <w:rFonts w:cs="Candara"/>
        </w:rPr>
        <w:t>ó</w:t>
      </w:r>
      <w:r>
        <w:t>n migrante mayor de 18 a</w:t>
      </w:r>
      <w:r>
        <w:rPr>
          <w:rFonts w:cs="Candara"/>
        </w:rPr>
        <w:t>ñ</w:t>
      </w:r>
      <w:r>
        <w:t>os afirm</w:t>
      </w:r>
      <w:r>
        <w:rPr>
          <w:rFonts w:cs="Candara"/>
        </w:rPr>
        <w:t>ó</w:t>
      </w:r>
      <w:r>
        <w:t xml:space="preserve"> haber sido discriminada en diferentes ámbitos, incluido el laboral, así como el 14,7</w:t>
      </w:r>
      <w:r>
        <w:rPr>
          <w:rFonts w:ascii="Arial" w:hAnsi="Arial" w:cs="Arial"/>
        </w:rPr>
        <w:t> </w:t>
      </w:r>
      <w:r>
        <w:t>% de la poblaci</w:t>
      </w:r>
      <w:r>
        <w:rPr>
          <w:rFonts w:cs="Candara"/>
        </w:rPr>
        <w:t>ó</w:t>
      </w:r>
      <w:r>
        <w:t>n fue v</w:t>
      </w:r>
      <w:r>
        <w:rPr>
          <w:rFonts w:cs="Candara"/>
        </w:rPr>
        <w:t>í</w:t>
      </w:r>
      <w:r>
        <w:t>ctima del conflicto armado. El 14,8</w:t>
      </w:r>
      <w:r>
        <w:rPr>
          <w:rFonts w:ascii="Arial" w:hAnsi="Arial" w:cs="Arial"/>
        </w:rPr>
        <w:t> </w:t>
      </w:r>
      <w:r>
        <w:t>% de las personas de los sectores sociales LGTBI ocupadas manifestaron sufrir precariedad laboral y 61,1</w:t>
      </w:r>
      <w:r>
        <w:rPr>
          <w:rFonts w:ascii="Arial" w:hAnsi="Arial" w:cs="Arial"/>
        </w:rPr>
        <w:t> </w:t>
      </w:r>
      <w:r>
        <w:t>% de la poblaci</w:t>
      </w:r>
      <w:r>
        <w:rPr>
          <w:rFonts w:cs="Candara"/>
        </w:rPr>
        <w:t>ó</w:t>
      </w:r>
      <w:r>
        <w:t>n con discapacidad trabaja de manera informal (SDP, 2023). En esta l</w:t>
      </w:r>
      <w:r>
        <w:rPr>
          <w:rFonts w:cs="Candara"/>
        </w:rPr>
        <w:t>í</w:t>
      </w:r>
      <w:r>
        <w:t>nea, la brecha salarial entre mujeres y hombres en la media de los ingresos laborales para Bogot</w:t>
      </w:r>
      <w:r>
        <w:rPr>
          <w:rFonts w:cs="Candara"/>
        </w:rPr>
        <w:t>á</w:t>
      </w:r>
      <w:r>
        <w:t xml:space="preserve"> en 2021 se ubic</w:t>
      </w:r>
      <w:r>
        <w:rPr>
          <w:rFonts w:cs="Candara"/>
        </w:rPr>
        <w:t>ó</w:t>
      </w:r>
      <w:r>
        <w:t xml:space="preserve"> en el 9,1</w:t>
      </w:r>
      <w:r>
        <w:rPr>
          <w:rFonts w:ascii="Arial" w:hAnsi="Arial" w:cs="Arial"/>
        </w:rPr>
        <w:t> </w:t>
      </w:r>
      <w:r>
        <w:t>%.</w:t>
      </w:r>
    </w:p>
    <w:p w14:paraId="107E7512" w14:textId="77777777" w:rsidR="00C95B70" w:rsidRDefault="00C95B70" w:rsidP="00C95B70"/>
    <w:p w14:paraId="5E5DEE82" w14:textId="77777777" w:rsidR="00C95B70" w:rsidRDefault="00C95B70" w:rsidP="00C95B70">
      <w:r>
        <w:t xml:space="preserve">Frente a esta problemática, las transferencias monetarias han cobrado relevancia, al constituirse en un mecanismo de protección social que permite mejorar las condiciones de vida de la población en situación de pobreza. Durante 2022, el efecto de las transferencias sobre la </w:t>
      </w:r>
      <w:r>
        <w:t>pobreza monetaria en Bogotá fue de 2,2 p. p. para pobreza monetaria y extrema. Es decir, sin la existencia de dichas ayudas la incidencia en pobreza monetaria se habría ubicado en el 30,3</w:t>
      </w:r>
      <w:r>
        <w:rPr>
          <w:rFonts w:ascii="Arial" w:hAnsi="Arial" w:cs="Arial"/>
        </w:rPr>
        <w:t> </w:t>
      </w:r>
      <w:r>
        <w:t>%, y la pobreza extrema, en el 10,3</w:t>
      </w:r>
      <w:r>
        <w:rPr>
          <w:rFonts w:ascii="Arial" w:hAnsi="Arial" w:cs="Arial"/>
        </w:rPr>
        <w:t> </w:t>
      </w:r>
      <w:r>
        <w:t>%. Pese a lo anterior, aún se identifica una insuficiente cobertura de transferencias monetarias, considerando la magnitud del fenómeno social de la pobreza en la ciudad.</w:t>
      </w:r>
    </w:p>
    <w:p w14:paraId="5493C931" w14:textId="77777777" w:rsidR="00C95B70" w:rsidRDefault="00C95B70" w:rsidP="00C95B70"/>
    <w:p w14:paraId="449A4015" w14:textId="77777777" w:rsidR="00C95B70" w:rsidRDefault="00C95B70" w:rsidP="00C95B70">
      <w:r>
        <w:t>Conscientes de que las transferencias monetarias, si bien son una medida que ha ayudado a la lucha contra la pobreza, presentan limitaciones en su sostenibilidad, la estrategia integrará el trabajo en pro del derecho a la vivienda; en particular, de la generación de soluciones habitacionales como la obtención de vivienda propia, las mejoras en las condiciones de la vivienda en habitabilidad y seguridad, o la vivienda en arriendo. Hoy, la mayor parte de los hogares con déficit habitacional privilegia al arrendamiento como forma de acceso de una solución de vivienda, en el 73</w:t>
      </w:r>
      <w:r>
        <w:rPr>
          <w:rFonts w:ascii="Arial" w:hAnsi="Arial" w:cs="Arial"/>
        </w:rPr>
        <w:t> </w:t>
      </w:r>
      <w:r>
        <w:t>% de los casos, en contraste con el 47,9</w:t>
      </w:r>
      <w:r>
        <w:rPr>
          <w:rFonts w:ascii="Arial" w:hAnsi="Arial" w:cs="Arial"/>
        </w:rPr>
        <w:t> </w:t>
      </w:r>
      <w:r>
        <w:t>% de los hogares sin d</w:t>
      </w:r>
      <w:r>
        <w:rPr>
          <w:rFonts w:cs="Candara"/>
        </w:rPr>
        <w:t>é</w:t>
      </w:r>
      <w:r>
        <w:t>ficit (SDP, 2023).</w:t>
      </w:r>
    </w:p>
    <w:p w14:paraId="6C9932F4" w14:textId="77777777" w:rsidR="00C95B70" w:rsidRDefault="00C95B70" w:rsidP="00C95B70"/>
    <w:p w14:paraId="4C44A5DD" w14:textId="77777777" w:rsidR="00C95B70" w:rsidRDefault="00C95B70" w:rsidP="00C95B70">
      <w:r>
        <w:t xml:space="preserve">Tener vivienda propia ha demostrado ser un vehículo efectivo en la lucha contra la pobreza de manera sostenible, dados sus efectos sobre la seguridad patrimonial, según lo han demostrado teóricos como Douglas North y Hernando de Soto (Dorado, 2020). </w:t>
      </w:r>
    </w:p>
    <w:p w14:paraId="009BE66E" w14:textId="77777777" w:rsidR="00C95B70" w:rsidRDefault="00C95B70" w:rsidP="00C95B70"/>
    <w:p w14:paraId="77E3C6F3" w14:textId="2CAE04E8" w:rsidR="00C95B70" w:rsidRDefault="00C95B70" w:rsidP="00C95B70">
      <w:r>
        <w:t>No obstante convertirse en propietarios de vivienda —en especial, para las familias de menores ingresos— requiere una suma de esfuerzos por parte de los hogares y del Gobierno (ahorro, crédito, subsidio), a fin de llevar a que el monto destinado a solución habitacional pase del 53</w:t>
      </w:r>
      <w:r>
        <w:rPr>
          <w:rFonts w:ascii="Arial" w:hAnsi="Arial" w:cs="Arial"/>
        </w:rPr>
        <w:t> </w:t>
      </w:r>
      <w:r>
        <w:t>% del ingreso de un hogar de bajos ingresos destinado a cerca del 30</w:t>
      </w:r>
      <w:r>
        <w:rPr>
          <w:rFonts w:ascii="Arial" w:hAnsi="Arial" w:cs="Arial"/>
        </w:rPr>
        <w:t> </w:t>
      </w:r>
      <w:r>
        <w:t xml:space="preserve">%, umbral </w:t>
      </w:r>
      <w:r>
        <w:lastRenderedPageBreak/>
        <w:t>recomendado por ONU-H</w:t>
      </w:r>
      <w:r>
        <w:rPr>
          <w:rFonts w:cs="Candara"/>
        </w:rPr>
        <w:t>á</w:t>
      </w:r>
      <w:r>
        <w:t>bitat, para el pago en vivienda</w:t>
      </w:r>
      <w:r w:rsidR="006F4408">
        <w:rPr>
          <w:rStyle w:val="Refdenotaalpie"/>
        </w:rPr>
        <w:footnoteReference w:id="11"/>
      </w:r>
      <w:r>
        <w:t>.</w:t>
      </w:r>
    </w:p>
    <w:p w14:paraId="785452EF" w14:textId="77777777" w:rsidR="00C95B70" w:rsidRDefault="00C95B70" w:rsidP="00C95B70"/>
    <w:p w14:paraId="66C640DA" w14:textId="45146683" w:rsidR="00B14E38" w:rsidRPr="00B944E8" w:rsidRDefault="00C95B70" w:rsidP="00C95B70">
      <w:r>
        <w:t xml:space="preserve">Considerando lo anterior, debe hacerse un gran esfuerzo por entender las finanzas de las familias de bajos ingresos, articular los </w:t>
      </w:r>
      <w:r>
        <w:t>subsidios de vivienda nueva y mejoramiento de vivienda, y con las otras transferencias monetarias, a fin de superar las privaciones, pero, a su vez, superar las trampas de pobreza que hay en la ciudad</w:t>
      </w:r>
      <w:r w:rsidR="00B14E38" w:rsidRPr="00B944E8">
        <w:t>.</w:t>
      </w:r>
    </w:p>
    <w:p w14:paraId="5EB2EA0C"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720"/>
          <w:docGrid w:linePitch="299"/>
        </w:sectPr>
      </w:pPr>
    </w:p>
    <w:p w14:paraId="10C9BC0F" w14:textId="77777777" w:rsidR="00B14E38" w:rsidRPr="00B944E8" w:rsidRDefault="00B14E38" w:rsidP="00B14E38">
      <w:pPr>
        <w:spacing w:line="480" w:lineRule="auto"/>
        <w:rPr>
          <w:rFonts w:ascii="Times New Roman" w:hAnsi="Times New Roman"/>
          <w:sz w:val="24"/>
        </w:rPr>
      </w:pPr>
    </w:p>
    <w:p w14:paraId="0947E0F2" w14:textId="2188C492" w:rsidR="00B14E38" w:rsidRPr="000B3115" w:rsidRDefault="00B14E38" w:rsidP="000B3115">
      <w:pPr>
        <w:ind w:firstLine="708"/>
        <w:rPr>
          <w:b/>
          <w:bCs/>
          <w:color w:val="C00000"/>
        </w:rPr>
        <w:sectPr w:rsidR="00B14E38" w:rsidRPr="000B3115" w:rsidSect="00F7078E">
          <w:type w:val="continuous"/>
          <w:pgSz w:w="12240" w:h="15840"/>
          <w:pgMar w:top="2262" w:right="1440" w:bottom="1440" w:left="1440" w:header="708" w:footer="680" w:gutter="0"/>
          <w:cols w:space="720"/>
          <w:docGrid w:linePitch="299"/>
        </w:sectPr>
      </w:pPr>
      <w:bookmarkStart w:id="247" w:name="OLE_LINK9"/>
      <w:bookmarkStart w:id="248" w:name="OLE_LINK10"/>
      <w:r w:rsidRPr="000B3115">
        <w:rPr>
          <w:b/>
          <w:bCs/>
          <w:sz w:val="24"/>
        </w:rPr>
        <w:t>Descripción del programa</w:t>
      </w:r>
    </w:p>
    <w:p w14:paraId="3EA488B3" w14:textId="2C8D153B" w:rsidR="008D0047" w:rsidRDefault="00B14E38" w:rsidP="008D0047">
      <w:r w:rsidRPr="00B944E8">
        <w:t xml:space="preserve">Con </w:t>
      </w:r>
      <w:bookmarkEnd w:id="247"/>
      <w:bookmarkEnd w:id="248"/>
      <w:r w:rsidR="008D0047">
        <w:t>el objetivo de reducir de manera sostenible la pobreza en la ciudad creando condiciones para que las personas que hayan salido de la pobreza no regresen a esta, se han identificado cinco grandes acciones, como se detalla seguidamente.</w:t>
      </w:r>
    </w:p>
    <w:p w14:paraId="491CFFF6" w14:textId="77777777" w:rsidR="008D0047" w:rsidRDefault="008D0047" w:rsidP="008D0047"/>
    <w:p w14:paraId="78945E66" w14:textId="77777777" w:rsidR="008D0047" w:rsidRDefault="008D0047" w:rsidP="008D0047">
      <w:r>
        <w:t>La primera de las mencionadas acciones busca la articulación de las transferencias monetarias del programa denominado hoy Ingreso Mínimo Garantizado (IMG) —especialmente, de la población joven— con la oferta pública y privada de educación posmedia, formación para el trabajo, intermediación y enganche laboral. Con ello, se busca que las personas que reciban el IMG se sostengan en el sistema educativo de la ciudad fortaleciendo las condiciones para que estos se mantengan fuera de la línea de pobreza.</w:t>
      </w:r>
    </w:p>
    <w:p w14:paraId="6EF66DAE" w14:textId="77777777" w:rsidR="008D0047" w:rsidRDefault="008D0047" w:rsidP="008D0047"/>
    <w:p w14:paraId="7EDAAB83" w14:textId="77777777" w:rsidR="008D0047" w:rsidRDefault="008D0047" w:rsidP="008D0047">
      <w:r>
        <w:t xml:space="preserve">La segunda acción es un ajuste al diseño del IMG; en especial, para que este recoja los efectos que la inflación está teniendo sobre las familias de escasos recursos. Lo anterior implica revisar periódicamente la fórmula del IMG, de manera que contemple el comportamiento observado en las cifras de inflación, el crecimiento del ingreso y del mercado laboral y los resultados de las evaluaciones de impacto, así como la revisión de: criterios de focalización, escala de montos y regla de complementariedad y exclusión con programas de transferencias nacionales o distritales, así como la consideración de condicionalidades y reglas de salida. Buscamos que el </w:t>
      </w:r>
      <w:r>
        <w:t>IGM, más que un valor, represente una estrategia de lucha integral contra la pobreza.</w:t>
      </w:r>
    </w:p>
    <w:p w14:paraId="25F2B1CF" w14:textId="77777777" w:rsidR="008D0047" w:rsidRDefault="008D0047" w:rsidP="008D0047"/>
    <w:p w14:paraId="6A9C175B" w14:textId="77777777" w:rsidR="008D0047" w:rsidRDefault="008D0047" w:rsidP="008D0047">
      <w:r>
        <w:t>La tercera acción, centrada en entender mejor cómo las familias pobres destinan sus recursos, es identificar con claridad el componente de “Gasto en Ciudad”, que se evidencia en el IMG —porción que se destina al gasto en transporte, vivienda y servicios públicos domiciliarios—, de manera que este puede distribuirse de manera progresiva según el nivel socioeconómico en la ciudad, con énfasis en los grupos poblacionales diferenciales, pobres o vulnerables, desde el enfoque de derechos humanos.</w:t>
      </w:r>
    </w:p>
    <w:p w14:paraId="0138F101" w14:textId="77777777" w:rsidR="008D0047" w:rsidRDefault="008D0047" w:rsidP="008D0047"/>
    <w:p w14:paraId="008258E8" w14:textId="77777777" w:rsidR="008D0047" w:rsidRDefault="008D0047" w:rsidP="008D0047">
      <w:r>
        <w:t xml:space="preserve">Como cuarto punto, la administración propenderá por alinear y optimizar el manejo de los subsidios de vivienda para las familias que se encuentran en condiciones de pobreza, a fin de que los hogares urbanos y rurales mejoren sus condiciones habitacionales. Finalmente, reconociendo la forma diferencial como afecta la pobreza, se promoverán beneficios económicos periódicos (BEPS) a la población colocadora de lotería y se impulsará la vinculación laboral de mujeres en situación de vulnerabilidad. </w:t>
      </w:r>
    </w:p>
    <w:p w14:paraId="23996FD6" w14:textId="77777777" w:rsidR="008D0047" w:rsidRDefault="008D0047" w:rsidP="008D0047"/>
    <w:p w14:paraId="54F03812" w14:textId="36440B97" w:rsidR="00B14E38" w:rsidRDefault="008D0047" w:rsidP="008D0047">
      <w:r>
        <w:t>Con estas acciones, la ciudad podrá contar con un sistema de asignación de subsidios y transferencias monetarias a los hogares en condiciones de pobreza, más pertinentes a la situación de cada una, así como ir midiendo, al tiempo que se avance, la efectividad de las acciones que se vayan adoptando.</w:t>
      </w:r>
    </w:p>
    <w:p w14:paraId="1EA3FFA8" w14:textId="77777777" w:rsidR="00B14E38" w:rsidRDefault="00B14E38" w:rsidP="00B14E38">
      <w:pPr>
        <w:sectPr w:rsidR="00B14E38" w:rsidSect="00F7078E">
          <w:type w:val="continuous"/>
          <w:pgSz w:w="12240" w:h="15840"/>
          <w:pgMar w:top="2262" w:right="1440" w:bottom="1440" w:left="1440" w:header="708" w:footer="680" w:gutter="0"/>
          <w:cols w:num="2" w:space="567"/>
          <w:docGrid w:linePitch="299"/>
        </w:sectPr>
      </w:pPr>
    </w:p>
    <w:p w14:paraId="56570334" w14:textId="32124B7C" w:rsidR="00B14E38" w:rsidRPr="00631B6F" w:rsidRDefault="00631B6F" w:rsidP="00631B6F">
      <w:pPr>
        <w:pStyle w:val="Descripcin"/>
        <w:jc w:val="center"/>
        <w:rPr>
          <w:sz w:val="18"/>
          <w:szCs w:val="14"/>
        </w:rPr>
      </w:pPr>
      <w:bookmarkStart w:id="249" w:name="_Toc165169935"/>
      <w:r w:rsidRPr="00631B6F">
        <w:rPr>
          <w:color w:val="C00000"/>
          <w:sz w:val="18"/>
          <w:szCs w:val="14"/>
        </w:rPr>
        <w:lastRenderedPageBreak/>
        <w:t xml:space="preserve">Tabla </w:t>
      </w:r>
      <w:r w:rsidRPr="00631B6F">
        <w:rPr>
          <w:color w:val="C00000"/>
          <w:sz w:val="18"/>
          <w:szCs w:val="14"/>
        </w:rPr>
        <w:fldChar w:fldCharType="begin"/>
      </w:r>
      <w:r w:rsidRPr="00631B6F">
        <w:rPr>
          <w:color w:val="C00000"/>
          <w:sz w:val="18"/>
          <w:szCs w:val="14"/>
        </w:rPr>
        <w:instrText xml:space="preserve"> SEQ Tabla \* ARABIC </w:instrText>
      </w:r>
      <w:r w:rsidRPr="00631B6F">
        <w:rPr>
          <w:color w:val="C00000"/>
          <w:sz w:val="18"/>
          <w:szCs w:val="14"/>
        </w:rPr>
        <w:fldChar w:fldCharType="separate"/>
      </w:r>
      <w:r w:rsidR="00D01651">
        <w:rPr>
          <w:noProof/>
          <w:color w:val="C00000"/>
          <w:sz w:val="18"/>
          <w:szCs w:val="14"/>
        </w:rPr>
        <w:t>25</w:t>
      </w:r>
      <w:r w:rsidRPr="00631B6F">
        <w:rPr>
          <w:color w:val="C00000"/>
          <w:sz w:val="18"/>
          <w:szCs w:val="14"/>
        </w:rPr>
        <w:fldChar w:fldCharType="end"/>
      </w:r>
      <w:r w:rsidRPr="00631B6F">
        <w:rPr>
          <w:color w:val="C00000"/>
          <w:sz w:val="18"/>
          <w:szCs w:val="14"/>
        </w:rPr>
        <w:t xml:space="preserve">. </w:t>
      </w:r>
      <w:r w:rsidR="00B14E38" w:rsidRPr="00631B6F">
        <w:rPr>
          <w:color w:val="000000" w:themeColor="text1"/>
          <w:sz w:val="18"/>
          <w:szCs w:val="14"/>
        </w:rPr>
        <w:t>Metas del programa 7</w:t>
      </w:r>
      <w:r w:rsidR="00040A55">
        <w:rPr>
          <w:color w:val="000000" w:themeColor="text1"/>
          <w:sz w:val="18"/>
          <w:szCs w:val="14"/>
        </w:rPr>
        <w:t>:</w:t>
      </w:r>
      <w:r w:rsidR="00B14E38" w:rsidRPr="00631B6F">
        <w:rPr>
          <w:color w:val="000000" w:themeColor="text1"/>
          <w:sz w:val="18"/>
          <w:szCs w:val="14"/>
        </w:rPr>
        <w:t xml:space="preserve"> Bogotá, una ciudad con menos pobreza</w:t>
      </w:r>
      <w:bookmarkEnd w:id="249"/>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853"/>
        <w:gridCol w:w="1470"/>
        <w:gridCol w:w="1458"/>
        <w:gridCol w:w="1460"/>
        <w:gridCol w:w="1492"/>
        <w:gridCol w:w="1627"/>
      </w:tblGrid>
      <w:tr w:rsidR="00631B6F" w:rsidRPr="00631B6F" w14:paraId="61834569" w14:textId="77777777" w:rsidTr="00631B6F">
        <w:tc>
          <w:tcPr>
            <w:tcW w:w="990" w:type="pct"/>
            <w:vMerge w:val="restart"/>
            <w:shd w:val="clear" w:color="auto" w:fill="C00000"/>
            <w:tcMar>
              <w:top w:w="30" w:type="dxa"/>
              <w:left w:w="45" w:type="dxa"/>
              <w:bottom w:w="30" w:type="dxa"/>
              <w:right w:w="45" w:type="dxa"/>
            </w:tcMar>
            <w:vAlign w:val="center"/>
            <w:hideMark/>
          </w:tcPr>
          <w:p w14:paraId="167F3A09" w14:textId="77777777" w:rsidR="00631B6F" w:rsidRPr="00631B6F" w:rsidRDefault="00631B6F" w:rsidP="00AA4BBB">
            <w:pPr>
              <w:jc w:val="center"/>
              <w:rPr>
                <w:rFonts w:cs="Arial"/>
                <w:b/>
                <w:bCs/>
                <w:color w:val="FFFFFF"/>
                <w:sz w:val="20"/>
                <w:szCs w:val="20"/>
              </w:rPr>
            </w:pPr>
            <w:bookmarkStart w:id="250" w:name="_heading=h.jjeoh4nf6gro" w:colFirst="0" w:colLast="0"/>
            <w:bookmarkEnd w:id="250"/>
            <w:r w:rsidRPr="00631B6F">
              <w:rPr>
                <w:rFonts w:cs="Arial"/>
                <w:b/>
                <w:bCs/>
                <w:color w:val="FFFFFF"/>
                <w:sz w:val="20"/>
                <w:szCs w:val="20"/>
              </w:rPr>
              <w:t>SECTOR / Metas</w:t>
            </w:r>
          </w:p>
        </w:tc>
        <w:tc>
          <w:tcPr>
            <w:tcW w:w="4010" w:type="pct"/>
            <w:gridSpan w:val="5"/>
            <w:shd w:val="clear" w:color="auto" w:fill="C00000"/>
            <w:tcMar>
              <w:top w:w="30" w:type="dxa"/>
              <w:left w:w="45" w:type="dxa"/>
              <w:bottom w:w="30" w:type="dxa"/>
              <w:right w:w="45" w:type="dxa"/>
            </w:tcMar>
            <w:vAlign w:val="center"/>
            <w:hideMark/>
          </w:tcPr>
          <w:p w14:paraId="29E2166E" w14:textId="77777777" w:rsidR="00631B6F" w:rsidRPr="00631B6F" w:rsidRDefault="00631B6F" w:rsidP="00AA4BBB">
            <w:pPr>
              <w:jc w:val="center"/>
              <w:rPr>
                <w:rFonts w:cs="Arial"/>
                <w:b/>
                <w:bCs/>
                <w:color w:val="FFFFFF"/>
                <w:sz w:val="20"/>
                <w:szCs w:val="20"/>
              </w:rPr>
            </w:pPr>
            <w:r w:rsidRPr="00631B6F">
              <w:rPr>
                <w:rFonts w:cs="Arial"/>
                <w:b/>
                <w:bCs/>
                <w:color w:val="FFFFFF"/>
                <w:sz w:val="20"/>
                <w:szCs w:val="20"/>
              </w:rPr>
              <w:t>Magnitudes e Inversión (Precios Constantes 2024)</w:t>
            </w:r>
          </w:p>
        </w:tc>
      </w:tr>
      <w:tr w:rsidR="00631B6F" w:rsidRPr="00631B6F" w14:paraId="50509EFC" w14:textId="77777777" w:rsidTr="00631B6F">
        <w:tc>
          <w:tcPr>
            <w:tcW w:w="990" w:type="pct"/>
            <w:vMerge/>
            <w:vAlign w:val="center"/>
            <w:hideMark/>
          </w:tcPr>
          <w:p w14:paraId="040AC9FB" w14:textId="77777777" w:rsidR="00631B6F" w:rsidRPr="00631B6F" w:rsidRDefault="00631B6F" w:rsidP="00AA4BBB">
            <w:pPr>
              <w:rPr>
                <w:rFonts w:cs="Arial"/>
                <w:b/>
                <w:bCs/>
                <w:color w:val="FFFFFF"/>
                <w:sz w:val="20"/>
                <w:szCs w:val="20"/>
              </w:rPr>
            </w:pPr>
          </w:p>
        </w:tc>
        <w:tc>
          <w:tcPr>
            <w:tcW w:w="785" w:type="pct"/>
            <w:shd w:val="clear" w:color="auto" w:fill="D9D9D9"/>
            <w:tcMar>
              <w:top w:w="30" w:type="dxa"/>
              <w:left w:w="45" w:type="dxa"/>
              <w:bottom w:w="30" w:type="dxa"/>
              <w:right w:w="45" w:type="dxa"/>
            </w:tcMar>
            <w:vAlign w:val="center"/>
            <w:hideMark/>
          </w:tcPr>
          <w:p w14:paraId="2CF346D3" w14:textId="77777777" w:rsidR="00631B6F" w:rsidRPr="00631B6F" w:rsidRDefault="00631B6F" w:rsidP="00AA4BBB">
            <w:pPr>
              <w:jc w:val="center"/>
              <w:rPr>
                <w:rFonts w:cs="Arial"/>
                <w:b/>
                <w:bCs/>
                <w:sz w:val="20"/>
                <w:szCs w:val="20"/>
              </w:rPr>
            </w:pPr>
            <w:r w:rsidRPr="00631B6F">
              <w:rPr>
                <w:rFonts w:cs="Arial"/>
                <w:b/>
                <w:bCs/>
                <w:sz w:val="20"/>
                <w:szCs w:val="20"/>
              </w:rPr>
              <w:t>2024</w:t>
            </w:r>
          </w:p>
        </w:tc>
        <w:tc>
          <w:tcPr>
            <w:tcW w:w="779" w:type="pct"/>
            <w:shd w:val="clear" w:color="auto" w:fill="D9D9D9"/>
            <w:tcMar>
              <w:top w:w="30" w:type="dxa"/>
              <w:left w:w="45" w:type="dxa"/>
              <w:bottom w:w="30" w:type="dxa"/>
              <w:right w:w="45" w:type="dxa"/>
            </w:tcMar>
            <w:vAlign w:val="center"/>
            <w:hideMark/>
          </w:tcPr>
          <w:p w14:paraId="0BF0DFAD" w14:textId="77777777" w:rsidR="00631B6F" w:rsidRPr="00631B6F" w:rsidRDefault="00631B6F" w:rsidP="00AA4BBB">
            <w:pPr>
              <w:jc w:val="center"/>
              <w:rPr>
                <w:rFonts w:cs="Arial"/>
                <w:b/>
                <w:bCs/>
                <w:sz w:val="20"/>
                <w:szCs w:val="20"/>
              </w:rPr>
            </w:pPr>
            <w:r w:rsidRPr="00631B6F">
              <w:rPr>
                <w:rFonts w:cs="Arial"/>
                <w:b/>
                <w:bCs/>
                <w:sz w:val="20"/>
                <w:szCs w:val="20"/>
              </w:rPr>
              <w:t>2025</w:t>
            </w:r>
          </w:p>
        </w:tc>
        <w:tc>
          <w:tcPr>
            <w:tcW w:w="780" w:type="pct"/>
            <w:shd w:val="clear" w:color="auto" w:fill="D9D9D9"/>
            <w:tcMar>
              <w:top w:w="30" w:type="dxa"/>
              <w:left w:w="45" w:type="dxa"/>
              <w:bottom w:w="30" w:type="dxa"/>
              <w:right w:w="45" w:type="dxa"/>
            </w:tcMar>
            <w:vAlign w:val="center"/>
            <w:hideMark/>
          </w:tcPr>
          <w:p w14:paraId="32C1AD37" w14:textId="77777777" w:rsidR="00631B6F" w:rsidRPr="00631B6F" w:rsidRDefault="00631B6F" w:rsidP="00AA4BBB">
            <w:pPr>
              <w:jc w:val="center"/>
              <w:rPr>
                <w:rFonts w:cs="Arial"/>
                <w:b/>
                <w:bCs/>
                <w:sz w:val="20"/>
                <w:szCs w:val="20"/>
              </w:rPr>
            </w:pPr>
            <w:r w:rsidRPr="00631B6F">
              <w:rPr>
                <w:rFonts w:cs="Arial"/>
                <w:b/>
                <w:bCs/>
                <w:sz w:val="20"/>
                <w:szCs w:val="20"/>
              </w:rPr>
              <w:t>2026</w:t>
            </w:r>
          </w:p>
        </w:tc>
        <w:tc>
          <w:tcPr>
            <w:tcW w:w="797" w:type="pct"/>
            <w:shd w:val="clear" w:color="auto" w:fill="D9D9D9"/>
            <w:tcMar>
              <w:top w:w="30" w:type="dxa"/>
              <w:left w:w="45" w:type="dxa"/>
              <w:bottom w:w="30" w:type="dxa"/>
              <w:right w:w="45" w:type="dxa"/>
            </w:tcMar>
            <w:vAlign w:val="center"/>
            <w:hideMark/>
          </w:tcPr>
          <w:p w14:paraId="4B1EE7C1" w14:textId="77777777" w:rsidR="00631B6F" w:rsidRPr="00631B6F" w:rsidRDefault="00631B6F" w:rsidP="00AA4BBB">
            <w:pPr>
              <w:jc w:val="center"/>
              <w:rPr>
                <w:rFonts w:cs="Arial"/>
                <w:b/>
                <w:bCs/>
                <w:sz w:val="20"/>
                <w:szCs w:val="20"/>
              </w:rPr>
            </w:pPr>
            <w:r w:rsidRPr="00631B6F">
              <w:rPr>
                <w:rFonts w:cs="Arial"/>
                <w:b/>
                <w:bCs/>
                <w:sz w:val="20"/>
                <w:szCs w:val="20"/>
              </w:rPr>
              <w:t>2027</w:t>
            </w:r>
          </w:p>
        </w:tc>
        <w:tc>
          <w:tcPr>
            <w:tcW w:w="869" w:type="pct"/>
            <w:shd w:val="clear" w:color="auto" w:fill="D9D9D9"/>
            <w:tcMar>
              <w:top w:w="30" w:type="dxa"/>
              <w:left w:w="45" w:type="dxa"/>
              <w:bottom w:w="30" w:type="dxa"/>
              <w:right w:w="45" w:type="dxa"/>
            </w:tcMar>
            <w:vAlign w:val="center"/>
            <w:hideMark/>
          </w:tcPr>
          <w:p w14:paraId="7BADA99B" w14:textId="77777777" w:rsidR="00631B6F" w:rsidRPr="00631B6F" w:rsidRDefault="00631B6F" w:rsidP="00AA4BBB">
            <w:pPr>
              <w:jc w:val="center"/>
              <w:rPr>
                <w:rFonts w:cs="Arial"/>
                <w:b/>
                <w:bCs/>
                <w:sz w:val="20"/>
                <w:szCs w:val="20"/>
              </w:rPr>
            </w:pPr>
            <w:r w:rsidRPr="00631B6F">
              <w:rPr>
                <w:rFonts w:cs="Arial"/>
                <w:b/>
                <w:bCs/>
                <w:sz w:val="20"/>
                <w:szCs w:val="20"/>
              </w:rPr>
              <w:t>Total Inversión</w:t>
            </w:r>
          </w:p>
        </w:tc>
      </w:tr>
      <w:tr w:rsidR="00631B6F" w:rsidRPr="00631B6F" w14:paraId="78B59C7E" w14:textId="77777777" w:rsidTr="00631B6F">
        <w:tc>
          <w:tcPr>
            <w:tcW w:w="5000" w:type="pct"/>
            <w:gridSpan w:val="6"/>
            <w:shd w:val="clear" w:color="auto" w:fill="C00000"/>
            <w:tcMar>
              <w:top w:w="30" w:type="dxa"/>
              <w:left w:w="45" w:type="dxa"/>
              <w:bottom w:w="30" w:type="dxa"/>
              <w:right w:w="45" w:type="dxa"/>
            </w:tcMar>
            <w:vAlign w:val="center"/>
            <w:hideMark/>
          </w:tcPr>
          <w:p w14:paraId="3FF0172B" w14:textId="1A2443F8" w:rsidR="00631B6F" w:rsidRPr="00631B6F" w:rsidRDefault="00631B6F" w:rsidP="00631B6F">
            <w:pPr>
              <w:jc w:val="center"/>
              <w:rPr>
                <w:rFonts w:cs="Arial"/>
                <w:b/>
                <w:bCs/>
                <w:sz w:val="20"/>
                <w:szCs w:val="20"/>
              </w:rPr>
            </w:pPr>
            <w:r>
              <w:rPr>
                <w:rFonts w:cs="Arial"/>
                <w:b/>
                <w:bCs/>
                <w:color w:val="FFFFFF" w:themeColor="background1"/>
                <w:sz w:val="20"/>
                <w:szCs w:val="20"/>
              </w:rPr>
              <w:t>Hábitat</w:t>
            </w:r>
          </w:p>
        </w:tc>
      </w:tr>
      <w:tr w:rsidR="00631B6F" w:rsidRPr="00631B6F" w14:paraId="3976AB38" w14:textId="77777777" w:rsidTr="00631B6F">
        <w:tc>
          <w:tcPr>
            <w:tcW w:w="990" w:type="pct"/>
            <w:vMerge w:val="restart"/>
            <w:tcMar>
              <w:top w:w="30" w:type="dxa"/>
              <w:left w:w="45" w:type="dxa"/>
              <w:bottom w:w="30" w:type="dxa"/>
              <w:right w:w="45" w:type="dxa"/>
            </w:tcMar>
            <w:vAlign w:val="center"/>
            <w:hideMark/>
          </w:tcPr>
          <w:p w14:paraId="6A417FBD" w14:textId="77777777" w:rsidR="00631B6F" w:rsidRPr="00631B6F" w:rsidRDefault="00631B6F" w:rsidP="00AA4BBB">
            <w:pPr>
              <w:rPr>
                <w:rFonts w:cs="Arial"/>
                <w:sz w:val="20"/>
                <w:szCs w:val="20"/>
              </w:rPr>
            </w:pPr>
            <w:r w:rsidRPr="00631B6F">
              <w:rPr>
                <w:rFonts w:cs="Arial"/>
                <w:sz w:val="20"/>
                <w:szCs w:val="20"/>
              </w:rPr>
              <w:t>Asignar 51.000 subsidios para adquisición de vivienda nueva arrendamiento social y mejoramiento en los diferentes programas de la SDHT.</w:t>
            </w:r>
          </w:p>
        </w:tc>
        <w:tc>
          <w:tcPr>
            <w:tcW w:w="785" w:type="pct"/>
            <w:tcMar>
              <w:top w:w="30" w:type="dxa"/>
              <w:left w:w="45" w:type="dxa"/>
              <w:bottom w:w="30" w:type="dxa"/>
              <w:right w:w="45" w:type="dxa"/>
            </w:tcMar>
            <w:vAlign w:val="center"/>
            <w:hideMark/>
          </w:tcPr>
          <w:p w14:paraId="6DCE5A23" w14:textId="77777777" w:rsidR="00631B6F" w:rsidRPr="00631B6F" w:rsidRDefault="00631B6F" w:rsidP="00AA4BBB">
            <w:pPr>
              <w:jc w:val="center"/>
              <w:rPr>
                <w:rFonts w:cs="Arial"/>
                <w:sz w:val="20"/>
                <w:szCs w:val="20"/>
              </w:rPr>
            </w:pPr>
            <w:r w:rsidRPr="00631B6F">
              <w:rPr>
                <w:rFonts w:cs="Arial"/>
                <w:sz w:val="20"/>
                <w:szCs w:val="20"/>
              </w:rPr>
              <w:t>5.150</w:t>
            </w:r>
          </w:p>
        </w:tc>
        <w:tc>
          <w:tcPr>
            <w:tcW w:w="779" w:type="pct"/>
            <w:tcMar>
              <w:top w:w="30" w:type="dxa"/>
              <w:left w:w="45" w:type="dxa"/>
              <w:bottom w:w="30" w:type="dxa"/>
              <w:right w:w="45" w:type="dxa"/>
            </w:tcMar>
            <w:vAlign w:val="center"/>
            <w:hideMark/>
          </w:tcPr>
          <w:p w14:paraId="2064E0CF" w14:textId="77777777" w:rsidR="00631B6F" w:rsidRPr="00631B6F" w:rsidRDefault="00631B6F" w:rsidP="00AA4BBB">
            <w:pPr>
              <w:jc w:val="center"/>
              <w:rPr>
                <w:rFonts w:cs="Arial"/>
                <w:sz w:val="20"/>
                <w:szCs w:val="20"/>
              </w:rPr>
            </w:pPr>
            <w:r w:rsidRPr="00631B6F">
              <w:rPr>
                <w:rFonts w:cs="Arial"/>
                <w:sz w:val="20"/>
                <w:szCs w:val="20"/>
              </w:rPr>
              <w:t>12.872</w:t>
            </w:r>
          </w:p>
        </w:tc>
        <w:tc>
          <w:tcPr>
            <w:tcW w:w="780" w:type="pct"/>
            <w:tcMar>
              <w:top w:w="30" w:type="dxa"/>
              <w:left w:w="45" w:type="dxa"/>
              <w:bottom w:w="30" w:type="dxa"/>
              <w:right w:w="45" w:type="dxa"/>
            </w:tcMar>
            <w:vAlign w:val="center"/>
            <w:hideMark/>
          </w:tcPr>
          <w:p w14:paraId="591134D9" w14:textId="77777777" w:rsidR="00631B6F" w:rsidRPr="00631B6F" w:rsidRDefault="00631B6F" w:rsidP="00AA4BBB">
            <w:pPr>
              <w:jc w:val="center"/>
              <w:rPr>
                <w:rFonts w:cs="Arial"/>
                <w:sz w:val="20"/>
                <w:szCs w:val="20"/>
              </w:rPr>
            </w:pPr>
            <w:r w:rsidRPr="00631B6F">
              <w:rPr>
                <w:rFonts w:cs="Arial"/>
                <w:sz w:val="20"/>
                <w:szCs w:val="20"/>
              </w:rPr>
              <w:t>14.994</w:t>
            </w:r>
          </w:p>
        </w:tc>
        <w:tc>
          <w:tcPr>
            <w:tcW w:w="797" w:type="pct"/>
            <w:tcMar>
              <w:top w:w="30" w:type="dxa"/>
              <w:left w:w="45" w:type="dxa"/>
              <w:bottom w:w="30" w:type="dxa"/>
              <w:right w:w="45" w:type="dxa"/>
            </w:tcMar>
            <w:vAlign w:val="center"/>
            <w:hideMark/>
          </w:tcPr>
          <w:p w14:paraId="042545E6" w14:textId="77777777" w:rsidR="00631B6F" w:rsidRPr="00631B6F" w:rsidRDefault="00631B6F" w:rsidP="00AA4BBB">
            <w:pPr>
              <w:jc w:val="center"/>
              <w:rPr>
                <w:rFonts w:cs="Arial"/>
                <w:sz w:val="20"/>
                <w:szCs w:val="20"/>
              </w:rPr>
            </w:pPr>
            <w:r w:rsidRPr="00631B6F">
              <w:rPr>
                <w:rFonts w:cs="Arial"/>
                <w:sz w:val="20"/>
                <w:szCs w:val="20"/>
              </w:rPr>
              <w:t>17.984</w:t>
            </w:r>
          </w:p>
        </w:tc>
        <w:tc>
          <w:tcPr>
            <w:tcW w:w="869" w:type="pct"/>
            <w:vMerge w:val="restart"/>
            <w:tcMar>
              <w:top w:w="30" w:type="dxa"/>
              <w:left w:w="45" w:type="dxa"/>
              <w:bottom w:w="30" w:type="dxa"/>
              <w:right w:w="45" w:type="dxa"/>
            </w:tcMar>
            <w:vAlign w:val="center"/>
            <w:hideMark/>
          </w:tcPr>
          <w:p w14:paraId="24F72C99" w14:textId="77777777" w:rsidR="00631B6F" w:rsidRPr="00631B6F" w:rsidRDefault="00631B6F" w:rsidP="00AA4BBB">
            <w:pPr>
              <w:jc w:val="center"/>
              <w:rPr>
                <w:rFonts w:cs="Arial"/>
                <w:b/>
                <w:bCs/>
                <w:sz w:val="20"/>
                <w:szCs w:val="20"/>
              </w:rPr>
            </w:pPr>
            <w:r w:rsidRPr="00631B6F">
              <w:rPr>
                <w:rFonts w:cs="Arial"/>
                <w:b/>
                <w:bCs/>
                <w:sz w:val="20"/>
                <w:szCs w:val="20"/>
              </w:rPr>
              <w:t>844.724.427.577</w:t>
            </w:r>
          </w:p>
        </w:tc>
      </w:tr>
      <w:tr w:rsidR="00631B6F" w:rsidRPr="00631B6F" w14:paraId="04355B1B" w14:textId="77777777" w:rsidTr="00631B6F">
        <w:tc>
          <w:tcPr>
            <w:tcW w:w="990" w:type="pct"/>
            <w:vMerge/>
            <w:vAlign w:val="center"/>
            <w:hideMark/>
          </w:tcPr>
          <w:p w14:paraId="189361AE" w14:textId="77777777" w:rsidR="00631B6F" w:rsidRPr="00631B6F" w:rsidRDefault="00631B6F" w:rsidP="00AA4BBB">
            <w:pPr>
              <w:rPr>
                <w:rFonts w:cs="Arial"/>
                <w:sz w:val="20"/>
                <w:szCs w:val="20"/>
              </w:rPr>
            </w:pPr>
          </w:p>
        </w:tc>
        <w:tc>
          <w:tcPr>
            <w:tcW w:w="785" w:type="pct"/>
            <w:tcMar>
              <w:top w:w="30" w:type="dxa"/>
              <w:left w:w="45" w:type="dxa"/>
              <w:bottom w:w="30" w:type="dxa"/>
              <w:right w:w="45" w:type="dxa"/>
            </w:tcMar>
            <w:vAlign w:val="center"/>
            <w:hideMark/>
          </w:tcPr>
          <w:p w14:paraId="69171DFC" w14:textId="77777777" w:rsidR="00631B6F" w:rsidRPr="00631B6F" w:rsidRDefault="00631B6F" w:rsidP="00AA4BBB">
            <w:pPr>
              <w:jc w:val="center"/>
              <w:rPr>
                <w:rFonts w:cs="Arial"/>
                <w:sz w:val="20"/>
                <w:szCs w:val="20"/>
              </w:rPr>
            </w:pPr>
            <w:r w:rsidRPr="00631B6F">
              <w:rPr>
                <w:rFonts w:cs="Arial"/>
                <w:sz w:val="20"/>
                <w:szCs w:val="20"/>
              </w:rPr>
              <w:t>43.969.780.533</w:t>
            </w:r>
          </w:p>
        </w:tc>
        <w:tc>
          <w:tcPr>
            <w:tcW w:w="779" w:type="pct"/>
            <w:tcMar>
              <w:top w:w="30" w:type="dxa"/>
              <w:left w:w="45" w:type="dxa"/>
              <w:bottom w:w="30" w:type="dxa"/>
              <w:right w:w="45" w:type="dxa"/>
            </w:tcMar>
            <w:vAlign w:val="center"/>
            <w:hideMark/>
          </w:tcPr>
          <w:p w14:paraId="36E63B38" w14:textId="77777777" w:rsidR="00631B6F" w:rsidRPr="00631B6F" w:rsidRDefault="00631B6F" w:rsidP="00AA4BBB">
            <w:pPr>
              <w:jc w:val="center"/>
              <w:rPr>
                <w:rFonts w:cs="Arial"/>
                <w:sz w:val="20"/>
                <w:szCs w:val="20"/>
              </w:rPr>
            </w:pPr>
            <w:r w:rsidRPr="00631B6F">
              <w:rPr>
                <w:rFonts w:cs="Arial"/>
                <w:sz w:val="20"/>
                <w:szCs w:val="20"/>
              </w:rPr>
              <w:t>204.512.621.359</w:t>
            </w:r>
          </w:p>
        </w:tc>
        <w:tc>
          <w:tcPr>
            <w:tcW w:w="780" w:type="pct"/>
            <w:tcMar>
              <w:top w:w="30" w:type="dxa"/>
              <w:left w:w="45" w:type="dxa"/>
              <w:bottom w:w="30" w:type="dxa"/>
              <w:right w:w="45" w:type="dxa"/>
            </w:tcMar>
            <w:vAlign w:val="center"/>
            <w:hideMark/>
          </w:tcPr>
          <w:p w14:paraId="397A91AF" w14:textId="77777777" w:rsidR="00631B6F" w:rsidRPr="00631B6F" w:rsidRDefault="00631B6F" w:rsidP="00AA4BBB">
            <w:pPr>
              <w:jc w:val="center"/>
              <w:rPr>
                <w:rFonts w:cs="Arial"/>
                <w:sz w:val="20"/>
                <w:szCs w:val="20"/>
              </w:rPr>
            </w:pPr>
            <w:r w:rsidRPr="00631B6F">
              <w:rPr>
                <w:rFonts w:cs="Arial"/>
                <w:sz w:val="20"/>
                <w:szCs w:val="20"/>
              </w:rPr>
              <w:t>240.260.156.471</w:t>
            </w:r>
          </w:p>
        </w:tc>
        <w:tc>
          <w:tcPr>
            <w:tcW w:w="797" w:type="pct"/>
            <w:tcMar>
              <w:top w:w="30" w:type="dxa"/>
              <w:left w:w="45" w:type="dxa"/>
              <w:bottom w:w="30" w:type="dxa"/>
              <w:right w:w="45" w:type="dxa"/>
            </w:tcMar>
            <w:vAlign w:val="center"/>
            <w:hideMark/>
          </w:tcPr>
          <w:p w14:paraId="2E33C536" w14:textId="77777777" w:rsidR="00631B6F" w:rsidRPr="00631B6F" w:rsidRDefault="00631B6F" w:rsidP="00AA4BBB">
            <w:pPr>
              <w:jc w:val="center"/>
              <w:rPr>
                <w:rFonts w:cs="Arial"/>
                <w:sz w:val="20"/>
                <w:szCs w:val="20"/>
              </w:rPr>
            </w:pPr>
            <w:r w:rsidRPr="00631B6F">
              <w:rPr>
                <w:rFonts w:cs="Arial"/>
                <w:sz w:val="20"/>
                <w:szCs w:val="20"/>
              </w:rPr>
              <w:t>355.981.869.213</w:t>
            </w:r>
          </w:p>
        </w:tc>
        <w:tc>
          <w:tcPr>
            <w:tcW w:w="869" w:type="pct"/>
            <w:vMerge/>
            <w:vAlign w:val="center"/>
            <w:hideMark/>
          </w:tcPr>
          <w:p w14:paraId="13216BE8" w14:textId="77777777" w:rsidR="00631B6F" w:rsidRPr="00631B6F" w:rsidRDefault="00631B6F" w:rsidP="00AA4BBB">
            <w:pPr>
              <w:rPr>
                <w:rFonts w:cs="Arial"/>
                <w:b/>
                <w:bCs/>
                <w:sz w:val="20"/>
                <w:szCs w:val="20"/>
              </w:rPr>
            </w:pPr>
          </w:p>
        </w:tc>
      </w:tr>
      <w:tr w:rsidR="00631B6F" w:rsidRPr="00631B6F" w14:paraId="0AECA0A0" w14:textId="77777777" w:rsidTr="00631B6F">
        <w:tc>
          <w:tcPr>
            <w:tcW w:w="990" w:type="pct"/>
            <w:vMerge w:val="restart"/>
            <w:tcMar>
              <w:top w:w="30" w:type="dxa"/>
              <w:left w:w="45" w:type="dxa"/>
              <w:bottom w:w="30" w:type="dxa"/>
              <w:right w:w="45" w:type="dxa"/>
            </w:tcMar>
            <w:vAlign w:val="center"/>
            <w:hideMark/>
          </w:tcPr>
          <w:p w14:paraId="0DF4DAA7" w14:textId="77777777" w:rsidR="00631B6F" w:rsidRPr="00631B6F" w:rsidRDefault="00631B6F" w:rsidP="00AA4BBB">
            <w:pPr>
              <w:rPr>
                <w:rFonts w:cs="Arial"/>
                <w:sz w:val="20"/>
                <w:szCs w:val="20"/>
              </w:rPr>
            </w:pPr>
            <w:r w:rsidRPr="00631B6F">
              <w:rPr>
                <w:rFonts w:cs="Arial"/>
                <w:sz w:val="20"/>
                <w:szCs w:val="20"/>
              </w:rPr>
              <w:t>Ejecutar 8.000 mejoramientos de vivienda rural y urbana para familias en condiciones vulnerabilidad</w:t>
            </w:r>
          </w:p>
        </w:tc>
        <w:tc>
          <w:tcPr>
            <w:tcW w:w="785" w:type="pct"/>
            <w:tcMar>
              <w:top w:w="30" w:type="dxa"/>
              <w:left w:w="45" w:type="dxa"/>
              <w:bottom w:w="30" w:type="dxa"/>
              <w:right w:w="45" w:type="dxa"/>
            </w:tcMar>
            <w:vAlign w:val="center"/>
            <w:hideMark/>
          </w:tcPr>
          <w:p w14:paraId="0574E2DB" w14:textId="77777777" w:rsidR="00631B6F" w:rsidRPr="00631B6F" w:rsidRDefault="00631B6F" w:rsidP="00AA4BBB">
            <w:pPr>
              <w:jc w:val="center"/>
              <w:rPr>
                <w:rFonts w:cs="Arial"/>
                <w:sz w:val="20"/>
                <w:szCs w:val="20"/>
              </w:rPr>
            </w:pPr>
            <w:r w:rsidRPr="00631B6F">
              <w:rPr>
                <w:rFonts w:cs="Arial"/>
                <w:sz w:val="20"/>
                <w:szCs w:val="20"/>
              </w:rPr>
              <w:t>640</w:t>
            </w:r>
          </w:p>
        </w:tc>
        <w:tc>
          <w:tcPr>
            <w:tcW w:w="779" w:type="pct"/>
            <w:tcMar>
              <w:top w:w="30" w:type="dxa"/>
              <w:left w:w="45" w:type="dxa"/>
              <w:bottom w:w="30" w:type="dxa"/>
              <w:right w:w="45" w:type="dxa"/>
            </w:tcMar>
            <w:vAlign w:val="center"/>
            <w:hideMark/>
          </w:tcPr>
          <w:p w14:paraId="702FA926" w14:textId="77777777" w:rsidR="00631B6F" w:rsidRPr="00631B6F" w:rsidRDefault="00631B6F" w:rsidP="00AA4BBB">
            <w:pPr>
              <w:jc w:val="center"/>
              <w:rPr>
                <w:rFonts w:cs="Arial"/>
                <w:sz w:val="20"/>
                <w:szCs w:val="20"/>
              </w:rPr>
            </w:pPr>
            <w:r w:rsidRPr="00631B6F">
              <w:rPr>
                <w:rFonts w:cs="Arial"/>
                <w:sz w:val="20"/>
                <w:szCs w:val="20"/>
              </w:rPr>
              <w:t>2.421</w:t>
            </w:r>
          </w:p>
        </w:tc>
        <w:tc>
          <w:tcPr>
            <w:tcW w:w="780" w:type="pct"/>
            <w:tcMar>
              <w:top w:w="30" w:type="dxa"/>
              <w:left w:w="45" w:type="dxa"/>
              <w:bottom w:w="30" w:type="dxa"/>
              <w:right w:w="45" w:type="dxa"/>
            </w:tcMar>
            <w:vAlign w:val="center"/>
            <w:hideMark/>
          </w:tcPr>
          <w:p w14:paraId="6F78FC7B" w14:textId="77777777" w:rsidR="00631B6F" w:rsidRPr="00631B6F" w:rsidRDefault="00631B6F" w:rsidP="00AA4BBB">
            <w:pPr>
              <w:jc w:val="center"/>
              <w:rPr>
                <w:rFonts w:cs="Arial"/>
                <w:sz w:val="20"/>
                <w:szCs w:val="20"/>
              </w:rPr>
            </w:pPr>
            <w:r w:rsidRPr="00631B6F">
              <w:rPr>
                <w:rFonts w:cs="Arial"/>
                <w:sz w:val="20"/>
                <w:szCs w:val="20"/>
              </w:rPr>
              <w:t>2.532</w:t>
            </w:r>
          </w:p>
        </w:tc>
        <w:tc>
          <w:tcPr>
            <w:tcW w:w="797" w:type="pct"/>
            <w:tcMar>
              <w:top w:w="30" w:type="dxa"/>
              <w:left w:w="45" w:type="dxa"/>
              <w:bottom w:w="30" w:type="dxa"/>
              <w:right w:w="45" w:type="dxa"/>
            </w:tcMar>
            <w:vAlign w:val="center"/>
            <w:hideMark/>
          </w:tcPr>
          <w:p w14:paraId="0F7AE742" w14:textId="77777777" w:rsidR="00631B6F" w:rsidRPr="00631B6F" w:rsidRDefault="00631B6F" w:rsidP="00AA4BBB">
            <w:pPr>
              <w:jc w:val="center"/>
              <w:rPr>
                <w:rFonts w:cs="Arial"/>
                <w:sz w:val="20"/>
                <w:szCs w:val="20"/>
              </w:rPr>
            </w:pPr>
            <w:r w:rsidRPr="00631B6F">
              <w:rPr>
                <w:rFonts w:cs="Arial"/>
                <w:sz w:val="20"/>
                <w:szCs w:val="20"/>
              </w:rPr>
              <w:t>2.407</w:t>
            </w:r>
          </w:p>
        </w:tc>
        <w:tc>
          <w:tcPr>
            <w:tcW w:w="869" w:type="pct"/>
            <w:vMerge w:val="restart"/>
            <w:tcMar>
              <w:top w:w="30" w:type="dxa"/>
              <w:left w:w="45" w:type="dxa"/>
              <w:bottom w:w="30" w:type="dxa"/>
              <w:right w:w="45" w:type="dxa"/>
            </w:tcMar>
            <w:vAlign w:val="center"/>
            <w:hideMark/>
          </w:tcPr>
          <w:p w14:paraId="79068A18" w14:textId="77777777" w:rsidR="00631B6F" w:rsidRPr="00631B6F" w:rsidRDefault="00631B6F" w:rsidP="00AA4BBB">
            <w:pPr>
              <w:jc w:val="center"/>
              <w:rPr>
                <w:rFonts w:cs="Arial"/>
                <w:b/>
                <w:bCs/>
                <w:sz w:val="20"/>
                <w:szCs w:val="20"/>
              </w:rPr>
            </w:pPr>
            <w:r w:rsidRPr="00631B6F">
              <w:rPr>
                <w:rFonts w:cs="Arial"/>
                <w:b/>
                <w:bCs/>
                <w:sz w:val="20"/>
                <w:szCs w:val="20"/>
              </w:rPr>
              <w:t>68.214.534.153</w:t>
            </w:r>
          </w:p>
        </w:tc>
      </w:tr>
      <w:tr w:rsidR="00631B6F" w:rsidRPr="00631B6F" w14:paraId="248C3EC2" w14:textId="77777777" w:rsidTr="00631B6F">
        <w:tc>
          <w:tcPr>
            <w:tcW w:w="990" w:type="pct"/>
            <w:vMerge/>
            <w:vAlign w:val="center"/>
            <w:hideMark/>
          </w:tcPr>
          <w:p w14:paraId="32DACECD" w14:textId="77777777" w:rsidR="00631B6F" w:rsidRPr="00631B6F" w:rsidRDefault="00631B6F" w:rsidP="00AA4BBB">
            <w:pPr>
              <w:rPr>
                <w:rFonts w:cs="Arial"/>
                <w:sz w:val="20"/>
                <w:szCs w:val="20"/>
              </w:rPr>
            </w:pPr>
          </w:p>
        </w:tc>
        <w:tc>
          <w:tcPr>
            <w:tcW w:w="785" w:type="pct"/>
            <w:tcMar>
              <w:top w:w="30" w:type="dxa"/>
              <w:left w:w="45" w:type="dxa"/>
              <w:bottom w:w="30" w:type="dxa"/>
              <w:right w:w="45" w:type="dxa"/>
            </w:tcMar>
            <w:vAlign w:val="center"/>
            <w:hideMark/>
          </w:tcPr>
          <w:p w14:paraId="0F3C5C8D" w14:textId="77777777" w:rsidR="00631B6F" w:rsidRPr="00631B6F" w:rsidRDefault="00631B6F" w:rsidP="00AA4BBB">
            <w:pPr>
              <w:jc w:val="center"/>
              <w:rPr>
                <w:rFonts w:cs="Arial"/>
                <w:sz w:val="20"/>
                <w:szCs w:val="20"/>
              </w:rPr>
            </w:pPr>
            <w:r w:rsidRPr="00631B6F">
              <w:rPr>
                <w:rFonts w:cs="Arial"/>
                <w:sz w:val="20"/>
                <w:szCs w:val="20"/>
              </w:rPr>
              <w:t>25.393.000.000</w:t>
            </w:r>
          </w:p>
        </w:tc>
        <w:tc>
          <w:tcPr>
            <w:tcW w:w="779" w:type="pct"/>
            <w:tcMar>
              <w:top w:w="30" w:type="dxa"/>
              <w:left w:w="45" w:type="dxa"/>
              <w:bottom w:w="30" w:type="dxa"/>
              <w:right w:w="45" w:type="dxa"/>
            </w:tcMar>
            <w:vAlign w:val="center"/>
            <w:hideMark/>
          </w:tcPr>
          <w:p w14:paraId="19B74B0B" w14:textId="77777777" w:rsidR="00631B6F" w:rsidRPr="00631B6F" w:rsidRDefault="00631B6F" w:rsidP="00AA4BBB">
            <w:pPr>
              <w:jc w:val="center"/>
              <w:rPr>
                <w:rFonts w:cs="Arial"/>
                <w:sz w:val="20"/>
                <w:szCs w:val="20"/>
              </w:rPr>
            </w:pPr>
            <w:r w:rsidRPr="00631B6F">
              <w:rPr>
                <w:rFonts w:cs="Arial"/>
                <w:sz w:val="20"/>
                <w:szCs w:val="20"/>
              </w:rPr>
              <w:t>13.933.037.796</w:t>
            </w:r>
          </w:p>
        </w:tc>
        <w:tc>
          <w:tcPr>
            <w:tcW w:w="780" w:type="pct"/>
            <w:tcMar>
              <w:top w:w="30" w:type="dxa"/>
              <w:left w:w="45" w:type="dxa"/>
              <w:bottom w:w="30" w:type="dxa"/>
              <w:right w:w="45" w:type="dxa"/>
            </w:tcMar>
            <w:vAlign w:val="center"/>
            <w:hideMark/>
          </w:tcPr>
          <w:p w14:paraId="27C692DB" w14:textId="77777777" w:rsidR="00631B6F" w:rsidRPr="00631B6F" w:rsidRDefault="00631B6F" w:rsidP="00AA4BBB">
            <w:pPr>
              <w:jc w:val="center"/>
              <w:rPr>
                <w:rFonts w:cs="Arial"/>
                <w:sz w:val="20"/>
                <w:szCs w:val="20"/>
              </w:rPr>
            </w:pPr>
            <w:r w:rsidRPr="00631B6F">
              <w:rPr>
                <w:rFonts w:cs="Arial"/>
                <w:sz w:val="20"/>
                <w:szCs w:val="20"/>
              </w:rPr>
              <w:t>14.239.340.058</w:t>
            </w:r>
          </w:p>
        </w:tc>
        <w:tc>
          <w:tcPr>
            <w:tcW w:w="797" w:type="pct"/>
            <w:tcMar>
              <w:top w:w="30" w:type="dxa"/>
              <w:left w:w="45" w:type="dxa"/>
              <w:bottom w:w="30" w:type="dxa"/>
              <w:right w:w="45" w:type="dxa"/>
            </w:tcMar>
            <w:vAlign w:val="center"/>
            <w:hideMark/>
          </w:tcPr>
          <w:p w14:paraId="07FC9555" w14:textId="77777777" w:rsidR="00631B6F" w:rsidRPr="00631B6F" w:rsidRDefault="00631B6F" w:rsidP="00AA4BBB">
            <w:pPr>
              <w:jc w:val="center"/>
              <w:rPr>
                <w:rFonts w:cs="Arial"/>
                <w:sz w:val="20"/>
                <w:szCs w:val="20"/>
              </w:rPr>
            </w:pPr>
            <w:r w:rsidRPr="00631B6F">
              <w:rPr>
                <w:rFonts w:cs="Arial"/>
                <w:sz w:val="20"/>
                <w:szCs w:val="20"/>
              </w:rPr>
              <w:t>14.649.156.299</w:t>
            </w:r>
          </w:p>
        </w:tc>
        <w:tc>
          <w:tcPr>
            <w:tcW w:w="869" w:type="pct"/>
            <w:vMerge/>
            <w:vAlign w:val="center"/>
            <w:hideMark/>
          </w:tcPr>
          <w:p w14:paraId="7FF99313" w14:textId="77777777" w:rsidR="00631B6F" w:rsidRPr="00631B6F" w:rsidRDefault="00631B6F" w:rsidP="00AA4BBB">
            <w:pPr>
              <w:rPr>
                <w:rFonts w:cs="Arial"/>
                <w:b/>
                <w:bCs/>
                <w:sz w:val="20"/>
                <w:szCs w:val="20"/>
              </w:rPr>
            </w:pPr>
          </w:p>
        </w:tc>
      </w:tr>
      <w:tr w:rsidR="00631B6F" w:rsidRPr="00631B6F" w14:paraId="12412FF2" w14:textId="77777777" w:rsidTr="00631B6F">
        <w:tc>
          <w:tcPr>
            <w:tcW w:w="990" w:type="pct"/>
            <w:vMerge w:val="restart"/>
            <w:tcMar>
              <w:top w:w="30" w:type="dxa"/>
              <w:left w:w="45" w:type="dxa"/>
              <w:bottom w:w="30" w:type="dxa"/>
              <w:right w:w="45" w:type="dxa"/>
            </w:tcMar>
            <w:vAlign w:val="center"/>
            <w:hideMark/>
          </w:tcPr>
          <w:p w14:paraId="33505FE2" w14:textId="77777777" w:rsidR="00631B6F" w:rsidRPr="00631B6F" w:rsidRDefault="00631B6F" w:rsidP="00AA4BBB">
            <w:pPr>
              <w:rPr>
                <w:rFonts w:cs="Arial"/>
                <w:sz w:val="20"/>
                <w:szCs w:val="20"/>
              </w:rPr>
            </w:pPr>
            <w:r w:rsidRPr="00631B6F">
              <w:rPr>
                <w:rFonts w:cs="Arial"/>
                <w:sz w:val="20"/>
                <w:szCs w:val="20"/>
              </w:rPr>
              <w:t xml:space="preserve">Mejorar Integralmente o reforzar 4.000 viviendas </w:t>
            </w:r>
          </w:p>
        </w:tc>
        <w:tc>
          <w:tcPr>
            <w:tcW w:w="785" w:type="pct"/>
            <w:tcMar>
              <w:top w:w="30" w:type="dxa"/>
              <w:left w:w="45" w:type="dxa"/>
              <w:bottom w:w="30" w:type="dxa"/>
              <w:right w:w="45" w:type="dxa"/>
            </w:tcMar>
            <w:vAlign w:val="center"/>
            <w:hideMark/>
          </w:tcPr>
          <w:p w14:paraId="2D7B3EEA" w14:textId="77777777" w:rsidR="00631B6F" w:rsidRPr="00631B6F" w:rsidRDefault="00631B6F" w:rsidP="00AA4BBB">
            <w:pPr>
              <w:jc w:val="center"/>
              <w:rPr>
                <w:rFonts w:cs="Arial"/>
                <w:sz w:val="20"/>
                <w:szCs w:val="20"/>
              </w:rPr>
            </w:pPr>
            <w:r w:rsidRPr="00631B6F">
              <w:rPr>
                <w:rFonts w:cs="Arial"/>
                <w:sz w:val="20"/>
                <w:szCs w:val="20"/>
              </w:rPr>
              <w:t>110</w:t>
            </w:r>
          </w:p>
        </w:tc>
        <w:tc>
          <w:tcPr>
            <w:tcW w:w="779" w:type="pct"/>
            <w:tcMar>
              <w:top w:w="30" w:type="dxa"/>
              <w:left w:w="45" w:type="dxa"/>
              <w:bottom w:w="30" w:type="dxa"/>
              <w:right w:w="45" w:type="dxa"/>
            </w:tcMar>
            <w:vAlign w:val="center"/>
            <w:hideMark/>
          </w:tcPr>
          <w:p w14:paraId="6C295A5E" w14:textId="77777777" w:rsidR="00631B6F" w:rsidRPr="00631B6F" w:rsidRDefault="00631B6F" w:rsidP="00AA4BBB">
            <w:pPr>
              <w:jc w:val="center"/>
              <w:rPr>
                <w:rFonts w:cs="Arial"/>
                <w:sz w:val="20"/>
                <w:szCs w:val="20"/>
              </w:rPr>
            </w:pPr>
            <w:r w:rsidRPr="00631B6F">
              <w:rPr>
                <w:rFonts w:cs="Arial"/>
                <w:sz w:val="20"/>
                <w:szCs w:val="20"/>
              </w:rPr>
              <w:t>880</w:t>
            </w:r>
          </w:p>
        </w:tc>
        <w:tc>
          <w:tcPr>
            <w:tcW w:w="780" w:type="pct"/>
            <w:tcMar>
              <w:top w:w="30" w:type="dxa"/>
              <w:left w:w="45" w:type="dxa"/>
              <w:bottom w:w="30" w:type="dxa"/>
              <w:right w:w="45" w:type="dxa"/>
            </w:tcMar>
            <w:vAlign w:val="center"/>
            <w:hideMark/>
          </w:tcPr>
          <w:p w14:paraId="097CAD4E" w14:textId="77777777" w:rsidR="00631B6F" w:rsidRPr="00631B6F" w:rsidRDefault="00631B6F" w:rsidP="00AA4BBB">
            <w:pPr>
              <w:jc w:val="center"/>
              <w:rPr>
                <w:rFonts w:cs="Arial"/>
                <w:sz w:val="20"/>
                <w:szCs w:val="20"/>
              </w:rPr>
            </w:pPr>
            <w:r w:rsidRPr="00631B6F">
              <w:rPr>
                <w:rFonts w:cs="Arial"/>
                <w:sz w:val="20"/>
                <w:szCs w:val="20"/>
              </w:rPr>
              <w:t>1.100</w:t>
            </w:r>
          </w:p>
        </w:tc>
        <w:tc>
          <w:tcPr>
            <w:tcW w:w="797" w:type="pct"/>
            <w:tcMar>
              <w:top w:w="30" w:type="dxa"/>
              <w:left w:w="45" w:type="dxa"/>
              <w:bottom w:w="30" w:type="dxa"/>
              <w:right w:w="45" w:type="dxa"/>
            </w:tcMar>
            <w:vAlign w:val="center"/>
            <w:hideMark/>
          </w:tcPr>
          <w:p w14:paraId="0F114535" w14:textId="77777777" w:rsidR="00631B6F" w:rsidRPr="00631B6F" w:rsidRDefault="00631B6F" w:rsidP="00AA4BBB">
            <w:pPr>
              <w:jc w:val="center"/>
              <w:rPr>
                <w:rFonts w:cs="Arial"/>
                <w:sz w:val="20"/>
                <w:szCs w:val="20"/>
              </w:rPr>
            </w:pPr>
            <w:r w:rsidRPr="00631B6F">
              <w:rPr>
                <w:rFonts w:cs="Arial"/>
                <w:sz w:val="20"/>
                <w:szCs w:val="20"/>
              </w:rPr>
              <w:t>1.910</w:t>
            </w:r>
          </w:p>
        </w:tc>
        <w:tc>
          <w:tcPr>
            <w:tcW w:w="869" w:type="pct"/>
            <w:vMerge w:val="restart"/>
            <w:tcMar>
              <w:top w:w="30" w:type="dxa"/>
              <w:left w:w="45" w:type="dxa"/>
              <w:bottom w:w="30" w:type="dxa"/>
              <w:right w:w="45" w:type="dxa"/>
            </w:tcMar>
            <w:vAlign w:val="center"/>
            <w:hideMark/>
          </w:tcPr>
          <w:p w14:paraId="2498BAC0" w14:textId="77777777" w:rsidR="00631B6F" w:rsidRPr="00631B6F" w:rsidRDefault="00631B6F" w:rsidP="00AA4BBB">
            <w:pPr>
              <w:jc w:val="center"/>
              <w:rPr>
                <w:rFonts w:cs="Arial"/>
                <w:b/>
                <w:bCs/>
                <w:sz w:val="20"/>
                <w:szCs w:val="20"/>
              </w:rPr>
            </w:pPr>
            <w:r w:rsidRPr="00631B6F">
              <w:rPr>
                <w:rFonts w:cs="Arial"/>
                <w:b/>
                <w:bCs/>
                <w:sz w:val="20"/>
                <w:szCs w:val="20"/>
              </w:rPr>
              <w:t>37.575.252.467</w:t>
            </w:r>
          </w:p>
        </w:tc>
      </w:tr>
      <w:tr w:rsidR="00631B6F" w:rsidRPr="00631B6F" w14:paraId="7EBDFB8E" w14:textId="77777777" w:rsidTr="00631B6F">
        <w:tc>
          <w:tcPr>
            <w:tcW w:w="990" w:type="pct"/>
            <w:vMerge/>
            <w:vAlign w:val="center"/>
            <w:hideMark/>
          </w:tcPr>
          <w:p w14:paraId="69D9025F" w14:textId="77777777" w:rsidR="00631B6F" w:rsidRPr="00631B6F" w:rsidRDefault="00631B6F" w:rsidP="00AA4BBB">
            <w:pPr>
              <w:rPr>
                <w:rFonts w:cs="Arial"/>
                <w:sz w:val="20"/>
                <w:szCs w:val="20"/>
              </w:rPr>
            </w:pPr>
          </w:p>
        </w:tc>
        <w:tc>
          <w:tcPr>
            <w:tcW w:w="785" w:type="pct"/>
            <w:tcMar>
              <w:top w:w="30" w:type="dxa"/>
              <w:left w:w="45" w:type="dxa"/>
              <w:bottom w:w="30" w:type="dxa"/>
              <w:right w:w="45" w:type="dxa"/>
            </w:tcMar>
            <w:vAlign w:val="center"/>
            <w:hideMark/>
          </w:tcPr>
          <w:p w14:paraId="453CDDD6" w14:textId="77777777" w:rsidR="00631B6F" w:rsidRPr="00631B6F" w:rsidRDefault="00631B6F" w:rsidP="00AA4BBB">
            <w:pPr>
              <w:jc w:val="center"/>
              <w:rPr>
                <w:rFonts w:cs="Arial"/>
                <w:sz w:val="20"/>
                <w:szCs w:val="20"/>
              </w:rPr>
            </w:pPr>
            <w:r w:rsidRPr="00631B6F">
              <w:rPr>
                <w:rFonts w:cs="Arial"/>
                <w:sz w:val="20"/>
                <w:szCs w:val="20"/>
              </w:rPr>
              <w:t>6.400.460.320</w:t>
            </w:r>
          </w:p>
        </w:tc>
        <w:tc>
          <w:tcPr>
            <w:tcW w:w="779" w:type="pct"/>
            <w:tcMar>
              <w:top w:w="30" w:type="dxa"/>
              <w:left w:w="45" w:type="dxa"/>
              <w:bottom w:w="30" w:type="dxa"/>
              <w:right w:w="45" w:type="dxa"/>
            </w:tcMar>
            <w:vAlign w:val="center"/>
            <w:hideMark/>
          </w:tcPr>
          <w:p w14:paraId="4B174717" w14:textId="77777777" w:rsidR="00631B6F" w:rsidRPr="00631B6F" w:rsidRDefault="00631B6F" w:rsidP="00AA4BBB">
            <w:pPr>
              <w:jc w:val="center"/>
              <w:rPr>
                <w:rFonts w:cs="Arial"/>
                <w:sz w:val="20"/>
                <w:szCs w:val="20"/>
              </w:rPr>
            </w:pPr>
            <w:r w:rsidRPr="00631B6F">
              <w:rPr>
                <w:rFonts w:cs="Arial"/>
                <w:sz w:val="20"/>
                <w:szCs w:val="20"/>
              </w:rPr>
              <w:t>11.341.454.369</w:t>
            </w:r>
          </w:p>
        </w:tc>
        <w:tc>
          <w:tcPr>
            <w:tcW w:w="780" w:type="pct"/>
            <w:tcMar>
              <w:top w:w="30" w:type="dxa"/>
              <w:left w:w="45" w:type="dxa"/>
              <w:bottom w:w="30" w:type="dxa"/>
              <w:right w:w="45" w:type="dxa"/>
            </w:tcMar>
            <w:vAlign w:val="center"/>
            <w:hideMark/>
          </w:tcPr>
          <w:p w14:paraId="570F09DB" w14:textId="77777777" w:rsidR="00631B6F" w:rsidRPr="00631B6F" w:rsidRDefault="00631B6F" w:rsidP="00AA4BBB">
            <w:pPr>
              <w:jc w:val="center"/>
              <w:rPr>
                <w:rFonts w:cs="Arial"/>
                <w:sz w:val="20"/>
                <w:szCs w:val="20"/>
              </w:rPr>
            </w:pPr>
            <w:r w:rsidRPr="00631B6F">
              <w:rPr>
                <w:rFonts w:cs="Arial"/>
                <w:sz w:val="20"/>
                <w:szCs w:val="20"/>
              </w:rPr>
              <w:t>13.763.901.404</w:t>
            </w:r>
          </w:p>
        </w:tc>
        <w:tc>
          <w:tcPr>
            <w:tcW w:w="797" w:type="pct"/>
            <w:tcMar>
              <w:top w:w="30" w:type="dxa"/>
              <w:left w:w="45" w:type="dxa"/>
              <w:bottom w:w="30" w:type="dxa"/>
              <w:right w:w="45" w:type="dxa"/>
            </w:tcMar>
            <w:vAlign w:val="center"/>
            <w:hideMark/>
          </w:tcPr>
          <w:p w14:paraId="76FA01DA" w14:textId="77777777" w:rsidR="00631B6F" w:rsidRPr="00631B6F" w:rsidRDefault="00631B6F" w:rsidP="00AA4BBB">
            <w:pPr>
              <w:jc w:val="center"/>
              <w:rPr>
                <w:rFonts w:cs="Arial"/>
                <w:sz w:val="20"/>
                <w:szCs w:val="20"/>
              </w:rPr>
            </w:pPr>
            <w:r w:rsidRPr="00631B6F">
              <w:rPr>
                <w:rFonts w:cs="Arial"/>
                <w:sz w:val="20"/>
                <w:szCs w:val="20"/>
              </w:rPr>
              <w:t>6.069.436.373</w:t>
            </w:r>
          </w:p>
        </w:tc>
        <w:tc>
          <w:tcPr>
            <w:tcW w:w="869" w:type="pct"/>
            <w:vMerge/>
            <w:vAlign w:val="center"/>
            <w:hideMark/>
          </w:tcPr>
          <w:p w14:paraId="70260C97" w14:textId="77777777" w:rsidR="00631B6F" w:rsidRPr="00631B6F" w:rsidRDefault="00631B6F" w:rsidP="00AA4BBB">
            <w:pPr>
              <w:rPr>
                <w:rFonts w:cs="Arial"/>
                <w:b/>
                <w:bCs/>
                <w:sz w:val="20"/>
                <w:szCs w:val="20"/>
              </w:rPr>
            </w:pPr>
          </w:p>
        </w:tc>
      </w:tr>
      <w:tr w:rsidR="00631B6F" w:rsidRPr="00631B6F" w14:paraId="1887EAC9" w14:textId="77777777" w:rsidTr="00631B6F">
        <w:tc>
          <w:tcPr>
            <w:tcW w:w="5000" w:type="pct"/>
            <w:gridSpan w:val="6"/>
            <w:shd w:val="clear" w:color="auto" w:fill="C00000"/>
            <w:tcMar>
              <w:top w:w="30" w:type="dxa"/>
              <w:left w:w="45" w:type="dxa"/>
              <w:bottom w:w="30" w:type="dxa"/>
              <w:right w:w="45" w:type="dxa"/>
            </w:tcMar>
            <w:vAlign w:val="center"/>
            <w:hideMark/>
          </w:tcPr>
          <w:p w14:paraId="59687CC8" w14:textId="3869D139" w:rsidR="00631B6F" w:rsidRPr="00631B6F" w:rsidRDefault="00631B6F" w:rsidP="00631B6F">
            <w:pPr>
              <w:jc w:val="center"/>
              <w:rPr>
                <w:rFonts w:cs="Arial"/>
                <w:b/>
                <w:bCs/>
                <w:color w:val="FFFFFF" w:themeColor="background1"/>
                <w:sz w:val="20"/>
                <w:szCs w:val="20"/>
              </w:rPr>
            </w:pPr>
            <w:r w:rsidRPr="00631B6F">
              <w:rPr>
                <w:rFonts w:cs="Arial"/>
                <w:b/>
                <w:bCs/>
                <w:color w:val="FFFFFF" w:themeColor="background1"/>
                <w:sz w:val="20"/>
                <w:szCs w:val="20"/>
                <w:shd w:val="clear" w:color="auto" w:fill="C00000"/>
              </w:rPr>
              <w:t>Integración</w:t>
            </w:r>
            <w:r w:rsidRPr="00631B6F">
              <w:rPr>
                <w:rFonts w:cs="Arial"/>
                <w:b/>
                <w:bCs/>
                <w:color w:val="FFFFFF" w:themeColor="background1"/>
                <w:sz w:val="20"/>
                <w:szCs w:val="20"/>
              </w:rPr>
              <w:t xml:space="preserve"> </w:t>
            </w:r>
            <w:r>
              <w:rPr>
                <w:rFonts w:cs="Arial"/>
                <w:b/>
                <w:bCs/>
                <w:color w:val="FFFFFF" w:themeColor="background1"/>
                <w:sz w:val="20"/>
                <w:szCs w:val="20"/>
              </w:rPr>
              <w:t>S</w:t>
            </w:r>
            <w:r w:rsidRPr="00631B6F">
              <w:rPr>
                <w:rFonts w:cs="Arial"/>
                <w:b/>
                <w:bCs/>
                <w:color w:val="FFFFFF" w:themeColor="background1"/>
                <w:sz w:val="20"/>
                <w:szCs w:val="20"/>
              </w:rPr>
              <w:t>ocial</w:t>
            </w:r>
          </w:p>
        </w:tc>
      </w:tr>
      <w:tr w:rsidR="00631B6F" w:rsidRPr="00631B6F" w14:paraId="77496636" w14:textId="77777777" w:rsidTr="00631B6F">
        <w:tc>
          <w:tcPr>
            <w:tcW w:w="990" w:type="pct"/>
            <w:vMerge w:val="restart"/>
            <w:tcMar>
              <w:top w:w="30" w:type="dxa"/>
              <w:left w:w="45" w:type="dxa"/>
              <w:bottom w:w="30" w:type="dxa"/>
              <w:right w:w="45" w:type="dxa"/>
            </w:tcMar>
            <w:vAlign w:val="center"/>
            <w:hideMark/>
          </w:tcPr>
          <w:p w14:paraId="3146EA9A" w14:textId="77777777" w:rsidR="00631B6F" w:rsidRPr="00631B6F" w:rsidRDefault="00631B6F" w:rsidP="00AA4BBB">
            <w:pPr>
              <w:rPr>
                <w:rFonts w:cs="Arial"/>
                <w:sz w:val="20"/>
                <w:szCs w:val="20"/>
              </w:rPr>
            </w:pPr>
            <w:r w:rsidRPr="00631B6F">
              <w:rPr>
                <w:rFonts w:cs="Arial"/>
                <w:sz w:val="20"/>
                <w:szCs w:val="20"/>
              </w:rPr>
              <w:t>Atender 1.300.000 personas mediante transferencias monetarias (condicionadas y no condicionadas)</w:t>
            </w:r>
          </w:p>
        </w:tc>
        <w:tc>
          <w:tcPr>
            <w:tcW w:w="785" w:type="pct"/>
            <w:tcMar>
              <w:top w:w="30" w:type="dxa"/>
              <w:left w:w="45" w:type="dxa"/>
              <w:bottom w:w="30" w:type="dxa"/>
              <w:right w:w="45" w:type="dxa"/>
            </w:tcMar>
            <w:vAlign w:val="center"/>
            <w:hideMark/>
          </w:tcPr>
          <w:p w14:paraId="08A2D7A9" w14:textId="77777777" w:rsidR="00631B6F" w:rsidRPr="00631B6F" w:rsidRDefault="00631B6F" w:rsidP="00AA4BBB">
            <w:pPr>
              <w:jc w:val="center"/>
              <w:rPr>
                <w:rFonts w:cs="Arial"/>
                <w:sz w:val="20"/>
                <w:szCs w:val="20"/>
              </w:rPr>
            </w:pPr>
            <w:r w:rsidRPr="00631B6F">
              <w:rPr>
                <w:rFonts w:cs="Arial"/>
                <w:sz w:val="20"/>
                <w:szCs w:val="20"/>
              </w:rPr>
              <w:t>1.300.000</w:t>
            </w:r>
          </w:p>
        </w:tc>
        <w:tc>
          <w:tcPr>
            <w:tcW w:w="779" w:type="pct"/>
            <w:tcMar>
              <w:top w:w="30" w:type="dxa"/>
              <w:left w:w="45" w:type="dxa"/>
              <w:bottom w:w="30" w:type="dxa"/>
              <w:right w:w="45" w:type="dxa"/>
            </w:tcMar>
            <w:vAlign w:val="center"/>
            <w:hideMark/>
          </w:tcPr>
          <w:p w14:paraId="6A382D55" w14:textId="77777777" w:rsidR="00631B6F" w:rsidRPr="00631B6F" w:rsidRDefault="00631B6F" w:rsidP="00AA4BBB">
            <w:pPr>
              <w:jc w:val="center"/>
              <w:rPr>
                <w:rFonts w:cs="Arial"/>
                <w:sz w:val="20"/>
                <w:szCs w:val="20"/>
              </w:rPr>
            </w:pPr>
            <w:r w:rsidRPr="00631B6F">
              <w:rPr>
                <w:rFonts w:cs="Arial"/>
                <w:sz w:val="20"/>
                <w:szCs w:val="20"/>
              </w:rPr>
              <w:t>1.300.000</w:t>
            </w:r>
          </w:p>
        </w:tc>
        <w:tc>
          <w:tcPr>
            <w:tcW w:w="780" w:type="pct"/>
            <w:tcMar>
              <w:top w:w="30" w:type="dxa"/>
              <w:left w:w="45" w:type="dxa"/>
              <w:bottom w:w="30" w:type="dxa"/>
              <w:right w:w="45" w:type="dxa"/>
            </w:tcMar>
            <w:vAlign w:val="center"/>
            <w:hideMark/>
          </w:tcPr>
          <w:p w14:paraId="083005E7" w14:textId="77777777" w:rsidR="00631B6F" w:rsidRPr="00631B6F" w:rsidRDefault="00631B6F" w:rsidP="00AA4BBB">
            <w:pPr>
              <w:jc w:val="center"/>
              <w:rPr>
                <w:rFonts w:cs="Arial"/>
                <w:sz w:val="20"/>
                <w:szCs w:val="20"/>
              </w:rPr>
            </w:pPr>
            <w:r w:rsidRPr="00631B6F">
              <w:rPr>
                <w:rFonts w:cs="Arial"/>
                <w:sz w:val="20"/>
                <w:szCs w:val="20"/>
              </w:rPr>
              <w:t>1.300.000</w:t>
            </w:r>
          </w:p>
        </w:tc>
        <w:tc>
          <w:tcPr>
            <w:tcW w:w="797" w:type="pct"/>
            <w:tcMar>
              <w:top w:w="30" w:type="dxa"/>
              <w:left w:w="45" w:type="dxa"/>
              <w:bottom w:w="30" w:type="dxa"/>
              <w:right w:w="45" w:type="dxa"/>
            </w:tcMar>
            <w:vAlign w:val="center"/>
            <w:hideMark/>
          </w:tcPr>
          <w:p w14:paraId="355F113C" w14:textId="77777777" w:rsidR="00631B6F" w:rsidRPr="00631B6F" w:rsidRDefault="00631B6F" w:rsidP="00AA4BBB">
            <w:pPr>
              <w:jc w:val="center"/>
              <w:rPr>
                <w:rFonts w:cs="Arial"/>
                <w:sz w:val="20"/>
                <w:szCs w:val="20"/>
              </w:rPr>
            </w:pPr>
            <w:r w:rsidRPr="00631B6F">
              <w:rPr>
                <w:rFonts w:cs="Arial"/>
                <w:sz w:val="20"/>
                <w:szCs w:val="20"/>
              </w:rPr>
              <w:t>1.300.000</w:t>
            </w:r>
          </w:p>
        </w:tc>
        <w:tc>
          <w:tcPr>
            <w:tcW w:w="869" w:type="pct"/>
            <w:vMerge w:val="restart"/>
            <w:tcMar>
              <w:top w:w="30" w:type="dxa"/>
              <w:left w:w="45" w:type="dxa"/>
              <w:bottom w:w="30" w:type="dxa"/>
              <w:right w:w="45" w:type="dxa"/>
            </w:tcMar>
            <w:vAlign w:val="center"/>
            <w:hideMark/>
          </w:tcPr>
          <w:p w14:paraId="1B250BFB" w14:textId="77777777" w:rsidR="00631B6F" w:rsidRPr="00631B6F" w:rsidRDefault="00631B6F" w:rsidP="00AA4BBB">
            <w:pPr>
              <w:jc w:val="center"/>
              <w:rPr>
                <w:rFonts w:cs="Arial"/>
                <w:b/>
                <w:bCs/>
                <w:sz w:val="20"/>
                <w:szCs w:val="20"/>
              </w:rPr>
            </w:pPr>
            <w:r w:rsidRPr="00631B6F">
              <w:rPr>
                <w:rFonts w:cs="Arial"/>
                <w:b/>
                <w:bCs/>
                <w:sz w:val="20"/>
                <w:szCs w:val="20"/>
              </w:rPr>
              <w:t>1.968.089.604.095</w:t>
            </w:r>
          </w:p>
        </w:tc>
      </w:tr>
      <w:tr w:rsidR="00631B6F" w:rsidRPr="00631B6F" w14:paraId="704E6E76" w14:textId="77777777" w:rsidTr="00631B6F">
        <w:tc>
          <w:tcPr>
            <w:tcW w:w="990" w:type="pct"/>
            <w:vMerge/>
            <w:vAlign w:val="center"/>
            <w:hideMark/>
          </w:tcPr>
          <w:p w14:paraId="55E31123" w14:textId="77777777" w:rsidR="00631B6F" w:rsidRPr="00631B6F" w:rsidRDefault="00631B6F" w:rsidP="00AA4BBB">
            <w:pPr>
              <w:rPr>
                <w:rFonts w:cs="Arial"/>
                <w:sz w:val="20"/>
                <w:szCs w:val="20"/>
              </w:rPr>
            </w:pPr>
          </w:p>
        </w:tc>
        <w:tc>
          <w:tcPr>
            <w:tcW w:w="785" w:type="pct"/>
            <w:tcMar>
              <w:top w:w="30" w:type="dxa"/>
              <w:left w:w="45" w:type="dxa"/>
              <w:bottom w:w="30" w:type="dxa"/>
              <w:right w:w="45" w:type="dxa"/>
            </w:tcMar>
            <w:vAlign w:val="center"/>
            <w:hideMark/>
          </w:tcPr>
          <w:p w14:paraId="03155EBC" w14:textId="77777777" w:rsidR="00631B6F" w:rsidRPr="00631B6F" w:rsidRDefault="00631B6F" w:rsidP="00AA4BBB">
            <w:pPr>
              <w:jc w:val="center"/>
              <w:rPr>
                <w:rFonts w:cs="Arial"/>
                <w:sz w:val="20"/>
                <w:szCs w:val="20"/>
              </w:rPr>
            </w:pPr>
            <w:r w:rsidRPr="00631B6F">
              <w:rPr>
                <w:rFonts w:cs="Arial"/>
                <w:sz w:val="20"/>
                <w:szCs w:val="20"/>
              </w:rPr>
              <w:t>471.282.000.000</w:t>
            </w:r>
          </w:p>
        </w:tc>
        <w:tc>
          <w:tcPr>
            <w:tcW w:w="779" w:type="pct"/>
            <w:tcMar>
              <w:top w:w="30" w:type="dxa"/>
              <w:left w:w="45" w:type="dxa"/>
              <w:bottom w:w="30" w:type="dxa"/>
              <w:right w:w="45" w:type="dxa"/>
            </w:tcMar>
            <w:vAlign w:val="center"/>
            <w:hideMark/>
          </w:tcPr>
          <w:p w14:paraId="65DFFECD" w14:textId="77777777" w:rsidR="00631B6F" w:rsidRPr="00631B6F" w:rsidRDefault="00631B6F" w:rsidP="00AA4BBB">
            <w:pPr>
              <w:jc w:val="center"/>
              <w:rPr>
                <w:rFonts w:cs="Arial"/>
                <w:sz w:val="20"/>
                <w:szCs w:val="20"/>
              </w:rPr>
            </w:pPr>
            <w:r w:rsidRPr="00631B6F">
              <w:rPr>
                <w:rFonts w:cs="Arial"/>
                <w:sz w:val="20"/>
                <w:szCs w:val="20"/>
              </w:rPr>
              <w:t>483.681.553.398</w:t>
            </w:r>
          </w:p>
        </w:tc>
        <w:tc>
          <w:tcPr>
            <w:tcW w:w="780" w:type="pct"/>
            <w:tcMar>
              <w:top w:w="30" w:type="dxa"/>
              <w:left w:w="45" w:type="dxa"/>
              <w:bottom w:w="30" w:type="dxa"/>
              <w:right w:w="45" w:type="dxa"/>
            </w:tcMar>
            <w:vAlign w:val="center"/>
            <w:hideMark/>
          </w:tcPr>
          <w:p w14:paraId="5D3EFAA1" w14:textId="77777777" w:rsidR="00631B6F" w:rsidRPr="00631B6F" w:rsidRDefault="00631B6F" w:rsidP="00AA4BBB">
            <w:pPr>
              <w:jc w:val="center"/>
              <w:rPr>
                <w:rFonts w:cs="Arial"/>
                <w:sz w:val="20"/>
                <w:szCs w:val="20"/>
              </w:rPr>
            </w:pPr>
            <w:r w:rsidRPr="00631B6F">
              <w:rPr>
                <w:rFonts w:cs="Arial"/>
                <w:sz w:val="20"/>
                <w:szCs w:val="20"/>
              </w:rPr>
              <w:t>503.037.986.615</w:t>
            </w:r>
          </w:p>
        </w:tc>
        <w:tc>
          <w:tcPr>
            <w:tcW w:w="797" w:type="pct"/>
            <w:tcMar>
              <w:top w:w="30" w:type="dxa"/>
              <w:left w:w="45" w:type="dxa"/>
              <w:bottom w:w="30" w:type="dxa"/>
              <w:right w:w="45" w:type="dxa"/>
            </w:tcMar>
            <w:vAlign w:val="center"/>
            <w:hideMark/>
          </w:tcPr>
          <w:p w14:paraId="5421E281" w14:textId="77777777" w:rsidR="00631B6F" w:rsidRPr="00631B6F" w:rsidRDefault="00631B6F" w:rsidP="00AA4BBB">
            <w:pPr>
              <w:jc w:val="center"/>
              <w:rPr>
                <w:rFonts w:cs="Arial"/>
                <w:sz w:val="20"/>
                <w:szCs w:val="20"/>
              </w:rPr>
            </w:pPr>
            <w:r w:rsidRPr="00631B6F">
              <w:rPr>
                <w:rFonts w:cs="Arial"/>
                <w:sz w:val="20"/>
                <w:szCs w:val="20"/>
              </w:rPr>
              <w:t>510.088.064.082</w:t>
            </w:r>
          </w:p>
        </w:tc>
        <w:tc>
          <w:tcPr>
            <w:tcW w:w="869" w:type="pct"/>
            <w:vMerge/>
            <w:vAlign w:val="center"/>
            <w:hideMark/>
          </w:tcPr>
          <w:p w14:paraId="32FB5DE8" w14:textId="77777777" w:rsidR="00631B6F" w:rsidRPr="00631B6F" w:rsidRDefault="00631B6F" w:rsidP="00AA4BBB">
            <w:pPr>
              <w:rPr>
                <w:rFonts w:cs="Arial"/>
                <w:b/>
                <w:bCs/>
                <w:sz w:val="20"/>
                <w:szCs w:val="20"/>
              </w:rPr>
            </w:pPr>
          </w:p>
        </w:tc>
      </w:tr>
      <w:tr w:rsidR="00631B6F" w:rsidRPr="00631B6F" w14:paraId="72F7D04D" w14:textId="77777777" w:rsidTr="00631B6F">
        <w:tc>
          <w:tcPr>
            <w:tcW w:w="990" w:type="pct"/>
            <w:vMerge w:val="restart"/>
            <w:tcMar>
              <w:top w:w="30" w:type="dxa"/>
              <w:left w:w="45" w:type="dxa"/>
              <w:bottom w:w="30" w:type="dxa"/>
              <w:right w:w="45" w:type="dxa"/>
            </w:tcMar>
            <w:vAlign w:val="center"/>
            <w:hideMark/>
          </w:tcPr>
          <w:p w14:paraId="0BF09543" w14:textId="77777777" w:rsidR="00631B6F" w:rsidRPr="00631B6F" w:rsidRDefault="00631B6F" w:rsidP="00AA4BBB">
            <w:pPr>
              <w:rPr>
                <w:rFonts w:cs="Arial"/>
                <w:sz w:val="20"/>
                <w:szCs w:val="20"/>
              </w:rPr>
            </w:pPr>
            <w:r w:rsidRPr="00631B6F">
              <w:rPr>
                <w:rFonts w:cs="Arial"/>
                <w:sz w:val="20"/>
                <w:szCs w:val="20"/>
              </w:rPr>
              <w:t>Beneficiar 40.000 jóvenes con transferencias monetarias condicionadas con enfoque diferencial y de género en el marco de una ruta de inclusión productiva.</w:t>
            </w:r>
          </w:p>
        </w:tc>
        <w:tc>
          <w:tcPr>
            <w:tcW w:w="785" w:type="pct"/>
            <w:tcMar>
              <w:top w:w="30" w:type="dxa"/>
              <w:left w:w="45" w:type="dxa"/>
              <w:bottom w:w="30" w:type="dxa"/>
              <w:right w:w="45" w:type="dxa"/>
            </w:tcMar>
            <w:vAlign w:val="center"/>
            <w:hideMark/>
          </w:tcPr>
          <w:p w14:paraId="279AF080" w14:textId="77777777" w:rsidR="00631B6F" w:rsidRPr="00631B6F" w:rsidRDefault="00631B6F" w:rsidP="00AA4BBB">
            <w:pPr>
              <w:jc w:val="center"/>
              <w:rPr>
                <w:rFonts w:cs="Arial"/>
                <w:sz w:val="20"/>
                <w:szCs w:val="20"/>
              </w:rPr>
            </w:pPr>
            <w:r w:rsidRPr="00631B6F">
              <w:rPr>
                <w:rFonts w:cs="Arial"/>
                <w:sz w:val="20"/>
                <w:szCs w:val="20"/>
              </w:rPr>
              <w:t>2.000</w:t>
            </w:r>
          </w:p>
        </w:tc>
        <w:tc>
          <w:tcPr>
            <w:tcW w:w="779" w:type="pct"/>
            <w:tcMar>
              <w:top w:w="30" w:type="dxa"/>
              <w:left w:w="45" w:type="dxa"/>
              <w:bottom w:w="30" w:type="dxa"/>
              <w:right w:w="45" w:type="dxa"/>
            </w:tcMar>
            <w:vAlign w:val="center"/>
            <w:hideMark/>
          </w:tcPr>
          <w:p w14:paraId="7E092B13" w14:textId="77777777" w:rsidR="00631B6F" w:rsidRPr="00631B6F" w:rsidRDefault="00631B6F" w:rsidP="00AA4BBB">
            <w:pPr>
              <w:jc w:val="center"/>
              <w:rPr>
                <w:rFonts w:cs="Arial"/>
                <w:sz w:val="20"/>
                <w:szCs w:val="20"/>
              </w:rPr>
            </w:pPr>
            <w:r w:rsidRPr="00631B6F">
              <w:rPr>
                <w:rFonts w:cs="Arial"/>
                <w:sz w:val="20"/>
                <w:szCs w:val="20"/>
              </w:rPr>
              <w:t>17.000</w:t>
            </w:r>
          </w:p>
        </w:tc>
        <w:tc>
          <w:tcPr>
            <w:tcW w:w="780" w:type="pct"/>
            <w:tcMar>
              <w:top w:w="30" w:type="dxa"/>
              <w:left w:w="45" w:type="dxa"/>
              <w:bottom w:w="30" w:type="dxa"/>
              <w:right w:w="45" w:type="dxa"/>
            </w:tcMar>
            <w:vAlign w:val="center"/>
            <w:hideMark/>
          </w:tcPr>
          <w:p w14:paraId="40C66A2B" w14:textId="77777777" w:rsidR="00631B6F" w:rsidRPr="00631B6F" w:rsidRDefault="00631B6F" w:rsidP="00AA4BBB">
            <w:pPr>
              <w:jc w:val="center"/>
              <w:rPr>
                <w:rFonts w:cs="Arial"/>
                <w:sz w:val="20"/>
                <w:szCs w:val="20"/>
              </w:rPr>
            </w:pPr>
            <w:r w:rsidRPr="00631B6F">
              <w:rPr>
                <w:rFonts w:cs="Arial"/>
                <w:sz w:val="20"/>
                <w:szCs w:val="20"/>
              </w:rPr>
              <w:t>12.000</w:t>
            </w:r>
          </w:p>
        </w:tc>
        <w:tc>
          <w:tcPr>
            <w:tcW w:w="797" w:type="pct"/>
            <w:tcMar>
              <w:top w:w="30" w:type="dxa"/>
              <w:left w:w="45" w:type="dxa"/>
              <w:bottom w:w="30" w:type="dxa"/>
              <w:right w:w="45" w:type="dxa"/>
            </w:tcMar>
            <w:vAlign w:val="center"/>
            <w:hideMark/>
          </w:tcPr>
          <w:p w14:paraId="16E3CD9D" w14:textId="77777777" w:rsidR="00631B6F" w:rsidRPr="00631B6F" w:rsidRDefault="00631B6F" w:rsidP="00AA4BBB">
            <w:pPr>
              <w:jc w:val="center"/>
              <w:rPr>
                <w:rFonts w:cs="Arial"/>
                <w:sz w:val="20"/>
                <w:szCs w:val="20"/>
              </w:rPr>
            </w:pPr>
            <w:r w:rsidRPr="00631B6F">
              <w:rPr>
                <w:rFonts w:cs="Arial"/>
                <w:sz w:val="20"/>
                <w:szCs w:val="20"/>
              </w:rPr>
              <w:t>9.000</w:t>
            </w:r>
          </w:p>
        </w:tc>
        <w:tc>
          <w:tcPr>
            <w:tcW w:w="869" w:type="pct"/>
            <w:vMerge w:val="restart"/>
            <w:tcMar>
              <w:top w:w="30" w:type="dxa"/>
              <w:left w:w="45" w:type="dxa"/>
              <w:bottom w:w="30" w:type="dxa"/>
              <w:right w:w="45" w:type="dxa"/>
            </w:tcMar>
            <w:vAlign w:val="center"/>
            <w:hideMark/>
          </w:tcPr>
          <w:p w14:paraId="3C53B948" w14:textId="77777777" w:rsidR="00631B6F" w:rsidRPr="00631B6F" w:rsidRDefault="00631B6F" w:rsidP="00AA4BBB">
            <w:pPr>
              <w:jc w:val="center"/>
              <w:rPr>
                <w:rFonts w:cs="Arial"/>
                <w:b/>
                <w:bCs/>
                <w:sz w:val="20"/>
                <w:szCs w:val="20"/>
              </w:rPr>
            </w:pPr>
            <w:r w:rsidRPr="00631B6F">
              <w:rPr>
                <w:rFonts w:cs="Arial"/>
                <w:b/>
                <w:bCs/>
                <w:sz w:val="20"/>
                <w:szCs w:val="20"/>
              </w:rPr>
              <w:t>12.527.561.687</w:t>
            </w:r>
          </w:p>
        </w:tc>
      </w:tr>
      <w:tr w:rsidR="00631B6F" w:rsidRPr="00631B6F" w14:paraId="2F067677" w14:textId="77777777" w:rsidTr="00055E1E">
        <w:tc>
          <w:tcPr>
            <w:tcW w:w="990" w:type="pct"/>
            <w:vMerge/>
            <w:tcBorders>
              <w:bottom w:val="double" w:sz="4" w:space="0" w:color="C00000"/>
            </w:tcBorders>
            <w:vAlign w:val="center"/>
            <w:hideMark/>
          </w:tcPr>
          <w:p w14:paraId="27FF0F50" w14:textId="77777777" w:rsidR="00631B6F" w:rsidRPr="00631B6F" w:rsidRDefault="00631B6F" w:rsidP="00AA4BBB">
            <w:pPr>
              <w:rPr>
                <w:rFonts w:cs="Arial"/>
                <w:sz w:val="20"/>
                <w:szCs w:val="20"/>
              </w:rPr>
            </w:pPr>
          </w:p>
        </w:tc>
        <w:tc>
          <w:tcPr>
            <w:tcW w:w="785" w:type="pct"/>
            <w:tcBorders>
              <w:bottom w:val="double" w:sz="4" w:space="0" w:color="C00000"/>
            </w:tcBorders>
            <w:tcMar>
              <w:top w:w="30" w:type="dxa"/>
              <w:left w:w="45" w:type="dxa"/>
              <w:bottom w:w="30" w:type="dxa"/>
              <w:right w:w="45" w:type="dxa"/>
            </w:tcMar>
            <w:vAlign w:val="center"/>
            <w:hideMark/>
          </w:tcPr>
          <w:p w14:paraId="7EFB34EB" w14:textId="77777777" w:rsidR="00631B6F" w:rsidRPr="00631B6F" w:rsidRDefault="00631B6F" w:rsidP="00AA4BBB">
            <w:pPr>
              <w:jc w:val="center"/>
              <w:rPr>
                <w:rFonts w:cs="Arial"/>
                <w:sz w:val="20"/>
                <w:szCs w:val="20"/>
              </w:rPr>
            </w:pPr>
            <w:r w:rsidRPr="00631B6F">
              <w:rPr>
                <w:rFonts w:cs="Arial"/>
                <w:sz w:val="20"/>
                <w:szCs w:val="20"/>
              </w:rPr>
              <w:t>3.000.000.000</w:t>
            </w:r>
          </w:p>
        </w:tc>
        <w:tc>
          <w:tcPr>
            <w:tcW w:w="779" w:type="pct"/>
            <w:tcBorders>
              <w:bottom w:val="double" w:sz="4" w:space="0" w:color="C00000"/>
            </w:tcBorders>
            <w:tcMar>
              <w:top w:w="30" w:type="dxa"/>
              <w:left w:w="45" w:type="dxa"/>
              <w:bottom w:w="30" w:type="dxa"/>
              <w:right w:w="45" w:type="dxa"/>
            </w:tcMar>
            <w:vAlign w:val="center"/>
            <w:hideMark/>
          </w:tcPr>
          <w:p w14:paraId="062A18CE" w14:textId="77777777" w:rsidR="00631B6F" w:rsidRPr="00631B6F" w:rsidRDefault="00631B6F" w:rsidP="00AA4BBB">
            <w:pPr>
              <w:jc w:val="center"/>
              <w:rPr>
                <w:rFonts w:cs="Arial"/>
                <w:sz w:val="20"/>
                <w:szCs w:val="20"/>
              </w:rPr>
            </w:pPr>
            <w:r w:rsidRPr="00631B6F">
              <w:rPr>
                <w:rFonts w:cs="Arial"/>
                <w:sz w:val="20"/>
                <w:szCs w:val="20"/>
              </w:rPr>
              <w:t>3.078.640.777</w:t>
            </w:r>
          </w:p>
        </w:tc>
        <w:tc>
          <w:tcPr>
            <w:tcW w:w="780" w:type="pct"/>
            <w:tcBorders>
              <w:bottom w:val="double" w:sz="4" w:space="0" w:color="C00000"/>
            </w:tcBorders>
            <w:tcMar>
              <w:top w:w="30" w:type="dxa"/>
              <w:left w:w="45" w:type="dxa"/>
              <w:bottom w:w="30" w:type="dxa"/>
              <w:right w:w="45" w:type="dxa"/>
            </w:tcMar>
            <w:vAlign w:val="center"/>
            <w:hideMark/>
          </w:tcPr>
          <w:p w14:paraId="18064D03" w14:textId="77777777" w:rsidR="00631B6F" w:rsidRPr="00631B6F" w:rsidRDefault="00631B6F" w:rsidP="00AA4BBB">
            <w:pPr>
              <w:jc w:val="center"/>
              <w:rPr>
                <w:rFonts w:cs="Arial"/>
                <w:sz w:val="20"/>
                <w:szCs w:val="20"/>
              </w:rPr>
            </w:pPr>
            <w:r w:rsidRPr="00631B6F">
              <w:rPr>
                <w:rFonts w:cs="Arial"/>
                <w:sz w:val="20"/>
                <w:szCs w:val="20"/>
              </w:rPr>
              <w:t>3.201.998.303</w:t>
            </w:r>
          </w:p>
        </w:tc>
        <w:tc>
          <w:tcPr>
            <w:tcW w:w="797" w:type="pct"/>
            <w:tcBorders>
              <w:bottom w:val="double" w:sz="4" w:space="0" w:color="C00000"/>
            </w:tcBorders>
            <w:tcMar>
              <w:top w:w="30" w:type="dxa"/>
              <w:left w:w="45" w:type="dxa"/>
              <w:bottom w:w="30" w:type="dxa"/>
              <w:right w:w="45" w:type="dxa"/>
            </w:tcMar>
            <w:vAlign w:val="center"/>
            <w:hideMark/>
          </w:tcPr>
          <w:p w14:paraId="44C52C14" w14:textId="77777777" w:rsidR="00631B6F" w:rsidRPr="00631B6F" w:rsidRDefault="00631B6F" w:rsidP="00AA4BBB">
            <w:pPr>
              <w:jc w:val="center"/>
              <w:rPr>
                <w:rFonts w:cs="Arial"/>
                <w:sz w:val="20"/>
                <w:szCs w:val="20"/>
              </w:rPr>
            </w:pPr>
            <w:r w:rsidRPr="00631B6F">
              <w:rPr>
                <w:rFonts w:cs="Arial"/>
                <w:sz w:val="20"/>
                <w:szCs w:val="20"/>
              </w:rPr>
              <w:t>3.246.922.607</w:t>
            </w:r>
          </w:p>
        </w:tc>
        <w:tc>
          <w:tcPr>
            <w:tcW w:w="869" w:type="pct"/>
            <w:vMerge/>
            <w:tcBorders>
              <w:bottom w:val="double" w:sz="4" w:space="0" w:color="C00000"/>
            </w:tcBorders>
            <w:vAlign w:val="center"/>
            <w:hideMark/>
          </w:tcPr>
          <w:p w14:paraId="5B38D9C0" w14:textId="77777777" w:rsidR="00631B6F" w:rsidRPr="00631B6F" w:rsidRDefault="00631B6F" w:rsidP="00AA4BBB">
            <w:pPr>
              <w:rPr>
                <w:rFonts w:cs="Arial"/>
                <w:b/>
                <w:bCs/>
                <w:sz w:val="20"/>
                <w:szCs w:val="20"/>
              </w:rPr>
            </w:pPr>
          </w:p>
        </w:tc>
      </w:tr>
    </w:tbl>
    <w:p w14:paraId="4704112B" w14:textId="77777777" w:rsidR="000570BB" w:rsidRDefault="000570BB" w:rsidP="00631B6F">
      <w:pPr>
        <w:rPr>
          <w:b/>
          <w:bCs/>
          <w:iCs/>
          <w:color w:val="C00000"/>
          <w:sz w:val="28"/>
          <w:szCs w:val="28"/>
        </w:rPr>
      </w:pPr>
      <w:r>
        <w:rPr>
          <w:b/>
          <w:bCs/>
          <w:iCs/>
          <w:color w:val="C00000"/>
          <w:sz w:val="28"/>
          <w:szCs w:val="28"/>
        </w:rPr>
        <w:br w:type="page"/>
      </w:r>
    </w:p>
    <w:p w14:paraId="50F85067" w14:textId="16C776D6" w:rsidR="00B14E38" w:rsidRDefault="00B14E38" w:rsidP="00040A55">
      <w:pPr>
        <w:pStyle w:val="NIVEL4"/>
        <w:spacing w:after="240"/>
      </w:pPr>
      <w:bookmarkStart w:id="251" w:name="_Toc165169767"/>
      <w:r w:rsidRPr="008F0BEE">
        <w:rPr>
          <w:color w:val="C00000"/>
        </w:rPr>
        <w:lastRenderedPageBreak/>
        <w:t>Programa 8</w:t>
      </w:r>
      <w:r w:rsidR="00040A55">
        <w:rPr>
          <w:color w:val="C00000"/>
        </w:rPr>
        <w:t xml:space="preserve">: </w:t>
      </w:r>
      <w:r w:rsidRPr="00775A46">
        <w:t>Erradicación del hambre en Bogotá</w:t>
      </w:r>
      <w:bookmarkEnd w:id="251"/>
    </w:p>
    <w:p w14:paraId="3A7DE49F" w14:textId="77777777" w:rsidR="002A6C45" w:rsidRPr="002A6C45" w:rsidRDefault="002A6C45" w:rsidP="002A6C45">
      <w:pPr>
        <w:pStyle w:val="Prrafodelista"/>
        <w:ind w:left="840"/>
        <w:rPr>
          <w:lang w:eastAsia="en-US"/>
        </w:rPr>
      </w:pPr>
    </w:p>
    <w:p w14:paraId="61316039" w14:textId="3F7487A0" w:rsidR="00B14E38" w:rsidRPr="00714235" w:rsidRDefault="00B14E38" w:rsidP="00714235">
      <w:pPr>
        <w:ind w:firstLine="708"/>
        <w:rPr>
          <w:b/>
          <w:bCs/>
          <w:sz w:val="24"/>
        </w:rPr>
      </w:pPr>
      <w:r w:rsidRPr="00714235">
        <w:rPr>
          <w:b/>
          <w:bCs/>
          <w:sz w:val="24"/>
        </w:rPr>
        <w:t>Diagnóstico</w:t>
      </w:r>
    </w:p>
    <w:p w14:paraId="3E455E9F"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3D70C47D" w14:textId="77777777" w:rsidR="00055E1E" w:rsidRDefault="00055E1E" w:rsidP="00055E1E">
      <w:r>
        <w:t>La posibilidad de conseguir la cantidad de alimentos que conforman una canasta básica nutricional está directamente relacionada con el acceso a una fuente de ingresos que permita adquirir el mínimo calórico diario para una persona. En este sentido, la medición de pobreza monetaria extrema, que para 2002 se ubicó en el 8,1</w:t>
      </w:r>
      <w:r>
        <w:rPr>
          <w:rFonts w:ascii="Arial" w:hAnsi="Arial" w:cs="Arial"/>
        </w:rPr>
        <w:t> </w:t>
      </w:r>
      <w:r>
        <w:t>%, es reflejo de las dificultades que enfrentan al menos 639.000 personas en Bogot</w:t>
      </w:r>
      <w:r>
        <w:rPr>
          <w:rFonts w:cs="Candara"/>
        </w:rPr>
        <w:t>á</w:t>
      </w:r>
      <w:r>
        <w:t xml:space="preserve"> para contar con una alimentaci</w:t>
      </w:r>
      <w:r>
        <w:rPr>
          <w:rFonts w:cs="Candara"/>
        </w:rPr>
        <w:t>ó</w:t>
      </w:r>
      <w:r>
        <w:t>n que cubra dicha necesidad. Esto es, vivir con menos de 246.192 pesos mensuales.</w:t>
      </w:r>
    </w:p>
    <w:p w14:paraId="2A2EC5F4" w14:textId="77777777" w:rsidR="00055E1E" w:rsidRDefault="00055E1E" w:rsidP="00055E1E"/>
    <w:p w14:paraId="5F6CF39C" w14:textId="77777777" w:rsidR="00055E1E" w:rsidRDefault="00055E1E" w:rsidP="00055E1E">
      <w:r>
        <w:t>Complementariamente, la prevalencia de inseguridad alimentaria grave para 2022 fue del 4,1</w:t>
      </w:r>
      <w:r>
        <w:rPr>
          <w:rFonts w:ascii="Arial" w:hAnsi="Arial" w:cs="Arial"/>
        </w:rPr>
        <w:t> </w:t>
      </w:r>
      <w:r>
        <w:t>% de los hogares evaluados en la Encuesta de Calidad de Vida (ECV), quienes vieron afectado el acceso a tres comidas diarias o a su equivalente nutricional (DANE, 2023). Esto implica que cerca de 321.000 personas pasaron hambre en Bogot</w:t>
      </w:r>
      <w:r>
        <w:rPr>
          <w:rFonts w:cs="Candara"/>
        </w:rPr>
        <w:t>á</w:t>
      </w:r>
      <w:r>
        <w:t xml:space="preserve"> durante ese a</w:t>
      </w:r>
      <w:r>
        <w:rPr>
          <w:rFonts w:cs="Candara"/>
        </w:rPr>
        <w:t>ñ</w:t>
      </w:r>
      <w:r>
        <w:t xml:space="preserve">o. </w:t>
      </w:r>
    </w:p>
    <w:p w14:paraId="71CA9CEF" w14:textId="77777777" w:rsidR="00055E1E" w:rsidRDefault="00055E1E" w:rsidP="00055E1E"/>
    <w:p w14:paraId="04F360EF" w14:textId="77777777" w:rsidR="00055E1E" w:rsidRDefault="00055E1E" w:rsidP="00055E1E">
      <w:r>
        <w:t>Una situación menos apremiante, pero que requiere similar atención por parte del Distrito, se presentó en 2022, tanto en hogares que registraron inseguridad alimentaria moderada —problema que impactó negativamente al 25,4</w:t>
      </w:r>
      <w:r>
        <w:rPr>
          <w:rFonts w:ascii="Arial" w:hAnsi="Arial" w:cs="Arial"/>
        </w:rPr>
        <w:t> </w:t>
      </w:r>
      <w:r>
        <w:t xml:space="preserve">% </w:t>
      </w:r>
      <w:r>
        <w:t>de los hogares encuestados por la ECV</w:t>
      </w:r>
      <w:r>
        <w:rPr>
          <w:rFonts w:cs="Candara"/>
        </w:rPr>
        <w:t>—</w:t>
      </w:r>
      <w:r>
        <w:t xml:space="preserve"> como para quienes viv</w:t>
      </w:r>
      <w:r>
        <w:rPr>
          <w:rFonts w:cs="Candara"/>
        </w:rPr>
        <w:t>í</w:t>
      </w:r>
      <w:r>
        <w:t>an en pobreza moderada y enfrentaban limitantes para cubrir gastos de alimentaci</w:t>
      </w:r>
      <w:r>
        <w:rPr>
          <w:rFonts w:cs="Candara"/>
        </w:rPr>
        <w:t>ó</w:t>
      </w:r>
      <w:r>
        <w:t xml:space="preserve">n, vivienda y otros bienes de primera necesidad (2.209.957 personas cuyo ingreso fue de menos de 536.108 pesos mensuales). </w:t>
      </w:r>
    </w:p>
    <w:p w14:paraId="07DA57B7" w14:textId="77777777" w:rsidR="00055E1E" w:rsidRDefault="00055E1E" w:rsidP="00055E1E"/>
    <w:p w14:paraId="5E63C55F" w14:textId="77777777" w:rsidR="00055E1E" w:rsidRDefault="00055E1E" w:rsidP="00055E1E">
      <w:r>
        <w:t>Las causas de estas dinámicas son varias. Entre ellas se destacan: 1) falta de ingresos corrientes en los hogares para cubrir el costo de una canasta básica de bienes (alimentarios y no alimentarios); 2) inflación, bajo crecimiento y desigualdad; 3) Incumplimiento de parámetros normativos asociados a la inocuidad y valor nutricional de los alimentos; 4) inadecuados hábitos alimentarios; 5) insuficiencia de la oferta pública y privada y relocalización de hogares pobres y en inseguridad alimentaria; 6) impacto del cambio climático y transición energética, y 7) barreras en el sistema de abastecimiento agroalimentario de Bogotá en su contexto regional.</w:t>
      </w:r>
    </w:p>
    <w:p w14:paraId="3497A8B3" w14:textId="77777777" w:rsidR="00055E1E" w:rsidRDefault="00055E1E" w:rsidP="00055E1E"/>
    <w:p w14:paraId="6AB84C5E" w14:textId="768DD691" w:rsidR="00B14E38" w:rsidRPr="00B944E8" w:rsidRDefault="00055E1E" w:rsidP="00055E1E">
      <w:r>
        <w:t>En la última causa mencionada, se debe tener en cuenta que Bogotá depende por completo de fuentes externas para asegurar la disponibilidad de alimentos para la totalidad de la población</w:t>
      </w:r>
      <w:r w:rsidR="00B14E38" w:rsidRPr="00B944E8">
        <w:t>.</w:t>
      </w:r>
    </w:p>
    <w:p w14:paraId="3B569AAD"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7F41CD48" w14:textId="77777777" w:rsidR="009D7E25" w:rsidRDefault="009D7E25" w:rsidP="009D7E25">
      <w:pPr>
        <w:pStyle w:val="figuratitulo"/>
        <w:jc w:val="both"/>
        <w:rPr>
          <w:b/>
          <w:bCs/>
        </w:rPr>
      </w:pPr>
      <w:bookmarkStart w:id="252" w:name="_heading=h.2fk6b3p" w:colFirst="0" w:colLast="0"/>
      <w:bookmarkEnd w:id="252"/>
    </w:p>
    <w:p w14:paraId="68BD2116" w14:textId="38F462A8" w:rsidR="00B14E38" w:rsidRPr="00B22694" w:rsidRDefault="00B22694" w:rsidP="00B22694">
      <w:pPr>
        <w:pStyle w:val="Descripcin"/>
        <w:jc w:val="center"/>
        <w:rPr>
          <w:sz w:val="18"/>
        </w:rPr>
      </w:pPr>
      <w:bookmarkStart w:id="253" w:name="_Toc165169862"/>
      <w:r w:rsidRPr="00B22694">
        <w:rPr>
          <w:color w:val="C00000"/>
          <w:sz w:val="18"/>
        </w:rPr>
        <w:t xml:space="preserve">Gráfica </w:t>
      </w:r>
      <w:r w:rsidRPr="00B22694">
        <w:rPr>
          <w:color w:val="C00000"/>
          <w:sz w:val="18"/>
        </w:rPr>
        <w:fldChar w:fldCharType="begin"/>
      </w:r>
      <w:r w:rsidRPr="00B22694">
        <w:rPr>
          <w:color w:val="C00000"/>
          <w:sz w:val="18"/>
        </w:rPr>
        <w:instrText xml:space="preserve"> SEQ Gráfica \* ARABIC </w:instrText>
      </w:r>
      <w:r w:rsidRPr="00B22694">
        <w:rPr>
          <w:color w:val="C00000"/>
          <w:sz w:val="18"/>
        </w:rPr>
        <w:fldChar w:fldCharType="separate"/>
      </w:r>
      <w:r w:rsidR="00D01651">
        <w:rPr>
          <w:noProof/>
          <w:color w:val="C00000"/>
          <w:sz w:val="18"/>
        </w:rPr>
        <w:t>36</w:t>
      </w:r>
      <w:r w:rsidRPr="00B22694">
        <w:rPr>
          <w:color w:val="C00000"/>
          <w:sz w:val="18"/>
        </w:rPr>
        <w:fldChar w:fldCharType="end"/>
      </w:r>
      <w:r w:rsidRPr="00B22694">
        <w:rPr>
          <w:color w:val="C00000"/>
          <w:sz w:val="18"/>
        </w:rPr>
        <w:t xml:space="preserve">. </w:t>
      </w:r>
      <w:r w:rsidR="00B14E38" w:rsidRPr="00B22694">
        <w:rPr>
          <w:sz w:val="18"/>
        </w:rPr>
        <w:t>Prevalencia de la inseguridad alimentaria grave en 2022 (porcentaje de personas)</w:t>
      </w:r>
      <w:bookmarkEnd w:id="253"/>
    </w:p>
    <w:p w14:paraId="09EC5A95" w14:textId="4A021129" w:rsidR="009D7E25" w:rsidRDefault="00055E1E" w:rsidP="009D7E25">
      <w:pPr>
        <w:spacing w:line="480" w:lineRule="auto"/>
        <w:jc w:val="center"/>
        <w:rPr>
          <w:b/>
          <w:bCs/>
        </w:rPr>
      </w:pPr>
      <w:bookmarkStart w:id="254" w:name="_heading=h.580dceg3qw26" w:colFirst="0" w:colLast="0"/>
      <w:bookmarkEnd w:id="254"/>
      <w:r w:rsidRPr="00B944E8">
        <w:rPr>
          <w:rFonts w:ascii="Times New Roman" w:hAnsi="Times New Roman"/>
          <w:noProof/>
          <w:sz w:val="24"/>
        </w:rPr>
        <w:drawing>
          <wp:inline distT="0" distB="0" distL="0" distR="0" wp14:anchorId="4C593B05" wp14:editId="15B60831">
            <wp:extent cx="4394200" cy="1638300"/>
            <wp:effectExtent l="0" t="0" r="6350" b="0"/>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568C01CF" w14:textId="34BB20F6" w:rsidR="00B14E38" w:rsidRPr="009D7E25" w:rsidRDefault="00B14E38" w:rsidP="009D7E25">
      <w:pPr>
        <w:pStyle w:val="figuratitulo"/>
        <w:rPr>
          <w:rFonts w:ascii="Times New Roman" w:hAnsi="Times New Roman"/>
          <w:color w:val="auto"/>
          <w:sz w:val="24"/>
        </w:rPr>
      </w:pPr>
      <w:r w:rsidRPr="009D7E25">
        <w:rPr>
          <w:b/>
          <w:bCs/>
          <w:color w:val="auto"/>
        </w:rPr>
        <w:t>Fuente:</w:t>
      </w:r>
      <w:r w:rsidRPr="009D7E25">
        <w:rPr>
          <w:color w:val="auto"/>
        </w:rPr>
        <w:t xml:space="preserve"> elaboración propia SDP, con base en ECV (DANE, 2023).</w:t>
      </w:r>
    </w:p>
    <w:p w14:paraId="542E481A" w14:textId="77777777" w:rsidR="00B14E38" w:rsidRPr="009D7E25" w:rsidRDefault="00B14E38" w:rsidP="009D7E25">
      <w:pPr>
        <w:pStyle w:val="figuratitulo"/>
        <w:rPr>
          <w:color w:val="auto"/>
        </w:rPr>
      </w:pPr>
      <w:r w:rsidRPr="009D7E25">
        <w:rPr>
          <w:color w:val="auto"/>
        </w:rPr>
        <w:t>Nota: los datos reportados corresponden a zona de residencia urbana.</w:t>
      </w:r>
    </w:p>
    <w:p w14:paraId="6833AB1F" w14:textId="1D0570C3" w:rsidR="009D7E25" w:rsidRDefault="009D7E25" w:rsidP="00B14E38">
      <w:pPr>
        <w:sectPr w:rsidR="009D7E25" w:rsidSect="00F7078E">
          <w:type w:val="continuous"/>
          <w:pgSz w:w="12240" w:h="15840"/>
          <w:pgMar w:top="2262" w:right="1440" w:bottom="1440" w:left="1440" w:header="708" w:footer="680" w:gutter="0"/>
          <w:cols w:space="720"/>
          <w:docGrid w:linePitch="299"/>
        </w:sectPr>
      </w:pPr>
    </w:p>
    <w:p w14:paraId="1ACA6BA9" w14:textId="77777777" w:rsidR="00B22694" w:rsidRDefault="00B22694" w:rsidP="00B22694">
      <w:r>
        <w:lastRenderedPageBreak/>
        <w:t>En la actualidad, Bogotá proyecta que necesita cerca de 2,7 millones de toneladas anuales de alimentos para cubrir su canasta básica, la cual se suple con el 97,9</w:t>
      </w:r>
      <w:r>
        <w:rPr>
          <w:rFonts w:ascii="Arial" w:hAnsi="Arial" w:cs="Arial"/>
        </w:rPr>
        <w:t> </w:t>
      </w:r>
      <w:r>
        <w:t>% de fuentes externas a la ciudad, y solo el 2</w:t>
      </w:r>
      <w:r>
        <w:rPr>
          <w:rFonts w:ascii="Arial" w:hAnsi="Arial" w:cs="Arial"/>
        </w:rPr>
        <w:t> </w:t>
      </w:r>
      <w:r>
        <w:t>% de fuentes internas, equivalente a 60.000 toneladas (SDDE-RAPE, citado en SDDE, 2020). Esto significa que la ciudad solo cuenta con una soberan</w:t>
      </w:r>
      <w:r>
        <w:rPr>
          <w:rFonts w:cs="Candara"/>
        </w:rPr>
        <w:t>í</w:t>
      </w:r>
      <w:r>
        <w:t>a alimentaria del 2</w:t>
      </w:r>
      <w:r>
        <w:rPr>
          <w:rFonts w:ascii="Arial" w:hAnsi="Arial" w:cs="Arial"/>
        </w:rPr>
        <w:t> </w:t>
      </w:r>
      <w:r>
        <w:t>% de su demanda.</w:t>
      </w:r>
    </w:p>
    <w:p w14:paraId="6291057D" w14:textId="77777777" w:rsidR="00B22694" w:rsidRDefault="00B22694" w:rsidP="00B22694"/>
    <w:p w14:paraId="708C771B" w14:textId="77777777" w:rsidR="00B22694" w:rsidRDefault="00B22694" w:rsidP="00B22694">
      <w:r>
        <w:t>Esta dependencia implica un riesgo para asegurar el acceso a los alimentos en la ciudad; en específico, cuando se han evidenciado barreras en el sistema de abastecimiento agroalimentario de Bogotá en el contexto regional, como: el riesgo de insostenibilidad de la oferta de alimentos de origen agropecuario, la significativa      concentración del abastecimiento en Corabastos y la oferta de productos alimenticios con altos precios, dada su exposición a altos tiempos de movilización en la ciudad, así como la deficiencia de infraestructura vial y la poca garantía de condiciones de calidad de alimentos (SDDE, 2019). Así mismo, el alto volumen de desperdicios de alimentos en poscosecha y transporte: se estima que en Bogotá anualmente se desperdician cerca de 1,2 millones de toneladas de alimentos, y que es el consumidor final quien más aporta a la cifra (DNP, 2016). Por su parte, en 2022, de cerca de 1.600 minoristas —representados por las plazas de mercado, tiendas de barrio, Frutas y verduras (Fruver), carnicerías, panaderías, etc. (unidades de la economía popular)— aproximadamente el 82</w:t>
      </w:r>
      <w:r>
        <w:rPr>
          <w:rFonts w:ascii="Arial" w:hAnsi="Arial" w:cs="Arial"/>
        </w:rPr>
        <w:t> </w:t>
      </w:r>
      <w:r>
        <w:t>% no ten</w:t>
      </w:r>
      <w:r>
        <w:rPr>
          <w:rFonts w:cs="Candara"/>
        </w:rPr>
        <w:t>í</w:t>
      </w:r>
      <w:r>
        <w:t>a establecido un plan de reducci</w:t>
      </w:r>
      <w:r>
        <w:rPr>
          <w:rFonts w:cs="Candara"/>
        </w:rPr>
        <w:t>ó</w:t>
      </w:r>
      <w:r>
        <w:t>n de desperdicios de alimentos (SDDE, 2023).</w:t>
      </w:r>
    </w:p>
    <w:p w14:paraId="57C239D3" w14:textId="77777777" w:rsidR="00B22694" w:rsidRDefault="00B22694" w:rsidP="00B22694"/>
    <w:p w14:paraId="51312699" w14:textId="77777777" w:rsidR="00B22694" w:rsidRDefault="00B22694" w:rsidP="00B22694">
      <w:r>
        <w:t xml:space="preserve">Por otro lado, de acuerdo con la Organización Mundial de la Salud (OMS), hay una relación estrecha entre la inocuidad de los alimentos, la nutrición y la seguridad alimentaria, pues los alimentos insalubres provocan enfermedad y malnutrición, efectos estos que terminan siendo repetitivos. Cada año enferman en el mundo unos 600 millones de personas —casi uno de cada 10 habitantes— como </w:t>
      </w:r>
      <w:r>
        <w:t>consecuencia de consumir alimentos en mal estado o contaminados, y de esa cantidad 420.000 fallecen.</w:t>
      </w:r>
    </w:p>
    <w:p w14:paraId="65A29857" w14:textId="77777777" w:rsidR="00B22694" w:rsidRDefault="00B22694" w:rsidP="00B22694"/>
    <w:p w14:paraId="29BB3CDD" w14:textId="77777777" w:rsidR="00B22694" w:rsidRDefault="00B22694" w:rsidP="00B22694">
      <w:r>
        <w:t>Lo anterior muestra que la insalubridad de los alimentos representa una amenaza para la salud mundial y pone en riesgo la vida de todos(as); particularmente, la de grupos poblacionales como lactantes, niñas y niños, personas mayores, embarazadas y lactantes (OMS, 2020). En el primer semestre de 2023, el 16,6</w:t>
      </w:r>
      <w:r>
        <w:rPr>
          <w:rFonts w:ascii="Arial" w:hAnsi="Arial" w:cs="Arial"/>
        </w:rPr>
        <w:t> </w:t>
      </w:r>
      <w:r>
        <w:t>% de los alimentos muestreados (c</w:t>
      </w:r>
      <w:r>
        <w:rPr>
          <w:rFonts w:cs="Candara"/>
        </w:rPr>
        <w:t>á</w:t>
      </w:r>
      <w:r>
        <w:t>rnicos, derivados de l</w:t>
      </w:r>
      <w:r>
        <w:rPr>
          <w:rFonts w:cs="Candara"/>
        </w:rPr>
        <w:t>á</w:t>
      </w:r>
      <w:r>
        <w:t>cteos, leche higienizada, panela, harina de trigo fortificada, sal y productos de pesca) no cumpl</w:t>
      </w:r>
      <w:r>
        <w:rPr>
          <w:rFonts w:cs="Candara"/>
        </w:rPr>
        <w:t>í</w:t>
      </w:r>
      <w:r>
        <w:t>an los par</w:t>
      </w:r>
      <w:r>
        <w:rPr>
          <w:rFonts w:cs="Candara"/>
        </w:rPr>
        <w:t>á</w:t>
      </w:r>
      <w:r>
        <w:t>metros normativos asociados a la inocuidad y valor nutricional de los alimentos; la leche higienizada (36,5</w:t>
      </w:r>
      <w:r>
        <w:rPr>
          <w:rFonts w:ascii="Arial" w:hAnsi="Arial" w:cs="Arial"/>
        </w:rPr>
        <w:t> </w:t>
      </w:r>
      <w:r>
        <w:t>%) y los derivados l</w:t>
      </w:r>
      <w:r>
        <w:rPr>
          <w:rFonts w:cs="Candara"/>
        </w:rPr>
        <w:t>á</w:t>
      </w:r>
      <w:r>
        <w:t>cteos (arequipe, dulce de leche, crema de leche, kumis, leche condensada, mantequilla, quesos y yogur) son los alimentos con mayor proporci</w:t>
      </w:r>
      <w:r>
        <w:rPr>
          <w:rFonts w:cs="Candara"/>
        </w:rPr>
        <w:t>ó</w:t>
      </w:r>
      <w:r>
        <w:t>n de incumplimiento (36,5</w:t>
      </w:r>
      <w:r>
        <w:rPr>
          <w:rFonts w:ascii="Arial" w:hAnsi="Arial" w:cs="Arial"/>
        </w:rPr>
        <w:t> </w:t>
      </w:r>
      <w:r>
        <w:t>%) (SaluData, 2023</w:t>
      </w:r>
      <w:r>
        <w:rPr>
          <w:rFonts w:cs="Candara"/>
        </w:rPr>
        <w:t>ª</w:t>
      </w:r>
      <w:r>
        <w:t>).</w:t>
      </w:r>
    </w:p>
    <w:p w14:paraId="0F1ABC69" w14:textId="77777777" w:rsidR="00B22694" w:rsidRDefault="00B22694" w:rsidP="00B22694"/>
    <w:p w14:paraId="0FBABE9F" w14:textId="77777777" w:rsidR="00B22694" w:rsidRDefault="00B22694" w:rsidP="00B22694">
      <w:r>
        <w:t>Además de la inocuidad de los alimentos, los hábitos alimentarios inadecuados como el consumo de alimentos procesados, hiperazucarados y con bajo aporte nutricional, así como no establecer una rutina para comer o el bajo consumo de agua, llevan a la malnutrición y el aumento de la presencia de enfermedades crónicas en la población. Una mala alimentación aumenta la probabilidad de desarrollar sobrepeso, obesidad y enfermedades como diabetes, osteoporosis, hipertensión arterial, anemia, cardiovasculares e hipercolesterolemia, entre otros. De acuerdo con el reporte de Cuenta de Alto Costo, para 2022 Bogotá reportó la mayor prevalencia estandarizada de hipertensión arterial en el país, equivalente a 10,70 casos por 100 habitantes y la incidencia estandarizada más alta, luego de la costa del Caribe, con 3,76 casos nuevos por cada 1.000 habitantes (Cuenta de Alto Costo, 2023).</w:t>
      </w:r>
    </w:p>
    <w:p w14:paraId="0A2F8F44" w14:textId="77777777" w:rsidR="00B22694" w:rsidRDefault="00B22694" w:rsidP="00B22694"/>
    <w:p w14:paraId="5D97CB57" w14:textId="77777777" w:rsidR="00B22694" w:rsidRDefault="00B22694" w:rsidP="00B22694">
      <w:r>
        <w:t xml:space="preserve">Estos problemas de salud pueden generar costos médicos adicionales y limitar la capacidad de las personas para acceder a alimentos </w:t>
      </w:r>
      <w:r>
        <w:lastRenderedPageBreak/>
        <w:t>saludables y nutritivos, y así contribuir a la inseguridad alimentaria.</w:t>
      </w:r>
    </w:p>
    <w:p w14:paraId="2360A5D1" w14:textId="77777777" w:rsidR="00B22694" w:rsidRDefault="00B22694" w:rsidP="00B22694"/>
    <w:p w14:paraId="6A143482" w14:textId="4410DF76" w:rsidR="00B14E38" w:rsidRPr="00B944E8" w:rsidRDefault="00B22694" w:rsidP="00B22694">
      <w:r>
        <w:t xml:space="preserve">Por último, factores globales como el cambio climático, los efectos de los conflictos o las crisis económicas de orden internacional, las pandemias u otros factores externos a la dinámica nacional pueden afectar la disponibilidad de alimentos, su precio y su suministro. Tras la pandemia de covid-19, en 82 países el número de </w:t>
      </w:r>
      <w:r>
        <w:t>personas afectadas por inseguridad alimentaria aguda pasó de 135 millones en 2019 a 345 millones en junio de 2022, debido a los efectos económicos de la crisis sanitaria y de la guerra entre Rusia y Ucrania, que ha afectado las cadenas globales de valor e interrumpido las de suministro, lo cual provocó una elevación histórica de los precios de los alimentos (Banco Mundial, 2022</w:t>
      </w:r>
      <w:r w:rsidR="00B14E38" w:rsidRPr="00B944E8">
        <w:t>).</w:t>
      </w:r>
    </w:p>
    <w:p w14:paraId="242F5ED5"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42EF8720" w14:textId="77777777" w:rsidR="00B14E38" w:rsidRDefault="00B14E38" w:rsidP="00B14E38">
      <w:pPr>
        <w:spacing w:line="480" w:lineRule="auto"/>
        <w:rPr>
          <w:rFonts w:ascii="Times New Roman" w:hAnsi="Times New Roman"/>
          <w:b/>
          <w:bCs/>
          <w:sz w:val="24"/>
        </w:rPr>
      </w:pPr>
    </w:p>
    <w:p w14:paraId="7A1FBE8C" w14:textId="0B33207B" w:rsidR="00B14E38" w:rsidRPr="00714235" w:rsidRDefault="00B14E38" w:rsidP="00714235">
      <w:pPr>
        <w:ind w:firstLine="708"/>
        <w:rPr>
          <w:b/>
          <w:bCs/>
          <w:sz w:val="24"/>
        </w:rPr>
      </w:pPr>
      <w:r w:rsidRPr="00714235">
        <w:rPr>
          <w:b/>
          <w:bCs/>
          <w:sz w:val="24"/>
        </w:rPr>
        <w:t>Descripción del programa</w:t>
      </w:r>
    </w:p>
    <w:p w14:paraId="2EDDFE97" w14:textId="77777777" w:rsidR="00B14E38" w:rsidRPr="00714235" w:rsidRDefault="00B14E38" w:rsidP="00B14E38">
      <w:pPr>
        <w:rPr>
          <w:b/>
          <w:bCs/>
          <w:highlight w:val="white"/>
        </w:rPr>
        <w:sectPr w:rsidR="00B14E38" w:rsidRPr="00714235" w:rsidSect="00F7078E">
          <w:type w:val="continuous"/>
          <w:pgSz w:w="12240" w:h="15840"/>
          <w:pgMar w:top="2262" w:right="1440" w:bottom="1440" w:left="1440" w:header="708" w:footer="680" w:gutter="0"/>
          <w:cols w:space="720"/>
          <w:docGrid w:linePitch="299"/>
        </w:sectPr>
      </w:pPr>
    </w:p>
    <w:p w14:paraId="607E89B6" w14:textId="77777777" w:rsidR="00206290" w:rsidRDefault="00206290" w:rsidP="00206290">
      <w:r>
        <w:t>A través de este programa se desarrollarán cuatro grandes acciones para las personas que no tienen acceso a tres comidas diarias o a su equivalente nutricional. La primera de dichas acciones es el mejoramiento de la alimentación ofrecida, a través de un bloque de acciones de atención directa a los grupos poblacionales y sectores sociales, que incluye el acceso integral a los servicios sociales con componente nutricional del Distrito, con la estrategia “Mejores transferencias, más bien-estar”, que busca obtener el máximo aprovechamiento social de la plataforma de transferencias a partir de una mejor combinación, especialización y focalización de las ayudas en los canales monetario y de bonos canjeables y en especie, con ampliación de cupos en comedores comunitarios y llevando los servicios de alimentación a zonas de difícil acceso o con mayor necesidad, acompañado todo eso de programas para mejorar los hábitos de vida y las condiciones de salud que permitan una alimentación y nutrición para una vida sana.</w:t>
      </w:r>
    </w:p>
    <w:p w14:paraId="71760300" w14:textId="77777777" w:rsidR="00206290" w:rsidRDefault="00206290" w:rsidP="00206290"/>
    <w:p w14:paraId="575E08D1" w14:textId="77777777" w:rsidR="00206290" w:rsidRDefault="00206290" w:rsidP="00206290">
      <w:r>
        <w:t xml:space="preserve">La segunda acción va dirigida al componente de acciones solidarias contra el hambre, el cual también va orientado a atender la demanda de alimentos, pero esta vez mediante la convocatoria y fortalecimiento de la solidaridad ciudadana, en articulación con iniciativas comunitarias, la oferta no gubernamental y la de organizaciones civiles y el sector privado, hacia el logro de las tres comidas al día como derecho </w:t>
      </w:r>
      <w:r>
        <w:t>fundamental de la población vulnerable, con implementación de los enfoques de género, derechos humanos de las mujeres, diferencial e interseccional.</w:t>
      </w:r>
    </w:p>
    <w:p w14:paraId="4D851078" w14:textId="77777777" w:rsidR="00206290" w:rsidRDefault="00206290" w:rsidP="00206290"/>
    <w:p w14:paraId="04D59D92" w14:textId="77777777" w:rsidR="00206290" w:rsidRDefault="00206290" w:rsidP="00206290">
      <w:r>
        <w:t>La tercera acción consiste en el mejoramiento de la oferta alimenticia de la ciudad, orientada a fortalecer la eficiencia de los sistemas de abastecimiento alimentario y a promover la variedad, disponibilidad y calidad de los alimentos en los sectores más vulnerables de la ciudad, con acciones orientadas a la organización del Sistema de Abastecimiento y Distribución de Alimentos, mediante la articulación de las políticas y estrategias de abastecimiento a nivel metropolitano y regional, la promoción de la agricultura urbana sin intermediarios, los mercados campesinos, el fortalecimiento de los actores del sistema y la gestión de circuitos de comercialización inclusivos, a nivel distrital y de forma articulada en las regiones de origen, procurando un precio justo tanto para quienes producen como para quienes consumen.</w:t>
      </w:r>
    </w:p>
    <w:p w14:paraId="120A9294" w14:textId="77777777" w:rsidR="00206290" w:rsidRDefault="00206290" w:rsidP="00206290"/>
    <w:p w14:paraId="22A10C4E" w14:textId="075DC1A1" w:rsidR="00B14E38" w:rsidRDefault="00206290" w:rsidP="00206290">
      <w:r>
        <w:t>La última acción pretende promover la medición correcta del desperdicio de comida en Bogotá a comercios y hogares, para poder plantear metas medibles de reducción de este fenómeno. Impulsará estrategias de concientización y acciones desde el hogar para hacer buen uso de los alimentos y reducir el desperdicio de c</w:t>
      </w:r>
      <w:r w:rsidR="00C80D97">
        <w:t>o</w:t>
      </w:r>
      <w:r>
        <w:t>mida</w:t>
      </w:r>
      <w:r w:rsidR="00B14E38" w:rsidRPr="00B944E8">
        <w:t>.</w:t>
      </w:r>
    </w:p>
    <w:p w14:paraId="1761CA4E"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4F1C570D" w14:textId="77777777" w:rsidR="00B14E38" w:rsidRDefault="00B14E38" w:rsidP="00B14E38">
      <w:pPr>
        <w:spacing w:line="480" w:lineRule="auto"/>
        <w:rPr>
          <w:rFonts w:ascii="Times New Roman" w:hAnsi="Times New Roman"/>
          <w:sz w:val="24"/>
        </w:rPr>
      </w:pPr>
    </w:p>
    <w:p w14:paraId="1303DF79" w14:textId="2BDD2F63" w:rsidR="00B14E38" w:rsidRPr="00A94E02" w:rsidRDefault="00714235" w:rsidP="00A94E02">
      <w:pPr>
        <w:pStyle w:val="Descripcin"/>
        <w:jc w:val="center"/>
        <w:rPr>
          <w:sz w:val="18"/>
          <w:szCs w:val="14"/>
        </w:rPr>
      </w:pPr>
      <w:bookmarkStart w:id="255" w:name="_Toc165169936"/>
      <w:r w:rsidRPr="00A94E02">
        <w:rPr>
          <w:color w:val="C00000"/>
          <w:sz w:val="18"/>
          <w:szCs w:val="14"/>
        </w:rPr>
        <w:lastRenderedPageBreak/>
        <w:t xml:space="preserve">Tabla </w:t>
      </w:r>
      <w:r w:rsidRPr="00A94E02">
        <w:rPr>
          <w:color w:val="C00000"/>
          <w:sz w:val="18"/>
          <w:szCs w:val="14"/>
        </w:rPr>
        <w:fldChar w:fldCharType="begin"/>
      </w:r>
      <w:r w:rsidRPr="00A94E02">
        <w:rPr>
          <w:color w:val="C00000"/>
          <w:sz w:val="18"/>
          <w:szCs w:val="14"/>
        </w:rPr>
        <w:instrText xml:space="preserve"> SEQ Tabla \* ARABIC </w:instrText>
      </w:r>
      <w:r w:rsidRPr="00A94E02">
        <w:rPr>
          <w:color w:val="C00000"/>
          <w:sz w:val="18"/>
          <w:szCs w:val="14"/>
        </w:rPr>
        <w:fldChar w:fldCharType="separate"/>
      </w:r>
      <w:r w:rsidR="00D01651">
        <w:rPr>
          <w:noProof/>
          <w:color w:val="C00000"/>
          <w:sz w:val="18"/>
          <w:szCs w:val="14"/>
        </w:rPr>
        <w:t>26</w:t>
      </w:r>
      <w:r w:rsidRPr="00A94E02">
        <w:rPr>
          <w:color w:val="C00000"/>
          <w:sz w:val="18"/>
          <w:szCs w:val="14"/>
        </w:rPr>
        <w:fldChar w:fldCharType="end"/>
      </w:r>
      <w:r w:rsidRPr="00A94E02">
        <w:rPr>
          <w:color w:val="C00000"/>
          <w:sz w:val="18"/>
          <w:szCs w:val="14"/>
        </w:rPr>
        <w:t xml:space="preserve">. </w:t>
      </w:r>
      <w:r w:rsidR="00B14E38" w:rsidRPr="00A94E02">
        <w:rPr>
          <w:color w:val="000000" w:themeColor="text1"/>
          <w:sz w:val="18"/>
          <w:szCs w:val="14"/>
        </w:rPr>
        <w:t>Metas del programa 8</w:t>
      </w:r>
      <w:r w:rsidRPr="00A94E02">
        <w:rPr>
          <w:color w:val="000000" w:themeColor="text1"/>
          <w:sz w:val="18"/>
          <w:szCs w:val="14"/>
        </w:rPr>
        <w:t>:</w:t>
      </w:r>
      <w:r w:rsidR="00B14E38" w:rsidRPr="00A94E02">
        <w:rPr>
          <w:color w:val="000000" w:themeColor="text1"/>
          <w:sz w:val="18"/>
          <w:szCs w:val="14"/>
        </w:rPr>
        <w:t xml:space="preserve"> </w:t>
      </w:r>
      <w:r w:rsidRPr="00A94E02">
        <w:rPr>
          <w:color w:val="000000" w:themeColor="text1"/>
          <w:sz w:val="18"/>
          <w:szCs w:val="14"/>
        </w:rPr>
        <w:t>Erradicación del hambre en Bogotá</w:t>
      </w:r>
      <w:bookmarkEnd w:id="255"/>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107"/>
        <w:gridCol w:w="1521"/>
        <w:gridCol w:w="1426"/>
        <w:gridCol w:w="1447"/>
        <w:gridCol w:w="1420"/>
        <w:gridCol w:w="1439"/>
      </w:tblGrid>
      <w:tr w:rsidR="00A94E02" w:rsidRPr="00A94E02" w14:paraId="01CB74F8" w14:textId="77777777" w:rsidTr="00A94E02">
        <w:trPr>
          <w:tblHeader/>
        </w:trPr>
        <w:tc>
          <w:tcPr>
            <w:tcW w:w="0" w:type="auto"/>
            <w:vMerge w:val="restart"/>
            <w:shd w:val="clear" w:color="auto" w:fill="C00000"/>
            <w:tcMar>
              <w:top w:w="30" w:type="dxa"/>
              <w:left w:w="45" w:type="dxa"/>
              <w:bottom w:w="30" w:type="dxa"/>
              <w:right w:w="45" w:type="dxa"/>
            </w:tcMar>
            <w:vAlign w:val="center"/>
            <w:hideMark/>
          </w:tcPr>
          <w:p w14:paraId="740D5FD5" w14:textId="77777777" w:rsidR="00A94E02" w:rsidRPr="00A94E02" w:rsidRDefault="00A94E02" w:rsidP="00AA4BBB">
            <w:pPr>
              <w:jc w:val="center"/>
              <w:rPr>
                <w:rFonts w:cs="Arial"/>
                <w:b/>
                <w:bCs/>
                <w:color w:val="FFFFFF"/>
                <w:sz w:val="20"/>
                <w:szCs w:val="20"/>
              </w:rPr>
            </w:pPr>
            <w:bookmarkStart w:id="256" w:name="_heading=h.2lwamvv" w:colFirst="0" w:colLast="0"/>
            <w:bookmarkEnd w:id="256"/>
            <w:r w:rsidRPr="00A94E02">
              <w:rPr>
                <w:rFonts w:cs="Arial"/>
                <w:b/>
                <w:bCs/>
                <w:color w:val="FFFFFF"/>
                <w:sz w:val="20"/>
                <w:szCs w:val="20"/>
              </w:rPr>
              <w:t>SECTOR / Metas</w:t>
            </w:r>
          </w:p>
        </w:tc>
        <w:tc>
          <w:tcPr>
            <w:tcW w:w="0" w:type="auto"/>
            <w:gridSpan w:val="5"/>
            <w:shd w:val="clear" w:color="auto" w:fill="C00000"/>
            <w:tcMar>
              <w:top w:w="30" w:type="dxa"/>
              <w:left w:w="45" w:type="dxa"/>
              <w:bottom w:w="30" w:type="dxa"/>
              <w:right w:w="45" w:type="dxa"/>
            </w:tcMar>
            <w:vAlign w:val="center"/>
            <w:hideMark/>
          </w:tcPr>
          <w:p w14:paraId="0678BB8A" w14:textId="77777777" w:rsidR="00A94E02" w:rsidRDefault="00A94E02" w:rsidP="00AA4BBB">
            <w:pPr>
              <w:jc w:val="center"/>
              <w:rPr>
                <w:rFonts w:cs="Arial"/>
                <w:b/>
                <w:bCs/>
                <w:color w:val="FFFFFF"/>
                <w:sz w:val="20"/>
                <w:szCs w:val="20"/>
              </w:rPr>
            </w:pPr>
            <w:r w:rsidRPr="00A94E02">
              <w:rPr>
                <w:rFonts w:cs="Arial"/>
                <w:b/>
                <w:bCs/>
                <w:color w:val="FFFFFF"/>
                <w:sz w:val="20"/>
                <w:szCs w:val="20"/>
              </w:rPr>
              <w:t xml:space="preserve">Magnitudes e Inversión </w:t>
            </w:r>
          </w:p>
          <w:p w14:paraId="4022600C" w14:textId="4DEC8A0C" w:rsidR="00A94E02" w:rsidRPr="00A94E02" w:rsidRDefault="00A94E02" w:rsidP="00AA4BBB">
            <w:pPr>
              <w:jc w:val="center"/>
              <w:rPr>
                <w:rFonts w:cs="Arial"/>
                <w:b/>
                <w:bCs/>
                <w:color w:val="FFFFFF"/>
                <w:sz w:val="20"/>
                <w:szCs w:val="20"/>
              </w:rPr>
            </w:pPr>
            <w:r w:rsidRPr="00A94E02">
              <w:rPr>
                <w:rFonts w:cs="Arial"/>
                <w:b/>
                <w:bCs/>
                <w:color w:val="FFFFFF"/>
                <w:sz w:val="20"/>
                <w:szCs w:val="20"/>
              </w:rPr>
              <w:t>(Precios Constantes 2024)</w:t>
            </w:r>
          </w:p>
        </w:tc>
      </w:tr>
      <w:tr w:rsidR="00A94E02" w:rsidRPr="00A94E02" w14:paraId="1558D68F" w14:textId="77777777" w:rsidTr="00A94E02">
        <w:trPr>
          <w:tblHeader/>
        </w:trPr>
        <w:tc>
          <w:tcPr>
            <w:tcW w:w="0" w:type="auto"/>
            <w:vMerge/>
            <w:vAlign w:val="center"/>
            <w:hideMark/>
          </w:tcPr>
          <w:p w14:paraId="755301F1" w14:textId="77777777" w:rsidR="00A94E02" w:rsidRPr="00A94E02" w:rsidRDefault="00A94E02" w:rsidP="00AA4BBB">
            <w:pPr>
              <w:rPr>
                <w:rFonts w:cs="Arial"/>
                <w:b/>
                <w:bCs/>
                <w:color w:val="FFFFFF"/>
                <w:sz w:val="20"/>
                <w:szCs w:val="20"/>
              </w:rPr>
            </w:pPr>
          </w:p>
        </w:tc>
        <w:tc>
          <w:tcPr>
            <w:tcW w:w="0" w:type="auto"/>
            <w:shd w:val="clear" w:color="auto" w:fill="D9D9D9"/>
            <w:tcMar>
              <w:top w:w="30" w:type="dxa"/>
              <w:left w:w="45" w:type="dxa"/>
              <w:bottom w:w="30" w:type="dxa"/>
              <w:right w:w="45" w:type="dxa"/>
            </w:tcMar>
            <w:vAlign w:val="center"/>
            <w:hideMark/>
          </w:tcPr>
          <w:p w14:paraId="0C7E6F12" w14:textId="77777777" w:rsidR="00A94E02" w:rsidRPr="00A94E02" w:rsidRDefault="00A94E02" w:rsidP="00AA4BBB">
            <w:pPr>
              <w:jc w:val="center"/>
              <w:rPr>
                <w:rFonts w:cs="Arial"/>
                <w:b/>
                <w:bCs/>
                <w:sz w:val="20"/>
                <w:szCs w:val="20"/>
              </w:rPr>
            </w:pPr>
            <w:r w:rsidRPr="00A94E02">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6977BAF6" w14:textId="77777777" w:rsidR="00A94E02" w:rsidRPr="00A94E02" w:rsidRDefault="00A94E02" w:rsidP="00AA4BBB">
            <w:pPr>
              <w:jc w:val="center"/>
              <w:rPr>
                <w:rFonts w:cs="Arial"/>
                <w:b/>
                <w:bCs/>
                <w:sz w:val="20"/>
                <w:szCs w:val="20"/>
              </w:rPr>
            </w:pPr>
            <w:r w:rsidRPr="00A94E02">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314C5CC4" w14:textId="77777777" w:rsidR="00A94E02" w:rsidRPr="00A94E02" w:rsidRDefault="00A94E02" w:rsidP="00AA4BBB">
            <w:pPr>
              <w:jc w:val="center"/>
              <w:rPr>
                <w:rFonts w:cs="Arial"/>
                <w:b/>
                <w:bCs/>
                <w:sz w:val="20"/>
                <w:szCs w:val="20"/>
              </w:rPr>
            </w:pPr>
            <w:r w:rsidRPr="00A94E02">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598F862C" w14:textId="77777777" w:rsidR="00A94E02" w:rsidRPr="00A94E02" w:rsidRDefault="00A94E02" w:rsidP="00AA4BBB">
            <w:pPr>
              <w:jc w:val="center"/>
              <w:rPr>
                <w:rFonts w:cs="Arial"/>
                <w:b/>
                <w:bCs/>
                <w:sz w:val="20"/>
                <w:szCs w:val="20"/>
              </w:rPr>
            </w:pPr>
            <w:r w:rsidRPr="00A94E02">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721B1DF3" w14:textId="77777777" w:rsidR="00A94E02" w:rsidRPr="00A94E02" w:rsidRDefault="00A94E02" w:rsidP="00AA4BBB">
            <w:pPr>
              <w:jc w:val="center"/>
              <w:rPr>
                <w:rFonts w:cs="Arial"/>
                <w:b/>
                <w:bCs/>
                <w:sz w:val="20"/>
                <w:szCs w:val="20"/>
              </w:rPr>
            </w:pPr>
            <w:r w:rsidRPr="00A94E02">
              <w:rPr>
                <w:rFonts w:cs="Arial"/>
                <w:b/>
                <w:bCs/>
                <w:sz w:val="20"/>
                <w:szCs w:val="20"/>
              </w:rPr>
              <w:t>Total Inversión</w:t>
            </w:r>
          </w:p>
        </w:tc>
      </w:tr>
      <w:tr w:rsidR="00A94E02" w:rsidRPr="00A94E02" w14:paraId="0E09BD87" w14:textId="77777777" w:rsidTr="00A94E02">
        <w:tc>
          <w:tcPr>
            <w:tcW w:w="0" w:type="auto"/>
            <w:gridSpan w:val="6"/>
            <w:shd w:val="clear" w:color="auto" w:fill="C00000"/>
            <w:tcMar>
              <w:top w:w="30" w:type="dxa"/>
              <w:left w:w="45" w:type="dxa"/>
              <w:bottom w:w="30" w:type="dxa"/>
              <w:right w:w="45" w:type="dxa"/>
            </w:tcMar>
            <w:vAlign w:val="center"/>
            <w:hideMark/>
          </w:tcPr>
          <w:p w14:paraId="0C2BF95B" w14:textId="20F672E2" w:rsidR="00A94E02" w:rsidRPr="00A94E02" w:rsidRDefault="00A94E02" w:rsidP="00A94E02">
            <w:pPr>
              <w:jc w:val="center"/>
              <w:rPr>
                <w:rFonts w:cs="Arial"/>
                <w:b/>
                <w:bCs/>
                <w:color w:val="FFFFFF" w:themeColor="background1"/>
                <w:sz w:val="20"/>
                <w:szCs w:val="20"/>
              </w:rPr>
            </w:pPr>
            <w:r w:rsidRPr="00A94E02">
              <w:rPr>
                <w:rFonts w:cs="Arial"/>
                <w:b/>
                <w:bCs/>
                <w:color w:val="FFFFFF" w:themeColor="background1"/>
                <w:sz w:val="20"/>
                <w:szCs w:val="20"/>
              </w:rPr>
              <w:t>Desarrollo Económico</w:t>
            </w:r>
          </w:p>
        </w:tc>
      </w:tr>
      <w:tr w:rsidR="00A94E02" w:rsidRPr="00A94E02" w14:paraId="6799D606" w14:textId="77777777" w:rsidTr="00A94E02">
        <w:tc>
          <w:tcPr>
            <w:tcW w:w="0" w:type="auto"/>
            <w:vMerge w:val="restart"/>
            <w:tcMar>
              <w:top w:w="30" w:type="dxa"/>
              <w:left w:w="45" w:type="dxa"/>
              <w:bottom w:w="30" w:type="dxa"/>
              <w:right w:w="45" w:type="dxa"/>
            </w:tcMar>
            <w:vAlign w:val="center"/>
            <w:hideMark/>
          </w:tcPr>
          <w:p w14:paraId="26B890A1" w14:textId="77777777" w:rsidR="00A94E02" w:rsidRPr="00A94E02" w:rsidRDefault="00A94E02" w:rsidP="00AA4BBB">
            <w:pPr>
              <w:rPr>
                <w:rFonts w:cs="Arial"/>
                <w:sz w:val="20"/>
                <w:szCs w:val="20"/>
              </w:rPr>
            </w:pPr>
            <w:r w:rsidRPr="00A94E02">
              <w:rPr>
                <w:rFonts w:cs="Arial"/>
                <w:sz w:val="20"/>
                <w:szCs w:val="20"/>
              </w:rPr>
              <w:t>Fortalecer técnica y/o comercialmente a 5.000 actores del Sistema de Abastecimiento y Distribución de Alimentos por una Bogotá con menos pobreza y menos hambre.</w:t>
            </w:r>
          </w:p>
        </w:tc>
        <w:tc>
          <w:tcPr>
            <w:tcW w:w="0" w:type="auto"/>
            <w:tcMar>
              <w:top w:w="30" w:type="dxa"/>
              <w:left w:w="45" w:type="dxa"/>
              <w:bottom w:w="30" w:type="dxa"/>
              <w:right w:w="45" w:type="dxa"/>
            </w:tcMar>
            <w:vAlign w:val="center"/>
            <w:hideMark/>
          </w:tcPr>
          <w:p w14:paraId="119126E4" w14:textId="77777777" w:rsidR="00A94E02" w:rsidRPr="00A94E02" w:rsidRDefault="00A94E02" w:rsidP="00AA4BBB">
            <w:pPr>
              <w:jc w:val="center"/>
              <w:rPr>
                <w:rFonts w:cs="Arial"/>
                <w:sz w:val="20"/>
                <w:szCs w:val="20"/>
              </w:rPr>
            </w:pPr>
            <w:r w:rsidRPr="00A94E02">
              <w:rPr>
                <w:rFonts w:cs="Arial"/>
                <w:sz w:val="20"/>
                <w:szCs w:val="20"/>
              </w:rPr>
              <w:t>357</w:t>
            </w:r>
          </w:p>
        </w:tc>
        <w:tc>
          <w:tcPr>
            <w:tcW w:w="0" w:type="auto"/>
            <w:tcMar>
              <w:top w:w="30" w:type="dxa"/>
              <w:left w:w="45" w:type="dxa"/>
              <w:bottom w:w="30" w:type="dxa"/>
              <w:right w:w="45" w:type="dxa"/>
            </w:tcMar>
            <w:vAlign w:val="center"/>
            <w:hideMark/>
          </w:tcPr>
          <w:p w14:paraId="088DA75D" w14:textId="77777777" w:rsidR="00A94E02" w:rsidRPr="00A94E02" w:rsidRDefault="00A94E02" w:rsidP="00AA4BBB">
            <w:pPr>
              <w:jc w:val="center"/>
              <w:rPr>
                <w:rFonts w:cs="Arial"/>
                <w:sz w:val="20"/>
                <w:szCs w:val="20"/>
              </w:rPr>
            </w:pPr>
            <w:r w:rsidRPr="00A94E02">
              <w:rPr>
                <w:rFonts w:cs="Arial"/>
                <w:sz w:val="20"/>
                <w:szCs w:val="20"/>
              </w:rPr>
              <w:t>1.641</w:t>
            </w:r>
          </w:p>
        </w:tc>
        <w:tc>
          <w:tcPr>
            <w:tcW w:w="0" w:type="auto"/>
            <w:tcMar>
              <w:top w:w="30" w:type="dxa"/>
              <w:left w:w="45" w:type="dxa"/>
              <w:bottom w:w="30" w:type="dxa"/>
              <w:right w:w="45" w:type="dxa"/>
            </w:tcMar>
            <w:vAlign w:val="center"/>
            <w:hideMark/>
          </w:tcPr>
          <w:p w14:paraId="3D5A468B" w14:textId="77777777" w:rsidR="00A94E02" w:rsidRPr="00A94E02" w:rsidRDefault="00A94E02" w:rsidP="00AA4BBB">
            <w:pPr>
              <w:jc w:val="center"/>
              <w:rPr>
                <w:rFonts w:cs="Arial"/>
                <w:sz w:val="20"/>
                <w:szCs w:val="20"/>
              </w:rPr>
            </w:pPr>
            <w:r w:rsidRPr="00A94E02">
              <w:rPr>
                <w:rFonts w:cs="Arial"/>
                <w:sz w:val="20"/>
                <w:szCs w:val="20"/>
              </w:rPr>
              <w:t>1.641</w:t>
            </w:r>
          </w:p>
        </w:tc>
        <w:tc>
          <w:tcPr>
            <w:tcW w:w="0" w:type="auto"/>
            <w:tcMar>
              <w:top w:w="30" w:type="dxa"/>
              <w:left w:w="45" w:type="dxa"/>
              <w:bottom w:w="30" w:type="dxa"/>
              <w:right w:w="45" w:type="dxa"/>
            </w:tcMar>
            <w:vAlign w:val="center"/>
            <w:hideMark/>
          </w:tcPr>
          <w:p w14:paraId="4B511F55" w14:textId="77777777" w:rsidR="00A94E02" w:rsidRPr="00A94E02" w:rsidRDefault="00A94E02" w:rsidP="00AA4BBB">
            <w:pPr>
              <w:jc w:val="center"/>
              <w:rPr>
                <w:rFonts w:cs="Arial"/>
                <w:sz w:val="20"/>
                <w:szCs w:val="20"/>
              </w:rPr>
            </w:pPr>
            <w:r w:rsidRPr="00A94E02">
              <w:rPr>
                <w:rFonts w:cs="Arial"/>
                <w:sz w:val="20"/>
                <w:szCs w:val="20"/>
              </w:rPr>
              <w:t>1.361</w:t>
            </w:r>
          </w:p>
        </w:tc>
        <w:tc>
          <w:tcPr>
            <w:tcW w:w="0" w:type="auto"/>
            <w:vMerge w:val="restart"/>
            <w:tcMar>
              <w:top w:w="30" w:type="dxa"/>
              <w:left w:w="45" w:type="dxa"/>
              <w:bottom w:w="30" w:type="dxa"/>
              <w:right w:w="45" w:type="dxa"/>
            </w:tcMar>
            <w:vAlign w:val="center"/>
            <w:hideMark/>
          </w:tcPr>
          <w:p w14:paraId="022BDBBF" w14:textId="77777777" w:rsidR="00A94E02" w:rsidRPr="00A94E02" w:rsidRDefault="00A94E02" w:rsidP="00AA4BBB">
            <w:pPr>
              <w:jc w:val="center"/>
              <w:rPr>
                <w:rFonts w:cs="Arial"/>
                <w:b/>
                <w:bCs/>
                <w:sz w:val="20"/>
                <w:szCs w:val="20"/>
              </w:rPr>
            </w:pPr>
            <w:r w:rsidRPr="00A94E02">
              <w:rPr>
                <w:rFonts w:cs="Arial"/>
                <w:b/>
                <w:bCs/>
                <w:sz w:val="20"/>
                <w:szCs w:val="20"/>
              </w:rPr>
              <w:t>14.940.702.111</w:t>
            </w:r>
          </w:p>
        </w:tc>
      </w:tr>
      <w:tr w:rsidR="00A94E02" w:rsidRPr="00A94E02" w14:paraId="28B869F7" w14:textId="77777777" w:rsidTr="00A94E02">
        <w:tc>
          <w:tcPr>
            <w:tcW w:w="0" w:type="auto"/>
            <w:vMerge/>
            <w:vAlign w:val="center"/>
            <w:hideMark/>
          </w:tcPr>
          <w:p w14:paraId="13B48165" w14:textId="77777777" w:rsidR="00A94E02" w:rsidRPr="00A94E02" w:rsidRDefault="00A94E02" w:rsidP="00AA4BBB">
            <w:pPr>
              <w:rPr>
                <w:rFonts w:cs="Arial"/>
                <w:sz w:val="20"/>
                <w:szCs w:val="20"/>
              </w:rPr>
            </w:pPr>
          </w:p>
        </w:tc>
        <w:tc>
          <w:tcPr>
            <w:tcW w:w="0" w:type="auto"/>
            <w:tcMar>
              <w:top w:w="30" w:type="dxa"/>
              <w:left w:w="45" w:type="dxa"/>
              <w:bottom w:w="30" w:type="dxa"/>
              <w:right w:w="45" w:type="dxa"/>
            </w:tcMar>
            <w:vAlign w:val="center"/>
            <w:hideMark/>
          </w:tcPr>
          <w:p w14:paraId="0ED4C8AD" w14:textId="77777777" w:rsidR="00A94E02" w:rsidRPr="00A94E02" w:rsidRDefault="00A94E02" w:rsidP="00AA4BBB">
            <w:pPr>
              <w:jc w:val="center"/>
              <w:rPr>
                <w:rFonts w:cs="Arial"/>
                <w:sz w:val="20"/>
                <w:szCs w:val="20"/>
              </w:rPr>
            </w:pPr>
            <w:r w:rsidRPr="00A94E02">
              <w:rPr>
                <w:rFonts w:cs="Arial"/>
                <w:sz w:val="20"/>
                <w:szCs w:val="20"/>
              </w:rPr>
              <w:t>3.388.466.439</w:t>
            </w:r>
          </w:p>
        </w:tc>
        <w:tc>
          <w:tcPr>
            <w:tcW w:w="0" w:type="auto"/>
            <w:tcMar>
              <w:top w:w="30" w:type="dxa"/>
              <w:left w:w="45" w:type="dxa"/>
              <w:bottom w:w="30" w:type="dxa"/>
              <w:right w:w="45" w:type="dxa"/>
            </w:tcMar>
            <w:vAlign w:val="center"/>
            <w:hideMark/>
          </w:tcPr>
          <w:p w14:paraId="1423452E" w14:textId="77777777" w:rsidR="00A94E02" w:rsidRPr="00A94E02" w:rsidRDefault="00A94E02" w:rsidP="00AA4BBB">
            <w:pPr>
              <w:jc w:val="center"/>
              <w:rPr>
                <w:rFonts w:cs="Arial"/>
                <w:sz w:val="20"/>
                <w:szCs w:val="20"/>
              </w:rPr>
            </w:pPr>
            <w:r w:rsidRPr="00A94E02">
              <w:rPr>
                <w:rFonts w:cs="Arial"/>
                <w:sz w:val="20"/>
                <w:szCs w:val="20"/>
              </w:rPr>
              <w:t>4.399.438.925</w:t>
            </w:r>
          </w:p>
        </w:tc>
        <w:tc>
          <w:tcPr>
            <w:tcW w:w="0" w:type="auto"/>
            <w:tcMar>
              <w:top w:w="30" w:type="dxa"/>
              <w:left w:w="45" w:type="dxa"/>
              <w:bottom w:w="30" w:type="dxa"/>
              <w:right w:w="45" w:type="dxa"/>
            </w:tcMar>
            <w:vAlign w:val="center"/>
            <w:hideMark/>
          </w:tcPr>
          <w:p w14:paraId="2821AF42" w14:textId="77777777" w:rsidR="00A94E02" w:rsidRPr="00A94E02" w:rsidRDefault="00A94E02" w:rsidP="00AA4BBB">
            <w:pPr>
              <w:jc w:val="center"/>
              <w:rPr>
                <w:rFonts w:cs="Arial"/>
                <w:sz w:val="20"/>
                <w:szCs w:val="20"/>
              </w:rPr>
            </w:pPr>
            <w:r w:rsidRPr="00A94E02">
              <w:rPr>
                <w:rFonts w:cs="Arial"/>
                <w:sz w:val="20"/>
                <w:szCs w:val="20"/>
              </w:rPr>
              <w:t>4.271.299.927</w:t>
            </w:r>
          </w:p>
        </w:tc>
        <w:tc>
          <w:tcPr>
            <w:tcW w:w="0" w:type="auto"/>
            <w:tcMar>
              <w:top w:w="30" w:type="dxa"/>
              <w:left w:w="45" w:type="dxa"/>
              <w:bottom w:w="30" w:type="dxa"/>
              <w:right w:w="45" w:type="dxa"/>
            </w:tcMar>
            <w:vAlign w:val="center"/>
            <w:hideMark/>
          </w:tcPr>
          <w:p w14:paraId="2F4D3DA3" w14:textId="77777777" w:rsidR="00A94E02" w:rsidRPr="00A94E02" w:rsidRDefault="00A94E02" w:rsidP="00AA4BBB">
            <w:pPr>
              <w:jc w:val="center"/>
              <w:rPr>
                <w:rFonts w:cs="Arial"/>
                <w:sz w:val="20"/>
                <w:szCs w:val="20"/>
              </w:rPr>
            </w:pPr>
            <w:r w:rsidRPr="00A94E02">
              <w:rPr>
                <w:rFonts w:cs="Arial"/>
                <w:sz w:val="20"/>
                <w:szCs w:val="20"/>
              </w:rPr>
              <w:t>2.881.496.819</w:t>
            </w:r>
          </w:p>
        </w:tc>
        <w:tc>
          <w:tcPr>
            <w:tcW w:w="0" w:type="auto"/>
            <w:vMerge/>
            <w:vAlign w:val="center"/>
            <w:hideMark/>
          </w:tcPr>
          <w:p w14:paraId="414254B5" w14:textId="77777777" w:rsidR="00A94E02" w:rsidRPr="00A94E02" w:rsidRDefault="00A94E02" w:rsidP="00AA4BBB">
            <w:pPr>
              <w:rPr>
                <w:rFonts w:cs="Arial"/>
                <w:b/>
                <w:bCs/>
                <w:sz w:val="20"/>
                <w:szCs w:val="20"/>
              </w:rPr>
            </w:pPr>
          </w:p>
        </w:tc>
      </w:tr>
      <w:tr w:rsidR="00A94E02" w:rsidRPr="00A94E02" w14:paraId="71C96905" w14:textId="77777777" w:rsidTr="00A94E02">
        <w:tc>
          <w:tcPr>
            <w:tcW w:w="0" w:type="auto"/>
            <w:vMerge w:val="restart"/>
            <w:tcMar>
              <w:top w:w="30" w:type="dxa"/>
              <w:left w:w="45" w:type="dxa"/>
              <w:bottom w:w="30" w:type="dxa"/>
              <w:right w:w="45" w:type="dxa"/>
            </w:tcMar>
            <w:vAlign w:val="center"/>
            <w:hideMark/>
          </w:tcPr>
          <w:p w14:paraId="45C5E3C6" w14:textId="77777777" w:rsidR="00A94E02" w:rsidRPr="00A94E02" w:rsidRDefault="00A94E02" w:rsidP="00AA4BBB">
            <w:pPr>
              <w:rPr>
                <w:rFonts w:cs="Arial"/>
                <w:sz w:val="20"/>
                <w:szCs w:val="20"/>
              </w:rPr>
            </w:pPr>
            <w:r w:rsidRPr="00A94E02">
              <w:rPr>
                <w:rFonts w:cs="Arial"/>
                <w:sz w:val="20"/>
                <w:szCs w:val="20"/>
              </w:rPr>
              <w:t>Generar 35.000 espacios individuales de comercialización directa para pequeños productores/as a través de Mercados Campesinos en sus diferentes modalidades en el marco de Bogotá Rural – Bogotá Región</w:t>
            </w:r>
          </w:p>
        </w:tc>
        <w:tc>
          <w:tcPr>
            <w:tcW w:w="0" w:type="auto"/>
            <w:tcMar>
              <w:top w:w="30" w:type="dxa"/>
              <w:left w:w="45" w:type="dxa"/>
              <w:bottom w:w="30" w:type="dxa"/>
              <w:right w:w="45" w:type="dxa"/>
            </w:tcMar>
            <w:vAlign w:val="center"/>
            <w:hideMark/>
          </w:tcPr>
          <w:p w14:paraId="53C001DD" w14:textId="77777777" w:rsidR="00A94E02" w:rsidRPr="00A94E02" w:rsidRDefault="00A94E02" w:rsidP="00AA4BBB">
            <w:pPr>
              <w:jc w:val="center"/>
              <w:rPr>
                <w:rFonts w:cs="Arial"/>
                <w:sz w:val="20"/>
                <w:szCs w:val="20"/>
              </w:rPr>
            </w:pPr>
            <w:r w:rsidRPr="00A94E02">
              <w:rPr>
                <w:rFonts w:cs="Arial"/>
                <w:sz w:val="20"/>
                <w:szCs w:val="20"/>
              </w:rPr>
              <w:t>4.500</w:t>
            </w:r>
          </w:p>
        </w:tc>
        <w:tc>
          <w:tcPr>
            <w:tcW w:w="0" w:type="auto"/>
            <w:tcMar>
              <w:top w:w="30" w:type="dxa"/>
              <w:left w:w="45" w:type="dxa"/>
              <w:bottom w:w="30" w:type="dxa"/>
              <w:right w:w="45" w:type="dxa"/>
            </w:tcMar>
            <w:vAlign w:val="center"/>
            <w:hideMark/>
          </w:tcPr>
          <w:p w14:paraId="08145A73" w14:textId="77777777" w:rsidR="00A94E02" w:rsidRPr="00A94E02" w:rsidRDefault="00A94E02" w:rsidP="00AA4BBB">
            <w:pPr>
              <w:jc w:val="center"/>
              <w:rPr>
                <w:rFonts w:cs="Arial"/>
                <w:sz w:val="20"/>
                <w:szCs w:val="20"/>
              </w:rPr>
            </w:pPr>
            <w:r w:rsidRPr="00A94E02">
              <w:rPr>
                <w:rFonts w:cs="Arial"/>
                <w:sz w:val="20"/>
                <w:szCs w:val="20"/>
              </w:rPr>
              <w:t>10.170</w:t>
            </w:r>
          </w:p>
        </w:tc>
        <w:tc>
          <w:tcPr>
            <w:tcW w:w="0" w:type="auto"/>
            <w:tcMar>
              <w:top w:w="30" w:type="dxa"/>
              <w:left w:w="45" w:type="dxa"/>
              <w:bottom w:w="30" w:type="dxa"/>
              <w:right w:w="45" w:type="dxa"/>
            </w:tcMar>
            <w:vAlign w:val="center"/>
            <w:hideMark/>
          </w:tcPr>
          <w:p w14:paraId="0FDE951E" w14:textId="77777777" w:rsidR="00A94E02" w:rsidRPr="00A94E02" w:rsidRDefault="00A94E02" w:rsidP="00AA4BBB">
            <w:pPr>
              <w:jc w:val="center"/>
              <w:rPr>
                <w:rFonts w:cs="Arial"/>
                <w:sz w:val="20"/>
                <w:szCs w:val="20"/>
              </w:rPr>
            </w:pPr>
            <w:r w:rsidRPr="00A94E02">
              <w:rPr>
                <w:rFonts w:cs="Arial"/>
                <w:sz w:val="20"/>
                <w:szCs w:val="20"/>
              </w:rPr>
              <w:t>10.170</w:t>
            </w:r>
          </w:p>
        </w:tc>
        <w:tc>
          <w:tcPr>
            <w:tcW w:w="0" w:type="auto"/>
            <w:tcMar>
              <w:top w:w="30" w:type="dxa"/>
              <w:left w:w="45" w:type="dxa"/>
              <w:bottom w:w="30" w:type="dxa"/>
              <w:right w:w="45" w:type="dxa"/>
            </w:tcMar>
            <w:vAlign w:val="center"/>
            <w:hideMark/>
          </w:tcPr>
          <w:p w14:paraId="690B613C" w14:textId="77777777" w:rsidR="00A94E02" w:rsidRPr="00A94E02" w:rsidRDefault="00A94E02" w:rsidP="00AA4BBB">
            <w:pPr>
              <w:jc w:val="center"/>
              <w:rPr>
                <w:rFonts w:cs="Arial"/>
                <w:sz w:val="20"/>
                <w:szCs w:val="20"/>
              </w:rPr>
            </w:pPr>
            <w:r w:rsidRPr="00A94E02">
              <w:rPr>
                <w:rFonts w:cs="Arial"/>
                <w:sz w:val="20"/>
                <w:szCs w:val="20"/>
              </w:rPr>
              <w:t>10.160</w:t>
            </w:r>
          </w:p>
        </w:tc>
        <w:tc>
          <w:tcPr>
            <w:tcW w:w="0" w:type="auto"/>
            <w:vMerge w:val="restart"/>
            <w:tcMar>
              <w:top w:w="30" w:type="dxa"/>
              <w:left w:w="45" w:type="dxa"/>
              <w:bottom w:w="30" w:type="dxa"/>
              <w:right w:w="45" w:type="dxa"/>
            </w:tcMar>
            <w:vAlign w:val="center"/>
            <w:hideMark/>
          </w:tcPr>
          <w:p w14:paraId="749E239E" w14:textId="77777777" w:rsidR="00A94E02" w:rsidRPr="00A94E02" w:rsidRDefault="00A94E02" w:rsidP="00AA4BBB">
            <w:pPr>
              <w:jc w:val="center"/>
              <w:rPr>
                <w:rFonts w:cs="Arial"/>
                <w:b/>
                <w:bCs/>
                <w:sz w:val="20"/>
                <w:szCs w:val="20"/>
              </w:rPr>
            </w:pPr>
            <w:r w:rsidRPr="00A94E02">
              <w:rPr>
                <w:rFonts w:cs="Arial"/>
                <w:b/>
                <w:bCs/>
                <w:sz w:val="20"/>
                <w:szCs w:val="20"/>
              </w:rPr>
              <w:t>11.477.902.548</w:t>
            </w:r>
          </w:p>
        </w:tc>
      </w:tr>
      <w:tr w:rsidR="00A94E02" w:rsidRPr="00A94E02" w14:paraId="57AD91B7" w14:textId="77777777" w:rsidTr="00A94E02">
        <w:tc>
          <w:tcPr>
            <w:tcW w:w="0" w:type="auto"/>
            <w:vMerge/>
            <w:vAlign w:val="center"/>
            <w:hideMark/>
          </w:tcPr>
          <w:p w14:paraId="56CED223" w14:textId="77777777" w:rsidR="00A94E02" w:rsidRPr="00A94E02" w:rsidRDefault="00A94E02" w:rsidP="00AA4BBB">
            <w:pPr>
              <w:rPr>
                <w:rFonts w:cs="Arial"/>
                <w:sz w:val="20"/>
                <w:szCs w:val="20"/>
              </w:rPr>
            </w:pPr>
          </w:p>
        </w:tc>
        <w:tc>
          <w:tcPr>
            <w:tcW w:w="0" w:type="auto"/>
            <w:tcMar>
              <w:top w:w="30" w:type="dxa"/>
              <w:left w:w="45" w:type="dxa"/>
              <w:bottom w:w="30" w:type="dxa"/>
              <w:right w:w="45" w:type="dxa"/>
            </w:tcMar>
            <w:vAlign w:val="center"/>
            <w:hideMark/>
          </w:tcPr>
          <w:p w14:paraId="57606327" w14:textId="77777777" w:rsidR="00A94E02" w:rsidRPr="00A94E02" w:rsidRDefault="00A94E02" w:rsidP="00AA4BBB">
            <w:pPr>
              <w:jc w:val="center"/>
              <w:rPr>
                <w:rFonts w:cs="Arial"/>
                <w:sz w:val="20"/>
                <w:szCs w:val="20"/>
              </w:rPr>
            </w:pPr>
            <w:r w:rsidRPr="00A94E02">
              <w:rPr>
                <w:rFonts w:cs="Arial"/>
                <w:sz w:val="20"/>
                <w:szCs w:val="20"/>
              </w:rPr>
              <w:t>2.859.609.655</w:t>
            </w:r>
          </w:p>
        </w:tc>
        <w:tc>
          <w:tcPr>
            <w:tcW w:w="0" w:type="auto"/>
            <w:tcMar>
              <w:top w:w="30" w:type="dxa"/>
              <w:left w:w="45" w:type="dxa"/>
              <w:bottom w:w="30" w:type="dxa"/>
              <w:right w:w="45" w:type="dxa"/>
            </w:tcMar>
            <w:vAlign w:val="center"/>
            <w:hideMark/>
          </w:tcPr>
          <w:p w14:paraId="27C8B23A" w14:textId="77777777" w:rsidR="00A94E02" w:rsidRPr="00A94E02" w:rsidRDefault="00A94E02" w:rsidP="00AA4BBB">
            <w:pPr>
              <w:jc w:val="center"/>
              <w:rPr>
                <w:rFonts w:cs="Arial"/>
                <w:sz w:val="20"/>
                <w:szCs w:val="20"/>
              </w:rPr>
            </w:pPr>
            <w:r w:rsidRPr="00A94E02">
              <w:rPr>
                <w:rFonts w:cs="Arial"/>
                <w:sz w:val="20"/>
                <w:szCs w:val="20"/>
              </w:rPr>
              <w:t>2.959.092.926</w:t>
            </w:r>
          </w:p>
        </w:tc>
        <w:tc>
          <w:tcPr>
            <w:tcW w:w="0" w:type="auto"/>
            <w:tcMar>
              <w:top w:w="30" w:type="dxa"/>
              <w:left w:w="45" w:type="dxa"/>
              <w:bottom w:w="30" w:type="dxa"/>
              <w:right w:w="45" w:type="dxa"/>
            </w:tcMar>
            <w:vAlign w:val="center"/>
            <w:hideMark/>
          </w:tcPr>
          <w:p w14:paraId="596A137D" w14:textId="77777777" w:rsidR="00A94E02" w:rsidRPr="00A94E02" w:rsidRDefault="00A94E02" w:rsidP="00AA4BBB">
            <w:pPr>
              <w:jc w:val="center"/>
              <w:rPr>
                <w:rFonts w:cs="Arial"/>
                <w:sz w:val="20"/>
                <w:szCs w:val="20"/>
              </w:rPr>
            </w:pPr>
            <w:r w:rsidRPr="00A94E02">
              <w:rPr>
                <w:rFonts w:cs="Arial"/>
                <w:sz w:val="20"/>
                <w:szCs w:val="20"/>
              </w:rPr>
              <w:t>2.872.905.754</w:t>
            </w:r>
          </w:p>
        </w:tc>
        <w:tc>
          <w:tcPr>
            <w:tcW w:w="0" w:type="auto"/>
            <w:tcMar>
              <w:top w:w="30" w:type="dxa"/>
              <w:left w:w="45" w:type="dxa"/>
              <w:bottom w:w="30" w:type="dxa"/>
              <w:right w:w="45" w:type="dxa"/>
            </w:tcMar>
            <w:vAlign w:val="center"/>
            <w:hideMark/>
          </w:tcPr>
          <w:p w14:paraId="557A99FF" w14:textId="77777777" w:rsidR="00A94E02" w:rsidRPr="00A94E02" w:rsidRDefault="00A94E02" w:rsidP="00AA4BBB">
            <w:pPr>
              <w:jc w:val="center"/>
              <w:rPr>
                <w:rFonts w:cs="Arial"/>
                <w:sz w:val="20"/>
                <w:szCs w:val="20"/>
              </w:rPr>
            </w:pPr>
            <w:r w:rsidRPr="00A94E02">
              <w:rPr>
                <w:rFonts w:cs="Arial"/>
                <w:sz w:val="20"/>
                <w:szCs w:val="20"/>
              </w:rPr>
              <w:t>2.786.294.213</w:t>
            </w:r>
          </w:p>
        </w:tc>
        <w:tc>
          <w:tcPr>
            <w:tcW w:w="0" w:type="auto"/>
            <w:vMerge/>
            <w:vAlign w:val="center"/>
            <w:hideMark/>
          </w:tcPr>
          <w:p w14:paraId="5B72A194" w14:textId="77777777" w:rsidR="00A94E02" w:rsidRPr="00A94E02" w:rsidRDefault="00A94E02" w:rsidP="00AA4BBB">
            <w:pPr>
              <w:rPr>
                <w:rFonts w:cs="Arial"/>
                <w:b/>
                <w:bCs/>
                <w:sz w:val="20"/>
                <w:szCs w:val="20"/>
              </w:rPr>
            </w:pPr>
          </w:p>
        </w:tc>
      </w:tr>
      <w:tr w:rsidR="00A94E02" w:rsidRPr="00A94E02" w14:paraId="63DECC64" w14:textId="77777777" w:rsidTr="00A94E02">
        <w:tc>
          <w:tcPr>
            <w:tcW w:w="0" w:type="auto"/>
            <w:vMerge w:val="restart"/>
            <w:tcMar>
              <w:top w:w="30" w:type="dxa"/>
              <w:left w:w="45" w:type="dxa"/>
              <w:bottom w:w="30" w:type="dxa"/>
              <w:right w:w="45" w:type="dxa"/>
            </w:tcMar>
            <w:vAlign w:val="center"/>
            <w:hideMark/>
          </w:tcPr>
          <w:p w14:paraId="38BC0959" w14:textId="77777777" w:rsidR="00A94E02" w:rsidRPr="00A94E02" w:rsidRDefault="00A94E02" w:rsidP="00AA4BBB">
            <w:pPr>
              <w:rPr>
                <w:rFonts w:cs="Arial"/>
                <w:sz w:val="20"/>
                <w:szCs w:val="20"/>
              </w:rPr>
            </w:pPr>
            <w:r w:rsidRPr="00A94E02">
              <w:rPr>
                <w:rFonts w:cs="Arial"/>
                <w:sz w:val="20"/>
                <w:szCs w:val="20"/>
              </w:rPr>
              <w:t>Intervenir 7 Plazas Distritales de Mercado para el turismo y el fortalecimiento económico</w:t>
            </w:r>
          </w:p>
        </w:tc>
        <w:tc>
          <w:tcPr>
            <w:tcW w:w="0" w:type="auto"/>
            <w:tcMar>
              <w:top w:w="30" w:type="dxa"/>
              <w:left w:w="45" w:type="dxa"/>
              <w:bottom w:w="30" w:type="dxa"/>
              <w:right w:w="45" w:type="dxa"/>
            </w:tcMar>
            <w:vAlign w:val="center"/>
            <w:hideMark/>
          </w:tcPr>
          <w:p w14:paraId="20BF7C71" w14:textId="77777777" w:rsidR="00A94E02" w:rsidRPr="00A94E02" w:rsidRDefault="00A94E02" w:rsidP="00AA4BBB">
            <w:pPr>
              <w:jc w:val="center"/>
              <w:rPr>
                <w:rFonts w:cs="Arial"/>
                <w:sz w:val="20"/>
                <w:szCs w:val="20"/>
              </w:rPr>
            </w:pPr>
            <w:r w:rsidRPr="00A94E02">
              <w:rPr>
                <w:rFonts w:cs="Arial"/>
                <w:sz w:val="20"/>
                <w:szCs w:val="20"/>
              </w:rPr>
              <w:t>1</w:t>
            </w:r>
          </w:p>
        </w:tc>
        <w:tc>
          <w:tcPr>
            <w:tcW w:w="0" w:type="auto"/>
            <w:tcMar>
              <w:top w:w="30" w:type="dxa"/>
              <w:left w:w="45" w:type="dxa"/>
              <w:bottom w:w="30" w:type="dxa"/>
              <w:right w:w="45" w:type="dxa"/>
            </w:tcMar>
            <w:vAlign w:val="center"/>
            <w:hideMark/>
          </w:tcPr>
          <w:p w14:paraId="6D15BE1C"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tcMar>
              <w:top w:w="30" w:type="dxa"/>
              <w:left w:w="45" w:type="dxa"/>
              <w:bottom w:w="30" w:type="dxa"/>
              <w:right w:w="45" w:type="dxa"/>
            </w:tcMar>
            <w:vAlign w:val="center"/>
            <w:hideMark/>
          </w:tcPr>
          <w:p w14:paraId="762B27D0"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tcMar>
              <w:top w:w="30" w:type="dxa"/>
              <w:left w:w="45" w:type="dxa"/>
              <w:bottom w:w="30" w:type="dxa"/>
              <w:right w:w="45" w:type="dxa"/>
            </w:tcMar>
            <w:vAlign w:val="center"/>
            <w:hideMark/>
          </w:tcPr>
          <w:p w14:paraId="70A34946"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vMerge w:val="restart"/>
            <w:tcMar>
              <w:top w:w="30" w:type="dxa"/>
              <w:left w:w="45" w:type="dxa"/>
              <w:bottom w:w="30" w:type="dxa"/>
              <w:right w:w="45" w:type="dxa"/>
            </w:tcMar>
            <w:vAlign w:val="center"/>
            <w:hideMark/>
          </w:tcPr>
          <w:p w14:paraId="433F063B" w14:textId="77777777" w:rsidR="00A94E02" w:rsidRPr="00A94E02" w:rsidRDefault="00A94E02" w:rsidP="00AA4BBB">
            <w:pPr>
              <w:jc w:val="center"/>
              <w:rPr>
                <w:rFonts w:cs="Arial"/>
                <w:b/>
                <w:bCs/>
                <w:sz w:val="20"/>
                <w:szCs w:val="20"/>
              </w:rPr>
            </w:pPr>
            <w:r w:rsidRPr="00A94E02">
              <w:rPr>
                <w:rFonts w:cs="Arial"/>
                <w:b/>
                <w:bCs/>
                <w:sz w:val="20"/>
                <w:szCs w:val="20"/>
              </w:rPr>
              <w:t>2.276.401.517</w:t>
            </w:r>
          </w:p>
        </w:tc>
      </w:tr>
      <w:tr w:rsidR="00A94E02" w:rsidRPr="00A94E02" w14:paraId="4E51B6E5" w14:textId="77777777" w:rsidTr="00A94E02">
        <w:tc>
          <w:tcPr>
            <w:tcW w:w="0" w:type="auto"/>
            <w:vMerge/>
            <w:vAlign w:val="center"/>
            <w:hideMark/>
          </w:tcPr>
          <w:p w14:paraId="7553F2B0" w14:textId="77777777" w:rsidR="00A94E02" w:rsidRPr="00A94E02" w:rsidRDefault="00A94E02" w:rsidP="00AA4BBB">
            <w:pPr>
              <w:rPr>
                <w:rFonts w:cs="Arial"/>
                <w:sz w:val="20"/>
                <w:szCs w:val="20"/>
              </w:rPr>
            </w:pPr>
          </w:p>
        </w:tc>
        <w:tc>
          <w:tcPr>
            <w:tcW w:w="0" w:type="auto"/>
            <w:tcMar>
              <w:top w:w="30" w:type="dxa"/>
              <w:left w:w="45" w:type="dxa"/>
              <w:bottom w:w="30" w:type="dxa"/>
              <w:right w:w="45" w:type="dxa"/>
            </w:tcMar>
            <w:vAlign w:val="center"/>
            <w:hideMark/>
          </w:tcPr>
          <w:p w14:paraId="30924C64" w14:textId="77777777" w:rsidR="00A94E02" w:rsidRPr="00A94E02" w:rsidRDefault="00A94E02" w:rsidP="00AA4BBB">
            <w:pPr>
              <w:jc w:val="center"/>
              <w:rPr>
                <w:rFonts w:cs="Arial"/>
                <w:sz w:val="20"/>
                <w:szCs w:val="20"/>
              </w:rPr>
            </w:pPr>
            <w:r w:rsidRPr="00A94E02">
              <w:rPr>
                <w:rFonts w:cs="Arial"/>
                <w:sz w:val="20"/>
                <w:szCs w:val="20"/>
              </w:rPr>
              <w:t>200.000.000</w:t>
            </w:r>
          </w:p>
        </w:tc>
        <w:tc>
          <w:tcPr>
            <w:tcW w:w="0" w:type="auto"/>
            <w:tcMar>
              <w:top w:w="30" w:type="dxa"/>
              <w:left w:w="45" w:type="dxa"/>
              <w:bottom w:w="30" w:type="dxa"/>
              <w:right w:w="45" w:type="dxa"/>
            </w:tcMar>
            <w:vAlign w:val="center"/>
            <w:hideMark/>
          </w:tcPr>
          <w:p w14:paraId="778954F1" w14:textId="77777777" w:rsidR="00A94E02" w:rsidRPr="00A94E02" w:rsidRDefault="00A94E02" w:rsidP="00AA4BBB">
            <w:pPr>
              <w:jc w:val="center"/>
              <w:rPr>
                <w:rFonts w:cs="Arial"/>
                <w:sz w:val="20"/>
                <w:szCs w:val="20"/>
              </w:rPr>
            </w:pPr>
            <w:r w:rsidRPr="00A94E02">
              <w:rPr>
                <w:rFonts w:cs="Arial"/>
                <w:sz w:val="20"/>
                <w:szCs w:val="20"/>
              </w:rPr>
              <w:t>582.524.272</w:t>
            </w:r>
          </w:p>
        </w:tc>
        <w:tc>
          <w:tcPr>
            <w:tcW w:w="0" w:type="auto"/>
            <w:tcMar>
              <w:top w:w="30" w:type="dxa"/>
              <w:left w:w="45" w:type="dxa"/>
              <w:bottom w:w="30" w:type="dxa"/>
              <w:right w:w="45" w:type="dxa"/>
            </w:tcMar>
            <w:vAlign w:val="center"/>
            <w:hideMark/>
          </w:tcPr>
          <w:p w14:paraId="6A8C9FBA" w14:textId="77777777" w:rsidR="00A94E02" w:rsidRPr="00A94E02" w:rsidRDefault="00A94E02" w:rsidP="00AA4BBB">
            <w:pPr>
              <w:jc w:val="center"/>
              <w:rPr>
                <w:rFonts w:cs="Arial"/>
                <w:sz w:val="20"/>
                <w:szCs w:val="20"/>
              </w:rPr>
            </w:pPr>
            <w:r w:rsidRPr="00A94E02">
              <w:rPr>
                <w:rFonts w:cs="Arial"/>
                <w:sz w:val="20"/>
                <w:szCs w:val="20"/>
              </w:rPr>
              <w:t>706.946.932</w:t>
            </w:r>
          </w:p>
        </w:tc>
        <w:tc>
          <w:tcPr>
            <w:tcW w:w="0" w:type="auto"/>
            <w:tcMar>
              <w:top w:w="30" w:type="dxa"/>
              <w:left w:w="45" w:type="dxa"/>
              <w:bottom w:w="30" w:type="dxa"/>
              <w:right w:w="45" w:type="dxa"/>
            </w:tcMar>
            <w:vAlign w:val="center"/>
            <w:hideMark/>
          </w:tcPr>
          <w:p w14:paraId="2FD89E47" w14:textId="77777777" w:rsidR="00A94E02" w:rsidRPr="00A94E02" w:rsidRDefault="00A94E02" w:rsidP="00AA4BBB">
            <w:pPr>
              <w:jc w:val="center"/>
              <w:rPr>
                <w:rFonts w:cs="Arial"/>
                <w:sz w:val="20"/>
                <w:szCs w:val="20"/>
              </w:rPr>
            </w:pPr>
            <w:r w:rsidRPr="00A94E02">
              <w:rPr>
                <w:rFonts w:cs="Arial"/>
                <w:sz w:val="20"/>
                <w:szCs w:val="20"/>
              </w:rPr>
              <w:t>786.930.313</w:t>
            </w:r>
          </w:p>
        </w:tc>
        <w:tc>
          <w:tcPr>
            <w:tcW w:w="0" w:type="auto"/>
            <w:vMerge/>
            <w:vAlign w:val="center"/>
            <w:hideMark/>
          </w:tcPr>
          <w:p w14:paraId="243CDF5D" w14:textId="77777777" w:rsidR="00A94E02" w:rsidRPr="00A94E02" w:rsidRDefault="00A94E02" w:rsidP="00AA4BBB">
            <w:pPr>
              <w:rPr>
                <w:rFonts w:cs="Arial"/>
                <w:b/>
                <w:bCs/>
                <w:sz w:val="20"/>
                <w:szCs w:val="20"/>
              </w:rPr>
            </w:pPr>
          </w:p>
        </w:tc>
      </w:tr>
      <w:tr w:rsidR="00A94E02" w:rsidRPr="00A94E02" w14:paraId="6D0972D4" w14:textId="77777777" w:rsidTr="00A94E02">
        <w:tc>
          <w:tcPr>
            <w:tcW w:w="0" w:type="auto"/>
            <w:vMerge w:val="restart"/>
            <w:tcMar>
              <w:top w:w="30" w:type="dxa"/>
              <w:left w:w="45" w:type="dxa"/>
              <w:bottom w:w="30" w:type="dxa"/>
              <w:right w:w="45" w:type="dxa"/>
            </w:tcMar>
            <w:vAlign w:val="center"/>
            <w:hideMark/>
          </w:tcPr>
          <w:p w14:paraId="2FE24D4D" w14:textId="77777777" w:rsidR="00A94E02" w:rsidRPr="00A94E02" w:rsidRDefault="00A94E02" w:rsidP="00AA4BBB">
            <w:pPr>
              <w:rPr>
                <w:rFonts w:cs="Arial"/>
                <w:sz w:val="20"/>
                <w:szCs w:val="20"/>
              </w:rPr>
            </w:pPr>
            <w:r w:rsidRPr="00A94E02">
              <w:rPr>
                <w:rFonts w:cs="Arial"/>
                <w:sz w:val="20"/>
                <w:szCs w:val="20"/>
              </w:rPr>
              <w:t>Intervenir la infraestructura de 17 Plazas Distritales de Mercado en Mantenimiento Embellecimiento y/o reforzamiento estructural</w:t>
            </w:r>
          </w:p>
        </w:tc>
        <w:tc>
          <w:tcPr>
            <w:tcW w:w="0" w:type="auto"/>
            <w:tcMar>
              <w:top w:w="30" w:type="dxa"/>
              <w:left w:w="45" w:type="dxa"/>
              <w:bottom w:w="30" w:type="dxa"/>
              <w:right w:w="45" w:type="dxa"/>
            </w:tcMar>
            <w:vAlign w:val="center"/>
            <w:hideMark/>
          </w:tcPr>
          <w:p w14:paraId="17BC6236" w14:textId="77777777" w:rsidR="00A94E02" w:rsidRPr="00A94E02" w:rsidRDefault="00A94E02" w:rsidP="00AA4BBB">
            <w:pPr>
              <w:jc w:val="center"/>
              <w:rPr>
                <w:rFonts w:cs="Arial"/>
                <w:sz w:val="20"/>
                <w:szCs w:val="20"/>
              </w:rPr>
            </w:pPr>
            <w:r w:rsidRPr="00A94E02">
              <w:rPr>
                <w:rFonts w:cs="Arial"/>
                <w:sz w:val="20"/>
                <w:szCs w:val="20"/>
              </w:rPr>
              <w:t>17</w:t>
            </w:r>
          </w:p>
        </w:tc>
        <w:tc>
          <w:tcPr>
            <w:tcW w:w="0" w:type="auto"/>
            <w:tcMar>
              <w:top w:w="30" w:type="dxa"/>
              <w:left w:w="45" w:type="dxa"/>
              <w:bottom w:w="30" w:type="dxa"/>
              <w:right w:w="45" w:type="dxa"/>
            </w:tcMar>
            <w:vAlign w:val="center"/>
            <w:hideMark/>
          </w:tcPr>
          <w:p w14:paraId="31105FED" w14:textId="77777777" w:rsidR="00A94E02" w:rsidRPr="00A94E02" w:rsidRDefault="00A94E02" w:rsidP="00AA4BBB">
            <w:pPr>
              <w:jc w:val="center"/>
              <w:rPr>
                <w:rFonts w:cs="Arial"/>
                <w:sz w:val="20"/>
                <w:szCs w:val="20"/>
              </w:rPr>
            </w:pPr>
            <w:r w:rsidRPr="00A94E02">
              <w:rPr>
                <w:rFonts w:cs="Arial"/>
                <w:sz w:val="20"/>
                <w:szCs w:val="20"/>
              </w:rPr>
              <w:t>17</w:t>
            </w:r>
          </w:p>
        </w:tc>
        <w:tc>
          <w:tcPr>
            <w:tcW w:w="0" w:type="auto"/>
            <w:tcMar>
              <w:top w:w="30" w:type="dxa"/>
              <w:left w:w="45" w:type="dxa"/>
              <w:bottom w:w="30" w:type="dxa"/>
              <w:right w:w="45" w:type="dxa"/>
            </w:tcMar>
            <w:vAlign w:val="center"/>
            <w:hideMark/>
          </w:tcPr>
          <w:p w14:paraId="5C3CC450" w14:textId="77777777" w:rsidR="00A94E02" w:rsidRPr="00A94E02" w:rsidRDefault="00A94E02" w:rsidP="00AA4BBB">
            <w:pPr>
              <w:jc w:val="center"/>
              <w:rPr>
                <w:rFonts w:cs="Arial"/>
                <w:sz w:val="20"/>
                <w:szCs w:val="20"/>
              </w:rPr>
            </w:pPr>
            <w:r w:rsidRPr="00A94E02">
              <w:rPr>
                <w:rFonts w:cs="Arial"/>
                <w:sz w:val="20"/>
                <w:szCs w:val="20"/>
              </w:rPr>
              <w:t>17</w:t>
            </w:r>
          </w:p>
        </w:tc>
        <w:tc>
          <w:tcPr>
            <w:tcW w:w="0" w:type="auto"/>
            <w:tcMar>
              <w:top w:w="30" w:type="dxa"/>
              <w:left w:w="45" w:type="dxa"/>
              <w:bottom w:w="30" w:type="dxa"/>
              <w:right w:w="45" w:type="dxa"/>
            </w:tcMar>
            <w:vAlign w:val="center"/>
            <w:hideMark/>
          </w:tcPr>
          <w:p w14:paraId="22441A44" w14:textId="77777777" w:rsidR="00A94E02" w:rsidRPr="00A94E02" w:rsidRDefault="00A94E02" w:rsidP="00AA4BBB">
            <w:pPr>
              <w:jc w:val="center"/>
              <w:rPr>
                <w:rFonts w:cs="Arial"/>
                <w:sz w:val="20"/>
                <w:szCs w:val="20"/>
              </w:rPr>
            </w:pPr>
            <w:r w:rsidRPr="00A94E02">
              <w:rPr>
                <w:rFonts w:cs="Arial"/>
                <w:sz w:val="20"/>
                <w:szCs w:val="20"/>
              </w:rPr>
              <w:t>17</w:t>
            </w:r>
          </w:p>
        </w:tc>
        <w:tc>
          <w:tcPr>
            <w:tcW w:w="0" w:type="auto"/>
            <w:vMerge w:val="restart"/>
            <w:tcMar>
              <w:top w:w="30" w:type="dxa"/>
              <w:left w:w="45" w:type="dxa"/>
              <w:bottom w:w="30" w:type="dxa"/>
              <w:right w:w="45" w:type="dxa"/>
            </w:tcMar>
            <w:vAlign w:val="center"/>
            <w:hideMark/>
          </w:tcPr>
          <w:p w14:paraId="29B05714" w14:textId="77777777" w:rsidR="00A94E02" w:rsidRPr="00A94E02" w:rsidRDefault="00A94E02" w:rsidP="00AA4BBB">
            <w:pPr>
              <w:jc w:val="center"/>
              <w:rPr>
                <w:rFonts w:cs="Arial"/>
                <w:b/>
                <w:bCs/>
                <w:sz w:val="20"/>
                <w:szCs w:val="20"/>
              </w:rPr>
            </w:pPr>
            <w:r w:rsidRPr="00A94E02">
              <w:rPr>
                <w:rFonts w:cs="Arial"/>
                <w:b/>
                <w:bCs/>
                <w:sz w:val="20"/>
                <w:szCs w:val="20"/>
              </w:rPr>
              <w:t>38.114.624.055</w:t>
            </w:r>
          </w:p>
        </w:tc>
      </w:tr>
      <w:tr w:rsidR="00A94E02" w:rsidRPr="00A94E02" w14:paraId="6366CFD5" w14:textId="77777777" w:rsidTr="00A94E02">
        <w:tc>
          <w:tcPr>
            <w:tcW w:w="0" w:type="auto"/>
            <w:vMerge/>
            <w:vAlign w:val="center"/>
            <w:hideMark/>
          </w:tcPr>
          <w:p w14:paraId="1E8723AE" w14:textId="77777777" w:rsidR="00A94E02" w:rsidRPr="00A94E02" w:rsidRDefault="00A94E02" w:rsidP="00AA4BBB">
            <w:pPr>
              <w:rPr>
                <w:rFonts w:cs="Arial"/>
                <w:sz w:val="20"/>
                <w:szCs w:val="20"/>
              </w:rPr>
            </w:pPr>
          </w:p>
        </w:tc>
        <w:tc>
          <w:tcPr>
            <w:tcW w:w="0" w:type="auto"/>
            <w:tcMar>
              <w:top w:w="30" w:type="dxa"/>
              <w:left w:w="45" w:type="dxa"/>
              <w:bottom w:w="30" w:type="dxa"/>
              <w:right w:w="45" w:type="dxa"/>
            </w:tcMar>
            <w:vAlign w:val="center"/>
            <w:hideMark/>
          </w:tcPr>
          <w:p w14:paraId="41709D02" w14:textId="77777777" w:rsidR="00A94E02" w:rsidRPr="00A94E02" w:rsidRDefault="00A94E02" w:rsidP="00AA4BBB">
            <w:pPr>
              <w:jc w:val="center"/>
              <w:rPr>
                <w:rFonts w:cs="Arial"/>
                <w:sz w:val="20"/>
                <w:szCs w:val="20"/>
              </w:rPr>
            </w:pPr>
            <w:r w:rsidRPr="00A94E02">
              <w:rPr>
                <w:rFonts w:cs="Arial"/>
                <w:sz w:val="20"/>
                <w:szCs w:val="20"/>
              </w:rPr>
              <w:t>11.400.000.000</w:t>
            </w:r>
          </w:p>
        </w:tc>
        <w:tc>
          <w:tcPr>
            <w:tcW w:w="0" w:type="auto"/>
            <w:tcMar>
              <w:top w:w="30" w:type="dxa"/>
              <w:left w:w="45" w:type="dxa"/>
              <w:bottom w:w="30" w:type="dxa"/>
              <w:right w:w="45" w:type="dxa"/>
            </w:tcMar>
            <w:vAlign w:val="center"/>
            <w:hideMark/>
          </w:tcPr>
          <w:p w14:paraId="1844248E" w14:textId="77777777" w:rsidR="00A94E02" w:rsidRPr="00A94E02" w:rsidRDefault="00A94E02" w:rsidP="00AA4BBB">
            <w:pPr>
              <w:jc w:val="center"/>
              <w:rPr>
                <w:rFonts w:cs="Arial"/>
                <w:sz w:val="20"/>
                <w:szCs w:val="20"/>
              </w:rPr>
            </w:pPr>
            <w:r w:rsidRPr="00A94E02">
              <w:rPr>
                <w:rFonts w:cs="Arial"/>
                <w:sz w:val="20"/>
                <w:szCs w:val="20"/>
              </w:rPr>
              <w:t>8.203.883.495</w:t>
            </w:r>
          </w:p>
        </w:tc>
        <w:tc>
          <w:tcPr>
            <w:tcW w:w="0" w:type="auto"/>
            <w:tcMar>
              <w:top w:w="30" w:type="dxa"/>
              <w:left w:w="45" w:type="dxa"/>
              <w:bottom w:w="30" w:type="dxa"/>
              <w:right w:w="45" w:type="dxa"/>
            </w:tcMar>
            <w:vAlign w:val="center"/>
            <w:hideMark/>
          </w:tcPr>
          <w:p w14:paraId="093B125D" w14:textId="77777777" w:rsidR="00A94E02" w:rsidRPr="00A94E02" w:rsidRDefault="00A94E02" w:rsidP="00AA4BBB">
            <w:pPr>
              <w:jc w:val="center"/>
              <w:rPr>
                <w:rFonts w:cs="Arial"/>
                <w:sz w:val="20"/>
                <w:szCs w:val="20"/>
              </w:rPr>
            </w:pPr>
            <w:r w:rsidRPr="00A94E02">
              <w:rPr>
                <w:rFonts w:cs="Arial"/>
                <w:sz w:val="20"/>
                <w:szCs w:val="20"/>
              </w:rPr>
              <w:t>9.771.137.713</w:t>
            </w:r>
          </w:p>
        </w:tc>
        <w:tc>
          <w:tcPr>
            <w:tcW w:w="0" w:type="auto"/>
            <w:tcMar>
              <w:top w:w="30" w:type="dxa"/>
              <w:left w:w="45" w:type="dxa"/>
              <w:bottom w:w="30" w:type="dxa"/>
              <w:right w:w="45" w:type="dxa"/>
            </w:tcMar>
            <w:vAlign w:val="center"/>
            <w:hideMark/>
          </w:tcPr>
          <w:p w14:paraId="3A3C24CB" w14:textId="77777777" w:rsidR="00A94E02" w:rsidRPr="00A94E02" w:rsidRDefault="00A94E02" w:rsidP="00AA4BBB">
            <w:pPr>
              <w:jc w:val="center"/>
              <w:rPr>
                <w:rFonts w:cs="Arial"/>
                <w:sz w:val="20"/>
                <w:szCs w:val="20"/>
              </w:rPr>
            </w:pPr>
            <w:r w:rsidRPr="00A94E02">
              <w:rPr>
                <w:rFonts w:cs="Arial"/>
                <w:sz w:val="20"/>
                <w:szCs w:val="20"/>
              </w:rPr>
              <w:t>8.739.602.847</w:t>
            </w:r>
          </w:p>
        </w:tc>
        <w:tc>
          <w:tcPr>
            <w:tcW w:w="0" w:type="auto"/>
            <w:vMerge/>
            <w:vAlign w:val="center"/>
            <w:hideMark/>
          </w:tcPr>
          <w:p w14:paraId="305C63A0" w14:textId="77777777" w:rsidR="00A94E02" w:rsidRPr="00A94E02" w:rsidRDefault="00A94E02" w:rsidP="00AA4BBB">
            <w:pPr>
              <w:rPr>
                <w:rFonts w:cs="Arial"/>
                <w:b/>
                <w:bCs/>
                <w:sz w:val="20"/>
                <w:szCs w:val="20"/>
              </w:rPr>
            </w:pPr>
          </w:p>
        </w:tc>
      </w:tr>
      <w:tr w:rsidR="00A94E02" w:rsidRPr="00A94E02" w14:paraId="60BDA368" w14:textId="77777777" w:rsidTr="00A94E02">
        <w:tc>
          <w:tcPr>
            <w:tcW w:w="0" w:type="auto"/>
            <w:vMerge w:val="restart"/>
            <w:tcMar>
              <w:top w:w="30" w:type="dxa"/>
              <w:left w:w="45" w:type="dxa"/>
              <w:bottom w:w="30" w:type="dxa"/>
              <w:right w:w="45" w:type="dxa"/>
            </w:tcMar>
            <w:vAlign w:val="center"/>
            <w:hideMark/>
          </w:tcPr>
          <w:p w14:paraId="7A400EFE" w14:textId="77777777" w:rsidR="00A94E02" w:rsidRPr="00A94E02" w:rsidRDefault="00A94E02" w:rsidP="00AA4BBB">
            <w:pPr>
              <w:rPr>
                <w:rFonts w:cs="Arial"/>
                <w:sz w:val="20"/>
                <w:szCs w:val="20"/>
              </w:rPr>
            </w:pPr>
            <w:r w:rsidRPr="00A94E02">
              <w:rPr>
                <w:rFonts w:cs="Arial"/>
                <w:sz w:val="20"/>
                <w:szCs w:val="20"/>
              </w:rPr>
              <w:t>Realizar 2 acciones permanentes para la operatividad de las plazas distritales de mercado.</w:t>
            </w:r>
          </w:p>
        </w:tc>
        <w:tc>
          <w:tcPr>
            <w:tcW w:w="0" w:type="auto"/>
            <w:tcMar>
              <w:top w:w="30" w:type="dxa"/>
              <w:left w:w="45" w:type="dxa"/>
              <w:bottom w:w="30" w:type="dxa"/>
              <w:right w:w="45" w:type="dxa"/>
            </w:tcMar>
            <w:vAlign w:val="center"/>
            <w:hideMark/>
          </w:tcPr>
          <w:p w14:paraId="068C26B4"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tcMar>
              <w:top w:w="30" w:type="dxa"/>
              <w:left w:w="45" w:type="dxa"/>
              <w:bottom w:w="30" w:type="dxa"/>
              <w:right w:w="45" w:type="dxa"/>
            </w:tcMar>
            <w:vAlign w:val="center"/>
            <w:hideMark/>
          </w:tcPr>
          <w:p w14:paraId="49B587C1"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tcMar>
              <w:top w:w="30" w:type="dxa"/>
              <w:left w:w="45" w:type="dxa"/>
              <w:bottom w:w="30" w:type="dxa"/>
              <w:right w:w="45" w:type="dxa"/>
            </w:tcMar>
            <w:vAlign w:val="center"/>
            <w:hideMark/>
          </w:tcPr>
          <w:p w14:paraId="5425D213"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tcMar>
              <w:top w:w="30" w:type="dxa"/>
              <w:left w:w="45" w:type="dxa"/>
              <w:bottom w:w="30" w:type="dxa"/>
              <w:right w:w="45" w:type="dxa"/>
            </w:tcMar>
            <w:vAlign w:val="center"/>
            <w:hideMark/>
          </w:tcPr>
          <w:p w14:paraId="49F9105F" w14:textId="77777777" w:rsidR="00A94E02" w:rsidRPr="00A94E02" w:rsidRDefault="00A94E02" w:rsidP="00AA4BBB">
            <w:pPr>
              <w:jc w:val="center"/>
              <w:rPr>
                <w:rFonts w:cs="Arial"/>
                <w:sz w:val="20"/>
                <w:szCs w:val="20"/>
              </w:rPr>
            </w:pPr>
            <w:r w:rsidRPr="00A94E02">
              <w:rPr>
                <w:rFonts w:cs="Arial"/>
                <w:sz w:val="20"/>
                <w:szCs w:val="20"/>
              </w:rPr>
              <w:t>2</w:t>
            </w:r>
          </w:p>
        </w:tc>
        <w:tc>
          <w:tcPr>
            <w:tcW w:w="0" w:type="auto"/>
            <w:vMerge w:val="restart"/>
            <w:tcMar>
              <w:top w:w="30" w:type="dxa"/>
              <w:left w:w="45" w:type="dxa"/>
              <w:bottom w:w="30" w:type="dxa"/>
              <w:right w:w="45" w:type="dxa"/>
            </w:tcMar>
            <w:vAlign w:val="center"/>
            <w:hideMark/>
          </w:tcPr>
          <w:p w14:paraId="72F5F4CF" w14:textId="77777777" w:rsidR="00A94E02" w:rsidRPr="00A94E02" w:rsidRDefault="00A94E02" w:rsidP="00AA4BBB">
            <w:pPr>
              <w:jc w:val="center"/>
              <w:rPr>
                <w:rFonts w:cs="Arial"/>
                <w:b/>
                <w:bCs/>
                <w:sz w:val="20"/>
                <w:szCs w:val="20"/>
              </w:rPr>
            </w:pPr>
            <w:r w:rsidRPr="00A94E02">
              <w:rPr>
                <w:rFonts w:cs="Arial"/>
                <w:b/>
                <w:bCs/>
                <w:sz w:val="20"/>
                <w:szCs w:val="20"/>
              </w:rPr>
              <w:t>79.146.182.352</w:t>
            </w:r>
          </w:p>
        </w:tc>
      </w:tr>
      <w:tr w:rsidR="00A94E02" w:rsidRPr="00A94E02" w14:paraId="0974922A" w14:textId="77777777" w:rsidTr="00A94E02">
        <w:tc>
          <w:tcPr>
            <w:tcW w:w="0" w:type="auto"/>
            <w:vMerge/>
            <w:vAlign w:val="center"/>
            <w:hideMark/>
          </w:tcPr>
          <w:p w14:paraId="6632B082" w14:textId="77777777" w:rsidR="00A94E02" w:rsidRPr="00A94E02" w:rsidRDefault="00A94E02" w:rsidP="00AA4BBB">
            <w:pPr>
              <w:rPr>
                <w:rFonts w:cs="Arial"/>
                <w:sz w:val="20"/>
                <w:szCs w:val="20"/>
              </w:rPr>
            </w:pPr>
          </w:p>
        </w:tc>
        <w:tc>
          <w:tcPr>
            <w:tcW w:w="0" w:type="auto"/>
            <w:tcMar>
              <w:top w:w="30" w:type="dxa"/>
              <w:left w:w="45" w:type="dxa"/>
              <w:bottom w:w="30" w:type="dxa"/>
              <w:right w:w="45" w:type="dxa"/>
            </w:tcMar>
            <w:vAlign w:val="center"/>
            <w:hideMark/>
          </w:tcPr>
          <w:p w14:paraId="41AA625D" w14:textId="77777777" w:rsidR="00A94E02" w:rsidRPr="00A94E02" w:rsidRDefault="00A94E02" w:rsidP="00AA4BBB">
            <w:pPr>
              <w:jc w:val="center"/>
              <w:rPr>
                <w:rFonts w:cs="Arial"/>
                <w:sz w:val="20"/>
                <w:szCs w:val="20"/>
              </w:rPr>
            </w:pPr>
            <w:r w:rsidRPr="00A94E02">
              <w:rPr>
                <w:rFonts w:cs="Arial"/>
                <w:sz w:val="20"/>
                <w:szCs w:val="20"/>
              </w:rPr>
              <w:t>15.439.076.554</w:t>
            </w:r>
          </w:p>
        </w:tc>
        <w:tc>
          <w:tcPr>
            <w:tcW w:w="0" w:type="auto"/>
            <w:tcMar>
              <w:top w:w="30" w:type="dxa"/>
              <w:left w:w="45" w:type="dxa"/>
              <w:bottom w:w="30" w:type="dxa"/>
              <w:right w:w="45" w:type="dxa"/>
            </w:tcMar>
            <w:vAlign w:val="center"/>
            <w:hideMark/>
          </w:tcPr>
          <w:p w14:paraId="408C5C48" w14:textId="77777777" w:rsidR="00A94E02" w:rsidRPr="00A94E02" w:rsidRDefault="00A94E02" w:rsidP="00AA4BBB">
            <w:pPr>
              <w:jc w:val="center"/>
              <w:rPr>
                <w:rFonts w:cs="Arial"/>
                <w:sz w:val="20"/>
                <w:szCs w:val="20"/>
              </w:rPr>
            </w:pPr>
            <w:r w:rsidRPr="00A94E02">
              <w:rPr>
                <w:rFonts w:cs="Arial"/>
                <w:sz w:val="20"/>
                <w:szCs w:val="20"/>
              </w:rPr>
              <w:t>20.194.174.757</w:t>
            </w:r>
          </w:p>
        </w:tc>
        <w:tc>
          <w:tcPr>
            <w:tcW w:w="0" w:type="auto"/>
            <w:tcMar>
              <w:top w:w="30" w:type="dxa"/>
              <w:left w:w="45" w:type="dxa"/>
              <w:bottom w:w="30" w:type="dxa"/>
              <w:right w:w="45" w:type="dxa"/>
            </w:tcMar>
            <w:vAlign w:val="center"/>
            <w:hideMark/>
          </w:tcPr>
          <w:p w14:paraId="63BD0F78" w14:textId="77777777" w:rsidR="00A94E02" w:rsidRPr="00A94E02" w:rsidRDefault="00A94E02" w:rsidP="00AA4BBB">
            <w:pPr>
              <w:jc w:val="center"/>
              <w:rPr>
                <w:rFonts w:cs="Arial"/>
                <w:sz w:val="20"/>
                <w:szCs w:val="20"/>
              </w:rPr>
            </w:pPr>
            <w:r w:rsidRPr="00A94E02">
              <w:rPr>
                <w:rFonts w:cs="Arial"/>
                <w:sz w:val="20"/>
                <w:szCs w:val="20"/>
              </w:rPr>
              <w:t>20.348.482.456</w:t>
            </w:r>
          </w:p>
        </w:tc>
        <w:tc>
          <w:tcPr>
            <w:tcW w:w="0" w:type="auto"/>
            <w:tcMar>
              <w:top w:w="30" w:type="dxa"/>
              <w:left w:w="45" w:type="dxa"/>
              <w:bottom w:w="30" w:type="dxa"/>
              <w:right w:w="45" w:type="dxa"/>
            </w:tcMar>
            <w:vAlign w:val="center"/>
            <w:hideMark/>
          </w:tcPr>
          <w:p w14:paraId="67075C36" w14:textId="77777777" w:rsidR="00A94E02" w:rsidRPr="00A94E02" w:rsidRDefault="00A94E02" w:rsidP="00AA4BBB">
            <w:pPr>
              <w:jc w:val="center"/>
              <w:rPr>
                <w:rFonts w:cs="Arial"/>
                <w:sz w:val="20"/>
                <w:szCs w:val="20"/>
              </w:rPr>
            </w:pPr>
            <w:r w:rsidRPr="00A94E02">
              <w:rPr>
                <w:rFonts w:cs="Arial"/>
                <w:sz w:val="20"/>
                <w:szCs w:val="20"/>
              </w:rPr>
              <w:t>23.164.448.584</w:t>
            </w:r>
          </w:p>
        </w:tc>
        <w:tc>
          <w:tcPr>
            <w:tcW w:w="0" w:type="auto"/>
            <w:vMerge/>
            <w:vAlign w:val="center"/>
            <w:hideMark/>
          </w:tcPr>
          <w:p w14:paraId="206979DB" w14:textId="77777777" w:rsidR="00A94E02" w:rsidRPr="00A94E02" w:rsidRDefault="00A94E02" w:rsidP="00AA4BBB">
            <w:pPr>
              <w:rPr>
                <w:rFonts w:cs="Arial"/>
                <w:b/>
                <w:bCs/>
                <w:sz w:val="20"/>
                <w:szCs w:val="20"/>
              </w:rPr>
            </w:pPr>
          </w:p>
        </w:tc>
      </w:tr>
      <w:tr w:rsidR="00A94E02" w:rsidRPr="00A94E02" w14:paraId="2EA933BC" w14:textId="77777777" w:rsidTr="00A94E02">
        <w:tc>
          <w:tcPr>
            <w:tcW w:w="0" w:type="auto"/>
            <w:gridSpan w:val="6"/>
            <w:shd w:val="clear" w:color="auto" w:fill="C00000"/>
            <w:tcMar>
              <w:top w:w="30" w:type="dxa"/>
              <w:left w:w="45" w:type="dxa"/>
              <w:bottom w:w="30" w:type="dxa"/>
              <w:right w:w="45" w:type="dxa"/>
            </w:tcMar>
            <w:vAlign w:val="center"/>
            <w:hideMark/>
          </w:tcPr>
          <w:p w14:paraId="5818134C" w14:textId="489E9305" w:rsidR="00A94E02" w:rsidRPr="00A94E02" w:rsidRDefault="00A94E02" w:rsidP="00A94E02">
            <w:pPr>
              <w:jc w:val="center"/>
              <w:rPr>
                <w:rFonts w:cs="Arial"/>
                <w:b/>
                <w:bCs/>
                <w:color w:val="FFFFFF" w:themeColor="background1"/>
                <w:sz w:val="20"/>
                <w:szCs w:val="20"/>
              </w:rPr>
            </w:pPr>
            <w:r w:rsidRPr="00A94E02">
              <w:rPr>
                <w:rFonts w:cs="Arial"/>
                <w:b/>
                <w:bCs/>
                <w:color w:val="FFFFFF" w:themeColor="background1"/>
                <w:sz w:val="20"/>
                <w:szCs w:val="20"/>
              </w:rPr>
              <w:t>Integración Social</w:t>
            </w:r>
          </w:p>
        </w:tc>
      </w:tr>
      <w:tr w:rsidR="00A94E02" w:rsidRPr="00A94E02" w14:paraId="4353DE31" w14:textId="77777777" w:rsidTr="00A94E02">
        <w:tc>
          <w:tcPr>
            <w:tcW w:w="0" w:type="auto"/>
            <w:vMerge w:val="restart"/>
            <w:tcMar>
              <w:top w:w="30" w:type="dxa"/>
              <w:left w:w="45" w:type="dxa"/>
              <w:bottom w:w="30" w:type="dxa"/>
              <w:right w:w="45" w:type="dxa"/>
            </w:tcMar>
            <w:vAlign w:val="center"/>
            <w:hideMark/>
          </w:tcPr>
          <w:p w14:paraId="2C328711" w14:textId="77777777" w:rsidR="00A94E02" w:rsidRPr="00A94E02" w:rsidRDefault="00A94E02" w:rsidP="00AA4BBB">
            <w:pPr>
              <w:rPr>
                <w:rFonts w:cs="Arial"/>
                <w:sz w:val="20"/>
                <w:szCs w:val="20"/>
              </w:rPr>
            </w:pPr>
            <w:r w:rsidRPr="00A94E02">
              <w:rPr>
                <w:rFonts w:cs="Arial"/>
                <w:sz w:val="20"/>
                <w:szCs w:val="20"/>
              </w:rPr>
              <w:t xml:space="preserve">Aumentar de 115 a 140 los comedores comunitarios para contribuir la </w:t>
            </w:r>
            <w:r w:rsidRPr="00A94E02">
              <w:rPr>
                <w:rFonts w:cs="Arial"/>
                <w:sz w:val="20"/>
                <w:szCs w:val="20"/>
              </w:rPr>
              <w:lastRenderedPageBreak/>
              <w:t>disminución de la inseguridad alimentaria y nutricional en Bogotá</w:t>
            </w:r>
          </w:p>
        </w:tc>
        <w:tc>
          <w:tcPr>
            <w:tcW w:w="0" w:type="auto"/>
            <w:tcMar>
              <w:top w:w="30" w:type="dxa"/>
              <w:left w:w="45" w:type="dxa"/>
              <w:bottom w:w="30" w:type="dxa"/>
              <w:right w:w="45" w:type="dxa"/>
            </w:tcMar>
            <w:vAlign w:val="center"/>
            <w:hideMark/>
          </w:tcPr>
          <w:p w14:paraId="297473DD" w14:textId="77777777" w:rsidR="00A94E02" w:rsidRPr="00A94E02" w:rsidRDefault="00A94E02" w:rsidP="00AA4BBB">
            <w:pPr>
              <w:jc w:val="center"/>
              <w:rPr>
                <w:rFonts w:cs="Arial"/>
                <w:sz w:val="20"/>
                <w:szCs w:val="20"/>
              </w:rPr>
            </w:pPr>
            <w:r w:rsidRPr="00A94E02">
              <w:rPr>
                <w:rFonts w:cs="Arial"/>
                <w:sz w:val="20"/>
                <w:szCs w:val="20"/>
              </w:rPr>
              <w:lastRenderedPageBreak/>
              <w:t>115</w:t>
            </w:r>
          </w:p>
        </w:tc>
        <w:tc>
          <w:tcPr>
            <w:tcW w:w="0" w:type="auto"/>
            <w:tcMar>
              <w:top w:w="30" w:type="dxa"/>
              <w:left w:w="45" w:type="dxa"/>
              <w:bottom w:w="30" w:type="dxa"/>
              <w:right w:w="45" w:type="dxa"/>
            </w:tcMar>
            <w:vAlign w:val="center"/>
            <w:hideMark/>
          </w:tcPr>
          <w:p w14:paraId="738DB335" w14:textId="77777777" w:rsidR="00A94E02" w:rsidRPr="00A94E02" w:rsidRDefault="00A94E02" w:rsidP="00AA4BBB">
            <w:pPr>
              <w:jc w:val="center"/>
              <w:rPr>
                <w:rFonts w:cs="Arial"/>
                <w:sz w:val="20"/>
                <w:szCs w:val="20"/>
              </w:rPr>
            </w:pPr>
            <w:r w:rsidRPr="00A94E02">
              <w:rPr>
                <w:rFonts w:cs="Arial"/>
                <w:sz w:val="20"/>
                <w:szCs w:val="20"/>
              </w:rPr>
              <w:t>124</w:t>
            </w:r>
          </w:p>
        </w:tc>
        <w:tc>
          <w:tcPr>
            <w:tcW w:w="0" w:type="auto"/>
            <w:tcMar>
              <w:top w:w="30" w:type="dxa"/>
              <w:left w:w="45" w:type="dxa"/>
              <w:bottom w:w="30" w:type="dxa"/>
              <w:right w:w="45" w:type="dxa"/>
            </w:tcMar>
            <w:vAlign w:val="center"/>
            <w:hideMark/>
          </w:tcPr>
          <w:p w14:paraId="1E20F4DD" w14:textId="77777777" w:rsidR="00A94E02" w:rsidRPr="00A94E02" w:rsidRDefault="00A94E02" w:rsidP="00AA4BBB">
            <w:pPr>
              <w:jc w:val="center"/>
              <w:rPr>
                <w:rFonts w:cs="Arial"/>
                <w:sz w:val="20"/>
                <w:szCs w:val="20"/>
              </w:rPr>
            </w:pPr>
            <w:r w:rsidRPr="00A94E02">
              <w:rPr>
                <w:rFonts w:cs="Arial"/>
                <w:sz w:val="20"/>
                <w:szCs w:val="20"/>
              </w:rPr>
              <w:t>133</w:t>
            </w:r>
          </w:p>
        </w:tc>
        <w:tc>
          <w:tcPr>
            <w:tcW w:w="0" w:type="auto"/>
            <w:tcMar>
              <w:top w:w="30" w:type="dxa"/>
              <w:left w:w="45" w:type="dxa"/>
              <w:bottom w:w="30" w:type="dxa"/>
              <w:right w:w="45" w:type="dxa"/>
            </w:tcMar>
            <w:vAlign w:val="center"/>
            <w:hideMark/>
          </w:tcPr>
          <w:p w14:paraId="715E7875" w14:textId="77777777" w:rsidR="00A94E02" w:rsidRPr="00A94E02" w:rsidRDefault="00A94E02" w:rsidP="00AA4BBB">
            <w:pPr>
              <w:jc w:val="center"/>
              <w:rPr>
                <w:rFonts w:cs="Arial"/>
                <w:sz w:val="20"/>
                <w:szCs w:val="20"/>
              </w:rPr>
            </w:pPr>
            <w:r w:rsidRPr="00A94E02">
              <w:rPr>
                <w:rFonts w:cs="Arial"/>
                <w:sz w:val="20"/>
                <w:szCs w:val="20"/>
              </w:rPr>
              <w:t>140</w:t>
            </w:r>
          </w:p>
        </w:tc>
        <w:tc>
          <w:tcPr>
            <w:tcW w:w="0" w:type="auto"/>
            <w:vMerge w:val="restart"/>
            <w:tcMar>
              <w:top w:w="30" w:type="dxa"/>
              <w:left w:w="45" w:type="dxa"/>
              <w:bottom w:w="30" w:type="dxa"/>
              <w:right w:w="45" w:type="dxa"/>
            </w:tcMar>
            <w:vAlign w:val="center"/>
            <w:hideMark/>
          </w:tcPr>
          <w:p w14:paraId="504006DB" w14:textId="77777777" w:rsidR="00A94E02" w:rsidRPr="00A94E02" w:rsidRDefault="00A94E02" w:rsidP="00AA4BBB">
            <w:pPr>
              <w:jc w:val="center"/>
              <w:rPr>
                <w:rFonts w:cs="Arial"/>
                <w:b/>
                <w:bCs/>
                <w:sz w:val="20"/>
                <w:szCs w:val="20"/>
              </w:rPr>
            </w:pPr>
            <w:r w:rsidRPr="00A94E02">
              <w:rPr>
                <w:rFonts w:cs="Arial"/>
                <w:b/>
                <w:bCs/>
                <w:sz w:val="20"/>
                <w:szCs w:val="20"/>
              </w:rPr>
              <w:t>326.791.090.966</w:t>
            </w:r>
          </w:p>
        </w:tc>
      </w:tr>
      <w:tr w:rsidR="00A94E02" w:rsidRPr="00A94E02" w14:paraId="7B1C019C" w14:textId="77777777" w:rsidTr="00A94E02">
        <w:tc>
          <w:tcPr>
            <w:tcW w:w="0" w:type="auto"/>
            <w:vMerge/>
            <w:vAlign w:val="center"/>
            <w:hideMark/>
          </w:tcPr>
          <w:p w14:paraId="037FE774" w14:textId="77777777" w:rsidR="00A94E02" w:rsidRPr="00A94E02" w:rsidRDefault="00A94E02" w:rsidP="00AA4BBB">
            <w:pPr>
              <w:rPr>
                <w:rFonts w:cs="Arial"/>
                <w:sz w:val="20"/>
                <w:szCs w:val="20"/>
              </w:rPr>
            </w:pPr>
          </w:p>
        </w:tc>
        <w:tc>
          <w:tcPr>
            <w:tcW w:w="0" w:type="auto"/>
            <w:tcMar>
              <w:top w:w="30" w:type="dxa"/>
              <w:left w:w="45" w:type="dxa"/>
              <w:bottom w:w="30" w:type="dxa"/>
              <w:right w:w="45" w:type="dxa"/>
            </w:tcMar>
            <w:vAlign w:val="center"/>
            <w:hideMark/>
          </w:tcPr>
          <w:p w14:paraId="5CDF04F6" w14:textId="77777777" w:rsidR="00A94E02" w:rsidRPr="00A94E02" w:rsidRDefault="00A94E02" w:rsidP="00AA4BBB">
            <w:pPr>
              <w:jc w:val="center"/>
              <w:rPr>
                <w:rFonts w:cs="Arial"/>
                <w:sz w:val="20"/>
                <w:szCs w:val="20"/>
              </w:rPr>
            </w:pPr>
            <w:r w:rsidRPr="00A94E02">
              <w:rPr>
                <w:rFonts w:cs="Arial"/>
                <w:sz w:val="20"/>
                <w:szCs w:val="20"/>
              </w:rPr>
              <w:t>78.254.000.000</w:t>
            </w:r>
          </w:p>
        </w:tc>
        <w:tc>
          <w:tcPr>
            <w:tcW w:w="0" w:type="auto"/>
            <w:tcMar>
              <w:top w:w="30" w:type="dxa"/>
              <w:left w:w="45" w:type="dxa"/>
              <w:bottom w:w="30" w:type="dxa"/>
              <w:right w:w="45" w:type="dxa"/>
            </w:tcMar>
            <w:vAlign w:val="center"/>
            <w:hideMark/>
          </w:tcPr>
          <w:p w14:paraId="72CE3791" w14:textId="77777777" w:rsidR="00A94E02" w:rsidRPr="00A94E02" w:rsidRDefault="00A94E02" w:rsidP="00AA4BBB">
            <w:pPr>
              <w:jc w:val="center"/>
              <w:rPr>
                <w:rFonts w:cs="Arial"/>
                <w:sz w:val="20"/>
                <w:szCs w:val="20"/>
              </w:rPr>
            </w:pPr>
            <w:r w:rsidRPr="00A94E02">
              <w:rPr>
                <w:rFonts w:cs="Arial"/>
                <w:sz w:val="20"/>
                <w:szCs w:val="20"/>
              </w:rPr>
              <w:t>80.312.621.359</w:t>
            </w:r>
          </w:p>
        </w:tc>
        <w:tc>
          <w:tcPr>
            <w:tcW w:w="0" w:type="auto"/>
            <w:tcMar>
              <w:top w:w="30" w:type="dxa"/>
              <w:left w:w="45" w:type="dxa"/>
              <w:bottom w:w="30" w:type="dxa"/>
              <w:right w:w="45" w:type="dxa"/>
            </w:tcMar>
            <w:vAlign w:val="center"/>
            <w:hideMark/>
          </w:tcPr>
          <w:p w14:paraId="6C36AC96" w14:textId="77777777" w:rsidR="00A94E02" w:rsidRPr="00A94E02" w:rsidRDefault="00A94E02" w:rsidP="00AA4BBB">
            <w:pPr>
              <w:jc w:val="center"/>
              <w:rPr>
                <w:rFonts w:cs="Arial"/>
                <w:sz w:val="20"/>
                <w:szCs w:val="20"/>
              </w:rPr>
            </w:pPr>
            <w:r w:rsidRPr="00A94E02">
              <w:rPr>
                <w:rFonts w:cs="Arial"/>
                <w:sz w:val="20"/>
                <w:szCs w:val="20"/>
              </w:rPr>
              <w:t>83.527.193.892</w:t>
            </w:r>
          </w:p>
        </w:tc>
        <w:tc>
          <w:tcPr>
            <w:tcW w:w="0" w:type="auto"/>
            <w:tcMar>
              <w:top w:w="30" w:type="dxa"/>
              <w:left w:w="45" w:type="dxa"/>
              <w:bottom w:w="30" w:type="dxa"/>
              <w:right w:w="45" w:type="dxa"/>
            </w:tcMar>
            <w:vAlign w:val="center"/>
            <w:hideMark/>
          </w:tcPr>
          <w:p w14:paraId="0887DA86" w14:textId="77777777" w:rsidR="00A94E02" w:rsidRPr="00A94E02" w:rsidRDefault="00A94E02" w:rsidP="00AA4BBB">
            <w:pPr>
              <w:jc w:val="center"/>
              <w:rPr>
                <w:rFonts w:cs="Arial"/>
                <w:sz w:val="20"/>
                <w:szCs w:val="20"/>
              </w:rPr>
            </w:pPr>
            <w:r w:rsidRPr="00A94E02">
              <w:rPr>
                <w:rFonts w:cs="Arial"/>
                <w:sz w:val="20"/>
                <w:szCs w:val="20"/>
              </w:rPr>
              <w:t>84.697.275.715</w:t>
            </w:r>
          </w:p>
        </w:tc>
        <w:tc>
          <w:tcPr>
            <w:tcW w:w="0" w:type="auto"/>
            <w:vMerge/>
            <w:vAlign w:val="center"/>
            <w:hideMark/>
          </w:tcPr>
          <w:p w14:paraId="5ED70D09" w14:textId="77777777" w:rsidR="00A94E02" w:rsidRPr="00A94E02" w:rsidRDefault="00A94E02" w:rsidP="00AA4BBB">
            <w:pPr>
              <w:rPr>
                <w:rFonts w:cs="Arial"/>
                <w:b/>
                <w:bCs/>
                <w:sz w:val="20"/>
                <w:szCs w:val="20"/>
              </w:rPr>
            </w:pPr>
          </w:p>
        </w:tc>
      </w:tr>
      <w:tr w:rsidR="00A94E02" w:rsidRPr="00A94E02" w14:paraId="13FD771D" w14:textId="77777777" w:rsidTr="00A94E02">
        <w:tc>
          <w:tcPr>
            <w:tcW w:w="0" w:type="auto"/>
            <w:vMerge w:val="restart"/>
            <w:tcMar>
              <w:top w:w="30" w:type="dxa"/>
              <w:left w:w="45" w:type="dxa"/>
              <w:bottom w:w="30" w:type="dxa"/>
              <w:right w:w="45" w:type="dxa"/>
            </w:tcMar>
            <w:vAlign w:val="center"/>
            <w:hideMark/>
          </w:tcPr>
          <w:p w14:paraId="7C76BAB9" w14:textId="77777777" w:rsidR="00A94E02" w:rsidRPr="00A94E02" w:rsidRDefault="00A94E02" w:rsidP="00AA4BBB">
            <w:pPr>
              <w:rPr>
                <w:rFonts w:cs="Arial"/>
                <w:sz w:val="20"/>
                <w:szCs w:val="20"/>
              </w:rPr>
            </w:pPr>
            <w:r w:rsidRPr="00A94E02">
              <w:rPr>
                <w:rFonts w:cs="Arial"/>
                <w:sz w:val="20"/>
                <w:szCs w:val="20"/>
              </w:rPr>
              <w:t>Entregar en el cuatrienio 77 millones de raciones de comida en los servicios sociales en el marco de la estrategia Bogotá Sin Hambre 2.0</w:t>
            </w:r>
          </w:p>
        </w:tc>
        <w:tc>
          <w:tcPr>
            <w:tcW w:w="0" w:type="auto"/>
            <w:tcMar>
              <w:top w:w="30" w:type="dxa"/>
              <w:left w:w="45" w:type="dxa"/>
              <w:bottom w:w="30" w:type="dxa"/>
              <w:right w:w="45" w:type="dxa"/>
            </w:tcMar>
            <w:vAlign w:val="center"/>
            <w:hideMark/>
          </w:tcPr>
          <w:p w14:paraId="71E6518D" w14:textId="77777777" w:rsidR="00A94E02" w:rsidRPr="00A94E02" w:rsidRDefault="00A94E02" w:rsidP="00AA4BBB">
            <w:pPr>
              <w:jc w:val="center"/>
              <w:rPr>
                <w:rFonts w:cs="Arial"/>
                <w:sz w:val="20"/>
                <w:szCs w:val="20"/>
              </w:rPr>
            </w:pPr>
            <w:r w:rsidRPr="00A94E02">
              <w:rPr>
                <w:rFonts w:cs="Arial"/>
                <w:sz w:val="20"/>
                <w:szCs w:val="20"/>
              </w:rPr>
              <w:t>11.000.000</w:t>
            </w:r>
          </w:p>
        </w:tc>
        <w:tc>
          <w:tcPr>
            <w:tcW w:w="0" w:type="auto"/>
            <w:tcMar>
              <w:top w:w="30" w:type="dxa"/>
              <w:left w:w="45" w:type="dxa"/>
              <w:bottom w:w="30" w:type="dxa"/>
              <w:right w:w="45" w:type="dxa"/>
            </w:tcMar>
            <w:vAlign w:val="center"/>
            <w:hideMark/>
          </w:tcPr>
          <w:p w14:paraId="2BD3824A" w14:textId="77777777" w:rsidR="00A94E02" w:rsidRPr="00A94E02" w:rsidRDefault="00A94E02" w:rsidP="00AA4BBB">
            <w:pPr>
              <w:jc w:val="center"/>
              <w:rPr>
                <w:rFonts w:cs="Arial"/>
                <w:sz w:val="20"/>
                <w:szCs w:val="20"/>
              </w:rPr>
            </w:pPr>
            <w:r w:rsidRPr="00A94E02">
              <w:rPr>
                <w:rFonts w:cs="Arial"/>
                <w:sz w:val="20"/>
                <w:szCs w:val="20"/>
              </w:rPr>
              <w:t>22.000.000</w:t>
            </w:r>
          </w:p>
        </w:tc>
        <w:tc>
          <w:tcPr>
            <w:tcW w:w="0" w:type="auto"/>
            <w:tcMar>
              <w:top w:w="30" w:type="dxa"/>
              <w:left w:w="45" w:type="dxa"/>
              <w:bottom w:w="30" w:type="dxa"/>
              <w:right w:w="45" w:type="dxa"/>
            </w:tcMar>
            <w:vAlign w:val="center"/>
            <w:hideMark/>
          </w:tcPr>
          <w:p w14:paraId="6C3A124B" w14:textId="77777777" w:rsidR="00A94E02" w:rsidRPr="00A94E02" w:rsidRDefault="00A94E02" w:rsidP="00AA4BBB">
            <w:pPr>
              <w:jc w:val="center"/>
              <w:rPr>
                <w:rFonts w:cs="Arial"/>
                <w:sz w:val="20"/>
                <w:szCs w:val="20"/>
              </w:rPr>
            </w:pPr>
            <w:r w:rsidRPr="00A94E02">
              <w:rPr>
                <w:rFonts w:cs="Arial"/>
                <w:sz w:val="20"/>
                <w:szCs w:val="20"/>
              </w:rPr>
              <w:t>22.000.000</w:t>
            </w:r>
          </w:p>
        </w:tc>
        <w:tc>
          <w:tcPr>
            <w:tcW w:w="0" w:type="auto"/>
            <w:tcMar>
              <w:top w:w="30" w:type="dxa"/>
              <w:left w:w="45" w:type="dxa"/>
              <w:bottom w:w="30" w:type="dxa"/>
              <w:right w:w="45" w:type="dxa"/>
            </w:tcMar>
            <w:vAlign w:val="center"/>
            <w:hideMark/>
          </w:tcPr>
          <w:p w14:paraId="0ADCB70B" w14:textId="77777777" w:rsidR="00A94E02" w:rsidRPr="00A94E02" w:rsidRDefault="00A94E02" w:rsidP="00AA4BBB">
            <w:pPr>
              <w:jc w:val="center"/>
              <w:rPr>
                <w:rFonts w:cs="Arial"/>
                <w:sz w:val="20"/>
                <w:szCs w:val="20"/>
              </w:rPr>
            </w:pPr>
            <w:r w:rsidRPr="00A94E02">
              <w:rPr>
                <w:rFonts w:cs="Arial"/>
                <w:sz w:val="20"/>
                <w:szCs w:val="20"/>
              </w:rPr>
              <w:t>22.000.000</w:t>
            </w:r>
          </w:p>
        </w:tc>
        <w:tc>
          <w:tcPr>
            <w:tcW w:w="0" w:type="auto"/>
            <w:vMerge w:val="restart"/>
            <w:tcMar>
              <w:top w:w="30" w:type="dxa"/>
              <w:left w:w="45" w:type="dxa"/>
              <w:bottom w:w="30" w:type="dxa"/>
              <w:right w:w="45" w:type="dxa"/>
            </w:tcMar>
            <w:vAlign w:val="center"/>
            <w:hideMark/>
          </w:tcPr>
          <w:p w14:paraId="5066D4C5" w14:textId="77777777" w:rsidR="00A94E02" w:rsidRPr="00A94E02" w:rsidRDefault="00A94E02" w:rsidP="00AA4BBB">
            <w:pPr>
              <w:jc w:val="center"/>
              <w:rPr>
                <w:rFonts w:cs="Arial"/>
                <w:b/>
                <w:bCs/>
                <w:sz w:val="20"/>
                <w:szCs w:val="20"/>
              </w:rPr>
            </w:pPr>
            <w:r w:rsidRPr="00A94E02">
              <w:rPr>
                <w:rFonts w:cs="Arial"/>
                <w:b/>
                <w:bCs/>
                <w:sz w:val="20"/>
                <w:szCs w:val="20"/>
              </w:rPr>
              <w:t>854.182.657.780</w:t>
            </w:r>
          </w:p>
        </w:tc>
      </w:tr>
      <w:tr w:rsidR="00A94E02" w:rsidRPr="00A94E02" w14:paraId="288113B7" w14:textId="77777777" w:rsidTr="00A94E02">
        <w:tc>
          <w:tcPr>
            <w:tcW w:w="0" w:type="auto"/>
            <w:vMerge/>
            <w:tcBorders>
              <w:bottom w:val="double" w:sz="4" w:space="0" w:color="C00000"/>
            </w:tcBorders>
            <w:vAlign w:val="center"/>
            <w:hideMark/>
          </w:tcPr>
          <w:p w14:paraId="7DCF5C70" w14:textId="77777777" w:rsidR="00A94E02" w:rsidRPr="00A94E02" w:rsidRDefault="00A94E02" w:rsidP="00AA4BBB">
            <w:pPr>
              <w:rPr>
                <w:rFonts w:cs="Arial"/>
                <w:sz w:val="20"/>
                <w:szCs w:val="20"/>
              </w:rPr>
            </w:pPr>
          </w:p>
        </w:tc>
        <w:tc>
          <w:tcPr>
            <w:tcW w:w="0" w:type="auto"/>
            <w:tcBorders>
              <w:bottom w:val="double" w:sz="4" w:space="0" w:color="C00000"/>
            </w:tcBorders>
            <w:tcMar>
              <w:top w:w="30" w:type="dxa"/>
              <w:left w:w="45" w:type="dxa"/>
              <w:bottom w:w="30" w:type="dxa"/>
              <w:right w:w="45" w:type="dxa"/>
            </w:tcMar>
            <w:vAlign w:val="center"/>
            <w:hideMark/>
          </w:tcPr>
          <w:p w14:paraId="171A2AC7" w14:textId="77777777" w:rsidR="00A94E02" w:rsidRPr="00A94E02" w:rsidRDefault="00A94E02" w:rsidP="00AA4BBB">
            <w:pPr>
              <w:jc w:val="center"/>
              <w:rPr>
                <w:rFonts w:cs="Arial"/>
                <w:sz w:val="20"/>
                <w:szCs w:val="20"/>
              </w:rPr>
            </w:pPr>
            <w:r w:rsidRPr="00A94E02">
              <w:rPr>
                <w:rFonts w:cs="Arial"/>
                <w:sz w:val="20"/>
                <w:szCs w:val="20"/>
              </w:rPr>
              <w:t>204.544.000.000</w:t>
            </w:r>
          </w:p>
        </w:tc>
        <w:tc>
          <w:tcPr>
            <w:tcW w:w="0" w:type="auto"/>
            <w:tcBorders>
              <w:bottom w:val="double" w:sz="4" w:space="0" w:color="C00000"/>
            </w:tcBorders>
            <w:tcMar>
              <w:top w:w="30" w:type="dxa"/>
              <w:left w:w="45" w:type="dxa"/>
              <w:bottom w:w="30" w:type="dxa"/>
              <w:right w:w="45" w:type="dxa"/>
            </w:tcMar>
            <w:vAlign w:val="center"/>
            <w:hideMark/>
          </w:tcPr>
          <w:p w14:paraId="61E7D1F5" w14:textId="77777777" w:rsidR="00A94E02" w:rsidRPr="00A94E02" w:rsidRDefault="00A94E02" w:rsidP="00AA4BBB">
            <w:pPr>
              <w:jc w:val="center"/>
              <w:rPr>
                <w:rFonts w:cs="Arial"/>
                <w:sz w:val="20"/>
                <w:szCs w:val="20"/>
              </w:rPr>
            </w:pPr>
            <w:r w:rsidRPr="00A94E02">
              <w:rPr>
                <w:rFonts w:cs="Arial"/>
                <w:sz w:val="20"/>
                <w:szCs w:val="20"/>
              </w:rPr>
              <w:t>209.926.213.592</w:t>
            </w:r>
          </w:p>
        </w:tc>
        <w:tc>
          <w:tcPr>
            <w:tcW w:w="0" w:type="auto"/>
            <w:tcBorders>
              <w:bottom w:val="double" w:sz="4" w:space="0" w:color="C00000"/>
            </w:tcBorders>
            <w:tcMar>
              <w:top w:w="30" w:type="dxa"/>
              <w:left w:w="45" w:type="dxa"/>
              <w:bottom w:w="30" w:type="dxa"/>
              <w:right w:w="45" w:type="dxa"/>
            </w:tcMar>
            <w:vAlign w:val="center"/>
            <w:hideMark/>
          </w:tcPr>
          <w:p w14:paraId="156E90A7" w14:textId="77777777" w:rsidR="00A94E02" w:rsidRPr="00A94E02" w:rsidRDefault="00A94E02" w:rsidP="00AA4BBB">
            <w:pPr>
              <w:jc w:val="center"/>
              <w:rPr>
                <w:rFonts w:cs="Arial"/>
                <w:sz w:val="20"/>
                <w:szCs w:val="20"/>
              </w:rPr>
            </w:pPr>
            <w:r w:rsidRPr="00A94E02">
              <w:rPr>
                <w:rFonts w:cs="Arial"/>
                <w:sz w:val="20"/>
                <w:szCs w:val="20"/>
              </w:rPr>
              <w:t>218.325.949.665</w:t>
            </w:r>
          </w:p>
        </w:tc>
        <w:tc>
          <w:tcPr>
            <w:tcW w:w="0" w:type="auto"/>
            <w:tcBorders>
              <w:bottom w:val="double" w:sz="4" w:space="0" w:color="C00000"/>
            </w:tcBorders>
            <w:tcMar>
              <w:top w:w="30" w:type="dxa"/>
              <w:left w:w="45" w:type="dxa"/>
              <w:bottom w:w="30" w:type="dxa"/>
              <w:right w:w="45" w:type="dxa"/>
            </w:tcMar>
            <w:vAlign w:val="center"/>
            <w:hideMark/>
          </w:tcPr>
          <w:p w14:paraId="4DB018AE" w14:textId="77777777" w:rsidR="00A94E02" w:rsidRPr="00A94E02" w:rsidRDefault="00A94E02" w:rsidP="00AA4BBB">
            <w:pPr>
              <w:jc w:val="center"/>
              <w:rPr>
                <w:rFonts w:cs="Arial"/>
                <w:sz w:val="20"/>
                <w:szCs w:val="20"/>
              </w:rPr>
            </w:pPr>
            <w:r w:rsidRPr="00A94E02">
              <w:rPr>
                <w:rFonts w:cs="Arial"/>
                <w:sz w:val="20"/>
                <w:szCs w:val="20"/>
              </w:rPr>
              <w:t>221.386.494.522</w:t>
            </w:r>
          </w:p>
        </w:tc>
        <w:tc>
          <w:tcPr>
            <w:tcW w:w="0" w:type="auto"/>
            <w:vMerge/>
            <w:tcBorders>
              <w:bottom w:val="double" w:sz="4" w:space="0" w:color="C00000"/>
            </w:tcBorders>
            <w:vAlign w:val="center"/>
            <w:hideMark/>
          </w:tcPr>
          <w:p w14:paraId="77AFA605" w14:textId="77777777" w:rsidR="00A94E02" w:rsidRPr="00A94E02" w:rsidRDefault="00A94E02" w:rsidP="00AA4BBB">
            <w:pPr>
              <w:rPr>
                <w:rFonts w:cs="Arial"/>
                <w:b/>
                <w:bCs/>
                <w:sz w:val="20"/>
                <w:szCs w:val="20"/>
              </w:rPr>
            </w:pPr>
          </w:p>
        </w:tc>
      </w:tr>
    </w:tbl>
    <w:p w14:paraId="098C924A" w14:textId="77777777" w:rsidR="00B14E38" w:rsidRPr="00775A46" w:rsidRDefault="00B14E38" w:rsidP="00B14E38"/>
    <w:p w14:paraId="21B1A6F5" w14:textId="77777777" w:rsidR="002A6C45" w:rsidRDefault="002A6C45" w:rsidP="00A94E02">
      <w:pPr>
        <w:pStyle w:val="Ttulo2"/>
        <w:numPr>
          <w:ilvl w:val="0"/>
          <w:numId w:val="0"/>
        </w:numPr>
        <w:rPr>
          <w:color w:val="C00000"/>
        </w:rPr>
      </w:pPr>
      <w:r>
        <w:rPr>
          <w:color w:val="C00000"/>
        </w:rPr>
        <w:br w:type="page"/>
      </w:r>
    </w:p>
    <w:p w14:paraId="30175CC4" w14:textId="0FEFD6DA" w:rsidR="00B14E38" w:rsidRDefault="00B14E38" w:rsidP="003632B1">
      <w:pPr>
        <w:pStyle w:val="NIVEL4"/>
      </w:pPr>
      <w:bookmarkStart w:id="257" w:name="_Toc165169768"/>
      <w:r w:rsidRPr="002A6C45">
        <w:rPr>
          <w:color w:val="C00000"/>
        </w:rPr>
        <w:lastRenderedPageBreak/>
        <w:t>Programa 9</w:t>
      </w:r>
      <w:r w:rsidR="003632B1">
        <w:rPr>
          <w:color w:val="C00000"/>
        </w:rPr>
        <w:t>:</w:t>
      </w:r>
      <w:r w:rsidRPr="002A6C45">
        <w:rPr>
          <w:color w:val="C00000"/>
        </w:rPr>
        <w:t xml:space="preserve"> </w:t>
      </w:r>
      <w:r w:rsidRPr="00775A46">
        <w:t>Reducción de formas extremas de exclusión</w:t>
      </w:r>
      <w:bookmarkEnd w:id="257"/>
    </w:p>
    <w:p w14:paraId="1CCA5C15" w14:textId="77777777" w:rsidR="002A6C45" w:rsidRPr="002A6C45" w:rsidRDefault="002A6C45" w:rsidP="002A6C45">
      <w:pPr>
        <w:pStyle w:val="Prrafodelista"/>
        <w:ind w:left="840"/>
        <w:rPr>
          <w:lang w:eastAsia="en-US"/>
        </w:rPr>
      </w:pPr>
    </w:p>
    <w:p w14:paraId="0B4EA725" w14:textId="7F1217A6" w:rsidR="00B14E38" w:rsidRPr="00751FF5" w:rsidRDefault="00B14E38" w:rsidP="00751FF5">
      <w:pPr>
        <w:ind w:firstLine="708"/>
        <w:rPr>
          <w:b/>
          <w:bCs/>
          <w:color w:val="C00000"/>
          <w:sz w:val="24"/>
        </w:rPr>
      </w:pPr>
      <w:r w:rsidRPr="00751FF5">
        <w:rPr>
          <w:b/>
          <w:bCs/>
          <w:sz w:val="24"/>
        </w:rPr>
        <w:t>Diagnóstico</w:t>
      </w:r>
    </w:p>
    <w:p w14:paraId="636EE50C"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5DF60D86" w14:textId="77777777" w:rsidR="002C418F" w:rsidRDefault="003632B1" w:rsidP="003632B1">
      <w:r>
        <w:t>La ciudad de Bogotá presenta un fenómeno de habitabilidad en calle, con múltiples factores sociales, económicos, culturales y políticos que generan una alta exclusión social en la población habitante de calle y en riesgo de estarlo. Hoy se estima que en Bogotá más de 10.000 personas se encuentran habitando la calle, situación que implica escenarios de exclusión en sus derechos fundamentales, derechos sexuales y derechos reproductivos, entre otros.</w:t>
      </w:r>
    </w:p>
    <w:p w14:paraId="71BF3EB0" w14:textId="543DB282" w:rsidR="003632B1" w:rsidRDefault="003632B1" w:rsidP="003632B1">
      <w:r>
        <w:t xml:space="preserve">      </w:t>
      </w:r>
    </w:p>
    <w:p w14:paraId="50D4E2EB" w14:textId="77777777" w:rsidR="003632B1" w:rsidRDefault="003632B1" w:rsidP="003632B1">
      <w:r>
        <w:t>Bogotá aspira a ser una ciudad donde sus habitantes, sin distinción alguna, puedan encontrar su lugar y prosperar. Para hacer realidad esta visión, es necesario que la inclusión y la equidad sean principios que guíen todas las políticas y acciones de la ciudad. La situación de vulnerabilidad extrema en la que están las personas habitantes de calle hace parte de las problemáticas sociales que deben atenderse de manera integral y articulada en términos geográficos.</w:t>
      </w:r>
    </w:p>
    <w:p w14:paraId="12122A50" w14:textId="77777777" w:rsidR="003632B1" w:rsidRDefault="003632B1" w:rsidP="003632B1"/>
    <w:p w14:paraId="5DEE09D7" w14:textId="77777777" w:rsidR="003632B1" w:rsidRDefault="003632B1" w:rsidP="003632B1">
      <w:r>
        <w:t>El fenómeno de habitabilidad en la calle, que hace referencia a las sinergias relacionales entre los habitantes de la calle y la ciudadanía en general, incluye la lectura de factores causales, tanto estructurales como individuales (art.2 Ley 1641 de 2013). Para 2017, en el censo de habitantes de calle, fueron identificadas 9.538 personas, mientras que para diciembre de 2023 ya se tenían 10.240 personas únicas atendidas por los servicios sociales dispuestos para esta población. [DC1] (Secretaría Distrital de Integración Social, 2023).</w:t>
      </w:r>
    </w:p>
    <w:p w14:paraId="0FFC6196" w14:textId="77777777" w:rsidR="003632B1" w:rsidRDefault="003632B1" w:rsidP="003632B1"/>
    <w:p w14:paraId="60388138" w14:textId="77777777" w:rsidR="003632B1" w:rsidRDefault="003632B1" w:rsidP="003632B1">
      <w:r>
        <w:t xml:space="preserve">Las personas que se encuentran habitando la calle en la actualidad llegaron y se mantienen allí por diversas causas: consumo de sustancias </w:t>
      </w:r>
      <w:r>
        <w:t>psicoactivas, violencia en el contexto familiar, violencias basadas en el género y la violencia por prejuicio en razón de la orientación sexual o la identidad de género, entre otras (Censo de habitante de calle 2017).</w:t>
      </w:r>
    </w:p>
    <w:p w14:paraId="72C2375A" w14:textId="77777777" w:rsidR="003632B1" w:rsidRDefault="003632B1" w:rsidP="003632B1"/>
    <w:p w14:paraId="1FD27B1F" w14:textId="3867AC39" w:rsidR="003632B1" w:rsidRDefault="003632B1" w:rsidP="003632B1">
      <w:r>
        <w:t xml:space="preserve">Adicionalmente, la discriminación a las personas de los sectores sociales LGTBI se ha convertido en un factor de riesgo para la habitabilidad en calle y en </w:t>
      </w:r>
      <w:r w:rsidR="00751FF5">
        <w:t>pagadiarios</w:t>
      </w:r>
      <w:r>
        <w:t>. En adición, según el estudio Efectos de las violencias y abandono familiar en personas de los sectores LGTBI en Bogotá, en 2021 el Subsistema de Vigilancia de Violencia intrafamiliar, Maltrato infantil y Violencia sexual (SIVIM) recibió notificación de 310 casos de violencia intrafamiliar hacia personas de los sectores LGTBI, en los cuales el 57</w:t>
      </w:r>
      <w:r>
        <w:rPr>
          <w:rFonts w:ascii="Arial" w:hAnsi="Arial" w:cs="Arial"/>
        </w:rPr>
        <w:t> </w:t>
      </w:r>
      <w:r>
        <w:t>% las v</w:t>
      </w:r>
      <w:r>
        <w:rPr>
          <w:rFonts w:cs="Candara"/>
        </w:rPr>
        <w:t>í</w:t>
      </w:r>
      <w:r>
        <w:t>ctimas fueron mujeres lesbianas, bisexuales y trans (SDP, 2022d).</w:t>
      </w:r>
    </w:p>
    <w:p w14:paraId="68CA1ED0" w14:textId="77777777" w:rsidR="003632B1" w:rsidRDefault="003632B1" w:rsidP="003632B1"/>
    <w:p w14:paraId="604A8B31" w14:textId="67E58F97" w:rsidR="00B14E38" w:rsidRPr="00B944E8" w:rsidRDefault="003632B1" w:rsidP="003632B1">
      <w:r>
        <w:t>Por otra parte, la concentración geográfica de habitantes de calle en ciertas zonas de la ciudad puede considerarse un factor de riesgo del aumento de actividad delictiva a nivel territorial: por ejemplo, en la localidad de Los Mártires, según el censo poblacional 2017, se ubica la mayor concentración de habitantes de calle, con un total de 1.750 personas encuestadas (el 18</w:t>
      </w:r>
      <w:r>
        <w:rPr>
          <w:rFonts w:ascii="Arial" w:hAnsi="Arial" w:cs="Arial"/>
        </w:rPr>
        <w:t> </w:t>
      </w:r>
      <w:r>
        <w:t>% del total de poblaci</w:t>
      </w:r>
      <w:r>
        <w:rPr>
          <w:rFonts w:cs="Candara"/>
        </w:rPr>
        <w:t>ó</w:t>
      </w:r>
      <w:r>
        <w:t>n censada) (DANE, 2017), as</w:t>
      </w:r>
      <w:r>
        <w:rPr>
          <w:rFonts w:cs="Candara"/>
        </w:rPr>
        <w:t>í</w:t>
      </w:r>
      <w:r>
        <w:t xml:space="preserve"> como en la georreferenciaci</w:t>
      </w:r>
      <w:r>
        <w:rPr>
          <w:rFonts w:cs="Candara"/>
        </w:rPr>
        <w:t>ó</w:t>
      </w:r>
      <w:r>
        <w:t>n de puntos de geolocalizaci</w:t>
      </w:r>
      <w:r>
        <w:rPr>
          <w:rFonts w:cs="Candara"/>
        </w:rPr>
        <w:t>ó</w:t>
      </w:r>
      <w:r>
        <w:t>n del fen</w:t>
      </w:r>
      <w:r>
        <w:rPr>
          <w:rFonts w:cs="Candara"/>
        </w:rPr>
        <w:t>ó</w:t>
      </w:r>
      <w:r>
        <w:t>meno de habitabilidad en calle en 2021, a raíz del cual se identificaron 517 localizaciones, que ubican a Los Mártires como la segunda localidad con mayor concentración de este fenómeno (Secretaría Distrital de Integración Social, Georreferenciación 2021 Análisis de las dinámicas territoriales de las personas habitantes de calle en Bogotá, 2021)</w:t>
      </w:r>
      <w:r w:rsidR="00B14E38" w:rsidRPr="00B944E8">
        <w:t>.</w:t>
      </w:r>
    </w:p>
    <w:p w14:paraId="26CAC09A"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4B4B99B4" w14:textId="77777777" w:rsidR="00B14E38" w:rsidRPr="00B944E8" w:rsidRDefault="00B14E38" w:rsidP="00B14E38">
      <w:pPr>
        <w:spacing w:line="480" w:lineRule="auto"/>
        <w:rPr>
          <w:rFonts w:ascii="Times New Roman" w:hAnsi="Times New Roman"/>
          <w:sz w:val="24"/>
        </w:rPr>
      </w:pPr>
    </w:p>
    <w:p w14:paraId="5FA16A56" w14:textId="77777777" w:rsidR="003632B1" w:rsidRDefault="003632B1">
      <w:pPr>
        <w:spacing w:line="240" w:lineRule="auto"/>
        <w:jc w:val="left"/>
        <w:rPr>
          <w:rFonts w:eastAsiaTheme="minorHAnsi" w:cstheme="minorBidi"/>
          <w:b/>
          <w:bCs/>
          <w:color w:val="C00000"/>
          <w:sz w:val="18"/>
          <w:lang w:eastAsia="en-US"/>
        </w:rPr>
      </w:pPr>
      <w:bookmarkStart w:id="258" w:name="_heading=h.1tuee74" w:colFirst="0" w:colLast="0"/>
      <w:bookmarkEnd w:id="258"/>
      <w:r>
        <w:rPr>
          <w:b/>
          <w:bCs/>
        </w:rPr>
        <w:br w:type="page"/>
      </w:r>
    </w:p>
    <w:p w14:paraId="2E546C5A" w14:textId="3EF9BB27" w:rsidR="00B14E38" w:rsidRPr="00AF3D21" w:rsidRDefault="00AF3D21" w:rsidP="00AF3D21">
      <w:pPr>
        <w:pStyle w:val="Descripcin"/>
        <w:jc w:val="center"/>
        <w:rPr>
          <w:color w:val="C00000"/>
          <w:sz w:val="18"/>
          <w:szCs w:val="14"/>
        </w:rPr>
      </w:pPr>
      <w:bookmarkStart w:id="259" w:name="_Toc165170031"/>
      <w:r w:rsidRPr="00AF3D21">
        <w:rPr>
          <w:color w:val="C00000"/>
          <w:sz w:val="18"/>
          <w:szCs w:val="14"/>
        </w:rPr>
        <w:lastRenderedPageBreak/>
        <w:t xml:space="preserve">Mapa </w:t>
      </w:r>
      <w:r w:rsidRPr="00AF3D21">
        <w:rPr>
          <w:color w:val="C00000"/>
          <w:sz w:val="18"/>
          <w:szCs w:val="14"/>
        </w:rPr>
        <w:fldChar w:fldCharType="begin"/>
      </w:r>
      <w:r w:rsidRPr="00AF3D21">
        <w:rPr>
          <w:color w:val="C00000"/>
          <w:sz w:val="18"/>
          <w:szCs w:val="14"/>
        </w:rPr>
        <w:instrText xml:space="preserve"> SEQ Mapa \* ARABIC </w:instrText>
      </w:r>
      <w:r w:rsidRPr="00AF3D21">
        <w:rPr>
          <w:color w:val="C00000"/>
          <w:sz w:val="18"/>
          <w:szCs w:val="14"/>
        </w:rPr>
        <w:fldChar w:fldCharType="separate"/>
      </w:r>
      <w:r w:rsidR="00D01651">
        <w:rPr>
          <w:noProof/>
          <w:color w:val="C00000"/>
          <w:sz w:val="18"/>
          <w:szCs w:val="14"/>
        </w:rPr>
        <w:t>7</w:t>
      </w:r>
      <w:r w:rsidRPr="00AF3D21">
        <w:rPr>
          <w:color w:val="C00000"/>
          <w:sz w:val="18"/>
          <w:szCs w:val="14"/>
        </w:rPr>
        <w:fldChar w:fldCharType="end"/>
      </w:r>
      <w:r w:rsidRPr="00AF3D21">
        <w:rPr>
          <w:color w:val="C00000"/>
          <w:sz w:val="18"/>
          <w:szCs w:val="14"/>
        </w:rPr>
        <w:t xml:space="preserve">. </w:t>
      </w:r>
      <w:r w:rsidR="00B14E38" w:rsidRPr="00AF3D21">
        <w:rPr>
          <w:sz w:val="18"/>
          <w:szCs w:val="14"/>
        </w:rPr>
        <w:t>Censo Habitante de calle 2017</w:t>
      </w:r>
      <w:bookmarkEnd w:id="259"/>
    </w:p>
    <w:p w14:paraId="77CD89FD" w14:textId="77777777" w:rsidR="00B14E38" w:rsidRPr="00B944E8" w:rsidRDefault="00B14E38" w:rsidP="00B14E38">
      <w:pPr>
        <w:spacing w:line="480" w:lineRule="auto"/>
        <w:jc w:val="center"/>
        <w:rPr>
          <w:rFonts w:ascii="Times New Roman" w:hAnsi="Times New Roman"/>
          <w:sz w:val="24"/>
        </w:rPr>
      </w:pPr>
      <w:r>
        <w:rPr>
          <w:rFonts w:ascii="Times New Roman" w:hAnsi="Times New Roman"/>
          <w:noProof/>
          <w:sz w:val="24"/>
        </w:rPr>
        <w:drawing>
          <wp:inline distT="0" distB="0" distL="0" distR="0" wp14:anchorId="7037887F" wp14:editId="32B385F2">
            <wp:extent cx="5612130" cy="3237230"/>
            <wp:effectExtent l="0" t="0" r="0" b="0"/>
            <wp:docPr id="1146239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3943" name="Imagen 114623943"/>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612130" cy="3237230"/>
                    </a:xfrm>
                    <a:prstGeom prst="rect">
                      <a:avLst/>
                    </a:prstGeom>
                  </pic:spPr>
                </pic:pic>
              </a:graphicData>
            </a:graphic>
          </wp:inline>
        </w:drawing>
      </w:r>
    </w:p>
    <w:p w14:paraId="2333B230" w14:textId="77777777" w:rsidR="00B14E38" w:rsidRPr="00775A46" w:rsidRDefault="00B14E38" w:rsidP="00B14E38">
      <w:pPr>
        <w:pStyle w:val="figuratitulo"/>
        <w:rPr>
          <w:color w:val="3B3838" w:themeColor="background2" w:themeShade="40"/>
        </w:rPr>
      </w:pPr>
      <w:r w:rsidRPr="009D7E25">
        <w:rPr>
          <w:b/>
          <w:bCs/>
          <w:color w:val="3B3838" w:themeColor="background2" w:themeShade="40"/>
        </w:rPr>
        <w:t>Fuente:</w:t>
      </w:r>
      <w:r w:rsidRPr="00775A46">
        <w:rPr>
          <w:color w:val="3B3838" w:themeColor="background2" w:themeShade="40"/>
        </w:rPr>
        <w:t xml:space="preserve"> SDIS, a partir del Censo Habitante de calle (SDP-DANE, 2017).</w:t>
      </w:r>
    </w:p>
    <w:p w14:paraId="114797E8" w14:textId="77777777" w:rsidR="00B14E38" w:rsidRPr="00B944E8" w:rsidRDefault="00B14E38" w:rsidP="00B14E38">
      <w:pPr>
        <w:spacing w:line="480" w:lineRule="auto"/>
        <w:rPr>
          <w:rFonts w:ascii="Times New Roman" w:hAnsi="Times New Roman"/>
          <w:sz w:val="24"/>
        </w:rPr>
      </w:pPr>
    </w:p>
    <w:p w14:paraId="029B692A"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space="720"/>
          <w:docGrid w:linePitch="299"/>
        </w:sectPr>
      </w:pPr>
    </w:p>
    <w:p w14:paraId="365A12AC" w14:textId="77777777" w:rsidR="00BC3BFD" w:rsidRDefault="00BC3BFD" w:rsidP="00BC3BFD">
      <w:r>
        <w:t>Esta misma localidad se identifica como la de variación más alta de hurtos a personas entre 2022 y 2023 (enero a septiembre) (70,9</w:t>
      </w:r>
      <w:r>
        <w:rPr>
          <w:rFonts w:ascii="Arial" w:hAnsi="Arial" w:cs="Arial"/>
        </w:rPr>
        <w:t> </w:t>
      </w:r>
      <w:r>
        <w:t>%) (Secretar</w:t>
      </w:r>
      <w:r>
        <w:rPr>
          <w:rFonts w:cs="Candara"/>
        </w:rPr>
        <w:t>í</w:t>
      </w:r>
      <w:r>
        <w:t>a Distrital de Seguridad Convivencia y Justicia, 2023). Esta cifra evidencia una posible relaci</w:t>
      </w:r>
      <w:r>
        <w:rPr>
          <w:rFonts w:cs="Candara"/>
        </w:rPr>
        <w:t>ó</w:t>
      </w:r>
      <w:r>
        <w:t>n entre la concentraci</w:t>
      </w:r>
      <w:r>
        <w:rPr>
          <w:rFonts w:cs="Candara"/>
        </w:rPr>
        <w:t>ó</w:t>
      </w:r>
      <w:r>
        <w:t>n de habitantes de calle (quienes pueden ser instrumentalizados por parte de grupos ilegales) y actividades delictivas. Sin embargo, se reconoce que en la localidad se concentran otros fen</w:t>
      </w:r>
      <w:r>
        <w:rPr>
          <w:rFonts w:cs="Candara"/>
        </w:rPr>
        <w:t>ó</w:t>
      </w:r>
      <w:r>
        <w:t>menos sociales de alta complejidad que pueden aportar a la comisión de delitos.</w:t>
      </w:r>
    </w:p>
    <w:p w14:paraId="388B2754" w14:textId="77777777" w:rsidR="00BC3BFD" w:rsidRDefault="00BC3BFD" w:rsidP="00BC3BFD"/>
    <w:p w14:paraId="4D7088FF" w14:textId="4286760C" w:rsidR="00BC3BFD" w:rsidRDefault="00BC3BFD" w:rsidP="00BC3BFD">
      <w:r>
        <w:t xml:space="preserve">Por su parte, el fenómeno de pagadiarios en Bogotá, reconocidos como lugares que, por definición, permiten a personas solas, parejas o familias pernoctar una noche por un bajo costo, alcanzó en 2022, según la Secretaría Distrital de Integración Social, un total de 14.219 personas en 6.526 hogares en </w:t>
      </w:r>
      <w:r w:rsidR="00751FF5">
        <w:t>pagadiarios</w:t>
      </w:r>
      <w:r>
        <w:t xml:space="preserve"> en 18 localidades. Del total de la población identificada, el </w:t>
      </w:r>
      <w:r>
        <w:t>45</w:t>
      </w:r>
      <w:r>
        <w:rPr>
          <w:rFonts w:ascii="Arial" w:hAnsi="Arial" w:cs="Arial"/>
        </w:rPr>
        <w:t> </w:t>
      </w:r>
      <w:r>
        <w:t>% son extranjeros, de los cuales el 77</w:t>
      </w:r>
      <w:r>
        <w:rPr>
          <w:rFonts w:ascii="Arial" w:hAnsi="Arial" w:cs="Arial"/>
        </w:rPr>
        <w:t> </w:t>
      </w:r>
      <w:r>
        <w:t>% se hallan en situaci</w:t>
      </w:r>
      <w:r>
        <w:rPr>
          <w:rFonts w:cs="Candara"/>
        </w:rPr>
        <w:t>ó</w:t>
      </w:r>
      <w:r>
        <w:t>n migratoria irregular.</w:t>
      </w:r>
    </w:p>
    <w:p w14:paraId="7144836A" w14:textId="77777777" w:rsidR="00BC3BFD" w:rsidRDefault="00BC3BFD" w:rsidP="00BC3BFD"/>
    <w:p w14:paraId="6C725F1C" w14:textId="0D8579B9" w:rsidR="00BC3BFD" w:rsidRDefault="00BC3BFD" w:rsidP="00BC3BFD">
      <w:r>
        <w:t>El 85</w:t>
      </w:r>
      <w:r>
        <w:rPr>
          <w:rFonts w:ascii="Arial" w:hAnsi="Arial" w:cs="Arial"/>
        </w:rPr>
        <w:t> </w:t>
      </w:r>
      <w:r>
        <w:t>% de los hogares que residen en pagadiarios perciben alg</w:t>
      </w:r>
      <w:r>
        <w:rPr>
          <w:rFonts w:cs="Candara"/>
        </w:rPr>
        <w:t>ú</w:t>
      </w:r>
      <w:r>
        <w:t>n tipo de violencia en contexto familiar (SDP, An</w:t>
      </w:r>
      <w:r>
        <w:rPr>
          <w:rFonts w:cs="Candara"/>
        </w:rPr>
        <w:t>á</w:t>
      </w:r>
      <w:r>
        <w:t>lisis de las privaciones experimentadas por la poblaci</w:t>
      </w:r>
      <w:r>
        <w:rPr>
          <w:rFonts w:cs="Candara"/>
        </w:rPr>
        <w:t>ó</w:t>
      </w:r>
      <w:r>
        <w:t>n usuaria de pagadiarios, 2022); es decir, se trata de una din</w:t>
      </w:r>
      <w:r>
        <w:rPr>
          <w:rFonts w:cs="Candara"/>
        </w:rPr>
        <w:t>á</w:t>
      </w:r>
      <w:r>
        <w:t xml:space="preserve">mica familiar habitual en estos hogares, de manera que la residencia en </w:t>
      </w:r>
      <w:r w:rsidR="00751FF5">
        <w:rPr>
          <w:rFonts w:cs="Candara"/>
        </w:rPr>
        <w:t>pagadiarios</w:t>
      </w:r>
      <w:r>
        <w:t xml:space="preserve"> podr</w:t>
      </w:r>
      <w:r>
        <w:rPr>
          <w:rFonts w:cs="Candara"/>
        </w:rPr>
        <w:t>í</w:t>
      </w:r>
      <w:r>
        <w:t>a configurarse como un factor de alto riesgo para la ocurrencia de hechos de violencia en contexto familiar. Las redes de apoyo funcionan como un soporte o un espacio seguro a la persona que se encuentra enfrentando una situación conflictiva o difícil en su vida. Para el caso de la población en situación de calle, en cuanto a estas redes de apoyo, según el Censo habitante de calle de 2017, el 18</w:t>
      </w:r>
      <w:r>
        <w:rPr>
          <w:rFonts w:ascii="Arial" w:hAnsi="Arial" w:cs="Arial"/>
        </w:rPr>
        <w:t> </w:t>
      </w:r>
      <w:r>
        <w:t>% de dicha poblaci</w:t>
      </w:r>
      <w:r>
        <w:rPr>
          <w:rFonts w:cs="Candara"/>
        </w:rPr>
        <w:t>ó</w:t>
      </w:r>
      <w:r>
        <w:t>n cuenta con redes de apoyo familiar; el 14,3</w:t>
      </w:r>
      <w:r>
        <w:rPr>
          <w:rFonts w:ascii="Arial" w:hAnsi="Arial" w:cs="Arial"/>
        </w:rPr>
        <w:t> </w:t>
      </w:r>
      <w:r>
        <w:t xml:space="preserve">%, </w:t>
      </w:r>
      <w:r>
        <w:lastRenderedPageBreak/>
        <w:t>con red de amigos, y el 61</w:t>
      </w:r>
      <w:r>
        <w:rPr>
          <w:rFonts w:ascii="Arial" w:hAnsi="Arial" w:cs="Arial"/>
        </w:rPr>
        <w:t> </w:t>
      </w:r>
      <w:r>
        <w:t>%, con red de instituciones u organizaciones privadas (DANE, 2017).</w:t>
      </w:r>
    </w:p>
    <w:p w14:paraId="7AB79AB2" w14:textId="77777777" w:rsidR="00BC3BFD" w:rsidRDefault="00BC3BFD" w:rsidP="00BC3BFD"/>
    <w:p w14:paraId="70B6A3A9" w14:textId="77777777" w:rsidR="00BC3BFD" w:rsidRDefault="00BC3BFD" w:rsidP="00BC3BFD">
      <w:r>
        <w:t>Adicionalmente, las condiciones de pobreza que se viven en hogares social y territorialmente excluidos resulta ser un factor de riesgo para la habitabilidad en calle, pues la ausencia de recursos para generar una estabilidad económica que ofrezca condiciones mínimas para el acceso a la alimentación, vivienda, servicios públicos y, en general, espacios ciudadanos que dignifiquen promueve que las personas solas o los hogares en extrema pobreza, sumado eso a otros factores de riesgo, lleguen a la condición de habitabilidad en calle.</w:t>
      </w:r>
    </w:p>
    <w:p w14:paraId="29B1741F" w14:textId="77777777" w:rsidR="00BC3BFD" w:rsidRDefault="00BC3BFD" w:rsidP="00BC3BFD"/>
    <w:p w14:paraId="17C08821" w14:textId="57C18CFE" w:rsidR="00BC3BFD" w:rsidRDefault="00BC3BFD" w:rsidP="00BC3BFD">
      <w:r>
        <w:t xml:space="preserve">Los pagadiarios son utilizados por personas que no cuentan con ingresos económicos estables, </w:t>
      </w:r>
      <w:r>
        <w:t>de tal manera que se constituye en una solución para pernoctar, pero ofrece poca estabilidad y propicia la habitabilidad en calle, pues su uso depende de la disponibilidad de recursos al día; si la persona o el hogar que optan por esta alternativa de vida no alcanzan a percibir el recurso diario mínimo, deben pasar la noche en la calle.</w:t>
      </w:r>
    </w:p>
    <w:p w14:paraId="50331CAC" w14:textId="77777777" w:rsidR="00BC3BFD" w:rsidRDefault="00BC3BFD" w:rsidP="00BC3BFD"/>
    <w:p w14:paraId="3D92FDAB" w14:textId="4A3A7CBC" w:rsidR="00B14E38" w:rsidRPr="00B944E8" w:rsidRDefault="00BC3BFD" w:rsidP="00BC3BFD">
      <w:pPr>
        <w:rPr>
          <w:highlight w:val="white"/>
        </w:rPr>
      </w:pPr>
      <w:r>
        <w:t>Esta alternativa surge como una aparente solución para hogares en pobreza extrema, cuyo porcentaje para 2022 en la ciudad fue del 8,1</w:t>
      </w:r>
      <w:r>
        <w:rPr>
          <w:rFonts w:ascii="Arial" w:hAnsi="Arial" w:cs="Arial"/>
        </w:rPr>
        <w:t> </w:t>
      </w:r>
      <w:r>
        <w:t>%, equivalente a 639.792 personas que viv</w:t>
      </w:r>
      <w:r>
        <w:rPr>
          <w:rFonts w:cs="Candara"/>
        </w:rPr>
        <w:t>í</w:t>
      </w:r>
      <w:r>
        <w:t>an con menos de $246.192 pesos mensuales (DANE, 2023); sin embargo, al calcular el valor mensual que estas personas pagan para pernoctar en un pagadiario, este es incluso superior al de una habitaci</w:t>
      </w:r>
      <w:r>
        <w:rPr>
          <w:rFonts w:cs="Candara"/>
        </w:rPr>
        <w:t>ó</w:t>
      </w:r>
      <w:r>
        <w:t>n o un apartamento peque</w:t>
      </w:r>
      <w:r>
        <w:rPr>
          <w:rFonts w:cs="Candara"/>
        </w:rPr>
        <w:t>ñ</w:t>
      </w:r>
      <w:r>
        <w:t>o en otra zona de la ciudad</w:t>
      </w:r>
      <w:r w:rsidR="00B14E38" w:rsidRPr="00B944E8">
        <w:rPr>
          <w:highlight w:val="white"/>
        </w:rPr>
        <w:t>.</w:t>
      </w:r>
    </w:p>
    <w:p w14:paraId="4B1A57F2"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num="2" w:space="567"/>
          <w:docGrid w:linePitch="299"/>
        </w:sectPr>
      </w:pPr>
    </w:p>
    <w:p w14:paraId="4CACBC0D" w14:textId="77777777" w:rsidR="00B14E38" w:rsidRPr="00B944E8" w:rsidRDefault="00B14E38" w:rsidP="00B14E38">
      <w:pPr>
        <w:spacing w:line="480" w:lineRule="auto"/>
        <w:rPr>
          <w:rFonts w:ascii="Times New Roman" w:hAnsi="Times New Roman"/>
          <w:sz w:val="24"/>
          <w:highlight w:val="white"/>
        </w:rPr>
      </w:pPr>
    </w:p>
    <w:p w14:paraId="19B71019" w14:textId="4F79F21D" w:rsidR="00B14E38" w:rsidRPr="00751FF5" w:rsidRDefault="00B14E38" w:rsidP="00751FF5">
      <w:pPr>
        <w:ind w:firstLine="708"/>
        <w:rPr>
          <w:b/>
          <w:bCs/>
          <w:sz w:val="24"/>
        </w:rPr>
      </w:pPr>
      <w:r w:rsidRPr="00751FF5">
        <w:rPr>
          <w:b/>
          <w:bCs/>
          <w:sz w:val="24"/>
        </w:rPr>
        <w:t>Descripción del programa</w:t>
      </w:r>
    </w:p>
    <w:p w14:paraId="1EF14C9A"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415F2FF7" w14:textId="512951F9" w:rsidR="006C1955" w:rsidRDefault="00B14E38" w:rsidP="006C1955">
      <w:r w:rsidRPr="00B944E8">
        <w:rPr>
          <w:highlight w:val="white"/>
        </w:rPr>
        <w:t xml:space="preserve">El </w:t>
      </w:r>
      <w:r w:rsidR="006C1955">
        <w:t xml:space="preserve">programa aborda acciones de atención y prevención a la población habitante de calle o en riesgo de estarlo y las personas que viven en residencias tipo </w:t>
      </w:r>
      <w:r w:rsidR="006D2106">
        <w:t>pagadiarios</w:t>
      </w:r>
      <w:r w:rsidR="006C1955">
        <w:t>, en razón de su alta exclusión social y productiva, que han perdido su residencia habitual o están en riesgo de perderla.</w:t>
      </w:r>
    </w:p>
    <w:p w14:paraId="7BBFF19D" w14:textId="77777777" w:rsidR="006C1955" w:rsidRDefault="006C1955" w:rsidP="006C1955"/>
    <w:p w14:paraId="0DA520E7" w14:textId="18FEC0EC" w:rsidR="006C1955" w:rsidRDefault="006C1955" w:rsidP="006C1955">
      <w:r>
        <w:t>Las acciones para ofertar servicios sociales a estas poblaciones tendrá</w:t>
      </w:r>
      <w:r w:rsidR="006D2106">
        <w:t>n</w:t>
      </w:r>
      <w:r>
        <w:t xml:space="preserve"> en cuenta las necesidades y diferencias entre hombres y mujeres, grupo etario, edad y demás características poblacionales, que den cuenta de las necesidades de cada grupo atendible, con el fin de disminuir las brechas de género, promover, garantizar y restituir sus derechos.</w:t>
      </w:r>
    </w:p>
    <w:p w14:paraId="12EC03FB" w14:textId="77777777" w:rsidR="006C1955" w:rsidRDefault="006C1955" w:rsidP="006C1955"/>
    <w:p w14:paraId="0361614B" w14:textId="77777777" w:rsidR="006C1955" w:rsidRDefault="006C1955" w:rsidP="006C1955">
      <w:r>
        <w:t xml:space="preserve">Las acciones hacia esta población se agrupan en tres conjuntos: </w:t>
      </w:r>
    </w:p>
    <w:p w14:paraId="1E5DFDE3" w14:textId="77777777" w:rsidR="009043D8" w:rsidRDefault="009043D8" w:rsidP="006C1955"/>
    <w:p w14:paraId="7032AFB8" w14:textId="77777777" w:rsidR="009043D8" w:rsidRDefault="009043D8" w:rsidP="00C775F3">
      <w:pPr>
        <w:pStyle w:val="Prrafodelista"/>
        <w:numPr>
          <w:ilvl w:val="0"/>
          <w:numId w:val="74"/>
        </w:numPr>
      </w:pPr>
      <w:r>
        <w:t>A</w:t>
      </w:r>
      <w:r w:rsidR="006C1955">
        <w:t xml:space="preserve">cciones para visibilizar la población en exclusión extrema: llevar a cabo el censo de habitabilidad en calle (SDP-SIDS-Idipron) y construir el instrumento de focalización de personas que habitan </w:t>
      </w:r>
      <w:r w:rsidR="006C1955">
        <w:t xml:space="preserve">residencias tipo </w:t>
      </w:r>
      <w:r w:rsidR="006D2106">
        <w:t>pagadiarios</w:t>
      </w:r>
      <w:r w:rsidR="006C1955">
        <w:t>, a fin de hacer observable a esta población para el diseño de políticas públicas.</w:t>
      </w:r>
    </w:p>
    <w:p w14:paraId="70C3B5CE" w14:textId="77777777" w:rsidR="009043D8" w:rsidRDefault="006C1955" w:rsidP="00683975">
      <w:pPr>
        <w:pStyle w:val="Prrafodelista"/>
        <w:numPr>
          <w:ilvl w:val="0"/>
          <w:numId w:val="74"/>
        </w:numPr>
      </w:pPr>
      <w:r>
        <w:t xml:space="preserve">Acciones de prevención y mitigación —con el propósito de reducir el número de habitantes de calle— de formas de exclusión extrema, y las cuales incluyen: intervenciones de salud pública para controlar determinantes de riesgo de incremento del fenómeno (con énfasis en el consumo de sustancias psicoactivas y la gestión menstrual), actividades para construir entornos protectores que eviten fenómenos como la explotación sexual comercial de niñas, niños y adolescentes (ESCNNA), e incidencia en la construcción de proyectos de vida, así como acciones de trabajo articulado en el marco de la reorganización del mercado del servicio de aprovechamiento de residuos sólidos vinculando carreteros y recicladores en situación de exclusión extrema. </w:t>
      </w:r>
    </w:p>
    <w:p w14:paraId="125889F8" w14:textId="07D42608" w:rsidR="009D7E25" w:rsidRPr="009043D8" w:rsidRDefault="006C1955" w:rsidP="00683975">
      <w:pPr>
        <w:pStyle w:val="Prrafodelista"/>
        <w:numPr>
          <w:ilvl w:val="0"/>
          <w:numId w:val="74"/>
        </w:numPr>
      </w:pPr>
      <w:r>
        <w:t xml:space="preserve">Acciones de atención y superación: estas incluyen el fortalecimiento de la </w:t>
      </w:r>
      <w:r>
        <w:lastRenderedPageBreak/>
        <w:t xml:space="preserve">focalización de las personas habitantes de calle o en riesgo de estarlo residentes de </w:t>
      </w:r>
      <w:r w:rsidR="006D2106">
        <w:t>pagadiarios</w:t>
      </w:r>
      <w:r>
        <w:t xml:space="preserve"> y mejoras en términos de calidad y cobertura, de los servicios sociales para habitantes de calle en la ciudad, incluyendo los componentes de salud, educación e inclusión </w:t>
      </w:r>
      <w:r>
        <w:t>productiva y el restablecimiento de derechos de niñas, niños, adolescentes y jóvenes que habitan la calle</w:t>
      </w:r>
      <w:r w:rsidR="00B14E38" w:rsidRPr="009043D8">
        <w:rPr>
          <w:spacing w:val="-10"/>
          <w:highlight w:val="white"/>
        </w:rPr>
        <w:t>.</w:t>
      </w:r>
      <w:r w:rsidRPr="009043D8">
        <w:rPr>
          <w:spacing w:val="-10"/>
          <w:highlight w:val="white"/>
        </w:rPr>
        <w:t xml:space="preserve"> </w:t>
      </w:r>
    </w:p>
    <w:p w14:paraId="0A0163D2" w14:textId="77777777" w:rsidR="009043D8" w:rsidRDefault="009043D8" w:rsidP="009043D8">
      <w:pPr>
        <w:ind w:left="360"/>
      </w:pPr>
    </w:p>
    <w:p w14:paraId="015F4005" w14:textId="7EDCA1A2" w:rsidR="009D7E25" w:rsidRDefault="00B14E38" w:rsidP="00E7798B">
      <w:pPr>
        <w:rPr>
          <w:highlight w:val="yellow"/>
        </w:rPr>
        <w:sectPr w:rsidR="009D7E25" w:rsidSect="00F7078E">
          <w:type w:val="continuous"/>
          <w:pgSz w:w="12240" w:h="15840"/>
          <w:pgMar w:top="2262" w:right="1440" w:bottom="1440" w:left="1440" w:header="708" w:footer="680" w:gutter="0"/>
          <w:cols w:num="2" w:space="567"/>
          <w:docGrid w:linePitch="299"/>
        </w:sectPr>
      </w:pPr>
      <w:r w:rsidRPr="00B944E8">
        <w:t>El programa se ejecutará mediante las metas descritas en la</w:t>
      </w:r>
      <w:r w:rsidR="00E7798B">
        <w:t xml:space="preserve"> </w:t>
      </w:r>
      <w:r w:rsidR="00E7798B" w:rsidRPr="00E7798B">
        <w:fldChar w:fldCharType="begin"/>
      </w:r>
      <w:r w:rsidR="00E7798B" w:rsidRPr="00E7798B">
        <w:instrText xml:space="preserve"> REF _Ref165129521 \h </w:instrText>
      </w:r>
      <w:r w:rsidR="00E7798B" w:rsidRPr="00E7798B">
        <w:fldChar w:fldCharType="separate"/>
      </w:r>
      <w:r w:rsidR="00D01651" w:rsidRPr="00E7798B">
        <w:rPr>
          <w:color w:val="C00000"/>
          <w:sz w:val="18"/>
          <w:szCs w:val="14"/>
        </w:rPr>
        <w:t xml:space="preserve">Tabla </w:t>
      </w:r>
      <w:r w:rsidR="00D01651">
        <w:rPr>
          <w:noProof/>
          <w:color w:val="C00000"/>
          <w:sz w:val="18"/>
          <w:szCs w:val="14"/>
        </w:rPr>
        <w:t>27</w:t>
      </w:r>
      <w:r w:rsidR="00E7798B" w:rsidRPr="00E7798B">
        <w:fldChar w:fldCharType="end"/>
      </w:r>
      <w:r w:rsidRPr="00E7798B">
        <w:t xml:space="preserve"> .</w:t>
      </w:r>
      <w:bookmarkStart w:id="260" w:name="_heading=h.4du1wux" w:colFirst="0" w:colLast="0"/>
      <w:bookmarkEnd w:id="260"/>
    </w:p>
    <w:p w14:paraId="00269D7D" w14:textId="423A0AF0" w:rsidR="00B14E38" w:rsidRDefault="00B14E38" w:rsidP="00B14E38">
      <w:pPr>
        <w:jc w:val="center"/>
        <w:rPr>
          <w:highlight w:val="yellow"/>
        </w:rPr>
      </w:pPr>
    </w:p>
    <w:p w14:paraId="64747A82" w14:textId="1AD2A145" w:rsidR="00E7798B" w:rsidRPr="00E7798B" w:rsidRDefault="00E7798B" w:rsidP="00E7798B">
      <w:pPr>
        <w:pStyle w:val="Descripcin"/>
        <w:jc w:val="center"/>
        <w:rPr>
          <w:sz w:val="18"/>
          <w:szCs w:val="14"/>
        </w:rPr>
      </w:pPr>
      <w:bookmarkStart w:id="261" w:name="_Ref165129521"/>
      <w:bookmarkStart w:id="262" w:name="_Toc165169937"/>
      <w:r w:rsidRPr="00E7798B">
        <w:rPr>
          <w:color w:val="C00000"/>
          <w:sz w:val="18"/>
          <w:szCs w:val="14"/>
        </w:rPr>
        <w:t xml:space="preserve">Tabla </w:t>
      </w:r>
      <w:r w:rsidRPr="00E7798B">
        <w:rPr>
          <w:color w:val="C00000"/>
          <w:sz w:val="18"/>
          <w:szCs w:val="14"/>
        </w:rPr>
        <w:fldChar w:fldCharType="begin"/>
      </w:r>
      <w:r w:rsidRPr="00E7798B">
        <w:rPr>
          <w:color w:val="C00000"/>
          <w:sz w:val="18"/>
          <w:szCs w:val="14"/>
        </w:rPr>
        <w:instrText xml:space="preserve"> SEQ Tabla \* ARABIC </w:instrText>
      </w:r>
      <w:r w:rsidRPr="00E7798B">
        <w:rPr>
          <w:color w:val="C00000"/>
          <w:sz w:val="18"/>
          <w:szCs w:val="14"/>
        </w:rPr>
        <w:fldChar w:fldCharType="separate"/>
      </w:r>
      <w:r w:rsidR="00D01651">
        <w:rPr>
          <w:noProof/>
          <w:color w:val="C00000"/>
          <w:sz w:val="18"/>
          <w:szCs w:val="14"/>
        </w:rPr>
        <w:t>27</w:t>
      </w:r>
      <w:r w:rsidRPr="00E7798B">
        <w:rPr>
          <w:color w:val="C00000"/>
          <w:sz w:val="18"/>
          <w:szCs w:val="14"/>
        </w:rPr>
        <w:fldChar w:fldCharType="end"/>
      </w:r>
      <w:bookmarkEnd w:id="261"/>
      <w:r w:rsidRPr="00E7798B">
        <w:rPr>
          <w:color w:val="C00000"/>
          <w:sz w:val="18"/>
          <w:szCs w:val="14"/>
        </w:rPr>
        <w:t xml:space="preserve">. </w:t>
      </w:r>
      <w:r w:rsidR="00B14E38" w:rsidRPr="00E7798B">
        <w:rPr>
          <w:sz w:val="18"/>
          <w:szCs w:val="14"/>
        </w:rPr>
        <w:t>Metas del programa 9</w:t>
      </w:r>
      <w:r>
        <w:rPr>
          <w:sz w:val="18"/>
          <w:szCs w:val="14"/>
        </w:rPr>
        <w:t>:</w:t>
      </w:r>
      <w:r w:rsidR="00B14E38" w:rsidRPr="00E7798B">
        <w:rPr>
          <w:sz w:val="18"/>
          <w:szCs w:val="14"/>
        </w:rPr>
        <w:t xml:space="preserve"> Reducción de formas extremas de exclusión</w:t>
      </w:r>
      <w:bookmarkEnd w:id="262"/>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006"/>
        <w:gridCol w:w="1276"/>
        <w:gridCol w:w="1250"/>
        <w:gridCol w:w="1254"/>
        <w:gridCol w:w="1253"/>
        <w:gridCol w:w="1321"/>
      </w:tblGrid>
      <w:tr w:rsidR="00706AEB" w:rsidRPr="00706AEB" w14:paraId="4E62F7CD" w14:textId="77777777" w:rsidTr="00920C99">
        <w:tc>
          <w:tcPr>
            <w:tcW w:w="0" w:type="auto"/>
            <w:vMerge w:val="restart"/>
            <w:shd w:val="clear" w:color="auto" w:fill="C00000"/>
            <w:tcMar>
              <w:top w:w="30" w:type="dxa"/>
              <w:left w:w="45" w:type="dxa"/>
              <w:bottom w:w="30" w:type="dxa"/>
              <w:right w:w="45" w:type="dxa"/>
            </w:tcMar>
            <w:vAlign w:val="center"/>
            <w:hideMark/>
          </w:tcPr>
          <w:p w14:paraId="2E0290C9" w14:textId="77777777" w:rsidR="00706AEB" w:rsidRPr="00706AEB" w:rsidRDefault="00706AEB" w:rsidP="00AA4BBB">
            <w:pPr>
              <w:jc w:val="center"/>
              <w:rPr>
                <w:rFonts w:cs="Arial"/>
                <w:b/>
                <w:bCs/>
                <w:color w:val="FFFFFF"/>
                <w:sz w:val="18"/>
                <w:szCs w:val="18"/>
              </w:rPr>
            </w:pPr>
            <w:r w:rsidRPr="00706AEB">
              <w:rPr>
                <w:rFonts w:cs="Arial"/>
                <w:b/>
                <w:bCs/>
                <w:color w:val="FFFFFF"/>
                <w:sz w:val="18"/>
                <w:szCs w:val="18"/>
              </w:rPr>
              <w:t>SECTOR / Metas</w:t>
            </w:r>
          </w:p>
        </w:tc>
        <w:tc>
          <w:tcPr>
            <w:tcW w:w="0" w:type="auto"/>
            <w:gridSpan w:val="5"/>
            <w:shd w:val="clear" w:color="auto" w:fill="C00000"/>
            <w:tcMar>
              <w:top w:w="30" w:type="dxa"/>
              <w:left w:w="45" w:type="dxa"/>
              <w:bottom w:w="30" w:type="dxa"/>
              <w:right w:w="45" w:type="dxa"/>
            </w:tcMar>
            <w:vAlign w:val="center"/>
            <w:hideMark/>
          </w:tcPr>
          <w:p w14:paraId="33794543" w14:textId="77777777" w:rsidR="00706AEB" w:rsidRPr="00706AEB" w:rsidRDefault="00706AEB" w:rsidP="00AA4BBB">
            <w:pPr>
              <w:jc w:val="center"/>
              <w:rPr>
                <w:rFonts w:cs="Arial"/>
                <w:b/>
                <w:bCs/>
                <w:color w:val="FFFFFF"/>
                <w:sz w:val="18"/>
                <w:szCs w:val="18"/>
              </w:rPr>
            </w:pPr>
            <w:r w:rsidRPr="00706AEB">
              <w:rPr>
                <w:rFonts w:cs="Arial"/>
                <w:b/>
                <w:bCs/>
                <w:color w:val="FFFFFF"/>
                <w:sz w:val="18"/>
                <w:szCs w:val="18"/>
              </w:rPr>
              <w:t>Magnitudes e Inversión (Precios Constantes 2024)</w:t>
            </w:r>
          </w:p>
        </w:tc>
      </w:tr>
      <w:tr w:rsidR="00706AEB" w:rsidRPr="00706AEB" w14:paraId="09DC207E" w14:textId="77777777" w:rsidTr="00920C99">
        <w:tc>
          <w:tcPr>
            <w:tcW w:w="0" w:type="auto"/>
            <w:vMerge/>
            <w:vAlign w:val="center"/>
            <w:hideMark/>
          </w:tcPr>
          <w:p w14:paraId="45C952DB" w14:textId="77777777" w:rsidR="00706AEB" w:rsidRPr="00706AEB" w:rsidRDefault="00706AEB" w:rsidP="00AA4BBB">
            <w:pPr>
              <w:rPr>
                <w:rFonts w:cs="Arial"/>
                <w:b/>
                <w:bCs/>
                <w:color w:val="FFFFFF"/>
                <w:sz w:val="18"/>
                <w:szCs w:val="18"/>
              </w:rPr>
            </w:pPr>
          </w:p>
        </w:tc>
        <w:tc>
          <w:tcPr>
            <w:tcW w:w="0" w:type="auto"/>
            <w:shd w:val="clear" w:color="auto" w:fill="D9D9D9"/>
            <w:tcMar>
              <w:top w:w="30" w:type="dxa"/>
              <w:left w:w="45" w:type="dxa"/>
              <w:bottom w:w="30" w:type="dxa"/>
              <w:right w:w="45" w:type="dxa"/>
            </w:tcMar>
            <w:vAlign w:val="center"/>
            <w:hideMark/>
          </w:tcPr>
          <w:p w14:paraId="577C7E2A" w14:textId="77777777" w:rsidR="00706AEB" w:rsidRPr="00706AEB" w:rsidRDefault="00706AEB" w:rsidP="00AA4BBB">
            <w:pPr>
              <w:jc w:val="center"/>
              <w:rPr>
                <w:rFonts w:cs="Arial"/>
                <w:b/>
                <w:bCs/>
                <w:sz w:val="18"/>
                <w:szCs w:val="18"/>
              </w:rPr>
            </w:pPr>
            <w:r w:rsidRPr="00706AEB">
              <w:rPr>
                <w:rFonts w:cs="Arial"/>
                <w:b/>
                <w:bCs/>
                <w:sz w:val="18"/>
                <w:szCs w:val="18"/>
              </w:rPr>
              <w:t>2024</w:t>
            </w:r>
          </w:p>
        </w:tc>
        <w:tc>
          <w:tcPr>
            <w:tcW w:w="0" w:type="auto"/>
            <w:shd w:val="clear" w:color="auto" w:fill="D9D9D9"/>
            <w:tcMar>
              <w:top w:w="30" w:type="dxa"/>
              <w:left w:w="45" w:type="dxa"/>
              <w:bottom w:w="30" w:type="dxa"/>
              <w:right w:w="45" w:type="dxa"/>
            </w:tcMar>
            <w:vAlign w:val="center"/>
            <w:hideMark/>
          </w:tcPr>
          <w:p w14:paraId="5E00EC98" w14:textId="77777777" w:rsidR="00706AEB" w:rsidRPr="00706AEB" w:rsidRDefault="00706AEB" w:rsidP="00AA4BBB">
            <w:pPr>
              <w:jc w:val="center"/>
              <w:rPr>
                <w:rFonts w:cs="Arial"/>
                <w:b/>
                <w:bCs/>
                <w:sz w:val="18"/>
                <w:szCs w:val="18"/>
              </w:rPr>
            </w:pPr>
            <w:r w:rsidRPr="00706AEB">
              <w:rPr>
                <w:rFonts w:cs="Arial"/>
                <w:b/>
                <w:bCs/>
                <w:sz w:val="18"/>
                <w:szCs w:val="18"/>
              </w:rPr>
              <w:t>2025</w:t>
            </w:r>
          </w:p>
        </w:tc>
        <w:tc>
          <w:tcPr>
            <w:tcW w:w="0" w:type="auto"/>
            <w:shd w:val="clear" w:color="auto" w:fill="D9D9D9"/>
            <w:tcMar>
              <w:top w:w="30" w:type="dxa"/>
              <w:left w:w="45" w:type="dxa"/>
              <w:bottom w:w="30" w:type="dxa"/>
              <w:right w:w="45" w:type="dxa"/>
            </w:tcMar>
            <w:vAlign w:val="center"/>
            <w:hideMark/>
          </w:tcPr>
          <w:p w14:paraId="64816D2A" w14:textId="77777777" w:rsidR="00706AEB" w:rsidRPr="00706AEB" w:rsidRDefault="00706AEB" w:rsidP="00AA4BBB">
            <w:pPr>
              <w:jc w:val="center"/>
              <w:rPr>
                <w:rFonts w:cs="Arial"/>
                <w:b/>
                <w:bCs/>
                <w:sz w:val="18"/>
                <w:szCs w:val="18"/>
              </w:rPr>
            </w:pPr>
            <w:r w:rsidRPr="00706AEB">
              <w:rPr>
                <w:rFonts w:cs="Arial"/>
                <w:b/>
                <w:bCs/>
                <w:sz w:val="18"/>
                <w:szCs w:val="18"/>
              </w:rPr>
              <w:t>2026</w:t>
            </w:r>
          </w:p>
        </w:tc>
        <w:tc>
          <w:tcPr>
            <w:tcW w:w="0" w:type="auto"/>
            <w:shd w:val="clear" w:color="auto" w:fill="D9D9D9"/>
            <w:tcMar>
              <w:top w:w="30" w:type="dxa"/>
              <w:left w:w="45" w:type="dxa"/>
              <w:bottom w:w="30" w:type="dxa"/>
              <w:right w:w="45" w:type="dxa"/>
            </w:tcMar>
            <w:vAlign w:val="center"/>
            <w:hideMark/>
          </w:tcPr>
          <w:p w14:paraId="5445DE51" w14:textId="77777777" w:rsidR="00706AEB" w:rsidRPr="00706AEB" w:rsidRDefault="00706AEB" w:rsidP="00AA4BBB">
            <w:pPr>
              <w:jc w:val="center"/>
              <w:rPr>
                <w:rFonts w:cs="Arial"/>
                <w:b/>
                <w:bCs/>
                <w:sz w:val="18"/>
                <w:szCs w:val="18"/>
              </w:rPr>
            </w:pPr>
            <w:r w:rsidRPr="00706AEB">
              <w:rPr>
                <w:rFonts w:cs="Arial"/>
                <w:b/>
                <w:bCs/>
                <w:sz w:val="18"/>
                <w:szCs w:val="18"/>
              </w:rPr>
              <w:t>2027</w:t>
            </w:r>
          </w:p>
        </w:tc>
        <w:tc>
          <w:tcPr>
            <w:tcW w:w="0" w:type="auto"/>
            <w:shd w:val="clear" w:color="auto" w:fill="D9D9D9"/>
            <w:tcMar>
              <w:top w:w="30" w:type="dxa"/>
              <w:left w:w="45" w:type="dxa"/>
              <w:bottom w:w="30" w:type="dxa"/>
              <w:right w:w="45" w:type="dxa"/>
            </w:tcMar>
            <w:vAlign w:val="center"/>
            <w:hideMark/>
          </w:tcPr>
          <w:p w14:paraId="176E9F26" w14:textId="77777777" w:rsidR="00706AEB" w:rsidRPr="00706AEB" w:rsidRDefault="00706AEB" w:rsidP="00AA4BBB">
            <w:pPr>
              <w:jc w:val="center"/>
              <w:rPr>
                <w:rFonts w:cs="Arial"/>
                <w:b/>
                <w:bCs/>
                <w:sz w:val="18"/>
                <w:szCs w:val="18"/>
              </w:rPr>
            </w:pPr>
            <w:r w:rsidRPr="00706AEB">
              <w:rPr>
                <w:rFonts w:cs="Arial"/>
                <w:b/>
                <w:bCs/>
                <w:sz w:val="18"/>
                <w:szCs w:val="18"/>
              </w:rPr>
              <w:t>Total Inversión</w:t>
            </w:r>
          </w:p>
        </w:tc>
      </w:tr>
      <w:tr w:rsidR="00706AEB" w:rsidRPr="00706AEB" w14:paraId="468A50C7" w14:textId="77777777" w:rsidTr="00920C99">
        <w:tc>
          <w:tcPr>
            <w:tcW w:w="0" w:type="auto"/>
            <w:gridSpan w:val="6"/>
            <w:shd w:val="clear" w:color="auto" w:fill="C00000"/>
            <w:tcMar>
              <w:top w:w="30" w:type="dxa"/>
              <w:left w:w="45" w:type="dxa"/>
              <w:bottom w:w="30" w:type="dxa"/>
              <w:right w:w="45" w:type="dxa"/>
            </w:tcMar>
            <w:vAlign w:val="center"/>
            <w:hideMark/>
          </w:tcPr>
          <w:p w14:paraId="5CD73147" w14:textId="5BABA6B7" w:rsidR="00706AEB" w:rsidRPr="00706AEB" w:rsidRDefault="00706AEB" w:rsidP="00706AEB">
            <w:pPr>
              <w:jc w:val="center"/>
              <w:rPr>
                <w:rFonts w:cs="Arial"/>
                <w:b/>
                <w:bCs/>
                <w:color w:val="FFFFFF" w:themeColor="background1"/>
                <w:sz w:val="18"/>
                <w:szCs w:val="18"/>
              </w:rPr>
            </w:pPr>
            <w:r w:rsidRPr="00706AEB">
              <w:rPr>
                <w:rFonts w:cs="Arial"/>
                <w:b/>
                <w:bCs/>
                <w:color w:val="FFFFFF" w:themeColor="background1"/>
                <w:sz w:val="18"/>
                <w:szCs w:val="18"/>
              </w:rPr>
              <w:t>Integración Social</w:t>
            </w:r>
          </w:p>
        </w:tc>
      </w:tr>
      <w:tr w:rsidR="00706AEB" w:rsidRPr="00706AEB" w14:paraId="1334B8B0" w14:textId="77777777" w:rsidTr="00920C99">
        <w:tc>
          <w:tcPr>
            <w:tcW w:w="0" w:type="auto"/>
            <w:vMerge w:val="restart"/>
            <w:tcMar>
              <w:top w:w="30" w:type="dxa"/>
              <w:left w:w="45" w:type="dxa"/>
              <w:bottom w:w="30" w:type="dxa"/>
              <w:right w:w="45" w:type="dxa"/>
            </w:tcMar>
            <w:vAlign w:val="center"/>
            <w:hideMark/>
          </w:tcPr>
          <w:p w14:paraId="4349AFEB" w14:textId="77777777" w:rsidR="00706AEB" w:rsidRPr="00706AEB" w:rsidRDefault="00706AEB" w:rsidP="00AA4BBB">
            <w:pPr>
              <w:rPr>
                <w:rFonts w:cs="Arial"/>
                <w:sz w:val="18"/>
                <w:szCs w:val="18"/>
              </w:rPr>
            </w:pPr>
            <w:r w:rsidRPr="00706AEB">
              <w:rPr>
                <w:rFonts w:cs="Arial"/>
                <w:sz w:val="18"/>
                <w:szCs w:val="18"/>
              </w:rPr>
              <w:t>Atender 5.588 niñas niños adolescentes y jóvenes en situación de vida en calle en riesgo de habitarla en dinámicas de calle y en fragilidad social en los procesos de protección y atención integral del modelo pedagógico del IDIPRON.</w:t>
            </w:r>
          </w:p>
        </w:tc>
        <w:tc>
          <w:tcPr>
            <w:tcW w:w="0" w:type="auto"/>
            <w:tcMar>
              <w:top w:w="30" w:type="dxa"/>
              <w:left w:w="45" w:type="dxa"/>
              <w:bottom w:w="30" w:type="dxa"/>
              <w:right w:w="45" w:type="dxa"/>
            </w:tcMar>
            <w:vAlign w:val="center"/>
            <w:hideMark/>
          </w:tcPr>
          <w:p w14:paraId="7CEEAB1A" w14:textId="77777777" w:rsidR="00706AEB" w:rsidRPr="00706AEB" w:rsidRDefault="00706AEB" w:rsidP="00AA4BBB">
            <w:pPr>
              <w:jc w:val="center"/>
              <w:rPr>
                <w:rFonts w:cs="Arial"/>
                <w:sz w:val="18"/>
                <w:szCs w:val="18"/>
              </w:rPr>
            </w:pPr>
            <w:r w:rsidRPr="00706AEB">
              <w:rPr>
                <w:rFonts w:cs="Arial"/>
                <w:sz w:val="18"/>
                <w:szCs w:val="18"/>
              </w:rPr>
              <w:t>5.588</w:t>
            </w:r>
          </w:p>
        </w:tc>
        <w:tc>
          <w:tcPr>
            <w:tcW w:w="0" w:type="auto"/>
            <w:tcMar>
              <w:top w:w="30" w:type="dxa"/>
              <w:left w:w="45" w:type="dxa"/>
              <w:bottom w:w="30" w:type="dxa"/>
              <w:right w:w="45" w:type="dxa"/>
            </w:tcMar>
            <w:vAlign w:val="center"/>
            <w:hideMark/>
          </w:tcPr>
          <w:p w14:paraId="6B26F164" w14:textId="77777777" w:rsidR="00706AEB" w:rsidRPr="00706AEB" w:rsidRDefault="00706AEB" w:rsidP="00AA4BBB">
            <w:pPr>
              <w:jc w:val="center"/>
              <w:rPr>
                <w:rFonts w:cs="Arial"/>
                <w:sz w:val="18"/>
                <w:szCs w:val="18"/>
              </w:rPr>
            </w:pPr>
            <w:r w:rsidRPr="00706AEB">
              <w:rPr>
                <w:rFonts w:cs="Arial"/>
                <w:sz w:val="18"/>
                <w:szCs w:val="18"/>
              </w:rPr>
              <w:t>5.588</w:t>
            </w:r>
          </w:p>
        </w:tc>
        <w:tc>
          <w:tcPr>
            <w:tcW w:w="0" w:type="auto"/>
            <w:tcMar>
              <w:top w:w="30" w:type="dxa"/>
              <w:left w:w="45" w:type="dxa"/>
              <w:bottom w:w="30" w:type="dxa"/>
              <w:right w:w="45" w:type="dxa"/>
            </w:tcMar>
            <w:vAlign w:val="center"/>
            <w:hideMark/>
          </w:tcPr>
          <w:p w14:paraId="5007675D" w14:textId="77777777" w:rsidR="00706AEB" w:rsidRPr="00706AEB" w:rsidRDefault="00706AEB" w:rsidP="00AA4BBB">
            <w:pPr>
              <w:jc w:val="center"/>
              <w:rPr>
                <w:rFonts w:cs="Arial"/>
                <w:sz w:val="18"/>
                <w:szCs w:val="18"/>
              </w:rPr>
            </w:pPr>
            <w:r w:rsidRPr="00706AEB">
              <w:rPr>
                <w:rFonts w:cs="Arial"/>
                <w:sz w:val="18"/>
                <w:szCs w:val="18"/>
              </w:rPr>
              <w:t>5.588</w:t>
            </w:r>
          </w:p>
        </w:tc>
        <w:tc>
          <w:tcPr>
            <w:tcW w:w="0" w:type="auto"/>
            <w:tcMar>
              <w:top w:w="30" w:type="dxa"/>
              <w:left w:w="45" w:type="dxa"/>
              <w:bottom w:w="30" w:type="dxa"/>
              <w:right w:w="45" w:type="dxa"/>
            </w:tcMar>
            <w:vAlign w:val="center"/>
            <w:hideMark/>
          </w:tcPr>
          <w:p w14:paraId="47153320" w14:textId="77777777" w:rsidR="00706AEB" w:rsidRPr="00706AEB" w:rsidRDefault="00706AEB" w:rsidP="00AA4BBB">
            <w:pPr>
              <w:jc w:val="center"/>
              <w:rPr>
                <w:rFonts w:cs="Arial"/>
                <w:sz w:val="18"/>
                <w:szCs w:val="18"/>
              </w:rPr>
            </w:pPr>
            <w:r w:rsidRPr="00706AEB">
              <w:rPr>
                <w:rFonts w:cs="Arial"/>
                <w:sz w:val="18"/>
                <w:szCs w:val="18"/>
              </w:rPr>
              <w:t>5.588</w:t>
            </w:r>
          </w:p>
        </w:tc>
        <w:tc>
          <w:tcPr>
            <w:tcW w:w="0" w:type="auto"/>
            <w:vMerge w:val="restart"/>
            <w:tcMar>
              <w:top w:w="30" w:type="dxa"/>
              <w:left w:w="45" w:type="dxa"/>
              <w:bottom w:w="30" w:type="dxa"/>
              <w:right w:w="45" w:type="dxa"/>
            </w:tcMar>
            <w:vAlign w:val="center"/>
            <w:hideMark/>
          </w:tcPr>
          <w:p w14:paraId="13573263" w14:textId="77777777" w:rsidR="00706AEB" w:rsidRPr="00706AEB" w:rsidRDefault="00706AEB" w:rsidP="00AA4BBB">
            <w:pPr>
              <w:jc w:val="center"/>
              <w:rPr>
                <w:rFonts w:cs="Arial"/>
                <w:b/>
                <w:bCs/>
                <w:sz w:val="18"/>
                <w:szCs w:val="18"/>
              </w:rPr>
            </w:pPr>
            <w:r w:rsidRPr="00706AEB">
              <w:rPr>
                <w:rFonts w:cs="Arial"/>
                <w:b/>
                <w:bCs/>
                <w:sz w:val="18"/>
                <w:szCs w:val="18"/>
              </w:rPr>
              <w:t>110.856.225.302</w:t>
            </w:r>
          </w:p>
        </w:tc>
      </w:tr>
      <w:tr w:rsidR="00706AEB" w:rsidRPr="00706AEB" w14:paraId="76B2772E" w14:textId="77777777" w:rsidTr="00920C99">
        <w:tc>
          <w:tcPr>
            <w:tcW w:w="0" w:type="auto"/>
            <w:vMerge/>
            <w:vAlign w:val="center"/>
            <w:hideMark/>
          </w:tcPr>
          <w:p w14:paraId="689DFEAB" w14:textId="77777777" w:rsidR="00706AEB" w:rsidRPr="00706AEB" w:rsidRDefault="00706AEB" w:rsidP="00AA4BBB">
            <w:pPr>
              <w:rPr>
                <w:rFonts w:cs="Arial"/>
                <w:sz w:val="18"/>
                <w:szCs w:val="18"/>
              </w:rPr>
            </w:pPr>
          </w:p>
        </w:tc>
        <w:tc>
          <w:tcPr>
            <w:tcW w:w="0" w:type="auto"/>
            <w:tcMar>
              <w:top w:w="30" w:type="dxa"/>
              <w:left w:w="45" w:type="dxa"/>
              <w:bottom w:w="30" w:type="dxa"/>
              <w:right w:w="45" w:type="dxa"/>
            </w:tcMar>
            <w:vAlign w:val="center"/>
            <w:hideMark/>
          </w:tcPr>
          <w:p w14:paraId="103FD1F2" w14:textId="77777777" w:rsidR="00706AEB" w:rsidRPr="00706AEB" w:rsidRDefault="00706AEB" w:rsidP="00AA4BBB">
            <w:pPr>
              <w:jc w:val="center"/>
              <w:rPr>
                <w:rFonts w:cs="Arial"/>
                <w:sz w:val="18"/>
                <w:szCs w:val="18"/>
              </w:rPr>
            </w:pPr>
            <w:r w:rsidRPr="00706AEB">
              <w:rPr>
                <w:rFonts w:cs="Arial"/>
                <w:sz w:val="18"/>
                <w:szCs w:val="18"/>
              </w:rPr>
              <w:t>25.778.000.000</w:t>
            </w:r>
          </w:p>
        </w:tc>
        <w:tc>
          <w:tcPr>
            <w:tcW w:w="0" w:type="auto"/>
            <w:tcMar>
              <w:top w:w="30" w:type="dxa"/>
              <w:left w:w="45" w:type="dxa"/>
              <w:bottom w:w="30" w:type="dxa"/>
              <w:right w:w="45" w:type="dxa"/>
            </w:tcMar>
            <w:vAlign w:val="center"/>
            <w:hideMark/>
          </w:tcPr>
          <w:p w14:paraId="7B65F2FF" w14:textId="77777777" w:rsidR="00706AEB" w:rsidRPr="00706AEB" w:rsidRDefault="00706AEB" w:rsidP="00AA4BBB">
            <w:pPr>
              <w:jc w:val="center"/>
              <w:rPr>
                <w:rFonts w:cs="Arial"/>
                <w:sz w:val="18"/>
                <w:szCs w:val="18"/>
              </w:rPr>
            </w:pPr>
            <w:r w:rsidRPr="00706AEB">
              <w:rPr>
                <w:rFonts w:cs="Arial"/>
                <w:sz w:val="18"/>
                <w:szCs w:val="18"/>
              </w:rPr>
              <w:t>27.350.485.437</w:t>
            </w:r>
          </w:p>
        </w:tc>
        <w:tc>
          <w:tcPr>
            <w:tcW w:w="0" w:type="auto"/>
            <w:tcMar>
              <w:top w:w="30" w:type="dxa"/>
              <w:left w:w="45" w:type="dxa"/>
              <w:bottom w:w="30" w:type="dxa"/>
              <w:right w:w="45" w:type="dxa"/>
            </w:tcMar>
            <w:vAlign w:val="center"/>
            <w:hideMark/>
          </w:tcPr>
          <w:p w14:paraId="112828C9" w14:textId="77777777" w:rsidR="00706AEB" w:rsidRPr="00706AEB" w:rsidRDefault="00706AEB" w:rsidP="00AA4BBB">
            <w:pPr>
              <w:jc w:val="center"/>
              <w:rPr>
                <w:rFonts w:cs="Arial"/>
                <w:sz w:val="18"/>
                <w:szCs w:val="18"/>
              </w:rPr>
            </w:pPr>
            <w:r w:rsidRPr="00706AEB">
              <w:rPr>
                <w:rFonts w:cs="Arial"/>
                <w:sz w:val="18"/>
                <w:szCs w:val="18"/>
              </w:rPr>
              <w:t>28.864.171.929</w:t>
            </w:r>
          </w:p>
        </w:tc>
        <w:tc>
          <w:tcPr>
            <w:tcW w:w="0" w:type="auto"/>
            <w:tcMar>
              <w:top w:w="30" w:type="dxa"/>
              <w:left w:w="45" w:type="dxa"/>
              <w:bottom w:w="30" w:type="dxa"/>
              <w:right w:w="45" w:type="dxa"/>
            </w:tcMar>
            <w:vAlign w:val="center"/>
            <w:hideMark/>
          </w:tcPr>
          <w:p w14:paraId="4CB15C25" w14:textId="77777777" w:rsidR="00706AEB" w:rsidRPr="00706AEB" w:rsidRDefault="00706AEB" w:rsidP="00AA4BBB">
            <w:pPr>
              <w:jc w:val="center"/>
              <w:rPr>
                <w:rFonts w:cs="Arial"/>
                <w:sz w:val="18"/>
                <w:szCs w:val="18"/>
              </w:rPr>
            </w:pPr>
            <w:r w:rsidRPr="00706AEB">
              <w:rPr>
                <w:rFonts w:cs="Arial"/>
                <w:sz w:val="18"/>
                <w:szCs w:val="18"/>
              </w:rPr>
              <w:t>28.863.567.936</w:t>
            </w:r>
          </w:p>
        </w:tc>
        <w:tc>
          <w:tcPr>
            <w:tcW w:w="0" w:type="auto"/>
            <w:vMerge/>
            <w:vAlign w:val="center"/>
            <w:hideMark/>
          </w:tcPr>
          <w:p w14:paraId="4B28C8F7" w14:textId="77777777" w:rsidR="00706AEB" w:rsidRPr="00706AEB" w:rsidRDefault="00706AEB" w:rsidP="00AA4BBB">
            <w:pPr>
              <w:rPr>
                <w:rFonts w:cs="Arial"/>
                <w:b/>
                <w:bCs/>
                <w:sz w:val="18"/>
                <w:szCs w:val="18"/>
              </w:rPr>
            </w:pPr>
          </w:p>
        </w:tc>
      </w:tr>
      <w:tr w:rsidR="00706AEB" w:rsidRPr="00706AEB" w14:paraId="1DD80509" w14:textId="77777777" w:rsidTr="00920C99">
        <w:tc>
          <w:tcPr>
            <w:tcW w:w="0" w:type="auto"/>
            <w:vMerge w:val="restart"/>
            <w:tcMar>
              <w:top w:w="30" w:type="dxa"/>
              <w:left w:w="45" w:type="dxa"/>
              <w:bottom w:w="30" w:type="dxa"/>
              <w:right w:w="45" w:type="dxa"/>
            </w:tcMar>
            <w:vAlign w:val="center"/>
            <w:hideMark/>
          </w:tcPr>
          <w:p w14:paraId="37931C8B" w14:textId="77777777" w:rsidR="00706AEB" w:rsidRPr="00706AEB" w:rsidRDefault="00706AEB" w:rsidP="00AA4BBB">
            <w:pPr>
              <w:rPr>
                <w:rFonts w:cs="Arial"/>
                <w:sz w:val="18"/>
                <w:szCs w:val="18"/>
              </w:rPr>
            </w:pPr>
            <w:r w:rsidRPr="00706AEB">
              <w:rPr>
                <w:rFonts w:cs="Arial"/>
                <w:sz w:val="18"/>
                <w:szCs w:val="18"/>
              </w:rPr>
              <w:t>Beneficiar a 2.480 adolescentes y jóvenes participantes del modelo pedagógico a estrategias de desarrollo de capacidades y generación de oportunidades para su inclusión socioeconómica.</w:t>
            </w:r>
          </w:p>
        </w:tc>
        <w:tc>
          <w:tcPr>
            <w:tcW w:w="0" w:type="auto"/>
            <w:tcMar>
              <w:top w:w="30" w:type="dxa"/>
              <w:left w:w="45" w:type="dxa"/>
              <w:bottom w:w="30" w:type="dxa"/>
              <w:right w:w="45" w:type="dxa"/>
            </w:tcMar>
            <w:vAlign w:val="center"/>
            <w:hideMark/>
          </w:tcPr>
          <w:p w14:paraId="21BACBA7" w14:textId="77777777" w:rsidR="00706AEB" w:rsidRPr="00706AEB" w:rsidRDefault="00706AEB" w:rsidP="00AA4BBB">
            <w:pPr>
              <w:jc w:val="center"/>
              <w:rPr>
                <w:rFonts w:cs="Arial"/>
                <w:sz w:val="18"/>
                <w:szCs w:val="18"/>
              </w:rPr>
            </w:pPr>
            <w:r w:rsidRPr="00706AEB">
              <w:rPr>
                <w:rFonts w:cs="Arial"/>
                <w:sz w:val="18"/>
                <w:szCs w:val="18"/>
              </w:rPr>
              <w:t>2.480</w:t>
            </w:r>
          </w:p>
        </w:tc>
        <w:tc>
          <w:tcPr>
            <w:tcW w:w="0" w:type="auto"/>
            <w:tcMar>
              <w:top w:w="30" w:type="dxa"/>
              <w:left w:w="45" w:type="dxa"/>
              <w:bottom w:w="30" w:type="dxa"/>
              <w:right w:w="45" w:type="dxa"/>
            </w:tcMar>
            <w:vAlign w:val="center"/>
            <w:hideMark/>
          </w:tcPr>
          <w:p w14:paraId="16238044" w14:textId="77777777" w:rsidR="00706AEB" w:rsidRPr="00706AEB" w:rsidRDefault="00706AEB" w:rsidP="00AA4BBB">
            <w:pPr>
              <w:jc w:val="center"/>
              <w:rPr>
                <w:rFonts w:cs="Arial"/>
                <w:sz w:val="18"/>
                <w:szCs w:val="18"/>
              </w:rPr>
            </w:pPr>
            <w:r w:rsidRPr="00706AEB">
              <w:rPr>
                <w:rFonts w:cs="Arial"/>
                <w:sz w:val="18"/>
                <w:szCs w:val="18"/>
              </w:rPr>
              <w:t>2.480</w:t>
            </w:r>
          </w:p>
        </w:tc>
        <w:tc>
          <w:tcPr>
            <w:tcW w:w="0" w:type="auto"/>
            <w:tcMar>
              <w:top w:w="30" w:type="dxa"/>
              <w:left w:w="45" w:type="dxa"/>
              <w:bottom w:w="30" w:type="dxa"/>
              <w:right w:w="45" w:type="dxa"/>
            </w:tcMar>
            <w:vAlign w:val="center"/>
            <w:hideMark/>
          </w:tcPr>
          <w:p w14:paraId="6AFC65D3" w14:textId="77777777" w:rsidR="00706AEB" w:rsidRPr="00706AEB" w:rsidRDefault="00706AEB" w:rsidP="00AA4BBB">
            <w:pPr>
              <w:jc w:val="center"/>
              <w:rPr>
                <w:rFonts w:cs="Arial"/>
                <w:sz w:val="18"/>
                <w:szCs w:val="18"/>
              </w:rPr>
            </w:pPr>
            <w:r w:rsidRPr="00706AEB">
              <w:rPr>
                <w:rFonts w:cs="Arial"/>
                <w:sz w:val="18"/>
                <w:szCs w:val="18"/>
              </w:rPr>
              <w:t>2.480</w:t>
            </w:r>
          </w:p>
        </w:tc>
        <w:tc>
          <w:tcPr>
            <w:tcW w:w="0" w:type="auto"/>
            <w:tcMar>
              <w:top w:w="30" w:type="dxa"/>
              <w:left w:w="45" w:type="dxa"/>
              <w:bottom w:w="30" w:type="dxa"/>
              <w:right w:w="45" w:type="dxa"/>
            </w:tcMar>
            <w:vAlign w:val="center"/>
            <w:hideMark/>
          </w:tcPr>
          <w:p w14:paraId="6FDB4789" w14:textId="77777777" w:rsidR="00706AEB" w:rsidRPr="00706AEB" w:rsidRDefault="00706AEB" w:rsidP="00AA4BBB">
            <w:pPr>
              <w:jc w:val="center"/>
              <w:rPr>
                <w:rFonts w:cs="Arial"/>
                <w:sz w:val="18"/>
                <w:szCs w:val="18"/>
              </w:rPr>
            </w:pPr>
            <w:r w:rsidRPr="00706AEB">
              <w:rPr>
                <w:rFonts w:cs="Arial"/>
                <w:sz w:val="18"/>
                <w:szCs w:val="18"/>
              </w:rPr>
              <w:t>2.480</w:t>
            </w:r>
          </w:p>
        </w:tc>
        <w:tc>
          <w:tcPr>
            <w:tcW w:w="0" w:type="auto"/>
            <w:vMerge w:val="restart"/>
            <w:tcMar>
              <w:top w:w="30" w:type="dxa"/>
              <w:left w:w="45" w:type="dxa"/>
              <w:bottom w:w="30" w:type="dxa"/>
              <w:right w:w="45" w:type="dxa"/>
            </w:tcMar>
            <w:vAlign w:val="center"/>
            <w:hideMark/>
          </w:tcPr>
          <w:p w14:paraId="4A544496" w14:textId="77777777" w:rsidR="00706AEB" w:rsidRPr="00706AEB" w:rsidRDefault="00706AEB" w:rsidP="00AA4BBB">
            <w:pPr>
              <w:jc w:val="center"/>
              <w:rPr>
                <w:rFonts w:cs="Arial"/>
                <w:b/>
                <w:bCs/>
                <w:sz w:val="18"/>
                <w:szCs w:val="18"/>
              </w:rPr>
            </w:pPr>
            <w:r w:rsidRPr="00706AEB">
              <w:rPr>
                <w:rFonts w:cs="Arial"/>
                <w:b/>
                <w:bCs/>
                <w:sz w:val="18"/>
                <w:szCs w:val="18"/>
              </w:rPr>
              <w:t>132.239.820.608</w:t>
            </w:r>
          </w:p>
        </w:tc>
      </w:tr>
      <w:tr w:rsidR="00706AEB" w:rsidRPr="00706AEB" w14:paraId="291D40BD" w14:textId="77777777" w:rsidTr="00920C99">
        <w:tc>
          <w:tcPr>
            <w:tcW w:w="0" w:type="auto"/>
            <w:vMerge/>
            <w:vAlign w:val="center"/>
            <w:hideMark/>
          </w:tcPr>
          <w:p w14:paraId="0345FC3F" w14:textId="77777777" w:rsidR="00706AEB" w:rsidRPr="00706AEB" w:rsidRDefault="00706AEB" w:rsidP="00AA4BBB">
            <w:pPr>
              <w:rPr>
                <w:rFonts w:cs="Arial"/>
                <w:sz w:val="18"/>
                <w:szCs w:val="18"/>
              </w:rPr>
            </w:pPr>
          </w:p>
        </w:tc>
        <w:tc>
          <w:tcPr>
            <w:tcW w:w="0" w:type="auto"/>
            <w:tcMar>
              <w:top w:w="30" w:type="dxa"/>
              <w:left w:w="45" w:type="dxa"/>
              <w:bottom w:w="30" w:type="dxa"/>
              <w:right w:w="45" w:type="dxa"/>
            </w:tcMar>
            <w:vAlign w:val="center"/>
            <w:hideMark/>
          </w:tcPr>
          <w:p w14:paraId="2EEAA56D" w14:textId="77777777" w:rsidR="00706AEB" w:rsidRPr="00706AEB" w:rsidRDefault="00706AEB" w:rsidP="00AA4BBB">
            <w:pPr>
              <w:jc w:val="center"/>
              <w:rPr>
                <w:rFonts w:cs="Arial"/>
                <w:sz w:val="18"/>
                <w:szCs w:val="18"/>
              </w:rPr>
            </w:pPr>
            <w:r w:rsidRPr="00706AEB">
              <w:rPr>
                <w:rFonts w:cs="Arial"/>
                <w:sz w:val="18"/>
                <w:szCs w:val="18"/>
              </w:rPr>
              <w:t>32.639.000.000</w:t>
            </w:r>
          </w:p>
        </w:tc>
        <w:tc>
          <w:tcPr>
            <w:tcW w:w="0" w:type="auto"/>
            <w:tcMar>
              <w:top w:w="30" w:type="dxa"/>
              <w:left w:w="45" w:type="dxa"/>
              <w:bottom w:w="30" w:type="dxa"/>
              <w:right w:w="45" w:type="dxa"/>
            </w:tcMar>
            <w:vAlign w:val="center"/>
            <w:hideMark/>
          </w:tcPr>
          <w:p w14:paraId="7AD90456" w14:textId="77777777" w:rsidR="00706AEB" w:rsidRPr="00706AEB" w:rsidRDefault="00706AEB" w:rsidP="00AA4BBB">
            <w:pPr>
              <w:jc w:val="center"/>
              <w:rPr>
                <w:rFonts w:cs="Arial"/>
                <w:sz w:val="18"/>
                <w:szCs w:val="18"/>
              </w:rPr>
            </w:pPr>
            <w:r w:rsidRPr="00706AEB">
              <w:rPr>
                <w:rFonts w:cs="Arial"/>
                <w:sz w:val="18"/>
                <w:szCs w:val="18"/>
              </w:rPr>
              <w:t>32.379.611.650</w:t>
            </w:r>
          </w:p>
        </w:tc>
        <w:tc>
          <w:tcPr>
            <w:tcW w:w="0" w:type="auto"/>
            <w:tcMar>
              <w:top w:w="30" w:type="dxa"/>
              <w:left w:w="45" w:type="dxa"/>
              <w:bottom w:w="30" w:type="dxa"/>
              <w:right w:w="45" w:type="dxa"/>
            </w:tcMar>
            <w:vAlign w:val="center"/>
            <w:hideMark/>
          </w:tcPr>
          <w:p w14:paraId="728861DB" w14:textId="77777777" w:rsidR="00706AEB" w:rsidRPr="00706AEB" w:rsidRDefault="00706AEB" w:rsidP="00AA4BBB">
            <w:pPr>
              <w:jc w:val="center"/>
              <w:rPr>
                <w:rFonts w:cs="Arial"/>
                <w:sz w:val="18"/>
                <w:szCs w:val="18"/>
              </w:rPr>
            </w:pPr>
            <w:r w:rsidRPr="00706AEB">
              <w:rPr>
                <w:rFonts w:cs="Arial"/>
                <w:sz w:val="18"/>
                <w:szCs w:val="18"/>
              </w:rPr>
              <w:t>33.255.726.270</w:t>
            </w:r>
          </w:p>
        </w:tc>
        <w:tc>
          <w:tcPr>
            <w:tcW w:w="0" w:type="auto"/>
            <w:tcMar>
              <w:top w:w="30" w:type="dxa"/>
              <w:left w:w="45" w:type="dxa"/>
              <w:bottom w:w="30" w:type="dxa"/>
              <w:right w:w="45" w:type="dxa"/>
            </w:tcMar>
            <w:vAlign w:val="center"/>
            <w:hideMark/>
          </w:tcPr>
          <w:p w14:paraId="751F1042" w14:textId="77777777" w:rsidR="00706AEB" w:rsidRPr="00706AEB" w:rsidRDefault="00706AEB" w:rsidP="00AA4BBB">
            <w:pPr>
              <w:jc w:val="center"/>
              <w:rPr>
                <w:rFonts w:cs="Arial"/>
                <w:sz w:val="18"/>
                <w:szCs w:val="18"/>
              </w:rPr>
            </w:pPr>
            <w:r w:rsidRPr="00706AEB">
              <w:rPr>
                <w:rFonts w:cs="Arial"/>
                <w:sz w:val="18"/>
                <w:szCs w:val="18"/>
              </w:rPr>
              <w:t>33.965.482.687</w:t>
            </w:r>
          </w:p>
        </w:tc>
        <w:tc>
          <w:tcPr>
            <w:tcW w:w="0" w:type="auto"/>
            <w:vMerge/>
            <w:vAlign w:val="center"/>
            <w:hideMark/>
          </w:tcPr>
          <w:p w14:paraId="43BF9E00" w14:textId="77777777" w:rsidR="00706AEB" w:rsidRPr="00706AEB" w:rsidRDefault="00706AEB" w:rsidP="00AA4BBB">
            <w:pPr>
              <w:rPr>
                <w:rFonts w:cs="Arial"/>
                <w:b/>
                <w:bCs/>
                <w:sz w:val="18"/>
                <w:szCs w:val="18"/>
              </w:rPr>
            </w:pPr>
          </w:p>
        </w:tc>
      </w:tr>
      <w:tr w:rsidR="00706AEB" w:rsidRPr="00706AEB" w14:paraId="1F45DE1F" w14:textId="77777777" w:rsidTr="00920C99">
        <w:tc>
          <w:tcPr>
            <w:tcW w:w="0" w:type="auto"/>
            <w:vMerge w:val="restart"/>
            <w:tcMar>
              <w:top w:w="30" w:type="dxa"/>
              <w:left w:w="45" w:type="dxa"/>
              <w:bottom w:w="30" w:type="dxa"/>
              <w:right w:w="45" w:type="dxa"/>
            </w:tcMar>
            <w:vAlign w:val="center"/>
            <w:hideMark/>
          </w:tcPr>
          <w:p w14:paraId="62496B39" w14:textId="77777777" w:rsidR="00706AEB" w:rsidRPr="00706AEB" w:rsidRDefault="00706AEB" w:rsidP="00AA4BBB">
            <w:pPr>
              <w:rPr>
                <w:rFonts w:cs="Arial"/>
                <w:sz w:val="18"/>
                <w:szCs w:val="18"/>
              </w:rPr>
            </w:pPr>
            <w:r w:rsidRPr="00706AEB">
              <w:rPr>
                <w:rFonts w:cs="Arial"/>
                <w:sz w:val="18"/>
                <w:szCs w:val="18"/>
              </w:rPr>
              <w:t>Implementar una (1) estrategia de abordaje territorial para beneficiar a personas migrantes o personas en situaciones de emergencias sociales sanitarias naturales antrópicas y de vulnerabilidad inminente.</w:t>
            </w:r>
          </w:p>
        </w:tc>
        <w:tc>
          <w:tcPr>
            <w:tcW w:w="0" w:type="auto"/>
            <w:tcMar>
              <w:top w:w="30" w:type="dxa"/>
              <w:left w:w="45" w:type="dxa"/>
              <w:bottom w:w="30" w:type="dxa"/>
              <w:right w:w="45" w:type="dxa"/>
            </w:tcMar>
            <w:vAlign w:val="center"/>
            <w:hideMark/>
          </w:tcPr>
          <w:p w14:paraId="35A35E5F" w14:textId="77777777" w:rsidR="00706AEB" w:rsidRPr="00706AEB" w:rsidRDefault="00706AEB" w:rsidP="00AA4BBB">
            <w:pPr>
              <w:jc w:val="center"/>
              <w:rPr>
                <w:rFonts w:cs="Arial"/>
                <w:sz w:val="18"/>
                <w:szCs w:val="18"/>
              </w:rPr>
            </w:pPr>
            <w:r w:rsidRPr="00706AEB">
              <w:rPr>
                <w:rFonts w:cs="Arial"/>
                <w:sz w:val="18"/>
                <w:szCs w:val="18"/>
              </w:rPr>
              <w:t>5,0</w:t>
            </w:r>
          </w:p>
        </w:tc>
        <w:tc>
          <w:tcPr>
            <w:tcW w:w="0" w:type="auto"/>
            <w:tcMar>
              <w:top w:w="30" w:type="dxa"/>
              <w:left w:w="45" w:type="dxa"/>
              <w:bottom w:w="30" w:type="dxa"/>
              <w:right w:w="45" w:type="dxa"/>
            </w:tcMar>
            <w:vAlign w:val="center"/>
            <w:hideMark/>
          </w:tcPr>
          <w:p w14:paraId="5768353B" w14:textId="77777777" w:rsidR="00706AEB" w:rsidRPr="00706AEB" w:rsidRDefault="00706AEB" w:rsidP="00AA4BBB">
            <w:pPr>
              <w:jc w:val="center"/>
              <w:rPr>
                <w:rFonts w:cs="Arial"/>
                <w:sz w:val="18"/>
                <w:szCs w:val="18"/>
              </w:rPr>
            </w:pPr>
            <w:r w:rsidRPr="00706AEB">
              <w:rPr>
                <w:rFonts w:cs="Arial"/>
                <w:sz w:val="18"/>
                <w:szCs w:val="18"/>
              </w:rPr>
              <w:t>5,0</w:t>
            </w:r>
          </w:p>
        </w:tc>
        <w:tc>
          <w:tcPr>
            <w:tcW w:w="0" w:type="auto"/>
            <w:tcMar>
              <w:top w:w="30" w:type="dxa"/>
              <w:left w:w="45" w:type="dxa"/>
              <w:bottom w:w="30" w:type="dxa"/>
              <w:right w:w="45" w:type="dxa"/>
            </w:tcMar>
            <w:vAlign w:val="center"/>
            <w:hideMark/>
          </w:tcPr>
          <w:p w14:paraId="53CF06A7" w14:textId="77777777" w:rsidR="00706AEB" w:rsidRPr="00706AEB" w:rsidRDefault="00706AEB" w:rsidP="00AA4BBB">
            <w:pPr>
              <w:jc w:val="center"/>
              <w:rPr>
                <w:rFonts w:cs="Arial"/>
                <w:sz w:val="18"/>
                <w:szCs w:val="18"/>
              </w:rPr>
            </w:pPr>
            <w:r w:rsidRPr="00706AEB">
              <w:rPr>
                <w:rFonts w:cs="Arial"/>
                <w:sz w:val="18"/>
                <w:szCs w:val="18"/>
              </w:rPr>
              <w:t>1,0</w:t>
            </w:r>
          </w:p>
        </w:tc>
        <w:tc>
          <w:tcPr>
            <w:tcW w:w="0" w:type="auto"/>
            <w:tcMar>
              <w:top w:w="30" w:type="dxa"/>
              <w:left w:w="45" w:type="dxa"/>
              <w:bottom w:w="30" w:type="dxa"/>
              <w:right w:w="45" w:type="dxa"/>
            </w:tcMar>
            <w:vAlign w:val="center"/>
            <w:hideMark/>
          </w:tcPr>
          <w:p w14:paraId="483F15ED" w14:textId="77777777" w:rsidR="00706AEB" w:rsidRPr="00706AEB" w:rsidRDefault="00706AEB" w:rsidP="00AA4BBB">
            <w:pPr>
              <w:jc w:val="center"/>
              <w:rPr>
                <w:rFonts w:cs="Arial"/>
                <w:sz w:val="18"/>
                <w:szCs w:val="18"/>
              </w:rPr>
            </w:pPr>
            <w:r w:rsidRPr="00706AEB">
              <w:rPr>
                <w:rFonts w:cs="Arial"/>
                <w:sz w:val="18"/>
                <w:szCs w:val="18"/>
              </w:rPr>
              <w:t>1,0</w:t>
            </w:r>
          </w:p>
        </w:tc>
        <w:tc>
          <w:tcPr>
            <w:tcW w:w="0" w:type="auto"/>
            <w:vMerge w:val="restart"/>
            <w:tcMar>
              <w:top w:w="30" w:type="dxa"/>
              <w:left w:w="45" w:type="dxa"/>
              <w:bottom w:w="30" w:type="dxa"/>
              <w:right w:w="45" w:type="dxa"/>
            </w:tcMar>
            <w:vAlign w:val="center"/>
            <w:hideMark/>
          </w:tcPr>
          <w:p w14:paraId="3738F619" w14:textId="77777777" w:rsidR="00706AEB" w:rsidRPr="00706AEB" w:rsidRDefault="00706AEB" w:rsidP="00AA4BBB">
            <w:pPr>
              <w:jc w:val="center"/>
              <w:rPr>
                <w:rFonts w:cs="Arial"/>
                <w:b/>
                <w:bCs/>
                <w:sz w:val="18"/>
                <w:szCs w:val="18"/>
              </w:rPr>
            </w:pPr>
            <w:r w:rsidRPr="00706AEB">
              <w:rPr>
                <w:rFonts w:cs="Arial"/>
                <w:b/>
                <w:bCs/>
                <w:sz w:val="18"/>
                <w:szCs w:val="18"/>
              </w:rPr>
              <w:t>43.881.795.285</w:t>
            </w:r>
          </w:p>
        </w:tc>
      </w:tr>
      <w:tr w:rsidR="00706AEB" w:rsidRPr="00706AEB" w14:paraId="369BAD38" w14:textId="77777777" w:rsidTr="00920C99">
        <w:tc>
          <w:tcPr>
            <w:tcW w:w="0" w:type="auto"/>
            <w:vMerge/>
            <w:vAlign w:val="center"/>
            <w:hideMark/>
          </w:tcPr>
          <w:p w14:paraId="56671836" w14:textId="77777777" w:rsidR="00706AEB" w:rsidRPr="00706AEB" w:rsidRDefault="00706AEB" w:rsidP="00AA4BBB">
            <w:pPr>
              <w:rPr>
                <w:rFonts w:cs="Arial"/>
                <w:sz w:val="18"/>
                <w:szCs w:val="18"/>
              </w:rPr>
            </w:pPr>
          </w:p>
        </w:tc>
        <w:tc>
          <w:tcPr>
            <w:tcW w:w="0" w:type="auto"/>
            <w:tcMar>
              <w:top w:w="30" w:type="dxa"/>
              <w:left w:w="45" w:type="dxa"/>
              <w:bottom w:w="30" w:type="dxa"/>
              <w:right w:w="45" w:type="dxa"/>
            </w:tcMar>
            <w:vAlign w:val="center"/>
            <w:hideMark/>
          </w:tcPr>
          <w:p w14:paraId="4C18BE5C" w14:textId="77777777" w:rsidR="00706AEB" w:rsidRPr="00706AEB" w:rsidRDefault="00706AEB" w:rsidP="00AA4BBB">
            <w:pPr>
              <w:jc w:val="center"/>
              <w:rPr>
                <w:rFonts w:cs="Arial"/>
                <w:sz w:val="18"/>
                <w:szCs w:val="18"/>
              </w:rPr>
            </w:pPr>
            <w:r w:rsidRPr="00706AEB">
              <w:rPr>
                <w:rFonts w:cs="Arial"/>
                <w:sz w:val="18"/>
                <w:szCs w:val="18"/>
              </w:rPr>
              <w:t>10.508.000.000</w:t>
            </w:r>
          </w:p>
        </w:tc>
        <w:tc>
          <w:tcPr>
            <w:tcW w:w="0" w:type="auto"/>
            <w:tcMar>
              <w:top w:w="30" w:type="dxa"/>
              <w:left w:w="45" w:type="dxa"/>
              <w:bottom w:w="30" w:type="dxa"/>
              <w:right w:w="45" w:type="dxa"/>
            </w:tcMar>
            <w:vAlign w:val="center"/>
            <w:hideMark/>
          </w:tcPr>
          <w:p w14:paraId="6C4BBB17" w14:textId="77777777" w:rsidR="00706AEB" w:rsidRPr="00706AEB" w:rsidRDefault="00706AEB" w:rsidP="00AA4BBB">
            <w:pPr>
              <w:jc w:val="center"/>
              <w:rPr>
                <w:rFonts w:cs="Arial"/>
                <w:sz w:val="18"/>
                <w:szCs w:val="18"/>
              </w:rPr>
            </w:pPr>
            <w:r w:rsidRPr="00706AEB">
              <w:rPr>
                <w:rFonts w:cs="Arial"/>
                <w:sz w:val="18"/>
                <w:szCs w:val="18"/>
              </w:rPr>
              <w:t>10.784.466.019</w:t>
            </w:r>
          </w:p>
        </w:tc>
        <w:tc>
          <w:tcPr>
            <w:tcW w:w="0" w:type="auto"/>
            <w:tcMar>
              <w:top w:w="30" w:type="dxa"/>
              <w:left w:w="45" w:type="dxa"/>
              <w:bottom w:w="30" w:type="dxa"/>
              <w:right w:w="45" w:type="dxa"/>
            </w:tcMar>
            <w:vAlign w:val="center"/>
            <w:hideMark/>
          </w:tcPr>
          <w:p w14:paraId="3055623C" w14:textId="77777777" w:rsidR="00706AEB" w:rsidRPr="00706AEB" w:rsidRDefault="00706AEB" w:rsidP="00AA4BBB">
            <w:pPr>
              <w:jc w:val="center"/>
              <w:rPr>
                <w:rFonts w:cs="Arial"/>
                <w:sz w:val="18"/>
                <w:szCs w:val="18"/>
              </w:rPr>
            </w:pPr>
            <w:r w:rsidRPr="00706AEB">
              <w:rPr>
                <w:rFonts w:cs="Arial"/>
                <w:sz w:val="18"/>
                <w:szCs w:val="18"/>
              </w:rPr>
              <w:t>11.215.948.723</w:t>
            </w:r>
          </w:p>
        </w:tc>
        <w:tc>
          <w:tcPr>
            <w:tcW w:w="0" w:type="auto"/>
            <w:tcMar>
              <w:top w:w="30" w:type="dxa"/>
              <w:left w:w="45" w:type="dxa"/>
              <w:bottom w:w="30" w:type="dxa"/>
              <w:right w:w="45" w:type="dxa"/>
            </w:tcMar>
            <w:vAlign w:val="center"/>
            <w:hideMark/>
          </w:tcPr>
          <w:p w14:paraId="56A65B75" w14:textId="77777777" w:rsidR="00706AEB" w:rsidRPr="00706AEB" w:rsidRDefault="00706AEB" w:rsidP="00AA4BBB">
            <w:pPr>
              <w:jc w:val="center"/>
              <w:rPr>
                <w:rFonts w:cs="Arial"/>
                <w:sz w:val="18"/>
                <w:szCs w:val="18"/>
              </w:rPr>
            </w:pPr>
            <w:r w:rsidRPr="00706AEB">
              <w:rPr>
                <w:rFonts w:cs="Arial"/>
                <w:sz w:val="18"/>
                <w:szCs w:val="18"/>
              </w:rPr>
              <w:t>11.373.380.542</w:t>
            </w:r>
          </w:p>
        </w:tc>
        <w:tc>
          <w:tcPr>
            <w:tcW w:w="0" w:type="auto"/>
            <w:vMerge/>
            <w:vAlign w:val="center"/>
            <w:hideMark/>
          </w:tcPr>
          <w:p w14:paraId="470F722B" w14:textId="77777777" w:rsidR="00706AEB" w:rsidRPr="00706AEB" w:rsidRDefault="00706AEB" w:rsidP="00AA4BBB">
            <w:pPr>
              <w:rPr>
                <w:rFonts w:cs="Arial"/>
                <w:b/>
                <w:bCs/>
                <w:sz w:val="18"/>
                <w:szCs w:val="18"/>
              </w:rPr>
            </w:pPr>
          </w:p>
        </w:tc>
      </w:tr>
      <w:tr w:rsidR="00706AEB" w:rsidRPr="00706AEB" w14:paraId="48978CC4" w14:textId="77777777" w:rsidTr="00920C99">
        <w:tc>
          <w:tcPr>
            <w:tcW w:w="0" w:type="auto"/>
            <w:vMerge w:val="restart"/>
            <w:tcMar>
              <w:top w:w="30" w:type="dxa"/>
              <w:left w:w="45" w:type="dxa"/>
              <w:bottom w:w="30" w:type="dxa"/>
              <w:right w:w="45" w:type="dxa"/>
            </w:tcMar>
            <w:vAlign w:val="center"/>
            <w:hideMark/>
          </w:tcPr>
          <w:p w14:paraId="0D510FC5" w14:textId="77777777" w:rsidR="00706AEB" w:rsidRPr="00706AEB" w:rsidRDefault="00706AEB" w:rsidP="00AA4BBB">
            <w:pPr>
              <w:rPr>
                <w:rFonts w:cs="Arial"/>
                <w:sz w:val="18"/>
                <w:szCs w:val="18"/>
              </w:rPr>
            </w:pPr>
            <w:r w:rsidRPr="00706AEB">
              <w:rPr>
                <w:rFonts w:cs="Arial"/>
                <w:sz w:val="18"/>
                <w:szCs w:val="18"/>
              </w:rPr>
              <w:t>Implementar una (1) estrategia para ofertar los servicios sociales a la población que vive en residencias tipo "pagadiarios" en situación de pobreza y pobreza extrema según el instrumento definido.</w:t>
            </w:r>
          </w:p>
        </w:tc>
        <w:tc>
          <w:tcPr>
            <w:tcW w:w="0" w:type="auto"/>
            <w:tcMar>
              <w:top w:w="30" w:type="dxa"/>
              <w:left w:w="45" w:type="dxa"/>
              <w:bottom w:w="30" w:type="dxa"/>
              <w:right w:w="45" w:type="dxa"/>
            </w:tcMar>
            <w:vAlign w:val="center"/>
            <w:hideMark/>
          </w:tcPr>
          <w:p w14:paraId="79D6A48C" w14:textId="77777777" w:rsidR="00706AEB" w:rsidRPr="00706AEB" w:rsidRDefault="00706AEB" w:rsidP="00AA4BBB">
            <w:pPr>
              <w:jc w:val="center"/>
              <w:rPr>
                <w:rFonts w:cs="Arial"/>
                <w:sz w:val="18"/>
                <w:szCs w:val="18"/>
              </w:rPr>
            </w:pPr>
            <w:r w:rsidRPr="00706AEB">
              <w:rPr>
                <w:rFonts w:cs="Arial"/>
                <w:sz w:val="18"/>
                <w:szCs w:val="18"/>
              </w:rPr>
              <w:t>100%</w:t>
            </w:r>
          </w:p>
        </w:tc>
        <w:tc>
          <w:tcPr>
            <w:tcW w:w="0" w:type="auto"/>
            <w:tcMar>
              <w:top w:w="30" w:type="dxa"/>
              <w:left w:w="45" w:type="dxa"/>
              <w:bottom w:w="30" w:type="dxa"/>
              <w:right w:w="45" w:type="dxa"/>
            </w:tcMar>
            <w:vAlign w:val="center"/>
            <w:hideMark/>
          </w:tcPr>
          <w:p w14:paraId="3A73809A" w14:textId="77777777" w:rsidR="00706AEB" w:rsidRPr="00706AEB" w:rsidRDefault="00706AEB" w:rsidP="00AA4BBB">
            <w:pPr>
              <w:jc w:val="center"/>
              <w:rPr>
                <w:rFonts w:cs="Arial"/>
                <w:sz w:val="18"/>
                <w:szCs w:val="18"/>
              </w:rPr>
            </w:pPr>
            <w:r w:rsidRPr="00706AEB">
              <w:rPr>
                <w:rFonts w:cs="Arial"/>
                <w:sz w:val="18"/>
                <w:szCs w:val="18"/>
              </w:rPr>
              <w:t>100%</w:t>
            </w:r>
          </w:p>
        </w:tc>
        <w:tc>
          <w:tcPr>
            <w:tcW w:w="0" w:type="auto"/>
            <w:tcMar>
              <w:top w:w="30" w:type="dxa"/>
              <w:left w:w="45" w:type="dxa"/>
              <w:bottom w:w="30" w:type="dxa"/>
              <w:right w:w="45" w:type="dxa"/>
            </w:tcMar>
            <w:vAlign w:val="center"/>
            <w:hideMark/>
          </w:tcPr>
          <w:p w14:paraId="7C196397" w14:textId="77777777" w:rsidR="00706AEB" w:rsidRPr="00706AEB" w:rsidRDefault="00706AEB" w:rsidP="00AA4BBB">
            <w:pPr>
              <w:jc w:val="center"/>
              <w:rPr>
                <w:rFonts w:cs="Arial"/>
                <w:sz w:val="18"/>
                <w:szCs w:val="18"/>
              </w:rPr>
            </w:pPr>
            <w:r w:rsidRPr="00706AEB">
              <w:rPr>
                <w:rFonts w:cs="Arial"/>
                <w:sz w:val="18"/>
                <w:szCs w:val="18"/>
              </w:rPr>
              <w:t>100%</w:t>
            </w:r>
          </w:p>
        </w:tc>
        <w:tc>
          <w:tcPr>
            <w:tcW w:w="0" w:type="auto"/>
            <w:tcMar>
              <w:top w:w="30" w:type="dxa"/>
              <w:left w:w="45" w:type="dxa"/>
              <w:bottom w:w="30" w:type="dxa"/>
              <w:right w:w="45" w:type="dxa"/>
            </w:tcMar>
            <w:vAlign w:val="center"/>
            <w:hideMark/>
          </w:tcPr>
          <w:p w14:paraId="750E9B47" w14:textId="77777777" w:rsidR="00706AEB" w:rsidRPr="00706AEB" w:rsidRDefault="00706AEB" w:rsidP="00AA4BBB">
            <w:pPr>
              <w:jc w:val="center"/>
              <w:rPr>
                <w:rFonts w:cs="Arial"/>
                <w:sz w:val="18"/>
                <w:szCs w:val="18"/>
              </w:rPr>
            </w:pPr>
            <w:r w:rsidRPr="00706AEB">
              <w:rPr>
                <w:rFonts w:cs="Arial"/>
                <w:sz w:val="18"/>
                <w:szCs w:val="18"/>
              </w:rPr>
              <w:t>100%</w:t>
            </w:r>
          </w:p>
        </w:tc>
        <w:tc>
          <w:tcPr>
            <w:tcW w:w="0" w:type="auto"/>
            <w:vMerge w:val="restart"/>
            <w:tcMar>
              <w:top w:w="30" w:type="dxa"/>
              <w:left w:w="45" w:type="dxa"/>
              <w:bottom w:w="30" w:type="dxa"/>
              <w:right w:w="45" w:type="dxa"/>
            </w:tcMar>
            <w:vAlign w:val="center"/>
            <w:hideMark/>
          </w:tcPr>
          <w:p w14:paraId="4C67E3B6" w14:textId="77777777" w:rsidR="00706AEB" w:rsidRPr="00706AEB" w:rsidRDefault="00706AEB" w:rsidP="00AA4BBB">
            <w:pPr>
              <w:jc w:val="center"/>
              <w:rPr>
                <w:rFonts w:cs="Arial"/>
                <w:b/>
                <w:bCs/>
                <w:sz w:val="18"/>
                <w:szCs w:val="18"/>
              </w:rPr>
            </w:pPr>
            <w:r w:rsidRPr="00706AEB">
              <w:rPr>
                <w:rFonts w:cs="Arial"/>
                <w:b/>
                <w:bCs/>
                <w:sz w:val="18"/>
                <w:szCs w:val="18"/>
              </w:rPr>
              <w:t>10.222.832.323</w:t>
            </w:r>
          </w:p>
        </w:tc>
      </w:tr>
      <w:tr w:rsidR="00706AEB" w:rsidRPr="00706AEB" w14:paraId="73C22454" w14:textId="77777777" w:rsidTr="00920C99">
        <w:tc>
          <w:tcPr>
            <w:tcW w:w="0" w:type="auto"/>
            <w:vMerge/>
            <w:vAlign w:val="center"/>
            <w:hideMark/>
          </w:tcPr>
          <w:p w14:paraId="79001843" w14:textId="77777777" w:rsidR="00706AEB" w:rsidRPr="00706AEB" w:rsidRDefault="00706AEB" w:rsidP="00AA4BBB">
            <w:pPr>
              <w:rPr>
                <w:rFonts w:cs="Arial"/>
                <w:sz w:val="18"/>
                <w:szCs w:val="18"/>
              </w:rPr>
            </w:pPr>
          </w:p>
        </w:tc>
        <w:tc>
          <w:tcPr>
            <w:tcW w:w="0" w:type="auto"/>
            <w:tcMar>
              <w:top w:w="30" w:type="dxa"/>
              <w:left w:w="45" w:type="dxa"/>
              <w:bottom w:w="30" w:type="dxa"/>
              <w:right w:w="45" w:type="dxa"/>
            </w:tcMar>
            <w:vAlign w:val="center"/>
            <w:hideMark/>
          </w:tcPr>
          <w:p w14:paraId="13AFB31C" w14:textId="77777777" w:rsidR="00706AEB" w:rsidRPr="00706AEB" w:rsidRDefault="00706AEB" w:rsidP="00AA4BBB">
            <w:pPr>
              <w:jc w:val="center"/>
              <w:rPr>
                <w:rFonts w:cs="Arial"/>
                <w:sz w:val="18"/>
                <w:szCs w:val="18"/>
              </w:rPr>
            </w:pPr>
            <w:r w:rsidRPr="00706AEB">
              <w:rPr>
                <w:rFonts w:cs="Arial"/>
                <w:sz w:val="18"/>
                <w:szCs w:val="18"/>
              </w:rPr>
              <w:t>2.448.000.000</w:t>
            </w:r>
          </w:p>
        </w:tc>
        <w:tc>
          <w:tcPr>
            <w:tcW w:w="0" w:type="auto"/>
            <w:tcMar>
              <w:top w:w="30" w:type="dxa"/>
              <w:left w:w="45" w:type="dxa"/>
              <w:bottom w:w="30" w:type="dxa"/>
              <w:right w:w="45" w:type="dxa"/>
            </w:tcMar>
            <w:vAlign w:val="center"/>
            <w:hideMark/>
          </w:tcPr>
          <w:p w14:paraId="5676FAE2" w14:textId="77777777" w:rsidR="00706AEB" w:rsidRPr="00706AEB" w:rsidRDefault="00706AEB" w:rsidP="00AA4BBB">
            <w:pPr>
              <w:jc w:val="center"/>
              <w:rPr>
                <w:rFonts w:cs="Arial"/>
                <w:sz w:val="18"/>
                <w:szCs w:val="18"/>
              </w:rPr>
            </w:pPr>
            <w:r w:rsidRPr="00706AEB">
              <w:rPr>
                <w:rFonts w:cs="Arial"/>
                <w:sz w:val="18"/>
                <w:szCs w:val="18"/>
              </w:rPr>
              <w:t>2.512.621.359</w:t>
            </w:r>
          </w:p>
        </w:tc>
        <w:tc>
          <w:tcPr>
            <w:tcW w:w="0" w:type="auto"/>
            <w:tcMar>
              <w:top w:w="30" w:type="dxa"/>
              <w:left w:w="45" w:type="dxa"/>
              <w:bottom w:w="30" w:type="dxa"/>
              <w:right w:w="45" w:type="dxa"/>
            </w:tcMar>
            <w:vAlign w:val="center"/>
            <w:hideMark/>
          </w:tcPr>
          <w:p w14:paraId="2D839568" w14:textId="77777777" w:rsidR="00706AEB" w:rsidRPr="00706AEB" w:rsidRDefault="00706AEB" w:rsidP="00AA4BBB">
            <w:pPr>
              <w:jc w:val="center"/>
              <w:rPr>
                <w:rFonts w:cs="Arial"/>
                <w:sz w:val="18"/>
                <w:szCs w:val="18"/>
              </w:rPr>
            </w:pPr>
            <w:r w:rsidRPr="00706AEB">
              <w:rPr>
                <w:rFonts w:cs="Arial"/>
                <w:sz w:val="18"/>
                <w:szCs w:val="18"/>
              </w:rPr>
              <w:t>2.612.875.860</w:t>
            </w:r>
          </w:p>
        </w:tc>
        <w:tc>
          <w:tcPr>
            <w:tcW w:w="0" w:type="auto"/>
            <w:tcMar>
              <w:top w:w="30" w:type="dxa"/>
              <w:left w:w="45" w:type="dxa"/>
              <w:bottom w:w="30" w:type="dxa"/>
              <w:right w:w="45" w:type="dxa"/>
            </w:tcMar>
            <w:vAlign w:val="center"/>
            <w:hideMark/>
          </w:tcPr>
          <w:p w14:paraId="2C078070" w14:textId="77777777" w:rsidR="00706AEB" w:rsidRPr="00706AEB" w:rsidRDefault="00706AEB" w:rsidP="00AA4BBB">
            <w:pPr>
              <w:jc w:val="center"/>
              <w:rPr>
                <w:rFonts w:cs="Arial"/>
                <w:sz w:val="18"/>
                <w:szCs w:val="18"/>
              </w:rPr>
            </w:pPr>
            <w:r w:rsidRPr="00706AEB">
              <w:rPr>
                <w:rFonts w:cs="Arial"/>
                <w:sz w:val="18"/>
                <w:szCs w:val="18"/>
              </w:rPr>
              <w:t>2.649.335.104</w:t>
            </w:r>
          </w:p>
        </w:tc>
        <w:tc>
          <w:tcPr>
            <w:tcW w:w="0" w:type="auto"/>
            <w:vMerge/>
            <w:vAlign w:val="center"/>
            <w:hideMark/>
          </w:tcPr>
          <w:p w14:paraId="36D7115E" w14:textId="77777777" w:rsidR="00706AEB" w:rsidRPr="00706AEB" w:rsidRDefault="00706AEB" w:rsidP="00AA4BBB">
            <w:pPr>
              <w:rPr>
                <w:rFonts w:cs="Arial"/>
                <w:b/>
                <w:bCs/>
                <w:sz w:val="18"/>
                <w:szCs w:val="18"/>
              </w:rPr>
            </w:pPr>
          </w:p>
        </w:tc>
      </w:tr>
      <w:tr w:rsidR="00706AEB" w:rsidRPr="00706AEB" w14:paraId="05EFAAFF" w14:textId="77777777" w:rsidTr="00920C99">
        <w:tc>
          <w:tcPr>
            <w:tcW w:w="0" w:type="auto"/>
            <w:vMerge w:val="restart"/>
            <w:tcMar>
              <w:top w:w="30" w:type="dxa"/>
              <w:left w:w="45" w:type="dxa"/>
              <w:bottom w:w="30" w:type="dxa"/>
              <w:right w:w="45" w:type="dxa"/>
            </w:tcMar>
            <w:vAlign w:val="center"/>
            <w:hideMark/>
          </w:tcPr>
          <w:p w14:paraId="79F89AE8" w14:textId="77777777" w:rsidR="00706AEB" w:rsidRPr="00706AEB" w:rsidRDefault="00706AEB" w:rsidP="00AA4BBB">
            <w:pPr>
              <w:rPr>
                <w:rFonts w:cs="Arial"/>
                <w:sz w:val="18"/>
                <w:szCs w:val="18"/>
              </w:rPr>
            </w:pPr>
            <w:r w:rsidRPr="00706AEB">
              <w:rPr>
                <w:rFonts w:cs="Arial"/>
                <w:sz w:val="18"/>
                <w:szCs w:val="18"/>
              </w:rPr>
              <w:t>Vincular 3.400 personas habitantes de calle en servicios sociales de permanencia</w:t>
            </w:r>
          </w:p>
        </w:tc>
        <w:tc>
          <w:tcPr>
            <w:tcW w:w="0" w:type="auto"/>
            <w:tcMar>
              <w:top w:w="30" w:type="dxa"/>
              <w:left w:w="45" w:type="dxa"/>
              <w:bottom w:w="30" w:type="dxa"/>
              <w:right w:w="45" w:type="dxa"/>
            </w:tcMar>
            <w:vAlign w:val="center"/>
            <w:hideMark/>
          </w:tcPr>
          <w:p w14:paraId="515BA1CD" w14:textId="77777777" w:rsidR="00706AEB" w:rsidRPr="00706AEB" w:rsidRDefault="00706AEB" w:rsidP="00AA4BBB">
            <w:pPr>
              <w:jc w:val="center"/>
              <w:rPr>
                <w:rFonts w:cs="Arial"/>
                <w:sz w:val="18"/>
                <w:szCs w:val="18"/>
              </w:rPr>
            </w:pPr>
            <w:r w:rsidRPr="00706AEB">
              <w:rPr>
                <w:rFonts w:cs="Arial"/>
                <w:sz w:val="18"/>
                <w:szCs w:val="18"/>
              </w:rPr>
              <w:t>2.570</w:t>
            </w:r>
          </w:p>
        </w:tc>
        <w:tc>
          <w:tcPr>
            <w:tcW w:w="0" w:type="auto"/>
            <w:tcMar>
              <w:top w:w="30" w:type="dxa"/>
              <w:left w:w="45" w:type="dxa"/>
              <w:bottom w:w="30" w:type="dxa"/>
              <w:right w:w="45" w:type="dxa"/>
            </w:tcMar>
            <w:vAlign w:val="center"/>
            <w:hideMark/>
          </w:tcPr>
          <w:p w14:paraId="435B287D" w14:textId="77777777" w:rsidR="00706AEB" w:rsidRPr="00706AEB" w:rsidRDefault="00706AEB" w:rsidP="00AA4BBB">
            <w:pPr>
              <w:jc w:val="center"/>
              <w:rPr>
                <w:rFonts w:cs="Arial"/>
                <w:sz w:val="18"/>
                <w:szCs w:val="18"/>
              </w:rPr>
            </w:pPr>
            <w:r w:rsidRPr="00706AEB">
              <w:rPr>
                <w:rFonts w:cs="Arial"/>
                <w:sz w:val="18"/>
                <w:szCs w:val="18"/>
              </w:rPr>
              <w:t>3.000</w:t>
            </w:r>
          </w:p>
        </w:tc>
        <w:tc>
          <w:tcPr>
            <w:tcW w:w="0" w:type="auto"/>
            <w:tcMar>
              <w:top w:w="30" w:type="dxa"/>
              <w:left w:w="45" w:type="dxa"/>
              <w:bottom w:w="30" w:type="dxa"/>
              <w:right w:w="45" w:type="dxa"/>
            </w:tcMar>
            <w:vAlign w:val="center"/>
            <w:hideMark/>
          </w:tcPr>
          <w:p w14:paraId="1B2D1649" w14:textId="77777777" w:rsidR="00706AEB" w:rsidRPr="00706AEB" w:rsidRDefault="00706AEB" w:rsidP="00AA4BBB">
            <w:pPr>
              <w:jc w:val="center"/>
              <w:rPr>
                <w:rFonts w:cs="Arial"/>
                <w:sz w:val="18"/>
                <w:szCs w:val="18"/>
              </w:rPr>
            </w:pPr>
            <w:r w:rsidRPr="00706AEB">
              <w:rPr>
                <w:rFonts w:cs="Arial"/>
                <w:sz w:val="18"/>
                <w:szCs w:val="18"/>
              </w:rPr>
              <w:t>3.280</w:t>
            </w:r>
          </w:p>
        </w:tc>
        <w:tc>
          <w:tcPr>
            <w:tcW w:w="0" w:type="auto"/>
            <w:tcMar>
              <w:top w:w="30" w:type="dxa"/>
              <w:left w:w="45" w:type="dxa"/>
              <w:bottom w:w="30" w:type="dxa"/>
              <w:right w:w="45" w:type="dxa"/>
            </w:tcMar>
            <w:vAlign w:val="center"/>
            <w:hideMark/>
          </w:tcPr>
          <w:p w14:paraId="2BBC9DF3" w14:textId="77777777" w:rsidR="00706AEB" w:rsidRPr="00706AEB" w:rsidRDefault="00706AEB" w:rsidP="00AA4BBB">
            <w:pPr>
              <w:jc w:val="center"/>
              <w:rPr>
                <w:rFonts w:cs="Arial"/>
                <w:sz w:val="18"/>
                <w:szCs w:val="18"/>
              </w:rPr>
            </w:pPr>
            <w:r w:rsidRPr="00706AEB">
              <w:rPr>
                <w:rFonts w:cs="Arial"/>
                <w:sz w:val="18"/>
                <w:szCs w:val="18"/>
              </w:rPr>
              <w:t>3.400</w:t>
            </w:r>
          </w:p>
        </w:tc>
        <w:tc>
          <w:tcPr>
            <w:tcW w:w="0" w:type="auto"/>
            <w:vMerge w:val="restart"/>
            <w:tcMar>
              <w:top w:w="30" w:type="dxa"/>
              <w:left w:w="45" w:type="dxa"/>
              <w:bottom w:w="30" w:type="dxa"/>
              <w:right w:w="45" w:type="dxa"/>
            </w:tcMar>
            <w:vAlign w:val="center"/>
            <w:hideMark/>
          </w:tcPr>
          <w:p w14:paraId="7E044C4A" w14:textId="77777777" w:rsidR="00706AEB" w:rsidRPr="00706AEB" w:rsidRDefault="00706AEB" w:rsidP="00AA4BBB">
            <w:pPr>
              <w:jc w:val="center"/>
              <w:rPr>
                <w:rFonts w:cs="Arial"/>
                <w:b/>
                <w:bCs/>
                <w:sz w:val="18"/>
                <w:szCs w:val="18"/>
              </w:rPr>
            </w:pPr>
            <w:r w:rsidRPr="00706AEB">
              <w:rPr>
                <w:rFonts w:cs="Arial"/>
                <w:b/>
                <w:bCs/>
                <w:sz w:val="18"/>
                <w:szCs w:val="18"/>
              </w:rPr>
              <w:t>280.999.820.819</w:t>
            </w:r>
          </w:p>
        </w:tc>
      </w:tr>
      <w:tr w:rsidR="00706AEB" w:rsidRPr="00706AEB" w14:paraId="33A1C4E0" w14:textId="77777777" w:rsidTr="00920C99">
        <w:tc>
          <w:tcPr>
            <w:tcW w:w="0" w:type="auto"/>
            <w:vMerge/>
            <w:tcBorders>
              <w:bottom w:val="double" w:sz="4" w:space="0" w:color="C00000"/>
            </w:tcBorders>
            <w:vAlign w:val="center"/>
            <w:hideMark/>
          </w:tcPr>
          <w:p w14:paraId="567FB2B5" w14:textId="77777777" w:rsidR="00706AEB" w:rsidRPr="00706AEB" w:rsidRDefault="00706AEB" w:rsidP="00AA4BBB">
            <w:pPr>
              <w:rPr>
                <w:rFonts w:cs="Arial"/>
                <w:sz w:val="18"/>
                <w:szCs w:val="18"/>
              </w:rPr>
            </w:pPr>
          </w:p>
        </w:tc>
        <w:tc>
          <w:tcPr>
            <w:tcW w:w="0" w:type="auto"/>
            <w:tcBorders>
              <w:bottom w:val="double" w:sz="4" w:space="0" w:color="C00000"/>
            </w:tcBorders>
            <w:tcMar>
              <w:top w:w="30" w:type="dxa"/>
              <w:left w:w="45" w:type="dxa"/>
              <w:bottom w:w="30" w:type="dxa"/>
              <w:right w:w="45" w:type="dxa"/>
            </w:tcMar>
            <w:vAlign w:val="center"/>
            <w:hideMark/>
          </w:tcPr>
          <w:p w14:paraId="7BF79AD3" w14:textId="77777777" w:rsidR="00706AEB" w:rsidRPr="00706AEB" w:rsidRDefault="00706AEB" w:rsidP="00AA4BBB">
            <w:pPr>
              <w:jc w:val="center"/>
              <w:rPr>
                <w:rFonts w:cs="Arial"/>
                <w:sz w:val="18"/>
                <w:szCs w:val="18"/>
              </w:rPr>
            </w:pPr>
            <w:r w:rsidRPr="00706AEB">
              <w:rPr>
                <w:rFonts w:cs="Arial"/>
                <w:sz w:val="18"/>
                <w:szCs w:val="18"/>
              </w:rPr>
              <w:t>71.852.000.000</w:t>
            </w:r>
          </w:p>
        </w:tc>
        <w:tc>
          <w:tcPr>
            <w:tcW w:w="0" w:type="auto"/>
            <w:tcBorders>
              <w:bottom w:val="double" w:sz="4" w:space="0" w:color="C00000"/>
            </w:tcBorders>
            <w:tcMar>
              <w:top w:w="30" w:type="dxa"/>
              <w:left w:w="45" w:type="dxa"/>
              <w:bottom w:w="30" w:type="dxa"/>
              <w:right w:w="45" w:type="dxa"/>
            </w:tcMar>
            <w:vAlign w:val="center"/>
            <w:hideMark/>
          </w:tcPr>
          <w:p w14:paraId="64FB7F05" w14:textId="77777777" w:rsidR="00706AEB" w:rsidRPr="00706AEB" w:rsidRDefault="00706AEB" w:rsidP="00AA4BBB">
            <w:pPr>
              <w:jc w:val="center"/>
              <w:rPr>
                <w:rFonts w:cs="Arial"/>
                <w:sz w:val="18"/>
                <w:szCs w:val="18"/>
              </w:rPr>
            </w:pPr>
            <w:r w:rsidRPr="00706AEB">
              <w:rPr>
                <w:rFonts w:cs="Arial"/>
                <w:sz w:val="18"/>
                <w:szCs w:val="18"/>
              </w:rPr>
              <w:t>67.584.466.019</w:t>
            </w:r>
          </w:p>
        </w:tc>
        <w:tc>
          <w:tcPr>
            <w:tcW w:w="0" w:type="auto"/>
            <w:tcBorders>
              <w:bottom w:val="double" w:sz="4" w:space="0" w:color="C00000"/>
            </w:tcBorders>
            <w:tcMar>
              <w:top w:w="30" w:type="dxa"/>
              <w:left w:w="45" w:type="dxa"/>
              <w:bottom w:w="30" w:type="dxa"/>
              <w:right w:w="45" w:type="dxa"/>
            </w:tcMar>
            <w:vAlign w:val="center"/>
            <w:hideMark/>
          </w:tcPr>
          <w:p w14:paraId="1F44D216" w14:textId="77777777" w:rsidR="00706AEB" w:rsidRPr="00706AEB" w:rsidRDefault="00706AEB" w:rsidP="00AA4BBB">
            <w:pPr>
              <w:jc w:val="center"/>
              <w:rPr>
                <w:rFonts w:cs="Arial"/>
                <w:sz w:val="18"/>
                <w:szCs w:val="18"/>
              </w:rPr>
            </w:pPr>
            <w:r w:rsidRPr="00706AEB">
              <w:rPr>
                <w:rFonts w:cs="Arial"/>
                <w:sz w:val="18"/>
                <w:szCs w:val="18"/>
              </w:rPr>
              <w:t>70.289.376.944</w:t>
            </w:r>
          </w:p>
        </w:tc>
        <w:tc>
          <w:tcPr>
            <w:tcW w:w="0" w:type="auto"/>
            <w:tcBorders>
              <w:bottom w:val="double" w:sz="4" w:space="0" w:color="C00000"/>
            </w:tcBorders>
            <w:tcMar>
              <w:top w:w="30" w:type="dxa"/>
              <w:left w:w="45" w:type="dxa"/>
              <w:bottom w:w="30" w:type="dxa"/>
              <w:right w:w="45" w:type="dxa"/>
            </w:tcMar>
            <w:vAlign w:val="center"/>
            <w:hideMark/>
          </w:tcPr>
          <w:p w14:paraId="2E3C65B8" w14:textId="77777777" w:rsidR="00706AEB" w:rsidRPr="00706AEB" w:rsidRDefault="00706AEB" w:rsidP="00AA4BBB">
            <w:pPr>
              <w:jc w:val="center"/>
              <w:rPr>
                <w:rFonts w:cs="Arial"/>
                <w:sz w:val="18"/>
                <w:szCs w:val="18"/>
              </w:rPr>
            </w:pPr>
            <w:r w:rsidRPr="00706AEB">
              <w:rPr>
                <w:rFonts w:cs="Arial"/>
                <w:sz w:val="18"/>
                <w:szCs w:val="18"/>
              </w:rPr>
              <w:t>71.273.977.855</w:t>
            </w:r>
          </w:p>
        </w:tc>
        <w:tc>
          <w:tcPr>
            <w:tcW w:w="0" w:type="auto"/>
            <w:vMerge/>
            <w:tcBorders>
              <w:bottom w:val="double" w:sz="4" w:space="0" w:color="C00000"/>
            </w:tcBorders>
            <w:vAlign w:val="center"/>
            <w:hideMark/>
          </w:tcPr>
          <w:p w14:paraId="5E170182" w14:textId="77777777" w:rsidR="00706AEB" w:rsidRPr="00706AEB" w:rsidRDefault="00706AEB" w:rsidP="00AA4BBB">
            <w:pPr>
              <w:rPr>
                <w:rFonts w:cs="Arial"/>
                <w:b/>
                <w:bCs/>
                <w:sz w:val="18"/>
                <w:szCs w:val="18"/>
              </w:rPr>
            </w:pPr>
          </w:p>
        </w:tc>
      </w:tr>
    </w:tbl>
    <w:p w14:paraId="16672B59" w14:textId="77777777" w:rsidR="00E7798B" w:rsidRDefault="00E7798B" w:rsidP="00B14E38">
      <w:pPr>
        <w:pStyle w:val="figuratitulo"/>
        <w:rPr>
          <w:color w:val="000000" w:themeColor="text1"/>
        </w:rPr>
      </w:pPr>
    </w:p>
    <w:p w14:paraId="754C185B" w14:textId="77777777" w:rsidR="00E7798B" w:rsidRDefault="00E7798B">
      <w:pPr>
        <w:spacing w:line="240" w:lineRule="auto"/>
        <w:jc w:val="left"/>
        <w:rPr>
          <w:rFonts w:eastAsiaTheme="minorHAnsi" w:cstheme="minorBidi"/>
          <w:color w:val="000000" w:themeColor="text1"/>
          <w:sz w:val="18"/>
          <w:lang w:eastAsia="en-US"/>
        </w:rPr>
      </w:pPr>
      <w:r>
        <w:rPr>
          <w:color w:val="000000" w:themeColor="text1"/>
        </w:rPr>
        <w:br w:type="page"/>
      </w:r>
    </w:p>
    <w:p w14:paraId="2524E84C" w14:textId="339563E5" w:rsidR="00B14E38" w:rsidRDefault="00B14E38" w:rsidP="00DE28C2">
      <w:pPr>
        <w:pStyle w:val="NIVEL4"/>
      </w:pPr>
      <w:bookmarkStart w:id="263" w:name="_heading=h.sqyw64" w:colFirst="0" w:colLast="0"/>
      <w:bookmarkStart w:id="264" w:name="_Toc165169769"/>
      <w:bookmarkEnd w:id="263"/>
      <w:r w:rsidRPr="0063274A">
        <w:rPr>
          <w:color w:val="C00000"/>
        </w:rPr>
        <w:lastRenderedPageBreak/>
        <w:t>Programa 10</w:t>
      </w:r>
      <w:r w:rsidR="00DE28C2">
        <w:rPr>
          <w:color w:val="C00000"/>
        </w:rPr>
        <w:t xml:space="preserve">: </w:t>
      </w:r>
      <w:r w:rsidRPr="00887C0B">
        <w:t>Salud pública integrada e integral</w:t>
      </w:r>
      <w:bookmarkEnd w:id="264"/>
    </w:p>
    <w:p w14:paraId="2423A0F0" w14:textId="77777777" w:rsidR="00DE28C2" w:rsidRPr="0063274A" w:rsidRDefault="00DE28C2" w:rsidP="00F07A38">
      <w:pPr>
        <w:pStyle w:val="NIVEL4"/>
        <w:outlineLvl w:val="9"/>
        <w:rPr>
          <w:color w:val="C00000"/>
        </w:rPr>
      </w:pPr>
    </w:p>
    <w:p w14:paraId="13F067C8" w14:textId="569A31BD" w:rsidR="00B14E38" w:rsidRPr="00F07A38" w:rsidRDefault="00B14E38" w:rsidP="00CC0C30">
      <w:pPr>
        <w:ind w:firstLine="708"/>
        <w:rPr>
          <w:b/>
          <w:sz w:val="24"/>
          <w:szCs w:val="32"/>
        </w:rPr>
      </w:pPr>
      <w:r w:rsidRPr="00F07A38">
        <w:rPr>
          <w:b/>
          <w:sz w:val="24"/>
          <w:szCs w:val="32"/>
        </w:rPr>
        <w:t>Diagnóstico</w:t>
      </w:r>
    </w:p>
    <w:p w14:paraId="08CA11AA"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570E3386" w14:textId="77777777" w:rsidR="00CC0C30" w:rsidRDefault="00CC0C30" w:rsidP="00CC0C30">
      <w:r>
        <w:t>A pesar de los logros alcanzados por el sector Salud en Bogotá, persisten dificultades y situaciones por resolver a nivel del sistema de salud. Si bien se participa en instancias y espacios distritales y locales de coordinación con diferentes sectores y actores, y se participa más activamente en la formulación de políticas públicas orientadas al bienestar y calidad de vida de la población, se presentan desafíos importantes en su incidencia sobre los determinantes sociales y ambientales de la salud.</w:t>
      </w:r>
    </w:p>
    <w:p w14:paraId="56DB7285" w14:textId="77777777" w:rsidR="00CC0C30" w:rsidRDefault="00CC0C30" w:rsidP="00CC0C30"/>
    <w:p w14:paraId="3BC54629" w14:textId="77777777" w:rsidR="00CC0C30" w:rsidRDefault="00CC0C30" w:rsidP="00CC0C30">
      <w:r>
        <w:t>La gobernanza en salud se refiere a una forma de gobernar el sistema de salud, caracterizada por la participación y la coordinación de actores, la toma de decisiones y la implementación de políticas públicas de manera negociada y bajo una rectoría con un objetivo común: garantizar el derecho a la salud por medio de servicios prestados con calidad, eficiencia y suficiencia.</w:t>
      </w:r>
    </w:p>
    <w:p w14:paraId="1A2177AD" w14:textId="77777777" w:rsidR="00CC0C30" w:rsidRDefault="00CC0C30" w:rsidP="00CC0C30"/>
    <w:p w14:paraId="10F8E717" w14:textId="77777777" w:rsidR="00CC0C30" w:rsidRDefault="00CC0C30" w:rsidP="00CC0C30">
      <w:r>
        <w:t xml:space="preserve">Sin embargo, la carencia de una gobernabilidad sólida y de una efectiva gobernanza intersectorial y transectorial constituye un obstáculo significativo en la obtención de resultados positivos frente a los determinantes de la salud de la población de Bogotá. </w:t>
      </w:r>
    </w:p>
    <w:p w14:paraId="37C61C85" w14:textId="77777777" w:rsidR="00CC0C30" w:rsidRDefault="00CC0C30" w:rsidP="00CC0C30"/>
    <w:p w14:paraId="4640F8E0" w14:textId="77777777" w:rsidR="00CC0C30" w:rsidRDefault="00CC0C30" w:rsidP="00CC0C30">
      <w:r>
        <w:t xml:space="preserve">Un ejemplo de esto se evidencia en que aún no se ha logrado una relación equilibrada entre la demanda de los grupos poblacionales y sectores sociales y la oferta existente, que depende de decisiones de este esquema de gobernanza. </w:t>
      </w:r>
      <w:r>
        <w:t>En efecto, hoy predominan altos niveles de déficit tanto de cobertura como de proximidad. El documento técnico de soporte del Plan de Ordenamiento Territorial (POT) revela que solo el 37</w:t>
      </w:r>
      <w:r>
        <w:rPr>
          <w:rFonts w:ascii="Arial" w:hAnsi="Arial" w:cs="Arial"/>
        </w:rPr>
        <w:t> </w:t>
      </w:r>
      <w:r>
        <w:t xml:space="preserve">% de las manzanas de la ciudad cuentan con cobertura de servicios de salud, lo que implica la persistencia de un déficit estructural en términos de acceso a atención médica. </w:t>
      </w:r>
    </w:p>
    <w:p w14:paraId="45988C0E" w14:textId="77777777" w:rsidR="00CC0C30" w:rsidRDefault="00CC0C30" w:rsidP="00CC0C30"/>
    <w:p w14:paraId="0841D765" w14:textId="77777777" w:rsidR="00CC0C30" w:rsidRDefault="00CC0C30" w:rsidP="00CC0C30">
      <w:r>
        <w:t>La falta de coordinación y colaboración entre diferentes sectores y áreas transectoriales limita la capacidad para implementar estrategias eficaces que aborden de manera integral los desafíos de salud. Esta debilidad se traduce en una respuesta fragmentada, que impide la maximización de recursos y la ejecución eficiente de acciones preventivas y correctivas. Además, el sector público de salud en Bogotá ha delegado funciones esenciales en las subredes integradas de servicios de salud, lo cual hace que no solo se desdibuje la función de rectoría, sino, además, que se pierda el reconocimiento por parte de los actores y sectores en lo local.</w:t>
      </w:r>
    </w:p>
    <w:p w14:paraId="60F0FD27" w14:textId="77777777" w:rsidR="00CC0C30" w:rsidRDefault="00CC0C30" w:rsidP="00CC0C30"/>
    <w:p w14:paraId="496B211B" w14:textId="0725D525" w:rsidR="00B14E38" w:rsidRPr="00B944E8" w:rsidRDefault="00CC0C30" w:rsidP="00CC0C30">
      <w:r>
        <w:t>La fragmentación, la débil articulación intersectorial y transectorial para actuar y proponer acciones en el marco de la política pública en salud hacen a esta última limitada en su aplicación, debido a que los diferentes sectores mantienen prioridades propias y objetivos diferentes de los del sector salud, lo cual puede dificultar el acuerdo sobre acciones conjuntas</w:t>
      </w:r>
      <w:r w:rsidR="00B14E38" w:rsidRPr="00B944E8">
        <w:t xml:space="preserve">. </w:t>
      </w:r>
    </w:p>
    <w:p w14:paraId="2DE1D5B0"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4BCF8259" w14:textId="7FB2AE61" w:rsidR="00B14E38" w:rsidRDefault="00B14E38" w:rsidP="00B14E38">
      <w:pPr>
        <w:spacing w:line="480" w:lineRule="auto"/>
        <w:rPr>
          <w:rFonts w:ascii="Times New Roman" w:hAnsi="Times New Roman"/>
          <w:sz w:val="24"/>
        </w:rPr>
      </w:pPr>
    </w:p>
    <w:p w14:paraId="04D8C55D" w14:textId="0B1839A9" w:rsidR="00887C0B" w:rsidRDefault="00887C0B" w:rsidP="00B14E38">
      <w:pPr>
        <w:spacing w:line="480" w:lineRule="auto"/>
        <w:rPr>
          <w:rFonts w:ascii="Times New Roman" w:hAnsi="Times New Roman"/>
          <w:sz w:val="24"/>
        </w:rPr>
      </w:pPr>
    </w:p>
    <w:p w14:paraId="3B68B6B3" w14:textId="3B35D49C" w:rsidR="00887C0B" w:rsidRDefault="00887C0B" w:rsidP="00B14E38">
      <w:pPr>
        <w:spacing w:line="480" w:lineRule="auto"/>
        <w:rPr>
          <w:rFonts w:ascii="Times New Roman" w:hAnsi="Times New Roman"/>
          <w:sz w:val="24"/>
        </w:rPr>
      </w:pPr>
    </w:p>
    <w:p w14:paraId="1B2A2783" w14:textId="77777777" w:rsidR="00887C0B" w:rsidRPr="00B944E8" w:rsidRDefault="00887C0B" w:rsidP="00B14E38">
      <w:pPr>
        <w:spacing w:line="480" w:lineRule="auto"/>
        <w:rPr>
          <w:rFonts w:ascii="Times New Roman" w:hAnsi="Times New Roman"/>
          <w:sz w:val="24"/>
        </w:rPr>
      </w:pPr>
    </w:p>
    <w:p w14:paraId="72C56993" w14:textId="77777777" w:rsidR="001C2B36" w:rsidRDefault="001C2B36">
      <w:pPr>
        <w:spacing w:line="240" w:lineRule="auto"/>
        <w:jc w:val="left"/>
        <w:rPr>
          <w:rFonts w:eastAsiaTheme="minorHAnsi" w:cstheme="minorBidi"/>
          <w:b/>
          <w:bCs/>
          <w:color w:val="C00000"/>
          <w:sz w:val="18"/>
          <w:lang w:eastAsia="en-US"/>
        </w:rPr>
      </w:pPr>
      <w:r>
        <w:rPr>
          <w:b/>
          <w:bCs/>
        </w:rPr>
        <w:br w:type="page"/>
      </w:r>
    </w:p>
    <w:p w14:paraId="72C8801F" w14:textId="6BB776FA" w:rsidR="00B14E38" w:rsidRPr="001C2B36" w:rsidRDefault="001C2B36" w:rsidP="001C2B36">
      <w:pPr>
        <w:pStyle w:val="Descripcin"/>
        <w:jc w:val="center"/>
        <w:rPr>
          <w:sz w:val="18"/>
        </w:rPr>
      </w:pPr>
      <w:bookmarkStart w:id="265" w:name="_Toc165169983"/>
      <w:r w:rsidRPr="001C2B36">
        <w:rPr>
          <w:color w:val="C00000"/>
          <w:sz w:val="18"/>
        </w:rPr>
        <w:lastRenderedPageBreak/>
        <w:t xml:space="preserve">Figura </w:t>
      </w:r>
      <w:r w:rsidRPr="001C2B36">
        <w:rPr>
          <w:color w:val="C00000"/>
          <w:sz w:val="18"/>
        </w:rPr>
        <w:fldChar w:fldCharType="begin"/>
      </w:r>
      <w:r w:rsidRPr="001C2B36">
        <w:rPr>
          <w:color w:val="C00000"/>
          <w:sz w:val="18"/>
        </w:rPr>
        <w:instrText xml:space="preserve"> SEQ Figura \* ARABIC </w:instrText>
      </w:r>
      <w:r w:rsidRPr="001C2B36">
        <w:rPr>
          <w:color w:val="C00000"/>
          <w:sz w:val="18"/>
        </w:rPr>
        <w:fldChar w:fldCharType="separate"/>
      </w:r>
      <w:r w:rsidR="00D01651">
        <w:rPr>
          <w:noProof/>
          <w:color w:val="C00000"/>
          <w:sz w:val="18"/>
        </w:rPr>
        <w:t>7</w:t>
      </w:r>
      <w:r w:rsidRPr="001C2B36">
        <w:rPr>
          <w:color w:val="C00000"/>
          <w:sz w:val="18"/>
        </w:rPr>
        <w:fldChar w:fldCharType="end"/>
      </w:r>
      <w:r w:rsidRPr="001C2B36">
        <w:rPr>
          <w:color w:val="C00000"/>
          <w:sz w:val="18"/>
        </w:rPr>
        <w:t xml:space="preserve">. </w:t>
      </w:r>
      <w:r w:rsidR="00B14E38" w:rsidRPr="001C2B36">
        <w:rPr>
          <w:sz w:val="18"/>
        </w:rPr>
        <w:t>Integración del sector público de salud en el Distrito Capital (Acuerdo 641 de 2016)</w:t>
      </w:r>
      <w:bookmarkEnd w:id="265"/>
    </w:p>
    <w:p w14:paraId="34FD9776" w14:textId="77777777" w:rsidR="00B14E38" w:rsidRPr="00B944E8" w:rsidRDefault="00B14E38" w:rsidP="00B14E38">
      <w:pPr>
        <w:spacing w:line="480" w:lineRule="auto"/>
        <w:jc w:val="center"/>
        <w:rPr>
          <w:rFonts w:ascii="Times New Roman" w:hAnsi="Times New Roman"/>
          <w:sz w:val="24"/>
        </w:rPr>
      </w:pPr>
      <w:r>
        <w:rPr>
          <w:rFonts w:ascii="Times New Roman" w:hAnsi="Times New Roman"/>
          <w:noProof/>
          <w:sz w:val="24"/>
        </w:rPr>
        <w:drawing>
          <wp:inline distT="0" distB="0" distL="0" distR="0" wp14:anchorId="480BA114" wp14:editId="19DD1B8A">
            <wp:extent cx="5175533" cy="4057650"/>
            <wp:effectExtent l="0" t="0" r="0" b="0"/>
            <wp:docPr id="14699239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23906" name="Imagen 1469923906"/>
                    <pic:cNvPicPr/>
                  </pic:nvPicPr>
                  <pic:blipFill rotWithShape="1">
                    <a:blip r:embed="rId117" cstate="print">
                      <a:extLst>
                        <a:ext uri="{28A0092B-C50C-407E-A947-70E740481C1C}">
                          <a14:useLocalDpi xmlns:a14="http://schemas.microsoft.com/office/drawing/2010/main" val="0"/>
                        </a:ext>
                      </a:extLst>
                    </a:blip>
                    <a:srcRect l="16803" r="9623"/>
                    <a:stretch/>
                  </pic:blipFill>
                  <pic:spPr bwMode="auto">
                    <a:xfrm>
                      <a:off x="0" y="0"/>
                      <a:ext cx="5208240" cy="4083292"/>
                    </a:xfrm>
                    <a:prstGeom prst="rect">
                      <a:avLst/>
                    </a:prstGeom>
                    <a:ln>
                      <a:noFill/>
                    </a:ln>
                    <a:extLst>
                      <a:ext uri="{53640926-AAD7-44D8-BBD7-CCE9431645EC}">
                        <a14:shadowObscured xmlns:a14="http://schemas.microsoft.com/office/drawing/2010/main"/>
                      </a:ext>
                    </a:extLst>
                  </pic:spPr>
                </pic:pic>
              </a:graphicData>
            </a:graphic>
          </wp:inline>
        </w:drawing>
      </w:r>
    </w:p>
    <w:p w14:paraId="4E725C4C" w14:textId="77777777" w:rsidR="00887C0B" w:rsidRDefault="00B14E38" w:rsidP="00B14E38">
      <w:pPr>
        <w:pStyle w:val="figuratitulo"/>
        <w:rPr>
          <w:color w:val="3B3838" w:themeColor="background2" w:themeShade="40"/>
        </w:rPr>
      </w:pPr>
      <w:r w:rsidRPr="0063274A">
        <w:rPr>
          <w:b/>
          <w:bCs/>
          <w:color w:val="3B3838" w:themeColor="background2" w:themeShade="40"/>
        </w:rPr>
        <w:t>Fuente:</w:t>
      </w:r>
      <w:r w:rsidRPr="0063274A">
        <w:rPr>
          <w:color w:val="3B3838" w:themeColor="background2" w:themeShade="40"/>
        </w:rPr>
        <w:t xml:space="preserve"> SDS (2018). Documento técnico. Participación social y servicio </w:t>
      </w:r>
    </w:p>
    <w:p w14:paraId="7FA859BD" w14:textId="3B3A80F7" w:rsidR="00B14E38" w:rsidRPr="0063274A" w:rsidRDefault="00B14E38" w:rsidP="00B14E38">
      <w:pPr>
        <w:pStyle w:val="figuratitulo"/>
        <w:rPr>
          <w:color w:val="3B3838" w:themeColor="background2" w:themeShade="40"/>
        </w:rPr>
      </w:pPr>
      <w:r w:rsidRPr="0063274A">
        <w:rPr>
          <w:color w:val="3B3838" w:themeColor="background2" w:themeShade="40"/>
        </w:rPr>
        <w:t>a la ciudadanía en salud en el Distrito Capital. Bogotá, 2018.</w:t>
      </w:r>
    </w:p>
    <w:p w14:paraId="72FCA3C6" w14:textId="77777777" w:rsidR="00B14E38" w:rsidRDefault="00B14E38" w:rsidP="00B14E38">
      <w:pPr>
        <w:rPr>
          <w:rFonts w:ascii="Times New Roman" w:hAnsi="Times New Roman"/>
          <w:sz w:val="24"/>
        </w:rPr>
      </w:pPr>
    </w:p>
    <w:p w14:paraId="051D739C" w14:textId="77777777" w:rsidR="000A6520" w:rsidRDefault="000A6520" w:rsidP="00B14E38">
      <w:pPr>
        <w:sectPr w:rsidR="000A6520" w:rsidSect="00F7078E">
          <w:type w:val="continuous"/>
          <w:pgSz w:w="12240" w:h="15840"/>
          <w:pgMar w:top="2262" w:right="1440" w:bottom="1440" w:left="1440" w:header="708" w:footer="680" w:gutter="0"/>
          <w:cols w:space="720"/>
          <w:docGrid w:linePitch="299"/>
        </w:sectPr>
      </w:pPr>
    </w:p>
    <w:p w14:paraId="55E8CB1D" w14:textId="0BDF3159" w:rsidR="00B14E38" w:rsidRPr="00B944E8" w:rsidRDefault="00B14E38" w:rsidP="00B14E38">
      <w:r w:rsidRPr="00B944E8">
        <w:t xml:space="preserve">Por </w:t>
      </w:r>
      <w:r w:rsidR="000059D9" w:rsidRPr="000059D9">
        <w:t xml:space="preserve">lo anterior, la gobernanza y gobernabilidad sobre el sistema de salud en Bogotá puede ofrecer beneficios como un mayor gasto público en salud, la prevención de riesgos y hechos de </w:t>
      </w:r>
      <w:r w:rsidR="000059D9" w:rsidRPr="000059D9">
        <w:t>corrupción, mayor logro de los objetivos colectivos en salud, mayores niveles de participación ciudadana y de grupos de interés y, por supuesto, una mejor rectoría</w:t>
      </w:r>
      <w:r w:rsidRPr="00B944E8">
        <w:t>.</w:t>
      </w:r>
    </w:p>
    <w:p w14:paraId="5EC4EE27"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77F36614" w14:textId="77777777" w:rsidR="00355673" w:rsidRDefault="00355673" w:rsidP="00355673">
      <w:pPr>
        <w:rPr>
          <w:color w:val="C00000"/>
        </w:rPr>
      </w:pPr>
    </w:p>
    <w:p w14:paraId="157627F4" w14:textId="4F9FFA5C" w:rsidR="00B14E38" w:rsidRPr="00355673" w:rsidRDefault="00B14E38" w:rsidP="00355673">
      <w:pPr>
        <w:ind w:firstLine="708"/>
        <w:rPr>
          <w:b/>
          <w:bCs/>
          <w:sz w:val="24"/>
        </w:rPr>
      </w:pPr>
      <w:r w:rsidRPr="00355673">
        <w:rPr>
          <w:b/>
          <w:bCs/>
          <w:sz w:val="24"/>
        </w:rPr>
        <w:t>Descripción del programa</w:t>
      </w:r>
    </w:p>
    <w:p w14:paraId="70E779C1"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53DB1EAD" w14:textId="77777777" w:rsidR="001D3B8F" w:rsidRDefault="00B14E38" w:rsidP="001D3B8F">
      <w:r w:rsidRPr="00B944E8">
        <w:t>Con</w:t>
      </w:r>
      <w:r w:rsidR="001D3B8F">
        <w:t xml:space="preserve"> el desarrollo de este programa se busca la articulación a intersectorial y transectorial, mediante los mecanismos de coordinación y cooperación para favorecer el desarrollo de alianzas y potenciar acciones de gobernanza y APSocial para la afectación positiva de los determinantes sociales que se presentan por inequidades en salud por condiciones socioeconómicas y ambientales; también; mediante el acceso </w:t>
      </w:r>
      <w:r w:rsidR="001D3B8F">
        <w:t>a servicios básicos y características personales sobre hábitos aprendidos y estilos de vida.</w:t>
      </w:r>
    </w:p>
    <w:p w14:paraId="1834BC33" w14:textId="77777777" w:rsidR="001D3B8F" w:rsidRDefault="001D3B8F" w:rsidP="001D3B8F"/>
    <w:p w14:paraId="3A24B2D7" w14:textId="77777777" w:rsidR="001D3B8F" w:rsidRDefault="001D3B8F" w:rsidP="001D3B8F">
      <w:r>
        <w:t xml:space="preserve">En este sentido, a través del empoderamiento de la autoridad sanitaria y la participación ciudadana, se orientará una gestión en salud coordinada para incidir en la capacidad de la ciudad para atender las diferentes enfermedades tanto físicas como mentales de las y los habitantes de </w:t>
      </w:r>
      <w:r>
        <w:lastRenderedPageBreak/>
        <w:t>la ciudad, y en busca de reducir las desigualdades de la población.</w:t>
      </w:r>
    </w:p>
    <w:p w14:paraId="2CEDB26E" w14:textId="77777777" w:rsidR="001D3B8F" w:rsidRDefault="001D3B8F" w:rsidP="001D3B8F"/>
    <w:p w14:paraId="35E2F503" w14:textId="77777777" w:rsidR="001D3B8F" w:rsidRDefault="001D3B8F" w:rsidP="001D3B8F">
      <w:r>
        <w:t>Se busca que desde el ejercicio de la gobernanza y la gobernabilidad pueda obtenerse un mayor logro de los objetivos colectivos en salud, mayores niveles de participación ciudadana y de grupos de interés, y una mejor rectoría, con miras a aumentar el número de acciones de inspección, vigilancia y control, y a la promoción de liderazgos comunitarios, desde los enfoques de género, de derechos humanos de las mujeres, diferencial-poblacional e interseccional.</w:t>
      </w:r>
    </w:p>
    <w:p w14:paraId="5EDE3FC4" w14:textId="77777777" w:rsidR="001D3B8F" w:rsidRDefault="001D3B8F" w:rsidP="001D3B8F"/>
    <w:p w14:paraId="0F412D94" w14:textId="77777777" w:rsidR="001D3B8F" w:rsidRDefault="001D3B8F" w:rsidP="001D3B8F">
      <w:r>
        <w:t xml:space="preserve">Una buena rectoría o gobernanza en salud en relación con los determinantes sociales implica procesos transparentes e incluyentes de toma </w:t>
      </w:r>
      <w:r>
        <w:t>de decisiones que tengan en cuenta a todos los grupos poblacionales y sectores sociales interesados, para garantizar que se reconozcan las necesidades de los más afectados por las inequidades sociales y sanitarias.</w:t>
      </w:r>
    </w:p>
    <w:p w14:paraId="527E4568" w14:textId="77777777" w:rsidR="001D3B8F" w:rsidRDefault="001D3B8F" w:rsidP="001D3B8F"/>
    <w:p w14:paraId="6795FF49" w14:textId="6006D88B" w:rsidR="00B14E38" w:rsidRPr="00B944E8" w:rsidRDefault="001D3B8F" w:rsidP="001D3B8F">
      <w:r>
        <w:t>Por ello, se contará con un sistema de información sectorial e intersectorial para la operación, monitoreo, comunicación y divulgación de resultados de la APSocial de Bogotá que contribuya a la toma de decisiones y el conocimiento de información. Además, que suministre datos confiables y de calidad, que aborden los determinantes sociales de la salud y contribuyan con información a los tomadores de decisiones en políticas públicas y para conocimiento de los habitantes de Bogotá.</w:t>
      </w:r>
      <w:r w:rsidR="00B14E38" w:rsidRPr="00B944E8">
        <w:t xml:space="preserve"> </w:t>
      </w:r>
    </w:p>
    <w:p w14:paraId="41A2AD4B" w14:textId="77777777" w:rsidR="00887C0B" w:rsidRDefault="00887C0B" w:rsidP="00B14E38">
      <w:pPr>
        <w:pStyle w:val="figuratitulo"/>
        <w:sectPr w:rsidR="00887C0B" w:rsidSect="00F7078E">
          <w:type w:val="continuous"/>
          <w:pgSz w:w="12240" w:h="15840"/>
          <w:pgMar w:top="2262" w:right="1440" w:bottom="1440" w:left="1440" w:header="708" w:footer="680" w:gutter="0"/>
          <w:cols w:num="2" w:space="567"/>
          <w:docGrid w:linePitch="299"/>
        </w:sectPr>
      </w:pPr>
    </w:p>
    <w:p w14:paraId="006F8125" w14:textId="0E21CC2E" w:rsidR="00B14E38" w:rsidRDefault="00B14E38" w:rsidP="00B14E38">
      <w:pPr>
        <w:pStyle w:val="figuratitulo"/>
      </w:pPr>
    </w:p>
    <w:p w14:paraId="33F5C65E" w14:textId="77777777" w:rsidR="00887C0B" w:rsidRDefault="00887C0B" w:rsidP="00B14E38">
      <w:pPr>
        <w:pStyle w:val="figuratitulo"/>
        <w:rPr>
          <w:b/>
          <w:bCs/>
        </w:rPr>
      </w:pPr>
    </w:p>
    <w:p w14:paraId="69EA239E" w14:textId="77777777" w:rsidR="00887C0B" w:rsidRDefault="00887C0B" w:rsidP="00B14E38">
      <w:pPr>
        <w:pStyle w:val="figuratitulo"/>
        <w:rPr>
          <w:b/>
          <w:bCs/>
        </w:rPr>
      </w:pPr>
    </w:p>
    <w:p w14:paraId="2B63E1C2" w14:textId="77777777" w:rsidR="001D3B8F" w:rsidRDefault="001D3B8F" w:rsidP="00B14E38">
      <w:pPr>
        <w:pStyle w:val="figuratitulo"/>
        <w:rPr>
          <w:b/>
          <w:bCs/>
        </w:rPr>
        <w:sectPr w:rsidR="001D3B8F" w:rsidSect="00F7078E">
          <w:type w:val="continuous"/>
          <w:pgSz w:w="12240" w:h="15840"/>
          <w:pgMar w:top="2262" w:right="1440" w:bottom="1440" w:left="1440" w:header="708" w:footer="680" w:gutter="0"/>
          <w:cols w:num="2" w:space="567"/>
          <w:docGrid w:linePitch="299"/>
        </w:sectPr>
      </w:pPr>
    </w:p>
    <w:p w14:paraId="50BA11F3" w14:textId="7BA7BC73" w:rsidR="00B14E38" w:rsidRPr="00C22ED3" w:rsidRDefault="00C22ED3" w:rsidP="00C22ED3">
      <w:pPr>
        <w:pStyle w:val="Descripcin"/>
        <w:jc w:val="center"/>
        <w:rPr>
          <w:color w:val="000000" w:themeColor="text1"/>
          <w:sz w:val="18"/>
        </w:rPr>
      </w:pPr>
      <w:bookmarkStart w:id="266" w:name="_Toc165169938"/>
      <w:r w:rsidRPr="006A7921">
        <w:rPr>
          <w:color w:val="C00000"/>
          <w:sz w:val="18"/>
        </w:rPr>
        <w:t xml:space="preserve">Tabla </w:t>
      </w:r>
      <w:r w:rsidRPr="006A7921">
        <w:rPr>
          <w:color w:val="C00000"/>
          <w:sz w:val="18"/>
        </w:rPr>
        <w:fldChar w:fldCharType="begin"/>
      </w:r>
      <w:r w:rsidRPr="006A7921">
        <w:rPr>
          <w:color w:val="C00000"/>
          <w:sz w:val="18"/>
        </w:rPr>
        <w:instrText xml:space="preserve"> SEQ Tabla \* ARABIC </w:instrText>
      </w:r>
      <w:r w:rsidRPr="006A7921">
        <w:rPr>
          <w:color w:val="C00000"/>
          <w:sz w:val="18"/>
        </w:rPr>
        <w:fldChar w:fldCharType="separate"/>
      </w:r>
      <w:r w:rsidR="00D01651">
        <w:rPr>
          <w:noProof/>
          <w:color w:val="C00000"/>
          <w:sz w:val="18"/>
        </w:rPr>
        <w:t>28</w:t>
      </w:r>
      <w:r w:rsidRPr="006A7921">
        <w:rPr>
          <w:color w:val="C00000"/>
          <w:sz w:val="18"/>
        </w:rPr>
        <w:fldChar w:fldCharType="end"/>
      </w:r>
      <w:r w:rsidRPr="006A7921">
        <w:rPr>
          <w:color w:val="C00000"/>
          <w:sz w:val="18"/>
        </w:rPr>
        <w:t xml:space="preserve">. </w:t>
      </w:r>
      <w:r w:rsidR="00B14E38" w:rsidRPr="00B65D0C">
        <w:rPr>
          <w:sz w:val="18"/>
        </w:rPr>
        <w:t>Metas del programa 10</w:t>
      </w:r>
      <w:r w:rsidRPr="00B65D0C">
        <w:rPr>
          <w:sz w:val="18"/>
        </w:rPr>
        <w:t>:</w:t>
      </w:r>
      <w:r w:rsidR="00B14E38" w:rsidRPr="00B65D0C">
        <w:rPr>
          <w:sz w:val="18"/>
        </w:rPr>
        <w:t xml:space="preserve"> Salud pública integrada e integral</w:t>
      </w:r>
      <w:bookmarkEnd w:id="266"/>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334"/>
        <w:gridCol w:w="1393"/>
        <w:gridCol w:w="1408"/>
        <w:gridCol w:w="1392"/>
        <w:gridCol w:w="1413"/>
        <w:gridCol w:w="1420"/>
      </w:tblGrid>
      <w:tr w:rsidR="00C22ED3" w:rsidRPr="00C22ED3" w14:paraId="0FDEED3F" w14:textId="77777777" w:rsidTr="006A7921">
        <w:trPr>
          <w:tblHeader/>
        </w:trPr>
        <w:tc>
          <w:tcPr>
            <w:tcW w:w="2291" w:type="pct"/>
            <w:vMerge w:val="restart"/>
            <w:shd w:val="clear" w:color="auto" w:fill="C00000"/>
            <w:tcMar>
              <w:top w:w="30" w:type="dxa"/>
              <w:left w:w="45" w:type="dxa"/>
              <w:bottom w:w="30" w:type="dxa"/>
              <w:right w:w="45" w:type="dxa"/>
            </w:tcMar>
            <w:vAlign w:val="center"/>
            <w:hideMark/>
          </w:tcPr>
          <w:p w14:paraId="7857EDC7" w14:textId="77777777" w:rsidR="00C22ED3" w:rsidRPr="00C22ED3" w:rsidRDefault="00C22ED3" w:rsidP="00AA4BBB">
            <w:pPr>
              <w:jc w:val="center"/>
              <w:rPr>
                <w:rFonts w:cs="Arial"/>
                <w:b/>
                <w:bCs/>
                <w:color w:val="FFFFFF"/>
                <w:sz w:val="20"/>
                <w:szCs w:val="20"/>
              </w:rPr>
            </w:pPr>
            <w:r w:rsidRPr="00C22ED3">
              <w:rPr>
                <w:rFonts w:cs="Arial"/>
                <w:b/>
                <w:bCs/>
                <w:color w:val="FFFFFF"/>
                <w:sz w:val="20"/>
                <w:szCs w:val="20"/>
              </w:rPr>
              <w:t>SECTOR / Metas</w:t>
            </w:r>
          </w:p>
        </w:tc>
        <w:tc>
          <w:tcPr>
            <w:tcW w:w="2709" w:type="pct"/>
            <w:gridSpan w:val="5"/>
            <w:shd w:val="clear" w:color="auto" w:fill="C00000"/>
            <w:tcMar>
              <w:top w:w="30" w:type="dxa"/>
              <w:left w:w="45" w:type="dxa"/>
              <w:bottom w:w="30" w:type="dxa"/>
              <w:right w:w="45" w:type="dxa"/>
            </w:tcMar>
            <w:vAlign w:val="center"/>
            <w:hideMark/>
          </w:tcPr>
          <w:p w14:paraId="033D2CC2" w14:textId="77777777" w:rsidR="00B65D0C" w:rsidRDefault="00C22ED3" w:rsidP="00AA4BBB">
            <w:pPr>
              <w:jc w:val="center"/>
              <w:rPr>
                <w:rFonts w:cs="Arial"/>
                <w:b/>
                <w:bCs/>
                <w:color w:val="FFFFFF"/>
                <w:sz w:val="20"/>
                <w:szCs w:val="20"/>
              </w:rPr>
            </w:pPr>
            <w:r w:rsidRPr="00C22ED3">
              <w:rPr>
                <w:rFonts w:cs="Arial"/>
                <w:b/>
                <w:bCs/>
                <w:color w:val="FFFFFF"/>
                <w:sz w:val="20"/>
                <w:szCs w:val="20"/>
              </w:rPr>
              <w:t xml:space="preserve">Magnitudes e Inversión </w:t>
            </w:r>
          </w:p>
          <w:p w14:paraId="6049F23D" w14:textId="218B976E" w:rsidR="00C22ED3" w:rsidRPr="00C22ED3" w:rsidRDefault="00C22ED3" w:rsidP="00AA4BBB">
            <w:pPr>
              <w:jc w:val="center"/>
              <w:rPr>
                <w:rFonts w:cs="Arial"/>
                <w:b/>
                <w:bCs/>
                <w:color w:val="FFFFFF"/>
                <w:sz w:val="20"/>
                <w:szCs w:val="20"/>
              </w:rPr>
            </w:pPr>
            <w:r w:rsidRPr="00C22ED3">
              <w:rPr>
                <w:rFonts w:cs="Arial"/>
                <w:b/>
                <w:bCs/>
                <w:color w:val="FFFFFF"/>
                <w:sz w:val="20"/>
                <w:szCs w:val="20"/>
              </w:rPr>
              <w:t>(Precios Constantes 2024)</w:t>
            </w:r>
          </w:p>
        </w:tc>
      </w:tr>
      <w:tr w:rsidR="00C22ED3" w:rsidRPr="00C22ED3" w14:paraId="7DBB5563" w14:textId="77777777" w:rsidTr="006A7921">
        <w:trPr>
          <w:tblHeader/>
        </w:trPr>
        <w:tc>
          <w:tcPr>
            <w:tcW w:w="2291" w:type="pct"/>
            <w:vMerge/>
            <w:vAlign w:val="center"/>
            <w:hideMark/>
          </w:tcPr>
          <w:p w14:paraId="7640509E" w14:textId="77777777" w:rsidR="00C22ED3" w:rsidRPr="00C22ED3" w:rsidRDefault="00C22ED3" w:rsidP="00AA4BBB">
            <w:pPr>
              <w:rPr>
                <w:rFonts w:cs="Arial"/>
                <w:b/>
                <w:bCs/>
                <w:color w:val="FFFFFF"/>
                <w:sz w:val="20"/>
                <w:szCs w:val="20"/>
              </w:rPr>
            </w:pPr>
          </w:p>
        </w:tc>
        <w:tc>
          <w:tcPr>
            <w:tcW w:w="556" w:type="pct"/>
            <w:shd w:val="clear" w:color="auto" w:fill="D9D9D9"/>
            <w:tcMar>
              <w:top w:w="30" w:type="dxa"/>
              <w:left w:w="45" w:type="dxa"/>
              <w:bottom w:w="30" w:type="dxa"/>
              <w:right w:w="45" w:type="dxa"/>
            </w:tcMar>
            <w:vAlign w:val="center"/>
            <w:hideMark/>
          </w:tcPr>
          <w:p w14:paraId="1C61A939" w14:textId="77777777" w:rsidR="00C22ED3" w:rsidRPr="00C22ED3" w:rsidRDefault="00C22ED3" w:rsidP="00AA4BBB">
            <w:pPr>
              <w:jc w:val="center"/>
              <w:rPr>
                <w:rFonts w:cs="Arial"/>
                <w:b/>
                <w:bCs/>
                <w:sz w:val="20"/>
                <w:szCs w:val="20"/>
              </w:rPr>
            </w:pPr>
            <w:r w:rsidRPr="00C22ED3">
              <w:rPr>
                <w:rFonts w:cs="Arial"/>
                <w:b/>
                <w:bCs/>
                <w:sz w:val="20"/>
                <w:szCs w:val="20"/>
              </w:rPr>
              <w:t>2024</w:t>
            </w:r>
          </w:p>
        </w:tc>
        <w:tc>
          <w:tcPr>
            <w:tcW w:w="521" w:type="pct"/>
            <w:shd w:val="clear" w:color="auto" w:fill="D9D9D9"/>
            <w:tcMar>
              <w:top w:w="30" w:type="dxa"/>
              <w:left w:w="45" w:type="dxa"/>
              <w:bottom w:w="30" w:type="dxa"/>
              <w:right w:w="45" w:type="dxa"/>
            </w:tcMar>
            <w:vAlign w:val="center"/>
            <w:hideMark/>
          </w:tcPr>
          <w:p w14:paraId="69A5B1DE" w14:textId="77777777" w:rsidR="00C22ED3" w:rsidRPr="00C22ED3" w:rsidRDefault="00C22ED3" w:rsidP="00AA4BBB">
            <w:pPr>
              <w:jc w:val="center"/>
              <w:rPr>
                <w:rFonts w:cs="Arial"/>
                <w:b/>
                <w:bCs/>
                <w:sz w:val="20"/>
                <w:szCs w:val="20"/>
              </w:rPr>
            </w:pPr>
            <w:r w:rsidRPr="00C22ED3">
              <w:rPr>
                <w:rFonts w:cs="Arial"/>
                <w:b/>
                <w:bCs/>
                <w:sz w:val="20"/>
                <w:szCs w:val="20"/>
              </w:rPr>
              <w:t>2025</w:t>
            </w:r>
          </w:p>
        </w:tc>
        <w:tc>
          <w:tcPr>
            <w:tcW w:w="521" w:type="pct"/>
            <w:shd w:val="clear" w:color="auto" w:fill="D9D9D9"/>
            <w:tcMar>
              <w:top w:w="30" w:type="dxa"/>
              <w:left w:w="45" w:type="dxa"/>
              <w:bottom w:w="30" w:type="dxa"/>
              <w:right w:w="45" w:type="dxa"/>
            </w:tcMar>
            <w:vAlign w:val="center"/>
            <w:hideMark/>
          </w:tcPr>
          <w:p w14:paraId="14A57A67" w14:textId="77777777" w:rsidR="00C22ED3" w:rsidRPr="00C22ED3" w:rsidRDefault="00C22ED3" w:rsidP="00AA4BBB">
            <w:pPr>
              <w:jc w:val="center"/>
              <w:rPr>
                <w:rFonts w:cs="Arial"/>
                <w:b/>
                <w:bCs/>
                <w:sz w:val="20"/>
                <w:szCs w:val="20"/>
              </w:rPr>
            </w:pPr>
            <w:r w:rsidRPr="00C22ED3">
              <w:rPr>
                <w:rFonts w:cs="Arial"/>
                <w:b/>
                <w:bCs/>
                <w:sz w:val="20"/>
                <w:szCs w:val="20"/>
              </w:rPr>
              <w:t>2026</w:t>
            </w:r>
          </w:p>
        </w:tc>
        <w:tc>
          <w:tcPr>
            <w:tcW w:w="561" w:type="pct"/>
            <w:shd w:val="clear" w:color="auto" w:fill="D9D9D9"/>
            <w:tcMar>
              <w:top w:w="30" w:type="dxa"/>
              <w:left w:w="45" w:type="dxa"/>
              <w:bottom w:w="30" w:type="dxa"/>
              <w:right w:w="45" w:type="dxa"/>
            </w:tcMar>
            <w:vAlign w:val="center"/>
            <w:hideMark/>
          </w:tcPr>
          <w:p w14:paraId="2B557259" w14:textId="77777777" w:rsidR="00C22ED3" w:rsidRPr="00C22ED3" w:rsidRDefault="00C22ED3" w:rsidP="00AA4BBB">
            <w:pPr>
              <w:jc w:val="center"/>
              <w:rPr>
                <w:rFonts w:cs="Arial"/>
                <w:b/>
                <w:bCs/>
                <w:sz w:val="20"/>
                <w:szCs w:val="20"/>
              </w:rPr>
            </w:pPr>
            <w:r w:rsidRPr="00C22ED3">
              <w:rPr>
                <w:rFonts w:cs="Arial"/>
                <w:b/>
                <w:bCs/>
                <w:sz w:val="20"/>
                <w:szCs w:val="20"/>
              </w:rPr>
              <w:t>2027</w:t>
            </w:r>
          </w:p>
        </w:tc>
        <w:tc>
          <w:tcPr>
            <w:tcW w:w="549" w:type="pct"/>
            <w:shd w:val="clear" w:color="auto" w:fill="D9D9D9"/>
            <w:tcMar>
              <w:top w:w="30" w:type="dxa"/>
              <w:left w:w="45" w:type="dxa"/>
              <w:bottom w:w="30" w:type="dxa"/>
              <w:right w:w="45" w:type="dxa"/>
            </w:tcMar>
            <w:vAlign w:val="center"/>
            <w:hideMark/>
          </w:tcPr>
          <w:p w14:paraId="08108B44" w14:textId="77777777" w:rsidR="00C22ED3" w:rsidRPr="00C22ED3" w:rsidRDefault="00C22ED3" w:rsidP="00AA4BBB">
            <w:pPr>
              <w:jc w:val="center"/>
              <w:rPr>
                <w:rFonts w:cs="Arial"/>
                <w:b/>
                <w:bCs/>
                <w:sz w:val="20"/>
                <w:szCs w:val="20"/>
              </w:rPr>
            </w:pPr>
            <w:r w:rsidRPr="00C22ED3">
              <w:rPr>
                <w:rFonts w:cs="Arial"/>
                <w:b/>
                <w:bCs/>
                <w:sz w:val="20"/>
                <w:szCs w:val="20"/>
              </w:rPr>
              <w:t>Total Inversión</w:t>
            </w:r>
          </w:p>
        </w:tc>
      </w:tr>
      <w:tr w:rsidR="00C22ED3" w:rsidRPr="00C22ED3" w14:paraId="08E44643" w14:textId="77777777" w:rsidTr="006A7921">
        <w:tc>
          <w:tcPr>
            <w:tcW w:w="5000" w:type="pct"/>
            <w:gridSpan w:val="6"/>
            <w:shd w:val="clear" w:color="auto" w:fill="C00000"/>
            <w:tcMar>
              <w:top w:w="30" w:type="dxa"/>
              <w:left w:w="45" w:type="dxa"/>
              <w:bottom w:w="30" w:type="dxa"/>
              <w:right w:w="45" w:type="dxa"/>
            </w:tcMar>
            <w:vAlign w:val="center"/>
            <w:hideMark/>
          </w:tcPr>
          <w:p w14:paraId="16C7C52E" w14:textId="28542A29" w:rsidR="00C22ED3" w:rsidRPr="00C22ED3" w:rsidRDefault="00635D3C" w:rsidP="00635D3C">
            <w:pPr>
              <w:jc w:val="center"/>
              <w:rPr>
                <w:rFonts w:cs="Arial"/>
                <w:b/>
                <w:bCs/>
                <w:sz w:val="20"/>
                <w:szCs w:val="20"/>
              </w:rPr>
            </w:pPr>
            <w:r w:rsidRPr="00635D3C">
              <w:rPr>
                <w:rFonts w:cs="Arial"/>
                <w:b/>
                <w:bCs/>
                <w:color w:val="FFFFFF" w:themeColor="background1"/>
                <w:sz w:val="20"/>
                <w:szCs w:val="20"/>
              </w:rPr>
              <w:t>Salud</w:t>
            </w:r>
          </w:p>
        </w:tc>
      </w:tr>
      <w:tr w:rsidR="00C22ED3" w:rsidRPr="00C22ED3" w14:paraId="7768BE44" w14:textId="77777777" w:rsidTr="006A7921">
        <w:tc>
          <w:tcPr>
            <w:tcW w:w="2291" w:type="pct"/>
            <w:vMerge w:val="restart"/>
            <w:tcMar>
              <w:top w:w="30" w:type="dxa"/>
              <w:left w:w="45" w:type="dxa"/>
              <w:bottom w:w="30" w:type="dxa"/>
              <w:right w:w="45" w:type="dxa"/>
            </w:tcMar>
            <w:vAlign w:val="center"/>
            <w:hideMark/>
          </w:tcPr>
          <w:p w14:paraId="386835EF" w14:textId="77777777" w:rsidR="00C22ED3" w:rsidRPr="00C22ED3" w:rsidRDefault="00C22ED3" w:rsidP="00AA4BBB">
            <w:pPr>
              <w:rPr>
                <w:rFonts w:cs="Arial"/>
                <w:sz w:val="20"/>
                <w:szCs w:val="20"/>
              </w:rPr>
            </w:pPr>
            <w:r w:rsidRPr="00C22ED3">
              <w:rPr>
                <w:rFonts w:cs="Arial"/>
                <w:sz w:val="20"/>
                <w:szCs w:val="20"/>
              </w:rPr>
              <w:t>Definir implementar y poner en funcionamiento una instancia de gobernanza y gobernabilidad en salud pública y Atención Primaria Social que intervenga los determinantes sociales de inequidades en salud en el territorio.</w:t>
            </w:r>
          </w:p>
        </w:tc>
        <w:tc>
          <w:tcPr>
            <w:tcW w:w="556" w:type="pct"/>
            <w:tcMar>
              <w:top w:w="30" w:type="dxa"/>
              <w:left w:w="45" w:type="dxa"/>
              <w:bottom w:w="30" w:type="dxa"/>
              <w:right w:w="45" w:type="dxa"/>
            </w:tcMar>
            <w:vAlign w:val="center"/>
            <w:hideMark/>
          </w:tcPr>
          <w:p w14:paraId="10E9D124" w14:textId="77777777" w:rsidR="00C22ED3" w:rsidRPr="00C22ED3" w:rsidRDefault="00C22ED3" w:rsidP="00AA4BBB">
            <w:pPr>
              <w:jc w:val="center"/>
              <w:rPr>
                <w:rFonts w:cs="Arial"/>
                <w:sz w:val="20"/>
                <w:szCs w:val="20"/>
              </w:rPr>
            </w:pPr>
            <w:r w:rsidRPr="00C22ED3">
              <w:rPr>
                <w:rFonts w:cs="Arial"/>
                <w:sz w:val="20"/>
                <w:szCs w:val="20"/>
              </w:rPr>
              <w:t>1</w:t>
            </w:r>
          </w:p>
        </w:tc>
        <w:tc>
          <w:tcPr>
            <w:tcW w:w="521" w:type="pct"/>
            <w:tcMar>
              <w:top w:w="30" w:type="dxa"/>
              <w:left w:w="45" w:type="dxa"/>
              <w:bottom w:w="30" w:type="dxa"/>
              <w:right w:w="45" w:type="dxa"/>
            </w:tcMar>
            <w:vAlign w:val="center"/>
            <w:hideMark/>
          </w:tcPr>
          <w:p w14:paraId="75091835" w14:textId="77777777" w:rsidR="00C22ED3" w:rsidRPr="00C22ED3" w:rsidRDefault="00C22ED3" w:rsidP="00AA4BBB">
            <w:pPr>
              <w:jc w:val="center"/>
              <w:rPr>
                <w:rFonts w:cs="Arial"/>
                <w:sz w:val="20"/>
                <w:szCs w:val="20"/>
              </w:rPr>
            </w:pPr>
            <w:r w:rsidRPr="00C22ED3">
              <w:rPr>
                <w:rFonts w:cs="Arial"/>
                <w:sz w:val="20"/>
                <w:szCs w:val="20"/>
              </w:rPr>
              <w:t>1</w:t>
            </w:r>
          </w:p>
        </w:tc>
        <w:tc>
          <w:tcPr>
            <w:tcW w:w="521" w:type="pct"/>
            <w:tcMar>
              <w:top w:w="30" w:type="dxa"/>
              <w:left w:w="45" w:type="dxa"/>
              <w:bottom w:w="30" w:type="dxa"/>
              <w:right w:w="45" w:type="dxa"/>
            </w:tcMar>
            <w:vAlign w:val="center"/>
            <w:hideMark/>
          </w:tcPr>
          <w:p w14:paraId="78F2AA0D" w14:textId="77777777" w:rsidR="00C22ED3" w:rsidRPr="00C22ED3" w:rsidRDefault="00C22ED3" w:rsidP="00AA4BBB">
            <w:pPr>
              <w:jc w:val="center"/>
              <w:rPr>
                <w:rFonts w:cs="Arial"/>
                <w:sz w:val="20"/>
                <w:szCs w:val="20"/>
              </w:rPr>
            </w:pPr>
            <w:r w:rsidRPr="00C22ED3">
              <w:rPr>
                <w:rFonts w:cs="Arial"/>
                <w:sz w:val="20"/>
                <w:szCs w:val="20"/>
              </w:rPr>
              <w:t>1</w:t>
            </w:r>
          </w:p>
        </w:tc>
        <w:tc>
          <w:tcPr>
            <w:tcW w:w="561" w:type="pct"/>
            <w:tcMar>
              <w:top w:w="30" w:type="dxa"/>
              <w:left w:w="45" w:type="dxa"/>
              <w:bottom w:w="30" w:type="dxa"/>
              <w:right w:w="45" w:type="dxa"/>
            </w:tcMar>
            <w:vAlign w:val="center"/>
            <w:hideMark/>
          </w:tcPr>
          <w:p w14:paraId="1072BE38" w14:textId="77777777" w:rsidR="00C22ED3" w:rsidRPr="00C22ED3" w:rsidRDefault="00C22ED3" w:rsidP="00AA4BBB">
            <w:pPr>
              <w:jc w:val="center"/>
              <w:rPr>
                <w:rFonts w:cs="Arial"/>
                <w:sz w:val="20"/>
                <w:szCs w:val="20"/>
              </w:rPr>
            </w:pPr>
            <w:r w:rsidRPr="00C22ED3">
              <w:rPr>
                <w:rFonts w:cs="Arial"/>
                <w:sz w:val="20"/>
                <w:szCs w:val="20"/>
              </w:rPr>
              <w:t>1</w:t>
            </w:r>
          </w:p>
        </w:tc>
        <w:tc>
          <w:tcPr>
            <w:tcW w:w="549" w:type="pct"/>
            <w:vMerge w:val="restart"/>
            <w:tcMar>
              <w:top w:w="30" w:type="dxa"/>
              <w:left w:w="45" w:type="dxa"/>
              <w:bottom w:w="30" w:type="dxa"/>
              <w:right w:w="45" w:type="dxa"/>
            </w:tcMar>
            <w:vAlign w:val="center"/>
            <w:hideMark/>
          </w:tcPr>
          <w:p w14:paraId="1CF829CF" w14:textId="77777777" w:rsidR="00C22ED3" w:rsidRPr="00C22ED3" w:rsidRDefault="00C22ED3" w:rsidP="00AA4BBB">
            <w:pPr>
              <w:jc w:val="center"/>
              <w:rPr>
                <w:rFonts w:cs="Arial"/>
                <w:b/>
                <w:bCs/>
                <w:sz w:val="20"/>
                <w:szCs w:val="20"/>
              </w:rPr>
            </w:pPr>
            <w:r w:rsidRPr="00C22ED3">
              <w:rPr>
                <w:rFonts w:cs="Arial"/>
                <w:b/>
                <w:bCs/>
                <w:sz w:val="20"/>
                <w:szCs w:val="20"/>
              </w:rPr>
              <w:t>853.583.406</w:t>
            </w:r>
          </w:p>
        </w:tc>
      </w:tr>
      <w:tr w:rsidR="00C22ED3" w:rsidRPr="00C22ED3" w14:paraId="4DB6980E" w14:textId="77777777" w:rsidTr="006A7921">
        <w:tc>
          <w:tcPr>
            <w:tcW w:w="2291" w:type="pct"/>
            <w:vMerge/>
            <w:vAlign w:val="center"/>
            <w:hideMark/>
          </w:tcPr>
          <w:p w14:paraId="08582F44"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3A1A0138" w14:textId="77777777" w:rsidR="00C22ED3" w:rsidRPr="00C22ED3" w:rsidRDefault="00C22ED3" w:rsidP="00AA4BBB">
            <w:pPr>
              <w:jc w:val="center"/>
              <w:rPr>
                <w:rFonts w:cs="Arial"/>
                <w:sz w:val="20"/>
                <w:szCs w:val="20"/>
              </w:rPr>
            </w:pPr>
            <w:r w:rsidRPr="00C22ED3">
              <w:rPr>
                <w:rFonts w:cs="Arial"/>
                <w:sz w:val="20"/>
                <w:szCs w:val="20"/>
              </w:rPr>
              <w:t>5.000.000</w:t>
            </w:r>
          </w:p>
        </w:tc>
        <w:tc>
          <w:tcPr>
            <w:tcW w:w="521" w:type="pct"/>
            <w:tcMar>
              <w:top w:w="30" w:type="dxa"/>
              <w:left w:w="45" w:type="dxa"/>
              <w:bottom w:w="30" w:type="dxa"/>
              <w:right w:w="45" w:type="dxa"/>
            </w:tcMar>
            <w:vAlign w:val="center"/>
            <w:hideMark/>
          </w:tcPr>
          <w:p w14:paraId="12ADA00E" w14:textId="77777777" w:rsidR="00C22ED3" w:rsidRPr="00C22ED3" w:rsidRDefault="00C22ED3" w:rsidP="00AA4BBB">
            <w:pPr>
              <w:jc w:val="center"/>
              <w:rPr>
                <w:rFonts w:cs="Arial"/>
                <w:sz w:val="20"/>
                <w:szCs w:val="20"/>
              </w:rPr>
            </w:pPr>
            <w:r w:rsidRPr="00C22ED3">
              <w:rPr>
                <w:rFonts w:cs="Arial"/>
                <w:sz w:val="20"/>
                <w:szCs w:val="20"/>
              </w:rPr>
              <w:t>291.262.136</w:t>
            </w:r>
          </w:p>
        </w:tc>
        <w:tc>
          <w:tcPr>
            <w:tcW w:w="521" w:type="pct"/>
            <w:tcMar>
              <w:top w:w="30" w:type="dxa"/>
              <w:left w:w="45" w:type="dxa"/>
              <w:bottom w:w="30" w:type="dxa"/>
              <w:right w:w="45" w:type="dxa"/>
            </w:tcMar>
            <w:vAlign w:val="center"/>
            <w:hideMark/>
          </w:tcPr>
          <w:p w14:paraId="29E20357" w14:textId="77777777" w:rsidR="00C22ED3" w:rsidRPr="00C22ED3" w:rsidRDefault="00C22ED3" w:rsidP="00AA4BBB">
            <w:pPr>
              <w:jc w:val="center"/>
              <w:rPr>
                <w:rFonts w:cs="Arial"/>
                <w:sz w:val="20"/>
                <w:szCs w:val="20"/>
              </w:rPr>
            </w:pPr>
            <w:r w:rsidRPr="00C22ED3">
              <w:rPr>
                <w:rFonts w:cs="Arial"/>
                <w:sz w:val="20"/>
                <w:szCs w:val="20"/>
              </w:rPr>
              <w:t>282.778.773</w:t>
            </w:r>
          </w:p>
        </w:tc>
        <w:tc>
          <w:tcPr>
            <w:tcW w:w="561" w:type="pct"/>
            <w:tcMar>
              <w:top w:w="30" w:type="dxa"/>
              <w:left w:w="45" w:type="dxa"/>
              <w:bottom w:w="30" w:type="dxa"/>
              <w:right w:w="45" w:type="dxa"/>
            </w:tcMar>
            <w:vAlign w:val="center"/>
            <w:hideMark/>
          </w:tcPr>
          <w:p w14:paraId="5EA6FAAB" w14:textId="77777777" w:rsidR="00C22ED3" w:rsidRPr="00C22ED3" w:rsidRDefault="00C22ED3" w:rsidP="00AA4BBB">
            <w:pPr>
              <w:jc w:val="center"/>
              <w:rPr>
                <w:rFonts w:cs="Arial"/>
                <w:sz w:val="20"/>
                <w:szCs w:val="20"/>
              </w:rPr>
            </w:pPr>
            <w:r w:rsidRPr="00C22ED3">
              <w:rPr>
                <w:rFonts w:cs="Arial"/>
                <w:sz w:val="20"/>
                <w:szCs w:val="20"/>
              </w:rPr>
              <w:t>274.542.498</w:t>
            </w:r>
          </w:p>
        </w:tc>
        <w:tc>
          <w:tcPr>
            <w:tcW w:w="549" w:type="pct"/>
            <w:vMerge/>
            <w:vAlign w:val="center"/>
            <w:hideMark/>
          </w:tcPr>
          <w:p w14:paraId="46EB58B3" w14:textId="77777777" w:rsidR="00C22ED3" w:rsidRPr="00C22ED3" w:rsidRDefault="00C22ED3" w:rsidP="00AA4BBB">
            <w:pPr>
              <w:rPr>
                <w:rFonts w:cs="Arial"/>
                <w:b/>
                <w:bCs/>
                <w:sz w:val="20"/>
                <w:szCs w:val="20"/>
              </w:rPr>
            </w:pPr>
          </w:p>
        </w:tc>
      </w:tr>
      <w:tr w:rsidR="00C22ED3" w:rsidRPr="00C22ED3" w14:paraId="7D98425F" w14:textId="77777777" w:rsidTr="006A7921">
        <w:tc>
          <w:tcPr>
            <w:tcW w:w="2291" w:type="pct"/>
            <w:vMerge w:val="restart"/>
            <w:tcMar>
              <w:top w:w="30" w:type="dxa"/>
              <w:left w:w="45" w:type="dxa"/>
              <w:bottom w:w="30" w:type="dxa"/>
              <w:right w:w="45" w:type="dxa"/>
            </w:tcMar>
            <w:vAlign w:val="center"/>
            <w:hideMark/>
          </w:tcPr>
          <w:p w14:paraId="70F4206F" w14:textId="77777777" w:rsidR="00C22ED3" w:rsidRPr="00C22ED3" w:rsidRDefault="00C22ED3" w:rsidP="00AA4BBB">
            <w:pPr>
              <w:rPr>
                <w:rFonts w:cs="Arial"/>
                <w:sz w:val="20"/>
                <w:szCs w:val="20"/>
              </w:rPr>
            </w:pPr>
            <w:r w:rsidRPr="00C22ED3">
              <w:rPr>
                <w:rFonts w:cs="Arial"/>
                <w:sz w:val="20"/>
                <w:szCs w:val="20"/>
              </w:rPr>
              <w:t>Desarrollar el 100% de las intervenciones en las líneas estratégicas del plan de acción de la primera infancia para el fortalecimiento de la atención integral e integrada desde el nacimiento y durante la primera infancia.</w:t>
            </w:r>
          </w:p>
        </w:tc>
        <w:tc>
          <w:tcPr>
            <w:tcW w:w="556" w:type="pct"/>
            <w:tcMar>
              <w:top w:w="30" w:type="dxa"/>
              <w:left w:w="45" w:type="dxa"/>
              <w:bottom w:w="30" w:type="dxa"/>
              <w:right w:w="45" w:type="dxa"/>
            </w:tcMar>
            <w:vAlign w:val="center"/>
            <w:hideMark/>
          </w:tcPr>
          <w:p w14:paraId="608D29E0"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228C516A"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7C1C1D94"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5DA7C14E"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07AFC7FF" w14:textId="77777777" w:rsidR="00C22ED3" w:rsidRPr="00C22ED3" w:rsidRDefault="00C22ED3" w:rsidP="00AA4BBB">
            <w:pPr>
              <w:jc w:val="center"/>
              <w:rPr>
                <w:rFonts w:cs="Arial"/>
                <w:b/>
                <w:bCs/>
                <w:sz w:val="20"/>
                <w:szCs w:val="20"/>
              </w:rPr>
            </w:pPr>
            <w:r w:rsidRPr="00C22ED3">
              <w:rPr>
                <w:rFonts w:cs="Arial"/>
                <w:b/>
                <w:bCs/>
                <w:sz w:val="20"/>
                <w:szCs w:val="20"/>
              </w:rPr>
              <w:t>30.220.900.329</w:t>
            </w:r>
          </w:p>
        </w:tc>
      </w:tr>
      <w:tr w:rsidR="00C22ED3" w:rsidRPr="00C22ED3" w14:paraId="018D4E29" w14:textId="77777777" w:rsidTr="006A7921">
        <w:tc>
          <w:tcPr>
            <w:tcW w:w="2291" w:type="pct"/>
            <w:vMerge/>
            <w:vAlign w:val="center"/>
            <w:hideMark/>
          </w:tcPr>
          <w:p w14:paraId="55373451"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41DEE05E" w14:textId="77777777" w:rsidR="00C22ED3" w:rsidRPr="00C22ED3" w:rsidRDefault="00C22ED3" w:rsidP="00AA4BBB">
            <w:pPr>
              <w:jc w:val="center"/>
              <w:rPr>
                <w:rFonts w:cs="Arial"/>
                <w:sz w:val="20"/>
                <w:szCs w:val="20"/>
              </w:rPr>
            </w:pPr>
            <w:r w:rsidRPr="00C22ED3">
              <w:rPr>
                <w:rFonts w:cs="Arial"/>
                <w:sz w:val="20"/>
                <w:szCs w:val="20"/>
              </w:rPr>
              <w:t>3.894.649.516</w:t>
            </w:r>
          </w:p>
        </w:tc>
        <w:tc>
          <w:tcPr>
            <w:tcW w:w="521" w:type="pct"/>
            <w:tcMar>
              <w:top w:w="30" w:type="dxa"/>
              <w:left w:w="45" w:type="dxa"/>
              <w:bottom w:w="30" w:type="dxa"/>
              <w:right w:w="45" w:type="dxa"/>
            </w:tcMar>
            <w:vAlign w:val="center"/>
            <w:hideMark/>
          </w:tcPr>
          <w:p w14:paraId="1E5240EE" w14:textId="77777777" w:rsidR="00C22ED3" w:rsidRPr="00C22ED3" w:rsidRDefault="00C22ED3" w:rsidP="00AA4BBB">
            <w:pPr>
              <w:jc w:val="center"/>
              <w:rPr>
                <w:rFonts w:cs="Arial"/>
                <w:sz w:val="20"/>
                <w:szCs w:val="20"/>
              </w:rPr>
            </w:pPr>
            <w:r w:rsidRPr="00C22ED3">
              <w:rPr>
                <w:rFonts w:cs="Arial"/>
                <w:sz w:val="20"/>
                <w:szCs w:val="20"/>
              </w:rPr>
              <w:t>8.290.464.236</w:t>
            </w:r>
          </w:p>
        </w:tc>
        <w:tc>
          <w:tcPr>
            <w:tcW w:w="521" w:type="pct"/>
            <w:tcMar>
              <w:top w:w="30" w:type="dxa"/>
              <w:left w:w="45" w:type="dxa"/>
              <w:bottom w:w="30" w:type="dxa"/>
              <w:right w:w="45" w:type="dxa"/>
            </w:tcMar>
            <w:vAlign w:val="center"/>
            <w:hideMark/>
          </w:tcPr>
          <w:p w14:paraId="5491A893" w14:textId="77777777" w:rsidR="00C22ED3" w:rsidRPr="00C22ED3" w:rsidRDefault="00C22ED3" w:rsidP="00AA4BBB">
            <w:pPr>
              <w:jc w:val="center"/>
              <w:rPr>
                <w:rFonts w:cs="Arial"/>
                <w:sz w:val="20"/>
                <w:szCs w:val="20"/>
              </w:rPr>
            </w:pPr>
            <w:r w:rsidRPr="00C22ED3">
              <w:rPr>
                <w:rFonts w:cs="Arial"/>
                <w:sz w:val="20"/>
                <w:szCs w:val="20"/>
              </w:rPr>
              <w:t>9.624.581.437</w:t>
            </w:r>
          </w:p>
        </w:tc>
        <w:tc>
          <w:tcPr>
            <w:tcW w:w="561" w:type="pct"/>
            <w:tcMar>
              <w:top w:w="30" w:type="dxa"/>
              <w:left w:w="45" w:type="dxa"/>
              <w:bottom w:w="30" w:type="dxa"/>
              <w:right w:w="45" w:type="dxa"/>
            </w:tcMar>
            <w:vAlign w:val="center"/>
            <w:hideMark/>
          </w:tcPr>
          <w:p w14:paraId="72FCFF7E" w14:textId="77777777" w:rsidR="00C22ED3" w:rsidRPr="00C22ED3" w:rsidRDefault="00C22ED3" w:rsidP="00AA4BBB">
            <w:pPr>
              <w:jc w:val="center"/>
              <w:rPr>
                <w:rFonts w:cs="Arial"/>
                <w:sz w:val="20"/>
                <w:szCs w:val="20"/>
              </w:rPr>
            </w:pPr>
            <w:r w:rsidRPr="00C22ED3">
              <w:rPr>
                <w:rFonts w:cs="Arial"/>
                <w:sz w:val="20"/>
                <w:szCs w:val="20"/>
              </w:rPr>
              <w:t>8.411.205.140</w:t>
            </w:r>
          </w:p>
        </w:tc>
        <w:tc>
          <w:tcPr>
            <w:tcW w:w="549" w:type="pct"/>
            <w:vMerge/>
            <w:vAlign w:val="center"/>
            <w:hideMark/>
          </w:tcPr>
          <w:p w14:paraId="6EE27AC8" w14:textId="77777777" w:rsidR="00C22ED3" w:rsidRPr="00C22ED3" w:rsidRDefault="00C22ED3" w:rsidP="00AA4BBB">
            <w:pPr>
              <w:rPr>
                <w:rFonts w:cs="Arial"/>
                <w:b/>
                <w:bCs/>
                <w:sz w:val="20"/>
                <w:szCs w:val="20"/>
              </w:rPr>
            </w:pPr>
          </w:p>
        </w:tc>
      </w:tr>
      <w:tr w:rsidR="00C22ED3" w:rsidRPr="00C22ED3" w14:paraId="5ECB49AB" w14:textId="77777777" w:rsidTr="006A7921">
        <w:tc>
          <w:tcPr>
            <w:tcW w:w="2291" w:type="pct"/>
            <w:vMerge w:val="restart"/>
            <w:tcMar>
              <w:top w:w="30" w:type="dxa"/>
              <w:left w:w="45" w:type="dxa"/>
              <w:bottom w:w="30" w:type="dxa"/>
              <w:right w:w="45" w:type="dxa"/>
            </w:tcMar>
            <w:vAlign w:val="center"/>
            <w:hideMark/>
          </w:tcPr>
          <w:p w14:paraId="24FC25FB" w14:textId="77777777" w:rsidR="00C22ED3" w:rsidRPr="00C22ED3" w:rsidRDefault="00C22ED3" w:rsidP="00AA4BBB">
            <w:pPr>
              <w:rPr>
                <w:rFonts w:cs="Arial"/>
                <w:sz w:val="20"/>
                <w:szCs w:val="20"/>
              </w:rPr>
            </w:pPr>
            <w:r w:rsidRPr="00C22ED3">
              <w:rPr>
                <w:rFonts w:cs="Arial"/>
                <w:sz w:val="20"/>
                <w:szCs w:val="20"/>
              </w:rPr>
              <w:t xml:space="preserve">Desarrollar el 100% de las intervenciones en las </w:t>
            </w:r>
            <w:r w:rsidRPr="00C22ED3">
              <w:rPr>
                <w:rFonts w:cs="Arial"/>
                <w:sz w:val="20"/>
                <w:szCs w:val="20"/>
              </w:rPr>
              <w:lastRenderedPageBreak/>
              <w:t>líneas estratégicas del plan de acción para reducir la morbilidad y mortalidad materno- perinatal.</w:t>
            </w:r>
          </w:p>
        </w:tc>
        <w:tc>
          <w:tcPr>
            <w:tcW w:w="556" w:type="pct"/>
            <w:tcMar>
              <w:top w:w="30" w:type="dxa"/>
              <w:left w:w="45" w:type="dxa"/>
              <w:bottom w:w="30" w:type="dxa"/>
              <w:right w:w="45" w:type="dxa"/>
            </w:tcMar>
            <w:vAlign w:val="center"/>
            <w:hideMark/>
          </w:tcPr>
          <w:p w14:paraId="7849D2AB" w14:textId="77777777" w:rsidR="00C22ED3" w:rsidRPr="00C22ED3" w:rsidRDefault="00C22ED3" w:rsidP="00AA4BBB">
            <w:pPr>
              <w:jc w:val="center"/>
              <w:rPr>
                <w:rFonts w:cs="Arial"/>
                <w:sz w:val="20"/>
                <w:szCs w:val="20"/>
              </w:rPr>
            </w:pPr>
            <w:r w:rsidRPr="00C22ED3">
              <w:rPr>
                <w:rFonts w:cs="Arial"/>
                <w:sz w:val="20"/>
                <w:szCs w:val="20"/>
              </w:rPr>
              <w:lastRenderedPageBreak/>
              <w:t>100%</w:t>
            </w:r>
          </w:p>
        </w:tc>
        <w:tc>
          <w:tcPr>
            <w:tcW w:w="521" w:type="pct"/>
            <w:tcMar>
              <w:top w:w="30" w:type="dxa"/>
              <w:left w:w="45" w:type="dxa"/>
              <w:bottom w:w="30" w:type="dxa"/>
              <w:right w:w="45" w:type="dxa"/>
            </w:tcMar>
            <w:vAlign w:val="center"/>
            <w:hideMark/>
          </w:tcPr>
          <w:p w14:paraId="4323D036"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4FF78102"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651CF7F3"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23611765" w14:textId="77777777" w:rsidR="00C22ED3" w:rsidRPr="00C22ED3" w:rsidRDefault="00C22ED3" w:rsidP="00AA4BBB">
            <w:pPr>
              <w:jc w:val="center"/>
              <w:rPr>
                <w:rFonts w:cs="Arial"/>
                <w:b/>
                <w:bCs/>
                <w:sz w:val="20"/>
                <w:szCs w:val="20"/>
              </w:rPr>
            </w:pPr>
            <w:r w:rsidRPr="00C22ED3">
              <w:rPr>
                <w:rFonts w:cs="Arial"/>
                <w:b/>
                <w:bCs/>
                <w:sz w:val="20"/>
                <w:szCs w:val="20"/>
              </w:rPr>
              <w:t>52.399.938.348</w:t>
            </w:r>
          </w:p>
        </w:tc>
      </w:tr>
      <w:tr w:rsidR="00C22ED3" w:rsidRPr="00C22ED3" w14:paraId="2E503CA9" w14:textId="77777777" w:rsidTr="006A7921">
        <w:tc>
          <w:tcPr>
            <w:tcW w:w="2291" w:type="pct"/>
            <w:vMerge/>
            <w:vAlign w:val="center"/>
            <w:hideMark/>
          </w:tcPr>
          <w:p w14:paraId="37D60601"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28B128E2" w14:textId="77777777" w:rsidR="00C22ED3" w:rsidRPr="00C22ED3" w:rsidRDefault="00C22ED3" w:rsidP="00AA4BBB">
            <w:pPr>
              <w:jc w:val="center"/>
              <w:rPr>
                <w:rFonts w:cs="Arial"/>
                <w:sz w:val="20"/>
                <w:szCs w:val="20"/>
              </w:rPr>
            </w:pPr>
            <w:r w:rsidRPr="00C22ED3">
              <w:rPr>
                <w:rFonts w:cs="Arial"/>
                <w:sz w:val="20"/>
                <w:szCs w:val="20"/>
              </w:rPr>
              <w:t>9.381.400.000</w:t>
            </w:r>
          </w:p>
        </w:tc>
        <w:tc>
          <w:tcPr>
            <w:tcW w:w="521" w:type="pct"/>
            <w:tcMar>
              <w:top w:w="30" w:type="dxa"/>
              <w:left w:w="45" w:type="dxa"/>
              <w:bottom w:w="30" w:type="dxa"/>
              <w:right w:w="45" w:type="dxa"/>
            </w:tcMar>
            <w:vAlign w:val="center"/>
            <w:hideMark/>
          </w:tcPr>
          <w:p w14:paraId="2F7A3BBF" w14:textId="77777777" w:rsidR="00C22ED3" w:rsidRPr="00C22ED3" w:rsidRDefault="00C22ED3" w:rsidP="00AA4BBB">
            <w:pPr>
              <w:jc w:val="center"/>
              <w:rPr>
                <w:rFonts w:cs="Arial"/>
                <w:sz w:val="20"/>
                <w:szCs w:val="20"/>
              </w:rPr>
            </w:pPr>
            <w:r w:rsidRPr="00C22ED3">
              <w:rPr>
                <w:rFonts w:cs="Arial"/>
                <w:sz w:val="20"/>
                <w:szCs w:val="20"/>
              </w:rPr>
              <w:t>15.434.968.725</w:t>
            </w:r>
          </w:p>
        </w:tc>
        <w:tc>
          <w:tcPr>
            <w:tcW w:w="521" w:type="pct"/>
            <w:tcMar>
              <w:top w:w="30" w:type="dxa"/>
              <w:left w:w="45" w:type="dxa"/>
              <w:bottom w:w="30" w:type="dxa"/>
              <w:right w:w="45" w:type="dxa"/>
            </w:tcMar>
            <w:vAlign w:val="center"/>
            <w:hideMark/>
          </w:tcPr>
          <w:p w14:paraId="7F52D976" w14:textId="77777777" w:rsidR="00C22ED3" w:rsidRPr="00C22ED3" w:rsidRDefault="00C22ED3" w:rsidP="00AA4BBB">
            <w:pPr>
              <w:jc w:val="center"/>
              <w:rPr>
                <w:rFonts w:cs="Arial"/>
                <w:sz w:val="20"/>
                <w:szCs w:val="20"/>
              </w:rPr>
            </w:pPr>
            <w:r w:rsidRPr="00C22ED3">
              <w:rPr>
                <w:rFonts w:cs="Arial"/>
                <w:sz w:val="20"/>
                <w:szCs w:val="20"/>
              </w:rPr>
              <w:t>14.650.972.423</w:t>
            </w:r>
          </w:p>
        </w:tc>
        <w:tc>
          <w:tcPr>
            <w:tcW w:w="561" w:type="pct"/>
            <w:tcMar>
              <w:top w:w="30" w:type="dxa"/>
              <w:left w:w="45" w:type="dxa"/>
              <w:bottom w:w="30" w:type="dxa"/>
              <w:right w:w="45" w:type="dxa"/>
            </w:tcMar>
            <w:vAlign w:val="center"/>
            <w:hideMark/>
          </w:tcPr>
          <w:p w14:paraId="286D8439" w14:textId="77777777" w:rsidR="00C22ED3" w:rsidRPr="00C22ED3" w:rsidRDefault="00C22ED3" w:rsidP="00AA4BBB">
            <w:pPr>
              <w:jc w:val="center"/>
              <w:rPr>
                <w:rFonts w:cs="Arial"/>
                <w:sz w:val="20"/>
                <w:szCs w:val="20"/>
              </w:rPr>
            </w:pPr>
            <w:r w:rsidRPr="00C22ED3">
              <w:rPr>
                <w:rFonts w:cs="Arial"/>
                <w:sz w:val="20"/>
                <w:szCs w:val="20"/>
              </w:rPr>
              <w:t>12.932.597.199</w:t>
            </w:r>
          </w:p>
        </w:tc>
        <w:tc>
          <w:tcPr>
            <w:tcW w:w="549" w:type="pct"/>
            <w:vMerge/>
            <w:vAlign w:val="center"/>
            <w:hideMark/>
          </w:tcPr>
          <w:p w14:paraId="0C763808" w14:textId="77777777" w:rsidR="00C22ED3" w:rsidRPr="00C22ED3" w:rsidRDefault="00C22ED3" w:rsidP="00AA4BBB">
            <w:pPr>
              <w:rPr>
                <w:rFonts w:cs="Arial"/>
                <w:b/>
                <w:bCs/>
                <w:sz w:val="20"/>
                <w:szCs w:val="20"/>
              </w:rPr>
            </w:pPr>
          </w:p>
        </w:tc>
      </w:tr>
      <w:tr w:rsidR="00C22ED3" w:rsidRPr="00C22ED3" w14:paraId="11A9507F" w14:textId="77777777" w:rsidTr="006A7921">
        <w:tc>
          <w:tcPr>
            <w:tcW w:w="2291" w:type="pct"/>
            <w:vMerge w:val="restart"/>
            <w:tcMar>
              <w:top w:w="30" w:type="dxa"/>
              <w:left w:w="45" w:type="dxa"/>
              <w:bottom w:w="30" w:type="dxa"/>
              <w:right w:w="45" w:type="dxa"/>
            </w:tcMar>
            <w:vAlign w:val="center"/>
            <w:hideMark/>
          </w:tcPr>
          <w:p w14:paraId="5733EA3F" w14:textId="77777777" w:rsidR="00C22ED3" w:rsidRPr="00C22ED3" w:rsidRDefault="00C22ED3" w:rsidP="00AA4BBB">
            <w:pPr>
              <w:rPr>
                <w:rFonts w:cs="Arial"/>
                <w:sz w:val="20"/>
                <w:szCs w:val="20"/>
              </w:rPr>
            </w:pPr>
            <w:r w:rsidRPr="00C22ED3">
              <w:rPr>
                <w:rFonts w:cs="Arial"/>
                <w:sz w:val="20"/>
                <w:szCs w:val="20"/>
              </w:rPr>
              <w:t>Gestionar e implementar el plan integral de respuesta para la desvinculación del trabajo infantil del 100% de los niños niñas y adolescentes (NNA) identificados desde el sector salud.</w:t>
            </w:r>
          </w:p>
        </w:tc>
        <w:tc>
          <w:tcPr>
            <w:tcW w:w="556" w:type="pct"/>
            <w:tcMar>
              <w:top w:w="30" w:type="dxa"/>
              <w:left w:w="45" w:type="dxa"/>
              <w:bottom w:w="30" w:type="dxa"/>
              <w:right w:w="45" w:type="dxa"/>
            </w:tcMar>
            <w:vAlign w:val="center"/>
            <w:hideMark/>
          </w:tcPr>
          <w:p w14:paraId="7DAE5E55"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2565CEDA"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4DBD514B"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72E48AC0"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44ABE627" w14:textId="77777777" w:rsidR="00C22ED3" w:rsidRPr="00C22ED3" w:rsidRDefault="00C22ED3" w:rsidP="00AA4BBB">
            <w:pPr>
              <w:jc w:val="center"/>
              <w:rPr>
                <w:rFonts w:cs="Arial"/>
                <w:b/>
                <w:bCs/>
                <w:sz w:val="20"/>
                <w:szCs w:val="20"/>
              </w:rPr>
            </w:pPr>
            <w:r w:rsidRPr="00C22ED3">
              <w:rPr>
                <w:rFonts w:cs="Arial"/>
                <w:b/>
                <w:bCs/>
                <w:sz w:val="20"/>
                <w:szCs w:val="20"/>
              </w:rPr>
              <w:t>30.479.587.093</w:t>
            </w:r>
          </w:p>
        </w:tc>
      </w:tr>
      <w:tr w:rsidR="00C22ED3" w:rsidRPr="00C22ED3" w14:paraId="5C0BA6A7" w14:textId="77777777" w:rsidTr="006A7921">
        <w:tc>
          <w:tcPr>
            <w:tcW w:w="2291" w:type="pct"/>
            <w:vMerge/>
            <w:vAlign w:val="center"/>
            <w:hideMark/>
          </w:tcPr>
          <w:p w14:paraId="2781C1F3"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37FA4864" w14:textId="77777777" w:rsidR="00C22ED3" w:rsidRPr="00C22ED3" w:rsidRDefault="00C22ED3" w:rsidP="00AA4BBB">
            <w:pPr>
              <w:jc w:val="center"/>
              <w:rPr>
                <w:rFonts w:cs="Arial"/>
                <w:sz w:val="20"/>
                <w:szCs w:val="20"/>
              </w:rPr>
            </w:pPr>
            <w:r w:rsidRPr="00C22ED3">
              <w:rPr>
                <w:rFonts w:cs="Arial"/>
                <w:sz w:val="20"/>
                <w:szCs w:val="20"/>
              </w:rPr>
              <w:t>5.000.000.000</w:t>
            </w:r>
          </w:p>
        </w:tc>
        <w:tc>
          <w:tcPr>
            <w:tcW w:w="521" w:type="pct"/>
            <w:tcMar>
              <w:top w:w="30" w:type="dxa"/>
              <w:left w:w="45" w:type="dxa"/>
              <w:bottom w:w="30" w:type="dxa"/>
              <w:right w:w="45" w:type="dxa"/>
            </w:tcMar>
            <w:vAlign w:val="center"/>
            <w:hideMark/>
          </w:tcPr>
          <w:p w14:paraId="17B7F840" w14:textId="77777777" w:rsidR="00C22ED3" w:rsidRPr="00C22ED3" w:rsidRDefault="00C22ED3" w:rsidP="00AA4BBB">
            <w:pPr>
              <w:jc w:val="center"/>
              <w:rPr>
                <w:rFonts w:cs="Arial"/>
                <w:sz w:val="20"/>
                <w:szCs w:val="20"/>
              </w:rPr>
            </w:pPr>
            <w:r w:rsidRPr="00C22ED3">
              <w:rPr>
                <w:rFonts w:cs="Arial"/>
                <w:sz w:val="20"/>
                <w:szCs w:val="20"/>
              </w:rPr>
              <w:t>8.046.849.210</w:t>
            </w:r>
          </w:p>
        </w:tc>
        <w:tc>
          <w:tcPr>
            <w:tcW w:w="521" w:type="pct"/>
            <w:tcMar>
              <w:top w:w="30" w:type="dxa"/>
              <w:left w:w="45" w:type="dxa"/>
              <w:bottom w:w="30" w:type="dxa"/>
              <w:right w:w="45" w:type="dxa"/>
            </w:tcMar>
            <w:vAlign w:val="center"/>
            <w:hideMark/>
          </w:tcPr>
          <w:p w14:paraId="07BB7383" w14:textId="77777777" w:rsidR="00C22ED3" w:rsidRPr="00C22ED3" w:rsidRDefault="00C22ED3" w:rsidP="00AA4BBB">
            <w:pPr>
              <w:jc w:val="center"/>
              <w:rPr>
                <w:rFonts w:cs="Arial"/>
                <w:sz w:val="20"/>
                <w:szCs w:val="20"/>
              </w:rPr>
            </w:pPr>
            <w:r w:rsidRPr="00C22ED3">
              <w:rPr>
                <w:rFonts w:cs="Arial"/>
                <w:sz w:val="20"/>
                <w:szCs w:val="20"/>
              </w:rPr>
              <w:t>9.471.344.433</w:t>
            </w:r>
          </w:p>
        </w:tc>
        <w:tc>
          <w:tcPr>
            <w:tcW w:w="561" w:type="pct"/>
            <w:tcMar>
              <w:top w:w="30" w:type="dxa"/>
              <w:left w:w="45" w:type="dxa"/>
              <w:bottom w:w="30" w:type="dxa"/>
              <w:right w:w="45" w:type="dxa"/>
            </w:tcMar>
            <w:vAlign w:val="center"/>
            <w:hideMark/>
          </w:tcPr>
          <w:p w14:paraId="3D4B2E46" w14:textId="77777777" w:rsidR="00C22ED3" w:rsidRPr="00C22ED3" w:rsidRDefault="00C22ED3" w:rsidP="00AA4BBB">
            <w:pPr>
              <w:jc w:val="center"/>
              <w:rPr>
                <w:rFonts w:cs="Arial"/>
                <w:sz w:val="20"/>
                <w:szCs w:val="20"/>
              </w:rPr>
            </w:pPr>
            <w:r w:rsidRPr="00C22ED3">
              <w:rPr>
                <w:rFonts w:cs="Arial"/>
                <w:sz w:val="20"/>
                <w:szCs w:val="20"/>
              </w:rPr>
              <w:t>7.961.393.451</w:t>
            </w:r>
          </w:p>
        </w:tc>
        <w:tc>
          <w:tcPr>
            <w:tcW w:w="549" w:type="pct"/>
            <w:vMerge/>
            <w:vAlign w:val="center"/>
            <w:hideMark/>
          </w:tcPr>
          <w:p w14:paraId="083B0A6D" w14:textId="77777777" w:rsidR="00C22ED3" w:rsidRPr="00C22ED3" w:rsidRDefault="00C22ED3" w:rsidP="00AA4BBB">
            <w:pPr>
              <w:rPr>
                <w:rFonts w:cs="Arial"/>
                <w:b/>
                <w:bCs/>
                <w:sz w:val="20"/>
                <w:szCs w:val="20"/>
              </w:rPr>
            </w:pPr>
          </w:p>
        </w:tc>
      </w:tr>
      <w:tr w:rsidR="00C22ED3" w:rsidRPr="00C22ED3" w14:paraId="48933880" w14:textId="77777777" w:rsidTr="006A7921">
        <w:tc>
          <w:tcPr>
            <w:tcW w:w="2291" w:type="pct"/>
            <w:vMerge w:val="restart"/>
            <w:tcMar>
              <w:top w:w="30" w:type="dxa"/>
              <w:left w:w="45" w:type="dxa"/>
              <w:bottom w:w="30" w:type="dxa"/>
              <w:right w:w="45" w:type="dxa"/>
            </w:tcMar>
            <w:vAlign w:val="center"/>
            <w:hideMark/>
          </w:tcPr>
          <w:p w14:paraId="46053134" w14:textId="77777777" w:rsidR="00C22ED3" w:rsidRPr="00C22ED3" w:rsidRDefault="00C22ED3" w:rsidP="00AA4BBB">
            <w:pPr>
              <w:rPr>
                <w:rFonts w:cs="Arial"/>
                <w:sz w:val="20"/>
                <w:szCs w:val="20"/>
              </w:rPr>
            </w:pPr>
            <w:r w:rsidRPr="00C22ED3">
              <w:rPr>
                <w:rFonts w:cs="Arial"/>
                <w:sz w:val="20"/>
                <w:szCs w:val="20"/>
              </w:rPr>
              <w:t>Implementación del 75% del plan estratégico y operativo distrital en los nodos y actividades priorizadas a cargo del sector en el Plan estratégico y operativo distrital para el abordaje integral de la población expuesta y/o afectada por condiciones crónicas no transmisibles en los 7 nodos sectoriales e intersectoriales para la promoción mantenimiento de la salud y gestión integral de riesgo relacionado con las condiciones crónicas no transmisibles por el momento de curso vida.</w:t>
            </w:r>
          </w:p>
        </w:tc>
        <w:tc>
          <w:tcPr>
            <w:tcW w:w="556" w:type="pct"/>
            <w:tcMar>
              <w:top w:w="30" w:type="dxa"/>
              <w:left w:w="45" w:type="dxa"/>
              <w:bottom w:w="30" w:type="dxa"/>
              <w:right w:w="45" w:type="dxa"/>
            </w:tcMar>
            <w:vAlign w:val="center"/>
            <w:hideMark/>
          </w:tcPr>
          <w:p w14:paraId="503D7E3E" w14:textId="77777777" w:rsidR="00C22ED3" w:rsidRPr="00C22ED3" w:rsidRDefault="00C22ED3" w:rsidP="00AA4BBB">
            <w:pPr>
              <w:jc w:val="center"/>
              <w:rPr>
                <w:rFonts w:cs="Arial"/>
                <w:sz w:val="20"/>
                <w:szCs w:val="20"/>
              </w:rPr>
            </w:pPr>
            <w:r w:rsidRPr="00C22ED3">
              <w:rPr>
                <w:rFonts w:cs="Arial"/>
                <w:sz w:val="20"/>
                <w:szCs w:val="20"/>
              </w:rPr>
              <w:t>30%</w:t>
            </w:r>
          </w:p>
        </w:tc>
        <w:tc>
          <w:tcPr>
            <w:tcW w:w="521" w:type="pct"/>
            <w:tcMar>
              <w:top w:w="30" w:type="dxa"/>
              <w:left w:w="45" w:type="dxa"/>
              <w:bottom w:w="30" w:type="dxa"/>
              <w:right w:w="45" w:type="dxa"/>
            </w:tcMar>
            <w:vAlign w:val="center"/>
            <w:hideMark/>
          </w:tcPr>
          <w:p w14:paraId="6220EF02" w14:textId="77777777" w:rsidR="00C22ED3" w:rsidRPr="00C22ED3" w:rsidRDefault="00C22ED3" w:rsidP="00AA4BBB">
            <w:pPr>
              <w:jc w:val="center"/>
              <w:rPr>
                <w:rFonts w:cs="Arial"/>
                <w:sz w:val="20"/>
                <w:szCs w:val="20"/>
              </w:rPr>
            </w:pPr>
            <w:r w:rsidRPr="00C22ED3">
              <w:rPr>
                <w:rFonts w:cs="Arial"/>
                <w:sz w:val="20"/>
                <w:szCs w:val="20"/>
              </w:rPr>
              <w:t>50%</w:t>
            </w:r>
          </w:p>
        </w:tc>
        <w:tc>
          <w:tcPr>
            <w:tcW w:w="521" w:type="pct"/>
            <w:tcMar>
              <w:top w:w="30" w:type="dxa"/>
              <w:left w:w="45" w:type="dxa"/>
              <w:bottom w:w="30" w:type="dxa"/>
              <w:right w:w="45" w:type="dxa"/>
            </w:tcMar>
            <w:vAlign w:val="center"/>
            <w:hideMark/>
          </w:tcPr>
          <w:p w14:paraId="247DFB71" w14:textId="77777777" w:rsidR="00C22ED3" w:rsidRPr="00C22ED3" w:rsidRDefault="00C22ED3" w:rsidP="00AA4BBB">
            <w:pPr>
              <w:jc w:val="center"/>
              <w:rPr>
                <w:rFonts w:cs="Arial"/>
                <w:sz w:val="20"/>
                <w:szCs w:val="20"/>
              </w:rPr>
            </w:pPr>
            <w:r w:rsidRPr="00C22ED3">
              <w:rPr>
                <w:rFonts w:cs="Arial"/>
                <w:sz w:val="20"/>
                <w:szCs w:val="20"/>
              </w:rPr>
              <w:t>60%</w:t>
            </w:r>
          </w:p>
        </w:tc>
        <w:tc>
          <w:tcPr>
            <w:tcW w:w="561" w:type="pct"/>
            <w:tcMar>
              <w:top w:w="30" w:type="dxa"/>
              <w:left w:w="45" w:type="dxa"/>
              <w:bottom w:w="30" w:type="dxa"/>
              <w:right w:w="45" w:type="dxa"/>
            </w:tcMar>
            <w:vAlign w:val="center"/>
            <w:hideMark/>
          </w:tcPr>
          <w:p w14:paraId="1023DE1E" w14:textId="77777777" w:rsidR="00C22ED3" w:rsidRPr="00C22ED3" w:rsidRDefault="00C22ED3" w:rsidP="00AA4BBB">
            <w:pPr>
              <w:jc w:val="center"/>
              <w:rPr>
                <w:rFonts w:cs="Arial"/>
                <w:sz w:val="20"/>
                <w:szCs w:val="20"/>
              </w:rPr>
            </w:pPr>
            <w:r w:rsidRPr="00C22ED3">
              <w:rPr>
                <w:rFonts w:cs="Arial"/>
                <w:sz w:val="20"/>
                <w:szCs w:val="20"/>
              </w:rPr>
              <w:t>75%</w:t>
            </w:r>
          </w:p>
        </w:tc>
        <w:tc>
          <w:tcPr>
            <w:tcW w:w="549" w:type="pct"/>
            <w:vMerge w:val="restart"/>
            <w:tcMar>
              <w:top w:w="30" w:type="dxa"/>
              <w:left w:w="45" w:type="dxa"/>
              <w:bottom w:w="30" w:type="dxa"/>
              <w:right w:w="45" w:type="dxa"/>
            </w:tcMar>
            <w:vAlign w:val="center"/>
            <w:hideMark/>
          </w:tcPr>
          <w:p w14:paraId="4B0CE3FD" w14:textId="77777777" w:rsidR="00C22ED3" w:rsidRPr="00C22ED3" w:rsidRDefault="00C22ED3" w:rsidP="00AA4BBB">
            <w:pPr>
              <w:jc w:val="center"/>
              <w:rPr>
                <w:rFonts w:cs="Arial"/>
                <w:b/>
                <w:bCs/>
                <w:sz w:val="20"/>
                <w:szCs w:val="20"/>
              </w:rPr>
            </w:pPr>
            <w:r w:rsidRPr="00C22ED3">
              <w:rPr>
                <w:rFonts w:cs="Arial"/>
                <w:b/>
                <w:bCs/>
                <w:sz w:val="20"/>
                <w:szCs w:val="20"/>
              </w:rPr>
              <w:t>54.154.710.292</w:t>
            </w:r>
          </w:p>
        </w:tc>
      </w:tr>
      <w:tr w:rsidR="00C22ED3" w:rsidRPr="00C22ED3" w14:paraId="114EFB77" w14:textId="77777777" w:rsidTr="006A7921">
        <w:tc>
          <w:tcPr>
            <w:tcW w:w="2291" w:type="pct"/>
            <w:vMerge/>
            <w:vAlign w:val="center"/>
            <w:hideMark/>
          </w:tcPr>
          <w:p w14:paraId="52EB6D4D"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2CCD04E8" w14:textId="77777777" w:rsidR="00C22ED3" w:rsidRPr="00C22ED3" w:rsidRDefault="00C22ED3" w:rsidP="00AA4BBB">
            <w:pPr>
              <w:jc w:val="center"/>
              <w:rPr>
                <w:rFonts w:cs="Arial"/>
                <w:sz w:val="20"/>
                <w:szCs w:val="20"/>
              </w:rPr>
            </w:pPr>
            <w:r w:rsidRPr="00C22ED3">
              <w:rPr>
                <w:rFonts w:cs="Arial"/>
                <w:sz w:val="20"/>
                <w:szCs w:val="20"/>
              </w:rPr>
              <w:t>7.208.864.081</w:t>
            </w:r>
          </w:p>
        </w:tc>
        <w:tc>
          <w:tcPr>
            <w:tcW w:w="521" w:type="pct"/>
            <w:tcMar>
              <w:top w:w="30" w:type="dxa"/>
              <w:left w:w="45" w:type="dxa"/>
              <w:bottom w:w="30" w:type="dxa"/>
              <w:right w:w="45" w:type="dxa"/>
            </w:tcMar>
            <w:vAlign w:val="center"/>
            <w:hideMark/>
          </w:tcPr>
          <w:p w14:paraId="5041FB44" w14:textId="77777777" w:rsidR="00C22ED3" w:rsidRPr="00C22ED3" w:rsidRDefault="00C22ED3" w:rsidP="00AA4BBB">
            <w:pPr>
              <w:jc w:val="center"/>
              <w:rPr>
                <w:rFonts w:cs="Arial"/>
                <w:sz w:val="20"/>
                <w:szCs w:val="20"/>
              </w:rPr>
            </w:pPr>
            <w:r w:rsidRPr="00C22ED3">
              <w:rPr>
                <w:rFonts w:cs="Arial"/>
                <w:sz w:val="20"/>
                <w:szCs w:val="20"/>
              </w:rPr>
              <w:t>12.995.601.400</w:t>
            </w:r>
          </w:p>
        </w:tc>
        <w:tc>
          <w:tcPr>
            <w:tcW w:w="521" w:type="pct"/>
            <w:tcMar>
              <w:top w:w="30" w:type="dxa"/>
              <w:left w:w="45" w:type="dxa"/>
              <w:bottom w:w="30" w:type="dxa"/>
              <w:right w:w="45" w:type="dxa"/>
            </w:tcMar>
            <w:vAlign w:val="center"/>
            <w:hideMark/>
          </w:tcPr>
          <w:p w14:paraId="0E514862" w14:textId="77777777" w:rsidR="00C22ED3" w:rsidRPr="00C22ED3" w:rsidRDefault="00C22ED3" w:rsidP="00AA4BBB">
            <w:pPr>
              <w:jc w:val="center"/>
              <w:rPr>
                <w:rFonts w:cs="Arial"/>
                <w:sz w:val="20"/>
                <w:szCs w:val="20"/>
              </w:rPr>
            </w:pPr>
            <w:r w:rsidRPr="00C22ED3">
              <w:rPr>
                <w:rFonts w:cs="Arial"/>
                <w:sz w:val="20"/>
                <w:szCs w:val="20"/>
              </w:rPr>
              <w:t>18.437.334.297</w:t>
            </w:r>
          </w:p>
        </w:tc>
        <w:tc>
          <w:tcPr>
            <w:tcW w:w="561" w:type="pct"/>
            <w:tcMar>
              <w:top w:w="30" w:type="dxa"/>
              <w:left w:w="45" w:type="dxa"/>
              <w:bottom w:w="30" w:type="dxa"/>
              <w:right w:w="45" w:type="dxa"/>
            </w:tcMar>
            <w:vAlign w:val="center"/>
            <w:hideMark/>
          </w:tcPr>
          <w:p w14:paraId="5F52818F" w14:textId="77777777" w:rsidR="00C22ED3" w:rsidRPr="00C22ED3" w:rsidRDefault="00C22ED3" w:rsidP="00AA4BBB">
            <w:pPr>
              <w:jc w:val="center"/>
              <w:rPr>
                <w:rFonts w:cs="Arial"/>
                <w:sz w:val="20"/>
                <w:szCs w:val="20"/>
              </w:rPr>
            </w:pPr>
            <w:r w:rsidRPr="00C22ED3">
              <w:rPr>
                <w:rFonts w:cs="Arial"/>
                <w:sz w:val="20"/>
                <w:szCs w:val="20"/>
              </w:rPr>
              <w:t>15.512.910.514</w:t>
            </w:r>
          </w:p>
        </w:tc>
        <w:tc>
          <w:tcPr>
            <w:tcW w:w="549" w:type="pct"/>
            <w:vMerge/>
            <w:vAlign w:val="center"/>
            <w:hideMark/>
          </w:tcPr>
          <w:p w14:paraId="7B41405C" w14:textId="77777777" w:rsidR="00C22ED3" w:rsidRPr="00C22ED3" w:rsidRDefault="00C22ED3" w:rsidP="00AA4BBB">
            <w:pPr>
              <w:rPr>
                <w:rFonts w:cs="Arial"/>
                <w:b/>
                <w:bCs/>
                <w:sz w:val="20"/>
                <w:szCs w:val="20"/>
              </w:rPr>
            </w:pPr>
          </w:p>
        </w:tc>
      </w:tr>
      <w:tr w:rsidR="00C22ED3" w:rsidRPr="00C22ED3" w14:paraId="24FB2D60" w14:textId="77777777" w:rsidTr="006A7921">
        <w:tc>
          <w:tcPr>
            <w:tcW w:w="2291" w:type="pct"/>
            <w:vMerge w:val="restart"/>
            <w:tcMar>
              <w:top w:w="30" w:type="dxa"/>
              <w:left w:w="45" w:type="dxa"/>
              <w:bottom w:w="30" w:type="dxa"/>
              <w:right w:w="45" w:type="dxa"/>
            </w:tcMar>
            <w:vAlign w:val="center"/>
            <w:hideMark/>
          </w:tcPr>
          <w:p w14:paraId="1E11C964" w14:textId="77777777" w:rsidR="00C22ED3" w:rsidRPr="00C22ED3" w:rsidRDefault="00C22ED3" w:rsidP="00AA4BBB">
            <w:pPr>
              <w:rPr>
                <w:rFonts w:cs="Arial"/>
                <w:sz w:val="20"/>
                <w:szCs w:val="20"/>
              </w:rPr>
            </w:pPr>
            <w:r w:rsidRPr="00C22ED3">
              <w:rPr>
                <w:rFonts w:cs="Arial"/>
                <w:sz w:val="20"/>
                <w:szCs w:val="20"/>
              </w:rPr>
              <w:t>Implementar el 100% de las acciones del plan de acción de la estrategia intersectorial para la prevención del consumo de sustancias psicoactivas y la reducción de riesgos y daños en la población usuaria.</w:t>
            </w:r>
          </w:p>
        </w:tc>
        <w:tc>
          <w:tcPr>
            <w:tcW w:w="556" w:type="pct"/>
            <w:tcMar>
              <w:top w:w="30" w:type="dxa"/>
              <w:left w:w="45" w:type="dxa"/>
              <w:bottom w:w="30" w:type="dxa"/>
              <w:right w:w="45" w:type="dxa"/>
            </w:tcMar>
            <w:vAlign w:val="center"/>
            <w:hideMark/>
          </w:tcPr>
          <w:p w14:paraId="2B67CDE8"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4853092F"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349429FD"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331BA78D"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46F7A17E" w14:textId="77777777" w:rsidR="00C22ED3" w:rsidRPr="00C22ED3" w:rsidRDefault="00C22ED3" w:rsidP="00AA4BBB">
            <w:pPr>
              <w:jc w:val="center"/>
              <w:rPr>
                <w:rFonts w:cs="Arial"/>
                <w:b/>
                <w:bCs/>
                <w:sz w:val="20"/>
                <w:szCs w:val="20"/>
              </w:rPr>
            </w:pPr>
            <w:r w:rsidRPr="00C22ED3">
              <w:rPr>
                <w:rFonts w:cs="Arial"/>
                <w:b/>
                <w:bCs/>
                <w:sz w:val="20"/>
                <w:szCs w:val="20"/>
              </w:rPr>
              <w:t>30.370.085.965</w:t>
            </w:r>
          </w:p>
        </w:tc>
      </w:tr>
      <w:tr w:rsidR="00C22ED3" w:rsidRPr="00C22ED3" w14:paraId="6154F2D2" w14:textId="77777777" w:rsidTr="006A7921">
        <w:tc>
          <w:tcPr>
            <w:tcW w:w="2291" w:type="pct"/>
            <w:vMerge/>
            <w:vAlign w:val="center"/>
            <w:hideMark/>
          </w:tcPr>
          <w:p w14:paraId="5308841B"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08C0DD8C" w14:textId="77777777" w:rsidR="00C22ED3" w:rsidRPr="00C22ED3" w:rsidRDefault="00C22ED3" w:rsidP="00AA4BBB">
            <w:pPr>
              <w:jc w:val="center"/>
              <w:rPr>
                <w:rFonts w:cs="Arial"/>
                <w:sz w:val="20"/>
                <w:szCs w:val="20"/>
              </w:rPr>
            </w:pPr>
            <w:r w:rsidRPr="00C22ED3">
              <w:rPr>
                <w:rFonts w:cs="Arial"/>
                <w:sz w:val="20"/>
                <w:szCs w:val="20"/>
              </w:rPr>
              <w:t>5.956.698.000</w:t>
            </w:r>
          </w:p>
        </w:tc>
        <w:tc>
          <w:tcPr>
            <w:tcW w:w="521" w:type="pct"/>
            <w:tcMar>
              <w:top w:w="30" w:type="dxa"/>
              <w:left w:w="45" w:type="dxa"/>
              <w:bottom w:w="30" w:type="dxa"/>
              <w:right w:w="45" w:type="dxa"/>
            </w:tcMar>
            <w:vAlign w:val="center"/>
            <w:hideMark/>
          </w:tcPr>
          <w:p w14:paraId="6A000040" w14:textId="77777777" w:rsidR="00C22ED3" w:rsidRPr="00C22ED3" w:rsidRDefault="00C22ED3" w:rsidP="00AA4BBB">
            <w:pPr>
              <w:jc w:val="center"/>
              <w:rPr>
                <w:rFonts w:cs="Arial"/>
                <w:sz w:val="20"/>
                <w:szCs w:val="20"/>
              </w:rPr>
            </w:pPr>
            <w:r w:rsidRPr="00C22ED3">
              <w:rPr>
                <w:rFonts w:cs="Arial"/>
                <w:sz w:val="20"/>
                <w:szCs w:val="20"/>
              </w:rPr>
              <w:t>5.783.201.942</w:t>
            </w:r>
          </w:p>
        </w:tc>
        <w:tc>
          <w:tcPr>
            <w:tcW w:w="521" w:type="pct"/>
            <w:tcMar>
              <w:top w:w="30" w:type="dxa"/>
              <w:left w:w="45" w:type="dxa"/>
              <w:bottom w:w="30" w:type="dxa"/>
              <w:right w:w="45" w:type="dxa"/>
            </w:tcMar>
            <w:vAlign w:val="center"/>
            <w:hideMark/>
          </w:tcPr>
          <w:p w14:paraId="1D168087" w14:textId="77777777" w:rsidR="00C22ED3" w:rsidRPr="00C22ED3" w:rsidRDefault="00C22ED3" w:rsidP="00AA4BBB">
            <w:pPr>
              <w:jc w:val="center"/>
              <w:rPr>
                <w:rFonts w:cs="Arial"/>
                <w:sz w:val="20"/>
                <w:szCs w:val="20"/>
              </w:rPr>
            </w:pPr>
            <w:r w:rsidRPr="00C22ED3">
              <w:rPr>
                <w:rFonts w:cs="Arial"/>
                <w:sz w:val="20"/>
                <w:szCs w:val="20"/>
              </w:rPr>
              <w:t>9.452.754.485</w:t>
            </w:r>
          </w:p>
        </w:tc>
        <w:tc>
          <w:tcPr>
            <w:tcW w:w="561" w:type="pct"/>
            <w:tcMar>
              <w:top w:w="30" w:type="dxa"/>
              <w:left w:w="45" w:type="dxa"/>
              <w:bottom w:w="30" w:type="dxa"/>
              <w:right w:w="45" w:type="dxa"/>
            </w:tcMar>
            <w:vAlign w:val="center"/>
            <w:hideMark/>
          </w:tcPr>
          <w:p w14:paraId="034D7664" w14:textId="77777777" w:rsidR="00C22ED3" w:rsidRPr="00C22ED3" w:rsidRDefault="00C22ED3" w:rsidP="00AA4BBB">
            <w:pPr>
              <w:jc w:val="center"/>
              <w:rPr>
                <w:rFonts w:cs="Arial"/>
                <w:sz w:val="20"/>
                <w:szCs w:val="20"/>
              </w:rPr>
            </w:pPr>
            <w:r w:rsidRPr="00C22ED3">
              <w:rPr>
                <w:rFonts w:cs="Arial"/>
                <w:sz w:val="20"/>
                <w:szCs w:val="20"/>
              </w:rPr>
              <w:t>9.177.431.539</w:t>
            </w:r>
          </w:p>
        </w:tc>
        <w:tc>
          <w:tcPr>
            <w:tcW w:w="549" w:type="pct"/>
            <w:vMerge/>
            <w:vAlign w:val="center"/>
            <w:hideMark/>
          </w:tcPr>
          <w:p w14:paraId="4DC38869" w14:textId="77777777" w:rsidR="00C22ED3" w:rsidRPr="00C22ED3" w:rsidRDefault="00C22ED3" w:rsidP="00AA4BBB">
            <w:pPr>
              <w:rPr>
                <w:rFonts w:cs="Arial"/>
                <w:b/>
                <w:bCs/>
                <w:sz w:val="20"/>
                <w:szCs w:val="20"/>
              </w:rPr>
            </w:pPr>
          </w:p>
        </w:tc>
      </w:tr>
      <w:tr w:rsidR="00C22ED3" w:rsidRPr="00C22ED3" w14:paraId="540C90F4" w14:textId="77777777" w:rsidTr="006A7921">
        <w:tc>
          <w:tcPr>
            <w:tcW w:w="2291" w:type="pct"/>
            <w:vMerge w:val="restart"/>
            <w:tcMar>
              <w:top w:w="30" w:type="dxa"/>
              <w:left w:w="45" w:type="dxa"/>
              <w:bottom w:w="30" w:type="dxa"/>
              <w:right w:w="45" w:type="dxa"/>
            </w:tcMar>
            <w:vAlign w:val="center"/>
            <w:hideMark/>
          </w:tcPr>
          <w:p w14:paraId="12F4487F" w14:textId="77777777" w:rsidR="00C22ED3" w:rsidRPr="00C22ED3" w:rsidRDefault="00C22ED3" w:rsidP="00AA4BBB">
            <w:pPr>
              <w:rPr>
                <w:rFonts w:cs="Arial"/>
                <w:sz w:val="20"/>
                <w:szCs w:val="20"/>
              </w:rPr>
            </w:pPr>
            <w:r w:rsidRPr="00C22ED3">
              <w:rPr>
                <w:rFonts w:cs="Arial"/>
                <w:sz w:val="20"/>
                <w:szCs w:val="20"/>
              </w:rPr>
              <w:t xml:space="preserve">Implementar el 100% del plan de acción del comité </w:t>
            </w:r>
            <w:r w:rsidRPr="00C22ED3">
              <w:rPr>
                <w:rFonts w:cs="Arial"/>
                <w:sz w:val="20"/>
                <w:szCs w:val="20"/>
              </w:rPr>
              <w:lastRenderedPageBreak/>
              <w:t>de Fast Track Cities que permita cumplir los compromisos de la declaración de Sevilla suscrita por Bogotá. D.C.</w:t>
            </w:r>
          </w:p>
        </w:tc>
        <w:tc>
          <w:tcPr>
            <w:tcW w:w="556" w:type="pct"/>
            <w:tcMar>
              <w:top w:w="30" w:type="dxa"/>
              <w:left w:w="45" w:type="dxa"/>
              <w:bottom w:w="30" w:type="dxa"/>
              <w:right w:w="45" w:type="dxa"/>
            </w:tcMar>
            <w:vAlign w:val="center"/>
            <w:hideMark/>
          </w:tcPr>
          <w:p w14:paraId="408DDA52" w14:textId="77777777" w:rsidR="00C22ED3" w:rsidRPr="00C22ED3" w:rsidRDefault="00C22ED3" w:rsidP="00AA4BBB">
            <w:pPr>
              <w:jc w:val="center"/>
              <w:rPr>
                <w:rFonts w:cs="Arial"/>
                <w:sz w:val="20"/>
                <w:szCs w:val="20"/>
              </w:rPr>
            </w:pPr>
            <w:r w:rsidRPr="00C22ED3">
              <w:rPr>
                <w:rFonts w:cs="Arial"/>
                <w:sz w:val="20"/>
                <w:szCs w:val="20"/>
              </w:rPr>
              <w:lastRenderedPageBreak/>
              <w:t>100%</w:t>
            </w:r>
          </w:p>
        </w:tc>
        <w:tc>
          <w:tcPr>
            <w:tcW w:w="521" w:type="pct"/>
            <w:tcMar>
              <w:top w:w="30" w:type="dxa"/>
              <w:left w:w="45" w:type="dxa"/>
              <w:bottom w:w="30" w:type="dxa"/>
              <w:right w:w="45" w:type="dxa"/>
            </w:tcMar>
            <w:vAlign w:val="center"/>
            <w:hideMark/>
          </w:tcPr>
          <w:p w14:paraId="1CFD5FBF"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3F4EE1B4"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50357C86"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2EF6FB1F" w14:textId="77777777" w:rsidR="00C22ED3" w:rsidRPr="00C22ED3" w:rsidRDefault="00C22ED3" w:rsidP="00AA4BBB">
            <w:pPr>
              <w:jc w:val="center"/>
              <w:rPr>
                <w:rFonts w:cs="Arial"/>
                <w:b/>
                <w:bCs/>
                <w:sz w:val="20"/>
                <w:szCs w:val="20"/>
              </w:rPr>
            </w:pPr>
            <w:r w:rsidRPr="00C22ED3">
              <w:rPr>
                <w:rFonts w:cs="Arial"/>
                <w:b/>
                <w:bCs/>
                <w:sz w:val="20"/>
                <w:szCs w:val="20"/>
              </w:rPr>
              <w:t>7.969.950.579</w:t>
            </w:r>
          </w:p>
        </w:tc>
      </w:tr>
      <w:tr w:rsidR="00C22ED3" w:rsidRPr="00C22ED3" w14:paraId="0B24CF9E" w14:textId="77777777" w:rsidTr="006A7921">
        <w:tc>
          <w:tcPr>
            <w:tcW w:w="2291" w:type="pct"/>
            <w:vMerge/>
            <w:vAlign w:val="center"/>
            <w:hideMark/>
          </w:tcPr>
          <w:p w14:paraId="0121BF6E"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06B989D3" w14:textId="77777777" w:rsidR="00C22ED3" w:rsidRPr="00C22ED3" w:rsidRDefault="00C22ED3" w:rsidP="00AA4BBB">
            <w:pPr>
              <w:jc w:val="center"/>
              <w:rPr>
                <w:rFonts w:cs="Arial"/>
                <w:sz w:val="20"/>
                <w:szCs w:val="20"/>
              </w:rPr>
            </w:pPr>
            <w:r w:rsidRPr="00C22ED3">
              <w:rPr>
                <w:rFonts w:cs="Arial"/>
                <w:sz w:val="20"/>
                <w:szCs w:val="20"/>
              </w:rPr>
              <w:t>1.866.470.000</w:t>
            </w:r>
          </w:p>
        </w:tc>
        <w:tc>
          <w:tcPr>
            <w:tcW w:w="521" w:type="pct"/>
            <w:tcMar>
              <w:top w:w="30" w:type="dxa"/>
              <w:left w:w="45" w:type="dxa"/>
              <w:bottom w:w="30" w:type="dxa"/>
              <w:right w:w="45" w:type="dxa"/>
            </w:tcMar>
            <w:vAlign w:val="center"/>
            <w:hideMark/>
          </w:tcPr>
          <w:p w14:paraId="16E9133C" w14:textId="77777777" w:rsidR="00C22ED3" w:rsidRPr="00C22ED3" w:rsidRDefault="00C22ED3" w:rsidP="00AA4BBB">
            <w:pPr>
              <w:jc w:val="center"/>
              <w:rPr>
                <w:rFonts w:cs="Arial"/>
                <w:sz w:val="20"/>
                <w:szCs w:val="20"/>
              </w:rPr>
            </w:pPr>
            <w:r w:rsidRPr="00C22ED3">
              <w:rPr>
                <w:rFonts w:cs="Arial"/>
                <w:sz w:val="20"/>
                <w:szCs w:val="20"/>
              </w:rPr>
              <w:t>1.812.106.796</w:t>
            </w:r>
          </w:p>
        </w:tc>
        <w:tc>
          <w:tcPr>
            <w:tcW w:w="521" w:type="pct"/>
            <w:tcMar>
              <w:top w:w="30" w:type="dxa"/>
              <w:left w:w="45" w:type="dxa"/>
              <w:bottom w:w="30" w:type="dxa"/>
              <w:right w:w="45" w:type="dxa"/>
            </w:tcMar>
            <w:vAlign w:val="center"/>
            <w:hideMark/>
          </w:tcPr>
          <w:p w14:paraId="0693B0E4" w14:textId="77777777" w:rsidR="00C22ED3" w:rsidRPr="00C22ED3" w:rsidRDefault="00C22ED3" w:rsidP="00AA4BBB">
            <w:pPr>
              <w:jc w:val="center"/>
              <w:rPr>
                <w:rFonts w:cs="Arial"/>
                <w:sz w:val="20"/>
                <w:szCs w:val="20"/>
              </w:rPr>
            </w:pPr>
            <w:r w:rsidRPr="00C22ED3">
              <w:rPr>
                <w:rFonts w:cs="Arial"/>
                <w:sz w:val="20"/>
                <w:szCs w:val="20"/>
              </w:rPr>
              <w:t>2.177.396.550</w:t>
            </w:r>
          </w:p>
        </w:tc>
        <w:tc>
          <w:tcPr>
            <w:tcW w:w="561" w:type="pct"/>
            <w:tcMar>
              <w:top w:w="30" w:type="dxa"/>
              <w:left w:w="45" w:type="dxa"/>
              <w:bottom w:w="30" w:type="dxa"/>
              <w:right w:w="45" w:type="dxa"/>
            </w:tcMar>
            <w:vAlign w:val="center"/>
            <w:hideMark/>
          </w:tcPr>
          <w:p w14:paraId="6AF5CC9E" w14:textId="77777777" w:rsidR="00C22ED3" w:rsidRPr="00C22ED3" w:rsidRDefault="00C22ED3" w:rsidP="00AA4BBB">
            <w:pPr>
              <w:jc w:val="center"/>
              <w:rPr>
                <w:rFonts w:cs="Arial"/>
                <w:sz w:val="20"/>
                <w:szCs w:val="20"/>
              </w:rPr>
            </w:pPr>
            <w:r w:rsidRPr="00C22ED3">
              <w:rPr>
                <w:rFonts w:cs="Arial"/>
                <w:sz w:val="20"/>
                <w:szCs w:val="20"/>
              </w:rPr>
              <w:t>2.113.977.233</w:t>
            </w:r>
          </w:p>
        </w:tc>
        <w:tc>
          <w:tcPr>
            <w:tcW w:w="549" w:type="pct"/>
            <w:vMerge/>
            <w:vAlign w:val="center"/>
            <w:hideMark/>
          </w:tcPr>
          <w:p w14:paraId="72B7AAEA" w14:textId="77777777" w:rsidR="00C22ED3" w:rsidRPr="00C22ED3" w:rsidRDefault="00C22ED3" w:rsidP="00AA4BBB">
            <w:pPr>
              <w:rPr>
                <w:rFonts w:cs="Arial"/>
                <w:b/>
                <w:bCs/>
                <w:sz w:val="20"/>
                <w:szCs w:val="20"/>
              </w:rPr>
            </w:pPr>
          </w:p>
        </w:tc>
      </w:tr>
      <w:tr w:rsidR="00C22ED3" w:rsidRPr="00C22ED3" w14:paraId="4A477ED5" w14:textId="77777777" w:rsidTr="006A7921">
        <w:tc>
          <w:tcPr>
            <w:tcW w:w="2291" w:type="pct"/>
            <w:vMerge w:val="restart"/>
            <w:tcMar>
              <w:top w:w="30" w:type="dxa"/>
              <w:left w:w="45" w:type="dxa"/>
              <w:bottom w:w="30" w:type="dxa"/>
              <w:right w:w="45" w:type="dxa"/>
            </w:tcMar>
            <w:vAlign w:val="center"/>
            <w:hideMark/>
          </w:tcPr>
          <w:p w14:paraId="1E3D9693" w14:textId="77777777" w:rsidR="00C22ED3" w:rsidRPr="00C22ED3" w:rsidRDefault="00C22ED3" w:rsidP="00AA4BBB">
            <w:pPr>
              <w:rPr>
                <w:rFonts w:cs="Arial"/>
                <w:sz w:val="20"/>
                <w:szCs w:val="20"/>
              </w:rPr>
            </w:pPr>
            <w:r w:rsidRPr="00C22ED3">
              <w:rPr>
                <w:rFonts w:cs="Arial"/>
                <w:sz w:val="20"/>
                <w:szCs w:val="20"/>
              </w:rPr>
              <w:t>Implementar el 100% el plan de prevención y atención a la conducta suicida en Bogotá D.C.</w:t>
            </w:r>
          </w:p>
        </w:tc>
        <w:tc>
          <w:tcPr>
            <w:tcW w:w="556" w:type="pct"/>
            <w:tcMar>
              <w:top w:w="30" w:type="dxa"/>
              <w:left w:w="45" w:type="dxa"/>
              <w:bottom w:w="30" w:type="dxa"/>
              <w:right w:w="45" w:type="dxa"/>
            </w:tcMar>
            <w:vAlign w:val="center"/>
            <w:hideMark/>
          </w:tcPr>
          <w:p w14:paraId="3BC64564"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4060EBD0"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61436646"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71B771DB"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2597C403" w14:textId="77777777" w:rsidR="00C22ED3" w:rsidRPr="00C22ED3" w:rsidRDefault="00C22ED3" w:rsidP="00AA4BBB">
            <w:pPr>
              <w:jc w:val="center"/>
              <w:rPr>
                <w:rFonts w:cs="Arial"/>
                <w:b/>
                <w:bCs/>
                <w:sz w:val="20"/>
                <w:szCs w:val="20"/>
              </w:rPr>
            </w:pPr>
            <w:r w:rsidRPr="00C22ED3">
              <w:rPr>
                <w:rFonts w:cs="Arial"/>
                <w:b/>
                <w:bCs/>
                <w:sz w:val="20"/>
                <w:szCs w:val="20"/>
              </w:rPr>
              <w:t>129.353.712.258</w:t>
            </w:r>
          </w:p>
        </w:tc>
      </w:tr>
      <w:tr w:rsidR="00C22ED3" w:rsidRPr="00C22ED3" w14:paraId="61E04915" w14:textId="77777777" w:rsidTr="006A7921">
        <w:tc>
          <w:tcPr>
            <w:tcW w:w="2291" w:type="pct"/>
            <w:vMerge/>
            <w:vAlign w:val="center"/>
            <w:hideMark/>
          </w:tcPr>
          <w:p w14:paraId="33D97FC1"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3A06E8CE" w14:textId="77777777" w:rsidR="00C22ED3" w:rsidRPr="00C22ED3" w:rsidRDefault="00C22ED3" w:rsidP="00AA4BBB">
            <w:pPr>
              <w:jc w:val="center"/>
              <w:rPr>
                <w:rFonts w:cs="Arial"/>
                <w:sz w:val="20"/>
                <w:szCs w:val="20"/>
              </w:rPr>
            </w:pPr>
            <w:r w:rsidRPr="00C22ED3">
              <w:rPr>
                <w:rFonts w:cs="Arial"/>
                <w:sz w:val="20"/>
                <w:szCs w:val="20"/>
              </w:rPr>
              <w:t>16.277.628.000</w:t>
            </w:r>
          </w:p>
        </w:tc>
        <w:tc>
          <w:tcPr>
            <w:tcW w:w="521" w:type="pct"/>
            <w:tcMar>
              <w:top w:w="30" w:type="dxa"/>
              <w:left w:w="45" w:type="dxa"/>
              <w:bottom w:w="30" w:type="dxa"/>
              <w:right w:w="45" w:type="dxa"/>
            </w:tcMar>
            <w:vAlign w:val="center"/>
            <w:hideMark/>
          </w:tcPr>
          <w:p w14:paraId="361DEA92" w14:textId="77777777" w:rsidR="00C22ED3" w:rsidRPr="00C22ED3" w:rsidRDefault="00C22ED3" w:rsidP="00AA4BBB">
            <w:pPr>
              <w:jc w:val="center"/>
              <w:rPr>
                <w:rFonts w:cs="Arial"/>
                <w:sz w:val="20"/>
                <w:szCs w:val="20"/>
              </w:rPr>
            </w:pPr>
            <w:r w:rsidRPr="00C22ED3">
              <w:rPr>
                <w:rFonts w:cs="Arial"/>
                <w:sz w:val="20"/>
                <w:szCs w:val="20"/>
              </w:rPr>
              <w:t>35.844.686.083</w:t>
            </w:r>
          </w:p>
        </w:tc>
        <w:tc>
          <w:tcPr>
            <w:tcW w:w="521" w:type="pct"/>
            <w:tcMar>
              <w:top w:w="30" w:type="dxa"/>
              <w:left w:w="45" w:type="dxa"/>
              <w:bottom w:w="30" w:type="dxa"/>
              <w:right w:w="45" w:type="dxa"/>
            </w:tcMar>
            <w:vAlign w:val="center"/>
            <w:hideMark/>
          </w:tcPr>
          <w:p w14:paraId="34BCC4AC" w14:textId="77777777" w:rsidR="00C22ED3" w:rsidRPr="00C22ED3" w:rsidRDefault="00C22ED3" w:rsidP="00AA4BBB">
            <w:pPr>
              <w:jc w:val="center"/>
              <w:rPr>
                <w:rFonts w:cs="Arial"/>
                <w:sz w:val="20"/>
                <w:szCs w:val="20"/>
              </w:rPr>
            </w:pPr>
            <w:r w:rsidRPr="00C22ED3">
              <w:rPr>
                <w:rFonts w:cs="Arial"/>
                <w:sz w:val="20"/>
                <w:szCs w:val="20"/>
              </w:rPr>
              <w:t>40.498.333.187</w:t>
            </w:r>
          </w:p>
        </w:tc>
        <w:tc>
          <w:tcPr>
            <w:tcW w:w="561" w:type="pct"/>
            <w:tcMar>
              <w:top w:w="30" w:type="dxa"/>
              <w:left w:w="45" w:type="dxa"/>
              <w:bottom w:w="30" w:type="dxa"/>
              <w:right w:w="45" w:type="dxa"/>
            </w:tcMar>
            <w:vAlign w:val="center"/>
            <w:hideMark/>
          </w:tcPr>
          <w:p w14:paraId="48D1C7F6" w14:textId="77777777" w:rsidR="00C22ED3" w:rsidRPr="00C22ED3" w:rsidRDefault="00C22ED3" w:rsidP="00AA4BBB">
            <w:pPr>
              <w:jc w:val="center"/>
              <w:rPr>
                <w:rFonts w:cs="Arial"/>
                <w:sz w:val="20"/>
                <w:szCs w:val="20"/>
              </w:rPr>
            </w:pPr>
            <w:r w:rsidRPr="00C22ED3">
              <w:rPr>
                <w:rFonts w:cs="Arial"/>
                <w:sz w:val="20"/>
                <w:szCs w:val="20"/>
              </w:rPr>
              <w:t>36.733.064.988</w:t>
            </w:r>
          </w:p>
        </w:tc>
        <w:tc>
          <w:tcPr>
            <w:tcW w:w="549" w:type="pct"/>
            <w:vMerge/>
            <w:vAlign w:val="center"/>
            <w:hideMark/>
          </w:tcPr>
          <w:p w14:paraId="32F0FB2A" w14:textId="77777777" w:rsidR="00C22ED3" w:rsidRPr="00C22ED3" w:rsidRDefault="00C22ED3" w:rsidP="00AA4BBB">
            <w:pPr>
              <w:rPr>
                <w:rFonts w:cs="Arial"/>
                <w:b/>
                <w:bCs/>
                <w:sz w:val="20"/>
                <w:szCs w:val="20"/>
              </w:rPr>
            </w:pPr>
          </w:p>
        </w:tc>
      </w:tr>
      <w:tr w:rsidR="00C22ED3" w:rsidRPr="00C22ED3" w14:paraId="1C0C2D80" w14:textId="77777777" w:rsidTr="006A7921">
        <w:tc>
          <w:tcPr>
            <w:tcW w:w="2291" w:type="pct"/>
            <w:vMerge w:val="restart"/>
            <w:tcMar>
              <w:top w:w="30" w:type="dxa"/>
              <w:left w:w="45" w:type="dxa"/>
              <w:bottom w:w="30" w:type="dxa"/>
              <w:right w:w="45" w:type="dxa"/>
            </w:tcMar>
            <w:vAlign w:val="center"/>
            <w:hideMark/>
          </w:tcPr>
          <w:p w14:paraId="746087C3" w14:textId="77777777" w:rsidR="00C22ED3" w:rsidRPr="00C22ED3" w:rsidRDefault="00C22ED3" w:rsidP="00AA4BBB">
            <w:pPr>
              <w:rPr>
                <w:rFonts w:cs="Arial"/>
                <w:sz w:val="20"/>
                <w:szCs w:val="20"/>
              </w:rPr>
            </w:pPr>
            <w:r w:rsidRPr="00C22ED3">
              <w:rPr>
                <w:rFonts w:cs="Arial"/>
                <w:sz w:val="20"/>
                <w:szCs w:val="20"/>
              </w:rPr>
              <w:t>Implementar en 100% el Plan de Acción de transformación digital del sector salud que permitan desarrollar la puesta en marcha de un sistema de información interoperable sectorial e intersectorial para la operación monitoreo y divulgación de resultados de la Atención Primaria Social en pro del bienestar de la población de Bogotá D.C.</w:t>
            </w:r>
          </w:p>
        </w:tc>
        <w:tc>
          <w:tcPr>
            <w:tcW w:w="556" w:type="pct"/>
            <w:tcMar>
              <w:top w:w="30" w:type="dxa"/>
              <w:left w:w="45" w:type="dxa"/>
              <w:bottom w:w="30" w:type="dxa"/>
              <w:right w:w="45" w:type="dxa"/>
            </w:tcMar>
            <w:vAlign w:val="center"/>
            <w:hideMark/>
          </w:tcPr>
          <w:p w14:paraId="36453B94"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190B5A6F"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63991A9B"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039E94B0"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75BAD862" w14:textId="77777777" w:rsidR="00C22ED3" w:rsidRPr="00C22ED3" w:rsidRDefault="00C22ED3" w:rsidP="00AA4BBB">
            <w:pPr>
              <w:jc w:val="center"/>
              <w:rPr>
                <w:rFonts w:cs="Arial"/>
                <w:b/>
                <w:bCs/>
                <w:sz w:val="20"/>
                <w:szCs w:val="20"/>
              </w:rPr>
            </w:pPr>
            <w:r w:rsidRPr="00C22ED3">
              <w:rPr>
                <w:rFonts w:cs="Arial"/>
                <w:b/>
                <w:bCs/>
                <w:sz w:val="20"/>
                <w:szCs w:val="20"/>
              </w:rPr>
              <w:t>33.714.054.610</w:t>
            </w:r>
          </w:p>
        </w:tc>
      </w:tr>
      <w:tr w:rsidR="00C22ED3" w:rsidRPr="00C22ED3" w14:paraId="0FF4199E" w14:textId="77777777" w:rsidTr="006A7921">
        <w:tc>
          <w:tcPr>
            <w:tcW w:w="2291" w:type="pct"/>
            <w:vMerge/>
            <w:vAlign w:val="center"/>
            <w:hideMark/>
          </w:tcPr>
          <w:p w14:paraId="1A3A51C2"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4A5F332D" w14:textId="77777777" w:rsidR="00C22ED3" w:rsidRPr="00C22ED3" w:rsidRDefault="00C22ED3" w:rsidP="00AA4BBB">
            <w:pPr>
              <w:jc w:val="center"/>
              <w:rPr>
                <w:rFonts w:cs="Arial"/>
                <w:sz w:val="20"/>
                <w:szCs w:val="20"/>
              </w:rPr>
            </w:pPr>
            <w:r w:rsidRPr="00C22ED3">
              <w:rPr>
                <w:rFonts w:cs="Arial"/>
                <w:sz w:val="20"/>
                <w:szCs w:val="20"/>
              </w:rPr>
              <w:t>9.045.000.000</w:t>
            </w:r>
          </w:p>
        </w:tc>
        <w:tc>
          <w:tcPr>
            <w:tcW w:w="521" w:type="pct"/>
            <w:tcMar>
              <w:top w:w="30" w:type="dxa"/>
              <w:left w:w="45" w:type="dxa"/>
              <w:bottom w:w="30" w:type="dxa"/>
              <w:right w:w="45" w:type="dxa"/>
            </w:tcMar>
            <w:vAlign w:val="center"/>
            <w:hideMark/>
          </w:tcPr>
          <w:p w14:paraId="413B2BED" w14:textId="77777777" w:rsidR="00C22ED3" w:rsidRPr="00C22ED3" w:rsidRDefault="00C22ED3" w:rsidP="00AA4BBB">
            <w:pPr>
              <w:jc w:val="center"/>
              <w:rPr>
                <w:rFonts w:cs="Arial"/>
                <w:sz w:val="20"/>
                <w:szCs w:val="20"/>
              </w:rPr>
            </w:pPr>
            <w:r w:rsidRPr="00C22ED3">
              <w:rPr>
                <w:rFonts w:cs="Arial"/>
                <w:sz w:val="20"/>
                <w:szCs w:val="20"/>
              </w:rPr>
              <w:t>14.704.854.369</w:t>
            </w:r>
          </w:p>
        </w:tc>
        <w:tc>
          <w:tcPr>
            <w:tcW w:w="521" w:type="pct"/>
            <w:tcMar>
              <w:top w:w="30" w:type="dxa"/>
              <w:left w:w="45" w:type="dxa"/>
              <w:bottom w:w="30" w:type="dxa"/>
              <w:right w:w="45" w:type="dxa"/>
            </w:tcMar>
            <w:vAlign w:val="center"/>
            <w:hideMark/>
          </w:tcPr>
          <w:p w14:paraId="1610F020" w14:textId="77777777" w:rsidR="00C22ED3" w:rsidRPr="00C22ED3" w:rsidRDefault="00C22ED3" w:rsidP="00AA4BBB">
            <w:pPr>
              <w:jc w:val="center"/>
              <w:rPr>
                <w:rFonts w:cs="Arial"/>
                <w:sz w:val="20"/>
                <w:szCs w:val="20"/>
              </w:rPr>
            </w:pPr>
            <w:r w:rsidRPr="00C22ED3">
              <w:rPr>
                <w:rFonts w:cs="Arial"/>
                <w:sz w:val="20"/>
                <w:szCs w:val="20"/>
              </w:rPr>
              <w:t>7.641.570.710</w:t>
            </w:r>
          </w:p>
        </w:tc>
        <w:tc>
          <w:tcPr>
            <w:tcW w:w="561" w:type="pct"/>
            <w:tcMar>
              <w:top w:w="30" w:type="dxa"/>
              <w:left w:w="45" w:type="dxa"/>
              <w:bottom w:w="30" w:type="dxa"/>
              <w:right w:w="45" w:type="dxa"/>
            </w:tcMar>
            <w:vAlign w:val="center"/>
            <w:hideMark/>
          </w:tcPr>
          <w:p w14:paraId="22D8CAFA" w14:textId="77777777" w:rsidR="00C22ED3" w:rsidRPr="00C22ED3" w:rsidRDefault="00C22ED3" w:rsidP="00AA4BBB">
            <w:pPr>
              <w:jc w:val="center"/>
              <w:rPr>
                <w:rFonts w:cs="Arial"/>
                <w:sz w:val="20"/>
                <w:szCs w:val="20"/>
              </w:rPr>
            </w:pPr>
            <w:r w:rsidRPr="00C22ED3">
              <w:rPr>
                <w:rFonts w:cs="Arial"/>
                <w:sz w:val="20"/>
                <w:szCs w:val="20"/>
              </w:rPr>
              <w:t>2.322.629.531</w:t>
            </w:r>
          </w:p>
        </w:tc>
        <w:tc>
          <w:tcPr>
            <w:tcW w:w="549" w:type="pct"/>
            <w:vMerge/>
            <w:vAlign w:val="center"/>
            <w:hideMark/>
          </w:tcPr>
          <w:p w14:paraId="71EF9A01" w14:textId="77777777" w:rsidR="00C22ED3" w:rsidRPr="00C22ED3" w:rsidRDefault="00C22ED3" w:rsidP="00AA4BBB">
            <w:pPr>
              <w:rPr>
                <w:rFonts w:cs="Arial"/>
                <w:b/>
                <w:bCs/>
                <w:sz w:val="20"/>
                <w:szCs w:val="20"/>
              </w:rPr>
            </w:pPr>
          </w:p>
        </w:tc>
      </w:tr>
      <w:tr w:rsidR="00C22ED3" w:rsidRPr="00C22ED3" w14:paraId="15B4617E" w14:textId="77777777" w:rsidTr="006A7921">
        <w:tc>
          <w:tcPr>
            <w:tcW w:w="2291" w:type="pct"/>
            <w:vMerge w:val="restart"/>
            <w:tcMar>
              <w:top w:w="30" w:type="dxa"/>
              <w:left w:w="45" w:type="dxa"/>
              <w:bottom w:w="30" w:type="dxa"/>
              <w:right w:w="45" w:type="dxa"/>
            </w:tcMar>
            <w:vAlign w:val="center"/>
            <w:hideMark/>
          </w:tcPr>
          <w:p w14:paraId="2287829D" w14:textId="77777777" w:rsidR="00C22ED3" w:rsidRPr="00C22ED3" w:rsidRDefault="00C22ED3" w:rsidP="00AA4BBB">
            <w:pPr>
              <w:rPr>
                <w:rFonts w:cs="Arial"/>
                <w:sz w:val="20"/>
                <w:szCs w:val="20"/>
              </w:rPr>
            </w:pPr>
            <w:r w:rsidRPr="00C22ED3">
              <w:rPr>
                <w:rFonts w:cs="Arial"/>
                <w:sz w:val="20"/>
                <w:szCs w:val="20"/>
              </w:rPr>
              <w:t>Implementar una red intersectorial y comunitaria de salud ambiental por localidad.</w:t>
            </w:r>
          </w:p>
        </w:tc>
        <w:tc>
          <w:tcPr>
            <w:tcW w:w="556" w:type="pct"/>
            <w:tcMar>
              <w:top w:w="30" w:type="dxa"/>
              <w:left w:w="45" w:type="dxa"/>
              <w:bottom w:w="30" w:type="dxa"/>
              <w:right w:w="45" w:type="dxa"/>
            </w:tcMar>
            <w:vAlign w:val="center"/>
            <w:hideMark/>
          </w:tcPr>
          <w:p w14:paraId="43AA8E10" w14:textId="77777777" w:rsidR="00C22ED3" w:rsidRPr="00C22ED3" w:rsidRDefault="00C22ED3" w:rsidP="00AA4BBB">
            <w:pPr>
              <w:jc w:val="center"/>
              <w:rPr>
                <w:rFonts w:cs="Arial"/>
                <w:sz w:val="20"/>
                <w:szCs w:val="20"/>
              </w:rPr>
            </w:pPr>
            <w:r w:rsidRPr="00C22ED3">
              <w:rPr>
                <w:rFonts w:cs="Arial"/>
                <w:sz w:val="20"/>
                <w:szCs w:val="20"/>
              </w:rPr>
              <w:t>0</w:t>
            </w:r>
          </w:p>
        </w:tc>
        <w:tc>
          <w:tcPr>
            <w:tcW w:w="521" w:type="pct"/>
            <w:tcMar>
              <w:top w:w="30" w:type="dxa"/>
              <w:left w:w="45" w:type="dxa"/>
              <w:bottom w:w="30" w:type="dxa"/>
              <w:right w:w="45" w:type="dxa"/>
            </w:tcMar>
            <w:vAlign w:val="center"/>
            <w:hideMark/>
          </w:tcPr>
          <w:p w14:paraId="0118CB2A" w14:textId="77777777" w:rsidR="00C22ED3" w:rsidRPr="00C22ED3" w:rsidRDefault="00C22ED3" w:rsidP="00AA4BBB">
            <w:pPr>
              <w:jc w:val="center"/>
              <w:rPr>
                <w:rFonts w:cs="Arial"/>
                <w:sz w:val="20"/>
                <w:szCs w:val="20"/>
              </w:rPr>
            </w:pPr>
            <w:r w:rsidRPr="00C22ED3">
              <w:rPr>
                <w:rFonts w:cs="Arial"/>
                <w:sz w:val="20"/>
                <w:szCs w:val="20"/>
              </w:rPr>
              <w:t>1</w:t>
            </w:r>
          </w:p>
        </w:tc>
        <w:tc>
          <w:tcPr>
            <w:tcW w:w="521" w:type="pct"/>
            <w:tcMar>
              <w:top w:w="30" w:type="dxa"/>
              <w:left w:w="45" w:type="dxa"/>
              <w:bottom w:w="30" w:type="dxa"/>
              <w:right w:w="45" w:type="dxa"/>
            </w:tcMar>
            <w:vAlign w:val="center"/>
            <w:hideMark/>
          </w:tcPr>
          <w:p w14:paraId="2F36CB72" w14:textId="77777777" w:rsidR="00C22ED3" w:rsidRPr="00C22ED3" w:rsidRDefault="00C22ED3" w:rsidP="00AA4BBB">
            <w:pPr>
              <w:jc w:val="center"/>
              <w:rPr>
                <w:rFonts w:cs="Arial"/>
                <w:sz w:val="20"/>
                <w:szCs w:val="20"/>
              </w:rPr>
            </w:pPr>
            <w:r w:rsidRPr="00C22ED3">
              <w:rPr>
                <w:rFonts w:cs="Arial"/>
                <w:sz w:val="20"/>
                <w:szCs w:val="20"/>
              </w:rPr>
              <w:t>1</w:t>
            </w:r>
          </w:p>
        </w:tc>
        <w:tc>
          <w:tcPr>
            <w:tcW w:w="561" w:type="pct"/>
            <w:tcMar>
              <w:top w:w="30" w:type="dxa"/>
              <w:left w:w="45" w:type="dxa"/>
              <w:bottom w:w="30" w:type="dxa"/>
              <w:right w:w="45" w:type="dxa"/>
            </w:tcMar>
            <w:vAlign w:val="center"/>
            <w:hideMark/>
          </w:tcPr>
          <w:p w14:paraId="6427AF4D" w14:textId="77777777" w:rsidR="00C22ED3" w:rsidRPr="00C22ED3" w:rsidRDefault="00C22ED3" w:rsidP="00AA4BBB">
            <w:pPr>
              <w:jc w:val="center"/>
              <w:rPr>
                <w:rFonts w:cs="Arial"/>
                <w:sz w:val="20"/>
                <w:szCs w:val="20"/>
              </w:rPr>
            </w:pPr>
            <w:r w:rsidRPr="00C22ED3">
              <w:rPr>
                <w:rFonts w:cs="Arial"/>
                <w:sz w:val="20"/>
                <w:szCs w:val="20"/>
              </w:rPr>
              <w:t>1</w:t>
            </w:r>
          </w:p>
        </w:tc>
        <w:tc>
          <w:tcPr>
            <w:tcW w:w="549" w:type="pct"/>
            <w:vMerge w:val="restart"/>
            <w:tcMar>
              <w:top w:w="30" w:type="dxa"/>
              <w:left w:w="45" w:type="dxa"/>
              <w:bottom w:w="30" w:type="dxa"/>
              <w:right w:w="45" w:type="dxa"/>
            </w:tcMar>
            <w:vAlign w:val="center"/>
            <w:hideMark/>
          </w:tcPr>
          <w:p w14:paraId="617D0EF9" w14:textId="77777777" w:rsidR="00C22ED3" w:rsidRPr="00C22ED3" w:rsidRDefault="00C22ED3" w:rsidP="00AA4BBB">
            <w:pPr>
              <w:jc w:val="center"/>
              <w:rPr>
                <w:rFonts w:cs="Arial"/>
                <w:b/>
                <w:bCs/>
                <w:sz w:val="20"/>
                <w:szCs w:val="20"/>
              </w:rPr>
            </w:pPr>
            <w:r w:rsidRPr="00C22ED3">
              <w:rPr>
                <w:rFonts w:cs="Arial"/>
                <w:b/>
                <w:bCs/>
                <w:sz w:val="20"/>
                <w:szCs w:val="20"/>
              </w:rPr>
              <w:t>268.619.552.141</w:t>
            </w:r>
          </w:p>
        </w:tc>
      </w:tr>
      <w:tr w:rsidR="00C22ED3" w:rsidRPr="00C22ED3" w14:paraId="77B12492" w14:textId="77777777" w:rsidTr="006A7921">
        <w:tc>
          <w:tcPr>
            <w:tcW w:w="2291" w:type="pct"/>
            <w:vMerge/>
            <w:vAlign w:val="center"/>
            <w:hideMark/>
          </w:tcPr>
          <w:p w14:paraId="440CDBFD"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3C60621C" w14:textId="77777777" w:rsidR="00C22ED3" w:rsidRPr="00C22ED3" w:rsidRDefault="00C22ED3" w:rsidP="00AA4BBB">
            <w:pPr>
              <w:jc w:val="center"/>
              <w:rPr>
                <w:rFonts w:cs="Arial"/>
                <w:sz w:val="20"/>
                <w:szCs w:val="20"/>
              </w:rPr>
            </w:pPr>
            <w:r w:rsidRPr="00C22ED3">
              <w:rPr>
                <w:rFonts w:cs="Arial"/>
                <w:sz w:val="20"/>
                <w:szCs w:val="20"/>
              </w:rPr>
              <w:t>43.965.900.263</w:t>
            </w:r>
          </w:p>
        </w:tc>
        <w:tc>
          <w:tcPr>
            <w:tcW w:w="521" w:type="pct"/>
            <w:tcMar>
              <w:top w:w="30" w:type="dxa"/>
              <w:left w:w="45" w:type="dxa"/>
              <w:bottom w:w="30" w:type="dxa"/>
              <w:right w:w="45" w:type="dxa"/>
            </w:tcMar>
            <w:vAlign w:val="center"/>
            <w:hideMark/>
          </w:tcPr>
          <w:p w14:paraId="58A0A6E9" w14:textId="77777777" w:rsidR="00C22ED3" w:rsidRPr="00C22ED3" w:rsidRDefault="00C22ED3" w:rsidP="00AA4BBB">
            <w:pPr>
              <w:jc w:val="center"/>
              <w:rPr>
                <w:rFonts w:cs="Arial"/>
                <w:sz w:val="20"/>
                <w:szCs w:val="20"/>
              </w:rPr>
            </w:pPr>
            <w:r w:rsidRPr="00C22ED3">
              <w:rPr>
                <w:rFonts w:cs="Arial"/>
                <w:sz w:val="20"/>
                <w:szCs w:val="20"/>
              </w:rPr>
              <w:t>73.166.702.457</w:t>
            </w:r>
          </w:p>
        </w:tc>
        <w:tc>
          <w:tcPr>
            <w:tcW w:w="521" w:type="pct"/>
            <w:tcMar>
              <w:top w:w="30" w:type="dxa"/>
              <w:left w:w="45" w:type="dxa"/>
              <w:bottom w:w="30" w:type="dxa"/>
              <w:right w:w="45" w:type="dxa"/>
            </w:tcMar>
            <w:vAlign w:val="center"/>
            <w:hideMark/>
          </w:tcPr>
          <w:p w14:paraId="26301136" w14:textId="77777777" w:rsidR="00C22ED3" w:rsidRPr="00C22ED3" w:rsidRDefault="00C22ED3" w:rsidP="00AA4BBB">
            <w:pPr>
              <w:jc w:val="center"/>
              <w:rPr>
                <w:rFonts w:cs="Arial"/>
                <w:sz w:val="20"/>
                <w:szCs w:val="20"/>
              </w:rPr>
            </w:pPr>
            <w:r w:rsidRPr="00C22ED3">
              <w:rPr>
                <w:rFonts w:cs="Arial"/>
                <w:sz w:val="20"/>
                <w:szCs w:val="20"/>
              </w:rPr>
              <w:t>80.928.138.966</w:t>
            </w:r>
          </w:p>
        </w:tc>
        <w:tc>
          <w:tcPr>
            <w:tcW w:w="561" w:type="pct"/>
            <w:tcMar>
              <w:top w:w="30" w:type="dxa"/>
              <w:left w:w="45" w:type="dxa"/>
              <w:bottom w:w="30" w:type="dxa"/>
              <w:right w:w="45" w:type="dxa"/>
            </w:tcMar>
            <w:vAlign w:val="center"/>
            <w:hideMark/>
          </w:tcPr>
          <w:p w14:paraId="1D1112EB" w14:textId="77777777" w:rsidR="00C22ED3" w:rsidRPr="00C22ED3" w:rsidRDefault="00C22ED3" w:rsidP="00AA4BBB">
            <w:pPr>
              <w:jc w:val="center"/>
              <w:rPr>
                <w:rFonts w:cs="Arial"/>
                <w:sz w:val="20"/>
                <w:szCs w:val="20"/>
              </w:rPr>
            </w:pPr>
            <w:r w:rsidRPr="00C22ED3">
              <w:rPr>
                <w:rFonts w:cs="Arial"/>
                <w:sz w:val="20"/>
                <w:szCs w:val="20"/>
              </w:rPr>
              <w:t>70.558.810.455</w:t>
            </w:r>
          </w:p>
        </w:tc>
        <w:tc>
          <w:tcPr>
            <w:tcW w:w="549" w:type="pct"/>
            <w:vMerge/>
            <w:vAlign w:val="center"/>
            <w:hideMark/>
          </w:tcPr>
          <w:p w14:paraId="330F9418" w14:textId="77777777" w:rsidR="00C22ED3" w:rsidRPr="00C22ED3" w:rsidRDefault="00C22ED3" w:rsidP="00AA4BBB">
            <w:pPr>
              <w:rPr>
                <w:rFonts w:cs="Arial"/>
                <w:b/>
                <w:bCs/>
                <w:sz w:val="20"/>
                <w:szCs w:val="20"/>
              </w:rPr>
            </w:pPr>
          </w:p>
        </w:tc>
      </w:tr>
      <w:tr w:rsidR="00C22ED3" w:rsidRPr="00C22ED3" w14:paraId="3BEA3068" w14:textId="77777777" w:rsidTr="006A7921">
        <w:tc>
          <w:tcPr>
            <w:tcW w:w="2291" w:type="pct"/>
            <w:vMerge w:val="restart"/>
            <w:tcMar>
              <w:top w:w="30" w:type="dxa"/>
              <w:left w:w="45" w:type="dxa"/>
              <w:bottom w:w="30" w:type="dxa"/>
              <w:right w:w="45" w:type="dxa"/>
            </w:tcMar>
            <w:vAlign w:val="center"/>
            <w:hideMark/>
          </w:tcPr>
          <w:p w14:paraId="61D4FCA8" w14:textId="77777777" w:rsidR="00C22ED3" w:rsidRPr="00C22ED3" w:rsidRDefault="00C22ED3" w:rsidP="00AA4BBB">
            <w:pPr>
              <w:rPr>
                <w:rFonts w:cs="Arial"/>
                <w:sz w:val="20"/>
                <w:szCs w:val="20"/>
              </w:rPr>
            </w:pPr>
            <w:r w:rsidRPr="00C22ED3">
              <w:rPr>
                <w:rFonts w:cs="Arial"/>
                <w:sz w:val="20"/>
                <w:szCs w:val="20"/>
              </w:rPr>
              <w:t>Implementar y evaluar 4 líneas de acción de gobernanza y gobernabilidad para el fortalecimiento de la intersectorialidad la gestión de las políticas planes y/o programas y la participación social que afecten positivamente los determinantes en salud en clave de Atención Primaria Social.</w:t>
            </w:r>
          </w:p>
        </w:tc>
        <w:tc>
          <w:tcPr>
            <w:tcW w:w="556" w:type="pct"/>
            <w:tcMar>
              <w:top w:w="30" w:type="dxa"/>
              <w:left w:w="45" w:type="dxa"/>
              <w:bottom w:w="30" w:type="dxa"/>
              <w:right w:w="45" w:type="dxa"/>
            </w:tcMar>
            <w:vAlign w:val="center"/>
            <w:hideMark/>
          </w:tcPr>
          <w:p w14:paraId="42EDB08B" w14:textId="77777777" w:rsidR="00C22ED3" w:rsidRPr="00C22ED3" w:rsidRDefault="00C22ED3" w:rsidP="00AA4BBB">
            <w:pPr>
              <w:jc w:val="center"/>
              <w:rPr>
                <w:rFonts w:cs="Arial"/>
                <w:sz w:val="20"/>
                <w:szCs w:val="20"/>
              </w:rPr>
            </w:pPr>
            <w:r w:rsidRPr="00C22ED3">
              <w:rPr>
                <w:rFonts w:cs="Arial"/>
                <w:sz w:val="20"/>
                <w:szCs w:val="20"/>
              </w:rPr>
              <w:t>2</w:t>
            </w:r>
          </w:p>
        </w:tc>
        <w:tc>
          <w:tcPr>
            <w:tcW w:w="521" w:type="pct"/>
            <w:tcMar>
              <w:top w:w="30" w:type="dxa"/>
              <w:left w:w="45" w:type="dxa"/>
              <w:bottom w:w="30" w:type="dxa"/>
              <w:right w:w="45" w:type="dxa"/>
            </w:tcMar>
            <w:vAlign w:val="center"/>
            <w:hideMark/>
          </w:tcPr>
          <w:p w14:paraId="339A9379" w14:textId="77777777" w:rsidR="00C22ED3" w:rsidRPr="00C22ED3" w:rsidRDefault="00C22ED3" w:rsidP="00AA4BBB">
            <w:pPr>
              <w:jc w:val="center"/>
              <w:rPr>
                <w:rFonts w:cs="Arial"/>
                <w:sz w:val="20"/>
                <w:szCs w:val="20"/>
              </w:rPr>
            </w:pPr>
            <w:r w:rsidRPr="00C22ED3">
              <w:rPr>
                <w:rFonts w:cs="Arial"/>
                <w:sz w:val="20"/>
                <w:szCs w:val="20"/>
              </w:rPr>
              <w:t>3</w:t>
            </w:r>
          </w:p>
        </w:tc>
        <w:tc>
          <w:tcPr>
            <w:tcW w:w="521" w:type="pct"/>
            <w:tcMar>
              <w:top w:w="30" w:type="dxa"/>
              <w:left w:w="45" w:type="dxa"/>
              <w:bottom w:w="30" w:type="dxa"/>
              <w:right w:w="45" w:type="dxa"/>
            </w:tcMar>
            <w:vAlign w:val="center"/>
            <w:hideMark/>
          </w:tcPr>
          <w:p w14:paraId="4C184DAA" w14:textId="77777777" w:rsidR="00C22ED3" w:rsidRPr="00C22ED3" w:rsidRDefault="00C22ED3" w:rsidP="00AA4BBB">
            <w:pPr>
              <w:jc w:val="center"/>
              <w:rPr>
                <w:rFonts w:cs="Arial"/>
                <w:sz w:val="20"/>
                <w:szCs w:val="20"/>
              </w:rPr>
            </w:pPr>
            <w:r w:rsidRPr="00C22ED3">
              <w:rPr>
                <w:rFonts w:cs="Arial"/>
                <w:sz w:val="20"/>
                <w:szCs w:val="20"/>
              </w:rPr>
              <w:t>4</w:t>
            </w:r>
          </w:p>
        </w:tc>
        <w:tc>
          <w:tcPr>
            <w:tcW w:w="561" w:type="pct"/>
            <w:tcMar>
              <w:top w:w="30" w:type="dxa"/>
              <w:left w:w="45" w:type="dxa"/>
              <w:bottom w:w="30" w:type="dxa"/>
              <w:right w:w="45" w:type="dxa"/>
            </w:tcMar>
            <w:vAlign w:val="center"/>
            <w:hideMark/>
          </w:tcPr>
          <w:p w14:paraId="5B686240" w14:textId="77777777" w:rsidR="00C22ED3" w:rsidRPr="00C22ED3" w:rsidRDefault="00C22ED3" w:rsidP="00AA4BBB">
            <w:pPr>
              <w:jc w:val="center"/>
              <w:rPr>
                <w:rFonts w:cs="Arial"/>
                <w:sz w:val="20"/>
                <w:szCs w:val="20"/>
              </w:rPr>
            </w:pPr>
            <w:r w:rsidRPr="00C22ED3">
              <w:rPr>
                <w:rFonts w:cs="Arial"/>
                <w:sz w:val="20"/>
                <w:szCs w:val="20"/>
              </w:rPr>
              <w:t>4</w:t>
            </w:r>
          </w:p>
        </w:tc>
        <w:tc>
          <w:tcPr>
            <w:tcW w:w="549" w:type="pct"/>
            <w:vMerge w:val="restart"/>
            <w:tcMar>
              <w:top w:w="30" w:type="dxa"/>
              <w:left w:w="45" w:type="dxa"/>
              <w:bottom w:w="30" w:type="dxa"/>
              <w:right w:w="45" w:type="dxa"/>
            </w:tcMar>
            <w:vAlign w:val="center"/>
            <w:hideMark/>
          </w:tcPr>
          <w:p w14:paraId="4E8E15E1" w14:textId="77777777" w:rsidR="00C22ED3" w:rsidRPr="00C22ED3" w:rsidRDefault="00C22ED3" w:rsidP="00AA4BBB">
            <w:pPr>
              <w:jc w:val="center"/>
              <w:rPr>
                <w:rFonts w:cs="Arial"/>
                <w:b/>
                <w:bCs/>
                <w:sz w:val="20"/>
                <w:szCs w:val="20"/>
              </w:rPr>
            </w:pPr>
            <w:r w:rsidRPr="00C22ED3">
              <w:rPr>
                <w:rFonts w:cs="Arial"/>
                <w:b/>
                <w:bCs/>
                <w:sz w:val="20"/>
                <w:szCs w:val="20"/>
              </w:rPr>
              <w:t>261.979.092.383</w:t>
            </w:r>
          </w:p>
        </w:tc>
      </w:tr>
      <w:tr w:rsidR="00C22ED3" w:rsidRPr="00C22ED3" w14:paraId="06FB7448" w14:textId="77777777" w:rsidTr="006A7921">
        <w:tc>
          <w:tcPr>
            <w:tcW w:w="2291" w:type="pct"/>
            <w:vMerge/>
            <w:vAlign w:val="center"/>
            <w:hideMark/>
          </w:tcPr>
          <w:p w14:paraId="224FCD31"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6A7F883F" w14:textId="77777777" w:rsidR="00C22ED3" w:rsidRPr="00C22ED3" w:rsidRDefault="00C22ED3" w:rsidP="00AA4BBB">
            <w:pPr>
              <w:jc w:val="center"/>
              <w:rPr>
                <w:rFonts w:cs="Arial"/>
                <w:sz w:val="20"/>
                <w:szCs w:val="20"/>
              </w:rPr>
            </w:pPr>
            <w:r w:rsidRPr="00C22ED3">
              <w:rPr>
                <w:rFonts w:cs="Arial"/>
                <w:sz w:val="20"/>
                <w:szCs w:val="20"/>
              </w:rPr>
              <w:t>65.874.690.861</w:t>
            </w:r>
          </w:p>
        </w:tc>
        <w:tc>
          <w:tcPr>
            <w:tcW w:w="521" w:type="pct"/>
            <w:tcMar>
              <w:top w:w="30" w:type="dxa"/>
              <w:left w:w="45" w:type="dxa"/>
              <w:bottom w:w="30" w:type="dxa"/>
              <w:right w:w="45" w:type="dxa"/>
            </w:tcMar>
            <w:vAlign w:val="center"/>
            <w:hideMark/>
          </w:tcPr>
          <w:p w14:paraId="399AC29C" w14:textId="77777777" w:rsidR="00C22ED3" w:rsidRPr="00C22ED3" w:rsidRDefault="00C22ED3" w:rsidP="00AA4BBB">
            <w:pPr>
              <w:jc w:val="center"/>
              <w:rPr>
                <w:rFonts w:cs="Arial"/>
                <w:sz w:val="20"/>
                <w:szCs w:val="20"/>
              </w:rPr>
            </w:pPr>
            <w:r w:rsidRPr="00C22ED3">
              <w:rPr>
                <w:rFonts w:cs="Arial"/>
                <w:sz w:val="20"/>
                <w:szCs w:val="20"/>
              </w:rPr>
              <w:t>56.763.388.334</w:t>
            </w:r>
          </w:p>
        </w:tc>
        <w:tc>
          <w:tcPr>
            <w:tcW w:w="521" w:type="pct"/>
            <w:tcMar>
              <w:top w:w="30" w:type="dxa"/>
              <w:left w:w="45" w:type="dxa"/>
              <w:bottom w:w="30" w:type="dxa"/>
              <w:right w:w="45" w:type="dxa"/>
            </w:tcMar>
            <w:vAlign w:val="center"/>
            <w:hideMark/>
          </w:tcPr>
          <w:p w14:paraId="0128BFD4" w14:textId="77777777" w:rsidR="00C22ED3" w:rsidRPr="00C22ED3" w:rsidRDefault="00C22ED3" w:rsidP="00AA4BBB">
            <w:pPr>
              <w:jc w:val="center"/>
              <w:rPr>
                <w:rFonts w:cs="Arial"/>
                <w:sz w:val="20"/>
                <w:szCs w:val="20"/>
              </w:rPr>
            </w:pPr>
            <w:r w:rsidRPr="00C22ED3">
              <w:rPr>
                <w:rFonts w:cs="Arial"/>
                <w:sz w:val="20"/>
                <w:szCs w:val="20"/>
              </w:rPr>
              <w:t>70.990.966.323</w:t>
            </w:r>
          </w:p>
        </w:tc>
        <w:tc>
          <w:tcPr>
            <w:tcW w:w="561" w:type="pct"/>
            <w:tcMar>
              <w:top w:w="30" w:type="dxa"/>
              <w:left w:w="45" w:type="dxa"/>
              <w:bottom w:w="30" w:type="dxa"/>
              <w:right w:w="45" w:type="dxa"/>
            </w:tcMar>
            <w:vAlign w:val="center"/>
            <w:hideMark/>
          </w:tcPr>
          <w:p w14:paraId="1353E3BD" w14:textId="77777777" w:rsidR="00C22ED3" w:rsidRPr="00C22ED3" w:rsidRDefault="00C22ED3" w:rsidP="00AA4BBB">
            <w:pPr>
              <w:jc w:val="center"/>
              <w:rPr>
                <w:rFonts w:cs="Arial"/>
                <w:sz w:val="20"/>
                <w:szCs w:val="20"/>
              </w:rPr>
            </w:pPr>
            <w:r w:rsidRPr="00C22ED3">
              <w:rPr>
                <w:rFonts w:cs="Arial"/>
                <w:sz w:val="20"/>
                <w:szCs w:val="20"/>
              </w:rPr>
              <w:t>68.350.046.865</w:t>
            </w:r>
          </w:p>
        </w:tc>
        <w:tc>
          <w:tcPr>
            <w:tcW w:w="549" w:type="pct"/>
            <w:vMerge/>
            <w:vAlign w:val="center"/>
            <w:hideMark/>
          </w:tcPr>
          <w:p w14:paraId="14547439" w14:textId="77777777" w:rsidR="00C22ED3" w:rsidRPr="00C22ED3" w:rsidRDefault="00C22ED3" w:rsidP="00AA4BBB">
            <w:pPr>
              <w:rPr>
                <w:rFonts w:cs="Arial"/>
                <w:b/>
                <w:bCs/>
                <w:sz w:val="20"/>
                <w:szCs w:val="20"/>
              </w:rPr>
            </w:pPr>
          </w:p>
        </w:tc>
      </w:tr>
      <w:tr w:rsidR="00C22ED3" w:rsidRPr="00C22ED3" w14:paraId="3799801E" w14:textId="77777777" w:rsidTr="006A7921">
        <w:tc>
          <w:tcPr>
            <w:tcW w:w="2291" w:type="pct"/>
            <w:vMerge w:val="restart"/>
            <w:tcMar>
              <w:top w:w="30" w:type="dxa"/>
              <w:left w:w="45" w:type="dxa"/>
              <w:bottom w:w="30" w:type="dxa"/>
              <w:right w:w="45" w:type="dxa"/>
            </w:tcMar>
            <w:vAlign w:val="center"/>
            <w:hideMark/>
          </w:tcPr>
          <w:p w14:paraId="77A8A783" w14:textId="77777777" w:rsidR="00C22ED3" w:rsidRPr="00C22ED3" w:rsidRDefault="00C22ED3" w:rsidP="00AA4BBB">
            <w:pPr>
              <w:rPr>
                <w:rFonts w:cs="Arial"/>
                <w:sz w:val="20"/>
                <w:szCs w:val="20"/>
              </w:rPr>
            </w:pPr>
            <w:r w:rsidRPr="00C22ED3">
              <w:rPr>
                <w:rFonts w:cs="Arial"/>
                <w:sz w:val="20"/>
                <w:szCs w:val="20"/>
              </w:rPr>
              <w:t xml:space="preserve">Mantener el 100% de la acreditación del Laboratorio de Salud Pública como </w:t>
            </w:r>
            <w:r w:rsidRPr="00C22ED3">
              <w:rPr>
                <w:rFonts w:cs="Arial"/>
                <w:sz w:val="20"/>
                <w:szCs w:val="20"/>
              </w:rPr>
              <w:lastRenderedPageBreak/>
              <w:t>referente técnico a nivel distrital y nacional junto con la operación del laboratorio de alta contención biológica BSL3</w:t>
            </w:r>
          </w:p>
        </w:tc>
        <w:tc>
          <w:tcPr>
            <w:tcW w:w="556" w:type="pct"/>
            <w:tcMar>
              <w:top w:w="30" w:type="dxa"/>
              <w:left w:w="45" w:type="dxa"/>
              <w:bottom w:w="30" w:type="dxa"/>
              <w:right w:w="45" w:type="dxa"/>
            </w:tcMar>
            <w:vAlign w:val="center"/>
            <w:hideMark/>
          </w:tcPr>
          <w:p w14:paraId="1C2F3B60" w14:textId="77777777" w:rsidR="00C22ED3" w:rsidRPr="00C22ED3" w:rsidRDefault="00C22ED3" w:rsidP="00AA4BBB">
            <w:pPr>
              <w:jc w:val="center"/>
              <w:rPr>
                <w:rFonts w:cs="Arial"/>
                <w:sz w:val="20"/>
                <w:szCs w:val="20"/>
              </w:rPr>
            </w:pPr>
            <w:r w:rsidRPr="00C22ED3">
              <w:rPr>
                <w:rFonts w:cs="Arial"/>
                <w:sz w:val="20"/>
                <w:szCs w:val="20"/>
              </w:rPr>
              <w:lastRenderedPageBreak/>
              <w:t>100%</w:t>
            </w:r>
          </w:p>
        </w:tc>
        <w:tc>
          <w:tcPr>
            <w:tcW w:w="521" w:type="pct"/>
            <w:tcMar>
              <w:top w:w="30" w:type="dxa"/>
              <w:left w:w="45" w:type="dxa"/>
              <w:bottom w:w="30" w:type="dxa"/>
              <w:right w:w="45" w:type="dxa"/>
            </w:tcMar>
            <w:vAlign w:val="center"/>
            <w:hideMark/>
          </w:tcPr>
          <w:p w14:paraId="5B058799"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7E2FDB7C"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0D041B43"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71968C83" w14:textId="77777777" w:rsidR="00C22ED3" w:rsidRPr="00C22ED3" w:rsidRDefault="00C22ED3" w:rsidP="00AA4BBB">
            <w:pPr>
              <w:jc w:val="center"/>
              <w:rPr>
                <w:rFonts w:cs="Arial"/>
                <w:b/>
                <w:bCs/>
                <w:sz w:val="20"/>
                <w:szCs w:val="20"/>
              </w:rPr>
            </w:pPr>
            <w:r w:rsidRPr="00C22ED3">
              <w:rPr>
                <w:rFonts w:cs="Arial"/>
                <w:b/>
                <w:bCs/>
                <w:sz w:val="20"/>
                <w:szCs w:val="20"/>
              </w:rPr>
              <w:t>53.656.977.188</w:t>
            </w:r>
          </w:p>
        </w:tc>
      </w:tr>
      <w:tr w:rsidR="00C22ED3" w:rsidRPr="00C22ED3" w14:paraId="4034E543" w14:textId="77777777" w:rsidTr="006A7921">
        <w:tc>
          <w:tcPr>
            <w:tcW w:w="2291" w:type="pct"/>
            <w:vMerge/>
            <w:vAlign w:val="center"/>
            <w:hideMark/>
          </w:tcPr>
          <w:p w14:paraId="16D4C290"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7B38C29C" w14:textId="77777777" w:rsidR="00C22ED3" w:rsidRPr="00C22ED3" w:rsidRDefault="00C22ED3" w:rsidP="00AA4BBB">
            <w:pPr>
              <w:jc w:val="center"/>
              <w:rPr>
                <w:rFonts w:cs="Arial"/>
                <w:sz w:val="20"/>
                <w:szCs w:val="20"/>
              </w:rPr>
            </w:pPr>
            <w:r w:rsidRPr="00C22ED3">
              <w:rPr>
                <w:rFonts w:cs="Arial"/>
                <w:sz w:val="20"/>
                <w:szCs w:val="20"/>
              </w:rPr>
              <w:t>17.453.215.000</w:t>
            </w:r>
          </w:p>
        </w:tc>
        <w:tc>
          <w:tcPr>
            <w:tcW w:w="521" w:type="pct"/>
            <w:tcMar>
              <w:top w:w="30" w:type="dxa"/>
              <w:left w:w="45" w:type="dxa"/>
              <w:bottom w:w="30" w:type="dxa"/>
              <w:right w:w="45" w:type="dxa"/>
            </w:tcMar>
            <w:vAlign w:val="center"/>
            <w:hideMark/>
          </w:tcPr>
          <w:p w14:paraId="4B8ED2A2" w14:textId="77777777" w:rsidR="00C22ED3" w:rsidRPr="00C22ED3" w:rsidRDefault="00C22ED3" w:rsidP="00AA4BBB">
            <w:pPr>
              <w:jc w:val="center"/>
              <w:rPr>
                <w:rFonts w:cs="Arial"/>
                <w:sz w:val="20"/>
                <w:szCs w:val="20"/>
              </w:rPr>
            </w:pPr>
            <w:r w:rsidRPr="00C22ED3">
              <w:rPr>
                <w:rFonts w:cs="Arial"/>
                <w:sz w:val="20"/>
                <w:szCs w:val="20"/>
              </w:rPr>
              <w:t>12.426.339.029</w:t>
            </w:r>
          </w:p>
        </w:tc>
        <w:tc>
          <w:tcPr>
            <w:tcW w:w="521" w:type="pct"/>
            <w:tcMar>
              <w:top w:w="30" w:type="dxa"/>
              <w:left w:w="45" w:type="dxa"/>
              <w:bottom w:w="30" w:type="dxa"/>
              <w:right w:w="45" w:type="dxa"/>
            </w:tcMar>
            <w:vAlign w:val="center"/>
            <w:hideMark/>
          </w:tcPr>
          <w:p w14:paraId="41336359" w14:textId="77777777" w:rsidR="00C22ED3" w:rsidRPr="00C22ED3" w:rsidRDefault="00C22ED3" w:rsidP="00AA4BBB">
            <w:pPr>
              <w:jc w:val="center"/>
              <w:rPr>
                <w:rFonts w:cs="Arial"/>
                <w:sz w:val="20"/>
                <w:szCs w:val="20"/>
              </w:rPr>
            </w:pPr>
            <w:r w:rsidRPr="00C22ED3">
              <w:rPr>
                <w:rFonts w:cs="Arial"/>
                <w:sz w:val="20"/>
                <w:szCs w:val="20"/>
              </w:rPr>
              <w:t>12.064.406.824</w:t>
            </w:r>
          </w:p>
        </w:tc>
        <w:tc>
          <w:tcPr>
            <w:tcW w:w="561" w:type="pct"/>
            <w:tcMar>
              <w:top w:w="30" w:type="dxa"/>
              <w:left w:w="45" w:type="dxa"/>
              <w:bottom w:w="30" w:type="dxa"/>
              <w:right w:w="45" w:type="dxa"/>
            </w:tcMar>
            <w:vAlign w:val="center"/>
            <w:hideMark/>
          </w:tcPr>
          <w:p w14:paraId="6B7726A5" w14:textId="77777777" w:rsidR="00C22ED3" w:rsidRPr="00C22ED3" w:rsidRDefault="00C22ED3" w:rsidP="00AA4BBB">
            <w:pPr>
              <w:jc w:val="center"/>
              <w:rPr>
                <w:rFonts w:cs="Arial"/>
                <w:sz w:val="20"/>
                <w:szCs w:val="20"/>
              </w:rPr>
            </w:pPr>
            <w:r w:rsidRPr="00C22ED3">
              <w:rPr>
                <w:rFonts w:cs="Arial"/>
                <w:sz w:val="20"/>
                <w:szCs w:val="20"/>
              </w:rPr>
              <w:t>11.713.016.334</w:t>
            </w:r>
          </w:p>
        </w:tc>
        <w:tc>
          <w:tcPr>
            <w:tcW w:w="549" w:type="pct"/>
            <w:vMerge/>
            <w:vAlign w:val="center"/>
            <w:hideMark/>
          </w:tcPr>
          <w:p w14:paraId="5512758F" w14:textId="77777777" w:rsidR="00C22ED3" w:rsidRPr="00C22ED3" w:rsidRDefault="00C22ED3" w:rsidP="00AA4BBB">
            <w:pPr>
              <w:rPr>
                <w:rFonts w:cs="Arial"/>
                <w:b/>
                <w:bCs/>
                <w:sz w:val="20"/>
                <w:szCs w:val="20"/>
              </w:rPr>
            </w:pPr>
          </w:p>
        </w:tc>
      </w:tr>
      <w:tr w:rsidR="00C22ED3" w:rsidRPr="00C22ED3" w14:paraId="127FAAC2" w14:textId="77777777" w:rsidTr="006A7921">
        <w:tc>
          <w:tcPr>
            <w:tcW w:w="2291" w:type="pct"/>
            <w:vMerge w:val="restart"/>
            <w:tcMar>
              <w:top w:w="30" w:type="dxa"/>
              <w:left w:w="45" w:type="dxa"/>
              <w:bottom w:w="30" w:type="dxa"/>
              <w:right w:w="45" w:type="dxa"/>
            </w:tcMar>
            <w:vAlign w:val="center"/>
            <w:hideMark/>
          </w:tcPr>
          <w:p w14:paraId="484C0DE9" w14:textId="77777777" w:rsidR="00C22ED3" w:rsidRPr="00C22ED3" w:rsidRDefault="00C22ED3" w:rsidP="00AA4BBB">
            <w:pPr>
              <w:rPr>
                <w:rFonts w:cs="Arial"/>
                <w:sz w:val="20"/>
                <w:szCs w:val="20"/>
              </w:rPr>
            </w:pPr>
            <w:r w:rsidRPr="00C22ED3">
              <w:rPr>
                <w:rFonts w:cs="Arial"/>
                <w:sz w:val="20"/>
                <w:szCs w:val="20"/>
              </w:rPr>
              <w:t>Mantener el 100% de la operación de la red de vigilancia y la gestión del riesgo en salud pública en Bogotá D.C.</w:t>
            </w:r>
          </w:p>
        </w:tc>
        <w:tc>
          <w:tcPr>
            <w:tcW w:w="556" w:type="pct"/>
            <w:tcMar>
              <w:top w:w="30" w:type="dxa"/>
              <w:left w:w="45" w:type="dxa"/>
              <w:bottom w:w="30" w:type="dxa"/>
              <w:right w:w="45" w:type="dxa"/>
            </w:tcMar>
            <w:vAlign w:val="center"/>
            <w:hideMark/>
          </w:tcPr>
          <w:p w14:paraId="28BE83EE"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2FD80499" w14:textId="77777777" w:rsidR="00C22ED3" w:rsidRPr="00C22ED3" w:rsidRDefault="00C22ED3" w:rsidP="00AA4BBB">
            <w:pPr>
              <w:jc w:val="center"/>
              <w:rPr>
                <w:rFonts w:cs="Arial"/>
                <w:sz w:val="20"/>
                <w:szCs w:val="20"/>
              </w:rPr>
            </w:pPr>
            <w:r w:rsidRPr="00C22ED3">
              <w:rPr>
                <w:rFonts w:cs="Arial"/>
                <w:sz w:val="20"/>
                <w:szCs w:val="20"/>
              </w:rPr>
              <w:t>100%</w:t>
            </w:r>
          </w:p>
        </w:tc>
        <w:tc>
          <w:tcPr>
            <w:tcW w:w="521" w:type="pct"/>
            <w:tcMar>
              <w:top w:w="30" w:type="dxa"/>
              <w:left w:w="45" w:type="dxa"/>
              <w:bottom w:w="30" w:type="dxa"/>
              <w:right w:w="45" w:type="dxa"/>
            </w:tcMar>
            <w:vAlign w:val="center"/>
            <w:hideMark/>
          </w:tcPr>
          <w:p w14:paraId="0D3531D5" w14:textId="77777777" w:rsidR="00C22ED3" w:rsidRPr="00C22ED3" w:rsidRDefault="00C22ED3" w:rsidP="00AA4BBB">
            <w:pPr>
              <w:jc w:val="center"/>
              <w:rPr>
                <w:rFonts w:cs="Arial"/>
                <w:sz w:val="20"/>
                <w:szCs w:val="20"/>
              </w:rPr>
            </w:pPr>
            <w:r w:rsidRPr="00C22ED3">
              <w:rPr>
                <w:rFonts w:cs="Arial"/>
                <w:sz w:val="20"/>
                <w:szCs w:val="20"/>
              </w:rPr>
              <w:t>100%</w:t>
            </w:r>
          </w:p>
        </w:tc>
        <w:tc>
          <w:tcPr>
            <w:tcW w:w="561" w:type="pct"/>
            <w:tcMar>
              <w:top w:w="30" w:type="dxa"/>
              <w:left w:w="45" w:type="dxa"/>
              <w:bottom w:w="30" w:type="dxa"/>
              <w:right w:w="45" w:type="dxa"/>
            </w:tcMar>
            <w:vAlign w:val="center"/>
            <w:hideMark/>
          </w:tcPr>
          <w:p w14:paraId="4CC58076" w14:textId="77777777" w:rsidR="00C22ED3" w:rsidRPr="00C22ED3" w:rsidRDefault="00C22ED3" w:rsidP="00AA4BBB">
            <w:pPr>
              <w:jc w:val="center"/>
              <w:rPr>
                <w:rFonts w:cs="Arial"/>
                <w:sz w:val="20"/>
                <w:szCs w:val="20"/>
              </w:rPr>
            </w:pPr>
            <w:r w:rsidRPr="00C22ED3">
              <w:rPr>
                <w:rFonts w:cs="Arial"/>
                <w:sz w:val="20"/>
                <w:szCs w:val="20"/>
              </w:rPr>
              <w:t>100%</w:t>
            </w:r>
          </w:p>
        </w:tc>
        <w:tc>
          <w:tcPr>
            <w:tcW w:w="549" w:type="pct"/>
            <w:vMerge w:val="restart"/>
            <w:tcMar>
              <w:top w:w="30" w:type="dxa"/>
              <w:left w:w="45" w:type="dxa"/>
              <w:bottom w:w="30" w:type="dxa"/>
              <w:right w:w="45" w:type="dxa"/>
            </w:tcMar>
            <w:vAlign w:val="center"/>
            <w:hideMark/>
          </w:tcPr>
          <w:p w14:paraId="4FDDFEAA" w14:textId="77777777" w:rsidR="00C22ED3" w:rsidRPr="00C22ED3" w:rsidRDefault="00C22ED3" w:rsidP="00AA4BBB">
            <w:pPr>
              <w:jc w:val="center"/>
              <w:rPr>
                <w:rFonts w:cs="Arial"/>
                <w:b/>
                <w:bCs/>
                <w:sz w:val="20"/>
                <w:szCs w:val="20"/>
              </w:rPr>
            </w:pPr>
            <w:r w:rsidRPr="00C22ED3">
              <w:rPr>
                <w:rFonts w:cs="Arial"/>
                <w:b/>
                <w:bCs/>
                <w:sz w:val="20"/>
                <w:szCs w:val="20"/>
              </w:rPr>
              <w:t>155.808.937.308</w:t>
            </w:r>
          </w:p>
        </w:tc>
      </w:tr>
      <w:tr w:rsidR="00C22ED3" w:rsidRPr="00C22ED3" w14:paraId="3153AD59" w14:textId="77777777" w:rsidTr="006A7921">
        <w:tc>
          <w:tcPr>
            <w:tcW w:w="2291" w:type="pct"/>
            <w:vMerge/>
            <w:vAlign w:val="center"/>
            <w:hideMark/>
          </w:tcPr>
          <w:p w14:paraId="46C696A3"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4B8DD3F7" w14:textId="77777777" w:rsidR="00C22ED3" w:rsidRPr="00C22ED3" w:rsidRDefault="00C22ED3" w:rsidP="00AA4BBB">
            <w:pPr>
              <w:jc w:val="center"/>
              <w:rPr>
                <w:rFonts w:cs="Arial"/>
                <w:sz w:val="20"/>
                <w:szCs w:val="20"/>
              </w:rPr>
            </w:pPr>
            <w:r w:rsidRPr="00C22ED3">
              <w:rPr>
                <w:rFonts w:cs="Arial"/>
                <w:sz w:val="20"/>
                <w:szCs w:val="20"/>
              </w:rPr>
              <w:t>23.745.623.000</w:t>
            </w:r>
          </w:p>
        </w:tc>
        <w:tc>
          <w:tcPr>
            <w:tcW w:w="521" w:type="pct"/>
            <w:tcMar>
              <w:top w:w="30" w:type="dxa"/>
              <w:left w:w="45" w:type="dxa"/>
              <w:bottom w:w="30" w:type="dxa"/>
              <w:right w:w="45" w:type="dxa"/>
            </w:tcMar>
            <w:vAlign w:val="center"/>
            <w:hideMark/>
          </w:tcPr>
          <w:p w14:paraId="1B098206" w14:textId="77777777" w:rsidR="00C22ED3" w:rsidRPr="00C22ED3" w:rsidRDefault="00C22ED3" w:rsidP="00AA4BBB">
            <w:pPr>
              <w:jc w:val="center"/>
              <w:rPr>
                <w:rFonts w:cs="Arial"/>
                <w:sz w:val="20"/>
                <w:szCs w:val="20"/>
              </w:rPr>
            </w:pPr>
            <w:r w:rsidRPr="00C22ED3">
              <w:rPr>
                <w:rFonts w:cs="Arial"/>
                <w:sz w:val="20"/>
                <w:szCs w:val="20"/>
              </w:rPr>
              <w:t>46.454.400.216</w:t>
            </w:r>
          </w:p>
        </w:tc>
        <w:tc>
          <w:tcPr>
            <w:tcW w:w="521" w:type="pct"/>
            <w:tcMar>
              <w:top w:w="30" w:type="dxa"/>
              <w:left w:w="45" w:type="dxa"/>
              <w:bottom w:w="30" w:type="dxa"/>
              <w:right w:w="45" w:type="dxa"/>
            </w:tcMar>
            <w:vAlign w:val="center"/>
            <w:hideMark/>
          </w:tcPr>
          <w:p w14:paraId="56CDEB1B" w14:textId="77777777" w:rsidR="00C22ED3" w:rsidRPr="00C22ED3" w:rsidRDefault="00C22ED3" w:rsidP="00AA4BBB">
            <w:pPr>
              <w:jc w:val="center"/>
              <w:rPr>
                <w:rFonts w:cs="Arial"/>
                <w:sz w:val="20"/>
                <w:szCs w:val="20"/>
              </w:rPr>
            </w:pPr>
            <w:r w:rsidRPr="00C22ED3">
              <w:rPr>
                <w:rFonts w:cs="Arial"/>
                <w:sz w:val="20"/>
                <w:szCs w:val="20"/>
              </w:rPr>
              <w:t>47.502.337.791</w:t>
            </w:r>
          </w:p>
        </w:tc>
        <w:tc>
          <w:tcPr>
            <w:tcW w:w="561" w:type="pct"/>
            <w:tcMar>
              <w:top w:w="30" w:type="dxa"/>
              <w:left w:w="45" w:type="dxa"/>
              <w:bottom w:w="30" w:type="dxa"/>
              <w:right w:w="45" w:type="dxa"/>
            </w:tcMar>
            <w:vAlign w:val="center"/>
            <w:hideMark/>
          </w:tcPr>
          <w:p w14:paraId="34C15D3A" w14:textId="77777777" w:rsidR="00C22ED3" w:rsidRPr="00C22ED3" w:rsidRDefault="00C22ED3" w:rsidP="00AA4BBB">
            <w:pPr>
              <w:jc w:val="center"/>
              <w:rPr>
                <w:rFonts w:cs="Arial"/>
                <w:sz w:val="20"/>
                <w:szCs w:val="20"/>
              </w:rPr>
            </w:pPr>
            <w:r w:rsidRPr="00C22ED3">
              <w:rPr>
                <w:rFonts w:cs="Arial"/>
                <w:sz w:val="20"/>
                <w:szCs w:val="20"/>
              </w:rPr>
              <w:t>38.106.576.302</w:t>
            </w:r>
          </w:p>
        </w:tc>
        <w:tc>
          <w:tcPr>
            <w:tcW w:w="549" w:type="pct"/>
            <w:vMerge/>
            <w:vAlign w:val="center"/>
            <w:hideMark/>
          </w:tcPr>
          <w:p w14:paraId="79223B8E" w14:textId="77777777" w:rsidR="00C22ED3" w:rsidRPr="00C22ED3" w:rsidRDefault="00C22ED3" w:rsidP="00AA4BBB">
            <w:pPr>
              <w:rPr>
                <w:rFonts w:cs="Arial"/>
                <w:b/>
                <w:bCs/>
                <w:sz w:val="20"/>
                <w:szCs w:val="20"/>
              </w:rPr>
            </w:pPr>
          </w:p>
        </w:tc>
      </w:tr>
      <w:tr w:rsidR="00C22ED3" w:rsidRPr="00C22ED3" w14:paraId="03943CE7" w14:textId="77777777" w:rsidTr="006A7921">
        <w:tc>
          <w:tcPr>
            <w:tcW w:w="2291" w:type="pct"/>
            <w:vMerge w:val="restart"/>
            <w:tcMar>
              <w:top w:w="30" w:type="dxa"/>
              <w:left w:w="45" w:type="dxa"/>
              <w:bottom w:w="30" w:type="dxa"/>
              <w:right w:w="45" w:type="dxa"/>
            </w:tcMar>
            <w:vAlign w:val="center"/>
            <w:hideMark/>
          </w:tcPr>
          <w:p w14:paraId="722E056C" w14:textId="77777777" w:rsidR="00C22ED3" w:rsidRPr="00C22ED3" w:rsidRDefault="00C22ED3" w:rsidP="00AA4BBB">
            <w:pPr>
              <w:rPr>
                <w:rFonts w:cs="Arial"/>
                <w:sz w:val="20"/>
                <w:szCs w:val="20"/>
              </w:rPr>
            </w:pPr>
            <w:r w:rsidRPr="00C22ED3">
              <w:rPr>
                <w:rFonts w:cs="Arial"/>
                <w:sz w:val="20"/>
                <w:szCs w:val="20"/>
              </w:rPr>
              <w:t>Reducir a menos de 130 x 100 mil habitantes la tasa de incidencia de morbilidad por eventos inmunoprevenibles.</w:t>
            </w:r>
          </w:p>
        </w:tc>
        <w:tc>
          <w:tcPr>
            <w:tcW w:w="556" w:type="pct"/>
            <w:tcMar>
              <w:top w:w="30" w:type="dxa"/>
              <w:left w:w="45" w:type="dxa"/>
              <w:bottom w:w="30" w:type="dxa"/>
              <w:right w:w="45" w:type="dxa"/>
            </w:tcMar>
            <w:vAlign w:val="center"/>
          </w:tcPr>
          <w:p w14:paraId="6A92F51F" w14:textId="77777777" w:rsidR="00C22ED3" w:rsidRPr="00C22ED3" w:rsidRDefault="00C22ED3" w:rsidP="00AA4BBB">
            <w:pPr>
              <w:jc w:val="center"/>
              <w:rPr>
                <w:rFonts w:cs="Arial"/>
                <w:sz w:val="20"/>
                <w:szCs w:val="20"/>
              </w:rPr>
            </w:pPr>
            <w:r w:rsidRPr="00C22ED3">
              <w:rPr>
                <w:rFonts w:cs="Arial"/>
                <w:sz w:val="20"/>
                <w:szCs w:val="20"/>
              </w:rPr>
              <w:t>130 x 100 mil habitantes.</w:t>
            </w:r>
          </w:p>
        </w:tc>
        <w:tc>
          <w:tcPr>
            <w:tcW w:w="521" w:type="pct"/>
            <w:tcMar>
              <w:top w:w="30" w:type="dxa"/>
              <w:left w:w="45" w:type="dxa"/>
              <w:bottom w:w="30" w:type="dxa"/>
              <w:right w:w="45" w:type="dxa"/>
            </w:tcMar>
            <w:vAlign w:val="center"/>
          </w:tcPr>
          <w:p w14:paraId="22D28DE4" w14:textId="77777777" w:rsidR="00C22ED3" w:rsidRPr="00C22ED3" w:rsidRDefault="00C22ED3" w:rsidP="00AA4BBB">
            <w:pPr>
              <w:jc w:val="center"/>
              <w:rPr>
                <w:rFonts w:cs="Arial"/>
                <w:sz w:val="20"/>
                <w:szCs w:val="20"/>
              </w:rPr>
            </w:pPr>
            <w:r w:rsidRPr="00C22ED3">
              <w:rPr>
                <w:rFonts w:cs="Arial"/>
                <w:sz w:val="20"/>
                <w:szCs w:val="20"/>
              </w:rPr>
              <w:t>130 x 100 mil habitantes.</w:t>
            </w:r>
          </w:p>
        </w:tc>
        <w:tc>
          <w:tcPr>
            <w:tcW w:w="521" w:type="pct"/>
            <w:tcMar>
              <w:top w:w="30" w:type="dxa"/>
              <w:left w:w="45" w:type="dxa"/>
              <w:bottom w:w="30" w:type="dxa"/>
              <w:right w:w="45" w:type="dxa"/>
            </w:tcMar>
            <w:vAlign w:val="center"/>
          </w:tcPr>
          <w:p w14:paraId="029A1F53" w14:textId="77777777" w:rsidR="00C22ED3" w:rsidRPr="00C22ED3" w:rsidRDefault="00C22ED3" w:rsidP="00AA4BBB">
            <w:pPr>
              <w:jc w:val="center"/>
              <w:rPr>
                <w:rFonts w:cs="Arial"/>
                <w:sz w:val="20"/>
                <w:szCs w:val="20"/>
              </w:rPr>
            </w:pPr>
            <w:r w:rsidRPr="00C22ED3">
              <w:rPr>
                <w:rFonts w:cs="Arial"/>
                <w:sz w:val="20"/>
                <w:szCs w:val="20"/>
              </w:rPr>
              <w:t>130 x 100 mil habitantes.</w:t>
            </w:r>
          </w:p>
        </w:tc>
        <w:tc>
          <w:tcPr>
            <w:tcW w:w="561" w:type="pct"/>
            <w:tcMar>
              <w:top w:w="30" w:type="dxa"/>
              <w:left w:w="45" w:type="dxa"/>
              <w:bottom w:w="30" w:type="dxa"/>
              <w:right w:w="45" w:type="dxa"/>
            </w:tcMar>
            <w:vAlign w:val="center"/>
          </w:tcPr>
          <w:p w14:paraId="6DB06F2B" w14:textId="77777777" w:rsidR="00C22ED3" w:rsidRPr="00C22ED3" w:rsidRDefault="00C22ED3" w:rsidP="00AA4BBB">
            <w:pPr>
              <w:jc w:val="center"/>
              <w:rPr>
                <w:rFonts w:cs="Arial"/>
                <w:sz w:val="20"/>
                <w:szCs w:val="20"/>
              </w:rPr>
            </w:pPr>
            <w:r w:rsidRPr="00C22ED3">
              <w:rPr>
                <w:rFonts w:cs="Arial"/>
                <w:sz w:val="20"/>
                <w:szCs w:val="20"/>
              </w:rPr>
              <w:t>130 x 100 mil habitantes.</w:t>
            </w:r>
          </w:p>
        </w:tc>
        <w:tc>
          <w:tcPr>
            <w:tcW w:w="549" w:type="pct"/>
            <w:vMerge w:val="restart"/>
            <w:tcMar>
              <w:top w:w="30" w:type="dxa"/>
              <w:left w:w="45" w:type="dxa"/>
              <w:bottom w:w="30" w:type="dxa"/>
              <w:right w:w="45" w:type="dxa"/>
            </w:tcMar>
            <w:vAlign w:val="center"/>
            <w:hideMark/>
          </w:tcPr>
          <w:p w14:paraId="24A5B16C" w14:textId="77777777" w:rsidR="00C22ED3" w:rsidRPr="00C22ED3" w:rsidRDefault="00C22ED3" w:rsidP="00AA4BBB">
            <w:pPr>
              <w:jc w:val="center"/>
              <w:rPr>
                <w:rFonts w:cs="Arial"/>
                <w:b/>
                <w:bCs/>
                <w:sz w:val="20"/>
                <w:szCs w:val="20"/>
              </w:rPr>
            </w:pPr>
            <w:r w:rsidRPr="00C22ED3">
              <w:rPr>
                <w:rFonts w:cs="Arial"/>
                <w:b/>
                <w:bCs/>
                <w:sz w:val="20"/>
                <w:szCs w:val="20"/>
              </w:rPr>
              <w:t>77.310.251.183</w:t>
            </w:r>
          </w:p>
        </w:tc>
      </w:tr>
      <w:tr w:rsidR="00C22ED3" w:rsidRPr="00C22ED3" w14:paraId="7B9823CC" w14:textId="77777777" w:rsidTr="006A7921">
        <w:tc>
          <w:tcPr>
            <w:tcW w:w="2291" w:type="pct"/>
            <w:vMerge/>
            <w:vAlign w:val="center"/>
            <w:hideMark/>
          </w:tcPr>
          <w:p w14:paraId="68F11407"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039A2D88" w14:textId="77777777" w:rsidR="00C22ED3" w:rsidRPr="00C22ED3" w:rsidRDefault="00C22ED3" w:rsidP="00AA4BBB">
            <w:pPr>
              <w:jc w:val="center"/>
              <w:rPr>
                <w:rFonts w:cs="Arial"/>
                <w:sz w:val="20"/>
                <w:szCs w:val="20"/>
              </w:rPr>
            </w:pPr>
            <w:r w:rsidRPr="00C22ED3">
              <w:rPr>
                <w:rFonts w:cs="Arial"/>
                <w:sz w:val="20"/>
                <w:szCs w:val="20"/>
              </w:rPr>
              <w:t>16.015.242.000</w:t>
            </w:r>
          </w:p>
        </w:tc>
        <w:tc>
          <w:tcPr>
            <w:tcW w:w="521" w:type="pct"/>
            <w:tcMar>
              <w:top w:w="30" w:type="dxa"/>
              <w:left w:w="45" w:type="dxa"/>
              <w:bottom w:w="30" w:type="dxa"/>
              <w:right w:w="45" w:type="dxa"/>
            </w:tcMar>
            <w:vAlign w:val="center"/>
            <w:hideMark/>
          </w:tcPr>
          <w:p w14:paraId="4CD17DD7" w14:textId="77777777" w:rsidR="00C22ED3" w:rsidRPr="00C22ED3" w:rsidRDefault="00C22ED3" w:rsidP="00AA4BBB">
            <w:pPr>
              <w:jc w:val="center"/>
              <w:rPr>
                <w:rFonts w:cs="Arial"/>
                <w:sz w:val="20"/>
                <w:szCs w:val="20"/>
              </w:rPr>
            </w:pPr>
            <w:r w:rsidRPr="00C22ED3">
              <w:rPr>
                <w:rFonts w:cs="Arial"/>
                <w:sz w:val="20"/>
                <w:szCs w:val="20"/>
              </w:rPr>
              <w:t>20.131.067.961</w:t>
            </w:r>
          </w:p>
        </w:tc>
        <w:tc>
          <w:tcPr>
            <w:tcW w:w="521" w:type="pct"/>
            <w:tcMar>
              <w:top w:w="30" w:type="dxa"/>
              <w:left w:w="45" w:type="dxa"/>
              <w:bottom w:w="30" w:type="dxa"/>
              <w:right w:w="45" w:type="dxa"/>
            </w:tcMar>
            <w:vAlign w:val="center"/>
            <w:hideMark/>
          </w:tcPr>
          <w:p w14:paraId="1BD58D3B" w14:textId="77777777" w:rsidR="00C22ED3" w:rsidRPr="00C22ED3" w:rsidRDefault="00C22ED3" w:rsidP="00AA4BBB">
            <w:pPr>
              <w:jc w:val="center"/>
              <w:rPr>
                <w:rFonts w:cs="Arial"/>
                <w:sz w:val="20"/>
                <w:szCs w:val="20"/>
              </w:rPr>
            </w:pPr>
            <w:r w:rsidRPr="00C22ED3">
              <w:rPr>
                <w:rFonts w:cs="Arial"/>
                <w:sz w:val="20"/>
                <w:szCs w:val="20"/>
              </w:rPr>
              <w:t>21.552.455.462</w:t>
            </w:r>
          </w:p>
        </w:tc>
        <w:tc>
          <w:tcPr>
            <w:tcW w:w="561" w:type="pct"/>
            <w:tcMar>
              <w:top w:w="30" w:type="dxa"/>
              <w:left w:w="45" w:type="dxa"/>
              <w:bottom w:w="30" w:type="dxa"/>
              <w:right w:w="45" w:type="dxa"/>
            </w:tcMar>
            <w:vAlign w:val="center"/>
            <w:hideMark/>
          </w:tcPr>
          <w:p w14:paraId="6A97C807" w14:textId="77777777" w:rsidR="00C22ED3" w:rsidRPr="00C22ED3" w:rsidRDefault="00C22ED3" w:rsidP="00AA4BBB">
            <w:pPr>
              <w:jc w:val="center"/>
              <w:rPr>
                <w:rFonts w:cs="Arial"/>
                <w:sz w:val="20"/>
                <w:szCs w:val="20"/>
              </w:rPr>
            </w:pPr>
            <w:r w:rsidRPr="00C22ED3">
              <w:rPr>
                <w:rFonts w:cs="Arial"/>
                <w:sz w:val="20"/>
                <w:szCs w:val="20"/>
              </w:rPr>
              <w:t>19.611.485.760</w:t>
            </w:r>
          </w:p>
        </w:tc>
        <w:tc>
          <w:tcPr>
            <w:tcW w:w="549" w:type="pct"/>
            <w:vMerge/>
            <w:vAlign w:val="center"/>
            <w:hideMark/>
          </w:tcPr>
          <w:p w14:paraId="5BE1AC34" w14:textId="77777777" w:rsidR="00C22ED3" w:rsidRPr="00C22ED3" w:rsidRDefault="00C22ED3" w:rsidP="00AA4BBB">
            <w:pPr>
              <w:rPr>
                <w:rFonts w:cs="Arial"/>
                <w:b/>
                <w:bCs/>
                <w:sz w:val="20"/>
                <w:szCs w:val="20"/>
              </w:rPr>
            </w:pPr>
          </w:p>
        </w:tc>
      </w:tr>
      <w:tr w:rsidR="00C22ED3" w:rsidRPr="00C22ED3" w14:paraId="148626E8" w14:textId="77777777" w:rsidTr="006A7921">
        <w:tc>
          <w:tcPr>
            <w:tcW w:w="2291" w:type="pct"/>
            <w:vMerge w:val="restart"/>
            <w:tcMar>
              <w:top w:w="30" w:type="dxa"/>
              <w:left w:w="45" w:type="dxa"/>
              <w:bottom w:w="30" w:type="dxa"/>
              <w:right w:w="45" w:type="dxa"/>
            </w:tcMar>
            <w:vAlign w:val="center"/>
            <w:hideMark/>
          </w:tcPr>
          <w:p w14:paraId="16A2524E" w14:textId="77777777" w:rsidR="00C22ED3" w:rsidRPr="00C22ED3" w:rsidRDefault="00C22ED3" w:rsidP="00AA4BBB">
            <w:pPr>
              <w:rPr>
                <w:rFonts w:cs="Arial"/>
                <w:sz w:val="20"/>
                <w:szCs w:val="20"/>
              </w:rPr>
            </w:pPr>
            <w:r w:rsidRPr="00C22ED3">
              <w:rPr>
                <w:rFonts w:cs="Arial"/>
                <w:sz w:val="20"/>
                <w:szCs w:val="20"/>
              </w:rPr>
              <w:t>Reducir al 12% la proporción de riesgo por desnutrición aguda en menores de 5 años.</w:t>
            </w:r>
          </w:p>
        </w:tc>
        <w:tc>
          <w:tcPr>
            <w:tcW w:w="556" w:type="pct"/>
            <w:tcMar>
              <w:top w:w="30" w:type="dxa"/>
              <w:left w:w="45" w:type="dxa"/>
              <w:bottom w:w="30" w:type="dxa"/>
              <w:right w:w="45" w:type="dxa"/>
            </w:tcMar>
            <w:vAlign w:val="center"/>
            <w:hideMark/>
          </w:tcPr>
          <w:p w14:paraId="6C3C444A" w14:textId="77777777" w:rsidR="00C22ED3" w:rsidRPr="00C22ED3" w:rsidRDefault="00C22ED3" w:rsidP="00AA4BBB">
            <w:pPr>
              <w:jc w:val="center"/>
              <w:rPr>
                <w:rFonts w:cs="Arial"/>
                <w:sz w:val="20"/>
                <w:szCs w:val="20"/>
              </w:rPr>
            </w:pPr>
            <w:r w:rsidRPr="00C22ED3">
              <w:rPr>
                <w:rFonts w:cs="Arial"/>
                <w:sz w:val="20"/>
                <w:szCs w:val="20"/>
              </w:rPr>
              <w:t>3%</w:t>
            </w:r>
          </w:p>
        </w:tc>
        <w:tc>
          <w:tcPr>
            <w:tcW w:w="521" w:type="pct"/>
            <w:tcMar>
              <w:top w:w="30" w:type="dxa"/>
              <w:left w:w="45" w:type="dxa"/>
              <w:bottom w:w="30" w:type="dxa"/>
              <w:right w:w="45" w:type="dxa"/>
            </w:tcMar>
            <w:vAlign w:val="center"/>
            <w:hideMark/>
          </w:tcPr>
          <w:p w14:paraId="5F14AF6F" w14:textId="77777777" w:rsidR="00C22ED3" w:rsidRPr="00C22ED3" w:rsidRDefault="00C22ED3" w:rsidP="00AA4BBB">
            <w:pPr>
              <w:jc w:val="center"/>
              <w:rPr>
                <w:rFonts w:cs="Arial"/>
                <w:sz w:val="20"/>
                <w:szCs w:val="20"/>
              </w:rPr>
            </w:pPr>
            <w:r w:rsidRPr="00C22ED3">
              <w:rPr>
                <w:rFonts w:cs="Arial"/>
                <w:sz w:val="20"/>
                <w:szCs w:val="20"/>
              </w:rPr>
              <w:t>6%</w:t>
            </w:r>
          </w:p>
        </w:tc>
        <w:tc>
          <w:tcPr>
            <w:tcW w:w="521" w:type="pct"/>
            <w:tcMar>
              <w:top w:w="30" w:type="dxa"/>
              <w:left w:w="45" w:type="dxa"/>
              <w:bottom w:w="30" w:type="dxa"/>
              <w:right w:w="45" w:type="dxa"/>
            </w:tcMar>
            <w:vAlign w:val="center"/>
            <w:hideMark/>
          </w:tcPr>
          <w:p w14:paraId="379B2C89" w14:textId="77777777" w:rsidR="00C22ED3" w:rsidRPr="00C22ED3" w:rsidRDefault="00C22ED3" w:rsidP="00AA4BBB">
            <w:pPr>
              <w:jc w:val="center"/>
              <w:rPr>
                <w:rFonts w:cs="Arial"/>
                <w:sz w:val="20"/>
                <w:szCs w:val="20"/>
              </w:rPr>
            </w:pPr>
            <w:r w:rsidRPr="00C22ED3">
              <w:rPr>
                <w:rFonts w:cs="Arial"/>
                <w:sz w:val="20"/>
                <w:szCs w:val="20"/>
              </w:rPr>
              <w:t>9%</w:t>
            </w:r>
          </w:p>
        </w:tc>
        <w:tc>
          <w:tcPr>
            <w:tcW w:w="561" w:type="pct"/>
            <w:tcMar>
              <w:top w:w="30" w:type="dxa"/>
              <w:left w:w="45" w:type="dxa"/>
              <w:bottom w:w="30" w:type="dxa"/>
              <w:right w:w="45" w:type="dxa"/>
            </w:tcMar>
            <w:vAlign w:val="center"/>
            <w:hideMark/>
          </w:tcPr>
          <w:p w14:paraId="57085D3C" w14:textId="77777777" w:rsidR="00C22ED3" w:rsidRPr="00C22ED3" w:rsidRDefault="00C22ED3" w:rsidP="00AA4BBB">
            <w:pPr>
              <w:jc w:val="center"/>
              <w:rPr>
                <w:rFonts w:cs="Arial"/>
                <w:sz w:val="20"/>
                <w:szCs w:val="20"/>
              </w:rPr>
            </w:pPr>
            <w:r w:rsidRPr="00C22ED3">
              <w:rPr>
                <w:rFonts w:cs="Arial"/>
                <w:sz w:val="20"/>
                <w:szCs w:val="20"/>
              </w:rPr>
              <w:t>12%</w:t>
            </w:r>
          </w:p>
        </w:tc>
        <w:tc>
          <w:tcPr>
            <w:tcW w:w="549" w:type="pct"/>
            <w:vMerge w:val="restart"/>
            <w:tcMar>
              <w:top w:w="30" w:type="dxa"/>
              <w:left w:w="45" w:type="dxa"/>
              <w:bottom w:w="30" w:type="dxa"/>
              <w:right w:w="45" w:type="dxa"/>
            </w:tcMar>
            <w:vAlign w:val="center"/>
            <w:hideMark/>
          </w:tcPr>
          <w:p w14:paraId="76ED9BFD" w14:textId="77777777" w:rsidR="00C22ED3" w:rsidRPr="00C22ED3" w:rsidRDefault="00C22ED3" w:rsidP="00AA4BBB">
            <w:pPr>
              <w:jc w:val="center"/>
              <w:rPr>
                <w:rFonts w:cs="Arial"/>
                <w:b/>
                <w:bCs/>
                <w:sz w:val="20"/>
                <w:szCs w:val="20"/>
              </w:rPr>
            </w:pPr>
            <w:r w:rsidRPr="00C22ED3">
              <w:rPr>
                <w:rFonts w:cs="Arial"/>
                <w:b/>
                <w:bCs/>
                <w:sz w:val="20"/>
                <w:szCs w:val="20"/>
              </w:rPr>
              <w:t>48.515.292.144</w:t>
            </w:r>
          </w:p>
        </w:tc>
      </w:tr>
      <w:tr w:rsidR="00C22ED3" w:rsidRPr="00C22ED3" w14:paraId="75737135" w14:textId="77777777" w:rsidTr="006A7921">
        <w:tc>
          <w:tcPr>
            <w:tcW w:w="2291" w:type="pct"/>
            <w:vMerge/>
            <w:vAlign w:val="center"/>
            <w:hideMark/>
          </w:tcPr>
          <w:p w14:paraId="798F5EA1"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0C2E4A37" w14:textId="77777777" w:rsidR="00C22ED3" w:rsidRPr="00C22ED3" w:rsidRDefault="00C22ED3" w:rsidP="00AA4BBB">
            <w:pPr>
              <w:jc w:val="center"/>
              <w:rPr>
                <w:rFonts w:cs="Arial"/>
                <w:sz w:val="20"/>
                <w:szCs w:val="20"/>
              </w:rPr>
            </w:pPr>
            <w:r w:rsidRPr="00C22ED3">
              <w:rPr>
                <w:rFonts w:cs="Arial"/>
                <w:sz w:val="20"/>
                <w:szCs w:val="20"/>
              </w:rPr>
              <w:t>5.426.926.000</w:t>
            </w:r>
          </w:p>
        </w:tc>
        <w:tc>
          <w:tcPr>
            <w:tcW w:w="521" w:type="pct"/>
            <w:tcMar>
              <w:top w:w="30" w:type="dxa"/>
              <w:left w:w="45" w:type="dxa"/>
              <w:bottom w:w="30" w:type="dxa"/>
              <w:right w:w="45" w:type="dxa"/>
            </w:tcMar>
            <w:vAlign w:val="center"/>
            <w:hideMark/>
          </w:tcPr>
          <w:p w14:paraId="66E1E00B" w14:textId="77777777" w:rsidR="00C22ED3" w:rsidRPr="00C22ED3" w:rsidRDefault="00C22ED3" w:rsidP="00AA4BBB">
            <w:pPr>
              <w:jc w:val="center"/>
              <w:rPr>
                <w:rFonts w:cs="Arial"/>
                <w:sz w:val="20"/>
                <w:szCs w:val="20"/>
              </w:rPr>
            </w:pPr>
            <w:r w:rsidRPr="00C22ED3">
              <w:rPr>
                <w:rFonts w:cs="Arial"/>
                <w:sz w:val="20"/>
                <w:szCs w:val="20"/>
              </w:rPr>
              <w:t>14.789.364.794</w:t>
            </w:r>
          </w:p>
        </w:tc>
        <w:tc>
          <w:tcPr>
            <w:tcW w:w="521" w:type="pct"/>
            <w:tcMar>
              <w:top w:w="30" w:type="dxa"/>
              <w:left w:w="45" w:type="dxa"/>
              <w:bottom w:w="30" w:type="dxa"/>
              <w:right w:w="45" w:type="dxa"/>
            </w:tcMar>
            <w:vAlign w:val="center"/>
            <w:hideMark/>
          </w:tcPr>
          <w:p w14:paraId="025CEB74" w14:textId="77777777" w:rsidR="00C22ED3" w:rsidRPr="00C22ED3" w:rsidRDefault="00C22ED3" w:rsidP="00AA4BBB">
            <w:pPr>
              <w:jc w:val="center"/>
              <w:rPr>
                <w:rFonts w:cs="Arial"/>
                <w:sz w:val="20"/>
                <w:szCs w:val="20"/>
              </w:rPr>
            </w:pPr>
            <w:r w:rsidRPr="00C22ED3">
              <w:rPr>
                <w:rFonts w:cs="Arial"/>
                <w:sz w:val="20"/>
                <w:szCs w:val="20"/>
              </w:rPr>
              <w:t>14.358.606.596</w:t>
            </w:r>
          </w:p>
        </w:tc>
        <w:tc>
          <w:tcPr>
            <w:tcW w:w="561" w:type="pct"/>
            <w:tcMar>
              <w:top w:w="30" w:type="dxa"/>
              <w:left w:w="45" w:type="dxa"/>
              <w:bottom w:w="30" w:type="dxa"/>
              <w:right w:w="45" w:type="dxa"/>
            </w:tcMar>
            <w:vAlign w:val="center"/>
            <w:hideMark/>
          </w:tcPr>
          <w:p w14:paraId="41C1725E" w14:textId="77777777" w:rsidR="00C22ED3" w:rsidRPr="00C22ED3" w:rsidRDefault="00C22ED3" w:rsidP="00AA4BBB">
            <w:pPr>
              <w:jc w:val="center"/>
              <w:rPr>
                <w:rFonts w:cs="Arial"/>
                <w:sz w:val="20"/>
                <w:szCs w:val="20"/>
              </w:rPr>
            </w:pPr>
            <w:r w:rsidRPr="00C22ED3">
              <w:rPr>
                <w:rFonts w:cs="Arial"/>
                <w:sz w:val="20"/>
                <w:szCs w:val="20"/>
              </w:rPr>
              <w:t>13.940.394.754</w:t>
            </w:r>
          </w:p>
        </w:tc>
        <w:tc>
          <w:tcPr>
            <w:tcW w:w="549" w:type="pct"/>
            <w:vMerge/>
            <w:vAlign w:val="center"/>
            <w:hideMark/>
          </w:tcPr>
          <w:p w14:paraId="354D66F4" w14:textId="77777777" w:rsidR="00C22ED3" w:rsidRPr="00C22ED3" w:rsidRDefault="00C22ED3" w:rsidP="00AA4BBB">
            <w:pPr>
              <w:rPr>
                <w:rFonts w:cs="Arial"/>
                <w:b/>
                <w:bCs/>
                <w:sz w:val="20"/>
                <w:szCs w:val="20"/>
              </w:rPr>
            </w:pPr>
          </w:p>
        </w:tc>
      </w:tr>
      <w:tr w:rsidR="00C22ED3" w:rsidRPr="00C22ED3" w14:paraId="668CC1DC" w14:textId="77777777" w:rsidTr="006A7921">
        <w:tc>
          <w:tcPr>
            <w:tcW w:w="2291" w:type="pct"/>
            <w:vMerge w:val="restart"/>
            <w:tcMar>
              <w:top w:w="30" w:type="dxa"/>
              <w:left w:w="45" w:type="dxa"/>
              <w:bottom w:w="30" w:type="dxa"/>
              <w:right w:w="45" w:type="dxa"/>
            </w:tcMar>
            <w:vAlign w:val="center"/>
            <w:hideMark/>
          </w:tcPr>
          <w:p w14:paraId="68CB04E6" w14:textId="77777777" w:rsidR="00C22ED3" w:rsidRPr="00C22ED3" w:rsidRDefault="00C22ED3" w:rsidP="00AA4BBB">
            <w:pPr>
              <w:rPr>
                <w:rFonts w:cs="Arial"/>
                <w:sz w:val="20"/>
                <w:szCs w:val="20"/>
              </w:rPr>
            </w:pPr>
            <w:r w:rsidRPr="00C22ED3">
              <w:rPr>
                <w:rFonts w:cs="Arial"/>
                <w:sz w:val="20"/>
                <w:szCs w:val="20"/>
              </w:rPr>
              <w:t>Reducir al 35.4% la proporción de malnutrición en la población de 5 a 17 años.</w:t>
            </w:r>
          </w:p>
        </w:tc>
        <w:tc>
          <w:tcPr>
            <w:tcW w:w="556" w:type="pct"/>
            <w:tcMar>
              <w:top w:w="30" w:type="dxa"/>
              <w:left w:w="45" w:type="dxa"/>
              <w:bottom w:w="30" w:type="dxa"/>
              <w:right w:w="45" w:type="dxa"/>
            </w:tcMar>
            <w:vAlign w:val="center"/>
            <w:hideMark/>
          </w:tcPr>
          <w:p w14:paraId="4F87D521" w14:textId="77777777" w:rsidR="00C22ED3" w:rsidRPr="00C22ED3" w:rsidRDefault="00C22ED3" w:rsidP="00AA4BBB">
            <w:pPr>
              <w:jc w:val="center"/>
              <w:rPr>
                <w:rFonts w:cs="Arial"/>
                <w:sz w:val="20"/>
                <w:szCs w:val="20"/>
              </w:rPr>
            </w:pPr>
            <w:r w:rsidRPr="00C22ED3">
              <w:rPr>
                <w:rFonts w:cs="Arial"/>
                <w:sz w:val="20"/>
                <w:szCs w:val="20"/>
              </w:rPr>
              <w:t>500</w:t>
            </w:r>
          </w:p>
        </w:tc>
        <w:tc>
          <w:tcPr>
            <w:tcW w:w="521" w:type="pct"/>
            <w:tcMar>
              <w:top w:w="30" w:type="dxa"/>
              <w:left w:w="45" w:type="dxa"/>
              <w:bottom w:w="30" w:type="dxa"/>
              <w:right w:w="45" w:type="dxa"/>
            </w:tcMar>
            <w:vAlign w:val="center"/>
            <w:hideMark/>
          </w:tcPr>
          <w:p w14:paraId="29082A35" w14:textId="77777777" w:rsidR="00C22ED3" w:rsidRPr="00C22ED3" w:rsidRDefault="00C22ED3" w:rsidP="00AA4BBB">
            <w:pPr>
              <w:jc w:val="center"/>
              <w:rPr>
                <w:rFonts w:cs="Arial"/>
                <w:sz w:val="20"/>
                <w:szCs w:val="20"/>
              </w:rPr>
            </w:pPr>
            <w:r w:rsidRPr="00C22ED3">
              <w:rPr>
                <w:rFonts w:cs="Arial"/>
                <w:sz w:val="20"/>
                <w:szCs w:val="20"/>
              </w:rPr>
              <w:t>1.500</w:t>
            </w:r>
          </w:p>
        </w:tc>
        <w:tc>
          <w:tcPr>
            <w:tcW w:w="521" w:type="pct"/>
            <w:tcMar>
              <w:top w:w="30" w:type="dxa"/>
              <w:left w:w="45" w:type="dxa"/>
              <w:bottom w:w="30" w:type="dxa"/>
              <w:right w:w="45" w:type="dxa"/>
            </w:tcMar>
            <w:vAlign w:val="center"/>
            <w:hideMark/>
          </w:tcPr>
          <w:p w14:paraId="3947F737" w14:textId="77777777" w:rsidR="00C22ED3" w:rsidRPr="00C22ED3" w:rsidRDefault="00C22ED3" w:rsidP="00AA4BBB">
            <w:pPr>
              <w:jc w:val="center"/>
              <w:rPr>
                <w:rFonts w:cs="Arial"/>
                <w:sz w:val="20"/>
                <w:szCs w:val="20"/>
              </w:rPr>
            </w:pPr>
            <w:r w:rsidRPr="00C22ED3">
              <w:rPr>
                <w:rFonts w:cs="Arial"/>
                <w:sz w:val="20"/>
                <w:szCs w:val="20"/>
              </w:rPr>
              <w:t>2.500</w:t>
            </w:r>
          </w:p>
        </w:tc>
        <w:tc>
          <w:tcPr>
            <w:tcW w:w="561" w:type="pct"/>
            <w:tcMar>
              <w:top w:w="30" w:type="dxa"/>
              <w:left w:w="45" w:type="dxa"/>
              <w:bottom w:w="30" w:type="dxa"/>
              <w:right w:w="45" w:type="dxa"/>
            </w:tcMar>
            <w:vAlign w:val="center"/>
            <w:hideMark/>
          </w:tcPr>
          <w:p w14:paraId="18E3C928" w14:textId="77777777" w:rsidR="00C22ED3" w:rsidRPr="00C22ED3" w:rsidRDefault="00C22ED3" w:rsidP="00AA4BBB">
            <w:pPr>
              <w:jc w:val="center"/>
              <w:rPr>
                <w:rFonts w:cs="Arial"/>
                <w:sz w:val="20"/>
                <w:szCs w:val="20"/>
              </w:rPr>
            </w:pPr>
            <w:r w:rsidRPr="00C22ED3">
              <w:rPr>
                <w:rFonts w:cs="Arial"/>
                <w:sz w:val="20"/>
                <w:szCs w:val="20"/>
              </w:rPr>
              <w:t>3.540</w:t>
            </w:r>
          </w:p>
        </w:tc>
        <w:tc>
          <w:tcPr>
            <w:tcW w:w="549" w:type="pct"/>
            <w:vMerge w:val="restart"/>
            <w:tcMar>
              <w:top w:w="30" w:type="dxa"/>
              <w:left w:w="45" w:type="dxa"/>
              <w:bottom w:w="30" w:type="dxa"/>
              <w:right w:w="45" w:type="dxa"/>
            </w:tcMar>
            <w:vAlign w:val="center"/>
            <w:hideMark/>
          </w:tcPr>
          <w:p w14:paraId="75A8C4A4" w14:textId="77777777" w:rsidR="00C22ED3" w:rsidRPr="00C22ED3" w:rsidRDefault="00C22ED3" w:rsidP="00AA4BBB">
            <w:pPr>
              <w:jc w:val="center"/>
              <w:rPr>
                <w:rFonts w:cs="Arial"/>
                <w:b/>
                <w:bCs/>
                <w:sz w:val="20"/>
                <w:szCs w:val="20"/>
              </w:rPr>
            </w:pPr>
            <w:r w:rsidRPr="00C22ED3">
              <w:rPr>
                <w:rFonts w:cs="Arial"/>
                <w:b/>
                <w:bCs/>
                <w:sz w:val="20"/>
                <w:szCs w:val="20"/>
              </w:rPr>
              <w:t>25.750.650.563</w:t>
            </w:r>
          </w:p>
        </w:tc>
      </w:tr>
      <w:tr w:rsidR="00C22ED3" w:rsidRPr="00C22ED3" w14:paraId="774CEC09" w14:textId="77777777" w:rsidTr="006A7921">
        <w:tc>
          <w:tcPr>
            <w:tcW w:w="2291" w:type="pct"/>
            <w:vMerge/>
            <w:vAlign w:val="center"/>
            <w:hideMark/>
          </w:tcPr>
          <w:p w14:paraId="40F5FF8C" w14:textId="77777777" w:rsidR="00C22ED3" w:rsidRPr="00C22ED3" w:rsidRDefault="00C22ED3" w:rsidP="00AA4BBB">
            <w:pPr>
              <w:rPr>
                <w:rFonts w:cs="Arial"/>
                <w:sz w:val="20"/>
                <w:szCs w:val="20"/>
              </w:rPr>
            </w:pPr>
          </w:p>
        </w:tc>
        <w:tc>
          <w:tcPr>
            <w:tcW w:w="556" w:type="pct"/>
            <w:tcMar>
              <w:top w:w="30" w:type="dxa"/>
              <w:left w:w="45" w:type="dxa"/>
              <w:bottom w:w="30" w:type="dxa"/>
              <w:right w:w="45" w:type="dxa"/>
            </w:tcMar>
            <w:vAlign w:val="center"/>
            <w:hideMark/>
          </w:tcPr>
          <w:p w14:paraId="3859638B" w14:textId="77777777" w:rsidR="00C22ED3" w:rsidRPr="00C22ED3" w:rsidRDefault="00C22ED3" w:rsidP="00AA4BBB">
            <w:pPr>
              <w:jc w:val="center"/>
              <w:rPr>
                <w:rFonts w:cs="Arial"/>
                <w:sz w:val="20"/>
                <w:szCs w:val="20"/>
              </w:rPr>
            </w:pPr>
            <w:r w:rsidRPr="00C22ED3">
              <w:rPr>
                <w:rFonts w:cs="Arial"/>
                <w:sz w:val="20"/>
                <w:szCs w:val="20"/>
              </w:rPr>
              <w:t>4.633.181.140</w:t>
            </w:r>
          </w:p>
        </w:tc>
        <w:tc>
          <w:tcPr>
            <w:tcW w:w="521" w:type="pct"/>
            <w:tcMar>
              <w:top w:w="30" w:type="dxa"/>
              <w:left w:w="45" w:type="dxa"/>
              <w:bottom w:w="30" w:type="dxa"/>
              <w:right w:w="45" w:type="dxa"/>
            </w:tcMar>
            <w:vAlign w:val="center"/>
            <w:hideMark/>
          </w:tcPr>
          <w:p w14:paraId="584CA27D" w14:textId="77777777" w:rsidR="00C22ED3" w:rsidRPr="00C22ED3" w:rsidRDefault="00C22ED3" w:rsidP="00AA4BBB">
            <w:pPr>
              <w:jc w:val="center"/>
              <w:rPr>
                <w:rFonts w:cs="Arial"/>
                <w:sz w:val="20"/>
                <w:szCs w:val="20"/>
              </w:rPr>
            </w:pPr>
            <w:r w:rsidRPr="00C22ED3">
              <w:rPr>
                <w:rFonts w:cs="Arial"/>
                <w:sz w:val="20"/>
                <w:szCs w:val="20"/>
              </w:rPr>
              <w:t>6.610.582.524</w:t>
            </w:r>
          </w:p>
        </w:tc>
        <w:tc>
          <w:tcPr>
            <w:tcW w:w="521" w:type="pct"/>
            <w:tcMar>
              <w:top w:w="30" w:type="dxa"/>
              <w:left w:w="45" w:type="dxa"/>
              <w:bottom w:w="30" w:type="dxa"/>
              <w:right w:w="45" w:type="dxa"/>
            </w:tcMar>
            <w:vAlign w:val="center"/>
            <w:hideMark/>
          </w:tcPr>
          <w:p w14:paraId="0F026AD5" w14:textId="77777777" w:rsidR="00C22ED3" w:rsidRPr="00C22ED3" w:rsidRDefault="00C22ED3" w:rsidP="00AA4BBB">
            <w:pPr>
              <w:jc w:val="center"/>
              <w:rPr>
                <w:rFonts w:cs="Arial"/>
                <w:sz w:val="20"/>
                <w:szCs w:val="20"/>
              </w:rPr>
            </w:pPr>
            <w:r w:rsidRPr="00C22ED3">
              <w:rPr>
                <w:rFonts w:cs="Arial"/>
                <w:sz w:val="20"/>
                <w:szCs w:val="20"/>
              </w:rPr>
              <w:t>7.360.637.195</w:t>
            </w:r>
          </w:p>
        </w:tc>
        <w:tc>
          <w:tcPr>
            <w:tcW w:w="561" w:type="pct"/>
            <w:tcMar>
              <w:top w:w="30" w:type="dxa"/>
              <w:left w:w="45" w:type="dxa"/>
              <w:bottom w:w="30" w:type="dxa"/>
              <w:right w:w="45" w:type="dxa"/>
            </w:tcMar>
            <w:vAlign w:val="center"/>
            <w:hideMark/>
          </w:tcPr>
          <w:p w14:paraId="6AC9238D" w14:textId="77777777" w:rsidR="00C22ED3" w:rsidRPr="00C22ED3" w:rsidRDefault="00C22ED3" w:rsidP="00AA4BBB">
            <w:pPr>
              <w:jc w:val="center"/>
              <w:rPr>
                <w:rFonts w:cs="Arial"/>
                <w:sz w:val="20"/>
                <w:szCs w:val="20"/>
              </w:rPr>
            </w:pPr>
            <w:r w:rsidRPr="00C22ED3">
              <w:rPr>
                <w:rFonts w:cs="Arial"/>
                <w:sz w:val="20"/>
                <w:szCs w:val="20"/>
              </w:rPr>
              <w:t>7.146.249.704</w:t>
            </w:r>
          </w:p>
        </w:tc>
        <w:tc>
          <w:tcPr>
            <w:tcW w:w="549" w:type="pct"/>
            <w:vMerge/>
            <w:vAlign w:val="center"/>
            <w:hideMark/>
          </w:tcPr>
          <w:p w14:paraId="4165BE93" w14:textId="77777777" w:rsidR="00C22ED3" w:rsidRPr="00C22ED3" w:rsidRDefault="00C22ED3" w:rsidP="00AA4BBB">
            <w:pPr>
              <w:rPr>
                <w:rFonts w:cs="Arial"/>
                <w:b/>
                <w:bCs/>
                <w:sz w:val="20"/>
                <w:szCs w:val="20"/>
              </w:rPr>
            </w:pPr>
          </w:p>
        </w:tc>
      </w:tr>
      <w:tr w:rsidR="00C22ED3" w:rsidRPr="00C22ED3" w14:paraId="40530862" w14:textId="77777777" w:rsidTr="006A7921">
        <w:tc>
          <w:tcPr>
            <w:tcW w:w="2291" w:type="pct"/>
            <w:vMerge w:val="restart"/>
            <w:tcMar>
              <w:top w:w="30" w:type="dxa"/>
              <w:left w:w="45" w:type="dxa"/>
              <w:bottom w:w="30" w:type="dxa"/>
              <w:right w:w="45" w:type="dxa"/>
            </w:tcMar>
            <w:vAlign w:val="center"/>
            <w:hideMark/>
          </w:tcPr>
          <w:p w14:paraId="5D07FEEB" w14:textId="77777777" w:rsidR="00C22ED3" w:rsidRPr="00C22ED3" w:rsidRDefault="00C22ED3" w:rsidP="00AA4BBB">
            <w:pPr>
              <w:rPr>
                <w:rFonts w:cs="Arial"/>
                <w:sz w:val="20"/>
                <w:szCs w:val="20"/>
              </w:rPr>
            </w:pPr>
            <w:r w:rsidRPr="00C22ED3">
              <w:rPr>
                <w:rFonts w:cs="Arial"/>
                <w:sz w:val="20"/>
                <w:szCs w:val="20"/>
              </w:rPr>
              <w:t>Vincular el 100% de las personas identificadas por el sector salud con enfoque diferencial y por momentos de curso de vida género orientaciones e identidades diversas y por condiciones o situaciones a las acciones individuales colectivas y poblacionales de la oferta de salud.</w:t>
            </w:r>
          </w:p>
        </w:tc>
        <w:tc>
          <w:tcPr>
            <w:tcW w:w="556" w:type="pct"/>
            <w:tcMar>
              <w:top w:w="30" w:type="dxa"/>
              <w:left w:w="45" w:type="dxa"/>
              <w:bottom w:w="30" w:type="dxa"/>
              <w:right w:w="45" w:type="dxa"/>
            </w:tcMar>
            <w:vAlign w:val="center"/>
            <w:hideMark/>
          </w:tcPr>
          <w:p w14:paraId="16CB5BB5" w14:textId="77777777" w:rsidR="00C22ED3" w:rsidRPr="00C22ED3" w:rsidRDefault="00C22ED3" w:rsidP="00AA4BBB">
            <w:pPr>
              <w:jc w:val="center"/>
              <w:rPr>
                <w:rFonts w:cs="Arial"/>
                <w:sz w:val="20"/>
                <w:szCs w:val="20"/>
              </w:rPr>
            </w:pPr>
            <w:r w:rsidRPr="00C22ED3">
              <w:rPr>
                <w:rFonts w:cs="Arial"/>
                <w:sz w:val="20"/>
                <w:szCs w:val="20"/>
              </w:rPr>
              <w:t>0</w:t>
            </w:r>
          </w:p>
        </w:tc>
        <w:tc>
          <w:tcPr>
            <w:tcW w:w="521" w:type="pct"/>
            <w:tcMar>
              <w:top w:w="30" w:type="dxa"/>
              <w:left w:w="45" w:type="dxa"/>
              <w:bottom w:w="30" w:type="dxa"/>
              <w:right w:w="45" w:type="dxa"/>
            </w:tcMar>
            <w:vAlign w:val="center"/>
            <w:hideMark/>
          </w:tcPr>
          <w:p w14:paraId="1289FC88" w14:textId="77777777" w:rsidR="00C22ED3" w:rsidRPr="00C22ED3" w:rsidRDefault="00C22ED3" w:rsidP="00AA4BBB">
            <w:pPr>
              <w:jc w:val="center"/>
              <w:rPr>
                <w:rFonts w:cs="Arial"/>
                <w:sz w:val="20"/>
                <w:szCs w:val="20"/>
              </w:rPr>
            </w:pPr>
            <w:r w:rsidRPr="00C22ED3">
              <w:rPr>
                <w:rFonts w:cs="Arial"/>
                <w:sz w:val="20"/>
                <w:szCs w:val="20"/>
              </w:rPr>
              <w:t>1</w:t>
            </w:r>
          </w:p>
        </w:tc>
        <w:tc>
          <w:tcPr>
            <w:tcW w:w="521" w:type="pct"/>
            <w:tcMar>
              <w:top w:w="30" w:type="dxa"/>
              <w:left w:w="45" w:type="dxa"/>
              <w:bottom w:w="30" w:type="dxa"/>
              <w:right w:w="45" w:type="dxa"/>
            </w:tcMar>
            <w:vAlign w:val="center"/>
            <w:hideMark/>
          </w:tcPr>
          <w:p w14:paraId="52A9B5B6" w14:textId="77777777" w:rsidR="00C22ED3" w:rsidRPr="00C22ED3" w:rsidRDefault="00C22ED3" w:rsidP="00AA4BBB">
            <w:pPr>
              <w:jc w:val="center"/>
              <w:rPr>
                <w:rFonts w:cs="Arial"/>
                <w:sz w:val="20"/>
                <w:szCs w:val="20"/>
              </w:rPr>
            </w:pPr>
            <w:r w:rsidRPr="00C22ED3">
              <w:rPr>
                <w:rFonts w:cs="Arial"/>
                <w:sz w:val="20"/>
                <w:szCs w:val="20"/>
              </w:rPr>
              <w:t>1</w:t>
            </w:r>
          </w:p>
        </w:tc>
        <w:tc>
          <w:tcPr>
            <w:tcW w:w="561" w:type="pct"/>
            <w:tcMar>
              <w:top w:w="30" w:type="dxa"/>
              <w:left w:w="45" w:type="dxa"/>
              <w:bottom w:w="30" w:type="dxa"/>
              <w:right w:w="45" w:type="dxa"/>
            </w:tcMar>
            <w:vAlign w:val="center"/>
            <w:hideMark/>
          </w:tcPr>
          <w:p w14:paraId="53ACEBD2" w14:textId="77777777" w:rsidR="00C22ED3" w:rsidRPr="00C22ED3" w:rsidRDefault="00C22ED3" w:rsidP="00AA4BBB">
            <w:pPr>
              <w:jc w:val="center"/>
              <w:rPr>
                <w:rFonts w:cs="Arial"/>
                <w:sz w:val="20"/>
                <w:szCs w:val="20"/>
              </w:rPr>
            </w:pPr>
            <w:r w:rsidRPr="00C22ED3">
              <w:rPr>
                <w:rFonts w:cs="Arial"/>
                <w:sz w:val="20"/>
                <w:szCs w:val="20"/>
              </w:rPr>
              <w:t>1</w:t>
            </w:r>
          </w:p>
        </w:tc>
        <w:tc>
          <w:tcPr>
            <w:tcW w:w="549" w:type="pct"/>
            <w:vMerge w:val="restart"/>
            <w:tcMar>
              <w:top w:w="30" w:type="dxa"/>
              <w:left w:w="45" w:type="dxa"/>
              <w:bottom w:w="30" w:type="dxa"/>
              <w:right w:w="45" w:type="dxa"/>
            </w:tcMar>
            <w:vAlign w:val="center"/>
            <w:hideMark/>
          </w:tcPr>
          <w:p w14:paraId="2BDFB5ED" w14:textId="77777777" w:rsidR="00C22ED3" w:rsidRPr="00C22ED3" w:rsidRDefault="00C22ED3" w:rsidP="00AA4BBB">
            <w:pPr>
              <w:jc w:val="center"/>
              <w:rPr>
                <w:rFonts w:cs="Arial"/>
                <w:b/>
                <w:bCs/>
                <w:sz w:val="20"/>
                <w:szCs w:val="20"/>
              </w:rPr>
            </w:pPr>
            <w:r w:rsidRPr="00C22ED3">
              <w:rPr>
                <w:rFonts w:cs="Arial"/>
                <w:b/>
                <w:bCs/>
                <w:sz w:val="20"/>
                <w:szCs w:val="20"/>
              </w:rPr>
              <w:t>80.777.760.181</w:t>
            </w:r>
          </w:p>
        </w:tc>
      </w:tr>
      <w:tr w:rsidR="00C22ED3" w:rsidRPr="00C22ED3" w14:paraId="6DDF753D" w14:textId="77777777" w:rsidTr="00920C99">
        <w:tc>
          <w:tcPr>
            <w:tcW w:w="2291" w:type="pct"/>
            <w:vMerge/>
            <w:tcBorders>
              <w:bottom w:val="double" w:sz="4" w:space="0" w:color="C00000"/>
            </w:tcBorders>
            <w:vAlign w:val="center"/>
            <w:hideMark/>
          </w:tcPr>
          <w:p w14:paraId="4C7575C9" w14:textId="77777777" w:rsidR="00C22ED3" w:rsidRPr="00C22ED3" w:rsidRDefault="00C22ED3" w:rsidP="00AA4BBB">
            <w:pPr>
              <w:rPr>
                <w:rFonts w:cs="Arial"/>
                <w:sz w:val="20"/>
                <w:szCs w:val="20"/>
              </w:rPr>
            </w:pPr>
          </w:p>
        </w:tc>
        <w:tc>
          <w:tcPr>
            <w:tcW w:w="556" w:type="pct"/>
            <w:tcBorders>
              <w:bottom w:val="double" w:sz="4" w:space="0" w:color="C00000"/>
            </w:tcBorders>
            <w:tcMar>
              <w:top w:w="30" w:type="dxa"/>
              <w:left w:w="45" w:type="dxa"/>
              <w:bottom w:w="30" w:type="dxa"/>
              <w:right w:w="45" w:type="dxa"/>
            </w:tcMar>
            <w:vAlign w:val="center"/>
            <w:hideMark/>
          </w:tcPr>
          <w:p w14:paraId="51348639" w14:textId="77777777" w:rsidR="00C22ED3" w:rsidRPr="00C22ED3" w:rsidRDefault="00C22ED3" w:rsidP="00AA4BBB">
            <w:pPr>
              <w:jc w:val="center"/>
              <w:rPr>
                <w:rFonts w:cs="Arial"/>
                <w:sz w:val="20"/>
                <w:szCs w:val="20"/>
              </w:rPr>
            </w:pPr>
            <w:r w:rsidRPr="00C22ED3">
              <w:rPr>
                <w:rFonts w:cs="Arial"/>
                <w:sz w:val="20"/>
                <w:szCs w:val="20"/>
              </w:rPr>
              <w:t>16.876.675.000</w:t>
            </w:r>
          </w:p>
        </w:tc>
        <w:tc>
          <w:tcPr>
            <w:tcW w:w="521" w:type="pct"/>
            <w:tcBorders>
              <w:bottom w:val="double" w:sz="4" w:space="0" w:color="C00000"/>
            </w:tcBorders>
            <w:tcMar>
              <w:top w:w="30" w:type="dxa"/>
              <w:left w:w="45" w:type="dxa"/>
              <w:bottom w:w="30" w:type="dxa"/>
              <w:right w:w="45" w:type="dxa"/>
            </w:tcMar>
            <w:vAlign w:val="center"/>
            <w:hideMark/>
          </w:tcPr>
          <w:p w14:paraId="670E0941" w14:textId="77777777" w:rsidR="00C22ED3" w:rsidRPr="00C22ED3" w:rsidRDefault="00C22ED3" w:rsidP="00AA4BBB">
            <w:pPr>
              <w:jc w:val="center"/>
              <w:rPr>
                <w:rFonts w:cs="Arial"/>
                <w:sz w:val="20"/>
                <w:szCs w:val="20"/>
              </w:rPr>
            </w:pPr>
            <w:r w:rsidRPr="00C22ED3">
              <w:rPr>
                <w:rFonts w:cs="Arial"/>
                <w:sz w:val="20"/>
                <w:szCs w:val="20"/>
              </w:rPr>
              <w:t>19.302.849.157</w:t>
            </w:r>
          </w:p>
        </w:tc>
        <w:tc>
          <w:tcPr>
            <w:tcW w:w="521" w:type="pct"/>
            <w:tcBorders>
              <w:bottom w:val="double" w:sz="4" w:space="0" w:color="C00000"/>
            </w:tcBorders>
            <w:tcMar>
              <w:top w:w="30" w:type="dxa"/>
              <w:left w:w="45" w:type="dxa"/>
              <w:bottom w:w="30" w:type="dxa"/>
              <w:right w:w="45" w:type="dxa"/>
            </w:tcMar>
            <w:vAlign w:val="center"/>
            <w:hideMark/>
          </w:tcPr>
          <w:p w14:paraId="2085E692" w14:textId="77777777" w:rsidR="00C22ED3" w:rsidRPr="00C22ED3" w:rsidRDefault="00C22ED3" w:rsidP="00AA4BBB">
            <w:pPr>
              <w:jc w:val="center"/>
              <w:rPr>
                <w:rFonts w:cs="Arial"/>
                <w:sz w:val="20"/>
                <w:szCs w:val="20"/>
              </w:rPr>
            </w:pPr>
            <w:r w:rsidRPr="00C22ED3">
              <w:rPr>
                <w:rFonts w:cs="Arial"/>
                <w:sz w:val="20"/>
                <w:szCs w:val="20"/>
              </w:rPr>
              <w:t>24.564.353.300</w:t>
            </w:r>
          </w:p>
        </w:tc>
        <w:tc>
          <w:tcPr>
            <w:tcW w:w="561" w:type="pct"/>
            <w:tcBorders>
              <w:bottom w:val="double" w:sz="4" w:space="0" w:color="C00000"/>
            </w:tcBorders>
            <w:tcMar>
              <w:top w:w="30" w:type="dxa"/>
              <w:left w:w="45" w:type="dxa"/>
              <w:bottom w:w="30" w:type="dxa"/>
              <w:right w:w="45" w:type="dxa"/>
            </w:tcMar>
            <w:vAlign w:val="center"/>
            <w:hideMark/>
          </w:tcPr>
          <w:p w14:paraId="4BEB2E5A" w14:textId="77777777" w:rsidR="00C22ED3" w:rsidRPr="00C22ED3" w:rsidRDefault="00C22ED3" w:rsidP="00AA4BBB">
            <w:pPr>
              <w:jc w:val="center"/>
              <w:rPr>
                <w:rFonts w:cs="Arial"/>
                <w:sz w:val="20"/>
                <w:szCs w:val="20"/>
              </w:rPr>
            </w:pPr>
            <w:r w:rsidRPr="00C22ED3">
              <w:rPr>
                <w:rFonts w:cs="Arial"/>
                <w:sz w:val="20"/>
                <w:szCs w:val="20"/>
              </w:rPr>
              <w:t>20.033.882.724</w:t>
            </w:r>
          </w:p>
        </w:tc>
        <w:tc>
          <w:tcPr>
            <w:tcW w:w="549" w:type="pct"/>
            <w:vMerge/>
            <w:tcBorders>
              <w:bottom w:val="double" w:sz="4" w:space="0" w:color="C00000"/>
            </w:tcBorders>
            <w:vAlign w:val="center"/>
            <w:hideMark/>
          </w:tcPr>
          <w:p w14:paraId="185E1F32" w14:textId="77777777" w:rsidR="00C22ED3" w:rsidRPr="00C22ED3" w:rsidRDefault="00C22ED3" w:rsidP="00AA4BBB">
            <w:pPr>
              <w:rPr>
                <w:rFonts w:cs="Arial"/>
                <w:b/>
                <w:bCs/>
                <w:sz w:val="20"/>
                <w:szCs w:val="20"/>
              </w:rPr>
            </w:pPr>
          </w:p>
        </w:tc>
      </w:tr>
    </w:tbl>
    <w:p w14:paraId="75527B7A" w14:textId="77777777" w:rsidR="00C22ED3" w:rsidRDefault="00C22ED3" w:rsidP="00B14E38">
      <w:pPr>
        <w:pStyle w:val="figuratitulo"/>
      </w:pPr>
    </w:p>
    <w:p w14:paraId="31D8AA37" w14:textId="77777777" w:rsidR="001D3B8F" w:rsidRDefault="001D3B8F" w:rsidP="00B14E38">
      <w:pPr>
        <w:pStyle w:val="figuratitulo"/>
        <w:sectPr w:rsidR="001D3B8F" w:rsidSect="00F7078E">
          <w:type w:val="continuous"/>
          <w:pgSz w:w="12240" w:h="15840"/>
          <w:pgMar w:top="2262" w:right="1440" w:bottom="1440" w:left="1440" w:header="708" w:footer="680" w:gutter="0"/>
          <w:cols w:space="567"/>
          <w:docGrid w:linePitch="299"/>
        </w:sectPr>
      </w:pPr>
    </w:p>
    <w:p w14:paraId="0D4F893F" w14:textId="77777777" w:rsidR="00B14E38" w:rsidRPr="00B944E8" w:rsidRDefault="00B14E38" w:rsidP="00B14E38">
      <w:pPr>
        <w:pStyle w:val="figuratitulo"/>
      </w:pPr>
    </w:p>
    <w:p w14:paraId="4264109E" w14:textId="77777777" w:rsidR="00B14E38" w:rsidRPr="00B944E8" w:rsidRDefault="00B14E38" w:rsidP="00920C99">
      <w:pPr>
        <w:rPr>
          <w:rFonts w:ascii="Times New Roman" w:hAnsi="Times New Roman"/>
          <w:color w:val="auto"/>
        </w:rPr>
      </w:pPr>
      <w:bookmarkStart w:id="267" w:name="_heading=h.meukdy" w:colFirst="0" w:colLast="0"/>
      <w:bookmarkStart w:id="268" w:name="_heading=h.rp9h6fyr11vq" w:colFirst="0" w:colLast="0"/>
      <w:bookmarkStart w:id="269" w:name="_heading=h.3cqmetx" w:colFirst="0" w:colLast="0"/>
      <w:bookmarkEnd w:id="267"/>
      <w:bookmarkEnd w:id="268"/>
      <w:bookmarkEnd w:id="269"/>
    </w:p>
    <w:p w14:paraId="6D1835B3" w14:textId="77777777" w:rsidR="00AB43CE" w:rsidRDefault="00AB43CE" w:rsidP="00AB43CE">
      <w:pPr>
        <w:pStyle w:val="Ttulo2"/>
        <w:numPr>
          <w:ilvl w:val="0"/>
          <w:numId w:val="0"/>
        </w:numPr>
        <w:ind w:left="792" w:hanging="432"/>
        <w:rPr>
          <w:color w:val="C00000"/>
        </w:rPr>
      </w:pPr>
      <w:r>
        <w:rPr>
          <w:color w:val="C00000"/>
        </w:rPr>
        <w:br w:type="page"/>
      </w:r>
    </w:p>
    <w:p w14:paraId="71500C37" w14:textId="77777777" w:rsidR="00AB43CE" w:rsidRDefault="00AB43CE" w:rsidP="00AB43CE">
      <w:pPr>
        <w:pStyle w:val="Ttulo2"/>
        <w:numPr>
          <w:ilvl w:val="0"/>
          <w:numId w:val="0"/>
        </w:numPr>
        <w:ind w:left="792" w:hanging="432"/>
        <w:rPr>
          <w:color w:val="C00000"/>
        </w:rPr>
        <w:sectPr w:rsidR="00AB43CE" w:rsidSect="00F7078E">
          <w:type w:val="continuous"/>
          <w:pgSz w:w="12240" w:h="15840"/>
          <w:pgMar w:top="2262" w:right="1440" w:bottom="1440" w:left="1440" w:header="708" w:footer="680" w:gutter="0"/>
          <w:cols w:num="2" w:space="567"/>
          <w:docGrid w:linePitch="299"/>
        </w:sectPr>
      </w:pPr>
    </w:p>
    <w:p w14:paraId="13DE5332" w14:textId="0887DA1D" w:rsidR="00B14E38" w:rsidRPr="00AB43CE" w:rsidRDefault="00B14E38" w:rsidP="00920C99">
      <w:pPr>
        <w:pStyle w:val="NIVEL4"/>
        <w:rPr>
          <w:i/>
        </w:rPr>
      </w:pPr>
      <w:bookmarkStart w:id="270" w:name="_Toc165169770"/>
      <w:r w:rsidRPr="00AB43CE">
        <w:rPr>
          <w:color w:val="C00000"/>
        </w:rPr>
        <w:lastRenderedPageBreak/>
        <w:t>Programa 11</w:t>
      </w:r>
      <w:r w:rsidR="00920C99">
        <w:rPr>
          <w:color w:val="C00000"/>
        </w:rPr>
        <w:t xml:space="preserve">: </w:t>
      </w:r>
      <w:r w:rsidRPr="00AB43CE">
        <w:t>Salud con calidad y en el territorio</w:t>
      </w:r>
      <w:bookmarkEnd w:id="270"/>
    </w:p>
    <w:p w14:paraId="532A57D1" w14:textId="77777777" w:rsidR="00B14E38" w:rsidRPr="00AB43CE" w:rsidRDefault="00B14E38" w:rsidP="00F25D46">
      <w:pPr>
        <w:rPr>
          <w:color w:val="C00000"/>
        </w:rPr>
      </w:pPr>
    </w:p>
    <w:p w14:paraId="1A77BEAD" w14:textId="534C138C" w:rsidR="00B14E38" w:rsidRPr="00F25D46" w:rsidRDefault="00B14E38" w:rsidP="00F25D46">
      <w:pPr>
        <w:ind w:firstLine="708"/>
        <w:rPr>
          <w:b/>
          <w:bCs/>
          <w:sz w:val="24"/>
        </w:rPr>
      </w:pPr>
      <w:r w:rsidRPr="00F25D46">
        <w:rPr>
          <w:b/>
          <w:bCs/>
          <w:sz w:val="24"/>
        </w:rPr>
        <w:t>Diagnóstico</w:t>
      </w:r>
    </w:p>
    <w:p w14:paraId="1D6CF222" w14:textId="77777777" w:rsidR="00AB43CE" w:rsidRDefault="00AB43CE" w:rsidP="00B14E38">
      <w:pPr>
        <w:sectPr w:rsidR="00AB43CE" w:rsidSect="00F7078E">
          <w:type w:val="continuous"/>
          <w:pgSz w:w="12240" w:h="15840"/>
          <w:pgMar w:top="2262" w:right="1440" w:bottom="1440" w:left="1440" w:header="708" w:footer="680" w:gutter="0"/>
          <w:cols w:space="567"/>
          <w:docGrid w:linePitch="299"/>
        </w:sectPr>
      </w:pPr>
    </w:p>
    <w:p w14:paraId="7A8756AB" w14:textId="77777777" w:rsidR="00F25D46" w:rsidRDefault="00F25D46" w:rsidP="00F25D46">
      <w:r>
        <w:t>Bogotá es una ciudad con altos niveles de desigualdad social, con una población urbana y rural heterogénea y diversa. Por eso es importante considerar el puesto que ocupan las personas en un contexto social en virtud de sus características que las identifican dentro de un grupo poblacional, el acceso a recursos y a servicios de salud, entre otras.</w:t>
      </w:r>
    </w:p>
    <w:p w14:paraId="3514E059" w14:textId="77777777" w:rsidR="00F25D46" w:rsidRDefault="00F25D46" w:rsidP="00F25D46"/>
    <w:p w14:paraId="7CEF847B" w14:textId="77777777" w:rsidR="00F25D46" w:rsidRDefault="00F25D46" w:rsidP="00F25D46">
      <w:r>
        <w:t>Según la Encuesta Multipropósito 2021, de la población en situación de pobreza, apenas el 10</w:t>
      </w:r>
      <w:r>
        <w:rPr>
          <w:rFonts w:ascii="Arial" w:hAnsi="Arial" w:cs="Arial"/>
        </w:rPr>
        <w:t> </w:t>
      </w:r>
      <w:r>
        <w:t>% o menos de las personas recurren a los servicios de salud ofrecidos por una entidad promotora de salud (EPS) o una instituci</w:t>
      </w:r>
      <w:r>
        <w:rPr>
          <w:rFonts w:cs="Candara"/>
        </w:rPr>
        <w:t>ó</w:t>
      </w:r>
      <w:r>
        <w:t>n prestadora de servicios (IPS), a las que tienen derecho por su afiliaci</w:t>
      </w:r>
      <w:r>
        <w:rPr>
          <w:rFonts w:cs="Candara"/>
        </w:rPr>
        <w:t>ó</w:t>
      </w:r>
      <w:r>
        <w:t>n al sistema de salud; mientras, m</w:t>
      </w:r>
      <w:r>
        <w:rPr>
          <w:rFonts w:cs="Candara"/>
        </w:rPr>
        <w:t>á</w:t>
      </w:r>
      <w:r>
        <w:t>s del 80</w:t>
      </w:r>
      <w:r>
        <w:rPr>
          <w:rFonts w:ascii="Arial" w:hAnsi="Arial" w:cs="Arial"/>
        </w:rPr>
        <w:t> </w:t>
      </w:r>
      <w:r>
        <w:t>% opta por acudir directamente a una farmacia, emplear remedios caseros, autorrecetarse o, simplemente, no buscar atenci</w:t>
      </w:r>
      <w:r>
        <w:rPr>
          <w:rFonts w:cs="Candara"/>
        </w:rPr>
        <w:t>ó</w:t>
      </w:r>
      <w:r>
        <w:t>n m</w:t>
      </w:r>
      <w:r>
        <w:rPr>
          <w:rFonts w:cs="Candara"/>
        </w:rPr>
        <w:t>é</w:t>
      </w:r>
      <w:r>
        <w:t>dica. Como consecuencia, la respuesta insuficiente a las necesidades de salud de la población, junto con las estrategias adoptadas por la ciudadanía para abordar estas dificultades, genera un impacto significativo en la carga de enfermedad y en la transformación de los determinantes sociales y de salud de Bogotá.</w:t>
      </w:r>
    </w:p>
    <w:p w14:paraId="0BBA4DD6" w14:textId="77777777" w:rsidR="00F25D46" w:rsidRDefault="00F25D46" w:rsidP="00F25D46"/>
    <w:p w14:paraId="0548B4A2" w14:textId="77777777" w:rsidR="00F25D46" w:rsidRDefault="00F25D46" w:rsidP="00F25D46">
      <w:r>
        <w:t xml:space="preserve">Por otra parte, prevalecen las barreras de acceso, por: información incompleta a la ciudadanía para acceder a los servicios de salud; inoportunidad en la prestación de los servicios de salud, lo que incluye demoras en el agendamiento de citas en medicina especializada e imágenes diagnósticas; no suministro de medicamentos, por falta de entrega oportuna o parcial de medicamentos; no oportunidad en la programación de cirugías, por falta de insumos; dificultad en el acceso a trámites y procesos administrativos relacionados con los servicios de salud; dificultades con trámites y demoras en los procesos de referencia de pacientes en el sistema de referencia y contrarreferencia, y dificultades con trámites y demoras en los procesos de </w:t>
      </w:r>
      <w:r>
        <w:t>referencia de pacientes, debido a situaciones como negación de servicios, atención deshumanizada, inconvenientes con las tutelas y dificultades de alto costo.</w:t>
      </w:r>
    </w:p>
    <w:p w14:paraId="51464C92" w14:textId="77777777" w:rsidR="00F25D46" w:rsidRDefault="00F25D46" w:rsidP="00F25D46"/>
    <w:p w14:paraId="10F44CD7" w14:textId="77777777" w:rsidR="00F25D46" w:rsidRDefault="00F25D46" w:rsidP="00F25D46">
      <w:r>
        <w:t>Existen otras barreras de acceso, como la información para personas con dificultades de acceso con algún tipo de discapacidad y una capacidad instalada insuficiente para la prestación de servicios asistenciales en salud. Esto también se relaciona con la dificultad de movilidad para desplazarse en algunas zonas de Bogotá y la correspondencia de las necesidades de acuerdo con la compresión territorial y la oferta brindada. Así, también hay una evidente desarticulación entre el sector público y privado para la prestación de servicios en salud.</w:t>
      </w:r>
    </w:p>
    <w:p w14:paraId="073498BE" w14:textId="77777777" w:rsidR="00F25D46" w:rsidRDefault="00F25D46" w:rsidP="00F25D46"/>
    <w:p w14:paraId="07D47330" w14:textId="77777777" w:rsidR="00F25D46" w:rsidRDefault="00F25D46" w:rsidP="00F25D46">
      <w:r>
        <w:t>Frente a las funciones de aseguramiento en salud, se realizan actividades de identificación de beneficiarios del régimen subsidiado, a través de instrumentos como la encuesta SISBEN, el seguimiento a la población susceptible de afiliación y la actualización de listados censales de poblaciones especiales. Así mismo, se promociona la afiliación al Sistema de Seguridad Social en Salud (SGSSS), con el fin de lograr la cobertura del aseguramiento de la población de Bogotá. Como resultado, para diciembre de 2023 fueron identificadas 8.017.874 personas. No obstante, aún hoy en día hay algunas otras que no hacen parte del sistema, por la falta de capacidad de pago de la población vulnerable para acceder a los servicios de salud (copago) y por el incumplimiento de los requisitos por parte de la población para ingresar a alguno de los regímenes del sistema, lo cual se atribuye al desconocimiento de la población sobre los mecanismos de acceso al aseguramiento, y al exceso de normatividad del SGSSS.</w:t>
      </w:r>
    </w:p>
    <w:p w14:paraId="7C53BAD2" w14:textId="77777777" w:rsidR="00F25D46" w:rsidRDefault="00F25D46" w:rsidP="00F25D46"/>
    <w:p w14:paraId="333307F2" w14:textId="77777777" w:rsidR="00F25D46" w:rsidRDefault="00F25D46" w:rsidP="00F25D46">
      <w:r>
        <w:t xml:space="preserve">Por otra parte, se encuentran personas que por su identificación y caracterización diferencial y </w:t>
      </w:r>
      <w:r>
        <w:lastRenderedPageBreak/>
        <w:t>en condición de vulnerabilidad no hacen parte del sistema de seguridad social en salud. Por ejemplo, cabe señalar la población indígena: según la Base de Datos Única de Afiliados (BDUA), el 56,1</w:t>
      </w:r>
      <w:r>
        <w:rPr>
          <w:rFonts w:ascii="Arial" w:hAnsi="Arial" w:cs="Arial"/>
        </w:rPr>
        <w:t> </w:t>
      </w:r>
      <w:r>
        <w:t>% de estas personas en Bogot</w:t>
      </w:r>
      <w:r>
        <w:rPr>
          <w:rFonts w:cs="Candara"/>
        </w:rPr>
        <w:t>á</w:t>
      </w:r>
      <w:r>
        <w:t xml:space="preserve"> est</w:t>
      </w:r>
      <w:r>
        <w:rPr>
          <w:rFonts w:cs="Candara"/>
        </w:rPr>
        <w:t>á</w:t>
      </w:r>
      <w:r>
        <w:t>n afiliadas al r</w:t>
      </w:r>
      <w:r>
        <w:rPr>
          <w:rFonts w:cs="Candara"/>
        </w:rPr>
        <w:t>é</w:t>
      </w:r>
      <w:r>
        <w:t>gimen contributivo; el 35,0</w:t>
      </w:r>
      <w:r>
        <w:rPr>
          <w:rFonts w:ascii="Arial" w:hAnsi="Arial" w:cs="Arial"/>
        </w:rPr>
        <w:t> </w:t>
      </w:r>
      <w:r>
        <w:t>%, al r</w:t>
      </w:r>
      <w:r>
        <w:rPr>
          <w:rFonts w:cs="Candara"/>
        </w:rPr>
        <w:t>é</w:t>
      </w:r>
      <w:r>
        <w:t>gimen subsidiado, y el 1,5</w:t>
      </w:r>
      <w:r>
        <w:rPr>
          <w:rFonts w:ascii="Arial" w:hAnsi="Arial" w:cs="Arial"/>
        </w:rPr>
        <w:t> </w:t>
      </w:r>
      <w:r>
        <w:t>%, al r</w:t>
      </w:r>
      <w:r>
        <w:rPr>
          <w:rFonts w:cs="Candara"/>
        </w:rPr>
        <w:t>é</w:t>
      </w:r>
      <w:r>
        <w:t>gimen de excepci</w:t>
      </w:r>
      <w:r>
        <w:rPr>
          <w:rFonts w:cs="Candara"/>
        </w:rPr>
        <w:t>ó</w:t>
      </w:r>
      <w:r>
        <w:t>n, mientras que el 2,5</w:t>
      </w:r>
      <w:r>
        <w:rPr>
          <w:rFonts w:ascii="Arial" w:hAnsi="Arial" w:cs="Arial"/>
        </w:rPr>
        <w:t> </w:t>
      </w:r>
      <w:r>
        <w:t>% no registra afiliaci</w:t>
      </w:r>
      <w:r>
        <w:rPr>
          <w:rFonts w:cs="Candara"/>
        </w:rPr>
        <w:t>ó</w:t>
      </w:r>
      <w:r>
        <w:t>n alguna, y del 4,9</w:t>
      </w:r>
      <w:r>
        <w:rPr>
          <w:rFonts w:ascii="Arial" w:hAnsi="Arial" w:cs="Arial"/>
        </w:rPr>
        <w:t> </w:t>
      </w:r>
      <w:r>
        <w:t>% restante no se tienen datos. Esto significa una cobertura del 92,6</w:t>
      </w:r>
      <w:r>
        <w:rPr>
          <w:rFonts w:ascii="Arial" w:hAnsi="Arial" w:cs="Arial"/>
        </w:rPr>
        <w:t> </w:t>
      </w:r>
      <w:r>
        <w:t>% de la poblaci</w:t>
      </w:r>
      <w:r>
        <w:rPr>
          <w:rFonts w:cs="Candara"/>
        </w:rPr>
        <w:t>ó</w:t>
      </w:r>
      <w:r>
        <w:t>n ind</w:t>
      </w:r>
      <w:r>
        <w:rPr>
          <w:rFonts w:cs="Candara"/>
        </w:rPr>
        <w:t>í</w:t>
      </w:r>
      <w:r>
        <w:t>gena censada. La principal causa de morbilidad atendida en la poblaci</w:t>
      </w:r>
      <w:r>
        <w:rPr>
          <w:rFonts w:cs="Candara"/>
        </w:rPr>
        <w:t>ó</w:t>
      </w:r>
      <w:r>
        <w:t>n ind</w:t>
      </w:r>
      <w:r>
        <w:rPr>
          <w:rFonts w:cs="Candara"/>
        </w:rPr>
        <w:t>í</w:t>
      </w:r>
      <w:r>
        <w:t>gena es la salud oral, que representa, aproximadamente, una cuarta parte de las atenciones, por cuanto acuden primero a m</w:t>
      </w:r>
      <w:r>
        <w:rPr>
          <w:rFonts w:cs="Candara"/>
        </w:rPr>
        <w:t>é</w:t>
      </w:r>
      <w:r>
        <w:t>dicos tradicionales.</w:t>
      </w:r>
    </w:p>
    <w:p w14:paraId="47C499EB" w14:textId="77777777" w:rsidR="00F25D46" w:rsidRDefault="00F25D46" w:rsidP="00F25D46"/>
    <w:p w14:paraId="5C519F64" w14:textId="77777777" w:rsidR="00F25D46" w:rsidRDefault="00F25D46" w:rsidP="00F25D46">
      <w:r>
        <w:t>En cuanto al acceso al sistema de salud de la población negra y afrodescendiente, según la EMP 2021, el 9,4</w:t>
      </w:r>
      <w:r>
        <w:rPr>
          <w:rFonts w:ascii="Arial" w:hAnsi="Arial" w:cs="Arial"/>
        </w:rPr>
        <w:t> </w:t>
      </w:r>
      <w:r>
        <w:t>% de esta poblaci</w:t>
      </w:r>
      <w:r>
        <w:rPr>
          <w:rFonts w:cs="Candara"/>
        </w:rPr>
        <w:t>ó</w:t>
      </w:r>
      <w:r>
        <w:t>n no tiene ning</w:t>
      </w:r>
      <w:r>
        <w:rPr>
          <w:rFonts w:cs="Candara"/>
        </w:rPr>
        <w:t>ú</w:t>
      </w:r>
      <w:r>
        <w:t>n tipo de afiliaci</w:t>
      </w:r>
      <w:r>
        <w:rPr>
          <w:rFonts w:cs="Candara"/>
        </w:rPr>
        <w:t>ó</w:t>
      </w:r>
      <w:r>
        <w:t>n, debido a la falta del puntaje requerido para el r</w:t>
      </w:r>
      <w:r>
        <w:rPr>
          <w:rFonts w:cs="Candara"/>
        </w:rPr>
        <w:t>é</w:t>
      </w:r>
      <w:r>
        <w:t>gimen subsidiado (17,7</w:t>
      </w:r>
      <w:r>
        <w:rPr>
          <w:rFonts w:ascii="Arial" w:hAnsi="Arial" w:cs="Arial"/>
        </w:rPr>
        <w:t> </w:t>
      </w:r>
      <w:r>
        <w:t>%), el desconocimiento sobre procesos de afiliaci</w:t>
      </w:r>
      <w:r>
        <w:rPr>
          <w:rFonts w:cs="Candara"/>
        </w:rPr>
        <w:t>ó</w:t>
      </w:r>
      <w:r>
        <w:t>n (13,9</w:t>
      </w:r>
      <w:r>
        <w:rPr>
          <w:rFonts w:ascii="Arial" w:hAnsi="Arial" w:cs="Arial"/>
        </w:rPr>
        <w:t> </w:t>
      </w:r>
      <w:r>
        <w:t>%) y dificultades econ</w:t>
      </w:r>
      <w:r>
        <w:rPr>
          <w:rFonts w:cs="Candara"/>
        </w:rPr>
        <w:t>ó</w:t>
      </w:r>
      <w:r>
        <w:t>micas (13,8</w:t>
      </w:r>
      <w:r>
        <w:rPr>
          <w:rFonts w:ascii="Arial" w:hAnsi="Arial" w:cs="Arial"/>
        </w:rPr>
        <w:t> </w:t>
      </w:r>
      <w:r>
        <w:t>%). El r</w:t>
      </w:r>
      <w:r>
        <w:rPr>
          <w:rFonts w:cs="Candara"/>
        </w:rPr>
        <w:t>é</w:t>
      </w:r>
      <w:r>
        <w:t>gimen de aseguramiento m</w:t>
      </w:r>
      <w:r>
        <w:rPr>
          <w:rFonts w:cs="Candara"/>
        </w:rPr>
        <w:t>á</w:t>
      </w:r>
      <w:r>
        <w:t>s com</w:t>
      </w:r>
      <w:r>
        <w:rPr>
          <w:rFonts w:cs="Candara"/>
        </w:rPr>
        <w:t>ú</w:t>
      </w:r>
      <w:r>
        <w:t>n es el contributivo (64,7</w:t>
      </w:r>
      <w:r>
        <w:rPr>
          <w:rFonts w:ascii="Arial" w:hAnsi="Arial" w:cs="Arial"/>
        </w:rPr>
        <w:t> </w:t>
      </w:r>
      <w:r>
        <w:t>%, n = 31.461), seguido por el subsidiado (32,0</w:t>
      </w:r>
      <w:r>
        <w:rPr>
          <w:rFonts w:ascii="Arial" w:hAnsi="Arial" w:cs="Arial"/>
        </w:rPr>
        <w:t> </w:t>
      </w:r>
      <w:r>
        <w:t>%) y el r</w:t>
      </w:r>
      <w:r>
        <w:rPr>
          <w:rFonts w:cs="Candara"/>
        </w:rPr>
        <w:t>é</w:t>
      </w:r>
      <w:r>
        <w:t>gimen especial o de excepci</w:t>
      </w:r>
      <w:r>
        <w:rPr>
          <w:rFonts w:cs="Candara"/>
        </w:rPr>
        <w:t>ó</w:t>
      </w:r>
      <w:r>
        <w:t>n en salud (2,8</w:t>
      </w:r>
      <w:r>
        <w:rPr>
          <w:rFonts w:ascii="Arial" w:hAnsi="Arial" w:cs="Arial"/>
        </w:rPr>
        <w:t> </w:t>
      </w:r>
      <w:r>
        <w:t>%). La mortalidad infantil y en menores afro es preocupante, con tasas significativamente superiores a la media distrital, y relacionadas, principalmente, con afecciones perinatales, debido a la predisposición cultural de las mujeres gestantes hacia prácticas etnomédicas como la partería.</w:t>
      </w:r>
    </w:p>
    <w:p w14:paraId="425CA30F" w14:textId="77777777" w:rsidR="00F25D46" w:rsidRDefault="00F25D46" w:rsidP="00F25D46"/>
    <w:p w14:paraId="76E84738" w14:textId="77777777" w:rsidR="00F25D46" w:rsidRDefault="00F25D46" w:rsidP="00F25D46">
      <w:r>
        <w:t>Para mayo de 2023, el 99,4</w:t>
      </w:r>
      <w:r>
        <w:rPr>
          <w:rFonts w:ascii="Arial" w:hAnsi="Arial" w:cs="Arial"/>
        </w:rPr>
        <w:t> </w:t>
      </w:r>
      <w:r>
        <w:t>% de la poblaci</w:t>
      </w:r>
      <w:r>
        <w:rPr>
          <w:rFonts w:cs="Candara"/>
        </w:rPr>
        <w:t>ó</w:t>
      </w:r>
      <w:r>
        <w:t>n raizal se encontraba afiliada al SGSSS, en comparaci</w:t>
      </w:r>
      <w:r>
        <w:rPr>
          <w:rFonts w:cs="Candara"/>
        </w:rPr>
        <w:t>ó</w:t>
      </w:r>
      <w:r>
        <w:t>n con el 96</w:t>
      </w:r>
      <w:r>
        <w:rPr>
          <w:rFonts w:ascii="Arial" w:hAnsi="Arial" w:cs="Arial"/>
        </w:rPr>
        <w:t> </w:t>
      </w:r>
      <w:r>
        <w:t>% en 2020. El r</w:t>
      </w:r>
      <w:r>
        <w:rPr>
          <w:rFonts w:cs="Candara"/>
        </w:rPr>
        <w:t>é</w:t>
      </w:r>
      <w:r>
        <w:t>gimen contributivo tiene el mayor n</w:t>
      </w:r>
      <w:r>
        <w:rPr>
          <w:rFonts w:cs="Candara"/>
        </w:rPr>
        <w:t>ú</w:t>
      </w:r>
      <w:r>
        <w:t>mero de afiliados (85,2</w:t>
      </w:r>
      <w:r>
        <w:rPr>
          <w:rFonts w:ascii="Arial" w:hAnsi="Arial" w:cs="Arial"/>
        </w:rPr>
        <w:t> </w:t>
      </w:r>
      <w:r>
        <w:t>%), seguido por el subsidiado (11,2</w:t>
      </w:r>
      <w:r>
        <w:rPr>
          <w:rFonts w:ascii="Arial" w:hAnsi="Arial" w:cs="Arial"/>
        </w:rPr>
        <w:t> </w:t>
      </w:r>
      <w:r>
        <w:t>%) y el de excepci</w:t>
      </w:r>
      <w:r>
        <w:rPr>
          <w:rFonts w:cs="Candara"/>
        </w:rPr>
        <w:t>ó</w:t>
      </w:r>
      <w:r>
        <w:t>n (2,9</w:t>
      </w:r>
      <w:r>
        <w:rPr>
          <w:rFonts w:ascii="Arial" w:hAnsi="Arial" w:cs="Arial"/>
        </w:rPr>
        <w:t> </w:t>
      </w:r>
      <w:r>
        <w:t>%), lo que sugiere una alta vinculaci</w:t>
      </w:r>
      <w:r>
        <w:rPr>
          <w:rFonts w:cs="Candara"/>
        </w:rPr>
        <w:t>ó</w:t>
      </w:r>
      <w:r>
        <w:t>n laboral formal. La principal causa de morbilidad de esta poblaci</w:t>
      </w:r>
      <w:r>
        <w:rPr>
          <w:rFonts w:cs="Candara"/>
        </w:rPr>
        <w:t>ó</w:t>
      </w:r>
      <w:r>
        <w:t>n son las enfermedades no transmisibles, las cuales pueden causar muertes prematuras y discapacidades.</w:t>
      </w:r>
    </w:p>
    <w:p w14:paraId="48012834" w14:textId="77777777" w:rsidR="00F25D46" w:rsidRDefault="00F25D46" w:rsidP="00F25D46"/>
    <w:p w14:paraId="6F702C47" w14:textId="77777777" w:rsidR="00F25D46" w:rsidRDefault="00F25D46" w:rsidP="00F25D46">
      <w:r>
        <w:t>Respecto a las personas con discapacidad, entre 2004 y el 31 de agosto de 2021, Bogotá reportaba 242.858 personas identificadas y caracterizadas con discapacidad; de estas, el 56,6</w:t>
      </w:r>
      <w:r>
        <w:rPr>
          <w:rFonts w:ascii="Arial" w:hAnsi="Arial" w:cs="Arial"/>
        </w:rPr>
        <w:t> </w:t>
      </w:r>
      <w:r>
        <w:t>% eran mujeres, y el 43,4</w:t>
      </w:r>
      <w:r>
        <w:rPr>
          <w:rFonts w:ascii="Arial" w:hAnsi="Arial" w:cs="Arial"/>
        </w:rPr>
        <w:t> </w:t>
      </w:r>
      <w:r>
        <w:t>%, hombres. En relaci</w:t>
      </w:r>
      <w:r>
        <w:rPr>
          <w:rFonts w:cs="Candara"/>
        </w:rPr>
        <w:t>ó</w:t>
      </w:r>
      <w:r>
        <w:t>n con el curso vital, las personas mayores de 60 a</w:t>
      </w:r>
      <w:r>
        <w:rPr>
          <w:rFonts w:cs="Candara"/>
        </w:rPr>
        <w:t>ñ</w:t>
      </w:r>
      <w:r>
        <w:t>os tienen la mayor proporci</w:t>
      </w:r>
      <w:r>
        <w:rPr>
          <w:rFonts w:cs="Candara"/>
        </w:rPr>
        <w:t>ó</w:t>
      </w:r>
      <w:r>
        <w:t>n de esta poblaci</w:t>
      </w:r>
      <w:r>
        <w:rPr>
          <w:rFonts w:cs="Candara"/>
        </w:rPr>
        <w:t>ó</w:t>
      </w:r>
      <w:r>
        <w:t>n (49,8</w:t>
      </w:r>
      <w:r>
        <w:rPr>
          <w:rFonts w:ascii="Arial" w:hAnsi="Arial" w:cs="Arial"/>
        </w:rPr>
        <w:t> </w:t>
      </w:r>
      <w:r>
        <w:t>%), seguidas por la adultez (32,6</w:t>
      </w:r>
      <w:r>
        <w:rPr>
          <w:rFonts w:ascii="Arial" w:hAnsi="Arial" w:cs="Arial"/>
        </w:rPr>
        <w:t> </w:t>
      </w:r>
      <w:r>
        <w:t>%), la juventud (9,3</w:t>
      </w:r>
      <w:r>
        <w:rPr>
          <w:rFonts w:ascii="Arial" w:hAnsi="Arial" w:cs="Arial"/>
        </w:rPr>
        <w:t> </w:t>
      </w:r>
      <w:r>
        <w:t>%), la adolescencia (3,4</w:t>
      </w:r>
      <w:r>
        <w:rPr>
          <w:rFonts w:ascii="Arial" w:hAnsi="Arial" w:cs="Arial"/>
        </w:rPr>
        <w:t> </w:t>
      </w:r>
      <w:r>
        <w:t>%), la poblaci</w:t>
      </w:r>
      <w:r>
        <w:rPr>
          <w:rFonts w:cs="Candara"/>
        </w:rPr>
        <w:t>ó</w:t>
      </w:r>
      <w:r>
        <w:t>n entre 10 y 14 a</w:t>
      </w:r>
      <w:r>
        <w:rPr>
          <w:rFonts w:cs="Candara"/>
        </w:rPr>
        <w:t>ñ</w:t>
      </w:r>
      <w:r>
        <w:t>os (2,8</w:t>
      </w:r>
      <w:r>
        <w:rPr>
          <w:rFonts w:ascii="Arial" w:hAnsi="Arial" w:cs="Arial"/>
        </w:rPr>
        <w:t> </w:t>
      </w:r>
      <w:r>
        <w:t>%), la infancia (1,6</w:t>
      </w:r>
      <w:r>
        <w:rPr>
          <w:rFonts w:ascii="Arial" w:hAnsi="Arial" w:cs="Arial"/>
        </w:rPr>
        <w:t> </w:t>
      </w:r>
      <w:r>
        <w:t>%) y la primera infancia (0,5</w:t>
      </w:r>
      <w:r>
        <w:rPr>
          <w:rFonts w:ascii="Arial" w:hAnsi="Arial" w:cs="Arial"/>
        </w:rPr>
        <w:t> </w:t>
      </w:r>
      <w:r>
        <w:t>%). Cabe anotar que el 35,3</w:t>
      </w:r>
      <w:r>
        <w:rPr>
          <w:rFonts w:ascii="Arial" w:hAnsi="Arial" w:cs="Arial"/>
        </w:rPr>
        <w:t> </w:t>
      </w:r>
      <w:r>
        <w:t>% de las personas con discapacidad declaran necesitar ayuda permanente para su desenvolvimiento en la vida cotidiana. Respecto al r</w:t>
      </w:r>
      <w:r>
        <w:rPr>
          <w:rFonts w:cs="Candara"/>
        </w:rPr>
        <w:t>é</w:t>
      </w:r>
      <w:r>
        <w:t>gimen de afiliaci</w:t>
      </w:r>
      <w:r>
        <w:rPr>
          <w:rFonts w:cs="Candara"/>
        </w:rPr>
        <w:t>ó</w:t>
      </w:r>
      <w:r>
        <w:t>n en salud, el 43,9</w:t>
      </w:r>
      <w:r>
        <w:rPr>
          <w:rFonts w:ascii="Arial" w:hAnsi="Arial" w:cs="Arial"/>
        </w:rPr>
        <w:t> </w:t>
      </w:r>
      <w:r>
        <w:t>% corresponden al r</w:t>
      </w:r>
      <w:r>
        <w:rPr>
          <w:rFonts w:cs="Candara"/>
        </w:rPr>
        <w:t>é</w:t>
      </w:r>
      <w:r>
        <w:t>gimen contributivo, y el 38,7</w:t>
      </w:r>
      <w:r>
        <w:rPr>
          <w:rFonts w:ascii="Arial" w:hAnsi="Arial" w:cs="Arial"/>
        </w:rPr>
        <w:t> </w:t>
      </w:r>
      <w:r>
        <w:t>%, al r</w:t>
      </w:r>
      <w:r>
        <w:rPr>
          <w:rFonts w:cs="Candara"/>
        </w:rPr>
        <w:t>é</w:t>
      </w:r>
      <w:r>
        <w:t>gimen subsidiado, mientras que el 8,3</w:t>
      </w:r>
      <w:r>
        <w:rPr>
          <w:rFonts w:ascii="Arial" w:hAnsi="Arial" w:cs="Arial"/>
        </w:rPr>
        <w:t> </w:t>
      </w:r>
      <w:r>
        <w:t>% es poblaci</w:t>
      </w:r>
      <w:r>
        <w:rPr>
          <w:rFonts w:cs="Candara"/>
        </w:rPr>
        <w:t>ó</w:t>
      </w:r>
      <w:r>
        <w:t>n vinculada y el 4,3</w:t>
      </w:r>
      <w:r>
        <w:rPr>
          <w:rFonts w:ascii="Arial" w:hAnsi="Arial" w:cs="Arial"/>
        </w:rPr>
        <w:t> </w:t>
      </w:r>
      <w:r>
        <w:t>% est</w:t>
      </w:r>
      <w:r>
        <w:rPr>
          <w:rFonts w:cs="Candara"/>
        </w:rPr>
        <w:t>á</w:t>
      </w:r>
      <w:r>
        <w:t xml:space="preserve"> afiliado al r</w:t>
      </w:r>
      <w:r>
        <w:rPr>
          <w:rFonts w:cs="Candara"/>
        </w:rPr>
        <w:t>é</w:t>
      </w:r>
      <w:r>
        <w:t>gimen especial.</w:t>
      </w:r>
    </w:p>
    <w:p w14:paraId="3D5F9462" w14:textId="77777777" w:rsidR="00F25D46" w:rsidRDefault="00F25D46" w:rsidP="00F25D46"/>
    <w:p w14:paraId="16CC3F5B" w14:textId="77777777" w:rsidR="00F25D46" w:rsidRDefault="00F25D46" w:rsidP="00F25D46">
      <w:r>
        <w:t>La Resolución 1239 de 2022 establece el procedimiento de certificación de discapacidad y el Registro de Localización y Caracterización de Personas con Discapacidad (RLCPD) como medida nacional para localizar, caracterizar y certificar a este grupo poblacional. Para el 31 de diciembre de 2023, en Bogotá, 57.052 personas habían sido certificadas y registradas en el sistema integrado de información de la protección.</w:t>
      </w:r>
    </w:p>
    <w:p w14:paraId="34A75209" w14:textId="77777777" w:rsidR="00F25D46" w:rsidRDefault="00F25D46" w:rsidP="00F25D46"/>
    <w:p w14:paraId="12030428" w14:textId="77777777" w:rsidR="00F25D46" w:rsidRDefault="00F25D46" w:rsidP="00F25D46">
      <w:r>
        <w:t>En cuanto a la cobertura de afiliación al SGSSS en Sumapaz y la Zona de Reserva Campesina, esta es del 94,4</w:t>
      </w:r>
      <w:r>
        <w:rPr>
          <w:rFonts w:ascii="Arial" w:hAnsi="Arial" w:cs="Arial"/>
        </w:rPr>
        <w:t> </w:t>
      </w:r>
      <w:r>
        <w:t>% y el 96,0</w:t>
      </w:r>
      <w:r>
        <w:rPr>
          <w:rFonts w:ascii="Arial" w:hAnsi="Arial" w:cs="Arial"/>
        </w:rPr>
        <w:t> </w:t>
      </w:r>
      <w:r>
        <w:t>%, respectivamente; el r</w:t>
      </w:r>
      <w:r>
        <w:rPr>
          <w:rFonts w:cs="Candara"/>
        </w:rPr>
        <w:t>é</w:t>
      </w:r>
      <w:r>
        <w:t>gimen subsidiado es el m</w:t>
      </w:r>
      <w:r>
        <w:rPr>
          <w:rFonts w:cs="Candara"/>
        </w:rPr>
        <w:t>á</w:t>
      </w:r>
      <w:r>
        <w:t>s com</w:t>
      </w:r>
      <w:r>
        <w:rPr>
          <w:rFonts w:cs="Candara"/>
        </w:rPr>
        <w:t>ú</w:t>
      </w:r>
      <w:r>
        <w:t>n (63,2</w:t>
      </w:r>
      <w:r>
        <w:rPr>
          <w:rFonts w:ascii="Arial" w:hAnsi="Arial" w:cs="Arial"/>
        </w:rPr>
        <w:t> </w:t>
      </w:r>
      <w:r>
        <w:t>% y 65,3</w:t>
      </w:r>
      <w:r>
        <w:rPr>
          <w:rFonts w:ascii="Arial" w:hAnsi="Arial" w:cs="Arial"/>
        </w:rPr>
        <w:t> </w:t>
      </w:r>
      <w:r>
        <w:t>%, respectivamente). La mayor</w:t>
      </w:r>
      <w:r>
        <w:rPr>
          <w:rFonts w:cs="Candara"/>
        </w:rPr>
        <w:t>í</w:t>
      </w:r>
      <w:r>
        <w:t>a de la poblaci</w:t>
      </w:r>
      <w:r>
        <w:rPr>
          <w:rFonts w:cs="Candara"/>
        </w:rPr>
        <w:t>ó</w:t>
      </w:r>
      <w:r>
        <w:t>n est</w:t>
      </w:r>
      <w:r>
        <w:rPr>
          <w:rFonts w:cs="Candara"/>
        </w:rPr>
        <w:t>á</w:t>
      </w:r>
      <w:r>
        <w:t xml:space="preserve"> afiliada a Capital Salud EPS (49,9</w:t>
      </w:r>
      <w:r>
        <w:rPr>
          <w:rFonts w:ascii="Arial" w:hAnsi="Arial" w:cs="Arial"/>
        </w:rPr>
        <w:t> </w:t>
      </w:r>
      <w:r>
        <w:t>%); sin embargo, la disponibilidad de servicios de salud es un desaf</w:t>
      </w:r>
      <w:r>
        <w:rPr>
          <w:rFonts w:cs="Candara"/>
        </w:rPr>
        <w:t>í</w:t>
      </w:r>
      <w:r>
        <w:t>o cr</w:t>
      </w:r>
      <w:r>
        <w:rPr>
          <w:rFonts w:cs="Candara"/>
        </w:rPr>
        <w:t>í</w:t>
      </w:r>
      <w:r>
        <w:t xml:space="preserve">tico, ya que </w:t>
      </w:r>
      <w:r>
        <w:rPr>
          <w:rFonts w:cs="Candara"/>
        </w:rPr>
        <w:t>ú</w:t>
      </w:r>
      <w:r>
        <w:t>nicamente hay IPS p</w:t>
      </w:r>
      <w:r>
        <w:rPr>
          <w:rFonts w:cs="Candara"/>
        </w:rPr>
        <w:t>ú</w:t>
      </w:r>
      <w:r>
        <w:t>blicas y solo una de ellas es de primer nivel, lo que obliga a la poblaci</w:t>
      </w:r>
      <w:r>
        <w:rPr>
          <w:rFonts w:cs="Candara"/>
        </w:rPr>
        <w:t>ó</w:t>
      </w:r>
      <w:r>
        <w:t>n afiliada a otras entidades administradoras de planes de beneficios de salud (EAPB) a buscar atención fuera de la zona.</w:t>
      </w:r>
    </w:p>
    <w:p w14:paraId="18C320B1" w14:textId="77777777" w:rsidR="00F25D46" w:rsidRDefault="00F25D46" w:rsidP="00F25D46"/>
    <w:p w14:paraId="10C9D595" w14:textId="77777777" w:rsidR="00F25D46" w:rsidRDefault="00F25D46" w:rsidP="00F25D46">
      <w:r>
        <w:t xml:space="preserve">Existe una preocupación en términos de afiliación con la población venezolana, debido a que </w:t>
      </w:r>
      <w:r>
        <w:lastRenderedPageBreak/>
        <w:t>para enero de 2024 solo el 42,3</w:t>
      </w:r>
      <w:r>
        <w:rPr>
          <w:rFonts w:ascii="Arial" w:hAnsi="Arial" w:cs="Arial"/>
        </w:rPr>
        <w:t> </w:t>
      </w:r>
      <w:r>
        <w:t>% de esta comunidad ha aplicado a la encuesta Sisb</w:t>
      </w:r>
      <w:r>
        <w:rPr>
          <w:rFonts w:cs="Candara"/>
        </w:rPr>
        <w:t>é</w:t>
      </w:r>
      <w:r>
        <w:t>n IV, lo cual genera problemas en el acceso a los servicios de salud y protecci</w:t>
      </w:r>
      <w:r>
        <w:rPr>
          <w:rFonts w:cs="Candara"/>
        </w:rPr>
        <w:t>ó</w:t>
      </w:r>
      <w:r>
        <w:t>n social, aunque la atenci</w:t>
      </w:r>
      <w:r>
        <w:rPr>
          <w:rFonts w:cs="Candara"/>
        </w:rPr>
        <w:t>ó</w:t>
      </w:r>
      <w:r>
        <w:t>n de urgencias est</w:t>
      </w:r>
      <w:r>
        <w:rPr>
          <w:rFonts w:cs="Candara"/>
        </w:rPr>
        <w:t>á</w:t>
      </w:r>
      <w:r>
        <w:t xml:space="preserve"> contemplada para migrantes en situaci</w:t>
      </w:r>
      <w:r>
        <w:rPr>
          <w:rFonts w:cs="Candara"/>
        </w:rPr>
        <w:t>ó</w:t>
      </w:r>
      <w:r>
        <w:t>n migratoria irregular.</w:t>
      </w:r>
    </w:p>
    <w:p w14:paraId="2A138035" w14:textId="77777777" w:rsidR="00F25D46" w:rsidRDefault="00F25D46" w:rsidP="00F25D46"/>
    <w:p w14:paraId="492A4B3E" w14:textId="77777777" w:rsidR="00F25D46" w:rsidRDefault="00F25D46" w:rsidP="00F25D46">
      <w:r>
        <w:t>En desarrollo del estudio que se hizo para actualizar el POT (Decreto 555 de 2021), se encontró que solo el 37</w:t>
      </w:r>
      <w:r>
        <w:rPr>
          <w:rFonts w:ascii="Arial" w:hAnsi="Arial" w:cs="Arial"/>
        </w:rPr>
        <w:t> </w:t>
      </w:r>
      <w:r>
        <w:t>% de las manzanas de los estratos del 1 a 6 cuentan con cobertura de servicios de salud, lo que implica un d</w:t>
      </w:r>
      <w:r>
        <w:rPr>
          <w:rFonts w:cs="Candara"/>
        </w:rPr>
        <w:t>é</w:t>
      </w:r>
      <w:r>
        <w:t>ficit significativo en t</w:t>
      </w:r>
      <w:r>
        <w:rPr>
          <w:rFonts w:cs="Candara"/>
        </w:rPr>
        <w:t>é</w:t>
      </w:r>
      <w:r>
        <w:t>rminos de acceso a atenci</w:t>
      </w:r>
      <w:r>
        <w:rPr>
          <w:rFonts w:cs="Candara"/>
        </w:rPr>
        <w:t>ó</w:t>
      </w:r>
      <w:r>
        <w:t>n m</w:t>
      </w:r>
      <w:r>
        <w:rPr>
          <w:rFonts w:cs="Candara"/>
        </w:rPr>
        <w:t>é</w:t>
      </w:r>
      <w:r>
        <w:t xml:space="preserve">dica en ciertas </w:t>
      </w:r>
      <w:r>
        <w:rPr>
          <w:rFonts w:cs="Candara"/>
        </w:rPr>
        <w:t>á</w:t>
      </w:r>
      <w:r>
        <w:t xml:space="preserve">reas de la ciudad, evidencia, a su vez, de que existe inequidad en el acceso a la salud </w:t>
      </w:r>
      <w:r>
        <w:rPr>
          <w:rFonts w:cs="Candara"/>
        </w:rPr>
        <w:t>—</w:t>
      </w:r>
      <w:r>
        <w:t>especialmente, en los bordes del occidente y sur de la ciudad</w:t>
      </w:r>
      <w:r>
        <w:rPr>
          <w:rFonts w:cs="Candara"/>
        </w:rPr>
        <w:t>—</w:t>
      </w:r>
      <w:r>
        <w:t>, dado que no hay una relaci</w:t>
      </w:r>
      <w:r>
        <w:rPr>
          <w:rFonts w:cs="Candara"/>
        </w:rPr>
        <w:t>ó</w:t>
      </w:r>
      <w:r>
        <w:t xml:space="preserve">n </w:t>
      </w:r>
      <w:r>
        <w:t>equilibrada entre la demanda poblacional y la oferta existente. Predominan altos niveles de déficit tanto de cobertura como de proximidad. Esto se suma a la necesidad de cubrir servicios de salud que tienen los habitantes de los municipios vecinos y que encuentran esa oferta en Bogotá (Decreto 427 de 2023).</w:t>
      </w:r>
    </w:p>
    <w:p w14:paraId="76956921" w14:textId="77777777" w:rsidR="00F25D46" w:rsidRDefault="00F25D46" w:rsidP="00F25D46"/>
    <w:p w14:paraId="05F4E4AF" w14:textId="5A0C138C" w:rsidR="00B14E38" w:rsidRPr="00B944E8" w:rsidRDefault="00F25D46" w:rsidP="00F25D46">
      <w:pPr>
        <w:rPr>
          <w:highlight w:val="white"/>
        </w:rPr>
      </w:pPr>
      <w:r>
        <w:t>Lo anterior lleva a que sea necesario fortalecer políticas públicas de inclusión en el sistema de seguridad en salud a la ciudadanía de Bogotá incluyendo a la población con enfoque diferencial y condición de vulnerabilidad, así como ampliar y monitorear la capacidad de prestación de servicios, para caminar hacia un modelo de salud que avance hacia la protección de todos los habitantes</w:t>
      </w:r>
      <w:r w:rsidR="00B14E38" w:rsidRPr="00B944E8">
        <w:rPr>
          <w:highlight w:val="white"/>
        </w:rPr>
        <w:t>.</w:t>
      </w:r>
    </w:p>
    <w:p w14:paraId="1EF5CFE3"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4829B85F" w14:textId="77777777" w:rsidR="00B14E38" w:rsidRDefault="00B14E38" w:rsidP="00B14E38">
      <w:pPr>
        <w:spacing w:line="480" w:lineRule="auto"/>
        <w:rPr>
          <w:rFonts w:ascii="Times New Roman" w:hAnsi="Times New Roman"/>
          <w:b/>
          <w:bCs/>
          <w:sz w:val="24"/>
        </w:rPr>
      </w:pPr>
    </w:p>
    <w:p w14:paraId="0392F985" w14:textId="1C56D3E7" w:rsidR="00B14E38" w:rsidRPr="00F25D46" w:rsidRDefault="00B14E38" w:rsidP="00F25D46">
      <w:pPr>
        <w:ind w:firstLine="708"/>
        <w:rPr>
          <w:b/>
          <w:bCs/>
          <w:sz w:val="24"/>
        </w:rPr>
      </w:pPr>
      <w:r w:rsidRPr="00F25D46">
        <w:rPr>
          <w:b/>
          <w:bCs/>
          <w:sz w:val="24"/>
        </w:rPr>
        <w:t>Descripción del programa</w:t>
      </w:r>
    </w:p>
    <w:p w14:paraId="644BC53F" w14:textId="77777777" w:rsidR="00B14E38" w:rsidRPr="00AB43CE" w:rsidRDefault="00B14E38" w:rsidP="00AB43CE">
      <w:pPr>
        <w:pStyle w:val="Ttulo2"/>
        <w:numPr>
          <w:ilvl w:val="0"/>
          <w:numId w:val="0"/>
        </w:numPr>
        <w:ind w:left="792"/>
        <w:sectPr w:rsidR="00B14E38" w:rsidRPr="00AB43CE" w:rsidSect="00F7078E">
          <w:type w:val="continuous"/>
          <w:pgSz w:w="12240" w:h="15840"/>
          <w:pgMar w:top="2262" w:right="1440" w:bottom="1440" w:left="1440" w:header="708" w:footer="680" w:gutter="0"/>
          <w:cols w:space="720"/>
          <w:docGrid w:linePitch="299"/>
        </w:sectPr>
      </w:pPr>
    </w:p>
    <w:p w14:paraId="49DAE192" w14:textId="77777777" w:rsidR="00B14E38" w:rsidRPr="00B944E8" w:rsidRDefault="00B14E38" w:rsidP="00B14E38">
      <w:pPr>
        <w:rPr>
          <w:highlight w:val="white"/>
        </w:rPr>
      </w:pPr>
      <w:r w:rsidRPr="00B944E8">
        <w:rPr>
          <w:highlight w:val="white"/>
        </w:rPr>
        <w:t>El programa desarrolla un modelo que busca la equidad y universalidad de la salud, con sostenibilidad y soportado en los conceptos de determinantes sociales de la salud, atención integral e integrada y participación social incidente.</w:t>
      </w:r>
    </w:p>
    <w:p w14:paraId="6D0C7627" w14:textId="77777777" w:rsidR="00B14E38" w:rsidRPr="00B944E8" w:rsidRDefault="00B14E38" w:rsidP="00B14E38">
      <w:pPr>
        <w:rPr>
          <w:highlight w:val="white"/>
        </w:rPr>
      </w:pPr>
    </w:p>
    <w:p w14:paraId="121DA763" w14:textId="77777777" w:rsidR="00B14E38" w:rsidRPr="00B944E8" w:rsidRDefault="00B14E38" w:rsidP="00B14E38">
      <w:pPr>
        <w:rPr>
          <w:highlight w:val="white"/>
        </w:rPr>
      </w:pPr>
      <w:r w:rsidRPr="00B944E8">
        <w:rPr>
          <w:highlight w:val="white"/>
        </w:rPr>
        <w:t>Se busca identificar y priorizar las desigualdades evitables en salud, para orientar la intervención de las políticas hacia la superación de las inequidades, con el propósito de abordar los determinantes sociales de la salud, lo cual significará que la salud vaya más allá de la atención médica tradicional. Así, se pretende la operativización de un modelo en el que, además del trabajo articulado entre los actores del sector salud, se involucren los demás sectores que tienen impacto en el bienestar de las personas que habitan la ciudad.</w:t>
      </w:r>
    </w:p>
    <w:p w14:paraId="16AB4620" w14:textId="77777777" w:rsidR="00B14E38" w:rsidRPr="00B944E8" w:rsidRDefault="00B14E38" w:rsidP="00B14E38">
      <w:pPr>
        <w:rPr>
          <w:highlight w:val="white"/>
        </w:rPr>
      </w:pPr>
    </w:p>
    <w:p w14:paraId="43AE0634" w14:textId="77777777" w:rsidR="00B14E38" w:rsidRPr="00B944E8" w:rsidRDefault="00B14E38" w:rsidP="00B14E38">
      <w:pPr>
        <w:rPr>
          <w:highlight w:val="white"/>
        </w:rPr>
      </w:pPr>
      <w:r w:rsidRPr="00B944E8">
        <w:rPr>
          <w:highlight w:val="white"/>
        </w:rPr>
        <w:t xml:space="preserve">En el marco de la atención prioritaria en salud, se abordarán de manera intersectorial y transectorial la promoción de la salud, la prevención de la enfermedad, el diagnóstico, el tratamiento y la rehabilitación del paciente en todos los niveles de complejidad, para garantizar un mayor nivel de bienestar en los usuarios, con enfoque de </w:t>
      </w:r>
      <w:r w:rsidRPr="00B944E8">
        <w:rPr>
          <w:highlight w:val="white"/>
        </w:rPr>
        <w:t>salud familiar y comunitaria, el cuidado, la gestión integral del riesgo en salud y el enfoque diferencial de territorios y poblaciones. Así mismo, se fortalecerán la atención integrada e interdependiente, la participación social, comunitaria y ciudadana y las redes integrales e integradas de servicios de salud.</w:t>
      </w:r>
    </w:p>
    <w:p w14:paraId="0630C4CC" w14:textId="77777777" w:rsidR="00B14E38" w:rsidRPr="00B944E8" w:rsidRDefault="00B14E38" w:rsidP="00B14E38">
      <w:pPr>
        <w:rPr>
          <w:highlight w:val="white"/>
        </w:rPr>
      </w:pPr>
    </w:p>
    <w:p w14:paraId="17FA79AA" w14:textId="77777777" w:rsidR="00B14E38" w:rsidRPr="00B944E8" w:rsidRDefault="00B14E38" w:rsidP="00B14E38">
      <w:pPr>
        <w:rPr>
          <w:highlight w:val="white"/>
        </w:rPr>
      </w:pPr>
      <w:r w:rsidRPr="00B944E8">
        <w:rPr>
          <w:highlight w:val="white"/>
        </w:rPr>
        <w:t>Así mismo, se buscará reducir las barreras geográficas para que las personas puedan acceder a servicios sociales que mejoren su bienestar y calidad de vida; es decir, su salud. Se hará énfasis en el sistema de cuidados y servicios sociales de Bogotá, que tiene el objetivo de promover la integración territorial, con acciones que, además de optimizar el uso del suelo, aseguren tanto una oferta accesible, asequible, diferencial y próxima de infraestructura y equipamientos como una mayor y mejor cobertura de servicios de cuidado y sociales.</w:t>
      </w:r>
    </w:p>
    <w:p w14:paraId="7F1A2108" w14:textId="77777777" w:rsidR="00B14E38" w:rsidRPr="00B944E8" w:rsidRDefault="00B14E38" w:rsidP="00B14E38">
      <w:pPr>
        <w:rPr>
          <w:highlight w:val="white"/>
        </w:rPr>
      </w:pPr>
    </w:p>
    <w:p w14:paraId="28722B8A" w14:textId="77777777" w:rsidR="00B14E38" w:rsidRPr="00B944E8" w:rsidRDefault="00B14E38" w:rsidP="00B14E38">
      <w:pPr>
        <w:rPr>
          <w:highlight w:val="white"/>
        </w:rPr>
      </w:pPr>
      <w:r w:rsidRPr="00B944E8">
        <w:rPr>
          <w:highlight w:val="white"/>
        </w:rPr>
        <w:t xml:space="preserve">Por otra parte, se van a incluir mecanismos de articulación entre la oferta pública y privada que permita la gestión de conocimiento, la gestión integral del riesgo en salud pública y la definición de un modelo de urgencias territorializado, </w:t>
      </w:r>
      <w:r w:rsidRPr="00B944E8">
        <w:rPr>
          <w:highlight w:val="white"/>
        </w:rPr>
        <w:lastRenderedPageBreak/>
        <w:t>así como la gestión y desarrollo del talento humano en salud y la prestación de los servicios de salud de mediana y alta complejidad de forma oportuna, continua, pertinente, humanizada, especializada, resolutiva e integral para las y los habitantes y comunidad de Bogotá, D. C.</w:t>
      </w:r>
    </w:p>
    <w:p w14:paraId="3EFD1BE2" w14:textId="77777777" w:rsidR="00B14E38" w:rsidRPr="00B944E8" w:rsidRDefault="00B14E38" w:rsidP="00B14E38">
      <w:pPr>
        <w:rPr>
          <w:highlight w:val="white"/>
        </w:rPr>
      </w:pPr>
    </w:p>
    <w:p w14:paraId="606FC38F" w14:textId="136D8736" w:rsidR="00B14E38" w:rsidRPr="00F25D46" w:rsidRDefault="00B14E38" w:rsidP="00F25D46">
      <w:pPr>
        <w:sectPr w:rsidR="00B14E38" w:rsidRPr="00F25D46" w:rsidSect="00F7078E">
          <w:type w:val="continuous"/>
          <w:pgSz w:w="12240" w:h="15840"/>
          <w:pgMar w:top="2262" w:right="1440" w:bottom="1440" w:left="1440" w:header="708" w:footer="680" w:gutter="0"/>
          <w:cols w:num="2" w:space="567"/>
          <w:docGrid w:linePitch="299"/>
        </w:sectPr>
      </w:pPr>
      <w:r w:rsidRPr="00B944E8">
        <w:rPr>
          <w:highlight w:val="white"/>
        </w:rPr>
        <w:t xml:space="preserve">De forma complementaria, se contará con las condiciones y los requisitos para la organización, operación y funcionamiento de los centros </w:t>
      </w:r>
      <w:r w:rsidRPr="00B944E8">
        <w:rPr>
          <w:highlight w:val="white"/>
        </w:rPr>
        <w:t>reguladores de urgencias, emergencias y desastres, con la finalidad que exista una adecuada y oportuna regulación de las urgencias y coordinación para la atención de emergencias o desastres, a través del fomento de la cooperación y la articulación de los diferentes actores del Sistema General de Seguridad Social en Salud y del Sistema Nacional de Prevención y Atención de Desastres (SNPAD).</w:t>
      </w:r>
      <w:r>
        <w:t xml:space="preserve"> </w:t>
      </w:r>
      <w:r w:rsidRPr="00B944E8">
        <w:t xml:space="preserve">Este programa se ejecutará mediante las metas descritas en </w:t>
      </w:r>
      <w:r w:rsidRPr="00B17441">
        <w:t>la</w:t>
      </w:r>
      <w:r w:rsidR="00B17441" w:rsidRPr="00B17441">
        <w:t xml:space="preserve"> </w:t>
      </w:r>
      <w:r w:rsidR="00B17441" w:rsidRPr="00B17441">
        <w:fldChar w:fldCharType="begin"/>
      </w:r>
      <w:r w:rsidR="00B17441" w:rsidRPr="00B17441">
        <w:instrText xml:space="preserve"> REF _Ref165130289 \h </w:instrText>
      </w:r>
      <w:r w:rsidR="00B17441" w:rsidRPr="00B17441">
        <w:fldChar w:fldCharType="separate"/>
      </w:r>
      <w:r w:rsidR="00D01651" w:rsidRPr="00603452">
        <w:rPr>
          <w:b/>
          <w:bCs/>
          <w:color w:val="C00000"/>
          <w:sz w:val="18"/>
          <w:szCs w:val="14"/>
        </w:rPr>
        <w:t xml:space="preserve">Tabla </w:t>
      </w:r>
      <w:r w:rsidR="00D01651">
        <w:rPr>
          <w:b/>
          <w:bCs/>
          <w:noProof/>
          <w:szCs w:val="14"/>
        </w:rPr>
        <w:t>29</w:t>
      </w:r>
      <w:r w:rsidR="00B17441" w:rsidRPr="00B17441">
        <w:fldChar w:fldCharType="end"/>
      </w:r>
      <w:r w:rsidRPr="00B944E8">
        <w:t xml:space="preserve">. </w:t>
      </w:r>
    </w:p>
    <w:p w14:paraId="7177375E" w14:textId="73E78C7D" w:rsidR="00B14E38" w:rsidRPr="00603452" w:rsidRDefault="00F25D46" w:rsidP="00603452">
      <w:pPr>
        <w:pStyle w:val="figuratitulo"/>
        <w:rPr>
          <w:b/>
          <w:bCs/>
          <w:color w:val="3B3838" w:themeColor="background2" w:themeShade="40"/>
          <w:szCs w:val="14"/>
        </w:rPr>
      </w:pPr>
      <w:bookmarkStart w:id="271" w:name="_heading=h.45jfvxd" w:colFirst="0" w:colLast="0"/>
      <w:bookmarkEnd w:id="271"/>
      <w:r>
        <w:rPr>
          <w:b/>
          <w:bCs/>
        </w:rPr>
        <w:br/>
      </w:r>
      <w:bookmarkStart w:id="272" w:name="_Ref165130289"/>
      <w:bookmarkStart w:id="273" w:name="_Toc165169939"/>
      <w:r w:rsidRPr="00603452">
        <w:rPr>
          <w:b/>
          <w:bCs/>
          <w:szCs w:val="14"/>
        </w:rPr>
        <w:t xml:space="preserve">Tabla </w:t>
      </w:r>
      <w:r w:rsidRPr="00603452">
        <w:rPr>
          <w:b/>
          <w:bCs/>
          <w:szCs w:val="14"/>
        </w:rPr>
        <w:fldChar w:fldCharType="begin"/>
      </w:r>
      <w:r w:rsidRPr="00603452">
        <w:rPr>
          <w:b/>
          <w:bCs/>
          <w:szCs w:val="14"/>
        </w:rPr>
        <w:instrText xml:space="preserve"> SEQ Tabla \* ARABIC </w:instrText>
      </w:r>
      <w:r w:rsidRPr="00603452">
        <w:rPr>
          <w:b/>
          <w:bCs/>
          <w:szCs w:val="14"/>
        </w:rPr>
        <w:fldChar w:fldCharType="separate"/>
      </w:r>
      <w:r w:rsidR="00D01651">
        <w:rPr>
          <w:b/>
          <w:bCs/>
          <w:noProof/>
          <w:szCs w:val="14"/>
        </w:rPr>
        <w:t>29</w:t>
      </w:r>
      <w:r w:rsidRPr="00603452">
        <w:rPr>
          <w:b/>
          <w:bCs/>
          <w:szCs w:val="14"/>
        </w:rPr>
        <w:fldChar w:fldCharType="end"/>
      </w:r>
      <w:bookmarkEnd w:id="272"/>
      <w:r w:rsidRPr="00603452">
        <w:rPr>
          <w:b/>
          <w:bCs/>
          <w:szCs w:val="14"/>
        </w:rPr>
        <w:t>.</w:t>
      </w:r>
      <w:r w:rsidR="00B14E38" w:rsidRPr="00603452">
        <w:rPr>
          <w:b/>
          <w:bCs/>
          <w:szCs w:val="14"/>
        </w:rPr>
        <w:t xml:space="preserve"> </w:t>
      </w:r>
      <w:r w:rsidR="00B14E38" w:rsidRPr="00603452">
        <w:rPr>
          <w:b/>
          <w:bCs/>
          <w:color w:val="3B3838" w:themeColor="background2" w:themeShade="40"/>
          <w:szCs w:val="14"/>
        </w:rPr>
        <w:t>Metas del programa 11</w:t>
      </w:r>
      <w:r w:rsidR="00F2561A" w:rsidRPr="00603452">
        <w:rPr>
          <w:b/>
          <w:bCs/>
          <w:color w:val="3B3838" w:themeColor="background2" w:themeShade="40"/>
          <w:szCs w:val="14"/>
        </w:rPr>
        <w:t xml:space="preserve">: </w:t>
      </w:r>
      <w:r w:rsidR="00B14E38" w:rsidRPr="00603452">
        <w:rPr>
          <w:b/>
          <w:bCs/>
          <w:color w:val="3B3838" w:themeColor="background2" w:themeShade="40"/>
          <w:szCs w:val="14"/>
        </w:rPr>
        <w:t>Salud con calidad y en el territorio</w:t>
      </w:r>
      <w:bookmarkEnd w:id="273"/>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504"/>
        <w:gridCol w:w="1131"/>
        <w:gridCol w:w="1087"/>
        <w:gridCol w:w="1115"/>
        <w:gridCol w:w="1150"/>
        <w:gridCol w:w="1373"/>
      </w:tblGrid>
      <w:tr w:rsidR="00686E23" w:rsidRPr="00F2561A" w14:paraId="6DC3C4C0" w14:textId="77777777" w:rsidTr="00686E23">
        <w:trPr>
          <w:tblHeader/>
        </w:trPr>
        <w:tc>
          <w:tcPr>
            <w:tcW w:w="2272" w:type="pct"/>
            <w:vMerge w:val="restart"/>
            <w:shd w:val="clear" w:color="auto" w:fill="C00000"/>
            <w:tcMar>
              <w:top w:w="30" w:type="dxa"/>
              <w:left w:w="45" w:type="dxa"/>
              <w:bottom w:w="30" w:type="dxa"/>
              <w:right w:w="45" w:type="dxa"/>
            </w:tcMar>
            <w:vAlign w:val="center"/>
            <w:hideMark/>
          </w:tcPr>
          <w:p w14:paraId="474403E7" w14:textId="77777777" w:rsidR="00F2561A" w:rsidRPr="00603452" w:rsidRDefault="00F2561A" w:rsidP="00AA4BBB">
            <w:pPr>
              <w:jc w:val="center"/>
              <w:rPr>
                <w:rFonts w:cs="Arial"/>
                <w:b/>
                <w:bCs/>
                <w:color w:val="FFFFFF"/>
                <w:sz w:val="20"/>
                <w:szCs w:val="20"/>
              </w:rPr>
            </w:pPr>
            <w:bookmarkStart w:id="274" w:name="_heading=h.184mhaj" w:colFirst="0" w:colLast="0"/>
            <w:bookmarkEnd w:id="274"/>
            <w:r w:rsidRPr="00603452">
              <w:rPr>
                <w:rFonts w:cs="Arial"/>
                <w:b/>
                <w:bCs/>
                <w:color w:val="FFFFFF"/>
                <w:sz w:val="20"/>
                <w:szCs w:val="20"/>
              </w:rPr>
              <w:t>SECTOR / Metas</w:t>
            </w:r>
          </w:p>
        </w:tc>
        <w:tc>
          <w:tcPr>
            <w:tcW w:w="2728" w:type="pct"/>
            <w:gridSpan w:val="5"/>
            <w:shd w:val="clear" w:color="auto" w:fill="C00000"/>
            <w:tcMar>
              <w:top w:w="30" w:type="dxa"/>
              <w:left w:w="45" w:type="dxa"/>
              <w:bottom w:w="30" w:type="dxa"/>
              <w:right w:w="45" w:type="dxa"/>
            </w:tcMar>
            <w:vAlign w:val="center"/>
            <w:hideMark/>
          </w:tcPr>
          <w:p w14:paraId="0F2D90BC" w14:textId="621635B1" w:rsidR="00686E23" w:rsidRDefault="00F2561A" w:rsidP="00AA4BBB">
            <w:pPr>
              <w:jc w:val="center"/>
              <w:rPr>
                <w:rFonts w:cs="Arial"/>
                <w:b/>
                <w:bCs/>
                <w:color w:val="FFFFFF"/>
                <w:sz w:val="20"/>
                <w:szCs w:val="20"/>
              </w:rPr>
            </w:pPr>
            <w:r w:rsidRPr="00F2561A">
              <w:rPr>
                <w:rFonts w:cs="Arial"/>
                <w:b/>
                <w:bCs/>
                <w:color w:val="FFFFFF"/>
                <w:sz w:val="20"/>
                <w:szCs w:val="20"/>
              </w:rPr>
              <w:t xml:space="preserve">Magnitudes e </w:t>
            </w:r>
            <w:r w:rsidR="00686E23">
              <w:rPr>
                <w:rFonts w:cs="Arial"/>
                <w:b/>
                <w:bCs/>
                <w:color w:val="FFFFFF"/>
                <w:sz w:val="20"/>
                <w:szCs w:val="20"/>
              </w:rPr>
              <w:t>i</w:t>
            </w:r>
            <w:r w:rsidRPr="00F2561A">
              <w:rPr>
                <w:rFonts w:cs="Arial"/>
                <w:b/>
                <w:bCs/>
                <w:color w:val="FFFFFF"/>
                <w:sz w:val="20"/>
                <w:szCs w:val="20"/>
              </w:rPr>
              <w:t>nversión</w:t>
            </w:r>
          </w:p>
          <w:p w14:paraId="1756889E" w14:textId="5E62CBB4" w:rsidR="00F2561A" w:rsidRPr="00F2561A" w:rsidRDefault="00F2561A" w:rsidP="00AA4BBB">
            <w:pPr>
              <w:jc w:val="center"/>
              <w:rPr>
                <w:rFonts w:cs="Arial"/>
                <w:b/>
                <w:bCs/>
                <w:color w:val="FFFFFF"/>
                <w:sz w:val="20"/>
                <w:szCs w:val="20"/>
              </w:rPr>
            </w:pPr>
            <w:r w:rsidRPr="00603452">
              <w:rPr>
                <w:rFonts w:cs="Arial"/>
                <w:b/>
                <w:bCs/>
                <w:color w:val="FFFFFF"/>
                <w:sz w:val="18"/>
                <w:szCs w:val="18"/>
              </w:rPr>
              <w:t xml:space="preserve"> (Precios Constantes 2024)</w:t>
            </w:r>
          </w:p>
        </w:tc>
      </w:tr>
      <w:tr w:rsidR="00686E23" w:rsidRPr="00F2561A" w14:paraId="3E04E3EB" w14:textId="77777777" w:rsidTr="00686E23">
        <w:trPr>
          <w:tblHeader/>
        </w:trPr>
        <w:tc>
          <w:tcPr>
            <w:tcW w:w="2272" w:type="pct"/>
            <w:vMerge/>
            <w:vAlign w:val="center"/>
            <w:hideMark/>
          </w:tcPr>
          <w:p w14:paraId="0A5FF22A" w14:textId="77777777" w:rsidR="00F2561A" w:rsidRPr="00603452" w:rsidRDefault="00F2561A" w:rsidP="00AA4BBB">
            <w:pPr>
              <w:rPr>
                <w:rFonts w:cs="Arial"/>
                <w:b/>
                <w:bCs/>
                <w:color w:val="FFFFFF"/>
                <w:sz w:val="14"/>
                <w:szCs w:val="14"/>
              </w:rPr>
            </w:pPr>
          </w:p>
        </w:tc>
        <w:tc>
          <w:tcPr>
            <w:tcW w:w="152" w:type="pct"/>
            <w:shd w:val="clear" w:color="auto" w:fill="D9D9D9"/>
            <w:tcMar>
              <w:top w:w="30" w:type="dxa"/>
              <w:left w:w="45" w:type="dxa"/>
              <w:bottom w:w="30" w:type="dxa"/>
              <w:right w:w="45" w:type="dxa"/>
            </w:tcMar>
            <w:vAlign w:val="center"/>
            <w:hideMark/>
          </w:tcPr>
          <w:p w14:paraId="1DD9E4D7" w14:textId="77777777" w:rsidR="00F2561A" w:rsidRPr="00686E23" w:rsidRDefault="00F2561A" w:rsidP="00AA4BBB">
            <w:pPr>
              <w:jc w:val="center"/>
              <w:rPr>
                <w:rFonts w:cs="Arial"/>
                <w:b/>
                <w:bCs/>
                <w:sz w:val="18"/>
                <w:szCs w:val="18"/>
              </w:rPr>
            </w:pPr>
            <w:r w:rsidRPr="00686E23">
              <w:rPr>
                <w:rFonts w:cs="Arial"/>
                <w:b/>
                <w:bCs/>
                <w:sz w:val="18"/>
                <w:szCs w:val="18"/>
              </w:rPr>
              <w:t>2024</w:t>
            </w:r>
          </w:p>
        </w:tc>
        <w:tc>
          <w:tcPr>
            <w:tcW w:w="606" w:type="pct"/>
            <w:shd w:val="clear" w:color="auto" w:fill="D9D9D9"/>
            <w:tcMar>
              <w:top w:w="30" w:type="dxa"/>
              <w:left w:w="45" w:type="dxa"/>
              <w:bottom w:w="30" w:type="dxa"/>
              <w:right w:w="45" w:type="dxa"/>
            </w:tcMar>
            <w:vAlign w:val="center"/>
            <w:hideMark/>
          </w:tcPr>
          <w:p w14:paraId="4B2CCCB1" w14:textId="77777777" w:rsidR="00F2561A" w:rsidRPr="00686E23" w:rsidRDefault="00F2561A" w:rsidP="00AA4BBB">
            <w:pPr>
              <w:jc w:val="center"/>
              <w:rPr>
                <w:rFonts w:cs="Arial"/>
                <w:b/>
                <w:bCs/>
                <w:sz w:val="18"/>
                <w:szCs w:val="18"/>
              </w:rPr>
            </w:pPr>
            <w:r w:rsidRPr="00686E23">
              <w:rPr>
                <w:rFonts w:cs="Arial"/>
                <w:b/>
                <w:bCs/>
                <w:sz w:val="18"/>
                <w:szCs w:val="18"/>
              </w:rPr>
              <w:t>2025</w:t>
            </w:r>
          </w:p>
        </w:tc>
        <w:tc>
          <w:tcPr>
            <w:tcW w:w="607" w:type="pct"/>
            <w:shd w:val="clear" w:color="auto" w:fill="D9D9D9"/>
            <w:tcMar>
              <w:top w:w="30" w:type="dxa"/>
              <w:left w:w="45" w:type="dxa"/>
              <w:bottom w:w="30" w:type="dxa"/>
              <w:right w:w="45" w:type="dxa"/>
            </w:tcMar>
            <w:vAlign w:val="center"/>
            <w:hideMark/>
          </w:tcPr>
          <w:p w14:paraId="10B5922C" w14:textId="77777777" w:rsidR="00F2561A" w:rsidRPr="00686E23" w:rsidRDefault="00F2561A" w:rsidP="00AA4BBB">
            <w:pPr>
              <w:jc w:val="center"/>
              <w:rPr>
                <w:rFonts w:cs="Arial"/>
                <w:b/>
                <w:bCs/>
                <w:sz w:val="18"/>
                <w:szCs w:val="18"/>
              </w:rPr>
            </w:pPr>
            <w:r w:rsidRPr="00686E23">
              <w:rPr>
                <w:rFonts w:cs="Arial"/>
                <w:b/>
                <w:bCs/>
                <w:sz w:val="18"/>
                <w:szCs w:val="18"/>
              </w:rPr>
              <w:t>2026</w:t>
            </w:r>
          </w:p>
        </w:tc>
        <w:tc>
          <w:tcPr>
            <w:tcW w:w="629" w:type="pct"/>
            <w:shd w:val="clear" w:color="auto" w:fill="D9D9D9"/>
            <w:tcMar>
              <w:top w:w="30" w:type="dxa"/>
              <w:left w:w="45" w:type="dxa"/>
              <w:bottom w:w="30" w:type="dxa"/>
              <w:right w:w="45" w:type="dxa"/>
            </w:tcMar>
            <w:vAlign w:val="center"/>
            <w:hideMark/>
          </w:tcPr>
          <w:p w14:paraId="20B55CBB" w14:textId="77777777" w:rsidR="00F2561A" w:rsidRPr="00686E23" w:rsidRDefault="00F2561A" w:rsidP="00AA4BBB">
            <w:pPr>
              <w:jc w:val="center"/>
              <w:rPr>
                <w:rFonts w:cs="Arial"/>
                <w:b/>
                <w:bCs/>
                <w:sz w:val="18"/>
                <w:szCs w:val="18"/>
              </w:rPr>
            </w:pPr>
            <w:r w:rsidRPr="00686E23">
              <w:rPr>
                <w:rFonts w:cs="Arial"/>
                <w:b/>
                <w:bCs/>
                <w:sz w:val="18"/>
                <w:szCs w:val="18"/>
              </w:rPr>
              <w:t>2027</w:t>
            </w:r>
          </w:p>
        </w:tc>
        <w:tc>
          <w:tcPr>
            <w:tcW w:w="735" w:type="pct"/>
            <w:shd w:val="clear" w:color="auto" w:fill="D9D9D9"/>
            <w:tcMar>
              <w:top w:w="30" w:type="dxa"/>
              <w:left w:w="45" w:type="dxa"/>
              <w:bottom w:w="30" w:type="dxa"/>
              <w:right w:w="45" w:type="dxa"/>
            </w:tcMar>
            <w:vAlign w:val="center"/>
            <w:hideMark/>
          </w:tcPr>
          <w:p w14:paraId="68B334FE" w14:textId="5BDEF725" w:rsidR="00F2561A" w:rsidRPr="00686E23" w:rsidRDefault="00F2561A" w:rsidP="00603452">
            <w:pPr>
              <w:jc w:val="center"/>
              <w:rPr>
                <w:rFonts w:cs="Arial"/>
                <w:b/>
                <w:bCs/>
                <w:sz w:val="18"/>
                <w:szCs w:val="18"/>
              </w:rPr>
            </w:pPr>
            <w:r w:rsidRPr="00686E23">
              <w:rPr>
                <w:rFonts w:cs="Arial"/>
                <w:b/>
                <w:bCs/>
                <w:sz w:val="18"/>
                <w:szCs w:val="18"/>
              </w:rPr>
              <w:t>Total Inversión</w:t>
            </w:r>
          </w:p>
        </w:tc>
      </w:tr>
      <w:tr w:rsidR="00F2561A" w:rsidRPr="00F2561A" w14:paraId="467328D4" w14:textId="77777777" w:rsidTr="00686E23">
        <w:tc>
          <w:tcPr>
            <w:tcW w:w="5000" w:type="pct"/>
            <w:gridSpan w:val="6"/>
            <w:shd w:val="clear" w:color="auto" w:fill="C00000"/>
            <w:tcMar>
              <w:top w:w="30" w:type="dxa"/>
              <w:left w:w="45" w:type="dxa"/>
              <w:bottom w:w="30" w:type="dxa"/>
              <w:right w:w="45" w:type="dxa"/>
            </w:tcMar>
            <w:vAlign w:val="center"/>
            <w:hideMark/>
          </w:tcPr>
          <w:p w14:paraId="5CA87A92" w14:textId="70C00590" w:rsidR="00F2561A" w:rsidRPr="00603452" w:rsidRDefault="00686E23" w:rsidP="00686E23">
            <w:pPr>
              <w:jc w:val="center"/>
              <w:rPr>
                <w:rFonts w:cs="Arial"/>
                <w:b/>
                <w:bCs/>
                <w:color w:val="FFFFFF" w:themeColor="background1"/>
                <w:sz w:val="14"/>
                <w:szCs w:val="14"/>
              </w:rPr>
            </w:pPr>
            <w:r w:rsidRPr="00603452">
              <w:rPr>
                <w:rFonts w:cs="Arial"/>
                <w:b/>
                <w:bCs/>
                <w:color w:val="FFFFFF" w:themeColor="background1"/>
                <w:sz w:val="20"/>
                <w:szCs w:val="20"/>
              </w:rPr>
              <w:t>Salud</w:t>
            </w:r>
          </w:p>
        </w:tc>
      </w:tr>
      <w:tr w:rsidR="00686E23" w:rsidRPr="00F2561A" w14:paraId="79B09F54" w14:textId="77777777" w:rsidTr="00686E23">
        <w:tc>
          <w:tcPr>
            <w:tcW w:w="2272" w:type="pct"/>
            <w:vMerge w:val="restart"/>
            <w:tcMar>
              <w:top w:w="30" w:type="dxa"/>
              <w:left w:w="45" w:type="dxa"/>
              <w:bottom w:w="30" w:type="dxa"/>
              <w:right w:w="45" w:type="dxa"/>
            </w:tcMar>
            <w:vAlign w:val="center"/>
            <w:hideMark/>
          </w:tcPr>
          <w:p w14:paraId="4AF2152C" w14:textId="77777777" w:rsidR="00F2561A" w:rsidRPr="00686E23" w:rsidRDefault="00F2561A" w:rsidP="00AA4BBB">
            <w:pPr>
              <w:rPr>
                <w:rFonts w:cs="Arial"/>
                <w:sz w:val="16"/>
                <w:szCs w:val="16"/>
              </w:rPr>
            </w:pPr>
            <w:r w:rsidRPr="00686E23">
              <w:rPr>
                <w:rFonts w:cs="Arial"/>
                <w:sz w:val="16"/>
                <w:szCs w:val="16"/>
              </w:rPr>
              <w:t>Avanzar en el 100% del cronograma establecido para la producción y generación de biológicos (envasado y llenado) en Bogotá D.C para contribuir a la soberanía sanitaria.</w:t>
            </w:r>
          </w:p>
        </w:tc>
        <w:tc>
          <w:tcPr>
            <w:tcW w:w="152" w:type="pct"/>
            <w:tcMar>
              <w:top w:w="30" w:type="dxa"/>
              <w:left w:w="45" w:type="dxa"/>
              <w:bottom w:w="30" w:type="dxa"/>
              <w:right w:w="45" w:type="dxa"/>
            </w:tcMar>
            <w:vAlign w:val="center"/>
            <w:hideMark/>
          </w:tcPr>
          <w:p w14:paraId="44230FC0" w14:textId="77777777" w:rsidR="00F2561A" w:rsidRPr="00686E23" w:rsidRDefault="00F2561A" w:rsidP="00AA4BBB">
            <w:pPr>
              <w:jc w:val="center"/>
              <w:rPr>
                <w:rFonts w:cs="Arial"/>
                <w:sz w:val="14"/>
                <w:szCs w:val="14"/>
              </w:rPr>
            </w:pPr>
            <w:r w:rsidRPr="00686E23">
              <w:rPr>
                <w:rFonts w:cs="Arial"/>
                <w:sz w:val="14"/>
                <w:szCs w:val="14"/>
              </w:rPr>
              <w:t>30%</w:t>
            </w:r>
          </w:p>
        </w:tc>
        <w:tc>
          <w:tcPr>
            <w:tcW w:w="606" w:type="pct"/>
            <w:tcMar>
              <w:top w:w="30" w:type="dxa"/>
              <w:left w:w="45" w:type="dxa"/>
              <w:bottom w:w="30" w:type="dxa"/>
              <w:right w:w="45" w:type="dxa"/>
            </w:tcMar>
            <w:vAlign w:val="center"/>
            <w:hideMark/>
          </w:tcPr>
          <w:p w14:paraId="10201FA1" w14:textId="77777777" w:rsidR="00F2561A" w:rsidRPr="00686E23" w:rsidRDefault="00F2561A" w:rsidP="00AA4BBB">
            <w:pPr>
              <w:jc w:val="center"/>
              <w:rPr>
                <w:rFonts w:cs="Arial"/>
                <w:sz w:val="14"/>
                <w:szCs w:val="14"/>
              </w:rPr>
            </w:pPr>
            <w:r w:rsidRPr="00686E23">
              <w:rPr>
                <w:rFonts w:cs="Arial"/>
                <w:sz w:val="14"/>
                <w:szCs w:val="14"/>
              </w:rPr>
              <w:t>50%</w:t>
            </w:r>
          </w:p>
        </w:tc>
        <w:tc>
          <w:tcPr>
            <w:tcW w:w="607" w:type="pct"/>
            <w:tcMar>
              <w:top w:w="30" w:type="dxa"/>
              <w:left w:w="45" w:type="dxa"/>
              <w:bottom w:w="30" w:type="dxa"/>
              <w:right w:w="45" w:type="dxa"/>
            </w:tcMar>
            <w:vAlign w:val="center"/>
            <w:hideMark/>
          </w:tcPr>
          <w:p w14:paraId="3B6A2606" w14:textId="77777777" w:rsidR="00F2561A" w:rsidRPr="00686E23" w:rsidRDefault="00F2561A" w:rsidP="00AA4BBB">
            <w:pPr>
              <w:jc w:val="center"/>
              <w:rPr>
                <w:rFonts w:cs="Arial"/>
                <w:sz w:val="14"/>
                <w:szCs w:val="14"/>
              </w:rPr>
            </w:pPr>
            <w:r w:rsidRPr="00686E23">
              <w:rPr>
                <w:rFonts w:cs="Arial"/>
                <w:sz w:val="14"/>
                <w:szCs w:val="14"/>
              </w:rPr>
              <w:t>80%</w:t>
            </w:r>
          </w:p>
        </w:tc>
        <w:tc>
          <w:tcPr>
            <w:tcW w:w="629" w:type="pct"/>
            <w:tcMar>
              <w:top w:w="30" w:type="dxa"/>
              <w:left w:w="45" w:type="dxa"/>
              <w:bottom w:w="30" w:type="dxa"/>
              <w:right w:w="45" w:type="dxa"/>
            </w:tcMar>
            <w:vAlign w:val="center"/>
            <w:hideMark/>
          </w:tcPr>
          <w:p w14:paraId="72419968" w14:textId="77777777" w:rsidR="00F2561A" w:rsidRPr="00686E23" w:rsidRDefault="00F2561A" w:rsidP="00AA4BBB">
            <w:pPr>
              <w:jc w:val="center"/>
              <w:rPr>
                <w:rFonts w:cs="Arial"/>
                <w:sz w:val="14"/>
                <w:szCs w:val="14"/>
              </w:rPr>
            </w:pPr>
            <w:r w:rsidRPr="00686E23">
              <w:rPr>
                <w:rFonts w:cs="Arial"/>
                <w:sz w:val="14"/>
                <w:szCs w:val="14"/>
              </w:rPr>
              <w:t>100%</w:t>
            </w:r>
          </w:p>
        </w:tc>
        <w:tc>
          <w:tcPr>
            <w:tcW w:w="735" w:type="pct"/>
            <w:vMerge w:val="restart"/>
            <w:tcMar>
              <w:top w:w="30" w:type="dxa"/>
              <w:left w:w="45" w:type="dxa"/>
              <w:bottom w:w="30" w:type="dxa"/>
              <w:right w:w="45" w:type="dxa"/>
            </w:tcMar>
            <w:vAlign w:val="center"/>
            <w:hideMark/>
          </w:tcPr>
          <w:p w14:paraId="59A713D4" w14:textId="77777777" w:rsidR="00F2561A" w:rsidRPr="00686E23" w:rsidRDefault="00F2561A" w:rsidP="00AA4BBB">
            <w:pPr>
              <w:jc w:val="center"/>
              <w:rPr>
                <w:rFonts w:cs="Arial"/>
                <w:b/>
                <w:bCs/>
                <w:sz w:val="16"/>
                <w:szCs w:val="16"/>
              </w:rPr>
            </w:pPr>
            <w:r w:rsidRPr="00686E23">
              <w:rPr>
                <w:rFonts w:cs="Arial"/>
                <w:b/>
                <w:bCs/>
                <w:sz w:val="16"/>
                <w:szCs w:val="16"/>
              </w:rPr>
              <w:t>347.281.698.808</w:t>
            </w:r>
          </w:p>
        </w:tc>
      </w:tr>
      <w:tr w:rsidR="00686E23" w:rsidRPr="00F2561A" w14:paraId="10D7ED1E" w14:textId="77777777" w:rsidTr="00686E23">
        <w:tc>
          <w:tcPr>
            <w:tcW w:w="2272" w:type="pct"/>
            <w:vMerge/>
            <w:vAlign w:val="center"/>
            <w:hideMark/>
          </w:tcPr>
          <w:p w14:paraId="07DD4843" w14:textId="77777777" w:rsidR="00F2561A" w:rsidRPr="00686E23" w:rsidRDefault="00F2561A" w:rsidP="00AA4BBB">
            <w:pPr>
              <w:rPr>
                <w:rFonts w:cs="Arial"/>
                <w:sz w:val="16"/>
                <w:szCs w:val="16"/>
              </w:rPr>
            </w:pPr>
          </w:p>
        </w:tc>
        <w:tc>
          <w:tcPr>
            <w:tcW w:w="152" w:type="pct"/>
            <w:tcMar>
              <w:top w:w="30" w:type="dxa"/>
              <w:left w:w="45" w:type="dxa"/>
              <w:bottom w:w="30" w:type="dxa"/>
              <w:right w:w="45" w:type="dxa"/>
            </w:tcMar>
            <w:vAlign w:val="center"/>
            <w:hideMark/>
          </w:tcPr>
          <w:p w14:paraId="4F29F7CC" w14:textId="77777777" w:rsidR="00F2561A" w:rsidRPr="00686E23" w:rsidRDefault="00F2561A" w:rsidP="00AA4BBB">
            <w:pPr>
              <w:jc w:val="center"/>
              <w:rPr>
                <w:rFonts w:cs="Arial"/>
                <w:sz w:val="14"/>
                <w:szCs w:val="14"/>
              </w:rPr>
            </w:pPr>
            <w:r w:rsidRPr="00686E23">
              <w:rPr>
                <w:rFonts w:cs="Arial"/>
                <w:sz w:val="14"/>
                <w:szCs w:val="14"/>
              </w:rPr>
              <w:t>68.482.671.000</w:t>
            </w:r>
          </w:p>
        </w:tc>
        <w:tc>
          <w:tcPr>
            <w:tcW w:w="606" w:type="pct"/>
            <w:tcMar>
              <w:top w:w="30" w:type="dxa"/>
              <w:left w:w="45" w:type="dxa"/>
              <w:bottom w:w="30" w:type="dxa"/>
              <w:right w:w="45" w:type="dxa"/>
            </w:tcMar>
            <w:vAlign w:val="center"/>
            <w:hideMark/>
          </w:tcPr>
          <w:p w14:paraId="18143590" w14:textId="77777777" w:rsidR="00F2561A" w:rsidRPr="00686E23" w:rsidRDefault="00F2561A" w:rsidP="00AA4BBB">
            <w:pPr>
              <w:jc w:val="center"/>
              <w:rPr>
                <w:rFonts w:cs="Arial"/>
                <w:sz w:val="14"/>
                <w:szCs w:val="14"/>
              </w:rPr>
            </w:pPr>
            <w:r w:rsidRPr="00686E23">
              <w:rPr>
                <w:rFonts w:cs="Arial"/>
                <w:sz w:val="14"/>
                <w:szCs w:val="14"/>
              </w:rPr>
              <w:t>125.671.658.567</w:t>
            </w:r>
          </w:p>
        </w:tc>
        <w:tc>
          <w:tcPr>
            <w:tcW w:w="607" w:type="pct"/>
            <w:tcMar>
              <w:top w:w="30" w:type="dxa"/>
              <w:left w:w="45" w:type="dxa"/>
              <w:bottom w:w="30" w:type="dxa"/>
              <w:right w:w="45" w:type="dxa"/>
            </w:tcMar>
            <w:vAlign w:val="center"/>
            <w:hideMark/>
          </w:tcPr>
          <w:p w14:paraId="5A5790BB" w14:textId="77777777" w:rsidR="00F2561A" w:rsidRPr="00686E23" w:rsidRDefault="00F2561A" w:rsidP="00AA4BBB">
            <w:pPr>
              <w:jc w:val="center"/>
              <w:rPr>
                <w:rFonts w:cs="Arial"/>
                <w:sz w:val="14"/>
                <w:szCs w:val="14"/>
              </w:rPr>
            </w:pPr>
            <w:r w:rsidRPr="00686E23">
              <w:rPr>
                <w:rFonts w:cs="Arial"/>
                <w:sz w:val="14"/>
                <w:szCs w:val="14"/>
              </w:rPr>
              <w:t>148.334.444.053</w:t>
            </w:r>
          </w:p>
        </w:tc>
        <w:tc>
          <w:tcPr>
            <w:tcW w:w="629" w:type="pct"/>
            <w:tcMar>
              <w:top w:w="30" w:type="dxa"/>
              <w:left w:w="45" w:type="dxa"/>
              <w:bottom w:w="30" w:type="dxa"/>
              <w:right w:w="45" w:type="dxa"/>
            </w:tcMar>
            <w:vAlign w:val="center"/>
            <w:hideMark/>
          </w:tcPr>
          <w:p w14:paraId="6C583158" w14:textId="77777777" w:rsidR="00F2561A" w:rsidRPr="00686E23" w:rsidRDefault="00F2561A" w:rsidP="00AA4BBB">
            <w:pPr>
              <w:jc w:val="center"/>
              <w:rPr>
                <w:rFonts w:cs="Arial"/>
                <w:sz w:val="14"/>
                <w:szCs w:val="14"/>
              </w:rPr>
            </w:pPr>
            <w:r w:rsidRPr="00686E23">
              <w:rPr>
                <w:rFonts w:cs="Arial"/>
                <w:sz w:val="14"/>
                <w:szCs w:val="14"/>
              </w:rPr>
              <w:t>4.792.925.188</w:t>
            </w:r>
          </w:p>
        </w:tc>
        <w:tc>
          <w:tcPr>
            <w:tcW w:w="735" w:type="pct"/>
            <w:vMerge/>
            <w:vAlign w:val="center"/>
            <w:hideMark/>
          </w:tcPr>
          <w:p w14:paraId="0E69EDE4" w14:textId="77777777" w:rsidR="00F2561A" w:rsidRPr="00686E23" w:rsidRDefault="00F2561A" w:rsidP="00AA4BBB">
            <w:pPr>
              <w:rPr>
                <w:rFonts w:cs="Arial"/>
                <w:b/>
                <w:bCs/>
                <w:sz w:val="16"/>
                <w:szCs w:val="16"/>
              </w:rPr>
            </w:pPr>
          </w:p>
        </w:tc>
      </w:tr>
      <w:tr w:rsidR="00686E23" w:rsidRPr="00F2561A" w14:paraId="25A4AB57" w14:textId="77777777" w:rsidTr="00686E23">
        <w:tc>
          <w:tcPr>
            <w:tcW w:w="2272" w:type="pct"/>
            <w:vMerge w:val="restart"/>
            <w:tcMar>
              <w:top w:w="30" w:type="dxa"/>
              <w:left w:w="45" w:type="dxa"/>
              <w:bottom w:w="30" w:type="dxa"/>
              <w:right w:w="45" w:type="dxa"/>
            </w:tcMar>
            <w:vAlign w:val="center"/>
            <w:hideMark/>
          </w:tcPr>
          <w:p w14:paraId="46B04E99" w14:textId="77777777" w:rsidR="00F2561A" w:rsidRPr="00686E23" w:rsidRDefault="00F2561A" w:rsidP="00AA4BBB">
            <w:pPr>
              <w:rPr>
                <w:rFonts w:cs="Arial"/>
                <w:sz w:val="16"/>
                <w:szCs w:val="16"/>
              </w:rPr>
            </w:pPr>
            <w:r w:rsidRPr="00686E23">
              <w:rPr>
                <w:rFonts w:cs="Arial"/>
                <w:sz w:val="16"/>
                <w:szCs w:val="16"/>
              </w:rPr>
              <w:t>Dar respuesta oportuna como mínimo al 90% de las alertas emergencias enfermedades emergentes y reemergentes notificadas con impacto en salud pública. dentro de las primeras 24 horas.</w:t>
            </w:r>
          </w:p>
        </w:tc>
        <w:tc>
          <w:tcPr>
            <w:tcW w:w="152" w:type="pct"/>
            <w:tcMar>
              <w:top w:w="30" w:type="dxa"/>
              <w:left w:w="45" w:type="dxa"/>
              <w:bottom w:w="30" w:type="dxa"/>
              <w:right w:w="45" w:type="dxa"/>
            </w:tcMar>
            <w:vAlign w:val="center"/>
            <w:hideMark/>
          </w:tcPr>
          <w:p w14:paraId="74C40DFC" w14:textId="77777777" w:rsidR="00F2561A" w:rsidRPr="00686E23" w:rsidRDefault="00F2561A" w:rsidP="00AA4BBB">
            <w:pPr>
              <w:jc w:val="center"/>
              <w:rPr>
                <w:rFonts w:cs="Arial"/>
                <w:sz w:val="14"/>
                <w:szCs w:val="14"/>
              </w:rPr>
            </w:pPr>
            <w:r w:rsidRPr="00686E23">
              <w:rPr>
                <w:rFonts w:cs="Arial"/>
                <w:sz w:val="14"/>
                <w:szCs w:val="14"/>
              </w:rPr>
              <w:t>90%</w:t>
            </w:r>
          </w:p>
        </w:tc>
        <w:tc>
          <w:tcPr>
            <w:tcW w:w="606" w:type="pct"/>
            <w:tcMar>
              <w:top w:w="30" w:type="dxa"/>
              <w:left w:w="45" w:type="dxa"/>
              <w:bottom w:w="30" w:type="dxa"/>
              <w:right w:w="45" w:type="dxa"/>
            </w:tcMar>
            <w:vAlign w:val="center"/>
            <w:hideMark/>
          </w:tcPr>
          <w:p w14:paraId="2059648D" w14:textId="77777777" w:rsidR="00F2561A" w:rsidRPr="00686E23" w:rsidRDefault="00F2561A" w:rsidP="00AA4BBB">
            <w:pPr>
              <w:jc w:val="center"/>
              <w:rPr>
                <w:rFonts w:cs="Arial"/>
                <w:sz w:val="14"/>
                <w:szCs w:val="14"/>
              </w:rPr>
            </w:pPr>
            <w:r w:rsidRPr="00686E23">
              <w:rPr>
                <w:rFonts w:cs="Arial"/>
                <w:sz w:val="14"/>
                <w:szCs w:val="14"/>
              </w:rPr>
              <w:t>90%</w:t>
            </w:r>
          </w:p>
        </w:tc>
        <w:tc>
          <w:tcPr>
            <w:tcW w:w="607" w:type="pct"/>
            <w:tcMar>
              <w:top w:w="30" w:type="dxa"/>
              <w:left w:w="45" w:type="dxa"/>
              <w:bottom w:w="30" w:type="dxa"/>
              <w:right w:w="45" w:type="dxa"/>
            </w:tcMar>
            <w:vAlign w:val="center"/>
            <w:hideMark/>
          </w:tcPr>
          <w:p w14:paraId="20732D32" w14:textId="77777777" w:rsidR="00F2561A" w:rsidRPr="00686E23" w:rsidRDefault="00F2561A" w:rsidP="00AA4BBB">
            <w:pPr>
              <w:jc w:val="center"/>
              <w:rPr>
                <w:rFonts w:cs="Arial"/>
                <w:sz w:val="14"/>
                <w:szCs w:val="14"/>
              </w:rPr>
            </w:pPr>
            <w:r w:rsidRPr="00686E23">
              <w:rPr>
                <w:rFonts w:cs="Arial"/>
                <w:sz w:val="14"/>
                <w:szCs w:val="14"/>
              </w:rPr>
              <w:t>90%</w:t>
            </w:r>
          </w:p>
        </w:tc>
        <w:tc>
          <w:tcPr>
            <w:tcW w:w="629" w:type="pct"/>
            <w:tcMar>
              <w:top w:w="30" w:type="dxa"/>
              <w:left w:w="45" w:type="dxa"/>
              <w:bottom w:w="30" w:type="dxa"/>
              <w:right w:w="45" w:type="dxa"/>
            </w:tcMar>
            <w:vAlign w:val="center"/>
            <w:hideMark/>
          </w:tcPr>
          <w:p w14:paraId="7D99A4F0" w14:textId="77777777" w:rsidR="00F2561A" w:rsidRPr="00686E23" w:rsidRDefault="00F2561A" w:rsidP="00AA4BBB">
            <w:pPr>
              <w:jc w:val="center"/>
              <w:rPr>
                <w:rFonts w:cs="Arial"/>
                <w:sz w:val="14"/>
                <w:szCs w:val="14"/>
              </w:rPr>
            </w:pPr>
            <w:r w:rsidRPr="00686E23">
              <w:rPr>
                <w:rFonts w:cs="Arial"/>
                <w:sz w:val="14"/>
                <w:szCs w:val="14"/>
              </w:rPr>
              <w:t>90%</w:t>
            </w:r>
          </w:p>
        </w:tc>
        <w:tc>
          <w:tcPr>
            <w:tcW w:w="735" w:type="pct"/>
            <w:vMerge w:val="restart"/>
            <w:tcMar>
              <w:top w:w="30" w:type="dxa"/>
              <w:left w:w="45" w:type="dxa"/>
              <w:bottom w:w="30" w:type="dxa"/>
              <w:right w:w="45" w:type="dxa"/>
            </w:tcMar>
            <w:vAlign w:val="center"/>
            <w:hideMark/>
          </w:tcPr>
          <w:p w14:paraId="0A5979DC" w14:textId="77777777" w:rsidR="00F2561A" w:rsidRPr="00686E23" w:rsidRDefault="00F2561A" w:rsidP="00AA4BBB">
            <w:pPr>
              <w:jc w:val="center"/>
              <w:rPr>
                <w:rFonts w:cs="Arial"/>
                <w:b/>
                <w:bCs/>
                <w:sz w:val="16"/>
                <w:szCs w:val="16"/>
              </w:rPr>
            </w:pPr>
            <w:r w:rsidRPr="00686E23">
              <w:rPr>
                <w:rFonts w:cs="Arial"/>
                <w:b/>
                <w:bCs/>
                <w:sz w:val="16"/>
                <w:szCs w:val="16"/>
              </w:rPr>
              <w:t>11.135.380.648</w:t>
            </w:r>
          </w:p>
        </w:tc>
      </w:tr>
      <w:tr w:rsidR="00686E23" w:rsidRPr="00F2561A" w14:paraId="1C7A0EF4" w14:textId="77777777" w:rsidTr="00686E23">
        <w:tc>
          <w:tcPr>
            <w:tcW w:w="2272" w:type="pct"/>
            <w:vMerge/>
            <w:vAlign w:val="center"/>
            <w:hideMark/>
          </w:tcPr>
          <w:p w14:paraId="394DE7D8" w14:textId="77777777" w:rsidR="00F2561A" w:rsidRPr="00686E23" w:rsidRDefault="00F2561A" w:rsidP="00AA4BBB">
            <w:pPr>
              <w:rPr>
                <w:rFonts w:cs="Arial"/>
                <w:sz w:val="16"/>
                <w:szCs w:val="16"/>
              </w:rPr>
            </w:pPr>
          </w:p>
        </w:tc>
        <w:tc>
          <w:tcPr>
            <w:tcW w:w="152" w:type="pct"/>
            <w:tcMar>
              <w:top w:w="30" w:type="dxa"/>
              <w:left w:w="45" w:type="dxa"/>
              <w:bottom w:w="30" w:type="dxa"/>
              <w:right w:w="45" w:type="dxa"/>
            </w:tcMar>
            <w:vAlign w:val="center"/>
            <w:hideMark/>
          </w:tcPr>
          <w:p w14:paraId="7CC42EFE" w14:textId="77777777" w:rsidR="00F2561A" w:rsidRPr="00686E23" w:rsidRDefault="00F2561A" w:rsidP="00AA4BBB">
            <w:pPr>
              <w:jc w:val="center"/>
              <w:rPr>
                <w:rFonts w:cs="Arial"/>
                <w:sz w:val="14"/>
                <w:szCs w:val="14"/>
              </w:rPr>
            </w:pPr>
            <w:r w:rsidRPr="00686E23">
              <w:rPr>
                <w:rFonts w:cs="Arial"/>
                <w:sz w:val="14"/>
                <w:szCs w:val="14"/>
              </w:rPr>
              <w:t>500.000.000</w:t>
            </w:r>
          </w:p>
        </w:tc>
        <w:tc>
          <w:tcPr>
            <w:tcW w:w="606" w:type="pct"/>
            <w:tcMar>
              <w:top w:w="30" w:type="dxa"/>
              <w:left w:w="45" w:type="dxa"/>
              <w:bottom w:w="30" w:type="dxa"/>
              <w:right w:w="45" w:type="dxa"/>
            </w:tcMar>
            <w:vAlign w:val="center"/>
            <w:hideMark/>
          </w:tcPr>
          <w:p w14:paraId="0D4BCB33" w14:textId="77777777" w:rsidR="00F2561A" w:rsidRPr="00686E23" w:rsidRDefault="00F2561A" w:rsidP="00AA4BBB">
            <w:pPr>
              <w:jc w:val="center"/>
              <w:rPr>
                <w:rFonts w:cs="Arial"/>
                <w:sz w:val="14"/>
                <w:szCs w:val="14"/>
              </w:rPr>
            </w:pPr>
            <w:r w:rsidRPr="00686E23">
              <w:rPr>
                <w:rFonts w:cs="Arial"/>
                <w:sz w:val="14"/>
                <w:szCs w:val="14"/>
              </w:rPr>
              <w:t>3.425.900.237</w:t>
            </w:r>
          </w:p>
        </w:tc>
        <w:tc>
          <w:tcPr>
            <w:tcW w:w="607" w:type="pct"/>
            <w:tcMar>
              <w:top w:w="30" w:type="dxa"/>
              <w:left w:w="45" w:type="dxa"/>
              <w:bottom w:w="30" w:type="dxa"/>
              <w:right w:w="45" w:type="dxa"/>
            </w:tcMar>
            <w:vAlign w:val="center"/>
            <w:hideMark/>
          </w:tcPr>
          <w:p w14:paraId="2FBF1FFF" w14:textId="77777777" w:rsidR="00F2561A" w:rsidRPr="00686E23" w:rsidRDefault="00F2561A" w:rsidP="00AA4BBB">
            <w:pPr>
              <w:jc w:val="center"/>
              <w:rPr>
                <w:rFonts w:cs="Arial"/>
                <w:sz w:val="14"/>
                <w:szCs w:val="14"/>
              </w:rPr>
            </w:pPr>
            <w:r w:rsidRPr="00686E23">
              <w:rPr>
                <w:rFonts w:cs="Arial"/>
                <w:sz w:val="14"/>
                <w:szCs w:val="14"/>
              </w:rPr>
              <w:t>3.542.586.189</w:t>
            </w:r>
          </w:p>
        </w:tc>
        <w:tc>
          <w:tcPr>
            <w:tcW w:w="629" w:type="pct"/>
            <w:tcMar>
              <w:top w:w="30" w:type="dxa"/>
              <w:left w:w="45" w:type="dxa"/>
              <w:bottom w:w="30" w:type="dxa"/>
              <w:right w:w="45" w:type="dxa"/>
            </w:tcMar>
            <w:vAlign w:val="center"/>
            <w:hideMark/>
          </w:tcPr>
          <w:p w14:paraId="523B4384" w14:textId="77777777" w:rsidR="00F2561A" w:rsidRPr="00686E23" w:rsidRDefault="00F2561A" w:rsidP="00AA4BBB">
            <w:pPr>
              <w:jc w:val="center"/>
              <w:rPr>
                <w:rFonts w:cs="Arial"/>
                <w:sz w:val="14"/>
                <w:szCs w:val="14"/>
              </w:rPr>
            </w:pPr>
            <w:r w:rsidRPr="00686E23">
              <w:rPr>
                <w:rFonts w:cs="Arial"/>
                <w:sz w:val="14"/>
                <w:szCs w:val="14"/>
              </w:rPr>
              <w:t>3.666.894.222</w:t>
            </w:r>
          </w:p>
        </w:tc>
        <w:tc>
          <w:tcPr>
            <w:tcW w:w="735" w:type="pct"/>
            <w:vMerge/>
            <w:vAlign w:val="center"/>
            <w:hideMark/>
          </w:tcPr>
          <w:p w14:paraId="4699FC8A" w14:textId="77777777" w:rsidR="00F2561A" w:rsidRPr="00686E23" w:rsidRDefault="00F2561A" w:rsidP="00AA4BBB">
            <w:pPr>
              <w:rPr>
                <w:rFonts w:cs="Arial"/>
                <w:b/>
                <w:bCs/>
                <w:sz w:val="16"/>
                <w:szCs w:val="16"/>
              </w:rPr>
            </w:pPr>
          </w:p>
        </w:tc>
      </w:tr>
      <w:tr w:rsidR="00686E23" w:rsidRPr="00F2561A" w14:paraId="148365FD" w14:textId="77777777" w:rsidTr="00686E23">
        <w:tc>
          <w:tcPr>
            <w:tcW w:w="2272" w:type="pct"/>
            <w:vMerge w:val="restart"/>
            <w:tcMar>
              <w:top w:w="30" w:type="dxa"/>
              <w:left w:w="45" w:type="dxa"/>
              <w:bottom w:w="30" w:type="dxa"/>
              <w:right w:w="45" w:type="dxa"/>
            </w:tcMar>
            <w:vAlign w:val="center"/>
            <w:hideMark/>
          </w:tcPr>
          <w:p w14:paraId="119C71CC" w14:textId="77777777" w:rsidR="00F2561A" w:rsidRPr="00686E23" w:rsidRDefault="00F2561A" w:rsidP="00AA4BBB">
            <w:pPr>
              <w:rPr>
                <w:rFonts w:cs="Arial"/>
                <w:sz w:val="16"/>
                <w:szCs w:val="16"/>
              </w:rPr>
            </w:pPr>
            <w:r w:rsidRPr="00686E23">
              <w:rPr>
                <w:rFonts w:cs="Arial"/>
                <w:sz w:val="16"/>
                <w:szCs w:val="16"/>
              </w:rPr>
              <w:t>Diseñar implementar y evaluar el Modelo de Salud para la población de Bogotá D.C.</w:t>
            </w:r>
          </w:p>
        </w:tc>
        <w:tc>
          <w:tcPr>
            <w:tcW w:w="152" w:type="pct"/>
            <w:tcMar>
              <w:top w:w="30" w:type="dxa"/>
              <w:left w:w="45" w:type="dxa"/>
              <w:bottom w:w="30" w:type="dxa"/>
              <w:right w:w="45" w:type="dxa"/>
            </w:tcMar>
            <w:vAlign w:val="center"/>
            <w:hideMark/>
          </w:tcPr>
          <w:p w14:paraId="39C659B4" w14:textId="77777777" w:rsidR="00F2561A" w:rsidRPr="00686E23" w:rsidRDefault="00F2561A" w:rsidP="00AA4BBB">
            <w:pPr>
              <w:jc w:val="center"/>
              <w:rPr>
                <w:rFonts w:cs="Arial"/>
                <w:sz w:val="14"/>
                <w:szCs w:val="14"/>
              </w:rPr>
            </w:pPr>
            <w:r w:rsidRPr="00686E23">
              <w:rPr>
                <w:rFonts w:cs="Arial"/>
                <w:sz w:val="14"/>
                <w:szCs w:val="14"/>
              </w:rPr>
              <w:t>5%</w:t>
            </w:r>
          </w:p>
        </w:tc>
        <w:tc>
          <w:tcPr>
            <w:tcW w:w="606" w:type="pct"/>
            <w:tcMar>
              <w:top w:w="30" w:type="dxa"/>
              <w:left w:w="45" w:type="dxa"/>
              <w:bottom w:w="30" w:type="dxa"/>
              <w:right w:w="45" w:type="dxa"/>
            </w:tcMar>
            <w:vAlign w:val="center"/>
            <w:hideMark/>
          </w:tcPr>
          <w:p w14:paraId="096C29E2" w14:textId="77777777" w:rsidR="00F2561A" w:rsidRPr="00686E23" w:rsidRDefault="00F2561A" w:rsidP="00AA4BBB">
            <w:pPr>
              <w:jc w:val="center"/>
              <w:rPr>
                <w:rFonts w:cs="Arial"/>
                <w:sz w:val="14"/>
                <w:szCs w:val="14"/>
              </w:rPr>
            </w:pPr>
            <w:r w:rsidRPr="00686E23">
              <w:rPr>
                <w:rFonts w:cs="Arial"/>
                <w:sz w:val="14"/>
                <w:szCs w:val="14"/>
              </w:rPr>
              <w:t>20%</w:t>
            </w:r>
          </w:p>
        </w:tc>
        <w:tc>
          <w:tcPr>
            <w:tcW w:w="607" w:type="pct"/>
            <w:tcMar>
              <w:top w:w="30" w:type="dxa"/>
              <w:left w:w="45" w:type="dxa"/>
              <w:bottom w:w="30" w:type="dxa"/>
              <w:right w:w="45" w:type="dxa"/>
            </w:tcMar>
            <w:vAlign w:val="center"/>
            <w:hideMark/>
          </w:tcPr>
          <w:p w14:paraId="158F6E43" w14:textId="77777777" w:rsidR="00F2561A" w:rsidRPr="00686E23" w:rsidRDefault="00F2561A" w:rsidP="00AA4BBB">
            <w:pPr>
              <w:jc w:val="center"/>
              <w:rPr>
                <w:rFonts w:cs="Arial"/>
                <w:sz w:val="14"/>
                <w:szCs w:val="14"/>
              </w:rPr>
            </w:pPr>
            <w:r w:rsidRPr="00686E23">
              <w:rPr>
                <w:rFonts w:cs="Arial"/>
                <w:sz w:val="14"/>
                <w:szCs w:val="14"/>
              </w:rPr>
              <w:t>30%</w:t>
            </w:r>
          </w:p>
        </w:tc>
        <w:tc>
          <w:tcPr>
            <w:tcW w:w="629" w:type="pct"/>
            <w:tcMar>
              <w:top w:w="30" w:type="dxa"/>
              <w:left w:w="45" w:type="dxa"/>
              <w:bottom w:w="30" w:type="dxa"/>
              <w:right w:w="45" w:type="dxa"/>
            </w:tcMar>
            <w:vAlign w:val="center"/>
            <w:hideMark/>
          </w:tcPr>
          <w:p w14:paraId="3A85CBCB" w14:textId="77777777" w:rsidR="00F2561A" w:rsidRPr="00686E23" w:rsidRDefault="00F2561A" w:rsidP="00AA4BBB">
            <w:pPr>
              <w:jc w:val="center"/>
              <w:rPr>
                <w:rFonts w:cs="Arial"/>
                <w:sz w:val="14"/>
                <w:szCs w:val="14"/>
              </w:rPr>
            </w:pPr>
            <w:r w:rsidRPr="00686E23">
              <w:rPr>
                <w:rFonts w:cs="Arial"/>
                <w:sz w:val="14"/>
                <w:szCs w:val="14"/>
              </w:rPr>
              <w:t>30%</w:t>
            </w:r>
          </w:p>
        </w:tc>
        <w:tc>
          <w:tcPr>
            <w:tcW w:w="735" w:type="pct"/>
            <w:vMerge w:val="restart"/>
            <w:tcMar>
              <w:top w:w="30" w:type="dxa"/>
              <w:left w:w="45" w:type="dxa"/>
              <w:bottom w:w="30" w:type="dxa"/>
              <w:right w:w="45" w:type="dxa"/>
            </w:tcMar>
            <w:vAlign w:val="center"/>
            <w:hideMark/>
          </w:tcPr>
          <w:p w14:paraId="39E80137" w14:textId="77777777" w:rsidR="00F2561A" w:rsidRPr="00686E23" w:rsidRDefault="00F2561A" w:rsidP="00AA4BBB">
            <w:pPr>
              <w:jc w:val="center"/>
              <w:rPr>
                <w:rFonts w:cs="Arial"/>
                <w:b/>
                <w:bCs/>
                <w:sz w:val="16"/>
                <w:szCs w:val="16"/>
              </w:rPr>
            </w:pPr>
            <w:r w:rsidRPr="00686E23">
              <w:rPr>
                <w:rFonts w:cs="Arial"/>
                <w:b/>
                <w:bCs/>
                <w:sz w:val="16"/>
                <w:szCs w:val="16"/>
              </w:rPr>
              <w:t>715.394.735.433</w:t>
            </w:r>
          </w:p>
        </w:tc>
      </w:tr>
      <w:tr w:rsidR="00686E23" w:rsidRPr="00F2561A" w14:paraId="1D3E7244" w14:textId="77777777" w:rsidTr="00686E23">
        <w:tc>
          <w:tcPr>
            <w:tcW w:w="2272" w:type="pct"/>
            <w:vMerge/>
            <w:vAlign w:val="center"/>
            <w:hideMark/>
          </w:tcPr>
          <w:p w14:paraId="0FEC4792" w14:textId="77777777" w:rsidR="00F2561A" w:rsidRPr="00686E23" w:rsidRDefault="00F2561A" w:rsidP="00AA4BBB">
            <w:pPr>
              <w:rPr>
                <w:rFonts w:cs="Arial"/>
                <w:sz w:val="16"/>
                <w:szCs w:val="16"/>
              </w:rPr>
            </w:pPr>
          </w:p>
        </w:tc>
        <w:tc>
          <w:tcPr>
            <w:tcW w:w="152" w:type="pct"/>
            <w:tcMar>
              <w:top w:w="30" w:type="dxa"/>
              <w:left w:w="45" w:type="dxa"/>
              <w:bottom w:w="30" w:type="dxa"/>
              <w:right w:w="45" w:type="dxa"/>
            </w:tcMar>
            <w:vAlign w:val="center"/>
            <w:hideMark/>
          </w:tcPr>
          <w:p w14:paraId="76826967" w14:textId="77777777" w:rsidR="00F2561A" w:rsidRPr="00686E23" w:rsidRDefault="00F2561A" w:rsidP="00AA4BBB">
            <w:pPr>
              <w:jc w:val="center"/>
              <w:rPr>
                <w:rFonts w:cs="Arial"/>
                <w:sz w:val="14"/>
                <w:szCs w:val="14"/>
              </w:rPr>
            </w:pPr>
            <w:r w:rsidRPr="00686E23">
              <w:rPr>
                <w:rFonts w:cs="Arial"/>
                <w:sz w:val="14"/>
                <w:szCs w:val="14"/>
              </w:rPr>
              <w:t>286.029.657.678</w:t>
            </w:r>
          </w:p>
        </w:tc>
        <w:tc>
          <w:tcPr>
            <w:tcW w:w="606" w:type="pct"/>
            <w:tcMar>
              <w:top w:w="30" w:type="dxa"/>
              <w:left w:w="45" w:type="dxa"/>
              <w:bottom w:w="30" w:type="dxa"/>
              <w:right w:w="45" w:type="dxa"/>
            </w:tcMar>
            <w:vAlign w:val="center"/>
            <w:hideMark/>
          </w:tcPr>
          <w:p w14:paraId="04128B8F" w14:textId="77777777" w:rsidR="00F2561A" w:rsidRPr="00686E23" w:rsidRDefault="00F2561A" w:rsidP="00AA4BBB">
            <w:pPr>
              <w:jc w:val="center"/>
              <w:rPr>
                <w:rFonts w:cs="Arial"/>
                <w:sz w:val="14"/>
                <w:szCs w:val="14"/>
              </w:rPr>
            </w:pPr>
            <w:r w:rsidRPr="00686E23">
              <w:rPr>
                <w:rFonts w:cs="Arial"/>
                <w:sz w:val="14"/>
                <w:szCs w:val="14"/>
              </w:rPr>
              <w:t>176.299.381.600</w:t>
            </w:r>
          </w:p>
        </w:tc>
        <w:tc>
          <w:tcPr>
            <w:tcW w:w="607" w:type="pct"/>
            <w:tcMar>
              <w:top w:w="30" w:type="dxa"/>
              <w:left w:w="45" w:type="dxa"/>
              <w:bottom w:w="30" w:type="dxa"/>
              <w:right w:w="45" w:type="dxa"/>
            </w:tcMar>
            <w:vAlign w:val="center"/>
            <w:hideMark/>
          </w:tcPr>
          <w:p w14:paraId="5680993B" w14:textId="77777777" w:rsidR="00F2561A" w:rsidRPr="00686E23" w:rsidRDefault="00F2561A" w:rsidP="00AA4BBB">
            <w:pPr>
              <w:jc w:val="center"/>
              <w:rPr>
                <w:rFonts w:cs="Arial"/>
                <w:sz w:val="14"/>
                <w:szCs w:val="14"/>
              </w:rPr>
            </w:pPr>
            <w:r w:rsidRPr="00686E23">
              <w:rPr>
                <w:rFonts w:cs="Arial"/>
                <w:sz w:val="14"/>
                <w:szCs w:val="14"/>
              </w:rPr>
              <w:t>149.481.519.042</w:t>
            </w:r>
          </w:p>
        </w:tc>
        <w:tc>
          <w:tcPr>
            <w:tcW w:w="629" w:type="pct"/>
            <w:tcMar>
              <w:top w:w="30" w:type="dxa"/>
              <w:left w:w="45" w:type="dxa"/>
              <w:bottom w:w="30" w:type="dxa"/>
              <w:right w:w="45" w:type="dxa"/>
            </w:tcMar>
            <w:vAlign w:val="center"/>
            <w:hideMark/>
          </w:tcPr>
          <w:p w14:paraId="1E8353B0" w14:textId="77777777" w:rsidR="00F2561A" w:rsidRPr="00686E23" w:rsidRDefault="00F2561A" w:rsidP="00AA4BBB">
            <w:pPr>
              <w:jc w:val="center"/>
              <w:rPr>
                <w:rFonts w:cs="Arial"/>
                <w:sz w:val="14"/>
                <w:szCs w:val="14"/>
              </w:rPr>
            </w:pPr>
            <w:r w:rsidRPr="00686E23">
              <w:rPr>
                <w:rFonts w:cs="Arial"/>
                <w:sz w:val="14"/>
                <w:szCs w:val="14"/>
              </w:rPr>
              <w:t>103.584.177.113</w:t>
            </w:r>
          </w:p>
        </w:tc>
        <w:tc>
          <w:tcPr>
            <w:tcW w:w="735" w:type="pct"/>
            <w:vMerge/>
            <w:vAlign w:val="center"/>
            <w:hideMark/>
          </w:tcPr>
          <w:p w14:paraId="2F2E45F4" w14:textId="77777777" w:rsidR="00F2561A" w:rsidRPr="00686E23" w:rsidRDefault="00F2561A" w:rsidP="00AA4BBB">
            <w:pPr>
              <w:rPr>
                <w:rFonts w:cs="Arial"/>
                <w:b/>
                <w:bCs/>
                <w:sz w:val="16"/>
                <w:szCs w:val="16"/>
              </w:rPr>
            </w:pPr>
          </w:p>
        </w:tc>
      </w:tr>
      <w:tr w:rsidR="00686E23" w:rsidRPr="00F2561A" w14:paraId="78B12CE4" w14:textId="77777777" w:rsidTr="00686E23">
        <w:tc>
          <w:tcPr>
            <w:tcW w:w="2272" w:type="pct"/>
            <w:vMerge w:val="restart"/>
            <w:tcMar>
              <w:top w:w="30" w:type="dxa"/>
              <w:left w:w="45" w:type="dxa"/>
              <w:bottom w:w="30" w:type="dxa"/>
              <w:right w:w="45" w:type="dxa"/>
            </w:tcMar>
            <w:vAlign w:val="center"/>
            <w:hideMark/>
          </w:tcPr>
          <w:p w14:paraId="7FB25F42" w14:textId="77777777" w:rsidR="00F2561A" w:rsidRPr="00686E23" w:rsidRDefault="00F2561A" w:rsidP="00AA4BBB">
            <w:pPr>
              <w:rPr>
                <w:rFonts w:cs="Arial"/>
                <w:sz w:val="16"/>
                <w:szCs w:val="16"/>
              </w:rPr>
            </w:pPr>
            <w:r w:rsidRPr="00686E23">
              <w:rPr>
                <w:rFonts w:cs="Arial"/>
                <w:sz w:val="16"/>
                <w:szCs w:val="16"/>
              </w:rPr>
              <w:t>Implementar 3 mecanismos para disminuir las barreras de acceso para la prestación de los servicios de salud.</w:t>
            </w:r>
          </w:p>
        </w:tc>
        <w:tc>
          <w:tcPr>
            <w:tcW w:w="152" w:type="pct"/>
            <w:tcMar>
              <w:top w:w="30" w:type="dxa"/>
              <w:left w:w="45" w:type="dxa"/>
              <w:bottom w:w="30" w:type="dxa"/>
              <w:right w:w="45" w:type="dxa"/>
            </w:tcMar>
            <w:vAlign w:val="center"/>
            <w:hideMark/>
          </w:tcPr>
          <w:p w14:paraId="78FD6EE5" w14:textId="77777777" w:rsidR="00F2561A" w:rsidRPr="00686E23" w:rsidRDefault="00F2561A" w:rsidP="00AA4BBB">
            <w:pPr>
              <w:jc w:val="center"/>
              <w:rPr>
                <w:rFonts w:cs="Arial"/>
                <w:sz w:val="14"/>
                <w:szCs w:val="14"/>
              </w:rPr>
            </w:pPr>
            <w:r w:rsidRPr="00686E23">
              <w:rPr>
                <w:rFonts w:cs="Arial"/>
                <w:sz w:val="14"/>
                <w:szCs w:val="14"/>
              </w:rPr>
              <w:t>1</w:t>
            </w:r>
          </w:p>
        </w:tc>
        <w:tc>
          <w:tcPr>
            <w:tcW w:w="606" w:type="pct"/>
            <w:tcMar>
              <w:top w:w="30" w:type="dxa"/>
              <w:left w:w="45" w:type="dxa"/>
              <w:bottom w:w="30" w:type="dxa"/>
              <w:right w:w="45" w:type="dxa"/>
            </w:tcMar>
            <w:vAlign w:val="center"/>
            <w:hideMark/>
          </w:tcPr>
          <w:p w14:paraId="2D943437" w14:textId="77777777" w:rsidR="00F2561A" w:rsidRPr="00686E23" w:rsidRDefault="00F2561A" w:rsidP="00AA4BBB">
            <w:pPr>
              <w:jc w:val="center"/>
              <w:rPr>
                <w:rFonts w:cs="Arial"/>
                <w:sz w:val="14"/>
                <w:szCs w:val="14"/>
              </w:rPr>
            </w:pPr>
            <w:r w:rsidRPr="00686E23">
              <w:rPr>
                <w:rFonts w:cs="Arial"/>
                <w:sz w:val="14"/>
                <w:szCs w:val="14"/>
              </w:rPr>
              <w:t>1</w:t>
            </w:r>
          </w:p>
        </w:tc>
        <w:tc>
          <w:tcPr>
            <w:tcW w:w="607" w:type="pct"/>
            <w:tcMar>
              <w:top w:w="30" w:type="dxa"/>
              <w:left w:w="45" w:type="dxa"/>
              <w:bottom w:w="30" w:type="dxa"/>
              <w:right w:w="45" w:type="dxa"/>
            </w:tcMar>
            <w:vAlign w:val="center"/>
            <w:hideMark/>
          </w:tcPr>
          <w:p w14:paraId="29A3E08C" w14:textId="77777777" w:rsidR="00F2561A" w:rsidRPr="00686E23" w:rsidRDefault="00F2561A" w:rsidP="00AA4BBB">
            <w:pPr>
              <w:jc w:val="center"/>
              <w:rPr>
                <w:rFonts w:cs="Arial"/>
                <w:sz w:val="14"/>
                <w:szCs w:val="14"/>
              </w:rPr>
            </w:pPr>
            <w:r w:rsidRPr="00686E23">
              <w:rPr>
                <w:rFonts w:cs="Arial"/>
                <w:sz w:val="14"/>
                <w:szCs w:val="14"/>
              </w:rPr>
              <w:t>2</w:t>
            </w:r>
          </w:p>
        </w:tc>
        <w:tc>
          <w:tcPr>
            <w:tcW w:w="629" w:type="pct"/>
            <w:tcMar>
              <w:top w:w="30" w:type="dxa"/>
              <w:left w:w="45" w:type="dxa"/>
              <w:bottom w:w="30" w:type="dxa"/>
              <w:right w:w="45" w:type="dxa"/>
            </w:tcMar>
            <w:vAlign w:val="center"/>
            <w:hideMark/>
          </w:tcPr>
          <w:p w14:paraId="0EEA280A" w14:textId="77777777" w:rsidR="00F2561A" w:rsidRPr="00686E23" w:rsidRDefault="00F2561A" w:rsidP="00AA4BBB">
            <w:pPr>
              <w:jc w:val="center"/>
              <w:rPr>
                <w:rFonts w:cs="Arial"/>
                <w:sz w:val="14"/>
                <w:szCs w:val="14"/>
              </w:rPr>
            </w:pPr>
            <w:r w:rsidRPr="00686E23">
              <w:rPr>
                <w:rFonts w:cs="Arial"/>
                <w:sz w:val="14"/>
                <w:szCs w:val="14"/>
              </w:rPr>
              <w:t>3</w:t>
            </w:r>
          </w:p>
        </w:tc>
        <w:tc>
          <w:tcPr>
            <w:tcW w:w="735" w:type="pct"/>
            <w:vMerge w:val="restart"/>
            <w:tcMar>
              <w:top w:w="30" w:type="dxa"/>
              <w:left w:w="45" w:type="dxa"/>
              <w:bottom w:w="30" w:type="dxa"/>
              <w:right w:w="45" w:type="dxa"/>
            </w:tcMar>
            <w:vAlign w:val="center"/>
            <w:hideMark/>
          </w:tcPr>
          <w:p w14:paraId="480EBE8E" w14:textId="77777777" w:rsidR="00F2561A" w:rsidRPr="00686E23" w:rsidRDefault="00F2561A" w:rsidP="00AA4BBB">
            <w:pPr>
              <w:jc w:val="center"/>
              <w:rPr>
                <w:rFonts w:cs="Arial"/>
                <w:b/>
                <w:bCs/>
                <w:sz w:val="16"/>
                <w:szCs w:val="16"/>
              </w:rPr>
            </w:pPr>
            <w:r w:rsidRPr="00686E23">
              <w:rPr>
                <w:rFonts w:cs="Arial"/>
                <w:b/>
                <w:bCs/>
                <w:sz w:val="16"/>
                <w:szCs w:val="16"/>
              </w:rPr>
              <w:t>58.462.090.021</w:t>
            </w:r>
          </w:p>
        </w:tc>
      </w:tr>
      <w:tr w:rsidR="00686E23" w:rsidRPr="00F2561A" w14:paraId="47019EA4" w14:textId="77777777" w:rsidTr="00686E23">
        <w:tc>
          <w:tcPr>
            <w:tcW w:w="2272" w:type="pct"/>
            <w:vMerge/>
            <w:vAlign w:val="center"/>
            <w:hideMark/>
          </w:tcPr>
          <w:p w14:paraId="401428D4" w14:textId="77777777" w:rsidR="00F2561A" w:rsidRPr="00686E23" w:rsidRDefault="00F2561A" w:rsidP="00AA4BBB">
            <w:pPr>
              <w:rPr>
                <w:rFonts w:cs="Arial"/>
                <w:sz w:val="16"/>
                <w:szCs w:val="16"/>
              </w:rPr>
            </w:pPr>
          </w:p>
        </w:tc>
        <w:tc>
          <w:tcPr>
            <w:tcW w:w="152" w:type="pct"/>
            <w:tcMar>
              <w:top w:w="30" w:type="dxa"/>
              <w:left w:w="45" w:type="dxa"/>
              <w:bottom w:w="30" w:type="dxa"/>
              <w:right w:w="45" w:type="dxa"/>
            </w:tcMar>
            <w:vAlign w:val="center"/>
            <w:hideMark/>
          </w:tcPr>
          <w:p w14:paraId="606F2C8C" w14:textId="77777777" w:rsidR="00F2561A" w:rsidRPr="00686E23" w:rsidRDefault="00F2561A" w:rsidP="00AA4BBB">
            <w:pPr>
              <w:jc w:val="center"/>
              <w:rPr>
                <w:rFonts w:cs="Arial"/>
                <w:sz w:val="14"/>
                <w:szCs w:val="14"/>
              </w:rPr>
            </w:pPr>
            <w:r w:rsidRPr="00686E23">
              <w:rPr>
                <w:rFonts w:cs="Arial"/>
                <w:sz w:val="14"/>
                <w:szCs w:val="14"/>
              </w:rPr>
              <w:t>10.130.000.000</w:t>
            </w:r>
          </w:p>
        </w:tc>
        <w:tc>
          <w:tcPr>
            <w:tcW w:w="606" w:type="pct"/>
            <w:tcMar>
              <w:top w:w="30" w:type="dxa"/>
              <w:left w:w="45" w:type="dxa"/>
              <w:bottom w:w="30" w:type="dxa"/>
              <w:right w:w="45" w:type="dxa"/>
            </w:tcMar>
            <w:vAlign w:val="center"/>
            <w:hideMark/>
          </w:tcPr>
          <w:p w14:paraId="240CE767" w14:textId="77777777" w:rsidR="00F2561A" w:rsidRPr="00686E23" w:rsidRDefault="00F2561A" w:rsidP="00AA4BBB">
            <w:pPr>
              <w:jc w:val="center"/>
              <w:rPr>
                <w:rFonts w:cs="Arial"/>
                <w:sz w:val="14"/>
                <w:szCs w:val="14"/>
              </w:rPr>
            </w:pPr>
            <w:r w:rsidRPr="00686E23">
              <w:rPr>
                <w:rFonts w:cs="Arial"/>
                <w:sz w:val="14"/>
                <w:szCs w:val="14"/>
              </w:rPr>
              <w:t>17.693.380.153</w:t>
            </w:r>
          </w:p>
        </w:tc>
        <w:tc>
          <w:tcPr>
            <w:tcW w:w="607" w:type="pct"/>
            <w:tcMar>
              <w:top w:w="30" w:type="dxa"/>
              <w:left w:w="45" w:type="dxa"/>
              <w:bottom w:w="30" w:type="dxa"/>
              <w:right w:w="45" w:type="dxa"/>
            </w:tcMar>
            <w:vAlign w:val="center"/>
            <w:hideMark/>
          </w:tcPr>
          <w:p w14:paraId="1E162D84" w14:textId="77777777" w:rsidR="00F2561A" w:rsidRPr="00686E23" w:rsidRDefault="00F2561A" w:rsidP="00AA4BBB">
            <w:pPr>
              <w:jc w:val="center"/>
              <w:rPr>
                <w:rFonts w:cs="Arial"/>
                <w:sz w:val="14"/>
                <w:szCs w:val="14"/>
              </w:rPr>
            </w:pPr>
            <w:r w:rsidRPr="00686E23">
              <w:rPr>
                <w:rFonts w:cs="Arial"/>
                <w:sz w:val="14"/>
                <w:szCs w:val="14"/>
              </w:rPr>
              <w:t>18.573.868.475</w:t>
            </w:r>
          </w:p>
        </w:tc>
        <w:tc>
          <w:tcPr>
            <w:tcW w:w="629" w:type="pct"/>
            <w:tcMar>
              <w:top w:w="30" w:type="dxa"/>
              <w:left w:w="45" w:type="dxa"/>
              <w:bottom w:w="30" w:type="dxa"/>
              <w:right w:w="45" w:type="dxa"/>
            </w:tcMar>
            <w:vAlign w:val="center"/>
            <w:hideMark/>
          </w:tcPr>
          <w:p w14:paraId="53DCE549" w14:textId="77777777" w:rsidR="00F2561A" w:rsidRPr="00686E23" w:rsidRDefault="00F2561A" w:rsidP="00AA4BBB">
            <w:pPr>
              <w:jc w:val="center"/>
              <w:rPr>
                <w:rFonts w:cs="Arial"/>
                <w:sz w:val="14"/>
                <w:szCs w:val="14"/>
              </w:rPr>
            </w:pPr>
            <w:r w:rsidRPr="00686E23">
              <w:rPr>
                <w:rFonts w:cs="Arial"/>
                <w:sz w:val="14"/>
                <w:szCs w:val="14"/>
              </w:rPr>
              <w:t>12.064.841.393</w:t>
            </w:r>
          </w:p>
        </w:tc>
        <w:tc>
          <w:tcPr>
            <w:tcW w:w="735" w:type="pct"/>
            <w:vMerge/>
            <w:vAlign w:val="center"/>
            <w:hideMark/>
          </w:tcPr>
          <w:p w14:paraId="5C551488" w14:textId="77777777" w:rsidR="00F2561A" w:rsidRPr="00686E23" w:rsidRDefault="00F2561A" w:rsidP="00AA4BBB">
            <w:pPr>
              <w:rPr>
                <w:rFonts w:cs="Arial"/>
                <w:b/>
                <w:bCs/>
                <w:sz w:val="16"/>
                <w:szCs w:val="16"/>
              </w:rPr>
            </w:pPr>
          </w:p>
        </w:tc>
      </w:tr>
      <w:tr w:rsidR="00686E23" w:rsidRPr="00F2561A" w14:paraId="347EF53A" w14:textId="77777777" w:rsidTr="00686E23">
        <w:tc>
          <w:tcPr>
            <w:tcW w:w="2272" w:type="pct"/>
            <w:vMerge w:val="restart"/>
            <w:tcMar>
              <w:top w:w="30" w:type="dxa"/>
              <w:left w:w="45" w:type="dxa"/>
              <w:bottom w:w="30" w:type="dxa"/>
              <w:right w:w="45" w:type="dxa"/>
            </w:tcMar>
            <w:vAlign w:val="center"/>
            <w:hideMark/>
          </w:tcPr>
          <w:p w14:paraId="242FCF5F" w14:textId="77777777" w:rsidR="00F2561A" w:rsidRPr="00686E23" w:rsidRDefault="00F2561A" w:rsidP="00AA4BBB">
            <w:pPr>
              <w:rPr>
                <w:rFonts w:cs="Arial"/>
                <w:sz w:val="16"/>
                <w:szCs w:val="16"/>
              </w:rPr>
            </w:pPr>
            <w:r w:rsidRPr="00686E23">
              <w:rPr>
                <w:rFonts w:cs="Arial"/>
                <w:sz w:val="16"/>
                <w:szCs w:val="16"/>
              </w:rPr>
              <w:t>Mantener la cobertura del 100% del aseguramiento de la población al SGSSS en el Distrito Capital.</w:t>
            </w:r>
          </w:p>
        </w:tc>
        <w:tc>
          <w:tcPr>
            <w:tcW w:w="152" w:type="pct"/>
            <w:tcMar>
              <w:top w:w="30" w:type="dxa"/>
              <w:left w:w="45" w:type="dxa"/>
              <w:bottom w:w="30" w:type="dxa"/>
              <w:right w:w="45" w:type="dxa"/>
            </w:tcMar>
            <w:vAlign w:val="center"/>
            <w:hideMark/>
          </w:tcPr>
          <w:p w14:paraId="59334886" w14:textId="77777777" w:rsidR="00F2561A" w:rsidRPr="00686E23" w:rsidRDefault="00F2561A" w:rsidP="00AA4BBB">
            <w:pPr>
              <w:jc w:val="center"/>
              <w:rPr>
                <w:rFonts w:cs="Arial"/>
                <w:sz w:val="14"/>
                <w:szCs w:val="14"/>
              </w:rPr>
            </w:pPr>
            <w:r w:rsidRPr="00686E23">
              <w:rPr>
                <w:rFonts w:cs="Arial"/>
                <w:sz w:val="14"/>
                <w:szCs w:val="14"/>
              </w:rPr>
              <w:t>100%</w:t>
            </w:r>
          </w:p>
        </w:tc>
        <w:tc>
          <w:tcPr>
            <w:tcW w:w="606" w:type="pct"/>
            <w:tcMar>
              <w:top w:w="30" w:type="dxa"/>
              <w:left w:w="45" w:type="dxa"/>
              <w:bottom w:w="30" w:type="dxa"/>
              <w:right w:w="45" w:type="dxa"/>
            </w:tcMar>
            <w:vAlign w:val="center"/>
            <w:hideMark/>
          </w:tcPr>
          <w:p w14:paraId="1F7234CB" w14:textId="77777777" w:rsidR="00F2561A" w:rsidRPr="00686E23" w:rsidRDefault="00F2561A" w:rsidP="00AA4BBB">
            <w:pPr>
              <w:jc w:val="center"/>
              <w:rPr>
                <w:rFonts w:cs="Arial"/>
                <w:sz w:val="14"/>
                <w:szCs w:val="14"/>
              </w:rPr>
            </w:pPr>
            <w:r w:rsidRPr="00686E23">
              <w:rPr>
                <w:rFonts w:cs="Arial"/>
                <w:sz w:val="14"/>
                <w:szCs w:val="14"/>
              </w:rPr>
              <w:t>100%</w:t>
            </w:r>
          </w:p>
        </w:tc>
        <w:tc>
          <w:tcPr>
            <w:tcW w:w="607" w:type="pct"/>
            <w:tcMar>
              <w:top w:w="30" w:type="dxa"/>
              <w:left w:w="45" w:type="dxa"/>
              <w:bottom w:w="30" w:type="dxa"/>
              <w:right w:w="45" w:type="dxa"/>
            </w:tcMar>
            <w:vAlign w:val="center"/>
            <w:hideMark/>
          </w:tcPr>
          <w:p w14:paraId="7B6009BD" w14:textId="77777777" w:rsidR="00F2561A" w:rsidRPr="00686E23" w:rsidRDefault="00F2561A" w:rsidP="00AA4BBB">
            <w:pPr>
              <w:jc w:val="center"/>
              <w:rPr>
                <w:rFonts w:cs="Arial"/>
                <w:sz w:val="14"/>
                <w:szCs w:val="14"/>
              </w:rPr>
            </w:pPr>
            <w:r w:rsidRPr="00686E23">
              <w:rPr>
                <w:rFonts w:cs="Arial"/>
                <w:sz w:val="14"/>
                <w:szCs w:val="14"/>
              </w:rPr>
              <w:t>100%</w:t>
            </w:r>
          </w:p>
        </w:tc>
        <w:tc>
          <w:tcPr>
            <w:tcW w:w="629" w:type="pct"/>
            <w:tcMar>
              <w:top w:w="30" w:type="dxa"/>
              <w:left w:w="45" w:type="dxa"/>
              <w:bottom w:w="30" w:type="dxa"/>
              <w:right w:w="45" w:type="dxa"/>
            </w:tcMar>
            <w:vAlign w:val="center"/>
            <w:hideMark/>
          </w:tcPr>
          <w:p w14:paraId="2E628821" w14:textId="77777777" w:rsidR="00F2561A" w:rsidRPr="00686E23" w:rsidRDefault="00F2561A" w:rsidP="00AA4BBB">
            <w:pPr>
              <w:jc w:val="center"/>
              <w:rPr>
                <w:rFonts w:cs="Arial"/>
                <w:sz w:val="14"/>
                <w:szCs w:val="14"/>
              </w:rPr>
            </w:pPr>
            <w:r w:rsidRPr="00686E23">
              <w:rPr>
                <w:rFonts w:cs="Arial"/>
                <w:sz w:val="14"/>
                <w:szCs w:val="14"/>
              </w:rPr>
              <w:t>100%</w:t>
            </w:r>
          </w:p>
        </w:tc>
        <w:tc>
          <w:tcPr>
            <w:tcW w:w="735" w:type="pct"/>
            <w:vMerge w:val="restart"/>
            <w:tcMar>
              <w:top w:w="30" w:type="dxa"/>
              <w:left w:w="45" w:type="dxa"/>
              <w:bottom w:w="30" w:type="dxa"/>
              <w:right w:w="45" w:type="dxa"/>
            </w:tcMar>
            <w:vAlign w:val="center"/>
            <w:hideMark/>
          </w:tcPr>
          <w:p w14:paraId="150D2631" w14:textId="77777777" w:rsidR="00F2561A" w:rsidRPr="00686E23" w:rsidRDefault="00F2561A" w:rsidP="00AA4BBB">
            <w:pPr>
              <w:jc w:val="center"/>
              <w:rPr>
                <w:rFonts w:cs="Arial"/>
                <w:b/>
                <w:bCs/>
                <w:sz w:val="16"/>
                <w:szCs w:val="16"/>
              </w:rPr>
            </w:pPr>
            <w:r w:rsidRPr="00686E23">
              <w:rPr>
                <w:rFonts w:cs="Arial"/>
                <w:b/>
                <w:bCs/>
                <w:sz w:val="16"/>
                <w:szCs w:val="16"/>
              </w:rPr>
              <w:t>12.747.989.095.849</w:t>
            </w:r>
          </w:p>
        </w:tc>
      </w:tr>
      <w:tr w:rsidR="00686E23" w:rsidRPr="00F2561A" w14:paraId="2DBBDD8D" w14:textId="77777777" w:rsidTr="00686E23">
        <w:tc>
          <w:tcPr>
            <w:tcW w:w="2272" w:type="pct"/>
            <w:vMerge/>
            <w:vAlign w:val="center"/>
            <w:hideMark/>
          </w:tcPr>
          <w:p w14:paraId="05927A3B" w14:textId="77777777" w:rsidR="00F2561A" w:rsidRPr="00686E23" w:rsidRDefault="00F2561A" w:rsidP="00AA4BBB">
            <w:pPr>
              <w:rPr>
                <w:rFonts w:cs="Arial"/>
                <w:sz w:val="16"/>
                <w:szCs w:val="16"/>
              </w:rPr>
            </w:pPr>
          </w:p>
        </w:tc>
        <w:tc>
          <w:tcPr>
            <w:tcW w:w="152" w:type="pct"/>
            <w:tcMar>
              <w:top w:w="30" w:type="dxa"/>
              <w:left w:w="45" w:type="dxa"/>
              <w:bottom w:w="30" w:type="dxa"/>
              <w:right w:w="45" w:type="dxa"/>
            </w:tcMar>
            <w:vAlign w:val="center"/>
            <w:hideMark/>
          </w:tcPr>
          <w:p w14:paraId="5F67D9D6" w14:textId="77777777" w:rsidR="00F2561A" w:rsidRPr="00686E23" w:rsidRDefault="00F2561A" w:rsidP="00AA4BBB">
            <w:pPr>
              <w:jc w:val="center"/>
              <w:rPr>
                <w:rFonts w:cs="Arial"/>
                <w:sz w:val="14"/>
                <w:szCs w:val="14"/>
              </w:rPr>
            </w:pPr>
            <w:r w:rsidRPr="00686E23">
              <w:rPr>
                <w:rFonts w:cs="Arial"/>
                <w:sz w:val="14"/>
                <w:szCs w:val="14"/>
              </w:rPr>
              <w:t>3.133.278.290.546</w:t>
            </w:r>
          </w:p>
        </w:tc>
        <w:tc>
          <w:tcPr>
            <w:tcW w:w="606" w:type="pct"/>
            <w:tcMar>
              <w:top w:w="30" w:type="dxa"/>
              <w:left w:w="45" w:type="dxa"/>
              <w:bottom w:w="30" w:type="dxa"/>
              <w:right w:w="45" w:type="dxa"/>
            </w:tcMar>
            <w:vAlign w:val="center"/>
            <w:hideMark/>
          </w:tcPr>
          <w:p w14:paraId="2E1CCD9F" w14:textId="77777777" w:rsidR="00F2561A" w:rsidRPr="00686E23" w:rsidRDefault="00F2561A" w:rsidP="00AA4BBB">
            <w:pPr>
              <w:jc w:val="center"/>
              <w:rPr>
                <w:rFonts w:cs="Arial"/>
                <w:sz w:val="14"/>
                <w:szCs w:val="14"/>
              </w:rPr>
            </w:pPr>
            <w:r w:rsidRPr="00686E23">
              <w:rPr>
                <w:rFonts w:cs="Arial"/>
                <w:sz w:val="14"/>
                <w:szCs w:val="14"/>
              </w:rPr>
              <w:t>3.179.752.745.155</w:t>
            </w:r>
          </w:p>
        </w:tc>
        <w:tc>
          <w:tcPr>
            <w:tcW w:w="607" w:type="pct"/>
            <w:tcMar>
              <w:top w:w="30" w:type="dxa"/>
              <w:left w:w="45" w:type="dxa"/>
              <w:bottom w:w="30" w:type="dxa"/>
              <w:right w:w="45" w:type="dxa"/>
            </w:tcMar>
            <w:vAlign w:val="center"/>
            <w:hideMark/>
          </w:tcPr>
          <w:p w14:paraId="22090F4D" w14:textId="77777777" w:rsidR="00F2561A" w:rsidRPr="00686E23" w:rsidRDefault="00F2561A" w:rsidP="00AA4BBB">
            <w:pPr>
              <w:jc w:val="center"/>
              <w:rPr>
                <w:rFonts w:cs="Arial"/>
                <w:sz w:val="14"/>
                <w:szCs w:val="14"/>
              </w:rPr>
            </w:pPr>
            <w:r w:rsidRPr="00686E23">
              <w:rPr>
                <w:rFonts w:cs="Arial"/>
                <w:sz w:val="14"/>
                <w:szCs w:val="14"/>
              </w:rPr>
              <w:t>3.179.143.779.508</w:t>
            </w:r>
          </w:p>
        </w:tc>
        <w:tc>
          <w:tcPr>
            <w:tcW w:w="629" w:type="pct"/>
            <w:tcMar>
              <w:top w:w="30" w:type="dxa"/>
              <w:left w:w="45" w:type="dxa"/>
              <w:bottom w:w="30" w:type="dxa"/>
              <w:right w:w="45" w:type="dxa"/>
            </w:tcMar>
            <w:vAlign w:val="center"/>
            <w:hideMark/>
          </w:tcPr>
          <w:p w14:paraId="509CBBD6" w14:textId="77777777" w:rsidR="00F2561A" w:rsidRPr="00686E23" w:rsidRDefault="00F2561A" w:rsidP="00AA4BBB">
            <w:pPr>
              <w:jc w:val="center"/>
              <w:rPr>
                <w:rFonts w:cs="Arial"/>
                <w:sz w:val="14"/>
                <w:szCs w:val="14"/>
              </w:rPr>
            </w:pPr>
            <w:r w:rsidRPr="00686E23">
              <w:rPr>
                <w:rFonts w:cs="Arial"/>
                <w:sz w:val="14"/>
                <w:szCs w:val="14"/>
              </w:rPr>
              <w:t>3.255.814.280.640</w:t>
            </w:r>
          </w:p>
        </w:tc>
        <w:tc>
          <w:tcPr>
            <w:tcW w:w="735" w:type="pct"/>
            <w:vMerge/>
            <w:vAlign w:val="center"/>
            <w:hideMark/>
          </w:tcPr>
          <w:p w14:paraId="27DEE9CB" w14:textId="77777777" w:rsidR="00F2561A" w:rsidRPr="00686E23" w:rsidRDefault="00F2561A" w:rsidP="00AA4BBB">
            <w:pPr>
              <w:rPr>
                <w:rFonts w:cs="Arial"/>
                <w:b/>
                <w:bCs/>
                <w:sz w:val="16"/>
                <w:szCs w:val="16"/>
              </w:rPr>
            </w:pPr>
          </w:p>
        </w:tc>
      </w:tr>
      <w:tr w:rsidR="00686E23" w:rsidRPr="00F2561A" w14:paraId="6AAFCD7E" w14:textId="77777777" w:rsidTr="00686E23">
        <w:tc>
          <w:tcPr>
            <w:tcW w:w="2272" w:type="pct"/>
            <w:vMerge w:val="restart"/>
            <w:tcMar>
              <w:top w:w="30" w:type="dxa"/>
              <w:left w:w="45" w:type="dxa"/>
              <w:bottom w:w="30" w:type="dxa"/>
              <w:right w:w="45" w:type="dxa"/>
            </w:tcMar>
            <w:vAlign w:val="center"/>
            <w:hideMark/>
          </w:tcPr>
          <w:p w14:paraId="1B2F24AB" w14:textId="77777777" w:rsidR="00F2561A" w:rsidRPr="00686E23" w:rsidRDefault="00F2561A" w:rsidP="00AA4BBB">
            <w:pPr>
              <w:rPr>
                <w:rFonts w:cs="Arial"/>
                <w:sz w:val="16"/>
                <w:szCs w:val="16"/>
              </w:rPr>
            </w:pPr>
            <w:r w:rsidRPr="00686E23">
              <w:rPr>
                <w:rFonts w:cs="Arial"/>
                <w:sz w:val="16"/>
                <w:szCs w:val="16"/>
              </w:rPr>
              <w:t>Mantener la respuesta al 100% en la gestión del riesgo frente a emergencias y desastres y enfermedades emergentes y reemergentes a través del fortalecimiento de capacidades en lo relacionado con el conocimiento reducción y respuesta en el Distrito Capital en articulación con el Sistema Distrital y Nacional de Gestión del Riesgo de Desastres</w:t>
            </w:r>
          </w:p>
        </w:tc>
        <w:tc>
          <w:tcPr>
            <w:tcW w:w="152" w:type="pct"/>
            <w:tcMar>
              <w:top w:w="30" w:type="dxa"/>
              <w:left w:w="45" w:type="dxa"/>
              <w:bottom w:w="30" w:type="dxa"/>
              <w:right w:w="45" w:type="dxa"/>
            </w:tcMar>
            <w:vAlign w:val="center"/>
            <w:hideMark/>
          </w:tcPr>
          <w:p w14:paraId="7A9E81AB" w14:textId="77777777" w:rsidR="00F2561A" w:rsidRPr="00686E23" w:rsidRDefault="00F2561A" w:rsidP="00AA4BBB">
            <w:pPr>
              <w:jc w:val="center"/>
              <w:rPr>
                <w:rFonts w:cs="Arial"/>
                <w:sz w:val="14"/>
                <w:szCs w:val="14"/>
              </w:rPr>
            </w:pPr>
            <w:r w:rsidRPr="00686E23">
              <w:rPr>
                <w:rFonts w:cs="Arial"/>
                <w:sz w:val="14"/>
                <w:szCs w:val="14"/>
              </w:rPr>
              <w:t>100%</w:t>
            </w:r>
          </w:p>
        </w:tc>
        <w:tc>
          <w:tcPr>
            <w:tcW w:w="606" w:type="pct"/>
            <w:tcMar>
              <w:top w:w="30" w:type="dxa"/>
              <w:left w:w="45" w:type="dxa"/>
              <w:bottom w:w="30" w:type="dxa"/>
              <w:right w:w="45" w:type="dxa"/>
            </w:tcMar>
            <w:vAlign w:val="center"/>
            <w:hideMark/>
          </w:tcPr>
          <w:p w14:paraId="2DE17D40" w14:textId="77777777" w:rsidR="00F2561A" w:rsidRPr="00686E23" w:rsidRDefault="00F2561A" w:rsidP="00AA4BBB">
            <w:pPr>
              <w:jc w:val="center"/>
              <w:rPr>
                <w:rFonts w:cs="Arial"/>
                <w:sz w:val="14"/>
                <w:szCs w:val="14"/>
              </w:rPr>
            </w:pPr>
            <w:r w:rsidRPr="00686E23">
              <w:rPr>
                <w:rFonts w:cs="Arial"/>
                <w:sz w:val="14"/>
                <w:szCs w:val="14"/>
              </w:rPr>
              <w:t>100%</w:t>
            </w:r>
          </w:p>
        </w:tc>
        <w:tc>
          <w:tcPr>
            <w:tcW w:w="607" w:type="pct"/>
            <w:tcMar>
              <w:top w:w="30" w:type="dxa"/>
              <w:left w:w="45" w:type="dxa"/>
              <w:bottom w:w="30" w:type="dxa"/>
              <w:right w:w="45" w:type="dxa"/>
            </w:tcMar>
            <w:vAlign w:val="center"/>
            <w:hideMark/>
          </w:tcPr>
          <w:p w14:paraId="3E8ECB1B" w14:textId="77777777" w:rsidR="00F2561A" w:rsidRPr="00686E23" w:rsidRDefault="00F2561A" w:rsidP="00AA4BBB">
            <w:pPr>
              <w:jc w:val="center"/>
              <w:rPr>
                <w:rFonts w:cs="Arial"/>
                <w:sz w:val="14"/>
                <w:szCs w:val="14"/>
              </w:rPr>
            </w:pPr>
            <w:r w:rsidRPr="00686E23">
              <w:rPr>
                <w:rFonts w:cs="Arial"/>
                <w:sz w:val="14"/>
                <w:szCs w:val="14"/>
              </w:rPr>
              <w:t>100%</w:t>
            </w:r>
          </w:p>
        </w:tc>
        <w:tc>
          <w:tcPr>
            <w:tcW w:w="629" w:type="pct"/>
            <w:tcMar>
              <w:top w:w="30" w:type="dxa"/>
              <w:left w:w="45" w:type="dxa"/>
              <w:bottom w:w="30" w:type="dxa"/>
              <w:right w:w="45" w:type="dxa"/>
            </w:tcMar>
            <w:vAlign w:val="center"/>
            <w:hideMark/>
          </w:tcPr>
          <w:p w14:paraId="07128FE5" w14:textId="77777777" w:rsidR="00F2561A" w:rsidRPr="00686E23" w:rsidRDefault="00F2561A" w:rsidP="00AA4BBB">
            <w:pPr>
              <w:jc w:val="center"/>
              <w:rPr>
                <w:rFonts w:cs="Arial"/>
                <w:sz w:val="14"/>
                <w:szCs w:val="14"/>
              </w:rPr>
            </w:pPr>
            <w:r w:rsidRPr="00686E23">
              <w:rPr>
                <w:rFonts w:cs="Arial"/>
                <w:sz w:val="14"/>
                <w:szCs w:val="14"/>
              </w:rPr>
              <w:t>100%</w:t>
            </w:r>
          </w:p>
        </w:tc>
        <w:tc>
          <w:tcPr>
            <w:tcW w:w="735" w:type="pct"/>
            <w:vMerge w:val="restart"/>
            <w:tcMar>
              <w:top w:w="30" w:type="dxa"/>
              <w:left w:w="45" w:type="dxa"/>
              <w:bottom w:w="30" w:type="dxa"/>
              <w:right w:w="45" w:type="dxa"/>
            </w:tcMar>
            <w:vAlign w:val="center"/>
            <w:hideMark/>
          </w:tcPr>
          <w:p w14:paraId="6E2709CC" w14:textId="77777777" w:rsidR="00F2561A" w:rsidRPr="00686E23" w:rsidRDefault="00F2561A" w:rsidP="00AA4BBB">
            <w:pPr>
              <w:jc w:val="center"/>
              <w:rPr>
                <w:rFonts w:cs="Arial"/>
                <w:b/>
                <w:bCs/>
                <w:sz w:val="16"/>
                <w:szCs w:val="16"/>
              </w:rPr>
            </w:pPr>
            <w:r w:rsidRPr="00686E23">
              <w:rPr>
                <w:rFonts w:cs="Arial"/>
                <w:b/>
                <w:bCs/>
                <w:sz w:val="16"/>
                <w:szCs w:val="16"/>
              </w:rPr>
              <w:t>6.158.136.897</w:t>
            </w:r>
          </w:p>
        </w:tc>
      </w:tr>
      <w:tr w:rsidR="00686E23" w:rsidRPr="00F2561A" w14:paraId="7A0AB8C7" w14:textId="77777777" w:rsidTr="00686E23">
        <w:tc>
          <w:tcPr>
            <w:tcW w:w="2272" w:type="pct"/>
            <w:vMerge/>
            <w:vAlign w:val="center"/>
            <w:hideMark/>
          </w:tcPr>
          <w:p w14:paraId="756B5AAC" w14:textId="77777777" w:rsidR="00F2561A" w:rsidRPr="00686E23" w:rsidRDefault="00F2561A" w:rsidP="00AA4BBB">
            <w:pPr>
              <w:rPr>
                <w:rFonts w:cs="Arial"/>
                <w:sz w:val="16"/>
                <w:szCs w:val="16"/>
              </w:rPr>
            </w:pPr>
          </w:p>
        </w:tc>
        <w:tc>
          <w:tcPr>
            <w:tcW w:w="152" w:type="pct"/>
            <w:tcMar>
              <w:top w:w="30" w:type="dxa"/>
              <w:left w:w="45" w:type="dxa"/>
              <w:bottom w:w="30" w:type="dxa"/>
              <w:right w:w="45" w:type="dxa"/>
            </w:tcMar>
            <w:vAlign w:val="center"/>
            <w:hideMark/>
          </w:tcPr>
          <w:p w14:paraId="32827B03" w14:textId="77777777" w:rsidR="00F2561A" w:rsidRPr="00686E23" w:rsidRDefault="00F2561A" w:rsidP="00AA4BBB">
            <w:pPr>
              <w:jc w:val="center"/>
              <w:rPr>
                <w:rFonts w:cs="Arial"/>
                <w:sz w:val="14"/>
                <w:szCs w:val="14"/>
              </w:rPr>
            </w:pPr>
            <w:r w:rsidRPr="00686E23">
              <w:rPr>
                <w:rFonts w:cs="Arial"/>
                <w:sz w:val="14"/>
                <w:szCs w:val="14"/>
              </w:rPr>
              <w:t>81.069.000</w:t>
            </w:r>
          </w:p>
        </w:tc>
        <w:tc>
          <w:tcPr>
            <w:tcW w:w="606" w:type="pct"/>
            <w:tcMar>
              <w:top w:w="30" w:type="dxa"/>
              <w:left w:w="45" w:type="dxa"/>
              <w:bottom w:w="30" w:type="dxa"/>
              <w:right w:w="45" w:type="dxa"/>
            </w:tcMar>
            <w:vAlign w:val="center"/>
            <w:hideMark/>
          </w:tcPr>
          <w:p w14:paraId="52B5E5C0" w14:textId="77777777" w:rsidR="00F2561A" w:rsidRPr="00686E23" w:rsidRDefault="00F2561A" w:rsidP="00AA4BBB">
            <w:pPr>
              <w:jc w:val="center"/>
              <w:rPr>
                <w:rFonts w:cs="Arial"/>
                <w:sz w:val="14"/>
                <w:szCs w:val="14"/>
              </w:rPr>
            </w:pPr>
            <w:r w:rsidRPr="00686E23">
              <w:rPr>
                <w:rFonts w:cs="Arial"/>
                <w:sz w:val="14"/>
                <w:szCs w:val="14"/>
              </w:rPr>
              <w:t>78.707.767</w:t>
            </w:r>
          </w:p>
        </w:tc>
        <w:tc>
          <w:tcPr>
            <w:tcW w:w="607" w:type="pct"/>
            <w:tcMar>
              <w:top w:w="30" w:type="dxa"/>
              <w:left w:w="45" w:type="dxa"/>
              <w:bottom w:w="30" w:type="dxa"/>
              <w:right w:w="45" w:type="dxa"/>
            </w:tcMar>
            <w:vAlign w:val="center"/>
            <w:hideMark/>
          </w:tcPr>
          <w:p w14:paraId="273BD16A" w14:textId="77777777" w:rsidR="00F2561A" w:rsidRPr="00686E23" w:rsidRDefault="00F2561A" w:rsidP="00AA4BBB">
            <w:pPr>
              <w:jc w:val="center"/>
              <w:rPr>
                <w:rFonts w:cs="Arial"/>
                <w:sz w:val="14"/>
                <w:szCs w:val="14"/>
              </w:rPr>
            </w:pPr>
            <w:r w:rsidRPr="00686E23">
              <w:rPr>
                <w:rFonts w:cs="Arial"/>
                <w:sz w:val="14"/>
                <w:szCs w:val="14"/>
              </w:rPr>
              <w:t>2.904.203.035</w:t>
            </w:r>
          </w:p>
        </w:tc>
        <w:tc>
          <w:tcPr>
            <w:tcW w:w="629" w:type="pct"/>
            <w:tcMar>
              <w:top w:w="30" w:type="dxa"/>
              <w:left w:w="45" w:type="dxa"/>
              <w:bottom w:w="30" w:type="dxa"/>
              <w:right w:w="45" w:type="dxa"/>
            </w:tcMar>
            <w:vAlign w:val="center"/>
            <w:hideMark/>
          </w:tcPr>
          <w:p w14:paraId="3CDDA11B" w14:textId="77777777" w:rsidR="00F2561A" w:rsidRPr="00686E23" w:rsidRDefault="00F2561A" w:rsidP="00AA4BBB">
            <w:pPr>
              <w:jc w:val="center"/>
              <w:rPr>
                <w:rFonts w:cs="Arial"/>
                <w:sz w:val="14"/>
                <w:szCs w:val="14"/>
              </w:rPr>
            </w:pPr>
            <w:r w:rsidRPr="00686E23">
              <w:rPr>
                <w:rFonts w:cs="Arial"/>
                <w:sz w:val="14"/>
                <w:szCs w:val="14"/>
              </w:rPr>
              <w:t>3.094.157.095</w:t>
            </w:r>
          </w:p>
        </w:tc>
        <w:tc>
          <w:tcPr>
            <w:tcW w:w="735" w:type="pct"/>
            <w:vMerge/>
            <w:vAlign w:val="center"/>
            <w:hideMark/>
          </w:tcPr>
          <w:p w14:paraId="1D7A5B3B" w14:textId="77777777" w:rsidR="00F2561A" w:rsidRPr="00686E23" w:rsidRDefault="00F2561A" w:rsidP="00AA4BBB">
            <w:pPr>
              <w:rPr>
                <w:rFonts w:cs="Arial"/>
                <w:b/>
                <w:bCs/>
                <w:sz w:val="16"/>
                <w:szCs w:val="16"/>
              </w:rPr>
            </w:pPr>
          </w:p>
        </w:tc>
      </w:tr>
      <w:tr w:rsidR="00686E23" w:rsidRPr="00F2561A" w14:paraId="45D486BA" w14:textId="77777777" w:rsidTr="00686E23">
        <w:tc>
          <w:tcPr>
            <w:tcW w:w="2272" w:type="pct"/>
            <w:vMerge w:val="restart"/>
            <w:tcMar>
              <w:top w:w="30" w:type="dxa"/>
              <w:left w:w="45" w:type="dxa"/>
              <w:bottom w:w="30" w:type="dxa"/>
              <w:right w:w="45" w:type="dxa"/>
            </w:tcMar>
            <w:vAlign w:val="center"/>
            <w:hideMark/>
          </w:tcPr>
          <w:p w14:paraId="085F9C0A" w14:textId="77777777" w:rsidR="00F2561A" w:rsidRPr="00686E23" w:rsidRDefault="00F2561A" w:rsidP="00AA4BBB">
            <w:pPr>
              <w:rPr>
                <w:rFonts w:cs="Arial"/>
                <w:sz w:val="16"/>
                <w:szCs w:val="16"/>
              </w:rPr>
            </w:pPr>
            <w:r w:rsidRPr="00686E23">
              <w:rPr>
                <w:rFonts w:cs="Arial"/>
                <w:sz w:val="16"/>
                <w:szCs w:val="16"/>
              </w:rPr>
              <w:t>Mantener la respuesta en el 100% del Centro Regulador de Urgencias ante la gestión a los incidentes relacionados con las urgencias emergencias y desastres en salud en Bogotá D.C.</w:t>
            </w:r>
          </w:p>
        </w:tc>
        <w:tc>
          <w:tcPr>
            <w:tcW w:w="152" w:type="pct"/>
            <w:tcMar>
              <w:top w:w="30" w:type="dxa"/>
              <w:left w:w="45" w:type="dxa"/>
              <w:bottom w:w="30" w:type="dxa"/>
              <w:right w:w="45" w:type="dxa"/>
            </w:tcMar>
            <w:vAlign w:val="center"/>
            <w:hideMark/>
          </w:tcPr>
          <w:p w14:paraId="56F1D4EB" w14:textId="77777777" w:rsidR="00F2561A" w:rsidRPr="00686E23" w:rsidRDefault="00F2561A" w:rsidP="00AA4BBB">
            <w:pPr>
              <w:jc w:val="center"/>
              <w:rPr>
                <w:rFonts w:cs="Arial"/>
                <w:sz w:val="14"/>
                <w:szCs w:val="14"/>
              </w:rPr>
            </w:pPr>
            <w:r w:rsidRPr="00686E23">
              <w:rPr>
                <w:rFonts w:cs="Arial"/>
                <w:sz w:val="14"/>
                <w:szCs w:val="14"/>
              </w:rPr>
              <w:t>100%</w:t>
            </w:r>
          </w:p>
        </w:tc>
        <w:tc>
          <w:tcPr>
            <w:tcW w:w="606" w:type="pct"/>
            <w:tcMar>
              <w:top w:w="30" w:type="dxa"/>
              <w:left w:w="45" w:type="dxa"/>
              <w:bottom w:w="30" w:type="dxa"/>
              <w:right w:w="45" w:type="dxa"/>
            </w:tcMar>
            <w:vAlign w:val="center"/>
            <w:hideMark/>
          </w:tcPr>
          <w:p w14:paraId="1682186F" w14:textId="77777777" w:rsidR="00F2561A" w:rsidRPr="00686E23" w:rsidRDefault="00F2561A" w:rsidP="00AA4BBB">
            <w:pPr>
              <w:jc w:val="center"/>
              <w:rPr>
                <w:rFonts w:cs="Arial"/>
                <w:sz w:val="14"/>
                <w:szCs w:val="14"/>
              </w:rPr>
            </w:pPr>
            <w:r w:rsidRPr="00686E23">
              <w:rPr>
                <w:rFonts w:cs="Arial"/>
                <w:sz w:val="14"/>
                <w:szCs w:val="14"/>
              </w:rPr>
              <w:t>100%</w:t>
            </w:r>
          </w:p>
        </w:tc>
        <w:tc>
          <w:tcPr>
            <w:tcW w:w="607" w:type="pct"/>
            <w:tcMar>
              <w:top w:w="30" w:type="dxa"/>
              <w:left w:w="45" w:type="dxa"/>
              <w:bottom w:w="30" w:type="dxa"/>
              <w:right w:w="45" w:type="dxa"/>
            </w:tcMar>
            <w:vAlign w:val="center"/>
            <w:hideMark/>
          </w:tcPr>
          <w:p w14:paraId="17F024BB" w14:textId="77777777" w:rsidR="00F2561A" w:rsidRPr="00686E23" w:rsidRDefault="00F2561A" w:rsidP="00AA4BBB">
            <w:pPr>
              <w:jc w:val="center"/>
              <w:rPr>
                <w:rFonts w:cs="Arial"/>
                <w:sz w:val="14"/>
                <w:szCs w:val="14"/>
              </w:rPr>
            </w:pPr>
            <w:r w:rsidRPr="00686E23">
              <w:rPr>
                <w:rFonts w:cs="Arial"/>
                <w:sz w:val="14"/>
                <w:szCs w:val="14"/>
              </w:rPr>
              <w:t>100%</w:t>
            </w:r>
          </w:p>
        </w:tc>
        <w:tc>
          <w:tcPr>
            <w:tcW w:w="629" w:type="pct"/>
            <w:tcMar>
              <w:top w:w="30" w:type="dxa"/>
              <w:left w:w="45" w:type="dxa"/>
              <w:bottom w:w="30" w:type="dxa"/>
              <w:right w:w="45" w:type="dxa"/>
            </w:tcMar>
            <w:vAlign w:val="center"/>
            <w:hideMark/>
          </w:tcPr>
          <w:p w14:paraId="72BDDB91" w14:textId="77777777" w:rsidR="00F2561A" w:rsidRPr="00686E23" w:rsidRDefault="00F2561A" w:rsidP="00AA4BBB">
            <w:pPr>
              <w:jc w:val="center"/>
              <w:rPr>
                <w:rFonts w:cs="Arial"/>
                <w:sz w:val="14"/>
                <w:szCs w:val="14"/>
              </w:rPr>
            </w:pPr>
            <w:r w:rsidRPr="00686E23">
              <w:rPr>
                <w:rFonts w:cs="Arial"/>
                <w:sz w:val="14"/>
                <w:szCs w:val="14"/>
              </w:rPr>
              <w:t>100%</w:t>
            </w:r>
          </w:p>
        </w:tc>
        <w:tc>
          <w:tcPr>
            <w:tcW w:w="735" w:type="pct"/>
            <w:vMerge w:val="restart"/>
            <w:tcMar>
              <w:top w:w="30" w:type="dxa"/>
              <w:left w:w="45" w:type="dxa"/>
              <w:bottom w:w="30" w:type="dxa"/>
              <w:right w:w="45" w:type="dxa"/>
            </w:tcMar>
            <w:vAlign w:val="center"/>
            <w:hideMark/>
          </w:tcPr>
          <w:p w14:paraId="789D4E5F" w14:textId="77777777" w:rsidR="00F2561A" w:rsidRPr="00686E23" w:rsidRDefault="00F2561A" w:rsidP="00AA4BBB">
            <w:pPr>
              <w:jc w:val="center"/>
              <w:rPr>
                <w:rFonts w:cs="Arial"/>
                <w:b/>
                <w:bCs/>
                <w:sz w:val="16"/>
                <w:szCs w:val="16"/>
              </w:rPr>
            </w:pPr>
            <w:r w:rsidRPr="00686E23">
              <w:rPr>
                <w:rFonts w:cs="Arial"/>
                <w:b/>
                <w:bCs/>
                <w:sz w:val="16"/>
                <w:szCs w:val="16"/>
              </w:rPr>
              <w:t>201.470.561.468</w:t>
            </w:r>
          </w:p>
        </w:tc>
      </w:tr>
      <w:tr w:rsidR="00686E23" w:rsidRPr="00F2561A" w14:paraId="696F5BE0" w14:textId="77777777" w:rsidTr="00686E23">
        <w:tc>
          <w:tcPr>
            <w:tcW w:w="2272" w:type="pct"/>
            <w:vMerge/>
            <w:tcBorders>
              <w:bottom w:val="double" w:sz="4" w:space="0" w:color="C00000"/>
            </w:tcBorders>
            <w:vAlign w:val="center"/>
            <w:hideMark/>
          </w:tcPr>
          <w:p w14:paraId="05415CEC" w14:textId="77777777" w:rsidR="00F2561A" w:rsidRPr="00686E23" w:rsidRDefault="00F2561A" w:rsidP="00AA4BBB">
            <w:pPr>
              <w:rPr>
                <w:rFonts w:cs="Arial"/>
                <w:sz w:val="16"/>
                <w:szCs w:val="16"/>
              </w:rPr>
            </w:pPr>
          </w:p>
        </w:tc>
        <w:tc>
          <w:tcPr>
            <w:tcW w:w="152" w:type="pct"/>
            <w:tcBorders>
              <w:bottom w:val="double" w:sz="4" w:space="0" w:color="C00000"/>
            </w:tcBorders>
            <w:tcMar>
              <w:top w:w="30" w:type="dxa"/>
              <w:left w:w="45" w:type="dxa"/>
              <w:bottom w:w="30" w:type="dxa"/>
              <w:right w:w="45" w:type="dxa"/>
            </w:tcMar>
            <w:vAlign w:val="center"/>
            <w:hideMark/>
          </w:tcPr>
          <w:p w14:paraId="37968AEC" w14:textId="77777777" w:rsidR="00F2561A" w:rsidRPr="00686E23" w:rsidRDefault="00F2561A" w:rsidP="00AA4BBB">
            <w:pPr>
              <w:jc w:val="center"/>
              <w:rPr>
                <w:rFonts w:cs="Arial"/>
                <w:sz w:val="14"/>
                <w:szCs w:val="14"/>
              </w:rPr>
            </w:pPr>
            <w:r w:rsidRPr="00686E23">
              <w:rPr>
                <w:rFonts w:cs="Arial"/>
                <w:sz w:val="14"/>
                <w:szCs w:val="14"/>
              </w:rPr>
              <w:t>52.437.931.000</w:t>
            </w:r>
          </w:p>
        </w:tc>
        <w:tc>
          <w:tcPr>
            <w:tcW w:w="606" w:type="pct"/>
            <w:tcBorders>
              <w:bottom w:val="double" w:sz="4" w:space="0" w:color="C00000"/>
            </w:tcBorders>
            <w:tcMar>
              <w:top w:w="30" w:type="dxa"/>
              <w:left w:w="45" w:type="dxa"/>
              <w:bottom w:w="30" w:type="dxa"/>
              <w:right w:w="45" w:type="dxa"/>
            </w:tcMar>
            <w:vAlign w:val="center"/>
            <w:hideMark/>
          </w:tcPr>
          <w:p w14:paraId="255C5AA0" w14:textId="77777777" w:rsidR="00F2561A" w:rsidRPr="00686E23" w:rsidRDefault="00F2561A" w:rsidP="00AA4BBB">
            <w:pPr>
              <w:jc w:val="center"/>
              <w:rPr>
                <w:rFonts w:cs="Arial"/>
                <w:sz w:val="14"/>
                <w:szCs w:val="14"/>
              </w:rPr>
            </w:pPr>
            <w:r w:rsidRPr="00686E23">
              <w:rPr>
                <w:rFonts w:cs="Arial"/>
                <w:sz w:val="14"/>
                <w:szCs w:val="14"/>
              </w:rPr>
              <w:t>39.343.768.641</w:t>
            </w:r>
          </w:p>
        </w:tc>
        <w:tc>
          <w:tcPr>
            <w:tcW w:w="607" w:type="pct"/>
            <w:tcBorders>
              <w:bottom w:val="double" w:sz="4" w:space="0" w:color="C00000"/>
            </w:tcBorders>
            <w:tcMar>
              <w:top w:w="30" w:type="dxa"/>
              <w:left w:w="45" w:type="dxa"/>
              <w:bottom w:w="30" w:type="dxa"/>
              <w:right w:w="45" w:type="dxa"/>
            </w:tcMar>
            <w:vAlign w:val="center"/>
            <w:hideMark/>
          </w:tcPr>
          <w:p w14:paraId="630D6C43" w14:textId="77777777" w:rsidR="00F2561A" w:rsidRPr="00686E23" w:rsidRDefault="00F2561A" w:rsidP="00AA4BBB">
            <w:pPr>
              <w:jc w:val="center"/>
              <w:rPr>
                <w:rFonts w:cs="Arial"/>
                <w:sz w:val="14"/>
                <w:szCs w:val="14"/>
              </w:rPr>
            </w:pPr>
            <w:r w:rsidRPr="00686E23">
              <w:rPr>
                <w:rFonts w:cs="Arial"/>
                <w:sz w:val="14"/>
                <w:szCs w:val="14"/>
              </w:rPr>
              <w:t>62.321.392.156</w:t>
            </w:r>
          </w:p>
        </w:tc>
        <w:tc>
          <w:tcPr>
            <w:tcW w:w="629" w:type="pct"/>
            <w:tcBorders>
              <w:bottom w:val="double" w:sz="4" w:space="0" w:color="C00000"/>
            </w:tcBorders>
            <w:tcMar>
              <w:top w:w="30" w:type="dxa"/>
              <w:left w:w="45" w:type="dxa"/>
              <w:bottom w:w="30" w:type="dxa"/>
              <w:right w:w="45" w:type="dxa"/>
            </w:tcMar>
            <w:vAlign w:val="center"/>
            <w:hideMark/>
          </w:tcPr>
          <w:p w14:paraId="14FF32C4" w14:textId="77777777" w:rsidR="00F2561A" w:rsidRPr="00686E23" w:rsidRDefault="00F2561A" w:rsidP="00AA4BBB">
            <w:pPr>
              <w:jc w:val="center"/>
              <w:rPr>
                <w:rFonts w:cs="Arial"/>
                <w:sz w:val="14"/>
                <w:szCs w:val="14"/>
              </w:rPr>
            </w:pPr>
            <w:r w:rsidRPr="00686E23">
              <w:rPr>
                <w:rFonts w:cs="Arial"/>
                <w:sz w:val="14"/>
                <w:szCs w:val="14"/>
              </w:rPr>
              <w:t>47.367.469.672</w:t>
            </w:r>
          </w:p>
        </w:tc>
        <w:tc>
          <w:tcPr>
            <w:tcW w:w="735" w:type="pct"/>
            <w:vMerge/>
            <w:tcBorders>
              <w:bottom w:val="double" w:sz="4" w:space="0" w:color="C00000"/>
            </w:tcBorders>
            <w:vAlign w:val="center"/>
            <w:hideMark/>
          </w:tcPr>
          <w:p w14:paraId="1D4B3650" w14:textId="77777777" w:rsidR="00F2561A" w:rsidRPr="00F2561A" w:rsidRDefault="00F2561A" w:rsidP="00AA4BBB">
            <w:pPr>
              <w:rPr>
                <w:rFonts w:cs="Arial"/>
                <w:b/>
                <w:bCs/>
                <w:sz w:val="20"/>
                <w:szCs w:val="20"/>
              </w:rPr>
            </w:pPr>
          </w:p>
        </w:tc>
      </w:tr>
    </w:tbl>
    <w:p w14:paraId="627880B4" w14:textId="7D678A05" w:rsidR="00B14E38" w:rsidRDefault="00B14E38" w:rsidP="00232238">
      <w:pPr>
        <w:pStyle w:val="NIVEL4"/>
      </w:pPr>
      <w:bookmarkStart w:id="275" w:name="_Toc165169771"/>
      <w:r w:rsidRPr="00425738">
        <w:rPr>
          <w:color w:val="C00000"/>
        </w:rPr>
        <w:lastRenderedPageBreak/>
        <w:t>Programa 12</w:t>
      </w:r>
      <w:r w:rsidR="00232238">
        <w:rPr>
          <w:color w:val="C00000"/>
        </w:rPr>
        <w:t xml:space="preserve">: </w:t>
      </w:r>
      <w:r w:rsidRPr="00627A62">
        <w:t>Bogotá cuida a su gente</w:t>
      </w:r>
      <w:bookmarkEnd w:id="275"/>
    </w:p>
    <w:p w14:paraId="477A314E" w14:textId="77777777" w:rsidR="00EE243E" w:rsidRPr="00425738" w:rsidRDefault="00EE243E" w:rsidP="00EE243E">
      <w:pPr>
        <w:pStyle w:val="NIVEL4"/>
        <w:outlineLvl w:val="9"/>
        <w:rPr>
          <w:color w:val="C00000"/>
        </w:rPr>
      </w:pPr>
    </w:p>
    <w:p w14:paraId="43EE6583" w14:textId="1B9EADE4" w:rsidR="00B14E38" w:rsidRPr="00EE243E" w:rsidRDefault="00B14E38" w:rsidP="00EE243E">
      <w:pPr>
        <w:ind w:firstLine="708"/>
        <w:rPr>
          <w:b/>
          <w:sz w:val="24"/>
        </w:rPr>
      </w:pPr>
      <w:r w:rsidRPr="00EE243E">
        <w:rPr>
          <w:b/>
          <w:sz w:val="24"/>
        </w:rPr>
        <w:t>Diagnóstico</w:t>
      </w:r>
    </w:p>
    <w:p w14:paraId="2BB9308D"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29867017" w14:textId="77777777" w:rsidR="00B05694" w:rsidRDefault="00B05694" w:rsidP="00B05694">
      <w:r>
        <w:t>Bogotá alberga a casi 8 millones de personas, dentro de las cuales hay grupos con características diferenciadas que, como todos, tienen derecho a la totalidad de los servicios públicos ofrecidos por la ciudad. Sin embargo, muchas de estas personas han manifestado sentirse discriminadas. Con base en la Encuesta Multipropósito de 2021, cerca del 9,6</w:t>
      </w:r>
      <w:r>
        <w:rPr>
          <w:rFonts w:ascii="Arial" w:hAnsi="Arial" w:cs="Arial"/>
        </w:rPr>
        <w:t> </w:t>
      </w:r>
      <w:r>
        <w:t>% de la poblaci</w:t>
      </w:r>
      <w:r>
        <w:rPr>
          <w:rFonts w:cs="Candara"/>
        </w:rPr>
        <w:t>ó</w:t>
      </w:r>
      <w:r>
        <w:t>n asegur</w:t>
      </w:r>
      <w:r>
        <w:rPr>
          <w:rFonts w:cs="Candara"/>
        </w:rPr>
        <w:t>ó</w:t>
      </w:r>
      <w:r>
        <w:t xml:space="preserve"> sentirse discriminada por su condici</w:t>
      </w:r>
      <w:r>
        <w:rPr>
          <w:rFonts w:cs="Candara"/>
        </w:rPr>
        <w:t>ó</w:t>
      </w:r>
      <w:r>
        <w:t>n econ</w:t>
      </w:r>
      <w:r>
        <w:rPr>
          <w:rFonts w:cs="Candara"/>
        </w:rPr>
        <w:t>ó</w:t>
      </w:r>
      <w:r>
        <w:t>mica y social, apariencia f</w:t>
      </w:r>
      <w:r>
        <w:rPr>
          <w:rFonts w:cs="Candara"/>
        </w:rPr>
        <w:t>í</w:t>
      </w:r>
      <w:r>
        <w:t>sica, origen campesino o g</w:t>
      </w:r>
      <w:r>
        <w:rPr>
          <w:rFonts w:cs="Candara"/>
        </w:rPr>
        <w:t>é</w:t>
      </w:r>
      <w:r>
        <w:t>nero, entre otras. Tal situaci</w:t>
      </w:r>
      <w:r>
        <w:rPr>
          <w:rFonts w:cs="Candara"/>
        </w:rPr>
        <w:t>ó</w:t>
      </w:r>
      <w:r>
        <w:t>n amerita ser disminuida y erradicada en la ciudad.</w:t>
      </w:r>
    </w:p>
    <w:p w14:paraId="2586EB6A" w14:textId="77777777" w:rsidR="00B05694" w:rsidRDefault="00B05694" w:rsidP="00B05694"/>
    <w:p w14:paraId="4401F8CE" w14:textId="77777777" w:rsidR="00B05694" w:rsidRDefault="00B05694" w:rsidP="00B05694">
      <w:r>
        <w:t xml:space="preserve">La percepción de discriminación, desafortunadamente, no solo se limita a la convivencia entre personas, sino que suele trasladarse y tener efectos en las condiciones con las que estos grupos poblacionales acceden a los servicios públicos y sociales de la ciudad, y en el </w:t>
      </w:r>
      <w:r>
        <w:t>aprovechamiento de las oportunidades que esta puede darle a cada persona, pues vulnera, incluso, sus derechos, e impide el goce pleno y efectivo de esos mismos derechos.</w:t>
      </w:r>
    </w:p>
    <w:p w14:paraId="1AB2D2A0" w14:textId="77777777" w:rsidR="00B05694" w:rsidRDefault="00B05694" w:rsidP="00B05694"/>
    <w:p w14:paraId="59470B28" w14:textId="77777777" w:rsidR="00B05694" w:rsidRDefault="00B05694" w:rsidP="00B05694">
      <w:r>
        <w:t>Dichas formas de discriminación y exclusión son violaciones de derechos humanos perpetradas tanto en los ámbitos privados como en los públicos e institucionales, e incluyen desde actos sutiles de segregación, falta de atención, indiferencia o negligencia hasta crímenes y actos de violencia física causados por el prejuicio y la intolerancia.</w:t>
      </w:r>
    </w:p>
    <w:p w14:paraId="1583DEDE" w14:textId="77777777" w:rsidR="00B05694" w:rsidRDefault="00B05694" w:rsidP="00B05694"/>
    <w:p w14:paraId="0A34EB35" w14:textId="7F099C3F" w:rsidR="00B14E38" w:rsidRPr="00B944E8" w:rsidRDefault="00B05694" w:rsidP="00B05694">
      <w:pPr>
        <w:rPr>
          <w:highlight w:val="white"/>
        </w:rPr>
      </w:pPr>
      <w:r>
        <w:t>Los efectos de la discriminación no se hacen esperar. Por ejemplo, las personas LGTBI presentan diferencias en materia de afiliación al sistema de seguridad social de 4 p. p. con respecto a la población que no se identifica como LGTBI</w:t>
      </w:r>
      <w:r w:rsidR="00B14E38" w:rsidRPr="00B944E8">
        <w:rPr>
          <w:highlight w:val="white"/>
        </w:rPr>
        <w:t>.</w:t>
      </w:r>
    </w:p>
    <w:p w14:paraId="2B2FFB7D" w14:textId="77777777" w:rsidR="00B14E38" w:rsidRDefault="00B14E38" w:rsidP="00B14E38">
      <w:pPr>
        <w:spacing w:line="480" w:lineRule="auto"/>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031EFCD0" w14:textId="77777777" w:rsidR="00B05694" w:rsidRDefault="00B05694" w:rsidP="00B14E38">
      <w:pPr>
        <w:pStyle w:val="figuratitulo"/>
        <w:rPr>
          <w:b/>
          <w:bCs/>
        </w:rPr>
      </w:pPr>
    </w:p>
    <w:p w14:paraId="1D5DF007" w14:textId="6D2D48ED" w:rsidR="00B14E38" w:rsidRPr="00DF11E2" w:rsidRDefault="00B05694" w:rsidP="00DF11E2">
      <w:pPr>
        <w:pStyle w:val="Descripcin"/>
        <w:jc w:val="center"/>
        <w:rPr>
          <w:sz w:val="18"/>
          <w:szCs w:val="14"/>
        </w:rPr>
      </w:pPr>
      <w:bookmarkStart w:id="276" w:name="_Toc165169940"/>
      <w:r w:rsidRPr="00B05694">
        <w:rPr>
          <w:color w:val="C00000"/>
          <w:sz w:val="18"/>
          <w:szCs w:val="14"/>
        </w:rPr>
        <w:t xml:space="preserve">Tabla </w:t>
      </w:r>
      <w:r w:rsidRPr="00B05694">
        <w:rPr>
          <w:color w:val="C00000"/>
          <w:sz w:val="18"/>
          <w:szCs w:val="14"/>
        </w:rPr>
        <w:fldChar w:fldCharType="begin"/>
      </w:r>
      <w:r w:rsidRPr="00B05694">
        <w:rPr>
          <w:color w:val="C00000"/>
          <w:sz w:val="18"/>
          <w:szCs w:val="14"/>
        </w:rPr>
        <w:instrText xml:space="preserve"> SEQ Tabla \* ARABIC </w:instrText>
      </w:r>
      <w:r w:rsidRPr="00B05694">
        <w:rPr>
          <w:color w:val="C00000"/>
          <w:sz w:val="18"/>
          <w:szCs w:val="14"/>
        </w:rPr>
        <w:fldChar w:fldCharType="separate"/>
      </w:r>
      <w:r w:rsidR="00D01651">
        <w:rPr>
          <w:noProof/>
          <w:color w:val="C00000"/>
          <w:sz w:val="18"/>
          <w:szCs w:val="14"/>
        </w:rPr>
        <w:t>30</w:t>
      </w:r>
      <w:r w:rsidRPr="00B05694">
        <w:rPr>
          <w:color w:val="C00000"/>
          <w:sz w:val="18"/>
          <w:szCs w:val="14"/>
        </w:rPr>
        <w:fldChar w:fldCharType="end"/>
      </w:r>
      <w:r w:rsidRPr="00B05694">
        <w:rPr>
          <w:color w:val="C00000"/>
          <w:sz w:val="18"/>
          <w:szCs w:val="14"/>
        </w:rPr>
        <w:t xml:space="preserve">. </w:t>
      </w:r>
      <w:r w:rsidR="00B14E38" w:rsidRPr="00B05694">
        <w:rPr>
          <w:sz w:val="18"/>
          <w:szCs w:val="14"/>
        </w:rPr>
        <w:t>Personas de 18 años o más que se han sentido discriminadas</w:t>
      </w:r>
      <w:bookmarkEnd w:id="276"/>
    </w:p>
    <w:tbl>
      <w:tblPr>
        <w:tblStyle w:val="Tablaconcuadrcula"/>
        <w:tblW w:w="8838" w:type="dxa"/>
        <w:tblBorders>
          <w:top w:val="none" w:sz="0" w:space="0" w:color="auto"/>
          <w:left w:val="none" w:sz="0" w:space="0" w:color="auto"/>
          <w:bottom w:val="double" w:sz="4" w:space="0" w:color="C00000"/>
          <w:right w:val="none" w:sz="0" w:space="0" w:color="auto"/>
          <w:insideH w:val="double" w:sz="4" w:space="0" w:color="C00000"/>
          <w:insideV w:val="double" w:sz="4" w:space="0" w:color="C00000"/>
        </w:tblBorders>
        <w:tblLayout w:type="fixed"/>
        <w:tblLook w:val="0600" w:firstRow="0" w:lastRow="0" w:firstColumn="0" w:lastColumn="0" w:noHBand="1" w:noVBand="1"/>
      </w:tblPr>
      <w:tblGrid>
        <w:gridCol w:w="4536"/>
        <w:gridCol w:w="2694"/>
        <w:gridCol w:w="1608"/>
      </w:tblGrid>
      <w:tr w:rsidR="00B14E38" w:rsidRPr="00DF11E2" w14:paraId="4C6BBA93" w14:textId="77777777" w:rsidTr="00DF11E2">
        <w:trPr>
          <w:trHeight w:val="20"/>
        </w:trPr>
        <w:tc>
          <w:tcPr>
            <w:tcW w:w="4536" w:type="dxa"/>
            <w:shd w:val="clear" w:color="auto" w:fill="C00000"/>
            <w:vAlign w:val="center"/>
          </w:tcPr>
          <w:p w14:paraId="37CDECA6" w14:textId="77777777" w:rsidR="00B14E38" w:rsidRPr="00DF11E2" w:rsidRDefault="00B14E38" w:rsidP="004F6427">
            <w:pPr>
              <w:jc w:val="right"/>
              <w:rPr>
                <w:b/>
                <w:bCs/>
                <w:color w:val="FFFFFF" w:themeColor="background1"/>
              </w:rPr>
            </w:pPr>
            <w:r w:rsidRPr="00DF11E2">
              <w:rPr>
                <w:b/>
                <w:bCs/>
                <w:color w:val="FFFFFF" w:themeColor="background1"/>
              </w:rPr>
              <w:t>Motivación de la Discriminación</w:t>
            </w:r>
          </w:p>
        </w:tc>
        <w:tc>
          <w:tcPr>
            <w:tcW w:w="2694" w:type="dxa"/>
            <w:shd w:val="clear" w:color="auto" w:fill="C00000"/>
            <w:vAlign w:val="center"/>
          </w:tcPr>
          <w:p w14:paraId="31928CC3" w14:textId="77777777" w:rsidR="00627A62" w:rsidRPr="00DF11E2" w:rsidRDefault="00B14E38" w:rsidP="004F6427">
            <w:pPr>
              <w:jc w:val="center"/>
              <w:rPr>
                <w:b/>
                <w:bCs/>
                <w:color w:val="FFFFFF" w:themeColor="background1"/>
              </w:rPr>
            </w:pPr>
            <w:r w:rsidRPr="00DF11E2">
              <w:rPr>
                <w:b/>
                <w:bCs/>
                <w:color w:val="FFFFFF" w:themeColor="background1"/>
              </w:rPr>
              <w:t xml:space="preserve">Población que </w:t>
            </w:r>
          </w:p>
          <w:p w14:paraId="150865C0" w14:textId="7E342594" w:rsidR="00627A62" w:rsidRPr="00DF11E2" w:rsidRDefault="00B14E38" w:rsidP="004F6427">
            <w:pPr>
              <w:jc w:val="center"/>
              <w:rPr>
                <w:b/>
                <w:bCs/>
                <w:color w:val="FFFFFF" w:themeColor="background1"/>
              </w:rPr>
            </w:pPr>
            <w:r w:rsidRPr="00DF11E2">
              <w:rPr>
                <w:b/>
                <w:bCs/>
                <w:color w:val="FFFFFF" w:themeColor="background1"/>
              </w:rPr>
              <w:t xml:space="preserve">manifiesta haber sido </w:t>
            </w:r>
          </w:p>
          <w:p w14:paraId="71FC674E" w14:textId="091F68E9" w:rsidR="00B14E38" w:rsidRPr="00DF11E2" w:rsidRDefault="00B14E38" w:rsidP="004F6427">
            <w:pPr>
              <w:jc w:val="center"/>
              <w:rPr>
                <w:b/>
                <w:bCs/>
                <w:color w:val="FFFFFF" w:themeColor="background1"/>
              </w:rPr>
            </w:pPr>
            <w:r w:rsidRPr="00DF11E2">
              <w:rPr>
                <w:b/>
                <w:bCs/>
                <w:color w:val="FFFFFF" w:themeColor="background1"/>
              </w:rPr>
              <w:t>discriminada</w:t>
            </w:r>
          </w:p>
        </w:tc>
        <w:tc>
          <w:tcPr>
            <w:tcW w:w="1608" w:type="dxa"/>
            <w:shd w:val="clear" w:color="auto" w:fill="C00000"/>
            <w:vAlign w:val="center"/>
          </w:tcPr>
          <w:p w14:paraId="7B1414B7" w14:textId="77777777" w:rsidR="00B14E38" w:rsidRPr="00DF11E2" w:rsidRDefault="00B14E38" w:rsidP="004F6427">
            <w:pPr>
              <w:jc w:val="left"/>
              <w:rPr>
                <w:b/>
                <w:bCs/>
                <w:color w:val="FFFFFF" w:themeColor="background1"/>
              </w:rPr>
            </w:pPr>
            <w:r w:rsidRPr="00DF11E2">
              <w:rPr>
                <w:b/>
                <w:bCs/>
                <w:color w:val="FFFFFF" w:themeColor="background1"/>
              </w:rPr>
              <w:t>Porcentaje</w:t>
            </w:r>
          </w:p>
        </w:tc>
      </w:tr>
      <w:tr w:rsidR="00B14E38" w:rsidRPr="00DF11E2" w14:paraId="1BF1538E" w14:textId="77777777" w:rsidTr="00DF11E2">
        <w:trPr>
          <w:trHeight w:val="20"/>
        </w:trPr>
        <w:tc>
          <w:tcPr>
            <w:tcW w:w="4536" w:type="dxa"/>
            <w:vAlign w:val="center"/>
          </w:tcPr>
          <w:p w14:paraId="5BE16A40" w14:textId="77777777" w:rsidR="00B14E38" w:rsidRPr="00DF11E2" w:rsidRDefault="00B14E38" w:rsidP="004F6427">
            <w:pPr>
              <w:jc w:val="right"/>
            </w:pPr>
            <w:r w:rsidRPr="00DF11E2">
              <w:t>Por su condición económica y social</w:t>
            </w:r>
          </w:p>
        </w:tc>
        <w:tc>
          <w:tcPr>
            <w:tcW w:w="2694" w:type="dxa"/>
            <w:vAlign w:val="center"/>
          </w:tcPr>
          <w:p w14:paraId="71B5F2B6" w14:textId="77777777" w:rsidR="00B14E38" w:rsidRPr="00DF11E2" w:rsidRDefault="00B14E38" w:rsidP="004F6427">
            <w:pPr>
              <w:jc w:val="center"/>
            </w:pPr>
            <w:r w:rsidRPr="00DF11E2">
              <w:t>145.811</w:t>
            </w:r>
          </w:p>
        </w:tc>
        <w:tc>
          <w:tcPr>
            <w:tcW w:w="1608" w:type="dxa"/>
            <w:vAlign w:val="center"/>
          </w:tcPr>
          <w:p w14:paraId="6C2D2BAC" w14:textId="77777777" w:rsidR="00B14E38" w:rsidRPr="00DF11E2" w:rsidRDefault="00B14E38" w:rsidP="004F6427">
            <w:pPr>
              <w:jc w:val="left"/>
            </w:pPr>
            <w:r w:rsidRPr="00DF11E2">
              <w:t>25,1</w:t>
            </w:r>
            <w:r w:rsidRPr="00DF11E2">
              <w:rPr>
                <w:rFonts w:ascii="Arial" w:hAnsi="Arial" w:cs="Arial"/>
              </w:rPr>
              <w:t> </w:t>
            </w:r>
            <w:r w:rsidRPr="00DF11E2">
              <w:t>%</w:t>
            </w:r>
          </w:p>
        </w:tc>
      </w:tr>
      <w:tr w:rsidR="00B14E38" w:rsidRPr="00DF11E2" w14:paraId="5D92DC4A" w14:textId="77777777" w:rsidTr="00DF11E2">
        <w:trPr>
          <w:trHeight w:val="20"/>
        </w:trPr>
        <w:tc>
          <w:tcPr>
            <w:tcW w:w="4536" w:type="dxa"/>
            <w:vAlign w:val="center"/>
          </w:tcPr>
          <w:p w14:paraId="141F41FC" w14:textId="77777777" w:rsidR="00B14E38" w:rsidRPr="00DF11E2" w:rsidRDefault="00B14E38" w:rsidP="004F6427">
            <w:pPr>
              <w:jc w:val="right"/>
            </w:pPr>
            <w:r w:rsidRPr="00DF11E2">
              <w:t>Por ser extranjero</w:t>
            </w:r>
          </w:p>
        </w:tc>
        <w:tc>
          <w:tcPr>
            <w:tcW w:w="2694" w:type="dxa"/>
            <w:vAlign w:val="center"/>
          </w:tcPr>
          <w:p w14:paraId="0E331A65" w14:textId="77777777" w:rsidR="00B14E38" w:rsidRPr="00DF11E2" w:rsidRDefault="00B14E38" w:rsidP="004F6427">
            <w:pPr>
              <w:jc w:val="center"/>
            </w:pPr>
            <w:r w:rsidRPr="00DF11E2">
              <w:t>114.956</w:t>
            </w:r>
          </w:p>
        </w:tc>
        <w:tc>
          <w:tcPr>
            <w:tcW w:w="1608" w:type="dxa"/>
            <w:vAlign w:val="center"/>
          </w:tcPr>
          <w:p w14:paraId="598850DC" w14:textId="77777777" w:rsidR="00B14E38" w:rsidRPr="00DF11E2" w:rsidRDefault="00B14E38" w:rsidP="004F6427">
            <w:pPr>
              <w:jc w:val="left"/>
            </w:pPr>
            <w:r w:rsidRPr="00DF11E2">
              <w:t>19,8</w:t>
            </w:r>
            <w:r w:rsidRPr="00DF11E2">
              <w:rPr>
                <w:rFonts w:ascii="Arial" w:hAnsi="Arial" w:cs="Arial"/>
              </w:rPr>
              <w:t> </w:t>
            </w:r>
            <w:r w:rsidRPr="00DF11E2">
              <w:t>%</w:t>
            </w:r>
          </w:p>
        </w:tc>
      </w:tr>
      <w:tr w:rsidR="00B14E38" w:rsidRPr="00DF11E2" w14:paraId="1C16A9F6" w14:textId="77777777" w:rsidTr="00DF11E2">
        <w:trPr>
          <w:trHeight w:val="20"/>
        </w:trPr>
        <w:tc>
          <w:tcPr>
            <w:tcW w:w="4536" w:type="dxa"/>
            <w:vAlign w:val="center"/>
          </w:tcPr>
          <w:p w14:paraId="6619F0F3" w14:textId="77777777" w:rsidR="00B14E38" w:rsidRPr="00DF11E2" w:rsidRDefault="00B14E38" w:rsidP="004F6427">
            <w:pPr>
              <w:jc w:val="right"/>
            </w:pPr>
            <w:r w:rsidRPr="00DF11E2">
              <w:t>Por su peso, tamaño o apariencia física</w:t>
            </w:r>
          </w:p>
        </w:tc>
        <w:tc>
          <w:tcPr>
            <w:tcW w:w="2694" w:type="dxa"/>
            <w:vAlign w:val="center"/>
          </w:tcPr>
          <w:p w14:paraId="0C3D93F7" w14:textId="77777777" w:rsidR="00B14E38" w:rsidRPr="00DF11E2" w:rsidRDefault="00B14E38" w:rsidP="004F6427">
            <w:pPr>
              <w:jc w:val="center"/>
            </w:pPr>
            <w:r w:rsidRPr="00DF11E2">
              <w:t>111.967</w:t>
            </w:r>
          </w:p>
        </w:tc>
        <w:tc>
          <w:tcPr>
            <w:tcW w:w="1608" w:type="dxa"/>
            <w:vAlign w:val="center"/>
          </w:tcPr>
          <w:p w14:paraId="31621D9C" w14:textId="77777777" w:rsidR="00B14E38" w:rsidRPr="00DF11E2" w:rsidRDefault="00B14E38" w:rsidP="004F6427">
            <w:pPr>
              <w:jc w:val="left"/>
            </w:pPr>
            <w:r w:rsidRPr="00DF11E2">
              <w:t>19,3</w:t>
            </w:r>
            <w:r w:rsidRPr="00DF11E2">
              <w:rPr>
                <w:rFonts w:ascii="Arial" w:hAnsi="Arial" w:cs="Arial"/>
              </w:rPr>
              <w:t> </w:t>
            </w:r>
            <w:r w:rsidRPr="00DF11E2">
              <w:t>%</w:t>
            </w:r>
          </w:p>
        </w:tc>
      </w:tr>
      <w:tr w:rsidR="00B14E38" w:rsidRPr="00DF11E2" w14:paraId="5D34C0D1" w14:textId="77777777" w:rsidTr="00DF11E2">
        <w:trPr>
          <w:trHeight w:val="20"/>
        </w:trPr>
        <w:tc>
          <w:tcPr>
            <w:tcW w:w="4536" w:type="dxa"/>
            <w:vAlign w:val="center"/>
          </w:tcPr>
          <w:p w14:paraId="2C83165D" w14:textId="77777777" w:rsidR="00B14E38" w:rsidRPr="00DF11E2" w:rsidRDefault="00B14E38" w:rsidP="004F6427">
            <w:pPr>
              <w:jc w:val="right"/>
            </w:pPr>
            <w:r w:rsidRPr="00DF11E2">
              <w:t>Por ser hombre o mujer</w:t>
            </w:r>
          </w:p>
        </w:tc>
        <w:tc>
          <w:tcPr>
            <w:tcW w:w="2694" w:type="dxa"/>
            <w:vAlign w:val="center"/>
          </w:tcPr>
          <w:p w14:paraId="3BFDB904" w14:textId="77777777" w:rsidR="00B14E38" w:rsidRPr="00DF11E2" w:rsidRDefault="00B14E38" w:rsidP="004F6427">
            <w:pPr>
              <w:jc w:val="center"/>
            </w:pPr>
            <w:r w:rsidRPr="00DF11E2">
              <w:t>81.453</w:t>
            </w:r>
          </w:p>
        </w:tc>
        <w:tc>
          <w:tcPr>
            <w:tcW w:w="1608" w:type="dxa"/>
            <w:vAlign w:val="center"/>
          </w:tcPr>
          <w:p w14:paraId="0FAF9005" w14:textId="77777777" w:rsidR="00B14E38" w:rsidRPr="00DF11E2" w:rsidRDefault="00B14E38" w:rsidP="004F6427">
            <w:pPr>
              <w:jc w:val="left"/>
            </w:pPr>
            <w:r w:rsidRPr="00DF11E2">
              <w:t>14</w:t>
            </w:r>
            <w:r w:rsidRPr="00DF11E2">
              <w:rPr>
                <w:rFonts w:ascii="Arial" w:hAnsi="Arial" w:cs="Arial"/>
              </w:rPr>
              <w:t> </w:t>
            </w:r>
            <w:r w:rsidRPr="00DF11E2">
              <w:t>%</w:t>
            </w:r>
          </w:p>
        </w:tc>
      </w:tr>
      <w:tr w:rsidR="00B14E38" w:rsidRPr="00DF11E2" w14:paraId="2F1F28D4" w14:textId="77777777" w:rsidTr="00DF11E2">
        <w:trPr>
          <w:trHeight w:val="20"/>
        </w:trPr>
        <w:tc>
          <w:tcPr>
            <w:tcW w:w="4536" w:type="dxa"/>
            <w:vAlign w:val="center"/>
          </w:tcPr>
          <w:p w14:paraId="4BD60A2F" w14:textId="77777777" w:rsidR="00B14E38" w:rsidRPr="00DF11E2" w:rsidRDefault="00B14E38" w:rsidP="004F6427">
            <w:pPr>
              <w:jc w:val="right"/>
            </w:pPr>
            <w:r w:rsidRPr="00DF11E2">
              <w:t>Por sus creencias religiosas</w:t>
            </w:r>
          </w:p>
        </w:tc>
        <w:tc>
          <w:tcPr>
            <w:tcW w:w="2694" w:type="dxa"/>
            <w:vAlign w:val="center"/>
          </w:tcPr>
          <w:p w14:paraId="6D519B5E" w14:textId="77777777" w:rsidR="00B14E38" w:rsidRPr="00DF11E2" w:rsidRDefault="00B14E38" w:rsidP="004F6427">
            <w:pPr>
              <w:jc w:val="center"/>
            </w:pPr>
            <w:r w:rsidRPr="00DF11E2">
              <w:t>40.883</w:t>
            </w:r>
          </w:p>
        </w:tc>
        <w:tc>
          <w:tcPr>
            <w:tcW w:w="1608" w:type="dxa"/>
            <w:vAlign w:val="center"/>
          </w:tcPr>
          <w:p w14:paraId="6EC24D5F" w14:textId="77777777" w:rsidR="00B14E38" w:rsidRPr="00DF11E2" w:rsidRDefault="00B14E38" w:rsidP="004F6427">
            <w:pPr>
              <w:jc w:val="left"/>
            </w:pPr>
            <w:r w:rsidRPr="00DF11E2">
              <w:t>7</w:t>
            </w:r>
            <w:r w:rsidRPr="00DF11E2">
              <w:rPr>
                <w:rFonts w:ascii="Arial" w:hAnsi="Arial" w:cs="Arial"/>
              </w:rPr>
              <w:t> </w:t>
            </w:r>
            <w:r w:rsidRPr="00DF11E2">
              <w:t>%</w:t>
            </w:r>
          </w:p>
        </w:tc>
      </w:tr>
      <w:tr w:rsidR="00B14E38" w:rsidRPr="00DF11E2" w14:paraId="710766E8" w14:textId="77777777" w:rsidTr="00DF11E2">
        <w:trPr>
          <w:trHeight w:val="20"/>
        </w:trPr>
        <w:tc>
          <w:tcPr>
            <w:tcW w:w="4536" w:type="dxa"/>
            <w:vAlign w:val="center"/>
          </w:tcPr>
          <w:p w14:paraId="596E1578" w14:textId="77777777" w:rsidR="00B14E38" w:rsidRPr="00DF11E2" w:rsidRDefault="00B14E38" w:rsidP="004F6427">
            <w:pPr>
              <w:jc w:val="right"/>
            </w:pPr>
            <w:r w:rsidRPr="00DF11E2">
              <w:t>Por su raza u origen étnico</w:t>
            </w:r>
          </w:p>
        </w:tc>
        <w:tc>
          <w:tcPr>
            <w:tcW w:w="2694" w:type="dxa"/>
            <w:vAlign w:val="center"/>
          </w:tcPr>
          <w:p w14:paraId="6F3A8F3B" w14:textId="77777777" w:rsidR="00B14E38" w:rsidRPr="00DF11E2" w:rsidRDefault="00B14E38" w:rsidP="004F6427">
            <w:pPr>
              <w:jc w:val="center"/>
            </w:pPr>
            <w:r w:rsidRPr="00DF11E2">
              <w:t>34.411</w:t>
            </w:r>
          </w:p>
        </w:tc>
        <w:tc>
          <w:tcPr>
            <w:tcW w:w="1608" w:type="dxa"/>
            <w:vAlign w:val="center"/>
          </w:tcPr>
          <w:p w14:paraId="3495C731" w14:textId="77777777" w:rsidR="00B14E38" w:rsidRPr="00DF11E2" w:rsidRDefault="00B14E38" w:rsidP="004F6427">
            <w:pPr>
              <w:jc w:val="left"/>
            </w:pPr>
            <w:r w:rsidRPr="00DF11E2">
              <w:t>5,9</w:t>
            </w:r>
            <w:r w:rsidRPr="00DF11E2">
              <w:rPr>
                <w:rFonts w:ascii="Arial" w:hAnsi="Arial" w:cs="Arial"/>
              </w:rPr>
              <w:t> </w:t>
            </w:r>
            <w:r w:rsidRPr="00DF11E2">
              <w:t>%</w:t>
            </w:r>
          </w:p>
        </w:tc>
      </w:tr>
      <w:tr w:rsidR="00B14E38" w:rsidRPr="00DF11E2" w14:paraId="2EE31395" w14:textId="77777777" w:rsidTr="00DF11E2">
        <w:trPr>
          <w:trHeight w:val="20"/>
        </w:trPr>
        <w:tc>
          <w:tcPr>
            <w:tcW w:w="4536" w:type="dxa"/>
            <w:vAlign w:val="center"/>
          </w:tcPr>
          <w:p w14:paraId="4403D6C1" w14:textId="77777777" w:rsidR="00B14E38" w:rsidRPr="00DF11E2" w:rsidRDefault="00B14E38" w:rsidP="004F6427">
            <w:pPr>
              <w:jc w:val="right"/>
            </w:pPr>
            <w:r w:rsidRPr="00DF11E2">
              <w:t>Por su origen campesino</w:t>
            </w:r>
          </w:p>
        </w:tc>
        <w:tc>
          <w:tcPr>
            <w:tcW w:w="2694" w:type="dxa"/>
            <w:vAlign w:val="center"/>
          </w:tcPr>
          <w:p w14:paraId="62528958" w14:textId="77777777" w:rsidR="00B14E38" w:rsidRPr="00DF11E2" w:rsidRDefault="00B14E38" w:rsidP="004F6427">
            <w:pPr>
              <w:jc w:val="center"/>
            </w:pPr>
            <w:r w:rsidRPr="00DF11E2">
              <w:t>21.313</w:t>
            </w:r>
          </w:p>
        </w:tc>
        <w:tc>
          <w:tcPr>
            <w:tcW w:w="1608" w:type="dxa"/>
            <w:vAlign w:val="center"/>
          </w:tcPr>
          <w:p w14:paraId="136BF001" w14:textId="77777777" w:rsidR="00B14E38" w:rsidRPr="00DF11E2" w:rsidRDefault="00B14E38" w:rsidP="004F6427">
            <w:pPr>
              <w:jc w:val="left"/>
            </w:pPr>
            <w:r w:rsidRPr="00DF11E2">
              <w:t>3,7</w:t>
            </w:r>
            <w:r w:rsidRPr="00DF11E2">
              <w:rPr>
                <w:rFonts w:ascii="Arial" w:hAnsi="Arial" w:cs="Arial"/>
              </w:rPr>
              <w:t> </w:t>
            </w:r>
            <w:r w:rsidRPr="00DF11E2">
              <w:t>%</w:t>
            </w:r>
          </w:p>
        </w:tc>
      </w:tr>
      <w:tr w:rsidR="00B14E38" w:rsidRPr="00DF11E2" w14:paraId="6CB23631" w14:textId="77777777" w:rsidTr="00DF11E2">
        <w:trPr>
          <w:trHeight w:val="20"/>
        </w:trPr>
        <w:tc>
          <w:tcPr>
            <w:tcW w:w="4536" w:type="dxa"/>
            <w:vAlign w:val="center"/>
          </w:tcPr>
          <w:p w14:paraId="5872FDF7" w14:textId="77777777" w:rsidR="00B14E38" w:rsidRPr="00DF11E2" w:rsidRDefault="00B14E38" w:rsidP="004F6427">
            <w:pPr>
              <w:jc w:val="right"/>
            </w:pPr>
            <w:r w:rsidRPr="00DF11E2">
              <w:t>Por ser de los sectores LGTBI</w:t>
            </w:r>
          </w:p>
        </w:tc>
        <w:tc>
          <w:tcPr>
            <w:tcW w:w="2694" w:type="dxa"/>
            <w:vAlign w:val="center"/>
          </w:tcPr>
          <w:p w14:paraId="4E85C778" w14:textId="77777777" w:rsidR="00B14E38" w:rsidRPr="00DF11E2" w:rsidRDefault="00B14E38" w:rsidP="004F6427">
            <w:pPr>
              <w:jc w:val="center"/>
            </w:pPr>
            <w:r w:rsidRPr="00DF11E2">
              <w:t>19.333</w:t>
            </w:r>
          </w:p>
        </w:tc>
        <w:tc>
          <w:tcPr>
            <w:tcW w:w="1608" w:type="dxa"/>
            <w:vAlign w:val="center"/>
          </w:tcPr>
          <w:p w14:paraId="7D421F28" w14:textId="77777777" w:rsidR="00B14E38" w:rsidRPr="00DF11E2" w:rsidRDefault="00B14E38" w:rsidP="004F6427">
            <w:pPr>
              <w:jc w:val="left"/>
            </w:pPr>
            <w:r w:rsidRPr="00DF11E2">
              <w:t>3,3</w:t>
            </w:r>
            <w:r w:rsidRPr="00DF11E2">
              <w:rPr>
                <w:rFonts w:ascii="Arial" w:hAnsi="Arial" w:cs="Arial"/>
              </w:rPr>
              <w:t> </w:t>
            </w:r>
            <w:r w:rsidRPr="00DF11E2">
              <w:t>%</w:t>
            </w:r>
          </w:p>
        </w:tc>
      </w:tr>
      <w:tr w:rsidR="00B14E38" w:rsidRPr="00DF11E2" w14:paraId="409FC873" w14:textId="77777777" w:rsidTr="00DF11E2">
        <w:trPr>
          <w:trHeight w:val="20"/>
        </w:trPr>
        <w:tc>
          <w:tcPr>
            <w:tcW w:w="4536" w:type="dxa"/>
            <w:vAlign w:val="center"/>
          </w:tcPr>
          <w:p w14:paraId="0BD5EEF7" w14:textId="77777777" w:rsidR="00B14E38" w:rsidRPr="00DF11E2" w:rsidRDefault="00B14E38" w:rsidP="004F6427">
            <w:pPr>
              <w:jc w:val="right"/>
            </w:pPr>
            <w:r w:rsidRPr="00DF11E2">
              <w:t>Por sentirse identificado con algún grupo como metaleros, skinhead, emos, entre otros</w:t>
            </w:r>
          </w:p>
        </w:tc>
        <w:tc>
          <w:tcPr>
            <w:tcW w:w="2694" w:type="dxa"/>
            <w:vAlign w:val="center"/>
          </w:tcPr>
          <w:p w14:paraId="293D2245" w14:textId="77777777" w:rsidR="00B14E38" w:rsidRPr="00DF11E2" w:rsidRDefault="00B14E38" w:rsidP="004F6427">
            <w:pPr>
              <w:jc w:val="center"/>
            </w:pPr>
            <w:r w:rsidRPr="00DF11E2">
              <w:t>10.502</w:t>
            </w:r>
          </w:p>
        </w:tc>
        <w:tc>
          <w:tcPr>
            <w:tcW w:w="1608" w:type="dxa"/>
            <w:vAlign w:val="center"/>
          </w:tcPr>
          <w:p w14:paraId="29586ECF" w14:textId="77777777" w:rsidR="00B14E38" w:rsidRPr="00DF11E2" w:rsidRDefault="00B14E38" w:rsidP="004F6427">
            <w:pPr>
              <w:jc w:val="left"/>
            </w:pPr>
            <w:r w:rsidRPr="00DF11E2">
              <w:t>1,8</w:t>
            </w:r>
            <w:r w:rsidRPr="00DF11E2">
              <w:rPr>
                <w:rFonts w:ascii="Arial" w:hAnsi="Arial" w:cs="Arial"/>
              </w:rPr>
              <w:t> </w:t>
            </w:r>
            <w:r w:rsidRPr="00DF11E2">
              <w:t>%</w:t>
            </w:r>
          </w:p>
        </w:tc>
      </w:tr>
      <w:tr w:rsidR="00B14E38" w:rsidRPr="00DF11E2" w14:paraId="6E3AEBDE" w14:textId="77777777" w:rsidTr="00DF11E2">
        <w:trPr>
          <w:trHeight w:val="20"/>
        </w:trPr>
        <w:tc>
          <w:tcPr>
            <w:tcW w:w="4536" w:type="dxa"/>
            <w:shd w:val="clear" w:color="auto" w:fill="C00000"/>
            <w:vAlign w:val="center"/>
          </w:tcPr>
          <w:p w14:paraId="4CD9C808" w14:textId="77777777" w:rsidR="00B14E38" w:rsidRPr="00DF11E2" w:rsidRDefault="00B14E38" w:rsidP="004F6427">
            <w:pPr>
              <w:jc w:val="right"/>
              <w:rPr>
                <w:b/>
                <w:bCs/>
                <w:color w:val="FFFFFF" w:themeColor="background1"/>
              </w:rPr>
            </w:pPr>
            <w:r w:rsidRPr="00DF11E2">
              <w:rPr>
                <w:b/>
                <w:bCs/>
                <w:color w:val="FFFFFF" w:themeColor="background1"/>
              </w:rPr>
              <w:t>Total</w:t>
            </w:r>
          </w:p>
        </w:tc>
        <w:tc>
          <w:tcPr>
            <w:tcW w:w="2694" w:type="dxa"/>
            <w:shd w:val="clear" w:color="auto" w:fill="C00000"/>
            <w:vAlign w:val="center"/>
          </w:tcPr>
          <w:p w14:paraId="59DBB618" w14:textId="77777777" w:rsidR="00B14E38" w:rsidRPr="00DF11E2" w:rsidRDefault="00B14E38" w:rsidP="004F6427">
            <w:pPr>
              <w:jc w:val="center"/>
              <w:rPr>
                <w:b/>
                <w:bCs/>
                <w:color w:val="FFFFFF" w:themeColor="background1"/>
              </w:rPr>
            </w:pPr>
            <w:r w:rsidRPr="00DF11E2">
              <w:rPr>
                <w:b/>
                <w:bCs/>
                <w:color w:val="FFFFFF" w:themeColor="background1"/>
              </w:rPr>
              <w:t>580.628</w:t>
            </w:r>
          </w:p>
        </w:tc>
        <w:tc>
          <w:tcPr>
            <w:tcW w:w="1608" w:type="dxa"/>
            <w:shd w:val="clear" w:color="auto" w:fill="C00000"/>
            <w:vAlign w:val="center"/>
          </w:tcPr>
          <w:p w14:paraId="5CE592BB" w14:textId="77777777" w:rsidR="00B14E38" w:rsidRPr="00DF11E2" w:rsidRDefault="00B14E38" w:rsidP="004F6427">
            <w:pPr>
              <w:jc w:val="left"/>
              <w:rPr>
                <w:b/>
                <w:bCs/>
                <w:color w:val="FFFFFF" w:themeColor="background1"/>
              </w:rPr>
            </w:pPr>
            <w:r w:rsidRPr="00DF11E2">
              <w:rPr>
                <w:b/>
                <w:bCs/>
                <w:color w:val="FFFFFF" w:themeColor="background1"/>
              </w:rPr>
              <w:t>9,6</w:t>
            </w:r>
            <w:r w:rsidRPr="00DF11E2">
              <w:rPr>
                <w:rFonts w:ascii="Arial" w:hAnsi="Arial" w:cs="Arial"/>
                <w:b/>
                <w:bCs/>
                <w:color w:val="FFFFFF" w:themeColor="background1"/>
              </w:rPr>
              <w:t> </w:t>
            </w:r>
            <w:r w:rsidRPr="00DF11E2">
              <w:rPr>
                <w:b/>
                <w:bCs/>
                <w:color w:val="FFFFFF" w:themeColor="background1"/>
              </w:rPr>
              <w:t>%</w:t>
            </w:r>
          </w:p>
        </w:tc>
      </w:tr>
    </w:tbl>
    <w:p w14:paraId="65779EFA" w14:textId="77777777" w:rsidR="00B14E38" w:rsidRPr="00425738" w:rsidRDefault="00B14E38" w:rsidP="00B14E38">
      <w:pPr>
        <w:pStyle w:val="figuratitulo"/>
        <w:rPr>
          <w:color w:val="3B3838" w:themeColor="background2" w:themeShade="40"/>
        </w:rPr>
      </w:pPr>
      <w:r w:rsidRPr="00425738">
        <w:rPr>
          <w:i/>
          <w:iCs/>
          <w:color w:val="3B3838" w:themeColor="background2" w:themeShade="40"/>
        </w:rPr>
        <w:t>Fuente:</w:t>
      </w:r>
      <w:r w:rsidRPr="00425738">
        <w:rPr>
          <w:color w:val="3B3838" w:themeColor="background2" w:themeShade="40"/>
        </w:rPr>
        <w:t xml:space="preserve"> EMB, DANE (2021).</w:t>
      </w:r>
    </w:p>
    <w:p w14:paraId="391ADC6D" w14:textId="77777777" w:rsidR="00B14E38" w:rsidRPr="00B944E8" w:rsidRDefault="00B14E38" w:rsidP="00B14E38">
      <w:pPr>
        <w:spacing w:line="480" w:lineRule="auto"/>
        <w:rPr>
          <w:rFonts w:ascii="Times New Roman" w:hAnsi="Times New Roman"/>
          <w:sz w:val="24"/>
          <w:highlight w:val="white"/>
        </w:rPr>
      </w:pPr>
    </w:p>
    <w:p w14:paraId="568701E3"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4B313D1D" w14:textId="77777777" w:rsidR="00DD6134" w:rsidRDefault="00DD6134" w:rsidP="00DD6134">
      <w:r>
        <w:t xml:space="preserve">Otro de los grupos poblacionales que se ven afectados por la discriminación es la población migrante y en condición de refugiada. Bogotá se ha posicionado como una ciudad con una firme </w:t>
      </w:r>
      <w:r>
        <w:t xml:space="preserve">vocación receptora de personas desplazadas transnacionales, pero estas evidencian condiciones de vulnerabilidad incluso desde el acceso a la salud; principalmente, para quienes </w:t>
      </w:r>
      <w:r>
        <w:lastRenderedPageBreak/>
        <w:t>presentan estado migratorio y de permanencia irregular. Las limitaciones en el acceso a los beneficios de protección específica y temprana de la Ruta Integral de Atención en Salud Materno-Perinatal propició que eventos como la sífilis gestacional, ligada a la salud materno-infantil, se convierta en un evento marcado por el fenómeno migratorio. Para 2023* (datos preliminares), el 38,4</w:t>
      </w:r>
      <w:r>
        <w:rPr>
          <w:rFonts w:ascii="Arial" w:hAnsi="Arial" w:cs="Arial"/>
        </w:rPr>
        <w:t> </w:t>
      </w:r>
      <w:r>
        <w:t>% de los casos se presentaron en poblaci</w:t>
      </w:r>
      <w:r>
        <w:rPr>
          <w:rFonts w:cs="Candara"/>
        </w:rPr>
        <w:t>ó</w:t>
      </w:r>
      <w:r>
        <w:t>n extranjera.</w:t>
      </w:r>
    </w:p>
    <w:p w14:paraId="3B025A2D" w14:textId="77777777" w:rsidR="00DD6134" w:rsidRDefault="00DD6134" w:rsidP="00DD6134"/>
    <w:p w14:paraId="644A459D" w14:textId="77777777" w:rsidR="00DD6134" w:rsidRDefault="00DD6134" w:rsidP="00DD6134">
      <w:r>
        <w:t>La población mayor de 60 años —lo que hoy se conoce como la “nueva longevidad”— es también otro de los grupos poblacionales que se han sentido excluidos. Este grupo poblacional, que, dados los cambios en la pirámide demográfica de la ciudad, hoy representa el 14,8</w:t>
      </w:r>
      <w:r>
        <w:rPr>
          <w:rFonts w:ascii="Arial" w:hAnsi="Arial" w:cs="Arial"/>
        </w:rPr>
        <w:t> </w:t>
      </w:r>
      <w:r>
        <w:t>% de la poblaci</w:t>
      </w:r>
      <w:r>
        <w:rPr>
          <w:rFonts w:cs="Candara"/>
        </w:rPr>
        <w:t>ó</w:t>
      </w:r>
      <w:r>
        <w:t>n (1,1 millones de personas mayores de 60 a</w:t>
      </w:r>
      <w:r>
        <w:rPr>
          <w:rFonts w:cs="Candara"/>
        </w:rPr>
        <w:t>ñ</w:t>
      </w:r>
      <w:r>
        <w:t>os), han presentado limitaciones para mantenerse en el sector productivo, acceso a la salud y la educaci</w:t>
      </w:r>
      <w:r>
        <w:rPr>
          <w:rFonts w:cs="Candara"/>
        </w:rPr>
        <w:t>ó</w:t>
      </w:r>
      <w:r>
        <w:t>n, entre otros (SPD, 2022).</w:t>
      </w:r>
    </w:p>
    <w:p w14:paraId="59B5867C" w14:textId="77777777" w:rsidR="00DD6134" w:rsidRDefault="00DD6134" w:rsidP="00DD6134"/>
    <w:p w14:paraId="49308F3C" w14:textId="77777777" w:rsidR="009B792B" w:rsidRDefault="00DD6134" w:rsidP="00DD6134">
      <w:r>
        <w:t xml:space="preserve">La exclusión y discriminación en la ciudad se sigue manteniendo en razón del género; las mujeres, en sus diferencias y diversidades, siguen viviendo en condiciones de desigualdad e inequidad que impiden la garantía plena de sus derechos. Solo por mencionar algunos datos al respecto, según la línea de base del Sistema Distrital de Cuidado (SIDICU) (2022), en Bogotá, mientras 9 de cada 10 mujeres realizan trabajos domésticos y de cuidado no remunerados, solo 7 de cada 10 hombres lo hacen. Además, las mujeres en Bogotá destinan 2 horas y 35 minutos diarios más que los hombres a estos trabajos. Por su parte, las mujeres cuidadoras dedican, en promedio, 11 horas y 45 minutos diarios al trabajo doméstico y de cuidado no remunerado, mientras que los hombres no cuidadores dedican, en promedio, 1 hora y 49 minutos diarios a actividades de cuidado y oficios del hogar. Es decir, hay una brecha en contra de las mujeres cuidadoras de 9 horas y 55 minutos. Finalmente, y </w:t>
      </w:r>
      <w:r>
        <w:t>por destacar algunos de los otros datos, el 90</w:t>
      </w:r>
      <w:r>
        <w:rPr>
          <w:rFonts w:ascii="Arial" w:hAnsi="Arial" w:cs="Arial"/>
        </w:rPr>
        <w:t> </w:t>
      </w:r>
      <w:r>
        <w:t>% de mujeres que se dedican al trabajo doméstico no remunerado no realizan ninguna otra actividad laboral. Esto puede hablar de una pobreza de tiempo para gozar de otros derechos. Por ejemplo, su baja participación en eventos culturales es del 8</w:t>
      </w:r>
      <w:r>
        <w:rPr>
          <w:rFonts w:ascii="Arial" w:hAnsi="Arial" w:cs="Arial"/>
        </w:rPr>
        <w:t> </w:t>
      </w:r>
      <w:r>
        <w:t>%; en eventos deportivos, del 54</w:t>
      </w:r>
      <w:r>
        <w:rPr>
          <w:rFonts w:ascii="Arial" w:hAnsi="Arial" w:cs="Arial"/>
        </w:rPr>
        <w:t> </w:t>
      </w:r>
      <w:r>
        <w:t>%, y en la pr</w:t>
      </w:r>
      <w:r>
        <w:rPr>
          <w:rFonts w:cs="Candara"/>
        </w:rPr>
        <w:t>á</w:t>
      </w:r>
      <w:r>
        <w:t>ctica de deportes, del 45</w:t>
      </w:r>
      <w:r>
        <w:rPr>
          <w:rFonts w:ascii="Arial" w:hAnsi="Arial" w:cs="Arial"/>
        </w:rPr>
        <w:t> </w:t>
      </w:r>
      <w:r>
        <w:t>%. La l</w:t>
      </w:r>
      <w:r>
        <w:rPr>
          <w:rFonts w:cs="Candara"/>
        </w:rPr>
        <w:t>í</w:t>
      </w:r>
      <w:r>
        <w:t>nea de base del SIDICU tambi</w:t>
      </w:r>
      <w:r>
        <w:rPr>
          <w:rFonts w:cs="Candara"/>
        </w:rPr>
        <w:t>é</w:t>
      </w:r>
      <w:r>
        <w:t>n mostr</w:t>
      </w:r>
      <w:r>
        <w:rPr>
          <w:rFonts w:cs="Candara"/>
        </w:rPr>
        <w:t>ó</w:t>
      </w:r>
      <w:r>
        <w:t xml:space="preserve"> que en la ciudad se mantienen creencias sobre el cuidado de las otras personas: se hace evidente que m</w:t>
      </w:r>
      <w:r>
        <w:rPr>
          <w:rFonts w:cs="Candara"/>
        </w:rPr>
        <w:t>á</w:t>
      </w:r>
      <w:r>
        <w:t>s de la mitad de las personas en Bogot</w:t>
      </w:r>
      <w:r>
        <w:rPr>
          <w:rFonts w:cs="Candara"/>
        </w:rPr>
        <w:t>á</w:t>
      </w:r>
      <w:r>
        <w:t xml:space="preserve"> perpet</w:t>
      </w:r>
      <w:r>
        <w:rPr>
          <w:rFonts w:cs="Candara"/>
        </w:rPr>
        <w:t>ú</w:t>
      </w:r>
      <w:r>
        <w:t>an ideas sobre el cuidado que impiden la redistribución, reducción y el reconocimiento de este.</w:t>
      </w:r>
    </w:p>
    <w:p w14:paraId="105D8D00" w14:textId="392B322C" w:rsidR="00DD6134" w:rsidRDefault="00DD6134" w:rsidP="00DD6134">
      <w:r>
        <w:t xml:space="preserve"> </w:t>
      </w:r>
    </w:p>
    <w:p w14:paraId="6FF7013A" w14:textId="77777777" w:rsidR="00DD6134" w:rsidRDefault="00DD6134" w:rsidP="00DD6134">
      <w:r>
        <w:t>Otras de las expresiones de esa exclusión y discriminación se evidencian en la participación de las mujeres en Bogotá. Los modelos de participación de algunas instancias siguen sin reconocer las condiciones de vida de las mujeres de la ciudad, sus ritmos de trabajo, tanto remunerado, como de cuidado y comunitario. La línea de base de la Política Pública de Mujer y Equidad de Género estableció que la principal razón por la que las mujeres no participan en organizaciones sociales fue la falta de tiempo (40</w:t>
      </w:r>
      <w:r>
        <w:rPr>
          <w:rFonts w:ascii="Arial" w:hAnsi="Arial" w:cs="Arial"/>
        </w:rPr>
        <w:t> </w:t>
      </w:r>
      <w:r>
        <w:t>%), seguida del desconocimiento de organizaciones (20</w:t>
      </w:r>
      <w:r>
        <w:rPr>
          <w:rFonts w:ascii="Arial" w:hAnsi="Arial" w:cs="Arial"/>
        </w:rPr>
        <w:t> </w:t>
      </w:r>
      <w:r>
        <w:t>%), la falta de inter</w:t>
      </w:r>
      <w:r>
        <w:rPr>
          <w:rFonts w:cs="Candara"/>
        </w:rPr>
        <w:t>é</w:t>
      </w:r>
      <w:r>
        <w:t>s (13</w:t>
      </w:r>
      <w:r>
        <w:rPr>
          <w:rFonts w:ascii="Arial" w:hAnsi="Arial" w:cs="Arial"/>
        </w:rPr>
        <w:t> </w:t>
      </w:r>
      <w:r>
        <w:t>%) o la desconfianza en estos espacios (10</w:t>
      </w:r>
      <w:r>
        <w:rPr>
          <w:rFonts w:ascii="Arial" w:hAnsi="Arial" w:cs="Arial"/>
        </w:rPr>
        <w:t> </w:t>
      </w:r>
      <w:r>
        <w:t>%).</w:t>
      </w:r>
    </w:p>
    <w:p w14:paraId="71F7122B" w14:textId="77777777" w:rsidR="00DD6134" w:rsidRDefault="00DD6134" w:rsidP="00DD6134"/>
    <w:p w14:paraId="509E86AF" w14:textId="2E80DE74" w:rsidR="00B14E38" w:rsidRPr="00B944E8" w:rsidRDefault="00DD6134" w:rsidP="00DD6134">
      <w:pPr>
        <w:rPr>
          <w:highlight w:val="white"/>
        </w:rPr>
      </w:pPr>
      <w:r>
        <w:t>Las diferencias en acceso y oportunidades que se presentan en la ciudad para estos grupos poblacionales se deben a diferentes factores, tales como: la ausencia de una cultura ciudadana de mayor inclusión —tema en el que se ha venido trabajando, y que ha arrojado resultados positivos—; el poco cumplimiento de las políticas poblaciones ya existentes; la desarticulación entre las entidades responsables de garantizar el acceso a los servicios de estas personas, y el poco entendimiento de las reales necesidades de cada uno de estos grupos, entre otras razones</w:t>
      </w:r>
      <w:r w:rsidR="00B14E38" w:rsidRPr="00B944E8">
        <w:rPr>
          <w:highlight w:val="white"/>
        </w:rPr>
        <w:t>.</w:t>
      </w:r>
    </w:p>
    <w:p w14:paraId="6CA1D6B1"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num="2" w:space="567"/>
          <w:docGrid w:linePitch="299"/>
        </w:sectPr>
      </w:pPr>
    </w:p>
    <w:p w14:paraId="17B62C74" w14:textId="77777777" w:rsidR="00B14E38" w:rsidRPr="00B944E8" w:rsidRDefault="00B14E38" w:rsidP="00B14E38">
      <w:pPr>
        <w:spacing w:line="480" w:lineRule="auto"/>
        <w:rPr>
          <w:rFonts w:ascii="Times New Roman" w:hAnsi="Times New Roman"/>
          <w:sz w:val="24"/>
          <w:highlight w:val="white"/>
        </w:rPr>
      </w:pPr>
    </w:p>
    <w:p w14:paraId="57386FC5" w14:textId="77777777" w:rsidR="003955DA" w:rsidRDefault="003955DA">
      <w:pPr>
        <w:spacing w:line="240" w:lineRule="auto"/>
        <w:jc w:val="left"/>
        <w:rPr>
          <w:rFonts w:eastAsiaTheme="majorEastAsia" w:cstheme="majorBidi"/>
          <w:b/>
          <w:color w:val="C00000"/>
          <w:sz w:val="28"/>
          <w:szCs w:val="26"/>
          <w:lang w:eastAsia="en-US"/>
        </w:rPr>
      </w:pPr>
      <w:r>
        <w:rPr>
          <w:color w:val="C00000"/>
        </w:rPr>
        <w:br w:type="page"/>
      </w:r>
    </w:p>
    <w:p w14:paraId="42D42433" w14:textId="2B24CDC1" w:rsidR="00B14E38" w:rsidRPr="003955DA" w:rsidRDefault="00B14E38" w:rsidP="003955DA">
      <w:pPr>
        <w:ind w:firstLine="708"/>
        <w:rPr>
          <w:b/>
          <w:bCs/>
          <w:sz w:val="24"/>
          <w:szCs w:val="28"/>
        </w:rPr>
      </w:pPr>
      <w:r w:rsidRPr="003955DA">
        <w:rPr>
          <w:b/>
          <w:bCs/>
          <w:sz w:val="24"/>
          <w:szCs w:val="28"/>
        </w:rPr>
        <w:lastRenderedPageBreak/>
        <w:t>Descripción del programa</w:t>
      </w:r>
    </w:p>
    <w:p w14:paraId="5F7D8BFF"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1A39A8F1" w14:textId="77777777" w:rsidR="003955DA" w:rsidRDefault="003955DA" w:rsidP="003955DA">
      <w:r>
        <w:t>Con el objetivo de lograr un acceso efectivo a los diferentes grupos poblacionales y diferenciales a los servicios sociales y, en especial, buscando que la ciudad sea, aún más, garante de derechos, equitativa e incluyente, se proponen cuatro grandes acciones.</w:t>
      </w:r>
    </w:p>
    <w:p w14:paraId="3112D967" w14:textId="77777777" w:rsidR="003955DA" w:rsidRDefault="003955DA" w:rsidP="003955DA"/>
    <w:p w14:paraId="3B2B1292" w14:textId="77777777" w:rsidR="003955DA" w:rsidRDefault="003955DA" w:rsidP="003955DA">
      <w:r>
        <w:t>La primera de dichas acciones se orienta a fortalecer las rutas para la prevención de vulneraciones de los derechos humanos de mujeres, personas de los sectores sociales LGTBI, víctimas de trata de personas, víctimas de abuso de autoridad, defensores y defensoras de derechos humanos, población en proceso de reintegración o reincorporación y derechos fundamentales de religión, culto y conciencia, de manera que estas personas reciban orientación y atención sociojurídica, así como formación en derechos humanos, y ampliación de espacios de difusión de las rutas de atención en las localidades.</w:t>
      </w:r>
    </w:p>
    <w:p w14:paraId="7E742FD2" w14:textId="77777777" w:rsidR="003955DA" w:rsidRDefault="003955DA" w:rsidP="003955DA"/>
    <w:p w14:paraId="4A5B81C0" w14:textId="77777777" w:rsidR="003955DA" w:rsidRDefault="003955DA" w:rsidP="003955DA">
      <w:r>
        <w:t>Como complemento de lo anterior, estas rutas se refuerzan con procesos de sensibilización en asuntos étnicos, como una medida para combatir el racismo y la discriminación; así mismo, desarrolla una ruta para el cambio cultural, en pro de la inclusión social y productiva, y de la no discriminación de la población LGTBI, y gestiona acciones de cooperación técnica nacional e internacional para el fortalecimiento de la política pública LGTBI.</w:t>
      </w:r>
    </w:p>
    <w:p w14:paraId="338D8355" w14:textId="77777777" w:rsidR="003955DA" w:rsidRDefault="003955DA" w:rsidP="003955DA"/>
    <w:p w14:paraId="56F432E3" w14:textId="77777777" w:rsidR="003955DA" w:rsidRDefault="003955DA" w:rsidP="003955DA">
      <w:r>
        <w:t>Tal apuesta busca, también, fortalecer capacidades y promover alternativas para la inclusión social y productiva de las personas de los sectores sociales LGBTI, sus familias y redes de apoyo en la sociedad contribuyendo a la garantía y goce pleno de sus derechos a través de la adaptación y ampliación de servicios para la atención diferencial de esta población.</w:t>
      </w:r>
    </w:p>
    <w:p w14:paraId="71511497" w14:textId="77777777" w:rsidR="003955DA" w:rsidRDefault="003955DA" w:rsidP="003955DA"/>
    <w:p w14:paraId="4E8FD4CC" w14:textId="77777777" w:rsidR="003955DA" w:rsidRDefault="003955DA" w:rsidP="003955DA">
      <w:r>
        <w:t xml:space="preserve">Igualmente, para las personas mayores y personas con discapacidad y sus cuidadoras y cuidadores se brindarán espacios que permiten su cuidado integral para favorecer la construcción </w:t>
      </w:r>
      <w:r>
        <w:t>del proyecto de vida individual y el de sus familias. Así mismo, se coordinarán acciones encaminadas a prevenir y atender a las víctimas de violencia en el interior de la familia, el abuso y explotación sexual en NNA, con énfasis en violencia sexual en el contexto familiar, y que se articularán con la Estrategia País de la Policía Nacional.</w:t>
      </w:r>
    </w:p>
    <w:p w14:paraId="7EE37E55" w14:textId="77777777" w:rsidR="003955DA" w:rsidRDefault="003955DA" w:rsidP="003955DA"/>
    <w:p w14:paraId="7872761E" w14:textId="77777777" w:rsidR="003955DA" w:rsidRDefault="003955DA" w:rsidP="003955DA">
      <w:r>
        <w:t>Cuidar a la gente de Bogotá implica que se atienden las demandas de su población equilibrando la provisión de servicios sociales y fortaleciendo el conjunto de redes que articulan equipamientos, para reconocer, redistribuir y reducir el tiempo dedicado —especialmente, por mujeres— al trabajo de cuidado no remunerado promoviendo la autonomía y empoderamiento, para que las personas cuidadoras tengan tiempo de dedicarse al desarrollo personal, el autocuidado, el bienestar, la generación de ingresos y la participación política.</w:t>
      </w:r>
    </w:p>
    <w:p w14:paraId="5A2A44D3" w14:textId="77777777" w:rsidR="003955DA" w:rsidRDefault="003955DA" w:rsidP="003955DA"/>
    <w:p w14:paraId="229F2A19" w14:textId="77777777" w:rsidR="003955DA" w:rsidRDefault="003955DA" w:rsidP="003955DA">
      <w:r>
        <w:t>Garantizar la prestación de servicios sociales y de cuidado de calidad, gratuitos y especializados requiere la evaluación, ajuste y actualización de los modelos de atención territorial incrementando la presencia institucional, acercando la oferta de servicios a estos grupos poblacionales y ajustándose a sus actuales demandas.</w:t>
      </w:r>
    </w:p>
    <w:p w14:paraId="4F1EB395" w14:textId="77777777" w:rsidR="003955DA" w:rsidRDefault="003955DA" w:rsidP="003955DA"/>
    <w:p w14:paraId="67DC454D" w14:textId="77777777" w:rsidR="003955DA" w:rsidRDefault="003955DA" w:rsidP="003955DA">
      <w:r>
        <w:t xml:space="preserve">De igual forma, y con el ánimo de garantizar de forma progresiva y sostenible servicios que modifiquen las condiciones injustas y evitables de la discriminación, la desigualdad y la subordinación en razón del género, se fortalecerá la atención en la Bogotá urbana y rural, en el marco del modelo Casas de igualdad de Oportunidades para las Mujeres generando acciones orientadas al empoderamiento social y político de las mujeres, promotores del liderazgo, la autonomía y el ejercicio pleno de los derechos de las mujeres. En ese camino de identificar modelos de atención integral y territorial, está la necesidad de diseñar una política pública centrada en la “nueva longevidad”, la cual ha de ir en </w:t>
      </w:r>
      <w:r>
        <w:lastRenderedPageBreak/>
        <w:t>consonancia con la Convención Interamericana sobre la Protección de las Personas Mayores (CIDHPM), la Ley 2055 de 2020 y lo determinado por la Organización Mundial de la Salida para la Década del Envejecimiento Saludable (2020-2030).</w:t>
      </w:r>
    </w:p>
    <w:p w14:paraId="085B8394" w14:textId="77777777" w:rsidR="003955DA" w:rsidRDefault="003955DA" w:rsidP="003955DA"/>
    <w:p w14:paraId="39D367C2" w14:textId="77777777" w:rsidR="003955DA" w:rsidRDefault="003955DA" w:rsidP="003955DA">
      <w:r>
        <w:t xml:space="preserve">Así mismo, se plantea una estrategia integral que busca contribuir a mejorar la calidad de vida y promover la equidad social y la inclusión de personas con discapacidad, su familia y sus personas cuidadoras a través del acompañamiento en la construcción de su proyecto de vida. El bien-estar para las personas con discapacidad implica tener un proyecto de vida individual y familiar, y garantizar su inclusión en la sociedad. </w:t>
      </w:r>
    </w:p>
    <w:p w14:paraId="7E4050A5" w14:textId="77777777" w:rsidR="003955DA" w:rsidRDefault="003955DA" w:rsidP="003955DA"/>
    <w:p w14:paraId="4BC1CC38" w14:textId="77777777" w:rsidR="00A85205" w:rsidRDefault="003955DA" w:rsidP="003955DA">
      <w:r>
        <w:t xml:space="preserve">Para ello, será fundamental transitar de un modelo de prestación de servicios exclusivos para </w:t>
      </w:r>
      <w:r>
        <w:t>personas con discapacidad a modelos de inclusión donde se presten servicios transversales a personas con y sin discapacidad, garantizando, por supuesto, los ajustes razonables a fin de que sean servicios inclusivos para todos y todas.</w:t>
      </w:r>
    </w:p>
    <w:p w14:paraId="0462BB9D" w14:textId="414694A8" w:rsidR="003955DA" w:rsidRDefault="003955DA" w:rsidP="003955DA">
      <w:r>
        <w:t xml:space="preserve"> </w:t>
      </w:r>
    </w:p>
    <w:p w14:paraId="705E10D6" w14:textId="2FE43602" w:rsidR="00B14E38" w:rsidRDefault="003955DA" w:rsidP="00B14E38">
      <w:pPr>
        <w:rPr>
          <w:highlight w:val="white"/>
        </w:rPr>
      </w:pPr>
      <w:r>
        <w:t>Por otra parte, como cuarta acción se tiene la implementación de acciones que lleven a transformar situaciones históricas de discriminación y exclusión que viven las mujeres implementado diferentes acciones que lleven a la transformación cultural para el cambio comportamental, la redistribución, el reconocimiento y la reducción de los trabajos de cuidado, la prevención de las violencias y el cambio de estereotipos y roles que limitan el ejercicio de derechos de las mujeres, y generando espacios que posibiliten la promoción, protección, garantía y restitución de sus derechos</w:t>
      </w:r>
      <w:r w:rsidR="00B14E38" w:rsidRPr="00B944E8">
        <w:rPr>
          <w:highlight w:val="white"/>
        </w:rPr>
        <w:t>.</w:t>
      </w:r>
    </w:p>
    <w:p w14:paraId="773722D6" w14:textId="29D8771B" w:rsidR="003D2951" w:rsidRDefault="003D2951" w:rsidP="00B14E38">
      <w:pPr>
        <w:rPr>
          <w:highlight w:val="white"/>
        </w:rPr>
        <w:sectPr w:rsidR="003D2951" w:rsidSect="00F7078E">
          <w:type w:val="continuous"/>
          <w:pgSz w:w="12240" w:h="15840"/>
          <w:pgMar w:top="2262" w:right="1440" w:bottom="1440" w:left="1440" w:header="708" w:footer="680" w:gutter="0"/>
          <w:cols w:num="2" w:space="567"/>
          <w:docGrid w:linePitch="299"/>
        </w:sectPr>
      </w:pPr>
    </w:p>
    <w:p w14:paraId="1940607C" w14:textId="77777777" w:rsidR="00B14E38" w:rsidRDefault="00B14E38" w:rsidP="00B14E38">
      <w:pPr>
        <w:rPr>
          <w:highlight w:val="white"/>
        </w:rPr>
      </w:pPr>
    </w:p>
    <w:p w14:paraId="2253DD55" w14:textId="455FD54C" w:rsidR="00B14E38" w:rsidRPr="003955DA" w:rsidRDefault="003955DA" w:rsidP="003955DA">
      <w:pPr>
        <w:pStyle w:val="Descripcin"/>
        <w:jc w:val="center"/>
        <w:rPr>
          <w:sz w:val="18"/>
          <w:szCs w:val="14"/>
        </w:rPr>
      </w:pPr>
      <w:bookmarkStart w:id="277" w:name="_Toc165169941"/>
      <w:r w:rsidRPr="003955DA">
        <w:rPr>
          <w:color w:val="C00000"/>
          <w:sz w:val="18"/>
          <w:szCs w:val="14"/>
        </w:rPr>
        <w:t xml:space="preserve">Tabla </w:t>
      </w:r>
      <w:r w:rsidRPr="003955DA">
        <w:rPr>
          <w:color w:val="C00000"/>
          <w:sz w:val="18"/>
          <w:szCs w:val="14"/>
        </w:rPr>
        <w:fldChar w:fldCharType="begin"/>
      </w:r>
      <w:r w:rsidRPr="003955DA">
        <w:rPr>
          <w:color w:val="C00000"/>
          <w:sz w:val="18"/>
          <w:szCs w:val="14"/>
        </w:rPr>
        <w:instrText xml:space="preserve"> SEQ Tabla \* ARABIC </w:instrText>
      </w:r>
      <w:r w:rsidRPr="003955DA">
        <w:rPr>
          <w:color w:val="C00000"/>
          <w:sz w:val="18"/>
          <w:szCs w:val="14"/>
        </w:rPr>
        <w:fldChar w:fldCharType="separate"/>
      </w:r>
      <w:r w:rsidR="00D01651">
        <w:rPr>
          <w:noProof/>
          <w:color w:val="C00000"/>
          <w:sz w:val="18"/>
          <w:szCs w:val="14"/>
        </w:rPr>
        <w:t>31</w:t>
      </w:r>
      <w:r w:rsidRPr="003955DA">
        <w:rPr>
          <w:color w:val="C00000"/>
          <w:sz w:val="18"/>
          <w:szCs w:val="14"/>
        </w:rPr>
        <w:fldChar w:fldCharType="end"/>
      </w:r>
      <w:r w:rsidRPr="003955DA">
        <w:rPr>
          <w:color w:val="C00000"/>
          <w:sz w:val="18"/>
          <w:szCs w:val="14"/>
        </w:rPr>
        <w:t xml:space="preserve">. </w:t>
      </w:r>
      <w:r w:rsidR="00B14E38" w:rsidRPr="003955DA">
        <w:rPr>
          <w:sz w:val="18"/>
          <w:szCs w:val="14"/>
        </w:rPr>
        <w:t>Metas del programa 12</w:t>
      </w:r>
      <w:r>
        <w:rPr>
          <w:sz w:val="18"/>
          <w:szCs w:val="14"/>
        </w:rPr>
        <w:t xml:space="preserve">: </w:t>
      </w:r>
      <w:r w:rsidR="00B14E38" w:rsidRPr="003955DA">
        <w:rPr>
          <w:sz w:val="18"/>
          <w:szCs w:val="14"/>
        </w:rPr>
        <w:t>Bogotá cuida a su gente</w:t>
      </w:r>
      <w:bookmarkEnd w:id="277"/>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974"/>
        <w:gridCol w:w="1260"/>
        <w:gridCol w:w="1307"/>
        <w:gridCol w:w="1318"/>
        <w:gridCol w:w="1207"/>
        <w:gridCol w:w="1294"/>
      </w:tblGrid>
      <w:tr w:rsidR="00D901BA" w:rsidRPr="00D901BA" w14:paraId="4CE9F4E5" w14:textId="77777777" w:rsidTr="00D901BA">
        <w:trPr>
          <w:trHeight w:val="315"/>
          <w:tblHeader/>
        </w:trPr>
        <w:tc>
          <w:tcPr>
            <w:tcW w:w="1589" w:type="pct"/>
            <w:vMerge w:val="restart"/>
            <w:shd w:val="clear" w:color="auto" w:fill="C00000"/>
            <w:tcMar>
              <w:top w:w="30" w:type="dxa"/>
              <w:left w:w="45" w:type="dxa"/>
              <w:bottom w:w="30" w:type="dxa"/>
              <w:right w:w="45" w:type="dxa"/>
            </w:tcMar>
            <w:vAlign w:val="center"/>
            <w:hideMark/>
          </w:tcPr>
          <w:p w14:paraId="5CE74218" w14:textId="77777777" w:rsidR="00D901BA" w:rsidRPr="00D901BA" w:rsidRDefault="00D901BA" w:rsidP="00AA4BBB">
            <w:pPr>
              <w:jc w:val="center"/>
              <w:rPr>
                <w:rFonts w:cs="Arial"/>
                <w:b/>
                <w:bCs/>
                <w:color w:val="FFFFFF"/>
                <w:sz w:val="16"/>
                <w:szCs w:val="16"/>
              </w:rPr>
            </w:pPr>
            <w:r w:rsidRPr="00D901BA">
              <w:rPr>
                <w:rFonts w:cs="Arial"/>
                <w:b/>
                <w:bCs/>
                <w:color w:val="FFFFFF"/>
                <w:sz w:val="16"/>
                <w:szCs w:val="16"/>
              </w:rPr>
              <w:t>SECTOR / Metas</w:t>
            </w:r>
          </w:p>
        </w:tc>
        <w:tc>
          <w:tcPr>
            <w:tcW w:w="3411" w:type="pct"/>
            <w:gridSpan w:val="5"/>
            <w:shd w:val="clear" w:color="auto" w:fill="C00000"/>
            <w:tcMar>
              <w:top w:w="30" w:type="dxa"/>
              <w:left w:w="45" w:type="dxa"/>
              <w:bottom w:w="30" w:type="dxa"/>
              <w:right w:w="45" w:type="dxa"/>
            </w:tcMar>
            <w:vAlign w:val="center"/>
            <w:hideMark/>
          </w:tcPr>
          <w:p w14:paraId="2EDF7075" w14:textId="77777777" w:rsidR="00D901BA" w:rsidRPr="00D901BA" w:rsidRDefault="00D901BA" w:rsidP="00AA4BBB">
            <w:pPr>
              <w:jc w:val="center"/>
              <w:rPr>
                <w:rFonts w:cs="Arial"/>
                <w:b/>
                <w:bCs/>
                <w:color w:val="FFFFFF"/>
                <w:sz w:val="20"/>
                <w:szCs w:val="20"/>
              </w:rPr>
            </w:pPr>
            <w:r w:rsidRPr="00D901BA">
              <w:rPr>
                <w:rFonts w:cs="Arial"/>
                <w:b/>
                <w:bCs/>
                <w:color w:val="FFFFFF"/>
                <w:sz w:val="20"/>
                <w:szCs w:val="20"/>
              </w:rPr>
              <w:t>Magnitudes e Inversión (Precios Constantes 2024)</w:t>
            </w:r>
          </w:p>
        </w:tc>
      </w:tr>
      <w:tr w:rsidR="00D901BA" w:rsidRPr="00D901BA" w14:paraId="6DBC5FD8" w14:textId="77777777" w:rsidTr="00D901BA">
        <w:trPr>
          <w:trHeight w:val="315"/>
          <w:tblHeader/>
        </w:trPr>
        <w:tc>
          <w:tcPr>
            <w:tcW w:w="1589" w:type="pct"/>
            <w:vMerge/>
            <w:vAlign w:val="center"/>
            <w:hideMark/>
          </w:tcPr>
          <w:p w14:paraId="4664DE77" w14:textId="77777777" w:rsidR="00D901BA" w:rsidRPr="00D901BA" w:rsidRDefault="00D901BA" w:rsidP="00AA4BBB">
            <w:pPr>
              <w:rPr>
                <w:rFonts w:cs="Arial"/>
                <w:b/>
                <w:bCs/>
                <w:color w:val="FFFFFF"/>
                <w:sz w:val="16"/>
                <w:szCs w:val="16"/>
              </w:rPr>
            </w:pPr>
          </w:p>
        </w:tc>
        <w:tc>
          <w:tcPr>
            <w:tcW w:w="673" w:type="pct"/>
            <w:shd w:val="clear" w:color="auto" w:fill="D9D9D9"/>
            <w:tcMar>
              <w:top w:w="30" w:type="dxa"/>
              <w:left w:w="45" w:type="dxa"/>
              <w:bottom w:w="30" w:type="dxa"/>
              <w:right w:w="45" w:type="dxa"/>
            </w:tcMar>
            <w:vAlign w:val="center"/>
            <w:hideMark/>
          </w:tcPr>
          <w:p w14:paraId="26B75CF0" w14:textId="77777777" w:rsidR="00D901BA" w:rsidRPr="00D901BA" w:rsidRDefault="00D901BA" w:rsidP="00AA4BBB">
            <w:pPr>
              <w:jc w:val="center"/>
              <w:rPr>
                <w:rFonts w:cs="Arial"/>
                <w:b/>
                <w:bCs/>
                <w:sz w:val="20"/>
                <w:szCs w:val="20"/>
              </w:rPr>
            </w:pPr>
            <w:r w:rsidRPr="00D901BA">
              <w:rPr>
                <w:rFonts w:cs="Arial"/>
                <w:b/>
                <w:bCs/>
                <w:sz w:val="20"/>
                <w:szCs w:val="20"/>
              </w:rPr>
              <w:t>2024</w:t>
            </w:r>
          </w:p>
        </w:tc>
        <w:tc>
          <w:tcPr>
            <w:tcW w:w="698" w:type="pct"/>
            <w:shd w:val="clear" w:color="auto" w:fill="D9D9D9"/>
            <w:tcMar>
              <w:top w:w="30" w:type="dxa"/>
              <w:left w:w="45" w:type="dxa"/>
              <w:bottom w:w="30" w:type="dxa"/>
              <w:right w:w="45" w:type="dxa"/>
            </w:tcMar>
            <w:vAlign w:val="center"/>
            <w:hideMark/>
          </w:tcPr>
          <w:p w14:paraId="637537A1" w14:textId="77777777" w:rsidR="00D901BA" w:rsidRPr="00D901BA" w:rsidRDefault="00D901BA" w:rsidP="00AA4BBB">
            <w:pPr>
              <w:jc w:val="center"/>
              <w:rPr>
                <w:rFonts w:cs="Arial"/>
                <w:b/>
                <w:bCs/>
                <w:sz w:val="20"/>
                <w:szCs w:val="20"/>
              </w:rPr>
            </w:pPr>
            <w:r w:rsidRPr="00D901BA">
              <w:rPr>
                <w:rFonts w:cs="Arial"/>
                <w:b/>
                <w:bCs/>
                <w:sz w:val="20"/>
                <w:szCs w:val="20"/>
              </w:rPr>
              <w:t>2025</w:t>
            </w:r>
          </w:p>
        </w:tc>
        <w:tc>
          <w:tcPr>
            <w:tcW w:w="704" w:type="pct"/>
            <w:shd w:val="clear" w:color="auto" w:fill="D9D9D9"/>
            <w:tcMar>
              <w:top w:w="30" w:type="dxa"/>
              <w:left w:w="45" w:type="dxa"/>
              <w:bottom w:w="30" w:type="dxa"/>
              <w:right w:w="45" w:type="dxa"/>
            </w:tcMar>
            <w:vAlign w:val="center"/>
            <w:hideMark/>
          </w:tcPr>
          <w:p w14:paraId="22E41087" w14:textId="77777777" w:rsidR="00D901BA" w:rsidRPr="00D901BA" w:rsidRDefault="00D901BA" w:rsidP="00AA4BBB">
            <w:pPr>
              <w:jc w:val="center"/>
              <w:rPr>
                <w:rFonts w:cs="Arial"/>
                <w:b/>
                <w:bCs/>
                <w:sz w:val="20"/>
                <w:szCs w:val="20"/>
              </w:rPr>
            </w:pPr>
            <w:r w:rsidRPr="00D901BA">
              <w:rPr>
                <w:rFonts w:cs="Arial"/>
                <w:b/>
                <w:bCs/>
                <w:sz w:val="20"/>
                <w:szCs w:val="20"/>
              </w:rPr>
              <w:t>2026</w:t>
            </w:r>
          </w:p>
        </w:tc>
        <w:tc>
          <w:tcPr>
            <w:tcW w:w="645" w:type="pct"/>
            <w:shd w:val="clear" w:color="auto" w:fill="D9D9D9"/>
            <w:tcMar>
              <w:top w:w="30" w:type="dxa"/>
              <w:left w:w="45" w:type="dxa"/>
              <w:bottom w:w="30" w:type="dxa"/>
              <w:right w:w="45" w:type="dxa"/>
            </w:tcMar>
            <w:vAlign w:val="center"/>
            <w:hideMark/>
          </w:tcPr>
          <w:p w14:paraId="225ADA3F" w14:textId="77777777" w:rsidR="00D901BA" w:rsidRPr="00D901BA" w:rsidRDefault="00D901BA" w:rsidP="00AA4BBB">
            <w:pPr>
              <w:jc w:val="center"/>
              <w:rPr>
                <w:rFonts w:cs="Arial"/>
                <w:b/>
                <w:bCs/>
                <w:sz w:val="20"/>
                <w:szCs w:val="20"/>
              </w:rPr>
            </w:pPr>
            <w:r w:rsidRPr="00D901BA">
              <w:rPr>
                <w:rFonts w:cs="Arial"/>
                <w:b/>
                <w:bCs/>
                <w:sz w:val="20"/>
                <w:szCs w:val="20"/>
              </w:rPr>
              <w:t>2027</w:t>
            </w:r>
          </w:p>
        </w:tc>
        <w:tc>
          <w:tcPr>
            <w:tcW w:w="691" w:type="pct"/>
            <w:shd w:val="clear" w:color="auto" w:fill="D9D9D9"/>
            <w:tcMar>
              <w:top w:w="30" w:type="dxa"/>
              <w:left w:w="45" w:type="dxa"/>
              <w:bottom w:w="30" w:type="dxa"/>
              <w:right w:w="45" w:type="dxa"/>
            </w:tcMar>
            <w:vAlign w:val="center"/>
            <w:hideMark/>
          </w:tcPr>
          <w:p w14:paraId="6E77A7B1" w14:textId="77777777" w:rsidR="00D901BA" w:rsidRDefault="00D901BA" w:rsidP="00D901BA">
            <w:pPr>
              <w:jc w:val="right"/>
              <w:rPr>
                <w:rFonts w:cs="Arial"/>
                <w:b/>
                <w:bCs/>
                <w:sz w:val="20"/>
                <w:szCs w:val="20"/>
              </w:rPr>
            </w:pPr>
            <w:r w:rsidRPr="00D901BA">
              <w:rPr>
                <w:rFonts w:cs="Arial"/>
                <w:b/>
                <w:bCs/>
                <w:sz w:val="20"/>
                <w:szCs w:val="20"/>
              </w:rPr>
              <w:t>Total</w:t>
            </w:r>
          </w:p>
          <w:p w14:paraId="12735624" w14:textId="0DEA3ECB" w:rsidR="00D901BA" w:rsidRPr="00D901BA" w:rsidRDefault="00D901BA" w:rsidP="00D901BA">
            <w:pPr>
              <w:jc w:val="right"/>
              <w:rPr>
                <w:rFonts w:cs="Arial"/>
                <w:b/>
                <w:bCs/>
                <w:sz w:val="20"/>
                <w:szCs w:val="20"/>
              </w:rPr>
            </w:pPr>
            <w:r w:rsidRPr="00D901BA">
              <w:rPr>
                <w:rFonts w:cs="Arial"/>
                <w:b/>
                <w:bCs/>
                <w:sz w:val="20"/>
                <w:szCs w:val="20"/>
              </w:rPr>
              <w:t>Inversión</w:t>
            </w:r>
          </w:p>
        </w:tc>
      </w:tr>
      <w:tr w:rsidR="00D901BA" w:rsidRPr="00D901BA" w14:paraId="4EA8A2F5" w14:textId="77777777" w:rsidTr="00D901BA">
        <w:trPr>
          <w:trHeight w:val="315"/>
        </w:trPr>
        <w:tc>
          <w:tcPr>
            <w:tcW w:w="5000" w:type="pct"/>
            <w:gridSpan w:val="6"/>
            <w:shd w:val="clear" w:color="auto" w:fill="C00000"/>
            <w:tcMar>
              <w:top w:w="30" w:type="dxa"/>
              <w:left w:w="45" w:type="dxa"/>
              <w:bottom w:w="30" w:type="dxa"/>
              <w:right w:w="45" w:type="dxa"/>
            </w:tcMar>
            <w:vAlign w:val="center"/>
            <w:hideMark/>
          </w:tcPr>
          <w:p w14:paraId="6EB5C738" w14:textId="662D2D3F" w:rsidR="00D901BA" w:rsidRPr="00D901BA" w:rsidRDefault="00D901BA" w:rsidP="00D901BA">
            <w:pPr>
              <w:jc w:val="center"/>
              <w:rPr>
                <w:rFonts w:cs="Arial"/>
                <w:b/>
                <w:bCs/>
                <w:sz w:val="16"/>
                <w:szCs w:val="16"/>
              </w:rPr>
            </w:pPr>
            <w:r w:rsidRPr="00D901BA">
              <w:rPr>
                <w:rFonts w:cs="Arial"/>
                <w:b/>
                <w:bCs/>
                <w:color w:val="FFFFFF" w:themeColor="background1"/>
                <w:sz w:val="16"/>
                <w:szCs w:val="16"/>
              </w:rPr>
              <w:t>Educación</w:t>
            </w:r>
          </w:p>
        </w:tc>
      </w:tr>
      <w:tr w:rsidR="00D901BA" w:rsidRPr="00D901BA" w14:paraId="4A0A5D3E" w14:textId="77777777" w:rsidTr="00D901BA">
        <w:trPr>
          <w:trHeight w:val="315"/>
        </w:trPr>
        <w:tc>
          <w:tcPr>
            <w:tcW w:w="1589" w:type="pct"/>
            <w:vMerge w:val="restart"/>
            <w:tcMar>
              <w:top w:w="30" w:type="dxa"/>
              <w:left w:w="45" w:type="dxa"/>
              <w:bottom w:w="30" w:type="dxa"/>
              <w:right w:w="45" w:type="dxa"/>
            </w:tcMar>
            <w:vAlign w:val="center"/>
            <w:hideMark/>
          </w:tcPr>
          <w:p w14:paraId="36807555" w14:textId="77777777" w:rsidR="00D901BA" w:rsidRPr="00D901BA" w:rsidRDefault="00D901BA" w:rsidP="00AA4BBB">
            <w:pPr>
              <w:rPr>
                <w:rFonts w:cs="Arial"/>
                <w:sz w:val="16"/>
                <w:szCs w:val="16"/>
              </w:rPr>
            </w:pPr>
            <w:r w:rsidRPr="00D901BA">
              <w:rPr>
                <w:rFonts w:cs="Arial"/>
                <w:sz w:val="16"/>
                <w:szCs w:val="16"/>
              </w:rPr>
              <w:t>Implementar en el 100 % de colegios oficiales un programa de bienestar escolar integral de acuerdo con criterios de focalización definidos</w:t>
            </w:r>
          </w:p>
        </w:tc>
        <w:tc>
          <w:tcPr>
            <w:tcW w:w="673" w:type="pct"/>
            <w:tcMar>
              <w:top w:w="30" w:type="dxa"/>
              <w:left w:w="45" w:type="dxa"/>
              <w:bottom w:w="30" w:type="dxa"/>
              <w:right w:w="45" w:type="dxa"/>
            </w:tcMar>
            <w:vAlign w:val="center"/>
            <w:hideMark/>
          </w:tcPr>
          <w:p w14:paraId="79222008" w14:textId="77777777" w:rsidR="00D901BA" w:rsidRPr="00D901BA" w:rsidRDefault="00D901BA" w:rsidP="00AA4BBB">
            <w:pPr>
              <w:jc w:val="center"/>
              <w:rPr>
                <w:rFonts w:cs="Arial"/>
                <w:sz w:val="16"/>
                <w:szCs w:val="16"/>
              </w:rPr>
            </w:pPr>
            <w:r w:rsidRPr="00D901BA">
              <w:rPr>
                <w:rFonts w:cs="Arial"/>
                <w:sz w:val="16"/>
                <w:szCs w:val="16"/>
              </w:rPr>
              <w:t>100%</w:t>
            </w:r>
          </w:p>
        </w:tc>
        <w:tc>
          <w:tcPr>
            <w:tcW w:w="698" w:type="pct"/>
            <w:tcMar>
              <w:top w:w="30" w:type="dxa"/>
              <w:left w:w="45" w:type="dxa"/>
              <w:bottom w:w="30" w:type="dxa"/>
              <w:right w:w="45" w:type="dxa"/>
            </w:tcMar>
            <w:vAlign w:val="center"/>
            <w:hideMark/>
          </w:tcPr>
          <w:p w14:paraId="2D33D129" w14:textId="77777777" w:rsidR="00D901BA" w:rsidRPr="00D901BA" w:rsidRDefault="00D901BA" w:rsidP="00AA4BBB">
            <w:pPr>
              <w:jc w:val="center"/>
              <w:rPr>
                <w:rFonts w:cs="Arial"/>
                <w:sz w:val="16"/>
                <w:szCs w:val="16"/>
              </w:rPr>
            </w:pPr>
            <w:r w:rsidRPr="00D901BA">
              <w:rPr>
                <w:rFonts w:cs="Arial"/>
                <w:sz w:val="16"/>
                <w:szCs w:val="16"/>
              </w:rPr>
              <w:t>100%</w:t>
            </w:r>
          </w:p>
        </w:tc>
        <w:tc>
          <w:tcPr>
            <w:tcW w:w="704" w:type="pct"/>
            <w:tcMar>
              <w:top w:w="30" w:type="dxa"/>
              <w:left w:w="45" w:type="dxa"/>
              <w:bottom w:w="30" w:type="dxa"/>
              <w:right w:w="45" w:type="dxa"/>
            </w:tcMar>
            <w:vAlign w:val="center"/>
            <w:hideMark/>
          </w:tcPr>
          <w:p w14:paraId="37EBEE48" w14:textId="77777777" w:rsidR="00D901BA" w:rsidRPr="00D901BA" w:rsidRDefault="00D901BA" w:rsidP="00AA4BBB">
            <w:pPr>
              <w:jc w:val="center"/>
              <w:rPr>
                <w:rFonts w:cs="Arial"/>
                <w:sz w:val="16"/>
                <w:szCs w:val="16"/>
              </w:rPr>
            </w:pPr>
            <w:r w:rsidRPr="00D901BA">
              <w:rPr>
                <w:rFonts w:cs="Arial"/>
                <w:sz w:val="16"/>
                <w:szCs w:val="16"/>
              </w:rPr>
              <w:t>100%</w:t>
            </w:r>
          </w:p>
        </w:tc>
        <w:tc>
          <w:tcPr>
            <w:tcW w:w="645" w:type="pct"/>
            <w:tcMar>
              <w:top w:w="30" w:type="dxa"/>
              <w:left w:w="45" w:type="dxa"/>
              <w:bottom w:w="30" w:type="dxa"/>
              <w:right w:w="45" w:type="dxa"/>
            </w:tcMar>
            <w:vAlign w:val="center"/>
            <w:hideMark/>
          </w:tcPr>
          <w:p w14:paraId="71211892" w14:textId="77777777" w:rsidR="00D901BA" w:rsidRPr="00D901BA" w:rsidRDefault="00D901BA" w:rsidP="00AA4BBB">
            <w:pPr>
              <w:jc w:val="center"/>
              <w:rPr>
                <w:rFonts w:cs="Arial"/>
                <w:sz w:val="16"/>
                <w:szCs w:val="16"/>
              </w:rPr>
            </w:pPr>
            <w:r w:rsidRPr="00D901BA">
              <w:rPr>
                <w:rFonts w:cs="Arial"/>
                <w:sz w:val="16"/>
                <w:szCs w:val="16"/>
              </w:rPr>
              <w:t>100%</w:t>
            </w:r>
          </w:p>
        </w:tc>
        <w:tc>
          <w:tcPr>
            <w:tcW w:w="691" w:type="pct"/>
            <w:vMerge w:val="restart"/>
            <w:tcMar>
              <w:top w:w="30" w:type="dxa"/>
              <w:left w:w="45" w:type="dxa"/>
              <w:bottom w:w="30" w:type="dxa"/>
              <w:right w:w="45" w:type="dxa"/>
            </w:tcMar>
            <w:vAlign w:val="center"/>
            <w:hideMark/>
          </w:tcPr>
          <w:p w14:paraId="1DB87FC5" w14:textId="77777777" w:rsidR="00D901BA" w:rsidRPr="00D901BA" w:rsidRDefault="00D901BA" w:rsidP="00AA4BBB">
            <w:pPr>
              <w:jc w:val="center"/>
              <w:rPr>
                <w:rFonts w:cs="Arial"/>
                <w:b/>
                <w:bCs/>
                <w:sz w:val="16"/>
                <w:szCs w:val="16"/>
              </w:rPr>
            </w:pPr>
            <w:r w:rsidRPr="00D901BA">
              <w:rPr>
                <w:rFonts w:cs="Arial"/>
                <w:b/>
                <w:bCs/>
                <w:sz w:val="16"/>
                <w:szCs w:val="16"/>
              </w:rPr>
              <w:t>3.925.487.392.095</w:t>
            </w:r>
          </w:p>
        </w:tc>
      </w:tr>
      <w:tr w:rsidR="00D901BA" w:rsidRPr="00D901BA" w14:paraId="06F257F9" w14:textId="77777777" w:rsidTr="00D901BA">
        <w:trPr>
          <w:trHeight w:val="315"/>
        </w:trPr>
        <w:tc>
          <w:tcPr>
            <w:tcW w:w="1589" w:type="pct"/>
            <w:vMerge/>
            <w:vAlign w:val="center"/>
            <w:hideMark/>
          </w:tcPr>
          <w:p w14:paraId="0AA7E19A"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65868EC2" w14:textId="77777777" w:rsidR="00D901BA" w:rsidRPr="00D901BA" w:rsidRDefault="00D901BA" w:rsidP="00AA4BBB">
            <w:pPr>
              <w:jc w:val="center"/>
              <w:rPr>
                <w:rFonts w:cs="Arial"/>
                <w:sz w:val="16"/>
                <w:szCs w:val="16"/>
              </w:rPr>
            </w:pPr>
            <w:r w:rsidRPr="00D901BA">
              <w:rPr>
                <w:rFonts w:cs="Arial"/>
                <w:sz w:val="16"/>
                <w:szCs w:val="16"/>
              </w:rPr>
              <w:t>928.815.901.276</w:t>
            </w:r>
          </w:p>
        </w:tc>
        <w:tc>
          <w:tcPr>
            <w:tcW w:w="698" w:type="pct"/>
            <w:tcMar>
              <w:top w:w="30" w:type="dxa"/>
              <w:left w:w="45" w:type="dxa"/>
              <w:bottom w:w="30" w:type="dxa"/>
              <w:right w:w="45" w:type="dxa"/>
            </w:tcMar>
            <w:vAlign w:val="center"/>
            <w:hideMark/>
          </w:tcPr>
          <w:p w14:paraId="761FA30E" w14:textId="77777777" w:rsidR="00D901BA" w:rsidRPr="00D901BA" w:rsidRDefault="00D901BA" w:rsidP="00AA4BBB">
            <w:pPr>
              <w:jc w:val="center"/>
              <w:rPr>
                <w:rFonts w:cs="Arial"/>
                <w:sz w:val="16"/>
                <w:szCs w:val="16"/>
              </w:rPr>
            </w:pPr>
            <w:r w:rsidRPr="00D901BA">
              <w:rPr>
                <w:rFonts w:cs="Arial"/>
                <w:sz w:val="16"/>
                <w:szCs w:val="16"/>
              </w:rPr>
              <w:t>1.000.346.992.861</w:t>
            </w:r>
          </w:p>
        </w:tc>
        <w:tc>
          <w:tcPr>
            <w:tcW w:w="704" w:type="pct"/>
            <w:tcMar>
              <w:top w:w="30" w:type="dxa"/>
              <w:left w:w="45" w:type="dxa"/>
              <w:bottom w:w="30" w:type="dxa"/>
              <w:right w:w="45" w:type="dxa"/>
            </w:tcMar>
            <w:vAlign w:val="center"/>
            <w:hideMark/>
          </w:tcPr>
          <w:p w14:paraId="36BF5695" w14:textId="77777777" w:rsidR="00D901BA" w:rsidRPr="00D901BA" w:rsidRDefault="00D901BA" w:rsidP="00AA4BBB">
            <w:pPr>
              <w:jc w:val="center"/>
              <w:rPr>
                <w:rFonts w:cs="Arial"/>
                <w:sz w:val="16"/>
                <w:szCs w:val="16"/>
              </w:rPr>
            </w:pPr>
            <w:r w:rsidRPr="00D901BA">
              <w:rPr>
                <w:rFonts w:cs="Arial"/>
                <w:sz w:val="16"/>
                <w:szCs w:val="16"/>
              </w:rPr>
              <w:t>998.893.729.334</w:t>
            </w:r>
          </w:p>
        </w:tc>
        <w:tc>
          <w:tcPr>
            <w:tcW w:w="645" w:type="pct"/>
            <w:tcMar>
              <w:top w:w="30" w:type="dxa"/>
              <w:left w:w="45" w:type="dxa"/>
              <w:bottom w:w="30" w:type="dxa"/>
              <w:right w:w="45" w:type="dxa"/>
            </w:tcMar>
            <w:vAlign w:val="center"/>
            <w:hideMark/>
          </w:tcPr>
          <w:p w14:paraId="65696DC4" w14:textId="77777777" w:rsidR="00D901BA" w:rsidRPr="00D901BA" w:rsidRDefault="00D901BA" w:rsidP="00AA4BBB">
            <w:pPr>
              <w:jc w:val="center"/>
              <w:rPr>
                <w:rFonts w:cs="Arial"/>
                <w:sz w:val="16"/>
                <w:szCs w:val="16"/>
              </w:rPr>
            </w:pPr>
            <w:r w:rsidRPr="00D901BA">
              <w:rPr>
                <w:rFonts w:cs="Arial"/>
                <w:sz w:val="16"/>
                <w:szCs w:val="16"/>
              </w:rPr>
              <w:t>997.430.768.625</w:t>
            </w:r>
          </w:p>
        </w:tc>
        <w:tc>
          <w:tcPr>
            <w:tcW w:w="691" w:type="pct"/>
            <w:vMerge/>
            <w:vAlign w:val="center"/>
            <w:hideMark/>
          </w:tcPr>
          <w:p w14:paraId="18A4D7AA" w14:textId="77777777" w:rsidR="00D901BA" w:rsidRPr="00D901BA" w:rsidRDefault="00D901BA" w:rsidP="00AA4BBB">
            <w:pPr>
              <w:rPr>
                <w:rFonts w:cs="Arial"/>
                <w:b/>
                <w:bCs/>
                <w:sz w:val="16"/>
                <w:szCs w:val="16"/>
              </w:rPr>
            </w:pPr>
          </w:p>
        </w:tc>
      </w:tr>
      <w:tr w:rsidR="00D901BA" w:rsidRPr="00D901BA" w14:paraId="7CF67840" w14:textId="77777777" w:rsidTr="00D901BA">
        <w:trPr>
          <w:trHeight w:val="315"/>
        </w:trPr>
        <w:tc>
          <w:tcPr>
            <w:tcW w:w="1589" w:type="pct"/>
            <w:vMerge w:val="restart"/>
            <w:tcMar>
              <w:top w:w="30" w:type="dxa"/>
              <w:left w:w="45" w:type="dxa"/>
              <w:bottom w:w="30" w:type="dxa"/>
              <w:right w:w="45" w:type="dxa"/>
            </w:tcMar>
            <w:vAlign w:val="center"/>
            <w:hideMark/>
          </w:tcPr>
          <w:p w14:paraId="1A259C50" w14:textId="77777777" w:rsidR="00D901BA" w:rsidRPr="00D901BA" w:rsidRDefault="00D901BA" w:rsidP="00AA4BBB">
            <w:pPr>
              <w:rPr>
                <w:rFonts w:cs="Arial"/>
                <w:sz w:val="16"/>
                <w:szCs w:val="16"/>
              </w:rPr>
            </w:pPr>
            <w:r w:rsidRPr="00D901BA">
              <w:rPr>
                <w:rFonts w:cs="Arial"/>
                <w:sz w:val="16"/>
                <w:szCs w:val="16"/>
              </w:rPr>
              <w:t>Adoptar en las 20 localidades el Sistema Distrital de Derechos Humanos en el marco de las acciones de la política pública Integral de Derechos Humanos Lucha contra la Trata de Personas y Población Migrante Internacional.</w:t>
            </w:r>
          </w:p>
        </w:tc>
        <w:tc>
          <w:tcPr>
            <w:tcW w:w="673" w:type="pct"/>
            <w:tcMar>
              <w:top w:w="30" w:type="dxa"/>
              <w:left w:w="45" w:type="dxa"/>
              <w:bottom w:w="30" w:type="dxa"/>
              <w:right w:w="45" w:type="dxa"/>
            </w:tcMar>
            <w:vAlign w:val="center"/>
            <w:hideMark/>
          </w:tcPr>
          <w:p w14:paraId="2FEA6D06" w14:textId="77777777" w:rsidR="00D901BA" w:rsidRPr="00D901BA" w:rsidRDefault="00D901BA" w:rsidP="00AA4BBB">
            <w:pPr>
              <w:jc w:val="center"/>
              <w:rPr>
                <w:rFonts w:cs="Arial"/>
                <w:sz w:val="16"/>
                <w:szCs w:val="16"/>
              </w:rPr>
            </w:pPr>
            <w:r w:rsidRPr="00D901BA">
              <w:rPr>
                <w:rFonts w:cs="Arial"/>
                <w:sz w:val="16"/>
                <w:szCs w:val="16"/>
              </w:rPr>
              <w:t>20</w:t>
            </w:r>
          </w:p>
        </w:tc>
        <w:tc>
          <w:tcPr>
            <w:tcW w:w="698" w:type="pct"/>
            <w:tcMar>
              <w:top w:w="30" w:type="dxa"/>
              <w:left w:w="45" w:type="dxa"/>
              <w:bottom w:w="30" w:type="dxa"/>
              <w:right w:w="45" w:type="dxa"/>
            </w:tcMar>
            <w:vAlign w:val="center"/>
            <w:hideMark/>
          </w:tcPr>
          <w:p w14:paraId="4F654F5A" w14:textId="77777777" w:rsidR="00D901BA" w:rsidRPr="00D901BA" w:rsidRDefault="00D901BA" w:rsidP="00AA4BBB">
            <w:pPr>
              <w:jc w:val="center"/>
              <w:rPr>
                <w:rFonts w:cs="Arial"/>
                <w:sz w:val="16"/>
                <w:szCs w:val="16"/>
              </w:rPr>
            </w:pPr>
            <w:r w:rsidRPr="00D901BA">
              <w:rPr>
                <w:rFonts w:cs="Arial"/>
                <w:sz w:val="16"/>
                <w:szCs w:val="16"/>
              </w:rPr>
              <w:t>20</w:t>
            </w:r>
          </w:p>
        </w:tc>
        <w:tc>
          <w:tcPr>
            <w:tcW w:w="704" w:type="pct"/>
            <w:tcMar>
              <w:top w:w="30" w:type="dxa"/>
              <w:left w:w="45" w:type="dxa"/>
              <w:bottom w:w="30" w:type="dxa"/>
              <w:right w:w="45" w:type="dxa"/>
            </w:tcMar>
            <w:vAlign w:val="center"/>
            <w:hideMark/>
          </w:tcPr>
          <w:p w14:paraId="7CA2172B" w14:textId="77777777" w:rsidR="00D901BA" w:rsidRPr="00D901BA" w:rsidRDefault="00D901BA" w:rsidP="00AA4BBB">
            <w:pPr>
              <w:jc w:val="center"/>
              <w:rPr>
                <w:rFonts w:cs="Arial"/>
                <w:sz w:val="16"/>
                <w:szCs w:val="16"/>
              </w:rPr>
            </w:pPr>
            <w:r w:rsidRPr="00D901BA">
              <w:rPr>
                <w:rFonts w:cs="Arial"/>
                <w:sz w:val="16"/>
                <w:szCs w:val="16"/>
              </w:rPr>
              <w:t>20</w:t>
            </w:r>
          </w:p>
        </w:tc>
        <w:tc>
          <w:tcPr>
            <w:tcW w:w="645" w:type="pct"/>
            <w:tcMar>
              <w:top w:w="30" w:type="dxa"/>
              <w:left w:w="45" w:type="dxa"/>
              <w:bottom w:w="30" w:type="dxa"/>
              <w:right w:w="45" w:type="dxa"/>
            </w:tcMar>
            <w:vAlign w:val="center"/>
            <w:hideMark/>
          </w:tcPr>
          <w:p w14:paraId="715FC6E7" w14:textId="77777777" w:rsidR="00D901BA" w:rsidRPr="00D901BA" w:rsidRDefault="00D901BA" w:rsidP="00AA4BBB">
            <w:pPr>
              <w:jc w:val="center"/>
              <w:rPr>
                <w:rFonts w:cs="Arial"/>
                <w:sz w:val="16"/>
                <w:szCs w:val="16"/>
              </w:rPr>
            </w:pPr>
            <w:r w:rsidRPr="00D901BA">
              <w:rPr>
                <w:rFonts w:cs="Arial"/>
                <w:sz w:val="16"/>
                <w:szCs w:val="16"/>
              </w:rPr>
              <w:t>20</w:t>
            </w:r>
          </w:p>
        </w:tc>
        <w:tc>
          <w:tcPr>
            <w:tcW w:w="691" w:type="pct"/>
            <w:vMerge w:val="restart"/>
            <w:tcMar>
              <w:top w:w="30" w:type="dxa"/>
              <w:left w:w="45" w:type="dxa"/>
              <w:bottom w:w="30" w:type="dxa"/>
              <w:right w:w="45" w:type="dxa"/>
            </w:tcMar>
            <w:vAlign w:val="center"/>
            <w:hideMark/>
          </w:tcPr>
          <w:p w14:paraId="025E768C" w14:textId="77777777" w:rsidR="00D901BA" w:rsidRPr="00D901BA" w:rsidRDefault="00D901BA" w:rsidP="00AA4BBB">
            <w:pPr>
              <w:jc w:val="center"/>
              <w:rPr>
                <w:rFonts w:cs="Arial"/>
                <w:b/>
                <w:bCs/>
                <w:sz w:val="16"/>
                <w:szCs w:val="16"/>
              </w:rPr>
            </w:pPr>
            <w:r w:rsidRPr="00D901BA">
              <w:rPr>
                <w:rFonts w:cs="Arial"/>
                <w:b/>
                <w:bCs/>
                <w:sz w:val="16"/>
                <w:szCs w:val="16"/>
              </w:rPr>
              <w:t>10.392.907.881</w:t>
            </w:r>
          </w:p>
        </w:tc>
      </w:tr>
      <w:tr w:rsidR="00D901BA" w:rsidRPr="00D901BA" w14:paraId="2717B242" w14:textId="77777777" w:rsidTr="00D901BA">
        <w:trPr>
          <w:trHeight w:val="315"/>
        </w:trPr>
        <w:tc>
          <w:tcPr>
            <w:tcW w:w="1589" w:type="pct"/>
            <w:vMerge/>
            <w:vAlign w:val="center"/>
            <w:hideMark/>
          </w:tcPr>
          <w:p w14:paraId="16703394"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697776C6" w14:textId="77777777" w:rsidR="00D901BA" w:rsidRPr="00D901BA" w:rsidRDefault="00D901BA" w:rsidP="00AA4BBB">
            <w:pPr>
              <w:jc w:val="center"/>
              <w:rPr>
                <w:rFonts w:cs="Arial"/>
                <w:sz w:val="16"/>
                <w:szCs w:val="16"/>
              </w:rPr>
            </w:pPr>
            <w:r w:rsidRPr="00D901BA">
              <w:rPr>
                <w:rFonts w:cs="Arial"/>
                <w:sz w:val="16"/>
                <w:szCs w:val="16"/>
              </w:rPr>
              <w:t>1.150.000.000</w:t>
            </w:r>
          </w:p>
        </w:tc>
        <w:tc>
          <w:tcPr>
            <w:tcW w:w="698" w:type="pct"/>
            <w:tcMar>
              <w:top w:w="30" w:type="dxa"/>
              <w:left w:w="45" w:type="dxa"/>
              <w:bottom w:w="30" w:type="dxa"/>
              <w:right w:w="45" w:type="dxa"/>
            </w:tcMar>
            <w:vAlign w:val="center"/>
            <w:hideMark/>
          </w:tcPr>
          <w:p w14:paraId="27148B1C" w14:textId="77777777" w:rsidR="00D901BA" w:rsidRPr="00D901BA" w:rsidRDefault="00D901BA" w:rsidP="00AA4BBB">
            <w:pPr>
              <w:jc w:val="center"/>
              <w:rPr>
                <w:rFonts w:cs="Arial"/>
                <w:sz w:val="16"/>
                <w:szCs w:val="16"/>
              </w:rPr>
            </w:pPr>
            <w:r w:rsidRPr="00D901BA">
              <w:rPr>
                <w:rFonts w:cs="Arial"/>
                <w:sz w:val="16"/>
                <w:szCs w:val="16"/>
              </w:rPr>
              <w:t>2.669.902.913</w:t>
            </w:r>
          </w:p>
        </w:tc>
        <w:tc>
          <w:tcPr>
            <w:tcW w:w="704" w:type="pct"/>
            <w:tcMar>
              <w:top w:w="30" w:type="dxa"/>
              <w:left w:w="45" w:type="dxa"/>
              <w:bottom w:w="30" w:type="dxa"/>
              <w:right w:w="45" w:type="dxa"/>
            </w:tcMar>
            <w:vAlign w:val="center"/>
            <w:hideMark/>
          </w:tcPr>
          <w:p w14:paraId="5A296A57" w14:textId="77777777" w:rsidR="00D901BA" w:rsidRPr="00D901BA" w:rsidRDefault="00D901BA" w:rsidP="00AA4BBB">
            <w:pPr>
              <w:jc w:val="center"/>
              <w:rPr>
                <w:rFonts w:cs="Arial"/>
                <w:sz w:val="16"/>
                <w:szCs w:val="16"/>
              </w:rPr>
            </w:pPr>
            <w:r w:rsidRPr="00D901BA">
              <w:rPr>
                <w:rFonts w:cs="Arial"/>
                <w:sz w:val="16"/>
                <w:szCs w:val="16"/>
              </w:rPr>
              <w:t>2.592.138.750</w:t>
            </w:r>
          </w:p>
        </w:tc>
        <w:tc>
          <w:tcPr>
            <w:tcW w:w="645" w:type="pct"/>
            <w:tcMar>
              <w:top w:w="30" w:type="dxa"/>
              <w:left w:w="45" w:type="dxa"/>
              <w:bottom w:w="30" w:type="dxa"/>
              <w:right w:w="45" w:type="dxa"/>
            </w:tcMar>
            <w:vAlign w:val="center"/>
            <w:hideMark/>
          </w:tcPr>
          <w:p w14:paraId="01E17C27" w14:textId="77777777" w:rsidR="00D901BA" w:rsidRPr="00D901BA" w:rsidRDefault="00D901BA" w:rsidP="00AA4BBB">
            <w:pPr>
              <w:jc w:val="center"/>
              <w:rPr>
                <w:rFonts w:cs="Arial"/>
                <w:sz w:val="16"/>
                <w:szCs w:val="16"/>
              </w:rPr>
            </w:pPr>
            <w:r w:rsidRPr="00D901BA">
              <w:rPr>
                <w:rFonts w:cs="Arial"/>
                <w:sz w:val="16"/>
                <w:szCs w:val="16"/>
              </w:rPr>
              <w:t>3.980.866.218</w:t>
            </w:r>
          </w:p>
        </w:tc>
        <w:tc>
          <w:tcPr>
            <w:tcW w:w="691" w:type="pct"/>
            <w:vMerge/>
            <w:vAlign w:val="center"/>
            <w:hideMark/>
          </w:tcPr>
          <w:p w14:paraId="426490E6" w14:textId="77777777" w:rsidR="00D901BA" w:rsidRPr="00D901BA" w:rsidRDefault="00D901BA" w:rsidP="00AA4BBB">
            <w:pPr>
              <w:rPr>
                <w:rFonts w:cs="Arial"/>
                <w:b/>
                <w:bCs/>
                <w:sz w:val="16"/>
                <w:szCs w:val="16"/>
              </w:rPr>
            </w:pPr>
          </w:p>
        </w:tc>
      </w:tr>
      <w:tr w:rsidR="00D901BA" w:rsidRPr="00D901BA" w14:paraId="3A1E6AB3" w14:textId="77777777" w:rsidTr="00D901BA">
        <w:trPr>
          <w:trHeight w:val="315"/>
        </w:trPr>
        <w:tc>
          <w:tcPr>
            <w:tcW w:w="1589" w:type="pct"/>
            <w:vMerge w:val="restart"/>
            <w:tcMar>
              <w:top w:w="30" w:type="dxa"/>
              <w:left w:w="45" w:type="dxa"/>
              <w:bottom w:w="30" w:type="dxa"/>
              <w:right w:w="45" w:type="dxa"/>
            </w:tcMar>
            <w:vAlign w:val="center"/>
            <w:hideMark/>
          </w:tcPr>
          <w:p w14:paraId="531E4B44" w14:textId="77777777" w:rsidR="00D901BA" w:rsidRPr="00D901BA" w:rsidRDefault="00D901BA" w:rsidP="00AA4BBB">
            <w:pPr>
              <w:rPr>
                <w:rFonts w:cs="Arial"/>
                <w:sz w:val="16"/>
                <w:szCs w:val="16"/>
              </w:rPr>
            </w:pPr>
            <w:r w:rsidRPr="00D901BA">
              <w:rPr>
                <w:rFonts w:cs="Arial"/>
                <w:sz w:val="16"/>
                <w:szCs w:val="16"/>
              </w:rPr>
              <w:t xml:space="preserve">Beneficiar a 500 personas a través de la ejecución de proyectos de cooperación con el sector religioso en el marco de la estrategia entornos inspiradores </w:t>
            </w:r>
          </w:p>
        </w:tc>
        <w:tc>
          <w:tcPr>
            <w:tcW w:w="673" w:type="pct"/>
            <w:tcMar>
              <w:top w:w="30" w:type="dxa"/>
              <w:left w:w="45" w:type="dxa"/>
              <w:bottom w:w="30" w:type="dxa"/>
              <w:right w:w="45" w:type="dxa"/>
            </w:tcMar>
            <w:vAlign w:val="center"/>
            <w:hideMark/>
          </w:tcPr>
          <w:p w14:paraId="4C3A5FDF" w14:textId="77777777" w:rsidR="00D901BA" w:rsidRPr="00D901BA" w:rsidRDefault="00D901BA" w:rsidP="00AA4BBB">
            <w:pPr>
              <w:jc w:val="center"/>
              <w:rPr>
                <w:rFonts w:cs="Arial"/>
                <w:sz w:val="16"/>
                <w:szCs w:val="16"/>
              </w:rPr>
            </w:pPr>
            <w:r w:rsidRPr="00D901BA">
              <w:rPr>
                <w:rFonts w:cs="Arial"/>
                <w:sz w:val="16"/>
                <w:szCs w:val="16"/>
              </w:rPr>
              <w:t>0</w:t>
            </w:r>
          </w:p>
        </w:tc>
        <w:tc>
          <w:tcPr>
            <w:tcW w:w="698" w:type="pct"/>
            <w:tcMar>
              <w:top w:w="30" w:type="dxa"/>
              <w:left w:w="45" w:type="dxa"/>
              <w:bottom w:w="30" w:type="dxa"/>
              <w:right w:w="45" w:type="dxa"/>
            </w:tcMar>
            <w:vAlign w:val="center"/>
            <w:hideMark/>
          </w:tcPr>
          <w:p w14:paraId="767CC4A0" w14:textId="77777777" w:rsidR="00D901BA" w:rsidRPr="00D901BA" w:rsidRDefault="00D901BA" w:rsidP="00AA4BBB">
            <w:pPr>
              <w:jc w:val="center"/>
              <w:rPr>
                <w:rFonts w:cs="Arial"/>
                <w:sz w:val="16"/>
                <w:szCs w:val="16"/>
              </w:rPr>
            </w:pPr>
            <w:r w:rsidRPr="00D901BA">
              <w:rPr>
                <w:rFonts w:cs="Arial"/>
                <w:sz w:val="16"/>
                <w:szCs w:val="16"/>
              </w:rPr>
              <w:t>500</w:t>
            </w:r>
          </w:p>
        </w:tc>
        <w:tc>
          <w:tcPr>
            <w:tcW w:w="704" w:type="pct"/>
            <w:tcMar>
              <w:top w:w="30" w:type="dxa"/>
              <w:left w:w="45" w:type="dxa"/>
              <w:bottom w:w="30" w:type="dxa"/>
              <w:right w:w="45" w:type="dxa"/>
            </w:tcMar>
            <w:vAlign w:val="center"/>
            <w:hideMark/>
          </w:tcPr>
          <w:p w14:paraId="2B902D6E" w14:textId="77777777" w:rsidR="00D901BA" w:rsidRPr="00D901BA" w:rsidRDefault="00D901BA" w:rsidP="00AA4BBB">
            <w:pPr>
              <w:jc w:val="center"/>
              <w:rPr>
                <w:rFonts w:cs="Arial"/>
                <w:sz w:val="16"/>
                <w:szCs w:val="16"/>
              </w:rPr>
            </w:pPr>
            <w:r w:rsidRPr="00D901BA">
              <w:rPr>
                <w:rFonts w:cs="Arial"/>
                <w:sz w:val="16"/>
                <w:szCs w:val="16"/>
              </w:rPr>
              <w:t>500</w:t>
            </w:r>
          </w:p>
        </w:tc>
        <w:tc>
          <w:tcPr>
            <w:tcW w:w="645" w:type="pct"/>
            <w:tcMar>
              <w:top w:w="30" w:type="dxa"/>
              <w:left w:w="45" w:type="dxa"/>
              <w:bottom w:w="30" w:type="dxa"/>
              <w:right w:w="45" w:type="dxa"/>
            </w:tcMar>
            <w:vAlign w:val="center"/>
            <w:hideMark/>
          </w:tcPr>
          <w:p w14:paraId="552B9FD0" w14:textId="77777777" w:rsidR="00D901BA" w:rsidRPr="00D901BA" w:rsidRDefault="00D901BA" w:rsidP="00AA4BBB">
            <w:pPr>
              <w:jc w:val="center"/>
              <w:rPr>
                <w:rFonts w:cs="Arial"/>
                <w:sz w:val="16"/>
                <w:szCs w:val="16"/>
              </w:rPr>
            </w:pPr>
            <w:r w:rsidRPr="00D901BA">
              <w:rPr>
                <w:rFonts w:cs="Arial"/>
                <w:sz w:val="16"/>
                <w:szCs w:val="16"/>
              </w:rPr>
              <w:t>500</w:t>
            </w:r>
          </w:p>
        </w:tc>
        <w:tc>
          <w:tcPr>
            <w:tcW w:w="691" w:type="pct"/>
            <w:vMerge w:val="restart"/>
            <w:tcMar>
              <w:top w:w="30" w:type="dxa"/>
              <w:left w:w="45" w:type="dxa"/>
              <w:bottom w:w="30" w:type="dxa"/>
              <w:right w:w="45" w:type="dxa"/>
            </w:tcMar>
            <w:vAlign w:val="center"/>
            <w:hideMark/>
          </w:tcPr>
          <w:p w14:paraId="059EDA03" w14:textId="77777777" w:rsidR="00D901BA" w:rsidRPr="00D901BA" w:rsidRDefault="00D901BA" w:rsidP="00AA4BBB">
            <w:pPr>
              <w:jc w:val="center"/>
              <w:rPr>
                <w:rFonts w:cs="Arial"/>
                <w:b/>
                <w:bCs/>
                <w:sz w:val="16"/>
                <w:szCs w:val="16"/>
              </w:rPr>
            </w:pPr>
            <w:r w:rsidRPr="00D901BA">
              <w:rPr>
                <w:rFonts w:cs="Arial"/>
                <w:b/>
                <w:bCs/>
                <w:sz w:val="16"/>
                <w:szCs w:val="16"/>
              </w:rPr>
              <w:t>378.534.620</w:t>
            </w:r>
          </w:p>
        </w:tc>
      </w:tr>
      <w:tr w:rsidR="00D901BA" w:rsidRPr="00D901BA" w14:paraId="7213A7B0" w14:textId="77777777" w:rsidTr="00D901BA">
        <w:trPr>
          <w:trHeight w:val="315"/>
        </w:trPr>
        <w:tc>
          <w:tcPr>
            <w:tcW w:w="1589" w:type="pct"/>
            <w:vMerge/>
            <w:vAlign w:val="center"/>
            <w:hideMark/>
          </w:tcPr>
          <w:p w14:paraId="3BF0250D"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06CA3D44" w14:textId="77777777" w:rsidR="00D901BA" w:rsidRPr="00D901BA" w:rsidRDefault="00D901BA" w:rsidP="00AA4BBB">
            <w:pPr>
              <w:jc w:val="center"/>
              <w:rPr>
                <w:rFonts w:cs="Arial"/>
                <w:sz w:val="16"/>
                <w:szCs w:val="16"/>
              </w:rPr>
            </w:pPr>
            <w:r w:rsidRPr="00D901BA">
              <w:rPr>
                <w:rFonts w:cs="Arial"/>
                <w:sz w:val="16"/>
                <w:szCs w:val="16"/>
              </w:rPr>
              <w:t>0</w:t>
            </w:r>
          </w:p>
        </w:tc>
        <w:tc>
          <w:tcPr>
            <w:tcW w:w="698" w:type="pct"/>
            <w:tcMar>
              <w:top w:w="30" w:type="dxa"/>
              <w:left w:w="45" w:type="dxa"/>
              <w:bottom w:w="30" w:type="dxa"/>
              <w:right w:w="45" w:type="dxa"/>
            </w:tcMar>
            <w:vAlign w:val="center"/>
            <w:hideMark/>
          </w:tcPr>
          <w:p w14:paraId="179D0F81" w14:textId="77777777" w:rsidR="00D901BA" w:rsidRPr="00D901BA" w:rsidRDefault="00D901BA" w:rsidP="00AA4BBB">
            <w:pPr>
              <w:jc w:val="center"/>
              <w:rPr>
                <w:rFonts w:cs="Arial"/>
                <w:sz w:val="16"/>
                <w:szCs w:val="16"/>
              </w:rPr>
            </w:pPr>
            <w:r w:rsidRPr="00D901BA">
              <w:rPr>
                <w:rFonts w:cs="Arial"/>
                <w:sz w:val="16"/>
                <w:szCs w:val="16"/>
              </w:rPr>
              <w:t>145.631.068</w:t>
            </w:r>
          </w:p>
        </w:tc>
        <w:tc>
          <w:tcPr>
            <w:tcW w:w="704" w:type="pct"/>
            <w:tcMar>
              <w:top w:w="30" w:type="dxa"/>
              <w:left w:w="45" w:type="dxa"/>
              <w:bottom w:w="30" w:type="dxa"/>
              <w:right w:w="45" w:type="dxa"/>
            </w:tcMar>
            <w:vAlign w:val="center"/>
            <w:hideMark/>
          </w:tcPr>
          <w:p w14:paraId="7F688B5F" w14:textId="77777777" w:rsidR="00D901BA" w:rsidRPr="00D901BA" w:rsidRDefault="00D901BA" w:rsidP="00AA4BBB">
            <w:pPr>
              <w:jc w:val="center"/>
              <w:rPr>
                <w:rFonts w:cs="Arial"/>
                <w:sz w:val="16"/>
                <w:szCs w:val="16"/>
              </w:rPr>
            </w:pPr>
            <w:r w:rsidRPr="00D901BA">
              <w:rPr>
                <w:rFonts w:cs="Arial"/>
                <w:sz w:val="16"/>
                <w:szCs w:val="16"/>
              </w:rPr>
              <w:t>141.389.386</w:t>
            </w:r>
          </w:p>
        </w:tc>
        <w:tc>
          <w:tcPr>
            <w:tcW w:w="645" w:type="pct"/>
            <w:tcMar>
              <w:top w:w="30" w:type="dxa"/>
              <w:left w:w="45" w:type="dxa"/>
              <w:bottom w:w="30" w:type="dxa"/>
              <w:right w:w="45" w:type="dxa"/>
            </w:tcMar>
            <w:vAlign w:val="center"/>
            <w:hideMark/>
          </w:tcPr>
          <w:p w14:paraId="68B7AE99" w14:textId="77777777" w:rsidR="00D901BA" w:rsidRPr="00D901BA" w:rsidRDefault="00D901BA" w:rsidP="00AA4BBB">
            <w:pPr>
              <w:jc w:val="center"/>
              <w:rPr>
                <w:rFonts w:cs="Arial"/>
                <w:sz w:val="16"/>
                <w:szCs w:val="16"/>
              </w:rPr>
            </w:pPr>
            <w:r w:rsidRPr="00D901BA">
              <w:rPr>
                <w:rFonts w:cs="Arial"/>
                <w:sz w:val="16"/>
                <w:szCs w:val="16"/>
              </w:rPr>
              <w:t>91.514.166</w:t>
            </w:r>
          </w:p>
        </w:tc>
        <w:tc>
          <w:tcPr>
            <w:tcW w:w="691" w:type="pct"/>
            <w:vMerge/>
            <w:vAlign w:val="center"/>
            <w:hideMark/>
          </w:tcPr>
          <w:p w14:paraId="69B223C8" w14:textId="77777777" w:rsidR="00D901BA" w:rsidRPr="00D901BA" w:rsidRDefault="00D901BA" w:rsidP="00AA4BBB">
            <w:pPr>
              <w:rPr>
                <w:rFonts w:cs="Arial"/>
                <w:b/>
                <w:bCs/>
                <w:sz w:val="16"/>
                <w:szCs w:val="16"/>
              </w:rPr>
            </w:pPr>
          </w:p>
        </w:tc>
      </w:tr>
      <w:tr w:rsidR="00D901BA" w:rsidRPr="00D901BA" w14:paraId="4F794863" w14:textId="77777777" w:rsidTr="00D901BA">
        <w:trPr>
          <w:trHeight w:val="315"/>
        </w:trPr>
        <w:tc>
          <w:tcPr>
            <w:tcW w:w="1589" w:type="pct"/>
            <w:vMerge w:val="restart"/>
            <w:tcMar>
              <w:top w:w="30" w:type="dxa"/>
              <w:left w:w="45" w:type="dxa"/>
              <w:bottom w:w="30" w:type="dxa"/>
              <w:right w:w="45" w:type="dxa"/>
            </w:tcMar>
            <w:vAlign w:val="center"/>
            <w:hideMark/>
          </w:tcPr>
          <w:p w14:paraId="77150AB0" w14:textId="77777777" w:rsidR="00D901BA" w:rsidRPr="00D901BA" w:rsidRDefault="00D901BA" w:rsidP="00AA4BBB">
            <w:pPr>
              <w:rPr>
                <w:rFonts w:cs="Arial"/>
                <w:sz w:val="16"/>
                <w:szCs w:val="16"/>
              </w:rPr>
            </w:pPr>
            <w:r w:rsidRPr="00D901BA">
              <w:rPr>
                <w:rFonts w:cs="Arial"/>
                <w:sz w:val="16"/>
                <w:szCs w:val="16"/>
              </w:rPr>
              <w:t xml:space="preserve">Desarrollar una (1) estrategia para promover la implementación del enfoque diferencial étnico y el desarrollo de procesos de gestión de conocimiento sobre los grupos </w:t>
            </w:r>
            <w:r w:rsidRPr="00D901BA">
              <w:rPr>
                <w:rFonts w:cs="Arial"/>
                <w:sz w:val="16"/>
                <w:szCs w:val="16"/>
              </w:rPr>
              <w:lastRenderedPageBreak/>
              <w:t>étnicos en la ciudad como medidas para combatir el racismo y la discriminación con un enfoque de género transversal.</w:t>
            </w:r>
          </w:p>
        </w:tc>
        <w:tc>
          <w:tcPr>
            <w:tcW w:w="673" w:type="pct"/>
            <w:tcMar>
              <w:top w:w="30" w:type="dxa"/>
              <w:left w:w="45" w:type="dxa"/>
              <w:bottom w:w="30" w:type="dxa"/>
              <w:right w:w="45" w:type="dxa"/>
            </w:tcMar>
            <w:vAlign w:val="center"/>
            <w:hideMark/>
          </w:tcPr>
          <w:p w14:paraId="7D47F699" w14:textId="46A6E57C" w:rsidR="00D901BA" w:rsidRPr="00D901BA" w:rsidRDefault="00D901BA" w:rsidP="00AA4BBB">
            <w:pPr>
              <w:jc w:val="center"/>
              <w:rPr>
                <w:rFonts w:cs="Arial"/>
                <w:sz w:val="16"/>
                <w:szCs w:val="16"/>
              </w:rPr>
            </w:pPr>
            <w:r w:rsidRPr="00D901BA">
              <w:rPr>
                <w:rFonts w:cs="Arial"/>
                <w:sz w:val="16"/>
                <w:szCs w:val="16"/>
              </w:rPr>
              <w:lastRenderedPageBreak/>
              <w:t>0</w:t>
            </w:r>
            <w:r w:rsidR="00C64667">
              <w:rPr>
                <w:rFonts w:cs="Arial"/>
                <w:sz w:val="16"/>
                <w:szCs w:val="16"/>
              </w:rPr>
              <w:t>,</w:t>
            </w:r>
            <w:r w:rsidRPr="00D901BA">
              <w:rPr>
                <w:rFonts w:cs="Arial"/>
                <w:sz w:val="16"/>
                <w:szCs w:val="16"/>
              </w:rPr>
              <w:t>10</w:t>
            </w:r>
          </w:p>
        </w:tc>
        <w:tc>
          <w:tcPr>
            <w:tcW w:w="698" w:type="pct"/>
            <w:tcMar>
              <w:top w:w="30" w:type="dxa"/>
              <w:left w:w="45" w:type="dxa"/>
              <w:bottom w:w="30" w:type="dxa"/>
              <w:right w:w="45" w:type="dxa"/>
            </w:tcMar>
            <w:vAlign w:val="center"/>
            <w:hideMark/>
          </w:tcPr>
          <w:p w14:paraId="4CCC44BE" w14:textId="2A9E3DEC"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25</w:t>
            </w:r>
          </w:p>
        </w:tc>
        <w:tc>
          <w:tcPr>
            <w:tcW w:w="704" w:type="pct"/>
            <w:tcMar>
              <w:top w:w="30" w:type="dxa"/>
              <w:left w:w="45" w:type="dxa"/>
              <w:bottom w:w="30" w:type="dxa"/>
              <w:right w:w="45" w:type="dxa"/>
            </w:tcMar>
            <w:vAlign w:val="center"/>
            <w:hideMark/>
          </w:tcPr>
          <w:p w14:paraId="5375FBEC" w14:textId="6FE11B87"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25</w:t>
            </w:r>
          </w:p>
        </w:tc>
        <w:tc>
          <w:tcPr>
            <w:tcW w:w="645" w:type="pct"/>
            <w:tcMar>
              <w:top w:w="30" w:type="dxa"/>
              <w:left w:w="45" w:type="dxa"/>
              <w:bottom w:w="30" w:type="dxa"/>
              <w:right w:w="45" w:type="dxa"/>
            </w:tcMar>
            <w:vAlign w:val="center"/>
            <w:hideMark/>
          </w:tcPr>
          <w:p w14:paraId="704E70D6" w14:textId="12C302C6"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40</w:t>
            </w:r>
          </w:p>
        </w:tc>
        <w:tc>
          <w:tcPr>
            <w:tcW w:w="691" w:type="pct"/>
            <w:vMerge w:val="restart"/>
            <w:tcMar>
              <w:top w:w="30" w:type="dxa"/>
              <w:left w:w="45" w:type="dxa"/>
              <w:bottom w:w="30" w:type="dxa"/>
              <w:right w:w="45" w:type="dxa"/>
            </w:tcMar>
            <w:vAlign w:val="center"/>
            <w:hideMark/>
          </w:tcPr>
          <w:p w14:paraId="0C4BB55C" w14:textId="77777777" w:rsidR="00D901BA" w:rsidRPr="00D901BA" w:rsidRDefault="00D901BA" w:rsidP="00AA4BBB">
            <w:pPr>
              <w:jc w:val="center"/>
              <w:rPr>
                <w:rFonts w:cs="Arial"/>
                <w:b/>
                <w:bCs/>
                <w:sz w:val="16"/>
                <w:szCs w:val="16"/>
              </w:rPr>
            </w:pPr>
            <w:r w:rsidRPr="00D901BA">
              <w:rPr>
                <w:rFonts w:cs="Arial"/>
                <w:b/>
                <w:bCs/>
                <w:sz w:val="16"/>
                <w:szCs w:val="16"/>
              </w:rPr>
              <w:t>7.102.811.132</w:t>
            </w:r>
          </w:p>
        </w:tc>
      </w:tr>
      <w:tr w:rsidR="00D901BA" w:rsidRPr="00D901BA" w14:paraId="252FA407" w14:textId="77777777" w:rsidTr="00D901BA">
        <w:trPr>
          <w:trHeight w:val="315"/>
        </w:trPr>
        <w:tc>
          <w:tcPr>
            <w:tcW w:w="1589" w:type="pct"/>
            <w:vMerge/>
            <w:vAlign w:val="center"/>
            <w:hideMark/>
          </w:tcPr>
          <w:p w14:paraId="7ADAE01E"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39D4DD27" w14:textId="77777777" w:rsidR="00D901BA" w:rsidRPr="00D901BA" w:rsidRDefault="00D901BA" w:rsidP="00AA4BBB">
            <w:pPr>
              <w:jc w:val="center"/>
              <w:rPr>
                <w:rFonts w:cs="Arial"/>
                <w:sz w:val="16"/>
                <w:szCs w:val="16"/>
              </w:rPr>
            </w:pPr>
            <w:r w:rsidRPr="00D901BA">
              <w:rPr>
                <w:rFonts w:cs="Arial"/>
                <w:sz w:val="16"/>
                <w:szCs w:val="16"/>
              </w:rPr>
              <w:t>500.000.000</w:t>
            </w:r>
          </w:p>
        </w:tc>
        <w:tc>
          <w:tcPr>
            <w:tcW w:w="698" w:type="pct"/>
            <w:tcMar>
              <w:top w:w="30" w:type="dxa"/>
              <w:left w:w="45" w:type="dxa"/>
              <w:bottom w:w="30" w:type="dxa"/>
              <w:right w:w="45" w:type="dxa"/>
            </w:tcMar>
            <w:vAlign w:val="center"/>
            <w:hideMark/>
          </w:tcPr>
          <w:p w14:paraId="3634FD8E" w14:textId="77777777" w:rsidR="00D901BA" w:rsidRPr="00D901BA" w:rsidRDefault="00D901BA" w:rsidP="00AA4BBB">
            <w:pPr>
              <w:jc w:val="center"/>
              <w:rPr>
                <w:rFonts w:cs="Arial"/>
                <w:sz w:val="16"/>
                <w:szCs w:val="16"/>
              </w:rPr>
            </w:pPr>
            <w:r w:rsidRPr="00D901BA">
              <w:rPr>
                <w:rFonts w:cs="Arial"/>
                <w:sz w:val="16"/>
                <w:szCs w:val="16"/>
              </w:rPr>
              <w:t>2.233.009.709</w:t>
            </w:r>
          </w:p>
        </w:tc>
        <w:tc>
          <w:tcPr>
            <w:tcW w:w="704" w:type="pct"/>
            <w:tcMar>
              <w:top w:w="30" w:type="dxa"/>
              <w:left w:w="45" w:type="dxa"/>
              <w:bottom w:w="30" w:type="dxa"/>
              <w:right w:w="45" w:type="dxa"/>
            </w:tcMar>
            <w:vAlign w:val="center"/>
            <w:hideMark/>
          </w:tcPr>
          <w:p w14:paraId="29F00901" w14:textId="77777777" w:rsidR="00D901BA" w:rsidRPr="00D901BA" w:rsidRDefault="00D901BA" w:rsidP="00AA4BBB">
            <w:pPr>
              <w:jc w:val="center"/>
              <w:rPr>
                <w:rFonts w:cs="Arial"/>
                <w:sz w:val="16"/>
                <w:szCs w:val="16"/>
              </w:rPr>
            </w:pPr>
            <w:r w:rsidRPr="00D901BA">
              <w:rPr>
                <w:rFonts w:cs="Arial"/>
                <w:sz w:val="16"/>
                <w:szCs w:val="16"/>
              </w:rPr>
              <w:t>2.356.489.773</w:t>
            </w:r>
          </w:p>
        </w:tc>
        <w:tc>
          <w:tcPr>
            <w:tcW w:w="645" w:type="pct"/>
            <w:tcMar>
              <w:top w:w="30" w:type="dxa"/>
              <w:left w:w="45" w:type="dxa"/>
              <w:bottom w:w="30" w:type="dxa"/>
              <w:right w:w="45" w:type="dxa"/>
            </w:tcMar>
            <w:vAlign w:val="center"/>
            <w:hideMark/>
          </w:tcPr>
          <w:p w14:paraId="78962BB9" w14:textId="77777777" w:rsidR="00D901BA" w:rsidRPr="00D901BA" w:rsidRDefault="00D901BA" w:rsidP="00AA4BBB">
            <w:pPr>
              <w:jc w:val="center"/>
              <w:rPr>
                <w:rFonts w:cs="Arial"/>
                <w:sz w:val="16"/>
                <w:szCs w:val="16"/>
              </w:rPr>
            </w:pPr>
            <w:r w:rsidRPr="00D901BA">
              <w:rPr>
                <w:rFonts w:cs="Arial"/>
                <w:sz w:val="16"/>
                <w:szCs w:val="16"/>
              </w:rPr>
              <w:t>2.013.311.651</w:t>
            </w:r>
          </w:p>
        </w:tc>
        <w:tc>
          <w:tcPr>
            <w:tcW w:w="691" w:type="pct"/>
            <w:vMerge/>
            <w:vAlign w:val="center"/>
            <w:hideMark/>
          </w:tcPr>
          <w:p w14:paraId="34185989" w14:textId="77777777" w:rsidR="00D901BA" w:rsidRPr="00D901BA" w:rsidRDefault="00D901BA" w:rsidP="00AA4BBB">
            <w:pPr>
              <w:rPr>
                <w:rFonts w:cs="Arial"/>
                <w:b/>
                <w:bCs/>
                <w:sz w:val="16"/>
                <w:szCs w:val="16"/>
              </w:rPr>
            </w:pPr>
          </w:p>
        </w:tc>
      </w:tr>
      <w:tr w:rsidR="00D901BA" w:rsidRPr="00D901BA" w14:paraId="214B3151" w14:textId="77777777" w:rsidTr="00D901BA">
        <w:trPr>
          <w:trHeight w:val="315"/>
        </w:trPr>
        <w:tc>
          <w:tcPr>
            <w:tcW w:w="1589" w:type="pct"/>
            <w:vMerge w:val="restart"/>
            <w:tcMar>
              <w:top w:w="30" w:type="dxa"/>
              <w:left w:w="45" w:type="dxa"/>
              <w:bottom w:w="30" w:type="dxa"/>
              <w:right w:w="45" w:type="dxa"/>
            </w:tcMar>
            <w:vAlign w:val="center"/>
            <w:hideMark/>
          </w:tcPr>
          <w:p w14:paraId="2FB4706B" w14:textId="77777777" w:rsidR="00D901BA" w:rsidRPr="00D901BA" w:rsidRDefault="00D901BA" w:rsidP="00AA4BBB">
            <w:pPr>
              <w:rPr>
                <w:rFonts w:cs="Arial"/>
                <w:sz w:val="16"/>
                <w:szCs w:val="16"/>
              </w:rPr>
            </w:pPr>
            <w:r w:rsidRPr="00D901BA">
              <w:rPr>
                <w:rFonts w:cs="Arial"/>
                <w:sz w:val="16"/>
                <w:szCs w:val="16"/>
              </w:rPr>
              <w:t>Ejecutar 14 iniciativas que garanticen el ejercicio de las libertades fundamentales de religión culto y conciencia en el marco de la política pública existente</w:t>
            </w:r>
          </w:p>
        </w:tc>
        <w:tc>
          <w:tcPr>
            <w:tcW w:w="673" w:type="pct"/>
            <w:tcMar>
              <w:top w:w="30" w:type="dxa"/>
              <w:left w:w="45" w:type="dxa"/>
              <w:bottom w:w="30" w:type="dxa"/>
              <w:right w:w="45" w:type="dxa"/>
            </w:tcMar>
            <w:vAlign w:val="center"/>
            <w:hideMark/>
          </w:tcPr>
          <w:p w14:paraId="38498479" w14:textId="77777777" w:rsidR="00D901BA" w:rsidRPr="00D901BA" w:rsidRDefault="00D901BA" w:rsidP="00AA4BBB">
            <w:pPr>
              <w:jc w:val="center"/>
              <w:rPr>
                <w:rFonts w:cs="Arial"/>
                <w:sz w:val="16"/>
                <w:szCs w:val="16"/>
              </w:rPr>
            </w:pPr>
            <w:r w:rsidRPr="00D901BA">
              <w:rPr>
                <w:rFonts w:cs="Arial"/>
                <w:sz w:val="16"/>
                <w:szCs w:val="16"/>
              </w:rPr>
              <w:t>14</w:t>
            </w:r>
          </w:p>
        </w:tc>
        <w:tc>
          <w:tcPr>
            <w:tcW w:w="698" w:type="pct"/>
            <w:tcMar>
              <w:top w:w="30" w:type="dxa"/>
              <w:left w:w="45" w:type="dxa"/>
              <w:bottom w:w="30" w:type="dxa"/>
              <w:right w:w="45" w:type="dxa"/>
            </w:tcMar>
            <w:vAlign w:val="center"/>
            <w:hideMark/>
          </w:tcPr>
          <w:p w14:paraId="776BFA5C" w14:textId="77777777" w:rsidR="00D901BA" w:rsidRPr="00D901BA" w:rsidRDefault="00D901BA" w:rsidP="00AA4BBB">
            <w:pPr>
              <w:jc w:val="center"/>
              <w:rPr>
                <w:rFonts w:cs="Arial"/>
                <w:sz w:val="16"/>
                <w:szCs w:val="16"/>
              </w:rPr>
            </w:pPr>
            <w:r w:rsidRPr="00D901BA">
              <w:rPr>
                <w:rFonts w:cs="Arial"/>
                <w:sz w:val="16"/>
                <w:szCs w:val="16"/>
              </w:rPr>
              <w:t>14</w:t>
            </w:r>
          </w:p>
        </w:tc>
        <w:tc>
          <w:tcPr>
            <w:tcW w:w="704" w:type="pct"/>
            <w:tcMar>
              <w:top w:w="30" w:type="dxa"/>
              <w:left w:w="45" w:type="dxa"/>
              <w:bottom w:w="30" w:type="dxa"/>
              <w:right w:w="45" w:type="dxa"/>
            </w:tcMar>
            <w:vAlign w:val="center"/>
            <w:hideMark/>
          </w:tcPr>
          <w:p w14:paraId="0470848D" w14:textId="77777777" w:rsidR="00D901BA" w:rsidRPr="00D901BA" w:rsidRDefault="00D901BA" w:rsidP="00AA4BBB">
            <w:pPr>
              <w:jc w:val="center"/>
              <w:rPr>
                <w:rFonts w:cs="Arial"/>
                <w:sz w:val="16"/>
                <w:szCs w:val="16"/>
              </w:rPr>
            </w:pPr>
            <w:r w:rsidRPr="00D901BA">
              <w:rPr>
                <w:rFonts w:cs="Arial"/>
                <w:sz w:val="16"/>
                <w:szCs w:val="16"/>
              </w:rPr>
              <w:t>14</w:t>
            </w:r>
          </w:p>
        </w:tc>
        <w:tc>
          <w:tcPr>
            <w:tcW w:w="645" w:type="pct"/>
            <w:tcMar>
              <w:top w:w="30" w:type="dxa"/>
              <w:left w:w="45" w:type="dxa"/>
              <w:bottom w:w="30" w:type="dxa"/>
              <w:right w:w="45" w:type="dxa"/>
            </w:tcMar>
            <w:vAlign w:val="center"/>
            <w:hideMark/>
          </w:tcPr>
          <w:p w14:paraId="6B99C2B4" w14:textId="77777777" w:rsidR="00D901BA" w:rsidRPr="00D901BA" w:rsidRDefault="00D901BA" w:rsidP="00AA4BBB">
            <w:pPr>
              <w:jc w:val="center"/>
              <w:rPr>
                <w:rFonts w:cs="Arial"/>
                <w:sz w:val="16"/>
                <w:szCs w:val="16"/>
              </w:rPr>
            </w:pPr>
            <w:r w:rsidRPr="00D901BA">
              <w:rPr>
                <w:rFonts w:cs="Arial"/>
                <w:sz w:val="16"/>
                <w:szCs w:val="16"/>
              </w:rPr>
              <w:t>14</w:t>
            </w:r>
          </w:p>
        </w:tc>
        <w:tc>
          <w:tcPr>
            <w:tcW w:w="691" w:type="pct"/>
            <w:vMerge w:val="restart"/>
            <w:tcMar>
              <w:top w:w="30" w:type="dxa"/>
              <w:left w:w="45" w:type="dxa"/>
              <w:bottom w:w="30" w:type="dxa"/>
              <w:right w:w="45" w:type="dxa"/>
            </w:tcMar>
            <w:vAlign w:val="center"/>
            <w:hideMark/>
          </w:tcPr>
          <w:p w14:paraId="04CF570D" w14:textId="77777777" w:rsidR="00D901BA" w:rsidRPr="00D901BA" w:rsidRDefault="00D901BA" w:rsidP="00AA4BBB">
            <w:pPr>
              <w:jc w:val="center"/>
              <w:rPr>
                <w:rFonts w:cs="Arial"/>
                <w:b/>
                <w:bCs/>
                <w:sz w:val="16"/>
                <w:szCs w:val="16"/>
              </w:rPr>
            </w:pPr>
            <w:r w:rsidRPr="00D901BA">
              <w:rPr>
                <w:rFonts w:cs="Arial"/>
                <w:b/>
                <w:bCs/>
                <w:sz w:val="16"/>
                <w:szCs w:val="16"/>
              </w:rPr>
              <w:t>4.247.050.307</w:t>
            </w:r>
          </w:p>
        </w:tc>
      </w:tr>
      <w:tr w:rsidR="00D901BA" w:rsidRPr="00D901BA" w14:paraId="69C00FE4" w14:textId="77777777" w:rsidTr="00D901BA">
        <w:trPr>
          <w:trHeight w:val="315"/>
        </w:trPr>
        <w:tc>
          <w:tcPr>
            <w:tcW w:w="1589" w:type="pct"/>
            <w:vMerge/>
            <w:vAlign w:val="center"/>
            <w:hideMark/>
          </w:tcPr>
          <w:p w14:paraId="5CAFAE9D"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5ACAB418" w14:textId="77777777" w:rsidR="00D901BA" w:rsidRPr="00D901BA" w:rsidRDefault="00D901BA" w:rsidP="00AA4BBB">
            <w:pPr>
              <w:jc w:val="center"/>
              <w:rPr>
                <w:rFonts w:cs="Arial"/>
                <w:sz w:val="16"/>
                <w:szCs w:val="16"/>
              </w:rPr>
            </w:pPr>
            <w:r w:rsidRPr="00D901BA">
              <w:rPr>
                <w:rFonts w:cs="Arial"/>
                <w:sz w:val="16"/>
                <w:szCs w:val="16"/>
              </w:rPr>
              <w:t>683.000.000</w:t>
            </w:r>
          </w:p>
        </w:tc>
        <w:tc>
          <w:tcPr>
            <w:tcW w:w="698" w:type="pct"/>
            <w:tcMar>
              <w:top w:w="30" w:type="dxa"/>
              <w:left w:w="45" w:type="dxa"/>
              <w:bottom w:w="30" w:type="dxa"/>
              <w:right w:w="45" w:type="dxa"/>
            </w:tcMar>
            <w:vAlign w:val="center"/>
            <w:hideMark/>
          </w:tcPr>
          <w:p w14:paraId="2D6BEE9C" w14:textId="77777777" w:rsidR="00D901BA" w:rsidRPr="00D901BA" w:rsidRDefault="00D901BA" w:rsidP="00AA4BBB">
            <w:pPr>
              <w:jc w:val="center"/>
              <w:rPr>
                <w:rFonts w:cs="Arial"/>
                <w:sz w:val="16"/>
                <w:szCs w:val="16"/>
              </w:rPr>
            </w:pPr>
            <w:r w:rsidRPr="00D901BA">
              <w:rPr>
                <w:rFonts w:cs="Arial"/>
                <w:sz w:val="16"/>
                <w:szCs w:val="16"/>
              </w:rPr>
              <w:t>1.223.300.971</w:t>
            </w:r>
          </w:p>
        </w:tc>
        <w:tc>
          <w:tcPr>
            <w:tcW w:w="704" w:type="pct"/>
            <w:tcMar>
              <w:top w:w="30" w:type="dxa"/>
              <w:left w:w="45" w:type="dxa"/>
              <w:bottom w:w="30" w:type="dxa"/>
              <w:right w:w="45" w:type="dxa"/>
            </w:tcMar>
            <w:vAlign w:val="center"/>
            <w:hideMark/>
          </w:tcPr>
          <w:p w14:paraId="20ADB41C" w14:textId="77777777" w:rsidR="00D901BA" w:rsidRPr="00D901BA" w:rsidRDefault="00D901BA" w:rsidP="00AA4BBB">
            <w:pPr>
              <w:jc w:val="center"/>
              <w:rPr>
                <w:rFonts w:cs="Arial"/>
                <w:sz w:val="16"/>
                <w:szCs w:val="16"/>
              </w:rPr>
            </w:pPr>
            <w:r w:rsidRPr="00D901BA">
              <w:rPr>
                <w:rFonts w:cs="Arial"/>
                <w:sz w:val="16"/>
                <w:szCs w:val="16"/>
              </w:rPr>
              <w:t>1.187.670.846</w:t>
            </w:r>
          </w:p>
        </w:tc>
        <w:tc>
          <w:tcPr>
            <w:tcW w:w="645" w:type="pct"/>
            <w:tcMar>
              <w:top w:w="30" w:type="dxa"/>
              <w:left w:w="45" w:type="dxa"/>
              <w:bottom w:w="30" w:type="dxa"/>
              <w:right w:w="45" w:type="dxa"/>
            </w:tcMar>
            <w:vAlign w:val="center"/>
            <w:hideMark/>
          </w:tcPr>
          <w:p w14:paraId="42E35D0E" w14:textId="77777777" w:rsidR="00D901BA" w:rsidRPr="00D901BA" w:rsidRDefault="00D901BA" w:rsidP="00AA4BBB">
            <w:pPr>
              <w:jc w:val="center"/>
              <w:rPr>
                <w:rFonts w:cs="Arial"/>
                <w:sz w:val="16"/>
                <w:szCs w:val="16"/>
              </w:rPr>
            </w:pPr>
            <w:r w:rsidRPr="00D901BA">
              <w:rPr>
                <w:rFonts w:cs="Arial"/>
                <w:sz w:val="16"/>
                <w:szCs w:val="16"/>
              </w:rPr>
              <w:t>1.153.078.491</w:t>
            </w:r>
          </w:p>
        </w:tc>
        <w:tc>
          <w:tcPr>
            <w:tcW w:w="691" w:type="pct"/>
            <w:vMerge/>
            <w:vAlign w:val="center"/>
            <w:hideMark/>
          </w:tcPr>
          <w:p w14:paraId="2775B57C" w14:textId="77777777" w:rsidR="00D901BA" w:rsidRPr="00D901BA" w:rsidRDefault="00D901BA" w:rsidP="00AA4BBB">
            <w:pPr>
              <w:rPr>
                <w:rFonts w:cs="Arial"/>
                <w:b/>
                <w:bCs/>
                <w:sz w:val="16"/>
                <w:szCs w:val="16"/>
              </w:rPr>
            </w:pPr>
          </w:p>
        </w:tc>
      </w:tr>
      <w:tr w:rsidR="00D901BA" w:rsidRPr="00D901BA" w14:paraId="72220A10" w14:textId="77777777" w:rsidTr="00D901BA">
        <w:trPr>
          <w:trHeight w:val="315"/>
        </w:trPr>
        <w:tc>
          <w:tcPr>
            <w:tcW w:w="1589" w:type="pct"/>
            <w:vMerge w:val="restart"/>
            <w:tcMar>
              <w:top w:w="30" w:type="dxa"/>
              <w:left w:w="45" w:type="dxa"/>
              <w:bottom w:w="30" w:type="dxa"/>
              <w:right w:w="45" w:type="dxa"/>
            </w:tcMar>
            <w:vAlign w:val="center"/>
            <w:hideMark/>
          </w:tcPr>
          <w:p w14:paraId="082E805D" w14:textId="77777777" w:rsidR="00D901BA" w:rsidRPr="00D901BA" w:rsidRDefault="00D901BA" w:rsidP="00AA4BBB">
            <w:pPr>
              <w:rPr>
                <w:rFonts w:cs="Arial"/>
                <w:sz w:val="16"/>
                <w:szCs w:val="16"/>
              </w:rPr>
            </w:pPr>
            <w:r w:rsidRPr="00D901BA">
              <w:rPr>
                <w:rFonts w:cs="Arial"/>
                <w:sz w:val="16"/>
                <w:szCs w:val="16"/>
              </w:rPr>
              <w:t>Implementar el 100% de los productos a cargo del Secretaría Distrital de Gobierno consignados en los planes de acción de las Políticas Públicas para los pueblos y comunidades Indígenas y su capítulo Muisca Rrom Negros Afrocolombianos y su capítulo Palenquero y Raizales para el periodo 2024-2028</w:t>
            </w:r>
          </w:p>
        </w:tc>
        <w:tc>
          <w:tcPr>
            <w:tcW w:w="673" w:type="pct"/>
            <w:tcMar>
              <w:top w:w="30" w:type="dxa"/>
              <w:left w:w="45" w:type="dxa"/>
              <w:bottom w:w="30" w:type="dxa"/>
              <w:right w:w="45" w:type="dxa"/>
            </w:tcMar>
            <w:vAlign w:val="center"/>
            <w:hideMark/>
          </w:tcPr>
          <w:p w14:paraId="7AFF1DCA" w14:textId="77777777" w:rsidR="00D901BA" w:rsidRPr="00D901BA" w:rsidRDefault="00D901BA" w:rsidP="00AA4BBB">
            <w:pPr>
              <w:jc w:val="center"/>
              <w:rPr>
                <w:rFonts w:cs="Arial"/>
                <w:sz w:val="16"/>
                <w:szCs w:val="16"/>
              </w:rPr>
            </w:pPr>
            <w:r w:rsidRPr="00D901BA">
              <w:rPr>
                <w:rFonts w:cs="Arial"/>
                <w:sz w:val="16"/>
                <w:szCs w:val="16"/>
              </w:rPr>
              <w:t>100%</w:t>
            </w:r>
          </w:p>
        </w:tc>
        <w:tc>
          <w:tcPr>
            <w:tcW w:w="698" w:type="pct"/>
            <w:tcMar>
              <w:top w:w="30" w:type="dxa"/>
              <w:left w:w="45" w:type="dxa"/>
              <w:bottom w:w="30" w:type="dxa"/>
              <w:right w:w="45" w:type="dxa"/>
            </w:tcMar>
            <w:vAlign w:val="center"/>
            <w:hideMark/>
          </w:tcPr>
          <w:p w14:paraId="2826BC74" w14:textId="77777777" w:rsidR="00D901BA" w:rsidRPr="00D901BA" w:rsidRDefault="00D901BA" w:rsidP="00AA4BBB">
            <w:pPr>
              <w:jc w:val="center"/>
              <w:rPr>
                <w:rFonts w:cs="Arial"/>
                <w:sz w:val="16"/>
                <w:szCs w:val="16"/>
              </w:rPr>
            </w:pPr>
            <w:r w:rsidRPr="00D901BA">
              <w:rPr>
                <w:rFonts w:cs="Arial"/>
                <w:sz w:val="16"/>
                <w:szCs w:val="16"/>
              </w:rPr>
              <w:t>100%</w:t>
            </w:r>
          </w:p>
        </w:tc>
        <w:tc>
          <w:tcPr>
            <w:tcW w:w="704" w:type="pct"/>
            <w:tcMar>
              <w:top w:w="30" w:type="dxa"/>
              <w:left w:w="45" w:type="dxa"/>
              <w:bottom w:w="30" w:type="dxa"/>
              <w:right w:w="45" w:type="dxa"/>
            </w:tcMar>
            <w:vAlign w:val="center"/>
            <w:hideMark/>
          </w:tcPr>
          <w:p w14:paraId="71188188" w14:textId="77777777" w:rsidR="00D901BA" w:rsidRPr="00D901BA" w:rsidRDefault="00D901BA" w:rsidP="00AA4BBB">
            <w:pPr>
              <w:jc w:val="center"/>
              <w:rPr>
                <w:rFonts w:cs="Arial"/>
                <w:sz w:val="16"/>
                <w:szCs w:val="16"/>
              </w:rPr>
            </w:pPr>
            <w:r w:rsidRPr="00D901BA">
              <w:rPr>
                <w:rFonts w:cs="Arial"/>
                <w:sz w:val="16"/>
                <w:szCs w:val="16"/>
              </w:rPr>
              <w:t>100%</w:t>
            </w:r>
          </w:p>
        </w:tc>
        <w:tc>
          <w:tcPr>
            <w:tcW w:w="645" w:type="pct"/>
            <w:tcMar>
              <w:top w:w="30" w:type="dxa"/>
              <w:left w:w="45" w:type="dxa"/>
              <w:bottom w:w="30" w:type="dxa"/>
              <w:right w:w="45" w:type="dxa"/>
            </w:tcMar>
            <w:vAlign w:val="center"/>
            <w:hideMark/>
          </w:tcPr>
          <w:p w14:paraId="542E44FA" w14:textId="77777777" w:rsidR="00D901BA" w:rsidRPr="00D901BA" w:rsidRDefault="00D901BA" w:rsidP="00AA4BBB">
            <w:pPr>
              <w:jc w:val="center"/>
              <w:rPr>
                <w:rFonts w:cs="Arial"/>
                <w:sz w:val="16"/>
                <w:szCs w:val="16"/>
              </w:rPr>
            </w:pPr>
            <w:r w:rsidRPr="00D901BA">
              <w:rPr>
                <w:rFonts w:cs="Arial"/>
                <w:sz w:val="16"/>
                <w:szCs w:val="16"/>
              </w:rPr>
              <w:t>100%</w:t>
            </w:r>
          </w:p>
        </w:tc>
        <w:tc>
          <w:tcPr>
            <w:tcW w:w="691" w:type="pct"/>
            <w:vMerge w:val="restart"/>
            <w:tcMar>
              <w:top w:w="30" w:type="dxa"/>
              <w:left w:w="45" w:type="dxa"/>
              <w:bottom w:w="30" w:type="dxa"/>
              <w:right w:w="45" w:type="dxa"/>
            </w:tcMar>
            <w:vAlign w:val="center"/>
            <w:hideMark/>
          </w:tcPr>
          <w:p w14:paraId="0E190D5B" w14:textId="77777777" w:rsidR="00D901BA" w:rsidRPr="00D901BA" w:rsidRDefault="00D901BA" w:rsidP="00AA4BBB">
            <w:pPr>
              <w:jc w:val="center"/>
              <w:rPr>
                <w:rFonts w:cs="Arial"/>
                <w:b/>
                <w:bCs/>
                <w:sz w:val="16"/>
                <w:szCs w:val="16"/>
              </w:rPr>
            </w:pPr>
            <w:r w:rsidRPr="00D901BA">
              <w:rPr>
                <w:rFonts w:cs="Arial"/>
                <w:b/>
                <w:bCs/>
                <w:sz w:val="16"/>
                <w:szCs w:val="16"/>
              </w:rPr>
              <w:t>7.014.459.147</w:t>
            </w:r>
          </w:p>
        </w:tc>
      </w:tr>
      <w:tr w:rsidR="00D901BA" w:rsidRPr="00D901BA" w14:paraId="3E3B180E" w14:textId="77777777" w:rsidTr="00D901BA">
        <w:trPr>
          <w:trHeight w:val="315"/>
        </w:trPr>
        <w:tc>
          <w:tcPr>
            <w:tcW w:w="1589" w:type="pct"/>
            <w:vMerge/>
            <w:vAlign w:val="center"/>
            <w:hideMark/>
          </w:tcPr>
          <w:p w14:paraId="1EE8F5E2"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6A2DB27F" w14:textId="77777777" w:rsidR="00D901BA" w:rsidRPr="00D901BA" w:rsidRDefault="00D901BA" w:rsidP="00AA4BBB">
            <w:pPr>
              <w:jc w:val="center"/>
              <w:rPr>
                <w:rFonts w:cs="Arial"/>
                <w:sz w:val="16"/>
                <w:szCs w:val="16"/>
              </w:rPr>
            </w:pPr>
            <w:r w:rsidRPr="00D901BA">
              <w:rPr>
                <w:rFonts w:cs="Arial"/>
                <w:sz w:val="16"/>
                <w:szCs w:val="16"/>
              </w:rPr>
              <w:t>700.000.000</w:t>
            </w:r>
          </w:p>
        </w:tc>
        <w:tc>
          <w:tcPr>
            <w:tcW w:w="698" w:type="pct"/>
            <w:tcMar>
              <w:top w:w="30" w:type="dxa"/>
              <w:left w:w="45" w:type="dxa"/>
              <w:bottom w:w="30" w:type="dxa"/>
              <w:right w:w="45" w:type="dxa"/>
            </w:tcMar>
            <w:vAlign w:val="center"/>
            <w:hideMark/>
          </w:tcPr>
          <w:p w14:paraId="76259257" w14:textId="77777777" w:rsidR="00D901BA" w:rsidRPr="00D901BA" w:rsidRDefault="00D901BA" w:rsidP="00AA4BBB">
            <w:pPr>
              <w:jc w:val="center"/>
              <w:rPr>
                <w:rFonts w:cs="Arial"/>
                <w:sz w:val="16"/>
                <w:szCs w:val="16"/>
              </w:rPr>
            </w:pPr>
            <w:r w:rsidRPr="00D901BA">
              <w:rPr>
                <w:rFonts w:cs="Arial"/>
                <w:sz w:val="16"/>
                <w:szCs w:val="16"/>
              </w:rPr>
              <w:t>2.135.922.330</w:t>
            </w:r>
          </w:p>
        </w:tc>
        <w:tc>
          <w:tcPr>
            <w:tcW w:w="704" w:type="pct"/>
            <w:tcMar>
              <w:top w:w="30" w:type="dxa"/>
              <w:left w:w="45" w:type="dxa"/>
              <w:bottom w:w="30" w:type="dxa"/>
              <w:right w:w="45" w:type="dxa"/>
            </w:tcMar>
            <w:vAlign w:val="center"/>
            <w:hideMark/>
          </w:tcPr>
          <w:p w14:paraId="1A6C1C81" w14:textId="77777777" w:rsidR="00D901BA" w:rsidRPr="00D901BA" w:rsidRDefault="00D901BA" w:rsidP="00AA4BBB">
            <w:pPr>
              <w:jc w:val="center"/>
              <w:rPr>
                <w:rFonts w:cs="Arial"/>
                <w:sz w:val="16"/>
                <w:szCs w:val="16"/>
              </w:rPr>
            </w:pPr>
            <w:r w:rsidRPr="00D901BA">
              <w:rPr>
                <w:rFonts w:cs="Arial"/>
                <w:sz w:val="16"/>
                <w:szCs w:val="16"/>
              </w:rPr>
              <w:t>2.073.711.000</w:t>
            </w:r>
          </w:p>
        </w:tc>
        <w:tc>
          <w:tcPr>
            <w:tcW w:w="645" w:type="pct"/>
            <w:tcMar>
              <w:top w:w="30" w:type="dxa"/>
              <w:left w:w="45" w:type="dxa"/>
              <w:bottom w:w="30" w:type="dxa"/>
              <w:right w:w="45" w:type="dxa"/>
            </w:tcMar>
            <w:vAlign w:val="center"/>
            <w:hideMark/>
          </w:tcPr>
          <w:p w14:paraId="408E2EF2" w14:textId="77777777" w:rsidR="00D901BA" w:rsidRPr="00D901BA" w:rsidRDefault="00D901BA" w:rsidP="00AA4BBB">
            <w:pPr>
              <w:jc w:val="center"/>
              <w:rPr>
                <w:rFonts w:cs="Arial"/>
                <w:sz w:val="16"/>
                <w:szCs w:val="16"/>
              </w:rPr>
            </w:pPr>
            <w:r w:rsidRPr="00D901BA">
              <w:rPr>
                <w:rFonts w:cs="Arial"/>
                <w:sz w:val="16"/>
                <w:szCs w:val="16"/>
              </w:rPr>
              <w:t>2.104.825.817</w:t>
            </w:r>
          </w:p>
        </w:tc>
        <w:tc>
          <w:tcPr>
            <w:tcW w:w="691" w:type="pct"/>
            <w:vMerge/>
            <w:vAlign w:val="center"/>
            <w:hideMark/>
          </w:tcPr>
          <w:p w14:paraId="29ABC897" w14:textId="77777777" w:rsidR="00D901BA" w:rsidRPr="00D901BA" w:rsidRDefault="00D901BA" w:rsidP="00AA4BBB">
            <w:pPr>
              <w:rPr>
                <w:rFonts w:cs="Arial"/>
                <w:b/>
                <w:bCs/>
                <w:sz w:val="16"/>
                <w:szCs w:val="16"/>
              </w:rPr>
            </w:pPr>
          </w:p>
        </w:tc>
      </w:tr>
      <w:tr w:rsidR="00D901BA" w:rsidRPr="00D901BA" w14:paraId="7370C03D" w14:textId="77777777" w:rsidTr="00D901BA">
        <w:trPr>
          <w:trHeight w:val="315"/>
        </w:trPr>
        <w:tc>
          <w:tcPr>
            <w:tcW w:w="1589" w:type="pct"/>
            <w:vMerge w:val="restart"/>
            <w:tcMar>
              <w:top w:w="30" w:type="dxa"/>
              <w:left w:w="45" w:type="dxa"/>
              <w:bottom w:w="30" w:type="dxa"/>
              <w:right w:w="45" w:type="dxa"/>
            </w:tcMar>
            <w:vAlign w:val="center"/>
            <w:hideMark/>
          </w:tcPr>
          <w:p w14:paraId="7C16AAB2" w14:textId="77777777" w:rsidR="00D901BA" w:rsidRPr="00D901BA" w:rsidRDefault="00D901BA" w:rsidP="00AA4BBB">
            <w:pPr>
              <w:rPr>
                <w:rFonts w:cs="Arial"/>
                <w:sz w:val="16"/>
                <w:szCs w:val="16"/>
              </w:rPr>
            </w:pPr>
            <w:r w:rsidRPr="00D901BA">
              <w:rPr>
                <w:rFonts w:cs="Arial"/>
                <w:sz w:val="16"/>
                <w:szCs w:val="16"/>
              </w:rPr>
              <w:t>Prestar 40.000 atenciones con enfoque diferencial y de género a las personas que soliciten los servicios brindados en los espacios de atención apropiación cultural y reconocimiento de procesos organizativos de los grupos étnicos en Bogotá.</w:t>
            </w:r>
          </w:p>
        </w:tc>
        <w:tc>
          <w:tcPr>
            <w:tcW w:w="673" w:type="pct"/>
            <w:tcMar>
              <w:top w:w="30" w:type="dxa"/>
              <w:left w:w="45" w:type="dxa"/>
              <w:bottom w:w="30" w:type="dxa"/>
              <w:right w:w="45" w:type="dxa"/>
            </w:tcMar>
            <w:vAlign w:val="center"/>
            <w:hideMark/>
          </w:tcPr>
          <w:p w14:paraId="0C9F7829" w14:textId="77777777" w:rsidR="00D901BA" w:rsidRPr="00D901BA" w:rsidRDefault="00D901BA" w:rsidP="00AA4BBB">
            <w:pPr>
              <w:jc w:val="center"/>
              <w:rPr>
                <w:rFonts w:cs="Arial"/>
                <w:sz w:val="16"/>
                <w:szCs w:val="16"/>
              </w:rPr>
            </w:pPr>
            <w:r w:rsidRPr="00D901BA">
              <w:rPr>
                <w:rFonts w:cs="Arial"/>
                <w:sz w:val="16"/>
                <w:szCs w:val="16"/>
              </w:rPr>
              <w:t>5.000</w:t>
            </w:r>
          </w:p>
        </w:tc>
        <w:tc>
          <w:tcPr>
            <w:tcW w:w="698" w:type="pct"/>
            <w:tcMar>
              <w:top w:w="30" w:type="dxa"/>
              <w:left w:w="45" w:type="dxa"/>
              <w:bottom w:w="30" w:type="dxa"/>
              <w:right w:w="45" w:type="dxa"/>
            </w:tcMar>
            <w:vAlign w:val="center"/>
            <w:hideMark/>
          </w:tcPr>
          <w:p w14:paraId="5CD17C5B" w14:textId="77777777" w:rsidR="00D901BA" w:rsidRPr="00D901BA" w:rsidRDefault="00D901BA" w:rsidP="00AA4BBB">
            <w:pPr>
              <w:jc w:val="center"/>
              <w:rPr>
                <w:rFonts w:cs="Arial"/>
                <w:sz w:val="16"/>
                <w:szCs w:val="16"/>
              </w:rPr>
            </w:pPr>
            <w:r w:rsidRPr="00D901BA">
              <w:rPr>
                <w:rFonts w:cs="Arial"/>
                <w:sz w:val="16"/>
                <w:szCs w:val="16"/>
              </w:rPr>
              <w:t>12.000</w:t>
            </w:r>
          </w:p>
        </w:tc>
        <w:tc>
          <w:tcPr>
            <w:tcW w:w="704" w:type="pct"/>
            <w:tcMar>
              <w:top w:w="30" w:type="dxa"/>
              <w:left w:w="45" w:type="dxa"/>
              <w:bottom w:w="30" w:type="dxa"/>
              <w:right w:w="45" w:type="dxa"/>
            </w:tcMar>
            <w:vAlign w:val="center"/>
            <w:hideMark/>
          </w:tcPr>
          <w:p w14:paraId="6B9CA97D" w14:textId="77777777" w:rsidR="00D901BA" w:rsidRPr="00D901BA" w:rsidRDefault="00D901BA" w:rsidP="00AA4BBB">
            <w:pPr>
              <w:jc w:val="center"/>
              <w:rPr>
                <w:rFonts w:cs="Arial"/>
                <w:sz w:val="16"/>
                <w:szCs w:val="16"/>
              </w:rPr>
            </w:pPr>
            <w:r w:rsidRPr="00D901BA">
              <w:rPr>
                <w:rFonts w:cs="Arial"/>
                <w:sz w:val="16"/>
                <w:szCs w:val="16"/>
              </w:rPr>
              <w:t>12.000</w:t>
            </w:r>
          </w:p>
        </w:tc>
        <w:tc>
          <w:tcPr>
            <w:tcW w:w="645" w:type="pct"/>
            <w:tcMar>
              <w:top w:w="30" w:type="dxa"/>
              <w:left w:w="45" w:type="dxa"/>
              <w:bottom w:w="30" w:type="dxa"/>
              <w:right w:w="45" w:type="dxa"/>
            </w:tcMar>
            <w:vAlign w:val="center"/>
            <w:hideMark/>
          </w:tcPr>
          <w:p w14:paraId="741F18F8" w14:textId="77777777" w:rsidR="00D901BA" w:rsidRPr="00D901BA" w:rsidRDefault="00D901BA" w:rsidP="00AA4BBB">
            <w:pPr>
              <w:jc w:val="center"/>
              <w:rPr>
                <w:rFonts w:cs="Arial"/>
                <w:sz w:val="16"/>
                <w:szCs w:val="16"/>
              </w:rPr>
            </w:pPr>
            <w:r w:rsidRPr="00D901BA">
              <w:rPr>
                <w:rFonts w:cs="Arial"/>
                <w:sz w:val="16"/>
                <w:szCs w:val="16"/>
              </w:rPr>
              <w:t>11.000</w:t>
            </w:r>
          </w:p>
        </w:tc>
        <w:tc>
          <w:tcPr>
            <w:tcW w:w="691" w:type="pct"/>
            <w:vMerge w:val="restart"/>
            <w:tcMar>
              <w:top w:w="30" w:type="dxa"/>
              <w:left w:w="45" w:type="dxa"/>
              <w:bottom w:w="30" w:type="dxa"/>
              <w:right w:w="45" w:type="dxa"/>
            </w:tcMar>
            <w:vAlign w:val="center"/>
            <w:hideMark/>
          </w:tcPr>
          <w:p w14:paraId="680DC5F9" w14:textId="77777777" w:rsidR="00D901BA" w:rsidRPr="00D901BA" w:rsidRDefault="00D901BA" w:rsidP="00AA4BBB">
            <w:pPr>
              <w:jc w:val="center"/>
              <w:rPr>
                <w:rFonts w:cs="Arial"/>
                <w:b/>
                <w:bCs/>
                <w:sz w:val="16"/>
                <w:szCs w:val="16"/>
              </w:rPr>
            </w:pPr>
            <w:r w:rsidRPr="00D901BA">
              <w:rPr>
                <w:rFonts w:cs="Arial"/>
                <w:b/>
                <w:bCs/>
                <w:sz w:val="16"/>
                <w:szCs w:val="16"/>
              </w:rPr>
              <w:t>9.685.834.065</w:t>
            </w:r>
          </w:p>
        </w:tc>
      </w:tr>
      <w:tr w:rsidR="00D901BA" w:rsidRPr="00D901BA" w14:paraId="364CFD75" w14:textId="77777777" w:rsidTr="00D901BA">
        <w:trPr>
          <w:trHeight w:val="315"/>
        </w:trPr>
        <w:tc>
          <w:tcPr>
            <w:tcW w:w="1589" w:type="pct"/>
            <w:vMerge/>
            <w:vAlign w:val="center"/>
            <w:hideMark/>
          </w:tcPr>
          <w:p w14:paraId="478BDBBF"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5B7A0454" w14:textId="77777777" w:rsidR="00D901BA" w:rsidRPr="00D901BA" w:rsidRDefault="00D901BA" w:rsidP="00AA4BBB">
            <w:pPr>
              <w:jc w:val="center"/>
              <w:rPr>
                <w:rFonts w:cs="Arial"/>
                <w:sz w:val="16"/>
                <w:szCs w:val="16"/>
              </w:rPr>
            </w:pPr>
            <w:r w:rsidRPr="00D901BA">
              <w:rPr>
                <w:rFonts w:cs="Arial"/>
                <w:sz w:val="16"/>
                <w:szCs w:val="16"/>
              </w:rPr>
              <w:t>1.200.000.000</w:t>
            </w:r>
          </w:p>
        </w:tc>
        <w:tc>
          <w:tcPr>
            <w:tcW w:w="698" w:type="pct"/>
            <w:tcMar>
              <w:top w:w="30" w:type="dxa"/>
              <w:left w:w="45" w:type="dxa"/>
              <w:bottom w:w="30" w:type="dxa"/>
              <w:right w:w="45" w:type="dxa"/>
            </w:tcMar>
            <w:vAlign w:val="center"/>
            <w:hideMark/>
          </w:tcPr>
          <w:p w14:paraId="7304F177" w14:textId="77777777" w:rsidR="00D901BA" w:rsidRPr="00D901BA" w:rsidRDefault="00D901BA" w:rsidP="00AA4BBB">
            <w:pPr>
              <w:jc w:val="center"/>
              <w:rPr>
                <w:rFonts w:cs="Arial"/>
                <w:sz w:val="16"/>
                <w:szCs w:val="16"/>
              </w:rPr>
            </w:pPr>
            <w:r w:rsidRPr="00D901BA">
              <w:rPr>
                <w:rFonts w:cs="Arial"/>
                <w:sz w:val="16"/>
                <w:szCs w:val="16"/>
              </w:rPr>
              <w:t>2.912.621.359</w:t>
            </w:r>
          </w:p>
        </w:tc>
        <w:tc>
          <w:tcPr>
            <w:tcW w:w="704" w:type="pct"/>
            <w:tcMar>
              <w:top w:w="30" w:type="dxa"/>
              <w:left w:w="45" w:type="dxa"/>
              <w:bottom w:w="30" w:type="dxa"/>
              <w:right w:w="45" w:type="dxa"/>
            </w:tcMar>
            <w:vAlign w:val="center"/>
            <w:hideMark/>
          </w:tcPr>
          <w:p w14:paraId="1FB0521A" w14:textId="77777777" w:rsidR="00D901BA" w:rsidRPr="00D901BA" w:rsidRDefault="00D901BA" w:rsidP="00AA4BBB">
            <w:pPr>
              <w:jc w:val="center"/>
              <w:rPr>
                <w:rFonts w:cs="Arial"/>
                <w:sz w:val="16"/>
                <w:szCs w:val="16"/>
              </w:rPr>
            </w:pPr>
            <w:r w:rsidRPr="00D901BA">
              <w:rPr>
                <w:rFonts w:cs="Arial"/>
                <w:sz w:val="16"/>
                <w:szCs w:val="16"/>
              </w:rPr>
              <w:t>2.827.787.727</w:t>
            </w:r>
          </w:p>
        </w:tc>
        <w:tc>
          <w:tcPr>
            <w:tcW w:w="645" w:type="pct"/>
            <w:tcMar>
              <w:top w:w="30" w:type="dxa"/>
              <w:left w:w="45" w:type="dxa"/>
              <w:bottom w:w="30" w:type="dxa"/>
              <w:right w:w="45" w:type="dxa"/>
            </w:tcMar>
            <w:vAlign w:val="center"/>
            <w:hideMark/>
          </w:tcPr>
          <w:p w14:paraId="4A4A6A44" w14:textId="77777777" w:rsidR="00D901BA" w:rsidRPr="00D901BA" w:rsidRDefault="00D901BA" w:rsidP="00AA4BBB">
            <w:pPr>
              <w:jc w:val="center"/>
              <w:rPr>
                <w:rFonts w:cs="Arial"/>
                <w:sz w:val="16"/>
                <w:szCs w:val="16"/>
              </w:rPr>
            </w:pPr>
            <w:r w:rsidRPr="00D901BA">
              <w:rPr>
                <w:rFonts w:cs="Arial"/>
                <w:sz w:val="16"/>
                <w:szCs w:val="16"/>
              </w:rPr>
              <w:t>2.745.424.978</w:t>
            </w:r>
          </w:p>
        </w:tc>
        <w:tc>
          <w:tcPr>
            <w:tcW w:w="691" w:type="pct"/>
            <w:vMerge/>
            <w:vAlign w:val="center"/>
            <w:hideMark/>
          </w:tcPr>
          <w:p w14:paraId="23DB7CBC" w14:textId="77777777" w:rsidR="00D901BA" w:rsidRPr="00D901BA" w:rsidRDefault="00D901BA" w:rsidP="00AA4BBB">
            <w:pPr>
              <w:rPr>
                <w:rFonts w:cs="Arial"/>
                <w:b/>
                <w:bCs/>
                <w:sz w:val="16"/>
                <w:szCs w:val="16"/>
              </w:rPr>
            </w:pPr>
          </w:p>
        </w:tc>
      </w:tr>
      <w:tr w:rsidR="00D901BA" w:rsidRPr="00D901BA" w14:paraId="31EE7788" w14:textId="77777777" w:rsidTr="00D901BA">
        <w:trPr>
          <w:trHeight w:val="315"/>
        </w:trPr>
        <w:tc>
          <w:tcPr>
            <w:tcW w:w="5000" w:type="pct"/>
            <w:gridSpan w:val="6"/>
            <w:shd w:val="clear" w:color="auto" w:fill="C00000"/>
            <w:tcMar>
              <w:top w:w="30" w:type="dxa"/>
              <w:left w:w="45" w:type="dxa"/>
              <w:bottom w:w="30" w:type="dxa"/>
              <w:right w:w="45" w:type="dxa"/>
            </w:tcMar>
            <w:vAlign w:val="center"/>
            <w:hideMark/>
          </w:tcPr>
          <w:p w14:paraId="42A43E15" w14:textId="67B89D9B" w:rsidR="00D901BA" w:rsidRPr="00D901BA" w:rsidRDefault="00D901BA" w:rsidP="00D901BA">
            <w:pPr>
              <w:jc w:val="center"/>
              <w:rPr>
                <w:rFonts w:cs="Arial"/>
                <w:b/>
                <w:bCs/>
                <w:color w:val="FFFFFF" w:themeColor="background1"/>
                <w:sz w:val="16"/>
                <w:szCs w:val="16"/>
              </w:rPr>
            </w:pPr>
            <w:r w:rsidRPr="00D901BA">
              <w:rPr>
                <w:rFonts w:cs="Arial"/>
                <w:b/>
                <w:bCs/>
                <w:color w:val="FFFFFF" w:themeColor="background1"/>
                <w:sz w:val="16"/>
                <w:szCs w:val="16"/>
              </w:rPr>
              <w:t>Integración Social</w:t>
            </w:r>
          </w:p>
        </w:tc>
      </w:tr>
      <w:tr w:rsidR="00D901BA" w:rsidRPr="00D901BA" w14:paraId="7EE624F4" w14:textId="77777777" w:rsidTr="00D901BA">
        <w:trPr>
          <w:trHeight w:val="315"/>
        </w:trPr>
        <w:tc>
          <w:tcPr>
            <w:tcW w:w="1589" w:type="pct"/>
            <w:vMerge w:val="restart"/>
            <w:tcMar>
              <w:top w:w="30" w:type="dxa"/>
              <w:left w:w="45" w:type="dxa"/>
              <w:bottom w:w="30" w:type="dxa"/>
              <w:right w:w="45" w:type="dxa"/>
            </w:tcMar>
            <w:vAlign w:val="center"/>
            <w:hideMark/>
          </w:tcPr>
          <w:p w14:paraId="246C7652" w14:textId="77777777" w:rsidR="00D901BA" w:rsidRPr="00D901BA" w:rsidRDefault="00D901BA" w:rsidP="00AA4BBB">
            <w:pPr>
              <w:rPr>
                <w:rFonts w:cs="Arial"/>
                <w:sz w:val="16"/>
                <w:szCs w:val="16"/>
              </w:rPr>
            </w:pPr>
            <w:r w:rsidRPr="00D901BA">
              <w:rPr>
                <w:rFonts w:cs="Arial"/>
                <w:sz w:val="16"/>
                <w:szCs w:val="16"/>
              </w:rPr>
              <w:t>Adaptar 10 servicios sociales y estrategias de integración social priorizadas para la atención diferencial y la inclusión de personas LGTBIQ+ en articulación con el Sistema Distrital de Cuidado.</w:t>
            </w:r>
          </w:p>
        </w:tc>
        <w:tc>
          <w:tcPr>
            <w:tcW w:w="673" w:type="pct"/>
            <w:tcMar>
              <w:top w:w="30" w:type="dxa"/>
              <w:left w:w="45" w:type="dxa"/>
              <w:bottom w:w="30" w:type="dxa"/>
              <w:right w:w="45" w:type="dxa"/>
            </w:tcMar>
            <w:vAlign w:val="center"/>
            <w:hideMark/>
          </w:tcPr>
          <w:p w14:paraId="7004006D" w14:textId="77777777" w:rsidR="00D901BA" w:rsidRPr="00D901BA" w:rsidRDefault="00D901BA" w:rsidP="00AA4BBB">
            <w:pPr>
              <w:jc w:val="center"/>
              <w:rPr>
                <w:rFonts w:cs="Arial"/>
                <w:sz w:val="16"/>
                <w:szCs w:val="16"/>
              </w:rPr>
            </w:pPr>
            <w:r w:rsidRPr="00D901BA">
              <w:rPr>
                <w:rFonts w:cs="Arial"/>
                <w:sz w:val="16"/>
                <w:szCs w:val="16"/>
              </w:rPr>
              <w:t>0</w:t>
            </w:r>
          </w:p>
        </w:tc>
        <w:tc>
          <w:tcPr>
            <w:tcW w:w="698" w:type="pct"/>
            <w:tcMar>
              <w:top w:w="30" w:type="dxa"/>
              <w:left w:w="45" w:type="dxa"/>
              <w:bottom w:w="30" w:type="dxa"/>
              <w:right w:w="45" w:type="dxa"/>
            </w:tcMar>
            <w:vAlign w:val="center"/>
            <w:hideMark/>
          </w:tcPr>
          <w:p w14:paraId="6491513A" w14:textId="77777777" w:rsidR="00D901BA" w:rsidRPr="00D901BA" w:rsidRDefault="00D901BA" w:rsidP="00AA4BBB">
            <w:pPr>
              <w:jc w:val="center"/>
              <w:rPr>
                <w:rFonts w:cs="Arial"/>
                <w:sz w:val="16"/>
                <w:szCs w:val="16"/>
              </w:rPr>
            </w:pPr>
            <w:r w:rsidRPr="00D901BA">
              <w:rPr>
                <w:rFonts w:cs="Arial"/>
                <w:sz w:val="16"/>
                <w:szCs w:val="16"/>
              </w:rPr>
              <w:t>3</w:t>
            </w:r>
          </w:p>
        </w:tc>
        <w:tc>
          <w:tcPr>
            <w:tcW w:w="704" w:type="pct"/>
            <w:tcMar>
              <w:top w:w="30" w:type="dxa"/>
              <w:left w:w="45" w:type="dxa"/>
              <w:bottom w:w="30" w:type="dxa"/>
              <w:right w:w="45" w:type="dxa"/>
            </w:tcMar>
            <w:vAlign w:val="center"/>
            <w:hideMark/>
          </w:tcPr>
          <w:p w14:paraId="35E6132F" w14:textId="77777777" w:rsidR="00D901BA" w:rsidRPr="00D901BA" w:rsidRDefault="00D901BA" w:rsidP="00AA4BBB">
            <w:pPr>
              <w:jc w:val="center"/>
              <w:rPr>
                <w:rFonts w:cs="Arial"/>
                <w:sz w:val="16"/>
                <w:szCs w:val="16"/>
              </w:rPr>
            </w:pPr>
            <w:r w:rsidRPr="00D901BA">
              <w:rPr>
                <w:rFonts w:cs="Arial"/>
                <w:sz w:val="16"/>
                <w:szCs w:val="16"/>
              </w:rPr>
              <w:t>5</w:t>
            </w:r>
          </w:p>
        </w:tc>
        <w:tc>
          <w:tcPr>
            <w:tcW w:w="645" w:type="pct"/>
            <w:tcMar>
              <w:top w:w="30" w:type="dxa"/>
              <w:left w:w="45" w:type="dxa"/>
              <w:bottom w:w="30" w:type="dxa"/>
              <w:right w:w="45" w:type="dxa"/>
            </w:tcMar>
            <w:vAlign w:val="center"/>
            <w:hideMark/>
          </w:tcPr>
          <w:p w14:paraId="567AC83E" w14:textId="77777777" w:rsidR="00D901BA" w:rsidRPr="00D901BA" w:rsidRDefault="00D901BA" w:rsidP="00AA4BBB">
            <w:pPr>
              <w:jc w:val="center"/>
              <w:rPr>
                <w:rFonts w:cs="Arial"/>
                <w:sz w:val="16"/>
                <w:szCs w:val="16"/>
              </w:rPr>
            </w:pPr>
            <w:r w:rsidRPr="00D901BA">
              <w:rPr>
                <w:rFonts w:cs="Arial"/>
                <w:sz w:val="16"/>
                <w:szCs w:val="16"/>
              </w:rPr>
              <w:t>2</w:t>
            </w:r>
          </w:p>
        </w:tc>
        <w:tc>
          <w:tcPr>
            <w:tcW w:w="691" w:type="pct"/>
            <w:vMerge w:val="restart"/>
            <w:tcMar>
              <w:top w:w="30" w:type="dxa"/>
              <w:left w:w="45" w:type="dxa"/>
              <w:bottom w:w="30" w:type="dxa"/>
              <w:right w:w="45" w:type="dxa"/>
            </w:tcMar>
            <w:vAlign w:val="center"/>
            <w:hideMark/>
          </w:tcPr>
          <w:p w14:paraId="3F60C804" w14:textId="77777777" w:rsidR="00D901BA" w:rsidRPr="00D901BA" w:rsidRDefault="00D901BA" w:rsidP="00AA4BBB">
            <w:pPr>
              <w:jc w:val="center"/>
              <w:rPr>
                <w:rFonts w:cs="Arial"/>
                <w:b/>
                <w:bCs/>
                <w:sz w:val="16"/>
                <w:szCs w:val="16"/>
              </w:rPr>
            </w:pPr>
            <w:r w:rsidRPr="00D901BA">
              <w:rPr>
                <w:rFonts w:cs="Arial"/>
                <w:b/>
                <w:bCs/>
                <w:sz w:val="16"/>
                <w:szCs w:val="16"/>
              </w:rPr>
              <w:t>18.311.855.930</w:t>
            </w:r>
          </w:p>
        </w:tc>
      </w:tr>
      <w:tr w:rsidR="00D901BA" w:rsidRPr="00D901BA" w14:paraId="0908F5A0" w14:textId="77777777" w:rsidTr="00D901BA">
        <w:trPr>
          <w:trHeight w:val="315"/>
        </w:trPr>
        <w:tc>
          <w:tcPr>
            <w:tcW w:w="1589" w:type="pct"/>
            <w:vMerge/>
            <w:vAlign w:val="center"/>
            <w:hideMark/>
          </w:tcPr>
          <w:p w14:paraId="5E24AD3C"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4016B5BB" w14:textId="77777777" w:rsidR="00D901BA" w:rsidRPr="00D901BA" w:rsidRDefault="00D901BA" w:rsidP="00AA4BBB">
            <w:pPr>
              <w:jc w:val="center"/>
              <w:rPr>
                <w:rFonts w:cs="Arial"/>
                <w:sz w:val="16"/>
                <w:szCs w:val="16"/>
              </w:rPr>
            </w:pPr>
            <w:r w:rsidRPr="00D901BA">
              <w:rPr>
                <w:rFonts w:cs="Arial"/>
                <w:sz w:val="16"/>
                <w:szCs w:val="16"/>
              </w:rPr>
              <w:t>4.385.000.000</w:t>
            </w:r>
          </w:p>
        </w:tc>
        <w:tc>
          <w:tcPr>
            <w:tcW w:w="698" w:type="pct"/>
            <w:tcMar>
              <w:top w:w="30" w:type="dxa"/>
              <w:left w:w="45" w:type="dxa"/>
              <w:bottom w:w="30" w:type="dxa"/>
              <w:right w:w="45" w:type="dxa"/>
            </w:tcMar>
            <w:vAlign w:val="center"/>
            <w:hideMark/>
          </w:tcPr>
          <w:p w14:paraId="4246A618" w14:textId="77777777" w:rsidR="00D901BA" w:rsidRPr="00D901BA" w:rsidRDefault="00D901BA" w:rsidP="00AA4BBB">
            <w:pPr>
              <w:jc w:val="center"/>
              <w:rPr>
                <w:rFonts w:cs="Arial"/>
                <w:sz w:val="16"/>
                <w:szCs w:val="16"/>
              </w:rPr>
            </w:pPr>
            <w:r w:rsidRPr="00D901BA">
              <w:rPr>
                <w:rFonts w:cs="Arial"/>
                <w:sz w:val="16"/>
                <w:szCs w:val="16"/>
              </w:rPr>
              <w:t>4.500.000.000</w:t>
            </w:r>
          </w:p>
        </w:tc>
        <w:tc>
          <w:tcPr>
            <w:tcW w:w="704" w:type="pct"/>
            <w:tcMar>
              <w:top w:w="30" w:type="dxa"/>
              <w:left w:w="45" w:type="dxa"/>
              <w:bottom w:w="30" w:type="dxa"/>
              <w:right w:w="45" w:type="dxa"/>
            </w:tcMar>
            <w:vAlign w:val="center"/>
            <w:hideMark/>
          </w:tcPr>
          <w:p w14:paraId="2B5EB46C" w14:textId="77777777" w:rsidR="00D901BA" w:rsidRPr="00D901BA" w:rsidRDefault="00D901BA" w:rsidP="00AA4BBB">
            <w:pPr>
              <w:jc w:val="center"/>
              <w:rPr>
                <w:rFonts w:cs="Arial"/>
                <w:sz w:val="16"/>
                <w:szCs w:val="16"/>
              </w:rPr>
            </w:pPr>
            <w:r w:rsidRPr="00D901BA">
              <w:rPr>
                <w:rFonts w:cs="Arial"/>
                <w:sz w:val="16"/>
                <w:szCs w:val="16"/>
              </w:rPr>
              <w:t>4.680.931.285</w:t>
            </w:r>
          </w:p>
        </w:tc>
        <w:tc>
          <w:tcPr>
            <w:tcW w:w="645" w:type="pct"/>
            <w:tcMar>
              <w:top w:w="30" w:type="dxa"/>
              <w:left w:w="45" w:type="dxa"/>
              <w:bottom w:w="30" w:type="dxa"/>
              <w:right w:w="45" w:type="dxa"/>
            </w:tcMar>
            <w:vAlign w:val="center"/>
            <w:hideMark/>
          </w:tcPr>
          <w:p w14:paraId="6B3C5492" w14:textId="77777777" w:rsidR="00D901BA" w:rsidRPr="00D901BA" w:rsidRDefault="00D901BA" w:rsidP="00AA4BBB">
            <w:pPr>
              <w:jc w:val="center"/>
              <w:rPr>
                <w:rFonts w:cs="Arial"/>
                <w:sz w:val="16"/>
                <w:szCs w:val="16"/>
              </w:rPr>
            </w:pPr>
            <w:r w:rsidRPr="00D901BA">
              <w:rPr>
                <w:rFonts w:cs="Arial"/>
                <w:sz w:val="16"/>
                <w:szCs w:val="16"/>
              </w:rPr>
              <w:t>4.745.924.645</w:t>
            </w:r>
          </w:p>
        </w:tc>
        <w:tc>
          <w:tcPr>
            <w:tcW w:w="691" w:type="pct"/>
            <w:vMerge/>
            <w:vAlign w:val="center"/>
            <w:hideMark/>
          </w:tcPr>
          <w:p w14:paraId="04854DDE" w14:textId="77777777" w:rsidR="00D901BA" w:rsidRPr="00D901BA" w:rsidRDefault="00D901BA" w:rsidP="00AA4BBB">
            <w:pPr>
              <w:rPr>
                <w:rFonts w:cs="Arial"/>
                <w:b/>
                <w:bCs/>
                <w:sz w:val="16"/>
                <w:szCs w:val="16"/>
              </w:rPr>
            </w:pPr>
          </w:p>
        </w:tc>
      </w:tr>
      <w:tr w:rsidR="00D901BA" w:rsidRPr="00D901BA" w14:paraId="2533D4B7" w14:textId="77777777" w:rsidTr="00D901BA">
        <w:trPr>
          <w:trHeight w:val="315"/>
        </w:trPr>
        <w:tc>
          <w:tcPr>
            <w:tcW w:w="1589" w:type="pct"/>
            <w:vMerge w:val="restart"/>
            <w:tcMar>
              <w:top w:w="30" w:type="dxa"/>
              <w:left w:w="45" w:type="dxa"/>
              <w:bottom w:w="30" w:type="dxa"/>
              <w:right w:w="45" w:type="dxa"/>
            </w:tcMar>
            <w:vAlign w:val="center"/>
            <w:hideMark/>
          </w:tcPr>
          <w:p w14:paraId="37C3A28A" w14:textId="77777777" w:rsidR="00D901BA" w:rsidRPr="00D901BA" w:rsidRDefault="00D901BA" w:rsidP="00AA4BBB">
            <w:pPr>
              <w:rPr>
                <w:rFonts w:cs="Arial"/>
                <w:sz w:val="16"/>
                <w:szCs w:val="16"/>
              </w:rPr>
            </w:pPr>
            <w:r w:rsidRPr="00D901BA">
              <w:rPr>
                <w:rFonts w:cs="Arial"/>
                <w:sz w:val="16"/>
                <w:szCs w:val="16"/>
              </w:rPr>
              <w:t>Adaptar 15 servicios sociales y estrategias de integración social priorizadas para la atención diferencial y la inclusión de personas con discapacidad considerando también el enfoque étnico en articulación con el Sistema Distrital de Cuidado.</w:t>
            </w:r>
          </w:p>
        </w:tc>
        <w:tc>
          <w:tcPr>
            <w:tcW w:w="673" w:type="pct"/>
            <w:tcMar>
              <w:top w:w="30" w:type="dxa"/>
              <w:left w:w="45" w:type="dxa"/>
              <w:bottom w:w="30" w:type="dxa"/>
              <w:right w:w="45" w:type="dxa"/>
            </w:tcMar>
            <w:vAlign w:val="center"/>
            <w:hideMark/>
          </w:tcPr>
          <w:p w14:paraId="673F5070" w14:textId="77777777" w:rsidR="00D901BA" w:rsidRPr="00D901BA" w:rsidRDefault="00D901BA" w:rsidP="00AA4BBB">
            <w:pPr>
              <w:jc w:val="center"/>
              <w:rPr>
                <w:rFonts w:cs="Arial"/>
                <w:sz w:val="16"/>
                <w:szCs w:val="16"/>
              </w:rPr>
            </w:pPr>
            <w:r w:rsidRPr="00D901BA">
              <w:rPr>
                <w:rFonts w:cs="Arial"/>
                <w:sz w:val="16"/>
                <w:szCs w:val="16"/>
              </w:rPr>
              <w:t>0</w:t>
            </w:r>
          </w:p>
        </w:tc>
        <w:tc>
          <w:tcPr>
            <w:tcW w:w="698" w:type="pct"/>
            <w:tcMar>
              <w:top w:w="30" w:type="dxa"/>
              <w:left w:w="45" w:type="dxa"/>
              <w:bottom w:w="30" w:type="dxa"/>
              <w:right w:w="45" w:type="dxa"/>
            </w:tcMar>
            <w:vAlign w:val="center"/>
            <w:hideMark/>
          </w:tcPr>
          <w:p w14:paraId="02FDBD65" w14:textId="77777777" w:rsidR="00D901BA" w:rsidRPr="00D901BA" w:rsidRDefault="00D901BA" w:rsidP="00AA4BBB">
            <w:pPr>
              <w:jc w:val="center"/>
              <w:rPr>
                <w:rFonts w:cs="Arial"/>
                <w:sz w:val="16"/>
                <w:szCs w:val="16"/>
              </w:rPr>
            </w:pPr>
            <w:r w:rsidRPr="00D901BA">
              <w:rPr>
                <w:rFonts w:cs="Arial"/>
                <w:sz w:val="16"/>
                <w:szCs w:val="16"/>
              </w:rPr>
              <w:t>6</w:t>
            </w:r>
          </w:p>
        </w:tc>
        <w:tc>
          <w:tcPr>
            <w:tcW w:w="704" w:type="pct"/>
            <w:tcMar>
              <w:top w:w="30" w:type="dxa"/>
              <w:left w:w="45" w:type="dxa"/>
              <w:bottom w:w="30" w:type="dxa"/>
              <w:right w:w="45" w:type="dxa"/>
            </w:tcMar>
            <w:vAlign w:val="center"/>
            <w:hideMark/>
          </w:tcPr>
          <w:p w14:paraId="5B5783F6" w14:textId="77777777" w:rsidR="00D901BA" w:rsidRPr="00D901BA" w:rsidRDefault="00D901BA" w:rsidP="00AA4BBB">
            <w:pPr>
              <w:jc w:val="center"/>
              <w:rPr>
                <w:rFonts w:cs="Arial"/>
                <w:sz w:val="16"/>
                <w:szCs w:val="16"/>
              </w:rPr>
            </w:pPr>
            <w:r w:rsidRPr="00D901BA">
              <w:rPr>
                <w:rFonts w:cs="Arial"/>
                <w:sz w:val="16"/>
                <w:szCs w:val="16"/>
              </w:rPr>
              <w:t>6</w:t>
            </w:r>
          </w:p>
        </w:tc>
        <w:tc>
          <w:tcPr>
            <w:tcW w:w="645" w:type="pct"/>
            <w:tcMar>
              <w:top w:w="30" w:type="dxa"/>
              <w:left w:w="45" w:type="dxa"/>
              <w:bottom w:w="30" w:type="dxa"/>
              <w:right w:w="45" w:type="dxa"/>
            </w:tcMar>
            <w:vAlign w:val="center"/>
            <w:hideMark/>
          </w:tcPr>
          <w:p w14:paraId="476E5E05" w14:textId="77777777" w:rsidR="00D901BA" w:rsidRPr="00D901BA" w:rsidRDefault="00D901BA" w:rsidP="00AA4BBB">
            <w:pPr>
              <w:jc w:val="center"/>
              <w:rPr>
                <w:rFonts w:cs="Arial"/>
                <w:sz w:val="16"/>
                <w:szCs w:val="16"/>
              </w:rPr>
            </w:pPr>
            <w:r w:rsidRPr="00D901BA">
              <w:rPr>
                <w:rFonts w:cs="Arial"/>
                <w:sz w:val="16"/>
                <w:szCs w:val="16"/>
              </w:rPr>
              <w:t>3</w:t>
            </w:r>
          </w:p>
        </w:tc>
        <w:tc>
          <w:tcPr>
            <w:tcW w:w="691" w:type="pct"/>
            <w:vMerge w:val="restart"/>
            <w:tcMar>
              <w:top w:w="30" w:type="dxa"/>
              <w:left w:w="45" w:type="dxa"/>
              <w:bottom w:w="30" w:type="dxa"/>
              <w:right w:w="45" w:type="dxa"/>
            </w:tcMar>
            <w:vAlign w:val="center"/>
            <w:hideMark/>
          </w:tcPr>
          <w:p w14:paraId="7019B4A3" w14:textId="77777777" w:rsidR="00D901BA" w:rsidRPr="00D901BA" w:rsidRDefault="00D901BA" w:rsidP="00AA4BBB">
            <w:pPr>
              <w:jc w:val="center"/>
              <w:rPr>
                <w:rFonts w:cs="Arial"/>
                <w:b/>
                <w:bCs/>
                <w:sz w:val="16"/>
                <w:szCs w:val="16"/>
              </w:rPr>
            </w:pPr>
            <w:r w:rsidRPr="00D901BA">
              <w:rPr>
                <w:rFonts w:cs="Arial"/>
                <w:b/>
                <w:bCs/>
                <w:sz w:val="16"/>
                <w:szCs w:val="16"/>
              </w:rPr>
              <w:t>1.721.167.249</w:t>
            </w:r>
          </w:p>
        </w:tc>
      </w:tr>
      <w:tr w:rsidR="00D901BA" w:rsidRPr="00D901BA" w14:paraId="1F16D8F5" w14:textId="77777777" w:rsidTr="00D901BA">
        <w:trPr>
          <w:trHeight w:val="315"/>
        </w:trPr>
        <w:tc>
          <w:tcPr>
            <w:tcW w:w="1589" w:type="pct"/>
            <w:vMerge/>
            <w:vAlign w:val="center"/>
            <w:hideMark/>
          </w:tcPr>
          <w:p w14:paraId="507441ED"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17120BF3" w14:textId="77777777" w:rsidR="00D901BA" w:rsidRPr="00D901BA" w:rsidRDefault="00D901BA" w:rsidP="00AA4BBB">
            <w:pPr>
              <w:jc w:val="center"/>
              <w:rPr>
                <w:rFonts w:cs="Arial"/>
                <w:sz w:val="16"/>
                <w:szCs w:val="16"/>
              </w:rPr>
            </w:pPr>
            <w:r w:rsidRPr="00D901BA">
              <w:rPr>
                <w:rFonts w:cs="Arial"/>
                <w:sz w:val="16"/>
                <w:szCs w:val="16"/>
              </w:rPr>
              <w:t>412.000.000</w:t>
            </w:r>
          </w:p>
        </w:tc>
        <w:tc>
          <w:tcPr>
            <w:tcW w:w="698" w:type="pct"/>
            <w:tcMar>
              <w:top w:w="30" w:type="dxa"/>
              <w:left w:w="45" w:type="dxa"/>
              <w:bottom w:w="30" w:type="dxa"/>
              <w:right w:w="45" w:type="dxa"/>
            </w:tcMar>
            <w:vAlign w:val="center"/>
            <w:hideMark/>
          </w:tcPr>
          <w:p w14:paraId="2A611D81" w14:textId="77777777" w:rsidR="00D901BA" w:rsidRPr="00D901BA" w:rsidRDefault="00D901BA" w:rsidP="00AA4BBB">
            <w:pPr>
              <w:jc w:val="center"/>
              <w:rPr>
                <w:rFonts w:cs="Arial"/>
                <w:sz w:val="16"/>
                <w:szCs w:val="16"/>
              </w:rPr>
            </w:pPr>
            <w:r w:rsidRPr="00D901BA">
              <w:rPr>
                <w:rFonts w:cs="Arial"/>
                <w:sz w:val="16"/>
                <w:szCs w:val="16"/>
              </w:rPr>
              <w:t>423.300.971</w:t>
            </w:r>
          </w:p>
        </w:tc>
        <w:tc>
          <w:tcPr>
            <w:tcW w:w="704" w:type="pct"/>
            <w:tcMar>
              <w:top w:w="30" w:type="dxa"/>
              <w:left w:w="45" w:type="dxa"/>
              <w:bottom w:w="30" w:type="dxa"/>
              <w:right w:w="45" w:type="dxa"/>
            </w:tcMar>
            <w:vAlign w:val="center"/>
            <w:hideMark/>
          </w:tcPr>
          <w:p w14:paraId="6AB5A87D" w14:textId="77777777" w:rsidR="00D901BA" w:rsidRPr="00D901BA" w:rsidRDefault="00D901BA" w:rsidP="00AA4BBB">
            <w:pPr>
              <w:jc w:val="center"/>
              <w:rPr>
                <w:rFonts w:cs="Arial"/>
                <w:sz w:val="16"/>
                <w:szCs w:val="16"/>
              </w:rPr>
            </w:pPr>
            <w:r w:rsidRPr="00D901BA">
              <w:rPr>
                <w:rFonts w:cs="Arial"/>
                <w:sz w:val="16"/>
                <w:szCs w:val="16"/>
              </w:rPr>
              <w:t>440.192.290</w:t>
            </w:r>
          </w:p>
        </w:tc>
        <w:tc>
          <w:tcPr>
            <w:tcW w:w="645" w:type="pct"/>
            <w:tcMar>
              <w:top w:w="30" w:type="dxa"/>
              <w:left w:w="45" w:type="dxa"/>
              <w:bottom w:w="30" w:type="dxa"/>
              <w:right w:w="45" w:type="dxa"/>
            </w:tcMar>
            <w:vAlign w:val="center"/>
            <w:hideMark/>
          </w:tcPr>
          <w:p w14:paraId="560DC051" w14:textId="77777777" w:rsidR="00D901BA" w:rsidRPr="00D901BA" w:rsidRDefault="00D901BA" w:rsidP="00AA4BBB">
            <w:pPr>
              <w:jc w:val="center"/>
              <w:rPr>
                <w:rFonts w:cs="Arial"/>
                <w:sz w:val="16"/>
                <w:szCs w:val="16"/>
              </w:rPr>
            </w:pPr>
            <w:r w:rsidRPr="00D901BA">
              <w:rPr>
                <w:rFonts w:cs="Arial"/>
                <w:sz w:val="16"/>
                <w:szCs w:val="16"/>
              </w:rPr>
              <w:t>445.673.988</w:t>
            </w:r>
          </w:p>
        </w:tc>
        <w:tc>
          <w:tcPr>
            <w:tcW w:w="691" w:type="pct"/>
            <w:vMerge/>
            <w:vAlign w:val="center"/>
            <w:hideMark/>
          </w:tcPr>
          <w:p w14:paraId="6897B565" w14:textId="77777777" w:rsidR="00D901BA" w:rsidRPr="00D901BA" w:rsidRDefault="00D901BA" w:rsidP="00AA4BBB">
            <w:pPr>
              <w:rPr>
                <w:rFonts w:cs="Arial"/>
                <w:b/>
                <w:bCs/>
                <w:sz w:val="16"/>
                <w:szCs w:val="16"/>
              </w:rPr>
            </w:pPr>
          </w:p>
        </w:tc>
      </w:tr>
      <w:tr w:rsidR="00D901BA" w:rsidRPr="00D901BA" w14:paraId="47B3EB6B" w14:textId="77777777" w:rsidTr="00D901BA">
        <w:trPr>
          <w:trHeight w:val="315"/>
        </w:trPr>
        <w:tc>
          <w:tcPr>
            <w:tcW w:w="1589" w:type="pct"/>
            <w:vMerge w:val="restart"/>
            <w:tcMar>
              <w:top w:w="30" w:type="dxa"/>
              <w:left w:w="45" w:type="dxa"/>
              <w:bottom w:w="30" w:type="dxa"/>
              <w:right w:w="45" w:type="dxa"/>
            </w:tcMar>
            <w:vAlign w:val="center"/>
            <w:hideMark/>
          </w:tcPr>
          <w:p w14:paraId="4A8DECBF" w14:textId="77777777" w:rsidR="00D901BA" w:rsidRPr="00D901BA" w:rsidRDefault="00D901BA" w:rsidP="00AA4BBB">
            <w:pPr>
              <w:rPr>
                <w:rFonts w:cs="Arial"/>
                <w:sz w:val="16"/>
                <w:szCs w:val="16"/>
              </w:rPr>
            </w:pPr>
            <w:r w:rsidRPr="00D901BA">
              <w:rPr>
                <w:rFonts w:cs="Arial"/>
                <w:sz w:val="16"/>
                <w:szCs w:val="16"/>
              </w:rPr>
              <w:t>Atender a 160.000 jóvenes en los servicios sociales en unidades operativas y estrategias de inclusión social y productiva</w:t>
            </w:r>
          </w:p>
        </w:tc>
        <w:tc>
          <w:tcPr>
            <w:tcW w:w="673" w:type="pct"/>
            <w:tcMar>
              <w:top w:w="30" w:type="dxa"/>
              <w:left w:w="45" w:type="dxa"/>
              <w:bottom w:w="30" w:type="dxa"/>
              <w:right w:w="45" w:type="dxa"/>
            </w:tcMar>
            <w:vAlign w:val="center"/>
            <w:hideMark/>
          </w:tcPr>
          <w:p w14:paraId="41C028A3" w14:textId="77777777" w:rsidR="00D901BA" w:rsidRPr="00D901BA" w:rsidRDefault="00D901BA" w:rsidP="00AA4BBB">
            <w:pPr>
              <w:jc w:val="center"/>
              <w:rPr>
                <w:rFonts w:cs="Arial"/>
                <w:sz w:val="16"/>
                <w:szCs w:val="16"/>
              </w:rPr>
            </w:pPr>
            <w:r w:rsidRPr="00D901BA">
              <w:rPr>
                <w:rFonts w:cs="Arial"/>
                <w:sz w:val="16"/>
                <w:szCs w:val="16"/>
              </w:rPr>
              <w:t>15.000</w:t>
            </w:r>
          </w:p>
        </w:tc>
        <w:tc>
          <w:tcPr>
            <w:tcW w:w="698" w:type="pct"/>
            <w:tcMar>
              <w:top w:w="30" w:type="dxa"/>
              <w:left w:w="45" w:type="dxa"/>
              <w:bottom w:w="30" w:type="dxa"/>
              <w:right w:w="45" w:type="dxa"/>
            </w:tcMar>
            <w:vAlign w:val="center"/>
            <w:hideMark/>
          </w:tcPr>
          <w:p w14:paraId="03E3D979" w14:textId="77777777" w:rsidR="00D901BA" w:rsidRPr="00D901BA" w:rsidRDefault="00D901BA" w:rsidP="00AA4BBB">
            <w:pPr>
              <w:jc w:val="center"/>
              <w:rPr>
                <w:rFonts w:cs="Arial"/>
                <w:sz w:val="16"/>
                <w:szCs w:val="16"/>
              </w:rPr>
            </w:pPr>
            <w:r w:rsidRPr="00D901BA">
              <w:rPr>
                <w:rFonts w:cs="Arial"/>
                <w:sz w:val="16"/>
                <w:szCs w:val="16"/>
              </w:rPr>
              <w:t>50.000</w:t>
            </w:r>
          </w:p>
        </w:tc>
        <w:tc>
          <w:tcPr>
            <w:tcW w:w="704" w:type="pct"/>
            <w:tcMar>
              <w:top w:w="30" w:type="dxa"/>
              <w:left w:w="45" w:type="dxa"/>
              <w:bottom w:w="30" w:type="dxa"/>
              <w:right w:w="45" w:type="dxa"/>
            </w:tcMar>
            <w:vAlign w:val="center"/>
            <w:hideMark/>
          </w:tcPr>
          <w:p w14:paraId="571AABC8" w14:textId="77777777" w:rsidR="00D901BA" w:rsidRPr="00D901BA" w:rsidRDefault="00D901BA" w:rsidP="00AA4BBB">
            <w:pPr>
              <w:jc w:val="center"/>
              <w:rPr>
                <w:rFonts w:cs="Arial"/>
                <w:sz w:val="16"/>
                <w:szCs w:val="16"/>
              </w:rPr>
            </w:pPr>
            <w:r w:rsidRPr="00D901BA">
              <w:rPr>
                <w:rFonts w:cs="Arial"/>
                <w:sz w:val="16"/>
                <w:szCs w:val="16"/>
              </w:rPr>
              <w:t>50.000</w:t>
            </w:r>
          </w:p>
        </w:tc>
        <w:tc>
          <w:tcPr>
            <w:tcW w:w="645" w:type="pct"/>
            <w:tcMar>
              <w:top w:w="30" w:type="dxa"/>
              <w:left w:w="45" w:type="dxa"/>
              <w:bottom w:w="30" w:type="dxa"/>
              <w:right w:w="45" w:type="dxa"/>
            </w:tcMar>
            <w:vAlign w:val="center"/>
            <w:hideMark/>
          </w:tcPr>
          <w:p w14:paraId="353CF3AB" w14:textId="77777777" w:rsidR="00D901BA" w:rsidRPr="00D901BA" w:rsidRDefault="00D901BA" w:rsidP="00AA4BBB">
            <w:pPr>
              <w:jc w:val="center"/>
              <w:rPr>
                <w:rFonts w:cs="Arial"/>
                <w:sz w:val="16"/>
                <w:szCs w:val="16"/>
              </w:rPr>
            </w:pPr>
            <w:r w:rsidRPr="00D901BA">
              <w:rPr>
                <w:rFonts w:cs="Arial"/>
                <w:sz w:val="16"/>
                <w:szCs w:val="16"/>
              </w:rPr>
              <w:t>35.000</w:t>
            </w:r>
          </w:p>
        </w:tc>
        <w:tc>
          <w:tcPr>
            <w:tcW w:w="691" w:type="pct"/>
            <w:vMerge w:val="restart"/>
            <w:tcMar>
              <w:top w:w="30" w:type="dxa"/>
              <w:left w:w="45" w:type="dxa"/>
              <w:bottom w:w="30" w:type="dxa"/>
              <w:right w:w="45" w:type="dxa"/>
            </w:tcMar>
            <w:vAlign w:val="center"/>
            <w:hideMark/>
          </w:tcPr>
          <w:p w14:paraId="7E5CC30E" w14:textId="77777777" w:rsidR="00D901BA" w:rsidRPr="00D901BA" w:rsidRDefault="00D901BA" w:rsidP="00AA4BBB">
            <w:pPr>
              <w:jc w:val="center"/>
              <w:rPr>
                <w:rFonts w:cs="Arial"/>
                <w:b/>
                <w:bCs/>
                <w:sz w:val="16"/>
                <w:szCs w:val="16"/>
              </w:rPr>
            </w:pPr>
            <w:r w:rsidRPr="00D901BA">
              <w:rPr>
                <w:rFonts w:cs="Arial"/>
                <w:b/>
                <w:bCs/>
                <w:sz w:val="16"/>
                <w:szCs w:val="16"/>
              </w:rPr>
              <w:t>27.636.860.521</w:t>
            </w:r>
          </w:p>
        </w:tc>
      </w:tr>
      <w:tr w:rsidR="00D901BA" w:rsidRPr="00D901BA" w14:paraId="290851C9" w14:textId="77777777" w:rsidTr="00D901BA">
        <w:trPr>
          <w:trHeight w:val="315"/>
        </w:trPr>
        <w:tc>
          <w:tcPr>
            <w:tcW w:w="1589" w:type="pct"/>
            <w:vMerge/>
            <w:vAlign w:val="center"/>
            <w:hideMark/>
          </w:tcPr>
          <w:p w14:paraId="5C5B411C"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33DDB5D3" w14:textId="77777777" w:rsidR="00D901BA" w:rsidRPr="00D901BA" w:rsidRDefault="00D901BA" w:rsidP="00AA4BBB">
            <w:pPr>
              <w:jc w:val="center"/>
              <w:rPr>
                <w:rFonts w:cs="Arial"/>
                <w:sz w:val="16"/>
                <w:szCs w:val="16"/>
              </w:rPr>
            </w:pPr>
            <w:r w:rsidRPr="00D901BA">
              <w:rPr>
                <w:rFonts w:cs="Arial"/>
                <w:sz w:val="16"/>
                <w:szCs w:val="16"/>
              </w:rPr>
              <w:t>6.618.000.000</w:t>
            </w:r>
          </w:p>
        </w:tc>
        <w:tc>
          <w:tcPr>
            <w:tcW w:w="698" w:type="pct"/>
            <w:tcMar>
              <w:top w:w="30" w:type="dxa"/>
              <w:left w:w="45" w:type="dxa"/>
              <w:bottom w:w="30" w:type="dxa"/>
              <w:right w:w="45" w:type="dxa"/>
            </w:tcMar>
            <w:vAlign w:val="center"/>
            <w:hideMark/>
          </w:tcPr>
          <w:p w14:paraId="5B9533A5" w14:textId="77777777" w:rsidR="00D901BA" w:rsidRPr="00D901BA" w:rsidRDefault="00D901BA" w:rsidP="00AA4BBB">
            <w:pPr>
              <w:jc w:val="center"/>
              <w:rPr>
                <w:rFonts w:cs="Arial"/>
                <w:sz w:val="16"/>
                <w:szCs w:val="16"/>
              </w:rPr>
            </w:pPr>
            <w:r w:rsidRPr="00D901BA">
              <w:rPr>
                <w:rFonts w:cs="Arial"/>
                <w:sz w:val="16"/>
                <w:szCs w:val="16"/>
              </w:rPr>
              <w:t>6.792.233.010</w:t>
            </w:r>
          </w:p>
        </w:tc>
        <w:tc>
          <w:tcPr>
            <w:tcW w:w="704" w:type="pct"/>
            <w:tcMar>
              <w:top w:w="30" w:type="dxa"/>
              <w:left w:w="45" w:type="dxa"/>
              <w:bottom w:w="30" w:type="dxa"/>
              <w:right w:w="45" w:type="dxa"/>
            </w:tcMar>
            <w:vAlign w:val="center"/>
            <w:hideMark/>
          </w:tcPr>
          <w:p w14:paraId="05EB3289" w14:textId="77777777" w:rsidR="00D901BA" w:rsidRPr="00D901BA" w:rsidRDefault="00D901BA" w:rsidP="00AA4BBB">
            <w:pPr>
              <w:jc w:val="center"/>
              <w:rPr>
                <w:rFonts w:cs="Arial"/>
                <w:sz w:val="16"/>
                <w:szCs w:val="16"/>
              </w:rPr>
            </w:pPr>
            <w:r w:rsidRPr="00D901BA">
              <w:rPr>
                <w:rFonts w:cs="Arial"/>
                <w:sz w:val="16"/>
                <w:szCs w:val="16"/>
              </w:rPr>
              <w:t>7.063.813.743</w:t>
            </w:r>
          </w:p>
        </w:tc>
        <w:tc>
          <w:tcPr>
            <w:tcW w:w="645" w:type="pct"/>
            <w:tcMar>
              <w:top w:w="30" w:type="dxa"/>
              <w:left w:w="45" w:type="dxa"/>
              <w:bottom w:w="30" w:type="dxa"/>
              <w:right w:w="45" w:type="dxa"/>
            </w:tcMar>
            <w:vAlign w:val="center"/>
            <w:hideMark/>
          </w:tcPr>
          <w:p w14:paraId="2AFE7355" w14:textId="77777777" w:rsidR="00D901BA" w:rsidRPr="00D901BA" w:rsidRDefault="00D901BA" w:rsidP="00AA4BBB">
            <w:pPr>
              <w:jc w:val="center"/>
              <w:rPr>
                <w:rFonts w:cs="Arial"/>
                <w:sz w:val="16"/>
                <w:szCs w:val="16"/>
              </w:rPr>
            </w:pPr>
            <w:r w:rsidRPr="00D901BA">
              <w:rPr>
                <w:rFonts w:cs="Arial"/>
                <w:sz w:val="16"/>
                <w:szCs w:val="16"/>
              </w:rPr>
              <w:t>7.162.813.768</w:t>
            </w:r>
          </w:p>
        </w:tc>
        <w:tc>
          <w:tcPr>
            <w:tcW w:w="691" w:type="pct"/>
            <w:vMerge/>
            <w:vAlign w:val="center"/>
            <w:hideMark/>
          </w:tcPr>
          <w:p w14:paraId="7E9B5B3E" w14:textId="77777777" w:rsidR="00D901BA" w:rsidRPr="00D901BA" w:rsidRDefault="00D901BA" w:rsidP="00AA4BBB">
            <w:pPr>
              <w:rPr>
                <w:rFonts w:cs="Arial"/>
                <w:b/>
                <w:bCs/>
                <w:sz w:val="16"/>
                <w:szCs w:val="16"/>
              </w:rPr>
            </w:pPr>
          </w:p>
        </w:tc>
      </w:tr>
      <w:tr w:rsidR="00D901BA" w:rsidRPr="00D901BA" w14:paraId="58E715F8" w14:textId="77777777" w:rsidTr="00D901BA">
        <w:trPr>
          <w:trHeight w:val="315"/>
        </w:trPr>
        <w:tc>
          <w:tcPr>
            <w:tcW w:w="1589" w:type="pct"/>
            <w:vMerge w:val="restart"/>
            <w:tcMar>
              <w:top w:w="30" w:type="dxa"/>
              <w:left w:w="45" w:type="dxa"/>
              <w:bottom w:w="30" w:type="dxa"/>
              <w:right w:w="45" w:type="dxa"/>
            </w:tcMar>
            <w:vAlign w:val="center"/>
            <w:hideMark/>
          </w:tcPr>
          <w:p w14:paraId="3F365407" w14:textId="77777777" w:rsidR="00D901BA" w:rsidRPr="00D901BA" w:rsidRDefault="00D901BA" w:rsidP="00AA4BBB">
            <w:pPr>
              <w:rPr>
                <w:rFonts w:cs="Arial"/>
                <w:sz w:val="16"/>
                <w:szCs w:val="16"/>
              </w:rPr>
            </w:pPr>
            <w:r w:rsidRPr="00D901BA">
              <w:rPr>
                <w:rFonts w:cs="Arial"/>
                <w:sz w:val="16"/>
                <w:szCs w:val="16"/>
              </w:rPr>
              <w:t>Atender a 161.000 personas mayores en los servicios sociales con transferencias servicios en unidades operativas y extramurales</w:t>
            </w:r>
          </w:p>
        </w:tc>
        <w:tc>
          <w:tcPr>
            <w:tcW w:w="673" w:type="pct"/>
            <w:tcMar>
              <w:top w:w="30" w:type="dxa"/>
              <w:left w:w="45" w:type="dxa"/>
              <w:bottom w:w="30" w:type="dxa"/>
              <w:right w:w="45" w:type="dxa"/>
            </w:tcMar>
            <w:vAlign w:val="center"/>
            <w:hideMark/>
          </w:tcPr>
          <w:p w14:paraId="22425960" w14:textId="77777777" w:rsidR="00D901BA" w:rsidRPr="00D901BA" w:rsidRDefault="00D901BA" w:rsidP="00AA4BBB">
            <w:pPr>
              <w:jc w:val="center"/>
              <w:rPr>
                <w:rFonts w:cs="Arial"/>
                <w:sz w:val="16"/>
                <w:szCs w:val="16"/>
              </w:rPr>
            </w:pPr>
            <w:r w:rsidRPr="00D901BA">
              <w:rPr>
                <w:rFonts w:cs="Arial"/>
                <w:sz w:val="16"/>
                <w:szCs w:val="16"/>
              </w:rPr>
              <w:t>112.567</w:t>
            </w:r>
          </w:p>
        </w:tc>
        <w:tc>
          <w:tcPr>
            <w:tcW w:w="698" w:type="pct"/>
            <w:tcMar>
              <w:top w:w="30" w:type="dxa"/>
              <w:left w:w="45" w:type="dxa"/>
              <w:bottom w:w="30" w:type="dxa"/>
              <w:right w:w="45" w:type="dxa"/>
            </w:tcMar>
            <w:vAlign w:val="center"/>
            <w:hideMark/>
          </w:tcPr>
          <w:p w14:paraId="666B80A1" w14:textId="77777777" w:rsidR="00D901BA" w:rsidRPr="00D901BA" w:rsidRDefault="00D901BA" w:rsidP="00AA4BBB">
            <w:pPr>
              <w:jc w:val="center"/>
              <w:rPr>
                <w:rFonts w:cs="Arial"/>
                <w:sz w:val="16"/>
                <w:szCs w:val="16"/>
              </w:rPr>
            </w:pPr>
            <w:r w:rsidRPr="00D901BA">
              <w:rPr>
                <w:rFonts w:cs="Arial"/>
                <w:sz w:val="16"/>
                <w:szCs w:val="16"/>
              </w:rPr>
              <w:t>12.597</w:t>
            </w:r>
          </w:p>
        </w:tc>
        <w:tc>
          <w:tcPr>
            <w:tcW w:w="704" w:type="pct"/>
            <w:tcMar>
              <w:top w:w="30" w:type="dxa"/>
              <w:left w:w="45" w:type="dxa"/>
              <w:bottom w:w="30" w:type="dxa"/>
              <w:right w:w="45" w:type="dxa"/>
            </w:tcMar>
            <w:vAlign w:val="center"/>
            <w:hideMark/>
          </w:tcPr>
          <w:p w14:paraId="453288A3" w14:textId="77777777" w:rsidR="00D901BA" w:rsidRPr="00D901BA" w:rsidRDefault="00D901BA" w:rsidP="00AA4BBB">
            <w:pPr>
              <w:jc w:val="center"/>
              <w:rPr>
                <w:rFonts w:cs="Arial"/>
                <w:sz w:val="16"/>
                <w:szCs w:val="16"/>
              </w:rPr>
            </w:pPr>
            <w:r w:rsidRPr="00D901BA">
              <w:rPr>
                <w:rFonts w:cs="Arial"/>
                <w:sz w:val="16"/>
                <w:szCs w:val="16"/>
              </w:rPr>
              <w:t>13.451</w:t>
            </w:r>
          </w:p>
        </w:tc>
        <w:tc>
          <w:tcPr>
            <w:tcW w:w="645" w:type="pct"/>
            <w:tcMar>
              <w:top w:w="30" w:type="dxa"/>
              <w:left w:w="45" w:type="dxa"/>
              <w:bottom w:w="30" w:type="dxa"/>
              <w:right w:w="45" w:type="dxa"/>
            </w:tcMar>
            <w:vAlign w:val="center"/>
            <w:hideMark/>
          </w:tcPr>
          <w:p w14:paraId="3EB0C17D" w14:textId="77777777" w:rsidR="00D901BA" w:rsidRPr="00D901BA" w:rsidRDefault="00D901BA" w:rsidP="00AA4BBB">
            <w:pPr>
              <w:jc w:val="center"/>
              <w:rPr>
                <w:rFonts w:cs="Arial"/>
                <w:sz w:val="16"/>
                <w:szCs w:val="16"/>
              </w:rPr>
            </w:pPr>
            <w:r w:rsidRPr="00D901BA">
              <w:rPr>
                <w:rFonts w:cs="Arial"/>
                <w:sz w:val="16"/>
                <w:szCs w:val="16"/>
              </w:rPr>
              <w:t>22.385</w:t>
            </w:r>
          </w:p>
        </w:tc>
        <w:tc>
          <w:tcPr>
            <w:tcW w:w="691" w:type="pct"/>
            <w:vMerge w:val="restart"/>
            <w:tcMar>
              <w:top w:w="30" w:type="dxa"/>
              <w:left w:w="45" w:type="dxa"/>
              <w:bottom w:w="30" w:type="dxa"/>
              <w:right w:w="45" w:type="dxa"/>
            </w:tcMar>
            <w:vAlign w:val="center"/>
            <w:hideMark/>
          </w:tcPr>
          <w:p w14:paraId="1DFB9DF2" w14:textId="77777777" w:rsidR="00D901BA" w:rsidRPr="00D901BA" w:rsidRDefault="00D901BA" w:rsidP="00AA4BBB">
            <w:pPr>
              <w:jc w:val="center"/>
              <w:rPr>
                <w:rFonts w:cs="Arial"/>
                <w:b/>
                <w:bCs/>
                <w:sz w:val="16"/>
                <w:szCs w:val="16"/>
              </w:rPr>
            </w:pPr>
            <w:r w:rsidRPr="00D901BA">
              <w:rPr>
                <w:rFonts w:cs="Arial"/>
                <w:b/>
                <w:bCs/>
                <w:sz w:val="16"/>
                <w:szCs w:val="16"/>
              </w:rPr>
              <w:t>989.092.716.250</w:t>
            </w:r>
          </w:p>
        </w:tc>
      </w:tr>
      <w:tr w:rsidR="00D901BA" w:rsidRPr="00D901BA" w14:paraId="15A49B77" w14:textId="77777777" w:rsidTr="00D901BA">
        <w:trPr>
          <w:trHeight w:val="315"/>
        </w:trPr>
        <w:tc>
          <w:tcPr>
            <w:tcW w:w="1589" w:type="pct"/>
            <w:vMerge/>
            <w:vAlign w:val="center"/>
            <w:hideMark/>
          </w:tcPr>
          <w:p w14:paraId="3442A8C1"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7C50CFE6" w14:textId="77777777" w:rsidR="00D901BA" w:rsidRPr="00D901BA" w:rsidRDefault="00D901BA" w:rsidP="00AA4BBB">
            <w:pPr>
              <w:jc w:val="center"/>
              <w:rPr>
                <w:rFonts w:cs="Arial"/>
                <w:sz w:val="16"/>
                <w:szCs w:val="16"/>
              </w:rPr>
            </w:pPr>
            <w:r w:rsidRPr="00D901BA">
              <w:rPr>
                <w:rFonts w:cs="Arial"/>
                <w:sz w:val="16"/>
                <w:szCs w:val="16"/>
              </w:rPr>
              <w:t>236.850.000.000</w:t>
            </w:r>
          </w:p>
        </w:tc>
        <w:tc>
          <w:tcPr>
            <w:tcW w:w="698" w:type="pct"/>
            <w:tcMar>
              <w:top w:w="30" w:type="dxa"/>
              <w:left w:w="45" w:type="dxa"/>
              <w:bottom w:w="30" w:type="dxa"/>
              <w:right w:w="45" w:type="dxa"/>
            </w:tcMar>
            <w:vAlign w:val="center"/>
            <w:hideMark/>
          </w:tcPr>
          <w:p w14:paraId="434497F3" w14:textId="77777777" w:rsidR="00D901BA" w:rsidRPr="00D901BA" w:rsidRDefault="00D901BA" w:rsidP="00AA4BBB">
            <w:pPr>
              <w:jc w:val="center"/>
              <w:rPr>
                <w:rFonts w:cs="Arial"/>
                <w:sz w:val="16"/>
                <w:szCs w:val="16"/>
              </w:rPr>
            </w:pPr>
            <w:r w:rsidRPr="00D901BA">
              <w:rPr>
                <w:rFonts w:cs="Arial"/>
                <w:sz w:val="16"/>
                <w:szCs w:val="16"/>
              </w:rPr>
              <w:t>243.081.553.398</w:t>
            </w:r>
          </w:p>
        </w:tc>
        <w:tc>
          <w:tcPr>
            <w:tcW w:w="704" w:type="pct"/>
            <w:tcMar>
              <w:top w:w="30" w:type="dxa"/>
              <w:left w:w="45" w:type="dxa"/>
              <w:bottom w:w="30" w:type="dxa"/>
              <w:right w:w="45" w:type="dxa"/>
            </w:tcMar>
            <w:vAlign w:val="center"/>
            <w:hideMark/>
          </w:tcPr>
          <w:p w14:paraId="3986269C" w14:textId="77777777" w:rsidR="00D901BA" w:rsidRPr="00D901BA" w:rsidRDefault="00D901BA" w:rsidP="00AA4BBB">
            <w:pPr>
              <w:jc w:val="center"/>
              <w:rPr>
                <w:rFonts w:cs="Arial"/>
                <w:sz w:val="16"/>
                <w:szCs w:val="16"/>
              </w:rPr>
            </w:pPr>
            <w:r w:rsidRPr="00D901BA">
              <w:rPr>
                <w:rFonts w:cs="Arial"/>
                <w:sz w:val="16"/>
                <w:szCs w:val="16"/>
              </w:rPr>
              <w:t>252.808.935.809</w:t>
            </w:r>
          </w:p>
        </w:tc>
        <w:tc>
          <w:tcPr>
            <w:tcW w:w="645" w:type="pct"/>
            <w:tcMar>
              <w:top w:w="30" w:type="dxa"/>
              <w:left w:w="45" w:type="dxa"/>
              <w:bottom w:w="30" w:type="dxa"/>
              <w:right w:w="45" w:type="dxa"/>
            </w:tcMar>
            <w:vAlign w:val="center"/>
            <w:hideMark/>
          </w:tcPr>
          <w:p w14:paraId="6A8406A3" w14:textId="77777777" w:rsidR="00D901BA" w:rsidRPr="00D901BA" w:rsidRDefault="00D901BA" w:rsidP="00AA4BBB">
            <w:pPr>
              <w:jc w:val="center"/>
              <w:rPr>
                <w:rFonts w:cs="Arial"/>
                <w:sz w:val="16"/>
                <w:szCs w:val="16"/>
              </w:rPr>
            </w:pPr>
            <w:r w:rsidRPr="00D901BA">
              <w:rPr>
                <w:rFonts w:cs="Arial"/>
                <w:sz w:val="16"/>
                <w:szCs w:val="16"/>
              </w:rPr>
              <w:t>256.352.227.043</w:t>
            </w:r>
          </w:p>
        </w:tc>
        <w:tc>
          <w:tcPr>
            <w:tcW w:w="691" w:type="pct"/>
            <w:vMerge/>
            <w:vAlign w:val="center"/>
            <w:hideMark/>
          </w:tcPr>
          <w:p w14:paraId="65FF7E7E" w14:textId="77777777" w:rsidR="00D901BA" w:rsidRPr="00D901BA" w:rsidRDefault="00D901BA" w:rsidP="00AA4BBB">
            <w:pPr>
              <w:rPr>
                <w:rFonts w:cs="Arial"/>
                <w:b/>
                <w:bCs/>
                <w:sz w:val="16"/>
                <w:szCs w:val="16"/>
              </w:rPr>
            </w:pPr>
          </w:p>
        </w:tc>
      </w:tr>
      <w:tr w:rsidR="00D901BA" w:rsidRPr="00D901BA" w14:paraId="000E4CC2" w14:textId="77777777" w:rsidTr="00D901BA">
        <w:trPr>
          <w:trHeight w:val="315"/>
        </w:trPr>
        <w:tc>
          <w:tcPr>
            <w:tcW w:w="1589" w:type="pct"/>
            <w:vMerge w:val="restart"/>
            <w:tcMar>
              <w:top w:w="30" w:type="dxa"/>
              <w:left w:w="45" w:type="dxa"/>
              <w:bottom w:w="30" w:type="dxa"/>
              <w:right w:w="45" w:type="dxa"/>
            </w:tcMar>
            <w:vAlign w:val="center"/>
            <w:hideMark/>
          </w:tcPr>
          <w:p w14:paraId="66ECE916" w14:textId="77777777" w:rsidR="00D901BA" w:rsidRPr="00D901BA" w:rsidRDefault="00D901BA" w:rsidP="00AA4BBB">
            <w:pPr>
              <w:rPr>
                <w:rFonts w:cs="Arial"/>
                <w:sz w:val="16"/>
                <w:szCs w:val="16"/>
              </w:rPr>
            </w:pPr>
            <w:r w:rsidRPr="00D901BA">
              <w:rPr>
                <w:rFonts w:cs="Arial"/>
                <w:sz w:val="16"/>
                <w:szCs w:val="16"/>
              </w:rPr>
              <w:lastRenderedPageBreak/>
              <w:t>Atender a 8.600 personas con discapacidad sus familias y sus personas cuidadoras a través de servicios sociales estrategias y acciones transversales que favorezcan su inclusión social y productiva.</w:t>
            </w:r>
          </w:p>
        </w:tc>
        <w:tc>
          <w:tcPr>
            <w:tcW w:w="673" w:type="pct"/>
            <w:tcMar>
              <w:top w:w="30" w:type="dxa"/>
              <w:left w:w="45" w:type="dxa"/>
              <w:bottom w:w="30" w:type="dxa"/>
              <w:right w:w="45" w:type="dxa"/>
            </w:tcMar>
            <w:vAlign w:val="center"/>
            <w:hideMark/>
          </w:tcPr>
          <w:p w14:paraId="29B6EE6D" w14:textId="77777777" w:rsidR="00D901BA" w:rsidRPr="00D901BA" w:rsidRDefault="00D901BA" w:rsidP="00AA4BBB">
            <w:pPr>
              <w:jc w:val="center"/>
              <w:rPr>
                <w:rFonts w:cs="Arial"/>
                <w:sz w:val="16"/>
                <w:szCs w:val="16"/>
              </w:rPr>
            </w:pPr>
            <w:r w:rsidRPr="00D901BA">
              <w:rPr>
                <w:rFonts w:cs="Arial"/>
                <w:sz w:val="16"/>
                <w:szCs w:val="16"/>
              </w:rPr>
              <w:t>6.700</w:t>
            </w:r>
          </w:p>
        </w:tc>
        <w:tc>
          <w:tcPr>
            <w:tcW w:w="698" w:type="pct"/>
            <w:tcMar>
              <w:top w:w="30" w:type="dxa"/>
              <w:left w:w="45" w:type="dxa"/>
              <w:bottom w:w="30" w:type="dxa"/>
              <w:right w:w="45" w:type="dxa"/>
            </w:tcMar>
            <w:vAlign w:val="center"/>
            <w:hideMark/>
          </w:tcPr>
          <w:p w14:paraId="69E5819E" w14:textId="77777777" w:rsidR="00D901BA" w:rsidRPr="00D901BA" w:rsidRDefault="00D901BA" w:rsidP="00AA4BBB">
            <w:pPr>
              <w:jc w:val="center"/>
              <w:rPr>
                <w:rFonts w:cs="Arial"/>
                <w:sz w:val="16"/>
                <w:szCs w:val="16"/>
              </w:rPr>
            </w:pPr>
            <w:r w:rsidRPr="00D901BA">
              <w:rPr>
                <w:rFonts w:cs="Arial"/>
                <w:sz w:val="16"/>
                <w:szCs w:val="16"/>
              </w:rPr>
              <w:t>7.000</w:t>
            </w:r>
          </w:p>
        </w:tc>
        <w:tc>
          <w:tcPr>
            <w:tcW w:w="704" w:type="pct"/>
            <w:tcMar>
              <w:top w:w="30" w:type="dxa"/>
              <w:left w:w="45" w:type="dxa"/>
              <w:bottom w:w="30" w:type="dxa"/>
              <w:right w:w="45" w:type="dxa"/>
            </w:tcMar>
            <w:vAlign w:val="center"/>
            <w:hideMark/>
          </w:tcPr>
          <w:p w14:paraId="24AA892E" w14:textId="77777777" w:rsidR="00D901BA" w:rsidRPr="00D901BA" w:rsidRDefault="00D901BA" w:rsidP="00AA4BBB">
            <w:pPr>
              <w:jc w:val="center"/>
              <w:rPr>
                <w:rFonts w:cs="Arial"/>
                <w:sz w:val="16"/>
                <w:szCs w:val="16"/>
              </w:rPr>
            </w:pPr>
            <w:r w:rsidRPr="00D901BA">
              <w:rPr>
                <w:rFonts w:cs="Arial"/>
                <w:sz w:val="16"/>
                <w:szCs w:val="16"/>
              </w:rPr>
              <w:t>7.700</w:t>
            </w:r>
          </w:p>
        </w:tc>
        <w:tc>
          <w:tcPr>
            <w:tcW w:w="645" w:type="pct"/>
            <w:tcMar>
              <w:top w:w="30" w:type="dxa"/>
              <w:left w:w="45" w:type="dxa"/>
              <w:bottom w:w="30" w:type="dxa"/>
              <w:right w:w="45" w:type="dxa"/>
            </w:tcMar>
            <w:vAlign w:val="center"/>
            <w:hideMark/>
          </w:tcPr>
          <w:p w14:paraId="3D5D6A13" w14:textId="77777777" w:rsidR="00D901BA" w:rsidRPr="00D901BA" w:rsidRDefault="00D901BA" w:rsidP="00AA4BBB">
            <w:pPr>
              <w:jc w:val="center"/>
              <w:rPr>
                <w:rFonts w:cs="Arial"/>
                <w:sz w:val="16"/>
                <w:szCs w:val="16"/>
              </w:rPr>
            </w:pPr>
            <w:r w:rsidRPr="00D901BA">
              <w:rPr>
                <w:rFonts w:cs="Arial"/>
                <w:sz w:val="16"/>
                <w:szCs w:val="16"/>
              </w:rPr>
              <w:t>8.600</w:t>
            </w:r>
          </w:p>
        </w:tc>
        <w:tc>
          <w:tcPr>
            <w:tcW w:w="691" w:type="pct"/>
            <w:vMerge w:val="restart"/>
            <w:tcMar>
              <w:top w:w="30" w:type="dxa"/>
              <w:left w:w="45" w:type="dxa"/>
              <w:bottom w:w="30" w:type="dxa"/>
              <w:right w:w="45" w:type="dxa"/>
            </w:tcMar>
            <w:vAlign w:val="center"/>
            <w:hideMark/>
          </w:tcPr>
          <w:p w14:paraId="43BB35DE" w14:textId="77777777" w:rsidR="00D901BA" w:rsidRPr="00D901BA" w:rsidRDefault="00D901BA" w:rsidP="00AA4BBB">
            <w:pPr>
              <w:jc w:val="center"/>
              <w:rPr>
                <w:rFonts w:cs="Arial"/>
                <w:b/>
                <w:bCs/>
                <w:sz w:val="16"/>
                <w:szCs w:val="16"/>
              </w:rPr>
            </w:pPr>
            <w:r w:rsidRPr="00D901BA">
              <w:rPr>
                <w:rFonts w:cs="Arial"/>
                <w:b/>
                <w:bCs/>
                <w:sz w:val="16"/>
                <w:szCs w:val="16"/>
              </w:rPr>
              <w:t>319.650.497.323</w:t>
            </w:r>
          </w:p>
        </w:tc>
      </w:tr>
      <w:tr w:rsidR="00D901BA" w:rsidRPr="00D901BA" w14:paraId="771FD40A" w14:textId="77777777" w:rsidTr="00D901BA">
        <w:trPr>
          <w:trHeight w:val="315"/>
        </w:trPr>
        <w:tc>
          <w:tcPr>
            <w:tcW w:w="1589" w:type="pct"/>
            <w:vMerge/>
            <w:vAlign w:val="center"/>
            <w:hideMark/>
          </w:tcPr>
          <w:p w14:paraId="3FA3706A"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7C1C665A" w14:textId="77777777" w:rsidR="00D901BA" w:rsidRPr="00D901BA" w:rsidRDefault="00D901BA" w:rsidP="00AA4BBB">
            <w:pPr>
              <w:jc w:val="center"/>
              <w:rPr>
                <w:rFonts w:cs="Arial"/>
                <w:sz w:val="16"/>
                <w:szCs w:val="16"/>
              </w:rPr>
            </w:pPr>
            <w:r w:rsidRPr="00D901BA">
              <w:rPr>
                <w:rFonts w:cs="Arial"/>
                <w:sz w:val="16"/>
                <w:szCs w:val="16"/>
              </w:rPr>
              <w:t>76.544.000.000</w:t>
            </w:r>
          </w:p>
        </w:tc>
        <w:tc>
          <w:tcPr>
            <w:tcW w:w="698" w:type="pct"/>
            <w:tcMar>
              <w:top w:w="30" w:type="dxa"/>
              <w:left w:w="45" w:type="dxa"/>
              <w:bottom w:w="30" w:type="dxa"/>
              <w:right w:w="45" w:type="dxa"/>
            </w:tcMar>
            <w:vAlign w:val="center"/>
            <w:hideMark/>
          </w:tcPr>
          <w:p w14:paraId="688F7BFC" w14:textId="77777777" w:rsidR="00D901BA" w:rsidRPr="00D901BA" w:rsidRDefault="00D901BA" w:rsidP="00AA4BBB">
            <w:pPr>
              <w:jc w:val="center"/>
              <w:rPr>
                <w:rFonts w:cs="Arial"/>
                <w:sz w:val="16"/>
                <w:szCs w:val="16"/>
              </w:rPr>
            </w:pPr>
            <w:r w:rsidRPr="00D901BA">
              <w:rPr>
                <w:rFonts w:cs="Arial"/>
                <w:sz w:val="16"/>
                <w:szCs w:val="16"/>
              </w:rPr>
              <w:t>78.558.252.427</w:t>
            </w:r>
          </w:p>
        </w:tc>
        <w:tc>
          <w:tcPr>
            <w:tcW w:w="704" w:type="pct"/>
            <w:tcMar>
              <w:top w:w="30" w:type="dxa"/>
              <w:left w:w="45" w:type="dxa"/>
              <w:bottom w:w="30" w:type="dxa"/>
              <w:right w:w="45" w:type="dxa"/>
            </w:tcMar>
            <w:vAlign w:val="center"/>
            <w:hideMark/>
          </w:tcPr>
          <w:p w14:paraId="639464F6" w14:textId="77777777" w:rsidR="00D901BA" w:rsidRPr="00D901BA" w:rsidRDefault="00D901BA" w:rsidP="00AA4BBB">
            <w:pPr>
              <w:jc w:val="center"/>
              <w:rPr>
                <w:rFonts w:cs="Arial"/>
                <w:sz w:val="16"/>
                <w:szCs w:val="16"/>
              </w:rPr>
            </w:pPr>
            <w:r w:rsidRPr="00D901BA">
              <w:rPr>
                <w:rFonts w:cs="Arial"/>
                <w:sz w:val="16"/>
                <w:szCs w:val="16"/>
              </w:rPr>
              <w:t>81.701.385.616</w:t>
            </w:r>
          </w:p>
        </w:tc>
        <w:tc>
          <w:tcPr>
            <w:tcW w:w="645" w:type="pct"/>
            <w:tcMar>
              <w:top w:w="30" w:type="dxa"/>
              <w:left w:w="45" w:type="dxa"/>
              <w:bottom w:w="30" w:type="dxa"/>
              <w:right w:w="45" w:type="dxa"/>
            </w:tcMar>
            <w:vAlign w:val="center"/>
            <w:hideMark/>
          </w:tcPr>
          <w:p w14:paraId="4EF21938" w14:textId="77777777" w:rsidR="00D901BA" w:rsidRPr="00D901BA" w:rsidRDefault="00D901BA" w:rsidP="00AA4BBB">
            <w:pPr>
              <w:jc w:val="center"/>
              <w:rPr>
                <w:rFonts w:cs="Arial"/>
                <w:sz w:val="16"/>
                <w:szCs w:val="16"/>
              </w:rPr>
            </w:pPr>
            <w:r w:rsidRPr="00D901BA">
              <w:rPr>
                <w:rFonts w:cs="Arial"/>
                <w:sz w:val="16"/>
                <w:szCs w:val="16"/>
              </w:rPr>
              <w:t>82.846.859.280</w:t>
            </w:r>
          </w:p>
        </w:tc>
        <w:tc>
          <w:tcPr>
            <w:tcW w:w="691" w:type="pct"/>
            <w:vMerge/>
            <w:vAlign w:val="center"/>
            <w:hideMark/>
          </w:tcPr>
          <w:p w14:paraId="38BE49BE" w14:textId="77777777" w:rsidR="00D901BA" w:rsidRPr="00D901BA" w:rsidRDefault="00D901BA" w:rsidP="00AA4BBB">
            <w:pPr>
              <w:rPr>
                <w:rFonts w:cs="Arial"/>
                <w:b/>
                <w:bCs/>
                <w:sz w:val="16"/>
                <w:szCs w:val="16"/>
              </w:rPr>
            </w:pPr>
          </w:p>
        </w:tc>
      </w:tr>
      <w:tr w:rsidR="00D901BA" w:rsidRPr="00D901BA" w14:paraId="1AF0E571" w14:textId="77777777" w:rsidTr="00D901BA">
        <w:trPr>
          <w:trHeight w:val="315"/>
        </w:trPr>
        <w:tc>
          <w:tcPr>
            <w:tcW w:w="1589" w:type="pct"/>
            <w:vMerge w:val="restart"/>
            <w:tcMar>
              <w:top w:w="30" w:type="dxa"/>
              <w:left w:w="45" w:type="dxa"/>
              <w:bottom w:w="30" w:type="dxa"/>
              <w:right w:w="45" w:type="dxa"/>
            </w:tcMar>
            <w:vAlign w:val="center"/>
            <w:hideMark/>
          </w:tcPr>
          <w:p w14:paraId="1B16718E" w14:textId="77777777" w:rsidR="00D901BA" w:rsidRPr="00D901BA" w:rsidRDefault="00D901BA" w:rsidP="00AA4BBB">
            <w:pPr>
              <w:rPr>
                <w:rFonts w:cs="Arial"/>
                <w:sz w:val="16"/>
                <w:szCs w:val="16"/>
              </w:rPr>
            </w:pPr>
            <w:r w:rsidRPr="00D901BA">
              <w:rPr>
                <w:rFonts w:cs="Arial"/>
                <w:sz w:val="16"/>
                <w:szCs w:val="16"/>
              </w:rPr>
              <w:t>Beneficiar 15.000 jóvenes a través de la oferta de servicios del Sistema Distrital de Cuidado.</w:t>
            </w:r>
          </w:p>
        </w:tc>
        <w:tc>
          <w:tcPr>
            <w:tcW w:w="673" w:type="pct"/>
            <w:tcMar>
              <w:top w:w="30" w:type="dxa"/>
              <w:left w:w="45" w:type="dxa"/>
              <w:bottom w:w="30" w:type="dxa"/>
              <w:right w:w="45" w:type="dxa"/>
            </w:tcMar>
            <w:vAlign w:val="center"/>
            <w:hideMark/>
          </w:tcPr>
          <w:p w14:paraId="470F1A0B" w14:textId="77777777" w:rsidR="00D901BA" w:rsidRPr="00D901BA" w:rsidRDefault="00D901BA" w:rsidP="00AA4BBB">
            <w:pPr>
              <w:jc w:val="center"/>
              <w:rPr>
                <w:rFonts w:cs="Arial"/>
                <w:sz w:val="16"/>
                <w:szCs w:val="16"/>
              </w:rPr>
            </w:pPr>
            <w:r w:rsidRPr="00D901BA">
              <w:rPr>
                <w:rFonts w:cs="Arial"/>
                <w:sz w:val="16"/>
                <w:szCs w:val="16"/>
              </w:rPr>
              <w:t>10.740</w:t>
            </w:r>
          </w:p>
        </w:tc>
        <w:tc>
          <w:tcPr>
            <w:tcW w:w="698" w:type="pct"/>
            <w:tcMar>
              <w:top w:w="30" w:type="dxa"/>
              <w:left w:w="45" w:type="dxa"/>
              <w:bottom w:w="30" w:type="dxa"/>
              <w:right w:w="45" w:type="dxa"/>
            </w:tcMar>
            <w:vAlign w:val="center"/>
            <w:hideMark/>
          </w:tcPr>
          <w:p w14:paraId="29670073" w14:textId="77777777" w:rsidR="00D901BA" w:rsidRPr="00D901BA" w:rsidRDefault="00D901BA" w:rsidP="00AA4BBB">
            <w:pPr>
              <w:jc w:val="center"/>
              <w:rPr>
                <w:rFonts w:cs="Arial"/>
                <w:sz w:val="16"/>
                <w:szCs w:val="16"/>
              </w:rPr>
            </w:pPr>
            <w:r w:rsidRPr="00D901BA">
              <w:rPr>
                <w:rFonts w:cs="Arial"/>
                <w:sz w:val="16"/>
                <w:szCs w:val="16"/>
              </w:rPr>
              <w:t>12.000</w:t>
            </w:r>
          </w:p>
        </w:tc>
        <w:tc>
          <w:tcPr>
            <w:tcW w:w="704" w:type="pct"/>
            <w:tcMar>
              <w:top w:w="30" w:type="dxa"/>
              <w:left w:w="45" w:type="dxa"/>
              <w:bottom w:w="30" w:type="dxa"/>
              <w:right w:w="45" w:type="dxa"/>
            </w:tcMar>
            <w:vAlign w:val="center"/>
            <w:hideMark/>
          </w:tcPr>
          <w:p w14:paraId="6F88F731" w14:textId="77777777" w:rsidR="00D901BA" w:rsidRPr="00D901BA" w:rsidRDefault="00D901BA" w:rsidP="00AA4BBB">
            <w:pPr>
              <w:jc w:val="center"/>
              <w:rPr>
                <w:rFonts w:cs="Arial"/>
                <w:sz w:val="16"/>
                <w:szCs w:val="16"/>
              </w:rPr>
            </w:pPr>
            <w:r w:rsidRPr="00D901BA">
              <w:rPr>
                <w:rFonts w:cs="Arial"/>
                <w:sz w:val="16"/>
                <w:szCs w:val="16"/>
              </w:rPr>
              <w:t>14.000</w:t>
            </w:r>
          </w:p>
        </w:tc>
        <w:tc>
          <w:tcPr>
            <w:tcW w:w="645" w:type="pct"/>
            <w:tcMar>
              <w:top w:w="30" w:type="dxa"/>
              <w:left w:w="45" w:type="dxa"/>
              <w:bottom w:w="30" w:type="dxa"/>
              <w:right w:w="45" w:type="dxa"/>
            </w:tcMar>
            <w:vAlign w:val="center"/>
            <w:hideMark/>
          </w:tcPr>
          <w:p w14:paraId="74801493" w14:textId="77777777" w:rsidR="00D901BA" w:rsidRPr="00D901BA" w:rsidRDefault="00D901BA" w:rsidP="00AA4BBB">
            <w:pPr>
              <w:jc w:val="center"/>
              <w:rPr>
                <w:rFonts w:cs="Arial"/>
                <w:sz w:val="16"/>
                <w:szCs w:val="16"/>
              </w:rPr>
            </w:pPr>
            <w:r w:rsidRPr="00D901BA">
              <w:rPr>
                <w:rFonts w:cs="Arial"/>
                <w:sz w:val="16"/>
                <w:szCs w:val="16"/>
              </w:rPr>
              <w:t>15.000</w:t>
            </w:r>
          </w:p>
        </w:tc>
        <w:tc>
          <w:tcPr>
            <w:tcW w:w="691" w:type="pct"/>
            <w:vMerge w:val="restart"/>
            <w:tcMar>
              <w:top w:w="30" w:type="dxa"/>
              <w:left w:w="45" w:type="dxa"/>
              <w:bottom w:w="30" w:type="dxa"/>
              <w:right w:w="45" w:type="dxa"/>
            </w:tcMar>
            <w:vAlign w:val="center"/>
            <w:hideMark/>
          </w:tcPr>
          <w:p w14:paraId="70A23C51" w14:textId="77777777" w:rsidR="00D901BA" w:rsidRPr="00D901BA" w:rsidRDefault="00D901BA" w:rsidP="00AA4BBB">
            <w:pPr>
              <w:jc w:val="center"/>
              <w:rPr>
                <w:rFonts w:cs="Arial"/>
                <w:b/>
                <w:bCs/>
                <w:sz w:val="16"/>
                <w:szCs w:val="16"/>
              </w:rPr>
            </w:pPr>
            <w:r w:rsidRPr="00D901BA">
              <w:rPr>
                <w:rFonts w:cs="Arial"/>
                <w:b/>
                <w:bCs/>
                <w:sz w:val="16"/>
                <w:szCs w:val="16"/>
              </w:rPr>
              <w:t>1.253.124.888</w:t>
            </w:r>
          </w:p>
        </w:tc>
      </w:tr>
      <w:tr w:rsidR="00D901BA" w:rsidRPr="00D901BA" w14:paraId="1DE7673A" w14:textId="77777777" w:rsidTr="00D901BA">
        <w:trPr>
          <w:trHeight w:val="315"/>
        </w:trPr>
        <w:tc>
          <w:tcPr>
            <w:tcW w:w="1589" w:type="pct"/>
            <w:vMerge/>
            <w:vAlign w:val="center"/>
            <w:hideMark/>
          </w:tcPr>
          <w:p w14:paraId="269ED6D3"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36A42E06" w14:textId="77777777" w:rsidR="00D901BA" w:rsidRPr="00D901BA" w:rsidRDefault="00D901BA" w:rsidP="00AA4BBB">
            <w:pPr>
              <w:jc w:val="center"/>
              <w:rPr>
                <w:rFonts w:cs="Arial"/>
                <w:sz w:val="16"/>
                <w:szCs w:val="16"/>
              </w:rPr>
            </w:pPr>
            <w:r w:rsidRPr="00D901BA">
              <w:rPr>
                <w:rFonts w:cs="Arial"/>
                <w:sz w:val="16"/>
                <w:szCs w:val="16"/>
              </w:rPr>
              <w:t>300.000.000</w:t>
            </w:r>
          </w:p>
        </w:tc>
        <w:tc>
          <w:tcPr>
            <w:tcW w:w="698" w:type="pct"/>
            <w:tcMar>
              <w:top w:w="30" w:type="dxa"/>
              <w:left w:w="45" w:type="dxa"/>
              <w:bottom w:w="30" w:type="dxa"/>
              <w:right w:w="45" w:type="dxa"/>
            </w:tcMar>
            <w:vAlign w:val="center"/>
            <w:hideMark/>
          </w:tcPr>
          <w:p w14:paraId="5386800F" w14:textId="77777777" w:rsidR="00D901BA" w:rsidRPr="00D901BA" w:rsidRDefault="00D901BA" w:rsidP="00AA4BBB">
            <w:pPr>
              <w:jc w:val="center"/>
              <w:rPr>
                <w:rFonts w:cs="Arial"/>
                <w:sz w:val="16"/>
                <w:szCs w:val="16"/>
              </w:rPr>
            </w:pPr>
            <w:r w:rsidRPr="00D901BA">
              <w:rPr>
                <w:rFonts w:cs="Arial"/>
                <w:sz w:val="16"/>
                <w:szCs w:val="16"/>
              </w:rPr>
              <w:t>307.766.990</w:t>
            </w:r>
          </w:p>
        </w:tc>
        <w:tc>
          <w:tcPr>
            <w:tcW w:w="704" w:type="pct"/>
            <w:tcMar>
              <w:top w:w="30" w:type="dxa"/>
              <w:left w:w="45" w:type="dxa"/>
              <w:bottom w:w="30" w:type="dxa"/>
              <w:right w:w="45" w:type="dxa"/>
            </w:tcMar>
            <w:vAlign w:val="center"/>
            <w:hideMark/>
          </w:tcPr>
          <w:p w14:paraId="69EB9E28" w14:textId="77777777" w:rsidR="00D901BA" w:rsidRPr="00D901BA" w:rsidRDefault="00D901BA" w:rsidP="00AA4BBB">
            <w:pPr>
              <w:jc w:val="center"/>
              <w:rPr>
                <w:rFonts w:cs="Arial"/>
                <w:sz w:val="16"/>
                <w:szCs w:val="16"/>
              </w:rPr>
            </w:pPr>
            <w:r w:rsidRPr="00D901BA">
              <w:rPr>
                <w:rFonts w:cs="Arial"/>
                <w:sz w:val="16"/>
                <w:szCs w:val="16"/>
              </w:rPr>
              <w:t>320.482.609</w:t>
            </w:r>
          </w:p>
        </w:tc>
        <w:tc>
          <w:tcPr>
            <w:tcW w:w="645" w:type="pct"/>
            <w:tcMar>
              <w:top w:w="30" w:type="dxa"/>
              <w:left w:w="45" w:type="dxa"/>
              <w:bottom w:w="30" w:type="dxa"/>
              <w:right w:w="45" w:type="dxa"/>
            </w:tcMar>
            <w:vAlign w:val="center"/>
            <w:hideMark/>
          </w:tcPr>
          <w:p w14:paraId="0F1F5527" w14:textId="77777777" w:rsidR="00D901BA" w:rsidRPr="00D901BA" w:rsidRDefault="00D901BA" w:rsidP="00AA4BBB">
            <w:pPr>
              <w:jc w:val="center"/>
              <w:rPr>
                <w:rFonts w:cs="Arial"/>
                <w:sz w:val="16"/>
                <w:szCs w:val="16"/>
              </w:rPr>
            </w:pPr>
            <w:r w:rsidRPr="00D901BA">
              <w:rPr>
                <w:rFonts w:cs="Arial"/>
                <w:sz w:val="16"/>
                <w:szCs w:val="16"/>
              </w:rPr>
              <w:t>324.875.289</w:t>
            </w:r>
          </w:p>
        </w:tc>
        <w:tc>
          <w:tcPr>
            <w:tcW w:w="691" w:type="pct"/>
            <w:vMerge/>
            <w:vAlign w:val="center"/>
            <w:hideMark/>
          </w:tcPr>
          <w:p w14:paraId="40126CDE" w14:textId="77777777" w:rsidR="00D901BA" w:rsidRPr="00D901BA" w:rsidRDefault="00D901BA" w:rsidP="00AA4BBB">
            <w:pPr>
              <w:rPr>
                <w:rFonts w:cs="Arial"/>
                <w:b/>
                <w:bCs/>
                <w:sz w:val="16"/>
                <w:szCs w:val="16"/>
              </w:rPr>
            </w:pPr>
          </w:p>
        </w:tc>
      </w:tr>
      <w:tr w:rsidR="00D901BA" w:rsidRPr="00D901BA" w14:paraId="4EC00196" w14:textId="77777777" w:rsidTr="00D901BA">
        <w:trPr>
          <w:trHeight w:val="315"/>
        </w:trPr>
        <w:tc>
          <w:tcPr>
            <w:tcW w:w="1589" w:type="pct"/>
            <w:vMerge w:val="restart"/>
            <w:tcMar>
              <w:top w:w="30" w:type="dxa"/>
              <w:left w:w="45" w:type="dxa"/>
              <w:bottom w:w="30" w:type="dxa"/>
              <w:right w:w="45" w:type="dxa"/>
            </w:tcMar>
            <w:vAlign w:val="center"/>
            <w:hideMark/>
          </w:tcPr>
          <w:p w14:paraId="516FE919" w14:textId="77777777" w:rsidR="00D901BA" w:rsidRPr="00D901BA" w:rsidRDefault="00D901BA" w:rsidP="00AA4BBB">
            <w:pPr>
              <w:rPr>
                <w:rFonts w:cs="Arial"/>
                <w:sz w:val="16"/>
                <w:szCs w:val="16"/>
              </w:rPr>
            </w:pPr>
            <w:r w:rsidRPr="00D901BA">
              <w:rPr>
                <w:rFonts w:cs="Arial"/>
                <w:sz w:val="16"/>
                <w:szCs w:val="16"/>
              </w:rPr>
              <w:t>Coordinar un Plan Distrital de prevención de violencias dirigido a las personas que estén en riesgo sean o hayan sido víctimas de violencia en el contexto familiar y violencia sexual.</w:t>
            </w:r>
          </w:p>
        </w:tc>
        <w:tc>
          <w:tcPr>
            <w:tcW w:w="673" w:type="pct"/>
            <w:tcMar>
              <w:top w:w="30" w:type="dxa"/>
              <w:left w:w="45" w:type="dxa"/>
              <w:bottom w:w="30" w:type="dxa"/>
              <w:right w:w="45" w:type="dxa"/>
            </w:tcMar>
            <w:vAlign w:val="center"/>
            <w:hideMark/>
          </w:tcPr>
          <w:p w14:paraId="4D4E336E" w14:textId="77777777" w:rsidR="00D901BA" w:rsidRPr="00D901BA" w:rsidRDefault="00D901BA" w:rsidP="00AA4BBB">
            <w:pPr>
              <w:jc w:val="center"/>
              <w:rPr>
                <w:rFonts w:cs="Arial"/>
                <w:sz w:val="16"/>
                <w:szCs w:val="16"/>
              </w:rPr>
            </w:pPr>
            <w:r w:rsidRPr="00D901BA">
              <w:rPr>
                <w:rFonts w:cs="Arial"/>
                <w:sz w:val="16"/>
                <w:szCs w:val="16"/>
              </w:rPr>
              <w:t>100%</w:t>
            </w:r>
          </w:p>
        </w:tc>
        <w:tc>
          <w:tcPr>
            <w:tcW w:w="698" w:type="pct"/>
            <w:tcMar>
              <w:top w:w="30" w:type="dxa"/>
              <w:left w:w="45" w:type="dxa"/>
              <w:bottom w:w="30" w:type="dxa"/>
              <w:right w:w="45" w:type="dxa"/>
            </w:tcMar>
            <w:vAlign w:val="center"/>
            <w:hideMark/>
          </w:tcPr>
          <w:p w14:paraId="4C17EA83" w14:textId="77777777" w:rsidR="00D901BA" w:rsidRPr="00D901BA" w:rsidRDefault="00D901BA" w:rsidP="00AA4BBB">
            <w:pPr>
              <w:jc w:val="center"/>
              <w:rPr>
                <w:rFonts w:cs="Arial"/>
                <w:sz w:val="16"/>
                <w:szCs w:val="16"/>
              </w:rPr>
            </w:pPr>
            <w:r w:rsidRPr="00D901BA">
              <w:rPr>
                <w:rFonts w:cs="Arial"/>
                <w:sz w:val="16"/>
                <w:szCs w:val="16"/>
              </w:rPr>
              <w:t>100%</w:t>
            </w:r>
          </w:p>
        </w:tc>
        <w:tc>
          <w:tcPr>
            <w:tcW w:w="704" w:type="pct"/>
            <w:tcMar>
              <w:top w:w="30" w:type="dxa"/>
              <w:left w:w="45" w:type="dxa"/>
              <w:bottom w:w="30" w:type="dxa"/>
              <w:right w:w="45" w:type="dxa"/>
            </w:tcMar>
            <w:vAlign w:val="center"/>
            <w:hideMark/>
          </w:tcPr>
          <w:p w14:paraId="4C8C7E7A" w14:textId="77777777" w:rsidR="00D901BA" w:rsidRPr="00D901BA" w:rsidRDefault="00D901BA" w:rsidP="00AA4BBB">
            <w:pPr>
              <w:jc w:val="center"/>
              <w:rPr>
                <w:rFonts w:cs="Arial"/>
                <w:sz w:val="16"/>
                <w:szCs w:val="16"/>
              </w:rPr>
            </w:pPr>
            <w:r w:rsidRPr="00D901BA">
              <w:rPr>
                <w:rFonts w:cs="Arial"/>
                <w:sz w:val="16"/>
                <w:szCs w:val="16"/>
              </w:rPr>
              <w:t>100%</w:t>
            </w:r>
          </w:p>
        </w:tc>
        <w:tc>
          <w:tcPr>
            <w:tcW w:w="645" w:type="pct"/>
            <w:tcMar>
              <w:top w:w="30" w:type="dxa"/>
              <w:left w:w="45" w:type="dxa"/>
              <w:bottom w:w="30" w:type="dxa"/>
              <w:right w:w="45" w:type="dxa"/>
            </w:tcMar>
            <w:vAlign w:val="center"/>
            <w:hideMark/>
          </w:tcPr>
          <w:p w14:paraId="44DCF4D2" w14:textId="77777777" w:rsidR="00D901BA" w:rsidRPr="00D901BA" w:rsidRDefault="00D901BA" w:rsidP="00AA4BBB">
            <w:pPr>
              <w:jc w:val="center"/>
              <w:rPr>
                <w:rFonts w:cs="Arial"/>
                <w:sz w:val="16"/>
                <w:szCs w:val="16"/>
              </w:rPr>
            </w:pPr>
            <w:r w:rsidRPr="00D901BA">
              <w:rPr>
                <w:rFonts w:cs="Arial"/>
                <w:sz w:val="16"/>
                <w:szCs w:val="16"/>
              </w:rPr>
              <w:t>100%</w:t>
            </w:r>
          </w:p>
        </w:tc>
        <w:tc>
          <w:tcPr>
            <w:tcW w:w="691" w:type="pct"/>
            <w:vMerge w:val="restart"/>
            <w:tcMar>
              <w:top w:w="30" w:type="dxa"/>
              <w:left w:w="45" w:type="dxa"/>
              <w:bottom w:w="30" w:type="dxa"/>
              <w:right w:w="45" w:type="dxa"/>
            </w:tcMar>
            <w:vAlign w:val="center"/>
            <w:hideMark/>
          </w:tcPr>
          <w:p w14:paraId="6BA908B5" w14:textId="77777777" w:rsidR="00D901BA" w:rsidRPr="00D901BA" w:rsidRDefault="00D901BA" w:rsidP="00AA4BBB">
            <w:pPr>
              <w:jc w:val="center"/>
              <w:rPr>
                <w:rFonts w:cs="Arial"/>
                <w:b/>
                <w:bCs/>
                <w:sz w:val="16"/>
                <w:szCs w:val="16"/>
              </w:rPr>
            </w:pPr>
            <w:r w:rsidRPr="00D901BA">
              <w:rPr>
                <w:rFonts w:cs="Arial"/>
                <w:b/>
                <w:bCs/>
                <w:sz w:val="16"/>
                <w:szCs w:val="16"/>
              </w:rPr>
              <w:t>24.054.148.584</w:t>
            </w:r>
          </w:p>
        </w:tc>
      </w:tr>
      <w:tr w:rsidR="00D901BA" w:rsidRPr="00D901BA" w14:paraId="539D654B" w14:textId="77777777" w:rsidTr="00D901BA">
        <w:trPr>
          <w:trHeight w:val="315"/>
        </w:trPr>
        <w:tc>
          <w:tcPr>
            <w:tcW w:w="1589" w:type="pct"/>
            <w:vMerge/>
            <w:vAlign w:val="center"/>
            <w:hideMark/>
          </w:tcPr>
          <w:p w14:paraId="3709BED2"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0BEA4447" w14:textId="77777777" w:rsidR="00D901BA" w:rsidRPr="00D901BA" w:rsidRDefault="00D901BA" w:rsidP="00AA4BBB">
            <w:pPr>
              <w:jc w:val="center"/>
              <w:rPr>
                <w:rFonts w:cs="Arial"/>
                <w:sz w:val="16"/>
                <w:szCs w:val="16"/>
              </w:rPr>
            </w:pPr>
            <w:r w:rsidRPr="00D901BA">
              <w:rPr>
                <w:rFonts w:cs="Arial"/>
                <w:sz w:val="16"/>
                <w:szCs w:val="16"/>
              </w:rPr>
              <w:t>5.760.000.000</w:t>
            </w:r>
          </w:p>
        </w:tc>
        <w:tc>
          <w:tcPr>
            <w:tcW w:w="698" w:type="pct"/>
            <w:tcMar>
              <w:top w:w="30" w:type="dxa"/>
              <w:left w:w="45" w:type="dxa"/>
              <w:bottom w:w="30" w:type="dxa"/>
              <w:right w:w="45" w:type="dxa"/>
            </w:tcMar>
            <w:vAlign w:val="center"/>
            <w:hideMark/>
          </w:tcPr>
          <w:p w14:paraId="3549FDEF" w14:textId="77777777" w:rsidR="00D901BA" w:rsidRPr="00D901BA" w:rsidRDefault="00D901BA" w:rsidP="00AA4BBB">
            <w:pPr>
              <w:jc w:val="center"/>
              <w:rPr>
                <w:rFonts w:cs="Arial"/>
                <w:sz w:val="16"/>
                <w:szCs w:val="16"/>
              </w:rPr>
            </w:pPr>
            <w:r w:rsidRPr="00D901BA">
              <w:rPr>
                <w:rFonts w:cs="Arial"/>
                <w:sz w:val="16"/>
                <w:szCs w:val="16"/>
              </w:rPr>
              <w:t>5.911.650.485</w:t>
            </w:r>
          </w:p>
        </w:tc>
        <w:tc>
          <w:tcPr>
            <w:tcW w:w="704" w:type="pct"/>
            <w:tcMar>
              <w:top w:w="30" w:type="dxa"/>
              <w:left w:w="45" w:type="dxa"/>
              <w:bottom w:w="30" w:type="dxa"/>
              <w:right w:w="45" w:type="dxa"/>
            </w:tcMar>
            <w:vAlign w:val="center"/>
            <w:hideMark/>
          </w:tcPr>
          <w:p w14:paraId="729F7EC1" w14:textId="77777777" w:rsidR="00D901BA" w:rsidRPr="00D901BA" w:rsidRDefault="00D901BA" w:rsidP="00AA4BBB">
            <w:pPr>
              <w:jc w:val="center"/>
              <w:rPr>
                <w:rFonts w:cs="Arial"/>
                <w:sz w:val="16"/>
                <w:szCs w:val="16"/>
              </w:rPr>
            </w:pPr>
            <w:r w:rsidRPr="00D901BA">
              <w:rPr>
                <w:rFonts w:cs="Arial"/>
                <w:sz w:val="16"/>
                <w:szCs w:val="16"/>
              </w:rPr>
              <w:t>6.148.553.115</w:t>
            </w:r>
          </w:p>
        </w:tc>
        <w:tc>
          <w:tcPr>
            <w:tcW w:w="645" w:type="pct"/>
            <w:tcMar>
              <w:top w:w="30" w:type="dxa"/>
              <w:left w:w="45" w:type="dxa"/>
              <w:bottom w:w="30" w:type="dxa"/>
              <w:right w:w="45" w:type="dxa"/>
            </w:tcMar>
            <w:vAlign w:val="center"/>
            <w:hideMark/>
          </w:tcPr>
          <w:p w14:paraId="6BCEB682" w14:textId="77777777" w:rsidR="00D901BA" w:rsidRPr="00D901BA" w:rsidRDefault="00D901BA" w:rsidP="00AA4BBB">
            <w:pPr>
              <w:jc w:val="center"/>
              <w:rPr>
                <w:rFonts w:cs="Arial"/>
                <w:sz w:val="16"/>
                <w:szCs w:val="16"/>
              </w:rPr>
            </w:pPr>
            <w:r w:rsidRPr="00D901BA">
              <w:rPr>
                <w:rFonts w:cs="Arial"/>
                <w:sz w:val="16"/>
                <w:szCs w:val="16"/>
              </w:rPr>
              <w:t>6.233.944.984</w:t>
            </w:r>
          </w:p>
        </w:tc>
        <w:tc>
          <w:tcPr>
            <w:tcW w:w="691" w:type="pct"/>
            <w:vMerge/>
            <w:vAlign w:val="center"/>
            <w:hideMark/>
          </w:tcPr>
          <w:p w14:paraId="743C97ED" w14:textId="77777777" w:rsidR="00D901BA" w:rsidRPr="00D901BA" w:rsidRDefault="00D901BA" w:rsidP="00AA4BBB">
            <w:pPr>
              <w:rPr>
                <w:rFonts w:cs="Arial"/>
                <w:b/>
                <w:bCs/>
                <w:sz w:val="16"/>
                <w:szCs w:val="16"/>
              </w:rPr>
            </w:pPr>
          </w:p>
        </w:tc>
      </w:tr>
      <w:tr w:rsidR="00D901BA" w:rsidRPr="00D901BA" w14:paraId="31BC8BBA" w14:textId="77777777" w:rsidTr="00D901BA">
        <w:trPr>
          <w:trHeight w:val="315"/>
        </w:trPr>
        <w:tc>
          <w:tcPr>
            <w:tcW w:w="1589" w:type="pct"/>
            <w:vMerge w:val="restart"/>
            <w:tcMar>
              <w:top w:w="30" w:type="dxa"/>
              <w:left w:w="45" w:type="dxa"/>
              <w:bottom w:w="30" w:type="dxa"/>
              <w:right w:w="45" w:type="dxa"/>
            </w:tcMar>
            <w:vAlign w:val="center"/>
            <w:hideMark/>
          </w:tcPr>
          <w:p w14:paraId="5843D45F" w14:textId="77777777" w:rsidR="00D901BA" w:rsidRPr="00D901BA" w:rsidRDefault="00D901BA" w:rsidP="00AA4BBB">
            <w:pPr>
              <w:rPr>
                <w:rFonts w:cs="Arial"/>
                <w:sz w:val="16"/>
                <w:szCs w:val="16"/>
              </w:rPr>
            </w:pPr>
            <w:r w:rsidRPr="00D901BA">
              <w:rPr>
                <w:rFonts w:cs="Arial"/>
                <w:sz w:val="16"/>
                <w:szCs w:val="16"/>
              </w:rPr>
              <w:t>Operar 20 Casas de Juventud en las localidades del Distrito</w:t>
            </w:r>
          </w:p>
        </w:tc>
        <w:tc>
          <w:tcPr>
            <w:tcW w:w="673" w:type="pct"/>
            <w:tcMar>
              <w:top w:w="30" w:type="dxa"/>
              <w:left w:w="45" w:type="dxa"/>
              <w:bottom w:w="30" w:type="dxa"/>
              <w:right w:w="45" w:type="dxa"/>
            </w:tcMar>
            <w:vAlign w:val="center"/>
            <w:hideMark/>
          </w:tcPr>
          <w:p w14:paraId="3D373075" w14:textId="77777777" w:rsidR="00D901BA" w:rsidRPr="00D901BA" w:rsidRDefault="00D901BA" w:rsidP="00AA4BBB">
            <w:pPr>
              <w:jc w:val="center"/>
              <w:rPr>
                <w:rFonts w:cs="Arial"/>
                <w:sz w:val="16"/>
                <w:szCs w:val="16"/>
              </w:rPr>
            </w:pPr>
            <w:r w:rsidRPr="00D901BA">
              <w:rPr>
                <w:rFonts w:cs="Arial"/>
                <w:sz w:val="16"/>
                <w:szCs w:val="16"/>
              </w:rPr>
              <w:t>17</w:t>
            </w:r>
          </w:p>
        </w:tc>
        <w:tc>
          <w:tcPr>
            <w:tcW w:w="698" w:type="pct"/>
            <w:tcMar>
              <w:top w:w="30" w:type="dxa"/>
              <w:left w:w="45" w:type="dxa"/>
              <w:bottom w:w="30" w:type="dxa"/>
              <w:right w:w="45" w:type="dxa"/>
            </w:tcMar>
            <w:vAlign w:val="center"/>
            <w:hideMark/>
          </w:tcPr>
          <w:p w14:paraId="094ABA38" w14:textId="77777777" w:rsidR="00D901BA" w:rsidRPr="00D901BA" w:rsidRDefault="00D901BA" w:rsidP="00AA4BBB">
            <w:pPr>
              <w:jc w:val="center"/>
              <w:rPr>
                <w:rFonts w:cs="Arial"/>
                <w:sz w:val="16"/>
                <w:szCs w:val="16"/>
              </w:rPr>
            </w:pPr>
            <w:r w:rsidRPr="00D901BA">
              <w:rPr>
                <w:rFonts w:cs="Arial"/>
                <w:sz w:val="16"/>
                <w:szCs w:val="16"/>
              </w:rPr>
              <w:t>18</w:t>
            </w:r>
          </w:p>
        </w:tc>
        <w:tc>
          <w:tcPr>
            <w:tcW w:w="704" w:type="pct"/>
            <w:tcMar>
              <w:top w:w="30" w:type="dxa"/>
              <w:left w:w="45" w:type="dxa"/>
              <w:bottom w:w="30" w:type="dxa"/>
              <w:right w:w="45" w:type="dxa"/>
            </w:tcMar>
            <w:vAlign w:val="center"/>
            <w:hideMark/>
          </w:tcPr>
          <w:p w14:paraId="12D6B549" w14:textId="77777777" w:rsidR="00D901BA" w:rsidRPr="00D901BA" w:rsidRDefault="00D901BA" w:rsidP="00AA4BBB">
            <w:pPr>
              <w:jc w:val="center"/>
              <w:rPr>
                <w:rFonts w:cs="Arial"/>
                <w:sz w:val="16"/>
                <w:szCs w:val="16"/>
              </w:rPr>
            </w:pPr>
            <w:r w:rsidRPr="00D901BA">
              <w:rPr>
                <w:rFonts w:cs="Arial"/>
                <w:sz w:val="16"/>
                <w:szCs w:val="16"/>
              </w:rPr>
              <w:t>19</w:t>
            </w:r>
          </w:p>
        </w:tc>
        <w:tc>
          <w:tcPr>
            <w:tcW w:w="645" w:type="pct"/>
            <w:tcMar>
              <w:top w:w="30" w:type="dxa"/>
              <w:left w:w="45" w:type="dxa"/>
              <w:bottom w:w="30" w:type="dxa"/>
              <w:right w:w="45" w:type="dxa"/>
            </w:tcMar>
            <w:vAlign w:val="center"/>
            <w:hideMark/>
          </w:tcPr>
          <w:p w14:paraId="51F57B2C" w14:textId="77777777" w:rsidR="00D901BA" w:rsidRPr="00D901BA" w:rsidRDefault="00D901BA" w:rsidP="00AA4BBB">
            <w:pPr>
              <w:jc w:val="center"/>
              <w:rPr>
                <w:rFonts w:cs="Arial"/>
                <w:sz w:val="16"/>
                <w:szCs w:val="16"/>
              </w:rPr>
            </w:pPr>
            <w:r w:rsidRPr="00D901BA">
              <w:rPr>
                <w:rFonts w:cs="Arial"/>
                <w:sz w:val="16"/>
                <w:szCs w:val="16"/>
              </w:rPr>
              <w:t>20</w:t>
            </w:r>
          </w:p>
        </w:tc>
        <w:tc>
          <w:tcPr>
            <w:tcW w:w="691" w:type="pct"/>
            <w:vMerge w:val="restart"/>
            <w:tcMar>
              <w:top w:w="30" w:type="dxa"/>
              <w:left w:w="45" w:type="dxa"/>
              <w:bottom w:w="30" w:type="dxa"/>
              <w:right w:w="45" w:type="dxa"/>
            </w:tcMar>
            <w:vAlign w:val="center"/>
            <w:hideMark/>
          </w:tcPr>
          <w:p w14:paraId="51833607" w14:textId="77777777" w:rsidR="00D901BA" w:rsidRPr="00D901BA" w:rsidRDefault="00D901BA" w:rsidP="00AA4BBB">
            <w:pPr>
              <w:jc w:val="center"/>
              <w:rPr>
                <w:rFonts w:cs="Arial"/>
                <w:b/>
                <w:bCs/>
                <w:sz w:val="16"/>
                <w:szCs w:val="16"/>
              </w:rPr>
            </w:pPr>
            <w:r w:rsidRPr="00D901BA">
              <w:rPr>
                <w:rFonts w:cs="Arial"/>
                <w:b/>
                <w:bCs/>
                <w:sz w:val="16"/>
                <w:szCs w:val="16"/>
              </w:rPr>
              <w:t>14.293.616.540</w:t>
            </w:r>
          </w:p>
        </w:tc>
      </w:tr>
      <w:tr w:rsidR="00D901BA" w:rsidRPr="00D901BA" w14:paraId="40DA1A64" w14:textId="77777777" w:rsidTr="00D901BA">
        <w:trPr>
          <w:trHeight w:val="315"/>
        </w:trPr>
        <w:tc>
          <w:tcPr>
            <w:tcW w:w="1589" w:type="pct"/>
            <w:vMerge/>
            <w:vAlign w:val="center"/>
            <w:hideMark/>
          </w:tcPr>
          <w:p w14:paraId="2949289A"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76A7611A" w14:textId="77777777" w:rsidR="00D901BA" w:rsidRPr="00D901BA" w:rsidRDefault="00D901BA" w:rsidP="00AA4BBB">
            <w:pPr>
              <w:jc w:val="center"/>
              <w:rPr>
                <w:rFonts w:cs="Arial"/>
                <w:sz w:val="16"/>
                <w:szCs w:val="16"/>
              </w:rPr>
            </w:pPr>
            <w:r w:rsidRPr="00D901BA">
              <w:rPr>
                <w:rFonts w:cs="Arial"/>
                <w:sz w:val="16"/>
                <w:szCs w:val="16"/>
              </w:rPr>
              <w:t>3.423.000.000</w:t>
            </w:r>
          </w:p>
        </w:tc>
        <w:tc>
          <w:tcPr>
            <w:tcW w:w="698" w:type="pct"/>
            <w:tcMar>
              <w:top w:w="30" w:type="dxa"/>
              <w:left w:w="45" w:type="dxa"/>
              <w:bottom w:w="30" w:type="dxa"/>
              <w:right w:w="45" w:type="dxa"/>
            </w:tcMar>
            <w:vAlign w:val="center"/>
            <w:hideMark/>
          </w:tcPr>
          <w:p w14:paraId="0E451564" w14:textId="77777777" w:rsidR="00D901BA" w:rsidRPr="00D901BA" w:rsidRDefault="00D901BA" w:rsidP="00AA4BBB">
            <w:pPr>
              <w:jc w:val="center"/>
              <w:rPr>
                <w:rFonts w:cs="Arial"/>
                <w:sz w:val="16"/>
                <w:szCs w:val="16"/>
              </w:rPr>
            </w:pPr>
            <w:r w:rsidRPr="00D901BA">
              <w:rPr>
                <w:rFonts w:cs="Arial"/>
                <w:sz w:val="16"/>
                <w:szCs w:val="16"/>
              </w:rPr>
              <w:t>3.512.621.359</w:t>
            </w:r>
          </w:p>
        </w:tc>
        <w:tc>
          <w:tcPr>
            <w:tcW w:w="704" w:type="pct"/>
            <w:tcMar>
              <w:top w:w="30" w:type="dxa"/>
              <w:left w:w="45" w:type="dxa"/>
              <w:bottom w:w="30" w:type="dxa"/>
              <w:right w:w="45" w:type="dxa"/>
            </w:tcMar>
            <w:vAlign w:val="center"/>
            <w:hideMark/>
          </w:tcPr>
          <w:p w14:paraId="0B524305" w14:textId="77777777" w:rsidR="00D901BA" w:rsidRPr="00D901BA" w:rsidRDefault="00D901BA" w:rsidP="00AA4BBB">
            <w:pPr>
              <w:jc w:val="center"/>
              <w:rPr>
                <w:rFonts w:cs="Arial"/>
                <w:sz w:val="16"/>
                <w:szCs w:val="16"/>
              </w:rPr>
            </w:pPr>
            <w:r w:rsidRPr="00D901BA">
              <w:rPr>
                <w:rFonts w:cs="Arial"/>
                <w:sz w:val="16"/>
                <w:szCs w:val="16"/>
              </w:rPr>
              <w:t>3.653.501.744</w:t>
            </w:r>
          </w:p>
        </w:tc>
        <w:tc>
          <w:tcPr>
            <w:tcW w:w="645" w:type="pct"/>
            <w:tcMar>
              <w:top w:w="30" w:type="dxa"/>
              <w:left w:w="45" w:type="dxa"/>
              <w:bottom w:w="30" w:type="dxa"/>
              <w:right w:w="45" w:type="dxa"/>
            </w:tcMar>
            <w:vAlign w:val="center"/>
            <w:hideMark/>
          </w:tcPr>
          <w:p w14:paraId="6DE1D84D" w14:textId="77777777" w:rsidR="00D901BA" w:rsidRPr="00D901BA" w:rsidRDefault="00D901BA" w:rsidP="00AA4BBB">
            <w:pPr>
              <w:jc w:val="center"/>
              <w:rPr>
                <w:rFonts w:cs="Arial"/>
                <w:sz w:val="16"/>
                <w:szCs w:val="16"/>
              </w:rPr>
            </w:pPr>
            <w:r w:rsidRPr="00D901BA">
              <w:rPr>
                <w:rFonts w:cs="Arial"/>
                <w:sz w:val="16"/>
                <w:szCs w:val="16"/>
              </w:rPr>
              <w:t>3.704.493.437</w:t>
            </w:r>
          </w:p>
        </w:tc>
        <w:tc>
          <w:tcPr>
            <w:tcW w:w="691" w:type="pct"/>
            <w:vMerge/>
            <w:vAlign w:val="center"/>
            <w:hideMark/>
          </w:tcPr>
          <w:p w14:paraId="0C33F8BD" w14:textId="77777777" w:rsidR="00D901BA" w:rsidRPr="00D901BA" w:rsidRDefault="00D901BA" w:rsidP="00AA4BBB">
            <w:pPr>
              <w:rPr>
                <w:rFonts w:cs="Arial"/>
                <w:b/>
                <w:bCs/>
                <w:sz w:val="16"/>
                <w:szCs w:val="16"/>
              </w:rPr>
            </w:pPr>
          </w:p>
        </w:tc>
      </w:tr>
      <w:tr w:rsidR="00D901BA" w:rsidRPr="00D901BA" w14:paraId="6AB25ED2" w14:textId="77777777" w:rsidTr="00D901BA">
        <w:trPr>
          <w:trHeight w:val="315"/>
        </w:trPr>
        <w:tc>
          <w:tcPr>
            <w:tcW w:w="5000" w:type="pct"/>
            <w:gridSpan w:val="6"/>
            <w:shd w:val="clear" w:color="auto" w:fill="C00000"/>
            <w:tcMar>
              <w:top w:w="30" w:type="dxa"/>
              <w:left w:w="45" w:type="dxa"/>
              <w:bottom w:w="30" w:type="dxa"/>
              <w:right w:w="45" w:type="dxa"/>
            </w:tcMar>
            <w:vAlign w:val="center"/>
            <w:hideMark/>
          </w:tcPr>
          <w:p w14:paraId="0A333CDB" w14:textId="31F3819D" w:rsidR="00D901BA" w:rsidRPr="00D901BA" w:rsidRDefault="00D901BA" w:rsidP="00D901BA">
            <w:pPr>
              <w:jc w:val="center"/>
              <w:rPr>
                <w:rFonts w:cs="Arial"/>
                <w:b/>
                <w:bCs/>
                <w:sz w:val="16"/>
                <w:szCs w:val="16"/>
              </w:rPr>
            </w:pPr>
            <w:r w:rsidRPr="00D901BA">
              <w:rPr>
                <w:rFonts w:cs="Arial"/>
                <w:b/>
                <w:bCs/>
                <w:color w:val="FFFFFF" w:themeColor="background1"/>
                <w:sz w:val="16"/>
                <w:szCs w:val="16"/>
              </w:rPr>
              <w:t>Mujer</w:t>
            </w:r>
          </w:p>
        </w:tc>
      </w:tr>
      <w:tr w:rsidR="00D901BA" w:rsidRPr="00D901BA" w14:paraId="0A56E413" w14:textId="77777777" w:rsidTr="00D901BA">
        <w:trPr>
          <w:trHeight w:val="315"/>
        </w:trPr>
        <w:tc>
          <w:tcPr>
            <w:tcW w:w="1589" w:type="pct"/>
            <w:vMerge w:val="restart"/>
            <w:tcMar>
              <w:top w:w="30" w:type="dxa"/>
              <w:left w:w="45" w:type="dxa"/>
              <w:bottom w:w="30" w:type="dxa"/>
              <w:right w:w="45" w:type="dxa"/>
            </w:tcMar>
            <w:vAlign w:val="center"/>
            <w:hideMark/>
          </w:tcPr>
          <w:p w14:paraId="57EC8025" w14:textId="77777777" w:rsidR="00D901BA" w:rsidRPr="00D901BA" w:rsidRDefault="00D901BA" w:rsidP="00AA4BBB">
            <w:pPr>
              <w:rPr>
                <w:rFonts w:cs="Arial"/>
                <w:sz w:val="16"/>
                <w:szCs w:val="16"/>
              </w:rPr>
            </w:pPr>
            <w:r w:rsidRPr="00D901BA">
              <w:rPr>
                <w:rFonts w:cs="Arial"/>
                <w:sz w:val="16"/>
                <w:szCs w:val="16"/>
              </w:rPr>
              <w:t>Alcanzar 31 manzanas de cuidado en operación fortaleciendo los servicios actuales e implementando nuevas estrategias lideradas por la SDMujer en el marco del Sistema Distrital de Cuidado.</w:t>
            </w:r>
          </w:p>
        </w:tc>
        <w:tc>
          <w:tcPr>
            <w:tcW w:w="673" w:type="pct"/>
            <w:tcMar>
              <w:top w:w="30" w:type="dxa"/>
              <w:left w:w="45" w:type="dxa"/>
              <w:bottom w:w="30" w:type="dxa"/>
              <w:right w:w="45" w:type="dxa"/>
            </w:tcMar>
            <w:vAlign w:val="center"/>
            <w:hideMark/>
          </w:tcPr>
          <w:p w14:paraId="26FCEDD3" w14:textId="77777777" w:rsidR="00D901BA" w:rsidRPr="00D901BA" w:rsidRDefault="00D901BA" w:rsidP="00AA4BBB">
            <w:pPr>
              <w:jc w:val="center"/>
              <w:rPr>
                <w:rFonts w:cs="Arial"/>
                <w:sz w:val="16"/>
                <w:szCs w:val="16"/>
              </w:rPr>
            </w:pPr>
            <w:r w:rsidRPr="00D901BA">
              <w:rPr>
                <w:rFonts w:cs="Arial"/>
                <w:sz w:val="16"/>
                <w:szCs w:val="16"/>
              </w:rPr>
              <w:t>25</w:t>
            </w:r>
          </w:p>
        </w:tc>
        <w:tc>
          <w:tcPr>
            <w:tcW w:w="698" w:type="pct"/>
            <w:tcMar>
              <w:top w:w="30" w:type="dxa"/>
              <w:left w:w="45" w:type="dxa"/>
              <w:bottom w:w="30" w:type="dxa"/>
              <w:right w:w="45" w:type="dxa"/>
            </w:tcMar>
            <w:vAlign w:val="center"/>
            <w:hideMark/>
          </w:tcPr>
          <w:p w14:paraId="503C7E16" w14:textId="77777777" w:rsidR="00D901BA" w:rsidRPr="00D901BA" w:rsidRDefault="00D901BA" w:rsidP="00AA4BBB">
            <w:pPr>
              <w:jc w:val="center"/>
              <w:rPr>
                <w:rFonts w:cs="Arial"/>
                <w:sz w:val="16"/>
                <w:szCs w:val="16"/>
              </w:rPr>
            </w:pPr>
            <w:r w:rsidRPr="00D901BA">
              <w:rPr>
                <w:rFonts w:cs="Arial"/>
                <w:sz w:val="16"/>
                <w:szCs w:val="16"/>
              </w:rPr>
              <w:t>27</w:t>
            </w:r>
          </w:p>
        </w:tc>
        <w:tc>
          <w:tcPr>
            <w:tcW w:w="704" w:type="pct"/>
            <w:tcMar>
              <w:top w:w="30" w:type="dxa"/>
              <w:left w:w="45" w:type="dxa"/>
              <w:bottom w:w="30" w:type="dxa"/>
              <w:right w:w="45" w:type="dxa"/>
            </w:tcMar>
            <w:vAlign w:val="center"/>
            <w:hideMark/>
          </w:tcPr>
          <w:p w14:paraId="3BBDE1F1" w14:textId="77777777" w:rsidR="00D901BA" w:rsidRPr="00D901BA" w:rsidRDefault="00D901BA" w:rsidP="00AA4BBB">
            <w:pPr>
              <w:jc w:val="center"/>
              <w:rPr>
                <w:rFonts w:cs="Arial"/>
                <w:sz w:val="16"/>
                <w:szCs w:val="16"/>
              </w:rPr>
            </w:pPr>
            <w:r w:rsidRPr="00D901BA">
              <w:rPr>
                <w:rFonts w:cs="Arial"/>
                <w:sz w:val="16"/>
                <w:szCs w:val="16"/>
              </w:rPr>
              <w:t>29</w:t>
            </w:r>
          </w:p>
        </w:tc>
        <w:tc>
          <w:tcPr>
            <w:tcW w:w="645" w:type="pct"/>
            <w:tcMar>
              <w:top w:w="30" w:type="dxa"/>
              <w:left w:w="45" w:type="dxa"/>
              <w:bottom w:w="30" w:type="dxa"/>
              <w:right w:w="45" w:type="dxa"/>
            </w:tcMar>
            <w:vAlign w:val="center"/>
            <w:hideMark/>
          </w:tcPr>
          <w:p w14:paraId="7E91AD1E" w14:textId="77777777" w:rsidR="00D901BA" w:rsidRPr="00D901BA" w:rsidRDefault="00D901BA" w:rsidP="00AA4BBB">
            <w:pPr>
              <w:jc w:val="center"/>
              <w:rPr>
                <w:rFonts w:cs="Arial"/>
                <w:sz w:val="16"/>
                <w:szCs w:val="16"/>
              </w:rPr>
            </w:pPr>
            <w:r w:rsidRPr="00D901BA">
              <w:rPr>
                <w:rFonts w:cs="Arial"/>
                <w:sz w:val="16"/>
                <w:szCs w:val="16"/>
              </w:rPr>
              <w:t>31</w:t>
            </w:r>
          </w:p>
        </w:tc>
        <w:tc>
          <w:tcPr>
            <w:tcW w:w="691" w:type="pct"/>
            <w:vMerge w:val="restart"/>
            <w:tcMar>
              <w:top w:w="30" w:type="dxa"/>
              <w:left w:w="45" w:type="dxa"/>
              <w:bottom w:w="30" w:type="dxa"/>
              <w:right w:w="45" w:type="dxa"/>
            </w:tcMar>
            <w:vAlign w:val="center"/>
            <w:hideMark/>
          </w:tcPr>
          <w:p w14:paraId="35AB5E8C" w14:textId="77777777" w:rsidR="00D901BA" w:rsidRPr="00D901BA" w:rsidRDefault="00D901BA" w:rsidP="00AA4BBB">
            <w:pPr>
              <w:jc w:val="center"/>
              <w:rPr>
                <w:rFonts w:cs="Arial"/>
                <w:b/>
                <w:bCs/>
                <w:sz w:val="16"/>
                <w:szCs w:val="16"/>
              </w:rPr>
            </w:pPr>
            <w:r w:rsidRPr="00D901BA">
              <w:rPr>
                <w:rFonts w:cs="Arial"/>
                <w:b/>
                <w:bCs/>
                <w:sz w:val="16"/>
                <w:szCs w:val="16"/>
              </w:rPr>
              <w:t>38.188.128.738</w:t>
            </w:r>
          </w:p>
        </w:tc>
      </w:tr>
      <w:tr w:rsidR="00D901BA" w:rsidRPr="00D901BA" w14:paraId="0271FC51" w14:textId="77777777" w:rsidTr="00D901BA">
        <w:trPr>
          <w:trHeight w:val="315"/>
        </w:trPr>
        <w:tc>
          <w:tcPr>
            <w:tcW w:w="1589" w:type="pct"/>
            <w:vMerge/>
            <w:vAlign w:val="center"/>
            <w:hideMark/>
          </w:tcPr>
          <w:p w14:paraId="42785DC1"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1EB19F70" w14:textId="77777777" w:rsidR="00D901BA" w:rsidRPr="00D901BA" w:rsidRDefault="00D901BA" w:rsidP="00AA4BBB">
            <w:pPr>
              <w:jc w:val="center"/>
              <w:rPr>
                <w:rFonts w:cs="Arial"/>
                <w:sz w:val="16"/>
                <w:szCs w:val="16"/>
              </w:rPr>
            </w:pPr>
            <w:r w:rsidRPr="00D901BA">
              <w:rPr>
                <w:rFonts w:cs="Arial"/>
                <w:sz w:val="16"/>
                <w:szCs w:val="16"/>
              </w:rPr>
              <w:t>8.895.161.346</w:t>
            </w:r>
          </w:p>
        </w:tc>
        <w:tc>
          <w:tcPr>
            <w:tcW w:w="698" w:type="pct"/>
            <w:tcMar>
              <w:top w:w="30" w:type="dxa"/>
              <w:left w:w="45" w:type="dxa"/>
              <w:bottom w:w="30" w:type="dxa"/>
              <w:right w:w="45" w:type="dxa"/>
            </w:tcMar>
            <w:vAlign w:val="center"/>
            <w:hideMark/>
          </w:tcPr>
          <w:p w14:paraId="1F3E5BDD" w14:textId="77777777" w:rsidR="00D901BA" w:rsidRPr="00D901BA" w:rsidRDefault="00D901BA" w:rsidP="00AA4BBB">
            <w:pPr>
              <w:jc w:val="center"/>
              <w:rPr>
                <w:rFonts w:cs="Arial"/>
                <w:sz w:val="16"/>
                <w:szCs w:val="16"/>
              </w:rPr>
            </w:pPr>
            <w:r w:rsidRPr="00D901BA">
              <w:rPr>
                <w:rFonts w:cs="Arial"/>
                <w:sz w:val="16"/>
                <w:szCs w:val="16"/>
              </w:rPr>
              <w:t>9.456.506.480</w:t>
            </w:r>
          </w:p>
        </w:tc>
        <w:tc>
          <w:tcPr>
            <w:tcW w:w="704" w:type="pct"/>
            <w:tcMar>
              <w:top w:w="30" w:type="dxa"/>
              <w:left w:w="45" w:type="dxa"/>
              <w:bottom w:w="30" w:type="dxa"/>
              <w:right w:w="45" w:type="dxa"/>
            </w:tcMar>
            <w:vAlign w:val="center"/>
            <w:hideMark/>
          </w:tcPr>
          <w:p w14:paraId="3656EE66" w14:textId="77777777" w:rsidR="00D901BA" w:rsidRPr="00D901BA" w:rsidRDefault="00D901BA" w:rsidP="00AA4BBB">
            <w:pPr>
              <w:jc w:val="center"/>
              <w:rPr>
                <w:rFonts w:cs="Arial"/>
                <w:sz w:val="16"/>
                <w:szCs w:val="16"/>
              </w:rPr>
            </w:pPr>
            <w:r w:rsidRPr="00D901BA">
              <w:rPr>
                <w:rFonts w:cs="Arial"/>
                <w:sz w:val="16"/>
                <w:szCs w:val="16"/>
              </w:rPr>
              <w:t>9.777.844.079</w:t>
            </w:r>
          </w:p>
        </w:tc>
        <w:tc>
          <w:tcPr>
            <w:tcW w:w="645" w:type="pct"/>
            <w:tcMar>
              <w:top w:w="30" w:type="dxa"/>
              <w:left w:w="45" w:type="dxa"/>
              <w:bottom w:w="30" w:type="dxa"/>
              <w:right w:w="45" w:type="dxa"/>
            </w:tcMar>
            <w:vAlign w:val="center"/>
            <w:hideMark/>
          </w:tcPr>
          <w:p w14:paraId="400492FA" w14:textId="77777777" w:rsidR="00D901BA" w:rsidRPr="00D901BA" w:rsidRDefault="00D901BA" w:rsidP="00AA4BBB">
            <w:pPr>
              <w:jc w:val="center"/>
              <w:rPr>
                <w:rFonts w:cs="Arial"/>
                <w:sz w:val="16"/>
                <w:szCs w:val="16"/>
              </w:rPr>
            </w:pPr>
            <w:r w:rsidRPr="00D901BA">
              <w:rPr>
                <w:rFonts w:cs="Arial"/>
                <w:sz w:val="16"/>
                <w:szCs w:val="16"/>
              </w:rPr>
              <w:t>10.058.616.834</w:t>
            </w:r>
          </w:p>
        </w:tc>
        <w:tc>
          <w:tcPr>
            <w:tcW w:w="691" w:type="pct"/>
            <w:vMerge/>
            <w:vAlign w:val="center"/>
            <w:hideMark/>
          </w:tcPr>
          <w:p w14:paraId="0A874515" w14:textId="77777777" w:rsidR="00D901BA" w:rsidRPr="00D901BA" w:rsidRDefault="00D901BA" w:rsidP="00AA4BBB">
            <w:pPr>
              <w:rPr>
                <w:rFonts w:cs="Arial"/>
                <w:b/>
                <w:bCs/>
                <w:sz w:val="16"/>
                <w:szCs w:val="16"/>
              </w:rPr>
            </w:pPr>
          </w:p>
        </w:tc>
      </w:tr>
      <w:tr w:rsidR="00D901BA" w:rsidRPr="00D901BA" w14:paraId="47CA2137" w14:textId="77777777" w:rsidTr="00D901BA">
        <w:trPr>
          <w:trHeight w:val="315"/>
        </w:trPr>
        <w:tc>
          <w:tcPr>
            <w:tcW w:w="1589" w:type="pct"/>
            <w:vMerge w:val="restart"/>
            <w:tcMar>
              <w:top w:w="30" w:type="dxa"/>
              <w:left w:w="45" w:type="dxa"/>
              <w:bottom w:w="30" w:type="dxa"/>
              <w:right w:w="45" w:type="dxa"/>
            </w:tcMar>
            <w:vAlign w:val="center"/>
            <w:hideMark/>
          </w:tcPr>
          <w:p w14:paraId="69E9600D" w14:textId="77777777" w:rsidR="00D901BA" w:rsidRPr="00D901BA" w:rsidRDefault="00D901BA" w:rsidP="00AA4BBB">
            <w:pPr>
              <w:rPr>
                <w:rFonts w:cs="Arial"/>
                <w:sz w:val="16"/>
                <w:szCs w:val="16"/>
              </w:rPr>
            </w:pPr>
            <w:r w:rsidRPr="00D901BA">
              <w:rPr>
                <w:rFonts w:cs="Arial"/>
                <w:sz w:val="16"/>
                <w:szCs w:val="16"/>
              </w:rPr>
              <w:t>Consolidar 1 estrategia de transformación cultural orientada al cambio comportamental que posibilite la redistribución de los trabajos de cuidado la prevención de las violencias contra las mujeres y la transformación de imaginarios discriminatorios que limitan el ejercicio de sus derechos.</w:t>
            </w:r>
          </w:p>
        </w:tc>
        <w:tc>
          <w:tcPr>
            <w:tcW w:w="673" w:type="pct"/>
            <w:tcMar>
              <w:top w:w="30" w:type="dxa"/>
              <w:left w:w="45" w:type="dxa"/>
              <w:bottom w:w="30" w:type="dxa"/>
              <w:right w:w="45" w:type="dxa"/>
            </w:tcMar>
            <w:vAlign w:val="center"/>
            <w:hideMark/>
          </w:tcPr>
          <w:p w14:paraId="3916CE82" w14:textId="53E2CCB5"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1</w:t>
            </w:r>
          </w:p>
        </w:tc>
        <w:tc>
          <w:tcPr>
            <w:tcW w:w="698" w:type="pct"/>
            <w:tcMar>
              <w:top w:w="30" w:type="dxa"/>
              <w:left w:w="45" w:type="dxa"/>
              <w:bottom w:w="30" w:type="dxa"/>
              <w:right w:w="45" w:type="dxa"/>
            </w:tcMar>
            <w:vAlign w:val="center"/>
            <w:hideMark/>
          </w:tcPr>
          <w:p w14:paraId="3AFD1E67" w14:textId="68812312"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3</w:t>
            </w:r>
          </w:p>
        </w:tc>
        <w:tc>
          <w:tcPr>
            <w:tcW w:w="704" w:type="pct"/>
            <w:tcMar>
              <w:top w:w="30" w:type="dxa"/>
              <w:left w:w="45" w:type="dxa"/>
              <w:bottom w:w="30" w:type="dxa"/>
              <w:right w:w="45" w:type="dxa"/>
            </w:tcMar>
            <w:vAlign w:val="center"/>
            <w:hideMark/>
          </w:tcPr>
          <w:p w14:paraId="1B8432B5" w14:textId="434E292C"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35</w:t>
            </w:r>
          </w:p>
        </w:tc>
        <w:tc>
          <w:tcPr>
            <w:tcW w:w="645" w:type="pct"/>
            <w:tcMar>
              <w:top w:w="30" w:type="dxa"/>
              <w:left w:w="45" w:type="dxa"/>
              <w:bottom w:w="30" w:type="dxa"/>
              <w:right w:w="45" w:type="dxa"/>
            </w:tcMar>
            <w:vAlign w:val="center"/>
            <w:hideMark/>
          </w:tcPr>
          <w:p w14:paraId="399A02B3" w14:textId="7883045D"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25</w:t>
            </w:r>
          </w:p>
        </w:tc>
        <w:tc>
          <w:tcPr>
            <w:tcW w:w="691" w:type="pct"/>
            <w:vMerge w:val="restart"/>
            <w:tcMar>
              <w:top w:w="30" w:type="dxa"/>
              <w:left w:w="45" w:type="dxa"/>
              <w:bottom w:w="30" w:type="dxa"/>
              <w:right w:w="45" w:type="dxa"/>
            </w:tcMar>
            <w:vAlign w:val="center"/>
            <w:hideMark/>
          </w:tcPr>
          <w:p w14:paraId="646668AA" w14:textId="77777777" w:rsidR="00D901BA" w:rsidRPr="00D901BA" w:rsidRDefault="00D901BA" w:rsidP="00AA4BBB">
            <w:pPr>
              <w:jc w:val="center"/>
              <w:rPr>
                <w:rFonts w:cs="Arial"/>
                <w:b/>
                <w:bCs/>
                <w:sz w:val="16"/>
                <w:szCs w:val="16"/>
              </w:rPr>
            </w:pPr>
            <w:r w:rsidRPr="00D901BA">
              <w:rPr>
                <w:rFonts w:cs="Arial"/>
                <w:b/>
                <w:bCs/>
                <w:sz w:val="16"/>
                <w:szCs w:val="16"/>
              </w:rPr>
              <w:t>11.647.379.265</w:t>
            </w:r>
          </w:p>
        </w:tc>
      </w:tr>
      <w:tr w:rsidR="00D901BA" w:rsidRPr="00D901BA" w14:paraId="67205130" w14:textId="77777777" w:rsidTr="00D901BA">
        <w:trPr>
          <w:trHeight w:val="315"/>
        </w:trPr>
        <w:tc>
          <w:tcPr>
            <w:tcW w:w="1589" w:type="pct"/>
            <w:vMerge/>
            <w:vAlign w:val="center"/>
            <w:hideMark/>
          </w:tcPr>
          <w:p w14:paraId="3069248E"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4CAC32CD" w14:textId="77777777" w:rsidR="00D901BA" w:rsidRPr="00D901BA" w:rsidRDefault="00D901BA" w:rsidP="00AA4BBB">
            <w:pPr>
              <w:jc w:val="center"/>
              <w:rPr>
                <w:rFonts w:cs="Arial"/>
                <w:sz w:val="16"/>
                <w:szCs w:val="16"/>
              </w:rPr>
            </w:pPr>
            <w:r w:rsidRPr="00D901BA">
              <w:rPr>
                <w:rFonts w:cs="Arial"/>
                <w:sz w:val="16"/>
                <w:szCs w:val="16"/>
              </w:rPr>
              <w:t>2.713.024.211</w:t>
            </w:r>
          </w:p>
        </w:tc>
        <w:tc>
          <w:tcPr>
            <w:tcW w:w="698" w:type="pct"/>
            <w:tcMar>
              <w:top w:w="30" w:type="dxa"/>
              <w:left w:w="45" w:type="dxa"/>
              <w:bottom w:w="30" w:type="dxa"/>
              <w:right w:w="45" w:type="dxa"/>
            </w:tcMar>
            <w:vAlign w:val="center"/>
            <w:hideMark/>
          </w:tcPr>
          <w:p w14:paraId="0525CCCD" w14:textId="77777777" w:rsidR="00D901BA" w:rsidRPr="00D901BA" w:rsidRDefault="00D901BA" w:rsidP="00AA4BBB">
            <w:pPr>
              <w:jc w:val="center"/>
              <w:rPr>
                <w:rFonts w:cs="Arial"/>
                <w:sz w:val="16"/>
                <w:szCs w:val="16"/>
              </w:rPr>
            </w:pPr>
            <w:r w:rsidRPr="00D901BA">
              <w:rPr>
                <w:rFonts w:cs="Arial"/>
                <w:sz w:val="16"/>
                <w:szCs w:val="16"/>
              </w:rPr>
              <w:t>2.884.234.476</w:t>
            </w:r>
          </w:p>
        </w:tc>
        <w:tc>
          <w:tcPr>
            <w:tcW w:w="704" w:type="pct"/>
            <w:tcMar>
              <w:top w:w="30" w:type="dxa"/>
              <w:left w:w="45" w:type="dxa"/>
              <w:bottom w:w="30" w:type="dxa"/>
              <w:right w:w="45" w:type="dxa"/>
            </w:tcMar>
            <w:vAlign w:val="center"/>
            <w:hideMark/>
          </w:tcPr>
          <w:p w14:paraId="162E7E49" w14:textId="77777777" w:rsidR="00D901BA" w:rsidRPr="00D901BA" w:rsidRDefault="00D901BA" w:rsidP="00AA4BBB">
            <w:pPr>
              <w:jc w:val="center"/>
              <w:rPr>
                <w:rFonts w:cs="Arial"/>
                <w:sz w:val="16"/>
                <w:szCs w:val="16"/>
              </w:rPr>
            </w:pPr>
            <w:r w:rsidRPr="00D901BA">
              <w:rPr>
                <w:rFonts w:cs="Arial"/>
                <w:sz w:val="16"/>
                <w:szCs w:val="16"/>
              </w:rPr>
              <w:t>2.982.242.444</w:t>
            </w:r>
          </w:p>
        </w:tc>
        <w:tc>
          <w:tcPr>
            <w:tcW w:w="645" w:type="pct"/>
            <w:tcMar>
              <w:top w:w="30" w:type="dxa"/>
              <w:left w:w="45" w:type="dxa"/>
              <w:bottom w:w="30" w:type="dxa"/>
              <w:right w:w="45" w:type="dxa"/>
            </w:tcMar>
            <w:vAlign w:val="center"/>
            <w:hideMark/>
          </w:tcPr>
          <w:p w14:paraId="10AF77A3" w14:textId="77777777" w:rsidR="00D901BA" w:rsidRPr="00D901BA" w:rsidRDefault="00D901BA" w:rsidP="00AA4BBB">
            <w:pPr>
              <w:jc w:val="center"/>
              <w:rPr>
                <w:rFonts w:cs="Arial"/>
                <w:sz w:val="16"/>
                <w:szCs w:val="16"/>
              </w:rPr>
            </w:pPr>
            <w:r w:rsidRPr="00D901BA">
              <w:rPr>
                <w:rFonts w:cs="Arial"/>
                <w:sz w:val="16"/>
                <w:szCs w:val="16"/>
              </w:rPr>
              <w:t>3.067.878.134</w:t>
            </w:r>
          </w:p>
        </w:tc>
        <w:tc>
          <w:tcPr>
            <w:tcW w:w="691" w:type="pct"/>
            <w:vMerge/>
            <w:vAlign w:val="center"/>
            <w:hideMark/>
          </w:tcPr>
          <w:p w14:paraId="368D55C6" w14:textId="77777777" w:rsidR="00D901BA" w:rsidRPr="00D901BA" w:rsidRDefault="00D901BA" w:rsidP="00AA4BBB">
            <w:pPr>
              <w:rPr>
                <w:rFonts w:cs="Arial"/>
                <w:b/>
                <w:bCs/>
                <w:sz w:val="16"/>
                <w:szCs w:val="16"/>
              </w:rPr>
            </w:pPr>
          </w:p>
        </w:tc>
      </w:tr>
      <w:tr w:rsidR="00D901BA" w:rsidRPr="00D901BA" w14:paraId="4D2CDCB6" w14:textId="77777777" w:rsidTr="00D901BA">
        <w:trPr>
          <w:trHeight w:val="315"/>
        </w:trPr>
        <w:tc>
          <w:tcPr>
            <w:tcW w:w="1589" w:type="pct"/>
            <w:vMerge w:val="restart"/>
            <w:tcMar>
              <w:top w:w="30" w:type="dxa"/>
              <w:left w:w="45" w:type="dxa"/>
              <w:bottom w:w="30" w:type="dxa"/>
              <w:right w:w="45" w:type="dxa"/>
            </w:tcMar>
            <w:vAlign w:val="center"/>
            <w:hideMark/>
          </w:tcPr>
          <w:p w14:paraId="5DD78A7C" w14:textId="77777777" w:rsidR="00D901BA" w:rsidRPr="00D901BA" w:rsidRDefault="00D901BA" w:rsidP="00AA4BBB">
            <w:pPr>
              <w:rPr>
                <w:rFonts w:cs="Arial"/>
                <w:sz w:val="16"/>
                <w:szCs w:val="16"/>
              </w:rPr>
            </w:pPr>
            <w:r w:rsidRPr="00D901BA">
              <w:rPr>
                <w:rFonts w:cs="Arial"/>
                <w:sz w:val="16"/>
                <w:szCs w:val="16"/>
              </w:rPr>
              <w:t>Consolidar 1 estrategia de transversalización de la PPMYEG con actores territoriales para la disminución de las brechas de género</w:t>
            </w:r>
          </w:p>
        </w:tc>
        <w:tc>
          <w:tcPr>
            <w:tcW w:w="673" w:type="pct"/>
            <w:tcMar>
              <w:top w:w="30" w:type="dxa"/>
              <w:left w:w="45" w:type="dxa"/>
              <w:bottom w:w="30" w:type="dxa"/>
              <w:right w:w="45" w:type="dxa"/>
            </w:tcMar>
            <w:vAlign w:val="center"/>
            <w:hideMark/>
          </w:tcPr>
          <w:p w14:paraId="30E88E0A" w14:textId="77777777" w:rsidR="00D901BA" w:rsidRPr="00D901BA" w:rsidRDefault="00D901BA" w:rsidP="00AA4BBB">
            <w:pPr>
              <w:jc w:val="center"/>
              <w:rPr>
                <w:rFonts w:cs="Arial"/>
                <w:sz w:val="16"/>
                <w:szCs w:val="16"/>
              </w:rPr>
            </w:pPr>
            <w:r w:rsidRPr="00D901BA">
              <w:rPr>
                <w:rFonts w:cs="Arial"/>
                <w:sz w:val="16"/>
                <w:szCs w:val="16"/>
              </w:rPr>
              <w:t>0</w:t>
            </w:r>
          </w:p>
        </w:tc>
        <w:tc>
          <w:tcPr>
            <w:tcW w:w="698" w:type="pct"/>
            <w:tcMar>
              <w:top w:w="30" w:type="dxa"/>
              <w:left w:w="45" w:type="dxa"/>
              <w:bottom w:w="30" w:type="dxa"/>
              <w:right w:w="45" w:type="dxa"/>
            </w:tcMar>
            <w:vAlign w:val="center"/>
            <w:hideMark/>
          </w:tcPr>
          <w:p w14:paraId="649DEB0D" w14:textId="77777777" w:rsidR="00D901BA" w:rsidRPr="00D901BA" w:rsidRDefault="00D901BA" w:rsidP="00AA4BBB">
            <w:pPr>
              <w:jc w:val="center"/>
              <w:rPr>
                <w:rFonts w:cs="Arial"/>
                <w:sz w:val="16"/>
                <w:szCs w:val="16"/>
              </w:rPr>
            </w:pPr>
            <w:r w:rsidRPr="00D901BA">
              <w:rPr>
                <w:rFonts w:cs="Arial"/>
                <w:sz w:val="16"/>
                <w:szCs w:val="16"/>
              </w:rPr>
              <w:t>0</w:t>
            </w:r>
          </w:p>
        </w:tc>
        <w:tc>
          <w:tcPr>
            <w:tcW w:w="704" w:type="pct"/>
            <w:tcMar>
              <w:top w:w="30" w:type="dxa"/>
              <w:left w:w="45" w:type="dxa"/>
              <w:bottom w:w="30" w:type="dxa"/>
              <w:right w:w="45" w:type="dxa"/>
            </w:tcMar>
            <w:vAlign w:val="center"/>
            <w:hideMark/>
          </w:tcPr>
          <w:p w14:paraId="194F2E43" w14:textId="77777777" w:rsidR="00D901BA" w:rsidRPr="00D901BA" w:rsidRDefault="00D901BA" w:rsidP="00AA4BBB">
            <w:pPr>
              <w:jc w:val="center"/>
              <w:rPr>
                <w:rFonts w:cs="Arial"/>
                <w:sz w:val="16"/>
                <w:szCs w:val="16"/>
              </w:rPr>
            </w:pPr>
            <w:r w:rsidRPr="00D901BA">
              <w:rPr>
                <w:rFonts w:cs="Arial"/>
                <w:sz w:val="16"/>
                <w:szCs w:val="16"/>
              </w:rPr>
              <w:t>0</w:t>
            </w:r>
          </w:p>
        </w:tc>
        <w:tc>
          <w:tcPr>
            <w:tcW w:w="645" w:type="pct"/>
            <w:tcMar>
              <w:top w:w="30" w:type="dxa"/>
              <w:left w:w="45" w:type="dxa"/>
              <w:bottom w:w="30" w:type="dxa"/>
              <w:right w:w="45" w:type="dxa"/>
            </w:tcMar>
            <w:vAlign w:val="center"/>
            <w:hideMark/>
          </w:tcPr>
          <w:p w14:paraId="0DAE8055" w14:textId="77777777" w:rsidR="00D901BA" w:rsidRPr="00D901BA" w:rsidRDefault="00D901BA" w:rsidP="00AA4BBB">
            <w:pPr>
              <w:jc w:val="center"/>
              <w:rPr>
                <w:rFonts w:cs="Arial"/>
                <w:sz w:val="16"/>
                <w:szCs w:val="16"/>
              </w:rPr>
            </w:pPr>
            <w:r w:rsidRPr="00D901BA">
              <w:rPr>
                <w:rFonts w:cs="Arial"/>
                <w:sz w:val="16"/>
                <w:szCs w:val="16"/>
              </w:rPr>
              <w:t>0</w:t>
            </w:r>
          </w:p>
        </w:tc>
        <w:tc>
          <w:tcPr>
            <w:tcW w:w="691" w:type="pct"/>
            <w:vMerge w:val="restart"/>
            <w:tcMar>
              <w:top w:w="30" w:type="dxa"/>
              <w:left w:w="45" w:type="dxa"/>
              <w:bottom w:w="30" w:type="dxa"/>
              <w:right w:w="45" w:type="dxa"/>
            </w:tcMar>
            <w:vAlign w:val="center"/>
            <w:hideMark/>
          </w:tcPr>
          <w:p w14:paraId="7A7DF4FF" w14:textId="77777777" w:rsidR="00D901BA" w:rsidRPr="00D901BA" w:rsidRDefault="00D901BA" w:rsidP="00AA4BBB">
            <w:pPr>
              <w:jc w:val="center"/>
              <w:rPr>
                <w:rFonts w:cs="Arial"/>
                <w:b/>
                <w:bCs/>
                <w:sz w:val="16"/>
                <w:szCs w:val="16"/>
              </w:rPr>
            </w:pPr>
            <w:r w:rsidRPr="00D901BA">
              <w:rPr>
                <w:rFonts w:cs="Arial"/>
                <w:b/>
                <w:bCs/>
                <w:sz w:val="16"/>
                <w:szCs w:val="16"/>
              </w:rPr>
              <w:t>4.391.634.805</w:t>
            </w:r>
          </w:p>
        </w:tc>
      </w:tr>
      <w:tr w:rsidR="00D901BA" w:rsidRPr="00D901BA" w14:paraId="352E5D1F" w14:textId="77777777" w:rsidTr="00D901BA">
        <w:trPr>
          <w:trHeight w:val="315"/>
        </w:trPr>
        <w:tc>
          <w:tcPr>
            <w:tcW w:w="1589" w:type="pct"/>
            <w:vMerge/>
            <w:vAlign w:val="center"/>
            <w:hideMark/>
          </w:tcPr>
          <w:p w14:paraId="4D1C188B"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49E671F3" w14:textId="77777777" w:rsidR="00D901BA" w:rsidRPr="00D901BA" w:rsidRDefault="00D901BA" w:rsidP="00AA4BBB">
            <w:pPr>
              <w:jc w:val="center"/>
              <w:rPr>
                <w:rFonts w:cs="Arial"/>
                <w:sz w:val="16"/>
                <w:szCs w:val="16"/>
              </w:rPr>
            </w:pPr>
            <w:r w:rsidRPr="00D901BA">
              <w:rPr>
                <w:rFonts w:cs="Arial"/>
                <w:sz w:val="16"/>
                <w:szCs w:val="16"/>
              </w:rPr>
              <w:t>1.022.943.555</w:t>
            </w:r>
          </w:p>
        </w:tc>
        <w:tc>
          <w:tcPr>
            <w:tcW w:w="698" w:type="pct"/>
            <w:tcMar>
              <w:top w:w="30" w:type="dxa"/>
              <w:left w:w="45" w:type="dxa"/>
              <w:bottom w:w="30" w:type="dxa"/>
              <w:right w:w="45" w:type="dxa"/>
            </w:tcMar>
            <w:vAlign w:val="center"/>
            <w:hideMark/>
          </w:tcPr>
          <w:p w14:paraId="28AE4EDF" w14:textId="77777777" w:rsidR="00D901BA" w:rsidRPr="00D901BA" w:rsidRDefault="00D901BA" w:rsidP="00AA4BBB">
            <w:pPr>
              <w:jc w:val="center"/>
              <w:rPr>
                <w:rFonts w:cs="Arial"/>
                <w:sz w:val="16"/>
                <w:szCs w:val="16"/>
              </w:rPr>
            </w:pPr>
            <w:r w:rsidRPr="00D901BA">
              <w:rPr>
                <w:rFonts w:cs="Arial"/>
                <w:sz w:val="16"/>
                <w:szCs w:val="16"/>
              </w:rPr>
              <w:t>1.087.498.245</w:t>
            </w:r>
          </w:p>
        </w:tc>
        <w:tc>
          <w:tcPr>
            <w:tcW w:w="704" w:type="pct"/>
            <w:tcMar>
              <w:top w:w="30" w:type="dxa"/>
              <w:left w:w="45" w:type="dxa"/>
              <w:bottom w:w="30" w:type="dxa"/>
              <w:right w:w="45" w:type="dxa"/>
            </w:tcMar>
            <w:vAlign w:val="center"/>
            <w:hideMark/>
          </w:tcPr>
          <w:p w14:paraId="42148173" w14:textId="77777777" w:rsidR="00D901BA" w:rsidRPr="00D901BA" w:rsidRDefault="00D901BA" w:rsidP="00AA4BBB">
            <w:pPr>
              <w:jc w:val="center"/>
              <w:rPr>
                <w:rFonts w:cs="Arial"/>
                <w:sz w:val="16"/>
                <w:szCs w:val="16"/>
              </w:rPr>
            </w:pPr>
            <w:r w:rsidRPr="00D901BA">
              <w:rPr>
                <w:rFonts w:cs="Arial"/>
                <w:sz w:val="16"/>
                <w:szCs w:val="16"/>
              </w:rPr>
              <w:t>1.124.452.069</w:t>
            </w:r>
          </w:p>
        </w:tc>
        <w:tc>
          <w:tcPr>
            <w:tcW w:w="645" w:type="pct"/>
            <w:tcMar>
              <w:top w:w="30" w:type="dxa"/>
              <w:left w:w="45" w:type="dxa"/>
              <w:bottom w:w="30" w:type="dxa"/>
              <w:right w:w="45" w:type="dxa"/>
            </w:tcMar>
            <w:vAlign w:val="center"/>
            <w:hideMark/>
          </w:tcPr>
          <w:p w14:paraId="27B6FAB6" w14:textId="77777777" w:rsidR="00D901BA" w:rsidRPr="00D901BA" w:rsidRDefault="00D901BA" w:rsidP="00AA4BBB">
            <w:pPr>
              <w:jc w:val="center"/>
              <w:rPr>
                <w:rFonts w:cs="Arial"/>
                <w:sz w:val="16"/>
                <w:szCs w:val="16"/>
              </w:rPr>
            </w:pPr>
            <w:r w:rsidRPr="00D901BA">
              <w:rPr>
                <w:rFonts w:cs="Arial"/>
                <w:sz w:val="16"/>
                <w:szCs w:val="16"/>
              </w:rPr>
              <w:t>1.156.740.936</w:t>
            </w:r>
          </w:p>
        </w:tc>
        <w:tc>
          <w:tcPr>
            <w:tcW w:w="691" w:type="pct"/>
            <w:vMerge/>
            <w:vAlign w:val="center"/>
            <w:hideMark/>
          </w:tcPr>
          <w:p w14:paraId="31BCDB1B" w14:textId="77777777" w:rsidR="00D901BA" w:rsidRPr="00D901BA" w:rsidRDefault="00D901BA" w:rsidP="00AA4BBB">
            <w:pPr>
              <w:rPr>
                <w:rFonts w:cs="Arial"/>
                <w:b/>
                <w:bCs/>
                <w:sz w:val="16"/>
                <w:szCs w:val="16"/>
              </w:rPr>
            </w:pPr>
          </w:p>
        </w:tc>
      </w:tr>
      <w:tr w:rsidR="00D901BA" w:rsidRPr="00D901BA" w14:paraId="6484DF2B" w14:textId="77777777" w:rsidTr="00D901BA">
        <w:trPr>
          <w:trHeight w:val="315"/>
        </w:trPr>
        <w:tc>
          <w:tcPr>
            <w:tcW w:w="1589" w:type="pct"/>
            <w:vMerge w:val="restart"/>
            <w:tcMar>
              <w:top w:w="30" w:type="dxa"/>
              <w:left w:w="45" w:type="dxa"/>
              <w:bottom w:w="30" w:type="dxa"/>
              <w:right w:w="45" w:type="dxa"/>
            </w:tcMar>
            <w:vAlign w:val="center"/>
            <w:hideMark/>
          </w:tcPr>
          <w:p w14:paraId="4EB73E96" w14:textId="77777777" w:rsidR="00D901BA" w:rsidRPr="00D901BA" w:rsidRDefault="00D901BA" w:rsidP="00AA4BBB">
            <w:pPr>
              <w:rPr>
                <w:rFonts w:cs="Arial"/>
                <w:sz w:val="16"/>
                <w:szCs w:val="16"/>
              </w:rPr>
            </w:pPr>
            <w:r w:rsidRPr="00D901BA">
              <w:rPr>
                <w:rFonts w:cs="Arial"/>
                <w:sz w:val="16"/>
                <w:szCs w:val="16"/>
              </w:rPr>
              <w:t xml:space="preserve">Desarrollar 1 estrategia de comunicaciones con énfasis en promoción de derechos de las mujeres prevención de violencias en su contra y transformación cultural con enfoque de género que permita impulsar y posicionar las acciones actividades y programas </w:t>
            </w:r>
            <w:r w:rsidRPr="00D901BA">
              <w:rPr>
                <w:rFonts w:cs="Arial"/>
                <w:sz w:val="16"/>
                <w:szCs w:val="16"/>
              </w:rPr>
              <w:lastRenderedPageBreak/>
              <w:t>de la SDMujer en los ámbitos internacional nacional distrital local y barrial</w:t>
            </w:r>
          </w:p>
        </w:tc>
        <w:tc>
          <w:tcPr>
            <w:tcW w:w="673" w:type="pct"/>
            <w:tcMar>
              <w:top w:w="30" w:type="dxa"/>
              <w:left w:w="45" w:type="dxa"/>
              <w:bottom w:w="30" w:type="dxa"/>
              <w:right w:w="45" w:type="dxa"/>
            </w:tcMar>
            <w:vAlign w:val="center"/>
            <w:hideMark/>
          </w:tcPr>
          <w:p w14:paraId="66E8CF8A" w14:textId="62EB29BC" w:rsidR="00D901BA" w:rsidRPr="00D901BA" w:rsidRDefault="00D901BA" w:rsidP="00AA4BBB">
            <w:pPr>
              <w:jc w:val="center"/>
              <w:rPr>
                <w:rFonts w:cs="Arial"/>
                <w:sz w:val="16"/>
                <w:szCs w:val="16"/>
              </w:rPr>
            </w:pPr>
            <w:r w:rsidRPr="00D901BA">
              <w:rPr>
                <w:rFonts w:cs="Arial"/>
                <w:sz w:val="16"/>
                <w:szCs w:val="16"/>
              </w:rPr>
              <w:lastRenderedPageBreak/>
              <w:t>0</w:t>
            </w:r>
            <w:r w:rsidR="00C64667">
              <w:rPr>
                <w:rFonts w:cs="Arial"/>
                <w:sz w:val="16"/>
                <w:szCs w:val="16"/>
              </w:rPr>
              <w:t>,</w:t>
            </w:r>
            <w:r w:rsidRPr="00D901BA">
              <w:rPr>
                <w:rFonts w:cs="Arial"/>
                <w:sz w:val="16"/>
                <w:szCs w:val="16"/>
              </w:rPr>
              <w:t>2</w:t>
            </w:r>
          </w:p>
        </w:tc>
        <w:tc>
          <w:tcPr>
            <w:tcW w:w="698" w:type="pct"/>
            <w:tcMar>
              <w:top w:w="30" w:type="dxa"/>
              <w:left w:w="45" w:type="dxa"/>
              <w:bottom w:w="30" w:type="dxa"/>
              <w:right w:w="45" w:type="dxa"/>
            </w:tcMar>
            <w:vAlign w:val="center"/>
            <w:hideMark/>
          </w:tcPr>
          <w:p w14:paraId="0C6ED32D" w14:textId="6EE50DF6"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3</w:t>
            </w:r>
          </w:p>
        </w:tc>
        <w:tc>
          <w:tcPr>
            <w:tcW w:w="704" w:type="pct"/>
            <w:tcMar>
              <w:top w:w="30" w:type="dxa"/>
              <w:left w:w="45" w:type="dxa"/>
              <w:bottom w:w="30" w:type="dxa"/>
              <w:right w:w="45" w:type="dxa"/>
            </w:tcMar>
            <w:vAlign w:val="center"/>
            <w:hideMark/>
          </w:tcPr>
          <w:p w14:paraId="12A82A5C" w14:textId="41647D76"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25</w:t>
            </w:r>
          </w:p>
        </w:tc>
        <w:tc>
          <w:tcPr>
            <w:tcW w:w="645" w:type="pct"/>
            <w:tcMar>
              <w:top w:w="30" w:type="dxa"/>
              <w:left w:w="45" w:type="dxa"/>
              <w:bottom w:w="30" w:type="dxa"/>
              <w:right w:w="45" w:type="dxa"/>
            </w:tcMar>
            <w:vAlign w:val="center"/>
            <w:hideMark/>
          </w:tcPr>
          <w:p w14:paraId="586DCA10" w14:textId="46E0F279" w:rsidR="00D901BA" w:rsidRPr="00D901BA" w:rsidRDefault="00D901BA" w:rsidP="00AA4BBB">
            <w:pPr>
              <w:jc w:val="center"/>
              <w:rPr>
                <w:rFonts w:cs="Arial"/>
                <w:sz w:val="16"/>
                <w:szCs w:val="16"/>
              </w:rPr>
            </w:pPr>
            <w:r w:rsidRPr="00D901BA">
              <w:rPr>
                <w:rFonts w:cs="Arial"/>
                <w:sz w:val="16"/>
                <w:szCs w:val="16"/>
              </w:rPr>
              <w:t>0</w:t>
            </w:r>
            <w:r w:rsidR="00C64667">
              <w:rPr>
                <w:rFonts w:cs="Arial"/>
                <w:sz w:val="16"/>
                <w:szCs w:val="16"/>
              </w:rPr>
              <w:t>,</w:t>
            </w:r>
            <w:r w:rsidRPr="00D901BA">
              <w:rPr>
                <w:rFonts w:cs="Arial"/>
                <w:sz w:val="16"/>
                <w:szCs w:val="16"/>
              </w:rPr>
              <w:t>25</w:t>
            </w:r>
          </w:p>
        </w:tc>
        <w:tc>
          <w:tcPr>
            <w:tcW w:w="691" w:type="pct"/>
            <w:vMerge w:val="restart"/>
            <w:tcMar>
              <w:top w:w="30" w:type="dxa"/>
              <w:left w:w="45" w:type="dxa"/>
              <w:bottom w:w="30" w:type="dxa"/>
              <w:right w:w="45" w:type="dxa"/>
            </w:tcMar>
            <w:vAlign w:val="center"/>
            <w:hideMark/>
          </w:tcPr>
          <w:p w14:paraId="06ED9BF6" w14:textId="77777777" w:rsidR="00D901BA" w:rsidRPr="00D901BA" w:rsidRDefault="00D901BA" w:rsidP="00AA4BBB">
            <w:pPr>
              <w:jc w:val="center"/>
              <w:rPr>
                <w:rFonts w:cs="Arial"/>
                <w:b/>
                <w:bCs/>
                <w:sz w:val="16"/>
                <w:szCs w:val="16"/>
              </w:rPr>
            </w:pPr>
            <w:r w:rsidRPr="00D901BA">
              <w:rPr>
                <w:rFonts w:cs="Arial"/>
                <w:b/>
                <w:bCs/>
                <w:sz w:val="16"/>
                <w:szCs w:val="16"/>
              </w:rPr>
              <w:t>9.547.032.184</w:t>
            </w:r>
          </w:p>
        </w:tc>
      </w:tr>
      <w:tr w:rsidR="00D901BA" w:rsidRPr="00D901BA" w14:paraId="7A5D1DD0" w14:textId="77777777" w:rsidTr="00D901BA">
        <w:trPr>
          <w:trHeight w:val="315"/>
        </w:trPr>
        <w:tc>
          <w:tcPr>
            <w:tcW w:w="1589" w:type="pct"/>
            <w:vMerge/>
            <w:vAlign w:val="center"/>
            <w:hideMark/>
          </w:tcPr>
          <w:p w14:paraId="5872544E"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35190C74" w14:textId="77777777" w:rsidR="00D901BA" w:rsidRPr="00D901BA" w:rsidRDefault="00D901BA" w:rsidP="00AA4BBB">
            <w:pPr>
              <w:jc w:val="center"/>
              <w:rPr>
                <w:rFonts w:cs="Arial"/>
                <w:sz w:val="16"/>
                <w:szCs w:val="16"/>
              </w:rPr>
            </w:pPr>
            <w:r w:rsidRPr="00D901BA">
              <w:rPr>
                <w:rFonts w:cs="Arial"/>
                <w:sz w:val="16"/>
                <w:szCs w:val="16"/>
              </w:rPr>
              <w:t>2.223.790.336</w:t>
            </w:r>
          </w:p>
        </w:tc>
        <w:tc>
          <w:tcPr>
            <w:tcW w:w="698" w:type="pct"/>
            <w:tcMar>
              <w:top w:w="30" w:type="dxa"/>
              <w:left w:w="45" w:type="dxa"/>
              <w:bottom w:w="30" w:type="dxa"/>
              <w:right w:w="45" w:type="dxa"/>
            </w:tcMar>
            <w:vAlign w:val="center"/>
            <w:hideMark/>
          </w:tcPr>
          <w:p w14:paraId="1CFF88FF" w14:textId="77777777" w:rsidR="00D901BA" w:rsidRPr="00D901BA" w:rsidRDefault="00D901BA" w:rsidP="00AA4BBB">
            <w:pPr>
              <w:jc w:val="center"/>
              <w:rPr>
                <w:rFonts w:cs="Arial"/>
                <w:sz w:val="16"/>
                <w:szCs w:val="16"/>
              </w:rPr>
            </w:pPr>
            <w:r w:rsidRPr="00D901BA">
              <w:rPr>
                <w:rFonts w:cs="Arial"/>
                <w:sz w:val="16"/>
                <w:szCs w:val="16"/>
              </w:rPr>
              <w:t>2.364.126.619</w:t>
            </w:r>
          </w:p>
        </w:tc>
        <w:tc>
          <w:tcPr>
            <w:tcW w:w="704" w:type="pct"/>
            <w:tcMar>
              <w:top w:w="30" w:type="dxa"/>
              <w:left w:w="45" w:type="dxa"/>
              <w:bottom w:w="30" w:type="dxa"/>
              <w:right w:w="45" w:type="dxa"/>
            </w:tcMar>
            <w:vAlign w:val="center"/>
            <w:hideMark/>
          </w:tcPr>
          <w:p w14:paraId="123763B9" w14:textId="77777777" w:rsidR="00D901BA" w:rsidRPr="00D901BA" w:rsidRDefault="00D901BA" w:rsidP="00AA4BBB">
            <w:pPr>
              <w:jc w:val="center"/>
              <w:rPr>
                <w:rFonts w:cs="Arial"/>
                <w:sz w:val="16"/>
                <w:szCs w:val="16"/>
              </w:rPr>
            </w:pPr>
            <w:r w:rsidRPr="00D901BA">
              <w:rPr>
                <w:rFonts w:cs="Arial"/>
                <w:sz w:val="16"/>
                <w:szCs w:val="16"/>
              </w:rPr>
              <w:t>2.444.461.020</w:t>
            </w:r>
          </w:p>
        </w:tc>
        <w:tc>
          <w:tcPr>
            <w:tcW w:w="645" w:type="pct"/>
            <w:tcMar>
              <w:top w:w="30" w:type="dxa"/>
              <w:left w:w="45" w:type="dxa"/>
              <w:bottom w:w="30" w:type="dxa"/>
              <w:right w:w="45" w:type="dxa"/>
            </w:tcMar>
            <w:vAlign w:val="center"/>
            <w:hideMark/>
          </w:tcPr>
          <w:p w14:paraId="71F975D0" w14:textId="77777777" w:rsidR="00D901BA" w:rsidRPr="00D901BA" w:rsidRDefault="00D901BA" w:rsidP="00AA4BBB">
            <w:pPr>
              <w:jc w:val="center"/>
              <w:rPr>
                <w:rFonts w:cs="Arial"/>
                <w:sz w:val="16"/>
                <w:szCs w:val="16"/>
              </w:rPr>
            </w:pPr>
            <w:r w:rsidRPr="00D901BA">
              <w:rPr>
                <w:rFonts w:cs="Arial"/>
                <w:sz w:val="16"/>
                <w:szCs w:val="16"/>
              </w:rPr>
              <w:t>2.514.654.209</w:t>
            </w:r>
          </w:p>
        </w:tc>
        <w:tc>
          <w:tcPr>
            <w:tcW w:w="691" w:type="pct"/>
            <w:vMerge/>
            <w:vAlign w:val="center"/>
            <w:hideMark/>
          </w:tcPr>
          <w:p w14:paraId="0A29A2F4" w14:textId="77777777" w:rsidR="00D901BA" w:rsidRPr="00D901BA" w:rsidRDefault="00D901BA" w:rsidP="00AA4BBB">
            <w:pPr>
              <w:rPr>
                <w:rFonts w:cs="Arial"/>
                <w:b/>
                <w:bCs/>
                <w:sz w:val="16"/>
                <w:szCs w:val="16"/>
              </w:rPr>
            </w:pPr>
          </w:p>
        </w:tc>
      </w:tr>
      <w:tr w:rsidR="00D901BA" w:rsidRPr="00D901BA" w14:paraId="68055A65" w14:textId="77777777" w:rsidTr="00D901BA">
        <w:trPr>
          <w:trHeight w:val="315"/>
        </w:trPr>
        <w:tc>
          <w:tcPr>
            <w:tcW w:w="1589" w:type="pct"/>
            <w:vMerge w:val="restart"/>
            <w:tcMar>
              <w:top w:w="30" w:type="dxa"/>
              <w:left w:w="45" w:type="dxa"/>
              <w:bottom w:w="30" w:type="dxa"/>
              <w:right w:w="45" w:type="dxa"/>
            </w:tcMar>
            <w:vAlign w:val="center"/>
            <w:hideMark/>
          </w:tcPr>
          <w:p w14:paraId="614DB716" w14:textId="77777777" w:rsidR="00D901BA" w:rsidRPr="00D901BA" w:rsidRDefault="00D901BA" w:rsidP="00AA4BBB">
            <w:pPr>
              <w:rPr>
                <w:rFonts w:cs="Arial"/>
                <w:sz w:val="16"/>
                <w:szCs w:val="16"/>
              </w:rPr>
            </w:pPr>
            <w:r w:rsidRPr="00D901BA">
              <w:rPr>
                <w:rFonts w:cs="Arial"/>
                <w:sz w:val="16"/>
                <w:szCs w:val="16"/>
              </w:rPr>
              <w:t>Desarrollar 4 estrategias de empoderamiento para fomentar capacidades liderazgos participación incidencia política y transformación de imaginarios culturales que reproducen los estereotipos de género en los territorios urbanos y rurales</w:t>
            </w:r>
          </w:p>
        </w:tc>
        <w:tc>
          <w:tcPr>
            <w:tcW w:w="673" w:type="pct"/>
            <w:tcMar>
              <w:top w:w="30" w:type="dxa"/>
              <w:left w:w="45" w:type="dxa"/>
              <w:bottom w:w="30" w:type="dxa"/>
              <w:right w:w="45" w:type="dxa"/>
            </w:tcMar>
            <w:vAlign w:val="center"/>
            <w:hideMark/>
          </w:tcPr>
          <w:p w14:paraId="7D75B103" w14:textId="77777777" w:rsidR="00D901BA" w:rsidRPr="00D901BA" w:rsidRDefault="00D901BA" w:rsidP="00AA4BBB">
            <w:pPr>
              <w:jc w:val="center"/>
              <w:rPr>
                <w:rFonts w:cs="Arial"/>
                <w:sz w:val="16"/>
                <w:szCs w:val="16"/>
              </w:rPr>
            </w:pPr>
            <w:r w:rsidRPr="00D901BA">
              <w:rPr>
                <w:rFonts w:cs="Arial"/>
                <w:sz w:val="16"/>
                <w:szCs w:val="16"/>
              </w:rPr>
              <w:t>4</w:t>
            </w:r>
          </w:p>
        </w:tc>
        <w:tc>
          <w:tcPr>
            <w:tcW w:w="698" w:type="pct"/>
            <w:tcMar>
              <w:top w:w="30" w:type="dxa"/>
              <w:left w:w="45" w:type="dxa"/>
              <w:bottom w:w="30" w:type="dxa"/>
              <w:right w:w="45" w:type="dxa"/>
            </w:tcMar>
            <w:vAlign w:val="center"/>
            <w:hideMark/>
          </w:tcPr>
          <w:p w14:paraId="2714C11E" w14:textId="77777777" w:rsidR="00D901BA" w:rsidRPr="00D901BA" w:rsidRDefault="00D901BA" w:rsidP="00AA4BBB">
            <w:pPr>
              <w:jc w:val="center"/>
              <w:rPr>
                <w:rFonts w:cs="Arial"/>
                <w:sz w:val="16"/>
                <w:szCs w:val="16"/>
              </w:rPr>
            </w:pPr>
            <w:r w:rsidRPr="00D901BA">
              <w:rPr>
                <w:rFonts w:cs="Arial"/>
                <w:sz w:val="16"/>
                <w:szCs w:val="16"/>
              </w:rPr>
              <w:t>4</w:t>
            </w:r>
          </w:p>
        </w:tc>
        <w:tc>
          <w:tcPr>
            <w:tcW w:w="704" w:type="pct"/>
            <w:tcMar>
              <w:top w:w="30" w:type="dxa"/>
              <w:left w:w="45" w:type="dxa"/>
              <w:bottom w:w="30" w:type="dxa"/>
              <w:right w:w="45" w:type="dxa"/>
            </w:tcMar>
            <w:vAlign w:val="center"/>
            <w:hideMark/>
          </w:tcPr>
          <w:p w14:paraId="62416DA5" w14:textId="77777777" w:rsidR="00D901BA" w:rsidRPr="00D901BA" w:rsidRDefault="00D901BA" w:rsidP="00AA4BBB">
            <w:pPr>
              <w:jc w:val="center"/>
              <w:rPr>
                <w:rFonts w:cs="Arial"/>
                <w:sz w:val="16"/>
                <w:szCs w:val="16"/>
              </w:rPr>
            </w:pPr>
            <w:r w:rsidRPr="00D901BA">
              <w:rPr>
                <w:rFonts w:cs="Arial"/>
                <w:sz w:val="16"/>
                <w:szCs w:val="16"/>
              </w:rPr>
              <w:t>4</w:t>
            </w:r>
          </w:p>
        </w:tc>
        <w:tc>
          <w:tcPr>
            <w:tcW w:w="645" w:type="pct"/>
            <w:tcMar>
              <w:top w:w="30" w:type="dxa"/>
              <w:left w:w="45" w:type="dxa"/>
              <w:bottom w:w="30" w:type="dxa"/>
              <w:right w:w="45" w:type="dxa"/>
            </w:tcMar>
            <w:vAlign w:val="center"/>
            <w:hideMark/>
          </w:tcPr>
          <w:p w14:paraId="0318334E" w14:textId="77777777" w:rsidR="00D901BA" w:rsidRPr="00D901BA" w:rsidRDefault="00D901BA" w:rsidP="00AA4BBB">
            <w:pPr>
              <w:jc w:val="center"/>
              <w:rPr>
                <w:rFonts w:cs="Arial"/>
                <w:sz w:val="16"/>
                <w:szCs w:val="16"/>
              </w:rPr>
            </w:pPr>
            <w:r w:rsidRPr="00D901BA">
              <w:rPr>
                <w:rFonts w:cs="Arial"/>
                <w:sz w:val="16"/>
                <w:szCs w:val="16"/>
              </w:rPr>
              <w:t>4</w:t>
            </w:r>
          </w:p>
        </w:tc>
        <w:tc>
          <w:tcPr>
            <w:tcW w:w="691" w:type="pct"/>
            <w:vMerge w:val="restart"/>
            <w:tcMar>
              <w:top w:w="30" w:type="dxa"/>
              <w:left w:w="45" w:type="dxa"/>
              <w:bottom w:w="30" w:type="dxa"/>
              <w:right w:w="45" w:type="dxa"/>
            </w:tcMar>
            <w:vAlign w:val="center"/>
            <w:hideMark/>
          </w:tcPr>
          <w:p w14:paraId="5274DB13" w14:textId="77777777" w:rsidR="00D901BA" w:rsidRPr="00D901BA" w:rsidRDefault="00D901BA" w:rsidP="00AA4BBB">
            <w:pPr>
              <w:jc w:val="center"/>
              <w:rPr>
                <w:rFonts w:cs="Arial"/>
                <w:b/>
                <w:bCs/>
                <w:sz w:val="16"/>
                <w:szCs w:val="16"/>
              </w:rPr>
            </w:pPr>
            <w:r w:rsidRPr="00D901BA">
              <w:rPr>
                <w:rFonts w:cs="Arial"/>
                <w:b/>
                <w:bCs/>
                <w:sz w:val="16"/>
                <w:szCs w:val="16"/>
              </w:rPr>
              <w:t>8.401.388.322</w:t>
            </w:r>
          </w:p>
        </w:tc>
      </w:tr>
      <w:tr w:rsidR="00D901BA" w:rsidRPr="00D901BA" w14:paraId="5FAFDF2F" w14:textId="77777777" w:rsidTr="00D901BA">
        <w:trPr>
          <w:trHeight w:val="315"/>
        </w:trPr>
        <w:tc>
          <w:tcPr>
            <w:tcW w:w="1589" w:type="pct"/>
            <w:vMerge/>
            <w:vAlign w:val="center"/>
            <w:hideMark/>
          </w:tcPr>
          <w:p w14:paraId="3069B427"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6230FF60" w14:textId="77777777" w:rsidR="00D901BA" w:rsidRPr="00D901BA" w:rsidRDefault="00D901BA" w:rsidP="00AA4BBB">
            <w:pPr>
              <w:jc w:val="center"/>
              <w:rPr>
                <w:rFonts w:cs="Arial"/>
                <w:sz w:val="16"/>
                <w:szCs w:val="16"/>
              </w:rPr>
            </w:pPr>
            <w:r w:rsidRPr="00D901BA">
              <w:rPr>
                <w:rFonts w:cs="Arial"/>
                <w:sz w:val="16"/>
                <w:szCs w:val="16"/>
              </w:rPr>
              <w:t>1.956.935.496</w:t>
            </w:r>
          </w:p>
        </w:tc>
        <w:tc>
          <w:tcPr>
            <w:tcW w:w="698" w:type="pct"/>
            <w:tcMar>
              <w:top w:w="30" w:type="dxa"/>
              <w:left w:w="45" w:type="dxa"/>
              <w:bottom w:w="30" w:type="dxa"/>
              <w:right w:w="45" w:type="dxa"/>
            </w:tcMar>
            <w:vAlign w:val="center"/>
            <w:hideMark/>
          </w:tcPr>
          <w:p w14:paraId="0CC20375" w14:textId="77777777" w:rsidR="00D901BA" w:rsidRPr="00D901BA" w:rsidRDefault="00D901BA" w:rsidP="00AA4BBB">
            <w:pPr>
              <w:jc w:val="center"/>
              <w:rPr>
                <w:rFonts w:cs="Arial"/>
                <w:sz w:val="16"/>
                <w:szCs w:val="16"/>
              </w:rPr>
            </w:pPr>
            <w:r w:rsidRPr="00D901BA">
              <w:rPr>
                <w:rFonts w:cs="Arial"/>
                <w:sz w:val="16"/>
                <w:szCs w:val="16"/>
              </w:rPr>
              <w:t>2.080.431.425</w:t>
            </w:r>
          </w:p>
        </w:tc>
        <w:tc>
          <w:tcPr>
            <w:tcW w:w="704" w:type="pct"/>
            <w:tcMar>
              <w:top w:w="30" w:type="dxa"/>
              <w:left w:w="45" w:type="dxa"/>
              <w:bottom w:w="30" w:type="dxa"/>
              <w:right w:w="45" w:type="dxa"/>
            </w:tcMar>
            <w:vAlign w:val="center"/>
            <w:hideMark/>
          </w:tcPr>
          <w:p w14:paraId="0A0B6378" w14:textId="77777777" w:rsidR="00D901BA" w:rsidRPr="00D901BA" w:rsidRDefault="00D901BA" w:rsidP="00AA4BBB">
            <w:pPr>
              <w:jc w:val="center"/>
              <w:rPr>
                <w:rFonts w:cs="Arial"/>
                <w:sz w:val="16"/>
                <w:szCs w:val="16"/>
              </w:rPr>
            </w:pPr>
            <w:r w:rsidRPr="00D901BA">
              <w:rPr>
                <w:rFonts w:cs="Arial"/>
                <w:sz w:val="16"/>
                <w:szCs w:val="16"/>
              </w:rPr>
              <w:t>2.151.125.697</w:t>
            </w:r>
          </w:p>
        </w:tc>
        <w:tc>
          <w:tcPr>
            <w:tcW w:w="645" w:type="pct"/>
            <w:tcMar>
              <w:top w:w="30" w:type="dxa"/>
              <w:left w:w="45" w:type="dxa"/>
              <w:bottom w:w="30" w:type="dxa"/>
              <w:right w:w="45" w:type="dxa"/>
            </w:tcMar>
            <w:vAlign w:val="center"/>
            <w:hideMark/>
          </w:tcPr>
          <w:p w14:paraId="71F39C67" w14:textId="77777777" w:rsidR="00D901BA" w:rsidRPr="00D901BA" w:rsidRDefault="00D901BA" w:rsidP="00AA4BBB">
            <w:pPr>
              <w:jc w:val="center"/>
              <w:rPr>
                <w:rFonts w:cs="Arial"/>
                <w:sz w:val="16"/>
                <w:szCs w:val="16"/>
              </w:rPr>
            </w:pPr>
            <w:r w:rsidRPr="00D901BA">
              <w:rPr>
                <w:rFonts w:cs="Arial"/>
                <w:sz w:val="16"/>
                <w:szCs w:val="16"/>
              </w:rPr>
              <w:t>2.212.895.704</w:t>
            </w:r>
          </w:p>
        </w:tc>
        <w:tc>
          <w:tcPr>
            <w:tcW w:w="691" w:type="pct"/>
            <w:vMerge/>
            <w:vAlign w:val="center"/>
            <w:hideMark/>
          </w:tcPr>
          <w:p w14:paraId="29C402E5" w14:textId="77777777" w:rsidR="00D901BA" w:rsidRPr="00D901BA" w:rsidRDefault="00D901BA" w:rsidP="00AA4BBB">
            <w:pPr>
              <w:rPr>
                <w:rFonts w:cs="Arial"/>
                <w:b/>
                <w:bCs/>
                <w:sz w:val="16"/>
                <w:szCs w:val="16"/>
              </w:rPr>
            </w:pPr>
          </w:p>
        </w:tc>
      </w:tr>
      <w:tr w:rsidR="00D901BA" w:rsidRPr="00D901BA" w14:paraId="6EE5966D" w14:textId="77777777" w:rsidTr="00D901BA">
        <w:trPr>
          <w:trHeight w:val="315"/>
        </w:trPr>
        <w:tc>
          <w:tcPr>
            <w:tcW w:w="1589" w:type="pct"/>
            <w:vMerge w:val="restart"/>
            <w:tcMar>
              <w:top w:w="30" w:type="dxa"/>
              <w:left w:w="45" w:type="dxa"/>
              <w:bottom w:w="30" w:type="dxa"/>
              <w:right w:w="45" w:type="dxa"/>
            </w:tcMar>
            <w:vAlign w:val="center"/>
            <w:hideMark/>
          </w:tcPr>
          <w:p w14:paraId="7911FFAA" w14:textId="77777777" w:rsidR="00D901BA" w:rsidRPr="00D901BA" w:rsidRDefault="00D901BA" w:rsidP="00AA4BBB">
            <w:pPr>
              <w:rPr>
                <w:rFonts w:cs="Arial"/>
                <w:sz w:val="16"/>
                <w:szCs w:val="16"/>
              </w:rPr>
            </w:pPr>
            <w:r w:rsidRPr="00D901BA">
              <w:rPr>
                <w:rFonts w:cs="Arial"/>
                <w:sz w:val="16"/>
                <w:szCs w:val="16"/>
              </w:rPr>
              <w:t>Mantener operando el modelo de Casas de igualdad de oportunidades para las mujeres en las 20 localidades fortaleciendo la atención en los territorios urbanos y rurales.</w:t>
            </w:r>
          </w:p>
        </w:tc>
        <w:tc>
          <w:tcPr>
            <w:tcW w:w="673" w:type="pct"/>
            <w:tcMar>
              <w:top w:w="30" w:type="dxa"/>
              <w:left w:w="45" w:type="dxa"/>
              <w:bottom w:w="30" w:type="dxa"/>
              <w:right w:w="45" w:type="dxa"/>
            </w:tcMar>
            <w:vAlign w:val="center"/>
            <w:hideMark/>
          </w:tcPr>
          <w:p w14:paraId="428A04AF" w14:textId="77777777" w:rsidR="00D901BA" w:rsidRPr="00D901BA" w:rsidRDefault="00D901BA" w:rsidP="00AA4BBB">
            <w:pPr>
              <w:jc w:val="center"/>
              <w:rPr>
                <w:rFonts w:cs="Arial"/>
                <w:sz w:val="16"/>
                <w:szCs w:val="16"/>
              </w:rPr>
            </w:pPr>
            <w:r w:rsidRPr="00D901BA">
              <w:rPr>
                <w:rFonts w:cs="Arial"/>
                <w:sz w:val="16"/>
                <w:szCs w:val="16"/>
              </w:rPr>
              <w:t>20</w:t>
            </w:r>
          </w:p>
        </w:tc>
        <w:tc>
          <w:tcPr>
            <w:tcW w:w="698" w:type="pct"/>
            <w:tcMar>
              <w:top w:w="30" w:type="dxa"/>
              <w:left w:w="45" w:type="dxa"/>
              <w:bottom w:w="30" w:type="dxa"/>
              <w:right w:w="45" w:type="dxa"/>
            </w:tcMar>
            <w:vAlign w:val="center"/>
            <w:hideMark/>
          </w:tcPr>
          <w:p w14:paraId="43E28504" w14:textId="77777777" w:rsidR="00D901BA" w:rsidRPr="00D901BA" w:rsidRDefault="00D901BA" w:rsidP="00AA4BBB">
            <w:pPr>
              <w:jc w:val="center"/>
              <w:rPr>
                <w:rFonts w:cs="Arial"/>
                <w:sz w:val="16"/>
                <w:szCs w:val="16"/>
              </w:rPr>
            </w:pPr>
            <w:r w:rsidRPr="00D901BA">
              <w:rPr>
                <w:rFonts w:cs="Arial"/>
                <w:sz w:val="16"/>
                <w:szCs w:val="16"/>
              </w:rPr>
              <w:t>20</w:t>
            </w:r>
          </w:p>
        </w:tc>
        <w:tc>
          <w:tcPr>
            <w:tcW w:w="704" w:type="pct"/>
            <w:tcMar>
              <w:top w:w="30" w:type="dxa"/>
              <w:left w:w="45" w:type="dxa"/>
              <w:bottom w:w="30" w:type="dxa"/>
              <w:right w:w="45" w:type="dxa"/>
            </w:tcMar>
            <w:vAlign w:val="center"/>
            <w:hideMark/>
          </w:tcPr>
          <w:p w14:paraId="6415C351" w14:textId="77777777" w:rsidR="00D901BA" w:rsidRPr="00D901BA" w:rsidRDefault="00D901BA" w:rsidP="00AA4BBB">
            <w:pPr>
              <w:jc w:val="center"/>
              <w:rPr>
                <w:rFonts w:cs="Arial"/>
                <w:sz w:val="16"/>
                <w:szCs w:val="16"/>
              </w:rPr>
            </w:pPr>
            <w:r w:rsidRPr="00D901BA">
              <w:rPr>
                <w:rFonts w:cs="Arial"/>
                <w:sz w:val="16"/>
                <w:szCs w:val="16"/>
              </w:rPr>
              <w:t>20</w:t>
            </w:r>
          </w:p>
        </w:tc>
        <w:tc>
          <w:tcPr>
            <w:tcW w:w="645" w:type="pct"/>
            <w:tcMar>
              <w:top w:w="30" w:type="dxa"/>
              <w:left w:w="45" w:type="dxa"/>
              <w:bottom w:w="30" w:type="dxa"/>
              <w:right w:w="45" w:type="dxa"/>
            </w:tcMar>
            <w:vAlign w:val="center"/>
            <w:hideMark/>
          </w:tcPr>
          <w:p w14:paraId="31F2E49A" w14:textId="77777777" w:rsidR="00D901BA" w:rsidRPr="00D901BA" w:rsidRDefault="00D901BA" w:rsidP="00AA4BBB">
            <w:pPr>
              <w:jc w:val="center"/>
              <w:rPr>
                <w:rFonts w:cs="Arial"/>
                <w:sz w:val="16"/>
                <w:szCs w:val="16"/>
              </w:rPr>
            </w:pPr>
            <w:r w:rsidRPr="00D901BA">
              <w:rPr>
                <w:rFonts w:cs="Arial"/>
                <w:sz w:val="16"/>
                <w:szCs w:val="16"/>
              </w:rPr>
              <w:t>20</w:t>
            </w:r>
          </w:p>
        </w:tc>
        <w:tc>
          <w:tcPr>
            <w:tcW w:w="691" w:type="pct"/>
            <w:vMerge w:val="restart"/>
            <w:tcMar>
              <w:top w:w="30" w:type="dxa"/>
              <w:left w:w="45" w:type="dxa"/>
              <w:bottom w:w="30" w:type="dxa"/>
              <w:right w:w="45" w:type="dxa"/>
            </w:tcMar>
            <w:vAlign w:val="center"/>
            <w:hideMark/>
          </w:tcPr>
          <w:p w14:paraId="4E38AA2E" w14:textId="77777777" w:rsidR="00D901BA" w:rsidRPr="00D901BA" w:rsidRDefault="00D901BA" w:rsidP="00AA4BBB">
            <w:pPr>
              <w:jc w:val="center"/>
              <w:rPr>
                <w:rFonts w:cs="Arial"/>
                <w:b/>
                <w:bCs/>
                <w:sz w:val="16"/>
                <w:szCs w:val="16"/>
              </w:rPr>
            </w:pPr>
            <w:r w:rsidRPr="00D901BA">
              <w:rPr>
                <w:rFonts w:cs="Arial"/>
                <w:b/>
                <w:bCs/>
                <w:sz w:val="16"/>
                <w:szCs w:val="16"/>
              </w:rPr>
              <w:t>46.780.457.704</w:t>
            </w:r>
          </w:p>
        </w:tc>
      </w:tr>
      <w:tr w:rsidR="00D901BA" w:rsidRPr="00D901BA" w14:paraId="5640B692" w14:textId="77777777" w:rsidTr="00D901BA">
        <w:trPr>
          <w:trHeight w:val="315"/>
        </w:trPr>
        <w:tc>
          <w:tcPr>
            <w:tcW w:w="1589" w:type="pct"/>
            <w:vMerge/>
            <w:vAlign w:val="center"/>
            <w:hideMark/>
          </w:tcPr>
          <w:p w14:paraId="78C8CD21"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4A725CCE" w14:textId="77777777" w:rsidR="00D901BA" w:rsidRPr="00D901BA" w:rsidRDefault="00D901BA" w:rsidP="00AA4BBB">
            <w:pPr>
              <w:jc w:val="center"/>
              <w:rPr>
                <w:rFonts w:cs="Arial"/>
                <w:sz w:val="16"/>
                <w:szCs w:val="16"/>
              </w:rPr>
            </w:pPr>
            <w:r w:rsidRPr="00D901BA">
              <w:rPr>
                <w:rFonts w:cs="Arial"/>
                <w:sz w:val="16"/>
                <w:szCs w:val="16"/>
              </w:rPr>
              <w:t>10.896.572.649</w:t>
            </w:r>
          </w:p>
        </w:tc>
        <w:tc>
          <w:tcPr>
            <w:tcW w:w="698" w:type="pct"/>
            <w:tcMar>
              <w:top w:w="30" w:type="dxa"/>
              <w:left w:w="45" w:type="dxa"/>
              <w:bottom w:w="30" w:type="dxa"/>
              <w:right w:w="45" w:type="dxa"/>
            </w:tcMar>
            <w:vAlign w:val="center"/>
            <w:hideMark/>
          </w:tcPr>
          <w:p w14:paraId="205F2161" w14:textId="77777777" w:rsidR="00D901BA" w:rsidRPr="00D901BA" w:rsidRDefault="00D901BA" w:rsidP="00AA4BBB">
            <w:pPr>
              <w:jc w:val="center"/>
              <w:rPr>
                <w:rFonts w:cs="Arial"/>
                <w:sz w:val="16"/>
                <w:szCs w:val="16"/>
              </w:rPr>
            </w:pPr>
            <w:r w:rsidRPr="00D901BA">
              <w:rPr>
                <w:rFonts w:cs="Arial"/>
                <w:sz w:val="16"/>
                <w:szCs w:val="16"/>
              </w:rPr>
              <w:t>11.584.220.437</w:t>
            </w:r>
          </w:p>
        </w:tc>
        <w:tc>
          <w:tcPr>
            <w:tcW w:w="704" w:type="pct"/>
            <w:tcMar>
              <w:top w:w="30" w:type="dxa"/>
              <w:left w:w="45" w:type="dxa"/>
              <w:bottom w:w="30" w:type="dxa"/>
              <w:right w:w="45" w:type="dxa"/>
            </w:tcMar>
            <w:vAlign w:val="center"/>
            <w:hideMark/>
          </w:tcPr>
          <w:p w14:paraId="7C905835" w14:textId="77777777" w:rsidR="00D901BA" w:rsidRPr="00D901BA" w:rsidRDefault="00D901BA" w:rsidP="00AA4BBB">
            <w:pPr>
              <w:jc w:val="center"/>
              <w:rPr>
                <w:rFonts w:cs="Arial"/>
                <w:sz w:val="16"/>
                <w:szCs w:val="16"/>
              </w:rPr>
            </w:pPr>
            <w:r w:rsidRPr="00D901BA">
              <w:rPr>
                <w:rFonts w:cs="Arial"/>
                <w:sz w:val="16"/>
                <w:szCs w:val="16"/>
              </w:rPr>
              <w:t>11.977.858.996</w:t>
            </w:r>
          </w:p>
        </w:tc>
        <w:tc>
          <w:tcPr>
            <w:tcW w:w="645" w:type="pct"/>
            <w:tcMar>
              <w:top w:w="30" w:type="dxa"/>
              <w:left w:w="45" w:type="dxa"/>
              <w:bottom w:w="30" w:type="dxa"/>
              <w:right w:w="45" w:type="dxa"/>
            </w:tcMar>
            <w:vAlign w:val="center"/>
            <w:hideMark/>
          </w:tcPr>
          <w:p w14:paraId="4894DE84" w14:textId="77777777" w:rsidR="00D901BA" w:rsidRPr="00D901BA" w:rsidRDefault="00D901BA" w:rsidP="00AA4BBB">
            <w:pPr>
              <w:jc w:val="center"/>
              <w:rPr>
                <w:rFonts w:cs="Arial"/>
                <w:sz w:val="16"/>
                <w:szCs w:val="16"/>
              </w:rPr>
            </w:pPr>
            <w:r w:rsidRPr="00D901BA">
              <w:rPr>
                <w:rFonts w:cs="Arial"/>
                <w:sz w:val="16"/>
                <w:szCs w:val="16"/>
              </w:rPr>
              <w:t>12.321.805.622</w:t>
            </w:r>
          </w:p>
        </w:tc>
        <w:tc>
          <w:tcPr>
            <w:tcW w:w="691" w:type="pct"/>
            <w:vMerge/>
            <w:vAlign w:val="center"/>
            <w:hideMark/>
          </w:tcPr>
          <w:p w14:paraId="12295223" w14:textId="77777777" w:rsidR="00D901BA" w:rsidRPr="00D901BA" w:rsidRDefault="00D901BA" w:rsidP="00AA4BBB">
            <w:pPr>
              <w:rPr>
                <w:rFonts w:cs="Arial"/>
                <w:b/>
                <w:bCs/>
                <w:sz w:val="16"/>
                <w:szCs w:val="16"/>
              </w:rPr>
            </w:pPr>
          </w:p>
        </w:tc>
      </w:tr>
      <w:tr w:rsidR="00D901BA" w:rsidRPr="00D901BA" w14:paraId="5B3B1331" w14:textId="77777777" w:rsidTr="00D901BA">
        <w:trPr>
          <w:trHeight w:val="315"/>
        </w:trPr>
        <w:tc>
          <w:tcPr>
            <w:tcW w:w="1589" w:type="pct"/>
            <w:vMerge w:val="restart"/>
            <w:tcMar>
              <w:top w:w="30" w:type="dxa"/>
              <w:left w:w="45" w:type="dxa"/>
              <w:bottom w:w="30" w:type="dxa"/>
              <w:right w:w="45" w:type="dxa"/>
            </w:tcMar>
            <w:vAlign w:val="center"/>
            <w:hideMark/>
          </w:tcPr>
          <w:p w14:paraId="0BA8DF2D" w14:textId="77777777" w:rsidR="00D901BA" w:rsidRPr="00D901BA" w:rsidRDefault="00D901BA" w:rsidP="00AA4BBB">
            <w:pPr>
              <w:rPr>
                <w:rFonts w:cs="Arial"/>
                <w:sz w:val="16"/>
                <w:szCs w:val="16"/>
              </w:rPr>
            </w:pPr>
            <w:r w:rsidRPr="00D901BA">
              <w:rPr>
                <w:rFonts w:cs="Arial"/>
                <w:sz w:val="16"/>
                <w:szCs w:val="16"/>
              </w:rPr>
              <w:t>Vincular a 9000 mujeres en estrategias de empoderamiento Social y político que aportan a la promoción y garantía de sus derechos.</w:t>
            </w:r>
          </w:p>
        </w:tc>
        <w:tc>
          <w:tcPr>
            <w:tcW w:w="673" w:type="pct"/>
            <w:tcMar>
              <w:top w:w="30" w:type="dxa"/>
              <w:left w:w="45" w:type="dxa"/>
              <w:bottom w:w="30" w:type="dxa"/>
              <w:right w:w="45" w:type="dxa"/>
            </w:tcMar>
            <w:vAlign w:val="center"/>
            <w:hideMark/>
          </w:tcPr>
          <w:p w14:paraId="6886768B" w14:textId="77777777" w:rsidR="00D901BA" w:rsidRPr="00D901BA" w:rsidRDefault="00D901BA" w:rsidP="00AA4BBB">
            <w:pPr>
              <w:jc w:val="center"/>
              <w:rPr>
                <w:rFonts w:cs="Arial"/>
                <w:sz w:val="16"/>
                <w:szCs w:val="16"/>
              </w:rPr>
            </w:pPr>
            <w:r w:rsidRPr="00D901BA">
              <w:rPr>
                <w:rFonts w:cs="Arial"/>
                <w:sz w:val="16"/>
                <w:szCs w:val="16"/>
              </w:rPr>
              <w:t>1.000</w:t>
            </w:r>
          </w:p>
        </w:tc>
        <w:tc>
          <w:tcPr>
            <w:tcW w:w="698" w:type="pct"/>
            <w:tcMar>
              <w:top w:w="30" w:type="dxa"/>
              <w:left w:w="45" w:type="dxa"/>
              <w:bottom w:w="30" w:type="dxa"/>
              <w:right w:w="45" w:type="dxa"/>
            </w:tcMar>
            <w:vAlign w:val="center"/>
            <w:hideMark/>
          </w:tcPr>
          <w:p w14:paraId="097EB15A" w14:textId="77777777" w:rsidR="00D901BA" w:rsidRPr="00D901BA" w:rsidRDefault="00D901BA" w:rsidP="00AA4BBB">
            <w:pPr>
              <w:jc w:val="center"/>
              <w:rPr>
                <w:rFonts w:cs="Arial"/>
                <w:sz w:val="16"/>
                <w:szCs w:val="16"/>
              </w:rPr>
            </w:pPr>
            <w:r w:rsidRPr="00D901BA">
              <w:rPr>
                <w:rFonts w:cs="Arial"/>
                <w:sz w:val="16"/>
                <w:szCs w:val="16"/>
              </w:rPr>
              <w:t>3.000</w:t>
            </w:r>
          </w:p>
        </w:tc>
        <w:tc>
          <w:tcPr>
            <w:tcW w:w="704" w:type="pct"/>
            <w:tcMar>
              <w:top w:w="30" w:type="dxa"/>
              <w:left w:w="45" w:type="dxa"/>
              <w:bottom w:w="30" w:type="dxa"/>
              <w:right w:w="45" w:type="dxa"/>
            </w:tcMar>
            <w:vAlign w:val="center"/>
            <w:hideMark/>
          </w:tcPr>
          <w:p w14:paraId="5C669107" w14:textId="77777777" w:rsidR="00D901BA" w:rsidRPr="00D901BA" w:rsidRDefault="00D901BA" w:rsidP="00AA4BBB">
            <w:pPr>
              <w:jc w:val="center"/>
              <w:rPr>
                <w:rFonts w:cs="Arial"/>
                <w:sz w:val="16"/>
                <w:szCs w:val="16"/>
              </w:rPr>
            </w:pPr>
            <w:r w:rsidRPr="00D901BA">
              <w:rPr>
                <w:rFonts w:cs="Arial"/>
                <w:sz w:val="16"/>
                <w:szCs w:val="16"/>
              </w:rPr>
              <w:t>3.000</w:t>
            </w:r>
          </w:p>
        </w:tc>
        <w:tc>
          <w:tcPr>
            <w:tcW w:w="645" w:type="pct"/>
            <w:tcMar>
              <w:top w:w="30" w:type="dxa"/>
              <w:left w:w="45" w:type="dxa"/>
              <w:bottom w:w="30" w:type="dxa"/>
              <w:right w:w="45" w:type="dxa"/>
            </w:tcMar>
            <w:vAlign w:val="center"/>
            <w:hideMark/>
          </w:tcPr>
          <w:p w14:paraId="65D69062" w14:textId="77777777" w:rsidR="00D901BA" w:rsidRPr="00D901BA" w:rsidRDefault="00D901BA" w:rsidP="00AA4BBB">
            <w:pPr>
              <w:jc w:val="center"/>
              <w:rPr>
                <w:rFonts w:cs="Arial"/>
                <w:sz w:val="16"/>
                <w:szCs w:val="16"/>
              </w:rPr>
            </w:pPr>
            <w:r w:rsidRPr="00D901BA">
              <w:rPr>
                <w:rFonts w:cs="Arial"/>
                <w:sz w:val="16"/>
                <w:szCs w:val="16"/>
              </w:rPr>
              <w:t>2.000</w:t>
            </w:r>
          </w:p>
        </w:tc>
        <w:tc>
          <w:tcPr>
            <w:tcW w:w="691" w:type="pct"/>
            <w:vMerge w:val="restart"/>
            <w:tcMar>
              <w:top w:w="30" w:type="dxa"/>
              <w:left w:w="45" w:type="dxa"/>
              <w:bottom w:w="30" w:type="dxa"/>
              <w:right w:w="45" w:type="dxa"/>
            </w:tcMar>
            <w:vAlign w:val="center"/>
            <w:hideMark/>
          </w:tcPr>
          <w:p w14:paraId="736DED72" w14:textId="77777777" w:rsidR="00D901BA" w:rsidRPr="00D901BA" w:rsidRDefault="00D901BA" w:rsidP="00AA4BBB">
            <w:pPr>
              <w:jc w:val="center"/>
              <w:rPr>
                <w:rFonts w:cs="Arial"/>
                <w:b/>
                <w:bCs/>
                <w:sz w:val="16"/>
                <w:szCs w:val="16"/>
              </w:rPr>
            </w:pPr>
            <w:r w:rsidRPr="00D901BA">
              <w:rPr>
                <w:rFonts w:cs="Arial"/>
                <w:b/>
                <w:bCs/>
                <w:sz w:val="16"/>
                <w:szCs w:val="16"/>
              </w:rPr>
              <w:t>8.019.507.035</w:t>
            </w:r>
          </w:p>
        </w:tc>
      </w:tr>
      <w:tr w:rsidR="00D901BA" w:rsidRPr="00D901BA" w14:paraId="60D948AA" w14:textId="77777777" w:rsidTr="00D901BA">
        <w:trPr>
          <w:trHeight w:val="315"/>
        </w:trPr>
        <w:tc>
          <w:tcPr>
            <w:tcW w:w="1589" w:type="pct"/>
            <w:vMerge/>
            <w:vAlign w:val="center"/>
            <w:hideMark/>
          </w:tcPr>
          <w:p w14:paraId="045C247C"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5DF048D1" w14:textId="77777777" w:rsidR="00D901BA" w:rsidRPr="00D901BA" w:rsidRDefault="00D901BA" w:rsidP="00AA4BBB">
            <w:pPr>
              <w:jc w:val="center"/>
              <w:rPr>
                <w:rFonts w:cs="Arial"/>
                <w:sz w:val="16"/>
                <w:szCs w:val="16"/>
              </w:rPr>
            </w:pPr>
            <w:r w:rsidRPr="00D901BA">
              <w:rPr>
                <w:rFonts w:cs="Arial"/>
                <w:sz w:val="16"/>
                <w:szCs w:val="16"/>
              </w:rPr>
              <w:t>1.867.983.883</w:t>
            </w:r>
          </w:p>
        </w:tc>
        <w:tc>
          <w:tcPr>
            <w:tcW w:w="698" w:type="pct"/>
            <w:tcMar>
              <w:top w:w="30" w:type="dxa"/>
              <w:left w:w="45" w:type="dxa"/>
              <w:bottom w:w="30" w:type="dxa"/>
              <w:right w:w="45" w:type="dxa"/>
            </w:tcMar>
            <w:vAlign w:val="center"/>
            <w:hideMark/>
          </w:tcPr>
          <w:p w14:paraId="6626545D" w14:textId="77777777" w:rsidR="00D901BA" w:rsidRPr="00D901BA" w:rsidRDefault="00D901BA" w:rsidP="00AA4BBB">
            <w:pPr>
              <w:jc w:val="center"/>
              <w:rPr>
                <w:rFonts w:cs="Arial"/>
                <w:sz w:val="16"/>
                <w:szCs w:val="16"/>
              </w:rPr>
            </w:pPr>
            <w:r w:rsidRPr="00D901BA">
              <w:rPr>
                <w:rFonts w:cs="Arial"/>
                <w:sz w:val="16"/>
                <w:szCs w:val="16"/>
              </w:rPr>
              <w:t>1.985.866.360</w:t>
            </w:r>
          </w:p>
        </w:tc>
        <w:tc>
          <w:tcPr>
            <w:tcW w:w="704" w:type="pct"/>
            <w:tcMar>
              <w:top w:w="30" w:type="dxa"/>
              <w:left w:w="45" w:type="dxa"/>
              <w:bottom w:w="30" w:type="dxa"/>
              <w:right w:w="45" w:type="dxa"/>
            </w:tcMar>
            <w:vAlign w:val="center"/>
            <w:hideMark/>
          </w:tcPr>
          <w:p w14:paraId="677F56D7" w14:textId="77777777" w:rsidR="00D901BA" w:rsidRPr="00D901BA" w:rsidRDefault="00D901BA" w:rsidP="00AA4BBB">
            <w:pPr>
              <w:jc w:val="center"/>
              <w:rPr>
                <w:rFonts w:cs="Arial"/>
                <w:sz w:val="16"/>
                <w:szCs w:val="16"/>
              </w:rPr>
            </w:pPr>
            <w:r w:rsidRPr="00D901BA">
              <w:rPr>
                <w:rFonts w:cs="Arial"/>
                <w:sz w:val="16"/>
                <w:szCs w:val="16"/>
              </w:rPr>
              <w:t>2.053.347.256</w:t>
            </w:r>
          </w:p>
        </w:tc>
        <w:tc>
          <w:tcPr>
            <w:tcW w:w="645" w:type="pct"/>
            <w:tcMar>
              <w:top w:w="30" w:type="dxa"/>
              <w:left w:w="45" w:type="dxa"/>
              <w:bottom w:w="30" w:type="dxa"/>
              <w:right w:w="45" w:type="dxa"/>
            </w:tcMar>
            <w:vAlign w:val="center"/>
            <w:hideMark/>
          </w:tcPr>
          <w:p w14:paraId="1B3354E4" w14:textId="77777777" w:rsidR="00D901BA" w:rsidRPr="00D901BA" w:rsidRDefault="00D901BA" w:rsidP="00AA4BBB">
            <w:pPr>
              <w:jc w:val="center"/>
              <w:rPr>
                <w:rFonts w:cs="Arial"/>
                <w:sz w:val="16"/>
                <w:szCs w:val="16"/>
              </w:rPr>
            </w:pPr>
            <w:r w:rsidRPr="00D901BA">
              <w:rPr>
                <w:rFonts w:cs="Arial"/>
                <w:sz w:val="16"/>
                <w:szCs w:val="16"/>
              </w:rPr>
              <w:t>2.112.309.536</w:t>
            </w:r>
          </w:p>
        </w:tc>
        <w:tc>
          <w:tcPr>
            <w:tcW w:w="691" w:type="pct"/>
            <w:vMerge/>
            <w:vAlign w:val="center"/>
            <w:hideMark/>
          </w:tcPr>
          <w:p w14:paraId="1B4C800E" w14:textId="77777777" w:rsidR="00D901BA" w:rsidRPr="00D901BA" w:rsidRDefault="00D901BA" w:rsidP="00AA4BBB">
            <w:pPr>
              <w:rPr>
                <w:rFonts w:cs="Arial"/>
                <w:b/>
                <w:bCs/>
                <w:sz w:val="16"/>
                <w:szCs w:val="16"/>
              </w:rPr>
            </w:pPr>
          </w:p>
        </w:tc>
      </w:tr>
      <w:tr w:rsidR="00D901BA" w:rsidRPr="00D901BA" w14:paraId="571A779F" w14:textId="77777777" w:rsidTr="0021607C">
        <w:trPr>
          <w:trHeight w:val="315"/>
        </w:trPr>
        <w:tc>
          <w:tcPr>
            <w:tcW w:w="5000" w:type="pct"/>
            <w:gridSpan w:val="6"/>
            <w:shd w:val="clear" w:color="auto" w:fill="C00000"/>
            <w:tcMar>
              <w:top w:w="30" w:type="dxa"/>
              <w:left w:w="45" w:type="dxa"/>
              <w:bottom w:w="30" w:type="dxa"/>
              <w:right w:w="45" w:type="dxa"/>
            </w:tcMar>
            <w:vAlign w:val="center"/>
            <w:hideMark/>
          </w:tcPr>
          <w:p w14:paraId="0AC588B6" w14:textId="53B6753E" w:rsidR="00D901BA" w:rsidRPr="00D901BA" w:rsidRDefault="0021607C" w:rsidP="0021607C">
            <w:pPr>
              <w:jc w:val="center"/>
              <w:rPr>
                <w:rFonts w:cs="Arial"/>
                <w:b/>
                <w:bCs/>
                <w:sz w:val="16"/>
                <w:szCs w:val="16"/>
              </w:rPr>
            </w:pPr>
            <w:r w:rsidRPr="0021607C">
              <w:rPr>
                <w:rFonts w:cs="Arial"/>
                <w:b/>
                <w:bCs/>
                <w:color w:val="FFFFFF" w:themeColor="background1"/>
                <w:sz w:val="16"/>
                <w:szCs w:val="16"/>
              </w:rPr>
              <w:t>Planeación</w:t>
            </w:r>
          </w:p>
        </w:tc>
      </w:tr>
      <w:tr w:rsidR="00D901BA" w:rsidRPr="00D901BA" w14:paraId="697F1828" w14:textId="77777777" w:rsidTr="00D901BA">
        <w:trPr>
          <w:trHeight w:val="315"/>
        </w:trPr>
        <w:tc>
          <w:tcPr>
            <w:tcW w:w="1589" w:type="pct"/>
            <w:vMerge w:val="restart"/>
            <w:tcMar>
              <w:top w:w="30" w:type="dxa"/>
              <w:left w:w="45" w:type="dxa"/>
              <w:bottom w:w="30" w:type="dxa"/>
              <w:right w:w="45" w:type="dxa"/>
            </w:tcMar>
            <w:vAlign w:val="center"/>
            <w:hideMark/>
          </w:tcPr>
          <w:p w14:paraId="2D6BEFDF" w14:textId="77777777" w:rsidR="00D901BA" w:rsidRPr="00D901BA" w:rsidRDefault="00D901BA" w:rsidP="00AA4BBB">
            <w:pPr>
              <w:rPr>
                <w:rFonts w:cs="Arial"/>
                <w:sz w:val="16"/>
                <w:szCs w:val="16"/>
              </w:rPr>
            </w:pPr>
            <w:r w:rsidRPr="00D901BA">
              <w:rPr>
                <w:rFonts w:cs="Arial"/>
                <w:sz w:val="16"/>
                <w:szCs w:val="16"/>
              </w:rPr>
              <w:t>Implementar cuatro (4) componentes de la ruta para el cambio cultural en pro de la inclusión y no discriminación de la población LGBTI en Bogotá.</w:t>
            </w:r>
          </w:p>
        </w:tc>
        <w:tc>
          <w:tcPr>
            <w:tcW w:w="673" w:type="pct"/>
            <w:tcMar>
              <w:top w:w="30" w:type="dxa"/>
              <w:left w:w="45" w:type="dxa"/>
              <w:bottom w:w="30" w:type="dxa"/>
              <w:right w:w="45" w:type="dxa"/>
            </w:tcMar>
            <w:vAlign w:val="center"/>
            <w:hideMark/>
          </w:tcPr>
          <w:p w14:paraId="20DE0113" w14:textId="77777777" w:rsidR="00D901BA" w:rsidRPr="00D901BA" w:rsidRDefault="00D901BA" w:rsidP="00AA4BBB">
            <w:pPr>
              <w:jc w:val="center"/>
              <w:rPr>
                <w:rFonts w:cs="Arial"/>
                <w:sz w:val="16"/>
                <w:szCs w:val="16"/>
              </w:rPr>
            </w:pPr>
            <w:r w:rsidRPr="00D901BA">
              <w:rPr>
                <w:rFonts w:cs="Arial"/>
                <w:sz w:val="16"/>
                <w:szCs w:val="16"/>
              </w:rPr>
              <w:t>4</w:t>
            </w:r>
          </w:p>
        </w:tc>
        <w:tc>
          <w:tcPr>
            <w:tcW w:w="698" w:type="pct"/>
            <w:tcMar>
              <w:top w:w="30" w:type="dxa"/>
              <w:left w:w="45" w:type="dxa"/>
              <w:bottom w:w="30" w:type="dxa"/>
              <w:right w:w="45" w:type="dxa"/>
            </w:tcMar>
            <w:vAlign w:val="center"/>
            <w:hideMark/>
          </w:tcPr>
          <w:p w14:paraId="7FDBFF2E" w14:textId="77777777" w:rsidR="00D901BA" w:rsidRPr="00D901BA" w:rsidRDefault="00D901BA" w:rsidP="00AA4BBB">
            <w:pPr>
              <w:jc w:val="center"/>
              <w:rPr>
                <w:rFonts w:cs="Arial"/>
                <w:sz w:val="16"/>
                <w:szCs w:val="16"/>
              </w:rPr>
            </w:pPr>
            <w:r w:rsidRPr="00D901BA">
              <w:rPr>
                <w:rFonts w:cs="Arial"/>
                <w:sz w:val="16"/>
                <w:szCs w:val="16"/>
              </w:rPr>
              <w:t>4</w:t>
            </w:r>
          </w:p>
        </w:tc>
        <w:tc>
          <w:tcPr>
            <w:tcW w:w="704" w:type="pct"/>
            <w:tcMar>
              <w:top w:w="30" w:type="dxa"/>
              <w:left w:w="45" w:type="dxa"/>
              <w:bottom w:w="30" w:type="dxa"/>
              <w:right w:w="45" w:type="dxa"/>
            </w:tcMar>
            <w:vAlign w:val="center"/>
            <w:hideMark/>
          </w:tcPr>
          <w:p w14:paraId="35D97A47" w14:textId="77777777" w:rsidR="00D901BA" w:rsidRPr="00D901BA" w:rsidRDefault="00D901BA" w:rsidP="00AA4BBB">
            <w:pPr>
              <w:jc w:val="center"/>
              <w:rPr>
                <w:rFonts w:cs="Arial"/>
                <w:sz w:val="16"/>
                <w:szCs w:val="16"/>
              </w:rPr>
            </w:pPr>
            <w:r w:rsidRPr="00D901BA">
              <w:rPr>
                <w:rFonts w:cs="Arial"/>
                <w:sz w:val="16"/>
                <w:szCs w:val="16"/>
              </w:rPr>
              <w:t>4</w:t>
            </w:r>
          </w:p>
        </w:tc>
        <w:tc>
          <w:tcPr>
            <w:tcW w:w="645" w:type="pct"/>
            <w:tcMar>
              <w:top w:w="30" w:type="dxa"/>
              <w:left w:w="45" w:type="dxa"/>
              <w:bottom w:w="30" w:type="dxa"/>
              <w:right w:w="45" w:type="dxa"/>
            </w:tcMar>
            <w:vAlign w:val="center"/>
            <w:hideMark/>
          </w:tcPr>
          <w:p w14:paraId="7334C54A" w14:textId="77777777" w:rsidR="00D901BA" w:rsidRPr="00D901BA" w:rsidRDefault="00D901BA" w:rsidP="00AA4BBB">
            <w:pPr>
              <w:jc w:val="center"/>
              <w:rPr>
                <w:rFonts w:cs="Arial"/>
                <w:sz w:val="16"/>
                <w:szCs w:val="16"/>
              </w:rPr>
            </w:pPr>
            <w:r w:rsidRPr="00D901BA">
              <w:rPr>
                <w:rFonts w:cs="Arial"/>
                <w:sz w:val="16"/>
                <w:szCs w:val="16"/>
              </w:rPr>
              <w:t>4</w:t>
            </w:r>
          </w:p>
        </w:tc>
        <w:tc>
          <w:tcPr>
            <w:tcW w:w="691" w:type="pct"/>
            <w:vMerge w:val="restart"/>
            <w:tcMar>
              <w:top w:w="30" w:type="dxa"/>
              <w:left w:w="45" w:type="dxa"/>
              <w:bottom w:w="30" w:type="dxa"/>
              <w:right w:w="45" w:type="dxa"/>
            </w:tcMar>
            <w:vAlign w:val="center"/>
            <w:hideMark/>
          </w:tcPr>
          <w:p w14:paraId="4A819D5F" w14:textId="77777777" w:rsidR="00D901BA" w:rsidRPr="00D901BA" w:rsidRDefault="00D901BA" w:rsidP="00AA4BBB">
            <w:pPr>
              <w:jc w:val="center"/>
              <w:rPr>
                <w:rFonts w:cs="Arial"/>
                <w:b/>
                <w:bCs/>
                <w:sz w:val="16"/>
                <w:szCs w:val="16"/>
              </w:rPr>
            </w:pPr>
            <w:r w:rsidRPr="00D901BA">
              <w:rPr>
                <w:rFonts w:cs="Arial"/>
                <w:b/>
                <w:bCs/>
                <w:sz w:val="16"/>
                <w:szCs w:val="16"/>
              </w:rPr>
              <w:t>3.749.711.320</w:t>
            </w:r>
          </w:p>
        </w:tc>
      </w:tr>
      <w:tr w:rsidR="00D901BA" w:rsidRPr="00D901BA" w14:paraId="2D2F6CEA" w14:textId="77777777" w:rsidTr="00D901BA">
        <w:trPr>
          <w:trHeight w:val="315"/>
        </w:trPr>
        <w:tc>
          <w:tcPr>
            <w:tcW w:w="1589" w:type="pct"/>
            <w:vMerge/>
            <w:vAlign w:val="center"/>
            <w:hideMark/>
          </w:tcPr>
          <w:p w14:paraId="4BCE9DC8" w14:textId="77777777" w:rsidR="00D901BA" w:rsidRPr="00D901BA" w:rsidRDefault="00D901BA" w:rsidP="00AA4BBB">
            <w:pPr>
              <w:rPr>
                <w:rFonts w:cs="Arial"/>
                <w:sz w:val="16"/>
                <w:szCs w:val="16"/>
              </w:rPr>
            </w:pPr>
          </w:p>
        </w:tc>
        <w:tc>
          <w:tcPr>
            <w:tcW w:w="673" w:type="pct"/>
            <w:tcMar>
              <w:top w:w="30" w:type="dxa"/>
              <w:left w:w="45" w:type="dxa"/>
              <w:bottom w:w="30" w:type="dxa"/>
              <w:right w:w="45" w:type="dxa"/>
            </w:tcMar>
            <w:vAlign w:val="center"/>
            <w:hideMark/>
          </w:tcPr>
          <w:p w14:paraId="5087E709" w14:textId="77777777" w:rsidR="00D901BA" w:rsidRPr="00D901BA" w:rsidRDefault="00D901BA" w:rsidP="00AA4BBB">
            <w:pPr>
              <w:jc w:val="center"/>
              <w:rPr>
                <w:rFonts w:cs="Arial"/>
                <w:sz w:val="16"/>
                <w:szCs w:val="16"/>
              </w:rPr>
            </w:pPr>
            <w:r w:rsidRPr="00D901BA">
              <w:rPr>
                <w:rFonts w:cs="Arial"/>
                <w:sz w:val="16"/>
                <w:szCs w:val="16"/>
              </w:rPr>
              <w:t>931.284.337</w:t>
            </w:r>
          </w:p>
        </w:tc>
        <w:tc>
          <w:tcPr>
            <w:tcW w:w="698" w:type="pct"/>
            <w:tcMar>
              <w:top w:w="30" w:type="dxa"/>
              <w:left w:w="45" w:type="dxa"/>
              <w:bottom w:w="30" w:type="dxa"/>
              <w:right w:w="45" w:type="dxa"/>
            </w:tcMar>
            <w:vAlign w:val="center"/>
            <w:hideMark/>
          </w:tcPr>
          <w:p w14:paraId="08B714E5" w14:textId="77777777" w:rsidR="00D901BA" w:rsidRPr="00D901BA" w:rsidRDefault="00D901BA" w:rsidP="00AA4BBB">
            <w:pPr>
              <w:jc w:val="center"/>
              <w:rPr>
                <w:rFonts w:cs="Arial"/>
                <w:sz w:val="16"/>
                <w:szCs w:val="16"/>
              </w:rPr>
            </w:pPr>
            <w:r w:rsidRPr="00D901BA">
              <w:rPr>
                <w:rFonts w:cs="Arial"/>
                <w:sz w:val="16"/>
                <w:szCs w:val="16"/>
              </w:rPr>
              <w:t>714.733.379</w:t>
            </w:r>
          </w:p>
        </w:tc>
        <w:tc>
          <w:tcPr>
            <w:tcW w:w="704" w:type="pct"/>
            <w:tcMar>
              <w:top w:w="30" w:type="dxa"/>
              <w:left w:w="45" w:type="dxa"/>
              <w:bottom w:w="30" w:type="dxa"/>
              <w:right w:w="45" w:type="dxa"/>
            </w:tcMar>
            <w:vAlign w:val="center"/>
            <w:hideMark/>
          </w:tcPr>
          <w:p w14:paraId="72A959BF" w14:textId="77777777" w:rsidR="00D901BA" w:rsidRPr="00D901BA" w:rsidRDefault="00D901BA" w:rsidP="00AA4BBB">
            <w:pPr>
              <w:jc w:val="center"/>
              <w:rPr>
                <w:rFonts w:cs="Arial"/>
                <w:sz w:val="16"/>
                <w:szCs w:val="16"/>
              </w:rPr>
            </w:pPr>
            <w:r w:rsidRPr="00D901BA">
              <w:rPr>
                <w:rFonts w:cs="Arial"/>
                <w:sz w:val="16"/>
                <w:szCs w:val="16"/>
              </w:rPr>
              <w:t>944.822.701</w:t>
            </w:r>
          </w:p>
        </w:tc>
        <w:tc>
          <w:tcPr>
            <w:tcW w:w="645" w:type="pct"/>
            <w:tcMar>
              <w:top w:w="30" w:type="dxa"/>
              <w:left w:w="45" w:type="dxa"/>
              <w:bottom w:w="30" w:type="dxa"/>
              <w:right w:w="45" w:type="dxa"/>
            </w:tcMar>
            <w:vAlign w:val="center"/>
            <w:hideMark/>
          </w:tcPr>
          <w:p w14:paraId="65E4FC4E" w14:textId="77777777" w:rsidR="00D901BA" w:rsidRPr="00D901BA" w:rsidRDefault="00D901BA" w:rsidP="00AA4BBB">
            <w:pPr>
              <w:jc w:val="center"/>
              <w:rPr>
                <w:rFonts w:cs="Arial"/>
                <w:sz w:val="16"/>
                <w:szCs w:val="16"/>
              </w:rPr>
            </w:pPr>
            <w:r w:rsidRPr="00D901BA">
              <w:rPr>
                <w:rFonts w:cs="Arial"/>
                <w:sz w:val="16"/>
                <w:szCs w:val="16"/>
              </w:rPr>
              <w:t>1.158.870.904</w:t>
            </w:r>
          </w:p>
        </w:tc>
        <w:tc>
          <w:tcPr>
            <w:tcW w:w="691" w:type="pct"/>
            <w:vMerge/>
            <w:vAlign w:val="center"/>
            <w:hideMark/>
          </w:tcPr>
          <w:p w14:paraId="1CB0295C" w14:textId="77777777" w:rsidR="00D901BA" w:rsidRPr="00D901BA" w:rsidRDefault="00D901BA" w:rsidP="00AA4BBB">
            <w:pPr>
              <w:rPr>
                <w:rFonts w:cs="Arial"/>
                <w:b/>
                <w:bCs/>
                <w:sz w:val="16"/>
                <w:szCs w:val="16"/>
              </w:rPr>
            </w:pPr>
          </w:p>
        </w:tc>
      </w:tr>
      <w:tr w:rsidR="00B6102E" w:rsidRPr="00D901BA" w14:paraId="11097AF9" w14:textId="77777777" w:rsidTr="00B6102E">
        <w:trPr>
          <w:trHeight w:val="315"/>
        </w:trPr>
        <w:tc>
          <w:tcPr>
            <w:tcW w:w="1589" w:type="pct"/>
            <w:vMerge w:val="restart"/>
            <w:tcMar>
              <w:top w:w="30" w:type="dxa"/>
              <w:left w:w="45" w:type="dxa"/>
              <w:bottom w:w="30" w:type="dxa"/>
              <w:right w:w="45" w:type="dxa"/>
            </w:tcMar>
            <w:vAlign w:val="center"/>
            <w:hideMark/>
          </w:tcPr>
          <w:p w14:paraId="0F721338" w14:textId="77777777" w:rsidR="00B6102E" w:rsidRPr="00D901BA" w:rsidRDefault="00B6102E" w:rsidP="00AA4BBB">
            <w:pPr>
              <w:rPr>
                <w:rFonts w:cs="Arial"/>
                <w:sz w:val="16"/>
                <w:szCs w:val="16"/>
              </w:rPr>
            </w:pPr>
            <w:r w:rsidRPr="00D901BA">
              <w:rPr>
                <w:rFonts w:cs="Arial"/>
                <w:sz w:val="16"/>
                <w:szCs w:val="16"/>
              </w:rPr>
              <w:t>Implementar un (1) modelo de seguimiento y rectoría para las políticas públicas en materia de población vulnerable y desarrollo rural a cargo de la SDP.</w:t>
            </w:r>
          </w:p>
        </w:tc>
        <w:tc>
          <w:tcPr>
            <w:tcW w:w="673" w:type="pct"/>
            <w:tcMar>
              <w:top w:w="30" w:type="dxa"/>
              <w:left w:w="45" w:type="dxa"/>
              <w:bottom w:w="30" w:type="dxa"/>
              <w:right w:w="45" w:type="dxa"/>
            </w:tcMar>
            <w:vAlign w:val="center"/>
          </w:tcPr>
          <w:p w14:paraId="26580664" w14:textId="74ABFAC9" w:rsidR="00B6102E" w:rsidRPr="00D901BA" w:rsidRDefault="00C64667" w:rsidP="00AA4BBB">
            <w:pPr>
              <w:jc w:val="center"/>
              <w:rPr>
                <w:rFonts w:cs="Arial"/>
                <w:sz w:val="16"/>
                <w:szCs w:val="16"/>
              </w:rPr>
            </w:pPr>
            <w:r>
              <w:rPr>
                <w:rFonts w:cs="Arial"/>
                <w:sz w:val="16"/>
                <w:szCs w:val="16"/>
              </w:rPr>
              <w:t>0,25</w:t>
            </w:r>
          </w:p>
        </w:tc>
        <w:tc>
          <w:tcPr>
            <w:tcW w:w="698" w:type="pct"/>
            <w:tcMar>
              <w:top w:w="30" w:type="dxa"/>
              <w:left w:w="45" w:type="dxa"/>
              <w:bottom w:w="30" w:type="dxa"/>
              <w:right w:w="45" w:type="dxa"/>
            </w:tcMar>
            <w:vAlign w:val="center"/>
          </w:tcPr>
          <w:p w14:paraId="19F9E2E7" w14:textId="7574F199" w:rsidR="00B6102E" w:rsidRPr="00D901BA" w:rsidRDefault="00C64667" w:rsidP="00AA4BBB">
            <w:pPr>
              <w:jc w:val="center"/>
              <w:rPr>
                <w:rFonts w:cs="Arial"/>
                <w:sz w:val="16"/>
                <w:szCs w:val="16"/>
              </w:rPr>
            </w:pPr>
            <w:r>
              <w:rPr>
                <w:rFonts w:cs="Arial"/>
                <w:sz w:val="16"/>
                <w:szCs w:val="16"/>
              </w:rPr>
              <w:t>0,41</w:t>
            </w:r>
          </w:p>
        </w:tc>
        <w:tc>
          <w:tcPr>
            <w:tcW w:w="704" w:type="pct"/>
            <w:tcMar>
              <w:top w:w="30" w:type="dxa"/>
              <w:left w:w="45" w:type="dxa"/>
              <w:bottom w:w="30" w:type="dxa"/>
              <w:right w:w="45" w:type="dxa"/>
            </w:tcMar>
            <w:vAlign w:val="center"/>
          </w:tcPr>
          <w:p w14:paraId="228270B7" w14:textId="26AC0ACE" w:rsidR="00B6102E" w:rsidRPr="00D901BA" w:rsidRDefault="00C64667" w:rsidP="00AA4BBB">
            <w:pPr>
              <w:jc w:val="center"/>
              <w:rPr>
                <w:rFonts w:cs="Arial"/>
                <w:sz w:val="16"/>
                <w:szCs w:val="16"/>
              </w:rPr>
            </w:pPr>
            <w:r>
              <w:rPr>
                <w:rFonts w:cs="Arial"/>
                <w:sz w:val="16"/>
                <w:szCs w:val="16"/>
              </w:rPr>
              <w:t>0,71</w:t>
            </w:r>
          </w:p>
        </w:tc>
        <w:tc>
          <w:tcPr>
            <w:tcW w:w="645" w:type="pct"/>
            <w:tcMar>
              <w:top w:w="30" w:type="dxa"/>
              <w:left w:w="45" w:type="dxa"/>
              <w:bottom w:w="30" w:type="dxa"/>
              <w:right w:w="45" w:type="dxa"/>
            </w:tcMar>
            <w:vAlign w:val="center"/>
            <w:hideMark/>
          </w:tcPr>
          <w:p w14:paraId="012AEA2F" w14:textId="4B30AEA7" w:rsidR="00B6102E" w:rsidRPr="00D901BA" w:rsidRDefault="00C64667" w:rsidP="00AA4BBB">
            <w:pPr>
              <w:jc w:val="center"/>
              <w:rPr>
                <w:rFonts w:cs="Arial"/>
                <w:sz w:val="16"/>
                <w:szCs w:val="16"/>
              </w:rPr>
            </w:pPr>
            <w:r>
              <w:rPr>
                <w:rFonts w:cs="Arial"/>
                <w:sz w:val="16"/>
                <w:szCs w:val="16"/>
              </w:rPr>
              <w:t>1</w:t>
            </w:r>
          </w:p>
        </w:tc>
        <w:tc>
          <w:tcPr>
            <w:tcW w:w="691" w:type="pct"/>
            <w:vMerge w:val="restart"/>
            <w:tcMar>
              <w:top w:w="30" w:type="dxa"/>
              <w:left w:w="45" w:type="dxa"/>
              <w:bottom w:w="30" w:type="dxa"/>
              <w:right w:w="45" w:type="dxa"/>
            </w:tcMar>
            <w:vAlign w:val="center"/>
            <w:hideMark/>
          </w:tcPr>
          <w:p w14:paraId="6666CE69" w14:textId="77777777" w:rsidR="00B6102E" w:rsidRPr="00D901BA" w:rsidRDefault="00B6102E" w:rsidP="00AA4BBB">
            <w:pPr>
              <w:jc w:val="center"/>
              <w:rPr>
                <w:rFonts w:cs="Arial"/>
                <w:b/>
                <w:bCs/>
                <w:sz w:val="16"/>
                <w:szCs w:val="16"/>
              </w:rPr>
            </w:pPr>
            <w:r w:rsidRPr="00D901BA">
              <w:rPr>
                <w:rFonts w:cs="Arial"/>
                <w:b/>
                <w:bCs/>
                <w:sz w:val="16"/>
                <w:szCs w:val="16"/>
              </w:rPr>
              <w:t>10.823.373.968</w:t>
            </w:r>
          </w:p>
        </w:tc>
      </w:tr>
      <w:tr w:rsidR="00DD7C1A" w:rsidRPr="00D901BA" w14:paraId="59D20550" w14:textId="77777777" w:rsidTr="00B6102E">
        <w:trPr>
          <w:trHeight w:val="315"/>
        </w:trPr>
        <w:tc>
          <w:tcPr>
            <w:tcW w:w="1589" w:type="pct"/>
            <w:vMerge/>
            <w:tcBorders>
              <w:bottom w:val="double" w:sz="4" w:space="0" w:color="C00000"/>
            </w:tcBorders>
            <w:tcMar>
              <w:top w:w="30" w:type="dxa"/>
              <w:left w:w="45" w:type="dxa"/>
              <w:bottom w:w="30" w:type="dxa"/>
              <w:right w:w="45" w:type="dxa"/>
            </w:tcMar>
            <w:vAlign w:val="center"/>
          </w:tcPr>
          <w:p w14:paraId="22924B17" w14:textId="77777777" w:rsidR="00DD7C1A" w:rsidRPr="00D901BA" w:rsidRDefault="00DD7C1A" w:rsidP="00DD7C1A">
            <w:pPr>
              <w:rPr>
                <w:rFonts w:cs="Arial"/>
                <w:sz w:val="16"/>
                <w:szCs w:val="16"/>
              </w:rPr>
            </w:pPr>
          </w:p>
        </w:tc>
        <w:tc>
          <w:tcPr>
            <w:tcW w:w="673" w:type="pct"/>
            <w:tcBorders>
              <w:bottom w:val="double" w:sz="4" w:space="0" w:color="C00000"/>
            </w:tcBorders>
            <w:tcMar>
              <w:top w:w="30" w:type="dxa"/>
              <w:left w:w="45" w:type="dxa"/>
              <w:bottom w:w="30" w:type="dxa"/>
              <w:right w:w="45" w:type="dxa"/>
            </w:tcMar>
            <w:vAlign w:val="center"/>
          </w:tcPr>
          <w:p w14:paraId="61576FD8" w14:textId="2839FAD3" w:rsidR="00DD7C1A" w:rsidRPr="00D901BA" w:rsidRDefault="00DD7C1A" w:rsidP="00DD7C1A">
            <w:pPr>
              <w:jc w:val="center"/>
              <w:rPr>
                <w:rFonts w:cs="Arial"/>
                <w:sz w:val="16"/>
                <w:szCs w:val="16"/>
              </w:rPr>
            </w:pPr>
            <w:r w:rsidRPr="00DD7C1A">
              <w:rPr>
                <w:rFonts w:cs="Arial"/>
                <w:sz w:val="16"/>
                <w:szCs w:val="16"/>
              </w:rPr>
              <w:t>2.882.852.377</w:t>
            </w:r>
          </w:p>
        </w:tc>
        <w:tc>
          <w:tcPr>
            <w:tcW w:w="698" w:type="pct"/>
            <w:tcBorders>
              <w:bottom w:val="double" w:sz="4" w:space="0" w:color="C00000"/>
            </w:tcBorders>
            <w:tcMar>
              <w:top w:w="30" w:type="dxa"/>
              <w:left w:w="45" w:type="dxa"/>
              <w:bottom w:w="30" w:type="dxa"/>
              <w:right w:w="45" w:type="dxa"/>
            </w:tcMar>
            <w:vAlign w:val="center"/>
          </w:tcPr>
          <w:p w14:paraId="726A9E09" w14:textId="7D203617" w:rsidR="00DD7C1A" w:rsidRPr="00D901BA" w:rsidRDefault="00DD7C1A" w:rsidP="00DD7C1A">
            <w:pPr>
              <w:jc w:val="center"/>
              <w:rPr>
                <w:rFonts w:cs="Arial"/>
                <w:sz w:val="16"/>
                <w:szCs w:val="16"/>
              </w:rPr>
            </w:pPr>
            <w:r w:rsidRPr="00DD7C1A">
              <w:rPr>
                <w:rFonts w:cs="Arial"/>
                <w:sz w:val="16"/>
                <w:szCs w:val="16"/>
              </w:rPr>
              <w:t>2.252.906.437</w:t>
            </w:r>
          </w:p>
        </w:tc>
        <w:tc>
          <w:tcPr>
            <w:tcW w:w="704" w:type="pct"/>
            <w:tcBorders>
              <w:bottom w:val="double" w:sz="4" w:space="0" w:color="C00000"/>
            </w:tcBorders>
            <w:tcMar>
              <w:top w:w="30" w:type="dxa"/>
              <w:left w:w="45" w:type="dxa"/>
              <w:bottom w:w="30" w:type="dxa"/>
              <w:right w:w="45" w:type="dxa"/>
            </w:tcMar>
            <w:vAlign w:val="center"/>
          </w:tcPr>
          <w:p w14:paraId="7F3DC709" w14:textId="2E758F0C" w:rsidR="00DD7C1A" w:rsidRPr="00D901BA" w:rsidRDefault="00DD7C1A" w:rsidP="00DD7C1A">
            <w:pPr>
              <w:jc w:val="center"/>
              <w:rPr>
                <w:rFonts w:cs="Arial"/>
                <w:sz w:val="16"/>
                <w:szCs w:val="16"/>
              </w:rPr>
            </w:pPr>
            <w:r w:rsidRPr="00DD7C1A">
              <w:rPr>
                <w:rFonts w:cs="Arial"/>
                <w:sz w:val="16"/>
                <w:szCs w:val="16"/>
              </w:rPr>
              <w:t>2.671.579.096</w:t>
            </w:r>
          </w:p>
        </w:tc>
        <w:tc>
          <w:tcPr>
            <w:tcW w:w="645" w:type="pct"/>
            <w:tcBorders>
              <w:bottom w:val="double" w:sz="4" w:space="0" w:color="C00000"/>
            </w:tcBorders>
            <w:tcMar>
              <w:top w:w="30" w:type="dxa"/>
              <w:left w:w="45" w:type="dxa"/>
              <w:bottom w:w="30" w:type="dxa"/>
              <w:right w:w="45" w:type="dxa"/>
            </w:tcMar>
            <w:vAlign w:val="center"/>
          </w:tcPr>
          <w:p w14:paraId="0009A992" w14:textId="6EFD9CB8" w:rsidR="00DD7C1A" w:rsidRPr="00D901BA" w:rsidRDefault="00DD7C1A" w:rsidP="00DD7C1A">
            <w:pPr>
              <w:jc w:val="center"/>
              <w:rPr>
                <w:rFonts w:cs="Arial"/>
                <w:sz w:val="16"/>
                <w:szCs w:val="16"/>
              </w:rPr>
            </w:pPr>
            <w:r w:rsidRPr="00DD7C1A">
              <w:rPr>
                <w:rFonts w:cs="Arial"/>
                <w:sz w:val="16"/>
                <w:szCs w:val="16"/>
              </w:rPr>
              <w:t>3.016.036.058</w:t>
            </w:r>
          </w:p>
        </w:tc>
        <w:tc>
          <w:tcPr>
            <w:tcW w:w="691" w:type="pct"/>
            <w:vMerge/>
            <w:tcBorders>
              <w:bottom w:val="double" w:sz="4" w:space="0" w:color="C00000"/>
            </w:tcBorders>
            <w:tcMar>
              <w:top w:w="30" w:type="dxa"/>
              <w:left w:w="45" w:type="dxa"/>
              <w:bottom w:w="30" w:type="dxa"/>
              <w:right w:w="45" w:type="dxa"/>
            </w:tcMar>
            <w:vAlign w:val="center"/>
          </w:tcPr>
          <w:p w14:paraId="0DBAFEEA" w14:textId="77777777" w:rsidR="00DD7C1A" w:rsidRPr="00D901BA" w:rsidRDefault="00DD7C1A" w:rsidP="00DD7C1A">
            <w:pPr>
              <w:jc w:val="center"/>
              <w:rPr>
                <w:rFonts w:cs="Arial"/>
                <w:b/>
                <w:bCs/>
                <w:sz w:val="16"/>
                <w:szCs w:val="16"/>
              </w:rPr>
            </w:pPr>
          </w:p>
        </w:tc>
      </w:tr>
    </w:tbl>
    <w:p w14:paraId="1C419D5F" w14:textId="77777777" w:rsidR="004A0431" w:rsidRDefault="004A0431" w:rsidP="00D901BA">
      <w:pPr>
        <w:rPr>
          <w:b/>
          <w:bCs/>
          <w:iCs/>
          <w:color w:val="C00000"/>
          <w:sz w:val="28"/>
          <w:szCs w:val="28"/>
        </w:rPr>
      </w:pPr>
      <w:r>
        <w:rPr>
          <w:b/>
          <w:bCs/>
          <w:iCs/>
          <w:color w:val="C00000"/>
          <w:sz w:val="28"/>
          <w:szCs w:val="28"/>
        </w:rPr>
        <w:br w:type="page"/>
      </w:r>
    </w:p>
    <w:p w14:paraId="17C54A29" w14:textId="59F9C66F" w:rsidR="00B14E38" w:rsidRPr="00B3701D" w:rsidRDefault="00B14E38" w:rsidP="007D2E8A">
      <w:pPr>
        <w:pStyle w:val="NIVEL4"/>
      </w:pPr>
      <w:bookmarkStart w:id="278" w:name="_Toc165169772"/>
      <w:r w:rsidRPr="00B3701D">
        <w:rPr>
          <w:color w:val="C00000"/>
        </w:rPr>
        <w:lastRenderedPageBreak/>
        <w:t>Programa 13</w:t>
      </w:r>
      <w:r w:rsidR="007D2E8A">
        <w:rPr>
          <w:color w:val="C00000"/>
        </w:rPr>
        <w:t>:</w:t>
      </w:r>
      <w:r w:rsidRPr="00B3701D">
        <w:rPr>
          <w:color w:val="C00000"/>
        </w:rPr>
        <w:t xml:space="preserve"> </w:t>
      </w:r>
      <w:r w:rsidRPr="00B3701D">
        <w:t>Bogotá, un territorio de paz y reconciliación</w:t>
      </w:r>
      <w:r w:rsidR="004A0431">
        <w:t xml:space="preserve"> </w:t>
      </w:r>
      <w:r w:rsidRPr="00B3701D">
        <w:t>donde todos puedan</w:t>
      </w:r>
      <w:r w:rsidR="004A0431">
        <w:t xml:space="preserve"> </w:t>
      </w:r>
      <w:r w:rsidRPr="00B3701D">
        <w:t>volver a empezar</w:t>
      </w:r>
      <w:bookmarkEnd w:id="278"/>
    </w:p>
    <w:p w14:paraId="06BAB9B3" w14:textId="77777777" w:rsidR="00B14E38" w:rsidRPr="00B3701D" w:rsidRDefault="00B14E38" w:rsidP="00DD4513"/>
    <w:p w14:paraId="4472C159" w14:textId="1CC6B011" w:rsidR="00B14E38" w:rsidRPr="00DD4513" w:rsidRDefault="00B14E38" w:rsidP="00DD4513">
      <w:pPr>
        <w:ind w:firstLine="708"/>
        <w:rPr>
          <w:b/>
          <w:bCs/>
          <w:sz w:val="24"/>
          <w:szCs w:val="28"/>
        </w:rPr>
      </w:pPr>
      <w:r w:rsidRPr="00DD4513">
        <w:rPr>
          <w:b/>
          <w:bCs/>
          <w:sz w:val="24"/>
          <w:szCs w:val="28"/>
        </w:rPr>
        <w:t>Diagnóstico</w:t>
      </w:r>
    </w:p>
    <w:p w14:paraId="01704B74"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6DFCC28A" w14:textId="77777777" w:rsidR="00DD4513" w:rsidRPr="00DD4513" w:rsidRDefault="00DD4513" w:rsidP="00DD4513">
      <w:pPr>
        <w:rPr>
          <w:spacing w:val="-8"/>
        </w:rPr>
      </w:pPr>
      <w:r w:rsidRPr="00DD4513">
        <w:rPr>
          <w:spacing w:val="-8"/>
        </w:rPr>
        <w:t>Bogotá no ha sido ajena a las consecuencias del conflicto armado. La violencia impactó de manera desproporcionada ciertos territorios de la ciudad, como las localidades de Kennedy, Ciudad Bolívar, Bosa, Suba, Usme y Sumapaz, lo cual generó cambios en las dinámicas sociales, brechas de desarrollo, estigmatización a ciertas poblaciones y una ruptura del tejido social.</w:t>
      </w:r>
    </w:p>
    <w:p w14:paraId="14C023D8" w14:textId="77777777" w:rsidR="00DD4513" w:rsidRPr="00DD4513" w:rsidRDefault="00DD4513" w:rsidP="00DD4513">
      <w:pPr>
        <w:rPr>
          <w:spacing w:val="-8"/>
        </w:rPr>
      </w:pPr>
    </w:p>
    <w:p w14:paraId="2A2BC4C0" w14:textId="77777777" w:rsidR="00DD4513" w:rsidRPr="00DD4513" w:rsidRDefault="00DD4513" w:rsidP="00DD4513">
      <w:pPr>
        <w:rPr>
          <w:spacing w:val="-8"/>
        </w:rPr>
      </w:pPr>
      <w:r w:rsidRPr="00DD4513">
        <w:rPr>
          <w:spacing w:val="-8"/>
        </w:rPr>
        <w:t xml:space="preserve">Con la firma del acuerdo de paz, en 2016, Bogotá asumió el compromiso de territorializar las disposiciones del acuerdo en un contexto de ciudad, con el objetivo de buscar la máxima satisfacción de los derechos de las víctimas, generar condiciones para una efectiva reintegración o reincorporación de </w:t>
      </w:r>
      <w:r w:rsidRPr="00DD4513">
        <w:rPr>
          <w:spacing w:val="-8"/>
        </w:rPr>
        <w:t>excombatientes y promover el desarrollo territorial de los lugares más impactados por la guerra.</w:t>
      </w:r>
    </w:p>
    <w:p w14:paraId="6C27C4D3" w14:textId="77777777" w:rsidR="00DD4513" w:rsidRPr="00DD4513" w:rsidRDefault="00DD4513" w:rsidP="00DD4513">
      <w:pPr>
        <w:rPr>
          <w:spacing w:val="-8"/>
        </w:rPr>
      </w:pPr>
    </w:p>
    <w:p w14:paraId="31CCFD3D" w14:textId="28F3A4C2" w:rsidR="00B14E38" w:rsidRPr="00B27FD9" w:rsidRDefault="00DD4513" w:rsidP="00DD4513">
      <w:pPr>
        <w:rPr>
          <w:spacing w:val="-8"/>
          <w:highlight w:val="white"/>
        </w:rPr>
      </w:pPr>
      <w:r w:rsidRPr="00DD4513">
        <w:rPr>
          <w:spacing w:val="-8"/>
        </w:rPr>
        <w:t>De acuerdo con cifras de la Unidad para la Atención y Reparación Integral de Víctimas (UARIV), con corte a diciembre de 2023, en el Distrito hay 377.830 víctimas registradas, de las cuales 336.712 son víctimas de desplazamiento forzado; en el último trimestre de 2023, este hecho presentó un aumento del 1,91</w:t>
      </w:r>
      <w:r w:rsidRPr="00DD4513">
        <w:rPr>
          <w:rFonts w:ascii="Arial" w:hAnsi="Arial" w:cs="Arial"/>
          <w:spacing w:val="-8"/>
        </w:rPr>
        <w:t> </w:t>
      </w:r>
      <w:r w:rsidRPr="00DD4513">
        <w:rPr>
          <w:spacing w:val="-8"/>
        </w:rPr>
        <w:t xml:space="preserve">% respecto al trimestre anterior. La </w:t>
      </w:r>
      <w:r w:rsidRPr="00DD4513">
        <w:rPr>
          <w:spacing w:val="-8"/>
        </w:rPr>
        <w:fldChar w:fldCharType="begin"/>
      </w:r>
      <w:r w:rsidRPr="00DD4513">
        <w:rPr>
          <w:spacing w:val="-8"/>
        </w:rPr>
        <w:instrText xml:space="preserve"> REF _Ref165131819 \h </w:instrText>
      </w:r>
      <w:r w:rsidRPr="00DD4513">
        <w:rPr>
          <w:spacing w:val="-8"/>
        </w:rPr>
      </w:r>
      <w:r w:rsidRPr="00DD4513">
        <w:rPr>
          <w:spacing w:val="-8"/>
        </w:rPr>
        <w:fldChar w:fldCharType="separate"/>
      </w:r>
      <w:r w:rsidR="00D01651" w:rsidRPr="00DD4513">
        <w:rPr>
          <w:color w:val="C00000"/>
          <w:sz w:val="18"/>
          <w:szCs w:val="14"/>
        </w:rPr>
        <w:t xml:space="preserve">Gráfica </w:t>
      </w:r>
      <w:r w:rsidR="00D01651">
        <w:rPr>
          <w:noProof/>
          <w:color w:val="C00000"/>
          <w:sz w:val="18"/>
          <w:szCs w:val="14"/>
        </w:rPr>
        <w:t>37</w:t>
      </w:r>
      <w:r w:rsidRPr="00DD4513">
        <w:rPr>
          <w:spacing w:val="-8"/>
        </w:rPr>
        <w:fldChar w:fldCharType="end"/>
      </w:r>
      <w:r>
        <w:rPr>
          <w:spacing w:val="-8"/>
        </w:rPr>
        <w:t xml:space="preserve"> </w:t>
      </w:r>
      <w:r w:rsidRPr="00DD4513">
        <w:rPr>
          <w:spacing w:val="-8"/>
        </w:rPr>
        <w:t>muestra el n</w:t>
      </w:r>
      <w:r w:rsidRPr="00DD4513">
        <w:rPr>
          <w:rFonts w:cs="Candara"/>
          <w:spacing w:val="-8"/>
        </w:rPr>
        <w:t>ú</w:t>
      </w:r>
      <w:r w:rsidRPr="00DD4513">
        <w:rPr>
          <w:spacing w:val="-8"/>
        </w:rPr>
        <w:t>mero de v</w:t>
      </w:r>
      <w:r w:rsidRPr="00DD4513">
        <w:rPr>
          <w:rFonts w:cs="Candara"/>
          <w:spacing w:val="-8"/>
        </w:rPr>
        <w:t>í</w:t>
      </w:r>
      <w:r w:rsidRPr="00DD4513">
        <w:rPr>
          <w:spacing w:val="-8"/>
        </w:rPr>
        <w:t>ctimas ubicadas en Bogot</w:t>
      </w:r>
      <w:r w:rsidRPr="00DD4513">
        <w:rPr>
          <w:rFonts w:cs="Candara"/>
          <w:spacing w:val="-8"/>
        </w:rPr>
        <w:t>á</w:t>
      </w:r>
      <w:r w:rsidRPr="00DD4513">
        <w:rPr>
          <w:spacing w:val="-8"/>
        </w:rPr>
        <w:t xml:space="preserve"> desde enero de 2020 hasta diciembre de 2023</w:t>
      </w:r>
      <w:r w:rsidR="00B14E38" w:rsidRPr="00B27FD9">
        <w:rPr>
          <w:spacing w:val="-8"/>
          <w:highlight w:val="white"/>
        </w:rPr>
        <w:t>.</w:t>
      </w:r>
    </w:p>
    <w:p w14:paraId="201BDCE3" w14:textId="77777777" w:rsidR="00B14E38" w:rsidRDefault="00B14E38" w:rsidP="00B14E38">
      <w:pPr>
        <w:rPr>
          <w:highlight w:val="white"/>
        </w:rPr>
      </w:pPr>
    </w:p>
    <w:p w14:paraId="67F5AE21" w14:textId="77777777" w:rsidR="00B14E38" w:rsidRDefault="00B14E38" w:rsidP="00B14E38">
      <w:pPr>
        <w:rPr>
          <w:highlight w:val="white"/>
        </w:rPr>
      </w:pPr>
    </w:p>
    <w:p w14:paraId="572614A2" w14:textId="77777777" w:rsidR="00B14E38" w:rsidRDefault="00B14E38" w:rsidP="00B14E38">
      <w:pPr>
        <w:rPr>
          <w:highlight w:val="white"/>
        </w:rPr>
        <w:sectPr w:rsidR="00B14E38" w:rsidSect="00F7078E">
          <w:type w:val="continuous"/>
          <w:pgSz w:w="12240" w:h="15840"/>
          <w:pgMar w:top="2262" w:right="1440" w:bottom="1440" w:left="1440" w:header="708" w:footer="680" w:gutter="0"/>
          <w:cols w:num="2" w:space="720"/>
          <w:docGrid w:linePitch="299"/>
        </w:sectPr>
      </w:pPr>
    </w:p>
    <w:p w14:paraId="723B52E1" w14:textId="77777777" w:rsidR="00B14E38" w:rsidRPr="00B944E8" w:rsidRDefault="00B14E38" w:rsidP="00B14E38">
      <w:pPr>
        <w:rPr>
          <w:highlight w:val="white"/>
        </w:rPr>
      </w:pPr>
    </w:p>
    <w:p w14:paraId="68E787A2" w14:textId="13FFF9BC" w:rsidR="004A0431" w:rsidRDefault="004A0431" w:rsidP="00B14E38">
      <w:pPr>
        <w:spacing w:line="480" w:lineRule="auto"/>
        <w:rPr>
          <w:rFonts w:ascii="Times New Roman" w:hAnsi="Times New Roman"/>
          <w:sz w:val="24"/>
          <w:highlight w:val="white"/>
        </w:rPr>
        <w:sectPr w:rsidR="004A0431" w:rsidSect="00F7078E">
          <w:type w:val="continuous"/>
          <w:pgSz w:w="12240" w:h="15840"/>
          <w:pgMar w:top="2262" w:right="1440" w:bottom="1440" w:left="1440" w:header="708" w:footer="680" w:gutter="0"/>
          <w:cols w:num="2" w:space="720"/>
          <w:docGrid w:linePitch="299"/>
        </w:sectPr>
      </w:pPr>
    </w:p>
    <w:p w14:paraId="0341CFA9" w14:textId="771D083B" w:rsidR="00B14E38" w:rsidRPr="00DD4513" w:rsidRDefault="00DD4513" w:rsidP="00DD4513">
      <w:pPr>
        <w:pStyle w:val="Descripcin"/>
        <w:jc w:val="center"/>
        <w:rPr>
          <w:sz w:val="18"/>
          <w:szCs w:val="14"/>
        </w:rPr>
      </w:pPr>
      <w:bookmarkStart w:id="279" w:name="_Ref165131819"/>
      <w:bookmarkStart w:id="280" w:name="_Toc165169863"/>
      <w:r w:rsidRPr="00DD4513">
        <w:rPr>
          <w:color w:val="C00000"/>
          <w:sz w:val="18"/>
          <w:szCs w:val="14"/>
        </w:rPr>
        <w:t xml:space="preserve">Gráfica </w:t>
      </w:r>
      <w:r w:rsidRPr="00DD4513">
        <w:rPr>
          <w:color w:val="C00000"/>
          <w:sz w:val="18"/>
          <w:szCs w:val="14"/>
        </w:rPr>
        <w:fldChar w:fldCharType="begin"/>
      </w:r>
      <w:r w:rsidRPr="00DD4513">
        <w:rPr>
          <w:color w:val="C00000"/>
          <w:sz w:val="18"/>
          <w:szCs w:val="14"/>
        </w:rPr>
        <w:instrText xml:space="preserve"> SEQ Gráfica \* ARABIC </w:instrText>
      </w:r>
      <w:r w:rsidRPr="00DD4513">
        <w:rPr>
          <w:color w:val="C00000"/>
          <w:sz w:val="18"/>
          <w:szCs w:val="14"/>
        </w:rPr>
        <w:fldChar w:fldCharType="separate"/>
      </w:r>
      <w:r w:rsidR="00D01651">
        <w:rPr>
          <w:noProof/>
          <w:color w:val="C00000"/>
          <w:sz w:val="18"/>
          <w:szCs w:val="14"/>
        </w:rPr>
        <w:t>37</w:t>
      </w:r>
      <w:r w:rsidRPr="00DD4513">
        <w:rPr>
          <w:color w:val="C00000"/>
          <w:sz w:val="18"/>
          <w:szCs w:val="14"/>
        </w:rPr>
        <w:fldChar w:fldCharType="end"/>
      </w:r>
      <w:bookmarkEnd w:id="279"/>
      <w:r w:rsidRPr="00DD4513">
        <w:rPr>
          <w:noProof/>
          <w:color w:val="C00000"/>
          <w:sz w:val="18"/>
          <w:szCs w:val="14"/>
        </w:rPr>
        <w:t xml:space="preserve">. </w:t>
      </w:r>
      <w:r w:rsidR="00B14E38" w:rsidRPr="00DD4513">
        <w:rPr>
          <w:sz w:val="18"/>
          <w:szCs w:val="14"/>
        </w:rPr>
        <w:t>Víctimas del conflicto ubicadas en Bogotá, D. C.</w:t>
      </w:r>
      <w:bookmarkEnd w:id="280"/>
    </w:p>
    <w:p w14:paraId="7FAB9CA5" w14:textId="77777777" w:rsidR="00DD4513" w:rsidRDefault="00DD4513" w:rsidP="00B14E38">
      <w:pPr>
        <w:pStyle w:val="figuratitulo"/>
        <w:rPr>
          <w:color w:val="3B3838" w:themeColor="background2" w:themeShade="40"/>
        </w:rPr>
        <w:sectPr w:rsidR="00DD4513" w:rsidSect="00F7078E">
          <w:type w:val="continuous"/>
          <w:pgSz w:w="12240" w:h="15840"/>
          <w:pgMar w:top="2262" w:right="1440" w:bottom="1440" w:left="1440" w:header="708" w:footer="680" w:gutter="0"/>
          <w:cols w:space="567"/>
          <w:docGrid w:linePitch="299"/>
        </w:sectPr>
      </w:pPr>
    </w:p>
    <w:p w14:paraId="0EC8469D" w14:textId="77777777" w:rsidR="00B14E38" w:rsidRPr="00B27FD9" w:rsidRDefault="00B14E38" w:rsidP="00B14E38">
      <w:pPr>
        <w:pStyle w:val="figuratitulo"/>
        <w:rPr>
          <w:color w:val="3B3838" w:themeColor="background2" w:themeShade="40"/>
        </w:rPr>
      </w:pPr>
    </w:p>
    <w:p w14:paraId="552D0F1F" w14:textId="77777777" w:rsidR="00DD4513" w:rsidRDefault="00DD4513" w:rsidP="00B14E38">
      <w:pPr>
        <w:spacing w:line="480" w:lineRule="auto"/>
        <w:jc w:val="center"/>
        <w:rPr>
          <w:sz w:val="18"/>
          <w:szCs w:val="18"/>
        </w:rPr>
        <w:sectPr w:rsidR="00DD4513" w:rsidSect="00F7078E">
          <w:type w:val="continuous"/>
          <w:pgSz w:w="12240" w:h="15840"/>
          <w:pgMar w:top="2262" w:right="1440" w:bottom="1440" w:left="1440" w:header="708" w:footer="680" w:gutter="0"/>
          <w:cols w:num="2" w:space="567"/>
          <w:docGrid w:linePitch="299"/>
        </w:sectPr>
      </w:pPr>
    </w:p>
    <w:p w14:paraId="0778958B" w14:textId="008539B5" w:rsidR="00F4667C" w:rsidRPr="00B27FD9" w:rsidRDefault="00B14E38" w:rsidP="00F4667C">
      <w:pPr>
        <w:spacing w:line="240" w:lineRule="auto"/>
        <w:jc w:val="center"/>
        <w:rPr>
          <w:sz w:val="18"/>
          <w:szCs w:val="18"/>
        </w:rPr>
      </w:pPr>
      <w:r w:rsidRPr="00B944E8">
        <w:rPr>
          <w:rFonts w:ascii="Times New Roman" w:hAnsi="Times New Roman"/>
          <w:noProof/>
          <w:sz w:val="24"/>
        </w:rPr>
        <w:drawing>
          <wp:inline distT="0" distB="0" distL="0" distR="0" wp14:anchorId="11462D21" wp14:editId="0D171775">
            <wp:extent cx="5612130" cy="2800350"/>
            <wp:effectExtent l="0" t="0" r="1270" b="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00F4667C" w:rsidRPr="00F4667C">
        <w:rPr>
          <w:sz w:val="18"/>
          <w:szCs w:val="18"/>
        </w:rPr>
        <w:t xml:space="preserve"> </w:t>
      </w:r>
      <w:r w:rsidR="00F4667C" w:rsidRPr="00F4667C">
        <w:rPr>
          <w:b/>
          <w:bCs/>
          <w:sz w:val="18"/>
          <w:szCs w:val="18"/>
        </w:rPr>
        <w:t>Fuente:</w:t>
      </w:r>
      <w:r w:rsidR="00F4667C" w:rsidRPr="00B27FD9">
        <w:rPr>
          <w:sz w:val="18"/>
          <w:szCs w:val="18"/>
        </w:rPr>
        <w:t xml:space="preserve"> Registro Único de Víctimas. Corte: de enero de 2020 a diciembre de 2023.</w:t>
      </w:r>
    </w:p>
    <w:p w14:paraId="3CA9FC71" w14:textId="380DB27D" w:rsidR="00DD4513" w:rsidRDefault="00DD4513" w:rsidP="00B14E38">
      <w:pPr>
        <w:spacing w:line="480" w:lineRule="auto"/>
        <w:jc w:val="center"/>
        <w:rPr>
          <w:sz w:val="18"/>
          <w:szCs w:val="18"/>
        </w:rPr>
        <w:sectPr w:rsidR="00DD4513" w:rsidSect="00F7078E">
          <w:type w:val="continuous"/>
          <w:pgSz w:w="12240" w:h="15840"/>
          <w:pgMar w:top="2262" w:right="1440" w:bottom="1440" w:left="1440" w:header="708" w:footer="680" w:gutter="0"/>
          <w:cols w:space="567"/>
          <w:docGrid w:linePitch="299"/>
        </w:sectPr>
      </w:pPr>
    </w:p>
    <w:p w14:paraId="25CA38D9" w14:textId="77777777" w:rsidR="00DD4513" w:rsidRDefault="00DD4513" w:rsidP="00B14E38">
      <w:pPr>
        <w:rPr>
          <w:highlight w:val="white"/>
        </w:rPr>
      </w:pPr>
    </w:p>
    <w:p w14:paraId="22C82BA9" w14:textId="77777777" w:rsidR="00DD4513" w:rsidRDefault="00DD4513" w:rsidP="00B14E38">
      <w:pPr>
        <w:rPr>
          <w:highlight w:val="white"/>
        </w:rPr>
      </w:pPr>
    </w:p>
    <w:p w14:paraId="4B51F096" w14:textId="77777777" w:rsidR="00DD4513" w:rsidRDefault="00DD4513" w:rsidP="00B14E38">
      <w:pPr>
        <w:rPr>
          <w:highlight w:val="white"/>
        </w:rPr>
      </w:pPr>
    </w:p>
    <w:p w14:paraId="65E40E72" w14:textId="77777777" w:rsidR="00DD4513" w:rsidRDefault="00DD4513" w:rsidP="00B14E38">
      <w:pPr>
        <w:rPr>
          <w:highlight w:val="white"/>
        </w:rPr>
      </w:pPr>
    </w:p>
    <w:p w14:paraId="3BD7669B" w14:textId="77777777" w:rsidR="00DD4513" w:rsidRDefault="00DD4513" w:rsidP="00B14E38">
      <w:pPr>
        <w:rPr>
          <w:highlight w:val="white"/>
        </w:rPr>
      </w:pPr>
    </w:p>
    <w:p w14:paraId="6F05D84D" w14:textId="77777777" w:rsidR="00DD4513" w:rsidRDefault="00DD4513" w:rsidP="00B14E38">
      <w:pPr>
        <w:rPr>
          <w:highlight w:val="white"/>
        </w:rPr>
      </w:pPr>
    </w:p>
    <w:p w14:paraId="39C21E87" w14:textId="77777777" w:rsidR="00DD4513" w:rsidRDefault="00DD4513" w:rsidP="00B14E38">
      <w:pPr>
        <w:rPr>
          <w:highlight w:val="white"/>
        </w:rPr>
      </w:pPr>
    </w:p>
    <w:p w14:paraId="6B8C5855" w14:textId="77777777" w:rsidR="00DD4513" w:rsidRDefault="00DD4513" w:rsidP="00B14E38">
      <w:pPr>
        <w:rPr>
          <w:highlight w:val="white"/>
        </w:rPr>
      </w:pPr>
    </w:p>
    <w:p w14:paraId="76B890F7" w14:textId="77777777" w:rsidR="00DD4513" w:rsidRDefault="00DD4513" w:rsidP="00B14E38">
      <w:pPr>
        <w:rPr>
          <w:highlight w:val="white"/>
        </w:rPr>
      </w:pPr>
    </w:p>
    <w:p w14:paraId="4DF92F43" w14:textId="77777777" w:rsidR="00DD4513" w:rsidRDefault="00DD4513" w:rsidP="00B14E38">
      <w:pPr>
        <w:rPr>
          <w:highlight w:val="white"/>
        </w:rPr>
      </w:pPr>
    </w:p>
    <w:p w14:paraId="17EEE465" w14:textId="77777777" w:rsidR="00DD4513" w:rsidRDefault="00DD4513" w:rsidP="00B14E38">
      <w:pPr>
        <w:rPr>
          <w:highlight w:val="white"/>
        </w:rPr>
      </w:pPr>
    </w:p>
    <w:p w14:paraId="5F56D190" w14:textId="77777777" w:rsidR="00DD4513" w:rsidRDefault="00DD4513" w:rsidP="00B14E38">
      <w:pPr>
        <w:rPr>
          <w:highlight w:val="white"/>
        </w:rPr>
      </w:pPr>
    </w:p>
    <w:p w14:paraId="79B447EB" w14:textId="56D666E1" w:rsidR="00B14E38" w:rsidRPr="00B944E8" w:rsidRDefault="00E25FC4" w:rsidP="00B14E38">
      <w:pPr>
        <w:rPr>
          <w:highlight w:val="white"/>
        </w:rPr>
      </w:pPr>
      <w:r w:rsidRPr="00E25FC4">
        <w:lastRenderedPageBreak/>
        <w:t xml:space="preserve">De acuerdo con el Observatorio Distrital de Víctimas de la Consejería Distrital de Paz, Víctimas y Reconciliación, con corte a diciembre de 2023, hasta 216.810 de estas personas habitan permanentemente la ciudad. Debido al daño producido por el conflicto, esa población se encuentra en condiciones de vulnerabilidad. Según la UARIV, con corte a diciembre de 2023, un total de 154.845 víctimas en Bogotá no han superado </w:t>
      </w:r>
      <w:r w:rsidRPr="00E25FC4">
        <w:t>la situación de vulnerabilidad; los derechos a vivienda, generación de ingresos, alimentación y atención psicosocial son los derechos en los que el mayor porcentaje de población víctima no cumple los criterios para su goce. La figura 8 muestra el porcentaje de víctimas que cumple o no cumple los criterios para el goce de los derechos que garantizan la superación de la situación de vulnerabilidad</w:t>
      </w:r>
      <w:r w:rsidR="00B14E38" w:rsidRPr="00B944E8">
        <w:rPr>
          <w:highlight w:val="white"/>
        </w:rPr>
        <w:t>.</w:t>
      </w:r>
    </w:p>
    <w:p w14:paraId="1437E8CD"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num="2" w:space="567"/>
          <w:docGrid w:linePitch="299"/>
        </w:sectPr>
      </w:pPr>
    </w:p>
    <w:p w14:paraId="3FEABFA3" w14:textId="77777777" w:rsidR="00B14E38" w:rsidRPr="00B944E8" w:rsidRDefault="00B14E38" w:rsidP="00B14E38">
      <w:pPr>
        <w:spacing w:line="480" w:lineRule="auto"/>
        <w:rPr>
          <w:rFonts w:ascii="Times New Roman" w:hAnsi="Times New Roman"/>
          <w:sz w:val="24"/>
          <w:highlight w:val="white"/>
        </w:rPr>
      </w:pPr>
    </w:p>
    <w:p w14:paraId="2BC6AEC7" w14:textId="3AC61FD1" w:rsidR="00B14E38" w:rsidRPr="003537D7" w:rsidRDefault="003537D7" w:rsidP="003537D7">
      <w:pPr>
        <w:pStyle w:val="Descripcin"/>
        <w:jc w:val="center"/>
        <w:rPr>
          <w:sz w:val="18"/>
          <w:highlight w:val="white"/>
        </w:rPr>
      </w:pPr>
      <w:bookmarkStart w:id="281" w:name="_Toc165169864"/>
      <w:r w:rsidRPr="003537D7">
        <w:rPr>
          <w:color w:val="C00000"/>
          <w:sz w:val="18"/>
        </w:rPr>
        <w:t xml:space="preserve">Gráfica </w:t>
      </w:r>
      <w:r w:rsidRPr="003537D7">
        <w:rPr>
          <w:color w:val="C00000"/>
          <w:sz w:val="18"/>
        </w:rPr>
        <w:fldChar w:fldCharType="begin"/>
      </w:r>
      <w:r w:rsidRPr="003537D7">
        <w:rPr>
          <w:color w:val="C00000"/>
          <w:sz w:val="18"/>
        </w:rPr>
        <w:instrText xml:space="preserve"> SEQ Gráfica \* ARABIC </w:instrText>
      </w:r>
      <w:r w:rsidRPr="003537D7">
        <w:rPr>
          <w:color w:val="C00000"/>
          <w:sz w:val="18"/>
        </w:rPr>
        <w:fldChar w:fldCharType="separate"/>
      </w:r>
      <w:r w:rsidR="00D01651">
        <w:rPr>
          <w:noProof/>
          <w:color w:val="C00000"/>
          <w:sz w:val="18"/>
        </w:rPr>
        <w:t>38</w:t>
      </w:r>
      <w:r w:rsidRPr="003537D7">
        <w:rPr>
          <w:color w:val="C00000"/>
          <w:sz w:val="18"/>
        </w:rPr>
        <w:fldChar w:fldCharType="end"/>
      </w:r>
      <w:r w:rsidRPr="003537D7">
        <w:rPr>
          <w:color w:val="C00000"/>
          <w:sz w:val="18"/>
        </w:rPr>
        <w:t xml:space="preserve">. </w:t>
      </w:r>
      <w:r w:rsidR="00B14E38" w:rsidRPr="003537D7">
        <w:rPr>
          <w:sz w:val="18"/>
          <w:highlight w:val="white"/>
        </w:rPr>
        <w:t xml:space="preserve">Porcentaje de víctimas que cumplen o no cumplen los derechos para la </w:t>
      </w:r>
      <w:r w:rsidRPr="003537D7">
        <w:rPr>
          <w:sz w:val="18"/>
          <w:highlight w:val="white"/>
        </w:rPr>
        <w:br/>
      </w:r>
      <w:r w:rsidR="00B14E38" w:rsidRPr="003537D7">
        <w:rPr>
          <w:sz w:val="18"/>
          <w:highlight w:val="white"/>
        </w:rPr>
        <w:t>superación de la situación de vulnerabilidad</w:t>
      </w:r>
      <w:bookmarkEnd w:id="281"/>
    </w:p>
    <w:p w14:paraId="2A2276FB" w14:textId="77777777" w:rsidR="00B14E38" w:rsidRPr="00B944E8" w:rsidRDefault="00B14E38" w:rsidP="003537D7">
      <w:pPr>
        <w:spacing w:line="240" w:lineRule="auto"/>
        <w:jc w:val="center"/>
        <w:rPr>
          <w:rFonts w:ascii="Times New Roman" w:hAnsi="Times New Roman"/>
          <w:sz w:val="24"/>
          <w:highlight w:val="white"/>
        </w:rPr>
      </w:pPr>
      <w:r w:rsidRPr="00B944E8">
        <w:rPr>
          <w:rFonts w:ascii="Times New Roman" w:hAnsi="Times New Roman"/>
          <w:noProof/>
          <w:sz w:val="24"/>
        </w:rPr>
        <w:drawing>
          <wp:inline distT="0" distB="0" distL="0" distR="0" wp14:anchorId="01B6D424" wp14:editId="5DF515E2">
            <wp:extent cx="5695950" cy="3957320"/>
            <wp:effectExtent l="0" t="0" r="0" b="5080"/>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073B3AA7" w14:textId="77777777" w:rsidR="00B14E38" w:rsidRPr="00B27FD9" w:rsidRDefault="00B14E38" w:rsidP="00B14E38">
      <w:pPr>
        <w:pStyle w:val="figuratitulo"/>
        <w:rPr>
          <w:color w:val="3B3838" w:themeColor="background2" w:themeShade="40"/>
        </w:rPr>
      </w:pPr>
      <w:r w:rsidRPr="004A0431">
        <w:rPr>
          <w:b/>
          <w:bCs/>
          <w:color w:val="3B3838" w:themeColor="background2" w:themeShade="40"/>
        </w:rPr>
        <w:t>Fuente:</w:t>
      </w:r>
      <w:r w:rsidRPr="00B27FD9">
        <w:rPr>
          <w:color w:val="3B3838" w:themeColor="background2" w:themeShade="40"/>
        </w:rPr>
        <w:t xml:space="preserve"> Red Nacional de Información-UARIV. Corte a diciembre de 2023.</w:t>
      </w:r>
    </w:p>
    <w:p w14:paraId="4E204A27" w14:textId="77777777" w:rsidR="00B14E38" w:rsidRDefault="00B14E38" w:rsidP="00B14E38">
      <w:pPr>
        <w:rPr>
          <w:highlight w:val="white"/>
        </w:rPr>
      </w:pPr>
    </w:p>
    <w:p w14:paraId="40000A3E" w14:textId="26D4D5F1" w:rsidR="004A0431" w:rsidRDefault="004A0431" w:rsidP="00B14E38">
      <w:pPr>
        <w:rPr>
          <w:highlight w:val="white"/>
        </w:rPr>
        <w:sectPr w:rsidR="004A0431" w:rsidSect="00F7078E">
          <w:type w:val="continuous"/>
          <w:pgSz w:w="12240" w:h="15840"/>
          <w:pgMar w:top="2262" w:right="1440" w:bottom="1440" w:left="1440" w:header="708" w:footer="680" w:gutter="0"/>
          <w:cols w:space="720"/>
          <w:docGrid w:linePitch="299"/>
        </w:sectPr>
      </w:pPr>
    </w:p>
    <w:p w14:paraId="47F3E353" w14:textId="77777777" w:rsidR="00176FAD" w:rsidRDefault="00176FAD" w:rsidP="00176FAD">
      <w:r>
        <w:t xml:space="preserve">Además, las víctimas en Bogotá suelen residir en zonas con mayores condiciones de pobreza; de hecho, con corte a diciembre de 2023, en las 5 localidades con mayor Índice de Pobreza Multidimensional de Bogotá (Sumapaz, Usme, Ciudad Bolívar, San Cristóbal y Rafael Uribe) la tasa </w:t>
      </w:r>
      <w:r>
        <w:t>de víctimas por cada 1.000 habitantes fue superior a 30.</w:t>
      </w:r>
    </w:p>
    <w:p w14:paraId="7264C137" w14:textId="77777777" w:rsidR="00176FAD" w:rsidRDefault="00176FAD" w:rsidP="00176FAD"/>
    <w:p w14:paraId="1E55418F" w14:textId="77777777" w:rsidR="00176FAD" w:rsidRDefault="00176FAD" w:rsidP="00176FAD">
      <w:r>
        <w:t xml:space="preserve">Este conjunto de condiciones hace necesario fortalecer y robustecer las acciones que apuntan a la consolidación de soluciones duraderas para las víctimas que viven en la ciudad, y que </w:t>
      </w:r>
      <w:r>
        <w:lastRenderedPageBreak/>
        <w:t>les permitan superar la condición de vulnerabilidad.</w:t>
      </w:r>
    </w:p>
    <w:p w14:paraId="47C0D80D" w14:textId="77777777" w:rsidR="00176FAD" w:rsidRDefault="00176FAD" w:rsidP="00176FAD"/>
    <w:p w14:paraId="4C2D410A" w14:textId="77777777" w:rsidR="00176FAD" w:rsidRDefault="00176FAD" w:rsidP="00176FAD">
      <w:r>
        <w:t>Con corte a diciembre de 2023, Bogotá también cuenta con la presencia de 21 sujetos de reparación colectiva, reconocidos por la UARIV. De dichos sujetos, 12 están en proceso de implementar su Plan Integral de Reparación Colectiva (PIRC). El 25 de octubre de 2023, a través de la Resolución 2020-29324, la UARIV reconoció la Localidad 20 de Sumapaz como Sujeto de Reparación Colectiva, lo cual abre las puertas a la articulación de acciones para la transformación territorial en Sumapaz y el cierre de brechas, a través de acciones con un enfoque reparador.</w:t>
      </w:r>
    </w:p>
    <w:p w14:paraId="7F25000F" w14:textId="77777777" w:rsidR="00176FAD" w:rsidRDefault="00176FAD" w:rsidP="00176FAD"/>
    <w:p w14:paraId="49804113" w14:textId="77777777" w:rsidR="00176FAD" w:rsidRDefault="00176FAD" w:rsidP="00176FAD">
      <w:r>
        <w:t>En cuanto a los procesos de memoria en la ciudad, es necesario generar mayor conocimiento de los efectos e impactos que el conflicto armado y la violencia política ha generado en la ciudad, al igual que procesos de documentación de las experiencias de las víctimas y de los colectivos sociales que habitan el territorio, en torno a la memoria, la paz y la reconciliación. La Comisión de la Verdad, dentro de sus recomendaciones del Informe Final presentado en 2022, incluyó la necesidad de formalizar la responsabilidad institucional en el apoyo en la construcción, conservación y difusión de la memoria que sobre el conflicto armado y la violencia social y política se construyen en el país.</w:t>
      </w:r>
    </w:p>
    <w:p w14:paraId="584D5908" w14:textId="77777777" w:rsidR="00176FAD" w:rsidRDefault="00176FAD" w:rsidP="00176FAD"/>
    <w:p w14:paraId="2A5D6DA9" w14:textId="77777777" w:rsidR="00176FAD" w:rsidRDefault="00176FAD" w:rsidP="00176FAD">
      <w:r>
        <w:t xml:space="preserve">La construcción de paz en Bogotá también necesita acciones para promover la participación de las víctimas ante los mecanismos del Sistema Integral de Verdad, Justicia, Reparación y no Repetición (SIVJRNR). Hasta el momento, la Jurisdicción Especial para la Paz (JEP) ha abierto 11 macrocasos nacionales, algunos de los cuales son de especial interés para la ciudad, como el 001 “Toma de rehenes y graves privaciones de la libertad”, el 003 “Asesinatos y desapariciones forzadas presentadas como bajas en combate” y el 010 “Crímenes no amnistiables cometidos por las FARC-EP”. Adicionalmente, la JEP ha considerado el desarrollo de sanciones propias </w:t>
      </w:r>
      <w:r>
        <w:t>en Bogotá, así como la implementación de proyectos restaurativos en el marco del Sistema Restaurativo.</w:t>
      </w:r>
    </w:p>
    <w:p w14:paraId="5D44B97F" w14:textId="77777777" w:rsidR="00176FAD" w:rsidRDefault="00176FAD" w:rsidP="00176FAD"/>
    <w:p w14:paraId="308D1375" w14:textId="77777777" w:rsidR="00176FAD" w:rsidRDefault="00176FAD" w:rsidP="00176FAD">
      <w:r>
        <w:t>Bogotá también ha sido un territorio sensible a la desaparición forzada. De acuerdo con la UARIV, para diciembre de 2023, en Bogotá se ubicaban 7.563 víctimas de desaparición forzada; además, esta entidad reporta que 1.575 víctimas han declarado hechos de desaparición que ocurrieron en el Distrito Capital. De manera similar, con corte a noviembre de 2022, la Unidad de Búsqueda de Personas dadas por Desaparecidas reporta un universo preliminar de 1.715 personas desaparecidas en Bogotá, por lo que se construyó el Plan Territorial de Búsqueda Sur Oriente de Cundinamarca y Bogotá, para orientar acciones de búsqueda en la ciudad.</w:t>
      </w:r>
    </w:p>
    <w:p w14:paraId="2F302C92" w14:textId="77777777" w:rsidR="00176FAD" w:rsidRDefault="00176FAD" w:rsidP="00176FAD"/>
    <w:p w14:paraId="662AB84D" w14:textId="77777777" w:rsidR="00176FAD" w:rsidRDefault="00176FAD" w:rsidP="00176FAD">
      <w:r>
        <w:t>Además de la alta presencia de víctimas, territorializar el acuerdo de paz implica tener en cuenta que hay personas en proceso de reincorporación que se han asentado en la ciudad. Históricamente, Bogotá se ha caracterizado por recibir excombatientes de los distintos grupos armados en busca de una oferta institucional que les brinde una segunda oportunidad. Según la Agencia para la Reincorporación y la Normalización, en Bogotá, con corte a diciembre de 2023, se encuentran 2.600 personas en proceso de reintegración, 103 en proceso de reintegración especial y 727 en proceso de reincorporación.</w:t>
      </w:r>
    </w:p>
    <w:p w14:paraId="0FED44F5" w14:textId="77777777" w:rsidR="00176FAD" w:rsidRDefault="00176FAD" w:rsidP="00176FAD"/>
    <w:p w14:paraId="1C7B1C76" w14:textId="77777777" w:rsidR="00176FAD" w:rsidRDefault="00176FAD" w:rsidP="00176FAD">
      <w:r>
        <w:t>En términos de seguridad, la Corte Constitucional declaró el estado de cosas inconstitucional, de cara a la situación de riesgo y vulnerabilidad frente a la vida de los firmantes del acuerdo final de paz. Además, desde 2018 el Sistema de Alertas Tempranas de la Defensoría del Pueblo ha emitido 7 alertas en Bogotá, relacionadas con la seguridad e integridad de las personas en proceso de reincorporación o integrantes del partido Comunes.</w:t>
      </w:r>
    </w:p>
    <w:p w14:paraId="39FF89D9" w14:textId="77777777" w:rsidR="00176FAD" w:rsidRDefault="00176FAD" w:rsidP="00176FAD"/>
    <w:p w14:paraId="5006E801" w14:textId="1B581F67" w:rsidR="00B14E38" w:rsidRPr="00B944E8" w:rsidRDefault="00176FAD" w:rsidP="00176FAD">
      <w:pPr>
        <w:rPr>
          <w:highlight w:val="white"/>
        </w:rPr>
      </w:pPr>
      <w:r>
        <w:t xml:space="preserve">Por lo señalado, si bien Bogotá ha avanzado en los procesos de paz y reconciliación, se debe </w:t>
      </w:r>
      <w:r>
        <w:lastRenderedPageBreak/>
        <w:t>seguir trabajando para que sea un territorio de paz y reconciliación donde todas las personas puedan volver a empezar</w:t>
      </w:r>
      <w:r w:rsidR="00B14E38" w:rsidRPr="00B944E8">
        <w:rPr>
          <w:highlight w:val="white"/>
        </w:rPr>
        <w:t>.</w:t>
      </w:r>
    </w:p>
    <w:p w14:paraId="33FF46DB"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num="2" w:space="567"/>
          <w:docGrid w:linePitch="299"/>
        </w:sectPr>
      </w:pPr>
    </w:p>
    <w:p w14:paraId="634E06E3" w14:textId="77777777" w:rsidR="00B14E38" w:rsidRPr="00B944E8" w:rsidRDefault="00B14E38" w:rsidP="00B14E38">
      <w:pPr>
        <w:spacing w:line="480" w:lineRule="auto"/>
        <w:rPr>
          <w:rFonts w:ascii="Times New Roman" w:hAnsi="Times New Roman"/>
          <w:sz w:val="24"/>
          <w:highlight w:val="white"/>
        </w:rPr>
      </w:pPr>
    </w:p>
    <w:p w14:paraId="436B2FAC" w14:textId="55491C27" w:rsidR="00B14E38" w:rsidRPr="009A7EA5" w:rsidRDefault="00B14E38" w:rsidP="009A7EA5">
      <w:pPr>
        <w:ind w:firstLine="708"/>
        <w:rPr>
          <w:b/>
          <w:bCs/>
          <w:sz w:val="24"/>
        </w:rPr>
      </w:pPr>
      <w:r w:rsidRPr="009A7EA5">
        <w:rPr>
          <w:b/>
          <w:bCs/>
          <w:sz w:val="24"/>
        </w:rPr>
        <w:t>Descripción del programa</w:t>
      </w:r>
    </w:p>
    <w:p w14:paraId="0210A0F8"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4CEC4266" w14:textId="77777777" w:rsidR="009A7EA5" w:rsidRDefault="009A7EA5" w:rsidP="009A7EA5">
      <w:r>
        <w:t>Bogotá se compromete a territorializar la implementación del acuerdo de paz en la ciudad, incluyendo lo dispuesto en el punto 5 del acuerdo frente al fortalecimiento de la atención, reparación e integración local de las víctimas que quieren reconstruir su proyecto de vida en el Distrito Capital. La ciudad debe ser un territorio de paz y reconciliación donde todas y todos puedan volver a empezar.</w:t>
      </w:r>
    </w:p>
    <w:p w14:paraId="1EBC0EF6" w14:textId="77777777" w:rsidR="009A7EA5" w:rsidRDefault="009A7EA5" w:rsidP="009A7EA5"/>
    <w:p w14:paraId="2F96A6EB" w14:textId="77777777" w:rsidR="009A7EA5" w:rsidRDefault="009A7EA5" w:rsidP="009A7EA5">
      <w:r>
        <w:t>Para ello se desarrollarán acciones que conduzcan a la focalización e implementación de la oferta institucional en las zonas priorizadas en el Programa de Desarrollo con Enfoque Territorial (PDET) Bogotá Región (PDET-BR), con el fin de promover el desarrollo integral de las comunidades afectadas por el conflicto armado y en condición de vulnerabilidad. En el marco de implementación de dicha estrategia, se desarrollará la Hoja de Ruta PDET-BR para focalizar recursos de los diferentes sectores en la implementación de las iniciativas, y para que las entidades lleven a cabo la definición de productos, la estructuración de proyectos y su implementación. Se debe reconocer que el desarrollo de las zonas cobijadas por el PDET-BR es responsabilidad de todos los sectores y entidades, en la medida en que el desarrollo territorial debe ser integral.</w:t>
      </w:r>
    </w:p>
    <w:p w14:paraId="418E5E03" w14:textId="77777777" w:rsidR="009A7EA5" w:rsidRDefault="009A7EA5" w:rsidP="009A7EA5"/>
    <w:p w14:paraId="0DB96E5D" w14:textId="77777777" w:rsidR="009A7EA5" w:rsidRDefault="009A7EA5" w:rsidP="009A7EA5">
      <w:r>
        <w:t xml:space="preserve">También, territorializar el acuerdo de paz implica generar estrategias para el fortalecimiento socioeconómico, la integración y la no estigmatización de excombatientes y comparecientes ante la JEP. Para ello se debe generar un esfuerzo de articulación y coordinación interinstitucional, a fin de que las personas en proceso de reintegración, reincorporación, las personas que hayan culminado alguna de estas rutas o los comparecientes ante la JEP puedan tener </w:t>
      </w:r>
      <w:r>
        <w:t>oportunidades de sostenibilidad económica que realmente sean transformadoras e impliquen una segunda oportunidad de reconciliación. Apoyar la estabilización social y económica contribuye a garantizar la no repetición. El reconocimiento y acompañamiento a la ruralidad y las realidades del conflicto en las zonas rurales de Bogotá estará en el centro de las acciones.</w:t>
      </w:r>
    </w:p>
    <w:p w14:paraId="1DCB8E06" w14:textId="77777777" w:rsidR="009A7EA5" w:rsidRDefault="009A7EA5" w:rsidP="009A7EA5"/>
    <w:p w14:paraId="2514446A" w14:textId="77777777" w:rsidR="009A7EA5" w:rsidRDefault="009A7EA5" w:rsidP="009A7EA5">
      <w:r>
        <w:t>Así mismo, implementar el acuerdo de paz en Bogotá requiere ofrecer asistencia, ayuda y atención humanitaria a las víctimas del conflicto que llegan a la ciudad, de acuerdo con las competencias asignadas por ley a las entidades territoriales. Esto implica el otorgamiento de medidas de albergue y arriendo, de asistencia alimentaria y aseo, y de transporte de emergencia, entre otros, para las víctimas de desplazamiento que llegan a la ciudad. Los centros de encuentro serán embellecidos y dignificados. La atención a las víctimas será más humana y más centrada en la persona, en la familia y en el individuo, y dándoles voz a mujeres, jóvenes, adolescentes, niñas y niños.</w:t>
      </w:r>
    </w:p>
    <w:p w14:paraId="15914DE2" w14:textId="77777777" w:rsidR="009A7EA5" w:rsidRDefault="009A7EA5" w:rsidP="009A7EA5"/>
    <w:p w14:paraId="0265937F" w14:textId="77777777" w:rsidR="009A7EA5" w:rsidRDefault="009A7EA5" w:rsidP="009A7EA5">
      <w:r>
        <w:t>También se requiere robustecer las medidas para la integración local de las víctimas, con un enfoque de soluciones duraderas. Para las víctimas que, por distintas razones, han decidido rehacer su vida en el Distrito Capital, formulamos e implementamos una política pública de integración local, con un modelo de atención en clave de soluciones duraderas que les permita salir de la pobreza y garantizar su inclusión social y productiva.</w:t>
      </w:r>
    </w:p>
    <w:p w14:paraId="0DD8320D" w14:textId="77777777" w:rsidR="009A7EA5" w:rsidRDefault="009A7EA5" w:rsidP="009A7EA5"/>
    <w:p w14:paraId="3A04D812" w14:textId="77777777" w:rsidR="009A7EA5" w:rsidRDefault="009A7EA5" w:rsidP="009A7EA5">
      <w:r>
        <w:t xml:space="preserve">Lo anterior requiere la focalización y coordinación de la oferta institucional del Distrito Capital para promover la superación de la situación de vulnerabilidad de las víctimas. También se </w:t>
      </w:r>
      <w:r>
        <w:lastRenderedPageBreak/>
        <w:t>trabajará en el marco de intervenciones territorializadas en las zonas con mayor presencia de víctimas, a fin de contribuir a garantizarles —progresivamente— seguridad, un nivel de vida adecuado, vivienda, acceso a formas de subsistencia, reunificación familiar, acompañamiento psicosocial y participación en espacios públicos y comunitarios.</w:t>
      </w:r>
    </w:p>
    <w:p w14:paraId="66E1EF9F" w14:textId="77777777" w:rsidR="009A7EA5" w:rsidRDefault="009A7EA5" w:rsidP="009A7EA5"/>
    <w:p w14:paraId="04B292BD" w14:textId="77777777" w:rsidR="009A7EA5" w:rsidRDefault="009A7EA5" w:rsidP="009A7EA5">
      <w:r>
        <w:t>Por su parte, en el marco de las competencias del Distrito Capital, es necesario aportar a la implementación de los PIRC de los sujetos colectivos que están presentes en Bogotá. Todo eso, contribuyendo a la implementación de las medidas de reparación colectiva que están en los PIRC territorializados.</w:t>
      </w:r>
    </w:p>
    <w:p w14:paraId="51B40652" w14:textId="77777777" w:rsidR="009A7EA5" w:rsidRDefault="009A7EA5" w:rsidP="009A7EA5"/>
    <w:p w14:paraId="02635155" w14:textId="77777777" w:rsidR="009A7EA5" w:rsidRDefault="009A7EA5" w:rsidP="009A7EA5">
      <w:r>
        <w:t xml:space="preserve">De la misma forma, resulta necesario promover la participación de las víctimas ante el SIVJRNR. Esto se logrará a partir de acciones de pedagogía y de acompañamiento que contribuyan a fortalecer las capacidades y recursos de las víctimas, así como los de comparecientes y de sociedad civil en general, para participar en los </w:t>
      </w:r>
      <w:r>
        <w:t>mecanismos del SIVJRNR. Garantizar la participación de las víctimas, de los excombatientes, comparecientes y de la sociedad civil en general en los procesos de construcción de paz, a través de las instancias de participación y coordinación que involucran a la sociedad civil, aporta a la reconciliación y no repetición.</w:t>
      </w:r>
    </w:p>
    <w:p w14:paraId="3733DFAE" w14:textId="77777777" w:rsidR="009A7EA5" w:rsidRDefault="009A7EA5" w:rsidP="009A7EA5"/>
    <w:p w14:paraId="5C18D9B9" w14:textId="77777777" w:rsidR="009A7EA5" w:rsidRDefault="009A7EA5" w:rsidP="009A7EA5">
      <w:r>
        <w:t>Finalmente, se fortalecerá la investigación, la construcción de memoria histórica y la reflexión sobre los hechos ocurridos en el conflicto, a través del desarrollo de procesos de investigación y de construcción de memoria histórica, que contribuyan a la reconciliación, la comprensión sobre el conflicto armado en Bogotá y la desestigmatización de poblaciones, grupos o colectivos. Acogemos a las organizaciones interesadas en generar iniciativas de memoria, donde los procesos se creen desde las personas/organizaciones, y no solo desde la administración.</w:t>
      </w:r>
    </w:p>
    <w:p w14:paraId="406571F0" w14:textId="77777777" w:rsidR="009A7EA5" w:rsidRDefault="009A7EA5" w:rsidP="009A7EA5"/>
    <w:p w14:paraId="48766D94" w14:textId="0ED0D4F7" w:rsidR="00B14E38" w:rsidRPr="00B944E8" w:rsidRDefault="009A7EA5" w:rsidP="009A7EA5">
      <w:r>
        <w:t>Estas acciones tendrán un enfoque étnico, de género, derechos humanos de las mujeres y territorial</w:t>
      </w:r>
      <w:r w:rsidR="00B14E38" w:rsidRPr="00B944E8">
        <w:t xml:space="preserve">. </w:t>
      </w:r>
    </w:p>
    <w:p w14:paraId="0256A45B" w14:textId="77777777" w:rsidR="00B14E38" w:rsidRDefault="00B14E38" w:rsidP="00B14E38">
      <w:pPr>
        <w:spacing w:line="480" w:lineRule="auto"/>
        <w:jc w:val="center"/>
        <w:rPr>
          <w:rFonts w:ascii="Times New Roman" w:hAnsi="Times New Roman"/>
          <w:sz w:val="24"/>
        </w:rPr>
        <w:sectPr w:rsidR="00B14E38" w:rsidSect="00F7078E">
          <w:type w:val="continuous"/>
          <w:pgSz w:w="12240" w:h="15840"/>
          <w:pgMar w:top="2262" w:right="1440" w:bottom="1440" w:left="1440" w:header="708" w:footer="680" w:gutter="0"/>
          <w:cols w:num="2" w:space="567"/>
          <w:docGrid w:linePitch="299"/>
        </w:sectPr>
      </w:pPr>
    </w:p>
    <w:p w14:paraId="68C99DE0" w14:textId="77777777" w:rsidR="004A0431" w:rsidRDefault="004A0431" w:rsidP="00B14E38">
      <w:pPr>
        <w:pStyle w:val="figuratitulo"/>
        <w:rPr>
          <w:b/>
          <w:bCs/>
        </w:rPr>
      </w:pPr>
    </w:p>
    <w:p w14:paraId="56AEFE99" w14:textId="77777777" w:rsidR="009A7EA5" w:rsidRDefault="009A7EA5">
      <w:pPr>
        <w:spacing w:line="240" w:lineRule="auto"/>
        <w:jc w:val="left"/>
        <w:rPr>
          <w:rFonts w:eastAsiaTheme="minorHAnsi" w:cstheme="minorBidi"/>
          <w:b/>
          <w:bCs/>
          <w:color w:val="C00000"/>
          <w:sz w:val="18"/>
          <w:lang w:eastAsia="en-US"/>
        </w:rPr>
      </w:pPr>
      <w:r>
        <w:rPr>
          <w:b/>
          <w:bCs/>
        </w:rPr>
        <w:br w:type="page"/>
      </w:r>
    </w:p>
    <w:p w14:paraId="04D0C41D" w14:textId="0FECA2A1" w:rsidR="00B14E38" w:rsidRPr="00A112DD" w:rsidRDefault="009A7EA5" w:rsidP="005A161B">
      <w:pPr>
        <w:pStyle w:val="Descripcin"/>
        <w:jc w:val="center"/>
        <w:rPr>
          <w:sz w:val="18"/>
          <w:szCs w:val="14"/>
        </w:rPr>
      </w:pPr>
      <w:bookmarkStart w:id="282" w:name="_Toc165169942"/>
      <w:r w:rsidRPr="00A112DD">
        <w:rPr>
          <w:color w:val="C00000"/>
          <w:sz w:val="18"/>
          <w:szCs w:val="14"/>
        </w:rPr>
        <w:lastRenderedPageBreak/>
        <w:t xml:space="preserve">Tabla </w:t>
      </w:r>
      <w:r w:rsidRPr="00A112DD">
        <w:rPr>
          <w:color w:val="C00000"/>
          <w:sz w:val="18"/>
          <w:szCs w:val="14"/>
        </w:rPr>
        <w:fldChar w:fldCharType="begin"/>
      </w:r>
      <w:r w:rsidRPr="00A112DD">
        <w:rPr>
          <w:color w:val="C00000"/>
          <w:sz w:val="18"/>
          <w:szCs w:val="14"/>
        </w:rPr>
        <w:instrText xml:space="preserve"> SEQ Tabla \* ARABIC </w:instrText>
      </w:r>
      <w:r w:rsidRPr="00A112DD">
        <w:rPr>
          <w:color w:val="C00000"/>
          <w:sz w:val="18"/>
          <w:szCs w:val="14"/>
        </w:rPr>
        <w:fldChar w:fldCharType="separate"/>
      </w:r>
      <w:r w:rsidR="00D01651">
        <w:rPr>
          <w:noProof/>
          <w:color w:val="C00000"/>
          <w:sz w:val="18"/>
          <w:szCs w:val="14"/>
        </w:rPr>
        <w:t>32</w:t>
      </w:r>
      <w:r w:rsidRPr="00A112DD">
        <w:rPr>
          <w:color w:val="C00000"/>
          <w:sz w:val="18"/>
          <w:szCs w:val="14"/>
        </w:rPr>
        <w:fldChar w:fldCharType="end"/>
      </w:r>
      <w:r w:rsidRPr="00A112DD">
        <w:rPr>
          <w:color w:val="C00000"/>
          <w:sz w:val="18"/>
          <w:szCs w:val="14"/>
        </w:rPr>
        <w:t>.</w:t>
      </w:r>
      <w:r w:rsidR="00B14E38" w:rsidRPr="00A112DD">
        <w:rPr>
          <w:color w:val="C00000"/>
          <w:sz w:val="18"/>
          <w:szCs w:val="14"/>
        </w:rPr>
        <w:t xml:space="preserve"> </w:t>
      </w:r>
      <w:r w:rsidR="00B14E38" w:rsidRPr="00A112DD">
        <w:rPr>
          <w:sz w:val="18"/>
          <w:szCs w:val="14"/>
        </w:rPr>
        <w:t>Metas del programa 13</w:t>
      </w:r>
      <w:r w:rsidR="005A161B" w:rsidRPr="00A112DD">
        <w:rPr>
          <w:sz w:val="18"/>
          <w:szCs w:val="14"/>
        </w:rPr>
        <w:t xml:space="preserve">: </w:t>
      </w:r>
      <w:r w:rsidR="00B14E38" w:rsidRPr="00A112DD">
        <w:rPr>
          <w:sz w:val="18"/>
          <w:szCs w:val="14"/>
        </w:rPr>
        <w:t>Bogotá, un territorio de paz y reconciliación</w:t>
      </w:r>
      <w:r w:rsidR="005A161B" w:rsidRPr="00A112DD">
        <w:rPr>
          <w:sz w:val="18"/>
          <w:szCs w:val="14"/>
        </w:rPr>
        <w:t xml:space="preserve"> </w:t>
      </w:r>
      <w:r w:rsidR="00B14E38" w:rsidRPr="00A112DD">
        <w:rPr>
          <w:sz w:val="18"/>
          <w:szCs w:val="14"/>
        </w:rPr>
        <w:t>donde todos puedan volver a empezar</w:t>
      </w:r>
      <w:bookmarkEnd w:id="282"/>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872"/>
        <w:gridCol w:w="1086"/>
        <w:gridCol w:w="1095"/>
        <w:gridCol w:w="1114"/>
        <w:gridCol w:w="1093"/>
        <w:gridCol w:w="1100"/>
      </w:tblGrid>
      <w:tr w:rsidR="0083474C" w:rsidRPr="0083474C" w14:paraId="5C383CC2" w14:textId="77777777" w:rsidTr="00BC5D01">
        <w:trPr>
          <w:trHeight w:val="162"/>
          <w:tblHeader/>
        </w:trPr>
        <w:tc>
          <w:tcPr>
            <w:tcW w:w="0" w:type="auto"/>
            <w:vMerge w:val="restart"/>
            <w:shd w:val="clear" w:color="auto" w:fill="C00000"/>
            <w:tcMar>
              <w:top w:w="30" w:type="dxa"/>
              <w:left w:w="45" w:type="dxa"/>
              <w:bottom w:w="30" w:type="dxa"/>
              <w:right w:w="45" w:type="dxa"/>
            </w:tcMar>
            <w:vAlign w:val="center"/>
            <w:hideMark/>
          </w:tcPr>
          <w:p w14:paraId="61270256" w14:textId="77777777" w:rsidR="0083474C" w:rsidRPr="00BC5D01" w:rsidRDefault="0083474C" w:rsidP="00AA4BBB">
            <w:pPr>
              <w:jc w:val="center"/>
              <w:rPr>
                <w:rFonts w:cs="Arial"/>
                <w:b/>
                <w:bCs/>
                <w:color w:val="FFFFFF"/>
                <w:sz w:val="16"/>
                <w:szCs w:val="16"/>
              </w:rPr>
            </w:pPr>
            <w:r w:rsidRPr="00BC5D01">
              <w:rPr>
                <w:rFonts w:cs="Arial"/>
                <w:b/>
                <w:bCs/>
                <w:color w:val="FFFFFF"/>
                <w:sz w:val="16"/>
                <w:szCs w:val="16"/>
              </w:rPr>
              <w:t>SECTOR / Metas</w:t>
            </w:r>
          </w:p>
        </w:tc>
        <w:tc>
          <w:tcPr>
            <w:tcW w:w="0" w:type="auto"/>
            <w:gridSpan w:val="5"/>
            <w:shd w:val="clear" w:color="auto" w:fill="C00000"/>
            <w:tcMar>
              <w:top w:w="30" w:type="dxa"/>
              <w:left w:w="45" w:type="dxa"/>
              <w:bottom w:w="30" w:type="dxa"/>
              <w:right w:w="45" w:type="dxa"/>
            </w:tcMar>
            <w:vAlign w:val="center"/>
            <w:hideMark/>
          </w:tcPr>
          <w:p w14:paraId="36E321EB" w14:textId="77777777" w:rsidR="00771C6F" w:rsidRPr="00BC5D01" w:rsidRDefault="0083474C" w:rsidP="00AA4BBB">
            <w:pPr>
              <w:jc w:val="center"/>
              <w:rPr>
                <w:rFonts w:cs="Arial"/>
                <w:b/>
                <w:bCs/>
                <w:color w:val="FFFFFF"/>
                <w:sz w:val="18"/>
                <w:szCs w:val="18"/>
              </w:rPr>
            </w:pPr>
            <w:r w:rsidRPr="00BC5D01">
              <w:rPr>
                <w:rFonts w:cs="Arial"/>
                <w:b/>
                <w:bCs/>
                <w:color w:val="FFFFFF"/>
                <w:sz w:val="18"/>
                <w:szCs w:val="18"/>
              </w:rPr>
              <w:t>Magnitudes e Inversión</w:t>
            </w:r>
          </w:p>
          <w:p w14:paraId="3091961A" w14:textId="5F5E11F1" w:rsidR="0083474C" w:rsidRPr="0083474C" w:rsidRDefault="0083474C" w:rsidP="00AA4BBB">
            <w:pPr>
              <w:jc w:val="center"/>
              <w:rPr>
                <w:rFonts w:cs="Arial"/>
                <w:b/>
                <w:bCs/>
                <w:color w:val="FFFFFF"/>
                <w:sz w:val="20"/>
                <w:szCs w:val="20"/>
              </w:rPr>
            </w:pPr>
            <w:r w:rsidRPr="00BC5D01">
              <w:rPr>
                <w:rFonts w:cs="Arial"/>
                <w:b/>
                <w:bCs/>
                <w:color w:val="FFFFFF"/>
                <w:sz w:val="18"/>
                <w:szCs w:val="18"/>
              </w:rPr>
              <w:t>(Precios Constantes 2024)</w:t>
            </w:r>
          </w:p>
        </w:tc>
      </w:tr>
      <w:tr w:rsidR="00771C6F" w:rsidRPr="0083474C" w14:paraId="77579A74" w14:textId="77777777" w:rsidTr="00BC5D01">
        <w:trPr>
          <w:trHeight w:val="20"/>
          <w:tblHeader/>
        </w:trPr>
        <w:tc>
          <w:tcPr>
            <w:tcW w:w="0" w:type="auto"/>
            <w:vMerge/>
            <w:vAlign w:val="center"/>
            <w:hideMark/>
          </w:tcPr>
          <w:p w14:paraId="747FCC18" w14:textId="77777777" w:rsidR="0083474C" w:rsidRPr="00BC5D01" w:rsidRDefault="0083474C" w:rsidP="00AA4BBB">
            <w:pPr>
              <w:rPr>
                <w:rFonts w:cs="Arial"/>
                <w:b/>
                <w:bCs/>
                <w:color w:val="FFFFFF"/>
                <w:sz w:val="16"/>
                <w:szCs w:val="16"/>
              </w:rPr>
            </w:pPr>
          </w:p>
        </w:tc>
        <w:tc>
          <w:tcPr>
            <w:tcW w:w="0" w:type="auto"/>
            <w:shd w:val="clear" w:color="auto" w:fill="D9D9D9"/>
            <w:tcMar>
              <w:top w:w="30" w:type="dxa"/>
              <w:left w:w="45" w:type="dxa"/>
              <w:bottom w:w="30" w:type="dxa"/>
              <w:right w:w="45" w:type="dxa"/>
            </w:tcMar>
            <w:vAlign w:val="center"/>
            <w:hideMark/>
          </w:tcPr>
          <w:p w14:paraId="65C5AAF4" w14:textId="77777777" w:rsidR="0083474C" w:rsidRPr="00BC5D01" w:rsidRDefault="0083474C" w:rsidP="00AA4BBB">
            <w:pPr>
              <w:jc w:val="center"/>
              <w:rPr>
                <w:rFonts w:cs="Arial"/>
                <w:b/>
                <w:bCs/>
                <w:sz w:val="18"/>
                <w:szCs w:val="18"/>
              </w:rPr>
            </w:pPr>
            <w:r w:rsidRPr="00BC5D01">
              <w:rPr>
                <w:rFonts w:cs="Arial"/>
                <w:b/>
                <w:bCs/>
                <w:sz w:val="18"/>
                <w:szCs w:val="18"/>
              </w:rPr>
              <w:t>2024</w:t>
            </w:r>
          </w:p>
        </w:tc>
        <w:tc>
          <w:tcPr>
            <w:tcW w:w="0" w:type="auto"/>
            <w:shd w:val="clear" w:color="auto" w:fill="D9D9D9"/>
            <w:tcMar>
              <w:top w:w="30" w:type="dxa"/>
              <w:left w:w="45" w:type="dxa"/>
              <w:bottom w:w="30" w:type="dxa"/>
              <w:right w:w="45" w:type="dxa"/>
            </w:tcMar>
            <w:vAlign w:val="center"/>
            <w:hideMark/>
          </w:tcPr>
          <w:p w14:paraId="6B3C44C1" w14:textId="77777777" w:rsidR="0083474C" w:rsidRPr="00BC5D01" w:rsidRDefault="0083474C" w:rsidP="00AA4BBB">
            <w:pPr>
              <w:jc w:val="center"/>
              <w:rPr>
                <w:rFonts w:cs="Arial"/>
                <w:b/>
                <w:bCs/>
                <w:sz w:val="18"/>
                <w:szCs w:val="18"/>
              </w:rPr>
            </w:pPr>
            <w:r w:rsidRPr="00BC5D01">
              <w:rPr>
                <w:rFonts w:cs="Arial"/>
                <w:b/>
                <w:bCs/>
                <w:sz w:val="18"/>
                <w:szCs w:val="18"/>
              </w:rPr>
              <w:t>2025</w:t>
            </w:r>
          </w:p>
        </w:tc>
        <w:tc>
          <w:tcPr>
            <w:tcW w:w="0" w:type="auto"/>
            <w:shd w:val="clear" w:color="auto" w:fill="D9D9D9"/>
            <w:tcMar>
              <w:top w:w="30" w:type="dxa"/>
              <w:left w:w="45" w:type="dxa"/>
              <w:bottom w:w="30" w:type="dxa"/>
              <w:right w:w="45" w:type="dxa"/>
            </w:tcMar>
            <w:vAlign w:val="center"/>
            <w:hideMark/>
          </w:tcPr>
          <w:p w14:paraId="02269275" w14:textId="77777777" w:rsidR="0083474C" w:rsidRPr="00BC5D01" w:rsidRDefault="0083474C" w:rsidP="00AA4BBB">
            <w:pPr>
              <w:jc w:val="center"/>
              <w:rPr>
                <w:rFonts w:cs="Arial"/>
                <w:b/>
                <w:bCs/>
                <w:sz w:val="18"/>
                <w:szCs w:val="18"/>
              </w:rPr>
            </w:pPr>
            <w:r w:rsidRPr="00BC5D01">
              <w:rPr>
                <w:rFonts w:cs="Arial"/>
                <w:b/>
                <w:bCs/>
                <w:sz w:val="18"/>
                <w:szCs w:val="18"/>
              </w:rPr>
              <w:t>2026</w:t>
            </w:r>
          </w:p>
        </w:tc>
        <w:tc>
          <w:tcPr>
            <w:tcW w:w="0" w:type="auto"/>
            <w:shd w:val="clear" w:color="auto" w:fill="D9D9D9"/>
            <w:tcMar>
              <w:top w:w="30" w:type="dxa"/>
              <w:left w:w="45" w:type="dxa"/>
              <w:bottom w:w="30" w:type="dxa"/>
              <w:right w:w="45" w:type="dxa"/>
            </w:tcMar>
            <w:vAlign w:val="center"/>
            <w:hideMark/>
          </w:tcPr>
          <w:p w14:paraId="1CCD4D2D" w14:textId="77777777" w:rsidR="0083474C" w:rsidRPr="00BC5D01" w:rsidRDefault="0083474C" w:rsidP="00AA4BBB">
            <w:pPr>
              <w:jc w:val="center"/>
              <w:rPr>
                <w:rFonts w:cs="Arial"/>
                <w:b/>
                <w:bCs/>
                <w:sz w:val="18"/>
                <w:szCs w:val="18"/>
              </w:rPr>
            </w:pPr>
            <w:r w:rsidRPr="00BC5D01">
              <w:rPr>
                <w:rFonts w:cs="Arial"/>
                <w:b/>
                <w:bCs/>
                <w:sz w:val="18"/>
                <w:szCs w:val="18"/>
              </w:rPr>
              <w:t>2027</w:t>
            </w:r>
          </w:p>
        </w:tc>
        <w:tc>
          <w:tcPr>
            <w:tcW w:w="0" w:type="auto"/>
            <w:shd w:val="clear" w:color="auto" w:fill="D9D9D9"/>
            <w:tcMar>
              <w:top w:w="30" w:type="dxa"/>
              <w:left w:w="45" w:type="dxa"/>
              <w:bottom w:w="30" w:type="dxa"/>
              <w:right w:w="45" w:type="dxa"/>
            </w:tcMar>
            <w:vAlign w:val="center"/>
            <w:hideMark/>
          </w:tcPr>
          <w:p w14:paraId="7B05E46E" w14:textId="77777777" w:rsidR="0083474C" w:rsidRPr="00BC5D01" w:rsidRDefault="0083474C" w:rsidP="0083474C">
            <w:pPr>
              <w:jc w:val="right"/>
              <w:rPr>
                <w:rFonts w:cs="Arial"/>
                <w:b/>
                <w:bCs/>
                <w:sz w:val="18"/>
                <w:szCs w:val="18"/>
              </w:rPr>
            </w:pPr>
            <w:r w:rsidRPr="00BC5D01">
              <w:rPr>
                <w:rFonts w:cs="Arial"/>
                <w:b/>
                <w:bCs/>
                <w:sz w:val="18"/>
                <w:szCs w:val="18"/>
              </w:rPr>
              <w:t>Total</w:t>
            </w:r>
          </w:p>
          <w:p w14:paraId="0B167372" w14:textId="13994C04" w:rsidR="0083474C" w:rsidRPr="00BC5D01" w:rsidRDefault="0083474C" w:rsidP="0083474C">
            <w:pPr>
              <w:jc w:val="right"/>
              <w:rPr>
                <w:rFonts w:cs="Arial"/>
                <w:b/>
                <w:bCs/>
                <w:sz w:val="18"/>
                <w:szCs w:val="18"/>
              </w:rPr>
            </w:pPr>
            <w:r w:rsidRPr="00BC5D01">
              <w:rPr>
                <w:rFonts w:cs="Arial"/>
                <w:b/>
                <w:bCs/>
                <w:sz w:val="18"/>
                <w:szCs w:val="18"/>
              </w:rPr>
              <w:t>Inversión</w:t>
            </w:r>
          </w:p>
        </w:tc>
      </w:tr>
      <w:tr w:rsidR="0083474C" w:rsidRPr="0083474C" w14:paraId="3AB42D8C" w14:textId="77777777" w:rsidTr="00F725AE">
        <w:tc>
          <w:tcPr>
            <w:tcW w:w="0" w:type="auto"/>
            <w:gridSpan w:val="6"/>
            <w:shd w:val="clear" w:color="auto" w:fill="C00000"/>
            <w:tcMar>
              <w:top w:w="30" w:type="dxa"/>
              <w:left w:w="45" w:type="dxa"/>
              <w:bottom w:w="30" w:type="dxa"/>
              <w:right w:w="45" w:type="dxa"/>
            </w:tcMar>
            <w:vAlign w:val="center"/>
            <w:hideMark/>
          </w:tcPr>
          <w:p w14:paraId="76CD3D43" w14:textId="5683DB3E" w:rsidR="0083474C" w:rsidRPr="00BC5D01" w:rsidRDefault="0083474C" w:rsidP="0083474C">
            <w:pPr>
              <w:jc w:val="center"/>
              <w:rPr>
                <w:rFonts w:cs="Arial"/>
                <w:b/>
                <w:bCs/>
                <w:sz w:val="16"/>
                <w:szCs w:val="16"/>
              </w:rPr>
            </w:pPr>
            <w:r w:rsidRPr="00BC5D01">
              <w:rPr>
                <w:rFonts w:cs="Arial"/>
                <w:b/>
                <w:bCs/>
                <w:color w:val="FFFFFF" w:themeColor="background1"/>
                <w:sz w:val="16"/>
                <w:szCs w:val="16"/>
              </w:rPr>
              <w:t>Gestión Pública</w:t>
            </w:r>
          </w:p>
        </w:tc>
      </w:tr>
      <w:tr w:rsidR="0083474C" w:rsidRPr="0083474C" w14:paraId="554F031D" w14:textId="77777777" w:rsidTr="00F725AE">
        <w:tc>
          <w:tcPr>
            <w:tcW w:w="0" w:type="auto"/>
            <w:vMerge w:val="restart"/>
            <w:tcMar>
              <w:top w:w="30" w:type="dxa"/>
              <w:left w:w="45" w:type="dxa"/>
              <w:bottom w:w="30" w:type="dxa"/>
              <w:right w:w="45" w:type="dxa"/>
            </w:tcMar>
            <w:vAlign w:val="center"/>
            <w:hideMark/>
          </w:tcPr>
          <w:p w14:paraId="2D443797" w14:textId="77777777" w:rsidR="0083474C" w:rsidRPr="00BC5D01" w:rsidRDefault="0083474C" w:rsidP="00AA4BBB">
            <w:pPr>
              <w:rPr>
                <w:rFonts w:cs="Arial"/>
                <w:sz w:val="16"/>
                <w:szCs w:val="16"/>
              </w:rPr>
            </w:pPr>
            <w:r w:rsidRPr="00BC5D01">
              <w:rPr>
                <w:rFonts w:cs="Arial"/>
                <w:sz w:val="16"/>
                <w:szCs w:val="16"/>
              </w:rPr>
              <w:t>Consolidar 1 modelo de integración de servicios institucionales a nivel territorial para las víctimas del conflicto orientado a la reparación integral y a la superación de su condición de vulnerabilidad conforme a las competencias del Distrito.</w:t>
            </w:r>
          </w:p>
        </w:tc>
        <w:tc>
          <w:tcPr>
            <w:tcW w:w="0" w:type="auto"/>
            <w:tcMar>
              <w:top w:w="30" w:type="dxa"/>
              <w:left w:w="45" w:type="dxa"/>
              <w:bottom w:w="30" w:type="dxa"/>
              <w:right w:w="45" w:type="dxa"/>
            </w:tcMar>
            <w:vAlign w:val="center"/>
            <w:hideMark/>
          </w:tcPr>
          <w:p w14:paraId="2D156CA1" w14:textId="77777777" w:rsidR="0083474C" w:rsidRPr="00771C6F" w:rsidRDefault="0083474C" w:rsidP="00AA4BBB">
            <w:pPr>
              <w:jc w:val="center"/>
              <w:rPr>
                <w:rFonts w:cs="Arial"/>
                <w:sz w:val="16"/>
                <w:szCs w:val="16"/>
              </w:rPr>
            </w:pPr>
            <w:r w:rsidRPr="00771C6F">
              <w:rPr>
                <w:rFonts w:cs="Arial"/>
                <w:sz w:val="16"/>
                <w:szCs w:val="16"/>
              </w:rPr>
              <w:t>25%</w:t>
            </w:r>
          </w:p>
        </w:tc>
        <w:tc>
          <w:tcPr>
            <w:tcW w:w="0" w:type="auto"/>
            <w:tcMar>
              <w:top w:w="30" w:type="dxa"/>
              <w:left w:w="45" w:type="dxa"/>
              <w:bottom w:w="30" w:type="dxa"/>
              <w:right w:w="45" w:type="dxa"/>
            </w:tcMar>
            <w:vAlign w:val="center"/>
            <w:hideMark/>
          </w:tcPr>
          <w:p w14:paraId="29F52EFC" w14:textId="77777777" w:rsidR="0083474C" w:rsidRPr="00771C6F" w:rsidRDefault="0083474C" w:rsidP="00AA4BBB">
            <w:pPr>
              <w:jc w:val="center"/>
              <w:rPr>
                <w:rFonts w:cs="Arial"/>
                <w:sz w:val="16"/>
                <w:szCs w:val="16"/>
              </w:rPr>
            </w:pPr>
            <w:r w:rsidRPr="00771C6F">
              <w:rPr>
                <w:rFonts w:cs="Arial"/>
                <w:sz w:val="16"/>
                <w:szCs w:val="16"/>
              </w:rPr>
              <w:t>25%</w:t>
            </w:r>
          </w:p>
        </w:tc>
        <w:tc>
          <w:tcPr>
            <w:tcW w:w="0" w:type="auto"/>
            <w:tcMar>
              <w:top w:w="30" w:type="dxa"/>
              <w:left w:w="45" w:type="dxa"/>
              <w:bottom w:w="30" w:type="dxa"/>
              <w:right w:w="45" w:type="dxa"/>
            </w:tcMar>
            <w:vAlign w:val="center"/>
            <w:hideMark/>
          </w:tcPr>
          <w:p w14:paraId="3E1852DD" w14:textId="77777777" w:rsidR="0083474C" w:rsidRPr="00771C6F" w:rsidRDefault="0083474C" w:rsidP="00AA4BBB">
            <w:pPr>
              <w:jc w:val="center"/>
              <w:rPr>
                <w:rFonts w:cs="Arial"/>
                <w:sz w:val="16"/>
                <w:szCs w:val="16"/>
              </w:rPr>
            </w:pPr>
            <w:r w:rsidRPr="00771C6F">
              <w:rPr>
                <w:rFonts w:cs="Arial"/>
                <w:sz w:val="16"/>
                <w:szCs w:val="16"/>
              </w:rPr>
              <w:t>38%</w:t>
            </w:r>
          </w:p>
        </w:tc>
        <w:tc>
          <w:tcPr>
            <w:tcW w:w="0" w:type="auto"/>
            <w:tcMar>
              <w:top w:w="30" w:type="dxa"/>
              <w:left w:w="45" w:type="dxa"/>
              <w:bottom w:w="30" w:type="dxa"/>
              <w:right w:w="45" w:type="dxa"/>
            </w:tcMar>
            <w:vAlign w:val="center"/>
            <w:hideMark/>
          </w:tcPr>
          <w:p w14:paraId="462FAF8B" w14:textId="77777777" w:rsidR="0083474C" w:rsidRPr="00771C6F" w:rsidRDefault="0083474C" w:rsidP="00AA4BBB">
            <w:pPr>
              <w:jc w:val="center"/>
              <w:rPr>
                <w:rFonts w:cs="Arial"/>
                <w:sz w:val="16"/>
                <w:szCs w:val="16"/>
              </w:rPr>
            </w:pPr>
            <w:r w:rsidRPr="00771C6F">
              <w:rPr>
                <w:rFonts w:cs="Arial"/>
                <w:sz w:val="16"/>
                <w:szCs w:val="16"/>
              </w:rPr>
              <w:t>12%</w:t>
            </w:r>
          </w:p>
        </w:tc>
        <w:tc>
          <w:tcPr>
            <w:tcW w:w="0" w:type="auto"/>
            <w:vMerge w:val="restart"/>
            <w:tcMar>
              <w:top w:w="30" w:type="dxa"/>
              <w:left w:w="45" w:type="dxa"/>
              <w:bottom w:w="30" w:type="dxa"/>
              <w:right w:w="45" w:type="dxa"/>
            </w:tcMar>
            <w:vAlign w:val="center"/>
            <w:hideMark/>
          </w:tcPr>
          <w:p w14:paraId="2E6E375F" w14:textId="77777777" w:rsidR="0083474C" w:rsidRPr="00771C6F" w:rsidRDefault="0083474C" w:rsidP="00AA4BBB">
            <w:pPr>
              <w:jc w:val="center"/>
              <w:rPr>
                <w:rFonts w:cs="Arial"/>
                <w:b/>
                <w:bCs/>
                <w:sz w:val="16"/>
                <w:szCs w:val="16"/>
              </w:rPr>
            </w:pPr>
            <w:r w:rsidRPr="00771C6F">
              <w:rPr>
                <w:rFonts w:cs="Arial"/>
                <w:b/>
                <w:bCs/>
                <w:sz w:val="16"/>
                <w:szCs w:val="16"/>
              </w:rPr>
              <w:t>2.332.280.298</w:t>
            </w:r>
          </w:p>
        </w:tc>
      </w:tr>
      <w:tr w:rsidR="0083474C" w:rsidRPr="0083474C" w14:paraId="21250867" w14:textId="77777777" w:rsidTr="00BC5D01">
        <w:trPr>
          <w:trHeight w:val="88"/>
        </w:trPr>
        <w:tc>
          <w:tcPr>
            <w:tcW w:w="0" w:type="auto"/>
            <w:vMerge/>
            <w:vAlign w:val="center"/>
            <w:hideMark/>
          </w:tcPr>
          <w:p w14:paraId="533753F0"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0C9C0751" w14:textId="77777777" w:rsidR="0083474C" w:rsidRPr="00771C6F" w:rsidRDefault="0083474C" w:rsidP="00AA4BBB">
            <w:pPr>
              <w:jc w:val="center"/>
              <w:rPr>
                <w:rFonts w:cs="Arial"/>
                <w:sz w:val="16"/>
                <w:szCs w:val="16"/>
              </w:rPr>
            </w:pPr>
            <w:r w:rsidRPr="00771C6F">
              <w:rPr>
                <w:rFonts w:cs="Arial"/>
                <w:sz w:val="16"/>
                <w:szCs w:val="16"/>
              </w:rPr>
              <w:t>480.868.637</w:t>
            </w:r>
          </w:p>
        </w:tc>
        <w:tc>
          <w:tcPr>
            <w:tcW w:w="0" w:type="auto"/>
            <w:tcMar>
              <w:top w:w="30" w:type="dxa"/>
              <w:left w:w="45" w:type="dxa"/>
              <w:bottom w:w="30" w:type="dxa"/>
              <w:right w:w="45" w:type="dxa"/>
            </w:tcMar>
            <w:vAlign w:val="center"/>
            <w:hideMark/>
          </w:tcPr>
          <w:p w14:paraId="58D15BD5" w14:textId="77777777" w:rsidR="0083474C" w:rsidRPr="00771C6F" w:rsidRDefault="0083474C" w:rsidP="00AA4BBB">
            <w:pPr>
              <w:jc w:val="center"/>
              <w:rPr>
                <w:rFonts w:cs="Arial"/>
                <w:sz w:val="16"/>
                <w:szCs w:val="16"/>
              </w:rPr>
            </w:pPr>
            <w:r w:rsidRPr="00771C6F">
              <w:rPr>
                <w:rFonts w:cs="Arial"/>
                <w:sz w:val="16"/>
                <w:szCs w:val="16"/>
              </w:rPr>
              <w:t>673.607.458</w:t>
            </w:r>
          </w:p>
        </w:tc>
        <w:tc>
          <w:tcPr>
            <w:tcW w:w="0" w:type="auto"/>
            <w:tcMar>
              <w:top w:w="30" w:type="dxa"/>
              <w:left w:w="45" w:type="dxa"/>
              <w:bottom w:w="30" w:type="dxa"/>
              <w:right w:w="45" w:type="dxa"/>
            </w:tcMar>
            <w:vAlign w:val="center"/>
            <w:hideMark/>
          </w:tcPr>
          <w:p w14:paraId="72BCD710" w14:textId="77777777" w:rsidR="0083474C" w:rsidRPr="00771C6F" w:rsidRDefault="0083474C" w:rsidP="00AA4BBB">
            <w:pPr>
              <w:jc w:val="center"/>
              <w:rPr>
                <w:rFonts w:cs="Arial"/>
                <w:sz w:val="16"/>
                <w:szCs w:val="16"/>
              </w:rPr>
            </w:pPr>
            <w:r w:rsidRPr="00771C6F">
              <w:rPr>
                <w:rFonts w:cs="Arial"/>
                <w:sz w:val="16"/>
                <w:szCs w:val="16"/>
              </w:rPr>
              <w:t>620.731.158</w:t>
            </w:r>
          </w:p>
        </w:tc>
        <w:tc>
          <w:tcPr>
            <w:tcW w:w="0" w:type="auto"/>
            <w:tcMar>
              <w:top w:w="30" w:type="dxa"/>
              <w:left w:w="45" w:type="dxa"/>
              <w:bottom w:w="30" w:type="dxa"/>
              <w:right w:w="45" w:type="dxa"/>
            </w:tcMar>
            <w:vAlign w:val="center"/>
            <w:hideMark/>
          </w:tcPr>
          <w:p w14:paraId="5193751A" w14:textId="77777777" w:rsidR="0083474C" w:rsidRPr="00771C6F" w:rsidRDefault="0083474C" w:rsidP="00AA4BBB">
            <w:pPr>
              <w:jc w:val="center"/>
              <w:rPr>
                <w:rFonts w:cs="Arial"/>
                <w:sz w:val="16"/>
                <w:szCs w:val="16"/>
              </w:rPr>
            </w:pPr>
            <w:r w:rsidRPr="00771C6F">
              <w:rPr>
                <w:rFonts w:cs="Arial"/>
                <w:sz w:val="16"/>
                <w:szCs w:val="16"/>
              </w:rPr>
              <w:t>557.073.044</w:t>
            </w:r>
          </w:p>
        </w:tc>
        <w:tc>
          <w:tcPr>
            <w:tcW w:w="0" w:type="auto"/>
            <w:vMerge/>
            <w:vAlign w:val="center"/>
            <w:hideMark/>
          </w:tcPr>
          <w:p w14:paraId="21003CB1" w14:textId="77777777" w:rsidR="0083474C" w:rsidRPr="00771C6F" w:rsidRDefault="0083474C" w:rsidP="00AA4BBB">
            <w:pPr>
              <w:rPr>
                <w:rFonts w:cs="Arial"/>
                <w:b/>
                <w:bCs/>
                <w:sz w:val="16"/>
                <w:szCs w:val="16"/>
              </w:rPr>
            </w:pPr>
          </w:p>
        </w:tc>
      </w:tr>
      <w:tr w:rsidR="0083474C" w:rsidRPr="0083474C" w14:paraId="75F96E21" w14:textId="77777777" w:rsidTr="00F725AE">
        <w:tc>
          <w:tcPr>
            <w:tcW w:w="0" w:type="auto"/>
            <w:vMerge w:val="restart"/>
            <w:tcMar>
              <w:top w:w="30" w:type="dxa"/>
              <w:left w:w="45" w:type="dxa"/>
              <w:bottom w:w="30" w:type="dxa"/>
              <w:right w:w="45" w:type="dxa"/>
            </w:tcMar>
            <w:vAlign w:val="center"/>
            <w:hideMark/>
          </w:tcPr>
          <w:p w14:paraId="24C01071" w14:textId="77777777" w:rsidR="0083474C" w:rsidRPr="00BC5D01" w:rsidRDefault="0083474C" w:rsidP="00AA4BBB">
            <w:pPr>
              <w:rPr>
                <w:rFonts w:cs="Arial"/>
                <w:sz w:val="16"/>
                <w:szCs w:val="16"/>
              </w:rPr>
            </w:pPr>
            <w:r w:rsidRPr="00BC5D01">
              <w:rPr>
                <w:rFonts w:cs="Arial"/>
                <w:sz w:val="16"/>
                <w:szCs w:val="16"/>
              </w:rPr>
              <w:t>Desarrollar 81 procesos de investigación memoria y verdad como aporte a la reconciliación en Bogotá.</w:t>
            </w:r>
          </w:p>
        </w:tc>
        <w:tc>
          <w:tcPr>
            <w:tcW w:w="0" w:type="auto"/>
            <w:tcMar>
              <w:top w:w="30" w:type="dxa"/>
              <w:left w:w="45" w:type="dxa"/>
              <w:bottom w:w="30" w:type="dxa"/>
              <w:right w:w="45" w:type="dxa"/>
            </w:tcMar>
            <w:vAlign w:val="center"/>
            <w:hideMark/>
          </w:tcPr>
          <w:p w14:paraId="77437B4A" w14:textId="77777777" w:rsidR="0083474C" w:rsidRPr="00771C6F" w:rsidRDefault="0083474C" w:rsidP="00AA4BBB">
            <w:pPr>
              <w:jc w:val="center"/>
              <w:rPr>
                <w:rFonts w:cs="Arial"/>
                <w:sz w:val="16"/>
                <w:szCs w:val="16"/>
              </w:rPr>
            </w:pPr>
            <w:r w:rsidRPr="00771C6F">
              <w:rPr>
                <w:rFonts w:cs="Arial"/>
                <w:sz w:val="16"/>
                <w:szCs w:val="16"/>
              </w:rPr>
              <w:t>10</w:t>
            </w:r>
          </w:p>
        </w:tc>
        <w:tc>
          <w:tcPr>
            <w:tcW w:w="0" w:type="auto"/>
            <w:tcMar>
              <w:top w:w="30" w:type="dxa"/>
              <w:left w:w="45" w:type="dxa"/>
              <w:bottom w:w="30" w:type="dxa"/>
              <w:right w:w="45" w:type="dxa"/>
            </w:tcMar>
            <w:vAlign w:val="center"/>
            <w:hideMark/>
          </w:tcPr>
          <w:p w14:paraId="72DDC795" w14:textId="77777777" w:rsidR="0083474C" w:rsidRPr="00771C6F" w:rsidRDefault="0083474C" w:rsidP="00AA4BBB">
            <w:pPr>
              <w:jc w:val="center"/>
              <w:rPr>
                <w:rFonts w:cs="Arial"/>
                <w:sz w:val="16"/>
                <w:szCs w:val="16"/>
              </w:rPr>
            </w:pPr>
            <w:r w:rsidRPr="00771C6F">
              <w:rPr>
                <w:rFonts w:cs="Arial"/>
                <w:sz w:val="16"/>
                <w:szCs w:val="16"/>
              </w:rPr>
              <w:t>25</w:t>
            </w:r>
          </w:p>
        </w:tc>
        <w:tc>
          <w:tcPr>
            <w:tcW w:w="0" w:type="auto"/>
            <w:tcMar>
              <w:top w:w="30" w:type="dxa"/>
              <w:left w:w="45" w:type="dxa"/>
              <w:bottom w:w="30" w:type="dxa"/>
              <w:right w:w="45" w:type="dxa"/>
            </w:tcMar>
            <w:vAlign w:val="center"/>
            <w:hideMark/>
          </w:tcPr>
          <w:p w14:paraId="413E8927" w14:textId="77777777" w:rsidR="0083474C" w:rsidRPr="00771C6F" w:rsidRDefault="0083474C" w:rsidP="00AA4BBB">
            <w:pPr>
              <w:jc w:val="center"/>
              <w:rPr>
                <w:rFonts w:cs="Arial"/>
                <w:sz w:val="16"/>
                <w:szCs w:val="16"/>
              </w:rPr>
            </w:pPr>
            <w:r w:rsidRPr="00771C6F">
              <w:rPr>
                <w:rFonts w:cs="Arial"/>
                <w:sz w:val="16"/>
                <w:szCs w:val="16"/>
              </w:rPr>
              <w:t>25</w:t>
            </w:r>
          </w:p>
        </w:tc>
        <w:tc>
          <w:tcPr>
            <w:tcW w:w="0" w:type="auto"/>
            <w:tcMar>
              <w:top w:w="30" w:type="dxa"/>
              <w:left w:w="45" w:type="dxa"/>
              <w:bottom w:w="30" w:type="dxa"/>
              <w:right w:w="45" w:type="dxa"/>
            </w:tcMar>
            <w:vAlign w:val="center"/>
            <w:hideMark/>
          </w:tcPr>
          <w:p w14:paraId="172077E9" w14:textId="77777777" w:rsidR="0083474C" w:rsidRPr="00771C6F" w:rsidRDefault="0083474C" w:rsidP="00AA4BBB">
            <w:pPr>
              <w:jc w:val="center"/>
              <w:rPr>
                <w:rFonts w:cs="Arial"/>
                <w:sz w:val="16"/>
                <w:szCs w:val="16"/>
              </w:rPr>
            </w:pPr>
            <w:r w:rsidRPr="00771C6F">
              <w:rPr>
                <w:rFonts w:cs="Arial"/>
                <w:sz w:val="16"/>
                <w:szCs w:val="16"/>
              </w:rPr>
              <w:t>21</w:t>
            </w:r>
          </w:p>
        </w:tc>
        <w:tc>
          <w:tcPr>
            <w:tcW w:w="0" w:type="auto"/>
            <w:vMerge w:val="restart"/>
            <w:tcMar>
              <w:top w:w="30" w:type="dxa"/>
              <w:left w:w="45" w:type="dxa"/>
              <w:bottom w:w="30" w:type="dxa"/>
              <w:right w:w="45" w:type="dxa"/>
            </w:tcMar>
            <w:vAlign w:val="center"/>
            <w:hideMark/>
          </w:tcPr>
          <w:p w14:paraId="53A4D7D8" w14:textId="77777777" w:rsidR="0083474C" w:rsidRPr="00771C6F" w:rsidRDefault="0083474C" w:rsidP="00AA4BBB">
            <w:pPr>
              <w:jc w:val="center"/>
              <w:rPr>
                <w:rFonts w:cs="Arial"/>
                <w:b/>
                <w:bCs/>
                <w:sz w:val="16"/>
                <w:szCs w:val="16"/>
              </w:rPr>
            </w:pPr>
            <w:r w:rsidRPr="00771C6F">
              <w:rPr>
                <w:rFonts w:cs="Arial"/>
                <w:b/>
                <w:bCs/>
                <w:sz w:val="16"/>
                <w:szCs w:val="16"/>
              </w:rPr>
              <w:t>8.052.448.723</w:t>
            </w:r>
          </w:p>
        </w:tc>
      </w:tr>
      <w:tr w:rsidR="0083474C" w:rsidRPr="0083474C" w14:paraId="48781DAC" w14:textId="77777777" w:rsidTr="00F725AE">
        <w:tc>
          <w:tcPr>
            <w:tcW w:w="0" w:type="auto"/>
            <w:vMerge/>
            <w:vAlign w:val="center"/>
            <w:hideMark/>
          </w:tcPr>
          <w:p w14:paraId="7D02E112"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72815DC1" w14:textId="77777777" w:rsidR="0083474C" w:rsidRPr="00771C6F" w:rsidRDefault="0083474C" w:rsidP="00AA4BBB">
            <w:pPr>
              <w:jc w:val="center"/>
              <w:rPr>
                <w:rFonts w:cs="Arial"/>
                <w:sz w:val="16"/>
                <w:szCs w:val="16"/>
              </w:rPr>
            </w:pPr>
            <w:r w:rsidRPr="00771C6F">
              <w:rPr>
                <w:rFonts w:cs="Arial"/>
                <w:sz w:val="16"/>
                <w:szCs w:val="16"/>
              </w:rPr>
              <w:t>1.496.577.246</w:t>
            </w:r>
          </w:p>
        </w:tc>
        <w:tc>
          <w:tcPr>
            <w:tcW w:w="0" w:type="auto"/>
            <w:tcMar>
              <w:top w:w="30" w:type="dxa"/>
              <w:left w:w="45" w:type="dxa"/>
              <w:bottom w:w="30" w:type="dxa"/>
              <w:right w:w="45" w:type="dxa"/>
            </w:tcMar>
            <w:vAlign w:val="center"/>
            <w:hideMark/>
          </w:tcPr>
          <w:p w14:paraId="67F6BCCE" w14:textId="77777777" w:rsidR="0083474C" w:rsidRPr="00771C6F" w:rsidRDefault="0083474C" w:rsidP="00AA4BBB">
            <w:pPr>
              <w:jc w:val="center"/>
              <w:rPr>
                <w:rFonts w:cs="Arial"/>
                <w:sz w:val="16"/>
                <w:szCs w:val="16"/>
              </w:rPr>
            </w:pPr>
            <w:r w:rsidRPr="00771C6F">
              <w:rPr>
                <w:rFonts w:cs="Arial"/>
                <w:sz w:val="16"/>
                <w:szCs w:val="16"/>
              </w:rPr>
              <w:t>2.043.375.864</w:t>
            </w:r>
          </w:p>
        </w:tc>
        <w:tc>
          <w:tcPr>
            <w:tcW w:w="0" w:type="auto"/>
            <w:tcMar>
              <w:top w:w="30" w:type="dxa"/>
              <w:left w:w="45" w:type="dxa"/>
              <w:bottom w:w="30" w:type="dxa"/>
              <w:right w:w="45" w:type="dxa"/>
            </w:tcMar>
            <w:vAlign w:val="center"/>
            <w:hideMark/>
          </w:tcPr>
          <w:p w14:paraId="7FB6293D" w14:textId="77777777" w:rsidR="0083474C" w:rsidRPr="00771C6F" w:rsidRDefault="0083474C" w:rsidP="00AA4BBB">
            <w:pPr>
              <w:jc w:val="center"/>
              <w:rPr>
                <w:rFonts w:cs="Arial"/>
                <w:sz w:val="16"/>
                <w:szCs w:val="16"/>
              </w:rPr>
            </w:pPr>
            <w:r w:rsidRPr="00771C6F">
              <w:rPr>
                <w:rFonts w:cs="Arial"/>
                <w:sz w:val="16"/>
                <w:szCs w:val="16"/>
              </w:rPr>
              <w:t>2.256.247.807</w:t>
            </w:r>
          </w:p>
        </w:tc>
        <w:tc>
          <w:tcPr>
            <w:tcW w:w="0" w:type="auto"/>
            <w:tcMar>
              <w:top w:w="30" w:type="dxa"/>
              <w:left w:w="45" w:type="dxa"/>
              <w:bottom w:w="30" w:type="dxa"/>
              <w:right w:w="45" w:type="dxa"/>
            </w:tcMar>
            <w:vAlign w:val="center"/>
            <w:hideMark/>
          </w:tcPr>
          <w:p w14:paraId="0A58F369" w14:textId="77777777" w:rsidR="0083474C" w:rsidRPr="00771C6F" w:rsidRDefault="0083474C" w:rsidP="00AA4BBB">
            <w:pPr>
              <w:jc w:val="center"/>
              <w:rPr>
                <w:rFonts w:cs="Arial"/>
                <w:sz w:val="16"/>
                <w:szCs w:val="16"/>
              </w:rPr>
            </w:pPr>
            <w:r w:rsidRPr="00771C6F">
              <w:rPr>
                <w:rFonts w:cs="Arial"/>
                <w:sz w:val="16"/>
                <w:szCs w:val="16"/>
              </w:rPr>
              <w:t>2.256.247.807</w:t>
            </w:r>
          </w:p>
        </w:tc>
        <w:tc>
          <w:tcPr>
            <w:tcW w:w="0" w:type="auto"/>
            <w:vMerge/>
            <w:vAlign w:val="center"/>
            <w:hideMark/>
          </w:tcPr>
          <w:p w14:paraId="117ECC81" w14:textId="77777777" w:rsidR="0083474C" w:rsidRPr="00771C6F" w:rsidRDefault="0083474C" w:rsidP="00AA4BBB">
            <w:pPr>
              <w:rPr>
                <w:rFonts w:cs="Arial"/>
                <w:b/>
                <w:bCs/>
                <w:sz w:val="16"/>
                <w:szCs w:val="16"/>
              </w:rPr>
            </w:pPr>
          </w:p>
        </w:tc>
      </w:tr>
      <w:tr w:rsidR="0083474C" w:rsidRPr="0083474C" w14:paraId="3D9BB72B" w14:textId="77777777" w:rsidTr="00F725AE">
        <w:tc>
          <w:tcPr>
            <w:tcW w:w="0" w:type="auto"/>
            <w:vMerge w:val="restart"/>
            <w:tcMar>
              <w:top w:w="30" w:type="dxa"/>
              <w:left w:w="45" w:type="dxa"/>
              <w:bottom w:w="30" w:type="dxa"/>
              <w:right w:w="45" w:type="dxa"/>
            </w:tcMar>
            <w:vAlign w:val="center"/>
            <w:hideMark/>
          </w:tcPr>
          <w:p w14:paraId="43171ACA" w14:textId="77777777" w:rsidR="0083474C" w:rsidRPr="00BC5D01" w:rsidRDefault="0083474C" w:rsidP="00AA4BBB">
            <w:pPr>
              <w:rPr>
                <w:rFonts w:cs="Arial"/>
                <w:sz w:val="16"/>
                <w:szCs w:val="16"/>
              </w:rPr>
            </w:pPr>
            <w:r w:rsidRPr="00BC5D01">
              <w:rPr>
                <w:rFonts w:cs="Arial"/>
                <w:sz w:val="16"/>
                <w:szCs w:val="16"/>
              </w:rPr>
              <w:t>Implementar 1 ruta distrital en alianza con el sector privado para la inclusión laboral y sostenibilidad económica de personas en proceso de reincorporación reintegración personas que hayan culminado la ruta de reintegración o comparecientes ante la JEP</w:t>
            </w:r>
          </w:p>
        </w:tc>
        <w:tc>
          <w:tcPr>
            <w:tcW w:w="0" w:type="auto"/>
            <w:tcMar>
              <w:top w:w="30" w:type="dxa"/>
              <w:left w:w="45" w:type="dxa"/>
              <w:bottom w:w="30" w:type="dxa"/>
              <w:right w:w="45" w:type="dxa"/>
            </w:tcMar>
            <w:vAlign w:val="center"/>
            <w:hideMark/>
          </w:tcPr>
          <w:p w14:paraId="686B7FE9" w14:textId="77777777" w:rsidR="0083474C" w:rsidRPr="00771C6F" w:rsidRDefault="0083474C" w:rsidP="00AA4BBB">
            <w:pPr>
              <w:jc w:val="center"/>
              <w:rPr>
                <w:rFonts w:cs="Arial"/>
                <w:sz w:val="16"/>
                <w:szCs w:val="16"/>
              </w:rPr>
            </w:pPr>
            <w:r w:rsidRPr="00771C6F">
              <w:rPr>
                <w:rFonts w:cs="Arial"/>
                <w:sz w:val="16"/>
                <w:szCs w:val="16"/>
              </w:rPr>
              <w:t>40%</w:t>
            </w:r>
          </w:p>
        </w:tc>
        <w:tc>
          <w:tcPr>
            <w:tcW w:w="0" w:type="auto"/>
            <w:tcMar>
              <w:top w:w="30" w:type="dxa"/>
              <w:left w:w="45" w:type="dxa"/>
              <w:bottom w:w="30" w:type="dxa"/>
              <w:right w:w="45" w:type="dxa"/>
            </w:tcMar>
            <w:vAlign w:val="center"/>
            <w:hideMark/>
          </w:tcPr>
          <w:p w14:paraId="7F170740" w14:textId="77777777" w:rsidR="0083474C" w:rsidRPr="00771C6F" w:rsidRDefault="0083474C" w:rsidP="00AA4BBB">
            <w:pPr>
              <w:jc w:val="center"/>
              <w:rPr>
                <w:rFonts w:cs="Arial"/>
                <w:sz w:val="16"/>
                <w:szCs w:val="16"/>
              </w:rPr>
            </w:pPr>
            <w:r w:rsidRPr="00771C6F">
              <w:rPr>
                <w:rFonts w:cs="Arial"/>
                <w:sz w:val="16"/>
                <w:szCs w:val="16"/>
              </w:rPr>
              <w:t>40%</w:t>
            </w:r>
          </w:p>
        </w:tc>
        <w:tc>
          <w:tcPr>
            <w:tcW w:w="0" w:type="auto"/>
            <w:tcMar>
              <w:top w:w="30" w:type="dxa"/>
              <w:left w:w="45" w:type="dxa"/>
              <w:bottom w:w="30" w:type="dxa"/>
              <w:right w:w="45" w:type="dxa"/>
            </w:tcMar>
            <w:vAlign w:val="center"/>
            <w:hideMark/>
          </w:tcPr>
          <w:p w14:paraId="317E1AE3" w14:textId="77777777" w:rsidR="0083474C" w:rsidRPr="00771C6F" w:rsidRDefault="0083474C" w:rsidP="00AA4BBB">
            <w:pPr>
              <w:jc w:val="center"/>
              <w:rPr>
                <w:rFonts w:cs="Arial"/>
                <w:sz w:val="16"/>
                <w:szCs w:val="16"/>
              </w:rPr>
            </w:pPr>
            <w:r w:rsidRPr="00771C6F">
              <w:rPr>
                <w:rFonts w:cs="Arial"/>
                <w:sz w:val="16"/>
                <w:szCs w:val="16"/>
              </w:rPr>
              <w:t>10%</w:t>
            </w:r>
          </w:p>
        </w:tc>
        <w:tc>
          <w:tcPr>
            <w:tcW w:w="0" w:type="auto"/>
            <w:tcMar>
              <w:top w:w="30" w:type="dxa"/>
              <w:left w:w="45" w:type="dxa"/>
              <w:bottom w:w="30" w:type="dxa"/>
              <w:right w:w="45" w:type="dxa"/>
            </w:tcMar>
            <w:vAlign w:val="center"/>
            <w:hideMark/>
          </w:tcPr>
          <w:p w14:paraId="4DDA3B06" w14:textId="77777777" w:rsidR="0083474C" w:rsidRPr="00771C6F" w:rsidRDefault="0083474C" w:rsidP="00AA4BBB">
            <w:pPr>
              <w:jc w:val="center"/>
              <w:rPr>
                <w:rFonts w:cs="Arial"/>
                <w:sz w:val="16"/>
                <w:szCs w:val="16"/>
              </w:rPr>
            </w:pPr>
            <w:r w:rsidRPr="00771C6F">
              <w:rPr>
                <w:rFonts w:cs="Arial"/>
                <w:sz w:val="16"/>
                <w:szCs w:val="16"/>
              </w:rPr>
              <w:t>10%</w:t>
            </w:r>
          </w:p>
        </w:tc>
        <w:tc>
          <w:tcPr>
            <w:tcW w:w="0" w:type="auto"/>
            <w:vMerge w:val="restart"/>
            <w:tcMar>
              <w:top w:w="30" w:type="dxa"/>
              <w:left w:w="45" w:type="dxa"/>
              <w:bottom w:w="30" w:type="dxa"/>
              <w:right w:w="45" w:type="dxa"/>
            </w:tcMar>
            <w:vAlign w:val="center"/>
            <w:hideMark/>
          </w:tcPr>
          <w:p w14:paraId="481736BC" w14:textId="77777777" w:rsidR="0083474C" w:rsidRPr="00771C6F" w:rsidRDefault="0083474C" w:rsidP="00AA4BBB">
            <w:pPr>
              <w:jc w:val="center"/>
              <w:rPr>
                <w:rFonts w:cs="Arial"/>
                <w:b/>
                <w:bCs/>
                <w:sz w:val="16"/>
                <w:szCs w:val="16"/>
              </w:rPr>
            </w:pPr>
            <w:r w:rsidRPr="00771C6F">
              <w:rPr>
                <w:rFonts w:cs="Arial"/>
                <w:b/>
                <w:bCs/>
                <w:sz w:val="16"/>
                <w:szCs w:val="16"/>
              </w:rPr>
              <w:t>790.355.198</w:t>
            </w:r>
          </w:p>
        </w:tc>
      </w:tr>
      <w:tr w:rsidR="0083474C" w:rsidRPr="0083474C" w14:paraId="156903D3" w14:textId="77777777" w:rsidTr="00F725AE">
        <w:tc>
          <w:tcPr>
            <w:tcW w:w="0" w:type="auto"/>
            <w:vMerge/>
            <w:vAlign w:val="center"/>
            <w:hideMark/>
          </w:tcPr>
          <w:p w14:paraId="19CEC38A"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2C305396" w14:textId="77777777" w:rsidR="0083474C" w:rsidRPr="00771C6F" w:rsidRDefault="0083474C" w:rsidP="00AA4BBB">
            <w:pPr>
              <w:jc w:val="center"/>
              <w:rPr>
                <w:rFonts w:cs="Arial"/>
                <w:sz w:val="16"/>
                <w:szCs w:val="16"/>
              </w:rPr>
            </w:pPr>
            <w:r w:rsidRPr="00771C6F">
              <w:rPr>
                <w:rFonts w:cs="Arial"/>
                <w:sz w:val="16"/>
                <w:szCs w:val="16"/>
              </w:rPr>
              <w:t>164.563.933</w:t>
            </w:r>
          </w:p>
        </w:tc>
        <w:tc>
          <w:tcPr>
            <w:tcW w:w="0" w:type="auto"/>
            <w:tcMar>
              <w:top w:w="30" w:type="dxa"/>
              <w:left w:w="45" w:type="dxa"/>
              <w:bottom w:w="30" w:type="dxa"/>
              <w:right w:w="45" w:type="dxa"/>
            </w:tcMar>
            <w:vAlign w:val="center"/>
            <w:hideMark/>
          </w:tcPr>
          <w:p w14:paraId="55035BC9" w14:textId="77777777" w:rsidR="0083474C" w:rsidRPr="00771C6F" w:rsidRDefault="0083474C" w:rsidP="00AA4BBB">
            <w:pPr>
              <w:jc w:val="center"/>
              <w:rPr>
                <w:rFonts w:cs="Arial"/>
                <w:sz w:val="16"/>
                <w:szCs w:val="16"/>
              </w:rPr>
            </w:pPr>
            <w:r w:rsidRPr="00771C6F">
              <w:rPr>
                <w:rFonts w:cs="Arial"/>
                <w:sz w:val="16"/>
                <w:szCs w:val="16"/>
              </w:rPr>
              <w:t>207.158.021</w:t>
            </w:r>
          </w:p>
        </w:tc>
        <w:tc>
          <w:tcPr>
            <w:tcW w:w="0" w:type="auto"/>
            <w:tcMar>
              <w:top w:w="30" w:type="dxa"/>
              <w:left w:w="45" w:type="dxa"/>
              <w:bottom w:w="30" w:type="dxa"/>
              <w:right w:w="45" w:type="dxa"/>
            </w:tcMar>
            <w:vAlign w:val="center"/>
            <w:hideMark/>
          </w:tcPr>
          <w:p w14:paraId="7CE513FE" w14:textId="77777777" w:rsidR="0083474C" w:rsidRPr="00771C6F" w:rsidRDefault="0083474C" w:rsidP="00AA4BBB">
            <w:pPr>
              <w:jc w:val="center"/>
              <w:rPr>
                <w:rFonts w:cs="Arial"/>
                <w:sz w:val="16"/>
                <w:szCs w:val="16"/>
              </w:rPr>
            </w:pPr>
            <w:r w:rsidRPr="00771C6F">
              <w:rPr>
                <w:rFonts w:cs="Arial"/>
                <w:sz w:val="16"/>
                <w:szCs w:val="16"/>
              </w:rPr>
              <w:t>209.321.564</w:t>
            </w:r>
          </w:p>
        </w:tc>
        <w:tc>
          <w:tcPr>
            <w:tcW w:w="0" w:type="auto"/>
            <w:tcMar>
              <w:top w:w="30" w:type="dxa"/>
              <w:left w:w="45" w:type="dxa"/>
              <w:bottom w:w="30" w:type="dxa"/>
              <w:right w:w="45" w:type="dxa"/>
            </w:tcMar>
            <w:vAlign w:val="center"/>
            <w:hideMark/>
          </w:tcPr>
          <w:p w14:paraId="7B3CFFA4" w14:textId="77777777" w:rsidR="0083474C" w:rsidRPr="00771C6F" w:rsidRDefault="0083474C" w:rsidP="00AA4BBB">
            <w:pPr>
              <w:jc w:val="center"/>
              <w:rPr>
                <w:rFonts w:cs="Arial"/>
                <w:sz w:val="16"/>
                <w:szCs w:val="16"/>
              </w:rPr>
            </w:pPr>
            <w:r w:rsidRPr="00771C6F">
              <w:rPr>
                <w:rFonts w:cs="Arial"/>
                <w:sz w:val="16"/>
                <w:szCs w:val="16"/>
              </w:rPr>
              <w:t>209.311.680</w:t>
            </w:r>
          </w:p>
        </w:tc>
        <w:tc>
          <w:tcPr>
            <w:tcW w:w="0" w:type="auto"/>
            <w:vMerge/>
            <w:vAlign w:val="center"/>
            <w:hideMark/>
          </w:tcPr>
          <w:p w14:paraId="6E2826E5" w14:textId="77777777" w:rsidR="0083474C" w:rsidRPr="00771C6F" w:rsidRDefault="0083474C" w:rsidP="00AA4BBB">
            <w:pPr>
              <w:rPr>
                <w:rFonts w:cs="Arial"/>
                <w:b/>
                <w:bCs/>
                <w:sz w:val="16"/>
                <w:szCs w:val="16"/>
              </w:rPr>
            </w:pPr>
          </w:p>
        </w:tc>
      </w:tr>
      <w:tr w:rsidR="0083474C" w:rsidRPr="0083474C" w14:paraId="0D90A6C1" w14:textId="77777777" w:rsidTr="00F725AE">
        <w:tc>
          <w:tcPr>
            <w:tcW w:w="0" w:type="auto"/>
            <w:vMerge w:val="restart"/>
            <w:tcMar>
              <w:top w:w="30" w:type="dxa"/>
              <w:left w:w="45" w:type="dxa"/>
              <w:bottom w:w="30" w:type="dxa"/>
              <w:right w:w="45" w:type="dxa"/>
            </w:tcMar>
            <w:vAlign w:val="center"/>
            <w:hideMark/>
          </w:tcPr>
          <w:p w14:paraId="78C46707" w14:textId="77777777" w:rsidR="0083474C" w:rsidRPr="00BC5D01" w:rsidRDefault="0083474C" w:rsidP="00AA4BBB">
            <w:pPr>
              <w:rPr>
                <w:rFonts w:cs="Arial"/>
                <w:sz w:val="16"/>
                <w:szCs w:val="16"/>
              </w:rPr>
            </w:pPr>
            <w:r w:rsidRPr="00BC5D01">
              <w:rPr>
                <w:rFonts w:cs="Arial"/>
                <w:sz w:val="16"/>
                <w:szCs w:val="16"/>
              </w:rPr>
              <w:t>Implementar 20 procesos pedagógicos que contribuyan al cumplimiento de los objetivos del Sistema Integral de Verdad Justicia Reparación y No Repetición.</w:t>
            </w:r>
          </w:p>
        </w:tc>
        <w:tc>
          <w:tcPr>
            <w:tcW w:w="0" w:type="auto"/>
            <w:tcMar>
              <w:top w:w="30" w:type="dxa"/>
              <w:left w:w="45" w:type="dxa"/>
              <w:bottom w:w="30" w:type="dxa"/>
              <w:right w:w="45" w:type="dxa"/>
            </w:tcMar>
            <w:vAlign w:val="center"/>
            <w:hideMark/>
          </w:tcPr>
          <w:p w14:paraId="21B16C49" w14:textId="77777777" w:rsidR="0083474C" w:rsidRPr="00771C6F" w:rsidRDefault="0083474C" w:rsidP="00AA4BBB">
            <w:pPr>
              <w:jc w:val="center"/>
              <w:rPr>
                <w:rFonts w:cs="Arial"/>
                <w:sz w:val="16"/>
                <w:szCs w:val="16"/>
              </w:rPr>
            </w:pPr>
            <w:r w:rsidRPr="00771C6F">
              <w:rPr>
                <w:rFonts w:cs="Arial"/>
                <w:sz w:val="16"/>
                <w:szCs w:val="16"/>
              </w:rPr>
              <w:t>3</w:t>
            </w:r>
          </w:p>
        </w:tc>
        <w:tc>
          <w:tcPr>
            <w:tcW w:w="0" w:type="auto"/>
            <w:tcMar>
              <w:top w:w="30" w:type="dxa"/>
              <w:left w:w="45" w:type="dxa"/>
              <w:bottom w:w="30" w:type="dxa"/>
              <w:right w:w="45" w:type="dxa"/>
            </w:tcMar>
            <w:vAlign w:val="center"/>
            <w:hideMark/>
          </w:tcPr>
          <w:p w14:paraId="2E93DFFF" w14:textId="77777777" w:rsidR="0083474C" w:rsidRPr="00771C6F" w:rsidRDefault="0083474C" w:rsidP="00AA4BBB">
            <w:pPr>
              <w:jc w:val="center"/>
              <w:rPr>
                <w:rFonts w:cs="Arial"/>
                <w:sz w:val="16"/>
                <w:szCs w:val="16"/>
              </w:rPr>
            </w:pPr>
            <w:r w:rsidRPr="00771C6F">
              <w:rPr>
                <w:rFonts w:cs="Arial"/>
                <w:sz w:val="16"/>
                <w:szCs w:val="16"/>
              </w:rPr>
              <w:t>6</w:t>
            </w:r>
          </w:p>
        </w:tc>
        <w:tc>
          <w:tcPr>
            <w:tcW w:w="0" w:type="auto"/>
            <w:tcMar>
              <w:top w:w="30" w:type="dxa"/>
              <w:left w:w="45" w:type="dxa"/>
              <w:bottom w:w="30" w:type="dxa"/>
              <w:right w:w="45" w:type="dxa"/>
            </w:tcMar>
            <w:vAlign w:val="center"/>
            <w:hideMark/>
          </w:tcPr>
          <w:p w14:paraId="7A050B4E" w14:textId="77777777" w:rsidR="0083474C" w:rsidRPr="00771C6F" w:rsidRDefault="0083474C" w:rsidP="00AA4BBB">
            <w:pPr>
              <w:jc w:val="center"/>
              <w:rPr>
                <w:rFonts w:cs="Arial"/>
                <w:sz w:val="16"/>
                <w:szCs w:val="16"/>
              </w:rPr>
            </w:pPr>
            <w:r w:rsidRPr="00771C6F">
              <w:rPr>
                <w:rFonts w:cs="Arial"/>
                <w:sz w:val="16"/>
                <w:szCs w:val="16"/>
              </w:rPr>
              <w:t>6</w:t>
            </w:r>
          </w:p>
        </w:tc>
        <w:tc>
          <w:tcPr>
            <w:tcW w:w="0" w:type="auto"/>
            <w:tcMar>
              <w:top w:w="30" w:type="dxa"/>
              <w:left w:w="45" w:type="dxa"/>
              <w:bottom w:w="30" w:type="dxa"/>
              <w:right w:w="45" w:type="dxa"/>
            </w:tcMar>
            <w:vAlign w:val="center"/>
            <w:hideMark/>
          </w:tcPr>
          <w:p w14:paraId="2E8FAF17" w14:textId="77777777" w:rsidR="0083474C" w:rsidRPr="00771C6F" w:rsidRDefault="0083474C" w:rsidP="00AA4BBB">
            <w:pPr>
              <w:jc w:val="center"/>
              <w:rPr>
                <w:rFonts w:cs="Arial"/>
                <w:sz w:val="16"/>
                <w:szCs w:val="16"/>
              </w:rPr>
            </w:pPr>
            <w:r w:rsidRPr="00771C6F">
              <w:rPr>
                <w:rFonts w:cs="Arial"/>
                <w:sz w:val="16"/>
                <w:szCs w:val="16"/>
              </w:rPr>
              <w:t>5</w:t>
            </w:r>
          </w:p>
        </w:tc>
        <w:tc>
          <w:tcPr>
            <w:tcW w:w="0" w:type="auto"/>
            <w:vMerge w:val="restart"/>
            <w:tcMar>
              <w:top w:w="30" w:type="dxa"/>
              <w:left w:w="45" w:type="dxa"/>
              <w:bottom w:w="30" w:type="dxa"/>
              <w:right w:w="45" w:type="dxa"/>
            </w:tcMar>
            <w:vAlign w:val="center"/>
            <w:hideMark/>
          </w:tcPr>
          <w:p w14:paraId="593CD3A8" w14:textId="77777777" w:rsidR="0083474C" w:rsidRPr="00771C6F" w:rsidRDefault="0083474C" w:rsidP="00AA4BBB">
            <w:pPr>
              <w:jc w:val="center"/>
              <w:rPr>
                <w:rFonts w:cs="Arial"/>
                <w:b/>
                <w:bCs/>
                <w:sz w:val="16"/>
                <w:szCs w:val="16"/>
              </w:rPr>
            </w:pPr>
            <w:r w:rsidRPr="00771C6F">
              <w:rPr>
                <w:rFonts w:cs="Arial"/>
                <w:b/>
                <w:bCs/>
                <w:sz w:val="16"/>
                <w:szCs w:val="16"/>
              </w:rPr>
              <w:t>16.805.344.008</w:t>
            </w:r>
          </w:p>
        </w:tc>
      </w:tr>
      <w:tr w:rsidR="0083474C" w:rsidRPr="0083474C" w14:paraId="6759A56E" w14:textId="77777777" w:rsidTr="00F725AE">
        <w:tc>
          <w:tcPr>
            <w:tcW w:w="0" w:type="auto"/>
            <w:vMerge/>
            <w:vAlign w:val="center"/>
            <w:hideMark/>
          </w:tcPr>
          <w:p w14:paraId="015A01F9"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750A6859" w14:textId="77777777" w:rsidR="0083474C" w:rsidRPr="00771C6F" w:rsidRDefault="0083474C" w:rsidP="00AA4BBB">
            <w:pPr>
              <w:jc w:val="center"/>
              <w:rPr>
                <w:rFonts w:cs="Arial"/>
                <w:sz w:val="16"/>
                <w:szCs w:val="16"/>
              </w:rPr>
            </w:pPr>
            <w:r w:rsidRPr="00771C6F">
              <w:rPr>
                <w:rFonts w:cs="Arial"/>
                <w:sz w:val="16"/>
                <w:szCs w:val="16"/>
              </w:rPr>
              <w:t>4.072.968.606</w:t>
            </w:r>
          </w:p>
        </w:tc>
        <w:tc>
          <w:tcPr>
            <w:tcW w:w="0" w:type="auto"/>
            <w:tcMar>
              <w:top w:w="30" w:type="dxa"/>
              <w:left w:w="45" w:type="dxa"/>
              <w:bottom w:w="30" w:type="dxa"/>
              <w:right w:w="45" w:type="dxa"/>
            </w:tcMar>
            <w:vAlign w:val="center"/>
            <w:hideMark/>
          </w:tcPr>
          <w:p w14:paraId="2B5215B2" w14:textId="77777777" w:rsidR="0083474C" w:rsidRPr="00771C6F" w:rsidRDefault="0083474C" w:rsidP="00AA4BBB">
            <w:pPr>
              <w:jc w:val="center"/>
              <w:rPr>
                <w:rFonts w:cs="Arial"/>
                <w:sz w:val="16"/>
                <w:szCs w:val="16"/>
              </w:rPr>
            </w:pPr>
            <w:r w:rsidRPr="00771C6F">
              <w:rPr>
                <w:rFonts w:cs="Arial"/>
                <w:sz w:val="16"/>
                <w:szCs w:val="16"/>
              </w:rPr>
              <w:t>3.968.952.245</w:t>
            </w:r>
          </w:p>
        </w:tc>
        <w:tc>
          <w:tcPr>
            <w:tcW w:w="0" w:type="auto"/>
            <w:tcMar>
              <w:top w:w="30" w:type="dxa"/>
              <w:left w:w="45" w:type="dxa"/>
              <w:bottom w:w="30" w:type="dxa"/>
              <w:right w:w="45" w:type="dxa"/>
            </w:tcMar>
            <w:vAlign w:val="center"/>
            <w:hideMark/>
          </w:tcPr>
          <w:p w14:paraId="07171A52" w14:textId="77777777" w:rsidR="0083474C" w:rsidRPr="00771C6F" w:rsidRDefault="0083474C" w:rsidP="00AA4BBB">
            <w:pPr>
              <w:jc w:val="center"/>
              <w:rPr>
                <w:rFonts w:cs="Arial"/>
                <w:sz w:val="16"/>
                <w:szCs w:val="16"/>
              </w:rPr>
            </w:pPr>
            <w:r w:rsidRPr="00771C6F">
              <w:rPr>
                <w:rFonts w:cs="Arial"/>
                <w:sz w:val="16"/>
                <w:szCs w:val="16"/>
              </w:rPr>
              <w:t>4.381.711.579</w:t>
            </w:r>
          </w:p>
        </w:tc>
        <w:tc>
          <w:tcPr>
            <w:tcW w:w="0" w:type="auto"/>
            <w:tcMar>
              <w:top w:w="30" w:type="dxa"/>
              <w:left w:w="45" w:type="dxa"/>
              <w:bottom w:w="30" w:type="dxa"/>
              <w:right w:w="45" w:type="dxa"/>
            </w:tcMar>
            <w:vAlign w:val="center"/>
            <w:hideMark/>
          </w:tcPr>
          <w:p w14:paraId="1C59684D" w14:textId="77777777" w:rsidR="0083474C" w:rsidRPr="00771C6F" w:rsidRDefault="0083474C" w:rsidP="00AA4BBB">
            <w:pPr>
              <w:jc w:val="center"/>
              <w:rPr>
                <w:rFonts w:cs="Arial"/>
                <w:sz w:val="16"/>
                <w:szCs w:val="16"/>
              </w:rPr>
            </w:pPr>
            <w:r w:rsidRPr="00771C6F">
              <w:rPr>
                <w:rFonts w:cs="Arial"/>
                <w:sz w:val="16"/>
                <w:szCs w:val="16"/>
              </w:rPr>
              <w:t>4.381.711.578</w:t>
            </w:r>
          </w:p>
        </w:tc>
        <w:tc>
          <w:tcPr>
            <w:tcW w:w="0" w:type="auto"/>
            <w:vMerge/>
            <w:vAlign w:val="center"/>
            <w:hideMark/>
          </w:tcPr>
          <w:p w14:paraId="2D030167" w14:textId="77777777" w:rsidR="0083474C" w:rsidRPr="00771C6F" w:rsidRDefault="0083474C" w:rsidP="00AA4BBB">
            <w:pPr>
              <w:rPr>
                <w:rFonts w:cs="Arial"/>
                <w:b/>
                <w:bCs/>
                <w:sz w:val="16"/>
                <w:szCs w:val="16"/>
              </w:rPr>
            </w:pPr>
          </w:p>
        </w:tc>
      </w:tr>
      <w:tr w:rsidR="0083474C" w:rsidRPr="0083474C" w14:paraId="052E6F68" w14:textId="77777777" w:rsidTr="00F725AE">
        <w:tc>
          <w:tcPr>
            <w:tcW w:w="0" w:type="auto"/>
            <w:vMerge w:val="restart"/>
            <w:tcMar>
              <w:top w:w="30" w:type="dxa"/>
              <w:left w:w="45" w:type="dxa"/>
              <w:bottom w:w="30" w:type="dxa"/>
              <w:right w:w="45" w:type="dxa"/>
            </w:tcMar>
            <w:vAlign w:val="center"/>
            <w:hideMark/>
          </w:tcPr>
          <w:p w14:paraId="752C6511" w14:textId="77777777" w:rsidR="0083474C" w:rsidRPr="00BC5D01" w:rsidRDefault="0083474C" w:rsidP="00AA4BBB">
            <w:pPr>
              <w:rPr>
                <w:rFonts w:cs="Arial"/>
                <w:sz w:val="16"/>
                <w:szCs w:val="16"/>
              </w:rPr>
            </w:pPr>
            <w:r w:rsidRPr="00BC5D01">
              <w:rPr>
                <w:rFonts w:cs="Arial"/>
                <w:sz w:val="16"/>
                <w:szCs w:val="16"/>
              </w:rPr>
              <w:t>Implementar al 100% las medidas de atención y asistencia a víctimas conforme a la competencia del Distrito.</w:t>
            </w:r>
          </w:p>
        </w:tc>
        <w:tc>
          <w:tcPr>
            <w:tcW w:w="0" w:type="auto"/>
            <w:tcMar>
              <w:top w:w="30" w:type="dxa"/>
              <w:left w:w="45" w:type="dxa"/>
              <w:bottom w:w="30" w:type="dxa"/>
              <w:right w:w="45" w:type="dxa"/>
            </w:tcMar>
            <w:vAlign w:val="center"/>
            <w:hideMark/>
          </w:tcPr>
          <w:p w14:paraId="432E43E6"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tcMar>
              <w:top w:w="30" w:type="dxa"/>
              <w:left w:w="45" w:type="dxa"/>
              <w:bottom w:w="30" w:type="dxa"/>
              <w:right w:w="45" w:type="dxa"/>
            </w:tcMar>
            <w:vAlign w:val="center"/>
            <w:hideMark/>
          </w:tcPr>
          <w:p w14:paraId="60EF98CF"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tcMar>
              <w:top w:w="30" w:type="dxa"/>
              <w:left w:w="45" w:type="dxa"/>
              <w:bottom w:w="30" w:type="dxa"/>
              <w:right w:w="45" w:type="dxa"/>
            </w:tcMar>
            <w:vAlign w:val="center"/>
            <w:hideMark/>
          </w:tcPr>
          <w:p w14:paraId="62C61743"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tcMar>
              <w:top w:w="30" w:type="dxa"/>
              <w:left w:w="45" w:type="dxa"/>
              <w:bottom w:w="30" w:type="dxa"/>
              <w:right w:w="45" w:type="dxa"/>
            </w:tcMar>
            <w:vAlign w:val="center"/>
            <w:hideMark/>
          </w:tcPr>
          <w:p w14:paraId="64774BEA"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vMerge w:val="restart"/>
            <w:tcMar>
              <w:top w:w="30" w:type="dxa"/>
              <w:left w:w="45" w:type="dxa"/>
              <w:bottom w:w="30" w:type="dxa"/>
              <w:right w:w="45" w:type="dxa"/>
            </w:tcMar>
            <w:vAlign w:val="center"/>
            <w:hideMark/>
          </w:tcPr>
          <w:p w14:paraId="4FA84366" w14:textId="77777777" w:rsidR="0083474C" w:rsidRPr="00771C6F" w:rsidRDefault="0083474C" w:rsidP="00AA4BBB">
            <w:pPr>
              <w:jc w:val="center"/>
              <w:rPr>
                <w:rFonts w:cs="Arial"/>
                <w:b/>
                <w:bCs/>
                <w:sz w:val="16"/>
                <w:szCs w:val="16"/>
              </w:rPr>
            </w:pPr>
            <w:r w:rsidRPr="00771C6F">
              <w:rPr>
                <w:rFonts w:cs="Arial"/>
                <w:b/>
                <w:bCs/>
                <w:sz w:val="16"/>
                <w:szCs w:val="16"/>
              </w:rPr>
              <w:t>97.697.522.774</w:t>
            </w:r>
          </w:p>
        </w:tc>
      </w:tr>
      <w:tr w:rsidR="0083474C" w:rsidRPr="0083474C" w14:paraId="314B46F5" w14:textId="77777777" w:rsidTr="00F725AE">
        <w:tc>
          <w:tcPr>
            <w:tcW w:w="0" w:type="auto"/>
            <w:vMerge/>
            <w:vAlign w:val="center"/>
            <w:hideMark/>
          </w:tcPr>
          <w:p w14:paraId="6174A9F8"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53A969FB" w14:textId="77777777" w:rsidR="0083474C" w:rsidRPr="00771C6F" w:rsidRDefault="0083474C" w:rsidP="00AA4BBB">
            <w:pPr>
              <w:jc w:val="center"/>
              <w:rPr>
                <w:rFonts w:cs="Arial"/>
                <w:sz w:val="16"/>
                <w:szCs w:val="16"/>
              </w:rPr>
            </w:pPr>
            <w:r w:rsidRPr="00771C6F">
              <w:rPr>
                <w:rFonts w:cs="Arial"/>
                <w:sz w:val="16"/>
                <w:szCs w:val="16"/>
              </w:rPr>
              <w:t>20.702.902.322</w:t>
            </w:r>
          </w:p>
        </w:tc>
        <w:tc>
          <w:tcPr>
            <w:tcW w:w="0" w:type="auto"/>
            <w:tcMar>
              <w:top w:w="30" w:type="dxa"/>
              <w:left w:w="45" w:type="dxa"/>
              <w:bottom w:w="30" w:type="dxa"/>
              <w:right w:w="45" w:type="dxa"/>
            </w:tcMar>
            <w:vAlign w:val="center"/>
            <w:hideMark/>
          </w:tcPr>
          <w:p w14:paraId="2553A8B0" w14:textId="77777777" w:rsidR="0083474C" w:rsidRPr="00771C6F" w:rsidRDefault="0083474C" w:rsidP="00AA4BBB">
            <w:pPr>
              <w:jc w:val="center"/>
              <w:rPr>
                <w:rFonts w:cs="Arial"/>
                <w:sz w:val="16"/>
                <w:szCs w:val="16"/>
              </w:rPr>
            </w:pPr>
            <w:r w:rsidRPr="00771C6F">
              <w:rPr>
                <w:rFonts w:cs="Arial"/>
                <w:sz w:val="16"/>
                <w:szCs w:val="16"/>
              </w:rPr>
              <w:t>23.998.203.233</w:t>
            </w:r>
          </w:p>
        </w:tc>
        <w:tc>
          <w:tcPr>
            <w:tcW w:w="0" w:type="auto"/>
            <w:tcMar>
              <w:top w:w="30" w:type="dxa"/>
              <w:left w:w="45" w:type="dxa"/>
              <w:bottom w:w="30" w:type="dxa"/>
              <w:right w:w="45" w:type="dxa"/>
            </w:tcMar>
            <w:vAlign w:val="center"/>
            <w:hideMark/>
          </w:tcPr>
          <w:p w14:paraId="157B2E00" w14:textId="77777777" w:rsidR="0083474C" w:rsidRPr="00771C6F" w:rsidRDefault="0083474C" w:rsidP="00AA4BBB">
            <w:pPr>
              <w:jc w:val="center"/>
              <w:rPr>
                <w:rFonts w:cs="Arial"/>
                <w:sz w:val="16"/>
                <w:szCs w:val="16"/>
              </w:rPr>
            </w:pPr>
            <w:r w:rsidRPr="00771C6F">
              <w:rPr>
                <w:rFonts w:cs="Arial"/>
                <w:sz w:val="16"/>
                <w:szCs w:val="16"/>
              </w:rPr>
              <w:t>26.498.254.367</w:t>
            </w:r>
          </w:p>
        </w:tc>
        <w:tc>
          <w:tcPr>
            <w:tcW w:w="0" w:type="auto"/>
            <w:tcMar>
              <w:top w:w="30" w:type="dxa"/>
              <w:left w:w="45" w:type="dxa"/>
              <w:bottom w:w="30" w:type="dxa"/>
              <w:right w:w="45" w:type="dxa"/>
            </w:tcMar>
            <w:vAlign w:val="center"/>
            <w:hideMark/>
          </w:tcPr>
          <w:p w14:paraId="31A0631C" w14:textId="77777777" w:rsidR="0083474C" w:rsidRPr="00771C6F" w:rsidRDefault="0083474C" w:rsidP="00AA4BBB">
            <w:pPr>
              <w:jc w:val="center"/>
              <w:rPr>
                <w:rFonts w:cs="Arial"/>
                <w:sz w:val="16"/>
                <w:szCs w:val="16"/>
              </w:rPr>
            </w:pPr>
            <w:r w:rsidRPr="00771C6F">
              <w:rPr>
                <w:rFonts w:cs="Arial"/>
                <w:sz w:val="16"/>
                <w:szCs w:val="16"/>
              </w:rPr>
              <w:t>26.498.162.852</w:t>
            </w:r>
          </w:p>
        </w:tc>
        <w:tc>
          <w:tcPr>
            <w:tcW w:w="0" w:type="auto"/>
            <w:vMerge/>
            <w:vAlign w:val="center"/>
            <w:hideMark/>
          </w:tcPr>
          <w:p w14:paraId="7106E9FB" w14:textId="77777777" w:rsidR="0083474C" w:rsidRPr="00771C6F" w:rsidRDefault="0083474C" w:rsidP="00AA4BBB">
            <w:pPr>
              <w:rPr>
                <w:rFonts w:cs="Arial"/>
                <w:b/>
                <w:bCs/>
                <w:sz w:val="16"/>
                <w:szCs w:val="16"/>
              </w:rPr>
            </w:pPr>
          </w:p>
        </w:tc>
      </w:tr>
      <w:tr w:rsidR="0083474C" w:rsidRPr="0083474C" w14:paraId="5792FEEF" w14:textId="77777777" w:rsidTr="00F725AE">
        <w:tc>
          <w:tcPr>
            <w:tcW w:w="0" w:type="auto"/>
            <w:gridSpan w:val="6"/>
            <w:shd w:val="clear" w:color="auto" w:fill="C00000"/>
            <w:tcMar>
              <w:top w:w="30" w:type="dxa"/>
              <w:left w:w="45" w:type="dxa"/>
              <w:bottom w:w="30" w:type="dxa"/>
              <w:right w:w="45" w:type="dxa"/>
            </w:tcMar>
            <w:vAlign w:val="center"/>
            <w:hideMark/>
          </w:tcPr>
          <w:p w14:paraId="2FEDF9C0" w14:textId="16EDE6BE" w:rsidR="0083474C" w:rsidRPr="00BC5D01" w:rsidRDefault="00537113" w:rsidP="00537113">
            <w:pPr>
              <w:jc w:val="center"/>
              <w:rPr>
                <w:rFonts w:cs="Arial"/>
                <w:b/>
                <w:bCs/>
                <w:sz w:val="16"/>
                <w:szCs w:val="16"/>
              </w:rPr>
            </w:pPr>
            <w:r w:rsidRPr="00BC5D01">
              <w:rPr>
                <w:rFonts w:cs="Arial"/>
                <w:b/>
                <w:bCs/>
                <w:color w:val="FFFFFF" w:themeColor="background1"/>
                <w:sz w:val="16"/>
                <w:szCs w:val="16"/>
              </w:rPr>
              <w:t>Gobierno</w:t>
            </w:r>
          </w:p>
        </w:tc>
      </w:tr>
      <w:tr w:rsidR="0083474C" w:rsidRPr="0083474C" w14:paraId="123E894A" w14:textId="77777777" w:rsidTr="00F725AE">
        <w:tc>
          <w:tcPr>
            <w:tcW w:w="0" w:type="auto"/>
            <w:vMerge w:val="restart"/>
            <w:tcMar>
              <w:top w:w="30" w:type="dxa"/>
              <w:left w:w="45" w:type="dxa"/>
              <w:bottom w:w="30" w:type="dxa"/>
              <w:right w:w="45" w:type="dxa"/>
            </w:tcMar>
            <w:vAlign w:val="center"/>
            <w:hideMark/>
          </w:tcPr>
          <w:p w14:paraId="3D4AFBE7" w14:textId="77777777" w:rsidR="0083474C" w:rsidRPr="00BC5D01" w:rsidRDefault="0083474C" w:rsidP="00AA4BBB">
            <w:pPr>
              <w:rPr>
                <w:rFonts w:cs="Arial"/>
                <w:sz w:val="16"/>
                <w:szCs w:val="16"/>
              </w:rPr>
            </w:pPr>
            <w:r w:rsidRPr="00BC5D01">
              <w:rPr>
                <w:rFonts w:cs="Arial"/>
                <w:sz w:val="16"/>
                <w:szCs w:val="16"/>
              </w:rPr>
              <w:t>Atender el 100% de las personas que ingresan a las rutas prevención de vulneraciones de los derechos humanos de mujeres personas de los sectores sociales LGBTI víctimas de trata de personas víctimas de abuso de autoridad defensores y defensoras de derechos humanos población en proceso de reintegración o reincorporación y a la atención de derechos fundamentales de religión culto y conciencia.</w:t>
            </w:r>
          </w:p>
        </w:tc>
        <w:tc>
          <w:tcPr>
            <w:tcW w:w="0" w:type="auto"/>
            <w:tcMar>
              <w:top w:w="30" w:type="dxa"/>
              <w:left w:w="45" w:type="dxa"/>
              <w:bottom w:w="30" w:type="dxa"/>
              <w:right w:w="45" w:type="dxa"/>
            </w:tcMar>
            <w:vAlign w:val="center"/>
            <w:hideMark/>
          </w:tcPr>
          <w:p w14:paraId="00AEA809"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tcMar>
              <w:top w:w="30" w:type="dxa"/>
              <w:left w:w="45" w:type="dxa"/>
              <w:bottom w:w="30" w:type="dxa"/>
              <w:right w:w="45" w:type="dxa"/>
            </w:tcMar>
            <w:vAlign w:val="center"/>
            <w:hideMark/>
          </w:tcPr>
          <w:p w14:paraId="47710FF3"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tcMar>
              <w:top w:w="30" w:type="dxa"/>
              <w:left w:w="45" w:type="dxa"/>
              <w:bottom w:w="30" w:type="dxa"/>
              <w:right w:w="45" w:type="dxa"/>
            </w:tcMar>
            <w:vAlign w:val="center"/>
            <w:hideMark/>
          </w:tcPr>
          <w:p w14:paraId="577DBD56"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tcMar>
              <w:top w:w="30" w:type="dxa"/>
              <w:left w:w="45" w:type="dxa"/>
              <w:bottom w:w="30" w:type="dxa"/>
              <w:right w:w="45" w:type="dxa"/>
            </w:tcMar>
            <w:vAlign w:val="center"/>
            <w:hideMark/>
          </w:tcPr>
          <w:p w14:paraId="0DD56C4E" w14:textId="77777777" w:rsidR="0083474C" w:rsidRPr="00771C6F" w:rsidRDefault="0083474C" w:rsidP="00AA4BBB">
            <w:pPr>
              <w:jc w:val="center"/>
              <w:rPr>
                <w:rFonts w:cs="Arial"/>
                <w:sz w:val="16"/>
                <w:szCs w:val="16"/>
              </w:rPr>
            </w:pPr>
            <w:r w:rsidRPr="00771C6F">
              <w:rPr>
                <w:rFonts w:cs="Arial"/>
                <w:sz w:val="16"/>
                <w:szCs w:val="16"/>
              </w:rPr>
              <w:t>100%</w:t>
            </w:r>
          </w:p>
        </w:tc>
        <w:tc>
          <w:tcPr>
            <w:tcW w:w="0" w:type="auto"/>
            <w:vMerge w:val="restart"/>
            <w:tcMar>
              <w:top w:w="30" w:type="dxa"/>
              <w:left w:w="45" w:type="dxa"/>
              <w:bottom w:w="30" w:type="dxa"/>
              <w:right w:w="45" w:type="dxa"/>
            </w:tcMar>
            <w:vAlign w:val="center"/>
            <w:hideMark/>
          </w:tcPr>
          <w:p w14:paraId="4FA89A91" w14:textId="77777777" w:rsidR="0083474C" w:rsidRPr="00771C6F" w:rsidRDefault="0083474C" w:rsidP="00AA4BBB">
            <w:pPr>
              <w:jc w:val="center"/>
              <w:rPr>
                <w:rFonts w:cs="Arial"/>
                <w:b/>
                <w:bCs/>
                <w:sz w:val="16"/>
                <w:szCs w:val="16"/>
              </w:rPr>
            </w:pPr>
            <w:r w:rsidRPr="00771C6F">
              <w:rPr>
                <w:rFonts w:cs="Arial"/>
                <w:b/>
                <w:bCs/>
                <w:sz w:val="16"/>
                <w:szCs w:val="16"/>
              </w:rPr>
              <w:t>7.963.878.535</w:t>
            </w:r>
          </w:p>
        </w:tc>
      </w:tr>
      <w:tr w:rsidR="0083474C" w:rsidRPr="0083474C" w14:paraId="63D7F063" w14:textId="77777777" w:rsidTr="00F725AE">
        <w:tc>
          <w:tcPr>
            <w:tcW w:w="0" w:type="auto"/>
            <w:vMerge/>
            <w:vAlign w:val="center"/>
            <w:hideMark/>
          </w:tcPr>
          <w:p w14:paraId="0425A2D8"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32E4EC78" w14:textId="77777777" w:rsidR="0083474C" w:rsidRPr="00771C6F" w:rsidRDefault="0083474C" w:rsidP="00AA4BBB">
            <w:pPr>
              <w:jc w:val="center"/>
              <w:rPr>
                <w:rFonts w:cs="Arial"/>
                <w:sz w:val="16"/>
                <w:szCs w:val="16"/>
              </w:rPr>
            </w:pPr>
            <w:r w:rsidRPr="00771C6F">
              <w:rPr>
                <w:rFonts w:cs="Arial"/>
                <w:sz w:val="16"/>
                <w:szCs w:val="16"/>
              </w:rPr>
              <w:t>1.300.000.000</w:t>
            </w:r>
          </w:p>
        </w:tc>
        <w:tc>
          <w:tcPr>
            <w:tcW w:w="0" w:type="auto"/>
            <w:tcMar>
              <w:top w:w="30" w:type="dxa"/>
              <w:left w:w="45" w:type="dxa"/>
              <w:bottom w:w="30" w:type="dxa"/>
              <w:right w:w="45" w:type="dxa"/>
            </w:tcMar>
            <w:vAlign w:val="center"/>
            <w:hideMark/>
          </w:tcPr>
          <w:p w14:paraId="135093AF" w14:textId="77777777" w:rsidR="0083474C" w:rsidRPr="00771C6F" w:rsidRDefault="0083474C" w:rsidP="00AA4BBB">
            <w:pPr>
              <w:jc w:val="center"/>
              <w:rPr>
                <w:rFonts w:cs="Arial"/>
                <w:sz w:val="16"/>
                <w:szCs w:val="16"/>
              </w:rPr>
            </w:pPr>
            <w:r w:rsidRPr="00771C6F">
              <w:rPr>
                <w:rFonts w:cs="Arial"/>
                <w:sz w:val="16"/>
                <w:szCs w:val="16"/>
              </w:rPr>
              <w:t>1.941.747.573</w:t>
            </w:r>
          </w:p>
        </w:tc>
        <w:tc>
          <w:tcPr>
            <w:tcW w:w="0" w:type="auto"/>
            <w:tcMar>
              <w:top w:w="30" w:type="dxa"/>
              <w:left w:w="45" w:type="dxa"/>
              <w:bottom w:w="30" w:type="dxa"/>
              <w:right w:w="45" w:type="dxa"/>
            </w:tcMar>
            <w:vAlign w:val="center"/>
            <w:hideMark/>
          </w:tcPr>
          <w:p w14:paraId="153E5D1F" w14:textId="77777777" w:rsidR="0083474C" w:rsidRPr="00771C6F" w:rsidRDefault="0083474C" w:rsidP="00AA4BBB">
            <w:pPr>
              <w:jc w:val="center"/>
              <w:rPr>
                <w:rFonts w:cs="Arial"/>
                <w:sz w:val="16"/>
                <w:szCs w:val="16"/>
              </w:rPr>
            </w:pPr>
            <w:r w:rsidRPr="00771C6F">
              <w:rPr>
                <w:rFonts w:cs="Arial"/>
                <w:sz w:val="16"/>
                <w:szCs w:val="16"/>
              </w:rPr>
              <w:t>1.885.191.818</w:t>
            </w:r>
          </w:p>
        </w:tc>
        <w:tc>
          <w:tcPr>
            <w:tcW w:w="0" w:type="auto"/>
            <w:tcMar>
              <w:top w:w="30" w:type="dxa"/>
              <w:left w:w="45" w:type="dxa"/>
              <w:bottom w:w="30" w:type="dxa"/>
              <w:right w:w="45" w:type="dxa"/>
            </w:tcMar>
            <w:vAlign w:val="center"/>
            <w:hideMark/>
          </w:tcPr>
          <w:p w14:paraId="148718C0" w14:textId="77777777" w:rsidR="0083474C" w:rsidRPr="00771C6F" w:rsidRDefault="0083474C" w:rsidP="00AA4BBB">
            <w:pPr>
              <w:jc w:val="center"/>
              <w:rPr>
                <w:rFonts w:cs="Arial"/>
                <w:sz w:val="16"/>
                <w:szCs w:val="16"/>
              </w:rPr>
            </w:pPr>
            <w:r w:rsidRPr="00771C6F">
              <w:rPr>
                <w:rFonts w:cs="Arial"/>
                <w:sz w:val="16"/>
                <w:szCs w:val="16"/>
              </w:rPr>
              <w:t>2.836.939.144</w:t>
            </w:r>
          </w:p>
        </w:tc>
        <w:tc>
          <w:tcPr>
            <w:tcW w:w="0" w:type="auto"/>
            <w:vMerge/>
            <w:vAlign w:val="center"/>
            <w:hideMark/>
          </w:tcPr>
          <w:p w14:paraId="1DCD30DA" w14:textId="77777777" w:rsidR="0083474C" w:rsidRPr="00771C6F" w:rsidRDefault="0083474C" w:rsidP="00AA4BBB">
            <w:pPr>
              <w:rPr>
                <w:rFonts w:cs="Arial"/>
                <w:b/>
                <w:bCs/>
                <w:sz w:val="16"/>
                <w:szCs w:val="16"/>
              </w:rPr>
            </w:pPr>
          </w:p>
        </w:tc>
      </w:tr>
      <w:tr w:rsidR="0083474C" w:rsidRPr="0083474C" w14:paraId="00E6547D" w14:textId="77777777" w:rsidTr="00F725AE">
        <w:tc>
          <w:tcPr>
            <w:tcW w:w="0" w:type="auto"/>
            <w:vMerge w:val="restart"/>
            <w:tcMar>
              <w:top w:w="30" w:type="dxa"/>
              <w:left w:w="45" w:type="dxa"/>
              <w:bottom w:w="30" w:type="dxa"/>
              <w:right w:w="45" w:type="dxa"/>
            </w:tcMar>
            <w:vAlign w:val="center"/>
            <w:hideMark/>
          </w:tcPr>
          <w:p w14:paraId="6E2DF3F5" w14:textId="77777777" w:rsidR="0083474C" w:rsidRPr="00BC5D01" w:rsidRDefault="0083474C" w:rsidP="00AA4BBB">
            <w:pPr>
              <w:rPr>
                <w:rFonts w:cs="Arial"/>
                <w:sz w:val="16"/>
                <w:szCs w:val="16"/>
              </w:rPr>
            </w:pPr>
            <w:r w:rsidRPr="00BC5D01">
              <w:rPr>
                <w:rFonts w:cs="Arial"/>
                <w:sz w:val="16"/>
                <w:szCs w:val="16"/>
              </w:rPr>
              <w:t>Formar 16.000 personas en el programa de educación en derechos humanos para la paz reconciliación y promoción integral de derechos humanos conocimiento de las artes y los saberes populares.</w:t>
            </w:r>
          </w:p>
        </w:tc>
        <w:tc>
          <w:tcPr>
            <w:tcW w:w="0" w:type="auto"/>
            <w:tcMar>
              <w:top w:w="30" w:type="dxa"/>
              <w:left w:w="45" w:type="dxa"/>
              <w:bottom w:w="30" w:type="dxa"/>
              <w:right w:w="45" w:type="dxa"/>
            </w:tcMar>
            <w:vAlign w:val="center"/>
            <w:hideMark/>
          </w:tcPr>
          <w:p w14:paraId="73F4F0B7" w14:textId="77777777" w:rsidR="0083474C" w:rsidRPr="00771C6F" w:rsidRDefault="0083474C" w:rsidP="00AA4BBB">
            <w:pPr>
              <w:jc w:val="center"/>
              <w:rPr>
                <w:rFonts w:cs="Arial"/>
                <w:sz w:val="16"/>
                <w:szCs w:val="16"/>
              </w:rPr>
            </w:pPr>
            <w:r w:rsidRPr="00771C6F">
              <w:rPr>
                <w:rFonts w:cs="Arial"/>
                <w:sz w:val="16"/>
                <w:szCs w:val="16"/>
              </w:rPr>
              <w:t>2.000</w:t>
            </w:r>
          </w:p>
        </w:tc>
        <w:tc>
          <w:tcPr>
            <w:tcW w:w="0" w:type="auto"/>
            <w:tcMar>
              <w:top w:w="30" w:type="dxa"/>
              <w:left w:w="45" w:type="dxa"/>
              <w:bottom w:w="30" w:type="dxa"/>
              <w:right w:w="45" w:type="dxa"/>
            </w:tcMar>
            <w:vAlign w:val="center"/>
            <w:hideMark/>
          </w:tcPr>
          <w:p w14:paraId="16C3A048" w14:textId="77777777" w:rsidR="0083474C" w:rsidRPr="00771C6F" w:rsidRDefault="0083474C" w:rsidP="00AA4BBB">
            <w:pPr>
              <w:jc w:val="center"/>
              <w:rPr>
                <w:rFonts w:cs="Arial"/>
                <w:sz w:val="16"/>
                <w:szCs w:val="16"/>
              </w:rPr>
            </w:pPr>
            <w:r w:rsidRPr="00771C6F">
              <w:rPr>
                <w:rFonts w:cs="Arial"/>
                <w:sz w:val="16"/>
                <w:szCs w:val="16"/>
              </w:rPr>
              <w:t>7.000</w:t>
            </w:r>
          </w:p>
        </w:tc>
        <w:tc>
          <w:tcPr>
            <w:tcW w:w="0" w:type="auto"/>
            <w:tcMar>
              <w:top w:w="30" w:type="dxa"/>
              <w:left w:w="45" w:type="dxa"/>
              <w:bottom w:w="30" w:type="dxa"/>
              <w:right w:w="45" w:type="dxa"/>
            </w:tcMar>
            <w:vAlign w:val="center"/>
            <w:hideMark/>
          </w:tcPr>
          <w:p w14:paraId="69E8B11C" w14:textId="77777777" w:rsidR="0083474C" w:rsidRPr="00771C6F" w:rsidRDefault="0083474C" w:rsidP="00AA4BBB">
            <w:pPr>
              <w:jc w:val="center"/>
              <w:rPr>
                <w:rFonts w:cs="Arial"/>
                <w:sz w:val="16"/>
                <w:szCs w:val="16"/>
              </w:rPr>
            </w:pPr>
            <w:r w:rsidRPr="00771C6F">
              <w:rPr>
                <w:rFonts w:cs="Arial"/>
                <w:sz w:val="16"/>
                <w:szCs w:val="16"/>
              </w:rPr>
              <w:t>3.500</w:t>
            </w:r>
          </w:p>
        </w:tc>
        <w:tc>
          <w:tcPr>
            <w:tcW w:w="0" w:type="auto"/>
            <w:tcMar>
              <w:top w:w="30" w:type="dxa"/>
              <w:left w:w="45" w:type="dxa"/>
              <w:bottom w:w="30" w:type="dxa"/>
              <w:right w:w="45" w:type="dxa"/>
            </w:tcMar>
            <w:vAlign w:val="center"/>
            <w:hideMark/>
          </w:tcPr>
          <w:p w14:paraId="1EDF7FE7" w14:textId="77777777" w:rsidR="0083474C" w:rsidRPr="00771C6F" w:rsidRDefault="0083474C" w:rsidP="00AA4BBB">
            <w:pPr>
              <w:jc w:val="center"/>
              <w:rPr>
                <w:rFonts w:cs="Arial"/>
                <w:sz w:val="16"/>
                <w:szCs w:val="16"/>
              </w:rPr>
            </w:pPr>
            <w:r w:rsidRPr="00771C6F">
              <w:rPr>
                <w:rFonts w:cs="Arial"/>
                <w:sz w:val="16"/>
                <w:szCs w:val="16"/>
              </w:rPr>
              <w:t>3.500</w:t>
            </w:r>
          </w:p>
        </w:tc>
        <w:tc>
          <w:tcPr>
            <w:tcW w:w="0" w:type="auto"/>
            <w:vMerge w:val="restart"/>
            <w:tcMar>
              <w:top w:w="30" w:type="dxa"/>
              <w:left w:w="45" w:type="dxa"/>
              <w:bottom w:w="30" w:type="dxa"/>
              <w:right w:w="45" w:type="dxa"/>
            </w:tcMar>
            <w:vAlign w:val="center"/>
            <w:hideMark/>
          </w:tcPr>
          <w:p w14:paraId="7F3A76A3" w14:textId="77777777" w:rsidR="0083474C" w:rsidRPr="00771C6F" w:rsidRDefault="0083474C" w:rsidP="00AA4BBB">
            <w:pPr>
              <w:jc w:val="center"/>
              <w:rPr>
                <w:rFonts w:cs="Arial"/>
                <w:b/>
                <w:bCs/>
                <w:sz w:val="16"/>
                <w:szCs w:val="16"/>
              </w:rPr>
            </w:pPr>
            <w:r w:rsidRPr="00771C6F">
              <w:rPr>
                <w:rFonts w:cs="Arial"/>
                <w:b/>
                <w:bCs/>
                <w:sz w:val="16"/>
                <w:szCs w:val="16"/>
              </w:rPr>
              <w:t>4.822.865.546</w:t>
            </w:r>
          </w:p>
        </w:tc>
      </w:tr>
      <w:tr w:rsidR="0083474C" w:rsidRPr="0083474C" w14:paraId="4DE54961" w14:textId="77777777" w:rsidTr="00F725AE">
        <w:tc>
          <w:tcPr>
            <w:tcW w:w="0" w:type="auto"/>
            <w:vMerge/>
            <w:vAlign w:val="center"/>
            <w:hideMark/>
          </w:tcPr>
          <w:p w14:paraId="1F43E9E6" w14:textId="77777777" w:rsidR="0083474C" w:rsidRPr="00BC5D01" w:rsidRDefault="0083474C" w:rsidP="00AA4BBB">
            <w:pPr>
              <w:rPr>
                <w:rFonts w:cs="Arial"/>
                <w:sz w:val="16"/>
                <w:szCs w:val="16"/>
              </w:rPr>
            </w:pPr>
          </w:p>
        </w:tc>
        <w:tc>
          <w:tcPr>
            <w:tcW w:w="0" w:type="auto"/>
            <w:tcMar>
              <w:top w:w="30" w:type="dxa"/>
              <w:left w:w="45" w:type="dxa"/>
              <w:bottom w:w="30" w:type="dxa"/>
              <w:right w:w="45" w:type="dxa"/>
            </w:tcMar>
            <w:vAlign w:val="center"/>
            <w:hideMark/>
          </w:tcPr>
          <w:p w14:paraId="0B70CFA9" w14:textId="77777777" w:rsidR="0083474C" w:rsidRPr="00771C6F" w:rsidRDefault="0083474C" w:rsidP="00AA4BBB">
            <w:pPr>
              <w:jc w:val="center"/>
              <w:rPr>
                <w:rFonts w:cs="Arial"/>
                <w:sz w:val="16"/>
                <w:szCs w:val="16"/>
              </w:rPr>
            </w:pPr>
            <w:r w:rsidRPr="00771C6F">
              <w:rPr>
                <w:rFonts w:cs="Arial"/>
                <w:sz w:val="16"/>
                <w:szCs w:val="16"/>
              </w:rPr>
              <w:t>200.000.000</w:t>
            </w:r>
          </w:p>
        </w:tc>
        <w:tc>
          <w:tcPr>
            <w:tcW w:w="0" w:type="auto"/>
            <w:tcMar>
              <w:top w:w="30" w:type="dxa"/>
              <w:left w:w="45" w:type="dxa"/>
              <w:bottom w:w="30" w:type="dxa"/>
              <w:right w:w="45" w:type="dxa"/>
            </w:tcMar>
            <w:vAlign w:val="center"/>
            <w:hideMark/>
          </w:tcPr>
          <w:p w14:paraId="01DB40BB" w14:textId="77777777" w:rsidR="0083474C" w:rsidRPr="00771C6F" w:rsidRDefault="0083474C" w:rsidP="00AA4BBB">
            <w:pPr>
              <w:jc w:val="center"/>
              <w:rPr>
                <w:rFonts w:cs="Arial"/>
                <w:sz w:val="16"/>
                <w:szCs w:val="16"/>
              </w:rPr>
            </w:pPr>
            <w:r w:rsidRPr="00771C6F">
              <w:rPr>
                <w:rFonts w:cs="Arial"/>
                <w:sz w:val="16"/>
                <w:szCs w:val="16"/>
              </w:rPr>
              <w:t>1.650.485.437</w:t>
            </w:r>
          </w:p>
        </w:tc>
        <w:tc>
          <w:tcPr>
            <w:tcW w:w="0" w:type="auto"/>
            <w:tcMar>
              <w:top w:w="30" w:type="dxa"/>
              <w:left w:w="45" w:type="dxa"/>
              <w:bottom w:w="30" w:type="dxa"/>
              <w:right w:w="45" w:type="dxa"/>
            </w:tcMar>
            <w:vAlign w:val="center"/>
            <w:hideMark/>
          </w:tcPr>
          <w:p w14:paraId="534EF5D9" w14:textId="77777777" w:rsidR="0083474C" w:rsidRPr="00771C6F" w:rsidRDefault="0083474C" w:rsidP="00AA4BBB">
            <w:pPr>
              <w:jc w:val="center"/>
              <w:rPr>
                <w:rFonts w:cs="Arial"/>
                <w:sz w:val="16"/>
                <w:szCs w:val="16"/>
              </w:rPr>
            </w:pPr>
            <w:r w:rsidRPr="00771C6F">
              <w:rPr>
                <w:rFonts w:cs="Arial"/>
                <w:sz w:val="16"/>
                <w:szCs w:val="16"/>
              </w:rPr>
              <w:t>1.508.153.455</w:t>
            </w:r>
          </w:p>
        </w:tc>
        <w:tc>
          <w:tcPr>
            <w:tcW w:w="0" w:type="auto"/>
            <w:tcMar>
              <w:top w:w="30" w:type="dxa"/>
              <w:left w:w="45" w:type="dxa"/>
              <w:bottom w:w="30" w:type="dxa"/>
              <w:right w:w="45" w:type="dxa"/>
            </w:tcMar>
            <w:vAlign w:val="center"/>
            <w:hideMark/>
          </w:tcPr>
          <w:p w14:paraId="173A78F7" w14:textId="77777777" w:rsidR="0083474C" w:rsidRPr="00771C6F" w:rsidRDefault="0083474C" w:rsidP="00AA4BBB">
            <w:pPr>
              <w:jc w:val="center"/>
              <w:rPr>
                <w:rFonts w:cs="Arial"/>
                <w:sz w:val="16"/>
                <w:szCs w:val="16"/>
              </w:rPr>
            </w:pPr>
            <w:r w:rsidRPr="00771C6F">
              <w:rPr>
                <w:rFonts w:cs="Arial"/>
                <w:sz w:val="16"/>
                <w:szCs w:val="16"/>
              </w:rPr>
              <w:t>1.464.226.655</w:t>
            </w:r>
          </w:p>
        </w:tc>
        <w:tc>
          <w:tcPr>
            <w:tcW w:w="0" w:type="auto"/>
            <w:vMerge/>
            <w:vAlign w:val="center"/>
            <w:hideMark/>
          </w:tcPr>
          <w:p w14:paraId="393F567A" w14:textId="77777777" w:rsidR="0083474C" w:rsidRPr="00771C6F" w:rsidRDefault="0083474C" w:rsidP="00AA4BBB">
            <w:pPr>
              <w:rPr>
                <w:rFonts w:cs="Arial"/>
                <w:b/>
                <w:bCs/>
                <w:sz w:val="16"/>
                <w:szCs w:val="16"/>
              </w:rPr>
            </w:pPr>
          </w:p>
        </w:tc>
      </w:tr>
      <w:tr w:rsidR="0083474C" w:rsidRPr="0083474C" w14:paraId="6EE4934D" w14:textId="77777777" w:rsidTr="00F725AE">
        <w:tc>
          <w:tcPr>
            <w:tcW w:w="0" w:type="auto"/>
            <w:gridSpan w:val="6"/>
            <w:shd w:val="clear" w:color="auto" w:fill="C00000"/>
            <w:tcMar>
              <w:top w:w="30" w:type="dxa"/>
              <w:left w:w="45" w:type="dxa"/>
              <w:bottom w:w="30" w:type="dxa"/>
              <w:right w:w="45" w:type="dxa"/>
            </w:tcMar>
            <w:vAlign w:val="center"/>
            <w:hideMark/>
          </w:tcPr>
          <w:p w14:paraId="703CFDE1" w14:textId="543D0646" w:rsidR="0083474C" w:rsidRPr="00BC5D01" w:rsidRDefault="00537113" w:rsidP="00537113">
            <w:pPr>
              <w:jc w:val="center"/>
              <w:rPr>
                <w:rFonts w:cs="Arial"/>
                <w:b/>
                <w:bCs/>
                <w:sz w:val="16"/>
                <w:szCs w:val="16"/>
              </w:rPr>
            </w:pPr>
            <w:r w:rsidRPr="00BC5D01">
              <w:rPr>
                <w:rFonts w:cs="Arial"/>
                <w:b/>
                <w:bCs/>
                <w:color w:val="FFFFFF" w:themeColor="background1"/>
                <w:sz w:val="16"/>
                <w:szCs w:val="16"/>
              </w:rPr>
              <w:t>Salud</w:t>
            </w:r>
          </w:p>
        </w:tc>
      </w:tr>
      <w:tr w:rsidR="0083474C" w:rsidRPr="0083474C" w14:paraId="7831D33A" w14:textId="77777777" w:rsidTr="00F725AE">
        <w:tc>
          <w:tcPr>
            <w:tcW w:w="0" w:type="auto"/>
            <w:vMerge w:val="restart"/>
            <w:tcMar>
              <w:top w:w="30" w:type="dxa"/>
              <w:left w:w="45" w:type="dxa"/>
              <w:bottom w:w="30" w:type="dxa"/>
              <w:right w:w="45" w:type="dxa"/>
            </w:tcMar>
            <w:vAlign w:val="center"/>
            <w:hideMark/>
          </w:tcPr>
          <w:p w14:paraId="51F3E6D6" w14:textId="77777777" w:rsidR="0083474C" w:rsidRPr="00BC5D01" w:rsidRDefault="0083474C" w:rsidP="00AA4BBB">
            <w:pPr>
              <w:rPr>
                <w:rFonts w:cs="Arial"/>
                <w:sz w:val="16"/>
                <w:szCs w:val="16"/>
              </w:rPr>
            </w:pPr>
            <w:r w:rsidRPr="00BC5D01">
              <w:rPr>
                <w:rFonts w:cs="Arial"/>
                <w:sz w:val="16"/>
                <w:szCs w:val="16"/>
              </w:rPr>
              <w:t xml:space="preserve">Garantizar el acceso a 17.280 personas víctimas del conflicto armado a las medidas de rehabilitación establecidas en la Ley 1448 de 2011 a través del desarrollo del </w:t>
            </w:r>
            <w:r w:rsidRPr="00BC5D01">
              <w:rPr>
                <w:rFonts w:cs="Arial"/>
                <w:sz w:val="16"/>
                <w:szCs w:val="16"/>
              </w:rPr>
              <w:lastRenderedPageBreak/>
              <w:t>componente de atención psicosocial del PAPSIVI y de sus estrategias diferenciales.</w:t>
            </w:r>
          </w:p>
        </w:tc>
        <w:tc>
          <w:tcPr>
            <w:tcW w:w="0" w:type="auto"/>
            <w:tcMar>
              <w:top w:w="30" w:type="dxa"/>
              <w:left w:w="45" w:type="dxa"/>
              <w:bottom w:w="30" w:type="dxa"/>
              <w:right w:w="45" w:type="dxa"/>
            </w:tcMar>
            <w:vAlign w:val="center"/>
            <w:hideMark/>
          </w:tcPr>
          <w:p w14:paraId="14EB6EF2" w14:textId="77777777" w:rsidR="0083474C" w:rsidRPr="00771C6F" w:rsidRDefault="0083474C" w:rsidP="00AA4BBB">
            <w:pPr>
              <w:jc w:val="center"/>
              <w:rPr>
                <w:rFonts w:cs="Arial"/>
                <w:sz w:val="16"/>
                <w:szCs w:val="16"/>
              </w:rPr>
            </w:pPr>
            <w:r w:rsidRPr="00771C6F">
              <w:rPr>
                <w:rFonts w:cs="Arial"/>
                <w:sz w:val="16"/>
                <w:szCs w:val="16"/>
              </w:rPr>
              <w:lastRenderedPageBreak/>
              <w:t>14.400</w:t>
            </w:r>
          </w:p>
        </w:tc>
        <w:tc>
          <w:tcPr>
            <w:tcW w:w="0" w:type="auto"/>
            <w:tcMar>
              <w:top w:w="30" w:type="dxa"/>
              <w:left w:w="45" w:type="dxa"/>
              <w:bottom w:w="30" w:type="dxa"/>
              <w:right w:w="45" w:type="dxa"/>
            </w:tcMar>
            <w:vAlign w:val="center"/>
            <w:hideMark/>
          </w:tcPr>
          <w:p w14:paraId="270BED2B" w14:textId="77777777" w:rsidR="0083474C" w:rsidRPr="00771C6F" w:rsidRDefault="0083474C" w:rsidP="00AA4BBB">
            <w:pPr>
              <w:jc w:val="center"/>
              <w:rPr>
                <w:rFonts w:cs="Arial"/>
                <w:sz w:val="16"/>
                <w:szCs w:val="16"/>
              </w:rPr>
            </w:pPr>
            <w:r w:rsidRPr="00771C6F">
              <w:rPr>
                <w:rFonts w:cs="Arial"/>
                <w:sz w:val="16"/>
                <w:szCs w:val="16"/>
              </w:rPr>
              <w:t>15.280</w:t>
            </w:r>
          </w:p>
        </w:tc>
        <w:tc>
          <w:tcPr>
            <w:tcW w:w="0" w:type="auto"/>
            <w:tcMar>
              <w:top w:w="30" w:type="dxa"/>
              <w:left w:w="45" w:type="dxa"/>
              <w:bottom w:w="30" w:type="dxa"/>
              <w:right w:w="45" w:type="dxa"/>
            </w:tcMar>
            <w:vAlign w:val="center"/>
            <w:hideMark/>
          </w:tcPr>
          <w:p w14:paraId="0F964764" w14:textId="77777777" w:rsidR="0083474C" w:rsidRPr="00771C6F" w:rsidRDefault="0083474C" w:rsidP="00AA4BBB">
            <w:pPr>
              <w:jc w:val="center"/>
              <w:rPr>
                <w:rFonts w:cs="Arial"/>
                <w:sz w:val="16"/>
                <w:szCs w:val="16"/>
              </w:rPr>
            </w:pPr>
            <w:r w:rsidRPr="00771C6F">
              <w:rPr>
                <w:rFonts w:cs="Arial"/>
                <w:sz w:val="16"/>
                <w:szCs w:val="16"/>
              </w:rPr>
              <w:t>16.280</w:t>
            </w:r>
          </w:p>
        </w:tc>
        <w:tc>
          <w:tcPr>
            <w:tcW w:w="0" w:type="auto"/>
            <w:tcMar>
              <w:top w:w="30" w:type="dxa"/>
              <w:left w:w="45" w:type="dxa"/>
              <w:bottom w:w="30" w:type="dxa"/>
              <w:right w:w="45" w:type="dxa"/>
            </w:tcMar>
            <w:vAlign w:val="center"/>
            <w:hideMark/>
          </w:tcPr>
          <w:p w14:paraId="133D86B8" w14:textId="77777777" w:rsidR="0083474C" w:rsidRPr="00771C6F" w:rsidRDefault="0083474C" w:rsidP="00AA4BBB">
            <w:pPr>
              <w:jc w:val="center"/>
              <w:rPr>
                <w:rFonts w:cs="Arial"/>
                <w:sz w:val="16"/>
                <w:szCs w:val="16"/>
              </w:rPr>
            </w:pPr>
            <w:r w:rsidRPr="00771C6F">
              <w:rPr>
                <w:rFonts w:cs="Arial"/>
                <w:sz w:val="16"/>
                <w:szCs w:val="16"/>
              </w:rPr>
              <w:t>17.280</w:t>
            </w:r>
          </w:p>
        </w:tc>
        <w:tc>
          <w:tcPr>
            <w:tcW w:w="0" w:type="auto"/>
            <w:vMerge w:val="restart"/>
            <w:tcMar>
              <w:top w:w="30" w:type="dxa"/>
              <w:left w:w="45" w:type="dxa"/>
              <w:bottom w:w="30" w:type="dxa"/>
              <w:right w:w="45" w:type="dxa"/>
            </w:tcMar>
            <w:vAlign w:val="center"/>
            <w:hideMark/>
          </w:tcPr>
          <w:p w14:paraId="3A660DF2" w14:textId="77777777" w:rsidR="0083474C" w:rsidRPr="00771C6F" w:rsidRDefault="0083474C" w:rsidP="00AA4BBB">
            <w:pPr>
              <w:jc w:val="center"/>
              <w:rPr>
                <w:rFonts w:cs="Arial"/>
                <w:b/>
                <w:bCs/>
                <w:sz w:val="16"/>
                <w:szCs w:val="16"/>
              </w:rPr>
            </w:pPr>
            <w:r w:rsidRPr="00771C6F">
              <w:rPr>
                <w:rFonts w:cs="Arial"/>
                <w:b/>
                <w:bCs/>
                <w:sz w:val="16"/>
                <w:szCs w:val="16"/>
              </w:rPr>
              <w:t>41.154.438.547</w:t>
            </w:r>
          </w:p>
        </w:tc>
      </w:tr>
      <w:tr w:rsidR="0083474C" w:rsidRPr="0083474C" w14:paraId="6151DDD5" w14:textId="77777777" w:rsidTr="00F725AE">
        <w:tc>
          <w:tcPr>
            <w:tcW w:w="0" w:type="auto"/>
            <w:vMerge/>
            <w:tcBorders>
              <w:bottom w:val="double" w:sz="4" w:space="0" w:color="C00000"/>
            </w:tcBorders>
            <w:vAlign w:val="center"/>
            <w:hideMark/>
          </w:tcPr>
          <w:p w14:paraId="2A8161DD" w14:textId="77777777" w:rsidR="0083474C" w:rsidRPr="00BC5D01" w:rsidRDefault="0083474C" w:rsidP="00AA4BBB">
            <w:pPr>
              <w:rPr>
                <w:rFonts w:cs="Arial"/>
                <w:sz w:val="16"/>
                <w:szCs w:val="16"/>
              </w:rPr>
            </w:pPr>
          </w:p>
        </w:tc>
        <w:tc>
          <w:tcPr>
            <w:tcW w:w="0" w:type="auto"/>
            <w:tcBorders>
              <w:bottom w:val="double" w:sz="4" w:space="0" w:color="C00000"/>
            </w:tcBorders>
            <w:tcMar>
              <w:top w:w="30" w:type="dxa"/>
              <w:left w:w="45" w:type="dxa"/>
              <w:bottom w:w="30" w:type="dxa"/>
              <w:right w:w="45" w:type="dxa"/>
            </w:tcMar>
            <w:vAlign w:val="center"/>
            <w:hideMark/>
          </w:tcPr>
          <w:p w14:paraId="4094369F" w14:textId="77777777" w:rsidR="0083474C" w:rsidRPr="00771C6F" w:rsidRDefault="0083474C" w:rsidP="00AA4BBB">
            <w:pPr>
              <w:jc w:val="center"/>
              <w:rPr>
                <w:rFonts w:cs="Arial"/>
                <w:sz w:val="16"/>
                <w:szCs w:val="16"/>
              </w:rPr>
            </w:pPr>
            <w:r w:rsidRPr="00771C6F">
              <w:rPr>
                <w:rFonts w:cs="Arial"/>
                <w:sz w:val="16"/>
                <w:szCs w:val="16"/>
              </w:rPr>
              <w:t>5.718.500.000</w:t>
            </w:r>
          </w:p>
        </w:tc>
        <w:tc>
          <w:tcPr>
            <w:tcW w:w="0" w:type="auto"/>
            <w:tcBorders>
              <w:bottom w:val="double" w:sz="4" w:space="0" w:color="C00000"/>
            </w:tcBorders>
            <w:tcMar>
              <w:top w:w="30" w:type="dxa"/>
              <w:left w:w="45" w:type="dxa"/>
              <w:bottom w:w="30" w:type="dxa"/>
              <w:right w:w="45" w:type="dxa"/>
            </w:tcMar>
            <w:vAlign w:val="center"/>
            <w:hideMark/>
          </w:tcPr>
          <w:p w14:paraId="11005BB7" w14:textId="77777777" w:rsidR="0083474C" w:rsidRPr="00771C6F" w:rsidRDefault="0083474C" w:rsidP="00AA4BBB">
            <w:pPr>
              <w:jc w:val="center"/>
              <w:rPr>
                <w:rFonts w:cs="Arial"/>
                <w:sz w:val="16"/>
                <w:szCs w:val="16"/>
              </w:rPr>
            </w:pPr>
            <w:r w:rsidRPr="00771C6F">
              <w:rPr>
                <w:rFonts w:cs="Arial"/>
                <w:sz w:val="16"/>
                <w:szCs w:val="16"/>
              </w:rPr>
              <w:t>10.376.106.796</w:t>
            </w:r>
          </w:p>
        </w:tc>
        <w:tc>
          <w:tcPr>
            <w:tcW w:w="0" w:type="auto"/>
            <w:tcBorders>
              <w:bottom w:val="double" w:sz="4" w:space="0" w:color="C00000"/>
            </w:tcBorders>
            <w:tcMar>
              <w:top w:w="30" w:type="dxa"/>
              <w:left w:w="45" w:type="dxa"/>
              <w:bottom w:w="30" w:type="dxa"/>
              <w:right w:w="45" w:type="dxa"/>
            </w:tcMar>
            <w:vAlign w:val="center"/>
            <w:hideMark/>
          </w:tcPr>
          <w:p w14:paraId="55CB28D0" w14:textId="77777777" w:rsidR="0083474C" w:rsidRPr="00771C6F" w:rsidRDefault="0083474C" w:rsidP="00AA4BBB">
            <w:pPr>
              <w:jc w:val="center"/>
              <w:rPr>
                <w:rFonts w:cs="Arial"/>
                <w:sz w:val="16"/>
                <w:szCs w:val="16"/>
              </w:rPr>
            </w:pPr>
            <w:r w:rsidRPr="00771C6F">
              <w:rPr>
                <w:rFonts w:cs="Arial"/>
                <w:sz w:val="16"/>
                <w:szCs w:val="16"/>
              </w:rPr>
              <w:t>12.118.134.603</w:t>
            </w:r>
          </w:p>
        </w:tc>
        <w:tc>
          <w:tcPr>
            <w:tcW w:w="0" w:type="auto"/>
            <w:tcBorders>
              <w:bottom w:val="double" w:sz="4" w:space="0" w:color="C00000"/>
            </w:tcBorders>
            <w:tcMar>
              <w:top w:w="30" w:type="dxa"/>
              <w:left w:w="45" w:type="dxa"/>
              <w:bottom w:w="30" w:type="dxa"/>
              <w:right w:w="45" w:type="dxa"/>
            </w:tcMar>
            <w:vAlign w:val="center"/>
            <w:hideMark/>
          </w:tcPr>
          <w:p w14:paraId="6DE98947" w14:textId="77777777" w:rsidR="0083474C" w:rsidRPr="00771C6F" w:rsidRDefault="0083474C" w:rsidP="00AA4BBB">
            <w:pPr>
              <w:jc w:val="center"/>
              <w:rPr>
                <w:rFonts w:cs="Arial"/>
                <w:sz w:val="16"/>
                <w:szCs w:val="16"/>
              </w:rPr>
            </w:pPr>
            <w:r w:rsidRPr="00771C6F">
              <w:rPr>
                <w:rFonts w:cs="Arial"/>
                <w:sz w:val="16"/>
                <w:szCs w:val="16"/>
              </w:rPr>
              <w:t>12.941.697.149</w:t>
            </w:r>
          </w:p>
        </w:tc>
        <w:tc>
          <w:tcPr>
            <w:tcW w:w="0" w:type="auto"/>
            <w:vMerge/>
            <w:tcBorders>
              <w:bottom w:val="double" w:sz="4" w:space="0" w:color="C00000"/>
            </w:tcBorders>
            <w:vAlign w:val="center"/>
            <w:hideMark/>
          </w:tcPr>
          <w:p w14:paraId="33446134" w14:textId="77777777" w:rsidR="0083474C" w:rsidRPr="0083474C" w:rsidRDefault="0083474C" w:rsidP="00AA4BBB">
            <w:pPr>
              <w:rPr>
                <w:rFonts w:cs="Arial"/>
                <w:b/>
                <w:bCs/>
                <w:sz w:val="20"/>
                <w:szCs w:val="20"/>
              </w:rPr>
            </w:pPr>
          </w:p>
        </w:tc>
      </w:tr>
    </w:tbl>
    <w:p w14:paraId="2E7BFE56" w14:textId="77777777" w:rsidR="00B14E38" w:rsidRPr="00B944E8" w:rsidRDefault="00B14E38" w:rsidP="00B14E38">
      <w:pPr>
        <w:spacing w:line="480" w:lineRule="auto"/>
        <w:rPr>
          <w:rFonts w:ascii="Times New Roman" w:hAnsi="Times New Roman"/>
          <w:sz w:val="24"/>
        </w:rPr>
      </w:pPr>
    </w:p>
    <w:p w14:paraId="00E54F82" w14:textId="77777777" w:rsidR="000678E9" w:rsidRDefault="000678E9">
      <w:pPr>
        <w:spacing w:line="240" w:lineRule="auto"/>
        <w:jc w:val="left"/>
        <w:rPr>
          <w:rFonts w:eastAsiaTheme="majorEastAsia" w:cstheme="majorBidi"/>
          <w:b/>
          <w:color w:val="C00000"/>
          <w:sz w:val="28"/>
          <w:szCs w:val="26"/>
          <w:lang w:eastAsia="en-US"/>
        </w:rPr>
      </w:pPr>
      <w:bookmarkStart w:id="283" w:name="_heading=h.zu0gcz" w:colFirst="0" w:colLast="0"/>
      <w:bookmarkEnd w:id="283"/>
      <w:r>
        <w:rPr>
          <w:color w:val="C00000"/>
        </w:rPr>
        <w:br w:type="page"/>
      </w:r>
    </w:p>
    <w:p w14:paraId="65D8FAB0" w14:textId="45A83C4A" w:rsidR="00B14E38" w:rsidRPr="00413935" w:rsidRDefault="00B14E38" w:rsidP="00CF5FAF">
      <w:pPr>
        <w:pStyle w:val="NIVEL4"/>
        <w:rPr>
          <w:i/>
          <w:color w:val="C00000"/>
        </w:rPr>
      </w:pPr>
      <w:bookmarkStart w:id="284" w:name="_Toc165169773"/>
      <w:r w:rsidRPr="00413935">
        <w:rPr>
          <w:color w:val="C00000"/>
        </w:rPr>
        <w:lastRenderedPageBreak/>
        <w:t>Programa 14</w:t>
      </w:r>
      <w:r w:rsidR="00922DDF">
        <w:rPr>
          <w:color w:val="C00000"/>
        </w:rPr>
        <w:t xml:space="preserve">: </w:t>
      </w:r>
      <w:sdt>
        <w:sdtPr>
          <w:rPr>
            <w:i/>
          </w:rPr>
          <w:tag w:val="goog_rdk_49"/>
          <w:id w:val="-1395884676"/>
        </w:sdtPr>
        <w:sdtContent/>
      </w:sdt>
      <w:r w:rsidRPr="00413935">
        <w:t>Bogotá deportiva, recreativa, artística, patrimonial e intercultural</w:t>
      </w:r>
      <w:bookmarkEnd w:id="284"/>
      <w:r w:rsidRPr="00413935">
        <w:t xml:space="preserve"> </w:t>
      </w:r>
    </w:p>
    <w:p w14:paraId="50161CC9" w14:textId="77777777" w:rsidR="00B14E38" w:rsidRDefault="00B14E38" w:rsidP="009E2E9D">
      <w:pPr>
        <w:rPr>
          <w:color w:val="C00000"/>
        </w:rPr>
      </w:pPr>
    </w:p>
    <w:p w14:paraId="7B5B259B" w14:textId="7738FAED" w:rsidR="00B14E38" w:rsidRPr="009E2E9D" w:rsidRDefault="00B14E38" w:rsidP="009E2E9D">
      <w:pPr>
        <w:ind w:firstLine="708"/>
        <w:rPr>
          <w:b/>
          <w:bCs/>
          <w:sz w:val="24"/>
        </w:rPr>
      </w:pPr>
      <w:r w:rsidRPr="009E2E9D">
        <w:rPr>
          <w:b/>
          <w:bCs/>
          <w:sz w:val="24"/>
        </w:rPr>
        <w:t>Diagnóstico</w:t>
      </w:r>
    </w:p>
    <w:p w14:paraId="72BE9C4C"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0F7C9A76" w14:textId="77777777" w:rsidR="009E2E9D" w:rsidRDefault="009E2E9D" w:rsidP="009E2E9D">
      <w:r>
        <w:t>Querer estar en una ciudad está directamente relacionado con la oferta de espacios y eventos deportivos, recreativos, artísticos, culturales y patrimoniales a la que pueda acceder la población, acorde con sus capacidades. Todas esas actividades suelen darse en el espacio público, y fomentar, al tiempo, la expresión individual.</w:t>
      </w:r>
    </w:p>
    <w:p w14:paraId="3A3E6A4C" w14:textId="77777777" w:rsidR="009E2E9D" w:rsidRDefault="009E2E9D" w:rsidP="009E2E9D"/>
    <w:p w14:paraId="0780BFC0" w14:textId="77777777" w:rsidR="009E2E9D" w:rsidRDefault="009E2E9D" w:rsidP="009E2E9D">
      <w:r>
        <w:t>Bogotá es una ciudad que ha venido creando condiciones para que la ciudadanía se apropie del espacio público. De acuerdo con la Encuesta de Prácticas Deportivas, Recreativas y Calidad de Vida de 2022, la apropiación del espacio público (parques del Sistema Distrital de Parques) pasó del 74</w:t>
      </w:r>
      <w:r>
        <w:rPr>
          <w:rFonts w:ascii="Arial" w:hAnsi="Arial" w:cs="Arial"/>
        </w:rPr>
        <w:t> </w:t>
      </w:r>
      <w:r>
        <w:t>% en 2021 al 80</w:t>
      </w:r>
      <w:r>
        <w:rPr>
          <w:rFonts w:ascii="Arial" w:hAnsi="Arial" w:cs="Arial"/>
        </w:rPr>
        <w:t> </w:t>
      </w:r>
      <w:r>
        <w:t>% en 2022, tomando en cuenta variables como la seguridad, la limpieza y la adecuaci</w:t>
      </w:r>
      <w:r>
        <w:rPr>
          <w:rFonts w:cs="Candara"/>
        </w:rPr>
        <w:t>ó</w:t>
      </w:r>
      <w:r>
        <w:t xml:space="preserve">n del mobiliario para las actividades que el usuario va a realizar. La </w:t>
      </w:r>
      <w:r>
        <w:rPr>
          <w:rFonts w:cs="Candara"/>
        </w:rPr>
        <w:t>“</w:t>
      </w:r>
      <w:r>
        <w:t>confianza con las personas que asisten al parque</w:t>
      </w:r>
      <w:r>
        <w:rPr>
          <w:rFonts w:cs="Candara"/>
        </w:rPr>
        <w:t>”</w:t>
      </w:r>
      <w:r>
        <w:t xml:space="preserve"> se incrementó, al pasar del 34</w:t>
      </w:r>
      <w:r>
        <w:rPr>
          <w:rFonts w:ascii="Arial" w:hAnsi="Arial" w:cs="Arial"/>
        </w:rPr>
        <w:t> </w:t>
      </w:r>
      <w:r>
        <w:t>% en 2021 al 65</w:t>
      </w:r>
      <w:r>
        <w:rPr>
          <w:rFonts w:ascii="Arial" w:hAnsi="Arial" w:cs="Arial"/>
        </w:rPr>
        <w:t> </w:t>
      </w:r>
      <w:r>
        <w:t xml:space="preserve">% en 2022, y respecto a </w:t>
      </w:r>
      <w:r>
        <w:rPr>
          <w:rFonts w:cs="Candara"/>
        </w:rPr>
        <w:t>“</w:t>
      </w:r>
      <w:r>
        <w:t>mi relaci</w:t>
      </w:r>
      <w:r>
        <w:rPr>
          <w:rFonts w:cs="Candara"/>
        </w:rPr>
        <w:t>ó</w:t>
      </w:r>
      <w:r>
        <w:t>n con los vecinos</w:t>
      </w:r>
      <w:r>
        <w:rPr>
          <w:rFonts w:cs="Candara"/>
        </w:rPr>
        <w:t>”</w:t>
      </w:r>
      <w:r>
        <w:t xml:space="preserve"> tambi</w:t>
      </w:r>
      <w:r>
        <w:rPr>
          <w:rFonts w:cs="Candara"/>
        </w:rPr>
        <w:t>é</w:t>
      </w:r>
      <w:r>
        <w:t>n tuvo incremento, al pasar del 46</w:t>
      </w:r>
      <w:r>
        <w:rPr>
          <w:rFonts w:ascii="Arial" w:hAnsi="Arial" w:cs="Arial"/>
        </w:rPr>
        <w:t> </w:t>
      </w:r>
      <w:r>
        <w:t>% en 2021 al 65</w:t>
      </w:r>
      <w:r>
        <w:rPr>
          <w:rFonts w:ascii="Arial" w:hAnsi="Arial" w:cs="Arial"/>
        </w:rPr>
        <w:t> </w:t>
      </w:r>
      <w:r>
        <w:t>% en 2022.</w:t>
      </w:r>
    </w:p>
    <w:p w14:paraId="7148EFEE" w14:textId="77777777" w:rsidR="009E2E9D" w:rsidRDefault="009E2E9D" w:rsidP="009E2E9D"/>
    <w:p w14:paraId="16296CBB" w14:textId="77777777" w:rsidR="009E2E9D" w:rsidRDefault="009E2E9D" w:rsidP="009E2E9D">
      <w:r>
        <w:t>Lo anterior ha llevado a que la población haga actividades recreativas y deportivas permanentes, variadas y gratuitas, por medio de actividad física, desarrollo social y aprendizaje continuo. Pero pese a que el porcentaje de personas que hacen actividad física ha tenido aumentos recientes, para 2022 apenas se ubicaba en el 52,9</w:t>
      </w:r>
      <w:r>
        <w:rPr>
          <w:rFonts w:ascii="Arial" w:hAnsi="Arial" w:cs="Arial"/>
        </w:rPr>
        <w:t> </w:t>
      </w:r>
      <w:r>
        <w:t>%. Dicho de otra forma, casi la mitad de los bogotanos no realizan actividades f</w:t>
      </w:r>
      <w:r>
        <w:rPr>
          <w:rFonts w:cs="Candara"/>
        </w:rPr>
        <w:t>í</w:t>
      </w:r>
      <w:r>
        <w:t>sicas.</w:t>
      </w:r>
    </w:p>
    <w:p w14:paraId="4E3D11BB" w14:textId="77777777" w:rsidR="009E2E9D" w:rsidRDefault="009E2E9D" w:rsidP="009E2E9D"/>
    <w:p w14:paraId="17DE1DEF" w14:textId="77777777" w:rsidR="009E2E9D" w:rsidRDefault="009E2E9D" w:rsidP="009E2E9D">
      <w:r>
        <w:t>Por lo anterior, resulta crítico mantener y potenciar esfuerzos de formación en disciplinas deportivas, que hoy tienen una cobertura de atención anual promedio de 40.000 niños, niñas, adolescentes y jóvenes (NNAJ) de las instituciones educativas distritales (IED). Todo ello, en el marco de la Jornada Escolar Complementaria, en la que se realizan procesos de seguimiento a los escolares.</w:t>
      </w:r>
    </w:p>
    <w:p w14:paraId="3F2F1BFC" w14:textId="77777777" w:rsidR="009E2E9D" w:rsidRDefault="009E2E9D" w:rsidP="009E2E9D"/>
    <w:p w14:paraId="0D517B4D" w14:textId="77777777" w:rsidR="009E2E9D" w:rsidRDefault="009E2E9D" w:rsidP="009E2E9D">
      <w:r>
        <w:t>También será clave mantener el gran posicionamiento logrado entre la población de escenarios como las ciclovías dominicales, festivas y nocturnas y los programas escuela de la Bici, y las jornadas de promoción, formación en alfabetización física Muévete Bogotá, así como los servicios de escuela de la bicicleta y actividad física del sistema de cuidado.</w:t>
      </w:r>
    </w:p>
    <w:p w14:paraId="09F3E9E8" w14:textId="77777777" w:rsidR="009E2E9D" w:rsidRDefault="009E2E9D" w:rsidP="009E2E9D"/>
    <w:p w14:paraId="6D610DD8" w14:textId="77777777" w:rsidR="009E2E9D" w:rsidRDefault="009E2E9D" w:rsidP="009E2E9D">
      <w:r>
        <w:t>No obstante, si bien el deporte se ha promovido como factor de salud física y mental, la participación de las niñas y las mujeres no ha sido fácil. Según datos de la OMS de 2016, el 43,5</w:t>
      </w:r>
      <w:r>
        <w:rPr>
          <w:rFonts w:ascii="Arial" w:hAnsi="Arial" w:cs="Arial"/>
        </w:rPr>
        <w:t> </w:t>
      </w:r>
      <w:r>
        <w:t>% de las mujeres estaban inactivas, frente al 34,3</w:t>
      </w:r>
      <w:r>
        <w:rPr>
          <w:rFonts w:ascii="Arial" w:hAnsi="Arial" w:cs="Arial"/>
        </w:rPr>
        <w:t> </w:t>
      </w:r>
      <w:r>
        <w:t>% de los hombres. En Colombia, la inactividad f</w:t>
      </w:r>
      <w:r>
        <w:rPr>
          <w:rFonts w:cs="Candara"/>
        </w:rPr>
        <w:t>í</w:t>
      </w:r>
      <w:r>
        <w:t>sica tiene mayor prevalencia en las mujeres, con el 48,9</w:t>
      </w:r>
      <w:r>
        <w:rPr>
          <w:rFonts w:ascii="Arial" w:hAnsi="Arial" w:cs="Arial"/>
        </w:rPr>
        <w:t> </w:t>
      </w:r>
      <w:r>
        <w:t>%, mientras que en los hombres es del 38,8</w:t>
      </w:r>
      <w:r>
        <w:rPr>
          <w:rFonts w:ascii="Arial" w:hAnsi="Arial" w:cs="Arial"/>
        </w:rPr>
        <w:t> </w:t>
      </w:r>
      <w:r>
        <w:t>%, lo cual constituye una brecha, que se vio acrecentada por la pandemia.</w:t>
      </w:r>
    </w:p>
    <w:p w14:paraId="3F5D09E2" w14:textId="77777777" w:rsidR="009E2E9D" w:rsidRDefault="009E2E9D" w:rsidP="009E2E9D"/>
    <w:p w14:paraId="6F510B06" w14:textId="77777777" w:rsidR="009E2E9D" w:rsidRDefault="009E2E9D" w:rsidP="009E2E9D">
      <w:r>
        <w:t>En Bogotá se han venido desarrollando estrategias para incentivar el deporte en las niñas y mujeres. Según datos del Instituto Distrital de Recreación y Deportes (IDRD), en el desarrollo de torneos de fútbol de mujeres, se pasó de 2.112 mujeres en 2021 a 221 niñas y 2.029 mujeres en 2022. Si bien, en cuanto a formación deportiva y alto rendimiento, la cifra de mujeres participando aumentó en el 13</w:t>
      </w:r>
      <w:r>
        <w:rPr>
          <w:rFonts w:ascii="Arial" w:hAnsi="Arial" w:cs="Arial"/>
        </w:rPr>
        <w:t> </w:t>
      </w:r>
      <w:r>
        <w:t>% de 2021 a 2022, las brechas persisten.</w:t>
      </w:r>
    </w:p>
    <w:p w14:paraId="1320E2EA" w14:textId="77777777" w:rsidR="009E2E9D" w:rsidRDefault="009E2E9D" w:rsidP="009E2E9D"/>
    <w:p w14:paraId="4D162129" w14:textId="6FADD6B0" w:rsidR="00B14E38" w:rsidRPr="00B944E8" w:rsidRDefault="009E2E9D" w:rsidP="009E2E9D">
      <w:r>
        <w:t>Por otra parte, respecto al alto uso del espacio público como forma de expresión y alternativa de sostenibilidad económica, esto ha generado tensiones entre la ciudadanía por el derecho a su uso y disfrute. Este hecho ha afectado negativamente la percepción de las expresiones artísticas y culturales, que ahora son consideradas uno de los factores de inseguridad y de deterioro físico y social del espacio público</w:t>
      </w:r>
      <w:r w:rsidR="00B14E38" w:rsidRPr="00B944E8">
        <w:rPr>
          <w:highlight w:val="white"/>
        </w:rPr>
        <w:t>.</w:t>
      </w:r>
      <w:bookmarkStart w:id="285" w:name="_heading=h.rjefff" w:colFirst="0" w:colLast="0"/>
      <w:bookmarkEnd w:id="285"/>
    </w:p>
    <w:p w14:paraId="6502FA4F" w14:textId="77777777" w:rsidR="00B14E38" w:rsidRDefault="00B14E38" w:rsidP="00B14E38">
      <w:pPr>
        <w:spacing w:line="480" w:lineRule="auto"/>
        <w:jc w:val="center"/>
        <w:rPr>
          <w:rFonts w:ascii="Times New Roman" w:hAnsi="Times New Roman"/>
          <w:sz w:val="24"/>
        </w:rPr>
        <w:sectPr w:rsidR="00B14E38" w:rsidSect="00F7078E">
          <w:type w:val="continuous"/>
          <w:pgSz w:w="12240" w:h="15840"/>
          <w:pgMar w:top="2262" w:right="1440" w:bottom="1440" w:left="1440" w:header="708" w:footer="680" w:gutter="0"/>
          <w:cols w:num="2" w:space="720"/>
          <w:docGrid w:linePitch="299"/>
        </w:sectPr>
      </w:pPr>
    </w:p>
    <w:p w14:paraId="3131126C" w14:textId="1CA4046A" w:rsidR="00B14E38" w:rsidRPr="009E2E9D" w:rsidRDefault="009E2E9D" w:rsidP="009E2E9D">
      <w:pPr>
        <w:pStyle w:val="Descripcin"/>
        <w:jc w:val="center"/>
        <w:rPr>
          <w:sz w:val="18"/>
          <w:szCs w:val="14"/>
        </w:rPr>
      </w:pPr>
      <w:bookmarkStart w:id="286" w:name="_Toc165169865"/>
      <w:r w:rsidRPr="009E2E9D">
        <w:rPr>
          <w:color w:val="C00000"/>
          <w:sz w:val="18"/>
          <w:szCs w:val="14"/>
        </w:rPr>
        <w:lastRenderedPageBreak/>
        <w:t xml:space="preserve">Gráfica </w:t>
      </w:r>
      <w:r w:rsidRPr="009E2E9D">
        <w:rPr>
          <w:color w:val="C00000"/>
          <w:sz w:val="18"/>
          <w:szCs w:val="14"/>
        </w:rPr>
        <w:fldChar w:fldCharType="begin"/>
      </w:r>
      <w:r w:rsidRPr="009E2E9D">
        <w:rPr>
          <w:color w:val="C00000"/>
          <w:sz w:val="18"/>
          <w:szCs w:val="14"/>
        </w:rPr>
        <w:instrText xml:space="preserve"> SEQ Gráfica \* ARABIC </w:instrText>
      </w:r>
      <w:r w:rsidRPr="009E2E9D">
        <w:rPr>
          <w:color w:val="C00000"/>
          <w:sz w:val="18"/>
          <w:szCs w:val="14"/>
        </w:rPr>
        <w:fldChar w:fldCharType="separate"/>
      </w:r>
      <w:r w:rsidR="00D01651">
        <w:rPr>
          <w:noProof/>
          <w:color w:val="C00000"/>
          <w:sz w:val="18"/>
          <w:szCs w:val="14"/>
        </w:rPr>
        <w:t>39</w:t>
      </w:r>
      <w:r w:rsidRPr="009E2E9D">
        <w:rPr>
          <w:color w:val="C00000"/>
          <w:sz w:val="18"/>
          <w:szCs w:val="14"/>
        </w:rPr>
        <w:fldChar w:fldCharType="end"/>
      </w:r>
      <w:r w:rsidRPr="009E2E9D">
        <w:rPr>
          <w:color w:val="C00000"/>
          <w:sz w:val="18"/>
          <w:szCs w:val="14"/>
        </w:rPr>
        <w:t xml:space="preserve">. </w:t>
      </w:r>
      <w:r w:rsidR="00B14E38" w:rsidRPr="009E2E9D">
        <w:rPr>
          <w:sz w:val="18"/>
          <w:szCs w:val="14"/>
        </w:rPr>
        <w:t>Percepción acerca de las intervenciones artísticas en el espacio público (Bogotá, 2022)</w:t>
      </w:r>
      <w:bookmarkEnd w:id="286"/>
    </w:p>
    <w:p w14:paraId="082E1AD5" w14:textId="77777777" w:rsidR="00B14E38" w:rsidRPr="00B944E8" w:rsidRDefault="00B14E38" w:rsidP="00B14E38">
      <w:pPr>
        <w:spacing w:line="480" w:lineRule="auto"/>
        <w:jc w:val="center"/>
        <w:rPr>
          <w:rFonts w:ascii="Times New Roman" w:hAnsi="Times New Roman"/>
          <w:sz w:val="24"/>
        </w:rPr>
      </w:pPr>
      <w:r w:rsidRPr="00B944E8">
        <w:rPr>
          <w:rFonts w:ascii="Times New Roman" w:hAnsi="Times New Roman"/>
          <w:noProof/>
          <w:sz w:val="24"/>
        </w:rPr>
        <w:drawing>
          <wp:inline distT="0" distB="0" distL="0" distR="0" wp14:anchorId="1E5570C6" wp14:editId="4ED41519">
            <wp:extent cx="5612130" cy="3343275"/>
            <wp:effectExtent l="0" t="0" r="1270" b="0"/>
            <wp:docPr id="25" name="Gráfico 25">
              <a:extLst xmlns:a="http://schemas.openxmlformats.org/drawingml/2006/main">
                <a:ext uri="{FF2B5EF4-FFF2-40B4-BE49-F238E27FC236}">
                  <a16:creationId xmlns:a16="http://schemas.microsoft.com/office/drawing/2014/main" id="{255AA8A8-5BDE-4067-9A99-573B774BB3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6BC81AAB" w14:textId="77777777" w:rsidR="00B14E38" w:rsidRDefault="00B14E38" w:rsidP="00B14E38">
      <w:pPr>
        <w:pStyle w:val="figuratitulo"/>
        <w:rPr>
          <w:color w:val="3B3838" w:themeColor="background2" w:themeShade="40"/>
        </w:rPr>
      </w:pPr>
      <w:r w:rsidRPr="00EF7E59">
        <w:rPr>
          <w:b/>
          <w:bCs/>
          <w:color w:val="3B3838" w:themeColor="background2" w:themeShade="40"/>
        </w:rPr>
        <w:t>Fuente:</w:t>
      </w:r>
      <w:r w:rsidRPr="00413935">
        <w:rPr>
          <w:color w:val="3B3838" w:themeColor="background2" w:themeShade="40"/>
        </w:rPr>
        <w:t xml:space="preserve"> SCRD, Sondeo Museo Abierto de Bogotá (noviembre de 2022).</w:t>
      </w:r>
    </w:p>
    <w:p w14:paraId="50B90E0C" w14:textId="77777777" w:rsidR="00EF7E59" w:rsidRPr="00413935" w:rsidRDefault="00EF7E59" w:rsidP="00B14E38">
      <w:pPr>
        <w:pStyle w:val="figuratitulo"/>
        <w:rPr>
          <w:color w:val="3B3838" w:themeColor="background2" w:themeShade="40"/>
        </w:rPr>
      </w:pPr>
    </w:p>
    <w:p w14:paraId="72C8A792"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5587E524" w14:textId="77777777" w:rsidR="009239F2" w:rsidRDefault="009239F2" w:rsidP="009239F2">
      <w:r>
        <w:t>Mientras, la percepción hacia las expresiones del arte en el espacio público, según los resultados de la Encuesta Bienal de Cultura-ECC 2019 señalan que el 43</w:t>
      </w:r>
      <w:r>
        <w:rPr>
          <w:rFonts w:ascii="Arial" w:hAnsi="Arial" w:cs="Arial"/>
        </w:rPr>
        <w:t> </w:t>
      </w:r>
      <w:r>
        <w:t>% de las personas encuestadas no consideran que la calle, adem</w:t>
      </w:r>
      <w:r>
        <w:rPr>
          <w:rFonts w:cs="Candara"/>
        </w:rPr>
        <w:t>á</w:t>
      </w:r>
      <w:r>
        <w:t>s de ser un espacio para transitar sea un espacio cultural; adicionalmente, el 74</w:t>
      </w:r>
      <w:r>
        <w:rPr>
          <w:rFonts w:ascii="Arial" w:hAnsi="Arial" w:cs="Arial"/>
        </w:rPr>
        <w:t> </w:t>
      </w:r>
      <w:r>
        <w:t>% manifest</w:t>
      </w:r>
      <w:r>
        <w:rPr>
          <w:rFonts w:cs="Candara"/>
        </w:rPr>
        <w:t>ó</w:t>
      </w:r>
      <w:r>
        <w:t xml:space="preserve"> haber presenciado durante la semana anterior </w:t>
      </w:r>
      <w:r>
        <w:rPr>
          <w:rFonts w:cs="Candara"/>
        </w:rPr>
        <w:t>“</w:t>
      </w:r>
      <w:r>
        <w:t>rayones</w:t>
      </w:r>
      <w:r>
        <w:rPr>
          <w:rFonts w:cs="Candara"/>
        </w:rPr>
        <w:t>”</w:t>
      </w:r>
      <w:r>
        <w:t>, evidencia de la percepci</w:t>
      </w:r>
      <w:r>
        <w:rPr>
          <w:rFonts w:cs="Candara"/>
        </w:rPr>
        <w:t>ó</w:t>
      </w:r>
      <w:r>
        <w:t>n desfavorable que suscitan ciertas expresiones culturales como el grafiti.</w:t>
      </w:r>
    </w:p>
    <w:p w14:paraId="596E7ADB" w14:textId="77777777" w:rsidR="009239F2" w:rsidRDefault="009239F2" w:rsidP="009239F2"/>
    <w:p w14:paraId="7E6C0928" w14:textId="77777777" w:rsidR="009239F2" w:rsidRDefault="009239F2" w:rsidP="009239F2">
      <w:r>
        <w:t>En contraste, durante 2022 se adelantó un sondeo sobre el impacto de las acciones en espacio público, el cual tuvo como resultado que el 92</w:t>
      </w:r>
      <w:r>
        <w:rPr>
          <w:rFonts w:ascii="Arial" w:hAnsi="Arial" w:cs="Arial"/>
        </w:rPr>
        <w:t> </w:t>
      </w:r>
      <w:r>
        <w:t>% considera que se deben realizar m</w:t>
      </w:r>
      <w:r>
        <w:rPr>
          <w:rFonts w:cs="Candara"/>
        </w:rPr>
        <w:t>á</w:t>
      </w:r>
      <w:r>
        <w:t>s actividades art</w:t>
      </w:r>
      <w:r>
        <w:rPr>
          <w:rFonts w:cs="Candara"/>
        </w:rPr>
        <w:t>í</w:t>
      </w:r>
      <w:r>
        <w:t>sticas y culturales en estos espacios; el 70</w:t>
      </w:r>
      <w:r>
        <w:rPr>
          <w:rFonts w:ascii="Arial" w:hAnsi="Arial" w:cs="Arial"/>
        </w:rPr>
        <w:t> </w:t>
      </w:r>
      <w:r>
        <w:t>% indic</w:t>
      </w:r>
      <w:r>
        <w:rPr>
          <w:rFonts w:cs="Candara"/>
        </w:rPr>
        <w:t>ó</w:t>
      </w:r>
      <w:r>
        <w:t xml:space="preserve"> que es m</w:t>
      </w:r>
      <w:r>
        <w:rPr>
          <w:rFonts w:cs="Candara"/>
        </w:rPr>
        <w:t>á</w:t>
      </w:r>
      <w:r>
        <w:t>s tolerante con quien es diferente; el 72</w:t>
      </w:r>
      <w:r>
        <w:rPr>
          <w:rFonts w:ascii="Arial" w:hAnsi="Arial" w:cs="Arial"/>
        </w:rPr>
        <w:t> </w:t>
      </w:r>
      <w:r>
        <w:t>% disfruta el territorio donde vive, de una forma distinta, y el 85</w:t>
      </w:r>
      <w:r>
        <w:rPr>
          <w:rFonts w:ascii="Arial" w:hAnsi="Arial" w:cs="Arial"/>
        </w:rPr>
        <w:t> </w:t>
      </w:r>
      <w:r>
        <w:t>% considera que ha cambiado su percepci</w:t>
      </w:r>
      <w:r>
        <w:rPr>
          <w:rFonts w:cs="Candara"/>
        </w:rPr>
        <w:t>ó</w:t>
      </w:r>
      <w:r>
        <w:t>n del centro de Bogot</w:t>
      </w:r>
      <w:r>
        <w:rPr>
          <w:rFonts w:cs="Candara"/>
        </w:rPr>
        <w:t>á</w:t>
      </w:r>
      <w:r>
        <w:t xml:space="preserve"> de manera positiva, entre otras.</w:t>
      </w:r>
    </w:p>
    <w:p w14:paraId="00FBC0DF" w14:textId="77777777" w:rsidR="009239F2" w:rsidRDefault="009239F2" w:rsidP="009239F2">
      <w:r>
        <w:t>La divergencia de opiniones está dada por la concentración de las actividades artísticas con aprovechamiento económico en pocas zonas de la ciudad, el inadecuado uso del espacio público y el alto número de actividades que generan conflictos, congestión, inseguridad y contaminación —principalmente, auditiva y visual—, las tensiones entre la ciudadanía, las y los artistas y los demás actores que se instalan en el espacio público y las entidades distritales y el desconocimiento de los alcances, límites y criterios de promoción y fomento de las artes en el espacio público, por parte de los y las ciudadanas que se instalan en el espacio público. Se suma ello a la falta de claridad y articulación institucional en la aplicación de la norma para las y los actores que administran, gestionan y usan este espacio.</w:t>
      </w:r>
    </w:p>
    <w:p w14:paraId="5522EE4C" w14:textId="77777777" w:rsidR="009239F2" w:rsidRDefault="009239F2" w:rsidP="009239F2"/>
    <w:p w14:paraId="381CB7CC" w14:textId="77777777" w:rsidR="009239F2" w:rsidRDefault="009239F2" w:rsidP="009239F2">
      <w:r>
        <w:t xml:space="preserve">En cuanto al patrimonio de la ciudad, aunque se avanzó hacía una visión de Patrimonios Integrados luego de transitar de la noción del </w:t>
      </w:r>
      <w:r>
        <w:lastRenderedPageBreak/>
        <w:t>patrimonio impuesto a una que promueve el enfoque poblacional-diferencial, centrando la noción de patrimonio en la actividad humana y las prácticas sociales, la Encuesta de Prácticas Artísticas, Culturales, Creativas y Patrimoniales (EPACCP, 2022) refleja que el 55</w:t>
      </w:r>
      <w:r>
        <w:rPr>
          <w:rFonts w:ascii="Arial" w:hAnsi="Arial" w:cs="Arial"/>
        </w:rPr>
        <w:t> </w:t>
      </w:r>
      <w:r>
        <w:t>% de la ciudadan</w:t>
      </w:r>
      <w:r>
        <w:rPr>
          <w:rFonts w:cs="Candara"/>
        </w:rPr>
        <w:t>í</w:t>
      </w:r>
      <w:r>
        <w:t>a bogotana percibe que el patrimonio cultural de Bogot</w:t>
      </w:r>
      <w:r>
        <w:rPr>
          <w:rFonts w:cs="Candara"/>
        </w:rPr>
        <w:t>á</w:t>
      </w:r>
      <w:r>
        <w:t xml:space="preserve"> representa poco o nada a las diferentes poblaciones que lo habitan. Esta dinámica se puede relacionar con las garantías de visibilidad y representación de los intereses de los diferentes grupos sociales.</w:t>
      </w:r>
    </w:p>
    <w:p w14:paraId="40C3D86A" w14:textId="77777777" w:rsidR="009239F2" w:rsidRDefault="009239F2" w:rsidP="009239F2"/>
    <w:p w14:paraId="3452230A" w14:textId="77777777" w:rsidR="009239F2" w:rsidRDefault="009239F2" w:rsidP="009239F2">
      <w:r>
        <w:t>Por lo anterior, se hace necesario fortalecer los espacios de encuentro y de intercambio, de creación, de circulación y de deliberación ciudadana en torno a los problemas que afectan la vida de las personas en Bogotá, sus tensiones, sus conflictos y la búsqueda de maneras para afrontarlos generando experiencias que permitan, desde la reflexión y desde la práctica, pensar y crear caminos para alcanzar la ciudad que soñamos, que es patrimonio de todas y todos. Se suma a lo anterior la necesidad de desarrollar y fortalecer las rutas metodológicas del inventario como herramienta de exploración y transmisión de conocimientos colectivos sobre el patrimonio inmaterial, material y natural, así como la gestión y acompañamiento para la implementación de los planes especiales de salvaguardia adoptados, y que han sido incluidos en la Lista Representativa del Patrimonio Cultural Inmaterial del Distrito, orientados a la construcción de vínculos comunitarios, de memorias colectivas, el respeto de la diversidad de las poblaciones y la pervivencia en los territorio.</w:t>
      </w:r>
    </w:p>
    <w:p w14:paraId="4E1709E1" w14:textId="77777777" w:rsidR="009239F2" w:rsidRDefault="009239F2" w:rsidP="009239F2"/>
    <w:p w14:paraId="64E2CF02" w14:textId="77777777" w:rsidR="009239F2" w:rsidRDefault="009239F2" w:rsidP="009239F2">
      <w:r>
        <w:t xml:space="preserve">Los diversos actores responsables de la política cultural de la ciudad han promovido espacios y actividades para mitigar la percepción de la ciudadanía frente al tema, programas orientados a manifestaciones artísticas de grafiti, artes circenses y arte callejero, entre otras, que permiten promover políticas de inclusión y reconocimiento, y permiten, por tanto, que la gestión no solo identifique estas nuevas prácticas </w:t>
      </w:r>
      <w:r>
        <w:t>artísticas, sino que promueva su fortalecimiento y promoción. Democratizar el acceso a las condiciones que posibilitan la creación es una necesidad de las entidades que defienden los derechos culturales de los artistas, los y las ciudadanas.</w:t>
      </w:r>
    </w:p>
    <w:p w14:paraId="6C2C6A7F" w14:textId="77777777" w:rsidR="009239F2" w:rsidRDefault="009239F2" w:rsidP="009239F2"/>
    <w:p w14:paraId="7EFE841E" w14:textId="77777777" w:rsidR="009239F2" w:rsidRDefault="009239F2" w:rsidP="009239F2">
      <w:r>
        <w:t>Adicionalmente, se han evidenciado procesos de transformación de los comportamientos en espacio público del centro de Bogotá, como es el caso del Parque Santander, donde, según el análisis delictivo de la Secretaría Distrital de Seguridad, Convivencia y Justicia (SCJ), para la vigencia 2022 se presentó la reducción de 8 de 11 conductas delictivas. No obstante, y siguiendo los resultados de la Encuesta Indicadores y Políticas públicas de Bogotá de 2022, el 67</w:t>
      </w:r>
      <w:r>
        <w:rPr>
          <w:rFonts w:ascii="Arial" w:hAnsi="Arial" w:cs="Arial"/>
        </w:rPr>
        <w:t> </w:t>
      </w:r>
      <w:r>
        <w:t>% de los encuestados considera la calle un lugar de conflictos, y el 77</w:t>
      </w:r>
      <w:r>
        <w:rPr>
          <w:rFonts w:ascii="Arial" w:hAnsi="Arial" w:cs="Arial"/>
        </w:rPr>
        <w:t> </w:t>
      </w:r>
      <w:r>
        <w:t>%, un lugar de peligro. As</w:t>
      </w:r>
      <w:r>
        <w:rPr>
          <w:rFonts w:cs="Candara"/>
        </w:rPr>
        <w:t>í</w:t>
      </w:r>
      <w:r>
        <w:t xml:space="preserve"> mismo, en 2023 se realiz</w:t>
      </w:r>
      <w:r>
        <w:rPr>
          <w:rFonts w:cs="Candara"/>
        </w:rPr>
        <w:t>ó</w:t>
      </w:r>
      <w:r>
        <w:t xml:space="preserve"> la investigaci</w:t>
      </w:r>
      <w:r>
        <w:rPr>
          <w:rFonts w:cs="Candara"/>
        </w:rPr>
        <w:t>ó</w:t>
      </w:r>
      <w:r>
        <w:t>n del Informe de percepci</w:t>
      </w:r>
      <w:r>
        <w:rPr>
          <w:rFonts w:cs="Candara"/>
        </w:rPr>
        <w:t>ó</w:t>
      </w:r>
      <w:r>
        <w:t>n de Marca Bronx Distrito Creativo, donde el 63,1</w:t>
      </w:r>
      <w:r>
        <w:rPr>
          <w:rFonts w:ascii="Arial" w:hAnsi="Arial" w:cs="Arial"/>
        </w:rPr>
        <w:t> </w:t>
      </w:r>
      <w:r>
        <w:t>% de las personas entrevistadas respondió que no han escuchado sobre Bronx Distrito Creativo, el 54,6</w:t>
      </w:r>
      <w:r>
        <w:rPr>
          <w:rFonts w:ascii="Arial" w:hAnsi="Arial" w:cs="Arial"/>
        </w:rPr>
        <w:t> </w:t>
      </w:r>
      <w:r>
        <w:t>% se siente poco seguro/segura o nada seguro/segura y solo el 7,3</w:t>
      </w:r>
      <w:r>
        <w:rPr>
          <w:rFonts w:ascii="Arial" w:hAnsi="Arial" w:cs="Arial"/>
        </w:rPr>
        <w:t> </w:t>
      </w:r>
      <w:r>
        <w:t>% han asistido a alguno de los eventos realizados en dicho espacio.</w:t>
      </w:r>
    </w:p>
    <w:p w14:paraId="051F6804" w14:textId="77777777" w:rsidR="009239F2" w:rsidRDefault="009239F2" w:rsidP="009239F2"/>
    <w:p w14:paraId="20E61156" w14:textId="77777777" w:rsidR="009239F2" w:rsidRDefault="009239F2" w:rsidP="009239F2">
      <w:r>
        <w:t>El sector ha sido resiliente frente a la percepción de los y las ciudadanas hacia la cultura en el espacio público y frente a las necesidades de las comunidades y sus formas organizativas; sin embargo, resulta fundamental avanzar en la consolidación de la presencia institucional en la escala barrial, con el objetivo de retomar la relación entre las formas organizativas barriales y su territorio. Un dato que valida dicho fenómeno se encuentra dentro de la última encuesta de consumo cultural 2021, en la cual se consultó a las personas encuestadas: “¿Tiene conocimiento de iniciativas artísticas y/o culturales en su localidad o barrio?”, y donde solo el 25</w:t>
      </w:r>
      <w:r>
        <w:rPr>
          <w:rFonts w:ascii="Arial" w:hAnsi="Arial" w:cs="Arial"/>
        </w:rPr>
        <w:t> </w:t>
      </w:r>
      <w:r>
        <w:t>% contest</w:t>
      </w:r>
      <w:r>
        <w:rPr>
          <w:rFonts w:cs="Candara"/>
        </w:rPr>
        <w:t>ó</w:t>
      </w:r>
      <w:r>
        <w:t xml:space="preserve"> de manera afirmativa.</w:t>
      </w:r>
    </w:p>
    <w:p w14:paraId="3533C657" w14:textId="77777777" w:rsidR="009239F2" w:rsidRDefault="009239F2" w:rsidP="009239F2"/>
    <w:p w14:paraId="1E4CD6FE" w14:textId="77777777" w:rsidR="009239F2" w:rsidRDefault="009239F2" w:rsidP="009239F2">
      <w:r>
        <w:t xml:space="preserve">Por otra parte, pese al desarrollo de programas orientados a contribuir al mejoramiento de la </w:t>
      </w:r>
      <w:r>
        <w:lastRenderedPageBreak/>
        <w:t>calidad de la educación a partir de formación artística o de disciplinas deportivas, la cobertura resulta insuficiente. Por ejemplo, la Orquesta Filarmónica de Bogotá hace un gran esfuerzo que le permite atender a un promedio de 25.000 niños, niñas, adolescentes y jóvenes (NNAJ) en su Programa de Formación Musical Vamos a la Filarmónica, lo que representa apenas el 2,8</w:t>
      </w:r>
      <w:r>
        <w:rPr>
          <w:rFonts w:ascii="Arial" w:hAnsi="Arial" w:cs="Arial"/>
        </w:rPr>
        <w:t> </w:t>
      </w:r>
      <w:r>
        <w:t>% de la matr</w:t>
      </w:r>
      <w:r>
        <w:rPr>
          <w:rFonts w:cs="Candara"/>
        </w:rPr>
        <w:t>í</w:t>
      </w:r>
      <w:r>
        <w:t>cula p</w:t>
      </w:r>
      <w:r>
        <w:rPr>
          <w:rFonts w:cs="Candara"/>
        </w:rPr>
        <w:t>ú</w:t>
      </w:r>
      <w:r>
        <w:t>blica para los niveles de primaria y secundaria, y los 40.000 niños y niñas del IDRD representan el 5,05</w:t>
      </w:r>
      <w:r>
        <w:rPr>
          <w:rFonts w:ascii="Arial" w:hAnsi="Arial" w:cs="Arial"/>
        </w:rPr>
        <w:t> </w:t>
      </w:r>
      <w:r>
        <w:t>%. Si no se aborda la problem</w:t>
      </w:r>
      <w:r>
        <w:rPr>
          <w:rFonts w:cs="Candara"/>
        </w:rPr>
        <w:t>á</w:t>
      </w:r>
      <w:r>
        <w:t>tica enfatizando la m</w:t>
      </w:r>
      <w:r>
        <w:rPr>
          <w:rFonts w:cs="Candara"/>
        </w:rPr>
        <w:t>ú</w:t>
      </w:r>
      <w:r>
        <w:t>sica, las artes y el deporte como parte significativa del modelo pedag</w:t>
      </w:r>
      <w:r>
        <w:rPr>
          <w:rFonts w:cs="Candara"/>
        </w:rPr>
        <w:t>ó</w:t>
      </w:r>
      <w:r>
        <w:t>gico distrital, la brecha en la calidad educativa que se imparte entre los colegios privados y p</w:t>
      </w:r>
      <w:r>
        <w:rPr>
          <w:rFonts w:cs="Candara"/>
        </w:rPr>
        <w:t>ú</w:t>
      </w:r>
      <w:r>
        <w:t>blicos probablemente se agudizar</w:t>
      </w:r>
      <w:r>
        <w:rPr>
          <w:rFonts w:cs="Candara"/>
        </w:rPr>
        <w:t>á</w:t>
      </w:r>
      <w:r>
        <w:t>, en detrimento de la educaci</w:t>
      </w:r>
      <w:r>
        <w:rPr>
          <w:rFonts w:cs="Candara"/>
        </w:rPr>
        <w:t>ó</w:t>
      </w:r>
      <w:r>
        <w:t>n p</w:t>
      </w:r>
      <w:r>
        <w:rPr>
          <w:rFonts w:cs="Candara"/>
        </w:rPr>
        <w:t>ú</w:t>
      </w:r>
      <w:r>
        <w:t>blica.</w:t>
      </w:r>
    </w:p>
    <w:p w14:paraId="04E08A85" w14:textId="77777777" w:rsidR="009239F2" w:rsidRDefault="009239F2" w:rsidP="009239F2"/>
    <w:p w14:paraId="352EC54B" w14:textId="77777777" w:rsidR="009239F2" w:rsidRDefault="009239F2" w:rsidP="009239F2">
      <w:r>
        <w:t>Desde otra mirada, se evidencian bajos niveles de apoyo público a iniciativas culturales con énfasis en música sinfónica, académica y canto lírico en la ciudad. Como se indica en el Plan Nacional de Cultura 2022-2032 (2022, p. 52), existe una “Preocupación ciudadana por el aumento en los hábitos de consumo cultural de creaciones, producciones y manifestaciones culturales foráneas en detrimento de las locales”. Por su parte, la música sinfónica académica y el canto lírico aún no logran ser apreciados por un porcentaje mayoritario de la población. Estas realidades repercuten en que las y los cultores de estas músicas no accedan a un ingreso suficiente como producto de su trabajo artístico; de ahí la necesidad de la intervención de política pública, mediante el diseño de estímulos y apoyos, a este sector de la cultura en toda su cadena de valor: personas productoras, divulgadoras, creadoras, formadoras, investigadoras, actores y bailarines. Ello se refleja en la alta demanda de los estímulos y apoyos concertados que oferta el sector cultura, recreación y deporte del Distrito Capital.</w:t>
      </w:r>
    </w:p>
    <w:p w14:paraId="5E5391D4" w14:textId="77777777" w:rsidR="009239F2" w:rsidRDefault="009239F2" w:rsidP="009239F2"/>
    <w:p w14:paraId="470E6C13" w14:textId="77777777" w:rsidR="009239F2" w:rsidRDefault="009239F2" w:rsidP="009239F2">
      <w:r>
        <w:t>En materia de estímulos y apoyos, de las 32.967 propuestas recibidas por el sector, solo pudieron ser adjudicadas 6.396 (19</w:t>
      </w:r>
      <w:r>
        <w:rPr>
          <w:rFonts w:ascii="Arial" w:hAnsi="Arial" w:cs="Arial"/>
        </w:rPr>
        <w:t> </w:t>
      </w:r>
      <w:r>
        <w:t xml:space="preserve">%) de ellas, lo cual </w:t>
      </w:r>
      <w:r>
        <w:t>indica que el Distrito Capital no dispone de suficientes recursos para cubrir esta demanda, que es crucial para la reactivaci</w:t>
      </w:r>
      <w:r>
        <w:rPr>
          <w:rFonts w:cs="Candara"/>
        </w:rPr>
        <w:t>ó</w:t>
      </w:r>
      <w:r>
        <w:t>n de un sector fuertemente afectado por los efectos de la pandemia que vivi</w:t>
      </w:r>
      <w:r>
        <w:rPr>
          <w:rFonts w:cs="Candara"/>
        </w:rPr>
        <w:t>ó</w:t>
      </w:r>
      <w:r>
        <w:t xml:space="preserve"> la ciudad entre 2020 y 2022. Si esta problem</w:t>
      </w:r>
      <w:r>
        <w:rPr>
          <w:rFonts w:cs="Candara"/>
        </w:rPr>
        <w:t>á</w:t>
      </w:r>
      <w:r>
        <w:t>tica persiste en el tiempo, generar</w:t>
      </w:r>
      <w:r>
        <w:rPr>
          <w:rFonts w:cs="Candara"/>
        </w:rPr>
        <w:t>í</w:t>
      </w:r>
      <w:r>
        <w:t>a una p</w:t>
      </w:r>
      <w:r>
        <w:rPr>
          <w:rFonts w:cs="Candara"/>
        </w:rPr>
        <w:t>é</w:t>
      </w:r>
      <w:r>
        <w:t>rdida en la cantidad de producciones musicales ofertadas por los m</w:t>
      </w:r>
      <w:r>
        <w:rPr>
          <w:rFonts w:cs="Candara"/>
        </w:rPr>
        <w:t>ú</w:t>
      </w:r>
      <w:r>
        <w:t>sicos sinfónicos a la ciudad a raíz del bajo apoyo económico.</w:t>
      </w:r>
    </w:p>
    <w:p w14:paraId="0F54EAA0" w14:textId="77777777" w:rsidR="009239F2" w:rsidRDefault="009239F2" w:rsidP="009239F2"/>
    <w:p w14:paraId="47B9A7CF" w14:textId="77777777" w:rsidR="009239F2" w:rsidRDefault="009239F2" w:rsidP="009239F2">
      <w:r>
        <w:t>En relación con el desarrollo de ciudadanías digitales creativas, según el estudio infancia y medios audiovisuales elaborado por la Comisión de Regulación de Comunicaciones (CRC) en 2021, y que encuestó a 1.816 a NNA entre los 6 y los 17 años (31,7</w:t>
      </w:r>
      <w:r>
        <w:rPr>
          <w:rFonts w:ascii="Arial" w:hAnsi="Arial" w:cs="Arial"/>
        </w:rPr>
        <w:t> </w:t>
      </w:r>
      <w:r>
        <w:t>% en Bogot</w:t>
      </w:r>
      <w:r>
        <w:rPr>
          <w:rFonts w:cs="Candara"/>
        </w:rPr>
        <w:t>á</w:t>
      </w:r>
      <w:r>
        <w:t xml:space="preserve"> + 79,7</w:t>
      </w:r>
      <w:r>
        <w:rPr>
          <w:rFonts w:ascii="Arial" w:hAnsi="Arial" w:cs="Arial"/>
        </w:rPr>
        <w:t> </w:t>
      </w:r>
      <w:r>
        <w:t>% de estratos 1-3), el 82</w:t>
      </w:r>
      <w:r>
        <w:rPr>
          <w:rFonts w:ascii="Arial" w:hAnsi="Arial" w:cs="Arial"/>
        </w:rPr>
        <w:t> </w:t>
      </w:r>
      <w:r>
        <w:t>% de los encuestados tienen acceso a un celular; el 67,5</w:t>
      </w:r>
      <w:r>
        <w:rPr>
          <w:rFonts w:ascii="Arial" w:hAnsi="Arial" w:cs="Arial"/>
        </w:rPr>
        <w:t> </w:t>
      </w:r>
      <w:r>
        <w:t>%, a un televisor inteligente, y el 49,2</w:t>
      </w:r>
      <w:r>
        <w:rPr>
          <w:rFonts w:ascii="Arial" w:hAnsi="Arial" w:cs="Arial"/>
        </w:rPr>
        <w:t> </w:t>
      </w:r>
      <w:r>
        <w:t>%, a un televisor tradicional.</w:t>
      </w:r>
    </w:p>
    <w:p w14:paraId="38678611" w14:textId="77777777" w:rsidR="009239F2" w:rsidRDefault="009239F2" w:rsidP="009239F2"/>
    <w:p w14:paraId="768F1A28" w14:textId="77777777" w:rsidR="009239F2" w:rsidRDefault="009239F2" w:rsidP="009239F2">
      <w:r>
        <w:t>El estudio indica que el promedio de consumo de televisión (contenidos audiovisuales) es de 200 minutos diarios, y que el 41</w:t>
      </w:r>
      <w:r>
        <w:rPr>
          <w:rFonts w:ascii="Arial" w:hAnsi="Arial" w:cs="Arial"/>
        </w:rPr>
        <w:t> </w:t>
      </w:r>
      <w:r>
        <w:t>% usa el celular para revisar/ver/publicar en YouTube; el 39</w:t>
      </w:r>
      <w:r>
        <w:rPr>
          <w:rFonts w:ascii="Arial" w:hAnsi="Arial" w:cs="Arial"/>
        </w:rPr>
        <w:t> </w:t>
      </w:r>
      <w:r>
        <w:t>%, en Facebook; el 35</w:t>
      </w:r>
      <w:r>
        <w:rPr>
          <w:rFonts w:ascii="Arial" w:hAnsi="Arial" w:cs="Arial"/>
        </w:rPr>
        <w:t> </w:t>
      </w:r>
      <w:r>
        <w:t>%, en TikTok; el 26</w:t>
      </w:r>
      <w:r>
        <w:rPr>
          <w:rFonts w:ascii="Arial" w:hAnsi="Arial" w:cs="Arial"/>
        </w:rPr>
        <w:t> </w:t>
      </w:r>
      <w:r>
        <w:t>%, en Instagram; el 31</w:t>
      </w:r>
      <w:r>
        <w:rPr>
          <w:rFonts w:ascii="Arial" w:hAnsi="Arial" w:cs="Arial"/>
        </w:rPr>
        <w:t> </w:t>
      </w:r>
      <w:r>
        <w:t>%, para ver series; el 74</w:t>
      </w:r>
      <w:r>
        <w:rPr>
          <w:rFonts w:ascii="Arial" w:hAnsi="Arial" w:cs="Arial"/>
        </w:rPr>
        <w:t> </w:t>
      </w:r>
      <w:r>
        <w:t>%, para ver televisi</w:t>
      </w:r>
      <w:r>
        <w:rPr>
          <w:rFonts w:cs="Candara"/>
        </w:rPr>
        <w:t>ó</w:t>
      </w:r>
      <w:r>
        <w:t>n (contenidos audiovisuales), y el 35</w:t>
      </w:r>
      <w:r>
        <w:rPr>
          <w:rFonts w:ascii="Arial" w:hAnsi="Arial" w:cs="Arial"/>
        </w:rPr>
        <w:t> </w:t>
      </w:r>
      <w:r>
        <w:t>%, para escuchar radio online.</w:t>
      </w:r>
    </w:p>
    <w:p w14:paraId="6AEB6485" w14:textId="77777777" w:rsidR="009239F2" w:rsidRDefault="009239F2" w:rsidP="009239F2"/>
    <w:p w14:paraId="637C230C" w14:textId="295BB4B0" w:rsidR="009239F2" w:rsidRDefault="009239F2" w:rsidP="009239F2">
      <w:r>
        <w:t>La investigación concluye que</w:t>
      </w:r>
      <w:r w:rsidR="009845AC">
        <w:t>:</w:t>
      </w:r>
      <w:r>
        <w:t xml:space="preserve"> </w:t>
      </w:r>
    </w:p>
    <w:p w14:paraId="2C597062" w14:textId="7B834CB6" w:rsidR="009239F2" w:rsidRDefault="009845AC" w:rsidP="009239F2">
      <w:pPr>
        <w:ind w:left="708"/>
      </w:pPr>
      <w:r>
        <w:t>“</w:t>
      </w:r>
      <w:r w:rsidR="009239F2">
        <w:t xml:space="preserve">[…] </w:t>
      </w:r>
      <w:r w:rsidR="009239F2" w:rsidRPr="009845AC">
        <w:rPr>
          <w:i/>
          <w:iCs/>
        </w:rPr>
        <w:t>la niñez y la adolescencia conforman una población que consume contenidos audiovisuales de manera masiva y constante. Internet es el medio más usado (85</w:t>
      </w:r>
      <w:r w:rsidR="009239F2" w:rsidRPr="009845AC">
        <w:rPr>
          <w:rFonts w:ascii="Arial" w:hAnsi="Arial" w:cs="Arial"/>
          <w:i/>
          <w:iCs/>
        </w:rPr>
        <w:t> </w:t>
      </w:r>
      <w:r w:rsidR="009239F2" w:rsidRPr="009845AC">
        <w:rPr>
          <w:i/>
          <w:iCs/>
        </w:rPr>
        <w:t>%), seguido por el celular (79</w:t>
      </w:r>
      <w:r w:rsidR="009239F2" w:rsidRPr="009845AC">
        <w:rPr>
          <w:rFonts w:ascii="Arial" w:hAnsi="Arial" w:cs="Arial"/>
          <w:i/>
          <w:iCs/>
        </w:rPr>
        <w:t> </w:t>
      </w:r>
      <w:r w:rsidR="009239F2" w:rsidRPr="009845AC">
        <w:rPr>
          <w:i/>
          <w:iCs/>
        </w:rPr>
        <w:t>%) y la televisi</w:t>
      </w:r>
      <w:r w:rsidR="009239F2" w:rsidRPr="009845AC">
        <w:rPr>
          <w:rFonts w:cs="Candara"/>
          <w:i/>
          <w:iCs/>
        </w:rPr>
        <w:t>ó</w:t>
      </w:r>
      <w:r w:rsidR="009239F2" w:rsidRPr="009845AC">
        <w:rPr>
          <w:i/>
          <w:iCs/>
        </w:rPr>
        <w:t>n (74</w:t>
      </w:r>
      <w:r w:rsidR="009239F2" w:rsidRPr="009845AC">
        <w:rPr>
          <w:rFonts w:ascii="Arial" w:hAnsi="Arial" w:cs="Arial"/>
          <w:i/>
          <w:iCs/>
        </w:rPr>
        <w:t> </w:t>
      </w:r>
      <w:r w:rsidR="009239F2" w:rsidRPr="009845AC">
        <w:rPr>
          <w:i/>
          <w:iCs/>
        </w:rPr>
        <w:t>%). El consumo de Internet puede considerarse a</w:t>
      </w:r>
      <w:r w:rsidR="009239F2" w:rsidRPr="009845AC">
        <w:rPr>
          <w:rFonts w:cs="Candara"/>
          <w:i/>
          <w:iCs/>
        </w:rPr>
        <w:t>ú</w:t>
      </w:r>
      <w:r w:rsidR="009239F2" w:rsidRPr="009845AC">
        <w:rPr>
          <w:i/>
          <w:iCs/>
        </w:rPr>
        <w:t>n mayor si se considera que varias de las actividades que los ni</w:t>
      </w:r>
      <w:r w:rsidR="009239F2" w:rsidRPr="009845AC">
        <w:rPr>
          <w:rFonts w:cs="Candara"/>
          <w:i/>
          <w:iCs/>
        </w:rPr>
        <w:t>ñ</w:t>
      </w:r>
      <w:r w:rsidR="009239F2" w:rsidRPr="009845AC">
        <w:rPr>
          <w:i/>
          <w:iCs/>
        </w:rPr>
        <w:t>os, ni</w:t>
      </w:r>
      <w:r w:rsidR="009239F2" w:rsidRPr="009845AC">
        <w:rPr>
          <w:rFonts w:cs="Candara"/>
          <w:i/>
          <w:iCs/>
        </w:rPr>
        <w:t>ñ</w:t>
      </w:r>
      <w:r w:rsidR="009239F2" w:rsidRPr="009845AC">
        <w:rPr>
          <w:i/>
          <w:iCs/>
        </w:rPr>
        <w:t>as y adolescentes realizan en el celular requieren de conexi</w:t>
      </w:r>
      <w:r w:rsidR="009239F2" w:rsidRPr="009845AC">
        <w:rPr>
          <w:rFonts w:cs="Candara"/>
          <w:i/>
          <w:iCs/>
        </w:rPr>
        <w:t>ó</w:t>
      </w:r>
      <w:r w:rsidR="009239F2" w:rsidRPr="009845AC">
        <w:rPr>
          <w:i/>
          <w:iCs/>
        </w:rPr>
        <w:t>n a la Red, como es el caso de las aplicaciones y plataformas digitales donde se juega en l</w:t>
      </w:r>
      <w:r w:rsidR="009239F2" w:rsidRPr="009845AC">
        <w:rPr>
          <w:rFonts w:cs="Candara"/>
          <w:i/>
          <w:iCs/>
        </w:rPr>
        <w:t>í</w:t>
      </w:r>
      <w:r w:rsidR="009239F2" w:rsidRPr="009845AC">
        <w:rPr>
          <w:i/>
          <w:iCs/>
        </w:rPr>
        <w:t>nea, se chatea y se consumen contenidos audiovisuales</w:t>
      </w:r>
      <w:r>
        <w:t>” (CRC, 2021)</w:t>
      </w:r>
      <w:r w:rsidR="009239F2">
        <w:t>.</w:t>
      </w:r>
    </w:p>
    <w:p w14:paraId="7E391E17" w14:textId="77777777" w:rsidR="009239F2" w:rsidRDefault="009239F2" w:rsidP="009239F2"/>
    <w:p w14:paraId="06151995" w14:textId="3655C6E1" w:rsidR="009239F2" w:rsidRDefault="009239F2" w:rsidP="009239F2">
      <w:r>
        <w:lastRenderedPageBreak/>
        <w:t>El más reciente informe de We Are Social, Digital 2023 Colombia revela que el 74</w:t>
      </w:r>
      <w:r>
        <w:rPr>
          <w:rFonts w:ascii="Arial" w:hAnsi="Arial" w:cs="Arial"/>
        </w:rPr>
        <w:t> </w:t>
      </w:r>
      <w:r>
        <w:t>% de la poblaci</w:t>
      </w:r>
      <w:r>
        <w:rPr>
          <w:rFonts w:cs="Candara"/>
        </w:rPr>
        <w:t>ó</w:t>
      </w:r>
      <w:r>
        <w:t>n colombiana usa redes sociales; es decir, 38,45 millones de personas. En promedio, las y los usuarios permanecen 3 horas y 32 minutos en las plataformas sociales a diario, el 56</w:t>
      </w:r>
      <w:r>
        <w:rPr>
          <w:rFonts w:ascii="Arial" w:hAnsi="Arial" w:cs="Arial"/>
        </w:rPr>
        <w:t> </w:t>
      </w:r>
      <w:r>
        <w:t>% usan las redes sociales para conectarse con amigos, amigas personas cercanas y familiares; el 51</w:t>
      </w:r>
      <w:r>
        <w:rPr>
          <w:rFonts w:ascii="Arial" w:hAnsi="Arial" w:cs="Arial"/>
        </w:rPr>
        <w:t> </w:t>
      </w:r>
      <w:r>
        <w:t>%, para leer noticias; el 39</w:t>
      </w:r>
      <w:r>
        <w:rPr>
          <w:rFonts w:ascii="Arial" w:hAnsi="Arial" w:cs="Arial"/>
        </w:rPr>
        <w:t> </w:t>
      </w:r>
      <w:r>
        <w:t>%, para encontrar contenido, y el 26</w:t>
      </w:r>
      <w:r>
        <w:rPr>
          <w:rFonts w:ascii="Arial" w:hAnsi="Arial" w:cs="Arial"/>
        </w:rPr>
        <w:t> </w:t>
      </w:r>
      <w:r>
        <w:t>%, para ver transmisiones en vivo. Es decir, las plataformas digitales siguen ganando terreno en el consumo de contenidos y la convergencia no es opcional.</w:t>
      </w:r>
    </w:p>
    <w:p w14:paraId="19AFF2BC" w14:textId="77777777" w:rsidR="00EE4F6C" w:rsidRDefault="00EE4F6C" w:rsidP="009239F2"/>
    <w:p w14:paraId="728328BE" w14:textId="77777777" w:rsidR="009239F2" w:rsidRDefault="009239F2" w:rsidP="009239F2">
      <w:r>
        <w:t>Los nuevos hábitos de consumo de información necesitan soluciones ágiles y requieren una reingeniería permanente a tono con el desarrollo tecnológico actual; la convergencia es una necesidad para que los medios públicos se posicionen como una alternativa de calidad.</w:t>
      </w:r>
    </w:p>
    <w:p w14:paraId="2CBEE308" w14:textId="77777777" w:rsidR="009239F2" w:rsidRDefault="009239F2" w:rsidP="009239F2"/>
    <w:p w14:paraId="59D120C3" w14:textId="321873DD" w:rsidR="00B14E38" w:rsidRPr="00B944E8" w:rsidRDefault="009239F2" w:rsidP="009239F2">
      <w:pPr>
        <w:rPr>
          <w:highlight w:val="white"/>
        </w:rPr>
      </w:pPr>
      <w:r>
        <w:t>Toda la situación descrita, si bien evidencia que Bogotá ha avanzado en la introducción de prácticas deportivas, recreativas, culturales y patrimoniales para la mayoría de la población, también muestra que se requiere seguir estimulándolas a fin de penetrar aún más en la población promoviendo, a su vez, una mayor expresión y gusto por vivir en la ciudad</w:t>
      </w:r>
      <w:r w:rsidR="00B14E38" w:rsidRPr="00B944E8">
        <w:rPr>
          <w:highlight w:val="white"/>
        </w:rPr>
        <w:t>.</w:t>
      </w:r>
    </w:p>
    <w:p w14:paraId="46E2C6B0"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num="2" w:space="567"/>
          <w:docGrid w:linePitch="299"/>
        </w:sectPr>
      </w:pPr>
    </w:p>
    <w:p w14:paraId="04ED235C" w14:textId="77777777" w:rsidR="00B14E38" w:rsidRPr="00B944E8" w:rsidRDefault="00B14E38" w:rsidP="00B14E38">
      <w:pPr>
        <w:spacing w:line="480" w:lineRule="auto"/>
        <w:rPr>
          <w:rFonts w:ascii="Times New Roman" w:hAnsi="Times New Roman"/>
          <w:sz w:val="24"/>
          <w:highlight w:val="white"/>
        </w:rPr>
      </w:pPr>
    </w:p>
    <w:p w14:paraId="18723699" w14:textId="0093C730" w:rsidR="00B14E38" w:rsidRPr="00C567D1" w:rsidRDefault="00B14E38" w:rsidP="00C567D1">
      <w:pPr>
        <w:ind w:firstLine="708"/>
        <w:rPr>
          <w:b/>
          <w:bCs/>
          <w:color w:val="C00000"/>
          <w:sz w:val="24"/>
        </w:rPr>
      </w:pPr>
      <w:r w:rsidRPr="00C567D1">
        <w:rPr>
          <w:b/>
          <w:bCs/>
          <w:sz w:val="24"/>
        </w:rPr>
        <w:t>Descripción del programa</w:t>
      </w:r>
    </w:p>
    <w:p w14:paraId="70A54B91"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1267912C" w14:textId="77777777" w:rsidR="00C567D1" w:rsidRDefault="00C567D1" w:rsidP="00C567D1">
      <w:r>
        <w:t>El objetivo de este programa es contribuir a la salud mental y física de la ciudadanía en su ciclo de vida mediante el incentivo de la práctica deportiva, recreativa, artística, cultural y patrimonial en los barrios, comunidades y en la Bogotá Región, aprovechando los espacios públicos accesibles y seguros, haciendo uso de diversas plataformas en beneficio de la salud tanto física como mental y promoviendo hábitos de vida saludable, con ejercicios que buscan relaciones interculturales.</w:t>
      </w:r>
    </w:p>
    <w:p w14:paraId="2A38F2FE" w14:textId="77777777" w:rsidR="00C567D1" w:rsidRDefault="00C567D1" w:rsidP="00C567D1"/>
    <w:p w14:paraId="65CEC1FA" w14:textId="77777777" w:rsidR="00C567D1" w:rsidRDefault="00C567D1" w:rsidP="00C567D1">
      <w:r>
        <w:t xml:space="preserve">El deporte, la actividad física y la recreación son ejes esenciales en la formación física, mental y de valores de la ciudadanía. Posicionar a Bogotá como epicentro de actividades de iniciación, formación y alta competición permitirá brindar los espacios idóneos para superar grandes retos. Se destaca la actividad deportiva para el desarrollo social por medio del deporte social comunitario con juego comunales, deporte del sector educativo (festivales escolares, juegos intercolegiados y juegos universitarios), deportes de alto rendimiento olímpico y paralímpico, certámenes deportivos distritales —Juegos Distritales de la Juventud, certámenes deportivos nacionales— Juegos Nacionales y Paranacionales, Juegos Nacionales de la </w:t>
      </w:r>
      <w:r>
        <w:t>Juventud y Juegos Nacionales de Mar y Playa, así como certámenes deportivos internacionales.</w:t>
      </w:r>
    </w:p>
    <w:p w14:paraId="47F48D81" w14:textId="77777777" w:rsidR="00C567D1" w:rsidRDefault="00C567D1" w:rsidP="00C567D1"/>
    <w:p w14:paraId="0BE5671B" w14:textId="77777777" w:rsidR="00C567D1" w:rsidRDefault="00C567D1" w:rsidP="00C567D1">
      <w:r>
        <w:t>El programa busca aumentar la participación tanto de niñas como de mujeres en el deporte, mediante la priorización de espacios y beneficios exclusivos que fomenten su desarrollo y participación, así como alentar el desarrollo de mujeres entrenadoras para contribuir al cierre de brechas de género en la práctica del deporte, unido a un sistema efectivo para dar garantías a las mujeres y niñas que deciden denunciar casos de abuso en el mundo del deporte.</w:t>
      </w:r>
    </w:p>
    <w:p w14:paraId="7AB13718" w14:textId="77777777" w:rsidR="00C567D1" w:rsidRDefault="00C567D1" w:rsidP="00C567D1"/>
    <w:p w14:paraId="7B9B8E13" w14:textId="22C47596" w:rsidR="00C567D1" w:rsidRDefault="00C567D1" w:rsidP="00C567D1">
      <w:r>
        <w:t xml:space="preserve">Igualmente, busca promover actividades artísticas, culturales y patrimoniales como un medio para el ejercicio de los derechos y el desarrollo humano, con alcance local, distrital y regional, que, como parte de ese ejercicio de reconocimiento, identifique distintos agentes culturales, artistas y/o agrupaciones, colectivos artísticos de los sectores </w:t>
      </w:r>
      <w:r w:rsidR="00D509DE">
        <w:t>LGBTI</w:t>
      </w:r>
      <w:r>
        <w:t xml:space="preserve">, mujeres, personas con discapacidad, víctimas, pueblos indígenas, pueblo gitano, afrocolombiano, palenquero y raizal, entre muchas otros, permitiendo reflexionar acerca de la no reafirmación </w:t>
      </w:r>
      <w:r>
        <w:lastRenderedPageBreak/>
        <w:t>de estereotipos e imaginarios que promueven la discriminación, y contribuyendo a reducir cada vez más las brechas para garantizar los derechos sociales y culturales de grupos históricamente excluidos.</w:t>
      </w:r>
    </w:p>
    <w:p w14:paraId="19A66092" w14:textId="77777777" w:rsidR="00C567D1" w:rsidRDefault="00C567D1" w:rsidP="00C567D1"/>
    <w:p w14:paraId="1ED389A6" w14:textId="77777777" w:rsidR="00C567D1" w:rsidRDefault="00C567D1" w:rsidP="00C567D1">
      <w:r>
        <w:t>Realizar laboratorios creativos en barrios, como mecanismo de interacción para fortalecer los procesos de artistas, agrupaciones, colectivos, organizaciones y líderes socioculturales, así como en espacios culturales y eventos comunitarios, mediante estrategias conjuntas de formación, creación, circulación, investigación y apropiación de las artes.</w:t>
      </w:r>
    </w:p>
    <w:p w14:paraId="34545928" w14:textId="77777777" w:rsidR="00C567D1" w:rsidRDefault="00C567D1" w:rsidP="00C567D1"/>
    <w:p w14:paraId="22ED21AF" w14:textId="77777777" w:rsidR="00C567D1" w:rsidRDefault="00C567D1" w:rsidP="00C567D1">
      <w:r>
        <w:t>Así mismo, en este programa se expanden los esfuerzos por reconocer y salvaguardar la memoria y las identidades locales y barriales de las personas que habitan los diferentes territorios de Bogotá, de modo que hacerlo permita contar con espacios y escenarios inclusivos y accesibles a la ciudadanía que promueven los patrimonios mediante encuentros, actividades, prácticas, eventos, experiencias y expresiones de índole social y cultural. Además, define y formula medidas para la preservación del patrimonio cultural inmaterial de Bogotá; a saber: Festival del Sol y la Luna, Teatro La Candelaria y la Bicicleta.</w:t>
      </w:r>
    </w:p>
    <w:p w14:paraId="7E31FB5B" w14:textId="77777777" w:rsidR="00C567D1" w:rsidRDefault="00C567D1" w:rsidP="00C567D1"/>
    <w:p w14:paraId="5E84C885" w14:textId="77777777" w:rsidR="00C567D1" w:rsidRDefault="00C567D1" w:rsidP="00C567D1">
      <w:r>
        <w:t>Bogotá, como ciudad creativa, promueve eventos filarmónicos para que más personas de diversos grupos poblacionales accedan a la oferta cultural de la Orquesta Filarmónica de Bogotá, sus agrupaciones filarmónicas y de la Orquesta Juvenil de Cámara.</w:t>
      </w:r>
    </w:p>
    <w:p w14:paraId="270D76E7" w14:textId="77777777" w:rsidR="00C567D1" w:rsidRDefault="00C567D1" w:rsidP="00C567D1"/>
    <w:p w14:paraId="4A973490" w14:textId="77777777" w:rsidR="00C567D1" w:rsidRDefault="00C567D1" w:rsidP="00C567D1">
      <w:r>
        <w:t>A través de este programa se generan contenidos y creaciones artísticas mediante el uso de herramientas digitales y contenidos multiplataforma para la apropiación y uso de la cultura digital. Se adelantan acciones de creación y co-creación para NNA en la plataforma EUREKA.</w:t>
      </w:r>
    </w:p>
    <w:p w14:paraId="25C85E71" w14:textId="77777777" w:rsidR="00C567D1" w:rsidRDefault="00C567D1" w:rsidP="00C567D1"/>
    <w:p w14:paraId="7FE97D2C" w14:textId="12DBDEA2" w:rsidR="00B14E38" w:rsidRPr="00B944E8" w:rsidRDefault="00C567D1" w:rsidP="00C567D1">
      <w:r>
        <w:t>Finalmente, brinda estímulos a las y los ciudadanos, grupos poblacionales, sociales y etarios, así como a agentes del sector artístico, cultural y creativo, a través de los mecanismos de fomento, para el desarrollo de prácticas artísticas, culturales y creativas. Genera condiciones de acceso a artistas y gestores culturales que estén acreditados como tales, con beneficios económicos y periódicos (BEPS) como reconocimiento a una vida dedicada a la cultura, y que, por diversas razones, no van a tener acceso a una pensión en su vejez</w:t>
      </w:r>
      <w:r w:rsidR="00B14E38" w:rsidRPr="00B944E8">
        <w:t>.</w:t>
      </w:r>
    </w:p>
    <w:p w14:paraId="53A0F83F" w14:textId="77777777" w:rsidR="00C25223" w:rsidRDefault="00C25223" w:rsidP="00B14E38">
      <w:pPr>
        <w:spacing w:line="480" w:lineRule="auto"/>
        <w:rPr>
          <w:rFonts w:ascii="Times New Roman" w:hAnsi="Times New Roman"/>
          <w:sz w:val="24"/>
        </w:rPr>
        <w:sectPr w:rsidR="00C25223" w:rsidSect="00F7078E">
          <w:type w:val="continuous"/>
          <w:pgSz w:w="12240" w:h="15840"/>
          <w:pgMar w:top="2262" w:right="1440" w:bottom="1440" w:left="1440" w:header="708" w:footer="680" w:gutter="0"/>
          <w:cols w:num="2" w:space="720"/>
          <w:docGrid w:linePitch="299"/>
        </w:sectPr>
      </w:pPr>
    </w:p>
    <w:p w14:paraId="3B73F63F" w14:textId="2666DFB5" w:rsidR="00B14E38" w:rsidRPr="00B944E8" w:rsidRDefault="00B14E38" w:rsidP="00B14E38">
      <w:pPr>
        <w:spacing w:line="480" w:lineRule="auto"/>
        <w:rPr>
          <w:rFonts w:ascii="Times New Roman" w:hAnsi="Times New Roman"/>
          <w:sz w:val="24"/>
        </w:rPr>
      </w:pPr>
    </w:p>
    <w:p w14:paraId="3A4DAF9E" w14:textId="77777777" w:rsidR="00C567D1" w:rsidRDefault="00C567D1">
      <w:pPr>
        <w:spacing w:line="240" w:lineRule="auto"/>
        <w:jc w:val="left"/>
        <w:rPr>
          <w:rFonts w:eastAsiaTheme="minorHAnsi" w:cstheme="minorBidi"/>
          <w:b/>
          <w:bCs/>
          <w:color w:val="C00000"/>
          <w:sz w:val="18"/>
          <w:lang w:eastAsia="en-US"/>
        </w:rPr>
      </w:pPr>
      <w:r>
        <w:rPr>
          <w:b/>
          <w:bCs/>
        </w:rPr>
        <w:br w:type="page"/>
      </w:r>
    </w:p>
    <w:p w14:paraId="17746766" w14:textId="235BDF5E" w:rsidR="00B14E38" w:rsidRPr="00C567D1" w:rsidRDefault="00C567D1" w:rsidP="00C567D1">
      <w:pPr>
        <w:pStyle w:val="Descripcin"/>
        <w:jc w:val="center"/>
      </w:pPr>
      <w:bookmarkStart w:id="287" w:name="_Toc165169943"/>
      <w:r w:rsidRPr="00C567D1">
        <w:rPr>
          <w:color w:val="C00000"/>
          <w:sz w:val="18"/>
          <w:szCs w:val="14"/>
        </w:rPr>
        <w:lastRenderedPageBreak/>
        <w:t xml:space="preserve">Tabla </w:t>
      </w:r>
      <w:r w:rsidRPr="00C567D1">
        <w:rPr>
          <w:color w:val="C00000"/>
          <w:sz w:val="18"/>
          <w:szCs w:val="14"/>
        </w:rPr>
        <w:fldChar w:fldCharType="begin"/>
      </w:r>
      <w:r w:rsidRPr="00C567D1">
        <w:rPr>
          <w:color w:val="C00000"/>
          <w:sz w:val="18"/>
          <w:szCs w:val="14"/>
        </w:rPr>
        <w:instrText xml:space="preserve"> SEQ Tabla \* ARABIC </w:instrText>
      </w:r>
      <w:r w:rsidRPr="00C567D1">
        <w:rPr>
          <w:color w:val="C00000"/>
          <w:sz w:val="18"/>
          <w:szCs w:val="14"/>
        </w:rPr>
        <w:fldChar w:fldCharType="separate"/>
      </w:r>
      <w:r w:rsidR="00D01651">
        <w:rPr>
          <w:noProof/>
          <w:color w:val="C00000"/>
          <w:sz w:val="18"/>
          <w:szCs w:val="14"/>
        </w:rPr>
        <w:t>33</w:t>
      </w:r>
      <w:r w:rsidRPr="00C567D1">
        <w:rPr>
          <w:color w:val="C00000"/>
          <w:sz w:val="18"/>
          <w:szCs w:val="14"/>
        </w:rPr>
        <w:fldChar w:fldCharType="end"/>
      </w:r>
      <w:r w:rsidRPr="00C567D1">
        <w:rPr>
          <w:color w:val="C00000"/>
          <w:sz w:val="18"/>
          <w:szCs w:val="14"/>
        </w:rPr>
        <w:t xml:space="preserve">. </w:t>
      </w:r>
      <w:r w:rsidR="00B14E38" w:rsidRPr="00C567D1">
        <w:rPr>
          <w:sz w:val="18"/>
          <w:szCs w:val="14"/>
        </w:rPr>
        <w:t>Metas del programa 14</w:t>
      </w:r>
      <w:r>
        <w:rPr>
          <w:sz w:val="18"/>
          <w:szCs w:val="14"/>
        </w:rPr>
        <w:t xml:space="preserve">: </w:t>
      </w:r>
      <w:r w:rsidR="00B14E38" w:rsidRPr="00C567D1">
        <w:rPr>
          <w:sz w:val="18"/>
          <w:szCs w:val="14"/>
        </w:rPr>
        <w:t>Bogotá deportiva, recreativa, artística, patrimonial e intercultural</w:t>
      </w:r>
      <w:bookmarkEnd w:id="287"/>
    </w:p>
    <w:tbl>
      <w:tblPr>
        <w:tblW w:w="9360" w:type="dxa"/>
        <w:tblBorders>
          <w:insideH w:val="double" w:sz="4" w:space="0" w:color="C00000"/>
          <w:insideV w:val="double" w:sz="4" w:space="0" w:color="C00000"/>
        </w:tblBorders>
        <w:tblLayout w:type="fixed"/>
        <w:tblCellMar>
          <w:left w:w="0" w:type="dxa"/>
          <w:right w:w="0" w:type="dxa"/>
        </w:tblCellMar>
        <w:tblLook w:val="04A0" w:firstRow="1" w:lastRow="0" w:firstColumn="1" w:lastColumn="0" w:noHBand="0" w:noVBand="1"/>
      </w:tblPr>
      <w:tblGrid>
        <w:gridCol w:w="2268"/>
        <w:gridCol w:w="1418"/>
        <w:gridCol w:w="1417"/>
        <w:gridCol w:w="1418"/>
        <w:gridCol w:w="1417"/>
        <w:gridCol w:w="1422"/>
      </w:tblGrid>
      <w:tr w:rsidR="00C567D1" w:rsidRPr="00C666B0" w14:paraId="401F574B" w14:textId="77777777" w:rsidTr="00C567D1">
        <w:trPr>
          <w:tblHeader/>
        </w:trPr>
        <w:tc>
          <w:tcPr>
            <w:tcW w:w="2268" w:type="dxa"/>
            <w:vMerge w:val="restart"/>
            <w:shd w:val="clear" w:color="auto" w:fill="C00000"/>
            <w:tcMar>
              <w:top w:w="30" w:type="dxa"/>
              <w:left w:w="45" w:type="dxa"/>
              <w:bottom w:w="30" w:type="dxa"/>
              <w:right w:w="45" w:type="dxa"/>
            </w:tcMar>
            <w:vAlign w:val="center"/>
            <w:hideMark/>
          </w:tcPr>
          <w:p w14:paraId="235212FC" w14:textId="77777777" w:rsidR="00C567D1" w:rsidRPr="00C567D1" w:rsidRDefault="00C567D1" w:rsidP="00AA4BBB">
            <w:pPr>
              <w:jc w:val="center"/>
              <w:rPr>
                <w:rFonts w:cs="Arial"/>
                <w:b/>
                <w:bCs/>
                <w:color w:val="FFFFFF"/>
                <w:sz w:val="20"/>
                <w:szCs w:val="20"/>
              </w:rPr>
            </w:pPr>
            <w:bookmarkStart w:id="288" w:name="_heading=h.ggbqfvkkniz" w:colFirst="0" w:colLast="0"/>
            <w:bookmarkEnd w:id="288"/>
            <w:r w:rsidRPr="00C567D1">
              <w:rPr>
                <w:rFonts w:cs="Arial"/>
                <w:b/>
                <w:bCs/>
                <w:color w:val="FFFFFF"/>
                <w:sz w:val="20"/>
                <w:szCs w:val="20"/>
              </w:rPr>
              <w:t>SECTOR / Metas</w:t>
            </w:r>
          </w:p>
        </w:tc>
        <w:tc>
          <w:tcPr>
            <w:tcW w:w="7092" w:type="dxa"/>
            <w:gridSpan w:val="5"/>
            <w:shd w:val="clear" w:color="auto" w:fill="C00000"/>
            <w:tcMar>
              <w:top w:w="30" w:type="dxa"/>
              <w:left w:w="45" w:type="dxa"/>
              <w:bottom w:w="30" w:type="dxa"/>
              <w:right w:w="45" w:type="dxa"/>
            </w:tcMar>
            <w:vAlign w:val="center"/>
            <w:hideMark/>
          </w:tcPr>
          <w:p w14:paraId="228EDB4E" w14:textId="77777777" w:rsidR="00C567D1" w:rsidRDefault="00C567D1" w:rsidP="00AA4BBB">
            <w:pPr>
              <w:jc w:val="center"/>
              <w:rPr>
                <w:rFonts w:cs="Arial"/>
                <w:b/>
                <w:bCs/>
                <w:color w:val="FFFFFF"/>
                <w:sz w:val="24"/>
              </w:rPr>
            </w:pPr>
            <w:r w:rsidRPr="00237369">
              <w:rPr>
                <w:rFonts w:cs="Arial"/>
                <w:b/>
                <w:bCs/>
                <w:color w:val="FFFFFF"/>
                <w:sz w:val="24"/>
              </w:rPr>
              <w:t xml:space="preserve">Magnitudes e </w:t>
            </w:r>
            <w:r w:rsidRPr="00C666B0">
              <w:rPr>
                <w:rFonts w:cs="Arial"/>
                <w:b/>
                <w:bCs/>
                <w:color w:val="FFFFFF"/>
                <w:sz w:val="24"/>
              </w:rPr>
              <w:t xml:space="preserve">Inversión </w:t>
            </w:r>
          </w:p>
          <w:p w14:paraId="1EAF24B1" w14:textId="70F5D8E6" w:rsidR="00C567D1" w:rsidRPr="00C666B0" w:rsidRDefault="00C567D1" w:rsidP="00AA4BBB">
            <w:pPr>
              <w:jc w:val="center"/>
              <w:rPr>
                <w:rFonts w:cs="Arial"/>
                <w:b/>
                <w:bCs/>
                <w:color w:val="FFFFFF"/>
                <w:sz w:val="24"/>
              </w:rPr>
            </w:pPr>
            <w:r w:rsidRPr="00C666B0">
              <w:rPr>
                <w:rFonts w:cs="Arial"/>
                <w:b/>
                <w:bCs/>
                <w:color w:val="FFFFFF"/>
                <w:sz w:val="24"/>
              </w:rPr>
              <w:t>(Precios Constantes 2024)</w:t>
            </w:r>
          </w:p>
        </w:tc>
      </w:tr>
      <w:tr w:rsidR="00C567D1" w:rsidRPr="00C666B0" w14:paraId="44C8C0F7" w14:textId="77777777" w:rsidTr="00C567D1">
        <w:trPr>
          <w:tblHeader/>
        </w:trPr>
        <w:tc>
          <w:tcPr>
            <w:tcW w:w="2268" w:type="dxa"/>
            <w:vMerge/>
            <w:vAlign w:val="center"/>
            <w:hideMark/>
          </w:tcPr>
          <w:p w14:paraId="0D64AC8B" w14:textId="77777777" w:rsidR="00C567D1" w:rsidRPr="00C567D1" w:rsidRDefault="00C567D1" w:rsidP="00AA4BBB">
            <w:pPr>
              <w:rPr>
                <w:rFonts w:cs="Arial"/>
                <w:b/>
                <w:bCs/>
                <w:color w:val="FFFFFF"/>
                <w:sz w:val="20"/>
                <w:szCs w:val="20"/>
              </w:rPr>
            </w:pPr>
          </w:p>
        </w:tc>
        <w:tc>
          <w:tcPr>
            <w:tcW w:w="1418" w:type="dxa"/>
            <w:shd w:val="clear" w:color="auto" w:fill="D9D9D9"/>
            <w:tcMar>
              <w:top w:w="30" w:type="dxa"/>
              <w:left w:w="45" w:type="dxa"/>
              <w:bottom w:w="30" w:type="dxa"/>
              <w:right w:w="45" w:type="dxa"/>
            </w:tcMar>
            <w:vAlign w:val="center"/>
            <w:hideMark/>
          </w:tcPr>
          <w:p w14:paraId="6A3C113B" w14:textId="77777777" w:rsidR="00C567D1" w:rsidRPr="00C666B0" w:rsidRDefault="00C567D1" w:rsidP="00AA4BBB">
            <w:pPr>
              <w:jc w:val="center"/>
              <w:rPr>
                <w:rFonts w:cs="Arial"/>
                <w:b/>
                <w:bCs/>
                <w:szCs w:val="20"/>
              </w:rPr>
            </w:pPr>
            <w:r w:rsidRPr="00C666B0">
              <w:rPr>
                <w:rFonts w:cs="Arial"/>
                <w:b/>
                <w:bCs/>
                <w:szCs w:val="20"/>
              </w:rPr>
              <w:t>2024</w:t>
            </w:r>
          </w:p>
        </w:tc>
        <w:tc>
          <w:tcPr>
            <w:tcW w:w="1417" w:type="dxa"/>
            <w:shd w:val="clear" w:color="auto" w:fill="D9D9D9"/>
            <w:tcMar>
              <w:top w:w="30" w:type="dxa"/>
              <w:left w:w="45" w:type="dxa"/>
              <w:bottom w:w="30" w:type="dxa"/>
              <w:right w:w="45" w:type="dxa"/>
            </w:tcMar>
            <w:vAlign w:val="center"/>
            <w:hideMark/>
          </w:tcPr>
          <w:p w14:paraId="1D6E023E" w14:textId="77777777" w:rsidR="00C567D1" w:rsidRPr="00C666B0" w:rsidRDefault="00C567D1" w:rsidP="00AA4BBB">
            <w:pPr>
              <w:jc w:val="center"/>
              <w:rPr>
                <w:rFonts w:cs="Arial"/>
                <w:b/>
                <w:bCs/>
                <w:szCs w:val="20"/>
              </w:rPr>
            </w:pPr>
            <w:r w:rsidRPr="00C666B0">
              <w:rPr>
                <w:rFonts w:cs="Arial"/>
                <w:b/>
                <w:bCs/>
                <w:szCs w:val="20"/>
              </w:rPr>
              <w:t>2025</w:t>
            </w:r>
          </w:p>
        </w:tc>
        <w:tc>
          <w:tcPr>
            <w:tcW w:w="1418" w:type="dxa"/>
            <w:shd w:val="clear" w:color="auto" w:fill="D9D9D9"/>
            <w:tcMar>
              <w:top w:w="30" w:type="dxa"/>
              <w:left w:w="45" w:type="dxa"/>
              <w:bottom w:w="30" w:type="dxa"/>
              <w:right w:w="45" w:type="dxa"/>
            </w:tcMar>
            <w:vAlign w:val="center"/>
            <w:hideMark/>
          </w:tcPr>
          <w:p w14:paraId="2058B707" w14:textId="77777777" w:rsidR="00C567D1" w:rsidRPr="00C666B0" w:rsidRDefault="00C567D1" w:rsidP="00AA4BBB">
            <w:pPr>
              <w:jc w:val="center"/>
              <w:rPr>
                <w:rFonts w:cs="Arial"/>
                <w:b/>
                <w:bCs/>
                <w:szCs w:val="20"/>
              </w:rPr>
            </w:pPr>
            <w:r w:rsidRPr="00C666B0">
              <w:rPr>
                <w:rFonts w:cs="Arial"/>
                <w:b/>
                <w:bCs/>
                <w:szCs w:val="20"/>
              </w:rPr>
              <w:t>2026</w:t>
            </w:r>
          </w:p>
        </w:tc>
        <w:tc>
          <w:tcPr>
            <w:tcW w:w="1417" w:type="dxa"/>
            <w:shd w:val="clear" w:color="auto" w:fill="D9D9D9"/>
            <w:tcMar>
              <w:top w:w="30" w:type="dxa"/>
              <w:left w:w="45" w:type="dxa"/>
              <w:bottom w:w="30" w:type="dxa"/>
              <w:right w:w="45" w:type="dxa"/>
            </w:tcMar>
            <w:vAlign w:val="center"/>
            <w:hideMark/>
          </w:tcPr>
          <w:p w14:paraId="06724B5B" w14:textId="77777777" w:rsidR="00C567D1" w:rsidRPr="00C666B0" w:rsidRDefault="00C567D1" w:rsidP="00AA4BBB">
            <w:pPr>
              <w:jc w:val="center"/>
              <w:rPr>
                <w:rFonts w:cs="Arial"/>
                <w:b/>
                <w:bCs/>
                <w:szCs w:val="20"/>
              </w:rPr>
            </w:pPr>
            <w:r w:rsidRPr="00C666B0">
              <w:rPr>
                <w:rFonts w:cs="Arial"/>
                <w:b/>
                <w:bCs/>
                <w:szCs w:val="20"/>
              </w:rPr>
              <w:t>2027</w:t>
            </w:r>
          </w:p>
        </w:tc>
        <w:tc>
          <w:tcPr>
            <w:tcW w:w="1422" w:type="dxa"/>
            <w:shd w:val="clear" w:color="auto" w:fill="D9D9D9"/>
            <w:tcMar>
              <w:top w:w="30" w:type="dxa"/>
              <w:left w:w="45" w:type="dxa"/>
              <w:bottom w:w="30" w:type="dxa"/>
              <w:right w:w="45" w:type="dxa"/>
            </w:tcMar>
            <w:vAlign w:val="center"/>
            <w:hideMark/>
          </w:tcPr>
          <w:p w14:paraId="69C1A44B" w14:textId="77777777" w:rsidR="00C567D1" w:rsidRPr="00C666B0" w:rsidRDefault="00C567D1" w:rsidP="00AA4BBB">
            <w:pPr>
              <w:jc w:val="center"/>
              <w:rPr>
                <w:rFonts w:cs="Arial"/>
                <w:b/>
                <w:bCs/>
                <w:szCs w:val="20"/>
              </w:rPr>
            </w:pPr>
            <w:r w:rsidRPr="00C666B0">
              <w:rPr>
                <w:rFonts w:cs="Arial"/>
                <w:b/>
                <w:bCs/>
                <w:szCs w:val="20"/>
              </w:rPr>
              <w:t>Total Inversión</w:t>
            </w:r>
          </w:p>
        </w:tc>
      </w:tr>
      <w:tr w:rsidR="00C567D1" w:rsidRPr="00C666B0" w14:paraId="596CE738" w14:textId="77777777" w:rsidTr="00C567D1">
        <w:tc>
          <w:tcPr>
            <w:tcW w:w="9360" w:type="dxa"/>
            <w:gridSpan w:val="6"/>
            <w:shd w:val="clear" w:color="auto" w:fill="C00000"/>
            <w:tcMar>
              <w:top w:w="30" w:type="dxa"/>
              <w:left w:w="45" w:type="dxa"/>
              <w:bottom w:w="30" w:type="dxa"/>
              <w:right w:w="45" w:type="dxa"/>
            </w:tcMar>
            <w:vAlign w:val="center"/>
            <w:hideMark/>
          </w:tcPr>
          <w:p w14:paraId="649F96E6" w14:textId="039B109F" w:rsidR="00C567D1" w:rsidRPr="00C567D1" w:rsidRDefault="00C567D1" w:rsidP="00C567D1">
            <w:pPr>
              <w:jc w:val="center"/>
              <w:rPr>
                <w:rFonts w:cs="Arial"/>
                <w:b/>
                <w:bCs/>
                <w:sz w:val="20"/>
                <w:szCs w:val="20"/>
              </w:rPr>
            </w:pPr>
            <w:r w:rsidRPr="00C567D1">
              <w:rPr>
                <w:rFonts w:cs="Arial"/>
                <w:b/>
                <w:bCs/>
                <w:color w:val="FFFFFF" w:themeColor="background1"/>
                <w:sz w:val="20"/>
                <w:szCs w:val="20"/>
              </w:rPr>
              <w:t>Cultura Recreación Y Deporte</w:t>
            </w:r>
          </w:p>
        </w:tc>
      </w:tr>
      <w:tr w:rsidR="00C567D1" w:rsidRPr="00C666B0" w14:paraId="60D6293C" w14:textId="77777777" w:rsidTr="00C567D1">
        <w:tc>
          <w:tcPr>
            <w:tcW w:w="2268" w:type="dxa"/>
            <w:vMerge w:val="restart"/>
            <w:tcMar>
              <w:top w:w="30" w:type="dxa"/>
              <w:left w:w="45" w:type="dxa"/>
              <w:bottom w:w="30" w:type="dxa"/>
              <w:right w:w="45" w:type="dxa"/>
            </w:tcMar>
            <w:vAlign w:val="center"/>
            <w:hideMark/>
          </w:tcPr>
          <w:p w14:paraId="41EF3E3D" w14:textId="77777777" w:rsidR="00C567D1" w:rsidRPr="00C567D1" w:rsidRDefault="00C567D1" w:rsidP="00AA4BBB">
            <w:pPr>
              <w:rPr>
                <w:rFonts w:cs="Arial"/>
                <w:sz w:val="20"/>
                <w:szCs w:val="20"/>
              </w:rPr>
            </w:pPr>
            <w:r w:rsidRPr="00C567D1">
              <w:rPr>
                <w:rFonts w:cs="Arial"/>
                <w:sz w:val="20"/>
                <w:szCs w:val="20"/>
              </w:rPr>
              <w:t>Alcanzar 18.000.000 visitas a las bibliotecas espacios de lectura y espacios alternativos de interacción con lectura y escritura creativa y crítica.</w:t>
            </w:r>
          </w:p>
        </w:tc>
        <w:tc>
          <w:tcPr>
            <w:tcW w:w="1418" w:type="dxa"/>
            <w:tcMar>
              <w:top w:w="30" w:type="dxa"/>
              <w:left w:w="45" w:type="dxa"/>
              <w:bottom w:w="30" w:type="dxa"/>
              <w:right w:w="45" w:type="dxa"/>
            </w:tcMar>
            <w:vAlign w:val="center"/>
            <w:hideMark/>
          </w:tcPr>
          <w:p w14:paraId="12337D69" w14:textId="77777777" w:rsidR="00C567D1" w:rsidRPr="00C567D1" w:rsidRDefault="00C567D1" w:rsidP="00AA4BBB">
            <w:pPr>
              <w:jc w:val="center"/>
              <w:rPr>
                <w:rFonts w:cs="Arial"/>
                <w:sz w:val="18"/>
                <w:szCs w:val="16"/>
              </w:rPr>
            </w:pPr>
            <w:r w:rsidRPr="00C567D1">
              <w:rPr>
                <w:rFonts w:cs="Arial"/>
                <w:sz w:val="18"/>
                <w:szCs w:val="16"/>
              </w:rPr>
              <w:t>4.500.000</w:t>
            </w:r>
          </w:p>
        </w:tc>
        <w:tc>
          <w:tcPr>
            <w:tcW w:w="1417" w:type="dxa"/>
            <w:tcMar>
              <w:top w:w="30" w:type="dxa"/>
              <w:left w:w="45" w:type="dxa"/>
              <w:bottom w:w="30" w:type="dxa"/>
              <w:right w:w="45" w:type="dxa"/>
            </w:tcMar>
            <w:vAlign w:val="center"/>
            <w:hideMark/>
          </w:tcPr>
          <w:p w14:paraId="5C5ED10D" w14:textId="77777777" w:rsidR="00C567D1" w:rsidRPr="00C567D1" w:rsidRDefault="00C567D1" w:rsidP="00AA4BBB">
            <w:pPr>
              <w:jc w:val="center"/>
              <w:rPr>
                <w:rFonts w:cs="Arial"/>
                <w:sz w:val="18"/>
                <w:szCs w:val="16"/>
              </w:rPr>
            </w:pPr>
            <w:r w:rsidRPr="00C567D1">
              <w:rPr>
                <w:rFonts w:cs="Arial"/>
                <w:sz w:val="18"/>
                <w:szCs w:val="16"/>
              </w:rPr>
              <w:t>4.500.000</w:t>
            </w:r>
          </w:p>
        </w:tc>
        <w:tc>
          <w:tcPr>
            <w:tcW w:w="1418" w:type="dxa"/>
            <w:tcMar>
              <w:top w:w="30" w:type="dxa"/>
              <w:left w:w="45" w:type="dxa"/>
              <w:bottom w:w="30" w:type="dxa"/>
              <w:right w:w="45" w:type="dxa"/>
            </w:tcMar>
            <w:vAlign w:val="center"/>
            <w:hideMark/>
          </w:tcPr>
          <w:p w14:paraId="3C86CA7F" w14:textId="77777777" w:rsidR="00C567D1" w:rsidRPr="00C567D1" w:rsidRDefault="00C567D1" w:rsidP="00AA4BBB">
            <w:pPr>
              <w:jc w:val="center"/>
              <w:rPr>
                <w:rFonts w:cs="Arial"/>
                <w:sz w:val="18"/>
                <w:szCs w:val="16"/>
              </w:rPr>
            </w:pPr>
            <w:r w:rsidRPr="00C567D1">
              <w:rPr>
                <w:rFonts w:cs="Arial"/>
                <w:sz w:val="18"/>
                <w:szCs w:val="16"/>
              </w:rPr>
              <w:t>4.500.000</w:t>
            </w:r>
          </w:p>
        </w:tc>
        <w:tc>
          <w:tcPr>
            <w:tcW w:w="1417" w:type="dxa"/>
            <w:tcMar>
              <w:top w:w="30" w:type="dxa"/>
              <w:left w:w="45" w:type="dxa"/>
              <w:bottom w:w="30" w:type="dxa"/>
              <w:right w:w="45" w:type="dxa"/>
            </w:tcMar>
            <w:vAlign w:val="center"/>
            <w:hideMark/>
          </w:tcPr>
          <w:p w14:paraId="1A133DC2" w14:textId="77777777" w:rsidR="00C567D1" w:rsidRPr="00C567D1" w:rsidRDefault="00C567D1" w:rsidP="00AA4BBB">
            <w:pPr>
              <w:jc w:val="center"/>
              <w:rPr>
                <w:rFonts w:cs="Arial"/>
                <w:sz w:val="18"/>
                <w:szCs w:val="16"/>
              </w:rPr>
            </w:pPr>
            <w:r w:rsidRPr="00C567D1">
              <w:rPr>
                <w:rFonts w:cs="Arial"/>
                <w:sz w:val="18"/>
                <w:szCs w:val="16"/>
              </w:rPr>
              <w:t>4.500.000</w:t>
            </w:r>
          </w:p>
        </w:tc>
        <w:tc>
          <w:tcPr>
            <w:tcW w:w="1422" w:type="dxa"/>
            <w:vMerge w:val="restart"/>
            <w:tcMar>
              <w:top w:w="30" w:type="dxa"/>
              <w:left w:w="45" w:type="dxa"/>
              <w:bottom w:w="30" w:type="dxa"/>
              <w:right w:w="45" w:type="dxa"/>
            </w:tcMar>
            <w:vAlign w:val="center"/>
            <w:hideMark/>
          </w:tcPr>
          <w:p w14:paraId="6F350A39" w14:textId="77777777" w:rsidR="00C567D1" w:rsidRPr="00C567D1" w:rsidRDefault="00C567D1" w:rsidP="00AA4BBB">
            <w:pPr>
              <w:jc w:val="center"/>
              <w:rPr>
                <w:rFonts w:cs="Arial"/>
                <w:b/>
                <w:bCs/>
                <w:sz w:val="18"/>
                <w:szCs w:val="16"/>
              </w:rPr>
            </w:pPr>
            <w:r w:rsidRPr="00C567D1">
              <w:rPr>
                <w:rFonts w:cs="Arial"/>
                <w:b/>
                <w:bCs/>
                <w:sz w:val="18"/>
                <w:szCs w:val="16"/>
              </w:rPr>
              <w:t>234.832.634.083</w:t>
            </w:r>
          </w:p>
        </w:tc>
      </w:tr>
      <w:tr w:rsidR="00C567D1" w:rsidRPr="00C666B0" w14:paraId="44537ACC" w14:textId="77777777" w:rsidTr="00C567D1">
        <w:tc>
          <w:tcPr>
            <w:tcW w:w="2268" w:type="dxa"/>
            <w:vMerge/>
            <w:vAlign w:val="center"/>
            <w:hideMark/>
          </w:tcPr>
          <w:p w14:paraId="12F8DECE"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70884FE9" w14:textId="77777777" w:rsidR="00C567D1" w:rsidRPr="00C567D1" w:rsidRDefault="00C567D1" w:rsidP="00AA4BBB">
            <w:pPr>
              <w:jc w:val="center"/>
              <w:rPr>
                <w:rFonts w:cs="Arial"/>
                <w:sz w:val="18"/>
                <w:szCs w:val="16"/>
              </w:rPr>
            </w:pPr>
            <w:r w:rsidRPr="00C567D1">
              <w:rPr>
                <w:rFonts w:cs="Arial"/>
                <w:sz w:val="18"/>
                <w:szCs w:val="16"/>
              </w:rPr>
              <w:t>72.963.389.000</w:t>
            </w:r>
          </w:p>
        </w:tc>
        <w:tc>
          <w:tcPr>
            <w:tcW w:w="1417" w:type="dxa"/>
            <w:tcMar>
              <w:top w:w="30" w:type="dxa"/>
              <w:left w:w="45" w:type="dxa"/>
              <w:bottom w:w="30" w:type="dxa"/>
              <w:right w:w="45" w:type="dxa"/>
            </w:tcMar>
            <w:vAlign w:val="center"/>
            <w:hideMark/>
          </w:tcPr>
          <w:p w14:paraId="386E9DFF" w14:textId="77777777" w:rsidR="00C567D1" w:rsidRPr="00C567D1" w:rsidRDefault="00C567D1" w:rsidP="00AA4BBB">
            <w:pPr>
              <w:jc w:val="center"/>
              <w:rPr>
                <w:rFonts w:cs="Arial"/>
                <w:sz w:val="18"/>
                <w:szCs w:val="16"/>
              </w:rPr>
            </w:pPr>
            <w:r w:rsidRPr="00C567D1">
              <w:rPr>
                <w:rFonts w:cs="Arial"/>
                <w:sz w:val="18"/>
                <w:szCs w:val="16"/>
              </w:rPr>
              <w:t>52.329.797.087</w:t>
            </w:r>
          </w:p>
        </w:tc>
        <w:tc>
          <w:tcPr>
            <w:tcW w:w="1418" w:type="dxa"/>
            <w:tcMar>
              <w:top w:w="30" w:type="dxa"/>
              <w:left w:w="45" w:type="dxa"/>
              <w:bottom w:w="30" w:type="dxa"/>
              <w:right w:w="45" w:type="dxa"/>
            </w:tcMar>
            <w:vAlign w:val="center"/>
            <w:hideMark/>
          </w:tcPr>
          <w:p w14:paraId="06B01F53" w14:textId="77777777" w:rsidR="00C567D1" w:rsidRPr="00C567D1" w:rsidRDefault="00C567D1" w:rsidP="00AA4BBB">
            <w:pPr>
              <w:jc w:val="center"/>
              <w:rPr>
                <w:rFonts w:cs="Arial"/>
                <w:sz w:val="18"/>
                <w:szCs w:val="16"/>
              </w:rPr>
            </w:pPr>
            <w:r w:rsidRPr="00C567D1">
              <w:rPr>
                <w:rFonts w:cs="Arial"/>
                <w:sz w:val="18"/>
                <w:szCs w:val="16"/>
              </w:rPr>
              <w:t>54.383.931.568</w:t>
            </w:r>
          </w:p>
        </w:tc>
        <w:tc>
          <w:tcPr>
            <w:tcW w:w="1417" w:type="dxa"/>
            <w:tcMar>
              <w:top w:w="30" w:type="dxa"/>
              <w:left w:w="45" w:type="dxa"/>
              <w:bottom w:w="30" w:type="dxa"/>
              <w:right w:w="45" w:type="dxa"/>
            </w:tcMar>
            <w:vAlign w:val="center"/>
            <w:hideMark/>
          </w:tcPr>
          <w:p w14:paraId="2DAE64E8" w14:textId="77777777" w:rsidR="00C567D1" w:rsidRPr="00C567D1" w:rsidRDefault="00C567D1" w:rsidP="00AA4BBB">
            <w:pPr>
              <w:jc w:val="center"/>
              <w:rPr>
                <w:rFonts w:cs="Arial"/>
                <w:sz w:val="18"/>
                <w:szCs w:val="16"/>
              </w:rPr>
            </w:pPr>
            <w:r w:rsidRPr="00C567D1">
              <w:rPr>
                <w:rFonts w:cs="Arial"/>
                <w:sz w:val="18"/>
                <w:szCs w:val="16"/>
              </w:rPr>
              <w:t>55.155.516.428</w:t>
            </w:r>
          </w:p>
        </w:tc>
        <w:tc>
          <w:tcPr>
            <w:tcW w:w="1422" w:type="dxa"/>
            <w:vMerge/>
            <w:vAlign w:val="center"/>
            <w:hideMark/>
          </w:tcPr>
          <w:p w14:paraId="1661E323" w14:textId="77777777" w:rsidR="00C567D1" w:rsidRPr="00C567D1" w:rsidRDefault="00C567D1" w:rsidP="00AA4BBB">
            <w:pPr>
              <w:rPr>
                <w:rFonts w:cs="Arial"/>
                <w:b/>
                <w:bCs/>
                <w:sz w:val="18"/>
                <w:szCs w:val="16"/>
              </w:rPr>
            </w:pPr>
          </w:p>
        </w:tc>
      </w:tr>
      <w:tr w:rsidR="00C567D1" w:rsidRPr="00C666B0" w14:paraId="0B21AA5C" w14:textId="77777777" w:rsidTr="00C567D1">
        <w:tc>
          <w:tcPr>
            <w:tcW w:w="2268" w:type="dxa"/>
            <w:vMerge w:val="restart"/>
            <w:tcMar>
              <w:top w:w="30" w:type="dxa"/>
              <w:left w:w="45" w:type="dxa"/>
              <w:bottom w:w="30" w:type="dxa"/>
              <w:right w:w="45" w:type="dxa"/>
            </w:tcMar>
            <w:vAlign w:val="center"/>
            <w:hideMark/>
          </w:tcPr>
          <w:p w14:paraId="519AD015" w14:textId="77777777" w:rsidR="00C567D1" w:rsidRPr="00C567D1" w:rsidRDefault="00C567D1" w:rsidP="00AA4BBB">
            <w:pPr>
              <w:rPr>
                <w:rFonts w:cs="Arial"/>
                <w:sz w:val="20"/>
                <w:szCs w:val="20"/>
              </w:rPr>
            </w:pPr>
            <w:r w:rsidRPr="00C567D1">
              <w:rPr>
                <w:rFonts w:cs="Arial"/>
                <w:sz w:val="20"/>
                <w:szCs w:val="20"/>
              </w:rPr>
              <w:t>Desarrollar 4 estrategias orientadas a promover la salud y bienestar en entornos cotidianos desde las prácticas artísticas las prácticas de movimiento la actividad física y los cambios culturales y de comportamiento.</w:t>
            </w:r>
          </w:p>
        </w:tc>
        <w:tc>
          <w:tcPr>
            <w:tcW w:w="1418" w:type="dxa"/>
            <w:tcMar>
              <w:top w:w="30" w:type="dxa"/>
              <w:left w:w="45" w:type="dxa"/>
              <w:bottom w:w="30" w:type="dxa"/>
              <w:right w:w="45" w:type="dxa"/>
            </w:tcMar>
            <w:vAlign w:val="center"/>
            <w:hideMark/>
          </w:tcPr>
          <w:p w14:paraId="3B2D85A7" w14:textId="77777777" w:rsidR="00C567D1" w:rsidRPr="00C567D1" w:rsidRDefault="00C567D1" w:rsidP="00AA4BBB">
            <w:pPr>
              <w:jc w:val="center"/>
              <w:rPr>
                <w:rFonts w:cs="Arial"/>
                <w:sz w:val="18"/>
                <w:szCs w:val="16"/>
              </w:rPr>
            </w:pPr>
            <w:r w:rsidRPr="00C567D1">
              <w:rPr>
                <w:rFonts w:cs="Arial"/>
                <w:sz w:val="18"/>
                <w:szCs w:val="16"/>
              </w:rPr>
              <w:t>4</w:t>
            </w:r>
          </w:p>
        </w:tc>
        <w:tc>
          <w:tcPr>
            <w:tcW w:w="1417" w:type="dxa"/>
            <w:tcMar>
              <w:top w:w="30" w:type="dxa"/>
              <w:left w:w="45" w:type="dxa"/>
              <w:bottom w:w="30" w:type="dxa"/>
              <w:right w:w="45" w:type="dxa"/>
            </w:tcMar>
            <w:vAlign w:val="center"/>
            <w:hideMark/>
          </w:tcPr>
          <w:p w14:paraId="5C6D3135" w14:textId="77777777" w:rsidR="00C567D1" w:rsidRPr="00C567D1" w:rsidRDefault="00C567D1" w:rsidP="00AA4BBB">
            <w:pPr>
              <w:jc w:val="center"/>
              <w:rPr>
                <w:rFonts w:cs="Arial"/>
                <w:sz w:val="18"/>
                <w:szCs w:val="16"/>
              </w:rPr>
            </w:pPr>
            <w:r w:rsidRPr="00C567D1">
              <w:rPr>
                <w:rFonts w:cs="Arial"/>
                <w:sz w:val="18"/>
                <w:szCs w:val="16"/>
              </w:rPr>
              <w:t>4</w:t>
            </w:r>
          </w:p>
        </w:tc>
        <w:tc>
          <w:tcPr>
            <w:tcW w:w="1418" w:type="dxa"/>
            <w:tcMar>
              <w:top w:w="30" w:type="dxa"/>
              <w:left w:w="45" w:type="dxa"/>
              <w:bottom w:w="30" w:type="dxa"/>
              <w:right w:w="45" w:type="dxa"/>
            </w:tcMar>
            <w:vAlign w:val="center"/>
            <w:hideMark/>
          </w:tcPr>
          <w:p w14:paraId="64059A6A" w14:textId="77777777" w:rsidR="00C567D1" w:rsidRPr="00C567D1" w:rsidRDefault="00C567D1" w:rsidP="00AA4BBB">
            <w:pPr>
              <w:jc w:val="center"/>
              <w:rPr>
                <w:rFonts w:cs="Arial"/>
                <w:sz w:val="18"/>
                <w:szCs w:val="16"/>
              </w:rPr>
            </w:pPr>
            <w:r w:rsidRPr="00C567D1">
              <w:rPr>
                <w:rFonts w:cs="Arial"/>
                <w:sz w:val="18"/>
                <w:szCs w:val="16"/>
              </w:rPr>
              <w:t>4</w:t>
            </w:r>
          </w:p>
        </w:tc>
        <w:tc>
          <w:tcPr>
            <w:tcW w:w="1417" w:type="dxa"/>
            <w:tcMar>
              <w:top w:w="30" w:type="dxa"/>
              <w:left w:w="45" w:type="dxa"/>
              <w:bottom w:w="30" w:type="dxa"/>
              <w:right w:w="45" w:type="dxa"/>
            </w:tcMar>
            <w:vAlign w:val="center"/>
            <w:hideMark/>
          </w:tcPr>
          <w:p w14:paraId="4601BE62" w14:textId="77777777" w:rsidR="00C567D1" w:rsidRPr="00C567D1" w:rsidRDefault="00C567D1" w:rsidP="00AA4BBB">
            <w:pPr>
              <w:jc w:val="center"/>
              <w:rPr>
                <w:rFonts w:cs="Arial"/>
                <w:sz w:val="18"/>
                <w:szCs w:val="16"/>
              </w:rPr>
            </w:pPr>
            <w:r w:rsidRPr="00C567D1">
              <w:rPr>
                <w:rFonts w:cs="Arial"/>
                <w:sz w:val="18"/>
                <w:szCs w:val="16"/>
              </w:rPr>
              <w:t>4</w:t>
            </w:r>
          </w:p>
        </w:tc>
        <w:tc>
          <w:tcPr>
            <w:tcW w:w="1422" w:type="dxa"/>
            <w:vMerge w:val="restart"/>
            <w:tcMar>
              <w:top w:w="30" w:type="dxa"/>
              <w:left w:w="45" w:type="dxa"/>
              <w:bottom w:w="30" w:type="dxa"/>
              <w:right w:w="45" w:type="dxa"/>
            </w:tcMar>
            <w:vAlign w:val="center"/>
            <w:hideMark/>
          </w:tcPr>
          <w:p w14:paraId="4BF18254" w14:textId="77777777" w:rsidR="00C567D1" w:rsidRPr="00C567D1" w:rsidRDefault="00C567D1" w:rsidP="00AA4BBB">
            <w:pPr>
              <w:jc w:val="center"/>
              <w:rPr>
                <w:rFonts w:cs="Arial"/>
                <w:b/>
                <w:bCs/>
                <w:sz w:val="18"/>
                <w:szCs w:val="16"/>
              </w:rPr>
            </w:pPr>
            <w:r w:rsidRPr="00C567D1">
              <w:rPr>
                <w:rFonts w:cs="Arial"/>
                <w:b/>
                <w:bCs/>
                <w:sz w:val="18"/>
                <w:szCs w:val="16"/>
              </w:rPr>
              <w:t>25.948.995.034</w:t>
            </w:r>
          </w:p>
        </w:tc>
      </w:tr>
      <w:tr w:rsidR="00C567D1" w:rsidRPr="00C666B0" w14:paraId="67C53BDE" w14:textId="77777777" w:rsidTr="00C567D1">
        <w:tc>
          <w:tcPr>
            <w:tcW w:w="2268" w:type="dxa"/>
            <w:vMerge/>
            <w:vAlign w:val="center"/>
            <w:hideMark/>
          </w:tcPr>
          <w:p w14:paraId="259136BB"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4EED7D53" w14:textId="77777777" w:rsidR="00C567D1" w:rsidRPr="00C567D1" w:rsidRDefault="00C567D1" w:rsidP="00AA4BBB">
            <w:pPr>
              <w:jc w:val="center"/>
              <w:rPr>
                <w:rFonts w:cs="Arial"/>
                <w:sz w:val="18"/>
                <w:szCs w:val="16"/>
              </w:rPr>
            </w:pPr>
            <w:r w:rsidRPr="00C567D1">
              <w:rPr>
                <w:rFonts w:cs="Arial"/>
                <w:sz w:val="18"/>
                <w:szCs w:val="16"/>
              </w:rPr>
              <w:t>6.147.000.000</w:t>
            </w:r>
          </w:p>
        </w:tc>
        <w:tc>
          <w:tcPr>
            <w:tcW w:w="1417" w:type="dxa"/>
            <w:tcMar>
              <w:top w:w="30" w:type="dxa"/>
              <w:left w:w="45" w:type="dxa"/>
              <w:bottom w:w="30" w:type="dxa"/>
              <w:right w:w="45" w:type="dxa"/>
            </w:tcMar>
            <w:vAlign w:val="center"/>
            <w:hideMark/>
          </w:tcPr>
          <w:p w14:paraId="07EDA762" w14:textId="77777777" w:rsidR="00C567D1" w:rsidRPr="00C567D1" w:rsidRDefault="00C567D1" w:rsidP="00AA4BBB">
            <w:pPr>
              <w:jc w:val="center"/>
              <w:rPr>
                <w:rFonts w:cs="Arial"/>
                <w:sz w:val="18"/>
                <w:szCs w:val="16"/>
              </w:rPr>
            </w:pPr>
            <w:r w:rsidRPr="00C567D1">
              <w:rPr>
                <w:rFonts w:cs="Arial"/>
                <w:sz w:val="18"/>
                <w:szCs w:val="16"/>
              </w:rPr>
              <w:t>5.965.058.252</w:t>
            </w:r>
          </w:p>
        </w:tc>
        <w:tc>
          <w:tcPr>
            <w:tcW w:w="1418" w:type="dxa"/>
            <w:tcMar>
              <w:top w:w="30" w:type="dxa"/>
              <w:left w:w="45" w:type="dxa"/>
              <w:bottom w:w="30" w:type="dxa"/>
              <w:right w:w="45" w:type="dxa"/>
            </w:tcMar>
            <w:vAlign w:val="center"/>
            <w:hideMark/>
          </w:tcPr>
          <w:p w14:paraId="433AFFFE" w14:textId="77777777" w:rsidR="00C567D1" w:rsidRPr="00C567D1" w:rsidRDefault="00C567D1" w:rsidP="00AA4BBB">
            <w:pPr>
              <w:jc w:val="center"/>
              <w:rPr>
                <w:rFonts w:cs="Arial"/>
                <w:sz w:val="18"/>
                <w:szCs w:val="16"/>
              </w:rPr>
            </w:pPr>
            <w:r w:rsidRPr="00C567D1">
              <w:rPr>
                <w:rFonts w:cs="Arial"/>
                <w:sz w:val="18"/>
                <w:szCs w:val="16"/>
              </w:rPr>
              <w:t>6.506.014.045</w:t>
            </w:r>
          </w:p>
        </w:tc>
        <w:tc>
          <w:tcPr>
            <w:tcW w:w="1417" w:type="dxa"/>
            <w:tcMar>
              <w:top w:w="30" w:type="dxa"/>
              <w:left w:w="45" w:type="dxa"/>
              <w:bottom w:w="30" w:type="dxa"/>
              <w:right w:w="45" w:type="dxa"/>
            </w:tcMar>
            <w:vAlign w:val="center"/>
            <w:hideMark/>
          </w:tcPr>
          <w:p w14:paraId="497B7F40" w14:textId="77777777" w:rsidR="00C567D1" w:rsidRPr="00C567D1" w:rsidRDefault="00C567D1" w:rsidP="00AA4BBB">
            <w:pPr>
              <w:jc w:val="center"/>
              <w:rPr>
                <w:rFonts w:cs="Arial"/>
                <w:sz w:val="18"/>
                <w:szCs w:val="16"/>
              </w:rPr>
            </w:pPr>
            <w:r w:rsidRPr="00C567D1">
              <w:rPr>
                <w:rFonts w:cs="Arial"/>
                <w:sz w:val="18"/>
                <w:szCs w:val="16"/>
              </w:rPr>
              <w:t>7.330.922.736</w:t>
            </w:r>
          </w:p>
        </w:tc>
        <w:tc>
          <w:tcPr>
            <w:tcW w:w="1422" w:type="dxa"/>
            <w:vMerge/>
            <w:vAlign w:val="center"/>
            <w:hideMark/>
          </w:tcPr>
          <w:p w14:paraId="21CD9B22" w14:textId="77777777" w:rsidR="00C567D1" w:rsidRPr="00C567D1" w:rsidRDefault="00C567D1" w:rsidP="00AA4BBB">
            <w:pPr>
              <w:rPr>
                <w:rFonts w:cs="Arial"/>
                <w:b/>
                <w:bCs/>
                <w:sz w:val="18"/>
                <w:szCs w:val="16"/>
              </w:rPr>
            </w:pPr>
          </w:p>
        </w:tc>
      </w:tr>
      <w:tr w:rsidR="00C567D1" w:rsidRPr="00C666B0" w14:paraId="5FB00029" w14:textId="77777777" w:rsidTr="00C567D1">
        <w:tc>
          <w:tcPr>
            <w:tcW w:w="2268" w:type="dxa"/>
            <w:vMerge w:val="restart"/>
            <w:tcMar>
              <w:top w:w="30" w:type="dxa"/>
              <w:left w:w="45" w:type="dxa"/>
              <w:bottom w:w="30" w:type="dxa"/>
              <w:right w:w="45" w:type="dxa"/>
            </w:tcMar>
            <w:vAlign w:val="center"/>
            <w:hideMark/>
          </w:tcPr>
          <w:p w14:paraId="1496AFA8" w14:textId="77777777" w:rsidR="00C567D1" w:rsidRPr="00C567D1" w:rsidRDefault="00C567D1" w:rsidP="00AA4BBB">
            <w:pPr>
              <w:rPr>
                <w:rFonts w:cs="Arial"/>
                <w:sz w:val="20"/>
                <w:szCs w:val="20"/>
              </w:rPr>
            </w:pPr>
            <w:r w:rsidRPr="00C567D1">
              <w:rPr>
                <w:rFonts w:cs="Arial"/>
                <w:sz w:val="20"/>
                <w:szCs w:val="20"/>
              </w:rPr>
              <w:t>Desarrollar 8.925 actividades para la promoción fortalecimiento y desarrollo de las prácticas artísticas culturales y patrimoniales como un medio para el ejercicio de los derechos culturales y el desarrollo humano con alcance zonal distrital y regional.</w:t>
            </w:r>
          </w:p>
        </w:tc>
        <w:tc>
          <w:tcPr>
            <w:tcW w:w="1418" w:type="dxa"/>
            <w:tcMar>
              <w:top w:w="30" w:type="dxa"/>
              <w:left w:w="45" w:type="dxa"/>
              <w:bottom w:w="30" w:type="dxa"/>
              <w:right w:w="45" w:type="dxa"/>
            </w:tcMar>
            <w:vAlign w:val="center"/>
            <w:hideMark/>
          </w:tcPr>
          <w:p w14:paraId="73DD8B1B" w14:textId="77777777" w:rsidR="00C567D1" w:rsidRPr="00C567D1" w:rsidRDefault="00C567D1" w:rsidP="00AA4BBB">
            <w:pPr>
              <w:jc w:val="center"/>
              <w:rPr>
                <w:rFonts w:cs="Arial"/>
                <w:sz w:val="18"/>
                <w:szCs w:val="16"/>
              </w:rPr>
            </w:pPr>
            <w:r w:rsidRPr="00C567D1">
              <w:rPr>
                <w:rFonts w:cs="Arial"/>
                <w:sz w:val="18"/>
                <w:szCs w:val="16"/>
              </w:rPr>
              <w:t>1.368</w:t>
            </w:r>
          </w:p>
        </w:tc>
        <w:tc>
          <w:tcPr>
            <w:tcW w:w="1417" w:type="dxa"/>
            <w:tcMar>
              <w:top w:w="30" w:type="dxa"/>
              <w:left w:w="45" w:type="dxa"/>
              <w:bottom w:w="30" w:type="dxa"/>
              <w:right w:w="45" w:type="dxa"/>
            </w:tcMar>
            <w:vAlign w:val="center"/>
            <w:hideMark/>
          </w:tcPr>
          <w:p w14:paraId="152E8B2A" w14:textId="77777777" w:rsidR="00C567D1" w:rsidRPr="00C567D1" w:rsidRDefault="00C567D1" w:rsidP="00AA4BBB">
            <w:pPr>
              <w:jc w:val="center"/>
              <w:rPr>
                <w:rFonts w:cs="Arial"/>
                <w:sz w:val="18"/>
                <w:szCs w:val="16"/>
              </w:rPr>
            </w:pPr>
            <w:r w:rsidRPr="00C567D1">
              <w:rPr>
                <w:rFonts w:cs="Arial"/>
                <w:sz w:val="18"/>
                <w:szCs w:val="16"/>
              </w:rPr>
              <w:t>2.436</w:t>
            </w:r>
          </w:p>
        </w:tc>
        <w:tc>
          <w:tcPr>
            <w:tcW w:w="1418" w:type="dxa"/>
            <w:tcMar>
              <w:top w:w="30" w:type="dxa"/>
              <w:left w:w="45" w:type="dxa"/>
              <w:bottom w:w="30" w:type="dxa"/>
              <w:right w:w="45" w:type="dxa"/>
            </w:tcMar>
            <w:vAlign w:val="center"/>
            <w:hideMark/>
          </w:tcPr>
          <w:p w14:paraId="359D8394" w14:textId="77777777" w:rsidR="00C567D1" w:rsidRPr="00C567D1" w:rsidRDefault="00C567D1" w:rsidP="00AA4BBB">
            <w:pPr>
              <w:jc w:val="center"/>
              <w:rPr>
                <w:rFonts w:cs="Arial"/>
                <w:sz w:val="18"/>
                <w:szCs w:val="16"/>
              </w:rPr>
            </w:pPr>
            <w:r w:rsidRPr="00C567D1">
              <w:rPr>
                <w:rFonts w:cs="Arial"/>
                <w:sz w:val="18"/>
                <w:szCs w:val="16"/>
              </w:rPr>
              <w:t>2.611</w:t>
            </w:r>
          </w:p>
        </w:tc>
        <w:tc>
          <w:tcPr>
            <w:tcW w:w="1417" w:type="dxa"/>
            <w:tcMar>
              <w:top w:w="30" w:type="dxa"/>
              <w:left w:w="45" w:type="dxa"/>
              <w:bottom w:w="30" w:type="dxa"/>
              <w:right w:w="45" w:type="dxa"/>
            </w:tcMar>
            <w:vAlign w:val="center"/>
            <w:hideMark/>
          </w:tcPr>
          <w:p w14:paraId="76CD9CE1" w14:textId="77777777" w:rsidR="00C567D1" w:rsidRPr="00C567D1" w:rsidRDefault="00C567D1" w:rsidP="00AA4BBB">
            <w:pPr>
              <w:jc w:val="center"/>
              <w:rPr>
                <w:rFonts w:cs="Arial"/>
                <w:sz w:val="18"/>
                <w:szCs w:val="16"/>
              </w:rPr>
            </w:pPr>
            <w:r w:rsidRPr="00C567D1">
              <w:rPr>
                <w:rFonts w:cs="Arial"/>
                <w:sz w:val="18"/>
                <w:szCs w:val="16"/>
              </w:rPr>
              <w:t>2.510</w:t>
            </w:r>
          </w:p>
        </w:tc>
        <w:tc>
          <w:tcPr>
            <w:tcW w:w="1422" w:type="dxa"/>
            <w:vMerge w:val="restart"/>
            <w:tcMar>
              <w:top w:w="30" w:type="dxa"/>
              <w:left w:w="45" w:type="dxa"/>
              <w:bottom w:w="30" w:type="dxa"/>
              <w:right w:w="45" w:type="dxa"/>
            </w:tcMar>
            <w:vAlign w:val="center"/>
            <w:hideMark/>
          </w:tcPr>
          <w:p w14:paraId="490854F4" w14:textId="77777777" w:rsidR="00C567D1" w:rsidRPr="00C567D1" w:rsidRDefault="00C567D1" w:rsidP="00AA4BBB">
            <w:pPr>
              <w:jc w:val="center"/>
              <w:rPr>
                <w:rFonts w:cs="Arial"/>
                <w:b/>
                <w:bCs/>
                <w:sz w:val="18"/>
                <w:szCs w:val="16"/>
              </w:rPr>
            </w:pPr>
            <w:r w:rsidRPr="00C567D1">
              <w:rPr>
                <w:rFonts w:cs="Arial"/>
                <w:b/>
                <w:bCs/>
                <w:sz w:val="18"/>
                <w:szCs w:val="16"/>
              </w:rPr>
              <w:t>121.770.848.034</w:t>
            </w:r>
          </w:p>
        </w:tc>
      </w:tr>
      <w:tr w:rsidR="00C567D1" w:rsidRPr="00C666B0" w14:paraId="278AF3B8" w14:textId="77777777" w:rsidTr="00C567D1">
        <w:tc>
          <w:tcPr>
            <w:tcW w:w="2268" w:type="dxa"/>
            <w:vMerge/>
            <w:vAlign w:val="center"/>
            <w:hideMark/>
          </w:tcPr>
          <w:p w14:paraId="7E0317D5"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57B638A5" w14:textId="77777777" w:rsidR="00C567D1" w:rsidRPr="00C567D1" w:rsidRDefault="00C567D1" w:rsidP="00AA4BBB">
            <w:pPr>
              <w:jc w:val="center"/>
              <w:rPr>
                <w:rFonts w:cs="Arial"/>
                <w:sz w:val="18"/>
                <w:szCs w:val="16"/>
              </w:rPr>
            </w:pPr>
            <w:r w:rsidRPr="00C567D1">
              <w:rPr>
                <w:rFonts w:cs="Arial"/>
                <w:sz w:val="18"/>
                <w:szCs w:val="16"/>
              </w:rPr>
              <w:t>31.206.640.000</w:t>
            </w:r>
          </w:p>
        </w:tc>
        <w:tc>
          <w:tcPr>
            <w:tcW w:w="1417" w:type="dxa"/>
            <w:tcMar>
              <w:top w:w="30" w:type="dxa"/>
              <w:left w:w="45" w:type="dxa"/>
              <w:bottom w:w="30" w:type="dxa"/>
              <w:right w:w="45" w:type="dxa"/>
            </w:tcMar>
            <w:vAlign w:val="center"/>
            <w:hideMark/>
          </w:tcPr>
          <w:p w14:paraId="04A7EBEF" w14:textId="77777777" w:rsidR="00C567D1" w:rsidRPr="00C567D1" w:rsidRDefault="00C567D1" w:rsidP="00AA4BBB">
            <w:pPr>
              <w:jc w:val="center"/>
              <w:rPr>
                <w:rFonts w:cs="Arial"/>
                <w:sz w:val="18"/>
                <w:szCs w:val="16"/>
              </w:rPr>
            </w:pPr>
            <w:r w:rsidRPr="00C567D1">
              <w:rPr>
                <w:rFonts w:cs="Arial"/>
                <w:sz w:val="18"/>
                <w:szCs w:val="16"/>
              </w:rPr>
              <w:t>29.759.355.340</w:t>
            </w:r>
          </w:p>
        </w:tc>
        <w:tc>
          <w:tcPr>
            <w:tcW w:w="1418" w:type="dxa"/>
            <w:tcMar>
              <w:top w:w="30" w:type="dxa"/>
              <w:left w:w="45" w:type="dxa"/>
              <w:bottom w:w="30" w:type="dxa"/>
              <w:right w:w="45" w:type="dxa"/>
            </w:tcMar>
            <w:vAlign w:val="center"/>
            <w:hideMark/>
          </w:tcPr>
          <w:p w14:paraId="3912E912" w14:textId="77777777" w:rsidR="00C567D1" w:rsidRPr="00C567D1" w:rsidRDefault="00C567D1" w:rsidP="00AA4BBB">
            <w:pPr>
              <w:jc w:val="center"/>
              <w:rPr>
                <w:rFonts w:cs="Arial"/>
                <w:sz w:val="18"/>
                <w:szCs w:val="16"/>
              </w:rPr>
            </w:pPr>
            <w:r w:rsidRPr="00C567D1">
              <w:rPr>
                <w:rFonts w:cs="Arial"/>
                <w:sz w:val="18"/>
                <w:szCs w:val="16"/>
              </w:rPr>
              <w:t>31.276.377.604</w:t>
            </w:r>
          </w:p>
        </w:tc>
        <w:tc>
          <w:tcPr>
            <w:tcW w:w="1417" w:type="dxa"/>
            <w:tcMar>
              <w:top w:w="30" w:type="dxa"/>
              <w:left w:w="45" w:type="dxa"/>
              <w:bottom w:w="30" w:type="dxa"/>
              <w:right w:w="45" w:type="dxa"/>
            </w:tcMar>
            <w:vAlign w:val="center"/>
            <w:hideMark/>
          </w:tcPr>
          <w:p w14:paraId="258428B0" w14:textId="77777777" w:rsidR="00C567D1" w:rsidRPr="00C567D1" w:rsidRDefault="00C567D1" w:rsidP="00AA4BBB">
            <w:pPr>
              <w:jc w:val="center"/>
              <w:rPr>
                <w:rFonts w:cs="Arial"/>
                <w:sz w:val="18"/>
                <w:szCs w:val="16"/>
              </w:rPr>
            </w:pPr>
            <w:r w:rsidRPr="00C567D1">
              <w:rPr>
                <w:rFonts w:cs="Arial"/>
                <w:sz w:val="18"/>
                <w:szCs w:val="16"/>
              </w:rPr>
              <w:t>29.528.475.090</w:t>
            </w:r>
          </w:p>
        </w:tc>
        <w:tc>
          <w:tcPr>
            <w:tcW w:w="1422" w:type="dxa"/>
            <w:vMerge/>
            <w:vAlign w:val="center"/>
            <w:hideMark/>
          </w:tcPr>
          <w:p w14:paraId="5A19B6E9" w14:textId="77777777" w:rsidR="00C567D1" w:rsidRPr="00C567D1" w:rsidRDefault="00C567D1" w:rsidP="00AA4BBB">
            <w:pPr>
              <w:rPr>
                <w:rFonts w:cs="Arial"/>
                <w:b/>
                <w:bCs/>
                <w:sz w:val="18"/>
                <w:szCs w:val="16"/>
              </w:rPr>
            </w:pPr>
          </w:p>
        </w:tc>
      </w:tr>
      <w:tr w:rsidR="00C567D1" w:rsidRPr="00C666B0" w14:paraId="7E4E61F7" w14:textId="77777777" w:rsidTr="00C567D1">
        <w:tc>
          <w:tcPr>
            <w:tcW w:w="2268" w:type="dxa"/>
            <w:vMerge w:val="restart"/>
            <w:tcMar>
              <w:top w:w="30" w:type="dxa"/>
              <w:left w:w="45" w:type="dxa"/>
              <w:bottom w:w="30" w:type="dxa"/>
              <w:right w:w="45" w:type="dxa"/>
            </w:tcMar>
            <w:vAlign w:val="center"/>
            <w:hideMark/>
          </w:tcPr>
          <w:p w14:paraId="18B4A2FA" w14:textId="77777777" w:rsidR="00C567D1" w:rsidRPr="00C567D1" w:rsidRDefault="00C567D1" w:rsidP="00AA4BBB">
            <w:pPr>
              <w:rPr>
                <w:rFonts w:cs="Arial"/>
                <w:sz w:val="20"/>
                <w:szCs w:val="20"/>
              </w:rPr>
            </w:pPr>
            <w:r w:rsidRPr="00C567D1">
              <w:rPr>
                <w:rFonts w:cs="Arial"/>
                <w:sz w:val="20"/>
                <w:szCs w:val="20"/>
              </w:rPr>
              <w:t>Entregar 400 Beneficios Económicos Periódicos (BEPS) a creadores o gestores culturales que devenguen menos del salario mínimo legal vigente en Bogotá.</w:t>
            </w:r>
          </w:p>
        </w:tc>
        <w:tc>
          <w:tcPr>
            <w:tcW w:w="1418" w:type="dxa"/>
            <w:tcMar>
              <w:top w:w="30" w:type="dxa"/>
              <w:left w:w="45" w:type="dxa"/>
              <w:bottom w:w="30" w:type="dxa"/>
              <w:right w:w="45" w:type="dxa"/>
            </w:tcMar>
            <w:vAlign w:val="center"/>
            <w:hideMark/>
          </w:tcPr>
          <w:p w14:paraId="64DD0F15" w14:textId="77777777" w:rsidR="00C567D1" w:rsidRPr="00C567D1" w:rsidRDefault="00C567D1" w:rsidP="00AA4BBB">
            <w:pPr>
              <w:jc w:val="center"/>
              <w:rPr>
                <w:rFonts w:cs="Arial"/>
                <w:sz w:val="18"/>
                <w:szCs w:val="16"/>
              </w:rPr>
            </w:pPr>
            <w:r w:rsidRPr="00C567D1">
              <w:rPr>
                <w:rFonts w:cs="Arial"/>
                <w:sz w:val="18"/>
                <w:szCs w:val="16"/>
              </w:rPr>
              <w:t>1</w:t>
            </w:r>
          </w:p>
        </w:tc>
        <w:tc>
          <w:tcPr>
            <w:tcW w:w="1417" w:type="dxa"/>
            <w:tcMar>
              <w:top w:w="30" w:type="dxa"/>
              <w:left w:w="45" w:type="dxa"/>
              <w:bottom w:w="30" w:type="dxa"/>
              <w:right w:w="45" w:type="dxa"/>
            </w:tcMar>
            <w:vAlign w:val="center"/>
            <w:hideMark/>
          </w:tcPr>
          <w:p w14:paraId="0F9896A9" w14:textId="77777777" w:rsidR="00C567D1" w:rsidRPr="00C567D1" w:rsidRDefault="00C567D1" w:rsidP="00AA4BBB">
            <w:pPr>
              <w:jc w:val="center"/>
              <w:rPr>
                <w:rFonts w:cs="Arial"/>
                <w:sz w:val="18"/>
                <w:szCs w:val="16"/>
              </w:rPr>
            </w:pPr>
            <w:r w:rsidRPr="00C567D1">
              <w:rPr>
                <w:rFonts w:cs="Arial"/>
                <w:sz w:val="18"/>
                <w:szCs w:val="16"/>
              </w:rPr>
              <w:t>132</w:t>
            </w:r>
          </w:p>
        </w:tc>
        <w:tc>
          <w:tcPr>
            <w:tcW w:w="1418" w:type="dxa"/>
            <w:tcMar>
              <w:top w:w="30" w:type="dxa"/>
              <w:left w:w="45" w:type="dxa"/>
              <w:bottom w:w="30" w:type="dxa"/>
              <w:right w:w="45" w:type="dxa"/>
            </w:tcMar>
            <w:vAlign w:val="center"/>
            <w:hideMark/>
          </w:tcPr>
          <w:p w14:paraId="6BD898CD" w14:textId="77777777" w:rsidR="00C567D1" w:rsidRPr="00C567D1" w:rsidRDefault="00C567D1" w:rsidP="00AA4BBB">
            <w:pPr>
              <w:jc w:val="center"/>
              <w:rPr>
                <w:rFonts w:cs="Arial"/>
                <w:sz w:val="18"/>
                <w:szCs w:val="16"/>
              </w:rPr>
            </w:pPr>
            <w:r w:rsidRPr="00C567D1">
              <w:rPr>
                <w:rFonts w:cs="Arial"/>
                <w:sz w:val="18"/>
                <w:szCs w:val="16"/>
              </w:rPr>
              <w:t>133</w:t>
            </w:r>
          </w:p>
        </w:tc>
        <w:tc>
          <w:tcPr>
            <w:tcW w:w="1417" w:type="dxa"/>
            <w:tcMar>
              <w:top w:w="30" w:type="dxa"/>
              <w:left w:w="45" w:type="dxa"/>
              <w:bottom w:w="30" w:type="dxa"/>
              <w:right w:w="45" w:type="dxa"/>
            </w:tcMar>
            <w:vAlign w:val="center"/>
            <w:hideMark/>
          </w:tcPr>
          <w:p w14:paraId="6F6ACE48" w14:textId="77777777" w:rsidR="00C567D1" w:rsidRPr="00C567D1" w:rsidRDefault="00C567D1" w:rsidP="00AA4BBB">
            <w:pPr>
              <w:jc w:val="center"/>
              <w:rPr>
                <w:rFonts w:cs="Arial"/>
                <w:sz w:val="18"/>
                <w:szCs w:val="16"/>
              </w:rPr>
            </w:pPr>
            <w:r w:rsidRPr="00C567D1">
              <w:rPr>
                <w:rFonts w:cs="Arial"/>
                <w:sz w:val="18"/>
                <w:szCs w:val="16"/>
              </w:rPr>
              <w:t>134</w:t>
            </w:r>
          </w:p>
        </w:tc>
        <w:tc>
          <w:tcPr>
            <w:tcW w:w="1422" w:type="dxa"/>
            <w:vMerge w:val="restart"/>
            <w:tcMar>
              <w:top w:w="30" w:type="dxa"/>
              <w:left w:w="45" w:type="dxa"/>
              <w:bottom w:w="30" w:type="dxa"/>
              <w:right w:w="45" w:type="dxa"/>
            </w:tcMar>
            <w:vAlign w:val="center"/>
            <w:hideMark/>
          </w:tcPr>
          <w:p w14:paraId="6F7889E1" w14:textId="77777777" w:rsidR="00C567D1" w:rsidRPr="00C567D1" w:rsidRDefault="00C567D1" w:rsidP="00AA4BBB">
            <w:pPr>
              <w:jc w:val="center"/>
              <w:rPr>
                <w:rFonts w:cs="Arial"/>
                <w:b/>
                <w:bCs/>
                <w:sz w:val="18"/>
                <w:szCs w:val="16"/>
              </w:rPr>
            </w:pPr>
            <w:r w:rsidRPr="00C567D1">
              <w:rPr>
                <w:rFonts w:cs="Arial"/>
                <w:b/>
                <w:bCs/>
                <w:sz w:val="18"/>
                <w:szCs w:val="16"/>
              </w:rPr>
              <w:t>18.546.593.683</w:t>
            </w:r>
          </w:p>
        </w:tc>
      </w:tr>
      <w:tr w:rsidR="00C567D1" w:rsidRPr="00C666B0" w14:paraId="35DEA2EC" w14:textId="77777777" w:rsidTr="00C567D1">
        <w:tc>
          <w:tcPr>
            <w:tcW w:w="2268" w:type="dxa"/>
            <w:vMerge/>
            <w:vAlign w:val="center"/>
            <w:hideMark/>
          </w:tcPr>
          <w:p w14:paraId="201129DB"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4D7F8A67" w14:textId="77777777" w:rsidR="00C567D1" w:rsidRPr="00C567D1" w:rsidRDefault="00C567D1" w:rsidP="00AA4BBB">
            <w:pPr>
              <w:jc w:val="center"/>
              <w:rPr>
                <w:rFonts w:cs="Arial"/>
                <w:sz w:val="18"/>
                <w:szCs w:val="16"/>
              </w:rPr>
            </w:pPr>
            <w:r w:rsidRPr="00C567D1">
              <w:rPr>
                <w:rFonts w:cs="Arial"/>
                <w:sz w:val="18"/>
                <w:szCs w:val="16"/>
              </w:rPr>
              <w:t>3.357.825.000</w:t>
            </w:r>
          </w:p>
        </w:tc>
        <w:tc>
          <w:tcPr>
            <w:tcW w:w="1417" w:type="dxa"/>
            <w:tcMar>
              <w:top w:w="30" w:type="dxa"/>
              <w:left w:w="45" w:type="dxa"/>
              <w:bottom w:w="30" w:type="dxa"/>
              <w:right w:w="45" w:type="dxa"/>
            </w:tcMar>
            <w:vAlign w:val="center"/>
            <w:hideMark/>
          </w:tcPr>
          <w:p w14:paraId="30ED7513" w14:textId="77777777" w:rsidR="00C567D1" w:rsidRPr="00C567D1" w:rsidRDefault="00C567D1" w:rsidP="00AA4BBB">
            <w:pPr>
              <w:jc w:val="center"/>
              <w:rPr>
                <w:rFonts w:cs="Arial"/>
                <w:sz w:val="18"/>
                <w:szCs w:val="16"/>
              </w:rPr>
            </w:pPr>
            <w:r w:rsidRPr="00C567D1">
              <w:rPr>
                <w:rFonts w:cs="Arial"/>
                <w:sz w:val="18"/>
                <w:szCs w:val="16"/>
              </w:rPr>
              <w:t>4.859.853.144</w:t>
            </w:r>
          </w:p>
        </w:tc>
        <w:tc>
          <w:tcPr>
            <w:tcW w:w="1418" w:type="dxa"/>
            <w:tcMar>
              <w:top w:w="30" w:type="dxa"/>
              <w:left w:w="45" w:type="dxa"/>
              <w:bottom w:w="30" w:type="dxa"/>
              <w:right w:w="45" w:type="dxa"/>
            </w:tcMar>
            <w:vAlign w:val="center"/>
            <w:hideMark/>
          </w:tcPr>
          <w:p w14:paraId="20B123B5" w14:textId="77777777" w:rsidR="00C567D1" w:rsidRPr="00C567D1" w:rsidRDefault="00C567D1" w:rsidP="00AA4BBB">
            <w:pPr>
              <w:jc w:val="center"/>
              <w:rPr>
                <w:rFonts w:cs="Arial"/>
                <w:sz w:val="18"/>
                <w:szCs w:val="16"/>
              </w:rPr>
            </w:pPr>
            <w:r w:rsidRPr="00C567D1">
              <w:rPr>
                <w:rFonts w:cs="Arial"/>
                <w:sz w:val="18"/>
                <w:szCs w:val="16"/>
              </w:rPr>
              <w:t>5.128.289.553</w:t>
            </w:r>
          </w:p>
        </w:tc>
        <w:tc>
          <w:tcPr>
            <w:tcW w:w="1417" w:type="dxa"/>
            <w:tcMar>
              <w:top w:w="30" w:type="dxa"/>
              <w:left w:w="45" w:type="dxa"/>
              <w:bottom w:w="30" w:type="dxa"/>
              <w:right w:w="45" w:type="dxa"/>
            </w:tcMar>
            <w:vAlign w:val="center"/>
            <w:hideMark/>
          </w:tcPr>
          <w:p w14:paraId="46B3AD5F" w14:textId="77777777" w:rsidR="00C567D1" w:rsidRPr="00C567D1" w:rsidRDefault="00C567D1" w:rsidP="00AA4BBB">
            <w:pPr>
              <w:jc w:val="center"/>
              <w:rPr>
                <w:rFonts w:cs="Arial"/>
                <w:sz w:val="18"/>
                <w:szCs w:val="16"/>
              </w:rPr>
            </w:pPr>
            <w:r w:rsidRPr="00C567D1">
              <w:rPr>
                <w:rFonts w:cs="Arial"/>
                <w:sz w:val="18"/>
                <w:szCs w:val="16"/>
              </w:rPr>
              <w:t>5.200.625.986</w:t>
            </w:r>
          </w:p>
        </w:tc>
        <w:tc>
          <w:tcPr>
            <w:tcW w:w="1422" w:type="dxa"/>
            <w:vMerge/>
            <w:vAlign w:val="center"/>
            <w:hideMark/>
          </w:tcPr>
          <w:p w14:paraId="760EEE73" w14:textId="77777777" w:rsidR="00C567D1" w:rsidRPr="00C567D1" w:rsidRDefault="00C567D1" w:rsidP="00AA4BBB">
            <w:pPr>
              <w:rPr>
                <w:rFonts w:cs="Arial"/>
                <w:b/>
                <w:bCs/>
                <w:sz w:val="18"/>
                <w:szCs w:val="16"/>
              </w:rPr>
            </w:pPr>
          </w:p>
        </w:tc>
      </w:tr>
      <w:tr w:rsidR="00C567D1" w:rsidRPr="00C666B0" w14:paraId="357BF6C3" w14:textId="77777777" w:rsidTr="00C567D1">
        <w:tc>
          <w:tcPr>
            <w:tcW w:w="2268" w:type="dxa"/>
            <w:vMerge w:val="restart"/>
            <w:tcMar>
              <w:top w:w="30" w:type="dxa"/>
              <w:left w:w="45" w:type="dxa"/>
              <w:bottom w:w="30" w:type="dxa"/>
              <w:right w:w="45" w:type="dxa"/>
            </w:tcMar>
            <w:vAlign w:val="center"/>
            <w:hideMark/>
          </w:tcPr>
          <w:p w14:paraId="391CF600" w14:textId="77777777" w:rsidR="00C567D1" w:rsidRPr="00C567D1" w:rsidRDefault="00C567D1" w:rsidP="00AA4BBB">
            <w:pPr>
              <w:rPr>
                <w:rFonts w:cs="Arial"/>
                <w:sz w:val="20"/>
                <w:szCs w:val="20"/>
              </w:rPr>
            </w:pPr>
            <w:r w:rsidRPr="00C567D1">
              <w:rPr>
                <w:rFonts w:cs="Arial"/>
                <w:sz w:val="20"/>
                <w:szCs w:val="20"/>
              </w:rPr>
              <w:t xml:space="preserve">Entregar 9.702 estímulos reconocimientos apoyos incentivos y alianzas estratégicas en el marco de </w:t>
            </w:r>
            <w:r w:rsidRPr="00C567D1">
              <w:rPr>
                <w:rFonts w:cs="Arial"/>
                <w:sz w:val="20"/>
                <w:szCs w:val="20"/>
              </w:rPr>
              <w:lastRenderedPageBreak/>
              <w:t>los distintos programas de fomento.</w:t>
            </w:r>
          </w:p>
        </w:tc>
        <w:tc>
          <w:tcPr>
            <w:tcW w:w="1418" w:type="dxa"/>
            <w:tcMar>
              <w:top w:w="30" w:type="dxa"/>
              <w:left w:w="45" w:type="dxa"/>
              <w:bottom w:w="30" w:type="dxa"/>
              <w:right w:w="45" w:type="dxa"/>
            </w:tcMar>
            <w:vAlign w:val="center"/>
            <w:hideMark/>
          </w:tcPr>
          <w:p w14:paraId="271635AB" w14:textId="77777777" w:rsidR="00C567D1" w:rsidRPr="00C567D1" w:rsidRDefault="00C567D1" w:rsidP="00AA4BBB">
            <w:pPr>
              <w:jc w:val="center"/>
              <w:rPr>
                <w:rFonts w:cs="Arial"/>
                <w:sz w:val="18"/>
                <w:szCs w:val="16"/>
              </w:rPr>
            </w:pPr>
            <w:r w:rsidRPr="00C567D1">
              <w:rPr>
                <w:rFonts w:cs="Arial"/>
                <w:sz w:val="18"/>
                <w:szCs w:val="16"/>
              </w:rPr>
              <w:lastRenderedPageBreak/>
              <w:t>1.550</w:t>
            </w:r>
          </w:p>
        </w:tc>
        <w:tc>
          <w:tcPr>
            <w:tcW w:w="1417" w:type="dxa"/>
            <w:tcMar>
              <w:top w:w="30" w:type="dxa"/>
              <w:left w:w="45" w:type="dxa"/>
              <w:bottom w:w="30" w:type="dxa"/>
              <w:right w:w="45" w:type="dxa"/>
            </w:tcMar>
            <w:vAlign w:val="center"/>
            <w:hideMark/>
          </w:tcPr>
          <w:p w14:paraId="1A15A888" w14:textId="77777777" w:rsidR="00C567D1" w:rsidRPr="00C567D1" w:rsidRDefault="00C567D1" w:rsidP="00AA4BBB">
            <w:pPr>
              <w:jc w:val="center"/>
              <w:rPr>
                <w:rFonts w:cs="Arial"/>
                <w:sz w:val="18"/>
                <w:szCs w:val="16"/>
              </w:rPr>
            </w:pPr>
            <w:r w:rsidRPr="00C567D1">
              <w:rPr>
                <w:rFonts w:cs="Arial"/>
                <w:sz w:val="18"/>
                <w:szCs w:val="16"/>
              </w:rPr>
              <w:t>2.694</w:t>
            </w:r>
          </w:p>
        </w:tc>
        <w:tc>
          <w:tcPr>
            <w:tcW w:w="1418" w:type="dxa"/>
            <w:tcMar>
              <w:top w:w="30" w:type="dxa"/>
              <w:left w:w="45" w:type="dxa"/>
              <w:bottom w:w="30" w:type="dxa"/>
              <w:right w:w="45" w:type="dxa"/>
            </w:tcMar>
            <w:vAlign w:val="center"/>
            <w:hideMark/>
          </w:tcPr>
          <w:p w14:paraId="4BEF20DA" w14:textId="77777777" w:rsidR="00C567D1" w:rsidRPr="00C567D1" w:rsidRDefault="00C567D1" w:rsidP="00AA4BBB">
            <w:pPr>
              <w:jc w:val="center"/>
              <w:rPr>
                <w:rFonts w:cs="Arial"/>
                <w:sz w:val="18"/>
                <w:szCs w:val="16"/>
              </w:rPr>
            </w:pPr>
            <w:r w:rsidRPr="00C567D1">
              <w:rPr>
                <w:rFonts w:cs="Arial"/>
                <w:sz w:val="18"/>
                <w:szCs w:val="16"/>
              </w:rPr>
              <w:t>2.743</w:t>
            </w:r>
          </w:p>
        </w:tc>
        <w:tc>
          <w:tcPr>
            <w:tcW w:w="1417" w:type="dxa"/>
            <w:tcMar>
              <w:top w:w="30" w:type="dxa"/>
              <w:left w:w="45" w:type="dxa"/>
              <w:bottom w:w="30" w:type="dxa"/>
              <w:right w:w="45" w:type="dxa"/>
            </w:tcMar>
            <w:vAlign w:val="center"/>
            <w:hideMark/>
          </w:tcPr>
          <w:p w14:paraId="2FCC34EC" w14:textId="77777777" w:rsidR="00C567D1" w:rsidRPr="00C567D1" w:rsidRDefault="00C567D1" w:rsidP="00AA4BBB">
            <w:pPr>
              <w:jc w:val="center"/>
              <w:rPr>
                <w:rFonts w:cs="Arial"/>
                <w:sz w:val="18"/>
                <w:szCs w:val="16"/>
              </w:rPr>
            </w:pPr>
            <w:r w:rsidRPr="00C567D1">
              <w:rPr>
                <w:rFonts w:cs="Arial"/>
                <w:sz w:val="18"/>
                <w:szCs w:val="16"/>
              </w:rPr>
              <w:t>2.715</w:t>
            </w:r>
          </w:p>
        </w:tc>
        <w:tc>
          <w:tcPr>
            <w:tcW w:w="1422" w:type="dxa"/>
            <w:vMerge w:val="restart"/>
            <w:tcMar>
              <w:top w:w="30" w:type="dxa"/>
              <w:left w:w="45" w:type="dxa"/>
              <w:bottom w:w="30" w:type="dxa"/>
              <w:right w:w="45" w:type="dxa"/>
            </w:tcMar>
            <w:vAlign w:val="center"/>
            <w:hideMark/>
          </w:tcPr>
          <w:p w14:paraId="48170086" w14:textId="77777777" w:rsidR="00C567D1" w:rsidRPr="00C567D1" w:rsidRDefault="00C567D1" w:rsidP="00AA4BBB">
            <w:pPr>
              <w:jc w:val="center"/>
              <w:rPr>
                <w:rFonts w:cs="Arial"/>
                <w:b/>
                <w:bCs/>
                <w:sz w:val="18"/>
                <w:szCs w:val="16"/>
              </w:rPr>
            </w:pPr>
            <w:r w:rsidRPr="00C567D1">
              <w:rPr>
                <w:rFonts w:cs="Arial"/>
                <w:b/>
                <w:bCs/>
                <w:sz w:val="18"/>
                <w:szCs w:val="16"/>
              </w:rPr>
              <w:t>155.313.518.746</w:t>
            </w:r>
          </w:p>
        </w:tc>
      </w:tr>
      <w:tr w:rsidR="00C567D1" w:rsidRPr="00C666B0" w14:paraId="2F1FC202" w14:textId="77777777" w:rsidTr="00C567D1">
        <w:tc>
          <w:tcPr>
            <w:tcW w:w="2268" w:type="dxa"/>
            <w:vMerge/>
            <w:vAlign w:val="center"/>
            <w:hideMark/>
          </w:tcPr>
          <w:p w14:paraId="6FB667C3"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43B78446" w14:textId="77777777" w:rsidR="00C567D1" w:rsidRPr="00C567D1" w:rsidRDefault="00C567D1" w:rsidP="00AA4BBB">
            <w:pPr>
              <w:jc w:val="center"/>
              <w:rPr>
                <w:rFonts w:cs="Arial"/>
                <w:sz w:val="18"/>
                <w:szCs w:val="16"/>
              </w:rPr>
            </w:pPr>
            <w:r w:rsidRPr="00C567D1">
              <w:rPr>
                <w:rFonts w:cs="Arial"/>
                <w:sz w:val="18"/>
                <w:szCs w:val="16"/>
              </w:rPr>
              <w:t>51.374.126.000</w:t>
            </w:r>
          </w:p>
        </w:tc>
        <w:tc>
          <w:tcPr>
            <w:tcW w:w="1417" w:type="dxa"/>
            <w:tcMar>
              <w:top w:w="30" w:type="dxa"/>
              <w:left w:w="45" w:type="dxa"/>
              <w:bottom w:w="30" w:type="dxa"/>
              <w:right w:w="45" w:type="dxa"/>
            </w:tcMar>
            <w:vAlign w:val="center"/>
            <w:hideMark/>
          </w:tcPr>
          <w:p w14:paraId="725A4293" w14:textId="77777777" w:rsidR="00C567D1" w:rsidRPr="00C567D1" w:rsidRDefault="00C567D1" w:rsidP="00AA4BBB">
            <w:pPr>
              <w:jc w:val="center"/>
              <w:rPr>
                <w:rFonts w:cs="Arial"/>
                <w:sz w:val="18"/>
                <w:szCs w:val="16"/>
              </w:rPr>
            </w:pPr>
            <w:r w:rsidRPr="00C567D1">
              <w:rPr>
                <w:rFonts w:cs="Arial"/>
                <w:sz w:val="18"/>
                <w:szCs w:val="16"/>
              </w:rPr>
              <w:t>36.174.249.515</w:t>
            </w:r>
          </w:p>
        </w:tc>
        <w:tc>
          <w:tcPr>
            <w:tcW w:w="1418" w:type="dxa"/>
            <w:tcMar>
              <w:top w:w="30" w:type="dxa"/>
              <w:left w:w="45" w:type="dxa"/>
              <w:bottom w:w="30" w:type="dxa"/>
              <w:right w:w="45" w:type="dxa"/>
            </w:tcMar>
            <w:vAlign w:val="center"/>
            <w:hideMark/>
          </w:tcPr>
          <w:p w14:paraId="0BB8F6BE" w14:textId="77777777" w:rsidR="00C567D1" w:rsidRPr="00C567D1" w:rsidRDefault="00C567D1" w:rsidP="00AA4BBB">
            <w:pPr>
              <w:jc w:val="center"/>
              <w:rPr>
                <w:rFonts w:cs="Arial"/>
                <w:sz w:val="18"/>
                <w:szCs w:val="16"/>
              </w:rPr>
            </w:pPr>
            <w:r w:rsidRPr="00C567D1">
              <w:rPr>
                <w:rFonts w:cs="Arial"/>
                <w:sz w:val="18"/>
                <w:szCs w:val="16"/>
              </w:rPr>
              <w:t>35.477.122.250</w:t>
            </w:r>
          </w:p>
        </w:tc>
        <w:tc>
          <w:tcPr>
            <w:tcW w:w="1417" w:type="dxa"/>
            <w:tcMar>
              <w:top w:w="30" w:type="dxa"/>
              <w:left w:w="45" w:type="dxa"/>
              <w:bottom w:w="30" w:type="dxa"/>
              <w:right w:w="45" w:type="dxa"/>
            </w:tcMar>
            <w:vAlign w:val="center"/>
            <w:hideMark/>
          </w:tcPr>
          <w:p w14:paraId="51DE9BE2" w14:textId="77777777" w:rsidR="00C567D1" w:rsidRPr="00C567D1" w:rsidRDefault="00C567D1" w:rsidP="00AA4BBB">
            <w:pPr>
              <w:jc w:val="center"/>
              <w:rPr>
                <w:rFonts w:cs="Arial"/>
                <w:sz w:val="18"/>
                <w:szCs w:val="16"/>
              </w:rPr>
            </w:pPr>
            <w:r w:rsidRPr="00C567D1">
              <w:rPr>
                <w:rFonts w:cs="Arial"/>
                <w:sz w:val="18"/>
                <w:szCs w:val="16"/>
              </w:rPr>
              <w:t>32.288.020.981</w:t>
            </w:r>
          </w:p>
        </w:tc>
        <w:tc>
          <w:tcPr>
            <w:tcW w:w="1422" w:type="dxa"/>
            <w:vMerge/>
            <w:vAlign w:val="center"/>
            <w:hideMark/>
          </w:tcPr>
          <w:p w14:paraId="640F042B" w14:textId="77777777" w:rsidR="00C567D1" w:rsidRPr="00C567D1" w:rsidRDefault="00C567D1" w:rsidP="00AA4BBB">
            <w:pPr>
              <w:rPr>
                <w:rFonts w:cs="Arial"/>
                <w:b/>
                <w:bCs/>
                <w:sz w:val="18"/>
                <w:szCs w:val="16"/>
              </w:rPr>
            </w:pPr>
          </w:p>
        </w:tc>
      </w:tr>
      <w:tr w:rsidR="00C567D1" w:rsidRPr="00C666B0" w14:paraId="2358FACA" w14:textId="77777777" w:rsidTr="00C567D1">
        <w:tc>
          <w:tcPr>
            <w:tcW w:w="2268" w:type="dxa"/>
            <w:vMerge w:val="restart"/>
            <w:tcMar>
              <w:top w:w="30" w:type="dxa"/>
              <w:left w:w="45" w:type="dxa"/>
              <w:bottom w:w="30" w:type="dxa"/>
              <w:right w:w="45" w:type="dxa"/>
            </w:tcMar>
            <w:vAlign w:val="center"/>
            <w:hideMark/>
          </w:tcPr>
          <w:p w14:paraId="70629F24" w14:textId="77777777" w:rsidR="00C567D1" w:rsidRPr="00C567D1" w:rsidRDefault="00C567D1" w:rsidP="00AA4BBB">
            <w:pPr>
              <w:rPr>
                <w:rFonts w:cs="Arial"/>
                <w:sz w:val="20"/>
                <w:szCs w:val="20"/>
              </w:rPr>
            </w:pPr>
            <w:r w:rsidRPr="00C567D1">
              <w:rPr>
                <w:rFonts w:cs="Arial"/>
                <w:sz w:val="20"/>
                <w:szCs w:val="20"/>
              </w:rPr>
              <w:t>Generar 100 contenidos y creaciones artísticas a través del uso de herramientas digitales y contenidos multiplataforma para la apropiación y uso de la cultura digital el ejercicio de los derechos el desarrollo humano y la promoción de la industria creativa y cultural</w:t>
            </w:r>
          </w:p>
        </w:tc>
        <w:tc>
          <w:tcPr>
            <w:tcW w:w="1418" w:type="dxa"/>
            <w:tcMar>
              <w:top w:w="30" w:type="dxa"/>
              <w:left w:w="45" w:type="dxa"/>
              <w:bottom w:w="30" w:type="dxa"/>
              <w:right w:w="45" w:type="dxa"/>
            </w:tcMar>
            <w:vAlign w:val="center"/>
            <w:hideMark/>
          </w:tcPr>
          <w:p w14:paraId="12800ECF" w14:textId="77777777" w:rsidR="00C567D1" w:rsidRPr="00C567D1" w:rsidRDefault="00C567D1" w:rsidP="00AA4BBB">
            <w:pPr>
              <w:jc w:val="center"/>
              <w:rPr>
                <w:rFonts w:cs="Arial"/>
                <w:sz w:val="18"/>
                <w:szCs w:val="16"/>
              </w:rPr>
            </w:pPr>
            <w:r w:rsidRPr="00C567D1">
              <w:rPr>
                <w:rFonts w:cs="Arial"/>
                <w:sz w:val="18"/>
                <w:szCs w:val="16"/>
              </w:rPr>
              <w:t>10</w:t>
            </w:r>
          </w:p>
        </w:tc>
        <w:tc>
          <w:tcPr>
            <w:tcW w:w="1417" w:type="dxa"/>
            <w:tcMar>
              <w:top w:w="30" w:type="dxa"/>
              <w:left w:w="45" w:type="dxa"/>
              <w:bottom w:w="30" w:type="dxa"/>
              <w:right w:w="45" w:type="dxa"/>
            </w:tcMar>
            <w:vAlign w:val="center"/>
            <w:hideMark/>
          </w:tcPr>
          <w:p w14:paraId="55C4CFDF" w14:textId="77777777" w:rsidR="00C567D1" w:rsidRPr="00C567D1" w:rsidRDefault="00C567D1" w:rsidP="00AA4BBB">
            <w:pPr>
              <w:jc w:val="center"/>
              <w:rPr>
                <w:rFonts w:cs="Arial"/>
                <w:sz w:val="18"/>
                <w:szCs w:val="16"/>
              </w:rPr>
            </w:pPr>
            <w:r w:rsidRPr="00C567D1">
              <w:rPr>
                <w:rFonts w:cs="Arial"/>
                <w:sz w:val="18"/>
                <w:szCs w:val="16"/>
              </w:rPr>
              <w:t>27</w:t>
            </w:r>
          </w:p>
        </w:tc>
        <w:tc>
          <w:tcPr>
            <w:tcW w:w="1418" w:type="dxa"/>
            <w:tcMar>
              <w:top w:w="30" w:type="dxa"/>
              <w:left w:w="45" w:type="dxa"/>
              <w:bottom w:w="30" w:type="dxa"/>
              <w:right w:w="45" w:type="dxa"/>
            </w:tcMar>
            <w:vAlign w:val="center"/>
            <w:hideMark/>
          </w:tcPr>
          <w:p w14:paraId="7A679272" w14:textId="77777777" w:rsidR="00C567D1" w:rsidRPr="00C567D1" w:rsidRDefault="00C567D1" w:rsidP="00AA4BBB">
            <w:pPr>
              <w:jc w:val="center"/>
              <w:rPr>
                <w:rFonts w:cs="Arial"/>
                <w:sz w:val="18"/>
                <w:szCs w:val="16"/>
              </w:rPr>
            </w:pPr>
            <w:r w:rsidRPr="00C567D1">
              <w:rPr>
                <w:rFonts w:cs="Arial"/>
                <w:sz w:val="18"/>
                <w:szCs w:val="16"/>
              </w:rPr>
              <w:t>30</w:t>
            </w:r>
          </w:p>
        </w:tc>
        <w:tc>
          <w:tcPr>
            <w:tcW w:w="1417" w:type="dxa"/>
            <w:tcMar>
              <w:top w:w="30" w:type="dxa"/>
              <w:left w:w="45" w:type="dxa"/>
              <w:bottom w:w="30" w:type="dxa"/>
              <w:right w:w="45" w:type="dxa"/>
            </w:tcMar>
            <w:vAlign w:val="center"/>
            <w:hideMark/>
          </w:tcPr>
          <w:p w14:paraId="726A29F4" w14:textId="77777777" w:rsidR="00C567D1" w:rsidRPr="00C567D1" w:rsidRDefault="00C567D1" w:rsidP="00AA4BBB">
            <w:pPr>
              <w:jc w:val="center"/>
              <w:rPr>
                <w:rFonts w:cs="Arial"/>
                <w:sz w:val="18"/>
                <w:szCs w:val="16"/>
              </w:rPr>
            </w:pPr>
            <w:r w:rsidRPr="00C567D1">
              <w:rPr>
                <w:rFonts w:cs="Arial"/>
                <w:sz w:val="18"/>
                <w:szCs w:val="16"/>
              </w:rPr>
              <w:t>33</w:t>
            </w:r>
          </w:p>
        </w:tc>
        <w:tc>
          <w:tcPr>
            <w:tcW w:w="1422" w:type="dxa"/>
            <w:vMerge w:val="restart"/>
            <w:tcMar>
              <w:top w:w="30" w:type="dxa"/>
              <w:left w:w="45" w:type="dxa"/>
              <w:bottom w:w="30" w:type="dxa"/>
              <w:right w:w="45" w:type="dxa"/>
            </w:tcMar>
            <w:vAlign w:val="center"/>
            <w:hideMark/>
          </w:tcPr>
          <w:p w14:paraId="6DD8704C" w14:textId="77777777" w:rsidR="00C567D1" w:rsidRPr="00C567D1" w:rsidRDefault="00C567D1" w:rsidP="00AA4BBB">
            <w:pPr>
              <w:jc w:val="center"/>
              <w:rPr>
                <w:rFonts w:cs="Arial"/>
                <w:b/>
                <w:bCs/>
                <w:sz w:val="18"/>
                <w:szCs w:val="16"/>
              </w:rPr>
            </w:pPr>
            <w:r w:rsidRPr="00C567D1">
              <w:rPr>
                <w:rFonts w:cs="Arial"/>
                <w:b/>
                <w:bCs/>
                <w:sz w:val="18"/>
                <w:szCs w:val="16"/>
              </w:rPr>
              <w:t>10.823.765.954</w:t>
            </w:r>
          </w:p>
        </w:tc>
      </w:tr>
      <w:tr w:rsidR="00C567D1" w:rsidRPr="00C666B0" w14:paraId="01FD214F" w14:textId="77777777" w:rsidTr="00C567D1">
        <w:tc>
          <w:tcPr>
            <w:tcW w:w="2268" w:type="dxa"/>
            <w:vMerge/>
            <w:vAlign w:val="center"/>
            <w:hideMark/>
          </w:tcPr>
          <w:p w14:paraId="2799CF82"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52BA6393" w14:textId="77777777" w:rsidR="00C567D1" w:rsidRPr="00C567D1" w:rsidRDefault="00C567D1" w:rsidP="00AA4BBB">
            <w:pPr>
              <w:jc w:val="center"/>
              <w:rPr>
                <w:rFonts w:cs="Arial"/>
                <w:sz w:val="18"/>
                <w:szCs w:val="16"/>
              </w:rPr>
            </w:pPr>
            <w:r w:rsidRPr="00C567D1">
              <w:rPr>
                <w:rFonts w:cs="Arial"/>
                <w:sz w:val="18"/>
                <w:szCs w:val="16"/>
              </w:rPr>
              <w:t>1.900.000.000</w:t>
            </w:r>
          </w:p>
        </w:tc>
        <w:tc>
          <w:tcPr>
            <w:tcW w:w="1417" w:type="dxa"/>
            <w:tcMar>
              <w:top w:w="30" w:type="dxa"/>
              <w:left w:w="45" w:type="dxa"/>
              <w:bottom w:w="30" w:type="dxa"/>
              <w:right w:w="45" w:type="dxa"/>
            </w:tcMar>
            <w:vAlign w:val="center"/>
            <w:hideMark/>
          </w:tcPr>
          <w:p w14:paraId="538AE4D4" w14:textId="77777777" w:rsidR="00C567D1" w:rsidRPr="00C567D1" w:rsidRDefault="00C567D1" w:rsidP="00AA4BBB">
            <w:pPr>
              <w:jc w:val="center"/>
              <w:rPr>
                <w:rFonts w:cs="Arial"/>
                <w:sz w:val="18"/>
                <w:szCs w:val="16"/>
              </w:rPr>
            </w:pPr>
            <w:r w:rsidRPr="00C567D1">
              <w:rPr>
                <w:rFonts w:cs="Arial"/>
                <w:sz w:val="18"/>
                <w:szCs w:val="16"/>
              </w:rPr>
              <w:t>2.815.533.981</w:t>
            </w:r>
          </w:p>
        </w:tc>
        <w:tc>
          <w:tcPr>
            <w:tcW w:w="1418" w:type="dxa"/>
            <w:tcMar>
              <w:top w:w="30" w:type="dxa"/>
              <w:left w:w="45" w:type="dxa"/>
              <w:bottom w:w="30" w:type="dxa"/>
              <w:right w:w="45" w:type="dxa"/>
            </w:tcMar>
            <w:vAlign w:val="center"/>
            <w:hideMark/>
          </w:tcPr>
          <w:p w14:paraId="12797E79" w14:textId="77777777" w:rsidR="00C567D1" w:rsidRPr="00C567D1" w:rsidRDefault="00C567D1" w:rsidP="00AA4BBB">
            <w:pPr>
              <w:jc w:val="center"/>
              <w:rPr>
                <w:rFonts w:cs="Arial"/>
                <w:sz w:val="18"/>
                <w:szCs w:val="16"/>
              </w:rPr>
            </w:pPr>
            <w:r w:rsidRPr="00C567D1">
              <w:rPr>
                <w:rFonts w:cs="Arial"/>
                <w:sz w:val="18"/>
                <w:szCs w:val="16"/>
              </w:rPr>
              <w:t>3.130.361.014</w:t>
            </w:r>
          </w:p>
        </w:tc>
        <w:tc>
          <w:tcPr>
            <w:tcW w:w="1417" w:type="dxa"/>
            <w:tcMar>
              <w:top w:w="30" w:type="dxa"/>
              <w:left w:w="45" w:type="dxa"/>
              <w:bottom w:w="30" w:type="dxa"/>
              <w:right w:w="45" w:type="dxa"/>
            </w:tcMar>
            <w:vAlign w:val="center"/>
            <w:hideMark/>
          </w:tcPr>
          <w:p w14:paraId="59F5992F" w14:textId="77777777" w:rsidR="00C567D1" w:rsidRPr="00C567D1" w:rsidRDefault="00C567D1" w:rsidP="00AA4BBB">
            <w:pPr>
              <w:jc w:val="center"/>
              <w:rPr>
                <w:rFonts w:cs="Arial"/>
                <w:sz w:val="18"/>
                <w:szCs w:val="16"/>
              </w:rPr>
            </w:pPr>
            <w:r w:rsidRPr="00C567D1">
              <w:rPr>
                <w:rFonts w:cs="Arial"/>
                <w:sz w:val="18"/>
                <w:szCs w:val="16"/>
              </w:rPr>
              <w:t>2.977.870.960</w:t>
            </w:r>
          </w:p>
        </w:tc>
        <w:tc>
          <w:tcPr>
            <w:tcW w:w="1422" w:type="dxa"/>
            <w:vMerge/>
            <w:vAlign w:val="center"/>
            <w:hideMark/>
          </w:tcPr>
          <w:p w14:paraId="3E0286E0" w14:textId="77777777" w:rsidR="00C567D1" w:rsidRPr="00C567D1" w:rsidRDefault="00C567D1" w:rsidP="00AA4BBB">
            <w:pPr>
              <w:rPr>
                <w:rFonts w:cs="Arial"/>
                <w:b/>
                <w:bCs/>
                <w:sz w:val="18"/>
                <w:szCs w:val="16"/>
              </w:rPr>
            </w:pPr>
          </w:p>
        </w:tc>
      </w:tr>
      <w:tr w:rsidR="00C567D1" w:rsidRPr="00C666B0" w14:paraId="267A71E5" w14:textId="77777777" w:rsidTr="00C567D1">
        <w:tc>
          <w:tcPr>
            <w:tcW w:w="2268" w:type="dxa"/>
            <w:vMerge w:val="restart"/>
            <w:tcMar>
              <w:top w:w="30" w:type="dxa"/>
              <w:left w:w="45" w:type="dxa"/>
              <w:bottom w:w="30" w:type="dxa"/>
              <w:right w:w="45" w:type="dxa"/>
            </w:tcMar>
            <w:vAlign w:val="center"/>
            <w:hideMark/>
          </w:tcPr>
          <w:p w14:paraId="66F396AF" w14:textId="77777777" w:rsidR="00C567D1" w:rsidRPr="00C567D1" w:rsidRDefault="00C567D1" w:rsidP="00AA4BBB">
            <w:pPr>
              <w:rPr>
                <w:rFonts w:cs="Arial"/>
                <w:sz w:val="20"/>
                <w:szCs w:val="20"/>
              </w:rPr>
            </w:pPr>
            <w:r w:rsidRPr="00C567D1">
              <w:rPr>
                <w:rFonts w:cs="Arial"/>
                <w:sz w:val="20"/>
                <w:szCs w:val="20"/>
              </w:rPr>
              <w:t>Implementar 18 planes de acción que promuevan el reconocimiento apropiación intercambio e innovación en las prácticas artísticas culturales y patrimoniales de grupos étnicos etarios y sectores sociales promoviendo la multiculturalidad desde los distintos enfoques.</w:t>
            </w:r>
          </w:p>
        </w:tc>
        <w:tc>
          <w:tcPr>
            <w:tcW w:w="1418" w:type="dxa"/>
            <w:tcMar>
              <w:top w:w="30" w:type="dxa"/>
              <w:left w:w="45" w:type="dxa"/>
              <w:bottom w:w="30" w:type="dxa"/>
              <w:right w:w="45" w:type="dxa"/>
            </w:tcMar>
            <w:vAlign w:val="center"/>
            <w:hideMark/>
          </w:tcPr>
          <w:p w14:paraId="29E8A041" w14:textId="77777777" w:rsidR="00C567D1" w:rsidRPr="00C567D1" w:rsidRDefault="00C567D1" w:rsidP="00AA4BBB">
            <w:pPr>
              <w:jc w:val="center"/>
              <w:rPr>
                <w:rFonts w:cs="Arial"/>
                <w:sz w:val="18"/>
                <w:szCs w:val="16"/>
              </w:rPr>
            </w:pPr>
            <w:r w:rsidRPr="00C567D1">
              <w:rPr>
                <w:rFonts w:cs="Arial"/>
                <w:sz w:val="18"/>
                <w:szCs w:val="16"/>
              </w:rPr>
              <w:t>18</w:t>
            </w:r>
          </w:p>
        </w:tc>
        <w:tc>
          <w:tcPr>
            <w:tcW w:w="1417" w:type="dxa"/>
            <w:tcMar>
              <w:top w:w="30" w:type="dxa"/>
              <w:left w:w="45" w:type="dxa"/>
              <w:bottom w:w="30" w:type="dxa"/>
              <w:right w:w="45" w:type="dxa"/>
            </w:tcMar>
            <w:vAlign w:val="center"/>
            <w:hideMark/>
          </w:tcPr>
          <w:p w14:paraId="5C589E93" w14:textId="77777777" w:rsidR="00C567D1" w:rsidRPr="00C567D1" w:rsidRDefault="00C567D1" w:rsidP="00AA4BBB">
            <w:pPr>
              <w:jc w:val="center"/>
              <w:rPr>
                <w:rFonts w:cs="Arial"/>
                <w:sz w:val="18"/>
                <w:szCs w:val="16"/>
              </w:rPr>
            </w:pPr>
            <w:r w:rsidRPr="00C567D1">
              <w:rPr>
                <w:rFonts w:cs="Arial"/>
                <w:sz w:val="18"/>
                <w:szCs w:val="16"/>
              </w:rPr>
              <w:t>18</w:t>
            </w:r>
          </w:p>
        </w:tc>
        <w:tc>
          <w:tcPr>
            <w:tcW w:w="1418" w:type="dxa"/>
            <w:tcMar>
              <w:top w:w="30" w:type="dxa"/>
              <w:left w:w="45" w:type="dxa"/>
              <w:bottom w:w="30" w:type="dxa"/>
              <w:right w:w="45" w:type="dxa"/>
            </w:tcMar>
            <w:vAlign w:val="center"/>
            <w:hideMark/>
          </w:tcPr>
          <w:p w14:paraId="4EC859C0" w14:textId="77777777" w:rsidR="00C567D1" w:rsidRPr="00C567D1" w:rsidRDefault="00C567D1" w:rsidP="00AA4BBB">
            <w:pPr>
              <w:jc w:val="center"/>
              <w:rPr>
                <w:rFonts w:cs="Arial"/>
                <w:sz w:val="18"/>
                <w:szCs w:val="16"/>
              </w:rPr>
            </w:pPr>
            <w:r w:rsidRPr="00C567D1">
              <w:rPr>
                <w:rFonts w:cs="Arial"/>
                <w:sz w:val="18"/>
                <w:szCs w:val="16"/>
              </w:rPr>
              <w:t>18</w:t>
            </w:r>
          </w:p>
        </w:tc>
        <w:tc>
          <w:tcPr>
            <w:tcW w:w="1417" w:type="dxa"/>
            <w:tcMar>
              <w:top w:w="30" w:type="dxa"/>
              <w:left w:w="45" w:type="dxa"/>
              <w:bottom w:w="30" w:type="dxa"/>
              <w:right w:w="45" w:type="dxa"/>
            </w:tcMar>
            <w:vAlign w:val="center"/>
            <w:hideMark/>
          </w:tcPr>
          <w:p w14:paraId="7727E740" w14:textId="77777777" w:rsidR="00C567D1" w:rsidRPr="00C567D1" w:rsidRDefault="00C567D1" w:rsidP="00AA4BBB">
            <w:pPr>
              <w:jc w:val="center"/>
              <w:rPr>
                <w:rFonts w:cs="Arial"/>
                <w:sz w:val="18"/>
                <w:szCs w:val="16"/>
              </w:rPr>
            </w:pPr>
            <w:r w:rsidRPr="00C567D1">
              <w:rPr>
                <w:rFonts w:cs="Arial"/>
                <w:sz w:val="18"/>
                <w:szCs w:val="16"/>
              </w:rPr>
              <w:t>18</w:t>
            </w:r>
          </w:p>
        </w:tc>
        <w:tc>
          <w:tcPr>
            <w:tcW w:w="1422" w:type="dxa"/>
            <w:vMerge w:val="restart"/>
            <w:tcMar>
              <w:top w:w="30" w:type="dxa"/>
              <w:left w:w="45" w:type="dxa"/>
              <w:bottom w:w="30" w:type="dxa"/>
              <w:right w:w="45" w:type="dxa"/>
            </w:tcMar>
            <w:vAlign w:val="center"/>
            <w:hideMark/>
          </w:tcPr>
          <w:p w14:paraId="50DF6D8C" w14:textId="77777777" w:rsidR="00C567D1" w:rsidRPr="00C567D1" w:rsidRDefault="00C567D1" w:rsidP="00AA4BBB">
            <w:pPr>
              <w:jc w:val="center"/>
              <w:rPr>
                <w:rFonts w:cs="Arial"/>
                <w:b/>
                <w:bCs/>
                <w:sz w:val="18"/>
                <w:szCs w:val="16"/>
              </w:rPr>
            </w:pPr>
            <w:r w:rsidRPr="00C567D1">
              <w:rPr>
                <w:rFonts w:cs="Arial"/>
                <w:b/>
                <w:bCs/>
                <w:sz w:val="18"/>
                <w:szCs w:val="16"/>
              </w:rPr>
              <w:t>16.099.948.385</w:t>
            </w:r>
          </w:p>
        </w:tc>
      </w:tr>
      <w:tr w:rsidR="00C567D1" w:rsidRPr="00C666B0" w14:paraId="39C33DC9" w14:textId="77777777" w:rsidTr="00C567D1">
        <w:tc>
          <w:tcPr>
            <w:tcW w:w="2268" w:type="dxa"/>
            <w:vMerge/>
            <w:vAlign w:val="center"/>
            <w:hideMark/>
          </w:tcPr>
          <w:p w14:paraId="42703675"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65E5FF4B" w14:textId="77777777" w:rsidR="00C567D1" w:rsidRPr="00C567D1" w:rsidRDefault="00C567D1" w:rsidP="00AA4BBB">
            <w:pPr>
              <w:jc w:val="center"/>
              <w:rPr>
                <w:rFonts w:cs="Arial"/>
                <w:sz w:val="18"/>
                <w:szCs w:val="16"/>
              </w:rPr>
            </w:pPr>
            <w:r w:rsidRPr="00C567D1">
              <w:rPr>
                <w:rFonts w:cs="Arial"/>
                <w:sz w:val="18"/>
                <w:szCs w:val="16"/>
              </w:rPr>
              <w:t>2.118.304.000</w:t>
            </w:r>
          </w:p>
        </w:tc>
        <w:tc>
          <w:tcPr>
            <w:tcW w:w="1417" w:type="dxa"/>
            <w:tcMar>
              <w:top w:w="30" w:type="dxa"/>
              <w:left w:w="45" w:type="dxa"/>
              <w:bottom w:w="30" w:type="dxa"/>
              <w:right w:w="45" w:type="dxa"/>
            </w:tcMar>
            <w:vAlign w:val="center"/>
            <w:hideMark/>
          </w:tcPr>
          <w:p w14:paraId="437FC374" w14:textId="77777777" w:rsidR="00C567D1" w:rsidRPr="00C567D1" w:rsidRDefault="00C567D1" w:rsidP="00AA4BBB">
            <w:pPr>
              <w:jc w:val="center"/>
              <w:rPr>
                <w:rFonts w:cs="Arial"/>
                <w:sz w:val="18"/>
                <w:szCs w:val="16"/>
              </w:rPr>
            </w:pPr>
            <w:r w:rsidRPr="00C567D1">
              <w:rPr>
                <w:rFonts w:cs="Arial"/>
                <w:sz w:val="18"/>
                <w:szCs w:val="16"/>
              </w:rPr>
              <w:t>5.038.256.311</w:t>
            </w:r>
          </w:p>
        </w:tc>
        <w:tc>
          <w:tcPr>
            <w:tcW w:w="1418" w:type="dxa"/>
            <w:tcMar>
              <w:top w:w="30" w:type="dxa"/>
              <w:left w:w="45" w:type="dxa"/>
              <w:bottom w:w="30" w:type="dxa"/>
              <w:right w:w="45" w:type="dxa"/>
            </w:tcMar>
            <w:vAlign w:val="center"/>
            <w:hideMark/>
          </w:tcPr>
          <w:p w14:paraId="1779FF80" w14:textId="77777777" w:rsidR="00C567D1" w:rsidRPr="00C567D1" w:rsidRDefault="00C567D1" w:rsidP="00AA4BBB">
            <w:pPr>
              <w:jc w:val="center"/>
              <w:rPr>
                <w:rFonts w:cs="Arial"/>
                <w:sz w:val="18"/>
                <w:szCs w:val="16"/>
              </w:rPr>
            </w:pPr>
            <w:r w:rsidRPr="00C567D1">
              <w:rPr>
                <w:rFonts w:cs="Arial"/>
                <w:sz w:val="18"/>
                <w:szCs w:val="16"/>
              </w:rPr>
              <w:t>4.777.975.304</w:t>
            </w:r>
          </w:p>
        </w:tc>
        <w:tc>
          <w:tcPr>
            <w:tcW w:w="1417" w:type="dxa"/>
            <w:tcMar>
              <w:top w:w="30" w:type="dxa"/>
              <w:left w:w="45" w:type="dxa"/>
              <w:bottom w:w="30" w:type="dxa"/>
              <w:right w:w="45" w:type="dxa"/>
            </w:tcMar>
            <w:vAlign w:val="center"/>
            <w:hideMark/>
          </w:tcPr>
          <w:p w14:paraId="3E4B9A7B" w14:textId="77777777" w:rsidR="00C567D1" w:rsidRPr="00C567D1" w:rsidRDefault="00C567D1" w:rsidP="00AA4BBB">
            <w:pPr>
              <w:jc w:val="center"/>
              <w:rPr>
                <w:rFonts w:cs="Arial"/>
                <w:sz w:val="18"/>
                <w:szCs w:val="16"/>
              </w:rPr>
            </w:pPr>
            <w:r w:rsidRPr="00C567D1">
              <w:rPr>
                <w:rFonts w:cs="Arial"/>
                <w:sz w:val="18"/>
                <w:szCs w:val="16"/>
              </w:rPr>
              <w:t>4.165.412.770</w:t>
            </w:r>
          </w:p>
        </w:tc>
        <w:tc>
          <w:tcPr>
            <w:tcW w:w="1422" w:type="dxa"/>
            <w:vMerge/>
            <w:vAlign w:val="center"/>
            <w:hideMark/>
          </w:tcPr>
          <w:p w14:paraId="7572375F" w14:textId="77777777" w:rsidR="00C567D1" w:rsidRPr="00C567D1" w:rsidRDefault="00C567D1" w:rsidP="00AA4BBB">
            <w:pPr>
              <w:rPr>
                <w:rFonts w:cs="Arial"/>
                <w:b/>
                <w:bCs/>
                <w:sz w:val="18"/>
                <w:szCs w:val="16"/>
              </w:rPr>
            </w:pPr>
          </w:p>
        </w:tc>
      </w:tr>
      <w:tr w:rsidR="00C567D1" w:rsidRPr="00C666B0" w14:paraId="3F9AEF57" w14:textId="77777777" w:rsidTr="00C567D1">
        <w:tc>
          <w:tcPr>
            <w:tcW w:w="2268" w:type="dxa"/>
            <w:vMerge w:val="restart"/>
            <w:tcMar>
              <w:top w:w="30" w:type="dxa"/>
              <w:left w:w="45" w:type="dxa"/>
              <w:bottom w:w="30" w:type="dxa"/>
              <w:right w:w="45" w:type="dxa"/>
            </w:tcMar>
            <w:vAlign w:val="center"/>
            <w:hideMark/>
          </w:tcPr>
          <w:p w14:paraId="12260EAE" w14:textId="77777777" w:rsidR="00C567D1" w:rsidRPr="00C567D1" w:rsidRDefault="00C567D1" w:rsidP="00AA4BBB">
            <w:pPr>
              <w:rPr>
                <w:rFonts w:cs="Arial"/>
                <w:sz w:val="20"/>
                <w:szCs w:val="20"/>
              </w:rPr>
            </w:pPr>
            <w:r w:rsidRPr="00C567D1">
              <w:rPr>
                <w:rFonts w:cs="Arial"/>
                <w:sz w:val="20"/>
                <w:szCs w:val="20"/>
              </w:rPr>
              <w:t>Implementar 4 asistencias técnicas para el reconocimiento y salvaguardia de manifestaciones del patrimonio cultural inmaterial de Bogotá.</w:t>
            </w:r>
          </w:p>
        </w:tc>
        <w:tc>
          <w:tcPr>
            <w:tcW w:w="1418" w:type="dxa"/>
            <w:tcMar>
              <w:top w:w="30" w:type="dxa"/>
              <w:left w:w="45" w:type="dxa"/>
              <w:bottom w:w="30" w:type="dxa"/>
              <w:right w:w="45" w:type="dxa"/>
            </w:tcMar>
            <w:vAlign w:val="center"/>
            <w:hideMark/>
          </w:tcPr>
          <w:p w14:paraId="590DE7B3" w14:textId="5361550B" w:rsidR="00C567D1" w:rsidRPr="00C567D1" w:rsidRDefault="00447859" w:rsidP="00AA4BBB">
            <w:pPr>
              <w:jc w:val="center"/>
              <w:rPr>
                <w:rFonts w:cs="Arial"/>
                <w:sz w:val="18"/>
                <w:szCs w:val="16"/>
              </w:rPr>
            </w:pPr>
            <w:r>
              <w:rPr>
                <w:rFonts w:cs="Arial"/>
                <w:sz w:val="18"/>
                <w:szCs w:val="16"/>
              </w:rPr>
              <w:t>1</w:t>
            </w:r>
          </w:p>
        </w:tc>
        <w:tc>
          <w:tcPr>
            <w:tcW w:w="1417" w:type="dxa"/>
            <w:tcMar>
              <w:top w:w="30" w:type="dxa"/>
              <w:left w:w="45" w:type="dxa"/>
              <w:bottom w:w="30" w:type="dxa"/>
              <w:right w:w="45" w:type="dxa"/>
            </w:tcMar>
            <w:vAlign w:val="center"/>
            <w:hideMark/>
          </w:tcPr>
          <w:p w14:paraId="057EAA9A" w14:textId="53C86B4D" w:rsidR="00C567D1" w:rsidRPr="00C567D1" w:rsidRDefault="00447859" w:rsidP="00AA4BBB">
            <w:pPr>
              <w:jc w:val="center"/>
              <w:rPr>
                <w:rFonts w:cs="Arial"/>
                <w:sz w:val="18"/>
                <w:szCs w:val="16"/>
              </w:rPr>
            </w:pPr>
            <w:r>
              <w:rPr>
                <w:rFonts w:cs="Arial"/>
                <w:sz w:val="18"/>
                <w:szCs w:val="16"/>
              </w:rPr>
              <w:t>1</w:t>
            </w:r>
          </w:p>
        </w:tc>
        <w:tc>
          <w:tcPr>
            <w:tcW w:w="1418" w:type="dxa"/>
            <w:tcMar>
              <w:top w:w="30" w:type="dxa"/>
              <w:left w:w="45" w:type="dxa"/>
              <w:bottom w:w="30" w:type="dxa"/>
              <w:right w:w="45" w:type="dxa"/>
            </w:tcMar>
            <w:vAlign w:val="center"/>
            <w:hideMark/>
          </w:tcPr>
          <w:p w14:paraId="676390FD" w14:textId="55FE31BD" w:rsidR="00C567D1" w:rsidRPr="00C567D1" w:rsidRDefault="00447859" w:rsidP="00AA4BBB">
            <w:pPr>
              <w:jc w:val="center"/>
              <w:rPr>
                <w:rFonts w:cs="Arial"/>
                <w:sz w:val="18"/>
                <w:szCs w:val="16"/>
              </w:rPr>
            </w:pPr>
            <w:r>
              <w:rPr>
                <w:rFonts w:cs="Arial"/>
                <w:sz w:val="18"/>
                <w:szCs w:val="16"/>
              </w:rPr>
              <w:t>1</w:t>
            </w:r>
          </w:p>
        </w:tc>
        <w:tc>
          <w:tcPr>
            <w:tcW w:w="1417" w:type="dxa"/>
            <w:tcMar>
              <w:top w:w="30" w:type="dxa"/>
              <w:left w:w="45" w:type="dxa"/>
              <w:bottom w:w="30" w:type="dxa"/>
              <w:right w:w="45" w:type="dxa"/>
            </w:tcMar>
            <w:vAlign w:val="center"/>
            <w:hideMark/>
          </w:tcPr>
          <w:p w14:paraId="71BE18D7" w14:textId="77777777" w:rsidR="00C567D1" w:rsidRPr="00C567D1" w:rsidRDefault="00C567D1" w:rsidP="00AA4BBB">
            <w:pPr>
              <w:jc w:val="center"/>
              <w:rPr>
                <w:rFonts w:cs="Arial"/>
                <w:sz w:val="18"/>
                <w:szCs w:val="16"/>
              </w:rPr>
            </w:pPr>
            <w:r w:rsidRPr="00C567D1">
              <w:rPr>
                <w:rFonts w:cs="Arial"/>
                <w:sz w:val="18"/>
                <w:szCs w:val="16"/>
              </w:rPr>
              <w:t>1</w:t>
            </w:r>
          </w:p>
        </w:tc>
        <w:tc>
          <w:tcPr>
            <w:tcW w:w="1422" w:type="dxa"/>
            <w:vMerge w:val="restart"/>
            <w:tcMar>
              <w:top w:w="30" w:type="dxa"/>
              <w:left w:w="45" w:type="dxa"/>
              <w:bottom w:w="30" w:type="dxa"/>
              <w:right w:w="45" w:type="dxa"/>
            </w:tcMar>
            <w:vAlign w:val="center"/>
            <w:hideMark/>
          </w:tcPr>
          <w:p w14:paraId="24CBF5A1" w14:textId="77777777" w:rsidR="00C567D1" w:rsidRPr="00C567D1" w:rsidRDefault="00C567D1" w:rsidP="00AA4BBB">
            <w:pPr>
              <w:jc w:val="center"/>
              <w:rPr>
                <w:rFonts w:cs="Arial"/>
                <w:b/>
                <w:bCs/>
                <w:sz w:val="18"/>
                <w:szCs w:val="16"/>
              </w:rPr>
            </w:pPr>
            <w:r w:rsidRPr="00C567D1">
              <w:rPr>
                <w:rFonts w:cs="Arial"/>
                <w:b/>
                <w:bCs/>
                <w:sz w:val="18"/>
                <w:szCs w:val="16"/>
              </w:rPr>
              <w:t>4.794.555.234</w:t>
            </w:r>
          </w:p>
        </w:tc>
      </w:tr>
      <w:tr w:rsidR="00C567D1" w:rsidRPr="00C666B0" w14:paraId="1969A3AD" w14:textId="77777777" w:rsidTr="00C567D1">
        <w:tc>
          <w:tcPr>
            <w:tcW w:w="2268" w:type="dxa"/>
            <w:vMerge/>
            <w:vAlign w:val="center"/>
            <w:hideMark/>
          </w:tcPr>
          <w:p w14:paraId="35DCABE1"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6DBAB752" w14:textId="77777777" w:rsidR="00C567D1" w:rsidRPr="00C567D1" w:rsidRDefault="00C567D1" w:rsidP="00AA4BBB">
            <w:pPr>
              <w:jc w:val="center"/>
              <w:rPr>
                <w:rFonts w:cs="Arial"/>
                <w:sz w:val="18"/>
                <w:szCs w:val="16"/>
              </w:rPr>
            </w:pPr>
            <w:r w:rsidRPr="00C567D1">
              <w:rPr>
                <w:rFonts w:cs="Arial"/>
                <w:sz w:val="18"/>
                <w:szCs w:val="16"/>
              </w:rPr>
              <w:t>933.305.352</w:t>
            </w:r>
          </w:p>
        </w:tc>
        <w:tc>
          <w:tcPr>
            <w:tcW w:w="1417" w:type="dxa"/>
            <w:tcMar>
              <w:top w:w="30" w:type="dxa"/>
              <w:left w:w="45" w:type="dxa"/>
              <w:bottom w:w="30" w:type="dxa"/>
              <w:right w:w="45" w:type="dxa"/>
            </w:tcMar>
            <w:vAlign w:val="center"/>
            <w:hideMark/>
          </w:tcPr>
          <w:p w14:paraId="2F17A3CD" w14:textId="77777777" w:rsidR="00C567D1" w:rsidRPr="00C567D1" w:rsidRDefault="00C567D1" w:rsidP="00AA4BBB">
            <w:pPr>
              <w:jc w:val="center"/>
              <w:rPr>
                <w:rFonts w:cs="Arial"/>
                <w:sz w:val="18"/>
                <w:szCs w:val="16"/>
              </w:rPr>
            </w:pPr>
            <w:r w:rsidRPr="00C567D1">
              <w:rPr>
                <w:rFonts w:cs="Arial"/>
                <w:sz w:val="18"/>
                <w:szCs w:val="16"/>
              </w:rPr>
              <w:t>1.242.718.447</w:t>
            </w:r>
          </w:p>
        </w:tc>
        <w:tc>
          <w:tcPr>
            <w:tcW w:w="1418" w:type="dxa"/>
            <w:tcMar>
              <w:top w:w="30" w:type="dxa"/>
              <w:left w:w="45" w:type="dxa"/>
              <w:bottom w:w="30" w:type="dxa"/>
              <w:right w:w="45" w:type="dxa"/>
            </w:tcMar>
            <w:vAlign w:val="center"/>
            <w:hideMark/>
          </w:tcPr>
          <w:p w14:paraId="38F3AF3D" w14:textId="77777777" w:rsidR="00C567D1" w:rsidRPr="00C567D1" w:rsidRDefault="00C567D1" w:rsidP="00AA4BBB">
            <w:pPr>
              <w:jc w:val="center"/>
              <w:rPr>
                <w:rFonts w:cs="Arial"/>
                <w:sz w:val="18"/>
                <w:szCs w:val="16"/>
              </w:rPr>
            </w:pPr>
            <w:r w:rsidRPr="00C567D1">
              <w:rPr>
                <w:rFonts w:cs="Arial"/>
                <w:sz w:val="18"/>
                <w:szCs w:val="16"/>
              </w:rPr>
              <w:t>1.298.897.163</w:t>
            </w:r>
          </w:p>
        </w:tc>
        <w:tc>
          <w:tcPr>
            <w:tcW w:w="1417" w:type="dxa"/>
            <w:tcMar>
              <w:top w:w="30" w:type="dxa"/>
              <w:left w:w="45" w:type="dxa"/>
              <w:bottom w:w="30" w:type="dxa"/>
              <w:right w:w="45" w:type="dxa"/>
            </w:tcMar>
            <w:vAlign w:val="center"/>
            <w:hideMark/>
          </w:tcPr>
          <w:p w14:paraId="779680BD" w14:textId="77777777" w:rsidR="00C567D1" w:rsidRPr="00C567D1" w:rsidRDefault="00C567D1" w:rsidP="00AA4BBB">
            <w:pPr>
              <w:jc w:val="center"/>
              <w:rPr>
                <w:rFonts w:cs="Arial"/>
                <w:sz w:val="18"/>
                <w:szCs w:val="16"/>
              </w:rPr>
            </w:pPr>
            <w:r w:rsidRPr="00C567D1">
              <w:rPr>
                <w:rFonts w:cs="Arial"/>
                <w:sz w:val="18"/>
                <w:szCs w:val="16"/>
              </w:rPr>
              <w:t>1.319.634.273</w:t>
            </w:r>
          </w:p>
        </w:tc>
        <w:tc>
          <w:tcPr>
            <w:tcW w:w="1422" w:type="dxa"/>
            <w:vMerge/>
            <w:vAlign w:val="center"/>
            <w:hideMark/>
          </w:tcPr>
          <w:p w14:paraId="63D5BABC" w14:textId="77777777" w:rsidR="00C567D1" w:rsidRPr="00C666B0" w:rsidRDefault="00C567D1" w:rsidP="00AA4BBB">
            <w:pPr>
              <w:rPr>
                <w:rFonts w:cs="Arial"/>
                <w:b/>
                <w:bCs/>
                <w:szCs w:val="20"/>
              </w:rPr>
            </w:pPr>
          </w:p>
        </w:tc>
      </w:tr>
      <w:tr w:rsidR="00C567D1" w:rsidRPr="00C666B0" w14:paraId="597A7B6F" w14:textId="77777777" w:rsidTr="00C567D1">
        <w:tc>
          <w:tcPr>
            <w:tcW w:w="2268" w:type="dxa"/>
            <w:vMerge w:val="restart"/>
            <w:tcMar>
              <w:top w:w="30" w:type="dxa"/>
              <w:left w:w="45" w:type="dxa"/>
              <w:bottom w:w="30" w:type="dxa"/>
              <w:right w:w="45" w:type="dxa"/>
            </w:tcMar>
            <w:vAlign w:val="center"/>
            <w:hideMark/>
          </w:tcPr>
          <w:p w14:paraId="04B8F479" w14:textId="6A2CCB7B" w:rsidR="00C567D1" w:rsidRPr="00C567D1" w:rsidRDefault="00C567D1" w:rsidP="00AA4BBB">
            <w:pPr>
              <w:rPr>
                <w:rFonts w:cs="Arial"/>
                <w:sz w:val="20"/>
                <w:szCs w:val="20"/>
              </w:rPr>
            </w:pPr>
            <w:r w:rsidRPr="00C567D1">
              <w:rPr>
                <w:rFonts w:cs="Arial"/>
                <w:sz w:val="20"/>
                <w:szCs w:val="20"/>
              </w:rPr>
              <w:t xml:space="preserve">Implementar 52 programas de recreación deporte nuevas tendencias de actividad </w:t>
            </w:r>
            <w:r w:rsidR="00C367A7" w:rsidRPr="00C567D1">
              <w:rPr>
                <w:rFonts w:cs="Arial"/>
                <w:sz w:val="20"/>
                <w:szCs w:val="20"/>
              </w:rPr>
              <w:t>física</w:t>
            </w:r>
            <w:r w:rsidRPr="00C567D1">
              <w:rPr>
                <w:rFonts w:cs="Arial"/>
                <w:sz w:val="20"/>
                <w:szCs w:val="20"/>
              </w:rPr>
              <w:t xml:space="preserve"> y los </w:t>
            </w:r>
            <w:r w:rsidRPr="00C367A7">
              <w:rPr>
                <w:rFonts w:cs="Arial"/>
                <w:i/>
                <w:iCs/>
                <w:sz w:val="20"/>
                <w:szCs w:val="20"/>
              </w:rPr>
              <w:t>eSports.</w:t>
            </w:r>
          </w:p>
        </w:tc>
        <w:tc>
          <w:tcPr>
            <w:tcW w:w="1418" w:type="dxa"/>
            <w:tcMar>
              <w:top w:w="30" w:type="dxa"/>
              <w:left w:w="45" w:type="dxa"/>
              <w:bottom w:w="30" w:type="dxa"/>
              <w:right w:w="45" w:type="dxa"/>
            </w:tcMar>
            <w:vAlign w:val="center"/>
            <w:hideMark/>
          </w:tcPr>
          <w:p w14:paraId="46878A84" w14:textId="77777777" w:rsidR="00C567D1" w:rsidRPr="00C567D1" w:rsidRDefault="00C567D1" w:rsidP="00AA4BBB">
            <w:pPr>
              <w:jc w:val="center"/>
              <w:rPr>
                <w:rFonts w:cs="Arial"/>
                <w:sz w:val="18"/>
                <w:szCs w:val="16"/>
              </w:rPr>
            </w:pPr>
            <w:r w:rsidRPr="00C567D1">
              <w:rPr>
                <w:rFonts w:cs="Arial"/>
                <w:sz w:val="18"/>
                <w:szCs w:val="16"/>
              </w:rPr>
              <w:t>13</w:t>
            </w:r>
          </w:p>
        </w:tc>
        <w:tc>
          <w:tcPr>
            <w:tcW w:w="1417" w:type="dxa"/>
            <w:tcMar>
              <w:top w:w="30" w:type="dxa"/>
              <w:left w:w="45" w:type="dxa"/>
              <w:bottom w:w="30" w:type="dxa"/>
              <w:right w:w="45" w:type="dxa"/>
            </w:tcMar>
            <w:vAlign w:val="center"/>
            <w:hideMark/>
          </w:tcPr>
          <w:p w14:paraId="58D9CB82" w14:textId="77777777" w:rsidR="00C567D1" w:rsidRPr="00C567D1" w:rsidRDefault="00C567D1" w:rsidP="00AA4BBB">
            <w:pPr>
              <w:jc w:val="center"/>
              <w:rPr>
                <w:rFonts w:cs="Arial"/>
                <w:sz w:val="18"/>
                <w:szCs w:val="16"/>
              </w:rPr>
            </w:pPr>
            <w:r w:rsidRPr="00C567D1">
              <w:rPr>
                <w:rFonts w:cs="Arial"/>
                <w:sz w:val="18"/>
                <w:szCs w:val="16"/>
              </w:rPr>
              <w:t>13</w:t>
            </w:r>
          </w:p>
        </w:tc>
        <w:tc>
          <w:tcPr>
            <w:tcW w:w="1418" w:type="dxa"/>
            <w:tcMar>
              <w:top w:w="30" w:type="dxa"/>
              <w:left w:w="45" w:type="dxa"/>
              <w:bottom w:w="30" w:type="dxa"/>
              <w:right w:w="45" w:type="dxa"/>
            </w:tcMar>
            <w:vAlign w:val="center"/>
            <w:hideMark/>
          </w:tcPr>
          <w:p w14:paraId="36612719" w14:textId="77777777" w:rsidR="00C567D1" w:rsidRPr="00C567D1" w:rsidRDefault="00C567D1" w:rsidP="00AA4BBB">
            <w:pPr>
              <w:jc w:val="center"/>
              <w:rPr>
                <w:rFonts w:cs="Arial"/>
                <w:sz w:val="18"/>
                <w:szCs w:val="16"/>
              </w:rPr>
            </w:pPr>
            <w:r w:rsidRPr="00C567D1">
              <w:rPr>
                <w:rFonts w:cs="Arial"/>
                <w:sz w:val="18"/>
                <w:szCs w:val="16"/>
              </w:rPr>
              <w:t>13</w:t>
            </w:r>
          </w:p>
        </w:tc>
        <w:tc>
          <w:tcPr>
            <w:tcW w:w="1417" w:type="dxa"/>
            <w:tcMar>
              <w:top w:w="30" w:type="dxa"/>
              <w:left w:w="45" w:type="dxa"/>
              <w:bottom w:w="30" w:type="dxa"/>
              <w:right w:w="45" w:type="dxa"/>
            </w:tcMar>
            <w:vAlign w:val="center"/>
            <w:hideMark/>
          </w:tcPr>
          <w:p w14:paraId="4825C100" w14:textId="77777777" w:rsidR="00C567D1" w:rsidRPr="00C567D1" w:rsidRDefault="00C567D1" w:rsidP="00AA4BBB">
            <w:pPr>
              <w:jc w:val="center"/>
              <w:rPr>
                <w:rFonts w:cs="Arial"/>
                <w:sz w:val="18"/>
                <w:szCs w:val="16"/>
              </w:rPr>
            </w:pPr>
            <w:r w:rsidRPr="00C567D1">
              <w:rPr>
                <w:rFonts w:cs="Arial"/>
                <w:sz w:val="18"/>
                <w:szCs w:val="16"/>
              </w:rPr>
              <w:t>13</w:t>
            </w:r>
          </w:p>
        </w:tc>
        <w:tc>
          <w:tcPr>
            <w:tcW w:w="1422" w:type="dxa"/>
            <w:vMerge w:val="restart"/>
            <w:tcMar>
              <w:top w:w="30" w:type="dxa"/>
              <w:left w:w="45" w:type="dxa"/>
              <w:bottom w:w="30" w:type="dxa"/>
              <w:right w:w="45" w:type="dxa"/>
            </w:tcMar>
            <w:vAlign w:val="center"/>
            <w:hideMark/>
          </w:tcPr>
          <w:p w14:paraId="6B69EB73" w14:textId="77777777" w:rsidR="00C567D1" w:rsidRPr="00C567D1" w:rsidRDefault="00C567D1" w:rsidP="00AA4BBB">
            <w:pPr>
              <w:jc w:val="center"/>
              <w:rPr>
                <w:rFonts w:cs="Arial"/>
                <w:b/>
                <w:bCs/>
                <w:sz w:val="18"/>
                <w:szCs w:val="16"/>
              </w:rPr>
            </w:pPr>
            <w:r w:rsidRPr="00C567D1">
              <w:rPr>
                <w:rFonts w:cs="Arial"/>
                <w:b/>
                <w:bCs/>
                <w:sz w:val="18"/>
                <w:szCs w:val="16"/>
              </w:rPr>
              <w:t>560.390.295.630</w:t>
            </w:r>
          </w:p>
        </w:tc>
      </w:tr>
      <w:tr w:rsidR="00C567D1" w:rsidRPr="00C666B0" w14:paraId="3CB478AE" w14:textId="77777777" w:rsidTr="00C567D1">
        <w:tc>
          <w:tcPr>
            <w:tcW w:w="2268" w:type="dxa"/>
            <w:vMerge/>
            <w:vAlign w:val="center"/>
            <w:hideMark/>
          </w:tcPr>
          <w:p w14:paraId="4ADE3773"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4A0226B8" w14:textId="77777777" w:rsidR="00C567D1" w:rsidRPr="00C567D1" w:rsidRDefault="00C567D1" w:rsidP="00AA4BBB">
            <w:pPr>
              <w:jc w:val="center"/>
              <w:rPr>
                <w:rFonts w:cs="Arial"/>
                <w:sz w:val="18"/>
                <w:szCs w:val="16"/>
              </w:rPr>
            </w:pPr>
            <w:r w:rsidRPr="00C567D1">
              <w:rPr>
                <w:rFonts w:cs="Arial"/>
                <w:sz w:val="18"/>
                <w:szCs w:val="16"/>
              </w:rPr>
              <w:t>151.166.586.245</w:t>
            </w:r>
          </w:p>
        </w:tc>
        <w:tc>
          <w:tcPr>
            <w:tcW w:w="1417" w:type="dxa"/>
            <w:tcMar>
              <w:top w:w="30" w:type="dxa"/>
              <w:left w:w="45" w:type="dxa"/>
              <w:bottom w:w="30" w:type="dxa"/>
              <w:right w:w="45" w:type="dxa"/>
            </w:tcMar>
            <w:vAlign w:val="center"/>
            <w:hideMark/>
          </w:tcPr>
          <w:p w14:paraId="4F9448EB" w14:textId="77777777" w:rsidR="00C567D1" w:rsidRPr="00C567D1" w:rsidRDefault="00C567D1" w:rsidP="00AA4BBB">
            <w:pPr>
              <w:jc w:val="center"/>
              <w:rPr>
                <w:rFonts w:cs="Arial"/>
                <w:sz w:val="18"/>
                <w:szCs w:val="16"/>
              </w:rPr>
            </w:pPr>
            <w:r w:rsidRPr="00C567D1">
              <w:rPr>
                <w:rFonts w:cs="Arial"/>
                <w:sz w:val="18"/>
                <w:szCs w:val="16"/>
              </w:rPr>
              <w:t>130.054.757.282</w:t>
            </w:r>
          </w:p>
        </w:tc>
        <w:tc>
          <w:tcPr>
            <w:tcW w:w="1418" w:type="dxa"/>
            <w:tcMar>
              <w:top w:w="30" w:type="dxa"/>
              <w:left w:w="45" w:type="dxa"/>
              <w:bottom w:w="30" w:type="dxa"/>
              <w:right w:w="45" w:type="dxa"/>
            </w:tcMar>
            <w:vAlign w:val="center"/>
            <w:hideMark/>
          </w:tcPr>
          <w:p w14:paraId="06BE44AE" w14:textId="77777777" w:rsidR="00C567D1" w:rsidRPr="00C567D1" w:rsidRDefault="00C567D1" w:rsidP="00AA4BBB">
            <w:pPr>
              <w:jc w:val="center"/>
              <w:rPr>
                <w:rFonts w:cs="Arial"/>
                <w:sz w:val="18"/>
                <w:szCs w:val="16"/>
              </w:rPr>
            </w:pPr>
            <w:r w:rsidRPr="00C567D1">
              <w:rPr>
                <w:rFonts w:cs="Arial"/>
                <w:sz w:val="18"/>
                <w:szCs w:val="16"/>
              </w:rPr>
              <w:t>138.670.468.470</w:t>
            </w:r>
          </w:p>
        </w:tc>
        <w:tc>
          <w:tcPr>
            <w:tcW w:w="1417" w:type="dxa"/>
            <w:tcMar>
              <w:top w:w="30" w:type="dxa"/>
              <w:left w:w="45" w:type="dxa"/>
              <w:bottom w:w="30" w:type="dxa"/>
              <w:right w:w="45" w:type="dxa"/>
            </w:tcMar>
            <w:vAlign w:val="center"/>
            <w:hideMark/>
          </w:tcPr>
          <w:p w14:paraId="4C5D6A80" w14:textId="77777777" w:rsidR="00C567D1" w:rsidRPr="00C567D1" w:rsidRDefault="00C567D1" w:rsidP="00AA4BBB">
            <w:pPr>
              <w:jc w:val="center"/>
              <w:rPr>
                <w:rFonts w:cs="Arial"/>
                <w:sz w:val="18"/>
                <w:szCs w:val="16"/>
              </w:rPr>
            </w:pPr>
            <w:r w:rsidRPr="00C567D1">
              <w:rPr>
                <w:rFonts w:cs="Arial"/>
                <w:sz w:val="18"/>
                <w:szCs w:val="16"/>
              </w:rPr>
              <w:t>140.498.483.633</w:t>
            </w:r>
          </w:p>
        </w:tc>
        <w:tc>
          <w:tcPr>
            <w:tcW w:w="1422" w:type="dxa"/>
            <w:vMerge/>
            <w:vAlign w:val="center"/>
            <w:hideMark/>
          </w:tcPr>
          <w:p w14:paraId="36CB9F8B" w14:textId="77777777" w:rsidR="00C567D1" w:rsidRPr="00C567D1" w:rsidRDefault="00C567D1" w:rsidP="00AA4BBB">
            <w:pPr>
              <w:rPr>
                <w:rFonts w:cs="Arial"/>
                <w:b/>
                <w:bCs/>
                <w:sz w:val="18"/>
                <w:szCs w:val="16"/>
              </w:rPr>
            </w:pPr>
          </w:p>
        </w:tc>
      </w:tr>
      <w:tr w:rsidR="00C567D1" w:rsidRPr="00C666B0" w14:paraId="37580D4B" w14:textId="77777777" w:rsidTr="00C567D1">
        <w:tc>
          <w:tcPr>
            <w:tcW w:w="2268" w:type="dxa"/>
            <w:vMerge w:val="restart"/>
            <w:tcMar>
              <w:top w:w="30" w:type="dxa"/>
              <w:left w:w="45" w:type="dxa"/>
              <w:bottom w:w="30" w:type="dxa"/>
              <w:right w:w="45" w:type="dxa"/>
            </w:tcMar>
            <w:vAlign w:val="center"/>
            <w:hideMark/>
          </w:tcPr>
          <w:p w14:paraId="7286753D" w14:textId="77777777" w:rsidR="00C567D1" w:rsidRPr="00C567D1" w:rsidRDefault="00C567D1" w:rsidP="00AA4BBB">
            <w:pPr>
              <w:rPr>
                <w:rFonts w:cs="Arial"/>
                <w:sz w:val="20"/>
                <w:szCs w:val="20"/>
              </w:rPr>
            </w:pPr>
            <w:r w:rsidRPr="00C567D1">
              <w:rPr>
                <w:rFonts w:cs="Arial"/>
                <w:sz w:val="20"/>
                <w:szCs w:val="20"/>
              </w:rPr>
              <w:t xml:space="preserve">Promover 366 laboratorios barriales de innovación social y espacios de transformación cultural a partir de pactos que </w:t>
            </w:r>
            <w:r w:rsidRPr="00C567D1">
              <w:rPr>
                <w:rFonts w:cs="Arial"/>
                <w:sz w:val="20"/>
                <w:szCs w:val="20"/>
              </w:rPr>
              <w:lastRenderedPageBreak/>
              <w:t>reconozcan la memoria la cultura la recreación y el deporte barrial la valoración social de estas prácticas la cualificación de la participación incidente y el sentido de identidad de ciudad.</w:t>
            </w:r>
          </w:p>
        </w:tc>
        <w:tc>
          <w:tcPr>
            <w:tcW w:w="1418" w:type="dxa"/>
            <w:tcMar>
              <w:top w:w="30" w:type="dxa"/>
              <w:left w:w="45" w:type="dxa"/>
              <w:bottom w:w="30" w:type="dxa"/>
              <w:right w:w="45" w:type="dxa"/>
            </w:tcMar>
            <w:vAlign w:val="center"/>
            <w:hideMark/>
          </w:tcPr>
          <w:p w14:paraId="2B4C90AF" w14:textId="77777777" w:rsidR="00C567D1" w:rsidRPr="00C567D1" w:rsidRDefault="00C567D1" w:rsidP="00AA4BBB">
            <w:pPr>
              <w:jc w:val="center"/>
              <w:rPr>
                <w:rFonts w:cs="Arial"/>
                <w:sz w:val="18"/>
                <w:szCs w:val="16"/>
              </w:rPr>
            </w:pPr>
            <w:r w:rsidRPr="00C567D1">
              <w:rPr>
                <w:rFonts w:cs="Arial"/>
                <w:sz w:val="18"/>
                <w:szCs w:val="16"/>
              </w:rPr>
              <w:lastRenderedPageBreak/>
              <w:t>60</w:t>
            </w:r>
          </w:p>
        </w:tc>
        <w:tc>
          <w:tcPr>
            <w:tcW w:w="1417" w:type="dxa"/>
            <w:tcMar>
              <w:top w:w="30" w:type="dxa"/>
              <w:left w:w="45" w:type="dxa"/>
              <w:bottom w:w="30" w:type="dxa"/>
              <w:right w:w="45" w:type="dxa"/>
            </w:tcMar>
            <w:vAlign w:val="center"/>
            <w:hideMark/>
          </w:tcPr>
          <w:p w14:paraId="3357563A" w14:textId="77777777" w:rsidR="00C567D1" w:rsidRPr="00C567D1" w:rsidRDefault="00C567D1" w:rsidP="00AA4BBB">
            <w:pPr>
              <w:jc w:val="center"/>
              <w:rPr>
                <w:rFonts w:cs="Arial"/>
                <w:sz w:val="18"/>
                <w:szCs w:val="16"/>
              </w:rPr>
            </w:pPr>
            <w:r w:rsidRPr="00C567D1">
              <w:rPr>
                <w:rFonts w:cs="Arial"/>
                <w:sz w:val="18"/>
                <w:szCs w:val="16"/>
              </w:rPr>
              <w:t>101</w:t>
            </w:r>
          </w:p>
        </w:tc>
        <w:tc>
          <w:tcPr>
            <w:tcW w:w="1418" w:type="dxa"/>
            <w:tcMar>
              <w:top w:w="30" w:type="dxa"/>
              <w:left w:w="45" w:type="dxa"/>
              <w:bottom w:w="30" w:type="dxa"/>
              <w:right w:w="45" w:type="dxa"/>
            </w:tcMar>
            <w:vAlign w:val="center"/>
            <w:hideMark/>
          </w:tcPr>
          <w:p w14:paraId="3893C1F1" w14:textId="77777777" w:rsidR="00C567D1" w:rsidRPr="00C567D1" w:rsidRDefault="00C567D1" w:rsidP="00AA4BBB">
            <w:pPr>
              <w:jc w:val="center"/>
              <w:rPr>
                <w:rFonts w:cs="Arial"/>
                <w:sz w:val="18"/>
                <w:szCs w:val="16"/>
              </w:rPr>
            </w:pPr>
            <w:r w:rsidRPr="00C567D1">
              <w:rPr>
                <w:rFonts w:cs="Arial"/>
                <w:sz w:val="18"/>
                <w:szCs w:val="16"/>
              </w:rPr>
              <w:t>102</w:t>
            </w:r>
          </w:p>
        </w:tc>
        <w:tc>
          <w:tcPr>
            <w:tcW w:w="1417" w:type="dxa"/>
            <w:tcMar>
              <w:top w:w="30" w:type="dxa"/>
              <w:left w:w="45" w:type="dxa"/>
              <w:bottom w:w="30" w:type="dxa"/>
              <w:right w:w="45" w:type="dxa"/>
            </w:tcMar>
            <w:vAlign w:val="center"/>
            <w:hideMark/>
          </w:tcPr>
          <w:p w14:paraId="17841059" w14:textId="77777777" w:rsidR="00C567D1" w:rsidRPr="00C567D1" w:rsidRDefault="00C567D1" w:rsidP="00AA4BBB">
            <w:pPr>
              <w:jc w:val="center"/>
              <w:rPr>
                <w:rFonts w:cs="Arial"/>
                <w:sz w:val="18"/>
                <w:szCs w:val="16"/>
              </w:rPr>
            </w:pPr>
            <w:r w:rsidRPr="00C567D1">
              <w:rPr>
                <w:rFonts w:cs="Arial"/>
                <w:sz w:val="18"/>
                <w:szCs w:val="16"/>
              </w:rPr>
              <w:t>103</w:t>
            </w:r>
          </w:p>
        </w:tc>
        <w:tc>
          <w:tcPr>
            <w:tcW w:w="1422" w:type="dxa"/>
            <w:vMerge w:val="restart"/>
            <w:tcMar>
              <w:top w:w="30" w:type="dxa"/>
              <w:left w:w="45" w:type="dxa"/>
              <w:bottom w:w="30" w:type="dxa"/>
              <w:right w:w="45" w:type="dxa"/>
            </w:tcMar>
            <w:vAlign w:val="center"/>
            <w:hideMark/>
          </w:tcPr>
          <w:p w14:paraId="4073D8FC" w14:textId="77777777" w:rsidR="00C567D1" w:rsidRPr="00C567D1" w:rsidRDefault="00C567D1" w:rsidP="00AA4BBB">
            <w:pPr>
              <w:jc w:val="center"/>
              <w:rPr>
                <w:rFonts w:cs="Arial"/>
                <w:b/>
                <w:bCs/>
                <w:sz w:val="18"/>
                <w:szCs w:val="16"/>
              </w:rPr>
            </w:pPr>
            <w:r w:rsidRPr="00C567D1">
              <w:rPr>
                <w:rFonts w:cs="Arial"/>
                <w:b/>
                <w:bCs/>
                <w:sz w:val="18"/>
                <w:szCs w:val="16"/>
              </w:rPr>
              <w:t>90.779.799.379</w:t>
            </w:r>
          </w:p>
        </w:tc>
      </w:tr>
      <w:tr w:rsidR="00C567D1" w:rsidRPr="00C666B0" w14:paraId="74A687D4" w14:textId="77777777" w:rsidTr="00C567D1">
        <w:tc>
          <w:tcPr>
            <w:tcW w:w="2268" w:type="dxa"/>
            <w:vMerge/>
            <w:vAlign w:val="center"/>
            <w:hideMark/>
          </w:tcPr>
          <w:p w14:paraId="4802D69B" w14:textId="77777777" w:rsidR="00C567D1" w:rsidRPr="00C567D1" w:rsidRDefault="00C567D1" w:rsidP="00AA4BBB">
            <w:pPr>
              <w:rPr>
                <w:rFonts w:cs="Arial"/>
                <w:sz w:val="20"/>
                <w:szCs w:val="20"/>
              </w:rPr>
            </w:pPr>
          </w:p>
        </w:tc>
        <w:tc>
          <w:tcPr>
            <w:tcW w:w="1418" w:type="dxa"/>
            <w:tcMar>
              <w:top w:w="30" w:type="dxa"/>
              <w:left w:w="45" w:type="dxa"/>
              <w:bottom w:w="30" w:type="dxa"/>
              <w:right w:w="45" w:type="dxa"/>
            </w:tcMar>
            <w:vAlign w:val="center"/>
            <w:hideMark/>
          </w:tcPr>
          <w:p w14:paraId="2FEFC26A" w14:textId="77777777" w:rsidR="00C567D1" w:rsidRPr="00C567D1" w:rsidRDefault="00C567D1" w:rsidP="00AA4BBB">
            <w:pPr>
              <w:jc w:val="center"/>
              <w:rPr>
                <w:rFonts w:cs="Arial"/>
                <w:sz w:val="18"/>
                <w:szCs w:val="16"/>
              </w:rPr>
            </w:pPr>
            <w:r w:rsidRPr="00C567D1">
              <w:rPr>
                <w:rFonts w:cs="Arial"/>
                <w:sz w:val="18"/>
                <w:szCs w:val="16"/>
              </w:rPr>
              <w:t>18.601.540.300</w:t>
            </w:r>
          </w:p>
        </w:tc>
        <w:tc>
          <w:tcPr>
            <w:tcW w:w="1417" w:type="dxa"/>
            <w:tcMar>
              <w:top w:w="30" w:type="dxa"/>
              <w:left w:w="45" w:type="dxa"/>
              <w:bottom w:w="30" w:type="dxa"/>
              <w:right w:w="45" w:type="dxa"/>
            </w:tcMar>
            <w:vAlign w:val="center"/>
            <w:hideMark/>
          </w:tcPr>
          <w:p w14:paraId="1C0228A3" w14:textId="77777777" w:rsidR="00C567D1" w:rsidRPr="00C567D1" w:rsidRDefault="00C567D1" w:rsidP="00AA4BBB">
            <w:pPr>
              <w:jc w:val="center"/>
              <w:rPr>
                <w:rFonts w:cs="Arial"/>
                <w:sz w:val="18"/>
                <w:szCs w:val="16"/>
              </w:rPr>
            </w:pPr>
            <w:r w:rsidRPr="00C567D1">
              <w:rPr>
                <w:rFonts w:cs="Arial"/>
                <w:sz w:val="18"/>
                <w:szCs w:val="16"/>
              </w:rPr>
              <w:t>20.887.948.544</w:t>
            </w:r>
          </w:p>
        </w:tc>
        <w:tc>
          <w:tcPr>
            <w:tcW w:w="1418" w:type="dxa"/>
            <w:tcMar>
              <w:top w:w="30" w:type="dxa"/>
              <w:left w:w="45" w:type="dxa"/>
              <w:bottom w:w="30" w:type="dxa"/>
              <w:right w:w="45" w:type="dxa"/>
            </w:tcMar>
            <w:vAlign w:val="center"/>
            <w:hideMark/>
          </w:tcPr>
          <w:p w14:paraId="19DDBDAC" w14:textId="77777777" w:rsidR="00C567D1" w:rsidRPr="00C567D1" w:rsidRDefault="00C567D1" w:rsidP="00AA4BBB">
            <w:pPr>
              <w:jc w:val="center"/>
              <w:rPr>
                <w:rFonts w:cs="Arial"/>
                <w:sz w:val="18"/>
                <w:szCs w:val="16"/>
              </w:rPr>
            </w:pPr>
            <w:r w:rsidRPr="00C567D1">
              <w:rPr>
                <w:rFonts w:cs="Arial"/>
                <w:sz w:val="18"/>
                <w:szCs w:val="16"/>
              </w:rPr>
              <w:t>25.422.727.873</w:t>
            </w:r>
          </w:p>
        </w:tc>
        <w:tc>
          <w:tcPr>
            <w:tcW w:w="1417" w:type="dxa"/>
            <w:tcMar>
              <w:top w:w="30" w:type="dxa"/>
              <w:left w:w="45" w:type="dxa"/>
              <w:bottom w:w="30" w:type="dxa"/>
              <w:right w:w="45" w:type="dxa"/>
            </w:tcMar>
            <w:vAlign w:val="center"/>
            <w:hideMark/>
          </w:tcPr>
          <w:p w14:paraId="6AC23BC2" w14:textId="77777777" w:rsidR="00C567D1" w:rsidRPr="00C567D1" w:rsidRDefault="00C567D1" w:rsidP="00AA4BBB">
            <w:pPr>
              <w:jc w:val="center"/>
              <w:rPr>
                <w:rFonts w:cs="Arial"/>
                <w:sz w:val="18"/>
                <w:szCs w:val="16"/>
              </w:rPr>
            </w:pPr>
            <w:r w:rsidRPr="00C567D1">
              <w:rPr>
                <w:rFonts w:cs="Arial"/>
                <w:sz w:val="18"/>
                <w:szCs w:val="16"/>
              </w:rPr>
              <w:t>25.867.582.662</w:t>
            </w:r>
          </w:p>
        </w:tc>
        <w:tc>
          <w:tcPr>
            <w:tcW w:w="1422" w:type="dxa"/>
            <w:vMerge/>
            <w:vAlign w:val="center"/>
            <w:hideMark/>
          </w:tcPr>
          <w:p w14:paraId="387B7E3C" w14:textId="77777777" w:rsidR="00C567D1" w:rsidRPr="00C567D1" w:rsidRDefault="00C567D1" w:rsidP="00AA4BBB">
            <w:pPr>
              <w:rPr>
                <w:rFonts w:cs="Arial"/>
                <w:b/>
                <w:bCs/>
                <w:sz w:val="18"/>
                <w:szCs w:val="16"/>
              </w:rPr>
            </w:pPr>
          </w:p>
        </w:tc>
      </w:tr>
      <w:tr w:rsidR="00C567D1" w:rsidRPr="00C666B0" w14:paraId="38551B23" w14:textId="77777777" w:rsidTr="00C567D1">
        <w:tc>
          <w:tcPr>
            <w:tcW w:w="2268" w:type="dxa"/>
            <w:vMerge w:val="restart"/>
            <w:tcMar>
              <w:top w:w="30" w:type="dxa"/>
              <w:left w:w="45" w:type="dxa"/>
              <w:bottom w:w="30" w:type="dxa"/>
              <w:right w:w="45" w:type="dxa"/>
            </w:tcMar>
            <w:vAlign w:val="center"/>
            <w:hideMark/>
          </w:tcPr>
          <w:p w14:paraId="33B5CD86" w14:textId="77777777" w:rsidR="00C567D1" w:rsidRPr="00C567D1" w:rsidRDefault="00C567D1" w:rsidP="00AA4BBB">
            <w:pPr>
              <w:rPr>
                <w:rFonts w:cs="Arial"/>
                <w:sz w:val="20"/>
                <w:szCs w:val="20"/>
              </w:rPr>
            </w:pPr>
            <w:r w:rsidRPr="00C567D1">
              <w:rPr>
                <w:rFonts w:cs="Arial"/>
                <w:sz w:val="20"/>
                <w:szCs w:val="20"/>
              </w:rPr>
              <w:t>Realizar 1.500 actividades culturales y artísticas en barrios y veredas de Bogotá D.C. orientadas a fortalecer "al barrio" como lugar de encuentro y creación.</w:t>
            </w:r>
          </w:p>
        </w:tc>
        <w:tc>
          <w:tcPr>
            <w:tcW w:w="1418" w:type="dxa"/>
            <w:tcMar>
              <w:top w:w="30" w:type="dxa"/>
              <w:left w:w="45" w:type="dxa"/>
              <w:bottom w:w="30" w:type="dxa"/>
              <w:right w:w="45" w:type="dxa"/>
            </w:tcMar>
            <w:vAlign w:val="center"/>
            <w:hideMark/>
          </w:tcPr>
          <w:p w14:paraId="609A4ABF" w14:textId="77777777" w:rsidR="00C567D1" w:rsidRPr="00C567D1" w:rsidRDefault="00C567D1" w:rsidP="00AA4BBB">
            <w:pPr>
              <w:jc w:val="center"/>
              <w:rPr>
                <w:rFonts w:cs="Arial"/>
                <w:sz w:val="18"/>
                <w:szCs w:val="16"/>
              </w:rPr>
            </w:pPr>
            <w:r w:rsidRPr="00C567D1">
              <w:rPr>
                <w:rFonts w:cs="Arial"/>
                <w:sz w:val="18"/>
                <w:szCs w:val="16"/>
              </w:rPr>
              <w:t>200</w:t>
            </w:r>
          </w:p>
        </w:tc>
        <w:tc>
          <w:tcPr>
            <w:tcW w:w="1417" w:type="dxa"/>
            <w:tcMar>
              <w:top w:w="30" w:type="dxa"/>
              <w:left w:w="45" w:type="dxa"/>
              <w:bottom w:w="30" w:type="dxa"/>
              <w:right w:w="45" w:type="dxa"/>
            </w:tcMar>
            <w:vAlign w:val="center"/>
            <w:hideMark/>
          </w:tcPr>
          <w:p w14:paraId="1A325CA7" w14:textId="77777777" w:rsidR="00C567D1" w:rsidRPr="00C567D1" w:rsidRDefault="00C567D1" w:rsidP="00AA4BBB">
            <w:pPr>
              <w:jc w:val="center"/>
              <w:rPr>
                <w:rFonts w:cs="Arial"/>
                <w:sz w:val="18"/>
                <w:szCs w:val="16"/>
              </w:rPr>
            </w:pPr>
            <w:r w:rsidRPr="00C567D1">
              <w:rPr>
                <w:rFonts w:cs="Arial"/>
                <w:sz w:val="18"/>
                <w:szCs w:val="16"/>
              </w:rPr>
              <w:t>434</w:t>
            </w:r>
          </w:p>
        </w:tc>
        <w:tc>
          <w:tcPr>
            <w:tcW w:w="1418" w:type="dxa"/>
            <w:tcMar>
              <w:top w:w="30" w:type="dxa"/>
              <w:left w:w="45" w:type="dxa"/>
              <w:bottom w:w="30" w:type="dxa"/>
              <w:right w:w="45" w:type="dxa"/>
            </w:tcMar>
            <w:vAlign w:val="center"/>
            <w:hideMark/>
          </w:tcPr>
          <w:p w14:paraId="19192F4A" w14:textId="77777777" w:rsidR="00C567D1" w:rsidRPr="00C567D1" w:rsidRDefault="00C567D1" w:rsidP="00AA4BBB">
            <w:pPr>
              <w:jc w:val="center"/>
              <w:rPr>
                <w:rFonts w:cs="Arial"/>
                <w:sz w:val="18"/>
                <w:szCs w:val="16"/>
              </w:rPr>
            </w:pPr>
            <w:r w:rsidRPr="00C567D1">
              <w:rPr>
                <w:rFonts w:cs="Arial"/>
                <w:sz w:val="18"/>
                <w:szCs w:val="16"/>
              </w:rPr>
              <w:t>433</w:t>
            </w:r>
          </w:p>
        </w:tc>
        <w:tc>
          <w:tcPr>
            <w:tcW w:w="1417" w:type="dxa"/>
            <w:tcMar>
              <w:top w:w="30" w:type="dxa"/>
              <w:left w:w="45" w:type="dxa"/>
              <w:bottom w:w="30" w:type="dxa"/>
              <w:right w:w="45" w:type="dxa"/>
            </w:tcMar>
            <w:vAlign w:val="center"/>
            <w:hideMark/>
          </w:tcPr>
          <w:p w14:paraId="7637DB55" w14:textId="77777777" w:rsidR="00C567D1" w:rsidRPr="00C567D1" w:rsidRDefault="00C567D1" w:rsidP="00AA4BBB">
            <w:pPr>
              <w:jc w:val="center"/>
              <w:rPr>
                <w:rFonts w:cs="Arial"/>
                <w:sz w:val="18"/>
                <w:szCs w:val="16"/>
              </w:rPr>
            </w:pPr>
            <w:r w:rsidRPr="00C567D1">
              <w:rPr>
                <w:rFonts w:cs="Arial"/>
                <w:sz w:val="18"/>
                <w:szCs w:val="16"/>
              </w:rPr>
              <w:t>433</w:t>
            </w:r>
          </w:p>
        </w:tc>
        <w:tc>
          <w:tcPr>
            <w:tcW w:w="1422" w:type="dxa"/>
            <w:vMerge w:val="restart"/>
            <w:tcMar>
              <w:top w:w="30" w:type="dxa"/>
              <w:left w:w="45" w:type="dxa"/>
              <w:bottom w:w="30" w:type="dxa"/>
              <w:right w:w="45" w:type="dxa"/>
            </w:tcMar>
            <w:vAlign w:val="center"/>
            <w:hideMark/>
          </w:tcPr>
          <w:p w14:paraId="57E64796" w14:textId="77777777" w:rsidR="00C567D1" w:rsidRPr="00C567D1" w:rsidRDefault="00C567D1" w:rsidP="00AA4BBB">
            <w:pPr>
              <w:jc w:val="center"/>
              <w:rPr>
                <w:rFonts w:cs="Arial"/>
                <w:b/>
                <w:bCs/>
                <w:sz w:val="18"/>
                <w:szCs w:val="16"/>
              </w:rPr>
            </w:pPr>
            <w:r w:rsidRPr="00C567D1">
              <w:rPr>
                <w:rFonts w:cs="Arial"/>
                <w:b/>
                <w:bCs/>
                <w:sz w:val="18"/>
                <w:szCs w:val="16"/>
              </w:rPr>
              <w:t>55.505.592.089</w:t>
            </w:r>
          </w:p>
        </w:tc>
      </w:tr>
      <w:tr w:rsidR="00C567D1" w:rsidRPr="00C666B0" w14:paraId="19AEE66E" w14:textId="77777777" w:rsidTr="00C567D1">
        <w:tc>
          <w:tcPr>
            <w:tcW w:w="2268" w:type="dxa"/>
            <w:vMerge/>
            <w:tcBorders>
              <w:bottom w:val="double" w:sz="4" w:space="0" w:color="C00000"/>
            </w:tcBorders>
            <w:vAlign w:val="center"/>
            <w:hideMark/>
          </w:tcPr>
          <w:p w14:paraId="33FED8CB" w14:textId="77777777" w:rsidR="00C567D1" w:rsidRPr="00C567D1" w:rsidRDefault="00C567D1" w:rsidP="00AA4BBB">
            <w:pPr>
              <w:rPr>
                <w:rFonts w:cs="Arial"/>
                <w:sz w:val="20"/>
                <w:szCs w:val="20"/>
              </w:rPr>
            </w:pPr>
          </w:p>
        </w:tc>
        <w:tc>
          <w:tcPr>
            <w:tcW w:w="1418" w:type="dxa"/>
            <w:tcBorders>
              <w:bottom w:val="double" w:sz="4" w:space="0" w:color="C00000"/>
            </w:tcBorders>
            <w:tcMar>
              <w:top w:w="30" w:type="dxa"/>
              <w:left w:w="45" w:type="dxa"/>
              <w:bottom w:w="30" w:type="dxa"/>
              <w:right w:w="45" w:type="dxa"/>
            </w:tcMar>
            <w:vAlign w:val="center"/>
            <w:hideMark/>
          </w:tcPr>
          <w:p w14:paraId="52CFBDBC" w14:textId="77777777" w:rsidR="00C567D1" w:rsidRPr="00C567D1" w:rsidRDefault="00C567D1" w:rsidP="00AA4BBB">
            <w:pPr>
              <w:jc w:val="center"/>
              <w:rPr>
                <w:rFonts w:cs="Arial"/>
                <w:sz w:val="18"/>
                <w:szCs w:val="16"/>
              </w:rPr>
            </w:pPr>
            <w:r w:rsidRPr="00C567D1">
              <w:rPr>
                <w:rFonts w:cs="Arial"/>
                <w:sz w:val="18"/>
                <w:szCs w:val="16"/>
              </w:rPr>
              <w:t>13.637.627.000</w:t>
            </w:r>
          </w:p>
        </w:tc>
        <w:tc>
          <w:tcPr>
            <w:tcW w:w="1417" w:type="dxa"/>
            <w:tcBorders>
              <w:bottom w:val="double" w:sz="4" w:space="0" w:color="C00000"/>
            </w:tcBorders>
            <w:tcMar>
              <w:top w:w="30" w:type="dxa"/>
              <w:left w:w="45" w:type="dxa"/>
              <w:bottom w:w="30" w:type="dxa"/>
              <w:right w:w="45" w:type="dxa"/>
            </w:tcMar>
            <w:vAlign w:val="center"/>
            <w:hideMark/>
          </w:tcPr>
          <w:p w14:paraId="06AEB4E9" w14:textId="77777777" w:rsidR="00C567D1" w:rsidRPr="00C567D1" w:rsidRDefault="00C567D1" w:rsidP="00AA4BBB">
            <w:pPr>
              <w:jc w:val="center"/>
              <w:rPr>
                <w:rFonts w:cs="Arial"/>
                <w:sz w:val="18"/>
                <w:szCs w:val="16"/>
              </w:rPr>
            </w:pPr>
            <w:r w:rsidRPr="00C567D1">
              <w:rPr>
                <w:rFonts w:cs="Arial"/>
                <w:sz w:val="18"/>
                <w:szCs w:val="16"/>
              </w:rPr>
              <w:t>13.825.456.311</w:t>
            </w:r>
          </w:p>
        </w:tc>
        <w:tc>
          <w:tcPr>
            <w:tcW w:w="1418" w:type="dxa"/>
            <w:tcBorders>
              <w:bottom w:val="double" w:sz="4" w:space="0" w:color="C00000"/>
            </w:tcBorders>
            <w:tcMar>
              <w:top w:w="30" w:type="dxa"/>
              <w:left w:w="45" w:type="dxa"/>
              <w:bottom w:w="30" w:type="dxa"/>
              <w:right w:w="45" w:type="dxa"/>
            </w:tcMar>
            <w:vAlign w:val="center"/>
            <w:hideMark/>
          </w:tcPr>
          <w:p w14:paraId="775EF96D" w14:textId="77777777" w:rsidR="00C567D1" w:rsidRPr="00C567D1" w:rsidRDefault="00C567D1" w:rsidP="00AA4BBB">
            <w:pPr>
              <w:jc w:val="center"/>
              <w:rPr>
                <w:rFonts w:cs="Arial"/>
                <w:sz w:val="18"/>
                <w:szCs w:val="16"/>
              </w:rPr>
            </w:pPr>
            <w:r w:rsidRPr="00C567D1">
              <w:rPr>
                <w:rFonts w:cs="Arial"/>
                <w:sz w:val="18"/>
                <w:szCs w:val="16"/>
              </w:rPr>
              <w:t>14.146.934.678</w:t>
            </w:r>
          </w:p>
        </w:tc>
        <w:tc>
          <w:tcPr>
            <w:tcW w:w="1417" w:type="dxa"/>
            <w:tcBorders>
              <w:bottom w:val="double" w:sz="4" w:space="0" w:color="C00000"/>
            </w:tcBorders>
            <w:tcMar>
              <w:top w:w="30" w:type="dxa"/>
              <w:left w:w="45" w:type="dxa"/>
              <w:bottom w:w="30" w:type="dxa"/>
              <w:right w:w="45" w:type="dxa"/>
            </w:tcMar>
            <w:vAlign w:val="center"/>
            <w:hideMark/>
          </w:tcPr>
          <w:p w14:paraId="1193BFF0" w14:textId="77777777" w:rsidR="00C567D1" w:rsidRPr="00C567D1" w:rsidRDefault="00C567D1" w:rsidP="00AA4BBB">
            <w:pPr>
              <w:jc w:val="center"/>
              <w:rPr>
                <w:rFonts w:cs="Arial"/>
                <w:sz w:val="18"/>
                <w:szCs w:val="16"/>
              </w:rPr>
            </w:pPr>
            <w:r w:rsidRPr="00C567D1">
              <w:rPr>
                <w:rFonts w:cs="Arial"/>
                <w:sz w:val="18"/>
                <w:szCs w:val="16"/>
              </w:rPr>
              <w:t>13.895.574.100</w:t>
            </w:r>
          </w:p>
        </w:tc>
        <w:tc>
          <w:tcPr>
            <w:tcW w:w="1422" w:type="dxa"/>
            <w:vMerge/>
            <w:tcBorders>
              <w:bottom w:val="double" w:sz="4" w:space="0" w:color="C00000"/>
            </w:tcBorders>
            <w:vAlign w:val="center"/>
            <w:hideMark/>
          </w:tcPr>
          <w:p w14:paraId="6C371F0B" w14:textId="77777777" w:rsidR="00C567D1" w:rsidRPr="00C666B0" w:rsidRDefault="00C567D1" w:rsidP="00AA4BBB">
            <w:pPr>
              <w:rPr>
                <w:rFonts w:cs="Arial"/>
                <w:b/>
                <w:bCs/>
                <w:szCs w:val="20"/>
              </w:rPr>
            </w:pPr>
          </w:p>
        </w:tc>
      </w:tr>
    </w:tbl>
    <w:p w14:paraId="39506E98" w14:textId="77777777" w:rsidR="00B14E38" w:rsidRPr="00B944E8" w:rsidRDefault="00B14E38" w:rsidP="00B14E38">
      <w:pPr>
        <w:spacing w:line="480" w:lineRule="auto"/>
        <w:rPr>
          <w:rFonts w:ascii="Times New Roman" w:hAnsi="Times New Roman"/>
          <w:sz w:val="24"/>
          <w:highlight w:val="white"/>
        </w:rPr>
      </w:pPr>
    </w:p>
    <w:p w14:paraId="55A105CD" w14:textId="77777777" w:rsidR="00860F33" w:rsidRDefault="00860F33" w:rsidP="00860F33">
      <w:pPr>
        <w:pStyle w:val="Ttulo2"/>
        <w:numPr>
          <w:ilvl w:val="0"/>
          <w:numId w:val="0"/>
        </w:numPr>
        <w:ind w:left="792" w:hanging="432"/>
        <w:rPr>
          <w:color w:val="C00000"/>
        </w:rPr>
      </w:pPr>
      <w:bookmarkStart w:id="289" w:name="_heading=h.1yyy98l" w:colFirst="0" w:colLast="0"/>
      <w:bookmarkEnd w:id="289"/>
      <w:r>
        <w:rPr>
          <w:color w:val="C00000"/>
        </w:rPr>
        <w:br w:type="page"/>
      </w:r>
    </w:p>
    <w:p w14:paraId="5DAF99AE" w14:textId="592FDB2B" w:rsidR="00B14E38" w:rsidRDefault="00B14E38" w:rsidP="00ED77FF">
      <w:pPr>
        <w:pStyle w:val="NIVEL4"/>
      </w:pPr>
      <w:bookmarkStart w:id="290" w:name="_Toc165169774"/>
      <w:r w:rsidRPr="004554F9">
        <w:rPr>
          <w:color w:val="C00000"/>
        </w:rPr>
        <w:lastRenderedPageBreak/>
        <w:t>Programa 15</w:t>
      </w:r>
      <w:r w:rsidR="00ED77FF">
        <w:rPr>
          <w:color w:val="C00000"/>
        </w:rPr>
        <w:t xml:space="preserve">: </w:t>
      </w:r>
      <w:r w:rsidRPr="004554F9">
        <w:t>Bogotá protege todas las formas de vida</w:t>
      </w:r>
      <w:bookmarkEnd w:id="290"/>
    </w:p>
    <w:p w14:paraId="48B6C5BC" w14:textId="77777777" w:rsidR="00860F33" w:rsidRPr="00860F33" w:rsidRDefault="00860F33" w:rsidP="00860F33">
      <w:pPr>
        <w:rPr>
          <w:lang w:eastAsia="en-US"/>
        </w:rPr>
      </w:pPr>
    </w:p>
    <w:p w14:paraId="34A78798" w14:textId="402EB99B" w:rsidR="00B14E38" w:rsidRPr="00C56F20" w:rsidRDefault="00B14E38" w:rsidP="00C56F20">
      <w:pPr>
        <w:ind w:firstLine="708"/>
        <w:rPr>
          <w:b/>
          <w:bCs/>
          <w:sz w:val="24"/>
          <w:highlight w:val="white"/>
        </w:rPr>
      </w:pPr>
      <w:r w:rsidRPr="00C56F20">
        <w:rPr>
          <w:b/>
          <w:bCs/>
          <w:sz w:val="24"/>
          <w:highlight w:val="white"/>
        </w:rPr>
        <w:t>Diagnóstico</w:t>
      </w:r>
    </w:p>
    <w:p w14:paraId="1A09B4D4" w14:textId="77777777" w:rsidR="00B14E38" w:rsidRDefault="00B14E38" w:rsidP="00B14E38">
      <w:pPr>
        <w:sectPr w:rsidR="00B14E38" w:rsidSect="00F7078E">
          <w:type w:val="continuous"/>
          <w:pgSz w:w="12240" w:h="15840"/>
          <w:pgMar w:top="2262" w:right="1440" w:bottom="1440" w:left="1440" w:header="708" w:footer="680" w:gutter="0"/>
          <w:cols w:space="720"/>
          <w:docGrid w:linePitch="299"/>
        </w:sectPr>
      </w:pPr>
    </w:p>
    <w:p w14:paraId="0C905C02" w14:textId="77777777" w:rsidR="00E37793" w:rsidRDefault="00E37793" w:rsidP="00E37793">
      <w:r>
        <w:t>Los animales domésticos en condición de vulnerabilidad en el Distrito Capital son definidos esencialmente en tres tipos: animales en condición de calle, ambulantes o en situación de abandono y aquellos que no reciben un cuidado adecuado por parte de sus personas cuidadoras, debido a situaciones de desconocimiento o por falta de recursos económicos que les permitan solventar sus gastos veterinarios.</w:t>
      </w:r>
    </w:p>
    <w:p w14:paraId="19265D72" w14:textId="77777777" w:rsidR="00E37793" w:rsidRDefault="00E37793" w:rsidP="00E37793"/>
    <w:p w14:paraId="6FDB9209" w14:textId="77777777" w:rsidR="00E37793" w:rsidRDefault="00E37793" w:rsidP="00E37793">
      <w:r>
        <w:t>En el Distrito Capital, para 2022 se estima una población de 1.336.371 perros y gatos, de los cuales 133.637 caninos y felinos domésticos viven en las calles o son abandonados por sus dueñas y dueños; y de otros 694.913 (52</w:t>
      </w:r>
      <w:r>
        <w:rPr>
          <w:rFonts w:ascii="Arial" w:hAnsi="Arial" w:cs="Arial"/>
        </w:rPr>
        <w:t> </w:t>
      </w:r>
      <w:r>
        <w:t>%) (Bahamon, 2023) se estima que se encuentran bajo el cuidado de residentes en estratos 1, 2 y 3. Adem</w:t>
      </w:r>
      <w:r>
        <w:rPr>
          <w:rFonts w:cs="Candara"/>
        </w:rPr>
        <w:t>á</w:t>
      </w:r>
      <w:r>
        <w:t>s, en el marco del Programa de Esterilizaci</w:t>
      </w:r>
      <w:r>
        <w:rPr>
          <w:rFonts w:cs="Candara"/>
        </w:rPr>
        <w:t>ó</w:t>
      </w:r>
      <w:r>
        <w:t>n de Gatos y Perros , el Instituto Distrital de Protecci</w:t>
      </w:r>
      <w:r>
        <w:rPr>
          <w:rFonts w:cs="Candara"/>
        </w:rPr>
        <w:t>ó</w:t>
      </w:r>
      <w:r>
        <w:t>n y Bienestar Animal establece los costos diferenciales para las esterilizaciones de gatos y perros cuyas personas cuidadoras pertenezcan a los estratos 4, 5 y 6. Así mismo, es importante considerar a las otras especies animales que viven en la ciudad, como palomas de plaza, enjambres de abejas, animales de granja y especies no convencionales, y a los que se les debe garantizar su bienestar y cuya alta densidad poblacional representa un riesgo de salud pública, maltrato animal, convivencia y conservación de especies silvestres que se ven amenazadas por especies domésticas introducidas.</w:t>
      </w:r>
    </w:p>
    <w:p w14:paraId="557E693E" w14:textId="77777777" w:rsidR="00E37793" w:rsidRDefault="00E37793" w:rsidP="00E37793"/>
    <w:p w14:paraId="6D9840AB" w14:textId="77777777" w:rsidR="00E37793" w:rsidRDefault="00E37793" w:rsidP="00E37793">
      <w:r>
        <w:t>El problema está presente en las 20 localidades de Bogotá; sin embargo, según las cifras de atención a animales por casos de maltrato las localidades que más presentaron este fenómeno desde 2020, con corte al 30 de agosto de 2023, fueron Suba, Teusaquillo, Engativá, Usaquén y Ciudad Bolívar. Así mismo, las localidades donde fue esterilizado un mayor número de animales fueron Bosa, Kennedy, Ciudad Bolívar, Engativá y Suba.</w:t>
      </w:r>
    </w:p>
    <w:p w14:paraId="660AD4B9" w14:textId="77777777" w:rsidR="00E37793" w:rsidRDefault="00E37793" w:rsidP="00E37793">
      <w:r>
        <w:t>El aumento en la demanda de respuesta institucional para la fauna doméstica del Distrito Capital se refleja en el volumen de denuncias de presunto maltrato animal en Bogotá D. C., las cuales, entre el 1 de julio de 2021 y el 31 de diciembre de 2023, sumaron un total de 57.898 llamadas, de las que 14.955 ingresaron por la línea de maltrato animal 01 8000115161, y 42.943, por la línea 123. Esto representa un incremento significativo en la conciencia y la cultura ciudadana sobre la protección de los animales, así como sobre la necesidad de intensificar las medidas preventivas y sancionatorias frente a este fenómeno. El maltrato animal no solo afecta la vida y el bienestar de los animales, sino que también es un reflejo de otras formas de violencia (CooPA, 2014) (Simmons, 2007).</w:t>
      </w:r>
    </w:p>
    <w:p w14:paraId="488FBAA3" w14:textId="77777777" w:rsidR="00E37793" w:rsidRDefault="00E37793" w:rsidP="00E37793"/>
    <w:p w14:paraId="4CF7DB9A" w14:textId="77777777" w:rsidR="00E37793" w:rsidRDefault="00E37793" w:rsidP="00E37793">
      <w:r>
        <w:t xml:space="preserve">Así mismo, la sobrepoblación y la falta de atención de perros y gatos aumentan el riesgo de presentación de enfermedades zoonóticas, ya que favorecen el contacto entre animales enfermos, animales sanos y seres humanos. Entre 2016 y 2020 se reportaron 12.345 casos de mordeduras de perros y gatos a personas en Bogotá (Salud, 2016-2021), lo que implica un riesgo de transmisión de rabia; así mismo, en el periodo mencionado se diagnosticaron 2.789 casos de leptospirosis, toxoplasmosis, brucelosis, salmonelosis y giardiasis. Por otro lado, el crecimiento descontrolado de la población de animales en condición de calle tiene efectos negativos tanto para ellos como para los y las ciudadanas y otras especies de animales, debido al aumento de la competencia por los recursos, la disminución de la calidad de vida, la propagación de enfermedades infecciosas y parasitarias, la alteración de los ecosistemas urbanos y la pérdida de la biodiversidad. Además, cabe tener en cuenta el riesgo —debido a que son víctimas de atropellos, envenenamientos, agresiones y maltrato animal—, otros efectos, como el riesgo de transmisión de zoonosis y problemas por la </w:t>
      </w:r>
      <w:r>
        <w:lastRenderedPageBreak/>
        <w:t>contaminación ambiental por los desechos fecales y urinarios de los animales.</w:t>
      </w:r>
    </w:p>
    <w:p w14:paraId="5BB07B5C" w14:textId="77777777" w:rsidR="00E37793" w:rsidRDefault="00E37793" w:rsidP="00E37793"/>
    <w:p w14:paraId="1C795F27" w14:textId="77777777" w:rsidR="00E37793" w:rsidRDefault="00E37793" w:rsidP="00E37793">
      <w:r>
        <w:t>Pese a evitar el nacimiento de más de un millón de perros y gatos no deseados mediante 203.471 procesos de esterilización gratuita entre 2020 y 2023, no se ha logrado mantener el 10</w:t>
      </w:r>
      <w:r>
        <w:rPr>
          <w:rFonts w:ascii="Arial" w:hAnsi="Arial" w:cs="Arial"/>
        </w:rPr>
        <w:t> </w:t>
      </w:r>
      <w:r>
        <w:t>% de impacto del n</w:t>
      </w:r>
      <w:r>
        <w:rPr>
          <w:rFonts w:cs="Candara"/>
        </w:rPr>
        <w:t>ú</w:t>
      </w:r>
      <w:r>
        <w:t>mero de esterilizaciones constante durante 10 a</w:t>
      </w:r>
      <w:r>
        <w:rPr>
          <w:rFonts w:cs="Candara"/>
        </w:rPr>
        <w:t>ñ</w:t>
      </w:r>
      <w:r>
        <w:t>os, lo que impide llevar a cabo un control efectivo de la poblaci</w:t>
      </w:r>
      <w:r>
        <w:rPr>
          <w:rFonts w:cs="Candara"/>
        </w:rPr>
        <w:t>ó</w:t>
      </w:r>
      <w:r>
        <w:t>n. As</w:t>
      </w:r>
      <w:r>
        <w:rPr>
          <w:rFonts w:cs="Candara"/>
        </w:rPr>
        <w:t>í</w:t>
      </w:r>
      <w:r>
        <w:t xml:space="preserve"> mismo, al revisar la cobertura de los programas de atenci</w:t>
      </w:r>
      <w:r>
        <w:rPr>
          <w:rFonts w:cs="Candara"/>
        </w:rPr>
        <w:t>ó</w:t>
      </w:r>
      <w:r>
        <w:t>n integral a la fauna dom</w:t>
      </w:r>
      <w:r>
        <w:rPr>
          <w:rFonts w:cs="Candara"/>
        </w:rPr>
        <w:t>é</w:t>
      </w:r>
      <w:r>
        <w:t>stica del Distrito Capital, se evidencia que entre 2020 y 2023 fueron atendidos 47.623 animales en servicios de urgencias veterinarias, atención a presuntos casos de maltrato, custodia y brigadas médicas; fue 2021 el año que ha presentado una mayor cobertura con un porcentaje de 1,9</w:t>
      </w:r>
      <w:r>
        <w:rPr>
          <w:rFonts w:ascii="Arial" w:hAnsi="Arial" w:cs="Arial"/>
        </w:rPr>
        <w:t> </w:t>
      </w:r>
      <w:r>
        <w:t xml:space="preserve">%. </w:t>
      </w:r>
    </w:p>
    <w:p w14:paraId="77440FC4" w14:textId="77777777" w:rsidR="00E37793" w:rsidRDefault="00E37793" w:rsidP="00E37793"/>
    <w:p w14:paraId="091DBFAD" w14:textId="77777777" w:rsidR="00E37793" w:rsidRDefault="00E37793" w:rsidP="00E37793">
      <w:r>
        <w:t xml:space="preserve">La cobertura está directamente relacionada con la capacidad que tienen los equipamientos para la atención de animales; la Unidad de Cuidado Animal es el único equipamiento distrital en funcionamiento actualmente. Dicho espacio tiene una capacidad para 405 animales entre caninos </w:t>
      </w:r>
      <w:r>
        <w:t>y felinos, y recibe anualmente un promedio de 1.000 perros y gatos al año, lo cual resulta insuficiente para atender la demanda de la población animal del Distrito Capital.</w:t>
      </w:r>
    </w:p>
    <w:p w14:paraId="554F11DC" w14:textId="77777777" w:rsidR="00E37793" w:rsidRDefault="00E37793" w:rsidP="00E37793"/>
    <w:p w14:paraId="556CFFBC" w14:textId="77777777" w:rsidR="00E37793" w:rsidRDefault="00E37793" w:rsidP="00E37793">
      <w:r>
        <w:t>Respecto a la problemática de crecimiento descontrolado de la población de palomas de plaza en el Distrito Capital, esta representa un riesgo para la salud pública, el medio ambiente y la seguridad ciudadana, ya que estas aves pueden transmitir enfermedades, generar contaminación, dañar el patrimonio histórico y cultural y provocar accidentes; además, su proliferación afecta el equilibrio ecológico y la biodiversidad de la ciudad. Por ello, se hace necesario implementar medidas de control poblacional que sean efectivas, éticas y sostenibles, para reducir el impacto negativo de las palomas de plaza en el Distrito Capital.</w:t>
      </w:r>
    </w:p>
    <w:p w14:paraId="519BAED4" w14:textId="77777777" w:rsidR="00E37793" w:rsidRDefault="00E37793" w:rsidP="00E37793"/>
    <w:p w14:paraId="4216BCAC" w14:textId="5D9DEC46" w:rsidR="00B14E38" w:rsidRPr="00B944E8" w:rsidRDefault="00E37793" w:rsidP="00E37793">
      <w:pPr>
        <w:rPr>
          <w:highlight w:val="white"/>
        </w:rPr>
      </w:pPr>
      <w:r>
        <w:t>Ante lo planteado, se debe aumentar la conciencia y la cultura ciudadana sobre la protección a los animales, así como la prevención y tratamiento de la violencia como un acto de humanidad en sí mismo.</w:t>
      </w:r>
    </w:p>
    <w:p w14:paraId="7D50FC6E" w14:textId="77777777" w:rsidR="00B14E38" w:rsidRDefault="00B14E38" w:rsidP="00B14E38">
      <w:pPr>
        <w:spacing w:line="480" w:lineRule="auto"/>
        <w:rPr>
          <w:rFonts w:ascii="Times New Roman" w:hAnsi="Times New Roman"/>
          <w:sz w:val="24"/>
          <w:highlight w:val="white"/>
        </w:rPr>
        <w:sectPr w:rsidR="00B14E38" w:rsidSect="00F7078E">
          <w:type w:val="continuous"/>
          <w:pgSz w:w="12240" w:h="15840"/>
          <w:pgMar w:top="2262" w:right="1440" w:bottom="1440" w:left="1440" w:header="708" w:footer="680" w:gutter="0"/>
          <w:cols w:num="2" w:space="567"/>
          <w:docGrid w:linePitch="299"/>
        </w:sectPr>
      </w:pPr>
    </w:p>
    <w:p w14:paraId="26F10205" w14:textId="77777777" w:rsidR="00B14E38" w:rsidRPr="00B944E8" w:rsidRDefault="00B14E38" w:rsidP="00B14E38">
      <w:pPr>
        <w:spacing w:line="480" w:lineRule="auto"/>
        <w:rPr>
          <w:rFonts w:ascii="Times New Roman" w:hAnsi="Times New Roman"/>
          <w:sz w:val="24"/>
          <w:highlight w:val="white"/>
        </w:rPr>
      </w:pPr>
    </w:p>
    <w:p w14:paraId="06E74F9D" w14:textId="0E7E2D6C" w:rsidR="00B14E38" w:rsidRPr="00E37793" w:rsidRDefault="00B14E38" w:rsidP="00E37793">
      <w:pPr>
        <w:ind w:firstLine="708"/>
        <w:rPr>
          <w:b/>
          <w:bCs/>
        </w:rPr>
      </w:pPr>
      <w:r w:rsidRPr="00E37793">
        <w:rPr>
          <w:b/>
          <w:bCs/>
        </w:rPr>
        <w:t>Descripción del programa</w:t>
      </w:r>
    </w:p>
    <w:p w14:paraId="72E5ECAF" w14:textId="77777777" w:rsidR="00B14E38" w:rsidRDefault="00B14E38" w:rsidP="00B14E38">
      <w:pPr>
        <w:rPr>
          <w:highlight w:val="white"/>
        </w:rPr>
        <w:sectPr w:rsidR="00B14E38" w:rsidSect="00F7078E">
          <w:type w:val="continuous"/>
          <w:pgSz w:w="12240" w:h="15840"/>
          <w:pgMar w:top="2262" w:right="1440" w:bottom="1440" w:left="1440" w:header="708" w:footer="680" w:gutter="0"/>
          <w:cols w:space="720"/>
          <w:docGrid w:linePitch="299"/>
        </w:sectPr>
      </w:pPr>
    </w:p>
    <w:p w14:paraId="37785919" w14:textId="77777777" w:rsidR="00E37793" w:rsidRDefault="00E37793" w:rsidP="00E37793">
      <w:r>
        <w:t>Se buscará garantizar el desarrollo de condiciones apropiadas para la coexistencia interespecie, a través del reconocimiento del valor intrínseco de todas las formas de vida, implementando acciones de prevención, atención y protección de la fauna doméstica y las especies sinantrópicas del Distrito Capital; especialmente, la que se halla en situación de vulnerabilidad, dando cumplimiento a lo establecido en el plan de acción de la Política Pública Distrital de Protección y Bienestar Animal (CONPES D. C. 17 de junio de 2021).</w:t>
      </w:r>
    </w:p>
    <w:p w14:paraId="1EFEE8FA" w14:textId="77777777" w:rsidR="00E37793" w:rsidRDefault="00E37793" w:rsidP="00E37793"/>
    <w:p w14:paraId="343C90F1" w14:textId="77777777" w:rsidR="00E37793" w:rsidRDefault="00E37793" w:rsidP="00E37793">
      <w:r>
        <w:t xml:space="preserve">Se fortalecerá la capacidad técnica y operativa ampliando la respuesta interinstitucional del Distrito Capital para la atención de animales promoviendo la prestación de servicios de atención integral y especializada desde un enfoque </w:t>
      </w:r>
      <w:r>
        <w:t>territorial que prioriza las necesidades de los microterritorios, e incluyendo el control poblacional humanitario y acciones de protección ante la crueldad animal.</w:t>
      </w:r>
    </w:p>
    <w:p w14:paraId="12914A64" w14:textId="77777777" w:rsidR="00E37793" w:rsidRDefault="00E37793" w:rsidP="00E37793"/>
    <w:p w14:paraId="6ADF93D3" w14:textId="77777777" w:rsidR="00E37793" w:rsidRDefault="00E37793" w:rsidP="00E37793">
      <w:r>
        <w:t>En ese sentido, en atención veterinaria y la medicina veterinaria preventiva, se brinda atención integral a los animales domésticos vulnerables a través de asistencia médica básica por brigadas médicas que incluyen servicios de vacunación, atención por urgencias veterinarias de perros y gatos en condición de calle que se encuentren en mal estado de salud o en riesgo de muerte. Así mismo, atiende animales que se encuentren en condición de presunto maltrato, abandono o vulnerabilidad en Bogotá, mediante la recepción de denuncias a través de la Línea Única contra el Maltrato Animal.</w:t>
      </w:r>
    </w:p>
    <w:p w14:paraId="1E36FA05" w14:textId="77777777" w:rsidR="00E37793" w:rsidRDefault="00E37793" w:rsidP="00E37793"/>
    <w:p w14:paraId="5EAC6F80" w14:textId="3E2248BD" w:rsidR="00860F33" w:rsidRPr="00860F33" w:rsidRDefault="00E37793" w:rsidP="00E37793">
      <w:pPr>
        <w:rPr>
          <w:highlight w:val="white"/>
        </w:rPr>
        <w:sectPr w:rsidR="00860F33" w:rsidRPr="00860F33" w:rsidSect="00F7078E">
          <w:type w:val="continuous"/>
          <w:pgSz w:w="12240" w:h="15840"/>
          <w:pgMar w:top="2262" w:right="1440" w:bottom="1440" w:left="1440" w:header="708" w:footer="680" w:gutter="0"/>
          <w:cols w:num="2" w:space="567"/>
          <w:docGrid w:linePitch="299"/>
        </w:sectPr>
      </w:pPr>
      <w:r>
        <w:t xml:space="preserve">Respecto a la custodia de animales objeto de aprehensión material preventiva por la autoridad policía, se busca la rehabilitación y reubicación de caninos y felinos, especies de granja y animales de compañía no convencionales, tales como patos, conejos, aves de corral, caballos, </w:t>
      </w:r>
      <w:r>
        <w:t>grandes y pequeños rumiantes, llamas, pequeños roedores, aves ornamentales y cerdos, entre otros, con base en los lineamientos normativos legales vigentes y en articulación con las entidades competentes, para garantizar la atención integral y oportuna de los animales afectados</w:t>
      </w:r>
      <w:r w:rsidR="00B14E38" w:rsidRPr="00B944E8">
        <w:rPr>
          <w:highlight w:val="white"/>
        </w:rPr>
        <w:t>.</w:t>
      </w:r>
    </w:p>
    <w:p w14:paraId="5772B3F4" w14:textId="77777777" w:rsidR="00860F33" w:rsidRDefault="00860F33" w:rsidP="00B14E38">
      <w:pPr>
        <w:pStyle w:val="figuratitulo"/>
        <w:rPr>
          <w:b/>
          <w:bCs/>
        </w:rPr>
        <w:sectPr w:rsidR="00860F33" w:rsidSect="00F7078E">
          <w:footerReference w:type="default" r:id="rId121"/>
          <w:type w:val="continuous"/>
          <w:pgSz w:w="12240" w:h="15840"/>
          <w:pgMar w:top="2262" w:right="1440" w:bottom="1440" w:left="1440" w:header="708" w:footer="708" w:gutter="0"/>
          <w:cols w:num="2" w:space="708"/>
          <w:docGrid w:linePitch="360"/>
        </w:sectPr>
      </w:pPr>
      <w:bookmarkStart w:id="291" w:name="_heading=h.snib2n2pk3ze" w:colFirst="0" w:colLast="0"/>
      <w:bookmarkEnd w:id="291"/>
    </w:p>
    <w:p w14:paraId="1ABBDF2E" w14:textId="577B344F" w:rsidR="00B14E38" w:rsidRPr="00E37793" w:rsidRDefault="00E37793" w:rsidP="00E37793">
      <w:pPr>
        <w:pStyle w:val="Descripcin"/>
        <w:jc w:val="center"/>
        <w:rPr>
          <w:sz w:val="18"/>
          <w:szCs w:val="14"/>
        </w:rPr>
      </w:pPr>
      <w:bookmarkStart w:id="292" w:name="_Toc165169944"/>
      <w:r w:rsidRPr="00E37793">
        <w:rPr>
          <w:color w:val="C00000"/>
          <w:sz w:val="18"/>
          <w:szCs w:val="14"/>
        </w:rPr>
        <w:t xml:space="preserve">Tabla </w:t>
      </w:r>
      <w:r w:rsidRPr="00E37793">
        <w:rPr>
          <w:color w:val="C00000"/>
          <w:sz w:val="18"/>
          <w:szCs w:val="14"/>
        </w:rPr>
        <w:fldChar w:fldCharType="begin"/>
      </w:r>
      <w:r w:rsidRPr="00E37793">
        <w:rPr>
          <w:color w:val="C00000"/>
          <w:sz w:val="18"/>
          <w:szCs w:val="14"/>
        </w:rPr>
        <w:instrText xml:space="preserve"> SEQ Tabla \* ARABIC </w:instrText>
      </w:r>
      <w:r w:rsidRPr="00E37793">
        <w:rPr>
          <w:color w:val="C00000"/>
          <w:sz w:val="18"/>
          <w:szCs w:val="14"/>
        </w:rPr>
        <w:fldChar w:fldCharType="separate"/>
      </w:r>
      <w:r w:rsidR="00D01651">
        <w:rPr>
          <w:noProof/>
          <w:color w:val="C00000"/>
          <w:sz w:val="18"/>
          <w:szCs w:val="14"/>
        </w:rPr>
        <w:t>34</w:t>
      </w:r>
      <w:r w:rsidRPr="00E37793">
        <w:rPr>
          <w:color w:val="C00000"/>
          <w:sz w:val="18"/>
          <w:szCs w:val="14"/>
        </w:rPr>
        <w:fldChar w:fldCharType="end"/>
      </w:r>
      <w:r w:rsidRPr="00E37793">
        <w:rPr>
          <w:color w:val="C00000"/>
          <w:sz w:val="18"/>
          <w:szCs w:val="14"/>
        </w:rPr>
        <w:t xml:space="preserve">. </w:t>
      </w:r>
      <w:r w:rsidR="00B14E38" w:rsidRPr="00E37793">
        <w:rPr>
          <w:color w:val="000000" w:themeColor="text1"/>
          <w:sz w:val="18"/>
          <w:szCs w:val="14"/>
        </w:rPr>
        <w:t>Metas del programa 15</w:t>
      </w:r>
      <w:r w:rsidR="00102EF6">
        <w:rPr>
          <w:color w:val="000000" w:themeColor="text1"/>
          <w:sz w:val="18"/>
          <w:szCs w:val="14"/>
        </w:rPr>
        <w:t xml:space="preserve">: </w:t>
      </w:r>
      <w:r w:rsidR="00B14E38" w:rsidRPr="00E37793">
        <w:rPr>
          <w:color w:val="000000" w:themeColor="text1"/>
          <w:sz w:val="18"/>
          <w:szCs w:val="14"/>
        </w:rPr>
        <w:t>Bogotá protege todas las formas de vida</w:t>
      </w:r>
      <w:bookmarkEnd w:id="292"/>
    </w:p>
    <w:tbl>
      <w:tblPr>
        <w:tblW w:w="9344"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400"/>
        <w:gridCol w:w="1158"/>
        <w:gridCol w:w="1213"/>
        <w:gridCol w:w="1223"/>
        <w:gridCol w:w="1160"/>
        <w:gridCol w:w="1190"/>
      </w:tblGrid>
      <w:tr w:rsidR="00102EF6" w:rsidRPr="00102EF6" w14:paraId="3E95D9A7" w14:textId="77777777" w:rsidTr="00102EF6">
        <w:trPr>
          <w:tblHeader/>
        </w:trPr>
        <w:tc>
          <w:tcPr>
            <w:tcW w:w="0" w:type="auto"/>
            <w:vMerge w:val="restart"/>
            <w:shd w:val="clear" w:color="auto" w:fill="C00000"/>
            <w:tcMar>
              <w:top w:w="30" w:type="dxa"/>
              <w:left w:w="45" w:type="dxa"/>
              <w:bottom w:w="30" w:type="dxa"/>
              <w:right w:w="45" w:type="dxa"/>
            </w:tcMar>
            <w:vAlign w:val="center"/>
            <w:hideMark/>
          </w:tcPr>
          <w:bookmarkEnd w:id="230"/>
          <w:bookmarkEnd w:id="231"/>
          <w:p w14:paraId="462FDEED" w14:textId="77777777" w:rsidR="00102EF6" w:rsidRPr="00102EF6" w:rsidRDefault="00102EF6" w:rsidP="00AA4BBB">
            <w:pPr>
              <w:jc w:val="center"/>
              <w:rPr>
                <w:rFonts w:cs="Arial"/>
                <w:b/>
                <w:bCs/>
                <w:color w:val="FFFFFF"/>
                <w:sz w:val="16"/>
                <w:szCs w:val="16"/>
              </w:rPr>
            </w:pPr>
            <w:r w:rsidRPr="00102EF6">
              <w:rPr>
                <w:rFonts w:cs="Arial"/>
                <w:b/>
                <w:bCs/>
                <w:color w:val="FFFFFF"/>
                <w:sz w:val="16"/>
                <w:szCs w:val="16"/>
              </w:rPr>
              <w:t>SECTOR / Metas</w:t>
            </w:r>
          </w:p>
        </w:tc>
        <w:tc>
          <w:tcPr>
            <w:tcW w:w="0" w:type="auto"/>
            <w:gridSpan w:val="5"/>
            <w:shd w:val="clear" w:color="auto" w:fill="C00000"/>
            <w:tcMar>
              <w:top w:w="30" w:type="dxa"/>
              <w:left w:w="45" w:type="dxa"/>
              <w:bottom w:w="30" w:type="dxa"/>
              <w:right w:w="45" w:type="dxa"/>
            </w:tcMar>
            <w:vAlign w:val="center"/>
            <w:hideMark/>
          </w:tcPr>
          <w:p w14:paraId="35880789" w14:textId="77777777" w:rsidR="00102EF6" w:rsidRPr="00102EF6" w:rsidRDefault="00102EF6" w:rsidP="00AA4BBB">
            <w:pPr>
              <w:jc w:val="center"/>
              <w:rPr>
                <w:rFonts w:cs="Arial"/>
                <w:b/>
                <w:bCs/>
                <w:color w:val="FFFFFF"/>
                <w:sz w:val="20"/>
                <w:szCs w:val="20"/>
              </w:rPr>
            </w:pPr>
            <w:r w:rsidRPr="00102EF6">
              <w:rPr>
                <w:rFonts w:cs="Arial"/>
                <w:b/>
                <w:bCs/>
                <w:color w:val="FFFFFF"/>
                <w:sz w:val="20"/>
                <w:szCs w:val="20"/>
              </w:rPr>
              <w:t>Magnitudes e Inversión (Precios Constantes 2024)</w:t>
            </w:r>
          </w:p>
        </w:tc>
      </w:tr>
      <w:tr w:rsidR="00102EF6" w:rsidRPr="00102EF6" w14:paraId="5BC5B487" w14:textId="77777777" w:rsidTr="00102EF6">
        <w:trPr>
          <w:tblHeader/>
        </w:trPr>
        <w:tc>
          <w:tcPr>
            <w:tcW w:w="0" w:type="auto"/>
            <w:vMerge/>
            <w:vAlign w:val="center"/>
            <w:hideMark/>
          </w:tcPr>
          <w:p w14:paraId="15CBAF11" w14:textId="77777777" w:rsidR="00102EF6" w:rsidRPr="00102EF6" w:rsidRDefault="00102EF6" w:rsidP="00AA4BBB">
            <w:pPr>
              <w:rPr>
                <w:rFonts w:cs="Arial"/>
                <w:b/>
                <w:bCs/>
                <w:color w:val="FFFFFF"/>
                <w:sz w:val="16"/>
                <w:szCs w:val="16"/>
              </w:rPr>
            </w:pPr>
          </w:p>
        </w:tc>
        <w:tc>
          <w:tcPr>
            <w:tcW w:w="0" w:type="auto"/>
            <w:shd w:val="clear" w:color="auto" w:fill="D9D9D9"/>
            <w:tcMar>
              <w:top w:w="30" w:type="dxa"/>
              <w:left w:w="45" w:type="dxa"/>
              <w:bottom w:w="30" w:type="dxa"/>
              <w:right w:w="45" w:type="dxa"/>
            </w:tcMar>
            <w:vAlign w:val="center"/>
            <w:hideMark/>
          </w:tcPr>
          <w:p w14:paraId="4207D905" w14:textId="77777777" w:rsidR="00102EF6" w:rsidRPr="00102EF6" w:rsidRDefault="00102EF6" w:rsidP="00AA4BBB">
            <w:pPr>
              <w:jc w:val="center"/>
              <w:rPr>
                <w:rFonts w:cs="Arial"/>
                <w:b/>
                <w:bCs/>
                <w:sz w:val="20"/>
                <w:szCs w:val="20"/>
              </w:rPr>
            </w:pPr>
            <w:r w:rsidRPr="00102EF6">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421D7759" w14:textId="77777777" w:rsidR="00102EF6" w:rsidRPr="00102EF6" w:rsidRDefault="00102EF6" w:rsidP="00AA4BBB">
            <w:pPr>
              <w:jc w:val="center"/>
              <w:rPr>
                <w:rFonts w:cs="Arial"/>
                <w:b/>
                <w:bCs/>
                <w:sz w:val="20"/>
                <w:szCs w:val="20"/>
              </w:rPr>
            </w:pPr>
            <w:r w:rsidRPr="00102EF6">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7F7865B3" w14:textId="77777777" w:rsidR="00102EF6" w:rsidRPr="00102EF6" w:rsidRDefault="00102EF6" w:rsidP="00AA4BBB">
            <w:pPr>
              <w:jc w:val="center"/>
              <w:rPr>
                <w:rFonts w:cs="Arial"/>
                <w:b/>
                <w:bCs/>
                <w:sz w:val="20"/>
                <w:szCs w:val="20"/>
              </w:rPr>
            </w:pPr>
            <w:r w:rsidRPr="00102EF6">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48E27219" w14:textId="77777777" w:rsidR="00102EF6" w:rsidRPr="00102EF6" w:rsidRDefault="00102EF6" w:rsidP="00AA4BBB">
            <w:pPr>
              <w:jc w:val="center"/>
              <w:rPr>
                <w:rFonts w:cs="Arial"/>
                <w:b/>
                <w:bCs/>
                <w:sz w:val="20"/>
                <w:szCs w:val="20"/>
              </w:rPr>
            </w:pPr>
            <w:r w:rsidRPr="00102EF6">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5B0A241F" w14:textId="77777777" w:rsidR="00102EF6" w:rsidRDefault="00102EF6" w:rsidP="00102EF6">
            <w:pPr>
              <w:jc w:val="right"/>
              <w:rPr>
                <w:rFonts w:cs="Arial"/>
                <w:b/>
                <w:bCs/>
                <w:sz w:val="20"/>
                <w:szCs w:val="20"/>
              </w:rPr>
            </w:pPr>
            <w:r w:rsidRPr="00102EF6">
              <w:rPr>
                <w:rFonts w:cs="Arial"/>
                <w:b/>
                <w:bCs/>
                <w:sz w:val="20"/>
                <w:szCs w:val="20"/>
              </w:rPr>
              <w:t xml:space="preserve">Total </w:t>
            </w:r>
          </w:p>
          <w:p w14:paraId="323FFC7A" w14:textId="411EF0D6" w:rsidR="00102EF6" w:rsidRPr="00102EF6" w:rsidRDefault="00102EF6" w:rsidP="00102EF6">
            <w:pPr>
              <w:jc w:val="right"/>
              <w:rPr>
                <w:rFonts w:cs="Arial"/>
                <w:b/>
                <w:bCs/>
                <w:sz w:val="20"/>
                <w:szCs w:val="20"/>
              </w:rPr>
            </w:pPr>
            <w:r w:rsidRPr="00102EF6">
              <w:rPr>
                <w:rFonts w:cs="Arial"/>
                <w:b/>
                <w:bCs/>
                <w:sz w:val="20"/>
                <w:szCs w:val="20"/>
              </w:rPr>
              <w:t>Inversión</w:t>
            </w:r>
          </w:p>
        </w:tc>
      </w:tr>
      <w:tr w:rsidR="00102EF6" w:rsidRPr="00102EF6" w14:paraId="3096B8C6" w14:textId="77777777" w:rsidTr="00102EF6">
        <w:tc>
          <w:tcPr>
            <w:tcW w:w="0" w:type="auto"/>
            <w:gridSpan w:val="6"/>
            <w:shd w:val="clear" w:color="auto" w:fill="C00000"/>
            <w:tcMar>
              <w:top w:w="30" w:type="dxa"/>
              <w:left w:w="45" w:type="dxa"/>
              <w:bottom w:w="30" w:type="dxa"/>
              <w:right w:w="45" w:type="dxa"/>
            </w:tcMar>
            <w:vAlign w:val="center"/>
            <w:hideMark/>
          </w:tcPr>
          <w:p w14:paraId="4AAB8193" w14:textId="11D20538" w:rsidR="00102EF6" w:rsidRPr="00102EF6" w:rsidRDefault="00102EF6" w:rsidP="00102EF6">
            <w:pPr>
              <w:jc w:val="center"/>
              <w:rPr>
                <w:rFonts w:cs="Arial"/>
                <w:b/>
                <w:bCs/>
                <w:sz w:val="16"/>
                <w:szCs w:val="16"/>
              </w:rPr>
            </w:pPr>
            <w:r w:rsidRPr="00102EF6">
              <w:rPr>
                <w:rFonts w:cs="Arial"/>
                <w:b/>
                <w:bCs/>
                <w:color w:val="FFFFFF" w:themeColor="background1"/>
                <w:sz w:val="16"/>
                <w:szCs w:val="16"/>
              </w:rPr>
              <w:t>Ambiente</w:t>
            </w:r>
          </w:p>
        </w:tc>
      </w:tr>
      <w:tr w:rsidR="00102EF6" w:rsidRPr="00102EF6" w14:paraId="03D6EB63" w14:textId="77777777" w:rsidTr="00102EF6">
        <w:tc>
          <w:tcPr>
            <w:tcW w:w="0" w:type="auto"/>
            <w:vMerge w:val="restart"/>
            <w:tcMar>
              <w:top w:w="30" w:type="dxa"/>
              <w:left w:w="45" w:type="dxa"/>
              <w:bottom w:w="30" w:type="dxa"/>
              <w:right w:w="45" w:type="dxa"/>
            </w:tcMar>
            <w:vAlign w:val="center"/>
            <w:hideMark/>
          </w:tcPr>
          <w:p w14:paraId="213B4BA3" w14:textId="77777777" w:rsidR="00102EF6" w:rsidRPr="00102EF6" w:rsidRDefault="00102EF6" w:rsidP="00AA4BBB">
            <w:pPr>
              <w:rPr>
                <w:rFonts w:cs="Arial"/>
                <w:sz w:val="16"/>
                <w:szCs w:val="16"/>
              </w:rPr>
            </w:pPr>
            <w:r w:rsidRPr="00102EF6">
              <w:rPr>
                <w:rFonts w:cs="Arial"/>
                <w:sz w:val="16"/>
                <w:szCs w:val="16"/>
              </w:rPr>
              <w:t>Atender 19.500 animales en condición de presunto maltrato incluidos especies de granja no convencionales en el Distrito Capital.</w:t>
            </w:r>
          </w:p>
        </w:tc>
        <w:tc>
          <w:tcPr>
            <w:tcW w:w="0" w:type="auto"/>
            <w:tcMar>
              <w:top w:w="30" w:type="dxa"/>
              <w:left w:w="45" w:type="dxa"/>
              <w:bottom w:w="30" w:type="dxa"/>
              <w:right w:w="45" w:type="dxa"/>
            </w:tcMar>
            <w:vAlign w:val="center"/>
            <w:hideMark/>
          </w:tcPr>
          <w:p w14:paraId="7AD17F88" w14:textId="77777777" w:rsidR="00102EF6" w:rsidRPr="00102EF6" w:rsidRDefault="00102EF6" w:rsidP="00AA4BBB">
            <w:pPr>
              <w:jc w:val="center"/>
              <w:rPr>
                <w:rFonts w:cs="Arial"/>
                <w:sz w:val="18"/>
                <w:szCs w:val="18"/>
              </w:rPr>
            </w:pPr>
            <w:r w:rsidRPr="00102EF6">
              <w:rPr>
                <w:rFonts w:cs="Arial"/>
                <w:sz w:val="18"/>
                <w:szCs w:val="18"/>
              </w:rPr>
              <w:t>3.000</w:t>
            </w:r>
          </w:p>
        </w:tc>
        <w:tc>
          <w:tcPr>
            <w:tcW w:w="0" w:type="auto"/>
            <w:tcMar>
              <w:top w:w="30" w:type="dxa"/>
              <w:left w:w="45" w:type="dxa"/>
              <w:bottom w:w="30" w:type="dxa"/>
              <w:right w:w="45" w:type="dxa"/>
            </w:tcMar>
            <w:vAlign w:val="center"/>
            <w:hideMark/>
          </w:tcPr>
          <w:p w14:paraId="52168402" w14:textId="77777777" w:rsidR="00102EF6" w:rsidRPr="00102EF6" w:rsidRDefault="00102EF6" w:rsidP="00AA4BBB">
            <w:pPr>
              <w:jc w:val="center"/>
              <w:rPr>
                <w:rFonts w:cs="Arial"/>
                <w:sz w:val="18"/>
                <w:szCs w:val="18"/>
              </w:rPr>
            </w:pPr>
            <w:r w:rsidRPr="00102EF6">
              <w:rPr>
                <w:rFonts w:cs="Arial"/>
                <w:sz w:val="18"/>
                <w:szCs w:val="18"/>
              </w:rPr>
              <w:t>5.900</w:t>
            </w:r>
          </w:p>
        </w:tc>
        <w:tc>
          <w:tcPr>
            <w:tcW w:w="0" w:type="auto"/>
            <w:tcMar>
              <w:top w:w="30" w:type="dxa"/>
              <w:left w:w="45" w:type="dxa"/>
              <w:bottom w:w="30" w:type="dxa"/>
              <w:right w:w="45" w:type="dxa"/>
            </w:tcMar>
            <w:vAlign w:val="center"/>
            <w:hideMark/>
          </w:tcPr>
          <w:p w14:paraId="44D32774" w14:textId="77777777" w:rsidR="00102EF6" w:rsidRPr="00102EF6" w:rsidRDefault="00102EF6" w:rsidP="00AA4BBB">
            <w:pPr>
              <w:jc w:val="center"/>
              <w:rPr>
                <w:rFonts w:cs="Arial"/>
                <w:sz w:val="18"/>
                <w:szCs w:val="18"/>
              </w:rPr>
            </w:pPr>
            <w:r w:rsidRPr="00102EF6">
              <w:rPr>
                <w:rFonts w:cs="Arial"/>
                <w:sz w:val="18"/>
                <w:szCs w:val="18"/>
              </w:rPr>
              <w:t>5.800</w:t>
            </w:r>
          </w:p>
        </w:tc>
        <w:tc>
          <w:tcPr>
            <w:tcW w:w="0" w:type="auto"/>
            <w:tcMar>
              <w:top w:w="30" w:type="dxa"/>
              <w:left w:w="45" w:type="dxa"/>
              <w:bottom w:w="30" w:type="dxa"/>
              <w:right w:w="45" w:type="dxa"/>
            </w:tcMar>
            <w:vAlign w:val="center"/>
            <w:hideMark/>
          </w:tcPr>
          <w:p w14:paraId="739D681A" w14:textId="77777777" w:rsidR="00102EF6" w:rsidRPr="00102EF6" w:rsidRDefault="00102EF6" w:rsidP="00AA4BBB">
            <w:pPr>
              <w:jc w:val="center"/>
              <w:rPr>
                <w:rFonts w:cs="Arial"/>
                <w:sz w:val="18"/>
                <w:szCs w:val="18"/>
              </w:rPr>
            </w:pPr>
            <w:r w:rsidRPr="00102EF6">
              <w:rPr>
                <w:rFonts w:cs="Arial"/>
                <w:sz w:val="18"/>
                <w:szCs w:val="18"/>
              </w:rPr>
              <w:t>4.800</w:t>
            </w:r>
          </w:p>
        </w:tc>
        <w:tc>
          <w:tcPr>
            <w:tcW w:w="0" w:type="auto"/>
            <w:vMerge w:val="restart"/>
            <w:tcMar>
              <w:top w:w="30" w:type="dxa"/>
              <w:left w:w="45" w:type="dxa"/>
              <w:bottom w:w="30" w:type="dxa"/>
              <w:right w:w="45" w:type="dxa"/>
            </w:tcMar>
            <w:vAlign w:val="center"/>
            <w:hideMark/>
          </w:tcPr>
          <w:p w14:paraId="78AF9AEA" w14:textId="77777777" w:rsidR="00102EF6" w:rsidRPr="00102EF6" w:rsidRDefault="00102EF6" w:rsidP="00AA4BBB">
            <w:pPr>
              <w:jc w:val="center"/>
              <w:rPr>
                <w:rFonts w:cs="Arial"/>
                <w:b/>
                <w:bCs/>
                <w:sz w:val="18"/>
                <w:szCs w:val="18"/>
              </w:rPr>
            </w:pPr>
            <w:r w:rsidRPr="00102EF6">
              <w:rPr>
                <w:rFonts w:cs="Arial"/>
                <w:b/>
                <w:bCs/>
                <w:sz w:val="18"/>
                <w:szCs w:val="18"/>
              </w:rPr>
              <w:t>3.012.138.624</w:t>
            </w:r>
          </w:p>
        </w:tc>
      </w:tr>
      <w:tr w:rsidR="00102EF6" w:rsidRPr="00102EF6" w14:paraId="032D0D72" w14:textId="77777777" w:rsidTr="00102EF6">
        <w:tc>
          <w:tcPr>
            <w:tcW w:w="0" w:type="auto"/>
            <w:vMerge/>
            <w:vAlign w:val="center"/>
            <w:hideMark/>
          </w:tcPr>
          <w:p w14:paraId="6710E97D" w14:textId="77777777" w:rsidR="00102EF6" w:rsidRPr="00102EF6" w:rsidRDefault="00102EF6" w:rsidP="00AA4BBB">
            <w:pPr>
              <w:rPr>
                <w:rFonts w:cs="Arial"/>
                <w:sz w:val="16"/>
                <w:szCs w:val="16"/>
              </w:rPr>
            </w:pPr>
          </w:p>
        </w:tc>
        <w:tc>
          <w:tcPr>
            <w:tcW w:w="0" w:type="auto"/>
            <w:tcMar>
              <w:top w:w="30" w:type="dxa"/>
              <w:left w:w="45" w:type="dxa"/>
              <w:bottom w:w="30" w:type="dxa"/>
              <w:right w:w="45" w:type="dxa"/>
            </w:tcMar>
            <w:vAlign w:val="center"/>
            <w:hideMark/>
          </w:tcPr>
          <w:p w14:paraId="0EDA46EA" w14:textId="77777777" w:rsidR="00102EF6" w:rsidRPr="00102EF6" w:rsidRDefault="00102EF6" w:rsidP="00AA4BBB">
            <w:pPr>
              <w:jc w:val="center"/>
              <w:rPr>
                <w:rFonts w:cs="Arial"/>
                <w:sz w:val="18"/>
                <w:szCs w:val="18"/>
              </w:rPr>
            </w:pPr>
            <w:r w:rsidRPr="00102EF6">
              <w:rPr>
                <w:rFonts w:cs="Arial"/>
                <w:sz w:val="18"/>
                <w:szCs w:val="18"/>
              </w:rPr>
              <w:t>486.145.286</w:t>
            </w:r>
          </w:p>
        </w:tc>
        <w:tc>
          <w:tcPr>
            <w:tcW w:w="0" w:type="auto"/>
            <w:tcMar>
              <w:top w:w="30" w:type="dxa"/>
              <w:left w:w="45" w:type="dxa"/>
              <w:bottom w:w="30" w:type="dxa"/>
              <w:right w:w="45" w:type="dxa"/>
            </w:tcMar>
            <w:vAlign w:val="center"/>
            <w:hideMark/>
          </w:tcPr>
          <w:p w14:paraId="66DF4510" w14:textId="77777777" w:rsidR="00102EF6" w:rsidRPr="00102EF6" w:rsidRDefault="00102EF6" w:rsidP="00AA4BBB">
            <w:pPr>
              <w:jc w:val="center"/>
              <w:rPr>
                <w:rFonts w:cs="Arial"/>
                <w:sz w:val="18"/>
                <w:szCs w:val="18"/>
              </w:rPr>
            </w:pPr>
            <w:r w:rsidRPr="00102EF6">
              <w:rPr>
                <w:rFonts w:cs="Arial"/>
                <w:sz w:val="18"/>
                <w:szCs w:val="18"/>
              </w:rPr>
              <w:t>928.238.573</w:t>
            </w:r>
          </w:p>
        </w:tc>
        <w:tc>
          <w:tcPr>
            <w:tcW w:w="0" w:type="auto"/>
            <w:tcMar>
              <w:top w:w="30" w:type="dxa"/>
              <w:left w:w="45" w:type="dxa"/>
              <w:bottom w:w="30" w:type="dxa"/>
              <w:right w:w="45" w:type="dxa"/>
            </w:tcMar>
            <w:vAlign w:val="center"/>
            <w:hideMark/>
          </w:tcPr>
          <w:p w14:paraId="1E6970A6" w14:textId="77777777" w:rsidR="00102EF6" w:rsidRPr="00102EF6" w:rsidRDefault="00102EF6" w:rsidP="00AA4BBB">
            <w:pPr>
              <w:jc w:val="center"/>
              <w:rPr>
                <w:rFonts w:cs="Arial"/>
                <w:sz w:val="18"/>
                <w:szCs w:val="18"/>
              </w:rPr>
            </w:pPr>
            <w:r w:rsidRPr="00102EF6">
              <w:rPr>
                <w:rFonts w:cs="Arial"/>
                <w:sz w:val="18"/>
                <w:szCs w:val="18"/>
              </w:rPr>
              <w:t>885.927.879</w:t>
            </w:r>
          </w:p>
        </w:tc>
        <w:tc>
          <w:tcPr>
            <w:tcW w:w="0" w:type="auto"/>
            <w:tcMar>
              <w:top w:w="30" w:type="dxa"/>
              <w:left w:w="45" w:type="dxa"/>
              <w:bottom w:w="30" w:type="dxa"/>
              <w:right w:w="45" w:type="dxa"/>
            </w:tcMar>
            <w:vAlign w:val="center"/>
            <w:hideMark/>
          </w:tcPr>
          <w:p w14:paraId="4E13511E" w14:textId="77777777" w:rsidR="00102EF6" w:rsidRPr="00102EF6" w:rsidRDefault="00102EF6" w:rsidP="00AA4BBB">
            <w:pPr>
              <w:jc w:val="center"/>
              <w:rPr>
                <w:rFonts w:cs="Arial"/>
                <w:sz w:val="18"/>
                <w:szCs w:val="18"/>
              </w:rPr>
            </w:pPr>
            <w:r w:rsidRPr="00102EF6">
              <w:rPr>
                <w:rFonts w:cs="Arial"/>
                <w:sz w:val="18"/>
                <w:szCs w:val="18"/>
              </w:rPr>
              <w:t>711.826.886</w:t>
            </w:r>
          </w:p>
        </w:tc>
        <w:tc>
          <w:tcPr>
            <w:tcW w:w="0" w:type="auto"/>
            <w:vMerge/>
            <w:vAlign w:val="center"/>
            <w:hideMark/>
          </w:tcPr>
          <w:p w14:paraId="561BCA4F" w14:textId="77777777" w:rsidR="00102EF6" w:rsidRPr="00102EF6" w:rsidRDefault="00102EF6" w:rsidP="00AA4BBB">
            <w:pPr>
              <w:rPr>
                <w:rFonts w:cs="Arial"/>
                <w:b/>
                <w:bCs/>
                <w:sz w:val="18"/>
                <w:szCs w:val="18"/>
              </w:rPr>
            </w:pPr>
          </w:p>
        </w:tc>
      </w:tr>
      <w:tr w:rsidR="00102EF6" w:rsidRPr="00102EF6" w14:paraId="43A07405" w14:textId="77777777" w:rsidTr="00102EF6">
        <w:tc>
          <w:tcPr>
            <w:tcW w:w="0" w:type="auto"/>
            <w:vMerge w:val="restart"/>
            <w:tcMar>
              <w:top w:w="30" w:type="dxa"/>
              <w:left w:w="45" w:type="dxa"/>
              <w:bottom w:w="30" w:type="dxa"/>
              <w:right w:w="45" w:type="dxa"/>
            </w:tcMar>
            <w:vAlign w:val="center"/>
            <w:hideMark/>
          </w:tcPr>
          <w:p w14:paraId="72699299" w14:textId="77777777" w:rsidR="00102EF6" w:rsidRPr="00102EF6" w:rsidRDefault="00102EF6" w:rsidP="00AA4BBB">
            <w:pPr>
              <w:rPr>
                <w:rFonts w:cs="Arial"/>
                <w:sz w:val="16"/>
                <w:szCs w:val="16"/>
              </w:rPr>
            </w:pPr>
            <w:r w:rsidRPr="00102EF6">
              <w:rPr>
                <w:rFonts w:cs="Arial"/>
                <w:sz w:val="16"/>
                <w:szCs w:val="16"/>
              </w:rPr>
              <w:t>Atender 46.800 animales en los programas de atención integral de la fauna doméstica del Distrito Capital</w:t>
            </w:r>
          </w:p>
        </w:tc>
        <w:tc>
          <w:tcPr>
            <w:tcW w:w="0" w:type="auto"/>
            <w:tcMar>
              <w:top w:w="30" w:type="dxa"/>
              <w:left w:w="45" w:type="dxa"/>
              <w:bottom w:w="30" w:type="dxa"/>
              <w:right w:w="45" w:type="dxa"/>
            </w:tcMar>
            <w:vAlign w:val="center"/>
            <w:hideMark/>
          </w:tcPr>
          <w:p w14:paraId="5729DCA9" w14:textId="77777777" w:rsidR="00102EF6" w:rsidRPr="00102EF6" w:rsidRDefault="00102EF6" w:rsidP="00AA4BBB">
            <w:pPr>
              <w:jc w:val="center"/>
              <w:rPr>
                <w:rFonts w:cs="Arial"/>
                <w:sz w:val="18"/>
                <w:szCs w:val="18"/>
              </w:rPr>
            </w:pPr>
            <w:r w:rsidRPr="00102EF6">
              <w:rPr>
                <w:rFonts w:cs="Arial"/>
                <w:sz w:val="18"/>
                <w:szCs w:val="18"/>
              </w:rPr>
              <w:t>6.000</w:t>
            </w:r>
          </w:p>
        </w:tc>
        <w:tc>
          <w:tcPr>
            <w:tcW w:w="0" w:type="auto"/>
            <w:tcMar>
              <w:top w:w="30" w:type="dxa"/>
              <w:left w:w="45" w:type="dxa"/>
              <w:bottom w:w="30" w:type="dxa"/>
              <w:right w:w="45" w:type="dxa"/>
            </w:tcMar>
            <w:vAlign w:val="center"/>
            <w:hideMark/>
          </w:tcPr>
          <w:p w14:paraId="7C033182" w14:textId="77777777" w:rsidR="00102EF6" w:rsidRPr="00102EF6" w:rsidRDefault="00102EF6" w:rsidP="00AA4BBB">
            <w:pPr>
              <w:jc w:val="center"/>
              <w:rPr>
                <w:rFonts w:cs="Arial"/>
                <w:sz w:val="18"/>
                <w:szCs w:val="18"/>
              </w:rPr>
            </w:pPr>
            <w:r w:rsidRPr="00102EF6">
              <w:rPr>
                <w:rFonts w:cs="Arial"/>
                <w:sz w:val="18"/>
                <w:szCs w:val="18"/>
              </w:rPr>
              <w:t>13.000</w:t>
            </w:r>
          </w:p>
        </w:tc>
        <w:tc>
          <w:tcPr>
            <w:tcW w:w="0" w:type="auto"/>
            <w:tcMar>
              <w:top w:w="30" w:type="dxa"/>
              <w:left w:w="45" w:type="dxa"/>
              <w:bottom w:w="30" w:type="dxa"/>
              <w:right w:w="45" w:type="dxa"/>
            </w:tcMar>
            <w:vAlign w:val="center"/>
            <w:hideMark/>
          </w:tcPr>
          <w:p w14:paraId="218F3A92" w14:textId="77777777" w:rsidR="00102EF6" w:rsidRPr="00102EF6" w:rsidRDefault="00102EF6" w:rsidP="00AA4BBB">
            <w:pPr>
              <w:jc w:val="center"/>
              <w:rPr>
                <w:rFonts w:cs="Arial"/>
                <w:sz w:val="18"/>
                <w:szCs w:val="18"/>
              </w:rPr>
            </w:pPr>
            <w:r w:rsidRPr="00102EF6">
              <w:rPr>
                <w:rFonts w:cs="Arial"/>
                <w:sz w:val="18"/>
                <w:szCs w:val="18"/>
              </w:rPr>
              <w:t>13.900</w:t>
            </w:r>
          </w:p>
        </w:tc>
        <w:tc>
          <w:tcPr>
            <w:tcW w:w="0" w:type="auto"/>
            <w:tcMar>
              <w:top w:w="30" w:type="dxa"/>
              <w:left w:w="45" w:type="dxa"/>
              <w:bottom w:w="30" w:type="dxa"/>
              <w:right w:w="45" w:type="dxa"/>
            </w:tcMar>
            <w:vAlign w:val="center"/>
            <w:hideMark/>
          </w:tcPr>
          <w:p w14:paraId="0EC6ADB6" w14:textId="77777777" w:rsidR="00102EF6" w:rsidRPr="00102EF6" w:rsidRDefault="00102EF6" w:rsidP="00AA4BBB">
            <w:pPr>
              <w:jc w:val="center"/>
              <w:rPr>
                <w:rFonts w:cs="Arial"/>
                <w:sz w:val="18"/>
                <w:szCs w:val="18"/>
              </w:rPr>
            </w:pPr>
            <w:r w:rsidRPr="00102EF6">
              <w:rPr>
                <w:rFonts w:cs="Arial"/>
                <w:sz w:val="18"/>
                <w:szCs w:val="18"/>
              </w:rPr>
              <w:t>13.900</w:t>
            </w:r>
          </w:p>
        </w:tc>
        <w:tc>
          <w:tcPr>
            <w:tcW w:w="0" w:type="auto"/>
            <w:vMerge w:val="restart"/>
            <w:tcMar>
              <w:top w:w="30" w:type="dxa"/>
              <w:left w:w="45" w:type="dxa"/>
              <w:bottom w:w="30" w:type="dxa"/>
              <w:right w:w="45" w:type="dxa"/>
            </w:tcMar>
            <w:vAlign w:val="center"/>
            <w:hideMark/>
          </w:tcPr>
          <w:p w14:paraId="7702DB35" w14:textId="77777777" w:rsidR="00102EF6" w:rsidRPr="00102EF6" w:rsidRDefault="00102EF6" w:rsidP="00AA4BBB">
            <w:pPr>
              <w:jc w:val="center"/>
              <w:rPr>
                <w:rFonts w:cs="Arial"/>
                <w:b/>
                <w:bCs/>
                <w:sz w:val="18"/>
                <w:szCs w:val="18"/>
              </w:rPr>
            </w:pPr>
            <w:r w:rsidRPr="00102EF6">
              <w:rPr>
                <w:rFonts w:cs="Arial"/>
                <w:b/>
                <w:bCs/>
                <w:sz w:val="18"/>
                <w:szCs w:val="18"/>
              </w:rPr>
              <w:t>26.565.361.807</w:t>
            </w:r>
          </w:p>
        </w:tc>
      </w:tr>
      <w:tr w:rsidR="00102EF6" w:rsidRPr="00102EF6" w14:paraId="342970ED" w14:textId="77777777" w:rsidTr="00102EF6">
        <w:tc>
          <w:tcPr>
            <w:tcW w:w="0" w:type="auto"/>
            <w:vMerge/>
            <w:vAlign w:val="center"/>
            <w:hideMark/>
          </w:tcPr>
          <w:p w14:paraId="7D8FAFB7" w14:textId="77777777" w:rsidR="00102EF6" w:rsidRPr="00102EF6" w:rsidRDefault="00102EF6" w:rsidP="00AA4BBB">
            <w:pPr>
              <w:rPr>
                <w:rFonts w:cs="Arial"/>
                <w:sz w:val="16"/>
                <w:szCs w:val="16"/>
              </w:rPr>
            </w:pPr>
          </w:p>
        </w:tc>
        <w:tc>
          <w:tcPr>
            <w:tcW w:w="0" w:type="auto"/>
            <w:tcMar>
              <w:top w:w="30" w:type="dxa"/>
              <w:left w:w="45" w:type="dxa"/>
              <w:bottom w:w="30" w:type="dxa"/>
              <w:right w:w="45" w:type="dxa"/>
            </w:tcMar>
            <w:vAlign w:val="center"/>
            <w:hideMark/>
          </w:tcPr>
          <w:p w14:paraId="0C54FFC3" w14:textId="77777777" w:rsidR="00102EF6" w:rsidRPr="00102EF6" w:rsidRDefault="00102EF6" w:rsidP="00AA4BBB">
            <w:pPr>
              <w:jc w:val="center"/>
              <w:rPr>
                <w:rFonts w:cs="Arial"/>
                <w:sz w:val="18"/>
                <w:szCs w:val="18"/>
              </w:rPr>
            </w:pPr>
            <w:r w:rsidRPr="00102EF6">
              <w:rPr>
                <w:rFonts w:cs="Arial"/>
                <w:sz w:val="18"/>
                <w:szCs w:val="18"/>
              </w:rPr>
              <w:t>3.504.212.699</w:t>
            </w:r>
          </w:p>
        </w:tc>
        <w:tc>
          <w:tcPr>
            <w:tcW w:w="0" w:type="auto"/>
            <w:tcMar>
              <w:top w:w="30" w:type="dxa"/>
              <w:left w:w="45" w:type="dxa"/>
              <w:bottom w:w="30" w:type="dxa"/>
              <w:right w:w="45" w:type="dxa"/>
            </w:tcMar>
            <w:vAlign w:val="center"/>
            <w:hideMark/>
          </w:tcPr>
          <w:p w14:paraId="33E48E1E" w14:textId="77777777" w:rsidR="00102EF6" w:rsidRPr="00102EF6" w:rsidRDefault="00102EF6" w:rsidP="00AA4BBB">
            <w:pPr>
              <w:jc w:val="center"/>
              <w:rPr>
                <w:rFonts w:cs="Arial"/>
                <w:sz w:val="18"/>
                <w:szCs w:val="18"/>
              </w:rPr>
            </w:pPr>
            <w:r w:rsidRPr="00102EF6">
              <w:rPr>
                <w:rFonts w:cs="Arial"/>
                <w:sz w:val="18"/>
                <w:szCs w:val="18"/>
              </w:rPr>
              <w:t>7.546.140.125</w:t>
            </w:r>
          </w:p>
        </w:tc>
        <w:tc>
          <w:tcPr>
            <w:tcW w:w="0" w:type="auto"/>
            <w:tcMar>
              <w:top w:w="30" w:type="dxa"/>
              <w:left w:w="45" w:type="dxa"/>
              <w:bottom w:w="30" w:type="dxa"/>
              <w:right w:w="45" w:type="dxa"/>
            </w:tcMar>
            <w:vAlign w:val="center"/>
            <w:hideMark/>
          </w:tcPr>
          <w:p w14:paraId="622CEA2A" w14:textId="77777777" w:rsidR="00102EF6" w:rsidRPr="00102EF6" w:rsidRDefault="00102EF6" w:rsidP="00AA4BBB">
            <w:pPr>
              <w:jc w:val="center"/>
              <w:rPr>
                <w:rFonts w:cs="Arial"/>
                <w:sz w:val="18"/>
                <w:szCs w:val="18"/>
              </w:rPr>
            </w:pPr>
            <w:r w:rsidRPr="00102EF6">
              <w:rPr>
                <w:rFonts w:cs="Arial"/>
                <w:sz w:val="18"/>
                <w:szCs w:val="18"/>
              </w:rPr>
              <w:t>7.833.558.457</w:t>
            </w:r>
          </w:p>
        </w:tc>
        <w:tc>
          <w:tcPr>
            <w:tcW w:w="0" w:type="auto"/>
            <w:tcMar>
              <w:top w:w="30" w:type="dxa"/>
              <w:left w:w="45" w:type="dxa"/>
              <w:bottom w:w="30" w:type="dxa"/>
              <w:right w:w="45" w:type="dxa"/>
            </w:tcMar>
            <w:vAlign w:val="center"/>
            <w:hideMark/>
          </w:tcPr>
          <w:p w14:paraId="70204238" w14:textId="77777777" w:rsidR="00102EF6" w:rsidRPr="00102EF6" w:rsidRDefault="00102EF6" w:rsidP="00AA4BBB">
            <w:pPr>
              <w:jc w:val="center"/>
              <w:rPr>
                <w:rFonts w:cs="Arial"/>
                <w:sz w:val="18"/>
                <w:szCs w:val="18"/>
              </w:rPr>
            </w:pPr>
            <w:r w:rsidRPr="00102EF6">
              <w:rPr>
                <w:rFonts w:cs="Arial"/>
                <w:sz w:val="18"/>
                <w:szCs w:val="18"/>
              </w:rPr>
              <w:t>7.681.450.526</w:t>
            </w:r>
          </w:p>
        </w:tc>
        <w:tc>
          <w:tcPr>
            <w:tcW w:w="0" w:type="auto"/>
            <w:vMerge/>
            <w:vAlign w:val="center"/>
            <w:hideMark/>
          </w:tcPr>
          <w:p w14:paraId="20994CF1" w14:textId="77777777" w:rsidR="00102EF6" w:rsidRPr="00102EF6" w:rsidRDefault="00102EF6" w:rsidP="00AA4BBB">
            <w:pPr>
              <w:rPr>
                <w:rFonts w:cs="Arial"/>
                <w:b/>
                <w:bCs/>
                <w:sz w:val="18"/>
                <w:szCs w:val="18"/>
              </w:rPr>
            </w:pPr>
          </w:p>
        </w:tc>
      </w:tr>
      <w:tr w:rsidR="00102EF6" w:rsidRPr="00102EF6" w14:paraId="4BAA67FB" w14:textId="77777777" w:rsidTr="00102EF6">
        <w:tc>
          <w:tcPr>
            <w:tcW w:w="0" w:type="auto"/>
            <w:vMerge w:val="restart"/>
            <w:tcMar>
              <w:top w:w="30" w:type="dxa"/>
              <w:left w:w="45" w:type="dxa"/>
              <w:bottom w:w="30" w:type="dxa"/>
              <w:right w:w="45" w:type="dxa"/>
            </w:tcMar>
            <w:vAlign w:val="center"/>
            <w:hideMark/>
          </w:tcPr>
          <w:p w14:paraId="34DDF07E" w14:textId="6DF05681" w:rsidR="00102EF6" w:rsidRPr="00102EF6" w:rsidRDefault="00F50DB2" w:rsidP="00F50DB2">
            <w:pPr>
              <w:rPr>
                <w:rFonts w:cs="Arial"/>
                <w:sz w:val="16"/>
                <w:szCs w:val="16"/>
              </w:rPr>
            </w:pPr>
            <w:r w:rsidRPr="00F50DB2">
              <w:rPr>
                <w:rFonts w:cs="Arial"/>
                <w:sz w:val="16"/>
                <w:szCs w:val="16"/>
              </w:rPr>
              <w:t>Esterilizar 300.000 perros y</w:t>
            </w:r>
            <w:r>
              <w:rPr>
                <w:rFonts w:cs="Arial"/>
                <w:sz w:val="16"/>
                <w:szCs w:val="16"/>
              </w:rPr>
              <w:t xml:space="preserve"> </w:t>
            </w:r>
            <w:r w:rsidRPr="00F50DB2">
              <w:rPr>
                <w:rFonts w:cs="Arial"/>
                <w:sz w:val="16"/>
                <w:szCs w:val="16"/>
              </w:rPr>
              <w:t>gatos en el Distrito, a través de</w:t>
            </w:r>
            <w:r>
              <w:rPr>
                <w:rFonts w:cs="Arial"/>
                <w:sz w:val="16"/>
                <w:szCs w:val="16"/>
              </w:rPr>
              <w:t xml:space="preserve"> </w:t>
            </w:r>
            <w:r w:rsidRPr="00F50DB2">
              <w:rPr>
                <w:rFonts w:cs="Arial"/>
                <w:sz w:val="16"/>
                <w:szCs w:val="16"/>
              </w:rPr>
              <w:t>alianzas y una gestión eficiente.</w:t>
            </w:r>
          </w:p>
        </w:tc>
        <w:tc>
          <w:tcPr>
            <w:tcW w:w="0" w:type="auto"/>
            <w:tcMar>
              <w:top w:w="30" w:type="dxa"/>
              <w:left w:w="45" w:type="dxa"/>
              <w:bottom w:w="30" w:type="dxa"/>
              <w:right w:w="45" w:type="dxa"/>
            </w:tcMar>
            <w:vAlign w:val="center"/>
            <w:hideMark/>
          </w:tcPr>
          <w:p w14:paraId="415FD4AF" w14:textId="3F2D2068" w:rsidR="00102EF6" w:rsidRPr="00102EF6" w:rsidRDefault="00AB08EB" w:rsidP="00AA4BBB">
            <w:pPr>
              <w:jc w:val="center"/>
              <w:rPr>
                <w:rFonts w:cs="Arial"/>
                <w:sz w:val="18"/>
                <w:szCs w:val="18"/>
              </w:rPr>
            </w:pPr>
            <w:r>
              <w:rPr>
                <w:rFonts w:cs="Arial"/>
                <w:sz w:val="18"/>
                <w:szCs w:val="18"/>
              </w:rPr>
              <w:t>30</w:t>
            </w:r>
            <w:r w:rsidR="00102EF6" w:rsidRPr="00102EF6">
              <w:rPr>
                <w:rFonts w:cs="Arial"/>
                <w:sz w:val="18"/>
                <w:szCs w:val="18"/>
              </w:rPr>
              <w:t>.</w:t>
            </w:r>
            <w:r>
              <w:rPr>
                <w:rFonts w:cs="Arial"/>
                <w:sz w:val="18"/>
                <w:szCs w:val="18"/>
              </w:rPr>
              <w:t>0</w:t>
            </w:r>
            <w:r w:rsidR="00102EF6" w:rsidRPr="00102EF6">
              <w:rPr>
                <w:rFonts w:cs="Arial"/>
                <w:sz w:val="18"/>
                <w:szCs w:val="18"/>
              </w:rPr>
              <w:t>00</w:t>
            </w:r>
          </w:p>
        </w:tc>
        <w:tc>
          <w:tcPr>
            <w:tcW w:w="0" w:type="auto"/>
            <w:tcMar>
              <w:top w:w="30" w:type="dxa"/>
              <w:left w:w="45" w:type="dxa"/>
              <w:bottom w:w="30" w:type="dxa"/>
              <w:right w:w="45" w:type="dxa"/>
            </w:tcMar>
            <w:vAlign w:val="center"/>
            <w:hideMark/>
          </w:tcPr>
          <w:p w14:paraId="146F1F49" w14:textId="0E3947B8" w:rsidR="00102EF6" w:rsidRPr="00102EF6" w:rsidRDefault="00AB08EB" w:rsidP="00AA4BBB">
            <w:pPr>
              <w:jc w:val="center"/>
              <w:rPr>
                <w:rFonts w:cs="Arial"/>
                <w:sz w:val="18"/>
                <w:szCs w:val="18"/>
              </w:rPr>
            </w:pPr>
            <w:r>
              <w:rPr>
                <w:rFonts w:cs="Arial"/>
                <w:sz w:val="18"/>
                <w:szCs w:val="18"/>
              </w:rPr>
              <w:t>90</w:t>
            </w:r>
            <w:r w:rsidR="00102EF6" w:rsidRPr="00102EF6">
              <w:rPr>
                <w:rFonts w:cs="Arial"/>
                <w:sz w:val="18"/>
                <w:szCs w:val="18"/>
              </w:rPr>
              <w:t>.</w:t>
            </w:r>
            <w:r>
              <w:rPr>
                <w:rFonts w:cs="Arial"/>
                <w:sz w:val="18"/>
                <w:szCs w:val="18"/>
              </w:rPr>
              <w:t>0</w:t>
            </w:r>
            <w:r w:rsidR="00102EF6" w:rsidRPr="00102EF6">
              <w:rPr>
                <w:rFonts w:cs="Arial"/>
                <w:sz w:val="18"/>
                <w:szCs w:val="18"/>
              </w:rPr>
              <w:t>00</w:t>
            </w:r>
          </w:p>
        </w:tc>
        <w:tc>
          <w:tcPr>
            <w:tcW w:w="0" w:type="auto"/>
            <w:tcMar>
              <w:top w:w="30" w:type="dxa"/>
              <w:left w:w="45" w:type="dxa"/>
              <w:bottom w:w="30" w:type="dxa"/>
              <w:right w:w="45" w:type="dxa"/>
            </w:tcMar>
            <w:vAlign w:val="center"/>
            <w:hideMark/>
          </w:tcPr>
          <w:p w14:paraId="060FE19B" w14:textId="57BFF33F" w:rsidR="00102EF6" w:rsidRPr="00102EF6" w:rsidRDefault="00AB08EB" w:rsidP="00AA4BBB">
            <w:pPr>
              <w:jc w:val="center"/>
              <w:rPr>
                <w:rFonts w:cs="Arial"/>
                <w:sz w:val="18"/>
                <w:szCs w:val="18"/>
              </w:rPr>
            </w:pPr>
            <w:r>
              <w:rPr>
                <w:rFonts w:cs="Arial"/>
                <w:sz w:val="18"/>
                <w:szCs w:val="18"/>
              </w:rPr>
              <w:t>90</w:t>
            </w:r>
            <w:r w:rsidR="00102EF6" w:rsidRPr="00102EF6">
              <w:rPr>
                <w:rFonts w:cs="Arial"/>
                <w:sz w:val="18"/>
                <w:szCs w:val="18"/>
              </w:rPr>
              <w:t>.</w:t>
            </w:r>
            <w:r>
              <w:rPr>
                <w:rFonts w:cs="Arial"/>
                <w:sz w:val="18"/>
                <w:szCs w:val="18"/>
              </w:rPr>
              <w:t>0</w:t>
            </w:r>
            <w:r w:rsidR="00102EF6" w:rsidRPr="00102EF6">
              <w:rPr>
                <w:rFonts w:cs="Arial"/>
                <w:sz w:val="18"/>
                <w:szCs w:val="18"/>
              </w:rPr>
              <w:t>00</w:t>
            </w:r>
          </w:p>
        </w:tc>
        <w:tc>
          <w:tcPr>
            <w:tcW w:w="0" w:type="auto"/>
            <w:tcMar>
              <w:top w:w="30" w:type="dxa"/>
              <w:left w:w="45" w:type="dxa"/>
              <w:bottom w:w="30" w:type="dxa"/>
              <w:right w:w="45" w:type="dxa"/>
            </w:tcMar>
            <w:vAlign w:val="center"/>
            <w:hideMark/>
          </w:tcPr>
          <w:p w14:paraId="2A4E9F9F" w14:textId="249F152C" w:rsidR="00102EF6" w:rsidRPr="00102EF6" w:rsidRDefault="00AB08EB" w:rsidP="00AA4BBB">
            <w:pPr>
              <w:jc w:val="center"/>
              <w:rPr>
                <w:rFonts w:cs="Arial"/>
                <w:sz w:val="18"/>
                <w:szCs w:val="18"/>
              </w:rPr>
            </w:pPr>
            <w:r>
              <w:rPr>
                <w:rFonts w:cs="Arial"/>
                <w:sz w:val="18"/>
                <w:szCs w:val="18"/>
              </w:rPr>
              <w:t>90</w:t>
            </w:r>
            <w:r w:rsidR="00102EF6" w:rsidRPr="00102EF6">
              <w:rPr>
                <w:rFonts w:cs="Arial"/>
                <w:sz w:val="18"/>
                <w:szCs w:val="18"/>
              </w:rPr>
              <w:t>.</w:t>
            </w:r>
            <w:r>
              <w:rPr>
                <w:rFonts w:cs="Arial"/>
                <w:sz w:val="18"/>
                <w:szCs w:val="18"/>
              </w:rPr>
              <w:t>0</w:t>
            </w:r>
            <w:r w:rsidR="00102EF6" w:rsidRPr="00102EF6">
              <w:rPr>
                <w:rFonts w:cs="Arial"/>
                <w:sz w:val="18"/>
                <w:szCs w:val="18"/>
              </w:rPr>
              <w:t>00</w:t>
            </w:r>
          </w:p>
        </w:tc>
        <w:tc>
          <w:tcPr>
            <w:tcW w:w="0" w:type="auto"/>
            <w:vMerge w:val="restart"/>
            <w:tcMar>
              <w:top w:w="30" w:type="dxa"/>
              <w:left w:w="45" w:type="dxa"/>
              <w:bottom w:w="30" w:type="dxa"/>
              <w:right w:w="45" w:type="dxa"/>
            </w:tcMar>
            <w:vAlign w:val="center"/>
            <w:hideMark/>
          </w:tcPr>
          <w:p w14:paraId="254E65F6" w14:textId="77777777" w:rsidR="00102EF6" w:rsidRPr="00102EF6" w:rsidRDefault="00102EF6" w:rsidP="00AA4BBB">
            <w:pPr>
              <w:jc w:val="center"/>
              <w:rPr>
                <w:rFonts w:cs="Arial"/>
                <w:b/>
                <w:bCs/>
                <w:sz w:val="18"/>
                <w:szCs w:val="18"/>
              </w:rPr>
            </w:pPr>
            <w:r w:rsidRPr="00102EF6">
              <w:rPr>
                <w:rFonts w:cs="Arial"/>
                <w:b/>
                <w:bCs/>
                <w:sz w:val="18"/>
                <w:szCs w:val="18"/>
              </w:rPr>
              <w:t>47.826.901.041</w:t>
            </w:r>
          </w:p>
        </w:tc>
      </w:tr>
      <w:tr w:rsidR="00102EF6" w:rsidRPr="00102EF6" w14:paraId="5B66EDEE" w14:textId="77777777" w:rsidTr="00102EF6">
        <w:tc>
          <w:tcPr>
            <w:tcW w:w="0" w:type="auto"/>
            <w:vMerge/>
            <w:vAlign w:val="center"/>
            <w:hideMark/>
          </w:tcPr>
          <w:p w14:paraId="6363EB50" w14:textId="77777777" w:rsidR="00102EF6" w:rsidRPr="00102EF6" w:rsidRDefault="00102EF6" w:rsidP="00AA4BBB">
            <w:pPr>
              <w:rPr>
                <w:rFonts w:cs="Arial"/>
                <w:sz w:val="16"/>
                <w:szCs w:val="16"/>
              </w:rPr>
            </w:pPr>
          </w:p>
        </w:tc>
        <w:tc>
          <w:tcPr>
            <w:tcW w:w="0" w:type="auto"/>
            <w:tcMar>
              <w:top w:w="30" w:type="dxa"/>
              <w:left w:w="45" w:type="dxa"/>
              <w:bottom w:w="30" w:type="dxa"/>
              <w:right w:w="45" w:type="dxa"/>
            </w:tcMar>
            <w:vAlign w:val="center"/>
            <w:hideMark/>
          </w:tcPr>
          <w:p w14:paraId="0B4741D2" w14:textId="77777777" w:rsidR="00102EF6" w:rsidRPr="00102EF6" w:rsidRDefault="00102EF6" w:rsidP="00AA4BBB">
            <w:pPr>
              <w:jc w:val="center"/>
              <w:rPr>
                <w:rFonts w:cs="Arial"/>
                <w:sz w:val="18"/>
                <w:szCs w:val="18"/>
              </w:rPr>
            </w:pPr>
            <w:r w:rsidRPr="00102EF6">
              <w:rPr>
                <w:rFonts w:cs="Arial"/>
                <w:sz w:val="18"/>
                <w:szCs w:val="18"/>
              </w:rPr>
              <w:t>4.780.490.775</w:t>
            </w:r>
          </w:p>
        </w:tc>
        <w:tc>
          <w:tcPr>
            <w:tcW w:w="0" w:type="auto"/>
            <w:tcMar>
              <w:top w:w="30" w:type="dxa"/>
              <w:left w:w="45" w:type="dxa"/>
              <w:bottom w:w="30" w:type="dxa"/>
              <w:right w:w="45" w:type="dxa"/>
            </w:tcMar>
            <w:vAlign w:val="center"/>
            <w:hideMark/>
          </w:tcPr>
          <w:p w14:paraId="47B4BC07" w14:textId="77777777" w:rsidR="00102EF6" w:rsidRPr="00102EF6" w:rsidRDefault="00102EF6" w:rsidP="00AA4BBB">
            <w:pPr>
              <w:jc w:val="center"/>
              <w:rPr>
                <w:rFonts w:cs="Arial"/>
                <w:sz w:val="18"/>
                <w:szCs w:val="18"/>
              </w:rPr>
            </w:pPr>
            <w:r w:rsidRPr="00102EF6">
              <w:rPr>
                <w:rFonts w:cs="Arial"/>
                <w:sz w:val="18"/>
                <w:szCs w:val="18"/>
              </w:rPr>
              <w:t>14.064.622.425</w:t>
            </w:r>
          </w:p>
        </w:tc>
        <w:tc>
          <w:tcPr>
            <w:tcW w:w="0" w:type="auto"/>
            <w:tcMar>
              <w:top w:w="30" w:type="dxa"/>
              <w:left w:w="45" w:type="dxa"/>
              <w:bottom w:w="30" w:type="dxa"/>
              <w:right w:w="45" w:type="dxa"/>
            </w:tcMar>
            <w:vAlign w:val="center"/>
            <w:hideMark/>
          </w:tcPr>
          <w:p w14:paraId="7B9E2EDB" w14:textId="77777777" w:rsidR="00102EF6" w:rsidRPr="00102EF6" w:rsidRDefault="00102EF6" w:rsidP="00AA4BBB">
            <w:pPr>
              <w:jc w:val="center"/>
              <w:rPr>
                <w:rFonts w:cs="Arial"/>
                <w:sz w:val="18"/>
                <w:szCs w:val="18"/>
              </w:rPr>
            </w:pPr>
            <w:r w:rsidRPr="00102EF6">
              <w:rPr>
                <w:rFonts w:cs="Arial"/>
                <w:sz w:val="18"/>
                <w:szCs w:val="18"/>
              </w:rPr>
              <w:t>14.365.663.585</w:t>
            </w:r>
          </w:p>
        </w:tc>
        <w:tc>
          <w:tcPr>
            <w:tcW w:w="0" w:type="auto"/>
            <w:tcMar>
              <w:top w:w="30" w:type="dxa"/>
              <w:left w:w="45" w:type="dxa"/>
              <w:bottom w:w="30" w:type="dxa"/>
              <w:right w:w="45" w:type="dxa"/>
            </w:tcMar>
            <w:vAlign w:val="center"/>
            <w:hideMark/>
          </w:tcPr>
          <w:p w14:paraId="7E789159" w14:textId="77777777" w:rsidR="00102EF6" w:rsidRPr="00102EF6" w:rsidRDefault="00102EF6" w:rsidP="00AA4BBB">
            <w:pPr>
              <w:jc w:val="center"/>
              <w:rPr>
                <w:rFonts w:cs="Arial"/>
                <w:sz w:val="18"/>
                <w:szCs w:val="18"/>
              </w:rPr>
            </w:pPr>
            <w:r w:rsidRPr="00102EF6">
              <w:rPr>
                <w:rFonts w:cs="Arial"/>
                <w:sz w:val="18"/>
                <w:szCs w:val="18"/>
              </w:rPr>
              <w:t>14.616.124.256</w:t>
            </w:r>
          </w:p>
        </w:tc>
        <w:tc>
          <w:tcPr>
            <w:tcW w:w="0" w:type="auto"/>
            <w:vMerge/>
            <w:vAlign w:val="center"/>
            <w:hideMark/>
          </w:tcPr>
          <w:p w14:paraId="726D0508" w14:textId="77777777" w:rsidR="00102EF6" w:rsidRPr="00102EF6" w:rsidRDefault="00102EF6" w:rsidP="00AA4BBB">
            <w:pPr>
              <w:rPr>
                <w:rFonts w:cs="Arial"/>
                <w:b/>
                <w:bCs/>
                <w:sz w:val="18"/>
                <w:szCs w:val="18"/>
              </w:rPr>
            </w:pPr>
          </w:p>
        </w:tc>
      </w:tr>
      <w:tr w:rsidR="00102EF6" w:rsidRPr="00102EF6" w14:paraId="5E9CF69E" w14:textId="77777777" w:rsidTr="00102EF6">
        <w:tc>
          <w:tcPr>
            <w:tcW w:w="0" w:type="auto"/>
            <w:vMerge w:val="restart"/>
            <w:tcMar>
              <w:top w:w="30" w:type="dxa"/>
              <w:left w:w="45" w:type="dxa"/>
              <w:bottom w:w="30" w:type="dxa"/>
              <w:right w:w="45" w:type="dxa"/>
            </w:tcMar>
            <w:vAlign w:val="center"/>
            <w:hideMark/>
          </w:tcPr>
          <w:p w14:paraId="16C29E34" w14:textId="77777777" w:rsidR="00102EF6" w:rsidRPr="00102EF6" w:rsidRDefault="00102EF6" w:rsidP="00AA4BBB">
            <w:pPr>
              <w:rPr>
                <w:rFonts w:cs="Arial"/>
                <w:sz w:val="16"/>
                <w:szCs w:val="16"/>
              </w:rPr>
            </w:pPr>
            <w:r w:rsidRPr="00102EF6">
              <w:rPr>
                <w:rFonts w:cs="Arial"/>
                <w:sz w:val="16"/>
                <w:szCs w:val="16"/>
              </w:rPr>
              <w:t>Implementar dos (2) programas de atención a especies sinantrópicas orientados a la atención médica veterinaria y control poblacional humanitario para palomas de plaza (Columba Livia y a la atención y rehabilitación de enjambres de abejas (Apis melífera)</w:t>
            </w:r>
          </w:p>
        </w:tc>
        <w:tc>
          <w:tcPr>
            <w:tcW w:w="0" w:type="auto"/>
            <w:tcMar>
              <w:top w:w="30" w:type="dxa"/>
              <w:left w:w="45" w:type="dxa"/>
              <w:bottom w:w="30" w:type="dxa"/>
              <w:right w:w="45" w:type="dxa"/>
            </w:tcMar>
            <w:vAlign w:val="center"/>
            <w:hideMark/>
          </w:tcPr>
          <w:p w14:paraId="433BE318" w14:textId="06F876E8" w:rsidR="00102EF6" w:rsidRPr="00102EF6" w:rsidRDefault="002006CC" w:rsidP="00AA4BBB">
            <w:pPr>
              <w:jc w:val="center"/>
              <w:rPr>
                <w:rFonts w:cs="Arial"/>
                <w:sz w:val="18"/>
                <w:szCs w:val="18"/>
              </w:rPr>
            </w:pPr>
            <w:r>
              <w:rPr>
                <w:rFonts w:cs="Arial"/>
                <w:sz w:val="18"/>
                <w:szCs w:val="18"/>
              </w:rPr>
              <w:t>10%</w:t>
            </w:r>
          </w:p>
        </w:tc>
        <w:tc>
          <w:tcPr>
            <w:tcW w:w="0" w:type="auto"/>
            <w:tcMar>
              <w:top w:w="30" w:type="dxa"/>
              <w:left w:w="45" w:type="dxa"/>
              <w:bottom w:w="30" w:type="dxa"/>
              <w:right w:w="45" w:type="dxa"/>
            </w:tcMar>
            <w:vAlign w:val="center"/>
            <w:hideMark/>
          </w:tcPr>
          <w:p w14:paraId="6B83DE04" w14:textId="607ECCAA" w:rsidR="00102EF6" w:rsidRPr="00102EF6" w:rsidRDefault="002006CC" w:rsidP="00AA4BBB">
            <w:pPr>
              <w:jc w:val="center"/>
              <w:rPr>
                <w:rFonts w:cs="Arial"/>
                <w:sz w:val="18"/>
                <w:szCs w:val="18"/>
              </w:rPr>
            </w:pPr>
            <w:r>
              <w:rPr>
                <w:rFonts w:cs="Arial"/>
                <w:sz w:val="18"/>
                <w:szCs w:val="18"/>
              </w:rPr>
              <w:t>30%</w:t>
            </w:r>
          </w:p>
        </w:tc>
        <w:tc>
          <w:tcPr>
            <w:tcW w:w="0" w:type="auto"/>
            <w:tcMar>
              <w:top w:w="30" w:type="dxa"/>
              <w:left w:w="45" w:type="dxa"/>
              <w:bottom w:w="30" w:type="dxa"/>
              <w:right w:w="45" w:type="dxa"/>
            </w:tcMar>
            <w:vAlign w:val="center"/>
            <w:hideMark/>
          </w:tcPr>
          <w:p w14:paraId="3CE9388A" w14:textId="6B05E42B" w:rsidR="00102EF6" w:rsidRPr="00102EF6" w:rsidRDefault="002006CC" w:rsidP="00AA4BBB">
            <w:pPr>
              <w:jc w:val="center"/>
              <w:rPr>
                <w:rFonts w:cs="Arial"/>
                <w:sz w:val="18"/>
                <w:szCs w:val="18"/>
              </w:rPr>
            </w:pPr>
            <w:r>
              <w:rPr>
                <w:rFonts w:cs="Arial"/>
                <w:sz w:val="18"/>
                <w:szCs w:val="18"/>
              </w:rPr>
              <w:t>30%</w:t>
            </w:r>
          </w:p>
        </w:tc>
        <w:tc>
          <w:tcPr>
            <w:tcW w:w="0" w:type="auto"/>
            <w:tcMar>
              <w:top w:w="30" w:type="dxa"/>
              <w:left w:w="45" w:type="dxa"/>
              <w:bottom w:w="30" w:type="dxa"/>
              <w:right w:w="45" w:type="dxa"/>
            </w:tcMar>
            <w:vAlign w:val="center"/>
            <w:hideMark/>
          </w:tcPr>
          <w:p w14:paraId="5A2ACDFD" w14:textId="7B117474" w:rsidR="00102EF6" w:rsidRPr="00102EF6" w:rsidRDefault="002006CC" w:rsidP="00AA4BBB">
            <w:pPr>
              <w:jc w:val="center"/>
              <w:rPr>
                <w:rFonts w:cs="Arial"/>
                <w:sz w:val="18"/>
                <w:szCs w:val="18"/>
              </w:rPr>
            </w:pPr>
            <w:r>
              <w:rPr>
                <w:rFonts w:cs="Arial"/>
                <w:sz w:val="18"/>
                <w:szCs w:val="18"/>
              </w:rPr>
              <w:t>30%</w:t>
            </w:r>
          </w:p>
        </w:tc>
        <w:tc>
          <w:tcPr>
            <w:tcW w:w="0" w:type="auto"/>
            <w:vMerge w:val="restart"/>
            <w:tcMar>
              <w:top w:w="30" w:type="dxa"/>
              <w:left w:w="45" w:type="dxa"/>
              <w:bottom w:w="30" w:type="dxa"/>
              <w:right w:w="45" w:type="dxa"/>
            </w:tcMar>
            <w:vAlign w:val="center"/>
            <w:hideMark/>
          </w:tcPr>
          <w:p w14:paraId="372D442B" w14:textId="77777777" w:rsidR="00102EF6" w:rsidRPr="00102EF6" w:rsidRDefault="00102EF6" w:rsidP="00AA4BBB">
            <w:pPr>
              <w:jc w:val="center"/>
              <w:rPr>
                <w:rFonts w:cs="Arial"/>
                <w:b/>
                <w:bCs/>
                <w:sz w:val="18"/>
                <w:szCs w:val="18"/>
              </w:rPr>
            </w:pPr>
            <w:r w:rsidRPr="00102EF6">
              <w:rPr>
                <w:rFonts w:cs="Arial"/>
                <w:b/>
                <w:bCs/>
                <w:sz w:val="18"/>
                <w:szCs w:val="18"/>
              </w:rPr>
              <w:t>1.245.940.340</w:t>
            </w:r>
          </w:p>
        </w:tc>
      </w:tr>
      <w:tr w:rsidR="00102EF6" w:rsidRPr="00102EF6" w14:paraId="176CD73D" w14:textId="77777777" w:rsidTr="00102EF6">
        <w:tc>
          <w:tcPr>
            <w:tcW w:w="0" w:type="auto"/>
            <w:vMerge/>
            <w:vAlign w:val="center"/>
            <w:hideMark/>
          </w:tcPr>
          <w:p w14:paraId="46ADF2CD" w14:textId="77777777" w:rsidR="00102EF6" w:rsidRPr="00102EF6" w:rsidRDefault="00102EF6" w:rsidP="00AA4BBB">
            <w:pPr>
              <w:rPr>
                <w:rFonts w:cs="Arial"/>
                <w:sz w:val="16"/>
                <w:szCs w:val="16"/>
              </w:rPr>
            </w:pPr>
          </w:p>
        </w:tc>
        <w:tc>
          <w:tcPr>
            <w:tcW w:w="0" w:type="auto"/>
            <w:tcMar>
              <w:top w:w="30" w:type="dxa"/>
              <w:left w:w="45" w:type="dxa"/>
              <w:bottom w:w="30" w:type="dxa"/>
              <w:right w:w="45" w:type="dxa"/>
            </w:tcMar>
            <w:vAlign w:val="center"/>
            <w:hideMark/>
          </w:tcPr>
          <w:p w14:paraId="1A486F6D" w14:textId="77777777" w:rsidR="00102EF6" w:rsidRPr="00102EF6" w:rsidRDefault="00102EF6" w:rsidP="00AA4BBB">
            <w:pPr>
              <w:jc w:val="center"/>
              <w:rPr>
                <w:rFonts w:cs="Arial"/>
                <w:sz w:val="18"/>
                <w:szCs w:val="18"/>
              </w:rPr>
            </w:pPr>
            <w:r w:rsidRPr="00102EF6">
              <w:rPr>
                <w:rFonts w:cs="Arial"/>
                <w:sz w:val="18"/>
                <w:szCs w:val="18"/>
              </w:rPr>
              <w:t>130.968.420</w:t>
            </w:r>
          </w:p>
        </w:tc>
        <w:tc>
          <w:tcPr>
            <w:tcW w:w="0" w:type="auto"/>
            <w:tcMar>
              <w:top w:w="30" w:type="dxa"/>
              <w:left w:w="45" w:type="dxa"/>
              <w:bottom w:w="30" w:type="dxa"/>
              <w:right w:w="45" w:type="dxa"/>
            </w:tcMar>
            <w:vAlign w:val="center"/>
            <w:hideMark/>
          </w:tcPr>
          <w:p w14:paraId="67E770FA" w14:textId="77777777" w:rsidR="00102EF6" w:rsidRPr="00102EF6" w:rsidRDefault="00102EF6" w:rsidP="00AA4BBB">
            <w:pPr>
              <w:jc w:val="center"/>
              <w:rPr>
                <w:rFonts w:cs="Arial"/>
                <w:sz w:val="18"/>
                <w:szCs w:val="18"/>
              </w:rPr>
            </w:pPr>
            <w:r w:rsidRPr="00102EF6">
              <w:rPr>
                <w:rFonts w:cs="Arial"/>
                <w:sz w:val="18"/>
                <w:szCs w:val="18"/>
              </w:rPr>
              <w:t>381.461.417</w:t>
            </w:r>
          </w:p>
        </w:tc>
        <w:tc>
          <w:tcPr>
            <w:tcW w:w="0" w:type="auto"/>
            <w:tcMar>
              <w:top w:w="30" w:type="dxa"/>
              <w:left w:w="45" w:type="dxa"/>
              <w:bottom w:w="30" w:type="dxa"/>
              <w:right w:w="45" w:type="dxa"/>
            </w:tcMar>
            <w:vAlign w:val="center"/>
            <w:hideMark/>
          </w:tcPr>
          <w:p w14:paraId="34E6127E" w14:textId="77777777" w:rsidR="00102EF6" w:rsidRPr="00102EF6" w:rsidRDefault="00102EF6" w:rsidP="00AA4BBB">
            <w:pPr>
              <w:jc w:val="center"/>
              <w:rPr>
                <w:rFonts w:cs="Arial"/>
                <w:sz w:val="18"/>
                <w:szCs w:val="18"/>
              </w:rPr>
            </w:pPr>
            <w:r w:rsidRPr="00102EF6">
              <w:rPr>
                <w:rFonts w:cs="Arial"/>
                <w:sz w:val="18"/>
                <w:szCs w:val="18"/>
              </w:rPr>
              <w:t>493.801.189</w:t>
            </w:r>
          </w:p>
        </w:tc>
        <w:tc>
          <w:tcPr>
            <w:tcW w:w="0" w:type="auto"/>
            <w:tcMar>
              <w:top w:w="30" w:type="dxa"/>
              <w:left w:w="45" w:type="dxa"/>
              <w:bottom w:w="30" w:type="dxa"/>
              <w:right w:w="45" w:type="dxa"/>
            </w:tcMar>
            <w:vAlign w:val="center"/>
            <w:hideMark/>
          </w:tcPr>
          <w:p w14:paraId="79604649" w14:textId="77777777" w:rsidR="00102EF6" w:rsidRPr="00102EF6" w:rsidRDefault="00102EF6" w:rsidP="00AA4BBB">
            <w:pPr>
              <w:jc w:val="center"/>
              <w:rPr>
                <w:rFonts w:cs="Arial"/>
                <w:sz w:val="18"/>
                <w:szCs w:val="18"/>
              </w:rPr>
            </w:pPr>
            <w:r w:rsidRPr="00102EF6">
              <w:rPr>
                <w:rFonts w:cs="Arial"/>
                <w:sz w:val="18"/>
                <w:szCs w:val="18"/>
              </w:rPr>
              <w:t>239.709.314</w:t>
            </w:r>
          </w:p>
        </w:tc>
        <w:tc>
          <w:tcPr>
            <w:tcW w:w="0" w:type="auto"/>
            <w:vMerge/>
            <w:vAlign w:val="center"/>
            <w:hideMark/>
          </w:tcPr>
          <w:p w14:paraId="7D75488A" w14:textId="77777777" w:rsidR="00102EF6" w:rsidRPr="00102EF6" w:rsidRDefault="00102EF6" w:rsidP="00AA4BBB">
            <w:pPr>
              <w:rPr>
                <w:rFonts w:cs="Arial"/>
                <w:b/>
                <w:bCs/>
                <w:sz w:val="18"/>
                <w:szCs w:val="18"/>
              </w:rPr>
            </w:pPr>
          </w:p>
        </w:tc>
      </w:tr>
      <w:tr w:rsidR="00102EF6" w:rsidRPr="00102EF6" w14:paraId="4CD327B1" w14:textId="77777777" w:rsidTr="00102EF6">
        <w:tc>
          <w:tcPr>
            <w:tcW w:w="0" w:type="auto"/>
            <w:vMerge w:val="restart"/>
            <w:tcMar>
              <w:top w:w="30" w:type="dxa"/>
              <w:left w:w="45" w:type="dxa"/>
              <w:bottom w:w="30" w:type="dxa"/>
              <w:right w:w="45" w:type="dxa"/>
            </w:tcMar>
            <w:vAlign w:val="center"/>
            <w:hideMark/>
          </w:tcPr>
          <w:p w14:paraId="4589F170" w14:textId="77777777" w:rsidR="00102EF6" w:rsidRPr="00102EF6" w:rsidRDefault="00102EF6" w:rsidP="00AA4BBB">
            <w:pPr>
              <w:rPr>
                <w:rFonts w:cs="Arial"/>
                <w:sz w:val="16"/>
                <w:szCs w:val="16"/>
              </w:rPr>
            </w:pPr>
            <w:r w:rsidRPr="00102EF6">
              <w:rPr>
                <w:rFonts w:cs="Arial"/>
                <w:sz w:val="16"/>
                <w:szCs w:val="16"/>
              </w:rPr>
              <w:t>Realizar 360 procesos de participación ciudadana y movilización social para la protección y el bienestar animal.</w:t>
            </w:r>
          </w:p>
        </w:tc>
        <w:tc>
          <w:tcPr>
            <w:tcW w:w="0" w:type="auto"/>
            <w:tcMar>
              <w:top w:w="30" w:type="dxa"/>
              <w:left w:w="45" w:type="dxa"/>
              <w:bottom w:w="30" w:type="dxa"/>
              <w:right w:w="45" w:type="dxa"/>
            </w:tcMar>
            <w:vAlign w:val="center"/>
            <w:hideMark/>
          </w:tcPr>
          <w:p w14:paraId="58002AF4" w14:textId="77777777" w:rsidR="00102EF6" w:rsidRPr="00102EF6" w:rsidRDefault="00102EF6" w:rsidP="00AA4BBB">
            <w:pPr>
              <w:jc w:val="center"/>
              <w:rPr>
                <w:rFonts w:cs="Arial"/>
                <w:sz w:val="18"/>
                <w:szCs w:val="18"/>
              </w:rPr>
            </w:pPr>
            <w:r w:rsidRPr="00102EF6">
              <w:rPr>
                <w:rFonts w:cs="Arial"/>
                <w:sz w:val="18"/>
                <w:szCs w:val="18"/>
              </w:rPr>
              <w:t>30</w:t>
            </w:r>
          </w:p>
        </w:tc>
        <w:tc>
          <w:tcPr>
            <w:tcW w:w="0" w:type="auto"/>
            <w:tcMar>
              <w:top w:w="30" w:type="dxa"/>
              <w:left w:w="45" w:type="dxa"/>
              <w:bottom w:w="30" w:type="dxa"/>
              <w:right w:w="45" w:type="dxa"/>
            </w:tcMar>
            <w:vAlign w:val="center"/>
            <w:hideMark/>
          </w:tcPr>
          <w:p w14:paraId="197CC79B" w14:textId="77777777" w:rsidR="00102EF6" w:rsidRPr="00102EF6" w:rsidRDefault="00102EF6" w:rsidP="00AA4BBB">
            <w:pPr>
              <w:jc w:val="center"/>
              <w:rPr>
                <w:rFonts w:cs="Arial"/>
                <w:sz w:val="18"/>
                <w:szCs w:val="18"/>
              </w:rPr>
            </w:pPr>
            <w:r w:rsidRPr="00102EF6">
              <w:rPr>
                <w:rFonts w:cs="Arial"/>
                <w:sz w:val="18"/>
                <w:szCs w:val="18"/>
              </w:rPr>
              <w:t>125</w:t>
            </w:r>
          </w:p>
        </w:tc>
        <w:tc>
          <w:tcPr>
            <w:tcW w:w="0" w:type="auto"/>
            <w:tcMar>
              <w:top w:w="30" w:type="dxa"/>
              <w:left w:w="45" w:type="dxa"/>
              <w:bottom w:w="30" w:type="dxa"/>
              <w:right w:w="45" w:type="dxa"/>
            </w:tcMar>
            <w:vAlign w:val="center"/>
            <w:hideMark/>
          </w:tcPr>
          <w:p w14:paraId="63024D8A" w14:textId="77777777" w:rsidR="00102EF6" w:rsidRPr="00102EF6" w:rsidRDefault="00102EF6" w:rsidP="00AA4BBB">
            <w:pPr>
              <w:jc w:val="center"/>
              <w:rPr>
                <w:rFonts w:cs="Arial"/>
                <w:sz w:val="18"/>
                <w:szCs w:val="18"/>
              </w:rPr>
            </w:pPr>
            <w:r w:rsidRPr="00102EF6">
              <w:rPr>
                <w:rFonts w:cs="Arial"/>
                <w:sz w:val="18"/>
                <w:szCs w:val="18"/>
              </w:rPr>
              <w:t>125</w:t>
            </w:r>
          </w:p>
        </w:tc>
        <w:tc>
          <w:tcPr>
            <w:tcW w:w="0" w:type="auto"/>
            <w:tcMar>
              <w:top w:w="30" w:type="dxa"/>
              <w:left w:w="45" w:type="dxa"/>
              <w:bottom w:w="30" w:type="dxa"/>
              <w:right w:w="45" w:type="dxa"/>
            </w:tcMar>
            <w:vAlign w:val="center"/>
            <w:hideMark/>
          </w:tcPr>
          <w:p w14:paraId="6A6584DE" w14:textId="77777777" w:rsidR="00102EF6" w:rsidRPr="00102EF6" w:rsidRDefault="00102EF6" w:rsidP="00AA4BBB">
            <w:pPr>
              <w:jc w:val="center"/>
              <w:rPr>
                <w:rFonts w:cs="Arial"/>
                <w:sz w:val="18"/>
                <w:szCs w:val="18"/>
              </w:rPr>
            </w:pPr>
            <w:r w:rsidRPr="00102EF6">
              <w:rPr>
                <w:rFonts w:cs="Arial"/>
                <w:sz w:val="18"/>
                <w:szCs w:val="18"/>
              </w:rPr>
              <w:t>80</w:t>
            </w:r>
          </w:p>
        </w:tc>
        <w:tc>
          <w:tcPr>
            <w:tcW w:w="0" w:type="auto"/>
            <w:vMerge w:val="restart"/>
            <w:tcMar>
              <w:top w:w="30" w:type="dxa"/>
              <w:left w:w="45" w:type="dxa"/>
              <w:bottom w:w="30" w:type="dxa"/>
              <w:right w:w="45" w:type="dxa"/>
            </w:tcMar>
            <w:vAlign w:val="center"/>
            <w:hideMark/>
          </w:tcPr>
          <w:p w14:paraId="53A71B67" w14:textId="77777777" w:rsidR="00102EF6" w:rsidRPr="00102EF6" w:rsidRDefault="00102EF6" w:rsidP="00AA4BBB">
            <w:pPr>
              <w:jc w:val="center"/>
              <w:rPr>
                <w:rFonts w:cs="Arial"/>
                <w:b/>
                <w:bCs/>
                <w:sz w:val="18"/>
                <w:szCs w:val="18"/>
              </w:rPr>
            </w:pPr>
            <w:r w:rsidRPr="00102EF6">
              <w:rPr>
                <w:rFonts w:cs="Arial"/>
                <w:b/>
                <w:bCs/>
                <w:sz w:val="18"/>
                <w:szCs w:val="18"/>
              </w:rPr>
              <w:t>3.157.256.062</w:t>
            </w:r>
          </w:p>
        </w:tc>
      </w:tr>
      <w:tr w:rsidR="00102EF6" w:rsidRPr="00102EF6" w14:paraId="53A3F8BD" w14:textId="77777777" w:rsidTr="00102EF6">
        <w:tc>
          <w:tcPr>
            <w:tcW w:w="0" w:type="auto"/>
            <w:vMerge/>
            <w:vAlign w:val="center"/>
            <w:hideMark/>
          </w:tcPr>
          <w:p w14:paraId="5BA69302" w14:textId="77777777" w:rsidR="00102EF6" w:rsidRPr="00102EF6" w:rsidRDefault="00102EF6" w:rsidP="00AA4BBB">
            <w:pPr>
              <w:rPr>
                <w:rFonts w:cs="Arial"/>
                <w:sz w:val="16"/>
                <w:szCs w:val="16"/>
              </w:rPr>
            </w:pPr>
          </w:p>
        </w:tc>
        <w:tc>
          <w:tcPr>
            <w:tcW w:w="0" w:type="auto"/>
            <w:tcMar>
              <w:top w:w="30" w:type="dxa"/>
              <w:left w:w="45" w:type="dxa"/>
              <w:bottom w:w="30" w:type="dxa"/>
              <w:right w:w="45" w:type="dxa"/>
            </w:tcMar>
            <w:vAlign w:val="center"/>
            <w:hideMark/>
          </w:tcPr>
          <w:p w14:paraId="2062882C" w14:textId="77777777" w:rsidR="00102EF6" w:rsidRPr="00102EF6" w:rsidRDefault="00102EF6" w:rsidP="00AA4BBB">
            <w:pPr>
              <w:jc w:val="center"/>
              <w:rPr>
                <w:rFonts w:cs="Arial"/>
                <w:sz w:val="18"/>
                <w:szCs w:val="18"/>
              </w:rPr>
            </w:pPr>
            <w:r w:rsidRPr="00102EF6">
              <w:rPr>
                <w:rFonts w:cs="Arial"/>
                <w:sz w:val="18"/>
                <w:szCs w:val="18"/>
              </w:rPr>
              <w:t>551.367.918</w:t>
            </w:r>
          </w:p>
        </w:tc>
        <w:tc>
          <w:tcPr>
            <w:tcW w:w="0" w:type="auto"/>
            <w:tcMar>
              <w:top w:w="30" w:type="dxa"/>
              <w:left w:w="45" w:type="dxa"/>
              <w:bottom w:w="30" w:type="dxa"/>
              <w:right w:w="45" w:type="dxa"/>
            </w:tcMar>
            <w:vAlign w:val="center"/>
            <w:hideMark/>
          </w:tcPr>
          <w:p w14:paraId="7F0ECEA8" w14:textId="77777777" w:rsidR="00102EF6" w:rsidRPr="00102EF6" w:rsidRDefault="00102EF6" w:rsidP="00AA4BBB">
            <w:pPr>
              <w:jc w:val="center"/>
              <w:rPr>
                <w:rFonts w:cs="Arial"/>
                <w:sz w:val="18"/>
                <w:szCs w:val="18"/>
              </w:rPr>
            </w:pPr>
            <w:r w:rsidRPr="00102EF6">
              <w:rPr>
                <w:rFonts w:cs="Arial"/>
                <w:sz w:val="18"/>
                <w:szCs w:val="18"/>
              </w:rPr>
              <w:t>973.529.939</w:t>
            </w:r>
          </w:p>
        </w:tc>
        <w:tc>
          <w:tcPr>
            <w:tcW w:w="0" w:type="auto"/>
            <w:tcMar>
              <w:top w:w="30" w:type="dxa"/>
              <w:left w:w="45" w:type="dxa"/>
              <w:bottom w:w="30" w:type="dxa"/>
              <w:right w:w="45" w:type="dxa"/>
            </w:tcMar>
            <w:vAlign w:val="center"/>
            <w:hideMark/>
          </w:tcPr>
          <w:p w14:paraId="761AF897" w14:textId="77777777" w:rsidR="00102EF6" w:rsidRPr="00102EF6" w:rsidRDefault="00102EF6" w:rsidP="00AA4BBB">
            <w:pPr>
              <w:jc w:val="center"/>
              <w:rPr>
                <w:rFonts w:cs="Arial"/>
                <w:sz w:val="18"/>
                <w:szCs w:val="18"/>
              </w:rPr>
            </w:pPr>
            <w:r w:rsidRPr="00102EF6">
              <w:rPr>
                <w:rFonts w:cs="Arial"/>
                <w:sz w:val="18"/>
                <w:szCs w:val="18"/>
              </w:rPr>
              <w:t>945.174.698</w:t>
            </w:r>
          </w:p>
        </w:tc>
        <w:tc>
          <w:tcPr>
            <w:tcW w:w="0" w:type="auto"/>
            <w:tcMar>
              <w:top w:w="30" w:type="dxa"/>
              <w:left w:w="45" w:type="dxa"/>
              <w:bottom w:w="30" w:type="dxa"/>
              <w:right w:w="45" w:type="dxa"/>
            </w:tcMar>
            <w:vAlign w:val="center"/>
            <w:hideMark/>
          </w:tcPr>
          <w:p w14:paraId="03BFB8E9" w14:textId="77777777" w:rsidR="00102EF6" w:rsidRPr="00102EF6" w:rsidRDefault="00102EF6" w:rsidP="00AA4BBB">
            <w:pPr>
              <w:jc w:val="center"/>
              <w:rPr>
                <w:rFonts w:cs="Arial"/>
                <w:sz w:val="18"/>
                <w:szCs w:val="18"/>
              </w:rPr>
            </w:pPr>
            <w:r w:rsidRPr="00102EF6">
              <w:rPr>
                <w:rFonts w:cs="Arial"/>
                <w:sz w:val="18"/>
                <w:szCs w:val="18"/>
              </w:rPr>
              <w:t>687.183.507</w:t>
            </w:r>
          </w:p>
        </w:tc>
        <w:tc>
          <w:tcPr>
            <w:tcW w:w="0" w:type="auto"/>
            <w:vMerge/>
            <w:vAlign w:val="center"/>
            <w:hideMark/>
          </w:tcPr>
          <w:p w14:paraId="6D258674" w14:textId="77777777" w:rsidR="00102EF6" w:rsidRPr="00102EF6" w:rsidRDefault="00102EF6" w:rsidP="00AA4BBB">
            <w:pPr>
              <w:rPr>
                <w:rFonts w:cs="Arial"/>
                <w:b/>
                <w:bCs/>
                <w:sz w:val="18"/>
                <w:szCs w:val="18"/>
              </w:rPr>
            </w:pPr>
          </w:p>
        </w:tc>
      </w:tr>
      <w:tr w:rsidR="00102EF6" w:rsidRPr="00102EF6" w14:paraId="3F26E5D9" w14:textId="77777777" w:rsidTr="00102EF6">
        <w:tc>
          <w:tcPr>
            <w:tcW w:w="0" w:type="auto"/>
            <w:vMerge w:val="restart"/>
            <w:tcMar>
              <w:top w:w="30" w:type="dxa"/>
              <w:left w:w="45" w:type="dxa"/>
              <w:bottom w:w="30" w:type="dxa"/>
              <w:right w:w="45" w:type="dxa"/>
            </w:tcMar>
            <w:vAlign w:val="center"/>
            <w:hideMark/>
          </w:tcPr>
          <w:p w14:paraId="548A5A61" w14:textId="77777777" w:rsidR="00102EF6" w:rsidRPr="00102EF6" w:rsidRDefault="00102EF6" w:rsidP="00AA4BBB">
            <w:pPr>
              <w:rPr>
                <w:rFonts w:cs="Arial"/>
                <w:sz w:val="16"/>
                <w:szCs w:val="16"/>
              </w:rPr>
            </w:pPr>
            <w:r w:rsidRPr="00102EF6">
              <w:rPr>
                <w:rFonts w:cs="Arial"/>
                <w:sz w:val="16"/>
                <w:szCs w:val="16"/>
              </w:rPr>
              <w:t>Realizar a 370 prestadores de servicios para y con animales acciones de inspección y vigilancia en temas de protección y bienestar animal.</w:t>
            </w:r>
          </w:p>
        </w:tc>
        <w:tc>
          <w:tcPr>
            <w:tcW w:w="0" w:type="auto"/>
            <w:tcMar>
              <w:top w:w="30" w:type="dxa"/>
              <w:left w:w="45" w:type="dxa"/>
              <w:bottom w:w="30" w:type="dxa"/>
              <w:right w:w="45" w:type="dxa"/>
            </w:tcMar>
            <w:vAlign w:val="center"/>
            <w:hideMark/>
          </w:tcPr>
          <w:p w14:paraId="5ABA0E68" w14:textId="77777777" w:rsidR="00102EF6" w:rsidRPr="00102EF6" w:rsidRDefault="00102EF6" w:rsidP="00AA4BBB">
            <w:pPr>
              <w:jc w:val="center"/>
              <w:rPr>
                <w:rFonts w:cs="Arial"/>
                <w:sz w:val="18"/>
                <w:szCs w:val="18"/>
              </w:rPr>
            </w:pPr>
            <w:r w:rsidRPr="00102EF6">
              <w:rPr>
                <w:rFonts w:cs="Arial"/>
                <w:sz w:val="18"/>
                <w:szCs w:val="18"/>
              </w:rPr>
              <w:t>40</w:t>
            </w:r>
          </w:p>
        </w:tc>
        <w:tc>
          <w:tcPr>
            <w:tcW w:w="0" w:type="auto"/>
            <w:tcMar>
              <w:top w:w="30" w:type="dxa"/>
              <w:left w:w="45" w:type="dxa"/>
              <w:bottom w:w="30" w:type="dxa"/>
              <w:right w:w="45" w:type="dxa"/>
            </w:tcMar>
            <w:vAlign w:val="center"/>
            <w:hideMark/>
          </w:tcPr>
          <w:p w14:paraId="2EC79D73" w14:textId="77777777" w:rsidR="00102EF6" w:rsidRPr="00102EF6" w:rsidRDefault="00102EF6" w:rsidP="00AA4BBB">
            <w:pPr>
              <w:jc w:val="center"/>
              <w:rPr>
                <w:rFonts w:cs="Arial"/>
                <w:sz w:val="18"/>
                <w:szCs w:val="18"/>
              </w:rPr>
            </w:pPr>
            <w:r w:rsidRPr="00102EF6">
              <w:rPr>
                <w:rFonts w:cs="Arial"/>
                <w:sz w:val="18"/>
                <w:szCs w:val="18"/>
              </w:rPr>
              <w:t>130</w:t>
            </w:r>
          </w:p>
        </w:tc>
        <w:tc>
          <w:tcPr>
            <w:tcW w:w="0" w:type="auto"/>
            <w:tcMar>
              <w:top w:w="30" w:type="dxa"/>
              <w:left w:w="45" w:type="dxa"/>
              <w:bottom w:w="30" w:type="dxa"/>
              <w:right w:w="45" w:type="dxa"/>
            </w:tcMar>
            <w:vAlign w:val="center"/>
            <w:hideMark/>
          </w:tcPr>
          <w:p w14:paraId="3AF00D4F" w14:textId="77777777" w:rsidR="00102EF6" w:rsidRPr="00102EF6" w:rsidRDefault="00102EF6" w:rsidP="00AA4BBB">
            <w:pPr>
              <w:jc w:val="center"/>
              <w:rPr>
                <w:rFonts w:cs="Arial"/>
                <w:sz w:val="18"/>
                <w:szCs w:val="18"/>
              </w:rPr>
            </w:pPr>
            <w:r w:rsidRPr="00102EF6">
              <w:rPr>
                <w:rFonts w:cs="Arial"/>
                <w:sz w:val="18"/>
                <w:szCs w:val="18"/>
              </w:rPr>
              <w:t>130</w:t>
            </w:r>
          </w:p>
        </w:tc>
        <w:tc>
          <w:tcPr>
            <w:tcW w:w="0" w:type="auto"/>
            <w:tcMar>
              <w:top w:w="30" w:type="dxa"/>
              <w:left w:w="45" w:type="dxa"/>
              <w:bottom w:w="30" w:type="dxa"/>
              <w:right w:w="45" w:type="dxa"/>
            </w:tcMar>
            <w:vAlign w:val="center"/>
            <w:hideMark/>
          </w:tcPr>
          <w:p w14:paraId="263B62F2" w14:textId="77777777" w:rsidR="00102EF6" w:rsidRPr="00102EF6" w:rsidRDefault="00102EF6" w:rsidP="00AA4BBB">
            <w:pPr>
              <w:jc w:val="center"/>
              <w:rPr>
                <w:rFonts w:cs="Arial"/>
                <w:sz w:val="18"/>
                <w:szCs w:val="18"/>
              </w:rPr>
            </w:pPr>
            <w:r w:rsidRPr="00102EF6">
              <w:rPr>
                <w:rFonts w:cs="Arial"/>
                <w:sz w:val="18"/>
                <w:szCs w:val="18"/>
              </w:rPr>
              <w:t>70</w:t>
            </w:r>
          </w:p>
        </w:tc>
        <w:tc>
          <w:tcPr>
            <w:tcW w:w="0" w:type="auto"/>
            <w:vMerge w:val="restart"/>
            <w:tcMar>
              <w:top w:w="30" w:type="dxa"/>
              <w:left w:w="45" w:type="dxa"/>
              <w:bottom w:w="30" w:type="dxa"/>
              <w:right w:w="45" w:type="dxa"/>
            </w:tcMar>
            <w:vAlign w:val="center"/>
            <w:hideMark/>
          </w:tcPr>
          <w:p w14:paraId="4F4FB02F" w14:textId="77777777" w:rsidR="00102EF6" w:rsidRPr="00102EF6" w:rsidRDefault="00102EF6" w:rsidP="00AA4BBB">
            <w:pPr>
              <w:jc w:val="center"/>
              <w:rPr>
                <w:rFonts w:cs="Arial"/>
                <w:b/>
                <w:bCs/>
                <w:sz w:val="18"/>
                <w:szCs w:val="18"/>
              </w:rPr>
            </w:pPr>
            <w:r w:rsidRPr="00102EF6">
              <w:rPr>
                <w:rFonts w:cs="Arial"/>
                <w:b/>
                <w:bCs/>
                <w:sz w:val="18"/>
                <w:szCs w:val="18"/>
              </w:rPr>
              <w:t>3.180.751.402</w:t>
            </w:r>
          </w:p>
        </w:tc>
      </w:tr>
      <w:tr w:rsidR="00102EF6" w:rsidRPr="00102EF6" w14:paraId="36AA8339" w14:textId="77777777" w:rsidTr="00102EF6">
        <w:tc>
          <w:tcPr>
            <w:tcW w:w="0" w:type="auto"/>
            <w:vMerge/>
            <w:vAlign w:val="center"/>
            <w:hideMark/>
          </w:tcPr>
          <w:p w14:paraId="524C8974" w14:textId="77777777" w:rsidR="00102EF6" w:rsidRPr="00102EF6" w:rsidRDefault="00102EF6" w:rsidP="00AA4BBB">
            <w:pPr>
              <w:rPr>
                <w:rFonts w:cs="Arial"/>
                <w:sz w:val="16"/>
                <w:szCs w:val="16"/>
              </w:rPr>
            </w:pPr>
          </w:p>
        </w:tc>
        <w:tc>
          <w:tcPr>
            <w:tcW w:w="0" w:type="auto"/>
            <w:tcMar>
              <w:top w:w="30" w:type="dxa"/>
              <w:left w:w="45" w:type="dxa"/>
              <w:bottom w:w="30" w:type="dxa"/>
              <w:right w:w="45" w:type="dxa"/>
            </w:tcMar>
            <w:vAlign w:val="center"/>
            <w:hideMark/>
          </w:tcPr>
          <w:p w14:paraId="5D41F5E4" w14:textId="77777777" w:rsidR="00102EF6" w:rsidRPr="00102EF6" w:rsidRDefault="00102EF6" w:rsidP="00AA4BBB">
            <w:pPr>
              <w:jc w:val="center"/>
              <w:rPr>
                <w:rFonts w:cs="Arial"/>
                <w:sz w:val="18"/>
                <w:szCs w:val="18"/>
              </w:rPr>
            </w:pPr>
            <w:r w:rsidRPr="00102EF6">
              <w:rPr>
                <w:rFonts w:cs="Arial"/>
                <w:sz w:val="18"/>
                <w:szCs w:val="18"/>
              </w:rPr>
              <w:t>555.485.030</w:t>
            </w:r>
          </w:p>
        </w:tc>
        <w:tc>
          <w:tcPr>
            <w:tcW w:w="0" w:type="auto"/>
            <w:tcMar>
              <w:top w:w="30" w:type="dxa"/>
              <w:left w:w="45" w:type="dxa"/>
              <w:bottom w:w="30" w:type="dxa"/>
              <w:right w:w="45" w:type="dxa"/>
            </w:tcMar>
            <w:vAlign w:val="center"/>
            <w:hideMark/>
          </w:tcPr>
          <w:p w14:paraId="468301FF" w14:textId="77777777" w:rsidR="00102EF6" w:rsidRPr="00102EF6" w:rsidRDefault="00102EF6" w:rsidP="00AA4BBB">
            <w:pPr>
              <w:jc w:val="center"/>
              <w:rPr>
                <w:rFonts w:cs="Arial"/>
                <w:sz w:val="18"/>
                <w:szCs w:val="18"/>
              </w:rPr>
            </w:pPr>
            <w:r w:rsidRPr="00102EF6">
              <w:rPr>
                <w:rFonts w:cs="Arial"/>
                <w:sz w:val="18"/>
                <w:szCs w:val="18"/>
              </w:rPr>
              <w:t>971.815.592</w:t>
            </w:r>
          </w:p>
        </w:tc>
        <w:tc>
          <w:tcPr>
            <w:tcW w:w="0" w:type="auto"/>
            <w:tcMar>
              <w:top w:w="30" w:type="dxa"/>
              <w:left w:w="45" w:type="dxa"/>
              <w:bottom w:w="30" w:type="dxa"/>
              <w:right w:w="45" w:type="dxa"/>
            </w:tcMar>
            <w:vAlign w:val="center"/>
            <w:hideMark/>
          </w:tcPr>
          <w:p w14:paraId="2AF06922" w14:textId="77777777" w:rsidR="00102EF6" w:rsidRPr="00102EF6" w:rsidRDefault="00102EF6" w:rsidP="00AA4BBB">
            <w:pPr>
              <w:jc w:val="center"/>
              <w:rPr>
                <w:rFonts w:cs="Arial"/>
                <w:sz w:val="18"/>
                <w:szCs w:val="18"/>
              </w:rPr>
            </w:pPr>
            <w:r w:rsidRPr="00102EF6">
              <w:rPr>
                <w:rFonts w:cs="Arial"/>
                <w:sz w:val="18"/>
                <w:szCs w:val="18"/>
              </w:rPr>
              <w:t>943.510.284</w:t>
            </w:r>
          </w:p>
        </w:tc>
        <w:tc>
          <w:tcPr>
            <w:tcW w:w="0" w:type="auto"/>
            <w:tcMar>
              <w:top w:w="30" w:type="dxa"/>
              <w:left w:w="45" w:type="dxa"/>
              <w:bottom w:w="30" w:type="dxa"/>
              <w:right w:w="45" w:type="dxa"/>
            </w:tcMar>
            <w:vAlign w:val="center"/>
            <w:hideMark/>
          </w:tcPr>
          <w:p w14:paraId="63FDFA7E" w14:textId="77777777" w:rsidR="00102EF6" w:rsidRPr="00102EF6" w:rsidRDefault="00102EF6" w:rsidP="00AA4BBB">
            <w:pPr>
              <w:jc w:val="center"/>
              <w:rPr>
                <w:rFonts w:cs="Arial"/>
                <w:sz w:val="18"/>
                <w:szCs w:val="18"/>
              </w:rPr>
            </w:pPr>
            <w:r w:rsidRPr="00102EF6">
              <w:rPr>
                <w:rFonts w:cs="Arial"/>
                <w:sz w:val="18"/>
                <w:szCs w:val="18"/>
              </w:rPr>
              <w:t>709.940.496</w:t>
            </w:r>
          </w:p>
        </w:tc>
        <w:tc>
          <w:tcPr>
            <w:tcW w:w="0" w:type="auto"/>
            <w:vMerge/>
            <w:vAlign w:val="center"/>
            <w:hideMark/>
          </w:tcPr>
          <w:p w14:paraId="217F9602" w14:textId="77777777" w:rsidR="00102EF6" w:rsidRPr="00102EF6" w:rsidRDefault="00102EF6" w:rsidP="00AA4BBB">
            <w:pPr>
              <w:rPr>
                <w:rFonts w:cs="Arial"/>
                <w:b/>
                <w:bCs/>
                <w:sz w:val="18"/>
                <w:szCs w:val="18"/>
              </w:rPr>
            </w:pPr>
          </w:p>
        </w:tc>
      </w:tr>
      <w:tr w:rsidR="00102EF6" w:rsidRPr="00102EF6" w14:paraId="6285A94D" w14:textId="77777777" w:rsidTr="00102EF6">
        <w:tc>
          <w:tcPr>
            <w:tcW w:w="0" w:type="auto"/>
            <w:vMerge w:val="restart"/>
            <w:tcMar>
              <w:top w:w="30" w:type="dxa"/>
              <w:left w:w="45" w:type="dxa"/>
              <w:bottom w:w="30" w:type="dxa"/>
              <w:right w:w="45" w:type="dxa"/>
            </w:tcMar>
            <w:vAlign w:val="center"/>
            <w:hideMark/>
          </w:tcPr>
          <w:p w14:paraId="4678F9E6" w14:textId="77777777" w:rsidR="00102EF6" w:rsidRPr="00102EF6" w:rsidRDefault="00102EF6" w:rsidP="00AA4BBB">
            <w:pPr>
              <w:rPr>
                <w:rFonts w:cs="Arial"/>
                <w:sz w:val="16"/>
                <w:szCs w:val="16"/>
              </w:rPr>
            </w:pPr>
            <w:r w:rsidRPr="00102EF6">
              <w:rPr>
                <w:rFonts w:cs="Arial"/>
                <w:sz w:val="16"/>
                <w:szCs w:val="16"/>
              </w:rPr>
              <w:t>Vincular 32.000 personas a las acciones de educación en protección y bienestar animal para promover la convivencia interespecie y la transformación cultural en el relacionamiento humano-animal.</w:t>
            </w:r>
          </w:p>
        </w:tc>
        <w:tc>
          <w:tcPr>
            <w:tcW w:w="0" w:type="auto"/>
            <w:tcMar>
              <w:top w:w="30" w:type="dxa"/>
              <w:left w:w="45" w:type="dxa"/>
              <w:bottom w:w="30" w:type="dxa"/>
              <w:right w:w="45" w:type="dxa"/>
            </w:tcMar>
            <w:vAlign w:val="center"/>
            <w:hideMark/>
          </w:tcPr>
          <w:p w14:paraId="2A17BE61" w14:textId="77777777" w:rsidR="00102EF6" w:rsidRPr="00102EF6" w:rsidRDefault="00102EF6" w:rsidP="00AA4BBB">
            <w:pPr>
              <w:jc w:val="center"/>
              <w:rPr>
                <w:rFonts w:cs="Arial"/>
                <w:sz w:val="18"/>
                <w:szCs w:val="18"/>
              </w:rPr>
            </w:pPr>
            <w:r w:rsidRPr="00102EF6">
              <w:rPr>
                <w:rFonts w:cs="Arial"/>
                <w:sz w:val="18"/>
                <w:szCs w:val="18"/>
              </w:rPr>
              <w:t>2.000</w:t>
            </w:r>
          </w:p>
        </w:tc>
        <w:tc>
          <w:tcPr>
            <w:tcW w:w="0" w:type="auto"/>
            <w:tcMar>
              <w:top w:w="30" w:type="dxa"/>
              <w:left w:w="45" w:type="dxa"/>
              <w:bottom w:w="30" w:type="dxa"/>
              <w:right w:w="45" w:type="dxa"/>
            </w:tcMar>
            <w:vAlign w:val="center"/>
            <w:hideMark/>
          </w:tcPr>
          <w:p w14:paraId="6BEF5033" w14:textId="77777777" w:rsidR="00102EF6" w:rsidRPr="00102EF6" w:rsidRDefault="00102EF6" w:rsidP="00AA4BBB">
            <w:pPr>
              <w:jc w:val="center"/>
              <w:rPr>
                <w:rFonts w:cs="Arial"/>
                <w:sz w:val="18"/>
                <w:szCs w:val="18"/>
              </w:rPr>
            </w:pPr>
            <w:r w:rsidRPr="00102EF6">
              <w:rPr>
                <w:rFonts w:cs="Arial"/>
                <w:sz w:val="18"/>
                <w:szCs w:val="18"/>
              </w:rPr>
              <w:t>12.000</w:t>
            </w:r>
          </w:p>
        </w:tc>
        <w:tc>
          <w:tcPr>
            <w:tcW w:w="0" w:type="auto"/>
            <w:tcMar>
              <w:top w:w="30" w:type="dxa"/>
              <w:left w:w="45" w:type="dxa"/>
              <w:bottom w:w="30" w:type="dxa"/>
              <w:right w:w="45" w:type="dxa"/>
            </w:tcMar>
            <w:vAlign w:val="center"/>
            <w:hideMark/>
          </w:tcPr>
          <w:p w14:paraId="56E4A0DF" w14:textId="77777777" w:rsidR="00102EF6" w:rsidRPr="00102EF6" w:rsidRDefault="00102EF6" w:rsidP="00AA4BBB">
            <w:pPr>
              <w:jc w:val="center"/>
              <w:rPr>
                <w:rFonts w:cs="Arial"/>
                <w:sz w:val="18"/>
                <w:szCs w:val="18"/>
              </w:rPr>
            </w:pPr>
            <w:r w:rsidRPr="00102EF6">
              <w:rPr>
                <w:rFonts w:cs="Arial"/>
                <w:sz w:val="18"/>
                <w:szCs w:val="18"/>
              </w:rPr>
              <w:t>12.000</w:t>
            </w:r>
          </w:p>
        </w:tc>
        <w:tc>
          <w:tcPr>
            <w:tcW w:w="0" w:type="auto"/>
            <w:tcMar>
              <w:top w:w="30" w:type="dxa"/>
              <w:left w:w="45" w:type="dxa"/>
              <w:bottom w:w="30" w:type="dxa"/>
              <w:right w:w="45" w:type="dxa"/>
            </w:tcMar>
            <w:vAlign w:val="center"/>
            <w:hideMark/>
          </w:tcPr>
          <w:p w14:paraId="1BFC7E07" w14:textId="77777777" w:rsidR="00102EF6" w:rsidRPr="00102EF6" w:rsidRDefault="00102EF6" w:rsidP="00AA4BBB">
            <w:pPr>
              <w:jc w:val="center"/>
              <w:rPr>
                <w:rFonts w:cs="Arial"/>
                <w:sz w:val="18"/>
                <w:szCs w:val="18"/>
              </w:rPr>
            </w:pPr>
            <w:r w:rsidRPr="00102EF6">
              <w:rPr>
                <w:rFonts w:cs="Arial"/>
                <w:sz w:val="18"/>
                <w:szCs w:val="18"/>
              </w:rPr>
              <w:t>6.000</w:t>
            </w:r>
          </w:p>
        </w:tc>
        <w:tc>
          <w:tcPr>
            <w:tcW w:w="0" w:type="auto"/>
            <w:vMerge w:val="restart"/>
            <w:tcMar>
              <w:top w:w="30" w:type="dxa"/>
              <w:left w:w="45" w:type="dxa"/>
              <w:bottom w:w="30" w:type="dxa"/>
              <w:right w:w="45" w:type="dxa"/>
            </w:tcMar>
            <w:vAlign w:val="center"/>
            <w:hideMark/>
          </w:tcPr>
          <w:p w14:paraId="407BA56A" w14:textId="77777777" w:rsidR="00102EF6" w:rsidRPr="00102EF6" w:rsidRDefault="00102EF6" w:rsidP="00AA4BBB">
            <w:pPr>
              <w:jc w:val="center"/>
              <w:rPr>
                <w:rFonts w:cs="Arial"/>
                <w:b/>
                <w:bCs/>
                <w:sz w:val="18"/>
                <w:szCs w:val="18"/>
              </w:rPr>
            </w:pPr>
            <w:r w:rsidRPr="00102EF6">
              <w:rPr>
                <w:rFonts w:cs="Arial"/>
                <w:b/>
                <w:bCs/>
                <w:sz w:val="18"/>
                <w:szCs w:val="18"/>
              </w:rPr>
              <w:t>3.684.817.042</w:t>
            </w:r>
          </w:p>
        </w:tc>
      </w:tr>
      <w:tr w:rsidR="00102EF6" w:rsidRPr="00102EF6" w14:paraId="479762DC" w14:textId="77777777" w:rsidTr="00102EF6">
        <w:tc>
          <w:tcPr>
            <w:tcW w:w="0" w:type="auto"/>
            <w:vMerge/>
            <w:tcBorders>
              <w:bottom w:val="double" w:sz="4" w:space="0" w:color="C00000"/>
            </w:tcBorders>
            <w:vAlign w:val="center"/>
            <w:hideMark/>
          </w:tcPr>
          <w:p w14:paraId="3CBCC7FD" w14:textId="77777777" w:rsidR="00102EF6" w:rsidRPr="00102EF6" w:rsidRDefault="00102EF6" w:rsidP="00AA4BBB">
            <w:pPr>
              <w:rPr>
                <w:rFonts w:cs="Arial"/>
                <w:sz w:val="16"/>
                <w:szCs w:val="16"/>
              </w:rPr>
            </w:pPr>
          </w:p>
        </w:tc>
        <w:tc>
          <w:tcPr>
            <w:tcW w:w="0" w:type="auto"/>
            <w:tcBorders>
              <w:bottom w:val="double" w:sz="4" w:space="0" w:color="C00000"/>
            </w:tcBorders>
            <w:tcMar>
              <w:top w:w="30" w:type="dxa"/>
              <w:left w:w="45" w:type="dxa"/>
              <w:bottom w:w="30" w:type="dxa"/>
              <w:right w:w="45" w:type="dxa"/>
            </w:tcMar>
            <w:vAlign w:val="center"/>
            <w:hideMark/>
          </w:tcPr>
          <w:p w14:paraId="315106A8" w14:textId="77777777" w:rsidR="00102EF6" w:rsidRPr="00102EF6" w:rsidRDefault="00102EF6" w:rsidP="00AA4BBB">
            <w:pPr>
              <w:jc w:val="center"/>
              <w:rPr>
                <w:rFonts w:cs="Arial"/>
                <w:sz w:val="18"/>
                <w:szCs w:val="18"/>
              </w:rPr>
            </w:pPr>
            <w:r w:rsidRPr="00102EF6">
              <w:rPr>
                <w:rFonts w:cs="Arial"/>
                <w:sz w:val="18"/>
                <w:szCs w:val="18"/>
              </w:rPr>
              <w:t>643.894.585</w:t>
            </w:r>
          </w:p>
        </w:tc>
        <w:tc>
          <w:tcPr>
            <w:tcW w:w="0" w:type="auto"/>
            <w:tcBorders>
              <w:bottom w:val="double" w:sz="4" w:space="0" w:color="C00000"/>
            </w:tcBorders>
            <w:tcMar>
              <w:top w:w="30" w:type="dxa"/>
              <w:left w:w="45" w:type="dxa"/>
              <w:bottom w:w="30" w:type="dxa"/>
              <w:right w:w="45" w:type="dxa"/>
            </w:tcMar>
            <w:vAlign w:val="center"/>
            <w:hideMark/>
          </w:tcPr>
          <w:p w14:paraId="0C793B64" w14:textId="77777777" w:rsidR="00102EF6" w:rsidRPr="00102EF6" w:rsidRDefault="00102EF6" w:rsidP="00AA4BBB">
            <w:pPr>
              <w:jc w:val="center"/>
              <w:rPr>
                <w:rFonts w:cs="Arial"/>
                <w:sz w:val="18"/>
                <w:szCs w:val="18"/>
              </w:rPr>
            </w:pPr>
            <w:r w:rsidRPr="00102EF6">
              <w:rPr>
                <w:rFonts w:cs="Arial"/>
                <w:sz w:val="18"/>
                <w:szCs w:val="18"/>
              </w:rPr>
              <w:t>1.104.649.680</w:t>
            </w:r>
          </w:p>
        </w:tc>
        <w:tc>
          <w:tcPr>
            <w:tcW w:w="0" w:type="auto"/>
            <w:tcBorders>
              <w:bottom w:val="double" w:sz="4" w:space="0" w:color="C00000"/>
            </w:tcBorders>
            <w:tcMar>
              <w:top w:w="30" w:type="dxa"/>
              <w:left w:w="45" w:type="dxa"/>
              <w:bottom w:w="30" w:type="dxa"/>
              <w:right w:w="45" w:type="dxa"/>
            </w:tcMar>
            <w:vAlign w:val="center"/>
            <w:hideMark/>
          </w:tcPr>
          <w:p w14:paraId="21E8356F" w14:textId="77777777" w:rsidR="00102EF6" w:rsidRPr="00102EF6" w:rsidRDefault="00102EF6" w:rsidP="00AA4BBB">
            <w:pPr>
              <w:jc w:val="center"/>
              <w:rPr>
                <w:rFonts w:cs="Arial"/>
                <w:sz w:val="18"/>
                <w:szCs w:val="18"/>
              </w:rPr>
            </w:pPr>
            <w:r w:rsidRPr="00102EF6">
              <w:rPr>
                <w:rFonts w:cs="Arial"/>
                <w:sz w:val="18"/>
                <w:szCs w:val="18"/>
              </w:rPr>
              <w:t>1.072.475.417</w:t>
            </w:r>
          </w:p>
        </w:tc>
        <w:tc>
          <w:tcPr>
            <w:tcW w:w="0" w:type="auto"/>
            <w:tcBorders>
              <w:bottom w:val="double" w:sz="4" w:space="0" w:color="C00000"/>
            </w:tcBorders>
            <w:tcMar>
              <w:top w:w="30" w:type="dxa"/>
              <w:left w:w="45" w:type="dxa"/>
              <w:bottom w:w="30" w:type="dxa"/>
              <w:right w:w="45" w:type="dxa"/>
            </w:tcMar>
            <w:vAlign w:val="center"/>
            <w:hideMark/>
          </w:tcPr>
          <w:p w14:paraId="6456AF73" w14:textId="77777777" w:rsidR="00102EF6" w:rsidRPr="00102EF6" w:rsidRDefault="00102EF6" w:rsidP="00AA4BBB">
            <w:pPr>
              <w:jc w:val="center"/>
              <w:rPr>
                <w:rFonts w:cs="Arial"/>
                <w:sz w:val="18"/>
                <w:szCs w:val="18"/>
              </w:rPr>
            </w:pPr>
            <w:r w:rsidRPr="00102EF6">
              <w:rPr>
                <w:rFonts w:cs="Arial"/>
                <w:sz w:val="18"/>
                <w:szCs w:val="18"/>
              </w:rPr>
              <w:t>863.797.360</w:t>
            </w:r>
          </w:p>
        </w:tc>
        <w:tc>
          <w:tcPr>
            <w:tcW w:w="0" w:type="auto"/>
            <w:vMerge/>
            <w:tcBorders>
              <w:bottom w:val="double" w:sz="4" w:space="0" w:color="C00000"/>
            </w:tcBorders>
            <w:vAlign w:val="center"/>
            <w:hideMark/>
          </w:tcPr>
          <w:p w14:paraId="6C95BD98" w14:textId="77777777" w:rsidR="00102EF6" w:rsidRPr="00102EF6" w:rsidRDefault="00102EF6" w:rsidP="00AA4BBB">
            <w:pPr>
              <w:rPr>
                <w:rFonts w:cs="Arial"/>
                <w:b/>
                <w:bCs/>
                <w:sz w:val="20"/>
                <w:szCs w:val="20"/>
              </w:rPr>
            </w:pPr>
          </w:p>
        </w:tc>
      </w:tr>
    </w:tbl>
    <w:p w14:paraId="170344D4" w14:textId="3DCB3922" w:rsidR="00FA4F64" w:rsidRDefault="00FA4F64" w:rsidP="00FA4F64">
      <w:pPr>
        <w:tabs>
          <w:tab w:val="left" w:pos="2484"/>
        </w:tabs>
        <w:jc w:val="left"/>
      </w:pPr>
      <w:r>
        <w:br w:type="page"/>
      </w:r>
    </w:p>
    <w:p w14:paraId="2CF94DB1" w14:textId="77777777" w:rsidR="00FA4F64" w:rsidRDefault="00FA4F64" w:rsidP="008A1EC7">
      <w:r>
        <w:rPr>
          <w:noProof/>
        </w:rPr>
        <w:lastRenderedPageBreak/>
        <w:drawing>
          <wp:anchor distT="0" distB="0" distL="0" distR="0" simplePos="0" relativeHeight="251759616" behindDoc="1" locked="0" layoutInCell="1" hidden="0" allowOverlap="1" wp14:anchorId="08D0FDDC" wp14:editId="3A775E93">
            <wp:simplePos x="0" y="0"/>
            <wp:positionH relativeFrom="column">
              <wp:posOffset>3810</wp:posOffset>
            </wp:positionH>
            <wp:positionV relativeFrom="paragraph">
              <wp:posOffset>-1620520</wp:posOffset>
            </wp:positionV>
            <wp:extent cx="5932800" cy="2118302"/>
            <wp:effectExtent l="0" t="0" r="0" b="0"/>
            <wp:wrapNone/>
            <wp:docPr id="2133516029" name="image9.png"/>
            <wp:cNvGraphicFramePr/>
            <a:graphic xmlns:a="http://schemas.openxmlformats.org/drawingml/2006/main">
              <a:graphicData uri="http://schemas.openxmlformats.org/drawingml/2006/picture">
                <pic:pic xmlns:pic="http://schemas.openxmlformats.org/drawingml/2006/picture">
                  <pic:nvPicPr>
                    <pic:cNvPr id="2133516029" name="image9.png"/>
                    <pic:cNvPicPr preferRelativeResize="0"/>
                  </pic:nvPicPr>
                  <pic:blipFill>
                    <a:blip r:embed="rId122">
                      <a:extLst>
                        <a:ext uri="{28A0092B-C50C-407E-A947-70E740481C1C}">
                          <a14:useLocalDpi xmlns:a14="http://schemas.microsoft.com/office/drawing/2010/main" val="0"/>
                        </a:ext>
                      </a:extLst>
                    </a:blip>
                    <a:stretch>
                      <a:fillRect/>
                    </a:stretch>
                  </pic:blipFill>
                  <pic:spPr>
                    <a:xfrm>
                      <a:off x="0" y="0"/>
                      <a:ext cx="5932800" cy="2118302"/>
                    </a:xfrm>
                    <a:prstGeom prst="rect">
                      <a:avLst/>
                    </a:prstGeom>
                    <a:ln/>
                  </pic:spPr>
                </pic:pic>
              </a:graphicData>
            </a:graphic>
            <wp14:sizeRelH relativeFrom="margin">
              <wp14:pctWidth>0</wp14:pctWidth>
            </wp14:sizeRelH>
          </wp:anchor>
        </w:drawing>
      </w:r>
    </w:p>
    <w:p w14:paraId="77702910" w14:textId="77777777" w:rsidR="00AE702D" w:rsidRDefault="00AE702D" w:rsidP="008A1EC7"/>
    <w:p w14:paraId="6AFB9509" w14:textId="77777777" w:rsidR="00AE702D" w:rsidRDefault="00AE702D" w:rsidP="008A1EC7"/>
    <w:p w14:paraId="78454621" w14:textId="77777777" w:rsidR="00EB0826" w:rsidRDefault="00EB0826" w:rsidP="008A1EC7"/>
    <w:p w14:paraId="0D8877D3" w14:textId="714E7C18" w:rsidR="00FA4F64" w:rsidRPr="00AE702D" w:rsidRDefault="00FA4F64" w:rsidP="00EB0826">
      <w:pPr>
        <w:pStyle w:val="NIVEL2PDD"/>
      </w:pPr>
      <w:bookmarkStart w:id="293" w:name="_Toc165169775"/>
      <w:r w:rsidRPr="00EB0826">
        <w:rPr>
          <w:color w:val="3B3838" w:themeColor="background2" w:themeShade="40"/>
        </w:rPr>
        <w:t xml:space="preserve">Objetivo 3. </w:t>
      </w:r>
      <w:r w:rsidRPr="00AE702D">
        <w:t>Bogotá confía en su potencial</w:t>
      </w:r>
      <w:bookmarkEnd w:id="293"/>
    </w:p>
    <w:p w14:paraId="4769A27C" w14:textId="77777777" w:rsidR="00FA4F64" w:rsidRPr="00AE702D" w:rsidRDefault="00FA4F64" w:rsidP="00AE702D">
      <w:pPr>
        <w:pStyle w:val="titulodocumento"/>
      </w:pPr>
    </w:p>
    <w:p w14:paraId="3A8B37CE" w14:textId="53C07266" w:rsidR="00AE702D" w:rsidRPr="00AE702D" w:rsidRDefault="00AE702D" w:rsidP="00AE702D">
      <w:pPr>
        <w:rPr>
          <w:lang w:eastAsia="en-US"/>
        </w:rPr>
        <w:sectPr w:rsidR="00AE702D" w:rsidRPr="00AE702D" w:rsidSect="00F7078E">
          <w:headerReference w:type="default" r:id="rId123"/>
          <w:footerReference w:type="even" r:id="rId124"/>
          <w:type w:val="continuous"/>
          <w:pgSz w:w="12240" w:h="15840"/>
          <w:pgMar w:top="2262" w:right="1440" w:bottom="1440" w:left="1440" w:header="709" w:footer="709" w:gutter="0"/>
          <w:cols w:space="720"/>
        </w:sectPr>
      </w:pPr>
    </w:p>
    <w:p w14:paraId="09E89BA0" w14:textId="77777777" w:rsidR="00FA4F64" w:rsidRDefault="00FA4F64" w:rsidP="00FA4F64">
      <w:r>
        <w:t>Bogotá debe ser una ciudad en la que todos y todas podamos desarrollar y aprovechar al máximo nuestro potencial como personas, familias, empresas, academia y sociedad. Esto requiere consolidar a Bogotá como una ciudad del conocimiento, educada y competitiva, mediante el acceso a bienes y servicios —públicos y privados—, que brinden oportunidades de desarrollo para todos y todas. Una ciudad que adopta la Ciencia, Tecnología e Innovación (CTeI) como motor para el desarrollo de los ecosistemas empresariales, de alta productividad y de emprendimiento, que se alinean con las vocaciones individuales y del territorio. Para ello, Bogotá estará soportada en un ambiente que estimula la generación y apropiación social del conocimiento.</w:t>
      </w:r>
    </w:p>
    <w:p w14:paraId="3BA70F09" w14:textId="77777777" w:rsidR="00FA4F64" w:rsidRDefault="00FA4F64" w:rsidP="00FA4F64"/>
    <w:p w14:paraId="12F891CE" w14:textId="67C8C6A1" w:rsidR="00FA4F64" w:rsidRDefault="00FA4F64" w:rsidP="00FA4F64">
      <w:pPr>
        <w:sectPr w:rsidR="00FA4F64" w:rsidSect="00F7078E">
          <w:type w:val="continuous"/>
          <w:pgSz w:w="12240" w:h="15840"/>
          <w:pgMar w:top="2262" w:right="1440" w:bottom="1440" w:left="1440" w:header="709" w:footer="709" w:gutter="0"/>
          <w:cols w:num="2" w:space="720" w:equalWidth="0">
            <w:col w:w="4396" w:space="567"/>
            <w:col w:w="4396" w:space="0"/>
          </w:cols>
        </w:sectPr>
      </w:pPr>
      <w:r>
        <w:t>Lo anterior requiere mejorar la productividad de las empresas y la competitividad de la ciudad, lo cual se logrará a través de tres estrategias: i) la educación como derecho y pilar de desarrollo para el presente y el futuro, capaz de crear una senda de aprendizaje y conocimiento acorde con los potenciales de las personas y las necesidades presentes y futuras de la ciudad; ii) una transformación digital y de ciencia e innovación pública, que se convierta en la plataforma sobre la cual la ciudad siga siendo el motor de la productividad y generación de conocimiento del país y se proyecte como una de las ciudades más competitivas de la región, y iii) una Bogotá que reduzca el desempleo y fortalezca los emprendimientos productivos, donde se mejora la densidad empresarial —empresas por cada mil habitantes— y se diversifique el tejido empresarial de la ciudad (</w:t>
      </w:r>
      <w:r w:rsidR="00EB0826" w:rsidRPr="00EB0826">
        <w:fldChar w:fldCharType="begin"/>
      </w:r>
      <w:r w:rsidR="00EB0826" w:rsidRPr="00EB0826">
        <w:instrText xml:space="preserve"> REF _Ref165133965 \h </w:instrText>
      </w:r>
      <w:r w:rsidR="00EB0826" w:rsidRPr="00EB0826">
        <w:fldChar w:fldCharType="separate"/>
      </w:r>
      <w:r w:rsidR="00D01651" w:rsidRPr="00EB0826">
        <w:rPr>
          <w:color w:val="C00000"/>
          <w:sz w:val="18"/>
          <w:szCs w:val="18"/>
        </w:rPr>
        <w:t xml:space="preserve">Figura </w:t>
      </w:r>
      <w:r w:rsidR="00D01651">
        <w:rPr>
          <w:noProof/>
          <w:color w:val="C00000"/>
          <w:sz w:val="18"/>
        </w:rPr>
        <w:t>8</w:t>
      </w:r>
      <w:r w:rsidR="00EB0826" w:rsidRPr="00EB0826">
        <w:fldChar w:fldCharType="end"/>
      </w:r>
      <w:r>
        <w:t>).</w:t>
      </w:r>
    </w:p>
    <w:p w14:paraId="1D88D553" w14:textId="77777777" w:rsidR="00AE702D" w:rsidRDefault="00AE702D" w:rsidP="00FA4F64">
      <w:pPr>
        <w:pBdr>
          <w:top w:val="nil"/>
          <w:left w:val="nil"/>
          <w:bottom w:val="nil"/>
          <w:right w:val="nil"/>
          <w:between w:val="nil"/>
        </w:pBdr>
        <w:spacing w:line="220" w:lineRule="auto"/>
        <w:jc w:val="center"/>
        <w:rPr>
          <w:b/>
          <w:color w:val="3B3838"/>
          <w:sz w:val="18"/>
          <w:szCs w:val="18"/>
        </w:rPr>
      </w:pPr>
    </w:p>
    <w:p w14:paraId="15653290" w14:textId="17CBFD59" w:rsidR="00EB0826" w:rsidRPr="00EB0826" w:rsidRDefault="00EB0826" w:rsidP="00EB0826">
      <w:pPr>
        <w:pStyle w:val="Descripcin"/>
        <w:jc w:val="center"/>
        <w:rPr>
          <w:sz w:val="18"/>
        </w:rPr>
      </w:pPr>
      <w:bookmarkStart w:id="294" w:name="_Ref165133965"/>
      <w:bookmarkStart w:id="295" w:name="_Toc165169984"/>
      <w:r w:rsidRPr="00EB0826">
        <w:rPr>
          <w:color w:val="C00000"/>
          <w:sz w:val="18"/>
        </w:rPr>
        <w:t xml:space="preserve">Figura </w:t>
      </w:r>
      <w:r w:rsidRPr="00EB0826">
        <w:rPr>
          <w:color w:val="C00000"/>
          <w:sz w:val="18"/>
        </w:rPr>
        <w:fldChar w:fldCharType="begin"/>
      </w:r>
      <w:r w:rsidRPr="00EB0826">
        <w:rPr>
          <w:color w:val="C00000"/>
          <w:sz w:val="18"/>
        </w:rPr>
        <w:instrText xml:space="preserve"> SEQ Figura \* ARABIC </w:instrText>
      </w:r>
      <w:r w:rsidRPr="00EB0826">
        <w:rPr>
          <w:color w:val="C00000"/>
          <w:sz w:val="18"/>
        </w:rPr>
        <w:fldChar w:fldCharType="separate"/>
      </w:r>
      <w:r w:rsidR="00D01651">
        <w:rPr>
          <w:noProof/>
          <w:color w:val="C00000"/>
          <w:sz w:val="18"/>
        </w:rPr>
        <w:t>8</w:t>
      </w:r>
      <w:r w:rsidRPr="00EB0826">
        <w:rPr>
          <w:color w:val="C00000"/>
          <w:sz w:val="18"/>
        </w:rPr>
        <w:fldChar w:fldCharType="end"/>
      </w:r>
      <w:bookmarkEnd w:id="294"/>
      <w:r w:rsidRPr="00EB0826">
        <w:rPr>
          <w:color w:val="C00000"/>
          <w:sz w:val="18"/>
        </w:rPr>
        <w:t xml:space="preserve">. </w:t>
      </w:r>
      <w:r w:rsidR="00FA4F64" w:rsidRPr="00EB0826">
        <w:rPr>
          <w:sz w:val="18"/>
        </w:rPr>
        <w:t>Estructura Objetivo 3</w:t>
      </w:r>
      <w:bookmarkEnd w:id="295"/>
    </w:p>
    <w:p w14:paraId="2F0046D7" w14:textId="7F2A6D5D" w:rsidR="00EB0826" w:rsidRDefault="00EB0826">
      <w:pPr>
        <w:spacing w:line="240" w:lineRule="auto"/>
        <w:jc w:val="left"/>
        <w:rPr>
          <w:color w:val="C00000"/>
          <w:sz w:val="18"/>
          <w:szCs w:val="18"/>
        </w:rPr>
      </w:pPr>
      <w:r>
        <w:rPr>
          <w:noProof/>
        </w:rPr>
        <w:drawing>
          <wp:anchor distT="0" distB="0" distL="114300" distR="114300" simplePos="0" relativeHeight="251760640" behindDoc="0" locked="0" layoutInCell="1" hidden="0" allowOverlap="1" wp14:anchorId="3A906EC3" wp14:editId="04095731">
            <wp:simplePos x="0" y="0"/>
            <wp:positionH relativeFrom="margin">
              <wp:align>center</wp:align>
            </wp:positionH>
            <wp:positionV relativeFrom="paragraph">
              <wp:posOffset>13970</wp:posOffset>
            </wp:positionV>
            <wp:extent cx="4543425" cy="2845455"/>
            <wp:effectExtent l="0" t="0" r="0" b="0"/>
            <wp:wrapNone/>
            <wp:docPr id="2133516031" name="image3.png"/>
            <wp:cNvGraphicFramePr/>
            <a:graphic xmlns:a="http://schemas.openxmlformats.org/drawingml/2006/main">
              <a:graphicData uri="http://schemas.openxmlformats.org/drawingml/2006/picture">
                <pic:pic xmlns:pic="http://schemas.openxmlformats.org/drawingml/2006/picture">
                  <pic:nvPicPr>
                    <pic:cNvPr id="2133516031" name="image3.png"/>
                    <pic:cNvPicPr preferRelativeResize="0"/>
                  </pic:nvPicPr>
                  <pic:blipFill>
                    <a:blip r:embed="rId125" cstate="print">
                      <a:extLst>
                        <a:ext uri="{28A0092B-C50C-407E-A947-70E740481C1C}">
                          <a14:useLocalDpi xmlns:a14="http://schemas.microsoft.com/office/drawing/2010/main" val="0"/>
                        </a:ext>
                      </a:extLst>
                    </a:blip>
                    <a:srcRect l="5092" r="5092"/>
                    <a:stretch>
                      <a:fillRect/>
                    </a:stretch>
                  </pic:blipFill>
                  <pic:spPr>
                    <a:xfrm>
                      <a:off x="0" y="0"/>
                      <a:ext cx="4543425" cy="2845455"/>
                    </a:xfrm>
                    <a:prstGeom prst="rect">
                      <a:avLst/>
                    </a:prstGeom>
                    <a:ln/>
                  </pic:spPr>
                </pic:pic>
              </a:graphicData>
            </a:graphic>
            <wp14:sizeRelH relativeFrom="margin">
              <wp14:pctWidth>0</wp14:pctWidth>
            </wp14:sizeRelH>
            <wp14:sizeRelV relativeFrom="margin">
              <wp14:pctHeight>0</wp14:pctHeight>
            </wp14:sizeRelV>
          </wp:anchor>
        </w:drawing>
      </w:r>
      <w:r>
        <w:rPr>
          <w:color w:val="C00000"/>
          <w:sz w:val="18"/>
          <w:szCs w:val="18"/>
        </w:rPr>
        <w:br w:type="page"/>
      </w:r>
    </w:p>
    <w:p w14:paraId="4F90C7A9" w14:textId="77777777" w:rsidR="00FA4F64" w:rsidRDefault="00FA4F64" w:rsidP="00FA4F64">
      <w:pPr>
        <w:spacing w:line="480" w:lineRule="auto"/>
        <w:rPr>
          <w:rFonts w:ascii="Times New Roman" w:hAnsi="Times New Roman"/>
          <w:sz w:val="24"/>
          <w:highlight w:val="white"/>
        </w:rPr>
        <w:sectPr w:rsidR="00FA4F64" w:rsidSect="00F7078E">
          <w:type w:val="continuous"/>
          <w:pgSz w:w="12240" w:h="15840"/>
          <w:pgMar w:top="2262" w:right="1440" w:bottom="1440" w:left="1440" w:header="709" w:footer="709" w:gutter="0"/>
          <w:cols w:space="720"/>
        </w:sectPr>
      </w:pPr>
    </w:p>
    <w:p w14:paraId="00486B6D" w14:textId="77777777" w:rsidR="00FA4F64" w:rsidRPr="005805E0" w:rsidRDefault="00FA4F64" w:rsidP="00FA4F64">
      <w:pPr>
        <w:rPr>
          <w:spacing w:val="-8"/>
        </w:rPr>
      </w:pPr>
      <w:r w:rsidRPr="005805E0">
        <w:rPr>
          <w:spacing w:val="-8"/>
          <w:highlight w:val="white"/>
        </w:rPr>
        <w:lastRenderedPageBreak/>
        <w:t xml:space="preserve">Las tres estrategias mencionadas que contribuyen al desarrollo y aprovechamiento del potencial de Bogotá se hacen operativas mediante la acción articulada de </w:t>
      </w:r>
      <w:r w:rsidRPr="005805E0">
        <w:rPr>
          <w:spacing w:val="-8"/>
        </w:rPr>
        <w:t>siete programas.</w:t>
      </w:r>
    </w:p>
    <w:p w14:paraId="754DDD95" w14:textId="77777777" w:rsidR="00FA4F64" w:rsidRPr="005805E0" w:rsidRDefault="00FA4F64" w:rsidP="00FA4F64">
      <w:pPr>
        <w:rPr>
          <w:spacing w:val="-8"/>
        </w:rPr>
      </w:pPr>
    </w:p>
    <w:p w14:paraId="473A84AE" w14:textId="77777777" w:rsidR="00FA4F64" w:rsidRPr="005805E0" w:rsidRDefault="00FA4F64" w:rsidP="00FA4F64">
      <w:pPr>
        <w:rPr>
          <w:spacing w:val="-8"/>
          <w:highlight w:val="white"/>
        </w:rPr>
      </w:pPr>
      <w:r w:rsidRPr="005805E0">
        <w:rPr>
          <w:spacing w:val="-8"/>
        </w:rPr>
        <w:t xml:space="preserve">Con estos programas se fortalece el ecosistema de CTeI de la ciudad y la articulación empresa, academia, sector público y sociedad; la formación de vocaciones a lo largo del sistema educativo, la educación técnica, tecnológica y profesional, en la que trabajaremos tanto en cobertura como en calidad de la educación; el desarrollo de tejido empresarial y aglomeraciones </w:t>
      </w:r>
      <w:r w:rsidRPr="005805E0">
        <w:rPr>
          <w:spacing w:val="-8"/>
          <w:highlight w:val="white"/>
        </w:rPr>
        <w:t xml:space="preserve">productivas, formalización empresarial y articulación entre la oferta y el mercado laboral; y el fomento y estímulo de sectores económicos clave, a los que la ciudad le apostará como punta de lanza para un mayor crecimiento económico inclusivo y sostenible, como el programa Bogotá ciudad portuaria, el turismo, la economía circular, el </w:t>
      </w:r>
      <w:r w:rsidRPr="005805E0">
        <w:rPr>
          <w:i/>
          <w:spacing w:val="-8"/>
          <w:highlight w:val="white"/>
        </w:rPr>
        <w:t>hub</w:t>
      </w:r>
      <w:r w:rsidRPr="005805E0">
        <w:rPr>
          <w:spacing w:val="-8"/>
          <w:highlight w:val="white"/>
        </w:rPr>
        <w:t xml:space="preserve"> de innovación tecnológica de la ciudad, entre otros. Todo </w:t>
      </w:r>
      <w:r w:rsidRPr="005805E0">
        <w:rPr>
          <w:spacing w:val="-8"/>
          <w:highlight w:val="white"/>
        </w:rPr>
        <w:t>lo anterior, aprovechando y articulando el potencial de la ciudad en el contexto de la región metropolitana y de la gobernanza de la acción internacional.</w:t>
      </w:r>
    </w:p>
    <w:p w14:paraId="2B00F07D" w14:textId="77777777" w:rsidR="00FA4F64" w:rsidRPr="005805E0" w:rsidRDefault="00FA4F64" w:rsidP="00FA4F64">
      <w:pPr>
        <w:rPr>
          <w:spacing w:val="-8"/>
          <w:highlight w:val="white"/>
        </w:rPr>
      </w:pPr>
    </w:p>
    <w:p w14:paraId="5E16A6C0" w14:textId="77777777" w:rsidR="00FA4F64" w:rsidRPr="005805E0" w:rsidRDefault="00FA4F64" w:rsidP="00FA4F64">
      <w:pPr>
        <w:rPr>
          <w:spacing w:val="-8"/>
          <w:highlight w:val="white"/>
        </w:rPr>
        <w:sectPr w:rsidR="00FA4F64" w:rsidRPr="005805E0" w:rsidSect="00F7078E">
          <w:type w:val="continuous"/>
          <w:pgSz w:w="12240" w:h="15840"/>
          <w:pgMar w:top="2262" w:right="1440" w:bottom="1440" w:left="1440" w:header="709" w:footer="709" w:gutter="0"/>
          <w:cols w:num="2" w:space="720" w:equalWidth="0">
            <w:col w:w="4396" w:space="567"/>
            <w:col w:w="4396" w:space="0"/>
          </w:cols>
        </w:sectPr>
      </w:pPr>
      <w:r w:rsidRPr="005805E0">
        <w:rPr>
          <w:spacing w:val="-8"/>
          <w:highlight w:val="white"/>
        </w:rPr>
        <w:t>Esta visión holística al desarrollo del potencial de la ciudad es, a su vez, acorde con los objetivos de desarrollo sostenible, así: ODS 11: Ciudades y comunidades sostenibles, buscando una ciudad de oportunidades y sostenible; ODS 8: Trabajo decente y crecimiento económico, buscando una ciudad donde haya trabajo acorde con las vocaciones y que a su vez sea competitivo; ODS 4: Educación de calidad, que garantice beneficios para sus individuos y la ciudad; ODS 9: Industria, innovación e infraestructura, creando una ciudad donde la innovación sea su sello de productividad; así mismo, ODS 5: Igualdad de género, al promover la reducción de las brechas que en materia de acceso a la educación, ingresos y  trabajo, puedan existir entre hombres y mujeres.</w:t>
      </w:r>
    </w:p>
    <w:p w14:paraId="26080E8F" w14:textId="77777777" w:rsidR="00FA4F64" w:rsidRDefault="00FA4F64" w:rsidP="00FA4F64"/>
    <w:p w14:paraId="45DDF310" w14:textId="77777777" w:rsidR="008B185D" w:rsidRDefault="008B185D" w:rsidP="008B185D">
      <w:pPr>
        <w:sectPr w:rsidR="008B185D" w:rsidSect="00F7078E">
          <w:type w:val="continuous"/>
          <w:pgSz w:w="12240" w:h="15840"/>
          <w:pgMar w:top="2262" w:right="1440" w:bottom="1440" w:left="1440" w:header="709" w:footer="709" w:gutter="0"/>
          <w:cols w:space="720"/>
        </w:sectPr>
      </w:pPr>
    </w:p>
    <w:p w14:paraId="4C259353" w14:textId="28970D17" w:rsidR="00FA4F64" w:rsidRPr="00D70024" w:rsidRDefault="00FA4F64" w:rsidP="00D70024">
      <w:pPr>
        <w:pStyle w:val="Ttulo3"/>
        <w:rPr>
          <w:color w:val="C00000"/>
        </w:rPr>
      </w:pPr>
      <w:bookmarkStart w:id="296" w:name="_Toc165169776"/>
      <w:r w:rsidRPr="00D70024">
        <w:rPr>
          <w:color w:val="C00000"/>
        </w:rPr>
        <w:t>Estrategias</w:t>
      </w:r>
      <w:bookmarkEnd w:id="296"/>
    </w:p>
    <w:p w14:paraId="5891B0C4" w14:textId="77777777" w:rsidR="00FA4F64" w:rsidRPr="00921449" w:rsidRDefault="00FA4F64" w:rsidP="00921449">
      <w:pPr>
        <w:pStyle w:val="Ttulo2"/>
        <w:numPr>
          <w:ilvl w:val="0"/>
          <w:numId w:val="0"/>
        </w:numPr>
        <w:sectPr w:rsidR="00FA4F64" w:rsidRPr="00921449" w:rsidSect="00F7078E">
          <w:type w:val="continuous"/>
          <w:pgSz w:w="12240" w:h="15840"/>
          <w:pgMar w:top="2262" w:right="1440" w:bottom="1440" w:left="1440" w:header="709" w:footer="709" w:gutter="0"/>
          <w:cols w:space="720"/>
        </w:sectPr>
      </w:pPr>
    </w:p>
    <w:p w14:paraId="22C12FF4" w14:textId="77777777" w:rsidR="00FA4F64" w:rsidRPr="00D70024" w:rsidRDefault="00FA4F64" w:rsidP="00921449">
      <w:pPr>
        <w:pStyle w:val="Ttulo2"/>
        <w:numPr>
          <w:ilvl w:val="0"/>
          <w:numId w:val="0"/>
        </w:numPr>
        <w:rPr>
          <w:bCs/>
          <w:sz w:val="32"/>
          <w:szCs w:val="28"/>
        </w:rPr>
        <w:sectPr w:rsidR="00FA4F64" w:rsidRPr="00D70024" w:rsidSect="00F7078E">
          <w:type w:val="continuous"/>
          <w:pgSz w:w="12240" w:h="15840"/>
          <w:pgMar w:top="2262" w:right="1440" w:bottom="1440" w:left="1440" w:header="709" w:footer="709" w:gutter="0"/>
          <w:cols w:space="720"/>
        </w:sectPr>
      </w:pPr>
    </w:p>
    <w:p w14:paraId="2C2DFA8C" w14:textId="77777777" w:rsidR="00921449" w:rsidRPr="00D70024" w:rsidRDefault="00921449" w:rsidP="00D70024">
      <w:pPr>
        <w:rPr>
          <w:b/>
          <w:bCs/>
          <w:sz w:val="24"/>
          <w:szCs w:val="28"/>
        </w:rPr>
        <w:sectPr w:rsidR="00921449" w:rsidRPr="00D70024" w:rsidSect="00F7078E">
          <w:type w:val="continuous"/>
          <w:pgSz w:w="12240" w:h="15840"/>
          <w:pgMar w:top="2262" w:right="1440" w:bottom="1440" w:left="1440" w:header="709" w:footer="709" w:gutter="0"/>
          <w:cols w:space="720"/>
        </w:sectPr>
      </w:pPr>
      <w:r w:rsidRPr="00D70024">
        <w:rPr>
          <w:b/>
          <w:bCs/>
          <w:sz w:val="28"/>
          <w:szCs w:val="32"/>
        </w:rPr>
        <w:t>La educación como derecho y pilar de desarrollo para el presente y el futuro</w:t>
      </w:r>
    </w:p>
    <w:p w14:paraId="1C937097" w14:textId="7AF195FC" w:rsidR="00FA4F64" w:rsidRPr="008B185D" w:rsidRDefault="00FA4F64" w:rsidP="00921449">
      <w:r w:rsidRPr="00921449">
        <w:t xml:space="preserve">Partimos de identificar las necesidades presentes y futuras de las personas, familias, empresas, academia y sociedad, con el fin de brindar las garantías del derecho a la educación, que les permita consolidar </w:t>
      </w:r>
      <w:r w:rsidRPr="008B185D">
        <w:t>su proyecto de vida y, de esta manera, contribuyan al desarrollo de la ciudad y la región. Para ello, la estrategia pone a disposición un sistema educativo estable y robusto que ha logrado grandes avances en operación, infraestructura y ambientes de aprendizaje; que cuenta con una oferta de educación inicial básica, media y posmedia, que estrecha la relación entre la educación y los ecosistemas de innovación, emprendimiento y empleo. Se hará énfasis en aumentar la cobertura de atención integral en primera infancia, como resultado del desarrollo de las acciones de diferentes entidades para identificar la población objetivo y facilitar los procesos de matrícula, aumentando los cupos de prejardín y jardín en colegios oficiales, entre otras.</w:t>
      </w:r>
    </w:p>
    <w:p w14:paraId="5F530D79" w14:textId="77777777" w:rsidR="00FA4F64" w:rsidRPr="008B185D" w:rsidRDefault="00FA4F64" w:rsidP="008B185D"/>
    <w:p w14:paraId="1038B2C7" w14:textId="77777777" w:rsidR="00FA4F64" w:rsidRPr="008B185D" w:rsidRDefault="00FA4F64" w:rsidP="008B185D">
      <w:r w:rsidRPr="008B185D">
        <w:t>La educación se proyecta como el motor del desarrollo de la ciudad, brindando formación a lo largo de toda la vida a niñas, niños, jóvenes, mujeres, personas con discapacidades, cuidadores, personas mayores y en general, todas las personas de acuerdo con sus diferencias y diversidades. Lo anterior, con el propósito de que logren aprendizajes fundamentales para su vida, articulando sus intereses y condiciones con el propósito de atender las necesidades del mercado para que las personas logren consolidar una vida productiva en la ciudad y la región.</w:t>
      </w:r>
    </w:p>
    <w:p w14:paraId="6A2F2B45" w14:textId="77777777" w:rsidR="00FA4F64" w:rsidRPr="008B185D" w:rsidRDefault="00FA4F64" w:rsidP="008B185D"/>
    <w:p w14:paraId="2E9BF200" w14:textId="77777777" w:rsidR="00FA4F64" w:rsidRPr="008B185D" w:rsidRDefault="00FA4F64" w:rsidP="008B185D">
      <w:r w:rsidRPr="008B185D">
        <w:t xml:space="preserve">Así mismo, se busca fortalecer el aprendizaje en lectura y matemáticas, y fomentar la adquisición de habilidades bilingües, laborales y empresariales. También, se hará énfasis en ciencia y tecnología, innovación y desarrollo de la creatividad, lo que permitirá un mejor relacionamiento en ámbitos productivos de orden local, nacional y </w:t>
      </w:r>
      <w:r w:rsidRPr="008B185D">
        <w:lastRenderedPageBreak/>
        <w:t>regional. Estos procesos estarán acompañados del desarrollo integral de las personas, promoviendo su vinculación a espacios de formación artística, patrimonial, deportiva, recreativa y cultural. La suma de todos estos esfuerzos permitirá que Bogotá avance en la consolidación de ciudadanía para el fortalecimiento de ecosistemas de emprendimiento y desarrollo empresarial duraderos.</w:t>
      </w:r>
    </w:p>
    <w:p w14:paraId="2F9FAE1C" w14:textId="77777777" w:rsidR="00FA4F64" w:rsidRPr="008B185D" w:rsidRDefault="00FA4F64" w:rsidP="008B185D"/>
    <w:p w14:paraId="1BE74649" w14:textId="77777777" w:rsidR="00FA4F64" w:rsidRPr="008B185D" w:rsidRDefault="00FA4F64" w:rsidP="008B185D">
      <w:r w:rsidRPr="008B185D">
        <w:t>La educación como derecho supone que, en el proceso de lograr aprendizajes fundamentales, también se fortalezcan las habilidades socioemocionales de cada estudiante, su salud mental y la incidencia en mejores prácticas formativas en las diferentes áreas del conocimiento. Así mismo, implica apoyar al personal docente para mejorar su bienestar y con la visión de cerrar la segregación entre la educación oficial y no oficial; en este sentido, se avanzará en la atención de jornada única y jornada complementaria, reforzando ambientes escolares protectores.</w:t>
      </w:r>
    </w:p>
    <w:p w14:paraId="12801765" w14:textId="77777777" w:rsidR="00FA4F64" w:rsidRPr="008B185D" w:rsidRDefault="00FA4F64" w:rsidP="008B185D"/>
    <w:p w14:paraId="570E2BFF" w14:textId="77777777" w:rsidR="00FA4F64" w:rsidRPr="008B185D" w:rsidRDefault="00FA4F64" w:rsidP="008B185D">
      <w:r w:rsidRPr="008B185D">
        <w:t>Para fortalecer la salud mental de las y los educadores, se establecerá el enfoque de promoción y prevención del riesgo psicosocial mediante estrategias de acompañamiento, como las escuelas emocionales y corporales y el Programa “Terapeuta en tu Colegio”, brindando cobertura de lo individual a lo grupal desde la línea preventiva a los establecimientos educativos oficiales priorizados en riesgo psicosocial.</w:t>
      </w:r>
    </w:p>
    <w:p w14:paraId="55BAB937" w14:textId="77777777" w:rsidR="00FA4F64" w:rsidRPr="008B185D" w:rsidRDefault="00FA4F64" w:rsidP="008B185D">
      <w:r w:rsidRPr="008B185D">
        <w:t xml:space="preserve"> </w:t>
      </w:r>
    </w:p>
    <w:p w14:paraId="77605C2D" w14:textId="77777777" w:rsidR="00FA4F64" w:rsidRPr="008B185D" w:rsidRDefault="00FA4F64" w:rsidP="008B185D">
      <w:r w:rsidRPr="008B185D">
        <w:t xml:space="preserve">La estrategia de la educación como derecho y pilar de desarrollo para el presente y el futuro, solo es posible en el marco de una cuidadosa </w:t>
      </w:r>
      <w:r w:rsidRPr="008B185D">
        <w:t xml:space="preserve">lectura y aplicación de los enfoques de género, poblacional-diferencial, territorial, regional e interseccional. De esta manera, se pondrán en marcha servicios de formación para la cualificación y/o reconversión laboral, encaminados a lograr que las personas encuentren garantías para ejercer el derecho a la educación y superen, con apoyo del Distrito, las barreras que les han impedido incorporarse o reincorporarse al mercado productivo. Este es el caso, por ejemplo, de las personas adultas de más de 50 años, personas con discapacidad, con capacidades excepcionales, pertenecientes a grupos étnicos, grupos de especial protección, migrantes, entre otros; de tal manera que se les brinden oportunidades para desarrollarse con todas sus capacidades en la ciudad. </w:t>
      </w:r>
    </w:p>
    <w:p w14:paraId="46BD2B73" w14:textId="77777777" w:rsidR="00FA4F64" w:rsidRPr="008B185D" w:rsidRDefault="00FA4F64" w:rsidP="008B185D"/>
    <w:p w14:paraId="6238B36A" w14:textId="77777777" w:rsidR="00FA4F64" w:rsidRPr="008B185D" w:rsidRDefault="00FA4F64" w:rsidP="008B185D">
      <w:r w:rsidRPr="008B185D">
        <w:t>Todos estos esfuerzos se harán bajo el principio de articulación con servicios del Gobierno nacional, tales como esquemas de financiación con la política de gratuidad nacional, con el fin de que los recursos de subsidios del Distrito, se encaminen hacia el fortalecimiento de las instituciones de educación superior públicas y la ampliación de coberturas, para que más personas puedan acceder a una educación acorde a su curso de vida y/o trayectoria productiva en la ciudad.</w:t>
      </w:r>
    </w:p>
    <w:p w14:paraId="3447E524" w14:textId="77777777" w:rsidR="00FA4F64" w:rsidRPr="008B185D" w:rsidRDefault="00FA4F64" w:rsidP="008B185D"/>
    <w:p w14:paraId="452E64AE" w14:textId="1BD04E93" w:rsidR="00FA4F64" w:rsidRPr="008B185D" w:rsidRDefault="00FA4F64" w:rsidP="008B185D">
      <w:pPr>
        <w:sectPr w:rsidR="00FA4F64" w:rsidRPr="008B185D" w:rsidSect="00F7078E">
          <w:type w:val="continuous"/>
          <w:pgSz w:w="12240" w:h="15840"/>
          <w:pgMar w:top="2262" w:right="1440" w:bottom="1440" w:left="1440" w:header="709" w:footer="709" w:gutter="0"/>
          <w:cols w:num="2" w:space="567"/>
        </w:sectPr>
      </w:pPr>
      <w:r w:rsidRPr="008B185D">
        <w:t>Esta estrategia es una de las bases fundamentales para lograr que se estreche el vínculo entre el ecosistema productivo y la oferta de educación, potencializando así el desarrollo social y económico para las actuales y las futuras generaciones</w:t>
      </w:r>
      <w:r w:rsidR="006E3113">
        <w:t>.</w:t>
      </w:r>
    </w:p>
    <w:p w14:paraId="36BA7198" w14:textId="77777777" w:rsidR="008B185D" w:rsidRDefault="008B185D" w:rsidP="00FA4F64">
      <w:pPr>
        <w:sectPr w:rsidR="008B185D" w:rsidSect="00F7078E">
          <w:type w:val="continuous"/>
          <w:pgSz w:w="12240" w:h="15840"/>
          <w:pgMar w:top="2262" w:right="1440" w:bottom="1440" w:left="1440" w:header="709" w:footer="709" w:gutter="0"/>
          <w:cols w:space="720"/>
        </w:sectPr>
      </w:pPr>
    </w:p>
    <w:p w14:paraId="1FD92F72" w14:textId="6EC28021" w:rsidR="00FA4F64" w:rsidRDefault="00FA4F64" w:rsidP="00FA4F64"/>
    <w:p w14:paraId="62E70934" w14:textId="21631D3E" w:rsidR="00FA4F64" w:rsidRPr="006E3113" w:rsidRDefault="00FA4F64" w:rsidP="006E3113">
      <w:pPr>
        <w:rPr>
          <w:b/>
          <w:bCs/>
          <w:sz w:val="28"/>
          <w:szCs w:val="28"/>
        </w:rPr>
        <w:sectPr w:rsidR="00FA4F64" w:rsidRPr="006E3113" w:rsidSect="00F7078E">
          <w:type w:val="continuous"/>
          <w:pgSz w:w="12240" w:h="15840"/>
          <w:pgMar w:top="2262" w:right="1440" w:bottom="1440" w:left="1440" w:header="709" w:footer="709" w:gutter="0"/>
          <w:cols w:space="720"/>
        </w:sectPr>
      </w:pPr>
      <w:r w:rsidRPr="006E3113">
        <w:rPr>
          <w:b/>
          <w:bCs/>
          <w:sz w:val="28"/>
          <w:szCs w:val="28"/>
        </w:rPr>
        <w:t>Transformación digital y la innovación, como motor de desarrollo económico y social de Bogotá</w:t>
      </w:r>
    </w:p>
    <w:p w14:paraId="5458F199" w14:textId="1964E612" w:rsidR="00FA4F64" w:rsidRDefault="00FA4F64" w:rsidP="00FA4F64">
      <w:r>
        <w:t xml:space="preserve">Esta estrategia busca fortalecer la alianza entre la sociedad civil, los sectores público, empresarial y academia, como plataforma para la generación de conocimiento que redunde en mejoras en gobernanza, productividad y ecosistemas de desarrollo local y regional. Tal es el caso de </w:t>
      </w:r>
      <w:r>
        <w:t>las comunidades de desarrollo a través de las cuales se articulan esfuerzos para transformar ecosistemas de desarrollo local.</w:t>
      </w:r>
    </w:p>
    <w:p w14:paraId="73394F06" w14:textId="77777777" w:rsidR="00FA4F64" w:rsidRDefault="00FA4F64" w:rsidP="00FA4F64"/>
    <w:p w14:paraId="78998E37" w14:textId="77777777" w:rsidR="00FA4F64" w:rsidRDefault="00FA4F64" w:rsidP="00FA4F64">
      <w:r>
        <w:t xml:space="preserve">Para ello, se desarrollarán acciones para generar agendas colaborativas de desarrollo, </w:t>
      </w:r>
      <w:r>
        <w:lastRenderedPageBreak/>
        <w:t>información analítica para la toma de decisiones, investigaciones, nuevo conocimiento y el desarrollo de productos, procesos y servicios innovadores que fertilicen nuevas oportunidades económicas y de bienestar para las personas.</w:t>
      </w:r>
    </w:p>
    <w:p w14:paraId="35F1C9B2" w14:textId="77777777" w:rsidR="00FA4F64" w:rsidRDefault="00FA4F64" w:rsidP="00FA4F64"/>
    <w:p w14:paraId="17D372EE" w14:textId="77777777" w:rsidR="00FA4F64" w:rsidRDefault="00FA4F64" w:rsidP="00FA4F64">
      <w:r>
        <w:t xml:space="preserve">Por otro lado, la conectividad y la apropiación digital han de servir como motor para una mayor inclusión social y mejora en la productividad del tejido empresarial. Esto, a partir de entornos propicios para la convergencia de recursos, </w:t>
      </w:r>
      <w:r>
        <w:t>conocimientos y experiencias que promuevan sinergias y maximicen el impacto positivo en la sociedad de las herramientas de la era digital.</w:t>
      </w:r>
    </w:p>
    <w:p w14:paraId="25ECCFF5" w14:textId="77777777" w:rsidR="00FA4F64" w:rsidRDefault="00FA4F64" w:rsidP="00FA4F64"/>
    <w:p w14:paraId="08F2A606" w14:textId="77777777" w:rsidR="00FA4F64" w:rsidRDefault="00FA4F64" w:rsidP="00FA4F64">
      <w:pPr>
        <w:sectPr w:rsidR="00FA4F64" w:rsidSect="00F7078E">
          <w:type w:val="continuous"/>
          <w:pgSz w:w="12240" w:h="15840"/>
          <w:pgMar w:top="2262" w:right="1440" w:bottom="1440" w:left="1440" w:header="709" w:footer="709" w:gutter="0"/>
          <w:cols w:num="2" w:space="720" w:equalWidth="0">
            <w:col w:w="4396" w:space="567"/>
            <w:col w:w="4396" w:space="0"/>
          </w:cols>
        </w:sectPr>
      </w:pPr>
      <w:bookmarkStart w:id="297" w:name="_heading=h.7onopjqjnxrn" w:colFirst="0" w:colLast="0"/>
      <w:bookmarkEnd w:id="297"/>
      <w:r>
        <w:t>De esta manera, Bogotá reconoce la necesidad de adoptar una estrategia en la que la colaboración, la investigación y el desarrollo (I+D) y la tecnología sean pilares para el desarrollo de capacidades locales, de nuevas oportunidades económicas y de cambios en el comportamiento de las y los ciudadanos.</w:t>
      </w:r>
    </w:p>
    <w:p w14:paraId="5FD7FA9C" w14:textId="77777777" w:rsidR="00FA4F64" w:rsidRDefault="00FA4F64" w:rsidP="00FA4F64"/>
    <w:p w14:paraId="7BB628FB" w14:textId="77777777" w:rsidR="00FA4F64" w:rsidRDefault="00FA4F64" w:rsidP="00FA4F64"/>
    <w:p w14:paraId="3B9444CC" w14:textId="77777777" w:rsidR="00316F8E" w:rsidRDefault="00316F8E" w:rsidP="00246893">
      <w:pPr>
        <w:sectPr w:rsidR="00316F8E" w:rsidSect="00F7078E">
          <w:type w:val="continuous"/>
          <w:pgSz w:w="12240" w:h="15840"/>
          <w:pgMar w:top="2262" w:right="1440" w:bottom="1440" w:left="1440" w:header="709" w:footer="709" w:gutter="0"/>
          <w:cols w:space="720"/>
        </w:sectPr>
      </w:pPr>
      <w:bookmarkStart w:id="298" w:name="_heading=h.nm4oka7brv5t" w:colFirst="0" w:colLast="0"/>
      <w:bookmarkEnd w:id="298"/>
    </w:p>
    <w:p w14:paraId="2C29BECC" w14:textId="121EDF57" w:rsidR="00FA4F64" w:rsidRPr="001F51F3" w:rsidRDefault="00FA4F64" w:rsidP="001F51F3">
      <w:pPr>
        <w:rPr>
          <w:b/>
          <w:bCs/>
          <w:sz w:val="28"/>
          <w:szCs w:val="32"/>
        </w:rPr>
        <w:sectPr w:rsidR="00FA4F64" w:rsidRPr="001F51F3" w:rsidSect="00F7078E">
          <w:type w:val="continuous"/>
          <w:pgSz w:w="12240" w:h="15840"/>
          <w:pgMar w:top="2262" w:right="1440" w:bottom="1440" w:left="1440" w:header="709" w:footer="709" w:gutter="0"/>
          <w:cols w:space="567"/>
        </w:sectPr>
      </w:pPr>
      <w:r w:rsidRPr="001F51F3">
        <w:rPr>
          <w:b/>
          <w:bCs/>
          <w:sz w:val="28"/>
          <w:szCs w:val="32"/>
        </w:rPr>
        <w:t>Bogotá reduce el desempleo y fortalece el emprendimiento</w:t>
      </w:r>
      <w:r w:rsidR="007D3E28" w:rsidRPr="001F51F3">
        <w:rPr>
          <w:b/>
          <w:bCs/>
          <w:sz w:val="28"/>
          <w:szCs w:val="32"/>
        </w:rPr>
        <w:t xml:space="preserve"> </w:t>
      </w:r>
      <w:r w:rsidRPr="001F51F3">
        <w:rPr>
          <w:b/>
          <w:bCs/>
          <w:sz w:val="28"/>
          <w:szCs w:val="32"/>
        </w:rPr>
        <w:t xml:space="preserve">productivo reconociendo las diferencias y diversidades </w:t>
      </w:r>
      <w:r w:rsidR="007D3E28" w:rsidRPr="001F51F3">
        <w:rPr>
          <w:b/>
          <w:bCs/>
          <w:sz w:val="28"/>
          <w:szCs w:val="32"/>
        </w:rPr>
        <w:t>de su población</w:t>
      </w:r>
      <w:r w:rsidRPr="001F51F3">
        <w:rPr>
          <w:b/>
          <w:bCs/>
          <w:sz w:val="28"/>
          <w:szCs w:val="32"/>
        </w:rPr>
        <w:t xml:space="preserve"> </w:t>
      </w:r>
    </w:p>
    <w:p w14:paraId="2B6F6E41" w14:textId="62CBB871" w:rsidR="00FA4F64" w:rsidRDefault="00FA4F64" w:rsidP="00246893">
      <w:r>
        <w:t>Bogotá dispone toda su institucionalidad para potencializar un tejido empresarial y productivo que genere más oportunidades de empleabilidad con la puesta en marcha del programa Desarrollo empresarial, productividad y empleo. Este programa busca promover la generación de empleo en la ciudad y en consecuencia, nuevas colocaciones, con un énfasis especial en la formalización de la contratación de mujeres, jóvenes con discapacidad, migrantes, personas mayores, personas pertenecientes a grupos étnicos y jóvenes de los sectores LGBTI, por ser quienes están expuestos a mayores barreras para el acceso al mercado laboral.</w:t>
      </w:r>
      <w:r w:rsidR="004242C1">
        <w:t xml:space="preserve"> </w:t>
      </w:r>
    </w:p>
    <w:p w14:paraId="531BFEA6" w14:textId="77777777" w:rsidR="004242C1" w:rsidRDefault="004242C1" w:rsidP="00246893"/>
    <w:p w14:paraId="6CE57626" w14:textId="77777777" w:rsidR="00FA4F64" w:rsidRDefault="00FA4F64" w:rsidP="00246893">
      <w:r>
        <w:t>Se va a potencializar también la incubación de nuevas ideas de negocio, entre otros, a través de la consolidación del Sistema Distrital de Apoyo al Emprendimiento, el cual brinda asistencia técnica, tecnológica y financiera. Dado que el ecosistema emprendedor hará parte de los procesos que se impulsarán a través de esta estrategia, todos estos esfuerzos se concentrarán en aumentar la generación de ingresos propios y el crecimiento económico sostenible de sectores consolidados.</w:t>
      </w:r>
    </w:p>
    <w:p w14:paraId="25809D08" w14:textId="77777777" w:rsidR="00FA4F64" w:rsidRDefault="00FA4F64" w:rsidP="00246893">
      <w:r>
        <w:t xml:space="preserve">Bogotá es reconocida como ciudad innovadora por sus proyectos de base tecnológica sostenibles para la industria, el comercio y servicios en la escala regional. Por ello, centrará sus esfuerzos en contribuir con el crecimiento de sectores </w:t>
      </w:r>
      <w:r>
        <w:t>como el turismo, el entretenimiento y la cultura creativa en la región, dados sus resultados recientes en el impulso de la economía de la ciudad y aprovechando el reconocimiento que esta tiene como una ciudad destino por excelencia en estos temas. En esta línea, la ciudad se articulará con la Región Metropolitana Bogotá-Cundinamarca o con la RAP-E, e impulsará acciones de consumo digital de información, contenidos de eventos, entre otros, entre actores públicos y privados.</w:t>
      </w:r>
    </w:p>
    <w:p w14:paraId="52150FAD" w14:textId="77777777" w:rsidR="00FA4F64" w:rsidRDefault="00FA4F64" w:rsidP="00246893"/>
    <w:p w14:paraId="0D073C8A" w14:textId="3E0F8BE6" w:rsidR="00FA4F64" w:rsidRDefault="00FA4F64" w:rsidP="00246893">
      <w:r>
        <w:t>Por otra parte, Bogotá es el centro de la gestión de las actividades, recursos, programas e instituciones sobre asuntos internacionales, incluyendo aspectos como experiencias innovadoras en intercambios internacionales de grandes negocios en un marco de productividad y competitividad, gestiones diplomáticas, de cooperación internacional y redes internacionales en distintas temáticas, que involucran actores y aliados del Gobierno local, organismos  Gubernamentales nacionales, internacionales, representantes diplomáticos, organizaciones no gubernamentales, academia, sociedad civil, empresas y otros actores relevantes.</w:t>
      </w:r>
    </w:p>
    <w:p w14:paraId="69AA21B1" w14:textId="77777777" w:rsidR="00FA4F64" w:rsidRDefault="00FA4F64" w:rsidP="00246893">
      <w:r>
        <w:t xml:space="preserve"> </w:t>
      </w:r>
    </w:p>
    <w:p w14:paraId="3EDB7FE8" w14:textId="2D82DB94" w:rsidR="00FA4F64" w:rsidRDefault="00FA4F64" w:rsidP="00246893">
      <w:r>
        <w:t xml:space="preserve">En este contexto, Bogotá continuará posicionándose como una ciudad que se ocupa de generar una gobernanza para una gestión integrada y coherente de las relaciones nacionales e </w:t>
      </w:r>
      <w:r>
        <w:lastRenderedPageBreak/>
        <w:t>internacionales que permitan transformar la informalidad, mejorar la productividad, empleo e inclusión; fortaleciendo la gestión de recursos técnicos y/o financieros, con la cooperación internacional para apalancar programas, proyectos e iniciativas de sectores como ambiente, de seguridad, cultural, tecnológico, científico, económico y social, en función del desarrollo productivo de la ciudad y con la concurrencia de inversión pública y privada.</w:t>
      </w:r>
    </w:p>
    <w:p w14:paraId="05C6C3BF" w14:textId="509E5207" w:rsidR="00FA4F64" w:rsidRDefault="00FA4F64" w:rsidP="00246893"/>
    <w:p w14:paraId="35502F68" w14:textId="06CA6CEA" w:rsidR="00FA4F64" w:rsidRDefault="00FA4F64" w:rsidP="00246893">
      <w:r>
        <w:t xml:space="preserve">Finalmente, se enfocarán acciones para el desarrollo y consolidación de actuaciones estratégicas sobre el territorio, que consoliden clústeres </w:t>
      </w:r>
      <w:r>
        <w:t>y aglomeraciones económicas de alto impacto sobre la productividad y el empleo, con vocación de internacionalización y de intensificación de actividad exportadora a escala regional y global, y que sirvan como polos de desarrollo para el tejido productivo más amplio de la ciudad. Tal es el caso de la iniciativa de consolidación de la zona del aeropuerto internacional de Bogotá, conocida como Bogotá ciudad portuaria.</w:t>
      </w:r>
    </w:p>
    <w:p w14:paraId="60378B63" w14:textId="77777777" w:rsidR="00FA4F64" w:rsidRDefault="00FA4F64" w:rsidP="00246893"/>
    <w:p w14:paraId="4DEB304D" w14:textId="1DA70317" w:rsidR="00FA4F64" w:rsidRDefault="00FA4F64" w:rsidP="00246893">
      <w:pPr>
        <w:sectPr w:rsidR="00FA4F64" w:rsidSect="00F7078E">
          <w:type w:val="continuous"/>
          <w:pgSz w:w="12240" w:h="15840"/>
          <w:pgMar w:top="2262" w:right="1440" w:bottom="1440" w:left="1440" w:header="709" w:footer="709" w:gutter="0"/>
          <w:cols w:num="2" w:space="567"/>
        </w:sectPr>
      </w:pPr>
      <w:r>
        <w:t xml:space="preserve">En la </w:t>
      </w:r>
      <w:r w:rsidR="00B46B63" w:rsidRPr="00B46B63">
        <w:fldChar w:fldCharType="begin"/>
      </w:r>
      <w:r w:rsidR="00B46B63" w:rsidRPr="00B46B63">
        <w:instrText xml:space="preserve"> REF _Ref165134351 \h </w:instrText>
      </w:r>
      <w:r w:rsidR="00B46B63" w:rsidRPr="00B46B63">
        <w:fldChar w:fldCharType="separate"/>
      </w:r>
      <w:r w:rsidR="00D01651" w:rsidRPr="00B46B63">
        <w:rPr>
          <w:color w:val="C00000"/>
          <w:sz w:val="18"/>
          <w:szCs w:val="18"/>
        </w:rPr>
        <w:t xml:space="preserve">Figura </w:t>
      </w:r>
      <w:r w:rsidR="00D01651">
        <w:rPr>
          <w:noProof/>
          <w:color w:val="C00000"/>
          <w:sz w:val="18"/>
        </w:rPr>
        <w:t>9</w:t>
      </w:r>
      <w:r w:rsidR="00B46B63" w:rsidRPr="00B46B63">
        <w:fldChar w:fldCharType="end"/>
      </w:r>
      <w:r w:rsidR="00B46B63" w:rsidRPr="00B46B63">
        <w:t xml:space="preserve"> </w:t>
      </w:r>
      <w:r>
        <w:t>se presentan las metas estratégicas que, en conjunto, miden el avance del objetivo 3, Bogotá confía en su potencial.</w:t>
      </w:r>
    </w:p>
    <w:p w14:paraId="2948874A" w14:textId="0073853B" w:rsidR="00316F8E" w:rsidRDefault="00316F8E" w:rsidP="00316F8E">
      <w:pPr>
        <w:pBdr>
          <w:top w:val="nil"/>
          <w:left w:val="nil"/>
          <w:bottom w:val="nil"/>
          <w:right w:val="nil"/>
          <w:between w:val="nil"/>
        </w:pBdr>
        <w:spacing w:line="220" w:lineRule="auto"/>
      </w:pPr>
    </w:p>
    <w:p w14:paraId="727B3A41" w14:textId="4B49AD5D" w:rsidR="00FA4F64" w:rsidRDefault="00B46B63" w:rsidP="00471E91">
      <w:pPr>
        <w:pStyle w:val="Descripcin"/>
        <w:jc w:val="center"/>
      </w:pPr>
      <w:bookmarkStart w:id="299" w:name="_Ref165134351"/>
      <w:bookmarkStart w:id="300" w:name="_Toc165169985"/>
      <w:r w:rsidRPr="00B46B63">
        <w:rPr>
          <w:color w:val="C00000"/>
          <w:sz w:val="18"/>
        </w:rPr>
        <w:t xml:space="preserve">Figura </w:t>
      </w:r>
      <w:r w:rsidRPr="00B46B63">
        <w:rPr>
          <w:color w:val="C00000"/>
          <w:sz w:val="18"/>
        </w:rPr>
        <w:fldChar w:fldCharType="begin"/>
      </w:r>
      <w:r w:rsidRPr="00B46B63">
        <w:rPr>
          <w:color w:val="C00000"/>
          <w:sz w:val="18"/>
        </w:rPr>
        <w:instrText xml:space="preserve"> SEQ Figura \* ARABIC </w:instrText>
      </w:r>
      <w:r w:rsidRPr="00B46B63">
        <w:rPr>
          <w:color w:val="C00000"/>
          <w:sz w:val="18"/>
        </w:rPr>
        <w:fldChar w:fldCharType="separate"/>
      </w:r>
      <w:r w:rsidR="00D01651">
        <w:rPr>
          <w:noProof/>
          <w:color w:val="C00000"/>
          <w:sz w:val="18"/>
        </w:rPr>
        <w:t>9</w:t>
      </w:r>
      <w:r w:rsidRPr="00B46B63">
        <w:rPr>
          <w:color w:val="C00000"/>
          <w:sz w:val="18"/>
        </w:rPr>
        <w:fldChar w:fldCharType="end"/>
      </w:r>
      <w:bookmarkEnd w:id="299"/>
      <w:r w:rsidRPr="00B46B63">
        <w:rPr>
          <w:color w:val="C00000"/>
          <w:sz w:val="18"/>
        </w:rPr>
        <w:t xml:space="preserve">. </w:t>
      </w:r>
      <w:r>
        <w:rPr>
          <w:sz w:val="18"/>
        </w:rPr>
        <w:t>Metas</w:t>
      </w:r>
      <w:r w:rsidR="00FA4F64" w:rsidRPr="00B46B63">
        <w:rPr>
          <w:sz w:val="18"/>
        </w:rPr>
        <w:t xml:space="preserve"> </w:t>
      </w:r>
      <w:r w:rsidR="009608F8">
        <w:rPr>
          <w:sz w:val="18"/>
        </w:rPr>
        <w:t>E</w:t>
      </w:r>
      <w:r w:rsidR="00FA4F64" w:rsidRPr="00B46B63">
        <w:rPr>
          <w:sz w:val="18"/>
        </w:rPr>
        <w:t>stratégic</w:t>
      </w:r>
      <w:r>
        <w:rPr>
          <w:sz w:val="18"/>
        </w:rPr>
        <w:t>a</w:t>
      </w:r>
      <w:r w:rsidR="00FA4F64" w:rsidRPr="00B46B63">
        <w:rPr>
          <w:sz w:val="18"/>
        </w:rPr>
        <w:t>s Objetivo 3</w:t>
      </w:r>
      <w:r w:rsidR="00316F8E">
        <w:rPr>
          <w:noProof/>
        </w:rPr>
        <w:drawing>
          <wp:anchor distT="0" distB="0" distL="114300" distR="114300" simplePos="0" relativeHeight="251761664" behindDoc="0" locked="0" layoutInCell="1" hidden="0" allowOverlap="1" wp14:anchorId="687DF872" wp14:editId="716F4082">
            <wp:simplePos x="0" y="0"/>
            <wp:positionH relativeFrom="column">
              <wp:posOffset>100965</wp:posOffset>
            </wp:positionH>
            <wp:positionV relativeFrom="paragraph">
              <wp:posOffset>53340</wp:posOffset>
            </wp:positionV>
            <wp:extent cx="5410985" cy="4688405"/>
            <wp:effectExtent l="0" t="0" r="0" b="0"/>
            <wp:wrapNone/>
            <wp:docPr id="2133516027" name="image6.png"/>
            <wp:cNvGraphicFramePr/>
            <a:graphic xmlns:a="http://schemas.openxmlformats.org/drawingml/2006/main">
              <a:graphicData uri="http://schemas.openxmlformats.org/drawingml/2006/picture">
                <pic:pic xmlns:pic="http://schemas.openxmlformats.org/drawingml/2006/picture">
                  <pic:nvPicPr>
                    <pic:cNvPr id="2133516027" name="image6.png"/>
                    <pic:cNvPicPr preferRelativeResize="0"/>
                  </pic:nvPicPr>
                  <pic:blipFill rotWithShape="1">
                    <a:blip r:embed="rId126">
                      <a:extLst>
                        <a:ext uri="{28A0092B-C50C-407E-A947-70E740481C1C}">
                          <a14:useLocalDpi xmlns:a14="http://schemas.microsoft.com/office/drawing/2010/main" val="0"/>
                        </a:ext>
                      </a:extLst>
                    </a:blip>
                    <a:srcRect b="33051"/>
                    <a:stretch/>
                  </pic:blipFill>
                  <pic:spPr bwMode="auto">
                    <a:xfrm>
                      <a:off x="0" y="0"/>
                      <a:ext cx="5416010" cy="46927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300"/>
    </w:p>
    <w:p w14:paraId="7C76CBD7" w14:textId="77777777" w:rsidR="00FA4F64" w:rsidRDefault="00FA4F64" w:rsidP="00FA4F64"/>
    <w:p w14:paraId="7476FD99" w14:textId="77777777" w:rsidR="00FA4F64" w:rsidRDefault="00FA4F64" w:rsidP="00FA4F64"/>
    <w:p w14:paraId="13EBD896" w14:textId="77777777" w:rsidR="00FA4F64" w:rsidRDefault="00FA4F64" w:rsidP="00FA4F64"/>
    <w:p w14:paraId="59E0ABA9" w14:textId="77777777" w:rsidR="00FA4F64" w:rsidRDefault="00FA4F64" w:rsidP="00FA4F64"/>
    <w:p w14:paraId="1B2662F0" w14:textId="77777777" w:rsidR="00FA4F64" w:rsidRDefault="00FA4F64" w:rsidP="00FA4F64"/>
    <w:p w14:paraId="2AAE6449" w14:textId="77777777" w:rsidR="00FA4F64" w:rsidRDefault="00FA4F64" w:rsidP="00FA4F64"/>
    <w:p w14:paraId="7F4A08DA" w14:textId="77777777" w:rsidR="00FA4F64" w:rsidRDefault="00FA4F64" w:rsidP="00FA4F64"/>
    <w:p w14:paraId="56428636" w14:textId="77777777" w:rsidR="00FA4F64" w:rsidRDefault="00FA4F64" w:rsidP="00FA4F64"/>
    <w:p w14:paraId="51239890" w14:textId="77777777" w:rsidR="00FA4F64" w:rsidRDefault="00FA4F64" w:rsidP="00FA4F64"/>
    <w:p w14:paraId="5DA0A912" w14:textId="77777777" w:rsidR="00FA4F64" w:rsidRDefault="00FA4F64" w:rsidP="00FA4F64"/>
    <w:p w14:paraId="778312CB" w14:textId="77777777" w:rsidR="00FA4F64" w:rsidRDefault="00FA4F64" w:rsidP="00FA4F64"/>
    <w:p w14:paraId="7A74EE3A" w14:textId="77777777" w:rsidR="00FA4F64" w:rsidRDefault="00FA4F64" w:rsidP="00FA4F64"/>
    <w:p w14:paraId="72E42A44" w14:textId="77777777" w:rsidR="00FA4F64" w:rsidRDefault="00FA4F64" w:rsidP="00FA4F64"/>
    <w:p w14:paraId="36367501" w14:textId="77777777" w:rsidR="00FA4F64" w:rsidRDefault="00FA4F64" w:rsidP="00FA4F64"/>
    <w:p w14:paraId="62337C68" w14:textId="77777777" w:rsidR="00FA4F64" w:rsidRDefault="00FA4F64" w:rsidP="00FA4F64"/>
    <w:p w14:paraId="6C3881D6" w14:textId="77777777" w:rsidR="00FA4F64" w:rsidRDefault="00FA4F64" w:rsidP="00FA4F64"/>
    <w:p w14:paraId="4ED9E9B3" w14:textId="77777777" w:rsidR="00FA4F64" w:rsidRDefault="00FA4F64" w:rsidP="00FA4F64">
      <w:pPr>
        <w:rPr>
          <w:b/>
        </w:rPr>
      </w:pPr>
      <w:bookmarkStart w:id="301" w:name="_heading=h.1idq7dh" w:colFirst="0" w:colLast="0"/>
      <w:bookmarkEnd w:id="301"/>
    </w:p>
    <w:p w14:paraId="18E754B7" w14:textId="77777777" w:rsidR="00FA4F64" w:rsidRDefault="00FA4F64" w:rsidP="00FA4F64">
      <w:pPr>
        <w:rPr>
          <w:b/>
        </w:rPr>
      </w:pPr>
    </w:p>
    <w:p w14:paraId="526C72C0" w14:textId="77777777" w:rsidR="00316F8E" w:rsidRDefault="00316F8E" w:rsidP="000A495C">
      <w:r>
        <w:br w:type="page"/>
      </w:r>
    </w:p>
    <w:p w14:paraId="08D53175" w14:textId="2A7D88E7" w:rsidR="00167EAF" w:rsidRPr="002220B9" w:rsidRDefault="00FA4F64" w:rsidP="002220B9">
      <w:pPr>
        <w:pStyle w:val="Ttulo3"/>
        <w:rPr>
          <w:color w:val="C00000"/>
        </w:rPr>
      </w:pPr>
      <w:bookmarkStart w:id="302" w:name="_Toc165169777"/>
      <w:r w:rsidRPr="002220B9">
        <w:rPr>
          <w:color w:val="C00000"/>
        </w:rPr>
        <w:lastRenderedPageBreak/>
        <w:t>Programas</w:t>
      </w:r>
      <w:bookmarkEnd w:id="302"/>
    </w:p>
    <w:p w14:paraId="084F0F8F" w14:textId="77777777" w:rsidR="00167EAF" w:rsidRDefault="00167EAF" w:rsidP="002220B9"/>
    <w:p w14:paraId="3CDA9720" w14:textId="2CF9DAE3" w:rsidR="00316F8E" w:rsidRPr="00167EAF" w:rsidRDefault="00FA4F64" w:rsidP="002220B9">
      <w:pPr>
        <w:pStyle w:val="NIVEL4"/>
      </w:pPr>
      <w:bookmarkStart w:id="303" w:name="_Toc165169778"/>
      <w:r w:rsidRPr="00167EAF">
        <w:rPr>
          <w:color w:val="C00000"/>
        </w:rPr>
        <w:t xml:space="preserve">Programa 16: </w:t>
      </w:r>
      <w:r w:rsidRPr="00167EAF">
        <w:t>La educación como eje del potencial humano</w:t>
      </w:r>
      <w:bookmarkEnd w:id="303"/>
    </w:p>
    <w:p w14:paraId="0FBDE280" w14:textId="77777777" w:rsidR="00316F8E" w:rsidRPr="00167EAF" w:rsidRDefault="00316F8E" w:rsidP="00167EAF"/>
    <w:p w14:paraId="69F52CB7" w14:textId="0CA8A550" w:rsidR="00FA4F64" w:rsidRPr="00824F14" w:rsidRDefault="00FA4F64" w:rsidP="00824F14">
      <w:pPr>
        <w:ind w:firstLine="708"/>
        <w:rPr>
          <w:b/>
          <w:bCs/>
          <w:sz w:val="24"/>
        </w:rPr>
        <w:sectPr w:rsidR="00FA4F64" w:rsidRPr="00824F14" w:rsidSect="00F7078E">
          <w:type w:val="continuous"/>
          <w:pgSz w:w="12240" w:h="15840"/>
          <w:pgMar w:top="2262" w:right="1440" w:bottom="1440" w:left="1440" w:header="709" w:footer="709" w:gutter="0"/>
          <w:cols w:space="720"/>
        </w:sectPr>
      </w:pPr>
      <w:r w:rsidRPr="00824F14">
        <w:rPr>
          <w:b/>
          <w:bCs/>
          <w:sz w:val="24"/>
        </w:rPr>
        <w:t>Diagnóstico</w:t>
      </w:r>
    </w:p>
    <w:p w14:paraId="7DC14EE7" w14:textId="77777777" w:rsidR="00FA4F64" w:rsidRDefault="00FA4F64" w:rsidP="00FA4F64">
      <w:r>
        <w:t>Bogotá tiene un sistema educativo robusto. Uno de cada tres habitantes de la ciudad está vinculado al sistema educativo de la ciudad, que congrega cerca de 2,5 millones de personas de los cuales 1,4 millones son niños, niñas y adolescentes en los niveles preescolar, básica, secundaria y media (académica y técnica). Cerca de 743.000 de ellos son atendidos por el sector oficial y 425.000, por el sector privado. Las localidades con mayor matrícula son Suba, Kennedy y Bosa. La oferta del sector oficial está concentrada en las localidades de Bosa, Kennedy y Ciudad Bolívar, donde se atiende cerca del 25 % de estudiantes de la ciudad (Secretaría Distrital de Educación, 2024).</w:t>
      </w:r>
    </w:p>
    <w:p w14:paraId="7BFCFFBB" w14:textId="77777777" w:rsidR="00FA4F64" w:rsidRDefault="00FA4F64" w:rsidP="00FA4F64"/>
    <w:p w14:paraId="33EBA70A" w14:textId="77777777" w:rsidR="00FA4F64" w:rsidRDefault="00FA4F64" w:rsidP="00FA4F64">
      <w:r>
        <w:t>Una de las mayores problemáticas se presenta en la baja cobertura de atención integral a la primera infancia. De los 569.524 niñas y niños que habitan en Bogotá, tan solo 298.809 son atendidos por las ofertas de la Secretaría de Educación del Distrito, la Secretaría Distrital de Integración Social, el Instituto Colombiano de Bienestar Familiar, por colegios privados con licencia de funcionamiento o jardines autorizados. Lo anterior, dejando a más de 270.000 niñas y niños entre 0 y 5 años que viven en Bogotá sin ningún tipo de atención. A esta situación se le suma que no todos los servicios cuentan con los mismos estándares de calidad e integralidad.</w:t>
      </w:r>
    </w:p>
    <w:p w14:paraId="7273F914" w14:textId="77777777" w:rsidR="00FA4F64" w:rsidRDefault="00FA4F64" w:rsidP="00FA4F64"/>
    <w:p w14:paraId="66277B49" w14:textId="77777777" w:rsidR="00FA4F64" w:rsidRDefault="00FA4F64" w:rsidP="00FA4F64">
      <w:r>
        <w:t>Según UNICEF (2020), estas brechas dan origen a desventajas y exclusiones que perduran a lo largo de la trayectoria educativa y vital de las personas, afectando su capacidad de aprender, relacionarse, expresarse, crear, innovar y contribuir al desarrollo de la sociedad.</w:t>
      </w:r>
    </w:p>
    <w:p w14:paraId="13B185A6" w14:textId="77777777" w:rsidR="00FA4F64" w:rsidRDefault="00FA4F64" w:rsidP="00FA4F64"/>
    <w:p w14:paraId="1C60FAE3" w14:textId="77777777" w:rsidR="00FA4F64" w:rsidRDefault="00FA4F64" w:rsidP="00FA4F64">
      <w:r>
        <w:t xml:space="preserve">Adicionalmente, considerando que Bogotá cuenta con una alta población infantil que representa el 23,6 % de los habitantes, con una </w:t>
      </w:r>
      <w:r>
        <w:t>marcada desigualdad socioeconómica, se hace evidente la necesidad de intervenciones específicas bajo un enfoque territorial, diferencial, interseccional y de género. Sectores con índices significativos de pobreza y extrema pobreza, junto con la diversidad cultural y étnica, requieren enfoques diferenciados y pertinentes para abordar las particularidades de cada comunidad.</w:t>
      </w:r>
    </w:p>
    <w:p w14:paraId="4F85982D" w14:textId="77777777" w:rsidR="00FA4F64" w:rsidRDefault="00FA4F64" w:rsidP="00FA4F64"/>
    <w:p w14:paraId="532BDBA6" w14:textId="77777777" w:rsidR="00FA4F64" w:rsidRDefault="00FA4F64" w:rsidP="00FA4F64">
      <w:r>
        <w:t>Según la Encuesta Multipropósitos de 2021, se identifica que el 58 % de los niños y niñas menores de 5 años permanece bajo el cuidado de sus padres en su casa, el 23,6 % asiste a un centro educativo, y el 12,67 % está bajo el cuidado de un pariente mayor de 18 años. El 5,7 % corresponde al cuidado con su padre o madre en el trabajo (1,8 %), con empleado(a) o niñero(a) en casa (2,3 %), al cuidado de un(a) pariente menor de 18 años (0,8 %), en casa solo (0,1 %), otro (1,0 %).</w:t>
      </w:r>
    </w:p>
    <w:p w14:paraId="54965F52" w14:textId="77777777" w:rsidR="00FA4F64" w:rsidRDefault="00FA4F64" w:rsidP="00FA4F64"/>
    <w:p w14:paraId="27D3BBD6" w14:textId="77777777" w:rsidR="00FA4F64" w:rsidRDefault="00FA4F64" w:rsidP="00FA4F64">
      <w:r>
        <w:t>Al analizar, del total de niñas y niños que asisten a un centro educativo se encuentra que el 31,3 % asiste a un jardín privado, el 13,1 % asiste a un jardín oficial, el 22,7 % asiste a un hogar comunitario del Bienestar Familiar, el 16,8 % asiste a un jardín de la Secretaría Distrital de Integración Social, el 14,5 % asiste a un jardín de Bienestar Familiar y el 1,6 % asiste a un Centro de Desarrollo Infantil oficial (CDI). Por lo anterior, los esfuerzos por ampliar la oferta de servicios deben asegurar una atención integral de calidad para la primera infancia de manera articulada entre diferentes actores de la sociedad (SDP, 2021). En consecuencia, los esfuerzos por ampliar la oferta de servicios deben asegurar una atención integral de calidad para la primera infancia de manera articulada entre diferentes actores de la sociedad.</w:t>
      </w:r>
    </w:p>
    <w:p w14:paraId="00D9BB91" w14:textId="77777777" w:rsidR="00FA4F64" w:rsidRDefault="00FA4F64" w:rsidP="00FA4F64"/>
    <w:p w14:paraId="3BFD4D58" w14:textId="77777777" w:rsidR="00FA4F64" w:rsidRDefault="00FA4F64" w:rsidP="00FA4F64">
      <w:r>
        <w:lastRenderedPageBreak/>
        <w:t>Desde el punto de vista institucional, es preciso complementar los esfuerzos de atención a la primera infancia mediante el robustecimiento de los procesos administrativos, entre los que se identifica la creación de herramientas de seguimiento niño a niño/niña a niña y de desempeño institucional, con los que se monitoreen las trayectorias de las personas atendidas y se evalúe el comportamiento de los prestadores de servicios frente a los estándares de operación determinados por la regulación vigente.</w:t>
      </w:r>
    </w:p>
    <w:p w14:paraId="7F8CEE20" w14:textId="77777777" w:rsidR="00FA4F64" w:rsidRDefault="00FA4F64" w:rsidP="00FA4F64"/>
    <w:p w14:paraId="5C984007" w14:textId="77777777" w:rsidR="00FA4F64" w:rsidRDefault="00FA4F64" w:rsidP="00FA4F64">
      <w:r>
        <w:t>Respecto a los problemas en otros niveles de educación respecto a calidad, se identifica que, según los resultados de las Pruebas Saber, entre 2019 y 2023 Bogotá aún no muestra niveles superiores en los resultados de aprendizaje, lo cual está relacionado con una baja calidad en procesos educativos, que no están garantizando el desarrollo integral de habilidades de las y los estudiantes. Los resultados por niveles de desempeño en el examen Saber 11 para las áreas de lectura crítica, matemáticas, ciencias naturales y sociales-ciudadanas muestran bajos resultados de los colegios distritales, entre 2019 y 2023. En lectura, el 33 % de estudiantes está en niveles 1 y 2, mientras que en matemáticas esta cifra es del 43 %.</w:t>
      </w:r>
    </w:p>
    <w:p w14:paraId="57DD36DD" w14:textId="77777777" w:rsidR="00FA4F64" w:rsidRDefault="00FA4F64" w:rsidP="00FA4F64"/>
    <w:p w14:paraId="5C8EB2D2" w14:textId="77777777" w:rsidR="00FA4F64" w:rsidRDefault="00FA4F64" w:rsidP="00FA4F64">
      <w:r>
        <w:t xml:space="preserve">En cuanto a la educación posmedia, Bogotá se enfrenta a una serie de dinámicas estructurales que obstaculizan el acceso, la permanencia y la pertinencia. Dichas barreras de tránsito y permanencia afectan la trayectoria y realización de los proyectos de vida de los jóvenes de la ciudad. De acuerdo con la Agencia Distrital para la Educación Superior, la Ciencia y la Tecnología (ATENEA), y la Secretaría de Educación del Distrito (SED), la principal problemática se centra en que Bogotá no ofrece trayectorias educativas articuladas entre la educación media y posmedia que garanticen el acceso, la permanencia, la calidad y pertinencia acorde con las necesidades de los jóvenes para el desarrollo de sus proyectos de vida y formación y educación para toda la vida. Entre 2021 y 2022, el 35,8 % de </w:t>
      </w:r>
      <w:r>
        <w:t>las y los jóvenes que finalizaron su educación media en Bogotá no lograron transitar a un nivel educativo de educación posmedia (universitaria, técnico laboral, tecnólogo o educación para el trabajo y desarrollo humano [ETDH]).</w:t>
      </w:r>
    </w:p>
    <w:p w14:paraId="696F09C3" w14:textId="77777777" w:rsidR="00FA4F64" w:rsidRDefault="00FA4F64" w:rsidP="00FA4F64"/>
    <w:p w14:paraId="63D6781F" w14:textId="77777777" w:rsidR="00FA4F64" w:rsidRDefault="00FA4F64" w:rsidP="00FA4F64">
      <w:r>
        <w:t>El tránsito a educación posmedia está correlacionado con la localidad de residencia y las características de los establecimientos educativos. Se observa que mientras el 59,7 % de los jóvenes bachilleres de la localidad de Santafé transitaron a educación posmedia, el 69 % de los jóvenes de Teusaquillo lo hicieron.</w:t>
      </w:r>
    </w:p>
    <w:p w14:paraId="35CB27E3" w14:textId="77777777" w:rsidR="00FA4F64" w:rsidRDefault="00FA4F64" w:rsidP="00FA4F64"/>
    <w:p w14:paraId="4DC5F526" w14:textId="77777777" w:rsidR="00FA4F64" w:rsidRDefault="00FA4F64" w:rsidP="00FA4F64">
      <w:r>
        <w:t>Adicionalmente, se evidencian elevados niveles y una tendencia de crecimiento de deserción para aquellos jóvenes que sí transitan a la educación superior. Específicamente, para el caso de Bogotá (SPADIES, 2022) en el nivel universitario la tasa de deserción anual del 2021 fue del 11 %, 1,8 puntos porcentuales mayor en comparación con 2018. En el caso de los niveles técnico y profesional esta cifra fue del 19 % y el 22 %, respectivamente.</w:t>
      </w:r>
    </w:p>
    <w:p w14:paraId="3E5A89CC" w14:textId="77777777" w:rsidR="00FA4F64" w:rsidRDefault="00FA4F64" w:rsidP="00FA4F64"/>
    <w:p w14:paraId="32652C87" w14:textId="77777777" w:rsidR="00FA4F64" w:rsidRDefault="00FA4F64" w:rsidP="00FA4F64">
      <w:r>
        <w:t>En este contexto, se observa, especialmente para poblaciones vulnerables, que el sistema educativo de la ciudad no asegura de manera integral el tránsito entre los diferentes niveles desde la educación básica hasta la media ni cuenta con amortiguadores para evitar que el estudiante deserte o abandone su proceso de formación académica dentro de cada nivel educativo. Esto implica que existen problemas en el nivel de básica, especialmente en secundaria, que truncan las trayectorias educativas completas generando barreras para la inserción en la vida laboral, productiva y de emprendimiento de las y los jóvenes. En consecuencia, se observa que la tasa de desempleo de los y las jóvenes fue del 16 %, mayor que la del total de la ciudad 10,4 % (DANE, diciembre 2023).</w:t>
      </w:r>
    </w:p>
    <w:p w14:paraId="6E6A1394" w14:textId="77777777" w:rsidR="00FA4F64" w:rsidRDefault="00FA4F64" w:rsidP="00FA4F64"/>
    <w:p w14:paraId="767DFB1D" w14:textId="77777777" w:rsidR="00FA4F64" w:rsidRDefault="00FA4F64" w:rsidP="00FA4F64">
      <w:r>
        <w:t xml:space="preserve">La tasa de supervivencia educativa para la población de 18 a 24 años fue de 92,5 % (último dato disponible 2021). Esto significa que 9 de </w:t>
      </w:r>
      <w:r>
        <w:lastRenderedPageBreak/>
        <w:t xml:space="preserve">cada 10 personas de 18 a 24 años de la ciudad, logró alcanzar el nivel de media. Esto se traduce en que 1 de cada 10 personas, en este rango de edad, abandonó el sistema educativo antes de finalizar su etapa escolar. Aunque en términos generales el resultado pareciera positivo, la supervivencia escolar tiene diferencias significativas entre zonas de la ciudad. Según la Encuesta Multipropósito (DANE, 2021), para la zona rural los niveles de supervivencia escolar son menores que los de la zona urbana, alcanzando tan solo el 75,4 %, y en las localidades de San Cristóbal y Usme se acentúa esta problemática. Así mismo, y para el sector urbano, las menores tasas de supervivencia se presentan en las localidades de Ciudad Bolívar, Los Mártires y Usme con resultados inferiores al 87 %. Esto implica que en Bogotá cerca del 19 % de cada cohorte de estudiantes no continúa en su trayectoria </w:t>
      </w:r>
      <w:r>
        <w:t>educativa. Las trayectorias educativas incompletas están marcadas por el fenómeno de la deserción, lo cual pone en evidencia una problemática con enfoque territorial.</w:t>
      </w:r>
    </w:p>
    <w:p w14:paraId="5A178C88" w14:textId="77777777" w:rsidR="00FA4F64" w:rsidRDefault="00FA4F64" w:rsidP="00FA4F64"/>
    <w:p w14:paraId="54772721" w14:textId="77777777" w:rsidR="00FA4F64" w:rsidRDefault="00FA4F64" w:rsidP="00FA4F64">
      <w:pPr>
        <w:sectPr w:rsidR="00FA4F64" w:rsidSect="00F7078E">
          <w:type w:val="continuous"/>
          <w:pgSz w:w="12240" w:h="15840"/>
          <w:pgMar w:top="2262" w:right="1440" w:bottom="1440" w:left="1440" w:header="709" w:footer="709" w:gutter="0"/>
          <w:cols w:num="2" w:space="720" w:equalWidth="0">
            <w:col w:w="4396" w:space="567"/>
            <w:col w:w="4396" w:space="0"/>
          </w:cols>
        </w:sectPr>
      </w:pPr>
      <w:r>
        <w:t>Por otro lado, la Encuesta Distrital de Deserción Escolar (SDE, 2023) señala que existen distintos factores que inciden en la deserción, los cuales se relacionan principalmente con aspectos vinculados a la calidad y a la corresponsabilidad de la familia, la sociedad y el Estado para la garantía del derecho a la educación, tales como: problemas de convivencia con compañeros en las instituciones educativas, cambios de domicilio de los hogares, problemas personales o familiares, problemas económicos y personales como el bajo rendimiento académico y la falta de compromiso.</w:t>
      </w:r>
    </w:p>
    <w:p w14:paraId="7A250223" w14:textId="77777777" w:rsidR="00FA4F64" w:rsidRDefault="00FA4F64" w:rsidP="00FA4F64"/>
    <w:p w14:paraId="78D00128" w14:textId="77777777" w:rsidR="00FA4F64" w:rsidRDefault="00FA4F64" w:rsidP="00FA4F64"/>
    <w:p w14:paraId="5EC952E4" w14:textId="77777777" w:rsidR="00FA4F64" w:rsidRPr="00E019C6" w:rsidRDefault="00FA4F64" w:rsidP="00E019C6">
      <w:pPr>
        <w:ind w:firstLine="708"/>
        <w:rPr>
          <w:b/>
          <w:bCs/>
          <w:sz w:val="24"/>
        </w:rPr>
        <w:sectPr w:rsidR="00FA4F64" w:rsidRPr="00E019C6" w:rsidSect="00F7078E">
          <w:type w:val="continuous"/>
          <w:pgSz w:w="12240" w:h="15840"/>
          <w:pgMar w:top="2262" w:right="1440" w:bottom="1440" w:left="1440" w:header="709" w:footer="709" w:gutter="0"/>
          <w:cols w:space="720"/>
        </w:sectPr>
      </w:pPr>
      <w:r w:rsidRPr="00E019C6">
        <w:rPr>
          <w:b/>
          <w:bCs/>
          <w:sz w:val="24"/>
        </w:rPr>
        <w:t>Descripción del programa</w:t>
      </w:r>
    </w:p>
    <w:p w14:paraId="33797042" w14:textId="77777777" w:rsidR="00FA4F64" w:rsidRDefault="00FA4F64" w:rsidP="00FA4F64">
      <w:r>
        <w:t>Una educación de calidad es la responsable de brindarles a las niñas, niños, adolescentes y jóvenes las habilidades emocionales y académicas que los convierten en ciudadanos integrales que aportan valor público, social y económico a la sociedad. Por lo anterior, el propósito del programa es fortalecer la calidad y cobertura en educación de niños, niñas, adolescentes y jóvenes, desarrollando habilidades y capacidades en matemáticas, lectura crítica, inglés, digitales, culturales, artísticas, patrimoniales, deportivas, ambientales, productivas entre otras, para su desarrollo y consolidación de proyectos de vida.</w:t>
      </w:r>
    </w:p>
    <w:p w14:paraId="54D4583C" w14:textId="77777777" w:rsidR="00FA4F64" w:rsidRDefault="00FA4F64" w:rsidP="00FA4F64"/>
    <w:p w14:paraId="7149E1D7" w14:textId="77777777" w:rsidR="00FA4F64" w:rsidRDefault="00FA4F64" w:rsidP="00FA4F64">
      <w:r>
        <w:rPr>
          <w:color w:val="000000"/>
        </w:rPr>
        <w:t xml:space="preserve">En cuanto a la atención integral a la primera infancia, </w:t>
      </w:r>
      <w:r>
        <w:t>el programa busca que los tiempos de cada niña y niño sean respetados para que logren cimentar las bases de su proceso de desarrollo cognitivo y emocional.</w:t>
      </w:r>
    </w:p>
    <w:p w14:paraId="0D876E5D" w14:textId="77777777" w:rsidR="00FA4F64" w:rsidRDefault="00FA4F64" w:rsidP="00FA4F64">
      <w:r>
        <w:t xml:space="preserve">Lo anterior, no solo incluye una articulación y un compromiso inequívoco entre la Secretaría de Educación del Distrito y la Secretaría Distrital de Integración Social, pues también suma la articulación con los demás sectores que garantizan la </w:t>
      </w:r>
      <w:r>
        <w:t>atención integral tales como salud, cultura, deporte y recreación y actores privados, para avanzar hacia la universalización de la atención integral a la primera infancia. Así mismo, se trabajará para aumentar el número de niños y niñas de 0 a 5 años que reciben servicios en el marco de la atención integral y de calidad en la ciudad.</w:t>
      </w:r>
    </w:p>
    <w:p w14:paraId="1FA1A2EE" w14:textId="77777777" w:rsidR="00FA4F64" w:rsidRDefault="00FA4F64" w:rsidP="00FA4F64"/>
    <w:p w14:paraId="16F44055" w14:textId="77777777" w:rsidR="00FA4F64" w:rsidRDefault="00FA4F64" w:rsidP="00FA4F64">
      <w:r>
        <w:t>Esto convierte a Bogotá en un referente de trabajo intersectorial y asegura la permanencia en el tiempo de la atención integral de calidad para la primera infancia.</w:t>
      </w:r>
    </w:p>
    <w:p w14:paraId="3354B560" w14:textId="77777777" w:rsidR="00FA4F64" w:rsidRDefault="00FA4F64" w:rsidP="00FA4F64"/>
    <w:p w14:paraId="53BEFC11" w14:textId="77777777" w:rsidR="00FA4F64" w:rsidRDefault="00FA4F64" w:rsidP="00FA4F64">
      <w:r>
        <w:t xml:space="preserve">Para esto, el esquema de atención integral a la primera infancia prioriza las atenciones que cada menor debe tener, acorde con su edad, para lograr su desarrollo integral cualificando su proceso educativo y pedagógico en un trabajo articulado con docentes, orientadores, orientadoras, rectores y rectoras centrado en las habilidades y potencialidades de cada niño y niña, con el fin de que desarrollen su capacidad de explorar, crear, construir a partir del juego, los </w:t>
      </w:r>
      <w:r>
        <w:lastRenderedPageBreak/>
        <w:t>lenguajes expresivos, la literatura y la exploración del medio.</w:t>
      </w:r>
    </w:p>
    <w:p w14:paraId="60D8E9FF" w14:textId="77777777" w:rsidR="00FA4F64" w:rsidRDefault="00FA4F64" w:rsidP="00FA4F64"/>
    <w:p w14:paraId="7C95C2F6" w14:textId="77777777" w:rsidR="00FA4F64" w:rsidRDefault="00FA4F64" w:rsidP="00FA4F64">
      <w:r>
        <w:t>Adicionalmente, un trabajo con las familias y las comunidades en el cuidado y prácticas de crianza, dirigido a promover los vínculos familiares, el desarrollo emocional de los niños y las niñas, la sana convivencia, el respeto por sí mismos y por las demás personas, la promoción de la salud mental, así como para la prevención de cualquier forma de violencia que atente contra su desarrollo integral. En este último punto se fortalecerá el trabajo a través de los sistemas de convivencia escolar para llegar a las familias, directivos docentes y docentes.</w:t>
      </w:r>
    </w:p>
    <w:p w14:paraId="186543B7" w14:textId="77777777" w:rsidR="00FA4F64" w:rsidRDefault="00FA4F64" w:rsidP="00FA4F64"/>
    <w:p w14:paraId="7FE39021" w14:textId="77777777" w:rsidR="00FA4F64" w:rsidRDefault="00FA4F64" w:rsidP="00FA4F64">
      <w:r>
        <w:t>Para que esto sea posible, se establecerá un modelo unificado e intersectorial de aseguramiento a la calidad en el marco de la atención integral para la primera infancia que será obligatorio para los prestadores públicos y privados de la educación inicial en la ciudad. Complementariamente, se crearán los sistemas de información necesarios para el seguimiento niño a niño / niña a niña y la valoración de la prestación de los servicios incluidos en la atención integral con respecto de los estándares establecidos.</w:t>
      </w:r>
    </w:p>
    <w:p w14:paraId="581D3B39" w14:textId="77777777" w:rsidR="00FA4F64" w:rsidRDefault="00FA4F64" w:rsidP="00FA4F64"/>
    <w:p w14:paraId="7475CFA6" w14:textId="77777777" w:rsidR="00FA4F64" w:rsidRDefault="00FA4F64" w:rsidP="00FA4F64">
      <w:r>
        <w:t>En cuanto a los aprendizajes, se implementarán acciones para que las y los estudiantes de la ciudad se ubiquen en niveles satisfactorios y avanzados. Se hará un énfasis en el desarrollo de habilidades fundamentales, es decir, habilidades matemáticas y comunicativas, y para ello se desarrollarán intervenciones focalizadas a partir de metodologías soportadas en evidencia. Esta implementación incluirá formación docente, acompañamiento a colegios y uso de materiales pedagógicos. Como parte de la implementación se adelantarán procesos de seguimiento y evaluación permanente para monitorear avances e identificar necesidades tempranas de ajuste.</w:t>
      </w:r>
    </w:p>
    <w:p w14:paraId="66ABFA41" w14:textId="77777777" w:rsidR="00FA4F64" w:rsidRDefault="00FA4F64" w:rsidP="00FA4F64"/>
    <w:p w14:paraId="6EAC7FA1" w14:textId="77777777" w:rsidR="00FA4F64" w:rsidRDefault="00FA4F64" w:rsidP="00FA4F64">
      <w:r>
        <w:t xml:space="preserve">Los esfuerzos mencionados anteriormente se complementarán con la implementación de modelos integrales de gestión a través del trabajo </w:t>
      </w:r>
      <w:r>
        <w:t>colaborativo entre directivas docentes de los colegios oficiales del Distrito, con el fin de cualificar y mejorar los procesos administrativos en los colegios. Esto se suma a organizar la oferta institucional y el abordaje que diferentes actores le entregan a los colegios, para no sobrecargar las instituciones y permitirles concentrarse en los procesos pedagógicos.</w:t>
      </w:r>
    </w:p>
    <w:p w14:paraId="6AA93288" w14:textId="77777777" w:rsidR="00FA4F64" w:rsidRDefault="00FA4F64" w:rsidP="00FA4F64"/>
    <w:p w14:paraId="78046CBC" w14:textId="77777777" w:rsidR="00FA4F64" w:rsidRDefault="00FA4F64" w:rsidP="00FA4F64">
      <w:r>
        <w:t>Por otra parte, se ofrecerá una educación media pertinente, tanto en aprendizajes básicos como en su proyección y articulación con la educación posmedia, y con los ecosistemas de emprendimiento e ingreso laboral. El vínculo con el mundo laboral implica un trabajo articulado con entidades como el SENA y otras instituciones, tanto públicas como privadas, que ofrezcan programas de posmedia que aseguren una cadena continua y diversa de formación según las necesidades del mercado, y los intereses y condiciones personales de las y los estudiantes.</w:t>
      </w:r>
    </w:p>
    <w:p w14:paraId="5CCC66A0" w14:textId="77777777" w:rsidR="00FA4F64" w:rsidRDefault="00FA4F64" w:rsidP="00FA4F64"/>
    <w:p w14:paraId="2889EB8E" w14:textId="77777777" w:rsidR="00FA4F64" w:rsidRDefault="00FA4F64" w:rsidP="00FA4F64">
      <w:r>
        <w:t>Así mismo, se avanzará en la atención de jornada única y jornada complementaria. La construcción y dotación de colegios, así como la reorganización de la actual oferta educativa permitirán contar con espacios que faciliten extender la jornada única. En cuanto a jornadas complementarias, se adelantará un trabajo articulado con distintos aliados, como la Secretaría de Cultura, Recreación y Deporte y sus entidades adscritas, gracias a los cuales los niños, niñas y jóvenes de la ciudad tendrán acceso a espacios de formación artísticos y deportivos garantizando una formación integral.</w:t>
      </w:r>
    </w:p>
    <w:p w14:paraId="4E1E81D9" w14:textId="77777777" w:rsidR="00FA4F64" w:rsidRDefault="00FA4F64" w:rsidP="00FA4F64"/>
    <w:p w14:paraId="036844D1" w14:textId="77777777" w:rsidR="00FA4F64" w:rsidRDefault="00FA4F64" w:rsidP="00FA4F64">
      <w:r>
        <w:t>Estas acciones por el mejoramiento de la calidad educativa solo serán posibles con el fortalecimiento de la convivencia escolar. Por ello, se adelantarán actividades para que los colegios sean ambientes escolares seguros, protectores y confiables donde se respete la diferencia y exista una sana convivencia.</w:t>
      </w:r>
    </w:p>
    <w:p w14:paraId="5224B761" w14:textId="77777777" w:rsidR="00FA4F64" w:rsidRDefault="00FA4F64" w:rsidP="00FA4F64"/>
    <w:p w14:paraId="659BD994" w14:textId="77777777" w:rsidR="00FA4F64" w:rsidRDefault="00FA4F64" w:rsidP="00FA4F64">
      <w:r>
        <w:t xml:space="preserve">Como parte de esta iniciativa, se fortalecerá el trabajo para desarrollar habilidades </w:t>
      </w:r>
      <w:r>
        <w:lastRenderedPageBreak/>
        <w:t>socioemocionales en el aula, con un énfasis importante en materia de salud mental, al igual que la promoción de las competencias ciudadanas y la educación para la sexualidad integral como acciones integrales dentro de la escuela, con especial atención a las mujeres. A esto se suma el trabajo intersectorial de entornos escolares para fomentar la sana convivencia, mejoramiento de espacios y aprovechamiento del espacio público para que los colegios sean el centro de la comunidad.</w:t>
      </w:r>
    </w:p>
    <w:p w14:paraId="26F6FEB3" w14:textId="77777777" w:rsidR="00FA4F64" w:rsidRDefault="00FA4F64" w:rsidP="00FA4F64"/>
    <w:p w14:paraId="6C95DD23" w14:textId="77777777" w:rsidR="00FA4F64" w:rsidRDefault="00FA4F64" w:rsidP="00FA4F64">
      <w:r>
        <w:t>Estos programas permitirán enfocar el trabajo preventivo, pedagógico y educativo en las instituciones, para reducir casos de violencias, hostigamiento escolar, consumo de sustancias y demás factores que generan riesgos para tener ambientes escolares idóneos para el aprendizaje.</w:t>
      </w:r>
    </w:p>
    <w:p w14:paraId="4C5165D3" w14:textId="77777777" w:rsidR="00FA4F64" w:rsidRDefault="00FA4F64" w:rsidP="00FA4F64"/>
    <w:p w14:paraId="69BC2EE2" w14:textId="77777777" w:rsidR="00FA4F64" w:rsidRDefault="00FA4F64" w:rsidP="00FA4F64">
      <w:r>
        <w:t>Se fortalecerá la promoción de los derechos sexuales y reproductivos, al ser derechos humanos fundamentales. Serán la piedra angular para la promoción del desarrollo y la garantía de los derechos de las niñas, niños, adolescentes y jóvenes, que guardan una relación estrecha con el derecho a una vida libre de violencias, que incluye la prevención de las violencias sexuales y del embarazo en la adolescencia.</w:t>
      </w:r>
    </w:p>
    <w:p w14:paraId="735F8F22" w14:textId="77777777" w:rsidR="00FA4F64" w:rsidRDefault="00FA4F64" w:rsidP="00FA4F64"/>
    <w:p w14:paraId="3402EEEF" w14:textId="77777777" w:rsidR="00FA4F64" w:rsidRDefault="00FA4F64" w:rsidP="00FA4F64">
      <w:r>
        <w:t>Así mismo, se garantizará el correcto funcionamiento de los colegios oficiales para lo cual se realizará una adecuada gestión del talento humano (docente y administrativo) y de los servicios administrativos que brindan soporte a la operación de las instituciones educativas, con criterios de eficiencia y calidad. Se fortalecerá el programa de bienestar escolar para los y las estudiantes y la atención de las necesidades de las poblaciones de especial protección constitucional como niñas y niños con discapacidad, con capacidades excepcionales o de grupos étnicos, entre otros.</w:t>
      </w:r>
    </w:p>
    <w:p w14:paraId="6F9509BC" w14:textId="77777777" w:rsidR="00FA4F64" w:rsidRDefault="00FA4F64" w:rsidP="00FA4F64"/>
    <w:p w14:paraId="43A35301" w14:textId="77777777" w:rsidR="00FA4F64" w:rsidRDefault="00FA4F64" w:rsidP="00FA4F64">
      <w:r>
        <w:t xml:space="preserve">En términos de avanzar en las coberturas y matrículas en tiempo, se fortalecerá el sistema </w:t>
      </w:r>
      <w:r>
        <w:t>para estos procesos y se continuará implementando una estrategia de búsqueda activa con el fin de identificar y localizar a niños, niñas, adolescentes y jóvenes en edad escolar que se encuentran por fuera del sistema educativo oficial.</w:t>
      </w:r>
    </w:p>
    <w:p w14:paraId="6BB421CE" w14:textId="77777777" w:rsidR="00FA4F64" w:rsidRDefault="00FA4F64" w:rsidP="00FA4F64"/>
    <w:p w14:paraId="7881D0DF" w14:textId="77777777" w:rsidR="00FA4F64" w:rsidRDefault="00FA4F64" w:rsidP="00FA4F64">
      <w:r>
        <w:t>Se fortalecerán los programas y estrategias encaminadas a mejorar el acceso, permanencia y graduación en la educación posmedia, ampliando las oportunidades para que cada vez más jóvenes logren transitar desde la educación media a programas de educación superior, a la ETDH y a programas del Subsistema de formación para el trabajo, que sean pertinentes a las demandas sociales y productivas, y que se traduzcan en una mayor probabilidad de empleabilidad y generación de ingresos futuros, contribuyendo de esta forma a la construcción de una Bogotá basada en el conocimiento y la innovación. De igual forma, se propenderá por una mejor focalización de la población beneficiaria para que más jóvenes vulnerables y con mérito académico puedan acceder a la educación posmedia.</w:t>
      </w:r>
    </w:p>
    <w:p w14:paraId="2736F0BA" w14:textId="77777777" w:rsidR="00FA4F64" w:rsidRDefault="00FA4F64" w:rsidP="00FA4F64"/>
    <w:p w14:paraId="01BDD0D6" w14:textId="77777777" w:rsidR="00FA4F64" w:rsidRDefault="00FA4F64" w:rsidP="00FA4F64">
      <w:r>
        <w:t>Por otro lado, se establecerán mecanismos de financiación alternativos que, en conjunto con los recursos Distritales, permitirán una mayor sostenibilidad de los programas orientados a la educación posmedia. En complemento de lo anterior, se potenciarán las estrategias de permanencia para los programas mencionados y se contará con una política pública de educación superior para el Distrito, que incluirá los procesos de articulación para el mejoramiento de la infraestructura de educación superior en conjunto con el Gobierno nacional.</w:t>
      </w:r>
    </w:p>
    <w:p w14:paraId="6A015D3C" w14:textId="77777777" w:rsidR="00FA4F64" w:rsidRDefault="00FA4F64" w:rsidP="00FA4F64"/>
    <w:p w14:paraId="5162A92E" w14:textId="77777777" w:rsidR="00FA4F64" w:rsidRDefault="00FA4F64" w:rsidP="00FA4F64">
      <w:r>
        <w:t xml:space="preserve">Los esquemas de financiación deben conectarse y articularse con la política de gratuidad nacional, para que los recursos de subsidios del Distrito se encaminen hacia el fortalecimiento de las instituciones de educación superior públicas y la ampliación de coberturas. Lo que se suma a estrategias que se encaminen para fortalecer la Universidad Distrital y fomentar </w:t>
      </w:r>
      <w:r>
        <w:lastRenderedPageBreak/>
        <w:t xml:space="preserve">planes de mejoramiento que le permitan enfocar sus esfuerzos en la oferta de programas con mayor demanda. </w:t>
      </w:r>
    </w:p>
    <w:p w14:paraId="51012725" w14:textId="77777777" w:rsidR="00FA4F64" w:rsidRDefault="00FA4F64" w:rsidP="00FA4F64"/>
    <w:p w14:paraId="65D87185" w14:textId="19FB11A6" w:rsidR="00FA4F64" w:rsidRDefault="00FA4F64" w:rsidP="00FA4F64">
      <w:pPr>
        <w:sectPr w:rsidR="00FA4F64" w:rsidSect="00F7078E">
          <w:type w:val="continuous"/>
          <w:pgSz w:w="12240" w:h="15840"/>
          <w:pgMar w:top="2262" w:right="1440" w:bottom="1440" w:left="1440" w:header="709" w:footer="709" w:gutter="0"/>
          <w:cols w:num="2" w:space="720" w:equalWidth="0">
            <w:col w:w="4396" w:space="567"/>
            <w:col w:w="4396" w:space="0"/>
          </w:cols>
        </w:sectPr>
      </w:pPr>
      <w:r>
        <w:t xml:space="preserve">Finalmente, todos los esfuerzos en materia educativa tendrán en cuenta un principio de inclusión. Se promoverá el respeto a las y los estudiantes según sus necesidades y condiciones particulares, y se implementarán estrategias de atención pertinentes como los modelos educativos flexibles. Así la población rural, los pueblos indígenas, las comunidades afrodescendientes y en general los grupos étnicos tendrán un lugar </w:t>
      </w:r>
      <w:r>
        <w:t>importante que se materializará en acciones que reconozcan sus necesidades en un marco de educación de calidad. Bajo el mismo principio de inclusión, se fortalecerá la oferta educativa para población con discapacidades, de manera que se garantice una educación de calidad en el momento oportuno. En general, nuestro objetivo será identificar necesidades particulares y promover   atención pertinente, esto permitirá hablar de otras  poblaciones como las víctimas del conflicto y las mujeres trabajadoras sexuales.</w:t>
      </w:r>
    </w:p>
    <w:p w14:paraId="6DD9AB21" w14:textId="078AF820" w:rsidR="00C26E8E" w:rsidRDefault="00C26E8E" w:rsidP="00320D09">
      <w:pPr>
        <w:pBdr>
          <w:top w:val="nil"/>
          <w:left w:val="nil"/>
          <w:bottom w:val="nil"/>
          <w:right w:val="nil"/>
          <w:between w:val="nil"/>
        </w:pBdr>
        <w:spacing w:line="220" w:lineRule="auto"/>
        <w:rPr>
          <w:b/>
          <w:color w:val="C00000"/>
          <w:sz w:val="18"/>
          <w:szCs w:val="18"/>
        </w:rPr>
      </w:pPr>
    </w:p>
    <w:p w14:paraId="795D868A" w14:textId="77777777" w:rsidR="00931A49" w:rsidRDefault="00931A49" w:rsidP="00FA4F64">
      <w:pPr>
        <w:pBdr>
          <w:top w:val="nil"/>
          <w:left w:val="nil"/>
          <w:bottom w:val="nil"/>
          <w:right w:val="nil"/>
          <w:between w:val="nil"/>
        </w:pBdr>
        <w:spacing w:line="220" w:lineRule="auto"/>
        <w:jc w:val="center"/>
        <w:rPr>
          <w:b/>
          <w:color w:val="C00000"/>
          <w:sz w:val="18"/>
          <w:szCs w:val="18"/>
        </w:rPr>
      </w:pPr>
    </w:p>
    <w:p w14:paraId="3B87F60D" w14:textId="73A072E6" w:rsidR="00FA4F64" w:rsidRPr="00320D09" w:rsidRDefault="00320D09" w:rsidP="00320D09">
      <w:pPr>
        <w:pStyle w:val="Descripcin"/>
        <w:jc w:val="center"/>
        <w:rPr>
          <w:b w:val="0"/>
          <w:color w:val="3B3838"/>
          <w:sz w:val="18"/>
        </w:rPr>
      </w:pPr>
      <w:bookmarkStart w:id="304" w:name="_Toc165169945"/>
      <w:r w:rsidRPr="00320D09">
        <w:rPr>
          <w:color w:val="C00000"/>
          <w:sz w:val="18"/>
        </w:rPr>
        <w:t xml:space="preserve">Tabla </w:t>
      </w:r>
      <w:r w:rsidRPr="00320D09">
        <w:rPr>
          <w:color w:val="C00000"/>
          <w:sz w:val="18"/>
        </w:rPr>
        <w:fldChar w:fldCharType="begin"/>
      </w:r>
      <w:r w:rsidRPr="00320D09">
        <w:rPr>
          <w:color w:val="C00000"/>
          <w:sz w:val="18"/>
        </w:rPr>
        <w:instrText xml:space="preserve"> SEQ Tabla \* ARABIC </w:instrText>
      </w:r>
      <w:r w:rsidRPr="00320D09">
        <w:rPr>
          <w:color w:val="C00000"/>
          <w:sz w:val="18"/>
        </w:rPr>
        <w:fldChar w:fldCharType="separate"/>
      </w:r>
      <w:r w:rsidR="00D01651">
        <w:rPr>
          <w:noProof/>
          <w:color w:val="C00000"/>
          <w:sz w:val="18"/>
        </w:rPr>
        <w:t>35</w:t>
      </w:r>
      <w:r w:rsidRPr="00320D09">
        <w:rPr>
          <w:color w:val="C00000"/>
          <w:sz w:val="18"/>
        </w:rPr>
        <w:fldChar w:fldCharType="end"/>
      </w:r>
      <w:r w:rsidRPr="00320D09">
        <w:rPr>
          <w:color w:val="C00000"/>
          <w:sz w:val="18"/>
        </w:rPr>
        <w:t xml:space="preserve">. </w:t>
      </w:r>
      <w:r w:rsidR="00FA4F64" w:rsidRPr="00320D09">
        <w:rPr>
          <w:color w:val="3B3838"/>
          <w:sz w:val="18"/>
        </w:rPr>
        <w:t>Metas del programa</w:t>
      </w:r>
      <w:r w:rsidR="00E019C6">
        <w:rPr>
          <w:color w:val="3B3838"/>
          <w:sz w:val="18"/>
        </w:rPr>
        <w:t xml:space="preserve"> 16:</w:t>
      </w:r>
      <w:r w:rsidR="00FA4F64" w:rsidRPr="00320D09">
        <w:rPr>
          <w:color w:val="3B3838"/>
          <w:sz w:val="18"/>
        </w:rPr>
        <w:t xml:space="preserve"> La educación como eje del potencial humano</w:t>
      </w:r>
      <w:bookmarkEnd w:id="304"/>
    </w:p>
    <w:p w14:paraId="69F7186D" w14:textId="77777777" w:rsidR="00FA4F64" w:rsidRDefault="00FA4F64" w:rsidP="00FA4F64">
      <w:pPr>
        <w:pBdr>
          <w:top w:val="nil"/>
          <w:left w:val="nil"/>
          <w:bottom w:val="nil"/>
          <w:right w:val="nil"/>
          <w:between w:val="nil"/>
        </w:pBdr>
        <w:spacing w:line="220" w:lineRule="auto"/>
        <w:jc w:val="center"/>
        <w:rPr>
          <w:b/>
          <w:color w:val="3B3838"/>
          <w:sz w:val="18"/>
          <w:szCs w:val="18"/>
        </w:rPr>
        <w:sectPr w:rsidR="00FA4F64" w:rsidSect="00F7078E">
          <w:type w:val="continuous"/>
          <w:pgSz w:w="12240" w:h="15840"/>
          <w:pgMar w:top="2262" w:right="1440" w:bottom="1440" w:left="1440" w:header="709" w:footer="709" w:gutter="0"/>
          <w:cols w:space="720"/>
        </w:sectPr>
      </w:pPr>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782"/>
        <w:gridCol w:w="1327"/>
        <w:gridCol w:w="1342"/>
        <w:gridCol w:w="1265"/>
        <w:gridCol w:w="1311"/>
        <w:gridCol w:w="1333"/>
      </w:tblGrid>
      <w:tr w:rsidR="00E019C6" w:rsidRPr="00C666B0" w14:paraId="728DF93D" w14:textId="77777777" w:rsidTr="00111E3C">
        <w:trPr>
          <w:tblHeader/>
        </w:trPr>
        <w:tc>
          <w:tcPr>
            <w:tcW w:w="1486" w:type="pct"/>
            <w:vMerge w:val="restart"/>
            <w:shd w:val="clear" w:color="auto" w:fill="C00000"/>
            <w:tcMar>
              <w:top w:w="30" w:type="dxa"/>
              <w:left w:w="45" w:type="dxa"/>
              <w:bottom w:w="30" w:type="dxa"/>
              <w:right w:w="45" w:type="dxa"/>
            </w:tcMar>
            <w:vAlign w:val="center"/>
            <w:hideMark/>
          </w:tcPr>
          <w:p w14:paraId="61EB93CE" w14:textId="77777777" w:rsidR="00320D09" w:rsidRPr="00E019C6" w:rsidRDefault="00320D09" w:rsidP="00AA4BBB">
            <w:pPr>
              <w:jc w:val="center"/>
              <w:rPr>
                <w:rFonts w:cs="Arial"/>
                <w:b/>
                <w:bCs/>
                <w:color w:val="FFFFFF"/>
                <w:sz w:val="18"/>
                <w:szCs w:val="18"/>
              </w:rPr>
            </w:pPr>
            <w:r w:rsidRPr="00E019C6">
              <w:rPr>
                <w:rFonts w:cs="Arial"/>
                <w:b/>
                <w:bCs/>
                <w:color w:val="FFFFFF"/>
                <w:sz w:val="18"/>
                <w:szCs w:val="18"/>
              </w:rPr>
              <w:t>SECTOR / Metas</w:t>
            </w:r>
          </w:p>
        </w:tc>
        <w:tc>
          <w:tcPr>
            <w:tcW w:w="3514" w:type="pct"/>
            <w:gridSpan w:val="5"/>
            <w:shd w:val="clear" w:color="auto" w:fill="C00000"/>
            <w:tcMar>
              <w:top w:w="30" w:type="dxa"/>
              <w:left w:w="45" w:type="dxa"/>
              <w:bottom w:w="30" w:type="dxa"/>
              <w:right w:w="45" w:type="dxa"/>
            </w:tcMar>
            <w:vAlign w:val="center"/>
            <w:hideMark/>
          </w:tcPr>
          <w:p w14:paraId="25922479" w14:textId="77777777" w:rsidR="00320D09" w:rsidRPr="00C666B0" w:rsidRDefault="00320D09" w:rsidP="00AA4BBB">
            <w:pPr>
              <w:jc w:val="center"/>
              <w:rPr>
                <w:rFonts w:cs="Arial"/>
                <w:b/>
                <w:bCs/>
                <w:color w:val="FFFFFF"/>
                <w:sz w:val="24"/>
              </w:rPr>
            </w:pPr>
            <w:r w:rsidRPr="00237369">
              <w:rPr>
                <w:rFonts w:cs="Arial"/>
                <w:b/>
                <w:bCs/>
                <w:color w:val="FFFFFF"/>
                <w:sz w:val="24"/>
              </w:rPr>
              <w:t xml:space="preserve">Magnitudes e </w:t>
            </w:r>
            <w:r w:rsidRPr="00C666B0">
              <w:rPr>
                <w:rFonts w:cs="Arial"/>
                <w:b/>
                <w:bCs/>
                <w:color w:val="FFFFFF"/>
                <w:sz w:val="24"/>
              </w:rPr>
              <w:t>Inversión (Precios Constantes 2024)</w:t>
            </w:r>
          </w:p>
        </w:tc>
      </w:tr>
      <w:tr w:rsidR="00E019C6" w:rsidRPr="00C666B0" w14:paraId="2F751DEF" w14:textId="77777777" w:rsidTr="00111E3C">
        <w:trPr>
          <w:tblHeader/>
        </w:trPr>
        <w:tc>
          <w:tcPr>
            <w:tcW w:w="1486" w:type="pct"/>
            <w:vMerge/>
            <w:vAlign w:val="center"/>
            <w:hideMark/>
          </w:tcPr>
          <w:p w14:paraId="4B9F9DB5" w14:textId="77777777" w:rsidR="00320D09" w:rsidRPr="00E019C6" w:rsidRDefault="00320D09" w:rsidP="00AA4BBB">
            <w:pPr>
              <w:rPr>
                <w:rFonts w:cs="Arial"/>
                <w:b/>
                <w:bCs/>
                <w:color w:val="FFFFFF"/>
                <w:sz w:val="18"/>
                <w:szCs w:val="18"/>
              </w:rPr>
            </w:pPr>
          </w:p>
        </w:tc>
        <w:tc>
          <w:tcPr>
            <w:tcW w:w="709" w:type="pct"/>
            <w:shd w:val="clear" w:color="auto" w:fill="D9D9D9"/>
            <w:tcMar>
              <w:top w:w="30" w:type="dxa"/>
              <w:left w:w="45" w:type="dxa"/>
              <w:bottom w:w="30" w:type="dxa"/>
              <w:right w:w="45" w:type="dxa"/>
            </w:tcMar>
            <w:vAlign w:val="center"/>
            <w:hideMark/>
          </w:tcPr>
          <w:p w14:paraId="45720F08" w14:textId="77777777" w:rsidR="00320D09" w:rsidRPr="00C666B0" w:rsidRDefault="00320D09" w:rsidP="00AA4BBB">
            <w:pPr>
              <w:jc w:val="center"/>
              <w:rPr>
                <w:rFonts w:cs="Arial"/>
                <w:b/>
                <w:bCs/>
                <w:szCs w:val="20"/>
              </w:rPr>
            </w:pPr>
            <w:r w:rsidRPr="00C666B0">
              <w:rPr>
                <w:rFonts w:cs="Arial"/>
                <w:b/>
                <w:bCs/>
                <w:szCs w:val="20"/>
              </w:rPr>
              <w:t>2024</w:t>
            </w:r>
          </w:p>
        </w:tc>
        <w:tc>
          <w:tcPr>
            <w:tcW w:w="717" w:type="pct"/>
            <w:shd w:val="clear" w:color="auto" w:fill="D9D9D9"/>
            <w:tcMar>
              <w:top w:w="30" w:type="dxa"/>
              <w:left w:w="45" w:type="dxa"/>
              <w:bottom w:w="30" w:type="dxa"/>
              <w:right w:w="45" w:type="dxa"/>
            </w:tcMar>
            <w:vAlign w:val="center"/>
            <w:hideMark/>
          </w:tcPr>
          <w:p w14:paraId="43B77D6C" w14:textId="77777777" w:rsidR="00320D09" w:rsidRPr="00C666B0" w:rsidRDefault="00320D09" w:rsidP="00AA4BBB">
            <w:pPr>
              <w:jc w:val="center"/>
              <w:rPr>
                <w:rFonts w:cs="Arial"/>
                <w:b/>
                <w:bCs/>
                <w:szCs w:val="20"/>
              </w:rPr>
            </w:pPr>
            <w:r w:rsidRPr="00C666B0">
              <w:rPr>
                <w:rFonts w:cs="Arial"/>
                <w:b/>
                <w:bCs/>
                <w:szCs w:val="20"/>
              </w:rPr>
              <w:t>2025</w:t>
            </w:r>
          </w:p>
        </w:tc>
        <w:tc>
          <w:tcPr>
            <w:tcW w:w="676" w:type="pct"/>
            <w:shd w:val="clear" w:color="auto" w:fill="D9D9D9"/>
            <w:tcMar>
              <w:top w:w="30" w:type="dxa"/>
              <w:left w:w="45" w:type="dxa"/>
              <w:bottom w:w="30" w:type="dxa"/>
              <w:right w:w="45" w:type="dxa"/>
            </w:tcMar>
            <w:vAlign w:val="center"/>
            <w:hideMark/>
          </w:tcPr>
          <w:p w14:paraId="71537811" w14:textId="77777777" w:rsidR="00320D09" w:rsidRPr="00C666B0" w:rsidRDefault="00320D09" w:rsidP="00AA4BBB">
            <w:pPr>
              <w:jc w:val="center"/>
              <w:rPr>
                <w:rFonts w:cs="Arial"/>
                <w:b/>
                <w:bCs/>
                <w:szCs w:val="20"/>
              </w:rPr>
            </w:pPr>
            <w:r w:rsidRPr="00C666B0">
              <w:rPr>
                <w:rFonts w:cs="Arial"/>
                <w:b/>
                <w:bCs/>
                <w:szCs w:val="20"/>
              </w:rPr>
              <w:t>2026</w:t>
            </w:r>
          </w:p>
        </w:tc>
        <w:tc>
          <w:tcPr>
            <w:tcW w:w="700" w:type="pct"/>
            <w:shd w:val="clear" w:color="auto" w:fill="D9D9D9"/>
            <w:tcMar>
              <w:top w:w="30" w:type="dxa"/>
              <w:left w:w="45" w:type="dxa"/>
              <w:bottom w:w="30" w:type="dxa"/>
              <w:right w:w="45" w:type="dxa"/>
            </w:tcMar>
            <w:vAlign w:val="center"/>
            <w:hideMark/>
          </w:tcPr>
          <w:p w14:paraId="2A320A3B" w14:textId="77777777" w:rsidR="00320D09" w:rsidRPr="00C666B0" w:rsidRDefault="00320D09" w:rsidP="00AA4BBB">
            <w:pPr>
              <w:jc w:val="center"/>
              <w:rPr>
                <w:rFonts w:cs="Arial"/>
                <w:b/>
                <w:bCs/>
                <w:szCs w:val="20"/>
              </w:rPr>
            </w:pPr>
            <w:r w:rsidRPr="00C666B0">
              <w:rPr>
                <w:rFonts w:cs="Arial"/>
                <w:b/>
                <w:bCs/>
                <w:szCs w:val="20"/>
              </w:rPr>
              <w:t>2027</w:t>
            </w:r>
          </w:p>
        </w:tc>
        <w:tc>
          <w:tcPr>
            <w:tcW w:w="712" w:type="pct"/>
            <w:shd w:val="clear" w:color="auto" w:fill="D9D9D9"/>
            <w:tcMar>
              <w:top w:w="30" w:type="dxa"/>
              <w:left w:w="45" w:type="dxa"/>
              <w:bottom w:w="30" w:type="dxa"/>
              <w:right w:w="45" w:type="dxa"/>
            </w:tcMar>
            <w:vAlign w:val="center"/>
            <w:hideMark/>
          </w:tcPr>
          <w:p w14:paraId="02A648DB" w14:textId="4045AFE2" w:rsidR="00E019C6" w:rsidRDefault="00320D09" w:rsidP="00E019C6">
            <w:pPr>
              <w:jc w:val="right"/>
              <w:rPr>
                <w:rFonts w:cs="Arial"/>
                <w:b/>
                <w:bCs/>
                <w:szCs w:val="20"/>
              </w:rPr>
            </w:pPr>
            <w:r w:rsidRPr="00C666B0">
              <w:rPr>
                <w:rFonts w:cs="Arial"/>
                <w:b/>
                <w:bCs/>
                <w:szCs w:val="20"/>
              </w:rPr>
              <w:t>Total</w:t>
            </w:r>
          </w:p>
          <w:p w14:paraId="5CBF3C31" w14:textId="56652E19" w:rsidR="00320D09" w:rsidRPr="00C666B0" w:rsidRDefault="00320D09" w:rsidP="00E019C6">
            <w:pPr>
              <w:jc w:val="right"/>
              <w:rPr>
                <w:rFonts w:cs="Arial"/>
                <w:b/>
                <w:bCs/>
                <w:szCs w:val="20"/>
              </w:rPr>
            </w:pPr>
            <w:r w:rsidRPr="00C666B0">
              <w:rPr>
                <w:rFonts w:cs="Arial"/>
                <w:b/>
                <w:bCs/>
                <w:szCs w:val="20"/>
              </w:rPr>
              <w:t>Inversión</w:t>
            </w:r>
          </w:p>
        </w:tc>
      </w:tr>
      <w:tr w:rsidR="00320D09" w:rsidRPr="00C666B0" w14:paraId="11DA0D85" w14:textId="77777777" w:rsidTr="00111E3C">
        <w:tc>
          <w:tcPr>
            <w:tcW w:w="5000" w:type="pct"/>
            <w:gridSpan w:val="6"/>
            <w:shd w:val="clear" w:color="auto" w:fill="C00000"/>
            <w:tcMar>
              <w:top w:w="30" w:type="dxa"/>
              <w:left w:w="45" w:type="dxa"/>
              <w:bottom w:w="30" w:type="dxa"/>
              <w:right w:w="45" w:type="dxa"/>
            </w:tcMar>
            <w:vAlign w:val="center"/>
            <w:hideMark/>
          </w:tcPr>
          <w:p w14:paraId="3B0A3683" w14:textId="71AF3CB8" w:rsidR="00320D09" w:rsidRPr="00111E3C" w:rsidRDefault="00111E3C" w:rsidP="00111E3C">
            <w:pPr>
              <w:jc w:val="center"/>
              <w:rPr>
                <w:rFonts w:cs="Arial"/>
                <w:b/>
                <w:bCs/>
                <w:color w:val="FFFFFF" w:themeColor="background1"/>
                <w:sz w:val="18"/>
                <w:szCs w:val="18"/>
              </w:rPr>
            </w:pPr>
            <w:r w:rsidRPr="00111E3C">
              <w:rPr>
                <w:rFonts w:cs="Arial"/>
                <w:b/>
                <w:bCs/>
                <w:color w:val="FFFFFF" w:themeColor="background1"/>
                <w:sz w:val="18"/>
                <w:szCs w:val="18"/>
              </w:rPr>
              <w:t>Cultura Recreación Y Deporte</w:t>
            </w:r>
          </w:p>
        </w:tc>
      </w:tr>
      <w:tr w:rsidR="00E019C6" w:rsidRPr="00C666B0" w14:paraId="1701E867" w14:textId="77777777" w:rsidTr="00111E3C">
        <w:tc>
          <w:tcPr>
            <w:tcW w:w="1486" w:type="pct"/>
            <w:vMerge w:val="restart"/>
            <w:tcMar>
              <w:top w:w="30" w:type="dxa"/>
              <w:left w:w="45" w:type="dxa"/>
              <w:bottom w:w="30" w:type="dxa"/>
              <w:right w:w="45" w:type="dxa"/>
            </w:tcMar>
            <w:vAlign w:val="center"/>
            <w:hideMark/>
          </w:tcPr>
          <w:p w14:paraId="75455731" w14:textId="77777777" w:rsidR="00320D09" w:rsidRPr="00E019C6" w:rsidRDefault="00320D09" w:rsidP="00AA4BBB">
            <w:pPr>
              <w:rPr>
                <w:rFonts w:cs="Arial"/>
                <w:sz w:val="18"/>
                <w:szCs w:val="18"/>
              </w:rPr>
            </w:pPr>
            <w:r w:rsidRPr="00E019C6">
              <w:rPr>
                <w:rFonts w:cs="Arial"/>
                <w:sz w:val="18"/>
                <w:szCs w:val="18"/>
              </w:rPr>
              <w:t>Beneficiar 189.809 personas a partir de la primera infancia y a lo largo de la vida en procesos de formación y exploración cultural artística patrimonial recreativa y deportiva en particular en espacios cercanos y entornos comunitarios</w:t>
            </w:r>
          </w:p>
        </w:tc>
        <w:tc>
          <w:tcPr>
            <w:tcW w:w="709" w:type="pct"/>
            <w:tcMar>
              <w:top w:w="30" w:type="dxa"/>
              <w:left w:w="45" w:type="dxa"/>
              <w:bottom w:w="30" w:type="dxa"/>
              <w:right w:w="45" w:type="dxa"/>
            </w:tcMar>
            <w:vAlign w:val="center"/>
            <w:hideMark/>
          </w:tcPr>
          <w:p w14:paraId="002EF5A1" w14:textId="77777777" w:rsidR="00320D09" w:rsidRPr="00824F14" w:rsidRDefault="00320D09" w:rsidP="00AA4BBB">
            <w:pPr>
              <w:jc w:val="center"/>
              <w:rPr>
                <w:rFonts w:cs="Arial"/>
                <w:sz w:val="16"/>
                <w:szCs w:val="14"/>
              </w:rPr>
            </w:pPr>
            <w:r w:rsidRPr="00824F14">
              <w:rPr>
                <w:rFonts w:cs="Arial"/>
                <w:sz w:val="16"/>
                <w:szCs w:val="14"/>
              </w:rPr>
              <w:t>23.533</w:t>
            </w:r>
          </w:p>
        </w:tc>
        <w:tc>
          <w:tcPr>
            <w:tcW w:w="717" w:type="pct"/>
            <w:tcMar>
              <w:top w:w="30" w:type="dxa"/>
              <w:left w:w="45" w:type="dxa"/>
              <w:bottom w:w="30" w:type="dxa"/>
              <w:right w:w="45" w:type="dxa"/>
            </w:tcMar>
            <w:vAlign w:val="center"/>
            <w:hideMark/>
          </w:tcPr>
          <w:p w14:paraId="2491DAA9" w14:textId="77777777" w:rsidR="00320D09" w:rsidRPr="00824F14" w:rsidRDefault="00320D09" w:rsidP="00AA4BBB">
            <w:pPr>
              <w:jc w:val="center"/>
              <w:rPr>
                <w:rFonts w:cs="Arial"/>
                <w:sz w:val="16"/>
                <w:szCs w:val="14"/>
              </w:rPr>
            </w:pPr>
            <w:r w:rsidRPr="00824F14">
              <w:rPr>
                <w:rFonts w:cs="Arial"/>
                <w:sz w:val="16"/>
                <w:szCs w:val="14"/>
              </w:rPr>
              <w:t>51.638</w:t>
            </w:r>
          </w:p>
        </w:tc>
        <w:tc>
          <w:tcPr>
            <w:tcW w:w="676" w:type="pct"/>
            <w:tcMar>
              <w:top w:w="30" w:type="dxa"/>
              <w:left w:w="45" w:type="dxa"/>
              <w:bottom w:w="30" w:type="dxa"/>
              <w:right w:w="45" w:type="dxa"/>
            </w:tcMar>
            <w:vAlign w:val="center"/>
            <w:hideMark/>
          </w:tcPr>
          <w:p w14:paraId="0A7E4F94" w14:textId="77777777" w:rsidR="00320D09" w:rsidRPr="00824F14" w:rsidRDefault="00320D09" w:rsidP="00AA4BBB">
            <w:pPr>
              <w:jc w:val="center"/>
              <w:rPr>
                <w:rFonts w:cs="Arial"/>
                <w:sz w:val="16"/>
                <w:szCs w:val="14"/>
              </w:rPr>
            </w:pPr>
            <w:r w:rsidRPr="00824F14">
              <w:rPr>
                <w:rFonts w:cs="Arial"/>
                <w:sz w:val="16"/>
                <w:szCs w:val="14"/>
              </w:rPr>
              <w:t>56.404</w:t>
            </w:r>
          </w:p>
        </w:tc>
        <w:tc>
          <w:tcPr>
            <w:tcW w:w="700" w:type="pct"/>
            <w:tcMar>
              <w:top w:w="30" w:type="dxa"/>
              <w:left w:w="45" w:type="dxa"/>
              <w:bottom w:w="30" w:type="dxa"/>
              <w:right w:w="45" w:type="dxa"/>
            </w:tcMar>
            <w:vAlign w:val="center"/>
            <w:hideMark/>
          </w:tcPr>
          <w:p w14:paraId="2ABF9BE3" w14:textId="77777777" w:rsidR="00320D09" w:rsidRPr="00824F14" w:rsidRDefault="00320D09" w:rsidP="00AA4BBB">
            <w:pPr>
              <w:jc w:val="center"/>
              <w:rPr>
                <w:rFonts w:cs="Arial"/>
                <w:sz w:val="16"/>
                <w:szCs w:val="14"/>
              </w:rPr>
            </w:pPr>
            <w:r w:rsidRPr="00824F14">
              <w:rPr>
                <w:rFonts w:cs="Arial"/>
                <w:sz w:val="16"/>
                <w:szCs w:val="14"/>
              </w:rPr>
              <w:t>58.234</w:t>
            </w:r>
          </w:p>
        </w:tc>
        <w:tc>
          <w:tcPr>
            <w:tcW w:w="712" w:type="pct"/>
            <w:vMerge w:val="restart"/>
            <w:tcMar>
              <w:top w:w="30" w:type="dxa"/>
              <w:left w:w="45" w:type="dxa"/>
              <w:bottom w:w="30" w:type="dxa"/>
              <w:right w:w="45" w:type="dxa"/>
            </w:tcMar>
            <w:vAlign w:val="center"/>
            <w:hideMark/>
          </w:tcPr>
          <w:p w14:paraId="13CC1302" w14:textId="77777777" w:rsidR="00320D09" w:rsidRPr="00E019C6" w:rsidRDefault="00320D09" w:rsidP="00AA4BBB">
            <w:pPr>
              <w:jc w:val="center"/>
              <w:rPr>
                <w:rFonts w:cs="Arial"/>
                <w:b/>
                <w:bCs/>
                <w:sz w:val="16"/>
                <w:szCs w:val="16"/>
              </w:rPr>
            </w:pPr>
            <w:r w:rsidRPr="00E019C6">
              <w:rPr>
                <w:rFonts w:cs="Arial"/>
                <w:b/>
                <w:bCs/>
                <w:sz w:val="16"/>
                <w:szCs w:val="16"/>
              </w:rPr>
              <w:t>188.536.194.515</w:t>
            </w:r>
          </w:p>
        </w:tc>
      </w:tr>
      <w:tr w:rsidR="00E019C6" w:rsidRPr="00C666B0" w14:paraId="60B54947" w14:textId="77777777" w:rsidTr="00111E3C">
        <w:tc>
          <w:tcPr>
            <w:tcW w:w="1486" w:type="pct"/>
            <w:vMerge/>
            <w:vAlign w:val="center"/>
            <w:hideMark/>
          </w:tcPr>
          <w:p w14:paraId="3F3D857E"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363716F4" w14:textId="77777777" w:rsidR="00320D09" w:rsidRPr="00824F14" w:rsidRDefault="00320D09" w:rsidP="00AA4BBB">
            <w:pPr>
              <w:jc w:val="center"/>
              <w:rPr>
                <w:rFonts w:cs="Arial"/>
                <w:sz w:val="16"/>
                <w:szCs w:val="14"/>
              </w:rPr>
            </w:pPr>
            <w:r w:rsidRPr="00824F14">
              <w:rPr>
                <w:rFonts w:cs="Arial"/>
                <w:sz w:val="16"/>
                <w:szCs w:val="14"/>
              </w:rPr>
              <w:t>43.588.215.000</w:t>
            </w:r>
          </w:p>
        </w:tc>
        <w:tc>
          <w:tcPr>
            <w:tcW w:w="717" w:type="pct"/>
            <w:tcMar>
              <w:top w:w="30" w:type="dxa"/>
              <w:left w:w="45" w:type="dxa"/>
              <w:bottom w:w="30" w:type="dxa"/>
              <w:right w:w="45" w:type="dxa"/>
            </w:tcMar>
            <w:vAlign w:val="center"/>
            <w:hideMark/>
          </w:tcPr>
          <w:p w14:paraId="7A7862DB" w14:textId="77777777" w:rsidR="00320D09" w:rsidRPr="00824F14" w:rsidRDefault="00320D09" w:rsidP="00AA4BBB">
            <w:pPr>
              <w:jc w:val="center"/>
              <w:rPr>
                <w:rFonts w:cs="Arial"/>
                <w:sz w:val="16"/>
                <w:szCs w:val="14"/>
              </w:rPr>
            </w:pPr>
            <w:r w:rsidRPr="00824F14">
              <w:rPr>
                <w:rFonts w:cs="Arial"/>
                <w:sz w:val="16"/>
                <w:szCs w:val="14"/>
              </w:rPr>
              <w:t>47.267.984.466</w:t>
            </w:r>
          </w:p>
        </w:tc>
        <w:tc>
          <w:tcPr>
            <w:tcW w:w="676" w:type="pct"/>
            <w:tcMar>
              <w:top w:w="30" w:type="dxa"/>
              <w:left w:w="45" w:type="dxa"/>
              <w:bottom w:w="30" w:type="dxa"/>
              <w:right w:w="45" w:type="dxa"/>
            </w:tcMar>
            <w:vAlign w:val="center"/>
            <w:hideMark/>
          </w:tcPr>
          <w:p w14:paraId="7775720D" w14:textId="77777777" w:rsidR="00320D09" w:rsidRPr="00824F14" w:rsidRDefault="00320D09" w:rsidP="00AA4BBB">
            <w:pPr>
              <w:jc w:val="center"/>
              <w:rPr>
                <w:rFonts w:cs="Arial"/>
                <w:sz w:val="16"/>
                <w:szCs w:val="14"/>
              </w:rPr>
            </w:pPr>
            <w:r w:rsidRPr="00824F14">
              <w:rPr>
                <w:rFonts w:cs="Arial"/>
                <w:sz w:val="16"/>
                <w:szCs w:val="14"/>
              </w:rPr>
              <w:t>48.806.263.550</w:t>
            </w:r>
          </w:p>
        </w:tc>
        <w:tc>
          <w:tcPr>
            <w:tcW w:w="700" w:type="pct"/>
            <w:tcMar>
              <w:top w:w="30" w:type="dxa"/>
              <w:left w:w="45" w:type="dxa"/>
              <w:bottom w:w="30" w:type="dxa"/>
              <w:right w:w="45" w:type="dxa"/>
            </w:tcMar>
            <w:vAlign w:val="center"/>
            <w:hideMark/>
          </w:tcPr>
          <w:p w14:paraId="6FA55EB8" w14:textId="77777777" w:rsidR="00320D09" w:rsidRPr="00824F14" w:rsidRDefault="00320D09" w:rsidP="00AA4BBB">
            <w:pPr>
              <w:jc w:val="center"/>
              <w:rPr>
                <w:rFonts w:cs="Arial"/>
                <w:sz w:val="16"/>
                <w:szCs w:val="14"/>
              </w:rPr>
            </w:pPr>
            <w:r w:rsidRPr="00824F14">
              <w:rPr>
                <w:rFonts w:cs="Arial"/>
                <w:sz w:val="16"/>
                <w:szCs w:val="14"/>
              </w:rPr>
              <w:t>48.873.731.499</w:t>
            </w:r>
          </w:p>
        </w:tc>
        <w:tc>
          <w:tcPr>
            <w:tcW w:w="712" w:type="pct"/>
            <w:vMerge/>
            <w:vAlign w:val="center"/>
            <w:hideMark/>
          </w:tcPr>
          <w:p w14:paraId="362FBEBE" w14:textId="77777777" w:rsidR="00320D09" w:rsidRPr="00E019C6" w:rsidRDefault="00320D09" w:rsidP="00AA4BBB">
            <w:pPr>
              <w:rPr>
                <w:rFonts w:cs="Arial"/>
                <w:b/>
                <w:bCs/>
                <w:sz w:val="16"/>
                <w:szCs w:val="16"/>
              </w:rPr>
            </w:pPr>
          </w:p>
        </w:tc>
      </w:tr>
      <w:tr w:rsidR="00E019C6" w:rsidRPr="00C666B0" w14:paraId="16002A88" w14:textId="77777777" w:rsidTr="00111E3C">
        <w:tc>
          <w:tcPr>
            <w:tcW w:w="1486" w:type="pct"/>
            <w:vMerge w:val="restart"/>
            <w:tcMar>
              <w:top w:w="30" w:type="dxa"/>
              <w:left w:w="45" w:type="dxa"/>
              <w:bottom w:w="30" w:type="dxa"/>
              <w:right w:w="45" w:type="dxa"/>
            </w:tcMar>
            <w:vAlign w:val="center"/>
            <w:hideMark/>
          </w:tcPr>
          <w:p w14:paraId="25C902DC" w14:textId="77777777" w:rsidR="00320D09" w:rsidRPr="00E019C6" w:rsidRDefault="00320D09" w:rsidP="00AA4BBB">
            <w:pPr>
              <w:rPr>
                <w:rFonts w:cs="Arial"/>
                <w:sz w:val="18"/>
                <w:szCs w:val="18"/>
              </w:rPr>
            </w:pPr>
            <w:r w:rsidRPr="00E019C6">
              <w:rPr>
                <w:rFonts w:cs="Arial"/>
                <w:sz w:val="18"/>
                <w:szCs w:val="18"/>
              </w:rPr>
              <w:t>Beneficiar 3.300 personas en acciones de convergencia digital mediante procesos de formación y alfabetización digital creación de contenidos fomento de ciudadanías digitales crecimiento económico acceso a empleo digno e internacionalización en Bogotá.</w:t>
            </w:r>
          </w:p>
        </w:tc>
        <w:tc>
          <w:tcPr>
            <w:tcW w:w="709" w:type="pct"/>
            <w:tcMar>
              <w:top w:w="30" w:type="dxa"/>
              <w:left w:w="45" w:type="dxa"/>
              <w:bottom w:w="30" w:type="dxa"/>
              <w:right w:w="45" w:type="dxa"/>
            </w:tcMar>
            <w:vAlign w:val="center"/>
            <w:hideMark/>
          </w:tcPr>
          <w:p w14:paraId="2B7F7223" w14:textId="77777777" w:rsidR="00320D09" w:rsidRPr="00824F14" w:rsidRDefault="00320D09" w:rsidP="00AA4BBB">
            <w:pPr>
              <w:jc w:val="center"/>
              <w:rPr>
                <w:rFonts w:cs="Arial"/>
                <w:sz w:val="16"/>
                <w:szCs w:val="14"/>
              </w:rPr>
            </w:pPr>
            <w:r w:rsidRPr="00824F14">
              <w:rPr>
                <w:rFonts w:cs="Arial"/>
                <w:sz w:val="16"/>
                <w:szCs w:val="14"/>
              </w:rPr>
              <w:t>200</w:t>
            </w:r>
          </w:p>
        </w:tc>
        <w:tc>
          <w:tcPr>
            <w:tcW w:w="717" w:type="pct"/>
            <w:tcMar>
              <w:top w:w="30" w:type="dxa"/>
              <w:left w:w="45" w:type="dxa"/>
              <w:bottom w:w="30" w:type="dxa"/>
              <w:right w:w="45" w:type="dxa"/>
            </w:tcMar>
            <w:vAlign w:val="center"/>
            <w:hideMark/>
          </w:tcPr>
          <w:p w14:paraId="534A75BE" w14:textId="77777777" w:rsidR="00320D09" w:rsidRPr="00824F14" w:rsidRDefault="00320D09" w:rsidP="00AA4BBB">
            <w:pPr>
              <w:jc w:val="center"/>
              <w:rPr>
                <w:rFonts w:cs="Arial"/>
                <w:sz w:val="16"/>
                <w:szCs w:val="14"/>
              </w:rPr>
            </w:pPr>
            <w:r w:rsidRPr="00824F14">
              <w:rPr>
                <w:rFonts w:cs="Arial"/>
                <w:sz w:val="16"/>
                <w:szCs w:val="14"/>
              </w:rPr>
              <w:t>1.000</w:t>
            </w:r>
          </w:p>
        </w:tc>
        <w:tc>
          <w:tcPr>
            <w:tcW w:w="676" w:type="pct"/>
            <w:tcMar>
              <w:top w:w="30" w:type="dxa"/>
              <w:left w:w="45" w:type="dxa"/>
              <w:bottom w:w="30" w:type="dxa"/>
              <w:right w:w="45" w:type="dxa"/>
            </w:tcMar>
            <w:vAlign w:val="center"/>
            <w:hideMark/>
          </w:tcPr>
          <w:p w14:paraId="6A93C95F" w14:textId="77777777" w:rsidR="00320D09" w:rsidRPr="00824F14" w:rsidRDefault="00320D09" w:rsidP="00AA4BBB">
            <w:pPr>
              <w:jc w:val="center"/>
              <w:rPr>
                <w:rFonts w:cs="Arial"/>
                <w:sz w:val="16"/>
                <w:szCs w:val="14"/>
              </w:rPr>
            </w:pPr>
            <w:r w:rsidRPr="00824F14">
              <w:rPr>
                <w:rFonts w:cs="Arial"/>
                <w:sz w:val="16"/>
                <w:szCs w:val="14"/>
              </w:rPr>
              <w:t>1.100</w:t>
            </w:r>
          </w:p>
        </w:tc>
        <w:tc>
          <w:tcPr>
            <w:tcW w:w="700" w:type="pct"/>
            <w:tcMar>
              <w:top w:w="30" w:type="dxa"/>
              <w:left w:w="45" w:type="dxa"/>
              <w:bottom w:w="30" w:type="dxa"/>
              <w:right w:w="45" w:type="dxa"/>
            </w:tcMar>
            <w:vAlign w:val="center"/>
            <w:hideMark/>
          </w:tcPr>
          <w:p w14:paraId="42A12910" w14:textId="77777777" w:rsidR="00320D09" w:rsidRPr="00824F14" w:rsidRDefault="00320D09" w:rsidP="00AA4BBB">
            <w:pPr>
              <w:jc w:val="center"/>
              <w:rPr>
                <w:rFonts w:cs="Arial"/>
                <w:sz w:val="16"/>
                <w:szCs w:val="14"/>
              </w:rPr>
            </w:pPr>
            <w:r w:rsidRPr="00824F14">
              <w:rPr>
                <w:rFonts w:cs="Arial"/>
                <w:sz w:val="16"/>
                <w:szCs w:val="14"/>
              </w:rPr>
              <w:t>1.000</w:t>
            </w:r>
          </w:p>
        </w:tc>
        <w:tc>
          <w:tcPr>
            <w:tcW w:w="712" w:type="pct"/>
            <w:vMerge w:val="restart"/>
            <w:tcMar>
              <w:top w:w="30" w:type="dxa"/>
              <w:left w:w="45" w:type="dxa"/>
              <w:bottom w:w="30" w:type="dxa"/>
              <w:right w:w="45" w:type="dxa"/>
            </w:tcMar>
            <w:vAlign w:val="center"/>
            <w:hideMark/>
          </w:tcPr>
          <w:p w14:paraId="3BB125B3" w14:textId="77777777" w:rsidR="00320D09" w:rsidRPr="00E019C6" w:rsidRDefault="00320D09" w:rsidP="00AA4BBB">
            <w:pPr>
              <w:jc w:val="center"/>
              <w:rPr>
                <w:rFonts w:cs="Arial"/>
                <w:b/>
                <w:bCs/>
                <w:sz w:val="16"/>
                <w:szCs w:val="16"/>
              </w:rPr>
            </w:pPr>
            <w:r w:rsidRPr="00E019C6">
              <w:rPr>
                <w:rFonts w:cs="Arial"/>
                <w:b/>
                <w:bCs/>
                <w:sz w:val="16"/>
                <w:szCs w:val="16"/>
              </w:rPr>
              <w:t>23.273.128.134</w:t>
            </w:r>
          </w:p>
        </w:tc>
      </w:tr>
      <w:tr w:rsidR="00E019C6" w:rsidRPr="00C666B0" w14:paraId="3B862A7E" w14:textId="77777777" w:rsidTr="00111E3C">
        <w:tc>
          <w:tcPr>
            <w:tcW w:w="1486" w:type="pct"/>
            <w:vMerge/>
            <w:vAlign w:val="center"/>
            <w:hideMark/>
          </w:tcPr>
          <w:p w14:paraId="1F6C6977"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1D16CDB4" w14:textId="77777777" w:rsidR="00320D09" w:rsidRPr="00824F14" w:rsidRDefault="00320D09" w:rsidP="00AA4BBB">
            <w:pPr>
              <w:jc w:val="center"/>
              <w:rPr>
                <w:rFonts w:cs="Arial"/>
                <w:sz w:val="16"/>
                <w:szCs w:val="14"/>
              </w:rPr>
            </w:pPr>
            <w:r w:rsidRPr="00824F14">
              <w:rPr>
                <w:rFonts w:cs="Arial"/>
                <w:sz w:val="16"/>
                <w:szCs w:val="14"/>
              </w:rPr>
              <w:t>1.164.256.000</w:t>
            </w:r>
          </w:p>
        </w:tc>
        <w:tc>
          <w:tcPr>
            <w:tcW w:w="717" w:type="pct"/>
            <w:tcMar>
              <w:top w:w="30" w:type="dxa"/>
              <w:left w:w="45" w:type="dxa"/>
              <w:bottom w:w="30" w:type="dxa"/>
              <w:right w:w="45" w:type="dxa"/>
            </w:tcMar>
            <w:vAlign w:val="center"/>
            <w:hideMark/>
          </w:tcPr>
          <w:p w14:paraId="0EDE3335" w14:textId="77777777" w:rsidR="00320D09" w:rsidRPr="00824F14" w:rsidRDefault="00320D09" w:rsidP="00AA4BBB">
            <w:pPr>
              <w:jc w:val="center"/>
              <w:rPr>
                <w:rFonts w:cs="Arial"/>
                <w:sz w:val="16"/>
                <w:szCs w:val="14"/>
              </w:rPr>
            </w:pPr>
            <w:r w:rsidRPr="00824F14">
              <w:rPr>
                <w:rFonts w:cs="Arial"/>
                <w:sz w:val="16"/>
                <w:szCs w:val="14"/>
              </w:rPr>
              <w:t>5.939.805.825</w:t>
            </w:r>
          </w:p>
        </w:tc>
        <w:tc>
          <w:tcPr>
            <w:tcW w:w="676" w:type="pct"/>
            <w:tcMar>
              <w:top w:w="30" w:type="dxa"/>
              <w:left w:w="45" w:type="dxa"/>
              <w:bottom w:w="30" w:type="dxa"/>
              <w:right w:w="45" w:type="dxa"/>
            </w:tcMar>
            <w:vAlign w:val="center"/>
            <w:hideMark/>
          </w:tcPr>
          <w:p w14:paraId="7D5F304C" w14:textId="77777777" w:rsidR="00320D09" w:rsidRPr="00824F14" w:rsidRDefault="00320D09" w:rsidP="00AA4BBB">
            <w:pPr>
              <w:jc w:val="center"/>
              <w:rPr>
                <w:rFonts w:cs="Arial"/>
                <w:sz w:val="16"/>
                <w:szCs w:val="14"/>
              </w:rPr>
            </w:pPr>
            <w:r w:rsidRPr="00824F14">
              <w:rPr>
                <w:rFonts w:cs="Arial"/>
                <w:sz w:val="16"/>
                <w:szCs w:val="14"/>
              </w:rPr>
              <w:t>8.668.341.974</w:t>
            </w:r>
          </w:p>
        </w:tc>
        <w:tc>
          <w:tcPr>
            <w:tcW w:w="700" w:type="pct"/>
            <w:tcMar>
              <w:top w:w="30" w:type="dxa"/>
              <w:left w:w="45" w:type="dxa"/>
              <w:bottom w:w="30" w:type="dxa"/>
              <w:right w:w="45" w:type="dxa"/>
            </w:tcMar>
            <w:vAlign w:val="center"/>
            <w:hideMark/>
          </w:tcPr>
          <w:p w14:paraId="47CCCEB7" w14:textId="77777777" w:rsidR="00320D09" w:rsidRPr="00824F14" w:rsidRDefault="00320D09" w:rsidP="00AA4BBB">
            <w:pPr>
              <w:jc w:val="center"/>
              <w:rPr>
                <w:rFonts w:cs="Arial"/>
                <w:sz w:val="16"/>
                <w:szCs w:val="14"/>
              </w:rPr>
            </w:pPr>
            <w:r w:rsidRPr="00824F14">
              <w:rPr>
                <w:rFonts w:cs="Arial"/>
                <w:sz w:val="16"/>
                <w:szCs w:val="14"/>
              </w:rPr>
              <w:t>7.500.724.335</w:t>
            </w:r>
          </w:p>
        </w:tc>
        <w:tc>
          <w:tcPr>
            <w:tcW w:w="712" w:type="pct"/>
            <w:vMerge/>
            <w:vAlign w:val="center"/>
            <w:hideMark/>
          </w:tcPr>
          <w:p w14:paraId="17232D1B" w14:textId="77777777" w:rsidR="00320D09" w:rsidRPr="00E019C6" w:rsidRDefault="00320D09" w:rsidP="00AA4BBB">
            <w:pPr>
              <w:rPr>
                <w:rFonts w:cs="Arial"/>
                <w:b/>
                <w:bCs/>
                <w:sz w:val="16"/>
                <w:szCs w:val="16"/>
              </w:rPr>
            </w:pPr>
          </w:p>
        </w:tc>
      </w:tr>
      <w:tr w:rsidR="00E019C6" w:rsidRPr="00C666B0" w14:paraId="32D2B694" w14:textId="77777777" w:rsidTr="00111E3C">
        <w:tc>
          <w:tcPr>
            <w:tcW w:w="1486" w:type="pct"/>
            <w:vMerge w:val="restart"/>
            <w:tcMar>
              <w:top w:w="30" w:type="dxa"/>
              <w:left w:w="45" w:type="dxa"/>
              <w:bottom w:w="30" w:type="dxa"/>
              <w:right w:w="45" w:type="dxa"/>
            </w:tcMar>
            <w:vAlign w:val="center"/>
            <w:hideMark/>
          </w:tcPr>
          <w:p w14:paraId="2518FAC4" w14:textId="77777777" w:rsidR="00320D09" w:rsidRPr="00E019C6" w:rsidRDefault="00320D09" w:rsidP="00AA4BBB">
            <w:pPr>
              <w:rPr>
                <w:rFonts w:cs="Arial"/>
                <w:sz w:val="18"/>
                <w:szCs w:val="18"/>
              </w:rPr>
            </w:pPr>
            <w:r w:rsidRPr="00E019C6">
              <w:rPr>
                <w:rFonts w:cs="Arial"/>
                <w:sz w:val="18"/>
                <w:szCs w:val="18"/>
              </w:rPr>
              <w:t>Beneficiar a 294.585 niños niñas adolescentes y jóvenes en educación inicial básica y media a través de procesos de formación digital cultural artística patrimonial deportiva y cultura ciudadana.</w:t>
            </w:r>
          </w:p>
        </w:tc>
        <w:tc>
          <w:tcPr>
            <w:tcW w:w="709" w:type="pct"/>
            <w:tcMar>
              <w:top w:w="30" w:type="dxa"/>
              <w:left w:w="45" w:type="dxa"/>
              <w:bottom w:w="30" w:type="dxa"/>
              <w:right w:w="45" w:type="dxa"/>
            </w:tcMar>
            <w:vAlign w:val="center"/>
            <w:hideMark/>
          </w:tcPr>
          <w:p w14:paraId="4A59069F" w14:textId="77777777" w:rsidR="00320D09" w:rsidRPr="00824F14" w:rsidRDefault="00320D09" w:rsidP="00AA4BBB">
            <w:pPr>
              <w:jc w:val="center"/>
              <w:rPr>
                <w:rFonts w:cs="Arial"/>
                <w:sz w:val="16"/>
                <w:szCs w:val="14"/>
              </w:rPr>
            </w:pPr>
            <w:r w:rsidRPr="00824F14">
              <w:rPr>
                <w:rFonts w:cs="Arial"/>
                <w:sz w:val="16"/>
                <w:szCs w:val="14"/>
              </w:rPr>
              <w:t>63.916</w:t>
            </w:r>
          </w:p>
        </w:tc>
        <w:tc>
          <w:tcPr>
            <w:tcW w:w="717" w:type="pct"/>
            <w:tcMar>
              <w:top w:w="30" w:type="dxa"/>
              <w:left w:w="45" w:type="dxa"/>
              <w:bottom w:w="30" w:type="dxa"/>
              <w:right w:w="45" w:type="dxa"/>
            </w:tcMar>
            <w:vAlign w:val="center"/>
            <w:hideMark/>
          </w:tcPr>
          <w:p w14:paraId="545FDE4C" w14:textId="77777777" w:rsidR="00320D09" w:rsidRPr="00824F14" w:rsidRDefault="00320D09" w:rsidP="00AA4BBB">
            <w:pPr>
              <w:jc w:val="center"/>
              <w:rPr>
                <w:rFonts w:cs="Arial"/>
                <w:sz w:val="16"/>
                <w:szCs w:val="14"/>
              </w:rPr>
            </w:pPr>
            <w:r w:rsidRPr="00824F14">
              <w:rPr>
                <w:rFonts w:cs="Arial"/>
                <w:sz w:val="16"/>
                <w:szCs w:val="14"/>
              </w:rPr>
              <w:t>74.592</w:t>
            </w:r>
          </w:p>
        </w:tc>
        <w:tc>
          <w:tcPr>
            <w:tcW w:w="676" w:type="pct"/>
            <w:tcMar>
              <w:top w:w="30" w:type="dxa"/>
              <w:left w:w="45" w:type="dxa"/>
              <w:bottom w:w="30" w:type="dxa"/>
              <w:right w:w="45" w:type="dxa"/>
            </w:tcMar>
            <w:vAlign w:val="center"/>
            <w:hideMark/>
          </w:tcPr>
          <w:p w14:paraId="7CDFEFF5" w14:textId="77777777" w:rsidR="00320D09" w:rsidRPr="00824F14" w:rsidRDefault="00320D09" w:rsidP="00AA4BBB">
            <w:pPr>
              <w:jc w:val="center"/>
              <w:rPr>
                <w:rFonts w:cs="Arial"/>
                <w:sz w:val="16"/>
                <w:szCs w:val="14"/>
              </w:rPr>
            </w:pPr>
            <w:r w:rsidRPr="00824F14">
              <w:rPr>
                <w:rFonts w:cs="Arial"/>
                <w:sz w:val="16"/>
                <w:szCs w:val="14"/>
              </w:rPr>
              <w:t>76.878</w:t>
            </w:r>
          </w:p>
        </w:tc>
        <w:tc>
          <w:tcPr>
            <w:tcW w:w="700" w:type="pct"/>
            <w:tcMar>
              <w:top w:w="30" w:type="dxa"/>
              <w:left w:w="45" w:type="dxa"/>
              <w:bottom w:w="30" w:type="dxa"/>
              <w:right w:w="45" w:type="dxa"/>
            </w:tcMar>
            <w:vAlign w:val="center"/>
            <w:hideMark/>
          </w:tcPr>
          <w:p w14:paraId="36058EDA" w14:textId="77777777" w:rsidR="00320D09" w:rsidRPr="00824F14" w:rsidRDefault="00320D09" w:rsidP="00AA4BBB">
            <w:pPr>
              <w:jc w:val="center"/>
              <w:rPr>
                <w:rFonts w:cs="Arial"/>
                <w:sz w:val="16"/>
                <w:szCs w:val="14"/>
              </w:rPr>
            </w:pPr>
            <w:r w:rsidRPr="00824F14">
              <w:rPr>
                <w:rFonts w:cs="Arial"/>
                <w:sz w:val="16"/>
                <w:szCs w:val="14"/>
              </w:rPr>
              <w:t>79.199</w:t>
            </w:r>
          </w:p>
        </w:tc>
        <w:tc>
          <w:tcPr>
            <w:tcW w:w="712" w:type="pct"/>
            <w:vMerge w:val="restart"/>
            <w:tcMar>
              <w:top w:w="30" w:type="dxa"/>
              <w:left w:w="45" w:type="dxa"/>
              <w:bottom w:w="30" w:type="dxa"/>
              <w:right w:w="45" w:type="dxa"/>
            </w:tcMar>
            <w:vAlign w:val="center"/>
            <w:hideMark/>
          </w:tcPr>
          <w:p w14:paraId="0E461CFC" w14:textId="77777777" w:rsidR="00320D09" w:rsidRPr="00E019C6" w:rsidRDefault="00320D09" w:rsidP="00AA4BBB">
            <w:pPr>
              <w:jc w:val="center"/>
              <w:rPr>
                <w:rFonts w:cs="Arial"/>
                <w:b/>
                <w:bCs/>
                <w:sz w:val="16"/>
                <w:szCs w:val="16"/>
              </w:rPr>
            </w:pPr>
            <w:r w:rsidRPr="00E019C6">
              <w:rPr>
                <w:rFonts w:cs="Arial"/>
                <w:b/>
                <w:bCs/>
                <w:sz w:val="16"/>
                <w:szCs w:val="16"/>
              </w:rPr>
              <w:t>220.317.592.206</w:t>
            </w:r>
          </w:p>
        </w:tc>
      </w:tr>
      <w:tr w:rsidR="00E019C6" w:rsidRPr="00C666B0" w14:paraId="08CE0409" w14:textId="77777777" w:rsidTr="00111E3C">
        <w:tc>
          <w:tcPr>
            <w:tcW w:w="1486" w:type="pct"/>
            <w:vMerge/>
            <w:vAlign w:val="center"/>
            <w:hideMark/>
          </w:tcPr>
          <w:p w14:paraId="58B32D19"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6CD5F00C" w14:textId="77777777" w:rsidR="00320D09" w:rsidRPr="00824F14" w:rsidRDefault="00320D09" w:rsidP="00AA4BBB">
            <w:pPr>
              <w:jc w:val="center"/>
              <w:rPr>
                <w:rFonts w:cs="Arial"/>
                <w:sz w:val="16"/>
                <w:szCs w:val="14"/>
              </w:rPr>
            </w:pPr>
            <w:r w:rsidRPr="00824F14">
              <w:rPr>
                <w:rFonts w:cs="Arial"/>
                <w:sz w:val="16"/>
                <w:szCs w:val="14"/>
              </w:rPr>
              <w:t>52.889.466.000</w:t>
            </w:r>
          </w:p>
        </w:tc>
        <w:tc>
          <w:tcPr>
            <w:tcW w:w="717" w:type="pct"/>
            <w:tcMar>
              <w:top w:w="30" w:type="dxa"/>
              <w:left w:w="45" w:type="dxa"/>
              <w:bottom w:w="30" w:type="dxa"/>
              <w:right w:w="45" w:type="dxa"/>
            </w:tcMar>
            <w:vAlign w:val="center"/>
            <w:hideMark/>
          </w:tcPr>
          <w:p w14:paraId="6666DFA3" w14:textId="77777777" w:rsidR="00320D09" w:rsidRPr="00824F14" w:rsidRDefault="00320D09" w:rsidP="00AA4BBB">
            <w:pPr>
              <w:jc w:val="center"/>
              <w:rPr>
                <w:rFonts w:cs="Arial"/>
                <w:sz w:val="16"/>
                <w:szCs w:val="14"/>
              </w:rPr>
            </w:pPr>
            <w:r w:rsidRPr="00824F14">
              <w:rPr>
                <w:rFonts w:cs="Arial"/>
                <w:sz w:val="16"/>
                <w:szCs w:val="14"/>
              </w:rPr>
              <w:t>55.401.978.641</w:t>
            </w:r>
          </w:p>
        </w:tc>
        <w:tc>
          <w:tcPr>
            <w:tcW w:w="676" w:type="pct"/>
            <w:tcMar>
              <w:top w:w="30" w:type="dxa"/>
              <w:left w:w="45" w:type="dxa"/>
              <w:bottom w:w="30" w:type="dxa"/>
              <w:right w:w="45" w:type="dxa"/>
            </w:tcMar>
            <w:vAlign w:val="center"/>
            <w:hideMark/>
          </w:tcPr>
          <w:p w14:paraId="139E63FB" w14:textId="77777777" w:rsidR="00320D09" w:rsidRPr="00824F14" w:rsidRDefault="00320D09" w:rsidP="00AA4BBB">
            <w:pPr>
              <w:jc w:val="center"/>
              <w:rPr>
                <w:rFonts w:cs="Arial"/>
                <w:sz w:val="16"/>
                <w:szCs w:val="14"/>
              </w:rPr>
            </w:pPr>
            <w:r w:rsidRPr="00824F14">
              <w:rPr>
                <w:rFonts w:cs="Arial"/>
                <w:sz w:val="16"/>
                <w:szCs w:val="14"/>
              </w:rPr>
              <w:t>55.748.897.163</w:t>
            </w:r>
          </w:p>
        </w:tc>
        <w:tc>
          <w:tcPr>
            <w:tcW w:w="700" w:type="pct"/>
            <w:tcMar>
              <w:top w:w="30" w:type="dxa"/>
              <w:left w:w="45" w:type="dxa"/>
              <w:bottom w:w="30" w:type="dxa"/>
              <w:right w:w="45" w:type="dxa"/>
            </w:tcMar>
            <w:vAlign w:val="center"/>
            <w:hideMark/>
          </w:tcPr>
          <w:p w14:paraId="3E6E6003" w14:textId="77777777" w:rsidR="00320D09" w:rsidRPr="00824F14" w:rsidRDefault="00320D09" w:rsidP="00AA4BBB">
            <w:pPr>
              <w:jc w:val="center"/>
              <w:rPr>
                <w:rFonts w:cs="Arial"/>
                <w:sz w:val="16"/>
                <w:szCs w:val="14"/>
              </w:rPr>
            </w:pPr>
            <w:r w:rsidRPr="00824F14">
              <w:rPr>
                <w:rFonts w:cs="Arial"/>
                <w:sz w:val="16"/>
                <w:szCs w:val="14"/>
              </w:rPr>
              <w:t>56.277.250.402</w:t>
            </w:r>
          </w:p>
        </w:tc>
        <w:tc>
          <w:tcPr>
            <w:tcW w:w="712" w:type="pct"/>
            <w:vMerge/>
            <w:vAlign w:val="center"/>
            <w:hideMark/>
          </w:tcPr>
          <w:p w14:paraId="2B662609" w14:textId="77777777" w:rsidR="00320D09" w:rsidRPr="00E019C6" w:rsidRDefault="00320D09" w:rsidP="00AA4BBB">
            <w:pPr>
              <w:rPr>
                <w:rFonts w:cs="Arial"/>
                <w:b/>
                <w:bCs/>
                <w:sz w:val="16"/>
                <w:szCs w:val="16"/>
              </w:rPr>
            </w:pPr>
          </w:p>
        </w:tc>
      </w:tr>
      <w:tr w:rsidR="00320D09" w:rsidRPr="00C666B0" w14:paraId="03033999" w14:textId="77777777" w:rsidTr="00111E3C">
        <w:tc>
          <w:tcPr>
            <w:tcW w:w="5000" w:type="pct"/>
            <w:gridSpan w:val="6"/>
            <w:shd w:val="clear" w:color="auto" w:fill="C00000"/>
            <w:tcMar>
              <w:top w:w="30" w:type="dxa"/>
              <w:left w:w="45" w:type="dxa"/>
              <w:bottom w:w="30" w:type="dxa"/>
              <w:right w:w="45" w:type="dxa"/>
            </w:tcMar>
            <w:vAlign w:val="center"/>
            <w:hideMark/>
          </w:tcPr>
          <w:p w14:paraId="627D7BCC" w14:textId="5340E51B" w:rsidR="00320D09" w:rsidRPr="00111E3C" w:rsidRDefault="00111E3C" w:rsidP="00111E3C">
            <w:pPr>
              <w:jc w:val="center"/>
              <w:rPr>
                <w:rFonts w:cs="Arial"/>
                <w:b/>
                <w:bCs/>
                <w:color w:val="FFFFFF" w:themeColor="background1"/>
                <w:sz w:val="18"/>
                <w:szCs w:val="18"/>
              </w:rPr>
            </w:pPr>
            <w:r w:rsidRPr="00111E3C">
              <w:rPr>
                <w:rFonts w:cs="Arial"/>
                <w:b/>
                <w:bCs/>
                <w:color w:val="FFFFFF" w:themeColor="background1"/>
                <w:sz w:val="18"/>
                <w:szCs w:val="18"/>
              </w:rPr>
              <w:t>Educación</w:t>
            </w:r>
          </w:p>
        </w:tc>
      </w:tr>
      <w:tr w:rsidR="00E019C6" w:rsidRPr="00C666B0" w14:paraId="51EFEC2B" w14:textId="77777777" w:rsidTr="00111E3C">
        <w:tc>
          <w:tcPr>
            <w:tcW w:w="1486" w:type="pct"/>
            <w:vMerge w:val="restart"/>
            <w:tcMar>
              <w:top w:w="30" w:type="dxa"/>
              <w:left w:w="45" w:type="dxa"/>
              <w:bottom w:w="30" w:type="dxa"/>
              <w:right w:w="45" w:type="dxa"/>
            </w:tcMar>
            <w:vAlign w:val="center"/>
            <w:hideMark/>
          </w:tcPr>
          <w:p w14:paraId="2DC5590E" w14:textId="77777777" w:rsidR="00320D09" w:rsidRPr="00E019C6" w:rsidRDefault="00320D09" w:rsidP="00AA4BBB">
            <w:pPr>
              <w:rPr>
                <w:rFonts w:cs="Arial"/>
                <w:sz w:val="18"/>
                <w:szCs w:val="18"/>
              </w:rPr>
            </w:pPr>
            <w:r w:rsidRPr="00E019C6">
              <w:rPr>
                <w:rFonts w:cs="Arial"/>
                <w:sz w:val="18"/>
                <w:szCs w:val="18"/>
              </w:rPr>
              <w:t>Aumentar a 90% las y los estudiantes de colegios oficiales del distrito que completan su trayectoria educativa de bachillerato</w:t>
            </w:r>
          </w:p>
        </w:tc>
        <w:tc>
          <w:tcPr>
            <w:tcW w:w="709" w:type="pct"/>
            <w:tcMar>
              <w:top w:w="30" w:type="dxa"/>
              <w:left w:w="45" w:type="dxa"/>
              <w:bottom w:w="30" w:type="dxa"/>
              <w:right w:w="45" w:type="dxa"/>
            </w:tcMar>
            <w:vAlign w:val="center"/>
            <w:hideMark/>
          </w:tcPr>
          <w:p w14:paraId="06F649F4" w14:textId="77777777" w:rsidR="00320D09" w:rsidRPr="00824F14" w:rsidRDefault="00320D09" w:rsidP="00AA4BBB">
            <w:pPr>
              <w:jc w:val="center"/>
              <w:rPr>
                <w:rFonts w:cs="Arial"/>
                <w:sz w:val="16"/>
                <w:szCs w:val="14"/>
              </w:rPr>
            </w:pPr>
            <w:r w:rsidRPr="00824F14">
              <w:rPr>
                <w:rFonts w:cs="Arial"/>
                <w:sz w:val="16"/>
                <w:szCs w:val="14"/>
              </w:rPr>
              <w:t>78%</w:t>
            </w:r>
          </w:p>
        </w:tc>
        <w:tc>
          <w:tcPr>
            <w:tcW w:w="717" w:type="pct"/>
            <w:tcMar>
              <w:top w:w="30" w:type="dxa"/>
              <w:left w:w="45" w:type="dxa"/>
              <w:bottom w:w="30" w:type="dxa"/>
              <w:right w:w="45" w:type="dxa"/>
            </w:tcMar>
            <w:vAlign w:val="center"/>
            <w:hideMark/>
          </w:tcPr>
          <w:p w14:paraId="317FD448" w14:textId="77777777" w:rsidR="00320D09" w:rsidRPr="00824F14" w:rsidRDefault="00320D09" w:rsidP="00AA4BBB">
            <w:pPr>
              <w:jc w:val="center"/>
              <w:rPr>
                <w:rFonts w:cs="Arial"/>
                <w:sz w:val="16"/>
                <w:szCs w:val="14"/>
              </w:rPr>
            </w:pPr>
            <w:r w:rsidRPr="00824F14">
              <w:rPr>
                <w:rFonts w:cs="Arial"/>
                <w:sz w:val="16"/>
                <w:szCs w:val="14"/>
              </w:rPr>
              <w:t>82%</w:t>
            </w:r>
          </w:p>
        </w:tc>
        <w:tc>
          <w:tcPr>
            <w:tcW w:w="676" w:type="pct"/>
            <w:tcMar>
              <w:top w:w="30" w:type="dxa"/>
              <w:left w:w="45" w:type="dxa"/>
              <w:bottom w:w="30" w:type="dxa"/>
              <w:right w:w="45" w:type="dxa"/>
            </w:tcMar>
            <w:vAlign w:val="center"/>
            <w:hideMark/>
          </w:tcPr>
          <w:p w14:paraId="0FFFA24E" w14:textId="77777777" w:rsidR="00320D09" w:rsidRPr="00824F14" w:rsidRDefault="00320D09" w:rsidP="00AA4BBB">
            <w:pPr>
              <w:jc w:val="center"/>
              <w:rPr>
                <w:rFonts w:cs="Arial"/>
                <w:sz w:val="16"/>
                <w:szCs w:val="14"/>
              </w:rPr>
            </w:pPr>
            <w:r w:rsidRPr="00824F14">
              <w:rPr>
                <w:rFonts w:cs="Arial"/>
                <w:sz w:val="16"/>
                <w:szCs w:val="14"/>
              </w:rPr>
              <w:t>86%</w:t>
            </w:r>
          </w:p>
        </w:tc>
        <w:tc>
          <w:tcPr>
            <w:tcW w:w="700" w:type="pct"/>
            <w:tcMar>
              <w:top w:w="30" w:type="dxa"/>
              <w:left w:w="45" w:type="dxa"/>
              <w:bottom w:w="30" w:type="dxa"/>
              <w:right w:w="45" w:type="dxa"/>
            </w:tcMar>
            <w:vAlign w:val="center"/>
            <w:hideMark/>
          </w:tcPr>
          <w:p w14:paraId="5D023D23" w14:textId="77777777" w:rsidR="00320D09" w:rsidRPr="00824F14" w:rsidRDefault="00320D09" w:rsidP="00AA4BBB">
            <w:pPr>
              <w:jc w:val="center"/>
              <w:rPr>
                <w:rFonts w:cs="Arial"/>
                <w:sz w:val="16"/>
                <w:szCs w:val="14"/>
              </w:rPr>
            </w:pPr>
            <w:r w:rsidRPr="00824F14">
              <w:rPr>
                <w:rFonts w:cs="Arial"/>
                <w:sz w:val="16"/>
                <w:szCs w:val="14"/>
              </w:rPr>
              <w:t>90%</w:t>
            </w:r>
          </w:p>
        </w:tc>
        <w:tc>
          <w:tcPr>
            <w:tcW w:w="712" w:type="pct"/>
            <w:vMerge w:val="restart"/>
            <w:tcMar>
              <w:top w:w="30" w:type="dxa"/>
              <w:left w:w="45" w:type="dxa"/>
              <w:bottom w:w="30" w:type="dxa"/>
              <w:right w:w="45" w:type="dxa"/>
            </w:tcMar>
            <w:vAlign w:val="center"/>
            <w:hideMark/>
          </w:tcPr>
          <w:p w14:paraId="39F04766" w14:textId="77777777" w:rsidR="00320D09" w:rsidRPr="00E019C6" w:rsidRDefault="00320D09" w:rsidP="00AA4BBB">
            <w:pPr>
              <w:jc w:val="center"/>
              <w:rPr>
                <w:rFonts w:cs="Arial"/>
                <w:b/>
                <w:bCs/>
                <w:sz w:val="16"/>
                <w:szCs w:val="16"/>
              </w:rPr>
            </w:pPr>
            <w:r w:rsidRPr="00E019C6">
              <w:rPr>
                <w:rFonts w:cs="Arial"/>
                <w:b/>
                <w:bCs/>
                <w:sz w:val="16"/>
                <w:szCs w:val="16"/>
              </w:rPr>
              <w:t>119.289.768.289</w:t>
            </w:r>
          </w:p>
        </w:tc>
      </w:tr>
      <w:tr w:rsidR="00E019C6" w:rsidRPr="00C666B0" w14:paraId="0B6181B3" w14:textId="77777777" w:rsidTr="00111E3C">
        <w:tc>
          <w:tcPr>
            <w:tcW w:w="1486" w:type="pct"/>
            <w:vMerge/>
            <w:vAlign w:val="center"/>
            <w:hideMark/>
          </w:tcPr>
          <w:p w14:paraId="7C441ED6"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5C5FE330" w14:textId="77777777" w:rsidR="00320D09" w:rsidRPr="00824F14" w:rsidRDefault="00320D09" w:rsidP="00AA4BBB">
            <w:pPr>
              <w:jc w:val="center"/>
              <w:rPr>
                <w:rFonts w:cs="Arial"/>
                <w:sz w:val="16"/>
                <w:szCs w:val="14"/>
              </w:rPr>
            </w:pPr>
            <w:r w:rsidRPr="00824F14">
              <w:rPr>
                <w:rFonts w:cs="Arial"/>
                <w:sz w:val="16"/>
                <w:szCs w:val="14"/>
              </w:rPr>
              <w:t>22.748.898.443</w:t>
            </w:r>
          </w:p>
        </w:tc>
        <w:tc>
          <w:tcPr>
            <w:tcW w:w="717" w:type="pct"/>
            <w:tcMar>
              <w:top w:w="30" w:type="dxa"/>
              <w:left w:w="45" w:type="dxa"/>
              <w:bottom w:w="30" w:type="dxa"/>
              <w:right w:w="45" w:type="dxa"/>
            </w:tcMar>
            <w:vAlign w:val="center"/>
            <w:hideMark/>
          </w:tcPr>
          <w:p w14:paraId="659B948F" w14:textId="77777777" w:rsidR="00320D09" w:rsidRPr="00824F14" w:rsidRDefault="00320D09" w:rsidP="00AA4BBB">
            <w:pPr>
              <w:jc w:val="center"/>
              <w:rPr>
                <w:rFonts w:cs="Arial"/>
                <w:sz w:val="16"/>
                <w:szCs w:val="14"/>
              </w:rPr>
            </w:pPr>
            <w:r w:rsidRPr="00824F14">
              <w:rPr>
                <w:rFonts w:cs="Arial"/>
                <w:sz w:val="16"/>
                <w:szCs w:val="14"/>
              </w:rPr>
              <w:t>32.609.441.976</w:t>
            </w:r>
          </w:p>
        </w:tc>
        <w:tc>
          <w:tcPr>
            <w:tcW w:w="676" w:type="pct"/>
            <w:tcMar>
              <w:top w:w="30" w:type="dxa"/>
              <w:left w:w="45" w:type="dxa"/>
              <w:bottom w:w="30" w:type="dxa"/>
              <w:right w:w="45" w:type="dxa"/>
            </w:tcMar>
            <w:vAlign w:val="center"/>
            <w:hideMark/>
          </w:tcPr>
          <w:p w14:paraId="1C9F0FE9" w14:textId="77777777" w:rsidR="00320D09" w:rsidRPr="00824F14" w:rsidRDefault="00320D09" w:rsidP="00AA4BBB">
            <w:pPr>
              <w:jc w:val="center"/>
              <w:rPr>
                <w:rFonts w:cs="Arial"/>
                <w:sz w:val="16"/>
                <w:szCs w:val="14"/>
              </w:rPr>
            </w:pPr>
            <w:r w:rsidRPr="00824F14">
              <w:rPr>
                <w:rFonts w:cs="Arial"/>
                <w:sz w:val="16"/>
                <w:szCs w:val="14"/>
              </w:rPr>
              <w:t>33.653.106.067</w:t>
            </w:r>
          </w:p>
        </w:tc>
        <w:tc>
          <w:tcPr>
            <w:tcW w:w="700" w:type="pct"/>
            <w:tcMar>
              <w:top w:w="30" w:type="dxa"/>
              <w:left w:w="45" w:type="dxa"/>
              <w:bottom w:w="30" w:type="dxa"/>
              <w:right w:w="45" w:type="dxa"/>
            </w:tcMar>
            <w:vAlign w:val="center"/>
            <w:hideMark/>
          </w:tcPr>
          <w:p w14:paraId="1D322EF2" w14:textId="77777777" w:rsidR="00320D09" w:rsidRPr="00824F14" w:rsidRDefault="00320D09" w:rsidP="00AA4BBB">
            <w:pPr>
              <w:jc w:val="center"/>
              <w:rPr>
                <w:rFonts w:cs="Arial"/>
                <w:sz w:val="16"/>
                <w:szCs w:val="14"/>
              </w:rPr>
            </w:pPr>
            <w:r w:rsidRPr="00824F14">
              <w:rPr>
                <w:rFonts w:cs="Arial"/>
                <w:sz w:val="16"/>
                <w:szCs w:val="14"/>
              </w:rPr>
              <w:t>30.278.321.803</w:t>
            </w:r>
          </w:p>
        </w:tc>
        <w:tc>
          <w:tcPr>
            <w:tcW w:w="712" w:type="pct"/>
            <w:vMerge/>
            <w:vAlign w:val="center"/>
            <w:hideMark/>
          </w:tcPr>
          <w:p w14:paraId="293FB077" w14:textId="77777777" w:rsidR="00320D09" w:rsidRPr="00E019C6" w:rsidRDefault="00320D09" w:rsidP="00AA4BBB">
            <w:pPr>
              <w:rPr>
                <w:rFonts w:cs="Arial"/>
                <w:b/>
                <w:bCs/>
                <w:sz w:val="16"/>
                <w:szCs w:val="16"/>
              </w:rPr>
            </w:pPr>
          </w:p>
        </w:tc>
      </w:tr>
      <w:tr w:rsidR="00E019C6" w:rsidRPr="00C666B0" w14:paraId="6407FE19" w14:textId="77777777" w:rsidTr="00111E3C">
        <w:tc>
          <w:tcPr>
            <w:tcW w:w="1486" w:type="pct"/>
            <w:vMerge w:val="restart"/>
            <w:tcMar>
              <w:top w:w="30" w:type="dxa"/>
              <w:left w:w="45" w:type="dxa"/>
              <w:bottom w:w="30" w:type="dxa"/>
              <w:right w:w="45" w:type="dxa"/>
            </w:tcMar>
            <w:vAlign w:val="center"/>
            <w:hideMark/>
          </w:tcPr>
          <w:p w14:paraId="36B979E8" w14:textId="77777777" w:rsidR="00320D09" w:rsidRPr="00E019C6" w:rsidRDefault="00320D09" w:rsidP="00AA4BBB">
            <w:pPr>
              <w:rPr>
                <w:rFonts w:cs="Arial"/>
                <w:sz w:val="18"/>
                <w:szCs w:val="18"/>
              </w:rPr>
            </w:pPr>
            <w:r w:rsidRPr="00E019C6">
              <w:rPr>
                <w:rFonts w:cs="Arial"/>
                <w:sz w:val="18"/>
                <w:szCs w:val="18"/>
              </w:rPr>
              <w:t xml:space="preserve">Aumentar al 70% las y los estudiantes de colegios oficiales que se ubican en los niveles 3 o 4 en matemáticas en las pruebas Saber 11. </w:t>
            </w:r>
          </w:p>
        </w:tc>
        <w:tc>
          <w:tcPr>
            <w:tcW w:w="709" w:type="pct"/>
            <w:tcMar>
              <w:top w:w="30" w:type="dxa"/>
              <w:left w:w="45" w:type="dxa"/>
              <w:bottom w:w="30" w:type="dxa"/>
              <w:right w:w="45" w:type="dxa"/>
            </w:tcMar>
            <w:vAlign w:val="center"/>
            <w:hideMark/>
          </w:tcPr>
          <w:p w14:paraId="048696DF" w14:textId="77777777" w:rsidR="00320D09" w:rsidRPr="00824F14" w:rsidRDefault="00320D09" w:rsidP="00AA4BBB">
            <w:pPr>
              <w:jc w:val="center"/>
              <w:rPr>
                <w:rFonts w:cs="Arial"/>
                <w:sz w:val="16"/>
                <w:szCs w:val="14"/>
              </w:rPr>
            </w:pPr>
            <w:r w:rsidRPr="00824F14">
              <w:rPr>
                <w:rFonts w:cs="Arial"/>
                <w:sz w:val="16"/>
                <w:szCs w:val="14"/>
              </w:rPr>
              <w:t>57%</w:t>
            </w:r>
          </w:p>
        </w:tc>
        <w:tc>
          <w:tcPr>
            <w:tcW w:w="717" w:type="pct"/>
            <w:tcMar>
              <w:top w:w="30" w:type="dxa"/>
              <w:left w:w="45" w:type="dxa"/>
              <w:bottom w:w="30" w:type="dxa"/>
              <w:right w:w="45" w:type="dxa"/>
            </w:tcMar>
            <w:vAlign w:val="center"/>
            <w:hideMark/>
          </w:tcPr>
          <w:p w14:paraId="3A569778" w14:textId="77777777" w:rsidR="00320D09" w:rsidRPr="00824F14" w:rsidRDefault="00320D09" w:rsidP="00AA4BBB">
            <w:pPr>
              <w:jc w:val="center"/>
              <w:rPr>
                <w:rFonts w:cs="Arial"/>
                <w:sz w:val="16"/>
                <w:szCs w:val="14"/>
              </w:rPr>
            </w:pPr>
            <w:r w:rsidRPr="00824F14">
              <w:rPr>
                <w:rFonts w:cs="Arial"/>
                <w:sz w:val="16"/>
                <w:szCs w:val="14"/>
              </w:rPr>
              <w:t>58%</w:t>
            </w:r>
          </w:p>
        </w:tc>
        <w:tc>
          <w:tcPr>
            <w:tcW w:w="676" w:type="pct"/>
            <w:tcMar>
              <w:top w:w="30" w:type="dxa"/>
              <w:left w:w="45" w:type="dxa"/>
              <w:bottom w:w="30" w:type="dxa"/>
              <w:right w:w="45" w:type="dxa"/>
            </w:tcMar>
            <w:vAlign w:val="center"/>
            <w:hideMark/>
          </w:tcPr>
          <w:p w14:paraId="26FDA1C0" w14:textId="77777777" w:rsidR="00320D09" w:rsidRPr="00824F14" w:rsidRDefault="00320D09" w:rsidP="00AA4BBB">
            <w:pPr>
              <w:jc w:val="center"/>
              <w:rPr>
                <w:rFonts w:cs="Arial"/>
                <w:sz w:val="16"/>
                <w:szCs w:val="14"/>
              </w:rPr>
            </w:pPr>
            <w:r w:rsidRPr="00824F14">
              <w:rPr>
                <w:rFonts w:cs="Arial"/>
                <w:sz w:val="16"/>
                <w:szCs w:val="14"/>
              </w:rPr>
              <w:t>62%</w:t>
            </w:r>
          </w:p>
        </w:tc>
        <w:tc>
          <w:tcPr>
            <w:tcW w:w="700" w:type="pct"/>
            <w:tcMar>
              <w:top w:w="30" w:type="dxa"/>
              <w:left w:w="45" w:type="dxa"/>
              <w:bottom w:w="30" w:type="dxa"/>
              <w:right w:w="45" w:type="dxa"/>
            </w:tcMar>
            <w:vAlign w:val="center"/>
            <w:hideMark/>
          </w:tcPr>
          <w:p w14:paraId="6B32FD57" w14:textId="77777777" w:rsidR="00320D09" w:rsidRPr="00824F14" w:rsidRDefault="00320D09" w:rsidP="00AA4BBB">
            <w:pPr>
              <w:jc w:val="center"/>
              <w:rPr>
                <w:rFonts w:cs="Arial"/>
                <w:sz w:val="16"/>
                <w:szCs w:val="14"/>
              </w:rPr>
            </w:pPr>
            <w:r w:rsidRPr="00824F14">
              <w:rPr>
                <w:rFonts w:cs="Arial"/>
                <w:sz w:val="16"/>
                <w:szCs w:val="14"/>
              </w:rPr>
              <w:t>70%</w:t>
            </w:r>
          </w:p>
        </w:tc>
        <w:tc>
          <w:tcPr>
            <w:tcW w:w="712" w:type="pct"/>
            <w:vMerge w:val="restart"/>
            <w:tcMar>
              <w:top w:w="30" w:type="dxa"/>
              <w:left w:w="45" w:type="dxa"/>
              <w:bottom w:w="30" w:type="dxa"/>
              <w:right w:w="45" w:type="dxa"/>
            </w:tcMar>
            <w:vAlign w:val="center"/>
            <w:hideMark/>
          </w:tcPr>
          <w:p w14:paraId="1E2DF475" w14:textId="77777777" w:rsidR="00320D09" w:rsidRPr="00E019C6" w:rsidRDefault="00320D09" w:rsidP="00AA4BBB">
            <w:pPr>
              <w:jc w:val="center"/>
              <w:rPr>
                <w:rFonts w:cs="Arial"/>
                <w:b/>
                <w:bCs/>
                <w:sz w:val="16"/>
                <w:szCs w:val="16"/>
              </w:rPr>
            </w:pPr>
            <w:r w:rsidRPr="00E019C6">
              <w:rPr>
                <w:rFonts w:cs="Arial"/>
                <w:b/>
                <w:bCs/>
                <w:sz w:val="16"/>
                <w:szCs w:val="16"/>
              </w:rPr>
              <w:t>76.549.443.969</w:t>
            </w:r>
          </w:p>
        </w:tc>
      </w:tr>
      <w:tr w:rsidR="00E019C6" w:rsidRPr="00C666B0" w14:paraId="7A17F6F8" w14:textId="77777777" w:rsidTr="00111E3C">
        <w:tc>
          <w:tcPr>
            <w:tcW w:w="1486" w:type="pct"/>
            <w:vMerge/>
            <w:vAlign w:val="center"/>
            <w:hideMark/>
          </w:tcPr>
          <w:p w14:paraId="21ABFDDE"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5E36FFFE" w14:textId="77777777" w:rsidR="00320D09" w:rsidRPr="00824F14" w:rsidRDefault="00320D09" w:rsidP="00AA4BBB">
            <w:pPr>
              <w:jc w:val="center"/>
              <w:rPr>
                <w:rFonts w:cs="Arial"/>
                <w:sz w:val="16"/>
                <w:szCs w:val="14"/>
              </w:rPr>
            </w:pPr>
            <w:r w:rsidRPr="00824F14">
              <w:rPr>
                <w:rFonts w:cs="Arial"/>
                <w:sz w:val="16"/>
                <w:szCs w:val="14"/>
              </w:rPr>
              <w:t>0</w:t>
            </w:r>
          </w:p>
        </w:tc>
        <w:tc>
          <w:tcPr>
            <w:tcW w:w="717" w:type="pct"/>
            <w:tcMar>
              <w:top w:w="30" w:type="dxa"/>
              <w:left w:w="45" w:type="dxa"/>
              <w:bottom w:w="30" w:type="dxa"/>
              <w:right w:w="45" w:type="dxa"/>
            </w:tcMar>
            <w:vAlign w:val="center"/>
            <w:hideMark/>
          </w:tcPr>
          <w:p w14:paraId="7F07A503" w14:textId="77777777" w:rsidR="00320D09" w:rsidRPr="00824F14" w:rsidRDefault="00320D09" w:rsidP="00AA4BBB">
            <w:pPr>
              <w:jc w:val="center"/>
              <w:rPr>
                <w:rFonts w:cs="Arial"/>
                <w:sz w:val="16"/>
                <w:szCs w:val="14"/>
              </w:rPr>
            </w:pPr>
            <w:r w:rsidRPr="00824F14">
              <w:rPr>
                <w:rFonts w:cs="Arial"/>
                <w:sz w:val="16"/>
                <w:szCs w:val="14"/>
              </w:rPr>
              <w:t>28.002.594.475</w:t>
            </w:r>
          </w:p>
        </w:tc>
        <w:tc>
          <w:tcPr>
            <w:tcW w:w="676" w:type="pct"/>
            <w:tcMar>
              <w:top w:w="30" w:type="dxa"/>
              <w:left w:w="45" w:type="dxa"/>
              <w:bottom w:w="30" w:type="dxa"/>
              <w:right w:w="45" w:type="dxa"/>
            </w:tcMar>
            <w:vAlign w:val="center"/>
            <w:hideMark/>
          </w:tcPr>
          <w:p w14:paraId="635259F3" w14:textId="77777777" w:rsidR="00320D09" w:rsidRPr="00824F14" w:rsidRDefault="00320D09" w:rsidP="00AA4BBB">
            <w:pPr>
              <w:jc w:val="center"/>
              <w:rPr>
                <w:rFonts w:cs="Arial"/>
                <w:sz w:val="16"/>
                <w:szCs w:val="14"/>
              </w:rPr>
            </w:pPr>
            <w:r w:rsidRPr="00824F14">
              <w:rPr>
                <w:rFonts w:cs="Arial"/>
                <w:sz w:val="16"/>
                <w:szCs w:val="14"/>
              </w:rPr>
              <w:t>25.632.829.762</w:t>
            </w:r>
          </w:p>
        </w:tc>
        <w:tc>
          <w:tcPr>
            <w:tcW w:w="700" w:type="pct"/>
            <w:tcMar>
              <w:top w:w="30" w:type="dxa"/>
              <w:left w:w="45" w:type="dxa"/>
              <w:bottom w:w="30" w:type="dxa"/>
              <w:right w:w="45" w:type="dxa"/>
            </w:tcMar>
            <w:vAlign w:val="center"/>
            <w:hideMark/>
          </w:tcPr>
          <w:p w14:paraId="6951B4D6" w14:textId="77777777" w:rsidR="00320D09" w:rsidRPr="00824F14" w:rsidRDefault="00320D09" w:rsidP="00AA4BBB">
            <w:pPr>
              <w:jc w:val="center"/>
              <w:rPr>
                <w:rFonts w:cs="Arial"/>
                <w:sz w:val="16"/>
                <w:szCs w:val="14"/>
              </w:rPr>
            </w:pPr>
            <w:r w:rsidRPr="00824F14">
              <w:rPr>
                <w:rFonts w:cs="Arial"/>
                <w:sz w:val="16"/>
                <w:szCs w:val="14"/>
              </w:rPr>
              <w:t>22.914.019.733</w:t>
            </w:r>
          </w:p>
        </w:tc>
        <w:tc>
          <w:tcPr>
            <w:tcW w:w="712" w:type="pct"/>
            <w:vMerge/>
            <w:vAlign w:val="center"/>
            <w:hideMark/>
          </w:tcPr>
          <w:p w14:paraId="7E9375B7" w14:textId="77777777" w:rsidR="00320D09" w:rsidRPr="00E019C6" w:rsidRDefault="00320D09" w:rsidP="00AA4BBB">
            <w:pPr>
              <w:rPr>
                <w:rFonts w:cs="Arial"/>
                <w:b/>
                <w:bCs/>
                <w:sz w:val="16"/>
                <w:szCs w:val="16"/>
              </w:rPr>
            </w:pPr>
          </w:p>
        </w:tc>
      </w:tr>
      <w:tr w:rsidR="00E019C6" w:rsidRPr="00C666B0" w14:paraId="3DD2734A" w14:textId="77777777" w:rsidTr="00111E3C">
        <w:tc>
          <w:tcPr>
            <w:tcW w:w="1486" w:type="pct"/>
            <w:vMerge w:val="restart"/>
            <w:tcMar>
              <w:top w:w="30" w:type="dxa"/>
              <w:left w:w="45" w:type="dxa"/>
              <w:bottom w:w="30" w:type="dxa"/>
              <w:right w:w="45" w:type="dxa"/>
            </w:tcMar>
            <w:vAlign w:val="center"/>
            <w:hideMark/>
          </w:tcPr>
          <w:p w14:paraId="046A944A" w14:textId="77777777" w:rsidR="00320D09" w:rsidRPr="00E019C6" w:rsidRDefault="00320D09" w:rsidP="00AA4BBB">
            <w:pPr>
              <w:rPr>
                <w:rFonts w:cs="Arial"/>
                <w:sz w:val="18"/>
                <w:szCs w:val="18"/>
              </w:rPr>
            </w:pPr>
            <w:r w:rsidRPr="00E019C6">
              <w:rPr>
                <w:rFonts w:cs="Arial"/>
                <w:sz w:val="18"/>
                <w:szCs w:val="18"/>
              </w:rPr>
              <w:t xml:space="preserve">Aumentar al 80% las y los estudiantes de colegios oficiales que se ubican en los niveles 3 o 4 en lectura crítica en las pruebas Saber 11. </w:t>
            </w:r>
          </w:p>
        </w:tc>
        <w:tc>
          <w:tcPr>
            <w:tcW w:w="709" w:type="pct"/>
            <w:tcMar>
              <w:top w:w="30" w:type="dxa"/>
              <w:left w:w="45" w:type="dxa"/>
              <w:bottom w:w="30" w:type="dxa"/>
              <w:right w:w="45" w:type="dxa"/>
            </w:tcMar>
            <w:vAlign w:val="center"/>
            <w:hideMark/>
          </w:tcPr>
          <w:p w14:paraId="07C788AB" w14:textId="77777777" w:rsidR="00320D09" w:rsidRPr="00824F14" w:rsidRDefault="00320D09" w:rsidP="00AA4BBB">
            <w:pPr>
              <w:jc w:val="center"/>
              <w:rPr>
                <w:rFonts w:cs="Arial"/>
                <w:sz w:val="16"/>
                <w:szCs w:val="14"/>
              </w:rPr>
            </w:pPr>
            <w:r w:rsidRPr="00824F14">
              <w:rPr>
                <w:rFonts w:cs="Arial"/>
                <w:sz w:val="16"/>
                <w:szCs w:val="14"/>
              </w:rPr>
              <w:t>67%</w:t>
            </w:r>
          </w:p>
        </w:tc>
        <w:tc>
          <w:tcPr>
            <w:tcW w:w="717" w:type="pct"/>
            <w:tcMar>
              <w:top w:w="30" w:type="dxa"/>
              <w:left w:w="45" w:type="dxa"/>
              <w:bottom w:w="30" w:type="dxa"/>
              <w:right w:w="45" w:type="dxa"/>
            </w:tcMar>
            <w:vAlign w:val="center"/>
            <w:hideMark/>
          </w:tcPr>
          <w:p w14:paraId="0CD2BAED" w14:textId="77777777" w:rsidR="00320D09" w:rsidRPr="00824F14" w:rsidRDefault="00320D09" w:rsidP="00AA4BBB">
            <w:pPr>
              <w:jc w:val="center"/>
              <w:rPr>
                <w:rFonts w:cs="Arial"/>
                <w:sz w:val="16"/>
                <w:szCs w:val="14"/>
              </w:rPr>
            </w:pPr>
            <w:r w:rsidRPr="00824F14">
              <w:rPr>
                <w:rFonts w:cs="Arial"/>
                <w:sz w:val="16"/>
                <w:szCs w:val="14"/>
              </w:rPr>
              <w:t>69%</w:t>
            </w:r>
          </w:p>
        </w:tc>
        <w:tc>
          <w:tcPr>
            <w:tcW w:w="676" w:type="pct"/>
            <w:tcMar>
              <w:top w:w="30" w:type="dxa"/>
              <w:left w:w="45" w:type="dxa"/>
              <w:bottom w:w="30" w:type="dxa"/>
              <w:right w:w="45" w:type="dxa"/>
            </w:tcMar>
            <w:vAlign w:val="center"/>
            <w:hideMark/>
          </w:tcPr>
          <w:p w14:paraId="0B59CF6C" w14:textId="77777777" w:rsidR="00320D09" w:rsidRPr="00824F14" w:rsidRDefault="00320D09" w:rsidP="00AA4BBB">
            <w:pPr>
              <w:jc w:val="center"/>
              <w:rPr>
                <w:rFonts w:cs="Arial"/>
                <w:sz w:val="16"/>
                <w:szCs w:val="14"/>
              </w:rPr>
            </w:pPr>
            <w:r w:rsidRPr="00824F14">
              <w:rPr>
                <w:rFonts w:cs="Arial"/>
                <w:sz w:val="16"/>
                <w:szCs w:val="14"/>
              </w:rPr>
              <w:t>73%</w:t>
            </w:r>
          </w:p>
        </w:tc>
        <w:tc>
          <w:tcPr>
            <w:tcW w:w="700" w:type="pct"/>
            <w:tcMar>
              <w:top w:w="30" w:type="dxa"/>
              <w:left w:w="45" w:type="dxa"/>
              <w:bottom w:w="30" w:type="dxa"/>
              <w:right w:w="45" w:type="dxa"/>
            </w:tcMar>
            <w:vAlign w:val="center"/>
            <w:hideMark/>
          </w:tcPr>
          <w:p w14:paraId="0F7713FD" w14:textId="77777777" w:rsidR="00320D09" w:rsidRPr="00824F14" w:rsidRDefault="00320D09" w:rsidP="00AA4BBB">
            <w:pPr>
              <w:jc w:val="center"/>
              <w:rPr>
                <w:rFonts w:cs="Arial"/>
                <w:sz w:val="16"/>
                <w:szCs w:val="14"/>
              </w:rPr>
            </w:pPr>
            <w:r w:rsidRPr="00824F14">
              <w:rPr>
                <w:rFonts w:cs="Arial"/>
                <w:sz w:val="16"/>
                <w:szCs w:val="14"/>
              </w:rPr>
              <w:t>80%</w:t>
            </w:r>
          </w:p>
        </w:tc>
        <w:tc>
          <w:tcPr>
            <w:tcW w:w="712" w:type="pct"/>
            <w:vMerge w:val="restart"/>
            <w:tcMar>
              <w:top w:w="30" w:type="dxa"/>
              <w:left w:w="45" w:type="dxa"/>
              <w:bottom w:w="30" w:type="dxa"/>
              <w:right w:w="45" w:type="dxa"/>
            </w:tcMar>
            <w:vAlign w:val="center"/>
            <w:hideMark/>
          </w:tcPr>
          <w:p w14:paraId="66469BC3" w14:textId="77777777" w:rsidR="00320D09" w:rsidRPr="00E019C6" w:rsidRDefault="00320D09" w:rsidP="00AA4BBB">
            <w:pPr>
              <w:jc w:val="center"/>
              <w:rPr>
                <w:rFonts w:cs="Arial"/>
                <w:b/>
                <w:bCs/>
                <w:sz w:val="16"/>
                <w:szCs w:val="16"/>
              </w:rPr>
            </w:pPr>
            <w:r w:rsidRPr="00E019C6">
              <w:rPr>
                <w:rFonts w:cs="Arial"/>
                <w:b/>
                <w:bCs/>
                <w:sz w:val="16"/>
                <w:szCs w:val="16"/>
              </w:rPr>
              <w:t>94.530.817.133</w:t>
            </w:r>
          </w:p>
        </w:tc>
      </w:tr>
      <w:tr w:rsidR="00E019C6" w:rsidRPr="00C666B0" w14:paraId="74BA9F9B" w14:textId="77777777" w:rsidTr="00111E3C">
        <w:tc>
          <w:tcPr>
            <w:tcW w:w="1486" w:type="pct"/>
            <w:vMerge/>
            <w:vAlign w:val="center"/>
            <w:hideMark/>
          </w:tcPr>
          <w:p w14:paraId="4D9DA37E"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3395E8CC" w14:textId="77777777" w:rsidR="00320D09" w:rsidRPr="00824F14" w:rsidRDefault="00320D09" w:rsidP="00AA4BBB">
            <w:pPr>
              <w:jc w:val="center"/>
              <w:rPr>
                <w:rFonts w:cs="Arial"/>
                <w:sz w:val="16"/>
                <w:szCs w:val="14"/>
              </w:rPr>
            </w:pPr>
            <w:r w:rsidRPr="00824F14">
              <w:rPr>
                <w:rFonts w:cs="Arial"/>
                <w:sz w:val="16"/>
                <w:szCs w:val="14"/>
              </w:rPr>
              <w:t>24.580.936.211</w:t>
            </w:r>
          </w:p>
        </w:tc>
        <w:tc>
          <w:tcPr>
            <w:tcW w:w="717" w:type="pct"/>
            <w:tcMar>
              <w:top w:w="30" w:type="dxa"/>
              <w:left w:w="45" w:type="dxa"/>
              <w:bottom w:w="30" w:type="dxa"/>
              <w:right w:w="45" w:type="dxa"/>
            </w:tcMar>
            <w:vAlign w:val="center"/>
            <w:hideMark/>
          </w:tcPr>
          <w:p w14:paraId="1910B3A7" w14:textId="77777777" w:rsidR="00320D09" w:rsidRPr="00824F14" w:rsidRDefault="00320D09" w:rsidP="00AA4BBB">
            <w:pPr>
              <w:jc w:val="center"/>
              <w:rPr>
                <w:rFonts w:cs="Arial"/>
                <w:sz w:val="16"/>
                <w:szCs w:val="14"/>
              </w:rPr>
            </w:pPr>
            <w:r w:rsidRPr="00824F14">
              <w:rPr>
                <w:rFonts w:cs="Arial"/>
                <w:sz w:val="16"/>
                <w:szCs w:val="14"/>
              </w:rPr>
              <w:t>25.117.244.310</w:t>
            </w:r>
          </w:p>
        </w:tc>
        <w:tc>
          <w:tcPr>
            <w:tcW w:w="676" w:type="pct"/>
            <w:tcMar>
              <w:top w:w="30" w:type="dxa"/>
              <w:left w:w="45" w:type="dxa"/>
              <w:bottom w:w="30" w:type="dxa"/>
              <w:right w:w="45" w:type="dxa"/>
            </w:tcMar>
            <w:vAlign w:val="center"/>
            <w:hideMark/>
          </w:tcPr>
          <w:p w14:paraId="30C8C378" w14:textId="77777777" w:rsidR="00320D09" w:rsidRPr="00824F14" w:rsidRDefault="00320D09" w:rsidP="00AA4BBB">
            <w:pPr>
              <w:jc w:val="center"/>
              <w:rPr>
                <w:rFonts w:cs="Arial"/>
                <w:sz w:val="16"/>
                <w:szCs w:val="14"/>
              </w:rPr>
            </w:pPr>
            <w:r w:rsidRPr="00824F14">
              <w:rPr>
                <w:rFonts w:cs="Arial"/>
                <w:sz w:val="16"/>
                <w:szCs w:val="14"/>
              </w:rPr>
              <w:t>23.146.174.517</w:t>
            </w:r>
          </w:p>
        </w:tc>
        <w:tc>
          <w:tcPr>
            <w:tcW w:w="700" w:type="pct"/>
            <w:tcMar>
              <w:top w:w="30" w:type="dxa"/>
              <w:left w:w="45" w:type="dxa"/>
              <w:bottom w:w="30" w:type="dxa"/>
              <w:right w:w="45" w:type="dxa"/>
            </w:tcMar>
            <w:vAlign w:val="center"/>
            <w:hideMark/>
          </w:tcPr>
          <w:p w14:paraId="20FF961B" w14:textId="77777777" w:rsidR="00320D09" w:rsidRPr="00824F14" w:rsidRDefault="00320D09" w:rsidP="00AA4BBB">
            <w:pPr>
              <w:jc w:val="center"/>
              <w:rPr>
                <w:rFonts w:cs="Arial"/>
                <w:sz w:val="16"/>
                <w:szCs w:val="14"/>
              </w:rPr>
            </w:pPr>
            <w:r w:rsidRPr="00824F14">
              <w:rPr>
                <w:rFonts w:cs="Arial"/>
                <w:sz w:val="16"/>
                <w:szCs w:val="14"/>
              </w:rPr>
              <w:t>21.686.462.095</w:t>
            </w:r>
          </w:p>
        </w:tc>
        <w:tc>
          <w:tcPr>
            <w:tcW w:w="712" w:type="pct"/>
            <w:vMerge/>
            <w:vAlign w:val="center"/>
            <w:hideMark/>
          </w:tcPr>
          <w:p w14:paraId="082E568A" w14:textId="77777777" w:rsidR="00320D09" w:rsidRPr="00E019C6" w:rsidRDefault="00320D09" w:rsidP="00AA4BBB">
            <w:pPr>
              <w:rPr>
                <w:rFonts w:cs="Arial"/>
                <w:b/>
                <w:bCs/>
                <w:sz w:val="16"/>
                <w:szCs w:val="16"/>
              </w:rPr>
            </w:pPr>
          </w:p>
        </w:tc>
      </w:tr>
      <w:tr w:rsidR="00E019C6" w:rsidRPr="00C666B0" w14:paraId="5F4CEF04" w14:textId="77777777" w:rsidTr="00111E3C">
        <w:tc>
          <w:tcPr>
            <w:tcW w:w="1486" w:type="pct"/>
            <w:vMerge w:val="restart"/>
            <w:tcMar>
              <w:top w:w="30" w:type="dxa"/>
              <w:left w:w="45" w:type="dxa"/>
              <w:bottom w:w="30" w:type="dxa"/>
              <w:right w:w="45" w:type="dxa"/>
            </w:tcMar>
            <w:vAlign w:val="center"/>
            <w:hideMark/>
          </w:tcPr>
          <w:p w14:paraId="3689F558" w14:textId="77777777" w:rsidR="00320D09" w:rsidRPr="00E019C6" w:rsidRDefault="00320D09" w:rsidP="00AA4BBB">
            <w:pPr>
              <w:rPr>
                <w:rFonts w:cs="Arial"/>
                <w:sz w:val="18"/>
                <w:szCs w:val="18"/>
              </w:rPr>
            </w:pPr>
            <w:r w:rsidRPr="00E019C6">
              <w:rPr>
                <w:rFonts w:cs="Arial"/>
                <w:sz w:val="18"/>
                <w:szCs w:val="18"/>
              </w:rPr>
              <w:t xml:space="preserve">Aumentar en 30.000 cupos para niñas y niños de 0 a 5 años con servicios de atención integral </w:t>
            </w:r>
          </w:p>
        </w:tc>
        <w:tc>
          <w:tcPr>
            <w:tcW w:w="709" w:type="pct"/>
            <w:tcMar>
              <w:top w:w="30" w:type="dxa"/>
              <w:left w:w="45" w:type="dxa"/>
              <w:bottom w:w="30" w:type="dxa"/>
              <w:right w:w="45" w:type="dxa"/>
            </w:tcMar>
            <w:vAlign w:val="center"/>
            <w:hideMark/>
          </w:tcPr>
          <w:p w14:paraId="65960A82" w14:textId="77777777" w:rsidR="00320D09" w:rsidRPr="00824F14" w:rsidRDefault="00320D09" w:rsidP="00AA4BBB">
            <w:pPr>
              <w:jc w:val="center"/>
              <w:rPr>
                <w:rFonts w:cs="Arial"/>
                <w:sz w:val="16"/>
                <w:szCs w:val="14"/>
              </w:rPr>
            </w:pPr>
            <w:r w:rsidRPr="00824F14">
              <w:rPr>
                <w:rFonts w:cs="Arial"/>
                <w:sz w:val="16"/>
                <w:szCs w:val="14"/>
              </w:rPr>
              <w:t>1.040</w:t>
            </w:r>
          </w:p>
        </w:tc>
        <w:tc>
          <w:tcPr>
            <w:tcW w:w="717" w:type="pct"/>
            <w:tcMar>
              <w:top w:w="30" w:type="dxa"/>
              <w:left w:w="45" w:type="dxa"/>
              <w:bottom w:w="30" w:type="dxa"/>
              <w:right w:w="45" w:type="dxa"/>
            </w:tcMar>
            <w:vAlign w:val="center"/>
            <w:hideMark/>
          </w:tcPr>
          <w:p w14:paraId="481DF963" w14:textId="77777777" w:rsidR="00320D09" w:rsidRPr="00824F14" w:rsidRDefault="00320D09" w:rsidP="00AA4BBB">
            <w:pPr>
              <w:jc w:val="center"/>
              <w:rPr>
                <w:rFonts w:cs="Arial"/>
                <w:sz w:val="16"/>
                <w:szCs w:val="14"/>
              </w:rPr>
            </w:pPr>
            <w:r w:rsidRPr="00824F14">
              <w:rPr>
                <w:rFonts w:cs="Arial"/>
                <w:sz w:val="16"/>
                <w:szCs w:val="14"/>
              </w:rPr>
              <w:t>4.960</w:t>
            </w:r>
          </w:p>
        </w:tc>
        <w:tc>
          <w:tcPr>
            <w:tcW w:w="676" w:type="pct"/>
            <w:tcMar>
              <w:top w:w="30" w:type="dxa"/>
              <w:left w:w="45" w:type="dxa"/>
              <w:bottom w:w="30" w:type="dxa"/>
              <w:right w:w="45" w:type="dxa"/>
            </w:tcMar>
            <w:vAlign w:val="center"/>
            <w:hideMark/>
          </w:tcPr>
          <w:p w14:paraId="40F534D7" w14:textId="77777777" w:rsidR="00320D09" w:rsidRPr="00824F14" w:rsidRDefault="00320D09" w:rsidP="00AA4BBB">
            <w:pPr>
              <w:jc w:val="center"/>
              <w:rPr>
                <w:rFonts w:cs="Arial"/>
                <w:sz w:val="16"/>
                <w:szCs w:val="14"/>
              </w:rPr>
            </w:pPr>
            <w:r w:rsidRPr="00824F14">
              <w:rPr>
                <w:rFonts w:cs="Arial"/>
                <w:sz w:val="16"/>
                <w:szCs w:val="14"/>
              </w:rPr>
              <w:t>8.380</w:t>
            </w:r>
          </w:p>
        </w:tc>
        <w:tc>
          <w:tcPr>
            <w:tcW w:w="700" w:type="pct"/>
            <w:tcMar>
              <w:top w:w="30" w:type="dxa"/>
              <w:left w:w="45" w:type="dxa"/>
              <w:bottom w:w="30" w:type="dxa"/>
              <w:right w:w="45" w:type="dxa"/>
            </w:tcMar>
            <w:vAlign w:val="center"/>
            <w:hideMark/>
          </w:tcPr>
          <w:p w14:paraId="19F8E8D6" w14:textId="77777777" w:rsidR="00320D09" w:rsidRPr="00824F14" w:rsidRDefault="00320D09" w:rsidP="00AA4BBB">
            <w:pPr>
              <w:jc w:val="center"/>
              <w:rPr>
                <w:rFonts w:cs="Arial"/>
                <w:sz w:val="16"/>
                <w:szCs w:val="14"/>
              </w:rPr>
            </w:pPr>
            <w:r w:rsidRPr="00824F14">
              <w:rPr>
                <w:rFonts w:cs="Arial"/>
                <w:sz w:val="16"/>
                <w:szCs w:val="14"/>
              </w:rPr>
              <w:t>7.620</w:t>
            </w:r>
          </w:p>
        </w:tc>
        <w:tc>
          <w:tcPr>
            <w:tcW w:w="712" w:type="pct"/>
            <w:vMerge w:val="restart"/>
            <w:tcMar>
              <w:top w:w="30" w:type="dxa"/>
              <w:left w:w="45" w:type="dxa"/>
              <w:bottom w:w="30" w:type="dxa"/>
              <w:right w:w="45" w:type="dxa"/>
            </w:tcMar>
            <w:vAlign w:val="center"/>
            <w:hideMark/>
          </w:tcPr>
          <w:p w14:paraId="7D090D37" w14:textId="77777777" w:rsidR="00320D09" w:rsidRPr="00E019C6" w:rsidRDefault="00320D09" w:rsidP="00AA4BBB">
            <w:pPr>
              <w:jc w:val="center"/>
              <w:rPr>
                <w:rFonts w:cs="Arial"/>
                <w:b/>
                <w:bCs/>
                <w:sz w:val="16"/>
                <w:szCs w:val="16"/>
              </w:rPr>
            </w:pPr>
            <w:r w:rsidRPr="00E019C6">
              <w:rPr>
                <w:rFonts w:cs="Arial"/>
                <w:b/>
                <w:bCs/>
                <w:sz w:val="16"/>
                <w:szCs w:val="16"/>
              </w:rPr>
              <w:t>483.879.558.390</w:t>
            </w:r>
          </w:p>
        </w:tc>
      </w:tr>
      <w:tr w:rsidR="00E019C6" w:rsidRPr="00C666B0" w14:paraId="0A87B4D4" w14:textId="77777777" w:rsidTr="00111E3C">
        <w:tc>
          <w:tcPr>
            <w:tcW w:w="1486" w:type="pct"/>
            <w:vMerge/>
            <w:vAlign w:val="center"/>
            <w:hideMark/>
          </w:tcPr>
          <w:p w14:paraId="257A45FF"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5EDBFD6F" w14:textId="77777777" w:rsidR="00320D09" w:rsidRPr="00824F14" w:rsidRDefault="00320D09" w:rsidP="00AA4BBB">
            <w:pPr>
              <w:jc w:val="center"/>
              <w:rPr>
                <w:rFonts w:cs="Arial"/>
                <w:sz w:val="16"/>
                <w:szCs w:val="14"/>
              </w:rPr>
            </w:pPr>
            <w:r w:rsidRPr="00824F14">
              <w:rPr>
                <w:rFonts w:cs="Arial"/>
                <w:sz w:val="16"/>
                <w:szCs w:val="14"/>
              </w:rPr>
              <w:t>32.884.507.548</w:t>
            </w:r>
          </w:p>
        </w:tc>
        <w:tc>
          <w:tcPr>
            <w:tcW w:w="717" w:type="pct"/>
            <w:tcMar>
              <w:top w:w="30" w:type="dxa"/>
              <w:left w:w="45" w:type="dxa"/>
              <w:bottom w:w="30" w:type="dxa"/>
              <w:right w:w="45" w:type="dxa"/>
            </w:tcMar>
            <w:vAlign w:val="center"/>
            <w:hideMark/>
          </w:tcPr>
          <w:p w14:paraId="38967533" w14:textId="77777777" w:rsidR="00320D09" w:rsidRPr="00824F14" w:rsidRDefault="00320D09" w:rsidP="00AA4BBB">
            <w:pPr>
              <w:jc w:val="center"/>
              <w:rPr>
                <w:rFonts w:cs="Arial"/>
                <w:sz w:val="16"/>
                <w:szCs w:val="14"/>
              </w:rPr>
            </w:pPr>
            <w:r w:rsidRPr="00824F14">
              <w:rPr>
                <w:rFonts w:cs="Arial"/>
                <w:sz w:val="16"/>
                <w:szCs w:val="14"/>
              </w:rPr>
              <w:t>88.042.817.249</w:t>
            </w:r>
          </w:p>
        </w:tc>
        <w:tc>
          <w:tcPr>
            <w:tcW w:w="676" w:type="pct"/>
            <w:tcMar>
              <w:top w:w="30" w:type="dxa"/>
              <w:left w:w="45" w:type="dxa"/>
              <w:bottom w:w="30" w:type="dxa"/>
              <w:right w:w="45" w:type="dxa"/>
            </w:tcMar>
            <w:vAlign w:val="center"/>
            <w:hideMark/>
          </w:tcPr>
          <w:p w14:paraId="7F1AF240" w14:textId="77777777" w:rsidR="00320D09" w:rsidRPr="00824F14" w:rsidRDefault="00320D09" w:rsidP="00AA4BBB">
            <w:pPr>
              <w:jc w:val="center"/>
              <w:rPr>
                <w:rFonts w:cs="Arial"/>
                <w:sz w:val="16"/>
                <w:szCs w:val="14"/>
              </w:rPr>
            </w:pPr>
            <w:r w:rsidRPr="00824F14">
              <w:rPr>
                <w:rFonts w:cs="Arial"/>
                <w:sz w:val="16"/>
                <w:szCs w:val="14"/>
              </w:rPr>
              <w:t>122.476.261.440</w:t>
            </w:r>
          </w:p>
        </w:tc>
        <w:tc>
          <w:tcPr>
            <w:tcW w:w="700" w:type="pct"/>
            <w:tcMar>
              <w:top w:w="30" w:type="dxa"/>
              <w:left w:w="45" w:type="dxa"/>
              <w:bottom w:w="30" w:type="dxa"/>
              <w:right w:w="45" w:type="dxa"/>
            </w:tcMar>
            <w:vAlign w:val="center"/>
            <w:hideMark/>
          </w:tcPr>
          <w:p w14:paraId="47CC8174" w14:textId="77777777" w:rsidR="00320D09" w:rsidRPr="00824F14" w:rsidRDefault="00320D09" w:rsidP="00AA4BBB">
            <w:pPr>
              <w:jc w:val="center"/>
              <w:rPr>
                <w:rFonts w:cs="Arial"/>
                <w:sz w:val="16"/>
                <w:szCs w:val="14"/>
              </w:rPr>
            </w:pPr>
            <w:r w:rsidRPr="00824F14">
              <w:rPr>
                <w:rFonts w:cs="Arial"/>
                <w:sz w:val="16"/>
                <w:szCs w:val="14"/>
              </w:rPr>
              <w:t>240.475.972.153</w:t>
            </w:r>
          </w:p>
        </w:tc>
        <w:tc>
          <w:tcPr>
            <w:tcW w:w="712" w:type="pct"/>
            <w:vMerge/>
            <w:vAlign w:val="center"/>
            <w:hideMark/>
          </w:tcPr>
          <w:p w14:paraId="0B8F10E4" w14:textId="77777777" w:rsidR="00320D09" w:rsidRPr="00E019C6" w:rsidRDefault="00320D09" w:rsidP="00AA4BBB">
            <w:pPr>
              <w:rPr>
                <w:rFonts w:cs="Arial"/>
                <w:b/>
                <w:bCs/>
                <w:sz w:val="16"/>
                <w:szCs w:val="16"/>
              </w:rPr>
            </w:pPr>
          </w:p>
        </w:tc>
      </w:tr>
      <w:tr w:rsidR="00E019C6" w:rsidRPr="00C666B0" w14:paraId="19BC23E6" w14:textId="77777777" w:rsidTr="00111E3C">
        <w:tc>
          <w:tcPr>
            <w:tcW w:w="1486" w:type="pct"/>
            <w:vMerge w:val="restart"/>
            <w:tcMar>
              <w:top w:w="30" w:type="dxa"/>
              <w:left w:w="45" w:type="dxa"/>
              <w:bottom w:w="30" w:type="dxa"/>
              <w:right w:w="45" w:type="dxa"/>
            </w:tcMar>
            <w:vAlign w:val="center"/>
            <w:hideMark/>
          </w:tcPr>
          <w:p w14:paraId="1330CCC2" w14:textId="77777777" w:rsidR="00320D09" w:rsidRPr="00E019C6" w:rsidRDefault="00320D09" w:rsidP="00AA4BBB">
            <w:pPr>
              <w:rPr>
                <w:rFonts w:cs="Arial"/>
                <w:sz w:val="18"/>
                <w:szCs w:val="18"/>
              </w:rPr>
            </w:pPr>
            <w:r w:rsidRPr="00E019C6">
              <w:rPr>
                <w:rFonts w:cs="Arial"/>
                <w:sz w:val="18"/>
                <w:szCs w:val="18"/>
              </w:rPr>
              <w:t>Beneficiar a 100% docentes directivas docentes y otras personas de la comunidad educativa con un programa de bienestar integral</w:t>
            </w:r>
          </w:p>
        </w:tc>
        <w:tc>
          <w:tcPr>
            <w:tcW w:w="709" w:type="pct"/>
            <w:tcMar>
              <w:top w:w="30" w:type="dxa"/>
              <w:left w:w="45" w:type="dxa"/>
              <w:bottom w:w="30" w:type="dxa"/>
              <w:right w:w="45" w:type="dxa"/>
            </w:tcMar>
            <w:vAlign w:val="center"/>
            <w:hideMark/>
          </w:tcPr>
          <w:p w14:paraId="522BFA9A" w14:textId="77777777" w:rsidR="00320D09" w:rsidRPr="00824F14" w:rsidRDefault="00320D09" w:rsidP="00AA4BBB">
            <w:pPr>
              <w:jc w:val="center"/>
              <w:rPr>
                <w:rFonts w:cs="Arial"/>
                <w:sz w:val="16"/>
                <w:szCs w:val="14"/>
              </w:rPr>
            </w:pPr>
            <w:r w:rsidRPr="00824F14">
              <w:rPr>
                <w:rFonts w:cs="Arial"/>
                <w:sz w:val="16"/>
                <w:szCs w:val="14"/>
              </w:rPr>
              <w:t>100%</w:t>
            </w:r>
          </w:p>
        </w:tc>
        <w:tc>
          <w:tcPr>
            <w:tcW w:w="717" w:type="pct"/>
            <w:tcMar>
              <w:top w:w="30" w:type="dxa"/>
              <w:left w:w="45" w:type="dxa"/>
              <w:bottom w:w="30" w:type="dxa"/>
              <w:right w:w="45" w:type="dxa"/>
            </w:tcMar>
            <w:vAlign w:val="center"/>
            <w:hideMark/>
          </w:tcPr>
          <w:p w14:paraId="7C39D4C3" w14:textId="77777777" w:rsidR="00320D09" w:rsidRPr="00824F14" w:rsidRDefault="00320D09" w:rsidP="00AA4BBB">
            <w:pPr>
              <w:jc w:val="center"/>
              <w:rPr>
                <w:rFonts w:cs="Arial"/>
                <w:sz w:val="16"/>
                <w:szCs w:val="14"/>
              </w:rPr>
            </w:pPr>
            <w:r w:rsidRPr="00824F14">
              <w:rPr>
                <w:rFonts w:cs="Arial"/>
                <w:sz w:val="16"/>
                <w:szCs w:val="14"/>
              </w:rPr>
              <w:t>100%</w:t>
            </w:r>
          </w:p>
        </w:tc>
        <w:tc>
          <w:tcPr>
            <w:tcW w:w="676" w:type="pct"/>
            <w:tcMar>
              <w:top w:w="30" w:type="dxa"/>
              <w:left w:w="45" w:type="dxa"/>
              <w:bottom w:w="30" w:type="dxa"/>
              <w:right w:w="45" w:type="dxa"/>
            </w:tcMar>
            <w:vAlign w:val="center"/>
            <w:hideMark/>
          </w:tcPr>
          <w:p w14:paraId="51A42F7B" w14:textId="77777777" w:rsidR="00320D09" w:rsidRPr="00824F14" w:rsidRDefault="00320D09" w:rsidP="00AA4BBB">
            <w:pPr>
              <w:jc w:val="center"/>
              <w:rPr>
                <w:rFonts w:cs="Arial"/>
                <w:sz w:val="16"/>
                <w:szCs w:val="14"/>
              </w:rPr>
            </w:pPr>
            <w:r w:rsidRPr="00824F14">
              <w:rPr>
                <w:rFonts w:cs="Arial"/>
                <w:sz w:val="16"/>
                <w:szCs w:val="14"/>
              </w:rPr>
              <w:t>100%</w:t>
            </w:r>
          </w:p>
        </w:tc>
        <w:tc>
          <w:tcPr>
            <w:tcW w:w="700" w:type="pct"/>
            <w:tcMar>
              <w:top w:w="30" w:type="dxa"/>
              <w:left w:w="45" w:type="dxa"/>
              <w:bottom w:w="30" w:type="dxa"/>
              <w:right w:w="45" w:type="dxa"/>
            </w:tcMar>
            <w:vAlign w:val="center"/>
            <w:hideMark/>
          </w:tcPr>
          <w:p w14:paraId="22BE583A" w14:textId="77777777" w:rsidR="00320D09" w:rsidRPr="00824F14" w:rsidRDefault="00320D09" w:rsidP="00AA4BBB">
            <w:pPr>
              <w:jc w:val="center"/>
              <w:rPr>
                <w:rFonts w:cs="Arial"/>
                <w:sz w:val="16"/>
                <w:szCs w:val="14"/>
              </w:rPr>
            </w:pPr>
            <w:r w:rsidRPr="00824F14">
              <w:rPr>
                <w:rFonts w:cs="Arial"/>
                <w:sz w:val="16"/>
                <w:szCs w:val="14"/>
              </w:rPr>
              <w:t>100%</w:t>
            </w:r>
          </w:p>
        </w:tc>
        <w:tc>
          <w:tcPr>
            <w:tcW w:w="712" w:type="pct"/>
            <w:vMerge w:val="restart"/>
            <w:tcMar>
              <w:top w:w="30" w:type="dxa"/>
              <w:left w:w="45" w:type="dxa"/>
              <w:bottom w:w="30" w:type="dxa"/>
              <w:right w:w="45" w:type="dxa"/>
            </w:tcMar>
            <w:vAlign w:val="center"/>
            <w:hideMark/>
          </w:tcPr>
          <w:p w14:paraId="7B4B7B0A" w14:textId="77777777" w:rsidR="00320D09" w:rsidRPr="00E019C6" w:rsidRDefault="00320D09" w:rsidP="00AA4BBB">
            <w:pPr>
              <w:jc w:val="center"/>
              <w:rPr>
                <w:rFonts w:cs="Arial"/>
                <w:b/>
                <w:bCs/>
                <w:sz w:val="16"/>
                <w:szCs w:val="16"/>
              </w:rPr>
            </w:pPr>
            <w:r w:rsidRPr="00E019C6">
              <w:rPr>
                <w:rFonts w:cs="Arial"/>
                <w:b/>
                <w:bCs/>
                <w:sz w:val="16"/>
                <w:szCs w:val="16"/>
              </w:rPr>
              <w:t>115.453.586.213</w:t>
            </w:r>
          </w:p>
        </w:tc>
      </w:tr>
      <w:tr w:rsidR="00E019C6" w:rsidRPr="00C666B0" w14:paraId="65FB1036" w14:textId="77777777" w:rsidTr="00111E3C">
        <w:tc>
          <w:tcPr>
            <w:tcW w:w="1486" w:type="pct"/>
            <w:vMerge/>
            <w:vAlign w:val="center"/>
            <w:hideMark/>
          </w:tcPr>
          <w:p w14:paraId="61B9EC5E"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34ADCCBB" w14:textId="77777777" w:rsidR="00320D09" w:rsidRPr="00824F14" w:rsidRDefault="00320D09" w:rsidP="00AA4BBB">
            <w:pPr>
              <w:jc w:val="center"/>
              <w:rPr>
                <w:rFonts w:cs="Arial"/>
                <w:sz w:val="16"/>
                <w:szCs w:val="14"/>
              </w:rPr>
            </w:pPr>
            <w:r w:rsidRPr="00824F14">
              <w:rPr>
                <w:rFonts w:cs="Arial"/>
                <w:sz w:val="16"/>
                <w:szCs w:val="14"/>
              </w:rPr>
              <w:t>31.662.798.268</w:t>
            </w:r>
          </w:p>
        </w:tc>
        <w:tc>
          <w:tcPr>
            <w:tcW w:w="717" w:type="pct"/>
            <w:tcMar>
              <w:top w:w="30" w:type="dxa"/>
              <w:left w:w="45" w:type="dxa"/>
              <w:bottom w:w="30" w:type="dxa"/>
              <w:right w:w="45" w:type="dxa"/>
            </w:tcMar>
            <w:vAlign w:val="center"/>
            <w:hideMark/>
          </w:tcPr>
          <w:p w14:paraId="0A940212" w14:textId="77777777" w:rsidR="00320D09" w:rsidRPr="00824F14" w:rsidRDefault="00320D09" w:rsidP="00AA4BBB">
            <w:pPr>
              <w:jc w:val="center"/>
              <w:rPr>
                <w:rFonts w:cs="Arial"/>
                <w:sz w:val="16"/>
                <w:szCs w:val="14"/>
              </w:rPr>
            </w:pPr>
            <w:r w:rsidRPr="00824F14">
              <w:rPr>
                <w:rFonts w:cs="Arial"/>
                <w:sz w:val="16"/>
                <w:szCs w:val="14"/>
              </w:rPr>
              <w:t>28.091.631.691</w:t>
            </w:r>
          </w:p>
        </w:tc>
        <w:tc>
          <w:tcPr>
            <w:tcW w:w="676" w:type="pct"/>
            <w:tcMar>
              <w:top w:w="30" w:type="dxa"/>
              <w:left w:w="45" w:type="dxa"/>
              <w:bottom w:w="30" w:type="dxa"/>
              <w:right w:w="45" w:type="dxa"/>
            </w:tcMar>
            <w:vAlign w:val="center"/>
            <w:hideMark/>
          </w:tcPr>
          <w:p w14:paraId="6B2021BC" w14:textId="77777777" w:rsidR="00320D09" w:rsidRPr="00824F14" w:rsidRDefault="00320D09" w:rsidP="00AA4BBB">
            <w:pPr>
              <w:jc w:val="center"/>
              <w:rPr>
                <w:rFonts w:cs="Arial"/>
                <w:sz w:val="16"/>
                <w:szCs w:val="14"/>
              </w:rPr>
            </w:pPr>
            <w:r w:rsidRPr="00824F14">
              <w:rPr>
                <w:rFonts w:cs="Arial"/>
                <w:sz w:val="16"/>
                <w:szCs w:val="14"/>
              </w:rPr>
              <w:t>27.794.738.683</w:t>
            </w:r>
          </w:p>
        </w:tc>
        <w:tc>
          <w:tcPr>
            <w:tcW w:w="700" w:type="pct"/>
            <w:tcMar>
              <w:top w:w="30" w:type="dxa"/>
              <w:left w:w="45" w:type="dxa"/>
              <w:bottom w:w="30" w:type="dxa"/>
              <w:right w:w="45" w:type="dxa"/>
            </w:tcMar>
            <w:vAlign w:val="center"/>
            <w:hideMark/>
          </w:tcPr>
          <w:p w14:paraId="4ABB2826" w14:textId="77777777" w:rsidR="00320D09" w:rsidRPr="00824F14" w:rsidRDefault="00320D09" w:rsidP="00AA4BBB">
            <w:pPr>
              <w:jc w:val="center"/>
              <w:rPr>
                <w:rFonts w:cs="Arial"/>
                <w:sz w:val="16"/>
                <w:szCs w:val="14"/>
              </w:rPr>
            </w:pPr>
            <w:r w:rsidRPr="00824F14">
              <w:rPr>
                <w:rFonts w:cs="Arial"/>
                <w:sz w:val="16"/>
                <w:szCs w:val="14"/>
              </w:rPr>
              <w:t>27.904.417.571</w:t>
            </w:r>
          </w:p>
        </w:tc>
        <w:tc>
          <w:tcPr>
            <w:tcW w:w="712" w:type="pct"/>
            <w:vMerge/>
            <w:vAlign w:val="center"/>
            <w:hideMark/>
          </w:tcPr>
          <w:p w14:paraId="09002794" w14:textId="77777777" w:rsidR="00320D09" w:rsidRPr="00E019C6" w:rsidRDefault="00320D09" w:rsidP="00AA4BBB">
            <w:pPr>
              <w:rPr>
                <w:rFonts w:cs="Arial"/>
                <w:b/>
                <w:bCs/>
                <w:sz w:val="16"/>
                <w:szCs w:val="16"/>
              </w:rPr>
            </w:pPr>
          </w:p>
        </w:tc>
      </w:tr>
      <w:tr w:rsidR="00E019C6" w:rsidRPr="00C666B0" w14:paraId="581C1C5B" w14:textId="77777777" w:rsidTr="00111E3C">
        <w:tc>
          <w:tcPr>
            <w:tcW w:w="1486" w:type="pct"/>
            <w:vMerge w:val="restart"/>
            <w:tcMar>
              <w:top w:w="30" w:type="dxa"/>
              <w:left w:w="45" w:type="dxa"/>
              <w:bottom w:w="30" w:type="dxa"/>
              <w:right w:w="45" w:type="dxa"/>
            </w:tcMar>
            <w:vAlign w:val="center"/>
            <w:hideMark/>
          </w:tcPr>
          <w:p w14:paraId="6BA9D157" w14:textId="77777777" w:rsidR="00320D09" w:rsidRPr="00E019C6" w:rsidRDefault="00320D09" w:rsidP="00AA4BBB">
            <w:pPr>
              <w:rPr>
                <w:rFonts w:cs="Arial"/>
                <w:sz w:val="18"/>
                <w:szCs w:val="18"/>
              </w:rPr>
            </w:pPr>
            <w:r w:rsidRPr="00E019C6">
              <w:rPr>
                <w:rFonts w:cs="Arial"/>
                <w:sz w:val="18"/>
                <w:szCs w:val="18"/>
              </w:rPr>
              <w:t xml:space="preserve">Beneficiar a 447560 estudiantes de colegios oficiales con estrategias de ampliación de tiempo escolar </w:t>
            </w:r>
          </w:p>
        </w:tc>
        <w:tc>
          <w:tcPr>
            <w:tcW w:w="709" w:type="pct"/>
            <w:tcMar>
              <w:top w:w="30" w:type="dxa"/>
              <w:left w:w="45" w:type="dxa"/>
              <w:bottom w:w="30" w:type="dxa"/>
              <w:right w:w="45" w:type="dxa"/>
            </w:tcMar>
            <w:vAlign w:val="center"/>
            <w:hideMark/>
          </w:tcPr>
          <w:p w14:paraId="6CD0DBC2" w14:textId="77777777" w:rsidR="00320D09" w:rsidRPr="00824F14" w:rsidRDefault="00320D09" w:rsidP="00AA4BBB">
            <w:pPr>
              <w:jc w:val="center"/>
              <w:rPr>
                <w:rFonts w:cs="Arial"/>
                <w:sz w:val="16"/>
                <w:szCs w:val="14"/>
              </w:rPr>
            </w:pPr>
            <w:r w:rsidRPr="00824F14">
              <w:rPr>
                <w:rFonts w:cs="Arial"/>
                <w:sz w:val="16"/>
                <w:szCs w:val="14"/>
              </w:rPr>
              <w:t>404.852</w:t>
            </w:r>
          </w:p>
        </w:tc>
        <w:tc>
          <w:tcPr>
            <w:tcW w:w="717" w:type="pct"/>
            <w:tcMar>
              <w:top w:w="30" w:type="dxa"/>
              <w:left w:w="45" w:type="dxa"/>
              <w:bottom w:w="30" w:type="dxa"/>
              <w:right w:w="45" w:type="dxa"/>
            </w:tcMar>
            <w:vAlign w:val="center"/>
            <w:hideMark/>
          </w:tcPr>
          <w:p w14:paraId="238B83B6" w14:textId="77777777" w:rsidR="00320D09" w:rsidRPr="00824F14" w:rsidRDefault="00320D09" w:rsidP="00AA4BBB">
            <w:pPr>
              <w:jc w:val="center"/>
              <w:rPr>
                <w:rFonts w:cs="Arial"/>
                <w:sz w:val="16"/>
                <w:szCs w:val="14"/>
              </w:rPr>
            </w:pPr>
            <w:r w:rsidRPr="00824F14">
              <w:rPr>
                <w:rFonts w:cs="Arial"/>
                <w:sz w:val="16"/>
                <w:szCs w:val="14"/>
              </w:rPr>
              <w:t>417.752</w:t>
            </w:r>
          </w:p>
        </w:tc>
        <w:tc>
          <w:tcPr>
            <w:tcW w:w="676" w:type="pct"/>
            <w:tcMar>
              <w:top w:w="30" w:type="dxa"/>
              <w:left w:w="45" w:type="dxa"/>
              <w:bottom w:w="30" w:type="dxa"/>
              <w:right w:w="45" w:type="dxa"/>
            </w:tcMar>
            <w:vAlign w:val="center"/>
            <w:hideMark/>
          </w:tcPr>
          <w:p w14:paraId="3A4895B0" w14:textId="77777777" w:rsidR="00320D09" w:rsidRPr="00824F14" w:rsidRDefault="00320D09" w:rsidP="00AA4BBB">
            <w:pPr>
              <w:jc w:val="center"/>
              <w:rPr>
                <w:rFonts w:cs="Arial"/>
                <w:sz w:val="16"/>
                <w:szCs w:val="14"/>
              </w:rPr>
            </w:pPr>
            <w:r w:rsidRPr="00824F14">
              <w:rPr>
                <w:rFonts w:cs="Arial"/>
                <w:sz w:val="16"/>
                <w:szCs w:val="14"/>
              </w:rPr>
              <w:t>433.332</w:t>
            </w:r>
          </w:p>
        </w:tc>
        <w:tc>
          <w:tcPr>
            <w:tcW w:w="700" w:type="pct"/>
            <w:tcMar>
              <w:top w:w="30" w:type="dxa"/>
              <w:left w:w="45" w:type="dxa"/>
              <w:bottom w:w="30" w:type="dxa"/>
              <w:right w:w="45" w:type="dxa"/>
            </w:tcMar>
            <w:vAlign w:val="center"/>
            <w:hideMark/>
          </w:tcPr>
          <w:p w14:paraId="0DA3601A" w14:textId="77777777" w:rsidR="00320D09" w:rsidRPr="00824F14" w:rsidRDefault="00320D09" w:rsidP="00AA4BBB">
            <w:pPr>
              <w:jc w:val="center"/>
              <w:rPr>
                <w:rFonts w:cs="Arial"/>
                <w:sz w:val="16"/>
                <w:szCs w:val="14"/>
              </w:rPr>
            </w:pPr>
            <w:r w:rsidRPr="00824F14">
              <w:rPr>
                <w:rFonts w:cs="Arial"/>
                <w:sz w:val="16"/>
                <w:szCs w:val="14"/>
              </w:rPr>
              <w:t>447.560</w:t>
            </w:r>
          </w:p>
        </w:tc>
        <w:tc>
          <w:tcPr>
            <w:tcW w:w="712" w:type="pct"/>
            <w:vMerge w:val="restart"/>
            <w:tcMar>
              <w:top w:w="30" w:type="dxa"/>
              <w:left w:w="45" w:type="dxa"/>
              <w:bottom w:w="30" w:type="dxa"/>
              <w:right w:w="45" w:type="dxa"/>
            </w:tcMar>
            <w:vAlign w:val="center"/>
            <w:hideMark/>
          </w:tcPr>
          <w:p w14:paraId="4FAA6CC8" w14:textId="77777777" w:rsidR="00320D09" w:rsidRPr="00E019C6" w:rsidRDefault="00320D09" w:rsidP="00AA4BBB">
            <w:pPr>
              <w:jc w:val="center"/>
              <w:rPr>
                <w:rFonts w:cs="Arial"/>
                <w:b/>
                <w:bCs/>
                <w:sz w:val="16"/>
                <w:szCs w:val="16"/>
              </w:rPr>
            </w:pPr>
            <w:r w:rsidRPr="00E019C6">
              <w:rPr>
                <w:rFonts w:cs="Arial"/>
                <w:b/>
                <w:bCs/>
                <w:sz w:val="16"/>
                <w:szCs w:val="16"/>
              </w:rPr>
              <w:t>220.134.243.169</w:t>
            </w:r>
          </w:p>
        </w:tc>
      </w:tr>
      <w:tr w:rsidR="00E019C6" w:rsidRPr="00C666B0" w14:paraId="118A85C0" w14:textId="77777777" w:rsidTr="00111E3C">
        <w:tc>
          <w:tcPr>
            <w:tcW w:w="1486" w:type="pct"/>
            <w:vMerge/>
            <w:vAlign w:val="center"/>
            <w:hideMark/>
          </w:tcPr>
          <w:p w14:paraId="4978B7E2"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3733375D" w14:textId="77777777" w:rsidR="00320D09" w:rsidRPr="00824F14" w:rsidRDefault="00320D09" w:rsidP="00AA4BBB">
            <w:pPr>
              <w:jc w:val="center"/>
              <w:rPr>
                <w:rFonts w:cs="Arial"/>
                <w:sz w:val="16"/>
                <w:szCs w:val="14"/>
              </w:rPr>
            </w:pPr>
            <w:r w:rsidRPr="00824F14">
              <w:rPr>
                <w:rFonts w:cs="Arial"/>
                <w:sz w:val="16"/>
                <w:szCs w:val="14"/>
              </w:rPr>
              <w:t>35.874.008.235</w:t>
            </w:r>
          </w:p>
        </w:tc>
        <w:tc>
          <w:tcPr>
            <w:tcW w:w="717" w:type="pct"/>
            <w:tcMar>
              <w:top w:w="30" w:type="dxa"/>
              <w:left w:w="45" w:type="dxa"/>
              <w:bottom w:w="30" w:type="dxa"/>
              <w:right w:w="45" w:type="dxa"/>
            </w:tcMar>
            <w:vAlign w:val="center"/>
            <w:hideMark/>
          </w:tcPr>
          <w:p w14:paraId="42DFB198" w14:textId="77777777" w:rsidR="00320D09" w:rsidRPr="00824F14" w:rsidRDefault="00320D09" w:rsidP="00AA4BBB">
            <w:pPr>
              <w:jc w:val="center"/>
              <w:rPr>
                <w:rFonts w:cs="Arial"/>
                <w:sz w:val="16"/>
                <w:szCs w:val="14"/>
              </w:rPr>
            </w:pPr>
            <w:r w:rsidRPr="00824F14">
              <w:rPr>
                <w:rFonts w:cs="Arial"/>
                <w:sz w:val="16"/>
                <w:szCs w:val="14"/>
              </w:rPr>
              <w:t>55.090.608.620</w:t>
            </w:r>
          </w:p>
        </w:tc>
        <w:tc>
          <w:tcPr>
            <w:tcW w:w="676" w:type="pct"/>
            <w:tcMar>
              <w:top w:w="30" w:type="dxa"/>
              <w:left w:w="45" w:type="dxa"/>
              <w:bottom w:w="30" w:type="dxa"/>
              <w:right w:w="45" w:type="dxa"/>
            </w:tcMar>
            <w:vAlign w:val="center"/>
            <w:hideMark/>
          </w:tcPr>
          <w:p w14:paraId="1AACE0A6" w14:textId="77777777" w:rsidR="00320D09" w:rsidRPr="00824F14" w:rsidRDefault="00320D09" w:rsidP="00AA4BBB">
            <w:pPr>
              <w:jc w:val="center"/>
              <w:rPr>
                <w:rFonts w:cs="Arial"/>
                <w:sz w:val="16"/>
                <w:szCs w:val="14"/>
              </w:rPr>
            </w:pPr>
            <w:r w:rsidRPr="00824F14">
              <w:rPr>
                <w:rFonts w:cs="Arial"/>
                <w:sz w:val="16"/>
                <w:szCs w:val="14"/>
              </w:rPr>
              <w:t>61.420.878.541</w:t>
            </w:r>
          </w:p>
        </w:tc>
        <w:tc>
          <w:tcPr>
            <w:tcW w:w="700" w:type="pct"/>
            <w:tcMar>
              <w:top w:w="30" w:type="dxa"/>
              <w:left w:w="45" w:type="dxa"/>
              <w:bottom w:w="30" w:type="dxa"/>
              <w:right w:w="45" w:type="dxa"/>
            </w:tcMar>
            <w:vAlign w:val="center"/>
            <w:hideMark/>
          </w:tcPr>
          <w:p w14:paraId="7532FE44" w14:textId="77777777" w:rsidR="00320D09" w:rsidRPr="00824F14" w:rsidRDefault="00320D09" w:rsidP="00AA4BBB">
            <w:pPr>
              <w:jc w:val="center"/>
              <w:rPr>
                <w:rFonts w:cs="Arial"/>
                <w:sz w:val="16"/>
                <w:szCs w:val="14"/>
              </w:rPr>
            </w:pPr>
            <w:r w:rsidRPr="00824F14">
              <w:rPr>
                <w:rFonts w:cs="Arial"/>
                <w:sz w:val="16"/>
                <w:szCs w:val="14"/>
              </w:rPr>
              <w:t>67.748.747.773</w:t>
            </w:r>
          </w:p>
        </w:tc>
        <w:tc>
          <w:tcPr>
            <w:tcW w:w="712" w:type="pct"/>
            <w:vMerge/>
            <w:vAlign w:val="center"/>
            <w:hideMark/>
          </w:tcPr>
          <w:p w14:paraId="40517F39" w14:textId="77777777" w:rsidR="00320D09" w:rsidRPr="00E019C6" w:rsidRDefault="00320D09" w:rsidP="00AA4BBB">
            <w:pPr>
              <w:rPr>
                <w:rFonts w:cs="Arial"/>
                <w:b/>
                <w:bCs/>
                <w:sz w:val="16"/>
                <w:szCs w:val="16"/>
              </w:rPr>
            </w:pPr>
          </w:p>
        </w:tc>
      </w:tr>
      <w:tr w:rsidR="00E019C6" w:rsidRPr="00C666B0" w14:paraId="32A949BD" w14:textId="77777777" w:rsidTr="00111E3C">
        <w:tc>
          <w:tcPr>
            <w:tcW w:w="1486" w:type="pct"/>
            <w:vMerge w:val="restart"/>
            <w:tcMar>
              <w:top w:w="30" w:type="dxa"/>
              <w:left w:w="45" w:type="dxa"/>
              <w:bottom w:w="30" w:type="dxa"/>
              <w:right w:w="45" w:type="dxa"/>
            </w:tcMar>
            <w:vAlign w:val="center"/>
            <w:hideMark/>
          </w:tcPr>
          <w:p w14:paraId="0A39DAA3" w14:textId="77777777" w:rsidR="00320D09" w:rsidRPr="00E019C6" w:rsidRDefault="00320D09" w:rsidP="00AA4BBB">
            <w:pPr>
              <w:rPr>
                <w:rFonts w:cs="Arial"/>
                <w:sz w:val="18"/>
                <w:szCs w:val="18"/>
              </w:rPr>
            </w:pPr>
            <w:r w:rsidRPr="00E019C6">
              <w:rPr>
                <w:rFonts w:cs="Arial"/>
                <w:sz w:val="18"/>
                <w:szCs w:val="18"/>
              </w:rPr>
              <w:t>Diseñar e implementar un sistema de aseguramiento de la calidad para la atención a la primera infancia de los prestadores públicos y privados en el marco de la atención integral</w:t>
            </w:r>
          </w:p>
        </w:tc>
        <w:tc>
          <w:tcPr>
            <w:tcW w:w="709" w:type="pct"/>
            <w:tcMar>
              <w:top w:w="30" w:type="dxa"/>
              <w:left w:w="45" w:type="dxa"/>
              <w:bottom w:w="30" w:type="dxa"/>
              <w:right w:w="45" w:type="dxa"/>
            </w:tcMar>
            <w:vAlign w:val="center"/>
            <w:hideMark/>
          </w:tcPr>
          <w:p w14:paraId="6885686B" w14:textId="77777777" w:rsidR="00320D09" w:rsidRPr="00824F14" w:rsidRDefault="00320D09" w:rsidP="00AA4BBB">
            <w:pPr>
              <w:jc w:val="center"/>
              <w:rPr>
                <w:rFonts w:cs="Arial"/>
                <w:sz w:val="16"/>
                <w:szCs w:val="14"/>
              </w:rPr>
            </w:pPr>
            <w:r w:rsidRPr="00824F14">
              <w:rPr>
                <w:rFonts w:cs="Arial"/>
                <w:sz w:val="16"/>
                <w:szCs w:val="14"/>
              </w:rPr>
              <w:t>0,15</w:t>
            </w:r>
          </w:p>
        </w:tc>
        <w:tc>
          <w:tcPr>
            <w:tcW w:w="717" w:type="pct"/>
            <w:tcMar>
              <w:top w:w="30" w:type="dxa"/>
              <w:left w:w="45" w:type="dxa"/>
              <w:bottom w:w="30" w:type="dxa"/>
              <w:right w:w="45" w:type="dxa"/>
            </w:tcMar>
            <w:vAlign w:val="center"/>
            <w:hideMark/>
          </w:tcPr>
          <w:p w14:paraId="6103BC77" w14:textId="77777777" w:rsidR="00320D09" w:rsidRPr="00824F14" w:rsidRDefault="00320D09" w:rsidP="00AA4BBB">
            <w:pPr>
              <w:jc w:val="center"/>
              <w:rPr>
                <w:rFonts w:cs="Arial"/>
                <w:sz w:val="16"/>
                <w:szCs w:val="14"/>
              </w:rPr>
            </w:pPr>
            <w:r w:rsidRPr="00824F14">
              <w:rPr>
                <w:rFonts w:cs="Arial"/>
                <w:sz w:val="16"/>
                <w:szCs w:val="14"/>
              </w:rPr>
              <w:t>0,80</w:t>
            </w:r>
          </w:p>
        </w:tc>
        <w:tc>
          <w:tcPr>
            <w:tcW w:w="676" w:type="pct"/>
            <w:tcMar>
              <w:top w:w="30" w:type="dxa"/>
              <w:left w:w="45" w:type="dxa"/>
              <w:bottom w:w="30" w:type="dxa"/>
              <w:right w:w="45" w:type="dxa"/>
            </w:tcMar>
            <w:vAlign w:val="center"/>
            <w:hideMark/>
          </w:tcPr>
          <w:p w14:paraId="67621B23" w14:textId="77777777" w:rsidR="00320D09" w:rsidRPr="00824F14" w:rsidRDefault="00320D09" w:rsidP="00AA4BBB">
            <w:pPr>
              <w:jc w:val="center"/>
              <w:rPr>
                <w:rFonts w:cs="Arial"/>
                <w:sz w:val="16"/>
                <w:szCs w:val="14"/>
              </w:rPr>
            </w:pPr>
            <w:r w:rsidRPr="00824F14">
              <w:rPr>
                <w:rFonts w:cs="Arial"/>
                <w:sz w:val="16"/>
                <w:szCs w:val="14"/>
              </w:rPr>
              <w:t>1,00</w:t>
            </w:r>
          </w:p>
        </w:tc>
        <w:tc>
          <w:tcPr>
            <w:tcW w:w="700" w:type="pct"/>
            <w:tcMar>
              <w:top w:w="30" w:type="dxa"/>
              <w:left w:w="45" w:type="dxa"/>
              <w:bottom w:w="30" w:type="dxa"/>
              <w:right w:w="45" w:type="dxa"/>
            </w:tcMar>
            <w:vAlign w:val="center"/>
            <w:hideMark/>
          </w:tcPr>
          <w:p w14:paraId="39B7FBDC" w14:textId="77777777" w:rsidR="00320D09" w:rsidRPr="00824F14" w:rsidRDefault="00320D09" w:rsidP="00AA4BBB">
            <w:pPr>
              <w:jc w:val="center"/>
              <w:rPr>
                <w:rFonts w:cs="Arial"/>
                <w:sz w:val="16"/>
                <w:szCs w:val="14"/>
              </w:rPr>
            </w:pPr>
            <w:r w:rsidRPr="00824F14">
              <w:rPr>
                <w:rFonts w:cs="Arial"/>
                <w:sz w:val="16"/>
                <w:szCs w:val="14"/>
              </w:rPr>
              <w:t>0,00</w:t>
            </w:r>
          </w:p>
        </w:tc>
        <w:tc>
          <w:tcPr>
            <w:tcW w:w="712" w:type="pct"/>
            <w:vMerge w:val="restart"/>
            <w:tcMar>
              <w:top w:w="30" w:type="dxa"/>
              <w:left w:w="45" w:type="dxa"/>
              <w:bottom w:w="30" w:type="dxa"/>
              <w:right w:w="45" w:type="dxa"/>
            </w:tcMar>
            <w:vAlign w:val="center"/>
            <w:hideMark/>
          </w:tcPr>
          <w:p w14:paraId="62460135" w14:textId="77777777" w:rsidR="00320D09" w:rsidRPr="00E019C6" w:rsidRDefault="00320D09" w:rsidP="00AA4BBB">
            <w:pPr>
              <w:jc w:val="center"/>
              <w:rPr>
                <w:rFonts w:cs="Arial"/>
                <w:b/>
                <w:bCs/>
                <w:sz w:val="16"/>
                <w:szCs w:val="16"/>
              </w:rPr>
            </w:pPr>
            <w:r w:rsidRPr="00E019C6">
              <w:rPr>
                <w:rFonts w:cs="Arial"/>
                <w:b/>
                <w:bCs/>
                <w:sz w:val="16"/>
                <w:szCs w:val="16"/>
              </w:rPr>
              <w:t>31.175.557.178</w:t>
            </w:r>
          </w:p>
        </w:tc>
      </w:tr>
      <w:tr w:rsidR="00E019C6" w:rsidRPr="00C666B0" w14:paraId="3FB109B8" w14:textId="77777777" w:rsidTr="00111E3C">
        <w:tc>
          <w:tcPr>
            <w:tcW w:w="1486" w:type="pct"/>
            <w:vMerge/>
            <w:vAlign w:val="center"/>
            <w:hideMark/>
          </w:tcPr>
          <w:p w14:paraId="237E9853"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4AA678A0" w14:textId="77777777" w:rsidR="00320D09" w:rsidRPr="00824F14" w:rsidRDefault="00320D09" w:rsidP="00AA4BBB">
            <w:pPr>
              <w:jc w:val="center"/>
              <w:rPr>
                <w:rFonts w:cs="Arial"/>
                <w:sz w:val="16"/>
                <w:szCs w:val="14"/>
              </w:rPr>
            </w:pPr>
            <w:r w:rsidRPr="00824F14">
              <w:rPr>
                <w:rFonts w:cs="Arial"/>
                <w:sz w:val="16"/>
                <w:szCs w:val="14"/>
              </w:rPr>
              <w:t>0</w:t>
            </w:r>
          </w:p>
        </w:tc>
        <w:tc>
          <w:tcPr>
            <w:tcW w:w="717" w:type="pct"/>
            <w:tcMar>
              <w:top w:w="30" w:type="dxa"/>
              <w:left w:w="45" w:type="dxa"/>
              <w:bottom w:w="30" w:type="dxa"/>
              <w:right w:w="45" w:type="dxa"/>
            </w:tcMar>
            <w:vAlign w:val="center"/>
            <w:hideMark/>
          </w:tcPr>
          <w:p w14:paraId="6F6E6F1C" w14:textId="77777777" w:rsidR="00320D09" w:rsidRPr="00824F14" w:rsidRDefault="00320D09" w:rsidP="00AA4BBB">
            <w:pPr>
              <w:jc w:val="center"/>
              <w:rPr>
                <w:rFonts w:cs="Arial"/>
                <w:sz w:val="16"/>
                <w:szCs w:val="14"/>
              </w:rPr>
            </w:pPr>
            <w:r w:rsidRPr="00824F14">
              <w:rPr>
                <w:rFonts w:cs="Arial"/>
                <w:sz w:val="16"/>
                <w:szCs w:val="14"/>
              </w:rPr>
              <w:t>10.617.149.915</w:t>
            </w:r>
          </w:p>
        </w:tc>
        <w:tc>
          <w:tcPr>
            <w:tcW w:w="676" w:type="pct"/>
            <w:tcMar>
              <w:top w:w="30" w:type="dxa"/>
              <w:left w:w="45" w:type="dxa"/>
              <w:bottom w:w="30" w:type="dxa"/>
              <w:right w:w="45" w:type="dxa"/>
            </w:tcMar>
            <w:vAlign w:val="center"/>
            <w:hideMark/>
          </w:tcPr>
          <w:p w14:paraId="7AA96EF8" w14:textId="77777777" w:rsidR="00320D09" w:rsidRPr="00824F14" w:rsidRDefault="00320D09" w:rsidP="00AA4BBB">
            <w:pPr>
              <w:jc w:val="center"/>
              <w:rPr>
                <w:rFonts w:cs="Arial"/>
                <w:sz w:val="16"/>
                <w:szCs w:val="14"/>
              </w:rPr>
            </w:pPr>
            <w:r w:rsidRPr="00824F14">
              <w:rPr>
                <w:rFonts w:cs="Arial"/>
                <w:sz w:val="16"/>
                <w:szCs w:val="14"/>
              </w:rPr>
              <w:t>9.875.762.736</w:t>
            </w:r>
          </w:p>
        </w:tc>
        <w:tc>
          <w:tcPr>
            <w:tcW w:w="700" w:type="pct"/>
            <w:tcMar>
              <w:top w:w="30" w:type="dxa"/>
              <w:left w:w="45" w:type="dxa"/>
              <w:bottom w:w="30" w:type="dxa"/>
              <w:right w:w="45" w:type="dxa"/>
            </w:tcMar>
            <w:vAlign w:val="center"/>
            <w:hideMark/>
          </w:tcPr>
          <w:p w14:paraId="51130C37" w14:textId="77777777" w:rsidR="00320D09" w:rsidRPr="00824F14" w:rsidRDefault="00320D09" w:rsidP="00AA4BBB">
            <w:pPr>
              <w:jc w:val="center"/>
              <w:rPr>
                <w:rFonts w:cs="Arial"/>
                <w:sz w:val="16"/>
                <w:szCs w:val="14"/>
              </w:rPr>
            </w:pPr>
            <w:r w:rsidRPr="00824F14">
              <w:rPr>
                <w:rFonts w:cs="Arial"/>
                <w:sz w:val="16"/>
                <w:szCs w:val="14"/>
              </w:rPr>
              <w:t>10.682.644.527</w:t>
            </w:r>
          </w:p>
        </w:tc>
        <w:tc>
          <w:tcPr>
            <w:tcW w:w="712" w:type="pct"/>
            <w:vMerge/>
            <w:vAlign w:val="center"/>
            <w:hideMark/>
          </w:tcPr>
          <w:p w14:paraId="62C87804" w14:textId="77777777" w:rsidR="00320D09" w:rsidRPr="00E019C6" w:rsidRDefault="00320D09" w:rsidP="00AA4BBB">
            <w:pPr>
              <w:rPr>
                <w:rFonts w:cs="Arial"/>
                <w:b/>
                <w:bCs/>
                <w:sz w:val="16"/>
                <w:szCs w:val="16"/>
              </w:rPr>
            </w:pPr>
          </w:p>
        </w:tc>
      </w:tr>
      <w:tr w:rsidR="00E019C6" w:rsidRPr="00C666B0" w14:paraId="12B5E3F5" w14:textId="77777777" w:rsidTr="00111E3C">
        <w:tc>
          <w:tcPr>
            <w:tcW w:w="1486" w:type="pct"/>
            <w:vMerge w:val="restart"/>
            <w:tcMar>
              <w:top w:w="30" w:type="dxa"/>
              <w:left w:w="45" w:type="dxa"/>
              <w:bottom w:w="30" w:type="dxa"/>
              <w:right w:w="45" w:type="dxa"/>
            </w:tcMar>
            <w:vAlign w:val="center"/>
            <w:hideMark/>
          </w:tcPr>
          <w:p w14:paraId="05CEB0A3" w14:textId="77777777" w:rsidR="00320D09" w:rsidRPr="00E019C6" w:rsidRDefault="00320D09" w:rsidP="00AA4BBB">
            <w:pPr>
              <w:rPr>
                <w:rFonts w:cs="Arial"/>
                <w:sz w:val="18"/>
                <w:szCs w:val="18"/>
              </w:rPr>
            </w:pPr>
            <w:r w:rsidRPr="00E019C6">
              <w:rPr>
                <w:rFonts w:cs="Arial"/>
                <w:sz w:val="18"/>
                <w:szCs w:val="18"/>
              </w:rPr>
              <w:t>Disminuir 15 puntos porcentuales en la proporción de estudiantes que se encuentran en el nivel bajo del Índice de Clima Escolar</w:t>
            </w:r>
          </w:p>
        </w:tc>
        <w:tc>
          <w:tcPr>
            <w:tcW w:w="709" w:type="pct"/>
            <w:tcMar>
              <w:top w:w="30" w:type="dxa"/>
              <w:left w:w="45" w:type="dxa"/>
              <w:bottom w:w="30" w:type="dxa"/>
              <w:right w:w="45" w:type="dxa"/>
            </w:tcMar>
            <w:vAlign w:val="center"/>
            <w:hideMark/>
          </w:tcPr>
          <w:p w14:paraId="655B1A0E" w14:textId="77777777" w:rsidR="00320D09" w:rsidRPr="00824F14" w:rsidRDefault="00320D09" w:rsidP="00AA4BBB">
            <w:pPr>
              <w:jc w:val="center"/>
              <w:rPr>
                <w:rFonts w:cs="Arial"/>
                <w:sz w:val="16"/>
                <w:szCs w:val="14"/>
              </w:rPr>
            </w:pPr>
            <w:r w:rsidRPr="00824F14">
              <w:rPr>
                <w:rFonts w:cs="Arial"/>
                <w:sz w:val="16"/>
                <w:szCs w:val="14"/>
              </w:rPr>
              <w:t>23%</w:t>
            </w:r>
          </w:p>
        </w:tc>
        <w:tc>
          <w:tcPr>
            <w:tcW w:w="717" w:type="pct"/>
            <w:tcMar>
              <w:top w:w="30" w:type="dxa"/>
              <w:left w:w="45" w:type="dxa"/>
              <w:bottom w:w="30" w:type="dxa"/>
              <w:right w:w="45" w:type="dxa"/>
            </w:tcMar>
            <w:vAlign w:val="center"/>
            <w:hideMark/>
          </w:tcPr>
          <w:p w14:paraId="730377CE" w14:textId="77777777" w:rsidR="00320D09" w:rsidRPr="00824F14" w:rsidRDefault="00320D09" w:rsidP="00AA4BBB">
            <w:pPr>
              <w:jc w:val="center"/>
              <w:rPr>
                <w:rFonts w:cs="Arial"/>
                <w:sz w:val="16"/>
                <w:szCs w:val="14"/>
              </w:rPr>
            </w:pPr>
            <w:r w:rsidRPr="00824F14">
              <w:rPr>
                <w:rFonts w:cs="Arial"/>
                <w:sz w:val="16"/>
                <w:szCs w:val="14"/>
              </w:rPr>
              <w:t>18%</w:t>
            </w:r>
          </w:p>
        </w:tc>
        <w:tc>
          <w:tcPr>
            <w:tcW w:w="676" w:type="pct"/>
            <w:tcMar>
              <w:top w:w="30" w:type="dxa"/>
              <w:left w:w="45" w:type="dxa"/>
              <w:bottom w:w="30" w:type="dxa"/>
              <w:right w:w="45" w:type="dxa"/>
            </w:tcMar>
            <w:vAlign w:val="center"/>
            <w:hideMark/>
          </w:tcPr>
          <w:p w14:paraId="6718092D" w14:textId="77777777" w:rsidR="00320D09" w:rsidRPr="00824F14" w:rsidRDefault="00320D09" w:rsidP="00AA4BBB">
            <w:pPr>
              <w:jc w:val="center"/>
              <w:rPr>
                <w:rFonts w:cs="Arial"/>
                <w:sz w:val="16"/>
                <w:szCs w:val="14"/>
              </w:rPr>
            </w:pPr>
            <w:r w:rsidRPr="00824F14">
              <w:rPr>
                <w:rFonts w:cs="Arial"/>
                <w:sz w:val="16"/>
                <w:szCs w:val="14"/>
              </w:rPr>
              <w:t>18%</w:t>
            </w:r>
          </w:p>
        </w:tc>
        <w:tc>
          <w:tcPr>
            <w:tcW w:w="700" w:type="pct"/>
            <w:tcMar>
              <w:top w:w="30" w:type="dxa"/>
              <w:left w:w="45" w:type="dxa"/>
              <w:bottom w:w="30" w:type="dxa"/>
              <w:right w:w="45" w:type="dxa"/>
            </w:tcMar>
            <w:vAlign w:val="center"/>
            <w:hideMark/>
          </w:tcPr>
          <w:p w14:paraId="2025008E" w14:textId="77777777" w:rsidR="00320D09" w:rsidRPr="00824F14" w:rsidRDefault="00320D09" w:rsidP="00AA4BBB">
            <w:pPr>
              <w:jc w:val="center"/>
              <w:rPr>
                <w:rFonts w:cs="Arial"/>
                <w:sz w:val="16"/>
                <w:szCs w:val="14"/>
              </w:rPr>
            </w:pPr>
            <w:r w:rsidRPr="00824F14">
              <w:rPr>
                <w:rFonts w:cs="Arial"/>
                <w:sz w:val="16"/>
                <w:szCs w:val="14"/>
              </w:rPr>
              <w:t>8%</w:t>
            </w:r>
          </w:p>
        </w:tc>
        <w:tc>
          <w:tcPr>
            <w:tcW w:w="712" w:type="pct"/>
            <w:vMerge w:val="restart"/>
            <w:tcMar>
              <w:top w:w="30" w:type="dxa"/>
              <w:left w:w="45" w:type="dxa"/>
              <w:bottom w:w="30" w:type="dxa"/>
              <w:right w:w="45" w:type="dxa"/>
            </w:tcMar>
            <w:vAlign w:val="center"/>
            <w:hideMark/>
          </w:tcPr>
          <w:p w14:paraId="46930F11" w14:textId="77777777" w:rsidR="00320D09" w:rsidRPr="00E019C6" w:rsidRDefault="00320D09" w:rsidP="00AA4BBB">
            <w:pPr>
              <w:jc w:val="center"/>
              <w:rPr>
                <w:rFonts w:cs="Arial"/>
                <w:b/>
                <w:bCs/>
                <w:sz w:val="16"/>
                <w:szCs w:val="16"/>
              </w:rPr>
            </w:pPr>
            <w:r w:rsidRPr="00E019C6">
              <w:rPr>
                <w:rFonts w:cs="Arial"/>
                <w:b/>
                <w:bCs/>
                <w:sz w:val="16"/>
                <w:szCs w:val="16"/>
              </w:rPr>
              <w:t>190.134.040.297</w:t>
            </w:r>
          </w:p>
        </w:tc>
      </w:tr>
      <w:tr w:rsidR="00E019C6" w:rsidRPr="00C666B0" w14:paraId="75C3D581" w14:textId="77777777" w:rsidTr="00111E3C">
        <w:tc>
          <w:tcPr>
            <w:tcW w:w="1486" w:type="pct"/>
            <w:vMerge/>
            <w:vAlign w:val="center"/>
            <w:hideMark/>
          </w:tcPr>
          <w:p w14:paraId="66F6ED3E"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29F8490E" w14:textId="77777777" w:rsidR="00320D09" w:rsidRPr="00824F14" w:rsidRDefault="00320D09" w:rsidP="00AA4BBB">
            <w:pPr>
              <w:jc w:val="center"/>
              <w:rPr>
                <w:rFonts w:cs="Arial"/>
                <w:sz w:val="16"/>
                <w:szCs w:val="14"/>
              </w:rPr>
            </w:pPr>
            <w:r w:rsidRPr="00824F14">
              <w:rPr>
                <w:rFonts w:cs="Arial"/>
                <w:sz w:val="16"/>
                <w:szCs w:val="14"/>
              </w:rPr>
              <w:t>30.807.590.810</w:t>
            </w:r>
          </w:p>
        </w:tc>
        <w:tc>
          <w:tcPr>
            <w:tcW w:w="717" w:type="pct"/>
            <w:tcMar>
              <w:top w:w="30" w:type="dxa"/>
              <w:left w:w="45" w:type="dxa"/>
              <w:bottom w:w="30" w:type="dxa"/>
              <w:right w:w="45" w:type="dxa"/>
            </w:tcMar>
            <w:vAlign w:val="center"/>
            <w:hideMark/>
          </w:tcPr>
          <w:p w14:paraId="35175648" w14:textId="77777777" w:rsidR="00320D09" w:rsidRPr="00824F14" w:rsidRDefault="00320D09" w:rsidP="00AA4BBB">
            <w:pPr>
              <w:jc w:val="center"/>
              <w:rPr>
                <w:rFonts w:cs="Arial"/>
                <w:sz w:val="16"/>
                <w:szCs w:val="14"/>
              </w:rPr>
            </w:pPr>
            <w:r w:rsidRPr="00824F14">
              <w:rPr>
                <w:rFonts w:cs="Arial"/>
                <w:sz w:val="16"/>
                <w:szCs w:val="14"/>
              </w:rPr>
              <w:t>52.695.493.870</w:t>
            </w:r>
          </w:p>
        </w:tc>
        <w:tc>
          <w:tcPr>
            <w:tcW w:w="676" w:type="pct"/>
            <w:tcMar>
              <w:top w:w="30" w:type="dxa"/>
              <w:left w:w="45" w:type="dxa"/>
              <w:bottom w:w="30" w:type="dxa"/>
              <w:right w:w="45" w:type="dxa"/>
            </w:tcMar>
            <w:vAlign w:val="center"/>
            <w:hideMark/>
          </w:tcPr>
          <w:p w14:paraId="5B55EAD6" w14:textId="77777777" w:rsidR="00320D09" w:rsidRPr="00824F14" w:rsidRDefault="00320D09" w:rsidP="00AA4BBB">
            <w:pPr>
              <w:jc w:val="center"/>
              <w:rPr>
                <w:rFonts w:cs="Arial"/>
                <w:sz w:val="16"/>
                <w:szCs w:val="14"/>
              </w:rPr>
            </w:pPr>
            <w:r w:rsidRPr="00824F14">
              <w:rPr>
                <w:rFonts w:cs="Arial"/>
                <w:sz w:val="16"/>
                <w:szCs w:val="14"/>
              </w:rPr>
              <w:t>52.671.641.113</w:t>
            </w:r>
          </w:p>
        </w:tc>
        <w:tc>
          <w:tcPr>
            <w:tcW w:w="700" w:type="pct"/>
            <w:tcMar>
              <w:top w:w="30" w:type="dxa"/>
              <w:left w:w="45" w:type="dxa"/>
              <w:bottom w:w="30" w:type="dxa"/>
              <w:right w:w="45" w:type="dxa"/>
            </w:tcMar>
            <w:vAlign w:val="center"/>
            <w:hideMark/>
          </w:tcPr>
          <w:p w14:paraId="0A1EF60D" w14:textId="77777777" w:rsidR="00320D09" w:rsidRPr="00824F14" w:rsidRDefault="00320D09" w:rsidP="00AA4BBB">
            <w:pPr>
              <w:jc w:val="center"/>
              <w:rPr>
                <w:rFonts w:cs="Arial"/>
                <w:sz w:val="16"/>
                <w:szCs w:val="14"/>
              </w:rPr>
            </w:pPr>
            <w:r w:rsidRPr="00824F14">
              <w:rPr>
                <w:rFonts w:cs="Arial"/>
                <w:sz w:val="16"/>
                <w:szCs w:val="14"/>
              </w:rPr>
              <w:t>53.959.314.504</w:t>
            </w:r>
          </w:p>
        </w:tc>
        <w:tc>
          <w:tcPr>
            <w:tcW w:w="712" w:type="pct"/>
            <w:vMerge/>
            <w:vAlign w:val="center"/>
            <w:hideMark/>
          </w:tcPr>
          <w:p w14:paraId="60D2102F" w14:textId="77777777" w:rsidR="00320D09" w:rsidRPr="00E019C6" w:rsidRDefault="00320D09" w:rsidP="00AA4BBB">
            <w:pPr>
              <w:rPr>
                <w:rFonts w:cs="Arial"/>
                <w:b/>
                <w:bCs/>
                <w:sz w:val="16"/>
                <w:szCs w:val="16"/>
              </w:rPr>
            </w:pPr>
          </w:p>
        </w:tc>
      </w:tr>
      <w:tr w:rsidR="00E019C6" w:rsidRPr="00C666B0" w14:paraId="317C2A94" w14:textId="77777777" w:rsidTr="00111E3C">
        <w:tc>
          <w:tcPr>
            <w:tcW w:w="1486" w:type="pct"/>
            <w:vMerge w:val="restart"/>
            <w:tcMar>
              <w:top w:w="30" w:type="dxa"/>
              <w:left w:w="45" w:type="dxa"/>
              <w:bottom w:w="30" w:type="dxa"/>
              <w:right w:w="45" w:type="dxa"/>
            </w:tcMar>
            <w:vAlign w:val="center"/>
            <w:hideMark/>
          </w:tcPr>
          <w:p w14:paraId="74E2AE6C" w14:textId="77777777" w:rsidR="00320D09" w:rsidRPr="00E019C6" w:rsidRDefault="00320D09" w:rsidP="00AA4BBB">
            <w:pPr>
              <w:rPr>
                <w:rFonts w:cs="Arial"/>
                <w:sz w:val="18"/>
                <w:szCs w:val="18"/>
              </w:rPr>
            </w:pPr>
            <w:r w:rsidRPr="00E019C6">
              <w:rPr>
                <w:rFonts w:cs="Arial"/>
                <w:sz w:val="18"/>
                <w:szCs w:val="18"/>
              </w:rPr>
              <w:t>Garantizar que el 100% de las y los estudiantes reciben el servicio educativo oportunamente</w:t>
            </w:r>
          </w:p>
        </w:tc>
        <w:tc>
          <w:tcPr>
            <w:tcW w:w="709" w:type="pct"/>
            <w:tcMar>
              <w:top w:w="30" w:type="dxa"/>
              <w:left w:w="45" w:type="dxa"/>
              <w:bottom w:w="30" w:type="dxa"/>
              <w:right w:w="45" w:type="dxa"/>
            </w:tcMar>
            <w:vAlign w:val="center"/>
            <w:hideMark/>
          </w:tcPr>
          <w:p w14:paraId="374A491D" w14:textId="77777777" w:rsidR="00320D09" w:rsidRPr="00824F14" w:rsidRDefault="00320D09" w:rsidP="00AA4BBB">
            <w:pPr>
              <w:jc w:val="center"/>
              <w:rPr>
                <w:rFonts w:cs="Arial"/>
                <w:sz w:val="16"/>
                <w:szCs w:val="14"/>
              </w:rPr>
            </w:pPr>
            <w:r w:rsidRPr="00824F14">
              <w:rPr>
                <w:rFonts w:cs="Arial"/>
                <w:sz w:val="16"/>
                <w:szCs w:val="14"/>
              </w:rPr>
              <w:t>100%</w:t>
            </w:r>
          </w:p>
        </w:tc>
        <w:tc>
          <w:tcPr>
            <w:tcW w:w="717" w:type="pct"/>
            <w:tcMar>
              <w:top w:w="30" w:type="dxa"/>
              <w:left w:w="45" w:type="dxa"/>
              <w:bottom w:w="30" w:type="dxa"/>
              <w:right w:w="45" w:type="dxa"/>
            </w:tcMar>
            <w:vAlign w:val="center"/>
            <w:hideMark/>
          </w:tcPr>
          <w:p w14:paraId="37E3BC52" w14:textId="77777777" w:rsidR="00320D09" w:rsidRPr="00824F14" w:rsidRDefault="00320D09" w:rsidP="00AA4BBB">
            <w:pPr>
              <w:jc w:val="center"/>
              <w:rPr>
                <w:rFonts w:cs="Arial"/>
                <w:sz w:val="16"/>
                <w:szCs w:val="14"/>
              </w:rPr>
            </w:pPr>
            <w:r w:rsidRPr="00824F14">
              <w:rPr>
                <w:rFonts w:cs="Arial"/>
                <w:sz w:val="16"/>
                <w:szCs w:val="14"/>
              </w:rPr>
              <w:t>100%</w:t>
            </w:r>
          </w:p>
        </w:tc>
        <w:tc>
          <w:tcPr>
            <w:tcW w:w="676" w:type="pct"/>
            <w:tcMar>
              <w:top w:w="30" w:type="dxa"/>
              <w:left w:w="45" w:type="dxa"/>
              <w:bottom w:w="30" w:type="dxa"/>
              <w:right w:w="45" w:type="dxa"/>
            </w:tcMar>
            <w:vAlign w:val="center"/>
            <w:hideMark/>
          </w:tcPr>
          <w:p w14:paraId="36BC6703" w14:textId="77777777" w:rsidR="00320D09" w:rsidRPr="00824F14" w:rsidRDefault="00320D09" w:rsidP="00AA4BBB">
            <w:pPr>
              <w:jc w:val="center"/>
              <w:rPr>
                <w:rFonts w:cs="Arial"/>
                <w:sz w:val="16"/>
                <w:szCs w:val="14"/>
              </w:rPr>
            </w:pPr>
            <w:r w:rsidRPr="00824F14">
              <w:rPr>
                <w:rFonts w:cs="Arial"/>
                <w:sz w:val="16"/>
                <w:szCs w:val="14"/>
              </w:rPr>
              <w:t>100%</w:t>
            </w:r>
          </w:p>
        </w:tc>
        <w:tc>
          <w:tcPr>
            <w:tcW w:w="700" w:type="pct"/>
            <w:tcMar>
              <w:top w:w="30" w:type="dxa"/>
              <w:left w:w="45" w:type="dxa"/>
              <w:bottom w:w="30" w:type="dxa"/>
              <w:right w:w="45" w:type="dxa"/>
            </w:tcMar>
            <w:vAlign w:val="center"/>
            <w:hideMark/>
          </w:tcPr>
          <w:p w14:paraId="74C8B408" w14:textId="77777777" w:rsidR="00320D09" w:rsidRPr="00824F14" w:rsidRDefault="00320D09" w:rsidP="00AA4BBB">
            <w:pPr>
              <w:jc w:val="center"/>
              <w:rPr>
                <w:rFonts w:cs="Arial"/>
                <w:sz w:val="16"/>
                <w:szCs w:val="14"/>
              </w:rPr>
            </w:pPr>
            <w:r w:rsidRPr="00824F14">
              <w:rPr>
                <w:rFonts w:cs="Arial"/>
                <w:sz w:val="16"/>
                <w:szCs w:val="14"/>
              </w:rPr>
              <w:t>100%</w:t>
            </w:r>
          </w:p>
        </w:tc>
        <w:tc>
          <w:tcPr>
            <w:tcW w:w="712" w:type="pct"/>
            <w:vMerge w:val="restart"/>
            <w:tcMar>
              <w:top w:w="30" w:type="dxa"/>
              <w:left w:w="45" w:type="dxa"/>
              <w:bottom w:w="30" w:type="dxa"/>
              <w:right w:w="45" w:type="dxa"/>
            </w:tcMar>
            <w:vAlign w:val="center"/>
            <w:hideMark/>
          </w:tcPr>
          <w:p w14:paraId="52AF7DDB" w14:textId="77777777" w:rsidR="00320D09" w:rsidRPr="00E019C6" w:rsidRDefault="00320D09" w:rsidP="00AA4BBB">
            <w:pPr>
              <w:jc w:val="center"/>
              <w:rPr>
                <w:rFonts w:cs="Arial"/>
                <w:b/>
                <w:bCs/>
                <w:sz w:val="16"/>
                <w:szCs w:val="16"/>
              </w:rPr>
            </w:pPr>
            <w:r w:rsidRPr="00E019C6">
              <w:rPr>
                <w:rFonts w:cs="Arial"/>
                <w:b/>
                <w:bCs/>
                <w:sz w:val="16"/>
                <w:szCs w:val="16"/>
              </w:rPr>
              <w:t>18.430.033.518.790</w:t>
            </w:r>
          </w:p>
        </w:tc>
      </w:tr>
      <w:tr w:rsidR="00E019C6" w:rsidRPr="00C666B0" w14:paraId="44FD2151" w14:textId="77777777" w:rsidTr="00111E3C">
        <w:tc>
          <w:tcPr>
            <w:tcW w:w="1486" w:type="pct"/>
            <w:vMerge/>
            <w:vAlign w:val="center"/>
            <w:hideMark/>
          </w:tcPr>
          <w:p w14:paraId="037A3873"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02D44E9A" w14:textId="77777777" w:rsidR="00320D09" w:rsidRPr="00824F14" w:rsidRDefault="00320D09" w:rsidP="00AA4BBB">
            <w:pPr>
              <w:jc w:val="center"/>
              <w:rPr>
                <w:rFonts w:cs="Arial"/>
                <w:sz w:val="16"/>
                <w:szCs w:val="14"/>
              </w:rPr>
            </w:pPr>
            <w:r w:rsidRPr="00824F14">
              <w:rPr>
                <w:rFonts w:cs="Arial"/>
                <w:sz w:val="16"/>
                <w:szCs w:val="14"/>
              </w:rPr>
              <w:t>4.285.365.948.330</w:t>
            </w:r>
          </w:p>
        </w:tc>
        <w:tc>
          <w:tcPr>
            <w:tcW w:w="717" w:type="pct"/>
            <w:tcMar>
              <w:top w:w="30" w:type="dxa"/>
              <w:left w:w="45" w:type="dxa"/>
              <w:bottom w:w="30" w:type="dxa"/>
              <w:right w:w="45" w:type="dxa"/>
            </w:tcMar>
            <w:vAlign w:val="center"/>
            <w:hideMark/>
          </w:tcPr>
          <w:p w14:paraId="25D80D9D" w14:textId="77777777" w:rsidR="00320D09" w:rsidRPr="00824F14" w:rsidRDefault="00320D09" w:rsidP="00AA4BBB">
            <w:pPr>
              <w:jc w:val="center"/>
              <w:rPr>
                <w:rFonts w:cs="Arial"/>
                <w:sz w:val="16"/>
                <w:szCs w:val="14"/>
              </w:rPr>
            </w:pPr>
            <w:r w:rsidRPr="00824F14">
              <w:rPr>
                <w:rFonts w:cs="Arial"/>
                <w:sz w:val="16"/>
                <w:szCs w:val="14"/>
              </w:rPr>
              <w:t>4.435.980.824.654</w:t>
            </w:r>
          </w:p>
        </w:tc>
        <w:tc>
          <w:tcPr>
            <w:tcW w:w="676" w:type="pct"/>
            <w:tcMar>
              <w:top w:w="30" w:type="dxa"/>
              <w:left w:w="45" w:type="dxa"/>
              <w:bottom w:w="30" w:type="dxa"/>
              <w:right w:w="45" w:type="dxa"/>
            </w:tcMar>
            <w:vAlign w:val="center"/>
            <w:hideMark/>
          </w:tcPr>
          <w:p w14:paraId="6C8F0532" w14:textId="77777777" w:rsidR="00320D09" w:rsidRPr="00824F14" w:rsidRDefault="00320D09" w:rsidP="00AA4BBB">
            <w:pPr>
              <w:jc w:val="center"/>
              <w:rPr>
                <w:rFonts w:cs="Arial"/>
                <w:sz w:val="16"/>
                <w:szCs w:val="14"/>
              </w:rPr>
            </w:pPr>
            <w:r w:rsidRPr="00824F14">
              <w:rPr>
                <w:rFonts w:cs="Arial"/>
                <w:sz w:val="16"/>
                <w:szCs w:val="14"/>
              </w:rPr>
              <w:t>4.741.878.130.287</w:t>
            </w:r>
          </w:p>
        </w:tc>
        <w:tc>
          <w:tcPr>
            <w:tcW w:w="700" w:type="pct"/>
            <w:tcMar>
              <w:top w:w="30" w:type="dxa"/>
              <w:left w:w="45" w:type="dxa"/>
              <w:bottom w:w="30" w:type="dxa"/>
              <w:right w:w="45" w:type="dxa"/>
            </w:tcMar>
            <w:vAlign w:val="center"/>
            <w:hideMark/>
          </w:tcPr>
          <w:p w14:paraId="45C732BE" w14:textId="77777777" w:rsidR="00320D09" w:rsidRPr="00824F14" w:rsidRDefault="00320D09" w:rsidP="00AA4BBB">
            <w:pPr>
              <w:jc w:val="center"/>
              <w:rPr>
                <w:rFonts w:cs="Arial"/>
                <w:sz w:val="16"/>
                <w:szCs w:val="14"/>
              </w:rPr>
            </w:pPr>
            <w:r w:rsidRPr="00824F14">
              <w:rPr>
                <w:rFonts w:cs="Arial"/>
                <w:sz w:val="16"/>
                <w:szCs w:val="14"/>
              </w:rPr>
              <w:t>4.966.808.615.518</w:t>
            </w:r>
          </w:p>
        </w:tc>
        <w:tc>
          <w:tcPr>
            <w:tcW w:w="712" w:type="pct"/>
            <w:vMerge/>
            <w:vAlign w:val="center"/>
            <w:hideMark/>
          </w:tcPr>
          <w:p w14:paraId="05F28C4D" w14:textId="77777777" w:rsidR="00320D09" w:rsidRPr="00E019C6" w:rsidRDefault="00320D09" w:rsidP="00AA4BBB">
            <w:pPr>
              <w:rPr>
                <w:rFonts w:cs="Arial"/>
                <w:b/>
                <w:bCs/>
                <w:sz w:val="16"/>
                <w:szCs w:val="16"/>
              </w:rPr>
            </w:pPr>
          </w:p>
        </w:tc>
      </w:tr>
      <w:tr w:rsidR="00E019C6" w:rsidRPr="00C666B0" w14:paraId="0B7BADC5" w14:textId="77777777" w:rsidTr="00111E3C">
        <w:tc>
          <w:tcPr>
            <w:tcW w:w="1486" w:type="pct"/>
            <w:vMerge w:val="restart"/>
            <w:tcMar>
              <w:top w:w="30" w:type="dxa"/>
              <w:left w:w="45" w:type="dxa"/>
              <w:bottom w:w="30" w:type="dxa"/>
              <w:right w:w="45" w:type="dxa"/>
            </w:tcMar>
            <w:vAlign w:val="center"/>
            <w:hideMark/>
          </w:tcPr>
          <w:p w14:paraId="3DF3F4DF" w14:textId="77777777" w:rsidR="00320D09" w:rsidRPr="00E019C6" w:rsidRDefault="00320D09" w:rsidP="00AA4BBB">
            <w:pPr>
              <w:rPr>
                <w:rFonts w:cs="Arial"/>
                <w:sz w:val="18"/>
                <w:szCs w:val="18"/>
              </w:rPr>
            </w:pPr>
            <w:r w:rsidRPr="00E019C6">
              <w:rPr>
                <w:rFonts w:cs="Arial"/>
                <w:sz w:val="18"/>
                <w:szCs w:val="18"/>
              </w:rPr>
              <w:t>Intervenir 92 entornos escolares con mayores complejidades de acuerdo con el Indice de Priorización de Entornos Escolares</w:t>
            </w:r>
          </w:p>
        </w:tc>
        <w:tc>
          <w:tcPr>
            <w:tcW w:w="709" w:type="pct"/>
            <w:tcMar>
              <w:top w:w="30" w:type="dxa"/>
              <w:left w:w="45" w:type="dxa"/>
              <w:bottom w:w="30" w:type="dxa"/>
              <w:right w:w="45" w:type="dxa"/>
            </w:tcMar>
            <w:vAlign w:val="center"/>
            <w:hideMark/>
          </w:tcPr>
          <w:p w14:paraId="5305DDB0" w14:textId="77777777" w:rsidR="00320D09" w:rsidRPr="00824F14" w:rsidRDefault="00320D09" w:rsidP="00AA4BBB">
            <w:pPr>
              <w:jc w:val="center"/>
              <w:rPr>
                <w:rFonts w:cs="Arial"/>
                <w:sz w:val="16"/>
                <w:szCs w:val="14"/>
              </w:rPr>
            </w:pPr>
            <w:r w:rsidRPr="00824F14">
              <w:rPr>
                <w:rFonts w:cs="Arial"/>
                <w:sz w:val="16"/>
                <w:szCs w:val="14"/>
              </w:rPr>
              <w:t>18</w:t>
            </w:r>
          </w:p>
        </w:tc>
        <w:tc>
          <w:tcPr>
            <w:tcW w:w="717" w:type="pct"/>
            <w:tcMar>
              <w:top w:w="30" w:type="dxa"/>
              <w:left w:w="45" w:type="dxa"/>
              <w:bottom w:w="30" w:type="dxa"/>
              <w:right w:w="45" w:type="dxa"/>
            </w:tcMar>
            <w:vAlign w:val="center"/>
            <w:hideMark/>
          </w:tcPr>
          <w:p w14:paraId="23167824" w14:textId="77777777" w:rsidR="00320D09" w:rsidRPr="00824F14" w:rsidRDefault="00320D09" w:rsidP="00AA4BBB">
            <w:pPr>
              <w:jc w:val="center"/>
              <w:rPr>
                <w:rFonts w:cs="Arial"/>
                <w:sz w:val="16"/>
                <w:szCs w:val="14"/>
              </w:rPr>
            </w:pPr>
            <w:r w:rsidRPr="00824F14">
              <w:rPr>
                <w:rFonts w:cs="Arial"/>
                <w:sz w:val="16"/>
                <w:szCs w:val="14"/>
              </w:rPr>
              <w:t>22</w:t>
            </w:r>
          </w:p>
        </w:tc>
        <w:tc>
          <w:tcPr>
            <w:tcW w:w="676" w:type="pct"/>
            <w:tcMar>
              <w:top w:w="30" w:type="dxa"/>
              <w:left w:w="45" w:type="dxa"/>
              <w:bottom w:w="30" w:type="dxa"/>
              <w:right w:w="45" w:type="dxa"/>
            </w:tcMar>
            <w:vAlign w:val="center"/>
            <w:hideMark/>
          </w:tcPr>
          <w:p w14:paraId="300BB055" w14:textId="77777777" w:rsidR="00320D09" w:rsidRPr="00824F14" w:rsidRDefault="00320D09" w:rsidP="00AA4BBB">
            <w:pPr>
              <w:jc w:val="center"/>
              <w:rPr>
                <w:rFonts w:cs="Arial"/>
                <w:sz w:val="16"/>
                <w:szCs w:val="14"/>
              </w:rPr>
            </w:pPr>
            <w:r w:rsidRPr="00824F14">
              <w:rPr>
                <w:rFonts w:cs="Arial"/>
                <w:sz w:val="16"/>
                <w:szCs w:val="14"/>
              </w:rPr>
              <w:t>25</w:t>
            </w:r>
          </w:p>
        </w:tc>
        <w:tc>
          <w:tcPr>
            <w:tcW w:w="700" w:type="pct"/>
            <w:tcMar>
              <w:top w:w="30" w:type="dxa"/>
              <w:left w:w="45" w:type="dxa"/>
              <w:bottom w:w="30" w:type="dxa"/>
              <w:right w:w="45" w:type="dxa"/>
            </w:tcMar>
            <w:vAlign w:val="center"/>
            <w:hideMark/>
          </w:tcPr>
          <w:p w14:paraId="4B7869A5" w14:textId="77777777" w:rsidR="00320D09" w:rsidRPr="00824F14" w:rsidRDefault="00320D09" w:rsidP="00AA4BBB">
            <w:pPr>
              <w:jc w:val="center"/>
              <w:rPr>
                <w:rFonts w:cs="Arial"/>
                <w:sz w:val="16"/>
                <w:szCs w:val="14"/>
              </w:rPr>
            </w:pPr>
            <w:r w:rsidRPr="00824F14">
              <w:rPr>
                <w:rFonts w:cs="Arial"/>
                <w:sz w:val="16"/>
                <w:szCs w:val="14"/>
              </w:rPr>
              <w:t>27</w:t>
            </w:r>
          </w:p>
        </w:tc>
        <w:tc>
          <w:tcPr>
            <w:tcW w:w="712" w:type="pct"/>
            <w:vMerge w:val="restart"/>
            <w:tcMar>
              <w:top w:w="30" w:type="dxa"/>
              <w:left w:w="45" w:type="dxa"/>
              <w:bottom w:w="30" w:type="dxa"/>
              <w:right w:w="45" w:type="dxa"/>
            </w:tcMar>
            <w:vAlign w:val="center"/>
            <w:hideMark/>
          </w:tcPr>
          <w:p w14:paraId="6579C4B1" w14:textId="77777777" w:rsidR="00320D09" w:rsidRPr="00E019C6" w:rsidRDefault="00320D09" w:rsidP="00AA4BBB">
            <w:pPr>
              <w:jc w:val="center"/>
              <w:rPr>
                <w:rFonts w:cs="Arial"/>
                <w:b/>
                <w:bCs/>
                <w:sz w:val="16"/>
                <w:szCs w:val="16"/>
              </w:rPr>
            </w:pPr>
            <w:r w:rsidRPr="00E019C6">
              <w:rPr>
                <w:rFonts w:cs="Arial"/>
                <w:b/>
                <w:bCs/>
                <w:sz w:val="16"/>
                <w:szCs w:val="16"/>
              </w:rPr>
              <w:t>32.786.601.769</w:t>
            </w:r>
          </w:p>
        </w:tc>
      </w:tr>
      <w:tr w:rsidR="00E019C6" w:rsidRPr="00C666B0" w14:paraId="0ABB7410" w14:textId="77777777" w:rsidTr="00111E3C">
        <w:tc>
          <w:tcPr>
            <w:tcW w:w="1486" w:type="pct"/>
            <w:vMerge/>
            <w:vAlign w:val="center"/>
            <w:hideMark/>
          </w:tcPr>
          <w:p w14:paraId="22C60E86"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2327E7C0" w14:textId="77777777" w:rsidR="00320D09" w:rsidRPr="00824F14" w:rsidRDefault="00320D09" w:rsidP="00AA4BBB">
            <w:pPr>
              <w:jc w:val="center"/>
              <w:rPr>
                <w:rFonts w:cs="Arial"/>
                <w:sz w:val="16"/>
                <w:szCs w:val="14"/>
              </w:rPr>
            </w:pPr>
            <w:r w:rsidRPr="00824F14">
              <w:rPr>
                <w:rFonts w:cs="Arial"/>
                <w:sz w:val="16"/>
                <w:szCs w:val="14"/>
              </w:rPr>
              <w:t>8.690.727.620</w:t>
            </w:r>
          </w:p>
        </w:tc>
        <w:tc>
          <w:tcPr>
            <w:tcW w:w="717" w:type="pct"/>
            <w:tcMar>
              <w:top w:w="30" w:type="dxa"/>
              <w:left w:w="45" w:type="dxa"/>
              <w:bottom w:w="30" w:type="dxa"/>
              <w:right w:w="45" w:type="dxa"/>
            </w:tcMar>
            <w:vAlign w:val="center"/>
            <w:hideMark/>
          </w:tcPr>
          <w:p w14:paraId="4CF265A6" w14:textId="77777777" w:rsidR="00320D09" w:rsidRPr="00824F14" w:rsidRDefault="00320D09" w:rsidP="00AA4BBB">
            <w:pPr>
              <w:jc w:val="center"/>
              <w:rPr>
                <w:rFonts w:cs="Arial"/>
                <w:sz w:val="16"/>
                <w:szCs w:val="14"/>
              </w:rPr>
            </w:pPr>
            <w:r w:rsidRPr="00824F14">
              <w:rPr>
                <w:rFonts w:cs="Arial"/>
                <w:sz w:val="16"/>
                <w:szCs w:val="14"/>
              </w:rPr>
              <w:t>8.758.702.661</w:t>
            </w:r>
          </w:p>
        </w:tc>
        <w:tc>
          <w:tcPr>
            <w:tcW w:w="676" w:type="pct"/>
            <w:tcMar>
              <w:top w:w="30" w:type="dxa"/>
              <w:left w:w="45" w:type="dxa"/>
              <w:bottom w:w="30" w:type="dxa"/>
              <w:right w:w="45" w:type="dxa"/>
            </w:tcMar>
            <w:vAlign w:val="center"/>
            <w:hideMark/>
          </w:tcPr>
          <w:p w14:paraId="0A32744A" w14:textId="77777777" w:rsidR="00320D09" w:rsidRPr="00824F14" w:rsidRDefault="00320D09" w:rsidP="00AA4BBB">
            <w:pPr>
              <w:jc w:val="center"/>
              <w:rPr>
                <w:rFonts w:cs="Arial"/>
                <w:sz w:val="16"/>
                <w:szCs w:val="14"/>
              </w:rPr>
            </w:pPr>
            <w:r w:rsidRPr="00824F14">
              <w:rPr>
                <w:rFonts w:cs="Arial"/>
                <w:sz w:val="16"/>
                <w:szCs w:val="14"/>
              </w:rPr>
              <w:t>7.697.392.637</w:t>
            </w:r>
          </w:p>
        </w:tc>
        <w:tc>
          <w:tcPr>
            <w:tcW w:w="700" w:type="pct"/>
            <w:tcMar>
              <w:top w:w="30" w:type="dxa"/>
              <w:left w:w="45" w:type="dxa"/>
              <w:bottom w:w="30" w:type="dxa"/>
              <w:right w:w="45" w:type="dxa"/>
            </w:tcMar>
            <w:vAlign w:val="center"/>
            <w:hideMark/>
          </w:tcPr>
          <w:p w14:paraId="4CA3EC56" w14:textId="77777777" w:rsidR="00320D09" w:rsidRPr="00824F14" w:rsidRDefault="00320D09" w:rsidP="00AA4BBB">
            <w:pPr>
              <w:jc w:val="center"/>
              <w:rPr>
                <w:rFonts w:cs="Arial"/>
                <w:sz w:val="16"/>
                <w:szCs w:val="14"/>
              </w:rPr>
            </w:pPr>
            <w:r w:rsidRPr="00824F14">
              <w:rPr>
                <w:rFonts w:cs="Arial"/>
                <w:sz w:val="16"/>
                <w:szCs w:val="14"/>
              </w:rPr>
              <w:t>7.639.778.851</w:t>
            </w:r>
          </w:p>
        </w:tc>
        <w:tc>
          <w:tcPr>
            <w:tcW w:w="712" w:type="pct"/>
            <w:vMerge/>
            <w:vAlign w:val="center"/>
            <w:hideMark/>
          </w:tcPr>
          <w:p w14:paraId="47AE7496" w14:textId="77777777" w:rsidR="00320D09" w:rsidRPr="00E019C6" w:rsidRDefault="00320D09" w:rsidP="00AA4BBB">
            <w:pPr>
              <w:rPr>
                <w:rFonts w:cs="Arial"/>
                <w:b/>
                <w:bCs/>
                <w:sz w:val="16"/>
                <w:szCs w:val="16"/>
              </w:rPr>
            </w:pPr>
          </w:p>
        </w:tc>
      </w:tr>
      <w:tr w:rsidR="00E019C6" w:rsidRPr="00C666B0" w14:paraId="03029A8C" w14:textId="77777777" w:rsidTr="00111E3C">
        <w:tc>
          <w:tcPr>
            <w:tcW w:w="1486" w:type="pct"/>
            <w:vMerge w:val="restart"/>
            <w:tcMar>
              <w:top w:w="30" w:type="dxa"/>
              <w:left w:w="45" w:type="dxa"/>
              <w:bottom w:w="30" w:type="dxa"/>
              <w:right w:w="45" w:type="dxa"/>
            </w:tcMar>
            <w:vAlign w:val="center"/>
            <w:hideMark/>
          </w:tcPr>
          <w:p w14:paraId="54604DEC" w14:textId="77777777" w:rsidR="00320D09" w:rsidRPr="00E019C6" w:rsidRDefault="00320D09" w:rsidP="00AA4BBB">
            <w:pPr>
              <w:rPr>
                <w:rFonts w:cs="Arial"/>
                <w:sz w:val="18"/>
                <w:szCs w:val="18"/>
              </w:rPr>
            </w:pPr>
            <w:r w:rsidRPr="00E019C6">
              <w:rPr>
                <w:rFonts w:cs="Arial"/>
                <w:sz w:val="18"/>
                <w:szCs w:val="18"/>
              </w:rPr>
              <w:t>Lograr que el 100% de los colegios oficiales aumenten al menos 1 punto en su resultado global de pruebas Saber 11 respecto a su resultado en 2023</w:t>
            </w:r>
          </w:p>
        </w:tc>
        <w:tc>
          <w:tcPr>
            <w:tcW w:w="709" w:type="pct"/>
            <w:tcMar>
              <w:top w:w="30" w:type="dxa"/>
              <w:left w:w="45" w:type="dxa"/>
              <w:bottom w:w="30" w:type="dxa"/>
              <w:right w:w="45" w:type="dxa"/>
            </w:tcMar>
            <w:vAlign w:val="center"/>
            <w:hideMark/>
          </w:tcPr>
          <w:p w14:paraId="0D9A34D9" w14:textId="77777777" w:rsidR="00320D09" w:rsidRPr="00824F14" w:rsidRDefault="00320D09" w:rsidP="00AA4BBB">
            <w:pPr>
              <w:jc w:val="center"/>
              <w:rPr>
                <w:rFonts w:cs="Arial"/>
                <w:sz w:val="16"/>
                <w:szCs w:val="14"/>
              </w:rPr>
            </w:pPr>
            <w:r w:rsidRPr="00824F14">
              <w:rPr>
                <w:rFonts w:cs="Arial"/>
                <w:sz w:val="16"/>
                <w:szCs w:val="14"/>
              </w:rPr>
              <w:t>60%</w:t>
            </w:r>
          </w:p>
        </w:tc>
        <w:tc>
          <w:tcPr>
            <w:tcW w:w="717" w:type="pct"/>
            <w:tcMar>
              <w:top w:w="30" w:type="dxa"/>
              <w:left w:w="45" w:type="dxa"/>
              <w:bottom w:w="30" w:type="dxa"/>
              <w:right w:w="45" w:type="dxa"/>
            </w:tcMar>
            <w:vAlign w:val="center"/>
            <w:hideMark/>
          </w:tcPr>
          <w:p w14:paraId="6FEA21B3" w14:textId="77777777" w:rsidR="00320D09" w:rsidRPr="00824F14" w:rsidRDefault="00320D09" w:rsidP="00AA4BBB">
            <w:pPr>
              <w:jc w:val="center"/>
              <w:rPr>
                <w:rFonts w:cs="Arial"/>
                <w:sz w:val="16"/>
                <w:szCs w:val="14"/>
              </w:rPr>
            </w:pPr>
            <w:r w:rsidRPr="00824F14">
              <w:rPr>
                <w:rFonts w:cs="Arial"/>
                <w:sz w:val="16"/>
                <w:szCs w:val="14"/>
              </w:rPr>
              <w:t>75%</w:t>
            </w:r>
          </w:p>
        </w:tc>
        <w:tc>
          <w:tcPr>
            <w:tcW w:w="676" w:type="pct"/>
            <w:tcMar>
              <w:top w:w="30" w:type="dxa"/>
              <w:left w:w="45" w:type="dxa"/>
              <w:bottom w:w="30" w:type="dxa"/>
              <w:right w:w="45" w:type="dxa"/>
            </w:tcMar>
            <w:vAlign w:val="center"/>
            <w:hideMark/>
          </w:tcPr>
          <w:p w14:paraId="041BCB10" w14:textId="77777777" w:rsidR="00320D09" w:rsidRPr="00824F14" w:rsidRDefault="00320D09" w:rsidP="00AA4BBB">
            <w:pPr>
              <w:jc w:val="center"/>
              <w:rPr>
                <w:rFonts w:cs="Arial"/>
                <w:sz w:val="16"/>
                <w:szCs w:val="14"/>
              </w:rPr>
            </w:pPr>
            <w:r w:rsidRPr="00824F14">
              <w:rPr>
                <w:rFonts w:cs="Arial"/>
                <w:sz w:val="16"/>
                <w:szCs w:val="14"/>
              </w:rPr>
              <w:t>85%</w:t>
            </w:r>
          </w:p>
        </w:tc>
        <w:tc>
          <w:tcPr>
            <w:tcW w:w="700" w:type="pct"/>
            <w:tcMar>
              <w:top w:w="30" w:type="dxa"/>
              <w:left w:w="45" w:type="dxa"/>
              <w:bottom w:w="30" w:type="dxa"/>
              <w:right w:w="45" w:type="dxa"/>
            </w:tcMar>
            <w:vAlign w:val="center"/>
            <w:hideMark/>
          </w:tcPr>
          <w:p w14:paraId="3949E22E" w14:textId="77777777" w:rsidR="00320D09" w:rsidRPr="00824F14" w:rsidRDefault="00320D09" w:rsidP="00AA4BBB">
            <w:pPr>
              <w:jc w:val="center"/>
              <w:rPr>
                <w:rFonts w:cs="Arial"/>
                <w:sz w:val="16"/>
                <w:szCs w:val="14"/>
              </w:rPr>
            </w:pPr>
            <w:r w:rsidRPr="00824F14">
              <w:rPr>
                <w:rFonts w:cs="Arial"/>
                <w:sz w:val="16"/>
                <w:szCs w:val="14"/>
              </w:rPr>
              <w:t>100%</w:t>
            </w:r>
          </w:p>
        </w:tc>
        <w:tc>
          <w:tcPr>
            <w:tcW w:w="712" w:type="pct"/>
            <w:vMerge w:val="restart"/>
            <w:tcMar>
              <w:top w:w="30" w:type="dxa"/>
              <w:left w:w="45" w:type="dxa"/>
              <w:bottom w:w="30" w:type="dxa"/>
              <w:right w:w="45" w:type="dxa"/>
            </w:tcMar>
            <w:vAlign w:val="center"/>
            <w:hideMark/>
          </w:tcPr>
          <w:p w14:paraId="6276CF7B" w14:textId="77777777" w:rsidR="00320D09" w:rsidRPr="00E019C6" w:rsidRDefault="00320D09" w:rsidP="00AA4BBB">
            <w:pPr>
              <w:jc w:val="center"/>
              <w:rPr>
                <w:rFonts w:cs="Arial"/>
                <w:b/>
                <w:bCs/>
                <w:sz w:val="16"/>
                <w:szCs w:val="16"/>
              </w:rPr>
            </w:pPr>
            <w:r w:rsidRPr="00E019C6">
              <w:rPr>
                <w:rFonts w:cs="Arial"/>
                <w:b/>
                <w:bCs/>
                <w:sz w:val="16"/>
                <w:szCs w:val="16"/>
              </w:rPr>
              <w:t>235.014.269.656</w:t>
            </w:r>
          </w:p>
        </w:tc>
      </w:tr>
      <w:tr w:rsidR="00E019C6" w:rsidRPr="00C666B0" w14:paraId="6C7E95D8" w14:textId="77777777" w:rsidTr="00111E3C">
        <w:tc>
          <w:tcPr>
            <w:tcW w:w="1486" w:type="pct"/>
            <w:vMerge/>
            <w:vAlign w:val="center"/>
            <w:hideMark/>
          </w:tcPr>
          <w:p w14:paraId="15EF9FD0"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24D2B5D3" w14:textId="77777777" w:rsidR="00320D09" w:rsidRPr="00824F14" w:rsidRDefault="00320D09" w:rsidP="00AA4BBB">
            <w:pPr>
              <w:jc w:val="center"/>
              <w:rPr>
                <w:rFonts w:cs="Arial"/>
                <w:sz w:val="16"/>
                <w:szCs w:val="14"/>
              </w:rPr>
            </w:pPr>
            <w:r w:rsidRPr="00824F14">
              <w:rPr>
                <w:rFonts w:cs="Arial"/>
                <w:sz w:val="16"/>
                <w:szCs w:val="14"/>
              </w:rPr>
              <w:t>54.859.235.363</w:t>
            </w:r>
          </w:p>
        </w:tc>
        <w:tc>
          <w:tcPr>
            <w:tcW w:w="717" w:type="pct"/>
            <w:tcMar>
              <w:top w:w="30" w:type="dxa"/>
              <w:left w:w="45" w:type="dxa"/>
              <w:bottom w:w="30" w:type="dxa"/>
              <w:right w:w="45" w:type="dxa"/>
            </w:tcMar>
            <w:vAlign w:val="center"/>
            <w:hideMark/>
          </w:tcPr>
          <w:p w14:paraId="4296202A" w14:textId="77777777" w:rsidR="00320D09" w:rsidRPr="00824F14" w:rsidRDefault="00320D09" w:rsidP="00AA4BBB">
            <w:pPr>
              <w:jc w:val="center"/>
              <w:rPr>
                <w:rFonts w:cs="Arial"/>
                <w:sz w:val="16"/>
                <w:szCs w:val="14"/>
              </w:rPr>
            </w:pPr>
            <w:r w:rsidRPr="00824F14">
              <w:rPr>
                <w:rFonts w:cs="Arial"/>
                <w:sz w:val="16"/>
                <w:szCs w:val="14"/>
              </w:rPr>
              <w:t>60.537.899.617</w:t>
            </w:r>
          </w:p>
        </w:tc>
        <w:tc>
          <w:tcPr>
            <w:tcW w:w="676" w:type="pct"/>
            <w:tcMar>
              <w:top w:w="30" w:type="dxa"/>
              <w:left w:w="45" w:type="dxa"/>
              <w:bottom w:w="30" w:type="dxa"/>
              <w:right w:w="45" w:type="dxa"/>
            </w:tcMar>
            <w:vAlign w:val="center"/>
            <w:hideMark/>
          </w:tcPr>
          <w:p w14:paraId="145CD429" w14:textId="77777777" w:rsidR="00320D09" w:rsidRPr="00824F14" w:rsidRDefault="00320D09" w:rsidP="00AA4BBB">
            <w:pPr>
              <w:jc w:val="center"/>
              <w:rPr>
                <w:rFonts w:cs="Arial"/>
                <w:sz w:val="16"/>
                <w:szCs w:val="14"/>
              </w:rPr>
            </w:pPr>
            <w:r w:rsidRPr="00824F14">
              <w:rPr>
                <w:rFonts w:cs="Arial"/>
                <w:sz w:val="16"/>
                <w:szCs w:val="14"/>
              </w:rPr>
              <w:t>59.018.791.394</w:t>
            </w:r>
          </w:p>
        </w:tc>
        <w:tc>
          <w:tcPr>
            <w:tcW w:w="700" w:type="pct"/>
            <w:tcMar>
              <w:top w:w="30" w:type="dxa"/>
              <w:left w:w="45" w:type="dxa"/>
              <w:bottom w:w="30" w:type="dxa"/>
              <w:right w:w="45" w:type="dxa"/>
            </w:tcMar>
            <w:vAlign w:val="center"/>
            <w:hideMark/>
          </w:tcPr>
          <w:p w14:paraId="4843E7C2" w14:textId="77777777" w:rsidR="00320D09" w:rsidRPr="00824F14" w:rsidRDefault="00320D09" w:rsidP="00AA4BBB">
            <w:pPr>
              <w:jc w:val="center"/>
              <w:rPr>
                <w:rFonts w:cs="Arial"/>
                <w:sz w:val="16"/>
                <w:szCs w:val="14"/>
              </w:rPr>
            </w:pPr>
            <w:r w:rsidRPr="00824F14">
              <w:rPr>
                <w:rFonts w:cs="Arial"/>
                <w:sz w:val="16"/>
                <w:szCs w:val="14"/>
              </w:rPr>
              <w:t>60.598.343.282</w:t>
            </w:r>
          </w:p>
        </w:tc>
        <w:tc>
          <w:tcPr>
            <w:tcW w:w="712" w:type="pct"/>
            <w:vMerge/>
            <w:vAlign w:val="center"/>
            <w:hideMark/>
          </w:tcPr>
          <w:p w14:paraId="701EE686" w14:textId="77777777" w:rsidR="00320D09" w:rsidRPr="00E019C6" w:rsidRDefault="00320D09" w:rsidP="00AA4BBB">
            <w:pPr>
              <w:rPr>
                <w:rFonts w:cs="Arial"/>
                <w:b/>
                <w:bCs/>
                <w:sz w:val="16"/>
                <w:szCs w:val="16"/>
              </w:rPr>
            </w:pPr>
          </w:p>
        </w:tc>
      </w:tr>
      <w:tr w:rsidR="00E019C6" w:rsidRPr="00C666B0" w14:paraId="59809748" w14:textId="77777777" w:rsidTr="00111E3C">
        <w:tc>
          <w:tcPr>
            <w:tcW w:w="1486" w:type="pct"/>
            <w:vMerge w:val="restart"/>
            <w:tcMar>
              <w:top w:w="30" w:type="dxa"/>
              <w:left w:w="45" w:type="dxa"/>
              <w:bottom w:w="30" w:type="dxa"/>
              <w:right w:w="45" w:type="dxa"/>
            </w:tcMar>
            <w:vAlign w:val="center"/>
            <w:hideMark/>
          </w:tcPr>
          <w:p w14:paraId="4F47605A" w14:textId="77777777" w:rsidR="00320D09" w:rsidRPr="00E019C6" w:rsidRDefault="00320D09" w:rsidP="00AA4BBB">
            <w:pPr>
              <w:rPr>
                <w:rFonts w:cs="Arial"/>
                <w:sz w:val="18"/>
                <w:szCs w:val="18"/>
              </w:rPr>
            </w:pPr>
            <w:r w:rsidRPr="00E019C6">
              <w:rPr>
                <w:rFonts w:cs="Arial"/>
                <w:sz w:val="18"/>
                <w:szCs w:val="18"/>
              </w:rPr>
              <w:t>Ofrecer 32.000 cupos en las estrategias de acceso y permanencia en la educación posmedia.</w:t>
            </w:r>
          </w:p>
        </w:tc>
        <w:tc>
          <w:tcPr>
            <w:tcW w:w="709" w:type="pct"/>
            <w:tcMar>
              <w:top w:w="30" w:type="dxa"/>
              <w:left w:w="45" w:type="dxa"/>
              <w:bottom w:w="30" w:type="dxa"/>
              <w:right w:w="45" w:type="dxa"/>
            </w:tcMar>
            <w:vAlign w:val="center"/>
            <w:hideMark/>
          </w:tcPr>
          <w:p w14:paraId="0048314B" w14:textId="77777777" w:rsidR="00320D09" w:rsidRPr="00824F14" w:rsidRDefault="00320D09" w:rsidP="00AA4BBB">
            <w:pPr>
              <w:jc w:val="center"/>
              <w:rPr>
                <w:rFonts w:cs="Arial"/>
                <w:sz w:val="16"/>
                <w:szCs w:val="14"/>
              </w:rPr>
            </w:pPr>
            <w:r w:rsidRPr="00824F14">
              <w:rPr>
                <w:rFonts w:cs="Arial"/>
                <w:sz w:val="16"/>
                <w:szCs w:val="14"/>
              </w:rPr>
              <w:t>2.700</w:t>
            </w:r>
          </w:p>
        </w:tc>
        <w:tc>
          <w:tcPr>
            <w:tcW w:w="717" w:type="pct"/>
            <w:tcMar>
              <w:top w:w="30" w:type="dxa"/>
              <w:left w:w="45" w:type="dxa"/>
              <w:bottom w:w="30" w:type="dxa"/>
              <w:right w:w="45" w:type="dxa"/>
            </w:tcMar>
            <w:vAlign w:val="center"/>
            <w:hideMark/>
          </w:tcPr>
          <w:p w14:paraId="6C97C07E" w14:textId="77777777" w:rsidR="00320D09" w:rsidRPr="00824F14" w:rsidRDefault="00320D09" w:rsidP="00AA4BBB">
            <w:pPr>
              <w:jc w:val="center"/>
              <w:rPr>
                <w:rFonts w:cs="Arial"/>
                <w:sz w:val="16"/>
                <w:szCs w:val="14"/>
              </w:rPr>
            </w:pPr>
            <w:r w:rsidRPr="00824F14">
              <w:rPr>
                <w:rFonts w:cs="Arial"/>
                <w:sz w:val="16"/>
                <w:szCs w:val="14"/>
              </w:rPr>
              <w:t>5.950</w:t>
            </w:r>
          </w:p>
        </w:tc>
        <w:tc>
          <w:tcPr>
            <w:tcW w:w="676" w:type="pct"/>
            <w:tcMar>
              <w:top w:w="30" w:type="dxa"/>
              <w:left w:w="45" w:type="dxa"/>
              <w:bottom w:w="30" w:type="dxa"/>
              <w:right w:w="45" w:type="dxa"/>
            </w:tcMar>
            <w:vAlign w:val="center"/>
            <w:hideMark/>
          </w:tcPr>
          <w:p w14:paraId="14C08F19" w14:textId="77777777" w:rsidR="00320D09" w:rsidRPr="00824F14" w:rsidRDefault="00320D09" w:rsidP="00AA4BBB">
            <w:pPr>
              <w:jc w:val="center"/>
              <w:rPr>
                <w:rFonts w:cs="Arial"/>
                <w:sz w:val="16"/>
                <w:szCs w:val="14"/>
              </w:rPr>
            </w:pPr>
            <w:r w:rsidRPr="00824F14">
              <w:rPr>
                <w:rFonts w:cs="Arial"/>
                <w:sz w:val="16"/>
                <w:szCs w:val="14"/>
              </w:rPr>
              <w:t>7.450</w:t>
            </w:r>
          </w:p>
        </w:tc>
        <w:tc>
          <w:tcPr>
            <w:tcW w:w="700" w:type="pct"/>
            <w:tcMar>
              <w:top w:w="30" w:type="dxa"/>
              <w:left w:w="45" w:type="dxa"/>
              <w:bottom w:w="30" w:type="dxa"/>
              <w:right w:w="45" w:type="dxa"/>
            </w:tcMar>
            <w:vAlign w:val="center"/>
            <w:hideMark/>
          </w:tcPr>
          <w:p w14:paraId="3A3E748B" w14:textId="77777777" w:rsidR="00320D09" w:rsidRPr="00824F14" w:rsidRDefault="00320D09" w:rsidP="00AA4BBB">
            <w:pPr>
              <w:jc w:val="center"/>
              <w:rPr>
                <w:rFonts w:cs="Arial"/>
                <w:sz w:val="16"/>
                <w:szCs w:val="14"/>
              </w:rPr>
            </w:pPr>
            <w:r w:rsidRPr="00824F14">
              <w:rPr>
                <w:rFonts w:cs="Arial"/>
                <w:sz w:val="16"/>
                <w:szCs w:val="14"/>
              </w:rPr>
              <w:t>15.900</w:t>
            </w:r>
          </w:p>
        </w:tc>
        <w:tc>
          <w:tcPr>
            <w:tcW w:w="712" w:type="pct"/>
            <w:vMerge w:val="restart"/>
            <w:tcMar>
              <w:top w:w="30" w:type="dxa"/>
              <w:left w:w="45" w:type="dxa"/>
              <w:bottom w:w="30" w:type="dxa"/>
              <w:right w:w="45" w:type="dxa"/>
            </w:tcMar>
            <w:vAlign w:val="center"/>
            <w:hideMark/>
          </w:tcPr>
          <w:p w14:paraId="0909D6C2" w14:textId="77777777" w:rsidR="00320D09" w:rsidRPr="00E019C6" w:rsidRDefault="00320D09" w:rsidP="00AA4BBB">
            <w:pPr>
              <w:jc w:val="center"/>
              <w:rPr>
                <w:rFonts w:cs="Arial"/>
                <w:b/>
                <w:bCs/>
                <w:sz w:val="16"/>
                <w:szCs w:val="16"/>
              </w:rPr>
            </w:pPr>
            <w:r w:rsidRPr="00E019C6">
              <w:rPr>
                <w:rFonts w:cs="Arial"/>
                <w:b/>
                <w:bCs/>
                <w:sz w:val="16"/>
                <w:szCs w:val="16"/>
              </w:rPr>
              <w:t>1.724.194.421.171</w:t>
            </w:r>
          </w:p>
        </w:tc>
      </w:tr>
      <w:tr w:rsidR="00E019C6" w:rsidRPr="00C666B0" w14:paraId="1174EAC1" w14:textId="77777777" w:rsidTr="00111E3C">
        <w:tc>
          <w:tcPr>
            <w:tcW w:w="1486" w:type="pct"/>
            <w:vMerge/>
            <w:vAlign w:val="center"/>
            <w:hideMark/>
          </w:tcPr>
          <w:p w14:paraId="353897F3"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572A033E" w14:textId="77777777" w:rsidR="00320D09" w:rsidRPr="00824F14" w:rsidRDefault="00320D09" w:rsidP="00AA4BBB">
            <w:pPr>
              <w:jc w:val="center"/>
              <w:rPr>
                <w:rFonts w:cs="Arial"/>
                <w:sz w:val="16"/>
                <w:szCs w:val="14"/>
              </w:rPr>
            </w:pPr>
            <w:r w:rsidRPr="00824F14">
              <w:rPr>
                <w:rFonts w:cs="Arial"/>
                <w:sz w:val="16"/>
                <w:szCs w:val="14"/>
              </w:rPr>
              <w:t>469.232.395.793</w:t>
            </w:r>
          </w:p>
        </w:tc>
        <w:tc>
          <w:tcPr>
            <w:tcW w:w="717" w:type="pct"/>
            <w:tcMar>
              <w:top w:w="30" w:type="dxa"/>
              <w:left w:w="45" w:type="dxa"/>
              <w:bottom w:w="30" w:type="dxa"/>
              <w:right w:w="45" w:type="dxa"/>
            </w:tcMar>
            <w:vAlign w:val="center"/>
            <w:hideMark/>
          </w:tcPr>
          <w:p w14:paraId="01CB43AF" w14:textId="77777777" w:rsidR="00320D09" w:rsidRPr="00824F14" w:rsidRDefault="00320D09" w:rsidP="00AA4BBB">
            <w:pPr>
              <w:jc w:val="center"/>
              <w:rPr>
                <w:rFonts w:cs="Arial"/>
                <w:sz w:val="16"/>
                <w:szCs w:val="14"/>
              </w:rPr>
            </w:pPr>
            <w:r w:rsidRPr="00824F14">
              <w:rPr>
                <w:rFonts w:cs="Arial"/>
                <w:sz w:val="16"/>
                <w:szCs w:val="14"/>
              </w:rPr>
              <w:t>454.198.475.939</w:t>
            </w:r>
          </w:p>
        </w:tc>
        <w:tc>
          <w:tcPr>
            <w:tcW w:w="676" w:type="pct"/>
            <w:tcMar>
              <w:top w:w="30" w:type="dxa"/>
              <w:left w:w="45" w:type="dxa"/>
              <w:bottom w:w="30" w:type="dxa"/>
              <w:right w:w="45" w:type="dxa"/>
            </w:tcMar>
            <w:vAlign w:val="center"/>
            <w:hideMark/>
          </w:tcPr>
          <w:p w14:paraId="6DF04219" w14:textId="77777777" w:rsidR="00320D09" w:rsidRPr="00824F14" w:rsidRDefault="00320D09" w:rsidP="00AA4BBB">
            <w:pPr>
              <w:jc w:val="center"/>
              <w:rPr>
                <w:rFonts w:cs="Arial"/>
                <w:sz w:val="16"/>
                <w:szCs w:val="14"/>
              </w:rPr>
            </w:pPr>
            <w:r w:rsidRPr="00824F14">
              <w:rPr>
                <w:rFonts w:cs="Arial"/>
                <w:sz w:val="16"/>
                <w:szCs w:val="14"/>
              </w:rPr>
              <w:t>461.128.939.472</w:t>
            </w:r>
          </w:p>
        </w:tc>
        <w:tc>
          <w:tcPr>
            <w:tcW w:w="700" w:type="pct"/>
            <w:tcMar>
              <w:top w:w="30" w:type="dxa"/>
              <w:left w:w="45" w:type="dxa"/>
              <w:bottom w:w="30" w:type="dxa"/>
              <w:right w:w="45" w:type="dxa"/>
            </w:tcMar>
            <w:vAlign w:val="center"/>
            <w:hideMark/>
          </w:tcPr>
          <w:p w14:paraId="3524BBC3" w14:textId="77777777" w:rsidR="00320D09" w:rsidRPr="00824F14" w:rsidRDefault="00320D09" w:rsidP="00AA4BBB">
            <w:pPr>
              <w:jc w:val="center"/>
              <w:rPr>
                <w:rFonts w:cs="Arial"/>
                <w:sz w:val="16"/>
                <w:szCs w:val="14"/>
              </w:rPr>
            </w:pPr>
            <w:r w:rsidRPr="00824F14">
              <w:rPr>
                <w:rFonts w:cs="Arial"/>
                <w:sz w:val="16"/>
                <w:szCs w:val="14"/>
              </w:rPr>
              <w:t>339.634.609.967</w:t>
            </w:r>
          </w:p>
        </w:tc>
        <w:tc>
          <w:tcPr>
            <w:tcW w:w="712" w:type="pct"/>
            <w:vMerge/>
            <w:vAlign w:val="center"/>
            <w:hideMark/>
          </w:tcPr>
          <w:p w14:paraId="5D43EA00" w14:textId="77777777" w:rsidR="00320D09" w:rsidRPr="00E019C6" w:rsidRDefault="00320D09" w:rsidP="00AA4BBB">
            <w:pPr>
              <w:rPr>
                <w:rFonts w:cs="Arial"/>
                <w:b/>
                <w:bCs/>
                <w:sz w:val="16"/>
                <w:szCs w:val="16"/>
              </w:rPr>
            </w:pPr>
          </w:p>
        </w:tc>
      </w:tr>
      <w:tr w:rsidR="00E019C6" w:rsidRPr="00C666B0" w14:paraId="0C0CFABE" w14:textId="77777777" w:rsidTr="00111E3C">
        <w:tc>
          <w:tcPr>
            <w:tcW w:w="1486" w:type="pct"/>
            <w:vMerge w:val="restart"/>
            <w:tcMar>
              <w:top w:w="30" w:type="dxa"/>
              <w:left w:w="45" w:type="dxa"/>
              <w:bottom w:w="30" w:type="dxa"/>
              <w:right w:w="45" w:type="dxa"/>
            </w:tcMar>
            <w:vAlign w:val="center"/>
            <w:hideMark/>
          </w:tcPr>
          <w:p w14:paraId="4D5E9F0A" w14:textId="77777777" w:rsidR="00320D09" w:rsidRPr="00E019C6" w:rsidRDefault="00320D09" w:rsidP="00AA4BBB">
            <w:pPr>
              <w:rPr>
                <w:rFonts w:cs="Arial"/>
                <w:sz w:val="18"/>
                <w:szCs w:val="18"/>
              </w:rPr>
            </w:pPr>
            <w:r w:rsidRPr="00E019C6">
              <w:rPr>
                <w:rFonts w:cs="Arial"/>
                <w:sz w:val="18"/>
                <w:szCs w:val="18"/>
              </w:rPr>
              <w:t>Realizar 20 investigaciones que aporten al cierre de brechas educativas desde diferentes perspectivas epistémicas y metodológicas que incluyan investigaciones aplicadas en el marco de una educación de calidad que fortalece los aprendizajes.</w:t>
            </w:r>
          </w:p>
        </w:tc>
        <w:tc>
          <w:tcPr>
            <w:tcW w:w="709" w:type="pct"/>
            <w:tcMar>
              <w:top w:w="30" w:type="dxa"/>
              <w:left w:w="45" w:type="dxa"/>
              <w:bottom w:w="30" w:type="dxa"/>
              <w:right w:w="45" w:type="dxa"/>
            </w:tcMar>
            <w:vAlign w:val="center"/>
            <w:hideMark/>
          </w:tcPr>
          <w:p w14:paraId="420833ED" w14:textId="77777777" w:rsidR="00320D09" w:rsidRPr="00824F14" w:rsidRDefault="00320D09" w:rsidP="00AA4BBB">
            <w:pPr>
              <w:jc w:val="center"/>
              <w:rPr>
                <w:rFonts w:cs="Arial"/>
                <w:sz w:val="16"/>
                <w:szCs w:val="14"/>
              </w:rPr>
            </w:pPr>
            <w:r w:rsidRPr="00824F14">
              <w:rPr>
                <w:rFonts w:cs="Arial"/>
                <w:sz w:val="16"/>
                <w:szCs w:val="14"/>
              </w:rPr>
              <w:t>1</w:t>
            </w:r>
          </w:p>
        </w:tc>
        <w:tc>
          <w:tcPr>
            <w:tcW w:w="717" w:type="pct"/>
            <w:tcMar>
              <w:top w:w="30" w:type="dxa"/>
              <w:left w:w="45" w:type="dxa"/>
              <w:bottom w:w="30" w:type="dxa"/>
              <w:right w:w="45" w:type="dxa"/>
            </w:tcMar>
            <w:vAlign w:val="center"/>
            <w:hideMark/>
          </w:tcPr>
          <w:p w14:paraId="4FBCD726" w14:textId="77777777" w:rsidR="00320D09" w:rsidRPr="00824F14" w:rsidRDefault="00320D09" w:rsidP="00AA4BBB">
            <w:pPr>
              <w:jc w:val="center"/>
              <w:rPr>
                <w:rFonts w:cs="Arial"/>
                <w:sz w:val="16"/>
                <w:szCs w:val="14"/>
              </w:rPr>
            </w:pPr>
            <w:r w:rsidRPr="00824F14">
              <w:rPr>
                <w:rFonts w:cs="Arial"/>
                <w:sz w:val="16"/>
                <w:szCs w:val="14"/>
              </w:rPr>
              <w:t>6</w:t>
            </w:r>
          </w:p>
        </w:tc>
        <w:tc>
          <w:tcPr>
            <w:tcW w:w="676" w:type="pct"/>
            <w:tcMar>
              <w:top w:w="30" w:type="dxa"/>
              <w:left w:w="45" w:type="dxa"/>
              <w:bottom w:w="30" w:type="dxa"/>
              <w:right w:w="45" w:type="dxa"/>
            </w:tcMar>
            <w:vAlign w:val="center"/>
            <w:hideMark/>
          </w:tcPr>
          <w:p w14:paraId="1A96B4A8" w14:textId="77777777" w:rsidR="00320D09" w:rsidRPr="00824F14" w:rsidRDefault="00320D09" w:rsidP="00AA4BBB">
            <w:pPr>
              <w:jc w:val="center"/>
              <w:rPr>
                <w:rFonts w:cs="Arial"/>
                <w:sz w:val="16"/>
                <w:szCs w:val="14"/>
              </w:rPr>
            </w:pPr>
            <w:r w:rsidRPr="00824F14">
              <w:rPr>
                <w:rFonts w:cs="Arial"/>
                <w:sz w:val="16"/>
                <w:szCs w:val="14"/>
              </w:rPr>
              <w:t>7</w:t>
            </w:r>
          </w:p>
        </w:tc>
        <w:tc>
          <w:tcPr>
            <w:tcW w:w="700" w:type="pct"/>
            <w:tcMar>
              <w:top w:w="30" w:type="dxa"/>
              <w:left w:w="45" w:type="dxa"/>
              <w:bottom w:w="30" w:type="dxa"/>
              <w:right w:w="45" w:type="dxa"/>
            </w:tcMar>
            <w:vAlign w:val="center"/>
            <w:hideMark/>
          </w:tcPr>
          <w:p w14:paraId="229D616E" w14:textId="77777777" w:rsidR="00320D09" w:rsidRPr="00824F14" w:rsidRDefault="00320D09" w:rsidP="00AA4BBB">
            <w:pPr>
              <w:jc w:val="center"/>
              <w:rPr>
                <w:rFonts w:cs="Arial"/>
                <w:sz w:val="16"/>
                <w:szCs w:val="14"/>
              </w:rPr>
            </w:pPr>
            <w:r w:rsidRPr="00824F14">
              <w:rPr>
                <w:rFonts w:cs="Arial"/>
                <w:sz w:val="16"/>
                <w:szCs w:val="14"/>
              </w:rPr>
              <w:t>6</w:t>
            </w:r>
          </w:p>
        </w:tc>
        <w:tc>
          <w:tcPr>
            <w:tcW w:w="712" w:type="pct"/>
            <w:vMerge w:val="restart"/>
            <w:tcMar>
              <w:top w:w="30" w:type="dxa"/>
              <w:left w:w="45" w:type="dxa"/>
              <w:bottom w:w="30" w:type="dxa"/>
              <w:right w:w="45" w:type="dxa"/>
            </w:tcMar>
            <w:vAlign w:val="center"/>
            <w:hideMark/>
          </w:tcPr>
          <w:p w14:paraId="0AAF8EFB" w14:textId="77777777" w:rsidR="00320D09" w:rsidRPr="00E019C6" w:rsidRDefault="00320D09" w:rsidP="00AA4BBB">
            <w:pPr>
              <w:jc w:val="center"/>
              <w:rPr>
                <w:rFonts w:cs="Arial"/>
                <w:b/>
                <w:bCs/>
                <w:sz w:val="16"/>
                <w:szCs w:val="16"/>
              </w:rPr>
            </w:pPr>
            <w:r w:rsidRPr="00E019C6">
              <w:rPr>
                <w:rFonts w:cs="Arial"/>
                <w:b/>
                <w:bCs/>
                <w:sz w:val="16"/>
                <w:szCs w:val="16"/>
              </w:rPr>
              <w:t>20.937.790.576</w:t>
            </w:r>
          </w:p>
        </w:tc>
      </w:tr>
      <w:tr w:rsidR="00E019C6" w:rsidRPr="00C666B0" w14:paraId="4C1647BC" w14:textId="77777777" w:rsidTr="00111E3C">
        <w:tc>
          <w:tcPr>
            <w:tcW w:w="1486" w:type="pct"/>
            <w:vMerge/>
            <w:vAlign w:val="center"/>
            <w:hideMark/>
          </w:tcPr>
          <w:p w14:paraId="68FC1068"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290E4744" w14:textId="77777777" w:rsidR="00320D09" w:rsidRPr="00824F14" w:rsidRDefault="00320D09" w:rsidP="00AA4BBB">
            <w:pPr>
              <w:jc w:val="center"/>
              <w:rPr>
                <w:rFonts w:cs="Arial"/>
                <w:sz w:val="16"/>
                <w:szCs w:val="14"/>
              </w:rPr>
            </w:pPr>
            <w:r w:rsidRPr="00824F14">
              <w:rPr>
                <w:rFonts w:cs="Arial"/>
                <w:sz w:val="16"/>
                <w:szCs w:val="14"/>
              </w:rPr>
              <w:t>5.119.558.789</w:t>
            </w:r>
          </w:p>
        </w:tc>
        <w:tc>
          <w:tcPr>
            <w:tcW w:w="717" w:type="pct"/>
            <w:tcMar>
              <w:top w:w="30" w:type="dxa"/>
              <w:left w:w="45" w:type="dxa"/>
              <w:bottom w:w="30" w:type="dxa"/>
              <w:right w:w="45" w:type="dxa"/>
            </w:tcMar>
            <w:vAlign w:val="center"/>
            <w:hideMark/>
          </w:tcPr>
          <w:p w14:paraId="23D0BB3F" w14:textId="77777777" w:rsidR="00320D09" w:rsidRPr="00824F14" w:rsidRDefault="00320D09" w:rsidP="00AA4BBB">
            <w:pPr>
              <w:jc w:val="center"/>
              <w:rPr>
                <w:rFonts w:cs="Arial"/>
                <w:sz w:val="16"/>
                <w:szCs w:val="14"/>
              </w:rPr>
            </w:pPr>
            <w:r w:rsidRPr="00824F14">
              <w:rPr>
                <w:rFonts w:cs="Arial"/>
                <w:sz w:val="16"/>
                <w:szCs w:val="14"/>
              </w:rPr>
              <w:t>5.272.743.929</w:t>
            </w:r>
          </w:p>
        </w:tc>
        <w:tc>
          <w:tcPr>
            <w:tcW w:w="676" w:type="pct"/>
            <w:tcMar>
              <w:top w:w="30" w:type="dxa"/>
              <w:left w:w="45" w:type="dxa"/>
              <w:bottom w:w="30" w:type="dxa"/>
              <w:right w:w="45" w:type="dxa"/>
            </w:tcMar>
            <w:vAlign w:val="center"/>
            <w:hideMark/>
          </w:tcPr>
          <w:p w14:paraId="19AC1490" w14:textId="77777777" w:rsidR="00320D09" w:rsidRPr="00824F14" w:rsidRDefault="00320D09" w:rsidP="00AA4BBB">
            <w:pPr>
              <w:jc w:val="center"/>
              <w:rPr>
                <w:rFonts w:cs="Arial"/>
                <w:sz w:val="16"/>
                <w:szCs w:val="14"/>
              </w:rPr>
            </w:pPr>
            <w:r w:rsidRPr="00824F14">
              <w:rPr>
                <w:rFonts w:cs="Arial"/>
                <w:sz w:val="16"/>
                <w:szCs w:val="14"/>
              </w:rPr>
              <w:t>5.272.743.929</w:t>
            </w:r>
          </w:p>
        </w:tc>
        <w:tc>
          <w:tcPr>
            <w:tcW w:w="700" w:type="pct"/>
            <w:tcMar>
              <w:top w:w="30" w:type="dxa"/>
              <w:left w:w="45" w:type="dxa"/>
              <w:bottom w:w="30" w:type="dxa"/>
              <w:right w:w="45" w:type="dxa"/>
            </w:tcMar>
            <w:vAlign w:val="center"/>
            <w:hideMark/>
          </w:tcPr>
          <w:p w14:paraId="799DA662" w14:textId="77777777" w:rsidR="00320D09" w:rsidRPr="00824F14" w:rsidRDefault="00320D09" w:rsidP="00AA4BBB">
            <w:pPr>
              <w:jc w:val="center"/>
              <w:rPr>
                <w:rFonts w:cs="Arial"/>
                <w:sz w:val="16"/>
                <w:szCs w:val="14"/>
              </w:rPr>
            </w:pPr>
            <w:r w:rsidRPr="00824F14">
              <w:rPr>
                <w:rFonts w:cs="Arial"/>
                <w:sz w:val="16"/>
                <w:szCs w:val="14"/>
              </w:rPr>
              <w:t>5.272.743.929</w:t>
            </w:r>
          </w:p>
        </w:tc>
        <w:tc>
          <w:tcPr>
            <w:tcW w:w="712" w:type="pct"/>
            <w:vMerge/>
            <w:vAlign w:val="center"/>
            <w:hideMark/>
          </w:tcPr>
          <w:p w14:paraId="30050825" w14:textId="77777777" w:rsidR="00320D09" w:rsidRPr="00E019C6" w:rsidRDefault="00320D09" w:rsidP="00AA4BBB">
            <w:pPr>
              <w:rPr>
                <w:rFonts w:cs="Arial"/>
                <w:b/>
                <w:bCs/>
                <w:sz w:val="16"/>
                <w:szCs w:val="16"/>
              </w:rPr>
            </w:pPr>
          </w:p>
        </w:tc>
      </w:tr>
      <w:tr w:rsidR="00320D09" w:rsidRPr="00C666B0" w14:paraId="3AC2C67F" w14:textId="77777777" w:rsidTr="00111E3C">
        <w:tc>
          <w:tcPr>
            <w:tcW w:w="5000" w:type="pct"/>
            <w:gridSpan w:val="6"/>
            <w:shd w:val="clear" w:color="auto" w:fill="C00000"/>
            <w:tcMar>
              <w:top w:w="30" w:type="dxa"/>
              <w:left w:w="45" w:type="dxa"/>
              <w:bottom w:w="30" w:type="dxa"/>
              <w:right w:w="45" w:type="dxa"/>
            </w:tcMar>
            <w:vAlign w:val="center"/>
            <w:hideMark/>
          </w:tcPr>
          <w:p w14:paraId="0DCADE67" w14:textId="131AFDB0" w:rsidR="00320D09" w:rsidRPr="00111E3C" w:rsidRDefault="00111E3C" w:rsidP="00111E3C">
            <w:pPr>
              <w:jc w:val="center"/>
              <w:rPr>
                <w:rFonts w:cs="Arial"/>
                <w:b/>
                <w:bCs/>
                <w:color w:val="FFFFFF" w:themeColor="background1"/>
                <w:sz w:val="18"/>
                <w:szCs w:val="18"/>
              </w:rPr>
            </w:pPr>
            <w:r w:rsidRPr="00111E3C">
              <w:rPr>
                <w:rFonts w:cs="Arial"/>
                <w:b/>
                <w:bCs/>
                <w:color w:val="FFFFFF" w:themeColor="background1"/>
                <w:sz w:val="18"/>
                <w:szCs w:val="18"/>
              </w:rPr>
              <w:t>Integración Social</w:t>
            </w:r>
          </w:p>
        </w:tc>
      </w:tr>
      <w:tr w:rsidR="00111E3C" w:rsidRPr="00C666B0" w14:paraId="0573B5BB" w14:textId="77777777" w:rsidTr="00111E3C">
        <w:tc>
          <w:tcPr>
            <w:tcW w:w="1486" w:type="pct"/>
            <w:vMerge w:val="restart"/>
            <w:tcMar>
              <w:top w:w="30" w:type="dxa"/>
              <w:left w:w="45" w:type="dxa"/>
              <w:bottom w:w="30" w:type="dxa"/>
              <w:right w:w="45" w:type="dxa"/>
            </w:tcMar>
            <w:vAlign w:val="center"/>
            <w:hideMark/>
          </w:tcPr>
          <w:p w14:paraId="5D45CF00" w14:textId="77777777" w:rsidR="00111E3C" w:rsidRPr="00E019C6" w:rsidRDefault="00111E3C" w:rsidP="00111E3C">
            <w:pPr>
              <w:rPr>
                <w:rFonts w:cs="Arial"/>
                <w:sz w:val="18"/>
                <w:szCs w:val="18"/>
              </w:rPr>
            </w:pPr>
            <w:r w:rsidRPr="00E019C6">
              <w:rPr>
                <w:rFonts w:cs="Arial"/>
                <w:sz w:val="18"/>
                <w:szCs w:val="18"/>
              </w:rPr>
              <w:t>Aumentar en 30.000 el número de niñas y niños de 0 a 5 años con servicios en el marco de la atención integral.</w:t>
            </w:r>
          </w:p>
        </w:tc>
        <w:tc>
          <w:tcPr>
            <w:tcW w:w="709" w:type="pct"/>
            <w:tcMar>
              <w:top w:w="30" w:type="dxa"/>
              <w:left w:w="45" w:type="dxa"/>
              <w:bottom w:w="30" w:type="dxa"/>
              <w:right w:w="45" w:type="dxa"/>
            </w:tcMar>
            <w:vAlign w:val="center"/>
            <w:hideMark/>
          </w:tcPr>
          <w:p w14:paraId="5A231D2C" w14:textId="77777777" w:rsidR="00111E3C" w:rsidRPr="00824F14" w:rsidRDefault="00111E3C" w:rsidP="00111E3C">
            <w:pPr>
              <w:jc w:val="center"/>
              <w:rPr>
                <w:rFonts w:cs="Arial"/>
                <w:sz w:val="16"/>
                <w:szCs w:val="14"/>
              </w:rPr>
            </w:pPr>
            <w:r w:rsidRPr="00824F14">
              <w:rPr>
                <w:rFonts w:cs="Arial"/>
                <w:sz w:val="16"/>
                <w:szCs w:val="14"/>
              </w:rPr>
              <w:t>0</w:t>
            </w:r>
          </w:p>
        </w:tc>
        <w:tc>
          <w:tcPr>
            <w:tcW w:w="717" w:type="pct"/>
            <w:tcMar>
              <w:top w:w="30" w:type="dxa"/>
              <w:left w:w="45" w:type="dxa"/>
              <w:bottom w:w="30" w:type="dxa"/>
              <w:right w:w="45" w:type="dxa"/>
            </w:tcMar>
            <w:vAlign w:val="center"/>
            <w:hideMark/>
          </w:tcPr>
          <w:p w14:paraId="10230996" w14:textId="58A23C74" w:rsidR="00111E3C" w:rsidRPr="00824F14" w:rsidRDefault="00111E3C" w:rsidP="00111E3C">
            <w:pPr>
              <w:jc w:val="center"/>
              <w:rPr>
                <w:rFonts w:cs="Arial"/>
                <w:sz w:val="16"/>
                <w:szCs w:val="14"/>
              </w:rPr>
            </w:pPr>
            <w:r>
              <w:rPr>
                <w:rFonts w:cs="Arial"/>
                <w:sz w:val="16"/>
                <w:szCs w:val="14"/>
              </w:rPr>
              <w:t>10.000</w:t>
            </w:r>
          </w:p>
        </w:tc>
        <w:tc>
          <w:tcPr>
            <w:tcW w:w="676" w:type="pct"/>
            <w:tcMar>
              <w:top w:w="30" w:type="dxa"/>
              <w:left w:w="45" w:type="dxa"/>
              <w:bottom w:w="30" w:type="dxa"/>
              <w:right w:w="45" w:type="dxa"/>
            </w:tcMar>
            <w:vAlign w:val="center"/>
            <w:hideMark/>
          </w:tcPr>
          <w:p w14:paraId="2B3388D9" w14:textId="055BD720" w:rsidR="00111E3C" w:rsidRPr="00824F14" w:rsidRDefault="00111E3C" w:rsidP="00111E3C">
            <w:pPr>
              <w:jc w:val="center"/>
              <w:rPr>
                <w:rFonts w:cs="Arial"/>
                <w:sz w:val="16"/>
                <w:szCs w:val="14"/>
              </w:rPr>
            </w:pPr>
            <w:r>
              <w:rPr>
                <w:rFonts w:cs="Arial"/>
                <w:sz w:val="16"/>
                <w:szCs w:val="14"/>
              </w:rPr>
              <w:t>10.000</w:t>
            </w:r>
          </w:p>
        </w:tc>
        <w:tc>
          <w:tcPr>
            <w:tcW w:w="700" w:type="pct"/>
            <w:tcMar>
              <w:top w:w="30" w:type="dxa"/>
              <w:left w:w="45" w:type="dxa"/>
              <w:bottom w:w="30" w:type="dxa"/>
              <w:right w:w="45" w:type="dxa"/>
            </w:tcMar>
            <w:vAlign w:val="center"/>
            <w:hideMark/>
          </w:tcPr>
          <w:p w14:paraId="7315C000" w14:textId="3A326BBB" w:rsidR="00111E3C" w:rsidRPr="00824F14" w:rsidRDefault="00111E3C" w:rsidP="00111E3C">
            <w:pPr>
              <w:jc w:val="center"/>
              <w:rPr>
                <w:rFonts w:cs="Arial"/>
                <w:sz w:val="16"/>
                <w:szCs w:val="14"/>
              </w:rPr>
            </w:pPr>
            <w:r>
              <w:rPr>
                <w:rFonts w:cs="Arial"/>
                <w:sz w:val="16"/>
                <w:szCs w:val="14"/>
              </w:rPr>
              <w:t>10.000</w:t>
            </w:r>
          </w:p>
        </w:tc>
        <w:tc>
          <w:tcPr>
            <w:tcW w:w="712" w:type="pct"/>
            <w:vMerge w:val="restart"/>
            <w:tcMar>
              <w:top w:w="30" w:type="dxa"/>
              <w:left w:w="45" w:type="dxa"/>
              <w:bottom w:w="30" w:type="dxa"/>
              <w:right w:w="45" w:type="dxa"/>
            </w:tcMar>
            <w:vAlign w:val="center"/>
            <w:hideMark/>
          </w:tcPr>
          <w:p w14:paraId="2473B1AB" w14:textId="77777777" w:rsidR="00111E3C" w:rsidRPr="00E019C6" w:rsidRDefault="00111E3C" w:rsidP="00111E3C">
            <w:pPr>
              <w:jc w:val="center"/>
              <w:rPr>
                <w:rFonts w:cs="Arial"/>
                <w:b/>
                <w:bCs/>
                <w:sz w:val="16"/>
                <w:szCs w:val="16"/>
              </w:rPr>
            </w:pPr>
            <w:r w:rsidRPr="00E019C6">
              <w:rPr>
                <w:rFonts w:cs="Arial"/>
                <w:b/>
                <w:bCs/>
                <w:sz w:val="16"/>
                <w:szCs w:val="16"/>
              </w:rPr>
              <w:t>951.855.785.106</w:t>
            </w:r>
          </w:p>
        </w:tc>
      </w:tr>
      <w:tr w:rsidR="00E019C6" w:rsidRPr="00C666B0" w14:paraId="66067729" w14:textId="77777777" w:rsidTr="00111E3C">
        <w:tc>
          <w:tcPr>
            <w:tcW w:w="1486" w:type="pct"/>
            <w:vMerge/>
            <w:vAlign w:val="center"/>
            <w:hideMark/>
          </w:tcPr>
          <w:p w14:paraId="430F7AC9"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43E63F2B" w14:textId="77777777" w:rsidR="00320D09" w:rsidRPr="00824F14" w:rsidRDefault="00320D09" w:rsidP="00AA4BBB">
            <w:pPr>
              <w:jc w:val="center"/>
              <w:rPr>
                <w:rFonts w:cs="Arial"/>
                <w:sz w:val="16"/>
                <w:szCs w:val="14"/>
              </w:rPr>
            </w:pPr>
            <w:r w:rsidRPr="00824F14">
              <w:rPr>
                <w:rFonts w:cs="Arial"/>
                <w:sz w:val="16"/>
                <w:szCs w:val="14"/>
              </w:rPr>
              <w:t>227.933.000.000</w:t>
            </w:r>
          </w:p>
        </w:tc>
        <w:tc>
          <w:tcPr>
            <w:tcW w:w="717" w:type="pct"/>
            <w:tcMar>
              <w:top w:w="30" w:type="dxa"/>
              <w:left w:w="45" w:type="dxa"/>
              <w:bottom w:w="30" w:type="dxa"/>
              <w:right w:w="45" w:type="dxa"/>
            </w:tcMar>
            <w:vAlign w:val="center"/>
            <w:hideMark/>
          </w:tcPr>
          <w:p w14:paraId="73123FC4" w14:textId="77777777" w:rsidR="00320D09" w:rsidRPr="00824F14" w:rsidRDefault="00320D09" w:rsidP="00AA4BBB">
            <w:pPr>
              <w:jc w:val="center"/>
              <w:rPr>
                <w:rFonts w:cs="Arial"/>
                <w:sz w:val="16"/>
                <w:szCs w:val="14"/>
              </w:rPr>
            </w:pPr>
            <w:r w:rsidRPr="00824F14">
              <w:rPr>
                <w:rFonts w:cs="Arial"/>
                <w:sz w:val="16"/>
                <w:szCs w:val="14"/>
              </w:rPr>
              <w:t>233.930.097.087</w:t>
            </w:r>
          </w:p>
        </w:tc>
        <w:tc>
          <w:tcPr>
            <w:tcW w:w="676" w:type="pct"/>
            <w:tcMar>
              <w:top w:w="30" w:type="dxa"/>
              <w:left w:w="45" w:type="dxa"/>
              <w:bottom w:w="30" w:type="dxa"/>
              <w:right w:w="45" w:type="dxa"/>
            </w:tcMar>
            <w:vAlign w:val="center"/>
            <w:hideMark/>
          </w:tcPr>
          <w:p w14:paraId="1E2538AB" w14:textId="77777777" w:rsidR="00320D09" w:rsidRPr="00824F14" w:rsidRDefault="00320D09" w:rsidP="00AA4BBB">
            <w:pPr>
              <w:jc w:val="center"/>
              <w:rPr>
                <w:rFonts w:cs="Arial"/>
                <w:sz w:val="16"/>
                <w:szCs w:val="14"/>
              </w:rPr>
            </w:pPr>
            <w:r w:rsidRPr="00824F14">
              <w:rPr>
                <w:rFonts w:cs="Arial"/>
                <w:sz w:val="16"/>
                <w:szCs w:val="14"/>
              </w:rPr>
              <w:t>243.291.544.915</w:t>
            </w:r>
          </w:p>
        </w:tc>
        <w:tc>
          <w:tcPr>
            <w:tcW w:w="700" w:type="pct"/>
            <w:tcMar>
              <w:top w:w="30" w:type="dxa"/>
              <w:left w:w="45" w:type="dxa"/>
              <w:bottom w:w="30" w:type="dxa"/>
              <w:right w:w="45" w:type="dxa"/>
            </w:tcMar>
            <w:vAlign w:val="center"/>
            <w:hideMark/>
          </w:tcPr>
          <w:p w14:paraId="14FBB258" w14:textId="77777777" w:rsidR="00320D09" w:rsidRPr="00824F14" w:rsidRDefault="00320D09" w:rsidP="00AA4BBB">
            <w:pPr>
              <w:jc w:val="center"/>
              <w:rPr>
                <w:rFonts w:cs="Arial"/>
                <w:sz w:val="16"/>
                <w:szCs w:val="14"/>
              </w:rPr>
            </w:pPr>
            <w:r w:rsidRPr="00824F14">
              <w:rPr>
                <w:rFonts w:cs="Arial"/>
                <w:sz w:val="16"/>
                <w:szCs w:val="14"/>
              </w:rPr>
              <w:t>246.701.143.103</w:t>
            </w:r>
          </w:p>
        </w:tc>
        <w:tc>
          <w:tcPr>
            <w:tcW w:w="712" w:type="pct"/>
            <w:vMerge/>
            <w:vAlign w:val="center"/>
            <w:hideMark/>
          </w:tcPr>
          <w:p w14:paraId="16F5929E" w14:textId="77777777" w:rsidR="00320D09" w:rsidRPr="00E019C6" w:rsidRDefault="00320D09" w:rsidP="00AA4BBB">
            <w:pPr>
              <w:rPr>
                <w:rFonts w:cs="Arial"/>
                <w:b/>
                <w:bCs/>
                <w:sz w:val="16"/>
                <w:szCs w:val="16"/>
              </w:rPr>
            </w:pPr>
          </w:p>
        </w:tc>
      </w:tr>
      <w:tr w:rsidR="00E019C6" w:rsidRPr="00C666B0" w14:paraId="197CD93F" w14:textId="77777777" w:rsidTr="00111E3C">
        <w:tc>
          <w:tcPr>
            <w:tcW w:w="1486" w:type="pct"/>
            <w:vMerge w:val="restart"/>
            <w:tcMar>
              <w:top w:w="30" w:type="dxa"/>
              <w:left w:w="45" w:type="dxa"/>
              <w:bottom w:w="30" w:type="dxa"/>
              <w:right w:w="45" w:type="dxa"/>
            </w:tcMar>
            <w:vAlign w:val="center"/>
            <w:hideMark/>
          </w:tcPr>
          <w:p w14:paraId="21164FD7" w14:textId="77777777" w:rsidR="00320D09" w:rsidRPr="00E019C6" w:rsidRDefault="00320D09" w:rsidP="00AA4BBB">
            <w:pPr>
              <w:rPr>
                <w:rFonts w:cs="Arial"/>
                <w:sz w:val="18"/>
                <w:szCs w:val="18"/>
              </w:rPr>
            </w:pPr>
            <w:r w:rsidRPr="00E019C6">
              <w:rPr>
                <w:rFonts w:cs="Arial"/>
                <w:sz w:val="18"/>
                <w:szCs w:val="18"/>
              </w:rPr>
              <w:t>Contar con dos (2) Centros Abrazar para la atención de niñas niños y adolescentes provenientes de flujos migratorios mixtos en situación de riesgo de vulneración de derechos y sus familias</w:t>
            </w:r>
          </w:p>
        </w:tc>
        <w:tc>
          <w:tcPr>
            <w:tcW w:w="709" w:type="pct"/>
            <w:tcMar>
              <w:top w:w="30" w:type="dxa"/>
              <w:left w:w="45" w:type="dxa"/>
              <w:bottom w:w="30" w:type="dxa"/>
              <w:right w:w="45" w:type="dxa"/>
            </w:tcMar>
            <w:vAlign w:val="center"/>
            <w:hideMark/>
          </w:tcPr>
          <w:p w14:paraId="7001ACD1" w14:textId="77777777" w:rsidR="00320D09" w:rsidRPr="00824F14" w:rsidRDefault="00320D09" w:rsidP="00AA4BBB">
            <w:pPr>
              <w:jc w:val="center"/>
              <w:rPr>
                <w:rFonts w:cs="Arial"/>
                <w:sz w:val="16"/>
                <w:szCs w:val="14"/>
              </w:rPr>
            </w:pPr>
            <w:r w:rsidRPr="00824F14">
              <w:rPr>
                <w:rFonts w:cs="Arial"/>
                <w:sz w:val="16"/>
                <w:szCs w:val="14"/>
              </w:rPr>
              <w:t>1</w:t>
            </w:r>
          </w:p>
        </w:tc>
        <w:tc>
          <w:tcPr>
            <w:tcW w:w="717" w:type="pct"/>
            <w:tcMar>
              <w:top w:w="30" w:type="dxa"/>
              <w:left w:w="45" w:type="dxa"/>
              <w:bottom w:w="30" w:type="dxa"/>
              <w:right w:w="45" w:type="dxa"/>
            </w:tcMar>
            <w:vAlign w:val="center"/>
            <w:hideMark/>
          </w:tcPr>
          <w:p w14:paraId="0B4FB33B" w14:textId="77777777" w:rsidR="00320D09" w:rsidRPr="00824F14" w:rsidRDefault="00320D09" w:rsidP="00AA4BBB">
            <w:pPr>
              <w:jc w:val="center"/>
              <w:rPr>
                <w:rFonts w:cs="Arial"/>
                <w:sz w:val="16"/>
                <w:szCs w:val="14"/>
              </w:rPr>
            </w:pPr>
            <w:r w:rsidRPr="00824F14">
              <w:rPr>
                <w:rFonts w:cs="Arial"/>
                <w:sz w:val="16"/>
                <w:szCs w:val="14"/>
              </w:rPr>
              <w:t>2</w:t>
            </w:r>
          </w:p>
        </w:tc>
        <w:tc>
          <w:tcPr>
            <w:tcW w:w="676" w:type="pct"/>
            <w:tcMar>
              <w:top w:w="30" w:type="dxa"/>
              <w:left w:w="45" w:type="dxa"/>
              <w:bottom w:w="30" w:type="dxa"/>
              <w:right w:w="45" w:type="dxa"/>
            </w:tcMar>
            <w:vAlign w:val="center"/>
            <w:hideMark/>
          </w:tcPr>
          <w:p w14:paraId="0B9BA817" w14:textId="77777777" w:rsidR="00320D09" w:rsidRPr="00824F14" w:rsidRDefault="00320D09" w:rsidP="00AA4BBB">
            <w:pPr>
              <w:jc w:val="center"/>
              <w:rPr>
                <w:rFonts w:cs="Arial"/>
                <w:sz w:val="16"/>
                <w:szCs w:val="14"/>
              </w:rPr>
            </w:pPr>
            <w:r w:rsidRPr="00824F14">
              <w:rPr>
                <w:rFonts w:cs="Arial"/>
                <w:sz w:val="16"/>
                <w:szCs w:val="14"/>
              </w:rPr>
              <w:t>2</w:t>
            </w:r>
          </w:p>
        </w:tc>
        <w:tc>
          <w:tcPr>
            <w:tcW w:w="700" w:type="pct"/>
            <w:tcMar>
              <w:top w:w="30" w:type="dxa"/>
              <w:left w:w="45" w:type="dxa"/>
              <w:bottom w:w="30" w:type="dxa"/>
              <w:right w:w="45" w:type="dxa"/>
            </w:tcMar>
            <w:vAlign w:val="center"/>
            <w:hideMark/>
          </w:tcPr>
          <w:p w14:paraId="6D8C4309" w14:textId="77777777" w:rsidR="00320D09" w:rsidRPr="00824F14" w:rsidRDefault="00320D09" w:rsidP="00AA4BBB">
            <w:pPr>
              <w:jc w:val="center"/>
              <w:rPr>
                <w:rFonts w:cs="Arial"/>
                <w:sz w:val="16"/>
                <w:szCs w:val="14"/>
              </w:rPr>
            </w:pPr>
            <w:r w:rsidRPr="00824F14">
              <w:rPr>
                <w:rFonts w:cs="Arial"/>
                <w:sz w:val="16"/>
                <w:szCs w:val="14"/>
              </w:rPr>
              <w:t>2</w:t>
            </w:r>
          </w:p>
        </w:tc>
        <w:tc>
          <w:tcPr>
            <w:tcW w:w="712" w:type="pct"/>
            <w:vMerge w:val="restart"/>
            <w:tcMar>
              <w:top w:w="30" w:type="dxa"/>
              <w:left w:w="45" w:type="dxa"/>
              <w:bottom w:w="30" w:type="dxa"/>
              <w:right w:w="45" w:type="dxa"/>
            </w:tcMar>
            <w:vAlign w:val="center"/>
            <w:hideMark/>
          </w:tcPr>
          <w:p w14:paraId="38F49174" w14:textId="77777777" w:rsidR="00320D09" w:rsidRPr="00E019C6" w:rsidRDefault="00320D09" w:rsidP="00AA4BBB">
            <w:pPr>
              <w:jc w:val="center"/>
              <w:rPr>
                <w:rFonts w:cs="Arial"/>
                <w:b/>
                <w:bCs/>
                <w:sz w:val="16"/>
                <w:szCs w:val="16"/>
              </w:rPr>
            </w:pPr>
            <w:r w:rsidRPr="00E019C6">
              <w:rPr>
                <w:rFonts w:cs="Arial"/>
                <w:b/>
                <w:bCs/>
                <w:sz w:val="16"/>
                <w:szCs w:val="16"/>
              </w:rPr>
              <w:t>6.568.489.907</w:t>
            </w:r>
          </w:p>
        </w:tc>
      </w:tr>
      <w:tr w:rsidR="00E019C6" w:rsidRPr="00C666B0" w14:paraId="1E2B5D71" w14:textId="77777777" w:rsidTr="00111E3C">
        <w:tc>
          <w:tcPr>
            <w:tcW w:w="1486" w:type="pct"/>
            <w:vMerge/>
            <w:vAlign w:val="center"/>
            <w:hideMark/>
          </w:tcPr>
          <w:p w14:paraId="65A71203"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556AEBE8" w14:textId="77777777" w:rsidR="00320D09" w:rsidRPr="00824F14" w:rsidRDefault="00320D09" w:rsidP="00AA4BBB">
            <w:pPr>
              <w:jc w:val="center"/>
              <w:rPr>
                <w:rFonts w:cs="Arial"/>
                <w:sz w:val="16"/>
                <w:szCs w:val="14"/>
              </w:rPr>
            </w:pPr>
            <w:r w:rsidRPr="00824F14">
              <w:rPr>
                <w:rFonts w:cs="Arial"/>
                <w:sz w:val="16"/>
                <w:szCs w:val="14"/>
              </w:rPr>
              <w:t>1.573.000.000</w:t>
            </w:r>
          </w:p>
        </w:tc>
        <w:tc>
          <w:tcPr>
            <w:tcW w:w="717" w:type="pct"/>
            <w:tcMar>
              <w:top w:w="30" w:type="dxa"/>
              <w:left w:w="45" w:type="dxa"/>
              <w:bottom w:w="30" w:type="dxa"/>
              <w:right w:w="45" w:type="dxa"/>
            </w:tcMar>
            <w:vAlign w:val="center"/>
            <w:hideMark/>
          </w:tcPr>
          <w:p w14:paraId="01E915ED" w14:textId="77777777" w:rsidR="00320D09" w:rsidRPr="00824F14" w:rsidRDefault="00320D09" w:rsidP="00AA4BBB">
            <w:pPr>
              <w:jc w:val="center"/>
              <w:rPr>
                <w:rFonts w:cs="Arial"/>
                <w:sz w:val="16"/>
                <w:szCs w:val="14"/>
              </w:rPr>
            </w:pPr>
            <w:r w:rsidRPr="00824F14">
              <w:rPr>
                <w:rFonts w:cs="Arial"/>
                <w:sz w:val="16"/>
                <w:szCs w:val="14"/>
              </w:rPr>
              <w:t>1.614.563.107</w:t>
            </w:r>
          </w:p>
        </w:tc>
        <w:tc>
          <w:tcPr>
            <w:tcW w:w="676" w:type="pct"/>
            <w:tcMar>
              <w:top w:w="30" w:type="dxa"/>
              <w:left w:w="45" w:type="dxa"/>
              <w:bottom w:w="30" w:type="dxa"/>
              <w:right w:w="45" w:type="dxa"/>
            </w:tcMar>
            <w:vAlign w:val="center"/>
            <w:hideMark/>
          </w:tcPr>
          <w:p w14:paraId="65FAD520" w14:textId="77777777" w:rsidR="00320D09" w:rsidRPr="00824F14" w:rsidRDefault="00320D09" w:rsidP="00AA4BBB">
            <w:pPr>
              <w:jc w:val="center"/>
              <w:rPr>
                <w:rFonts w:cs="Arial"/>
                <w:sz w:val="16"/>
                <w:szCs w:val="14"/>
              </w:rPr>
            </w:pPr>
            <w:r w:rsidRPr="00824F14">
              <w:rPr>
                <w:rFonts w:cs="Arial"/>
                <w:sz w:val="16"/>
                <w:szCs w:val="14"/>
              </w:rPr>
              <w:t>1.678.763.314</w:t>
            </w:r>
          </w:p>
        </w:tc>
        <w:tc>
          <w:tcPr>
            <w:tcW w:w="700" w:type="pct"/>
            <w:tcMar>
              <w:top w:w="30" w:type="dxa"/>
              <w:left w:w="45" w:type="dxa"/>
              <w:bottom w:w="30" w:type="dxa"/>
              <w:right w:w="45" w:type="dxa"/>
            </w:tcMar>
            <w:vAlign w:val="center"/>
            <w:hideMark/>
          </w:tcPr>
          <w:p w14:paraId="62CF1706" w14:textId="77777777" w:rsidR="00320D09" w:rsidRPr="00824F14" w:rsidRDefault="00320D09" w:rsidP="00AA4BBB">
            <w:pPr>
              <w:jc w:val="center"/>
              <w:rPr>
                <w:rFonts w:cs="Arial"/>
                <w:sz w:val="16"/>
                <w:szCs w:val="14"/>
              </w:rPr>
            </w:pPr>
            <w:r w:rsidRPr="00824F14">
              <w:rPr>
                <w:rFonts w:cs="Arial"/>
                <w:sz w:val="16"/>
                <w:szCs w:val="14"/>
              </w:rPr>
              <w:t>1.702.163.486</w:t>
            </w:r>
          </w:p>
        </w:tc>
        <w:tc>
          <w:tcPr>
            <w:tcW w:w="712" w:type="pct"/>
            <w:vMerge/>
            <w:vAlign w:val="center"/>
            <w:hideMark/>
          </w:tcPr>
          <w:p w14:paraId="3DB32F53" w14:textId="77777777" w:rsidR="00320D09" w:rsidRPr="00E019C6" w:rsidRDefault="00320D09" w:rsidP="00AA4BBB">
            <w:pPr>
              <w:rPr>
                <w:rFonts w:cs="Arial"/>
                <w:b/>
                <w:bCs/>
                <w:sz w:val="16"/>
                <w:szCs w:val="16"/>
              </w:rPr>
            </w:pPr>
          </w:p>
        </w:tc>
      </w:tr>
      <w:tr w:rsidR="00E019C6" w:rsidRPr="00C666B0" w14:paraId="0EBDE6E7" w14:textId="77777777" w:rsidTr="00111E3C">
        <w:tc>
          <w:tcPr>
            <w:tcW w:w="1486" w:type="pct"/>
            <w:vMerge w:val="restart"/>
            <w:tcMar>
              <w:top w:w="30" w:type="dxa"/>
              <w:left w:w="45" w:type="dxa"/>
              <w:bottom w:w="30" w:type="dxa"/>
              <w:right w:w="45" w:type="dxa"/>
            </w:tcMar>
            <w:vAlign w:val="center"/>
            <w:hideMark/>
          </w:tcPr>
          <w:p w14:paraId="00AC8D2C" w14:textId="77777777" w:rsidR="00320D09" w:rsidRPr="00E019C6" w:rsidRDefault="00320D09" w:rsidP="00AA4BBB">
            <w:pPr>
              <w:rPr>
                <w:rFonts w:cs="Arial"/>
                <w:sz w:val="18"/>
                <w:szCs w:val="18"/>
              </w:rPr>
            </w:pPr>
            <w:r w:rsidRPr="00E019C6">
              <w:rPr>
                <w:rFonts w:cs="Arial"/>
                <w:sz w:val="18"/>
                <w:szCs w:val="18"/>
              </w:rPr>
              <w:t>Implementar un (1) sistema de aseguramiento de la calidad para la atención a la primera infancia de prestadores públicos y privados en el marco de la atención integral.</w:t>
            </w:r>
          </w:p>
        </w:tc>
        <w:tc>
          <w:tcPr>
            <w:tcW w:w="709" w:type="pct"/>
            <w:tcMar>
              <w:top w:w="30" w:type="dxa"/>
              <w:left w:w="45" w:type="dxa"/>
              <w:bottom w:w="30" w:type="dxa"/>
              <w:right w:w="45" w:type="dxa"/>
            </w:tcMar>
            <w:vAlign w:val="center"/>
            <w:hideMark/>
          </w:tcPr>
          <w:p w14:paraId="76B091A5" w14:textId="77777777" w:rsidR="00320D09" w:rsidRPr="00824F14" w:rsidRDefault="00320D09" w:rsidP="00AA4BBB">
            <w:pPr>
              <w:jc w:val="center"/>
              <w:rPr>
                <w:rFonts w:cs="Arial"/>
                <w:sz w:val="16"/>
                <w:szCs w:val="14"/>
              </w:rPr>
            </w:pPr>
            <w:r w:rsidRPr="00824F14">
              <w:rPr>
                <w:rFonts w:cs="Arial"/>
                <w:sz w:val="16"/>
                <w:szCs w:val="14"/>
              </w:rPr>
              <w:t>0,25</w:t>
            </w:r>
          </w:p>
        </w:tc>
        <w:tc>
          <w:tcPr>
            <w:tcW w:w="717" w:type="pct"/>
            <w:tcMar>
              <w:top w:w="30" w:type="dxa"/>
              <w:left w:w="45" w:type="dxa"/>
              <w:bottom w:w="30" w:type="dxa"/>
              <w:right w:w="45" w:type="dxa"/>
            </w:tcMar>
            <w:vAlign w:val="center"/>
            <w:hideMark/>
          </w:tcPr>
          <w:p w14:paraId="6ED05DC7" w14:textId="77777777" w:rsidR="00320D09" w:rsidRPr="00824F14" w:rsidRDefault="00320D09" w:rsidP="00AA4BBB">
            <w:pPr>
              <w:jc w:val="center"/>
              <w:rPr>
                <w:rFonts w:cs="Arial"/>
                <w:sz w:val="16"/>
                <w:szCs w:val="14"/>
              </w:rPr>
            </w:pPr>
            <w:r w:rsidRPr="00824F14">
              <w:rPr>
                <w:rFonts w:cs="Arial"/>
                <w:sz w:val="16"/>
                <w:szCs w:val="14"/>
              </w:rPr>
              <w:t>0,50</w:t>
            </w:r>
          </w:p>
        </w:tc>
        <w:tc>
          <w:tcPr>
            <w:tcW w:w="676" w:type="pct"/>
            <w:tcMar>
              <w:top w:w="30" w:type="dxa"/>
              <w:left w:w="45" w:type="dxa"/>
              <w:bottom w:w="30" w:type="dxa"/>
              <w:right w:w="45" w:type="dxa"/>
            </w:tcMar>
            <w:vAlign w:val="center"/>
            <w:hideMark/>
          </w:tcPr>
          <w:p w14:paraId="4AAA83D1" w14:textId="77777777" w:rsidR="00320D09" w:rsidRPr="00824F14" w:rsidRDefault="00320D09" w:rsidP="00AA4BBB">
            <w:pPr>
              <w:jc w:val="center"/>
              <w:rPr>
                <w:rFonts w:cs="Arial"/>
                <w:sz w:val="16"/>
                <w:szCs w:val="14"/>
              </w:rPr>
            </w:pPr>
            <w:r w:rsidRPr="00824F14">
              <w:rPr>
                <w:rFonts w:cs="Arial"/>
                <w:sz w:val="16"/>
                <w:szCs w:val="14"/>
              </w:rPr>
              <w:t>0,75</w:t>
            </w:r>
          </w:p>
        </w:tc>
        <w:tc>
          <w:tcPr>
            <w:tcW w:w="700" w:type="pct"/>
            <w:tcMar>
              <w:top w:w="30" w:type="dxa"/>
              <w:left w:w="45" w:type="dxa"/>
              <w:bottom w:w="30" w:type="dxa"/>
              <w:right w:w="45" w:type="dxa"/>
            </w:tcMar>
            <w:vAlign w:val="center"/>
            <w:hideMark/>
          </w:tcPr>
          <w:p w14:paraId="0A8FD1C1" w14:textId="77777777" w:rsidR="00320D09" w:rsidRPr="00824F14" w:rsidRDefault="00320D09" w:rsidP="00AA4BBB">
            <w:pPr>
              <w:jc w:val="center"/>
              <w:rPr>
                <w:rFonts w:cs="Arial"/>
                <w:sz w:val="16"/>
                <w:szCs w:val="14"/>
              </w:rPr>
            </w:pPr>
            <w:r w:rsidRPr="00824F14">
              <w:rPr>
                <w:rFonts w:cs="Arial"/>
                <w:sz w:val="16"/>
                <w:szCs w:val="14"/>
              </w:rPr>
              <w:t>1,00</w:t>
            </w:r>
          </w:p>
        </w:tc>
        <w:tc>
          <w:tcPr>
            <w:tcW w:w="712" w:type="pct"/>
            <w:vMerge w:val="restart"/>
            <w:tcMar>
              <w:top w:w="30" w:type="dxa"/>
              <w:left w:w="45" w:type="dxa"/>
              <w:bottom w:w="30" w:type="dxa"/>
              <w:right w:w="45" w:type="dxa"/>
            </w:tcMar>
            <w:vAlign w:val="center"/>
            <w:hideMark/>
          </w:tcPr>
          <w:p w14:paraId="4A6E9102" w14:textId="77777777" w:rsidR="00320D09" w:rsidRPr="00E019C6" w:rsidRDefault="00320D09" w:rsidP="00AA4BBB">
            <w:pPr>
              <w:jc w:val="center"/>
              <w:rPr>
                <w:rFonts w:cs="Arial"/>
                <w:b/>
                <w:bCs/>
                <w:sz w:val="16"/>
                <w:szCs w:val="16"/>
              </w:rPr>
            </w:pPr>
            <w:r w:rsidRPr="00E019C6">
              <w:rPr>
                <w:rFonts w:cs="Arial"/>
                <w:b/>
                <w:bCs/>
                <w:sz w:val="16"/>
                <w:szCs w:val="16"/>
              </w:rPr>
              <w:t>4.175.844.744</w:t>
            </w:r>
          </w:p>
        </w:tc>
      </w:tr>
      <w:tr w:rsidR="00E019C6" w:rsidRPr="00C666B0" w14:paraId="395EF75A" w14:textId="77777777" w:rsidTr="00111E3C">
        <w:tc>
          <w:tcPr>
            <w:tcW w:w="1486" w:type="pct"/>
            <w:vMerge/>
            <w:vAlign w:val="center"/>
            <w:hideMark/>
          </w:tcPr>
          <w:p w14:paraId="264FD1FC"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5F376E83" w14:textId="77777777" w:rsidR="00320D09" w:rsidRPr="00824F14" w:rsidRDefault="00320D09" w:rsidP="00AA4BBB">
            <w:pPr>
              <w:jc w:val="center"/>
              <w:rPr>
                <w:rFonts w:cs="Arial"/>
                <w:sz w:val="16"/>
                <w:szCs w:val="14"/>
              </w:rPr>
            </w:pPr>
            <w:r w:rsidRPr="00824F14">
              <w:rPr>
                <w:rFonts w:cs="Arial"/>
                <w:sz w:val="16"/>
                <w:szCs w:val="14"/>
              </w:rPr>
              <w:t>1.000.000.000</w:t>
            </w:r>
          </w:p>
        </w:tc>
        <w:tc>
          <w:tcPr>
            <w:tcW w:w="717" w:type="pct"/>
            <w:tcMar>
              <w:top w:w="30" w:type="dxa"/>
              <w:left w:w="45" w:type="dxa"/>
              <w:bottom w:w="30" w:type="dxa"/>
              <w:right w:w="45" w:type="dxa"/>
            </w:tcMar>
            <w:vAlign w:val="center"/>
            <w:hideMark/>
          </w:tcPr>
          <w:p w14:paraId="6C9779BE" w14:textId="77777777" w:rsidR="00320D09" w:rsidRPr="00824F14" w:rsidRDefault="00320D09" w:rsidP="00AA4BBB">
            <w:pPr>
              <w:jc w:val="center"/>
              <w:rPr>
                <w:rFonts w:cs="Arial"/>
                <w:sz w:val="16"/>
                <w:szCs w:val="14"/>
              </w:rPr>
            </w:pPr>
            <w:r w:rsidRPr="00824F14">
              <w:rPr>
                <w:rFonts w:cs="Arial"/>
                <w:sz w:val="16"/>
                <w:szCs w:val="14"/>
              </w:rPr>
              <w:t>1.026.213.592</w:t>
            </w:r>
          </w:p>
        </w:tc>
        <w:tc>
          <w:tcPr>
            <w:tcW w:w="676" w:type="pct"/>
            <w:tcMar>
              <w:top w:w="30" w:type="dxa"/>
              <w:left w:w="45" w:type="dxa"/>
              <w:bottom w:w="30" w:type="dxa"/>
              <w:right w:w="45" w:type="dxa"/>
            </w:tcMar>
            <w:vAlign w:val="center"/>
            <w:hideMark/>
          </w:tcPr>
          <w:p w14:paraId="0A266C48" w14:textId="77777777" w:rsidR="00320D09" w:rsidRPr="00824F14" w:rsidRDefault="00320D09" w:rsidP="00AA4BBB">
            <w:pPr>
              <w:jc w:val="center"/>
              <w:rPr>
                <w:rFonts w:cs="Arial"/>
                <w:sz w:val="16"/>
                <w:szCs w:val="14"/>
              </w:rPr>
            </w:pPr>
            <w:r w:rsidRPr="00824F14">
              <w:rPr>
                <w:rFonts w:cs="Arial"/>
                <w:sz w:val="16"/>
                <w:szCs w:val="14"/>
              </w:rPr>
              <w:t>1.067.018.569</w:t>
            </w:r>
          </w:p>
        </w:tc>
        <w:tc>
          <w:tcPr>
            <w:tcW w:w="700" w:type="pct"/>
            <w:tcMar>
              <w:top w:w="30" w:type="dxa"/>
              <w:left w:w="45" w:type="dxa"/>
              <w:bottom w:w="30" w:type="dxa"/>
              <w:right w:w="45" w:type="dxa"/>
            </w:tcMar>
            <w:vAlign w:val="center"/>
            <w:hideMark/>
          </w:tcPr>
          <w:p w14:paraId="7F14BC2D" w14:textId="77777777" w:rsidR="00320D09" w:rsidRPr="00824F14" w:rsidRDefault="00320D09" w:rsidP="00AA4BBB">
            <w:pPr>
              <w:jc w:val="center"/>
              <w:rPr>
                <w:rFonts w:cs="Arial"/>
                <w:sz w:val="16"/>
                <w:szCs w:val="14"/>
              </w:rPr>
            </w:pPr>
            <w:r w:rsidRPr="00824F14">
              <w:rPr>
                <w:rFonts w:cs="Arial"/>
                <w:sz w:val="16"/>
                <w:szCs w:val="14"/>
              </w:rPr>
              <w:t>1.082.612.583</w:t>
            </w:r>
          </w:p>
        </w:tc>
        <w:tc>
          <w:tcPr>
            <w:tcW w:w="712" w:type="pct"/>
            <w:vMerge/>
            <w:vAlign w:val="center"/>
            <w:hideMark/>
          </w:tcPr>
          <w:p w14:paraId="59840920" w14:textId="77777777" w:rsidR="00320D09" w:rsidRPr="00E019C6" w:rsidRDefault="00320D09" w:rsidP="00AA4BBB">
            <w:pPr>
              <w:rPr>
                <w:rFonts w:cs="Arial"/>
                <w:b/>
                <w:bCs/>
                <w:sz w:val="16"/>
                <w:szCs w:val="16"/>
              </w:rPr>
            </w:pPr>
          </w:p>
        </w:tc>
      </w:tr>
      <w:tr w:rsidR="00E019C6" w:rsidRPr="00C666B0" w14:paraId="121C50F2" w14:textId="77777777" w:rsidTr="00111E3C">
        <w:tc>
          <w:tcPr>
            <w:tcW w:w="1486" w:type="pct"/>
            <w:vMerge w:val="restart"/>
            <w:tcMar>
              <w:top w:w="30" w:type="dxa"/>
              <w:left w:w="45" w:type="dxa"/>
              <w:bottom w:w="30" w:type="dxa"/>
              <w:right w:w="45" w:type="dxa"/>
            </w:tcMar>
            <w:vAlign w:val="center"/>
            <w:hideMark/>
          </w:tcPr>
          <w:p w14:paraId="0B4412A9" w14:textId="77777777" w:rsidR="00320D09" w:rsidRPr="00E019C6" w:rsidRDefault="00320D09" w:rsidP="00AA4BBB">
            <w:pPr>
              <w:rPr>
                <w:rFonts w:cs="Arial"/>
                <w:sz w:val="18"/>
                <w:szCs w:val="18"/>
              </w:rPr>
            </w:pPr>
            <w:r w:rsidRPr="00E019C6">
              <w:rPr>
                <w:rFonts w:cs="Arial"/>
                <w:sz w:val="18"/>
                <w:szCs w:val="18"/>
              </w:rPr>
              <w:t>Implementar un (1) sistema de seguimiento niño a niño y niña a niña para la atención integral a la primera infancia</w:t>
            </w:r>
          </w:p>
        </w:tc>
        <w:tc>
          <w:tcPr>
            <w:tcW w:w="709" w:type="pct"/>
            <w:tcMar>
              <w:top w:w="30" w:type="dxa"/>
              <w:left w:w="45" w:type="dxa"/>
              <w:bottom w:w="30" w:type="dxa"/>
              <w:right w:w="45" w:type="dxa"/>
            </w:tcMar>
            <w:vAlign w:val="center"/>
            <w:hideMark/>
          </w:tcPr>
          <w:p w14:paraId="4D8CA480" w14:textId="77777777" w:rsidR="00320D09" w:rsidRPr="00824F14" w:rsidRDefault="00320D09" w:rsidP="00AA4BBB">
            <w:pPr>
              <w:jc w:val="center"/>
              <w:rPr>
                <w:rFonts w:cs="Arial"/>
                <w:sz w:val="16"/>
                <w:szCs w:val="14"/>
              </w:rPr>
            </w:pPr>
            <w:r w:rsidRPr="00824F14">
              <w:rPr>
                <w:rFonts w:cs="Arial"/>
                <w:sz w:val="16"/>
                <w:szCs w:val="14"/>
              </w:rPr>
              <w:t>0,25</w:t>
            </w:r>
          </w:p>
        </w:tc>
        <w:tc>
          <w:tcPr>
            <w:tcW w:w="717" w:type="pct"/>
            <w:tcMar>
              <w:top w:w="30" w:type="dxa"/>
              <w:left w:w="45" w:type="dxa"/>
              <w:bottom w:w="30" w:type="dxa"/>
              <w:right w:w="45" w:type="dxa"/>
            </w:tcMar>
            <w:vAlign w:val="center"/>
            <w:hideMark/>
          </w:tcPr>
          <w:p w14:paraId="278FAACD" w14:textId="77777777" w:rsidR="00320D09" w:rsidRPr="00824F14" w:rsidRDefault="00320D09" w:rsidP="00AA4BBB">
            <w:pPr>
              <w:jc w:val="center"/>
              <w:rPr>
                <w:rFonts w:cs="Arial"/>
                <w:sz w:val="16"/>
                <w:szCs w:val="14"/>
              </w:rPr>
            </w:pPr>
            <w:r w:rsidRPr="00824F14">
              <w:rPr>
                <w:rFonts w:cs="Arial"/>
                <w:sz w:val="16"/>
                <w:szCs w:val="14"/>
              </w:rPr>
              <w:t>0,50</w:t>
            </w:r>
          </w:p>
        </w:tc>
        <w:tc>
          <w:tcPr>
            <w:tcW w:w="676" w:type="pct"/>
            <w:tcMar>
              <w:top w:w="30" w:type="dxa"/>
              <w:left w:w="45" w:type="dxa"/>
              <w:bottom w:w="30" w:type="dxa"/>
              <w:right w:w="45" w:type="dxa"/>
            </w:tcMar>
            <w:vAlign w:val="center"/>
            <w:hideMark/>
          </w:tcPr>
          <w:p w14:paraId="4D984E51" w14:textId="77777777" w:rsidR="00320D09" w:rsidRPr="00824F14" w:rsidRDefault="00320D09" w:rsidP="00AA4BBB">
            <w:pPr>
              <w:jc w:val="center"/>
              <w:rPr>
                <w:rFonts w:cs="Arial"/>
                <w:sz w:val="16"/>
                <w:szCs w:val="14"/>
              </w:rPr>
            </w:pPr>
            <w:r w:rsidRPr="00824F14">
              <w:rPr>
                <w:rFonts w:cs="Arial"/>
                <w:sz w:val="16"/>
                <w:szCs w:val="14"/>
              </w:rPr>
              <w:t>0,75</w:t>
            </w:r>
          </w:p>
        </w:tc>
        <w:tc>
          <w:tcPr>
            <w:tcW w:w="700" w:type="pct"/>
            <w:tcMar>
              <w:top w:w="30" w:type="dxa"/>
              <w:left w:w="45" w:type="dxa"/>
              <w:bottom w:w="30" w:type="dxa"/>
              <w:right w:w="45" w:type="dxa"/>
            </w:tcMar>
            <w:vAlign w:val="center"/>
            <w:hideMark/>
          </w:tcPr>
          <w:p w14:paraId="67015D14" w14:textId="77777777" w:rsidR="00320D09" w:rsidRPr="00824F14" w:rsidRDefault="00320D09" w:rsidP="00AA4BBB">
            <w:pPr>
              <w:jc w:val="center"/>
              <w:rPr>
                <w:rFonts w:cs="Arial"/>
                <w:sz w:val="16"/>
                <w:szCs w:val="14"/>
              </w:rPr>
            </w:pPr>
            <w:r w:rsidRPr="00824F14">
              <w:rPr>
                <w:rFonts w:cs="Arial"/>
                <w:sz w:val="16"/>
                <w:szCs w:val="14"/>
              </w:rPr>
              <w:t>1,00</w:t>
            </w:r>
          </w:p>
        </w:tc>
        <w:tc>
          <w:tcPr>
            <w:tcW w:w="712" w:type="pct"/>
            <w:vMerge w:val="restart"/>
            <w:tcMar>
              <w:top w:w="30" w:type="dxa"/>
              <w:left w:w="45" w:type="dxa"/>
              <w:bottom w:w="30" w:type="dxa"/>
              <w:right w:w="45" w:type="dxa"/>
            </w:tcMar>
            <w:vAlign w:val="center"/>
            <w:hideMark/>
          </w:tcPr>
          <w:p w14:paraId="3A5CB86F" w14:textId="77777777" w:rsidR="00320D09" w:rsidRPr="00E019C6" w:rsidRDefault="00320D09" w:rsidP="00AA4BBB">
            <w:pPr>
              <w:jc w:val="center"/>
              <w:rPr>
                <w:rFonts w:cs="Arial"/>
                <w:b/>
                <w:bCs/>
                <w:sz w:val="16"/>
                <w:szCs w:val="16"/>
              </w:rPr>
            </w:pPr>
            <w:r w:rsidRPr="00E019C6">
              <w:rPr>
                <w:rFonts w:cs="Arial"/>
                <w:b/>
                <w:bCs/>
                <w:sz w:val="16"/>
                <w:szCs w:val="16"/>
              </w:rPr>
              <w:t>4.175.844.744</w:t>
            </w:r>
          </w:p>
        </w:tc>
      </w:tr>
      <w:tr w:rsidR="00E019C6" w:rsidRPr="00C666B0" w14:paraId="4799FF28" w14:textId="77777777" w:rsidTr="00111E3C">
        <w:tc>
          <w:tcPr>
            <w:tcW w:w="1486" w:type="pct"/>
            <w:vMerge/>
            <w:vAlign w:val="center"/>
            <w:hideMark/>
          </w:tcPr>
          <w:p w14:paraId="635A067D" w14:textId="77777777" w:rsidR="00320D09" w:rsidRPr="00E019C6" w:rsidRDefault="00320D09" w:rsidP="00AA4BBB">
            <w:pPr>
              <w:rPr>
                <w:rFonts w:cs="Arial"/>
                <w:sz w:val="18"/>
                <w:szCs w:val="18"/>
              </w:rPr>
            </w:pPr>
          </w:p>
        </w:tc>
        <w:tc>
          <w:tcPr>
            <w:tcW w:w="709" w:type="pct"/>
            <w:tcMar>
              <w:top w:w="30" w:type="dxa"/>
              <w:left w:w="45" w:type="dxa"/>
              <w:bottom w:w="30" w:type="dxa"/>
              <w:right w:w="45" w:type="dxa"/>
            </w:tcMar>
            <w:vAlign w:val="center"/>
            <w:hideMark/>
          </w:tcPr>
          <w:p w14:paraId="0FB7DA8E" w14:textId="77777777" w:rsidR="00320D09" w:rsidRPr="00824F14" w:rsidRDefault="00320D09" w:rsidP="00AA4BBB">
            <w:pPr>
              <w:jc w:val="center"/>
              <w:rPr>
                <w:rFonts w:cs="Arial"/>
                <w:sz w:val="16"/>
                <w:szCs w:val="14"/>
              </w:rPr>
            </w:pPr>
            <w:r w:rsidRPr="00824F14">
              <w:rPr>
                <w:rFonts w:cs="Arial"/>
                <w:sz w:val="16"/>
                <w:szCs w:val="14"/>
              </w:rPr>
              <w:t>1.000.000.000</w:t>
            </w:r>
          </w:p>
        </w:tc>
        <w:tc>
          <w:tcPr>
            <w:tcW w:w="717" w:type="pct"/>
            <w:tcMar>
              <w:top w:w="30" w:type="dxa"/>
              <w:left w:w="45" w:type="dxa"/>
              <w:bottom w:w="30" w:type="dxa"/>
              <w:right w:w="45" w:type="dxa"/>
            </w:tcMar>
            <w:vAlign w:val="center"/>
            <w:hideMark/>
          </w:tcPr>
          <w:p w14:paraId="1B4837B4" w14:textId="77777777" w:rsidR="00320D09" w:rsidRPr="00824F14" w:rsidRDefault="00320D09" w:rsidP="00AA4BBB">
            <w:pPr>
              <w:jc w:val="center"/>
              <w:rPr>
                <w:rFonts w:cs="Arial"/>
                <w:sz w:val="16"/>
                <w:szCs w:val="14"/>
              </w:rPr>
            </w:pPr>
            <w:r w:rsidRPr="00824F14">
              <w:rPr>
                <w:rFonts w:cs="Arial"/>
                <w:sz w:val="16"/>
                <w:szCs w:val="14"/>
              </w:rPr>
              <w:t>1.026.213.592</w:t>
            </w:r>
          </w:p>
        </w:tc>
        <w:tc>
          <w:tcPr>
            <w:tcW w:w="676" w:type="pct"/>
            <w:tcMar>
              <w:top w:w="30" w:type="dxa"/>
              <w:left w:w="45" w:type="dxa"/>
              <w:bottom w:w="30" w:type="dxa"/>
              <w:right w:w="45" w:type="dxa"/>
            </w:tcMar>
            <w:vAlign w:val="center"/>
            <w:hideMark/>
          </w:tcPr>
          <w:p w14:paraId="3C8DBE1F" w14:textId="77777777" w:rsidR="00320D09" w:rsidRPr="00824F14" w:rsidRDefault="00320D09" w:rsidP="00AA4BBB">
            <w:pPr>
              <w:jc w:val="center"/>
              <w:rPr>
                <w:rFonts w:cs="Arial"/>
                <w:sz w:val="16"/>
                <w:szCs w:val="14"/>
              </w:rPr>
            </w:pPr>
            <w:r w:rsidRPr="00824F14">
              <w:rPr>
                <w:rFonts w:cs="Arial"/>
                <w:sz w:val="16"/>
                <w:szCs w:val="14"/>
              </w:rPr>
              <w:t>1.067.018.569</w:t>
            </w:r>
          </w:p>
        </w:tc>
        <w:tc>
          <w:tcPr>
            <w:tcW w:w="700" w:type="pct"/>
            <w:tcMar>
              <w:top w:w="30" w:type="dxa"/>
              <w:left w:w="45" w:type="dxa"/>
              <w:bottom w:w="30" w:type="dxa"/>
              <w:right w:w="45" w:type="dxa"/>
            </w:tcMar>
            <w:vAlign w:val="center"/>
            <w:hideMark/>
          </w:tcPr>
          <w:p w14:paraId="24C37AEA" w14:textId="77777777" w:rsidR="00320D09" w:rsidRPr="00824F14" w:rsidRDefault="00320D09" w:rsidP="00AA4BBB">
            <w:pPr>
              <w:jc w:val="center"/>
              <w:rPr>
                <w:rFonts w:cs="Arial"/>
                <w:sz w:val="16"/>
                <w:szCs w:val="14"/>
              </w:rPr>
            </w:pPr>
            <w:r w:rsidRPr="00824F14">
              <w:rPr>
                <w:rFonts w:cs="Arial"/>
                <w:sz w:val="16"/>
                <w:szCs w:val="14"/>
              </w:rPr>
              <w:t>1.082.612.583</w:t>
            </w:r>
          </w:p>
        </w:tc>
        <w:tc>
          <w:tcPr>
            <w:tcW w:w="712" w:type="pct"/>
            <w:vMerge/>
            <w:vAlign w:val="center"/>
            <w:hideMark/>
          </w:tcPr>
          <w:p w14:paraId="7A4F19B4" w14:textId="77777777" w:rsidR="00320D09" w:rsidRPr="00E019C6" w:rsidRDefault="00320D09" w:rsidP="00AA4BBB">
            <w:pPr>
              <w:rPr>
                <w:rFonts w:cs="Arial"/>
                <w:b/>
                <w:bCs/>
                <w:sz w:val="16"/>
                <w:szCs w:val="16"/>
              </w:rPr>
            </w:pPr>
          </w:p>
        </w:tc>
      </w:tr>
      <w:tr w:rsidR="00E019C6" w:rsidRPr="00C666B0" w14:paraId="7C8BE1DE" w14:textId="77777777" w:rsidTr="00111E3C">
        <w:tc>
          <w:tcPr>
            <w:tcW w:w="1486" w:type="pct"/>
            <w:vMerge w:val="restart"/>
            <w:tcMar>
              <w:top w:w="30" w:type="dxa"/>
              <w:left w:w="45" w:type="dxa"/>
              <w:bottom w:w="30" w:type="dxa"/>
              <w:right w:w="45" w:type="dxa"/>
            </w:tcMar>
            <w:vAlign w:val="center"/>
            <w:hideMark/>
          </w:tcPr>
          <w:p w14:paraId="79DE899A" w14:textId="77777777" w:rsidR="00320D09" w:rsidRPr="00E019C6" w:rsidRDefault="00320D09" w:rsidP="00AA4BBB">
            <w:pPr>
              <w:rPr>
                <w:rFonts w:cs="Arial"/>
                <w:sz w:val="18"/>
                <w:szCs w:val="18"/>
              </w:rPr>
            </w:pPr>
            <w:r w:rsidRPr="00E019C6">
              <w:rPr>
                <w:rFonts w:cs="Arial"/>
                <w:sz w:val="18"/>
                <w:szCs w:val="18"/>
              </w:rPr>
              <w:t xml:space="preserve">Implementar una (1) estrategia para la promoción de derechos prevención y atención de violencia y abuso </w:t>
            </w:r>
            <w:r w:rsidRPr="00E019C6">
              <w:rPr>
                <w:rFonts w:cs="Arial"/>
                <w:sz w:val="18"/>
                <w:szCs w:val="18"/>
              </w:rPr>
              <w:lastRenderedPageBreak/>
              <w:t>sexual en niñas niños y adolescentes</w:t>
            </w:r>
          </w:p>
        </w:tc>
        <w:tc>
          <w:tcPr>
            <w:tcW w:w="709" w:type="pct"/>
            <w:tcMar>
              <w:top w:w="30" w:type="dxa"/>
              <w:left w:w="45" w:type="dxa"/>
              <w:bottom w:w="30" w:type="dxa"/>
              <w:right w:w="45" w:type="dxa"/>
            </w:tcMar>
            <w:vAlign w:val="center"/>
            <w:hideMark/>
          </w:tcPr>
          <w:p w14:paraId="6951E49C" w14:textId="77777777" w:rsidR="00320D09" w:rsidRPr="00824F14" w:rsidRDefault="00320D09" w:rsidP="00AA4BBB">
            <w:pPr>
              <w:jc w:val="center"/>
              <w:rPr>
                <w:rFonts w:cs="Arial"/>
                <w:sz w:val="16"/>
                <w:szCs w:val="14"/>
              </w:rPr>
            </w:pPr>
            <w:r w:rsidRPr="00824F14">
              <w:rPr>
                <w:rFonts w:cs="Arial"/>
                <w:sz w:val="16"/>
                <w:szCs w:val="14"/>
              </w:rPr>
              <w:lastRenderedPageBreak/>
              <w:t>0,25</w:t>
            </w:r>
          </w:p>
        </w:tc>
        <w:tc>
          <w:tcPr>
            <w:tcW w:w="717" w:type="pct"/>
            <w:tcMar>
              <w:top w:w="30" w:type="dxa"/>
              <w:left w:w="45" w:type="dxa"/>
              <w:bottom w:w="30" w:type="dxa"/>
              <w:right w:w="45" w:type="dxa"/>
            </w:tcMar>
            <w:vAlign w:val="center"/>
            <w:hideMark/>
          </w:tcPr>
          <w:p w14:paraId="05BC24B2" w14:textId="77777777" w:rsidR="00320D09" w:rsidRPr="00824F14" w:rsidRDefault="00320D09" w:rsidP="00AA4BBB">
            <w:pPr>
              <w:jc w:val="center"/>
              <w:rPr>
                <w:rFonts w:cs="Arial"/>
                <w:sz w:val="16"/>
                <w:szCs w:val="14"/>
              </w:rPr>
            </w:pPr>
            <w:r w:rsidRPr="00824F14">
              <w:rPr>
                <w:rFonts w:cs="Arial"/>
                <w:sz w:val="16"/>
                <w:szCs w:val="14"/>
              </w:rPr>
              <w:t>0,50</w:t>
            </w:r>
          </w:p>
        </w:tc>
        <w:tc>
          <w:tcPr>
            <w:tcW w:w="676" w:type="pct"/>
            <w:tcMar>
              <w:top w:w="30" w:type="dxa"/>
              <w:left w:w="45" w:type="dxa"/>
              <w:bottom w:w="30" w:type="dxa"/>
              <w:right w:w="45" w:type="dxa"/>
            </w:tcMar>
            <w:vAlign w:val="center"/>
            <w:hideMark/>
          </w:tcPr>
          <w:p w14:paraId="1DD862FC" w14:textId="77777777" w:rsidR="00320D09" w:rsidRPr="00824F14" w:rsidRDefault="00320D09" w:rsidP="00AA4BBB">
            <w:pPr>
              <w:jc w:val="center"/>
              <w:rPr>
                <w:rFonts w:cs="Arial"/>
                <w:sz w:val="16"/>
                <w:szCs w:val="14"/>
              </w:rPr>
            </w:pPr>
            <w:r w:rsidRPr="00824F14">
              <w:rPr>
                <w:rFonts w:cs="Arial"/>
                <w:sz w:val="16"/>
                <w:szCs w:val="14"/>
              </w:rPr>
              <w:t>0,75</w:t>
            </w:r>
          </w:p>
        </w:tc>
        <w:tc>
          <w:tcPr>
            <w:tcW w:w="700" w:type="pct"/>
            <w:tcMar>
              <w:top w:w="30" w:type="dxa"/>
              <w:left w:w="45" w:type="dxa"/>
              <w:bottom w:w="30" w:type="dxa"/>
              <w:right w:w="45" w:type="dxa"/>
            </w:tcMar>
            <w:vAlign w:val="center"/>
            <w:hideMark/>
          </w:tcPr>
          <w:p w14:paraId="115A185E" w14:textId="77777777" w:rsidR="00320D09" w:rsidRPr="00824F14" w:rsidRDefault="00320D09" w:rsidP="00AA4BBB">
            <w:pPr>
              <w:jc w:val="center"/>
              <w:rPr>
                <w:rFonts w:cs="Arial"/>
                <w:sz w:val="16"/>
                <w:szCs w:val="14"/>
              </w:rPr>
            </w:pPr>
            <w:r w:rsidRPr="00824F14">
              <w:rPr>
                <w:rFonts w:cs="Arial"/>
                <w:sz w:val="16"/>
                <w:szCs w:val="14"/>
              </w:rPr>
              <w:t>1,00</w:t>
            </w:r>
          </w:p>
        </w:tc>
        <w:tc>
          <w:tcPr>
            <w:tcW w:w="712" w:type="pct"/>
            <w:vMerge w:val="restart"/>
            <w:tcMar>
              <w:top w:w="30" w:type="dxa"/>
              <w:left w:w="45" w:type="dxa"/>
              <w:bottom w:w="30" w:type="dxa"/>
              <w:right w:w="45" w:type="dxa"/>
            </w:tcMar>
            <w:vAlign w:val="center"/>
            <w:hideMark/>
          </w:tcPr>
          <w:p w14:paraId="4865982D" w14:textId="77777777" w:rsidR="00320D09" w:rsidRPr="00E019C6" w:rsidRDefault="00320D09" w:rsidP="00AA4BBB">
            <w:pPr>
              <w:jc w:val="center"/>
              <w:rPr>
                <w:rFonts w:cs="Arial"/>
                <w:b/>
                <w:bCs/>
                <w:sz w:val="16"/>
                <w:szCs w:val="16"/>
              </w:rPr>
            </w:pPr>
            <w:r w:rsidRPr="00E019C6">
              <w:rPr>
                <w:rFonts w:cs="Arial"/>
                <w:b/>
                <w:bCs/>
                <w:sz w:val="16"/>
                <w:szCs w:val="16"/>
              </w:rPr>
              <w:t>1.603.678.291</w:t>
            </w:r>
          </w:p>
        </w:tc>
      </w:tr>
      <w:tr w:rsidR="00E019C6" w:rsidRPr="00C666B0" w14:paraId="41E70102" w14:textId="77777777" w:rsidTr="00917B9D">
        <w:tc>
          <w:tcPr>
            <w:tcW w:w="1486" w:type="pct"/>
            <w:vMerge/>
            <w:tcBorders>
              <w:bottom w:val="double" w:sz="4" w:space="0" w:color="C00000"/>
            </w:tcBorders>
            <w:vAlign w:val="center"/>
            <w:hideMark/>
          </w:tcPr>
          <w:p w14:paraId="1D64F497" w14:textId="77777777" w:rsidR="00320D09" w:rsidRPr="00E019C6" w:rsidRDefault="00320D09" w:rsidP="00AA4BBB">
            <w:pPr>
              <w:rPr>
                <w:rFonts w:cs="Arial"/>
                <w:sz w:val="18"/>
                <w:szCs w:val="18"/>
              </w:rPr>
            </w:pPr>
          </w:p>
        </w:tc>
        <w:tc>
          <w:tcPr>
            <w:tcW w:w="709" w:type="pct"/>
            <w:tcBorders>
              <w:bottom w:val="double" w:sz="4" w:space="0" w:color="C00000"/>
            </w:tcBorders>
            <w:tcMar>
              <w:top w:w="30" w:type="dxa"/>
              <w:left w:w="45" w:type="dxa"/>
              <w:bottom w:w="30" w:type="dxa"/>
              <w:right w:w="45" w:type="dxa"/>
            </w:tcMar>
            <w:vAlign w:val="center"/>
            <w:hideMark/>
          </w:tcPr>
          <w:p w14:paraId="450810E8" w14:textId="77777777" w:rsidR="00320D09" w:rsidRPr="00824F14" w:rsidRDefault="00320D09" w:rsidP="00AA4BBB">
            <w:pPr>
              <w:jc w:val="center"/>
              <w:rPr>
                <w:rFonts w:cs="Arial"/>
                <w:sz w:val="16"/>
                <w:szCs w:val="14"/>
              </w:rPr>
            </w:pPr>
            <w:r w:rsidRPr="00824F14">
              <w:rPr>
                <w:rFonts w:cs="Arial"/>
                <w:sz w:val="16"/>
                <w:szCs w:val="14"/>
              </w:rPr>
              <w:t>384.000.000</w:t>
            </w:r>
          </w:p>
        </w:tc>
        <w:tc>
          <w:tcPr>
            <w:tcW w:w="717" w:type="pct"/>
            <w:tcBorders>
              <w:bottom w:val="double" w:sz="4" w:space="0" w:color="C00000"/>
            </w:tcBorders>
            <w:tcMar>
              <w:top w:w="30" w:type="dxa"/>
              <w:left w:w="45" w:type="dxa"/>
              <w:bottom w:w="30" w:type="dxa"/>
              <w:right w:w="45" w:type="dxa"/>
            </w:tcMar>
            <w:vAlign w:val="center"/>
            <w:hideMark/>
          </w:tcPr>
          <w:p w14:paraId="617D7C21" w14:textId="77777777" w:rsidR="00320D09" w:rsidRPr="00824F14" w:rsidRDefault="00320D09" w:rsidP="00AA4BBB">
            <w:pPr>
              <w:jc w:val="center"/>
              <w:rPr>
                <w:rFonts w:cs="Arial"/>
                <w:sz w:val="16"/>
                <w:szCs w:val="14"/>
              </w:rPr>
            </w:pPr>
            <w:r w:rsidRPr="00824F14">
              <w:rPr>
                <w:rFonts w:cs="Arial"/>
                <w:sz w:val="16"/>
                <w:szCs w:val="14"/>
              </w:rPr>
              <w:t>394.174.757</w:t>
            </w:r>
          </w:p>
        </w:tc>
        <w:tc>
          <w:tcPr>
            <w:tcW w:w="676" w:type="pct"/>
            <w:tcBorders>
              <w:bottom w:val="double" w:sz="4" w:space="0" w:color="C00000"/>
            </w:tcBorders>
            <w:tcMar>
              <w:top w:w="30" w:type="dxa"/>
              <w:left w:w="45" w:type="dxa"/>
              <w:bottom w:w="30" w:type="dxa"/>
              <w:right w:w="45" w:type="dxa"/>
            </w:tcMar>
            <w:vAlign w:val="center"/>
            <w:hideMark/>
          </w:tcPr>
          <w:p w14:paraId="260FF4C0" w14:textId="77777777" w:rsidR="00320D09" w:rsidRPr="00824F14" w:rsidRDefault="00320D09" w:rsidP="00AA4BBB">
            <w:pPr>
              <w:jc w:val="center"/>
              <w:rPr>
                <w:rFonts w:cs="Arial"/>
                <w:sz w:val="16"/>
                <w:szCs w:val="14"/>
              </w:rPr>
            </w:pPr>
            <w:r w:rsidRPr="00824F14">
              <w:rPr>
                <w:rFonts w:cs="Arial"/>
                <w:sz w:val="16"/>
                <w:szCs w:val="14"/>
              </w:rPr>
              <w:t>410.029.220</w:t>
            </w:r>
          </w:p>
        </w:tc>
        <w:tc>
          <w:tcPr>
            <w:tcW w:w="700" w:type="pct"/>
            <w:tcBorders>
              <w:bottom w:val="double" w:sz="4" w:space="0" w:color="C00000"/>
            </w:tcBorders>
            <w:tcMar>
              <w:top w:w="30" w:type="dxa"/>
              <w:left w:w="45" w:type="dxa"/>
              <w:bottom w:w="30" w:type="dxa"/>
              <w:right w:w="45" w:type="dxa"/>
            </w:tcMar>
            <w:vAlign w:val="center"/>
            <w:hideMark/>
          </w:tcPr>
          <w:p w14:paraId="4D2D3FC4" w14:textId="77777777" w:rsidR="00320D09" w:rsidRPr="00824F14" w:rsidRDefault="00320D09" w:rsidP="00AA4BBB">
            <w:pPr>
              <w:jc w:val="center"/>
              <w:rPr>
                <w:rFonts w:cs="Arial"/>
                <w:sz w:val="16"/>
                <w:szCs w:val="14"/>
              </w:rPr>
            </w:pPr>
            <w:r w:rsidRPr="00824F14">
              <w:rPr>
                <w:rFonts w:cs="Arial"/>
                <w:sz w:val="16"/>
                <w:szCs w:val="14"/>
              </w:rPr>
              <w:t>415.474.313</w:t>
            </w:r>
          </w:p>
        </w:tc>
        <w:tc>
          <w:tcPr>
            <w:tcW w:w="712" w:type="pct"/>
            <w:vMerge/>
            <w:tcBorders>
              <w:bottom w:val="double" w:sz="4" w:space="0" w:color="C00000"/>
            </w:tcBorders>
            <w:vAlign w:val="center"/>
            <w:hideMark/>
          </w:tcPr>
          <w:p w14:paraId="5BF4301F" w14:textId="77777777" w:rsidR="00320D09" w:rsidRPr="00C666B0" w:rsidRDefault="00320D09" w:rsidP="00AA4BBB">
            <w:pPr>
              <w:rPr>
                <w:rFonts w:cs="Arial"/>
                <w:b/>
                <w:bCs/>
                <w:szCs w:val="20"/>
              </w:rPr>
            </w:pPr>
          </w:p>
        </w:tc>
      </w:tr>
    </w:tbl>
    <w:p w14:paraId="47710748" w14:textId="77777777" w:rsidR="00FA4F64" w:rsidRDefault="00FA4F64" w:rsidP="00FA4F64">
      <w:pPr>
        <w:widowControl w:val="0"/>
        <w:pBdr>
          <w:top w:val="nil"/>
          <w:left w:val="nil"/>
          <w:bottom w:val="nil"/>
          <w:right w:val="nil"/>
          <w:between w:val="nil"/>
        </w:pBdr>
        <w:spacing w:line="276" w:lineRule="auto"/>
        <w:jc w:val="left"/>
        <w:rPr>
          <w:b/>
          <w:color w:val="3B3838"/>
          <w:sz w:val="18"/>
          <w:szCs w:val="18"/>
        </w:rPr>
      </w:pPr>
    </w:p>
    <w:p w14:paraId="308296D3" w14:textId="77777777" w:rsidR="00C26E8E" w:rsidRDefault="00C26E8E" w:rsidP="00CB6AEC">
      <w:pPr>
        <w:keepNext/>
        <w:keepLines/>
        <w:numPr>
          <w:ilvl w:val="1"/>
          <w:numId w:val="37"/>
        </w:numPr>
        <w:pBdr>
          <w:top w:val="nil"/>
          <w:left w:val="nil"/>
          <w:bottom w:val="nil"/>
          <w:right w:val="nil"/>
          <w:between w:val="nil"/>
        </w:pBdr>
        <w:spacing w:line="340" w:lineRule="auto"/>
        <w:ind w:left="0" w:firstLine="680"/>
        <w:jc w:val="left"/>
        <w:rPr>
          <w:b/>
          <w:color w:val="3B3838"/>
          <w:sz w:val="28"/>
          <w:szCs w:val="28"/>
        </w:rPr>
      </w:pPr>
      <w:r>
        <w:rPr>
          <w:b/>
          <w:color w:val="3B3838"/>
          <w:sz w:val="28"/>
          <w:szCs w:val="28"/>
        </w:rPr>
        <w:br w:type="page"/>
      </w:r>
    </w:p>
    <w:p w14:paraId="7C92A321" w14:textId="0A65C3F0" w:rsidR="00FA4F64" w:rsidRPr="00C26E8E" w:rsidRDefault="00FA4F64" w:rsidP="0074159B">
      <w:pPr>
        <w:pStyle w:val="NIVEL4"/>
      </w:pPr>
      <w:bookmarkStart w:id="305" w:name="_Toc165169779"/>
      <w:r w:rsidRPr="00C26E8E">
        <w:rPr>
          <w:color w:val="C00000"/>
        </w:rPr>
        <w:lastRenderedPageBreak/>
        <w:t xml:space="preserve">Programa 17: </w:t>
      </w:r>
      <w:r w:rsidRPr="00C26E8E">
        <w:t>Formación para el trabajo</w:t>
      </w:r>
      <w:r w:rsidR="0074159B">
        <w:t xml:space="preserve"> </w:t>
      </w:r>
      <w:r w:rsidRPr="00C26E8E">
        <w:t>y acceso a oportunidades educativas</w:t>
      </w:r>
      <w:bookmarkEnd w:id="305"/>
    </w:p>
    <w:p w14:paraId="2089211A" w14:textId="77777777" w:rsidR="00FA4F64" w:rsidRPr="00C26E8E" w:rsidRDefault="00FA4F64" w:rsidP="0074159B"/>
    <w:p w14:paraId="47C79C84" w14:textId="77777777" w:rsidR="00FA4F64" w:rsidRPr="0074159B" w:rsidRDefault="00FA4F64" w:rsidP="0074159B">
      <w:pPr>
        <w:ind w:firstLine="708"/>
        <w:rPr>
          <w:b/>
          <w:bCs/>
          <w:sz w:val="24"/>
        </w:rPr>
        <w:sectPr w:rsidR="00FA4F64" w:rsidRPr="0074159B" w:rsidSect="00F7078E">
          <w:type w:val="continuous"/>
          <w:pgSz w:w="12240" w:h="15840"/>
          <w:pgMar w:top="2262" w:right="1440" w:bottom="1440" w:left="1440" w:header="708" w:footer="708" w:gutter="0"/>
          <w:cols w:space="720"/>
        </w:sectPr>
      </w:pPr>
      <w:r w:rsidRPr="0074159B">
        <w:rPr>
          <w:b/>
          <w:bCs/>
          <w:sz w:val="24"/>
        </w:rPr>
        <w:t>Diagnóstico</w:t>
      </w:r>
    </w:p>
    <w:p w14:paraId="4FCC4506" w14:textId="77777777" w:rsidR="00FA4F64" w:rsidRDefault="00FA4F64" w:rsidP="00FA4F64">
      <w:r>
        <w:t>La interrupción de las trayectorias educativas ha resultado en el aumento de</w:t>
      </w:r>
      <w:r>
        <w:rPr>
          <w:b/>
        </w:rPr>
        <w:t xml:space="preserve"> </w:t>
      </w:r>
      <w:r>
        <w:rPr>
          <w:i/>
        </w:rPr>
        <w:t xml:space="preserve">jóvenes que no estudian ni trabajan, problemática que además se concentra en mujeres y en hogares de bajos ingresos </w:t>
      </w:r>
      <w:r>
        <w:t>(LEE, 2021). Según los cálculos del Laboratorio de Economía de la Educación de la Universidad Javeriana, en los últimos años el porcentaje de jóvenes que no estudian ni trabajan ha crecido en la ciudad, llegando a casi 353.000 en 2022, de los cuales el 57 % son mujeres. Cifra que representa el 23 % de los jóvenes de 17 a 28 años, 9 puntos más que los registrados en 2016.</w:t>
      </w:r>
    </w:p>
    <w:p w14:paraId="6A80E58C" w14:textId="77777777" w:rsidR="00FA4F64" w:rsidRDefault="00FA4F64" w:rsidP="00FA4F64"/>
    <w:p w14:paraId="6DF31B0D" w14:textId="77777777" w:rsidR="00FA4F64" w:rsidRDefault="00FA4F64" w:rsidP="00FA4F64">
      <w:r>
        <w:t>Una de las causas de esta situación es el limitado acceso de las y los jóvenes a la educación posmedia de calidad, principalmente en la población con mayores indicadores de vulnerabilidad. Si bien Bogotá ha mejorado en los últimos años, la tasa de tránsito inmediato (matriculado al año siguiente al grado de bachiller), sigue siendo un desafío para cerca de la mitad de la población joven de la ciudad. El 35,8 % de las y los jóvenes que finalizaron su educación media en Bogotá no lograron transitar a un nivel educativo de educación posmedia. Al mirar el tránsito inmediato a educación superior, es decir, solo contemplando universitaria, técnica y tecnológica, se observa que existe una brecha en el acceso entre los graduados de colegios oficiales y privados, siendo la tasa de tránsito inmediato de 43 % en los colegios públicos, 16,1 puntos porcentuales (p.p.) por debajo de los colegios privados. Del mismo modo, las características socioeconómicas de los jóvenes condicionan el acceso a la educación superior de calidad.</w:t>
      </w:r>
    </w:p>
    <w:p w14:paraId="2261B0D8" w14:textId="77777777" w:rsidR="00FA4F64" w:rsidRDefault="00FA4F64" w:rsidP="00FA4F64"/>
    <w:p w14:paraId="18CA1055" w14:textId="77777777" w:rsidR="00FA4F64" w:rsidRDefault="00FA4F64" w:rsidP="00FA4F64">
      <w:r>
        <w:t xml:space="preserve">Las características socioeconómicas de las personas jóvenes condicionan el acceso a la educación superior de calidad (ATENEA, 2021). Mientras que el 88 % de los estudiantes de alto ingreso de Bogotá que transitan a la educación superior lo hacen a un programa acreditado, esta </w:t>
      </w:r>
      <w:r>
        <w:t>proporción disminuye a solo 23 % en jóvenes de bajo ingreso.</w:t>
      </w:r>
    </w:p>
    <w:p w14:paraId="1AE159C2" w14:textId="77777777" w:rsidR="00FA4F64" w:rsidRDefault="00FA4F64" w:rsidP="00FA4F64"/>
    <w:p w14:paraId="523D28E3" w14:textId="493B29B9" w:rsidR="00FA4F64" w:rsidRDefault="00FA4F64" w:rsidP="00FA4F64">
      <w:r>
        <w:t xml:space="preserve">Para el contexto colombiano, el Consejo Privado de Competitividad (CPC, 2023) identifica una discrepancia marcada entre los contenidos de los programas educativos y las competencias demandadas por el sector productivo. Esta brecha es especialmente notable en Bogotá, donde la oferta de talento humano es poco pertinente para las demandas del sector productivo, lo que resulta en brechas de capital humano. Este desajuste se refleja en el mercado laboral, donde, según datos del Servicio Público de Empleo (SPE) de 2023, la mitad de las vacantes en Bogotá requieren educación superior, en particular formación técnica y profesional universitaria; sin embargo, solo un 36 % de la población bogotana accede o completa estos niveles de educación, según informa </w:t>
      </w:r>
      <w:r w:rsidR="0074159B">
        <w:t xml:space="preserve">ATENEA, </w:t>
      </w:r>
      <w:r>
        <w:t>2023.</w:t>
      </w:r>
    </w:p>
    <w:p w14:paraId="0F567C43" w14:textId="77777777" w:rsidR="00FA4F64" w:rsidRDefault="00FA4F64" w:rsidP="00FA4F64"/>
    <w:p w14:paraId="03E9CA1F" w14:textId="77777777" w:rsidR="00FA4F64" w:rsidRDefault="00FA4F64" w:rsidP="00FA4F64">
      <w:r>
        <w:t>De acuerdo con la Unidad Administrativa Especial del Servicio Público de Empleo (2023), en Bogotá a junio de 2023, hay cerca de 75.600 vacantes de empleo, 21 % de las cuales requieren talento humano formado en habilidades técnicas y tecnológicas, 25 % son vacantes para profesionales con formación universitaria y menos de un 1 % vacantes para profesionales con maestría y especialización.</w:t>
      </w:r>
    </w:p>
    <w:p w14:paraId="3AFBA815" w14:textId="77777777" w:rsidR="00FA4F64" w:rsidRDefault="00FA4F64" w:rsidP="00FA4F64"/>
    <w:p w14:paraId="636BF688" w14:textId="45C3BC55" w:rsidR="00FA4F64" w:rsidRDefault="00FA4F64" w:rsidP="00FA4F64">
      <w:r>
        <w:t xml:space="preserve">De esta manera, el problema no se limita a la cantidad de profesionales, sino también a sus habilidades. El Ministerio de Tecnologías de la Información y las Comunicaciones (MinTIC) (2022) señala que el sector de las TIC de Bogotá presenta una necesidad crítica de habilidades en comunicación, desarrollo de </w:t>
      </w:r>
      <w:r>
        <w:rPr>
          <w:i/>
        </w:rPr>
        <w:t>software</w:t>
      </w:r>
      <w:r>
        <w:t xml:space="preserve"> y creatividad. Complementariamente, estadísticas del observatorio TI de Fedesoft y del Ministerio de Tecnologías de la Información y Comunicaciones afirman que en Colombia habría una escasez de talento en el sector TIC de 53.000 </w:t>
      </w:r>
      <w:r>
        <w:lastRenderedPageBreak/>
        <w:t>profesionales y que podría ampliarse hasta los 200.000 especialistas para 2025. Este desajuste entre las habilidades disponibles y las requeridas agudiza el problema de la escasez de talento humano calificado, limitando el desarrollo y la competitividad en sectores clave.</w:t>
      </w:r>
    </w:p>
    <w:p w14:paraId="3FDDB57E" w14:textId="77777777" w:rsidR="00FA4F64" w:rsidRDefault="00FA4F64" w:rsidP="00FA4F64"/>
    <w:p w14:paraId="378886CE" w14:textId="77777777" w:rsidR="00FA4F64" w:rsidRDefault="00FA4F64" w:rsidP="00FA4F64">
      <w:r>
        <w:t>Por otra parte, de acuerdo con estimaciones de Fedesoft (2021), el 47 % de los puestos de trabajo se encuentran en alto riesgo de automatización en los próximos 10 o 20 años. Lo que hace necesario el reentrenamiento (</w:t>
      </w:r>
      <w:r>
        <w:rPr>
          <w:i/>
        </w:rPr>
        <w:t>reskilling</w:t>
      </w:r>
      <w:r>
        <w:t xml:space="preserve">) de cierta parte de la población para su reinserción en el mercado laboral. En relación con las habilidades demandadas para el futuro, el Foro Económico Mundial (2023) resalta que en Colombia las habilidades de inteligencia artificial (IA) y </w:t>
      </w:r>
      <w:r>
        <w:rPr>
          <w:i/>
        </w:rPr>
        <w:t>big data</w:t>
      </w:r>
      <w:r>
        <w:t xml:space="preserve"> serán necesitadas por un 61 % de la población, junto al pensamiento analítico y creativo, para mantenerse alineados con los trabajos demandados del futuro. Sin embargo, solamente el 5 % de los bogotanos mayores de 25 años asisten o han asistido a un curso de actualización de habilidades laborales (GEIH, 2022). De este modo, la capacitación en habilidades para el uso de tecnologías para la automatización es altamente pertinente. </w:t>
      </w:r>
    </w:p>
    <w:p w14:paraId="0BA8531F" w14:textId="77777777" w:rsidR="00FA4F64" w:rsidRDefault="00FA4F64" w:rsidP="00FA4F64"/>
    <w:p w14:paraId="53898E46" w14:textId="77777777" w:rsidR="00FA4F64" w:rsidRDefault="00FA4F64" w:rsidP="00FA4F64">
      <w:r>
        <w:t>Adicionalmente, más del 80 % del tejido empresarial en Colombia reporta que para el 2027, no habrá suficientes profesionales con las habilidades demandadas por el mercado (Foro Económico Mundial, 2023). Finalmente, según estimaciones del Ministerio de Trabajo (2023) el 32 % de los empleos automatizables y digitalizables de Colombia se realizan en Bogotá, por lo cual, los habitantes de la ciudad necesitan herramientas para actualizar sus perfiles ocupaciones y su capacitación para las necesidades futuras del mercado laboral.</w:t>
      </w:r>
    </w:p>
    <w:p w14:paraId="5F23EE3E" w14:textId="77777777" w:rsidR="00FA4F64" w:rsidRDefault="00FA4F64" w:rsidP="00FA4F64"/>
    <w:p w14:paraId="0077A010" w14:textId="77777777" w:rsidR="00FA4F64" w:rsidRDefault="00FA4F64" w:rsidP="00FA4F64">
      <w:r>
        <w:t xml:space="preserve">Bogotá, como muchas otras ciudades en el mundo, se enfrenta a una creciente demanda de </w:t>
      </w:r>
      <w:r>
        <w:t>habilidades blandas, digitales y técnicas acordes a las nuevas tendencias mundiales. En la era digital y globalizada del siglo XXI, las empresas y organizaciones requieren profesionales con competencias tales como programación, análisis de datos, ciberseguridad, IA y más, debido a la digitalización de procesos, la automatización y la necesidad de innovación constante. A pesar de esta tendencia global, aún se encuentra una brecha entre la formación técnica y académica con las necesidades actuales del mercado, confirmando el desbalance en las habilidades y competencias requeridas por el sector productivo.</w:t>
      </w:r>
    </w:p>
    <w:p w14:paraId="084429A2" w14:textId="77777777" w:rsidR="00FA4F64" w:rsidRDefault="00FA4F64" w:rsidP="00FA4F64"/>
    <w:p w14:paraId="39FDD896" w14:textId="77777777" w:rsidR="00FA4F64" w:rsidRDefault="00FA4F64" w:rsidP="00FA4F64">
      <w:r>
        <w:t>Por otro lado, el mal funcionamiento del mercado laboral se relaciona con la asimetría de información entre los oferentes y demandantes de empleo. Precisamente, los servicios de intermediación laboral buscan reducir estas brechas y promover el acceso a información sobre las vacantes disponibles a través, por ejemplo, del Sistema de Información del Servicio Público de Empleo (SISE). No obstante, persisten las dificultades para acceder a estos datos por la dispersión de los prestadores del Servicio Público de Empleo y la baja interoperabilidad de sus sistemas de información propios con el SISE y viceversa.</w:t>
      </w:r>
    </w:p>
    <w:p w14:paraId="5A6AC254" w14:textId="77777777" w:rsidR="00FA4F64" w:rsidRDefault="00FA4F64" w:rsidP="00FA4F64"/>
    <w:p w14:paraId="4CADEBC7" w14:textId="6D938AEF"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Lo anterior, genera rezagos y fallas en el emparejamiento entre la oferta y la demanda del mercado laboral, lo que a su vez causa la pérdida de confianza de la ciudadanía en los servicios de intermediación laboral. Un ejemplo de esta afirmación es que la Agencia Distrital de Empleo, en el periodo 2020-2023, a través de su ruta de empleo logró 120.555 registrados, 30.461 orientados y 99.535 remisiones, pero solo 19.660 colocaciones directas, lo cual confirma que los servicios de gestión y colocación de empleo están siendo poco efectivos.</w:t>
      </w:r>
    </w:p>
    <w:p w14:paraId="473B1446" w14:textId="77777777" w:rsidR="00FA4F64" w:rsidRDefault="00FA4F64" w:rsidP="00FA4F64">
      <w:pPr>
        <w:rPr>
          <w:rFonts w:ascii="Times New Roman" w:hAnsi="Times New Roman"/>
          <w:sz w:val="24"/>
        </w:rPr>
        <w:sectPr w:rsidR="00FA4F64" w:rsidSect="00F7078E">
          <w:type w:val="continuous"/>
          <w:pgSz w:w="12240" w:h="15840"/>
          <w:pgMar w:top="2262" w:right="1440" w:bottom="1440" w:left="1440" w:header="708" w:footer="708" w:gutter="0"/>
          <w:cols w:space="720"/>
        </w:sectPr>
      </w:pPr>
    </w:p>
    <w:p w14:paraId="56E9B679" w14:textId="77777777" w:rsidR="00FA4F64" w:rsidRDefault="00FA4F64" w:rsidP="00FA4F64">
      <w:pPr>
        <w:rPr>
          <w:rFonts w:ascii="Times New Roman" w:hAnsi="Times New Roman"/>
          <w:sz w:val="24"/>
        </w:rPr>
      </w:pPr>
    </w:p>
    <w:p w14:paraId="22305169" w14:textId="77777777" w:rsidR="00FA4F64" w:rsidRPr="001E15AC" w:rsidRDefault="00FA4F64" w:rsidP="001E15AC">
      <w:pPr>
        <w:rPr>
          <w:rStyle w:val="cf01"/>
          <w:rFonts w:ascii="Candara" w:hAnsi="Candara"/>
          <w:sz w:val="22"/>
          <w:szCs w:val="22"/>
        </w:rPr>
        <w:sectPr w:rsidR="00FA4F64" w:rsidRPr="001E15AC" w:rsidSect="00F7078E">
          <w:type w:val="continuous"/>
          <w:pgSz w:w="12240" w:h="15840"/>
          <w:pgMar w:top="2262" w:right="1440" w:bottom="1440" w:left="1440" w:header="708" w:footer="708" w:gutter="0"/>
          <w:cols w:num="2" w:space="720" w:equalWidth="0">
            <w:col w:w="4396" w:space="567"/>
            <w:col w:w="4396" w:space="0"/>
          </w:cols>
        </w:sectPr>
      </w:pPr>
    </w:p>
    <w:p w14:paraId="40F79315" w14:textId="77777777" w:rsidR="00F408BC" w:rsidRDefault="00F408BC">
      <w:pPr>
        <w:spacing w:line="240" w:lineRule="auto"/>
        <w:jc w:val="left"/>
        <w:rPr>
          <w:rFonts w:eastAsiaTheme="majorEastAsia" w:cstheme="majorBidi"/>
          <w:b/>
          <w:sz w:val="24"/>
          <w:lang w:eastAsia="en-US"/>
        </w:rPr>
      </w:pPr>
      <w:r>
        <w:rPr>
          <w:sz w:val="24"/>
        </w:rPr>
        <w:br w:type="page"/>
      </w:r>
    </w:p>
    <w:p w14:paraId="53C73965" w14:textId="62F736A0" w:rsidR="001E15AC" w:rsidRPr="00917B9D" w:rsidRDefault="001E15AC" w:rsidP="00917B9D">
      <w:pPr>
        <w:ind w:firstLine="708"/>
        <w:rPr>
          <w:b/>
          <w:bCs/>
          <w:sz w:val="24"/>
        </w:rPr>
        <w:sectPr w:rsidR="001E15AC" w:rsidRPr="00917B9D" w:rsidSect="00F7078E">
          <w:type w:val="continuous"/>
          <w:pgSz w:w="12240" w:h="15840"/>
          <w:pgMar w:top="2262" w:right="1440" w:bottom="1440" w:left="1440" w:header="708" w:footer="708" w:gutter="0"/>
          <w:cols w:space="720"/>
        </w:sectPr>
      </w:pPr>
      <w:r w:rsidRPr="00917B9D">
        <w:rPr>
          <w:b/>
          <w:bCs/>
          <w:sz w:val="24"/>
        </w:rPr>
        <w:lastRenderedPageBreak/>
        <w:t>Descripción del programa</w:t>
      </w:r>
    </w:p>
    <w:p w14:paraId="32AFFDD1" w14:textId="1CF1AD1D" w:rsidR="00FA4F64" w:rsidRPr="001E15AC" w:rsidRDefault="00FA4F64" w:rsidP="001E15AC">
      <w:pPr>
        <w:rPr>
          <w:szCs w:val="22"/>
        </w:rPr>
      </w:pPr>
      <w:r w:rsidRPr="001E15AC">
        <w:rPr>
          <w:rStyle w:val="cf01"/>
          <w:rFonts w:ascii="Candara" w:hAnsi="Candara"/>
          <w:sz w:val="22"/>
          <w:szCs w:val="22"/>
        </w:rPr>
        <w:t>Con el</w:t>
      </w:r>
      <w:r w:rsidRPr="001E15AC">
        <w:rPr>
          <w:szCs w:val="22"/>
        </w:rPr>
        <w:t xml:space="preserve"> propósito de garantizar una oferta amplia y de calidad para la formación para el trabajo y formación posmedia, este programa busca ofrecer cursos cortos de formación considerando las demandas de las cadenas productivas, los ecosistemas de innovación y emprendimiento empresarial, tanto locales como regionales, a través de una red de actores compuesta por los sectores público, privado, empresarial y la academia que redunde en la ampliación y reestructuración de la oferta y acceso a la financiación a los programas de educación posmedia, como preámbulo a su vínculo laboral y productivo en la ciudad.</w:t>
      </w:r>
    </w:p>
    <w:p w14:paraId="24A8F825" w14:textId="77777777" w:rsidR="00FA4F64" w:rsidRPr="001E15AC" w:rsidRDefault="00FA4F64" w:rsidP="001E15AC">
      <w:pPr>
        <w:rPr>
          <w:szCs w:val="22"/>
        </w:rPr>
      </w:pPr>
    </w:p>
    <w:p w14:paraId="01446648" w14:textId="77777777" w:rsidR="00FA4F64" w:rsidRPr="001E15AC" w:rsidRDefault="00FA4F64" w:rsidP="001E15AC">
      <w:pPr>
        <w:rPr>
          <w:szCs w:val="22"/>
        </w:rPr>
      </w:pPr>
      <w:r w:rsidRPr="001E15AC">
        <w:rPr>
          <w:szCs w:val="22"/>
        </w:rPr>
        <w:t>Para ello, se generarán mecanismos alternativos de recursos que favorezcan principalmente a jóvenes que transitan de forma inmediata desde la educación media. Se les brindará ofertas institucionales de transferencias monetarias (principalmente condicionadas como las descritas en el programa “Bogotá una ciudad con menos pobres”); implementación de esquemas unificados de focalización en las iniciativas de inclusión social y productiva; mecanismos de sostenimiento que permitan culminar satisfactoriamente los estudios, y rutas claras de empleo y empleabilidad, a fin de que la trayectoria educativa culmine hacia oficios, ocupaciones o profesiones que incrementen las posibilidades de empleabilidad.</w:t>
      </w:r>
    </w:p>
    <w:p w14:paraId="38148C88" w14:textId="77777777" w:rsidR="00FA4F64" w:rsidRPr="001E15AC" w:rsidRDefault="00FA4F64" w:rsidP="001E15AC">
      <w:pPr>
        <w:rPr>
          <w:szCs w:val="22"/>
        </w:rPr>
      </w:pPr>
    </w:p>
    <w:p w14:paraId="076015FA" w14:textId="77777777" w:rsidR="00FA4F64" w:rsidRPr="001E15AC" w:rsidRDefault="00FA4F64" w:rsidP="001E15AC">
      <w:pPr>
        <w:rPr>
          <w:szCs w:val="22"/>
        </w:rPr>
      </w:pPr>
      <w:r w:rsidRPr="001E15AC">
        <w:rPr>
          <w:szCs w:val="22"/>
        </w:rPr>
        <w:t>Lo anterior, teniendo en cuenta algunos criterios diferenciales para el cierre de brechas de población de difícil empleabilidad como las personas con discapacidad, personas de grupos étnicos y personas mayores, reconociendo las existentes brechas de género y potenciando la integración de los enfoques de derechos humanos de las mujeres, diferencial, poblacional e interseccional.</w:t>
      </w:r>
    </w:p>
    <w:p w14:paraId="0C37CB3A" w14:textId="77777777" w:rsidR="00FA4F64" w:rsidRPr="001E15AC" w:rsidRDefault="00FA4F64" w:rsidP="001E15AC">
      <w:pPr>
        <w:rPr>
          <w:szCs w:val="22"/>
        </w:rPr>
      </w:pPr>
    </w:p>
    <w:p w14:paraId="537C1469" w14:textId="77777777" w:rsidR="00FA4F64" w:rsidRPr="001E15AC" w:rsidRDefault="00FA4F64" w:rsidP="001E15AC">
      <w:pPr>
        <w:rPr>
          <w:szCs w:val="22"/>
        </w:rPr>
      </w:pPr>
      <w:r w:rsidRPr="001E15AC">
        <w:rPr>
          <w:szCs w:val="22"/>
        </w:rPr>
        <w:t xml:space="preserve">Igualmente, se desarrollarán servicios de formación y modelos de aprendizaje adaptativos </w:t>
      </w:r>
      <w:r w:rsidRPr="001E15AC">
        <w:rPr>
          <w:szCs w:val="22"/>
        </w:rPr>
        <w:t>para la recualificación y/o reconversión laboral de las personas hacia los sectores más dinámicos del mercado de trabajo, así como la formación para proyectos de base tecnológica basados en nuevas tecnologías.</w:t>
      </w:r>
    </w:p>
    <w:p w14:paraId="5A27DDA7" w14:textId="77777777" w:rsidR="00FA4F64" w:rsidRPr="001E15AC" w:rsidRDefault="00FA4F64" w:rsidP="001E15AC">
      <w:pPr>
        <w:rPr>
          <w:szCs w:val="22"/>
        </w:rPr>
      </w:pPr>
    </w:p>
    <w:p w14:paraId="466F43E2" w14:textId="77777777" w:rsidR="00FA4F64" w:rsidRPr="001E15AC" w:rsidRDefault="00FA4F64" w:rsidP="001E15AC">
      <w:pPr>
        <w:rPr>
          <w:szCs w:val="22"/>
        </w:rPr>
      </w:pPr>
      <w:r w:rsidRPr="001E15AC">
        <w:rPr>
          <w:szCs w:val="22"/>
        </w:rPr>
        <w:t>Este programa reconoce especialmente a las personas adultas y mayores que se sitúan entre los 50 años o más, y que enfrentan lo que se conoce como la “segunda crisis laboral”, pues pierden su empleo y por su edad ya les es difícil reengancharse laboralmente. Con este programa se contempla acompañar a las y los buscadores de empleo en la potencialización de habilidades personales-blandas que se requieren para el proceso de vinculación laboral.</w:t>
      </w:r>
    </w:p>
    <w:p w14:paraId="358C0460" w14:textId="77777777" w:rsidR="00FA4F64" w:rsidRPr="001E15AC" w:rsidRDefault="00FA4F64" w:rsidP="001E15AC">
      <w:pPr>
        <w:rPr>
          <w:szCs w:val="22"/>
        </w:rPr>
      </w:pPr>
    </w:p>
    <w:p w14:paraId="5790B775" w14:textId="77777777" w:rsidR="00FA4F64" w:rsidRPr="001E15AC" w:rsidRDefault="00FA4F64" w:rsidP="001E15AC">
      <w:pPr>
        <w:rPr>
          <w:szCs w:val="22"/>
        </w:rPr>
      </w:pPr>
      <w:r w:rsidRPr="001E15AC">
        <w:rPr>
          <w:szCs w:val="22"/>
        </w:rPr>
        <w:t>Esto también se logrará con ofertas cualificadas de ETDH, por lo que es necesario acompañar estas estrategias con un modelo de aseguramiento para este nivel de educación que lo encamine hacia la calidad.</w:t>
      </w:r>
    </w:p>
    <w:p w14:paraId="65DAE283" w14:textId="77777777" w:rsidR="00FA4F64" w:rsidRPr="001E15AC" w:rsidRDefault="00FA4F64" w:rsidP="001E15AC">
      <w:pPr>
        <w:rPr>
          <w:szCs w:val="22"/>
        </w:rPr>
      </w:pPr>
    </w:p>
    <w:p w14:paraId="1930A1B8" w14:textId="77777777" w:rsidR="00FA4F64" w:rsidRPr="001E15AC" w:rsidRDefault="00FA4F64" w:rsidP="001E15AC">
      <w:pPr>
        <w:rPr>
          <w:szCs w:val="22"/>
        </w:rPr>
      </w:pPr>
      <w:r w:rsidRPr="001E15AC">
        <w:rPr>
          <w:szCs w:val="22"/>
        </w:rPr>
        <w:t xml:space="preserve">El sistema de posmedia, además, debe incluir programas específicos para la población de jóvenes con potencial para apoyarles en su formación y así promover su camino hacia la empleabilidad o su reencuentro con el sistema educativo. </w:t>
      </w:r>
    </w:p>
    <w:p w14:paraId="79B8D96C" w14:textId="77777777" w:rsidR="00FA4F64" w:rsidRPr="001E15AC" w:rsidRDefault="00FA4F64" w:rsidP="001E15AC">
      <w:pPr>
        <w:rPr>
          <w:szCs w:val="22"/>
        </w:rPr>
      </w:pPr>
    </w:p>
    <w:p w14:paraId="4379EC4F" w14:textId="77777777" w:rsidR="00FA4F64" w:rsidRPr="001E15AC" w:rsidRDefault="00FA4F64" w:rsidP="001E15AC">
      <w:r w:rsidRPr="001E15AC">
        <w:rPr>
          <w:szCs w:val="22"/>
        </w:rPr>
        <w:t xml:space="preserve">Una acción complementaria se centra en atención a jóvenes con oportunidades de inclusión social y productiva brindando espacios para desarrollar su potencial; además de acciones para protegerlos de todos los </w:t>
      </w:r>
      <w:r w:rsidRPr="001E15AC">
        <w:t>riesgos a los que están expuestos como la violencia, el reclutamiento, la vinculación a bandas delictivas y los riesgos de salud física y mental, el consumo problemático de drogas, y la maternidad y paternidad tempranas, entre otros.</w:t>
      </w:r>
    </w:p>
    <w:p w14:paraId="376B7814" w14:textId="77777777" w:rsidR="00FA4F64" w:rsidRPr="001E15AC" w:rsidRDefault="00FA4F64" w:rsidP="001E15AC"/>
    <w:p w14:paraId="30EA67E4" w14:textId="2A5B608B" w:rsidR="00FA4F64" w:rsidRPr="001E15AC" w:rsidRDefault="00FA4F64" w:rsidP="001E15AC">
      <w:pPr>
        <w:sectPr w:rsidR="00FA4F64" w:rsidRPr="001E15AC" w:rsidSect="00F7078E">
          <w:type w:val="continuous"/>
          <w:pgSz w:w="12240" w:h="15840"/>
          <w:pgMar w:top="2262" w:right="1440" w:bottom="1440" w:left="1440" w:header="708" w:footer="708" w:gutter="0"/>
          <w:cols w:num="2" w:space="720" w:equalWidth="0">
            <w:col w:w="4320" w:space="720"/>
            <w:col w:w="4320" w:space="0"/>
          </w:cols>
        </w:sectPr>
      </w:pPr>
      <w:r w:rsidRPr="001E15AC">
        <w:t>Este programa se ejecutará mediante las siguientes metas (</w:t>
      </w:r>
      <w:r w:rsidR="00D70D92" w:rsidRPr="00D70D92">
        <w:fldChar w:fldCharType="begin"/>
      </w:r>
      <w:r w:rsidR="00D70D92" w:rsidRPr="00D70D92">
        <w:instrText xml:space="preserve"> REF _Ref165135829 \h </w:instrText>
      </w:r>
      <w:r w:rsidR="00D70D92" w:rsidRPr="00D70D92">
        <w:fldChar w:fldCharType="separate"/>
      </w:r>
      <w:r w:rsidR="00D01651" w:rsidRPr="00D70D92">
        <w:rPr>
          <w:color w:val="C00000"/>
          <w:sz w:val="18"/>
          <w:szCs w:val="18"/>
        </w:rPr>
        <w:t xml:space="preserve">Tabla </w:t>
      </w:r>
      <w:r w:rsidR="00D01651">
        <w:rPr>
          <w:noProof/>
          <w:color w:val="C00000"/>
          <w:sz w:val="18"/>
        </w:rPr>
        <w:t>36</w:t>
      </w:r>
      <w:r w:rsidR="00D70D92" w:rsidRPr="00D70D92">
        <w:fldChar w:fldCharType="end"/>
      </w:r>
      <w:r w:rsidRPr="001E15AC">
        <w:t>).</w:t>
      </w:r>
    </w:p>
    <w:p w14:paraId="2A197772" w14:textId="77777777" w:rsidR="001E15AC" w:rsidRDefault="001E15AC" w:rsidP="00FA4F64">
      <w:pPr>
        <w:pBdr>
          <w:top w:val="nil"/>
          <w:left w:val="nil"/>
          <w:bottom w:val="nil"/>
          <w:right w:val="nil"/>
          <w:between w:val="nil"/>
        </w:pBdr>
        <w:spacing w:line="220" w:lineRule="auto"/>
        <w:jc w:val="center"/>
        <w:rPr>
          <w:b/>
          <w:color w:val="C00000"/>
          <w:sz w:val="18"/>
          <w:szCs w:val="18"/>
        </w:rPr>
      </w:pPr>
    </w:p>
    <w:p w14:paraId="2BA05A64" w14:textId="6F025908" w:rsidR="00FA4F64" w:rsidRPr="00D70D92" w:rsidRDefault="00D70D92" w:rsidP="00D70D92">
      <w:pPr>
        <w:pStyle w:val="Descripcin"/>
        <w:jc w:val="center"/>
        <w:rPr>
          <w:color w:val="3B3838"/>
          <w:sz w:val="18"/>
        </w:rPr>
      </w:pPr>
      <w:bookmarkStart w:id="306" w:name="_Ref165135829"/>
      <w:bookmarkStart w:id="307" w:name="_Toc165169946"/>
      <w:r w:rsidRPr="00D70D92">
        <w:rPr>
          <w:color w:val="C00000"/>
          <w:sz w:val="18"/>
        </w:rPr>
        <w:lastRenderedPageBreak/>
        <w:t xml:space="preserve">Tabla </w:t>
      </w:r>
      <w:r w:rsidRPr="00D70D92">
        <w:rPr>
          <w:color w:val="C00000"/>
          <w:sz w:val="18"/>
        </w:rPr>
        <w:fldChar w:fldCharType="begin"/>
      </w:r>
      <w:r w:rsidRPr="00D70D92">
        <w:rPr>
          <w:color w:val="C00000"/>
          <w:sz w:val="18"/>
        </w:rPr>
        <w:instrText xml:space="preserve"> SEQ Tabla \* ARABIC </w:instrText>
      </w:r>
      <w:r w:rsidRPr="00D70D92">
        <w:rPr>
          <w:color w:val="C00000"/>
          <w:sz w:val="18"/>
        </w:rPr>
        <w:fldChar w:fldCharType="separate"/>
      </w:r>
      <w:r w:rsidR="00D01651">
        <w:rPr>
          <w:noProof/>
          <w:color w:val="C00000"/>
          <w:sz w:val="18"/>
        </w:rPr>
        <w:t>36</w:t>
      </w:r>
      <w:r w:rsidRPr="00D70D92">
        <w:rPr>
          <w:color w:val="C00000"/>
          <w:sz w:val="18"/>
        </w:rPr>
        <w:fldChar w:fldCharType="end"/>
      </w:r>
      <w:bookmarkEnd w:id="306"/>
      <w:r w:rsidRPr="00D70D92">
        <w:rPr>
          <w:color w:val="C00000"/>
          <w:sz w:val="18"/>
        </w:rPr>
        <w:t xml:space="preserve">. </w:t>
      </w:r>
      <w:r w:rsidR="00FA4F64" w:rsidRPr="00D70D92">
        <w:rPr>
          <w:color w:val="3B3838"/>
          <w:sz w:val="18"/>
        </w:rPr>
        <w:t>Metas Formación para el trabajo y acceso a oportunidades educativas</w:t>
      </w:r>
      <w:bookmarkEnd w:id="307"/>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646"/>
        <w:gridCol w:w="1344"/>
        <w:gridCol w:w="1333"/>
        <w:gridCol w:w="1318"/>
        <w:gridCol w:w="1382"/>
        <w:gridCol w:w="1337"/>
      </w:tblGrid>
      <w:tr w:rsidR="00D70D92" w:rsidRPr="00D70D92" w14:paraId="2AEB99CE" w14:textId="77777777" w:rsidTr="00DF6BE7">
        <w:tc>
          <w:tcPr>
            <w:tcW w:w="1414" w:type="pct"/>
            <w:vMerge w:val="restart"/>
            <w:shd w:val="clear" w:color="auto" w:fill="C00000"/>
            <w:tcMar>
              <w:top w:w="30" w:type="dxa"/>
              <w:left w:w="45" w:type="dxa"/>
              <w:bottom w:w="30" w:type="dxa"/>
              <w:right w:w="45" w:type="dxa"/>
            </w:tcMar>
            <w:vAlign w:val="center"/>
            <w:hideMark/>
          </w:tcPr>
          <w:p w14:paraId="060B134E" w14:textId="77777777" w:rsidR="00D70D92" w:rsidRPr="00D70D92" w:rsidRDefault="00D70D92" w:rsidP="00AA4BBB">
            <w:pPr>
              <w:jc w:val="center"/>
              <w:rPr>
                <w:rFonts w:cs="Arial"/>
                <w:b/>
                <w:bCs/>
                <w:color w:val="FFFFFF"/>
                <w:sz w:val="20"/>
                <w:szCs w:val="20"/>
              </w:rPr>
            </w:pPr>
            <w:r w:rsidRPr="00D70D92">
              <w:rPr>
                <w:rFonts w:cs="Arial"/>
                <w:b/>
                <w:bCs/>
                <w:color w:val="FFFFFF"/>
                <w:sz w:val="20"/>
                <w:szCs w:val="20"/>
              </w:rPr>
              <w:t>SECTOR / Metas</w:t>
            </w:r>
          </w:p>
        </w:tc>
        <w:tc>
          <w:tcPr>
            <w:tcW w:w="3586" w:type="pct"/>
            <w:gridSpan w:val="5"/>
            <w:shd w:val="clear" w:color="auto" w:fill="C00000"/>
            <w:tcMar>
              <w:top w:w="30" w:type="dxa"/>
              <w:left w:w="45" w:type="dxa"/>
              <w:bottom w:w="30" w:type="dxa"/>
              <w:right w:w="45" w:type="dxa"/>
            </w:tcMar>
            <w:vAlign w:val="center"/>
            <w:hideMark/>
          </w:tcPr>
          <w:p w14:paraId="09F0DE0E" w14:textId="77777777" w:rsidR="00D70D92" w:rsidRDefault="00D70D92" w:rsidP="00AA4BBB">
            <w:pPr>
              <w:jc w:val="center"/>
              <w:rPr>
                <w:rFonts w:cs="Arial"/>
                <w:b/>
                <w:bCs/>
                <w:color w:val="FFFFFF"/>
                <w:sz w:val="20"/>
                <w:szCs w:val="20"/>
              </w:rPr>
            </w:pPr>
            <w:r w:rsidRPr="00D70D92">
              <w:rPr>
                <w:rFonts w:cs="Arial"/>
                <w:b/>
                <w:bCs/>
                <w:color w:val="FFFFFF"/>
                <w:sz w:val="20"/>
                <w:szCs w:val="20"/>
              </w:rPr>
              <w:t xml:space="preserve">Magnitudes e Inversión </w:t>
            </w:r>
          </w:p>
          <w:p w14:paraId="71F04DF5" w14:textId="74E82C1A" w:rsidR="00D70D92" w:rsidRPr="00D70D92" w:rsidRDefault="00D70D92" w:rsidP="00AA4BBB">
            <w:pPr>
              <w:jc w:val="center"/>
              <w:rPr>
                <w:rFonts w:cs="Arial"/>
                <w:b/>
                <w:bCs/>
                <w:color w:val="FFFFFF"/>
                <w:sz w:val="20"/>
                <w:szCs w:val="20"/>
              </w:rPr>
            </w:pPr>
            <w:r w:rsidRPr="00D70D92">
              <w:rPr>
                <w:rFonts w:cs="Arial"/>
                <w:b/>
                <w:bCs/>
                <w:color w:val="FFFFFF"/>
                <w:sz w:val="20"/>
                <w:szCs w:val="20"/>
              </w:rPr>
              <w:t>(Precios Constantes 2024)</w:t>
            </w:r>
          </w:p>
        </w:tc>
      </w:tr>
      <w:tr w:rsidR="00DF6BE7" w:rsidRPr="00D70D92" w14:paraId="06D704C0" w14:textId="77777777" w:rsidTr="00DF6BE7">
        <w:tc>
          <w:tcPr>
            <w:tcW w:w="1414" w:type="pct"/>
            <w:vMerge/>
            <w:vAlign w:val="center"/>
            <w:hideMark/>
          </w:tcPr>
          <w:p w14:paraId="2B783999" w14:textId="77777777" w:rsidR="00D70D92" w:rsidRPr="00D70D92" w:rsidRDefault="00D70D92" w:rsidP="00AA4BBB">
            <w:pPr>
              <w:rPr>
                <w:rFonts w:cs="Arial"/>
                <w:b/>
                <w:bCs/>
                <w:color w:val="FFFFFF"/>
                <w:sz w:val="20"/>
                <w:szCs w:val="20"/>
              </w:rPr>
            </w:pPr>
          </w:p>
        </w:tc>
        <w:tc>
          <w:tcPr>
            <w:tcW w:w="718" w:type="pct"/>
            <w:shd w:val="clear" w:color="auto" w:fill="D9D9D9"/>
            <w:tcMar>
              <w:top w:w="30" w:type="dxa"/>
              <w:left w:w="45" w:type="dxa"/>
              <w:bottom w:w="30" w:type="dxa"/>
              <w:right w:w="45" w:type="dxa"/>
            </w:tcMar>
            <w:vAlign w:val="center"/>
            <w:hideMark/>
          </w:tcPr>
          <w:p w14:paraId="3E465A2E" w14:textId="77777777" w:rsidR="00D70D92" w:rsidRPr="00D70D92" w:rsidRDefault="00D70D92" w:rsidP="00AA4BBB">
            <w:pPr>
              <w:jc w:val="center"/>
              <w:rPr>
                <w:rFonts w:cs="Arial"/>
                <w:b/>
                <w:bCs/>
                <w:sz w:val="20"/>
                <w:szCs w:val="20"/>
              </w:rPr>
            </w:pPr>
            <w:r w:rsidRPr="00D70D92">
              <w:rPr>
                <w:rFonts w:cs="Arial"/>
                <w:b/>
                <w:bCs/>
                <w:sz w:val="20"/>
                <w:szCs w:val="20"/>
              </w:rPr>
              <w:t>2024</w:t>
            </w:r>
          </w:p>
        </w:tc>
        <w:tc>
          <w:tcPr>
            <w:tcW w:w="712" w:type="pct"/>
            <w:shd w:val="clear" w:color="auto" w:fill="D9D9D9"/>
            <w:tcMar>
              <w:top w:w="30" w:type="dxa"/>
              <w:left w:w="45" w:type="dxa"/>
              <w:bottom w:w="30" w:type="dxa"/>
              <w:right w:w="45" w:type="dxa"/>
            </w:tcMar>
            <w:vAlign w:val="center"/>
            <w:hideMark/>
          </w:tcPr>
          <w:p w14:paraId="2BFE6802" w14:textId="77777777" w:rsidR="00D70D92" w:rsidRPr="00D70D92" w:rsidRDefault="00D70D92" w:rsidP="00AA4BBB">
            <w:pPr>
              <w:jc w:val="center"/>
              <w:rPr>
                <w:rFonts w:cs="Arial"/>
                <w:b/>
                <w:bCs/>
                <w:sz w:val="20"/>
                <w:szCs w:val="20"/>
              </w:rPr>
            </w:pPr>
            <w:r w:rsidRPr="00D70D92">
              <w:rPr>
                <w:rFonts w:cs="Arial"/>
                <w:b/>
                <w:bCs/>
                <w:sz w:val="20"/>
                <w:szCs w:val="20"/>
              </w:rPr>
              <w:t>2025</w:t>
            </w:r>
          </w:p>
        </w:tc>
        <w:tc>
          <w:tcPr>
            <w:tcW w:w="704" w:type="pct"/>
            <w:shd w:val="clear" w:color="auto" w:fill="D9D9D9"/>
            <w:tcMar>
              <w:top w:w="30" w:type="dxa"/>
              <w:left w:w="45" w:type="dxa"/>
              <w:bottom w:w="30" w:type="dxa"/>
              <w:right w:w="45" w:type="dxa"/>
            </w:tcMar>
            <w:vAlign w:val="center"/>
            <w:hideMark/>
          </w:tcPr>
          <w:p w14:paraId="59E8F1A3" w14:textId="77777777" w:rsidR="00D70D92" w:rsidRPr="00D70D92" w:rsidRDefault="00D70D92" w:rsidP="00AA4BBB">
            <w:pPr>
              <w:jc w:val="center"/>
              <w:rPr>
                <w:rFonts w:cs="Arial"/>
                <w:b/>
                <w:bCs/>
                <w:sz w:val="20"/>
                <w:szCs w:val="20"/>
              </w:rPr>
            </w:pPr>
            <w:r w:rsidRPr="00D70D92">
              <w:rPr>
                <w:rFonts w:cs="Arial"/>
                <w:b/>
                <w:bCs/>
                <w:sz w:val="20"/>
                <w:szCs w:val="20"/>
              </w:rPr>
              <w:t>2026</w:t>
            </w:r>
          </w:p>
        </w:tc>
        <w:tc>
          <w:tcPr>
            <w:tcW w:w="738" w:type="pct"/>
            <w:shd w:val="clear" w:color="auto" w:fill="D9D9D9"/>
            <w:tcMar>
              <w:top w:w="30" w:type="dxa"/>
              <w:left w:w="45" w:type="dxa"/>
              <w:bottom w:w="30" w:type="dxa"/>
              <w:right w:w="45" w:type="dxa"/>
            </w:tcMar>
            <w:vAlign w:val="center"/>
            <w:hideMark/>
          </w:tcPr>
          <w:p w14:paraId="588ADD0B" w14:textId="77777777" w:rsidR="00D70D92" w:rsidRPr="00D70D92" w:rsidRDefault="00D70D92" w:rsidP="00AA4BBB">
            <w:pPr>
              <w:jc w:val="center"/>
              <w:rPr>
                <w:rFonts w:cs="Arial"/>
                <w:b/>
                <w:bCs/>
                <w:sz w:val="20"/>
                <w:szCs w:val="20"/>
              </w:rPr>
            </w:pPr>
            <w:r w:rsidRPr="00D70D92">
              <w:rPr>
                <w:rFonts w:cs="Arial"/>
                <w:b/>
                <w:bCs/>
                <w:sz w:val="20"/>
                <w:szCs w:val="20"/>
              </w:rPr>
              <w:t>2027</w:t>
            </w:r>
          </w:p>
        </w:tc>
        <w:tc>
          <w:tcPr>
            <w:tcW w:w="714" w:type="pct"/>
            <w:shd w:val="clear" w:color="auto" w:fill="D9D9D9"/>
            <w:tcMar>
              <w:top w:w="30" w:type="dxa"/>
              <w:left w:w="45" w:type="dxa"/>
              <w:bottom w:w="30" w:type="dxa"/>
              <w:right w:w="45" w:type="dxa"/>
            </w:tcMar>
            <w:vAlign w:val="center"/>
            <w:hideMark/>
          </w:tcPr>
          <w:p w14:paraId="6C82E716" w14:textId="77777777" w:rsidR="00D70D92" w:rsidRDefault="00D70D92" w:rsidP="00AA4BBB">
            <w:pPr>
              <w:jc w:val="center"/>
              <w:rPr>
                <w:rFonts w:cs="Arial"/>
                <w:b/>
                <w:bCs/>
                <w:sz w:val="20"/>
                <w:szCs w:val="20"/>
              </w:rPr>
            </w:pPr>
            <w:r w:rsidRPr="00D70D92">
              <w:rPr>
                <w:rFonts w:cs="Arial"/>
                <w:b/>
                <w:bCs/>
                <w:sz w:val="20"/>
                <w:szCs w:val="20"/>
              </w:rPr>
              <w:t xml:space="preserve">Total </w:t>
            </w:r>
          </w:p>
          <w:p w14:paraId="624EDF3D" w14:textId="694739D7" w:rsidR="00D70D92" w:rsidRPr="00D70D92" w:rsidRDefault="00D70D92" w:rsidP="00AA4BBB">
            <w:pPr>
              <w:jc w:val="center"/>
              <w:rPr>
                <w:rFonts w:cs="Arial"/>
                <w:b/>
                <w:bCs/>
                <w:sz w:val="20"/>
                <w:szCs w:val="20"/>
              </w:rPr>
            </w:pPr>
            <w:r w:rsidRPr="00D70D92">
              <w:rPr>
                <w:rFonts w:cs="Arial"/>
                <w:b/>
                <w:bCs/>
                <w:sz w:val="20"/>
                <w:szCs w:val="20"/>
              </w:rPr>
              <w:t>Inversión</w:t>
            </w:r>
          </w:p>
        </w:tc>
      </w:tr>
      <w:tr w:rsidR="00D70D92" w:rsidRPr="00D70D92" w14:paraId="39220468" w14:textId="77777777" w:rsidTr="00DF6BE7">
        <w:tc>
          <w:tcPr>
            <w:tcW w:w="5000" w:type="pct"/>
            <w:gridSpan w:val="6"/>
            <w:shd w:val="clear" w:color="auto" w:fill="C00000"/>
            <w:tcMar>
              <w:top w:w="30" w:type="dxa"/>
              <w:left w:w="45" w:type="dxa"/>
              <w:bottom w:w="30" w:type="dxa"/>
              <w:right w:w="45" w:type="dxa"/>
            </w:tcMar>
            <w:vAlign w:val="center"/>
            <w:hideMark/>
          </w:tcPr>
          <w:p w14:paraId="01DDE836" w14:textId="2D57B442" w:rsidR="00D70D92" w:rsidRPr="00D70D92" w:rsidRDefault="00D70D92" w:rsidP="00D70D92">
            <w:pPr>
              <w:jc w:val="center"/>
              <w:rPr>
                <w:rFonts w:cs="Arial"/>
                <w:b/>
                <w:bCs/>
                <w:sz w:val="20"/>
                <w:szCs w:val="20"/>
              </w:rPr>
            </w:pPr>
            <w:r w:rsidRPr="00D70D92">
              <w:rPr>
                <w:rFonts w:cs="Arial"/>
                <w:b/>
                <w:bCs/>
                <w:color w:val="FFFFFF" w:themeColor="background1"/>
                <w:sz w:val="20"/>
                <w:szCs w:val="20"/>
              </w:rPr>
              <w:t>Educación</w:t>
            </w:r>
          </w:p>
        </w:tc>
      </w:tr>
      <w:tr w:rsidR="00D70D92" w:rsidRPr="00D70D92" w14:paraId="28CED182" w14:textId="77777777" w:rsidTr="00DF6BE7">
        <w:tc>
          <w:tcPr>
            <w:tcW w:w="1414" w:type="pct"/>
            <w:vMerge w:val="restart"/>
            <w:tcMar>
              <w:top w:w="30" w:type="dxa"/>
              <w:left w:w="45" w:type="dxa"/>
              <w:bottom w:w="30" w:type="dxa"/>
              <w:right w:w="45" w:type="dxa"/>
            </w:tcMar>
            <w:vAlign w:val="center"/>
            <w:hideMark/>
          </w:tcPr>
          <w:p w14:paraId="690FEABD" w14:textId="77777777" w:rsidR="00D70D92" w:rsidRPr="00D70D92" w:rsidRDefault="00D70D92" w:rsidP="00AA4BBB">
            <w:pPr>
              <w:rPr>
                <w:rFonts w:cs="Arial"/>
                <w:sz w:val="20"/>
                <w:szCs w:val="20"/>
              </w:rPr>
            </w:pPr>
            <w:r w:rsidRPr="00D70D92">
              <w:rPr>
                <w:rFonts w:cs="Arial"/>
                <w:sz w:val="20"/>
                <w:szCs w:val="20"/>
              </w:rPr>
              <w:t>Aumentar en 1.500 la oferta de cupos en programas altamente demandados y pertinentes que respondan a las expectativas y proyectos de vida de las y los bogotanos en el marco de su autonomía universitaria.</w:t>
            </w:r>
          </w:p>
        </w:tc>
        <w:tc>
          <w:tcPr>
            <w:tcW w:w="718" w:type="pct"/>
            <w:tcMar>
              <w:top w:w="30" w:type="dxa"/>
              <w:left w:w="45" w:type="dxa"/>
              <w:bottom w:w="30" w:type="dxa"/>
              <w:right w:w="45" w:type="dxa"/>
            </w:tcMar>
            <w:vAlign w:val="center"/>
            <w:hideMark/>
          </w:tcPr>
          <w:p w14:paraId="22AD4727" w14:textId="77777777" w:rsidR="00D70D92" w:rsidRPr="00D70D92" w:rsidRDefault="00D70D92" w:rsidP="00AA4BBB">
            <w:pPr>
              <w:jc w:val="center"/>
              <w:rPr>
                <w:rFonts w:cs="Arial"/>
                <w:sz w:val="20"/>
                <w:szCs w:val="20"/>
              </w:rPr>
            </w:pPr>
            <w:r w:rsidRPr="00D70D92">
              <w:rPr>
                <w:rFonts w:cs="Arial"/>
                <w:sz w:val="20"/>
                <w:szCs w:val="20"/>
              </w:rPr>
              <w:t>340</w:t>
            </w:r>
          </w:p>
        </w:tc>
        <w:tc>
          <w:tcPr>
            <w:tcW w:w="712" w:type="pct"/>
            <w:tcMar>
              <w:top w:w="30" w:type="dxa"/>
              <w:left w:w="45" w:type="dxa"/>
              <w:bottom w:w="30" w:type="dxa"/>
              <w:right w:w="45" w:type="dxa"/>
            </w:tcMar>
            <w:vAlign w:val="center"/>
            <w:hideMark/>
          </w:tcPr>
          <w:p w14:paraId="6C8F6B9F" w14:textId="77777777" w:rsidR="00D70D92" w:rsidRPr="00D70D92" w:rsidRDefault="00D70D92" w:rsidP="00AA4BBB">
            <w:pPr>
              <w:jc w:val="center"/>
              <w:rPr>
                <w:rFonts w:cs="Arial"/>
                <w:sz w:val="20"/>
                <w:szCs w:val="20"/>
              </w:rPr>
            </w:pPr>
            <w:r w:rsidRPr="00D70D92">
              <w:rPr>
                <w:rFonts w:cs="Arial"/>
                <w:sz w:val="20"/>
                <w:szCs w:val="20"/>
              </w:rPr>
              <w:t>390</w:t>
            </w:r>
          </w:p>
        </w:tc>
        <w:tc>
          <w:tcPr>
            <w:tcW w:w="704" w:type="pct"/>
            <w:tcMar>
              <w:top w:w="30" w:type="dxa"/>
              <w:left w:w="45" w:type="dxa"/>
              <w:bottom w:w="30" w:type="dxa"/>
              <w:right w:w="45" w:type="dxa"/>
            </w:tcMar>
            <w:vAlign w:val="center"/>
            <w:hideMark/>
          </w:tcPr>
          <w:p w14:paraId="5520A567" w14:textId="77777777" w:rsidR="00D70D92" w:rsidRPr="00D70D92" w:rsidRDefault="00D70D92" w:rsidP="00AA4BBB">
            <w:pPr>
              <w:jc w:val="center"/>
              <w:rPr>
                <w:rFonts w:cs="Arial"/>
                <w:sz w:val="20"/>
                <w:szCs w:val="20"/>
              </w:rPr>
            </w:pPr>
            <w:r w:rsidRPr="00D70D92">
              <w:rPr>
                <w:rFonts w:cs="Arial"/>
                <w:sz w:val="20"/>
                <w:szCs w:val="20"/>
              </w:rPr>
              <w:t>390</w:t>
            </w:r>
          </w:p>
        </w:tc>
        <w:tc>
          <w:tcPr>
            <w:tcW w:w="738" w:type="pct"/>
            <w:tcMar>
              <w:top w:w="30" w:type="dxa"/>
              <w:left w:w="45" w:type="dxa"/>
              <w:bottom w:w="30" w:type="dxa"/>
              <w:right w:w="45" w:type="dxa"/>
            </w:tcMar>
            <w:vAlign w:val="center"/>
            <w:hideMark/>
          </w:tcPr>
          <w:p w14:paraId="607636F5" w14:textId="77777777" w:rsidR="00D70D92" w:rsidRPr="00D70D92" w:rsidRDefault="00D70D92" w:rsidP="00AA4BBB">
            <w:pPr>
              <w:jc w:val="center"/>
              <w:rPr>
                <w:rFonts w:cs="Arial"/>
                <w:sz w:val="20"/>
                <w:szCs w:val="20"/>
              </w:rPr>
            </w:pPr>
            <w:r w:rsidRPr="00D70D92">
              <w:rPr>
                <w:rFonts w:cs="Arial"/>
                <w:sz w:val="20"/>
                <w:szCs w:val="20"/>
              </w:rPr>
              <w:t>380</w:t>
            </w:r>
          </w:p>
        </w:tc>
        <w:tc>
          <w:tcPr>
            <w:tcW w:w="714" w:type="pct"/>
            <w:vMerge w:val="restart"/>
            <w:tcMar>
              <w:top w:w="30" w:type="dxa"/>
              <w:left w:w="45" w:type="dxa"/>
              <w:bottom w:w="30" w:type="dxa"/>
              <w:right w:w="45" w:type="dxa"/>
            </w:tcMar>
            <w:vAlign w:val="center"/>
            <w:hideMark/>
          </w:tcPr>
          <w:p w14:paraId="32274D57" w14:textId="77777777" w:rsidR="00D70D92" w:rsidRPr="00D70D92" w:rsidRDefault="00D70D92" w:rsidP="00AA4BBB">
            <w:pPr>
              <w:jc w:val="center"/>
              <w:rPr>
                <w:rFonts w:cs="Arial"/>
                <w:b/>
                <w:bCs/>
                <w:sz w:val="20"/>
                <w:szCs w:val="20"/>
              </w:rPr>
            </w:pPr>
            <w:r w:rsidRPr="00D70D92">
              <w:rPr>
                <w:rFonts w:cs="Arial"/>
                <w:b/>
                <w:bCs/>
                <w:sz w:val="20"/>
                <w:szCs w:val="20"/>
              </w:rPr>
              <w:t>133.210.255.777</w:t>
            </w:r>
          </w:p>
        </w:tc>
      </w:tr>
      <w:tr w:rsidR="00D70D92" w:rsidRPr="00D70D92" w14:paraId="34FED1FC" w14:textId="77777777" w:rsidTr="00DF6BE7">
        <w:tc>
          <w:tcPr>
            <w:tcW w:w="1414" w:type="pct"/>
            <w:vMerge/>
            <w:vAlign w:val="center"/>
            <w:hideMark/>
          </w:tcPr>
          <w:p w14:paraId="214825F8" w14:textId="77777777" w:rsidR="00D70D92" w:rsidRPr="00D70D92" w:rsidRDefault="00D70D92" w:rsidP="00AA4BBB">
            <w:pPr>
              <w:rPr>
                <w:rFonts w:cs="Arial"/>
                <w:sz w:val="20"/>
                <w:szCs w:val="20"/>
              </w:rPr>
            </w:pPr>
          </w:p>
        </w:tc>
        <w:tc>
          <w:tcPr>
            <w:tcW w:w="718" w:type="pct"/>
            <w:tcMar>
              <w:top w:w="30" w:type="dxa"/>
              <w:left w:w="45" w:type="dxa"/>
              <w:bottom w:w="30" w:type="dxa"/>
              <w:right w:w="45" w:type="dxa"/>
            </w:tcMar>
            <w:vAlign w:val="center"/>
            <w:hideMark/>
          </w:tcPr>
          <w:p w14:paraId="67E56858" w14:textId="77777777" w:rsidR="00D70D92" w:rsidRPr="00D70D92" w:rsidRDefault="00D70D92" w:rsidP="00AA4BBB">
            <w:pPr>
              <w:jc w:val="center"/>
              <w:rPr>
                <w:rFonts w:cs="Arial"/>
                <w:sz w:val="20"/>
                <w:szCs w:val="20"/>
              </w:rPr>
            </w:pPr>
            <w:r w:rsidRPr="00D70D92">
              <w:rPr>
                <w:rFonts w:cs="Arial"/>
                <w:sz w:val="20"/>
                <w:szCs w:val="20"/>
              </w:rPr>
              <w:t>31.832.203.307</w:t>
            </w:r>
          </w:p>
        </w:tc>
        <w:tc>
          <w:tcPr>
            <w:tcW w:w="712" w:type="pct"/>
            <w:tcMar>
              <w:top w:w="30" w:type="dxa"/>
              <w:left w:w="45" w:type="dxa"/>
              <w:bottom w:w="30" w:type="dxa"/>
              <w:right w:w="45" w:type="dxa"/>
            </w:tcMar>
            <w:vAlign w:val="center"/>
            <w:hideMark/>
          </w:tcPr>
          <w:p w14:paraId="66E0DC39" w14:textId="77777777" w:rsidR="00D70D92" w:rsidRPr="00D70D92" w:rsidRDefault="00D70D92" w:rsidP="00AA4BBB">
            <w:pPr>
              <w:jc w:val="center"/>
              <w:rPr>
                <w:rFonts w:cs="Arial"/>
                <w:sz w:val="20"/>
                <w:szCs w:val="20"/>
              </w:rPr>
            </w:pPr>
            <w:r w:rsidRPr="00D70D92">
              <w:rPr>
                <w:rFonts w:cs="Arial"/>
                <w:sz w:val="20"/>
                <w:szCs w:val="20"/>
              </w:rPr>
              <w:t>32.997.702.235</w:t>
            </w:r>
          </w:p>
        </w:tc>
        <w:tc>
          <w:tcPr>
            <w:tcW w:w="704" w:type="pct"/>
            <w:tcMar>
              <w:top w:w="30" w:type="dxa"/>
              <w:left w:w="45" w:type="dxa"/>
              <w:bottom w:w="30" w:type="dxa"/>
              <w:right w:w="45" w:type="dxa"/>
            </w:tcMar>
            <w:vAlign w:val="center"/>
            <w:hideMark/>
          </w:tcPr>
          <w:p w14:paraId="5B6D51E5" w14:textId="77777777" w:rsidR="00D70D92" w:rsidRPr="00D70D92" w:rsidRDefault="00D70D92" w:rsidP="00AA4BBB">
            <w:pPr>
              <w:jc w:val="center"/>
              <w:rPr>
                <w:rFonts w:cs="Arial"/>
                <w:sz w:val="20"/>
                <w:szCs w:val="20"/>
              </w:rPr>
            </w:pPr>
            <w:r w:rsidRPr="00D70D92">
              <w:rPr>
                <w:rFonts w:cs="Arial"/>
                <w:sz w:val="20"/>
                <w:szCs w:val="20"/>
              </w:rPr>
              <w:t>33.829.722.159</w:t>
            </w:r>
          </w:p>
        </w:tc>
        <w:tc>
          <w:tcPr>
            <w:tcW w:w="738" w:type="pct"/>
            <w:tcMar>
              <w:top w:w="30" w:type="dxa"/>
              <w:left w:w="45" w:type="dxa"/>
              <w:bottom w:w="30" w:type="dxa"/>
              <w:right w:w="45" w:type="dxa"/>
            </w:tcMar>
            <w:vAlign w:val="center"/>
            <w:hideMark/>
          </w:tcPr>
          <w:p w14:paraId="0BEB9A35" w14:textId="77777777" w:rsidR="00D70D92" w:rsidRPr="00D70D92" w:rsidRDefault="00D70D92" w:rsidP="00AA4BBB">
            <w:pPr>
              <w:jc w:val="center"/>
              <w:rPr>
                <w:rFonts w:cs="Arial"/>
                <w:sz w:val="20"/>
                <w:szCs w:val="20"/>
              </w:rPr>
            </w:pPr>
            <w:r w:rsidRPr="00D70D92">
              <w:rPr>
                <w:rFonts w:cs="Arial"/>
                <w:sz w:val="20"/>
                <w:szCs w:val="20"/>
              </w:rPr>
              <w:t>34.550.628.076</w:t>
            </w:r>
          </w:p>
        </w:tc>
        <w:tc>
          <w:tcPr>
            <w:tcW w:w="714" w:type="pct"/>
            <w:vMerge/>
            <w:vAlign w:val="center"/>
            <w:hideMark/>
          </w:tcPr>
          <w:p w14:paraId="688798D3" w14:textId="77777777" w:rsidR="00D70D92" w:rsidRPr="00D70D92" w:rsidRDefault="00D70D92" w:rsidP="00AA4BBB">
            <w:pPr>
              <w:rPr>
                <w:rFonts w:cs="Arial"/>
                <w:b/>
                <w:bCs/>
                <w:sz w:val="20"/>
                <w:szCs w:val="20"/>
              </w:rPr>
            </w:pPr>
          </w:p>
        </w:tc>
      </w:tr>
      <w:tr w:rsidR="00D70D92" w:rsidRPr="00D70D92" w14:paraId="2B0F0AEE" w14:textId="77777777" w:rsidTr="00DF6BE7">
        <w:tc>
          <w:tcPr>
            <w:tcW w:w="5000" w:type="pct"/>
            <w:gridSpan w:val="6"/>
            <w:shd w:val="clear" w:color="auto" w:fill="C00000"/>
            <w:tcMar>
              <w:top w:w="30" w:type="dxa"/>
              <w:left w:w="45" w:type="dxa"/>
              <w:bottom w:w="30" w:type="dxa"/>
              <w:right w:w="45" w:type="dxa"/>
            </w:tcMar>
            <w:vAlign w:val="center"/>
            <w:hideMark/>
          </w:tcPr>
          <w:p w14:paraId="2ECA89A3" w14:textId="78EC78B5" w:rsidR="00D70D92" w:rsidRPr="00D70D92" w:rsidRDefault="00D70D92" w:rsidP="00D70D92">
            <w:pPr>
              <w:jc w:val="center"/>
              <w:rPr>
                <w:rFonts w:cs="Arial"/>
                <w:b/>
                <w:bCs/>
                <w:color w:val="FFFFFF" w:themeColor="background1"/>
                <w:sz w:val="20"/>
                <w:szCs w:val="20"/>
              </w:rPr>
            </w:pPr>
            <w:r w:rsidRPr="00D70D92">
              <w:rPr>
                <w:rFonts w:cs="Arial"/>
                <w:b/>
                <w:bCs/>
                <w:color w:val="FFFFFF" w:themeColor="background1"/>
                <w:sz w:val="20"/>
                <w:szCs w:val="20"/>
              </w:rPr>
              <w:t>Mujer</w:t>
            </w:r>
          </w:p>
        </w:tc>
      </w:tr>
      <w:tr w:rsidR="00D70D92" w:rsidRPr="00D70D92" w14:paraId="733B0971" w14:textId="77777777" w:rsidTr="00DF6BE7">
        <w:tc>
          <w:tcPr>
            <w:tcW w:w="1414" w:type="pct"/>
            <w:vMerge w:val="restart"/>
            <w:tcMar>
              <w:top w:w="30" w:type="dxa"/>
              <w:left w:w="45" w:type="dxa"/>
              <w:bottom w:w="30" w:type="dxa"/>
              <w:right w:w="45" w:type="dxa"/>
            </w:tcMar>
            <w:vAlign w:val="center"/>
            <w:hideMark/>
          </w:tcPr>
          <w:p w14:paraId="7B2328B2" w14:textId="77777777" w:rsidR="00D70D92" w:rsidRPr="00D70D92" w:rsidRDefault="00D70D92" w:rsidP="00AA4BBB">
            <w:pPr>
              <w:rPr>
                <w:rFonts w:cs="Arial"/>
                <w:sz w:val="20"/>
                <w:szCs w:val="20"/>
              </w:rPr>
            </w:pPr>
            <w:r w:rsidRPr="00D70D92">
              <w:rPr>
                <w:rFonts w:cs="Arial"/>
                <w:sz w:val="20"/>
                <w:szCs w:val="20"/>
              </w:rPr>
              <w:t>Ofrecer 20.000 cupos de formación posmedia en cursos cortos orientados a jóvenes con potencial</w:t>
            </w:r>
          </w:p>
        </w:tc>
        <w:tc>
          <w:tcPr>
            <w:tcW w:w="718" w:type="pct"/>
            <w:tcMar>
              <w:top w:w="30" w:type="dxa"/>
              <w:left w:w="45" w:type="dxa"/>
              <w:bottom w:w="30" w:type="dxa"/>
              <w:right w:w="45" w:type="dxa"/>
            </w:tcMar>
            <w:vAlign w:val="center"/>
            <w:hideMark/>
          </w:tcPr>
          <w:p w14:paraId="0EDD2582" w14:textId="77777777" w:rsidR="00D70D92" w:rsidRPr="00D70D92" w:rsidRDefault="00D70D92" w:rsidP="00AA4BBB">
            <w:pPr>
              <w:jc w:val="center"/>
              <w:rPr>
                <w:rFonts w:cs="Arial"/>
                <w:sz w:val="20"/>
                <w:szCs w:val="20"/>
              </w:rPr>
            </w:pPr>
            <w:r w:rsidRPr="00D70D92">
              <w:rPr>
                <w:rFonts w:cs="Arial"/>
                <w:sz w:val="20"/>
                <w:szCs w:val="20"/>
              </w:rPr>
              <w:t>1.500</w:t>
            </w:r>
          </w:p>
        </w:tc>
        <w:tc>
          <w:tcPr>
            <w:tcW w:w="712" w:type="pct"/>
            <w:tcMar>
              <w:top w:w="30" w:type="dxa"/>
              <w:left w:w="45" w:type="dxa"/>
              <w:bottom w:w="30" w:type="dxa"/>
              <w:right w:w="45" w:type="dxa"/>
            </w:tcMar>
            <w:vAlign w:val="center"/>
            <w:hideMark/>
          </w:tcPr>
          <w:p w14:paraId="54F4B4FB" w14:textId="77777777" w:rsidR="00D70D92" w:rsidRPr="00D70D92" w:rsidRDefault="00D70D92" w:rsidP="00AA4BBB">
            <w:pPr>
              <w:jc w:val="center"/>
              <w:rPr>
                <w:rFonts w:cs="Arial"/>
                <w:sz w:val="20"/>
                <w:szCs w:val="20"/>
              </w:rPr>
            </w:pPr>
            <w:r w:rsidRPr="00D70D92">
              <w:rPr>
                <w:rFonts w:cs="Arial"/>
                <w:sz w:val="20"/>
                <w:szCs w:val="20"/>
              </w:rPr>
              <w:t>3.000</w:t>
            </w:r>
          </w:p>
        </w:tc>
        <w:tc>
          <w:tcPr>
            <w:tcW w:w="704" w:type="pct"/>
            <w:tcMar>
              <w:top w:w="30" w:type="dxa"/>
              <w:left w:w="45" w:type="dxa"/>
              <w:bottom w:w="30" w:type="dxa"/>
              <w:right w:w="45" w:type="dxa"/>
            </w:tcMar>
            <w:vAlign w:val="center"/>
            <w:hideMark/>
          </w:tcPr>
          <w:p w14:paraId="4ACFE955" w14:textId="77777777" w:rsidR="00D70D92" w:rsidRPr="00D70D92" w:rsidRDefault="00D70D92" w:rsidP="00AA4BBB">
            <w:pPr>
              <w:jc w:val="center"/>
              <w:rPr>
                <w:rFonts w:cs="Arial"/>
                <w:sz w:val="20"/>
                <w:szCs w:val="20"/>
              </w:rPr>
            </w:pPr>
            <w:r w:rsidRPr="00D70D92">
              <w:rPr>
                <w:rFonts w:cs="Arial"/>
                <w:sz w:val="20"/>
                <w:szCs w:val="20"/>
              </w:rPr>
              <w:t>6.000</w:t>
            </w:r>
          </w:p>
        </w:tc>
        <w:tc>
          <w:tcPr>
            <w:tcW w:w="738" w:type="pct"/>
            <w:tcMar>
              <w:top w:w="30" w:type="dxa"/>
              <w:left w:w="45" w:type="dxa"/>
              <w:bottom w:w="30" w:type="dxa"/>
              <w:right w:w="45" w:type="dxa"/>
            </w:tcMar>
            <w:vAlign w:val="center"/>
            <w:hideMark/>
          </w:tcPr>
          <w:p w14:paraId="25374E27" w14:textId="77777777" w:rsidR="00D70D92" w:rsidRPr="00D70D92" w:rsidRDefault="00D70D92" w:rsidP="00AA4BBB">
            <w:pPr>
              <w:jc w:val="center"/>
              <w:rPr>
                <w:rFonts w:cs="Arial"/>
                <w:sz w:val="20"/>
                <w:szCs w:val="20"/>
              </w:rPr>
            </w:pPr>
            <w:r w:rsidRPr="00D70D92">
              <w:rPr>
                <w:rFonts w:cs="Arial"/>
                <w:sz w:val="20"/>
                <w:szCs w:val="20"/>
              </w:rPr>
              <w:t>9.500</w:t>
            </w:r>
          </w:p>
        </w:tc>
        <w:tc>
          <w:tcPr>
            <w:tcW w:w="714" w:type="pct"/>
            <w:vMerge w:val="restart"/>
            <w:tcMar>
              <w:top w:w="30" w:type="dxa"/>
              <w:left w:w="45" w:type="dxa"/>
              <w:bottom w:w="30" w:type="dxa"/>
              <w:right w:w="45" w:type="dxa"/>
            </w:tcMar>
            <w:vAlign w:val="center"/>
            <w:hideMark/>
          </w:tcPr>
          <w:p w14:paraId="55BDF3B3" w14:textId="77777777" w:rsidR="00D70D92" w:rsidRPr="00D70D92" w:rsidRDefault="00D70D92" w:rsidP="00AA4BBB">
            <w:pPr>
              <w:jc w:val="center"/>
              <w:rPr>
                <w:rFonts w:cs="Arial"/>
                <w:b/>
                <w:bCs/>
                <w:sz w:val="20"/>
                <w:szCs w:val="20"/>
              </w:rPr>
            </w:pPr>
            <w:r w:rsidRPr="00D70D92">
              <w:rPr>
                <w:rFonts w:cs="Arial"/>
                <w:b/>
                <w:bCs/>
                <w:sz w:val="20"/>
                <w:szCs w:val="20"/>
              </w:rPr>
              <w:t>82.146.130.097</w:t>
            </w:r>
          </w:p>
        </w:tc>
      </w:tr>
      <w:tr w:rsidR="00D70D92" w:rsidRPr="00D70D92" w14:paraId="7E76C05B" w14:textId="77777777" w:rsidTr="00DF6BE7">
        <w:tc>
          <w:tcPr>
            <w:tcW w:w="1414" w:type="pct"/>
            <w:vMerge/>
            <w:vAlign w:val="center"/>
            <w:hideMark/>
          </w:tcPr>
          <w:p w14:paraId="3AE63813" w14:textId="77777777" w:rsidR="00D70D92" w:rsidRPr="00D70D92" w:rsidRDefault="00D70D92" w:rsidP="00AA4BBB">
            <w:pPr>
              <w:rPr>
                <w:rFonts w:cs="Arial"/>
                <w:sz w:val="20"/>
                <w:szCs w:val="20"/>
              </w:rPr>
            </w:pPr>
          </w:p>
        </w:tc>
        <w:tc>
          <w:tcPr>
            <w:tcW w:w="718" w:type="pct"/>
            <w:tcMar>
              <w:top w:w="30" w:type="dxa"/>
              <w:left w:w="45" w:type="dxa"/>
              <w:bottom w:w="30" w:type="dxa"/>
              <w:right w:w="45" w:type="dxa"/>
            </w:tcMar>
            <w:vAlign w:val="center"/>
            <w:hideMark/>
          </w:tcPr>
          <w:p w14:paraId="2D020CD7" w14:textId="77777777" w:rsidR="00D70D92" w:rsidRPr="00D70D92" w:rsidRDefault="00D70D92" w:rsidP="00AA4BBB">
            <w:pPr>
              <w:jc w:val="center"/>
              <w:rPr>
                <w:rFonts w:cs="Arial"/>
                <w:sz w:val="20"/>
                <w:szCs w:val="20"/>
              </w:rPr>
            </w:pPr>
            <w:r w:rsidRPr="00D70D92">
              <w:rPr>
                <w:rFonts w:cs="Arial"/>
                <w:sz w:val="20"/>
                <w:szCs w:val="20"/>
              </w:rPr>
              <w:t>6.000.000.000</w:t>
            </w:r>
          </w:p>
        </w:tc>
        <w:tc>
          <w:tcPr>
            <w:tcW w:w="712" w:type="pct"/>
            <w:tcMar>
              <w:top w:w="30" w:type="dxa"/>
              <w:left w:w="45" w:type="dxa"/>
              <w:bottom w:w="30" w:type="dxa"/>
              <w:right w:w="45" w:type="dxa"/>
            </w:tcMar>
            <w:vAlign w:val="center"/>
            <w:hideMark/>
          </w:tcPr>
          <w:p w14:paraId="42B36913" w14:textId="77777777" w:rsidR="00D70D92" w:rsidRPr="00D70D92" w:rsidRDefault="00D70D92" w:rsidP="00AA4BBB">
            <w:pPr>
              <w:jc w:val="center"/>
              <w:rPr>
                <w:rFonts w:cs="Arial"/>
                <w:sz w:val="20"/>
                <w:szCs w:val="20"/>
              </w:rPr>
            </w:pPr>
            <w:r w:rsidRPr="00D70D92">
              <w:rPr>
                <w:rFonts w:cs="Arial"/>
                <w:sz w:val="20"/>
                <w:szCs w:val="20"/>
              </w:rPr>
              <w:t>12.502.829.126</w:t>
            </w:r>
          </w:p>
        </w:tc>
        <w:tc>
          <w:tcPr>
            <w:tcW w:w="704" w:type="pct"/>
            <w:tcMar>
              <w:top w:w="30" w:type="dxa"/>
              <w:left w:w="45" w:type="dxa"/>
              <w:bottom w:w="30" w:type="dxa"/>
              <w:right w:w="45" w:type="dxa"/>
            </w:tcMar>
            <w:vAlign w:val="center"/>
            <w:hideMark/>
          </w:tcPr>
          <w:p w14:paraId="77D2D6FD" w14:textId="77777777" w:rsidR="00D70D92" w:rsidRPr="00D70D92" w:rsidRDefault="00D70D92" w:rsidP="00AA4BBB">
            <w:pPr>
              <w:jc w:val="center"/>
              <w:rPr>
                <w:rFonts w:cs="Arial"/>
                <w:sz w:val="20"/>
                <w:szCs w:val="20"/>
              </w:rPr>
            </w:pPr>
            <w:r w:rsidRPr="00D70D92">
              <w:rPr>
                <w:rFonts w:cs="Arial"/>
                <w:sz w:val="20"/>
                <w:szCs w:val="20"/>
              </w:rPr>
              <w:t>24.636.116.505</w:t>
            </w:r>
          </w:p>
        </w:tc>
        <w:tc>
          <w:tcPr>
            <w:tcW w:w="738" w:type="pct"/>
            <w:tcMar>
              <w:top w:w="30" w:type="dxa"/>
              <w:left w:w="45" w:type="dxa"/>
              <w:bottom w:w="30" w:type="dxa"/>
              <w:right w:w="45" w:type="dxa"/>
            </w:tcMar>
            <w:vAlign w:val="center"/>
            <w:hideMark/>
          </w:tcPr>
          <w:p w14:paraId="6E8EA6FC" w14:textId="77777777" w:rsidR="00D70D92" w:rsidRPr="00D70D92" w:rsidRDefault="00D70D92" w:rsidP="00AA4BBB">
            <w:pPr>
              <w:jc w:val="center"/>
              <w:rPr>
                <w:rFonts w:cs="Arial"/>
                <w:sz w:val="20"/>
                <w:szCs w:val="20"/>
              </w:rPr>
            </w:pPr>
            <w:r w:rsidRPr="00D70D92">
              <w:rPr>
                <w:rFonts w:cs="Arial"/>
                <w:sz w:val="20"/>
                <w:szCs w:val="20"/>
              </w:rPr>
              <w:t>39.007.184.466</w:t>
            </w:r>
          </w:p>
        </w:tc>
        <w:tc>
          <w:tcPr>
            <w:tcW w:w="714" w:type="pct"/>
            <w:vMerge/>
            <w:vAlign w:val="center"/>
            <w:hideMark/>
          </w:tcPr>
          <w:p w14:paraId="71A91425" w14:textId="77777777" w:rsidR="00D70D92" w:rsidRPr="00D70D92" w:rsidRDefault="00D70D92" w:rsidP="00AA4BBB">
            <w:pPr>
              <w:rPr>
                <w:rFonts w:cs="Arial"/>
                <w:b/>
                <w:bCs/>
                <w:sz w:val="20"/>
                <w:szCs w:val="20"/>
              </w:rPr>
            </w:pPr>
          </w:p>
        </w:tc>
      </w:tr>
      <w:tr w:rsidR="00D70D92" w:rsidRPr="00D70D92" w14:paraId="164057B1" w14:textId="77777777" w:rsidTr="00DF6BE7">
        <w:tc>
          <w:tcPr>
            <w:tcW w:w="1414" w:type="pct"/>
            <w:vMerge w:val="restart"/>
            <w:tcMar>
              <w:top w:w="30" w:type="dxa"/>
              <w:left w:w="45" w:type="dxa"/>
              <w:bottom w:w="30" w:type="dxa"/>
              <w:right w:w="45" w:type="dxa"/>
            </w:tcMar>
            <w:vAlign w:val="center"/>
            <w:hideMark/>
          </w:tcPr>
          <w:p w14:paraId="2CBE5912" w14:textId="77777777" w:rsidR="00D70D92" w:rsidRPr="00D70D92" w:rsidRDefault="00D70D92" w:rsidP="00AA4BBB">
            <w:pPr>
              <w:rPr>
                <w:rFonts w:cs="Arial"/>
                <w:sz w:val="20"/>
                <w:szCs w:val="20"/>
              </w:rPr>
            </w:pPr>
            <w:r w:rsidRPr="00D70D92">
              <w:rPr>
                <w:rFonts w:cs="Arial"/>
                <w:sz w:val="20"/>
                <w:szCs w:val="20"/>
              </w:rPr>
              <w:t>Formar 27.000 mujeres en habilidades digitales a través de los Centros de Inclusión Digital - CID.</w:t>
            </w:r>
          </w:p>
        </w:tc>
        <w:tc>
          <w:tcPr>
            <w:tcW w:w="718" w:type="pct"/>
            <w:tcMar>
              <w:top w:w="30" w:type="dxa"/>
              <w:left w:w="45" w:type="dxa"/>
              <w:bottom w:w="30" w:type="dxa"/>
              <w:right w:w="45" w:type="dxa"/>
            </w:tcMar>
            <w:vAlign w:val="center"/>
            <w:hideMark/>
          </w:tcPr>
          <w:p w14:paraId="1D6BE4AD" w14:textId="77777777" w:rsidR="00D70D92" w:rsidRPr="00D70D92" w:rsidRDefault="00D70D92" w:rsidP="00AA4BBB">
            <w:pPr>
              <w:jc w:val="center"/>
              <w:rPr>
                <w:rFonts w:cs="Arial"/>
                <w:sz w:val="20"/>
                <w:szCs w:val="20"/>
              </w:rPr>
            </w:pPr>
            <w:r w:rsidRPr="00D70D92">
              <w:rPr>
                <w:rFonts w:cs="Arial"/>
                <w:sz w:val="20"/>
                <w:szCs w:val="20"/>
              </w:rPr>
              <w:t>3.300</w:t>
            </w:r>
          </w:p>
        </w:tc>
        <w:tc>
          <w:tcPr>
            <w:tcW w:w="712" w:type="pct"/>
            <w:tcMar>
              <w:top w:w="30" w:type="dxa"/>
              <w:left w:w="45" w:type="dxa"/>
              <w:bottom w:w="30" w:type="dxa"/>
              <w:right w:w="45" w:type="dxa"/>
            </w:tcMar>
            <w:vAlign w:val="center"/>
            <w:hideMark/>
          </w:tcPr>
          <w:p w14:paraId="4F309238" w14:textId="77777777" w:rsidR="00D70D92" w:rsidRPr="00D70D92" w:rsidRDefault="00D70D92" w:rsidP="00AA4BBB">
            <w:pPr>
              <w:jc w:val="center"/>
              <w:rPr>
                <w:rFonts w:cs="Arial"/>
                <w:sz w:val="20"/>
                <w:szCs w:val="20"/>
              </w:rPr>
            </w:pPr>
            <w:r w:rsidRPr="00D70D92">
              <w:rPr>
                <w:rFonts w:cs="Arial"/>
                <w:sz w:val="20"/>
                <w:szCs w:val="20"/>
              </w:rPr>
              <w:t>7.900</w:t>
            </w:r>
          </w:p>
        </w:tc>
        <w:tc>
          <w:tcPr>
            <w:tcW w:w="704" w:type="pct"/>
            <w:tcMar>
              <w:top w:w="30" w:type="dxa"/>
              <w:left w:w="45" w:type="dxa"/>
              <w:bottom w:w="30" w:type="dxa"/>
              <w:right w:w="45" w:type="dxa"/>
            </w:tcMar>
            <w:vAlign w:val="center"/>
            <w:hideMark/>
          </w:tcPr>
          <w:p w14:paraId="1566523A" w14:textId="77777777" w:rsidR="00D70D92" w:rsidRPr="00D70D92" w:rsidRDefault="00D70D92" w:rsidP="00AA4BBB">
            <w:pPr>
              <w:jc w:val="center"/>
              <w:rPr>
                <w:rFonts w:cs="Arial"/>
                <w:sz w:val="20"/>
                <w:szCs w:val="20"/>
              </w:rPr>
            </w:pPr>
            <w:r w:rsidRPr="00D70D92">
              <w:rPr>
                <w:rFonts w:cs="Arial"/>
                <w:sz w:val="20"/>
                <w:szCs w:val="20"/>
              </w:rPr>
              <w:t>7.900</w:t>
            </w:r>
          </w:p>
        </w:tc>
        <w:tc>
          <w:tcPr>
            <w:tcW w:w="738" w:type="pct"/>
            <w:tcMar>
              <w:top w:w="30" w:type="dxa"/>
              <w:left w:w="45" w:type="dxa"/>
              <w:bottom w:w="30" w:type="dxa"/>
              <w:right w:w="45" w:type="dxa"/>
            </w:tcMar>
            <w:vAlign w:val="center"/>
            <w:hideMark/>
          </w:tcPr>
          <w:p w14:paraId="116D336B" w14:textId="77777777" w:rsidR="00D70D92" w:rsidRPr="00D70D92" w:rsidRDefault="00D70D92" w:rsidP="00AA4BBB">
            <w:pPr>
              <w:jc w:val="center"/>
              <w:rPr>
                <w:rFonts w:cs="Arial"/>
                <w:sz w:val="20"/>
                <w:szCs w:val="20"/>
              </w:rPr>
            </w:pPr>
            <w:r w:rsidRPr="00D70D92">
              <w:rPr>
                <w:rFonts w:cs="Arial"/>
                <w:sz w:val="20"/>
                <w:szCs w:val="20"/>
              </w:rPr>
              <w:t>7.900</w:t>
            </w:r>
          </w:p>
        </w:tc>
        <w:tc>
          <w:tcPr>
            <w:tcW w:w="714" w:type="pct"/>
            <w:vMerge w:val="restart"/>
            <w:tcMar>
              <w:top w:w="30" w:type="dxa"/>
              <w:left w:w="45" w:type="dxa"/>
              <w:bottom w:w="30" w:type="dxa"/>
              <w:right w:w="45" w:type="dxa"/>
            </w:tcMar>
            <w:vAlign w:val="center"/>
            <w:hideMark/>
          </w:tcPr>
          <w:p w14:paraId="255A5A21" w14:textId="77777777" w:rsidR="00D70D92" w:rsidRPr="00D70D92" w:rsidRDefault="00D70D92" w:rsidP="00AA4BBB">
            <w:pPr>
              <w:jc w:val="center"/>
              <w:rPr>
                <w:rFonts w:cs="Arial"/>
                <w:b/>
                <w:bCs/>
                <w:sz w:val="20"/>
                <w:szCs w:val="20"/>
              </w:rPr>
            </w:pPr>
            <w:r w:rsidRPr="00D70D92">
              <w:rPr>
                <w:rFonts w:cs="Arial"/>
                <w:b/>
                <w:bCs/>
                <w:sz w:val="20"/>
                <w:szCs w:val="20"/>
              </w:rPr>
              <w:t>8.592.328.966</w:t>
            </w:r>
          </w:p>
        </w:tc>
      </w:tr>
      <w:tr w:rsidR="00D70D92" w:rsidRPr="00D70D92" w14:paraId="33E419F0" w14:textId="77777777" w:rsidTr="00DF6BE7">
        <w:tc>
          <w:tcPr>
            <w:tcW w:w="1414" w:type="pct"/>
            <w:vMerge/>
            <w:tcBorders>
              <w:bottom w:val="double" w:sz="4" w:space="0" w:color="C00000"/>
            </w:tcBorders>
            <w:vAlign w:val="center"/>
            <w:hideMark/>
          </w:tcPr>
          <w:p w14:paraId="3D70E184" w14:textId="77777777" w:rsidR="00D70D92" w:rsidRPr="00D70D92" w:rsidRDefault="00D70D92" w:rsidP="00AA4BBB">
            <w:pPr>
              <w:rPr>
                <w:rFonts w:cs="Arial"/>
                <w:sz w:val="20"/>
                <w:szCs w:val="20"/>
              </w:rPr>
            </w:pPr>
          </w:p>
        </w:tc>
        <w:tc>
          <w:tcPr>
            <w:tcW w:w="718" w:type="pct"/>
            <w:tcBorders>
              <w:bottom w:val="double" w:sz="4" w:space="0" w:color="C00000"/>
            </w:tcBorders>
            <w:tcMar>
              <w:top w:w="30" w:type="dxa"/>
              <w:left w:w="45" w:type="dxa"/>
              <w:bottom w:w="30" w:type="dxa"/>
              <w:right w:w="45" w:type="dxa"/>
            </w:tcMar>
            <w:vAlign w:val="center"/>
            <w:hideMark/>
          </w:tcPr>
          <w:p w14:paraId="2E8851FB" w14:textId="77777777" w:rsidR="00D70D92" w:rsidRPr="00D70D92" w:rsidRDefault="00D70D92" w:rsidP="00AA4BBB">
            <w:pPr>
              <w:jc w:val="center"/>
              <w:rPr>
                <w:rFonts w:cs="Arial"/>
                <w:sz w:val="20"/>
                <w:szCs w:val="20"/>
              </w:rPr>
            </w:pPr>
            <w:r w:rsidRPr="00D70D92">
              <w:rPr>
                <w:rFonts w:cs="Arial"/>
                <w:sz w:val="20"/>
                <w:szCs w:val="20"/>
              </w:rPr>
              <w:t>2.001.411.303</w:t>
            </w:r>
          </w:p>
        </w:tc>
        <w:tc>
          <w:tcPr>
            <w:tcW w:w="712" w:type="pct"/>
            <w:tcBorders>
              <w:bottom w:val="double" w:sz="4" w:space="0" w:color="C00000"/>
            </w:tcBorders>
            <w:tcMar>
              <w:top w:w="30" w:type="dxa"/>
              <w:left w:w="45" w:type="dxa"/>
              <w:bottom w:w="30" w:type="dxa"/>
              <w:right w:w="45" w:type="dxa"/>
            </w:tcMar>
            <w:vAlign w:val="center"/>
            <w:hideMark/>
          </w:tcPr>
          <w:p w14:paraId="3EBDD988" w14:textId="77777777" w:rsidR="00D70D92" w:rsidRPr="00D70D92" w:rsidRDefault="00D70D92" w:rsidP="00AA4BBB">
            <w:pPr>
              <w:jc w:val="center"/>
              <w:rPr>
                <w:rFonts w:cs="Arial"/>
                <w:sz w:val="20"/>
                <w:szCs w:val="20"/>
              </w:rPr>
            </w:pPr>
            <w:r w:rsidRPr="00D70D92">
              <w:rPr>
                <w:rFonts w:cs="Arial"/>
                <w:sz w:val="20"/>
                <w:szCs w:val="20"/>
              </w:rPr>
              <w:t>2.127.713.958</w:t>
            </w:r>
          </w:p>
        </w:tc>
        <w:tc>
          <w:tcPr>
            <w:tcW w:w="704" w:type="pct"/>
            <w:tcBorders>
              <w:bottom w:val="double" w:sz="4" w:space="0" w:color="C00000"/>
            </w:tcBorders>
            <w:tcMar>
              <w:top w:w="30" w:type="dxa"/>
              <w:left w:w="45" w:type="dxa"/>
              <w:bottom w:w="30" w:type="dxa"/>
              <w:right w:w="45" w:type="dxa"/>
            </w:tcMar>
            <w:vAlign w:val="center"/>
            <w:hideMark/>
          </w:tcPr>
          <w:p w14:paraId="144F1DF6" w14:textId="77777777" w:rsidR="00D70D92" w:rsidRPr="00D70D92" w:rsidRDefault="00D70D92" w:rsidP="00AA4BBB">
            <w:pPr>
              <w:jc w:val="center"/>
              <w:rPr>
                <w:rFonts w:cs="Arial"/>
                <w:sz w:val="20"/>
                <w:szCs w:val="20"/>
              </w:rPr>
            </w:pPr>
            <w:r w:rsidRPr="00D70D92">
              <w:rPr>
                <w:rFonts w:cs="Arial"/>
                <w:sz w:val="20"/>
                <w:szCs w:val="20"/>
              </w:rPr>
              <w:t>2.200.014.918</w:t>
            </w:r>
          </w:p>
        </w:tc>
        <w:tc>
          <w:tcPr>
            <w:tcW w:w="738" w:type="pct"/>
            <w:tcBorders>
              <w:bottom w:val="double" w:sz="4" w:space="0" w:color="C00000"/>
            </w:tcBorders>
            <w:tcMar>
              <w:top w:w="30" w:type="dxa"/>
              <w:left w:w="45" w:type="dxa"/>
              <w:bottom w:w="30" w:type="dxa"/>
              <w:right w:w="45" w:type="dxa"/>
            </w:tcMar>
            <w:vAlign w:val="center"/>
            <w:hideMark/>
          </w:tcPr>
          <w:p w14:paraId="3A3D1AE5" w14:textId="77777777" w:rsidR="00D70D92" w:rsidRPr="00D70D92" w:rsidRDefault="00D70D92" w:rsidP="00AA4BBB">
            <w:pPr>
              <w:jc w:val="center"/>
              <w:rPr>
                <w:rFonts w:cs="Arial"/>
                <w:sz w:val="20"/>
                <w:szCs w:val="20"/>
              </w:rPr>
            </w:pPr>
            <w:r w:rsidRPr="00D70D92">
              <w:rPr>
                <w:rFonts w:cs="Arial"/>
                <w:sz w:val="20"/>
                <w:szCs w:val="20"/>
              </w:rPr>
              <w:t>2.263.188.787</w:t>
            </w:r>
          </w:p>
        </w:tc>
        <w:tc>
          <w:tcPr>
            <w:tcW w:w="714" w:type="pct"/>
            <w:vMerge/>
            <w:tcBorders>
              <w:bottom w:val="double" w:sz="4" w:space="0" w:color="C00000"/>
            </w:tcBorders>
            <w:vAlign w:val="center"/>
            <w:hideMark/>
          </w:tcPr>
          <w:p w14:paraId="553D8354" w14:textId="77777777" w:rsidR="00D70D92" w:rsidRPr="00D70D92" w:rsidRDefault="00D70D92" w:rsidP="00AA4BBB">
            <w:pPr>
              <w:rPr>
                <w:rFonts w:cs="Arial"/>
                <w:b/>
                <w:bCs/>
                <w:sz w:val="20"/>
                <w:szCs w:val="20"/>
              </w:rPr>
            </w:pPr>
          </w:p>
        </w:tc>
      </w:tr>
    </w:tbl>
    <w:p w14:paraId="58DFF2B7" w14:textId="77777777" w:rsidR="00FA4F64" w:rsidRDefault="00FA4F64" w:rsidP="00FA4F64">
      <w:pPr>
        <w:pBdr>
          <w:top w:val="nil"/>
          <w:left w:val="nil"/>
          <w:bottom w:val="nil"/>
          <w:right w:val="nil"/>
          <w:between w:val="nil"/>
        </w:pBdr>
        <w:spacing w:line="220" w:lineRule="auto"/>
        <w:rPr>
          <w:color w:val="3B3838"/>
          <w:sz w:val="18"/>
          <w:szCs w:val="18"/>
        </w:rPr>
      </w:pPr>
    </w:p>
    <w:p w14:paraId="226F2B60" w14:textId="77777777" w:rsidR="00FA4F64" w:rsidRDefault="00FA4F64" w:rsidP="00FA4F64">
      <w:pPr>
        <w:pBdr>
          <w:top w:val="nil"/>
          <w:left w:val="nil"/>
          <w:bottom w:val="nil"/>
          <w:right w:val="nil"/>
          <w:between w:val="nil"/>
        </w:pBdr>
        <w:spacing w:line="220" w:lineRule="auto"/>
        <w:rPr>
          <w:color w:val="3B3838"/>
          <w:sz w:val="18"/>
          <w:szCs w:val="18"/>
        </w:rPr>
      </w:pPr>
    </w:p>
    <w:p w14:paraId="74566B63" w14:textId="77777777" w:rsidR="001E15AC" w:rsidRDefault="001E15AC" w:rsidP="001E15AC">
      <w:pPr>
        <w:keepNext/>
        <w:keepLines/>
        <w:pBdr>
          <w:top w:val="nil"/>
          <w:left w:val="nil"/>
          <w:bottom w:val="nil"/>
          <w:right w:val="nil"/>
          <w:between w:val="nil"/>
        </w:pBdr>
        <w:spacing w:line="340" w:lineRule="auto"/>
        <w:ind w:left="425"/>
        <w:jc w:val="left"/>
        <w:rPr>
          <w:b/>
          <w:color w:val="3B3838"/>
          <w:sz w:val="28"/>
          <w:szCs w:val="28"/>
          <w:highlight w:val="lightGray"/>
        </w:rPr>
      </w:pPr>
      <w:r>
        <w:rPr>
          <w:b/>
          <w:color w:val="3B3838"/>
          <w:sz w:val="28"/>
          <w:szCs w:val="28"/>
          <w:highlight w:val="lightGray"/>
        </w:rPr>
        <w:br w:type="page"/>
      </w:r>
    </w:p>
    <w:p w14:paraId="2ED4BA79" w14:textId="11832A97" w:rsidR="00FA4F64" w:rsidRPr="001E15AC" w:rsidRDefault="00FA4F64" w:rsidP="00917B9D">
      <w:pPr>
        <w:pStyle w:val="NIVEL4"/>
        <w:rPr>
          <w:szCs w:val="28"/>
        </w:rPr>
      </w:pPr>
      <w:bookmarkStart w:id="308" w:name="_Toc165169780"/>
      <w:r w:rsidRPr="001E15AC">
        <w:rPr>
          <w:color w:val="C00000"/>
        </w:rPr>
        <w:lastRenderedPageBreak/>
        <w:t xml:space="preserve">Programa 18: </w:t>
      </w:r>
      <w:r w:rsidRPr="001E15AC">
        <w:t>Ciencia, Tecnología e Innovación (CTel)</w:t>
      </w:r>
      <w:r w:rsidR="00917B9D">
        <w:t xml:space="preserve"> </w:t>
      </w:r>
      <w:r w:rsidRPr="001E15AC">
        <w:rPr>
          <w:szCs w:val="28"/>
        </w:rPr>
        <w:t>para desarrollar nuestro potencial y promover el de nuestros vecinos regionales</w:t>
      </w:r>
      <w:bookmarkEnd w:id="308"/>
    </w:p>
    <w:p w14:paraId="32028FD2" w14:textId="77777777" w:rsidR="00FA4F64" w:rsidRDefault="00FA4F64" w:rsidP="00917B9D">
      <w:pPr>
        <w:rPr>
          <w:color w:val="3B3838"/>
          <w:szCs w:val="28"/>
        </w:rPr>
      </w:pPr>
    </w:p>
    <w:p w14:paraId="2754394B" w14:textId="77777777" w:rsidR="00FA4F64" w:rsidRPr="005315BC" w:rsidRDefault="00FA4F64" w:rsidP="005315BC">
      <w:pPr>
        <w:ind w:firstLine="708"/>
        <w:rPr>
          <w:b/>
          <w:bCs/>
          <w:sz w:val="24"/>
        </w:rPr>
        <w:sectPr w:rsidR="00FA4F64" w:rsidRPr="005315BC" w:rsidSect="00F7078E">
          <w:type w:val="continuous"/>
          <w:pgSz w:w="12240" w:h="15840"/>
          <w:pgMar w:top="2262" w:right="1440" w:bottom="1440" w:left="1440" w:header="708" w:footer="708" w:gutter="0"/>
          <w:cols w:space="720"/>
        </w:sectPr>
      </w:pPr>
      <w:r w:rsidRPr="005315BC">
        <w:rPr>
          <w:b/>
          <w:bCs/>
          <w:sz w:val="24"/>
        </w:rPr>
        <w:t>Diagnóstico</w:t>
      </w:r>
    </w:p>
    <w:p w14:paraId="6526A917" w14:textId="77777777" w:rsidR="00FA4F64" w:rsidRDefault="00FA4F64" w:rsidP="00FA4F64">
      <w:r>
        <w:t>Es crucial reconocer que la inversión en actividades de Ciencia, Tecnología e Innovación (ACTI), que incluye la Investigación y Desarrollo (I+D), es esencial para estimular la generación de nuevo conocimiento y el desarrollo de productos, procesos y servicios innovadores. Por ello, la ciudad debe avanzar hacia una diplomacia en la ciencia, cuyo concepto se remite a la necesidad de su integración en conjunto con la ciencia, las políticas públicas y la diplomacia tradicional, con el objetivo de generar alianzas internacionales para abordar retos de ciudad, región e internacionales.</w:t>
      </w:r>
    </w:p>
    <w:p w14:paraId="1731D610" w14:textId="77777777" w:rsidR="00FA4F64" w:rsidRDefault="00FA4F64" w:rsidP="00FA4F64"/>
    <w:p w14:paraId="6DEDDD35" w14:textId="2D1A366E"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De acuerdo con la</w:t>
      </w:r>
      <w:r w:rsidR="001B1EFA">
        <w:t xml:space="preserve"> </w:t>
      </w:r>
      <w:r w:rsidR="001B1EFA" w:rsidRPr="001B1EFA">
        <w:rPr>
          <w:highlight w:val="yellow"/>
        </w:rPr>
        <w:fldChar w:fldCharType="begin"/>
      </w:r>
      <w:r w:rsidR="001B1EFA" w:rsidRPr="001B1EFA">
        <w:instrText xml:space="preserve"> REF _Ref165136076 \h </w:instrText>
      </w:r>
      <w:r w:rsidR="001B1EFA" w:rsidRPr="001B1EFA">
        <w:rPr>
          <w:highlight w:val="yellow"/>
        </w:rPr>
      </w:r>
      <w:r w:rsidR="001B1EFA" w:rsidRPr="001B1EFA">
        <w:rPr>
          <w:highlight w:val="yellow"/>
        </w:rPr>
        <w:fldChar w:fldCharType="separate"/>
      </w:r>
      <w:r w:rsidR="00D01651" w:rsidRPr="001B1EFA">
        <w:rPr>
          <w:color w:val="C00000"/>
          <w:sz w:val="18"/>
          <w:szCs w:val="18"/>
        </w:rPr>
        <w:t xml:space="preserve">Gráfica </w:t>
      </w:r>
      <w:r w:rsidR="00D01651">
        <w:rPr>
          <w:noProof/>
          <w:color w:val="C00000"/>
          <w:sz w:val="18"/>
        </w:rPr>
        <w:t>40</w:t>
      </w:r>
      <w:r w:rsidR="001B1EFA" w:rsidRPr="001B1EFA">
        <w:rPr>
          <w:highlight w:val="yellow"/>
        </w:rPr>
        <w:fldChar w:fldCharType="end"/>
      </w:r>
      <w:r w:rsidRPr="001B1EFA">
        <w:t>,</w:t>
      </w:r>
      <w:r>
        <w:t xml:space="preserve"> se puede observar que en la última década la inversión dedicada a Actividades de Ciencia, Tecnología e Innovación (ACTI) y a I+D como porcentaje del PIB ha permanecido constante e incluso en algunos años se ha reducido. Según la Misión de Sabios, la inversión en I+D debe aumentar al 1,5 % del PIB para el 2028. Este aumento es imperativo para evitar que Bogotá y Colombia en general se queden rezagadas en productividad, calidad ambiental y progreso social. La multiplicación de la inversión en CTeI se presenta como un requisito indispensable para asegurar el desarrollo sostenible y la competitividad a escala regional y latinoamericana (MinCiencias, 2019).</w:t>
      </w:r>
    </w:p>
    <w:p w14:paraId="3A91DFEF" w14:textId="6BB80E31" w:rsidR="00FA4F64" w:rsidRPr="00917B9D" w:rsidRDefault="00917B9D" w:rsidP="00917B9D">
      <w:pPr>
        <w:pStyle w:val="Descripcin"/>
        <w:jc w:val="center"/>
        <w:rPr>
          <w:sz w:val="18"/>
        </w:rPr>
      </w:pPr>
      <w:r>
        <w:rPr>
          <w:sz w:val="18"/>
        </w:rPr>
        <w:br/>
      </w:r>
      <w:bookmarkStart w:id="309" w:name="_Ref165136076"/>
      <w:bookmarkStart w:id="310" w:name="_Toc165169866"/>
      <w:r w:rsidRPr="001B1EFA">
        <w:rPr>
          <w:color w:val="C00000"/>
          <w:sz w:val="18"/>
        </w:rPr>
        <w:t xml:space="preserve">Gráfica </w:t>
      </w:r>
      <w:r w:rsidRPr="001B1EFA">
        <w:rPr>
          <w:color w:val="C00000"/>
          <w:sz w:val="18"/>
        </w:rPr>
        <w:fldChar w:fldCharType="begin"/>
      </w:r>
      <w:r w:rsidRPr="001B1EFA">
        <w:rPr>
          <w:color w:val="C00000"/>
          <w:sz w:val="18"/>
        </w:rPr>
        <w:instrText xml:space="preserve"> SEQ Gráfica \* ARABIC </w:instrText>
      </w:r>
      <w:r w:rsidRPr="001B1EFA">
        <w:rPr>
          <w:color w:val="C00000"/>
          <w:sz w:val="18"/>
        </w:rPr>
        <w:fldChar w:fldCharType="separate"/>
      </w:r>
      <w:r w:rsidR="00D01651">
        <w:rPr>
          <w:noProof/>
          <w:color w:val="C00000"/>
          <w:sz w:val="18"/>
        </w:rPr>
        <w:t>40</w:t>
      </w:r>
      <w:r w:rsidRPr="001B1EFA">
        <w:rPr>
          <w:color w:val="C00000"/>
          <w:sz w:val="18"/>
        </w:rPr>
        <w:fldChar w:fldCharType="end"/>
      </w:r>
      <w:bookmarkEnd w:id="309"/>
      <w:r w:rsidRPr="001B1EFA">
        <w:rPr>
          <w:color w:val="C00000"/>
          <w:sz w:val="18"/>
        </w:rPr>
        <w:t xml:space="preserve">. </w:t>
      </w:r>
      <w:r w:rsidR="00FA4F64" w:rsidRPr="00917B9D">
        <w:rPr>
          <w:sz w:val="18"/>
        </w:rPr>
        <w:t>Inversión de Bogotá en ACTI e I+D como porcentaje del PIB, 2017-2021</w:t>
      </w:r>
      <w:bookmarkEnd w:id="310"/>
    </w:p>
    <w:p w14:paraId="45CD9253" w14:textId="77777777" w:rsidR="00FA4F64" w:rsidRDefault="00FA4F64" w:rsidP="00FA4F64">
      <w:pPr>
        <w:spacing w:line="480" w:lineRule="auto"/>
        <w:jc w:val="center"/>
        <w:rPr>
          <w:rFonts w:ascii="Times New Roman" w:hAnsi="Times New Roman"/>
          <w:sz w:val="24"/>
        </w:rPr>
      </w:pPr>
      <w:r>
        <w:rPr>
          <w:rFonts w:ascii="Times New Roman" w:hAnsi="Times New Roman"/>
          <w:noProof/>
          <w:sz w:val="24"/>
        </w:rPr>
        <w:drawing>
          <wp:inline distT="0" distB="0" distL="0" distR="0" wp14:anchorId="7F46D708" wp14:editId="5BB4530D">
            <wp:extent cx="5791523" cy="2530327"/>
            <wp:effectExtent l="0" t="0" r="0" b="0"/>
            <wp:docPr id="213351603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7"/>
                    <a:srcRect l="3836"/>
                    <a:stretch>
                      <a:fillRect/>
                    </a:stretch>
                  </pic:blipFill>
                  <pic:spPr>
                    <a:xfrm>
                      <a:off x="0" y="0"/>
                      <a:ext cx="5791523" cy="2530327"/>
                    </a:xfrm>
                    <a:prstGeom prst="rect">
                      <a:avLst/>
                    </a:prstGeom>
                    <a:ln/>
                  </pic:spPr>
                </pic:pic>
              </a:graphicData>
            </a:graphic>
          </wp:inline>
        </w:drawing>
      </w:r>
    </w:p>
    <w:p w14:paraId="7A73520A" w14:textId="77777777" w:rsidR="00FA4F64" w:rsidRDefault="00FA4F64" w:rsidP="00FA4F6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con base en información del OCyT (2021).</w:t>
      </w:r>
    </w:p>
    <w:p w14:paraId="3BCB93C6" w14:textId="77777777" w:rsidR="001B1EFA" w:rsidRDefault="001B1EFA" w:rsidP="00FA4F64">
      <w:pPr>
        <w:pBdr>
          <w:top w:val="nil"/>
          <w:left w:val="nil"/>
          <w:bottom w:val="nil"/>
          <w:right w:val="nil"/>
          <w:between w:val="nil"/>
        </w:pBdr>
        <w:spacing w:line="220" w:lineRule="auto"/>
        <w:jc w:val="center"/>
        <w:rPr>
          <w:color w:val="3B3838"/>
          <w:sz w:val="18"/>
          <w:szCs w:val="18"/>
        </w:rPr>
      </w:pPr>
    </w:p>
    <w:p w14:paraId="351F4C4F" w14:textId="77777777" w:rsidR="00FA4F64" w:rsidRDefault="00FA4F64" w:rsidP="00FA4F64">
      <w:pPr>
        <w:spacing w:line="480" w:lineRule="auto"/>
        <w:rPr>
          <w:rFonts w:ascii="Times New Roman" w:hAnsi="Times New Roman"/>
          <w:sz w:val="24"/>
        </w:rPr>
        <w:sectPr w:rsidR="00FA4F64" w:rsidSect="00F7078E">
          <w:type w:val="continuous"/>
          <w:pgSz w:w="12240" w:h="15840"/>
          <w:pgMar w:top="2262" w:right="1440" w:bottom="1440" w:left="1440" w:header="708" w:footer="708" w:gutter="0"/>
          <w:cols w:space="720"/>
        </w:sectPr>
      </w:pPr>
    </w:p>
    <w:p w14:paraId="0CBF4426" w14:textId="77777777" w:rsidR="00FA4F64" w:rsidRDefault="00FA4F64" w:rsidP="00FA4F64">
      <w:r>
        <w:t>Respecto a proyectos financiados por MinCiencias, se evidencia que entre el 2018 y el 2022 se ejecutaron en Bogotá un total de 332</w:t>
      </w:r>
    </w:p>
    <w:p w14:paraId="20A62A4B" w14:textId="5765A4FF"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 xml:space="preserve">proyectos; sin embargo, 2021 fue el año con menor participación de proyectos tanto en número (28) como en monto ($17.453) </w:t>
      </w:r>
      <w:r w:rsidRPr="0088057C">
        <w:t>(</w:t>
      </w:r>
      <w:r w:rsidR="0088057C" w:rsidRPr="0088057C">
        <w:fldChar w:fldCharType="begin"/>
      </w:r>
      <w:r w:rsidR="0088057C" w:rsidRPr="0088057C">
        <w:instrText xml:space="preserve"> REF _Ref165136134 \h </w:instrText>
      </w:r>
      <w:r w:rsidR="0088057C" w:rsidRPr="0088057C">
        <w:fldChar w:fldCharType="separate"/>
      </w:r>
      <w:r w:rsidR="00D01651" w:rsidRPr="0088057C">
        <w:rPr>
          <w:color w:val="C00000"/>
          <w:sz w:val="18"/>
          <w:szCs w:val="14"/>
        </w:rPr>
        <w:t xml:space="preserve">Gráfica </w:t>
      </w:r>
      <w:r w:rsidR="00D01651">
        <w:rPr>
          <w:noProof/>
          <w:color w:val="C00000"/>
          <w:sz w:val="18"/>
          <w:szCs w:val="14"/>
        </w:rPr>
        <w:t>41</w:t>
      </w:r>
      <w:r w:rsidR="0088057C" w:rsidRPr="0088057C">
        <w:fldChar w:fldCharType="end"/>
      </w:r>
      <w:r>
        <w:t>).</w:t>
      </w:r>
    </w:p>
    <w:p w14:paraId="21B13379" w14:textId="13FF4EB4" w:rsidR="00FA4F64" w:rsidRDefault="00FA4F64" w:rsidP="00FA4F64">
      <w:pPr>
        <w:pBdr>
          <w:top w:val="nil"/>
          <w:left w:val="nil"/>
          <w:bottom w:val="nil"/>
          <w:right w:val="nil"/>
          <w:between w:val="nil"/>
        </w:pBdr>
        <w:spacing w:line="220" w:lineRule="auto"/>
        <w:jc w:val="center"/>
        <w:rPr>
          <w:b/>
          <w:color w:val="3B3838"/>
          <w:sz w:val="18"/>
          <w:szCs w:val="18"/>
        </w:rPr>
      </w:pPr>
    </w:p>
    <w:p w14:paraId="447AF887" w14:textId="77777777" w:rsidR="00931A49" w:rsidRDefault="00931A49" w:rsidP="00FA4F64">
      <w:pPr>
        <w:pBdr>
          <w:top w:val="nil"/>
          <w:left w:val="nil"/>
          <w:bottom w:val="nil"/>
          <w:right w:val="nil"/>
          <w:between w:val="nil"/>
        </w:pBdr>
        <w:spacing w:line="220" w:lineRule="auto"/>
        <w:jc w:val="center"/>
        <w:rPr>
          <w:b/>
          <w:color w:val="3B3838"/>
          <w:sz w:val="18"/>
          <w:szCs w:val="18"/>
        </w:rPr>
      </w:pPr>
    </w:p>
    <w:p w14:paraId="17725962" w14:textId="77777777" w:rsidR="0088057C" w:rsidRDefault="0088057C">
      <w:pPr>
        <w:spacing w:line="240" w:lineRule="auto"/>
        <w:jc w:val="left"/>
        <w:rPr>
          <w:b/>
          <w:color w:val="3B3838"/>
          <w:sz w:val="18"/>
          <w:szCs w:val="18"/>
        </w:rPr>
      </w:pPr>
      <w:r>
        <w:rPr>
          <w:b/>
          <w:color w:val="3B3838"/>
          <w:sz w:val="18"/>
          <w:szCs w:val="18"/>
        </w:rPr>
        <w:br w:type="page"/>
      </w:r>
    </w:p>
    <w:p w14:paraId="26107396" w14:textId="06C70E89" w:rsidR="00FA4F64" w:rsidRPr="0088057C" w:rsidRDefault="0088057C" w:rsidP="0088057C">
      <w:pPr>
        <w:pStyle w:val="Descripcin"/>
        <w:jc w:val="center"/>
        <w:rPr>
          <w:sz w:val="18"/>
          <w:szCs w:val="14"/>
        </w:rPr>
      </w:pPr>
      <w:bookmarkStart w:id="311" w:name="_Ref165136134"/>
      <w:bookmarkStart w:id="312" w:name="_Toc165169867"/>
      <w:r w:rsidRPr="0088057C">
        <w:rPr>
          <w:color w:val="C00000"/>
          <w:sz w:val="18"/>
          <w:szCs w:val="14"/>
        </w:rPr>
        <w:lastRenderedPageBreak/>
        <w:t xml:space="preserve">Gráfica </w:t>
      </w:r>
      <w:r w:rsidRPr="0088057C">
        <w:rPr>
          <w:color w:val="C00000"/>
          <w:sz w:val="18"/>
          <w:szCs w:val="14"/>
        </w:rPr>
        <w:fldChar w:fldCharType="begin"/>
      </w:r>
      <w:r w:rsidRPr="0088057C">
        <w:rPr>
          <w:color w:val="C00000"/>
          <w:sz w:val="18"/>
          <w:szCs w:val="14"/>
        </w:rPr>
        <w:instrText xml:space="preserve"> SEQ Gráfica \* ARABIC </w:instrText>
      </w:r>
      <w:r w:rsidRPr="0088057C">
        <w:rPr>
          <w:color w:val="C00000"/>
          <w:sz w:val="18"/>
          <w:szCs w:val="14"/>
        </w:rPr>
        <w:fldChar w:fldCharType="separate"/>
      </w:r>
      <w:r w:rsidR="00D01651">
        <w:rPr>
          <w:noProof/>
          <w:color w:val="C00000"/>
          <w:sz w:val="18"/>
          <w:szCs w:val="14"/>
        </w:rPr>
        <w:t>41</w:t>
      </w:r>
      <w:r w:rsidRPr="0088057C">
        <w:rPr>
          <w:color w:val="C00000"/>
          <w:sz w:val="18"/>
          <w:szCs w:val="14"/>
        </w:rPr>
        <w:fldChar w:fldCharType="end"/>
      </w:r>
      <w:bookmarkEnd w:id="311"/>
      <w:r w:rsidRPr="0088057C">
        <w:rPr>
          <w:color w:val="C00000"/>
          <w:sz w:val="18"/>
          <w:szCs w:val="14"/>
        </w:rPr>
        <w:t xml:space="preserve">. </w:t>
      </w:r>
      <w:r w:rsidR="00FA4F64" w:rsidRPr="0088057C">
        <w:rPr>
          <w:sz w:val="18"/>
          <w:szCs w:val="14"/>
        </w:rPr>
        <w:t>Monto y número de proyectos financiados por MinCiencias 2018-2022</w:t>
      </w:r>
      <w:bookmarkEnd w:id="312"/>
    </w:p>
    <w:p w14:paraId="602F1808"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09B9E33F" w14:textId="77777777" w:rsidR="00FA4F64" w:rsidRDefault="00FA4F64" w:rsidP="00FA4F64">
      <w:pPr>
        <w:spacing w:line="480" w:lineRule="auto"/>
        <w:jc w:val="center"/>
        <w:rPr>
          <w:rFonts w:ascii="Times New Roman" w:hAnsi="Times New Roman"/>
          <w:sz w:val="24"/>
        </w:rPr>
      </w:pPr>
      <w:r>
        <w:rPr>
          <w:rFonts w:ascii="Times New Roman" w:hAnsi="Times New Roman"/>
          <w:noProof/>
          <w:sz w:val="24"/>
        </w:rPr>
        <w:drawing>
          <wp:inline distT="0" distB="0" distL="0" distR="0" wp14:anchorId="2FE31162" wp14:editId="351EB983">
            <wp:extent cx="5545127" cy="2328046"/>
            <wp:effectExtent l="0" t="0" r="0" b="0"/>
            <wp:docPr id="213351603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8"/>
                    <a:srcRect t="2391" b="3357"/>
                    <a:stretch>
                      <a:fillRect/>
                    </a:stretch>
                  </pic:blipFill>
                  <pic:spPr>
                    <a:xfrm>
                      <a:off x="0" y="0"/>
                      <a:ext cx="5545127" cy="2328046"/>
                    </a:xfrm>
                    <a:prstGeom prst="rect">
                      <a:avLst/>
                    </a:prstGeom>
                    <a:ln/>
                  </pic:spPr>
                </pic:pic>
              </a:graphicData>
            </a:graphic>
          </wp:inline>
        </w:drawing>
      </w:r>
    </w:p>
    <w:p w14:paraId="3B4F906C" w14:textId="77777777" w:rsidR="00FA4F64" w:rsidRDefault="00FA4F64" w:rsidP="00FA4F6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MinCiencias (2022).</w:t>
      </w:r>
    </w:p>
    <w:p w14:paraId="2EA35D2C" w14:textId="77777777" w:rsidR="00FA4F64" w:rsidRDefault="00FA4F64" w:rsidP="00FA4F64">
      <w:pPr>
        <w:spacing w:line="480" w:lineRule="auto"/>
        <w:rPr>
          <w:rFonts w:ascii="Times New Roman" w:hAnsi="Times New Roman"/>
          <w:sz w:val="24"/>
        </w:rPr>
      </w:pPr>
    </w:p>
    <w:p w14:paraId="76646356" w14:textId="25B512EA" w:rsidR="00B80593" w:rsidRDefault="00B80593" w:rsidP="00FA4F64">
      <w:pPr>
        <w:spacing w:line="480" w:lineRule="auto"/>
        <w:rPr>
          <w:rFonts w:ascii="Times New Roman" w:hAnsi="Times New Roman"/>
          <w:sz w:val="24"/>
        </w:rPr>
        <w:sectPr w:rsidR="00B80593" w:rsidSect="00F7078E">
          <w:type w:val="continuous"/>
          <w:pgSz w:w="12240" w:h="15840"/>
          <w:pgMar w:top="2262" w:right="1440" w:bottom="1440" w:left="1440" w:header="708" w:footer="708" w:gutter="0"/>
          <w:cols w:space="720"/>
        </w:sectPr>
      </w:pPr>
    </w:p>
    <w:p w14:paraId="0443CDDC" w14:textId="77777777" w:rsidR="00FA4F64" w:rsidRDefault="00FA4F64" w:rsidP="00FA4F64">
      <w:r>
        <w:t xml:space="preserve">El fomento de la CTeI resulta necesaria en el país y en la ciudad para garantizar la salud de la población, teniendo en cuenta que el país en este momento tiene ausencia de recursos y </w:t>
      </w:r>
      <w:r>
        <w:rPr>
          <w:i/>
        </w:rPr>
        <w:t>stocks</w:t>
      </w:r>
      <w:r>
        <w:t xml:space="preserve"> estratégicos de insumos de tecnología sanitaria y equipamiento para la producción de biológicos en Bogotá.</w:t>
      </w:r>
    </w:p>
    <w:p w14:paraId="383D2EE3" w14:textId="77777777" w:rsidR="00FA4F64" w:rsidRDefault="00FA4F64" w:rsidP="00FA4F64"/>
    <w:p w14:paraId="1E3C9CA0" w14:textId="77777777" w:rsidR="00FA4F64" w:rsidRDefault="00FA4F64" w:rsidP="00FA4F64">
      <w:r>
        <w:t>Esto genera, entre otras cosas, una dependencia en la fijación del costo y limitadas capacidades de negociación para la adquisición de biológicos de uso humano en Bogotá, así como la limitación en la oportunidad y cobertura para atender las necesidades de salud pública que se han venido presentando especialmente en la atención de la pandemia por COVID-19 (Secretaría Distrital de Salud, 2024).</w:t>
      </w:r>
    </w:p>
    <w:p w14:paraId="165157A8" w14:textId="77777777" w:rsidR="00FA4F64" w:rsidRDefault="00FA4F64" w:rsidP="00FA4F64"/>
    <w:p w14:paraId="499C7DFB" w14:textId="77777777" w:rsidR="00FA4F64" w:rsidRDefault="00FA4F64" w:rsidP="00FA4F64">
      <w:r>
        <w:t xml:space="preserve">Por otra parte, Bogotá, con su singular riqueza cultural y natural, posee el potencial para convertirse en un destino turístico atractivo tanto nacional como internacional. A pesar de ser reconocida como una de las principales capitales turísticas de América Latina, la ciudad enfrenta desafíos debido a la limitada capacidad del Sistema Distrital de Turismo para promover la </w:t>
      </w:r>
      <w:r>
        <w:t>actividad turística y establecer a Bogotá-región como un destino inteligente y sostenible donde el rol de CTel será fundamental.</w:t>
      </w:r>
    </w:p>
    <w:p w14:paraId="1399D7A2" w14:textId="77777777" w:rsidR="00FA4F64" w:rsidRDefault="00FA4F64" w:rsidP="00FA4F64"/>
    <w:p w14:paraId="0FF22657" w14:textId="77777777" w:rsidR="00FA4F64" w:rsidRDefault="00FA4F64" w:rsidP="00FA4F64">
      <w:r>
        <w:t>Por lo anterior, se requiere la consolidación de una gobernanza con influencia regional como la de la Región Metropolitana Bogotá-Cundinamarca o la RAP-E, así como una gobernanza internacional que contribuyan a la articulación de los diferentes actores para la proyección local y regional de Bogotá; que la convierta en una ciudad líder en innovación, tecnología, sostenibilidad, con accesibilidad a la información y promotora del intercambio de servicios.</w:t>
      </w:r>
    </w:p>
    <w:p w14:paraId="57B58BD4" w14:textId="77777777" w:rsidR="00FA4F64" w:rsidRDefault="00FA4F64" w:rsidP="00FA4F64"/>
    <w:p w14:paraId="6AC23501" w14:textId="77777777" w:rsidR="00FA4F64" w:rsidRDefault="00FA4F64" w:rsidP="00FA4F64">
      <w:r>
        <w:t>En la vigencia 2023 Bogotá recibió 1.340.666 viajeros extranjeros, de los 8.573.781 que ingresaron al país (Migración Colombia, 2023). Sin embargo, la magnitud de estos impactos puede variar según las circunstancias del flujo migratorio. Por lo tanto, las economías receptoras deben asegurar condiciones que faciliten la rápida adaptación de la población migrante, para aprovechar al máximo los aportes que puedan hacer a la economía de la ciudad (World Bank, 2023).</w:t>
      </w:r>
    </w:p>
    <w:p w14:paraId="37786445" w14:textId="77777777" w:rsidR="00FA4F64" w:rsidRDefault="00FA4F64" w:rsidP="00FA4F64"/>
    <w:p w14:paraId="20AB7D0A" w14:textId="11B725EA" w:rsidR="00FA4F64" w:rsidRDefault="00FA4F64" w:rsidP="00FA4F64">
      <w:r>
        <w:lastRenderedPageBreak/>
        <w:t>Otra forma de ver las capacidades innovadoras en la ciudad es a través del Índice de Ciudades Inteligentes de IMD. Bogotá ha disminuido la posición que ocupa en el escalafón, pues a 2023 se ubicó en el puesto 129 de 144 en la lista de ciudades inteligentes, clasificándose en el grupo D junto a otras ciudades como Río de Janeiro, São Paulo y Lima. La ciudad latinoamericana con mejor posición en 2023 fue Medellín (118), seguida de Santiago de Chile (119), Ciudad de México (121) y Buenos Aires (124).</w:t>
      </w:r>
    </w:p>
    <w:p w14:paraId="6DE8B788" w14:textId="77777777" w:rsidR="00FA4F64" w:rsidRDefault="00FA4F64" w:rsidP="00FA4F64"/>
    <w:p w14:paraId="13D5C083" w14:textId="77777777" w:rsidR="00FA4F64" w:rsidRDefault="00FA4F64" w:rsidP="00FA4F64">
      <w:r>
        <w:t>Esta clasificación se basa en varios indicadores que abarcan aspectos económicos y tecnológicos, como la calidad del transporte público, el acceso a la información y la cantidad de eventos culturales disponibles. Aunque Bogotá se destaca por encima del 70,5 % de las ciudades inteligentes en cuanto a eventos culturales, este es el único indicador en el que la ciudad logra mantenerse en una posición destacada (International Institute for Management Development-Organización Mundial de Ciudades Inteligentes y Sostenibles, 2023).</w:t>
      </w:r>
    </w:p>
    <w:p w14:paraId="67DCD25B" w14:textId="77777777" w:rsidR="00FA4F64" w:rsidRDefault="00FA4F64" w:rsidP="00FA4F64">
      <w:r>
        <w:t xml:space="preserve">Dado que Bogotá experimentó notables cambios en su industria turística durante el periodo 2019-2023, tras un descenso en el 2020, atribuido a la pandemia, el número de visitantes se recuperó significativamente en 2022 y 2023, alcanzando la cifra de 11,2 millones y 12,3 millones, respectivamente. La ocupación hotelera también mostró una mejora notable, llegando al 65,2 % en 2023, según datos acumulados hasta octubre. Aunque la conectividad aérea se mantuvo relativamente estable, se observaron fluctuaciones en la disponibilidad de asientos, lo que sugiere posibles mejoras en la infraestructura aérea. </w:t>
      </w:r>
    </w:p>
    <w:p w14:paraId="1D7EEE9D" w14:textId="77777777" w:rsidR="00FA4F64" w:rsidRDefault="00FA4F64" w:rsidP="00FA4F64"/>
    <w:p w14:paraId="2994B2AF" w14:textId="0D89B3A9" w:rsidR="00FA4F64" w:rsidRPr="0088057C" w:rsidRDefault="00FA4F64" w:rsidP="00FA4F64">
      <w:pPr>
        <w:rPr>
          <w:spacing w:val="-6"/>
        </w:rPr>
        <w:sectPr w:rsidR="00FA4F64" w:rsidRPr="0088057C" w:rsidSect="00F7078E">
          <w:type w:val="continuous"/>
          <w:pgSz w:w="12240" w:h="15840"/>
          <w:pgMar w:top="2262" w:right="1440" w:bottom="1440" w:left="1440" w:header="708" w:footer="708" w:gutter="0"/>
          <w:cols w:num="2" w:space="720" w:equalWidth="0">
            <w:col w:w="4396" w:space="567"/>
            <w:col w:w="4396" w:space="0"/>
          </w:cols>
        </w:sectPr>
      </w:pPr>
      <w:bookmarkStart w:id="313" w:name="_heading=h.1nia2ey" w:colFirst="0" w:colLast="0"/>
      <w:bookmarkEnd w:id="313"/>
      <w:r w:rsidRPr="0088057C">
        <w:rPr>
          <w:spacing w:val="-6"/>
        </w:rPr>
        <w:t>Por otro lado, las tarifas promedio experimentaron un incremento gradual, pasando de $265,027 en 2019 a $324,979 en 2023. Estos indicadores reflejan la resiliencia y el crecimiento constante del sector turístico en Bogotá a pesar de los desafíos enfrentados durante este periodo y que requieren ser abordados por la Administración Distrital (</w:t>
      </w:r>
      <w:r w:rsidR="0088057C" w:rsidRPr="0088057C">
        <w:rPr>
          <w:spacing w:val="-6"/>
        </w:rPr>
        <w:fldChar w:fldCharType="begin"/>
      </w:r>
      <w:r w:rsidR="0088057C" w:rsidRPr="0088057C">
        <w:rPr>
          <w:spacing w:val="-6"/>
        </w:rPr>
        <w:instrText xml:space="preserve"> REF _Ref165136213 \h </w:instrText>
      </w:r>
      <w:r w:rsidR="0088057C" w:rsidRPr="0088057C">
        <w:rPr>
          <w:spacing w:val="-6"/>
        </w:rPr>
      </w:r>
      <w:r w:rsidR="0088057C" w:rsidRPr="0088057C">
        <w:rPr>
          <w:spacing w:val="-6"/>
        </w:rPr>
        <w:fldChar w:fldCharType="separate"/>
      </w:r>
      <w:r w:rsidR="00D01651" w:rsidRPr="0088057C">
        <w:rPr>
          <w:color w:val="C00000"/>
          <w:sz w:val="18"/>
          <w:szCs w:val="18"/>
        </w:rPr>
        <w:t xml:space="preserve">Tabla </w:t>
      </w:r>
      <w:r w:rsidR="00D01651">
        <w:rPr>
          <w:noProof/>
          <w:color w:val="C00000"/>
          <w:sz w:val="18"/>
        </w:rPr>
        <w:t>37</w:t>
      </w:r>
      <w:r w:rsidR="0088057C" w:rsidRPr="0088057C">
        <w:rPr>
          <w:spacing w:val="-6"/>
        </w:rPr>
        <w:fldChar w:fldCharType="end"/>
      </w:r>
      <w:r w:rsidRPr="0088057C">
        <w:rPr>
          <w:spacing w:val="-6"/>
        </w:rPr>
        <w:t>).</w:t>
      </w:r>
    </w:p>
    <w:p w14:paraId="4897BF83" w14:textId="77777777" w:rsidR="00FA4F64" w:rsidRDefault="00FA4F64" w:rsidP="00FA4F64">
      <w:pPr>
        <w:pBdr>
          <w:top w:val="nil"/>
          <w:left w:val="nil"/>
          <w:bottom w:val="nil"/>
          <w:right w:val="nil"/>
          <w:between w:val="nil"/>
        </w:pBdr>
        <w:spacing w:line="220" w:lineRule="auto"/>
        <w:jc w:val="center"/>
        <w:rPr>
          <w:b/>
          <w:color w:val="3B3838"/>
          <w:sz w:val="18"/>
          <w:szCs w:val="18"/>
        </w:rPr>
      </w:pPr>
      <w:bookmarkStart w:id="314" w:name="_heading=h.1ksv4uv" w:colFirst="0" w:colLast="0"/>
      <w:bookmarkEnd w:id="314"/>
    </w:p>
    <w:p w14:paraId="4F991C0A" w14:textId="796E7C18" w:rsidR="00FA4F64" w:rsidRPr="0088057C" w:rsidRDefault="0088057C" w:rsidP="0088057C">
      <w:pPr>
        <w:pStyle w:val="Descripcin"/>
        <w:jc w:val="center"/>
        <w:rPr>
          <w:sz w:val="18"/>
        </w:rPr>
      </w:pPr>
      <w:bookmarkStart w:id="315" w:name="_Ref165136213"/>
      <w:bookmarkStart w:id="316" w:name="_Toc165169947"/>
      <w:r w:rsidRPr="0088057C">
        <w:rPr>
          <w:color w:val="C00000"/>
          <w:sz w:val="18"/>
        </w:rPr>
        <w:t xml:space="preserve">Tabla </w:t>
      </w:r>
      <w:r w:rsidRPr="0088057C">
        <w:rPr>
          <w:color w:val="C00000"/>
          <w:sz w:val="18"/>
        </w:rPr>
        <w:fldChar w:fldCharType="begin"/>
      </w:r>
      <w:r w:rsidRPr="0088057C">
        <w:rPr>
          <w:color w:val="C00000"/>
          <w:sz w:val="18"/>
        </w:rPr>
        <w:instrText xml:space="preserve"> SEQ Tabla \* ARABIC </w:instrText>
      </w:r>
      <w:r w:rsidRPr="0088057C">
        <w:rPr>
          <w:color w:val="C00000"/>
          <w:sz w:val="18"/>
        </w:rPr>
        <w:fldChar w:fldCharType="separate"/>
      </w:r>
      <w:r w:rsidR="00D01651">
        <w:rPr>
          <w:noProof/>
          <w:color w:val="C00000"/>
          <w:sz w:val="18"/>
        </w:rPr>
        <w:t>37</w:t>
      </w:r>
      <w:r w:rsidRPr="0088057C">
        <w:rPr>
          <w:color w:val="C00000"/>
          <w:sz w:val="18"/>
        </w:rPr>
        <w:fldChar w:fldCharType="end"/>
      </w:r>
      <w:bookmarkEnd w:id="315"/>
      <w:r w:rsidRPr="0088057C">
        <w:rPr>
          <w:color w:val="C00000"/>
          <w:sz w:val="18"/>
        </w:rPr>
        <w:t xml:space="preserve">. </w:t>
      </w:r>
      <w:r w:rsidR="00FA4F64" w:rsidRPr="0088057C">
        <w:rPr>
          <w:sz w:val="18"/>
        </w:rPr>
        <w:t>Indicadores de impacto en el turismo de Bogotá</w:t>
      </w:r>
      <w:bookmarkEnd w:id="316"/>
    </w:p>
    <w:tbl>
      <w:tblPr>
        <w:tblW w:w="8838" w:type="dxa"/>
        <w:tblBorders>
          <w:top w:val="nil"/>
          <w:left w:val="nil"/>
          <w:bottom w:val="nil"/>
          <w:right w:val="nil"/>
          <w:insideH w:val="nil"/>
          <w:insideV w:val="nil"/>
        </w:tblBorders>
        <w:tblLayout w:type="fixed"/>
        <w:tblLook w:val="0400" w:firstRow="0" w:lastRow="0" w:firstColumn="0" w:lastColumn="0" w:noHBand="0" w:noVBand="1"/>
      </w:tblPr>
      <w:tblGrid>
        <w:gridCol w:w="2127"/>
        <w:gridCol w:w="1417"/>
        <w:gridCol w:w="1418"/>
        <w:gridCol w:w="1275"/>
        <w:gridCol w:w="1276"/>
        <w:gridCol w:w="1325"/>
      </w:tblGrid>
      <w:tr w:rsidR="00B80593" w:rsidRPr="0088057C" w14:paraId="3A2F6BB5" w14:textId="77777777" w:rsidTr="00B80593">
        <w:trPr>
          <w:trHeight w:val="716"/>
        </w:trPr>
        <w:tc>
          <w:tcPr>
            <w:tcW w:w="2127" w:type="dxa"/>
            <w:tcBorders>
              <w:bottom w:val="double" w:sz="4" w:space="0" w:color="C00000"/>
              <w:right w:val="double" w:sz="4" w:space="0" w:color="C00000"/>
            </w:tcBorders>
            <w:shd w:val="clear" w:color="auto" w:fill="C00000"/>
            <w:vAlign w:val="center"/>
          </w:tcPr>
          <w:p w14:paraId="3FD58459" w14:textId="77777777" w:rsidR="00FA4F64" w:rsidRPr="0088057C" w:rsidRDefault="00FA4F64" w:rsidP="00B80593">
            <w:pPr>
              <w:pStyle w:val="titulodocumento"/>
              <w:jc w:val="center"/>
              <w:rPr>
                <w:color w:val="FFFFFF" w:themeColor="background1"/>
                <w:sz w:val="20"/>
                <w:szCs w:val="20"/>
              </w:rPr>
            </w:pPr>
            <w:r w:rsidRPr="0088057C">
              <w:rPr>
                <w:color w:val="FFFFFF" w:themeColor="background1"/>
                <w:sz w:val="20"/>
                <w:szCs w:val="20"/>
              </w:rPr>
              <w:t>Bogotá</w:t>
            </w:r>
          </w:p>
        </w:tc>
        <w:tc>
          <w:tcPr>
            <w:tcW w:w="1417" w:type="dxa"/>
            <w:tcBorders>
              <w:left w:val="double" w:sz="4" w:space="0" w:color="C00000"/>
              <w:bottom w:val="double" w:sz="4" w:space="0" w:color="C00000"/>
              <w:right w:val="double" w:sz="4" w:space="0" w:color="C00000"/>
            </w:tcBorders>
            <w:shd w:val="clear" w:color="auto" w:fill="C00000"/>
            <w:vAlign w:val="center"/>
          </w:tcPr>
          <w:p w14:paraId="7D433208" w14:textId="77777777" w:rsidR="00FA4F64" w:rsidRPr="0088057C" w:rsidRDefault="00FA4F64" w:rsidP="00B80593">
            <w:pPr>
              <w:pStyle w:val="titulodocumento"/>
              <w:jc w:val="center"/>
              <w:rPr>
                <w:color w:val="FFFFFF" w:themeColor="background1"/>
                <w:sz w:val="20"/>
                <w:szCs w:val="20"/>
              </w:rPr>
            </w:pPr>
            <w:r w:rsidRPr="0088057C">
              <w:rPr>
                <w:color w:val="FFFFFF" w:themeColor="background1"/>
                <w:sz w:val="20"/>
                <w:szCs w:val="20"/>
              </w:rPr>
              <w:t>2019</w:t>
            </w:r>
          </w:p>
        </w:tc>
        <w:tc>
          <w:tcPr>
            <w:tcW w:w="1418" w:type="dxa"/>
            <w:tcBorders>
              <w:left w:val="double" w:sz="4" w:space="0" w:color="C00000"/>
              <w:bottom w:val="double" w:sz="4" w:space="0" w:color="C00000"/>
              <w:right w:val="double" w:sz="4" w:space="0" w:color="C00000"/>
            </w:tcBorders>
            <w:shd w:val="clear" w:color="auto" w:fill="C00000"/>
            <w:vAlign w:val="center"/>
          </w:tcPr>
          <w:p w14:paraId="15E345BC" w14:textId="77777777" w:rsidR="00FA4F64" w:rsidRPr="0088057C" w:rsidRDefault="00FA4F64" w:rsidP="00B80593">
            <w:pPr>
              <w:pStyle w:val="titulodocumento"/>
              <w:jc w:val="center"/>
              <w:rPr>
                <w:color w:val="FFFFFF" w:themeColor="background1"/>
                <w:sz w:val="20"/>
                <w:szCs w:val="20"/>
              </w:rPr>
            </w:pPr>
            <w:r w:rsidRPr="0088057C">
              <w:rPr>
                <w:color w:val="FFFFFF" w:themeColor="background1"/>
                <w:sz w:val="20"/>
                <w:szCs w:val="20"/>
              </w:rPr>
              <w:t>2020</w:t>
            </w:r>
          </w:p>
        </w:tc>
        <w:tc>
          <w:tcPr>
            <w:tcW w:w="1275" w:type="dxa"/>
            <w:tcBorders>
              <w:left w:val="double" w:sz="4" w:space="0" w:color="C00000"/>
              <w:bottom w:val="double" w:sz="4" w:space="0" w:color="C00000"/>
              <w:right w:val="double" w:sz="4" w:space="0" w:color="C00000"/>
            </w:tcBorders>
            <w:shd w:val="clear" w:color="auto" w:fill="C00000"/>
            <w:vAlign w:val="center"/>
          </w:tcPr>
          <w:p w14:paraId="4AF6F545" w14:textId="77777777" w:rsidR="00FA4F64" w:rsidRPr="0088057C" w:rsidRDefault="00FA4F64" w:rsidP="00B80593">
            <w:pPr>
              <w:pStyle w:val="titulodocumento"/>
              <w:jc w:val="center"/>
              <w:rPr>
                <w:color w:val="FFFFFF" w:themeColor="background1"/>
                <w:sz w:val="20"/>
                <w:szCs w:val="20"/>
              </w:rPr>
            </w:pPr>
            <w:r w:rsidRPr="0088057C">
              <w:rPr>
                <w:color w:val="FFFFFF" w:themeColor="background1"/>
                <w:sz w:val="20"/>
                <w:szCs w:val="20"/>
              </w:rPr>
              <w:t>2021</w:t>
            </w:r>
          </w:p>
        </w:tc>
        <w:tc>
          <w:tcPr>
            <w:tcW w:w="1276" w:type="dxa"/>
            <w:tcBorders>
              <w:left w:val="double" w:sz="4" w:space="0" w:color="C00000"/>
              <w:bottom w:val="double" w:sz="4" w:space="0" w:color="C00000"/>
              <w:right w:val="double" w:sz="4" w:space="0" w:color="C00000"/>
            </w:tcBorders>
            <w:shd w:val="clear" w:color="auto" w:fill="C00000"/>
            <w:vAlign w:val="center"/>
          </w:tcPr>
          <w:p w14:paraId="7F2C25D7" w14:textId="77777777" w:rsidR="00FA4F64" w:rsidRPr="0088057C" w:rsidRDefault="00FA4F64" w:rsidP="00B80593">
            <w:pPr>
              <w:pStyle w:val="titulodocumento"/>
              <w:jc w:val="center"/>
              <w:rPr>
                <w:color w:val="FFFFFF" w:themeColor="background1"/>
                <w:sz w:val="20"/>
                <w:szCs w:val="20"/>
              </w:rPr>
            </w:pPr>
            <w:r w:rsidRPr="0088057C">
              <w:rPr>
                <w:color w:val="FFFFFF" w:themeColor="background1"/>
                <w:sz w:val="20"/>
                <w:szCs w:val="20"/>
              </w:rPr>
              <w:t>2022</w:t>
            </w:r>
          </w:p>
        </w:tc>
        <w:tc>
          <w:tcPr>
            <w:tcW w:w="1325" w:type="dxa"/>
            <w:tcBorders>
              <w:left w:val="double" w:sz="4" w:space="0" w:color="C00000"/>
              <w:bottom w:val="double" w:sz="4" w:space="0" w:color="C00000"/>
            </w:tcBorders>
            <w:shd w:val="clear" w:color="auto" w:fill="C00000"/>
            <w:vAlign w:val="center"/>
          </w:tcPr>
          <w:p w14:paraId="5BB497C6" w14:textId="77777777" w:rsidR="00FA4F64" w:rsidRPr="0088057C" w:rsidRDefault="00FA4F64" w:rsidP="00B80593">
            <w:pPr>
              <w:pStyle w:val="titulodocumento"/>
              <w:jc w:val="center"/>
              <w:rPr>
                <w:color w:val="FFFFFF" w:themeColor="background1"/>
                <w:sz w:val="20"/>
                <w:szCs w:val="20"/>
              </w:rPr>
            </w:pPr>
            <w:r w:rsidRPr="0088057C">
              <w:rPr>
                <w:color w:val="FFFFFF" w:themeColor="background1"/>
                <w:sz w:val="20"/>
                <w:szCs w:val="20"/>
              </w:rPr>
              <w:t>2023*</w:t>
            </w:r>
          </w:p>
        </w:tc>
      </w:tr>
      <w:tr w:rsidR="00B80593" w:rsidRPr="0088057C" w14:paraId="03BEE77D" w14:textId="77777777" w:rsidTr="00B80593">
        <w:trPr>
          <w:trHeight w:val="439"/>
        </w:trPr>
        <w:tc>
          <w:tcPr>
            <w:tcW w:w="2127" w:type="dxa"/>
            <w:tcBorders>
              <w:top w:val="double" w:sz="4" w:space="0" w:color="C00000"/>
              <w:bottom w:val="double" w:sz="4" w:space="0" w:color="C00000"/>
              <w:right w:val="double" w:sz="4" w:space="0" w:color="C00000"/>
            </w:tcBorders>
            <w:vAlign w:val="center"/>
          </w:tcPr>
          <w:p w14:paraId="4843E45B" w14:textId="77777777" w:rsidR="00FA4F64" w:rsidRPr="0088057C" w:rsidRDefault="00FA4F64" w:rsidP="00783B64">
            <w:pPr>
              <w:jc w:val="right"/>
              <w:rPr>
                <w:b/>
                <w:sz w:val="20"/>
                <w:szCs w:val="20"/>
              </w:rPr>
            </w:pPr>
            <w:r w:rsidRPr="0088057C">
              <w:rPr>
                <w:b/>
                <w:sz w:val="20"/>
                <w:szCs w:val="20"/>
              </w:rPr>
              <w:t>Turistas</w:t>
            </w:r>
          </w:p>
        </w:tc>
        <w:tc>
          <w:tcPr>
            <w:tcW w:w="1417" w:type="dxa"/>
            <w:tcBorders>
              <w:top w:val="double" w:sz="4" w:space="0" w:color="C00000"/>
              <w:left w:val="double" w:sz="4" w:space="0" w:color="C00000"/>
              <w:bottom w:val="double" w:sz="4" w:space="0" w:color="C00000"/>
              <w:right w:val="double" w:sz="4" w:space="0" w:color="C00000"/>
            </w:tcBorders>
            <w:vAlign w:val="center"/>
          </w:tcPr>
          <w:p w14:paraId="6F9C5C95" w14:textId="77777777" w:rsidR="00FA4F64" w:rsidRPr="0088057C" w:rsidRDefault="00FA4F64" w:rsidP="00783B64">
            <w:pPr>
              <w:jc w:val="right"/>
              <w:rPr>
                <w:sz w:val="20"/>
                <w:szCs w:val="20"/>
              </w:rPr>
            </w:pPr>
            <w:r w:rsidRPr="0088057C">
              <w:rPr>
                <w:sz w:val="20"/>
                <w:szCs w:val="20"/>
              </w:rPr>
              <w:t>12.462.731</w:t>
            </w:r>
          </w:p>
        </w:tc>
        <w:tc>
          <w:tcPr>
            <w:tcW w:w="1418" w:type="dxa"/>
            <w:tcBorders>
              <w:top w:val="double" w:sz="4" w:space="0" w:color="C00000"/>
              <w:left w:val="double" w:sz="4" w:space="0" w:color="C00000"/>
              <w:bottom w:val="double" w:sz="4" w:space="0" w:color="C00000"/>
              <w:right w:val="double" w:sz="4" w:space="0" w:color="C00000"/>
            </w:tcBorders>
            <w:vAlign w:val="center"/>
          </w:tcPr>
          <w:p w14:paraId="5C98C50D" w14:textId="77777777" w:rsidR="00FA4F64" w:rsidRPr="0088057C" w:rsidRDefault="00FA4F64" w:rsidP="00783B64">
            <w:pPr>
              <w:jc w:val="right"/>
              <w:rPr>
                <w:sz w:val="20"/>
                <w:szCs w:val="20"/>
              </w:rPr>
            </w:pPr>
            <w:r w:rsidRPr="0088057C">
              <w:rPr>
                <w:sz w:val="20"/>
                <w:szCs w:val="20"/>
              </w:rPr>
              <w:t>4.168.856</w:t>
            </w:r>
          </w:p>
        </w:tc>
        <w:tc>
          <w:tcPr>
            <w:tcW w:w="1275" w:type="dxa"/>
            <w:tcBorders>
              <w:top w:val="double" w:sz="4" w:space="0" w:color="C00000"/>
              <w:left w:val="double" w:sz="4" w:space="0" w:color="C00000"/>
              <w:bottom w:val="double" w:sz="4" w:space="0" w:color="C00000"/>
              <w:right w:val="double" w:sz="4" w:space="0" w:color="C00000"/>
            </w:tcBorders>
            <w:vAlign w:val="center"/>
          </w:tcPr>
          <w:p w14:paraId="6BCC668D" w14:textId="77777777" w:rsidR="00FA4F64" w:rsidRPr="0088057C" w:rsidRDefault="00FA4F64" w:rsidP="00783B64">
            <w:pPr>
              <w:jc w:val="right"/>
              <w:rPr>
                <w:sz w:val="20"/>
                <w:szCs w:val="20"/>
              </w:rPr>
            </w:pPr>
            <w:r w:rsidRPr="0088057C">
              <w:rPr>
                <w:sz w:val="20"/>
                <w:szCs w:val="20"/>
              </w:rPr>
              <w:t>6.244.799</w:t>
            </w:r>
          </w:p>
        </w:tc>
        <w:tc>
          <w:tcPr>
            <w:tcW w:w="1276" w:type="dxa"/>
            <w:tcBorders>
              <w:top w:val="double" w:sz="4" w:space="0" w:color="C00000"/>
              <w:left w:val="double" w:sz="4" w:space="0" w:color="C00000"/>
              <w:bottom w:val="double" w:sz="4" w:space="0" w:color="C00000"/>
              <w:right w:val="double" w:sz="4" w:space="0" w:color="C00000"/>
            </w:tcBorders>
            <w:vAlign w:val="center"/>
          </w:tcPr>
          <w:p w14:paraId="1B871F78" w14:textId="77777777" w:rsidR="00FA4F64" w:rsidRPr="0088057C" w:rsidRDefault="00FA4F64" w:rsidP="00783B64">
            <w:pPr>
              <w:jc w:val="right"/>
              <w:rPr>
                <w:sz w:val="20"/>
                <w:szCs w:val="20"/>
              </w:rPr>
            </w:pPr>
            <w:r w:rsidRPr="0088057C">
              <w:rPr>
                <w:sz w:val="20"/>
                <w:szCs w:val="20"/>
              </w:rPr>
              <w:t>11.217.521</w:t>
            </w:r>
          </w:p>
        </w:tc>
        <w:tc>
          <w:tcPr>
            <w:tcW w:w="1325" w:type="dxa"/>
            <w:tcBorders>
              <w:top w:val="double" w:sz="4" w:space="0" w:color="C00000"/>
              <w:left w:val="double" w:sz="4" w:space="0" w:color="C00000"/>
              <w:bottom w:val="double" w:sz="4" w:space="0" w:color="C00000"/>
            </w:tcBorders>
            <w:vAlign w:val="center"/>
          </w:tcPr>
          <w:p w14:paraId="29CEF5F8" w14:textId="77777777" w:rsidR="00FA4F64" w:rsidRPr="0088057C" w:rsidRDefault="00FA4F64" w:rsidP="00783B64">
            <w:pPr>
              <w:jc w:val="right"/>
              <w:rPr>
                <w:sz w:val="20"/>
                <w:szCs w:val="20"/>
              </w:rPr>
            </w:pPr>
            <w:r w:rsidRPr="0088057C">
              <w:rPr>
                <w:sz w:val="20"/>
                <w:szCs w:val="20"/>
              </w:rPr>
              <w:t>12.347.876</w:t>
            </w:r>
          </w:p>
        </w:tc>
      </w:tr>
      <w:tr w:rsidR="00B80593" w:rsidRPr="0088057C" w14:paraId="1E90DF3C" w14:textId="77777777" w:rsidTr="00B80593">
        <w:trPr>
          <w:trHeight w:val="400"/>
        </w:trPr>
        <w:tc>
          <w:tcPr>
            <w:tcW w:w="2127" w:type="dxa"/>
            <w:tcBorders>
              <w:top w:val="double" w:sz="4" w:space="0" w:color="C00000"/>
              <w:bottom w:val="double" w:sz="4" w:space="0" w:color="C00000"/>
              <w:right w:val="double" w:sz="4" w:space="0" w:color="C00000"/>
            </w:tcBorders>
            <w:vAlign w:val="center"/>
          </w:tcPr>
          <w:p w14:paraId="4DC36952" w14:textId="77777777" w:rsidR="00FA4F64" w:rsidRPr="0088057C" w:rsidRDefault="00FA4F64" w:rsidP="00783B64">
            <w:pPr>
              <w:jc w:val="right"/>
              <w:rPr>
                <w:b/>
                <w:sz w:val="20"/>
                <w:szCs w:val="20"/>
              </w:rPr>
            </w:pPr>
            <w:r w:rsidRPr="0088057C">
              <w:rPr>
                <w:b/>
                <w:sz w:val="20"/>
                <w:szCs w:val="20"/>
              </w:rPr>
              <w:t>Vuelos</w:t>
            </w:r>
          </w:p>
        </w:tc>
        <w:tc>
          <w:tcPr>
            <w:tcW w:w="1417" w:type="dxa"/>
            <w:tcBorders>
              <w:top w:val="double" w:sz="4" w:space="0" w:color="C00000"/>
              <w:left w:val="double" w:sz="4" w:space="0" w:color="C00000"/>
              <w:bottom w:val="double" w:sz="4" w:space="0" w:color="C00000"/>
              <w:right w:val="double" w:sz="4" w:space="0" w:color="C00000"/>
            </w:tcBorders>
            <w:vAlign w:val="center"/>
          </w:tcPr>
          <w:p w14:paraId="5CAC507E" w14:textId="77777777" w:rsidR="00FA4F64" w:rsidRPr="0088057C" w:rsidRDefault="00FA4F64" w:rsidP="00783B64">
            <w:pPr>
              <w:jc w:val="right"/>
              <w:rPr>
                <w:sz w:val="20"/>
                <w:szCs w:val="20"/>
              </w:rPr>
            </w:pPr>
            <w:r w:rsidRPr="0088057C">
              <w:rPr>
                <w:sz w:val="20"/>
                <w:szCs w:val="20"/>
              </w:rPr>
              <w:t>156.097</w:t>
            </w:r>
          </w:p>
        </w:tc>
        <w:tc>
          <w:tcPr>
            <w:tcW w:w="1418" w:type="dxa"/>
            <w:tcBorders>
              <w:top w:val="double" w:sz="4" w:space="0" w:color="C00000"/>
              <w:left w:val="double" w:sz="4" w:space="0" w:color="C00000"/>
              <w:bottom w:val="double" w:sz="4" w:space="0" w:color="C00000"/>
              <w:right w:val="double" w:sz="4" w:space="0" w:color="C00000"/>
            </w:tcBorders>
            <w:vAlign w:val="center"/>
          </w:tcPr>
          <w:p w14:paraId="5998EC94" w14:textId="77777777" w:rsidR="00FA4F64" w:rsidRPr="0088057C" w:rsidRDefault="00FA4F64" w:rsidP="00783B64">
            <w:pPr>
              <w:jc w:val="right"/>
              <w:rPr>
                <w:sz w:val="20"/>
                <w:szCs w:val="20"/>
              </w:rPr>
            </w:pPr>
            <w:r w:rsidRPr="0088057C">
              <w:rPr>
                <w:sz w:val="20"/>
                <w:szCs w:val="20"/>
              </w:rPr>
              <w:t>54.339</w:t>
            </w:r>
          </w:p>
        </w:tc>
        <w:tc>
          <w:tcPr>
            <w:tcW w:w="1275" w:type="dxa"/>
            <w:tcBorders>
              <w:top w:val="double" w:sz="4" w:space="0" w:color="C00000"/>
              <w:left w:val="double" w:sz="4" w:space="0" w:color="C00000"/>
              <w:bottom w:val="double" w:sz="4" w:space="0" w:color="C00000"/>
              <w:right w:val="double" w:sz="4" w:space="0" w:color="C00000"/>
            </w:tcBorders>
            <w:vAlign w:val="center"/>
          </w:tcPr>
          <w:p w14:paraId="5AB8DECD" w14:textId="77777777" w:rsidR="00FA4F64" w:rsidRPr="0088057C" w:rsidRDefault="00FA4F64" w:rsidP="00783B64">
            <w:pPr>
              <w:jc w:val="right"/>
              <w:rPr>
                <w:sz w:val="20"/>
                <w:szCs w:val="20"/>
              </w:rPr>
            </w:pPr>
            <w:r w:rsidRPr="0088057C">
              <w:rPr>
                <w:sz w:val="20"/>
                <w:szCs w:val="20"/>
              </w:rPr>
              <w:t>101.132</w:t>
            </w:r>
          </w:p>
        </w:tc>
        <w:tc>
          <w:tcPr>
            <w:tcW w:w="1276" w:type="dxa"/>
            <w:tcBorders>
              <w:top w:val="double" w:sz="4" w:space="0" w:color="C00000"/>
              <w:left w:val="double" w:sz="4" w:space="0" w:color="C00000"/>
              <w:bottom w:val="double" w:sz="4" w:space="0" w:color="C00000"/>
              <w:right w:val="double" w:sz="4" w:space="0" w:color="C00000"/>
            </w:tcBorders>
            <w:vAlign w:val="center"/>
          </w:tcPr>
          <w:p w14:paraId="0148540A" w14:textId="77777777" w:rsidR="00FA4F64" w:rsidRPr="0088057C" w:rsidRDefault="00FA4F64" w:rsidP="00783B64">
            <w:pPr>
              <w:jc w:val="right"/>
              <w:rPr>
                <w:sz w:val="20"/>
                <w:szCs w:val="20"/>
              </w:rPr>
            </w:pPr>
            <w:r w:rsidRPr="0088057C">
              <w:rPr>
                <w:sz w:val="20"/>
                <w:szCs w:val="20"/>
              </w:rPr>
              <w:t>141.992</w:t>
            </w:r>
          </w:p>
        </w:tc>
        <w:tc>
          <w:tcPr>
            <w:tcW w:w="1325" w:type="dxa"/>
            <w:tcBorders>
              <w:top w:val="double" w:sz="4" w:space="0" w:color="C00000"/>
              <w:left w:val="double" w:sz="4" w:space="0" w:color="C00000"/>
              <w:bottom w:val="double" w:sz="4" w:space="0" w:color="C00000"/>
            </w:tcBorders>
            <w:vAlign w:val="center"/>
          </w:tcPr>
          <w:p w14:paraId="4ECCB6E2" w14:textId="77777777" w:rsidR="00FA4F64" w:rsidRPr="0088057C" w:rsidRDefault="00FA4F64" w:rsidP="00783B64">
            <w:pPr>
              <w:jc w:val="right"/>
              <w:rPr>
                <w:sz w:val="20"/>
                <w:szCs w:val="20"/>
              </w:rPr>
            </w:pPr>
            <w:r w:rsidRPr="0088057C">
              <w:rPr>
                <w:sz w:val="20"/>
                <w:szCs w:val="20"/>
              </w:rPr>
              <w:t>122.621</w:t>
            </w:r>
          </w:p>
        </w:tc>
      </w:tr>
      <w:tr w:rsidR="00B80593" w:rsidRPr="0088057C" w14:paraId="48C6AFB5" w14:textId="77777777" w:rsidTr="00B80593">
        <w:trPr>
          <w:trHeight w:val="520"/>
        </w:trPr>
        <w:tc>
          <w:tcPr>
            <w:tcW w:w="2127" w:type="dxa"/>
            <w:tcBorders>
              <w:top w:val="double" w:sz="4" w:space="0" w:color="C00000"/>
              <w:bottom w:val="double" w:sz="4" w:space="0" w:color="C00000"/>
              <w:right w:val="double" w:sz="4" w:space="0" w:color="C00000"/>
            </w:tcBorders>
            <w:vAlign w:val="center"/>
          </w:tcPr>
          <w:p w14:paraId="36D0CBA7" w14:textId="77777777" w:rsidR="00FA4F64" w:rsidRPr="0088057C" w:rsidRDefault="00FA4F64" w:rsidP="00783B64">
            <w:pPr>
              <w:jc w:val="right"/>
              <w:rPr>
                <w:b/>
                <w:sz w:val="20"/>
                <w:szCs w:val="20"/>
              </w:rPr>
            </w:pPr>
            <w:r w:rsidRPr="0088057C">
              <w:rPr>
                <w:b/>
                <w:sz w:val="20"/>
                <w:szCs w:val="20"/>
              </w:rPr>
              <w:t>Sillas ofrecidas</w:t>
            </w:r>
          </w:p>
        </w:tc>
        <w:tc>
          <w:tcPr>
            <w:tcW w:w="1417" w:type="dxa"/>
            <w:tcBorders>
              <w:top w:val="double" w:sz="4" w:space="0" w:color="C00000"/>
              <w:left w:val="double" w:sz="4" w:space="0" w:color="C00000"/>
              <w:bottom w:val="double" w:sz="4" w:space="0" w:color="C00000"/>
              <w:right w:val="double" w:sz="4" w:space="0" w:color="C00000"/>
            </w:tcBorders>
            <w:vAlign w:val="center"/>
          </w:tcPr>
          <w:p w14:paraId="03218AC2" w14:textId="77777777" w:rsidR="00FA4F64" w:rsidRPr="0088057C" w:rsidRDefault="00FA4F64" w:rsidP="00783B64">
            <w:pPr>
              <w:jc w:val="right"/>
              <w:rPr>
                <w:sz w:val="20"/>
                <w:szCs w:val="20"/>
              </w:rPr>
            </w:pPr>
            <w:r w:rsidRPr="0088057C">
              <w:rPr>
                <w:sz w:val="20"/>
                <w:szCs w:val="20"/>
              </w:rPr>
              <w:t>21.125.945</w:t>
            </w:r>
          </w:p>
        </w:tc>
        <w:tc>
          <w:tcPr>
            <w:tcW w:w="1418" w:type="dxa"/>
            <w:tcBorders>
              <w:top w:val="double" w:sz="4" w:space="0" w:color="C00000"/>
              <w:left w:val="double" w:sz="4" w:space="0" w:color="C00000"/>
              <w:bottom w:val="double" w:sz="4" w:space="0" w:color="C00000"/>
              <w:right w:val="double" w:sz="4" w:space="0" w:color="C00000"/>
            </w:tcBorders>
            <w:vAlign w:val="center"/>
          </w:tcPr>
          <w:p w14:paraId="38D4D3B9" w14:textId="77777777" w:rsidR="00FA4F64" w:rsidRPr="0088057C" w:rsidRDefault="00FA4F64" w:rsidP="00783B64">
            <w:pPr>
              <w:jc w:val="right"/>
              <w:rPr>
                <w:sz w:val="20"/>
                <w:szCs w:val="20"/>
              </w:rPr>
            </w:pPr>
            <w:r w:rsidRPr="0088057C">
              <w:rPr>
                <w:sz w:val="20"/>
                <w:szCs w:val="20"/>
              </w:rPr>
              <w:t>1.593.509</w:t>
            </w:r>
          </w:p>
        </w:tc>
        <w:tc>
          <w:tcPr>
            <w:tcW w:w="1275" w:type="dxa"/>
            <w:tcBorders>
              <w:top w:val="double" w:sz="4" w:space="0" w:color="C00000"/>
              <w:left w:val="double" w:sz="4" w:space="0" w:color="C00000"/>
              <w:bottom w:val="double" w:sz="4" w:space="0" w:color="C00000"/>
              <w:right w:val="double" w:sz="4" w:space="0" w:color="C00000"/>
            </w:tcBorders>
            <w:vAlign w:val="center"/>
          </w:tcPr>
          <w:p w14:paraId="57CB303B" w14:textId="77777777" w:rsidR="00FA4F64" w:rsidRPr="0088057C" w:rsidRDefault="00FA4F64" w:rsidP="00783B64">
            <w:pPr>
              <w:jc w:val="right"/>
              <w:rPr>
                <w:sz w:val="20"/>
                <w:szCs w:val="20"/>
              </w:rPr>
            </w:pPr>
            <w:r w:rsidRPr="0088057C">
              <w:rPr>
                <w:sz w:val="20"/>
                <w:szCs w:val="20"/>
              </w:rPr>
              <w:t>13.808.975</w:t>
            </w:r>
          </w:p>
        </w:tc>
        <w:tc>
          <w:tcPr>
            <w:tcW w:w="1276" w:type="dxa"/>
            <w:tcBorders>
              <w:top w:val="double" w:sz="4" w:space="0" w:color="C00000"/>
              <w:left w:val="double" w:sz="4" w:space="0" w:color="C00000"/>
              <w:bottom w:val="double" w:sz="4" w:space="0" w:color="C00000"/>
              <w:right w:val="double" w:sz="4" w:space="0" w:color="C00000"/>
            </w:tcBorders>
            <w:vAlign w:val="center"/>
          </w:tcPr>
          <w:p w14:paraId="290637FA" w14:textId="77777777" w:rsidR="00FA4F64" w:rsidRPr="0088057C" w:rsidRDefault="00FA4F64" w:rsidP="00783B64">
            <w:pPr>
              <w:jc w:val="right"/>
              <w:rPr>
                <w:sz w:val="20"/>
                <w:szCs w:val="20"/>
              </w:rPr>
            </w:pPr>
            <w:r w:rsidRPr="0088057C">
              <w:rPr>
                <w:sz w:val="20"/>
                <w:szCs w:val="20"/>
              </w:rPr>
              <w:t>21.764.677</w:t>
            </w:r>
          </w:p>
        </w:tc>
        <w:tc>
          <w:tcPr>
            <w:tcW w:w="1325" w:type="dxa"/>
            <w:tcBorders>
              <w:top w:val="double" w:sz="4" w:space="0" w:color="C00000"/>
              <w:left w:val="double" w:sz="4" w:space="0" w:color="C00000"/>
              <w:bottom w:val="double" w:sz="4" w:space="0" w:color="C00000"/>
            </w:tcBorders>
            <w:vAlign w:val="center"/>
          </w:tcPr>
          <w:p w14:paraId="6E9E44EA" w14:textId="77777777" w:rsidR="00FA4F64" w:rsidRPr="0088057C" w:rsidRDefault="00FA4F64" w:rsidP="00783B64">
            <w:pPr>
              <w:jc w:val="right"/>
              <w:rPr>
                <w:sz w:val="20"/>
                <w:szCs w:val="20"/>
              </w:rPr>
            </w:pPr>
            <w:r w:rsidRPr="0088057C">
              <w:rPr>
                <w:sz w:val="20"/>
                <w:szCs w:val="20"/>
              </w:rPr>
              <w:t>19.220.745</w:t>
            </w:r>
          </w:p>
        </w:tc>
      </w:tr>
      <w:tr w:rsidR="00B80593" w:rsidRPr="0088057C" w14:paraId="438727E8" w14:textId="77777777" w:rsidTr="00B80593">
        <w:trPr>
          <w:trHeight w:val="825"/>
        </w:trPr>
        <w:tc>
          <w:tcPr>
            <w:tcW w:w="2127" w:type="dxa"/>
            <w:tcBorders>
              <w:top w:val="double" w:sz="4" w:space="0" w:color="C00000"/>
              <w:bottom w:val="double" w:sz="4" w:space="0" w:color="C00000"/>
              <w:right w:val="double" w:sz="4" w:space="0" w:color="C00000"/>
            </w:tcBorders>
            <w:vAlign w:val="center"/>
          </w:tcPr>
          <w:p w14:paraId="30128054" w14:textId="77777777" w:rsidR="0088057C" w:rsidRDefault="00FA4F64" w:rsidP="00783B64">
            <w:pPr>
              <w:jc w:val="right"/>
              <w:rPr>
                <w:b/>
                <w:sz w:val="20"/>
                <w:szCs w:val="20"/>
              </w:rPr>
            </w:pPr>
            <w:r w:rsidRPr="0088057C">
              <w:rPr>
                <w:b/>
                <w:sz w:val="20"/>
                <w:szCs w:val="20"/>
              </w:rPr>
              <w:t xml:space="preserve">Ocupación </w:t>
            </w:r>
          </w:p>
          <w:p w14:paraId="094F7F69" w14:textId="5D12AA0C" w:rsidR="00FA4F64" w:rsidRPr="0088057C" w:rsidRDefault="00FA4F64" w:rsidP="00783B64">
            <w:pPr>
              <w:jc w:val="right"/>
              <w:rPr>
                <w:b/>
                <w:sz w:val="20"/>
                <w:szCs w:val="20"/>
              </w:rPr>
            </w:pPr>
            <w:r w:rsidRPr="0088057C">
              <w:rPr>
                <w:b/>
                <w:sz w:val="20"/>
                <w:szCs w:val="20"/>
              </w:rPr>
              <w:t>hotelera (%)</w:t>
            </w:r>
          </w:p>
        </w:tc>
        <w:tc>
          <w:tcPr>
            <w:tcW w:w="1417" w:type="dxa"/>
            <w:tcBorders>
              <w:top w:val="double" w:sz="4" w:space="0" w:color="C00000"/>
              <w:left w:val="double" w:sz="4" w:space="0" w:color="C00000"/>
              <w:bottom w:val="double" w:sz="4" w:space="0" w:color="C00000"/>
              <w:right w:val="double" w:sz="4" w:space="0" w:color="C00000"/>
            </w:tcBorders>
            <w:vAlign w:val="center"/>
          </w:tcPr>
          <w:p w14:paraId="49D78BA7" w14:textId="77777777" w:rsidR="00FA4F64" w:rsidRPr="0088057C" w:rsidRDefault="00FA4F64" w:rsidP="00783B64">
            <w:pPr>
              <w:jc w:val="right"/>
              <w:rPr>
                <w:sz w:val="20"/>
                <w:szCs w:val="20"/>
              </w:rPr>
            </w:pPr>
            <w:r w:rsidRPr="0088057C">
              <w:rPr>
                <w:sz w:val="20"/>
                <w:szCs w:val="20"/>
              </w:rPr>
              <w:t>62,42</w:t>
            </w:r>
          </w:p>
        </w:tc>
        <w:tc>
          <w:tcPr>
            <w:tcW w:w="1418" w:type="dxa"/>
            <w:tcBorders>
              <w:top w:val="double" w:sz="4" w:space="0" w:color="C00000"/>
              <w:left w:val="double" w:sz="4" w:space="0" w:color="C00000"/>
              <w:bottom w:val="double" w:sz="4" w:space="0" w:color="C00000"/>
              <w:right w:val="double" w:sz="4" w:space="0" w:color="C00000"/>
            </w:tcBorders>
            <w:vAlign w:val="center"/>
          </w:tcPr>
          <w:p w14:paraId="6D155B75" w14:textId="77777777" w:rsidR="00FA4F64" w:rsidRPr="0088057C" w:rsidRDefault="00FA4F64" w:rsidP="00783B64">
            <w:pPr>
              <w:jc w:val="right"/>
              <w:rPr>
                <w:sz w:val="20"/>
                <w:szCs w:val="20"/>
              </w:rPr>
            </w:pPr>
            <w:r w:rsidRPr="0088057C">
              <w:rPr>
                <w:sz w:val="20"/>
                <w:szCs w:val="20"/>
              </w:rPr>
              <w:t>s.d.</w:t>
            </w:r>
          </w:p>
        </w:tc>
        <w:tc>
          <w:tcPr>
            <w:tcW w:w="1275" w:type="dxa"/>
            <w:tcBorders>
              <w:top w:val="double" w:sz="4" w:space="0" w:color="C00000"/>
              <w:left w:val="double" w:sz="4" w:space="0" w:color="C00000"/>
              <w:bottom w:val="double" w:sz="4" w:space="0" w:color="C00000"/>
              <w:right w:val="double" w:sz="4" w:space="0" w:color="C00000"/>
            </w:tcBorders>
            <w:vAlign w:val="center"/>
          </w:tcPr>
          <w:p w14:paraId="676296E1" w14:textId="77777777" w:rsidR="00FA4F64" w:rsidRPr="0088057C" w:rsidRDefault="00FA4F64" w:rsidP="00783B64">
            <w:pPr>
              <w:jc w:val="right"/>
              <w:rPr>
                <w:sz w:val="20"/>
                <w:szCs w:val="20"/>
              </w:rPr>
            </w:pPr>
            <w:r w:rsidRPr="0088057C">
              <w:rPr>
                <w:sz w:val="20"/>
                <w:szCs w:val="20"/>
              </w:rPr>
              <w:t>s.d.</w:t>
            </w:r>
          </w:p>
        </w:tc>
        <w:tc>
          <w:tcPr>
            <w:tcW w:w="1276" w:type="dxa"/>
            <w:tcBorders>
              <w:top w:val="double" w:sz="4" w:space="0" w:color="C00000"/>
              <w:left w:val="double" w:sz="4" w:space="0" w:color="C00000"/>
              <w:bottom w:val="double" w:sz="4" w:space="0" w:color="C00000"/>
              <w:right w:val="double" w:sz="4" w:space="0" w:color="C00000"/>
            </w:tcBorders>
            <w:vAlign w:val="center"/>
          </w:tcPr>
          <w:p w14:paraId="4C432DD9" w14:textId="77777777" w:rsidR="00FA4F64" w:rsidRPr="0088057C" w:rsidRDefault="00FA4F64" w:rsidP="00783B64">
            <w:pPr>
              <w:jc w:val="right"/>
              <w:rPr>
                <w:sz w:val="20"/>
                <w:szCs w:val="20"/>
              </w:rPr>
            </w:pPr>
            <w:r w:rsidRPr="0088057C">
              <w:rPr>
                <w:sz w:val="20"/>
                <w:szCs w:val="20"/>
              </w:rPr>
              <w:t>64,24</w:t>
            </w:r>
          </w:p>
        </w:tc>
        <w:tc>
          <w:tcPr>
            <w:tcW w:w="1325" w:type="dxa"/>
            <w:tcBorders>
              <w:top w:val="double" w:sz="4" w:space="0" w:color="C00000"/>
              <w:left w:val="double" w:sz="4" w:space="0" w:color="C00000"/>
              <w:bottom w:val="double" w:sz="4" w:space="0" w:color="C00000"/>
            </w:tcBorders>
            <w:vAlign w:val="center"/>
          </w:tcPr>
          <w:p w14:paraId="4842BE31" w14:textId="77777777" w:rsidR="00FA4F64" w:rsidRPr="0088057C" w:rsidRDefault="00FA4F64" w:rsidP="00783B64">
            <w:pPr>
              <w:jc w:val="right"/>
              <w:rPr>
                <w:sz w:val="20"/>
                <w:szCs w:val="20"/>
              </w:rPr>
            </w:pPr>
            <w:r w:rsidRPr="0088057C">
              <w:rPr>
                <w:sz w:val="20"/>
                <w:szCs w:val="20"/>
              </w:rPr>
              <w:t>65,15</w:t>
            </w:r>
          </w:p>
        </w:tc>
      </w:tr>
      <w:tr w:rsidR="00B80593" w:rsidRPr="0088057C" w14:paraId="27F0206A" w14:textId="77777777" w:rsidTr="00B80593">
        <w:trPr>
          <w:trHeight w:val="823"/>
        </w:trPr>
        <w:tc>
          <w:tcPr>
            <w:tcW w:w="2127" w:type="dxa"/>
            <w:tcBorders>
              <w:top w:val="double" w:sz="4" w:space="0" w:color="C00000"/>
              <w:bottom w:val="double" w:sz="4" w:space="0" w:color="C00000"/>
              <w:right w:val="double" w:sz="4" w:space="0" w:color="C00000"/>
            </w:tcBorders>
            <w:vAlign w:val="center"/>
          </w:tcPr>
          <w:p w14:paraId="3312BB69" w14:textId="77777777" w:rsidR="00FA4F64" w:rsidRPr="0088057C" w:rsidRDefault="00FA4F64" w:rsidP="00783B64">
            <w:pPr>
              <w:jc w:val="right"/>
              <w:rPr>
                <w:b/>
                <w:sz w:val="20"/>
                <w:szCs w:val="20"/>
              </w:rPr>
            </w:pPr>
            <w:r w:rsidRPr="0088057C">
              <w:rPr>
                <w:b/>
                <w:sz w:val="20"/>
                <w:szCs w:val="20"/>
              </w:rPr>
              <w:t>Tarifa promedio ($)</w:t>
            </w:r>
          </w:p>
        </w:tc>
        <w:tc>
          <w:tcPr>
            <w:tcW w:w="1417" w:type="dxa"/>
            <w:tcBorders>
              <w:top w:val="double" w:sz="4" w:space="0" w:color="C00000"/>
              <w:left w:val="double" w:sz="4" w:space="0" w:color="C00000"/>
              <w:bottom w:val="double" w:sz="4" w:space="0" w:color="C00000"/>
              <w:right w:val="double" w:sz="4" w:space="0" w:color="C00000"/>
            </w:tcBorders>
            <w:vAlign w:val="center"/>
          </w:tcPr>
          <w:p w14:paraId="70AC7399" w14:textId="77777777" w:rsidR="00FA4F64" w:rsidRPr="0088057C" w:rsidRDefault="00FA4F64" w:rsidP="00783B64">
            <w:pPr>
              <w:jc w:val="right"/>
              <w:rPr>
                <w:sz w:val="20"/>
                <w:szCs w:val="20"/>
              </w:rPr>
            </w:pPr>
            <w:r w:rsidRPr="0088057C">
              <w:rPr>
                <w:sz w:val="20"/>
                <w:szCs w:val="20"/>
              </w:rPr>
              <w:t>265.027</w:t>
            </w:r>
          </w:p>
        </w:tc>
        <w:tc>
          <w:tcPr>
            <w:tcW w:w="1418" w:type="dxa"/>
            <w:tcBorders>
              <w:top w:val="double" w:sz="4" w:space="0" w:color="C00000"/>
              <w:left w:val="double" w:sz="4" w:space="0" w:color="C00000"/>
              <w:bottom w:val="double" w:sz="4" w:space="0" w:color="C00000"/>
              <w:right w:val="double" w:sz="4" w:space="0" w:color="C00000"/>
            </w:tcBorders>
            <w:vAlign w:val="center"/>
          </w:tcPr>
          <w:p w14:paraId="22DBA739" w14:textId="77777777" w:rsidR="00FA4F64" w:rsidRPr="0088057C" w:rsidRDefault="00FA4F64" w:rsidP="00783B64">
            <w:pPr>
              <w:jc w:val="right"/>
              <w:rPr>
                <w:sz w:val="20"/>
                <w:szCs w:val="20"/>
              </w:rPr>
            </w:pPr>
            <w:r w:rsidRPr="0088057C">
              <w:rPr>
                <w:sz w:val="20"/>
                <w:szCs w:val="20"/>
              </w:rPr>
              <w:t>s.d.</w:t>
            </w:r>
          </w:p>
        </w:tc>
        <w:tc>
          <w:tcPr>
            <w:tcW w:w="1275" w:type="dxa"/>
            <w:tcBorders>
              <w:top w:val="double" w:sz="4" w:space="0" w:color="C00000"/>
              <w:left w:val="double" w:sz="4" w:space="0" w:color="C00000"/>
              <w:bottom w:val="double" w:sz="4" w:space="0" w:color="C00000"/>
              <w:right w:val="double" w:sz="4" w:space="0" w:color="C00000"/>
            </w:tcBorders>
            <w:vAlign w:val="center"/>
          </w:tcPr>
          <w:p w14:paraId="5FAB0C3F" w14:textId="77777777" w:rsidR="00FA4F64" w:rsidRPr="0088057C" w:rsidRDefault="00FA4F64" w:rsidP="00783B64">
            <w:pPr>
              <w:jc w:val="right"/>
              <w:rPr>
                <w:sz w:val="20"/>
                <w:szCs w:val="20"/>
              </w:rPr>
            </w:pPr>
            <w:r w:rsidRPr="0088057C">
              <w:rPr>
                <w:sz w:val="20"/>
                <w:szCs w:val="20"/>
              </w:rPr>
              <w:t>s.d.</w:t>
            </w:r>
          </w:p>
        </w:tc>
        <w:tc>
          <w:tcPr>
            <w:tcW w:w="1276" w:type="dxa"/>
            <w:tcBorders>
              <w:top w:val="double" w:sz="4" w:space="0" w:color="C00000"/>
              <w:left w:val="double" w:sz="4" w:space="0" w:color="C00000"/>
              <w:bottom w:val="double" w:sz="4" w:space="0" w:color="C00000"/>
              <w:right w:val="double" w:sz="4" w:space="0" w:color="C00000"/>
            </w:tcBorders>
            <w:vAlign w:val="center"/>
          </w:tcPr>
          <w:p w14:paraId="4001C539" w14:textId="77777777" w:rsidR="00FA4F64" w:rsidRPr="0088057C" w:rsidRDefault="00FA4F64" w:rsidP="00783B64">
            <w:pPr>
              <w:jc w:val="right"/>
              <w:rPr>
                <w:sz w:val="20"/>
                <w:szCs w:val="20"/>
              </w:rPr>
            </w:pPr>
            <w:r w:rsidRPr="0088057C">
              <w:rPr>
                <w:sz w:val="20"/>
                <w:szCs w:val="20"/>
              </w:rPr>
              <w:t>269.624</w:t>
            </w:r>
          </w:p>
        </w:tc>
        <w:tc>
          <w:tcPr>
            <w:tcW w:w="1325" w:type="dxa"/>
            <w:tcBorders>
              <w:top w:val="double" w:sz="4" w:space="0" w:color="C00000"/>
              <w:left w:val="double" w:sz="4" w:space="0" w:color="C00000"/>
              <w:bottom w:val="double" w:sz="4" w:space="0" w:color="C00000"/>
            </w:tcBorders>
            <w:vAlign w:val="center"/>
          </w:tcPr>
          <w:p w14:paraId="1EF7EA9C" w14:textId="77777777" w:rsidR="00FA4F64" w:rsidRPr="0088057C" w:rsidRDefault="00FA4F64" w:rsidP="00783B64">
            <w:pPr>
              <w:jc w:val="right"/>
              <w:rPr>
                <w:sz w:val="20"/>
                <w:szCs w:val="20"/>
              </w:rPr>
            </w:pPr>
            <w:r w:rsidRPr="0088057C">
              <w:rPr>
                <w:sz w:val="20"/>
                <w:szCs w:val="20"/>
              </w:rPr>
              <w:t>324.979</w:t>
            </w:r>
          </w:p>
        </w:tc>
      </w:tr>
    </w:tbl>
    <w:p w14:paraId="42184FC2" w14:textId="77777777" w:rsidR="00FA4F64" w:rsidRDefault="00FA4F64" w:rsidP="00FA4F64">
      <w:pPr>
        <w:pBdr>
          <w:top w:val="nil"/>
          <w:left w:val="nil"/>
          <w:bottom w:val="nil"/>
          <w:right w:val="nil"/>
          <w:between w:val="nil"/>
        </w:pBdr>
        <w:spacing w:line="220" w:lineRule="auto"/>
        <w:jc w:val="center"/>
        <w:rPr>
          <w:color w:val="3B3838"/>
          <w:sz w:val="18"/>
          <w:szCs w:val="18"/>
        </w:rPr>
      </w:pPr>
      <w:r>
        <w:rPr>
          <w:color w:val="3B3838"/>
          <w:sz w:val="18"/>
          <w:szCs w:val="18"/>
        </w:rPr>
        <w:t>*Datos de 2023 con corte octubre.</w:t>
      </w:r>
    </w:p>
    <w:p w14:paraId="39B8A9BB" w14:textId="77777777" w:rsidR="00FA4F64" w:rsidRDefault="00FA4F64" w:rsidP="00FA4F6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IDT (2023).</w:t>
      </w:r>
    </w:p>
    <w:p w14:paraId="7C54461E" w14:textId="6DEE56BA" w:rsidR="00FA4F64" w:rsidRDefault="00FA4F64" w:rsidP="00FA4F64">
      <w:pPr>
        <w:pBdr>
          <w:top w:val="nil"/>
          <w:left w:val="nil"/>
          <w:bottom w:val="nil"/>
          <w:right w:val="nil"/>
          <w:between w:val="nil"/>
        </w:pBdr>
        <w:spacing w:line="220" w:lineRule="auto"/>
        <w:jc w:val="center"/>
        <w:rPr>
          <w:color w:val="3B3838"/>
          <w:sz w:val="18"/>
          <w:szCs w:val="18"/>
        </w:rPr>
      </w:pPr>
    </w:p>
    <w:p w14:paraId="6B821C46" w14:textId="77777777" w:rsidR="00B80593" w:rsidRDefault="00B80593" w:rsidP="00FA4F64">
      <w:pPr>
        <w:pBdr>
          <w:top w:val="nil"/>
          <w:left w:val="nil"/>
          <w:bottom w:val="nil"/>
          <w:right w:val="nil"/>
          <w:between w:val="nil"/>
        </w:pBdr>
        <w:spacing w:line="220" w:lineRule="auto"/>
        <w:jc w:val="center"/>
        <w:rPr>
          <w:color w:val="3B3838"/>
          <w:sz w:val="18"/>
          <w:szCs w:val="18"/>
        </w:rPr>
      </w:pPr>
    </w:p>
    <w:p w14:paraId="48BD9923" w14:textId="77777777" w:rsidR="001B6488" w:rsidRDefault="001B6488">
      <w:pPr>
        <w:spacing w:line="240" w:lineRule="auto"/>
        <w:jc w:val="left"/>
        <w:rPr>
          <w:rFonts w:eastAsiaTheme="majorEastAsia" w:cstheme="majorBidi"/>
          <w:b/>
          <w:color w:val="C00000"/>
          <w:sz w:val="28"/>
          <w:szCs w:val="26"/>
          <w:lang w:eastAsia="en-US"/>
        </w:rPr>
      </w:pPr>
      <w:r>
        <w:rPr>
          <w:color w:val="C00000"/>
        </w:rPr>
        <w:br w:type="page"/>
      </w:r>
    </w:p>
    <w:p w14:paraId="4812EF46" w14:textId="78CC17E5" w:rsidR="00FA4F64" w:rsidRPr="005315BC" w:rsidRDefault="00FA4F64" w:rsidP="005315BC">
      <w:pPr>
        <w:ind w:firstLine="708"/>
        <w:rPr>
          <w:b/>
          <w:bCs/>
          <w:sz w:val="24"/>
        </w:rPr>
        <w:sectPr w:rsidR="00FA4F64" w:rsidRPr="005315BC" w:rsidSect="00F7078E">
          <w:type w:val="continuous"/>
          <w:pgSz w:w="12240" w:h="15840"/>
          <w:pgMar w:top="2262" w:right="1440" w:bottom="1440" w:left="1440" w:header="708" w:footer="708" w:gutter="0"/>
          <w:cols w:space="720"/>
        </w:sectPr>
      </w:pPr>
      <w:r w:rsidRPr="005315BC">
        <w:rPr>
          <w:b/>
          <w:bCs/>
          <w:sz w:val="24"/>
        </w:rPr>
        <w:lastRenderedPageBreak/>
        <w:t>Descripción del programa</w:t>
      </w:r>
    </w:p>
    <w:p w14:paraId="19722C5F" w14:textId="77777777" w:rsidR="00FA4F64" w:rsidRDefault="00FA4F64" w:rsidP="00FA4F64">
      <w:r>
        <w:t>Este programa busca asegurar que Bogotá adopte una cultura de CTeI para la generación de capacidades y la haga competitiva respecto a sus pares locales y regionales, mediante la consolidación de una infraestructura física y virtual sólida en ese sentido.</w:t>
      </w:r>
    </w:p>
    <w:p w14:paraId="4C1CE71E" w14:textId="77777777" w:rsidR="00FA4F64" w:rsidRDefault="00FA4F64" w:rsidP="00FA4F64"/>
    <w:p w14:paraId="0BDB42FE" w14:textId="77777777" w:rsidR="00FA4F64" w:rsidRDefault="00FA4F64" w:rsidP="00FA4F64">
      <w:r>
        <w:t xml:space="preserve">Para ello, </w:t>
      </w:r>
      <w:r>
        <w:rPr>
          <w:highlight w:val="white"/>
        </w:rPr>
        <w:t xml:space="preserve">se busca consolidar a Bogotá como una </w:t>
      </w:r>
      <w:r>
        <w:rPr>
          <w:i/>
          <w:highlight w:val="white"/>
        </w:rPr>
        <w:t>smart city,</w:t>
      </w:r>
      <w:r>
        <w:rPr>
          <w:highlight w:val="white"/>
        </w:rPr>
        <w:t xml:space="preserve"> que promueve la colaboración y el fortalecimiento de su relación con actores locales, regionales, científicos, académicos, empresariales, entre otros.</w:t>
      </w:r>
    </w:p>
    <w:p w14:paraId="75A5BC9F" w14:textId="77777777" w:rsidR="00FA4F64" w:rsidRDefault="00FA4F64" w:rsidP="00FA4F64"/>
    <w:p w14:paraId="7242225C" w14:textId="77777777" w:rsidR="00FA4F64" w:rsidRDefault="00FA4F64" w:rsidP="00FA4F64">
      <w:pPr>
        <w:rPr>
          <w:highlight w:val="white"/>
        </w:rPr>
      </w:pPr>
      <w:r>
        <w:t>Por otro lado, g</w:t>
      </w:r>
      <w:r>
        <w:rPr>
          <w:highlight w:val="white"/>
        </w:rPr>
        <w:t>enerar inteligencia, conocimiento colectivo con y entre ellos, y dotar a la ciudad de una infraestructura acorde con su condición a través de dos elementos que son punta de lanza en ese propósito.</w:t>
      </w:r>
    </w:p>
    <w:p w14:paraId="6E2D1456" w14:textId="77777777" w:rsidR="00FA4F64" w:rsidRDefault="00FA4F64" w:rsidP="00FA4F64">
      <w:pPr>
        <w:rPr>
          <w:highlight w:val="white"/>
        </w:rPr>
      </w:pPr>
    </w:p>
    <w:p w14:paraId="52721D41" w14:textId="77777777" w:rsidR="00FA4F64" w:rsidRPr="00931A49" w:rsidRDefault="00FA4F64" w:rsidP="00FA4F64">
      <w:pPr>
        <w:rPr>
          <w:spacing w:val="-6"/>
        </w:rPr>
      </w:pPr>
      <w:r w:rsidRPr="00931A49">
        <w:rPr>
          <w:spacing w:val="-6"/>
          <w:highlight w:val="white"/>
        </w:rPr>
        <w:t>Primero, la</w:t>
      </w:r>
      <w:r w:rsidRPr="00931A49">
        <w:rPr>
          <w:spacing w:val="-6"/>
        </w:rPr>
        <w:t xml:space="preserve"> construcción del Campus de Ciencia, Tecnología e Innovación de la ciudad, cuyas instalaciones facilitarán la articulación de empresas, universidades, emprendimientos, laboratorios y servicios asociados a CTeI, impulsando la competitividad de la ciudad.</w:t>
      </w:r>
    </w:p>
    <w:p w14:paraId="7ED923BF" w14:textId="77777777" w:rsidR="00FA4F64" w:rsidRPr="00931A49" w:rsidRDefault="00FA4F64" w:rsidP="00FA4F64">
      <w:pPr>
        <w:rPr>
          <w:spacing w:val="-6"/>
        </w:rPr>
      </w:pPr>
    </w:p>
    <w:p w14:paraId="6B3D4E1F" w14:textId="77777777" w:rsidR="00FA4F64" w:rsidRPr="00931A49" w:rsidRDefault="00FA4F64" w:rsidP="00FA4F64">
      <w:pPr>
        <w:rPr>
          <w:spacing w:val="-6"/>
        </w:rPr>
      </w:pPr>
      <w:r w:rsidRPr="00931A49">
        <w:rPr>
          <w:spacing w:val="-6"/>
        </w:rPr>
        <w:t xml:space="preserve">Segundo, la consolidación de Bogotá como un </w:t>
      </w:r>
      <w:r w:rsidRPr="00931A49">
        <w:rPr>
          <w:i/>
          <w:spacing w:val="-6"/>
        </w:rPr>
        <w:t>Hub</w:t>
      </w:r>
      <w:r w:rsidRPr="00931A49">
        <w:rPr>
          <w:spacing w:val="-6"/>
        </w:rPr>
        <w:t xml:space="preserve"> de Innovación Tecnológica, mediante la financiación y la articulación de las capacidades de universidades, empresas, organizaciones y centros de investigación que permitan fortalecer la producción de conocimiento básico y aplicado, facilitar la relación entre academia y sector empresarial, y la adopción y transferencia de resultados para la generación de riqueza y el mejoramiento de la calidad de vida de la ciudadanía y del fortalecimiento de las capacidades de los emprendimientos y empresas para aplicar metodologías innovadoras en sus actividades productivas.</w:t>
      </w:r>
    </w:p>
    <w:p w14:paraId="29EADF4B" w14:textId="77777777" w:rsidR="00FA4F64" w:rsidRPr="00931A49" w:rsidRDefault="00FA4F64" w:rsidP="00FA4F64">
      <w:pPr>
        <w:rPr>
          <w:spacing w:val="-6"/>
        </w:rPr>
      </w:pPr>
    </w:p>
    <w:p w14:paraId="3285069B" w14:textId="3C9D222B" w:rsidR="00FA4F64" w:rsidRPr="00931A49" w:rsidRDefault="00FA4F64" w:rsidP="00FA4F64">
      <w:pPr>
        <w:rPr>
          <w:spacing w:val="-6"/>
        </w:rPr>
      </w:pPr>
      <w:r w:rsidRPr="00931A49">
        <w:rPr>
          <w:spacing w:val="-6"/>
        </w:rPr>
        <w:t>Se promoverá la conformación de semilleros de emprendimientos y la formación de profesionales en áreas como IA, economía circular, realidad aumentada, aprendizaje, entre otras.</w:t>
      </w:r>
    </w:p>
    <w:p w14:paraId="73349E44" w14:textId="77777777" w:rsidR="00931A49" w:rsidRDefault="00931A49" w:rsidP="00FA4F64"/>
    <w:p w14:paraId="297EBA94" w14:textId="77777777" w:rsidR="00FA4F64" w:rsidRDefault="00FA4F64" w:rsidP="00FA4F64">
      <w:r>
        <w:t>Las acciones establecidas en este programa aseguran que la ciudad cuente con capacidades de producción y gestión de conocimiento para fortalecer y/o crear nuevos mercados productivos, generar valor público y mejorar las prácticas de gestión del conocimiento e interacción entre la industria, la academia y la Administración Distrital para fomentar el desarrollo económico y social de la ciudad.</w:t>
      </w:r>
    </w:p>
    <w:p w14:paraId="7DC8794F" w14:textId="77777777" w:rsidR="00FA4F64" w:rsidRDefault="00FA4F64" w:rsidP="00FA4F64"/>
    <w:p w14:paraId="0EE2B8B9" w14:textId="77777777" w:rsidR="00FA4F64" w:rsidRDefault="00FA4F64" w:rsidP="00FA4F64">
      <w:r>
        <w:t>Para lo anterior, se fortalecerá una instancia de gobernanza y articulación de políticas, estrategias, asesoría y orientación en ciencia, tecnología e innovación de la capital, la cual se dará a través del Consejo Distrital de Ciencia, Tecnología e Innovación (CODECTI). Así mismo se trabajará en colaboración con empresas y organizaciones lideradas por Connect Bogotá-Región y otros representantes de la sociedad civil, las comunidades académica y empresarial interesadas.</w:t>
      </w:r>
    </w:p>
    <w:p w14:paraId="2AD54FC6" w14:textId="77777777" w:rsidR="00FA4F64" w:rsidRDefault="00FA4F64" w:rsidP="00FA4F64"/>
    <w:p w14:paraId="54622C1B" w14:textId="77777777" w:rsidR="00FA4F64" w:rsidRDefault="00FA4F64" w:rsidP="00FA4F64">
      <w:r>
        <w:t>En este propósito tiene especial relevancia que la gestión de información, análisis de datos y producción de conocimiento cuenten con enfoque de género y derechos humanos de las mujeres. En ese sentido, el Observatorio de Mujeres y Equidad de Género (OMEG) se posicionará desde este programa como una apuesta de la ciudad para contar con una infraestructura de ciencia de datos innovadora, con capacidad para analizar información diversificada y multidisciplinar.</w:t>
      </w:r>
    </w:p>
    <w:p w14:paraId="5542E518" w14:textId="77777777" w:rsidR="00FA4F64" w:rsidRDefault="00FA4F64" w:rsidP="00FA4F64"/>
    <w:p w14:paraId="025BA908" w14:textId="77777777" w:rsidR="00FA4F64" w:rsidRDefault="00FA4F64" w:rsidP="00FA4F64">
      <w:r>
        <w:t>Con las acciones en ciencia, tecnología e innovación que desarrollará la ciudad en los próximos años, se impulsará la consolidación de la fabricación de biológicos, avances en medicina personalizada y telemedicina; también se impulsará el Jardín Botánico José Celestino Mutis como Centro de Investigación de la ciudad.</w:t>
      </w:r>
    </w:p>
    <w:p w14:paraId="11704D2F" w14:textId="77777777" w:rsidR="00FA4F64" w:rsidRDefault="00FA4F64" w:rsidP="00FA4F64"/>
    <w:p w14:paraId="1C4DBD2D" w14:textId="77777777" w:rsidR="00FA4F64" w:rsidRDefault="00FA4F64" w:rsidP="00FA4F64">
      <w:r>
        <w:t xml:space="preserve">Se promoverá la transferencia tecnológica para mejorar la productividad de pequeñas empresas y nuevos emprendimientos, así como la </w:t>
      </w:r>
      <w:r>
        <w:lastRenderedPageBreak/>
        <w:t>comercialización de bienes y servicios provenientes de unidades productivas, especialmente de mujeres y jóvenes, mediante el uso de nuevas tecnologías.</w:t>
      </w:r>
    </w:p>
    <w:p w14:paraId="6D5F1B32" w14:textId="77777777" w:rsidR="00FA4F64" w:rsidRDefault="00FA4F64" w:rsidP="00FA4F64"/>
    <w:p w14:paraId="56670AAE" w14:textId="13803FE2"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 xml:space="preserve">A través de este programa, Bogotá se consolidará como una ciudad con una infraestructura tecnológica de vanguardia. Todas estas acciones, además del patrimonio cultural y natural propios del territorio, ayudarán en la implementación de un modelo de Destino Turístico </w:t>
      </w:r>
      <w:r>
        <w:t>Inteligente (DTI) entendido como “destino turístico innovador, que garantiza el desarrollo sostenible de Bogotá, accesible para todos y todas, que facilita la interacción e integración de visitantes con el entorno e incrementando la calidad de su experiencia en el destino y mejorando la calidad de vida del residente” (Bogotá Destino Turístico Inteligente, 2023); teniendo en cuenta, la transversalidad de la actividad turística y las características diferenciadoras de cada destino en la ciudad.</w:t>
      </w:r>
    </w:p>
    <w:p w14:paraId="25E7D2ED" w14:textId="77777777" w:rsidR="00B80593" w:rsidRDefault="00B80593" w:rsidP="00FA4F64">
      <w:pPr>
        <w:pBdr>
          <w:top w:val="nil"/>
          <w:left w:val="nil"/>
          <w:bottom w:val="nil"/>
          <w:right w:val="nil"/>
          <w:between w:val="nil"/>
        </w:pBdr>
        <w:spacing w:line="220" w:lineRule="auto"/>
        <w:jc w:val="center"/>
        <w:rPr>
          <w:b/>
          <w:color w:val="C00000"/>
          <w:sz w:val="18"/>
          <w:szCs w:val="18"/>
        </w:rPr>
      </w:pPr>
    </w:p>
    <w:p w14:paraId="24DBFF32" w14:textId="567A8296" w:rsidR="00FA4F64" w:rsidRPr="00A75127" w:rsidRDefault="00A75127" w:rsidP="00A75127">
      <w:pPr>
        <w:pStyle w:val="Descripcin"/>
        <w:jc w:val="center"/>
        <w:rPr>
          <w:color w:val="3B3838"/>
          <w:sz w:val="18"/>
        </w:rPr>
      </w:pPr>
      <w:bookmarkStart w:id="317" w:name="_Toc165169948"/>
      <w:r w:rsidRPr="00A75127">
        <w:rPr>
          <w:color w:val="C00000"/>
          <w:sz w:val="18"/>
        </w:rPr>
        <w:t xml:space="preserve">Tabla </w:t>
      </w:r>
      <w:r w:rsidRPr="00A75127">
        <w:rPr>
          <w:color w:val="C00000"/>
          <w:sz w:val="18"/>
        </w:rPr>
        <w:fldChar w:fldCharType="begin"/>
      </w:r>
      <w:r w:rsidRPr="00A75127">
        <w:rPr>
          <w:color w:val="C00000"/>
          <w:sz w:val="18"/>
        </w:rPr>
        <w:instrText xml:space="preserve"> SEQ Tabla \* ARABIC </w:instrText>
      </w:r>
      <w:r w:rsidRPr="00A75127">
        <w:rPr>
          <w:color w:val="C00000"/>
          <w:sz w:val="18"/>
        </w:rPr>
        <w:fldChar w:fldCharType="separate"/>
      </w:r>
      <w:r w:rsidR="00D01651">
        <w:rPr>
          <w:noProof/>
          <w:color w:val="C00000"/>
          <w:sz w:val="18"/>
        </w:rPr>
        <w:t>38</w:t>
      </w:r>
      <w:r w:rsidRPr="00A75127">
        <w:rPr>
          <w:color w:val="C00000"/>
          <w:sz w:val="18"/>
        </w:rPr>
        <w:fldChar w:fldCharType="end"/>
      </w:r>
      <w:r w:rsidRPr="00A75127">
        <w:rPr>
          <w:color w:val="C00000"/>
          <w:sz w:val="18"/>
        </w:rPr>
        <w:t xml:space="preserve">. </w:t>
      </w:r>
      <w:r w:rsidR="00FA4F64" w:rsidRPr="00A75127">
        <w:rPr>
          <w:color w:val="3B3838"/>
          <w:sz w:val="18"/>
        </w:rPr>
        <w:t xml:space="preserve">Metas del programa Ciencia, Tecnología e Innovación (CTel) </w:t>
      </w:r>
      <w:r>
        <w:rPr>
          <w:color w:val="3B3838"/>
          <w:sz w:val="18"/>
        </w:rPr>
        <w:br/>
      </w:r>
      <w:r w:rsidR="00FA4F64" w:rsidRPr="00A75127">
        <w:rPr>
          <w:color w:val="3B3838"/>
          <w:sz w:val="18"/>
        </w:rPr>
        <w:t>para desarrollar nuestro potencial y promover el de nuestros vecinos regionales</w:t>
      </w:r>
      <w:bookmarkEnd w:id="317"/>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701"/>
        <w:gridCol w:w="1391"/>
        <w:gridCol w:w="1307"/>
        <w:gridCol w:w="1296"/>
        <w:gridCol w:w="1311"/>
        <w:gridCol w:w="1354"/>
      </w:tblGrid>
      <w:tr w:rsidR="003E558F" w:rsidRPr="003E558F" w14:paraId="63555D85" w14:textId="77777777" w:rsidTr="003E558F">
        <w:trPr>
          <w:tblHeader/>
        </w:trPr>
        <w:tc>
          <w:tcPr>
            <w:tcW w:w="0" w:type="auto"/>
            <w:vMerge w:val="restart"/>
            <w:shd w:val="clear" w:color="auto" w:fill="C00000"/>
            <w:tcMar>
              <w:top w:w="30" w:type="dxa"/>
              <w:left w:w="45" w:type="dxa"/>
              <w:bottom w:w="30" w:type="dxa"/>
              <w:right w:w="45" w:type="dxa"/>
            </w:tcMar>
            <w:vAlign w:val="center"/>
            <w:hideMark/>
          </w:tcPr>
          <w:p w14:paraId="00C2A7D0" w14:textId="77777777" w:rsidR="003E558F" w:rsidRPr="003E558F" w:rsidRDefault="003E558F" w:rsidP="00AA4BBB">
            <w:pPr>
              <w:jc w:val="center"/>
              <w:rPr>
                <w:rFonts w:cs="Arial"/>
                <w:b/>
                <w:bCs/>
                <w:color w:val="FFFFFF"/>
                <w:sz w:val="20"/>
                <w:szCs w:val="20"/>
              </w:rPr>
            </w:pPr>
            <w:r w:rsidRPr="003E558F">
              <w:rPr>
                <w:rFonts w:cs="Arial"/>
                <w:b/>
                <w:bCs/>
                <w:color w:val="FFFFFF"/>
                <w:sz w:val="20"/>
                <w:szCs w:val="20"/>
              </w:rPr>
              <w:t>SECTOR / Metas</w:t>
            </w:r>
          </w:p>
        </w:tc>
        <w:tc>
          <w:tcPr>
            <w:tcW w:w="0" w:type="auto"/>
            <w:gridSpan w:val="5"/>
            <w:shd w:val="clear" w:color="auto" w:fill="C00000"/>
            <w:tcMar>
              <w:top w:w="30" w:type="dxa"/>
              <w:left w:w="45" w:type="dxa"/>
              <w:bottom w:w="30" w:type="dxa"/>
              <w:right w:w="45" w:type="dxa"/>
            </w:tcMar>
            <w:vAlign w:val="center"/>
            <w:hideMark/>
          </w:tcPr>
          <w:p w14:paraId="46AC841E" w14:textId="77777777" w:rsidR="003E558F" w:rsidRPr="003E558F" w:rsidRDefault="003E558F" w:rsidP="00AA4BBB">
            <w:pPr>
              <w:jc w:val="center"/>
              <w:rPr>
                <w:rFonts w:cs="Arial"/>
                <w:b/>
                <w:bCs/>
                <w:color w:val="FFFFFF"/>
                <w:sz w:val="20"/>
                <w:szCs w:val="20"/>
              </w:rPr>
            </w:pPr>
            <w:r w:rsidRPr="003E558F">
              <w:rPr>
                <w:rFonts w:cs="Arial"/>
                <w:b/>
                <w:bCs/>
                <w:color w:val="FFFFFF"/>
                <w:sz w:val="20"/>
                <w:szCs w:val="20"/>
              </w:rPr>
              <w:t>Magnitudes e Inversión (Precios Constantes 2024)</w:t>
            </w:r>
          </w:p>
        </w:tc>
      </w:tr>
      <w:tr w:rsidR="003E558F" w:rsidRPr="003E558F" w14:paraId="333ED243" w14:textId="77777777" w:rsidTr="003E558F">
        <w:trPr>
          <w:tblHeader/>
        </w:trPr>
        <w:tc>
          <w:tcPr>
            <w:tcW w:w="0" w:type="auto"/>
            <w:vMerge/>
            <w:vAlign w:val="center"/>
            <w:hideMark/>
          </w:tcPr>
          <w:p w14:paraId="5CF1AED3" w14:textId="77777777" w:rsidR="003E558F" w:rsidRPr="003E558F" w:rsidRDefault="003E558F" w:rsidP="00AA4BBB">
            <w:pPr>
              <w:rPr>
                <w:rFonts w:cs="Arial"/>
                <w:b/>
                <w:bCs/>
                <w:color w:val="FFFFFF"/>
                <w:sz w:val="20"/>
                <w:szCs w:val="20"/>
              </w:rPr>
            </w:pPr>
          </w:p>
        </w:tc>
        <w:tc>
          <w:tcPr>
            <w:tcW w:w="0" w:type="auto"/>
            <w:shd w:val="clear" w:color="auto" w:fill="D9D9D9"/>
            <w:tcMar>
              <w:top w:w="30" w:type="dxa"/>
              <w:left w:w="45" w:type="dxa"/>
              <w:bottom w:w="30" w:type="dxa"/>
              <w:right w:w="45" w:type="dxa"/>
            </w:tcMar>
            <w:vAlign w:val="center"/>
            <w:hideMark/>
          </w:tcPr>
          <w:p w14:paraId="3ECCC9FE" w14:textId="77777777" w:rsidR="003E558F" w:rsidRPr="003E558F" w:rsidRDefault="003E558F" w:rsidP="00AA4BBB">
            <w:pPr>
              <w:jc w:val="center"/>
              <w:rPr>
                <w:rFonts w:cs="Arial"/>
                <w:b/>
                <w:bCs/>
                <w:sz w:val="20"/>
                <w:szCs w:val="20"/>
              </w:rPr>
            </w:pPr>
            <w:r w:rsidRPr="003E558F">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516DD9FB" w14:textId="77777777" w:rsidR="003E558F" w:rsidRPr="003E558F" w:rsidRDefault="003E558F" w:rsidP="00AA4BBB">
            <w:pPr>
              <w:jc w:val="center"/>
              <w:rPr>
                <w:rFonts w:cs="Arial"/>
                <w:b/>
                <w:bCs/>
                <w:sz w:val="20"/>
                <w:szCs w:val="20"/>
              </w:rPr>
            </w:pPr>
            <w:r w:rsidRPr="003E558F">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7E5061AC" w14:textId="77777777" w:rsidR="003E558F" w:rsidRPr="003E558F" w:rsidRDefault="003E558F" w:rsidP="00AA4BBB">
            <w:pPr>
              <w:jc w:val="center"/>
              <w:rPr>
                <w:rFonts w:cs="Arial"/>
                <w:b/>
                <w:bCs/>
                <w:sz w:val="20"/>
                <w:szCs w:val="20"/>
              </w:rPr>
            </w:pPr>
            <w:r w:rsidRPr="003E558F">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6CC00E79" w14:textId="77777777" w:rsidR="003E558F" w:rsidRPr="003E558F" w:rsidRDefault="003E558F" w:rsidP="00AA4BBB">
            <w:pPr>
              <w:jc w:val="center"/>
              <w:rPr>
                <w:rFonts w:cs="Arial"/>
                <w:b/>
                <w:bCs/>
                <w:sz w:val="20"/>
                <w:szCs w:val="20"/>
              </w:rPr>
            </w:pPr>
            <w:r w:rsidRPr="003E558F">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1EF83610" w14:textId="77777777" w:rsidR="003E558F" w:rsidRPr="003E558F" w:rsidRDefault="003E558F" w:rsidP="00AA4BBB">
            <w:pPr>
              <w:jc w:val="center"/>
              <w:rPr>
                <w:rFonts w:cs="Arial"/>
                <w:b/>
                <w:bCs/>
                <w:sz w:val="20"/>
                <w:szCs w:val="20"/>
              </w:rPr>
            </w:pPr>
            <w:r w:rsidRPr="003E558F">
              <w:rPr>
                <w:rFonts w:cs="Arial"/>
                <w:b/>
                <w:bCs/>
                <w:sz w:val="20"/>
                <w:szCs w:val="20"/>
              </w:rPr>
              <w:t>Total Inversión</w:t>
            </w:r>
          </w:p>
        </w:tc>
      </w:tr>
      <w:tr w:rsidR="003E558F" w:rsidRPr="003E558F" w14:paraId="249F009E" w14:textId="77777777" w:rsidTr="003E558F">
        <w:tc>
          <w:tcPr>
            <w:tcW w:w="0" w:type="auto"/>
            <w:gridSpan w:val="6"/>
            <w:shd w:val="clear" w:color="auto" w:fill="C00000"/>
            <w:tcMar>
              <w:top w:w="30" w:type="dxa"/>
              <w:left w:w="45" w:type="dxa"/>
              <w:bottom w:w="30" w:type="dxa"/>
              <w:right w:w="45" w:type="dxa"/>
            </w:tcMar>
            <w:vAlign w:val="center"/>
            <w:hideMark/>
          </w:tcPr>
          <w:p w14:paraId="0C153500" w14:textId="2395637C" w:rsidR="003E558F" w:rsidRPr="003E558F" w:rsidRDefault="003E558F" w:rsidP="003E558F">
            <w:pPr>
              <w:jc w:val="center"/>
              <w:rPr>
                <w:rFonts w:cs="Arial"/>
                <w:b/>
                <w:bCs/>
                <w:color w:val="FFFFFF" w:themeColor="background1"/>
                <w:sz w:val="20"/>
                <w:szCs w:val="20"/>
              </w:rPr>
            </w:pPr>
            <w:r w:rsidRPr="003E558F">
              <w:rPr>
                <w:rFonts w:cs="Arial"/>
                <w:b/>
                <w:bCs/>
                <w:color w:val="FFFFFF" w:themeColor="background1"/>
                <w:sz w:val="20"/>
                <w:szCs w:val="20"/>
              </w:rPr>
              <w:t>Ambiente</w:t>
            </w:r>
          </w:p>
        </w:tc>
      </w:tr>
      <w:tr w:rsidR="003E558F" w:rsidRPr="003E558F" w14:paraId="428A66EB" w14:textId="77777777" w:rsidTr="003E558F">
        <w:tc>
          <w:tcPr>
            <w:tcW w:w="0" w:type="auto"/>
            <w:vMerge w:val="restart"/>
            <w:tcMar>
              <w:top w:w="30" w:type="dxa"/>
              <w:left w:w="45" w:type="dxa"/>
              <w:bottom w:w="30" w:type="dxa"/>
              <w:right w:w="45" w:type="dxa"/>
            </w:tcMar>
            <w:vAlign w:val="center"/>
            <w:hideMark/>
          </w:tcPr>
          <w:p w14:paraId="02E7690C" w14:textId="77777777" w:rsidR="003E558F" w:rsidRPr="003E558F" w:rsidRDefault="003E558F" w:rsidP="00AA4BBB">
            <w:pPr>
              <w:rPr>
                <w:rFonts w:cs="Arial"/>
                <w:sz w:val="20"/>
                <w:szCs w:val="20"/>
              </w:rPr>
            </w:pPr>
            <w:r w:rsidRPr="003E558F">
              <w:rPr>
                <w:rFonts w:cs="Arial"/>
                <w:sz w:val="20"/>
                <w:szCs w:val="20"/>
              </w:rPr>
              <w:t>Generar 163 productos de investigación desarrollo e innovación para fortalecer al Jardín Botánico José Celestino Mutis como Centro de Investigación.</w:t>
            </w:r>
          </w:p>
        </w:tc>
        <w:tc>
          <w:tcPr>
            <w:tcW w:w="0" w:type="auto"/>
            <w:tcMar>
              <w:top w:w="30" w:type="dxa"/>
              <w:left w:w="45" w:type="dxa"/>
              <w:bottom w:w="30" w:type="dxa"/>
              <w:right w:w="45" w:type="dxa"/>
            </w:tcMar>
            <w:vAlign w:val="center"/>
            <w:hideMark/>
          </w:tcPr>
          <w:p w14:paraId="02B594F4" w14:textId="77777777" w:rsidR="003E558F" w:rsidRPr="003E558F" w:rsidRDefault="003E558F" w:rsidP="00AA4BBB">
            <w:pPr>
              <w:jc w:val="center"/>
              <w:rPr>
                <w:rFonts w:cs="Arial"/>
                <w:sz w:val="20"/>
                <w:szCs w:val="20"/>
              </w:rPr>
            </w:pPr>
            <w:r w:rsidRPr="003E558F">
              <w:rPr>
                <w:rFonts w:cs="Arial"/>
                <w:sz w:val="20"/>
                <w:szCs w:val="20"/>
              </w:rPr>
              <w:t>16</w:t>
            </w:r>
          </w:p>
        </w:tc>
        <w:tc>
          <w:tcPr>
            <w:tcW w:w="0" w:type="auto"/>
            <w:tcMar>
              <w:top w:w="30" w:type="dxa"/>
              <w:left w:w="45" w:type="dxa"/>
              <w:bottom w:w="30" w:type="dxa"/>
              <w:right w:w="45" w:type="dxa"/>
            </w:tcMar>
            <w:vAlign w:val="center"/>
            <w:hideMark/>
          </w:tcPr>
          <w:p w14:paraId="0B2012D6" w14:textId="77777777" w:rsidR="003E558F" w:rsidRPr="003E558F" w:rsidRDefault="003E558F" w:rsidP="00AA4BBB">
            <w:pPr>
              <w:jc w:val="center"/>
              <w:rPr>
                <w:rFonts w:cs="Arial"/>
                <w:sz w:val="20"/>
                <w:szCs w:val="20"/>
              </w:rPr>
            </w:pPr>
            <w:r w:rsidRPr="003E558F">
              <w:rPr>
                <w:rFonts w:cs="Arial"/>
                <w:sz w:val="20"/>
                <w:szCs w:val="20"/>
              </w:rPr>
              <w:t>51</w:t>
            </w:r>
          </w:p>
        </w:tc>
        <w:tc>
          <w:tcPr>
            <w:tcW w:w="0" w:type="auto"/>
            <w:tcMar>
              <w:top w:w="30" w:type="dxa"/>
              <w:left w:w="45" w:type="dxa"/>
              <w:bottom w:w="30" w:type="dxa"/>
              <w:right w:w="45" w:type="dxa"/>
            </w:tcMar>
            <w:vAlign w:val="center"/>
            <w:hideMark/>
          </w:tcPr>
          <w:p w14:paraId="687F5D13" w14:textId="77777777" w:rsidR="003E558F" w:rsidRPr="003E558F" w:rsidRDefault="003E558F" w:rsidP="00AA4BBB">
            <w:pPr>
              <w:jc w:val="center"/>
              <w:rPr>
                <w:rFonts w:cs="Arial"/>
                <w:sz w:val="20"/>
                <w:szCs w:val="20"/>
              </w:rPr>
            </w:pPr>
            <w:r w:rsidRPr="003E558F">
              <w:rPr>
                <w:rFonts w:cs="Arial"/>
                <w:sz w:val="20"/>
                <w:szCs w:val="20"/>
              </w:rPr>
              <w:t>51</w:t>
            </w:r>
          </w:p>
        </w:tc>
        <w:tc>
          <w:tcPr>
            <w:tcW w:w="0" w:type="auto"/>
            <w:tcMar>
              <w:top w:w="30" w:type="dxa"/>
              <w:left w:w="45" w:type="dxa"/>
              <w:bottom w:w="30" w:type="dxa"/>
              <w:right w:w="45" w:type="dxa"/>
            </w:tcMar>
            <w:vAlign w:val="center"/>
            <w:hideMark/>
          </w:tcPr>
          <w:p w14:paraId="7922831A" w14:textId="77777777" w:rsidR="003E558F" w:rsidRPr="003E558F" w:rsidRDefault="003E558F" w:rsidP="00AA4BBB">
            <w:pPr>
              <w:jc w:val="center"/>
              <w:rPr>
                <w:rFonts w:cs="Arial"/>
                <w:sz w:val="20"/>
                <w:szCs w:val="20"/>
              </w:rPr>
            </w:pPr>
            <w:r w:rsidRPr="003E558F">
              <w:rPr>
                <w:rFonts w:cs="Arial"/>
                <w:sz w:val="20"/>
                <w:szCs w:val="20"/>
              </w:rPr>
              <w:t>45</w:t>
            </w:r>
          </w:p>
        </w:tc>
        <w:tc>
          <w:tcPr>
            <w:tcW w:w="0" w:type="auto"/>
            <w:vMerge w:val="restart"/>
            <w:tcMar>
              <w:top w:w="30" w:type="dxa"/>
              <w:left w:w="45" w:type="dxa"/>
              <w:bottom w:w="30" w:type="dxa"/>
              <w:right w:w="45" w:type="dxa"/>
            </w:tcMar>
            <w:vAlign w:val="center"/>
            <w:hideMark/>
          </w:tcPr>
          <w:p w14:paraId="3C0C64F9" w14:textId="77777777" w:rsidR="003E558F" w:rsidRPr="003E558F" w:rsidRDefault="003E558F" w:rsidP="00AA4BBB">
            <w:pPr>
              <w:jc w:val="center"/>
              <w:rPr>
                <w:rFonts w:cs="Arial"/>
                <w:b/>
                <w:bCs/>
                <w:sz w:val="20"/>
                <w:szCs w:val="20"/>
              </w:rPr>
            </w:pPr>
            <w:r w:rsidRPr="003E558F">
              <w:rPr>
                <w:rFonts w:cs="Arial"/>
                <w:b/>
                <w:bCs/>
                <w:sz w:val="20"/>
                <w:szCs w:val="20"/>
              </w:rPr>
              <w:t>22.674.423.671</w:t>
            </w:r>
          </w:p>
        </w:tc>
      </w:tr>
      <w:tr w:rsidR="003E558F" w:rsidRPr="003E558F" w14:paraId="5171A786" w14:textId="77777777" w:rsidTr="003E558F">
        <w:tc>
          <w:tcPr>
            <w:tcW w:w="0" w:type="auto"/>
            <w:vMerge/>
            <w:vAlign w:val="center"/>
            <w:hideMark/>
          </w:tcPr>
          <w:p w14:paraId="529B23A1" w14:textId="77777777" w:rsidR="003E558F" w:rsidRPr="003E558F" w:rsidRDefault="003E558F" w:rsidP="00AA4BBB">
            <w:pPr>
              <w:rPr>
                <w:rFonts w:cs="Arial"/>
                <w:sz w:val="20"/>
                <w:szCs w:val="20"/>
              </w:rPr>
            </w:pPr>
          </w:p>
        </w:tc>
        <w:tc>
          <w:tcPr>
            <w:tcW w:w="0" w:type="auto"/>
            <w:tcMar>
              <w:top w:w="30" w:type="dxa"/>
              <w:left w:w="45" w:type="dxa"/>
              <w:bottom w:w="30" w:type="dxa"/>
              <w:right w:w="45" w:type="dxa"/>
            </w:tcMar>
            <w:vAlign w:val="center"/>
            <w:hideMark/>
          </w:tcPr>
          <w:p w14:paraId="24B2C4A9" w14:textId="77777777" w:rsidR="003E558F" w:rsidRPr="003E558F" w:rsidRDefault="003E558F" w:rsidP="00AA4BBB">
            <w:pPr>
              <w:jc w:val="center"/>
              <w:rPr>
                <w:rFonts w:cs="Arial"/>
                <w:sz w:val="20"/>
                <w:szCs w:val="20"/>
              </w:rPr>
            </w:pPr>
            <w:r w:rsidRPr="003E558F">
              <w:rPr>
                <w:rFonts w:cs="Arial"/>
                <w:sz w:val="20"/>
                <w:szCs w:val="20"/>
              </w:rPr>
              <w:t>2.621.953.000</w:t>
            </w:r>
          </w:p>
        </w:tc>
        <w:tc>
          <w:tcPr>
            <w:tcW w:w="0" w:type="auto"/>
            <w:tcMar>
              <w:top w:w="30" w:type="dxa"/>
              <w:left w:w="45" w:type="dxa"/>
              <w:bottom w:w="30" w:type="dxa"/>
              <w:right w:w="45" w:type="dxa"/>
            </w:tcMar>
            <w:vAlign w:val="center"/>
            <w:hideMark/>
          </w:tcPr>
          <w:p w14:paraId="792F53D1" w14:textId="77777777" w:rsidR="003E558F" w:rsidRPr="003E558F" w:rsidRDefault="003E558F" w:rsidP="00AA4BBB">
            <w:pPr>
              <w:jc w:val="center"/>
              <w:rPr>
                <w:rFonts w:cs="Arial"/>
                <w:sz w:val="20"/>
                <w:szCs w:val="20"/>
              </w:rPr>
            </w:pPr>
            <w:r w:rsidRPr="003E558F">
              <w:rPr>
                <w:rFonts w:cs="Arial"/>
                <w:sz w:val="20"/>
                <w:szCs w:val="20"/>
              </w:rPr>
              <w:t>6.780.750.042</w:t>
            </w:r>
          </w:p>
        </w:tc>
        <w:tc>
          <w:tcPr>
            <w:tcW w:w="0" w:type="auto"/>
            <w:tcMar>
              <w:top w:w="30" w:type="dxa"/>
              <w:left w:w="45" w:type="dxa"/>
              <w:bottom w:w="30" w:type="dxa"/>
              <w:right w:w="45" w:type="dxa"/>
            </w:tcMar>
            <w:vAlign w:val="center"/>
            <w:hideMark/>
          </w:tcPr>
          <w:p w14:paraId="27AF839F" w14:textId="77777777" w:rsidR="003E558F" w:rsidRPr="003E558F" w:rsidRDefault="003E558F" w:rsidP="00AA4BBB">
            <w:pPr>
              <w:jc w:val="center"/>
              <w:rPr>
                <w:rFonts w:cs="Arial"/>
                <w:sz w:val="20"/>
                <w:szCs w:val="20"/>
              </w:rPr>
            </w:pPr>
            <w:r w:rsidRPr="003E558F">
              <w:rPr>
                <w:rFonts w:cs="Arial"/>
                <w:sz w:val="20"/>
                <w:szCs w:val="20"/>
              </w:rPr>
              <w:t>6.780.750.041</w:t>
            </w:r>
          </w:p>
        </w:tc>
        <w:tc>
          <w:tcPr>
            <w:tcW w:w="0" w:type="auto"/>
            <w:tcMar>
              <w:top w:w="30" w:type="dxa"/>
              <w:left w:w="45" w:type="dxa"/>
              <w:bottom w:w="30" w:type="dxa"/>
              <w:right w:w="45" w:type="dxa"/>
            </w:tcMar>
            <w:vAlign w:val="center"/>
            <w:hideMark/>
          </w:tcPr>
          <w:p w14:paraId="135926A2" w14:textId="77777777" w:rsidR="003E558F" w:rsidRPr="003E558F" w:rsidRDefault="003E558F" w:rsidP="00AA4BBB">
            <w:pPr>
              <w:jc w:val="center"/>
              <w:rPr>
                <w:rFonts w:cs="Arial"/>
                <w:sz w:val="20"/>
                <w:szCs w:val="20"/>
              </w:rPr>
            </w:pPr>
            <w:r w:rsidRPr="003E558F">
              <w:rPr>
                <w:rFonts w:cs="Arial"/>
                <w:sz w:val="20"/>
                <w:szCs w:val="20"/>
              </w:rPr>
              <w:t>6.490.970.588</w:t>
            </w:r>
          </w:p>
        </w:tc>
        <w:tc>
          <w:tcPr>
            <w:tcW w:w="0" w:type="auto"/>
            <w:vMerge/>
            <w:vAlign w:val="center"/>
            <w:hideMark/>
          </w:tcPr>
          <w:p w14:paraId="5E2BCD59" w14:textId="77777777" w:rsidR="003E558F" w:rsidRPr="003E558F" w:rsidRDefault="003E558F" w:rsidP="00AA4BBB">
            <w:pPr>
              <w:rPr>
                <w:rFonts w:cs="Arial"/>
                <w:b/>
                <w:bCs/>
                <w:sz w:val="20"/>
                <w:szCs w:val="20"/>
              </w:rPr>
            </w:pPr>
          </w:p>
        </w:tc>
      </w:tr>
      <w:tr w:rsidR="003E558F" w:rsidRPr="003E558F" w14:paraId="4BBEC2D3" w14:textId="77777777" w:rsidTr="003E558F">
        <w:tc>
          <w:tcPr>
            <w:tcW w:w="0" w:type="auto"/>
            <w:gridSpan w:val="6"/>
            <w:shd w:val="clear" w:color="auto" w:fill="C00000"/>
            <w:tcMar>
              <w:top w:w="30" w:type="dxa"/>
              <w:left w:w="45" w:type="dxa"/>
              <w:bottom w:w="30" w:type="dxa"/>
              <w:right w:w="45" w:type="dxa"/>
            </w:tcMar>
            <w:vAlign w:val="center"/>
            <w:hideMark/>
          </w:tcPr>
          <w:p w14:paraId="10349181" w14:textId="58BE5839" w:rsidR="003E558F" w:rsidRPr="003E558F" w:rsidRDefault="003E558F" w:rsidP="003E558F">
            <w:pPr>
              <w:jc w:val="center"/>
              <w:rPr>
                <w:rFonts w:cs="Arial"/>
                <w:b/>
                <w:bCs/>
                <w:color w:val="FFFFFF" w:themeColor="background1"/>
                <w:sz w:val="20"/>
                <w:szCs w:val="20"/>
              </w:rPr>
            </w:pPr>
            <w:r w:rsidRPr="003E558F">
              <w:rPr>
                <w:rFonts w:cs="Arial"/>
                <w:b/>
                <w:bCs/>
                <w:color w:val="FFFFFF" w:themeColor="background1"/>
                <w:sz w:val="20"/>
                <w:szCs w:val="20"/>
              </w:rPr>
              <w:t>Desarrollo Económico</w:t>
            </w:r>
          </w:p>
        </w:tc>
      </w:tr>
      <w:tr w:rsidR="003E558F" w:rsidRPr="003E558F" w14:paraId="52B15412" w14:textId="77777777" w:rsidTr="003E558F">
        <w:tc>
          <w:tcPr>
            <w:tcW w:w="0" w:type="auto"/>
            <w:vMerge w:val="restart"/>
            <w:tcMar>
              <w:top w:w="30" w:type="dxa"/>
              <w:left w:w="45" w:type="dxa"/>
              <w:bottom w:w="30" w:type="dxa"/>
              <w:right w:w="45" w:type="dxa"/>
            </w:tcMar>
            <w:vAlign w:val="center"/>
            <w:hideMark/>
          </w:tcPr>
          <w:p w14:paraId="704504FF" w14:textId="77777777" w:rsidR="003E558F" w:rsidRPr="003E558F" w:rsidRDefault="003E558F" w:rsidP="00AA4BBB">
            <w:pPr>
              <w:rPr>
                <w:rFonts w:cs="Arial"/>
                <w:sz w:val="20"/>
                <w:szCs w:val="20"/>
              </w:rPr>
            </w:pPr>
            <w:r w:rsidRPr="003E558F">
              <w:rPr>
                <w:rFonts w:cs="Arial"/>
                <w:sz w:val="20"/>
                <w:szCs w:val="20"/>
              </w:rPr>
              <w:t>Apoyar la construcción de un (1) Edificio Sede del Campus de Ciencia Tecnología e Innovación de Bogotá</w:t>
            </w:r>
          </w:p>
        </w:tc>
        <w:tc>
          <w:tcPr>
            <w:tcW w:w="0" w:type="auto"/>
            <w:tcMar>
              <w:top w:w="30" w:type="dxa"/>
              <w:left w:w="45" w:type="dxa"/>
              <w:bottom w:w="30" w:type="dxa"/>
              <w:right w:w="45" w:type="dxa"/>
            </w:tcMar>
            <w:vAlign w:val="center"/>
            <w:hideMark/>
          </w:tcPr>
          <w:p w14:paraId="22DD9D81" w14:textId="77777777" w:rsidR="003E558F" w:rsidRPr="003E558F" w:rsidRDefault="003E558F" w:rsidP="00AA4BBB">
            <w:pPr>
              <w:jc w:val="center"/>
              <w:rPr>
                <w:rFonts w:cs="Arial"/>
                <w:sz w:val="20"/>
                <w:szCs w:val="20"/>
              </w:rPr>
            </w:pPr>
            <w:r w:rsidRPr="003E558F">
              <w:rPr>
                <w:rFonts w:cs="Arial"/>
                <w:sz w:val="20"/>
                <w:szCs w:val="20"/>
              </w:rPr>
              <w:t>29</w:t>
            </w:r>
          </w:p>
        </w:tc>
        <w:tc>
          <w:tcPr>
            <w:tcW w:w="0" w:type="auto"/>
            <w:tcMar>
              <w:top w:w="30" w:type="dxa"/>
              <w:left w:w="45" w:type="dxa"/>
              <w:bottom w:w="30" w:type="dxa"/>
              <w:right w:w="45" w:type="dxa"/>
            </w:tcMar>
            <w:vAlign w:val="center"/>
            <w:hideMark/>
          </w:tcPr>
          <w:p w14:paraId="2AF022E0" w14:textId="77777777" w:rsidR="003E558F" w:rsidRPr="003E558F" w:rsidRDefault="003E558F" w:rsidP="00AA4BBB">
            <w:pPr>
              <w:jc w:val="center"/>
              <w:rPr>
                <w:rFonts w:cs="Arial"/>
                <w:sz w:val="20"/>
                <w:szCs w:val="20"/>
              </w:rPr>
            </w:pPr>
            <w:r w:rsidRPr="003E558F">
              <w:rPr>
                <w:rFonts w:cs="Arial"/>
                <w:sz w:val="20"/>
                <w:szCs w:val="20"/>
              </w:rPr>
              <w:t>25</w:t>
            </w:r>
          </w:p>
        </w:tc>
        <w:tc>
          <w:tcPr>
            <w:tcW w:w="0" w:type="auto"/>
            <w:tcMar>
              <w:top w:w="30" w:type="dxa"/>
              <w:left w:w="45" w:type="dxa"/>
              <w:bottom w:w="30" w:type="dxa"/>
              <w:right w:w="45" w:type="dxa"/>
            </w:tcMar>
            <w:vAlign w:val="center"/>
            <w:hideMark/>
          </w:tcPr>
          <w:p w14:paraId="5976AA04" w14:textId="77777777" w:rsidR="003E558F" w:rsidRPr="003E558F" w:rsidRDefault="003E558F" w:rsidP="00AA4BBB">
            <w:pPr>
              <w:jc w:val="center"/>
              <w:rPr>
                <w:rFonts w:cs="Arial"/>
                <w:sz w:val="20"/>
                <w:szCs w:val="20"/>
              </w:rPr>
            </w:pPr>
            <w:r w:rsidRPr="003E558F">
              <w:rPr>
                <w:rFonts w:cs="Arial"/>
                <w:sz w:val="20"/>
                <w:szCs w:val="20"/>
              </w:rPr>
              <w:t>24</w:t>
            </w:r>
          </w:p>
        </w:tc>
        <w:tc>
          <w:tcPr>
            <w:tcW w:w="0" w:type="auto"/>
            <w:tcMar>
              <w:top w:w="30" w:type="dxa"/>
              <w:left w:w="45" w:type="dxa"/>
              <w:bottom w:w="30" w:type="dxa"/>
              <w:right w:w="45" w:type="dxa"/>
            </w:tcMar>
            <w:vAlign w:val="center"/>
            <w:hideMark/>
          </w:tcPr>
          <w:p w14:paraId="38652F99" w14:textId="77777777" w:rsidR="003E558F" w:rsidRPr="003E558F" w:rsidRDefault="003E558F" w:rsidP="00AA4BBB">
            <w:pPr>
              <w:jc w:val="center"/>
              <w:rPr>
                <w:rFonts w:cs="Arial"/>
                <w:sz w:val="20"/>
                <w:szCs w:val="20"/>
              </w:rPr>
            </w:pPr>
            <w:r w:rsidRPr="003E558F">
              <w:rPr>
                <w:rFonts w:cs="Arial"/>
                <w:sz w:val="20"/>
                <w:szCs w:val="20"/>
              </w:rPr>
              <w:t>21</w:t>
            </w:r>
          </w:p>
        </w:tc>
        <w:tc>
          <w:tcPr>
            <w:tcW w:w="0" w:type="auto"/>
            <w:vMerge w:val="restart"/>
            <w:tcMar>
              <w:top w:w="30" w:type="dxa"/>
              <w:left w:w="45" w:type="dxa"/>
              <w:bottom w:w="30" w:type="dxa"/>
              <w:right w:w="45" w:type="dxa"/>
            </w:tcMar>
            <w:vAlign w:val="center"/>
            <w:hideMark/>
          </w:tcPr>
          <w:p w14:paraId="1CDFD9C0" w14:textId="77777777" w:rsidR="003E558F" w:rsidRPr="003E558F" w:rsidRDefault="003E558F" w:rsidP="00AA4BBB">
            <w:pPr>
              <w:jc w:val="center"/>
              <w:rPr>
                <w:rFonts w:cs="Arial"/>
                <w:b/>
                <w:bCs/>
                <w:sz w:val="20"/>
                <w:szCs w:val="20"/>
              </w:rPr>
            </w:pPr>
            <w:r w:rsidRPr="003E558F">
              <w:rPr>
                <w:rFonts w:cs="Arial"/>
                <w:b/>
                <w:bCs/>
                <w:sz w:val="20"/>
                <w:szCs w:val="20"/>
              </w:rPr>
              <w:t>48.040.423.711</w:t>
            </w:r>
          </w:p>
        </w:tc>
      </w:tr>
      <w:tr w:rsidR="003E558F" w:rsidRPr="003E558F" w14:paraId="26070589" w14:textId="77777777" w:rsidTr="003E558F">
        <w:tc>
          <w:tcPr>
            <w:tcW w:w="0" w:type="auto"/>
            <w:vMerge/>
            <w:vAlign w:val="center"/>
            <w:hideMark/>
          </w:tcPr>
          <w:p w14:paraId="77F30EA7" w14:textId="77777777" w:rsidR="003E558F" w:rsidRPr="003E558F" w:rsidRDefault="003E558F" w:rsidP="00AA4BBB">
            <w:pPr>
              <w:rPr>
                <w:rFonts w:cs="Arial"/>
                <w:sz w:val="20"/>
                <w:szCs w:val="20"/>
              </w:rPr>
            </w:pPr>
          </w:p>
        </w:tc>
        <w:tc>
          <w:tcPr>
            <w:tcW w:w="0" w:type="auto"/>
            <w:tcMar>
              <w:top w:w="30" w:type="dxa"/>
              <w:left w:w="45" w:type="dxa"/>
              <w:bottom w:w="30" w:type="dxa"/>
              <w:right w:w="45" w:type="dxa"/>
            </w:tcMar>
            <w:vAlign w:val="center"/>
            <w:hideMark/>
          </w:tcPr>
          <w:p w14:paraId="42860DE3" w14:textId="77777777" w:rsidR="003E558F" w:rsidRPr="003E558F" w:rsidRDefault="003E558F" w:rsidP="00AA4BBB">
            <w:pPr>
              <w:jc w:val="center"/>
              <w:rPr>
                <w:rFonts w:cs="Arial"/>
                <w:sz w:val="20"/>
                <w:szCs w:val="20"/>
              </w:rPr>
            </w:pPr>
            <w:r w:rsidRPr="003E558F">
              <w:rPr>
                <w:rFonts w:cs="Arial"/>
                <w:sz w:val="20"/>
                <w:szCs w:val="20"/>
              </w:rPr>
              <w:t>14.619.690.120</w:t>
            </w:r>
          </w:p>
        </w:tc>
        <w:tc>
          <w:tcPr>
            <w:tcW w:w="0" w:type="auto"/>
            <w:tcMar>
              <w:top w:w="30" w:type="dxa"/>
              <w:left w:w="45" w:type="dxa"/>
              <w:bottom w:w="30" w:type="dxa"/>
              <w:right w:w="45" w:type="dxa"/>
            </w:tcMar>
            <w:vAlign w:val="center"/>
            <w:hideMark/>
          </w:tcPr>
          <w:p w14:paraId="2BCF82A0" w14:textId="77777777" w:rsidR="003E558F" w:rsidRPr="003E558F" w:rsidRDefault="003E558F" w:rsidP="00AA4BBB">
            <w:pPr>
              <w:jc w:val="center"/>
              <w:rPr>
                <w:rFonts w:cs="Arial"/>
                <w:sz w:val="20"/>
                <w:szCs w:val="20"/>
              </w:rPr>
            </w:pPr>
            <w:r w:rsidRPr="003E558F">
              <w:rPr>
                <w:rFonts w:cs="Arial"/>
                <w:sz w:val="20"/>
                <w:szCs w:val="20"/>
              </w:rPr>
              <w:t>12.356.849.124</w:t>
            </w:r>
          </w:p>
        </w:tc>
        <w:tc>
          <w:tcPr>
            <w:tcW w:w="0" w:type="auto"/>
            <w:tcMar>
              <w:top w:w="30" w:type="dxa"/>
              <w:left w:w="45" w:type="dxa"/>
              <w:bottom w:w="30" w:type="dxa"/>
              <w:right w:w="45" w:type="dxa"/>
            </w:tcMar>
            <w:vAlign w:val="center"/>
            <w:hideMark/>
          </w:tcPr>
          <w:p w14:paraId="52D300B3" w14:textId="77777777" w:rsidR="003E558F" w:rsidRPr="003E558F" w:rsidRDefault="003E558F" w:rsidP="00AA4BBB">
            <w:pPr>
              <w:jc w:val="center"/>
              <w:rPr>
                <w:rFonts w:cs="Arial"/>
                <w:sz w:val="20"/>
                <w:szCs w:val="20"/>
              </w:rPr>
            </w:pPr>
            <w:r w:rsidRPr="003E558F">
              <w:rPr>
                <w:rFonts w:cs="Arial"/>
                <w:sz w:val="20"/>
                <w:szCs w:val="20"/>
              </w:rPr>
              <w:t>11.446.884.721</w:t>
            </w:r>
          </w:p>
        </w:tc>
        <w:tc>
          <w:tcPr>
            <w:tcW w:w="0" w:type="auto"/>
            <w:tcMar>
              <w:top w:w="30" w:type="dxa"/>
              <w:left w:w="45" w:type="dxa"/>
              <w:bottom w:w="30" w:type="dxa"/>
              <w:right w:w="45" w:type="dxa"/>
            </w:tcMar>
            <w:vAlign w:val="center"/>
            <w:hideMark/>
          </w:tcPr>
          <w:p w14:paraId="03CEC54C" w14:textId="77777777" w:rsidR="003E558F" w:rsidRPr="003E558F" w:rsidRDefault="003E558F" w:rsidP="00AA4BBB">
            <w:pPr>
              <w:jc w:val="center"/>
              <w:rPr>
                <w:rFonts w:cs="Arial"/>
                <w:sz w:val="20"/>
                <w:szCs w:val="20"/>
              </w:rPr>
            </w:pPr>
            <w:r w:rsidRPr="003E558F">
              <w:rPr>
                <w:rFonts w:cs="Arial"/>
                <w:sz w:val="20"/>
                <w:szCs w:val="20"/>
              </w:rPr>
              <w:t>9.616.999.747</w:t>
            </w:r>
          </w:p>
        </w:tc>
        <w:tc>
          <w:tcPr>
            <w:tcW w:w="0" w:type="auto"/>
            <w:vMerge/>
            <w:vAlign w:val="center"/>
            <w:hideMark/>
          </w:tcPr>
          <w:p w14:paraId="2E73A829" w14:textId="77777777" w:rsidR="003E558F" w:rsidRPr="003E558F" w:rsidRDefault="003E558F" w:rsidP="00AA4BBB">
            <w:pPr>
              <w:rPr>
                <w:rFonts w:cs="Arial"/>
                <w:b/>
                <w:bCs/>
                <w:sz w:val="20"/>
                <w:szCs w:val="20"/>
              </w:rPr>
            </w:pPr>
          </w:p>
        </w:tc>
      </w:tr>
      <w:tr w:rsidR="003E558F" w:rsidRPr="003E558F" w14:paraId="7340A75F" w14:textId="77777777" w:rsidTr="003E558F">
        <w:tc>
          <w:tcPr>
            <w:tcW w:w="0" w:type="auto"/>
            <w:vMerge w:val="restart"/>
            <w:tcMar>
              <w:top w:w="30" w:type="dxa"/>
              <w:left w:w="45" w:type="dxa"/>
              <w:bottom w:w="30" w:type="dxa"/>
              <w:right w:w="45" w:type="dxa"/>
            </w:tcMar>
            <w:vAlign w:val="center"/>
            <w:hideMark/>
          </w:tcPr>
          <w:p w14:paraId="766C2E09" w14:textId="77777777" w:rsidR="003E558F" w:rsidRPr="003E558F" w:rsidRDefault="003E558F" w:rsidP="00AA4BBB">
            <w:pPr>
              <w:rPr>
                <w:rFonts w:cs="Arial"/>
                <w:sz w:val="20"/>
                <w:szCs w:val="20"/>
              </w:rPr>
            </w:pPr>
            <w:r w:rsidRPr="003E558F">
              <w:rPr>
                <w:rFonts w:cs="Arial"/>
                <w:sz w:val="20"/>
                <w:szCs w:val="20"/>
              </w:rPr>
              <w:t>Diseñar pilotear e implementar al menos uno (1) de los servicios definidos en el Modelo de Negocio del Campus de Ciencia Tecnología e Innovación de Bogotá</w:t>
            </w:r>
          </w:p>
        </w:tc>
        <w:tc>
          <w:tcPr>
            <w:tcW w:w="0" w:type="auto"/>
            <w:tcMar>
              <w:top w:w="30" w:type="dxa"/>
              <w:left w:w="45" w:type="dxa"/>
              <w:bottom w:w="30" w:type="dxa"/>
              <w:right w:w="45" w:type="dxa"/>
            </w:tcMar>
            <w:vAlign w:val="center"/>
            <w:hideMark/>
          </w:tcPr>
          <w:p w14:paraId="2F2F043C"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tcMar>
              <w:top w:w="30" w:type="dxa"/>
              <w:left w:w="45" w:type="dxa"/>
              <w:bottom w:w="30" w:type="dxa"/>
              <w:right w:w="45" w:type="dxa"/>
            </w:tcMar>
            <w:vAlign w:val="center"/>
            <w:hideMark/>
          </w:tcPr>
          <w:p w14:paraId="39C23A1A"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tcMar>
              <w:top w:w="30" w:type="dxa"/>
              <w:left w:w="45" w:type="dxa"/>
              <w:bottom w:w="30" w:type="dxa"/>
              <w:right w:w="45" w:type="dxa"/>
            </w:tcMar>
            <w:vAlign w:val="center"/>
            <w:hideMark/>
          </w:tcPr>
          <w:p w14:paraId="6B3BDC26"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tcMar>
              <w:top w:w="30" w:type="dxa"/>
              <w:left w:w="45" w:type="dxa"/>
              <w:bottom w:w="30" w:type="dxa"/>
              <w:right w:w="45" w:type="dxa"/>
            </w:tcMar>
            <w:vAlign w:val="center"/>
            <w:hideMark/>
          </w:tcPr>
          <w:p w14:paraId="72797C70"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vMerge w:val="restart"/>
            <w:tcMar>
              <w:top w:w="30" w:type="dxa"/>
              <w:left w:w="45" w:type="dxa"/>
              <w:bottom w:w="30" w:type="dxa"/>
              <w:right w:w="45" w:type="dxa"/>
            </w:tcMar>
            <w:vAlign w:val="center"/>
            <w:hideMark/>
          </w:tcPr>
          <w:p w14:paraId="39A7BE69" w14:textId="77777777" w:rsidR="003E558F" w:rsidRPr="003E558F" w:rsidRDefault="003E558F" w:rsidP="00AA4BBB">
            <w:pPr>
              <w:jc w:val="center"/>
              <w:rPr>
                <w:rFonts w:cs="Arial"/>
                <w:b/>
                <w:bCs/>
                <w:sz w:val="20"/>
                <w:szCs w:val="20"/>
              </w:rPr>
            </w:pPr>
            <w:r w:rsidRPr="003E558F">
              <w:rPr>
                <w:rFonts w:cs="Arial"/>
                <w:b/>
                <w:bCs/>
                <w:sz w:val="20"/>
                <w:szCs w:val="20"/>
              </w:rPr>
              <w:t>5.278.258.369</w:t>
            </w:r>
          </w:p>
        </w:tc>
      </w:tr>
      <w:tr w:rsidR="003E558F" w:rsidRPr="003E558F" w14:paraId="3A7AEF34" w14:textId="77777777" w:rsidTr="003E558F">
        <w:tc>
          <w:tcPr>
            <w:tcW w:w="0" w:type="auto"/>
            <w:vMerge/>
            <w:vAlign w:val="center"/>
            <w:hideMark/>
          </w:tcPr>
          <w:p w14:paraId="1261D090" w14:textId="77777777" w:rsidR="003E558F" w:rsidRPr="003E558F" w:rsidRDefault="003E558F" w:rsidP="00AA4BBB">
            <w:pPr>
              <w:rPr>
                <w:rFonts w:cs="Arial"/>
                <w:sz w:val="20"/>
                <w:szCs w:val="20"/>
              </w:rPr>
            </w:pPr>
          </w:p>
        </w:tc>
        <w:tc>
          <w:tcPr>
            <w:tcW w:w="0" w:type="auto"/>
            <w:tcMar>
              <w:top w:w="30" w:type="dxa"/>
              <w:left w:w="45" w:type="dxa"/>
              <w:bottom w:w="30" w:type="dxa"/>
              <w:right w:w="45" w:type="dxa"/>
            </w:tcMar>
            <w:vAlign w:val="center"/>
            <w:hideMark/>
          </w:tcPr>
          <w:p w14:paraId="4D8AF143" w14:textId="77777777" w:rsidR="003E558F" w:rsidRPr="003E558F" w:rsidRDefault="003E558F" w:rsidP="00AA4BBB">
            <w:pPr>
              <w:jc w:val="center"/>
              <w:rPr>
                <w:rFonts w:cs="Arial"/>
                <w:sz w:val="20"/>
                <w:szCs w:val="20"/>
              </w:rPr>
            </w:pPr>
            <w:r w:rsidRPr="003E558F">
              <w:rPr>
                <w:rFonts w:cs="Arial"/>
                <w:sz w:val="20"/>
                <w:szCs w:val="20"/>
              </w:rPr>
              <w:t>1.558.574.834</w:t>
            </w:r>
          </w:p>
        </w:tc>
        <w:tc>
          <w:tcPr>
            <w:tcW w:w="0" w:type="auto"/>
            <w:tcMar>
              <w:top w:w="30" w:type="dxa"/>
              <w:left w:w="45" w:type="dxa"/>
              <w:bottom w:w="30" w:type="dxa"/>
              <w:right w:w="45" w:type="dxa"/>
            </w:tcMar>
            <w:vAlign w:val="center"/>
            <w:hideMark/>
          </w:tcPr>
          <w:p w14:paraId="66568615" w14:textId="77777777" w:rsidR="003E558F" w:rsidRPr="003E558F" w:rsidRDefault="003E558F" w:rsidP="00AA4BBB">
            <w:pPr>
              <w:jc w:val="center"/>
              <w:rPr>
                <w:rFonts w:cs="Arial"/>
                <w:sz w:val="20"/>
                <w:szCs w:val="20"/>
              </w:rPr>
            </w:pPr>
            <w:r w:rsidRPr="003E558F">
              <w:rPr>
                <w:rFonts w:cs="Arial"/>
                <w:sz w:val="20"/>
                <w:szCs w:val="20"/>
              </w:rPr>
              <w:t>1.487.868.045</w:t>
            </w:r>
          </w:p>
        </w:tc>
        <w:tc>
          <w:tcPr>
            <w:tcW w:w="0" w:type="auto"/>
            <w:tcMar>
              <w:top w:w="30" w:type="dxa"/>
              <w:left w:w="45" w:type="dxa"/>
              <w:bottom w:w="30" w:type="dxa"/>
              <w:right w:w="45" w:type="dxa"/>
            </w:tcMar>
            <w:vAlign w:val="center"/>
            <w:hideMark/>
          </w:tcPr>
          <w:p w14:paraId="2062BF4E" w14:textId="77777777" w:rsidR="003E558F" w:rsidRPr="003E558F" w:rsidRDefault="003E558F" w:rsidP="00AA4BBB">
            <w:pPr>
              <w:jc w:val="center"/>
              <w:rPr>
                <w:rFonts w:cs="Arial"/>
                <w:sz w:val="20"/>
                <w:szCs w:val="20"/>
              </w:rPr>
            </w:pPr>
            <w:r w:rsidRPr="003E558F">
              <w:rPr>
                <w:rFonts w:cs="Arial"/>
                <w:sz w:val="20"/>
                <w:szCs w:val="20"/>
              </w:rPr>
              <w:t>874.456.100</w:t>
            </w:r>
          </w:p>
        </w:tc>
        <w:tc>
          <w:tcPr>
            <w:tcW w:w="0" w:type="auto"/>
            <w:tcMar>
              <w:top w:w="30" w:type="dxa"/>
              <w:left w:w="45" w:type="dxa"/>
              <w:bottom w:w="30" w:type="dxa"/>
              <w:right w:w="45" w:type="dxa"/>
            </w:tcMar>
            <w:vAlign w:val="center"/>
            <w:hideMark/>
          </w:tcPr>
          <w:p w14:paraId="0751C77D" w14:textId="77777777" w:rsidR="003E558F" w:rsidRPr="003E558F" w:rsidRDefault="003E558F" w:rsidP="00AA4BBB">
            <w:pPr>
              <w:jc w:val="center"/>
              <w:rPr>
                <w:rFonts w:cs="Arial"/>
                <w:sz w:val="20"/>
                <w:szCs w:val="20"/>
              </w:rPr>
            </w:pPr>
            <w:r w:rsidRPr="003E558F">
              <w:rPr>
                <w:rFonts w:cs="Arial"/>
                <w:sz w:val="20"/>
                <w:szCs w:val="20"/>
              </w:rPr>
              <w:t>1.357.359.390</w:t>
            </w:r>
          </w:p>
        </w:tc>
        <w:tc>
          <w:tcPr>
            <w:tcW w:w="0" w:type="auto"/>
            <w:vMerge/>
            <w:vAlign w:val="center"/>
            <w:hideMark/>
          </w:tcPr>
          <w:p w14:paraId="675ECA11" w14:textId="77777777" w:rsidR="003E558F" w:rsidRPr="003E558F" w:rsidRDefault="003E558F" w:rsidP="00AA4BBB">
            <w:pPr>
              <w:rPr>
                <w:rFonts w:cs="Arial"/>
                <w:b/>
                <w:bCs/>
                <w:sz w:val="20"/>
                <w:szCs w:val="20"/>
              </w:rPr>
            </w:pPr>
          </w:p>
        </w:tc>
      </w:tr>
      <w:tr w:rsidR="003E558F" w:rsidRPr="003E558F" w14:paraId="0C0E68B9" w14:textId="77777777" w:rsidTr="003E558F">
        <w:tc>
          <w:tcPr>
            <w:tcW w:w="0" w:type="auto"/>
            <w:vMerge w:val="restart"/>
            <w:tcMar>
              <w:top w:w="30" w:type="dxa"/>
              <w:left w:w="45" w:type="dxa"/>
              <w:bottom w:w="30" w:type="dxa"/>
              <w:right w:w="45" w:type="dxa"/>
            </w:tcMar>
            <w:vAlign w:val="center"/>
            <w:hideMark/>
          </w:tcPr>
          <w:p w14:paraId="19376F7D" w14:textId="77777777" w:rsidR="003E558F" w:rsidRPr="003E558F" w:rsidRDefault="003E558F" w:rsidP="00AA4BBB">
            <w:pPr>
              <w:rPr>
                <w:rFonts w:cs="Arial"/>
                <w:sz w:val="20"/>
                <w:szCs w:val="20"/>
              </w:rPr>
            </w:pPr>
            <w:r w:rsidRPr="003E558F">
              <w:rPr>
                <w:rFonts w:cs="Arial"/>
                <w:sz w:val="20"/>
                <w:szCs w:val="20"/>
              </w:rPr>
              <w:t>Realizar 10 productos que aporten a mantener la certificación de Bogotá como Destino Turístico Inteligente</w:t>
            </w:r>
          </w:p>
        </w:tc>
        <w:tc>
          <w:tcPr>
            <w:tcW w:w="0" w:type="auto"/>
            <w:tcMar>
              <w:top w:w="30" w:type="dxa"/>
              <w:left w:w="45" w:type="dxa"/>
              <w:bottom w:w="30" w:type="dxa"/>
              <w:right w:w="45" w:type="dxa"/>
            </w:tcMar>
            <w:vAlign w:val="center"/>
            <w:hideMark/>
          </w:tcPr>
          <w:p w14:paraId="7EBCE0D4" w14:textId="77777777" w:rsidR="003E558F" w:rsidRPr="003E558F" w:rsidRDefault="003E558F" w:rsidP="00AA4BBB">
            <w:pPr>
              <w:jc w:val="center"/>
              <w:rPr>
                <w:rFonts w:cs="Arial"/>
                <w:sz w:val="20"/>
                <w:szCs w:val="20"/>
              </w:rPr>
            </w:pPr>
            <w:r w:rsidRPr="003E558F">
              <w:rPr>
                <w:rFonts w:cs="Arial"/>
                <w:sz w:val="20"/>
                <w:szCs w:val="20"/>
              </w:rPr>
              <w:t>2</w:t>
            </w:r>
          </w:p>
        </w:tc>
        <w:tc>
          <w:tcPr>
            <w:tcW w:w="0" w:type="auto"/>
            <w:tcMar>
              <w:top w:w="30" w:type="dxa"/>
              <w:left w:w="45" w:type="dxa"/>
              <w:bottom w:w="30" w:type="dxa"/>
              <w:right w:w="45" w:type="dxa"/>
            </w:tcMar>
            <w:vAlign w:val="center"/>
            <w:hideMark/>
          </w:tcPr>
          <w:p w14:paraId="2F0A1DBA" w14:textId="77777777" w:rsidR="003E558F" w:rsidRPr="003E558F" w:rsidRDefault="003E558F" w:rsidP="00AA4BBB">
            <w:pPr>
              <w:jc w:val="center"/>
              <w:rPr>
                <w:rFonts w:cs="Arial"/>
                <w:sz w:val="20"/>
                <w:szCs w:val="20"/>
              </w:rPr>
            </w:pPr>
            <w:r w:rsidRPr="003E558F">
              <w:rPr>
                <w:rFonts w:cs="Arial"/>
                <w:sz w:val="20"/>
                <w:szCs w:val="20"/>
              </w:rPr>
              <w:t>2</w:t>
            </w:r>
          </w:p>
        </w:tc>
        <w:tc>
          <w:tcPr>
            <w:tcW w:w="0" w:type="auto"/>
            <w:tcMar>
              <w:top w:w="30" w:type="dxa"/>
              <w:left w:w="45" w:type="dxa"/>
              <w:bottom w:w="30" w:type="dxa"/>
              <w:right w:w="45" w:type="dxa"/>
            </w:tcMar>
            <w:vAlign w:val="center"/>
            <w:hideMark/>
          </w:tcPr>
          <w:p w14:paraId="32233406" w14:textId="77777777" w:rsidR="003E558F" w:rsidRPr="003E558F" w:rsidRDefault="003E558F" w:rsidP="00AA4BBB">
            <w:pPr>
              <w:jc w:val="center"/>
              <w:rPr>
                <w:rFonts w:cs="Arial"/>
                <w:sz w:val="20"/>
                <w:szCs w:val="20"/>
              </w:rPr>
            </w:pPr>
            <w:r w:rsidRPr="003E558F">
              <w:rPr>
                <w:rFonts w:cs="Arial"/>
                <w:sz w:val="20"/>
                <w:szCs w:val="20"/>
              </w:rPr>
              <w:t>3</w:t>
            </w:r>
          </w:p>
        </w:tc>
        <w:tc>
          <w:tcPr>
            <w:tcW w:w="0" w:type="auto"/>
            <w:tcMar>
              <w:top w:w="30" w:type="dxa"/>
              <w:left w:w="45" w:type="dxa"/>
              <w:bottom w:w="30" w:type="dxa"/>
              <w:right w:w="45" w:type="dxa"/>
            </w:tcMar>
            <w:vAlign w:val="center"/>
            <w:hideMark/>
          </w:tcPr>
          <w:p w14:paraId="0B8FA0A7" w14:textId="77777777" w:rsidR="003E558F" w:rsidRPr="003E558F" w:rsidRDefault="003E558F" w:rsidP="00AA4BBB">
            <w:pPr>
              <w:jc w:val="center"/>
              <w:rPr>
                <w:rFonts w:cs="Arial"/>
                <w:sz w:val="20"/>
                <w:szCs w:val="20"/>
              </w:rPr>
            </w:pPr>
            <w:r w:rsidRPr="003E558F">
              <w:rPr>
                <w:rFonts w:cs="Arial"/>
                <w:sz w:val="20"/>
                <w:szCs w:val="20"/>
              </w:rPr>
              <w:t>3</w:t>
            </w:r>
          </w:p>
        </w:tc>
        <w:tc>
          <w:tcPr>
            <w:tcW w:w="0" w:type="auto"/>
            <w:vMerge w:val="restart"/>
            <w:tcMar>
              <w:top w:w="30" w:type="dxa"/>
              <w:left w:w="45" w:type="dxa"/>
              <w:bottom w:w="30" w:type="dxa"/>
              <w:right w:w="45" w:type="dxa"/>
            </w:tcMar>
            <w:vAlign w:val="center"/>
            <w:hideMark/>
          </w:tcPr>
          <w:p w14:paraId="2012CB4F" w14:textId="77777777" w:rsidR="003E558F" w:rsidRPr="003E558F" w:rsidRDefault="003E558F" w:rsidP="00AA4BBB">
            <w:pPr>
              <w:jc w:val="center"/>
              <w:rPr>
                <w:rFonts w:cs="Arial"/>
                <w:b/>
                <w:bCs/>
                <w:sz w:val="20"/>
                <w:szCs w:val="20"/>
              </w:rPr>
            </w:pPr>
            <w:r w:rsidRPr="003E558F">
              <w:rPr>
                <w:rFonts w:cs="Arial"/>
                <w:b/>
                <w:bCs/>
                <w:sz w:val="20"/>
                <w:szCs w:val="20"/>
              </w:rPr>
              <w:t>9.486.670.047</w:t>
            </w:r>
          </w:p>
        </w:tc>
      </w:tr>
      <w:tr w:rsidR="003E558F" w:rsidRPr="003E558F" w14:paraId="7BF871B8" w14:textId="77777777" w:rsidTr="003E558F">
        <w:tc>
          <w:tcPr>
            <w:tcW w:w="0" w:type="auto"/>
            <w:vMerge/>
            <w:vAlign w:val="center"/>
            <w:hideMark/>
          </w:tcPr>
          <w:p w14:paraId="1FD43E93" w14:textId="77777777" w:rsidR="003E558F" w:rsidRPr="003E558F" w:rsidRDefault="003E558F" w:rsidP="00AA4BBB">
            <w:pPr>
              <w:rPr>
                <w:rFonts w:cs="Arial"/>
                <w:sz w:val="20"/>
                <w:szCs w:val="20"/>
              </w:rPr>
            </w:pPr>
          </w:p>
        </w:tc>
        <w:tc>
          <w:tcPr>
            <w:tcW w:w="0" w:type="auto"/>
            <w:tcMar>
              <w:top w:w="30" w:type="dxa"/>
              <w:left w:w="45" w:type="dxa"/>
              <w:bottom w:w="30" w:type="dxa"/>
              <w:right w:w="45" w:type="dxa"/>
            </w:tcMar>
            <w:vAlign w:val="center"/>
            <w:hideMark/>
          </w:tcPr>
          <w:p w14:paraId="2C715E2D" w14:textId="77777777" w:rsidR="003E558F" w:rsidRPr="003E558F" w:rsidRDefault="003E558F" w:rsidP="00AA4BBB">
            <w:pPr>
              <w:jc w:val="center"/>
              <w:rPr>
                <w:rFonts w:cs="Arial"/>
                <w:sz w:val="20"/>
                <w:szCs w:val="20"/>
              </w:rPr>
            </w:pPr>
            <w:r w:rsidRPr="003E558F">
              <w:rPr>
                <w:rFonts w:cs="Arial"/>
                <w:sz w:val="20"/>
                <w:szCs w:val="20"/>
              </w:rPr>
              <w:t>1.500.000.000</w:t>
            </w:r>
          </w:p>
        </w:tc>
        <w:tc>
          <w:tcPr>
            <w:tcW w:w="0" w:type="auto"/>
            <w:tcMar>
              <w:top w:w="30" w:type="dxa"/>
              <w:left w:w="45" w:type="dxa"/>
              <w:bottom w:w="30" w:type="dxa"/>
              <w:right w:w="45" w:type="dxa"/>
            </w:tcMar>
            <w:vAlign w:val="center"/>
            <w:hideMark/>
          </w:tcPr>
          <w:p w14:paraId="1436B6D9" w14:textId="77777777" w:rsidR="003E558F" w:rsidRPr="003E558F" w:rsidRDefault="003E558F" w:rsidP="00AA4BBB">
            <w:pPr>
              <w:jc w:val="center"/>
              <w:rPr>
                <w:rFonts w:cs="Arial"/>
                <w:sz w:val="20"/>
                <w:szCs w:val="20"/>
              </w:rPr>
            </w:pPr>
            <w:r w:rsidRPr="003E558F">
              <w:rPr>
                <w:rFonts w:cs="Arial"/>
                <w:sz w:val="20"/>
                <w:szCs w:val="20"/>
              </w:rPr>
              <w:t>2.427.184.466</w:t>
            </w:r>
          </w:p>
        </w:tc>
        <w:tc>
          <w:tcPr>
            <w:tcW w:w="0" w:type="auto"/>
            <w:tcMar>
              <w:top w:w="30" w:type="dxa"/>
              <w:left w:w="45" w:type="dxa"/>
              <w:bottom w:w="30" w:type="dxa"/>
              <w:right w:w="45" w:type="dxa"/>
            </w:tcMar>
            <w:vAlign w:val="center"/>
            <w:hideMark/>
          </w:tcPr>
          <w:p w14:paraId="121155C9" w14:textId="77777777" w:rsidR="003E558F" w:rsidRPr="003E558F" w:rsidRDefault="003E558F" w:rsidP="00AA4BBB">
            <w:pPr>
              <w:jc w:val="center"/>
              <w:rPr>
                <w:rFonts w:cs="Arial"/>
                <w:sz w:val="20"/>
                <w:szCs w:val="20"/>
              </w:rPr>
            </w:pPr>
            <w:r w:rsidRPr="003E558F">
              <w:rPr>
                <w:rFonts w:cs="Arial"/>
                <w:sz w:val="20"/>
                <w:szCs w:val="20"/>
              </w:rPr>
              <w:t>2.356.489.773</w:t>
            </w:r>
          </w:p>
        </w:tc>
        <w:tc>
          <w:tcPr>
            <w:tcW w:w="0" w:type="auto"/>
            <w:tcMar>
              <w:top w:w="30" w:type="dxa"/>
              <w:left w:w="45" w:type="dxa"/>
              <w:bottom w:w="30" w:type="dxa"/>
              <w:right w:w="45" w:type="dxa"/>
            </w:tcMar>
            <w:vAlign w:val="center"/>
            <w:hideMark/>
          </w:tcPr>
          <w:p w14:paraId="3E14C747" w14:textId="77777777" w:rsidR="003E558F" w:rsidRPr="003E558F" w:rsidRDefault="003E558F" w:rsidP="00AA4BBB">
            <w:pPr>
              <w:jc w:val="center"/>
              <w:rPr>
                <w:rFonts w:cs="Arial"/>
                <w:sz w:val="20"/>
                <w:szCs w:val="20"/>
              </w:rPr>
            </w:pPr>
            <w:r w:rsidRPr="003E558F">
              <w:rPr>
                <w:rFonts w:cs="Arial"/>
                <w:sz w:val="20"/>
                <w:szCs w:val="20"/>
              </w:rPr>
              <w:t>3.202.995.808</w:t>
            </w:r>
          </w:p>
        </w:tc>
        <w:tc>
          <w:tcPr>
            <w:tcW w:w="0" w:type="auto"/>
            <w:vMerge/>
            <w:vAlign w:val="center"/>
            <w:hideMark/>
          </w:tcPr>
          <w:p w14:paraId="3E2DBEAB" w14:textId="77777777" w:rsidR="003E558F" w:rsidRPr="003E558F" w:rsidRDefault="003E558F" w:rsidP="00AA4BBB">
            <w:pPr>
              <w:rPr>
                <w:rFonts w:cs="Arial"/>
                <w:b/>
                <w:bCs/>
                <w:sz w:val="20"/>
                <w:szCs w:val="20"/>
              </w:rPr>
            </w:pPr>
          </w:p>
        </w:tc>
      </w:tr>
      <w:tr w:rsidR="003E558F" w:rsidRPr="003E558F" w14:paraId="10B10BCD" w14:textId="77777777" w:rsidTr="003E558F">
        <w:tc>
          <w:tcPr>
            <w:tcW w:w="0" w:type="auto"/>
            <w:gridSpan w:val="6"/>
            <w:shd w:val="clear" w:color="auto" w:fill="C00000"/>
            <w:tcMar>
              <w:top w:w="30" w:type="dxa"/>
              <w:left w:w="45" w:type="dxa"/>
              <w:bottom w:w="30" w:type="dxa"/>
              <w:right w:w="45" w:type="dxa"/>
            </w:tcMar>
            <w:vAlign w:val="center"/>
            <w:hideMark/>
          </w:tcPr>
          <w:p w14:paraId="052FAA9D" w14:textId="7A3E8322" w:rsidR="003E558F" w:rsidRPr="003E558F" w:rsidRDefault="003E558F" w:rsidP="003E558F">
            <w:pPr>
              <w:jc w:val="center"/>
              <w:rPr>
                <w:rFonts w:cs="Arial"/>
                <w:b/>
                <w:bCs/>
                <w:color w:val="FFFFFF" w:themeColor="background1"/>
                <w:sz w:val="20"/>
                <w:szCs w:val="20"/>
              </w:rPr>
            </w:pPr>
            <w:r w:rsidRPr="003E558F">
              <w:rPr>
                <w:rFonts w:cs="Arial"/>
                <w:b/>
                <w:bCs/>
                <w:color w:val="FFFFFF" w:themeColor="background1"/>
                <w:sz w:val="20"/>
                <w:szCs w:val="20"/>
              </w:rPr>
              <w:t>Educación</w:t>
            </w:r>
          </w:p>
        </w:tc>
      </w:tr>
      <w:tr w:rsidR="003E558F" w:rsidRPr="003E558F" w14:paraId="6D4C4509" w14:textId="77777777" w:rsidTr="003E558F">
        <w:tc>
          <w:tcPr>
            <w:tcW w:w="0" w:type="auto"/>
            <w:vMerge w:val="restart"/>
            <w:tcMar>
              <w:top w:w="30" w:type="dxa"/>
              <w:left w:w="45" w:type="dxa"/>
              <w:bottom w:w="30" w:type="dxa"/>
              <w:right w:w="45" w:type="dxa"/>
            </w:tcMar>
            <w:vAlign w:val="center"/>
            <w:hideMark/>
          </w:tcPr>
          <w:p w14:paraId="731E64E0" w14:textId="77777777" w:rsidR="003E558F" w:rsidRPr="003E558F" w:rsidRDefault="003E558F" w:rsidP="00AA4BBB">
            <w:pPr>
              <w:rPr>
                <w:rFonts w:cs="Arial"/>
                <w:sz w:val="20"/>
                <w:szCs w:val="20"/>
              </w:rPr>
            </w:pPr>
            <w:r w:rsidRPr="003E558F">
              <w:rPr>
                <w:rFonts w:cs="Arial"/>
                <w:sz w:val="20"/>
                <w:szCs w:val="20"/>
              </w:rPr>
              <w:t>Realizar 5 convocatorias de Ciencia tecnología e innovación para promover investigación de sectores priorizados</w:t>
            </w:r>
          </w:p>
        </w:tc>
        <w:tc>
          <w:tcPr>
            <w:tcW w:w="0" w:type="auto"/>
            <w:tcMar>
              <w:top w:w="30" w:type="dxa"/>
              <w:left w:w="45" w:type="dxa"/>
              <w:bottom w:w="30" w:type="dxa"/>
              <w:right w:w="45" w:type="dxa"/>
            </w:tcMar>
            <w:vAlign w:val="center"/>
            <w:hideMark/>
          </w:tcPr>
          <w:p w14:paraId="7010E86C"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tcMar>
              <w:top w:w="30" w:type="dxa"/>
              <w:left w:w="45" w:type="dxa"/>
              <w:bottom w:w="30" w:type="dxa"/>
              <w:right w:w="45" w:type="dxa"/>
            </w:tcMar>
            <w:vAlign w:val="center"/>
            <w:hideMark/>
          </w:tcPr>
          <w:p w14:paraId="53B16B99"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tcMar>
              <w:top w:w="30" w:type="dxa"/>
              <w:left w:w="45" w:type="dxa"/>
              <w:bottom w:w="30" w:type="dxa"/>
              <w:right w:w="45" w:type="dxa"/>
            </w:tcMar>
            <w:vAlign w:val="center"/>
            <w:hideMark/>
          </w:tcPr>
          <w:p w14:paraId="5879A9DE" w14:textId="77777777" w:rsidR="003E558F" w:rsidRPr="003E558F" w:rsidRDefault="003E558F" w:rsidP="00AA4BBB">
            <w:pPr>
              <w:jc w:val="center"/>
              <w:rPr>
                <w:rFonts w:cs="Arial"/>
                <w:sz w:val="20"/>
                <w:szCs w:val="20"/>
              </w:rPr>
            </w:pPr>
            <w:r w:rsidRPr="003E558F">
              <w:rPr>
                <w:rFonts w:cs="Arial"/>
                <w:sz w:val="20"/>
                <w:szCs w:val="20"/>
              </w:rPr>
              <w:t>1</w:t>
            </w:r>
          </w:p>
        </w:tc>
        <w:tc>
          <w:tcPr>
            <w:tcW w:w="0" w:type="auto"/>
            <w:tcMar>
              <w:top w:w="30" w:type="dxa"/>
              <w:left w:w="45" w:type="dxa"/>
              <w:bottom w:w="30" w:type="dxa"/>
              <w:right w:w="45" w:type="dxa"/>
            </w:tcMar>
            <w:vAlign w:val="center"/>
            <w:hideMark/>
          </w:tcPr>
          <w:p w14:paraId="4E7688F5" w14:textId="77777777" w:rsidR="003E558F" w:rsidRPr="003E558F" w:rsidRDefault="003E558F" w:rsidP="00AA4BBB">
            <w:pPr>
              <w:jc w:val="center"/>
              <w:rPr>
                <w:rFonts w:cs="Arial"/>
                <w:sz w:val="20"/>
                <w:szCs w:val="20"/>
              </w:rPr>
            </w:pPr>
            <w:r w:rsidRPr="003E558F">
              <w:rPr>
                <w:rFonts w:cs="Arial"/>
                <w:sz w:val="20"/>
                <w:szCs w:val="20"/>
              </w:rPr>
              <w:t>2</w:t>
            </w:r>
          </w:p>
        </w:tc>
        <w:tc>
          <w:tcPr>
            <w:tcW w:w="0" w:type="auto"/>
            <w:vMerge w:val="restart"/>
            <w:tcMar>
              <w:top w:w="30" w:type="dxa"/>
              <w:left w:w="45" w:type="dxa"/>
              <w:bottom w:w="30" w:type="dxa"/>
              <w:right w:w="45" w:type="dxa"/>
            </w:tcMar>
            <w:vAlign w:val="center"/>
            <w:hideMark/>
          </w:tcPr>
          <w:p w14:paraId="3470FAA4" w14:textId="77777777" w:rsidR="003E558F" w:rsidRPr="003E558F" w:rsidRDefault="003E558F" w:rsidP="00AA4BBB">
            <w:pPr>
              <w:jc w:val="center"/>
              <w:rPr>
                <w:rFonts w:cs="Arial"/>
                <w:b/>
                <w:bCs/>
                <w:sz w:val="20"/>
                <w:szCs w:val="20"/>
              </w:rPr>
            </w:pPr>
            <w:r w:rsidRPr="003E558F">
              <w:rPr>
                <w:rFonts w:cs="Arial"/>
                <w:b/>
                <w:bCs/>
                <w:sz w:val="20"/>
                <w:szCs w:val="20"/>
              </w:rPr>
              <w:t>28.359.573.558</w:t>
            </w:r>
          </w:p>
        </w:tc>
      </w:tr>
      <w:tr w:rsidR="003E558F" w:rsidRPr="003E558F" w14:paraId="77415252" w14:textId="77777777" w:rsidTr="003E558F">
        <w:tc>
          <w:tcPr>
            <w:tcW w:w="0" w:type="auto"/>
            <w:vMerge/>
            <w:vAlign w:val="center"/>
            <w:hideMark/>
          </w:tcPr>
          <w:p w14:paraId="220153D8" w14:textId="77777777" w:rsidR="003E558F" w:rsidRPr="003E558F" w:rsidRDefault="003E558F" w:rsidP="00AA4BBB">
            <w:pPr>
              <w:rPr>
                <w:rFonts w:cs="Arial"/>
                <w:sz w:val="20"/>
                <w:szCs w:val="20"/>
              </w:rPr>
            </w:pPr>
          </w:p>
        </w:tc>
        <w:tc>
          <w:tcPr>
            <w:tcW w:w="0" w:type="auto"/>
            <w:tcMar>
              <w:top w:w="30" w:type="dxa"/>
              <w:left w:w="45" w:type="dxa"/>
              <w:bottom w:w="30" w:type="dxa"/>
              <w:right w:w="45" w:type="dxa"/>
            </w:tcMar>
            <w:vAlign w:val="center"/>
            <w:hideMark/>
          </w:tcPr>
          <w:p w14:paraId="27FA5CC3" w14:textId="77777777" w:rsidR="003E558F" w:rsidRPr="003E558F" w:rsidRDefault="003E558F" w:rsidP="00AA4BBB">
            <w:pPr>
              <w:jc w:val="center"/>
              <w:rPr>
                <w:rFonts w:cs="Arial"/>
                <w:sz w:val="20"/>
                <w:szCs w:val="20"/>
              </w:rPr>
            </w:pPr>
            <w:r w:rsidRPr="003E558F">
              <w:rPr>
                <w:rFonts w:cs="Arial"/>
                <w:sz w:val="20"/>
                <w:szCs w:val="20"/>
              </w:rPr>
              <w:t>3.986.000.915</w:t>
            </w:r>
          </w:p>
        </w:tc>
        <w:tc>
          <w:tcPr>
            <w:tcW w:w="0" w:type="auto"/>
            <w:tcMar>
              <w:top w:w="30" w:type="dxa"/>
              <w:left w:w="45" w:type="dxa"/>
              <w:bottom w:w="30" w:type="dxa"/>
              <w:right w:w="45" w:type="dxa"/>
            </w:tcMar>
            <w:vAlign w:val="center"/>
            <w:hideMark/>
          </w:tcPr>
          <w:p w14:paraId="4AC56FC5" w14:textId="77777777" w:rsidR="003E558F" w:rsidRPr="003E558F" w:rsidRDefault="003E558F" w:rsidP="00AA4BBB">
            <w:pPr>
              <w:jc w:val="center"/>
              <w:rPr>
                <w:rFonts w:cs="Arial"/>
                <w:sz w:val="20"/>
                <w:szCs w:val="20"/>
              </w:rPr>
            </w:pPr>
            <w:r w:rsidRPr="003E558F">
              <w:rPr>
                <w:rFonts w:cs="Arial"/>
                <w:sz w:val="20"/>
                <w:szCs w:val="20"/>
              </w:rPr>
              <w:t>7.739.807.602</w:t>
            </w:r>
          </w:p>
        </w:tc>
        <w:tc>
          <w:tcPr>
            <w:tcW w:w="0" w:type="auto"/>
            <w:tcMar>
              <w:top w:w="30" w:type="dxa"/>
              <w:left w:w="45" w:type="dxa"/>
              <w:bottom w:w="30" w:type="dxa"/>
              <w:right w:w="45" w:type="dxa"/>
            </w:tcMar>
            <w:vAlign w:val="center"/>
            <w:hideMark/>
          </w:tcPr>
          <w:p w14:paraId="135DA49F" w14:textId="77777777" w:rsidR="003E558F" w:rsidRPr="003E558F" w:rsidRDefault="003E558F" w:rsidP="00AA4BBB">
            <w:pPr>
              <w:jc w:val="center"/>
              <w:rPr>
                <w:rFonts w:cs="Arial"/>
                <w:sz w:val="20"/>
                <w:szCs w:val="20"/>
              </w:rPr>
            </w:pPr>
            <w:r w:rsidRPr="003E558F">
              <w:rPr>
                <w:rFonts w:cs="Arial"/>
                <w:sz w:val="20"/>
                <w:szCs w:val="20"/>
              </w:rPr>
              <w:t>7.514.376.313</w:t>
            </w:r>
          </w:p>
        </w:tc>
        <w:tc>
          <w:tcPr>
            <w:tcW w:w="0" w:type="auto"/>
            <w:tcMar>
              <w:top w:w="30" w:type="dxa"/>
              <w:left w:w="45" w:type="dxa"/>
              <w:bottom w:w="30" w:type="dxa"/>
              <w:right w:w="45" w:type="dxa"/>
            </w:tcMar>
            <w:vAlign w:val="center"/>
            <w:hideMark/>
          </w:tcPr>
          <w:p w14:paraId="0A812941" w14:textId="77777777" w:rsidR="003E558F" w:rsidRPr="003E558F" w:rsidRDefault="003E558F" w:rsidP="00AA4BBB">
            <w:pPr>
              <w:jc w:val="center"/>
              <w:rPr>
                <w:rFonts w:cs="Arial"/>
                <w:sz w:val="20"/>
                <w:szCs w:val="20"/>
              </w:rPr>
            </w:pPr>
            <w:r w:rsidRPr="003E558F">
              <w:rPr>
                <w:rFonts w:cs="Arial"/>
                <w:sz w:val="20"/>
                <w:szCs w:val="20"/>
              </w:rPr>
              <w:t>9.119.388.728</w:t>
            </w:r>
          </w:p>
        </w:tc>
        <w:tc>
          <w:tcPr>
            <w:tcW w:w="0" w:type="auto"/>
            <w:vMerge/>
            <w:vAlign w:val="center"/>
            <w:hideMark/>
          </w:tcPr>
          <w:p w14:paraId="18184CA7" w14:textId="77777777" w:rsidR="003E558F" w:rsidRPr="003E558F" w:rsidRDefault="003E558F" w:rsidP="00AA4BBB">
            <w:pPr>
              <w:rPr>
                <w:rFonts w:cs="Arial"/>
                <w:b/>
                <w:bCs/>
                <w:sz w:val="20"/>
                <w:szCs w:val="20"/>
              </w:rPr>
            </w:pPr>
          </w:p>
        </w:tc>
      </w:tr>
      <w:tr w:rsidR="003E558F" w:rsidRPr="003E558F" w14:paraId="3B4E6894" w14:textId="77777777" w:rsidTr="003E558F">
        <w:tc>
          <w:tcPr>
            <w:tcW w:w="0" w:type="auto"/>
            <w:gridSpan w:val="6"/>
            <w:shd w:val="clear" w:color="auto" w:fill="C00000"/>
            <w:tcMar>
              <w:top w:w="30" w:type="dxa"/>
              <w:left w:w="45" w:type="dxa"/>
              <w:bottom w:w="30" w:type="dxa"/>
              <w:right w:w="45" w:type="dxa"/>
            </w:tcMar>
            <w:vAlign w:val="center"/>
            <w:hideMark/>
          </w:tcPr>
          <w:p w14:paraId="200001B6" w14:textId="7DE5B9C7" w:rsidR="003E558F" w:rsidRPr="003E558F" w:rsidRDefault="003E558F" w:rsidP="003E558F">
            <w:pPr>
              <w:jc w:val="center"/>
              <w:rPr>
                <w:rFonts w:cs="Arial"/>
                <w:b/>
                <w:bCs/>
                <w:sz w:val="20"/>
                <w:szCs w:val="20"/>
              </w:rPr>
            </w:pPr>
            <w:r w:rsidRPr="003E558F">
              <w:rPr>
                <w:rFonts w:cs="Arial"/>
                <w:b/>
                <w:bCs/>
                <w:color w:val="FFFFFF" w:themeColor="background1"/>
                <w:sz w:val="20"/>
                <w:szCs w:val="20"/>
              </w:rPr>
              <w:lastRenderedPageBreak/>
              <w:t>Mujer</w:t>
            </w:r>
          </w:p>
        </w:tc>
      </w:tr>
      <w:tr w:rsidR="003E558F" w:rsidRPr="003E558F" w14:paraId="66C84D6B" w14:textId="77777777" w:rsidTr="003E558F">
        <w:tc>
          <w:tcPr>
            <w:tcW w:w="0" w:type="auto"/>
            <w:vMerge w:val="restart"/>
            <w:tcMar>
              <w:top w:w="30" w:type="dxa"/>
              <w:left w:w="45" w:type="dxa"/>
              <w:bottom w:w="30" w:type="dxa"/>
              <w:right w:w="45" w:type="dxa"/>
            </w:tcMar>
            <w:vAlign w:val="center"/>
            <w:hideMark/>
          </w:tcPr>
          <w:p w14:paraId="4A0EB7DA" w14:textId="77777777" w:rsidR="003E558F" w:rsidRPr="003E558F" w:rsidRDefault="003E558F" w:rsidP="00AA4BBB">
            <w:pPr>
              <w:rPr>
                <w:rFonts w:cs="Arial"/>
                <w:sz w:val="20"/>
                <w:szCs w:val="20"/>
              </w:rPr>
            </w:pPr>
            <w:r w:rsidRPr="003E558F">
              <w:rPr>
                <w:rFonts w:cs="Arial"/>
                <w:sz w:val="20"/>
                <w:szCs w:val="20"/>
              </w:rPr>
              <w:t>Mantener en 16 la producción de estudios y/o investigaciones del Observatorio de Mujeres y Equidad de Género - OMEG que den cuenta de la situación de derechos de las mujeres con datos diversificados para la toma de decisiones.</w:t>
            </w:r>
          </w:p>
        </w:tc>
        <w:tc>
          <w:tcPr>
            <w:tcW w:w="0" w:type="auto"/>
            <w:tcMar>
              <w:top w:w="30" w:type="dxa"/>
              <w:left w:w="45" w:type="dxa"/>
              <w:bottom w:w="30" w:type="dxa"/>
              <w:right w:w="45" w:type="dxa"/>
            </w:tcMar>
            <w:vAlign w:val="center"/>
            <w:hideMark/>
          </w:tcPr>
          <w:p w14:paraId="31B007FA" w14:textId="77777777" w:rsidR="003E558F" w:rsidRPr="003E558F" w:rsidRDefault="003E558F" w:rsidP="00AA4BBB">
            <w:pPr>
              <w:jc w:val="center"/>
              <w:rPr>
                <w:rFonts w:cs="Arial"/>
                <w:sz w:val="20"/>
                <w:szCs w:val="20"/>
              </w:rPr>
            </w:pPr>
            <w:r w:rsidRPr="003E558F">
              <w:rPr>
                <w:rFonts w:cs="Arial"/>
                <w:sz w:val="20"/>
                <w:szCs w:val="20"/>
              </w:rPr>
              <w:t>2</w:t>
            </w:r>
          </w:p>
        </w:tc>
        <w:tc>
          <w:tcPr>
            <w:tcW w:w="0" w:type="auto"/>
            <w:tcMar>
              <w:top w:w="30" w:type="dxa"/>
              <w:left w:w="45" w:type="dxa"/>
              <w:bottom w:w="30" w:type="dxa"/>
              <w:right w:w="45" w:type="dxa"/>
            </w:tcMar>
            <w:vAlign w:val="center"/>
            <w:hideMark/>
          </w:tcPr>
          <w:p w14:paraId="492EDD3C" w14:textId="77777777" w:rsidR="003E558F" w:rsidRPr="003E558F" w:rsidRDefault="003E558F" w:rsidP="00AA4BBB">
            <w:pPr>
              <w:jc w:val="center"/>
              <w:rPr>
                <w:rFonts w:cs="Arial"/>
                <w:sz w:val="20"/>
                <w:szCs w:val="20"/>
              </w:rPr>
            </w:pPr>
            <w:r w:rsidRPr="003E558F">
              <w:rPr>
                <w:rFonts w:cs="Arial"/>
                <w:sz w:val="20"/>
                <w:szCs w:val="20"/>
              </w:rPr>
              <w:t>4</w:t>
            </w:r>
          </w:p>
        </w:tc>
        <w:tc>
          <w:tcPr>
            <w:tcW w:w="0" w:type="auto"/>
            <w:tcMar>
              <w:top w:w="30" w:type="dxa"/>
              <w:left w:w="45" w:type="dxa"/>
              <w:bottom w:w="30" w:type="dxa"/>
              <w:right w:w="45" w:type="dxa"/>
            </w:tcMar>
            <w:vAlign w:val="center"/>
            <w:hideMark/>
          </w:tcPr>
          <w:p w14:paraId="25EA115A" w14:textId="77777777" w:rsidR="003E558F" w:rsidRPr="003E558F" w:rsidRDefault="003E558F" w:rsidP="00AA4BBB">
            <w:pPr>
              <w:jc w:val="center"/>
              <w:rPr>
                <w:rFonts w:cs="Arial"/>
                <w:sz w:val="20"/>
                <w:szCs w:val="20"/>
              </w:rPr>
            </w:pPr>
            <w:r w:rsidRPr="003E558F">
              <w:rPr>
                <w:rFonts w:cs="Arial"/>
                <w:sz w:val="20"/>
                <w:szCs w:val="20"/>
              </w:rPr>
              <w:t>5</w:t>
            </w:r>
          </w:p>
        </w:tc>
        <w:tc>
          <w:tcPr>
            <w:tcW w:w="0" w:type="auto"/>
            <w:tcMar>
              <w:top w:w="30" w:type="dxa"/>
              <w:left w:w="45" w:type="dxa"/>
              <w:bottom w:w="30" w:type="dxa"/>
              <w:right w:w="45" w:type="dxa"/>
            </w:tcMar>
            <w:vAlign w:val="center"/>
            <w:hideMark/>
          </w:tcPr>
          <w:p w14:paraId="1FA87945" w14:textId="77777777" w:rsidR="003E558F" w:rsidRPr="003E558F" w:rsidRDefault="003E558F" w:rsidP="00AA4BBB">
            <w:pPr>
              <w:jc w:val="center"/>
              <w:rPr>
                <w:rFonts w:cs="Arial"/>
                <w:sz w:val="20"/>
                <w:szCs w:val="20"/>
              </w:rPr>
            </w:pPr>
            <w:r w:rsidRPr="003E558F">
              <w:rPr>
                <w:rFonts w:cs="Arial"/>
                <w:sz w:val="20"/>
                <w:szCs w:val="20"/>
              </w:rPr>
              <w:t>5</w:t>
            </w:r>
          </w:p>
        </w:tc>
        <w:tc>
          <w:tcPr>
            <w:tcW w:w="0" w:type="auto"/>
            <w:vMerge w:val="restart"/>
            <w:tcMar>
              <w:top w:w="30" w:type="dxa"/>
              <w:left w:w="45" w:type="dxa"/>
              <w:bottom w:w="30" w:type="dxa"/>
              <w:right w:w="45" w:type="dxa"/>
            </w:tcMar>
            <w:vAlign w:val="center"/>
            <w:hideMark/>
          </w:tcPr>
          <w:p w14:paraId="1D412229" w14:textId="77777777" w:rsidR="003E558F" w:rsidRPr="003E558F" w:rsidRDefault="003E558F" w:rsidP="00AA4BBB">
            <w:pPr>
              <w:jc w:val="center"/>
              <w:rPr>
                <w:rFonts w:cs="Arial"/>
                <w:b/>
                <w:bCs/>
                <w:sz w:val="20"/>
                <w:szCs w:val="20"/>
              </w:rPr>
            </w:pPr>
            <w:r w:rsidRPr="003E558F">
              <w:rPr>
                <w:rFonts w:cs="Arial"/>
                <w:b/>
                <w:bCs/>
                <w:sz w:val="20"/>
                <w:szCs w:val="20"/>
              </w:rPr>
              <w:t>14.796.945.183</w:t>
            </w:r>
          </w:p>
        </w:tc>
      </w:tr>
      <w:tr w:rsidR="003E558F" w:rsidRPr="003E558F" w14:paraId="4F827997" w14:textId="77777777" w:rsidTr="003E558F">
        <w:tc>
          <w:tcPr>
            <w:tcW w:w="0" w:type="auto"/>
            <w:vMerge/>
            <w:vAlign w:val="center"/>
            <w:hideMark/>
          </w:tcPr>
          <w:p w14:paraId="2D4EE980" w14:textId="77777777" w:rsidR="003E558F" w:rsidRPr="003E558F" w:rsidRDefault="003E558F" w:rsidP="00AA4BBB">
            <w:pPr>
              <w:rPr>
                <w:rFonts w:cs="Arial"/>
                <w:sz w:val="20"/>
                <w:szCs w:val="20"/>
              </w:rPr>
            </w:pPr>
          </w:p>
        </w:tc>
        <w:tc>
          <w:tcPr>
            <w:tcW w:w="0" w:type="auto"/>
            <w:tcMar>
              <w:top w:w="30" w:type="dxa"/>
              <w:left w:w="45" w:type="dxa"/>
              <w:bottom w:w="30" w:type="dxa"/>
              <w:right w:w="45" w:type="dxa"/>
            </w:tcMar>
            <w:vAlign w:val="center"/>
            <w:hideMark/>
          </w:tcPr>
          <w:p w14:paraId="47608EFE" w14:textId="77777777" w:rsidR="003E558F" w:rsidRPr="003E558F" w:rsidRDefault="003E558F" w:rsidP="00AA4BBB">
            <w:pPr>
              <w:jc w:val="center"/>
              <w:rPr>
                <w:rFonts w:cs="Arial"/>
                <w:sz w:val="20"/>
                <w:szCs w:val="20"/>
              </w:rPr>
            </w:pPr>
            <w:r w:rsidRPr="003E558F">
              <w:rPr>
                <w:rFonts w:cs="Arial"/>
                <w:sz w:val="20"/>
                <w:szCs w:val="20"/>
              </w:rPr>
              <w:t>3.446.652.643</w:t>
            </w:r>
          </w:p>
        </w:tc>
        <w:tc>
          <w:tcPr>
            <w:tcW w:w="0" w:type="auto"/>
            <w:tcMar>
              <w:top w:w="30" w:type="dxa"/>
              <w:left w:w="45" w:type="dxa"/>
              <w:bottom w:w="30" w:type="dxa"/>
              <w:right w:w="45" w:type="dxa"/>
            </w:tcMar>
            <w:vAlign w:val="center"/>
            <w:hideMark/>
          </w:tcPr>
          <w:p w14:paraId="5E5A88A7" w14:textId="77777777" w:rsidR="003E558F" w:rsidRPr="003E558F" w:rsidRDefault="003E558F" w:rsidP="00AA4BBB">
            <w:pPr>
              <w:jc w:val="center"/>
              <w:rPr>
                <w:rFonts w:cs="Arial"/>
                <w:sz w:val="20"/>
                <w:szCs w:val="20"/>
              </w:rPr>
            </w:pPr>
            <w:r w:rsidRPr="003E558F">
              <w:rPr>
                <w:rFonts w:cs="Arial"/>
                <w:sz w:val="20"/>
                <w:szCs w:val="20"/>
              </w:rPr>
              <w:t>3.664.159.849</w:t>
            </w:r>
          </w:p>
        </w:tc>
        <w:tc>
          <w:tcPr>
            <w:tcW w:w="0" w:type="auto"/>
            <w:tcMar>
              <w:top w:w="30" w:type="dxa"/>
              <w:left w:w="45" w:type="dxa"/>
              <w:bottom w:w="30" w:type="dxa"/>
              <w:right w:w="45" w:type="dxa"/>
            </w:tcMar>
            <w:vAlign w:val="center"/>
            <w:hideMark/>
          </w:tcPr>
          <w:p w14:paraId="52395B77" w14:textId="77777777" w:rsidR="003E558F" w:rsidRPr="003E558F" w:rsidRDefault="003E558F" w:rsidP="00AA4BBB">
            <w:pPr>
              <w:jc w:val="center"/>
              <w:rPr>
                <w:rFonts w:cs="Arial"/>
                <w:sz w:val="20"/>
                <w:szCs w:val="20"/>
              </w:rPr>
            </w:pPr>
            <w:r w:rsidRPr="003E558F">
              <w:rPr>
                <w:rFonts w:cs="Arial"/>
                <w:sz w:val="20"/>
                <w:szCs w:val="20"/>
              </w:rPr>
              <w:t>3.788.670.134</w:t>
            </w:r>
          </w:p>
        </w:tc>
        <w:tc>
          <w:tcPr>
            <w:tcW w:w="0" w:type="auto"/>
            <w:tcMar>
              <w:top w:w="30" w:type="dxa"/>
              <w:left w:w="45" w:type="dxa"/>
              <w:bottom w:w="30" w:type="dxa"/>
              <w:right w:w="45" w:type="dxa"/>
            </w:tcMar>
            <w:vAlign w:val="center"/>
            <w:hideMark/>
          </w:tcPr>
          <w:p w14:paraId="7D76B42D" w14:textId="77777777" w:rsidR="003E558F" w:rsidRPr="003E558F" w:rsidRDefault="003E558F" w:rsidP="00AA4BBB">
            <w:pPr>
              <w:jc w:val="center"/>
              <w:rPr>
                <w:rFonts w:cs="Arial"/>
                <w:sz w:val="20"/>
                <w:szCs w:val="20"/>
              </w:rPr>
            </w:pPr>
            <w:r w:rsidRPr="003E558F">
              <w:rPr>
                <w:rFonts w:cs="Arial"/>
                <w:sz w:val="20"/>
                <w:szCs w:val="20"/>
              </w:rPr>
              <w:t>3.897.462.557</w:t>
            </w:r>
          </w:p>
        </w:tc>
        <w:tc>
          <w:tcPr>
            <w:tcW w:w="0" w:type="auto"/>
            <w:vMerge/>
            <w:vAlign w:val="center"/>
            <w:hideMark/>
          </w:tcPr>
          <w:p w14:paraId="4DEB1B48" w14:textId="77777777" w:rsidR="003E558F" w:rsidRPr="003E558F" w:rsidRDefault="003E558F" w:rsidP="00AA4BBB">
            <w:pPr>
              <w:rPr>
                <w:rFonts w:cs="Arial"/>
                <w:b/>
                <w:bCs/>
                <w:sz w:val="20"/>
                <w:szCs w:val="20"/>
              </w:rPr>
            </w:pPr>
          </w:p>
        </w:tc>
      </w:tr>
      <w:tr w:rsidR="003E558F" w:rsidRPr="003E558F" w14:paraId="419C8078" w14:textId="77777777" w:rsidTr="003E558F">
        <w:tc>
          <w:tcPr>
            <w:tcW w:w="0" w:type="auto"/>
            <w:gridSpan w:val="6"/>
            <w:shd w:val="clear" w:color="auto" w:fill="C00000"/>
            <w:tcMar>
              <w:top w:w="30" w:type="dxa"/>
              <w:left w:w="45" w:type="dxa"/>
              <w:bottom w:w="30" w:type="dxa"/>
              <w:right w:w="45" w:type="dxa"/>
            </w:tcMar>
            <w:vAlign w:val="center"/>
            <w:hideMark/>
          </w:tcPr>
          <w:p w14:paraId="5B7F66ED" w14:textId="50C46E53" w:rsidR="003E558F" w:rsidRPr="003E558F" w:rsidRDefault="003E558F" w:rsidP="003E558F">
            <w:pPr>
              <w:jc w:val="center"/>
              <w:rPr>
                <w:rFonts w:cs="Arial"/>
                <w:b/>
                <w:bCs/>
                <w:color w:val="FFFFFF" w:themeColor="background1"/>
                <w:sz w:val="20"/>
                <w:szCs w:val="20"/>
              </w:rPr>
            </w:pPr>
            <w:r w:rsidRPr="003E558F">
              <w:rPr>
                <w:rFonts w:cs="Arial"/>
                <w:b/>
                <w:bCs/>
                <w:color w:val="FFFFFF" w:themeColor="background1"/>
                <w:sz w:val="20"/>
                <w:szCs w:val="20"/>
              </w:rPr>
              <w:t>Salud</w:t>
            </w:r>
          </w:p>
        </w:tc>
      </w:tr>
      <w:tr w:rsidR="003E558F" w:rsidRPr="003E558F" w14:paraId="3FDB2D06" w14:textId="77777777" w:rsidTr="003E558F">
        <w:tc>
          <w:tcPr>
            <w:tcW w:w="0" w:type="auto"/>
            <w:vMerge w:val="restart"/>
            <w:tcMar>
              <w:top w:w="30" w:type="dxa"/>
              <w:left w:w="45" w:type="dxa"/>
              <w:bottom w:w="30" w:type="dxa"/>
              <w:right w:w="45" w:type="dxa"/>
            </w:tcMar>
            <w:vAlign w:val="center"/>
            <w:hideMark/>
          </w:tcPr>
          <w:p w14:paraId="2BF9446D" w14:textId="77777777" w:rsidR="003E558F" w:rsidRPr="003E558F" w:rsidRDefault="003E558F" w:rsidP="00AA4BBB">
            <w:pPr>
              <w:rPr>
                <w:rFonts w:cs="Arial"/>
                <w:sz w:val="20"/>
                <w:szCs w:val="20"/>
              </w:rPr>
            </w:pPr>
            <w:r w:rsidRPr="003E558F">
              <w:rPr>
                <w:rFonts w:cs="Arial"/>
                <w:sz w:val="20"/>
                <w:szCs w:val="20"/>
              </w:rPr>
              <w:t>Implementar el 100% del plan de fortalecimiento del ecosistema de CTeI para la salud a fin de contribuir a la generación y la apropiación social de nuevo conocimiento para la toma de decisiones relacionadas con las problemáticas relevantes en salud pública de Bogotá.</w:t>
            </w:r>
          </w:p>
        </w:tc>
        <w:tc>
          <w:tcPr>
            <w:tcW w:w="0" w:type="auto"/>
            <w:tcMar>
              <w:top w:w="30" w:type="dxa"/>
              <w:left w:w="45" w:type="dxa"/>
              <w:bottom w:w="30" w:type="dxa"/>
              <w:right w:w="45" w:type="dxa"/>
            </w:tcMar>
            <w:vAlign w:val="center"/>
            <w:hideMark/>
          </w:tcPr>
          <w:p w14:paraId="14C2D25B" w14:textId="39653760" w:rsidR="003E558F" w:rsidRPr="003E558F" w:rsidRDefault="003E558F" w:rsidP="00AA4BBB">
            <w:pPr>
              <w:jc w:val="center"/>
              <w:rPr>
                <w:rFonts w:cs="Arial"/>
                <w:sz w:val="20"/>
                <w:szCs w:val="20"/>
              </w:rPr>
            </w:pPr>
            <w:r w:rsidRPr="003E558F">
              <w:rPr>
                <w:rFonts w:cs="Arial"/>
                <w:sz w:val="20"/>
                <w:szCs w:val="20"/>
              </w:rPr>
              <w:t>1</w:t>
            </w:r>
            <w:r w:rsidR="0052457C">
              <w:rPr>
                <w:rFonts w:cs="Arial"/>
                <w:sz w:val="20"/>
                <w:szCs w:val="20"/>
              </w:rPr>
              <w:t>00%</w:t>
            </w:r>
          </w:p>
        </w:tc>
        <w:tc>
          <w:tcPr>
            <w:tcW w:w="0" w:type="auto"/>
            <w:tcMar>
              <w:top w:w="30" w:type="dxa"/>
              <w:left w:w="45" w:type="dxa"/>
              <w:bottom w:w="30" w:type="dxa"/>
              <w:right w:w="45" w:type="dxa"/>
            </w:tcMar>
            <w:vAlign w:val="center"/>
            <w:hideMark/>
          </w:tcPr>
          <w:p w14:paraId="110CAED9" w14:textId="76B70A57" w:rsidR="003E558F" w:rsidRPr="003E558F" w:rsidRDefault="003E558F" w:rsidP="00AA4BBB">
            <w:pPr>
              <w:jc w:val="center"/>
              <w:rPr>
                <w:rFonts w:cs="Arial"/>
                <w:sz w:val="20"/>
                <w:szCs w:val="20"/>
              </w:rPr>
            </w:pPr>
            <w:r w:rsidRPr="003E558F">
              <w:rPr>
                <w:rFonts w:cs="Arial"/>
                <w:sz w:val="20"/>
                <w:szCs w:val="20"/>
              </w:rPr>
              <w:t>1</w:t>
            </w:r>
            <w:r w:rsidR="0052457C">
              <w:rPr>
                <w:rFonts w:cs="Arial"/>
                <w:sz w:val="20"/>
                <w:szCs w:val="20"/>
              </w:rPr>
              <w:t>00%</w:t>
            </w:r>
          </w:p>
        </w:tc>
        <w:tc>
          <w:tcPr>
            <w:tcW w:w="0" w:type="auto"/>
            <w:tcMar>
              <w:top w:w="30" w:type="dxa"/>
              <w:left w:w="45" w:type="dxa"/>
              <w:bottom w:w="30" w:type="dxa"/>
              <w:right w:w="45" w:type="dxa"/>
            </w:tcMar>
            <w:vAlign w:val="center"/>
            <w:hideMark/>
          </w:tcPr>
          <w:p w14:paraId="2E9C80BE" w14:textId="30AFADC8" w:rsidR="003E558F" w:rsidRPr="003E558F" w:rsidRDefault="003E558F" w:rsidP="00AA4BBB">
            <w:pPr>
              <w:jc w:val="center"/>
              <w:rPr>
                <w:rFonts w:cs="Arial"/>
                <w:sz w:val="20"/>
                <w:szCs w:val="20"/>
              </w:rPr>
            </w:pPr>
            <w:r w:rsidRPr="003E558F">
              <w:rPr>
                <w:rFonts w:cs="Arial"/>
                <w:sz w:val="20"/>
                <w:szCs w:val="20"/>
              </w:rPr>
              <w:t>1</w:t>
            </w:r>
            <w:r w:rsidR="0052457C">
              <w:rPr>
                <w:rFonts w:cs="Arial"/>
                <w:sz w:val="20"/>
                <w:szCs w:val="20"/>
              </w:rPr>
              <w:t>00%</w:t>
            </w:r>
          </w:p>
        </w:tc>
        <w:tc>
          <w:tcPr>
            <w:tcW w:w="0" w:type="auto"/>
            <w:tcMar>
              <w:top w:w="30" w:type="dxa"/>
              <w:left w:w="45" w:type="dxa"/>
              <w:bottom w:w="30" w:type="dxa"/>
              <w:right w:w="45" w:type="dxa"/>
            </w:tcMar>
            <w:vAlign w:val="center"/>
            <w:hideMark/>
          </w:tcPr>
          <w:p w14:paraId="4503BE8F" w14:textId="6A1837C5" w:rsidR="003E558F" w:rsidRPr="003E558F" w:rsidRDefault="003E558F" w:rsidP="00AA4BBB">
            <w:pPr>
              <w:jc w:val="center"/>
              <w:rPr>
                <w:rFonts w:cs="Arial"/>
                <w:sz w:val="20"/>
                <w:szCs w:val="20"/>
              </w:rPr>
            </w:pPr>
            <w:r w:rsidRPr="003E558F">
              <w:rPr>
                <w:rFonts w:cs="Arial"/>
                <w:sz w:val="20"/>
                <w:szCs w:val="20"/>
              </w:rPr>
              <w:t>1</w:t>
            </w:r>
            <w:r w:rsidR="0052457C">
              <w:rPr>
                <w:rFonts w:cs="Arial"/>
                <w:sz w:val="20"/>
                <w:szCs w:val="20"/>
              </w:rPr>
              <w:t>00%</w:t>
            </w:r>
          </w:p>
        </w:tc>
        <w:tc>
          <w:tcPr>
            <w:tcW w:w="0" w:type="auto"/>
            <w:vMerge w:val="restart"/>
            <w:tcMar>
              <w:top w:w="30" w:type="dxa"/>
              <w:left w:w="45" w:type="dxa"/>
              <w:bottom w:w="30" w:type="dxa"/>
              <w:right w:w="45" w:type="dxa"/>
            </w:tcMar>
            <w:vAlign w:val="center"/>
            <w:hideMark/>
          </w:tcPr>
          <w:p w14:paraId="3BB23D01" w14:textId="77777777" w:rsidR="003E558F" w:rsidRPr="003E558F" w:rsidRDefault="003E558F" w:rsidP="00AA4BBB">
            <w:pPr>
              <w:jc w:val="center"/>
              <w:rPr>
                <w:rFonts w:cs="Arial"/>
                <w:b/>
                <w:bCs/>
                <w:sz w:val="20"/>
                <w:szCs w:val="20"/>
              </w:rPr>
            </w:pPr>
            <w:r w:rsidRPr="003E558F">
              <w:rPr>
                <w:rFonts w:cs="Arial"/>
                <w:b/>
                <w:bCs/>
                <w:sz w:val="20"/>
                <w:szCs w:val="20"/>
              </w:rPr>
              <w:t>78.669.362.502</w:t>
            </w:r>
          </w:p>
        </w:tc>
      </w:tr>
      <w:tr w:rsidR="003E558F" w:rsidRPr="003E558F" w14:paraId="4F9078C2" w14:textId="77777777" w:rsidTr="0067756B">
        <w:tc>
          <w:tcPr>
            <w:tcW w:w="0" w:type="auto"/>
            <w:vMerge/>
            <w:tcBorders>
              <w:bottom w:val="double" w:sz="4" w:space="0" w:color="C00000"/>
            </w:tcBorders>
            <w:vAlign w:val="center"/>
            <w:hideMark/>
          </w:tcPr>
          <w:p w14:paraId="565B1AF7" w14:textId="77777777" w:rsidR="003E558F" w:rsidRPr="003E558F" w:rsidRDefault="003E558F" w:rsidP="00AA4BBB">
            <w:pPr>
              <w:rPr>
                <w:rFonts w:cs="Arial"/>
                <w:sz w:val="20"/>
                <w:szCs w:val="20"/>
              </w:rPr>
            </w:pPr>
          </w:p>
        </w:tc>
        <w:tc>
          <w:tcPr>
            <w:tcW w:w="0" w:type="auto"/>
            <w:tcBorders>
              <w:bottom w:val="double" w:sz="4" w:space="0" w:color="C00000"/>
            </w:tcBorders>
            <w:tcMar>
              <w:top w:w="30" w:type="dxa"/>
              <w:left w:w="45" w:type="dxa"/>
              <w:bottom w:w="30" w:type="dxa"/>
              <w:right w:w="45" w:type="dxa"/>
            </w:tcMar>
            <w:vAlign w:val="center"/>
            <w:hideMark/>
          </w:tcPr>
          <w:p w14:paraId="00266321" w14:textId="77777777" w:rsidR="003E558F" w:rsidRPr="003E558F" w:rsidRDefault="003E558F" w:rsidP="00AA4BBB">
            <w:pPr>
              <w:jc w:val="center"/>
              <w:rPr>
                <w:rFonts w:cs="Arial"/>
                <w:sz w:val="20"/>
                <w:szCs w:val="20"/>
              </w:rPr>
            </w:pPr>
            <w:r w:rsidRPr="003E558F">
              <w:rPr>
                <w:rFonts w:cs="Arial"/>
                <w:sz w:val="20"/>
                <w:szCs w:val="20"/>
              </w:rPr>
              <w:t>10.497.000.000</w:t>
            </w:r>
          </w:p>
        </w:tc>
        <w:tc>
          <w:tcPr>
            <w:tcW w:w="0" w:type="auto"/>
            <w:tcBorders>
              <w:bottom w:val="double" w:sz="4" w:space="0" w:color="C00000"/>
            </w:tcBorders>
            <w:tcMar>
              <w:top w:w="30" w:type="dxa"/>
              <w:left w:w="45" w:type="dxa"/>
              <w:bottom w:w="30" w:type="dxa"/>
              <w:right w:w="45" w:type="dxa"/>
            </w:tcMar>
            <w:vAlign w:val="center"/>
            <w:hideMark/>
          </w:tcPr>
          <w:p w14:paraId="5BB5A3F5" w14:textId="77777777" w:rsidR="003E558F" w:rsidRPr="003E558F" w:rsidRDefault="003E558F" w:rsidP="00AA4BBB">
            <w:pPr>
              <w:jc w:val="center"/>
              <w:rPr>
                <w:rFonts w:cs="Arial"/>
                <w:sz w:val="20"/>
                <w:szCs w:val="20"/>
              </w:rPr>
            </w:pPr>
            <w:r w:rsidRPr="003E558F">
              <w:rPr>
                <w:rFonts w:cs="Arial"/>
                <w:sz w:val="20"/>
                <w:szCs w:val="20"/>
              </w:rPr>
              <w:t>20.411.568.473</w:t>
            </w:r>
          </w:p>
        </w:tc>
        <w:tc>
          <w:tcPr>
            <w:tcW w:w="0" w:type="auto"/>
            <w:tcBorders>
              <w:bottom w:val="double" w:sz="4" w:space="0" w:color="C00000"/>
            </w:tcBorders>
            <w:tcMar>
              <w:top w:w="30" w:type="dxa"/>
              <w:left w:w="45" w:type="dxa"/>
              <w:bottom w:w="30" w:type="dxa"/>
              <w:right w:w="45" w:type="dxa"/>
            </w:tcMar>
            <w:vAlign w:val="center"/>
            <w:hideMark/>
          </w:tcPr>
          <w:p w14:paraId="625FC5F8" w14:textId="77777777" w:rsidR="003E558F" w:rsidRPr="003E558F" w:rsidRDefault="003E558F" w:rsidP="00AA4BBB">
            <w:pPr>
              <w:jc w:val="center"/>
              <w:rPr>
                <w:rFonts w:cs="Arial"/>
                <w:sz w:val="20"/>
                <w:szCs w:val="20"/>
              </w:rPr>
            </w:pPr>
            <w:r w:rsidRPr="003E558F">
              <w:rPr>
                <w:rFonts w:cs="Arial"/>
                <w:sz w:val="20"/>
                <w:szCs w:val="20"/>
              </w:rPr>
              <w:t>25.252.282.377</w:t>
            </w:r>
          </w:p>
        </w:tc>
        <w:tc>
          <w:tcPr>
            <w:tcW w:w="0" w:type="auto"/>
            <w:tcBorders>
              <w:bottom w:val="double" w:sz="4" w:space="0" w:color="C00000"/>
            </w:tcBorders>
            <w:tcMar>
              <w:top w:w="30" w:type="dxa"/>
              <w:left w:w="45" w:type="dxa"/>
              <w:bottom w:w="30" w:type="dxa"/>
              <w:right w:w="45" w:type="dxa"/>
            </w:tcMar>
            <w:vAlign w:val="center"/>
            <w:hideMark/>
          </w:tcPr>
          <w:p w14:paraId="0F3AACC3" w14:textId="77777777" w:rsidR="003E558F" w:rsidRPr="003E558F" w:rsidRDefault="003E558F" w:rsidP="00AA4BBB">
            <w:pPr>
              <w:jc w:val="center"/>
              <w:rPr>
                <w:rFonts w:cs="Arial"/>
                <w:sz w:val="20"/>
                <w:szCs w:val="20"/>
              </w:rPr>
            </w:pPr>
            <w:r w:rsidRPr="003E558F">
              <w:rPr>
                <w:rFonts w:cs="Arial"/>
                <w:sz w:val="20"/>
                <w:szCs w:val="20"/>
              </w:rPr>
              <w:t>22.508.511.652</w:t>
            </w:r>
          </w:p>
        </w:tc>
        <w:tc>
          <w:tcPr>
            <w:tcW w:w="0" w:type="auto"/>
            <w:vMerge/>
            <w:tcBorders>
              <w:bottom w:val="double" w:sz="4" w:space="0" w:color="C00000"/>
            </w:tcBorders>
            <w:vAlign w:val="center"/>
            <w:hideMark/>
          </w:tcPr>
          <w:p w14:paraId="59027D5F" w14:textId="77777777" w:rsidR="003E558F" w:rsidRPr="003E558F" w:rsidRDefault="003E558F" w:rsidP="00AA4BBB">
            <w:pPr>
              <w:rPr>
                <w:rFonts w:cs="Arial"/>
                <w:b/>
                <w:bCs/>
                <w:sz w:val="20"/>
                <w:szCs w:val="20"/>
              </w:rPr>
            </w:pPr>
          </w:p>
        </w:tc>
      </w:tr>
    </w:tbl>
    <w:p w14:paraId="4BC5C525" w14:textId="77777777" w:rsidR="00FA4F64" w:rsidRDefault="00FA4F64" w:rsidP="00FA4F64">
      <w:pPr>
        <w:pBdr>
          <w:top w:val="nil"/>
          <w:left w:val="nil"/>
          <w:bottom w:val="nil"/>
          <w:right w:val="nil"/>
          <w:between w:val="nil"/>
        </w:pBdr>
        <w:spacing w:line="220" w:lineRule="auto"/>
        <w:jc w:val="center"/>
        <w:rPr>
          <w:color w:val="3B3838"/>
          <w:sz w:val="18"/>
          <w:szCs w:val="18"/>
        </w:rPr>
      </w:pPr>
    </w:p>
    <w:p w14:paraId="1B18859E" w14:textId="77777777" w:rsidR="00B80593" w:rsidRDefault="00B80593" w:rsidP="00CB6AEC">
      <w:pPr>
        <w:keepNext/>
        <w:keepLines/>
        <w:numPr>
          <w:ilvl w:val="1"/>
          <w:numId w:val="37"/>
        </w:numPr>
        <w:pBdr>
          <w:top w:val="nil"/>
          <w:left w:val="nil"/>
          <w:bottom w:val="nil"/>
          <w:right w:val="nil"/>
          <w:between w:val="nil"/>
        </w:pBdr>
        <w:spacing w:line="340" w:lineRule="auto"/>
        <w:ind w:left="0" w:firstLine="680"/>
        <w:jc w:val="left"/>
        <w:rPr>
          <w:b/>
          <w:color w:val="3B3838"/>
          <w:sz w:val="28"/>
          <w:szCs w:val="28"/>
        </w:rPr>
      </w:pPr>
      <w:bookmarkStart w:id="318" w:name="_heading=h.2jxsxqh" w:colFirst="0" w:colLast="0"/>
      <w:bookmarkEnd w:id="318"/>
      <w:r>
        <w:rPr>
          <w:b/>
          <w:color w:val="3B3838"/>
          <w:sz w:val="28"/>
          <w:szCs w:val="28"/>
        </w:rPr>
        <w:br w:type="page"/>
      </w:r>
    </w:p>
    <w:p w14:paraId="7D290B42" w14:textId="1D7D0EB5" w:rsidR="00FA4F64" w:rsidRDefault="00FA4F64" w:rsidP="0052457C">
      <w:pPr>
        <w:pStyle w:val="NIVEL4"/>
      </w:pPr>
      <w:bookmarkStart w:id="319" w:name="_Toc165169781"/>
      <w:r w:rsidRPr="00931A49">
        <w:rPr>
          <w:color w:val="C00000"/>
        </w:rPr>
        <w:lastRenderedPageBreak/>
        <w:t xml:space="preserve">Programa 19: </w:t>
      </w:r>
      <w:r w:rsidRPr="00931A49">
        <w:t>Desarrollo empresarial, productividad y empleo</w:t>
      </w:r>
      <w:bookmarkEnd w:id="319"/>
    </w:p>
    <w:p w14:paraId="61AA07F3" w14:textId="77777777" w:rsidR="00931A49" w:rsidRPr="00931A49" w:rsidRDefault="00931A49" w:rsidP="00931A49">
      <w:pPr>
        <w:tabs>
          <w:tab w:val="left" w:pos="993"/>
          <w:tab w:val="left" w:pos="1134"/>
        </w:tabs>
        <w:ind w:left="851"/>
        <w:rPr>
          <w:lang w:eastAsia="en-US"/>
        </w:rPr>
      </w:pPr>
    </w:p>
    <w:p w14:paraId="1D8CE4F1" w14:textId="77777777" w:rsidR="00FA4F64" w:rsidRPr="007E5BCA" w:rsidRDefault="00FA4F64" w:rsidP="007E5BCA">
      <w:pPr>
        <w:ind w:firstLine="708"/>
        <w:rPr>
          <w:b/>
          <w:bCs/>
          <w:sz w:val="24"/>
        </w:rPr>
        <w:sectPr w:rsidR="00FA4F64" w:rsidRPr="007E5BCA" w:rsidSect="00F7078E">
          <w:type w:val="continuous"/>
          <w:pgSz w:w="12240" w:h="15840"/>
          <w:pgMar w:top="2262" w:right="1440" w:bottom="1440" w:left="1440" w:header="708" w:footer="708" w:gutter="0"/>
          <w:cols w:space="720"/>
        </w:sectPr>
      </w:pPr>
      <w:r w:rsidRPr="007E5BCA">
        <w:rPr>
          <w:b/>
          <w:bCs/>
          <w:sz w:val="24"/>
        </w:rPr>
        <w:t>Diagnóstico</w:t>
      </w:r>
    </w:p>
    <w:p w14:paraId="4137C386" w14:textId="6BBCA11C" w:rsidR="00FA4F64" w:rsidRDefault="00FA4F64" w:rsidP="00FA4F64">
      <w:r>
        <w:t>Bogotá alberga una vasta cantidad de empresas, es el principal centro económico y de empleo del país. El desarrollo empresarial en la ciudad se encuentra en constante crecimiento. Según el Observatorio de Desarrollo Económico, en 2023 se registraron 424.710 empresas activas y vigentes, frente a las 428.428 registradas en 2022, lo que equivale a una leve caída de 0,9 % (3.718). De estas, la mayoría (86,8 %) se ubican en la categoría de Microempresas, es decir, con pocos ingresos y personas empleadas.</w:t>
      </w:r>
    </w:p>
    <w:p w14:paraId="1354BA95" w14:textId="77777777" w:rsidR="00FA4F64" w:rsidRDefault="00FA4F64" w:rsidP="00FA4F64"/>
    <w:p w14:paraId="3486A3DF" w14:textId="77777777" w:rsidR="00FA4F64" w:rsidRDefault="00FA4F64" w:rsidP="00FA4F64">
      <w:r>
        <w:t xml:space="preserve">Respecto al índice de competitividad, Bogotá se sitúa como la ciudad más competitiva e innovadora del país (Consejo Privado de Competitividad, 2023), liderando en indicadores como: instituciones, infraestructura, adopción de TIC, salud, educación superior y formación para el trabajo, entorno para los negocios, mercado laboral, sistema financiero, e innovación. </w:t>
      </w:r>
    </w:p>
    <w:p w14:paraId="2C496F44" w14:textId="77777777" w:rsidR="00FA4F64" w:rsidRDefault="00FA4F64" w:rsidP="00FA4F64"/>
    <w:p w14:paraId="183E4199" w14:textId="77777777" w:rsidR="00FA4F64" w:rsidRDefault="00FA4F64" w:rsidP="00FA4F64">
      <w:r>
        <w:t xml:space="preserve">No obstante, en el indicador de sofisticación y diversificación se ubica en la posición 6, por debajo de los departamentos del Valle del Cauca, Risaralda, Cundinamarca, Atlántico y Bolívar. Por su parte, en el 2023 el valor exportado de Bogotá cayó en un 0,2 % frente al 2022. Lo anterior, es reflejo de la situación nacional en la cual </w:t>
      </w:r>
      <w:r>
        <w:t>se observa una baja inserción en el mercado externo, con muy pocos cambios desde la década de los noventa y bajos niveles de sofisticación y diversificación en la canasta de bienes y servicios exportados (Consejo Privado de Competitividad, 2024).</w:t>
      </w:r>
    </w:p>
    <w:p w14:paraId="27673F69" w14:textId="77777777" w:rsidR="00FA4F64" w:rsidRDefault="00FA4F64" w:rsidP="00FA4F64"/>
    <w:p w14:paraId="3EF854CB" w14:textId="77777777" w:rsidR="00FA4F64" w:rsidRDefault="00FA4F64" w:rsidP="00FA4F64">
      <w:r>
        <w:t>La información proporcionada por la Cámara de Comercio de Bogotá, en la Gran Encuesta al empresariado Bogotá-Región, además de confirmar la gran atomización empresarial —empresas mayoritariamente microempresas—, muestra que el tejido empresarial de la ciudad se centra en servicios (55 %), comercio (31 %) e industria (14 %).</w:t>
      </w:r>
    </w:p>
    <w:p w14:paraId="57D9CBAF" w14:textId="77777777" w:rsidR="00FA4F64" w:rsidRDefault="00FA4F64" w:rsidP="00FA4F64"/>
    <w:p w14:paraId="5967CD8B" w14:textId="38D08273"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 xml:space="preserve">La alta concentración de microempresas, sumada a la falta de integración en relaciones productivas sólidas, la escasa adopción de modelos asociativos para generar economías de escala y los desafíos en términos de innovación y adopción de nuevas tecnologías, han incidido en que en la ciudad se evidencie una considerable brecha de productividad laboral en comparación con las grandes empresas, lo que afecta su capacidad de integración, aprendizaje y dinamismo (Dini &amp; Stumpo, 2020) </w:t>
      </w:r>
      <w:r w:rsidRPr="004D2703">
        <w:t>(</w:t>
      </w:r>
      <w:r w:rsidR="004D2703" w:rsidRPr="004D2703">
        <w:fldChar w:fldCharType="begin"/>
      </w:r>
      <w:r w:rsidR="004D2703" w:rsidRPr="004D2703">
        <w:instrText xml:space="preserve"> REF _Ref165136830 \h </w:instrText>
      </w:r>
      <w:r w:rsidR="004D2703" w:rsidRPr="004D2703">
        <w:fldChar w:fldCharType="separate"/>
      </w:r>
      <w:r w:rsidR="00D01651" w:rsidRPr="004D2703">
        <w:rPr>
          <w:color w:val="C00000"/>
          <w:sz w:val="18"/>
          <w:szCs w:val="18"/>
        </w:rPr>
        <w:t xml:space="preserve">Figura </w:t>
      </w:r>
      <w:r w:rsidR="00D01651">
        <w:rPr>
          <w:noProof/>
          <w:color w:val="C00000"/>
          <w:sz w:val="18"/>
        </w:rPr>
        <w:t>10</w:t>
      </w:r>
      <w:r w:rsidR="004D2703" w:rsidRPr="004D2703">
        <w:fldChar w:fldCharType="end"/>
      </w:r>
      <w:r>
        <w:t>).</w:t>
      </w:r>
    </w:p>
    <w:p w14:paraId="09B17266" w14:textId="77777777" w:rsidR="00931A49" w:rsidRDefault="00931A49" w:rsidP="00FA4F64">
      <w:pPr>
        <w:pBdr>
          <w:top w:val="nil"/>
          <w:left w:val="nil"/>
          <w:bottom w:val="nil"/>
          <w:right w:val="nil"/>
          <w:between w:val="nil"/>
        </w:pBdr>
        <w:spacing w:line="220" w:lineRule="auto"/>
        <w:jc w:val="center"/>
        <w:rPr>
          <w:b/>
          <w:color w:val="3B3838"/>
          <w:sz w:val="18"/>
          <w:szCs w:val="18"/>
        </w:rPr>
      </w:pPr>
    </w:p>
    <w:p w14:paraId="3DE62135" w14:textId="576A94A7" w:rsidR="00FA4F64" w:rsidRPr="004D2703" w:rsidRDefault="004D2703" w:rsidP="004D2703">
      <w:pPr>
        <w:pStyle w:val="Descripcin"/>
        <w:jc w:val="center"/>
        <w:rPr>
          <w:sz w:val="18"/>
        </w:rPr>
      </w:pPr>
      <w:bookmarkStart w:id="320" w:name="_Ref165136830"/>
      <w:bookmarkStart w:id="321" w:name="_Toc165169986"/>
      <w:r w:rsidRPr="004D2703">
        <w:rPr>
          <w:color w:val="C00000"/>
          <w:sz w:val="18"/>
        </w:rPr>
        <w:t xml:space="preserve">Figura </w:t>
      </w:r>
      <w:r w:rsidRPr="004D2703">
        <w:rPr>
          <w:color w:val="C00000"/>
          <w:sz w:val="18"/>
        </w:rPr>
        <w:fldChar w:fldCharType="begin"/>
      </w:r>
      <w:r w:rsidRPr="004D2703">
        <w:rPr>
          <w:color w:val="C00000"/>
          <w:sz w:val="18"/>
        </w:rPr>
        <w:instrText xml:space="preserve"> SEQ Figura \* ARABIC </w:instrText>
      </w:r>
      <w:r w:rsidRPr="004D2703">
        <w:rPr>
          <w:color w:val="C00000"/>
          <w:sz w:val="18"/>
        </w:rPr>
        <w:fldChar w:fldCharType="separate"/>
      </w:r>
      <w:r w:rsidR="00D01651">
        <w:rPr>
          <w:noProof/>
          <w:color w:val="C00000"/>
          <w:sz w:val="18"/>
        </w:rPr>
        <w:t>10</w:t>
      </w:r>
      <w:r w:rsidRPr="004D2703">
        <w:rPr>
          <w:color w:val="C00000"/>
          <w:sz w:val="18"/>
        </w:rPr>
        <w:fldChar w:fldCharType="end"/>
      </w:r>
      <w:bookmarkEnd w:id="320"/>
      <w:r w:rsidRPr="004D2703">
        <w:rPr>
          <w:color w:val="C00000"/>
          <w:sz w:val="18"/>
        </w:rPr>
        <w:t xml:space="preserve">. </w:t>
      </w:r>
      <w:r w:rsidR="00FA4F64" w:rsidRPr="004D2703">
        <w:rPr>
          <w:sz w:val="18"/>
        </w:rPr>
        <w:t>Tamaño y sectores económicos empresariales predominantes en el 2023</w:t>
      </w:r>
      <w:bookmarkEnd w:id="321"/>
    </w:p>
    <w:p w14:paraId="67586E1B" w14:textId="16210FD4" w:rsidR="00931A49" w:rsidRDefault="004D2703" w:rsidP="00FA4F64">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62688" behindDoc="0" locked="0" layoutInCell="1" hidden="0" allowOverlap="1" wp14:anchorId="76BFB96B" wp14:editId="09EAC9B6">
            <wp:simplePos x="0" y="0"/>
            <wp:positionH relativeFrom="margin">
              <wp:align>center</wp:align>
            </wp:positionH>
            <wp:positionV relativeFrom="paragraph">
              <wp:posOffset>6350</wp:posOffset>
            </wp:positionV>
            <wp:extent cx="4659924" cy="2091352"/>
            <wp:effectExtent l="0" t="0" r="0" b="0"/>
            <wp:wrapNone/>
            <wp:docPr id="213351603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9"/>
                    <a:srcRect l="23162" t="8632" r="22740"/>
                    <a:stretch>
                      <a:fillRect/>
                    </a:stretch>
                  </pic:blipFill>
                  <pic:spPr>
                    <a:xfrm>
                      <a:off x="0" y="0"/>
                      <a:ext cx="4659924" cy="2091352"/>
                    </a:xfrm>
                    <a:prstGeom prst="rect">
                      <a:avLst/>
                    </a:prstGeom>
                    <a:ln/>
                  </pic:spPr>
                </pic:pic>
              </a:graphicData>
            </a:graphic>
            <wp14:sizeRelH relativeFrom="margin">
              <wp14:pctWidth>0</wp14:pctWidth>
            </wp14:sizeRelH>
            <wp14:sizeRelV relativeFrom="margin">
              <wp14:pctHeight>0</wp14:pctHeight>
            </wp14:sizeRelV>
          </wp:anchor>
        </w:drawing>
      </w:r>
    </w:p>
    <w:p w14:paraId="0C7E19B1" w14:textId="77777777" w:rsidR="004D2703" w:rsidRDefault="004D2703" w:rsidP="00FA4F64">
      <w:pPr>
        <w:pBdr>
          <w:top w:val="nil"/>
          <w:left w:val="nil"/>
          <w:bottom w:val="nil"/>
          <w:right w:val="nil"/>
          <w:between w:val="nil"/>
        </w:pBdr>
        <w:spacing w:line="220" w:lineRule="auto"/>
        <w:jc w:val="center"/>
        <w:rPr>
          <w:color w:val="C00000"/>
          <w:sz w:val="18"/>
          <w:szCs w:val="18"/>
        </w:rPr>
      </w:pPr>
    </w:p>
    <w:p w14:paraId="75B6D543" w14:textId="02205F42" w:rsidR="00931A49" w:rsidRDefault="00931A49" w:rsidP="00FA4F64">
      <w:pPr>
        <w:pBdr>
          <w:top w:val="nil"/>
          <w:left w:val="nil"/>
          <w:bottom w:val="nil"/>
          <w:right w:val="nil"/>
          <w:between w:val="nil"/>
        </w:pBdr>
        <w:spacing w:line="220" w:lineRule="auto"/>
        <w:jc w:val="center"/>
        <w:rPr>
          <w:color w:val="C00000"/>
          <w:sz w:val="18"/>
          <w:szCs w:val="18"/>
        </w:rPr>
      </w:pPr>
    </w:p>
    <w:p w14:paraId="2EF31A74" w14:textId="3F4AA5D1" w:rsidR="00931A49" w:rsidRDefault="00931A49" w:rsidP="00FA4F64">
      <w:pPr>
        <w:pBdr>
          <w:top w:val="nil"/>
          <w:left w:val="nil"/>
          <w:bottom w:val="nil"/>
          <w:right w:val="nil"/>
          <w:between w:val="nil"/>
        </w:pBdr>
        <w:spacing w:line="220" w:lineRule="auto"/>
        <w:jc w:val="center"/>
        <w:rPr>
          <w:color w:val="C00000"/>
          <w:sz w:val="18"/>
          <w:szCs w:val="18"/>
        </w:rPr>
      </w:pPr>
    </w:p>
    <w:p w14:paraId="2DC80CF5" w14:textId="77777777" w:rsidR="00931A49" w:rsidRDefault="00931A49" w:rsidP="00FA4F64">
      <w:pPr>
        <w:pBdr>
          <w:top w:val="nil"/>
          <w:left w:val="nil"/>
          <w:bottom w:val="nil"/>
          <w:right w:val="nil"/>
          <w:between w:val="nil"/>
        </w:pBdr>
        <w:spacing w:line="220" w:lineRule="auto"/>
        <w:jc w:val="center"/>
        <w:rPr>
          <w:color w:val="C00000"/>
          <w:sz w:val="18"/>
          <w:szCs w:val="18"/>
        </w:rPr>
      </w:pPr>
    </w:p>
    <w:p w14:paraId="4094CA7E" w14:textId="172E836B" w:rsidR="00FA4F64" w:rsidRDefault="00FA4F64" w:rsidP="00FA4F64">
      <w:pPr>
        <w:spacing w:line="480" w:lineRule="auto"/>
        <w:rPr>
          <w:rFonts w:ascii="Times New Roman" w:hAnsi="Times New Roman"/>
          <w:sz w:val="24"/>
        </w:rPr>
      </w:pPr>
    </w:p>
    <w:p w14:paraId="27290E41" w14:textId="77777777" w:rsidR="00FA4F64" w:rsidRDefault="00FA4F64" w:rsidP="00FA4F64">
      <w:pPr>
        <w:spacing w:line="480" w:lineRule="auto"/>
        <w:jc w:val="center"/>
        <w:rPr>
          <w:rFonts w:ascii="Times New Roman" w:hAnsi="Times New Roman"/>
          <w:sz w:val="24"/>
        </w:rPr>
      </w:pPr>
    </w:p>
    <w:p w14:paraId="6D149C37" w14:textId="77777777" w:rsidR="00FA4F64" w:rsidRDefault="00FA4F64" w:rsidP="00FA4F64">
      <w:pPr>
        <w:spacing w:line="480" w:lineRule="auto"/>
        <w:jc w:val="center"/>
        <w:rPr>
          <w:rFonts w:ascii="Times New Roman" w:hAnsi="Times New Roman"/>
          <w:sz w:val="24"/>
        </w:rPr>
      </w:pPr>
    </w:p>
    <w:p w14:paraId="4AB9EA8F" w14:textId="77777777" w:rsidR="00FA4F64" w:rsidRDefault="00FA4F64" w:rsidP="00FA4F64">
      <w:pPr>
        <w:spacing w:line="480" w:lineRule="auto"/>
        <w:rPr>
          <w:rFonts w:ascii="Times New Roman" w:hAnsi="Times New Roman"/>
          <w:sz w:val="24"/>
        </w:rPr>
      </w:pPr>
    </w:p>
    <w:p w14:paraId="6B628FD5" w14:textId="77777777" w:rsidR="00FA4F64" w:rsidRDefault="00FA4F64" w:rsidP="00FA4F6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Gran Encuesta del Empresariado, Bogotá-Cámara de Comercio de Bogotá (2023).</w:t>
      </w:r>
    </w:p>
    <w:p w14:paraId="59683E19" w14:textId="54DD7DA6" w:rsidR="00931A49" w:rsidRDefault="00931A49" w:rsidP="00FA4F64">
      <w:pPr>
        <w:pBdr>
          <w:top w:val="nil"/>
          <w:left w:val="nil"/>
          <w:bottom w:val="nil"/>
          <w:right w:val="nil"/>
          <w:between w:val="nil"/>
        </w:pBdr>
        <w:spacing w:line="220" w:lineRule="auto"/>
        <w:jc w:val="center"/>
        <w:rPr>
          <w:color w:val="C00000"/>
          <w:sz w:val="18"/>
          <w:szCs w:val="18"/>
        </w:rPr>
        <w:sectPr w:rsidR="00931A49" w:rsidSect="00F7078E">
          <w:type w:val="continuous"/>
          <w:pgSz w:w="12240" w:h="15840"/>
          <w:pgMar w:top="2262" w:right="1440" w:bottom="1440" w:left="1440" w:header="708" w:footer="708" w:gutter="0"/>
          <w:cols w:space="720"/>
        </w:sectPr>
      </w:pPr>
    </w:p>
    <w:p w14:paraId="0F23303C" w14:textId="77777777" w:rsidR="00FA4F64" w:rsidRDefault="00FA4F64" w:rsidP="00FA4F64">
      <w:r>
        <w:lastRenderedPageBreak/>
        <w:t>La estructura productiva de Bogotá, a pesar de tener ciertas ventajas en comparación con el país, está mayormente vinculada a procesos con bajo margen de transformación y agregación de valor. Parte de estos problemas se manifiestan en la asimetría de información entre la oferta y la demanda del mercado laboral, y la ausencia de estrategias, como la economía circular, que contribuyan a la formalización y la generación de empleo de manera significativa.</w:t>
      </w:r>
    </w:p>
    <w:p w14:paraId="53FE1788" w14:textId="77777777" w:rsidR="00FA4F64" w:rsidRDefault="00FA4F64" w:rsidP="00FA4F64"/>
    <w:p w14:paraId="55D99CEA" w14:textId="77777777" w:rsidR="00FA4F64" w:rsidRDefault="00FA4F64" w:rsidP="00FA4F64">
      <w:r>
        <w:t>Analizando lo relacionado con el emparejamiento entre la oferta y la demanda laboral, se encuentran elementos de desigualdad y exclusión, a pesar de que en términos generales la tasa de desempleo haya bajado.</w:t>
      </w:r>
    </w:p>
    <w:p w14:paraId="1865950D" w14:textId="77777777" w:rsidR="00FA4F64" w:rsidRDefault="00FA4F64" w:rsidP="00FA4F64"/>
    <w:p w14:paraId="0C13D79C" w14:textId="77777777" w:rsidR="00FA4F64" w:rsidRDefault="00FA4F64" w:rsidP="00FA4F64">
      <w:r>
        <w:t xml:space="preserve">Al comparar los resultados del trimestre móvil de octubre a diciembre de 2019 frente al mismo periodo en 2023, se denota una disminución de 0,4 p.p., lo que ha significado cerca de 7.000 </w:t>
      </w:r>
      <w:r>
        <w:t>personas menos en condición de desempleo. No obstante, se evidencian resultados diferenciales al revisar desagregaciones por género.</w:t>
      </w:r>
    </w:p>
    <w:p w14:paraId="704344E0" w14:textId="77777777" w:rsidR="00FA4F64" w:rsidRDefault="00FA4F64" w:rsidP="00FA4F64"/>
    <w:p w14:paraId="5FB630F8" w14:textId="77777777" w:rsidR="00FA4F64" w:rsidRDefault="00FA4F64" w:rsidP="00FA4F64">
      <w:r>
        <w:t>Por ejemplo, para 2023 la tasa de desocupación (TD) de las mujeres en Bogotá fue de 11,0 %, mientras que para los hombres la TD fue 9,8 %, lo que establece una brecha de 1,2 %. Por su parte, la tasa de ocupación (TO) de las mujeres en este mismo año fue de 55,1 % y para los hombres de 70,3 %, evidenciando una brecha de 15,2 p.p.</w:t>
      </w:r>
    </w:p>
    <w:p w14:paraId="6B819400" w14:textId="77777777" w:rsidR="00FA4F64" w:rsidRDefault="00FA4F64" w:rsidP="00FA4F64"/>
    <w:p w14:paraId="6517B225" w14:textId="0D10C784"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Así mismo, se evidencia que hay una brecha en los ingresos laborales entre hombres y mujeres del 1,3 %, en lo relacionado con ingreso laboral promedio por horas (Secretaría de Desarrollo Económico, Boletín Mercado laboral especial Periodo de análisis: octubre-diciembre 2023 y total anual de febrero 26 de 2024 N.° 111) (</w:t>
      </w:r>
      <w:r w:rsidR="00D85C68" w:rsidRPr="00D85C68">
        <w:fldChar w:fldCharType="begin"/>
      </w:r>
      <w:r w:rsidR="00D85C68" w:rsidRPr="00D85C68">
        <w:instrText xml:space="preserve"> REF _Ref165137248 \h </w:instrText>
      </w:r>
      <w:r w:rsidR="00D85C68" w:rsidRPr="00D85C68">
        <w:fldChar w:fldCharType="separate"/>
      </w:r>
      <w:r w:rsidR="00D01651" w:rsidRPr="00D85C68">
        <w:rPr>
          <w:color w:val="C00000"/>
          <w:sz w:val="18"/>
          <w:szCs w:val="18"/>
        </w:rPr>
        <w:t xml:space="preserve">Tabla </w:t>
      </w:r>
      <w:r w:rsidR="00D01651">
        <w:rPr>
          <w:noProof/>
          <w:color w:val="C00000"/>
          <w:sz w:val="18"/>
        </w:rPr>
        <w:t>39</w:t>
      </w:r>
      <w:r w:rsidR="00D85C68" w:rsidRPr="00D85C68">
        <w:fldChar w:fldCharType="end"/>
      </w:r>
      <w:r w:rsidRPr="00D85C68">
        <w:t>)</w:t>
      </w:r>
      <w:r>
        <w:t>.</w:t>
      </w:r>
    </w:p>
    <w:p w14:paraId="043BF4B3" w14:textId="77777777" w:rsidR="003A3F84" w:rsidRDefault="003A3F84" w:rsidP="00FA4F64">
      <w:pPr>
        <w:pBdr>
          <w:top w:val="nil"/>
          <w:left w:val="nil"/>
          <w:bottom w:val="nil"/>
          <w:right w:val="nil"/>
          <w:between w:val="nil"/>
        </w:pBdr>
        <w:spacing w:line="220" w:lineRule="auto"/>
        <w:jc w:val="right"/>
        <w:rPr>
          <w:b/>
          <w:color w:val="C00000"/>
          <w:sz w:val="18"/>
          <w:szCs w:val="18"/>
        </w:rPr>
      </w:pPr>
    </w:p>
    <w:p w14:paraId="1AE5FC8B" w14:textId="77777777" w:rsidR="003A3F84" w:rsidRDefault="003A3F84" w:rsidP="00D85C68">
      <w:pPr>
        <w:pBdr>
          <w:top w:val="nil"/>
          <w:left w:val="nil"/>
          <w:bottom w:val="nil"/>
          <w:right w:val="nil"/>
          <w:between w:val="nil"/>
        </w:pBdr>
        <w:spacing w:line="220" w:lineRule="auto"/>
        <w:jc w:val="center"/>
        <w:rPr>
          <w:b/>
          <w:color w:val="C00000"/>
          <w:sz w:val="18"/>
          <w:szCs w:val="18"/>
        </w:rPr>
      </w:pPr>
    </w:p>
    <w:p w14:paraId="591A0FE1" w14:textId="5C4AE390" w:rsidR="00FA4F64" w:rsidRPr="00D85C68" w:rsidRDefault="00D85C68" w:rsidP="00D85C68">
      <w:pPr>
        <w:pStyle w:val="Descripcin"/>
        <w:jc w:val="center"/>
        <w:rPr>
          <w:sz w:val="18"/>
        </w:rPr>
      </w:pPr>
      <w:bookmarkStart w:id="322" w:name="_Ref165137248"/>
      <w:bookmarkStart w:id="323" w:name="_Toc165169949"/>
      <w:r w:rsidRPr="00D85C68">
        <w:rPr>
          <w:color w:val="C00000"/>
          <w:sz w:val="18"/>
        </w:rPr>
        <w:t xml:space="preserve">Tabla </w:t>
      </w:r>
      <w:r w:rsidRPr="00D85C68">
        <w:rPr>
          <w:color w:val="C00000"/>
          <w:sz w:val="18"/>
        </w:rPr>
        <w:fldChar w:fldCharType="begin"/>
      </w:r>
      <w:r w:rsidRPr="00D85C68">
        <w:rPr>
          <w:color w:val="C00000"/>
          <w:sz w:val="18"/>
        </w:rPr>
        <w:instrText xml:space="preserve"> SEQ Tabla \* ARABIC </w:instrText>
      </w:r>
      <w:r w:rsidRPr="00D85C68">
        <w:rPr>
          <w:color w:val="C00000"/>
          <w:sz w:val="18"/>
        </w:rPr>
        <w:fldChar w:fldCharType="separate"/>
      </w:r>
      <w:r w:rsidR="00D01651">
        <w:rPr>
          <w:noProof/>
          <w:color w:val="C00000"/>
          <w:sz w:val="18"/>
        </w:rPr>
        <w:t>39</w:t>
      </w:r>
      <w:r w:rsidRPr="00D85C68">
        <w:rPr>
          <w:color w:val="C00000"/>
          <w:sz w:val="18"/>
        </w:rPr>
        <w:fldChar w:fldCharType="end"/>
      </w:r>
      <w:bookmarkEnd w:id="322"/>
      <w:r w:rsidRPr="00D85C68">
        <w:rPr>
          <w:color w:val="C00000"/>
          <w:sz w:val="18"/>
        </w:rPr>
        <w:t xml:space="preserve">. </w:t>
      </w:r>
      <w:r w:rsidR="00FA4F64" w:rsidRPr="00D85C68">
        <w:rPr>
          <w:sz w:val="18"/>
        </w:rPr>
        <w:t>Brecha entre hombres y mujeres en la media de ingresos laborales en Bogotá (2021)</w:t>
      </w:r>
      <w:bookmarkEnd w:id="323"/>
    </w:p>
    <w:tbl>
      <w:tblPr>
        <w:tblW w:w="9038" w:type="dxa"/>
        <w:tblBorders>
          <w:top w:val="nil"/>
          <w:left w:val="nil"/>
          <w:bottom w:val="single" w:sz="4" w:space="0" w:color="C00000"/>
          <w:right w:val="nil"/>
          <w:insideH w:val="single" w:sz="4" w:space="0" w:color="C00000"/>
          <w:insideV w:val="single" w:sz="4" w:space="0" w:color="C00000"/>
        </w:tblBorders>
        <w:tblLayout w:type="fixed"/>
        <w:tblLook w:val="0600" w:firstRow="0" w:lastRow="0" w:firstColumn="0" w:lastColumn="0" w:noHBand="1" w:noVBand="1"/>
      </w:tblPr>
      <w:tblGrid>
        <w:gridCol w:w="869"/>
        <w:gridCol w:w="938"/>
        <w:gridCol w:w="904"/>
        <w:gridCol w:w="904"/>
        <w:gridCol w:w="904"/>
        <w:gridCol w:w="904"/>
        <w:gridCol w:w="904"/>
        <w:gridCol w:w="904"/>
        <w:gridCol w:w="835"/>
        <w:gridCol w:w="972"/>
      </w:tblGrid>
      <w:tr w:rsidR="00FA4F64" w:rsidRPr="00D85C68" w14:paraId="34D71E84" w14:textId="77777777" w:rsidTr="003A3F84">
        <w:trPr>
          <w:trHeight w:val="1023"/>
        </w:trPr>
        <w:tc>
          <w:tcPr>
            <w:tcW w:w="2711" w:type="dxa"/>
            <w:gridSpan w:val="3"/>
            <w:tcBorders>
              <w:bottom w:val="double" w:sz="4" w:space="0" w:color="C00000"/>
              <w:right w:val="double" w:sz="4" w:space="0" w:color="C00000"/>
            </w:tcBorders>
            <w:shd w:val="clear" w:color="auto" w:fill="C00000"/>
            <w:vAlign w:val="center"/>
          </w:tcPr>
          <w:p w14:paraId="497E0388" w14:textId="77777777" w:rsidR="00FA4F64" w:rsidRPr="00D85C68" w:rsidRDefault="00FA4F64" w:rsidP="00783B64">
            <w:pPr>
              <w:jc w:val="center"/>
              <w:rPr>
                <w:b/>
                <w:color w:val="FFFFFF"/>
                <w:sz w:val="18"/>
                <w:szCs w:val="18"/>
              </w:rPr>
            </w:pPr>
            <w:r w:rsidRPr="00D85C68">
              <w:rPr>
                <w:b/>
                <w:color w:val="FFFFFF"/>
                <w:sz w:val="18"/>
                <w:szCs w:val="18"/>
              </w:rPr>
              <w:t>Ingreso laboral promedio</w:t>
            </w:r>
          </w:p>
        </w:tc>
        <w:tc>
          <w:tcPr>
            <w:tcW w:w="2712" w:type="dxa"/>
            <w:gridSpan w:val="3"/>
            <w:tcBorders>
              <w:left w:val="double" w:sz="4" w:space="0" w:color="C00000"/>
              <w:bottom w:val="double" w:sz="4" w:space="0" w:color="C00000"/>
              <w:right w:val="double" w:sz="4" w:space="0" w:color="C00000"/>
            </w:tcBorders>
            <w:shd w:val="clear" w:color="auto" w:fill="C00000"/>
            <w:vAlign w:val="center"/>
          </w:tcPr>
          <w:p w14:paraId="025A49A2" w14:textId="77777777" w:rsidR="00FA4F64" w:rsidRPr="00D85C68" w:rsidRDefault="00FA4F64" w:rsidP="00783B64">
            <w:pPr>
              <w:jc w:val="center"/>
              <w:rPr>
                <w:b/>
                <w:color w:val="FFFFFF"/>
                <w:sz w:val="18"/>
                <w:szCs w:val="18"/>
              </w:rPr>
            </w:pPr>
            <w:r w:rsidRPr="00D85C68">
              <w:rPr>
                <w:b/>
                <w:color w:val="FFFFFF"/>
                <w:sz w:val="18"/>
                <w:szCs w:val="18"/>
              </w:rPr>
              <w:t>Ingreso laboral promedio por hora</w:t>
            </w:r>
          </w:p>
        </w:tc>
        <w:tc>
          <w:tcPr>
            <w:tcW w:w="3615" w:type="dxa"/>
            <w:gridSpan w:val="4"/>
            <w:tcBorders>
              <w:left w:val="double" w:sz="4" w:space="0" w:color="C00000"/>
              <w:bottom w:val="double" w:sz="4" w:space="0" w:color="C00000"/>
            </w:tcBorders>
            <w:shd w:val="clear" w:color="auto" w:fill="C00000"/>
            <w:vAlign w:val="center"/>
          </w:tcPr>
          <w:p w14:paraId="5CC77B6E" w14:textId="77777777" w:rsidR="00FA4F64" w:rsidRPr="00D85C68" w:rsidRDefault="00FA4F64" w:rsidP="00783B64">
            <w:pPr>
              <w:jc w:val="center"/>
              <w:rPr>
                <w:b/>
                <w:color w:val="FFFFFF"/>
                <w:sz w:val="18"/>
                <w:szCs w:val="18"/>
              </w:rPr>
            </w:pPr>
            <w:r w:rsidRPr="00D85C68">
              <w:rPr>
                <w:b/>
                <w:color w:val="FFFFFF"/>
                <w:sz w:val="18"/>
                <w:szCs w:val="18"/>
              </w:rPr>
              <w:t xml:space="preserve">Número de personas </w:t>
            </w:r>
          </w:p>
          <w:p w14:paraId="6BD711EA" w14:textId="77777777" w:rsidR="00FA4F64" w:rsidRPr="00D85C68" w:rsidRDefault="00FA4F64" w:rsidP="00783B64">
            <w:pPr>
              <w:jc w:val="center"/>
              <w:rPr>
                <w:b/>
                <w:color w:val="FFFFFF"/>
                <w:sz w:val="18"/>
                <w:szCs w:val="18"/>
              </w:rPr>
            </w:pPr>
            <w:r w:rsidRPr="00D85C68">
              <w:rPr>
                <w:b/>
                <w:color w:val="FFFFFF"/>
                <w:sz w:val="18"/>
                <w:szCs w:val="18"/>
              </w:rPr>
              <w:t>(cifras en miles y %)</w:t>
            </w:r>
          </w:p>
        </w:tc>
      </w:tr>
      <w:tr w:rsidR="00FA4F64" w:rsidRPr="00D85C68" w14:paraId="46D202E0" w14:textId="77777777" w:rsidTr="003A3F84">
        <w:trPr>
          <w:cantSplit/>
          <w:trHeight w:val="1390"/>
        </w:trPr>
        <w:tc>
          <w:tcPr>
            <w:tcW w:w="869" w:type="dxa"/>
            <w:tcBorders>
              <w:top w:val="double" w:sz="4" w:space="0" w:color="C00000"/>
              <w:bottom w:val="double" w:sz="4" w:space="0" w:color="C00000"/>
              <w:right w:val="double" w:sz="4" w:space="0" w:color="C00000"/>
            </w:tcBorders>
            <w:vAlign w:val="center"/>
          </w:tcPr>
          <w:p w14:paraId="3BBA85FF" w14:textId="77777777" w:rsidR="00FA4F64" w:rsidRPr="00D85C68" w:rsidRDefault="00FA4F64" w:rsidP="00783B64">
            <w:pPr>
              <w:ind w:left="113" w:right="113"/>
              <w:jc w:val="center"/>
              <w:rPr>
                <w:sz w:val="12"/>
                <w:szCs w:val="12"/>
              </w:rPr>
            </w:pPr>
            <w:r w:rsidRPr="00D85C68">
              <w:rPr>
                <w:sz w:val="12"/>
                <w:szCs w:val="12"/>
              </w:rPr>
              <w:t>Hombres (miles)</w:t>
            </w:r>
          </w:p>
        </w:tc>
        <w:tc>
          <w:tcPr>
            <w:tcW w:w="938" w:type="dxa"/>
            <w:tcBorders>
              <w:top w:val="double" w:sz="4" w:space="0" w:color="C00000"/>
              <w:left w:val="double" w:sz="4" w:space="0" w:color="C00000"/>
              <w:bottom w:val="double" w:sz="4" w:space="0" w:color="C00000"/>
              <w:right w:val="double" w:sz="4" w:space="0" w:color="C00000"/>
            </w:tcBorders>
            <w:vAlign w:val="center"/>
          </w:tcPr>
          <w:p w14:paraId="7DB34B85" w14:textId="77777777" w:rsidR="00FA4F64" w:rsidRPr="00D85C68" w:rsidRDefault="00FA4F64" w:rsidP="00783B64">
            <w:pPr>
              <w:ind w:left="113" w:right="113"/>
              <w:jc w:val="center"/>
              <w:rPr>
                <w:sz w:val="12"/>
                <w:szCs w:val="12"/>
              </w:rPr>
            </w:pPr>
            <w:r w:rsidRPr="00D85C68">
              <w:rPr>
                <w:sz w:val="12"/>
                <w:szCs w:val="12"/>
              </w:rPr>
              <w:t>Mujeres (miles)</w:t>
            </w:r>
          </w:p>
        </w:tc>
        <w:tc>
          <w:tcPr>
            <w:tcW w:w="904" w:type="dxa"/>
            <w:tcBorders>
              <w:top w:val="double" w:sz="4" w:space="0" w:color="C00000"/>
              <w:left w:val="double" w:sz="4" w:space="0" w:color="C00000"/>
              <w:bottom w:val="double" w:sz="4" w:space="0" w:color="C00000"/>
              <w:right w:val="double" w:sz="4" w:space="0" w:color="C00000"/>
            </w:tcBorders>
            <w:vAlign w:val="center"/>
          </w:tcPr>
          <w:p w14:paraId="62651CE2" w14:textId="77777777" w:rsidR="00FA4F64" w:rsidRPr="00D85C68" w:rsidRDefault="00FA4F64" w:rsidP="00783B64">
            <w:pPr>
              <w:ind w:left="113" w:right="113"/>
              <w:jc w:val="center"/>
              <w:rPr>
                <w:sz w:val="12"/>
                <w:szCs w:val="12"/>
              </w:rPr>
            </w:pPr>
            <w:r w:rsidRPr="00D85C68">
              <w:rPr>
                <w:sz w:val="12"/>
                <w:szCs w:val="12"/>
              </w:rPr>
              <w:t>Brecha (%) (H-M)</w:t>
            </w:r>
          </w:p>
        </w:tc>
        <w:tc>
          <w:tcPr>
            <w:tcW w:w="904" w:type="dxa"/>
            <w:tcBorders>
              <w:top w:val="double" w:sz="4" w:space="0" w:color="C00000"/>
              <w:left w:val="double" w:sz="4" w:space="0" w:color="C00000"/>
              <w:bottom w:val="double" w:sz="4" w:space="0" w:color="C00000"/>
              <w:right w:val="double" w:sz="4" w:space="0" w:color="C00000"/>
            </w:tcBorders>
            <w:vAlign w:val="center"/>
          </w:tcPr>
          <w:p w14:paraId="5C11F5C6" w14:textId="77777777" w:rsidR="00FA4F64" w:rsidRPr="00D85C68" w:rsidRDefault="00FA4F64" w:rsidP="00783B64">
            <w:pPr>
              <w:ind w:left="113" w:right="113"/>
              <w:jc w:val="center"/>
              <w:rPr>
                <w:sz w:val="12"/>
                <w:szCs w:val="12"/>
              </w:rPr>
            </w:pPr>
            <w:r w:rsidRPr="00D85C68">
              <w:rPr>
                <w:sz w:val="12"/>
                <w:szCs w:val="12"/>
              </w:rPr>
              <w:t>Hombres (miles)</w:t>
            </w:r>
          </w:p>
        </w:tc>
        <w:tc>
          <w:tcPr>
            <w:tcW w:w="904" w:type="dxa"/>
            <w:tcBorders>
              <w:top w:val="double" w:sz="4" w:space="0" w:color="C00000"/>
              <w:left w:val="double" w:sz="4" w:space="0" w:color="C00000"/>
              <w:bottom w:val="double" w:sz="4" w:space="0" w:color="C00000"/>
              <w:right w:val="double" w:sz="4" w:space="0" w:color="C00000"/>
            </w:tcBorders>
            <w:vAlign w:val="center"/>
          </w:tcPr>
          <w:p w14:paraId="380E8772" w14:textId="77777777" w:rsidR="00FA4F64" w:rsidRPr="00D85C68" w:rsidRDefault="00FA4F64" w:rsidP="00783B64">
            <w:pPr>
              <w:ind w:left="113" w:right="113"/>
              <w:jc w:val="center"/>
              <w:rPr>
                <w:sz w:val="12"/>
                <w:szCs w:val="12"/>
              </w:rPr>
            </w:pPr>
            <w:r w:rsidRPr="00D85C68">
              <w:rPr>
                <w:sz w:val="12"/>
                <w:szCs w:val="12"/>
              </w:rPr>
              <w:t>Mujeres (miles)</w:t>
            </w:r>
          </w:p>
        </w:tc>
        <w:tc>
          <w:tcPr>
            <w:tcW w:w="904" w:type="dxa"/>
            <w:tcBorders>
              <w:top w:val="double" w:sz="4" w:space="0" w:color="C00000"/>
              <w:left w:val="double" w:sz="4" w:space="0" w:color="C00000"/>
              <w:bottom w:val="double" w:sz="4" w:space="0" w:color="C00000"/>
              <w:right w:val="double" w:sz="4" w:space="0" w:color="C00000"/>
            </w:tcBorders>
            <w:vAlign w:val="center"/>
          </w:tcPr>
          <w:p w14:paraId="206EE414" w14:textId="77777777" w:rsidR="00FA4F64" w:rsidRPr="00D85C68" w:rsidRDefault="00FA4F64" w:rsidP="00783B64">
            <w:pPr>
              <w:ind w:left="113" w:right="113"/>
              <w:jc w:val="center"/>
              <w:rPr>
                <w:sz w:val="12"/>
                <w:szCs w:val="12"/>
              </w:rPr>
            </w:pPr>
            <w:r w:rsidRPr="00D85C68">
              <w:rPr>
                <w:sz w:val="12"/>
                <w:szCs w:val="12"/>
              </w:rPr>
              <w:t>Brecha (%) (H-M)</w:t>
            </w:r>
          </w:p>
        </w:tc>
        <w:tc>
          <w:tcPr>
            <w:tcW w:w="904" w:type="dxa"/>
            <w:tcBorders>
              <w:top w:val="double" w:sz="4" w:space="0" w:color="C00000"/>
              <w:left w:val="double" w:sz="4" w:space="0" w:color="C00000"/>
              <w:bottom w:val="double" w:sz="4" w:space="0" w:color="C00000"/>
              <w:right w:val="double" w:sz="4" w:space="0" w:color="C00000"/>
            </w:tcBorders>
            <w:vAlign w:val="center"/>
          </w:tcPr>
          <w:p w14:paraId="59308790" w14:textId="77777777" w:rsidR="00FA4F64" w:rsidRPr="00D85C68" w:rsidRDefault="00FA4F64" w:rsidP="00783B64">
            <w:pPr>
              <w:ind w:left="113" w:right="113"/>
              <w:jc w:val="center"/>
              <w:rPr>
                <w:sz w:val="12"/>
                <w:szCs w:val="12"/>
              </w:rPr>
            </w:pPr>
            <w:r w:rsidRPr="00D85C68">
              <w:rPr>
                <w:sz w:val="12"/>
                <w:szCs w:val="12"/>
              </w:rPr>
              <w:t>Hombres (miles)</w:t>
            </w:r>
          </w:p>
        </w:tc>
        <w:tc>
          <w:tcPr>
            <w:tcW w:w="904" w:type="dxa"/>
            <w:tcBorders>
              <w:top w:val="double" w:sz="4" w:space="0" w:color="C00000"/>
              <w:left w:val="double" w:sz="4" w:space="0" w:color="C00000"/>
              <w:bottom w:val="double" w:sz="4" w:space="0" w:color="C00000"/>
              <w:right w:val="double" w:sz="4" w:space="0" w:color="C00000"/>
            </w:tcBorders>
            <w:vAlign w:val="center"/>
          </w:tcPr>
          <w:p w14:paraId="35CD9746" w14:textId="77777777" w:rsidR="00FA4F64" w:rsidRPr="00D85C68" w:rsidRDefault="00FA4F64" w:rsidP="00783B64">
            <w:pPr>
              <w:ind w:left="113" w:right="113"/>
              <w:jc w:val="center"/>
              <w:rPr>
                <w:sz w:val="12"/>
                <w:szCs w:val="12"/>
              </w:rPr>
            </w:pPr>
            <w:r w:rsidRPr="00D85C68">
              <w:rPr>
                <w:sz w:val="12"/>
                <w:szCs w:val="12"/>
              </w:rPr>
              <w:t>Mujeres (miles)</w:t>
            </w:r>
          </w:p>
        </w:tc>
        <w:tc>
          <w:tcPr>
            <w:tcW w:w="835" w:type="dxa"/>
            <w:tcBorders>
              <w:top w:val="double" w:sz="4" w:space="0" w:color="C00000"/>
              <w:left w:val="double" w:sz="4" w:space="0" w:color="C00000"/>
              <w:bottom w:val="double" w:sz="4" w:space="0" w:color="C00000"/>
              <w:right w:val="double" w:sz="4" w:space="0" w:color="C00000"/>
            </w:tcBorders>
            <w:vAlign w:val="center"/>
          </w:tcPr>
          <w:p w14:paraId="2B312ADA" w14:textId="77777777" w:rsidR="00FA4F64" w:rsidRPr="00D85C68" w:rsidRDefault="00FA4F64" w:rsidP="00783B64">
            <w:pPr>
              <w:ind w:left="113" w:right="113"/>
              <w:jc w:val="center"/>
              <w:rPr>
                <w:sz w:val="12"/>
                <w:szCs w:val="12"/>
              </w:rPr>
            </w:pPr>
            <w:r w:rsidRPr="00D85C68">
              <w:rPr>
                <w:sz w:val="12"/>
                <w:szCs w:val="12"/>
              </w:rPr>
              <w:t>Total (miles)</w:t>
            </w:r>
          </w:p>
        </w:tc>
        <w:tc>
          <w:tcPr>
            <w:tcW w:w="972" w:type="dxa"/>
            <w:tcBorders>
              <w:top w:val="double" w:sz="4" w:space="0" w:color="C00000"/>
              <w:left w:val="double" w:sz="4" w:space="0" w:color="C00000"/>
              <w:bottom w:val="double" w:sz="4" w:space="0" w:color="C00000"/>
            </w:tcBorders>
            <w:vAlign w:val="center"/>
          </w:tcPr>
          <w:p w14:paraId="1845BF8B" w14:textId="77777777" w:rsidR="00FA4F64" w:rsidRPr="00D85C68" w:rsidRDefault="00FA4F64" w:rsidP="00783B64">
            <w:pPr>
              <w:ind w:left="113" w:right="113"/>
              <w:jc w:val="center"/>
              <w:rPr>
                <w:sz w:val="12"/>
                <w:szCs w:val="12"/>
              </w:rPr>
            </w:pPr>
            <w:r w:rsidRPr="00D85C68">
              <w:rPr>
                <w:sz w:val="12"/>
                <w:szCs w:val="12"/>
              </w:rPr>
              <w:t>Porcentaje de mujeres (%)</w:t>
            </w:r>
          </w:p>
        </w:tc>
      </w:tr>
      <w:tr w:rsidR="00FA4F64" w:rsidRPr="00D85C68" w14:paraId="281632D9" w14:textId="77777777" w:rsidTr="003A3F84">
        <w:trPr>
          <w:trHeight w:val="597"/>
        </w:trPr>
        <w:tc>
          <w:tcPr>
            <w:tcW w:w="869" w:type="dxa"/>
            <w:tcBorders>
              <w:top w:val="double" w:sz="4" w:space="0" w:color="C00000"/>
              <w:bottom w:val="double" w:sz="4" w:space="0" w:color="C00000"/>
              <w:right w:val="double" w:sz="4" w:space="0" w:color="C00000"/>
            </w:tcBorders>
            <w:vAlign w:val="center"/>
          </w:tcPr>
          <w:p w14:paraId="01C51AE1" w14:textId="77777777" w:rsidR="00FA4F64" w:rsidRPr="00D85C68" w:rsidRDefault="00FA4F64" w:rsidP="00783B64">
            <w:pPr>
              <w:jc w:val="center"/>
              <w:rPr>
                <w:sz w:val="18"/>
                <w:szCs w:val="18"/>
              </w:rPr>
            </w:pPr>
            <w:r w:rsidRPr="00D85C68">
              <w:rPr>
                <w:sz w:val="18"/>
                <w:szCs w:val="18"/>
              </w:rPr>
              <w:t>1.802</w:t>
            </w:r>
          </w:p>
        </w:tc>
        <w:tc>
          <w:tcPr>
            <w:tcW w:w="938" w:type="dxa"/>
            <w:tcBorders>
              <w:top w:val="double" w:sz="4" w:space="0" w:color="C00000"/>
              <w:left w:val="double" w:sz="4" w:space="0" w:color="C00000"/>
              <w:bottom w:val="double" w:sz="4" w:space="0" w:color="C00000"/>
              <w:right w:val="double" w:sz="4" w:space="0" w:color="C00000"/>
            </w:tcBorders>
            <w:vAlign w:val="center"/>
          </w:tcPr>
          <w:p w14:paraId="01A4D281" w14:textId="77777777" w:rsidR="00FA4F64" w:rsidRPr="00D85C68" w:rsidRDefault="00FA4F64" w:rsidP="00783B64">
            <w:pPr>
              <w:jc w:val="center"/>
              <w:rPr>
                <w:sz w:val="18"/>
                <w:szCs w:val="18"/>
              </w:rPr>
            </w:pPr>
            <w:r w:rsidRPr="00D85C68">
              <w:rPr>
                <w:sz w:val="18"/>
                <w:szCs w:val="18"/>
              </w:rPr>
              <w:t>1.638</w:t>
            </w:r>
          </w:p>
        </w:tc>
        <w:tc>
          <w:tcPr>
            <w:tcW w:w="904" w:type="dxa"/>
            <w:tcBorders>
              <w:top w:val="double" w:sz="4" w:space="0" w:color="C00000"/>
              <w:left w:val="double" w:sz="4" w:space="0" w:color="C00000"/>
              <w:bottom w:val="double" w:sz="4" w:space="0" w:color="C00000"/>
              <w:right w:val="double" w:sz="4" w:space="0" w:color="C00000"/>
            </w:tcBorders>
            <w:vAlign w:val="center"/>
          </w:tcPr>
          <w:p w14:paraId="2B2C4B26" w14:textId="77777777" w:rsidR="00FA4F64" w:rsidRPr="00D85C68" w:rsidRDefault="00FA4F64" w:rsidP="00783B64">
            <w:pPr>
              <w:jc w:val="center"/>
              <w:rPr>
                <w:sz w:val="18"/>
                <w:szCs w:val="18"/>
              </w:rPr>
            </w:pPr>
            <w:r w:rsidRPr="00D85C68">
              <w:rPr>
                <w:sz w:val="18"/>
                <w:szCs w:val="18"/>
              </w:rPr>
              <w:t>9,1</w:t>
            </w:r>
          </w:p>
        </w:tc>
        <w:tc>
          <w:tcPr>
            <w:tcW w:w="904" w:type="dxa"/>
            <w:tcBorders>
              <w:top w:val="double" w:sz="4" w:space="0" w:color="C00000"/>
              <w:left w:val="double" w:sz="4" w:space="0" w:color="C00000"/>
              <w:bottom w:val="double" w:sz="4" w:space="0" w:color="C00000"/>
              <w:right w:val="double" w:sz="4" w:space="0" w:color="C00000"/>
            </w:tcBorders>
            <w:vAlign w:val="center"/>
          </w:tcPr>
          <w:p w14:paraId="5D4BC8B0" w14:textId="77777777" w:rsidR="00FA4F64" w:rsidRPr="00D85C68" w:rsidRDefault="00FA4F64" w:rsidP="00783B64">
            <w:pPr>
              <w:jc w:val="center"/>
              <w:rPr>
                <w:sz w:val="18"/>
                <w:szCs w:val="18"/>
              </w:rPr>
            </w:pPr>
            <w:r w:rsidRPr="00D85C68">
              <w:rPr>
                <w:sz w:val="18"/>
                <w:szCs w:val="18"/>
              </w:rPr>
              <w:t>9,1</w:t>
            </w:r>
          </w:p>
        </w:tc>
        <w:tc>
          <w:tcPr>
            <w:tcW w:w="904" w:type="dxa"/>
            <w:tcBorders>
              <w:top w:val="double" w:sz="4" w:space="0" w:color="C00000"/>
              <w:left w:val="double" w:sz="4" w:space="0" w:color="C00000"/>
              <w:bottom w:val="double" w:sz="4" w:space="0" w:color="C00000"/>
              <w:right w:val="double" w:sz="4" w:space="0" w:color="C00000"/>
            </w:tcBorders>
            <w:vAlign w:val="center"/>
          </w:tcPr>
          <w:p w14:paraId="3F5EF778" w14:textId="77777777" w:rsidR="00FA4F64" w:rsidRPr="00D85C68" w:rsidRDefault="00FA4F64" w:rsidP="00783B64">
            <w:pPr>
              <w:jc w:val="center"/>
              <w:rPr>
                <w:sz w:val="18"/>
                <w:szCs w:val="18"/>
              </w:rPr>
            </w:pPr>
            <w:r w:rsidRPr="00D85C68">
              <w:rPr>
                <w:sz w:val="18"/>
                <w:szCs w:val="18"/>
              </w:rPr>
              <w:t>8,9</w:t>
            </w:r>
          </w:p>
        </w:tc>
        <w:tc>
          <w:tcPr>
            <w:tcW w:w="904" w:type="dxa"/>
            <w:tcBorders>
              <w:top w:val="double" w:sz="4" w:space="0" w:color="C00000"/>
              <w:left w:val="double" w:sz="4" w:space="0" w:color="C00000"/>
              <w:bottom w:val="double" w:sz="4" w:space="0" w:color="C00000"/>
              <w:right w:val="double" w:sz="4" w:space="0" w:color="C00000"/>
            </w:tcBorders>
            <w:vAlign w:val="center"/>
          </w:tcPr>
          <w:p w14:paraId="39488B90" w14:textId="77777777" w:rsidR="00FA4F64" w:rsidRPr="00D85C68" w:rsidRDefault="00FA4F64" w:rsidP="00783B64">
            <w:pPr>
              <w:jc w:val="center"/>
              <w:rPr>
                <w:sz w:val="18"/>
                <w:szCs w:val="18"/>
              </w:rPr>
            </w:pPr>
            <w:r w:rsidRPr="00D85C68">
              <w:rPr>
                <w:sz w:val="18"/>
                <w:szCs w:val="18"/>
              </w:rPr>
              <w:t>1,3</w:t>
            </w:r>
          </w:p>
        </w:tc>
        <w:tc>
          <w:tcPr>
            <w:tcW w:w="904" w:type="dxa"/>
            <w:tcBorders>
              <w:top w:val="double" w:sz="4" w:space="0" w:color="C00000"/>
              <w:left w:val="double" w:sz="4" w:space="0" w:color="C00000"/>
              <w:bottom w:val="double" w:sz="4" w:space="0" w:color="C00000"/>
              <w:right w:val="double" w:sz="4" w:space="0" w:color="C00000"/>
            </w:tcBorders>
            <w:vAlign w:val="center"/>
          </w:tcPr>
          <w:p w14:paraId="2F1EEC67" w14:textId="77777777" w:rsidR="00FA4F64" w:rsidRPr="00D85C68" w:rsidRDefault="00FA4F64" w:rsidP="00783B64">
            <w:pPr>
              <w:jc w:val="center"/>
              <w:rPr>
                <w:sz w:val="18"/>
                <w:szCs w:val="18"/>
              </w:rPr>
            </w:pPr>
            <w:r w:rsidRPr="00D85C68">
              <w:rPr>
                <w:sz w:val="18"/>
                <w:szCs w:val="18"/>
              </w:rPr>
              <w:t>2.105</w:t>
            </w:r>
          </w:p>
        </w:tc>
        <w:tc>
          <w:tcPr>
            <w:tcW w:w="904" w:type="dxa"/>
            <w:tcBorders>
              <w:top w:val="double" w:sz="4" w:space="0" w:color="C00000"/>
              <w:left w:val="double" w:sz="4" w:space="0" w:color="C00000"/>
              <w:bottom w:val="double" w:sz="4" w:space="0" w:color="C00000"/>
              <w:right w:val="double" w:sz="4" w:space="0" w:color="C00000"/>
            </w:tcBorders>
            <w:vAlign w:val="center"/>
          </w:tcPr>
          <w:p w14:paraId="50600422" w14:textId="77777777" w:rsidR="00FA4F64" w:rsidRPr="00D85C68" w:rsidRDefault="00FA4F64" w:rsidP="00783B64">
            <w:pPr>
              <w:jc w:val="center"/>
              <w:rPr>
                <w:sz w:val="18"/>
                <w:szCs w:val="18"/>
              </w:rPr>
            </w:pPr>
            <w:r w:rsidRPr="00D85C68">
              <w:rPr>
                <w:sz w:val="18"/>
                <w:szCs w:val="18"/>
              </w:rPr>
              <w:t>1.687</w:t>
            </w:r>
          </w:p>
        </w:tc>
        <w:tc>
          <w:tcPr>
            <w:tcW w:w="835" w:type="dxa"/>
            <w:tcBorders>
              <w:top w:val="double" w:sz="4" w:space="0" w:color="C00000"/>
              <w:left w:val="double" w:sz="4" w:space="0" w:color="C00000"/>
              <w:bottom w:val="double" w:sz="4" w:space="0" w:color="C00000"/>
              <w:right w:val="double" w:sz="4" w:space="0" w:color="C00000"/>
            </w:tcBorders>
            <w:vAlign w:val="center"/>
          </w:tcPr>
          <w:p w14:paraId="0E8B6897" w14:textId="77777777" w:rsidR="00FA4F64" w:rsidRPr="00D85C68" w:rsidRDefault="00FA4F64" w:rsidP="00783B64">
            <w:pPr>
              <w:jc w:val="center"/>
              <w:rPr>
                <w:sz w:val="18"/>
                <w:szCs w:val="18"/>
              </w:rPr>
            </w:pPr>
            <w:r w:rsidRPr="00D85C68">
              <w:rPr>
                <w:sz w:val="18"/>
                <w:szCs w:val="18"/>
              </w:rPr>
              <w:t>3.792</w:t>
            </w:r>
          </w:p>
        </w:tc>
        <w:tc>
          <w:tcPr>
            <w:tcW w:w="972" w:type="dxa"/>
            <w:tcBorders>
              <w:top w:val="double" w:sz="4" w:space="0" w:color="C00000"/>
              <w:left w:val="double" w:sz="4" w:space="0" w:color="C00000"/>
              <w:bottom w:val="double" w:sz="4" w:space="0" w:color="C00000"/>
            </w:tcBorders>
            <w:vAlign w:val="center"/>
          </w:tcPr>
          <w:p w14:paraId="15383356" w14:textId="77777777" w:rsidR="00FA4F64" w:rsidRPr="00D85C68" w:rsidRDefault="00FA4F64" w:rsidP="00783B64">
            <w:pPr>
              <w:jc w:val="center"/>
              <w:rPr>
                <w:sz w:val="18"/>
                <w:szCs w:val="18"/>
              </w:rPr>
            </w:pPr>
            <w:r w:rsidRPr="00D85C68">
              <w:rPr>
                <w:sz w:val="18"/>
                <w:szCs w:val="18"/>
              </w:rPr>
              <w:t>44,5 %</w:t>
            </w:r>
          </w:p>
        </w:tc>
      </w:tr>
    </w:tbl>
    <w:p w14:paraId="60FB5F82" w14:textId="77777777" w:rsidR="00FA4F64" w:rsidRDefault="00FA4F64" w:rsidP="003A3F8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DANE. Gran Encuesta Integrada de Hogares (GEIH) (2021).</w:t>
      </w:r>
    </w:p>
    <w:p w14:paraId="66A8706C" w14:textId="77777777" w:rsidR="00FA4F64" w:rsidRDefault="00FA4F64" w:rsidP="00FA4F64">
      <w:pPr>
        <w:spacing w:line="480" w:lineRule="auto"/>
        <w:rPr>
          <w:rFonts w:ascii="Times New Roman" w:hAnsi="Times New Roman"/>
          <w:sz w:val="24"/>
        </w:rPr>
      </w:pPr>
    </w:p>
    <w:p w14:paraId="268BE973" w14:textId="1F3F9E4B" w:rsidR="003A3F84" w:rsidRDefault="003A3F84" w:rsidP="00FA4F64">
      <w:pPr>
        <w:spacing w:line="480" w:lineRule="auto"/>
        <w:rPr>
          <w:rFonts w:ascii="Times New Roman" w:hAnsi="Times New Roman"/>
          <w:sz w:val="24"/>
        </w:rPr>
        <w:sectPr w:rsidR="003A3F84" w:rsidSect="00F7078E">
          <w:type w:val="continuous"/>
          <w:pgSz w:w="12240" w:h="15840"/>
          <w:pgMar w:top="2262" w:right="1440" w:bottom="1440" w:left="1440" w:header="708" w:footer="708" w:gutter="0"/>
          <w:cols w:space="720"/>
        </w:sectPr>
      </w:pPr>
    </w:p>
    <w:p w14:paraId="6087B7D8" w14:textId="77777777" w:rsidR="00FA4F64" w:rsidRDefault="00FA4F64" w:rsidP="00FA4F64">
      <w:r>
        <w:t xml:space="preserve">Aunque se han realizado numerosos esfuerzos en la ciudad para disminuir las diferentes brechas laborales y de formalización, se evidencia que en la actualidad siguen existiendo otras brechas poblacionales y de género con impactos particulares sobre jóvenes, personas mayores, mujeres, entre otros. La TD entre la población </w:t>
      </w:r>
      <w:r>
        <w:t xml:space="preserve">juvenil (15 a 28 años) de la capital cayó 3,2 p.p. al pasar de 19,2% en el trimestre móvil enero-marzo de 2022 a 16,0% en el mismo periodo de 2023. La población desocupada en este grupo de edad disminuyó 10,4%, al pasar de 193.180 personas en 2022, a 173.013 personas en el mismo periodo de 2023. El 70.2% de los </w:t>
      </w:r>
      <w:r>
        <w:lastRenderedPageBreak/>
        <w:t>ocupados en el segmento de la población joven se concentró en cinco actividades económicas: comercio y reparación de vehículos (20,3%), actividades profesionales, científicas y técnicas (18,9%), industrias manufactureras (11,48 %), administración pública y defensa (11,53 %) y alojamiento y servicios de comida (8,6 %).</w:t>
      </w:r>
    </w:p>
    <w:p w14:paraId="51A4B5DB" w14:textId="77777777" w:rsidR="00FA4F64" w:rsidRDefault="00FA4F64" w:rsidP="00FA4F64"/>
    <w:p w14:paraId="36E16AFA" w14:textId="77777777" w:rsidR="00FA4F64" w:rsidRDefault="00FA4F64" w:rsidP="00FA4F64">
      <w:r>
        <w:t>De acuerdo con los resultados de la Encuesta de Demanda Laboral 2020-2021 realizada por la Secretaría Distrital de Desarrollo Económico, el 63,8 % de las empresas buscan candidatos para llenar vacantes a través de referencias, seguido por las redes sociales con un 14,7 %, mientras que solo el 7,9 % lo hace a través de agencia o bolsa de empleo pública o privada.</w:t>
      </w:r>
    </w:p>
    <w:p w14:paraId="00D1B930" w14:textId="77777777" w:rsidR="00FA4F64" w:rsidRDefault="00FA4F64" w:rsidP="00FA4F64"/>
    <w:p w14:paraId="08BA1B0A" w14:textId="77777777" w:rsidR="00FA4F64" w:rsidRDefault="00FA4F64" w:rsidP="00FA4F64">
      <w:r>
        <w:t>Por actividades económicas, la generación de empleo entre 2015 y 2023 revela que Bogotá tiene una serie de tendencias en los sectores de comercio y reparación de vehículos, administración pública, y actividades profesionales, científicas y técnicas, que se destacan por su contribución a la generación de empleo. Esto contrasta con sectores como industria y manufactura que han disminuido su participación en la contribución de empleo, puesto que en el 2020 su participación era de 13,9 % y en 2023 su participación fue de 11,4 %, disminuyendo alrededor de 2,5 p.p.</w:t>
      </w:r>
    </w:p>
    <w:p w14:paraId="66AC15BD" w14:textId="77777777" w:rsidR="00FA4F64" w:rsidRDefault="00FA4F64" w:rsidP="00FA4F64"/>
    <w:p w14:paraId="72CAE776" w14:textId="77777777" w:rsidR="00FA4F64" w:rsidRDefault="00FA4F64" w:rsidP="00FA4F64">
      <w:r>
        <w:t xml:space="preserve">Por su parte, las actividades artísticas, de entretenimiento, recreativas y deportivas han tenido un impacto significativo en el Producto Interno Bruto (PIB) de Bogotá. En el 2022, el PIB de Bogotá creció un 9,9 %, y dentro de este crecimiento las actividades artísticas, de entretenimiento y recreación fueron un gran contribuyente, con un crecimiento del 29,2 %. Estas </w:t>
      </w:r>
      <w:r>
        <w:t xml:space="preserve">actividades aportaron 1,6 p.p. al crecimiento del valor agregado de la ciudad. </w:t>
      </w:r>
    </w:p>
    <w:p w14:paraId="6D1E7C52" w14:textId="77777777" w:rsidR="00FA4F64" w:rsidRDefault="00FA4F64" w:rsidP="00FA4F64"/>
    <w:p w14:paraId="459449B4" w14:textId="77777777" w:rsidR="00FA4F64" w:rsidRDefault="00FA4F64" w:rsidP="00FA4F64">
      <w:r>
        <w:t xml:space="preserve">Con lo anterior, vale la pena mencionar la importancia de las economías culturales y creativas para la ciudad, dada los últimos valores arrojados por la Cuenta Satélite de Economía Cultural y Creativa de Bogotá - CSECCB. Para 2022 reveló que el número de puestos de trabajo presentó un crecimiento de 6,1% (dato preliminar -pr-) con respecto a 2021 (provisional -p-), explicado por las actividades relacionadas al área de las Industrias culturales convencionales (editorial, audiovisual, fonográfica) de 9,2%, y del área de las Creaciones funcionales (software, diseño, publicidad) en 8,2%. Por su parte, el área de Artes y patrimonio decreció en 3,1%. </w:t>
      </w:r>
    </w:p>
    <w:p w14:paraId="64DC583A" w14:textId="77777777" w:rsidR="00FA4F64" w:rsidRDefault="00FA4F64" w:rsidP="00FA4F64"/>
    <w:p w14:paraId="7431A11A" w14:textId="1D0CBEB4" w:rsidR="00FA4F64" w:rsidRDefault="00FA4F64" w:rsidP="00FA4F64">
      <w:r>
        <w:t xml:space="preserve">Así, en términos de Valor agregado, este sector superó los $17.2 billones de pesos en el 2022pr, cifra que representó el 5.5% del total del valor agregado de la ciudad y el 61.8% frente al valor agregado nacional (excluyendo turismo cultural). </w:t>
      </w:r>
    </w:p>
    <w:p w14:paraId="2EFE6233" w14:textId="77777777" w:rsidR="00FA4F64" w:rsidRDefault="00FA4F64" w:rsidP="00FA4F64"/>
    <w:p w14:paraId="700A0CD3" w14:textId="77777777" w:rsidR="00FA4F64" w:rsidRDefault="00FA4F64" w:rsidP="00FA4F64">
      <w:r>
        <w:t xml:space="preserve">En ese mismo sentido, el valor agregado del sector deporte, según la Cuenta Satélite del Deporte de Bogotá, presentó un crecimiento de 28,3% en el 2022 con respecto a 2021pr, al pasar de $7,3 billones de pesos a $9,3 billones de pesos. </w:t>
      </w:r>
    </w:p>
    <w:p w14:paraId="4C9AF3BC" w14:textId="77777777" w:rsidR="00FA4F64" w:rsidRDefault="00FA4F64" w:rsidP="00FA4F64"/>
    <w:p w14:paraId="6F856184" w14:textId="71A730C9"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 xml:space="preserve">Lo que demuestra cómo los sectores culturales, creativos y deportivos se vienen convirtiendo en un motor para el desarrollo de la ciudad, a través del talento bogotano, con espacio para la productividad y el mejoramiento de las oportunidades </w:t>
      </w:r>
      <w:r w:rsidR="00425034">
        <w:t>laborales.</w:t>
      </w:r>
    </w:p>
    <w:p w14:paraId="365E76C4" w14:textId="77777777" w:rsidR="00FA4F64" w:rsidRDefault="00FA4F64" w:rsidP="00FA4F64">
      <w:pPr>
        <w:spacing w:line="480" w:lineRule="auto"/>
        <w:rPr>
          <w:rFonts w:ascii="Times New Roman" w:hAnsi="Times New Roman"/>
          <w:sz w:val="24"/>
        </w:rPr>
      </w:pPr>
    </w:p>
    <w:p w14:paraId="60FF0C40" w14:textId="77777777" w:rsidR="00FA4F64" w:rsidRPr="00B24799" w:rsidRDefault="00FA4F64" w:rsidP="00B24799">
      <w:pPr>
        <w:ind w:firstLine="708"/>
        <w:rPr>
          <w:b/>
          <w:bCs/>
          <w:sz w:val="24"/>
        </w:rPr>
        <w:sectPr w:rsidR="00FA4F64" w:rsidRPr="00B24799" w:rsidSect="00F7078E">
          <w:type w:val="continuous"/>
          <w:pgSz w:w="12240" w:h="15840"/>
          <w:pgMar w:top="2262" w:right="1440" w:bottom="1440" w:left="1440" w:header="708" w:footer="708" w:gutter="0"/>
          <w:cols w:space="720"/>
        </w:sectPr>
      </w:pPr>
      <w:r w:rsidRPr="00B24799">
        <w:rPr>
          <w:b/>
          <w:bCs/>
          <w:sz w:val="24"/>
        </w:rPr>
        <w:t>Descripción del programa</w:t>
      </w:r>
    </w:p>
    <w:p w14:paraId="3385E54B" w14:textId="77777777" w:rsidR="00FA4F64" w:rsidRDefault="00FA4F64" w:rsidP="00FA4F64">
      <w:r>
        <w:t xml:space="preserve">El programa parte de la necesidad que tiene Bogotá de posicionarse como un destino atractivo para la inversión extranjera, la creación y potencialización de empresas innovadoras, la </w:t>
      </w:r>
      <w:r>
        <w:t>realización de grandes eventos y la atracción de turistas.</w:t>
      </w:r>
    </w:p>
    <w:p w14:paraId="32BA3342" w14:textId="77777777" w:rsidR="00FA4F64" w:rsidRDefault="00FA4F64" w:rsidP="00FA4F64"/>
    <w:p w14:paraId="2C4D299E" w14:textId="77777777" w:rsidR="00FA4F64" w:rsidRDefault="00FA4F64" w:rsidP="00FA4F64">
      <w:r>
        <w:lastRenderedPageBreak/>
        <w:t>Para ello, este programa fortalecerá el tejido empresarial de Bogotá mediante estrategias que promuevan mejoras en la productividad de las empresas a través de la innovación, la participación en mercados internacionales y el posicionamiento de la ciudad como destino de inversión extranjera directa y epicentro de eventos de ciudad con alcance internacional.</w:t>
      </w:r>
    </w:p>
    <w:p w14:paraId="2742668B" w14:textId="77777777" w:rsidR="00FA4F64" w:rsidRDefault="00FA4F64" w:rsidP="00FA4F64"/>
    <w:p w14:paraId="3964BBA9" w14:textId="77777777" w:rsidR="00FA4F64" w:rsidRDefault="00FA4F64" w:rsidP="00FA4F64">
      <w:r>
        <w:t>Adicionalmente, se desarrollarán acciones mediante las cuales las micro, pequeñas, medianas y grandes empresas podrán recibir asistencia técnica y financiera para su fortalecimiento, con el fin de que se potencialicen sectores económicos en los que viene creciendo la ciudad. Tal es el caso de los servicios, el comercio y las industrias, culturales y creativas, el deporte y el turismo.</w:t>
      </w:r>
    </w:p>
    <w:p w14:paraId="68802213" w14:textId="77777777" w:rsidR="00FA4F64" w:rsidRDefault="00FA4F64" w:rsidP="00FA4F64"/>
    <w:p w14:paraId="16A83162" w14:textId="79FD314B" w:rsidR="00FA4F64" w:rsidRDefault="00FA4F64" w:rsidP="00FA4F64">
      <w:r>
        <w:t>Los servicios de formación para el trabajo estarán dirigidos hacia el desarrollo de las competencias laborales más demandadas por el mercado y con mejor prospectiva laboral entre sus beneficiarios, en concordancia con el Marco Nacional de Cualificaciones y la Clasificación Única de Ocupaciones para Colombia (CUOC). Así mismo, se incluirán acciones que motiven la convergencia digital para apoyar a las personas en su formación y así potenciar su camino hacia la empleabilidad o su reencuentro con el sistema educativo. Así mismo, la Secretaría Distrital de Desarrollo Económico y en coordinación con las demás entidades distritales, definirá los lineamientos para la formación para el trabajo en la ciudad. Estos lineamientos brindarán habilidades prácticas que faciliten la vinculación laboral formal.</w:t>
      </w:r>
    </w:p>
    <w:p w14:paraId="4D7B4774" w14:textId="77777777" w:rsidR="00FA4F64" w:rsidRDefault="00FA4F64" w:rsidP="00FA4F64"/>
    <w:p w14:paraId="0D711897" w14:textId="77777777" w:rsidR="00FA4F64" w:rsidRDefault="00FA4F64" w:rsidP="00FA4F64">
      <w:r>
        <w:t>De esta manera, se proyectan impactos directos en el desarrollo empresarial, la productividad y el empleo en la ciudad, apalancando los proyectos de vida de la población beneficiada.</w:t>
      </w:r>
    </w:p>
    <w:p w14:paraId="46C91E77" w14:textId="77777777" w:rsidR="00FA4F64" w:rsidRDefault="00FA4F64" w:rsidP="00FA4F64"/>
    <w:p w14:paraId="2CA28B41" w14:textId="77777777" w:rsidR="00FA4F64" w:rsidRPr="003A3F84" w:rsidRDefault="00FA4F64" w:rsidP="00FA4F64">
      <w:pPr>
        <w:rPr>
          <w:spacing w:val="-6"/>
        </w:rPr>
      </w:pPr>
      <w:r w:rsidRPr="003A3F84">
        <w:rPr>
          <w:spacing w:val="-6"/>
        </w:rPr>
        <w:t xml:space="preserve">Se busca conectar el talento bogotano con las oportunidades laborales que existen en el país y en el mundo. En ese sentido, la internacionalización de </w:t>
      </w:r>
      <w:r w:rsidRPr="003A3F84">
        <w:rPr>
          <w:spacing w:val="-6"/>
        </w:rPr>
        <w:t>la ciudad, su efecto migratorio y la identificación de su contribución al desarrollo económico para Bogotá son fundamentales, al incrementar la productividad y el fomento de todos esos aspectos mencionados anteriormente, así como la promoción a la diversificación del relacionamiento social.</w:t>
      </w:r>
    </w:p>
    <w:p w14:paraId="72C51626" w14:textId="77777777" w:rsidR="00FA4F64" w:rsidRDefault="00FA4F64" w:rsidP="00FA4F64"/>
    <w:p w14:paraId="0DEFB255" w14:textId="77777777" w:rsidR="00FA4F64" w:rsidRDefault="00FA4F64" w:rsidP="00FA4F64">
      <w:r>
        <w:t>Se implementará una gran estrategia a escala distrital de servicios dirigidos a empresas que promueven la generación de nuevas vacantes, brindándoles acceso a servicios de gestión y colocación laboral de manera eficiente, efectiva y oportuna. Se generarán incentivos a la colocación laboral a través de esquemas de pagos por resultados o de otros que se identifiquen por su eficacia.</w:t>
      </w:r>
    </w:p>
    <w:p w14:paraId="3F992A8A" w14:textId="77777777" w:rsidR="00FA4F64" w:rsidRDefault="00FA4F64" w:rsidP="00FA4F64"/>
    <w:p w14:paraId="7201CACB" w14:textId="77777777" w:rsidR="00FA4F64" w:rsidRDefault="00FA4F64" w:rsidP="00FA4F64">
      <w:r>
        <w:t>A través de este programa se reconocen las brechas en las tasas de ocupación e ingreso laboral promedio en la ciudad de algunos grupos poblacionales y de las mujeres. Por eso, se desarrollarán acciones que aporten a su autonomía económica, mediante el fortalecimiento de los mecanismos de financiación de iniciativas productivas y el impulso y aceleración de la productividad con la promoción de esquemas de pago por resultado y el fortalecimiento de las capacidades empresariales. Así mismo, se entregarán incentivos a la contratación laboral incluyente, por medio de beneficios a las empresas que formalicen la contratación de empleos a la población que enfrenta barreras de acceso al mercado laboral.</w:t>
      </w:r>
    </w:p>
    <w:p w14:paraId="49CDC5B5" w14:textId="77777777" w:rsidR="00FA4F64" w:rsidRDefault="00FA4F64" w:rsidP="00FA4F64"/>
    <w:p w14:paraId="7626833F" w14:textId="77777777" w:rsidR="00FA4F64" w:rsidRDefault="00FA4F64" w:rsidP="00FA4F64">
      <w:r>
        <w:t xml:space="preserve">Se identificará la relación laboral demanda-oferta para mejorar los ecosistemas de empleo mediante una articulación —pública y privada— que logre una mayor efectividad en la vinculación laboral de las personas que buscan empleo, tomando como base el crecimiento de sectores como la cultura, recreación y deporte en turismo entre otros. </w:t>
      </w:r>
    </w:p>
    <w:p w14:paraId="3E860791" w14:textId="77777777" w:rsidR="00FA4F64" w:rsidRDefault="00FA4F64" w:rsidP="00FA4F64"/>
    <w:p w14:paraId="36DD0CEF" w14:textId="77777777" w:rsidR="00FA4F64" w:rsidRDefault="00FA4F64" w:rsidP="00FA4F64">
      <w:r>
        <w:t xml:space="preserve">De otra parte, la Secretaría Distrital de Desarrollo Económico adelantará los estudios pertinentes con el fin de realizar un rediseño </w:t>
      </w:r>
      <w:r>
        <w:lastRenderedPageBreak/>
        <w:t xml:space="preserve">institucional para el fortalecimiento de la Agencia Distrital de Empleo. Se fortalecerán los servicios de la agencia para promover la inclusión laboral de la ciudadanía en la búsqueda de empleo con el fin de contribuir al cierre de brechas, así como facilitar a los empleadores el acceso a servicios de gestión y colocación de manera eficiente, efectiva y oportuna. Lo anterior permitirá además llegar de manera adecuada a las localidades de la ciudad para lograr conectar la demanda con la oferta laboral y los demás actores del ecosistema de empleo. </w:t>
      </w:r>
    </w:p>
    <w:p w14:paraId="5945FCB2" w14:textId="77777777" w:rsidR="00FA4F64" w:rsidRDefault="00FA4F64" w:rsidP="00FA4F64"/>
    <w:p w14:paraId="6CFC2AA1" w14:textId="77777777" w:rsidR="00FA4F64" w:rsidRDefault="00FA4F64" w:rsidP="00FA4F64">
      <w:r>
        <w:t>El talento humano será entonces el eje diferenciador que posicionará a la capital en mercados locales, regionales e internacionales como catalizador de la oferta exportable y factor de atracción de Inversión Extranjera Directa (IED). Un mercado laboral dinámico y fortalecido es capaz de aprovechar los beneficios como ventajas competitivas y fomenta la inserción en cadenas globales de valor.</w:t>
      </w:r>
    </w:p>
    <w:p w14:paraId="20FC46E5" w14:textId="77777777" w:rsidR="00FA4F64" w:rsidRDefault="00FA4F64" w:rsidP="00FA4F64"/>
    <w:p w14:paraId="093881F5" w14:textId="77777777" w:rsidR="00FA4F64" w:rsidRDefault="00FA4F64" w:rsidP="00FA4F64">
      <w:r>
        <w:t xml:space="preserve">De igual manera, el programa buscará posicionar a Bogotá como un destino turístico, cultural, recreo-deportivo y de grandes eventos, destacado a nivel nacional e </w:t>
      </w:r>
      <w:r w:rsidRPr="003A3F84">
        <w:rPr>
          <w:spacing w:val="-6"/>
        </w:rPr>
        <w:t xml:space="preserve">internacional. Para ello se apoyarán, financiarán y fortalecerán las iniciativas que han venido teniendo lugar en materia turística </w:t>
      </w:r>
      <w:r w:rsidRPr="003A3F84">
        <w:rPr>
          <w:spacing w:val="-6"/>
        </w:rPr>
        <w:t>y deportiva y se promoverá la creación de iniciativas nuevas tanto en el ámbito rural como en el urbano.  Este esfuerzo se realizará mediante una colaboración estrecha de diversos sectores, comunidades, pueblos étnicos, poblaciones, territorios y proyectos artísticos, culturales, creativos, recreativos y deportivos.</w:t>
      </w:r>
    </w:p>
    <w:p w14:paraId="57DE4169" w14:textId="77777777" w:rsidR="00FA4F64" w:rsidRDefault="00FA4F64" w:rsidP="00FA4F64"/>
    <w:p w14:paraId="048035D6" w14:textId="6CF1EAC3" w:rsidR="00FA4F64" w:rsidRDefault="00FA4F64" w:rsidP="00FA4F64">
      <w:r>
        <w:t xml:space="preserve">En lo relacionado con las empresas, el programa buscará incentivar la innovación como un motor fundamental para lograr mayores niveles de productividad que les permita ser más sostenibles en el tiempo, generar empleo y ser más competitivas en mercados internacionales. </w:t>
      </w:r>
    </w:p>
    <w:p w14:paraId="17C81A4D" w14:textId="77777777" w:rsidR="003A3F84" w:rsidRDefault="003A3F84" w:rsidP="00FA4F64"/>
    <w:p w14:paraId="459DFA4E" w14:textId="77777777" w:rsidR="00FA4F64" w:rsidRDefault="00FA4F64" w:rsidP="00FA4F64">
      <w:r>
        <w:t>Para lograr esto, se generará un proceso de fortalecimiento y financiación tanto para las empresas que buscan atender el mercado local como para aquellas que están listas para conquistar los mercados internacionales.</w:t>
      </w:r>
    </w:p>
    <w:p w14:paraId="58985894" w14:textId="77777777" w:rsidR="00FA4F64" w:rsidRDefault="00FA4F64" w:rsidP="00FA4F64"/>
    <w:p w14:paraId="678B023A" w14:textId="77777777" w:rsidR="00FA4F64" w:rsidRDefault="00FA4F64" w:rsidP="00FA4F64">
      <w:r>
        <w:t>Todas estas actividades requieren una institucionalidad fuerte, que sea capaz de fomentar el desarrollo del tejido empresarial de la ciudad, especialmente, posibilitando el acceso a financiación pertinente y económica.</w:t>
      </w:r>
    </w:p>
    <w:p w14:paraId="5AE14A74" w14:textId="77777777" w:rsidR="00FA4F64" w:rsidRDefault="00FA4F64" w:rsidP="00FA4F64"/>
    <w:p w14:paraId="0FF226C0" w14:textId="6F890BFC"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bookmarkStart w:id="324" w:name="_heading=h.47hxl2r" w:colFirst="0" w:colLast="0"/>
      <w:bookmarkEnd w:id="324"/>
      <w:r>
        <w:t>Este programa se ejecutará mediante las siguientes metas (</w:t>
      </w:r>
      <w:r w:rsidR="00B24799">
        <w:fldChar w:fldCharType="begin"/>
      </w:r>
      <w:r w:rsidR="00B24799">
        <w:instrText xml:space="preserve"> REF _Ref165137593 \h </w:instrText>
      </w:r>
      <w:r w:rsidR="00B24799">
        <w:fldChar w:fldCharType="separate"/>
      </w:r>
      <w:r w:rsidR="00D01651" w:rsidRPr="00B24799">
        <w:rPr>
          <w:color w:val="C00000"/>
          <w:sz w:val="18"/>
          <w:szCs w:val="18"/>
        </w:rPr>
        <w:t xml:space="preserve">Tabla </w:t>
      </w:r>
      <w:r w:rsidR="00D01651">
        <w:rPr>
          <w:noProof/>
          <w:color w:val="C00000"/>
          <w:sz w:val="18"/>
        </w:rPr>
        <w:t>40</w:t>
      </w:r>
      <w:r w:rsidR="00B24799">
        <w:fldChar w:fldCharType="end"/>
      </w:r>
      <w:r>
        <w:t>).</w:t>
      </w:r>
    </w:p>
    <w:p w14:paraId="57C548B9" w14:textId="77777777" w:rsidR="00FA4F64" w:rsidRDefault="00FA4F64" w:rsidP="00FA4F64">
      <w:pPr>
        <w:pBdr>
          <w:top w:val="nil"/>
          <w:left w:val="nil"/>
          <w:bottom w:val="nil"/>
          <w:right w:val="nil"/>
          <w:between w:val="nil"/>
        </w:pBdr>
        <w:spacing w:line="220" w:lineRule="auto"/>
        <w:rPr>
          <w:b/>
          <w:color w:val="C00000"/>
          <w:sz w:val="18"/>
          <w:szCs w:val="18"/>
        </w:rPr>
      </w:pPr>
      <w:bookmarkStart w:id="325" w:name="_heading=h.1y810tw" w:colFirst="0" w:colLast="0"/>
      <w:bookmarkEnd w:id="325"/>
    </w:p>
    <w:p w14:paraId="45A173DB" w14:textId="77777777" w:rsidR="00FA4F64" w:rsidRPr="00B24799" w:rsidRDefault="00FA4F64" w:rsidP="00FA4F64">
      <w:pPr>
        <w:pBdr>
          <w:top w:val="nil"/>
          <w:left w:val="nil"/>
          <w:bottom w:val="nil"/>
          <w:right w:val="nil"/>
          <w:between w:val="nil"/>
        </w:pBdr>
        <w:spacing w:line="220" w:lineRule="auto"/>
        <w:rPr>
          <w:b/>
          <w:color w:val="C00000"/>
          <w:sz w:val="18"/>
          <w:szCs w:val="18"/>
        </w:rPr>
      </w:pPr>
    </w:p>
    <w:p w14:paraId="5DE68581" w14:textId="2BC7CDB7" w:rsidR="00FA4F64" w:rsidRPr="00B24799" w:rsidRDefault="00B24799" w:rsidP="00B24799">
      <w:pPr>
        <w:pStyle w:val="Descripcin"/>
        <w:jc w:val="center"/>
        <w:rPr>
          <w:color w:val="3B3838"/>
          <w:sz w:val="18"/>
        </w:rPr>
      </w:pPr>
      <w:bookmarkStart w:id="326" w:name="_Ref165137593"/>
      <w:bookmarkStart w:id="327" w:name="_Toc165169950"/>
      <w:r w:rsidRPr="00B24799">
        <w:rPr>
          <w:color w:val="C00000"/>
          <w:sz w:val="18"/>
        </w:rPr>
        <w:t xml:space="preserve">Tabla </w:t>
      </w:r>
      <w:r w:rsidRPr="00B24799">
        <w:rPr>
          <w:color w:val="C00000"/>
          <w:sz w:val="18"/>
        </w:rPr>
        <w:fldChar w:fldCharType="begin"/>
      </w:r>
      <w:r w:rsidRPr="00B24799">
        <w:rPr>
          <w:color w:val="C00000"/>
          <w:sz w:val="18"/>
        </w:rPr>
        <w:instrText xml:space="preserve"> SEQ Tabla \* ARABIC </w:instrText>
      </w:r>
      <w:r w:rsidRPr="00B24799">
        <w:rPr>
          <w:color w:val="C00000"/>
          <w:sz w:val="18"/>
        </w:rPr>
        <w:fldChar w:fldCharType="separate"/>
      </w:r>
      <w:r w:rsidR="00D01651">
        <w:rPr>
          <w:noProof/>
          <w:color w:val="C00000"/>
          <w:sz w:val="18"/>
        </w:rPr>
        <w:t>40</w:t>
      </w:r>
      <w:r w:rsidRPr="00B24799">
        <w:rPr>
          <w:color w:val="C00000"/>
          <w:sz w:val="18"/>
        </w:rPr>
        <w:fldChar w:fldCharType="end"/>
      </w:r>
      <w:bookmarkEnd w:id="326"/>
      <w:r w:rsidRPr="00B24799">
        <w:rPr>
          <w:color w:val="C00000"/>
          <w:sz w:val="18"/>
        </w:rPr>
        <w:t>.</w:t>
      </w:r>
      <w:r w:rsidR="00FA4F64" w:rsidRPr="00B24799">
        <w:rPr>
          <w:color w:val="C00000"/>
          <w:sz w:val="18"/>
        </w:rPr>
        <w:t xml:space="preserve"> </w:t>
      </w:r>
      <w:r w:rsidR="00FA4F64" w:rsidRPr="00B24799">
        <w:rPr>
          <w:color w:val="3B3838"/>
          <w:sz w:val="18"/>
        </w:rPr>
        <w:t>Metas del programa</w:t>
      </w:r>
      <w:r>
        <w:rPr>
          <w:color w:val="3B3838"/>
          <w:sz w:val="18"/>
        </w:rPr>
        <w:t xml:space="preserve"> 19:</w:t>
      </w:r>
      <w:r w:rsidR="00FA4F64" w:rsidRPr="00B24799">
        <w:rPr>
          <w:color w:val="3B3838"/>
          <w:sz w:val="18"/>
        </w:rPr>
        <w:t xml:space="preserve"> Desarrollo empresarial, productividad y empleo</w:t>
      </w:r>
      <w:bookmarkEnd w:id="327"/>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120"/>
        <w:gridCol w:w="1258"/>
        <w:gridCol w:w="1250"/>
        <w:gridCol w:w="1264"/>
        <w:gridCol w:w="1262"/>
        <w:gridCol w:w="1206"/>
      </w:tblGrid>
      <w:tr w:rsidR="00C171B4" w:rsidRPr="00C171B4" w14:paraId="3771877C" w14:textId="77777777" w:rsidTr="00C171B4">
        <w:trPr>
          <w:tblHeader/>
        </w:trPr>
        <w:tc>
          <w:tcPr>
            <w:tcW w:w="1667" w:type="pct"/>
            <w:vMerge w:val="restart"/>
            <w:shd w:val="clear" w:color="auto" w:fill="C00000"/>
            <w:tcMar>
              <w:top w:w="30" w:type="dxa"/>
              <w:left w:w="45" w:type="dxa"/>
              <w:bottom w:w="30" w:type="dxa"/>
              <w:right w:w="45" w:type="dxa"/>
            </w:tcMar>
            <w:vAlign w:val="center"/>
            <w:hideMark/>
          </w:tcPr>
          <w:p w14:paraId="37675013" w14:textId="77777777" w:rsidR="00C171B4" w:rsidRPr="00C171B4" w:rsidRDefault="00C171B4" w:rsidP="00AA4BBB">
            <w:pPr>
              <w:jc w:val="center"/>
              <w:rPr>
                <w:rFonts w:cs="Arial"/>
                <w:b/>
                <w:bCs/>
                <w:color w:val="FFFFFF"/>
                <w:sz w:val="18"/>
                <w:szCs w:val="18"/>
              </w:rPr>
            </w:pPr>
            <w:r w:rsidRPr="00C171B4">
              <w:rPr>
                <w:rFonts w:cs="Arial"/>
                <w:b/>
                <w:bCs/>
                <w:color w:val="FFFFFF"/>
                <w:sz w:val="18"/>
                <w:szCs w:val="18"/>
              </w:rPr>
              <w:t>SECTOR / Metas</w:t>
            </w:r>
          </w:p>
        </w:tc>
        <w:tc>
          <w:tcPr>
            <w:tcW w:w="3333" w:type="pct"/>
            <w:gridSpan w:val="5"/>
            <w:shd w:val="clear" w:color="auto" w:fill="C00000"/>
            <w:tcMar>
              <w:top w:w="30" w:type="dxa"/>
              <w:left w:w="45" w:type="dxa"/>
              <w:bottom w:w="30" w:type="dxa"/>
              <w:right w:w="45" w:type="dxa"/>
            </w:tcMar>
            <w:vAlign w:val="center"/>
            <w:hideMark/>
          </w:tcPr>
          <w:p w14:paraId="1177AE97" w14:textId="77777777" w:rsidR="00C171B4" w:rsidRPr="00C171B4" w:rsidRDefault="00C171B4" w:rsidP="00AA4BBB">
            <w:pPr>
              <w:jc w:val="center"/>
              <w:rPr>
                <w:rFonts w:cs="Arial"/>
                <w:b/>
                <w:bCs/>
                <w:color w:val="FFFFFF"/>
                <w:sz w:val="18"/>
                <w:szCs w:val="18"/>
              </w:rPr>
            </w:pPr>
            <w:r w:rsidRPr="00C171B4">
              <w:rPr>
                <w:rFonts w:cs="Arial"/>
                <w:b/>
                <w:bCs/>
                <w:color w:val="FFFFFF"/>
                <w:sz w:val="18"/>
                <w:szCs w:val="18"/>
              </w:rPr>
              <w:t>Magnitudes e Inversión (Precios Constantes 2024)</w:t>
            </w:r>
          </w:p>
        </w:tc>
      </w:tr>
      <w:tr w:rsidR="00C171B4" w:rsidRPr="00C171B4" w14:paraId="131D1661" w14:textId="77777777" w:rsidTr="00C171B4">
        <w:trPr>
          <w:tblHeader/>
        </w:trPr>
        <w:tc>
          <w:tcPr>
            <w:tcW w:w="1667" w:type="pct"/>
            <w:vMerge/>
            <w:vAlign w:val="center"/>
            <w:hideMark/>
          </w:tcPr>
          <w:p w14:paraId="19677578" w14:textId="77777777" w:rsidR="00C171B4" w:rsidRPr="00C171B4" w:rsidRDefault="00C171B4" w:rsidP="00AA4BBB">
            <w:pPr>
              <w:rPr>
                <w:rFonts w:cs="Arial"/>
                <w:b/>
                <w:bCs/>
                <w:color w:val="FFFFFF"/>
                <w:sz w:val="18"/>
                <w:szCs w:val="18"/>
              </w:rPr>
            </w:pPr>
          </w:p>
        </w:tc>
        <w:tc>
          <w:tcPr>
            <w:tcW w:w="672" w:type="pct"/>
            <w:shd w:val="clear" w:color="auto" w:fill="D9D9D9"/>
            <w:tcMar>
              <w:top w:w="30" w:type="dxa"/>
              <w:left w:w="45" w:type="dxa"/>
              <w:bottom w:w="30" w:type="dxa"/>
              <w:right w:w="45" w:type="dxa"/>
            </w:tcMar>
            <w:vAlign w:val="center"/>
            <w:hideMark/>
          </w:tcPr>
          <w:p w14:paraId="311232C5" w14:textId="77777777" w:rsidR="00C171B4" w:rsidRPr="00C171B4" w:rsidRDefault="00C171B4" w:rsidP="00AA4BBB">
            <w:pPr>
              <w:jc w:val="center"/>
              <w:rPr>
                <w:rFonts w:cs="Arial"/>
                <w:b/>
                <w:bCs/>
                <w:sz w:val="18"/>
                <w:szCs w:val="18"/>
              </w:rPr>
            </w:pPr>
            <w:r w:rsidRPr="00C171B4">
              <w:rPr>
                <w:rFonts w:cs="Arial"/>
                <w:b/>
                <w:bCs/>
                <w:sz w:val="18"/>
                <w:szCs w:val="18"/>
              </w:rPr>
              <w:t>2024</w:t>
            </w:r>
          </w:p>
        </w:tc>
        <w:tc>
          <w:tcPr>
            <w:tcW w:w="668" w:type="pct"/>
            <w:shd w:val="clear" w:color="auto" w:fill="D9D9D9"/>
            <w:tcMar>
              <w:top w:w="30" w:type="dxa"/>
              <w:left w:w="45" w:type="dxa"/>
              <w:bottom w:w="30" w:type="dxa"/>
              <w:right w:w="45" w:type="dxa"/>
            </w:tcMar>
            <w:vAlign w:val="center"/>
            <w:hideMark/>
          </w:tcPr>
          <w:p w14:paraId="22326F8F" w14:textId="77777777" w:rsidR="00C171B4" w:rsidRPr="00C171B4" w:rsidRDefault="00C171B4" w:rsidP="00AA4BBB">
            <w:pPr>
              <w:jc w:val="center"/>
              <w:rPr>
                <w:rFonts w:cs="Arial"/>
                <w:b/>
                <w:bCs/>
                <w:sz w:val="18"/>
                <w:szCs w:val="18"/>
              </w:rPr>
            </w:pPr>
            <w:r w:rsidRPr="00C171B4">
              <w:rPr>
                <w:rFonts w:cs="Arial"/>
                <w:b/>
                <w:bCs/>
                <w:sz w:val="18"/>
                <w:szCs w:val="18"/>
              </w:rPr>
              <w:t>2025</w:t>
            </w:r>
          </w:p>
        </w:tc>
        <w:tc>
          <w:tcPr>
            <w:tcW w:w="675" w:type="pct"/>
            <w:shd w:val="clear" w:color="auto" w:fill="D9D9D9"/>
            <w:tcMar>
              <w:top w:w="30" w:type="dxa"/>
              <w:left w:w="45" w:type="dxa"/>
              <w:bottom w:w="30" w:type="dxa"/>
              <w:right w:w="45" w:type="dxa"/>
            </w:tcMar>
            <w:vAlign w:val="center"/>
            <w:hideMark/>
          </w:tcPr>
          <w:p w14:paraId="03EE7913" w14:textId="77777777" w:rsidR="00C171B4" w:rsidRPr="00C171B4" w:rsidRDefault="00C171B4" w:rsidP="00AA4BBB">
            <w:pPr>
              <w:jc w:val="center"/>
              <w:rPr>
                <w:rFonts w:cs="Arial"/>
                <w:b/>
                <w:bCs/>
                <w:sz w:val="18"/>
                <w:szCs w:val="18"/>
              </w:rPr>
            </w:pPr>
            <w:r w:rsidRPr="00C171B4">
              <w:rPr>
                <w:rFonts w:cs="Arial"/>
                <w:b/>
                <w:bCs/>
                <w:sz w:val="18"/>
                <w:szCs w:val="18"/>
              </w:rPr>
              <w:t>2026</w:t>
            </w:r>
          </w:p>
        </w:tc>
        <w:tc>
          <w:tcPr>
            <w:tcW w:w="674" w:type="pct"/>
            <w:shd w:val="clear" w:color="auto" w:fill="D9D9D9"/>
            <w:tcMar>
              <w:top w:w="30" w:type="dxa"/>
              <w:left w:w="45" w:type="dxa"/>
              <w:bottom w:w="30" w:type="dxa"/>
              <w:right w:w="45" w:type="dxa"/>
            </w:tcMar>
            <w:vAlign w:val="center"/>
            <w:hideMark/>
          </w:tcPr>
          <w:p w14:paraId="6EA78340" w14:textId="77777777" w:rsidR="00C171B4" w:rsidRPr="00C171B4" w:rsidRDefault="00C171B4" w:rsidP="00AA4BBB">
            <w:pPr>
              <w:jc w:val="center"/>
              <w:rPr>
                <w:rFonts w:cs="Arial"/>
                <w:b/>
                <w:bCs/>
                <w:sz w:val="18"/>
                <w:szCs w:val="18"/>
              </w:rPr>
            </w:pPr>
            <w:r w:rsidRPr="00C171B4">
              <w:rPr>
                <w:rFonts w:cs="Arial"/>
                <w:b/>
                <w:bCs/>
                <w:sz w:val="18"/>
                <w:szCs w:val="18"/>
              </w:rPr>
              <w:t>2027</w:t>
            </w:r>
          </w:p>
        </w:tc>
        <w:tc>
          <w:tcPr>
            <w:tcW w:w="643" w:type="pct"/>
            <w:shd w:val="clear" w:color="auto" w:fill="D9D9D9"/>
            <w:tcMar>
              <w:top w:w="30" w:type="dxa"/>
              <w:left w:w="45" w:type="dxa"/>
              <w:bottom w:w="30" w:type="dxa"/>
              <w:right w:w="45" w:type="dxa"/>
            </w:tcMar>
            <w:vAlign w:val="center"/>
            <w:hideMark/>
          </w:tcPr>
          <w:p w14:paraId="2B6314AE" w14:textId="77777777" w:rsidR="00C171B4" w:rsidRPr="00C171B4" w:rsidRDefault="00C171B4" w:rsidP="00AA4BBB">
            <w:pPr>
              <w:jc w:val="center"/>
              <w:rPr>
                <w:rFonts w:cs="Arial"/>
                <w:b/>
                <w:bCs/>
                <w:sz w:val="18"/>
                <w:szCs w:val="18"/>
              </w:rPr>
            </w:pPr>
            <w:r w:rsidRPr="00C171B4">
              <w:rPr>
                <w:rFonts w:cs="Arial"/>
                <w:b/>
                <w:bCs/>
                <w:sz w:val="18"/>
                <w:szCs w:val="18"/>
              </w:rPr>
              <w:t>Total Inversión</w:t>
            </w:r>
          </w:p>
        </w:tc>
      </w:tr>
      <w:tr w:rsidR="00C171B4" w:rsidRPr="00C171B4" w14:paraId="64BE6801" w14:textId="77777777" w:rsidTr="00C171B4">
        <w:tc>
          <w:tcPr>
            <w:tcW w:w="5000" w:type="pct"/>
            <w:gridSpan w:val="6"/>
            <w:shd w:val="clear" w:color="auto" w:fill="C00000"/>
            <w:tcMar>
              <w:top w:w="30" w:type="dxa"/>
              <w:left w:w="45" w:type="dxa"/>
              <w:bottom w:w="30" w:type="dxa"/>
              <w:right w:w="45" w:type="dxa"/>
            </w:tcMar>
            <w:vAlign w:val="center"/>
            <w:hideMark/>
          </w:tcPr>
          <w:p w14:paraId="5DF03F6F" w14:textId="1A4331D6" w:rsidR="00C171B4" w:rsidRPr="00C171B4" w:rsidRDefault="00C171B4" w:rsidP="00C171B4">
            <w:pPr>
              <w:jc w:val="center"/>
              <w:rPr>
                <w:rFonts w:cs="Arial"/>
                <w:b/>
                <w:bCs/>
                <w:color w:val="FFFFFF" w:themeColor="background1"/>
                <w:sz w:val="18"/>
                <w:szCs w:val="18"/>
              </w:rPr>
            </w:pPr>
            <w:r w:rsidRPr="00C171B4">
              <w:rPr>
                <w:rFonts w:cs="Arial"/>
                <w:b/>
                <w:bCs/>
                <w:color w:val="FFFFFF" w:themeColor="background1"/>
                <w:sz w:val="18"/>
                <w:szCs w:val="18"/>
              </w:rPr>
              <w:t xml:space="preserve">Cultura Recreación </w:t>
            </w:r>
            <w:r>
              <w:rPr>
                <w:rFonts w:cs="Arial"/>
                <w:b/>
                <w:bCs/>
                <w:color w:val="FFFFFF" w:themeColor="background1"/>
                <w:sz w:val="18"/>
                <w:szCs w:val="18"/>
              </w:rPr>
              <w:t>Y</w:t>
            </w:r>
            <w:r w:rsidRPr="00C171B4">
              <w:rPr>
                <w:rFonts w:cs="Arial"/>
                <w:b/>
                <w:bCs/>
                <w:color w:val="FFFFFF" w:themeColor="background1"/>
                <w:sz w:val="18"/>
                <w:szCs w:val="18"/>
              </w:rPr>
              <w:t xml:space="preserve"> Deporte</w:t>
            </w:r>
          </w:p>
        </w:tc>
      </w:tr>
      <w:tr w:rsidR="00C171B4" w:rsidRPr="00C171B4" w14:paraId="285631CD" w14:textId="77777777" w:rsidTr="00C171B4">
        <w:tc>
          <w:tcPr>
            <w:tcW w:w="1667" w:type="pct"/>
            <w:vMerge w:val="restart"/>
            <w:tcMar>
              <w:top w:w="30" w:type="dxa"/>
              <w:left w:w="45" w:type="dxa"/>
              <w:bottom w:w="30" w:type="dxa"/>
              <w:right w:w="45" w:type="dxa"/>
            </w:tcMar>
            <w:vAlign w:val="center"/>
            <w:hideMark/>
          </w:tcPr>
          <w:p w14:paraId="77A8D0AB" w14:textId="77777777" w:rsidR="00C171B4" w:rsidRPr="00C171B4" w:rsidRDefault="00C171B4" w:rsidP="00AA4BBB">
            <w:pPr>
              <w:rPr>
                <w:rFonts w:cs="Arial"/>
                <w:sz w:val="18"/>
                <w:szCs w:val="18"/>
              </w:rPr>
            </w:pPr>
            <w:r w:rsidRPr="00C171B4">
              <w:rPr>
                <w:rFonts w:cs="Arial"/>
                <w:sz w:val="18"/>
                <w:szCs w:val="18"/>
              </w:rPr>
              <w:t>Implementar 3 componentes de la economía del deporte la recreación y la actividad física</w:t>
            </w:r>
          </w:p>
        </w:tc>
        <w:tc>
          <w:tcPr>
            <w:tcW w:w="672" w:type="pct"/>
            <w:tcMar>
              <w:top w:w="30" w:type="dxa"/>
              <w:left w:w="45" w:type="dxa"/>
              <w:bottom w:w="30" w:type="dxa"/>
              <w:right w:w="45" w:type="dxa"/>
            </w:tcMar>
            <w:vAlign w:val="center"/>
            <w:hideMark/>
          </w:tcPr>
          <w:p w14:paraId="225A15F3" w14:textId="77777777" w:rsidR="00C171B4" w:rsidRPr="00C171B4" w:rsidRDefault="00C171B4" w:rsidP="00AA4BBB">
            <w:pPr>
              <w:jc w:val="center"/>
              <w:rPr>
                <w:rFonts w:cs="Arial"/>
                <w:sz w:val="18"/>
                <w:szCs w:val="18"/>
              </w:rPr>
            </w:pPr>
            <w:r w:rsidRPr="00C171B4">
              <w:rPr>
                <w:rFonts w:cs="Arial"/>
                <w:sz w:val="18"/>
                <w:szCs w:val="18"/>
              </w:rPr>
              <w:t>3</w:t>
            </w:r>
          </w:p>
        </w:tc>
        <w:tc>
          <w:tcPr>
            <w:tcW w:w="668" w:type="pct"/>
            <w:tcMar>
              <w:top w:w="30" w:type="dxa"/>
              <w:left w:w="45" w:type="dxa"/>
              <w:bottom w:w="30" w:type="dxa"/>
              <w:right w:w="45" w:type="dxa"/>
            </w:tcMar>
            <w:vAlign w:val="center"/>
            <w:hideMark/>
          </w:tcPr>
          <w:p w14:paraId="7508DF6B" w14:textId="77777777" w:rsidR="00C171B4" w:rsidRPr="00C171B4" w:rsidRDefault="00C171B4" w:rsidP="00AA4BBB">
            <w:pPr>
              <w:jc w:val="center"/>
              <w:rPr>
                <w:rFonts w:cs="Arial"/>
                <w:sz w:val="18"/>
                <w:szCs w:val="18"/>
              </w:rPr>
            </w:pPr>
            <w:r w:rsidRPr="00C171B4">
              <w:rPr>
                <w:rFonts w:cs="Arial"/>
                <w:sz w:val="18"/>
                <w:szCs w:val="18"/>
              </w:rPr>
              <w:t>3</w:t>
            </w:r>
          </w:p>
        </w:tc>
        <w:tc>
          <w:tcPr>
            <w:tcW w:w="675" w:type="pct"/>
            <w:tcMar>
              <w:top w:w="30" w:type="dxa"/>
              <w:left w:w="45" w:type="dxa"/>
              <w:bottom w:w="30" w:type="dxa"/>
              <w:right w:w="45" w:type="dxa"/>
            </w:tcMar>
            <w:vAlign w:val="center"/>
            <w:hideMark/>
          </w:tcPr>
          <w:p w14:paraId="70700B65" w14:textId="77777777" w:rsidR="00C171B4" w:rsidRPr="00C171B4" w:rsidRDefault="00C171B4" w:rsidP="00AA4BBB">
            <w:pPr>
              <w:jc w:val="center"/>
              <w:rPr>
                <w:rFonts w:cs="Arial"/>
                <w:sz w:val="18"/>
                <w:szCs w:val="18"/>
              </w:rPr>
            </w:pPr>
            <w:r w:rsidRPr="00C171B4">
              <w:rPr>
                <w:rFonts w:cs="Arial"/>
                <w:sz w:val="18"/>
                <w:szCs w:val="18"/>
              </w:rPr>
              <w:t>3</w:t>
            </w:r>
          </w:p>
        </w:tc>
        <w:tc>
          <w:tcPr>
            <w:tcW w:w="674" w:type="pct"/>
            <w:tcMar>
              <w:top w:w="30" w:type="dxa"/>
              <w:left w:w="45" w:type="dxa"/>
              <w:bottom w:w="30" w:type="dxa"/>
              <w:right w:w="45" w:type="dxa"/>
            </w:tcMar>
            <w:vAlign w:val="center"/>
            <w:hideMark/>
          </w:tcPr>
          <w:p w14:paraId="157227E4" w14:textId="77777777" w:rsidR="00C171B4" w:rsidRPr="00C171B4" w:rsidRDefault="00C171B4" w:rsidP="00AA4BBB">
            <w:pPr>
              <w:jc w:val="center"/>
              <w:rPr>
                <w:rFonts w:cs="Arial"/>
                <w:sz w:val="18"/>
                <w:szCs w:val="18"/>
              </w:rPr>
            </w:pPr>
            <w:r w:rsidRPr="00C171B4">
              <w:rPr>
                <w:rFonts w:cs="Arial"/>
                <w:sz w:val="18"/>
                <w:szCs w:val="18"/>
              </w:rPr>
              <w:t>3</w:t>
            </w:r>
          </w:p>
        </w:tc>
        <w:tc>
          <w:tcPr>
            <w:tcW w:w="643" w:type="pct"/>
            <w:vMerge w:val="restart"/>
            <w:tcMar>
              <w:top w:w="30" w:type="dxa"/>
              <w:left w:w="45" w:type="dxa"/>
              <w:bottom w:w="30" w:type="dxa"/>
              <w:right w:w="45" w:type="dxa"/>
            </w:tcMar>
            <w:vAlign w:val="center"/>
            <w:hideMark/>
          </w:tcPr>
          <w:p w14:paraId="57711597" w14:textId="77777777" w:rsidR="00C171B4" w:rsidRPr="00C171B4" w:rsidRDefault="00C171B4" w:rsidP="00AA4BBB">
            <w:pPr>
              <w:jc w:val="center"/>
              <w:rPr>
                <w:rFonts w:cs="Arial"/>
                <w:b/>
                <w:bCs/>
                <w:sz w:val="18"/>
                <w:szCs w:val="18"/>
              </w:rPr>
            </w:pPr>
            <w:r w:rsidRPr="00C171B4">
              <w:rPr>
                <w:rFonts w:cs="Arial"/>
                <w:b/>
                <w:bCs/>
                <w:sz w:val="18"/>
                <w:szCs w:val="18"/>
              </w:rPr>
              <w:t>4.420.158.869</w:t>
            </w:r>
          </w:p>
        </w:tc>
      </w:tr>
      <w:tr w:rsidR="00C171B4" w:rsidRPr="00C171B4" w14:paraId="159CA553" w14:textId="77777777" w:rsidTr="00C171B4">
        <w:tc>
          <w:tcPr>
            <w:tcW w:w="1667" w:type="pct"/>
            <w:vMerge/>
            <w:vAlign w:val="center"/>
            <w:hideMark/>
          </w:tcPr>
          <w:p w14:paraId="0DC14730"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4AD4BB60" w14:textId="77777777" w:rsidR="00C171B4" w:rsidRPr="00C171B4" w:rsidRDefault="00C171B4" w:rsidP="00AA4BBB">
            <w:pPr>
              <w:jc w:val="center"/>
              <w:rPr>
                <w:rFonts w:cs="Arial"/>
                <w:sz w:val="18"/>
                <w:szCs w:val="18"/>
              </w:rPr>
            </w:pPr>
            <w:r w:rsidRPr="00C171B4">
              <w:rPr>
                <w:rFonts w:cs="Arial"/>
                <w:sz w:val="18"/>
                <w:szCs w:val="18"/>
              </w:rPr>
              <w:t>1.220.000.000</w:t>
            </w:r>
          </w:p>
        </w:tc>
        <w:tc>
          <w:tcPr>
            <w:tcW w:w="668" w:type="pct"/>
            <w:tcMar>
              <w:top w:w="30" w:type="dxa"/>
              <w:left w:w="45" w:type="dxa"/>
              <w:bottom w:w="30" w:type="dxa"/>
              <w:right w:w="45" w:type="dxa"/>
            </w:tcMar>
            <w:vAlign w:val="center"/>
            <w:hideMark/>
          </w:tcPr>
          <w:p w14:paraId="5E2541E4" w14:textId="77777777" w:rsidR="00C171B4" w:rsidRPr="00C171B4" w:rsidRDefault="00C171B4" w:rsidP="00AA4BBB">
            <w:pPr>
              <w:jc w:val="center"/>
              <w:rPr>
                <w:rFonts w:cs="Arial"/>
                <w:sz w:val="18"/>
                <w:szCs w:val="18"/>
              </w:rPr>
            </w:pPr>
            <w:r w:rsidRPr="00C171B4">
              <w:rPr>
                <w:rFonts w:cs="Arial"/>
                <w:sz w:val="18"/>
                <w:szCs w:val="18"/>
              </w:rPr>
              <w:t>970.873.786</w:t>
            </w:r>
          </w:p>
        </w:tc>
        <w:tc>
          <w:tcPr>
            <w:tcW w:w="675" w:type="pct"/>
            <w:tcMar>
              <w:top w:w="30" w:type="dxa"/>
              <w:left w:w="45" w:type="dxa"/>
              <w:bottom w:w="30" w:type="dxa"/>
              <w:right w:w="45" w:type="dxa"/>
            </w:tcMar>
            <w:vAlign w:val="center"/>
            <w:hideMark/>
          </w:tcPr>
          <w:p w14:paraId="565DB6DF" w14:textId="77777777" w:rsidR="00C171B4" w:rsidRPr="00C171B4" w:rsidRDefault="00C171B4" w:rsidP="00AA4BBB">
            <w:pPr>
              <w:jc w:val="center"/>
              <w:rPr>
                <w:rFonts w:cs="Arial"/>
                <w:sz w:val="18"/>
                <w:szCs w:val="18"/>
              </w:rPr>
            </w:pPr>
            <w:r w:rsidRPr="00C171B4">
              <w:rPr>
                <w:rFonts w:cs="Arial"/>
                <w:sz w:val="18"/>
                <w:szCs w:val="18"/>
              </w:rPr>
              <w:t>1.131.115.091</w:t>
            </w:r>
          </w:p>
        </w:tc>
        <w:tc>
          <w:tcPr>
            <w:tcW w:w="674" w:type="pct"/>
            <w:tcMar>
              <w:top w:w="30" w:type="dxa"/>
              <w:left w:w="45" w:type="dxa"/>
              <w:bottom w:w="30" w:type="dxa"/>
              <w:right w:w="45" w:type="dxa"/>
            </w:tcMar>
            <w:vAlign w:val="center"/>
            <w:hideMark/>
          </w:tcPr>
          <w:p w14:paraId="643D6A31" w14:textId="77777777" w:rsidR="00C171B4" w:rsidRPr="00C171B4" w:rsidRDefault="00C171B4" w:rsidP="00AA4BBB">
            <w:pPr>
              <w:jc w:val="center"/>
              <w:rPr>
                <w:rFonts w:cs="Arial"/>
                <w:sz w:val="18"/>
                <w:szCs w:val="18"/>
              </w:rPr>
            </w:pPr>
            <w:r w:rsidRPr="00C171B4">
              <w:rPr>
                <w:rFonts w:cs="Arial"/>
                <w:sz w:val="18"/>
                <w:szCs w:val="18"/>
              </w:rPr>
              <w:t>1.098.169.991</w:t>
            </w:r>
          </w:p>
        </w:tc>
        <w:tc>
          <w:tcPr>
            <w:tcW w:w="643" w:type="pct"/>
            <w:vMerge/>
            <w:vAlign w:val="center"/>
            <w:hideMark/>
          </w:tcPr>
          <w:p w14:paraId="231FCA32" w14:textId="77777777" w:rsidR="00C171B4" w:rsidRPr="00C171B4" w:rsidRDefault="00C171B4" w:rsidP="00AA4BBB">
            <w:pPr>
              <w:rPr>
                <w:rFonts w:cs="Arial"/>
                <w:b/>
                <w:bCs/>
                <w:sz w:val="18"/>
                <w:szCs w:val="18"/>
              </w:rPr>
            </w:pPr>
          </w:p>
        </w:tc>
      </w:tr>
      <w:tr w:rsidR="00C171B4" w:rsidRPr="00C171B4" w14:paraId="3BF2DAE8" w14:textId="77777777" w:rsidTr="00C171B4">
        <w:tc>
          <w:tcPr>
            <w:tcW w:w="5000" w:type="pct"/>
            <w:gridSpan w:val="6"/>
            <w:shd w:val="clear" w:color="auto" w:fill="C00000"/>
            <w:tcMar>
              <w:top w:w="30" w:type="dxa"/>
              <w:left w:w="45" w:type="dxa"/>
              <w:bottom w:w="30" w:type="dxa"/>
              <w:right w:w="45" w:type="dxa"/>
            </w:tcMar>
            <w:vAlign w:val="center"/>
            <w:hideMark/>
          </w:tcPr>
          <w:p w14:paraId="5B67E617" w14:textId="6C81B21A" w:rsidR="00C171B4" w:rsidRPr="00C171B4" w:rsidRDefault="00C171B4" w:rsidP="00C171B4">
            <w:pPr>
              <w:jc w:val="center"/>
              <w:rPr>
                <w:rFonts w:cs="Arial"/>
                <w:b/>
                <w:bCs/>
                <w:color w:val="FFFFFF" w:themeColor="background1"/>
                <w:sz w:val="18"/>
                <w:szCs w:val="18"/>
              </w:rPr>
            </w:pPr>
            <w:r w:rsidRPr="00C171B4">
              <w:rPr>
                <w:rFonts w:cs="Arial"/>
                <w:b/>
                <w:bCs/>
                <w:color w:val="FFFFFF" w:themeColor="background1"/>
                <w:sz w:val="18"/>
                <w:szCs w:val="18"/>
              </w:rPr>
              <w:t>Desarrollo Económico</w:t>
            </w:r>
          </w:p>
        </w:tc>
      </w:tr>
      <w:tr w:rsidR="00C171B4" w:rsidRPr="00C171B4" w14:paraId="21E41C06" w14:textId="77777777" w:rsidTr="00C171B4">
        <w:tc>
          <w:tcPr>
            <w:tcW w:w="1667" w:type="pct"/>
            <w:vMerge w:val="restart"/>
            <w:tcMar>
              <w:top w:w="30" w:type="dxa"/>
              <w:left w:w="45" w:type="dxa"/>
              <w:bottom w:w="30" w:type="dxa"/>
              <w:right w:w="45" w:type="dxa"/>
            </w:tcMar>
            <w:vAlign w:val="center"/>
            <w:hideMark/>
          </w:tcPr>
          <w:p w14:paraId="6EC4D0A4" w14:textId="77777777" w:rsidR="00C171B4" w:rsidRPr="00C171B4" w:rsidRDefault="00C171B4" w:rsidP="00AA4BBB">
            <w:pPr>
              <w:rPr>
                <w:rFonts w:cs="Arial"/>
                <w:sz w:val="18"/>
                <w:szCs w:val="18"/>
              </w:rPr>
            </w:pPr>
            <w:r w:rsidRPr="00C171B4">
              <w:rPr>
                <w:rFonts w:cs="Arial"/>
                <w:sz w:val="18"/>
                <w:szCs w:val="18"/>
              </w:rPr>
              <w:t xml:space="preserve">Adquisición de un Visit Center el cual incluirá un Centro de Atención al Visitante (CAV) para el fortalecimiento institucional. </w:t>
            </w:r>
          </w:p>
        </w:tc>
        <w:tc>
          <w:tcPr>
            <w:tcW w:w="672" w:type="pct"/>
            <w:tcMar>
              <w:top w:w="30" w:type="dxa"/>
              <w:left w:w="45" w:type="dxa"/>
              <w:bottom w:w="30" w:type="dxa"/>
              <w:right w:w="45" w:type="dxa"/>
            </w:tcMar>
            <w:vAlign w:val="center"/>
            <w:hideMark/>
          </w:tcPr>
          <w:p w14:paraId="0F852608" w14:textId="77777777" w:rsidR="00C171B4" w:rsidRPr="00C171B4" w:rsidRDefault="00C171B4" w:rsidP="00AA4BBB">
            <w:pPr>
              <w:jc w:val="center"/>
              <w:rPr>
                <w:rFonts w:cs="Arial"/>
                <w:sz w:val="18"/>
                <w:szCs w:val="18"/>
              </w:rPr>
            </w:pPr>
            <w:r w:rsidRPr="00C171B4">
              <w:rPr>
                <w:rFonts w:cs="Arial"/>
                <w:sz w:val="18"/>
                <w:szCs w:val="18"/>
              </w:rPr>
              <w:t>1</w:t>
            </w:r>
          </w:p>
        </w:tc>
        <w:tc>
          <w:tcPr>
            <w:tcW w:w="668" w:type="pct"/>
            <w:tcMar>
              <w:top w:w="30" w:type="dxa"/>
              <w:left w:w="45" w:type="dxa"/>
              <w:bottom w:w="30" w:type="dxa"/>
              <w:right w:w="45" w:type="dxa"/>
            </w:tcMar>
            <w:vAlign w:val="center"/>
            <w:hideMark/>
          </w:tcPr>
          <w:p w14:paraId="0210BD87" w14:textId="77777777" w:rsidR="00C171B4" w:rsidRPr="00C171B4" w:rsidRDefault="00C171B4" w:rsidP="00AA4BBB">
            <w:pPr>
              <w:jc w:val="center"/>
              <w:rPr>
                <w:rFonts w:cs="Arial"/>
                <w:sz w:val="18"/>
                <w:szCs w:val="18"/>
              </w:rPr>
            </w:pPr>
            <w:r w:rsidRPr="00C171B4">
              <w:rPr>
                <w:rFonts w:cs="Arial"/>
                <w:sz w:val="18"/>
                <w:szCs w:val="18"/>
              </w:rPr>
              <w:t>1</w:t>
            </w:r>
          </w:p>
        </w:tc>
        <w:tc>
          <w:tcPr>
            <w:tcW w:w="675" w:type="pct"/>
            <w:tcMar>
              <w:top w:w="30" w:type="dxa"/>
              <w:left w:w="45" w:type="dxa"/>
              <w:bottom w:w="30" w:type="dxa"/>
              <w:right w:w="45" w:type="dxa"/>
            </w:tcMar>
            <w:vAlign w:val="center"/>
            <w:hideMark/>
          </w:tcPr>
          <w:p w14:paraId="5743957F" w14:textId="77777777" w:rsidR="00C171B4" w:rsidRPr="00C171B4" w:rsidRDefault="00C171B4" w:rsidP="00AA4BBB">
            <w:pPr>
              <w:jc w:val="center"/>
              <w:rPr>
                <w:rFonts w:cs="Arial"/>
                <w:sz w:val="18"/>
                <w:szCs w:val="18"/>
              </w:rPr>
            </w:pPr>
            <w:r w:rsidRPr="00C171B4">
              <w:rPr>
                <w:rFonts w:cs="Arial"/>
                <w:sz w:val="18"/>
                <w:szCs w:val="18"/>
              </w:rPr>
              <w:t>1</w:t>
            </w:r>
          </w:p>
        </w:tc>
        <w:tc>
          <w:tcPr>
            <w:tcW w:w="674" w:type="pct"/>
            <w:tcMar>
              <w:top w:w="30" w:type="dxa"/>
              <w:left w:w="45" w:type="dxa"/>
              <w:bottom w:w="30" w:type="dxa"/>
              <w:right w:w="45" w:type="dxa"/>
            </w:tcMar>
            <w:vAlign w:val="center"/>
            <w:hideMark/>
          </w:tcPr>
          <w:p w14:paraId="56CAFE7B" w14:textId="77777777" w:rsidR="00C171B4" w:rsidRPr="00C171B4" w:rsidRDefault="00C171B4" w:rsidP="00AA4BBB">
            <w:pPr>
              <w:jc w:val="center"/>
              <w:rPr>
                <w:rFonts w:cs="Arial"/>
                <w:sz w:val="18"/>
                <w:szCs w:val="18"/>
              </w:rPr>
            </w:pPr>
            <w:r w:rsidRPr="00C171B4">
              <w:rPr>
                <w:rFonts w:cs="Arial"/>
                <w:sz w:val="18"/>
                <w:szCs w:val="18"/>
              </w:rPr>
              <w:t>1</w:t>
            </w:r>
          </w:p>
        </w:tc>
        <w:tc>
          <w:tcPr>
            <w:tcW w:w="643" w:type="pct"/>
            <w:vMerge w:val="restart"/>
            <w:tcMar>
              <w:top w:w="30" w:type="dxa"/>
              <w:left w:w="45" w:type="dxa"/>
              <w:bottom w:w="30" w:type="dxa"/>
              <w:right w:w="45" w:type="dxa"/>
            </w:tcMar>
            <w:vAlign w:val="center"/>
            <w:hideMark/>
          </w:tcPr>
          <w:p w14:paraId="4491A141" w14:textId="77777777" w:rsidR="00C171B4" w:rsidRPr="00C171B4" w:rsidRDefault="00C171B4" w:rsidP="00AA4BBB">
            <w:pPr>
              <w:jc w:val="center"/>
              <w:rPr>
                <w:rFonts w:cs="Arial"/>
                <w:b/>
                <w:bCs/>
                <w:sz w:val="18"/>
                <w:szCs w:val="18"/>
              </w:rPr>
            </w:pPr>
            <w:r w:rsidRPr="00C171B4">
              <w:rPr>
                <w:rFonts w:cs="Arial"/>
                <w:b/>
                <w:bCs/>
                <w:sz w:val="18"/>
                <w:szCs w:val="18"/>
              </w:rPr>
              <w:t>23.559.431.587</w:t>
            </w:r>
          </w:p>
        </w:tc>
      </w:tr>
      <w:tr w:rsidR="00C171B4" w:rsidRPr="00C171B4" w14:paraId="6F24E027" w14:textId="77777777" w:rsidTr="00C171B4">
        <w:tc>
          <w:tcPr>
            <w:tcW w:w="1667" w:type="pct"/>
            <w:vMerge/>
            <w:vAlign w:val="center"/>
            <w:hideMark/>
          </w:tcPr>
          <w:p w14:paraId="4713CAC0"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5D5606E8" w14:textId="77777777" w:rsidR="00C171B4" w:rsidRPr="00C171B4" w:rsidRDefault="00C171B4" w:rsidP="00AA4BBB">
            <w:pPr>
              <w:jc w:val="center"/>
              <w:rPr>
                <w:rFonts w:cs="Arial"/>
                <w:sz w:val="18"/>
                <w:szCs w:val="18"/>
              </w:rPr>
            </w:pPr>
            <w:r w:rsidRPr="00C171B4">
              <w:rPr>
                <w:rFonts w:cs="Arial"/>
                <w:sz w:val="18"/>
                <w:szCs w:val="18"/>
              </w:rPr>
              <w:t>1.000.000.000</w:t>
            </w:r>
          </w:p>
        </w:tc>
        <w:tc>
          <w:tcPr>
            <w:tcW w:w="668" w:type="pct"/>
            <w:tcMar>
              <w:top w:w="30" w:type="dxa"/>
              <w:left w:w="45" w:type="dxa"/>
              <w:bottom w:w="30" w:type="dxa"/>
              <w:right w:w="45" w:type="dxa"/>
            </w:tcMar>
            <w:vAlign w:val="center"/>
            <w:hideMark/>
          </w:tcPr>
          <w:p w14:paraId="4853E658" w14:textId="77777777" w:rsidR="00C171B4" w:rsidRPr="00C171B4" w:rsidRDefault="00C171B4" w:rsidP="00AA4BBB">
            <w:pPr>
              <w:jc w:val="center"/>
              <w:rPr>
                <w:rFonts w:cs="Arial"/>
                <w:sz w:val="18"/>
                <w:szCs w:val="18"/>
              </w:rPr>
            </w:pPr>
            <w:r w:rsidRPr="00C171B4">
              <w:rPr>
                <w:rFonts w:cs="Arial"/>
                <w:sz w:val="18"/>
                <w:szCs w:val="18"/>
              </w:rPr>
              <w:t>6.796.116.505</w:t>
            </w:r>
          </w:p>
        </w:tc>
        <w:tc>
          <w:tcPr>
            <w:tcW w:w="675" w:type="pct"/>
            <w:tcMar>
              <w:top w:w="30" w:type="dxa"/>
              <w:left w:w="45" w:type="dxa"/>
              <w:bottom w:w="30" w:type="dxa"/>
              <w:right w:w="45" w:type="dxa"/>
            </w:tcMar>
            <w:vAlign w:val="center"/>
            <w:hideMark/>
          </w:tcPr>
          <w:p w14:paraId="55B8A5AB" w14:textId="77777777" w:rsidR="00C171B4" w:rsidRPr="00C171B4" w:rsidRDefault="00C171B4" w:rsidP="00AA4BBB">
            <w:pPr>
              <w:jc w:val="center"/>
              <w:rPr>
                <w:rFonts w:cs="Arial"/>
                <w:sz w:val="18"/>
                <w:szCs w:val="18"/>
              </w:rPr>
            </w:pPr>
            <w:r w:rsidRPr="00C171B4">
              <w:rPr>
                <w:rFonts w:cs="Arial"/>
                <w:sz w:val="18"/>
                <w:szCs w:val="18"/>
              </w:rPr>
              <w:t>7.069.469.319</w:t>
            </w:r>
          </w:p>
        </w:tc>
        <w:tc>
          <w:tcPr>
            <w:tcW w:w="674" w:type="pct"/>
            <w:tcMar>
              <w:top w:w="30" w:type="dxa"/>
              <w:left w:w="45" w:type="dxa"/>
              <w:bottom w:w="30" w:type="dxa"/>
              <w:right w:w="45" w:type="dxa"/>
            </w:tcMar>
            <w:vAlign w:val="center"/>
            <w:hideMark/>
          </w:tcPr>
          <w:p w14:paraId="27B879F3" w14:textId="77777777" w:rsidR="00C171B4" w:rsidRPr="00C171B4" w:rsidRDefault="00C171B4" w:rsidP="00AA4BBB">
            <w:pPr>
              <w:jc w:val="center"/>
              <w:rPr>
                <w:rFonts w:cs="Arial"/>
                <w:sz w:val="18"/>
                <w:szCs w:val="18"/>
              </w:rPr>
            </w:pPr>
            <w:r w:rsidRPr="00C171B4">
              <w:rPr>
                <w:rFonts w:cs="Arial"/>
                <w:sz w:val="18"/>
                <w:szCs w:val="18"/>
              </w:rPr>
              <w:t>8.693.845.764</w:t>
            </w:r>
          </w:p>
        </w:tc>
        <w:tc>
          <w:tcPr>
            <w:tcW w:w="643" w:type="pct"/>
            <w:vMerge/>
            <w:vAlign w:val="center"/>
            <w:hideMark/>
          </w:tcPr>
          <w:p w14:paraId="6B2B172C" w14:textId="77777777" w:rsidR="00C171B4" w:rsidRPr="00C171B4" w:rsidRDefault="00C171B4" w:rsidP="00AA4BBB">
            <w:pPr>
              <w:rPr>
                <w:rFonts w:cs="Arial"/>
                <w:b/>
                <w:bCs/>
                <w:sz w:val="18"/>
                <w:szCs w:val="18"/>
              </w:rPr>
            </w:pPr>
          </w:p>
        </w:tc>
      </w:tr>
      <w:tr w:rsidR="00C171B4" w:rsidRPr="00C171B4" w14:paraId="7792384E" w14:textId="77777777" w:rsidTr="00C171B4">
        <w:tc>
          <w:tcPr>
            <w:tcW w:w="1667" w:type="pct"/>
            <w:vMerge w:val="restart"/>
            <w:tcMar>
              <w:top w:w="30" w:type="dxa"/>
              <w:left w:w="45" w:type="dxa"/>
              <w:bottom w:w="30" w:type="dxa"/>
              <w:right w:w="45" w:type="dxa"/>
            </w:tcMar>
            <w:vAlign w:val="center"/>
            <w:hideMark/>
          </w:tcPr>
          <w:p w14:paraId="74B82B08" w14:textId="77777777" w:rsidR="00C171B4" w:rsidRPr="00C171B4" w:rsidRDefault="00C171B4" w:rsidP="00AA4BBB">
            <w:pPr>
              <w:rPr>
                <w:rFonts w:cs="Arial"/>
                <w:sz w:val="18"/>
                <w:szCs w:val="18"/>
              </w:rPr>
            </w:pPr>
            <w:r w:rsidRPr="00C171B4">
              <w:rPr>
                <w:rFonts w:cs="Arial"/>
                <w:sz w:val="18"/>
                <w:szCs w:val="18"/>
              </w:rPr>
              <w:lastRenderedPageBreak/>
              <w:t>Apoyar 600 empresas en sus procesos de internacionalización</w:t>
            </w:r>
          </w:p>
        </w:tc>
        <w:tc>
          <w:tcPr>
            <w:tcW w:w="672" w:type="pct"/>
            <w:tcMar>
              <w:top w:w="30" w:type="dxa"/>
              <w:left w:w="45" w:type="dxa"/>
              <w:bottom w:w="30" w:type="dxa"/>
              <w:right w:w="45" w:type="dxa"/>
            </w:tcMar>
            <w:vAlign w:val="center"/>
            <w:hideMark/>
          </w:tcPr>
          <w:p w14:paraId="5857BD47" w14:textId="77777777" w:rsidR="00C171B4" w:rsidRPr="00C171B4" w:rsidRDefault="00C171B4" w:rsidP="00AA4BBB">
            <w:pPr>
              <w:jc w:val="center"/>
              <w:rPr>
                <w:rFonts w:cs="Arial"/>
                <w:sz w:val="18"/>
                <w:szCs w:val="18"/>
              </w:rPr>
            </w:pPr>
            <w:r w:rsidRPr="00C171B4">
              <w:rPr>
                <w:rFonts w:cs="Arial"/>
                <w:sz w:val="18"/>
                <w:szCs w:val="18"/>
              </w:rPr>
              <w:t>102</w:t>
            </w:r>
          </w:p>
        </w:tc>
        <w:tc>
          <w:tcPr>
            <w:tcW w:w="668" w:type="pct"/>
            <w:tcMar>
              <w:top w:w="30" w:type="dxa"/>
              <w:left w:w="45" w:type="dxa"/>
              <w:bottom w:w="30" w:type="dxa"/>
              <w:right w:w="45" w:type="dxa"/>
            </w:tcMar>
            <w:vAlign w:val="center"/>
            <w:hideMark/>
          </w:tcPr>
          <w:p w14:paraId="390531DF" w14:textId="77777777" w:rsidR="00C171B4" w:rsidRPr="00C171B4" w:rsidRDefault="00C171B4" w:rsidP="00AA4BBB">
            <w:pPr>
              <w:jc w:val="center"/>
              <w:rPr>
                <w:rFonts w:cs="Arial"/>
                <w:sz w:val="18"/>
                <w:szCs w:val="18"/>
              </w:rPr>
            </w:pPr>
            <w:r w:rsidRPr="00C171B4">
              <w:rPr>
                <w:rFonts w:cs="Arial"/>
                <w:sz w:val="18"/>
                <w:szCs w:val="18"/>
              </w:rPr>
              <w:t>156</w:t>
            </w:r>
          </w:p>
        </w:tc>
        <w:tc>
          <w:tcPr>
            <w:tcW w:w="675" w:type="pct"/>
            <w:tcMar>
              <w:top w:w="30" w:type="dxa"/>
              <w:left w:w="45" w:type="dxa"/>
              <w:bottom w:w="30" w:type="dxa"/>
              <w:right w:w="45" w:type="dxa"/>
            </w:tcMar>
            <w:vAlign w:val="center"/>
            <w:hideMark/>
          </w:tcPr>
          <w:p w14:paraId="17571321" w14:textId="77777777" w:rsidR="00C171B4" w:rsidRPr="00C171B4" w:rsidRDefault="00C171B4" w:rsidP="00AA4BBB">
            <w:pPr>
              <w:jc w:val="center"/>
              <w:rPr>
                <w:rFonts w:cs="Arial"/>
                <w:sz w:val="18"/>
                <w:szCs w:val="18"/>
              </w:rPr>
            </w:pPr>
            <w:r w:rsidRPr="00C171B4">
              <w:rPr>
                <w:rFonts w:cs="Arial"/>
                <w:sz w:val="18"/>
                <w:szCs w:val="18"/>
              </w:rPr>
              <w:t>182</w:t>
            </w:r>
          </w:p>
        </w:tc>
        <w:tc>
          <w:tcPr>
            <w:tcW w:w="674" w:type="pct"/>
            <w:tcMar>
              <w:top w:w="30" w:type="dxa"/>
              <w:left w:w="45" w:type="dxa"/>
              <w:bottom w:w="30" w:type="dxa"/>
              <w:right w:w="45" w:type="dxa"/>
            </w:tcMar>
            <w:vAlign w:val="center"/>
            <w:hideMark/>
          </w:tcPr>
          <w:p w14:paraId="028587AC" w14:textId="77777777" w:rsidR="00C171B4" w:rsidRPr="00C171B4" w:rsidRDefault="00C171B4" w:rsidP="00AA4BBB">
            <w:pPr>
              <w:jc w:val="center"/>
              <w:rPr>
                <w:rFonts w:cs="Arial"/>
                <w:sz w:val="18"/>
                <w:szCs w:val="18"/>
              </w:rPr>
            </w:pPr>
            <w:r w:rsidRPr="00C171B4">
              <w:rPr>
                <w:rFonts w:cs="Arial"/>
                <w:sz w:val="18"/>
                <w:szCs w:val="18"/>
              </w:rPr>
              <w:t>160</w:t>
            </w:r>
          </w:p>
        </w:tc>
        <w:tc>
          <w:tcPr>
            <w:tcW w:w="643" w:type="pct"/>
            <w:vMerge w:val="restart"/>
            <w:tcMar>
              <w:top w:w="30" w:type="dxa"/>
              <w:left w:w="45" w:type="dxa"/>
              <w:bottom w:w="30" w:type="dxa"/>
              <w:right w:w="45" w:type="dxa"/>
            </w:tcMar>
            <w:vAlign w:val="center"/>
            <w:hideMark/>
          </w:tcPr>
          <w:p w14:paraId="57B28B2E" w14:textId="77777777" w:rsidR="00C171B4" w:rsidRPr="00C171B4" w:rsidRDefault="00C171B4" w:rsidP="00AA4BBB">
            <w:pPr>
              <w:jc w:val="center"/>
              <w:rPr>
                <w:rFonts w:cs="Arial"/>
                <w:b/>
                <w:bCs/>
                <w:sz w:val="18"/>
                <w:szCs w:val="18"/>
              </w:rPr>
            </w:pPr>
            <w:r w:rsidRPr="00C171B4">
              <w:rPr>
                <w:rFonts w:cs="Arial"/>
                <w:b/>
                <w:bCs/>
                <w:sz w:val="18"/>
                <w:szCs w:val="18"/>
              </w:rPr>
              <w:t>13.003.153.191</w:t>
            </w:r>
          </w:p>
        </w:tc>
      </w:tr>
      <w:tr w:rsidR="00C171B4" w:rsidRPr="00C171B4" w14:paraId="016D26AF" w14:textId="77777777" w:rsidTr="00C171B4">
        <w:tc>
          <w:tcPr>
            <w:tcW w:w="1667" w:type="pct"/>
            <w:vMerge/>
            <w:vAlign w:val="center"/>
            <w:hideMark/>
          </w:tcPr>
          <w:p w14:paraId="3F86FBF3"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387C7D9B" w14:textId="77777777" w:rsidR="00C171B4" w:rsidRPr="00C171B4" w:rsidRDefault="00C171B4" w:rsidP="00AA4BBB">
            <w:pPr>
              <w:jc w:val="center"/>
              <w:rPr>
                <w:rFonts w:cs="Arial"/>
                <w:sz w:val="18"/>
                <w:szCs w:val="18"/>
              </w:rPr>
            </w:pPr>
            <w:r w:rsidRPr="00C171B4">
              <w:rPr>
                <w:rFonts w:cs="Arial"/>
                <w:sz w:val="18"/>
                <w:szCs w:val="18"/>
              </w:rPr>
              <w:t>2.320.898.755</w:t>
            </w:r>
          </w:p>
        </w:tc>
        <w:tc>
          <w:tcPr>
            <w:tcW w:w="668" w:type="pct"/>
            <w:tcMar>
              <w:top w:w="30" w:type="dxa"/>
              <w:left w:w="45" w:type="dxa"/>
              <w:bottom w:w="30" w:type="dxa"/>
              <w:right w:w="45" w:type="dxa"/>
            </w:tcMar>
            <w:vAlign w:val="center"/>
            <w:hideMark/>
          </w:tcPr>
          <w:p w14:paraId="1AEB8578" w14:textId="77777777" w:rsidR="00C171B4" w:rsidRPr="00C171B4" w:rsidRDefault="00C171B4" w:rsidP="00AA4BBB">
            <w:pPr>
              <w:jc w:val="center"/>
              <w:rPr>
                <w:rFonts w:cs="Arial"/>
                <w:sz w:val="18"/>
                <w:szCs w:val="18"/>
              </w:rPr>
            </w:pPr>
            <w:r w:rsidRPr="00C171B4">
              <w:rPr>
                <w:rFonts w:cs="Arial"/>
                <w:sz w:val="18"/>
                <w:szCs w:val="18"/>
              </w:rPr>
              <w:t>3.456.230.996</w:t>
            </w:r>
          </w:p>
        </w:tc>
        <w:tc>
          <w:tcPr>
            <w:tcW w:w="675" w:type="pct"/>
            <w:tcMar>
              <w:top w:w="30" w:type="dxa"/>
              <w:left w:w="45" w:type="dxa"/>
              <w:bottom w:w="30" w:type="dxa"/>
              <w:right w:w="45" w:type="dxa"/>
            </w:tcMar>
            <w:vAlign w:val="center"/>
            <w:hideMark/>
          </w:tcPr>
          <w:p w14:paraId="586BFE1F" w14:textId="77777777" w:rsidR="00C171B4" w:rsidRPr="00C171B4" w:rsidRDefault="00C171B4" w:rsidP="00AA4BBB">
            <w:pPr>
              <w:jc w:val="center"/>
              <w:rPr>
                <w:rFonts w:cs="Arial"/>
                <w:sz w:val="18"/>
                <w:szCs w:val="18"/>
              </w:rPr>
            </w:pPr>
            <w:r w:rsidRPr="00C171B4">
              <w:rPr>
                <w:rFonts w:cs="Arial"/>
                <w:sz w:val="18"/>
                <w:szCs w:val="18"/>
              </w:rPr>
              <w:t>3.895.834.633</w:t>
            </w:r>
          </w:p>
        </w:tc>
        <w:tc>
          <w:tcPr>
            <w:tcW w:w="674" w:type="pct"/>
            <w:tcMar>
              <w:top w:w="30" w:type="dxa"/>
              <w:left w:w="45" w:type="dxa"/>
              <w:bottom w:w="30" w:type="dxa"/>
              <w:right w:w="45" w:type="dxa"/>
            </w:tcMar>
            <w:vAlign w:val="center"/>
            <w:hideMark/>
          </w:tcPr>
          <w:p w14:paraId="4200C793" w14:textId="77777777" w:rsidR="00C171B4" w:rsidRPr="00C171B4" w:rsidRDefault="00C171B4" w:rsidP="00AA4BBB">
            <w:pPr>
              <w:jc w:val="center"/>
              <w:rPr>
                <w:rFonts w:cs="Arial"/>
                <w:sz w:val="18"/>
                <w:szCs w:val="18"/>
              </w:rPr>
            </w:pPr>
            <w:r w:rsidRPr="00C171B4">
              <w:rPr>
                <w:rFonts w:cs="Arial"/>
                <w:sz w:val="18"/>
                <w:szCs w:val="18"/>
              </w:rPr>
              <w:t>3.330.188.807</w:t>
            </w:r>
          </w:p>
        </w:tc>
        <w:tc>
          <w:tcPr>
            <w:tcW w:w="643" w:type="pct"/>
            <w:vMerge/>
            <w:vAlign w:val="center"/>
            <w:hideMark/>
          </w:tcPr>
          <w:p w14:paraId="32F523DA" w14:textId="77777777" w:rsidR="00C171B4" w:rsidRPr="00C171B4" w:rsidRDefault="00C171B4" w:rsidP="00AA4BBB">
            <w:pPr>
              <w:rPr>
                <w:rFonts w:cs="Arial"/>
                <w:b/>
                <w:bCs/>
                <w:sz w:val="18"/>
                <w:szCs w:val="18"/>
              </w:rPr>
            </w:pPr>
          </w:p>
        </w:tc>
      </w:tr>
      <w:tr w:rsidR="00C171B4" w:rsidRPr="00C171B4" w14:paraId="76E07F67" w14:textId="77777777" w:rsidTr="00C171B4">
        <w:tc>
          <w:tcPr>
            <w:tcW w:w="1667" w:type="pct"/>
            <w:vMerge w:val="restart"/>
            <w:tcMar>
              <w:top w:w="30" w:type="dxa"/>
              <w:left w:w="45" w:type="dxa"/>
              <w:bottom w:w="30" w:type="dxa"/>
              <w:right w:w="45" w:type="dxa"/>
            </w:tcMar>
            <w:vAlign w:val="center"/>
            <w:hideMark/>
          </w:tcPr>
          <w:p w14:paraId="5371BBCC" w14:textId="77777777" w:rsidR="00C171B4" w:rsidRPr="00C171B4" w:rsidRDefault="00C171B4" w:rsidP="00AA4BBB">
            <w:pPr>
              <w:rPr>
                <w:rFonts w:cs="Arial"/>
                <w:sz w:val="18"/>
                <w:szCs w:val="18"/>
              </w:rPr>
            </w:pPr>
            <w:r w:rsidRPr="00C171B4">
              <w:rPr>
                <w:rFonts w:cs="Arial"/>
                <w:sz w:val="18"/>
                <w:szCs w:val="18"/>
              </w:rPr>
              <w:t>Apoyar la realización de 8 eventos estratégicos para el posicionamiento internacional del tejido empresarial de Bogotá D.C.</w:t>
            </w:r>
          </w:p>
        </w:tc>
        <w:tc>
          <w:tcPr>
            <w:tcW w:w="672" w:type="pct"/>
            <w:tcMar>
              <w:top w:w="30" w:type="dxa"/>
              <w:left w:w="45" w:type="dxa"/>
              <w:bottom w:w="30" w:type="dxa"/>
              <w:right w:w="45" w:type="dxa"/>
            </w:tcMar>
            <w:vAlign w:val="center"/>
            <w:hideMark/>
          </w:tcPr>
          <w:p w14:paraId="4D3E721A" w14:textId="77777777" w:rsidR="00C171B4" w:rsidRPr="00C171B4" w:rsidRDefault="00C171B4" w:rsidP="00AA4BBB">
            <w:pPr>
              <w:jc w:val="center"/>
              <w:rPr>
                <w:rFonts w:cs="Arial"/>
                <w:sz w:val="18"/>
                <w:szCs w:val="18"/>
              </w:rPr>
            </w:pPr>
            <w:r w:rsidRPr="00C171B4">
              <w:rPr>
                <w:rFonts w:cs="Arial"/>
                <w:sz w:val="18"/>
                <w:szCs w:val="18"/>
              </w:rPr>
              <w:t>1</w:t>
            </w:r>
          </w:p>
        </w:tc>
        <w:tc>
          <w:tcPr>
            <w:tcW w:w="668" w:type="pct"/>
            <w:tcMar>
              <w:top w:w="30" w:type="dxa"/>
              <w:left w:w="45" w:type="dxa"/>
              <w:bottom w:w="30" w:type="dxa"/>
              <w:right w:w="45" w:type="dxa"/>
            </w:tcMar>
            <w:vAlign w:val="center"/>
            <w:hideMark/>
          </w:tcPr>
          <w:p w14:paraId="6FAC3173" w14:textId="77777777" w:rsidR="00C171B4" w:rsidRPr="00C171B4" w:rsidRDefault="00C171B4" w:rsidP="00AA4BBB">
            <w:pPr>
              <w:jc w:val="center"/>
              <w:rPr>
                <w:rFonts w:cs="Arial"/>
                <w:sz w:val="18"/>
                <w:szCs w:val="18"/>
              </w:rPr>
            </w:pPr>
            <w:r w:rsidRPr="00C171B4">
              <w:rPr>
                <w:rFonts w:cs="Arial"/>
                <w:sz w:val="18"/>
                <w:szCs w:val="18"/>
              </w:rPr>
              <w:t>2</w:t>
            </w:r>
          </w:p>
        </w:tc>
        <w:tc>
          <w:tcPr>
            <w:tcW w:w="675" w:type="pct"/>
            <w:tcMar>
              <w:top w:w="30" w:type="dxa"/>
              <w:left w:w="45" w:type="dxa"/>
              <w:bottom w:w="30" w:type="dxa"/>
              <w:right w:w="45" w:type="dxa"/>
            </w:tcMar>
            <w:vAlign w:val="center"/>
            <w:hideMark/>
          </w:tcPr>
          <w:p w14:paraId="3BF1F918" w14:textId="77777777" w:rsidR="00C171B4" w:rsidRPr="00C171B4" w:rsidRDefault="00C171B4" w:rsidP="00AA4BBB">
            <w:pPr>
              <w:jc w:val="center"/>
              <w:rPr>
                <w:rFonts w:cs="Arial"/>
                <w:sz w:val="18"/>
                <w:szCs w:val="18"/>
              </w:rPr>
            </w:pPr>
            <w:r w:rsidRPr="00C171B4">
              <w:rPr>
                <w:rFonts w:cs="Arial"/>
                <w:sz w:val="18"/>
                <w:szCs w:val="18"/>
              </w:rPr>
              <w:t>2</w:t>
            </w:r>
          </w:p>
        </w:tc>
        <w:tc>
          <w:tcPr>
            <w:tcW w:w="674" w:type="pct"/>
            <w:tcMar>
              <w:top w:w="30" w:type="dxa"/>
              <w:left w:w="45" w:type="dxa"/>
              <w:bottom w:w="30" w:type="dxa"/>
              <w:right w:w="45" w:type="dxa"/>
            </w:tcMar>
            <w:vAlign w:val="center"/>
            <w:hideMark/>
          </w:tcPr>
          <w:p w14:paraId="4CEDF259" w14:textId="77777777" w:rsidR="00C171B4" w:rsidRPr="00C171B4" w:rsidRDefault="00C171B4" w:rsidP="00AA4BBB">
            <w:pPr>
              <w:jc w:val="center"/>
              <w:rPr>
                <w:rFonts w:cs="Arial"/>
                <w:sz w:val="18"/>
                <w:szCs w:val="18"/>
              </w:rPr>
            </w:pPr>
            <w:r w:rsidRPr="00C171B4">
              <w:rPr>
                <w:rFonts w:cs="Arial"/>
                <w:sz w:val="18"/>
                <w:szCs w:val="18"/>
              </w:rPr>
              <w:t>3</w:t>
            </w:r>
          </w:p>
        </w:tc>
        <w:tc>
          <w:tcPr>
            <w:tcW w:w="643" w:type="pct"/>
            <w:vMerge w:val="restart"/>
            <w:tcMar>
              <w:top w:w="30" w:type="dxa"/>
              <w:left w:w="45" w:type="dxa"/>
              <w:bottom w:w="30" w:type="dxa"/>
              <w:right w:w="45" w:type="dxa"/>
            </w:tcMar>
            <w:vAlign w:val="center"/>
            <w:hideMark/>
          </w:tcPr>
          <w:p w14:paraId="5F7717FF" w14:textId="77777777" w:rsidR="00C171B4" w:rsidRPr="00C171B4" w:rsidRDefault="00C171B4" w:rsidP="00AA4BBB">
            <w:pPr>
              <w:jc w:val="center"/>
              <w:rPr>
                <w:rFonts w:cs="Arial"/>
                <w:b/>
                <w:bCs/>
                <w:sz w:val="18"/>
                <w:szCs w:val="18"/>
              </w:rPr>
            </w:pPr>
            <w:r w:rsidRPr="00C171B4">
              <w:rPr>
                <w:rFonts w:cs="Arial"/>
                <w:b/>
                <w:bCs/>
                <w:sz w:val="18"/>
                <w:szCs w:val="18"/>
              </w:rPr>
              <w:t>6.121.036.940</w:t>
            </w:r>
          </w:p>
        </w:tc>
      </w:tr>
      <w:tr w:rsidR="00C171B4" w:rsidRPr="00C171B4" w14:paraId="5F412E56" w14:textId="77777777" w:rsidTr="00C171B4">
        <w:tc>
          <w:tcPr>
            <w:tcW w:w="1667" w:type="pct"/>
            <w:vMerge/>
            <w:vAlign w:val="center"/>
            <w:hideMark/>
          </w:tcPr>
          <w:p w14:paraId="1D849698"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02920895" w14:textId="77777777" w:rsidR="00C171B4" w:rsidRPr="00C171B4" w:rsidRDefault="00C171B4" w:rsidP="00AA4BBB">
            <w:pPr>
              <w:jc w:val="center"/>
              <w:rPr>
                <w:rFonts w:cs="Arial"/>
                <w:sz w:val="18"/>
                <w:szCs w:val="18"/>
              </w:rPr>
            </w:pPr>
            <w:r w:rsidRPr="00C171B4">
              <w:rPr>
                <w:rFonts w:cs="Arial"/>
                <w:sz w:val="18"/>
                <w:szCs w:val="18"/>
              </w:rPr>
              <w:t>688.019.342</w:t>
            </w:r>
          </w:p>
        </w:tc>
        <w:tc>
          <w:tcPr>
            <w:tcW w:w="668" w:type="pct"/>
            <w:tcMar>
              <w:top w:w="30" w:type="dxa"/>
              <w:left w:w="45" w:type="dxa"/>
              <w:bottom w:w="30" w:type="dxa"/>
              <w:right w:w="45" w:type="dxa"/>
            </w:tcMar>
            <w:vAlign w:val="center"/>
            <w:hideMark/>
          </w:tcPr>
          <w:p w14:paraId="375FFAEB" w14:textId="77777777" w:rsidR="00C171B4" w:rsidRPr="00C171B4" w:rsidRDefault="00C171B4" w:rsidP="00AA4BBB">
            <w:pPr>
              <w:jc w:val="center"/>
              <w:rPr>
                <w:rFonts w:cs="Arial"/>
                <w:sz w:val="18"/>
                <w:szCs w:val="18"/>
              </w:rPr>
            </w:pPr>
            <w:r w:rsidRPr="00C171B4">
              <w:rPr>
                <w:rFonts w:cs="Arial"/>
                <w:sz w:val="18"/>
                <w:szCs w:val="18"/>
              </w:rPr>
              <w:t>2.386.328.416</w:t>
            </w:r>
          </w:p>
        </w:tc>
        <w:tc>
          <w:tcPr>
            <w:tcW w:w="675" w:type="pct"/>
            <w:tcMar>
              <w:top w:w="30" w:type="dxa"/>
              <w:left w:w="45" w:type="dxa"/>
              <w:bottom w:w="30" w:type="dxa"/>
              <w:right w:w="45" w:type="dxa"/>
            </w:tcMar>
            <w:vAlign w:val="center"/>
            <w:hideMark/>
          </w:tcPr>
          <w:p w14:paraId="7829EB74" w14:textId="77777777" w:rsidR="00C171B4" w:rsidRPr="00C171B4" w:rsidRDefault="00C171B4" w:rsidP="00AA4BBB">
            <w:pPr>
              <w:jc w:val="center"/>
              <w:rPr>
                <w:rFonts w:cs="Arial"/>
                <w:sz w:val="18"/>
                <w:szCs w:val="18"/>
              </w:rPr>
            </w:pPr>
            <w:r w:rsidRPr="00C171B4">
              <w:rPr>
                <w:rFonts w:cs="Arial"/>
                <w:sz w:val="18"/>
                <w:szCs w:val="18"/>
              </w:rPr>
              <w:t>2.154.712.330</w:t>
            </w:r>
          </w:p>
        </w:tc>
        <w:tc>
          <w:tcPr>
            <w:tcW w:w="674" w:type="pct"/>
            <w:tcMar>
              <w:top w:w="30" w:type="dxa"/>
              <w:left w:w="45" w:type="dxa"/>
              <w:bottom w:w="30" w:type="dxa"/>
              <w:right w:w="45" w:type="dxa"/>
            </w:tcMar>
            <w:vAlign w:val="center"/>
            <w:hideMark/>
          </w:tcPr>
          <w:p w14:paraId="7B3AA910" w14:textId="77777777" w:rsidR="00C171B4" w:rsidRPr="00C171B4" w:rsidRDefault="00C171B4" w:rsidP="00AA4BBB">
            <w:pPr>
              <w:jc w:val="center"/>
              <w:rPr>
                <w:rFonts w:cs="Arial"/>
                <w:sz w:val="18"/>
                <w:szCs w:val="18"/>
              </w:rPr>
            </w:pPr>
            <w:r w:rsidRPr="00C171B4">
              <w:rPr>
                <w:rFonts w:cs="Arial"/>
                <w:sz w:val="18"/>
                <w:szCs w:val="18"/>
              </w:rPr>
              <w:t>891.976.852</w:t>
            </w:r>
          </w:p>
        </w:tc>
        <w:tc>
          <w:tcPr>
            <w:tcW w:w="643" w:type="pct"/>
            <w:vMerge/>
            <w:vAlign w:val="center"/>
            <w:hideMark/>
          </w:tcPr>
          <w:p w14:paraId="1474C89F" w14:textId="77777777" w:rsidR="00C171B4" w:rsidRPr="00C171B4" w:rsidRDefault="00C171B4" w:rsidP="00AA4BBB">
            <w:pPr>
              <w:rPr>
                <w:rFonts w:cs="Arial"/>
                <w:b/>
                <w:bCs/>
                <w:sz w:val="18"/>
                <w:szCs w:val="18"/>
              </w:rPr>
            </w:pPr>
          </w:p>
        </w:tc>
      </w:tr>
      <w:tr w:rsidR="00C171B4" w:rsidRPr="00C171B4" w14:paraId="26A0C556" w14:textId="77777777" w:rsidTr="00C171B4">
        <w:tc>
          <w:tcPr>
            <w:tcW w:w="1667" w:type="pct"/>
            <w:vMerge w:val="restart"/>
            <w:tcMar>
              <w:top w:w="30" w:type="dxa"/>
              <w:left w:w="45" w:type="dxa"/>
              <w:bottom w:w="30" w:type="dxa"/>
              <w:right w:w="45" w:type="dxa"/>
            </w:tcMar>
            <w:vAlign w:val="center"/>
            <w:hideMark/>
          </w:tcPr>
          <w:p w14:paraId="629B8A62" w14:textId="77777777" w:rsidR="00C171B4" w:rsidRPr="00C171B4" w:rsidRDefault="00C171B4" w:rsidP="00AA4BBB">
            <w:pPr>
              <w:rPr>
                <w:rFonts w:cs="Arial"/>
                <w:sz w:val="18"/>
                <w:szCs w:val="18"/>
              </w:rPr>
            </w:pPr>
            <w:r w:rsidRPr="00C171B4">
              <w:rPr>
                <w:rFonts w:cs="Arial"/>
                <w:sz w:val="18"/>
                <w:szCs w:val="18"/>
              </w:rPr>
              <w:t>Aumentar el nivel de productividad para 1053 empresas mediante el desarrollo de alianzas estratégicas que conlleven al desarrollo de capacidades para la gestión de procesos de aceleración y sofisticación</w:t>
            </w:r>
          </w:p>
        </w:tc>
        <w:tc>
          <w:tcPr>
            <w:tcW w:w="672" w:type="pct"/>
            <w:tcMar>
              <w:top w:w="30" w:type="dxa"/>
              <w:left w:w="45" w:type="dxa"/>
              <w:bottom w:w="30" w:type="dxa"/>
              <w:right w:w="45" w:type="dxa"/>
            </w:tcMar>
            <w:vAlign w:val="center"/>
            <w:hideMark/>
          </w:tcPr>
          <w:p w14:paraId="0418B616" w14:textId="77777777" w:rsidR="00C171B4" w:rsidRPr="00C171B4" w:rsidRDefault="00C171B4" w:rsidP="00AA4BBB">
            <w:pPr>
              <w:jc w:val="center"/>
              <w:rPr>
                <w:rFonts w:cs="Arial"/>
                <w:sz w:val="18"/>
                <w:szCs w:val="18"/>
              </w:rPr>
            </w:pPr>
            <w:r w:rsidRPr="00C171B4">
              <w:rPr>
                <w:rFonts w:cs="Arial"/>
                <w:sz w:val="18"/>
                <w:szCs w:val="18"/>
              </w:rPr>
              <w:t>84</w:t>
            </w:r>
          </w:p>
        </w:tc>
        <w:tc>
          <w:tcPr>
            <w:tcW w:w="668" w:type="pct"/>
            <w:tcMar>
              <w:top w:w="30" w:type="dxa"/>
              <w:left w:w="45" w:type="dxa"/>
              <w:bottom w:w="30" w:type="dxa"/>
              <w:right w:w="45" w:type="dxa"/>
            </w:tcMar>
            <w:vAlign w:val="center"/>
            <w:hideMark/>
          </w:tcPr>
          <w:p w14:paraId="430E0D5C" w14:textId="77777777" w:rsidR="00C171B4" w:rsidRPr="00C171B4" w:rsidRDefault="00C171B4" w:rsidP="00AA4BBB">
            <w:pPr>
              <w:jc w:val="center"/>
              <w:rPr>
                <w:rFonts w:cs="Arial"/>
                <w:sz w:val="18"/>
                <w:szCs w:val="18"/>
              </w:rPr>
            </w:pPr>
            <w:r w:rsidRPr="00C171B4">
              <w:rPr>
                <w:rFonts w:cs="Arial"/>
                <w:sz w:val="18"/>
                <w:szCs w:val="18"/>
              </w:rPr>
              <w:t>347</w:t>
            </w:r>
          </w:p>
        </w:tc>
        <w:tc>
          <w:tcPr>
            <w:tcW w:w="675" w:type="pct"/>
            <w:tcMar>
              <w:top w:w="30" w:type="dxa"/>
              <w:left w:w="45" w:type="dxa"/>
              <w:bottom w:w="30" w:type="dxa"/>
              <w:right w:w="45" w:type="dxa"/>
            </w:tcMar>
            <w:vAlign w:val="center"/>
            <w:hideMark/>
          </w:tcPr>
          <w:p w14:paraId="0D235213" w14:textId="77777777" w:rsidR="00C171B4" w:rsidRPr="00C171B4" w:rsidRDefault="00C171B4" w:rsidP="00AA4BBB">
            <w:pPr>
              <w:jc w:val="center"/>
              <w:rPr>
                <w:rFonts w:cs="Arial"/>
                <w:sz w:val="18"/>
                <w:szCs w:val="18"/>
              </w:rPr>
            </w:pPr>
            <w:r w:rsidRPr="00C171B4">
              <w:rPr>
                <w:rFonts w:cs="Arial"/>
                <w:sz w:val="18"/>
                <w:szCs w:val="18"/>
              </w:rPr>
              <w:t>341</w:t>
            </w:r>
          </w:p>
        </w:tc>
        <w:tc>
          <w:tcPr>
            <w:tcW w:w="674" w:type="pct"/>
            <w:tcMar>
              <w:top w:w="30" w:type="dxa"/>
              <w:left w:w="45" w:type="dxa"/>
              <w:bottom w:w="30" w:type="dxa"/>
              <w:right w:w="45" w:type="dxa"/>
            </w:tcMar>
            <w:vAlign w:val="center"/>
            <w:hideMark/>
          </w:tcPr>
          <w:p w14:paraId="1F10599A" w14:textId="77777777" w:rsidR="00C171B4" w:rsidRPr="00C171B4" w:rsidRDefault="00C171B4" w:rsidP="00AA4BBB">
            <w:pPr>
              <w:jc w:val="center"/>
              <w:rPr>
                <w:rFonts w:cs="Arial"/>
                <w:sz w:val="18"/>
                <w:szCs w:val="18"/>
              </w:rPr>
            </w:pPr>
            <w:r w:rsidRPr="00C171B4">
              <w:rPr>
                <w:rFonts w:cs="Arial"/>
                <w:sz w:val="18"/>
                <w:szCs w:val="18"/>
              </w:rPr>
              <w:t>281</w:t>
            </w:r>
          </w:p>
        </w:tc>
        <w:tc>
          <w:tcPr>
            <w:tcW w:w="643" w:type="pct"/>
            <w:vMerge w:val="restart"/>
            <w:tcMar>
              <w:top w:w="30" w:type="dxa"/>
              <w:left w:w="45" w:type="dxa"/>
              <w:bottom w:w="30" w:type="dxa"/>
              <w:right w:w="45" w:type="dxa"/>
            </w:tcMar>
            <w:vAlign w:val="center"/>
            <w:hideMark/>
          </w:tcPr>
          <w:p w14:paraId="514A3359" w14:textId="77777777" w:rsidR="00C171B4" w:rsidRPr="00C171B4" w:rsidRDefault="00C171B4" w:rsidP="00AA4BBB">
            <w:pPr>
              <w:jc w:val="center"/>
              <w:rPr>
                <w:rFonts w:cs="Arial"/>
                <w:b/>
                <w:bCs/>
                <w:sz w:val="18"/>
                <w:szCs w:val="18"/>
              </w:rPr>
            </w:pPr>
            <w:r w:rsidRPr="00C171B4">
              <w:rPr>
                <w:rFonts w:cs="Arial"/>
                <w:b/>
                <w:bCs/>
                <w:sz w:val="18"/>
                <w:szCs w:val="18"/>
              </w:rPr>
              <w:t>10.577.785.006</w:t>
            </w:r>
          </w:p>
        </w:tc>
      </w:tr>
      <w:tr w:rsidR="00C171B4" w:rsidRPr="00C171B4" w14:paraId="22D46182" w14:textId="77777777" w:rsidTr="00C171B4">
        <w:tc>
          <w:tcPr>
            <w:tcW w:w="1667" w:type="pct"/>
            <w:vMerge/>
            <w:vAlign w:val="center"/>
            <w:hideMark/>
          </w:tcPr>
          <w:p w14:paraId="00BF2C38"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411007C2" w14:textId="77777777" w:rsidR="00C171B4" w:rsidRPr="00C171B4" w:rsidRDefault="00C171B4" w:rsidP="00AA4BBB">
            <w:pPr>
              <w:jc w:val="center"/>
              <w:rPr>
                <w:rFonts w:cs="Arial"/>
                <w:sz w:val="18"/>
                <w:szCs w:val="18"/>
              </w:rPr>
            </w:pPr>
            <w:r w:rsidRPr="00C171B4">
              <w:rPr>
                <w:rFonts w:cs="Arial"/>
                <w:sz w:val="18"/>
                <w:szCs w:val="18"/>
              </w:rPr>
              <w:t>1.647.636.253</w:t>
            </w:r>
          </w:p>
        </w:tc>
        <w:tc>
          <w:tcPr>
            <w:tcW w:w="668" w:type="pct"/>
            <w:tcMar>
              <w:top w:w="30" w:type="dxa"/>
              <w:left w:w="45" w:type="dxa"/>
              <w:bottom w:w="30" w:type="dxa"/>
              <w:right w:w="45" w:type="dxa"/>
            </w:tcMar>
            <w:vAlign w:val="center"/>
            <w:hideMark/>
          </w:tcPr>
          <w:p w14:paraId="1F0665C9" w14:textId="77777777" w:rsidR="00C171B4" w:rsidRPr="00C171B4" w:rsidRDefault="00C171B4" w:rsidP="00AA4BBB">
            <w:pPr>
              <w:jc w:val="center"/>
              <w:rPr>
                <w:rFonts w:cs="Arial"/>
                <w:sz w:val="18"/>
                <w:szCs w:val="18"/>
              </w:rPr>
            </w:pPr>
            <w:r w:rsidRPr="00C171B4">
              <w:rPr>
                <w:rFonts w:cs="Arial"/>
                <w:sz w:val="18"/>
                <w:szCs w:val="18"/>
              </w:rPr>
              <w:t>3.282.791.988</w:t>
            </w:r>
          </w:p>
        </w:tc>
        <w:tc>
          <w:tcPr>
            <w:tcW w:w="675" w:type="pct"/>
            <w:tcMar>
              <w:top w:w="30" w:type="dxa"/>
              <w:left w:w="45" w:type="dxa"/>
              <w:bottom w:w="30" w:type="dxa"/>
              <w:right w:w="45" w:type="dxa"/>
            </w:tcMar>
            <w:vAlign w:val="center"/>
            <w:hideMark/>
          </w:tcPr>
          <w:p w14:paraId="537B99D3" w14:textId="77777777" w:rsidR="00C171B4" w:rsidRPr="00C171B4" w:rsidRDefault="00C171B4" w:rsidP="00AA4BBB">
            <w:pPr>
              <w:jc w:val="center"/>
              <w:rPr>
                <w:rFonts w:cs="Arial"/>
                <w:sz w:val="18"/>
                <w:szCs w:val="18"/>
              </w:rPr>
            </w:pPr>
            <w:r w:rsidRPr="00C171B4">
              <w:rPr>
                <w:rFonts w:cs="Arial"/>
                <w:sz w:val="18"/>
                <w:szCs w:val="18"/>
              </w:rPr>
              <w:t>3.139.825.176</w:t>
            </w:r>
          </w:p>
        </w:tc>
        <w:tc>
          <w:tcPr>
            <w:tcW w:w="674" w:type="pct"/>
            <w:tcMar>
              <w:top w:w="30" w:type="dxa"/>
              <w:left w:w="45" w:type="dxa"/>
              <w:bottom w:w="30" w:type="dxa"/>
              <w:right w:w="45" w:type="dxa"/>
            </w:tcMar>
            <w:vAlign w:val="center"/>
            <w:hideMark/>
          </w:tcPr>
          <w:p w14:paraId="47C90A45" w14:textId="77777777" w:rsidR="00C171B4" w:rsidRPr="00C171B4" w:rsidRDefault="00C171B4" w:rsidP="00AA4BBB">
            <w:pPr>
              <w:jc w:val="center"/>
              <w:rPr>
                <w:rFonts w:cs="Arial"/>
                <w:sz w:val="18"/>
                <w:szCs w:val="18"/>
              </w:rPr>
            </w:pPr>
            <w:r w:rsidRPr="00C171B4">
              <w:rPr>
                <w:rFonts w:cs="Arial"/>
                <w:sz w:val="18"/>
                <w:szCs w:val="18"/>
              </w:rPr>
              <w:t>2.507.531.588</w:t>
            </w:r>
          </w:p>
        </w:tc>
        <w:tc>
          <w:tcPr>
            <w:tcW w:w="643" w:type="pct"/>
            <w:vMerge/>
            <w:vAlign w:val="center"/>
            <w:hideMark/>
          </w:tcPr>
          <w:p w14:paraId="069BD203" w14:textId="77777777" w:rsidR="00C171B4" w:rsidRPr="00C171B4" w:rsidRDefault="00C171B4" w:rsidP="00AA4BBB">
            <w:pPr>
              <w:rPr>
                <w:rFonts w:cs="Arial"/>
                <w:b/>
                <w:bCs/>
                <w:sz w:val="18"/>
                <w:szCs w:val="18"/>
              </w:rPr>
            </w:pPr>
          </w:p>
        </w:tc>
      </w:tr>
      <w:tr w:rsidR="00C171B4" w:rsidRPr="00C171B4" w14:paraId="32D8368A" w14:textId="77777777" w:rsidTr="00C171B4">
        <w:tc>
          <w:tcPr>
            <w:tcW w:w="1667" w:type="pct"/>
            <w:vMerge w:val="restart"/>
            <w:tcMar>
              <w:top w:w="30" w:type="dxa"/>
              <w:left w:w="45" w:type="dxa"/>
              <w:bottom w:w="30" w:type="dxa"/>
              <w:right w:w="45" w:type="dxa"/>
            </w:tcMar>
            <w:vAlign w:val="center"/>
            <w:hideMark/>
          </w:tcPr>
          <w:p w14:paraId="48AD7658" w14:textId="77777777" w:rsidR="00C171B4" w:rsidRPr="00C171B4" w:rsidRDefault="00C171B4" w:rsidP="00AA4BBB">
            <w:pPr>
              <w:rPr>
                <w:rFonts w:cs="Arial"/>
                <w:sz w:val="18"/>
                <w:szCs w:val="18"/>
              </w:rPr>
            </w:pPr>
            <w:r w:rsidRPr="00C171B4">
              <w:rPr>
                <w:rFonts w:cs="Arial"/>
                <w:sz w:val="18"/>
                <w:szCs w:val="18"/>
              </w:rPr>
              <w:t>Desarrollar 60 experiencias turísticas competitivas en Bogotá Región</w:t>
            </w:r>
          </w:p>
        </w:tc>
        <w:tc>
          <w:tcPr>
            <w:tcW w:w="672" w:type="pct"/>
            <w:tcMar>
              <w:top w:w="30" w:type="dxa"/>
              <w:left w:w="45" w:type="dxa"/>
              <w:bottom w:w="30" w:type="dxa"/>
              <w:right w:w="45" w:type="dxa"/>
            </w:tcMar>
            <w:vAlign w:val="center"/>
            <w:hideMark/>
          </w:tcPr>
          <w:p w14:paraId="41A1D7B3" w14:textId="77777777" w:rsidR="00C171B4" w:rsidRPr="00C171B4" w:rsidRDefault="00C171B4" w:rsidP="00AA4BBB">
            <w:pPr>
              <w:jc w:val="center"/>
              <w:rPr>
                <w:rFonts w:cs="Arial"/>
                <w:sz w:val="18"/>
                <w:szCs w:val="18"/>
              </w:rPr>
            </w:pPr>
            <w:r w:rsidRPr="00C171B4">
              <w:rPr>
                <w:rFonts w:cs="Arial"/>
                <w:sz w:val="18"/>
                <w:szCs w:val="18"/>
              </w:rPr>
              <w:t>15</w:t>
            </w:r>
          </w:p>
        </w:tc>
        <w:tc>
          <w:tcPr>
            <w:tcW w:w="668" w:type="pct"/>
            <w:tcMar>
              <w:top w:w="30" w:type="dxa"/>
              <w:left w:w="45" w:type="dxa"/>
              <w:bottom w:w="30" w:type="dxa"/>
              <w:right w:w="45" w:type="dxa"/>
            </w:tcMar>
            <w:vAlign w:val="center"/>
            <w:hideMark/>
          </w:tcPr>
          <w:p w14:paraId="78DCBDAC" w14:textId="77777777" w:rsidR="00C171B4" w:rsidRPr="00C171B4" w:rsidRDefault="00C171B4" w:rsidP="00AA4BBB">
            <w:pPr>
              <w:jc w:val="center"/>
              <w:rPr>
                <w:rFonts w:cs="Arial"/>
                <w:sz w:val="18"/>
                <w:szCs w:val="18"/>
              </w:rPr>
            </w:pPr>
            <w:r w:rsidRPr="00C171B4">
              <w:rPr>
                <w:rFonts w:cs="Arial"/>
                <w:sz w:val="18"/>
                <w:szCs w:val="18"/>
              </w:rPr>
              <w:t>15</w:t>
            </w:r>
          </w:p>
        </w:tc>
        <w:tc>
          <w:tcPr>
            <w:tcW w:w="675" w:type="pct"/>
            <w:tcMar>
              <w:top w:w="30" w:type="dxa"/>
              <w:left w:w="45" w:type="dxa"/>
              <w:bottom w:w="30" w:type="dxa"/>
              <w:right w:w="45" w:type="dxa"/>
            </w:tcMar>
            <w:vAlign w:val="center"/>
            <w:hideMark/>
          </w:tcPr>
          <w:p w14:paraId="476572E9" w14:textId="77777777" w:rsidR="00C171B4" w:rsidRPr="00C171B4" w:rsidRDefault="00C171B4" w:rsidP="00AA4BBB">
            <w:pPr>
              <w:jc w:val="center"/>
              <w:rPr>
                <w:rFonts w:cs="Arial"/>
                <w:sz w:val="18"/>
                <w:szCs w:val="18"/>
              </w:rPr>
            </w:pPr>
            <w:r w:rsidRPr="00C171B4">
              <w:rPr>
                <w:rFonts w:cs="Arial"/>
                <w:sz w:val="18"/>
                <w:szCs w:val="18"/>
              </w:rPr>
              <w:t>15</w:t>
            </w:r>
          </w:p>
        </w:tc>
        <w:tc>
          <w:tcPr>
            <w:tcW w:w="674" w:type="pct"/>
            <w:tcMar>
              <w:top w:w="30" w:type="dxa"/>
              <w:left w:w="45" w:type="dxa"/>
              <w:bottom w:w="30" w:type="dxa"/>
              <w:right w:w="45" w:type="dxa"/>
            </w:tcMar>
            <w:vAlign w:val="center"/>
            <w:hideMark/>
          </w:tcPr>
          <w:p w14:paraId="19F61F33" w14:textId="77777777" w:rsidR="00C171B4" w:rsidRPr="00C171B4" w:rsidRDefault="00C171B4" w:rsidP="00AA4BBB">
            <w:pPr>
              <w:jc w:val="center"/>
              <w:rPr>
                <w:rFonts w:cs="Arial"/>
                <w:sz w:val="18"/>
                <w:szCs w:val="18"/>
              </w:rPr>
            </w:pPr>
            <w:r w:rsidRPr="00C171B4">
              <w:rPr>
                <w:rFonts w:cs="Arial"/>
                <w:sz w:val="18"/>
                <w:szCs w:val="18"/>
              </w:rPr>
              <w:t>15</w:t>
            </w:r>
          </w:p>
        </w:tc>
        <w:tc>
          <w:tcPr>
            <w:tcW w:w="643" w:type="pct"/>
            <w:vMerge w:val="restart"/>
            <w:tcMar>
              <w:top w:w="30" w:type="dxa"/>
              <w:left w:w="45" w:type="dxa"/>
              <w:bottom w:w="30" w:type="dxa"/>
              <w:right w:w="45" w:type="dxa"/>
            </w:tcMar>
            <w:vAlign w:val="center"/>
            <w:hideMark/>
          </w:tcPr>
          <w:p w14:paraId="1217B71B" w14:textId="77777777" w:rsidR="00C171B4" w:rsidRPr="00C171B4" w:rsidRDefault="00C171B4" w:rsidP="00AA4BBB">
            <w:pPr>
              <w:jc w:val="center"/>
              <w:rPr>
                <w:rFonts w:cs="Arial"/>
                <w:b/>
                <w:bCs/>
                <w:sz w:val="18"/>
                <w:szCs w:val="18"/>
              </w:rPr>
            </w:pPr>
            <w:r w:rsidRPr="00C171B4">
              <w:rPr>
                <w:rFonts w:cs="Arial"/>
                <w:b/>
                <w:bCs/>
                <w:sz w:val="18"/>
                <w:szCs w:val="18"/>
              </w:rPr>
              <w:t>12.365.275.371</w:t>
            </w:r>
          </w:p>
        </w:tc>
      </w:tr>
      <w:tr w:rsidR="00C171B4" w:rsidRPr="00C171B4" w14:paraId="6C19B63D" w14:textId="77777777" w:rsidTr="00C171B4">
        <w:tc>
          <w:tcPr>
            <w:tcW w:w="1667" w:type="pct"/>
            <w:vMerge/>
            <w:vAlign w:val="center"/>
            <w:hideMark/>
          </w:tcPr>
          <w:p w14:paraId="2BB11AA9"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445886A8" w14:textId="77777777" w:rsidR="00C171B4" w:rsidRPr="00C171B4" w:rsidRDefault="00C171B4" w:rsidP="00AA4BBB">
            <w:pPr>
              <w:jc w:val="center"/>
              <w:rPr>
                <w:rFonts w:cs="Arial"/>
                <w:sz w:val="18"/>
                <w:szCs w:val="18"/>
              </w:rPr>
            </w:pPr>
            <w:r w:rsidRPr="00C171B4">
              <w:rPr>
                <w:rFonts w:cs="Arial"/>
                <w:sz w:val="18"/>
                <w:szCs w:val="18"/>
              </w:rPr>
              <w:t>2.380.000.000</w:t>
            </w:r>
          </w:p>
        </w:tc>
        <w:tc>
          <w:tcPr>
            <w:tcW w:w="668" w:type="pct"/>
            <w:tcMar>
              <w:top w:w="30" w:type="dxa"/>
              <w:left w:w="45" w:type="dxa"/>
              <w:bottom w:w="30" w:type="dxa"/>
              <w:right w:w="45" w:type="dxa"/>
            </w:tcMar>
            <w:vAlign w:val="center"/>
            <w:hideMark/>
          </w:tcPr>
          <w:p w14:paraId="1332BCE4" w14:textId="77777777" w:rsidR="00C171B4" w:rsidRPr="00C171B4" w:rsidRDefault="00C171B4" w:rsidP="00AA4BBB">
            <w:pPr>
              <w:jc w:val="center"/>
              <w:rPr>
                <w:rFonts w:cs="Arial"/>
                <w:sz w:val="18"/>
                <w:szCs w:val="18"/>
              </w:rPr>
            </w:pPr>
            <w:r w:rsidRPr="00C171B4">
              <w:rPr>
                <w:rFonts w:cs="Arial"/>
                <w:sz w:val="18"/>
                <w:szCs w:val="18"/>
              </w:rPr>
              <w:t>3.106.796.117</w:t>
            </w:r>
          </w:p>
        </w:tc>
        <w:tc>
          <w:tcPr>
            <w:tcW w:w="675" w:type="pct"/>
            <w:tcMar>
              <w:top w:w="30" w:type="dxa"/>
              <w:left w:w="45" w:type="dxa"/>
              <w:bottom w:w="30" w:type="dxa"/>
              <w:right w:w="45" w:type="dxa"/>
            </w:tcMar>
            <w:vAlign w:val="center"/>
            <w:hideMark/>
          </w:tcPr>
          <w:p w14:paraId="1C8532D9" w14:textId="77777777" w:rsidR="00C171B4" w:rsidRPr="00C171B4" w:rsidRDefault="00C171B4" w:rsidP="00AA4BBB">
            <w:pPr>
              <w:jc w:val="center"/>
              <w:rPr>
                <w:rFonts w:cs="Arial"/>
                <w:sz w:val="18"/>
                <w:szCs w:val="18"/>
              </w:rPr>
            </w:pPr>
            <w:r w:rsidRPr="00C171B4">
              <w:rPr>
                <w:rFonts w:cs="Arial"/>
                <w:sz w:val="18"/>
                <w:szCs w:val="18"/>
              </w:rPr>
              <w:t>3.025.732.868</w:t>
            </w:r>
          </w:p>
        </w:tc>
        <w:tc>
          <w:tcPr>
            <w:tcW w:w="674" w:type="pct"/>
            <w:tcMar>
              <w:top w:w="30" w:type="dxa"/>
              <w:left w:w="45" w:type="dxa"/>
              <w:bottom w:w="30" w:type="dxa"/>
              <w:right w:w="45" w:type="dxa"/>
            </w:tcMar>
            <w:vAlign w:val="center"/>
            <w:hideMark/>
          </w:tcPr>
          <w:p w14:paraId="3CFC7544" w14:textId="77777777" w:rsidR="00C171B4" w:rsidRPr="00C171B4" w:rsidRDefault="00C171B4" w:rsidP="00AA4BBB">
            <w:pPr>
              <w:jc w:val="center"/>
              <w:rPr>
                <w:rFonts w:cs="Arial"/>
                <w:sz w:val="18"/>
                <w:szCs w:val="18"/>
              </w:rPr>
            </w:pPr>
            <w:r w:rsidRPr="00C171B4">
              <w:rPr>
                <w:rFonts w:cs="Arial"/>
                <w:sz w:val="18"/>
                <w:szCs w:val="18"/>
              </w:rPr>
              <w:t>3.852.746.386</w:t>
            </w:r>
          </w:p>
        </w:tc>
        <w:tc>
          <w:tcPr>
            <w:tcW w:w="643" w:type="pct"/>
            <w:vMerge/>
            <w:vAlign w:val="center"/>
            <w:hideMark/>
          </w:tcPr>
          <w:p w14:paraId="3C2B81A7" w14:textId="77777777" w:rsidR="00C171B4" w:rsidRPr="00C171B4" w:rsidRDefault="00C171B4" w:rsidP="00AA4BBB">
            <w:pPr>
              <w:rPr>
                <w:rFonts w:cs="Arial"/>
                <w:b/>
                <w:bCs/>
                <w:sz w:val="18"/>
                <w:szCs w:val="18"/>
              </w:rPr>
            </w:pPr>
          </w:p>
        </w:tc>
      </w:tr>
      <w:tr w:rsidR="00C171B4" w:rsidRPr="00C171B4" w14:paraId="13FD9470" w14:textId="77777777" w:rsidTr="00C171B4">
        <w:tc>
          <w:tcPr>
            <w:tcW w:w="1667" w:type="pct"/>
            <w:vMerge w:val="restart"/>
            <w:tcMar>
              <w:top w:w="30" w:type="dxa"/>
              <w:left w:w="45" w:type="dxa"/>
              <w:bottom w:w="30" w:type="dxa"/>
              <w:right w:w="45" w:type="dxa"/>
            </w:tcMar>
            <w:vAlign w:val="center"/>
            <w:hideMark/>
          </w:tcPr>
          <w:p w14:paraId="31712272" w14:textId="77777777" w:rsidR="00C171B4" w:rsidRPr="00C171B4" w:rsidRDefault="00C171B4" w:rsidP="00AA4BBB">
            <w:pPr>
              <w:rPr>
                <w:rFonts w:cs="Arial"/>
                <w:sz w:val="18"/>
                <w:szCs w:val="18"/>
              </w:rPr>
            </w:pPr>
            <w:r w:rsidRPr="00C171B4">
              <w:rPr>
                <w:rFonts w:cs="Arial"/>
                <w:sz w:val="18"/>
                <w:szCs w:val="18"/>
              </w:rPr>
              <w:t>Formar 12.300 personas en habilidades blandas</w:t>
            </w:r>
          </w:p>
        </w:tc>
        <w:tc>
          <w:tcPr>
            <w:tcW w:w="672" w:type="pct"/>
            <w:tcMar>
              <w:top w:w="30" w:type="dxa"/>
              <w:left w:w="45" w:type="dxa"/>
              <w:bottom w:w="30" w:type="dxa"/>
              <w:right w:w="45" w:type="dxa"/>
            </w:tcMar>
            <w:vAlign w:val="center"/>
            <w:hideMark/>
          </w:tcPr>
          <w:p w14:paraId="5C4332A0" w14:textId="77777777" w:rsidR="00C171B4" w:rsidRPr="00C171B4" w:rsidRDefault="00C171B4" w:rsidP="00AA4BBB">
            <w:pPr>
              <w:jc w:val="center"/>
              <w:rPr>
                <w:rFonts w:cs="Arial"/>
                <w:sz w:val="18"/>
                <w:szCs w:val="18"/>
              </w:rPr>
            </w:pPr>
            <w:r w:rsidRPr="00C171B4">
              <w:rPr>
                <w:rFonts w:cs="Arial"/>
                <w:sz w:val="18"/>
                <w:szCs w:val="18"/>
              </w:rPr>
              <w:t>2.083</w:t>
            </w:r>
          </w:p>
        </w:tc>
        <w:tc>
          <w:tcPr>
            <w:tcW w:w="668" w:type="pct"/>
            <w:tcMar>
              <w:top w:w="30" w:type="dxa"/>
              <w:left w:w="45" w:type="dxa"/>
              <w:bottom w:w="30" w:type="dxa"/>
              <w:right w:w="45" w:type="dxa"/>
            </w:tcMar>
            <w:vAlign w:val="center"/>
            <w:hideMark/>
          </w:tcPr>
          <w:p w14:paraId="18F9FB58" w14:textId="77777777" w:rsidR="00C171B4" w:rsidRPr="00C171B4" w:rsidRDefault="00C171B4" w:rsidP="00AA4BBB">
            <w:pPr>
              <w:jc w:val="center"/>
              <w:rPr>
                <w:rFonts w:cs="Arial"/>
                <w:sz w:val="18"/>
                <w:szCs w:val="18"/>
              </w:rPr>
            </w:pPr>
            <w:r w:rsidRPr="00C171B4">
              <w:rPr>
                <w:rFonts w:cs="Arial"/>
                <w:sz w:val="18"/>
                <w:szCs w:val="18"/>
              </w:rPr>
              <w:t>2.751</w:t>
            </w:r>
          </w:p>
        </w:tc>
        <w:tc>
          <w:tcPr>
            <w:tcW w:w="675" w:type="pct"/>
            <w:tcMar>
              <w:top w:w="30" w:type="dxa"/>
              <w:left w:w="45" w:type="dxa"/>
              <w:bottom w:w="30" w:type="dxa"/>
              <w:right w:w="45" w:type="dxa"/>
            </w:tcMar>
            <w:vAlign w:val="center"/>
            <w:hideMark/>
          </w:tcPr>
          <w:p w14:paraId="492C22EE" w14:textId="77777777" w:rsidR="00C171B4" w:rsidRPr="00C171B4" w:rsidRDefault="00C171B4" w:rsidP="00AA4BBB">
            <w:pPr>
              <w:jc w:val="center"/>
              <w:rPr>
                <w:rFonts w:cs="Arial"/>
                <w:sz w:val="18"/>
                <w:szCs w:val="18"/>
              </w:rPr>
            </w:pPr>
            <w:r w:rsidRPr="00C171B4">
              <w:rPr>
                <w:rFonts w:cs="Arial"/>
                <w:sz w:val="18"/>
                <w:szCs w:val="18"/>
              </w:rPr>
              <w:t>3.634</w:t>
            </w:r>
          </w:p>
        </w:tc>
        <w:tc>
          <w:tcPr>
            <w:tcW w:w="674" w:type="pct"/>
            <w:tcMar>
              <w:top w:w="30" w:type="dxa"/>
              <w:left w:w="45" w:type="dxa"/>
              <w:bottom w:w="30" w:type="dxa"/>
              <w:right w:w="45" w:type="dxa"/>
            </w:tcMar>
            <w:vAlign w:val="center"/>
            <w:hideMark/>
          </w:tcPr>
          <w:p w14:paraId="3D44D4A2" w14:textId="77777777" w:rsidR="00C171B4" w:rsidRPr="00C171B4" w:rsidRDefault="00C171B4" w:rsidP="00AA4BBB">
            <w:pPr>
              <w:jc w:val="center"/>
              <w:rPr>
                <w:rFonts w:cs="Arial"/>
                <w:sz w:val="18"/>
                <w:szCs w:val="18"/>
              </w:rPr>
            </w:pPr>
            <w:r w:rsidRPr="00C171B4">
              <w:rPr>
                <w:rFonts w:cs="Arial"/>
                <w:sz w:val="18"/>
                <w:szCs w:val="18"/>
              </w:rPr>
              <w:t>3.832</w:t>
            </w:r>
          </w:p>
        </w:tc>
        <w:tc>
          <w:tcPr>
            <w:tcW w:w="643" w:type="pct"/>
            <w:vMerge w:val="restart"/>
            <w:tcMar>
              <w:top w:w="30" w:type="dxa"/>
              <w:left w:w="45" w:type="dxa"/>
              <w:bottom w:w="30" w:type="dxa"/>
              <w:right w:w="45" w:type="dxa"/>
            </w:tcMar>
            <w:vAlign w:val="center"/>
            <w:hideMark/>
          </w:tcPr>
          <w:p w14:paraId="149E3255" w14:textId="77777777" w:rsidR="00C171B4" w:rsidRPr="00C171B4" w:rsidRDefault="00C171B4" w:rsidP="00AA4BBB">
            <w:pPr>
              <w:jc w:val="center"/>
              <w:rPr>
                <w:rFonts w:cs="Arial"/>
                <w:b/>
                <w:bCs/>
                <w:sz w:val="18"/>
                <w:szCs w:val="18"/>
              </w:rPr>
            </w:pPr>
            <w:r w:rsidRPr="00C171B4">
              <w:rPr>
                <w:rFonts w:cs="Arial"/>
                <w:b/>
                <w:bCs/>
                <w:sz w:val="18"/>
                <w:szCs w:val="18"/>
              </w:rPr>
              <w:t>8.227.504.800</w:t>
            </w:r>
          </w:p>
        </w:tc>
      </w:tr>
      <w:tr w:rsidR="00C171B4" w:rsidRPr="00C171B4" w14:paraId="4B937CF0" w14:textId="77777777" w:rsidTr="00C171B4">
        <w:tc>
          <w:tcPr>
            <w:tcW w:w="1667" w:type="pct"/>
            <w:vMerge/>
            <w:vAlign w:val="center"/>
            <w:hideMark/>
          </w:tcPr>
          <w:p w14:paraId="023450F4"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2C123FF6" w14:textId="77777777" w:rsidR="00C171B4" w:rsidRPr="00C171B4" w:rsidRDefault="00C171B4" w:rsidP="00AA4BBB">
            <w:pPr>
              <w:jc w:val="center"/>
              <w:rPr>
                <w:rFonts w:cs="Arial"/>
                <w:sz w:val="18"/>
                <w:szCs w:val="18"/>
              </w:rPr>
            </w:pPr>
            <w:r w:rsidRPr="00C171B4">
              <w:rPr>
                <w:rFonts w:cs="Arial"/>
                <w:sz w:val="18"/>
                <w:szCs w:val="18"/>
              </w:rPr>
              <w:t>504.295.000</w:t>
            </w:r>
          </w:p>
        </w:tc>
        <w:tc>
          <w:tcPr>
            <w:tcW w:w="668" w:type="pct"/>
            <w:tcMar>
              <w:top w:w="30" w:type="dxa"/>
              <w:left w:w="45" w:type="dxa"/>
              <w:bottom w:w="30" w:type="dxa"/>
              <w:right w:w="45" w:type="dxa"/>
            </w:tcMar>
            <w:vAlign w:val="center"/>
            <w:hideMark/>
          </w:tcPr>
          <w:p w14:paraId="532C975C" w14:textId="77777777" w:rsidR="00C171B4" w:rsidRPr="00C171B4" w:rsidRDefault="00C171B4" w:rsidP="00AA4BBB">
            <w:pPr>
              <w:jc w:val="center"/>
              <w:rPr>
                <w:rFonts w:cs="Arial"/>
                <w:sz w:val="18"/>
                <w:szCs w:val="18"/>
              </w:rPr>
            </w:pPr>
            <w:r w:rsidRPr="00C171B4">
              <w:rPr>
                <w:rFonts w:cs="Arial"/>
                <w:sz w:val="18"/>
                <w:szCs w:val="18"/>
              </w:rPr>
              <w:t>2.338.738.058</w:t>
            </w:r>
          </w:p>
        </w:tc>
        <w:tc>
          <w:tcPr>
            <w:tcW w:w="675" w:type="pct"/>
            <w:tcMar>
              <w:top w:w="30" w:type="dxa"/>
              <w:left w:w="45" w:type="dxa"/>
              <w:bottom w:w="30" w:type="dxa"/>
              <w:right w:w="45" w:type="dxa"/>
            </w:tcMar>
            <w:vAlign w:val="center"/>
            <w:hideMark/>
          </w:tcPr>
          <w:p w14:paraId="70B790D7" w14:textId="77777777" w:rsidR="00C171B4" w:rsidRPr="00C171B4" w:rsidRDefault="00C171B4" w:rsidP="00AA4BBB">
            <w:pPr>
              <w:jc w:val="center"/>
              <w:rPr>
                <w:rFonts w:cs="Arial"/>
                <w:sz w:val="18"/>
                <w:szCs w:val="18"/>
              </w:rPr>
            </w:pPr>
            <w:r w:rsidRPr="00C171B4">
              <w:rPr>
                <w:rFonts w:cs="Arial"/>
                <w:sz w:val="18"/>
                <w:szCs w:val="18"/>
              </w:rPr>
              <w:t>2.617.856.330</w:t>
            </w:r>
          </w:p>
        </w:tc>
        <w:tc>
          <w:tcPr>
            <w:tcW w:w="674" w:type="pct"/>
            <w:tcMar>
              <w:top w:w="30" w:type="dxa"/>
              <w:left w:w="45" w:type="dxa"/>
              <w:bottom w:w="30" w:type="dxa"/>
              <w:right w:w="45" w:type="dxa"/>
            </w:tcMar>
            <w:vAlign w:val="center"/>
            <w:hideMark/>
          </w:tcPr>
          <w:p w14:paraId="4D3C81F0" w14:textId="77777777" w:rsidR="00C171B4" w:rsidRPr="00C171B4" w:rsidRDefault="00C171B4" w:rsidP="00AA4BBB">
            <w:pPr>
              <w:jc w:val="center"/>
              <w:rPr>
                <w:rFonts w:cs="Arial"/>
                <w:sz w:val="18"/>
                <w:szCs w:val="18"/>
              </w:rPr>
            </w:pPr>
            <w:r w:rsidRPr="00C171B4">
              <w:rPr>
                <w:rFonts w:cs="Arial"/>
                <w:sz w:val="18"/>
                <w:szCs w:val="18"/>
              </w:rPr>
              <w:t>2.766.615.413</w:t>
            </w:r>
          </w:p>
        </w:tc>
        <w:tc>
          <w:tcPr>
            <w:tcW w:w="643" w:type="pct"/>
            <w:vMerge/>
            <w:vAlign w:val="center"/>
            <w:hideMark/>
          </w:tcPr>
          <w:p w14:paraId="2551BB84" w14:textId="77777777" w:rsidR="00C171B4" w:rsidRPr="00C171B4" w:rsidRDefault="00C171B4" w:rsidP="00AA4BBB">
            <w:pPr>
              <w:rPr>
                <w:rFonts w:cs="Arial"/>
                <w:b/>
                <w:bCs/>
                <w:sz w:val="18"/>
                <w:szCs w:val="18"/>
              </w:rPr>
            </w:pPr>
          </w:p>
        </w:tc>
      </w:tr>
      <w:tr w:rsidR="00C171B4" w:rsidRPr="00C171B4" w14:paraId="4F4C02A3" w14:textId="77777777" w:rsidTr="00C171B4">
        <w:tc>
          <w:tcPr>
            <w:tcW w:w="1667" w:type="pct"/>
            <w:vMerge w:val="restart"/>
            <w:tcMar>
              <w:top w:w="30" w:type="dxa"/>
              <w:left w:w="45" w:type="dxa"/>
              <w:bottom w:w="30" w:type="dxa"/>
              <w:right w:w="45" w:type="dxa"/>
            </w:tcMar>
            <w:vAlign w:val="center"/>
            <w:hideMark/>
          </w:tcPr>
          <w:p w14:paraId="742CCFB0" w14:textId="77777777" w:rsidR="00C171B4" w:rsidRPr="00C171B4" w:rsidRDefault="00C171B4" w:rsidP="00AA4BBB">
            <w:pPr>
              <w:rPr>
                <w:rFonts w:cs="Arial"/>
                <w:sz w:val="18"/>
                <w:szCs w:val="18"/>
              </w:rPr>
            </w:pPr>
            <w:r w:rsidRPr="00C171B4">
              <w:rPr>
                <w:rFonts w:cs="Arial"/>
                <w:sz w:val="18"/>
                <w:szCs w:val="18"/>
              </w:rPr>
              <w:t>Fortalecer 3.500 empresas del tejido empresarial de la ciudad con temas de capacidades empresariales y desarrollo tecnológico</w:t>
            </w:r>
          </w:p>
        </w:tc>
        <w:tc>
          <w:tcPr>
            <w:tcW w:w="672" w:type="pct"/>
            <w:tcMar>
              <w:top w:w="30" w:type="dxa"/>
              <w:left w:w="45" w:type="dxa"/>
              <w:bottom w:w="30" w:type="dxa"/>
              <w:right w:w="45" w:type="dxa"/>
            </w:tcMar>
            <w:vAlign w:val="center"/>
            <w:hideMark/>
          </w:tcPr>
          <w:p w14:paraId="76287E3B" w14:textId="77777777" w:rsidR="00C171B4" w:rsidRPr="00C171B4" w:rsidRDefault="00C171B4" w:rsidP="00AA4BBB">
            <w:pPr>
              <w:jc w:val="center"/>
              <w:rPr>
                <w:rFonts w:cs="Arial"/>
                <w:sz w:val="18"/>
                <w:szCs w:val="18"/>
              </w:rPr>
            </w:pPr>
            <w:r w:rsidRPr="00C171B4">
              <w:rPr>
                <w:rFonts w:cs="Arial"/>
                <w:sz w:val="18"/>
                <w:szCs w:val="18"/>
              </w:rPr>
              <w:t>280</w:t>
            </w:r>
          </w:p>
        </w:tc>
        <w:tc>
          <w:tcPr>
            <w:tcW w:w="668" w:type="pct"/>
            <w:tcMar>
              <w:top w:w="30" w:type="dxa"/>
              <w:left w:w="45" w:type="dxa"/>
              <w:bottom w:w="30" w:type="dxa"/>
              <w:right w:w="45" w:type="dxa"/>
            </w:tcMar>
            <w:vAlign w:val="center"/>
            <w:hideMark/>
          </w:tcPr>
          <w:p w14:paraId="0A7FA1D6" w14:textId="77777777" w:rsidR="00C171B4" w:rsidRPr="00C171B4" w:rsidRDefault="00C171B4" w:rsidP="00AA4BBB">
            <w:pPr>
              <w:jc w:val="center"/>
              <w:rPr>
                <w:rFonts w:cs="Arial"/>
                <w:sz w:val="18"/>
                <w:szCs w:val="18"/>
              </w:rPr>
            </w:pPr>
            <w:r w:rsidRPr="00C171B4">
              <w:rPr>
                <w:rFonts w:cs="Arial"/>
                <w:sz w:val="18"/>
                <w:szCs w:val="18"/>
              </w:rPr>
              <w:t>1.152</w:t>
            </w:r>
          </w:p>
        </w:tc>
        <w:tc>
          <w:tcPr>
            <w:tcW w:w="675" w:type="pct"/>
            <w:tcMar>
              <w:top w:w="30" w:type="dxa"/>
              <w:left w:w="45" w:type="dxa"/>
              <w:bottom w:w="30" w:type="dxa"/>
              <w:right w:w="45" w:type="dxa"/>
            </w:tcMar>
            <w:vAlign w:val="center"/>
            <w:hideMark/>
          </w:tcPr>
          <w:p w14:paraId="5D7040B8" w14:textId="77777777" w:rsidR="00C171B4" w:rsidRPr="00C171B4" w:rsidRDefault="00C171B4" w:rsidP="00AA4BBB">
            <w:pPr>
              <w:jc w:val="center"/>
              <w:rPr>
                <w:rFonts w:cs="Arial"/>
                <w:sz w:val="18"/>
                <w:szCs w:val="18"/>
              </w:rPr>
            </w:pPr>
            <w:r w:rsidRPr="00C171B4">
              <w:rPr>
                <w:rFonts w:cs="Arial"/>
                <w:sz w:val="18"/>
                <w:szCs w:val="18"/>
              </w:rPr>
              <w:t>1.135</w:t>
            </w:r>
          </w:p>
        </w:tc>
        <w:tc>
          <w:tcPr>
            <w:tcW w:w="674" w:type="pct"/>
            <w:tcMar>
              <w:top w:w="30" w:type="dxa"/>
              <w:left w:w="45" w:type="dxa"/>
              <w:bottom w:w="30" w:type="dxa"/>
              <w:right w:w="45" w:type="dxa"/>
            </w:tcMar>
            <w:vAlign w:val="center"/>
            <w:hideMark/>
          </w:tcPr>
          <w:p w14:paraId="366FB29A" w14:textId="77777777" w:rsidR="00C171B4" w:rsidRPr="00C171B4" w:rsidRDefault="00C171B4" w:rsidP="00AA4BBB">
            <w:pPr>
              <w:jc w:val="center"/>
              <w:rPr>
                <w:rFonts w:cs="Arial"/>
                <w:sz w:val="18"/>
                <w:szCs w:val="18"/>
              </w:rPr>
            </w:pPr>
            <w:r w:rsidRPr="00C171B4">
              <w:rPr>
                <w:rFonts w:cs="Arial"/>
                <w:sz w:val="18"/>
                <w:szCs w:val="18"/>
              </w:rPr>
              <w:t>933</w:t>
            </w:r>
          </w:p>
        </w:tc>
        <w:tc>
          <w:tcPr>
            <w:tcW w:w="643" w:type="pct"/>
            <w:vMerge w:val="restart"/>
            <w:tcMar>
              <w:top w:w="30" w:type="dxa"/>
              <w:left w:w="45" w:type="dxa"/>
              <w:bottom w:w="30" w:type="dxa"/>
              <w:right w:w="45" w:type="dxa"/>
            </w:tcMar>
            <w:vAlign w:val="center"/>
            <w:hideMark/>
          </w:tcPr>
          <w:p w14:paraId="76239D07" w14:textId="77777777" w:rsidR="00C171B4" w:rsidRPr="00C171B4" w:rsidRDefault="00C171B4" w:rsidP="00AA4BBB">
            <w:pPr>
              <w:jc w:val="center"/>
              <w:rPr>
                <w:rFonts w:cs="Arial"/>
                <w:b/>
                <w:bCs/>
                <w:sz w:val="18"/>
                <w:szCs w:val="18"/>
              </w:rPr>
            </w:pPr>
            <w:r w:rsidRPr="00C171B4">
              <w:rPr>
                <w:rFonts w:cs="Arial"/>
                <w:b/>
                <w:bCs/>
                <w:sz w:val="18"/>
                <w:szCs w:val="18"/>
              </w:rPr>
              <w:t>21.176.840.763</w:t>
            </w:r>
          </w:p>
        </w:tc>
      </w:tr>
      <w:tr w:rsidR="00C171B4" w:rsidRPr="00C171B4" w14:paraId="07C6A7B0" w14:textId="77777777" w:rsidTr="00C171B4">
        <w:tc>
          <w:tcPr>
            <w:tcW w:w="1667" w:type="pct"/>
            <w:vMerge/>
            <w:vAlign w:val="center"/>
            <w:hideMark/>
          </w:tcPr>
          <w:p w14:paraId="320E130A"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60FD28B8" w14:textId="77777777" w:rsidR="00C171B4" w:rsidRPr="00C171B4" w:rsidRDefault="00C171B4" w:rsidP="00AA4BBB">
            <w:pPr>
              <w:jc w:val="center"/>
              <w:rPr>
                <w:rFonts w:cs="Arial"/>
                <w:sz w:val="18"/>
                <w:szCs w:val="18"/>
              </w:rPr>
            </w:pPr>
            <w:r w:rsidRPr="00C171B4">
              <w:rPr>
                <w:rFonts w:cs="Arial"/>
                <w:sz w:val="18"/>
                <w:szCs w:val="18"/>
              </w:rPr>
              <w:t>3.461.901.076</w:t>
            </w:r>
          </w:p>
        </w:tc>
        <w:tc>
          <w:tcPr>
            <w:tcW w:w="668" w:type="pct"/>
            <w:tcMar>
              <w:top w:w="30" w:type="dxa"/>
              <w:left w:w="45" w:type="dxa"/>
              <w:bottom w:w="30" w:type="dxa"/>
              <w:right w:w="45" w:type="dxa"/>
            </w:tcMar>
            <w:vAlign w:val="center"/>
            <w:hideMark/>
          </w:tcPr>
          <w:p w14:paraId="6B0FFC9F" w14:textId="77777777" w:rsidR="00C171B4" w:rsidRPr="00C171B4" w:rsidRDefault="00C171B4" w:rsidP="00AA4BBB">
            <w:pPr>
              <w:jc w:val="center"/>
              <w:rPr>
                <w:rFonts w:cs="Arial"/>
                <w:sz w:val="18"/>
                <w:szCs w:val="18"/>
              </w:rPr>
            </w:pPr>
            <w:r w:rsidRPr="00C171B4">
              <w:rPr>
                <w:rFonts w:cs="Arial"/>
                <w:sz w:val="18"/>
                <w:szCs w:val="18"/>
              </w:rPr>
              <w:t>6.508.290.939</w:t>
            </w:r>
          </w:p>
        </w:tc>
        <w:tc>
          <w:tcPr>
            <w:tcW w:w="675" w:type="pct"/>
            <w:tcMar>
              <w:top w:w="30" w:type="dxa"/>
              <w:left w:w="45" w:type="dxa"/>
              <w:bottom w:w="30" w:type="dxa"/>
              <w:right w:w="45" w:type="dxa"/>
            </w:tcMar>
            <w:vAlign w:val="center"/>
            <w:hideMark/>
          </w:tcPr>
          <w:p w14:paraId="5F5B6189" w14:textId="77777777" w:rsidR="00C171B4" w:rsidRPr="00C171B4" w:rsidRDefault="00C171B4" w:rsidP="00AA4BBB">
            <w:pPr>
              <w:jc w:val="center"/>
              <w:rPr>
                <w:rFonts w:cs="Arial"/>
                <w:sz w:val="18"/>
                <w:szCs w:val="18"/>
              </w:rPr>
            </w:pPr>
            <w:r w:rsidRPr="00C171B4">
              <w:rPr>
                <w:rFonts w:cs="Arial"/>
                <w:sz w:val="18"/>
                <w:szCs w:val="18"/>
              </w:rPr>
              <w:t>6.225.636.148</w:t>
            </w:r>
          </w:p>
        </w:tc>
        <w:tc>
          <w:tcPr>
            <w:tcW w:w="674" w:type="pct"/>
            <w:tcMar>
              <w:top w:w="30" w:type="dxa"/>
              <w:left w:w="45" w:type="dxa"/>
              <w:bottom w:w="30" w:type="dxa"/>
              <w:right w:w="45" w:type="dxa"/>
            </w:tcMar>
            <w:vAlign w:val="center"/>
            <w:hideMark/>
          </w:tcPr>
          <w:p w14:paraId="4FB9B5B0" w14:textId="77777777" w:rsidR="00C171B4" w:rsidRPr="00C171B4" w:rsidRDefault="00C171B4" w:rsidP="00AA4BBB">
            <w:pPr>
              <w:jc w:val="center"/>
              <w:rPr>
                <w:rFonts w:cs="Arial"/>
                <w:sz w:val="18"/>
                <w:szCs w:val="18"/>
              </w:rPr>
            </w:pPr>
            <w:r w:rsidRPr="00C171B4">
              <w:rPr>
                <w:rFonts w:cs="Arial"/>
                <w:sz w:val="18"/>
                <w:szCs w:val="18"/>
              </w:rPr>
              <w:t>4.981.012.599</w:t>
            </w:r>
          </w:p>
        </w:tc>
        <w:tc>
          <w:tcPr>
            <w:tcW w:w="643" w:type="pct"/>
            <w:vMerge/>
            <w:vAlign w:val="center"/>
            <w:hideMark/>
          </w:tcPr>
          <w:p w14:paraId="227BF083" w14:textId="77777777" w:rsidR="00C171B4" w:rsidRPr="00C171B4" w:rsidRDefault="00C171B4" w:rsidP="00AA4BBB">
            <w:pPr>
              <w:rPr>
                <w:rFonts w:cs="Arial"/>
                <w:b/>
                <w:bCs/>
                <w:sz w:val="18"/>
                <w:szCs w:val="18"/>
              </w:rPr>
            </w:pPr>
          </w:p>
        </w:tc>
      </w:tr>
      <w:tr w:rsidR="00C171B4" w:rsidRPr="00C171B4" w14:paraId="0226B8F2" w14:textId="77777777" w:rsidTr="00C171B4">
        <w:tc>
          <w:tcPr>
            <w:tcW w:w="1667" w:type="pct"/>
            <w:vMerge w:val="restart"/>
            <w:tcMar>
              <w:top w:w="30" w:type="dxa"/>
              <w:left w:w="45" w:type="dxa"/>
              <w:bottom w:w="30" w:type="dxa"/>
              <w:right w:w="45" w:type="dxa"/>
            </w:tcMar>
            <w:vAlign w:val="center"/>
            <w:hideMark/>
          </w:tcPr>
          <w:p w14:paraId="6B1BB319" w14:textId="77777777" w:rsidR="00C171B4" w:rsidRPr="00C171B4" w:rsidRDefault="00C171B4" w:rsidP="00AA4BBB">
            <w:pPr>
              <w:rPr>
                <w:rFonts w:cs="Arial"/>
                <w:sz w:val="18"/>
                <w:szCs w:val="18"/>
              </w:rPr>
            </w:pPr>
            <w:r w:rsidRPr="00C171B4">
              <w:rPr>
                <w:rFonts w:cs="Arial"/>
                <w:sz w:val="18"/>
                <w:szCs w:val="18"/>
              </w:rPr>
              <w:t>Generar acciones para el acceso a mecanismos de financiación para 2.000 empresas y/o unidades productivas con el fin de impulsar su productividad.</w:t>
            </w:r>
          </w:p>
        </w:tc>
        <w:tc>
          <w:tcPr>
            <w:tcW w:w="672" w:type="pct"/>
            <w:tcMar>
              <w:top w:w="30" w:type="dxa"/>
              <w:left w:w="45" w:type="dxa"/>
              <w:bottom w:w="30" w:type="dxa"/>
              <w:right w:w="45" w:type="dxa"/>
            </w:tcMar>
            <w:vAlign w:val="center"/>
            <w:hideMark/>
          </w:tcPr>
          <w:p w14:paraId="20B2ADB6" w14:textId="77777777" w:rsidR="00C171B4" w:rsidRPr="00C171B4" w:rsidRDefault="00C171B4" w:rsidP="00AA4BBB">
            <w:pPr>
              <w:jc w:val="center"/>
              <w:rPr>
                <w:rFonts w:cs="Arial"/>
                <w:sz w:val="18"/>
                <w:szCs w:val="18"/>
              </w:rPr>
            </w:pPr>
            <w:r w:rsidRPr="00C171B4">
              <w:rPr>
                <w:rFonts w:cs="Arial"/>
                <w:sz w:val="18"/>
                <w:szCs w:val="18"/>
              </w:rPr>
              <w:t>160</w:t>
            </w:r>
          </w:p>
        </w:tc>
        <w:tc>
          <w:tcPr>
            <w:tcW w:w="668" w:type="pct"/>
            <w:tcMar>
              <w:top w:w="30" w:type="dxa"/>
              <w:left w:w="45" w:type="dxa"/>
              <w:bottom w:w="30" w:type="dxa"/>
              <w:right w:w="45" w:type="dxa"/>
            </w:tcMar>
            <w:vAlign w:val="center"/>
            <w:hideMark/>
          </w:tcPr>
          <w:p w14:paraId="01BEDAB0" w14:textId="77777777" w:rsidR="00C171B4" w:rsidRPr="00C171B4" w:rsidRDefault="00C171B4" w:rsidP="00AA4BBB">
            <w:pPr>
              <w:jc w:val="center"/>
              <w:rPr>
                <w:rFonts w:cs="Arial"/>
                <w:sz w:val="18"/>
                <w:szCs w:val="18"/>
              </w:rPr>
            </w:pPr>
            <w:r w:rsidRPr="00C171B4">
              <w:rPr>
                <w:rFonts w:cs="Arial"/>
                <w:sz w:val="18"/>
                <w:szCs w:val="18"/>
              </w:rPr>
              <w:t>659</w:t>
            </w:r>
          </w:p>
        </w:tc>
        <w:tc>
          <w:tcPr>
            <w:tcW w:w="675" w:type="pct"/>
            <w:tcMar>
              <w:top w:w="30" w:type="dxa"/>
              <w:left w:w="45" w:type="dxa"/>
              <w:bottom w:w="30" w:type="dxa"/>
              <w:right w:w="45" w:type="dxa"/>
            </w:tcMar>
            <w:vAlign w:val="center"/>
            <w:hideMark/>
          </w:tcPr>
          <w:p w14:paraId="11D854ED" w14:textId="77777777" w:rsidR="00C171B4" w:rsidRPr="00C171B4" w:rsidRDefault="00C171B4" w:rsidP="00AA4BBB">
            <w:pPr>
              <w:jc w:val="center"/>
              <w:rPr>
                <w:rFonts w:cs="Arial"/>
                <w:sz w:val="18"/>
                <w:szCs w:val="18"/>
              </w:rPr>
            </w:pPr>
            <w:r w:rsidRPr="00C171B4">
              <w:rPr>
                <w:rFonts w:cs="Arial"/>
                <w:sz w:val="18"/>
                <w:szCs w:val="18"/>
              </w:rPr>
              <w:t>648</w:t>
            </w:r>
          </w:p>
        </w:tc>
        <w:tc>
          <w:tcPr>
            <w:tcW w:w="674" w:type="pct"/>
            <w:tcMar>
              <w:top w:w="30" w:type="dxa"/>
              <w:left w:w="45" w:type="dxa"/>
              <w:bottom w:w="30" w:type="dxa"/>
              <w:right w:w="45" w:type="dxa"/>
            </w:tcMar>
            <w:vAlign w:val="center"/>
            <w:hideMark/>
          </w:tcPr>
          <w:p w14:paraId="333ECA6A" w14:textId="77777777" w:rsidR="00C171B4" w:rsidRPr="00C171B4" w:rsidRDefault="00C171B4" w:rsidP="00AA4BBB">
            <w:pPr>
              <w:jc w:val="center"/>
              <w:rPr>
                <w:rFonts w:cs="Arial"/>
                <w:sz w:val="18"/>
                <w:szCs w:val="18"/>
              </w:rPr>
            </w:pPr>
            <w:r w:rsidRPr="00C171B4">
              <w:rPr>
                <w:rFonts w:cs="Arial"/>
                <w:sz w:val="18"/>
                <w:szCs w:val="18"/>
              </w:rPr>
              <w:t>533</w:t>
            </w:r>
          </w:p>
        </w:tc>
        <w:tc>
          <w:tcPr>
            <w:tcW w:w="643" w:type="pct"/>
            <w:vMerge w:val="restart"/>
            <w:tcMar>
              <w:top w:w="30" w:type="dxa"/>
              <w:left w:w="45" w:type="dxa"/>
              <w:bottom w:w="30" w:type="dxa"/>
              <w:right w:w="45" w:type="dxa"/>
            </w:tcMar>
            <w:vAlign w:val="center"/>
            <w:hideMark/>
          </w:tcPr>
          <w:p w14:paraId="0AE80579" w14:textId="77777777" w:rsidR="00C171B4" w:rsidRPr="00C171B4" w:rsidRDefault="00C171B4" w:rsidP="00AA4BBB">
            <w:pPr>
              <w:jc w:val="center"/>
              <w:rPr>
                <w:rFonts w:cs="Arial"/>
                <w:b/>
                <w:bCs/>
                <w:sz w:val="18"/>
                <w:szCs w:val="18"/>
              </w:rPr>
            </w:pPr>
            <w:r w:rsidRPr="00C171B4">
              <w:rPr>
                <w:rFonts w:cs="Arial"/>
                <w:b/>
                <w:bCs/>
                <w:sz w:val="18"/>
                <w:szCs w:val="18"/>
              </w:rPr>
              <w:t>26.733.792.039</w:t>
            </w:r>
          </w:p>
        </w:tc>
      </w:tr>
      <w:tr w:rsidR="00C171B4" w:rsidRPr="00C171B4" w14:paraId="51FA33CC" w14:textId="77777777" w:rsidTr="00C171B4">
        <w:tc>
          <w:tcPr>
            <w:tcW w:w="1667" w:type="pct"/>
            <w:vMerge/>
            <w:vAlign w:val="center"/>
            <w:hideMark/>
          </w:tcPr>
          <w:p w14:paraId="2291C20E"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4CCE5806" w14:textId="77777777" w:rsidR="00C171B4" w:rsidRPr="00C171B4" w:rsidRDefault="00C171B4" w:rsidP="00AA4BBB">
            <w:pPr>
              <w:jc w:val="center"/>
              <w:rPr>
                <w:rFonts w:cs="Arial"/>
                <w:sz w:val="18"/>
                <w:szCs w:val="18"/>
              </w:rPr>
            </w:pPr>
            <w:r w:rsidRPr="00C171B4">
              <w:rPr>
                <w:rFonts w:cs="Arial"/>
                <w:sz w:val="18"/>
                <w:szCs w:val="18"/>
              </w:rPr>
              <w:t>3.970.687.611</w:t>
            </w:r>
          </w:p>
        </w:tc>
        <w:tc>
          <w:tcPr>
            <w:tcW w:w="668" w:type="pct"/>
            <w:tcMar>
              <w:top w:w="30" w:type="dxa"/>
              <w:left w:w="45" w:type="dxa"/>
              <w:bottom w:w="30" w:type="dxa"/>
              <w:right w:w="45" w:type="dxa"/>
            </w:tcMar>
            <w:vAlign w:val="center"/>
            <w:hideMark/>
          </w:tcPr>
          <w:p w14:paraId="2313ACDB" w14:textId="77777777" w:rsidR="00C171B4" w:rsidRPr="00C171B4" w:rsidRDefault="00C171B4" w:rsidP="00AA4BBB">
            <w:pPr>
              <w:jc w:val="center"/>
              <w:rPr>
                <w:rFonts w:cs="Arial"/>
                <w:sz w:val="18"/>
                <w:szCs w:val="18"/>
              </w:rPr>
            </w:pPr>
            <w:r w:rsidRPr="00C171B4">
              <w:rPr>
                <w:rFonts w:cs="Arial"/>
                <w:sz w:val="18"/>
                <w:szCs w:val="18"/>
              </w:rPr>
              <w:t>8.301.936.143</w:t>
            </w:r>
          </w:p>
        </w:tc>
        <w:tc>
          <w:tcPr>
            <w:tcW w:w="675" w:type="pct"/>
            <w:tcMar>
              <w:top w:w="30" w:type="dxa"/>
              <w:left w:w="45" w:type="dxa"/>
              <w:bottom w:w="30" w:type="dxa"/>
              <w:right w:w="45" w:type="dxa"/>
            </w:tcMar>
            <w:vAlign w:val="center"/>
            <w:hideMark/>
          </w:tcPr>
          <w:p w14:paraId="44DB1CC2" w14:textId="77777777" w:rsidR="00C171B4" w:rsidRPr="00C171B4" w:rsidRDefault="00C171B4" w:rsidP="00AA4BBB">
            <w:pPr>
              <w:jc w:val="center"/>
              <w:rPr>
                <w:rFonts w:cs="Arial"/>
                <w:sz w:val="18"/>
                <w:szCs w:val="18"/>
              </w:rPr>
            </w:pPr>
            <w:r w:rsidRPr="00C171B4">
              <w:rPr>
                <w:rFonts w:cs="Arial"/>
                <w:sz w:val="18"/>
                <w:szCs w:val="18"/>
              </w:rPr>
              <w:t>7.940.383.735</w:t>
            </w:r>
          </w:p>
        </w:tc>
        <w:tc>
          <w:tcPr>
            <w:tcW w:w="674" w:type="pct"/>
            <w:tcMar>
              <w:top w:w="30" w:type="dxa"/>
              <w:left w:w="45" w:type="dxa"/>
              <w:bottom w:w="30" w:type="dxa"/>
              <w:right w:w="45" w:type="dxa"/>
            </w:tcMar>
            <w:vAlign w:val="center"/>
            <w:hideMark/>
          </w:tcPr>
          <w:p w14:paraId="24EB1818" w14:textId="77777777" w:rsidR="00C171B4" w:rsidRPr="00C171B4" w:rsidRDefault="00C171B4" w:rsidP="00AA4BBB">
            <w:pPr>
              <w:jc w:val="center"/>
              <w:rPr>
                <w:rFonts w:cs="Arial"/>
                <w:sz w:val="18"/>
                <w:szCs w:val="18"/>
              </w:rPr>
            </w:pPr>
            <w:r w:rsidRPr="00C171B4">
              <w:rPr>
                <w:rFonts w:cs="Arial"/>
                <w:sz w:val="18"/>
                <w:szCs w:val="18"/>
              </w:rPr>
              <w:t>6.520.784.551</w:t>
            </w:r>
          </w:p>
        </w:tc>
        <w:tc>
          <w:tcPr>
            <w:tcW w:w="643" w:type="pct"/>
            <w:vMerge/>
            <w:vAlign w:val="center"/>
            <w:hideMark/>
          </w:tcPr>
          <w:p w14:paraId="6A080D7C" w14:textId="77777777" w:rsidR="00C171B4" w:rsidRPr="00C171B4" w:rsidRDefault="00C171B4" w:rsidP="00AA4BBB">
            <w:pPr>
              <w:rPr>
                <w:rFonts w:cs="Arial"/>
                <w:b/>
                <w:bCs/>
                <w:sz w:val="18"/>
                <w:szCs w:val="18"/>
              </w:rPr>
            </w:pPr>
          </w:p>
        </w:tc>
      </w:tr>
      <w:tr w:rsidR="00C171B4" w:rsidRPr="00C171B4" w14:paraId="0D8DBA96" w14:textId="77777777" w:rsidTr="00C171B4">
        <w:tc>
          <w:tcPr>
            <w:tcW w:w="1667" w:type="pct"/>
            <w:vMerge w:val="restart"/>
            <w:tcMar>
              <w:top w:w="30" w:type="dxa"/>
              <w:left w:w="45" w:type="dxa"/>
              <w:bottom w:w="30" w:type="dxa"/>
              <w:right w:w="45" w:type="dxa"/>
            </w:tcMar>
            <w:vAlign w:val="center"/>
            <w:hideMark/>
          </w:tcPr>
          <w:p w14:paraId="06A20C94" w14:textId="77777777" w:rsidR="00C171B4" w:rsidRPr="00C171B4" w:rsidRDefault="00C171B4" w:rsidP="00AA4BBB">
            <w:pPr>
              <w:rPr>
                <w:rFonts w:cs="Arial"/>
                <w:sz w:val="18"/>
                <w:szCs w:val="18"/>
              </w:rPr>
            </w:pPr>
            <w:r w:rsidRPr="00C171B4">
              <w:rPr>
                <w:rFonts w:cs="Arial"/>
                <w:sz w:val="18"/>
                <w:szCs w:val="18"/>
              </w:rPr>
              <w:t>Implementar esquemas de producción en horarios no convencionales para al menos 200 empresas</w:t>
            </w:r>
          </w:p>
        </w:tc>
        <w:tc>
          <w:tcPr>
            <w:tcW w:w="672" w:type="pct"/>
            <w:tcMar>
              <w:top w:w="30" w:type="dxa"/>
              <w:left w:w="45" w:type="dxa"/>
              <w:bottom w:w="30" w:type="dxa"/>
              <w:right w:w="45" w:type="dxa"/>
            </w:tcMar>
            <w:vAlign w:val="center"/>
            <w:hideMark/>
          </w:tcPr>
          <w:p w14:paraId="11C939B9" w14:textId="77777777" w:rsidR="00C171B4" w:rsidRPr="00C171B4" w:rsidRDefault="00C171B4" w:rsidP="00AA4BBB">
            <w:pPr>
              <w:jc w:val="center"/>
              <w:rPr>
                <w:rFonts w:cs="Arial"/>
                <w:sz w:val="18"/>
                <w:szCs w:val="18"/>
              </w:rPr>
            </w:pPr>
            <w:r w:rsidRPr="00C171B4">
              <w:rPr>
                <w:rFonts w:cs="Arial"/>
                <w:sz w:val="18"/>
                <w:szCs w:val="18"/>
              </w:rPr>
              <w:t>16</w:t>
            </w:r>
          </w:p>
        </w:tc>
        <w:tc>
          <w:tcPr>
            <w:tcW w:w="668" w:type="pct"/>
            <w:tcMar>
              <w:top w:w="30" w:type="dxa"/>
              <w:left w:w="45" w:type="dxa"/>
              <w:bottom w:w="30" w:type="dxa"/>
              <w:right w:w="45" w:type="dxa"/>
            </w:tcMar>
            <w:vAlign w:val="center"/>
            <w:hideMark/>
          </w:tcPr>
          <w:p w14:paraId="6FB82B45" w14:textId="77777777" w:rsidR="00C171B4" w:rsidRPr="00C171B4" w:rsidRDefault="00C171B4" w:rsidP="00AA4BBB">
            <w:pPr>
              <w:jc w:val="center"/>
              <w:rPr>
                <w:rFonts w:cs="Arial"/>
                <w:sz w:val="18"/>
                <w:szCs w:val="18"/>
              </w:rPr>
            </w:pPr>
            <w:r w:rsidRPr="00C171B4">
              <w:rPr>
                <w:rFonts w:cs="Arial"/>
                <w:sz w:val="18"/>
                <w:szCs w:val="18"/>
              </w:rPr>
              <w:t>66</w:t>
            </w:r>
          </w:p>
        </w:tc>
        <w:tc>
          <w:tcPr>
            <w:tcW w:w="675" w:type="pct"/>
            <w:tcMar>
              <w:top w:w="30" w:type="dxa"/>
              <w:left w:w="45" w:type="dxa"/>
              <w:bottom w:w="30" w:type="dxa"/>
              <w:right w:w="45" w:type="dxa"/>
            </w:tcMar>
            <w:vAlign w:val="center"/>
            <w:hideMark/>
          </w:tcPr>
          <w:p w14:paraId="0760F7B2" w14:textId="77777777" w:rsidR="00C171B4" w:rsidRPr="00C171B4" w:rsidRDefault="00C171B4" w:rsidP="00AA4BBB">
            <w:pPr>
              <w:jc w:val="center"/>
              <w:rPr>
                <w:rFonts w:cs="Arial"/>
                <w:sz w:val="18"/>
                <w:szCs w:val="18"/>
              </w:rPr>
            </w:pPr>
            <w:r w:rsidRPr="00C171B4">
              <w:rPr>
                <w:rFonts w:cs="Arial"/>
                <w:sz w:val="18"/>
                <w:szCs w:val="18"/>
              </w:rPr>
              <w:t>65</w:t>
            </w:r>
          </w:p>
        </w:tc>
        <w:tc>
          <w:tcPr>
            <w:tcW w:w="674" w:type="pct"/>
            <w:tcMar>
              <w:top w:w="30" w:type="dxa"/>
              <w:left w:w="45" w:type="dxa"/>
              <w:bottom w:w="30" w:type="dxa"/>
              <w:right w:w="45" w:type="dxa"/>
            </w:tcMar>
            <w:vAlign w:val="center"/>
            <w:hideMark/>
          </w:tcPr>
          <w:p w14:paraId="2E0B246F" w14:textId="77777777" w:rsidR="00C171B4" w:rsidRPr="00C171B4" w:rsidRDefault="00C171B4" w:rsidP="00AA4BBB">
            <w:pPr>
              <w:jc w:val="center"/>
              <w:rPr>
                <w:rFonts w:cs="Arial"/>
                <w:sz w:val="18"/>
                <w:szCs w:val="18"/>
              </w:rPr>
            </w:pPr>
            <w:r w:rsidRPr="00C171B4">
              <w:rPr>
                <w:rFonts w:cs="Arial"/>
                <w:sz w:val="18"/>
                <w:szCs w:val="18"/>
              </w:rPr>
              <w:t>53</w:t>
            </w:r>
          </w:p>
        </w:tc>
        <w:tc>
          <w:tcPr>
            <w:tcW w:w="643" w:type="pct"/>
            <w:vMerge w:val="restart"/>
            <w:tcMar>
              <w:top w:w="30" w:type="dxa"/>
              <w:left w:w="45" w:type="dxa"/>
              <w:bottom w:w="30" w:type="dxa"/>
              <w:right w:w="45" w:type="dxa"/>
            </w:tcMar>
            <w:vAlign w:val="center"/>
            <w:hideMark/>
          </w:tcPr>
          <w:p w14:paraId="7C8175B6" w14:textId="77777777" w:rsidR="00C171B4" w:rsidRPr="00C171B4" w:rsidRDefault="00C171B4" w:rsidP="00AA4BBB">
            <w:pPr>
              <w:jc w:val="center"/>
              <w:rPr>
                <w:rFonts w:cs="Arial"/>
                <w:b/>
                <w:bCs/>
                <w:sz w:val="18"/>
                <w:szCs w:val="18"/>
              </w:rPr>
            </w:pPr>
            <w:r w:rsidRPr="00C171B4">
              <w:rPr>
                <w:rFonts w:cs="Arial"/>
                <w:b/>
                <w:bCs/>
                <w:sz w:val="18"/>
                <w:szCs w:val="18"/>
              </w:rPr>
              <w:t>12.864.873.655</w:t>
            </w:r>
          </w:p>
        </w:tc>
      </w:tr>
      <w:tr w:rsidR="00C171B4" w:rsidRPr="00C171B4" w14:paraId="24BFC05C" w14:textId="77777777" w:rsidTr="00C171B4">
        <w:tc>
          <w:tcPr>
            <w:tcW w:w="1667" w:type="pct"/>
            <w:vMerge/>
            <w:vAlign w:val="center"/>
            <w:hideMark/>
          </w:tcPr>
          <w:p w14:paraId="113BBC86"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3BBC24B7" w14:textId="77777777" w:rsidR="00C171B4" w:rsidRPr="00C171B4" w:rsidRDefault="00C171B4" w:rsidP="00AA4BBB">
            <w:pPr>
              <w:jc w:val="center"/>
              <w:rPr>
                <w:rFonts w:cs="Arial"/>
                <w:sz w:val="18"/>
                <w:szCs w:val="18"/>
              </w:rPr>
            </w:pPr>
            <w:r w:rsidRPr="00C171B4">
              <w:rPr>
                <w:rFonts w:cs="Arial"/>
                <w:sz w:val="18"/>
                <w:szCs w:val="18"/>
              </w:rPr>
              <w:t>2.003.881.930</w:t>
            </w:r>
          </w:p>
        </w:tc>
        <w:tc>
          <w:tcPr>
            <w:tcW w:w="668" w:type="pct"/>
            <w:tcMar>
              <w:top w:w="30" w:type="dxa"/>
              <w:left w:w="45" w:type="dxa"/>
              <w:bottom w:w="30" w:type="dxa"/>
              <w:right w:w="45" w:type="dxa"/>
            </w:tcMar>
            <w:vAlign w:val="center"/>
            <w:hideMark/>
          </w:tcPr>
          <w:p w14:paraId="3BD9579F" w14:textId="77777777" w:rsidR="00C171B4" w:rsidRPr="00C171B4" w:rsidRDefault="00C171B4" w:rsidP="00AA4BBB">
            <w:pPr>
              <w:jc w:val="center"/>
              <w:rPr>
                <w:rFonts w:cs="Arial"/>
                <w:sz w:val="18"/>
                <w:szCs w:val="18"/>
              </w:rPr>
            </w:pPr>
            <w:r w:rsidRPr="00C171B4">
              <w:rPr>
                <w:rFonts w:cs="Arial"/>
                <w:sz w:val="18"/>
                <w:szCs w:val="18"/>
              </w:rPr>
              <w:t>3.992.584.850</w:t>
            </w:r>
          </w:p>
        </w:tc>
        <w:tc>
          <w:tcPr>
            <w:tcW w:w="675" w:type="pct"/>
            <w:tcMar>
              <w:top w:w="30" w:type="dxa"/>
              <w:left w:w="45" w:type="dxa"/>
              <w:bottom w:w="30" w:type="dxa"/>
              <w:right w:w="45" w:type="dxa"/>
            </w:tcMar>
            <w:vAlign w:val="center"/>
            <w:hideMark/>
          </w:tcPr>
          <w:p w14:paraId="1C03521F" w14:textId="77777777" w:rsidR="00C171B4" w:rsidRPr="00C171B4" w:rsidRDefault="00C171B4" w:rsidP="00AA4BBB">
            <w:pPr>
              <w:jc w:val="center"/>
              <w:rPr>
                <w:rFonts w:cs="Arial"/>
                <w:sz w:val="18"/>
                <w:szCs w:val="18"/>
              </w:rPr>
            </w:pPr>
            <w:r w:rsidRPr="00C171B4">
              <w:rPr>
                <w:rFonts w:cs="Arial"/>
                <w:sz w:val="18"/>
                <w:szCs w:val="18"/>
              </w:rPr>
              <w:t>3.818.706.295</w:t>
            </w:r>
          </w:p>
        </w:tc>
        <w:tc>
          <w:tcPr>
            <w:tcW w:w="674" w:type="pct"/>
            <w:tcMar>
              <w:top w:w="30" w:type="dxa"/>
              <w:left w:w="45" w:type="dxa"/>
              <w:bottom w:w="30" w:type="dxa"/>
              <w:right w:w="45" w:type="dxa"/>
            </w:tcMar>
            <w:vAlign w:val="center"/>
            <w:hideMark/>
          </w:tcPr>
          <w:p w14:paraId="46721D31" w14:textId="77777777" w:rsidR="00C171B4" w:rsidRPr="00C171B4" w:rsidRDefault="00C171B4" w:rsidP="00AA4BBB">
            <w:pPr>
              <w:jc w:val="center"/>
              <w:rPr>
                <w:rFonts w:cs="Arial"/>
                <w:sz w:val="18"/>
                <w:szCs w:val="18"/>
              </w:rPr>
            </w:pPr>
            <w:r w:rsidRPr="00C171B4">
              <w:rPr>
                <w:rFonts w:cs="Arial"/>
                <w:sz w:val="18"/>
                <w:szCs w:val="18"/>
              </w:rPr>
              <w:t>3.049.700.580</w:t>
            </w:r>
          </w:p>
        </w:tc>
        <w:tc>
          <w:tcPr>
            <w:tcW w:w="643" w:type="pct"/>
            <w:vMerge/>
            <w:vAlign w:val="center"/>
            <w:hideMark/>
          </w:tcPr>
          <w:p w14:paraId="22D6C7E7" w14:textId="77777777" w:rsidR="00C171B4" w:rsidRPr="00C171B4" w:rsidRDefault="00C171B4" w:rsidP="00AA4BBB">
            <w:pPr>
              <w:rPr>
                <w:rFonts w:cs="Arial"/>
                <w:b/>
                <w:bCs/>
                <w:sz w:val="18"/>
                <w:szCs w:val="18"/>
              </w:rPr>
            </w:pPr>
          </w:p>
        </w:tc>
      </w:tr>
      <w:tr w:rsidR="00C171B4" w:rsidRPr="00C171B4" w14:paraId="22703F27" w14:textId="77777777" w:rsidTr="00C171B4">
        <w:tc>
          <w:tcPr>
            <w:tcW w:w="1667" w:type="pct"/>
            <w:vMerge w:val="restart"/>
            <w:tcMar>
              <w:top w:w="30" w:type="dxa"/>
              <w:left w:w="45" w:type="dxa"/>
              <w:bottom w:w="30" w:type="dxa"/>
              <w:right w:w="45" w:type="dxa"/>
            </w:tcMar>
            <w:vAlign w:val="center"/>
            <w:hideMark/>
          </w:tcPr>
          <w:p w14:paraId="6B436249" w14:textId="77777777" w:rsidR="00C171B4" w:rsidRPr="00C171B4" w:rsidRDefault="00C171B4" w:rsidP="00AA4BBB">
            <w:pPr>
              <w:rPr>
                <w:rFonts w:cs="Arial"/>
                <w:sz w:val="18"/>
                <w:szCs w:val="18"/>
              </w:rPr>
            </w:pPr>
            <w:r w:rsidRPr="00C171B4">
              <w:rPr>
                <w:rFonts w:cs="Arial"/>
                <w:sz w:val="18"/>
                <w:szCs w:val="18"/>
              </w:rPr>
              <w:t>Impulsar el desarrollo de 300 proyectos del sector turismo que contribuyan al desarrollo social y económico de la ciudad de Bogotá</w:t>
            </w:r>
          </w:p>
        </w:tc>
        <w:tc>
          <w:tcPr>
            <w:tcW w:w="672" w:type="pct"/>
            <w:tcMar>
              <w:top w:w="30" w:type="dxa"/>
              <w:left w:w="45" w:type="dxa"/>
              <w:bottom w:w="30" w:type="dxa"/>
              <w:right w:w="45" w:type="dxa"/>
            </w:tcMar>
            <w:vAlign w:val="center"/>
            <w:hideMark/>
          </w:tcPr>
          <w:p w14:paraId="131E74B2" w14:textId="77777777" w:rsidR="00C171B4" w:rsidRPr="00C171B4" w:rsidRDefault="00C171B4" w:rsidP="00AA4BBB">
            <w:pPr>
              <w:jc w:val="center"/>
              <w:rPr>
                <w:rFonts w:cs="Arial"/>
                <w:sz w:val="18"/>
                <w:szCs w:val="18"/>
              </w:rPr>
            </w:pPr>
            <w:r w:rsidRPr="00C171B4">
              <w:rPr>
                <w:rFonts w:cs="Arial"/>
                <w:sz w:val="18"/>
                <w:szCs w:val="18"/>
              </w:rPr>
              <w:t>60</w:t>
            </w:r>
          </w:p>
        </w:tc>
        <w:tc>
          <w:tcPr>
            <w:tcW w:w="668" w:type="pct"/>
            <w:tcMar>
              <w:top w:w="30" w:type="dxa"/>
              <w:left w:w="45" w:type="dxa"/>
              <w:bottom w:w="30" w:type="dxa"/>
              <w:right w:w="45" w:type="dxa"/>
            </w:tcMar>
            <w:vAlign w:val="center"/>
            <w:hideMark/>
          </w:tcPr>
          <w:p w14:paraId="126F92FB" w14:textId="77777777" w:rsidR="00C171B4" w:rsidRPr="00C171B4" w:rsidRDefault="00C171B4" w:rsidP="00AA4BBB">
            <w:pPr>
              <w:jc w:val="center"/>
              <w:rPr>
                <w:rFonts w:cs="Arial"/>
                <w:sz w:val="18"/>
                <w:szCs w:val="18"/>
              </w:rPr>
            </w:pPr>
            <w:r w:rsidRPr="00C171B4">
              <w:rPr>
                <w:rFonts w:cs="Arial"/>
                <w:sz w:val="18"/>
                <w:szCs w:val="18"/>
              </w:rPr>
              <w:t>80</w:t>
            </w:r>
          </w:p>
        </w:tc>
        <w:tc>
          <w:tcPr>
            <w:tcW w:w="675" w:type="pct"/>
            <w:tcMar>
              <w:top w:w="30" w:type="dxa"/>
              <w:left w:w="45" w:type="dxa"/>
              <w:bottom w:w="30" w:type="dxa"/>
              <w:right w:w="45" w:type="dxa"/>
            </w:tcMar>
            <w:vAlign w:val="center"/>
            <w:hideMark/>
          </w:tcPr>
          <w:p w14:paraId="5D665124" w14:textId="77777777" w:rsidR="00C171B4" w:rsidRPr="00C171B4" w:rsidRDefault="00C171B4" w:rsidP="00AA4BBB">
            <w:pPr>
              <w:jc w:val="center"/>
              <w:rPr>
                <w:rFonts w:cs="Arial"/>
                <w:sz w:val="18"/>
                <w:szCs w:val="18"/>
              </w:rPr>
            </w:pPr>
            <w:r w:rsidRPr="00C171B4">
              <w:rPr>
                <w:rFonts w:cs="Arial"/>
                <w:sz w:val="18"/>
                <w:szCs w:val="18"/>
              </w:rPr>
              <w:t>80</w:t>
            </w:r>
          </w:p>
        </w:tc>
        <w:tc>
          <w:tcPr>
            <w:tcW w:w="674" w:type="pct"/>
            <w:tcMar>
              <w:top w:w="30" w:type="dxa"/>
              <w:left w:w="45" w:type="dxa"/>
              <w:bottom w:w="30" w:type="dxa"/>
              <w:right w:w="45" w:type="dxa"/>
            </w:tcMar>
            <w:vAlign w:val="center"/>
            <w:hideMark/>
          </w:tcPr>
          <w:p w14:paraId="3943C77E" w14:textId="77777777" w:rsidR="00C171B4" w:rsidRPr="00C171B4" w:rsidRDefault="00C171B4" w:rsidP="00AA4BBB">
            <w:pPr>
              <w:jc w:val="center"/>
              <w:rPr>
                <w:rFonts w:cs="Arial"/>
                <w:sz w:val="18"/>
                <w:szCs w:val="18"/>
              </w:rPr>
            </w:pPr>
            <w:r w:rsidRPr="00C171B4">
              <w:rPr>
                <w:rFonts w:cs="Arial"/>
                <w:sz w:val="18"/>
                <w:szCs w:val="18"/>
              </w:rPr>
              <w:t>80</w:t>
            </w:r>
          </w:p>
        </w:tc>
        <w:tc>
          <w:tcPr>
            <w:tcW w:w="643" w:type="pct"/>
            <w:vMerge w:val="restart"/>
            <w:tcMar>
              <w:top w:w="30" w:type="dxa"/>
              <w:left w:w="45" w:type="dxa"/>
              <w:bottom w:w="30" w:type="dxa"/>
              <w:right w:w="45" w:type="dxa"/>
            </w:tcMar>
            <w:vAlign w:val="center"/>
            <w:hideMark/>
          </w:tcPr>
          <w:p w14:paraId="7848F873" w14:textId="77777777" w:rsidR="00C171B4" w:rsidRPr="00C171B4" w:rsidRDefault="00C171B4" w:rsidP="00AA4BBB">
            <w:pPr>
              <w:jc w:val="center"/>
              <w:rPr>
                <w:rFonts w:cs="Arial"/>
                <w:b/>
                <w:bCs/>
                <w:sz w:val="18"/>
                <w:szCs w:val="18"/>
              </w:rPr>
            </w:pPr>
            <w:r w:rsidRPr="00C171B4">
              <w:rPr>
                <w:rFonts w:cs="Arial"/>
                <w:b/>
                <w:bCs/>
                <w:sz w:val="18"/>
                <w:szCs w:val="18"/>
              </w:rPr>
              <w:t>11.888.469.033</w:t>
            </w:r>
          </w:p>
        </w:tc>
      </w:tr>
      <w:tr w:rsidR="00C171B4" w:rsidRPr="00C171B4" w14:paraId="7FA07D86" w14:textId="77777777" w:rsidTr="00C171B4">
        <w:tc>
          <w:tcPr>
            <w:tcW w:w="1667" w:type="pct"/>
            <w:vMerge/>
            <w:vAlign w:val="center"/>
            <w:hideMark/>
          </w:tcPr>
          <w:p w14:paraId="473379E2"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1CD7AE38" w14:textId="77777777" w:rsidR="00C171B4" w:rsidRPr="00C171B4" w:rsidRDefault="00C171B4" w:rsidP="00AA4BBB">
            <w:pPr>
              <w:jc w:val="center"/>
              <w:rPr>
                <w:rFonts w:cs="Arial"/>
                <w:sz w:val="18"/>
                <w:szCs w:val="18"/>
              </w:rPr>
            </w:pPr>
            <w:r w:rsidRPr="00C171B4">
              <w:rPr>
                <w:rFonts w:cs="Arial"/>
                <w:sz w:val="18"/>
                <w:szCs w:val="18"/>
              </w:rPr>
              <w:t>1.928.145.000</w:t>
            </w:r>
          </w:p>
        </w:tc>
        <w:tc>
          <w:tcPr>
            <w:tcW w:w="668" w:type="pct"/>
            <w:tcMar>
              <w:top w:w="30" w:type="dxa"/>
              <w:left w:w="45" w:type="dxa"/>
              <w:bottom w:w="30" w:type="dxa"/>
              <w:right w:w="45" w:type="dxa"/>
            </w:tcMar>
            <w:vAlign w:val="center"/>
            <w:hideMark/>
          </w:tcPr>
          <w:p w14:paraId="19434907" w14:textId="77777777" w:rsidR="00C171B4" w:rsidRPr="00C171B4" w:rsidRDefault="00C171B4" w:rsidP="00AA4BBB">
            <w:pPr>
              <w:jc w:val="center"/>
              <w:rPr>
                <w:rFonts w:cs="Arial"/>
                <w:sz w:val="18"/>
                <w:szCs w:val="18"/>
              </w:rPr>
            </w:pPr>
            <w:r w:rsidRPr="00C171B4">
              <w:rPr>
                <w:rFonts w:cs="Arial"/>
                <w:sz w:val="18"/>
                <w:szCs w:val="18"/>
              </w:rPr>
              <w:t>3.300.970.874</w:t>
            </w:r>
          </w:p>
        </w:tc>
        <w:tc>
          <w:tcPr>
            <w:tcW w:w="675" w:type="pct"/>
            <w:tcMar>
              <w:top w:w="30" w:type="dxa"/>
              <w:left w:w="45" w:type="dxa"/>
              <w:bottom w:w="30" w:type="dxa"/>
              <w:right w:w="45" w:type="dxa"/>
            </w:tcMar>
            <w:vAlign w:val="center"/>
            <w:hideMark/>
          </w:tcPr>
          <w:p w14:paraId="45554B3D" w14:textId="77777777" w:rsidR="00C171B4" w:rsidRPr="00C171B4" w:rsidRDefault="00C171B4" w:rsidP="00AA4BBB">
            <w:pPr>
              <w:jc w:val="center"/>
              <w:rPr>
                <w:rFonts w:cs="Arial"/>
                <w:sz w:val="18"/>
                <w:szCs w:val="18"/>
              </w:rPr>
            </w:pPr>
            <w:r w:rsidRPr="00C171B4">
              <w:rPr>
                <w:rFonts w:cs="Arial"/>
                <w:sz w:val="18"/>
                <w:szCs w:val="18"/>
              </w:rPr>
              <w:t>3.299.085.682</w:t>
            </w:r>
          </w:p>
        </w:tc>
        <w:tc>
          <w:tcPr>
            <w:tcW w:w="674" w:type="pct"/>
            <w:tcMar>
              <w:top w:w="30" w:type="dxa"/>
              <w:left w:w="45" w:type="dxa"/>
              <w:bottom w:w="30" w:type="dxa"/>
              <w:right w:w="45" w:type="dxa"/>
            </w:tcMar>
            <w:vAlign w:val="center"/>
            <w:hideMark/>
          </w:tcPr>
          <w:p w14:paraId="743437C0" w14:textId="77777777" w:rsidR="00C171B4" w:rsidRPr="00C171B4" w:rsidRDefault="00C171B4" w:rsidP="00AA4BBB">
            <w:pPr>
              <w:jc w:val="center"/>
              <w:rPr>
                <w:rFonts w:cs="Arial"/>
                <w:sz w:val="18"/>
                <w:szCs w:val="18"/>
              </w:rPr>
            </w:pPr>
            <w:r w:rsidRPr="00C171B4">
              <w:rPr>
                <w:rFonts w:cs="Arial"/>
                <w:sz w:val="18"/>
                <w:szCs w:val="18"/>
              </w:rPr>
              <w:t>3.360.267.478</w:t>
            </w:r>
          </w:p>
        </w:tc>
        <w:tc>
          <w:tcPr>
            <w:tcW w:w="643" w:type="pct"/>
            <w:vMerge/>
            <w:vAlign w:val="center"/>
            <w:hideMark/>
          </w:tcPr>
          <w:p w14:paraId="124BC3BA" w14:textId="77777777" w:rsidR="00C171B4" w:rsidRPr="00C171B4" w:rsidRDefault="00C171B4" w:rsidP="00AA4BBB">
            <w:pPr>
              <w:rPr>
                <w:rFonts w:cs="Arial"/>
                <w:b/>
                <w:bCs/>
                <w:sz w:val="18"/>
                <w:szCs w:val="18"/>
              </w:rPr>
            </w:pPr>
          </w:p>
        </w:tc>
      </w:tr>
      <w:tr w:rsidR="00C171B4" w:rsidRPr="00C171B4" w14:paraId="7FD12419" w14:textId="77777777" w:rsidTr="00C171B4">
        <w:tc>
          <w:tcPr>
            <w:tcW w:w="1667" w:type="pct"/>
            <w:vMerge w:val="restart"/>
            <w:tcMar>
              <w:top w:w="30" w:type="dxa"/>
              <w:left w:w="45" w:type="dxa"/>
              <w:bottom w:w="30" w:type="dxa"/>
              <w:right w:w="45" w:type="dxa"/>
            </w:tcMar>
            <w:vAlign w:val="center"/>
            <w:hideMark/>
          </w:tcPr>
          <w:p w14:paraId="4AFC7E68" w14:textId="77777777" w:rsidR="00C171B4" w:rsidRPr="00C171B4" w:rsidRDefault="00C171B4" w:rsidP="00AA4BBB">
            <w:pPr>
              <w:rPr>
                <w:rFonts w:cs="Arial"/>
                <w:sz w:val="18"/>
                <w:szCs w:val="18"/>
              </w:rPr>
            </w:pPr>
            <w:r w:rsidRPr="00C171B4">
              <w:rPr>
                <w:rFonts w:cs="Arial"/>
                <w:sz w:val="18"/>
                <w:szCs w:val="18"/>
              </w:rPr>
              <w:t>Lograr 125.000 colocaciones en el mercado laboral</w:t>
            </w:r>
          </w:p>
        </w:tc>
        <w:tc>
          <w:tcPr>
            <w:tcW w:w="672" w:type="pct"/>
            <w:tcMar>
              <w:top w:w="30" w:type="dxa"/>
              <w:left w:w="45" w:type="dxa"/>
              <w:bottom w:w="30" w:type="dxa"/>
              <w:right w:w="45" w:type="dxa"/>
            </w:tcMar>
            <w:vAlign w:val="center"/>
            <w:hideMark/>
          </w:tcPr>
          <w:p w14:paraId="538A3804" w14:textId="77777777" w:rsidR="00C171B4" w:rsidRPr="00C171B4" w:rsidRDefault="00C171B4" w:rsidP="00AA4BBB">
            <w:pPr>
              <w:jc w:val="center"/>
              <w:rPr>
                <w:rFonts w:cs="Arial"/>
                <w:sz w:val="18"/>
                <w:szCs w:val="18"/>
              </w:rPr>
            </w:pPr>
            <w:r w:rsidRPr="00C171B4">
              <w:rPr>
                <w:rFonts w:cs="Arial"/>
                <w:sz w:val="18"/>
                <w:szCs w:val="18"/>
              </w:rPr>
              <w:t>18.500</w:t>
            </w:r>
          </w:p>
        </w:tc>
        <w:tc>
          <w:tcPr>
            <w:tcW w:w="668" w:type="pct"/>
            <w:tcMar>
              <w:top w:w="30" w:type="dxa"/>
              <w:left w:w="45" w:type="dxa"/>
              <w:bottom w:w="30" w:type="dxa"/>
              <w:right w:w="45" w:type="dxa"/>
            </w:tcMar>
            <w:vAlign w:val="center"/>
            <w:hideMark/>
          </w:tcPr>
          <w:p w14:paraId="7893E24B" w14:textId="77777777" w:rsidR="00C171B4" w:rsidRPr="00C171B4" w:rsidRDefault="00C171B4" w:rsidP="00AA4BBB">
            <w:pPr>
              <w:jc w:val="center"/>
              <w:rPr>
                <w:rFonts w:cs="Arial"/>
                <w:sz w:val="18"/>
                <w:szCs w:val="18"/>
              </w:rPr>
            </w:pPr>
            <w:r w:rsidRPr="00C171B4">
              <w:rPr>
                <w:rFonts w:cs="Arial"/>
                <w:sz w:val="18"/>
                <w:szCs w:val="18"/>
              </w:rPr>
              <w:t>31.955</w:t>
            </w:r>
          </w:p>
        </w:tc>
        <w:tc>
          <w:tcPr>
            <w:tcW w:w="675" w:type="pct"/>
            <w:tcMar>
              <w:top w:w="30" w:type="dxa"/>
              <w:left w:w="45" w:type="dxa"/>
              <w:bottom w:w="30" w:type="dxa"/>
              <w:right w:w="45" w:type="dxa"/>
            </w:tcMar>
            <w:vAlign w:val="center"/>
            <w:hideMark/>
          </w:tcPr>
          <w:p w14:paraId="5C5D4637" w14:textId="77777777" w:rsidR="00C171B4" w:rsidRPr="00C171B4" w:rsidRDefault="00C171B4" w:rsidP="00AA4BBB">
            <w:pPr>
              <w:jc w:val="center"/>
              <w:rPr>
                <w:rFonts w:cs="Arial"/>
                <w:sz w:val="18"/>
                <w:szCs w:val="18"/>
              </w:rPr>
            </w:pPr>
            <w:r w:rsidRPr="00C171B4">
              <w:rPr>
                <w:rFonts w:cs="Arial"/>
                <w:sz w:val="18"/>
                <w:szCs w:val="18"/>
              </w:rPr>
              <w:t>36.303</w:t>
            </w:r>
          </w:p>
        </w:tc>
        <w:tc>
          <w:tcPr>
            <w:tcW w:w="674" w:type="pct"/>
            <w:tcMar>
              <w:top w:w="30" w:type="dxa"/>
              <w:left w:w="45" w:type="dxa"/>
              <w:bottom w:w="30" w:type="dxa"/>
              <w:right w:w="45" w:type="dxa"/>
            </w:tcMar>
            <w:vAlign w:val="center"/>
            <w:hideMark/>
          </w:tcPr>
          <w:p w14:paraId="015B8646" w14:textId="77777777" w:rsidR="00C171B4" w:rsidRPr="00C171B4" w:rsidRDefault="00C171B4" w:rsidP="00AA4BBB">
            <w:pPr>
              <w:jc w:val="center"/>
              <w:rPr>
                <w:rFonts w:cs="Arial"/>
                <w:sz w:val="18"/>
                <w:szCs w:val="18"/>
              </w:rPr>
            </w:pPr>
            <w:r w:rsidRPr="00C171B4">
              <w:rPr>
                <w:rFonts w:cs="Arial"/>
                <w:sz w:val="18"/>
                <w:szCs w:val="18"/>
              </w:rPr>
              <w:t>38.242</w:t>
            </w:r>
          </w:p>
        </w:tc>
        <w:tc>
          <w:tcPr>
            <w:tcW w:w="643" w:type="pct"/>
            <w:vMerge w:val="restart"/>
            <w:tcMar>
              <w:top w:w="30" w:type="dxa"/>
              <w:left w:w="45" w:type="dxa"/>
              <w:bottom w:w="30" w:type="dxa"/>
              <w:right w:w="45" w:type="dxa"/>
            </w:tcMar>
            <w:vAlign w:val="center"/>
            <w:hideMark/>
          </w:tcPr>
          <w:p w14:paraId="2F3ADA30" w14:textId="77777777" w:rsidR="00C171B4" w:rsidRPr="00C171B4" w:rsidRDefault="00C171B4" w:rsidP="00AA4BBB">
            <w:pPr>
              <w:jc w:val="center"/>
              <w:rPr>
                <w:rFonts w:cs="Arial"/>
                <w:b/>
                <w:bCs/>
                <w:sz w:val="18"/>
                <w:szCs w:val="18"/>
              </w:rPr>
            </w:pPr>
            <w:r w:rsidRPr="00C171B4">
              <w:rPr>
                <w:rFonts w:cs="Arial"/>
                <w:b/>
                <w:bCs/>
                <w:sz w:val="18"/>
                <w:szCs w:val="18"/>
              </w:rPr>
              <w:t>173.336.108.811</w:t>
            </w:r>
          </w:p>
        </w:tc>
      </w:tr>
      <w:tr w:rsidR="00C171B4" w:rsidRPr="00C171B4" w14:paraId="455AEA1F" w14:textId="77777777" w:rsidTr="00C171B4">
        <w:tc>
          <w:tcPr>
            <w:tcW w:w="1667" w:type="pct"/>
            <w:vMerge/>
            <w:vAlign w:val="center"/>
            <w:hideMark/>
          </w:tcPr>
          <w:p w14:paraId="1562D56C"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0BA2558C" w14:textId="77777777" w:rsidR="00C171B4" w:rsidRPr="00C171B4" w:rsidRDefault="00C171B4" w:rsidP="00AA4BBB">
            <w:pPr>
              <w:jc w:val="center"/>
              <w:rPr>
                <w:rFonts w:cs="Arial"/>
                <w:sz w:val="18"/>
                <w:szCs w:val="18"/>
              </w:rPr>
            </w:pPr>
            <w:r w:rsidRPr="00C171B4">
              <w:rPr>
                <w:rFonts w:cs="Arial"/>
                <w:sz w:val="18"/>
                <w:szCs w:val="18"/>
              </w:rPr>
              <w:t>29.849.275.000</w:t>
            </w:r>
          </w:p>
        </w:tc>
        <w:tc>
          <w:tcPr>
            <w:tcW w:w="668" w:type="pct"/>
            <w:tcMar>
              <w:top w:w="30" w:type="dxa"/>
              <w:left w:w="45" w:type="dxa"/>
              <w:bottom w:w="30" w:type="dxa"/>
              <w:right w:w="45" w:type="dxa"/>
            </w:tcMar>
            <w:vAlign w:val="center"/>
            <w:hideMark/>
          </w:tcPr>
          <w:p w14:paraId="6DB89002" w14:textId="77777777" w:rsidR="00C171B4" w:rsidRPr="00C171B4" w:rsidRDefault="00C171B4" w:rsidP="00AA4BBB">
            <w:pPr>
              <w:jc w:val="center"/>
              <w:rPr>
                <w:rFonts w:cs="Arial"/>
                <w:sz w:val="18"/>
                <w:szCs w:val="18"/>
              </w:rPr>
            </w:pPr>
            <w:r w:rsidRPr="00C171B4">
              <w:rPr>
                <w:rFonts w:cs="Arial"/>
                <w:sz w:val="18"/>
                <w:szCs w:val="18"/>
              </w:rPr>
              <w:t>43.963.547.670</w:t>
            </w:r>
          </w:p>
        </w:tc>
        <w:tc>
          <w:tcPr>
            <w:tcW w:w="675" w:type="pct"/>
            <w:tcMar>
              <w:top w:w="30" w:type="dxa"/>
              <w:left w:w="45" w:type="dxa"/>
              <w:bottom w:w="30" w:type="dxa"/>
              <w:right w:w="45" w:type="dxa"/>
            </w:tcMar>
            <w:vAlign w:val="center"/>
            <w:hideMark/>
          </w:tcPr>
          <w:p w14:paraId="5C7986C0" w14:textId="77777777" w:rsidR="00C171B4" w:rsidRPr="00C171B4" w:rsidRDefault="00C171B4" w:rsidP="00AA4BBB">
            <w:pPr>
              <w:jc w:val="center"/>
              <w:rPr>
                <w:rFonts w:cs="Arial"/>
                <w:sz w:val="18"/>
                <w:szCs w:val="18"/>
              </w:rPr>
            </w:pPr>
            <w:r w:rsidRPr="00C171B4">
              <w:rPr>
                <w:rFonts w:cs="Arial"/>
                <w:sz w:val="18"/>
                <w:szCs w:val="18"/>
              </w:rPr>
              <w:t>49.028.482.882</w:t>
            </w:r>
          </w:p>
        </w:tc>
        <w:tc>
          <w:tcPr>
            <w:tcW w:w="674" w:type="pct"/>
            <w:tcMar>
              <w:top w:w="30" w:type="dxa"/>
              <w:left w:w="45" w:type="dxa"/>
              <w:bottom w:w="30" w:type="dxa"/>
              <w:right w:w="45" w:type="dxa"/>
            </w:tcMar>
            <w:vAlign w:val="center"/>
            <w:hideMark/>
          </w:tcPr>
          <w:p w14:paraId="3D334E7D" w14:textId="77777777" w:rsidR="00C171B4" w:rsidRPr="00C171B4" w:rsidRDefault="00C171B4" w:rsidP="00AA4BBB">
            <w:pPr>
              <w:jc w:val="center"/>
              <w:rPr>
                <w:rFonts w:cs="Arial"/>
                <w:sz w:val="18"/>
                <w:szCs w:val="18"/>
              </w:rPr>
            </w:pPr>
            <w:r w:rsidRPr="00C171B4">
              <w:rPr>
                <w:rFonts w:cs="Arial"/>
                <w:sz w:val="18"/>
                <w:szCs w:val="18"/>
              </w:rPr>
              <w:t>50.494.803.258</w:t>
            </w:r>
          </w:p>
        </w:tc>
        <w:tc>
          <w:tcPr>
            <w:tcW w:w="643" w:type="pct"/>
            <w:vMerge/>
            <w:vAlign w:val="center"/>
            <w:hideMark/>
          </w:tcPr>
          <w:p w14:paraId="7456E9F9" w14:textId="77777777" w:rsidR="00C171B4" w:rsidRPr="00C171B4" w:rsidRDefault="00C171B4" w:rsidP="00AA4BBB">
            <w:pPr>
              <w:rPr>
                <w:rFonts w:cs="Arial"/>
                <w:b/>
                <w:bCs/>
                <w:sz w:val="18"/>
                <w:szCs w:val="18"/>
              </w:rPr>
            </w:pPr>
          </w:p>
        </w:tc>
      </w:tr>
      <w:tr w:rsidR="00C171B4" w:rsidRPr="00C171B4" w14:paraId="555C3544" w14:textId="77777777" w:rsidTr="00C171B4">
        <w:tc>
          <w:tcPr>
            <w:tcW w:w="1667" w:type="pct"/>
            <w:vMerge w:val="restart"/>
            <w:tcMar>
              <w:top w:w="30" w:type="dxa"/>
              <w:left w:w="45" w:type="dxa"/>
              <w:bottom w:w="30" w:type="dxa"/>
              <w:right w:w="45" w:type="dxa"/>
            </w:tcMar>
            <w:vAlign w:val="center"/>
            <w:hideMark/>
          </w:tcPr>
          <w:p w14:paraId="4BD47A0F" w14:textId="77777777" w:rsidR="00C171B4" w:rsidRPr="00C171B4" w:rsidRDefault="00C171B4" w:rsidP="00AA4BBB">
            <w:pPr>
              <w:rPr>
                <w:rFonts w:cs="Arial"/>
                <w:sz w:val="18"/>
                <w:szCs w:val="18"/>
              </w:rPr>
            </w:pPr>
            <w:r w:rsidRPr="00C171B4">
              <w:rPr>
                <w:rFonts w:cs="Arial"/>
                <w:sz w:val="18"/>
                <w:szCs w:val="18"/>
              </w:rPr>
              <w:t xml:space="preserve">Lograr 62.500 certificaciones en formación para el trabajo y/o competencias en habilidades laborales específicas de acuerdo con la dinámica del mercado </w:t>
            </w:r>
            <w:r w:rsidRPr="00C171B4">
              <w:rPr>
                <w:rFonts w:cs="Arial"/>
                <w:sz w:val="18"/>
                <w:szCs w:val="18"/>
              </w:rPr>
              <w:lastRenderedPageBreak/>
              <w:t>laboral y las necesidades para el cierre de brechas de talento humano</w:t>
            </w:r>
          </w:p>
        </w:tc>
        <w:tc>
          <w:tcPr>
            <w:tcW w:w="672" w:type="pct"/>
            <w:tcMar>
              <w:top w:w="30" w:type="dxa"/>
              <w:left w:w="45" w:type="dxa"/>
              <w:bottom w:w="30" w:type="dxa"/>
              <w:right w:w="45" w:type="dxa"/>
            </w:tcMar>
            <w:vAlign w:val="center"/>
            <w:hideMark/>
          </w:tcPr>
          <w:p w14:paraId="315B6046" w14:textId="77777777" w:rsidR="00C171B4" w:rsidRPr="00C171B4" w:rsidRDefault="00C171B4" w:rsidP="00AA4BBB">
            <w:pPr>
              <w:jc w:val="center"/>
              <w:rPr>
                <w:rFonts w:cs="Arial"/>
                <w:sz w:val="18"/>
                <w:szCs w:val="18"/>
              </w:rPr>
            </w:pPr>
            <w:r w:rsidRPr="00C171B4">
              <w:rPr>
                <w:rFonts w:cs="Arial"/>
                <w:sz w:val="18"/>
                <w:szCs w:val="18"/>
              </w:rPr>
              <w:lastRenderedPageBreak/>
              <w:t>6.910</w:t>
            </w:r>
          </w:p>
        </w:tc>
        <w:tc>
          <w:tcPr>
            <w:tcW w:w="668" w:type="pct"/>
            <w:tcMar>
              <w:top w:w="30" w:type="dxa"/>
              <w:left w:w="45" w:type="dxa"/>
              <w:bottom w:w="30" w:type="dxa"/>
              <w:right w:w="45" w:type="dxa"/>
            </w:tcMar>
            <w:vAlign w:val="center"/>
            <w:hideMark/>
          </w:tcPr>
          <w:p w14:paraId="19893A91" w14:textId="77777777" w:rsidR="00C171B4" w:rsidRPr="00C171B4" w:rsidRDefault="00C171B4" w:rsidP="00AA4BBB">
            <w:pPr>
              <w:jc w:val="center"/>
              <w:rPr>
                <w:rFonts w:cs="Arial"/>
                <w:sz w:val="18"/>
                <w:szCs w:val="18"/>
              </w:rPr>
            </w:pPr>
            <w:r w:rsidRPr="00C171B4">
              <w:rPr>
                <w:rFonts w:cs="Arial"/>
                <w:sz w:val="18"/>
                <w:szCs w:val="18"/>
              </w:rPr>
              <w:t>17.129</w:t>
            </w:r>
          </w:p>
        </w:tc>
        <w:tc>
          <w:tcPr>
            <w:tcW w:w="675" w:type="pct"/>
            <w:tcMar>
              <w:top w:w="30" w:type="dxa"/>
              <w:left w:w="45" w:type="dxa"/>
              <w:bottom w:w="30" w:type="dxa"/>
              <w:right w:w="45" w:type="dxa"/>
            </w:tcMar>
            <w:vAlign w:val="center"/>
            <w:hideMark/>
          </w:tcPr>
          <w:p w14:paraId="40989E0C" w14:textId="77777777" w:rsidR="00C171B4" w:rsidRPr="00C171B4" w:rsidRDefault="00C171B4" w:rsidP="00AA4BBB">
            <w:pPr>
              <w:jc w:val="center"/>
              <w:rPr>
                <w:rFonts w:cs="Arial"/>
                <w:sz w:val="18"/>
                <w:szCs w:val="18"/>
              </w:rPr>
            </w:pPr>
            <w:r w:rsidRPr="00C171B4">
              <w:rPr>
                <w:rFonts w:cs="Arial"/>
                <w:sz w:val="18"/>
                <w:szCs w:val="18"/>
              </w:rPr>
              <w:t>18.788</w:t>
            </w:r>
          </w:p>
        </w:tc>
        <w:tc>
          <w:tcPr>
            <w:tcW w:w="674" w:type="pct"/>
            <w:tcMar>
              <w:top w:w="30" w:type="dxa"/>
              <w:left w:w="45" w:type="dxa"/>
              <w:bottom w:w="30" w:type="dxa"/>
              <w:right w:w="45" w:type="dxa"/>
            </w:tcMar>
            <w:vAlign w:val="center"/>
            <w:hideMark/>
          </w:tcPr>
          <w:p w14:paraId="39F4163D" w14:textId="77777777" w:rsidR="00C171B4" w:rsidRPr="00C171B4" w:rsidRDefault="00C171B4" w:rsidP="00AA4BBB">
            <w:pPr>
              <w:jc w:val="center"/>
              <w:rPr>
                <w:rFonts w:cs="Arial"/>
                <w:sz w:val="18"/>
                <w:szCs w:val="18"/>
              </w:rPr>
            </w:pPr>
            <w:r w:rsidRPr="00C171B4">
              <w:rPr>
                <w:rFonts w:cs="Arial"/>
                <w:sz w:val="18"/>
                <w:szCs w:val="18"/>
              </w:rPr>
              <w:t>19.673</w:t>
            </w:r>
          </w:p>
        </w:tc>
        <w:tc>
          <w:tcPr>
            <w:tcW w:w="643" w:type="pct"/>
            <w:vMerge w:val="restart"/>
            <w:tcMar>
              <w:top w:w="30" w:type="dxa"/>
              <w:left w:w="45" w:type="dxa"/>
              <w:bottom w:w="30" w:type="dxa"/>
              <w:right w:w="45" w:type="dxa"/>
            </w:tcMar>
            <w:vAlign w:val="center"/>
            <w:hideMark/>
          </w:tcPr>
          <w:p w14:paraId="640600DE" w14:textId="77777777" w:rsidR="00C171B4" w:rsidRPr="00C171B4" w:rsidRDefault="00C171B4" w:rsidP="00AA4BBB">
            <w:pPr>
              <w:jc w:val="center"/>
              <w:rPr>
                <w:rFonts w:cs="Arial"/>
                <w:b/>
                <w:bCs/>
                <w:sz w:val="18"/>
                <w:szCs w:val="18"/>
              </w:rPr>
            </w:pPr>
            <w:r w:rsidRPr="00C171B4">
              <w:rPr>
                <w:rFonts w:cs="Arial"/>
                <w:b/>
                <w:bCs/>
                <w:sz w:val="18"/>
                <w:szCs w:val="18"/>
              </w:rPr>
              <w:t>85.725.850.841</w:t>
            </w:r>
          </w:p>
        </w:tc>
      </w:tr>
      <w:tr w:rsidR="00C171B4" w:rsidRPr="00C171B4" w14:paraId="1619E2B5" w14:textId="77777777" w:rsidTr="00C171B4">
        <w:tc>
          <w:tcPr>
            <w:tcW w:w="1667" w:type="pct"/>
            <w:vMerge/>
            <w:tcBorders>
              <w:bottom w:val="double" w:sz="4" w:space="0" w:color="C00000"/>
            </w:tcBorders>
            <w:vAlign w:val="center"/>
            <w:hideMark/>
          </w:tcPr>
          <w:p w14:paraId="4D744BC4" w14:textId="77777777" w:rsidR="00C171B4" w:rsidRPr="00C171B4" w:rsidRDefault="00C171B4" w:rsidP="00AA4BBB">
            <w:pPr>
              <w:rPr>
                <w:rFonts w:cs="Arial"/>
                <w:sz w:val="18"/>
                <w:szCs w:val="18"/>
              </w:rPr>
            </w:pPr>
          </w:p>
        </w:tc>
        <w:tc>
          <w:tcPr>
            <w:tcW w:w="672" w:type="pct"/>
            <w:tcMar>
              <w:top w:w="30" w:type="dxa"/>
              <w:left w:w="45" w:type="dxa"/>
              <w:bottom w:w="30" w:type="dxa"/>
              <w:right w:w="45" w:type="dxa"/>
            </w:tcMar>
            <w:vAlign w:val="center"/>
            <w:hideMark/>
          </w:tcPr>
          <w:p w14:paraId="018B84C9" w14:textId="77777777" w:rsidR="00C171B4" w:rsidRPr="00C171B4" w:rsidRDefault="00C171B4" w:rsidP="00AA4BBB">
            <w:pPr>
              <w:jc w:val="center"/>
              <w:rPr>
                <w:rFonts w:cs="Arial"/>
                <w:sz w:val="18"/>
                <w:szCs w:val="18"/>
              </w:rPr>
            </w:pPr>
            <w:r w:rsidRPr="00C171B4">
              <w:rPr>
                <w:rFonts w:cs="Arial"/>
                <w:sz w:val="18"/>
                <w:szCs w:val="18"/>
              </w:rPr>
              <w:t>1.993.795.001</w:t>
            </w:r>
          </w:p>
        </w:tc>
        <w:tc>
          <w:tcPr>
            <w:tcW w:w="668" w:type="pct"/>
            <w:tcMar>
              <w:top w:w="30" w:type="dxa"/>
              <w:left w:w="45" w:type="dxa"/>
              <w:bottom w:w="30" w:type="dxa"/>
              <w:right w:w="45" w:type="dxa"/>
            </w:tcMar>
            <w:vAlign w:val="center"/>
            <w:hideMark/>
          </w:tcPr>
          <w:p w14:paraId="6071B9AE" w14:textId="77777777" w:rsidR="00C171B4" w:rsidRPr="00C171B4" w:rsidRDefault="00C171B4" w:rsidP="00AA4BBB">
            <w:pPr>
              <w:jc w:val="center"/>
              <w:rPr>
                <w:rFonts w:cs="Arial"/>
                <w:sz w:val="18"/>
                <w:szCs w:val="18"/>
              </w:rPr>
            </w:pPr>
            <w:r w:rsidRPr="00C171B4">
              <w:rPr>
                <w:rFonts w:cs="Arial"/>
                <w:sz w:val="18"/>
                <w:szCs w:val="18"/>
              </w:rPr>
              <w:t>25.580.002.136</w:t>
            </w:r>
          </w:p>
        </w:tc>
        <w:tc>
          <w:tcPr>
            <w:tcW w:w="675" w:type="pct"/>
            <w:tcMar>
              <w:top w:w="30" w:type="dxa"/>
              <w:left w:w="45" w:type="dxa"/>
              <w:bottom w:w="30" w:type="dxa"/>
              <w:right w:w="45" w:type="dxa"/>
            </w:tcMar>
            <w:vAlign w:val="center"/>
            <w:hideMark/>
          </w:tcPr>
          <w:p w14:paraId="05ED3DEE" w14:textId="77777777" w:rsidR="00C171B4" w:rsidRPr="00C171B4" w:rsidRDefault="00C171B4" w:rsidP="00AA4BBB">
            <w:pPr>
              <w:jc w:val="center"/>
              <w:rPr>
                <w:rFonts w:cs="Arial"/>
                <w:sz w:val="18"/>
                <w:szCs w:val="18"/>
              </w:rPr>
            </w:pPr>
            <w:r w:rsidRPr="00C171B4">
              <w:rPr>
                <w:rFonts w:cs="Arial"/>
                <w:sz w:val="18"/>
                <w:szCs w:val="18"/>
              </w:rPr>
              <w:t>28.390.632.086</w:t>
            </w:r>
          </w:p>
        </w:tc>
        <w:tc>
          <w:tcPr>
            <w:tcW w:w="674" w:type="pct"/>
            <w:tcMar>
              <w:top w:w="30" w:type="dxa"/>
              <w:left w:w="45" w:type="dxa"/>
              <w:bottom w:w="30" w:type="dxa"/>
              <w:right w:w="45" w:type="dxa"/>
            </w:tcMar>
            <w:vAlign w:val="center"/>
            <w:hideMark/>
          </w:tcPr>
          <w:p w14:paraId="796D79BF" w14:textId="77777777" w:rsidR="00C171B4" w:rsidRPr="00C171B4" w:rsidRDefault="00C171B4" w:rsidP="00AA4BBB">
            <w:pPr>
              <w:jc w:val="center"/>
              <w:rPr>
                <w:rFonts w:cs="Arial"/>
                <w:sz w:val="18"/>
                <w:szCs w:val="18"/>
              </w:rPr>
            </w:pPr>
            <w:r w:rsidRPr="00C171B4">
              <w:rPr>
                <w:rFonts w:cs="Arial"/>
                <w:sz w:val="18"/>
                <w:szCs w:val="18"/>
              </w:rPr>
              <w:t>29.761.421.618</w:t>
            </w:r>
          </w:p>
        </w:tc>
        <w:tc>
          <w:tcPr>
            <w:tcW w:w="643" w:type="pct"/>
            <w:vMerge/>
            <w:vAlign w:val="center"/>
            <w:hideMark/>
          </w:tcPr>
          <w:p w14:paraId="77E48D9E" w14:textId="77777777" w:rsidR="00C171B4" w:rsidRPr="00C171B4" w:rsidRDefault="00C171B4" w:rsidP="00AA4BBB">
            <w:pPr>
              <w:rPr>
                <w:rFonts w:cs="Arial"/>
                <w:b/>
                <w:bCs/>
                <w:sz w:val="18"/>
                <w:szCs w:val="18"/>
              </w:rPr>
            </w:pPr>
          </w:p>
        </w:tc>
      </w:tr>
      <w:tr w:rsidR="00C171B4" w:rsidRPr="00C171B4" w14:paraId="6BAD3D21" w14:textId="77777777" w:rsidTr="00C171B4">
        <w:tc>
          <w:tcPr>
            <w:tcW w:w="1667"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7A1AFA6A" w14:textId="77777777" w:rsidR="00C171B4" w:rsidRPr="00C171B4" w:rsidRDefault="00C171B4" w:rsidP="00AA4BBB">
            <w:pPr>
              <w:rPr>
                <w:rFonts w:cs="Arial"/>
                <w:sz w:val="18"/>
                <w:szCs w:val="18"/>
              </w:rPr>
            </w:pPr>
            <w:r w:rsidRPr="00C171B4">
              <w:rPr>
                <w:rFonts w:cs="Arial"/>
                <w:sz w:val="18"/>
                <w:szCs w:val="18"/>
              </w:rPr>
              <w:t>Vincular 1.200 empresas en procesos de conexión a mercados locales regionales nacionales o internacionales</w:t>
            </w:r>
          </w:p>
        </w:tc>
        <w:tc>
          <w:tcPr>
            <w:tcW w:w="672" w:type="pct"/>
            <w:tcMar>
              <w:top w:w="30" w:type="dxa"/>
              <w:left w:w="45" w:type="dxa"/>
              <w:bottom w:w="30" w:type="dxa"/>
              <w:right w:w="45" w:type="dxa"/>
            </w:tcMar>
            <w:vAlign w:val="center"/>
            <w:hideMark/>
          </w:tcPr>
          <w:p w14:paraId="7805AB57" w14:textId="77777777" w:rsidR="00C171B4" w:rsidRPr="00C171B4" w:rsidRDefault="00C171B4" w:rsidP="00AA4BBB">
            <w:pPr>
              <w:jc w:val="center"/>
              <w:rPr>
                <w:rFonts w:cs="Arial"/>
                <w:sz w:val="18"/>
                <w:szCs w:val="18"/>
              </w:rPr>
            </w:pPr>
            <w:r w:rsidRPr="00C171B4">
              <w:rPr>
                <w:rFonts w:cs="Arial"/>
                <w:sz w:val="18"/>
                <w:szCs w:val="18"/>
              </w:rPr>
              <w:t>96</w:t>
            </w:r>
          </w:p>
        </w:tc>
        <w:tc>
          <w:tcPr>
            <w:tcW w:w="668" w:type="pct"/>
            <w:tcMar>
              <w:top w:w="30" w:type="dxa"/>
              <w:left w:w="45" w:type="dxa"/>
              <w:bottom w:w="30" w:type="dxa"/>
              <w:right w:w="45" w:type="dxa"/>
            </w:tcMar>
            <w:vAlign w:val="center"/>
            <w:hideMark/>
          </w:tcPr>
          <w:p w14:paraId="0C8B2C1C" w14:textId="77777777" w:rsidR="00C171B4" w:rsidRPr="00C171B4" w:rsidRDefault="00C171B4" w:rsidP="00AA4BBB">
            <w:pPr>
              <w:jc w:val="center"/>
              <w:rPr>
                <w:rFonts w:cs="Arial"/>
                <w:sz w:val="18"/>
                <w:szCs w:val="18"/>
              </w:rPr>
            </w:pPr>
            <w:r w:rsidRPr="00C171B4">
              <w:rPr>
                <w:rFonts w:cs="Arial"/>
                <w:sz w:val="18"/>
                <w:szCs w:val="18"/>
              </w:rPr>
              <w:t>395</w:t>
            </w:r>
          </w:p>
        </w:tc>
        <w:tc>
          <w:tcPr>
            <w:tcW w:w="675" w:type="pct"/>
            <w:tcMar>
              <w:top w:w="30" w:type="dxa"/>
              <w:left w:w="45" w:type="dxa"/>
              <w:bottom w:w="30" w:type="dxa"/>
              <w:right w:w="45" w:type="dxa"/>
            </w:tcMar>
            <w:vAlign w:val="center"/>
            <w:hideMark/>
          </w:tcPr>
          <w:p w14:paraId="5227D941" w14:textId="77777777" w:rsidR="00C171B4" w:rsidRPr="00C171B4" w:rsidRDefault="00C171B4" w:rsidP="00AA4BBB">
            <w:pPr>
              <w:jc w:val="center"/>
              <w:rPr>
                <w:rFonts w:cs="Arial"/>
                <w:sz w:val="18"/>
                <w:szCs w:val="18"/>
              </w:rPr>
            </w:pPr>
            <w:r w:rsidRPr="00C171B4">
              <w:rPr>
                <w:rFonts w:cs="Arial"/>
                <w:sz w:val="18"/>
                <w:szCs w:val="18"/>
              </w:rPr>
              <w:t>389</w:t>
            </w:r>
          </w:p>
        </w:tc>
        <w:tc>
          <w:tcPr>
            <w:tcW w:w="674" w:type="pct"/>
            <w:tcMar>
              <w:top w:w="30" w:type="dxa"/>
              <w:left w:w="45" w:type="dxa"/>
              <w:bottom w:w="30" w:type="dxa"/>
              <w:right w:w="45" w:type="dxa"/>
            </w:tcMar>
            <w:vAlign w:val="center"/>
            <w:hideMark/>
          </w:tcPr>
          <w:p w14:paraId="5DC67D76" w14:textId="77777777" w:rsidR="00C171B4" w:rsidRPr="00C171B4" w:rsidRDefault="00C171B4" w:rsidP="00AA4BBB">
            <w:pPr>
              <w:jc w:val="center"/>
              <w:rPr>
                <w:rFonts w:cs="Arial"/>
                <w:sz w:val="18"/>
                <w:szCs w:val="18"/>
              </w:rPr>
            </w:pPr>
            <w:r w:rsidRPr="00C171B4">
              <w:rPr>
                <w:rFonts w:cs="Arial"/>
                <w:sz w:val="18"/>
                <w:szCs w:val="18"/>
              </w:rPr>
              <w:t>320</w:t>
            </w:r>
          </w:p>
        </w:tc>
        <w:tc>
          <w:tcPr>
            <w:tcW w:w="643" w:type="pct"/>
            <w:vMerge w:val="restart"/>
            <w:tcMar>
              <w:top w:w="30" w:type="dxa"/>
              <w:left w:w="45" w:type="dxa"/>
              <w:bottom w:w="30" w:type="dxa"/>
              <w:right w:w="45" w:type="dxa"/>
            </w:tcMar>
            <w:vAlign w:val="center"/>
            <w:hideMark/>
          </w:tcPr>
          <w:p w14:paraId="22C7F275" w14:textId="77777777" w:rsidR="00C171B4" w:rsidRPr="00C171B4" w:rsidRDefault="00C171B4" w:rsidP="00AA4BBB">
            <w:pPr>
              <w:jc w:val="center"/>
              <w:rPr>
                <w:rFonts w:cs="Arial"/>
                <w:b/>
                <w:bCs/>
                <w:sz w:val="18"/>
                <w:szCs w:val="18"/>
              </w:rPr>
            </w:pPr>
            <w:r w:rsidRPr="00C171B4">
              <w:rPr>
                <w:rFonts w:cs="Arial"/>
                <w:b/>
                <w:bCs/>
                <w:sz w:val="18"/>
                <w:szCs w:val="18"/>
              </w:rPr>
              <w:t>10.006.012.843</w:t>
            </w:r>
          </w:p>
        </w:tc>
      </w:tr>
      <w:tr w:rsidR="00C171B4" w:rsidRPr="00C171B4" w14:paraId="374F9383" w14:textId="77777777" w:rsidTr="00C171B4">
        <w:tc>
          <w:tcPr>
            <w:tcW w:w="1667" w:type="pct"/>
            <w:vMerge/>
            <w:tcBorders>
              <w:top w:val="nil"/>
              <w:bottom w:val="double" w:sz="4" w:space="0" w:color="C00000"/>
            </w:tcBorders>
            <w:vAlign w:val="center"/>
            <w:hideMark/>
          </w:tcPr>
          <w:p w14:paraId="700F17E4" w14:textId="77777777" w:rsidR="00C171B4" w:rsidRPr="00C171B4" w:rsidRDefault="00C171B4" w:rsidP="00AA4BBB">
            <w:pPr>
              <w:rPr>
                <w:rFonts w:cs="Arial"/>
                <w:sz w:val="18"/>
                <w:szCs w:val="18"/>
              </w:rPr>
            </w:pPr>
          </w:p>
        </w:tc>
        <w:tc>
          <w:tcPr>
            <w:tcW w:w="672" w:type="pct"/>
            <w:tcBorders>
              <w:bottom w:val="double" w:sz="4" w:space="0" w:color="C00000"/>
            </w:tcBorders>
            <w:tcMar>
              <w:top w:w="30" w:type="dxa"/>
              <w:left w:w="45" w:type="dxa"/>
              <w:bottom w:w="30" w:type="dxa"/>
              <w:right w:w="45" w:type="dxa"/>
            </w:tcMar>
            <w:vAlign w:val="center"/>
            <w:hideMark/>
          </w:tcPr>
          <w:p w14:paraId="0E147E3E" w14:textId="77777777" w:rsidR="00C171B4" w:rsidRPr="00C171B4" w:rsidRDefault="00C171B4" w:rsidP="00AA4BBB">
            <w:pPr>
              <w:jc w:val="center"/>
              <w:rPr>
                <w:rFonts w:cs="Arial"/>
                <w:sz w:val="18"/>
                <w:szCs w:val="18"/>
              </w:rPr>
            </w:pPr>
            <w:r w:rsidRPr="00C171B4">
              <w:rPr>
                <w:rFonts w:cs="Arial"/>
                <w:sz w:val="18"/>
                <w:szCs w:val="18"/>
              </w:rPr>
              <w:t>1.558.574.834</w:t>
            </w:r>
          </w:p>
        </w:tc>
        <w:tc>
          <w:tcPr>
            <w:tcW w:w="668" w:type="pct"/>
            <w:tcBorders>
              <w:bottom w:val="double" w:sz="4" w:space="0" w:color="C00000"/>
            </w:tcBorders>
            <w:tcMar>
              <w:top w:w="30" w:type="dxa"/>
              <w:left w:w="45" w:type="dxa"/>
              <w:bottom w:w="30" w:type="dxa"/>
              <w:right w:w="45" w:type="dxa"/>
            </w:tcMar>
            <w:vAlign w:val="center"/>
            <w:hideMark/>
          </w:tcPr>
          <w:p w14:paraId="433BC01A" w14:textId="77777777" w:rsidR="00C171B4" w:rsidRPr="00C171B4" w:rsidRDefault="00C171B4" w:rsidP="00AA4BBB">
            <w:pPr>
              <w:jc w:val="center"/>
              <w:rPr>
                <w:rFonts w:cs="Arial"/>
                <w:sz w:val="18"/>
                <w:szCs w:val="18"/>
              </w:rPr>
            </w:pPr>
            <w:r w:rsidRPr="00C171B4">
              <w:rPr>
                <w:rFonts w:cs="Arial"/>
                <w:sz w:val="18"/>
                <w:szCs w:val="18"/>
              </w:rPr>
              <w:t>3.105.343.773</w:t>
            </w:r>
          </w:p>
        </w:tc>
        <w:tc>
          <w:tcPr>
            <w:tcW w:w="675" w:type="pct"/>
            <w:tcBorders>
              <w:bottom w:val="double" w:sz="4" w:space="0" w:color="C00000"/>
            </w:tcBorders>
            <w:tcMar>
              <w:top w:w="30" w:type="dxa"/>
              <w:left w:w="45" w:type="dxa"/>
              <w:bottom w:w="30" w:type="dxa"/>
              <w:right w:w="45" w:type="dxa"/>
            </w:tcMar>
            <w:vAlign w:val="center"/>
            <w:hideMark/>
          </w:tcPr>
          <w:p w14:paraId="66458C65" w14:textId="77777777" w:rsidR="00C171B4" w:rsidRPr="00C171B4" w:rsidRDefault="00C171B4" w:rsidP="00AA4BBB">
            <w:pPr>
              <w:jc w:val="center"/>
              <w:rPr>
                <w:rFonts w:cs="Arial"/>
                <w:sz w:val="18"/>
                <w:szCs w:val="18"/>
              </w:rPr>
            </w:pPr>
            <w:r w:rsidRPr="00C171B4">
              <w:rPr>
                <w:rFonts w:cs="Arial"/>
                <w:sz w:val="18"/>
                <w:szCs w:val="18"/>
              </w:rPr>
              <w:t>2.970.104.896</w:t>
            </w:r>
          </w:p>
        </w:tc>
        <w:tc>
          <w:tcPr>
            <w:tcW w:w="674" w:type="pct"/>
            <w:tcBorders>
              <w:bottom w:val="double" w:sz="4" w:space="0" w:color="C00000"/>
            </w:tcBorders>
            <w:tcMar>
              <w:top w:w="30" w:type="dxa"/>
              <w:left w:w="45" w:type="dxa"/>
              <w:bottom w:w="30" w:type="dxa"/>
              <w:right w:w="45" w:type="dxa"/>
            </w:tcMar>
            <w:vAlign w:val="center"/>
            <w:hideMark/>
          </w:tcPr>
          <w:p w14:paraId="1527EE90" w14:textId="77777777" w:rsidR="00C171B4" w:rsidRPr="00C171B4" w:rsidRDefault="00C171B4" w:rsidP="00AA4BBB">
            <w:pPr>
              <w:jc w:val="center"/>
              <w:rPr>
                <w:rFonts w:cs="Arial"/>
                <w:sz w:val="18"/>
                <w:szCs w:val="18"/>
              </w:rPr>
            </w:pPr>
            <w:r w:rsidRPr="00C171B4">
              <w:rPr>
                <w:rFonts w:cs="Arial"/>
                <w:sz w:val="18"/>
                <w:szCs w:val="18"/>
              </w:rPr>
              <w:t>2.371.989.340</w:t>
            </w:r>
          </w:p>
        </w:tc>
        <w:tc>
          <w:tcPr>
            <w:tcW w:w="643" w:type="pct"/>
            <w:vMerge/>
            <w:tcBorders>
              <w:bottom w:val="double" w:sz="4" w:space="0" w:color="C00000"/>
            </w:tcBorders>
            <w:vAlign w:val="center"/>
            <w:hideMark/>
          </w:tcPr>
          <w:p w14:paraId="37F7C50F" w14:textId="77777777" w:rsidR="00C171B4" w:rsidRPr="00C171B4" w:rsidRDefault="00C171B4" w:rsidP="00AA4BBB">
            <w:pPr>
              <w:rPr>
                <w:rFonts w:cs="Arial"/>
                <w:b/>
                <w:bCs/>
                <w:sz w:val="18"/>
                <w:szCs w:val="18"/>
              </w:rPr>
            </w:pPr>
          </w:p>
        </w:tc>
      </w:tr>
    </w:tbl>
    <w:p w14:paraId="6F9C83BF"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3CB7A3A"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359F132" w14:textId="77777777" w:rsidR="003A3F84" w:rsidRDefault="003A3F84" w:rsidP="00CB6AEC">
      <w:pPr>
        <w:keepNext/>
        <w:keepLines/>
        <w:numPr>
          <w:ilvl w:val="1"/>
          <w:numId w:val="37"/>
        </w:numPr>
        <w:pBdr>
          <w:top w:val="nil"/>
          <w:left w:val="nil"/>
          <w:bottom w:val="nil"/>
          <w:right w:val="nil"/>
          <w:between w:val="nil"/>
        </w:pBdr>
        <w:spacing w:line="340" w:lineRule="auto"/>
        <w:ind w:left="0" w:firstLine="680"/>
        <w:jc w:val="left"/>
        <w:rPr>
          <w:b/>
          <w:color w:val="3B3838"/>
          <w:sz w:val="28"/>
          <w:szCs w:val="28"/>
        </w:rPr>
      </w:pPr>
      <w:bookmarkStart w:id="328" w:name="_heading=h.99rhpc5cbfhc" w:colFirst="0" w:colLast="0"/>
      <w:bookmarkEnd w:id="328"/>
      <w:r>
        <w:rPr>
          <w:b/>
          <w:color w:val="3B3838"/>
          <w:sz w:val="28"/>
          <w:szCs w:val="28"/>
        </w:rPr>
        <w:br w:type="page"/>
      </w:r>
    </w:p>
    <w:p w14:paraId="402DF2FA" w14:textId="1D129B67" w:rsidR="00FA4F64" w:rsidRDefault="00FA4F64" w:rsidP="00C171B4">
      <w:pPr>
        <w:pStyle w:val="NIVEL4"/>
        <w:rPr>
          <w:color w:val="3B3838"/>
        </w:rPr>
      </w:pPr>
      <w:bookmarkStart w:id="329" w:name="_Toc165169782"/>
      <w:r w:rsidRPr="003A3F84">
        <w:rPr>
          <w:color w:val="C00000"/>
        </w:rPr>
        <w:lastRenderedPageBreak/>
        <w:t>Programa 20</w:t>
      </w:r>
      <w:r>
        <w:rPr>
          <w:color w:val="3B3838"/>
        </w:rPr>
        <w:t xml:space="preserve">: </w:t>
      </w:r>
      <w:r>
        <w:t>Promoción del emprendimiento formal, equitativo e incluyente</w:t>
      </w:r>
      <w:bookmarkEnd w:id="329"/>
    </w:p>
    <w:p w14:paraId="3DCF44C6" w14:textId="77777777" w:rsidR="00FA4F64" w:rsidRDefault="00FA4F64" w:rsidP="00E05195">
      <w:pPr>
        <w:rPr>
          <w:color w:val="3B3838"/>
        </w:rPr>
      </w:pPr>
    </w:p>
    <w:p w14:paraId="538E459B" w14:textId="77777777" w:rsidR="00FA4F64" w:rsidRPr="00E05195" w:rsidRDefault="00FA4F64" w:rsidP="00E05195">
      <w:pPr>
        <w:ind w:firstLine="708"/>
        <w:rPr>
          <w:b/>
          <w:bCs/>
          <w:sz w:val="24"/>
        </w:rPr>
        <w:sectPr w:rsidR="00FA4F64" w:rsidRPr="00E05195" w:rsidSect="00F7078E">
          <w:type w:val="continuous"/>
          <w:pgSz w:w="12240" w:h="15840"/>
          <w:pgMar w:top="2262" w:right="1440" w:bottom="1440" w:left="1440" w:header="708" w:footer="708" w:gutter="0"/>
          <w:cols w:space="720"/>
        </w:sectPr>
      </w:pPr>
      <w:r w:rsidRPr="00E05195">
        <w:rPr>
          <w:b/>
          <w:bCs/>
          <w:sz w:val="24"/>
        </w:rPr>
        <w:t>Diagnóstico</w:t>
      </w:r>
    </w:p>
    <w:p w14:paraId="141137CF" w14:textId="77777777" w:rsidR="00FA4F64" w:rsidRDefault="00FA4F64" w:rsidP="00FA4F64">
      <w:r>
        <w:t>Fomentar un ecosistema emprendedor vibrante es esencial para implementar políticas que faciliten la creación y crecimiento de las ideas de negocio, proporcionando incentivos, acceso a financiamiento y asesoramiento técnico que conduzcan a la generación de nuevas empresas y el fortalecimiento de la base empresarial de Bogotá.</w:t>
      </w:r>
    </w:p>
    <w:p w14:paraId="7396B446" w14:textId="77777777" w:rsidR="00FA4F64" w:rsidRDefault="00FA4F64" w:rsidP="00FA4F64"/>
    <w:p w14:paraId="778EC47B" w14:textId="77777777" w:rsidR="00FA4F64" w:rsidRDefault="00FA4F64" w:rsidP="00FA4F64">
      <w:r>
        <w:t>El emprendimiento surge como una necesidad de generación de ingresos que puede tener una etapa inicial en la informalidad. Con respecto al componente de informalidad, según la Gran Encuesta Integrada de Hogares (DANE) el porcentaje de población informal para el periodo – noviembre de 2023 fue del 32,83 % en Bogotá, evidenciando la magnitud de la situación y los efectos que puede tener sobre el desarrollo de actividades económicas, algunas asociadas a la ocupación del espacio público.</w:t>
      </w:r>
    </w:p>
    <w:p w14:paraId="3B14A7FB" w14:textId="77777777" w:rsidR="00FA4F64" w:rsidRDefault="00FA4F64" w:rsidP="00FA4F64"/>
    <w:p w14:paraId="227D276B" w14:textId="77777777" w:rsidR="00FA4F64" w:rsidRDefault="00FA4F64" w:rsidP="00FA4F64">
      <w:r>
        <w:t>Según el Estudio de percepción realizado sobre el Bronx Distrito Creativo (BDC) en 2022, el 77% de las personas encuestadas conocen o han escuchado hablar sobre el BDC, el 98% de las personas consideran que las actividades artísticas y de emprendimiento que se realizan promueven el arte, el 94% opina que embellecen el sector y la ciudad, el 93% expresa que incentivan el orgullo por la ciudad, y el 98% lo volvería a visitar.</w:t>
      </w:r>
    </w:p>
    <w:p w14:paraId="365E088A" w14:textId="77777777" w:rsidR="00FA4F64" w:rsidRDefault="00FA4F64" w:rsidP="00FA4F64"/>
    <w:p w14:paraId="507A79B6" w14:textId="77777777" w:rsidR="00FA4F64" w:rsidRDefault="00FA4F64" w:rsidP="00FA4F64">
      <w:r>
        <w:t>La informalidad en Bogotá tiene un componente territorial —urbano y rural—, además de un componente de género y poblacional, que afecta tanto a las mujeres como a ciertos grupos de manera diferencial.</w:t>
      </w:r>
    </w:p>
    <w:p w14:paraId="059C2452" w14:textId="77777777" w:rsidR="00FA4F64" w:rsidRDefault="00FA4F64" w:rsidP="00FA4F64"/>
    <w:p w14:paraId="522A122A" w14:textId="77777777" w:rsidR="00FA4F64" w:rsidRDefault="00FA4F64" w:rsidP="00FA4F64">
      <w:r>
        <w:t xml:space="preserve">En el componente territorial urbano, según la Secretaría de Desarrollo Económico en el 2022 identificó la informalidad en 7 de los corazones productivos de Bogotá. Se estimó una tasa de informalidad del 27,3 % en estos espacios, que varía entre 21,2 % (Siete de Agosto) y 43,5 % </w:t>
      </w:r>
      <w:r>
        <w:t xml:space="preserve">(Ricaurte); en industria diversificada en el Doce de Octubre el 37,4 %; en las industrias culturales de la Estrada el 28 %; en gastronomía en San Felipe el 27 %; en manufacturas, zapatos y cueros en Retrepo-La Valvanera 26,9 %; en joyeros en La Candelaria, 24,8 %; en </w:t>
      </w:r>
      <w:r>
        <w:rPr>
          <w:i/>
        </w:rPr>
        <w:t>software</w:t>
      </w:r>
      <w:r>
        <w:t xml:space="preserve"> en el Chicó 24 %, y en Venecia-Alquería 21,4 %. Lo anterior, evidencia concentración en servicios y comercio con baja participación en la industria.</w:t>
      </w:r>
    </w:p>
    <w:p w14:paraId="3307ADD3" w14:textId="77777777" w:rsidR="00FA4F64" w:rsidRDefault="00FA4F64" w:rsidP="00FA4F64"/>
    <w:p w14:paraId="48A445F4" w14:textId="77777777" w:rsidR="00FA4F64" w:rsidRDefault="00FA4F64" w:rsidP="00FA4F64">
      <w:r>
        <w:t>En cuanto al componente territorial rural, con base en 1.270 unidades productivas, se identificó la baja capacidad de sostenibilidad de producción, en parte por las escasas oportunidades de acceso a mercados directos y la baja capacidad logística que generan dependencia de intermediarios, lo cual reduce la participación de este eslabón en el valor generado por la cadena productiva que se evidencia en grandes diferencias de ingresos entre lo que recibe el productor en finca y el precio de venta minorista; además, de los riesgos económicos asumidos en su totalidad por las personas campesinas.</w:t>
      </w:r>
    </w:p>
    <w:p w14:paraId="611C745C" w14:textId="77777777" w:rsidR="00FA4F64" w:rsidRDefault="00FA4F64" w:rsidP="00FA4F64"/>
    <w:p w14:paraId="1BA8DBA5" w14:textId="77777777" w:rsidR="00FA4F64" w:rsidRDefault="00FA4F64" w:rsidP="00FA4F64">
      <w:r>
        <w:t>Por su parte, la informalidad en el componente de género reconoció, mediante la Encuesta de Micronegocios por departamento (EMICRON 2022), las diferencias e inequidades por género de propietarios de negocios. De los micronegocios estimados en la ciudad, el 63 % son propiedad de hombres y el 37 % de mujeres, lo que muestra una clara diferencia en la participación emprendedora entre hombres y mujeres. Los negocios de las mujeres están mayoritariamente ubicados en sus viviendas, mientras que los de los hombres están más concentrados en servicios puerta a puerta, ambulantes y vehículos. Por otra parte, se evidencia que las mujeres son más propensas a financiarse con préstamos familiares, iniciar un micronegocio para complementar un ingreso familiar existente y operar sus negocios desde casa.</w:t>
      </w:r>
    </w:p>
    <w:p w14:paraId="37FF03D6" w14:textId="77777777" w:rsidR="00FA4F64" w:rsidRDefault="00FA4F64" w:rsidP="00FA4F64"/>
    <w:p w14:paraId="4D42F9BD" w14:textId="77777777" w:rsidR="00FA4F64" w:rsidRDefault="00FA4F64" w:rsidP="00FA4F64">
      <w:r>
        <w:lastRenderedPageBreak/>
        <w:t>Ahora bien, la informalidad en el componente poblacional, reconoce la exclusión productiva de las personas mayores en Bogotá, la cual está relacionada en un 59 % con la insuficiencia de ingresos (pobreza monetaria) y en un 41 % por las condiciones de acceso a trabajo de calidad, según el informe de identificación de barreras de inclusión social y productiva para la población mayor en Bogotá de 2019.</w:t>
      </w:r>
    </w:p>
    <w:p w14:paraId="1D73AF10" w14:textId="77777777" w:rsidR="00FA4F64" w:rsidRDefault="00FA4F64" w:rsidP="00FA4F64"/>
    <w:p w14:paraId="7A0FC5C3" w14:textId="23BF7BE0" w:rsidR="00FA4F64" w:rsidRDefault="00FA4F64" w:rsidP="00FA4F64">
      <w:r>
        <w:t xml:space="preserve">Respecto a la población joven, se reconoce que entre las prioridades que tienen dentro de los siguientes dos años está la de emprender o tener un negocio propio (44,2 %, entre 18 a 28 años), estudiar o formarse (31,5 %) y tener empleo (19,0 %), de acuerdo con la investigación Cualitativa de Jóvenes con Potencial 2023 de la Cámara de Comercio de Bogotá que abarcó una metodología de trabajo con jóvenes con discapacidad, jóvenes migrantes, jóvenes de los sectores </w:t>
      </w:r>
      <w:r w:rsidR="00D509DE">
        <w:t>LGBTI</w:t>
      </w:r>
      <w:r>
        <w:t>, mujeres jóvenes, jóvenes pertenecientes a grupos étnicos y jóvenes de Sistema de Responsabilidad Penal Adolescente (SRPA) y sistema de protección.</w:t>
      </w:r>
    </w:p>
    <w:p w14:paraId="4A22B895" w14:textId="77777777" w:rsidR="00FA4F64" w:rsidRDefault="00FA4F64" w:rsidP="00FA4F64"/>
    <w:p w14:paraId="311017F4" w14:textId="77777777" w:rsidR="00FA4F64" w:rsidRDefault="00FA4F64" w:rsidP="00FA4F64">
      <w:r>
        <w:t>Por otra parte, en relación con las personas mayores, en Colombia, en 2023, el 14,5 % de la población, equivalente a 7,6 millones de personas, tenía más de 60 años, proporción que se espera que alcance el 25 % (14,9 millones) para 2050. En Bogotá, se estima que 1,2 millones de personas tienen entre 60 y 100 años. Solo 2,31 millones de personas reciben una pensión en Colombia, y es Bogotá la ciudad con mayor número de personas pensionadas con el 28,8 % (665.000). Se estima que el 54 % del total recibe un salario mínimo como mesada. Esto, sumado a la difícil empleabilidad que enfrentan las personas mayores de 50 años, representa una problemática que la Administración debe abordar.</w:t>
      </w:r>
    </w:p>
    <w:p w14:paraId="5173ADBA" w14:textId="77777777" w:rsidR="00FA4F64" w:rsidRDefault="00FA4F64" w:rsidP="00FA4F64"/>
    <w:p w14:paraId="5DDC9A5A" w14:textId="77777777" w:rsidR="00FA4F64" w:rsidRDefault="00FA4F64" w:rsidP="00FA4F64">
      <w:r>
        <w:t xml:space="preserve">En cuanto a los grupos étnicos, con el ejercicio reciente de adopción de las políticas públicas en el 2023, se identificó, con relación a los temas de informalidad y emprendimiento: para las personas indígenas, la necesidad de establecer una </w:t>
      </w:r>
      <w:r>
        <w:t>correlación entre el desarrollo de los sistemas productivos basados en los saberes ancestrales y los planes y programas de índole distrital, como parte del abordaje de su soberanía económica; en el caso de las personas negras, afrocolombianas y palenqueras, recomiendan valorar las barreras de competitividad en el sector productivo con los bienes y servicios que desarrollan los miembros de esta comunidad, así como la necesidad de acceder a capital semilla, apoyo a los emprendimientos y cumplimiento a las exigencias de mercado.</w:t>
      </w:r>
    </w:p>
    <w:p w14:paraId="731A4A1B" w14:textId="77777777" w:rsidR="00FA4F64" w:rsidRDefault="00FA4F64" w:rsidP="00FA4F64"/>
    <w:p w14:paraId="5299DEBA" w14:textId="77777777" w:rsidR="00FA4F64" w:rsidRDefault="00FA4F64" w:rsidP="00FA4F64">
      <w:r>
        <w:t>Las familias Rrom, por su parte, indican que, a pesar del interés por acceder a créditos para emprendimiento, los reportes desfavorables en las centrales de riesgo representan un obstáculo importante. Los préstamos son esenciales para adquirir insumos que permitan llevar a cabo las ideas de negocio, especialmente entre las mujeres del pueblo Rrom.</w:t>
      </w:r>
    </w:p>
    <w:p w14:paraId="74025537" w14:textId="77777777" w:rsidR="00FA4F64" w:rsidRDefault="00FA4F64" w:rsidP="00FA4F64"/>
    <w:p w14:paraId="188C2268" w14:textId="77777777" w:rsidR="00FA4F64" w:rsidRDefault="00FA4F64" w:rsidP="00FA4F64">
      <w:r>
        <w:t>En el caso del pueblo raizal, se identifica que los emprendimientos involucran al 20 % de dicha población, principalmente compuesta por personas mayores, quienes se centran en la preparación y venta de comida (26,6 %), confección, reparación y venta de prendas de vestir y accesorios (20,3 %) y la venta de artículos para el bienestar personal (7,6 %), y el 42,5 % contribuye a resaltar, valorar, visibilizar y fortalecer la cultura e identidad raizal en Bogotá.</w:t>
      </w:r>
    </w:p>
    <w:p w14:paraId="5310BA56" w14:textId="77777777" w:rsidR="00FA4F64" w:rsidRDefault="00FA4F64" w:rsidP="00FA4F64"/>
    <w:p w14:paraId="43C944D1" w14:textId="77777777" w:rsidR="00FA4F64" w:rsidRDefault="00FA4F64" w:rsidP="00FA4F64">
      <w:r>
        <w:t>Las y los vendedores informales son otro grupo de personas que requieren ser reconocidas por la labor que desarrollan en la ciudad. Según datos de IPES en el 2023 se tiene un registro aproximado de 51.403 vendedoras y vendedores informales, de los cuales 14.298 fueron registrados en jornadas adelantadas en período 2020-2023. Esta información requiere de actualización y análisis constante para que las y los vendedores informales puedan obtener el Registro Individual de Vendedor Informal (RIVI), y acceder así a las diferentes ofertas y alternativas que se brindan desde el Instituto.</w:t>
      </w:r>
    </w:p>
    <w:p w14:paraId="1B61DC05" w14:textId="77777777" w:rsidR="00FA4F64" w:rsidRDefault="00FA4F64" w:rsidP="00FA4F64"/>
    <w:p w14:paraId="14427A58" w14:textId="77777777" w:rsidR="00FA4F64" w:rsidRDefault="00FA4F64" w:rsidP="00FA4F64">
      <w:r>
        <w:t>Si bien se identifica un interés de las personas por emprender en la ciudad, hay que avanzar en la formalización. En esta línea se hace necesario que las acciones de fortalecimiento a las ideas de negocio y emprendimientos tengan asistencia técnica y tecnológica de alto nivel con la adopción de políticas de I+D y CTel.</w:t>
      </w:r>
    </w:p>
    <w:p w14:paraId="555C433B" w14:textId="77777777" w:rsidR="00FA4F64" w:rsidRDefault="00FA4F64" w:rsidP="00FA4F64"/>
    <w:p w14:paraId="4F8C104A" w14:textId="77777777"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 xml:space="preserve">Para ello, hay que aprovechar que Bogotá goza de reconocimiento como un potencial </w:t>
      </w:r>
      <w:r>
        <w:rPr>
          <w:i/>
        </w:rPr>
        <w:t>hub</w:t>
      </w:r>
      <w:r>
        <w:t xml:space="preserve"> de innovación y emprendimiento, pues ocupa el puesto 65 en el mundo, según Global Startup Ecosystem Index 2023 (StartupBlink, 2023), que convierte la ciudad en un escenario propicio </w:t>
      </w:r>
      <w:r>
        <w:t xml:space="preserve">para promover un ecosistema de emprendimiento regional, ofrecer oportunidades de acceso financiero para </w:t>
      </w:r>
      <w:r>
        <w:rPr>
          <w:i/>
        </w:rPr>
        <w:t>startups</w:t>
      </w:r>
      <w:r>
        <w:t xml:space="preserve">, mentorías, un trabajo colaborativo con universidades, entidades del sector público y empresas. Así mismo, promoviendo la vinculación de las 7 incubadoras de emprendimiento (ID Social, Impact HUB, Polymath, Founder Institute, Prana, Papp Corn e Incubar Colombia), los centros de emprendimiento activos en 22 universidades, las 7 redes de ángeles inversionistas, las 12 entidades y programas promotores del emprendimiento y las 8 aceleradoras de emprendimiento que ofrecen espacios de </w:t>
      </w:r>
      <w:r>
        <w:rPr>
          <w:i/>
        </w:rPr>
        <w:t>mentoring, networking</w:t>
      </w:r>
      <w:r>
        <w:t xml:space="preserve"> o </w:t>
      </w:r>
      <w:r>
        <w:rPr>
          <w:i/>
        </w:rPr>
        <w:t>coworking</w:t>
      </w:r>
      <w:r>
        <w:t xml:space="preserve"> especializados en emprendimiento.</w:t>
      </w:r>
    </w:p>
    <w:p w14:paraId="4B59C943" w14:textId="77777777" w:rsidR="00FA4F64" w:rsidRDefault="00FA4F64" w:rsidP="00FA4F64">
      <w:pPr>
        <w:spacing w:line="480" w:lineRule="auto"/>
        <w:rPr>
          <w:rFonts w:ascii="Times New Roman" w:hAnsi="Times New Roman"/>
          <w:sz w:val="24"/>
        </w:rPr>
      </w:pPr>
    </w:p>
    <w:p w14:paraId="4E8AFC23" w14:textId="77777777" w:rsidR="00FA4F64" w:rsidRPr="00E05195" w:rsidRDefault="00FA4F64" w:rsidP="00E05195">
      <w:pPr>
        <w:ind w:firstLine="708"/>
        <w:rPr>
          <w:b/>
          <w:bCs/>
          <w:sz w:val="24"/>
        </w:rPr>
      </w:pPr>
      <w:r w:rsidRPr="00E05195">
        <w:rPr>
          <w:b/>
          <w:bCs/>
          <w:sz w:val="24"/>
        </w:rPr>
        <w:t>Descripción del programa</w:t>
      </w:r>
    </w:p>
    <w:p w14:paraId="44F79AAA" w14:textId="77777777" w:rsidR="00FA4F64" w:rsidRDefault="00FA4F64" w:rsidP="00FA4F64">
      <w:pPr>
        <w:keepNext/>
        <w:keepLines/>
        <w:pBdr>
          <w:top w:val="nil"/>
          <w:left w:val="nil"/>
          <w:bottom w:val="nil"/>
          <w:right w:val="nil"/>
          <w:between w:val="nil"/>
        </w:pBdr>
        <w:spacing w:line="340" w:lineRule="auto"/>
        <w:ind w:left="1145" w:hanging="567"/>
        <w:jc w:val="left"/>
        <w:rPr>
          <w:b/>
          <w:color w:val="C00000"/>
          <w:sz w:val="28"/>
          <w:szCs w:val="28"/>
        </w:rPr>
        <w:sectPr w:rsidR="00FA4F64" w:rsidSect="00F7078E">
          <w:type w:val="continuous"/>
          <w:pgSz w:w="12240" w:h="15840"/>
          <w:pgMar w:top="2262" w:right="1440" w:bottom="1440" w:left="1440" w:header="708" w:footer="708" w:gutter="0"/>
          <w:cols w:space="720"/>
        </w:sectPr>
      </w:pPr>
    </w:p>
    <w:p w14:paraId="69F53E54" w14:textId="77777777" w:rsidR="00FA4F64" w:rsidRPr="003A3F84" w:rsidRDefault="00FA4F64" w:rsidP="00FA4F64">
      <w:pPr>
        <w:rPr>
          <w:spacing w:val="-6"/>
        </w:rPr>
      </w:pPr>
      <w:r w:rsidRPr="003A3F84">
        <w:rPr>
          <w:spacing w:val="-6"/>
        </w:rPr>
        <w:t>El propósito del programa es garantizar la implementación de un Sistema Distrital de Apoyo al Emprendimiento, a través del cual se ofrecerán servicios de asistencia técnica, tecnológica y financiera para que las personas interesadas en emprender o que ya cuentan con una idea de negocio, la puedan materializar.</w:t>
      </w:r>
    </w:p>
    <w:p w14:paraId="0064FCCD" w14:textId="77777777" w:rsidR="00FA4F64" w:rsidRPr="003A3F84" w:rsidRDefault="00FA4F64" w:rsidP="00FA4F64">
      <w:pPr>
        <w:rPr>
          <w:spacing w:val="-6"/>
        </w:rPr>
      </w:pPr>
    </w:p>
    <w:p w14:paraId="3D43079C" w14:textId="77777777" w:rsidR="00FA4F64" w:rsidRPr="003A3F84" w:rsidRDefault="00FA4F64" w:rsidP="00FA4F64">
      <w:pPr>
        <w:rPr>
          <w:spacing w:val="-6"/>
        </w:rPr>
      </w:pPr>
      <w:r w:rsidRPr="003A3F84">
        <w:rPr>
          <w:spacing w:val="-6"/>
        </w:rPr>
        <w:t>Para ello, se desarrollarán acciones como rutas de capacitación, producción de información (data) para identificar las oportunidades del mercado en los ámbitos distrital, nacional e internacional, disposición de infraestructuras como el Centro Cultural y de Emprendimiento; también, se potencializarán otras infraestructuras existentes en las localidades como es el caso de las Casas Locales de Juventud y Casas de igualdad de Oportunidades para las Mujeres.</w:t>
      </w:r>
    </w:p>
    <w:p w14:paraId="4F87BBEC" w14:textId="77777777" w:rsidR="00FA4F64" w:rsidRPr="003A3F84" w:rsidRDefault="00FA4F64" w:rsidP="00FA4F64">
      <w:pPr>
        <w:rPr>
          <w:spacing w:val="-6"/>
        </w:rPr>
      </w:pPr>
    </w:p>
    <w:p w14:paraId="25412334" w14:textId="77777777" w:rsidR="00FA4F64" w:rsidRDefault="00FA4F64" w:rsidP="00FA4F64">
      <w:r w:rsidRPr="003A3F84">
        <w:rPr>
          <w:spacing w:val="-6"/>
        </w:rPr>
        <w:t>Este sistema de servicios de apoyo al emprendimiento se enfocará especialmente en mujeres, jóvenes, personas mayores, poblaciones y comunidades étnicas, poblaciones rurales y campesinas, personas con discapacidad, así como a cuidadores y cuidadoras, pequeños agentes del sector cultura, recreación y deporte, personas artesanas, vendedores informales, con el objetivo de</w:t>
      </w:r>
      <w:r>
        <w:t xml:space="preserve"> promover su crecimiento, autonomía y seguridad económica, </w:t>
      </w:r>
      <w:r>
        <w:t>la asociatividad, mejorar su productividad, contribuir al incremento del desempeño y la robustez de los negocios y que obtengan de manera progresiva la estabilidad y formalización del trabajo que realizan. Otro criterio de priorización del sistema de emprendimiento será el apoyo a aquellos que adopten prácticas circulares en sus modelos de negocio y fomenten un desarrollo económico sostenible en la ciudad.</w:t>
      </w:r>
    </w:p>
    <w:p w14:paraId="4EF04CE5" w14:textId="77777777" w:rsidR="00FA4F64" w:rsidRDefault="00FA4F64" w:rsidP="00FA4F64"/>
    <w:p w14:paraId="73C2C036" w14:textId="77777777" w:rsidR="00FA4F64" w:rsidRDefault="00FA4F64" w:rsidP="00FA4F64">
      <w:r>
        <w:t>Para fomentar el emprendimiento se desarrollará una estrategia integral de fortalecimiento empresarial, para que los negocios locales accedan a servicios especializados de formación y acompañamiento al emprendimiento enfocado en los sectores económicos y la provisión de herramientas.</w:t>
      </w:r>
    </w:p>
    <w:p w14:paraId="1154BB5A" w14:textId="77777777" w:rsidR="00FA4F64" w:rsidRDefault="00FA4F64" w:rsidP="00FA4F64"/>
    <w:p w14:paraId="7AA4162D" w14:textId="77777777" w:rsidR="00FA4F64" w:rsidRDefault="00FA4F64" w:rsidP="00FA4F64">
      <w:r>
        <w:t>Como parte de la inclusión y mecanismos financieros, se promoverán el acceso a financiamiento formal y/o la asignación de recursos no reembolsables. Dichos instrumentos serán clave para cubrir necesidades de liquidez, capital de trabajo y modernización de los emprendimientos. Este respaldo permitirá fortalecer sus procesos y mejorar su capacidad productiva, promoviendo así su crecimiento y sostenibilidad.</w:t>
      </w:r>
    </w:p>
    <w:p w14:paraId="3886DFB1" w14:textId="77777777" w:rsidR="00FA4F64" w:rsidRDefault="00FA4F64" w:rsidP="00FA4F64">
      <w:r>
        <w:lastRenderedPageBreak/>
        <w:t>También, se implementarán estrategias de sostenibilidad de procesos en torno a la Red de Emprendimientos del Arte, la Cultura y las Industrias Creativas de Bogotá, como una apuesta que busca la ruptura de brechas económicas para agentes del sector cultural y creativo. Dentro de dichas estrategias, se desarrollarán articulaciones orientadas a generar alianzas de conexiones sostenibles con el sector privado. Además, se impulsará una línea de fomento a economías culturales, recreo-deportivas y artísticas, y se fortalecerán equipamientos culturales del Distrito. Se contará con espacios de formación y fortalecimiento de las organizaciones y emprendimientos; entre otras acciones que permitan potenciar la producción artística, cultural, recreativa y deportiva de la ciudad.</w:t>
      </w:r>
    </w:p>
    <w:p w14:paraId="29405EDF" w14:textId="77777777" w:rsidR="00FA4F64" w:rsidRDefault="00FA4F64" w:rsidP="00FA4F64"/>
    <w:p w14:paraId="25845520" w14:textId="77777777" w:rsidR="00FA4F64" w:rsidRDefault="00FA4F64" w:rsidP="00FA4F64">
      <w:r>
        <w:t>A su vez, se fortalecerá la apuesta de los Distritos creativos (como el Bronx Distrito Creativo, San Felipe DC, Distrito Creativo Centro, La Playa, Usaquén, entre otros), como una estrategia de economía cultural y creativa, para incentivar procesos más sostenibles desde una índole económica, cultural, social y ambiental, en los diferentes territorios de Bogotá.</w:t>
      </w:r>
    </w:p>
    <w:p w14:paraId="60C2645F" w14:textId="77777777" w:rsidR="00FA4F64" w:rsidRDefault="00FA4F64" w:rsidP="00FA4F64"/>
    <w:p w14:paraId="1C916FC0" w14:textId="77777777" w:rsidR="00FA4F64" w:rsidRDefault="00FA4F64" w:rsidP="00FA4F64">
      <w:r>
        <w:t xml:space="preserve">Por otro lado, se implementarán acciones que permitan la intermediación de mercados para el desarrollo de los emprendimientos, reduciendo o eliminando las barreras de acceso a mercados, ayudando en la regulación y articulación con instituciones de carácter público o privado que aporten al logro del aprovechamiento económico del espacio público y en el sistema de </w:t>
      </w:r>
      <w:r>
        <w:t>transporte de la ciudad, así como la contribución a la presencia digital de los negocios, buscando conexión con compradores y grupos de interés.</w:t>
      </w:r>
    </w:p>
    <w:p w14:paraId="1278C70F" w14:textId="77777777" w:rsidR="00FA4F64" w:rsidRDefault="00FA4F64" w:rsidP="00FA4F64"/>
    <w:p w14:paraId="3E7947AB" w14:textId="77777777" w:rsidR="00FA4F64" w:rsidRDefault="00FA4F64" w:rsidP="00FA4F64">
      <w:r>
        <w:t>Además de lo anterior, para la población rural y campesina se desarrollará la iniciativa “Somos Orgullo Campesino”, con la cual se fortalecerá la identidad campesina y se enfocará en la reconversión productiva de las unidades prediales-productivas y emprendimientos de economía rural, diversificando actividades económicas en el territorio rural a través del fortalecimiento productivo-empresarial. Esto incluye la estructuración de incentivos económicos para la transformación tecnológica en procesos de producción y de consumo, así como la estructuración de herramientas de inclusión financiera.</w:t>
      </w:r>
    </w:p>
    <w:p w14:paraId="4DBF2DF5" w14:textId="77777777" w:rsidR="00FA4F64" w:rsidRDefault="00FA4F64" w:rsidP="00FA4F64"/>
    <w:p w14:paraId="33079628" w14:textId="2BCA2F89" w:rsidR="00FA4F64" w:rsidRDefault="00FA4F64" w:rsidP="00E05195">
      <w:pPr>
        <w:sectPr w:rsidR="00FA4F64" w:rsidSect="00F7078E">
          <w:type w:val="continuous"/>
          <w:pgSz w:w="12240" w:h="15840"/>
          <w:pgMar w:top="2262" w:right="1440" w:bottom="1440" w:left="1440" w:header="708" w:footer="708" w:gutter="0"/>
          <w:cols w:num="2" w:space="720" w:equalWidth="0">
            <w:col w:w="4396" w:space="567"/>
            <w:col w:w="4396" w:space="0"/>
          </w:cols>
        </w:sectPr>
      </w:pPr>
      <w:r>
        <w:t>Finalmente, a través de este programa, se proveerán conocimientos especializados, bienes asociativos y apoyos concretos para el crecimiento y la productividad en las aglomeraciones productivas del Distrito, identificando las necesidades de bienes y espacios públicos como quioscos, puntos comerciales, mobiliario semiestacionario, y servicios públicos clave para dinamizar la actividad económica de los emprendimientos de la ciudad. Así mismo, se formará en nuevas capacidades, como las socioemocionales, y se promoverá el acceso a iniciativas como redes de innovación, herramientas tecnológicas y servicios digitales que estarán disponibles en las diferentes localidades de Bogotá para las y los emprendedores</w:t>
      </w:r>
      <w:r w:rsidR="00E05195">
        <w:t>.</w:t>
      </w:r>
    </w:p>
    <w:p w14:paraId="45184F41" w14:textId="77777777" w:rsidR="00FA4F64" w:rsidRDefault="00FA4F64" w:rsidP="00FA4F64">
      <w:pPr>
        <w:pBdr>
          <w:top w:val="nil"/>
          <w:left w:val="nil"/>
          <w:bottom w:val="nil"/>
          <w:right w:val="nil"/>
          <w:between w:val="nil"/>
        </w:pBdr>
        <w:spacing w:line="220" w:lineRule="auto"/>
        <w:jc w:val="center"/>
        <w:rPr>
          <w:b/>
          <w:color w:val="C00000"/>
          <w:sz w:val="18"/>
          <w:szCs w:val="18"/>
        </w:rPr>
      </w:pPr>
      <w:bookmarkStart w:id="330" w:name="_heading=h.4i7ojhp" w:colFirst="0" w:colLast="0"/>
      <w:bookmarkEnd w:id="330"/>
    </w:p>
    <w:p w14:paraId="50A53878" w14:textId="77777777" w:rsidR="00FA4F64" w:rsidRDefault="00FA4F64" w:rsidP="00FA4F64">
      <w:pPr>
        <w:pBdr>
          <w:top w:val="nil"/>
          <w:left w:val="nil"/>
          <w:bottom w:val="nil"/>
          <w:right w:val="nil"/>
          <w:between w:val="nil"/>
        </w:pBdr>
        <w:spacing w:line="220" w:lineRule="auto"/>
        <w:jc w:val="center"/>
        <w:rPr>
          <w:b/>
          <w:color w:val="C00000"/>
          <w:sz w:val="18"/>
          <w:szCs w:val="18"/>
        </w:rPr>
      </w:pPr>
    </w:p>
    <w:p w14:paraId="1E1C6032" w14:textId="1660959A" w:rsidR="00FA4F64" w:rsidRDefault="00097AC9" w:rsidP="00097AC9">
      <w:pPr>
        <w:pStyle w:val="Descripcin"/>
        <w:jc w:val="center"/>
        <w:rPr>
          <w:color w:val="C00000"/>
          <w:sz w:val="18"/>
        </w:rPr>
      </w:pPr>
      <w:bookmarkStart w:id="331" w:name="_heading=h.2xcytpi" w:colFirst="0" w:colLast="0"/>
      <w:bookmarkStart w:id="332" w:name="_Toc165169951"/>
      <w:bookmarkEnd w:id="331"/>
      <w:r w:rsidRPr="00097AC9">
        <w:rPr>
          <w:color w:val="C00000"/>
          <w:sz w:val="18"/>
        </w:rPr>
        <w:t xml:space="preserve">Tabla </w:t>
      </w:r>
      <w:r w:rsidRPr="00097AC9">
        <w:rPr>
          <w:color w:val="C00000"/>
          <w:sz w:val="18"/>
        </w:rPr>
        <w:fldChar w:fldCharType="begin"/>
      </w:r>
      <w:r w:rsidRPr="00097AC9">
        <w:rPr>
          <w:color w:val="C00000"/>
          <w:sz w:val="18"/>
        </w:rPr>
        <w:instrText xml:space="preserve"> SEQ Tabla \* ARABIC </w:instrText>
      </w:r>
      <w:r w:rsidRPr="00097AC9">
        <w:rPr>
          <w:color w:val="C00000"/>
          <w:sz w:val="18"/>
        </w:rPr>
        <w:fldChar w:fldCharType="separate"/>
      </w:r>
      <w:r w:rsidR="00D01651">
        <w:rPr>
          <w:noProof/>
          <w:color w:val="C00000"/>
          <w:sz w:val="18"/>
        </w:rPr>
        <w:t>41</w:t>
      </w:r>
      <w:r w:rsidRPr="00097AC9">
        <w:rPr>
          <w:color w:val="C00000"/>
          <w:sz w:val="18"/>
        </w:rPr>
        <w:fldChar w:fldCharType="end"/>
      </w:r>
      <w:r w:rsidRPr="00097AC9">
        <w:rPr>
          <w:color w:val="C00000"/>
          <w:sz w:val="18"/>
        </w:rPr>
        <w:t xml:space="preserve">. </w:t>
      </w:r>
      <w:r w:rsidR="00FA4F64" w:rsidRPr="00097AC9">
        <w:rPr>
          <w:color w:val="3B3838"/>
          <w:sz w:val="18"/>
        </w:rPr>
        <w:t>Metas del programa Promoción del emprendimiento formal, equitativo e incluyente</w:t>
      </w:r>
      <w:bookmarkEnd w:id="332"/>
    </w:p>
    <w:tbl>
      <w:tblPr>
        <w:tblW w:w="5000" w:type="pct"/>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030"/>
        <w:gridCol w:w="1477"/>
        <w:gridCol w:w="1426"/>
        <w:gridCol w:w="1468"/>
        <w:gridCol w:w="1473"/>
        <w:gridCol w:w="1486"/>
      </w:tblGrid>
      <w:tr w:rsidR="00097AC9" w:rsidRPr="00097AC9" w14:paraId="424A2CBF" w14:textId="77777777" w:rsidTr="00097AC9">
        <w:trPr>
          <w:tblHeader/>
        </w:trPr>
        <w:tc>
          <w:tcPr>
            <w:tcW w:w="1084" w:type="pct"/>
            <w:vMerge w:val="restart"/>
            <w:shd w:val="clear" w:color="auto" w:fill="C00000"/>
            <w:tcMar>
              <w:top w:w="30" w:type="dxa"/>
              <w:left w:w="45" w:type="dxa"/>
              <w:bottom w:w="30" w:type="dxa"/>
              <w:right w:w="45" w:type="dxa"/>
            </w:tcMar>
            <w:vAlign w:val="center"/>
            <w:hideMark/>
          </w:tcPr>
          <w:p w14:paraId="7D3C65B8" w14:textId="77777777" w:rsidR="00097AC9" w:rsidRPr="00097AC9" w:rsidRDefault="00097AC9" w:rsidP="00AA4BBB">
            <w:pPr>
              <w:jc w:val="center"/>
              <w:rPr>
                <w:rFonts w:cs="Arial"/>
                <w:b/>
                <w:bCs/>
                <w:color w:val="FFFFFF"/>
                <w:sz w:val="18"/>
                <w:szCs w:val="18"/>
              </w:rPr>
            </w:pPr>
            <w:bookmarkStart w:id="333" w:name="_heading=h.1ci93xb" w:colFirst="0" w:colLast="0"/>
            <w:bookmarkEnd w:id="333"/>
            <w:r w:rsidRPr="00097AC9">
              <w:rPr>
                <w:rFonts w:cs="Arial"/>
                <w:b/>
                <w:bCs/>
                <w:color w:val="FFFFFF"/>
                <w:sz w:val="18"/>
                <w:szCs w:val="18"/>
              </w:rPr>
              <w:t>SECTOR / Metas</w:t>
            </w:r>
          </w:p>
        </w:tc>
        <w:tc>
          <w:tcPr>
            <w:tcW w:w="3916" w:type="pct"/>
            <w:gridSpan w:val="5"/>
            <w:shd w:val="clear" w:color="auto" w:fill="C00000"/>
            <w:tcMar>
              <w:top w:w="30" w:type="dxa"/>
              <w:left w:w="45" w:type="dxa"/>
              <w:bottom w:w="30" w:type="dxa"/>
              <w:right w:w="45" w:type="dxa"/>
            </w:tcMar>
            <w:vAlign w:val="center"/>
            <w:hideMark/>
          </w:tcPr>
          <w:p w14:paraId="1117349D" w14:textId="77777777" w:rsidR="00097AC9" w:rsidRPr="00097AC9" w:rsidRDefault="00097AC9" w:rsidP="00AA4BBB">
            <w:pPr>
              <w:jc w:val="center"/>
              <w:rPr>
                <w:rFonts w:cs="Arial"/>
                <w:b/>
                <w:bCs/>
                <w:color w:val="FFFFFF"/>
                <w:sz w:val="20"/>
                <w:szCs w:val="20"/>
              </w:rPr>
            </w:pPr>
            <w:r w:rsidRPr="00097AC9">
              <w:rPr>
                <w:rFonts w:cs="Arial"/>
                <w:b/>
                <w:bCs/>
                <w:color w:val="FFFFFF"/>
                <w:sz w:val="20"/>
                <w:szCs w:val="20"/>
              </w:rPr>
              <w:t>Magnitudes e Inversión (Precios Constantes 2024)</w:t>
            </w:r>
          </w:p>
        </w:tc>
      </w:tr>
      <w:tr w:rsidR="00097AC9" w:rsidRPr="00097AC9" w14:paraId="1B91728B" w14:textId="77777777" w:rsidTr="00097AC9">
        <w:trPr>
          <w:tblHeader/>
        </w:trPr>
        <w:tc>
          <w:tcPr>
            <w:tcW w:w="1084" w:type="pct"/>
            <w:vMerge/>
            <w:vAlign w:val="center"/>
            <w:hideMark/>
          </w:tcPr>
          <w:p w14:paraId="32A380B1" w14:textId="77777777" w:rsidR="00097AC9" w:rsidRPr="00097AC9" w:rsidRDefault="00097AC9" w:rsidP="00AA4BBB">
            <w:pPr>
              <w:rPr>
                <w:rFonts w:cs="Arial"/>
                <w:b/>
                <w:bCs/>
                <w:color w:val="FFFFFF"/>
                <w:sz w:val="18"/>
                <w:szCs w:val="18"/>
              </w:rPr>
            </w:pPr>
          </w:p>
        </w:tc>
        <w:tc>
          <w:tcPr>
            <w:tcW w:w="789" w:type="pct"/>
            <w:shd w:val="clear" w:color="auto" w:fill="D9D9D9"/>
            <w:tcMar>
              <w:top w:w="30" w:type="dxa"/>
              <w:left w:w="45" w:type="dxa"/>
              <w:bottom w:w="30" w:type="dxa"/>
              <w:right w:w="45" w:type="dxa"/>
            </w:tcMar>
            <w:vAlign w:val="center"/>
            <w:hideMark/>
          </w:tcPr>
          <w:p w14:paraId="458CCFF5" w14:textId="77777777" w:rsidR="00097AC9" w:rsidRPr="00097AC9" w:rsidRDefault="00097AC9" w:rsidP="00AA4BBB">
            <w:pPr>
              <w:jc w:val="center"/>
              <w:rPr>
                <w:rFonts w:cs="Arial"/>
                <w:b/>
                <w:bCs/>
                <w:sz w:val="20"/>
                <w:szCs w:val="20"/>
              </w:rPr>
            </w:pPr>
            <w:r w:rsidRPr="00097AC9">
              <w:rPr>
                <w:rFonts w:cs="Arial"/>
                <w:b/>
                <w:bCs/>
                <w:sz w:val="20"/>
                <w:szCs w:val="20"/>
              </w:rPr>
              <w:t>2024</w:t>
            </w:r>
          </w:p>
        </w:tc>
        <w:tc>
          <w:tcPr>
            <w:tcW w:w="762" w:type="pct"/>
            <w:shd w:val="clear" w:color="auto" w:fill="D9D9D9"/>
            <w:tcMar>
              <w:top w:w="30" w:type="dxa"/>
              <w:left w:w="45" w:type="dxa"/>
              <w:bottom w:w="30" w:type="dxa"/>
              <w:right w:w="45" w:type="dxa"/>
            </w:tcMar>
            <w:vAlign w:val="center"/>
            <w:hideMark/>
          </w:tcPr>
          <w:p w14:paraId="4612B2AF" w14:textId="77777777" w:rsidR="00097AC9" w:rsidRPr="00097AC9" w:rsidRDefault="00097AC9" w:rsidP="00AA4BBB">
            <w:pPr>
              <w:jc w:val="center"/>
              <w:rPr>
                <w:rFonts w:cs="Arial"/>
                <w:b/>
                <w:bCs/>
                <w:sz w:val="20"/>
                <w:szCs w:val="20"/>
              </w:rPr>
            </w:pPr>
            <w:r w:rsidRPr="00097AC9">
              <w:rPr>
                <w:rFonts w:cs="Arial"/>
                <w:b/>
                <w:bCs/>
                <w:sz w:val="20"/>
                <w:szCs w:val="20"/>
              </w:rPr>
              <w:t>2025</w:t>
            </w:r>
          </w:p>
        </w:tc>
        <w:tc>
          <w:tcPr>
            <w:tcW w:w="784" w:type="pct"/>
            <w:shd w:val="clear" w:color="auto" w:fill="D9D9D9"/>
            <w:tcMar>
              <w:top w:w="30" w:type="dxa"/>
              <w:left w:w="45" w:type="dxa"/>
              <w:bottom w:w="30" w:type="dxa"/>
              <w:right w:w="45" w:type="dxa"/>
            </w:tcMar>
            <w:vAlign w:val="center"/>
            <w:hideMark/>
          </w:tcPr>
          <w:p w14:paraId="565DC4C1" w14:textId="77777777" w:rsidR="00097AC9" w:rsidRPr="00097AC9" w:rsidRDefault="00097AC9" w:rsidP="00AA4BBB">
            <w:pPr>
              <w:jc w:val="center"/>
              <w:rPr>
                <w:rFonts w:cs="Arial"/>
                <w:b/>
                <w:bCs/>
                <w:sz w:val="20"/>
                <w:szCs w:val="20"/>
              </w:rPr>
            </w:pPr>
            <w:r w:rsidRPr="00097AC9">
              <w:rPr>
                <w:rFonts w:cs="Arial"/>
                <w:b/>
                <w:bCs/>
                <w:sz w:val="20"/>
                <w:szCs w:val="20"/>
              </w:rPr>
              <w:t>2026</w:t>
            </w:r>
          </w:p>
        </w:tc>
        <w:tc>
          <w:tcPr>
            <w:tcW w:w="787" w:type="pct"/>
            <w:shd w:val="clear" w:color="auto" w:fill="D9D9D9"/>
            <w:tcMar>
              <w:top w:w="30" w:type="dxa"/>
              <w:left w:w="45" w:type="dxa"/>
              <w:bottom w:w="30" w:type="dxa"/>
              <w:right w:w="45" w:type="dxa"/>
            </w:tcMar>
            <w:vAlign w:val="center"/>
            <w:hideMark/>
          </w:tcPr>
          <w:p w14:paraId="66521081" w14:textId="77777777" w:rsidR="00097AC9" w:rsidRPr="00097AC9" w:rsidRDefault="00097AC9" w:rsidP="00AA4BBB">
            <w:pPr>
              <w:jc w:val="center"/>
              <w:rPr>
                <w:rFonts w:cs="Arial"/>
                <w:b/>
                <w:bCs/>
                <w:sz w:val="20"/>
                <w:szCs w:val="20"/>
              </w:rPr>
            </w:pPr>
            <w:r w:rsidRPr="00097AC9">
              <w:rPr>
                <w:rFonts w:cs="Arial"/>
                <w:b/>
                <w:bCs/>
                <w:sz w:val="20"/>
                <w:szCs w:val="20"/>
              </w:rPr>
              <w:t>2027</w:t>
            </w:r>
          </w:p>
        </w:tc>
        <w:tc>
          <w:tcPr>
            <w:tcW w:w="793" w:type="pct"/>
            <w:shd w:val="clear" w:color="auto" w:fill="D9D9D9"/>
            <w:tcMar>
              <w:top w:w="30" w:type="dxa"/>
              <w:left w:w="45" w:type="dxa"/>
              <w:bottom w:w="30" w:type="dxa"/>
              <w:right w:w="45" w:type="dxa"/>
            </w:tcMar>
            <w:vAlign w:val="center"/>
            <w:hideMark/>
          </w:tcPr>
          <w:p w14:paraId="6FF80D0B" w14:textId="77777777" w:rsidR="00210466" w:rsidRDefault="00097AC9" w:rsidP="00210466">
            <w:pPr>
              <w:jc w:val="right"/>
              <w:rPr>
                <w:rFonts w:cs="Arial"/>
                <w:b/>
                <w:bCs/>
                <w:sz w:val="20"/>
                <w:szCs w:val="20"/>
              </w:rPr>
            </w:pPr>
            <w:r w:rsidRPr="00097AC9">
              <w:rPr>
                <w:rFonts w:cs="Arial"/>
                <w:b/>
                <w:bCs/>
                <w:sz w:val="20"/>
                <w:szCs w:val="20"/>
              </w:rPr>
              <w:t>Total</w:t>
            </w:r>
          </w:p>
          <w:p w14:paraId="75501062" w14:textId="52C879DE" w:rsidR="00097AC9" w:rsidRPr="00097AC9" w:rsidRDefault="00097AC9" w:rsidP="00210466">
            <w:pPr>
              <w:jc w:val="right"/>
              <w:rPr>
                <w:rFonts w:cs="Arial"/>
                <w:b/>
                <w:bCs/>
                <w:sz w:val="20"/>
                <w:szCs w:val="20"/>
              </w:rPr>
            </w:pPr>
            <w:r w:rsidRPr="00097AC9">
              <w:rPr>
                <w:rFonts w:cs="Arial"/>
                <w:b/>
                <w:bCs/>
                <w:sz w:val="20"/>
                <w:szCs w:val="20"/>
              </w:rPr>
              <w:t>Inversión</w:t>
            </w:r>
          </w:p>
        </w:tc>
      </w:tr>
      <w:tr w:rsidR="00097AC9" w:rsidRPr="00097AC9" w14:paraId="087584B7" w14:textId="77777777" w:rsidTr="00097AC9">
        <w:tc>
          <w:tcPr>
            <w:tcW w:w="5000" w:type="pct"/>
            <w:gridSpan w:val="6"/>
            <w:shd w:val="clear" w:color="auto" w:fill="C00000"/>
            <w:tcMar>
              <w:top w:w="30" w:type="dxa"/>
              <w:left w:w="45" w:type="dxa"/>
              <w:bottom w:w="30" w:type="dxa"/>
              <w:right w:w="45" w:type="dxa"/>
            </w:tcMar>
            <w:vAlign w:val="center"/>
            <w:hideMark/>
          </w:tcPr>
          <w:p w14:paraId="35E40A8D" w14:textId="49275A64" w:rsidR="00097AC9" w:rsidRPr="00097AC9" w:rsidRDefault="00097AC9" w:rsidP="00097AC9">
            <w:pPr>
              <w:jc w:val="center"/>
              <w:rPr>
                <w:rFonts w:cs="Arial"/>
                <w:b/>
                <w:bCs/>
                <w:sz w:val="18"/>
                <w:szCs w:val="18"/>
              </w:rPr>
            </w:pPr>
            <w:r w:rsidRPr="00097AC9">
              <w:rPr>
                <w:rFonts w:cs="Arial"/>
                <w:b/>
                <w:bCs/>
                <w:color w:val="FFFFFF" w:themeColor="background1"/>
                <w:sz w:val="18"/>
                <w:szCs w:val="18"/>
              </w:rPr>
              <w:t>Cultura Recreación Y Deporte</w:t>
            </w:r>
          </w:p>
        </w:tc>
      </w:tr>
      <w:tr w:rsidR="00097AC9" w:rsidRPr="00097AC9" w14:paraId="242777B6" w14:textId="77777777" w:rsidTr="00097AC9">
        <w:tc>
          <w:tcPr>
            <w:tcW w:w="1084" w:type="pct"/>
            <w:vMerge w:val="restart"/>
            <w:tcMar>
              <w:top w:w="30" w:type="dxa"/>
              <w:left w:w="45" w:type="dxa"/>
              <w:bottom w:w="30" w:type="dxa"/>
              <w:right w:w="45" w:type="dxa"/>
            </w:tcMar>
            <w:vAlign w:val="center"/>
            <w:hideMark/>
          </w:tcPr>
          <w:p w14:paraId="1F710A84" w14:textId="77777777" w:rsidR="00097AC9" w:rsidRPr="00097AC9" w:rsidRDefault="00097AC9" w:rsidP="00AA4BBB">
            <w:pPr>
              <w:rPr>
                <w:rFonts w:cs="Arial"/>
                <w:sz w:val="18"/>
                <w:szCs w:val="18"/>
              </w:rPr>
            </w:pPr>
            <w:r w:rsidRPr="00097AC9">
              <w:rPr>
                <w:rFonts w:cs="Arial"/>
                <w:sz w:val="18"/>
                <w:szCs w:val="18"/>
              </w:rPr>
              <w:t xml:space="preserve">Activar 12 Distritos Creativos para creación de valor y riqueza de las </w:t>
            </w:r>
            <w:r w:rsidRPr="00097AC9">
              <w:rPr>
                <w:rFonts w:cs="Arial"/>
                <w:sz w:val="18"/>
                <w:szCs w:val="18"/>
              </w:rPr>
              <w:lastRenderedPageBreak/>
              <w:t>organizaciones y agentes culturales y creativos, así como la resignificación del imaginario colectivo del entorno.</w:t>
            </w:r>
          </w:p>
        </w:tc>
        <w:tc>
          <w:tcPr>
            <w:tcW w:w="789" w:type="pct"/>
            <w:tcMar>
              <w:top w:w="30" w:type="dxa"/>
              <w:left w:w="45" w:type="dxa"/>
              <w:bottom w:w="30" w:type="dxa"/>
              <w:right w:w="45" w:type="dxa"/>
            </w:tcMar>
            <w:vAlign w:val="center"/>
            <w:hideMark/>
          </w:tcPr>
          <w:p w14:paraId="4EAD3FF8" w14:textId="77777777" w:rsidR="00097AC9" w:rsidRPr="00097AC9" w:rsidRDefault="00097AC9" w:rsidP="00AA4BBB">
            <w:pPr>
              <w:jc w:val="center"/>
              <w:rPr>
                <w:rFonts w:cs="Arial"/>
                <w:sz w:val="18"/>
                <w:szCs w:val="18"/>
              </w:rPr>
            </w:pPr>
            <w:r w:rsidRPr="00097AC9">
              <w:rPr>
                <w:rFonts w:cs="Arial"/>
                <w:sz w:val="18"/>
                <w:szCs w:val="18"/>
              </w:rPr>
              <w:lastRenderedPageBreak/>
              <w:t>8</w:t>
            </w:r>
          </w:p>
        </w:tc>
        <w:tc>
          <w:tcPr>
            <w:tcW w:w="762" w:type="pct"/>
            <w:tcMar>
              <w:top w:w="30" w:type="dxa"/>
              <w:left w:w="45" w:type="dxa"/>
              <w:bottom w:w="30" w:type="dxa"/>
              <w:right w:w="45" w:type="dxa"/>
            </w:tcMar>
            <w:vAlign w:val="center"/>
            <w:hideMark/>
          </w:tcPr>
          <w:p w14:paraId="677BFB03" w14:textId="77777777" w:rsidR="00097AC9" w:rsidRPr="00097AC9" w:rsidRDefault="00097AC9" w:rsidP="00AA4BBB">
            <w:pPr>
              <w:jc w:val="center"/>
              <w:rPr>
                <w:rFonts w:cs="Arial"/>
                <w:sz w:val="18"/>
                <w:szCs w:val="18"/>
              </w:rPr>
            </w:pPr>
            <w:r w:rsidRPr="00097AC9">
              <w:rPr>
                <w:rFonts w:cs="Arial"/>
                <w:sz w:val="18"/>
                <w:szCs w:val="18"/>
              </w:rPr>
              <w:t>10</w:t>
            </w:r>
          </w:p>
        </w:tc>
        <w:tc>
          <w:tcPr>
            <w:tcW w:w="784" w:type="pct"/>
            <w:tcMar>
              <w:top w:w="30" w:type="dxa"/>
              <w:left w:w="45" w:type="dxa"/>
              <w:bottom w:w="30" w:type="dxa"/>
              <w:right w:w="45" w:type="dxa"/>
            </w:tcMar>
            <w:vAlign w:val="center"/>
            <w:hideMark/>
          </w:tcPr>
          <w:p w14:paraId="1A598DD7" w14:textId="77777777" w:rsidR="00097AC9" w:rsidRPr="00097AC9" w:rsidRDefault="00097AC9" w:rsidP="00AA4BBB">
            <w:pPr>
              <w:jc w:val="center"/>
              <w:rPr>
                <w:rFonts w:cs="Arial"/>
                <w:sz w:val="18"/>
                <w:szCs w:val="18"/>
              </w:rPr>
            </w:pPr>
            <w:r w:rsidRPr="00097AC9">
              <w:rPr>
                <w:rFonts w:cs="Arial"/>
                <w:sz w:val="18"/>
                <w:szCs w:val="18"/>
              </w:rPr>
              <w:t>11</w:t>
            </w:r>
          </w:p>
        </w:tc>
        <w:tc>
          <w:tcPr>
            <w:tcW w:w="787" w:type="pct"/>
            <w:tcMar>
              <w:top w:w="30" w:type="dxa"/>
              <w:left w:w="45" w:type="dxa"/>
              <w:bottom w:w="30" w:type="dxa"/>
              <w:right w:w="45" w:type="dxa"/>
            </w:tcMar>
            <w:vAlign w:val="center"/>
            <w:hideMark/>
          </w:tcPr>
          <w:p w14:paraId="78A32C39" w14:textId="77777777" w:rsidR="00097AC9" w:rsidRPr="00097AC9" w:rsidRDefault="00097AC9" w:rsidP="00AA4BBB">
            <w:pPr>
              <w:jc w:val="center"/>
              <w:rPr>
                <w:rFonts w:cs="Arial"/>
                <w:sz w:val="18"/>
                <w:szCs w:val="18"/>
              </w:rPr>
            </w:pPr>
            <w:r w:rsidRPr="00097AC9">
              <w:rPr>
                <w:rFonts w:cs="Arial"/>
                <w:sz w:val="18"/>
                <w:szCs w:val="18"/>
              </w:rPr>
              <w:t>12</w:t>
            </w:r>
          </w:p>
        </w:tc>
        <w:tc>
          <w:tcPr>
            <w:tcW w:w="793" w:type="pct"/>
            <w:vMerge w:val="restart"/>
            <w:tcMar>
              <w:top w:w="30" w:type="dxa"/>
              <w:left w:w="45" w:type="dxa"/>
              <w:bottom w:w="30" w:type="dxa"/>
              <w:right w:w="45" w:type="dxa"/>
            </w:tcMar>
            <w:vAlign w:val="center"/>
            <w:hideMark/>
          </w:tcPr>
          <w:p w14:paraId="26E46C9D" w14:textId="77777777" w:rsidR="00097AC9" w:rsidRPr="00097AC9" w:rsidRDefault="00097AC9" w:rsidP="00AA4BBB">
            <w:pPr>
              <w:jc w:val="center"/>
              <w:rPr>
                <w:rFonts w:cs="Arial"/>
                <w:b/>
                <w:bCs/>
                <w:sz w:val="20"/>
                <w:szCs w:val="20"/>
              </w:rPr>
            </w:pPr>
            <w:r w:rsidRPr="00097AC9">
              <w:rPr>
                <w:rFonts w:cs="Arial"/>
                <w:b/>
                <w:bCs/>
                <w:sz w:val="20"/>
                <w:szCs w:val="20"/>
              </w:rPr>
              <w:t>14.854.448.266</w:t>
            </w:r>
          </w:p>
        </w:tc>
      </w:tr>
      <w:tr w:rsidR="00097AC9" w:rsidRPr="00097AC9" w14:paraId="6C3A21EB" w14:textId="77777777" w:rsidTr="00097AC9">
        <w:tc>
          <w:tcPr>
            <w:tcW w:w="1084" w:type="pct"/>
            <w:vMerge/>
            <w:vAlign w:val="center"/>
            <w:hideMark/>
          </w:tcPr>
          <w:p w14:paraId="19284F32"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3A72EEFB" w14:textId="77777777" w:rsidR="00097AC9" w:rsidRPr="00097AC9" w:rsidRDefault="00097AC9" w:rsidP="00AA4BBB">
            <w:pPr>
              <w:jc w:val="center"/>
              <w:rPr>
                <w:rFonts w:cs="Arial"/>
                <w:sz w:val="18"/>
                <w:szCs w:val="18"/>
              </w:rPr>
            </w:pPr>
            <w:r w:rsidRPr="00097AC9">
              <w:rPr>
                <w:rFonts w:cs="Arial"/>
                <w:sz w:val="18"/>
                <w:szCs w:val="18"/>
              </w:rPr>
              <w:t>5.840.119.000</w:t>
            </w:r>
          </w:p>
        </w:tc>
        <w:tc>
          <w:tcPr>
            <w:tcW w:w="762" w:type="pct"/>
            <w:tcMar>
              <w:top w:w="30" w:type="dxa"/>
              <w:left w:w="45" w:type="dxa"/>
              <w:bottom w:w="30" w:type="dxa"/>
              <w:right w:w="45" w:type="dxa"/>
            </w:tcMar>
            <w:vAlign w:val="center"/>
            <w:hideMark/>
          </w:tcPr>
          <w:p w14:paraId="6646E767" w14:textId="77777777" w:rsidR="00097AC9" w:rsidRPr="00097AC9" w:rsidRDefault="00097AC9" w:rsidP="00AA4BBB">
            <w:pPr>
              <w:jc w:val="center"/>
              <w:rPr>
                <w:rFonts w:cs="Arial"/>
                <w:sz w:val="18"/>
                <w:szCs w:val="18"/>
              </w:rPr>
            </w:pPr>
            <w:r w:rsidRPr="00097AC9">
              <w:rPr>
                <w:rFonts w:cs="Arial"/>
                <w:sz w:val="18"/>
                <w:szCs w:val="18"/>
              </w:rPr>
              <w:t>3.086.868.259</w:t>
            </w:r>
          </w:p>
        </w:tc>
        <w:tc>
          <w:tcPr>
            <w:tcW w:w="784" w:type="pct"/>
            <w:tcMar>
              <w:top w:w="30" w:type="dxa"/>
              <w:left w:w="45" w:type="dxa"/>
              <w:bottom w:w="30" w:type="dxa"/>
              <w:right w:w="45" w:type="dxa"/>
            </w:tcMar>
            <w:vAlign w:val="center"/>
            <w:hideMark/>
          </w:tcPr>
          <w:p w14:paraId="49283A8D" w14:textId="77777777" w:rsidR="00097AC9" w:rsidRPr="00097AC9" w:rsidRDefault="00097AC9" w:rsidP="00AA4BBB">
            <w:pPr>
              <w:jc w:val="center"/>
              <w:rPr>
                <w:rFonts w:cs="Arial"/>
                <w:sz w:val="18"/>
                <w:szCs w:val="18"/>
              </w:rPr>
            </w:pPr>
            <w:r w:rsidRPr="00097AC9">
              <w:rPr>
                <w:rFonts w:cs="Arial"/>
                <w:sz w:val="18"/>
                <w:szCs w:val="18"/>
              </w:rPr>
              <w:t>2.993.181.588</w:t>
            </w:r>
          </w:p>
        </w:tc>
        <w:tc>
          <w:tcPr>
            <w:tcW w:w="787" w:type="pct"/>
            <w:tcMar>
              <w:top w:w="30" w:type="dxa"/>
              <w:left w:w="45" w:type="dxa"/>
              <w:bottom w:w="30" w:type="dxa"/>
              <w:right w:w="45" w:type="dxa"/>
            </w:tcMar>
            <w:vAlign w:val="center"/>
            <w:hideMark/>
          </w:tcPr>
          <w:p w14:paraId="275B0EC9" w14:textId="77777777" w:rsidR="00097AC9" w:rsidRPr="00097AC9" w:rsidRDefault="00097AC9" w:rsidP="00AA4BBB">
            <w:pPr>
              <w:jc w:val="center"/>
              <w:rPr>
                <w:rFonts w:cs="Arial"/>
                <w:sz w:val="18"/>
                <w:szCs w:val="18"/>
              </w:rPr>
            </w:pPr>
            <w:r w:rsidRPr="00097AC9">
              <w:rPr>
                <w:rFonts w:cs="Arial"/>
                <w:sz w:val="18"/>
                <w:szCs w:val="18"/>
              </w:rPr>
              <w:t>2.934.279.418</w:t>
            </w:r>
          </w:p>
        </w:tc>
        <w:tc>
          <w:tcPr>
            <w:tcW w:w="793" w:type="pct"/>
            <w:vMerge/>
            <w:vAlign w:val="center"/>
            <w:hideMark/>
          </w:tcPr>
          <w:p w14:paraId="6B530D82" w14:textId="77777777" w:rsidR="00097AC9" w:rsidRPr="00097AC9" w:rsidRDefault="00097AC9" w:rsidP="00AA4BBB">
            <w:pPr>
              <w:rPr>
                <w:rFonts w:cs="Arial"/>
                <w:b/>
                <w:bCs/>
                <w:sz w:val="20"/>
                <w:szCs w:val="20"/>
              </w:rPr>
            </w:pPr>
          </w:p>
        </w:tc>
      </w:tr>
      <w:tr w:rsidR="00097AC9" w:rsidRPr="00097AC9" w14:paraId="622AD754" w14:textId="77777777" w:rsidTr="00097AC9">
        <w:tc>
          <w:tcPr>
            <w:tcW w:w="1084" w:type="pct"/>
            <w:vMerge w:val="restart"/>
            <w:tcMar>
              <w:top w:w="30" w:type="dxa"/>
              <w:left w:w="45" w:type="dxa"/>
              <w:bottom w:w="30" w:type="dxa"/>
              <w:right w:w="45" w:type="dxa"/>
            </w:tcMar>
            <w:vAlign w:val="center"/>
            <w:hideMark/>
          </w:tcPr>
          <w:p w14:paraId="0D343194" w14:textId="77777777" w:rsidR="00097AC9" w:rsidRPr="00097AC9" w:rsidRDefault="00097AC9" w:rsidP="00AA4BBB">
            <w:pPr>
              <w:rPr>
                <w:rFonts w:cs="Arial"/>
                <w:sz w:val="18"/>
                <w:szCs w:val="18"/>
              </w:rPr>
            </w:pPr>
            <w:r w:rsidRPr="00097AC9">
              <w:rPr>
                <w:rFonts w:cs="Arial"/>
                <w:sz w:val="18"/>
                <w:szCs w:val="18"/>
              </w:rPr>
              <w:t xml:space="preserve">Implementar 20 proyectos de jornadas 24 horas para generar un entorno propicio y seguro para el fortalecimiento del ecosistema cultural y creativo de la ciudad. </w:t>
            </w:r>
          </w:p>
        </w:tc>
        <w:tc>
          <w:tcPr>
            <w:tcW w:w="789" w:type="pct"/>
            <w:tcMar>
              <w:top w:w="30" w:type="dxa"/>
              <w:left w:w="45" w:type="dxa"/>
              <w:bottom w:w="30" w:type="dxa"/>
              <w:right w:w="45" w:type="dxa"/>
            </w:tcMar>
            <w:vAlign w:val="center"/>
            <w:hideMark/>
          </w:tcPr>
          <w:p w14:paraId="265EC253" w14:textId="77777777" w:rsidR="00097AC9" w:rsidRPr="00097AC9" w:rsidRDefault="00097AC9" w:rsidP="00AA4BBB">
            <w:pPr>
              <w:jc w:val="center"/>
              <w:rPr>
                <w:rFonts w:cs="Arial"/>
                <w:sz w:val="18"/>
                <w:szCs w:val="18"/>
              </w:rPr>
            </w:pPr>
            <w:r w:rsidRPr="00097AC9">
              <w:rPr>
                <w:rFonts w:cs="Arial"/>
                <w:sz w:val="18"/>
                <w:szCs w:val="18"/>
              </w:rPr>
              <w:t>5</w:t>
            </w:r>
          </w:p>
        </w:tc>
        <w:tc>
          <w:tcPr>
            <w:tcW w:w="762" w:type="pct"/>
            <w:tcMar>
              <w:top w:w="30" w:type="dxa"/>
              <w:left w:w="45" w:type="dxa"/>
              <w:bottom w:w="30" w:type="dxa"/>
              <w:right w:w="45" w:type="dxa"/>
            </w:tcMar>
            <w:vAlign w:val="center"/>
            <w:hideMark/>
          </w:tcPr>
          <w:p w14:paraId="1C51AF8A" w14:textId="77777777" w:rsidR="00097AC9" w:rsidRPr="00097AC9" w:rsidRDefault="00097AC9" w:rsidP="00AA4BBB">
            <w:pPr>
              <w:jc w:val="center"/>
              <w:rPr>
                <w:rFonts w:cs="Arial"/>
                <w:sz w:val="18"/>
                <w:szCs w:val="18"/>
              </w:rPr>
            </w:pPr>
            <w:r w:rsidRPr="00097AC9">
              <w:rPr>
                <w:rFonts w:cs="Arial"/>
                <w:sz w:val="18"/>
                <w:szCs w:val="18"/>
              </w:rPr>
              <w:t>5</w:t>
            </w:r>
          </w:p>
        </w:tc>
        <w:tc>
          <w:tcPr>
            <w:tcW w:w="784" w:type="pct"/>
            <w:tcMar>
              <w:top w:w="30" w:type="dxa"/>
              <w:left w:w="45" w:type="dxa"/>
              <w:bottom w:w="30" w:type="dxa"/>
              <w:right w:w="45" w:type="dxa"/>
            </w:tcMar>
            <w:vAlign w:val="center"/>
            <w:hideMark/>
          </w:tcPr>
          <w:p w14:paraId="04C7FC41" w14:textId="77777777" w:rsidR="00097AC9" w:rsidRPr="00097AC9" w:rsidRDefault="00097AC9" w:rsidP="00AA4BBB">
            <w:pPr>
              <w:jc w:val="center"/>
              <w:rPr>
                <w:rFonts w:cs="Arial"/>
                <w:sz w:val="18"/>
                <w:szCs w:val="18"/>
              </w:rPr>
            </w:pPr>
            <w:r w:rsidRPr="00097AC9">
              <w:rPr>
                <w:rFonts w:cs="Arial"/>
                <w:sz w:val="18"/>
                <w:szCs w:val="18"/>
              </w:rPr>
              <w:t>5</w:t>
            </w:r>
          </w:p>
        </w:tc>
        <w:tc>
          <w:tcPr>
            <w:tcW w:w="787" w:type="pct"/>
            <w:tcMar>
              <w:top w:w="30" w:type="dxa"/>
              <w:left w:w="45" w:type="dxa"/>
              <w:bottom w:w="30" w:type="dxa"/>
              <w:right w:w="45" w:type="dxa"/>
            </w:tcMar>
            <w:vAlign w:val="center"/>
            <w:hideMark/>
          </w:tcPr>
          <w:p w14:paraId="07250928" w14:textId="77777777" w:rsidR="00097AC9" w:rsidRPr="00097AC9" w:rsidRDefault="00097AC9" w:rsidP="00AA4BBB">
            <w:pPr>
              <w:jc w:val="center"/>
              <w:rPr>
                <w:rFonts w:cs="Arial"/>
                <w:sz w:val="18"/>
                <w:szCs w:val="18"/>
              </w:rPr>
            </w:pPr>
            <w:r w:rsidRPr="00097AC9">
              <w:rPr>
                <w:rFonts w:cs="Arial"/>
                <w:sz w:val="18"/>
                <w:szCs w:val="18"/>
              </w:rPr>
              <w:t>5</w:t>
            </w:r>
          </w:p>
        </w:tc>
        <w:tc>
          <w:tcPr>
            <w:tcW w:w="793" w:type="pct"/>
            <w:vMerge w:val="restart"/>
            <w:tcMar>
              <w:top w:w="30" w:type="dxa"/>
              <w:left w:w="45" w:type="dxa"/>
              <w:bottom w:w="30" w:type="dxa"/>
              <w:right w:w="45" w:type="dxa"/>
            </w:tcMar>
            <w:vAlign w:val="center"/>
            <w:hideMark/>
          </w:tcPr>
          <w:p w14:paraId="32DCF835" w14:textId="77777777" w:rsidR="00097AC9" w:rsidRPr="00097AC9" w:rsidRDefault="00097AC9" w:rsidP="00AA4BBB">
            <w:pPr>
              <w:jc w:val="center"/>
              <w:rPr>
                <w:rFonts w:cs="Arial"/>
                <w:b/>
                <w:bCs/>
                <w:sz w:val="20"/>
                <w:szCs w:val="20"/>
              </w:rPr>
            </w:pPr>
            <w:r w:rsidRPr="00097AC9">
              <w:rPr>
                <w:rFonts w:cs="Arial"/>
                <w:b/>
                <w:bCs/>
                <w:sz w:val="20"/>
                <w:szCs w:val="20"/>
              </w:rPr>
              <w:t>3.941.671.591</w:t>
            </w:r>
          </w:p>
        </w:tc>
      </w:tr>
      <w:tr w:rsidR="00097AC9" w:rsidRPr="00097AC9" w14:paraId="7EEC2972" w14:textId="77777777" w:rsidTr="00097AC9">
        <w:tc>
          <w:tcPr>
            <w:tcW w:w="1084" w:type="pct"/>
            <w:vMerge/>
            <w:vAlign w:val="center"/>
            <w:hideMark/>
          </w:tcPr>
          <w:p w14:paraId="209395B2"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58E2A1E2" w14:textId="77777777" w:rsidR="00097AC9" w:rsidRPr="00097AC9" w:rsidRDefault="00097AC9" w:rsidP="00AA4BBB">
            <w:pPr>
              <w:jc w:val="center"/>
              <w:rPr>
                <w:rFonts w:cs="Arial"/>
                <w:sz w:val="18"/>
                <w:szCs w:val="18"/>
              </w:rPr>
            </w:pPr>
            <w:r w:rsidRPr="00097AC9">
              <w:rPr>
                <w:rFonts w:cs="Arial"/>
                <w:sz w:val="18"/>
                <w:szCs w:val="18"/>
              </w:rPr>
              <w:t>1.174.671.000</w:t>
            </w:r>
          </w:p>
        </w:tc>
        <w:tc>
          <w:tcPr>
            <w:tcW w:w="762" w:type="pct"/>
            <w:tcMar>
              <w:top w:w="30" w:type="dxa"/>
              <w:left w:w="45" w:type="dxa"/>
              <w:bottom w:w="30" w:type="dxa"/>
              <w:right w:w="45" w:type="dxa"/>
            </w:tcMar>
            <w:vAlign w:val="center"/>
            <w:hideMark/>
          </w:tcPr>
          <w:p w14:paraId="09693B3D" w14:textId="77777777" w:rsidR="00097AC9" w:rsidRPr="00097AC9" w:rsidRDefault="00097AC9" w:rsidP="00AA4BBB">
            <w:pPr>
              <w:jc w:val="center"/>
              <w:rPr>
                <w:rFonts w:cs="Arial"/>
                <w:sz w:val="18"/>
                <w:szCs w:val="18"/>
              </w:rPr>
            </w:pPr>
            <w:r w:rsidRPr="00097AC9">
              <w:rPr>
                <w:rFonts w:cs="Arial"/>
                <w:sz w:val="18"/>
                <w:szCs w:val="18"/>
              </w:rPr>
              <w:t>957.588.350</w:t>
            </w:r>
          </w:p>
        </w:tc>
        <w:tc>
          <w:tcPr>
            <w:tcW w:w="784" w:type="pct"/>
            <w:tcMar>
              <w:top w:w="30" w:type="dxa"/>
              <w:left w:w="45" w:type="dxa"/>
              <w:bottom w:w="30" w:type="dxa"/>
              <w:right w:w="45" w:type="dxa"/>
            </w:tcMar>
            <w:vAlign w:val="center"/>
            <w:hideMark/>
          </w:tcPr>
          <w:p w14:paraId="2512485C" w14:textId="77777777" w:rsidR="00097AC9" w:rsidRPr="00097AC9" w:rsidRDefault="00097AC9" w:rsidP="00AA4BBB">
            <w:pPr>
              <w:jc w:val="center"/>
              <w:rPr>
                <w:rFonts w:cs="Arial"/>
                <w:sz w:val="18"/>
                <w:szCs w:val="18"/>
              </w:rPr>
            </w:pPr>
            <w:r w:rsidRPr="00097AC9">
              <w:rPr>
                <w:rFonts w:cs="Arial"/>
                <w:sz w:val="18"/>
                <w:szCs w:val="18"/>
              </w:rPr>
              <w:t>918.076.162</w:t>
            </w:r>
          </w:p>
        </w:tc>
        <w:tc>
          <w:tcPr>
            <w:tcW w:w="787" w:type="pct"/>
            <w:tcMar>
              <w:top w:w="30" w:type="dxa"/>
              <w:left w:w="45" w:type="dxa"/>
              <w:bottom w:w="30" w:type="dxa"/>
              <w:right w:w="45" w:type="dxa"/>
            </w:tcMar>
            <w:vAlign w:val="center"/>
            <w:hideMark/>
          </w:tcPr>
          <w:p w14:paraId="496EC9E9" w14:textId="77777777" w:rsidR="00097AC9" w:rsidRPr="00097AC9" w:rsidRDefault="00097AC9" w:rsidP="00AA4BBB">
            <w:pPr>
              <w:jc w:val="center"/>
              <w:rPr>
                <w:rFonts w:cs="Arial"/>
                <w:sz w:val="18"/>
                <w:szCs w:val="18"/>
              </w:rPr>
            </w:pPr>
            <w:r w:rsidRPr="00097AC9">
              <w:rPr>
                <w:rFonts w:cs="Arial"/>
                <w:sz w:val="18"/>
                <w:szCs w:val="18"/>
              </w:rPr>
              <w:t>891.336.079</w:t>
            </w:r>
          </w:p>
        </w:tc>
        <w:tc>
          <w:tcPr>
            <w:tcW w:w="793" w:type="pct"/>
            <w:vMerge/>
            <w:vAlign w:val="center"/>
            <w:hideMark/>
          </w:tcPr>
          <w:p w14:paraId="3A44DD57" w14:textId="77777777" w:rsidR="00097AC9" w:rsidRPr="00097AC9" w:rsidRDefault="00097AC9" w:rsidP="00AA4BBB">
            <w:pPr>
              <w:rPr>
                <w:rFonts w:cs="Arial"/>
                <w:b/>
                <w:bCs/>
                <w:sz w:val="20"/>
                <w:szCs w:val="20"/>
              </w:rPr>
            </w:pPr>
          </w:p>
        </w:tc>
      </w:tr>
      <w:tr w:rsidR="00097AC9" w:rsidRPr="00097AC9" w14:paraId="34D17E15" w14:textId="77777777" w:rsidTr="00097AC9">
        <w:tc>
          <w:tcPr>
            <w:tcW w:w="1084" w:type="pct"/>
            <w:vMerge w:val="restart"/>
            <w:tcMar>
              <w:top w:w="30" w:type="dxa"/>
              <w:left w:w="45" w:type="dxa"/>
              <w:bottom w:w="30" w:type="dxa"/>
              <w:right w:w="45" w:type="dxa"/>
            </w:tcMar>
            <w:vAlign w:val="center"/>
            <w:hideMark/>
          </w:tcPr>
          <w:p w14:paraId="44FEE842" w14:textId="77777777" w:rsidR="00097AC9" w:rsidRPr="00097AC9" w:rsidRDefault="00097AC9" w:rsidP="00AA4BBB">
            <w:pPr>
              <w:rPr>
                <w:rFonts w:cs="Arial"/>
                <w:sz w:val="18"/>
                <w:szCs w:val="18"/>
              </w:rPr>
            </w:pPr>
            <w:r w:rsidRPr="00097AC9">
              <w:rPr>
                <w:rFonts w:cs="Arial"/>
                <w:sz w:val="18"/>
                <w:szCs w:val="18"/>
              </w:rPr>
              <w:t>Vincular a 3.275 agentes personas artesanas colectivos emprendimientos y organizaciones de las industrias culturales y creativas en los eslabones de la cadena de valor promoviendo la sostenibilidad del ecosistema creativo en Bogotá.</w:t>
            </w:r>
          </w:p>
        </w:tc>
        <w:tc>
          <w:tcPr>
            <w:tcW w:w="789" w:type="pct"/>
            <w:tcMar>
              <w:top w:w="30" w:type="dxa"/>
              <w:left w:w="45" w:type="dxa"/>
              <w:bottom w:w="30" w:type="dxa"/>
              <w:right w:w="45" w:type="dxa"/>
            </w:tcMar>
            <w:vAlign w:val="center"/>
            <w:hideMark/>
          </w:tcPr>
          <w:p w14:paraId="022110E9" w14:textId="77777777" w:rsidR="00097AC9" w:rsidRPr="00097AC9" w:rsidRDefault="00097AC9" w:rsidP="00AA4BBB">
            <w:pPr>
              <w:jc w:val="center"/>
              <w:rPr>
                <w:rFonts w:cs="Arial"/>
                <w:sz w:val="18"/>
                <w:szCs w:val="18"/>
              </w:rPr>
            </w:pPr>
            <w:r w:rsidRPr="00097AC9">
              <w:rPr>
                <w:rFonts w:cs="Arial"/>
                <w:sz w:val="18"/>
                <w:szCs w:val="18"/>
              </w:rPr>
              <w:t>493</w:t>
            </w:r>
          </w:p>
        </w:tc>
        <w:tc>
          <w:tcPr>
            <w:tcW w:w="762" w:type="pct"/>
            <w:tcMar>
              <w:top w:w="30" w:type="dxa"/>
              <w:left w:w="45" w:type="dxa"/>
              <w:bottom w:w="30" w:type="dxa"/>
              <w:right w:w="45" w:type="dxa"/>
            </w:tcMar>
            <w:vAlign w:val="center"/>
            <w:hideMark/>
          </w:tcPr>
          <w:p w14:paraId="49926175" w14:textId="77777777" w:rsidR="00097AC9" w:rsidRPr="00097AC9" w:rsidRDefault="00097AC9" w:rsidP="00AA4BBB">
            <w:pPr>
              <w:jc w:val="center"/>
              <w:rPr>
                <w:rFonts w:cs="Arial"/>
                <w:sz w:val="18"/>
                <w:szCs w:val="18"/>
              </w:rPr>
            </w:pPr>
            <w:r w:rsidRPr="00097AC9">
              <w:rPr>
                <w:rFonts w:cs="Arial"/>
                <w:sz w:val="18"/>
                <w:szCs w:val="18"/>
              </w:rPr>
              <w:t>878</w:t>
            </w:r>
          </w:p>
        </w:tc>
        <w:tc>
          <w:tcPr>
            <w:tcW w:w="784" w:type="pct"/>
            <w:tcMar>
              <w:top w:w="30" w:type="dxa"/>
              <w:left w:w="45" w:type="dxa"/>
              <w:bottom w:w="30" w:type="dxa"/>
              <w:right w:w="45" w:type="dxa"/>
            </w:tcMar>
            <w:vAlign w:val="center"/>
            <w:hideMark/>
          </w:tcPr>
          <w:p w14:paraId="0FB1A2CC" w14:textId="77777777" w:rsidR="00097AC9" w:rsidRPr="00097AC9" w:rsidRDefault="00097AC9" w:rsidP="00AA4BBB">
            <w:pPr>
              <w:jc w:val="center"/>
              <w:rPr>
                <w:rFonts w:cs="Arial"/>
                <w:sz w:val="18"/>
                <w:szCs w:val="18"/>
              </w:rPr>
            </w:pPr>
            <w:r w:rsidRPr="00097AC9">
              <w:rPr>
                <w:rFonts w:cs="Arial"/>
                <w:sz w:val="18"/>
                <w:szCs w:val="18"/>
              </w:rPr>
              <w:t>927</w:t>
            </w:r>
          </w:p>
        </w:tc>
        <w:tc>
          <w:tcPr>
            <w:tcW w:w="787" w:type="pct"/>
            <w:tcMar>
              <w:top w:w="30" w:type="dxa"/>
              <w:left w:w="45" w:type="dxa"/>
              <w:bottom w:w="30" w:type="dxa"/>
              <w:right w:w="45" w:type="dxa"/>
            </w:tcMar>
            <w:vAlign w:val="center"/>
            <w:hideMark/>
          </w:tcPr>
          <w:p w14:paraId="2CBF15B2" w14:textId="77777777" w:rsidR="00097AC9" w:rsidRPr="00097AC9" w:rsidRDefault="00097AC9" w:rsidP="00AA4BBB">
            <w:pPr>
              <w:jc w:val="center"/>
              <w:rPr>
                <w:rFonts w:cs="Arial"/>
                <w:sz w:val="18"/>
                <w:szCs w:val="18"/>
              </w:rPr>
            </w:pPr>
            <w:r w:rsidRPr="00097AC9">
              <w:rPr>
                <w:rFonts w:cs="Arial"/>
                <w:sz w:val="18"/>
                <w:szCs w:val="18"/>
              </w:rPr>
              <w:t>977</w:t>
            </w:r>
          </w:p>
        </w:tc>
        <w:tc>
          <w:tcPr>
            <w:tcW w:w="793" w:type="pct"/>
            <w:vMerge w:val="restart"/>
            <w:tcMar>
              <w:top w:w="30" w:type="dxa"/>
              <w:left w:w="45" w:type="dxa"/>
              <w:bottom w:w="30" w:type="dxa"/>
              <w:right w:w="45" w:type="dxa"/>
            </w:tcMar>
            <w:vAlign w:val="center"/>
            <w:hideMark/>
          </w:tcPr>
          <w:p w14:paraId="39B0203C" w14:textId="77777777" w:rsidR="00097AC9" w:rsidRPr="00097AC9" w:rsidRDefault="00097AC9" w:rsidP="00AA4BBB">
            <w:pPr>
              <w:jc w:val="center"/>
              <w:rPr>
                <w:rFonts w:cs="Arial"/>
                <w:b/>
                <w:bCs/>
                <w:sz w:val="20"/>
                <w:szCs w:val="20"/>
              </w:rPr>
            </w:pPr>
            <w:r w:rsidRPr="00097AC9">
              <w:rPr>
                <w:rFonts w:cs="Arial"/>
                <w:b/>
                <w:bCs/>
                <w:sz w:val="20"/>
                <w:szCs w:val="20"/>
              </w:rPr>
              <w:t>35.307.833.415</w:t>
            </w:r>
          </w:p>
        </w:tc>
      </w:tr>
      <w:tr w:rsidR="00097AC9" w:rsidRPr="00097AC9" w14:paraId="7D670291" w14:textId="77777777" w:rsidTr="00097AC9">
        <w:tc>
          <w:tcPr>
            <w:tcW w:w="1084" w:type="pct"/>
            <w:vMerge/>
            <w:vAlign w:val="center"/>
            <w:hideMark/>
          </w:tcPr>
          <w:p w14:paraId="63DEAEC3"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70E36573" w14:textId="77777777" w:rsidR="00097AC9" w:rsidRPr="00097AC9" w:rsidRDefault="00097AC9" w:rsidP="00AA4BBB">
            <w:pPr>
              <w:jc w:val="center"/>
              <w:rPr>
                <w:rFonts w:cs="Arial"/>
                <w:sz w:val="18"/>
                <w:szCs w:val="18"/>
              </w:rPr>
            </w:pPr>
            <w:r w:rsidRPr="00097AC9">
              <w:rPr>
                <w:rFonts w:cs="Arial"/>
                <w:sz w:val="18"/>
                <w:szCs w:val="18"/>
              </w:rPr>
              <w:t>6.292.070.000</w:t>
            </w:r>
          </w:p>
        </w:tc>
        <w:tc>
          <w:tcPr>
            <w:tcW w:w="762" w:type="pct"/>
            <w:tcMar>
              <w:top w:w="30" w:type="dxa"/>
              <w:left w:w="45" w:type="dxa"/>
              <w:bottom w:w="30" w:type="dxa"/>
              <w:right w:w="45" w:type="dxa"/>
            </w:tcMar>
            <w:vAlign w:val="center"/>
            <w:hideMark/>
          </w:tcPr>
          <w:p w14:paraId="5EB7DB38" w14:textId="77777777" w:rsidR="00097AC9" w:rsidRPr="00097AC9" w:rsidRDefault="00097AC9" w:rsidP="00AA4BBB">
            <w:pPr>
              <w:jc w:val="center"/>
              <w:rPr>
                <w:rFonts w:cs="Arial"/>
                <w:sz w:val="18"/>
                <w:szCs w:val="18"/>
              </w:rPr>
            </w:pPr>
            <w:r w:rsidRPr="00097AC9">
              <w:rPr>
                <w:rFonts w:cs="Arial"/>
                <w:sz w:val="18"/>
                <w:szCs w:val="18"/>
              </w:rPr>
              <w:t>8.556.256.311</w:t>
            </w:r>
          </w:p>
        </w:tc>
        <w:tc>
          <w:tcPr>
            <w:tcW w:w="784" w:type="pct"/>
            <w:tcMar>
              <w:top w:w="30" w:type="dxa"/>
              <w:left w:w="45" w:type="dxa"/>
              <w:bottom w:w="30" w:type="dxa"/>
              <w:right w:w="45" w:type="dxa"/>
            </w:tcMar>
            <w:vAlign w:val="center"/>
            <w:hideMark/>
          </w:tcPr>
          <w:p w14:paraId="4E61E9A8" w14:textId="77777777" w:rsidR="00097AC9" w:rsidRPr="00097AC9" w:rsidRDefault="00097AC9" w:rsidP="00AA4BBB">
            <w:pPr>
              <w:jc w:val="center"/>
              <w:rPr>
                <w:rFonts w:cs="Arial"/>
                <w:sz w:val="18"/>
                <w:szCs w:val="18"/>
              </w:rPr>
            </w:pPr>
            <w:r w:rsidRPr="00097AC9">
              <w:rPr>
                <w:rFonts w:cs="Arial"/>
                <w:sz w:val="18"/>
                <w:szCs w:val="18"/>
              </w:rPr>
              <w:t>10.100.475.068</w:t>
            </w:r>
          </w:p>
        </w:tc>
        <w:tc>
          <w:tcPr>
            <w:tcW w:w="787" w:type="pct"/>
            <w:tcMar>
              <w:top w:w="30" w:type="dxa"/>
              <w:left w:w="45" w:type="dxa"/>
              <w:bottom w:w="30" w:type="dxa"/>
              <w:right w:w="45" w:type="dxa"/>
            </w:tcMar>
            <w:vAlign w:val="center"/>
            <w:hideMark/>
          </w:tcPr>
          <w:p w14:paraId="1D4DA49B" w14:textId="77777777" w:rsidR="00097AC9" w:rsidRPr="00097AC9" w:rsidRDefault="00097AC9" w:rsidP="00AA4BBB">
            <w:pPr>
              <w:jc w:val="center"/>
              <w:rPr>
                <w:rFonts w:cs="Arial"/>
                <w:sz w:val="18"/>
                <w:szCs w:val="18"/>
              </w:rPr>
            </w:pPr>
            <w:r w:rsidRPr="00097AC9">
              <w:rPr>
                <w:rFonts w:cs="Arial"/>
                <w:sz w:val="18"/>
                <w:szCs w:val="18"/>
              </w:rPr>
              <w:t>10.359.032.036</w:t>
            </w:r>
          </w:p>
        </w:tc>
        <w:tc>
          <w:tcPr>
            <w:tcW w:w="793" w:type="pct"/>
            <w:vMerge/>
            <w:vAlign w:val="center"/>
            <w:hideMark/>
          </w:tcPr>
          <w:p w14:paraId="46B0883A" w14:textId="77777777" w:rsidR="00097AC9" w:rsidRPr="00097AC9" w:rsidRDefault="00097AC9" w:rsidP="00AA4BBB">
            <w:pPr>
              <w:rPr>
                <w:rFonts w:cs="Arial"/>
                <w:b/>
                <w:bCs/>
                <w:sz w:val="20"/>
                <w:szCs w:val="20"/>
              </w:rPr>
            </w:pPr>
          </w:p>
        </w:tc>
      </w:tr>
      <w:tr w:rsidR="00097AC9" w:rsidRPr="00097AC9" w14:paraId="1D52BE0B" w14:textId="77777777" w:rsidTr="00097AC9">
        <w:tc>
          <w:tcPr>
            <w:tcW w:w="5000" w:type="pct"/>
            <w:gridSpan w:val="6"/>
            <w:shd w:val="clear" w:color="auto" w:fill="C00000"/>
            <w:tcMar>
              <w:top w:w="30" w:type="dxa"/>
              <w:left w:w="45" w:type="dxa"/>
              <w:bottom w:w="30" w:type="dxa"/>
              <w:right w:w="45" w:type="dxa"/>
            </w:tcMar>
            <w:vAlign w:val="center"/>
            <w:hideMark/>
          </w:tcPr>
          <w:p w14:paraId="73DA6B49" w14:textId="4FD54ECC" w:rsidR="00097AC9" w:rsidRPr="00097AC9" w:rsidRDefault="00097AC9" w:rsidP="00097AC9">
            <w:pPr>
              <w:jc w:val="center"/>
              <w:rPr>
                <w:rFonts w:cs="Arial"/>
                <w:b/>
                <w:bCs/>
                <w:color w:val="FFFFFF" w:themeColor="background1"/>
                <w:sz w:val="18"/>
                <w:szCs w:val="18"/>
              </w:rPr>
            </w:pPr>
            <w:r w:rsidRPr="00097AC9">
              <w:rPr>
                <w:rFonts w:cs="Arial"/>
                <w:b/>
                <w:bCs/>
                <w:color w:val="FFFFFF" w:themeColor="background1"/>
                <w:sz w:val="18"/>
                <w:szCs w:val="18"/>
              </w:rPr>
              <w:t>Desarrollo Económico</w:t>
            </w:r>
          </w:p>
        </w:tc>
      </w:tr>
      <w:tr w:rsidR="00097AC9" w:rsidRPr="00097AC9" w14:paraId="1942F517" w14:textId="77777777" w:rsidTr="00097AC9">
        <w:tc>
          <w:tcPr>
            <w:tcW w:w="1084" w:type="pct"/>
            <w:vMerge w:val="restart"/>
            <w:tcMar>
              <w:top w:w="30" w:type="dxa"/>
              <w:left w:w="45" w:type="dxa"/>
              <w:bottom w:w="30" w:type="dxa"/>
              <w:right w:w="45" w:type="dxa"/>
            </w:tcMar>
            <w:vAlign w:val="center"/>
            <w:hideMark/>
          </w:tcPr>
          <w:p w14:paraId="0A515C7A" w14:textId="77777777" w:rsidR="00097AC9" w:rsidRPr="00097AC9" w:rsidRDefault="00097AC9" w:rsidP="00AA4BBB">
            <w:pPr>
              <w:rPr>
                <w:rFonts w:cs="Arial"/>
                <w:sz w:val="18"/>
                <w:szCs w:val="18"/>
              </w:rPr>
            </w:pPr>
            <w:r w:rsidRPr="00097AC9">
              <w:rPr>
                <w:rFonts w:cs="Arial"/>
                <w:sz w:val="18"/>
                <w:szCs w:val="18"/>
              </w:rPr>
              <w:t>Apoyar financieramente a 36.000 negocios locales con el fin de contribuir a su fortalecimiento sostenibilidad y crecimiento</w:t>
            </w:r>
          </w:p>
        </w:tc>
        <w:tc>
          <w:tcPr>
            <w:tcW w:w="789" w:type="pct"/>
            <w:tcMar>
              <w:top w:w="30" w:type="dxa"/>
              <w:left w:w="45" w:type="dxa"/>
              <w:bottom w:w="30" w:type="dxa"/>
              <w:right w:w="45" w:type="dxa"/>
            </w:tcMar>
            <w:vAlign w:val="center"/>
            <w:hideMark/>
          </w:tcPr>
          <w:p w14:paraId="6E557BCD" w14:textId="77777777" w:rsidR="00097AC9" w:rsidRPr="00097AC9" w:rsidRDefault="00097AC9" w:rsidP="00AA4BBB">
            <w:pPr>
              <w:jc w:val="center"/>
              <w:rPr>
                <w:rFonts w:cs="Arial"/>
                <w:sz w:val="18"/>
                <w:szCs w:val="18"/>
              </w:rPr>
            </w:pPr>
            <w:r w:rsidRPr="00097AC9">
              <w:rPr>
                <w:rFonts w:cs="Arial"/>
                <w:sz w:val="18"/>
                <w:szCs w:val="18"/>
              </w:rPr>
              <w:t>8.523</w:t>
            </w:r>
          </w:p>
        </w:tc>
        <w:tc>
          <w:tcPr>
            <w:tcW w:w="762" w:type="pct"/>
            <w:tcMar>
              <w:top w:w="30" w:type="dxa"/>
              <w:left w:w="45" w:type="dxa"/>
              <w:bottom w:w="30" w:type="dxa"/>
              <w:right w:w="45" w:type="dxa"/>
            </w:tcMar>
            <w:vAlign w:val="center"/>
            <w:hideMark/>
          </w:tcPr>
          <w:p w14:paraId="607B4C40" w14:textId="77777777" w:rsidR="00097AC9" w:rsidRPr="00097AC9" w:rsidRDefault="00097AC9" w:rsidP="00AA4BBB">
            <w:pPr>
              <w:jc w:val="center"/>
              <w:rPr>
                <w:rFonts w:cs="Arial"/>
                <w:sz w:val="18"/>
                <w:szCs w:val="18"/>
              </w:rPr>
            </w:pPr>
            <w:r w:rsidRPr="00097AC9">
              <w:rPr>
                <w:rFonts w:cs="Arial"/>
                <w:sz w:val="18"/>
                <w:szCs w:val="18"/>
              </w:rPr>
              <w:t>8.202</w:t>
            </w:r>
          </w:p>
        </w:tc>
        <w:tc>
          <w:tcPr>
            <w:tcW w:w="784" w:type="pct"/>
            <w:tcMar>
              <w:top w:w="30" w:type="dxa"/>
              <w:left w:w="45" w:type="dxa"/>
              <w:bottom w:w="30" w:type="dxa"/>
              <w:right w:w="45" w:type="dxa"/>
            </w:tcMar>
            <w:vAlign w:val="center"/>
            <w:hideMark/>
          </w:tcPr>
          <w:p w14:paraId="752918ED" w14:textId="77777777" w:rsidR="00097AC9" w:rsidRPr="00097AC9" w:rsidRDefault="00097AC9" w:rsidP="00AA4BBB">
            <w:pPr>
              <w:jc w:val="center"/>
              <w:rPr>
                <w:rFonts w:cs="Arial"/>
                <w:sz w:val="18"/>
                <w:szCs w:val="18"/>
              </w:rPr>
            </w:pPr>
            <w:r w:rsidRPr="00097AC9">
              <w:rPr>
                <w:rFonts w:cs="Arial"/>
                <w:sz w:val="18"/>
                <w:szCs w:val="18"/>
              </w:rPr>
              <w:t>9.623</w:t>
            </w:r>
          </w:p>
        </w:tc>
        <w:tc>
          <w:tcPr>
            <w:tcW w:w="787" w:type="pct"/>
            <w:tcMar>
              <w:top w:w="30" w:type="dxa"/>
              <w:left w:w="45" w:type="dxa"/>
              <w:bottom w:w="30" w:type="dxa"/>
              <w:right w:w="45" w:type="dxa"/>
            </w:tcMar>
            <w:vAlign w:val="center"/>
            <w:hideMark/>
          </w:tcPr>
          <w:p w14:paraId="44AE2898" w14:textId="77777777" w:rsidR="00097AC9" w:rsidRPr="00097AC9" w:rsidRDefault="00097AC9" w:rsidP="00AA4BBB">
            <w:pPr>
              <w:jc w:val="center"/>
              <w:rPr>
                <w:rFonts w:cs="Arial"/>
                <w:sz w:val="18"/>
                <w:szCs w:val="18"/>
              </w:rPr>
            </w:pPr>
            <w:r w:rsidRPr="00097AC9">
              <w:rPr>
                <w:rFonts w:cs="Arial"/>
                <w:sz w:val="18"/>
                <w:szCs w:val="18"/>
              </w:rPr>
              <w:t>9.652</w:t>
            </w:r>
          </w:p>
        </w:tc>
        <w:tc>
          <w:tcPr>
            <w:tcW w:w="793" w:type="pct"/>
            <w:vMerge w:val="restart"/>
            <w:tcMar>
              <w:top w:w="30" w:type="dxa"/>
              <w:left w:w="45" w:type="dxa"/>
              <w:bottom w:w="30" w:type="dxa"/>
              <w:right w:w="45" w:type="dxa"/>
            </w:tcMar>
            <w:vAlign w:val="center"/>
            <w:hideMark/>
          </w:tcPr>
          <w:p w14:paraId="685829A8" w14:textId="77777777" w:rsidR="00097AC9" w:rsidRPr="00097AC9" w:rsidRDefault="00097AC9" w:rsidP="00AA4BBB">
            <w:pPr>
              <w:jc w:val="center"/>
              <w:rPr>
                <w:rFonts w:cs="Arial"/>
                <w:b/>
                <w:bCs/>
                <w:sz w:val="20"/>
                <w:szCs w:val="20"/>
              </w:rPr>
            </w:pPr>
            <w:r w:rsidRPr="00097AC9">
              <w:rPr>
                <w:rFonts w:cs="Arial"/>
                <w:b/>
                <w:bCs/>
                <w:sz w:val="20"/>
                <w:szCs w:val="20"/>
              </w:rPr>
              <w:t>86.884.180.595</w:t>
            </w:r>
          </w:p>
        </w:tc>
      </w:tr>
      <w:tr w:rsidR="00097AC9" w:rsidRPr="00097AC9" w14:paraId="4A3F6D3D" w14:textId="77777777" w:rsidTr="00097AC9">
        <w:tc>
          <w:tcPr>
            <w:tcW w:w="1084" w:type="pct"/>
            <w:vMerge/>
            <w:vAlign w:val="center"/>
            <w:hideMark/>
          </w:tcPr>
          <w:p w14:paraId="38C12BC7"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65B94283" w14:textId="77777777" w:rsidR="00097AC9" w:rsidRPr="00097AC9" w:rsidRDefault="00097AC9" w:rsidP="00AA4BBB">
            <w:pPr>
              <w:jc w:val="center"/>
              <w:rPr>
                <w:rFonts w:cs="Arial"/>
                <w:sz w:val="18"/>
                <w:szCs w:val="18"/>
              </w:rPr>
            </w:pPr>
            <w:r w:rsidRPr="00097AC9">
              <w:rPr>
                <w:rFonts w:cs="Arial"/>
                <w:sz w:val="18"/>
                <w:szCs w:val="18"/>
              </w:rPr>
              <w:t>19.970.432.863</w:t>
            </w:r>
          </w:p>
        </w:tc>
        <w:tc>
          <w:tcPr>
            <w:tcW w:w="762" w:type="pct"/>
            <w:tcMar>
              <w:top w:w="30" w:type="dxa"/>
              <w:left w:w="45" w:type="dxa"/>
              <w:bottom w:w="30" w:type="dxa"/>
              <w:right w:w="45" w:type="dxa"/>
            </w:tcMar>
            <w:vAlign w:val="center"/>
            <w:hideMark/>
          </w:tcPr>
          <w:p w14:paraId="0F3997E6" w14:textId="77777777" w:rsidR="00097AC9" w:rsidRPr="00097AC9" w:rsidRDefault="00097AC9" w:rsidP="00AA4BBB">
            <w:pPr>
              <w:jc w:val="center"/>
              <w:rPr>
                <w:rFonts w:cs="Arial"/>
                <w:sz w:val="18"/>
                <w:szCs w:val="18"/>
              </w:rPr>
            </w:pPr>
            <w:r w:rsidRPr="00097AC9">
              <w:rPr>
                <w:rFonts w:cs="Arial"/>
                <w:sz w:val="18"/>
                <w:szCs w:val="18"/>
              </w:rPr>
              <w:t>20.373.351.359</w:t>
            </w:r>
          </w:p>
        </w:tc>
        <w:tc>
          <w:tcPr>
            <w:tcW w:w="784" w:type="pct"/>
            <w:tcMar>
              <w:top w:w="30" w:type="dxa"/>
              <w:left w:w="45" w:type="dxa"/>
              <w:bottom w:w="30" w:type="dxa"/>
              <w:right w:w="45" w:type="dxa"/>
            </w:tcMar>
            <w:vAlign w:val="center"/>
            <w:hideMark/>
          </w:tcPr>
          <w:p w14:paraId="2F851325" w14:textId="77777777" w:rsidR="00097AC9" w:rsidRPr="00097AC9" w:rsidRDefault="00097AC9" w:rsidP="00AA4BBB">
            <w:pPr>
              <w:jc w:val="center"/>
              <w:rPr>
                <w:rFonts w:cs="Arial"/>
                <w:sz w:val="18"/>
                <w:szCs w:val="18"/>
              </w:rPr>
            </w:pPr>
            <w:r w:rsidRPr="00097AC9">
              <w:rPr>
                <w:rFonts w:cs="Arial"/>
                <w:sz w:val="18"/>
                <w:szCs w:val="18"/>
              </w:rPr>
              <w:t>22.720.516.458</w:t>
            </w:r>
          </w:p>
        </w:tc>
        <w:tc>
          <w:tcPr>
            <w:tcW w:w="787" w:type="pct"/>
            <w:tcMar>
              <w:top w:w="30" w:type="dxa"/>
              <w:left w:w="45" w:type="dxa"/>
              <w:bottom w:w="30" w:type="dxa"/>
              <w:right w:w="45" w:type="dxa"/>
            </w:tcMar>
            <w:vAlign w:val="center"/>
            <w:hideMark/>
          </w:tcPr>
          <w:p w14:paraId="1F3C3BF3" w14:textId="77777777" w:rsidR="00097AC9" w:rsidRPr="00097AC9" w:rsidRDefault="00097AC9" w:rsidP="00AA4BBB">
            <w:pPr>
              <w:jc w:val="center"/>
              <w:rPr>
                <w:rFonts w:cs="Arial"/>
                <w:sz w:val="18"/>
                <w:szCs w:val="18"/>
              </w:rPr>
            </w:pPr>
            <w:r w:rsidRPr="00097AC9">
              <w:rPr>
                <w:rFonts w:cs="Arial"/>
                <w:sz w:val="18"/>
                <w:szCs w:val="18"/>
              </w:rPr>
              <w:t>23.819.879.915</w:t>
            </w:r>
          </w:p>
        </w:tc>
        <w:tc>
          <w:tcPr>
            <w:tcW w:w="793" w:type="pct"/>
            <w:vMerge/>
            <w:vAlign w:val="center"/>
            <w:hideMark/>
          </w:tcPr>
          <w:p w14:paraId="64D49405" w14:textId="77777777" w:rsidR="00097AC9" w:rsidRPr="00097AC9" w:rsidRDefault="00097AC9" w:rsidP="00AA4BBB">
            <w:pPr>
              <w:rPr>
                <w:rFonts w:cs="Arial"/>
                <w:b/>
                <w:bCs/>
                <w:sz w:val="20"/>
                <w:szCs w:val="20"/>
              </w:rPr>
            </w:pPr>
          </w:p>
        </w:tc>
      </w:tr>
      <w:tr w:rsidR="00097AC9" w:rsidRPr="00097AC9" w14:paraId="3E670B90" w14:textId="77777777" w:rsidTr="00097AC9">
        <w:tc>
          <w:tcPr>
            <w:tcW w:w="1084" w:type="pct"/>
            <w:vMerge w:val="restart"/>
            <w:tcMar>
              <w:top w:w="30" w:type="dxa"/>
              <w:left w:w="45" w:type="dxa"/>
              <w:bottom w:w="30" w:type="dxa"/>
              <w:right w:w="45" w:type="dxa"/>
            </w:tcMar>
            <w:vAlign w:val="center"/>
            <w:hideMark/>
          </w:tcPr>
          <w:p w14:paraId="7E4EACCD" w14:textId="77777777" w:rsidR="00097AC9" w:rsidRPr="00097AC9" w:rsidRDefault="00097AC9" w:rsidP="00AA4BBB">
            <w:pPr>
              <w:rPr>
                <w:rFonts w:cs="Arial"/>
                <w:sz w:val="18"/>
                <w:szCs w:val="18"/>
              </w:rPr>
            </w:pPr>
            <w:r w:rsidRPr="00097AC9">
              <w:rPr>
                <w:rFonts w:cs="Arial"/>
                <w:sz w:val="18"/>
                <w:szCs w:val="18"/>
              </w:rPr>
              <w:t>Atender al menos 2.000 personas con alternativas de aprovechamiento económico del espacio público incluyendo también las relacionadas al sistema de transporte de la ciudad.</w:t>
            </w:r>
          </w:p>
        </w:tc>
        <w:tc>
          <w:tcPr>
            <w:tcW w:w="789" w:type="pct"/>
            <w:tcMar>
              <w:top w:w="30" w:type="dxa"/>
              <w:left w:w="45" w:type="dxa"/>
              <w:bottom w:w="30" w:type="dxa"/>
              <w:right w:w="45" w:type="dxa"/>
            </w:tcMar>
            <w:vAlign w:val="center"/>
            <w:hideMark/>
          </w:tcPr>
          <w:p w14:paraId="2B48270A" w14:textId="77777777" w:rsidR="00097AC9" w:rsidRPr="00097AC9" w:rsidRDefault="00097AC9" w:rsidP="00AA4BBB">
            <w:pPr>
              <w:jc w:val="center"/>
              <w:rPr>
                <w:rFonts w:cs="Arial"/>
                <w:sz w:val="18"/>
                <w:szCs w:val="18"/>
              </w:rPr>
            </w:pPr>
            <w:r w:rsidRPr="00097AC9">
              <w:rPr>
                <w:rFonts w:cs="Arial"/>
                <w:sz w:val="18"/>
                <w:szCs w:val="18"/>
              </w:rPr>
              <w:t>200</w:t>
            </w:r>
          </w:p>
        </w:tc>
        <w:tc>
          <w:tcPr>
            <w:tcW w:w="762" w:type="pct"/>
            <w:tcMar>
              <w:top w:w="30" w:type="dxa"/>
              <w:left w:w="45" w:type="dxa"/>
              <w:bottom w:w="30" w:type="dxa"/>
              <w:right w:w="45" w:type="dxa"/>
            </w:tcMar>
            <w:vAlign w:val="center"/>
            <w:hideMark/>
          </w:tcPr>
          <w:p w14:paraId="0A0E7A23" w14:textId="77777777" w:rsidR="00097AC9" w:rsidRPr="00097AC9" w:rsidRDefault="00097AC9" w:rsidP="00AA4BBB">
            <w:pPr>
              <w:jc w:val="center"/>
              <w:rPr>
                <w:rFonts w:cs="Arial"/>
                <w:sz w:val="18"/>
                <w:szCs w:val="18"/>
              </w:rPr>
            </w:pPr>
            <w:r w:rsidRPr="00097AC9">
              <w:rPr>
                <w:rFonts w:cs="Arial"/>
                <w:sz w:val="18"/>
                <w:szCs w:val="18"/>
              </w:rPr>
              <w:t>500</w:t>
            </w:r>
          </w:p>
        </w:tc>
        <w:tc>
          <w:tcPr>
            <w:tcW w:w="784" w:type="pct"/>
            <w:tcMar>
              <w:top w:w="30" w:type="dxa"/>
              <w:left w:w="45" w:type="dxa"/>
              <w:bottom w:w="30" w:type="dxa"/>
              <w:right w:w="45" w:type="dxa"/>
            </w:tcMar>
            <w:vAlign w:val="center"/>
            <w:hideMark/>
          </w:tcPr>
          <w:p w14:paraId="68703979" w14:textId="77777777" w:rsidR="00097AC9" w:rsidRPr="00097AC9" w:rsidRDefault="00097AC9" w:rsidP="00AA4BBB">
            <w:pPr>
              <w:jc w:val="center"/>
              <w:rPr>
                <w:rFonts w:cs="Arial"/>
                <w:sz w:val="18"/>
                <w:szCs w:val="18"/>
              </w:rPr>
            </w:pPr>
            <w:r w:rsidRPr="00097AC9">
              <w:rPr>
                <w:rFonts w:cs="Arial"/>
                <w:sz w:val="18"/>
                <w:szCs w:val="18"/>
              </w:rPr>
              <w:t>600</w:t>
            </w:r>
          </w:p>
        </w:tc>
        <w:tc>
          <w:tcPr>
            <w:tcW w:w="787" w:type="pct"/>
            <w:tcMar>
              <w:top w:w="30" w:type="dxa"/>
              <w:left w:w="45" w:type="dxa"/>
              <w:bottom w:w="30" w:type="dxa"/>
              <w:right w:w="45" w:type="dxa"/>
            </w:tcMar>
            <w:vAlign w:val="center"/>
            <w:hideMark/>
          </w:tcPr>
          <w:p w14:paraId="3459CFF8" w14:textId="77777777" w:rsidR="00097AC9" w:rsidRPr="00097AC9" w:rsidRDefault="00097AC9" w:rsidP="00AA4BBB">
            <w:pPr>
              <w:jc w:val="center"/>
              <w:rPr>
                <w:rFonts w:cs="Arial"/>
                <w:sz w:val="18"/>
                <w:szCs w:val="18"/>
              </w:rPr>
            </w:pPr>
            <w:r w:rsidRPr="00097AC9">
              <w:rPr>
                <w:rFonts w:cs="Arial"/>
                <w:sz w:val="18"/>
                <w:szCs w:val="18"/>
              </w:rPr>
              <w:t>700</w:t>
            </w:r>
          </w:p>
        </w:tc>
        <w:tc>
          <w:tcPr>
            <w:tcW w:w="793" w:type="pct"/>
            <w:vMerge w:val="restart"/>
            <w:tcMar>
              <w:top w:w="30" w:type="dxa"/>
              <w:left w:w="45" w:type="dxa"/>
              <w:bottom w:w="30" w:type="dxa"/>
              <w:right w:w="45" w:type="dxa"/>
            </w:tcMar>
            <w:vAlign w:val="center"/>
            <w:hideMark/>
          </w:tcPr>
          <w:p w14:paraId="748C1DFB" w14:textId="77777777" w:rsidR="00097AC9" w:rsidRPr="00097AC9" w:rsidRDefault="00097AC9" w:rsidP="00AA4BBB">
            <w:pPr>
              <w:jc w:val="center"/>
              <w:rPr>
                <w:rFonts w:cs="Arial"/>
                <w:b/>
                <w:bCs/>
                <w:sz w:val="20"/>
                <w:szCs w:val="20"/>
              </w:rPr>
            </w:pPr>
            <w:r w:rsidRPr="00097AC9">
              <w:rPr>
                <w:rFonts w:cs="Arial"/>
                <w:b/>
                <w:bCs/>
                <w:sz w:val="20"/>
                <w:szCs w:val="20"/>
              </w:rPr>
              <w:t>16.634.907.424</w:t>
            </w:r>
          </w:p>
        </w:tc>
      </w:tr>
      <w:tr w:rsidR="00097AC9" w:rsidRPr="00097AC9" w14:paraId="5CE7CE35" w14:textId="77777777" w:rsidTr="00097AC9">
        <w:tc>
          <w:tcPr>
            <w:tcW w:w="1084" w:type="pct"/>
            <w:vMerge/>
            <w:vAlign w:val="center"/>
            <w:hideMark/>
          </w:tcPr>
          <w:p w14:paraId="12336403"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5890929E" w14:textId="77777777" w:rsidR="00097AC9" w:rsidRPr="00097AC9" w:rsidRDefault="00097AC9" w:rsidP="00AA4BBB">
            <w:pPr>
              <w:jc w:val="center"/>
              <w:rPr>
                <w:rFonts w:cs="Arial"/>
                <w:sz w:val="18"/>
                <w:szCs w:val="18"/>
              </w:rPr>
            </w:pPr>
            <w:r w:rsidRPr="00097AC9">
              <w:rPr>
                <w:rFonts w:cs="Arial"/>
                <w:sz w:val="18"/>
                <w:szCs w:val="18"/>
              </w:rPr>
              <w:t>5.517.190.079</w:t>
            </w:r>
          </w:p>
        </w:tc>
        <w:tc>
          <w:tcPr>
            <w:tcW w:w="762" w:type="pct"/>
            <w:tcMar>
              <w:top w:w="30" w:type="dxa"/>
              <w:left w:w="45" w:type="dxa"/>
              <w:bottom w:w="30" w:type="dxa"/>
              <w:right w:w="45" w:type="dxa"/>
            </w:tcMar>
            <w:vAlign w:val="center"/>
            <w:hideMark/>
          </w:tcPr>
          <w:p w14:paraId="3D5594D6" w14:textId="77777777" w:rsidR="00097AC9" w:rsidRPr="00097AC9" w:rsidRDefault="00097AC9" w:rsidP="00AA4BBB">
            <w:pPr>
              <w:jc w:val="center"/>
              <w:rPr>
                <w:rFonts w:cs="Arial"/>
                <w:sz w:val="18"/>
                <w:szCs w:val="18"/>
              </w:rPr>
            </w:pPr>
            <w:r w:rsidRPr="00097AC9">
              <w:rPr>
                <w:rFonts w:cs="Arial"/>
                <w:sz w:val="18"/>
                <w:szCs w:val="18"/>
              </w:rPr>
              <w:t>3.689.320.388</w:t>
            </w:r>
          </w:p>
        </w:tc>
        <w:tc>
          <w:tcPr>
            <w:tcW w:w="784" w:type="pct"/>
            <w:tcMar>
              <w:top w:w="30" w:type="dxa"/>
              <w:left w:w="45" w:type="dxa"/>
              <w:bottom w:w="30" w:type="dxa"/>
              <w:right w:w="45" w:type="dxa"/>
            </w:tcMar>
            <w:vAlign w:val="center"/>
            <w:hideMark/>
          </w:tcPr>
          <w:p w14:paraId="173B9CA1" w14:textId="77777777" w:rsidR="00097AC9" w:rsidRPr="00097AC9" w:rsidRDefault="00097AC9" w:rsidP="00AA4BBB">
            <w:pPr>
              <w:jc w:val="center"/>
              <w:rPr>
                <w:rFonts w:cs="Arial"/>
                <w:sz w:val="18"/>
                <w:szCs w:val="18"/>
              </w:rPr>
            </w:pPr>
            <w:r w:rsidRPr="00097AC9">
              <w:rPr>
                <w:rFonts w:cs="Arial"/>
                <w:sz w:val="18"/>
                <w:szCs w:val="18"/>
              </w:rPr>
              <w:t>2.922.047.318</w:t>
            </w:r>
          </w:p>
        </w:tc>
        <w:tc>
          <w:tcPr>
            <w:tcW w:w="787" w:type="pct"/>
            <w:tcMar>
              <w:top w:w="30" w:type="dxa"/>
              <w:left w:w="45" w:type="dxa"/>
              <w:bottom w:w="30" w:type="dxa"/>
              <w:right w:w="45" w:type="dxa"/>
            </w:tcMar>
            <w:vAlign w:val="center"/>
            <w:hideMark/>
          </w:tcPr>
          <w:p w14:paraId="64F47985" w14:textId="77777777" w:rsidR="00097AC9" w:rsidRPr="00097AC9" w:rsidRDefault="00097AC9" w:rsidP="00AA4BBB">
            <w:pPr>
              <w:jc w:val="center"/>
              <w:rPr>
                <w:rFonts w:cs="Arial"/>
                <w:sz w:val="18"/>
                <w:szCs w:val="18"/>
              </w:rPr>
            </w:pPr>
            <w:r w:rsidRPr="00097AC9">
              <w:rPr>
                <w:rFonts w:cs="Arial"/>
                <w:sz w:val="18"/>
                <w:szCs w:val="18"/>
              </w:rPr>
              <w:t>4.506.349.638</w:t>
            </w:r>
          </w:p>
        </w:tc>
        <w:tc>
          <w:tcPr>
            <w:tcW w:w="793" w:type="pct"/>
            <w:vMerge/>
            <w:vAlign w:val="center"/>
            <w:hideMark/>
          </w:tcPr>
          <w:p w14:paraId="11E6C387" w14:textId="77777777" w:rsidR="00097AC9" w:rsidRPr="00097AC9" w:rsidRDefault="00097AC9" w:rsidP="00AA4BBB">
            <w:pPr>
              <w:rPr>
                <w:rFonts w:cs="Arial"/>
                <w:b/>
                <w:bCs/>
                <w:sz w:val="20"/>
                <w:szCs w:val="20"/>
              </w:rPr>
            </w:pPr>
          </w:p>
        </w:tc>
      </w:tr>
      <w:tr w:rsidR="00097AC9" w:rsidRPr="00097AC9" w14:paraId="1181C766" w14:textId="77777777" w:rsidTr="00097AC9">
        <w:tc>
          <w:tcPr>
            <w:tcW w:w="1084" w:type="pct"/>
            <w:vMerge w:val="restart"/>
            <w:tcMar>
              <w:top w:w="30" w:type="dxa"/>
              <w:left w:w="45" w:type="dxa"/>
              <w:bottom w:w="30" w:type="dxa"/>
              <w:right w:w="45" w:type="dxa"/>
            </w:tcMar>
            <w:vAlign w:val="center"/>
            <w:hideMark/>
          </w:tcPr>
          <w:p w14:paraId="43DEC1FD" w14:textId="77777777" w:rsidR="00097AC9" w:rsidRPr="00097AC9" w:rsidRDefault="00097AC9" w:rsidP="00AA4BBB">
            <w:pPr>
              <w:rPr>
                <w:rFonts w:cs="Arial"/>
                <w:sz w:val="18"/>
                <w:szCs w:val="18"/>
              </w:rPr>
            </w:pPr>
            <w:r w:rsidRPr="00097AC9">
              <w:rPr>
                <w:rFonts w:cs="Arial"/>
                <w:sz w:val="18"/>
                <w:szCs w:val="18"/>
              </w:rPr>
              <w:t xml:space="preserve">Desarrollar 6.500 conexiones para promover la intermediación </w:t>
            </w:r>
            <w:r w:rsidRPr="00097AC9">
              <w:rPr>
                <w:rFonts w:cs="Arial"/>
                <w:sz w:val="18"/>
                <w:szCs w:val="18"/>
              </w:rPr>
              <w:lastRenderedPageBreak/>
              <w:t>empresarial de los negocios locales en los mercados</w:t>
            </w:r>
          </w:p>
        </w:tc>
        <w:tc>
          <w:tcPr>
            <w:tcW w:w="789" w:type="pct"/>
            <w:tcMar>
              <w:top w:w="30" w:type="dxa"/>
              <w:left w:w="45" w:type="dxa"/>
              <w:bottom w:w="30" w:type="dxa"/>
              <w:right w:w="45" w:type="dxa"/>
            </w:tcMar>
            <w:vAlign w:val="center"/>
            <w:hideMark/>
          </w:tcPr>
          <w:p w14:paraId="53C4CE9E" w14:textId="77777777" w:rsidR="00097AC9" w:rsidRPr="00097AC9" w:rsidRDefault="00097AC9" w:rsidP="00AA4BBB">
            <w:pPr>
              <w:jc w:val="center"/>
              <w:rPr>
                <w:rFonts w:cs="Arial"/>
                <w:sz w:val="18"/>
                <w:szCs w:val="18"/>
              </w:rPr>
            </w:pPr>
            <w:r w:rsidRPr="00097AC9">
              <w:rPr>
                <w:rFonts w:cs="Arial"/>
                <w:sz w:val="18"/>
                <w:szCs w:val="18"/>
              </w:rPr>
              <w:lastRenderedPageBreak/>
              <w:t>2.080</w:t>
            </w:r>
          </w:p>
        </w:tc>
        <w:tc>
          <w:tcPr>
            <w:tcW w:w="762" w:type="pct"/>
            <w:tcMar>
              <w:top w:w="30" w:type="dxa"/>
              <w:left w:w="45" w:type="dxa"/>
              <w:bottom w:w="30" w:type="dxa"/>
              <w:right w:w="45" w:type="dxa"/>
            </w:tcMar>
            <w:vAlign w:val="center"/>
            <w:hideMark/>
          </w:tcPr>
          <w:p w14:paraId="403756B8" w14:textId="77777777" w:rsidR="00097AC9" w:rsidRPr="00097AC9" w:rsidRDefault="00097AC9" w:rsidP="00AA4BBB">
            <w:pPr>
              <w:jc w:val="center"/>
              <w:rPr>
                <w:rFonts w:cs="Arial"/>
                <w:sz w:val="18"/>
                <w:szCs w:val="18"/>
              </w:rPr>
            </w:pPr>
            <w:r w:rsidRPr="00097AC9">
              <w:rPr>
                <w:rFonts w:cs="Arial"/>
                <w:sz w:val="18"/>
                <w:szCs w:val="18"/>
              </w:rPr>
              <w:t>1.244</w:t>
            </w:r>
          </w:p>
        </w:tc>
        <w:tc>
          <w:tcPr>
            <w:tcW w:w="784" w:type="pct"/>
            <w:tcMar>
              <w:top w:w="30" w:type="dxa"/>
              <w:left w:w="45" w:type="dxa"/>
              <w:bottom w:w="30" w:type="dxa"/>
              <w:right w:w="45" w:type="dxa"/>
            </w:tcMar>
            <w:vAlign w:val="center"/>
            <w:hideMark/>
          </w:tcPr>
          <w:p w14:paraId="2606AA16" w14:textId="77777777" w:rsidR="00097AC9" w:rsidRPr="00097AC9" w:rsidRDefault="00097AC9" w:rsidP="00AA4BBB">
            <w:pPr>
              <w:jc w:val="center"/>
              <w:rPr>
                <w:rFonts w:cs="Arial"/>
                <w:sz w:val="18"/>
                <w:szCs w:val="18"/>
              </w:rPr>
            </w:pPr>
            <w:r w:rsidRPr="00097AC9">
              <w:rPr>
                <w:rFonts w:cs="Arial"/>
                <w:sz w:val="18"/>
                <w:szCs w:val="18"/>
              </w:rPr>
              <w:t>1.524</w:t>
            </w:r>
          </w:p>
        </w:tc>
        <w:tc>
          <w:tcPr>
            <w:tcW w:w="787" w:type="pct"/>
            <w:tcMar>
              <w:top w:w="30" w:type="dxa"/>
              <w:left w:w="45" w:type="dxa"/>
              <w:bottom w:w="30" w:type="dxa"/>
              <w:right w:w="45" w:type="dxa"/>
            </w:tcMar>
            <w:vAlign w:val="center"/>
            <w:hideMark/>
          </w:tcPr>
          <w:p w14:paraId="68B7CE47" w14:textId="77777777" w:rsidR="00097AC9" w:rsidRPr="00097AC9" w:rsidRDefault="00097AC9" w:rsidP="00AA4BBB">
            <w:pPr>
              <w:jc w:val="center"/>
              <w:rPr>
                <w:rFonts w:cs="Arial"/>
                <w:sz w:val="18"/>
                <w:szCs w:val="18"/>
              </w:rPr>
            </w:pPr>
            <w:r w:rsidRPr="00097AC9">
              <w:rPr>
                <w:rFonts w:cs="Arial"/>
                <w:sz w:val="18"/>
                <w:szCs w:val="18"/>
              </w:rPr>
              <w:t>1.652</w:t>
            </w:r>
          </w:p>
        </w:tc>
        <w:tc>
          <w:tcPr>
            <w:tcW w:w="793" w:type="pct"/>
            <w:vMerge w:val="restart"/>
            <w:tcMar>
              <w:top w:w="30" w:type="dxa"/>
              <w:left w:w="45" w:type="dxa"/>
              <w:bottom w:w="30" w:type="dxa"/>
              <w:right w:w="45" w:type="dxa"/>
            </w:tcMar>
            <w:vAlign w:val="center"/>
            <w:hideMark/>
          </w:tcPr>
          <w:p w14:paraId="6E717426" w14:textId="77777777" w:rsidR="00097AC9" w:rsidRPr="00097AC9" w:rsidRDefault="00097AC9" w:rsidP="00AA4BBB">
            <w:pPr>
              <w:jc w:val="center"/>
              <w:rPr>
                <w:rFonts w:cs="Arial"/>
                <w:b/>
                <w:bCs/>
                <w:sz w:val="20"/>
                <w:szCs w:val="20"/>
              </w:rPr>
            </w:pPr>
            <w:r w:rsidRPr="00097AC9">
              <w:rPr>
                <w:rFonts w:cs="Arial"/>
                <w:b/>
                <w:bCs/>
                <w:sz w:val="20"/>
                <w:szCs w:val="20"/>
              </w:rPr>
              <w:t>21.496.715.982</w:t>
            </w:r>
          </w:p>
        </w:tc>
      </w:tr>
      <w:tr w:rsidR="00097AC9" w:rsidRPr="00097AC9" w14:paraId="00B0A192" w14:textId="77777777" w:rsidTr="00097AC9">
        <w:tc>
          <w:tcPr>
            <w:tcW w:w="1084" w:type="pct"/>
            <w:vMerge/>
            <w:vAlign w:val="center"/>
            <w:hideMark/>
          </w:tcPr>
          <w:p w14:paraId="3ACB559E"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25A065C4" w14:textId="77777777" w:rsidR="00097AC9" w:rsidRPr="00097AC9" w:rsidRDefault="00097AC9" w:rsidP="00AA4BBB">
            <w:pPr>
              <w:jc w:val="center"/>
              <w:rPr>
                <w:rFonts w:cs="Arial"/>
                <w:sz w:val="18"/>
                <w:szCs w:val="18"/>
              </w:rPr>
            </w:pPr>
            <w:r w:rsidRPr="00097AC9">
              <w:rPr>
                <w:rFonts w:cs="Arial"/>
                <w:sz w:val="18"/>
                <w:szCs w:val="18"/>
              </w:rPr>
              <w:t>3.887.835.000</w:t>
            </w:r>
          </w:p>
        </w:tc>
        <w:tc>
          <w:tcPr>
            <w:tcW w:w="762" w:type="pct"/>
            <w:tcMar>
              <w:top w:w="30" w:type="dxa"/>
              <w:left w:w="45" w:type="dxa"/>
              <w:bottom w:w="30" w:type="dxa"/>
              <w:right w:w="45" w:type="dxa"/>
            </w:tcMar>
            <w:vAlign w:val="center"/>
            <w:hideMark/>
          </w:tcPr>
          <w:p w14:paraId="156CE21A" w14:textId="77777777" w:rsidR="00097AC9" w:rsidRPr="00097AC9" w:rsidRDefault="00097AC9" w:rsidP="00AA4BBB">
            <w:pPr>
              <w:jc w:val="center"/>
              <w:rPr>
                <w:rFonts w:cs="Arial"/>
                <w:sz w:val="18"/>
                <w:szCs w:val="18"/>
              </w:rPr>
            </w:pPr>
            <w:r w:rsidRPr="00097AC9">
              <w:rPr>
                <w:rFonts w:cs="Arial"/>
                <w:sz w:val="18"/>
                <w:szCs w:val="18"/>
              </w:rPr>
              <w:t>5.361.408.252</w:t>
            </w:r>
          </w:p>
        </w:tc>
        <w:tc>
          <w:tcPr>
            <w:tcW w:w="784" w:type="pct"/>
            <w:tcMar>
              <w:top w:w="30" w:type="dxa"/>
              <w:left w:w="45" w:type="dxa"/>
              <w:bottom w:w="30" w:type="dxa"/>
              <w:right w:w="45" w:type="dxa"/>
            </w:tcMar>
            <w:vAlign w:val="center"/>
            <w:hideMark/>
          </w:tcPr>
          <w:p w14:paraId="0D2AC761" w14:textId="77777777" w:rsidR="00097AC9" w:rsidRPr="00097AC9" w:rsidRDefault="00097AC9" w:rsidP="00AA4BBB">
            <w:pPr>
              <w:jc w:val="center"/>
              <w:rPr>
                <w:rFonts w:cs="Arial"/>
                <w:sz w:val="18"/>
                <w:szCs w:val="18"/>
              </w:rPr>
            </w:pPr>
            <w:r w:rsidRPr="00097AC9">
              <w:rPr>
                <w:rFonts w:cs="Arial"/>
                <w:sz w:val="18"/>
                <w:szCs w:val="18"/>
              </w:rPr>
              <w:t>5.979.083.278</w:t>
            </w:r>
          </w:p>
        </w:tc>
        <w:tc>
          <w:tcPr>
            <w:tcW w:w="787" w:type="pct"/>
            <w:tcMar>
              <w:top w:w="30" w:type="dxa"/>
              <w:left w:w="45" w:type="dxa"/>
              <w:bottom w:w="30" w:type="dxa"/>
              <w:right w:w="45" w:type="dxa"/>
            </w:tcMar>
            <w:vAlign w:val="center"/>
            <w:hideMark/>
          </w:tcPr>
          <w:p w14:paraId="3D2F961A" w14:textId="77777777" w:rsidR="00097AC9" w:rsidRPr="00097AC9" w:rsidRDefault="00097AC9" w:rsidP="00AA4BBB">
            <w:pPr>
              <w:jc w:val="center"/>
              <w:rPr>
                <w:rFonts w:cs="Arial"/>
                <w:sz w:val="18"/>
                <w:szCs w:val="18"/>
              </w:rPr>
            </w:pPr>
            <w:r w:rsidRPr="00097AC9">
              <w:rPr>
                <w:rFonts w:cs="Arial"/>
                <w:sz w:val="18"/>
                <w:szCs w:val="18"/>
              </w:rPr>
              <w:t>6.268.389.451</w:t>
            </w:r>
          </w:p>
        </w:tc>
        <w:tc>
          <w:tcPr>
            <w:tcW w:w="793" w:type="pct"/>
            <w:vMerge/>
            <w:vAlign w:val="center"/>
            <w:hideMark/>
          </w:tcPr>
          <w:p w14:paraId="659E3052" w14:textId="77777777" w:rsidR="00097AC9" w:rsidRPr="00097AC9" w:rsidRDefault="00097AC9" w:rsidP="00AA4BBB">
            <w:pPr>
              <w:rPr>
                <w:rFonts w:cs="Arial"/>
                <w:b/>
                <w:bCs/>
                <w:sz w:val="20"/>
                <w:szCs w:val="20"/>
              </w:rPr>
            </w:pPr>
          </w:p>
        </w:tc>
      </w:tr>
      <w:tr w:rsidR="00097AC9" w:rsidRPr="00097AC9" w14:paraId="27BC3E29" w14:textId="77777777" w:rsidTr="00097AC9">
        <w:tc>
          <w:tcPr>
            <w:tcW w:w="1084" w:type="pct"/>
            <w:vMerge w:val="restart"/>
            <w:tcMar>
              <w:top w:w="30" w:type="dxa"/>
              <w:left w:w="45" w:type="dxa"/>
              <w:bottom w:w="30" w:type="dxa"/>
              <w:right w:w="45" w:type="dxa"/>
            </w:tcMar>
            <w:vAlign w:val="center"/>
            <w:hideMark/>
          </w:tcPr>
          <w:p w14:paraId="1333011C" w14:textId="77777777" w:rsidR="00097AC9" w:rsidRPr="00097AC9" w:rsidRDefault="00097AC9" w:rsidP="00AA4BBB">
            <w:pPr>
              <w:rPr>
                <w:rFonts w:cs="Arial"/>
                <w:sz w:val="18"/>
                <w:szCs w:val="18"/>
              </w:rPr>
            </w:pPr>
            <w:r w:rsidRPr="00097AC9">
              <w:rPr>
                <w:rFonts w:cs="Arial"/>
                <w:sz w:val="18"/>
                <w:szCs w:val="18"/>
              </w:rPr>
              <w:t>Ejecutar 10 productos definidos en el plan de acción de la "Política Pública Distrital de Vendedoras y Vendedores Informales" establecidos para el cuatrienio</w:t>
            </w:r>
          </w:p>
        </w:tc>
        <w:tc>
          <w:tcPr>
            <w:tcW w:w="789" w:type="pct"/>
            <w:tcMar>
              <w:top w:w="30" w:type="dxa"/>
              <w:left w:w="45" w:type="dxa"/>
              <w:bottom w:w="30" w:type="dxa"/>
              <w:right w:w="45" w:type="dxa"/>
            </w:tcMar>
            <w:vAlign w:val="center"/>
            <w:hideMark/>
          </w:tcPr>
          <w:p w14:paraId="26BE42F3" w14:textId="77777777" w:rsidR="00097AC9" w:rsidRPr="00097AC9" w:rsidRDefault="00097AC9" w:rsidP="00AA4BBB">
            <w:pPr>
              <w:jc w:val="center"/>
              <w:rPr>
                <w:rFonts w:cs="Arial"/>
                <w:sz w:val="18"/>
                <w:szCs w:val="18"/>
              </w:rPr>
            </w:pPr>
            <w:r w:rsidRPr="00097AC9">
              <w:rPr>
                <w:rFonts w:cs="Arial"/>
                <w:sz w:val="18"/>
                <w:szCs w:val="18"/>
              </w:rPr>
              <w:t>10</w:t>
            </w:r>
          </w:p>
        </w:tc>
        <w:tc>
          <w:tcPr>
            <w:tcW w:w="762" w:type="pct"/>
            <w:tcMar>
              <w:top w:w="30" w:type="dxa"/>
              <w:left w:w="45" w:type="dxa"/>
              <w:bottom w:w="30" w:type="dxa"/>
              <w:right w:w="45" w:type="dxa"/>
            </w:tcMar>
            <w:vAlign w:val="center"/>
            <w:hideMark/>
          </w:tcPr>
          <w:p w14:paraId="6C1B36F5" w14:textId="77777777" w:rsidR="00097AC9" w:rsidRPr="00097AC9" w:rsidRDefault="00097AC9" w:rsidP="00AA4BBB">
            <w:pPr>
              <w:jc w:val="center"/>
              <w:rPr>
                <w:rFonts w:cs="Arial"/>
                <w:sz w:val="18"/>
                <w:szCs w:val="18"/>
              </w:rPr>
            </w:pPr>
            <w:r w:rsidRPr="00097AC9">
              <w:rPr>
                <w:rFonts w:cs="Arial"/>
                <w:sz w:val="18"/>
                <w:szCs w:val="18"/>
              </w:rPr>
              <w:t>10</w:t>
            </w:r>
          </w:p>
        </w:tc>
        <w:tc>
          <w:tcPr>
            <w:tcW w:w="784" w:type="pct"/>
            <w:tcMar>
              <w:top w:w="30" w:type="dxa"/>
              <w:left w:w="45" w:type="dxa"/>
              <w:bottom w:w="30" w:type="dxa"/>
              <w:right w:w="45" w:type="dxa"/>
            </w:tcMar>
            <w:vAlign w:val="center"/>
            <w:hideMark/>
          </w:tcPr>
          <w:p w14:paraId="6B1852EB" w14:textId="77777777" w:rsidR="00097AC9" w:rsidRPr="00097AC9" w:rsidRDefault="00097AC9" w:rsidP="00AA4BBB">
            <w:pPr>
              <w:jc w:val="center"/>
              <w:rPr>
                <w:rFonts w:cs="Arial"/>
                <w:sz w:val="18"/>
                <w:szCs w:val="18"/>
              </w:rPr>
            </w:pPr>
            <w:r w:rsidRPr="00097AC9">
              <w:rPr>
                <w:rFonts w:cs="Arial"/>
                <w:sz w:val="18"/>
                <w:szCs w:val="18"/>
              </w:rPr>
              <w:t>10</w:t>
            </w:r>
          </w:p>
        </w:tc>
        <w:tc>
          <w:tcPr>
            <w:tcW w:w="787" w:type="pct"/>
            <w:tcMar>
              <w:top w:w="30" w:type="dxa"/>
              <w:left w:w="45" w:type="dxa"/>
              <w:bottom w:w="30" w:type="dxa"/>
              <w:right w:w="45" w:type="dxa"/>
            </w:tcMar>
            <w:vAlign w:val="center"/>
            <w:hideMark/>
          </w:tcPr>
          <w:p w14:paraId="1F31F7FC" w14:textId="77777777" w:rsidR="00097AC9" w:rsidRPr="00097AC9" w:rsidRDefault="00097AC9" w:rsidP="00AA4BBB">
            <w:pPr>
              <w:jc w:val="center"/>
              <w:rPr>
                <w:rFonts w:cs="Arial"/>
                <w:sz w:val="18"/>
                <w:szCs w:val="18"/>
              </w:rPr>
            </w:pPr>
            <w:r w:rsidRPr="00097AC9">
              <w:rPr>
                <w:rFonts w:cs="Arial"/>
                <w:sz w:val="18"/>
                <w:szCs w:val="18"/>
              </w:rPr>
              <w:t>10</w:t>
            </w:r>
          </w:p>
        </w:tc>
        <w:tc>
          <w:tcPr>
            <w:tcW w:w="793" w:type="pct"/>
            <w:vMerge w:val="restart"/>
            <w:tcMar>
              <w:top w:w="30" w:type="dxa"/>
              <w:left w:w="45" w:type="dxa"/>
              <w:bottom w:w="30" w:type="dxa"/>
              <w:right w:w="45" w:type="dxa"/>
            </w:tcMar>
            <w:vAlign w:val="center"/>
            <w:hideMark/>
          </w:tcPr>
          <w:p w14:paraId="5B0346B4" w14:textId="77777777" w:rsidR="00097AC9" w:rsidRPr="00097AC9" w:rsidRDefault="00097AC9" w:rsidP="00AA4BBB">
            <w:pPr>
              <w:jc w:val="center"/>
              <w:rPr>
                <w:rFonts w:cs="Arial"/>
                <w:b/>
                <w:bCs/>
                <w:sz w:val="20"/>
                <w:szCs w:val="20"/>
              </w:rPr>
            </w:pPr>
            <w:r w:rsidRPr="00097AC9">
              <w:rPr>
                <w:rFonts w:cs="Arial"/>
                <w:b/>
                <w:bCs/>
                <w:sz w:val="20"/>
                <w:szCs w:val="20"/>
              </w:rPr>
              <w:t>37.823.589.057</w:t>
            </w:r>
          </w:p>
        </w:tc>
      </w:tr>
      <w:tr w:rsidR="00097AC9" w:rsidRPr="00097AC9" w14:paraId="3F800A66" w14:textId="77777777" w:rsidTr="00097AC9">
        <w:tc>
          <w:tcPr>
            <w:tcW w:w="1084" w:type="pct"/>
            <w:vMerge/>
            <w:vAlign w:val="center"/>
            <w:hideMark/>
          </w:tcPr>
          <w:p w14:paraId="7BA96B68"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2D8A5DAF" w14:textId="77777777" w:rsidR="00097AC9" w:rsidRPr="00097AC9" w:rsidRDefault="00097AC9" w:rsidP="00AA4BBB">
            <w:pPr>
              <w:jc w:val="center"/>
              <w:rPr>
                <w:rFonts w:cs="Arial"/>
                <w:sz w:val="18"/>
                <w:szCs w:val="18"/>
              </w:rPr>
            </w:pPr>
            <w:r w:rsidRPr="00097AC9">
              <w:rPr>
                <w:rFonts w:cs="Arial"/>
                <w:sz w:val="18"/>
                <w:szCs w:val="18"/>
              </w:rPr>
              <w:t>1.000.000.000</w:t>
            </w:r>
          </w:p>
        </w:tc>
        <w:tc>
          <w:tcPr>
            <w:tcW w:w="762" w:type="pct"/>
            <w:tcMar>
              <w:top w:w="30" w:type="dxa"/>
              <w:left w:w="45" w:type="dxa"/>
              <w:bottom w:w="30" w:type="dxa"/>
              <w:right w:w="45" w:type="dxa"/>
            </w:tcMar>
            <w:vAlign w:val="center"/>
            <w:hideMark/>
          </w:tcPr>
          <w:p w14:paraId="3038C171" w14:textId="77777777" w:rsidR="00097AC9" w:rsidRPr="00097AC9" w:rsidRDefault="00097AC9" w:rsidP="00AA4BBB">
            <w:pPr>
              <w:jc w:val="center"/>
              <w:rPr>
                <w:rFonts w:cs="Arial"/>
                <w:sz w:val="18"/>
                <w:szCs w:val="18"/>
              </w:rPr>
            </w:pPr>
            <w:r w:rsidRPr="00097AC9">
              <w:rPr>
                <w:rFonts w:cs="Arial"/>
                <w:sz w:val="18"/>
                <w:szCs w:val="18"/>
              </w:rPr>
              <w:t>9.902.912.621</w:t>
            </w:r>
          </w:p>
        </w:tc>
        <w:tc>
          <w:tcPr>
            <w:tcW w:w="784" w:type="pct"/>
            <w:tcMar>
              <w:top w:w="30" w:type="dxa"/>
              <w:left w:w="45" w:type="dxa"/>
              <w:bottom w:w="30" w:type="dxa"/>
              <w:right w:w="45" w:type="dxa"/>
            </w:tcMar>
            <w:vAlign w:val="center"/>
            <w:hideMark/>
          </w:tcPr>
          <w:p w14:paraId="0C61CEBE" w14:textId="77777777" w:rsidR="00097AC9" w:rsidRPr="00097AC9" w:rsidRDefault="00097AC9" w:rsidP="00AA4BBB">
            <w:pPr>
              <w:jc w:val="center"/>
              <w:rPr>
                <w:rFonts w:cs="Arial"/>
                <w:sz w:val="18"/>
                <w:szCs w:val="18"/>
              </w:rPr>
            </w:pPr>
            <w:r w:rsidRPr="00097AC9">
              <w:rPr>
                <w:rFonts w:cs="Arial"/>
                <w:sz w:val="18"/>
                <w:szCs w:val="18"/>
              </w:rPr>
              <w:t>14.200.207.371</w:t>
            </w:r>
          </w:p>
        </w:tc>
        <w:tc>
          <w:tcPr>
            <w:tcW w:w="787" w:type="pct"/>
            <w:tcMar>
              <w:top w:w="30" w:type="dxa"/>
              <w:left w:w="45" w:type="dxa"/>
              <w:bottom w:w="30" w:type="dxa"/>
              <w:right w:w="45" w:type="dxa"/>
            </w:tcMar>
            <w:vAlign w:val="center"/>
            <w:hideMark/>
          </w:tcPr>
          <w:p w14:paraId="1F44F577" w14:textId="77777777" w:rsidR="00097AC9" w:rsidRPr="00097AC9" w:rsidRDefault="00097AC9" w:rsidP="00AA4BBB">
            <w:pPr>
              <w:jc w:val="center"/>
              <w:rPr>
                <w:rFonts w:cs="Arial"/>
                <w:sz w:val="18"/>
                <w:szCs w:val="18"/>
              </w:rPr>
            </w:pPr>
            <w:r w:rsidRPr="00097AC9">
              <w:rPr>
                <w:rFonts w:cs="Arial"/>
                <w:sz w:val="18"/>
                <w:szCs w:val="18"/>
              </w:rPr>
              <w:t>12.720.469.065</w:t>
            </w:r>
          </w:p>
        </w:tc>
        <w:tc>
          <w:tcPr>
            <w:tcW w:w="793" w:type="pct"/>
            <w:vMerge/>
            <w:vAlign w:val="center"/>
            <w:hideMark/>
          </w:tcPr>
          <w:p w14:paraId="338990AD" w14:textId="77777777" w:rsidR="00097AC9" w:rsidRPr="00097AC9" w:rsidRDefault="00097AC9" w:rsidP="00AA4BBB">
            <w:pPr>
              <w:rPr>
                <w:rFonts w:cs="Arial"/>
                <w:b/>
                <w:bCs/>
                <w:sz w:val="20"/>
                <w:szCs w:val="20"/>
              </w:rPr>
            </w:pPr>
          </w:p>
        </w:tc>
      </w:tr>
      <w:tr w:rsidR="00097AC9" w:rsidRPr="00097AC9" w14:paraId="76B0DC4A" w14:textId="77777777" w:rsidTr="00097AC9">
        <w:tc>
          <w:tcPr>
            <w:tcW w:w="1084" w:type="pct"/>
            <w:vMerge w:val="restart"/>
            <w:tcMar>
              <w:top w:w="30" w:type="dxa"/>
              <w:left w:w="45" w:type="dxa"/>
              <w:bottom w:w="30" w:type="dxa"/>
              <w:right w:w="45" w:type="dxa"/>
            </w:tcMar>
            <w:vAlign w:val="center"/>
            <w:hideMark/>
          </w:tcPr>
          <w:p w14:paraId="2E1BC4D2" w14:textId="77777777" w:rsidR="00097AC9" w:rsidRPr="00097AC9" w:rsidRDefault="00097AC9" w:rsidP="00AA4BBB">
            <w:pPr>
              <w:rPr>
                <w:rFonts w:cs="Arial"/>
                <w:sz w:val="18"/>
                <w:szCs w:val="18"/>
              </w:rPr>
            </w:pPr>
            <w:r w:rsidRPr="00097AC9">
              <w:rPr>
                <w:rFonts w:cs="Arial"/>
                <w:sz w:val="18"/>
                <w:szCs w:val="18"/>
              </w:rPr>
              <w:t>Fortalecer 58.200 negocios locales de la ciudad a través de formación y asistencia técnica especializada.</w:t>
            </w:r>
          </w:p>
        </w:tc>
        <w:tc>
          <w:tcPr>
            <w:tcW w:w="789" w:type="pct"/>
            <w:tcMar>
              <w:top w:w="30" w:type="dxa"/>
              <w:left w:w="45" w:type="dxa"/>
              <w:bottom w:w="30" w:type="dxa"/>
              <w:right w:w="45" w:type="dxa"/>
            </w:tcMar>
            <w:vAlign w:val="center"/>
            <w:hideMark/>
          </w:tcPr>
          <w:p w14:paraId="7A5A76FD" w14:textId="77777777" w:rsidR="00097AC9" w:rsidRPr="00097AC9" w:rsidRDefault="00097AC9" w:rsidP="00AA4BBB">
            <w:pPr>
              <w:jc w:val="center"/>
              <w:rPr>
                <w:rFonts w:cs="Arial"/>
                <w:sz w:val="18"/>
                <w:szCs w:val="18"/>
              </w:rPr>
            </w:pPr>
            <w:r w:rsidRPr="00097AC9">
              <w:rPr>
                <w:rFonts w:cs="Arial"/>
                <w:sz w:val="18"/>
                <w:szCs w:val="18"/>
              </w:rPr>
              <w:t>4.925</w:t>
            </w:r>
          </w:p>
        </w:tc>
        <w:tc>
          <w:tcPr>
            <w:tcW w:w="762" w:type="pct"/>
            <w:tcMar>
              <w:top w:w="30" w:type="dxa"/>
              <w:left w:w="45" w:type="dxa"/>
              <w:bottom w:w="30" w:type="dxa"/>
              <w:right w:w="45" w:type="dxa"/>
            </w:tcMar>
            <w:vAlign w:val="center"/>
            <w:hideMark/>
          </w:tcPr>
          <w:p w14:paraId="7B93CBC8" w14:textId="77777777" w:rsidR="00097AC9" w:rsidRPr="00097AC9" w:rsidRDefault="00097AC9" w:rsidP="00AA4BBB">
            <w:pPr>
              <w:jc w:val="center"/>
              <w:rPr>
                <w:rFonts w:cs="Arial"/>
                <w:sz w:val="18"/>
                <w:szCs w:val="18"/>
              </w:rPr>
            </w:pPr>
            <w:r w:rsidRPr="00097AC9">
              <w:rPr>
                <w:rFonts w:cs="Arial"/>
                <w:sz w:val="18"/>
                <w:szCs w:val="18"/>
              </w:rPr>
              <w:t>14.523</w:t>
            </w:r>
          </w:p>
        </w:tc>
        <w:tc>
          <w:tcPr>
            <w:tcW w:w="784" w:type="pct"/>
            <w:tcMar>
              <w:top w:w="30" w:type="dxa"/>
              <w:left w:w="45" w:type="dxa"/>
              <w:bottom w:w="30" w:type="dxa"/>
              <w:right w:w="45" w:type="dxa"/>
            </w:tcMar>
            <w:vAlign w:val="center"/>
            <w:hideMark/>
          </w:tcPr>
          <w:p w14:paraId="6FFDABDE" w14:textId="77777777" w:rsidR="00097AC9" w:rsidRPr="00097AC9" w:rsidRDefault="00097AC9" w:rsidP="00AA4BBB">
            <w:pPr>
              <w:jc w:val="center"/>
              <w:rPr>
                <w:rFonts w:cs="Arial"/>
                <w:sz w:val="18"/>
                <w:szCs w:val="18"/>
              </w:rPr>
            </w:pPr>
            <w:r w:rsidRPr="00097AC9">
              <w:rPr>
                <w:rFonts w:cs="Arial"/>
                <w:sz w:val="18"/>
                <w:szCs w:val="18"/>
              </w:rPr>
              <w:t>18.822</w:t>
            </w:r>
          </w:p>
        </w:tc>
        <w:tc>
          <w:tcPr>
            <w:tcW w:w="787" w:type="pct"/>
            <w:tcMar>
              <w:top w:w="30" w:type="dxa"/>
              <w:left w:w="45" w:type="dxa"/>
              <w:bottom w:w="30" w:type="dxa"/>
              <w:right w:w="45" w:type="dxa"/>
            </w:tcMar>
            <w:vAlign w:val="center"/>
            <w:hideMark/>
          </w:tcPr>
          <w:p w14:paraId="71B7595C" w14:textId="77777777" w:rsidR="00097AC9" w:rsidRPr="00097AC9" w:rsidRDefault="00097AC9" w:rsidP="00AA4BBB">
            <w:pPr>
              <w:jc w:val="center"/>
              <w:rPr>
                <w:rFonts w:cs="Arial"/>
                <w:sz w:val="18"/>
                <w:szCs w:val="18"/>
              </w:rPr>
            </w:pPr>
            <w:r w:rsidRPr="00097AC9">
              <w:rPr>
                <w:rFonts w:cs="Arial"/>
                <w:sz w:val="18"/>
                <w:szCs w:val="18"/>
              </w:rPr>
              <w:t>19.930</w:t>
            </w:r>
          </w:p>
        </w:tc>
        <w:tc>
          <w:tcPr>
            <w:tcW w:w="793" w:type="pct"/>
            <w:vMerge w:val="restart"/>
            <w:tcMar>
              <w:top w:w="30" w:type="dxa"/>
              <w:left w:w="45" w:type="dxa"/>
              <w:bottom w:w="30" w:type="dxa"/>
              <w:right w:w="45" w:type="dxa"/>
            </w:tcMar>
            <w:vAlign w:val="center"/>
            <w:hideMark/>
          </w:tcPr>
          <w:p w14:paraId="21EC060D" w14:textId="77777777" w:rsidR="00097AC9" w:rsidRPr="00097AC9" w:rsidRDefault="00097AC9" w:rsidP="00AA4BBB">
            <w:pPr>
              <w:jc w:val="center"/>
              <w:rPr>
                <w:rFonts w:cs="Arial"/>
                <w:b/>
                <w:bCs/>
                <w:sz w:val="20"/>
                <w:szCs w:val="20"/>
              </w:rPr>
            </w:pPr>
            <w:r w:rsidRPr="00097AC9">
              <w:rPr>
                <w:rFonts w:cs="Arial"/>
                <w:b/>
                <w:bCs/>
                <w:sz w:val="20"/>
                <w:szCs w:val="20"/>
              </w:rPr>
              <w:t>54.813.982.212</w:t>
            </w:r>
          </w:p>
        </w:tc>
      </w:tr>
      <w:tr w:rsidR="00097AC9" w:rsidRPr="00097AC9" w14:paraId="0B047740" w14:textId="77777777" w:rsidTr="00097AC9">
        <w:tc>
          <w:tcPr>
            <w:tcW w:w="1084" w:type="pct"/>
            <w:vMerge/>
            <w:vAlign w:val="center"/>
            <w:hideMark/>
          </w:tcPr>
          <w:p w14:paraId="79FFEC3B"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6A167C42" w14:textId="77777777" w:rsidR="00097AC9" w:rsidRPr="00097AC9" w:rsidRDefault="00097AC9" w:rsidP="00AA4BBB">
            <w:pPr>
              <w:jc w:val="center"/>
              <w:rPr>
                <w:rFonts w:cs="Arial"/>
                <w:sz w:val="18"/>
                <w:szCs w:val="18"/>
              </w:rPr>
            </w:pPr>
            <w:r w:rsidRPr="00097AC9">
              <w:rPr>
                <w:rFonts w:cs="Arial"/>
                <w:sz w:val="18"/>
                <w:szCs w:val="18"/>
              </w:rPr>
              <w:t>10.123.900.137</w:t>
            </w:r>
          </w:p>
        </w:tc>
        <w:tc>
          <w:tcPr>
            <w:tcW w:w="762" w:type="pct"/>
            <w:tcMar>
              <w:top w:w="30" w:type="dxa"/>
              <w:left w:w="45" w:type="dxa"/>
              <w:bottom w:w="30" w:type="dxa"/>
              <w:right w:w="45" w:type="dxa"/>
            </w:tcMar>
            <w:vAlign w:val="center"/>
            <w:hideMark/>
          </w:tcPr>
          <w:p w14:paraId="7BA9CE4F" w14:textId="77777777" w:rsidR="00097AC9" w:rsidRPr="00097AC9" w:rsidRDefault="00097AC9" w:rsidP="00AA4BBB">
            <w:pPr>
              <w:jc w:val="center"/>
              <w:rPr>
                <w:rFonts w:cs="Arial"/>
                <w:sz w:val="18"/>
                <w:szCs w:val="18"/>
              </w:rPr>
            </w:pPr>
            <w:r w:rsidRPr="00097AC9">
              <w:rPr>
                <w:rFonts w:cs="Arial"/>
                <w:sz w:val="18"/>
                <w:szCs w:val="18"/>
              </w:rPr>
              <w:t>13.542.670.971</w:t>
            </w:r>
          </w:p>
        </w:tc>
        <w:tc>
          <w:tcPr>
            <w:tcW w:w="784" w:type="pct"/>
            <w:tcMar>
              <w:top w:w="30" w:type="dxa"/>
              <w:left w:w="45" w:type="dxa"/>
              <w:bottom w:w="30" w:type="dxa"/>
              <w:right w:w="45" w:type="dxa"/>
            </w:tcMar>
            <w:vAlign w:val="center"/>
            <w:hideMark/>
          </w:tcPr>
          <w:p w14:paraId="3C5CA0D7" w14:textId="77777777" w:rsidR="00097AC9" w:rsidRPr="00097AC9" w:rsidRDefault="00097AC9" w:rsidP="00AA4BBB">
            <w:pPr>
              <w:jc w:val="center"/>
              <w:rPr>
                <w:rFonts w:cs="Arial"/>
                <w:sz w:val="18"/>
                <w:szCs w:val="18"/>
              </w:rPr>
            </w:pPr>
            <w:r w:rsidRPr="00097AC9">
              <w:rPr>
                <w:rFonts w:cs="Arial"/>
                <w:sz w:val="18"/>
                <w:szCs w:val="18"/>
              </w:rPr>
              <w:t>15.133.434.622</w:t>
            </w:r>
          </w:p>
        </w:tc>
        <w:tc>
          <w:tcPr>
            <w:tcW w:w="787" w:type="pct"/>
            <w:tcMar>
              <w:top w:w="30" w:type="dxa"/>
              <w:left w:w="45" w:type="dxa"/>
              <w:bottom w:w="30" w:type="dxa"/>
              <w:right w:w="45" w:type="dxa"/>
            </w:tcMar>
            <w:vAlign w:val="center"/>
            <w:hideMark/>
          </w:tcPr>
          <w:p w14:paraId="48932090" w14:textId="77777777" w:rsidR="00097AC9" w:rsidRPr="00097AC9" w:rsidRDefault="00097AC9" w:rsidP="00AA4BBB">
            <w:pPr>
              <w:jc w:val="center"/>
              <w:rPr>
                <w:rFonts w:cs="Arial"/>
                <w:sz w:val="18"/>
                <w:szCs w:val="18"/>
              </w:rPr>
            </w:pPr>
            <w:r w:rsidRPr="00097AC9">
              <w:rPr>
                <w:rFonts w:cs="Arial"/>
                <w:sz w:val="18"/>
                <w:szCs w:val="18"/>
              </w:rPr>
              <w:t>16.013.976.483</w:t>
            </w:r>
          </w:p>
        </w:tc>
        <w:tc>
          <w:tcPr>
            <w:tcW w:w="793" w:type="pct"/>
            <w:vMerge/>
            <w:vAlign w:val="center"/>
            <w:hideMark/>
          </w:tcPr>
          <w:p w14:paraId="4F550097" w14:textId="77777777" w:rsidR="00097AC9" w:rsidRPr="00097AC9" w:rsidRDefault="00097AC9" w:rsidP="00AA4BBB">
            <w:pPr>
              <w:rPr>
                <w:rFonts w:cs="Arial"/>
                <w:b/>
                <w:bCs/>
                <w:sz w:val="20"/>
                <w:szCs w:val="20"/>
              </w:rPr>
            </w:pPr>
          </w:p>
        </w:tc>
      </w:tr>
      <w:tr w:rsidR="00097AC9" w:rsidRPr="00097AC9" w14:paraId="763923FD" w14:textId="77777777" w:rsidTr="00097AC9">
        <w:tc>
          <w:tcPr>
            <w:tcW w:w="1084" w:type="pct"/>
            <w:vMerge w:val="restart"/>
            <w:tcMar>
              <w:top w:w="30" w:type="dxa"/>
              <w:left w:w="45" w:type="dxa"/>
              <w:bottom w:w="30" w:type="dxa"/>
              <w:right w:w="45" w:type="dxa"/>
            </w:tcMar>
            <w:vAlign w:val="center"/>
            <w:hideMark/>
          </w:tcPr>
          <w:p w14:paraId="455F9649" w14:textId="77777777" w:rsidR="00097AC9" w:rsidRPr="00097AC9" w:rsidRDefault="00097AC9" w:rsidP="00AA4BBB">
            <w:pPr>
              <w:rPr>
                <w:rFonts w:cs="Arial"/>
                <w:sz w:val="18"/>
                <w:szCs w:val="18"/>
              </w:rPr>
            </w:pPr>
            <w:r w:rsidRPr="00097AC9">
              <w:rPr>
                <w:rFonts w:cs="Arial"/>
                <w:sz w:val="18"/>
                <w:szCs w:val="18"/>
              </w:rPr>
              <w:t>Fortalecer 800 Unidades Prediales Productivas en el marco de la diversidad económica de la Bogotá Rural y su campesinado incluyendo aquellas que hacen parte de la Zona de Usos Sostenible dentro de la Estructura Ecológica Principal que se acuerden entre las autoridades ambientales con las comunidades (Fallo Cerros Orientales según lo establecido en la Resolución 1766/2021 entre otras.).</w:t>
            </w:r>
          </w:p>
        </w:tc>
        <w:tc>
          <w:tcPr>
            <w:tcW w:w="789" w:type="pct"/>
            <w:tcMar>
              <w:top w:w="30" w:type="dxa"/>
              <w:left w:w="45" w:type="dxa"/>
              <w:bottom w:w="30" w:type="dxa"/>
              <w:right w:w="45" w:type="dxa"/>
            </w:tcMar>
            <w:vAlign w:val="center"/>
            <w:hideMark/>
          </w:tcPr>
          <w:p w14:paraId="7F1545A8" w14:textId="77777777" w:rsidR="00097AC9" w:rsidRPr="00097AC9" w:rsidRDefault="00097AC9" w:rsidP="00AA4BBB">
            <w:pPr>
              <w:jc w:val="center"/>
              <w:rPr>
                <w:rFonts w:cs="Arial"/>
                <w:sz w:val="18"/>
                <w:szCs w:val="18"/>
              </w:rPr>
            </w:pPr>
            <w:r w:rsidRPr="00097AC9">
              <w:rPr>
                <w:rFonts w:cs="Arial"/>
                <w:sz w:val="18"/>
                <w:szCs w:val="18"/>
              </w:rPr>
              <w:t>70</w:t>
            </w:r>
          </w:p>
        </w:tc>
        <w:tc>
          <w:tcPr>
            <w:tcW w:w="762" w:type="pct"/>
            <w:tcMar>
              <w:top w:w="30" w:type="dxa"/>
              <w:left w:w="45" w:type="dxa"/>
              <w:bottom w:w="30" w:type="dxa"/>
              <w:right w:w="45" w:type="dxa"/>
            </w:tcMar>
            <w:vAlign w:val="center"/>
            <w:hideMark/>
          </w:tcPr>
          <w:p w14:paraId="6E1E47BF" w14:textId="77777777" w:rsidR="00097AC9" w:rsidRPr="00097AC9" w:rsidRDefault="00097AC9" w:rsidP="00AA4BBB">
            <w:pPr>
              <w:jc w:val="center"/>
              <w:rPr>
                <w:rFonts w:cs="Arial"/>
                <w:sz w:val="18"/>
                <w:szCs w:val="18"/>
              </w:rPr>
            </w:pPr>
            <w:r w:rsidRPr="00097AC9">
              <w:rPr>
                <w:rFonts w:cs="Arial"/>
                <w:sz w:val="18"/>
                <w:szCs w:val="18"/>
              </w:rPr>
              <w:t>300</w:t>
            </w:r>
          </w:p>
        </w:tc>
        <w:tc>
          <w:tcPr>
            <w:tcW w:w="784" w:type="pct"/>
            <w:tcMar>
              <w:top w:w="30" w:type="dxa"/>
              <w:left w:w="45" w:type="dxa"/>
              <w:bottom w:w="30" w:type="dxa"/>
              <w:right w:w="45" w:type="dxa"/>
            </w:tcMar>
            <w:vAlign w:val="center"/>
            <w:hideMark/>
          </w:tcPr>
          <w:p w14:paraId="1AB36532" w14:textId="77777777" w:rsidR="00097AC9" w:rsidRPr="00097AC9" w:rsidRDefault="00097AC9" w:rsidP="00AA4BBB">
            <w:pPr>
              <w:jc w:val="center"/>
              <w:rPr>
                <w:rFonts w:cs="Arial"/>
                <w:sz w:val="18"/>
                <w:szCs w:val="18"/>
              </w:rPr>
            </w:pPr>
            <w:r w:rsidRPr="00097AC9">
              <w:rPr>
                <w:rFonts w:cs="Arial"/>
                <w:sz w:val="18"/>
                <w:szCs w:val="18"/>
              </w:rPr>
              <w:t>300</w:t>
            </w:r>
          </w:p>
        </w:tc>
        <w:tc>
          <w:tcPr>
            <w:tcW w:w="787" w:type="pct"/>
            <w:tcMar>
              <w:top w:w="30" w:type="dxa"/>
              <w:left w:w="45" w:type="dxa"/>
              <w:bottom w:w="30" w:type="dxa"/>
              <w:right w:w="45" w:type="dxa"/>
            </w:tcMar>
            <w:vAlign w:val="center"/>
            <w:hideMark/>
          </w:tcPr>
          <w:p w14:paraId="6F3DFDE9" w14:textId="77777777" w:rsidR="00097AC9" w:rsidRPr="00097AC9" w:rsidRDefault="00097AC9" w:rsidP="00AA4BBB">
            <w:pPr>
              <w:jc w:val="center"/>
              <w:rPr>
                <w:rFonts w:cs="Arial"/>
                <w:sz w:val="18"/>
                <w:szCs w:val="18"/>
              </w:rPr>
            </w:pPr>
            <w:r w:rsidRPr="00097AC9">
              <w:rPr>
                <w:rFonts w:cs="Arial"/>
                <w:sz w:val="18"/>
                <w:szCs w:val="18"/>
              </w:rPr>
              <w:t>130</w:t>
            </w:r>
          </w:p>
        </w:tc>
        <w:tc>
          <w:tcPr>
            <w:tcW w:w="793" w:type="pct"/>
            <w:vMerge w:val="restart"/>
            <w:tcMar>
              <w:top w:w="30" w:type="dxa"/>
              <w:left w:w="45" w:type="dxa"/>
              <w:bottom w:w="30" w:type="dxa"/>
              <w:right w:w="45" w:type="dxa"/>
            </w:tcMar>
            <w:vAlign w:val="center"/>
            <w:hideMark/>
          </w:tcPr>
          <w:p w14:paraId="3842D02D" w14:textId="77777777" w:rsidR="00097AC9" w:rsidRPr="00097AC9" w:rsidRDefault="00097AC9" w:rsidP="00AA4BBB">
            <w:pPr>
              <w:jc w:val="center"/>
              <w:rPr>
                <w:rFonts w:cs="Arial"/>
                <w:b/>
                <w:bCs/>
                <w:sz w:val="20"/>
                <w:szCs w:val="20"/>
              </w:rPr>
            </w:pPr>
            <w:r w:rsidRPr="00097AC9">
              <w:rPr>
                <w:rFonts w:cs="Arial"/>
                <w:b/>
                <w:bCs/>
                <w:sz w:val="20"/>
                <w:szCs w:val="20"/>
              </w:rPr>
              <w:t>13.213.086.333</w:t>
            </w:r>
          </w:p>
        </w:tc>
      </w:tr>
      <w:tr w:rsidR="00097AC9" w:rsidRPr="00097AC9" w14:paraId="0BAC655B" w14:textId="77777777" w:rsidTr="00097AC9">
        <w:tc>
          <w:tcPr>
            <w:tcW w:w="1084" w:type="pct"/>
            <w:vMerge/>
            <w:vAlign w:val="center"/>
            <w:hideMark/>
          </w:tcPr>
          <w:p w14:paraId="0926925B"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27C960D6" w14:textId="77777777" w:rsidR="00097AC9" w:rsidRPr="00097AC9" w:rsidRDefault="00097AC9" w:rsidP="00AA4BBB">
            <w:pPr>
              <w:jc w:val="center"/>
              <w:rPr>
                <w:rFonts w:cs="Arial"/>
                <w:sz w:val="18"/>
                <w:szCs w:val="18"/>
              </w:rPr>
            </w:pPr>
            <w:r w:rsidRPr="00097AC9">
              <w:rPr>
                <w:rFonts w:cs="Arial"/>
                <w:sz w:val="18"/>
                <w:szCs w:val="18"/>
              </w:rPr>
              <w:t>2.178.181.000</w:t>
            </w:r>
          </w:p>
        </w:tc>
        <w:tc>
          <w:tcPr>
            <w:tcW w:w="762" w:type="pct"/>
            <w:tcMar>
              <w:top w:w="30" w:type="dxa"/>
              <w:left w:w="45" w:type="dxa"/>
              <w:bottom w:w="30" w:type="dxa"/>
              <w:right w:w="45" w:type="dxa"/>
            </w:tcMar>
            <w:vAlign w:val="center"/>
            <w:hideMark/>
          </w:tcPr>
          <w:p w14:paraId="7394B8EC" w14:textId="77777777" w:rsidR="00097AC9" w:rsidRPr="00097AC9" w:rsidRDefault="00097AC9" w:rsidP="00AA4BBB">
            <w:pPr>
              <w:jc w:val="center"/>
              <w:rPr>
                <w:rFonts w:cs="Arial"/>
                <w:sz w:val="18"/>
                <w:szCs w:val="18"/>
              </w:rPr>
            </w:pPr>
            <w:r w:rsidRPr="00097AC9">
              <w:rPr>
                <w:rFonts w:cs="Arial"/>
                <w:sz w:val="18"/>
                <w:szCs w:val="18"/>
              </w:rPr>
              <w:t>4.660.194.175</w:t>
            </w:r>
          </w:p>
        </w:tc>
        <w:tc>
          <w:tcPr>
            <w:tcW w:w="784" w:type="pct"/>
            <w:tcMar>
              <w:top w:w="30" w:type="dxa"/>
              <w:left w:w="45" w:type="dxa"/>
              <w:bottom w:w="30" w:type="dxa"/>
              <w:right w:w="45" w:type="dxa"/>
            </w:tcMar>
            <w:vAlign w:val="center"/>
            <w:hideMark/>
          </w:tcPr>
          <w:p w14:paraId="2B872501" w14:textId="77777777" w:rsidR="00097AC9" w:rsidRPr="00097AC9" w:rsidRDefault="00097AC9" w:rsidP="00AA4BBB">
            <w:pPr>
              <w:jc w:val="center"/>
              <w:rPr>
                <w:rFonts w:cs="Arial"/>
                <w:sz w:val="18"/>
                <w:szCs w:val="18"/>
              </w:rPr>
            </w:pPr>
            <w:r w:rsidRPr="00097AC9">
              <w:rPr>
                <w:rFonts w:cs="Arial"/>
                <w:sz w:val="18"/>
                <w:szCs w:val="18"/>
              </w:rPr>
              <w:t>4.524.460.364</w:t>
            </w:r>
          </w:p>
        </w:tc>
        <w:tc>
          <w:tcPr>
            <w:tcW w:w="787" w:type="pct"/>
            <w:tcMar>
              <w:top w:w="30" w:type="dxa"/>
              <w:left w:w="45" w:type="dxa"/>
              <w:bottom w:w="30" w:type="dxa"/>
              <w:right w:w="45" w:type="dxa"/>
            </w:tcMar>
            <w:vAlign w:val="center"/>
            <w:hideMark/>
          </w:tcPr>
          <w:p w14:paraId="7AA36729" w14:textId="77777777" w:rsidR="00097AC9" w:rsidRPr="00097AC9" w:rsidRDefault="00097AC9" w:rsidP="00AA4BBB">
            <w:pPr>
              <w:jc w:val="center"/>
              <w:rPr>
                <w:rFonts w:cs="Arial"/>
                <w:sz w:val="18"/>
                <w:szCs w:val="18"/>
              </w:rPr>
            </w:pPr>
            <w:r w:rsidRPr="00097AC9">
              <w:rPr>
                <w:rFonts w:cs="Arial"/>
                <w:sz w:val="18"/>
                <w:szCs w:val="18"/>
              </w:rPr>
              <w:t>1.850.250.795</w:t>
            </w:r>
          </w:p>
        </w:tc>
        <w:tc>
          <w:tcPr>
            <w:tcW w:w="793" w:type="pct"/>
            <w:vMerge/>
            <w:vAlign w:val="center"/>
            <w:hideMark/>
          </w:tcPr>
          <w:p w14:paraId="69B97AE4" w14:textId="77777777" w:rsidR="00097AC9" w:rsidRPr="00097AC9" w:rsidRDefault="00097AC9" w:rsidP="00AA4BBB">
            <w:pPr>
              <w:rPr>
                <w:rFonts w:cs="Arial"/>
                <w:b/>
                <w:bCs/>
                <w:sz w:val="20"/>
                <w:szCs w:val="20"/>
              </w:rPr>
            </w:pPr>
          </w:p>
        </w:tc>
      </w:tr>
      <w:tr w:rsidR="00097AC9" w:rsidRPr="00097AC9" w14:paraId="34F34AE2" w14:textId="77777777" w:rsidTr="00097AC9">
        <w:tc>
          <w:tcPr>
            <w:tcW w:w="1084" w:type="pct"/>
            <w:vMerge w:val="restart"/>
            <w:tcMar>
              <w:top w:w="30" w:type="dxa"/>
              <w:left w:w="45" w:type="dxa"/>
              <w:bottom w:w="30" w:type="dxa"/>
              <w:right w:w="45" w:type="dxa"/>
            </w:tcMar>
            <w:vAlign w:val="center"/>
            <w:hideMark/>
          </w:tcPr>
          <w:p w14:paraId="6FB91671" w14:textId="77777777" w:rsidR="00097AC9" w:rsidRPr="00097AC9" w:rsidRDefault="00097AC9" w:rsidP="00AA4BBB">
            <w:pPr>
              <w:rPr>
                <w:rFonts w:cs="Arial"/>
                <w:sz w:val="18"/>
                <w:szCs w:val="18"/>
              </w:rPr>
            </w:pPr>
            <w:r w:rsidRPr="00097AC9">
              <w:rPr>
                <w:rFonts w:cs="Arial"/>
                <w:sz w:val="18"/>
                <w:szCs w:val="18"/>
              </w:rPr>
              <w:t xml:space="preserve">Impactar al menos a 1.100.000 personas y/o actores de la cadena de valor del sector a través de la realización y ejecución de diferentes acciones de marketing 360 que permitan el posicionamiento y consolidación de Bogotá como destino turístico a </w:t>
            </w:r>
            <w:r w:rsidRPr="00097AC9">
              <w:rPr>
                <w:rFonts w:cs="Arial"/>
                <w:sz w:val="18"/>
                <w:szCs w:val="18"/>
              </w:rPr>
              <w:lastRenderedPageBreak/>
              <w:t>nivel regional nacional e internacional</w:t>
            </w:r>
          </w:p>
        </w:tc>
        <w:tc>
          <w:tcPr>
            <w:tcW w:w="789" w:type="pct"/>
            <w:tcMar>
              <w:top w:w="30" w:type="dxa"/>
              <w:left w:w="45" w:type="dxa"/>
              <w:bottom w:w="30" w:type="dxa"/>
              <w:right w:w="45" w:type="dxa"/>
            </w:tcMar>
            <w:vAlign w:val="center"/>
            <w:hideMark/>
          </w:tcPr>
          <w:p w14:paraId="2A9EEAB5" w14:textId="77777777" w:rsidR="00097AC9" w:rsidRPr="00097AC9" w:rsidRDefault="00097AC9" w:rsidP="00AA4BBB">
            <w:pPr>
              <w:jc w:val="center"/>
              <w:rPr>
                <w:rFonts w:cs="Arial"/>
                <w:sz w:val="18"/>
                <w:szCs w:val="18"/>
              </w:rPr>
            </w:pPr>
            <w:r w:rsidRPr="00097AC9">
              <w:rPr>
                <w:rFonts w:cs="Arial"/>
                <w:sz w:val="18"/>
                <w:szCs w:val="18"/>
              </w:rPr>
              <w:lastRenderedPageBreak/>
              <w:t>200.000</w:t>
            </w:r>
          </w:p>
        </w:tc>
        <w:tc>
          <w:tcPr>
            <w:tcW w:w="762" w:type="pct"/>
            <w:tcMar>
              <w:top w:w="30" w:type="dxa"/>
              <w:left w:w="45" w:type="dxa"/>
              <w:bottom w:w="30" w:type="dxa"/>
              <w:right w:w="45" w:type="dxa"/>
            </w:tcMar>
            <w:vAlign w:val="center"/>
            <w:hideMark/>
          </w:tcPr>
          <w:p w14:paraId="2D9EECC2" w14:textId="77777777" w:rsidR="00097AC9" w:rsidRPr="00097AC9" w:rsidRDefault="00097AC9" w:rsidP="00AA4BBB">
            <w:pPr>
              <w:jc w:val="center"/>
              <w:rPr>
                <w:rFonts w:cs="Arial"/>
                <w:sz w:val="18"/>
                <w:szCs w:val="18"/>
              </w:rPr>
            </w:pPr>
            <w:r w:rsidRPr="00097AC9">
              <w:rPr>
                <w:rFonts w:cs="Arial"/>
                <w:sz w:val="18"/>
                <w:szCs w:val="18"/>
              </w:rPr>
              <w:t>300.000</w:t>
            </w:r>
          </w:p>
        </w:tc>
        <w:tc>
          <w:tcPr>
            <w:tcW w:w="784" w:type="pct"/>
            <w:tcMar>
              <w:top w:w="30" w:type="dxa"/>
              <w:left w:w="45" w:type="dxa"/>
              <w:bottom w:w="30" w:type="dxa"/>
              <w:right w:w="45" w:type="dxa"/>
            </w:tcMar>
            <w:vAlign w:val="center"/>
            <w:hideMark/>
          </w:tcPr>
          <w:p w14:paraId="44EDA17F" w14:textId="77777777" w:rsidR="00097AC9" w:rsidRPr="00097AC9" w:rsidRDefault="00097AC9" w:rsidP="00AA4BBB">
            <w:pPr>
              <w:jc w:val="center"/>
              <w:rPr>
                <w:rFonts w:cs="Arial"/>
                <w:sz w:val="18"/>
                <w:szCs w:val="18"/>
              </w:rPr>
            </w:pPr>
            <w:r w:rsidRPr="00097AC9">
              <w:rPr>
                <w:rFonts w:cs="Arial"/>
                <w:sz w:val="18"/>
                <w:szCs w:val="18"/>
              </w:rPr>
              <w:t>300.000</w:t>
            </w:r>
          </w:p>
        </w:tc>
        <w:tc>
          <w:tcPr>
            <w:tcW w:w="787" w:type="pct"/>
            <w:tcMar>
              <w:top w:w="30" w:type="dxa"/>
              <w:left w:w="45" w:type="dxa"/>
              <w:bottom w:w="30" w:type="dxa"/>
              <w:right w:w="45" w:type="dxa"/>
            </w:tcMar>
            <w:vAlign w:val="center"/>
            <w:hideMark/>
          </w:tcPr>
          <w:p w14:paraId="6B5968DD" w14:textId="77777777" w:rsidR="00097AC9" w:rsidRPr="00097AC9" w:rsidRDefault="00097AC9" w:rsidP="00AA4BBB">
            <w:pPr>
              <w:jc w:val="center"/>
              <w:rPr>
                <w:rFonts w:cs="Arial"/>
                <w:sz w:val="18"/>
                <w:szCs w:val="18"/>
              </w:rPr>
            </w:pPr>
            <w:r w:rsidRPr="00097AC9">
              <w:rPr>
                <w:rFonts w:cs="Arial"/>
                <w:sz w:val="18"/>
                <w:szCs w:val="18"/>
              </w:rPr>
              <w:t>300.000</w:t>
            </w:r>
          </w:p>
        </w:tc>
        <w:tc>
          <w:tcPr>
            <w:tcW w:w="793" w:type="pct"/>
            <w:vMerge w:val="restart"/>
            <w:tcMar>
              <w:top w:w="30" w:type="dxa"/>
              <w:left w:w="45" w:type="dxa"/>
              <w:bottom w:w="30" w:type="dxa"/>
              <w:right w:w="45" w:type="dxa"/>
            </w:tcMar>
            <w:vAlign w:val="center"/>
            <w:hideMark/>
          </w:tcPr>
          <w:p w14:paraId="6018DD6B" w14:textId="77777777" w:rsidR="00097AC9" w:rsidRPr="00097AC9" w:rsidRDefault="00097AC9" w:rsidP="00AA4BBB">
            <w:pPr>
              <w:jc w:val="center"/>
              <w:rPr>
                <w:rFonts w:cs="Arial"/>
                <w:b/>
                <w:bCs/>
                <w:sz w:val="20"/>
                <w:szCs w:val="20"/>
              </w:rPr>
            </w:pPr>
            <w:r w:rsidRPr="00097AC9">
              <w:rPr>
                <w:rFonts w:cs="Arial"/>
                <w:b/>
                <w:bCs/>
                <w:sz w:val="20"/>
                <w:szCs w:val="20"/>
              </w:rPr>
              <w:t>12.373.454.198</w:t>
            </w:r>
          </w:p>
        </w:tc>
      </w:tr>
      <w:tr w:rsidR="00097AC9" w:rsidRPr="00097AC9" w14:paraId="3D79C4DE" w14:textId="77777777" w:rsidTr="00097AC9">
        <w:tc>
          <w:tcPr>
            <w:tcW w:w="1084" w:type="pct"/>
            <w:vMerge/>
            <w:vAlign w:val="center"/>
            <w:hideMark/>
          </w:tcPr>
          <w:p w14:paraId="748C80FD"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4D3D4F4A" w14:textId="77777777" w:rsidR="00097AC9" w:rsidRPr="00097AC9" w:rsidRDefault="00097AC9" w:rsidP="00AA4BBB">
            <w:pPr>
              <w:jc w:val="center"/>
              <w:rPr>
                <w:rFonts w:cs="Arial"/>
                <w:sz w:val="18"/>
                <w:szCs w:val="18"/>
              </w:rPr>
            </w:pPr>
            <w:r w:rsidRPr="00097AC9">
              <w:rPr>
                <w:rFonts w:cs="Arial"/>
                <w:sz w:val="18"/>
                <w:szCs w:val="18"/>
              </w:rPr>
              <w:t>2.555.000.000</w:t>
            </w:r>
          </w:p>
        </w:tc>
        <w:tc>
          <w:tcPr>
            <w:tcW w:w="762" w:type="pct"/>
            <w:tcMar>
              <w:top w:w="30" w:type="dxa"/>
              <w:left w:w="45" w:type="dxa"/>
              <w:bottom w:w="30" w:type="dxa"/>
              <w:right w:w="45" w:type="dxa"/>
            </w:tcMar>
            <w:vAlign w:val="center"/>
            <w:hideMark/>
          </w:tcPr>
          <w:p w14:paraId="44179A95" w14:textId="77777777" w:rsidR="00097AC9" w:rsidRPr="00097AC9" w:rsidRDefault="00097AC9" w:rsidP="00AA4BBB">
            <w:pPr>
              <w:jc w:val="center"/>
              <w:rPr>
                <w:rFonts w:cs="Arial"/>
                <w:sz w:val="18"/>
                <w:szCs w:val="18"/>
              </w:rPr>
            </w:pPr>
            <w:r w:rsidRPr="00097AC9">
              <w:rPr>
                <w:rFonts w:cs="Arial"/>
                <w:sz w:val="18"/>
                <w:szCs w:val="18"/>
              </w:rPr>
              <w:t>3.009.708.738</w:t>
            </w:r>
          </w:p>
        </w:tc>
        <w:tc>
          <w:tcPr>
            <w:tcW w:w="784" w:type="pct"/>
            <w:tcMar>
              <w:top w:w="30" w:type="dxa"/>
              <w:left w:w="45" w:type="dxa"/>
              <w:bottom w:w="30" w:type="dxa"/>
              <w:right w:w="45" w:type="dxa"/>
            </w:tcMar>
            <w:vAlign w:val="center"/>
            <w:hideMark/>
          </w:tcPr>
          <w:p w14:paraId="589211A8" w14:textId="77777777" w:rsidR="00097AC9" w:rsidRPr="00097AC9" w:rsidRDefault="00097AC9" w:rsidP="00AA4BBB">
            <w:pPr>
              <w:jc w:val="center"/>
              <w:rPr>
                <w:rFonts w:cs="Arial"/>
                <w:sz w:val="18"/>
                <w:szCs w:val="18"/>
              </w:rPr>
            </w:pPr>
            <w:r w:rsidRPr="00097AC9">
              <w:rPr>
                <w:rFonts w:cs="Arial"/>
                <w:sz w:val="18"/>
                <w:szCs w:val="18"/>
              </w:rPr>
              <w:t>2.988.029.032</w:t>
            </w:r>
          </w:p>
        </w:tc>
        <w:tc>
          <w:tcPr>
            <w:tcW w:w="787" w:type="pct"/>
            <w:tcMar>
              <w:top w:w="30" w:type="dxa"/>
              <w:left w:w="45" w:type="dxa"/>
              <w:bottom w:w="30" w:type="dxa"/>
              <w:right w:w="45" w:type="dxa"/>
            </w:tcMar>
            <w:vAlign w:val="center"/>
            <w:hideMark/>
          </w:tcPr>
          <w:p w14:paraId="76BC3777" w14:textId="77777777" w:rsidR="00097AC9" w:rsidRPr="00097AC9" w:rsidRDefault="00097AC9" w:rsidP="00AA4BBB">
            <w:pPr>
              <w:jc w:val="center"/>
              <w:rPr>
                <w:rFonts w:cs="Arial"/>
                <w:sz w:val="18"/>
                <w:szCs w:val="18"/>
              </w:rPr>
            </w:pPr>
            <w:r w:rsidRPr="00097AC9">
              <w:rPr>
                <w:rFonts w:cs="Arial"/>
                <w:sz w:val="18"/>
                <w:szCs w:val="18"/>
              </w:rPr>
              <w:t>3.820.716.428</w:t>
            </w:r>
          </w:p>
        </w:tc>
        <w:tc>
          <w:tcPr>
            <w:tcW w:w="793" w:type="pct"/>
            <w:vMerge/>
            <w:vAlign w:val="center"/>
            <w:hideMark/>
          </w:tcPr>
          <w:p w14:paraId="2DA8BD7A" w14:textId="77777777" w:rsidR="00097AC9" w:rsidRPr="00097AC9" w:rsidRDefault="00097AC9" w:rsidP="00AA4BBB">
            <w:pPr>
              <w:rPr>
                <w:rFonts w:cs="Arial"/>
                <w:b/>
                <w:bCs/>
                <w:sz w:val="20"/>
                <w:szCs w:val="20"/>
              </w:rPr>
            </w:pPr>
          </w:p>
        </w:tc>
      </w:tr>
      <w:tr w:rsidR="00097AC9" w:rsidRPr="00097AC9" w14:paraId="6D440B10" w14:textId="77777777" w:rsidTr="00097AC9">
        <w:tc>
          <w:tcPr>
            <w:tcW w:w="1084" w:type="pct"/>
            <w:vMerge w:val="restart"/>
            <w:tcMar>
              <w:top w:w="30" w:type="dxa"/>
              <w:left w:w="45" w:type="dxa"/>
              <w:bottom w:w="30" w:type="dxa"/>
              <w:right w:w="45" w:type="dxa"/>
            </w:tcMar>
            <w:vAlign w:val="center"/>
            <w:hideMark/>
          </w:tcPr>
          <w:p w14:paraId="0382406F" w14:textId="77777777" w:rsidR="00097AC9" w:rsidRPr="00097AC9" w:rsidRDefault="00097AC9" w:rsidP="00AA4BBB">
            <w:pPr>
              <w:rPr>
                <w:rFonts w:cs="Arial"/>
                <w:sz w:val="18"/>
                <w:szCs w:val="18"/>
              </w:rPr>
            </w:pPr>
            <w:r w:rsidRPr="00097AC9">
              <w:rPr>
                <w:rFonts w:cs="Arial"/>
                <w:sz w:val="18"/>
                <w:szCs w:val="18"/>
              </w:rPr>
              <w:t>Vincular 500 unidades productivas y/o emprendimientos rurales a mecanismos de inclusión financiera</w:t>
            </w:r>
          </w:p>
        </w:tc>
        <w:tc>
          <w:tcPr>
            <w:tcW w:w="789" w:type="pct"/>
            <w:tcMar>
              <w:top w:w="30" w:type="dxa"/>
              <w:left w:w="45" w:type="dxa"/>
              <w:bottom w:w="30" w:type="dxa"/>
              <w:right w:w="45" w:type="dxa"/>
            </w:tcMar>
            <w:vAlign w:val="center"/>
            <w:hideMark/>
          </w:tcPr>
          <w:p w14:paraId="36EE9640" w14:textId="77777777" w:rsidR="00097AC9" w:rsidRPr="00097AC9" w:rsidRDefault="00097AC9" w:rsidP="00AA4BBB">
            <w:pPr>
              <w:jc w:val="center"/>
              <w:rPr>
                <w:rFonts w:cs="Arial"/>
                <w:sz w:val="18"/>
                <w:szCs w:val="18"/>
              </w:rPr>
            </w:pPr>
            <w:r w:rsidRPr="00097AC9">
              <w:rPr>
                <w:rFonts w:cs="Arial"/>
                <w:sz w:val="18"/>
                <w:szCs w:val="18"/>
              </w:rPr>
              <w:t>30</w:t>
            </w:r>
          </w:p>
        </w:tc>
        <w:tc>
          <w:tcPr>
            <w:tcW w:w="762" w:type="pct"/>
            <w:tcMar>
              <w:top w:w="30" w:type="dxa"/>
              <w:left w:w="45" w:type="dxa"/>
              <w:bottom w:w="30" w:type="dxa"/>
              <w:right w:w="45" w:type="dxa"/>
            </w:tcMar>
            <w:vAlign w:val="center"/>
            <w:hideMark/>
          </w:tcPr>
          <w:p w14:paraId="7A06EA5E" w14:textId="77777777" w:rsidR="00097AC9" w:rsidRPr="00097AC9" w:rsidRDefault="00097AC9" w:rsidP="00AA4BBB">
            <w:pPr>
              <w:jc w:val="center"/>
              <w:rPr>
                <w:rFonts w:cs="Arial"/>
                <w:sz w:val="18"/>
                <w:szCs w:val="18"/>
              </w:rPr>
            </w:pPr>
            <w:r w:rsidRPr="00097AC9">
              <w:rPr>
                <w:rFonts w:cs="Arial"/>
                <w:sz w:val="18"/>
                <w:szCs w:val="18"/>
              </w:rPr>
              <w:t>180</w:t>
            </w:r>
          </w:p>
        </w:tc>
        <w:tc>
          <w:tcPr>
            <w:tcW w:w="784" w:type="pct"/>
            <w:tcMar>
              <w:top w:w="30" w:type="dxa"/>
              <w:left w:w="45" w:type="dxa"/>
              <w:bottom w:w="30" w:type="dxa"/>
              <w:right w:w="45" w:type="dxa"/>
            </w:tcMar>
            <w:vAlign w:val="center"/>
            <w:hideMark/>
          </w:tcPr>
          <w:p w14:paraId="7659FF2C" w14:textId="77777777" w:rsidR="00097AC9" w:rsidRPr="00097AC9" w:rsidRDefault="00097AC9" w:rsidP="00AA4BBB">
            <w:pPr>
              <w:jc w:val="center"/>
              <w:rPr>
                <w:rFonts w:cs="Arial"/>
                <w:sz w:val="18"/>
                <w:szCs w:val="18"/>
              </w:rPr>
            </w:pPr>
            <w:r w:rsidRPr="00097AC9">
              <w:rPr>
                <w:rFonts w:cs="Arial"/>
                <w:sz w:val="18"/>
                <w:szCs w:val="18"/>
              </w:rPr>
              <w:t>180</w:t>
            </w:r>
          </w:p>
        </w:tc>
        <w:tc>
          <w:tcPr>
            <w:tcW w:w="787" w:type="pct"/>
            <w:tcMar>
              <w:top w:w="30" w:type="dxa"/>
              <w:left w:w="45" w:type="dxa"/>
              <w:bottom w:w="30" w:type="dxa"/>
              <w:right w:w="45" w:type="dxa"/>
            </w:tcMar>
            <w:vAlign w:val="center"/>
            <w:hideMark/>
          </w:tcPr>
          <w:p w14:paraId="759F31E5" w14:textId="77777777" w:rsidR="00097AC9" w:rsidRPr="00097AC9" w:rsidRDefault="00097AC9" w:rsidP="00AA4BBB">
            <w:pPr>
              <w:jc w:val="center"/>
              <w:rPr>
                <w:rFonts w:cs="Arial"/>
                <w:sz w:val="18"/>
                <w:szCs w:val="18"/>
              </w:rPr>
            </w:pPr>
            <w:r w:rsidRPr="00097AC9">
              <w:rPr>
                <w:rFonts w:cs="Arial"/>
                <w:sz w:val="18"/>
                <w:szCs w:val="18"/>
              </w:rPr>
              <w:t>110</w:t>
            </w:r>
          </w:p>
        </w:tc>
        <w:tc>
          <w:tcPr>
            <w:tcW w:w="793" w:type="pct"/>
            <w:vMerge w:val="restart"/>
            <w:tcMar>
              <w:top w:w="30" w:type="dxa"/>
              <w:left w:w="45" w:type="dxa"/>
              <w:bottom w:w="30" w:type="dxa"/>
              <w:right w:w="45" w:type="dxa"/>
            </w:tcMar>
            <w:vAlign w:val="center"/>
            <w:hideMark/>
          </w:tcPr>
          <w:p w14:paraId="774A0238" w14:textId="77777777" w:rsidR="00097AC9" w:rsidRPr="00097AC9" w:rsidRDefault="00097AC9" w:rsidP="00AA4BBB">
            <w:pPr>
              <w:jc w:val="center"/>
              <w:rPr>
                <w:rFonts w:cs="Arial"/>
                <w:b/>
                <w:bCs/>
                <w:sz w:val="20"/>
                <w:szCs w:val="20"/>
              </w:rPr>
            </w:pPr>
            <w:r w:rsidRPr="00097AC9">
              <w:rPr>
                <w:rFonts w:cs="Arial"/>
                <w:b/>
                <w:bCs/>
                <w:sz w:val="20"/>
                <w:szCs w:val="20"/>
              </w:rPr>
              <w:t>4.368.207.338</w:t>
            </w:r>
          </w:p>
        </w:tc>
      </w:tr>
      <w:tr w:rsidR="00097AC9" w:rsidRPr="00097AC9" w14:paraId="198E5EA6" w14:textId="77777777" w:rsidTr="00097AC9">
        <w:tc>
          <w:tcPr>
            <w:tcW w:w="1084" w:type="pct"/>
            <w:vMerge/>
            <w:vAlign w:val="center"/>
            <w:hideMark/>
          </w:tcPr>
          <w:p w14:paraId="6669543B" w14:textId="77777777" w:rsidR="00097AC9" w:rsidRPr="00097AC9" w:rsidRDefault="00097AC9" w:rsidP="00AA4BBB">
            <w:pPr>
              <w:rPr>
                <w:rFonts w:cs="Arial"/>
                <w:sz w:val="18"/>
                <w:szCs w:val="18"/>
              </w:rPr>
            </w:pPr>
          </w:p>
        </w:tc>
        <w:tc>
          <w:tcPr>
            <w:tcW w:w="789" w:type="pct"/>
            <w:tcMar>
              <w:top w:w="30" w:type="dxa"/>
              <w:left w:w="45" w:type="dxa"/>
              <w:bottom w:w="30" w:type="dxa"/>
              <w:right w:w="45" w:type="dxa"/>
            </w:tcMar>
            <w:vAlign w:val="center"/>
            <w:hideMark/>
          </w:tcPr>
          <w:p w14:paraId="71D1392B" w14:textId="77777777" w:rsidR="00097AC9" w:rsidRPr="00097AC9" w:rsidRDefault="00097AC9" w:rsidP="00AA4BBB">
            <w:pPr>
              <w:jc w:val="center"/>
              <w:rPr>
                <w:rFonts w:cs="Arial"/>
                <w:sz w:val="18"/>
                <w:szCs w:val="18"/>
              </w:rPr>
            </w:pPr>
            <w:r w:rsidRPr="00097AC9">
              <w:rPr>
                <w:rFonts w:cs="Arial"/>
                <w:sz w:val="18"/>
                <w:szCs w:val="18"/>
              </w:rPr>
              <w:t>300.000.000</w:t>
            </w:r>
          </w:p>
        </w:tc>
        <w:tc>
          <w:tcPr>
            <w:tcW w:w="762" w:type="pct"/>
            <w:tcMar>
              <w:top w:w="30" w:type="dxa"/>
              <w:left w:w="45" w:type="dxa"/>
              <w:bottom w:w="30" w:type="dxa"/>
              <w:right w:w="45" w:type="dxa"/>
            </w:tcMar>
            <w:vAlign w:val="center"/>
            <w:hideMark/>
          </w:tcPr>
          <w:p w14:paraId="028B0961" w14:textId="77777777" w:rsidR="00097AC9" w:rsidRPr="00097AC9" w:rsidRDefault="00097AC9" w:rsidP="00AA4BBB">
            <w:pPr>
              <w:jc w:val="center"/>
              <w:rPr>
                <w:rFonts w:cs="Arial"/>
                <w:sz w:val="18"/>
                <w:szCs w:val="18"/>
              </w:rPr>
            </w:pPr>
            <w:r w:rsidRPr="00097AC9">
              <w:rPr>
                <w:rFonts w:cs="Arial"/>
                <w:sz w:val="18"/>
                <w:szCs w:val="18"/>
              </w:rPr>
              <w:t>1.553.398.058</w:t>
            </w:r>
          </w:p>
        </w:tc>
        <w:tc>
          <w:tcPr>
            <w:tcW w:w="784" w:type="pct"/>
            <w:tcMar>
              <w:top w:w="30" w:type="dxa"/>
              <w:left w:w="45" w:type="dxa"/>
              <w:bottom w:w="30" w:type="dxa"/>
              <w:right w:w="45" w:type="dxa"/>
            </w:tcMar>
            <w:vAlign w:val="center"/>
            <w:hideMark/>
          </w:tcPr>
          <w:p w14:paraId="2AF3914D" w14:textId="77777777" w:rsidR="00097AC9" w:rsidRPr="00097AC9" w:rsidRDefault="00097AC9" w:rsidP="00AA4BBB">
            <w:pPr>
              <w:jc w:val="center"/>
              <w:rPr>
                <w:rFonts w:cs="Arial"/>
                <w:sz w:val="18"/>
                <w:szCs w:val="18"/>
              </w:rPr>
            </w:pPr>
            <w:r w:rsidRPr="00097AC9">
              <w:rPr>
                <w:rFonts w:cs="Arial"/>
                <w:sz w:val="18"/>
                <w:szCs w:val="18"/>
              </w:rPr>
              <w:t>1.508.153.455</w:t>
            </w:r>
          </w:p>
        </w:tc>
        <w:tc>
          <w:tcPr>
            <w:tcW w:w="787" w:type="pct"/>
            <w:tcMar>
              <w:top w:w="30" w:type="dxa"/>
              <w:left w:w="45" w:type="dxa"/>
              <w:bottom w:w="30" w:type="dxa"/>
              <w:right w:w="45" w:type="dxa"/>
            </w:tcMar>
            <w:vAlign w:val="center"/>
            <w:hideMark/>
          </w:tcPr>
          <w:p w14:paraId="5D1A0041" w14:textId="77777777" w:rsidR="00097AC9" w:rsidRPr="00097AC9" w:rsidRDefault="00097AC9" w:rsidP="00AA4BBB">
            <w:pPr>
              <w:jc w:val="center"/>
              <w:rPr>
                <w:rFonts w:cs="Arial"/>
                <w:sz w:val="18"/>
                <w:szCs w:val="18"/>
              </w:rPr>
            </w:pPr>
            <w:r w:rsidRPr="00097AC9">
              <w:rPr>
                <w:rFonts w:cs="Arial"/>
                <w:sz w:val="18"/>
                <w:szCs w:val="18"/>
              </w:rPr>
              <w:t>1.006.655.825</w:t>
            </w:r>
          </w:p>
        </w:tc>
        <w:tc>
          <w:tcPr>
            <w:tcW w:w="793" w:type="pct"/>
            <w:vMerge/>
            <w:vAlign w:val="center"/>
            <w:hideMark/>
          </w:tcPr>
          <w:p w14:paraId="4988A0D1" w14:textId="77777777" w:rsidR="00097AC9" w:rsidRPr="00097AC9" w:rsidRDefault="00097AC9" w:rsidP="00AA4BBB">
            <w:pPr>
              <w:rPr>
                <w:rFonts w:cs="Arial"/>
                <w:b/>
                <w:bCs/>
                <w:sz w:val="20"/>
                <w:szCs w:val="20"/>
              </w:rPr>
            </w:pPr>
          </w:p>
        </w:tc>
      </w:tr>
      <w:tr w:rsidR="00097AC9" w:rsidRPr="00097AC9" w14:paraId="5D09FA36" w14:textId="77777777" w:rsidTr="00097AC9">
        <w:tc>
          <w:tcPr>
            <w:tcW w:w="5000" w:type="pct"/>
            <w:gridSpan w:val="6"/>
            <w:shd w:val="clear" w:color="auto" w:fill="C00000"/>
            <w:tcMar>
              <w:top w:w="30" w:type="dxa"/>
              <w:left w:w="45" w:type="dxa"/>
              <w:bottom w:w="30" w:type="dxa"/>
              <w:right w:w="45" w:type="dxa"/>
            </w:tcMar>
            <w:vAlign w:val="center"/>
            <w:hideMark/>
          </w:tcPr>
          <w:p w14:paraId="05D1CF4A" w14:textId="45EC6454" w:rsidR="00097AC9" w:rsidRPr="00097AC9" w:rsidRDefault="00097AC9" w:rsidP="00097AC9">
            <w:pPr>
              <w:jc w:val="center"/>
              <w:rPr>
                <w:rFonts w:cs="Arial"/>
                <w:b/>
                <w:bCs/>
                <w:color w:val="FFFFFF" w:themeColor="background1"/>
                <w:sz w:val="18"/>
                <w:szCs w:val="18"/>
              </w:rPr>
            </w:pPr>
            <w:r w:rsidRPr="00097AC9">
              <w:rPr>
                <w:rFonts w:cs="Arial"/>
                <w:b/>
                <w:bCs/>
                <w:color w:val="FFFFFF" w:themeColor="background1"/>
                <w:sz w:val="18"/>
                <w:szCs w:val="18"/>
              </w:rPr>
              <w:t>Mujer</w:t>
            </w:r>
          </w:p>
        </w:tc>
      </w:tr>
      <w:tr w:rsidR="00097AC9" w:rsidRPr="00097AC9" w14:paraId="30FD5B55" w14:textId="77777777" w:rsidTr="00097AC9">
        <w:tc>
          <w:tcPr>
            <w:tcW w:w="1084" w:type="pct"/>
            <w:vMerge w:val="restart"/>
            <w:tcMar>
              <w:top w:w="30" w:type="dxa"/>
              <w:left w:w="45" w:type="dxa"/>
              <w:bottom w:w="30" w:type="dxa"/>
              <w:right w:w="45" w:type="dxa"/>
            </w:tcMar>
            <w:vAlign w:val="center"/>
            <w:hideMark/>
          </w:tcPr>
          <w:p w14:paraId="62D0C986" w14:textId="380F7985" w:rsidR="00097AC9" w:rsidRPr="00097AC9" w:rsidRDefault="00097AC9" w:rsidP="00AA4BBB">
            <w:pPr>
              <w:rPr>
                <w:rFonts w:cs="Arial"/>
                <w:sz w:val="18"/>
                <w:szCs w:val="18"/>
                <w:highlight w:val="yellow"/>
              </w:rPr>
            </w:pPr>
            <w:r w:rsidRPr="00097AC9">
              <w:rPr>
                <w:rFonts w:cs="Arial"/>
                <w:sz w:val="18"/>
                <w:szCs w:val="18"/>
              </w:rPr>
              <w:t>Cualificar 9</w:t>
            </w:r>
            <w:r>
              <w:rPr>
                <w:rFonts w:cs="Arial"/>
                <w:sz w:val="18"/>
                <w:szCs w:val="18"/>
              </w:rPr>
              <w:t>.</w:t>
            </w:r>
            <w:r w:rsidRPr="00097AC9">
              <w:rPr>
                <w:rFonts w:cs="Arial"/>
                <w:sz w:val="18"/>
                <w:szCs w:val="18"/>
              </w:rPr>
              <w:t>000 mujeres en herramientas para la autonomía económica</w:t>
            </w:r>
          </w:p>
        </w:tc>
        <w:tc>
          <w:tcPr>
            <w:tcW w:w="789" w:type="pct"/>
            <w:tcMar>
              <w:top w:w="30" w:type="dxa"/>
              <w:left w:w="45" w:type="dxa"/>
              <w:bottom w:w="30" w:type="dxa"/>
              <w:right w:w="45" w:type="dxa"/>
            </w:tcMar>
            <w:vAlign w:val="center"/>
            <w:hideMark/>
          </w:tcPr>
          <w:p w14:paraId="7ED006B2" w14:textId="77777777" w:rsidR="00097AC9" w:rsidRPr="00097AC9" w:rsidRDefault="00097AC9" w:rsidP="00AA4BBB">
            <w:pPr>
              <w:jc w:val="center"/>
              <w:rPr>
                <w:rFonts w:cs="Arial"/>
                <w:sz w:val="18"/>
                <w:szCs w:val="18"/>
              </w:rPr>
            </w:pPr>
            <w:r w:rsidRPr="00097AC9">
              <w:rPr>
                <w:rFonts w:cs="Arial"/>
                <w:sz w:val="18"/>
                <w:szCs w:val="18"/>
              </w:rPr>
              <w:t>1.000</w:t>
            </w:r>
          </w:p>
        </w:tc>
        <w:tc>
          <w:tcPr>
            <w:tcW w:w="762" w:type="pct"/>
            <w:tcMar>
              <w:top w:w="30" w:type="dxa"/>
              <w:left w:w="45" w:type="dxa"/>
              <w:bottom w:w="30" w:type="dxa"/>
              <w:right w:w="45" w:type="dxa"/>
            </w:tcMar>
            <w:vAlign w:val="center"/>
            <w:hideMark/>
          </w:tcPr>
          <w:p w14:paraId="0D9DE5E2" w14:textId="77777777" w:rsidR="00097AC9" w:rsidRPr="00097AC9" w:rsidRDefault="00097AC9" w:rsidP="00AA4BBB">
            <w:pPr>
              <w:jc w:val="center"/>
              <w:rPr>
                <w:rFonts w:cs="Arial"/>
                <w:sz w:val="18"/>
                <w:szCs w:val="18"/>
              </w:rPr>
            </w:pPr>
            <w:r w:rsidRPr="00097AC9">
              <w:rPr>
                <w:rFonts w:cs="Arial"/>
                <w:sz w:val="18"/>
                <w:szCs w:val="18"/>
              </w:rPr>
              <w:t>3.000</w:t>
            </w:r>
          </w:p>
        </w:tc>
        <w:tc>
          <w:tcPr>
            <w:tcW w:w="784" w:type="pct"/>
            <w:tcMar>
              <w:top w:w="30" w:type="dxa"/>
              <w:left w:w="45" w:type="dxa"/>
              <w:bottom w:w="30" w:type="dxa"/>
              <w:right w:w="45" w:type="dxa"/>
            </w:tcMar>
            <w:vAlign w:val="center"/>
            <w:hideMark/>
          </w:tcPr>
          <w:p w14:paraId="7D88D575" w14:textId="77777777" w:rsidR="00097AC9" w:rsidRPr="00097AC9" w:rsidRDefault="00097AC9" w:rsidP="00AA4BBB">
            <w:pPr>
              <w:jc w:val="center"/>
              <w:rPr>
                <w:rFonts w:cs="Arial"/>
                <w:sz w:val="18"/>
                <w:szCs w:val="18"/>
              </w:rPr>
            </w:pPr>
            <w:r w:rsidRPr="00097AC9">
              <w:rPr>
                <w:rFonts w:cs="Arial"/>
                <w:sz w:val="18"/>
                <w:szCs w:val="18"/>
              </w:rPr>
              <w:t>3.000</w:t>
            </w:r>
          </w:p>
        </w:tc>
        <w:tc>
          <w:tcPr>
            <w:tcW w:w="787" w:type="pct"/>
            <w:tcMar>
              <w:top w:w="30" w:type="dxa"/>
              <w:left w:w="45" w:type="dxa"/>
              <w:bottom w:w="30" w:type="dxa"/>
              <w:right w:w="45" w:type="dxa"/>
            </w:tcMar>
            <w:vAlign w:val="center"/>
            <w:hideMark/>
          </w:tcPr>
          <w:p w14:paraId="0571D8DA" w14:textId="77777777" w:rsidR="00097AC9" w:rsidRPr="00097AC9" w:rsidRDefault="00097AC9" w:rsidP="00AA4BBB">
            <w:pPr>
              <w:jc w:val="center"/>
              <w:rPr>
                <w:rFonts w:cs="Arial"/>
                <w:sz w:val="18"/>
                <w:szCs w:val="18"/>
              </w:rPr>
            </w:pPr>
            <w:r w:rsidRPr="00097AC9">
              <w:rPr>
                <w:rFonts w:cs="Arial"/>
                <w:sz w:val="18"/>
                <w:szCs w:val="18"/>
              </w:rPr>
              <w:t>2.000</w:t>
            </w:r>
          </w:p>
        </w:tc>
        <w:tc>
          <w:tcPr>
            <w:tcW w:w="793" w:type="pct"/>
            <w:vMerge w:val="restart"/>
            <w:tcMar>
              <w:top w:w="30" w:type="dxa"/>
              <w:left w:w="45" w:type="dxa"/>
              <w:bottom w:w="30" w:type="dxa"/>
              <w:right w:w="45" w:type="dxa"/>
            </w:tcMar>
            <w:vAlign w:val="center"/>
            <w:hideMark/>
          </w:tcPr>
          <w:p w14:paraId="7B98D3AC" w14:textId="77777777" w:rsidR="00097AC9" w:rsidRPr="00097AC9" w:rsidRDefault="00097AC9" w:rsidP="00AA4BBB">
            <w:pPr>
              <w:jc w:val="center"/>
              <w:rPr>
                <w:rFonts w:cs="Arial"/>
                <w:b/>
                <w:bCs/>
                <w:sz w:val="20"/>
                <w:szCs w:val="20"/>
              </w:rPr>
            </w:pPr>
            <w:r w:rsidRPr="00097AC9">
              <w:rPr>
                <w:rFonts w:cs="Arial"/>
                <w:b/>
                <w:bCs/>
                <w:sz w:val="20"/>
                <w:szCs w:val="20"/>
              </w:rPr>
              <w:t>6.396.511.564</w:t>
            </w:r>
          </w:p>
        </w:tc>
      </w:tr>
      <w:tr w:rsidR="00097AC9" w:rsidRPr="00097AC9" w14:paraId="3040AD3E" w14:textId="77777777" w:rsidTr="00097AC9">
        <w:tc>
          <w:tcPr>
            <w:tcW w:w="1084" w:type="pct"/>
            <w:vMerge/>
            <w:tcBorders>
              <w:bottom w:val="double" w:sz="4" w:space="0" w:color="C00000"/>
            </w:tcBorders>
            <w:vAlign w:val="center"/>
            <w:hideMark/>
          </w:tcPr>
          <w:p w14:paraId="02A58A73" w14:textId="77777777" w:rsidR="00097AC9" w:rsidRPr="00097AC9" w:rsidRDefault="00097AC9" w:rsidP="00AA4BBB">
            <w:pPr>
              <w:rPr>
                <w:rFonts w:cs="Arial"/>
                <w:sz w:val="18"/>
                <w:szCs w:val="18"/>
              </w:rPr>
            </w:pPr>
          </w:p>
        </w:tc>
        <w:tc>
          <w:tcPr>
            <w:tcW w:w="789" w:type="pct"/>
            <w:tcBorders>
              <w:bottom w:val="double" w:sz="4" w:space="0" w:color="C00000"/>
            </w:tcBorders>
            <w:tcMar>
              <w:top w:w="30" w:type="dxa"/>
              <w:left w:w="45" w:type="dxa"/>
              <w:bottom w:w="30" w:type="dxa"/>
              <w:right w:w="45" w:type="dxa"/>
            </w:tcMar>
            <w:vAlign w:val="center"/>
            <w:hideMark/>
          </w:tcPr>
          <w:p w14:paraId="23BD0498" w14:textId="77777777" w:rsidR="00097AC9" w:rsidRPr="00097AC9" w:rsidRDefault="00097AC9" w:rsidP="00AA4BBB">
            <w:pPr>
              <w:jc w:val="center"/>
              <w:rPr>
                <w:rFonts w:cs="Arial"/>
                <w:sz w:val="18"/>
                <w:szCs w:val="18"/>
              </w:rPr>
            </w:pPr>
            <w:r w:rsidRPr="00097AC9">
              <w:rPr>
                <w:rFonts w:cs="Arial"/>
                <w:sz w:val="18"/>
                <w:szCs w:val="18"/>
              </w:rPr>
              <w:t>1.489.939.525</w:t>
            </w:r>
          </w:p>
        </w:tc>
        <w:tc>
          <w:tcPr>
            <w:tcW w:w="762" w:type="pct"/>
            <w:tcBorders>
              <w:bottom w:val="double" w:sz="4" w:space="0" w:color="C00000"/>
            </w:tcBorders>
            <w:tcMar>
              <w:top w:w="30" w:type="dxa"/>
              <w:left w:w="45" w:type="dxa"/>
              <w:bottom w:w="30" w:type="dxa"/>
              <w:right w:w="45" w:type="dxa"/>
            </w:tcMar>
            <w:vAlign w:val="center"/>
            <w:hideMark/>
          </w:tcPr>
          <w:p w14:paraId="2565F225" w14:textId="77777777" w:rsidR="00097AC9" w:rsidRPr="00097AC9" w:rsidRDefault="00097AC9" w:rsidP="00AA4BBB">
            <w:pPr>
              <w:jc w:val="center"/>
              <w:rPr>
                <w:rFonts w:cs="Arial"/>
                <w:sz w:val="18"/>
                <w:szCs w:val="18"/>
              </w:rPr>
            </w:pPr>
            <w:r w:rsidRPr="00097AC9">
              <w:rPr>
                <w:rFonts w:cs="Arial"/>
                <w:sz w:val="18"/>
                <w:szCs w:val="18"/>
              </w:rPr>
              <w:t>1.583.964.835</w:t>
            </w:r>
          </w:p>
        </w:tc>
        <w:tc>
          <w:tcPr>
            <w:tcW w:w="784" w:type="pct"/>
            <w:tcBorders>
              <w:bottom w:val="double" w:sz="4" w:space="0" w:color="C00000"/>
            </w:tcBorders>
            <w:tcMar>
              <w:top w:w="30" w:type="dxa"/>
              <w:left w:w="45" w:type="dxa"/>
              <w:bottom w:w="30" w:type="dxa"/>
              <w:right w:w="45" w:type="dxa"/>
            </w:tcMar>
            <w:vAlign w:val="center"/>
            <w:hideMark/>
          </w:tcPr>
          <w:p w14:paraId="53074564" w14:textId="77777777" w:rsidR="00097AC9" w:rsidRPr="00097AC9" w:rsidRDefault="00097AC9" w:rsidP="00AA4BBB">
            <w:pPr>
              <w:jc w:val="center"/>
              <w:rPr>
                <w:rFonts w:cs="Arial"/>
                <w:sz w:val="18"/>
                <w:szCs w:val="18"/>
              </w:rPr>
            </w:pPr>
            <w:r w:rsidRPr="00097AC9">
              <w:rPr>
                <w:rFonts w:cs="Arial"/>
                <w:sz w:val="18"/>
                <w:szCs w:val="18"/>
              </w:rPr>
              <w:t>1.637.788.883</w:t>
            </w:r>
          </w:p>
        </w:tc>
        <w:tc>
          <w:tcPr>
            <w:tcW w:w="787" w:type="pct"/>
            <w:tcBorders>
              <w:bottom w:val="double" w:sz="4" w:space="0" w:color="C00000"/>
            </w:tcBorders>
            <w:tcMar>
              <w:top w:w="30" w:type="dxa"/>
              <w:left w:w="45" w:type="dxa"/>
              <w:bottom w:w="30" w:type="dxa"/>
              <w:right w:w="45" w:type="dxa"/>
            </w:tcMar>
            <w:vAlign w:val="center"/>
            <w:hideMark/>
          </w:tcPr>
          <w:p w14:paraId="58FDDFE6" w14:textId="77777777" w:rsidR="00097AC9" w:rsidRPr="00097AC9" w:rsidRDefault="00097AC9" w:rsidP="00AA4BBB">
            <w:pPr>
              <w:jc w:val="center"/>
              <w:rPr>
                <w:rFonts w:cs="Arial"/>
                <w:sz w:val="18"/>
                <w:szCs w:val="18"/>
              </w:rPr>
            </w:pPr>
            <w:r w:rsidRPr="00097AC9">
              <w:rPr>
                <w:rFonts w:cs="Arial"/>
                <w:sz w:val="18"/>
                <w:szCs w:val="18"/>
              </w:rPr>
              <w:t>1.684.818.321</w:t>
            </w:r>
          </w:p>
        </w:tc>
        <w:tc>
          <w:tcPr>
            <w:tcW w:w="793" w:type="pct"/>
            <w:vMerge/>
            <w:tcBorders>
              <w:bottom w:val="double" w:sz="4" w:space="0" w:color="C00000"/>
            </w:tcBorders>
            <w:vAlign w:val="center"/>
            <w:hideMark/>
          </w:tcPr>
          <w:p w14:paraId="1E835AD7" w14:textId="77777777" w:rsidR="00097AC9" w:rsidRPr="00097AC9" w:rsidRDefault="00097AC9" w:rsidP="00AA4BBB">
            <w:pPr>
              <w:rPr>
                <w:rFonts w:cs="Arial"/>
                <w:b/>
                <w:bCs/>
                <w:sz w:val="20"/>
                <w:szCs w:val="20"/>
              </w:rPr>
            </w:pPr>
          </w:p>
        </w:tc>
      </w:tr>
    </w:tbl>
    <w:p w14:paraId="52AB6211" w14:textId="77777777" w:rsidR="00FA4F64" w:rsidRDefault="00FA4F64" w:rsidP="00097AC9">
      <w:pPr>
        <w:rPr>
          <w:rFonts w:ascii="Times New Roman" w:hAnsi="Times New Roman"/>
          <w:color w:val="000000"/>
          <w:sz w:val="24"/>
        </w:rPr>
      </w:pPr>
      <w:r>
        <w:br w:type="page"/>
      </w:r>
    </w:p>
    <w:p w14:paraId="13DE0F61" w14:textId="77777777" w:rsidR="00FA4F64" w:rsidRDefault="00FA4F64" w:rsidP="005C4587">
      <w:pPr>
        <w:pStyle w:val="NIVEL4"/>
        <w:rPr>
          <w:color w:val="3B3838"/>
        </w:rPr>
      </w:pPr>
      <w:bookmarkStart w:id="334" w:name="_Toc165169783"/>
      <w:r w:rsidRPr="006433F4">
        <w:rPr>
          <w:color w:val="C00000"/>
        </w:rPr>
        <w:lastRenderedPageBreak/>
        <w:t xml:space="preserve">Programa 21: </w:t>
      </w:r>
      <w:r>
        <w:t>Bogotá ciudad portuaria</w:t>
      </w:r>
      <w:bookmarkEnd w:id="334"/>
    </w:p>
    <w:p w14:paraId="4900B09D" w14:textId="77777777" w:rsidR="00FA4F64" w:rsidRDefault="00FA4F64" w:rsidP="00A72998">
      <w:pPr>
        <w:rPr>
          <w:color w:val="3B3838"/>
        </w:rPr>
      </w:pPr>
    </w:p>
    <w:p w14:paraId="3A844F9A" w14:textId="575BE990" w:rsidR="00FA4F64" w:rsidRPr="00BB5305" w:rsidRDefault="00FA4F64" w:rsidP="00BB5305">
      <w:pPr>
        <w:ind w:firstLine="708"/>
        <w:rPr>
          <w:b/>
          <w:bCs/>
          <w:sz w:val="24"/>
        </w:rPr>
        <w:sectPr w:rsidR="00FA4F64" w:rsidRPr="00BB5305" w:rsidSect="00F7078E">
          <w:type w:val="continuous"/>
          <w:pgSz w:w="12240" w:h="15840"/>
          <w:pgMar w:top="2262" w:right="1440" w:bottom="1440" w:left="1440" w:header="708" w:footer="708" w:gutter="0"/>
          <w:cols w:space="720"/>
        </w:sectPr>
      </w:pPr>
      <w:r w:rsidRPr="00BB5305">
        <w:rPr>
          <w:b/>
          <w:bCs/>
          <w:sz w:val="24"/>
        </w:rPr>
        <w:t>Diagnóstico</w:t>
      </w:r>
    </w:p>
    <w:p w14:paraId="00EE9540" w14:textId="6816125F" w:rsidR="00FA4F64" w:rsidRDefault="00FA4F64" w:rsidP="00FA4F64">
      <w:r>
        <w:t>El Aeropuerto Internacional El Dorado es referente del transporte aéreo en Latinoamérica. Actualmente, ocupa el primer lugar en volumen de carga transportada (840.000 toneladas), el segundo en movimiento de pasajeros (40 millones de personas) y el segundo en operaciones aéreas en el continente (Aerocivil, 2023). Durante tres años consecutivos fue reconocido como el “Mejor Aeropuerto de Sudamérica” según Skytrax.</w:t>
      </w:r>
    </w:p>
    <w:p w14:paraId="5BE0649B" w14:textId="77777777" w:rsidR="00FA4F64" w:rsidRDefault="00FA4F64" w:rsidP="00FA4F64"/>
    <w:p w14:paraId="4A807C87" w14:textId="77777777" w:rsidR="00FA4F64" w:rsidRDefault="00FA4F64" w:rsidP="00FA4F64">
      <w:r>
        <w:t>Paradójicamente, la operación del aeropuerto se ha dado sin la armonización del entorno urbano colindante, desaprovechando el potencial del aeropuerto como catalizador del desarrollo territorial (Serrano &amp; Kazda, 2020). Las incompatibilidades con los usos residenciales del entorno y las generadas por la consolidación de usos industriales dispersos y de baja jerarquía se manifiestan en un repertorio de impactos ambientales y externalidades negativas que afectan la calidad de vida de los habitantes del entorno.</w:t>
      </w:r>
    </w:p>
    <w:p w14:paraId="3E3633C4" w14:textId="77777777" w:rsidR="00FA4F64" w:rsidRDefault="00FA4F64" w:rsidP="00FA4F64"/>
    <w:p w14:paraId="406CAF2F" w14:textId="77777777" w:rsidR="00FA4F64" w:rsidRDefault="00FA4F64" w:rsidP="00FA4F64">
      <w:r>
        <w:t>Otra de las grandes necesidades es ampliar la infraestructura del aeropuerto, como se destaca en análisis realizados por entidades como Probogotá Región, la ANDI y la Cámara de Comercio de Bogotá, especialmente en relación con la capacidad de transporte de carga. La implementación de la Iniciativa Privada El Dorado Max (Edmax) es fundamental para atender las necesidades de transporte de carga en el corto y mediano plazo.</w:t>
      </w:r>
    </w:p>
    <w:p w14:paraId="248974C5" w14:textId="77777777" w:rsidR="00FA4F64" w:rsidRDefault="00FA4F64" w:rsidP="00FA4F64"/>
    <w:p w14:paraId="4851631C" w14:textId="77777777" w:rsidR="00FA4F64" w:rsidRDefault="00FA4F64" w:rsidP="00FA4F64">
      <w:r>
        <w:t xml:space="preserve">Teniendo en cuenta lo anterior, y reconociendo que en Bogotá existen instrumentos de planificación que definen una visión para la armonización y el desarrollo del entorno del aeropuerto, es necesario trascender hacia un </w:t>
      </w:r>
      <w:r>
        <w:rPr>
          <w:i/>
        </w:rPr>
        <w:t xml:space="preserve">marco de promoción integral del desarrollo aeroportuario, </w:t>
      </w:r>
      <w:r>
        <w:t xml:space="preserve">que garantice la ejecución de los instrumentos formulados y defina acciones intersectoriales </w:t>
      </w:r>
      <w:r>
        <w:t>complementarias. Esto, con el fin de que se reconozca el aeropuerto como un hito urbano para el fortalecimiento de los mercados existentes y la creación de nuevos mercados para potencializar los ecosistemas empresariales, productivos y de emprendimiento de Bogotá y su relación con vecinos regionales e internacionales, de tal manera que se generen redes de cooperación y sinergia económica.</w:t>
      </w:r>
    </w:p>
    <w:p w14:paraId="75541631" w14:textId="77777777" w:rsidR="00FA4F64" w:rsidRDefault="00FA4F64" w:rsidP="00FA4F64"/>
    <w:p w14:paraId="35E43AA8" w14:textId="77777777" w:rsidR="00FA4F64" w:rsidRDefault="00FA4F64" w:rsidP="00FA4F64">
      <w:r>
        <w:t>Se ha identificado que las ciudades que le apuestan al desarrollo aeroportuario despliegan un conjunto integral de medidas e incentivos, buscando favorecer la localización de empresas, la generación de nuevos empleos y la cualificación de la mano de obra, así como la armonización y cualificación urbanística del entorno.</w:t>
      </w:r>
    </w:p>
    <w:p w14:paraId="0FAB0564" w14:textId="77777777" w:rsidR="00FA4F64" w:rsidRDefault="00FA4F64" w:rsidP="00FA4F64"/>
    <w:p w14:paraId="2EFA964F" w14:textId="77777777" w:rsidR="00FA4F64" w:rsidRDefault="00FA4F64" w:rsidP="00FA4F64">
      <w:r>
        <w:t>El posicionamiento del aeropuerto promueve también el posicionamiento de Bogotá como un destino de interés para el desarrollo de sinergias regionales e internacionales para la consolidación de industrias creativas, de entretenimiento y de ocio, que permita ofrecer y disfrutar de grandes conciertos, eventos de tipo artístico, cultural, gastronómico, turístico, ambientales, deportivos, recreativos y académicos, entre otros.</w:t>
      </w:r>
    </w:p>
    <w:p w14:paraId="5E652B64" w14:textId="77777777" w:rsidR="00FA4F64" w:rsidRDefault="00FA4F64" w:rsidP="00FA4F64"/>
    <w:p w14:paraId="6A3E7B3C" w14:textId="77777777" w:rsidR="00FA4F64" w:rsidRDefault="00FA4F64" w:rsidP="00FA4F64">
      <w:r>
        <w:t>Por eso, para garantizar la convergencia entre los instrumentos de planificación territorial distritales y regionales y la planeación del desarrollo y la inversión, se requiere un programa integrador que vincule acciones complementarias, articuladas en el marco de una instancia intersectorial, que garantice que la acción coordinada de las entidades públicas, el sector privado, las comunidades del entorno y la academia, configuren un entorno de promoción integral del desarrollo aeroportuario en Bogotá.</w:t>
      </w:r>
    </w:p>
    <w:p w14:paraId="7A0A99D0" w14:textId="77777777" w:rsidR="00FA4F64" w:rsidRDefault="00FA4F64" w:rsidP="00FA4F64"/>
    <w:p w14:paraId="03BBCBC9" w14:textId="5DE1A886"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lastRenderedPageBreak/>
        <w:t>En otro nivel de decisión, el Plan Maestro de Actualización de Aeropuerto El Dorado</w:t>
      </w:r>
      <w:r>
        <w:rPr>
          <w:vertAlign w:val="superscript"/>
        </w:rPr>
        <w:footnoteReference w:id="12"/>
      </w:r>
      <w:r>
        <w:t xml:space="preserve"> anticipa la recuperación de la actividad aeroportuaria e </w:t>
      </w:r>
      <w:r>
        <w:t>identifica varios hitos de demanda asociados a la capacidad de servicios de la actual terminal (</w:t>
      </w:r>
      <w:r w:rsidR="00712530">
        <w:fldChar w:fldCharType="begin"/>
      </w:r>
      <w:r w:rsidR="00712530">
        <w:instrText xml:space="preserve"> REF _Ref165138260 \h </w:instrText>
      </w:r>
      <w:r w:rsidR="00712530">
        <w:fldChar w:fldCharType="separate"/>
      </w:r>
      <w:r w:rsidR="00D01651" w:rsidRPr="00712530">
        <w:rPr>
          <w:color w:val="C00000"/>
          <w:sz w:val="18"/>
          <w:szCs w:val="18"/>
        </w:rPr>
        <w:t xml:space="preserve">Gráfica </w:t>
      </w:r>
      <w:r w:rsidR="00D01651">
        <w:rPr>
          <w:noProof/>
          <w:color w:val="C00000"/>
          <w:sz w:val="18"/>
        </w:rPr>
        <w:t>42</w:t>
      </w:r>
      <w:r w:rsidR="00712530">
        <w:fldChar w:fldCharType="end"/>
      </w:r>
      <w:r>
        <w:t>).</w:t>
      </w:r>
    </w:p>
    <w:p w14:paraId="56857E03" w14:textId="77777777" w:rsidR="00FA4F64" w:rsidRDefault="00FA4F64" w:rsidP="00FA4F64">
      <w:pPr>
        <w:spacing w:line="480" w:lineRule="auto"/>
        <w:rPr>
          <w:rFonts w:ascii="Times New Roman" w:hAnsi="Times New Roman"/>
          <w:sz w:val="24"/>
        </w:rPr>
      </w:pPr>
    </w:p>
    <w:p w14:paraId="5A40286F" w14:textId="35C6BE7F" w:rsidR="00FA4F64" w:rsidRPr="00712530" w:rsidRDefault="00A72998" w:rsidP="00A72998">
      <w:pPr>
        <w:pStyle w:val="Descripcin"/>
        <w:jc w:val="center"/>
        <w:rPr>
          <w:sz w:val="18"/>
        </w:rPr>
      </w:pPr>
      <w:bookmarkStart w:id="335" w:name="_heading=h.3whwml4" w:colFirst="0" w:colLast="0"/>
      <w:bookmarkStart w:id="336" w:name="_Ref165138260"/>
      <w:bookmarkStart w:id="337" w:name="_Toc165169868"/>
      <w:bookmarkEnd w:id="335"/>
      <w:r w:rsidRPr="00712530">
        <w:rPr>
          <w:color w:val="C00000"/>
          <w:sz w:val="18"/>
        </w:rPr>
        <w:t xml:space="preserve">Gráfica </w:t>
      </w:r>
      <w:r w:rsidRPr="00712530">
        <w:rPr>
          <w:color w:val="C00000"/>
          <w:sz w:val="18"/>
        </w:rPr>
        <w:fldChar w:fldCharType="begin"/>
      </w:r>
      <w:r w:rsidRPr="00712530">
        <w:rPr>
          <w:color w:val="C00000"/>
          <w:sz w:val="18"/>
        </w:rPr>
        <w:instrText xml:space="preserve"> SEQ Gráfica \* ARABIC </w:instrText>
      </w:r>
      <w:r w:rsidRPr="00712530">
        <w:rPr>
          <w:color w:val="C00000"/>
          <w:sz w:val="18"/>
        </w:rPr>
        <w:fldChar w:fldCharType="separate"/>
      </w:r>
      <w:r w:rsidR="00D01651">
        <w:rPr>
          <w:noProof/>
          <w:color w:val="C00000"/>
          <w:sz w:val="18"/>
        </w:rPr>
        <w:t>42</w:t>
      </w:r>
      <w:r w:rsidRPr="00712530">
        <w:rPr>
          <w:color w:val="C00000"/>
          <w:sz w:val="18"/>
        </w:rPr>
        <w:fldChar w:fldCharType="end"/>
      </w:r>
      <w:bookmarkEnd w:id="336"/>
      <w:r w:rsidRPr="00712530">
        <w:rPr>
          <w:color w:val="C00000"/>
          <w:sz w:val="18"/>
        </w:rPr>
        <w:t xml:space="preserve">. </w:t>
      </w:r>
      <w:r w:rsidR="00FA4F64" w:rsidRPr="00712530">
        <w:rPr>
          <w:sz w:val="18"/>
        </w:rPr>
        <w:t>Demanda atendida en Bogotá con restricciones de capacidad</w:t>
      </w:r>
      <w:bookmarkEnd w:id="337"/>
    </w:p>
    <w:p w14:paraId="6A5C0104" w14:textId="77777777" w:rsidR="00FA4F64" w:rsidRDefault="00FA4F64" w:rsidP="00FA4F64">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63712" behindDoc="0" locked="0" layoutInCell="1" hidden="0" allowOverlap="1" wp14:anchorId="10AAEC46" wp14:editId="3900A62A">
            <wp:simplePos x="0" y="0"/>
            <wp:positionH relativeFrom="column">
              <wp:posOffset>53340</wp:posOffset>
            </wp:positionH>
            <wp:positionV relativeFrom="paragraph">
              <wp:posOffset>200025</wp:posOffset>
            </wp:positionV>
            <wp:extent cx="5505253" cy="2060492"/>
            <wp:effectExtent l="0" t="0" r="0" b="0"/>
            <wp:wrapNone/>
            <wp:docPr id="21335160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0"/>
                    <a:srcRect l="5148" t="24465" b="6912"/>
                    <a:stretch>
                      <a:fillRect/>
                    </a:stretch>
                  </pic:blipFill>
                  <pic:spPr>
                    <a:xfrm>
                      <a:off x="0" y="0"/>
                      <a:ext cx="5517552" cy="2065095"/>
                    </a:xfrm>
                    <a:prstGeom prst="rect">
                      <a:avLst/>
                    </a:prstGeom>
                    <a:ln/>
                  </pic:spPr>
                </pic:pic>
              </a:graphicData>
            </a:graphic>
            <wp14:sizeRelH relativeFrom="margin">
              <wp14:pctWidth>0</wp14:pctWidth>
            </wp14:sizeRelH>
            <wp14:sizeRelV relativeFrom="margin">
              <wp14:pctHeight>0</wp14:pctHeight>
            </wp14:sizeRelV>
          </wp:anchor>
        </w:drawing>
      </w:r>
    </w:p>
    <w:p w14:paraId="669FD65C"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1CEF7472"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2952F7E8"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EFD457D"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055FADD2"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429C09DC"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77331C14"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7EC91F53"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04C3C14C"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4DB23C0"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45F75DDB"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DD883FC"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64C23D4"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22074838"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AA4FBF9" w14:textId="77777777" w:rsidR="00FA4F64" w:rsidRDefault="00FA4F64" w:rsidP="00FA4F64">
      <w:pPr>
        <w:spacing w:line="480" w:lineRule="auto"/>
        <w:rPr>
          <w:rFonts w:ascii="Times New Roman" w:hAnsi="Times New Roman"/>
          <w:sz w:val="24"/>
        </w:rPr>
      </w:pPr>
    </w:p>
    <w:p w14:paraId="56636655" w14:textId="68F37485" w:rsidR="00FA4F64" w:rsidRDefault="00FA4F64" w:rsidP="00FA4F6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Actualización del Plan Maestro del Aeropuerto El Dorado (28 septiembre 2020).</w:t>
      </w:r>
    </w:p>
    <w:p w14:paraId="5EC9F54C" w14:textId="04D43C6E" w:rsidR="006433F4" w:rsidRDefault="006433F4" w:rsidP="00FA4F64">
      <w:pPr>
        <w:pBdr>
          <w:top w:val="nil"/>
          <w:left w:val="nil"/>
          <w:bottom w:val="nil"/>
          <w:right w:val="nil"/>
          <w:between w:val="nil"/>
        </w:pBdr>
        <w:spacing w:line="220" w:lineRule="auto"/>
        <w:jc w:val="center"/>
        <w:rPr>
          <w:color w:val="3B3838"/>
          <w:sz w:val="18"/>
          <w:szCs w:val="18"/>
        </w:rPr>
      </w:pPr>
    </w:p>
    <w:p w14:paraId="5D1EF6F1" w14:textId="77777777" w:rsidR="006433F4" w:rsidRDefault="006433F4" w:rsidP="00FA4F64">
      <w:pPr>
        <w:pBdr>
          <w:top w:val="nil"/>
          <w:left w:val="nil"/>
          <w:bottom w:val="nil"/>
          <w:right w:val="nil"/>
          <w:between w:val="nil"/>
        </w:pBdr>
        <w:spacing w:line="220" w:lineRule="auto"/>
        <w:jc w:val="center"/>
        <w:rPr>
          <w:color w:val="3B3838"/>
          <w:sz w:val="18"/>
          <w:szCs w:val="18"/>
        </w:rPr>
      </w:pPr>
    </w:p>
    <w:p w14:paraId="3E59B3C7" w14:textId="77777777" w:rsidR="00FA4F64" w:rsidRDefault="00FA4F64" w:rsidP="00FA4F64">
      <w:pPr>
        <w:tabs>
          <w:tab w:val="right" w:pos="8838"/>
        </w:tabs>
        <w:spacing w:line="480" w:lineRule="auto"/>
        <w:jc w:val="center"/>
        <w:rPr>
          <w:rFonts w:ascii="Times New Roman" w:hAnsi="Times New Roman"/>
          <w:sz w:val="24"/>
        </w:rPr>
        <w:sectPr w:rsidR="00FA4F64" w:rsidSect="00F7078E">
          <w:type w:val="continuous"/>
          <w:pgSz w:w="12240" w:h="15840"/>
          <w:pgMar w:top="2262" w:right="1440" w:bottom="1440" w:left="1440" w:header="708" w:footer="708" w:gutter="0"/>
          <w:cols w:space="720"/>
        </w:sectPr>
      </w:pPr>
    </w:p>
    <w:p w14:paraId="1252BE86" w14:textId="23EC674A" w:rsidR="00FA4F64" w:rsidRDefault="00FA4F64" w:rsidP="008B730A">
      <w:pPr>
        <w:spacing w:line="240" w:lineRule="auto"/>
        <w:jc w:val="left"/>
        <w:sectPr w:rsidR="00FA4F64" w:rsidSect="00F7078E">
          <w:type w:val="continuous"/>
          <w:pgSz w:w="12240" w:h="15840"/>
          <w:pgMar w:top="2262" w:right="1440" w:bottom="1440" w:left="1440" w:header="708" w:footer="708" w:gutter="0"/>
          <w:cols w:num="2" w:space="720" w:equalWidth="0">
            <w:col w:w="4396" w:space="567"/>
            <w:col w:w="4396" w:space="0"/>
          </w:cols>
        </w:sectPr>
      </w:pPr>
      <w:bookmarkStart w:id="338" w:name="_heading=h.2bn6wsx" w:colFirst="0" w:colLast="0"/>
      <w:bookmarkEnd w:id="338"/>
      <w:r>
        <w:t>Sin embargo, el nivel nacional de los operadores comerciales representado por la IATA</w:t>
      </w:r>
      <w:r>
        <w:rPr>
          <w:vertAlign w:val="superscript"/>
        </w:rPr>
        <w:footnoteReference w:id="13"/>
      </w:r>
      <w:r>
        <w:t xml:space="preserve"> difieren con la Aerocivil respecto a la conveniencia y urgencia de una nueva terminal del Aeropuerto El Dorado II (AEDII).</w:t>
      </w:r>
      <w:r>
        <w:rPr>
          <w:vertAlign w:val="superscript"/>
        </w:rPr>
        <w:footnoteReference w:id="14"/>
      </w:r>
      <w:r>
        <w:t xml:space="preserve"> Nueva terminal que se localizaría en los municipios de Madrid y Facatativá. Lo anterior redunda en un plan regional aeroportuario</w:t>
      </w:r>
      <w:r>
        <w:rPr>
          <w:vertAlign w:val="superscript"/>
        </w:rPr>
        <w:footnoteReference w:id="15"/>
      </w:r>
      <w:r>
        <w:t xml:space="preserve"> indeterminado. </w:t>
      </w:r>
      <w:r>
        <w:t>Asimismo, a escala nacional, el sector aeroportuario (civil y militar) y el sector vías no coordinan sus iniciativas. Un ejercicio de liderazgo que el nivel nacional no asume ni delega, situación que se traduce en sinergias desaprovechadas con implicaciones en el ordenamiento local y en la competitividad regional (</w:t>
      </w:r>
      <w:r w:rsidR="008B730A">
        <w:fldChar w:fldCharType="begin"/>
      </w:r>
      <w:r w:rsidR="008B730A">
        <w:instrText xml:space="preserve"> REF _Ref165171266 \h </w:instrText>
      </w:r>
      <w:r w:rsidR="008B730A">
        <w:fldChar w:fldCharType="separate"/>
      </w:r>
      <w:r w:rsidR="00D01651" w:rsidRPr="00C61C88">
        <w:rPr>
          <w:color w:val="C00000"/>
          <w:sz w:val="18"/>
          <w:szCs w:val="18"/>
        </w:rPr>
        <w:t xml:space="preserve">Figura </w:t>
      </w:r>
      <w:r w:rsidR="00D01651">
        <w:rPr>
          <w:noProof/>
          <w:color w:val="C00000"/>
          <w:sz w:val="18"/>
        </w:rPr>
        <w:t>11</w:t>
      </w:r>
      <w:r w:rsidR="008B730A">
        <w:fldChar w:fldCharType="end"/>
      </w:r>
      <w:r>
        <w:t>).</w:t>
      </w:r>
    </w:p>
    <w:p w14:paraId="0B63DD5F" w14:textId="12C64BDE" w:rsidR="00FA4F64" w:rsidRDefault="00FA4F64" w:rsidP="00FA4F64">
      <w:pPr>
        <w:sectPr w:rsidR="00FA4F64" w:rsidSect="00F7078E">
          <w:type w:val="continuous"/>
          <w:pgSz w:w="12240" w:h="15840"/>
          <w:pgMar w:top="2262" w:right="1440" w:bottom="1440" w:left="1440" w:header="708" w:footer="708" w:gutter="0"/>
          <w:cols w:space="720"/>
        </w:sectPr>
      </w:pPr>
    </w:p>
    <w:p w14:paraId="11302BF4" w14:textId="77777777" w:rsidR="00FA4F64" w:rsidRDefault="00FA4F64" w:rsidP="00FA4F64">
      <w:pPr>
        <w:pBdr>
          <w:top w:val="nil"/>
          <w:left w:val="nil"/>
          <w:bottom w:val="nil"/>
          <w:right w:val="nil"/>
          <w:between w:val="nil"/>
        </w:pBdr>
        <w:spacing w:line="220" w:lineRule="auto"/>
        <w:rPr>
          <w:b/>
          <w:color w:val="C00000"/>
          <w:sz w:val="18"/>
          <w:szCs w:val="18"/>
        </w:rPr>
        <w:sectPr w:rsidR="00FA4F64" w:rsidSect="00F7078E">
          <w:type w:val="continuous"/>
          <w:pgSz w:w="12240" w:h="15840"/>
          <w:pgMar w:top="2262" w:right="1440" w:bottom="1440" w:left="1440" w:header="708" w:footer="708" w:gutter="0"/>
          <w:cols w:space="720"/>
        </w:sectPr>
      </w:pPr>
    </w:p>
    <w:p w14:paraId="703D9D7C" w14:textId="77777777" w:rsidR="00C61C88" w:rsidRDefault="00C61C88">
      <w:pPr>
        <w:spacing w:line="240" w:lineRule="auto"/>
        <w:jc w:val="left"/>
        <w:rPr>
          <w:rFonts w:eastAsiaTheme="minorEastAsia" w:cstheme="minorBidi"/>
          <w:b/>
          <w:iCs/>
          <w:color w:val="C00000"/>
          <w:sz w:val="18"/>
          <w:szCs w:val="18"/>
          <w:lang w:val="es-419" w:eastAsia="en-US"/>
        </w:rPr>
      </w:pPr>
      <w:bookmarkStart w:id="341" w:name="_Ref165138414"/>
      <w:r>
        <w:rPr>
          <w:color w:val="C00000"/>
          <w:sz w:val="18"/>
        </w:rPr>
        <w:br w:type="page"/>
      </w:r>
    </w:p>
    <w:p w14:paraId="4D692A57" w14:textId="348F15AD" w:rsidR="00FA4F64" w:rsidRDefault="00566D0B" w:rsidP="00C61C88">
      <w:pPr>
        <w:pStyle w:val="Descripcin"/>
        <w:jc w:val="center"/>
        <w:rPr>
          <w:color w:val="3B3838"/>
          <w:sz w:val="18"/>
        </w:rPr>
      </w:pPr>
      <w:bookmarkStart w:id="342" w:name="_Ref165171266"/>
      <w:bookmarkStart w:id="343" w:name="_Toc165169987"/>
      <w:r>
        <w:rPr>
          <w:noProof/>
        </w:rPr>
        <w:lastRenderedPageBreak/>
        <w:drawing>
          <wp:anchor distT="0" distB="0" distL="114300" distR="114300" simplePos="0" relativeHeight="251881472" behindDoc="0" locked="0" layoutInCell="1" hidden="0" allowOverlap="1" wp14:anchorId="0E823A45" wp14:editId="76F9FCB2">
            <wp:simplePos x="0" y="0"/>
            <wp:positionH relativeFrom="margin">
              <wp:align>center</wp:align>
            </wp:positionH>
            <wp:positionV relativeFrom="paragraph">
              <wp:posOffset>240030</wp:posOffset>
            </wp:positionV>
            <wp:extent cx="5386705" cy="2788920"/>
            <wp:effectExtent l="0" t="0" r="4445" b="0"/>
            <wp:wrapNone/>
            <wp:docPr id="213351602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rotWithShape="1">
                    <a:blip r:embed="rId131"/>
                    <a:srcRect t="4255" r="303" b="7383"/>
                    <a:stretch/>
                  </pic:blipFill>
                  <pic:spPr bwMode="auto">
                    <a:xfrm>
                      <a:off x="0" y="0"/>
                      <a:ext cx="5386705" cy="2788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C61C88" w:rsidRPr="00C61C88">
        <w:rPr>
          <w:color w:val="C00000"/>
          <w:sz w:val="18"/>
        </w:rPr>
        <w:t xml:space="preserve">Figura </w:t>
      </w:r>
      <w:r w:rsidR="00C61C88" w:rsidRPr="00C61C88">
        <w:rPr>
          <w:color w:val="C00000"/>
          <w:sz w:val="18"/>
        </w:rPr>
        <w:fldChar w:fldCharType="begin"/>
      </w:r>
      <w:r w:rsidR="00C61C88" w:rsidRPr="00C61C88">
        <w:rPr>
          <w:color w:val="C00000"/>
          <w:sz w:val="18"/>
        </w:rPr>
        <w:instrText xml:space="preserve"> SEQ Figura \* ARABIC </w:instrText>
      </w:r>
      <w:r w:rsidR="00C61C88" w:rsidRPr="00C61C88">
        <w:rPr>
          <w:color w:val="C00000"/>
          <w:sz w:val="18"/>
        </w:rPr>
        <w:fldChar w:fldCharType="separate"/>
      </w:r>
      <w:r w:rsidR="00D01651">
        <w:rPr>
          <w:noProof/>
          <w:color w:val="C00000"/>
          <w:sz w:val="18"/>
        </w:rPr>
        <w:t>11</w:t>
      </w:r>
      <w:r w:rsidR="00C61C88" w:rsidRPr="00C61C88">
        <w:rPr>
          <w:color w:val="C00000"/>
          <w:sz w:val="18"/>
        </w:rPr>
        <w:fldChar w:fldCharType="end"/>
      </w:r>
      <w:bookmarkEnd w:id="341"/>
      <w:bookmarkEnd w:id="342"/>
      <w:r w:rsidR="00C61C88" w:rsidRPr="00C61C88">
        <w:rPr>
          <w:color w:val="C00000"/>
          <w:sz w:val="18"/>
        </w:rPr>
        <w:t xml:space="preserve">. </w:t>
      </w:r>
      <w:r w:rsidR="00FA4F64" w:rsidRPr="00C61C88">
        <w:rPr>
          <w:color w:val="3B3838"/>
          <w:sz w:val="18"/>
        </w:rPr>
        <w:t>Entorno de integración regional</w:t>
      </w:r>
      <w:bookmarkEnd w:id="343"/>
    </w:p>
    <w:p w14:paraId="0F9CD7A1" w14:textId="6B205909" w:rsidR="00566D0B" w:rsidRDefault="00566D0B" w:rsidP="00566D0B">
      <w:pPr>
        <w:rPr>
          <w:lang w:val="es-419" w:eastAsia="en-US"/>
        </w:rPr>
      </w:pPr>
    </w:p>
    <w:p w14:paraId="0012EA17" w14:textId="24362536" w:rsidR="00566D0B" w:rsidRPr="00566D0B" w:rsidRDefault="00566D0B" w:rsidP="00566D0B">
      <w:pPr>
        <w:rPr>
          <w:lang w:val="es-419" w:eastAsia="en-US"/>
        </w:rPr>
        <w:sectPr w:rsidR="00566D0B" w:rsidRPr="00566D0B" w:rsidSect="00F7078E">
          <w:type w:val="continuous"/>
          <w:pgSz w:w="12240" w:h="15840"/>
          <w:pgMar w:top="2262" w:right="1440" w:bottom="1440" w:left="1440" w:header="708" w:footer="708" w:gutter="0"/>
          <w:cols w:space="720"/>
        </w:sectPr>
      </w:pPr>
    </w:p>
    <w:p w14:paraId="70AB1B8A" w14:textId="77777777" w:rsidR="00FA4F64" w:rsidRDefault="00FA4F64" w:rsidP="00FA4F64">
      <w:pPr>
        <w:tabs>
          <w:tab w:val="right" w:pos="8838"/>
        </w:tabs>
        <w:spacing w:line="480" w:lineRule="auto"/>
        <w:jc w:val="center"/>
        <w:rPr>
          <w:rFonts w:ascii="Times New Roman" w:hAnsi="Times New Roman"/>
          <w:b/>
          <w:i/>
          <w:sz w:val="24"/>
        </w:rPr>
        <w:sectPr w:rsidR="00FA4F64" w:rsidSect="00F7078E">
          <w:type w:val="continuous"/>
          <w:pgSz w:w="12240" w:h="15840"/>
          <w:pgMar w:top="2262" w:right="1440" w:bottom="1440" w:left="1440" w:header="708" w:footer="708" w:gutter="0"/>
          <w:cols w:space="720"/>
        </w:sectPr>
      </w:pPr>
    </w:p>
    <w:p w14:paraId="6F4C7D42" w14:textId="77777777" w:rsidR="00FA4F64" w:rsidRDefault="00FA4F64" w:rsidP="00FA4F64">
      <w:pPr>
        <w:tabs>
          <w:tab w:val="right" w:pos="8838"/>
        </w:tabs>
        <w:spacing w:line="480" w:lineRule="auto"/>
        <w:jc w:val="center"/>
        <w:rPr>
          <w:rFonts w:ascii="Times New Roman" w:hAnsi="Times New Roman"/>
          <w:b/>
          <w:i/>
          <w:sz w:val="24"/>
        </w:rPr>
      </w:pPr>
    </w:p>
    <w:p w14:paraId="646E4BD4" w14:textId="77777777" w:rsidR="00FA4F64" w:rsidRDefault="00FA4F64" w:rsidP="00FA4F64">
      <w:pPr>
        <w:tabs>
          <w:tab w:val="right" w:pos="8838"/>
        </w:tabs>
        <w:spacing w:line="480" w:lineRule="auto"/>
        <w:jc w:val="center"/>
        <w:rPr>
          <w:rFonts w:ascii="Times New Roman" w:hAnsi="Times New Roman"/>
          <w:b/>
          <w:i/>
          <w:sz w:val="24"/>
        </w:rPr>
      </w:pPr>
    </w:p>
    <w:p w14:paraId="765FF1C8" w14:textId="77777777" w:rsidR="00FA4F64" w:rsidRDefault="00FA4F64" w:rsidP="00FA4F64">
      <w:pPr>
        <w:tabs>
          <w:tab w:val="right" w:pos="8838"/>
        </w:tabs>
        <w:spacing w:line="480" w:lineRule="auto"/>
        <w:jc w:val="center"/>
        <w:rPr>
          <w:rFonts w:ascii="Times New Roman" w:hAnsi="Times New Roman"/>
          <w:b/>
          <w:i/>
          <w:sz w:val="24"/>
        </w:rPr>
      </w:pPr>
    </w:p>
    <w:p w14:paraId="59CB89D4" w14:textId="77777777" w:rsidR="00FA4F64" w:rsidRDefault="00FA4F64" w:rsidP="00FA4F64">
      <w:pPr>
        <w:tabs>
          <w:tab w:val="right" w:pos="8838"/>
        </w:tabs>
        <w:spacing w:line="480" w:lineRule="auto"/>
        <w:jc w:val="center"/>
        <w:rPr>
          <w:rFonts w:ascii="Times New Roman" w:hAnsi="Times New Roman"/>
          <w:b/>
          <w:i/>
          <w:sz w:val="24"/>
        </w:rPr>
      </w:pPr>
    </w:p>
    <w:p w14:paraId="707373BD" w14:textId="77777777" w:rsidR="00FA4F64" w:rsidRDefault="00FA4F64" w:rsidP="00FA4F64">
      <w:pPr>
        <w:tabs>
          <w:tab w:val="right" w:pos="8838"/>
        </w:tabs>
        <w:spacing w:line="480" w:lineRule="auto"/>
        <w:jc w:val="center"/>
        <w:rPr>
          <w:rFonts w:ascii="Times New Roman" w:hAnsi="Times New Roman"/>
          <w:b/>
          <w:i/>
          <w:sz w:val="24"/>
        </w:rPr>
      </w:pPr>
    </w:p>
    <w:p w14:paraId="182BFED1" w14:textId="07F4511F" w:rsidR="00FA4F64" w:rsidRDefault="00FA4F64" w:rsidP="00FA4F64">
      <w:pPr>
        <w:tabs>
          <w:tab w:val="right" w:pos="8838"/>
        </w:tabs>
        <w:spacing w:line="480" w:lineRule="auto"/>
        <w:jc w:val="center"/>
        <w:rPr>
          <w:rFonts w:ascii="Times New Roman" w:hAnsi="Times New Roman"/>
          <w:b/>
          <w:i/>
          <w:sz w:val="24"/>
        </w:rPr>
      </w:pPr>
    </w:p>
    <w:p w14:paraId="36172AFF" w14:textId="77777777" w:rsidR="006433F4" w:rsidRDefault="006433F4" w:rsidP="00FA4F64">
      <w:pPr>
        <w:tabs>
          <w:tab w:val="right" w:pos="8838"/>
        </w:tabs>
        <w:spacing w:line="480" w:lineRule="auto"/>
        <w:jc w:val="center"/>
        <w:rPr>
          <w:rFonts w:ascii="Times New Roman" w:hAnsi="Times New Roman"/>
          <w:b/>
          <w:i/>
          <w:sz w:val="24"/>
        </w:rPr>
      </w:pPr>
    </w:p>
    <w:p w14:paraId="01D96B95" w14:textId="77777777" w:rsidR="00FA4F64" w:rsidRDefault="00FA4F64" w:rsidP="006433F4">
      <w:pPr>
        <w:pBdr>
          <w:top w:val="nil"/>
          <w:left w:val="nil"/>
          <w:bottom w:val="nil"/>
          <w:right w:val="nil"/>
          <w:between w:val="nil"/>
        </w:pBdr>
        <w:spacing w:line="220" w:lineRule="auto"/>
        <w:jc w:val="center"/>
        <w:rPr>
          <w:i/>
          <w:color w:val="3B3838"/>
          <w:sz w:val="18"/>
          <w:szCs w:val="18"/>
        </w:rPr>
      </w:pPr>
      <w:r>
        <w:rPr>
          <w:b/>
          <w:color w:val="3B3838"/>
          <w:sz w:val="18"/>
          <w:szCs w:val="18"/>
        </w:rPr>
        <w:t>Fuente:</w:t>
      </w:r>
      <w:r>
        <w:rPr>
          <w:color w:val="3B3838"/>
          <w:sz w:val="18"/>
          <w:szCs w:val="18"/>
        </w:rPr>
        <w:t xml:space="preserve"> Actualización del Plan Maestro del Aeropuerto El Dorado (ppt 28 septiembre 2020)</w:t>
      </w:r>
      <w:r>
        <w:rPr>
          <w:i/>
          <w:color w:val="3B3838"/>
          <w:sz w:val="18"/>
          <w:szCs w:val="18"/>
        </w:rPr>
        <w:t>.</w:t>
      </w:r>
    </w:p>
    <w:p w14:paraId="74F50CFE" w14:textId="77777777" w:rsidR="006433F4" w:rsidRDefault="006433F4" w:rsidP="006433F4">
      <w:pPr>
        <w:pBdr>
          <w:top w:val="nil"/>
          <w:left w:val="nil"/>
          <w:bottom w:val="nil"/>
          <w:right w:val="nil"/>
          <w:between w:val="nil"/>
        </w:pBdr>
        <w:spacing w:line="220" w:lineRule="auto"/>
        <w:jc w:val="center"/>
        <w:rPr>
          <w:i/>
          <w:color w:val="3B3838"/>
          <w:sz w:val="18"/>
          <w:szCs w:val="18"/>
        </w:rPr>
      </w:pPr>
    </w:p>
    <w:p w14:paraId="3FBBE32E" w14:textId="77777777" w:rsidR="006433F4" w:rsidRDefault="006433F4" w:rsidP="006433F4">
      <w:pPr>
        <w:pBdr>
          <w:top w:val="nil"/>
          <w:left w:val="nil"/>
          <w:bottom w:val="nil"/>
          <w:right w:val="nil"/>
          <w:between w:val="nil"/>
        </w:pBdr>
        <w:spacing w:line="220" w:lineRule="auto"/>
        <w:jc w:val="center"/>
        <w:rPr>
          <w:i/>
          <w:color w:val="3B3838"/>
          <w:sz w:val="18"/>
          <w:szCs w:val="18"/>
        </w:rPr>
      </w:pPr>
    </w:p>
    <w:p w14:paraId="26551FA7" w14:textId="780054A3" w:rsidR="006433F4" w:rsidRPr="006433F4" w:rsidRDefault="006433F4" w:rsidP="006433F4">
      <w:pPr>
        <w:pBdr>
          <w:top w:val="nil"/>
          <w:left w:val="nil"/>
          <w:bottom w:val="nil"/>
          <w:right w:val="nil"/>
          <w:between w:val="nil"/>
        </w:pBdr>
        <w:spacing w:line="220" w:lineRule="auto"/>
        <w:jc w:val="center"/>
        <w:rPr>
          <w:i/>
          <w:color w:val="3B3838"/>
          <w:sz w:val="18"/>
          <w:szCs w:val="18"/>
        </w:rPr>
        <w:sectPr w:rsidR="006433F4" w:rsidRPr="006433F4" w:rsidSect="00F7078E">
          <w:type w:val="continuous"/>
          <w:pgSz w:w="12240" w:h="15840"/>
          <w:pgMar w:top="2262" w:right="1440" w:bottom="1440" w:left="1440" w:header="708" w:footer="708" w:gutter="0"/>
          <w:cols w:space="720"/>
        </w:sectPr>
      </w:pPr>
    </w:p>
    <w:p w14:paraId="2AAC0324" w14:textId="77777777" w:rsidR="00FA4F64" w:rsidRDefault="00FA4F64" w:rsidP="00FA4F64">
      <w:r>
        <w:t>Este debate es fuente de incertidumbres de ordenamiento territorial regional y municipal por: a) las reservas del suelo para 3 pistas del AEDII en los municipios de Madrid y Facatativá; b) un esquema de vías de acceso en el contexto de una red regional vial y sus mecanismos de financiación, lo que redunda en una coordinación ANI, Aerocivil y la Agencia Regional de Movilidad; c) la intermodalidad con otros medios de transporte: Sistema de transporte masivo regional (Regiotram, BRT), y d) el potencial de designar suelo con actividad logística alrededor de esta infraestructura.</w:t>
      </w:r>
    </w:p>
    <w:p w14:paraId="24013BC5" w14:textId="77777777" w:rsidR="00FA4F64" w:rsidRDefault="00FA4F64" w:rsidP="00FA4F64"/>
    <w:p w14:paraId="5E5EB72D" w14:textId="7AEBB153" w:rsidR="00FA4F64" w:rsidRDefault="00FA4F64" w:rsidP="00FA4F64">
      <w:r>
        <w:t>En l</w:t>
      </w:r>
      <w:r w:rsidRPr="001B5F58">
        <w:t xml:space="preserve">a </w:t>
      </w:r>
      <w:r w:rsidR="001B5F58" w:rsidRPr="001B5F58">
        <w:rPr>
          <w:highlight w:val="yellow"/>
        </w:rPr>
        <w:fldChar w:fldCharType="begin"/>
      </w:r>
      <w:r w:rsidR="001B5F58" w:rsidRPr="001B5F58">
        <w:instrText xml:space="preserve"> REF _Ref165171284 \h </w:instrText>
      </w:r>
      <w:r w:rsidR="001B5F58" w:rsidRPr="001B5F58">
        <w:rPr>
          <w:highlight w:val="yellow"/>
        </w:rPr>
      </w:r>
      <w:r w:rsidR="001B5F58" w:rsidRPr="001B5F58">
        <w:rPr>
          <w:highlight w:val="yellow"/>
        </w:rPr>
        <w:fldChar w:fldCharType="separate"/>
      </w:r>
      <w:r w:rsidR="00D01651" w:rsidRPr="00566D0B">
        <w:rPr>
          <w:color w:val="C00000"/>
          <w:sz w:val="18"/>
          <w:szCs w:val="14"/>
        </w:rPr>
        <w:t xml:space="preserve">Figura </w:t>
      </w:r>
      <w:r w:rsidR="00D01651">
        <w:rPr>
          <w:noProof/>
          <w:color w:val="C00000"/>
          <w:sz w:val="18"/>
          <w:szCs w:val="14"/>
        </w:rPr>
        <w:t>12</w:t>
      </w:r>
      <w:r w:rsidR="001B5F58" w:rsidRPr="001B5F58">
        <w:rPr>
          <w:highlight w:val="yellow"/>
        </w:rPr>
        <w:fldChar w:fldCharType="end"/>
      </w:r>
      <w:r w:rsidR="001B5F58" w:rsidRPr="001B5F58">
        <w:t xml:space="preserve"> </w:t>
      </w:r>
      <w:r>
        <w:t xml:space="preserve">se evidencian algunos datos de impacto del Aeropuerto El Dorado sobre la economía, el comercio y el turismo, entre otros que El </w:t>
      </w:r>
      <w:r>
        <w:t>Dorado está a 4,8 horas promedio de las principales ciudades de América, convirtiéndolo en el punto por excelencia de descongestión y de conexiones del tráfico aéreo en el continente.</w:t>
      </w:r>
    </w:p>
    <w:p w14:paraId="72A6258B" w14:textId="77777777" w:rsidR="00FA4F64" w:rsidRDefault="00FA4F64" w:rsidP="00FA4F64"/>
    <w:p w14:paraId="6AFB2A6C" w14:textId="77777777" w:rsidR="00FA4F64" w:rsidRDefault="00FA4F64" w:rsidP="00FA4F64">
      <w:r>
        <w:t>En cuanto a la vocación aeroportuaria, Bogotá exporta el 10 % de su PIB, Nueva York el 9 %, el Distrito Federal de México el 2,5 % y Santiago de Chile el 1,5 %, lo cual ubica a Bogotá en el primer lugar.</w:t>
      </w:r>
    </w:p>
    <w:p w14:paraId="409764D9" w14:textId="77777777" w:rsidR="00FA4F64" w:rsidRDefault="00FA4F64" w:rsidP="00FA4F64"/>
    <w:p w14:paraId="0B04BD2A" w14:textId="77777777" w:rsidR="00FA4F64" w:rsidRDefault="00FA4F64" w:rsidP="00FA4F64">
      <w:pPr>
        <w:rPr>
          <w:u w:val="single"/>
        </w:rPr>
        <w:sectPr w:rsidR="00FA4F64" w:rsidSect="00F7078E">
          <w:type w:val="continuous"/>
          <w:pgSz w:w="12240" w:h="15840"/>
          <w:pgMar w:top="2262" w:right="1440" w:bottom="1440" w:left="1440" w:header="708" w:footer="708" w:gutter="0"/>
          <w:cols w:num="2" w:space="720" w:equalWidth="0">
            <w:col w:w="4396" w:space="567"/>
            <w:col w:w="4396" w:space="0"/>
          </w:cols>
        </w:sectPr>
      </w:pPr>
      <w:bookmarkStart w:id="344" w:name="_heading=h.qsh70q" w:colFirst="0" w:colLast="0"/>
      <w:bookmarkEnd w:id="344"/>
      <w:r>
        <w:t>En Bogotá se genera el 31 % del PIB de Colombia y el 19 % de empleo formal, lo cual facilita el crecimiento económico, social y cultural y turístico, por lo que es relevante la ubicación e infraestructura del Aeropuerto en la ciudad</w:t>
      </w:r>
      <w:r w:rsidRPr="00566D0B">
        <w:t>.</w:t>
      </w:r>
    </w:p>
    <w:p w14:paraId="701D1814" w14:textId="77777777" w:rsidR="006433F4" w:rsidRDefault="006433F4" w:rsidP="00FA4F64">
      <w:pPr>
        <w:spacing w:line="240" w:lineRule="auto"/>
        <w:jc w:val="left"/>
        <w:rPr>
          <w:b/>
        </w:rPr>
      </w:pPr>
    </w:p>
    <w:p w14:paraId="3519B93A" w14:textId="77777777" w:rsidR="006433F4" w:rsidRDefault="006433F4" w:rsidP="00FA4F64">
      <w:pPr>
        <w:spacing w:line="240" w:lineRule="auto"/>
        <w:jc w:val="left"/>
        <w:rPr>
          <w:b/>
        </w:rPr>
      </w:pPr>
    </w:p>
    <w:p w14:paraId="58FB8E30" w14:textId="77777777" w:rsidR="006433F4" w:rsidRDefault="006433F4" w:rsidP="00FA4F64">
      <w:pPr>
        <w:spacing w:line="240" w:lineRule="auto"/>
        <w:jc w:val="left"/>
        <w:rPr>
          <w:b/>
        </w:rPr>
      </w:pPr>
    </w:p>
    <w:p w14:paraId="7450FBD4" w14:textId="77777777" w:rsidR="006433F4" w:rsidRDefault="006433F4" w:rsidP="00FA4F64">
      <w:pPr>
        <w:spacing w:line="240" w:lineRule="auto"/>
        <w:jc w:val="left"/>
        <w:rPr>
          <w:b/>
        </w:rPr>
      </w:pPr>
    </w:p>
    <w:p w14:paraId="0291AD7A" w14:textId="77777777" w:rsidR="006433F4" w:rsidRDefault="006433F4" w:rsidP="00FA4F64">
      <w:pPr>
        <w:spacing w:line="240" w:lineRule="auto"/>
        <w:jc w:val="left"/>
        <w:rPr>
          <w:b/>
        </w:rPr>
      </w:pPr>
    </w:p>
    <w:p w14:paraId="33A8ED36" w14:textId="77777777" w:rsidR="00566D0B" w:rsidRDefault="00566D0B">
      <w:pPr>
        <w:spacing w:line="240" w:lineRule="auto"/>
        <w:jc w:val="left"/>
        <w:rPr>
          <w:rFonts w:eastAsiaTheme="minorHAnsi" w:cstheme="minorBidi"/>
          <w:b/>
          <w:sz w:val="18"/>
          <w:lang w:eastAsia="en-US"/>
        </w:rPr>
      </w:pPr>
      <w:r>
        <w:rPr>
          <w:b/>
        </w:rPr>
        <w:br w:type="page"/>
      </w:r>
    </w:p>
    <w:p w14:paraId="4FD9B00D" w14:textId="653AF3C5" w:rsidR="00FA4F64" w:rsidRPr="00566D0B" w:rsidRDefault="00566D0B" w:rsidP="00566D0B">
      <w:pPr>
        <w:pStyle w:val="Descripcin"/>
        <w:jc w:val="center"/>
        <w:rPr>
          <w:sz w:val="18"/>
          <w:szCs w:val="14"/>
        </w:rPr>
      </w:pPr>
      <w:bookmarkStart w:id="345" w:name="_Ref165171284"/>
      <w:bookmarkStart w:id="346" w:name="_Toc165169988"/>
      <w:r w:rsidRPr="00566D0B">
        <w:rPr>
          <w:color w:val="C00000"/>
          <w:sz w:val="18"/>
          <w:szCs w:val="14"/>
        </w:rPr>
        <w:lastRenderedPageBreak/>
        <w:t xml:space="preserve">Figura </w:t>
      </w:r>
      <w:r w:rsidRPr="00566D0B">
        <w:rPr>
          <w:color w:val="C00000"/>
          <w:sz w:val="18"/>
          <w:szCs w:val="14"/>
        </w:rPr>
        <w:fldChar w:fldCharType="begin"/>
      </w:r>
      <w:r w:rsidRPr="00566D0B">
        <w:rPr>
          <w:color w:val="C00000"/>
          <w:sz w:val="18"/>
          <w:szCs w:val="14"/>
        </w:rPr>
        <w:instrText xml:space="preserve"> SEQ Figura \* ARABIC </w:instrText>
      </w:r>
      <w:r w:rsidRPr="00566D0B">
        <w:rPr>
          <w:color w:val="C00000"/>
          <w:sz w:val="18"/>
          <w:szCs w:val="14"/>
        </w:rPr>
        <w:fldChar w:fldCharType="separate"/>
      </w:r>
      <w:r w:rsidR="00D01651">
        <w:rPr>
          <w:noProof/>
          <w:color w:val="C00000"/>
          <w:sz w:val="18"/>
          <w:szCs w:val="14"/>
        </w:rPr>
        <w:t>12</w:t>
      </w:r>
      <w:r w:rsidRPr="00566D0B">
        <w:rPr>
          <w:color w:val="C00000"/>
          <w:sz w:val="18"/>
          <w:szCs w:val="14"/>
        </w:rPr>
        <w:fldChar w:fldCharType="end"/>
      </w:r>
      <w:bookmarkEnd w:id="345"/>
      <w:r w:rsidRPr="00566D0B">
        <w:rPr>
          <w:color w:val="C00000"/>
          <w:sz w:val="18"/>
          <w:szCs w:val="14"/>
        </w:rPr>
        <w:t xml:space="preserve">. </w:t>
      </w:r>
      <w:r w:rsidR="00FA4F64" w:rsidRPr="00566D0B">
        <w:rPr>
          <w:sz w:val="18"/>
          <w:szCs w:val="14"/>
        </w:rPr>
        <w:t>Datos de impacto del Aeropuerto Internacional El Dorado</w:t>
      </w:r>
      <w:bookmarkEnd w:id="346"/>
    </w:p>
    <w:p w14:paraId="6D43BA9C" w14:textId="24CA132B" w:rsidR="00FA4F64" w:rsidRDefault="006433F4" w:rsidP="00FA4F64">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65760" behindDoc="0" locked="0" layoutInCell="1" hidden="0" allowOverlap="1" wp14:anchorId="14066443" wp14:editId="659CBD68">
            <wp:simplePos x="0" y="0"/>
            <wp:positionH relativeFrom="column">
              <wp:posOffset>-448945</wp:posOffset>
            </wp:positionH>
            <wp:positionV relativeFrom="paragraph">
              <wp:posOffset>114411</wp:posOffset>
            </wp:positionV>
            <wp:extent cx="6517005" cy="3119755"/>
            <wp:effectExtent l="0" t="0" r="0" b="4445"/>
            <wp:wrapNone/>
            <wp:docPr id="213351602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2"/>
                    <a:srcRect/>
                    <a:stretch>
                      <a:fillRect/>
                    </a:stretch>
                  </pic:blipFill>
                  <pic:spPr>
                    <a:xfrm>
                      <a:off x="0" y="0"/>
                      <a:ext cx="6517005" cy="3119755"/>
                    </a:xfrm>
                    <a:prstGeom prst="rect">
                      <a:avLst/>
                    </a:prstGeom>
                    <a:ln/>
                  </pic:spPr>
                </pic:pic>
              </a:graphicData>
            </a:graphic>
          </wp:anchor>
        </w:drawing>
      </w:r>
    </w:p>
    <w:p w14:paraId="5A5AF558"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E8328C7"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8C04524"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432950D1"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230E3A7E"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73E6C212"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76B0259F"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5EA032FB"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42D0A884"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59DDA7EB"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277FC5A7"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BCE64FE"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8054F7E"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2EC79248"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9439126"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70243319"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7C92D2F"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BD73B84"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4B130FD1"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552AF1A"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40143AAF"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631C14ED" w14:textId="60999A7C" w:rsidR="00FA4F64" w:rsidRDefault="00FA4F64" w:rsidP="00FA4F64">
      <w:pPr>
        <w:pBdr>
          <w:top w:val="nil"/>
          <w:left w:val="nil"/>
          <w:bottom w:val="nil"/>
          <w:right w:val="nil"/>
          <w:between w:val="nil"/>
        </w:pBdr>
        <w:spacing w:line="220" w:lineRule="auto"/>
        <w:jc w:val="center"/>
        <w:rPr>
          <w:color w:val="C00000"/>
          <w:sz w:val="18"/>
          <w:szCs w:val="18"/>
        </w:rPr>
      </w:pPr>
    </w:p>
    <w:p w14:paraId="7FC86CB9" w14:textId="7F0BA952" w:rsidR="006433F4" w:rsidRDefault="006433F4" w:rsidP="00FA4F64">
      <w:pPr>
        <w:pBdr>
          <w:top w:val="nil"/>
          <w:left w:val="nil"/>
          <w:bottom w:val="nil"/>
          <w:right w:val="nil"/>
          <w:between w:val="nil"/>
        </w:pBdr>
        <w:spacing w:line="220" w:lineRule="auto"/>
        <w:jc w:val="center"/>
        <w:rPr>
          <w:color w:val="C00000"/>
          <w:sz w:val="18"/>
          <w:szCs w:val="18"/>
        </w:rPr>
      </w:pPr>
    </w:p>
    <w:p w14:paraId="7D6BA65F" w14:textId="25DA86D2" w:rsidR="006433F4" w:rsidRDefault="006433F4" w:rsidP="00FA4F64">
      <w:pPr>
        <w:pBdr>
          <w:top w:val="nil"/>
          <w:left w:val="nil"/>
          <w:bottom w:val="nil"/>
          <w:right w:val="nil"/>
          <w:between w:val="nil"/>
        </w:pBdr>
        <w:spacing w:line="220" w:lineRule="auto"/>
        <w:jc w:val="center"/>
        <w:rPr>
          <w:color w:val="C00000"/>
          <w:sz w:val="18"/>
          <w:szCs w:val="18"/>
        </w:rPr>
      </w:pPr>
    </w:p>
    <w:p w14:paraId="4B72E6F4" w14:textId="77777777" w:rsidR="006433F4" w:rsidRDefault="006433F4" w:rsidP="00FA4F64">
      <w:pPr>
        <w:pBdr>
          <w:top w:val="nil"/>
          <w:left w:val="nil"/>
          <w:bottom w:val="nil"/>
          <w:right w:val="nil"/>
          <w:between w:val="nil"/>
        </w:pBdr>
        <w:spacing w:line="220" w:lineRule="auto"/>
        <w:jc w:val="center"/>
        <w:rPr>
          <w:color w:val="C00000"/>
          <w:sz w:val="18"/>
          <w:szCs w:val="18"/>
        </w:rPr>
      </w:pPr>
    </w:p>
    <w:p w14:paraId="475BC1A2" w14:textId="77777777" w:rsidR="00FA4F64" w:rsidRDefault="00FA4F64" w:rsidP="00FA4F64">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SDP.</w:t>
      </w:r>
    </w:p>
    <w:p w14:paraId="26202F28" w14:textId="77777777" w:rsidR="00FA4F64" w:rsidRDefault="00FA4F64" w:rsidP="00FA4F64">
      <w:pPr>
        <w:spacing w:line="480" w:lineRule="auto"/>
        <w:rPr>
          <w:rFonts w:ascii="Times New Roman" w:hAnsi="Times New Roman"/>
          <w:sz w:val="24"/>
        </w:rPr>
      </w:pPr>
    </w:p>
    <w:p w14:paraId="3BBDDA10" w14:textId="77777777" w:rsidR="00FA4F64" w:rsidRPr="00BB5305" w:rsidRDefault="00FA4F64" w:rsidP="00BB5305">
      <w:pPr>
        <w:ind w:firstLine="708"/>
        <w:rPr>
          <w:b/>
          <w:bCs/>
          <w:sz w:val="24"/>
        </w:rPr>
        <w:sectPr w:rsidR="00FA4F64" w:rsidRPr="00BB5305" w:rsidSect="00F7078E">
          <w:type w:val="continuous"/>
          <w:pgSz w:w="12240" w:h="15840"/>
          <w:pgMar w:top="2262" w:right="1440" w:bottom="1440" w:left="1440" w:header="708" w:footer="708" w:gutter="0"/>
          <w:cols w:space="720"/>
        </w:sectPr>
      </w:pPr>
      <w:r w:rsidRPr="00BB5305">
        <w:rPr>
          <w:b/>
          <w:bCs/>
          <w:sz w:val="24"/>
        </w:rPr>
        <w:t>Descripción del programa</w:t>
      </w:r>
    </w:p>
    <w:p w14:paraId="7D636B0E" w14:textId="77777777" w:rsidR="00FA4F64" w:rsidRDefault="00FA4F64" w:rsidP="00FA4F64">
      <w:r>
        <w:t xml:space="preserve">El objetivo del programa es fortalecer la dinámica y la proyección económica de la ciudad y la región, mediante un modelo de gobernanza colaborativa y multinivel que se conocerá como </w:t>
      </w:r>
      <w:r>
        <w:rPr>
          <w:i/>
        </w:rPr>
        <w:t xml:space="preserve">marco de promoción integral del desarrollo aeroportuario, </w:t>
      </w:r>
      <w:r>
        <w:t>que vincule a entidades gubernamentales, el concesionario aeroportuario, el sector privado, la academia y la sociedad civil.</w:t>
      </w:r>
    </w:p>
    <w:p w14:paraId="6A0EF0B8" w14:textId="77777777" w:rsidR="00FA4F64" w:rsidRDefault="00FA4F64" w:rsidP="00FA4F64"/>
    <w:p w14:paraId="5A35ADC4" w14:textId="77777777" w:rsidR="00FA4F64" w:rsidRDefault="00FA4F64" w:rsidP="00FA4F64">
      <w:r>
        <w:t>Con este esquema de gobernanza se busca facilitar la construcción de acuerdos y la concurrencia de la inversión pública y privada, para sacar un mayor provecho de la infraestructura de transporte aéreo más importante de América Latina, que le permita potenciar su proceso de internacionalización a través de la intensificación de sus relaciones comerciales a escala local, regional y global. Para que esto sea posible, la Administración Distrital deberá crear un programa especial que cuente con una gobernanza sólida.</w:t>
      </w:r>
    </w:p>
    <w:p w14:paraId="46E11459" w14:textId="77777777" w:rsidR="00FA4F64" w:rsidRDefault="00FA4F64" w:rsidP="00FA4F64">
      <w:r>
        <w:t>En este mismo sentido, con el programa se pondrá en marcha un plan de incentivos a la inversión extranjera y una estrategia de mercadeo para el posicionamiento del Aeropuerto Internacional El Dorado como patrimonio de la ciudad. Esto favorecerá la localización y fortalecimiento del tejido empresarial, la generación de empleo y la consolidación de un entorno de confianza institucional y seguridad jurídica para la inversión. Para ello, se implementará una estrategia de aumento de la competitividad del Distrito Aeroportuario que incluya a las empresas interesadas en este tipo de procesos.</w:t>
      </w:r>
    </w:p>
    <w:p w14:paraId="43D67140" w14:textId="77777777" w:rsidR="00FA4F64" w:rsidRDefault="00FA4F64" w:rsidP="00FA4F64"/>
    <w:p w14:paraId="14C372B4" w14:textId="4BA9FDE1" w:rsidR="00FA4F64" w:rsidRPr="006433F4" w:rsidRDefault="00FA4F64" w:rsidP="00FA4F64">
      <w:pPr>
        <w:rPr>
          <w:spacing w:val="-6"/>
        </w:rPr>
      </w:pPr>
      <w:r>
        <w:t xml:space="preserve">Además, se implementarán iniciativas que buscan el reconocimiento del aeropuerto como una infraestructura que permite la interacción económica de la región y el país, convirtiéndolo en un activo clave para el posicionamiento del liderazgo de la ciudad frente a ecosistemas empresariales locales y regionales. Por esto, se </w:t>
      </w:r>
      <w:r>
        <w:lastRenderedPageBreak/>
        <w:t xml:space="preserve">pondrán en marcha acciones de reconocimiento que articulen la planeación del desarrollo social que incluyen, entre otras, la formación a prestadores de servicios turísticos y el desarrollo económico con los instrumentos de ordenamiento y planificación territorial, que permitan la interacción económica, el desarrollo y fortalecimiento de la vocación </w:t>
      </w:r>
      <w:r w:rsidRPr="006433F4">
        <w:rPr>
          <w:spacing w:val="-6"/>
        </w:rPr>
        <w:t>productiva existente en las localidades para su internacionalización, los liderazgos productivos y empresariales a escala local y regional.</w:t>
      </w:r>
    </w:p>
    <w:p w14:paraId="29141DB0" w14:textId="77777777" w:rsidR="00FA4F64" w:rsidRPr="006433F4" w:rsidRDefault="00FA4F64" w:rsidP="00FA4F64">
      <w:pPr>
        <w:rPr>
          <w:spacing w:val="-6"/>
        </w:rPr>
      </w:pPr>
    </w:p>
    <w:p w14:paraId="4289A063" w14:textId="5AFDE15F" w:rsidR="00FA4F64" w:rsidRPr="006433F4" w:rsidRDefault="00FA4F64" w:rsidP="00FA4F64">
      <w:pPr>
        <w:rPr>
          <w:spacing w:val="-6"/>
        </w:rPr>
        <w:sectPr w:rsidR="00FA4F64" w:rsidRPr="006433F4" w:rsidSect="00F7078E">
          <w:type w:val="continuous"/>
          <w:pgSz w:w="12240" w:h="15840"/>
          <w:pgMar w:top="2262" w:right="1440" w:bottom="1440" w:left="1440" w:header="708" w:footer="708" w:gutter="0"/>
          <w:cols w:num="2" w:space="720" w:equalWidth="0">
            <w:col w:w="4396" w:space="567"/>
            <w:col w:w="4396" w:space="0"/>
          </w:cols>
        </w:sectPr>
      </w:pPr>
      <w:r w:rsidRPr="006433F4">
        <w:rPr>
          <w:spacing w:val="-6"/>
        </w:rPr>
        <w:t>Así mismo, promueve el desarrollo de acceso a financiamiento principalmente proporcionado por inversionistas con facilidades de traslado y reconocimiento de las dinámicas sociales, políticas, ambientales y culturales de la oferta y la demanda, contribuyendo a la consolidación de una relación funcional, de reciprocidad y cooperación con el entorno aeroportuario urbano-regional.</w:t>
      </w:r>
    </w:p>
    <w:p w14:paraId="4AFDF104" w14:textId="77CA848E" w:rsidR="00FA4F64" w:rsidRPr="00BE689E" w:rsidRDefault="0076390E" w:rsidP="00BE689E">
      <w:pPr>
        <w:pStyle w:val="Descripcin"/>
        <w:jc w:val="center"/>
        <w:rPr>
          <w:color w:val="262626"/>
          <w:sz w:val="18"/>
        </w:rPr>
      </w:pPr>
      <w:r>
        <w:rPr>
          <w:color w:val="C00000"/>
          <w:sz w:val="18"/>
        </w:rPr>
        <w:br/>
      </w:r>
      <w:bookmarkStart w:id="347" w:name="_Toc165169952"/>
      <w:r w:rsidR="00BE689E" w:rsidRPr="00BE689E">
        <w:rPr>
          <w:color w:val="C00000"/>
          <w:sz w:val="18"/>
        </w:rPr>
        <w:t xml:space="preserve">Tabla </w:t>
      </w:r>
      <w:r w:rsidR="00BE689E" w:rsidRPr="00BE689E">
        <w:rPr>
          <w:color w:val="C00000"/>
          <w:sz w:val="18"/>
        </w:rPr>
        <w:fldChar w:fldCharType="begin"/>
      </w:r>
      <w:r w:rsidR="00BE689E" w:rsidRPr="00BE689E">
        <w:rPr>
          <w:color w:val="C00000"/>
          <w:sz w:val="18"/>
        </w:rPr>
        <w:instrText xml:space="preserve"> SEQ Tabla \* ARABIC </w:instrText>
      </w:r>
      <w:r w:rsidR="00BE689E" w:rsidRPr="00BE689E">
        <w:rPr>
          <w:color w:val="C00000"/>
          <w:sz w:val="18"/>
        </w:rPr>
        <w:fldChar w:fldCharType="separate"/>
      </w:r>
      <w:r w:rsidR="00D01651">
        <w:rPr>
          <w:noProof/>
          <w:color w:val="C00000"/>
          <w:sz w:val="18"/>
        </w:rPr>
        <w:t>42</w:t>
      </w:r>
      <w:r w:rsidR="00BE689E" w:rsidRPr="00BE689E">
        <w:rPr>
          <w:color w:val="C00000"/>
          <w:sz w:val="18"/>
        </w:rPr>
        <w:fldChar w:fldCharType="end"/>
      </w:r>
      <w:r w:rsidR="00BE689E" w:rsidRPr="00BE689E">
        <w:rPr>
          <w:color w:val="C00000"/>
          <w:sz w:val="18"/>
        </w:rPr>
        <w:t xml:space="preserve">. </w:t>
      </w:r>
      <w:r w:rsidR="00FA4F64" w:rsidRPr="00BE689E">
        <w:rPr>
          <w:color w:val="262626"/>
          <w:sz w:val="18"/>
        </w:rPr>
        <w:t>Metas del programa</w:t>
      </w:r>
      <w:r w:rsidR="00BB5305">
        <w:rPr>
          <w:color w:val="262626"/>
          <w:sz w:val="18"/>
        </w:rPr>
        <w:t xml:space="preserve"> 21:</w:t>
      </w:r>
      <w:r w:rsidR="00FA4F64" w:rsidRPr="00BE689E">
        <w:rPr>
          <w:color w:val="262626"/>
          <w:sz w:val="18"/>
        </w:rPr>
        <w:t xml:space="preserve"> Bogotá ciudad portuaria</w:t>
      </w:r>
      <w:bookmarkEnd w:id="347"/>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4161"/>
        <w:gridCol w:w="1045"/>
        <w:gridCol w:w="1033"/>
        <w:gridCol w:w="1001"/>
        <w:gridCol w:w="1009"/>
        <w:gridCol w:w="1111"/>
      </w:tblGrid>
      <w:tr w:rsidR="00F742A1" w:rsidRPr="00F742A1" w14:paraId="6BFACC02" w14:textId="77777777" w:rsidTr="00F742A1">
        <w:tc>
          <w:tcPr>
            <w:tcW w:w="0" w:type="auto"/>
            <w:vMerge w:val="restart"/>
            <w:shd w:val="clear" w:color="auto" w:fill="C00000"/>
            <w:tcMar>
              <w:top w:w="30" w:type="dxa"/>
              <w:left w:w="45" w:type="dxa"/>
              <w:bottom w:w="30" w:type="dxa"/>
              <w:right w:w="45" w:type="dxa"/>
            </w:tcMar>
            <w:vAlign w:val="center"/>
            <w:hideMark/>
          </w:tcPr>
          <w:p w14:paraId="6F81A31F" w14:textId="77777777" w:rsidR="00F742A1" w:rsidRPr="00F742A1" w:rsidRDefault="00F742A1" w:rsidP="00AA4BBB">
            <w:pPr>
              <w:jc w:val="center"/>
              <w:rPr>
                <w:rFonts w:cs="Arial"/>
                <w:b/>
                <w:bCs/>
                <w:color w:val="FFFFFF"/>
                <w:sz w:val="18"/>
                <w:szCs w:val="18"/>
              </w:rPr>
            </w:pPr>
            <w:r w:rsidRPr="00F742A1">
              <w:rPr>
                <w:rFonts w:cs="Arial"/>
                <w:b/>
                <w:bCs/>
                <w:color w:val="FFFFFF"/>
                <w:sz w:val="18"/>
                <w:szCs w:val="18"/>
              </w:rPr>
              <w:t>SECTOR / Metas</w:t>
            </w:r>
          </w:p>
        </w:tc>
        <w:tc>
          <w:tcPr>
            <w:tcW w:w="0" w:type="auto"/>
            <w:gridSpan w:val="5"/>
            <w:shd w:val="clear" w:color="auto" w:fill="C00000"/>
            <w:tcMar>
              <w:top w:w="30" w:type="dxa"/>
              <w:left w:w="45" w:type="dxa"/>
              <w:bottom w:w="30" w:type="dxa"/>
              <w:right w:w="45" w:type="dxa"/>
            </w:tcMar>
            <w:vAlign w:val="center"/>
            <w:hideMark/>
          </w:tcPr>
          <w:p w14:paraId="5B5BCE00" w14:textId="77777777" w:rsidR="00F742A1" w:rsidRPr="00F742A1" w:rsidRDefault="00F742A1" w:rsidP="00AA4BBB">
            <w:pPr>
              <w:jc w:val="center"/>
              <w:rPr>
                <w:rFonts w:cs="Arial"/>
                <w:b/>
                <w:bCs/>
                <w:color w:val="FFFFFF"/>
                <w:sz w:val="18"/>
                <w:szCs w:val="18"/>
              </w:rPr>
            </w:pPr>
            <w:r w:rsidRPr="00F742A1">
              <w:rPr>
                <w:rFonts w:cs="Arial"/>
                <w:b/>
                <w:bCs/>
                <w:color w:val="FFFFFF"/>
                <w:sz w:val="18"/>
                <w:szCs w:val="18"/>
              </w:rPr>
              <w:t>Magnitudes e Inversión (Precios Constantes 2024)</w:t>
            </w:r>
          </w:p>
        </w:tc>
      </w:tr>
      <w:tr w:rsidR="00F742A1" w:rsidRPr="00F742A1" w14:paraId="3C1673F1" w14:textId="77777777" w:rsidTr="00F742A1">
        <w:tc>
          <w:tcPr>
            <w:tcW w:w="0" w:type="auto"/>
            <w:vMerge/>
            <w:vAlign w:val="center"/>
            <w:hideMark/>
          </w:tcPr>
          <w:p w14:paraId="0F716C27" w14:textId="77777777" w:rsidR="00F742A1" w:rsidRPr="00F742A1" w:rsidRDefault="00F742A1" w:rsidP="00AA4BBB">
            <w:pPr>
              <w:rPr>
                <w:rFonts w:cs="Arial"/>
                <w:b/>
                <w:bCs/>
                <w:color w:val="FFFFFF"/>
                <w:sz w:val="18"/>
                <w:szCs w:val="18"/>
              </w:rPr>
            </w:pPr>
          </w:p>
        </w:tc>
        <w:tc>
          <w:tcPr>
            <w:tcW w:w="0" w:type="auto"/>
            <w:shd w:val="clear" w:color="auto" w:fill="D9D9D9"/>
            <w:tcMar>
              <w:top w:w="30" w:type="dxa"/>
              <w:left w:w="45" w:type="dxa"/>
              <w:bottom w:w="30" w:type="dxa"/>
              <w:right w:w="45" w:type="dxa"/>
            </w:tcMar>
            <w:vAlign w:val="center"/>
            <w:hideMark/>
          </w:tcPr>
          <w:p w14:paraId="0D4EDEBA" w14:textId="77777777" w:rsidR="00F742A1" w:rsidRPr="00F742A1" w:rsidRDefault="00F742A1" w:rsidP="00AA4BBB">
            <w:pPr>
              <w:jc w:val="center"/>
              <w:rPr>
                <w:rFonts w:cs="Arial"/>
                <w:b/>
                <w:bCs/>
                <w:sz w:val="18"/>
                <w:szCs w:val="18"/>
              </w:rPr>
            </w:pPr>
            <w:r w:rsidRPr="00F742A1">
              <w:rPr>
                <w:rFonts w:cs="Arial"/>
                <w:b/>
                <w:bCs/>
                <w:sz w:val="18"/>
                <w:szCs w:val="18"/>
              </w:rPr>
              <w:t>2024</w:t>
            </w:r>
          </w:p>
        </w:tc>
        <w:tc>
          <w:tcPr>
            <w:tcW w:w="0" w:type="auto"/>
            <w:shd w:val="clear" w:color="auto" w:fill="D9D9D9"/>
            <w:tcMar>
              <w:top w:w="30" w:type="dxa"/>
              <w:left w:w="45" w:type="dxa"/>
              <w:bottom w:w="30" w:type="dxa"/>
              <w:right w:w="45" w:type="dxa"/>
            </w:tcMar>
            <w:vAlign w:val="center"/>
            <w:hideMark/>
          </w:tcPr>
          <w:p w14:paraId="25C32EC8" w14:textId="77777777" w:rsidR="00F742A1" w:rsidRPr="00F742A1" w:rsidRDefault="00F742A1" w:rsidP="00AA4BBB">
            <w:pPr>
              <w:jc w:val="center"/>
              <w:rPr>
                <w:rFonts w:cs="Arial"/>
                <w:b/>
                <w:bCs/>
                <w:sz w:val="18"/>
                <w:szCs w:val="18"/>
              </w:rPr>
            </w:pPr>
            <w:r w:rsidRPr="00F742A1">
              <w:rPr>
                <w:rFonts w:cs="Arial"/>
                <w:b/>
                <w:bCs/>
                <w:sz w:val="18"/>
                <w:szCs w:val="18"/>
              </w:rPr>
              <w:t>2025</w:t>
            </w:r>
          </w:p>
        </w:tc>
        <w:tc>
          <w:tcPr>
            <w:tcW w:w="0" w:type="auto"/>
            <w:shd w:val="clear" w:color="auto" w:fill="D9D9D9"/>
            <w:tcMar>
              <w:top w:w="30" w:type="dxa"/>
              <w:left w:w="45" w:type="dxa"/>
              <w:bottom w:w="30" w:type="dxa"/>
              <w:right w:w="45" w:type="dxa"/>
            </w:tcMar>
            <w:vAlign w:val="center"/>
            <w:hideMark/>
          </w:tcPr>
          <w:p w14:paraId="4BE684C0" w14:textId="77777777" w:rsidR="00F742A1" w:rsidRPr="00F742A1" w:rsidRDefault="00F742A1" w:rsidP="00AA4BBB">
            <w:pPr>
              <w:jc w:val="center"/>
              <w:rPr>
                <w:rFonts w:cs="Arial"/>
                <w:b/>
                <w:bCs/>
                <w:sz w:val="18"/>
                <w:szCs w:val="18"/>
              </w:rPr>
            </w:pPr>
            <w:r w:rsidRPr="00F742A1">
              <w:rPr>
                <w:rFonts w:cs="Arial"/>
                <w:b/>
                <w:bCs/>
                <w:sz w:val="18"/>
                <w:szCs w:val="18"/>
              </w:rPr>
              <w:t>2026</w:t>
            </w:r>
          </w:p>
        </w:tc>
        <w:tc>
          <w:tcPr>
            <w:tcW w:w="0" w:type="auto"/>
            <w:shd w:val="clear" w:color="auto" w:fill="D9D9D9"/>
            <w:tcMar>
              <w:top w:w="30" w:type="dxa"/>
              <w:left w:w="45" w:type="dxa"/>
              <w:bottom w:w="30" w:type="dxa"/>
              <w:right w:w="45" w:type="dxa"/>
            </w:tcMar>
            <w:vAlign w:val="center"/>
            <w:hideMark/>
          </w:tcPr>
          <w:p w14:paraId="657F8846" w14:textId="77777777" w:rsidR="00F742A1" w:rsidRPr="00F742A1" w:rsidRDefault="00F742A1" w:rsidP="00AA4BBB">
            <w:pPr>
              <w:jc w:val="center"/>
              <w:rPr>
                <w:rFonts w:cs="Arial"/>
                <w:b/>
                <w:bCs/>
                <w:sz w:val="18"/>
                <w:szCs w:val="18"/>
              </w:rPr>
            </w:pPr>
            <w:r w:rsidRPr="00F742A1">
              <w:rPr>
                <w:rFonts w:cs="Arial"/>
                <w:b/>
                <w:bCs/>
                <w:sz w:val="18"/>
                <w:szCs w:val="18"/>
              </w:rPr>
              <w:t>2027</w:t>
            </w:r>
          </w:p>
        </w:tc>
        <w:tc>
          <w:tcPr>
            <w:tcW w:w="0" w:type="auto"/>
            <w:shd w:val="clear" w:color="auto" w:fill="D9D9D9"/>
            <w:tcMar>
              <w:top w:w="30" w:type="dxa"/>
              <w:left w:w="45" w:type="dxa"/>
              <w:bottom w:w="30" w:type="dxa"/>
              <w:right w:w="45" w:type="dxa"/>
            </w:tcMar>
            <w:vAlign w:val="center"/>
            <w:hideMark/>
          </w:tcPr>
          <w:p w14:paraId="477BB428" w14:textId="77777777" w:rsidR="00F742A1" w:rsidRDefault="00F742A1" w:rsidP="00F742A1">
            <w:pPr>
              <w:jc w:val="right"/>
              <w:rPr>
                <w:rFonts w:cs="Arial"/>
                <w:b/>
                <w:bCs/>
                <w:sz w:val="18"/>
                <w:szCs w:val="18"/>
              </w:rPr>
            </w:pPr>
            <w:r w:rsidRPr="00F742A1">
              <w:rPr>
                <w:rFonts w:cs="Arial"/>
                <w:b/>
                <w:bCs/>
                <w:sz w:val="18"/>
                <w:szCs w:val="18"/>
              </w:rPr>
              <w:t>Total</w:t>
            </w:r>
          </w:p>
          <w:p w14:paraId="689BCD0E" w14:textId="7A0907C3" w:rsidR="00F742A1" w:rsidRPr="00F742A1" w:rsidRDefault="00F742A1" w:rsidP="00F742A1">
            <w:pPr>
              <w:jc w:val="right"/>
              <w:rPr>
                <w:rFonts w:cs="Arial"/>
                <w:b/>
                <w:bCs/>
                <w:sz w:val="18"/>
                <w:szCs w:val="18"/>
              </w:rPr>
            </w:pPr>
            <w:r w:rsidRPr="00F742A1">
              <w:rPr>
                <w:rFonts w:cs="Arial"/>
                <w:b/>
                <w:bCs/>
                <w:sz w:val="18"/>
                <w:szCs w:val="18"/>
              </w:rPr>
              <w:t>Inversión</w:t>
            </w:r>
          </w:p>
        </w:tc>
      </w:tr>
      <w:tr w:rsidR="00F742A1" w:rsidRPr="00F742A1" w14:paraId="4F5E8542" w14:textId="77777777" w:rsidTr="00F742A1">
        <w:tc>
          <w:tcPr>
            <w:tcW w:w="0" w:type="auto"/>
            <w:gridSpan w:val="6"/>
            <w:shd w:val="clear" w:color="auto" w:fill="C00000"/>
            <w:tcMar>
              <w:top w:w="30" w:type="dxa"/>
              <w:left w:w="45" w:type="dxa"/>
              <w:bottom w:w="30" w:type="dxa"/>
              <w:right w:w="45" w:type="dxa"/>
            </w:tcMar>
            <w:vAlign w:val="center"/>
            <w:hideMark/>
          </w:tcPr>
          <w:p w14:paraId="446AC6EF" w14:textId="544F68AB" w:rsidR="00F742A1" w:rsidRPr="00F742A1" w:rsidRDefault="00F742A1" w:rsidP="00F742A1">
            <w:pPr>
              <w:jc w:val="center"/>
              <w:rPr>
                <w:rFonts w:cs="Arial"/>
                <w:b/>
                <w:bCs/>
                <w:color w:val="FFFFFF" w:themeColor="background1"/>
                <w:sz w:val="18"/>
                <w:szCs w:val="18"/>
              </w:rPr>
            </w:pPr>
            <w:r w:rsidRPr="00F742A1">
              <w:rPr>
                <w:rFonts w:cs="Arial"/>
                <w:b/>
                <w:bCs/>
                <w:color w:val="FFFFFF" w:themeColor="background1"/>
                <w:sz w:val="18"/>
                <w:szCs w:val="18"/>
              </w:rPr>
              <w:t>Desarrollo Económico</w:t>
            </w:r>
          </w:p>
        </w:tc>
      </w:tr>
      <w:tr w:rsidR="00F742A1" w:rsidRPr="00F742A1" w14:paraId="3934E502" w14:textId="77777777" w:rsidTr="00F742A1">
        <w:tc>
          <w:tcPr>
            <w:tcW w:w="0" w:type="auto"/>
            <w:vMerge w:val="restart"/>
            <w:tcMar>
              <w:top w:w="30" w:type="dxa"/>
              <w:left w:w="45" w:type="dxa"/>
              <w:bottom w:w="30" w:type="dxa"/>
              <w:right w:w="45" w:type="dxa"/>
            </w:tcMar>
            <w:vAlign w:val="center"/>
            <w:hideMark/>
          </w:tcPr>
          <w:p w14:paraId="782B04EC" w14:textId="77777777" w:rsidR="00F742A1" w:rsidRPr="00F742A1" w:rsidRDefault="00F742A1" w:rsidP="00AA4BBB">
            <w:pPr>
              <w:rPr>
                <w:rFonts w:cs="Arial"/>
                <w:sz w:val="18"/>
                <w:szCs w:val="18"/>
              </w:rPr>
            </w:pPr>
            <w:r w:rsidRPr="00F742A1">
              <w:rPr>
                <w:rFonts w:cs="Arial"/>
                <w:sz w:val="18"/>
                <w:szCs w:val="18"/>
              </w:rPr>
              <w:t>Desarrollar una estrategia para incrementar la competitividad del Distrito portuario de Bogotá</w:t>
            </w:r>
          </w:p>
        </w:tc>
        <w:tc>
          <w:tcPr>
            <w:tcW w:w="0" w:type="auto"/>
            <w:tcMar>
              <w:top w:w="30" w:type="dxa"/>
              <w:left w:w="45" w:type="dxa"/>
              <w:bottom w:w="30" w:type="dxa"/>
              <w:right w:w="45" w:type="dxa"/>
            </w:tcMar>
            <w:vAlign w:val="center"/>
            <w:hideMark/>
          </w:tcPr>
          <w:p w14:paraId="2568CAAC" w14:textId="77777777" w:rsidR="00F742A1" w:rsidRPr="00F742A1" w:rsidRDefault="00F742A1" w:rsidP="00AA4BBB">
            <w:pPr>
              <w:jc w:val="center"/>
              <w:rPr>
                <w:rFonts w:cs="Arial"/>
                <w:sz w:val="18"/>
                <w:szCs w:val="18"/>
              </w:rPr>
            </w:pPr>
            <w:r w:rsidRPr="00F742A1">
              <w:rPr>
                <w:rFonts w:cs="Arial"/>
                <w:sz w:val="18"/>
                <w:szCs w:val="18"/>
              </w:rPr>
              <w:t>0,80</w:t>
            </w:r>
          </w:p>
        </w:tc>
        <w:tc>
          <w:tcPr>
            <w:tcW w:w="0" w:type="auto"/>
            <w:tcMar>
              <w:top w:w="30" w:type="dxa"/>
              <w:left w:w="45" w:type="dxa"/>
              <w:bottom w:w="30" w:type="dxa"/>
              <w:right w:w="45" w:type="dxa"/>
            </w:tcMar>
            <w:vAlign w:val="center"/>
            <w:hideMark/>
          </w:tcPr>
          <w:p w14:paraId="4033E28E" w14:textId="77777777" w:rsidR="00F742A1" w:rsidRPr="00F742A1" w:rsidRDefault="00F742A1" w:rsidP="00AA4BBB">
            <w:pPr>
              <w:jc w:val="center"/>
              <w:rPr>
                <w:rFonts w:cs="Arial"/>
                <w:sz w:val="18"/>
                <w:szCs w:val="18"/>
              </w:rPr>
            </w:pPr>
            <w:r w:rsidRPr="00F742A1">
              <w:rPr>
                <w:rFonts w:cs="Arial"/>
                <w:sz w:val="18"/>
                <w:szCs w:val="18"/>
              </w:rPr>
              <w:t>0,33</w:t>
            </w:r>
          </w:p>
        </w:tc>
        <w:tc>
          <w:tcPr>
            <w:tcW w:w="0" w:type="auto"/>
            <w:tcMar>
              <w:top w:w="30" w:type="dxa"/>
              <w:left w:w="45" w:type="dxa"/>
              <w:bottom w:w="30" w:type="dxa"/>
              <w:right w:w="45" w:type="dxa"/>
            </w:tcMar>
            <w:vAlign w:val="center"/>
            <w:hideMark/>
          </w:tcPr>
          <w:p w14:paraId="218732A9" w14:textId="77777777" w:rsidR="00F742A1" w:rsidRPr="00F742A1" w:rsidRDefault="00F742A1" w:rsidP="00AA4BBB">
            <w:pPr>
              <w:jc w:val="center"/>
              <w:rPr>
                <w:rFonts w:cs="Arial"/>
                <w:sz w:val="18"/>
                <w:szCs w:val="18"/>
              </w:rPr>
            </w:pPr>
            <w:r w:rsidRPr="00F742A1">
              <w:rPr>
                <w:rFonts w:cs="Arial"/>
                <w:sz w:val="18"/>
                <w:szCs w:val="18"/>
              </w:rPr>
              <w:t>0,32</w:t>
            </w:r>
          </w:p>
        </w:tc>
        <w:tc>
          <w:tcPr>
            <w:tcW w:w="0" w:type="auto"/>
            <w:tcMar>
              <w:top w:w="30" w:type="dxa"/>
              <w:left w:w="45" w:type="dxa"/>
              <w:bottom w:w="30" w:type="dxa"/>
              <w:right w:w="45" w:type="dxa"/>
            </w:tcMar>
            <w:vAlign w:val="center"/>
            <w:hideMark/>
          </w:tcPr>
          <w:p w14:paraId="5AAF4566" w14:textId="77777777" w:rsidR="00F742A1" w:rsidRPr="00F742A1" w:rsidRDefault="00F742A1" w:rsidP="00AA4BBB">
            <w:pPr>
              <w:jc w:val="center"/>
              <w:rPr>
                <w:rFonts w:cs="Arial"/>
                <w:sz w:val="18"/>
                <w:szCs w:val="18"/>
              </w:rPr>
            </w:pPr>
            <w:r w:rsidRPr="00F742A1">
              <w:rPr>
                <w:rFonts w:cs="Arial"/>
                <w:sz w:val="18"/>
                <w:szCs w:val="18"/>
              </w:rPr>
              <w:t>0,27</w:t>
            </w:r>
          </w:p>
        </w:tc>
        <w:tc>
          <w:tcPr>
            <w:tcW w:w="0" w:type="auto"/>
            <w:vMerge w:val="restart"/>
            <w:tcMar>
              <w:top w:w="30" w:type="dxa"/>
              <w:left w:w="45" w:type="dxa"/>
              <w:bottom w:w="30" w:type="dxa"/>
              <w:right w:w="45" w:type="dxa"/>
            </w:tcMar>
            <w:vAlign w:val="center"/>
            <w:hideMark/>
          </w:tcPr>
          <w:p w14:paraId="11064940" w14:textId="77777777" w:rsidR="00F742A1" w:rsidRPr="00F742A1" w:rsidRDefault="00F742A1" w:rsidP="00AA4BBB">
            <w:pPr>
              <w:jc w:val="center"/>
              <w:rPr>
                <w:rFonts w:cs="Arial"/>
                <w:b/>
                <w:bCs/>
                <w:sz w:val="18"/>
                <w:szCs w:val="18"/>
              </w:rPr>
            </w:pPr>
            <w:r w:rsidRPr="00F742A1">
              <w:rPr>
                <w:rFonts w:cs="Arial"/>
                <w:b/>
                <w:bCs/>
                <w:sz w:val="18"/>
                <w:szCs w:val="18"/>
              </w:rPr>
              <w:t>2.382.384.010</w:t>
            </w:r>
          </w:p>
        </w:tc>
      </w:tr>
      <w:tr w:rsidR="00F742A1" w:rsidRPr="00F742A1" w14:paraId="43C373D3" w14:textId="77777777" w:rsidTr="00F742A1">
        <w:tc>
          <w:tcPr>
            <w:tcW w:w="0" w:type="auto"/>
            <w:vMerge/>
            <w:vAlign w:val="center"/>
            <w:hideMark/>
          </w:tcPr>
          <w:p w14:paraId="3D423F84" w14:textId="77777777" w:rsidR="00F742A1" w:rsidRPr="00F742A1" w:rsidRDefault="00F742A1" w:rsidP="00AA4BBB">
            <w:pPr>
              <w:rPr>
                <w:rFonts w:cs="Arial"/>
                <w:sz w:val="18"/>
                <w:szCs w:val="18"/>
              </w:rPr>
            </w:pPr>
          </w:p>
        </w:tc>
        <w:tc>
          <w:tcPr>
            <w:tcW w:w="0" w:type="auto"/>
            <w:tcMar>
              <w:top w:w="30" w:type="dxa"/>
              <w:left w:w="45" w:type="dxa"/>
              <w:bottom w:w="30" w:type="dxa"/>
              <w:right w:w="45" w:type="dxa"/>
            </w:tcMar>
            <w:vAlign w:val="center"/>
            <w:hideMark/>
          </w:tcPr>
          <w:p w14:paraId="318B70DD" w14:textId="77777777" w:rsidR="00F742A1" w:rsidRPr="00F742A1" w:rsidRDefault="00F742A1" w:rsidP="00AA4BBB">
            <w:pPr>
              <w:jc w:val="center"/>
              <w:rPr>
                <w:rFonts w:cs="Arial"/>
                <w:sz w:val="18"/>
                <w:szCs w:val="18"/>
              </w:rPr>
            </w:pPr>
            <w:r w:rsidRPr="00F742A1">
              <w:rPr>
                <w:rFonts w:cs="Arial"/>
                <w:sz w:val="18"/>
                <w:szCs w:val="18"/>
              </w:rPr>
              <w:t>371.089.246</w:t>
            </w:r>
          </w:p>
        </w:tc>
        <w:tc>
          <w:tcPr>
            <w:tcW w:w="0" w:type="auto"/>
            <w:tcMar>
              <w:top w:w="30" w:type="dxa"/>
              <w:left w:w="45" w:type="dxa"/>
              <w:bottom w:w="30" w:type="dxa"/>
              <w:right w:w="45" w:type="dxa"/>
            </w:tcMar>
            <w:vAlign w:val="center"/>
            <w:hideMark/>
          </w:tcPr>
          <w:p w14:paraId="4D7593D1" w14:textId="77777777" w:rsidR="00F742A1" w:rsidRPr="00F742A1" w:rsidRDefault="00F742A1" w:rsidP="00AA4BBB">
            <w:pPr>
              <w:jc w:val="center"/>
              <w:rPr>
                <w:rFonts w:cs="Arial"/>
                <w:sz w:val="18"/>
                <w:szCs w:val="18"/>
              </w:rPr>
            </w:pPr>
            <w:r w:rsidRPr="00F742A1">
              <w:rPr>
                <w:rFonts w:cs="Arial"/>
                <w:sz w:val="18"/>
                <w:szCs w:val="18"/>
              </w:rPr>
              <w:t>739.367.565</w:t>
            </w:r>
          </w:p>
        </w:tc>
        <w:tc>
          <w:tcPr>
            <w:tcW w:w="0" w:type="auto"/>
            <w:tcMar>
              <w:top w:w="30" w:type="dxa"/>
              <w:left w:w="45" w:type="dxa"/>
              <w:bottom w:w="30" w:type="dxa"/>
              <w:right w:w="45" w:type="dxa"/>
            </w:tcMar>
            <w:vAlign w:val="center"/>
            <w:hideMark/>
          </w:tcPr>
          <w:p w14:paraId="32B4A858" w14:textId="77777777" w:rsidR="00F742A1" w:rsidRPr="00F742A1" w:rsidRDefault="00F742A1" w:rsidP="00AA4BBB">
            <w:pPr>
              <w:jc w:val="center"/>
              <w:rPr>
                <w:rFonts w:cs="Arial"/>
                <w:sz w:val="18"/>
                <w:szCs w:val="18"/>
              </w:rPr>
            </w:pPr>
            <w:r w:rsidRPr="00F742A1">
              <w:rPr>
                <w:rFonts w:cs="Arial"/>
                <w:sz w:val="18"/>
                <w:szCs w:val="18"/>
              </w:rPr>
              <w:t>707.167.832</w:t>
            </w:r>
          </w:p>
        </w:tc>
        <w:tc>
          <w:tcPr>
            <w:tcW w:w="0" w:type="auto"/>
            <w:tcMar>
              <w:top w:w="30" w:type="dxa"/>
              <w:left w:w="45" w:type="dxa"/>
              <w:bottom w:w="30" w:type="dxa"/>
              <w:right w:w="45" w:type="dxa"/>
            </w:tcMar>
            <w:vAlign w:val="center"/>
            <w:hideMark/>
          </w:tcPr>
          <w:p w14:paraId="57AB15A1" w14:textId="77777777" w:rsidR="00F742A1" w:rsidRPr="00F742A1" w:rsidRDefault="00F742A1" w:rsidP="00AA4BBB">
            <w:pPr>
              <w:jc w:val="center"/>
              <w:rPr>
                <w:rFonts w:cs="Arial"/>
                <w:sz w:val="18"/>
                <w:szCs w:val="18"/>
              </w:rPr>
            </w:pPr>
            <w:r w:rsidRPr="00F742A1">
              <w:rPr>
                <w:rFonts w:cs="Arial"/>
                <w:sz w:val="18"/>
                <w:szCs w:val="18"/>
              </w:rPr>
              <w:t>564.759.367</w:t>
            </w:r>
          </w:p>
        </w:tc>
        <w:tc>
          <w:tcPr>
            <w:tcW w:w="0" w:type="auto"/>
            <w:vMerge/>
            <w:vAlign w:val="center"/>
            <w:hideMark/>
          </w:tcPr>
          <w:p w14:paraId="59699D46" w14:textId="77777777" w:rsidR="00F742A1" w:rsidRPr="00F742A1" w:rsidRDefault="00F742A1" w:rsidP="00AA4BBB">
            <w:pPr>
              <w:rPr>
                <w:rFonts w:cs="Arial"/>
                <w:b/>
                <w:bCs/>
                <w:sz w:val="18"/>
                <w:szCs w:val="18"/>
              </w:rPr>
            </w:pPr>
          </w:p>
        </w:tc>
      </w:tr>
      <w:tr w:rsidR="00F742A1" w:rsidRPr="00F742A1" w14:paraId="6A2A8ADD" w14:textId="77777777" w:rsidTr="00F742A1">
        <w:tc>
          <w:tcPr>
            <w:tcW w:w="0" w:type="auto"/>
            <w:vMerge w:val="restart"/>
            <w:tcMar>
              <w:top w:w="30" w:type="dxa"/>
              <w:left w:w="45" w:type="dxa"/>
              <w:bottom w:w="30" w:type="dxa"/>
              <w:right w:w="45" w:type="dxa"/>
            </w:tcMar>
            <w:vAlign w:val="center"/>
            <w:hideMark/>
          </w:tcPr>
          <w:p w14:paraId="3C3F46FC" w14:textId="77777777" w:rsidR="00F742A1" w:rsidRPr="00F742A1" w:rsidRDefault="00F742A1" w:rsidP="00AA4BBB">
            <w:pPr>
              <w:rPr>
                <w:rFonts w:cs="Arial"/>
                <w:sz w:val="18"/>
                <w:szCs w:val="18"/>
              </w:rPr>
            </w:pPr>
            <w:r w:rsidRPr="00F742A1">
              <w:rPr>
                <w:rFonts w:cs="Arial"/>
                <w:sz w:val="18"/>
                <w:szCs w:val="18"/>
              </w:rPr>
              <w:t>Implementar una (1) estrategia de Mercadeo que permita posicionar a Bogotá como plataforma turística nacional e internacional</w:t>
            </w:r>
          </w:p>
        </w:tc>
        <w:tc>
          <w:tcPr>
            <w:tcW w:w="0" w:type="auto"/>
            <w:tcMar>
              <w:top w:w="30" w:type="dxa"/>
              <w:left w:w="45" w:type="dxa"/>
              <w:bottom w:w="30" w:type="dxa"/>
              <w:right w:w="45" w:type="dxa"/>
            </w:tcMar>
            <w:vAlign w:val="center"/>
            <w:hideMark/>
          </w:tcPr>
          <w:p w14:paraId="62930983" w14:textId="77777777" w:rsidR="00F742A1" w:rsidRPr="00F742A1" w:rsidRDefault="00F742A1" w:rsidP="00AA4BBB">
            <w:pPr>
              <w:jc w:val="center"/>
              <w:rPr>
                <w:rFonts w:cs="Arial"/>
                <w:sz w:val="18"/>
                <w:szCs w:val="18"/>
              </w:rPr>
            </w:pPr>
            <w:r w:rsidRPr="00F742A1">
              <w:rPr>
                <w:rFonts w:cs="Arial"/>
                <w:sz w:val="18"/>
                <w:szCs w:val="18"/>
              </w:rPr>
              <w:t>1</w:t>
            </w:r>
          </w:p>
        </w:tc>
        <w:tc>
          <w:tcPr>
            <w:tcW w:w="0" w:type="auto"/>
            <w:tcMar>
              <w:top w:w="30" w:type="dxa"/>
              <w:left w:w="45" w:type="dxa"/>
              <w:bottom w:w="30" w:type="dxa"/>
              <w:right w:w="45" w:type="dxa"/>
            </w:tcMar>
            <w:vAlign w:val="center"/>
            <w:hideMark/>
          </w:tcPr>
          <w:p w14:paraId="3DE0C9DF" w14:textId="77777777" w:rsidR="00F742A1" w:rsidRPr="00F742A1" w:rsidRDefault="00F742A1" w:rsidP="00AA4BBB">
            <w:pPr>
              <w:jc w:val="center"/>
              <w:rPr>
                <w:rFonts w:cs="Arial"/>
                <w:sz w:val="18"/>
                <w:szCs w:val="18"/>
              </w:rPr>
            </w:pPr>
            <w:r w:rsidRPr="00F742A1">
              <w:rPr>
                <w:rFonts w:cs="Arial"/>
                <w:sz w:val="18"/>
                <w:szCs w:val="18"/>
              </w:rPr>
              <w:t>1</w:t>
            </w:r>
          </w:p>
        </w:tc>
        <w:tc>
          <w:tcPr>
            <w:tcW w:w="0" w:type="auto"/>
            <w:tcMar>
              <w:top w:w="30" w:type="dxa"/>
              <w:left w:w="45" w:type="dxa"/>
              <w:bottom w:w="30" w:type="dxa"/>
              <w:right w:w="45" w:type="dxa"/>
            </w:tcMar>
            <w:vAlign w:val="center"/>
            <w:hideMark/>
          </w:tcPr>
          <w:p w14:paraId="73AD3D56" w14:textId="77777777" w:rsidR="00F742A1" w:rsidRPr="00F742A1" w:rsidRDefault="00F742A1" w:rsidP="00AA4BBB">
            <w:pPr>
              <w:jc w:val="center"/>
              <w:rPr>
                <w:rFonts w:cs="Arial"/>
                <w:sz w:val="18"/>
                <w:szCs w:val="18"/>
              </w:rPr>
            </w:pPr>
            <w:r w:rsidRPr="00F742A1">
              <w:rPr>
                <w:rFonts w:cs="Arial"/>
                <w:sz w:val="18"/>
                <w:szCs w:val="18"/>
              </w:rPr>
              <w:t>1</w:t>
            </w:r>
          </w:p>
        </w:tc>
        <w:tc>
          <w:tcPr>
            <w:tcW w:w="0" w:type="auto"/>
            <w:tcMar>
              <w:top w:w="30" w:type="dxa"/>
              <w:left w:w="45" w:type="dxa"/>
              <w:bottom w:w="30" w:type="dxa"/>
              <w:right w:w="45" w:type="dxa"/>
            </w:tcMar>
            <w:vAlign w:val="center"/>
            <w:hideMark/>
          </w:tcPr>
          <w:p w14:paraId="5816F777" w14:textId="77777777" w:rsidR="00F742A1" w:rsidRPr="00F742A1" w:rsidRDefault="00F742A1" w:rsidP="00AA4BBB">
            <w:pPr>
              <w:jc w:val="center"/>
              <w:rPr>
                <w:rFonts w:cs="Arial"/>
                <w:sz w:val="18"/>
                <w:szCs w:val="18"/>
              </w:rPr>
            </w:pPr>
            <w:r w:rsidRPr="00F742A1">
              <w:rPr>
                <w:rFonts w:cs="Arial"/>
                <w:sz w:val="18"/>
                <w:szCs w:val="18"/>
              </w:rPr>
              <w:t>1</w:t>
            </w:r>
          </w:p>
        </w:tc>
        <w:tc>
          <w:tcPr>
            <w:tcW w:w="0" w:type="auto"/>
            <w:vMerge w:val="restart"/>
            <w:tcMar>
              <w:top w:w="30" w:type="dxa"/>
              <w:left w:w="45" w:type="dxa"/>
              <w:bottom w:w="30" w:type="dxa"/>
              <w:right w:w="45" w:type="dxa"/>
            </w:tcMar>
            <w:vAlign w:val="center"/>
            <w:hideMark/>
          </w:tcPr>
          <w:p w14:paraId="04206760" w14:textId="77777777" w:rsidR="00F742A1" w:rsidRPr="00F742A1" w:rsidRDefault="00F742A1" w:rsidP="00AA4BBB">
            <w:pPr>
              <w:jc w:val="center"/>
              <w:rPr>
                <w:rFonts w:cs="Arial"/>
                <w:b/>
                <w:bCs/>
                <w:sz w:val="18"/>
                <w:szCs w:val="18"/>
              </w:rPr>
            </w:pPr>
            <w:r w:rsidRPr="00F742A1">
              <w:rPr>
                <w:rFonts w:cs="Arial"/>
                <w:b/>
                <w:bCs/>
                <w:sz w:val="18"/>
                <w:szCs w:val="18"/>
              </w:rPr>
              <w:t>1.896.522.874</w:t>
            </w:r>
          </w:p>
        </w:tc>
      </w:tr>
      <w:tr w:rsidR="00F742A1" w:rsidRPr="00F742A1" w14:paraId="012138E6" w14:textId="77777777" w:rsidTr="00F742A1">
        <w:tc>
          <w:tcPr>
            <w:tcW w:w="0" w:type="auto"/>
            <w:vMerge/>
            <w:vAlign w:val="center"/>
            <w:hideMark/>
          </w:tcPr>
          <w:p w14:paraId="7D1E3AF0" w14:textId="77777777" w:rsidR="00F742A1" w:rsidRPr="00F742A1" w:rsidRDefault="00F742A1" w:rsidP="00AA4BBB">
            <w:pPr>
              <w:rPr>
                <w:rFonts w:cs="Arial"/>
                <w:sz w:val="18"/>
                <w:szCs w:val="18"/>
              </w:rPr>
            </w:pPr>
          </w:p>
        </w:tc>
        <w:tc>
          <w:tcPr>
            <w:tcW w:w="0" w:type="auto"/>
            <w:tcMar>
              <w:top w:w="30" w:type="dxa"/>
              <w:left w:w="45" w:type="dxa"/>
              <w:bottom w:w="30" w:type="dxa"/>
              <w:right w:w="45" w:type="dxa"/>
            </w:tcMar>
            <w:vAlign w:val="center"/>
            <w:hideMark/>
          </w:tcPr>
          <w:p w14:paraId="0BC816A8" w14:textId="77777777" w:rsidR="00F742A1" w:rsidRPr="00F742A1" w:rsidRDefault="00F742A1" w:rsidP="00AA4BBB">
            <w:pPr>
              <w:jc w:val="center"/>
              <w:rPr>
                <w:rFonts w:cs="Arial"/>
                <w:sz w:val="18"/>
                <w:szCs w:val="18"/>
              </w:rPr>
            </w:pPr>
            <w:r w:rsidRPr="00F742A1">
              <w:rPr>
                <w:rFonts w:cs="Arial"/>
                <w:sz w:val="18"/>
                <w:szCs w:val="18"/>
              </w:rPr>
              <w:t>250.000.000</w:t>
            </w:r>
          </w:p>
        </w:tc>
        <w:tc>
          <w:tcPr>
            <w:tcW w:w="0" w:type="auto"/>
            <w:tcMar>
              <w:top w:w="30" w:type="dxa"/>
              <w:left w:w="45" w:type="dxa"/>
              <w:bottom w:w="30" w:type="dxa"/>
              <w:right w:w="45" w:type="dxa"/>
            </w:tcMar>
            <w:vAlign w:val="center"/>
            <w:hideMark/>
          </w:tcPr>
          <w:p w14:paraId="1619DC1D" w14:textId="77777777" w:rsidR="00F742A1" w:rsidRPr="00F742A1" w:rsidRDefault="00F742A1" w:rsidP="00AA4BBB">
            <w:pPr>
              <w:jc w:val="center"/>
              <w:rPr>
                <w:rFonts w:cs="Arial"/>
                <w:sz w:val="18"/>
                <w:szCs w:val="18"/>
              </w:rPr>
            </w:pPr>
            <w:r w:rsidRPr="00F742A1">
              <w:rPr>
                <w:rFonts w:cs="Arial"/>
                <w:sz w:val="18"/>
                <w:szCs w:val="18"/>
              </w:rPr>
              <w:t>485.436.893</w:t>
            </w:r>
          </w:p>
        </w:tc>
        <w:tc>
          <w:tcPr>
            <w:tcW w:w="0" w:type="auto"/>
            <w:tcMar>
              <w:top w:w="30" w:type="dxa"/>
              <w:left w:w="45" w:type="dxa"/>
              <w:bottom w:w="30" w:type="dxa"/>
              <w:right w:w="45" w:type="dxa"/>
            </w:tcMar>
            <w:vAlign w:val="center"/>
            <w:hideMark/>
          </w:tcPr>
          <w:p w14:paraId="791DF709" w14:textId="77777777" w:rsidR="00F742A1" w:rsidRPr="00F742A1" w:rsidRDefault="00F742A1" w:rsidP="00AA4BBB">
            <w:pPr>
              <w:jc w:val="center"/>
              <w:rPr>
                <w:rFonts w:cs="Arial"/>
                <w:sz w:val="18"/>
                <w:szCs w:val="18"/>
              </w:rPr>
            </w:pPr>
            <w:r w:rsidRPr="00F742A1">
              <w:rPr>
                <w:rFonts w:cs="Arial"/>
                <w:sz w:val="18"/>
                <w:szCs w:val="18"/>
              </w:rPr>
              <w:t>589.122.443</w:t>
            </w:r>
          </w:p>
        </w:tc>
        <w:tc>
          <w:tcPr>
            <w:tcW w:w="0" w:type="auto"/>
            <w:tcMar>
              <w:top w:w="30" w:type="dxa"/>
              <w:left w:w="45" w:type="dxa"/>
              <w:bottom w:w="30" w:type="dxa"/>
              <w:right w:w="45" w:type="dxa"/>
            </w:tcMar>
            <w:vAlign w:val="center"/>
            <w:hideMark/>
          </w:tcPr>
          <w:p w14:paraId="0D9AFE72" w14:textId="77777777" w:rsidR="00F742A1" w:rsidRPr="00F742A1" w:rsidRDefault="00F742A1" w:rsidP="00AA4BBB">
            <w:pPr>
              <w:jc w:val="center"/>
              <w:rPr>
                <w:rFonts w:cs="Arial"/>
                <w:sz w:val="18"/>
                <w:szCs w:val="18"/>
              </w:rPr>
            </w:pPr>
            <w:r w:rsidRPr="00F742A1">
              <w:rPr>
                <w:rFonts w:cs="Arial"/>
                <w:sz w:val="18"/>
                <w:szCs w:val="18"/>
              </w:rPr>
              <w:t>571.963.537</w:t>
            </w:r>
          </w:p>
        </w:tc>
        <w:tc>
          <w:tcPr>
            <w:tcW w:w="0" w:type="auto"/>
            <w:vMerge/>
            <w:vAlign w:val="center"/>
            <w:hideMark/>
          </w:tcPr>
          <w:p w14:paraId="0E201DBB" w14:textId="77777777" w:rsidR="00F742A1" w:rsidRPr="00F742A1" w:rsidRDefault="00F742A1" w:rsidP="00AA4BBB">
            <w:pPr>
              <w:rPr>
                <w:rFonts w:cs="Arial"/>
                <w:b/>
                <w:bCs/>
                <w:sz w:val="18"/>
                <w:szCs w:val="18"/>
              </w:rPr>
            </w:pPr>
          </w:p>
        </w:tc>
      </w:tr>
      <w:tr w:rsidR="00F742A1" w:rsidRPr="00F742A1" w14:paraId="7AA6AC7A" w14:textId="77777777" w:rsidTr="00F742A1">
        <w:tc>
          <w:tcPr>
            <w:tcW w:w="0" w:type="auto"/>
            <w:vMerge w:val="restart"/>
            <w:tcMar>
              <w:top w:w="30" w:type="dxa"/>
              <w:left w:w="45" w:type="dxa"/>
              <w:bottom w:w="30" w:type="dxa"/>
              <w:right w:w="45" w:type="dxa"/>
            </w:tcMar>
            <w:vAlign w:val="center"/>
            <w:hideMark/>
          </w:tcPr>
          <w:p w14:paraId="7290783D" w14:textId="77777777" w:rsidR="00F742A1" w:rsidRPr="00F742A1" w:rsidRDefault="00F742A1" w:rsidP="00AA4BBB">
            <w:pPr>
              <w:rPr>
                <w:rFonts w:cs="Arial"/>
                <w:sz w:val="18"/>
                <w:szCs w:val="18"/>
              </w:rPr>
            </w:pPr>
            <w:r w:rsidRPr="00F742A1">
              <w:rPr>
                <w:rFonts w:cs="Arial"/>
                <w:sz w:val="18"/>
                <w:szCs w:val="18"/>
              </w:rPr>
              <w:t>Vincular 100 Prestadores de Servicio Turístico en procesos de formación y/o sensibilización en apropiación de ciudad en el marco del programa" Bogotá Ciudad Portuaria</w:t>
            </w:r>
          </w:p>
        </w:tc>
        <w:tc>
          <w:tcPr>
            <w:tcW w:w="0" w:type="auto"/>
            <w:tcMar>
              <w:top w:w="30" w:type="dxa"/>
              <w:left w:w="45" w:type="dxa"/>
              <w:bottom w:w="30" w:type="dxa"/>
              <w:right w:w="45" w:type="dxa"/>
            </w:tcMar>
            <w:vAlign w:val="center"/>
            <w:hideMark/>
          </w:tcPr>
          <w:p w14:paraId="2B61AE34" w14:textId="77777777" w:rsidR="00F742A1" w:rsidRPr="00F742A1" w:rsidRDefault="00F742A1" w:rsidP="00AA4BBB">
            <w:pPr>
              <w:jc w:val="center"/>
              <w:rPr>
                <w:rFonts w:cs="Arial"/>
                <w:sz w:val="18"/>
                <w:szCs w:val="18"/>
              </w:rPr>
            </w:pPr>
            <w:r w:rsidRPr="00F742A1">
              <w:rPr>
                <w:rFonts w:cs="Arial"/>
                <w:sz w:val="18"/>
                <w:szCs w:val="18"/>
              </w:rPr>
              <w:t>20</w:t>
            </w:r>
          </w:p>
        </w:tc>
        <w:tc>
          <w:tcPr>
            <w:tcW w:w="0" w:type="auto"/>
            <w:tcMar>
              <w:top w:w="30" w:type="dxa"/>
              <w:left w:w="45" w:type="dxa"/>
              <w:bottom w:w="30" w:type="dxa"/>
              <w:right w:w="45" w:type="dxa"/>
            </w:tcMar>
            <w:vAlign w:val="center"/>
            <w:hideMark/>
          </w:tcPr>
          <w:p w14:paraId="5D64D170" w14:textId="77777777" w:rsidR="00F742A1" w:rsidRPr="00F742A1" w:rsidRDefault="00F742A1" w:rsidP="00AA4BBB">
            <w:pPr>
              <w:jc w:val="center"/>
              <w:rPr>
                <w:rFonts w:cs="Arial"/>
                <w:sz w:val="18"/>
                <w:szCs w:val="18"/>
              </w:rPr>
            </w:pPr>
            <w:r w:rsidRPr="00F742A1">
              <w:rPr>
                <w:rFonts w:cs="Arial"/>
                <w:sz w:val="18"/>
                <w:szCs w:val="18"/>
              </w:rPr>
              <w:t>20</w:t>
            </w:r>
          </w:p>
        </w:tc>
        <w:tc>
          <w:tcPr>
            <w:tcW w:w="0" w:type="auto"/>
            <w:tcMar>
              <w:top w:w="30" w:type="dxa"/>
              <w:left w:w="45" w:type="dxa"/>
              <w:bottom w:w="30" w:type="dxa"/>
              <w:right w:w="45" w:type="dxa"/>
            </w:tcMar>
            <w:vAlign w:val="center"/>
            <w:hideMark/>
          </w:tcPr>
          <w:p w14:paraId="7FC399A3" w14:textId="77777777" w:rsidR="00F742A1" w:rsidRPr="00F742A1" w:rsidRDefault="00F742A1" w:rsidP="00AA4BBB">
            <w:pPr>
              <w:jc w:val="center"/>
              <w:rPr>
                <w:rFonts w:cs="Arial"/>
                <w:sz w:val="18"/>
                <w:szCs w:val="18"/>
              </w:rPr>
            </w:pPr>
            <w:r w:rsidRPr="00F742A1">
              <w:rPr>
                <w:rFonts w:cs="Arial"/>
                <w:sz w:val="18"/>
                <w:szCs w:val="18"/>
              </w:rPr>
              <w:t>30</w:t>
            </w:r>
          </w:p>
        </w:tc>
        <w:tc>
          <w:tcPr>
            <w:tcW w:w="0" w:type="auto"/>
            <w:tcMar>
              <w:top w:w="30" w:type="dxa"/>
              <w:left w:w="45" w:type="dxa"/>
              <w:bottom w:w="30" w:type="dxa"/>
              <w:right w:w="45" w:type="dxa"/>
            </w:tcMar>
            <w:vAlign w:val="center"/>
            <w:hideMark/>
          </w:tcPr>
          <w:p w14:paraId="0DEA0E42" w14:textId="77777777" w:rsidR="00F742A1" w:rsidRPr="00F742A1" w:rsidRDefault="00F742A1" w:rsidP="00AA4BBB">
            <w:pPr>
              <w:jc w:val="center"/>
              <w:rPr>
                <w:rFonts w:cs="Arial"/>
                <w:sz w:val="18"/>
                <w:szCs w:val="18"/>
              </w:rPr>
            </w:pPr>
            <w:r w:rsidRPr="00F742A1">
              <w:rPr>
                <w:rFonts w:cs="Arial"/>
                <w:sz w:val="18"/>
                <w:szCs w:val="18"/>
              </w:rPr>
              <w:t>30</w:t>
            </w:r>
          </w:p>
        </w:tc>
        <w:tc>
          <w:tcPr>
            <w:tcW w:w="0" w:type="auto"/>
            <w:vMerge w:val="restart"/>
            <w:tcMar>
              <w:top w:w="30" w:type="dxa"/>
              <w:left w:w="45" w:type="dxa"/>
              <w:bottom w:w="30" w:type="dxa"/>
              <w:right w:w="45" w:type="dxa"/>
            </w:tcMar>
            <w:vAlign w:val="center"/>
            <w:hideMark/>
          </w:tcPr>
          <w:p w14:paraId="6731C02F" w14:textId="77777777" w:rsidR="00F742A1" w:rsidRPr="00F742A1" w:rsidRDefault="00F742A1" w:rsidP="00AA4BBB">
            <w:pPr>
              <w:jc w:val="center"/>
              <w:rPr>
                <w:rFonts w:cs="Arial"/>
                <w:b/>
                <w:bCs/>
                <w:sz w:val="18"/>
                <w:szCs w:val="18"/>
              </w:rPr>
            </w:pPr>
            <w:r w:rsidRPr="00F742A1">
              <w:rPr>
                <w:rFonts w:cs="Arial"/>
                <w:b/>
                <w:bCs/>
                <w:sz w:val="18"/>
                <w:szCs w:val="18"/>
              </w:rPr>
              <w:t>472.191.453</w:t>
            </w:r>
          </w:p>
        </w:tc>
      </w:tr>
      <w:tr w:rsidR="00F742A1" w:rsidRPr="00F742A1" w14:paraId="2B1566BE" w14:textId="77777777" w:rsidTr="00F742A1">
        <w:tc>
          <w:tcPr>
            <w:tcW w:w="0" w:type="auto"/>
            <w:vMerge/>
            <w:vAlign w:val="center"/>
            <w:hideMark/>
          </w:tcPr>
          <w:p w14:paraId="6733C99E" w14:textId="77777777" w:rsidR="00F742A1" w:rsidRPr="00F742A1" w:rsidRDefault="00F742A1" w:rsidP="00AA4BBB">
            <w:pPr>
              <w:rPr>
                <w:rFonts w:cs="Arial"/>
                <w:sz w:val="18"/>
                <w:szCs w:val="18"/>
              </w:rPr>
            </w:pPr>
          </w:p>
        </w:tc>
        <w:tc>
          <w:tcPr>
            <w:tcW w:w="0" w:type="auto"/>
            <w:tcMar>
              <w:top w:w="30" w:type="dxa"/>
              <w:left w:w="45" w:type="dxa"/>
              <w:bottom w:w="30" w:type="dxa"/>
              <w:right w:w="45" w:type="dxa"/>
            </w:tcMar>
            <w:vAlign w:val="center"/>
            <w:hideMark/>
          </w:tcPr>
          <w:p w14:paraId="48CA91A2" w14:textId="77777777" w:rsidR="00F742A1" w:rsidRPr="00F742A1" w:rsidRDefault="00F742A1" w:rsidP="00AA4BBB">
            <w:pPr>
              <w:jc w:val="center"/>
              <w:rPr>
                <w:rFonts w:cs="Arial"/>
                <w:sz w:val="18"/>
                <w:szCs w:val="18"/>
              </w:rPr>
            </w:pPr>
            <w:r w:rsidRPr="00F742A1">
              <w:rPr>
                <w:rFonts w:cs="Arial"/>
                <w:sz w:val="18"/>
                <w:szCs w:val="18"/>
              </w:rPr>
              <w:t>50.000.000</w:t>
            </w:r>
          </w:p>
        </w:tc>
        <w:tc>
          <w:tcPr>
            <w:tcW w:w="0" w:type="auto"/>
            <w:tcMar>
              <w:top w:w="30" w:type="dxa"/>
              <w:left w:w="45" w:type="dxa"/>
              <w:bottom w:w="30" w:type="dxa"/>
              <w:right w:w="45" w:type="dxa"/>
            </w:tcMar>
            <w:vAlign w:val="center"/>
            <w:hideMark/>
          </w:tcPr>
          <w:p w14:paraId="1E41C886" w14:textId="77777777" w:rsidR="00F742A1" w:rsidRPr="00F742A1" w:rsidRDefault="00F742A1" w:rsidP="00AA4BBB">
            <w:pPr>
              <w:jc w:val="center"/>
              <w:rPr>
                <w:rFonts w:cs="Arial"/>
                <w:sz w:val="18"/>
                <w:szCs w:val="18"/>
              </w:rPr>
            </w:pPr>
            <w:r w:rsidRPr="00F742A1">
              <w:rPr>
                <w:rFonts w:cs="Arial"/>
                <w:sz w:val="18"/>
                <w:szCs w:val="18"/>
              </w:rPr>
              <w:t>97.087.379</w:t>
            </w:r>
          </w:p>
        </w:tc>
        <w:tc>
          <w:tcPr>
            <w:tcW w:w="0" w:type="auto"/>
            <w:tcMar>
              <w:top w:w="30" w:type="dxa"/>
              <w:left w:w="45" w:type="dxa"/>
              <w:bottom w:w="30" w:type="dxa"/>
              <w:right w:w="45" w:type="dxa"/>
            </w:tcMar>
            <w:vAlign w:val="center"/>
            <w:hideMark/>
          </w:tcPr>
          <w:p w14:paraId="5CB679E5" w14:textId="77777777" w:rsidR="00F742A1" w:rsidRPr="00F742A1" w:rsidRDefault="00F742A1" w:rsidP="00AA4BBB">
            <w:pPr>
              <w:jc w:val="center"/>
              <w:rPr>
                <w:rFonts w:cs="Arial"/>
                <w:sz w:val="18"/>
                <w:szCs w:val="18"/>
              </w:rPr>
            </w:pPr>
            <w:r w:rsidRPr="00F742A1">
              <w:rPr>
                <w:rFonts w:cs="Arial"/>
                <w:sz w:val="18"/>
                <w:szCs w:val="18"/>
              </w:rPr>
              <w:t>164.954.284</w:t>
            </w:r>
          </w:p>
        </w:tc>
        <w:tc>
          <w:tcPr>
            <w:tcW w:w="0" w:type="auto"/>
            <w:tcMar>
              <w:top w:w="30" w:type="dxa"/>
              <w:left w:w="45" w:type="dxa"/>
              <w:bottom w:w="30" w:type="dxa"/>
              <w:right w:w="45" w:type="dxa"/>
            </w:tcMar>
            <w:vAlign w:val="center"/>
            <w:hideMark/>
          </w:tcPr>
          <w:p w14:paraId="5F6F2F64" w14:textId="77777777" w:rsidR="00F742A1" w:rsidRPr="00F742A1" w:rsidRDefault="00F742A1" w:rsidP="00AA4BBB">
            <w:pPr>
              <w:jc w:val="center"/>
              <w:rPr>
                <w:rFonts w:cs="Arial"/>
                <w:sz w:val="18"/>
                <w:szCs w:val="18"/>
              </w:rPr>
            </w:pPr>
            <w:r w:rsidRPr="00F742A1">
              <w:rPr>
                <w:rFonts w:cs="Arial"/>
                <w:sz w:val="18"/>
                <w:szCs w:val="18"/>
              </w:rPr>
              <w:t>160.149.790</w:t>
            </w:r>
          </w:p>
        </w:tc>
        <w:tc>
          <w:tcPr>
            <w:tcW w:w="0" w:type="auto"/>
            <w:vMerge/>
            <w:vAlign w:val="center"/>
            <w:hideMark/>
          </w:tcPr>
          <w:p w14:paraId="4779EA11" w14:textId="77777777" w:rsidR="00F742A1" w:rsidRPr="00F742A1" w:rsidRDefault="00F742A1" w:rsidP="00AA4BBB">
            <w:pPr>
              <w:rPr>
                <w:rFonts w:cs="Arial"/>
                <w:b/>
                <w:bCs/>
                <w:sz w:val="18"/>
                <w:szCs w:val="18"/>
              </w:rPr>
            </w:pPr>
          </w:p>
        </w:tc>
      </w:tr>
      <w:tr w:rsidR="00F742A1" w:rsidRPr="00F742A1" w14:paraId="53BD23DF" w14:textId="77777777" w:rsidTr="00F742A1">
        <w:tc>
          <w:tcPr>
            <w:tcW w:w="0" w:type="auto"/>
            <w:gridSpan w:val="6"/>
            <w:shd w:val="clear" w:color="auto" w:fill="C00000"/>
            <w:tcMar>
              <w:top w:w="30" w:type="dxa"/>
              <w:left w:w="45" w:type="dxa"/>
              <w:bottom w:w="30" w:type="dxa"/>
              <w:right w:w="45" w:type="dxa"/>
            </w:tcMar>
            <w:vAlign w:val="center"/>
            <w:hideMark/>
          </w:tcPr>
          <w:p w14:paraId="6F135552" w14:textId="1AC62F13" w:rsidR="00F742A1" w:rsidRPr="00F742A1" w:rsidRDefault="00F742A1" w:rsidP="00F742A1">
            <w:pPr>
              <w:jc w:val="center"/>
              <w:rPr>
                <w:rFonts w:cs="Arial"/>
                <w:b/>
                <w:bCs/>
                <w:sz w:val="18"/>
                <w:szCs w:val="18"/>
              </w:rPr>
            </w:pPr>
            <w:r w:rsidRPr="00F742A1">
              <w:rPr>
                <w:rFonts w:cs="Arial"/>
                <w:b/>
                <w:bCs/>
                <w:color w:val="FFFFFF" w:themeColor="background1"/>
                <w:sz w:val="18"/>
                <w:szCs w:val="18"/>
              </w:rPr>
              <w:t>Planeación</w:t>
            </w:r>
          </w:p>
        </w:tc>
      </w:tr>
      <w:tr w:rsidR="00F742A1" w:rsidRPr="00F742A1" w14:paraId="6AE7EA8B" w14:textId="77777777" w:rsidTr="00F742A1">
        <w:tc>
          <w:tcPr>
            <w:tcW w:w="0" w:type="auto"/>
            <w:vMerge w:val="restart"/>
            <w:tcMar>
              <w:top w:w="30" w:type="dxa"/>
              <w:left w:w="45" w:type="dxa"/>
              <w:bottom w:w="30" w:type="dxa"/>
              <w:right w:w="45" w:type="dxa"/>
            </w:tcMar>
            <w:vAlign w:val="center"/>
            <w:hideMark/>
          </w:tcPr>
          <w:p w14:paraId="1A16103C" w14:textId="77777777" w:rsidR="00F742A1" w:rsidRPr="00F742A1" w:rsidRDefault="00F742A1" w:rsidP="00AA4BBB">
            <w:pPr>
              <w:rPr>
                <w:rFonts w:cs="Arial"/>
                <w:sz w:val="18"/>
                <w:szCs w:val="18"/>
              </w:rPr>
            </w:pPr>
            <w:r w:rsidRPr="00F742A1">
              <w:rPr>
                <w:rFonts w:cs="Arial"/>
                <w:sz w:val="18"/>
                <w:szCs w:val="18"/>
              </w:rPr>
              <w:t>Desarrollar un (1) modelo de gobernanza colaborativa y multinivel en el marco de la Actuación Urbana Integral Distrito Aeroportuario para su implementación y posicionamiento de Bogotá como una ciudad portuaria.</w:t>
            </w:r>
          </w:p>
        </w:tc>
        <w:tc>
          <w:tcPr>
            <w:tcW w:w="0" w:type="auto"/>
            <w:tcMar>
              <w:top w:w="30" w:type="dxa"/>
              <w:left w:w="45" w:type="dxa"/>
              <w:bottom w:w="30" w:type="dxa"/>
              <w:right w:w="45" w:type="dxa"/>
            </w:tcMar>
            <w:vAlign w:val="center"/>
            <w:hideMark/>
          </w:tcPr>
          <w:p w14:paraId="5B7988B0" w14:textId="77777777" w:rsidR="00F742A1" w:rsidRPr="00F742A1" w:rsidRDefault="00F742A1" w:rsidP="00AA4BBB">
            <w:pPr>
              <w:jc w:val="center"/>
              <w:rPr>
                <w:rFonts w:cs="Arial"/>
                <w:sz w:val="18"/>
                <w:szCs w:val="18"/>
              </w:rPr>
            </w:pPr>
            <w:r w:rsidRPr="00F742A1">
              <w:rPr>
                <w:rFonts w:cs="Arial"/>
                <w:sz w:val="18"/>
                <w:szCs w:val="18"/>
              </w:rPr>
              <w:t>0,10</w:t>
            </w:r>
          </w:p>
        </w:tc>
        <w:tc>
          <w:tcPr>
            <w:tcW w:w="0" w:type="auto"/>
            <w:tcMar>
              <w:top w:w="30" w:type="dxa"/>
              <w:left w:w="45" w:type="dxa"/>
              <w:bottom w:w="30" w:type="dxa"/>
              <w:right w:w="45" w:type="dxa"/>
            </w:tcMar>
            <w:vAlign w:val="center"/>
            <w:hideMark/>
          </w:tcPr>
          <w:p w14:paraId="607DBF4C" w14:textId="77777777" w:rsidR="00F742A1" w:rsidRPr="00F742A1" w:rsidRDefault="00F742A1" w:rsidP="00AA4BBB">
            <w:pPr>
              <w:jc w:val="center"/>
              <w:rPr>
                <w:rFonts w:cs="Arial"/>
                <w:sz w:val="18"/>
                <w:szCs w:val="18"/>
              </w:rPr>
            </w:pPr>
            <w:r w:rsidRPr="00F742A1">
              <w:rPr>
                <w:rFonts w:cs="Arial"/>
                <w:sz w:val="18"/>
                <w:szCs w:val="18"/>
              </w:rPr>
              <w:t>0,30</w:t>
            </w:r>
          </w:p>
        </w:tc>
        <w:tc>
          <w:tcPr>
            <w:tcW w:w="0" w:type="auto"/>
            <w:tcMar>
              <w:top w:w="30" w:type="dxa"/>
              <w:left w:w="45" w:type="dxa"/>
              <w:bottom w:w="30" w:type="dxa"/>
              <w:right w:w="45" w:type="dxa"/>
            </w:tcMar>
            <w:vAlign w:val="center"/>
            <w:hideMark/>
          </w:tcPr>
          <w:p w14:paraId="5320AE02" w14:textId="77777777" w:rsidR="00F742A1" w:rsidRPr="00F742A1" w:rsidRDefault="00F742A1" w:rsidP="00AA4BBB">
            <w:pPr>
              <w:jc w:val="center"/>
              <w:rPr>
                <w:rFonts w:cs="Arial"/>
                <w:sz w:val="18"/>
                <w:szCs w:val="18"/>
              </w:rPr>
            </w:pPr>
            <w:r w:rsidRPr="00F742A1">
              <w:rPr>
                <w:rFonts w:cs="Arial"/>
                <w:sz w:val="18"/>
                <w:szCs w:val="18"/>
              </w:rPr>
              <w:t>0,30</w:t>
            </w:r>
          </w:p>
        </w:tc>
        <w:tc>
          <w:tcPr>
            <w:tcW w:w="0" w:type="auto"/>
            <w:tcMar>
              <w:top w:w="30" w:type="dxa"/>
              <w:left w:w="45" w:type="dxa"/>
              <w:bottom w:w="30" w:type="dxa"/>
              <w:right w:w="45" w:type="dxa"/>
            </w:tcMar>
            <w:vAlign w:val="center"/>
            <w:hideMark/>
          </w:tcPr>
          <w:p w14:paraId="27C0760B" w14:textId="77777777" w:rsidR="00F742A1" w:rsidRPr="00F742A1" w:rsidRDefault="00F742A1" w:rsidP="00AA4BBB">
            <w:pPr>
              <w:jc w:val="center"/>
              <w:rPr>
                <w:rFonts w:cs="Arial"/>
                <w:sz w:val="18"/>
                <w:szCs w:val="18"/>
              </w:rPr>
            </w:pPr>
            <w:r w:rsidRPr="00F742A1">
              <w:rPr>
                <w:rFonts w:cs="Arial"/>
                <w:sz w:val="18"/>
                <w:szCs w:val="18"/>
              </w:rPr>
              <w:t>0,30</w:t>
            </w:r>
          </w:p>
        </w:tc>
        <w:tc>
          <w:tcPr>
            <w:tcW w:w="0" w:type="auto"/>
            <w:vMerge w:val="restart"/>
            <w:tcMar>
              <w:top w:w="30" w:type="dxa"/>
              <w:left w:w="45" w:type="dxa"/>
              <w:bottom w:w="30" w:type="dxa"/>
              <w:right w:w="45" w:type="dxa"/>
            </w:tcMar>
            <w:vAlign w:val="center"/>
            <w:hideMark/>
          </w:tcPr>
          <w:p w14:paraId="1D7D4C61" w14:textId="77777777" w:rsidR="00F742A1" w:rsidRPr="00F742A1" w:rsidRDefault="00F742A1" w:rsidP="00AA4BBB">
            <w:pPr>
              <w:jc w:val="center"/>
              <w:rPr>
                <w:rFonts w:cs="Arial"/>
                <w:b/>
                <w:bCs/>
                <w:sz w:val="18"/>
                <w:szCs w:val="18"/>
              </w:rPr>
            </w:pPr>
            <w:r w:rsidRPr="00F742A1">
              <w:rPr>
                <w:rFonts w:cs="Arial"/>
                <w:b/>
                <w:bCs/>
                <w:sz w:val="18"/>
                <w:szCs w:val="18"/>
              </w:rPr>
              <w:t>1.905.047.871</w:t>
            </w:r>
          </w:p>
        </w:tc>
      </w:tr>
      <w:tr w:rsidR="00F742A1" w:rsidRPr="00F742A1" w14:paraId="1DE8311E" w14:textId="77777777" w:rsidTr="00F742A1">
        <w:tc>
          <w:tcPr>
            <w:tcW w:w="0" w:type="auto"/>
            <w:vMerge/>
            <w:tcBorders>
              <w:bottom w:val="double" w:sz="4" w:space="0" w:color="C00000"/>
            </w:tcBorders>
            <w:vAlign w:val="center"/>
            <w:hideMark/>
          </w:tcPr>
          <w:p w14:paraId="5E1DD75F" w14:textId="77777777" w:rsidR="00F742A1" w:rsidRPr="00F742A1" w:rsidRDefault="00F742A1" w:rsidP="00AA4BBB">
            <w:pPr>
              <w:rPr>
                <w:rFonts w:cs="Arial"/>
                <w:sz w:val="18"/>
                <w:szCs w:val="18"/>
              </w:rPr>
            </w:pPr>
          </w:p>
        </w:tc>
        <w:tc>
          <w:tcPr>
            <w:tcW w:w="0" w:type="auto"/>
            <w:tcBorders>
              <w:bottom w:val="double" w:sz="4" w:space="0" w:color="C00000"/>
            </w:tcBorders>
            <w:tcMar>
              <w:top w:w="30" w:type="dxa"/>
              <w:left w:w="45" w:type="dxa"/>
              <w:bottom w:w="30" w:type="dxa"/>
              <w:right w:w="45" w:type="dxa"/>
            </w:tcMar>
            <w:vAlign w:val="center"/>
            <w:hideMark/>
          </w:tcPr>
          <w:p w14:paraId="39DC4189" w14:textId="77777777" w:rsidR="00F742A1" w:rsidRPr="00F742A1" w:rsidRDefault="00F742A1" w:rsidP="00AA4BBB">
            <w:pPr>
              <w:jc w:val="center"/>
              <w:rPr>
                <w:rFonts w:cs="Arial"/>
                <w:sz w:val="18"/>
                <w:szCs w:val="18"/>
              </w:rPr>
            </w:pPr>
            <w:r w:rsidRPr="00F742A1">
              <w:rPr>
                <w:rFonts w:cs="Arial"/>
                <w:sz w:val="18"/>
                <w:szCs w:val="18"/>
              </w:rPr>
              <w:t>338.455.227</w:t>
            </w:r>
          </w:p>
        </w:tc>
        <w:tc>
          <w:tcPr>
            <w:tcW w:w="0" w:type="auto"/>
            <w:tcBorders>
              <w:bottom w:val="double" w:sz="4" w:space="0" w:color="C00000"/>
            </w:tcBorders>
            <w:tcMar>
              <w:top w:w="30" w:type="dxa"/>
              <w:left w:w="45" w:type="dxa"/>
              <w:bottom w:w="30" w:type="dxa"/>
              <w:right w:w="45" w:type="dxa"/>
            </w:tcMar>
            <w:vAlign w:val="center"/>
            <w:hideMark/>
          </w:tcPr>
          <w:p w14:paraId="51CAFF6F" w14:textId="77777777" w:rsidR="00F742A1" w:rsidRPr="00F742A1" w:rsidRDefault="00F742A1" w:rsidP="00AA4BBB">
            <w:pPr>
              <w:jc w:val="center"/>
              <w:rPr>
                <w:rFonts w:cs="Arial"/>
                <w:sz w:val="18"/>
                <w:szCs w:val="18"/>
              </w:rPr>
            </w:pPr>
            <w:r w:rsidRPr="00F742A1">
              <w:rPr>
                <w:rFonts w:cs="Arial"/>
                <w:sz w:val="18"/>
                <w:szCs w:val="18"/>
              </w:rPr>
              <w:t>542.475.403</w:t>
            </w:r>
          </w:p>
        </w:tc>
        <w:tc>
          <w:tcPr>
            <w:tcW w:w="0" w:type="auto"/>
            <w:tcBorders>
              <w:bottom w:val="double" w:sz="4" w:space="0" w:color="C00000"/>
            </w:tcBorders>
            <w:tcMar>
              <w:top w:w="30" w:type="dxa"/>
              <w:left w:w="45" w:type="dxa"/>
              <w:bottom w:w="30" w:type="dxa"/>
              <w:right w:w="45" w:type="dxa"/>
            </w:tcMar>
            <w:vAlign w:val="center"/>
            <w:hideMark/>
          </w:tcPr>
          <w:p w14:paraId="73B616EB" w14:textId="77777777" w:rsidR="00F742A1" w:rsidRPr="00F742A1" w:rsidRDefault="00F742A1" w:rsidP="00AA4BBB">
            <w:pPr>
              <w:jc w:val="center"/>
              <w:rPr>
                <w:rFonts w:cs="Arial"/>
                <w:sz w:val="18"/>
                <w:szCs w:val="18"/>
              </w:rPr>
            </w:pPr>
            <w:r w:rsidRPr="00F742A1">
              <w:rPr>
                <w:rFonts w:cs="Arial"/>
                <w:sz w:val="18"/>
                <w:szCs w:val="18"/>
              </w:rPr>
              <w:t>511.686.685</w:t>
            </w:r>
          </w:p>
        </w:tc>
        <w:tc>
          <w:tcPr>
            <w:tcW w:w="0" w:type="auto"/>
            <w:tcBorders>
              <w:bottom w:val="double" w:sz="4" w:space="0" w:color="C00000"/>
            </w:tcBorders>
            <w:tcMar>
              <w:top w:w="30" w:type="dxa"/>
              <w:left w:w="45" w:type="dxa"/>
              <w:bottom w:w="30" w:type="dxa"/>
              <w:right w:w="45" w:type="dxa"/>
            </w:tcMar>
            <w:vAlign w:val="center"/>
            <w:hideMark/>
          </w:tcPr>
          <w:p w14:paraId="2B9A2E28" w14:textId="77777777" w:rsidR="00F742A1" w:rsidRPr="00F742A1" w:rsidRDefault="00F742A1" w:rsidP="00AA4BBB">
            <w:pPr>
              <w:jc w:val="center"/>
              <w:rPr>
                <w:rFonts w:cs="Arial"/>
                <w:sz w:val="18"/>
                <w:szCs w:val="18"/>
              </w:rPr>
            </w:pPr>
            <w:r w:rsidRPr="00F742A1">
              <w:rPr>
                <w:rFonts w:cs="Arial"/>
                <w:sz w:val="18"/>
                <w:szCs w:val="18"/>
              </w:rPr>
              <w:t>512.430.556</w:t>
            </w:r>
          </w:p>
        </w:tc>
        <w:tc>
          <w:tcPr>
            <w:tcW w:w="0" w:type="auto"/>
            <w:vMerge/>
            <w:tcBorders>
              <w:bottom w:val="double" w:sz="4" w:space="0" w:color="C00000"/>
            </w:tcBorders>
            <w:vAlign w:val="center"/>
            <w:hideMark/>
          </w:tcPr>
          <w:p w14:paraId="54E986E0" w14:textId="77777777" w:rsidR="00F742A1" w:rsidRPr="00F742A1" w:rsidRDefault="00F742A1" w:rsidP="00AA4BBB">
            <w:pPr>
              <w:rPr>
                <w:rFonts w:cs="Arial"/>
                <w:b/>
                <w:bCs/>
                <w:sz w:val="18"/>
                <w:szCs w:val="18"/>
              </w:rPr>
            </w:pPr>
          </w:p>
        </w:tc>
      </w:tr>
    </w:tbl>
    <w:p w14:paraId="7822314E" w14:textId="77777777" w:rsidR="00FA4F64" w:rsidRDefault="00FA4F64" w:rsidP="00FA4F64"/>
    <w:p w14:paraId="2F13A666" w14:textId="77777777" w:rsidR="003250AC" w:rsidRDefault="003250AC" w:rsidP="00CB6AEC">
      <w:pPr>
        <w:keepNext/>
        <w:keepLines/>
        <w:numPr>
          <w:ilvl w:val="1"/>
          <w:numId w:val="37"/>
        </w:numPr>
        <w:pBdr>
          <w:top w:val="nil"/>
          <w:left w:val="nil"/>
          <w:bottom w:val="nil"/>
          <w:right w:val="nil"/>
          <w:between w:val="nil"/>
        </w:pBdr>
        <w:spacing w:line="340" w:lineRule="auto"/>
        <w:ind w:left="0" w:firstLine="680"/>
        <w:jc w:val="left"/>
        <w:rPr>
          <w:b/>
          <w:color w:val="3B3838"/>
          <w:sz w:val="28"/>
          <w:szCs w:val="28"/>
        </w:rPr>
      </w:pPr>
      <w:bookmarkStart w:id="348" w:name="_heading=h.2eclud0" w:colFirst="0" w:colLast="0"/>
      <w:bookmarkEnd w:id="348"/>
      <w:r>
        <w:rPr>
          <w:b/>
          <w:color w:val="3B3838"/>
          <w:sz w:val="28"/>
          <w:szCs w:val="28"/>
        </w:rPr>
        <w:br w:type="page"/>
      </w:r>
    </w:p>
    <w:p w14:paraId="52CA869B" w14:textId="000DDE3E" w:rsidR="00FA4F64" w:rsidRDefault="00FA4F64" w:rsidP="00BB5305">
      <w:pPr>
        <w:pStyle w:val="NIVEL4"/>
      </w:pPr>
      <w:bookmarkStart w:id="349" w:name="_Toc165169784"/>
      <w:r w:rsidRPr="003250AC">
        <w:rPr>
          <w:color w:val="C00000"/>
        </w:rPr>
        <w:lastRenderedPageBreak/>
        <w:t xml:space="preserve">Programa 22: </w:t>
      </w:r>
      <w:r>
        <w:t>Bogotá, una ciudad de puertas abiertas al mundo</w:t>
      </w:r>
      <w:bookmarkEnd w:id="349"/>
    </w:p>
    <w:p w14:paraId="3E9AB928" w14:textId="77777777" w:rsidR="00FA4F64" w:rsidRDefault="00FA4F64" w:rsidP="00BB5305"/>
    <w:p w14:paraId="50BE0CFF" w14:textId="77777777" w:rsidR="00FA4F64" w:rsidRPr="006C7EE1" w:rsidRDefault="00FA4F64" w:rsidP="006C7EE1">
      <w:pPr>
        <w:ind w:firstLine="708"/>
        <w:rPr>
          <w:b/>
          <w:bCs/>
          <w:sz w:val="24"/>
        </w:rPr>
        <w:sectPr w:rsidR="00FA4F64" w:rsidRPr="006C7EE1" w:rsidSect="00F7078E">
          <w:type w:val="continuous"/>
          <w:pgSz w:w="12240" w:h="15840"/>
          <w:pgMar w:top="2262" w:right="1440" w:bottom="1440" w:left="1440" w:header="708" w:footer="708" w:gutter="0"/>
          <w:cols w:space="720"/>
        </w:sectPr>
      </w:pPr>
      <w:r w:rsidRPr="006C7EE1">
        <w:rPr>
          <w:b/>
          <w:bCs/>
          <w:sz w:val="24"/>
        </w:rPr>
        <w:t>Diagnóstico</w:t>
      </w:r>
    </w:p>
    <w:p w14:paraId="260567D5" w14:textId="77777777" w:rsidR="00FA4F64" w:rsidRDefault="00FA4F64" w:rsidP="00FA4F64">
      <w:r>
        <w:t>En un contexto de creciente influencia en el panorama internacional, las ciudades y los gobiernos subnacionales están experimentando un proceso de profesionalización y sofisticación continuas, ganando una mayor autonomía.</w:t>
      </w:r>
    </w:p>
    <w:p w14:paraId="386D1E03" w14:textId="77777777" w:rsidR="00FA4F64" w:rsidRDefault="00FA4F64" w:rsidP="00FA4F64"/>
    <w:p w14:paraId="4D252571" w14:textId="77777777" w:rsidR="00FA4F64" w:rsidRDefault="00FA4F64" w:rsidP="00FA4F64">
      <w:r>
        <w:t>Dicha autonomía se refiere a la capacidad creciente de estos gobiernos para generar beneficios tangibles a partir de su proyección internacional y, a su vez, contribuir al prestigio, posicionamiento y reconocimiento de sus países en el ámbito mundial. Este fenómeno resalta la importancia estratégica de las ciudades y regiones en el tablero geopolítico global, donde su influencia y aportes van más allá de sus fronteras geográficas.</w:t>
      </w:r>
    </w:p>
    <w:p w14:paraId="251A3D6A" w14:textId="77777777" w:rsidR="00FA4F64" w:rsidRDefault="00FA4F64" w:rsidP="00FA4F64"/>
    <w:p w14:paraId="7AB2CB6B" w14:textId="77777777" w:rsidR="00FA4F64" w:rsidRDefault="00FA4F64" w:rsidP="00FA4F64">
      <w:r>
        <w:t>La prominencia de Bogotá en el escenario internacional puede atribuirse, en parte, a su estatus como centro político y económico de Colombia. Como capital del país, Bogotá alberga las principales instituciones gubernamentales, incluyendo la Presidencia de la República, el Congreso, la Corte Suprema, Ministerios y Agencias. Esta concentración de entidades gubernamentales no solo la establece como el principal centro de toma de decisiones políticas y legislativas del país, sino que también atrae a una amplia gama de profesionales, desde políticos y diplomáticos hasta académicos, técnicos y analistas políticos.</w:t>
      </w:r>
    </w:p>
    <w:p w14:paraId="3832C5C0" w14:textId="77777777" w:rsidR="00FA4F64" w:rsidRDefault="00FA4F64" w:rsidP="00FA4F64"/>
    <w:p w14:paraId="0ED93696" w14:textId="77777777" w:rsidR="00FA4F64" w:rsidRDefault="00FA4F64" w:rsidP="00FA4F64">
      <w:r>
        <w:t>Bogotá se ha posicionado como un modelo de desarrollo urbano inclusivo, productivo y sostenible, asumiendo un rol destacado en el escenario global y contribuyendo significativamente a la agenda internacional.</w:t>
      </w:r>
    </w:p>
    <w:p w14:paraId="3E0FD82F" w14:textId="77777777" w:rsidR="00FA4F64" w:rsidRDefault="00FA4F64" w:rsidP="00FA4F64"/>
    <w:p w14:paraId="00E545B1" w14:textId="77777777" w:rsidR="00FA4F64" w:rsidRDefault="00FA4F64" w:rsidP="00FA4F64">
      <w:r>
        <w:t xml:space="preserve">A través de una estrategia de diplomacia efectiva, la ciudad ha logrado influir en las agendas multilaterales y ganar visibilidad en foros y organismos internacionales. Esta diplomacia se ha cimentado en forjar alianzas estratégicas con </w:t>
      </w:r>
      <w:r>
        <w:t>redes de ciudades, utilizando estas plataformas para abordar y resolver desafíos globales desde una perspectiva local.</w:t>
      </w:r>
    </w:p>
    <w:p w14:paraId="76AF36C5" w14:textId="77777777" w:rsidR="00FA4F64" w:rsidRDefault="00FA4F64" w:rsidP="00FA4F64"/>
    <w:p w14:paraId="3AD5087F" w14:textId="77777777" w:rsidR="00FA4F64" w:rsidRDefault="00FA4F64" w:rsidP="00FA4F64">
      <w:r>
        <w:t>Estas redes, que sirven como catalizadores de conocimiento y recursos, también han empoderado a Bogotá para liderar y participar activamente en debates sobre desarrollo sostenible y de gobernanza colaborativa para el desarrollo de ecosistemas productivos, como las industrias creativas y del entretenimiento, en colaboración con una variedad de actores públicos, privados, académicos, empresariales y sociales tanto internacionales como locales.</w:t>
      </w:r>
    </w:p>
    <w:p w14:paraId="19B3C8EE" w14:textId="77777777" w:rsidR="00FA4F64" w:rsidRDefault="00FA4F64" w:rsidP="00FA4F64"/>
    <w:p w14:paraId="21300F4E" w14:textId="77777777" w:rsidR="00FA4F64" w:rsidRDefault="00FA4F64" w:rsidP="00FA4F64">
      <w:r>
        <w:t>Bogotá se consolida como un eje diplomático y, por ende, requiere una articulación con el Gobierno Nacional, en especial, con la Cancillería de Colombia, para el desarrollo de un trabajo conjunto con las 64 delegaciones del cuerpo diplomático, que incluyen embajadas, consulados y secciones consulares.</w:t>
      </w:r>
    </w:p>
    <w:p w14:paraId="4BC7E9B1" w14:textId="77777777" w:rsidR="00FA4F64" w:rsidRDefault="00FA4F64" w:rsidP="00FA4F64"/>
    <w:p w14:paraId="4F5D1AA5" w14:textId="77777777" w:rsidR="00FA4F64" w:rsidRDefault="00FA4F64" w:rsidP="00FA4F64">
      <w:r>
        <w:t>También, la ciudad se consolida como un eje de gobernanza de América Latina; es sede de 14 agencias pertenecientes a las Naciones Unidas, así como de instituciones financieras de envergadura internacional, como el Banco Interamericano de Desarrollo (BID), el Banco Mundial y el Banco de Desarrollo de América Latina (CAF), lo que refuerza su papel como una plataforma privilegiada para el diálogo y la cooperación a escala global. Este entorno se enriquece con la presencia de una gama de organizaciones no gubernamentales y agencias de cooperación internacionales, subrayando el rol de Bogotá como núcleo de convergencia y colaboración internacional con capacidad hotelera, acceso a vuelos internacionales, conectividad, seguridad y oferta académica que la destacan como centro de gobernanza en Latinoamérica.</w:t>
      </w:r>
    </w:p>
    <w:p w14:paraId="41D402A2" w14:textId="77777777" w:rsidR="00FA4F64" w:rsidRDefault="00FA4F64" w:rsidP="00FA4F64"/>
    <w:p w14:paraId="7D75E0C2" w14:textId="77777777" w:rsidR="00FA4F64" w:rsidRDefault="00FA4F64" w:rsidP="00FA4F64">
      <w:r>
        <w:lastRenderedPageBreak/>
        <w:t>Actualmente, Bogotá es miembro de una serie de escenarios y plataformas de integración a través de las cuales se desarrollan acciones de cooperación internacional y diplomacia de ciudades.</w:t>
      </w:r>
    </w:p>
    <w:p w14:paraId="2E3C5F80" w14:textId="77777777" w:rsidR="00FA4F64" w:rsidRDefault="00FA4F64" w:rsidP="00FA4F64"/>
    <w:p w14:paraId="5D287010" w14:textId="77777777" w:rsidR="00FA4F64" w:rsidRDefault="00FA4F64" w:rsidP="00FA4F64">
      <w:r>
        <w:t>Entre las más destacadas se encuentran la Unión de Ciudades Capitales Iberoamericanas (UCCI), Ciudades y Gobiernos Locales Unidos (CGLU), Metrópolis y Centro Iberoamericano de Desarrollo Estratégico Urbano (CIDEU), entre otras. En todas ellas, los temas culturales, artísticos, patrimoniales y recreo-deportivos han logrado tener una incidencia en las agendas de estas organizaciones internacionales, a través de acciones como la gestión de recursos de cooperación, los intercambios técnicos y la gestión del conocimiento.</w:t>
      </w:r>
    </w:p>
    <w:p w14:paraId="73600959" w14:textId="77777777" w:rsidR="00FA4F64" w:rsidRDefault="00FA4F64" w:rsidP="00FA4F64"/>
    <w:p w14:paraId="46539EFB" w14:textId="62325CC6" w:rsidR="00FA4F64" w:rsidRDefault="00FA4F64" w:rsidP="00FA4F64">
      <w:pPr>
        <w:rPr>
          <w:spacing w:val="-6"/>
        </w:rPr>
      </w:pPr>
      <w:r>
        <w:t>Una de las principales limitantes para la internacionalización de la ciudad se expresa en el bajo dominio de una lengua extranjera. Según el índice de competencia en inglés (</w:t>
      </w:r>
      <w:r>
        <w:rPr>
          <w:i/>
        </w:rPr>
        <w:t>English Proficiency Index</w:t>
      </w:r>
      <w:r>
        <w:t xml:space="preserve">) calculado por la firma de enseñanza internacional de idiomas, Education First, Bogotá alcanzó un nivel medio con 502 puntos, ligeramente por encima del promedio mundial </w:t>
      </w:r>
      <w:r>
        <w:t xml:space="preserve">(493 puntos) pero por debajo de otras ciudades de Colombia como Bucaramanga, Barranquilla y Manizales; además se encuentra muy alejado de alcanzar un puntaje un nivel alto (550 puntos o superior). Esta situación también se hace evidente al revisar el aprendizaje de inglés en los colegios bogotanos. Para colegios oficiales, el 33% de las y los estudiantes evaluados se clasifica en </w:t>
      </w:r>
      <w:r w:rsidRPr="003250AC">
        <w:rPr>
          <w:spacing w:val="-6"/>
        </w:rPr>
        <w:t>el nivel más bajo de desempeño en las pruebas Saber 11.</w:t>
      </w:r>
      <w:r w:rsidR="006C7EE1">
        <w:rPr>
          <w:spacing w:val="-6"/>
        </w:rPr>
        <w:t xml:space="preserve"> </w:t>
      </w:r>
    </w:p>
    <w:p w14:paraId="7411C7E5" w14:textId="77777777" w:rsidR="006C7EE1" w:rsidRDefault="006C7EE1" w:rsidP="00FA4F64">
      <w:pPr>
        <w:rPr>
          <w:spacing w:val="-6"/>
        </w:rPr>
      </w:pPr>
    </w:p>
    <w:p w14:paraId="71219B02" w14:textId="0038F92F" w:rsidR="003250AC" w:rsidRPr="006C7EE1" w:rsidRDefault="006C7EE1" w:rsidP="006C7EE1">
      <w:pPr>
        <w:sectPr w:rsidR="003250AC" w:rsidRPr="006C7EE1" w:rsidSect="00F7078E">
          <w:type w:val="continuous"/>
          <w:pgSz w:w="12240" w:h="15840"/>
          <w:pgMar w:top="2262" w:right="1440" w:bottom="1440" w:left="1440" w:header="708" w:footer="708" w:gutter="0"/>
          <w:cols w:num="2" w:space="720" w:equalWidth="0">
            <w:col w:w="4396" w:space="567"/>
            <w:col w:w="4396" w:space="0"/>
          </w:cols>
        </w:sectPr>
      </w:pPr>
      <w:r>
        <w:t>No obstante, y si bien la participación en estos espacios y la firma de instrumentos de cooperación internacional (memorandos de entendimiento, cartas de intención, entre otros) no representan un compromiso presupuestal explícito, estos espacios de incidencia abren la posibilidad para que la ciudad y los diferentes sectores de la Administración Distrital tengan una mayor visibilidad a escalas regional e internacional, por lo que se requiere contar con una agenda que impulse la movilización de la Administración en esta dirección y genere puentes con pares que comparten objetivos comunes; en particular, el desarrollo económico, el turismo, el intercambio de conocimiento y la visibilidad de los territorios.</w:t>
      </w:r>
    </w:p>
    <w:p w14:paraId="50AC10A9" w14:textId="77777777" w:rsidR="00FA4F64" w:rsidRDefault="00FA4F64" w:rsidP="00FA4F64">
      <w:pPr>
        <w:spacing w:line="480" w:lineRule="auto"/>
        <w:rPr>
          <w:rFonts w:ascii="Times New Roman" w:hAnsi="Times New Roman"/>
          <w:sz w:val="24"/>
        </w:rPr>
      </w:pPr>
    </w:p>
    <w:p w14:paraId="74080D57" w14:textId="77777777" w:rsidR="00FA4F64" w:rsidRPr="00467884" w:rsidRDefault="00FA4F64" w:rsidP="00467884">
      <w:pPr>
        <w:ind w:firstLine="708"/>
        <w:rPr>
          <w:b/>
          <w:bCs/>
          <w:sz w:val="24"/>
        </w:rPr>
        <w:sectPr w:rsidR="00FA4F64" w:rsidRPr="00467884" w:rsidSect="00F7078E">
          <w:type w:val="continuous"/>
          <w:pgSz w:w="12240" w:h="15840"/>
          <w:pgMar w:top="2262" w:right="1440" w:bottom="1440" w:left="1440" w:header="708" w:footer="708" w:gutter="0"/>
          <w:cols w:space="720"/>
        </w:sectPr>
      </w:pPr>
      <w:r w:rsidRPr="00467884">
        <w:rPr>
          <w:b/>
          <w:bCs/>
          <w:sz w:val="24"/>
        </w:rPr>
        <w:t>Descripción del programa</w:t>
      </w:r>
    </w:p>
    <w:p w14:paraId="73F4BCA9" w14:textId="77777777" w:rsidR="00FA4F64" w:rsidRDefault="00FA4F64" w:rsidP="00FA4F64">
      <w:r>
        <w:t>El propósito del programa es promover la creación y fortalecimiento de redes solidarias de comercialización e intermediación con el mercado, ampliando su alcance más allá del ámbito distrital, hacia el ámbito regional, departamental, nacional e internacional. Se llevarán a cabo acciones como la difusión y fortalecimiento de experiencias exitosas mediante intercambios nacionales e internacionales, así como, la complementación con las apuestas de las regiones en las que Bogotá está vinculada.</w:t>
      </w:r>
    </w:p>
    <w:p w14:paraId="0EF69B8E" w14:textId="77777777" w:rsidR="00FA4F64" w:rsidRDefault="00FA4F64" w:rsidP="00FA4F64"/>
    <w:p w14:paraId="25BA4950" w14:textId="77777777" w:rsidR="00FA4F64" w:rsidRDefault="00FA4F64" w:rsidP="00FA4F64">
      <w:r>
        <w:t xml:space="preserve">Se fortalecerá la gestión de recursos técnicos y/o financieros con la cooperación internacional que permitan el apalancamiento de los programas, proyectos e iniciativas de sectores </w:t>
      </w:r>
      <w:r>
        <w:t xml:space="preserve">ambiental, seguridad, cultural, tecnológico, científico, económico y social, promoviendo a Bogotá como: a) escenario estratégico para la movilización del conocimiento y proyección internacional a través de encuentros internacionales para el diálogo, el consenso y la construcción de nuevas realidades y ciudades desde todo el espectro internacional como fuente de desarrollo; b) Bogotá se convertirá en oferente de cooperación a través de sus buenas prácticas y liderazgo; c) incidencia y liderazgo en redes de ciudades con </w:t>
      </w:r>
      <w:r w:rsidRPr="005A030A">
        <w:rPr>
          <w:spacing w:val="-6"/>
        </w:rPr>
        <w:t>participación internacional; d) creación y promoción de residencias artísticas, educativas, sociales, y su participación en diferentes mercados; e) premios y reconocimientos: a</w:t>
      </w:r>
      <w:r>
        <w:t xml:space="preserve"> través de las buenas prácticas, postulando sus programas </w:t>
      </w:r>
      <w:r>
        <w:lastRenderedPageBreak/>
        <w:t>exitosos que proyecten y posicionen al Distrito Capital en el escenario internacional.</w:t>
      </w:r>
    </w:p>
    <w:p w14:paraId="769B5AC6" w14:textId="77777777" w:rsidR="00FA4F64" w:rsidRDefault="00FA4F64" w:rsidP="00FA4F64"/>
    <w:p w14:paraId="40F66088" w14:textId="77777777" w:rsidR="00FA4F64" w:rsidRDefault="00FA4F64" w:rsidP="00FA4F64">
      <w:r>
        <w:t>Estos eventos permitirán la dinamización del ecosistema científico, económico, cultural, educativo local, generando encadenamientos productivos y de intercambio de conocimiento con todos los sectores del Distrito Capital y los aliados internacionales.</w:t>
      </w:r>
    </w:p>
    <w:p w14:paraId="46E20BF6" w14:textId="77777777" w:rsidR="00FA4F64" w:rsidRDefault="00FA4F64" w:rsidP="00FA4F64"/>
    <w:p w14:paraId="68F1ABF0" w14:textId="77777777" w:rsidR="00FA4F64" w:rsidRDefault="00FA4F64" w:rsidP="00FA4F64">
      <w:r>
        <w:t>Se creará un esquema de gobernanza que permita una gestión integrada y coherente de las relaciones internacionales, aprovechando los recursos y capacidades de la ciudad, coordinando diferentes sectores y niveles de gobierno, incorporando actores privados y de la sociedad civil y estructurando agendas y líneas de acción para potenciar la proyección internacional de Bogotá, facilitando la colaboración, la eficiencia en la toma de decisiones y la implementación de proyectos y programas de impacto nacional e internacional.</w:t>
      </w:r>
    </w:p>
    <w:p w14:paraId="1A5E12A5" w14:textId="77777777" w:rsidR="00FA4F64" w:rsidRDefault="00FA4F64" w:rsidP="00FA4F64"/>
    <w:p w14:paraId="25FE1278" w14:textId="77777777" w:rsidR="00FA4F64" w:rsidRDefault="00FA4F64" w:rsidP="00FA4F64">
      <w:r>
        <w:t xml:space="preserve">Se gestionarán recursos de Cooperación Técnica y Financiera Internacional no reembolsables que puedan ser movilizados desde la </w:t>
      </w:r>
      <w:r>
        <w:t>Administración Distrital y se promoverá el intercambio de experiencias y el posicionamiento de la ciudad como referente internacional.</w:t>
      </w:r>
    </w:p>
    <w:p w14:paraId="1F1746DC" w14:textId="77777777" w:rsidR="00FA4F64" w:rsidRDefault="00FA4F64" w:rsidP="00FA4F64"/>
    <w:p w14:paraId="5B06216A" w14:textId="77777777" w:rsidR="00FA4F64" w:rsidRDefault="00FA4F64" w:rsidP="00FA4F64">
      <w:r>
        <w:t>A través de este programa se desarrollarán cuatro líneas estratégicas de acción sobre la gestión internacional para hacer la recepción de las experiencias y recursos internacionales hacia Bogotá, consolidar, desarrollar y transferir la oferta de recursos y experiencias desde Bogotá hacia el mundo; institucionalizar el sistema de gobernanza internacional del Distrito y, finalmente, desarrollar una comunicación estratégica de la internacionalización de Bogotá.</w:t>
      </w:r>
    </w:p>
    <w:p w14:paraId="153CC1E4" w14:textId="77777777" w:rsidR="00FA4F64" w:rsidRDefault="00FA4F64" w:rsidP="00FA4F64"/>
    <w:p w14:paraId="19811975" w14:textId="0AD4A4B8" w:rsidR="00FA4F64" w:rsidRDefault="00FA4F64" w:rsidP="00FA4F64">
      <w:pPr>
        <w:sectPr w:rsidR="00FA4F64" w:rsidSect="00F7078E">
          <w:type w:val="continuous"/>
          <w:pgSz w:w="12240" w:h="15840"/>
          <w:pgMar w:top="2262" w:right="1440" w:bottom="1440" w:left="1440" w:header="708" w:footer="708" w:gutter="0"/>
          <w:cols w:num="2" w:space="720" w:equalWidth="0">
            <w:col w:w="4396" w:space="567"/>
            <w:col w:w="4396" w:space="0"/>
          </w:cols>
        </w:sectPr>
      </w:pPr>
      <w:r>
        <w:t>Finalmente, el aprendizaje de una lengua extranjera será parte del programa, además de fortalecer la calidad educativa. Se lanzará un ambicioso proyecto que combinará diferentes estrategias para llegar tanto a estudiantes como a docentes. Se promoverán mayores y mejores oportunidades comunicativas aprovechando el uso de la tecnología y de distintos medios educativos.</w:t>
      </w:r>
    </w:p>
    <w:p w14:paraId="08BA5794" w14:textId="77777777" w:rsidR="00FA4F64" w:rsidRDefault="00FA4F64" w:rsidP="00FA4F64">
      <w:pPr>
        <w:pBdr>
          <w:top w:val="nil"/>
          <w:left w:val="nil"/>
          <w:bottom w:val="nil"/>
          <w:right w:val="nil"/>
          <w:between w:val="nil"/>
        </w:pBdr>
        <w:spacing w:line="220" w:lineRule="auto"/>
        <w:jc w:val="center"/>
        <w:rPr>
          <w:b/>
          <w:color w:val="C00000"/>
          <w:sz w:val="18"/>
          <w:szCs w:val="18"/>
        </w:rPr>
      </w:pPr>
      <w:bookmarkStart w:id="350" w:name="_heading=h.1pxezwc" w:colFirst="0" w:colLast="0"/>
      <w:bookmarkEnd w:id="350"/>
    </w:p>
    <w:p w14:paraId="1806DFCE" w14:textId="1331860B" w:rsidR="00FA4F64" w:rsidRDefault="00DC2F1E" w:rsidP="00DC2F1E">
      <w:pPr>
        <w:pStyle w:val="Descripcin"/>
        <w:jc w:val="center"/>
        <w:rPr>
          <w:color w:val="3B3838"/>
          <w:sz w:val="18"/>
        </w:rPr>
      </w:pPr>
      <w:bookmarkStart w:id="351" w:name="_Toc165169953"/>
      <w:r w:rsidRPr="00DC2F1E">
        <w:rPr>
          <w:color w:val="C00000"/>
          <w:sz w:val="18"/>
        </w:rPr>
        <w:t xml:space="preserve">Tabla </w:t>
      </w:r>
      <w:r w:rsidRPr="00DC2F1E">
        <w:rPr>
          <w:color w:val="C00000"/>
          <w:sz w:val="18"/>
        </w:rPr>
        <w:fldChar w:fldCharType="begin"/>
      </w:r>
      <w:r w:rsidRPr="00DC2F1E">
        <w:rPr>
          <w:color w:val="C00000"/>
          <w:sz w:val="18"/>
        </w:rPr>
        <w:instrText xml:space="preserve"> SEQ Tabla \* ARABIC </w:instrText>
      </w:r>
      <w:r w:rsidRPr="00DC2F1E">
        <w:rPr>
          <w:color w:val="C00000"/>
          <w:sz w:val="18"/>
        </w:rPr>
        <w:fldChar w:fldCharType="separate"/>
      </w:r>
      <w:r w:rsidR="00D01651">
        <w:rPr>
          <w:noProof/>
          <w:color w:val="C00000"/>
          <w:sz w:val="18"/>
        </w:rPr>
        <w:t>43</w:t>
      </w:r>
      <w:r w:rsidRPr="00DC2F1E">
        <w:rPr>
          <w:color w:val="C00000"/>
          <w:sz w:val="18"/>
        </w:rPr>
        <w:fldChar w:fldCharType="end"/>
      </w:r>
      <w:r w:rsidRPr="00DC2F1E">
        <w:rPr>
          <w:color w:val="C00000"/>
          <w:sz w:val="18"/>
        </w:rPr>
        <w:t xml:space="preserve">. </w:t>
      </w:r>
      <w:r w:rsidR="00FA4F64" w:rsidRPr="00DC2F1E">
        <w:rPr>
          <w:color w:val="3B3838"/>
          <w:sz w:val="18"/>
        </w:rPr>
        <w:t xml:space="preserve">Metas del programa </w:t>
      </w:r>
      <w:r>
        <w:rPr>
          <w:color w:val="3B3838"/>
          <w:sz w:val="18"/>
        </w:rPr>
        <w:t xml:space="preserve">22: </w:t>
      </w:r>
      <w:r w:rsidR="00FA4F64" w:rsidRPr="00DC2F1E">
        <w:rPr>
          <w:color w:val="3B3838"/>
          <w:sz w:val="18"/>
        </w:rPr>
        <w:t>Bogotá, una ciudad de puertas abiertas al mundo</w:t>
      </w:r>
      <w:bookmarkEnd w:id="351"/>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376"/>
        <w:gridCol w:w="1199"/>
        <w:gridCol w:w="1199"/>
        <w:gridCol w:w="1157"/>
        <w:gridCol w:w="1231"/>
        <w:gridCol w:w="1198"/>
      </w:tblGrid>
      <w:tr w:rsidR="00CF201F" w:rsidRPr="00CF201F" w14:paraId="321B0A50" w14:textId="77777777" w:rsidTr="00CF201F">
        <w:trPr>
          <w:tblHeader/>
        </w:trPr>
        <w:tc>
          <w:tcPr>
            <w:tcW w:w="0" w:type="auto"/>
            <w:vMerge w:val="restart"/>
            <w:shd w:val="clear" w:color="auto" w:fill="C00000"/>
            <w:tcMar>
              <w:top w:w="30" w:type="dxa"/>
              <w:left w:w="45" w:type="dxa"/>
              <w:bottom w:w="30" w:type="dxa"/>
              <w:right w:w="45" w:type="dxa"/>
            </w:tcMar>
            <w:vAlign w:val="center"/>
            <w:hideMark/>
          </w:tcPr>
          <w:p w14:paraId="216F25C6" w14:textId="77777777" w:rsidR="00CF201F" w:rsidRPr="00CF201F" w:rsidRDefault="00CF201F" w:rsidP="00AA4BBB">
            <w:pPr>
              <w:jc w:val="center"/>
              <w:rPr>
                <w:rFonts w:cs="Arial"/>
                <w:b/>
                <w:bCs/>
                <w:color w:val="FFFFFF"/>
                <w:sz w:val="18"/>
                <w:szCs w:val="18"/>
              </w:rPr>
            </w:pPr>
            <w:r w:rsidRPr="00CF201F">
              <w:rPr>
                <w:rFonts w:cs="Arial"/>
                <w:b/>
                <w:bCs/>
                <w:color w:val="FFFFFF"/>
                <w:sz w:val="18"/>
                <w:szCs w:val="18"/>
              </w:rPr>
              <w:t>SECTOR / Metas</w:t>
            </w:r>
          </w:p>
        </w:tc>
        <w:tc>
          <w:tcPr>
            <w:tcW w:w="0" w:type="auto"/>
            <w:gridSpan w:val="5"/>
            <w:shd w:val="clear" w:color="auto" w:fill="C00000"/>
            <w:tcMar>
              <w:top w:w="30" w:type="dxa"/>
              <w:left w:w="45" w:type="dxa"/>
              <w:bottom w:w="30" w:type="dxa"/>
              <w:right w:w="45" w:type="dxa"/>
            </w:tcMar>
            <w:vAlign w:val="center"/>
            <w:hideMark/>
          </w:tcPr>
          <w:p w14:paraId="1822A7DC" w14:textId="77777777" w:rsidR="00CF201F" w:rsidRPr="00CF201F" w:rsidRDefault="00CF201F" w:rsidP="00AA4BBB">
            <w:pPr>
              <w:jc w:val="center"/>
              <w:rPr>
                <w:rFonts w:cs="Arial"/>
                <w:b/>
                <w:bCs/>
                <w:color w:val="FFFFFF"/>
                <w:sz w:val="18"/>
                <w:szCs w:val="18"/>
              </w:rPr>
            </w:pPr>
            <w:r w:rsidRPr="00CF201F">
              <w:rPr>
                <w:rFonts w:cs="Arial"/>
                <w:b/>
                <w:bCs/>
                <w:color w:val="FFFFFF"/>
                <w:sz w:val="18"/>
                <w:szCs w:val="18"/>
              </w:rPr>
              <w:t xml:space="preserve">Magnitudes e Inversión </w:t>
            </w:r>
          </w:p>
          <w:p w14:paraId="4008F13A" w14:textId="229DBB2E" w:rsidR="00CF201F" w:rsidRPr="00CF201F" w:rsidRDefault="00CF201F" w:rsidP="00AA4BBB">
            <w:pPr>
              <w:jc w:val="center"/>
              <w:rPr>
                <w:rFonts w:cs="Arial"/>
                <w:b/>
                <w:bCs/>
                <w:color w:val="FFFFFF"/>
                <w:sz w:val="18"/>
                <w:szCs w:val="18"/>
              </w:rPr>
            </w:pPr>
            <w:r w:rsidRPr="00CF201F">
              <w:rPr>
                <w:rFonts w:cs="Arial"/>
                <w:b/>
                <w:bCs/>
                <w:color w:val="FFFFFF"/>
                <w:sz w:val="18"/>
                <w:szCs w:val="18"/>
              </w:rPr>
              <w:t>(Precios Constantes 2024)</w:t>
            </w:r>
          </w:p>
        </w:tc>
      </w:tr>
      <w:tr w:rsidR="00CF201F" w:rsidRPr="00CF201F" w14:paraId="62E290E6" w14:textId="77777777" w:rsidTr="00CF201F">
        <w:trPr>
          <w:tblHeader/>
        </w:trPr>
        <w:tc>
          <w:tcPr>
            <w:tcW w:w="0" w:type="auto"/>
            <w:vMerge/>
            <w:vAlign w:val="center"/>
            <w:hideMark/>
          </w:tcPr>
          <w:p w14:paraId="52675EC0" w14:textId="77777777" w:rsidR="00CF201F" w:rsidRPr="00CF201F" w:rsidRDefault="00CF201F" w:rsidP="00AA4BBB">
            <w:pPr>
              <w:rPr>
                <w:rFonts w:cs="Arial"/>
                <w:b/>
                <w:bCs/>
                <w:color w:val="FFFFFF"/>
                <w:sz w:val="18"/>
                <w:szCs w:val="18"/>
              </w:rPr>
            </w:pPr>
          </w:p>
        </w:tc>
        <w:tc>
          <w:tcPr>
            <w:tcW w:w="0" w:type="auto"/>
            <w:shd w:val="clear" w:color="auto" w:fill="D9D9D9"/>
            <w:tcMar>
              <w:top w:w="30" w:type="dxa"/>
              <w:left w:w="45" w:type="dxa"/>
              <w:bottom w:w="30" w:type="dxa"/>
              <w:right w:w="45" w:type="dxa"/>
            </w:tcMar>
            <w:vAlign w:val="center"/>
            <w:hideMark/>
          </w:tcPr>
          <w:p w14:paraId="62AAD4B9" w14:textId="77777777" w:rsidR="00CF201F" w:rsidRPr="00CF201F" w:rsidRDefault="00CF201F" w:rsidP="00AA4BBB">
            <w:pPr>
              <w:jc w:val="center"/>
              <w:rPr>
                <w:rFonts w:cs="Arial"/>
                <w:b/>
                <w:bCs/>
                <w:sz w:val="18"/>
                <w:szCs w:val="18"/>
              </w:rPr>
            </w:pPr>
            <w:r w:rsidRPr="00CF201F">
              <w:rPr>
                <w:rFonts w:cs="Arial"/>
                <w:b/>
                <w:bCs/>
                <w:sz w:val="18"/>
                <w:szCs w:val="18"/>
              </w:rPr>
              <w:t>2024</w:t>
            </w:r>
          </w:p>
        </w:tc>
        <w:tc>
          <w:tcPr>
            <w:tcW w:w="0" w:type="auto"/>
            <w:shd w:val="clear" w:color="auto" w:fill="D9D9D9"/>
            <w:tcMar>
              <w:top w:w="30" w:type="dxa"/>
              <w:left w:w="45" w:type="dxa"/>
              <w:bottom w:w="30" w:type="dxa"/>
              <w:right w:w="45" w:type="dxa"/>
            </w:tcMar>
            <w:vAlign w:val="center"/>
            <w:hideMark/>
          </w:tcPr>
          <w:p w14:paraId="4EAFA967" w14:textId="77777777" w:rsidR="00CF201F" w:rsidRPr="00CF201F" w:rsidRDefault="00CF201F" w:rsidP="00AA4BBB">
            <w:pPr>
              <w:jc w:val="center"/>
              <w:rPr>
                <w:rFonts w:cs="Arial"/>
                <w:b/>
                <w:bCs/>
                <w:sz w:val="18"/>
                <w:szCs w:val="18"/>
              </w:rPr>
            </w:pPr>
            <w:r w:rsidRPr="00CF201F">
              <w:rPr>
                <w:rFonts w:cs="Arial"/>
                <w:b/>
                <w:bCs/>
                <w:sz w:val="18"/>
                <w:szCs w:val="18"/>
              </w:rPr>
              <w:t>2025</w:t>
            </w:r>
          </w:p>
        </w:tc>
        <w:tc>
          <w:tcPr>
            <w:tcW w:w="0" w:type="auto"/>
            <w:shd w:val="clear" w:color="auto" w:fill="D9D9D9"/>
            <w:tcMar>
              <w:top w:w="30" w:type="dxa"/>
              <w:left w:w="45" w:type="dxa"/>
              <w:bottom w:w="30" w:type="dxa"/>
              <w:right w:w="45" w:type="dxa"/>
            </w:tcMar>
            <w:vAlign w:val="center"/>
            <w:hideMark/>
          </w:tcPr>
          <w:p w14:paraId="4402B959" w14:textId="77777777" w:rsidR="00CF201F" w:rsidRPr="00CF201F" w:rsidRDefault="00CF201F" w:rsidP="00AA4BBB">
            <w:pPr>
              <w:jc w:val="center"/>
              <w:rPr>
                <w:rFonts w:cs="Arial"/>
                <w:b/>
                <w:bCs/>
                <w:sz w:val="18"/>
                <w:szCs w:val="18"/>
              </w:rPr>
            </w:pPr>
            <w:r w:rsidRPr="00CF201F">
              <w:rPr>
                <w:rFonts w:cs="Arial"/>
                <w:b/>
                <w:bCs/>
                <w:sz w:val="18"/>
                <w:szCs w:val="18"/>
              </w:rPr>
              <w:t>2026</w:t>
            </w:r>
          </w:p>
        </w:tc>
        <w:tc>
          <w:tcPr>
            <w:tcW w:w="0" w:type="auto"/>
            <w:shd w:val="clear" w:color="auto" w:fill="D9D9D9"/>
            <w:tcMar>
              <w:top w:w="30" w:type="dxa"/>
              <w:left w:w="45" w:type="dxa"/>
              <w:bottom w:w="30" w:type="dxa"/>
              <w:right w:w="45" w:type="dxa"/>
            </w:tcMar>
            <w:vAlign w:val="center"/>
            <w:hideMark/>
          </w:tcPr>
          <w:p w14:paraId="378D5882" w14:textId="77777777" w:rsidR="00CF201F" w:rsidRPr="00CF201F" w:rsidRDefault="00CF201F" w:rsidP="00AA4BBB">
            <w:pPr>
              <w:jc w:val="center"/>
              <w:rPr>
                <w:rFonts w:cs="Arial"/>
                <w:b/>
                <w:bCs/>
                <w:sz w:val="18"/>
                <w:szCs w:val="18"/>
              </w:rPr>
            </w:pPr>
            <w:r w:rsidRPr="00CF201F">
              <w:rPr>
                <w:rFonts w:cs="Arial"/>
                <w:b/>
                <w:bCs/>
                <w:sz w:val="18"/>
                <w:szCs w:val="18"/>
              </w:rPr>
              <w:t>2027</w:t>
            </w:r>
          </w:p>
        </w:tc>
        <w:tc>
          <w:tcPr>
            <w:tcW w:w="0" w:type="auto"/>
            <w:shd w:val="clear" w:color="auto" w:fill="D9D9D9"/>
            <w:tcMar>
              <w:top w:w="30" w:type="dxa"/>
              <w:left w:w="45" w:type="dxa"/>
              <w:bottom w:w="30" w:type="dxa"/>
              <w:right w:w="45" w:type="dxa"/>
            </w:tcMar>
            <w:vAlign w:val="center"/>
            <w:hideMark/>
          </w:tcPr>
          <w:p w14:paraId="4BBDF87F" w14:textId="77777777" w:rsidR="00D67AAE" w:rsidRDefault="00CF201F" w:rsidP="00D67AAE">
            <w:pPr>
              <w:jc w:val="right"/>
              <w:rPr>
                <w:rFonts w:cs="Arial"/>
                <w:b/>
                <w:bCs/>
                <w:sz w:val="18"/>
                <w:szCs w:val="18"/>
              </w:rPr>
            </w:pPr>
            <w:r w:rsidRPr="00CF201F">
              <w:rPr>
                <w:rFonts w:cs="Arial"/>
                <w:b/>
                <w:bCs/>
                <w:sz w:val="18"/>
                <w:szCs w:val="18"/>
              </w:rPr>
              <w:t>Total</w:t>
            </w:r>
          </w:p>
          <w:p w14:paraId="44895083" w14:textId="43205DDE" w:rsidR="00CF201F" w:rsidRPr="00CF201F" w:rsidRDefault="00CF201F" w:rsidP="00D67AAE">
            <w:pPr>
              <w:jc w:val="right"/>
              <w:rPr>
                <w:rFonts w:cs="Arial"/>
                <w:b/>
                <w:bCs/>
                <w:sz w:val="18"/>
                <w:szCs w:val="18"/>
              </w:rPr>
            </w:pPr>
            <w:r w:rsidRPr="00CF201F">
              <w:rPr>
                <w:rFonts w:cs="Arial"/>
                <w:b/>
                <w:bCs/>
                <w:sz w:val="18"/>
                <w:szCs w:val="18"/>
              </w:rPr>
              <w:t>Inversión</w:t>
            </w:r>
          </w:p>
        </w:tc>
      </w:tr>
      <w:tr w:rsidR="00CF201F" w:rsidRPr="00CF201F" w14:paraId="59CA6E42" w14:textId="77777777" w:rsidTr="00CF201F">
        <w:tc>
          <w:tcPr>
            <w:tcW w:w="0" w:type="auto"/>
            <w:gridSpan w:val="6"/>
            <w:shd w:val="clear" w:color="auto" w:fill="C00000"/>
            <w:tcMar>
              <w:top w:w="30" w:type="dxa"/>
              <w:left w:w="45" w:type="dxa"/>
              <w:bottom w:w="30" w:type="dxa"/>
              <w:right w:w="45" w:type="dxa"/>
            </w:tcMar>
            <w:vAlign w:val="center"/>
            <w:hideMark/>
          </w:tcPr>
          <w:p w14:paraId="28DDA332" w14:textId="1B0ED212" w:rsidR="00CF201F" w:rsidRPr="00CF201F" w:rsidRDefault="00CF201F" w:rsidP="00CF201F">
            <w:pPr>
              <w:jc w:val="center"/>
              <w:rPr>
                <w:rFonts w:cs="Arial"/>
                <w:b/>
                <w:bCs/>
                <w:color w:val="FFFFFF" w:themeColor="background1"/>
                <w:sz w:val="18"/>
                <w:szCs w:val="18"/>
              </w:rPr>
            </w:pPr>
            <w:r w:rsidRPr="00CF201F">
              <w:rPr>
                <w:rFonts w:cs="Arial"/>
                <w:b/>
                <w:bCs/>
                <w:color w:val="FFFFFF" w:themeColor="background1"/>
                <w:sz w:val="18"/>
                <w:szCs w:val="18"/>
              </w:rPr>
              <w:t>Cultura Recreación Y Deporte</w:t>
            </w:r>
          </w:p>
        </w:tc>
      </w:tr>
      <w:tr w:rsidR="00CF201F" w:rsidRPr="00CF201F" w14:paraId="416D0818" w14:textId="77777777" w:rsidTr="00CF201F">
        <w:tc>
          <w:tcPr>
            <w:tcW w:w="0" w:type="auto"/>
            <w:vMerge w:val="restart"/>
            <w:tcMar>
              <w:top w:w="30" w:type="dxa"/>
              <w:left w:w="45" w:type="dxa"/>
              <w:bottom w:w="30" w:type="dxa"/>
              <w:right w:w="45" w:type="dxa"/>
            </w:tcMar>
            <w:vAlign w:val="center"/>
            <w:hideMark/>
          </w:tcPr>
          <w:p w14:paraId="45F4C38D" w14:textId="77777777" w:rsidR="00CF201F" w:rsidRPr="00CF201F" w:rsidRDefault="00CF201F" w:rsidP="00AA4BBB">
            <w:pPr>
              <w:rPr>
                <w:rFonts w:cs="Arial"/>
                <w:sz w:val="18"/>
                <w:szCs w:val="18"/>
              </w:rPr>
            </w:pPr>
            <w:r w:rsidRPr="00CF201F">
              <w:rPr>
                <w:rFonts w:cs="Arial"/>
                <w:sz w:val="18"/>
                <w:szCs w:val="18"/>
              </w:rPr>
              <w:t>Propiciar 76 espacios estratégicos de carácter internacional a nivel bilateral y multilateral que promuevan la cooperación internacional y la internacionalización del sector cultura recreación y deporte; tales como eventos e hitos de ciudad redes de ciudades plataformas mercados y encuentros entre otros que proyecten a Bogotá en el hemisferio como una capital global atractiva y sostenible.</w:t>
            </w:r>
          </w:p>
        </w:tc>
        <w:tc>
          <w:tcPr>
            <w:tcW w:w="0" w:type="auto"/>
            <w:tcMar>
              <w:top w:w="30" w:type="dxa"/>
              <w:left w:w="45" w:type="dxa"/>
              <w:bottom w:w="30" w:type="dxa"/>
              <w:right w:w="45" w:type="dxa"/>
            </w:tcMar>
            <w:vAlign w:val="center"/>
            <w:hideMark/>
          </w:tcPr>
          <w:p w14:paraId="59FECF70" w14:textId="77777777" w:rsidR="00CF201F" w:rsidRPr="00CF201F" w:rsidRDefault="00CF201F" w:rsidP="00AA4BBB">
            <w:pPr>
              <w:jc w:val="center"/>
              <w:rPr>
                <w:rFonts w:cs="Arial"/>
                <w:sz w:val="18"/>
                <w:szCs w:val="18"/>
              </w:rPr>
            </w:pPr>
            <w:r w:rsidRPr="00CF201F">
              <w:rPr>
                <w:rFonts w:cs="Arial"/>
                <w:sz w:val="18"/>
                <w:szCs w:val="18"/>
              </w:rPr>
              <w:t>7</w:t>
            </w:r>
          </w:p>
        </w:tc>
        <w:tc>
          <w:tcPr>
            <w:tcW w:w="0" w:type="auto"/>
            <w:tcMar>
              <w:top w:w="30" w:type="dxa"/>
              <w:left w:w="45" w:type="dxa"/>
              <w:bottom w:w="30" w:type="dxa"/>
              <w:right w:w="45" w:type="dxa"/>
            </w:tcMar>
            <w:vAlign w:val="center"/>
            <w:hideMark/>
          </w:tcPr>
          <w:p w14:paraId="1F68E603" w14:textId="77777777" w:rsidR="00CF201F" w:rsidRPr="00CF201F" w:rsidRDefault="00CF201F" w:rsidP="00AA4BBB">
            <w:pPr>
              <w:jc w:val="center"/>
              <w:rPr>
                <w:rFonts w:cs="Arial"/>
                <w:sz w:val="18"/>
                <w:szCs w:val="18"/>
              </w:rPr>
            </w:pPr>
            <w:r w:rsidRPr="00CF201F">
              <w:rPr>
                <w:rFonts w:cs="Arial"/>
                <w:sz w:val="18"/>
                <w:szCs w:val="18"/>
              </w:rPr>
              <w:t>22</w:t>
            </w:r>
          </w:p>
        </w:tc>
        <w:tc>
          <w:tcPr>
            <w:tcW w:w="0" w:type="auto"/>
            <w:tcMar>
              <w:top w:w="30" w:type="dxa"/>
              <w:left w:w="45" w:type="dxa"/>
              <w:bottom w:w="30" w:type="dxa"/>
              <w:right w:w="45" w:type="dxa"/>
            </w:tcMar>
            <w:vAlign w:val="center"/>
            <w:hideMark/>
          </w:tcPr>
          <w:p w14:paraId="164CD144" w14:textId="77777777" w:rsidR="00CF201F" w:rsidRPr="00CF201F" w:rsidRDefault="00CF201F" w:rsidP="00AA4BBB">
            <w:pPr>
              <w:jc w:val="center"/>
              <w:rPr>
                <w:rFonts w:cs="Arial"/>
                <w:sz w:val="18"/>
                <w:szCs w:val="18"/>
              </w:rPr>
            </w:pPr>
            <w:r w:rsidRPr="00CF201F">
              <w:rPr>
                <w:rFonts w:cs="Arial"/>
                <w:sz w:val="18"/>
                <w:szCs w:val="18"/>
              </w:rPr>
              <w:t>23</w:t>
            </w:r>
          </w:p>
        </w:tc>
        <w:tc>
          <w:tcPr>
            <w:tcW w:w="0" w:type="auto"/>
            <w:tcMar>
              <w:top w:w="30" w:type="dxa"/>
              <w:left w:w="45" w:type="dxa"/>
              <w:bottom w:w="30" w:type="dxa"/>
              <w:right w:w="45" w:type="dxa"/>
            </w:tcMar>
            <w:vAlign w:val="center"/>
            <w:hideMark/>
          </w:tcPr>
          <w:p w14:paraId="1C04DED1" w14:textId="77777777" w:rsidR="00CF201F" w:rsidRPr="00CF201F" w:rsidRDefault="00CF201F" w:rsidP="00AA4BBB">
            <w:pPr>
              <w:jc w:val="center"/>
              <w:rPr>
                <w:rFonts w:cs="Arial"/>
                <w:sz w:val="18"/>
                <w:szCs w:val="18"/>
              </w:rPr>
            </w:pPr>
            <w:r w:rsidRPr="00CF201F">
              <w:rPr>
                <w:rFonts w:cs="Arial"/>
                <w:sz w:val="18"/>
                <w:szCs w:val="18"/>
              </w:rPr>
              <w:t>24</w:t>
            </w:r>
          </w:p>
        </w:tc>
        <w:tc>
          <w:tcPr>
            <w:tcW w:w="0" w:type="auto"/>
            <w:vMerge w:val="restart"/>
            <w:tcMar>
              <w:top w:w="30" w:type="dxa"/>
              <w:left w:w="45" w:type="dxa"/>
              <w:bottom w:w="30" w:type="dxa"/>
              <w:right w:w="45" w:type="dxa"/>
            </w:tcMar>
            <w:vAlign w:val="center"/>
            <w:hideMark/>
          </w:tcPr>
          <w:p w14:paraId="01E4CBD9" w14:textId="77777777" w:rsidR="00CF201F" w:rsidRPr="00CF201F" w:rsidRDefault="00CF201F" w:rsidP="00AA4BBB">
            <w:pPr>
              <w:jc w:val="center"/>
              <w:rPr>
                <w:rFonts w:cs="Arial"/>
                <w:b/>
                <w:bCs/>
                <w:sz w:val="18"/>
                <w:szCs w:val="18"/>
              </w:rPr>
            </w:pPr>
            <w:r w:rsidRPr="00CF201F">
              <w:rPr>
                <w:rFonts w:cs="Arial"/>
                <w:b/>
                <w:bCs/>
                <w:sz w:val="18"/>
                <w:szCs w:val="18"/>
              </w:rPr>
              <w:t>57.940.678.913</w:t>
            </w:r>
          </w:p>
        </w:tc>
      </w:tr>
      <w:tr w:rsidR="00CF201F" w:rsidRPr="00CF201F" w14:paraId="270B62F1" w14:textId="77777777" w:rsidTr="00CF201F">
        <w:tc>
          <w:tcPr>
            <w:tcW w:w="0" w:type="auto"/>
            <w:vMerge/>
            <w:vAlign w:val="center"/>
            <w:hideMark/>
          </w:tcPr>
          <w:p w14:paraId="0EDC4668" w14:textId="77777777" w:rsidR="00CF201F" w:rsidRPr="00CF201F" w:rsidRDefault="00CF201F" w:rsidP="00AA4BBB">
            <w:pPr>
              <w:rPr>
                <w:rFonts w:cs="Arial"/>
                <w:sz w:val="18"/>
                <w:szCs w:val="18"/>
              </w:rPr>
            </w:pPr>
          </w:p>
        </w:tc>
        <w:tc>
          <w:tcPr>
            <w:tcW w:w="0" w:type="auto"/>
            <w:tcMar>
              <w:top w:w="30" w:type="dxa"/>
              <w:left w:w="45" w:type="dxa"/>
              <w:bottom w:w="30" w:type="dxa"/>
              <w:right w:w="45" w:type="dxa"/>
            </w:tcMar>
            <w:vAlign w:val="center"/>
            <w:hideMark/>
          </w:tcPr>
          <w:p w14:paraId="3385CB6A" w14:textId="77777777" w:rsidR="00CF201F" w:rsidRPr="00CF201F" w:rsidRDefault="00CF201F" w:rsidP="00AA4BBB">
            <w:pPr>
              <w:jc w:val="center"/>
              <w:rPr>
                <w:rFonts w:cs="Arial"/>
                <w:sz w:val="18"/>
                <w:szCs w:val="18"/>
              </w:rPr>
            </w:pPr>
            <w:r w:rsidRPr="00CF201F">
              <w:rPr>
                <w:rFonts w:cs="Arial"/>
                <w:sz w:val="18"/>
                <w:szCs w:val="18"/>
              </w:rPr>
              <w:t>4.076.000.000</w:t>
            </w:r>
          </w:p>
        </w:tc>
        <w:tc>
          <w:tcPr>
            <w:tcW w:w="0" w:type="auto"/>
            <w:tcMar>
              <w:top w:w="30" w:type="dxa"/>
              <w:left w:w="45" w:type="dxa"/>
              <w:bottom w:w="30" w:type="dxa"/>
              <w:right w:w="45" w:type="dxa"/>
            </w:tcMar>
            <w:vAlign w:val="center"/>
            <w:hideMark/>
          </w:tcPr>
          <w:p w14:paraId="2ED96DDC" w14:textId="77777777" w:rsidR="00CF201F" w:rsidRPr="00CF201F" w:rsidRDefault="00CF201F" w:rsidP="00AA4BBB">
            <w:pPr>
              <w:jc w:val="center"/>
              <w:rPr>
                <w:rFonts w:cs="Arial"/>
                <w:sz w:val="18"/>
                <w:szCs w:val="18"/>
              </w:rPr>
            </w:pPr>
            <w:r w:rsidRPr="00CF201F">
              <w:rPr>
                <w:rFonts w:cs="Arial"/>
                <w:sz w:val="18"/>
                <w:szCs w:val="18"/>
              </w:rPr>
              <w:t>17.890.327.857</w:t>
            </w:r>
          </w:p>
        </w:tc>
        <w:tc>
          <w:tcPr>
            <w:tcW w:w="0" w:type="auto"/>
            <w:tcMar>
              <w:top w:w="30" w:type="dxa"/>
              <w:left w:w="45" w:type="dxa"/>
              <w:bottom w:w="30" w:type="dxa"/>
              <w:right w:w="45" w:type="dxa"/>
            </w:tcMar>
            <w:vAlign w:val="center"/>
            <w:hideMark/>
          </w:tcPr>
          <w:p w14:paraId="66586E48" w14:textId="77777777" w:rsidR="00CF201F" w:rsidRPr="00CF201F" w:rsidRDefault="00CF201F" w:rsidP="00AA4BBB">
            <w:pPr>
              <w:jc w:val="center"/>
              <w:rPr>
                <w:rFonts w:cs="Arial"/>
                <w:sz w:val="18"/>
                <w:szCs w:val="18"/>
              </w:rPr>
            </w:pPr>
            <w:r w:rsidRPr="00CF201F">
              <w:rPr>
                <w:rFonts w:cs="Arial"/>
                <w:sz w:val="18"/>
                <w:szCs w:val="18"/>
              </w:rPr>
              <w:t>15.719.150.394</w:t>
            </w:r>
          </w:p>
        </w:tc>
        <w:tc>
          <w:tcPr>
            <w:tcW w:w="0" w:type="auto"/>
            <w:tcMar>
              <w:top w:w="30" w:type="dxa"/>
              <w:left w:w="45" w:type="dxa"/>
              <w:bottom w:w="30" w:type="dxa"/>
              <w:right w:w="45" w:type="dxa"/>
            </w:tcMar>
            <w:vAlign w:val="center"/>
            <w:hideMark/>
          </w:tcPr>
          <w:p w14:paraId="698BA66E" w14:textId="77777777" w:rsidR="00CF201F" w:rsidRPr="00CF201F" w:rsidRDefault="00CF201F" w:rsidP="00AA4BBB">
            <w:pPr>
              <w:jc w:val="center"/>
              <w:rPr>
                <w:rFonts w:cs="Arial"/>
                <w:sz w:val="18"/>
                <w:szCs w:val="18"/>
              </w:rPr>
            </w:pPr>
            <w:r w:rsidRPr="00CF201F">
              <w:rPr>
                <w:rFonts w:cs="Arial"/>
                <w:sz w:val="18"/>
                <w:szCs w:val="18"/>
              </w:rPr>
              <w:t>20.255.200.662</w:t>
            </w:r>
          </w:p>
        </w:tc>
        <w:tc>
          <w:tcPr>
            <w:tcW w:w="0" w:type="auto"/>
            <w:vMerge/>
            <w:vAlign w:val="center"/>
            <w:hideMark/>
          </w:tcPr>
          <w:p w14:paraId="2D7CC7D8" w14:textId="77777777" w:rsidR="00CF201F" w:rsidRPr="00CF201F" w:rsidRDefault="00CF201F" w:rsidP="00AA4BBB">
            <w:pPr>
              <w:rPr>
                <w:rFonts w:cs="Arial"/>
                <w:b/>
                <w:bCs/>
                <w:sz w:val="18"/>
                <w:szCs w:val="18"/>
              </w:rPr>
            </w:pPr>
          </w:p>
        </w:tc>
      </w:tr>
      <w:tr w:rsidR="00CF201F" w:rsidRPr="00CF201F" w14:paraId="69EE4822" w14:textId="77777777" w:rsidTr="00CF201F">
        <w:tc>
          <w:tcPr>
            <w:tcW w:w="0" w:type="auto"/>
            <w:gridSpan w:val="6"/>
            <w:shd w:val="clear" w:color="auto" w:fill="C00000"/>
            <w:tcMar>
              <w:top w:w="30" w:type="dxa"/>
              <w:left w:w="45" w:type="dxa"/>
              <w:bottom w:w="30" w:type="dxa"/>
              <w:right w:w="45" w:type="dxa"/>
            </w:tcMar>
            <w:vAlign w:val="center"/>
            <w:hideMark/>
          </w:tcPr>
          <w:p w14:paraId="7ADF773D" w14:textId="637B79E3" w:rsidR="00CF201F" w:rsidRPr="00CF201F" w:rsidRDefault="00CF201F" w:rsidP="00CF201F">
            <w:pPr>
              <w:jc w:val="center"/>
              <w:rPr>
                <w:rFonts w:cs="Arial"/>
                <w:b/>
                <w:bCs/>
                <w:color w:val="FFFFFF" w:themeColor="background1"/>
                <w:sz w:val="18"/>
                <w:szCs w:val="18"/>
              </w:rPr>
            </w:pPr>
            <w:r w:rsidRPr="00CF201F">
              <w:rPr>
                <w:rFonts w:cs="Arial"/>
                <w:b/>
                <w:bCs/>
                <w:color w:val="FFFFFF" w:themeColor="background1"/>
                <w:sz w:val="18"/>
                <w:szCs w:val="18"/>
              </w:rPr>
              <w:t>Educación</w:t>
            </w:r>
          </w:p>
        </w:tc>
      </w:tr>
      <w:tr w:rsidR="00CF201F" w:rsidRPr="00CF201F" w14:paraId="46D15D3B" w14:textId="77777777" w:rsidTr="00CF201F">
        <w:tc>
          <w:tcPr>
            <w:tcW w:w="0" w:type="auto"/>
            <w:vMerge w:val="restart"/>
            <w:tcMar>
              <w:top w:w="30" w:type="dxa"/>
              <w:left w:w="45" w:type="dxa"/>
              <w:bottom w:w="30" w:type="dxa"/>
              <w:right w:w="45" w:type="dxa"/>
            </w:tcMar>
            <w:vAlign w:val="center"/>
            <w:hideMark/>
          </w:tcPr>
          <w:p w14:paraId="75522C9F" w14:textId="77777777" w:rsidR="00CF201F" w:rsidRPr="00CF201F" w:rsidRDefault="00CF201F" w:rsidP="00AA4BBB">
            <w:pPr>
              <w:rPr>
                <w:rFonts w:cs="Arial"/>
                <w:sz w:val="18"/>
                <w:szCs w:val="18"/>
              </w:rPr>
            </w:pPr>
            <w:r w:rsidRPr="00CF201F">
              <w:rPr>
                <w:rFonts w:cs="Arial"/>
                <w:sz w:val="18"/>
                <w:szCs w:val="18"/>
              </w:rPr>
              <w:lastRenderedPageBreak/>
              <w:t>Aumentar al 35% las y los estudiantes de colegios oficiales que se ubican en el nivel B1 o superior de inglés en las pruebas Saber 11.</w:t>
            </w:r>
          </w:p>
        </w:tc>
        <w:tc>
          <w:tcPr>
            <w:tcW w:w="0" w:type="auto"/>
            <w:tcMar>
              <w:top w:w="30" w:type="dxa"/>
              <w:left w:w="45" w:type="dxa"/>
              <w:bottom w:w="30" w:type="dxa"/>
              <w:right w:w="45" w:type="dxa"/>
            </w:tcMar>
            <w:vAlign w:val="center"/>
            <w:hideMark/>
          </w:tcPr>
          <w:p w14:paraId="6C86BBA8" w14:textId="77777777" w:rsidR="00CF201F" w:rsidRPr="00CF201F" w:rsidRDefault="00CF201F" w:rsidP="00AA4BBB">
            <w:pPr>
              <w:jc w:val="center"/>
              <w:rPr>
                <w:rFonts w:cs="Arial"/>
                <w:sz w:val="18"/>
                <w:szCs w:val="18"/>
              </w:rPr>
            </w:pPr>
            <w:r w:rsidRPr="00CF201F">
              <w:rPr>
                <w:rFonts w:cs="Arial"/>
                <w:sz w:val="18"/>
                <w:szCs w:val="18"/>
              </w:rPr>
              <w:t>10,00%</w:t>
            </w:r>
          </w:p>
        </w:tc>
        <w:tc>
          <w:tcPr>
            <w:tcW w:w="0" w:type="auto"/>
            <w:tcMar>
              <w:top w:w="30" w:type="dxa"/>
              <w:left w:w="45" w:type="dxa"/>
              <w:bottom w:w="30" w:type="dxa"/>
              <w:right w:w="45" w:type="dxa"/>
            </w:tcMar>
            <w:vAlign w:val="center"/>
            <w:hideMark/>
          </w:tcPr>
          <w:p w14:paraId="07DA0B74" w14:textId="77777777" w:rsidR="00CF201F" w:rsidRPr="00CF201F" w:rsidRDefault="00CF201F" w:rsidP="00AA4BBB">
            <w:pPr>
              <w:jc w:val="center"/>
              <w:rPr>
                <w:rFonts w:cs="Arial"/>
                <w:sz w:val="18"/>
                <w:szCs w:val="18"/>
              </w:rPr>
            </w:pPr>
            <w:r w:rsidRPr="00CF201F">
              <w:rPr>
                <w:rFonts w:cs="Arial"/>
                <w:sz w:val="18"/>
                <w:szCs w:val="18"/>
              </w:rPr>
              <w:t>13,00%</w:t>
            </w:r>
          </w:p>
        </w:tc>
        <w:tc>
          <w:tcPr>
            <w:tcW w:w="0" w:type="auto"/>
            <w:tcMar>
              <w:top w:w="30" w:type="dxa"/>
              <w:left w:w="45" w:type="dxa"/>
              <w:bottom w:w="30" w:type="dxa"/>
              <w:right w:w="45" w:type="dxa"/>
            </w:tcMar>
            <w:vAlign w:val="center"/>
            <w:hideMark/>
          </w:tcPr>
          <w:p w14:paraId="52F61883" w14:textId="77777777" w:rsidR="00CF201F" w:rsidRPr="00CF201F" w:rsidRDefault="00CF201F" w:rsidP="00AA4BBB">
            <w:pPr>
              <w:jc w:val="center"/>
              <w:rPr>
                <w:rFonts w:cs="Arial"/>
                <w:sz w:val="18"/>
                <w:szCs w:val="18"/>
              </w:rPr>
            </w:pPr>
            <w:r w:rsidRPr="00CF201F">
              <w:rPr>
                <w:rFonts w:cs="Arial"/>
                <w:sz w:val="18"/>
                <w:szCs w:val="18"/>
              </w:rPr>
              <w:t>20,00%</w:t>
            </w:r>
          </w:p>
        </w:tc>
        <w:tc>
          <w:tcPr>
            <w:tcW w:w="0" w:type="auto"/>
            <w:tcMar>
              <w:top w:w="30" w:type="dxa"/>
              <w:left w:w="45" w:type="dxa"/>
              <w:bottom w:w="30" w:type="dxa"/>
              <w:right w:w="45" w:type="dxa"/>
            </w:tcMar>
            <w:vAlign w:val="center"/>
            <w:hideMark/>
          </w:tcPr>
          <w:p w14:paraId="46173C58" w14:textId="77777777" w:rsidR="00CF201F" w:rsidRPr="00CF201F" w:rsidRDefault="00CF201F" w:rsidP="00AA4BBB">
            <w:pPr>
              <w:jc w:val="center"/>
              <w:rPr>
                <w:rFonts w:cs="Arial"/>
                <w:sz w:val="18"/>
                <w:szCs w:val="18"/>
              </w:rPr>
            </w:pPr>
            <w:r w:rsidRPr="00CF201F">
              <w:rPr>
                <w:rFonts w:cs="Arial"/>
                <w:sz w:val="18"/>
                <w:szCs w:val="18"/>
              </w:rPr>
              <w:t>35,00%</w:t>
            </w:r>
          </w:p>
        </w:tc>
        <w:tc>
          <w:tcPr>
            <w:tcW w:w="0" w:type="auto"/>
            <w:vMerge w:val="restart"/>
            <w:tcMar>
              <w:top w:w="30" w:type="dxa"/>
              <w:left w:w="45" w:type="dxa"/>
              <w:bottom w:w="30" w:type="dxa"/>
              <w:right w:w="45" w:type="dxa"/>
            </w:tcMar>
            <w:vAlign w:val="center"/>
            <w:hideMark/>
          </w:tcPr>
          <w:p w14:paraId="0472E53F" w14:textId="77777777" w:rsidR="00CF201F" w:rsidRPr="00CF201F" w:rsidRDefault="00CF201F" w:rsidP="00AA4BBB">
            <w:pPr>
              <w:jc w:val="center"/>
              <w:rPr>
                <w:rFonts w:cs="Arial"/>
                <w:b/>
                <w:bCs/>
                <w:sz w:val="18"/>
                <w:szCs w:val="18"/>
              </w:rPr>
            </w:pPr>
            <w:r w:rsidRPr="00CF201F">
              <w:rPr>
                <w:rFonts w:cs="Arial"/>
                <w:b/>
                <w:bCs/>
                <w:sz w:val="18"/>
                <w:szCs w:val="18"/>
              </w:rPr>
              <w:t>35.213.034.914</w:t>
            </w:r>
          </w:p>
        </w:tc>
      </w:tr>
      <w:tr w:rsidR="00CF201F" w:rsidRPr="00CF201F" w14:paraId="1F64ADE9" w14:textId="77777777" w:rsidTr="00CF201F">
        <w:tc>
          <w:tcPr>
            <w:tcW w:w="0" w:type="auto"/>
            <w:vMerge/>
            <w:vAlign w:val="center"/>
            <w:hideMark/>
          </w:tcPr>
          <w:p w14:paraId="68F274E0" w14:textId="77777777" w:rsidR="00CF201F" w:rsidRPr="00CF201F" w:rsidRDefault="00CF201F" w:rsidP="00AA4BBB">
            <w:pPr>
              <w:rPr>
                <w:rFonts w:cs="Arial"/>
                <w:sz w:val="18"/>
                <w:szCs w:val="18"/>
              </w:rPr>
            </w:pPr>
          </w:p>
        </w:tc>
        <w:tc>
          <w:tcPr>
            <w:tcW w:w="0" w:type="auto"/>
            <w:tcMar>
              <w:top w:w="30" w:type="dxa"/>
              <w:left w:w="45" w:type="dxa"/>
              <w:bottom w:w="30" w:type="dxa"/>
              <w:right w:w="45" w:type="dxa"/>
            </w:tcMar>
            <w:vAlign w:val="center"/>
            <w:hideMark/>
          </w:tcPr>
          <w:p w14:paraId="387AAA6A" w14:textId="77777777" w:rsidR="00CF201F" w:rsidRPr="00CF201F" w:rsidRDefault="00CF201F" w:rsidP="00AA4BBB">
            <w:pPr>
              <w:jc w:val="center"/>
              <w:rPr>
                <w:rFonts w:cs="Arial"/>
                <w:sz w:val="18"/>
                <w:szCs w:val="18"/>
              </w:rPr>
            </w:pPr>
            <w:r w:rsidRPr="00CF201F">
              <w:rPr>
                <w:rFonts w:cs="Arial"/>
                <w:sz w:val="18"/>
                <w:szCs w:val="18"/>
              </w:rPr>
              <w:t>5.672.915.366</w:t>
            </w:r>
          </w:p>
        </w:tc>
        <w:tc>
          <w:tcPr>
            <w:tcW w:w="0" w:type="auto"/>
            <w:tcMar>
              <w:top w:w="30" w:type="dxa"/>
              <w:left w:w="45" w:type="dxa"/>
              <w:bottom w:w="30" w:type="dxa"/>
              <w:right w:w="45" w:type="dxa"/>
            </w:tcMar>
            <w:vAlign w:val="center"/>
            <w:hideMark/>
          </w:tcPr>
          <w:p w14:paraId="54E873B5" w14:textId="77777777" w:rsidR="00CF201F" w:rsidRPr="00CF201F" w:rsidRDefault="00CF201F" w:rsidP="00AA4BBB">
            <w:pPr>
              <w:jc w:val="center"/>
              <w:rPr>
                <w:rFonts w:cs="Arial"/>
                <w:sz w:val="18"/>
                <w:szCs w:val="18"/>
              </w:rPr>
            </w:pPr>
            <w:r w:rsidRPr="00CF201F">
              <w:rPr>
                <w:rFonts w:cs="Arial"/>
                <w:sz w:val="18"/>
                <w:szCs w:val="18"/>
              </w:rPr>
              <w:t>10.351.992.667</w:t>
            </w:r>
          </w:p>
        </w:tc>
        <w:tc>
          <w:tcPr>
            <w:tcW w:w="0" w:type="auto"/>
            <w:tcMar>
              <w:top w:w="30" w:type="dxa"/>
              <w:left w:w="45" w:type="dxa"/>
              <w:bottom w:w="30" w:type="dxa"/>
              <w:right w:w="45" w:type="dxa"/>
            </w:tcMar>
            <w:vAlign w:val="center"/>
            <w:hideMark/>
          </w:tcPr>
          <w:p w14:paraId="74ABC05E" w14:textId="77777777" w:rsidR="00CF201F" w:rsidRPr="00CF201F" w:rsidRDefault="00CF201F" w:rsidP="00AA4BBB">
            <w:pPr>
              <w:jc w:val="center"/>
              <w:rPr>
                <w:rFonts w:cs="Arial"/>
                <w:sz w:val="18"/>
                <w:szCs w:val="18"/>
              </w:rPr>
            </w:pPr>
            <w:r w:rsidRPr="00CF201F">
              <w:rPr>
                <w:rFonts w:cs="Arial"/>
                <w:sz w:val="18"/>
                <w:szCs w:val="18"/>
              </w:rPr>
              <w:t>9.720.831.612</w:t>
            </w:r>
          </w:p>
        </w:tc>
        <w:tc>
          <w:tcPr>
            <w:tcW w:w="0" w:type="auto"/>
            <w:tcMar>
              <w:top w:w="30" w:type="dxa"/>
              <w:left w:w="45" w:type="dxa"/>
              <w:bottom w:w="30" w:type="dxa"/>
              <w:right w:w="45" w:type="dxa"/>
            </w:tcMar>
            <w:vAlign w:val="center"/>
            <w:hideMark/>
          </w:tcPr>
          <w:p w14:paraId="7BFFB946" w14:textId="77777777" w:rsidR="00CF201F" w:rsidRPr="00CF201F" w:rsidRDefault="00CF201F" w:rsidP="00AA4BBB">
            <w:pPr>
              <w:jc w:val="center"/>
              <w:rPr>
                <w:rFonts w:cs="Arial"/>
                <w:sz w:val="18"/>
                <w:szCs w:val="18"/>
              </w:rPr>
            </w:pPr>
            <w:r w:rsidRPr="00CF201F">
              <w:rPr>
                <w:rFonts w:cs="Arial"/>
                <w:sz w:val="18"/>
                <w:szCs w:val="18"/>
              </w:rPr>
              <w:t>9.467.295.270</w:t>
            </w:r>
          </w:p>
        </w:tc>
        <w:tc>
          <w:tcPr>
            <w:tcW w:w="0" w:type="auto"/>
            <w:vMerge/>
            <w:vAlign w:val="center"/>
            <w:hideMark/>
          </w:tcPr>
          <w:p w14:paraId="1C73BE9F" w14:textId="77777777" w:rsidR="00CF201F" w:rsidRPr="00CF201F" w:rsidRDefault="00CF201F" w:rsidP="00AA4BBB">
            <w:pPr>
              <w:rPr>
                <w:rFonts w:cs="Arial"/>
                <w:b/>
                <w:bCs/>
                <w:sz w:val="18"/>
                <w:szCs w:val="18"/>
              </w:rPr>
            </w:pPr>
          </w:p>
        </w:tc>
      </w:tr>
      <w:tr w:rsidR="00CF201F" w:rsidRPr="00CF201F" w14:paraId="197CD31A" w14:textId="77777777" w:rsidTr="00CF201F">
        <w:tc>
          <w:tcPr>
            <w:tcW w:w="0" w:type="auto"/>
            <w:gridSpan w:val="6"/>
            <w:shd w:val="clear" w:color="auto" w:fill="C00000"/>
            <w:tcMar>
              <w:top w:w="30" w:type="dxa"/>
              <w:left w:w="45" w:type="dxa"/>
              <w:bottom w:w="30" w:type="dxa"/>
              <w:right w:w="45" w:type="dxa"/>
            </w:tcMar>
            <w:vAlign w:val="center"/>
            <w:hideMark/>
          </w:tcPr>
          <w:p w14:paraId="74707671" w14:textId="00D7C9C6" w:rsidR="00CF201F" w:rsidRPr="00CF201F" w:rsidRDefault="00CF201F" w:rsidP="00CF201F">
            <w:pPr>
              <w:jc w:val="center"/>
              <w:rPr>
                <w:rFonts w:cs="Arial"/>
                <w:b/>
                <w:bCs/>
                <w:color w:val="FFFFFF" w:themeColor="background1"/>
                <w:sz w:val="18"/>
                <w:szCs w:val="18"/>
              </w:rPr>
            </w:pPr>
            <w:r w:rsidRPr="00CF201F">
              <w:rPr>
                <w:rFonts w:cs="Arial"/>
                <w:b/>
                <w:bCs/>
                <w:color w:val="FFFFFF" w:themeColor="background1"/>
                <w:sz w:val="18"/>
                <w:szCs w:val="18"/>
              </w:rPr>
              <w:t>Gestión Pública</w:t>
            </w:r>
          </w:p>
        </w:tc>
      </w:tr>
      <w:tr w:rsidR="00CF201F" w:rsidRPr="00CF201F" w14:paraId="49723CFD" w14:textId="77777777" w:rsidTr="00CF201F">
        <w:tc>
          <w:tcPr>
            <w:tcW w:w="0" w:type="auto"/>
            <w:vMerge w:val="restart"/>
            <w:tcMar>
              <w:top w:w="30" w:type="dxa"/>
              <w:left w:w="45" w:type="dxa"/>
              <w:bottom w:w="30" w:type="dxa"/>
              <w:right w:w="45" w:type="dxa"/>
            </w:tcMar>
            <w:vAlign w:val="center"/>
            <w:hideMark/>
          </w:tcPr>
          <w:p w14:paraId="64BB3E45" w14:textId="77777777" w:rsidR="00CF201F" w:rsidRPr="00CF201F" w:rsidRDefault="00CF201F" w:rsidP="00AA4BBB">
            <w:pPr>
              <w:rPr>
                <w:rFonts w:cs="Arial"/>
                <w:sz w:val="18"/>
                <w:szCs w:val="18"/>
              </w:rPr>
            </w:pPr>
            <w:r w:rsidRPr="00CF201F">
              <w:rPr>
                <w:rFonts w:cs="Arial"/>
                <w:sz w:val="18"/>
                <w:szCs w:val="18"/>
              </w:rPr>
              <w:t>Implementar 1 Esquema de Gobernanza Internacional en el Distrito</w:t>
            </w:r>
          </w:p>
        </w:tc>
        <w:tc>
          <w:tcPr>
            <w:tcW w:w="0" w:type="auto"/>
            <w:tcMar>
              <w:top w:w="30" w:type="dxa"/>
              <w:left w:w="45" w:type="dxa"/>
              <w:bottom w:w="30" w:type="dxa"/>
              <w:right w:w="45" w:type="dxa"/>
            </w:tcMar>
            <w:vAlign w:val="center"/>
            <w:hideMark/>
          </w:tcPr>
          <w:p w14:paraId="7E50D53F" w14:textId="77777777" w:rsidR="00CF201F" w:rsidRPr="00CF201F" w:rsidRDefault="00CF201F" w:rsidP="00AA4BBB">
            <w:pPr>
              <w:jc w:val="center"/>
              <w:rPr>
                <w:rFonts w:cs="Arial"/>
                <w:sz w:val="18"/>
                <w:szCs w:val="18"/>
              </w:rPr>
            </w:pPr>
            <w:r w:rsidRPr="00CF201F">
              <w:rPr>
                <w:rFonts w:cs="Arial"/>
                <w:sz w:val="18"/>
                <w:szCs w:val="18"/>
              </w:rPr>
              <w:t>1</w:t>
            </w:r>
          </w:p>
        </w:tc>
        <w:tc>
          <w:tcPr>
            <w:tcW w:w="0" w:type="auto"/>
            <w:tcMar>
              <w:top w:w="30" w:type="dxa"/>
              <w:left w:w="45" w:type="dxa"/>
              <w:bottom w:w="30" w:type="dxa"/>
              <w:right w:w="45" w:type="dxa"/>
            </w:tcMar>
            <w:vAlign w:val="center"/>
            <w:hideMark/>
          </w:tcPr>
          <w:p w14:paraId="7E11DF93" w14:textId="77777777" w:rsidR="00CF201F" w:rsidRPr="00CF201F" w:rsidRDefault="00CF201F" w:rsidP="00AA4BBB">
            <w:pPr>
              <w:jc w:val="center"/>
              <w:rPr>
                <w:rFonts w:cs="Arial"/>
                <w:sz w:val="18"/>
                <w:szCs w:val="18"/>
              </w:rPr>
            </w:pPr>
            <w:r w:rsidRPr="00CF201F">
              <w:rPr>
                <w:rFonts w:cs="Arial"/>
                <w:sz w:val="18"/>
                <w:szCs w:val="18"/>
              </w:rPr>
              <w:t>1</w:t>
            </w:r>
          </w:p>
        </w:tc>
        <w:tc>
          <w:tcPr>
            <w:tcW w:w="0" w:type="auto"/>
            <w:tcMar>
              <w:top w:w="30" w:type="dxa"/>
              <w:left w:w="45" w:type="dxa"/>
              <w:bottom w:w="30" w:type="dxa"/>
              <w:right w:w="45" w:type="dxa"/>
            </w:tcMar>
            <w:vAlign w:val="center"/>
            <w:hideMark/>
          </w:tcPr>
          <w:p w14:paraId="0EBAF6D4" w14:textId="77777777" w:rsidR="00CF201F" w:rsidRPr="00CF201F" w:rsidRDefault="00CF201F" w:rsidP="00AA4BBB">
            <w:pPr>
              <w:jc w:val="center"/>
              <w:rPr>
                <w:rFonts w:cs="Arial"/>
                <w:sz w:val="18"/>
                <w:szCs w:val="18"/>
              </w:rPr>
            </w:pPr>
            <w:r w:rsidRPr="00CF201F">
              <w:rPr>
                <w:rFonts w:cs="Arial"/>
                <w:sz w:val="18"/>
                <w:szCs w:val="18"/>
              </w:rPr>
              <w:t>1</w:t>
            </w:r>
          </w:p>
        </w:tc>
        <w:tc>
          <w:tcPr>
            <w:tcW w:w="0" w:type="auto"/>
            <w:tcMar>
              <w:top w:w="30" w:type="dxa"/>
              <w:left w:w="45" w:type="dxa"/>
              <w:bottom w:w="30" w:type="dxa"/>
              <w:right w:w="45" w:type="dxa"/>
            </w:tcMar>
            <w:vAlign w:val="center"/>
            <w:hideMark/>
          </w:tcPr>
          <w:p w14:paraId="359BD033" w14:textId="77777777" w:rsidR="00CF201F" w:rsidRPr="00CF201F" w:rsidRDefault="00CF201F" w:rsidP="00AA4BBB">
            <w:pPr>
              <w:jc w:val="center"/>
              <w:rPr>
                <w:rFonts w:cs="Arial"/>
                <w:sz w:val="18"/>
                <w:szCs w:val="18"/>
              </w:rPr>
            </w:pPr>
            <w:r w:rsidRPr="00CF201F">
              <w:rPr>
                <w:rFonts w:cs="Arial"/>
                <w:sz w:val="18"/>
                <w:szCs w:val="18"/>
              </w:rPr>
              <w:t>1</w:t>
            </w:r>
          </w:p>
        </w:tc>
        <w:tc>
          <w:tcPr>
            <w:tcW w:w="0" w:type="auto"/>
            <w:vMerge w:val="restart"/>
            <w:tcMar>
              <w:top w:w="30" w:type="dxa"/>
              <w:left w:w="45" w:type="dxa"/>
              <w:bottom w:w="30" w:type="dxa"/>
              <w:right w:w="45" w:type="dxa"/>
            </w:tcMar>
            <w:vAlign w:val="center"/>
            <w:hideMark/>
          </w:tcPr>
          <w:p w14:paraId="358EFC4F" w14:textId="77777777" w:rsidR="00CF201F" w:rsidRPr="00CF201F" w:rsidRDefault="00CF201F" w:rsidP="00AA4BBB">
            <w:pPr>
              <w:jc w:val="center"/>
              <w:rPr>
                <w:rFonts w:cs="Arial"/>
                <w:b/>
                <w:bCs/>
                <w:sz w:val="18"/>
                <w:szCs w:val="18"/>
              </w:rPr>
            </w:pPr>
            <w:r w:rsidRPr="00CF201F">
              <w:rPr>
                <w:rFonts w:cs="Arial"/>
                <w:b/>
                <w:bCs/>
                <w:sz w:val="18"/>
                <w:szCs w:val="18"/>
              </w:rPr>
              <w:t>7.707.109.633</w:t>
            </w:r>
          </w:p>
        </w:tc>
      </w:tr>
      <w:tr w:rsidR="00CF201F" w:rsidRPr="00CF201F" w14:paraId="30A51207" w14:textId="77777777" w:rsidTr="00CF201F">
        <w:tc>
          <w:tcPr>
            <w:tcW w:w="0" w:type="auto"/>
            <w:vMerge/>
            <w:vAlign w:val="center"/>
            <w:hideMark/>
          </w:tcPr>
          <w:p w14:paraId="3E9A8B07" w14:textId="77777777" w:rsidR="00CF201F" w:rsidRPr="00CF201F" w:rsidRDefault="00CF201F" w:rsidP="00AA4BBB">
            <w:pPr>
              <w:rPr>
                <w:rFonts w:cs="Arial"/>
                <w:sz w:val="18"/>
                <w:szCs w:val="18"/>
              </w:rPr>
            </w:pPr>
          </w:p>
        </w:tc>
        <w:tc>
          <w:tcPr>
            <w:tcW w:w="0" w:type="auto"/>
            <w:tcMar>
              <w:top w:w="30" w:type="dxa"/>
              <w:left w:w="45" w:type="dxa"/>
              <w:bottom w:w="30" w:type="dxa"/>
              <w:right w:w="45" w:type="dxa"/>
            </w:tcMar>
            <w:vAlign w:val="center"/>
            <w:hideMark/>
          </w:tcPr>
          <w:p w14:paraId="49D47292" w14:textId="77777777" w:rsidR="00CF201F" w:rsidRPr="00CF201F" w:rsidRDefault="00CF201F" w:rsidP="00AA4BBB">
            <w:pPr>
              <w:jc w:val="center"/>
              <w:rPr>
                <w:rFonts w:cs="Arial"/>
                <w:sz w:val="18"/>
                <w:szCs w:val="18"/>
              </w:rPr>
            </w:pPr>
            <w:r w:rsidRPr="00CF201F">
              <w:rPr>
                <w:rFonts w:cs="Arial"/>
                <w:sz w:val="18"/>
                <w:szCs w:val="18"/>
              </w:rPr>
              <w:t>1.224.043.992</w:t>
            </w:r>
          </w:p>
        </w:tc>
        <w:tc>
          <w:tcPr>
            <w:tcW w:w="0" w:type="auto"/>
            <w:tcMar>
              <w:top w:w="30" w:type="dxa"/>
              <w:left w:w="45" w:type="dxa"/>
              <w:bottom w:w="30" w:type="dxa"/>
              <w:right w:w="45" w:type="dxa"/>
            </w:tcMar>
            <w:vAlign w:val="center"/>
            <w:hideMark/>
          </w:tcPr>
          <w:p w14:paraId="763C1B82" w14:textId="77777777" w:rsidR="00CF201F" w:rsidRPr="00CF201F" w:rsidRDefault="00CF201F" w:rsidP="00AA4BBB">
            <w:pPr>
              <w:jc w:val="center"/>
              <w:rPr>
                <w:rFonts w:cs="Arial"/>
                <w:sz w:val="18"/>
                <w:szCs w:val="18"/>
              </w:rPr>
            </w:pPr>
            <w:r w:rsidRPr="00CF201F">
              <w:rPr>
                <w:rFonts w:cs="Arial"/>
                <w:sz w:val="18"/>
                <w:szCs w:val="18"/>
              </w:rPr>
              <w:t>1.888.835.236</w:t>
            </w:r>
          </w:p>
        </w:tc>
        <w:tc>
          <w:tcPr>
            <w:tcW w:w="0" w:type="auto"/>
            <w:tcMar>
              <w:top w:w="30" w:type="dxa"/>
              <w:left w:w="45" w:type="dxa"/>
              <w:bottom w:w="30" w:type="dxa"/>
              <w:right w:w="45" w:type="dxa"/>
            </w:tcMar>
            <w:vAlign w:val="center"/>
            <w:hideMark/>
          </w:tcPr>
          <w:p w14:paraId="7AF84D93" w14:textId="77777777" w:rsidR="00CF201F" w:rsidRPr="00CF201F" w:rsidRDefault="00CF201F" w:rsidP="00AA4BBB">
            <w:pPr>
              <w:jc w:val="center"/>
              <w:rPr>
                <w:rFonts w:cs="Arial"/>
                <w:sz w:val="18"/>
                <w:szCs w:val="18"/>
              </w:rPr>
            </w:pPr>
            <w:r w:rsidRPr="00CF201F">
              <w:rPr>
                <w:rFonts w:cs="Arial"/>
                <w:sz w:val="18"/>
                <w:szCs w:val="18"/>
              </w:rPr>
              <w:t>2.221.341.473</w:t>
            </w:r>
          </w:p>
        </w:tc>
        <w:tc>
          <w:tcPr>
            <w:tcW w:w="0" w:type="auto"/>
            <w:tcMar>
              <w:top w:w="30" w:type="dxa"/>
              <w:left w:w="45" w:type="dxa"/>
              <w:bottom w:w="30" w:type="dxa"/>
              <w:right w:w="45" w:type="dxa"/>
            </w:tcMar>
            <w:vAlign w:val="center"/>
            <w:hideMark/>
          </w:tcPr>
          <w:p w14:paraId="22C4EA47" w14:textId="77777777" w:rsidR="00CF201F" w:rsidRPr="00CF201F" w:rsidRDefault="00CF201F" w:rsidP="00AA4BBB">
            <w:pPr>
              <w:jc w:val="center"/>
              <w:rPr>
                <w:rFonts w:cs="Arial"/>
                <w:sz w:val="18"/>
                <w:szCs w:val="18"/>
              </w:rPr>
            </w:pPr>
            <w:r w:rsidRPr="00CF201F">
              <w:rPr>
                <w:rFonts w:cs="Arial"/>
                <w:sz w:val="18"/>
                <w:szCs w:val="18"/>
              </w:rPr>
              <w:t>2.372.888.932</w:t>
            </w:r>
          </w:p>
        </w:tc>
        <w:tc>
          <w:tcPr>
            <w:tcW w:w="0" w:type="auto"/>
            <w:vMerge/>
            <w:vAlign w:val="center"/>
            <w:hideMark/>
          </w:tcPr>
          <w:p w14:paraId="775C7297" w14:textId="77777777" w:rsidR="00CF201F" w:rsidRPr="00CF201F" w:rsidRDefault="00CF201F" w:rsidP="00AA4BBB">
            <w:pPr>
              <w:rPr>
                <w:rFonts w:cs="Arial"/>
                <w:b/>
                <w:bCs/>
                <w:sz w:val="18"/>
                <w:szCs w:val="18"/>
              </w:rPr>
            </w:pPr>
          </w:p>
        </w:tc>
      </w:tr>
      <w:tr w:rsidR="00CF201F" w:rsidRPr="00CF201F" w14:paraId="7C61D8AF" w14:textId="77777777" w:rsidTr="00CF201F">
        <w:tc>
          <w:tcPr>
            <w:tcW w:w="0" w:type="auto"/>
            <w:vMerge w:val="restart"/>
            <w:tcMar>
              <w:top w:w="30" w:type="dxa"/>
              <w:left w:w="45" w:type="dxa"/>
              <w:bottom w:w="30" w:type="dxa"/>
              <w:right w:w="45" w:type="dxa"/>
            </w:tcMar>
            <w:vAlign w:val="center"/>
            <w:hideMark/>
          </w:tcPr>
          <w:p w14:paraId="47B16418" w14:textId="77777777" w:rsidR="00CF201F" w:rsidRPr="00CF201F" w:rsidRDefault="00CF201F" w:rsidP="00AA4BBB">
            <w:pPr>
              <w:rPr>
                <w:rFonts w:cs="Arial"/>
                <w:sz w:val="18"/>
                <w:szCs w:val="18"/>
              </w:rPr>
            </w:pPr>
            <w:r w:rsidRPr="00CF201F">
              <w:rPr>
                <w:rFonts w:cs="Arial"/>
                <w:sz w:val="18"/>
                <w:szCs w:val="18"/>
              </w:rPr>
              <w:t>Participar en 50 instrumentos estratégicos de cooperación internacional tales como redes hermanamientos convenios memorandos de entendimiento cartas de intención y otros similares a nivel bilateral y multilateral con el objetivo de fomentar la cooperación internacional y la internacionalización de la ciudad.</w:t>
            </w:r>
          </w:p>
        </w:tc>
        <w:tc>
          <w:tcPr>
            <w:tcW w:w="0" w:type="auto"/>
            <w:tcMar>
              <w:top w:w="30" w:type="dxa"/>
              <w:left w:w="45" w:type="dxa"/>
              <w:bottom w:w="30" w:type="dxa"/>
              <w:right w:w="45" w:type="dxa"/>
            </w:tcMar>
            <w:vAlign w:val="center"/>
            <w:hideMark/>
          </w:tcPr>
          <w:p w14:paraId="7B59C67B" w14:textId="77777777" w:rsidR="00CF201F" w:rsidRPr="00CF201F" w:rsidRDefault="00CF201F" w:rsidP="00AA4BBB">
            <w:pPr>
              <w:jc w:val="center"/>
              <w:rPr>
                <w:rFonts w:cs="Arial"/>
                <w:sz w:val="18"/>
                <w:szCs w:val="18"/>
              </w:rPr>
            </w:pPr>
            <w:r w:rsidRPr="00CF201F">
              <w:rPr>
                <w:rFonts w:cs="Arial"/>
                <w:sz w:val="18"/>
                <w:szCs w:val="18"/>
              </w:rPr>
              <w:t>6</w:t>
            </w:r>
          </w:p>
        </w:tc>
        <w:tc>
          <w:tcPr>
            <w:tcW w:w="0" w:type="auto"/>
            <w:tcMar>
              <w:top w:w="30" w:type="dxa"/>
              <w:left w:w="45" w:type="dxa"/>
              <w:bottom w:w="30" w:type="dxa"/>
              <w:right w:w="45" w:type="dxa"/>
            </w:tcMar>
            <w:vAlign w:val="center"/>
            <w:hideMark/>
          </w:tcPr>
          <w:p w14:paraId="3E204DC0" w14:textId="77777777" w:rsidR="00CF201F" w:rsidRPr="00CF201F" w:rsidRDefault="00CF201F" w:rsidP="00AA4BBB">
            <w:pPr>
              <w:jc w:val="center"/>
              <w:rPr>
                <w:rFonts w:cs="Arial"/>
                <w:sz w:val="18"/>
                <w:szCs w:val="18"/>
              </w:rPr>
            </w:pPr>
            <w:r w:rsidRPr="00CF201F">
              <w:rPr>
                <w:rFonts w:cs="Arial"/>
                <w:sz w:val="18"/>
                <w:szCs w:val="18"/>
              </w:rPr>
              <w:t>17</w:t>
            </w:r>
          </w:p>
        </w:tc>
        <w:tc>
          <w:tcPr>
            <w:tcW w:w="0" w:type="auto"/>
            <w:tcMar>
              <w:top w:w="30" w:type="dxa"/>
              <w:left w:w="45" w:type="dxa"/>
              <w:bottom w:w="30" w:type="dxa"/>
              <w:right w:w="45" w:type="dxa"/>
            </w:tcMar>
            <w:vAlign w:val="center"/>
            <w:hideMark/>
          </w:tcPr>
          <w:p w14:paraId="78539C55" w14:textId="77777777" w:rsidR="00CF201F" w:rsidRPr="00CF201F" w:rsidRDefault="00CF201F" w:rsidP="00AA4BBB">
            <w:pPr>
              <w:jc w:val="center"/>
              <w:rPr>
                <w:rFonts w:cs="Arial"/>
                <w:sz w:val="18"/>
                <w:szCs w:val="18"/>
              </w:rPr>
            </w:pPr>
            <w:r w:rsidRPr="00CF201F">
              <w:rPr>
                <w:rFonts w:cs="Arial"/>
                <w:sz w:val="18"/>
                <w:szCs w:val="18"/>
              </w:rPr>
              <w:t>17</w:t>
            </w:r>
          </w:p>
        </w:tc>
        <w:tc>
          <w:tcPr>
            <w:tcW w:w="0" w:type="auto"/>
            <w:tcMar>
              <w:top w:w="30" w:type="dxa"/>
              <w:left w:w="45" w:type="dxa"/>
              <w:bottom w:w="30" w:type="dxa"/>
              <w:right w:w="45" w:type="dxa"/>
            </w:tcMar>
            <w:vAlign w:val="center"/>
            <w:hideMark/>
          </w:tcPr>
          <w:p w14:paraId="3AA16410" w14:textId="77777777" w:rsidR="00CF201F" w:rsidRPr="00CF201F" w:rsidRDefault="00CF201F" w:rsidP="00AA4BBB">
            <w:pPr>
              <w:jc w:val="center"/>
              <w:rPr>
                <w:rFonts w:cs="Arial"/>
                <w:sz w:val="18"/>
                <w:szCs w:val="18"/>
              </w:rPr>
            </w:pPr>
            <w:r w:rsidRPr="00CF201F">
              <w:rPr>
                <w:rFonts w:cs="Arial"/>
                <w:sz w:val="18"/>
                <w:szCs w:val="18"/>
              </w:rPr>
              <w:t>10</w:t>
            </w:r>
          </w:p>
        </w:tc>
        <w:tc>
          <w:tcPr>
            <w:tcW w:w="0" w:type="auto"/>
            <w:vMerge w:val="restart"/>
            <w:tcMar>
              <w:top w:w="30" w:type="dxa"/>
              <w:left w:w="45" w:type="dxa"/>
              <w:bottom w:w="30" w:type="dxa"/>
              <w:right w:w="45" w:type="dxa"/>
            </w:tcMar>
            <w:vAlign w:val="center"/>
            <w:hideMark/>
          </w:tcPr>
          <w:p w14:paraId="5C8884F7" w14:textId="77777777" w:rsidR="00CF201F" w:rsidRPr="00CF201F" w:rsidRDefault="00CF201F" w:rsidP="00AA4BBB">
            <w:pPr>
              <w:jc w:val="center"/>
              <w:rPr>
                <w:rFonts w:cs="Arial"/>
                <w:b/>
                <w:bCs/>
                <w:sz w:val="18"/>
                <w:szCs w:val="18"/>
              </w:rPr>
            </w:pPr>
            <w:r w:rsidRPr="00CF201F">
              <w:rPr>
                <w:rFonts w:cs="Arial"/>
                <w:b/>
                <w:bCs/>
                <w:sz w:val="18"/>
                <w:szCs w:val="18"/>
              </w:rPr>
              <w:t>2.473.737.321</w:t>
            </w:r>
          </w:p>
        </w:tc>
      </w:tr>
      <w:tr w:rsidR="00CF201F" w:rsidRPr="00CF201F" w14:paraId="7A2044DF" w14:textId="77777777" w:rsidTr="00CF201F">
        <w:tc>
          <w:tcPr>
            <w:tcW w:w="0" w:type="auto"/>
            <w:vMerge/>
            <w:tcBorders>
              <w:bottom w:val="double" w:sz="4" w:space="0" w:color="C00000"/>
            </w:tcBorders>
            <w:vAlign w:val="center"/>
            <w:hideMark/>
          </w:tcPr>
          <w:p w14:paraId="50C2B36D" w14:textId="77777777" w:rsidR="00CF201F" w:rsidRPr="00CF201F" w:rsidRDefault="00CF201F" w:rsidP="00AA4BBB">
            <w:pPr>
              <w:rPr>
                <w:rFonts w:cs="Arial"/>
                <w:sz w:val="18"/>
                <w:szCs w:val="18"/>
              </w:rPr>
            </w:pPr>
          </w:p>
        </w:tc>
        <w:tc>
          <w:tcPr>
            <w:tcW w:w="0" w:type="auto"/>
            <w:tcBorders>
              <w:bottom w:val="double" w:sz="4" w:space="0" w:color="C00000"/>
            </w:tcBorders>
            <w:tcMar>
              <w:top w:w="30" w:type="dxa"/>
              <w:left w:w="45" w:type="dxa"/>
              <w:bottom w:w="30" w:type="dxa"/>
              <w:right w:w="45" w:type="dxa"/>
            </w:tcMar>
            <w:vAlign w:val="center"/>
            <w:hideMark/>
          </w:tcPr>
          <w:p w14:paraId="586A2E32" w14:textId="77777777" w:rsidR="00CF201F" w:rsidRPr="00CF201F" w:rsidRDefault="00CF201F" w:rsidP="00AA4BBB">
            <w:pPr>
              <w:jc w:val="center"/>
              <w:rPr>
                <w:rFonts w:cs="Arial"/>
                <w:sz w:val="18"/>
                <w:szCs w:val="18"/>
              </w:rPr>
            </w:pPr>
            <w:r w:rsidRPr="00CF201F">
              <w:rPr>
                <w:rFonts w:cs="Arial"/>
                <w:sz w:val="18"/>
                <w:szCs w:val="18"/>
              </w:rPr>
              <w:t>453.971.815</w:t>
            </w:r>
          </w:p>
        </w:tc>
        <w:tc>
          <w:tcPr>
            <w:tcW w:w="0" w:type="auto"/>
            <w:tcBorders>
              <w:bottom w:val="double" w:sz="4" w:space="0" w:color="C00000"/>
            </w:tcBorders>
            <w:tcMar>
              <w:top w:w="30" w:type="dxa"/>
              <w:left w:w="45" w:type="dxa"/>
              <w:bottom w:w="30" w:type="dxa"/>
              <w:right w:w="45" w:type="dxa"/>
            </w:tcMar>
            <w:vAlign w:val="center"/>
            <w:hideMark/>
          </w:tcPr>
          <w:p w14:paraId="7C7B0695" w14:textId="77777777" w:rsidR="00CF201F" w:rsidRPr="00CF201F" w:rsidRDefault="00CF201F" w:rsidP="00AA4BBB">
            <w:pPr>
              <w:jc w:val="center"/>
              <w:rPr>
                <w:rFonts w:cs="Arial"/>
                <w:sz w:val="18"/>
                <w:szCs w:val="18"/>
              </w:rPr>
            </w:pPr>
            <w:r w:rsidRPr="00CF201F">
              <w:rPr>
                <w:rFonts w:cs="Arial"/>
                <w:sz w:val="18"/>
                <w:szCs w:val="18"/>
              </w:rPr>
              <w:t>629.533.404</w:t>
            </w:r>
          </w:p>
        </w:tc>
        <w:tc>
          <w:tcPr>
            <w:tcW w:w="0" w:type="auto"/>
            <w:tcBorders>
              <w:bottom w:val="double" w:sz="4" w:space="0" w:color="C00000"/>
            </w:tcBorders>
            <w:tcMar>
              <w:top w:w="30" w:type="dxa"/>
              <w:left w:w="45" w:type="dxa"/>
              <w:bottom w:w="30" w:type="dxa"/>
              <w:right w:w="45" w:type="dxa"/>
            </w:tcMar>
            <w:vAlign w:val="center"/>
            <w:hideMark/>
          </w:tcPr>
          <w:p w14:paraId="16B87AD7" w14:textId="77777777" w:rsidR="00CF201F" w:rsidRPr="00CF201F" w:rsidRDefault="00CF201F" w:rsidP="00AA4BBB">
            <w:pPr>
              <w:jc w:val="center"/>
              <w:rPr>
                <w:rFonts w:cs="Arial"/>
                <w:sz w:val="18"/>
                <w:szCs w:val="18"/>
              </w:rPr>
            </w:pPr>
            <w:r w:rsidRPr="00CF201F">
              <w:rPr>
                <w:rFonts w:cs="Arial"/>
                <w:sz w:val="18"/>
                <w:szCs w:val="18"/>
              </w:rPr>
              <w:t>695.116.051</w:t>
            </w:r>
          </w:p>
        </w:tc>
        <w:tc>
          <w:tcPr>
            <w:tcW w:w="0" w:type="auto"/>
            <w:tcBorders>
              <w:bottom w:val="double" w:sz="4" w:space="0" w:color="C00000"/>
            </w:tcBorders>
            <w:tcMar>
              <w:top w:w="30" w:type="dxa"/>
              <w:left w:w="45" w:type="dxa"/>
              <w:bottom w:w="30" w:type="dxa"/>
              <w:right w:w="45" w:type="dxa"/>
            </w:tcMar>
            <w:vAlign w:val="center"/>
            <w:hideMark/>
          </w:tcPr>
          <w:p w14:paraId="3E4D558F" w14:textId="77777777" w:rsidR="00CF201F" w:rsidRPr="00CF201F" w:rsidRDefault="00CF201F" w:rsidP="00AA4BBB">
            <w:pPr>
              <w:jc w:val="center"/>
              <w:rPr>
                <w:rFonts w:cs="Arial"/>
                <w:sz w:val="18"/>
                <w:szCs w:val="18"/>
              </w:rPr>
            </w:pPr>
            <w:r w:rsidRPr="00CF201F">
              <w:rPr>
                <w:rFonts w:cs="Arial"/>
                <w:sz w:val="18"/>
                <w:szCs w:val="18"/>
              </w:rPr>
              <w:t>695.116.051</w:t>
            </w:r>
          </w:p>
        </w:tc>
        <w:tc>
          <w:tcPr>
            <w:tcW w:w="0" w:type="auto"/>
            <w:vMerge/>
            <w:tcBorders>
              <w:bottom w:val="double" w:sz="4" w:space="0" w:color="C00000"/>
            </w:tcBorders>
            <w:vAlign w:val="center"/>
            <w:hideMark/>
          </w:tcPr>
          <w:p w14:paraId="37D8256B" w14:textId="77777777" w:rsidR="00CF201F" w:rsidRPr="00CF201F" w:rsidRDefault="00CF201F" w:rsidP="00AA4BBB">
            <w:pPr>
              <w:rPr>
                <w:rFonts w:cs="Arial"/>
                <w:b/>
                <w:bCs/>
                <w:sz w:val="18"/>
                <w:szCs w:val="18"/>
              </w:rPr>
            </w:pPr>
          </w:p>
        </w:tc>
      </w:tr>
    </w:tbl>
    <w:p w14:paraId="006AEF68" w14:textId="77777777" w:rsidR="00CF201F" w:rsidRPr="00CF201F" w:rsidRDefault="00CF201F" w:rsidP="00CF201F">
      <w:pPr>
        <w:rPr>
          <w:lang w:val="es-419" w:eastAsia="en-US"/>
        </w:rPr>
      </w:pPr>
    </w:p>
    <w:p w14:paraId="7D88EBF4" w14:textId="77777777" w:rsidR="00FA4F64" w:rsidRDefault="00FA4F64" w:rsidP="00FA4F64">
      <w:pPr>
        <w:pBdr>
          <w:top w:val="nil"/>
          <w:left w:val="nil"/>
          <w:bottom w:val="nil"/>
          <w:right w:val="nil"/>
          <w:between w:val="nil"/>
        </w:pBdr>
        <w:spacing w:line="220" w:lineRule="auto"/>
        <w:jc w:val="center"/>
        <w:rPr>
          <w:color w:val="C00000"/>
          <w:sz w:val="18"/>
          <w:szCs w:val="18"/>
        </w:rPr>
      </w:pPr>
    </w:p>
    <w:p w14:paraId="385B9895" w14:textId="4DC72049" w:rsidR="005A030A" w:rsidRDefault="005A030A" w:rsidP="00FA4F64">
      <w:pPr>
        <w:tabs>
          <w:tab w:val="left" w:pos="2484"/>
        </w:tabs>
        <w:jc w:val="left"/>
      </w:pPr>
      <w:r>
        <w:br w:type="page"/>
      </w:r>
    </w:p>
    <w:p w14:paraId="0F6B65F3" w14:textId="3D2C8805" w:rsidR="00EF1D5F" w:rsidRDefault="00EF1D5F" w:rsidP="00A47073">
      <w:r>
        <w:rPr>
          <w:noProof/>
        </w:rPr>
        <w:lastRenderedPageBreak/>
        <w:drawing>
          <wp:anchor distT="0" distB="0" distL="0" distR="0" simplePos="0" relativeHeight="251768832" behindDoc="1" locked="0" layoutInCell="1" hidden="0" allowOverlap="1" wp14:anchorId="001C360B" wp14:editId="163873DF">
            <wp:simplePos x="0" y="0"/>
            <wp:positionH relativeFrom="column">
              <wp:posOffset>3810</wp:posOffset>
            </wp:positionH>
            <wp:positionV relativeFrom="paragraph">
              <wp:posOffset>-1620520</wp:posOffset>
            </wp:positionV>
            <wp:extent cx="5932800" cy="2117725"/>
            <wp:effectExtent l="0" t="0" r="0" b="0"/>
            <wp:wrapNone/>
            <wp:docPr id="2133516007" name="image7.png"/>
            <wp:cNvGraphicFramePr/>
            <a:graphic xmlns:a="http://schemas.openxmlformats.org/drawingml/2006/main">
              <a:graphicData uri="http://schemas.openxmlformats.org/drawingml/2006/picture">
                <pic:pic xmlns:pic="http://schemas.openxmlformats.org/drawingml/2006/picture">
                  <pic:nvPicPr>
                    <pic:cNvPr id="2133516007" name="image7.png"/>
                    <pic:cNvPicPr preferRelativeResize="0"/>
                  </pic:nvPicPr>
                  <pic:blipFill>
                    <a:blip r:embed="rId133">
                      <a:extLst>
                        <a:ext uri="{28A0092B-C50C-407E-A947-70E740481C1C}">
                          <a14:useLocalDpi xmlns:a14="http://schemas.microsoft.com/office/drawing/2010/main" val="0"/>
                        </a:ext>
                      </a:extLst>
                    </a:blip>
                    <a:stretch>
                      <a:fillRect/>
                    </a:stretch>
                  </pic:blipFill>
                  <pic:spPr>
                    <a:xfrm>
                      <a:off x="0" y="0"/>
                      <a:ext cx="5932800" cy="2117725"/>
                    </a:xfrm>
                    <a:prstGeom prst="rect">
                      <a:avLst/>
                    </a:prstGeom>
                    <a:ln/>
                  </pic:spPr>
                </pic:pic>
              </a:graphicData>
            </a:graphic>
            <wp14:sizeRelH relativeFrom="margin">
              <wp14:pctWidth>0</wp14:pctWidth>
            </wp14:sizeRelH>
          </wp:anchor>
        </w:drawing>
      </w:r>
    </w:p>
    <w:p w14:paraId="2632E396" w14:textId="788C6730" w:rsidR="00EF1D5F" w:rsidRDefault="00EF1D5F" w:rsidP="00A47073"/>
    <w:p w14:paraId="3D5F94D9" w14:textId="77777777" w:rsidR="00EF1D5F" w:rsidRDefault="00EF1D5F" w:rsidP="00EF1D5F">
      <w:pPr>
        <w:rPr>
          <w:lang w:eastAsia="en-US"/>
        </w:rPr>
      </w:pPr>
    </w:p>
    <w:p w14:paraId="36431850" w14:textId="77777777" w:rsidR="00E543C6" w:rsidRDefault="00E543C6" w:rsidP="00EF1D5F">
      <w:pPr>
        <w:rPr>
          <w:lang w:eastAsia="en-US"/>
        </w:rPr>
      </w:pPr>
    </w:p>
    <w:p w14:paraId="039278C9" w14:textId="77777777" w:rsidR="00A47073" w:rsidRPr="00EF1D5F" w:rsidRDefault="00A47073" w:rsidP="00EF1D5F">
      <w:pPr>
        <w:rPr>
          <w:lang w:eastAsia="en-US"/>
        </w:rPr>
      </w:pPr>
    </w:p>
    <w:p w14:paraId="1DD35D04" w14:textId="5F7791F0" w:rsidR="00EF1D5F" w:rsidRDefault="00EF1D5F" w:rsidP="00C473CC">
      <w:pPr>
        <w:pStyle w:val="NIVEL2PDD"/>
        <w:spacing w:line="276" w:lineRule="auto"/>
      </w:pPr>
      <w:bookmarkStart w:id="352" w:name="_Toc165169785"/>
      <w:r>
        <w:rPr>
          <w:color w:val="3B3838"/>
        </w:rPr>
        <w:t xml:space="preserve">Objetivo 4. </w:t>
      </w:r>
      <w:r w:rsidRPr="005F4ED7">
        <w:t>Bogotá ordena su territorio</w:t>
      </w:r>
      <w:bookmarkStart w:id="353" w:name="_heading=h.2pta16n" w:colFirst="0" w:colLast="0"/>
      <w:bookmarkEnd w:id="353"/>
      <w:r w:rsidR="00A92FDC">
        <w:t xml:space="preserve"> </w:t>
      </w:r>
      <w:r w:rsidRPr="005F4ED7">
        <w:t>y avanza en su acción climática</w:t>
      </w:r>
      <w:bookmarkEnd w:id="352"/>
    </w:p>
    <w:p w14:paraId="3175C1AC" w14:textId="175E3F91" w:rsidR="00EF1D5F" w:rsidRDefault="00EF1D5F">
      <w:pPr>
        <w:spacing w:line="340" w:lineRule="auto"/>
        <w:ind w:left="1134" w:hanging="709"/>
        <w:rPr>
          <w:b/>
          <w:color w:val="C00000"/>
          <w:sz w:val="40"/>
          <w:szCs w:val="40"/>
        </w:rPr>
        <w:sectPr w:rsidR="00EF1D5F" w:rsidSect="00F7078E">
          <w:headerReference w:type="default" r:id="rId134"/>
          <w:footerReference w:type="even" r:id="rId135"/>
          <w:type w:val="continuous"/>
          <w:pgSz w:w="12240" w:h="15840"/>
          <w:pgMar w:top="2262" w:right="1440" w:bottom="1440" w:left="1440" w:header="708" w:footer="708" w:gutter="0"/>
          <w:cols w:space="708"/>
          <w:docGrid w:linePitch="360"/>
        </w:sectPr>
      </w:pPr>
    </w:p>
    <w:p w14:paraId="0D93B409" w14:textId="77777777" w:rsidR="00EF1D5F" w:rsidRDefault="00EF1D5F">
      <w:r>
        <w:t>Bogotá es la capital de Colombia que más acoge a su gente, la más diversa y multicultural, donde se ofrece mayor empleo y servicios para la población; razón por la cual Bogotá debe ser más amable, una ciudad donde los ciudadanos podamos disfrutar de ella, contar con un ambiente sano, con aire limpio, en un ambiente resiliente ante el cambio climático; con una biodiversidad próspera y ecosistemas saludables. Una ciudad donde todos tengamos derecho a un hábitat digno, acceso a vivienda y servicios públicos de calidad y, sobre todo, con una movilidad sostenible y segura.</w:t>
      </w:r>
    </w:p>
    <w:p w14:paraId="766E7ADC" w14:textId="77777777" w:rsidR="00EF1D5F" w:rsidRDefault="00EF1D5F"/>
    <w:p w14:paraId="076C2F9A" w14:textId="77777777" w:rsidR="00EF1D5F" w:rsidRDefault="00EF1D5F">
      <w:r>
        <w:t>Esto es posible gracias a que, entre otras cosas, contamos con una oferta natural de gran riqueza. Tenemos un sistema de bosques y páramos que, desde la región, abastece de agua a todos los ciudadanos.</w:t>
      </w:r>
    </w:p>
    <w:p w14:paraId="5C6AED27" w14:textId="77777777" w:rsidR="00EF1D5F" w:rsidRDefault="00EF1D5F"/>
    <w:p w14:paraId="0D18D294" w14:textId="77777777" w:rsidR="00EF1D5F" w:rsidRDefault="00EF1D5F">
      <w:r>
        <w:t>Sin embargo, el hecho que seamos una ciudad de ocho millones de habitantes nos exige proyectarla a mayor escala. Para ello, se hace necesario asumir un papel activo con el Gobierno nacional, la Región Administrativa y de Planificación Especial (RAP-E), la Región Metropolitana Bogotá Cundinamarca (RMBC) y, en general, con los municipios vecinos. Entre todos debemos visualizar el manejo de la oferta natural, ampliar la protección de las reservas de agua potable y de suelo de alta capacidad agrológica, avanzar en la recuperación ambiental de la cuenca del río Bogotá, robustecer la conciencia ciudadana sobre la necesidad de cuidar nuestros recursos naturales para mejorar la relación con el sistema de elementos y espacios de vida.</w:t>
      </w:r>
    </w:p>
    <w:p w14:paraId="6E723266" w14:textId="77777777" w:rsidR="00EF1D5F" w:rsidRDefault="00EF1D5F">
      <w:r>
        <w:t>El ordenamiento territorial es una práctica esencial para el desarrollo sostenible de Bogotá y su área de influencia, ya que permite la planificación estratégica del uso del suelo y los recursos naturales de manera que se promueva un equilibrio entre el crecimiento económico, la conservación del medio ambiente y el bienestar social. En este contexto, las funciones y servicios ecosistémicos desempeñan un papel crucial, ya que son los beneficios que los ecosistemas proporcionan a los habitantes y que son fundamentales para nuestra supervivencia y calidad de vida.</w:t>
      </w:r>
    </w:p>
    <w:p w14:paraId="2E04671F" w14:textId="77777777" w:rsidR="00EF1D5F" w:rsidRDefault="00EF1D5F"/>
    <w:p w14:paraId="79F4D1AC" w14:textId="0F80B4E8" w:rsidR="00EF1D5F" w:rsidRDefault="00EF1D5F">
      <w:r>
        <w:t>Los servicios ecosistémicos incluyen provisiones directas como agua, alimentos y materias primas; servicios de regulación como la purificación del aire y el agua, la regulación de los efectos del clima y la mitigación de riesgos ante posibles desastres naturales; servicios culturales que enriquecen nuestra calidad de vida, como el recreo, el turismo ecológico y el valor espiritual; y servicios de soporte como la formación de suelos y los ciclos de nutrientes, que son esenciales para mantener los otros servicios. En términos regionales, este enfoque nos permite resolver las relaciones urbano</w:t>
      </w:r>
      <w:r w:rsidR="00504C55">
        <w:t xml:space="preserve"> </w:t>
      </w:r>
      <w:r>
        <w:t>rurales utilizando una relación jerárquica de la regulación hídrica y de suelo para asegurar, entre otras cosas, la protección integral del ciclo de agua.</w:t>
      </w:r>
    </w:p>
    <w:p w14:paraId="401CA347" w14:textId="77777777" w:rsidR="00EF1D5F" w:rsidRDefault="00EF1D5F"/>
    <w:p w14:paraId="25B0B4EF" w14:textId="77777777" w:rsidR="00EF1D5F" w:rsidRPr="00D077D7" w:rsidRDefault="00EF1D5F">
      <w:pPr>
        <w:rPr>
          <w:spacing w:val="-4"/>
        </w:rPr>
      </w:pPr>
      <w:r w:rsidRPr="00D077D7">
        <w:rPr>
          <w:spacing w:val="-4"/>
        </w:rPr>
        <w:t xml:space="preserve">La integración de las funciones y servicios ecosistémicos en el ordenamiento territorial implica reconocer y mapear estos servicios en el área de interés, evaluando cómo las actividades humanas afectan su capacidad para proporcionar beneficios y diseñando estrategias que maximicen su </w:t>
      </w:r>
      <w:r w:rsidRPr="00D077D7">
        <w:rPr>
          <w:spacing w:val="-4"/>
        </w:rPr>
        <w:lastRenderedPageBreak/>
        <w:t>preservación y uso sostenible. Esto no solo ayuda a proteger la biodiversidad y los ecosistemas, sino que, también asegura que los beneficios derivados de estos servicios se mantengan a largo plazo, lo cual es esencial para la resiliencia y la sostenibilidad de las comunidades locales tanto en el ámbito rural como en el urbano. El reconocimiento de preservar estos servicios y sus funciones e incluirlas en el ordenamiento territorial hace que el ordenamiento territorial aplique efectivamente el principio de reciprocidad con el entorno natural y en consecuencia se evolucione en el concepto de cargas y beneficios como principio fundamental para la adaptación al cambio climático.</w:t>
      </w:r>
    </w:p>
    <w:p w14:paraId="0719FC03" w14:textId="77777777" w:rsidR="00EF1D5F" w:rsidRDefault="00EF1D5F"/>
    <w:p w14:paraId="0AE5A1A3" w14:textId="77777777" w:rsidR="00EF1D5F" w:rsidRDefault="00EF1D5F">
      <w:r>
        <w:t xml:space="preserve">Se entiende entonces que en los entornos rurales prima la existencia de biomasa sobre la de tecnomasa y en la medida en que la densidad crece se invierte esta proporción en zonas altamente densas. Esta tecnomasa la componen el suelo urbano, la construcción y capacidad de soporte público de infraestructura general y local (vías, redes, parque, equipamientos, etc) y las edificaciones que acogen todos los usos urbanos. </w:t>
      </w:r>
    </w:p>
    <w:p w14:paraId="26769394" w14:textId="77777777" w:rsidR="00EF1D5F" w:rsidRDefault="00EF1D5F"/>
    <w:p w14:paraId="2E08526F" w14:textId="77777777" w:rsidR="00EF1D5F" w:rsidRDefault="00EF1D5F">
      <w:r>
        <w:t>En términos de adaptación al cambio climático se supone que a través del fortalecimiento de los servicios ecosistémicos expresados en soportes urbanos se logra mejor adaptación para recibir la densidad propuesta. Se considera que este fortalecimiento se concreta en mejores prácticas de urbanización y reurbanización.</w:t>
      </w:r>
    </w:p>
    <w:p w14:paraId="104F329C" w14:textId="77777777" w:rsidR="00EF1D5F" w:rsidRDefault="00EF1D5F"/>
    <w:p w14:paraId="49554CAF" w14:textId="77777777" w:rsidR="00EF1D5F" w:rsidRDefault="00EF1D5F">
      <w:r>
        <w:t xml:space="preserve">En este sentido, lograr que la ciudad avance en ser la casa de todos requerirá que trabajemos en tres grandes frentes o estrategias. La primera, centrada en contar con un ordenamiento territorial y ambiental acorde con el desarrollo actual y proyectado de la ciudad y su entorno regional. Esto implica hacer viable el plan de ordenamiento territorial, entre otras grandes acciones. La segunda, se ha de centrar en acciones que conduzcan a una mayor resiliencia frente al cambio climático, conservación de la biodiversidad y servicios ecosistémicos, movilidad </w:t>
      </w:r>
      <w:r>
        <w:t>sostenible y multimodal, la revitalización y renovación urbana. Y la tercera, gira alrededor de la construcción de un hábitat digno y el acceso a vivienda y servicios públicos y de manera articulada con los modelos de ocupación territorial y el proyecto de desarrollo sostenible con alcance regional, metropolitano, distrital, urbano, rural y local.</w:t>
      </w:r>
    </w:p>
    <w:p w14:paraId="686BB063" w14:textId="77777777" w:rsidR="00EF1D5F" w:rsidRDefault="00EF1D5F"/>
    <w:p w14:paraId="065AA581" w14:textId="5E5D7B3B" w:rsidR="00EF1D5F" w:rsidRDefault="00EF1D5F">
      <w:r>
        <w:t xml:space="preserve">Al considerar la conservación de áreas que proporcionan servicios de regulación del agua en la planificación territorial, se pueden prevenir inundaciones y sequías, asegurando así la disponibilidad de agua para la agricultura y el consumo humano. Del mismo modo, la preservación de áreas con alta biodiversidad puede fomentar el turismo ecológico, lo que a su vez genera ingresos y promueve el empleo local. En suelo urbano esto se expresa en el rediseño y </w:t>
      </w:r>
      <w:r w:rsidR="00504C55">
        <w:t>concesión</w:t>
      </w:r>
      <w:r>
        <w:t xml:space="preserve"> sistémica de estos espacios en su función jerárquica de regulación de agua para </w:t>
      </w:r>
      <w:r w:rsidR="00504C55">
        <w:t>reúso</w:t>
      </w:r>
      <w:r>
        <w:t xml:space="preserve"> y retardo (</w:t>
      </w:r>
      <w:r w:rsidRPr="00504C55">
        <w:rPr>
          <w:i/>
          <w:iCs/>
        </w:rPr>
        <w:t>delay</w:t>
      </w:r>
      <w:r>
        <w:t>) en picos de lluvia.</w:t>
      </w:r>
    </w:p>
    <w:p w14:paraId="5E8BE9AD" w14:textId="77777777" w:rsidR="00EF1D5F" w:rsidRDefault="00EF1D5F"/>
    <w:p w14:paraId="38908B4F" w14:textId="77777777" w:rsidR="00EF1D5F" w:rsidRDefault="00EF1D5F">
      <w:r>
        <w:t xml:space="preserve">Conforme con lo anterior, la propuesta de este objetivo plantea el reconocimiento y la integración efectiva de las funciones y servicios ecosistémicos en el ordenamiento territorial, no sólo debido a su rol fundamental para la conservación del medio ambiente, sino que también como un enfoque que posibilita el desarrollo económico y social de manera sostenible. Este enfoque holístico asegura que las decisiones de planificación consideren todos los aspectos de la sostenibilidad, beneficiando tanto a las generaciones actuales como a las futuras. </w:t>
      </w:r>
    </w:p>
    <w:p w14:paraId="1C3D1A09" w14:textId="77777777" w:rsidR="00EF1D5F" w:rsidRDefault="00EF1D5F"/>
    <w:p w14:paraId="6F1C97EB" w14:textId="77777777" w:rsidR="00EF1D5F" w:rsidRDefault="00EF1D5F">
      <w:r>
        <w:t xml:space="preserve">En este marco, el territorio Bogotano contará con un enfoque de sostenibilidad ambiental y adaptación al Cambio climático, que permita generar una oferta amplia de servicios sociales, como la generación  de infraestructura, el desarrollo de actividades culturales, recreativas y deportivas, así como, comunidades más saludables, prósperas y sostenibles, desde un enfoque de resiliencia, equidad, proximidad y participación, que permitan arraigar culturalmente </w:t>
      </w:r>
      <w:r>
        <w:lastRenderedPageBreak/>
        <w:t>comportamientos de respeto por el ambiente, en las generaciones presentes y futuras, para prevenir, enfrentar y contrarrestar los efectos generados por la crisis climática.</w:t>
      </w:r>
    </w:p>
    <w:p w14:paraId="36FD0B9B" w14:textId="77777777" w:rsidR="00EF1D5F" w:rsidRDefault="00EF1D5F"/>
    <w:p w14:paraId="24B30F41" w14:textId="7DD5CC1C" w:rsidR="00EF1D5F" w:rsidRDefault="00EF1D5F">
      <w:pPr>
        <w:sectPr w:rsidR="00EF1D5F" w:rsidSect="00F7078E">
          <w:type w:val="continuous"/>
          <w:pgSz w:w="12240" w:h="15840"/>
          <w:pgMar w:top="2262" w:right="1440" w:bottom="1440" w:left="1440" w:header="709" w:footer="709" w:gutter="0"/>
          <w:cols w:num="2" w:space="720" w:equalWidth="0">
            <w:col w:w="4396" w:space="567"/>
            <w:col w:w="4396" w:space="0"/>
          </w:cols>
        </w:sectPr>
      </w:pPr>
      <w:r>
        <w:t xml:space="preserve">Las anteriores estrategias se materializan mediante la articulación de nueve programas, que inician con la gestión de planeación territorial urbana, rural y regional, una revitalización y renovación urbana que proteja la permanencia de los pobladores en las zonas de intervención, además de acciones de conservación de la biodiversidad, de adaptación al cambio climático y seguridad alimentaria; además de ofrecer a los </w:t>
      </w:r>
      <w:r>
        <w:t xml:space="preserve">ciudadanos una movilidad más eficiente, segura y descarbonizada; acciones de control, prevención y atención de emergencias para la protección de la vida; así como la conservación de los recursos naturales para la protección del recurso hídrico, como el tratamiento de aguas residuales y saneamiento del río Bogotá. No puede faltar, hacer posible el acceso a una vivienda digna integrada con una infraestructura pública de calidad y proximidad de servicios sociales del cuidado en materia de salud, educación, integración social y cultura, entre otros servicios </w:t>
      </w:r>
      <w:r w:rsidRPr="006514BC">
        <w:t>(</w:t>
      </w:r>
      <w:r w:rsidR="006514BC" w:rsidRPr="006514BC">
        <w:fldChar w:fldCharType="begin"/>
      </w:r>
      <w:r w:rsidR="006514BC" w:rsidRPr="006514BC">
        <w:instrText xml:space="preserve"> REF _Ref165142383 \h </w:instrText>
      </w:r>
      <w:r w:rsidR="006514BC" w:rsidRPr="006514BC">
        <w:fldChar w:fldCharType="separate"/>
      </w:r>
      <w:r w:rsidR="00D01651" w:rsidRPr="006514BC">
        <w:rPr>
          <w:color w:val="C00000"/>
          <w:sz w:val="18"/>
          <w:szCs w:val="18"/>
        </w:rPr>
        <w:t xml:space="preserve">Figura </w:t>
      </w:r>
      <w:r w:rsidR="00D01651">
        <w:rPr>
          <w:noProof/>
          <w:color w:val="C00000"/>
          <w:sz w:val="18"/>
        </w:rPr>
        <w:t>13</w:t>
      </w:r>
      <w:r w:rsidR="006514BC" w:rsidRPr="006514BC">
        <w:fldChar w:fldCharType="end"/>
      </w:r>
      <w:r w:rsidRPr="006514BC">
        <w:t>).</w:t>
      </w:r>
    </w:p>
    <w:p w14:paraId="045CF135" w14:textId="77777777" w:rsidR="00EF1D5F" w:rsidRDefault="00EF1D5F" w:rsidP="00D077D7">
      <w:pPr>
        <w:pBdr>
          <w:top w:val="nil"/>
          <w:left w:val="nil"/>
          <w:bottom w:val="nil"/>
          <w:right w:val="nil"/>
          <w:between w:val="nil"/>
        </w:pBdr>
        <w:spacing w:line="220" w:lineRule="auto"/>
        <w:rPr>
          <w:color w:val="C00000"/>
          <w:sz w:val="18"/>
          <w:szCs w:val="18"/>
        </w:rPr>
      </w:pPr>
    </w:p>
    <w:p w14:paraId="7C9E2164" w14:textId="77777777" w:rsidR="00EF1D5F" w:rsidRDefault="00EF1D5F" w:rsidP="00D077D7">
      <w:pPr>
        <w:pBdr>
          <w:top w:val="nil"/>
          <w:left w:val="nil"/>
          <w:bottom w:val="nil"/>
          <w:right w:val="nil"/>
          <w:between w:val="nil"/>
        </w:pBdr>
        <w:spacing w:line="220" w:lineRule="auto"/>
        <w:rPr>
          <w:color w:val="C00000"/>
          <w:sz w:val="18"/>
          <w:szCs w:val="18"/>
        </w:rPr>
      </w:pPr>
    </w:p>
    <w:p w14:paraId="597400CC" w14:textId="105B203C" w:rsidR="00EF1D5F" w:rsidRPr="006514BC" w:rsidRDefault="00EF1D5F" w:rsidP="006514BC">
      <w:pPr>
        <w:pStyle w:val="Descripcin"/>
        <w:jc w:val="center"/>
        <w:rPr>
          <w:sz w:val="18"/>
        </w:rPr>
      </w:pPr>
      <w:bookmarkStart w:id="354" w:name="_Ref165142383"/>
      <w:bookmarkStart w:id="355" w:name="_Toc165169989"/>
      <w:r w:rsidRPr="006514BC">
        <w:rPr>
          <w:noProof/>
          <w:color w:val="C00000"/>
          <w:sz w:val="18"/>
        </w:rPr>
        <w:drawing>
          <wp:anchor distT="0" distB="0" distL="114300" distR="114300" simplePos="0" relativeHeight="251770880" behindDoc="0" locked="0" layoutInCell="1" hidden="0" allowOverlap="1" wp14:anchorId="1C2167C4" wp14:editId="0A968294">
            <wp:simplePos x="0" y="0"/>
            <wp:positionH relativeFrom="column">
              <wp:posOffset>142875</wp:posOffset>
            </wp:positionH>
            <wp:positionV relativeFrom="paragraph">
              <wp:posOffset>206375</wp:posOffset>
            </wp:positionV>
            <wp:extent cx="5331460" cy="3073400"/>
            <wp:effectExtent l="0" t="0" r="2540" b="0"/>
            <wp:wrapTopAndBottom/>
            <wp:docPr id="2133516003" name="image5.png"/>
            <wp:cNvGraphicFramePr/>
            <a:graphic xmlns:a="http://schemas.openxmlformats.org/drawingml/2006/main">
              <a:graphicData uri="http://schemas.openxmlformats.org/drawingml/2006/picture">
                <pic:pic xmlns:pic="http://schemas.openxmlformats.org/drawingml/2006/picture">
                  <pic:nvPicPr>
                    <pic:cNvPr id="2133516003" name="image5.png"/>
                    <pic:cNvPicPr preferRelativeResize="0"/>
                  </pic:nvPicPr>
                  <pic:blipFill>
                    <a:blip r:embed="rId136" cstate="print">
                      <a:extLst>
                        <a:ext uri="{28A0092B-C50C-407E-A947-70E740481C1C}">
                          <a14:useLocalDpi xmlns:a14="http://schemas.microsoft.com/office/drawing/2010/main" val="0"/>
                        </a:ext>
                      </a:extLst>
                    </a:blip>
                    <a:srcRect l="1211" r="1211"/>
                    <a:stretch>
                      <a:fillRect/>
                    </a:stretch>
                  </pic:blipFill>
                  <pic:spPr bwMode="auto">
                    <a:xfrm>
                      <a:off x="0" y="0"/>
                      <a:ext cx="5331460" cy="3073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14BC" w:rsidRPr="006514BC">
        <w:rPr>
          <w:color w:val="C00000"/>
          <w:sz w:val="18"/>
        </w:rPr>
        <w:t xml:space="preserve">Figura </w:t>
      </w:r>
      <w:r w:rsidR="006514BC" w:rsidRPr="006514BC">
        <w:rPr>
          <w:color w:val="C00000"/>
          <w:sz w:val="18"/>
        </w:rPr>
        <w:fldChar w:fldCharType="begin"/>
      </w:r>
      <w:r w:rsidR="006514BC" w:rsidRPr="006514BC">
        <w:rPr>
          <w:color w:val="C00000"/>
          <w:sz w:val="18"/>
        </w:rPr>
        <w:instrText xml:space="preserve"> SEQ Figura \* ARABIC </w:instrText>
      </w:r>
      <w:r w:rsidR="006514BC" w:rsidRPr="006514BC">
        <w:rPr>
          <w:color w:val="C00000"/>
          <w:sz w:val="18"/>
        </w:rPr>
        <w:fldChar w:fldCharType="separate"/>
      </w:r>
      <w:r w:rsidR="00D01651">
        <w:rPr>
          <w:noProof/>
          <w:color w:val="C00000"/>
          <w:sz w:val="18"/>
        </w:rPr>
        <w:t>13</w:t>
      </w:r>
      <w:r w:rsidR="006514BC" w:rsidRPr="006514BC">
        <w:rPr>
          <w:color w:val="C00000"/>
          <w:sz w:val="18"/>
        </w:rPr>
        <w:fldChar w:fldCharType="end"/>
      </w:r>
      <w:bookmarkEnd w:id="354"/>
      <w:r w:rsidR="006514BC" w:rsidRPr="006514BC">
        <w:rPr>
          <w:color w:val="C00000"/>
          <w:sz w:val="18"/>
        </w:rPr>
        <w:t xml:space="preserve">. </w:t>
      </w:r>
      <w:r w:rsidRPr="006514BC">
        <w:rPr>
          <w:sz w:val="18"/>
        </w:rPr>
        <w:t>Objetivo 4: Bogotá ordena su territorio y avanza en su acción climática</w:t>
      </w:r>
      <w:bookmarkEnd w:id="355"/>
    </w:p>
    <w:p w14:paraId="524F7B88" w14:textId="77777777" w:rsidR="00EF1D5F" w:rsidRDefault="00EF1D5F">
      <w:pPr>
        <w:pBdr>
          <w:top w:val="nil"/>
          <w:left w:val="nil"/>
          <w:bottom w:val="nil"/>
          <w:right w:val="nil"/>
          <w:between w:val="nil"/>
        </w:pBdr>
        <w:spacing w:line="220" w:lineRule="auto"/>
        <w:jc w:val="center"/>
        <w:rPr>
          <w:color w:val="3B3838"/>
          <w:sz w:val="18"/>
          <w:szCs w:val="18"/>
        </w:rPr>
      </w:pPr>
    </w:p>
    <w:p w14:paraId="4E43000D" w14:textId="77777777"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SDP, Subsecretaría de Planeación de la Inversión.</w:t>
      </w:r>
    </w:p>
    <w:p w14:paraId="7B65BEEC" w14:textId="77777777" w:rsidR="00EF1D5F" w:rsidRDefault="00EF1D5F"/>
    <w:p w14:paraId="095A5986" w14:textId="77777777" w:rsidR="00EF1D5F" w:rsidRDefault="00EF1D5F">
      <w:pPr>
        <w:sectPr w:rsidR="00EF1D5F" w:rsidSect="00F7078E">
          <w:type w:val="continuous"/>
          <w:pgSz w:w="12240" w:h="15840"/>
          <w:pgMar w:top="2262" w:right="1440" w:bottom="1440" w:left="1440" w:header="709" w:footer="709" w:gutter="0"/>
          <w:cols w:space="720"/>
        </w:sectPr>
      </w:pPr>
    </w:p>
    <w:p w14:paraId="6A2931D5" w14:textId="77777777" w:rsidR="00EF1D5F" w:rsidRPr="00354C8E" w:rsidRDefault="00EF1D5F" w:rsidP="00354C8E">
      <w:r w:rsidRPr="00354C8E">
        <w:t xml:space="preserve">En el marco de este objetivo, las estrategias y programas se articulan específicamente con los objetivos de desarrollo sostenible: ODS 6. Agua Limpia y Saneamiento, garantizar la disponibilidad de agua y el saneamiento básico para toda la ciudadanía; ODS 7. Energía Asequible y no Contaminante, asegurar la generación de energía sostenible en sistemas urbanos de drenaje, </w:t>
      </w:r>
      <w:r w:rsidRPr="00354C8E">
        <w:t xml:space="preserve">sostenible y competitiva, la transformación de residuos para la reducción de gases de efecto invernadero (GEI) y emisiones contaminantes; ODS 11. Ciudades y Comunidades Sostenibles, lograr que todas las personas en Bogotá accedan a un aire limpio, con viviendas y servicios básicos adecuados, seguros y asequibles y mejorar los barrios marginales; ODS 12. Producción y </w:t>
      </w:r>
      <w:r w:rsidRPr="00354C8E">
        <w:lastRenderedPageBreak/>
        <w:t xml:space="preserve">Consumo Responsable, donde la economía circular será el modelo que adoptará Bogotá para estimular la reducción de residuos por disponer en el relleno sanitario; ODS 13. Acción por el Clima, uno de los retos es apostarle a avanzar en las políticas públicas de acción climática, con planes de mitigación de riesgos, preparación, respuesta y recuperación a los desastres </w:t>
      </w:r>
      <w:r w:rsidRPr="00354C8E">
        <w:t>naturales, especialmente en zonas de alto riesgo, y ODS 15. Vida de Ecosistemas Terrestres, asegurar la conservación y el uso sostenible de los ecosistemas de agua y sus servicios, en particular los bosques, los humedales, los ríos, los cerros, y el tráfico de flora y fauna, entre otros elementos.</w:t>
      </w:r>
    </w:p>
    <w:p w14:paraId="4969B582" w14:textId="77777777" w:rsidR="00EF1D5F" w:rsidRDefault="00EF1D5F" w:rsidP="00354C8E">
      <w:pPr>
        <w:sectPr w:rsidR="00EF1D5F" w:rsidSect="00F7078E">
          <w:type w:val="continuous"/>
          <w:pgSz w:w="12240" w:h="15840"/>
          <w:pgMar w:top="2262" w:right="1440" w:bottom="1440" w:left="1440" w:header="709" w:footer="709" w:gutter="0"/>
          <w:cols w:num="2" w:space="567"/>
        </w:sectPr>
      </w:pPr>
    </w:p>
    <w:p w14:paraId="7765231A" w14:textId="77777777" w:rsidR="00EF1D5F" w:rsidRDefault="00EF1D5F" w:rsidP="00354C8E"/>
    <w:p w14:paraId="29B16BBB" w14:textId="77777777" w:rsidR="00EF1D5F" w:rsidRPr="003658A3" w:rsidRDefault="00EF1D5F" w:rsidP="003658A3">
      <w:pPr>
        <w:sectPr w:rsidR="00EF1D5F" w:rsidRPr="003658A3" w:rsidSect="00F7078E">
          <w:type w:val="continuous"/>
          <w:pgSz w:w="12240" w:h="15840"/>
          <w:pgMar w:top="2262" w:right="1440" w:bottom="1440" w:left="1440" w:header="709" w:footer="709" w:gutter="0"/>
          <w:cols w:space="567"/>
        </w:sectPr>
      </w:pPr>
    </w:p>
    <w:p w14:paraId="167EA23A" w14:textId="0FEE048C" w:rsidR="00EF1D5F" w:rsidRPr="00504C55" w:rsidRDefault="00EF1D5F" w:rsidP="00504C55">
      <w:pPr>
        <w:pStyle w:val="Ttulo3"/>
        <w:rPr>
          <w:color w:val="C00000"/>
        </w:rPr>
      </w:pPr>
      <w:bookmarkStart w:id="356" w:name="_Toc165169786"/>
      <w:r w:rsidRPr="00504C55">
        <w:rPr>
          <w:color w:val="C00000"/>
        </w:rPr>
        <w:t>Estrategias</w:t>
      </w:r>
      <w:bookmarkEnd w:id="356"/>
    </w:p>
    <w:p w14:paraId="132254E1" w14:textId="77777777" w:rsidR="00EF1D5F" w:rsidRDefault="00EF1D5F">
      <w:pPr>
        <w:tabs>
          <w:tab w:val="left" w:pos="851"/>
        </w:tabs>
        <w:ind w:left="1134" w:hanging="708"/>
        <w:sectPr w:rsidR="00EF1D5F" w:rsidSect="00F7078E">
          <w:type w:val="continuous"/>
          <w:pgSz w:w="12240" w:h="15840"/>
          <w:pgMar w:top="2262" w:right="1440" w:bottom="1440" w:left="1440" w:header="709" w:footer="709" w:gutter="0"/>
          <w:cols w:num="2" w:space="720" w:equalWidth="0">
            <w:col w:w="4396" w:space="567"/>
            <w:col w:w="4396" w:space="0"/>
          </w:cols>
        </w:sectPr>
      </w:pPr>
    </w:p>
    <w:p w14:paraId="68504836" w14:textId="3322FFE4" w:rsidR="00EF1D5F" w:rsidRDefault="00EF1D5F" w:rsidP="003658A3">
      <w:pPr>
        <w:keepNext/>
        <w:keepLines/>
        <w:pBdr>
          <w:top w:val="nil"/>
          <w:left w:val="nil"/>
          <w:bottom w:val="nil"/>
          <w:right w:val="nil"/>
          <w:between w:val="nil"/>
        </w:pBdr>
        <w:spacing w:line="340" w:lineRule="auto"/>
        <w:jc w:val="left"/>
        <w:rPr>
          <w:b/>
          <w:color w:val="3B3838"/>
          <w:sz w:val="28"/>
          <w:szCs w:val="28"/>
        </w:rPr>
        <w:sectPr w:rsidR="00EF1D5F" w:rsidSect="00F7078E">
          <w:type w:val="continuous"/>
          <w:pgSz w:w="12240" w:h="15840"/>
          <w:pgMar w:top="2262" w:right="1440" w:bottom="1440" w:left="1440" w:header="709" w:footer="709" w:gutter="0"/>
          <w:cols w:space="720"/>
        </w:sectPr>
      </w:pPr>
      <w:r>
        <w:rPr>
          <w:b/>
          <w:color w:val="3B3838"/>
          <w:sz w:val="28"/>
          <w:szCs w:val="28"/>
        </w:rPr>
        <w:t>Bogotá le apuesta a un desarrollo urbano-rural integral y sostenible</w:t>
      </w:r>
    </w:p>
    <w:p w14:paraId="6AEF30C2" w14:textId="77777777" w:rsidR="00EF1D5F" w:rsidRDefault="00EF1D5F">
      <w:r>
        <w:t>Con el objetivo de garantizar un ordenamiento participativo e incluyente del territorio debemos fortalecer el rol de los operadores urbanos y públicos, y promover la participación ciudadana con enfoque de género y poblacional, dando soluciones a las conflictividades en la planificación urbana y rural. Esto, mediante la articulación y armonización de los instrumentos de ordenamiento territorial y ambiental de escalas local, distrital y regional, además del reconocimiento de los hechos metropolitanos en materia ambiental y de ordenamiento territorial de hábitat y servicios públicos.</w:t>
      </w:r>
    </w:p>
    <w:p w14:paraId="752E66F4" w14:textId="77777777" w:rsidR="00EF1D5F" w:rsidRDefault="00EF1D5F"/>
    <w:p w14:paraId="10308ED0" w14:textId="77777777" w:rsidR="00EF1D5F" w:rsidRDefault="00EF1D5F">
      <w:r>
        <w:t>Lo anterior supone acciones orientadas a la protección de los territorios rurales del Distrito Capital, los cuales son soporte de la vida en Bogotá y la región, a la vez que son la sede de valiosos elementos de la Estructura Ecológica Principal distrital y de una gran variedad de paisajes y un patrimonio campesino y rural; además de la presencia de bordes urbano-rurales de gran complejidad, que demandan un foco diferencial en el accionar institucional para cumplir el cometido de tener una Bogotá más incluyente y diversa.</w:t>
      </w:r>
    </w:p>
    <w:p w14:paraId="31E371E4" w14:textId="77777777" w:rsidR="00EF1D5F" w:rsidRDefault="00EF1D5F"/>
    <w:p w14:paraId="7D9517BC" w14:textId="77777777" w:rsidR="00EF1D5F" w:rsidRDefault="00EF1D5F">
      <w:r>
        <w:t xml:space="preserve">Con la Revitalización como estrategia de desarrollo urbano, que permite adelantar ciclos de intervención en el espacio público (vías, equipamientos y parques) en áreas de la ciudad no incluidas en los instrumentos de planeamiento del POT, localizadas en torno a la infraestructura de </w:t>
      </w:r>
      <w:r>
        <w:t>transporte, cuyo objetivo consiste en adaptarse al cambio climático y brindar mejores condiciones urbanas en la ciudad construida con entornos más seguros, resilientes, sostenibles  y atractivos para el desarrollo económico, que promuevan el equilibrio social y ambiental del territorio y además permitan recibir adecuadamente nuevas densidades de población con diferentes tipos de soluciones de vivienda social en el marco del derecho a la ciudad y el derecho fundamental a la vida digna.</w:t>
      </w:r>
    </w:p>
    <w:p w14:paraId="5BBC7451" w14:textId="77777777" w:rsidR="00EF1D5F" w:rsidRDefault="00EF1D5F"/>
    <w:p w14:paraId="67C72C5A" w14:textId="77777777" w:rsidR="00EF1D5F" w:rsidRDefault="00EF1D5F">
      <w:r>
        <w:t xml:space="preserve">Con la ejecución de los programas de ordenamiento territorial sostenible y la revitalización y renovación urbana y rural adaptada y con inclusión, se avanzará en consolidar a Bogotá con un modelo de ordenamiento territorial en sus diferentes escalas. Así, se logrará una visión integral en el mejoramiento de la ciudad construida, con acciones dirigidas a los barrios de borde y asentamientos informales de desarrollo incompleto o deficitarios, para garantizar el derecho a una vida digna y mejorar las condiciones del hábitat y de sus territorios; igualmente, la revitalización urbana permitirá recualificar las áreas de consolidación y de renovación urbana, vinculándolas a las dinámicas patrimoniales, ambientales, sociales y culturales, que protejan a moradores y garanticen la permanencia, mediante intervenciones integrales, incluyendo principios de servicios ecosistémicos, ecourbanismo y construcción sostenible. Las intervenciones para generar infraestructura urbana, espacio público y </w:t>
      </w:r>
      <w:r>
        <w:lastRenderedPageBreak/>
        <w:t>equipamientos serán un regulador de la revitalización y la renovación urbana, ya que permitirán detener el deterioro físico, social y ambiental de zonas estratégicas de Bogotá, mejorar la relación entre la capacidad de carga y la futura densidad y, a su vez, atraer la inversión privada para el desarrollo de las mismas.</w:t>
      </w:r>
    </w:p>
    <w:p w14:paraId="5EFD6C3C" w14:textId="77777777" w:rsidR="00EF1D5F" w:rsidRDefault="00EF1D5F"/>
    <w:p w14:paraId="3B2E1715" w14:textId="77777777" w:rsidR="00EF1D5F" w:rsidRDefault="00EF1D5F">
      <w:r>
        <w:t xml:space="preserve">Conforme con lo anterior, la revitalización y la renovación serán referentes que soporten el modelo de ocupación territorial de Bogotá. Se resalta la importancia de tener una mirada que reconozca los procesos de valoración y reflexión de los diferentes grupos poblacionales involucrados en las dinámicas culturales, económicas, ambientales en la ciudad, que constituyen las diferentes formas de habitar el territorio. Así mismo la evaluación de las infraestructuras generales y locales para la localización de nuevas densidades para aumentar la resiliencia. En este sentido, con la inclusión de la gestión de los patrimonios como componente estructurante de las decisiones de ordenamiento </w:t>
      </w:r>
      <w:r>
        <w:t>territorial en suelo urbano, rural y de escala regional, se precisa el vínculo cultura/territorio y en particular como aportante al imperativo de detener el deterioro del hábitat y de reutilizar los recursos físicos y urbanos de la ciudad.</w:t>
      </w:r>
    </w:p>
    <w:p w14:paraId="72385FEF" w14:textId="77777777" w:rsidR="00EF1D5F" w:rsidRDefault="00EF1D5F"/>
    <w:p w14:paraId="77C555D2" w14:textId="77777777" w:rsidR="00EF1D5F" w:rsidRDefault="00EF1D5F">
      <w:r>
        <w:t>De la misma forma, a través del programa aumento de la resiliencia climática y reducción de la vulnerabilidad en los espacios de la Región Metropolitana Bogotá Cundinamarca, la RAPE y la CAR, se trabajará de manera conjunta con los entes territoriales que la conforman en la protección, recuperación, conservación y manejo del capital natural de la región, como las reservas de agua potable, la cuenca del río Bogotá, los páramos, los cerros orientales, el suelo con capacidad agrológica alta y la mejora del transporte regional. Se propone fortalecer el tejido social y comunitario, así como promover la autonomía de los territorios locales para definir su propio futuro y mejorar su calidad de vida y bienestar, incluyendo los escenarios para la adaptación al cambio climático.</w:t>
      </w:r>
    </w:p>
    <w:p w14:paraId="687A5F2F" w14:textId="77777777" w:rsidR="00EF1D5F" w:rsidRDefault="00EF1D5F">
      <w:pPr>
        <w:sectPr w:rsidR="00EF1D5F" w:rsidSect="00F7078E">
          <w:type w:val="continuous"/>
          <w:pgSz w:w="12240" w:h="15840"/>
          <w:pgMar w:top="2262" w:right="1440" w:bottom="1440" w:left="1440" w:header="709" w:footer="709" w:gutter="0"/>
          <w:cols w:num="2" w:space="720" w:equalWidth="0">
            <w:col w:w="4396" w:space="567"/>
            <w:col w:w="4396" w:space="0"/>
          </w:cols>
        </w:sectPr>
      </w:pPr>
    </w:p>
    <w:p w14:paraId="29E3265E" w14:textId="77777777" w:rsidR="00EF1D5F" w:rsidRDefault="00EF1D5F"/>
    <w:p w14:paraId="0A43A45E" w14:textId="555E16B2" w:rsidR="00EF1D5F" w:rsidRPr="00504C55" w:rsidRDefault="00EF1D5F" w:rsidP="00504C55">
      <w:pPr>
        <w:rPr>
          <w:b/>
          <w:bCs/>
          <w:sz w:val="28"/>
          <w:szCs w:val="32"/>
        </w:rPr>
        <w:sectPr w:rsidR="00EF1D5F" w:rsidRPr="00504C55" w:rsidSect="00F7078E">
          <w:type w:val="continuous"/>
          <w:pgSz w:w="12240" w:h="15840"/>
          <w:pgMar w:top="2262" w:right="1440" w:bottom="1440" w:left="1440" w:header="709" w:footer="709" w:gutter="0"/>
          <w:cols w:space="720"/>
        </w:sectPr>
      </w:pPr>
      <w:r w:rsidRPr="00504C55">
        <w:rPr>
          <w:b/>
          <w:bCs/>
          <w:sz w:val="28"/>
          <w:szCs w:val="32"/>
        </w:rPr>
        <w:t>Bogotá protege el ambiente y se compromete con la acción climática</w:t>
      </w:r>
    </w:p>
    <w:p w14:paraId="600550CF" w14:textId="77777777" w:rsidR="00EF1D5F" w:rsidRDefault="00EF1D5F">
      <w:r>
        <w:t>Con el fin de reducir la vulnerabilidad del territorio y las poblaciones ante las amenazas climáticas y aumentar la resiliencia, y teniendo como marco las políticas ambientales del Distrito Capital buscaremos reducir las emisiones de GEI; aumentar la conservación de la biodiversidad; fomentar la transición hacia la economía circular con hábitos, prácticas, actitudes y estilos de vida sostenibles; promover en los actores económicos de la ciudad patrones de producción y consumo sostenibles, así como fortalecer la gestión del ciclo de materiales en su aprovechamiento, tratamiento y valorización.</w:t>
      </w:r>
    </w:p>
    <w:p w14:paraId="46FA0AE9" w14:textId="77777777" w:rsidR="00EF1D5F" w:rsidRDefault="00EF1D5F"/>
    <w:p w14:paraId="01817433" w14:textId="77777777" w:rsidR="00EF1D5F" w:rsidRDefault="00EF1D5F">
      <w:r>
        <w:t xml:space="preserve">En términos de adaptación es de vital importancia generar y apropiar el conocimiento de los ecosistemas, el aumento y mejoramiento de las coberturas vegetales urbanas y rurales y la aplicación de soluciones basadas en la naturaleza (SbN), que permitan avanzar en la consolidación de la Estructura Ecológica Principal. En </w:t>
      </w:r>
      <w:r>
        <w:t>términos de mitigación, se proponen soluciones de energías alternativas, con mejoras en la eficiencia, y un sistema de transporte sostenible. También se busca adoptar un nuevo modelo de aprovechamiento de residuos que no dependa del enterramiento ni del transporte de desechos sin clasificar, es decir, que disminuya el porcentaje de residuos que se transporta sin clasificar y que se dispone de manera final en un relleno sanitario, avanzar en las acciones para el saneamiento del río Bogotá y gestionar el proyecto PTAR Canoas, que en el mediano plazo permitirá incrementar la capacidad de tratamiento de aguas residuales.</w:t>
      </w:r>
    </w:p>
    <w:p w14:paraId="5E537D0D" w14:textId="77777777" w:rsidR="00EF1D5F" w:rsidRDefault="00EF1D5F"/>
    <w:p w14:paraId="43F1423A" w14:textId="77777777" w:rsidR="00EF1D5F" w:rsidRDefault="00EF1D5F">
      <w:r>
        <w:t xml:space="preserve">Lo anterior también implica dar atención a la población que se ha asentado en zonas protegidas o de alto riesgo ecosistémico —principalmente migrantes y desplazados climáticos— con soluciones territoriales, como la reubicación para la protección e inclusión. Así como, construir </w:t>
      </w:r>
      <w:r>
        <w:lastRenderedPageBreak/>
        <w:t>comunidades y territorios seguros y resilientes frente a los impactos del cambio climático. Adicionalmente, se integrarán criterios de adaptación en proyectos de infraestructura. La estrategia también incluirá acciones transversales como: la construcción de una gobernanza participativa, un ordenamiento territorial para la resiliencia y la carbono-neutralidad, y un enfoque diferencial y de género para la inclusión y la justicia climática. En el mismo sentido, en zonas de amenaza y riesgo no mitigable, se realizarán acciones de mitigación de los riesgos para salvaguardar la integridad del territorio y la vida humana.</w:t>
      </w:r>
    </w:p>
    <w:p w14:paraId="19867C98" w14:textId="77777777" w:rsidR="00EF1D5F" w:rsidRDefault="00EF1D5F"/>
    <w:p w14:paraId="57669EAC" w14:textId="77777777" w:rsidR="00EF1D5F" w:rsidRDefault="00EF1D5F">
      <w:r>
        <w:t>Esta estrategia integra el ejercicio de la autoridad ambiental distrital desde el control a los factores de deterioro de los recursos naturales, otorgando permisos y licencias, hasta la aplicación de las sanciones correspondientes. Incluye la generación y promoción de proyectos que contribuyan a mejorar la calidad del aire y reducir las emisiones de GEI con la implementación y seguimiento a las acciones establecidas en Plan Aire 2030 y la Política Pública de Acción Climática, modelamiento y alertas de calidad del aire e inventarios de emisiones de contaminantes atmosféricos y de GEI.</w:t>
      </w:r>
    </w:p>
    <w:p w14:paraId="16E202F4" w14:textId="77777777" w:rsidR="00EF1D5F" w:rsidRDefault="00EF1D5F"/>
    <w:p w14:paraId="779815A4" w14:textId="77777777" w:rsidR="00EF1D5F" w:rsidRDefault="00EF1D5F">
      <w:r>
        <w:t>La presencia en el territorio de la autoridad ambiental se debe dar de manera coordinada con el sector de Gobierno a través de las alcaldías locales, ya que son ellas las que deben realizar las acciones de presencia institucional necesarias para permitir la consolidación de un ambiente sano en cada uno de los barrios de la ciudad y, a su vez, motivar el cumplimiento voluntario de la normatividad ambiental que rige los recursos naturales.</w:t>
      </w:r>
    </w:p>
    <w:p w14:paraId="20832DF7" w14:textId="77777777" w:rsidR="00EF1D5F" w:rsidRDefault="00EF1D5F"/>
    <w:p w14:paraId="63871A18" w14:textId="77777777" w:rsidR="00EF1D5F" w:rsidRDefault="00EF1D5F">
      <w:r>
        <w:t xml:space="preserve">Un tema central en la adaptación del territorio al cambio climático está asociado a la forma como se manejarán los servicios públicos. </w:t>
      </w:r>
      <w:r>
        <w:t>Debemos migrar hacia un modelo circular restaurativo y regenerativo en el manejo del agua, alcantarillado y residuos sólidos, con proyectos como la planta de tratamiento de aguas residuales Canoas y la optimización de la gestión de residuos sólidos. Así como también la mejora en el diseño y ejecución de las infraestructuras locales para recibir las nuevas densidades. Igualmente, se mejorará la base de información geoestadística asociada a la gestión de residuos para una mejor toma de decisiones. Así mismo, se buscará la adecuación de la infraestructura y ampliación de la capacidad y disponibilidad asociada a la prestación de servicios funerarios de los cementerios del Distrito.</w:t>
      </w:r>
    </w:p>
    <w:p w14:paraId="510101DB" w14:textId="77777777" w:rsidR="00EF1D5F" w:rsidRDefault="00EF1D5F"/>
    <w:p w14:paraId="2EB1010E" w14:textId="77777777" w:rsidR="00EF1D5F" w:rsidRDefault="00EF1D5F">
      <w:r>
        <w:t>Con los programas asociados a esta estrategia, aumentaremos la resiliencia climática y reduciremos la vulnerabilidad de la ciudad, lo que ha de incidir en la gestión del riesgo de desastres, buscando un territorio seguro. Esto implica mitigar los riesgos en el territorio, reasentar comunidades; conservar la biodiversidad con enfoque regional; fortalecer capacidades institucionales en la gestión integral de riesgos de incendios, eventos hidrometeorológicos y la atención de rescates e incidentes; recuperación del río Bogotá con la construcción de infraestructura de protección y saneamiento, y obras complementarias sobre los vertimientos. El programa de movilidad sostenible plantea un cambio de paradigma que involucra un sistema descarbonizado y sus modos alternativos (transporte eléctrico y de energías de bajas emisiones) y que acoja los principios de una ciudad de proximidad.</w:t>
      </w:r>
    </w:p>
    <w:p w14:paraId="57824F66" w14:textId="77777777" w:rsidR="00EF1D5F" w:rsidRDefault="00EF1D5F"/>
    <w:p w14:paraId="7F0D61B8" w14:textId="44A3A426" w:rsidR="00EF1D5F" w:rsidRDefault="00EF1D5F">
      <w:pPr>
        <w:sectPr w:rsidR="00EF1D5F" w:rsidSect="00F7078E">
          <w:type w:val="continuous"/>
          <w:pgSz w:w="12240" w:h="15840"/>
          <w:pgMar w:top="2262" w:right="1440" w:bottom="1440" w:left="1440" w:header="709" w:footer="709" w:gutter="0"/>
          <w:cols w:num="2" w:space="720" w:equalWidth="0">
            <w:col w:w="4396" w:space="567"/>
            <w:col w:w="4396" w:space="0"/>
          </w:cols>
        </w:sectPr>
      </w:pPr>
      <w:r>
        <w:t>Igualmente, el programa de reducción de emisiones y control del deterioro ambiental integra acciones de mitigación para reducir los impactos ambientales con acciones de seguimiento y control de la autoridad ambiental.</w:t>
      </w:r>
    </w:p>
    <w:p w14:paraId="4E823CC5" w14:textId="77777777" w:rsidR="00504C55" w:rsidRDefault="00504C55">
      <w:pPr>
        <w:spacing w:line="240" w:lineRule="auto"/>
        <w:jc w:val="left"/>
        <w:rPr>
          <w:rFonts w:eastAsiaTheme="majorEastAsia" w:cstheme="majorBidi"/>
          <w:b/>
          <w:sz w:val="28"/>
          <w:szCs w:val="26"/>
          <w:lang w:eastAsia="en-US"/>
        </w:rPr>
      </w:pPr>
      <w:r>
        <w:br w:type="page"/>
      </w:r>
    </w:p>
    <w:p w14:paraId="18FF0AF1" w14:textId="311D5CEA" w:rsidR="00EF1D5F" w:rsidRPr="00504C55" w:rsidRDefault="00EF1D5F" w:rsidP="00504C55">
      <w:pPr>
        <w:rPr>
          <w:b/>
          <w:bCs/>
          <w:sz w:val="28"/>
          <w:szCs w:val="32"/>
        </w:rPr>
        <w:sectPr w:rsidR="00EF1D5F" w:rsidRPr="00504C55" w:rsidSect="00F7078E">
          <w:type w:val="continuous"/>
          <w:pgSz w:w="12240" w:h="15840"/>
          <w:pgMar w:top="2262" w:right="1440" w:bottom="1440" w:left="1440" w:header="709" w:footer="709" w:gutter="0"/>
          <w:cols w:space="720"/>
        </w:sectPr>
      </w:pPr>
      <w:r w:rsidRPr="00504C55">
        <w:rPr>
          <w:b/>
          <w:bCs/>
          <w:sz w:val="28"/>
          <w:szCs w:val="32"/>
        </w:rPr>
        <w:lastRenderedPageBreak/>
        <w:t>Bogotá le apuesta a un hábitat incluyente</w:t>
      </w:r>
    </w:p>
    <w:p w14:paraId="0B538F34" w14:textId="77777777" w:rsidR="00EF1D5F" w:rsidRPr="0082198D" w:rsidRDefault="00EF1D5F">
      <w:pPr>
        <w:rPr>
          <w:spacing w:val="-6"/>
        </w:rPr>
      </w:pPr>
      <w:r w:rsidRPr="0082198D">
        <w:rPr>
          <w:spacing w:val="-6"/>
        </w:rPr>
        <w:t>Debemos buscar mejorar y aumentar el acceso a la vivienda con servicios públicos de calidad, con espacio público y servicios de cuidado de proximidad. Lo anterior con énfasis en la economía circular para la reducción de contaminantes.</w:t>
      </w:r>
    </w:p>
    <w:p w14:paraId="1FA97497" w14:textId="77777777" w:rsidR="00EF1D5F" w:rsidRPr="0082198D" w:rsidRDefault="00EF1D5F">
      <w:pPr>
        <w:rPr>
          <w:spacing w:val="-6"/>
        </w:rPr>
      </w:pPr>
    </w:p>
    <w:p w14:paraId="42EA8F42" w14:textId="77777777" w:rsidR="00EF1D5F" w:rsidRPr="0082198D" w:rsidRDefault="00EF1D5F">
      <w:pPr>
        <w:rPr>
          <w:spacing w:val="-6"/>
        </w:rPr>
      </w:pPr>
      <w:r w:rsidRPr="0082198D">
        <w:rPr>
          <w:spacing w:val="-6"/>
        </w:rPr>
        <w:t>Promoveremos el mejoramiento de las condiciones del hábitat con enfoque de derechos humanos y de género en las diferentes acciones y fomentaremos el mejoramiento de vivienda existente y sus soportes urbanos para los sectores de mejoramiento integral, particularmente en los polígonos de intervención prioritaria, definidos en el POT y el Plan de Intervención para Mejoramiento Integral (PIMI) Hábitat.</w:t>
      </w:r>
    </w:p>
    <w:p w14:paraId="3B86BEFA" w14:textId="77777777" w:rsidR="00EF1D5F" w:rsidRPr="0082198D" w:rsidRDefault="00EF1D5F">
      <w:pPr>
        <w:rPr>
          <w:spacing w:val="-6"/>
        </w:rPr>
      </w:pPr>
    </w:p>
    <w:p w14:paraId="3B595B28" w14:textId="77777777" w:rsidR="00EF1D5F" w:rsidRPr="0082198D" w:rsidRDefault="00EF1D5F">
      <w:pPr>
        <w:rPr>
          <w:spacing w:val="-6"/>
        </w:rPr>
      </w:pPr>
      <w:r w:rsidRPr="0082198D">
        <w:rPr>
          <w:spacing w:val="-6"/>
        </w:rPr>
        <w:t>Concretamente, en el caso de vivienda, se fortalecerán los mecanismos de acceso, impulsando la construcción de vivienda de interés social y vivienda de interés prioritario. Lo anterior, mediante la Ventanilla Única de la Construcción, con la implementación de expedientes digitales que permiten la virtualización de los trámites de construcción, simplificando trámites y reduciendo el número de interacciones innecesarias de los constructores con diferentes entidades distritales en el marco de la aprobación de proyectos.</w:t>
      </w:r>
    </w:p>
    <w:p w14:paraId="6E0ADB4E" w14:textId="77777777" w:rsidR="00EF1D5F" w:rsidRPr="0082198D" w:rsidRDefault="00EF1D5F">
      <w:pPr>
        <w:rPr>
          <w:spacing w:val="-6"/>
        </w:rPr>
      </w:pPr>
    </w:p>
    <w:p w14:paraId="318C2E02" w14:textId="77777777" w:rsidR="00EF1D5F" w:rsidRPr="0082198D" w:rsidRDefault="00EF1D5F">
      <w:pPr>
        <w:rPr>
          <w:spacing w:val="-6"/>
        </w:rPr>
      </w:pPr>
      <w:r w:rsidRPr="0082198D">
        <w:rPr>
          <w:spacing w:val="-6"/>
        </w:rPr>
        <w:t xml:space="preserve">Además de promover la oferta de vivienda nueva y la vivienda en arriendo, también se promoverá la vivienda en edificios en reúso que, mediante el reciclaje de las edificaciones localizadas en ejes priorizados, generarán nuevas soluciones habitacionales. De manera complementaria, para atender la diversidad de territorios se impulsarán proyectos de vivienda productiva, vivienda colectiva, vivienda de interés cultural urbana y rural, propiciando la corresponsabilidad ciudadana y la construcción del tejido social en estos territorios. Así mismo, se </w:t>
      </w:r>
      <w:r w:rsidRPr="0082198D">
        <w:rPr>
          <w:spacing w:val="-6"/>
        </w:rPr>
        <w:t>focalizarán acciones entre los sectores público y privado para desarrollar una oferta inmobiliaria eficiente y centrada en las necesidades de los hogares vulnerables.</w:t>
      </w:r>
    </w:p>
    <w:p w14:paraId="69CDC124" w14:textId="77777777" w:rsidR="00EF1D5F" w:rsidRPr="0082198D" w:rsidRDefault="00EF1D5F">
      <w:pPr>
        <w:rPr>
          <w:spacing w:val="-6"/>
        </w:rPr>
      </w:pPr>
    </w:p>
    <w:p w14:paraId="157767AF" w14:textId="77777777" w:rsidR="00EF1D5F" w:rsidRPr="0082198D" w:rsidRDefault="00EF1D5F">
      <w:pPr>
        <w:rPr>
          <w:spacing w:val="-6"/>
        </w:rPr>
      </w:pPr>
      <w:r w:rsidRPr="0082198D">
        <w:rPr>
          <w:spacing w:val="-6"/>
        </w:rPr>
        <w:t>En cuanto a la mitigación de la segregación socioespacial, se generarán procesos de desarrollo territorial sostenible y equitativo, priorizando el mejoramiento del espacio público y la producción de vivienda de calidad con proximidad a equipamientos sociales. Además, se revisará la reglamentación urbana con la participación de la ciudadanía. Se promoverá la habilitación del suelo para la provisión de vivienda de interés prioritario, social y usos complementarios, con la aplicación de instrumentos de planeación, gestión y mecanismos que faciliten la habilitación normativa.</w:t>
      </w:r>
    </w:p>
    <w:p w14:paraId="20D163BE" w14:textId="77777777" w:rsidR="00EF1D5F" w:rsidRPr="0082198D" w:rsidRDefault="00EF1D5F">
      <w:pPr>
        <w:rPr>
          <w:spacing w:val="-6"/>
        </w:rPr>
      </w:pPr>
    </w:p>
    <w:p w14:paraId="1BEC2839" w14:textId="77777777" w:rsidR="00EF1D5F" w:rsidRDefault="00EF1D5F">
      <w:pPr>
        <w:rPr>
          <w:spacing w:val="-6"/>
        </w:rPr>
      </w:pPr>
      <w:r w:rsidRPr="0082198D">
        <w:rPr>
          <w:spacing w:val="-6"/>
        </w:rPr>
        <w:t>Se priorizarán proyectos urbanos que maximicen el uso eficiente de los inmuebles, además de promover un entorno inclusivo y sostenible. Se atenderán de manera integral las personas reasentadas por condiciones de riesgo no mitigable, asegurando el bienestar de las familias reubicadas a través de la creación de espacios colaborativos y recreativos que fomenten la comunidad y la calidad de vida.</w:t>
      </w:r>
    </w:p>
    <w:p w14:paraId="53B3832E" w14:textId="77777777" w:rsidR="00504C55" w:rsidRPr="0082198D" w:rsidRDefault="00504C55">
      <w:pPr>
        <w:rPr>
          <w:spacing w:val="-6"/>
        </w:rPr>
      </w:pPr>
    </w:p>
    <w:p w14:paraId="4DCFCF06" w14:textId="24431AA4" w:rsidR="00EF1D5F" w:rsidRPr="0082198D" w:rsidRDefault="00504C55">
      <w:pPr>
        <w:rPr>
          <w:color w:val="C00000"/>
          <w:spacing w:val="-6"/>
          <w:sz w:val="18"/>
          <w:szCs w:val="18"/>
        </w:rPr>
        <w:sectPr w:rsidR="00EF1D5F" w:rsidRPr="0082198D" w:rsidSect="00F7078E">
          <w:type w:val="continuous"/>
          <w:pgSz w:w="12240" w:h="15840"/>
          <w:pgMar w:top="2262" w:right="1440" w:bottom="1440" w:left="1440" w:header="709" w:footer="709" w:gutter="0"/>
          <w:cols w:num="2" w:space="720" w:equalWidth="0">
            <w:col w:w="4396" w:space="567"/>
            <w:col w:w="4396" w:space="0"/>
          </w:cols>
        </w:sectPr>
      </w:pPr>
      <w:r>
        <w:rPr>
          <w:spacing w:val="-6"/>
        </w:rPr>
        <w:t>A</w:t>
      </w:r>
      <w:r w:rsidR="00EF1D5F" w:rsidRPr="0082198D">
        <w:rPr>
          <w:spacing w:val="-6"/>
        </w:rPr>
        <w:t xml:space="preserve">corde </w:t>
      </w:r>
      <w:r w:rsidR="00696772">
        <w:rPr>
          <w:spacing w:val="-6"/>
        </w:rPr>
        <w:t>con e</w:t>
      </w:r>
      <w:r w:rsidR="00EF1D5F" w:rsidRPr="0082198D">
        <w:rPr>
          <w:spacing w:val="-6"/>
        </w:rPr>
        <w:t>l desafío de construir un gobierno diferente</w:t>
      </w:r>
      <w:r w:rsidR="00696772">
        <w:rPr>
          <w:spacing w:val="-6"/>
        </w:rPr>
        <w:t>, y</w:t>
      </w:r>
      <w:r w:rsidR="00EF1D5F" w:rsidRPr="0082198D">
        <w:rPr>
          <w:spacing w:val="-6"/>
        </w:rPr>
        <w:t xml:space="preserve"> con el reto de cambiar la forma </w:t>
      </w:r>
      <w:r w:rsidR="00696772">
        <w:rPr>
          <w:spacing w:val="-6"/>
        </w:rPr>
        <w:t>como</w:t>
      </w:r>
      <w:r w:rsidR="00EF1D5F" w:rsidRPr="0082198D">
        <w:rPr>
          <w:spacing w:val="-6"/>
        </w:rPr>
        <w:t xml:space="preserve"> nos relacionamos con la ciudadanía, se construirá a través de la participación ciudadana un hábitat incluyente en el que los procesos de revitalización y renovación en la ciudad cuenten con el sentir de la comunidad, mediante procesos de colaboración, innovación y corresponsabilidad para garantizar una resiliencia y sostenibilidad del hábitat. Dado el caso se podrá contar con espacios supramunicipales de participación como el Ágora Metropolitana.</w:t>
      </w:r>
    </w:p>
    <w:p w14:paraId="3845FB7D" w14:textId="77777777" w:rsidR="00EF1D5F" w:rsidRDefault="00EF1D5F" w:rsidP="009C2CA9">
      <w:pPr>
        <w:pBdr>
          <w:top w:val="nil"/>
          <w:left w:val="nil"/>
          <w:bottom w:val="nil"/>
          <w:right w:val="nil"/>
          <w:between w:val="nil"/>
        </w:pBdr>
        <w:spacing w:line="220" w:lineRule="auto"/>
        <w:rPr>
          <w:b/>
          <w:color w:val="C00000"/>
          <w:sz w:val="18"/>
          <w:szCs w:val="18"/>
        </w:rPr>
      </w:pPr>
    </w:p>
    <w:p w14:paraId="6FCDA9DF" w14:textId="01317460" w:rsidR="00EF1D5F" w:rsidRDefault="00EF1D5F">
      <w:pPr>
        <w:pBdr>
          <w:top w:val="nil"/>
          <w:left w:val="nil"/>
          <w:bottom w:val="nil"/>
          <w:right w:val="nil"/>
          <w:between w:val="nil"/>
        </w:pBdr>
        <w:spacing w:line="220" w:lineRule="auto"/>
        <w:jc w:val="center"/>
        <w:rPr>
          <w:b/>
          <w:color w:val="C00000"/>
          <w:sz w:val="18"/>
          <w:szCs w:val="18"/>
        </w:rPr>
      </w:pPr>
    </w:p>
    <w:p w14:paraId="47E12AAF" w14:textId="77777777" w:rsidR="0082198D" w:rsidRDefault="0082198D">
      <w:pPr>
        <w:pBdr>
          <w:top w:val="nil"/>
          <w:left w:val="nil"/>
          <w:bottom w:val="nil"/>
          <w:right w:val="nil"/>
          <w:between w:val="nil"/>
        </w:pBdr>
        <w:spacing w:line="220" w:lineRule="auto"/>
        <w:jc w:val="center"/>
        <w:rPr>
          <w:b/>
          <w:color w:val="C00000"/>
          <w:sz w:val="18"/>
          <w:szCs w:val="18"/>
        </w:rPr>
      </w:pPr>
    </w:p>
    <w:p w14:paraId="07E33CFD" w14:textId="77777777" w:rsidR="0082198D" w:rsidRDefault="0082198D">
      <w:pPr>
        <w:pBdr>
          <w:top w:val="nil"/>
          <w:left w:val="nil"/>
          <w:bottom w:val="nil"/>
          <w:right w:val="nil"/>
          <w:between w:val="nil"/>
        </w:pBdr>
        <w:spacing w:line="220" w:lineRule="auto"/>
        <w:jc w:val="center"/>
        <w:rPr>
          <w:b/>
          <w:color w:val="C00000"/>
          <w:sz w:val="18"/>
          <w:szCs w:val="18"/>
        </w:rPr>
      </w:pPr>
    </w:p>
    <w:p w14:paraId="6A892E4C" w14:textId="77777777" w:rsidR="00696772" w:rsidRDefault="00696772">
      <w:pPr>
        <w:spacing w:line="240" w:lineRule="auto"/>
        <w:jc w:val="left"/>
        <w:rPr>
          <w:b/>
          <w:color w:val="C00000"/>
          <w:sz w:val="18"/>
          <w:szCs w:val="18"/>
        </w:rPr>
      </w:pPr>
      <w:r>
        <w:rPr>
          <w:b/>
          <w:color w:val="C00000"/>
          <w:sz w:val="18"/>
          <w:szCs w:val="18"/>
        </w:rPr>
        <w:br w:type="page"/>
      </w:r>
    </w:p>
    <w:p w14:paraId="3FFACA72" w14:textId="198E2C3A" w:rsidR="00EF1D5F" w:rsidRPr="00696772" w:rsidRDefault="00696772" w:rsidP="00696772">
      <w:pPr>
        <w:pStyle w:val="Descripcin"/>
        <w:jc w:val="center"/>
        <w:rPr>
          <w:color w:val="3B3838"/>
          <w:sz w:val="14"/>
          <w:szCs w:val="14"/>
        </w:rPr>
      </w:pPr>
      <w:bookmarkStart w:id="357" w:name="_Toc165169990"/>
      <w:r w:rsidRPr="00696772">
        <w:rPr>
          <w:color w:val="C00000"/>
          <w:sz w:val="18"/>
          <w:szCs w:val="14"/>
        </w:rPr>
        <w:lastRenderedPageBreak/>
        <w:t xml:space="preserve">Figura </w:t>
      </w:r>
      <w:r w:rsidRPr="00696772">
        <w:rPr>
          <w:color w:val="C00000"/>
          <w:sz w:val="18"/>
          <w:szCs w:val="14"/>
        </w:rPr>
        <w:fldChar w:fldCharType="begin"/>
      </w:r>
      <w:r w:rsidRPr="00696772">
        <w:rPr>
          <w:color w:val="C00000"/>
          <w:sz w:val="18"/>
          <w:szCs w:val="14"/>
        </w:rPr>
        <w:instrText xml:space="preserve"> SEQ Figura \* ARABIC </w:instrText>
      </w:r>
      <w:r w:rsidRPr="00696772">
        <w:rPr>
          <w:color w:val="C00000"/>
          <w:sz w:val="18"/>
          <w:szCs w:val="14"/>
        </w:rPr>
        <w:fldChar w:fldCharType="separate"/>
      </w:r>
      <w:r w:rsidR="00D01651">
        <w:rPr>
          <w:noProof/>
          <w:color w:val="C00000"/>
          <w:sz w:val="18"/>
          <w:szCs w:val="14"/>
        </w:rPr>
        <w:t>14</w:t>
      </w:r>
      <w:r w:rsidRPr="00696772">
        <w:rPr>
          <w:color w:val="C00000"/>
          <w:sz w:val="18"/>
          <w:szCs w:val="14"/>
        </w:rPr>
        <w:fldChar w:fldCharType="end"/>
      </w:r>
      <w:r w:rsidRPr="00696772">
        <w:rPr>
          <w:color w:val="C00000"/>
          <w:sz w:val="18"/>
          <w:szCs w:val="14"/>
        </w:rPr>
        <w:t xml:space="preserve">. </w:t>
      </w:r>
      <w:r w:rsidRPr="00696772">
        <w:rPr>
          <w:sz w:val="18"/>
          <w:szCs w:val="14"/>
        </w:rPr>
        <w:t>Metas Estratégicas Objetivo 4</w:t>
      </w:r>
      <w:bookmarkEnd w:id="357"/>
    </w:p>
    <w:p w14:paraId="133549C3" w14:textId="3C720D19" w:rsidR="00EF1D5F" w:rsidRDefault="0082198D">
      <w:r>
        <w:rPr>
          <w:noProof/>
        </w:rPr>
        <w:drawing>
          <wp:anchor distT="0" distB="0" distL="114300" distR="114300" simplePos="0" relativeHeight="251786240" behindDoc="0" locked="0" layoutInCell="1" allowOverlap="1" wp14:anchorId="53686AF7" wp14:editId="2F6BAAD2">
            <wp:simplePos x="0" y="0"/>
            <wp:positionH relativeFrom="column">
              <wp:posOffset>-86995</wp:posOffset>
            </wp:positionH>
            <wp:positionV relativeFrom="paragraph">
              <wp:posOffset>118110</wp:posOffset>
            </wp:positionV>
            <wp:extent cx="5785791" cy="7475456"/>
            <wp:effectExtent l="0" t="0" r="0" b="0"/>
            <wp:wrapNone/>
            <wp:docPr id="15593029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7">
                      <a:extLst>
                        <a:ext uri="{28A0092B-C50C-407E-A947-70E740481C1C}">
                          <a14:useLocalDpi xmlns:a14="http://schemas.microsoft.com/office/drawing/2010/main" val="0"/>
                        </a:ext>
                      </a:extLst>
                    </a:blip>
                    <a:srcRect b="131"/>
                    <a:stretch/>
                  </pic:blipFill>
                  <pic:spPr bwMode="auto">
                    <a:xfrm>
                      <a:off x="0" y="0"/>
                      <a:ext cx="5791176" cy="74824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5B8937" w14:textId="77777777" w:rsidR="00EF1D5F" w:rsidRDefault="00EF1D5F">
      <w:pPr>
        <w:sectPr w:rsidR="00EF1D5F" w:rsidSect="00F7078E">
          <w:type w:val="continuous"/>
          <w:pgSz w:w="12240" w:h="15840"/>
          <w:pgMar w:top="2262" w:right="1440" w:bottom="1440" w:left="1440" w:header="709" w:footer="709" w:gutter="0"/>
          <w:cols w:space="720"/>
        </w:sectPr>
      </w:pPr>
    </w:p>
    <w:p w14:paraId="18ABF8D8" w14:textId="570A0FF0" w:rsidR="00EF1D5F" w:rsidRDefault="00EF1D5F">
      <w:pPr>
        <w:spacing w:line="480" w:lineRule="auto"/>
        <w:jc w:val="center"/>
        <w:rPr>
          <w:rFonts w:ascii="Times New Roman" w:hAnsi="Times New Roman"/>
          <w:b/>
          <w:color w:val="000000"/>
          <w:sz w:val="24"/>
        </w:rPr>
      </w:pPr>
    </w:p>
    <w:p w14:paraId="187645AC" w14:textId="4B939D9B" w:rsidR="00EF1D5F" w:rsidRDefault="00EF1D5F">
      <w:pPr>
        <w:spacing w:line="480" w:lineRule="auto"/>
        <w:jc w:val="center"/>
        <w:rPr>
          <w:rFonts w:ascii="Times New Roman" w:hAnsi="Times New Roman"/>
          <w:b/>
          <w:color w:val="000000"/>
          <w:sz w:val="24"/>
        </w:rPr>
      </w:pPr>
    </w:p>
    <w:p w14:paraId="0C5B8ABD" w14:textId="1BE50809" w:rsidR="00EF1D5F" w:rsidRDefault="00EF1D5F">
      <w:pPr>
        <w:spacing w:line="480" w:lineRule="auto"/>
        <w:jc w:val="center"/>
        <w:rPr>
          <w:rFonts w:ascii="Times New Roman" w:hAnsi="Times New Roman"/>
          <w:b/>
          <w:color w:val="000000"/>
          <w:sz w:val="24"/>
        </w:rPr>
      </w:pPr>
    </w:p>
    <w:p w14:paraId="2EE6316E" w14:textId="7C068C49" w:rsidR="00EF1D5F" w:rsidRDefault="00EF1D5F"/>
    <w:p w14:paraId="5003085A" w14:textId="4005B695" w:rsidR="00EF1D5F" w:rsidRDefault="00EF1D5F"/>
    <w:p w14:paraId="1F6431CD" w14:textId="38AB5F83" w:rsidR="00EF1D5F" w:rsidRDefault="00EF1D5F"/>
    <w:p w14:paraId="61D7356D" w14:textId="77777777" w:rsidR="00EF1D5F" w:rsidRDefault="00EF1D5F"/>
    <w:p w14:paraId="18297A08" w14:textId="77777777" w:rsidR="00EF1D5F" w:rsidRDefault="00EF1D5F"/>
    <w:p w14:paraId="0A3B39CF" w14:textId="77777777" w:rsidR="00EF1D5F" w:rsidRDefault="00EF1D5F"/>
    <w:p w14:paraId="1D2576D2" w14:textId="77777777" w:rsidR="00EF1D5F" w:rsidRDefault="00EF1D5F"/>
    <w:p w14:paraId="414C07BE" w14:textId="77777777" w:rsidR="00EF1D5F" w:rsidRDefault="00EF1D5F"/>
    <w:p w14:paraId="1CD1D95F" w14:textId="5BB0F508" w:rsidR="00EF1D5F" w:rsidRDefault="00EF1D5F"/>
    <w:p w14:paraId="398CC0B8" w14:textId="07270325" w:rsidR="00EF1D5F" w:rsidRDefault="00EF1D5F"/>
    <w:p w14:paraId="3EE9D9F0" w14:textId="559068A3" w:rsidR="00EF1D5F" w:rsidRDefault="00EF1D5F" w:rsidP="00EF1D5F">
      <w:pPr>
        <w:pStyle w:val="Ttulo1"/>
      </w:pPr>
      <w:r>
        <w:br w:type="page"/>
      </w:r>
    </w:p>
    <w:p w14:paraId="67CA16F4" w14:textId="73C7D84D" w:rsidR="00EF1D5F" w:rsidRPr="00696772" w:rsidRDefault="00EF1D5F" w:rsidP="00696772">
      <w:pPr>
        <w:pStyle w:val="Ttulo3"/>
        <w:rPr>
          <w:color w:val="C00000"/>
        </w:rPr>
      </w:pPr>
      <w:bookmarkStart w:id="358" w:name="_Toc165169787"/>
      <w:r w:rsidRPr="00696772">
        <w:rPr>
          <w:color w:val="C00000"/>
        </w:rPr>
        <w:lastRenderedPageBreak/>
        <w:t>Programas</w:t>
      </w:r>
      <w:bookmarkEnd w:id="358"/>
    </w:p>
    <w:p w14:paraId="4EDF6CC0" w14:textId="77777777" w:rsidR="00EF1D5F" w:rsidRDefault="00EF1D5F"/>
    <w:p w14:paraId="1BD2F838" w14:textId="12E56CA6" w:rsidR="00EF1D5F" w:rsidRDefault="00EF1D5F" w:rsidP="00696772">
      <w:pPr>
        <w:pStyle w:val="NIVEL4"/>
        <w:rPr>
          <w:color w:val="3B3838"/>
        </w:rPr>
      </w:pPr>
      <w:bookmarkStart w:id="359" w:name="_Toc165169788"/>
      <w:r>
        <w:rPr>
          <w:color w:val="C00000"/>
        </w:rPr>
        <w:t xml:space="preserve">Programa 23: </w:t>
      </w:r>
      <w:r>
        <w:t>Ordenamiento territorial sostenible, equilibrado y participativo</w:t>
      </w:r>
      <w:bookmarkEnd w:id="359"/>
    </w:p>
    <w:p w14:paraId="429FF575" w14:textId="77777777" w:rsidR="0082198D" w:rsidRPr="0082198D" w:rsidRDefault="0082198D" w:rsidP="0072435C">
      <w:pPr>
        <w:rPr>
          <w:color w:val="3B3838"/>
        </w:rPr>
      </w:pPr>
    </w:p>
    <w:p w14:paraId="078939B7" w14:textId="65874074" w:rsidR="00EF1D5F" w:rsidRPr="0072435C" w:rsidRDefault="00EF1D5F" w:rsidP="0072435C">
      <w:pPr>
        <w:ind w:firstLine="708"/>
        <w:rPr>
          <w:b/>
          <w:bCs/>
          <w:sz w:val="24"/>
          <w:szCs w:val="28"/>
        </w:rPr>
        <w:sectPr w:rsidR="00EF1D5F" w:rsidRPr="0072435C" w:rsidSect="00F7078E">
          <w:type w:val="continuous"/>
          <w:pgSz w:w="12240" w:h="15840"/>
          <w:pgMar w:top="2262" w:right="1440" w:bottom="1440" w:left="1440" w:header="709" w:footer="709" w:gutter="0"/>
          <w:cols w:space="720"/>
        </w:sectPr>
      </w:pPr>
      <w:r w:rsidRPr="0072435C">
        <w:rPr>
          <w:b/>
          <w:bCs/>
          <w:sz w:val="24"/>
          <w:szCs w:val="28"/>
        </w:rPr>
        <w:t>Diagnóstico</w:t>
      </w:r>
    </w:p>
    <w:p w14:paraId="3677CBE4" w14:textId="77777777" w:rsidR="00EF1D5F" w:rsidRDefault="00EF1D5F">
      <w:r>
        <w:t>Se estima que la población de Bogotá en 2035 va a llegar a 7.802.297 habitantes, esto representa 127.242 habitantes menos que en 2024. El decrecimiento contrasta con la tendencia proyectada por el DANE para Cundinamarca, departamento que entre el periodo 2024-2035 aumentará su población en cerca de 1.048.937 habitantes. Esto hace necesario revisar el ordenamiento de zonas y fortalecer la acción de control de las autoridades en el contexto regional.</w:t>
      </w:r>
    </w:p>
    <w:p w14:paraId="2CD5BC53" w14:textId="77777777" w:rsidR="00EF1D5F" w:rsidRDefault="00EF1D5F"/>
    <w:p w14:paraId="1EA69578" w14:textId="77777777" w:rsidR="00EF1D5F" w:rsidRDefault="00EF1D5F">
      <w:r>
        <w:t>Esta dinámica tiene la característica de que la tasa de crecimiento de hogares es superior a la del crecimiento de la población, lo cual crea un reto, aún mayor, en el manejo habitacional de la región. Se prevé que el 61,4 % de los habitantes de la ciudad residan en seis localidades del borde occidental (Bosa, Ciudad Bolívar, Engativá, Kennedy, Fontibón y Suba) que comparten dinámicas con municipios vecinos. Este fenómeno refleja la importancia de que el ordenamiento ambiental tenga como componente transversal la dimensión regional y la articulación con la Región Metropolitana Bogotá-Cundinamarca.</w:t>
      </w:r>
    </w:p>
    <w:p w14:paraId="77C0E3D9" w14:textId="77777777" w:rsidR="00EF1D5F" w:rsidRDefault="00EF1D5F"/>
    <w:p w14:paraId="3DF1F212" w14:textId="77777777" w:rsidR="00EF1D5F" w:rsidRDefault="00EF1D5F">
      <w:r>
        <w:t>En este proceso de asentamiento, cobra relevancia el rol de los cerros orientales de Bogotá, lo cual va asociado al cumplimiento de los compromisos derivados de la sentencia que protege los ecosistemas que estos albergan, como eje articulador de la vida en Bogotá y la Región y, en particular, de los asociados al Área de Ocupación Público Prioritaria (AOPP) como zona de amortiguación y contención de los procesos de urbanización, según el Plan de Manejo Ambiental del AOPP.</w:t>
      </w:r>
    </w:p>
    <w:p w14:paraId="05E0684C" w14:textId="77777777" w:rsidR="00EF1D5F" w:rsidRDefault="00EF1D5F"/>
    <w:p w14:paraId="0D0DD13A" w14:textId="77777777" w:rsidR="00EF1D5F" w:rsidRDefault="00EF1D5F">
      <w:r>
        <w:t xml:space="preserve">Controlar y reducir la ocupación informal no ha sido fácil, a pesar de las acciones de </w:t>
      </w:r>
      <w:r>
        <w:t>recuperación de bienes fiscales, de uso público, espacio público u objeto de recuperación ecológica o preservación ambiental previstas en el programa de Acompañamiento Integral para la Mitigación del Impacto Social, como en el caso del Parque Distrital de Montaña Entrenubes (PEDMEN) y el Parque Altos de la Estancia.</w:t>
      </w:r>
    </w:p>
    <w:p w14:paraId="66205896" w14:textId="77777777" w:rsidR="00EF1D5F" w:rsidRDefault="00EF1D5F"/>
    <w:p w14:paraId="01F36D61" w14:textId="77777777" w:rsidR="00EF1D5F" w:rsidRDefault="00EF1D5F">
      <w:r>
        <w:t>Con respecto al caso del Parque Distrital de Montaña Entrenubes (PEDMEN), la mayoría de los predios corresponden a privados, los cuales deben ser adquiridos por el Distrito Capital. Sin embargo, dicha acción es imposible si no se desarrollan de manera paralela las acciones de prevención, monitoreo de la ocupación informal a cargo de la SDHT y las acciones de consolidación de la afectación por la declaratoria ambiental de la SDA y el DADEP, para permitir posteriormente la adquisición predial y la recuperación de estas áreas como espacio público.</w:t>
      </w:r>
    </w:p>
    <w:p w14:paraId="72B7D184" w14:textId="77777777" w:rsidR="00EF1D5F" w:rsidRDefault="00EF1D5F"/>
    <w:p w14:paraId="10EDA666" w14:textId="77777777" w:rsidR="00EF1D5F" w:rsidRDefault="00EF1D5F">
      <w:r>
        <w:t>Este esfuerzo requiere el acompañamiento de la Secretaría Distrital de Gobierno y de la Alcaldía Local para ejercer las acciones policivas de control urbano y recuperación del espacio público, debe considerar el desarrollo de un protocolo de atención a la población ocupante que conlleva el esfuerzo interinstitucional de las entidades involucradas y de toda la Administración distrital para incluir en su oferta de servicios a esta población.</w:t>
      </w:r>
    </w:p>
    <w:p w14:paraId="081561C3" w14:textId="77777777" w:rsidR="00EF1D5F" w:rsidRDefault="00EF1D5F"/>
    <w:p w14:paraId="37542CFD" w14:textId="77777777" w:rsidR="00EF1D5F" w:rsidRDefault="00EF1D5F">
      <w:r>
        <w:t>Respecto al Parque Altos de la Estancia, se requieren permanente monitoreo y prevención de la ocupación informal y de la consolidación de proyectos de restauración ambiental para impedir la reocupación del parque, como fenómeno histórico en la zona.</w:t>
      </w:r>
    </w:p>
    <w:p w14:paraId="334EB3C3" w14:textId="77777777" w:rsidR="00EF1D5F" w:rsidRDefault="00EF1D5F">
      <w:pPr>
        <w:sectPr w:rsidR="00EF1D5F" w:rsidSect="00F7078E">
          <w:type w:val="continuous"/>
          <w:pgSz w:w="12240" w:h="15840"/>
          <w:pgMar w:top="2262" w:right="1440" w:bottom="1440" w:left="1440" w:header="709" w:footer="709" w:gutter="0"/>
          <w:cols w:num="2" w:space="567"/>
        </w:sectPr>
      </w:pPr>
    </w:p>
    <w:p w14:paraId="6D530F1D" w14:textId="77777777" w:rsidR="00EF1D5F" w:rsidRDefault="00EF1D5F"/>
    <w:p w14:paraId="2677AC1F" w14:textId="3B184649" w:rsidR="00EF1D5F" w:rsidRPr="0072435C" w:rsidRDefault="00EF1D5F" w:rsidP="0072435C">
      <w:pPr>
        <w:keepNext/>
        <w:keepLines/>
        <w:pBdr>
          <w:top w:val="nil"/>
          <w:left w:val="nil"/>
          <w:bottom w:val="nil"/>
          <w:right w:val="nil"/>
          <w:between w:val="nil"/>
        </w:pBdr>
        <w:spacing w:line="340" w:lineRule="auto"/>
        <w:jc w:val="left"/>
        <w:rPr>
          <w:b/>
          <w:sz w:val="24"/>
        </w:rPr>
        <w:sectPr w:rsidR="00EF1D5F" w:rsidRPr="0072435C" w:rsidSect="00F7078E">
          <w:type w:val="continuous"/>
          <w:pgSz w:w="12240" w:h="15840"/>
          <w:pgMar w:top="2262" w:right="1440" w:bottom="1440" w:left="1440" w:header="709" w:footer="709" w:gutter="0"/>
          <w:cols w:space="567"/>
        </w:sectPr>
      </w:pPr>
      <w:r w:rsidRPr="0072435C">
        <w:rPr>
          <w:b/>
          <w:sz w:val="24"/>
        </w:rPr>
        <w:lastRenderedPageBreak/>
        <w:t>Descripción del programa</w:t>
      </w:r>
    </w:p>
    <w:p w14:paraId="5812D9FB" w14:textId="77777777" w:rsidR="00EF1D5F" w:rsidRDefault="00EF1D5F">
      <w:r>
        <w:t>Con el objetivo de hacer de Bogotá un territorio adaptado, equilibrado y sostenible, fortalecer la planeación territorial como una labor continua con la capacidad de comprender las complejidades y retos de las dinámicas urbana, rural y regional, con el fin de reaccionar de manera oportuna a las demandas del desarrollo territorial, social, económico y ambiental y con ello garantizar la calidad de vida y el bienestar de las personas que habitan y visitan el territorio.</w:t>
      </w:r>
    </w:p>
    <w:p w14:paraId="66415F47" w14:textId="77777777" w:rsidR="00EF1D5F" w:rsidRDefault="00EF1D5F"/>
    <w:p w14:paraId="74F1129D" w14:textId="77777777" w:rsidR="00EF1D5F" w:rsidRDefault="00EF1D5F">
      <w:r>
        <w:t>Las acciones deben enfocarse en la mejora de los entornos urbanos y rurales —y dentro de estos últimos tanto en los asentamientos rurales concentrados (centros poblados y nodos de equipamiento) como en las ruralidades dispersas— para cumplir el cometido de tener una Bogotá más incluyente y diversa, que dignifique y atienda a los habitantes de las áreas urbana y rural, donde persisten brechas de bienestar, conflictos socioambientales y retos en el modelo de desarrollo productivo rural, que deben orientar la disposición de equipamientos y otras infraestructuras productivas, dando, además, cumplimiento a lo establecido en el plan de acción de la Política Pública Distrital de Ruralidad (CONPES D.C. 41 del 28 de diciembre de 2023).</w:t>
      </w:r>
    </w:p>
    <w:p w14:paraId="5F63F97C" w14:textId="77777777" w:rsidR="00EF1D5F" w:rsidRDefault="00EF1D5F"/>
    <w:p w14:paraId="1966EBFB" w14:textId="77777777" w:rsidR="00EF1D5F" w:rsidRDefault="00EF1D5F">
      <w:r>
        <w:t>Si bien se ha avanzado en Acuerdos Regionales en lo que a ordenamiento se refiere, aún hace falta la identificación de varios hechos metropolitanos basados en escenarios de cambio climático en el marco de lo ordenado por la Ley Orgánica 2199 de 2022 que desarrolla el artículo 325 de la Constitución Política y establece el régimen especial de la Región Metropolitana Bogotá-Cundinamarca. Por ejemplo, los relacionados con seguridad ciudadana, convivencia y justicia, servicios públicos domiciliarios y TIC, desarrollo económico, ambiental, y ordenamiento territorial y hábitat.</w:t>
      </w:r>
    </w:p>
    <w:p w14:paraId="1C77BF2C" w14:textId="77777777" w:rsidR="00EF1D5F" w:rsidRDefault="00EF1D5F"/>
    <w:p w14:paraId="045B8B69" w14:textId="77777777" w:rsidR="0072435C" w:rsidRDefault="00EF1D5F">
      <w:r>
        <w:t xml:space="preserve">Por lo cual, se hace necesario formular en el marco de la Región Metropolitana Bogotá Cundinamarca (RMBC) el Plan Estratégico de </w:t>
      </w:r>
      <w:r>
        <w:t xml:space="preserve">Ordenamiento de la Región Metropolitana (PERM) que incluya: </w:t>
      </w:r>
    </w:p>
    <w:p w14:paraId="64804F46" w14:textId="77777777" w:rsidR="0072435C" w:rsidRDefault="0072435C"/>
    <w:p w14:paraId="02AB8FC5" w14:textId="77777777" w:rsidR="0072435C" w:rsidRDefault="00EF1D5F">
      <w:r>
        <w:t xml:space="preserve">a) La homologación de estándares mínimos de las herramientas de gestión del desarrollo urbano para eliminar el “dumping normativo”; la introducción de una escala de reparto regional de cargas y beneficios que garantice la financiación de los soportes urbanos sin sobreexigir la capacidad fiscal de los municipios. </w:t>
      </w:r>
    </w:p>
    <w:p w14:paraId="3027336A" w14:textId="77777777" w:rsidR="0072435C" w:rsidRDefault="0072435C"/>
    <w:p w14:paraId="01456C8C" w14:textId="77777777" w:rsidR="0072435C" w:rsidRDefault="00EF1D5F">
      <w:r>
        <w:t xml:space="preserve">b) La interdependencia entre la habilitación de suelo y la certificación de provisión de agua potable en los municipios en un esquema institucional-empresarial que depende de contratos de venta en bloque obsoletos. </w:t>
      </w:r>
    </w:p>
    <w:p w14:paraId="4A733666" w14:textId="77777777" w:rsidR="0072435C" w:rsidRDefault="0072435C"/>
    <w:p w14:paraId="6DF50C4D" w14:textId="77777777" w:rsidR="0072435C" w:rsidRDefault="00EF1D5F">
      <w:r>
        <w:t xml:space="preserve">c) La articulación con las autoridades ambientales de manera coordinada en ámbitos relacionados con el servicio ecosistémico de regulación y sistema hídrico. La homologación de elementos municipales y distritales con la estructura ecológica regional y del uso del suelo rural. El reconocimiento de grandes pasivos ambientales regionales y el déficit de equipamientos recreativo-ambientales de escala regional. </w:t>
      </w:r>
    </w:p>
    <w:p w14:paraId="49C20945" w14:textId="77777777" w:rsidR="0072435C" w:rsidRDefault="0072435C"/>
    <w:p w14:paraId="38EDBD4C" w14:textId="6CE5DFA7" w:rsidR="00EF1D5F" w:rsidRDefault="00EF1D5F">
      <w:r>
        <w:t>d) La coordinación de la planeación de la infraestructura de movilidad regional con énfasis en el transporte masivo que privilegie los modos descarbonatados, alternativos y las estrategias tipo Desarrollo Orientado por el Transporte Sustentable (DOTS). e) La coordinación de un modelo de vocación productiva del suelo, los sistemas de abastecimiento y logística y la actividad aeroportuaria.</w:t>
      </w:r>
    </w:p>
    <w:p w14:paraId="1383DCEF" w14:textId="77777777" w:rsidR="00EF1D5F" w:rsidRDefault="00EF1D5F"/>
    <w:p w14:paraId="44BF8BE0" w14:textId="77777777" w:rsidR="00EF1D5F" w:rsidRDefault="00EF1D5F">
      <w:r>
        <w:t xml:space="preserve">De igual forma, se debe trabajar en alcanzar la resiliencia de las comunidades mediante infraestructura verde, prácticas sostenibles y programas sociales. Esto implica resolver las necesidades de las personas en relación con la oferta de espacios públicos y equipamientos, vías y servicios públicos, vivienda y empleo, medio ambiente y patrimonio cultural, usos y actividades, </w:t>
      </w:r>
      <w:r>
        <w:lastRenderedPageBreak/>
        <w:t>un amplio espectro de factores que constituyen la razón de este territorio acogedor y lo que motiva que las personas lo habiten y visiten.</w:t>
      </w:r>
    </w:p>
    <w:p w14:paraId="0365DC0E" w14:textId="77777777" w:rsidR="00EF1D5F" w:rsidRDefault="00EF1D5F"/>
    <w:p w14:paraId="75B7CA18" w14:textId="77777777" w:rsidR="00EF1D5F" w:rsidRDefault="00EF1D5F">
      <w:r>
        <w:t>Este programa aborda desafíos como la planificación territorial y la gestión del espacio público, destacando la integración regional, la seguridad ciudadana y el desarrollo sostenible. Se enfoca en la armonización de instrumentos de planeación mediante la colaboración con municipios vecinos y autoridades regionales, con énfasis en la mitigación de impactos ambientales y sociales. Se prioriza la identificación y atención de zonas vulnerables, con acciones para fortalecer la resiliencia de las comunidades mediante mejoras en la infraestructura, prácticas sostenibles y programas sociales. También, se busca garantizar la apropiación social del espacio público con medidas de seguridad, iluminación, arte urbano y participación ciudadana en su gestión, así como el desarrollo de mecanismos para su sostenibilidad.</w:t>
      </w:r>
    </w:p>
    <w:p w14:paraId="26D0DFB9" w14:textId="77777777" w:rsidR="00EF1D5F" w:rsidRDefault="00EF1D5F"/>
    <w:p w14:paraId="2700346F" w14:textId="380C98A7" w:rsidR="00755607" w:rsidRDefault="00755607" w:rsidP="00755607">
      <w:r>
        <w:t>Lo anterior, fomentando la participación territo</w:t>
      </w:r>
      <w:r w:rsidR="004760F7">
        <w:t>r</w:t>
      </w:r>
      <w:r>
        <w:t>ial informada en la toma de decisiones sobre acciones y actuaciones urbanísticas, instrumentos, planes, programas y proyectos del ordenamiento territorial. Algunos de es-tos instrumentos, como la legalización y formalización se convierten en herramientas que permiten al Gobierno distrital reconocer formalmente y actualizar los planos urbanísticos, de asentamientos no planificados, estableciendo regulaciones, determinantes, criterios o lineamientos para el mejoramiento en la calidad de vida.</w:t>
      </w:r>
    </w:p>
    <w:p w14:paraId="4DE8439D" w14:textId="77777777" w:rsidR="00755607" w:rsidRDefault="00755607" w:rsidP="00755607"/>
    <w:p w14:paraId="0F98C89C" w14:textId="776E34D6" w:rsidR="00EF1D5F" w:rsidRDefault="00755607" w:rsidP="00755607">
      <w:r>
        <w:t xml:space="preserve">En concordancia con lo definido en el POT, el cual establece que para los asentamientos humanos informales que hayan sido o no objeto de legalización urbanística, el Plan de Intervención para el Mejoramiento Integral del Hábitat se convierta en el instrumento idóneo para concretar las intervenciones que permitan reducir el déficit y brechas urbanas, ambientales y socioeconómicas en las áreas más vulnerables del Distrito Capital. Las acciones estarán </w:t>
      </w:r>
      <w:r>
        <w:t>encaminadas a orientar y articular la gestión de actores públicos y priva-dos en la ejecución de obras y proyectos integrales de ciudad que consoliden entornos urbanos y rurales próximos. Estos apuntan a ofrecer una gama más amplia y equilibrada de soportes urbanos que respondan a los objetivos de ordenamiento territorial, promoviendo la biodiversidad, el reverdecimiento, la revitalización y la reactivación económica y con ello brindar las oportunidades en forma positiva en la calidad de vida de las personas involucradas.</w:t>
      </w:r>
    </w:p>
    <w:p w14:paraId="7354BA6C" w14:textId="77777777" w:rsidR="00EF1D5F" w:rsidRDefault="00EF1D5F"/>
    <w:p w14:paraId="1480B274" w14:textId="77777777" w:rsidR="00EF1D5F" w:rsidRDefault="00EF1D5F">
      <w:r>
        <w:t>El objetivo es prevenir y atender de manera efectiva la ocupación informal mediante las acciones coordinadas de las secretarías distritales de Ambiente, Hábitat, Cultura, Recreación y Deporte y de Gobierno, según sus competencias legalmente establecidas. Para ello, se coordinará la expedición de un Plan de Acción acorde con el nuevo Código de Policía y el POT, el cual permitirá aunar esfuerzos técnicos y financieros de las actuaciones administrativas, policivas y de control urbano a que haya lugar, con acciones articuladas y paralelas para la prevención y monitoreo de la ocupación informal, protocolos de atención, adquisición predial, recuperación y adecuación del espacio público, proyectos de restauración ambiental y de infraestructura pública social.</w:t>
      </w:r>
    </w:p>
    <w:p w14:paraId="284AD14D" w14:textId="77777777" w:rsidR="00EF1D5F" w:rsidRDefault="00EF1D5F"/>
    <w:p w14:paraId="594C438C" w14:textId="77777777" w:rsidR="00EF1D5F" w:rsidRDefault="00EF1D5F">
      <w:r>
        <w:t>Adicionalmente se hace necesaria la revisión en su parte programática, del Plan maestro de Hábitat y Servicios Públicos con el fin de coordinar las propuestas de nuevas densidades en revitalización con sus soportes urbanos con el objetivo de revitalizar territorios más resilientes y adaptados al cambio climático.</w:t>
      </w:r>
    </w:p>
    <w:p w14:paraId="5DC84420" w14:textId="77777777" w:rsidR="00EF1D5F" w:rsidRDefault="00EF1D5F"/>
    <w:p w14:paraId="66EA5989" w14:textId="77777777" w:rsidR="00EF1D5F" w:rsidRDefault="00EF1D5F">
      <w:r>
        <w:t xml:space="preserve">En particular, se quiere consolidar la propiedad pública del Distrito Capital en el ámbito espacial del Parque Distrital de Montaña Entrenubes (PEDMEN) declarada área protegida, y del Parque Altos de la Estancia. </w:t>
      </w:r>
    </w:p>
    <w:p w14:paraId="4779DBC6" w14:textId="77777777" w:rsidR="00EF1D5F" w:rsidRDefault="00EF1D5F"/>
    <w:p w14:paraId="28F11033" w14:textId="77777777" w:rsidR="00EF1D5F" w:rsidRDefault="00EF1D5F">
      <w:r>
        <w:lastRenderedPageBreak/>
        <w:t xml:space="preserve">En el marco de las competencias de la Secretaría Distrital del Hábitat relacionadas con prevención y seguimiento al desarrollo y consolidación de asentamientos de origen ilegal o informal en la ciudad, se propone el monitoreo del 100% de los polígonos y priorización de algunos de ellos a partir de una caracterización para la focalización de ayudas, promoviendo así intervenciones integrales. </w:t>
      </w:r>
    </w:p>
    <w:p w14:paraId="08A71139" w14:textId="495E8D39" w:rsidR="0072435C" w:rsidRDefault="00EF1D5F" w:rsidP="0072435C">
      <w:r>
        <w:t>De igual forma, a través de la coordinación y articulación interinstitucional de nivel local, distrital, regional y nacional, se busca la intervención y revitalización de las áreas de importancia ambiental y de las zonas de riesgo de la localidad de Usme, propendiendo además por la recuperación y revitalización del Parque Ecológico Distrital de Montaña Entrenubes.</w:t>
      </w:r>
    </w:p>
    <w:p w14:paraId="6B4E3505" w14:textId="4B5CAC02" w:rsidR="00EF1D5F" w:rsidRDefault="00EF1D5F">
      <w:pPr>
        <w:sectPr w:rsidR="00EF1D5F" w:rsidSect="00F7078E">
          <w:type w:val="continuous"/>
          <w:pgSz w:w="12240" w:h="15840"/>
          <w:pgMar w:top="2262" w:right="1440" w:bottom="1440" w:left="1440" w:header="709" w:footer="709" w:gutter="0"/>
          <w:cols w:num="2" w:space="567"/>
        </w:sectPr>
      </w:pPr>
    </w:p>
    <w:p w14:paraId="3254EA18" w14:textId="77777777" w:rsidR="00EF1D5F" w:rsidRDefault="00EF1D5F">
      <w:pPr>
        <w:sectPr w:rsidR="00EF1D5F" w:rsidSect="00F7078E">
          <w:type w:val="continuous"/>
          <w:pgSz w:w="12240" w:h="15840"/>
          <w:pgMar w:top="2262" w:right="1440" w:bottom="1440" w:left="1440" w:header="709" w:footer="709" w:gutter="0"/>
          <w:cols w:num="2" w:space="720" w:equalWidth="0">
            <w:col w:w="4396" w:space="567"/>
            <w:col w:w="4396" w:space="0"/>
          </w:cols>
        </w:sectPr>
      </w:pPr>
    </w:p>
    <w:p w14:paraId="7EA55622" w14:textId="77777777" w:rsidR="00EF1D5F" w:rsidRDefault="00EF1D5F">
      <w:pPr>
        <w:sectPr w:rsidR="00EF1D5F" w:rsidSect="00F7078E">
          <w:type w:val="continuous"/>
          <w:pgSz w:w="12240" w:h="15840"/>
          <w:pgMar w:top="2262" w:right="1440" w:bottom="1440" w:left="1440" w:header="709" w:footer="709" w:gutter="0"/>
          <w:cols w:space="720"/>
        </w:sectPr>
      </w:pPr>
    </w:p>
    <w:p w14:paraId="1D4E0813" w14:textId="1B2D8571" w:rsidR="00EF1D5F" w:rsidRPr="00165FEA" w:rsidRDefault="00165FEA" w:rsidP="00165FEA">
      <w:pPr>
        <w:pStyle w:val="Descripcin"/>
        <w:jc w:val="center"/>
        <w:rPr>
          <w:color w:val="C00000"/>
          <w:sz w:val="18"/>
        </w:rPr>
      </w:pPr>
      <w:bookmarkStart w:id="360" w:name="_Toc165169954"/>
      <w:r w:rsidRPr="00165FEA">
        <w:rPr>
          <w:color w:val="C00000"/>
          <w:sz w:val="18"/>
        </w:rPr>
        <w:t xml:space="preserve">Tabla </w:t>
      </w:r>
      <w:r w:rsidRPr="00165FEA">
        <w:rPr>
          <w:color w:val="C00000"/>
          <w:sz w:val="18"/>
        </w:rPr>
        <w:fldChar w:fldCharType="begin"/>
      </w:r>
      <w:r w:rsidRPr="00165FEA">
        <w:rPr>
          <w:color w:val="C00000"/>
          <w:sz w:val="18"/>
        </w:rPr>
        <w:instrText xml:space="preserve"> SEQ Tabla \* ARABIC </w:instrText>
      </w:r>
      <w:r w:rsidRPr="00165FEA">
        <w:rPr>
          <w:color w:val="C00000"/>
          <w:sz w:val="18"/>
        </w:rPr>
        <w:fldChar w:fldCharType="separate"/>
      </w:r>
      <w:r w:rsidR="00D01651">
        <w:rPr>
          <w:noProof/>
          <w:color w:val="C00000"/>
          <w:sz w:val="18"/>
        </w:rPr>
        <w:t>44</w:t>
      </w:r>
      <w:r w:rsidRPr="00165FEA">
        <w:rPr>
          <w:color w:val="C00000"/>
          <w:sz w:val="18"/>
        </w:rPr>
        <w:fldChar w:fldCharType="end"/>
      </w:r>
      <w:r w:rsidRPr="00165FEA">
        <w:rPr>
          <w:color w:val="C00000"/>
          <w:sz w:val="18"/>
        </w:rPr>
        <w:t xml:space="preserve">. </w:t>
      </w:r>
      <w:r w:rsidR="00EF1D5F" w:rsidRPr="00165FEA">
        <w:rPr>
          <w:color w:val="3B3838"/>
          <w:sz w:val="18"/>
        </w:rPr>
        <w:t>Metas del programa 2</w:t>
      </w:r>
      <w:r w:rsidR="00EF1D5F" w:rsidRPr="00165FEA">
        <w:rPr>
          <w:sz w:val="18"/>
        </w:rPr>
        <w:t>3</w:t>
      </w:r>
      <w:r>
        <w:rPr>
          <w:color w:val="3B3838"/>
          <w:sz w:val="18"/>
        </w:rPr>
        <w:t>:</w:t>
      </w:r>
      <w:r w:rsidR="00EF1D5F" w:rsidRPr="00165FEA">
        <w:rPr>
          <w:color w:val="3B3838"/>
          <w:sz w:val="18"/>
        </w:rPr>
        <w:t xml:space="preserve"> </w:t>
      </w:r>
      <w:r w:rsidR="00EF1D5F" w:rsidRPr="00165FEA">
        <w:rPr>
          <w:sz w:val="18"/>
        </w:rPr>
        <w:t>Ordenamiento territorial sostenible, equilibrado y participativo</w:t>
      </w:r>
      <w:bookmarkEnd w:id="360"/>
    </w:p>
    <w:p w14:paraId="5425C560" w14:textId="77777777" w:rsidR="00EF1D5F" w:rsidRDefault="00EF1D5F" w:rsidP="0017067D">
      <w:pPr>
        <w:jc w:val="left"/>
        <w:rPr>
          <w:b/>
          <w:color w:val="FFFFFF"/>
          <w:sz w:val="28"/>
          <w:szCs w:val="28"/>
        </w:rPr>
        <w:sectPr w:rsidR="00EF1D5F" w:rsidSect="00F7078E">
          <w:footerReference w:type="default" r:id="rId138"/>
          <w:type w:val="continuous"/>
          <w:pgSz w:w="12240" w:h="15840"/>
          <w:pgMar w:top="2262" w:right="1440" w:bottom="1440" w:left="1440" w:header="708" w:footer="708" w:gutter="0"/>
          <w:cols w:space="567"/>
        </w:sectPr>
      </w:pPr>
    </w:p>
    <w:tbl>
      <w:tblPr>
        <w:tblW w:w="8431" w:type="dxa"/>
        <w:jc w:val="center"/>
        <w:tblBorders>
          <w:top w:val="nil"/>
          <w:left w:val="nil"/>
          <w:bottom w:val="single" w:sz="4" w:space="0" w:color="C00000"/>
          <w:right w:val="nil"/>
          <w:insideH w:val="single" w:sz="4" w:space="0" w:color="C00000"/>
          <w:insideV w:val="single" w:sz="4" w:space="0" w:color="C00000"/>
        </w:tblBorders>
        <w:tblLayout w:type="fixed"/>
        <w:tblLook w:val="0600" w:firstRow="0" w:lastRow="0" w:firstColumn="0" w:lastColumn="0" w:noHBand="1" w:noVBand="1"/>
      </w:tblPr>
      <w:tblGrid>
        <w:gridCol w:w="1849"/>
        <w:gridCol w:w="1134"/>
        <w:gridCol w:w="1233"/>
        <w:gridCol w:w="1405"/>
        <w:gridCol w:w="1405"/>
        <w:gridCol w:w="1405"/>
      </w:tblGrid>
      <w:tr w:rsidR="00EF1D5F" w14:paraId="27EBDD8F" w14:textId="77777777" w:rsidTr="00165FEA">
        <w:trPr>
          <w:trHeight w:val="686"/>
          <w:tblHeader/>
          <w:jc w:val="center"/>
        </w:trPr>
        <w:tc>
          <w:tcPr>
            <w:tcW w:w="1849"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4811DB80" w14:textId="77777777" w:rsidR="00EF1D5F" w:rsidRPr="00FB6251" w:rsidRDefault="00EF1D5F" w:rsidP="003D4AD9">
            <w:pPr>
              <w:widowControl w:val="0"/>
              <w:spacing w:line="276" w:lineRule="auto"/>
              <w:jc w:val="center"/>
              <w:rPr>
                <w:b/>
                <w:color w:val="FFFFFF"/>
                <w:sz w:val="24"/>
              </w:rPr>
            </w:pPr>
            <w:r w:rsidRPr="00FB6251">
              <w:rPr>
                <w:b/>
                <w:color w:val="FFFFFF"/>
                <w:sz w:val="24"/>
              </w:rPr>
              <w:t>SECTOR / Metas</w:t>
            </w:r>
          </w:p>
        </w:tc>
        <w:tc>
          <w:tcPr>
            <w:tcW w:w="6582"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701E9F5B" w14:textId="77777777" w:rsidR="00EF1D5F" w:rsidRPr="00FB6251" w:rsidRDefault="00EF1D5F" w:rsidP="003D4AD9">
            <w:pPr>
              <w:widowControl w:val="0"/>
              <w:spacing w:line="276" w:lineRule="auto"/>
              <w:jc w:val="center"/>
              <w:rPr>
                <w:b/>
                <w:color w:val="FFFFFF"/>
                <w:szCs w:val="22"/>
              </w:rPr>
            </w:pPr>
            <w:r w:rsidRPr="00FB6251">
              <w:rPr>
                <w:b/>
                <w:color w:val="FFFFFF"/>
                <w:szCs w:val="22"/>
              </w:rPr>
              <w:t>Magnitudes e Inversión</w:t>
            </w:r>
          </w:p>
          <w:p w14:paraId="61D4487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FFFFFF"/>
                <w:sz w:val="16"/>
                <w:szCs w:val="16"/>
              </w:rPr>
              <w:t>(Precios Constantes 2024)</w:t>
            </w:r>
          </w:p>
        </w:tc>
      </w:tr>
      <w:tr w:rsidR="00EF1D5F" w14:paraId="3FD505F3" w14:textId="77777777" w:rsidTr="00165FEA">
        <w:trPr>
          <w:trHeight w:val="312"/>
          <w:tblHeader/>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E9F8DDE" w14:textId="77777777" w:rsidR="00EF1D5F" w:rsidRPr="00FB6251" w:rsidRDefault="00EF1D5F" w:rsidP="003D4AD9">
            <w:pPr>
              <w:jc w:val="left"/>
              <w:rPr>
                <w:sz w:val="16"/>
                <w:szCs w:val="16"/>
              </w:rPr>
            </w:pPr>
            <w:bookmarkStart w:id="361" w:name="_heading=h.bhwgouz7vcal" w:colFirst="0" w:colLast="0"/>
            <w:bookmarkEnd w:id="361"/>
          </w:p>
        </w:tc>
        <w:tc>
          <w:tcPr>
            <w:tcW w:w="1134"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6A124C1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2024</w:t>
            </w:r>
          </w:p>
        </w:tc>
        <w:tc>
          <w:tcPr>
            <w:tcW w:w="1233"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5AFE3BB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2025</w:t>
            </w:r>
          </w:p>
        </w:tc>
        <w:tc>
          <w:tcPr>
            <w:tcW w:w="140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6646A7A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2026</w:t>
            </w:r>
          </w:p>
        </w:tc>
        <w:tc>
          <w:tcPr>
            <w:tcW w:w="140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3F99FA3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2027</w:t>
            </w:r>
          </w:p>
        </w:tc>
        <w:tc>
          <w:tcPr>
            <w:tcW w:w="1405"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112126A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Total Inversión</w:t>
            </w:r>
          </w:p>
        </w:tc>
      </w:tr>
      <w:tr w:rsidR="00EF1D5F" w:rsidRPr="00FB6251" w14:paraId="68A24159" w14:textId="77777777" w:rsidTr="0017067D">
        <w:trPr>
          <w:trHeight w:val="535"/>
          <w:jc w:val="center"/>
        </w:trPr>
        <w:tc>
          <w:tcPr>
            <w:tcW w:w="8431"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6A520BF9"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AMBIENTE</w:t>
            </w:r>
          </w:p>
        </w:tc>
      </w:tr>
      <w:tr w:rsidR="00EF1D5F" w14:paraId="6AA3D91B" w14:textId="77777777" w:rsidTr="0017067D">
        <w:trPr>
          <w:trHeight w:val="956"/>
          <w:jc w:val="center"/>
        </w:trPr>
        <w:tc>
          <w:tcPr>
            <w:tcW w:w="184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3B1D0C5"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Implementar un (1) programa de Planeación y Gestión del Conocimiento Ambiental.</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A2DC7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0,10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EFFB2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A83A73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7B1E55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0,30</w:t>
            </w:r>
          </w:p>
        </w:tc>
        <w:tc>
          <w:tcPr>
            <w:tcW w:w="140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EB7C23F"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36.281.332.090</w:t>
            </w:r>
          </w:p>
        </w:tc>
      </w:tr>
      <w:tr w:rsidR="00EF1D5F" w14:paraId="05D131E8" w14:textId="77777777" w:rsidTr="0017067D">
        <w:trPr>
          <w:trHeight w:val="1264"/>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2ACCC224" w14:textId="77777777" w:rsidR="00EF1D5F" w:rsidRPr="00FB6251" w:rsidRDefault="00EF1D5F" w:rsidP="003D4AD9">
            <w:pPr>
              <w:jc w:val="left"/>
              <w:rPr>
                <w:sz w:val="16"/>
                <w:szCs w:val="16"/>
              </w:rPr>
            </w:pP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40B70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3.637.867.714</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9BB044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11.223.085.546</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9FE51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10.896.199.559</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F259B1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10.524.179.272</w:t>
            </w:r>
          </w:p>
        </w:tc>
        <w:tc>
          <w:tcPr>
            <w:tcW w:w="140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20BCCB55" w14:textId="77777777" w:rsidR="00EF1D5F" w:rsidRPr="00FB6251" w:rsidRDefault="00EF1D5F" w:rsidP="003D4AD9">
            <w:pPr>
              <w:jc w:val="left"/>
              <w:rPr>
                <w:sz w:val="16"/>
                <w:szCs w:val="16"/>
              </w:rPr>
            </w:pPr>
          </w:p>
        </w:tc>
      </w:tr>
      <w:tr w:rsidR="00EF1D5F" w:rsidRPr="00FB6251" w14:paraId="1847FA9C" w14:textId="77777777" w:rsidTr="0017067D">
        <w:trPr>
          <w:trHeight w:val="583"/>
          <w:jc w:val="center"/>
        </w:trPr>
        <w:tc>
          <w:tcPr>
            <w:tcW w:w="8431"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45744355"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HÁBITAT</w:t>
            </w:r>
          </w:p>
        </w:tc>
      </w:tr>
      <w:tr w:rsidR="00EF1D5F" w14:paraId="4CBAA446" w14:textId="77777777" w:rsidTr="0017067D">
        <w:trPr>
          <w:trHeight w:val="1264"/>
          <w:jc w:val="center"/>
        </w:trPr>
        <w:tc>
          <w:tcPr>
            <w:tcW w:w="184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C65E746"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Gestionar 350 hectáreas de asentamientos de origen informal y barrios legalizados mediante actividades de etapa previa de los trámites de legalización y formalización.</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662F8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3A831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AC31D6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A4B1C4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130</w:t>
            </w:r>
          </w:p>
        </w:tc>
        <w:tc>
          <w:tcPr>
            <w:tcW w:w="140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E87D9C8"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23.606.386.667</w:t>
            </w:r>
          </w:p>
        </w:tc>
      </w:tr>
      <w:tr w:rsidR="00EF1D5F" w14:paraId="39CE1022" w14:textId="77777777" w:rsidTr="0017067D">
        <w:trPr>
          <w:trHeight w:val="1264"/>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2F3CEA5F" w14:textId="77777777" w:rsidR="00EF1D5F" w:rsidRPr="00FB6251" w:rsidRDefault="00EF1D5F" w:rsidP="003D4AD9">
            <w:pPr>
              <w:jc w:val="left"/>
              <w:rPr>
                <w:sz w:val="16"/>
                <w:szCs w:val="16"/>
              </w:rPr>
            </w:pP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EF8094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19.929.000.000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C89405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1.488.349.515</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76F98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786.124.988</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74F0C9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1.402.912.164</w:t>
            </w:r>
          </w:p>
        </w:tc>
        <w:tc>
          <w:tcPr>
            <w:tcW w:w="140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EA34D01" w14:textId="77777777" w:rsidR="00EF1D5F" w:rsidRPr="00FB6251" w:rsidRDefault="00EF1D5F" w:rsidP="003D4AD9">
            <w:pPr>
              <w:jc w:val="left"/>
              <w:rPr>
                <w:sz w:val="16"/>
                <w:szCs w:val="16"/>
              </w:rPr>
            </w:pPr>
          </w:p>
        </w:tc>
      </w:tr>
      <w:tr w:rsidR="00EF1D5F" w14:paraId="4E795D24" w14:textId="77777777" w:rsidTr="0017067D">
        <w:trPr>
          <w:trHeight w:val="1264"/>
          <w:jc w:val="center"/>
        </w:trPr>
        <w:tc>
          <w:tcPr>
            <w:tcW w:w="184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14DA9FD"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lastRenderedPageBreak/>
              <w:t>Monitorear el 100% de las áreas definidas como susceptibles de ser ocupadas o desarrolladas de manera ilegal o informal.</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B7F2D4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F797A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D821D1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3A1D38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23C4D97"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41.422.913.828</w:t>
            </w:r>
          </w:p>
        </w:tc>
      </w:tr>
      <w:tr w:rsidR="00EF1D5F" w14:paraId="5E2C4727" w14:textId="77777777" w:rsidTr="0017067D">
        <w:trPr>
          <w:trHeight w:val="1264"/>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20F70C44" w14:textId="77777777" w:rsidR="00EF1D5F" w:rsidRPr="00FB6251" w:rsidRDefault="00EF1D5F" w:rsidP="003D4AD9">
            <w:pPr>
              <w:jc w:val="left"/>
              <w:rPr>
                <w:sz w:val="16"/>
                <w:szCs w:val="16"/>
              </w:rPr>
            </w:pP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9E4C8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6.854.000.000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3EB410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14.169.902.913</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32B26F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9.788.858.516</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9821DF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10.610.152.399</w:t>
            </w:r>
          </w:p>
        </w:tc>
        <w:tc>
          <w:tcPr>
            <w:tcW w:w="140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FC40623" w14:textId="77777777" w:rsidR="00EF1D5F" w:rsidRPr="00FB6251" w:rsidRDefault="00EF1D5F" w:rsidP="003D4AD9">
            <w:pPr>
              <w:jc w:val="left"/>
              <w:rPr>
                <w:sz w:val="16"/>
                <w:szCs w:val="16"/>
              </w:rPr>
            </w:pPr>
          </w:p>
        </w:tc>
      </w:tr>
      <w:tr w:rsidR="00EF1D5F" w:rsidRPr="00FB6251" w14:paraId="52D4177E" w14:textId="77777777" w:rsidTr="0017067D">
        <w:trPr>
          <w:trHeight w:val="568"/>
          <w:jc w:val="center"/>
        </w:trPr>
        <w:tc>
          <w:tcPr>
            <w:tcW w:w="8431"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63B28639"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PLANEACIÓN</w:t>
            </w:r>
          </w:p>
        </w:tc>
      </w:tr>
      <w:tr w:rsidR="00EF1D5F" w14:paraId="29B7DBF7" w14:textId="77777777" w:rsidTr="0017067D">
        <w:trPr>
          <w:trHeight w:val="1264"/>
          <w:jc w:val="center"/>
        </w:trPr>
        <w:tc>
          <w:tcPr>
            <w:tcW w:w="184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D960DFF"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Desarrollar un (1) modelo de gobernanza colaborativa y multinivel que favorezca el cumplimiento de órdenes judiciales asociadas al ordenamiento territorial del suelo rural y de las franjas urbano-rurales de la ciudad en armonía con lo dispuesto en instrumentos normativos como el Plan de Ordenamiento Territorial Unidades de Planeamiento Local y Planes de Manejo específicos para áreas como la Franja de Adecuación de los Cerros Orientales de Bogotá.</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A3C59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0,10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5DFA5B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E54D7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ADAF02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0,30</w:t>
            </w:r>
          </w:p>
        </w:tc>
        <w:tc>
          <w:tcPr>
            <w:tcW w:w="140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C3CF60B"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1.111.326.771</w:t>
            </w:r>
          </w:p>
        </w:tc>
      </w:tr>
      <w:tr w:rsidR="00EF1D5F" w14:paraId="5FF286E2" w14:textId="77777777" w:rsidTr="0017067D">
        <w:trPr>
          <w:trHeight w:val="1264"/>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D7E4FA7" w14:textId="77777777" w:rsidR="00EF1D5F" w:rsidRPr="00FB6251" w:rsidRDefault="00EF1D5F" w:rsidP="003D4AD9">
            <w:pPr>
              <w:jc w:val="left"/>
              <w:rPr>
                <w:sz w:val="16"/>
                <w:szCs w:val="16"/>
              </w:rPr>
            </w:pP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C260A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174.284.816</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01EBB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324.134.025</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BC7C2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306.073.048</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EF4F37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306.834.881</w:t>
            </w:r>
          </w:p>
        </w:tc>
        <w:tc>
          <w:tcPr>
            <w:tcW w:w="140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662CCE48" w14:textId="77777777" w:rsidR="00EF1D5F" w:rsidRPr="00FB6251" w:rsidRDefault="00EF1D5F" w:rsidP="003D4AD9">
            <w:pPr>
              <w:jc w:val="left"/>
              <w:rPr>
                <w:sz w:val="16"/>
                <w:szCs w:val="16"/>
              </w:rPr>
            </w:pPr>
          </w:p>
        </w:tc>
      </w:tr>
      <w:tr w:rsidR="00EF1D5F" w14:paraId="5822E69E" w14:textId="77777777" w:rsidTr="0017067D">
        <w:trPr>
          <w:trHeight w:val="1264"/>
          <w:jc w:val="center"/>
        </w:trPr>
        <w:tc>
          <w:tcPr>
            <w:tcW w:w="184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62D6710"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 xml:space="preserve">Elaborar el 100% de las condiciones normativas estudios lineamientos y acciones de coordinación necesarios para la </w:t>
            </w:r>
            <w:r w:rsidRPr="00FB6251">
              <w:rPr>
                <w:color w:val="000000"/>
                <w:sz w:val="16"/>
                <w:szCs w:val="16"/>
              </w:rPr>
              <w:lastRenderedPageBreak/>
              <w:t>concreción y seguimiento al modelo de ordenamiento territorial.</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6D7BE4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lastRenderedPageBreak/>
              <w:t>100%</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ABB88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FD3143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BB87E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40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8588CEB"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27.425.654.707</w:t>
            </w:r>
          </w:p>
        </w:tc>
      </w:tr>
      <w:tr w:rsidR="00EF1D5F" w14:paraId="4F9DDB9A" w14:textId="77777777" w:rsidTr="0017067D">
        <w:trPr>
          <w:trHeight w:val="1264"/>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4DF60DAB" w14:textId="77777777" w:rsidR="00EF1D5F" w:rsidRPr="00FB6251" w:rsidRDefault="00EF1D5F" w:rsidP="003D4AD9">
            <w:pPr>
              <w:jc w:val="left"/>
              <w:rPr>
                <w:sz w:val="16"/>
                <w:szCs w:val="16"/>
              </w:rPr>
            </w:pP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37743E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6.777.742.848</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747BD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6.540.821.142</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BEA95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6.986.450.016</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972383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7.120.640.701</w:t>
            </w:r>
          </w:p>
        </w:tc>
        <w:tc>
          <w:tcPr>
            <w:tcW w:w="140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DE404EE" w14:textId="77777777" w:rsidR="00EF1D5F" w:rsidRPr="00FB6251" w:rsidRDefault="00EF1D5F" w:rsidP="003D4AD9">
            <w:pPr>
              <w:jc w:val="left"/>
              <w:rPr>
                <w:sz w:val="16"/>
                <w:szCs w:val="16"/>
              </w:rPr>
            </w:pPr>
          </w:p>
        </w:tc>
      </w:tr>
      <w:tr w:rsidR="00EF1D5F" w14:paraId="5DD347E9" w14:textId="77777777" w:rsidTr="0017067D">
        <w:trPr>
          <w:trHeight w:val="1264"/>
          <w:jc w:val="center"/>
        </w:trPr>
        <w:tc>
          <w:tcPr>
            <w:tcW w:w="1849"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5FE852C" w14:textId="04AB80D8" w:rsidR="00EF1D5F" w:rsidRPr="00FB6251" w:rsidRDefault="00EF1D5F" w:rsidP="003D4AD9">
            <w:pPr>
              <w:widowControl w:val="0"/>
              <w:spacing w:line="276" w:lineRule="auto"/>
              <w:jc w:val="left"/>
              <w:rPr>
                <w:color w:val="000000"/>
                <w:sz w:val="16"/>
                <w:szCs w:val="16"/>
              </w:rPr>
            </w:pPr>
            <w:r w:rsidRPr="00FB6251">
              <w:rPr>
                <w:color w:val="000000"/>
                <w:sz w:val="16"/>
                <w:szCs w:val="16"/>
              </w:rPr>
              <w:t>Viabilizar 1</w:t>
            </w:r>
            <w:r w:rsidR="00165FEA">
              <w:rPr>
                <w:color w:val="000000"/>
                <w:sz w:val="16"/>
                <w:szCs w:val="16"/>
              </w:rPr>
              <w:t>.</w:t>
            </w:r>
            <w:r w:rsidRPr="00FB6251">
              <w:rPr>
                <w:color w:val="000000"/>
                <w:sz w:val="16"/>
                <w:szCs w:val="16"/>
              </w:rPr>
              <w:t>800 hectáreas para el desarrollo de proyectos en la ciudad desde los componentes de la estructura ecológica principal movilidad espacio público revitalización sistema del cuidado vivienda servicios urbanos empleo y productividad que aporten al desarrollo de Bogotá.</w:t>
            </w: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47EE3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254</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8A3F99" w14:textId="28C0FA35"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78</w:t>
            </w:r>
            <w:r w:rsidR="00165FEA">
              <w:rPr>
                <w:color w:val="000000"/>
                <w:sz w:val="16"/>
                <w:szCs w:val="16"/>
              </w:rPr>
              <w:t>2</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B689F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621</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D81AE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143</w:t>
            </w:r>
          </w:p>
        </w:tc>
        <w:tc>
          <w:tcPr>
            <w:tcW w:w="140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A8CFD04"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31.158.106.458</w:t>
            </w:r>
          </w:p>
        </w:tc>
      </w:tr>
      <w:tr w:rsidR="00EF1D5F" w14:paraId="2D9FE938" w14:textId="77777777" w:rsidTr="0017067D">
        <w:trPr>
          <w:trHeight w:val="1264"/>
          <w:jc w:val="center"/>
        </w:trPr>
        <w:tc>
          <w:tcPr>
            <w:tcW w:w="1849"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D7A9E19" w14:textId="77777777" w:rsidR="00EF1D5F" w:rsidRPr="00FB6251" w:rsidRDefault="00EF1D5F" w:rsidP="003D4AD9">
            <w:pPr>
              <w:jc w:val="left"/>
              <w:rPr>
                <w:sz w:val="16"/>
                <w:szCs w:val="16"/>
              </w:rPr>
            </w:pPr>
          </w:p>
        </w:tc>
        <w:tc>
          <w:tcPr>
            <w:tcW w:w="1134"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0FE08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8.109.517.109</w:t>
            </w:r>
          </w:p>
        </w:tc>
        <w:tc>
          <w:tcPr>
            <w:tcW w:w="1233"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02469E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7.992.569.429</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00008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7.595.922.214</w:t>
            </w:r>
          </w:p>
        </w:tc>
        <w:tc>
          <w:tcPr>
            <w:tcW w:w="140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2263E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7.460.097.706</w:t>
            </w:r>
          </w:p>
        </w:tc>
        <w:tc>
          <w:tcPr>
            <w:tcW w:w="140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15ED1B6" w14:textId="77777777" w:rsidR="00EF1D5F" w:rsidRPr="00FB6251" w:rsidRDefault="00EF1D5F" w:rsidP="003D4AD9">
            <w:pPr>
              <w:jc w:val="left"/>
              <w:rPr>
                <w:sz w:val="16"/>
                <w:szCs w:val="16"/>
              </w:rPr>
            </w:pPr>
            <w:bookmarkStart w:id="362" w:name="_heading=h.j1dvfq3s1put" w:colFirst="0" w:colLast="0"/>
            <w:bookmarkEnd w:id="362"/>
          </w:p>
        </w:tc>
      </w:tr>
    </w:tbl>
    <w:p w14:paraId="6AC2C25D" w14:textId="77777777" w:rsidR="00EF1D5F" w:rsidRDefault="00EF1D5F"/>
    <w:p w14:paraId="67AF0698" w14:textId="77777777" w:rsidR="00C372F4" w:rsidRDefault="00C372F4" w:rsidP="008A79DB">
      <w:pPr>
        <w:keepNext/>
        <w:keepLines/>
        <w:pBdr>
          <w:top w:val="nil"/>
          <w:left w:val="nil"/>
          <w:bottom w:val="nil"/>
          <w:right w:val="nil"/>
          <w:between w:val="nil"/>
        </w:pBdr>
        <w:spacing w:line="280" w:lineRule="exact"/>
        <w:ind w:left="1276" w:hanging="851"/>
        <w:jc w:val="left"/>
        <w:rPr>
          <w:b/>
          <w:color w:val="C00000"/>
          <w:sz w:val="28"/>
          <w:szCs w:val="28"/>
        </w:rPr>
      </w:pPr>
      <w:r>
        <w:rPr>
          <w:b/>
          <w:color w:val="C00000"/>
          <w:sz w:val="28"/>
          <w:szCs w:val="28"/>
        </w:rPr>
        <w:br w:type="page"/>
      </w:r>
    </w:p>
    <w:p w14:paraId="4AE3AFC7" w14:textId="300137BB" w:rsidR="00EF1D5F" w:rsidRDefault="00EF1D5F" w:rsidP="00165FEA">
      <w:pPr>
        <w:pStyle w:val="NIVEL4"/>
      </w:pPr>
      <w:bookmarkStart w:id="363" w:name="_Toc165169789"/>
      <w:r>
        <w:rPr>
          <w:color w:val="C00000"/>
        </w:rPr>
        <w:lastRenderedPageBreak/>
        <w:t xml:space="preserve">Programa 24: </w:t>
      </w:r>
      <w:r>
        <w:t>Revitalización y renovación urbana</w:t>
      </w:r>
      <w:r w:rsidR="00C372F4">
        <w:t xml:space="preserve"> </w:t>
      </w:r>
      <w:r>
        <w:t>y rural con</w:t>
      </w:r>
      <w:r w:rsidR="00C372F4">
        <w:t xml:space="preserve"> </w:t>
      </w:r>
      <w:r>
        <w:t>inclusión</w:t>
      </w:r>
      <w:bookmarkEnd w:id="363"/>
    </w:p>
    <w:p w14:paraId="1BDB38FE" w14:textId="77777777" w:rsidR="00EF1D5F" w:rsidRDefault="00EF1D5F" w:rsidP="00165FEA">
      <w:pPr>
        <w:rPr>
          <w:color w:val="C00000"/>
        </w:rPr>
      </w:pPr>
    </w:p>
    <w:p w14:paraId="442617A1" w14:textId="0E4B954E" w:rsidR="00EF1D5F" w:rsidRPr="00165FEA" w:rsidRDefault="00EF1D5F" w:rsidP="00165FEA">
      <w:pPr>
        <w:ind w:firstLine="708"/>
        <w:rPr>
          <w:b/>
          <w:bCs/>
          <w:color w:val="C00000"/>
        </w:rPr>
        <w:sectPr w:rsidR="00EF1D5F" w:rsidRPr="00165FEA" w:rsidSect="00F7078E">
          <w:type w:val="continuous"/>
          <w:pgSz w:w="12240" w:h="15840"/>
          <w:pgMar w:top="2262" w:right="1440" w:bottom="1440" w:left="1440" w:header="709" w:footer="709" w:gutter="0"/>
          <w:cols w:space="720"/>
        </w:sectPr>
      </w:pPr>
      <w:r w:rsidRPr="00165FEA">
        <w:rPr>
          <w:b/>
          <w:bCs/>
        </w:rPr>
        <w:t>Diagnóstico</w:t>
      </w:r>
    </w:p>
    <w:p w14:paraId="04654D8A" w14:textId="77777777" w:rsidR="00EF1D5F" w:rsidRDefault="00EF1D5F">
      <w:r>
        <w:t>En Bogotá, dado el crecimiento poblacional, hay un déficit del entorno habitable en relación con el espacio público, la vivienda y los servicios sociales básicos, particularmente en áreas de informalidad urbana y rural. Según el DANE (2022), 259.000 hogares están en hacinamiento mitigable y 2.000 en hacinamiento no mitigable, situación que ha cambiado el uso y la vocación de algunas zonas, especialmente en el centro de Bogotá, zona que hoy se encuentra subutilizada, con focos de inseguridad y contaminación o deterioro de las estructuras físicas existentes; donde se presentan dificultades de permanencia para los propietarios y moradores originales y sus actividades productivas en el territorio.</w:t>
      </w:r>
    </w:p>
    <w:p w14:paraId="3D5C56A3" w14:textId="77777777" w:rsidR="00EF1D5F" w:rsidRDefault="00EF1D5F"/>
    <w:p w14:paraId="1A748B33" w14:textId="77777777" w:rsidR="00EF1D5F" w:rsidRDefault="00EF1D5F">
      <w:r>
        <w:t>Esta situación demanda la continuidad y permanencia en el apoyo a su población; se requiere identificar y disminuir las causas que han generado esta exclusión y segregación socio-espacial urbana y rural.</w:t>
      </w:r>
    </w:p>
    <w:p w14:paraId="040CF128" w14:textId="77777777" w:rsidR="00EF1D5F" w:rsidRDefault="00EF1D5F"/>
    <w:p w14:paraId="7F8C45E6" w14:textId="77777777" w:rsidR="00EF1D5F" w:rsidRDefault="00EF1D5F">
      <w:r>
        <w:t>Uno de los efectos que trae consigo la renovación urbana es el cambio de percepción y las dinámicas de seguridad en sectores intervenidos. El caso del Bronx Distrito Creativo (BDC) es un ejemplo de estos cambios. De acuerdo con el estudio de percepción realizado en 2022, el 77 % de los encuestados conocen o han escuchado hablar sobre este espacio, ubicado entre la avenida Caracas y la carrera 16, entre calles 9 y 10. El 98 % de las personas consideran que las actividades artísticas y de emprendimiento que se realizan promueven el arte, el 94 % opina que embellecen el sector y la ciudad, el 93 % expresa que incentivan el orgullo por la ciudad, y el 98 % que lo volvería a visitar.</w:t>
      </w:r>
    </w:p>
    <w:p w14:paraId="43627580" w14:textId="77777777" w:rsidR="00EF1D5F" w:rsidRDefault="00EF1D5F"/>
    <w:p w14:paraId="33428D89" w14:textId="77777777" w:rsidR="00EF1D5F" w:rsidRDefault="00EF1D5F">
      <w:r>
        <w:t xml:space="preserve">Sin embargo, los ejercicios de renovación no son ajenos a factores que, a pesar de la percepción positiva, limitan su desarrollo. Entre estos, se destaca el aumento en el valor del suelo para la producción de soluciones habitacionales, el </w:t>
      </w:r>
      <w:r>
        <w:t>cual repercute en el alza de los precios de la vivienda.</w:t>
      </w:r>
    </w:p>
    <w:p w14:paraId="1B3C990A" w14:textId="77777777" w:rsidR="00EF1D5F" w:rsidRDefault="00EF1D5F"/>
    <w:p w14:paraId="7EC7C70E" w14:textId="77777777" w:rsidR="00EF1D5F" w:rsidRDefault="00EF1D5F">
      <w:r>
        <w:t>Bogotá aumentó el número de hectáreas con tratamiento de renovación urbana en comparación con el POT anterior. Se pasó de 3.472,64 hectáreas, según las últimas reglamentaciones del POT del Decreto 190 de 2004, a 6.905,85 hectáreas con el nuevo POT. Este dato se complementa con la reducción del suelo con tratamiento de desarrollo que pasó de 6.638,02 hectáreas a 3.877,56 hectáreas. Ambos fenómenos conllevan una reducción del suelo disponible para urbanizar en Bogotá, dinámica que tiene repercusión sobre el aumento de los precios del suelo.</w:t>
      </w:r>
    </w:p>
    <w:p w14:paraId="512C6DA7" w14:textId="77777777" w:rsidR="00EF1D5F" w:rsidRDefault="00EF1D5F"/>
    <w:p w14:paraId="30778C64" w14:textId="77777777" w:rsidR="00EF1D5F" w:rsidRDefault="00EF1D5F">
      <w:r>
        <w:t>Por otro lado, los desarrollos urbanos (en desarrollo o revitalización) sin una adecuada planificación e incorporación de criterios de ecourbanismo a la ejecución de la infraestructura de soporte generan espacios con déficit en los indicadores de habitabilidad tanto en el espacio público como en las edificaciones, impactando directamente la adaptación al cambio climático y la resiliencia urbana. De acuerdo con el DADEP, para la vigencia 2021 la ciudad dispuso de 175,2 millones de metros cuadrados de espacio público, de los cuales solo el 18,1 % está destinado a parques, y un 2,2 % a zonas verdes, por lo que se hace necesario incorporar criterios de sostenibilidad ambiental en los proyectos de infraestructura que aporten al reverdecimiento urbano y a la mejora de la calidad de vida de la ciudadanía.</w:t>
      </w:r>
    </w:p>
    <w:p w14:paraId="7551A14E" w14:textId="77777777" w:rsidR="00EF1D5F" w:rsidRDefault="00EF1D5F"/>
    <w:p w14:paraId="57A62A64" w14:textId="77777777" w:rsidR="00EF1D5F" w:rsidRDefault="00EF1D5F">
      <w:r>
        <w:t xml:space="preserve">La relación entre la ciudadanía y el espacio público es de vital importancia para la percepción de la calidad de vida y la seguridad en la ciudad. La forma como las comunidades interactúan con su entorno determina en gran medida su bienestar y su sentido de pertenencia. Sin embargo, la falta de participación ciudadana en la </w:t>
      </w:r>
      <w:r>
        <w:lastRenderedPageBreak/>
        <w:t xml:space="preserve">identificación y construcción social del hábitat constituye un obstáculo significativo para la mejora de los espacios públicos. Esta falta de involucramiento limita la capacidad de los ciudadanos para influir en las decisiones que afectan su entorno y, como consecuencia, contribuye a una percepción negativa de la ciudad y de sus espacios comunes. En lugar de ser áreas vitales </w:t>
      </w:r>
      <w:r>
        <w:t>y seguras de encuentro, muchos espacios públicos se encuentran deteriorados y son propensos a convertirse en puntos de acumulación de residuos o en lugares con dinámicas al margen de la ley. Esta realidad socava la esencia misma del espacio público, pues lo aleja del ideal de ser lugar de convivencia y seguridad para la comunidad, que, además, debilita el tejido social.</w:t>
      </w:r>
    </w:p>
    <w:p w14:paraId="1CB51E50" w14:textId="77777777" w:rsidR="00EF1D5F" w:rsidRDefault="00EF1D5F">
      <w:pPr>
        <w:sectPr w:rsidR="00EF1D5F" w:rsidSect="00F7078E">
          <w:type w:val="continuous"/>
          <w:pgSz w:w="12240" w:h="15840"/>
          <w:pgMar w:top="2262" w:right="1440" w:bottom="1440" w:left="1440" w:header="709" w:footer="709" w:gutter="0"/>
          <w:cols w:num="2" w:space="567"/>
        </w:sectPr>
      </w:pPr>
    </w:p>
    <w:p w14:paraId="6B58B0B0" w14:textId="77777777" w:rsidR="00EF1D5F" w:rsidRDefault="00EF1D5F"/>
    <w:p w14:paraId="447F30AC" w14:textId="77777777" w:rsidR="00EF1D5F" w:rsidRDefault="00EF1D5F"/>
    <w:p w14:paraId="5E7AFD24" w14:textId="5960947E" w:rsidR="00EF1D5F" w:rsidRPr="00165FEA" w:rsidRDefault="00EF1D5F" w:rsidP="00165FEA">
      <w:pPr>
        <w:keepNext/>
        <w:keepLines/>
        <w:pBdr>
          <w:top w:val="nil"/>
          <w:left w:val="nil"/>
          <w:bottom w:val="nil"/>
          <w:right w:val="nil"/>
          <w:between w:val="nil"/>
        </w:pBdr>
        <w:spacing w:line="340" w:lineRule="auto"/>
        <w:jc w:val="left"/>
        <w:rPr>
          <w:b/>
          <w:sz w:val="24"/>
        </w:rPr>
        <w:sectPr w:rsidR="00EF1D5F" w:rsidRPr="00165FEA" w:rsidSect="00F7078E">
          <w:type w:val="continuous"/>
          <w:pgSz w:w="12240" w:h="15840"/>
          <w:pgMar w:top="2262" w:right="1440" w:bottom="1440" w:left="1440" w:header="709" w:footer="709" w:gutter="0"/>
          <w:cols w:space="720"/>
        </w:sectPr>
      </w:pPr>
      <w:r w:rsidRPr="00165FEA">
        <w:rPr>
          <w:b/>
          <w:sz w:val="24"/>
        </w:rPr>
        <w:t>Descripción del programa</w:t>
      </w:r>
    </w:p>
    <w:p w14:paraId="2F4E32EF" w14:textId="77777777" w:rsidR="00EF1D5F" w:rsidRDefault="00EF1D5F">
      <w:r>
        <w:t>El programa tiene como objetivo revitalizar zonas de intervención, así como proteger y garantizar la permanencia y calidad de vida de sus pobladores</w:t>
      </w:r>
      <w:r w:rsidRPr="00165FEA">
        <w:rPr>
          <w:b/>
          <w:vertAlign w:val="superscript"/>
        </w:rPr>
        <w:footnoteReference w:id="16"/>
      </w:r>
      <w:r>
        <w:t xml:space="preserve"> originales, respeta todas las formas de vida, junto al cuidado y mantenimiento del ambiente natural y el construido.</w:t>
      </w:r>
    </w:p>
    <w:p w14:paraId="6604C108" w14:textId="77777777" w:rsidR="00EF1D5F" w:rsidRDefault="00EF1D5F"/>
    <w:p w14:paraId="5F6E3150" w14:textId="77777777" w:rsidR="00EF1D5F" w:rsidRDefault="00EF1D5F">
      <w:r>
        <w:t>El programa tiene como objetivo revitalizar zonas de intervención, en su componente público y privado, así como proteger y garantizar la permanencia y calidad de vida de sus pobladores originales, respeta todas las formas de vida, junto al cuidado y mantenimiento del ambiente natural y el construido.</w:t>
      </w:r>
    </w:p>
    <w:p w14:paraId="2166A900" w14:textId="77777777" w:rsidR="00EF1D5F" w:rsidRDefault="00EF1D5F"/>
    <w:p w14:paraId="7A6E1DCB" w14:textId="77777777" w:rsidR="00EF1D5F" w:rsidRDefault="00EF1D5F">
      <w:r>
        <w:t>Con la intervención de proyectos de revitalización desarrollados en suelo urbano y rural se promoverá la renaturalización y adaptación al cambio climático, impulsando la sostenibilidad ambiental, la conservación de los recursos naturales mediante la incorporación de criterios de construcción sostenible y la participación activa de los habitantes en la toma de decisiones y la implementación de proyectos, de tal forma que las acciones emprendidas respondan a las necesidades y expectativas de la población.</w:t>
      </w:r>
    </w:p>
    <w:p w14:paraId="6D79E8CF" w14:textId="77777777" w:rsidR="00EF1D5F" w:rsidRDefault="00EF1D5F"/>
    <w:p w14:paraId="78E534F9" w14:textId="77777777" w:rsidR="00EF1D5F" w:rsidRDefault="00EF1D5F">
      <w:r>
        <w:t xml:space="preserve">Para ello, se definirán las acciones e incentivos a los moradores y las actividades productivas, la verificación del cumplimiento de las condiciones para su protección, los responsables, derechos y deberes para el cumplimiento de obligaciones, </w:t>
      </w:r>
      <w:r>
        <w:t>las estrategias sociales y los lineamientos para la vinculación de sus beneficiarios, contemplando la diversidad social y de usos, con respeto de todas las formas de vida y consolidando el sentido de pertenencia en los sectores de intervención, en los proyectos y actuaciones urbanísticas que se desarrollen. Se analizarán también fuentes alternativas de financiación para construcción de redes locales para los ámbitos a revitalizar.</w:t>
      </w:r>
    </w:p>
    <w:p w14:paraId="0C2E2454" w14:textId="77777777" w:rsidR="00EF1D5F" w:rsidRDefault="00EF1D5F"/>
    <w:p w14:paraId="61346555" w14:textId="12D3C380" w:rsidR="00EF1D5F" w:rsidRDefault="00EF1D5F">
      <w:r>
        <w:t>En este sentido, se promoverá a nivel distrital instancias y vehículos jurídicos formales de articulación interinstitucional que permitan aunar esfuerzos, concretar y coordinar las acciones que impacten y potencien positivamente la transformación de los territorios priorizados. Así mismo, la articulación y fortalecimiento de operadores urbanos como la Empresa de Renovación y Desarrollo Urbano</w:t>
      </w:r>
      <w:r w:rsidR="00165FEA">
        <w:t xml:space="preserve"> de Bogotá</w:t>
      </w:r>
      <w:r>
        <w:t xml:space="preserve"> – R</w:t>
      </w:r>
      <w:r w:rsidR="00165FEA">
        <w:t>enoBo</w:t>
      </w:r>
      <w:r>
        <w:t xml:space="preserve"> y la Caja de Vivienda Popular es una oportunidad para el desarrollo y promoción de proyectos de vivienda y equipamientos como parte fundamental de la Estrategia; así mismo surge la posibilidad de implementar modelos de negocio privado o público-privado, que permitan la financiación de proyectos, gestión del suelo, la sostenibilidad de las intervenciones y la gestión conjunta complementaria del desarrollo urbano en los territorios revitalizados.</w:t>
      </w:r>
    </w:p>
    <w:p w14:paraId="32205E46" w14:textId="77777777" w:rsidR="00EF1D5F" w:rsidRDefault="00EF1D5F"/>
    <w:p w14:paraId="1ECD6897" w14:textId="77777777" w:rsidR="00EF1D5F" w:rsidRDefault="00EF1D5F">
      <w:r>
        <w:lastRenderedPageBreak/>
        <w:t>Con la construcción y mejoramiento de equipamientos culturales, recreativos y deportivos, se generan más espacios de encuentro, fundamentales para conservar la identidad de las comunidades y territorios para ejercer los derechos culturales. Tal como sucedió con el Distrito Creativo del Bronx (BDC). Sin embargo, aún se requiere trabajar en su consolidación, a fin de tener un entorno y un espacio para el encuentro, la creación, el arte y la memoria.</w:t>
      </w:r>
    </w:p>
    <w:p w14:paraId="4932356F" w14:textId="77777777" w:rsidR="00EF1D5F" w:rsidRDefault="00EF1D5F"/>
    <w:p w14:paraId="2638AF3A" w14:textId="77777777" w:rsidR="00EF1D5F" w:rsidRDefault="00EF1D5F">
      <w:r>
        <w:t>Se avanzará en la formulación y adopción de las Actuaciones Estratégicas (AE) priorizadas, permitiendo la habilitación de suelo para promover, mediante un desarrollo urbano sostenible, la generación de diferentes tipos de soluciones habitacionales para atender las necesidades diversas de la ciudadanía mediante unidades funcionales y licenciamiento directo. Se priorizarán acciones estratégicas de ecourbanismo en áreas con mayor riesgo climático. La identificación de AE será con base en la cercanía a los ejes de transporte masivo, donde los operadores urbanos públicos tendrán a su cargo la coordinación interinstitucional para la gestión de suelo y la oferta de servicios.</w:t>
      </w:r>
    </w:p>
    <w:p w14:paraId="67A71DFB" w14:textId="77777777" w:rsidR="00EF1D5F" w:rsidRDefault="00EF1D5F"/>
    <w:p w14:paraId="11362531" w14:textId="77777777" w:rsidR="00EF1D5F" w:rsidRDefault="00EF1D5F">
      <w:r>
        <w:t>Se priorizará la protección, conservación y sostenibilidad de los patrimonios de la ciudad mediante procesos de identificación, valoración y reconocimiento que fomenten la participación ciudadana en estos procesos, así como la implementación de instrumentos de gestión orientados a la preservación y sostenibilidad de los patrimonios que se encuentran en los territorios a través de interacciones sociales, culturales y ambientales. Por otra parte, se adelantará la construcción de nodos de equipamientos en el marco del Proyecto de Revitalización Cable Aéreo San Cristóbal, así como la gestión de suelo, estudios, diseños y construcción de nodos de equipamientos en torno al Cable Aéreo Potosí.</w:t>
      </w:r>
    </w:p>
    <w:p w14:paraId="653D77B4" w14:textId="77777777" w:rsidR="00EF1D5F" w:rsidRDefault="00EF1D5F"/>
    <w:p w14:paraId="0226295C" w14:textId="77777777" w:rsidR="00EF1D5F" w:rsidRDefault="00EF1D5F">
      <w:r>
        <w:t xml:space="preserve">Así mismo, se promoverá nueva infraestructura especializada en disciplinas deportivas que permitan la formación y el entrenamiento hacia el </w:t>
      </w:r>
      <w:r>
        <w:t>alto rendimiento, completando la oferta recreo-deportiva con la consolidación y cualificación en nuevos parques estructurantes y de proximidad.</w:t>
      </w:r>
    </w:p>
    <w:p w14:paraId="0D0D504B" w14:textId="77777777" w:rsidR="00EF1D5F" w:rsidRDefault="00EF1D5F"/>
    <w:p w14:paraId="52CE049F" w14:textId="77777777" w:rsidR="00EF1D5F" w:rsidRDefault="00EF1D5F">
      <w:r>
        <w:t>Se ejecutarán proyectos de renovación urbana, revitalización y desarrollo en unidades funcionales definidas en las actuaciones estratégicas, que implican la estructuración técnica, comercial y financiera que se concreta a través de la vinculación de un desarrollador mediante un instrumento jurídico de asociación público-privada, y la gestión y adquisición de suelo cuando sea viable financieramente.</w:t>
      </w:r>
    </w:p>
    <w:p w14:paraId="44941B26" w14:textId="77777777" w:rsidR="00EF1D5F" w:rsidRDefault="00EF1D5F"/>
    <w:p w14:paraId="00E251BB" w14:textId="77777777" w:rsidR="00EF1D5F" w:rsidRDefault="00EF1D5F">
      <w:r>
        <w:t>Adicionalmente, se establecerán obligaciones y responsabilidades para desarrolladores inmobiliarios, en las actuaciones estratégicas priorizadas, asegurando una revitalización urbana inclusiva y sostenible. Desde la formulación de estas actuaciones, y la estructuración de unidades funcionales en el interior, se promoverá mediante desarrollo urbano sostenible la generación de soluciones habitacionales con soportes urbanos para atender las necesidades de los habitantes de la ciudad.</w:t>
      </w:r>
    </w:p>
    <w:p w14:paraId="05662D02" w14:textId="77777777" w:rsidR="00EF1D5F" w:rsidRDefault="00EF1D5F"/>
    <w:p w14:paraId="3BD95070" w14:textId="77777777" w:rsidR="00EF1D5F" w:rsidRDefault="00EF1D5F">
      <w:r>
        <w:t>El Mejoramiento de Barrios, busca disminuir los déficit urbanísticos y cualitativos de la vivienda y su entorno. Para su aplicación en áreas deficitarias, el Plan de Ordenamiento Territorial establece los Planes de intervención para el mejoramiento del hábitat PIMI-H (Decreto 643 de 2023), con el fin de concretar las políticas, estratégicas y metas del mismo, a través de la coordinación de las acciones y actuaciones institucionales para el mejoramiento integral del hábitat (MIH), en términos de plazos, actores, recursos y estrategias (artículo 507, POT. Decreto 646 2023). Adicionalmente, en aras de mejorar las condiciones del hábitat y las situaciones de vulnerabilidad asociadas a pobreza monetaria, desde la formulación se busca intervenir en áreas en dónde la pobreza multidimensional esté por debajo del promedio de la ciudad.</w:t>
      </w:r>
    </w:p>
    <w:p w14:paraId="1AEFAC31" w14:textId="77777777" w:rsidR="00EF1D5F" w:rsidRDefault="00EF1D5F"/>
    <w:p w14:paraId="77ADA3AC" w14:textId="77777777" w:rsidR="00EF1D5F" w:rsidRDefault="00EF1D5F">
      <w:r>
        <w:lastRenderedPageBreak/>
        <w:t>En particular, el mejoramiento de vivienda se materializa a través de la asignación de subsidios, por única vez, a los hogares en condición de vulnerabilidad social y económica, con el fin de superar una o varias de las carencias básicas de los inmuebles a través de reparaciones o mejoras locativas. Para ello, el Programa concentra soluciones habitacionales como vivienda progresiva, habitabilidad y vivienda rural (en sus diferentes tipos de intervención), encaminadas al mejoramiento de las condiciones de habitabilidad o estructurales de las viviendas.</w:t>
      </w:r>
    </w:p>
    <w:p w14:paraId="5B6CEF73" w14:textId="77777777" w:rsidR="00EF1D5F" w:rsidRDefault="00EF1D5F"/>
    <w:p w14:paraId="7D2AF341" w14:textId="2E61F1D5" w:rsidR="00EF1D5F" w:rsidRDefault="00EF1D5F">
      <w:r>
        <w:t>Es importante resaltar que, la Secretaría Distrital del Hábitat y las entidades del sector, como la CVP, aúnan esfuerzos, desde la formulación de los PIMI-H</w:t>
      </w:r>
      <w:r w:rsidR="00A321FC">
        <w:t>ábitat</w:t>
      </w:r>
      <w:r>
        <w:t xml:space="preserve"> con el fin de identificar, caracterizar y definir polígonos de intervención en los territorios con mayor déficit.</w:t>
      </w:r>
    </w:p>
    <w:p w14:paraId="49D13782" w14:textId="77777777" w:rsidR="00954DD7" w:rsidRDefault="00954DD7"/>
    <w:p w14:paraId="73C2F4B4" w14:textId="77777777" w:rsidR="00EF1D5F" w:rsidRDefault="00EF1D5F">
      <w:r>
        <w:t>En todas estas intervenciones se implementarán medidas de adaptación al cambio climático, priorizando la restauración de ecosistemas clave para la conservación del recurso hídrico, se planificará la integración de áreas protegidas existentes y nuevas, así como la creación de figuras como bosques urbanos y corredores de polinización.</w:t>
      </w:r>
    </w:p>
    <w:p w14:paraId="19329368" w14:textId="77777777" w:rsidR="00EF1D5F" w:rsidRDefault="00EF1D5F"/>
    <w:p w14:paraId="444DB38E" w14:textId="7696DFBF" w:rsidR="00EF1D5F" w:rsidRDefault="00EF1D5F">
      <w:r>
        <w:t xml:space="preserve">Es importante mencionar que, dadas las condiciones actuales con las afectaciones que causa el cambio climático a nuestra ciudad, se buscará promover el uso eficiente de recursos y tecnologías en la construcción, la mitigación de impactos ambientales y la creación de espacios urbanos más saludables y habitables, a través de la implementación de los </w:t>
      </w:r>
      <w:r w:rsidR="00597680">
        <w:t>e</w:t>
      </w:r>
      <w:r>
        <w:t xml:space="preserve">cobarrios, cuyo objetivo es fomentar prácticas sostenibles en las comunidades mediante la participación activa de los ciudadanos. Estas acciones buscan reducir el impacto ambiental en nuestra ciudad, promoviendo la adaptación al cambio climático, bajo </w:t>
      </w:r>
      <w:r>
        <w:t>estos cinco pilares de intervención: 1. Uso eficiente del agua, 2. Ahorro y eficiencia energética, 3. Infraestructuras verdes, 4. Mejorar la calidad del aire, 5. Eficiencia en el manejo de residuos y materiales.</w:t>
      </w:r>
    </w:p>
    <w:p w14:paraId="73EE1FF5" w14:textId="77777777" w:rsidR="00EF1D5F" w:rsidRDefault="00EF1D5F"/>
    <w:p w14:paraId="114CDDE3" w14:textId="77777777" w:rsidR="00EF1D5F" w:rsidRDefault="00EF1D5F">
      <w:r>
        <w:t>Así mismo, para impulsar el Crecimiento Verde en la ciudad, se adelantarán acciones en tres ejes en armonía y equilibrio entre los sectores productivos y el ambiente: 1) Incorporar determinantes ambientales en proyectos de urbanismo y construcción. 2) Incluir criterios ambientales en los diferentes proyectos de producción y/o consumo sostenible. 3) Impulsar negocios verdes.</w:t>
      </w:r>
    </w:p>
    <w:p w14:paraId="4CE905E3" w14:textId="77777777" w:rsidR="00EF1D5F" w:rsidRDefault="00EF1D5F"/>
    <w:p w14:paraId="2293A6B0" w14:textId="77777777" w:rsidR="00EF1D5F" w:rsidRDefault="00EF1D5F">
      <w:r>
        <w:t>El enfoque del crecimiento verde permitirá implementar e incentivar una infraestructura más resiliente frente a los fenómenos climáticos, estimular sistemas urbanos de drenaje sostenible generadores de energía, siendo cruciales para mitigar y adaptarse al cambio climático y proteger la calidad de vida de la ciudadanía. La promoción del Ecourbanismo y Construcción Sostenible, que se implementará de manera progresiva en proyectos urbanos nuevos y existentes, será fundamental para el uso de materiales ecológicos, eficiencia energética y ahorro de agua.</w:t>
      </w:r>
    </w:p>
    <w:p w14:paraId="156E83E2" w14:textId="77777777" w:rsidR="00EF1D5F" w:rsidRDefault="00EF1D5F"/>
    <w:p w14:paraId="2CEE0FF2" w14:textId="0C8DE1BA" w:rsidR="00EF1D5F" w:rsidRDefault="00EF1D5F">
      <w:pPr>
        <w:sectPr w:rsidR="00EF1D5F" w:rsidSect="00F7078E">
          <w:type w:val="continuous"/>
          <w:pgSz w:w="12240" w:h="15840"/>
          <w:pgMar w:top="2262" w:right="1440" w:bottom="1440" w:left="1440" w:header="708" w:footer="708" w:gutter="0"/>
          <w:cols w:num="2" w:space="567"/>
        </w:sectPr>
      </w:pPr>
      <w:r>
        <w:t>Es fundamental desarrollar estrategias que promuevan la participación ciudadana en la revitalización y resiliencia de espacios urbanos y rurales, en la construcción de iniciativas conjuntas con las comunidades en los territorios priorizados, a partir de los ejes transversales de innovación. Estas acciones integrarán el enfoque de género y el enfoque derechos humanos de las mujeres impulsando su participación, dada la experiencia y aportes de las mujeres campesinas en renovación urbana y rural y mitigación de situaciones ambientales.</w:t>
      </w:r>
    </w:p>
    <w:p w14:paraId="43E679FA" w14:textId="77777777" w:rsidR="00EF1D5F" w:rsidRDefault="00EF1D5F"/>
    <w:p w14:paraId="7BE23519"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301BF2A6" w14:textId="77777777" w:rsidR="00EF1D5F" w:rsidRDefault="00EF1D5F">
      <w:pPr>
        <w:rPr>
          <w:b/>
        </w:rPr>
      </w:pPr>
      <w:bookmarkStart w:id="364" w:name="_heading=h.2wwbldi" w:colFirst="0" w:colLast="0"/>
      <w:bookmarkEnd w:id="364"/>
    </w:p>
    <w:p w14:paraId="399546B8" w14:textId="77777777" w:rsidR="006649A1" w:rsidRDefault="006649A1">
      <w:pPr>
        <w:spacing w:line="240" w:lineRule="auto"/>
        <w:jc w:val="left"/>
        <w:rPr>
          <w:b/>
          <w:color w:val="C00000"/>
          <w:sz w:val="18"/>
          <w:szCs w:val="18"/>
        </w:rPr>
      </w:pPr>
      <w:r>
        <w:rPr>
          <w:b/>
          <w:color w:val="C00000"/>
          <w:sz w:val="18"/>
          <w:szCs w:val="18"/>
        </w:rPr>
        <w:br w:type="page"/>
      </w:r>
    </w:p>
    <w:p w14:paraId="3B3899CE" w14:textId="07FAD2CE" w:rsidR="00EF1D5F" w:rsidRPr="006649A1" w:rsidRDefault="006649A1" w:rsidP="006649A1">
      <w:pPr>
        <w:pStyle w:val="Descripcin"/>
        <w:jc w:val="center"/>
        <w:rPr>
          <w:color w:val="3B3838"/>
          <w:sz w:val="18"/>
        </w:rPr>
      </w:pPr>
      <w:bookmarkStart w:id="365" w:name="_Toc165169955"/>
      <w:r w:rsidRPr="006649A1">
        <w:rPr>
          <w:color w:val="C00000"/>
          <w:sz w:val="18"/>
        </w:rPr>
        <w:lastRenderedPageBreak/>
        <w:t xml:space="preserve">Tabla </w:t>
      </w:r>
      <w:r w:rsidRPr="006649A1">
        <w:rPr>
          <w:color w:val="C00000"/>
          <w:sz w:val="18"/>
        </w:rPr>
        <w:fldChar w:fldCharType="begin"/>
      </w:r>
      <w:r w:rsidRPr="006649A1">
        <w:rPr>
          <w:color w:val="C00000"/>
          <w:sz w:val="18"/>
        </w:rPr>
        <w:instrText xml:space="preserve"> SEQ Tabla \* ARABIC </w:instrText>
      </w:r>
      <w:r w:rsidRPr="006649A1">
        <w:rPr>
          <w:color w:val="C00000"/>
          <w:sz w:val="18"/>
        </w:rPr>
        <w:fldChar w:fldCharType="separate"/>
      </w:r>
      <w:r w:rsidR="00D01651">
        <w:rPr>
          <w:noProof/>
          <w:color w:val="C00000"/>
          <w:sz w:val="18"/>
        </w:rPr>
        <w:t>45</w:t>
      </w:r>
      <w:r w:rsidRPr="006649A1">
        <w:rPr>
          <w:color w:val="C00000"/>
          <w:sz w:val="18"/>
        </w:rPr>
        <w:fldChar w:fldCharType="end"/>
      </w:r>
      <w:r w:rsidRPr="006649A1">
        <w:rPr>
          <w:color w:val="C00000"/>
          <w:sz w:val="18"/>
        </w:rPr>
        <w:t xml:space="preserve">. </w:t>
      </w:r>
      <w:r w:rsidR="00EF1D5F" w:rsidRPr="006649A1">
        <w:rPr>
          <w:color w:val="3B3838"/>
          <w:sz w:val="18"/>
        </w:rPr>
        <w:t>Metas del programa 2</w:t>
      </w:r>
      <w:r w:rsidR="00EF1D5F" w:rsidRPr="006649A1">
        <w:rPr>
          <w:sz w:val="18"/>
        </w:rPr>
        <w:t>4</w:t>
      </w:r>
      <w:r>
        <w:rPr>
          <w:color w:val="3B3838"/>
          <w:sz w:val="18"/>
        </w:rPr>
        <w:t xml:space="preserve">: </w:t>
      </w:r>
      <w:r w:rsidR="00EF1D5F" w:rsidRPr="006649A1">
        <w:rPr>
          <w:color w:val="3B3838"/>
          <w:sz w:val="18"/>
        </w:rPr>
        <w:t>Revitalización y renovación urbana y rural con inclusión</w:t>
      </w:r>
      <w:bookmarkEnd w:id="365"/>
    </w:p>
    <w:p w14:paraId="6522AA03" w14:textId="77777777" w:rsidR="00EF1D5F" w:rsidRPr="00A623EF" w:rsidRDefault="00EF1D5F" w:rsidP="000124BE">
      <w:pPr>
        <w:widowControl w:val="0"/>
        <w:spacing w:line="276" w:lineRule="auto"/>
        <w:rPr>
          <w:b/>
          <w:color w:val="FFFFFF"/>
          <w:sz w:val="24"/>
          <w:lang w:val="es-419"/>
        </w:rPr>
        <w:sectPr w:rsidR="00EF1D5F" w:rsidRPr="00A623EF" w:rsidSect="00F7078E">
          <w:type w:val="continuous"/>
          <w:pgSz w:w="12240" w:h="15840"/>
          <w:pgMar w:top="2262" w:right="1440" w:bottom="1440" w:left="1440" w:header="708" w:footer="708" w:gutter="0"/>
          <w:cols w:space="567"/>
        </w:sectPr>
      </w:pPr>
    </w:p>
    <w:tbl>
      <w:tblPr>
        <w:tblW w:w="8838" w:type="dxa"/>
        <w:jc w:val="center"/>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2410"/>
        <w:gridCol w:w="1276"/>
        <w:gridCol w:w="1276"/>
        <w:gridCol w:w="1275"/>
        <w:gridCol w:w="1386"/>
        <w:gridCol w:w="1215"/>
      </w:tblGrid>
      <w:tr w:rsidR="00EF1D5F" w14:paraId="63C56A6A" w14:textId="77777777" w:rsidTr="0064152F">
        <w:trPr>
          <w:trHeight w:val="600"/>
          <w:tblHeader/>
          <w:jc w:val="center"/>
        </w:trPr>
        <w:tc>
          <w:tcPr>
            <w:tcW w:w="2410" w:type="dxa"/>
            <w:vMerge w:val="restart"/>
            <w:shd w:val="clear" w:color="auto" w:fill="C00000"/>
            <w:tcMar>
              <w:top w:w="40" w:type="dxa"/>
              <w:left w:w="40" w:type="dxa"/>
              <w:bottom w:w="40" w:type="dxa"/>
              <w:right w:w="40" w:type="dxa"/>
            </w:tcMar>
            <w:vAlign w:val="center"/>
          </w:tcPr>
          <w:p w14:paraId="7DE11C56" w14:textId="687C1E8F" w:rsidR="00EF1D5F" w:rsidRDefault="00EF1D5F" w:rsidP="003D4AD9">
            <w:pPr>
              <w:widowControl w:val="0"/>
              <w:spacing w:line="276" w:lineRule="auto"/>
              <w:jc w:val="center"/>
              <w:rPr>
                <w:b/>
                <w:color w:val="FFFFFF"/>
                <w:sz w:val="24"/>
              </w:rPr>
            </w:pPr>
            <w:r>
              <w:rPr>
                <w:b/>
                <w:color w:val="FFFFFF"/>
                <w:sz w:val="24"/>
              </w:rPr>
              <w:t>S</w:t>
            </w:r>
            <w:r w:rsidR="00C372F4">
              <w:rPr>
                <w:b/>
                <w:color w:val="FFFFFF"/>
                <w:sz w:val="24"/>
              </w:rPr>
              <w:t>ector</w:t>
            </w:r>
            <w:r>
              <w:rPr>
                <w:b/>
                <w:color w:val="FFFFFF"/>
                <w:sz w:val="24"/>
              </w:rPr>
              <w:t xml:space="preserve"> / Metas</w:t>
            </w:r>
          </w:p>
        </w:tc>
        <w:tc>
          <w:tcPr>
            <w:tcW w:w="6428" w:type="dxa"/>
            <w:gridSpan w:val="5"/>
            <w:shd w:val="clear" w:color="auto" w:fill="C00000"/>
            <w:tcMar>
              <w:top w:w="40" w:type="dxa"/>
              <w:left w:w="40" w:type="dxa"/>
              <w:bottom w:w="40" w:type="dxa"/>
              <w:right w:w="40" w:type="dxa"/>
            </w:tcMar>
            <w:vAlign w:val="center"/>
          </w:tcPr>
          <w:p w14:paraId="40091AFC" w14:textId="77777777" w:rsidR="00EF1D5F" w:rsidRDefault="00EF1D5F" w:rsidP="003D4AD9">
            <w:pPr>
              <w:widowControl w:val="0"/>
              <w:spacing w:line="276" w:lineRule="auto"/>
              <w:jc w:val="center"/>
              <w:rPr>
                <w:b/>
                <w:color w:val="FFFFFF"/>
                <w:sz w:val="24"/>
              </w:rPr>
            </w:pPr>
            <w:r>
              <w:rPr>
                <w:b/>
                <w:color w:val="FFFFFF"/>
                <w:sz w:val="24"/>
              </w:rPr>
              <w:t>Magnitudes e Inversión</w:t>
            </w:r>
          </w:p>
          <w:p w14:paraId="385D063F" w14:textId="77777777" w:rsidR="00EF1D5F" w:rsidRDefault="00EF1D5F" w:rsidP="003D4AD9">
            <w:pPr>
              <w:widowControl w:val="0"/>
              <w:spacing w:line="276" w:lineRule="auto"/>
              <w:jc w:val="center"/>
              <w:rPr>
                <w:rFonts w:ascii="Arial" w:eastAsia="Arial" w:hAnsi="Arial" w:cs="Arial"/>
                <w:color w:val="000000"/>
              </w:rPr>
            </w:pPr>
            <w:r>
              <w:rPr>
                <w:b/>
                <w:color w:val="FFFFFF"/>
                <w:sz w:val="18"/>
                <w:szCs w:val="18"/>
              </w:rPr>
              <w:t>(Precios Constantes 2024)</w:t>
            </w:r>
          </w:p>
        </w:tc>
      </w:tr>
      <w:tr w:rsidR="00EF1D5F" w14:paraId="1FB55639" w14:textId="77777777" w:rsidTr="0064152F">
        <w:trPr>
          <w:trHeight w:val="315"/>
          <w:tblHeader/>
          <w:jc w:val="center"/>
        </w:trPr>
        <w:tc>
          <w:tcPr>
            <w:tcW w:w="2410" w:type="dxa"/>
            <w:vMerge/>
            <w:shd w:val="clear" w:color="auto" w:fill="auto"/>
            <w:tcMar>
              <w:top w:w="100" w:type="dxa"/>
              <w:left w:w="100" w:type="dxa"/>
              <w:bottom w:w="100" w:type="dxa"/>
              <w:right w:w="100" w:type="dxa"/>
            </w:tcMar>
          </w:tcPr>
          <w:p w14:paraId="279041F2" w14:textId="77777777" w:rsidR="00EF1D5F" w:rsidRDefault="00EF1D5F" w:rsidP="003D4AD9">
            <w:pPr>
              <w:widowControl w:val="0"/>
              <w:spacing w:line="276" w:lineRule="auto"/>
              <w:jc w:val="left"/>
              <w:rPr>
                <w:rFonts w:ascii="Arial" w:eastAsia="Arial" w:hAnsi="Arial" w:cs="Arial"/>
                <w:color w:val="000000"/>
              </w:rPr>
            </w:pPr>
          </w:p>
        </w:tc>
        <w:tc>
          <w:tcPr>
            <w:tcW w:w="1276" w:type="dxa"/>
            <w:shd w:val="clear" w:color="auto" w:fill="D9D9D9"/>
            <w:tcMar>
              <w:top w:w="40" w:type="dxa"/>
              <w:left w:w="40" w:type="dxa"/>
              <w:bottom w:w="40" w:type="dxa"/>
              <w:right w:w="40" w:type="dxa"/>
            </w:tcMar>
            <w:vAlign w:val="center"/>
          </w:tcPr>
          <w:p w14:paraId="643EA7CB" w14:textId="77777777" w:rsidR="00EF1D5F" w:rsidRDefault="00EF1D5F" w:rsidP="003D4AD9">
            <w:pPr>
              <w:widowControl w:val="0"/>
              <w:spacing w:line="276" w:lineRule="auto"/>
              <w:jc w:val="center"/>
              <w:rPr>
                <w:rFonts w:ascii="Arial" w:eastAsia="Arial" w:hAnsi="Arial" w:cs="Arial"/>
                <w:color w:val="000000"/>
              </w:rPr>
            </w:pPr>
            <w:r>
              <w:rPr>
                <w:b/>
                <w:color w:val="000000"/>
              </w:rPr>
              <w:t>2024</w:t>
            </w:r>
          </w:p>
        </w:tc>
        <w:tc>
          <w:tcPr>
            <w:tcW w:w="1276" w:type="dxa"/>
            <w:shd w:val="clear" w:color="auto" w:fill="D9D9D9"/>
            <w:tcMar>
              <w:top w:w="40" w:type="dxa"/>
              <w:left w:w="40" w:type="dxa"/>
              <w:bottom w:w="40" w:type="dxa"/>
              <w:right w:w="40" w:type="dxa"/>
            </w:tcMar>
            <w:vAlign w:val="center"/>
          </w:tcPr>
          <w:p w14:paraId="52B81081" w14:textId="77777777" w:rsidR="00EF1D5F" w:rsidRDefault="00EF1D5F" w:rsidP="003D4AD9">
            <w:pPr>
              <w:widowControl w:val="0"/>
              <w:spacing w:line="276" w:lineRule="auto"/>
              <w:jc w:val="center"/>
              <w:rPr>
                <w:rFonts w:ascii="Arial" w:eastAsia="Arial" w:hAnsi="Arial" w:cs="Arial"/>
                <w:color w:val="000000"/>
              </w:rPr>
            </w:pPr>
            <w:r>
              <w:rPr>
                <w:b/>
                <w:color w:val="000000"/>
              </w:rPr>
              <w:t>2025</w:t>
            </w:r>
          </w:p>
        </w:tc>
        <w:tc>
          <w:tcPr>
            <w:tcW w:w="1275" w:type="dxa"/>
            <w:shd w:val="clear" w:color="auto" w:fill="D9D9D9"/>
            <w:tcMar>
              <w:top w:w="40" w:type="dxa"/>
              <w:left w:w="40" w:type="dxa"/>
              <w:bottom w:w="40" w:type="dxa"/>
              <w:right w:w="40" w:type="dxa"/>
            </w:tcMar>
            <w:vAlign w:val="center"/>
          </w:tcPr>
          <w:p w14:paraId="7A5E0511" w14:textId="77777777" w:rsidR="00EF1D5F" w:rsidRDefault="00EF1D5F" w:rsidP="003D4AD9">
            <w:pPr>
              <w:widowControl w:val="0"/>
              <w:spacing w:line="276" w:lineRule="auto"/>
              <w:jc w:val="center"/>
              <w:rPr>
                <w:rFonts w:ascii="Arial" w:eastAsia="Arial" w:hAnsi="Arial" w:cs="Arial"/>
                <w:color w:val="000000"/>
              </w:rPr>
            </w:pPr>
            <w:r>
              <w:rPr>
                <w:b/>
                <w:color w:val="000000"/>
              </w:rPr>
              <w:t>2026</w:t>
            </w:r>
          </w:p>
        </w:tc>
        <w:tc>
          <w:tcPr>
            <w:tcW w:w="1386" w:type="dxa"/>
            <w:shd w:val="clear" w:color="auto" w:fill="D9D9D9"/>
            <w:tcMar>
              <w:top w:w="40" w:type="dxa"/>
              <w:left w:w="40" w:type="dxa"/>
              <w:bottom w:w="40" w:type="dxa"/>
              <w:right w:w="40" w:type="dxa"/>
            </w:tcMar>
            <w:vAlign w:val="center"/>
          </w:tcPr>
          <w:p w14:paraId="03F56613" w14:textId="77777777" w:rsidR="00EF1D5F" w:rsidRDefault="00EF1D5F" w:rsidP="003D4AD9">
            <w:pPr>
              <w:widowControl w:val="0"/>
              <w:spacing w:line="276" w:lineRule="auto"/>
              <w:jc w:val="center"/>
              <w:rPr>
                <w:rFonts w:ascii="Arial" w:eastAsia="Arial" w:hAnsi="Arial" w:cs="Arial"/>
                <w:color w:val="000000"/>
              </w:rPr>
            </w:pPr>
            <w:r>
              <w:rPr>
                <w:b/>
                <w:color w:val="000000"/>
              </w:rPr>
              <w:t>2027</w:t>
            </w:r>
          </w:p>
        </w:tc>
        <w:tc>
          <w:tcPr>
            <w:tcW w:w="1215" w:type="dxa"/>
            <w:shd w:val="clear" w:color="auto" w:fill="D9D9D9"/>
            <w:tcMar>
              <w:top w:w="40" w:type="dxa"/>
              <w:left w:w="40" w:type="dxa"/>
              <w:bottom w:w="40" w:type="dxa"/>
              <w:right w:w="40" w:type="dxa"/>
            </w:tcMar>
            <w:vAlign w:val="center"/>
          </w:tcPr>
          <w:p w14:paraId="68DEC69F" w14:textId="77777777" w:rsidR="0064152F" w:rsidRDefault="00EF1D5F" w:rsidP="003D4AD9">
            <w:pPr>
              <w:widowControl w:val="0"/>
              <w:spacing w:line="276" w:lineRule="auto"/>
              <w:jc w:val="center"/>
              <w:rPr>
                <w:b/>
                <w:color w:val="000000"/>
              </w:rPr>
            </w:pPr>
            <w:r>
              <w:rPr>
                <w:b/>
                <w:color w:val="000000"/>
              </w:rPr>
              <w:t xml:space="preserve">Total </w:t>
            </w:r>
          </w:p>
          <w:p w14:paraId="785994FB" w14:textId="53D68CA7" w:rsidR="00EF1D5F" w:rsidRDefault="00EF1D5F" w:rsidP="003D4AD9">
            <w:pPr>
              <w:widowControl w:val="0"/>
              <w:spacing w:line="276" w:lineRule="auto"/>
              <w:jc w:val="center"/>
              <w:rPr>
                <w:rFonts w:ascii="Arial" w:eastAsia="Arial" w:hAnsi="Arial" w:cs="Arial"/>
                <w:color w:val="000000"/>
              </w:rPr>
            </w:pPr>
            <w:r>
              <w:rPr>
                <w:b/>
                <w:color w:val="000000"/>
              </w:rPr>
              <w:t>Inversión</w:t>
            </w:r>
          </w:p>
        </w:tc>
      </w:tr>
      <w:tr w:rsidR="00EF1D5F" w:rsidRPr="00FB6251" w14:paraId="0D0B38A4" w14:textId="77777777" w:rsidTr="000124BE">
        <w:trPr>
          <w:trHeight w:val="315"/>
          <w:jc w:val="center"/>
        </w:trPr>
        <w:tc>
          <w:tcPr>
            <w:tcW w:w="8838" w:type="dxa"/>
            <w:gridSpan w:val="6"/>
            <w:shd w:val="clear" w:color="auto" w:fill="C00000"/>
            <w:tcMar>
              <w:top w:w="40" w:type="dxa"/>
              <w:left w:w="40" w:type="dxa"/>
              <w:bottom w:w="40" w:type="dxa"/>
              <w:right w:w="40" w:type="dxa"/>
            </w:tcMar>
            <w:vAlign w:val="center"/>
          </w:tcPr>
          <w:p w14:paraId="0AB9980F" w14:textId="77777777" w:rsidR="00EF1D5F" w:rsidRPr="00FB6251" w:rsidRDefault="00EF1D5F" w:rsidP="003D4AD9">
            <w:pPr>
              <w:widowControl w:val="0"/>
              <w:spacing w:line="276" w:lineRule="auto"/>
              <w:jc w:val="center"/>
              <w:rPr>
                <w:rFonts w:ascii="Arial" w:eastAsia="Arial" w:hAnsi="Arial" w:cs="Arial"/>
                <w:color w:val="FFFFFF" w:themeColor="background1"/>
              </w:rPr>
            </w:pPr>
            <w:r w:rsidRPr="00FB6251">
              <w:rPr>
                <w:b/>
                <w:color w:val="FFFFFF" w:themeColor="background1"/>
              </w:rPr>
              <w:t>CULTURA RECREACIÓN Y DEPORTE</w:t>
            </w:r>
          </w:p>
        </w:tc>
      </w:tr>
      <w:tr w:rsidR="00EF1D5F" w14:paraId="6652A106" w14:textId="77777777" w:rsidTr="00A623EF">
        <w:trPr>
          <w:trHeight w:val="345"/>
          <w:jc w:val="center"/>
        </w:trPr>
        <w:tc>
          <w:tcPr>
            <w:tcW w:w="2410" w:type="dxa"/>
            <w:vMerge w:val="restart"/>
            <w:shd w:val="clear" w:color="auto" w:fill="auto"/>
            <w:tcMar>
              <w:top w:w="40" w:type="dxa"/>
              <w:left w:w="40" w:type="dxa"/>
              <w:bottom w:w="40" w:type="dxa"/>
              <w:right w:w="40" w:type="dxa"/>
            </w:tcMar>
            <w:vAlign w:val="center"/>
          </w:tcPr>
          <w:p w14:paraId="0288A01B"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Adecuar y sostener 51 equipamientos culturales propiciando espacios de encuentro para los procesos de innovación de las comunidades y el ejercicio de los derechos culturales de la ciudadanía.</w:t>
            </w:r>
          </w:p>
        </w:tc>
        <w:tc>
          <w:tcPr>
            <w:tcW w:w="1276" w:type="dxa"/>
            <w:shd w:val="clear" w:color="auto" w:fill="auto"/>
            <w:tcMar>
              <w:top w:w="40" w:type="dxa"/>
              <w:left w:w="40" w:type="dxa"/>
              <w:bottom w:w="40" w:type="dxa"/>
              <w:right w:w="40" w:type="dxa"/>
            </w:tcMar>
            <w:vAlign w:val="center"/>
          </w:tcPr>
          <w:p w14:paraId="4E72EBF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40</w:t>
            </w:r>
          </w:p>
        </w:tc>
        <w:tc>
          <w:tcPr>
            <w:tcW w:w="1276" w:type="dxa"/>
            <w:shd w:val="clear" w:color="auto" w:fill="auto"/>
            <w:tcMar>
              <w:top w:w="40" w:type="dxa"/>
              <w:left w:w="40" w:type="dxa"/>
              <w:bottom w:w="40" w:type="dxa"/>
              <w:right w:w="40" w:type="dxa"/>
            </w:tcMar>
            <w:vAlign w:val="center"/>
          </w:tcPr>
          <w:p w14:paraId="29D28F5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44</w:t>
            </w:r>
          </w:p>
        </w:tc>
        <w:tc>
          <w:tcPr>
            <w:tcW w:w="1275" w:type="dxa"/>
            <w:shd w:val="clear" w:color="auto" w:fill="auto"/>
            <w:tcMar>
              <w:top w:w="40" w:type="dxa"/>
              <w:left w:w="40" w:type="dxa"/>
              <w:bottom w:w="40" w:type="dxa"/>
              <w:right w:w="40" w:type="dxa"/>
            </w:tcMar>
            <w:vAlign w:val="center"/>
          </w:tcPr>
          <w:p w14:paraId="0DD1C0B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48</w:t>
            </w:r>
          </w:p>
        </w:tc>
        <w:tc>
          <w:tcPr>
            <w:tcW w:w="1386" w:type="dxa"/>
            <w:shd w:val="clear" w:color="auto" w:fill="auto"/>
            <w:tcMar>
              <w:top w:w="40" w:type="dxa"/>
              <w:left w:w="40" w:type="dxa"/>
              <w:bottom w:w="40" w:type="dxa"/>
              <w:right w:w="40" w:type="dxa"/>
            </w:tcMar>
            <w:vAlign w:val="center"/>
          </w:tcPr>
          <w:p w14:paraId="42DB0A9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51</w:t>
            </w:r>
          </w:p>
        </w:tc>
        <w:tc>
          <w:tcPr>
            <w:tcW w:w="1215" w:type="dxa"/>
            <w:vMerge w:val="restart"/>
            <w:shd w:val="clear" w:color="auto" w:fill="auto"/>
            <w:tcMar>
              <w:top w:w="40" w:type="dxa"/>
              <w:left w:w="40" w:type="dxa"/>
              <w:bottom w:w="40" w:type="dxa"/>
              <w:right w:w="40" w:type="dxa"/>
            </w:tcMar>
            <w:vAlign w:val="center"/>
          </w:tcPr>
          <w:p w14:paraId="68322216"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215.446.915.944</w:t>
            </w:r>
          </w:p>
        </w:tc>
      </w:tr>
      <w:tr w:rsidR="00EF1D5F" w14:paraId="2313F218" w14:textId="77777777" w:rsidTr="00A623EF">
        <w:trPr>
          <w:trHeight w:val="345"/>
          <w:jc w:val="center"/>
        </w:trPr>
        <w:tc>
          <w:tcPr>
            <w:tcW w:w="2410" w:type="dxa"/>
            <w:vMerge/>
            <w:shd w:val="clear" w:color="auto" w:fill="auto"/>
            <w:tcMar>
              <w:top w:w="100" w:type="dxa"/>
              <w:left w:w="100" w:type="dxa"/>
              <w:bottom w:w="100" w:type="dxa"/>
              <w:right w:w="100" w:type="dxa"/>
            </w:tcMar>
          </w:tcPr>
          <w:p w14:paraId="0AF846C3"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71BF69A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65.355.733.690</w:t>
            </w:r>
          </w:p>
        </w:tc>
        <w:tc>
          <w:tcPr>
            <w:tcW w:w="1276" w:type="dxa"/>
            <w:shd w:val="clear" w:color="auto" w:fill="auto"/>
            <w:tcMar>
              <w:top w:w="40" w:type="dxa"/>
              <w:left w:w="40" w:type="dxa"/>
              <w:bottom w:w="40" w:type="dxa"/>
              <w:right w:w="40" w:type="dxa"/>
            </w:tcMar>
            <w:vAlign w:val="center"/>
          </w:tcPr>
          <w:p w14:paraId="5745EC9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53.502.774.148</w:t>
            </w:r>
          </w:p>
        </w:tc>
        <w:tc>
          <w:tcPr>
            <w:tcW w:w="1275" w:type="dxa"/>
            <w:shd w:val="clear" w:color="auto" w:fill="auto"/>
            <w:tcMar>
              <w:top w:w="40" w:type="dxa"/>
              <w:left w:w="40" w:type="dxa"/>
              <w:bottom w:w="40" w:type="dxa"/>
              <w:right w:w="40" w:type="dxa"/>
            </w:tcMar>
            <w:vAlign w:val="center"/>
          </w:tcPr>
          <w:p w14:paraId="30920F2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50.037.421.747</w:t>
            </w:r>
          </w:p>
        </w:tc>
        <w:tc>
          <w:tcPr>
            <w:tcW w:w="1386" w:type="dxa"/>
            <w:shd w:val="clear" w:color="auto" w:fill="auto"/>
            <w:tcMar>
              <w:top w:w="40" w:type="dxa"/>
              <w:left w:w="40" w:type="dxa"/>
              <w:bottom w:w="40" w:type="dxa"/>
              <w:right w:w="40" w:type="dxa"/>
            </w:tcMar>
            <w:vAlign w:val="center"/>
          </w:tcPr>
          <w:p w14:paraId="6E5B609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46.550.986.360</w:t>
            </w:r>
          </w:p>
        </w:tc>
        <w:tc>
          <w:tcPr>
            <w:tcW w:w="1215" w:type="dxa"/>
            <w:vMerge/>
            <w:shd w:val="clear" w:color="auto" w:fill="auto"/>
            <w:tcMar>
              <w:top w:w="100" w:type="dxa"/>
              <w:left w:w="100" w:type="dxa"/>
              <w:bottom w:w="100" w:type="dxa"/>
              <w:right w:w="100" w:type="dxa"/>
            </w:tcMar>
          </w:tcPr>
          <w:p w14:paraId="4296825D"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3B5EC99A" w14:textId="77777777" w:rsidTr="00A623EF">
        <w:trPr>
          <w:trHeight w:val="345"/>
          <w:jc w:val="center"/>
        </w:trPr>
        <w:tc>
          <w:tcPr>
            <w:tcW w:w="2410" w:type="dxa"/>
            <w:vMerge w:val="restart"/>
            <w:shd w:val="clear" w:color="auto" w:fill="auto"/>
            <w:tcMar>
              <w:top w:w="40" w:type="dxa"/>
              <w:left w:w="40" w:type="dxa"/>
              <w:bottom w:w="40" w:type="dxa"/>
              <w:right w:w="40" w:type="dxa"/>
            </w:tcMar>
            <w:vAlign w:val="center"/>
          </w:tcPr>
          <w:p w14:paraId="4F3B410F"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Apoyar 30 iniciativas de mejoramiento de equipamientos culturales del Distrito Capital con recursos provenientes de la contribución parafiscal para el fortalecimiento de las artes escénicas (LEP).</w:t>
            </w:r>
          </w:p>
        </w:tc>
        <w:tc>
          <w:tcPr>
            <w:tcW w:w="1276" w:type="dxa"/>
            <w:shd w:val="clear" w:color="auto" w:fill="auto"/>
            <w:tcMar>
              <w:top w:w="40" w:type="dxa"/>
              <w:left w:w="40" w:type="dxa"/>
              <w:bottom w:w="40" w:type="dxa"/>
              <w:right w:w="40" w:type="dxa"/>
            </w:tcMar>
            <w:vAlign w:val="center"/>
          </w:tcPr>
          <w:p w14:paraId="2F3BBB1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w:t>
            </w:r>
          </w:p>
        </w:tc>
        <w:tc>
          <w:tcPr>
            <w:tcW w:w="1276" w:type="dxa"/>
            <w:shd w:val="clear" w:color="auto" w:fill="auto"/>
            <w:tcMar>
              <w:top w:w="40" w:type="dxa"/>
              <w:left w:w="40" w:type="dxa"/>
              <w:bottom w:w="40" w:type="dxa"/>
              <w:right w:w="40" w:type="dxa"/>
            </w:tcMar>
            <w:vAlign w:val="center"/>
          </w:tcPr>
          <w:p w14:paraId="2184FE4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w:t>
            </w:r>
          </w:p>
        </w:tc>
        <w:tc>
          <w:tcPr>
            <w:tcW w:w="1275" w:type="dxa"/>
            <w:shd w:val="clear" w:color="auto" w:fill="auto"/>
            <w:tcMar>
              <w:top w:w="40" w:type="dxa"/>
              <w:left w:w="40" w:type="dxa"/>
              <w:bottom w:w="40" w:type="dxa"/>
              <w:right w:w="40" w:type="dxa"/>
            </w:tcMar>
            <w:vAlign w:val="center"/>
          </w:tcPr>
          <w:p w14:paraId="061BC7F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w:t>
            </w:r>
          </w:p>
        </w:tc>
        <w:tc>
          <w:tcPr>
            <w:tcW w:w="1386" w:type="dxa"/>
            <w:shd w:val="clear" w:color="auto" w:fill="auto"/>
            <w:tcMar>
              <w:top w:w="40" w:type="dxa"/>
              <w:left w:w="40" w:type="dxa"/>
              <w:bottom w:w="40" w:type="dxa"/>
              <w:right w:w="40" w:type="dxa"/>
            </w:tcMar>
            <w:vAlign w:val="center"/>
          </w:tcPr>
          <w:p w14:paraId="72D3A80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w:t>
            </w:r>
          </w:p>
        </w:tc>
        <w:tc>
          <w:tcPr>
            <w:tcW w:w="1215" w:type="dxa"/>
            <w:vMerge w:val="restart"/>
            <w:shd w:val="clear" w:color="auto" w:fill="auto"/>
            <w:tcMar>
              <w:top w:w="40" w:type="dxa"/>
              <w:left w:w="40" w:type="dxa"/>
              <w:bottom w:w="40" w:type="dxa"/>
              <w:right w:w="40" w:type="dxa"/>
            </w:tcMar>
            <w:vAlign w:val="center"/>
          </w:tcPr>
          <w:p w14:paraId="3CE1BEBA"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15.197.169.374</w:t>
            </w:r>
          </w:p>
        </w:tc>
      </w:tr>
      <w:tr w:rsidR="00EF1D5F" w14:paraId="49E18F74" w14:textId="77777777" w:rsidTr="00A623EF">
        <w:trPr>
          <w:trHeight w:val="345"/>
          <w:jc w:val="center"/>
        </w:trPr>
        <w:tc>
          <w:tcPr>
            <w:tcW w:w="2410" w:type="dxa"/>
            <w:vMerge/>
            <w:shd w:val="clear" w:color="auto" w:fill="auto"/>
            <w:tcMar>
              <w:top w:w="100" w:type="dxa"/>
              <w:left w:w="100" w:type="dxa"/>
              <w:bottom w:w="100" w:type="dxa"/>
              <w:right w:w="100" w:type="dxa"/>
            </w:tcMar>
          </w:tcPr>
          <w:p w14:paraId="3E68DF3A"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58489C7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3.474.000.000</w:t>
            </w:r>
          </w:p>
        </w:tc>
        <w:tc>
          <w:tcPr>
            <w:tcW w:w="1276" w:type="dxa"/>
            <w:shd w:val="clear" w:color="auto" w:fill="auto"/>
            <w:tcMar>
              <w:top w:w="40" w:type="dxa"/>
              <w:left w:w="40" w:type="dxa"/>
              <w:bottom w:w="40" w:type="dxa"/>
              <w:right w:w="40" w:type="dxa"/>
            </w:tcMar>
            <w:vAlign w:val="center"/>
          </w:tcPr>
          <w:p w14:paraId="74A69C3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3.682.524.272</w:t>
            </w:r>
          </w:p>
        </w:tc>
        <w:tc>
          <w:tcPr>
            <w:tcW w:w="1275" w:type="dxa"/>
            <w:shd w:val="clear" w:color="auto" w:fill="auto"/>
            <w:tcMar>
              <w:top w:w="40" w:type="dxa"/>
              <w:left w:w="40" w:type="dxa"/>
              <w:bottom w:w="40" w:type="dxa"/>
              <w:right w:w="40" w:type="dxa"/>
            </w:tcMar>
            <w:vAlign w:val="center"/>
          </w:tcPr>
          <w:p w14:paraId="36C43C9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3.903.289.660</w:t>
            </w:r>
          </w:p>
        </w:tc>
        <w:tc>
          <w:tcPr>
            <w:tcW w:w="1386" w:type="dxa"/>
            <w:shd w:val="clear" w:color="auto" w:fill="auto"/>
            <w:tcMar>
              <w:top w:w="40" w:type="dxa"/>
              <w:left w:w="40" w:type="dxa"/>
              <w:bottom w:w="40" w:type="dxa"/>
              <w:right w:w="40" w:type="dxa"/>
            </w:tcMar>
            <w:vAlign w:val="center"/>
          </w:tcPr>
          <w:p w14:paraId="2155D09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4.137.355.442</w:t>
            </w:r>
          </w:p>
        </w:tc>
        <w:tc>
          <w:tcPr>
            <w:tcW w:w="1215" w:type="dxa"/>
            <w:vMerge/>
            <w:shd w:val="clear" w:color="auto" w:fill="auto"/>
            <w:tcMar>
              <w:top w:w="100" w:type="dxa"/>
              <w:left w:w="100" w:type="dxa"/>
              <w:bottom w:w="100" w:type="dxa"/>
              <w:right w:w="100" w:type="dxa"/>
            </w:tcMar>
          </w:tcPr>
          <w:p w14:paraId="742EFE60"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7EC6D45E" w14:textId="77777777" w:rsidTr="00A623EF">
        <w:trPr>
          <w:trHeight w:val="345"/>
          <w:jc w:val="center"/>
        </w:trPr>
        <w:tc>
          <w:tcPr>
            <w:tcW w:w="2410" w:type="dxa"/>
            <w:vMerge w:val="restart"/>
            <w:shd w:val="clear" w:color="auto" w:fill="auto"/>
            <w:tcMar>
              <w:top w:w="40" w:type="dxa"/>
              <w:left w:w="40" w:type="dxa"/>
              <w:bottom w:w="40" w:type="dxa"/>
              <w:right w:w="40" w:type="dxa"/>
            </w:tcMar>
            <w:vAlign w:val="center"/>
          </w:tcPr>
          <w:p w14:paraId="6D49223D"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Construir y/o adecuar 47 parques y/o equipamientos recreativos y deportivos propiciando espacios de encuentro para las comunidades.</w:t>
            </w:r>
          </w:p>
        </w:tc>
        <w:tc>
          <w:tcPr>
            <w:tcW w:w="1276" w:type="dxa"/>
            <w:shd w:val="clear" w:color="auto" w:fill="auto"/>
            <w:tcMar>
              <w:top w:w="40" w:type="dxa"/>
              <w:left w:w="40" w:type="dxa"/>
              <w:bottom w:w="40" w:type="dxa"/>
              <w:right w:w="40" w:type="dxa"/>
            </w:tcMar>
            <w:vAlign w:val="center"/>
          </w:tcPr>
          <w:p w14:paraId="29B37AD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shd w:val="clear" w:color="auto" w:fill="auto"/>
            <w:tcMar>
              <w:top w:w="40" w:type="dxa"/>
              <w:left w:w="40" w:type="dxa"/>
              <w:bottom w:w="40" w:type="dxa"/>
              <w:right w:w="40" w:type="dxa"/>
            </w:tcMar>
            <w:vAlign w:val="center"/>
          </w:tcPr>
          <w:p w14:paraId="657C6D8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17</w:t>
            </w:r>
          </w:p>
        </w:tc>
        <w:tc>
          <w:tcPr>
            <w:tcW w:w="1275" w:type="dxa"/>
            <w:shd w:val="clear" w:color="auto" w:fill="auto"/>
            <w:tcMar>
              <w:top w:w="40" w:type="dxa"/>
              <w:left w:w="40" w:type="dxa"/>
              <w:bottom w:w="40" w:type="dxa"/>
              <w:right w:w="40" w:type="dxa"/>
            </w:tcMar>
            <w:vAlign w:val="center"/>
          </w:tcPr>
          <w:p w14:paraId="7182FC0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23</w:t>
            </w:r>
          </w:p>
        </w:tc>
        <w:tc>
          <w:tcPr>
            <w:tcW w:w="1386" w:type="dxa"/>
            <w:shd w:val="clear" w:color="auto" w:fill="auto"/>
            <w:tcMar>
              <w:top w:w="40" w:type="dxa"/>
              <w:left w:w="40" w:type="dxa"/>
              <w:bottom w:w="40" w:type="dxa"/>
              <w:right w:w="40" w:type="dxa"/>
            </w:tcMar>
            <w:vAlign w:val="center"/>
          </w:tcPr>
          <w:p w14:paraId="490BA1E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w:t>
            </w:r>
          </w:p>
        </w:tc>
        <w:tc>
          <w:tcPr>
            <w:tcW w:w="1215" w:type="dxa"/>
            <w:vMerge w:val="restart"/>
            <w:shd w:val="clear" w:color="auto" w:fill="auto"/>
            <w:tcMar>
              <w:top w:w="40" w:type="dxa"/>
              <w:left w:w="40" w:type="dxa"/>
              <w:bottom w:w="40" w:type="dxa"/>
              <w:right w:w="40" w:type="dxa"/>
            </w:tcMar>
            <w:vAlign w:val="center"/>
          </w:tcPr>
          <w:p w14:paraId="5E4E595B"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213.363.307.306</w:t>
            </w:r>
          </w:p>
        </w:tc>
      </w:tr>
      <w:tr w:rsidR="00EF1D5F" w14:paraId="60098D0C" w14:textId="77777777" w:rsidTr="00A623EF">
        <w:trPr>
          <w:trHeight w:val="345"/>
          <w:jc w:val="center"/>
        </w:trPr>
        <w:tc>
          <w:tcPr>
            <w:tcW w:w="2410" w:type="dxa"/>
            <w:vMerge/>
            <w:shd w:val="clear" w:color="auto" w:fill="auto"/>
            <w:tcMar>
              <w:top w:w="100" w:type="dxa"/>
              <w:left w:w="100" w:type="dxa"/>
              <w:bottom w:w="100" w:type="dxa"/>
              <w:right w:w="100" w:type="dxa"/>
            </w:tcMar>
          </w:tcPr>
          <w:p w14:paraId="2CCE11F6"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7893CEE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16.678.846.000</w:t>
            </w:r>
          </w:p>
        </w:tc>
        <w:tc>
          <w:tcPr>
            <w:tcW w:w="1276" w:type="dxa"/>
            <w:shd w:val="clear" w:color="auto" w:fill="auto"/>
            <w:tcMar>
              <w:top w:w="40" w:type="dxa"/>
              <w:left w:w="40" w:type="dxa"/>
              <w:bottom w:w="40" w:type="dxa"/>
              <w:right w:w="40" w:type="dxa"/>
            </w:tcMar>
            <w:vAlign w:val="center"/>
          </w:tcPr>
          <w:p w14:paraId="59763BA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87.378.640.777</w:t>
            </w:r>
          </w:p>
        </w:tc>
        <w:tc>
          <w:tcPr>
            <w:tcW w:w="1275" w:type="dxa"/>
            <w:shd w:val="clear" w:color="auto" w:fill="auto"/>
            <w:tcMar>
              <w:top w:w="40" w:type="dxa"/>
              <w:left w:w="40" w:type="dxa"/>
              <w:bottom w:w="40" w:type="dxa"/>
              <w:right w:w="40" w:type="dxa"/>
            </w:tcMar>
            <w:vAlign w:val="center"/>
          </w:tcPr>
          <w:p w14:paraId="27DB62B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68.282.915.449</w:t>
            </w:r>
          </w:p>
        </w:tc>
        <w:tc>
          <w:tcPr>
            <w:tcW w:w="1386" w:type="dxa"/>
            <w:shd w:val="clear" w:color="auto" w:fill="auto"/>
            <w:tcMar>
              <w:top w:w="40" w:type="dxa"/>
              <w:left w:w="40" w:type="dxa"/>
              <w:bottom w:w="40" w:type="dxa"/>
              <w:right w:w="40" w:type="dxa"/>
            </w:tcMar>
            <w:vAlign w:val="center"/>
          </w:tcPr>
          <w:p w14:paraId="2665DEC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41.022.905.081</w:t>
            </w:r>
          </w:p>
        </w:tc>
        <w:tc>
          <w:tcPr>
            <w:tcW w:w="1215" w:type="dxa"/>
            <w:vMerge/>
            <w:shd w:val="clear" w:color="auto" w:fill="auto"/>
            <w:tcMar>
              <w:top w:w="100" w:type="dxa"/>
              <w:left w:w="100" w:type="dxa"/>
              <w:bottom w:w="100" w:type="dxa"/>
              <w:right w:w="100" w:type="dxa"/>
            </w:tcMar>
          </w:tcPr>
          <w:p w14:paraId="2D20D7F5"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389B2E9A" w14:textId="77777777" w:rsidTr="00A623EF">
        <w:trPr>
          <w:trHeight w:val="345"/>
          <w:jc w:val="center"/>
        </w:trPr>
        <w:tc>
          <w:tcPr>
            <w:tcW w:w="2410" w:type="dxa"/>
            <w:vMerge w:val="restart"/>
            <w:shd w:val="clear" w:color="auto" w:fill="auto"/>
            <w:tcMar>
              <w:top w:w="40" w:type="dxa"/>
              <w:left w:w="40" w:type="dxa"/>
              <w:bottom w:w="40" w:type="dxa"/>
              <w:right w:w="40" w:type="dxa"/>
            </w:tcMar>
            <w:vAlign w:val="center"/>
          </w:tcPr>
          <w:p w14:paraId="6974E44B"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Desarrollar 5 instrumentos de planeación y gestión orientados a la protección conservación y sostenibilidad del patrimonio natural inmaterial material arqueológico y paleontológico de Bogotá D.C.</w:t>
            </w:r>
          </w:p>
        </w:tc>
        <w:tc>
          <w:tcPr>
            <w:tcW w:w="1276" w:type="dxa"/>
            <w:shd w:val="clear" w:color="auto" w:fill="auto"/>
            <w:tcMar>
              <w:top w:w="40" w:type="dxa"/>
              <w:left w:w="40" w:type="dxa"/>
              <w:bottom w:w="40" w:type="dxa"/>
              <w:right w:w="40" w:type="dxa"/>
            </w:tcMar>
            <w:vAlign w:val="center"/>
          </w:tcPr>
          <w:p w14:paraId="4466F06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w:t>
            </w:r>
          </w:p>
        </w:tc>
        <w:tc>
          <w:tcPr>
            <w:tcW w:w="1276" w:type="dxa"/>
            <w:shd w:val="clear" w:color="auto" w:fill="auto"/>
            <w:tcMar>
              <w:top w:w="40" w:type="dxa"/>
              <w:left w:w="40" w:type="dxa"/>
              <w:bottom w:w="40" w:type="dxa"/>
              <w:right w:w="40" w:type="dxa"/>
            </w:tcMar>
            <w:vAlign w:val="center"/>
          </w:tcPr>
          <w:p w14:paraId="3C21937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1,3</w:t>
            </w:r>
          </w:p>
        </w:tc>
        <w:tc>
          <w:tcPr>
            <w:tcW w:w="1275" w:type="dxa"/>
            <w:shd w:val="clear" w:color="auto" w:fill="auto"/>
            <w:tcMar>
              <w:top w:w="40" w:type="dxa"/>
              <w:left w:w="40" w:type="dxa"/>
              <w:bottom w:w="40" w:type="dxa"/>
              <w:right w:w="40" w:type="dxa"/>
            </w:tcMar>
            <w:vAlign w:val="center"/>
          </w:tcPr>
          <w:p w14:paraId="6F23BD6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1,3</w:t>
            </w:r>
          </w:p>
        </w:tc>
        <w:tc>
          <w:tcPr>
            <w:tcW w:w="1386" w:type="dxa"/>
            <w:shd w:val="clear" w:color="auto" w:fill="auto"/>
            <w:tcMar>
              <w:top w:w="40" w:type="dxa"/>
              <w:left w:w="40" w:type="dxa"/>
              <w:bottom w:w="40" w:type="dxa"/>
              <w:right w:w="40" w:type="dxa"/>
            </w:tcMar>
            <w:vAlign w:val="center"/>
          </w:tcPr>
          <w:p w14:paraId="4925416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1,5</w:t>
            </w:r>
          </w:p>
        </w:tc>
        <w:tc>
          <w:tcPr>
            <w:tcW w:w="1215" w:type="dxa"/>
            <w:vMerge w:val="restart"/>
            <w:shd w:val="clear" w:color="auto" w:fill="auto"/>
            <w:tcMar>
              <w:top w:w="40" w:type="dxa"/>
              <w:left w:w="40" w:type="dxa"/>
              <w:bottom w:w="40" w:type="dxa"/>
              <w:right w:w="40" w:type="dxa"/>
            </w:tcMar>
            <w:vAlign w:val="center"/>
          </w:tcPr>
          <w:p w14:paraId="354BD0EF"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18.129.878.110</w:t>
            </w:r>
          </w:p>
        </w:tc>
      </w:tr>
      <w:tr w:rsidR="00EF1D5F" w14:paraId="1C778684" w14:textId="77777777" w:rsidTr="00A623EF">
        <w:trPr>
          <w:trHeight w:val="345"/>
          <w:jc w:val="center"/>
        </w:trPr>
        <w:tc>
          <w:tcPr>
            <w:tcW w:w="2410" w:type="dxa"/>
            <w:vMerge/>
            <w:shd w:val="clear" w:color="auto" w:fill="auto"/>
            <w:tcMar>
              <w:top w:w="100" w:type="dxa"/>
              <w:left w:w="100" w:type="dxa"/>
              <w:bottom w:w="100" w:type="dxa"/>
              <w:right w:w="100" w:type="dxa"/>
            </w:tcMar>
          </w:tcPr>
          <w:p w14:paraId="34579241"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1E9285F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3.734.000.000</w:t>
            </w:r>
          </w:p>
        </w:tc>
        <w:tc>
          <w:tcPr>
            <w:tcW w:w="1276" w:type="dxa"/>
            <w:shd w:val="clear" w:color="auto" w:fill="auto"/>
            <w:tcMar>
              <w:top w:w="40" w:type="dxa"/>
              <w:left w:w="40" w:type="dxa"/>
              <w:bottom w:w="40" w:type="dxa"/>
              <w:right w:w="40" w:type="dxa"/>
            </w:tcMar>
            <w:vAlign w:val="center"/>
          </w:tcPr>
          <w:p w14:paraId="7629C04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4.721.359.223</w:t>
            </w:r>
          </w:p>
        </w:tc>
        <w:tc>
          <w:tcPr>
            <w:tcW w:w="1275" w:type="dxa"/>
            <w:shd w:val="clear" w:color="auto" w:fill="auto"/>
            <w:tcMar>
              <w:top w:w="40" w:type="dxa"/>
              <w:left w:w="40" w:type="dxa"/>
              <w:bottom w:w="40" w:type="dxa"/>
              <w:right w:w="40" w:type="dxa"/>
            </w:tcMar>
            <w:vAlign w:val="center"/>
          </w:tcPr>
          <w:p w14:paraId="3AC2271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4.933.169.950</w:t>
            </w:r>
          </w:p>
        </w:tc>
        <w:tc>
          <w:tcPr>
            <w:tcW w:w="1386" w:type="dxa"/>
            <w:shd w:val="clear" w:color="auto" w:fill="auto"/>
            <w:tcMar>
              <w:top w:w="40" w:type="dxa"/>
              <w:left w:w="40" w:type="dxa"/>
              <w:bottom w:w="40" w:type="dxa"/>
              <w:right w:w="40" w:type="dxa"/>
            </w:tcMar>
            <w:vAlign w:val="center"/>
          </w:tcPr>
          <w:p w14:paraId="4562089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4.741.348.937</w:t>
            </w:r>
          </w:p>
        </w:tc>
        <w:tc>
          <w:tcPr>
            <w:tcW w:w="1215" w:type="dxa"/>
            <w:vMerge/>
            <w:shd w:val="clear" w:color="auto" w:fill="auto"/>
            <w:tcMar>
              <w:top w:w="100" w:type="dxa"/>
              <w:left w:w="100" w:type="dxa"/>
              <w:bottom w:w="100" w:type="dxa"/>
              <w:right w:w="100" w:type="dxa"/>
            </w:tcMar>
          </w:tcPr>
          <w:p w14:paraId="5CF0C9B8"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6D574A62" w14:textId="77777777" w:rsidTr="00A623EF">
        <w:trPr>
          <w:trHeight w:val="510"/>
          <w:jc w:val="center"/>
        </w:trPr>
        <w:tc>
          <w:tcPr>
            <w:tcW w:w="2410" w:type="dxa"/>
            <w:vMerge w:val="restart"/>
            <w:shd w:val="clear" w:color="auto" w:fill="auto"/>
            <w:tcMar>
              <w:top w:w="40" w:type="dxa"/>
              <w:left w:w="40" w:type="dxa"/>
              <w:bottom w:w="40" w:type="dxa"/>
              <w:right w:w="40" w:type="dxa"/>
            </w:tcMar>
            <w:vAlign w:val="center"/>
          </w:tcPr>
          <w:p w14:paraId="3070344B"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Entregar un Distrito Creativo en el Bronx construido y en funcionamiento para la revitalización del centro de la ciudad.</w:t>
            </w:r>
          </w:p>
        </w:tc>
        <w:tc>
          <w:tcPr>
            <w:tcW w:w="1276" w:type="dxa"/>
            <w:shd w:val="clear" w:color="auto" w:fill="auto"/>
            <w:tcMar>
              <w:top w:w="40" w:type="dxa"/>
              <w:left w:w="40" w:type="dxa"/>
              <w:bottom w:w="40" w:type="dxa"/>
              <w:right w:w="40" w:type="dxa"/>
            </w:tcMar>
            <w:vAlign w:val="center"/>
          </w:tcPr>
          <w:p w14:paraId="5B92FFE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0,1</w:t>
            </w:r>
          </w:p>
        </w:tc>
        <w:tc>
          <w:tcPr>
            <w:tcW w:w="1276" w:type="dxa"/>
            <w:shd w:val="clear" w:color="auto" w:fill="auto"/>
            <w:tcMar>
              <w:top w:w="40" w:type="dxa"/>
              <w:left w:w="40" w:type="dxa"/>
              <w:bottom w:w="40" w:type="dxa"/>
              <w:right w:w="40" w:type="dxa"/>
            </w:tcMar>
            <w:vAlign w:val="center"/>
          </w:tcPr>
          <w:p w14:paraId="316F446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0,4</w:t>
            </w:r>
          </w:p>
        </w:tc>
        <w:tc>
          <w:tcPr>
            <w:tcW w:w="1275" w:type="dxa"/>
            <w:shd w:val="clear" w:color="auto" w:fill="auto"/>
            <w:tcMar>
              <w:top w:w="40" w:type="dxa"/>
              <w:left w:w="40" w:type="dxa"/>
              <w:bottom w:w="40" w:type="dxa"/>
              <w:right w:w="40" w:type="dxa"/>
            </w:tcMar>
            <w:vAlign w:val="center"/>
          </w:tcPr>
          <w:p w14:paraId="149F682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0,3</w:t>
            </w:r>
          </w:p>
        </w:tc>
        <w:tc>
          <w:tcPr>
            <w:tcW w:w="1386" w:type="dxa"/>
            <w:shd w:val="clear" w:color="auto" w:fill="auto"/>
            <w:tcMar>
              <w:top w:w="40" w:type="dxa"/>
              <w:left w:w="40" w:type="dxa"/>
              <w:bottom w:w="40" w:type="dxa"/>
              <w:right w:w="40" w:type="dxa"/>
            </w:tcMar>
            <w:vAlign w:val="center"/>
          </w:tcPr>
          <w:p w14:paraId="426B600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0,2</w:t>
            </w:r>
          </w:p>
        </w:tc>
        <w:tc>
          <w:tcPr>
            <w:tcW w:w="1215" w:type="dxa"/>
            <w:vMerge w:val="restart"/>
            <w:shd w:val="clear" w:color="auto" w:fill="auto"/>
            <w:tcMar>
              <w:top w:w="40" w:type="dxa"/>
              <w:left w:w="40" w:type="dxa"/>
              <w:bottom w:w="40" w:type="dxa"/>
              <w:right w:w="40" w:type="dxa"/>
            </w:tcMar>
            <w:vAlign w:val="center"/>
          </w:tcPr>
          <w:p w14:paraId="2C4EFD47"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37.962.277.197</w:t>
            </w:r>
          </w:p>
        </w:tc>
      </w:tr>
      <w:tr w:rsidR="00EF1D5F" w14:paraId="4C183197" w14:textId="77777777" w:rsidTr="00A623EF">
        <w:trPr>
          <w:trHeight w:val="510"/>
          <w:jc w:val="center"/>
        </w:trPr>
        <w:tc>
          <w:tcPr>
            <w:tcW w:w="2410" w:type="dxa"/>
            <w:vMerge/>
            <w:shd w:val="clear" w:color="auto" w:fill="auto"/>
            <w:tcMar>
              <w:top w:w="100" w:type="dxa"/>
              <w:left w:w="100" w:type="dxa"/>
              <w:bottom w:w="100" w:type="dxa"/>
              <w:right w:w="100" w:type="dxa"/>
            </w:tcMar>
          </w:tcPr>
          <w:p w14:paraId="48CD7747"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0D65CB5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6.051.000.000</w:t>
            </w:r>
          </w:p>
        </w:tc>
        <w:tc>
          <w:tcPr>
            <w:tcW w:w="1276" w:type="dxa"/>
            <w:shd w:val="clear" w:color="auto" w:fill="auto"/>
            <w:tcMar>
              <w:top w:w="40" w:type="dxa"/>
              <w:left w:w="40" w:type="dxa"/>
              <w:bottom w:w="40" w:type="dxa"/>
              <w:right w:w="40" w:type="dxa"/>
            </w:tcMar>
            <w:vAlign w:val="center"/>
          </w:tcPr>
          <w:p w14:paraId="1537903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17.381.896.117</w:t>
            </w:r>
          </w:p>
        </w:tc>
        <w:tc>
          <w:tcPr>
            <w:tcW w:w="1275" w:type="dxa"/>
            <w:shd w:val="clear" w:color="auto" w:fill="auto"/>
            <w:tcMar>
              <w:top w:w="40" w:type="dxa"/>
              <w:left w:w="40" w:type="dxa"/>
              <w:bottom w:w="40" w:type="dxa"/>
              <w:right w:w="40" w:type="dxa"/>
            </w:tcMar>
            <w:vAlign w:val="center"/>
          </w:tcPr>
          <w:p w14:paraId="0FA386B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9.425.959.091</w:t>
            </w:r>
          </w:p>
        </w:tc>
        <w:tc>
          <w:tcPr>
            <w:tcW w:w="1386" w:type="dxa"/>
            <w:shd w:val="clear" w:color="auto" w:fill="auto"/>
            <w:tcMar>
              <w:top w:w="40" w:type="dxa"/>
              <w:left w:w="40" w:type="dxa"/>
              <w:bottom w:w="40" w:type="dxa"/>
              <w:right w:w="40" w:type="dxa"/>
            </w:tcMar>
            <w:vAlign w:val="center"/>
          </w:tcPr>
          <w:p w14:paraId="0F74B97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5.103.421.989</w:t>
            </w:r>
          </w:p>
        </w:tc>
        <w:tc>
          <w:tcPr>
            <w:tcW w:w="1215" w:type="dxa"/>
            <w:vMerge/>
            <w:shd w:val="clear" w:color="auto" w:fill="auto"/>
            <w:tcMar>
              <w:top w:w="100" w:type="dxa"/>
              <w:left w:w="100" w:type="dxa"/>
              <w:bottom w:w="100" w:type="dxa"/>
              <w:right w:w="100" w:type="dxa"/>
            </w:tcMar>
          </w:tcPr>
          <w:p w14:paraId="0BFB8B35"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19C5C786" w14:textId="77777777" w:rsidTr="00A623EF">
        <w:trPr>
          <w:trHeight w:val="600"/>
          <w:jc w:val="center"/>
        </w:trPr>
        <w:tc>
          <w:tcPr>
            <w:tcW w:w="2410" w:type="dxa"/>
            <w:vMerge w:val="restart"/>
            <w:shd w:val="clear" w:color="auto" w:fill="auto"/>
            <w:tcMar>
              <w:top w:w="40" w:type="dxa"/>
              <w:left w:w="40" w:type="dxa"/>
              <w:bottom w:w="40" w:type="dxa"/>
              <w:right w:w="40" w:type="dxa"/>
            </w:tcMar>
            <w:vAlign w:val="center"/>
          </w:tcPr>
          <w:p w14:paraId="573356AE"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Realizar 7.000 asistencias técnicas para la protección del patrimonio cultural material de la ciudad en el marco de las estrategias relacionadas con la Estructura Integradora de los Patrimonios.</w:t>
            </w:r>
          </w:p>
        </w:tc>
        <w:tc>
          <w:tcPr>
            <w:tcW w:w="1276" w:type="dxa"/>
            <w:shd w:val="clear" w:color="auto" w:fill="auto"/>
            <w:tcMar>
              <w:top w:w="40" w:type="dxa"/>
              <w:left w:w="40" w:type="dxa"/>
              <w:bottom w:w="40" w:type="dxa"/>
              <w:right w:w="40" w:type="dxa"/>
            </w:tcMar>
            <w:vAlign w:val="center"/>
          </w:tcPr>
          <w:p w14:paraId="67912F7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1.000</w:t>
            </w:r>
          </w:p>
        </w:tc>
        <w:tc>
          <w:tcPr>
            <w:tcW w:w="1276" w:type="dxa"/>
            <w:shd w:val="clear" w:color="auto" w:fill="auto"/>
            <w:tcMar>
              <w:top w:w="40" w:type="dxa"/>
              <w:left w:w="40" w:type="dxa"/>
              <w:bottom w:w="40" w:type="dxa"/>
              <w:right w:w="40" w:type="dxa"/>
            </w:tcMar>
            <w:vAlign w:val="center"/>
          </w:tcPr>
          <w:p w14:paraId="47D6FBC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2.000</w:t>
            </w:r>
          </w:p>
        </w:tc>
        <w:tc>
          <w:tcPr>
            <w:tcW w:w="1275" w:type="dxa"/>
            <w:shd w:val="clear" w:color="auto" w:fill="auto"/>
            <w:tcMar>
              <w:top w:w="40" w:type="dxa"/>
              <w:left w:w="40" w:type="dxa"/>
              <w:bottom w:w="40" w:type="dxa"/>
              <w:right w:w="40" w:type="dxa"/>
            </w:tcMar>
            <w:vAlign w:val="center"/>
          </w:tcPr>
          <w:p w14:paraId="1D855AA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2.000</w:t>
            </w:r>
          </w:p>
        </w:tc>
        <w:tc>
          <w:tcPr>
            <w:tcW w:w="1386" w:type="dxa"/>
            <w:shd w:val="clear" w:color="auto" w:fill="auto"/>
            <w:tcMar>
              <w:top w:w="40" w:type="dxa"/>
              <w:left w:w="40" w:type="dxa"/>
              <w:bottom w:w="40" w:type="dxa"/>
              <w:right w:w="40" w:type="dxa"/>
            </w:tcMar>
            <w:vAlign w:val="center"/>
          </w:tcPr>
          <w:p w14:paraId="1FF2B6D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2.000</w:t>
            </w:r>
          </w:p>
        </w:tc>
        <w:tc>
          <w:tcPr>
            <w:tcW w:w="1215" w:type="dxa"/>
            <w:vMerge w:val="restart"/>
            <w:shd w:val="clear" w:color="auto" w:fill="auto"/>
            <w:tcMar>
              <w:top w:w="40" w:type="dxa"/>
              <w:left w:w="40" w:type="dxa"/>
              <w:bottom w:w="40" w:type="dxa"/>
              <w:right w:w="40" w:type="dxa"/>
            </w:tcMar>
            <w:vAlign w:val="center"/>
          </w:tcPr>
          <w:p w14:paraId="3D5C5215"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11.008.521.727</w:t>
            </w:r>
          </w:p>
        </w:tc>
      </w:tr>
      <w:tr w:rsidR="00EF1D5F" w14:paraId="54BE2C3F" w14:textId="77777777" w:rsidTr="00A623EF">
        <w:trPr>
          <w:trHeight w:val="600"/>
          <w:jc w:val="center"/>
        </w:trPr>
        <w:tc>
          <w:tcPr>
            <w:tcW w:w="2410" w:type="dxa"/>
            <w:vMerge/>
            <w:shd w:val="clear" w:color="auto" w:fill="auto"/>
            <w:tcMar>
              <w:top w:w="100" w:type="dxa"/>
              <w:left w:w="100" w:type="dxa"/>
              <w:bottom w:w="100" w:type="dxa"/>
              <w:right w:w="100" w:type="dxa"/>
            </w:tcMar>
          </w:tcPr>
          <w:p w14:paraId="538415A1"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0D3E92F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2.723.000.000</w:t>
            </w:r>
          </w:p>
        </w:tc>
        <w:tc>
          <w:tcPr>
            <w:tcW w:w="1276" w:type="dxa"/>
            <w:shd w:val="clear" w:color="auto" w:fill="auto"/>
            <w:tcMar>
              <w:top w:w="40" w:type="dxa"/>
              <w:left w:w="40" w:type="dxa"/>
              <w:bottom w:w="40" w:type="dxa"/>
              <w:right w:w="40" w:type="dxa"/>
            </w:tcMar>
            <w:vAlign w:val="center"/>
          </w:tcPr>
          <w:p w14:paraId="3497C5A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2.657.281.553</w:t>
            </w:r>
          </w:p>
        </w:tc>
        <w:tc>
          <w:tcPr>
            <w:tcW w:w="1275" w:type="dxa"/>
            <w:shd w:val="clear" w:color="auto" w:fill="auto"/>
            <w:tcMar>
              <w:top w:w="40" w:type="dxa"/>
              <w:left w:w="40" w:type="dxa"/>
              <w:bottom w:w="40" w:type="dxa"/>
              <w:right w:w="40" w:type="dxa"/>
            </w:tcMar>
            <w:vAlign w:val="center"/>
          </w:tcPr>
          <w:p w14:paraId="3D87321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2.800.452.446</w:t>
            </w:r>
          </w:p>
        </w:tc>
        <w:tc>
          <w:tcPr>
            <w:tcW w:w="1386" w:type="dxa"/>
            <w:shd w:val="clear" w:color="auto" w:fill="auto"/>
            <w:tcMar>
              <w:top w:w="40" w:type="dxa"/>
              <w:left w:w="40" w:type="dxa"/>
              <w:bottom w:w="40" w:type="dxa"/>
              <w:right w:w="40" w:type="dxa"/>
            </w:tcMar>
            <w:vAlign w:val="center"/>
          </w:tcPr>
          <w:p w14:paraId="0698CD8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2.827.787.727</w:t>
            </w:r>
          </w:p>
        </w:tc>
        <w:tc>
          <w:tcPr>
            <w:tcW w:w="1215" w:type="dxa"/>
            <w:vMerge/>
            <w:shd w:val="clear" w:color="auto" w:fill="auto"/>
            <w:tcMar>
              <w:top w:w="100" w:type="dxa"/>
              <w:left w:w="100" w:type="dxa"/>
              <w:bottom w:w="100" w:type="dxa"/>
              <w:right w:w="100" w:type="dxa"/>
            </w:tcMar>
          </w:tcPr>
          <w:p w14:paraId="2F11B0F3"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09262FEA" w14:textId="77777777" w:rsidTr="000124BE">
        <w:trPr>
          <w:trHeight w:val="315"/>
          <w:jc w:val="center"/>
        </w:trPr>
        <w:tc>
          <w:tcPr>
            <w:tcW w:w="8838" w:type="dxa"/>
            <w:gridSpan w:val="6"/>
            <w:shd w:val="clear" w:color="auto" w:fill="C00000"/>
            <w:tcMar>
              <w:top w:w="40" w:type="dxa"/>
              <w:left w:w="40" w:type="dxa"/>
              <w:bottom w:w="40" w:type="dxa"/>
              <w:right w:w="40" w:type="dxa"/>
            </w:tcMar>
            <w:vAlign w:val="center"/>
          </w:tcPr>
          <w:p w14:paraId="1EB46227"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HÁBITAT</w:t>
            </w:r>
          </w:p>
        </w:tc>
      </w:tr>
      <w:tr w:rsidR="00EF1D5F" w14:paraId="32A802AE" w14:textId="77777777" w:rsidTr="00A623EF">
        <w:trPr>
          <w:trHeight w:val="810"/>
          <w:jc w:val="center"/>
        </w:trPr>
        <w:tc>
          <w:tcPr>
            <w:tcW w:w="2410" w:type="dxa"/>
            <w:vMerge w:val="restart"/>
            <w:shd w:val="clear" w:color="auto" w:fill="auto"/>
            <w:tcMar>
              <w:top w:w="40" w:type="dxa"/>
              <w:left w:w="40" w:type="dxa"/>
              <w:bottom w:w="40" w:type="dxa"/>
              <w:right w:w="40" w:type="dxa"/>
            </w:tcMar>
            <w:vAlign w:val="center"/>
          </w:tcPr>
          <w:p w14:paraId="1908CAE6"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lastRenderedPageBreak/>
              <w:t>Diseñar e implementar 4 estrategias que promuevan la participación ciudadana en la revitalización y resiliencia de espacios urbanos y rurales a través de la gobernanza colaborativa la gestión e innovación social para un hábitat incluyente.</w:t>
            </w:r>
          </w:p>
        </w:tc>
        <w:tc>
          <w:tcPr>
            <w:tcW w:w="1276" w:type="dxa"/>
            <w:shd w:val="clear" w:color="auto" w:fill="auto"/>
            <w:tcMar>
              <w:top w:w="40" w:type="dxa"/>
              <w:left w:w="40" w:type="dxa"/>
              <w:bottom w:w="40" w:type="dxa"/>
              <w:right w:w="40" w:type="dxa"/>
            </w:tcMar>
            <w:vAlign w:val="center"/>
          </w:tcPr>
          <w:p w14:paraId="015C977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w:t>
            </w:r>
          </w:p>
        </w:tc>
        <w:tc>
          <w:tcPr>
            <w:tcW w:w="1276" w:type="dxa"/>
            <w:shd w:val="clear" w:color="auto" w:fill="auto"/>
            <w:tcMar>
              <w:top w:w="40" w:type="dxa"/>
              <w:left w:w="40" w:type="dxa"/>
              <w:bottom w:w="40" w:type="dxa"/>
              <w:right w:w="40" w:type="dxa"/>
            </w:tcMar>
            <w:vAlign w:val="center"/>
          </w:tcPr>
          <w:p w14:paraId="582ACB9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w:t>
            </w:r>
          </w:p>
        </w:tc>
        <w:tc>
          <w:tcPr>
            <w:tcW w:w="1275" w:type="dxa"/>
            <w:shd w:val="clear" w:color="auto" w:fill="auto"/>
            <w:tcMar>
              <w:top w:w="40" w:type="dxa"/>
              <w:left w:w="40" w:type="dxa"/>
              <w:bottom w:w="40" w:type="dxa"/>
              <w:right w:w="40" w:type="dxa"/>
            </w:tcMar>
            <w:vAlign w:val="center"/>
          </w:tcPr>
          <w:p w14:paraId="7CD1AEF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w:t>
            </w:r>
          </w:p>
        </w:tc>
        <w:tc>
          <w:tcPr>
            <w:tcW w:w="1386" w:type="dxa"/>
            <w:shd w:val="clear" w:color="auto" w:fill="auto"/>
            <w:tcMar>
              <w:top w:w="40" w:type="dxa"/>
              <w:left w:w="40" w:type="dxa"/>
              <w:bottom w:w="40" w:type="dxa"/>
              <w:right w:w="40" w:type="dxa"/>
            </w:tcMar>
            <w:vAlign w:val="center"/>
          </w:tcPr>
          <w:p w14:paraId="1331D46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w:t>
            </w:r>
          </w:p>
        </w:tc>
        <w:tc>
          <w:tcPr>
            <w:tcW w:w="1215" w:type="dxa"/>
            <w:vMerge w:val="restart"/>
            <w:shd w:val="clear" w:color="auto" w:fill="auto"/>
            <w:tcMar>
              <w:top w:w="40" w:type="dxa"/>
              <w:left w:w="40" w:type="dxa"/>
              <w:bottom w:w="40" w:type="dxa"/>
              <w:right w:w="40" w:type="dxa"/>
            </w:tcMar>
            <w:vAlign w:val="center"/>
          </w:tcPr>
          <w:p w14:paraId="79AE66BB"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16.060.318.339</w:t>
            </w:r>
          </w:p>
        </w:tc>
      </w:tr>
      <w:tr w:rsidR="00EF1D5F" w14:paraId="3E9A4D1D" w14:textId="77777777" w:rsidTr="00A623EF">
        <w:trPr>
          <w:trHeight w:val="810"/>
          <w:jc w:val="center"/>
        </w:trPr>
        <w:tc>
          <w:tcPr>
            <w:tcW w:w="2410" w:type="dxa"/>
            <w:vMerge/>
            <w:shd w:val="clear" w:color="auto" w:fill="auto"/>
            <w:tcMar>
              <w:top w:w="100" w:type="dxa"/>
              <w:left w:w="100" w:type="dxa"/>
              <w:bottom w:w="100" w:type="dxa"/>
              <w:right w:w="100" w:type="dxa"/>
            </w:tcMar>
          </w:tcPr>
          <w:p w14:paraId="727B92AB"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09B6929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3.814.000.000</w:t>
            </w:r>
          </w:p>
        </w:tc>
        <w:tc>
          <w:tcPr>
            <w:tcW w:w="1276" w:type="dxa"/>
            <w:shd w:val="clear" w:color="auto" w:fill="auto"/>
            <w:tcMar>
              <w:top w:w="40" w:type="dxa"/>
              <w:left w:w="40" w:type="dxa"/>
              <w:bottom w:w="40" w:type="dxa"/>
              <w:right w:w="40" w:type="dxa"/>
            </w:tcMar>
            <w:vAlign w:val="center"/>
          </w:tcPr>
          <w:p w14:paraId="3C21CCF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3.595.145.631</w:t>
            </w:r>
          </w:p>
        </w:tc>
        <w:tc>
          <w:tcPr>
            <w:tcW w:w="1275" w:type="dxa"/>
            <w:shd w:val="clear" w:color="auto" w:fill="auto"/>
            <w:tcMar>
              <w:top w:w="40" w:type="dxa"/>
              <w:left w:w="40" w:type="dxa"/>
              <w:bottom w:w="40" w:type="dxa"/>
              <w:right w:w="40" w:type="dxa"/>
            </w:tcMar>
            <w:vAlign w:val="center"/>
          </w:tcPr>
          <w:p w14:paraId="77C12F7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4.504.665.850</w:t>
            </w:r>
          </w:p>
        </w:tc>
        <w:tc>
          <w:tcPr>
            <w:tcW w:w="1386" w:type="dxa"/>
            <w:shd w:val="clear" w:color="auto" w:fill="auto"/>
            <w:tcMar>
              <w:top w:w="40" w:type="dxa"/>
              <w:left w:w="40" w:type="dxa"/>
              <w:bottom w:w="40" w:type="dxa"/>
              <w:right w:w="40" w:type="dxa"/>
            </w:tcMar>
            <w:vAlign w:val="center"/>
          </w:tcPr>
          <w:p w14:paraId="4945EAB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4.146.506.859</w:t>
            </w:r>
          </w:p>
        </w:tc>
        <w:tc>
          <w:tcPr>
            <w:tcW w:w="1215" w:type="dxa"/>
            <w:vMerge/>
            <w:shd w:val="clear" w:color="auto" w:fill="auto"/>
            <w:tcMar>
              <w:top w:w="100" w:type="dxa"/>
              <w:left w:w="100" w:type="dxa"/>
              <w:bottom w:w="100" w:type="dxa"/>
              <w:right w:w="100" w:type="dxa"/>
            </w:tcMar>
          </w:tcPr>
          <w:p w14:paraId="1A4AB1F9"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4C0546E7" w14:textId="77777777" w:rsidTr="00A623EF">
        <w:trPr>
          <w:trHeight w:val="810"/>
          <w:jc w:val="center"/>
        </w:trPr>
        <w:tc>
          <w:tcPr>
            <w:tcW w:w="2410" w:type="dxa"/>
            <w:vMerge w:val="restart"/>
            <w:shd w:val="clear" w:color="auto" w:fill="auto"/>
            <w:tcMar>
              <w:top w:w="40" w:type="dxa"/>
              <w:left w:w="40" w:type="dxa"/>
              <w:bottom w:w="40" w:type="dxa"/>
              <w:right w:w="40" w:type="dxa"/>
            </w:tcMar>
            <w:vAlign w:val="center"/>
          </w:tcPr>
          <w:p w14:paraId="408D1918"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Ejecutar 3 proyectos de equipamientos a través del programa de infraestructura urbana.</w:t>
            </w:r>
          </w:p>
        </w:tc>
        <w:tc>
          <w:tcPr>
            <w:tcW w:w="1276" w:type="dxa"/>
            <w:shd w:val="clear" w:color="auto" w:fill="auto"/>
            <w:tcMar>
              <w:top w:w="40" w:type="dxa"/>
              <w:left w:w="40" w:type="dxa"/>
              <w:bottom w:w="40" w:type="dxa"/>
              <w:right w:w="40" w:type="dxa"/>
            </w:tcMar>
            <w:vAlign w:val="center"/>
          </w:tcPr>
          <w:p w14:paraId="0008731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shd w:val="clear" w:color="auto" w:fill="auto"/>
            <w:tcMar>
              <w:top w:w="40" w:type="dxa"/>
              <w:left w:w="40" w:type="dxa"/>
              <w:bottom w:w="40" w:type="dxa"/>
              <w:right w:w="40" w:type="dxa"/>
            </w:tcMar>
            <w:vAlign w:val="center"/>
          </w:tcPr>
          <w:p w14:paraId="5F348DE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w:t>
            </w:r>
          </w:p>
        </w:tc>
        <w:tc>
          <w:tcPr>
            <w:tcW w:w="1275" w:type="dxa"/>
            <w:shd w:val="clear" w:color="auto" w:fill="auto"/>
            <w:tcMar>
              <w:top w:w="40" w:type="dxa"/>
              <w:left w:w="40" w:type="dxa"/>
              <w:bottom w:w="40" w:type="dxa"/>
              <w:right w:w="40" w:type="dxa"/>
            </w:tcMar>
            <w:vAlign w:val="center"/>
          </w:tcPr>
          <w:p w14:paraId="7E35A30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386" w:type="dxa"/>
            <w:shd w:val="clear" w:color="auto" w:fill="auto"/>
            <w:tcMar>
              <w:top w:w="40" w:type="dxa"/>
              <w:left w:w="40" w:type="dxa"/>
              <w:bottom w:w="40" w:type="dxa"/>
              <w:right w:w="40" w:type="dxa"/>
            </w:tcMar>
            <w:vAlign w:val="center"/>
          </w:tcPr>
          <w:p w14:paraId="6ABB1FA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15" w:type="dxa"/>
            <w:vMerge w:val="restart"/>
            <w:shd w:val="clear" w:color="auto" w:fill="auto"/>
            <w:tcMar>
              <w:top w:w="40" w:type="dxa"/>
              <w:left w:w="40" w:type="dxa"/>
              <w:bottom w:w="40" w:type="dxa"/>
              <w:right w:w="40" w:type="dxa"/>
            </w:tcMar>
            <w:vAlign w:val="center"/>
          </w:tcPr>
          <w:p w14:paraId="27BB003F"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197.196.887.601</w:t>
            </w:r>
          </w:p>
        </w:tc>
      </w:tr>
      <w:tr w:rsidR="00EF1D5F" w14:paraId="63EB309B" w14:textId="77777777" w:rsidTr="00A623EF">
        <w:trPr>
          <w:trHeight w:val="810"/>
          <w:jc w:val="center"/>
        </w:trPr>
        <w:tc>
          <w:tcPr>
            <w:tcW w:w="2410" w:type="dxa"/>
            <w:vMerge/>
            <w:shd w:val="clear" w:color="auto" w:fill="auto"/>
            <w:tcMar>
              <w:top w:w="100" w:type="dxa"/>
              <w:left w:w="100" w:type="dxa"/>
              <w:bottom w:w="100" w:type="dxa"/>
              <w:right w:w="100" w:type="dxa"/>
            </w:tcMar>
          </w:tcPr>
          <w:p w14:paraId="017DF9D8"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58E6727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138.070.000.000</w:t>
            </w:r>
          </w:p>
        </w:tc>
        <w:tc>
          <w:tcPr>
            <w:tcW w:w="1276" w:type="dxa"/>
            <w:shd w:val="clear" w:color="auto" w:fill="auto"/>
            <w:tcMar>
              <w:top w:w="40" w:type="dxa"/>
              <w:left w:w="40" w:type="dxa"/>
              <w:bottom w:w="40" w:type="dxa"/>
              <w:right w:w="40" w:type="dxa"/>
            </w:tcMar>
            <w:vAlign w:val="center"/>
          </w:tcPr>
          <w:p w14:paraId="1BC306E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59.126.887.601</w:t>
            </w:r>
          </w:p>
        </w:tc>
        <w:tc>
          <w:tcPr>
            <w:tcW w:w="1275" w:type="dxa"/>
            <w:shd w:val="clear" w:color="auto" w:fill="auto"/>
            <w:tcMar>
              <w:top w:w="40" w:type="dxa"/>
              <w:left w:w="40" w:type="dxa"/>
              <w:bottom w:w="40" w:type="dxa"/>
              <w:right w:w="40" w:type="dxa"/>
            </w:tcMar>
            <w:vAlign w:val="center"/>
          </w:tcPr>
          <w:p w14:paraId="23EC4A3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386" w:type="dxa"/>
            <w:shd w:val="clear" w:color="auto" w:fill="auto"/>
            <w:tcMar>
              <w:top w:w="40" w:type="dxa"/>
              <w:left w:w="40" w:type="dxa"/>
              <w:bottom w:w="40" w:type="dxa"/>
              <w:right w:w="40" w:type="dxa"/>
            </w:tcMar>
            <w:vAlign w:val="center"/>
          </w:tcPr>
          <w:p w14:paraId="3AE7332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15" w:type="dxa"/>
            <w:vMerge/>
            <w:shd w:val="clear" w:color="auto" w:fill="auto"/>
            <w:tcMar>
              <w:top w:w="100" w:type="dxa"/>
              <w:left w:w="100" w:type="dxa"/>
              <w:bottom w:w="100" w:type="dxa"/>
              <w:right w:w="100" w:type="dxa"/>
            </w:tcMar>
          </w:tcPr>
          <w:p w14:paraId="52A375CE"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34226FC6" w14:textId="77777777" w:rsidTr="00A623EF">
        <w:trPr>
          <w:trHeight w:val="810"/>
          <w:jc w:val="center"/>
        </w:trPr>
        <w:tc>
          <w:tcPr>
            <w:tcW w:w="2410" w:type="dxa"/>
            <w:vMerge w:val="restart"/>
            <w:shd w:val="clear" w:color="auto" w:fill="auto"/>
            <w:tcMar>
              <w:top w:w="40" w:type="dxa"/>
              <w:left w:w="40" w:type="dxa"/>
              <w:bottom w:w="40" w:type="dxa"/>
              <w:right w:w="40" w:type="dxa"/>
            </w:tcMar>
            <w:vAlign w:val="center"/>
          </w:tcPr>
          <w:p w14:paraId="50B4A32B"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Estructurar 10 proyectos de renovación y/o desarrollo urbano.</w:t>
            </w:r>
          </w:p>
        </w:tc>
        <w:tc>
          <w:tcPr>
            <w:tcW w:w="1276" w:type="dxa"/>
            <w:shd w:val="clear" w:color="auto" w:fill="auto"/>
            <w:tcMar>
              <w:top w:w="40" w:type="dxa"/>
              <w:left w:w="40" w:type="dxa"/>
              <w:bottom w:w="40" w:type="dxa"/>
              <w:right w:w="40" w:type="dxa"/>
            </w:tcMar>
            <w:vAlign w:val="center"/>
          </w:tcPr>
          <w:p w14:paraId="3CE481F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w:t>
            </w:r>
          </w:p>
        </w:tc>
        <w:tc>
          <w:tcPr>
            <w:tcW w:w="1276" w:type="dxa"/>
            <w:shd w:val="clear" w:color="auto" w:fill="auto"/>
            <w:tcMar>
              <w:top w:w="40" w:type="dxa"/>
              <w:left w:w="40" w:type="dxa"/>
              <w:bottom w:w="40" w:type="dxa"/>
              <w:right w:w="40" w:type="dxa"/>
            </w:tcMar>
            <w:vAlign w:val="center"/>
          </w:tcPr>
          <w:p w14:paraId="25599B7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w:t>
            </w:r>
          </w:p>
        </w:tc>
        <w:tc>
          <w:tcPr>
            <w:tcW w:w="1275" w:type="dxa"/>
            <w:shd w:val="clear" w:color="auto" w:fill="auto"/>
            <w:tcMar>
              <w:top w:w="40" w:type="dxa"/>
              <w:left w:w="40" w:type="dxa"/>
              <w:bottom w:w="40" w:type="dxa"/>
              <w:right w:w="40" w:type="dxa"/>
            </w:tcMar>
            <w:vAlign w:val="center"/>
          </w:tcPr>
          <w:p w14:paraId="79AD344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w:t>
            </w:r>
          </w:p>
        </w:tc>
        <w:tc>
          <w:tcPr>
            <w:tcW w:w="1386" w:type="dxa"/>
            <w:shd w:val="clear" w:color="auto" w:fill="auto"/>
            <w:tcMar>
              <w:top w:w="40" w:type="dxa"/>
              <w:left w:w="40" w:type="dxa"/>
              <w:bottom w:w="40" w:type="dxa"/>
              <w:right w:w="40" w:type="dxa"/>
            </w:tcMar>
            <w:vAlign w:val="center"/>
          </w:tcPr>
          <w:p w14:paraId="04BBC67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w:t>
            </w:r>
          </w:p>
        </w:tc>
        <w:tc>
          <w:tcPr>
            <w:tcW w:w="1215" w:type="dxa"/>
            <w:vMerge w:val="restart"/>
            <w:shd w:val="clear" w:color="auto" w:fill="auto"/>
            <w:tcMar>
              <w:top w:w="40" w:type="dxa"/>
              <w:left w:w="40" w:type="dxa"/>
              <w:bottom w:w="40" w:type="dxa"/>
              <w:right w:w="40" w:type="dxa"/>
            </w:tcMar>
            <w:vAlign w:val="center"/>
          </w:tcPr>
          <w:p w14:paraId="32BA6787"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151.845.094.347</w:t>
            </w:r>
          </w:p>
        </w:tc>
      </w:tr>
      <w:tr w:rsidR="00EF1D5F" w14:paraId="625D7EC1" w14:textId="77777777" w:rsidTr="00A623EF">
        <w:trPr>
          <w:trHeight w:val="810"/>
          <w:jc w:val="center"/>
        </w:trPr>
        <w:tc>
          <w:tcPr>
            <w:tcW w:w="2410" w:type="dxa"/>
            <w:vMerge/>
            <w:shd w:val="clear" w:color="auto" w:fill="auto"/>
            <w:tcMar>
              <w:top w:w="100" w:type="dxa"/>
              <w:left w:w="100" w:type="dxa"/>
              <w:bottom w:w="100" w:type="dxa"/>
              <w:right w:w="100" w:type="dxa"/>
            </w:tcMar>
          </w:tcPr>
          <w:p w14:paraId="2826CE95"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73CFE0D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22.226.600.000</w:t>
            </w:r>
          </w:p>
        </w:tc>
        <w:tc>
          <w:tcPr>
            <w:tcW w:w="1276" w:type="dxa"/>
            <w:shd w:val="clear" w:color="auto" w:fill="auto"/>
            <w:tcMar>
              <w:top w:w="40" w:type="dxa"/>
              <w:left w:w="40" w:type="dxa"/>
              <w:bottom w:w="40" w:type="dxa"/>
              <w:right w:w="40" w:type="dxa"/>
            </w:tcMar>
            <w:vAlign w:val="center"/>
          </w:tcPr>
          <w:p w14:paraId="08F0EF6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51.428.646.380</w:t>
            </w:r>
          </w:p>
        </w:tc>
        <w:tc>
          <w:tcPr>
            <w:tcW w:w="1275" w:type="dxa"/>
            <w:shd w:val="clear" w:color="auto" w:fill="auto"/>
            <w:tcMar>
              <w:top w:w="40" w:type="dxa"/>
              <w:left w:w="40" w:type="dxa"/>
              <w:bottom w:w="40" w:type="dxa"/>
              <w:right w:w="40" w:type="dxa"/>
            </w:tcMar>
            <w:vAlign w:val="center"/>
          </w:tcPr>
          <w:p w14:paraId="1E1DC3F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41.983.598.831</w:t>
            </w:r>
          </w:p>
        </w:tc>
        <w:tc>
          <w:tcPr>
            <w:tcW w:w="1386" w:type="dxa"/>
            <w:shd w:val="clear" w:color="auto" w:fill="auto"/>
            <w:tcMar>
              <w:top w:w="40" w:type="dxa"/>
              <w:left w:w="40" w:type="dxa"/>
              <w:bottom w:w="40" w:type="dxa"/>
              <w:right w:w="40" w:type="dxa"/>
            </w:tcMar>
            <w:vAlign w:val="center"/>
          </w:tcPr>
          <w:p w14:paraId="76F3003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36.206.249.136</w:t>
            </w:r>
          </w:p>
        </w:tc>
        <w:tc>
          <w:tcPr>
            <w:tcW w:w="1215" w:type="dxa"/>
            <w:vMerge/>
            <w:shd w:val="clear" w:color="auto" w:fill="auto"/>
            <w:tcMar>
              <w:top w:w="100" w:type="dxa"/>
              <w:left w:w="100" w:type="dxa"/>
              <w:bottom w:w="100" w:type="dxa"/>
              <w:right w:w="100" w:type="dxa"/>
            </w:tcMar>
          </w:tcPr>
          <w:p w14:paraId="635C2DFF"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4B8A5093" w14:textId="77777777" w:rsidTr="00A623EF">
        <w:trPr>
          <w:trHeight w:val="810"/>
          <w:jc w:val="center"/>
        </w:trPr>
        <w:tc>
          <w:tcPr>
            <w:tcW w:w="2410" w:type="dxa"/>
            <w:vMerge w:val="restart"/>
            <w:shd w:val="clear" w:color="auto" w:fill="auto"/>
            <w:tcMar>
              <w:top w:w="40" w:type="dxa"/>
              <w:left w:w="40" w:type="dxa"/>
              <w:bottom w:w="40" w:type="dxa"/>
              <w:right w:w="40" w:type="dxa"/>
            </w:tcMar>
            <w:vAlign w:val="center"/>
          </w:tcPr>
          <w:p w14:paraId="37D49A44"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Intervenir 1800 Hectáreas a través de los Planes de Intervención para el Mejoramiento Integral del Hábitat (PIMI-Hábitat).</w:t>
            </w:r>
          </w:p>
        </w:tc>
        <w:tc>
          <w:tcPr>
            <w:tcW w:w="1276" w:type="dxa"/>
            <w:shd w:val="clear" w:color="auto" w:fill="auto"/>
            <w:tcMar>
              <w:top w:w="40" w:type="dxa"/>
              <w:left w:w="40" w:type="dxa"/>
              <w:bottom w:w="40" w:type="dxa"/>
              <w:right w:w="40" w:type="dxa"/>
            </w:tcMar>
            <w:vAlign w:val="center"/>
          </w:tcPr>
          <w:p w14:paraId="722EE89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40</w:t>
            </w:r>
          </w:p>
        </w:tc>
        <w:tc>
          <w:tcPr>
            <w:tcW w:w="1276" w:type="dxa"/>
            <w:shd w:val="clear" w:color="auto" w:fill="auto"/>
            <w:tcMar>
              <w:top w:w="40" w:type="dxa"/>
              <w:left w:w="40" w:type="dxa"/>
              <w:bottom w:w="40" w:type="dxa"/>
              <w:right w:w="40" w:type="dxa"/>
            </w:tcMar>
            <w:vAlign w:val="center"/>
          </w:tcPr>
          <w:p w14:paraId="0C9E949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367</w:t>
            </w:r>
          </w:p>
        </w:tc>
        <w:tc>
          <w:tcPr>
            <w:tcW w:w="1275" w:type="dxa"/>
            <w:shd w:val="clear" w:color="auto" w:fill="auto"/>
            <w:tcMar>
              <w:top w:w="40" w:type="dxa"/>
              <w:left w:w="40" w:type="dxa"/>
              <w:bottom w:w="40" w:type="dxa"/>
              <w:right w:w="40" w:type="dxa"/>
            </w:tcMar>
            <w:vAlign w:val="center"/>
          </w:tcPr>
          <w:p w14:paraId="3AB66E1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668</w:t>
            </w:r>
          </w:p>
        </w:tc>
        <w:tc>
          <w:tcPr>
            <w:tcW w:w="1386" w:type="dxa"/>
            <w:shd w:val="clear" w:color="auto" w:fill="auto"/>
            <w:tcMar>
              <w:top w:w="40" w:type="dxa"/>
              <w:left w:w="40" w:type="dxa"/>
              <w:bottom w:w="40" w:type="dxa"/>
              <w:right w:w="40" w:type="dxa"/>
            </w:tcMar>
            <w:vAlign w:val="center"/>
          </w:tcPr>
          <w:p w14:paraId="03AA6C6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725</w:t>
            </w:r>
          </w:p>
        </w:tc>
        <w:tc>
          <w:tcPr>
            <w:tcW w:w="1215" w:type="dxa"/>
            <w:vMerge w:val="restart"/>
            <w:shd w:val="clear" w:color="auto" w:fill="auto"/>
            <w:tcMar>
              <w:top w:w="40" w:type="dxa"/>
              <w:left w:w="40" w:type="dxa"/>
              <w:bottom w:w="40" w:type="dxa"/>
              <w:right w:w="40" w:type="dxa"/>
            </w:tcMar>
            <w:vAlign w:val="center"/>
          </w:tcPr>
          <w:p w14:paraId="3C0CA107"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66.580.977.118</w:t>
            </w:r>
          </w:p>
        </w:tc>
      </w:tr>
      <w:tr w:rsidR="00EF1D5F" w14:paraId="0B9706C0" w14:textId="77777777" w:rsidTr="00A623EF">
        <w:trPr>
          <w:trHeight w:val="810"/>
          <w:jc w:val="center"/>
        </w:trPr>
        <w:tc>
          <w:tcPr>
            <w:tcW w:w="2410" w:type="dxa"/>
            <w:vMerge/>
            <w:shd w:val="clear" w:color="auto" w:fill="auto"/>
            <w:tcMar>
              <w:top w:w="100" w:type="dxa"/>
              <w:left w:w="100" w:type="dxa"/>
              <w:bottom w:w="100" w:type="dxa"/>
              <w:right w:w="100" w:type="dxa"/>
            </w:tcMar>
          </w:tcPr>
          <w:p w14:paraId="1441F8BD"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41F01C4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19.929.000.000</w:t>
            </w:r>
          </w:p>
        </w:tc>
        <w:tc>
          <w:tcPr>
            <w:tcW w:w="1276" w:type="dxa"/>
            <w:shd w:val="clear" w:color="auto" w:fill="auto"/>
            <w:tcMar>
              <w:top w:w="40" w:type="dxa"/>
              <w:left w:w="40" w:type="dxa"/>
              <w:bottom w:w="40" w:type="dxa"/>
              <w:right w:w="40" w:type="dxa"/>
            </w:tcMar>
            <w:vAlign w:val="center"/>
          </w:tcPr>
          <w:p w14:paraId="3379199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9.466.019.417</w:t>
            </w:r>
          </w:p>
        </w:tc>
        <w:tc>
          <w:tcPr>
            <w:tcW w:w="1275" w:type="dxa"/>
            <w:shd w:val="clear" w:color="auto" w:fill="auto"/>
            <w:tcMar>
              <w:top w:w="40" w:type="dxa"/>
              <w:left w:w="40" w:type="dxa"/>
              <w:bottom w:w="40" w:type="dxa"/>
              <w:right w:w="40" w:type="dxa"/>
            </w:tcMar>
            <w:vAlign w:val="center"/>
          </w:tcPr>
          <w:p w14:paraId="47D8B61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28.720.897.351</w:t>
            </w:r>
          </w:p>
        </w:tc>
        <w:tc>
          <w:tcPr>
            <w:tcW w:w="1386" w:type="dxa"/>
            <w:shd w:val="clear" w:color="auto" w:fill="auto"/>
            <w:tcMar>
              <w:top w:w="40" w:type="dxa"/>
              <w:left w:w="40" w:type="dxa"/>
              <w:bottom w:w="40" w:type="dxa"/>
              <w:right w:w="40" w:type="dxa"/>
            </w:tcMar>
            <w:vAlign w:val="center"/>
          </w:tcPr>
          <w:p w14:paraId="5FCE553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8.465.060.349</w:t>
            </w:r>
          </w:p>
        </w:tc>
        <w:tc>
          <w:tcPr>
            <w:tcW w:w="1215" w:type="dxa"/>
            <w:vMerge/>
            <w:shd w:val="clear" w:color="auto" w:fill="auto"/>
            <w:tcMar>
              <w:top w:w="100" w:type="dxa"/>
              <w:left w:w="100" w:type="dxa"/>
              <w:bottom w:w="100" w:type="dxa"/>
              <w:right w:w="100" w:type="dxa"/>
            </w:tcMar>
          </w:tcPr>
          <w:p w14:paraId="09A7F60D"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14:paraId="243439FA" w14:textId="77777777" w:rsidTr="00A623EF">
        <w:trPr>
          <w:trHeight w:val="810"/>
          <w:jc w:val="center"/>
        </w:trPr>
        <w:tc>
          <w:tcPr>
            <w:tcW w:w="2410" w:type="dxa"/>
            <w:vMerge w:val="restart"/>
            <w:shd w:val="clear" w:color="auto" w:fill="auto"/>
            <w:tcMar>
              <w:top w:w="40" w:type="dxa"/>
              <w:left w:w="40" w:type="dxa"/>
              <w:bottom w:w="40" w:type="dxa"/>
              <w:right w:w="40" w:type="dxa"/>
            </w:tcMar>
            <w:vAlign w:val="center"/>
          </w:tcPr>
          <w:p w14:paraId="3BEAA5CD"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Intervenir 2 polígonos priorizados de intervención integral de revitalización y mejoramiento de barrios que promuevan la renaturalización y la adaptación al cambio climático</w:t>
            </w:r>
          </w:p>
        </w:tc>
        <w:tc>
          <w:tcPr>
            <w:tcW w:w="1276" w:type="dxa"/>
            <w:shd w:val="clear" w:color="auto" w:fill="auto"/>
            <w:tcMar>
              <w:top w:w="40" w:type="dxa"/>
              <w:left w:w="40" w:type="dxa"/>
              <w:bottom w:w="40" w:type="dxa"/>
              <w:right w:w="40" w:type="dxa"/>
            </w:tcMar>
            <w:vAlign w:val="center"/>
          </w:tcPr>
          <w:p w14:paraId="33E7903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shd w:val="clear" w:color="auto" w:fill="auto"/>
            <w:tcMar>
              <w:top w:w="40" w:type="dxa"/>
              <w:left w:w="40" w:type="dxa"/>
              <w:bottom w:w="40" w:type="dxa"/>
              <w:right w:w="40" w:type="dxa"/>
            </w:tcMar>
            <w:vAlign w:val="center"/>
          </w:tcPr>
          <w:p w14:paraId="5593CF7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5" w:type="dxa"/>
            <w:shd w:val="clear" w:color="auto" w:fill="auto"/>
            <w:tcMar>
              <w:top w:w="40" w:type="dxa"/>
              <w:left w:w="40" w:type="dxa"/>
              <w:bottom w:w="40" w:type="dxa"/>
              <w:right w:w="40" w:type="dxa"/>
            </w:tcMar>
            <w:vAlign w:val="center"/>
          </w:tcPr>
          <w:p w14:paraId="228BDBE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386" w:type="dxa"/>
            <w:shd w:val="clear" w:color="auto" w:fill="auto"/>
            <w:tcMar>
              <w:top w:w="40" w:type="dxa"/>
              <w:left w:w="40" w:type="dxa"/>
              <w:bottom w:w="40" w:type="dxa"/>
              <w:right w:w="40" w:type="dxa"/>
            </w:tcMar>
            <w:vAlign w:val="center"/>
          </w:tcPr>
          <w:p w14:paraId="6A7F2F0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15" w:type="dxa"/>
            <w:vMerge w:val="restart"/>
            <w:shd w:val="clear" w:color="auto" w:fill="auto"/>
            <w:tcMar>
              <w:top w:w="40" w:type="dxa"/>
              <w:left w:w="40" w:type="dxa"/>
              <w:bottom w:w="40" w:type="dxa"/>
              <w:right w:w="40" w:type="dxa"/>
            </w:tcMar>
            <w:vAlign w:val="center"/>
          </w:tcPr>
          <w:p w14:paraId="2C3C667B"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266.025.369.121</w:t>
            </w:r>
          </w:p>
        </w:tc>
      </w:tr>
      <w:tr w:rsidR="00EF1D5F" w14:paraId="701E72F1" w14:textId="77777777" w:rsidTr="0064152F">
        <w:trPr>
          <w:trHeight w:val="810"/>
          <w:jc w:val="center"/>
        </w:trPr>
        <w:tc>
          <w:tcPr>
            <w:tcW w:w="2410" w:type="dxa"/>
            <w:vMerge/>
            <w:tcBorders>
              <w:bottom w:val="double" w:sz="4" w:space="0" w:color="C00000"/>
            </w:tcBorders>
            <w:shd w:val="clear" w:color="auto" w:fill="auto"/>
            <w:tcMar>
              <w:top w:w="100" w:type="dxa"/>
              <w:left w:w="100" w:type="dxa"/>
              <w:bottom w:w="100" w:type="dxa"/>
              <w:right w:w="100" w:type="dxa"/>
            </w:tcMar>
          </w:tcPr>
          <w:p w14:paraId="02A0F5A1" w14:textId="77777777" w:rsidR="00EF1D5F" w:rsidRDefault="00EF1D5F" w:rsidP="003D4AD9">
            <w:pPr>
              <w:widowControl w:val="0"/>
              <w:spacing w:line="276" w:lineRule="auto"/>
              <w:jc w:val="left"/>
              <w:rPr>
                <w:rFonts w:ascii="Arial" w:eastAsia="Arial" w:hAnsi="Arial" w:cs="Arial"/>
                <w:color w:val="000000"/>
              </w:rPr>
            </w:pPr>
          </w:p>
        </w:tc>
        <w:tc>
          <w:tcPr>
            <w:tcW w:w="1276" w:type="dxa"/>
            <w:tcBorders>
              <w:bottom w:val="double" w:sz="4" w:space="0" w:color="C00000"/>
            </w:tcBorders>
            <w:shd w:val="clear" w:color="auto" w:fill="auto"/>
            <w:tcMar>
              <w:top w:w="40" w:type="dxa"/>
              <w:left w:w="40" w:type="dxa"/>
              <w:bottom w:w="40" w:type="dxa"/>
              <w:right w:w="40" w:type="dxa"/>
            </w:tcMar>
            <w:vAlign w:val="center"/>
          </w:tcPr>
          <w:p w14:paraId="73FBD1B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18.812.000.000</w:t>
            </w:r>
          </w:p>
        </w:tc>
        <w:tc>
          <w:tcPr>
            <w:tcW w:w="1276" w:type="dxa"/>
            <w:tcBorders>
              <w:bottom w:val="double" w:sz="4" w:space="0" w:color="C00000"/>
            </w:tcBorders>
            <w:shd w:val="clear" w:color="auto" w:fill="auto"/>
            <w:tcMar>
              <w:top w:w="40" w:type="dxa"/>
              <w:left w:w="40" w:type="dxa"/>
              <w:bottom w:w="40" w:type="dxa"/>
              <w:right w:w="40" w:type="dxa"/>
            </w:tcMar>
            <w:vAlign w:val="center"/>
          </w:tcPr>
          <w:p w14:paraId="1EAA3EF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127.716.504.854</w:t>
            </w:r>
          </w:p>
        </w:tc>
        <w:tc>
          <w:tcPr>
            <w:tcW w:w="1275" w:type="dxa"/>
            <w:tcBorders>
              <w:bottom w:val="double" w:sz="4" w:space="0" w:color="C00000"/>
            </w:tcBorders>
            <w:shd w:val="clear" w:color="auto" w:fill="auto"/>
            <w:tcMar>
              <w:top w:w="40" w:type="dxa"/>
              <w:left w:w="40" w:type="dxa"/>
              <w:bottom w:w="40" w:type="dxa"/>
              <w:right w:w="40" w:type="dxa"/>
            </w:tcMar>
            <w:vAlign w:val="center"/>
          </w:tcPr>
          <w:p w14:paraId="043E6B8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69.766.236.215</w:t>
            </w:r>
          </w:p>
        </w:tc>
        <w:tc>
          <w:tcPr>
            <w:tcW w:w="1386" w:type="dxa"/>
            <w:tcBorders>
              <w:bottom w:val="double" w:sz="4" w:space="0" w:color="C00000"/>
            </w:tcBorders>
            <w:shd w:val="clear" w:color="auto" w:fill="auto"/>
            <w:tcMar>
              <w:top w:w="40" w:type="dxa"/>
              <w:left w:w="40" w:type="dxa"/>
              <w:bottom w:w="40" w:type="dxa"/>
              <w:right w:w="40" w:type="dxa"/>
            </w:tcMar>
            <w:vAlign w:val="center"/>
          </w:tcPr>
          <w:p w14:paraId="69AF5C0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49.730.628.053</w:t>
            </w:r>
          </w:p>
        </w:tc>
        <w:tc>
          <w:tcPr>
            <w:tcW w:w="1215" w:type="dxa"/>
            <w:vMerge/>
            <w:tcBorders>
              <w:bottom w:val="double" w:sz="4" w:space="0" w:color="C00000"/>
            </w:tcBorders>
            <w:shd w:val="clear" w:color="auto" w:fill="auto"/>
            <w:tcMar>
              <w:top w:w="100" w:type="dxa"/>
              <w:left w:w="100" w:type="dxa"/>
              <w:bottom w:w="100" w:type="dxa"/>
              <w:right w:w="100" w:type="dxa"/>
            </w:tcMar>
          </w:tcPr>
          <w:p w14:paraId="07695CEC" w14:textId="77777777" w:rsidR="00EF1D5F" w:rsidRDefault="00EF1D5F" w:rsidP="003D4AD9">
            <w:pPr>
              <w:widowControl w:val="0"/>
              <w:spacing w:line="276" w:lineRule="auto"/>
              <w:jc w:val="left"/>
              <w:rPr>
                <w:rFonts w:ascii="Arial" w:eastAsia="Arial" w:hAnsi="Arial" w:cs="Arial"/>
                <w:color w:val="000000"/>
              </w:rPr>
            </w:pPr>
          </w:p>
        </w:tc>
      </w:tr>
    </w:tbl>
    <w:p w14:paraId="3702553E" w14:textId="77777777" w:rsidR="00C372F4" w:rsidRDefault="00C372F4" w:rsidP="00847F46">
      <w:pPr>
        <w:keepNext/>
        <w:keepLines/>
        <w:pBdr>
          <w:top w:val="nil"/>
          <w:left w:val="nil"/>
          <w:bottom w:val="nil"/>
          <w:right w:val="nil"/>
          <w:between w:val="nil"/>
        </w:pBdr>
        <w:spacing w:line="280" w:lineRule="exact"/>
        <w:ind w:left="850" w:hanging="425"/>
        <w:jc w:val="left"/>
        <w:rPr>
          <w:b/>
          <w:color w:val="C00000"/>
          <w:sz w:val="28"/>
          <w:szCs w:val="28"/>
        </w:rPr>
      </w:pPr>
      <w:r>
        <w:rPr>
          <w:b/>
          <w:color w:val="C00000"/>
          <w:sz w:val="28"/>
          <w:szCs w:val="28"/>
        </w:rPr>
        <w:br w:type="page"/>
      </w:r>
    </w:p>
    <w:p w14:paraId="22D00A05" w14:textId="7D2E2B50" w:rsidR="00EF1D5F" w:rsidRPr="00F63DCE" w:rsidRDefault="00EF1D5F" w:rsidP="00F63DCE">
      <w:pPr>
        <w:pStyle w:val="NIVEL4"/>
        <w:rPr>
          <w:b w:val="0"/>
          <w:sz w:val="28"/>
          <w:szCs w:val="28"/>
        </w:rPr>
      </w:pPr>
      <w:bookmarkStart w:id="366" w:name="_Toc165169790"/>
      <w:r>
        <w:rPr>
          <w:color w:val="C00000"/>
        </w:rPr>
        <w:lastRenderedPageBreak/>
        <w:t xml:space="preserve">Programa 25: </w:t>
      </w:r>
      <w:r>
        <w:t xml:space="preserve">Aumento de la resiliencia al cambio climático y </w:t>
      </w:r>
      <w:r>
        <w:rPr>
          <w:sz w:val="28"/>
          <w:szCs w:val="28"/>
        </w:rPr>
        <w:t>reducción de la vulnerabilidad</w:t>
      </w:r>
      <w:bookmarkEnd w:id="366"/>
    </w:p>
    <w:p w14:paraId="672095AE" w14:textId="77777777" w:rsidR="00F63DCE" w:rsidRDefault="00F63DCE" w:rsidP="00F63DCE">
      <w:pPr>
        <w:keepNext/>
        <w:keepLines/>
        <w:pBdr>
          <w:top w:val="nil"/>
          <w:left w:val="nil"/>
          <w:bottom w:val="nil"/>
          <w:right w:val="nil"/>
          <w:between w:val="nil"/>
        </w:pBdr>
        <w:spacing w:line="340" w:lineRule="auto"/>
        <w:ind w:left="425"/>
        <w:jc w:val="left"/>
        <w:rPr>
          <w:b/>
          <w:color w:val="C00000"/>
          <w:sz w:val="28"/>
          <w:szCs w:val="28"/>
        </w:rPr>
      </w:pPr>
    </w:p>
    <w:p w14:paraId="221D24BB" w14:textId="1D97E45D" w:rsidR="00EF1D5F" w:rsidRPr="00F63DCE" w:rsidRDefault="00EF1D5F" w:rsidP="00037FF9">
      <w:pPr>
        <w:keepNext/>
        <w:keepLines/>
        <w:pBdr>
          <w:top w:val="nil"/>
          <w:left w:val="nil"/>
          <w:bottom w:val="nil"/>
          <w:right w:val="nil"/>
          <w:between w:val="nil"/>
        </w:pBdr>
        <w:spacing w:line="340" w:lineRule="auto"/>
        <w:ind w:firstLine="708"/>
        <w:jc w:val="left"/>
        <w:rPr>
          <w:b/>
          <w:sz w:val="24"/>
        </w:rPr>
        <w:sectPr w:rsidR="00EF1D5F" w:rsidRPr="00F63DCE" w:rsidSect="00F7078E">
          <w:type w:val="continuous"/>
          <w:pgSz w:w="12240" w:h="15840"/>
          <w:pgMar w:top="2262" w:right="1440" w:bottom="1440" w:left="1440" w:header="709" w:footer="709" w:gutter="0"/>
          <w:cols w:space="720"/>
        </w:sectPr>
      </w:pPr>
      <w:r w:rsidRPr="00F63DCE">
        <w:rPr>
          <w:b/>
          <w:sz w:val="24"/>
        </w:rPr>
        <w:t>Diagnóstico</w:t>
      </w:r>
    </w:p>
    <w:p w14:paraId="5316D547" w14:textId="77777777" w:rsidR="00EF1D5F" w:rsidRDefault="00EF1D5F">
      <w:r>
        <w:t>Bogotá es la segunda ciudad del país con mayor vulnerabilidad al cambio climático. La capital y la región circundante se han visto afectadas por el cambio climático, manifestado en eventos climáticos atípicos como inundaciones más intensas y frecuentes, movimientos en masa en áreas de riesgo no mitigable, incendios forestales, heladas en las áreas rurales, islas de calor urbanas y avenidas torrenciales, situación que ha puesto a prueba nuestro sistema distrital de emergencias.</w:t>
      </w:r>
    </w:p>
    <w:p w14:paraId="2E00D93D" w14:textId="77777777" w:rsidR="00EF1D5F" w:rsidRDefault="00EF1D5F"/>
    <w:p w14:paraId="719AC7D5" w14:textId="77777777" w:rsidR="00EF1D5F" w:rsidRDefault="00EF1D5F">
      <w:r>
        <w:t>Los cambios en los niveles de pluviosidad afectan directamente a los principales componentes del sistema de abastecimiento hídrico de Bogotá y la región circundante centrado en los páramos, pero con especial atención el de Chingaza, que estando a 40 km al oriente de Bogotá, aporta cerca del 71 % del agua que se consume en la ciudad. Así mismo, el aumento de la temperatura podría ocasionar pérdidas importantes de biodiversidad y disminución de agua en los suelos.</w:t>
      </w:r>
    </w:p>
    <w:p w14:paraId="59F12BF1" w14:textId="77777777" w:rsidR="00EF1D5F" w:rsidRDefault="00EF1D5F"/>
    <w:p w14:paraId="142F963E" w14:textId="77777777" w:rsidR="00EF1D5F" w:rsidRDefault="00EF1D5F">
      <w:r>
        <w:t>De acuerdo con la información del IDEAM (2017), las proyecciones de temperatura media y precipitaciones para los años 2070-2100 indican que el territorio colombiano aumentaría sus temperaturas entre 1 y 4 grados, y se generaría una variación significativa (entre el 15 y el 30 %) en sus precipitaciones. Los ecosistemas más vulnerables a estos efectos serían los de alta montaña, los páramos.</w:t>
      </w:r>
    </w:p>
    <w:p w14:paraId="00A38C43" w14:textId="77777777" w:rsidR="00EF1D5F" w:rsidRDefault="00EF1D5F"/>
    <w:p w14:paraId="1D48A19C" w14:textId="77777777" w:rsidR="00EF1D5F" w:rsidRDefault="00EF1D5F">
      <w:r>
        <w:t xml:space="preserve">Estos cambios tienen efectos diversos en Bogotá. De acuerdo con el Índice de Riesgo para Adaptación ante Escenarios de Cambio Climático (IRC), los sectores del sur de Bogotá resultan ser los más vulnerables (vulnerabilidad alta </w:t>
      </w:r>
      <w:r>
        <w:t>y muy alta), particularmente las localidades de Usme, Ciudad Bolívar y San Cristóbal, junto con los Cerros Orientales, la cuenca del Tunjuelo y Sumapaz. Además, se espera que las temperaturas en Bogotá aumenten en 0,25 °C en las áreas urbanas y 0,65 °C en las áreas rurales, lo que significa un aumento en la probabilidad de incendios en las localidades de Usme, Ciudad Bolívar, San Cristóbal y Rafael Uribe; y que el porcentaje de lluvias aumente en un 35 % en los Cerros Orientales y disminuya hasta 15 % en Sumapaz.</w:t>
      </w:r>
    </w:p>
    <w:p w14:paraId="066CAB27" w14:textId="77777777" w:rsidR="00EF1D5F" w:rsidRDefault="00EF1D5F"/>
    <w:p w14:paraId="11EEAF1B" w14:textId="77777777" w:rsidR="00EF1D5F" w:rsidRDefault="00EF1D5F">
      <w:r>
        <w:t>Las amenazas identificadas entre 1999 y 2022 presentaron afectaciones por incendios forestales en 139,66 ha y 3.024 personas afectadas por inundación y deslizamientos (Observatorio Ambiental SDA, 2023). Así mismo, las localidades de Puente Aranda, Los Mártires, Kennedy, Engativá y Fontibón son las áreas con mayor índice de riesgo climáticos por islas de calor urbanas.</w:t>
      </w:r>
    </w:p>
    <w:p w14:paraId="0CC055EC" w14:textId="77777777" w:rsidR="00EF1D5F" w:rsidRDefault="00EF1D5F"/>
    <w:p w14:paraId="49ACF5EB" w14:textId="77777777" w:rsidR="00EF1D5F" w:rsidRDefault="00EF1D5F">
      <w:r>
        <w:t>Ante la vulnerabilidad de la ciudad frente a estos fenómenos, es de resaltar su capacidad de respuesta para atender emergencias. Entre el 1 de enero de 2020 y el 31 de julio de 2023, el tiempo promedio de respuesta para los incidentes, incendios, materiales peligrosos, explosiones y rescates (IMER) fue de 8 minutos y 55 segundos. Entre 2020 y 2023, el tiempo de respuesta aumentó en 22 segundos. Sin embargo, entre 2022 y 2023 el aumento correspondió a 10 segundos. Se debe tener en cuenta que entre 2020 y 2021 se presentaron comportamientos relativamente atípicos debido a las restricciones por covid-19.</w:t>
      </w:r>
    </w:p>
    <w:p w14:paraId="0B631CE4" w14:textId="77777777" w:rsidR="00EF1D5F" w:rsidRDefault="00EF1D5F"/>
    <w:p w14:paraId="745810D2" w14:textId="77777777" w:rsidR="00EF1D5F" w:rsidRDefault="00EF1D5F"/>
    <w:p w14:paraId="718A38C1" w14:textId="77777777" w:rsidR="00EF1D5F" w:rsidRDefault="00EF1D5F">
      <w:pPr>
        <w:sectPr w:rsidR="00EF1D5F" w:rsidSect="00F7078E">
          <w:type w:val="continuous"/>
          <w:pgSz w:w="12240" w:h="15840"/>
          <w:pgMar w:top="2262" w:right="1440" w:bottom="1440" w:left="1440" w:header="709" w:footer="709" w:gutter="0"/>
          <w:cols w:num="2" w:space="720" w:equalWidth="0">
            <w:col w:w="4396" w:space="567"/>
            <w:col w:w="4396" w:space="0"/>
          </w:cols>
        </w:sectPr>
      </w:pPr>
    </w:p>
    <w:p w14:paraId="5EB036AD"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292E80B6"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780C953D" w14:textId="59140928" w:rsidR="00EF1D5F" w:rsidRPr="00F63DCE" w:rsidRDefault="00EF1D5F" w:rsidP="00F63DCE">
      <w:pPr>
        <w:pStyle w:val="Descripcin"/>
        <w:jc w:val="center"/>
        <w:rPr>
          <w:sz w:val="18"/>
          <w:highlight w:val="white"/>
        </w:rPr>
      </w:pPr>
      <w:bookmarkStart w:id="367" w:name="_Toc165169869"/>
      <w:r w:rsidRPr="00F63DCE">
        <w:rPr>
          <w:noProof/>
          <w:color w:val="C00000"/>
          <w:sz w:val="18"/>
        </w:rPr>
        <w:lastRenderedPageBreak/>
        <w:drawing>
          <wp:anchor distT="0" distB="0" distL="114300" distR="114300" simplePos="0" relativeHeight="251771904" behindDoc="0" locked="0" layoutInCell="1" hidden="0" allowOverlap="1" wp14:anchorId="0B18A7D5" wp14:editId="4BEB57F1">
            <wp:simplePos x="0" y="0"/>
            <wp:positionH relativeFrom="column">
              <wp:posOffset>-265332</wp:posOffset>
            </wp:positionH>
            <wp:positionV relativeFrom="paragraph">
              <wp:posOffset>93345</wp:posOffset>
            </wp:positionV>
            <wp:extent cx="6121419" cy="1799956"/>
            <wp:effectExtent l="0" t="0" r="0" b="0"/>
            <wp:wrapNone/>
            <wp:docPr id="213351600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9"/>
                    <a:srcRect/>
                    <a:stretch>
                      <a:fillRect/>
                    </a:stretch>
                  </pic:blipFill>
                  <pic:spPr>
                    <a:xfrm>
                      <a:off x="0" y="0"/>
                      <a:ext cx="6121419" cy="1799956"/>
                    </a:xfrm>
                    <a:prstGeom prst="rect">
                      <a:avLst/>
                    </a:prstGeom>
                    <a:ln/>
                  </pic:spPr>
                </pic:pic>
              </a:graphicData>
            </a:graphic>
            <wp14:sizeRelH relativeFrom="margin">
              <wp14:pctWidth>0</wp14:pctWidth>
            </wp14:sizeRelH>
            <wp14:sizeRelV relativeFrom="margin">
              <wp14:pctHeight>0</wp14:pctHeight>
            </wp14:sizeRelV>
          </wp:anchor>
        </w:drawing>
      </w:r>
      <w:r w:rsidR="00F63DCE" w:rsidRPr="00F63DCE">
        <w:rPr>
          <w:color w:val="C00000"/>
          <w:sz w:val="18"/>
        </w:rPr>
        <w:t xml:space="preserve">Gráfica </w:t>
      </w:r>
      <w:r w:rsidR="00F63DCE" w:rsidRPr="00F63DCE">
        <w:rPr>
          <w:color w:val="C00000"/>
          <w:sz w:val="18"/>
        </w:rPr>
        <w:fldChar w:fldCharType="begin"/>
      </w:r>
      <w:r w:rsidR="00F63DCE" w:rsidRPr="00F63DCE">
        <w:rPr>
          <w:color w:val="C00000"/>
          <w:sz w:val="18"/>
        </w:rPr>
        <w:instrText xml:space="preserve"> SEQ Gráfica \* ARABIC </w:instrText>
      </w:r>
      <w:r w:rsidR="00F63DCE" w:rsidRPr="00F63DCE">
        <w:rPr>
          <w:color w:val="C00000"/>
          <w:sz w:val="18"/>
        </w:rPr>
        <w:fldChar w:fldCharType="separate"/>
      </w:r>
      <w:r w:rsidR="00D01651">
        <w:rPr>
          <w:noProof/>
          <w:color w:val="C00000"/>
          <w:sz w:val="18"/>
        </w:rPr>
        <w:t>43</w:t>
      </w:r>
      <w:r w:rsidR="00F63DCE" w:rsidRPr="00F63DCE">
        <w:rPr>
          <w:color w:val="C00000"/>
          <w:sz w:val="18"/>
        </w:rPr>
        <w:fldChar w:fldCharType="end"/>
      </w:r>
      <w:r w:rsidR="00F63DCE" w:rsidRPr="00F63DCE">
        <w:rPr>
          <w:color w:val="C00000"/>
          <w:sz w:val="18"/>
        </w:rPr>
        <w:t xml:space="preserve">. </w:t>
      </w:r>
      <w:r w:rsidRPr="00F63DCE">
        <w:rPr>
          <w:sz w:val="18"/>
          <w:highlight w:val="white"/>
        </w:rPr>
        <w:t>Tiempo promedio de respuesta para IMER (2020-2023)</w:t>
      </w:r>
      <w:bookmarkEnd w:id="367"/>
    </w:p>
    <w:p w14:paraId="15C63E2C"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714BDEF2"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06B4D644"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628C94FD"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63CA725"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1FE50C3D"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311332D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891274F"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039DE21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5AF6238D"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2FBECAB7"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57396F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7E724176"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004648A1" w14:textId="77777777" w:rsidR="00EF1D5F" w:rsidRDefault="00EF1D5F">
      <w:pPr>
        <w:pBdr>
          <w:top w:val="nil"/>
          <w:left w:val="nil"/>
          <w:bottom w:val="nil"/>
          <w:right w:val="nil"/>
          <w:between w:val="nil"/>
        </w:pBdr>
        <w:spacing w:line="220" w:lineRule="auto"/>
        <w:rPr>
          <w:color w:val="C00000"/>
          <w:sz w:val="18"/>
          <w:szCs w:val="18"/>
        </w:rPr>
      </w:pPr>
    </w:p>
    <w:p w14:paraId="235CE63D" w14:textId="77777777" w:rsidR="00EF1D5F" w:rsidRDefault="00EF1D5F">
      <w:pPr>
        <w:pBdr>
          <w:top w:val="nil"/>
          <w:left w:val="nil"/>
          <w:bottom w:val="nil"/>
          <w:right w:val="nil"/>
          <w:between w:val="nil"/>
        </w:pBdr>
        <w:spacing w:line="220" w:lineRule="auto"/>
        <w:jc w:val="center"/>
        <w:rPr>
          <w:color w:val="3B3838"/>
          <w:sz w:val="18"/>
          <w:szCs w:val="18"/>
          <w:highlight w:val="white"/>
        </w:rPr>
        <w:sectPr w:rsidR="00EF1D5F" w:rsidSect="00F7078E">
          <w:type w:val="continuous"/>
          <w:pgSz w:w="12240" w:h="15840"/>
          <w:pgMar w:top="2262" w:right="1440" w:bottom="1440" w:left="1440" w:header="709" w:footer="709" w:gutter="0"/>
          <w:cols w:space="720"/>
        </w:sectPr>
      </w:pPr>
      <w:r>
        <w:rPr>
          <w:b/>
          <w:color w:val="3B3838"/>
          <w:sz w:val="18"/>
          <w:szCs w:val="18"/>
          <w:highlight w:val="white"/>
        </w:rPr>
        <w:t>Fuente:</w:t>
      </w:r>
      <w:r>
        <w:rPr>
          <w:color w:val="3B3838"/>
          <w:sz w:val="18"/>
          <w:szCs w:val="18"/>
          <w:highlight w:val="white"/>
        </w:rPr>
        <w:t xml:space="preserve"> Base de datos de incidentes atendidos con corte 31 de julio de 2023.</w:t>
      </w:r>
    </w:p>
    <w:p w14:paraId="3DF969E9" w14:textId="77777777" w:rsidR="00EF1D5F" w:rsidRDefault="00EF1D5F">
      <w:pPr>
        <w:sectPr w:rsidR="00EF1D5F" w:rsidSect="00F7078E">
          <w:type w:val="continuous"/>
          <w:pgSz w:w="12240" w:h="15840"/>
          <w:pgMar w:top="2262" w:right="1440" w:bottom="1440" w:left="1440" w:header="709" w:footer="709" w:gutter="0"/>
          <w:cols w:space="720"/>
        </w:sectPr>
      </w:pPr>
    </w:p>
    <w:p w14:paraId="2460D6E7" w14:textId="77777777" w:rsidR="00EF1D5F" w:rsidRDefault="00EF1D5F">
      <w:r>
        <w:t>En el 2023 se prestaron 38.514 servicios de atención a emergencias, con cerca de 2.000 servicios de aumento anual desde el año 2021. Un incremento anual del 4,7 % que contrasta con las proyecciones poblacionales para Bogotá, que según el DANE es del 1,2 % anual para el mismo periodo.</w:t>
      </w:r>
    </w:p>
    <w:p w14:paraId="32212BCB" w14:textId="77777777" w:rsidR="00EF1D5F" w:rsidRDefault="00EF1D5F"/>
    <w:p w14:paraId="3D99D659" w14:textId="77777777" w:rsidR="00EF1D5F" w:rsidRDefault="00EF1D5F">
      <w:r>
        <w:t>El reto no solo está en atención de emergencias, sino también en adoptar acciones o medidas de mitigación y disminución de las condiciones de vulnerabilidad del territorio, donde uno de los ejes de especial protección es el río Bogotá, y la conservación de los ecosistemas y sus servicios. Al respecto, la Sentencia proferida el 28 de marzo de 2014 por el Consejo de Estado y su aclaración del 17 de julio de 2014, involucra un total de 47 entes territoriales, de los cuales 25 se encuentran localizados de forma directa sobre el cuerpo hídrico —incluyendo al Distrito Capital—, cuyos vertimientos directos son los que generan el mayor impacto sobre las condiciones ambientales.</w:t>
      </w:r>
    </w:p>
    <w:p w14:paraId="51C0F8BC" w14:textId="77777777" w:rsidR="00EF1D5F" w:rsidRDefault="00EF1D5F"/>
    <w:p w14:paraId="73132D6B" w14:textId="77777777" w:rsidR="00EF1D5F" w:rsidRDefault="00EF1D5F">
      <w:r>
        <w:t xml:space="preserve">Para estos actores, la Sentencia establece obligaciones como: la adopción de los planes de manejo ambiental de las microcuencas aferentes al río Bogotá, la revisión y/o ajuste de los Planes Maestros de Acueducto y Alcantarillado (PMAA), la revisión y/o ajuste de los Planes de Saneamiento y Manejo de Vertimientos (PSMV), la interceptación de todos los vertimientos </w:t>
      </w:r>
      <w:r>
        <w:t>directos a cuerpos de agua y su conducción a la planta de tratamiento de aguas residuales y la formulación y elaboración del Plan de Gestión Integral de Residuos Sólidos (PGIRS), la cual debe realizarse bajo un esquema de participación con los involucrados en la gestión, manejo y disposición de los residuos sólidos. El Distrito Capital avanza en estas tareas, no obstante, aún resta continuar la implementación de instrumentos de planificación y la construcción de la Planta de Tratamiento de Aguas Residuales Canoas, la cual permitirá llevar a cabo el tratamiento del 70 % faltante de las aguas residuales producidas en el Distrito Capital.</w:t>
      </w:r>
    </w:p>
    <w:p w14:paraId="41C25C01" w14:textId="77777777" w:rsidR="00EF1D5F" w:rsidRDefault="00EF1D5F"/>
    <w:p w14:paraId="58506F33" w14:textId="77777777" w:rsidR="00EF1D5F" w:rsidRDefault="00EF1D5F">
      <w:r>
        <w:t xml:space="preserve">De la mano del manejo que se le da al río, está la prestación del servicio público domiciliario de aseo y toda la actividad relacionada con el manejo de los desechos sólidos, incluidos residuos de construcción, demolición, especiales y peligrosos, que representa una de las principales fuentes de emisión de GEI y contaminación ambiental de la ciudad. De la misma manera, la acumulación de desechos sólidos en espacios públicos y cuerpos de agua produce un impacto visual negativo y altera el paisaje urbano. En este sentido, la prestación de este servicio público también representa una gran oportunidad para migrar del modelo lineal actual (recolección-transporte-disposición final) a un modelo circular que integre actividades de </w:t>
      </w:r>
      <w:r>
        <w:lastRenderedPageBreak/>
        <w:t>aprovechamiento, tratamiento y valorización de los residuos.</w:t>
      </w:r>
    </w:p>
    <w:p w14:paraId="20C6D364" w14:textId="77777777" w:rsidR="00EF1D5F" w:rsidRDefault="00EF1D5F"/>
    <w:p w14:paraId="06A87155" w14:textId="77777777" w:rsidR="00EF1D5F" w:rsidRDefault="00EF1D5F">
      <w:r>
        <w:t>En relación con la disposición final de los residuos sólidos de la ciudad en el relleno sanitario, se tiene proyectada una vida útil hasta el 2026. En el Parque de Innovación Doña Juana (PIDJ), localizado en Ciudad Bolívar, anualmente se transportan y depositan más de 2 millones de toneladas de residuos (PGIRS, 2023), cerca de 6.000 ton/día de desechos para ser dispuestos en tecnología de enterramiento de residuos. Una cantidad significativa de estos podría ser aprovechada, reutilizada o procesada en origen. De igual forma, más del 50 % de los residuos dispuestos en Doña Juana corresponden a materia orgánica, que podría ser objeto de tratamiento y valorización, mediante la aplicación de diversas alternativas tecnológicas.</w:t>
      </w:r>
    </w:p>
    <w:p w14:paraId="071080BB" w14:textId="77777777" w:rsidR="00EF1D5F" w:rsidRDefault="00EF1D5F"/>
    <w:p w14:paraId="1F2737EA" w14:textId="77777777" w:rsidR="00EF1D5F" w:rsidRDefault="00EF1D5F">
      <w:r>
        <w:t xml:space="preserve">Es necesario promover un mejor uso de los residuos. Para esto, la población recicladora juega un papel importante, pero su vulnerabilidad laboral y social afecta su impacto. La Unidad Administrativa Especial de Servicios Públicos (UAESP) ha realizado esfuerzos significativos, pero dispersos, para implementar acciones afirmativas en beneficio de los recicladores, incluyendo un registro y caracterización detallada de las organizaciones y los recicladores. Según </w:t>
      </w:r>
      <w:r>
        <w:t>datos actualizados a julio de 2023, el Registro Único de Recicladores de Oficio (RURO) contaba con 25.602 registros activos, de los cuales el 42,44 % corresponden a mujeres. Además, 286 recicladores registrados tienen alguna discapacidad y cerca del 40 % no disponen de instrucción elemental. Las localidades con mayor concentración de población recicladora son Kennedy, Ciudad Bolívar y Bosa, con 4.998, 3.129 y 2.644 registros, respectivamente. A la fecha, no se cuenta con información certera sobre el número de asociados a cada organización y se encuentra en verificación la conformación de asociaciones que recientemente han sido registradas y su consistencia con la comunidad que tradicionalmente se ha dedicado a esta actividad.</w:t>
      </w:r>
    </w:p>
    <w:p w14:paraId="3E98C567" w14:textId="77777777" w:rsidR="00EF1D5F" w:rsidRDefault="00EF1D5F"/>
    <w:p w14:paraId="05D9DF81" w14:textId="77777777" w:rsidR="00EF1D5F" w:rsidRDefault="00EF1D5F">
      <w:r>
        <w:t>En este contexto, se requiere el fortalecimiento de las organizaciones de recicladores de oficio y especial atención a la población recicladora con enfoque diferencial para la superación de sus condiciones de vulnerabilidad, mediante su articulación con las instituciones que intervienen en el esquema de aseo, acuerdos de cooperación público-privados y el desarrollo de emprendimientos colectivos tales como alianzas público-populares que, en su conjunto, contribuyan a la inclusión de la población recicladora.</w:t>
      </w:r>
    </w:p>
    <w:p w14:paraId="12601E99" w14:textId="77777777" w:rsidR="00EF1D5F" w:rsidRDefault="00EF1D5F"/>
    <w:p w14:paraId="0C82990B" w14:textId="77777777" w:rsidR="00EF1D5F" w:rsidRDefault="00EF1D5F">
      <w:pPr>
        <w:sectPr w:rsidR="00EF1D5F" w:rsidSect="00F7078E">
          <w:type w:val="continuous"/>
          <w:pgSz w:w="12240" w:h="15840"/>
          <w:pgMar w:top="2262" w:right="1440" w:bottom="1440" w:left="1440" w:header="709" w:footer="709" w:gutter="0"/>
          <w:cols w:num="2" w:space="720" w:equalWidth="0">
            <w:col w:w="4396" w:space="567"/>
            <w:col w:w="4396" w:space="0"/>
          </w:cols>
        </w:sectPr>
      </w:pPr>
    </w:p>
    <w:p w14:paraId="0935FD16" w14:textId="77777777" w:rsidR="00EF1D5F" w:rsidRDefault="00EF1D5F"/>
    <w:p w14:paraId="773AF068" w14:textId="3B6AB5DC" w:rsidR="00EF1D5F" w:rsidRPr="00037FF9" w:rsidRDefault="00EF1D5F" w:rsidP="00037FF9">
      <w:pPr>
        <w:keepNext/>
        <w:keepLines/>
        <w:pBdr>
          <w:top w:val="nil"/>
          <w:left w:val="nil"/>
          <w:bottom w:val="nil"/>
          <w:right w:val="nil"/>
          <w:between w:val="nil"/>
        </w:pBdr>
        <w:spacing w:line="340" w:lineRule="auto"/>
        <w:ind w:firstLine="708"/>
        <w:jc w:val="left"/>
        <w:rPr>
          <w:b/>
          <w:sz w:val="24"/>
        </w:rPr>
        <w:sectPr w:rsidR="00EF1D5F" w:rsidRPr="00037FF9" w:rsidSect="00F7078E">
          <w:type w:val="continuous"/>
          <w:pgSz w:w="12240" w:h="15840"/>
          <w:pgMar w:top="2262" w:right="1440" w:bottom="1440" w:left="1440" w:header="709" w:footer="709" w:gutter="0"/>
          <w:cols w:space="720"/>
        </w:sectPr>
      </w:pPr>
      <w:r w:rsidRPr="00037FF9">
        <w:rPr>
          <w:b/>
          <w:sz w:val="24"/>
        </w:rPr>
        <w:t>Descripción del programa</w:t>
      </w:r>
    </w:p>
    <w:p w14:paraId="2B25C78F" w14:textId="77777777" w:rsidR="00EF1D5F" w:rsidRDefault="00EF1D5F">
      <w:r>
        <w:t>El reto del programa es reducir la vulnerabilidad a los efectos del cambio climático, mediante la conservación de la biodiversidad con enfoque regional, la adopción de medidas de acción climática en la ruralidad y las áreas urbanas, así como estrategias para la atención de la población vulnerable a la variabilidad climática como migrantes y desplazados climáticos. Bogotá pretende posicionarse como líder nacional en el desarrollo de capacidades de prevención, preparación y respuesta (PPR), colaborando con personas expertas en gestión del riesgo de desastres, salud pública y epidemiología.</w:t>
      </w:r>
    </w:p>
    <w:p w14:paraId="63658380" w14:textId="77777777" w:rsidR="00EF1D5F" w:rsidRDefault="00EF1D5F"/>
    <w:p w14:paraId="4872BB70" w14:textId="77777777" w:rsidR="00EF1D5F" w:rsidRDefault="00EF1D5F">
      <w:r>
        <w:t>En cuanto a la adaptación, se priorizará la restauración y el mantenimiento de áreas de la Estructura Ecológica Principal y Áreas de Importancia Estratégica dentro de las zonas urbana y rural, incluyendo la consolidación de Bosques Urbanos, conectores ecosistémicos, ordenamiento ambiental de fincas, y se desarrollarán proyectos de soluciones basadas en la naturaleza (SbN), entre otros, así como Pago por Servicios Ambientales (PSA) mediante instrumentos económicos y mecanismos financieros con énfasis en pagos por resultados.</w:t>
      </w:r>
    </w:p>
    <w:p w14:paraId="748D8DC7" w14:textId="77777777" w:rsidR="00EF1D5F" w:rsidRDefault="00EF1D5F"/>
    <w:p w14:paraId="7585002E" w14:textId="77777777" w:rsidR="00EF1D5F" w:rsidRDefault="00EF1D5F">
      <w:r>
        <w:lastRenderedPageBreak/>
        <w:t>Así mismo, se implementarán programas de investigación de los ecosistemas, producción de material vegetal diverso, gestión y consolidación de las coberturas vegetales urbanas y rurales (plantación y mantenimiento de árboles), gestión agropecuaria y del suelo rural, con fines de conservación, restablecimiento y sostenibilidad ambiental del territorio, incluyendo proyectos con criterios de ecourbanismo, producción y consumo sostenible. Igualmente, para recobrar el valor ecológico y funcional de humedales, quebradas, ríos y cuencas abastecedoras.</w:t>
      </w:r>
    </w:p>
    <w:p w14:paraId="0A64CC57" w14:textId="77777777" w:rsidR="00EF1D5F" w:rsidRDefault="00EF1D5F"/>
    <w:p w14:paraId="57FFE12C" w14:textId="77777777" w:rsidR="00EF1D5F" w:rsidRDefault="00EF1D5F">
      <w:r>
        <w:t>Se incluyen aquí acciones de manejo y protección de áreas productoras de agua en el Distrito Capital y en la región, a través de la adquisición, adecuación, recuperación y/o restauración de suelo de humedales, quebradas, ríos y cuencas abastecedoras en el área de cobertura de la EAAB.</w:t>
      </w:r>
    </w:p>
    <w:p w14:paraId="0E6E3E56" w14:textId="77777777" w:rsidR="00EF1D5F" w:rsidRDefault="00EF1D5F"/>
    <w:p w14:paraId="365A2B8E" w14:textId="77777777" w:rsidR="00EF1D5F" w:rsidRDefault="00EF1D5F">
      <w:r>
        <w:t>Con el fin de disminuir la vulnerabilidad en las áreas de resiliencia climática, se incorporarán criterios de adaptación al cambio climático en el ordenamiento territorial de la ciudad en sus planes maestros, de manera que las decisiones de ordenamiento del suelo tomen en cuenta los escenarios de riesgo proyectados, disminuyan las condiciones de vulnerabilidad del territorio y permitan que las intervenciones públicas y privadas sobre el mismo se lleven a cabo de manera acorde con las condiciones cambiantes del ambiente.</w:t>
      </w:r>
    </w:p>
    <w:p w14:paraId="3C45B6E9" w14:textId="77777777" w:rsidR="00EF1D5F" w:rsidRDefault="00EF1D5F"/>
    <w:p w14:paraId="5986D7B1" w14:textId="77777777" w:rsidR="00EF1D5F" w:rsidRDefault="00EF1D5F">
      <w:r>
        <w:t xml:space="preserve">Se realizarán procesos de recepción y administración de predios en áreas de riesgo no mitigable, en los cuales se desarrollarán acciones para contribuir a la preservación de la vida humana y la recuperación de la integridad del territorio. Como actividades complementarias, se implementarán medidas para prevenir la contaminación y la degradación ambiental en diversos sectores clave, se promoverá la educación ambiental y la participación ciudadana en la toma de decisiones informadas, la implementación de ordenamiento territorial para construcción de la </w:t>
      </w:r>
      <w:r>
        <w:t>resiliencia con un enfoque diferencial y de género en todas las acciones. Se tendrá en cuenta el liderazgo y el conocimiento de las comunidades en el cuidado y conservación de la biodiversidad.</w:t>
      </w:r>
    </w:p>
    <w:p w14:paraId="250D9358" w14:textId="77777777" w:rsidR="00EF1D5F" w:rsidRDefault="00EF1D5F"/>
    <w:p w14:paraId="14DA5BFB" w14:textId="77777777" w:rsidR="00EF1D5F" w:rsidRDefault="00EF1D5F">
      <w:r>
        <w:t>De igual forma, se avanzará en las acciones que permitan recuperar el río Bogotá y dar así cumplimiento a la Sentencia emitida por el Consejo de Estado. Al respecto, es importante anotar que, a partir de lo establecido en el Plan de Ordenamiento Territorial, mediante el Decreto Distrital 615 de 2023, el Distrito Capital, adoptó el Plan Maestro del Hábitat y Servicios Públicos, el cual establece una serie de programas y proyectos relacionados con el cumplimiento de la Sentencia del río Bogotá, y para el corto plazo se convierte en directriz de plan de acción para el presente Plan Distrital de Desarrollo. El avance en la construcción de la Planta de Tratamiento de Aguas Residuales Canoas con la infraestructura complementaria permite disminuir el impacto sobre el río Bogotá y de los vertimientos que se producen en el Distrito Capital.</w:t>
      </w:r>
    </w:p>
    <w:p w14:paraId="18076AD4" w14:textId="77777777" w:rsidR="00EF1D5F" w:rsidRDefault="00EF1D5F"/>
    <w:p w14:paraId="6F99F4CB" w14:textId="77777777" w:rsidR="00EF1D5F" w:rsidRDefault="00EF1D5F">
      <w:r>
        <w:t>A la par de este tipo de intervenciones, se fortalecerá la implementación de soluciones ambientalmente sostenibles en el sistema de alcantarillado de la ciudad, mediante el uso de Sistemas Urbanos de Drenaje Sostenible que permitan reducir la presión sobre las plantas de tratamiento de aguas residuales y hacer un uso más eficiente de las aguas lluvias en las actividades de la ciudad.</w:t>
      </w:r>
    </w:p>
    <w:p w14:paraId="00510F47" w14:textId="77777777" w:rsidR="00EF1D5F" w:rsidRDefault="00EF1D5F"/>
    <w:p w14:paraId="40C3D043" w14:textId="77777777" w:rsidR="00EF1D5F" w:rsidRDefault="00EF1D5F">
      <w:r>
        <w:t xml:space="preserve">Respecto a la gestión integral de residuos sólidos, uno de los principales retos de la administración, que debe ser abordado de manera colaborativa entre diferentes actores de la ciudad, la economía circular, en articulación con la Política Distrital de Economía Circular, será el modelo que adoptará la Alcaldía de Bogotá para estimular la reducción de residuos por disponer en rellenos sanitarios, buscando el uso eficiente y la reutilización de los recursos. Nuestra primera acción será la implementación de un plan de </w:t>
      </w:r>
      <w:r>
        <w:lastRenderedPageBreak/>
        <w:t>choque para la estabilización del servicio público de aseo en las cinco áreas de servicio exclusivo en Bogotá.</w:t>
      </w:r>
    </w:p>
    <w:p w14:paraId="33198065" w14:textId="77777777" w:rsidR="00EF1D5F" w:rsidRDefault="00EF1D5F"/>
    <w:p w14:paraId="745F73B0" w14:textId="77777777" w:rsidR="00EF1D5F" w:rsidRDefault="00EF1D5F">
      <w:r>
        <w:t xml:space="preserve">Por lo tanto, se requiere construir un nuevo esquema de aseo para Bogotá una vez culminen las concesiones vigentes desde el 2018. Los programas y proyectos asociados a este nuevo esquema fomentarán una nueva cultura de </w:t>
      </w:r>
      <w:r w:rsidRPr="008E22F2">
        <w:rPr>
          <w:i/>
          <w:iCs/>
        </w:rPr>
        <w:t>“no basura”,</w:t>
      </w:r>
      <w:r>
        <w:t xml:space="preserve"> recuperando el concepto de área limpia y procurando el beneficio integral de los usuarios, de las personas recicladoras y sus organizaciones, impulsando su inclusión e inserción en la cadena de valor del aprovechamiento de residuos sólidos, en línea con las directrices de la Corte Constitucional sobre la inclusión social de estos últimos.</w:t>
      </w:r>
    </w:p>
    <w:p w14:paraId="0CE60E58" w14:textId="77777777" w:rsidR="00EF1D5F" w:rsidRDefault="00EF1D5F"/>
    <w:p w14:paraId="70C0EC8E" w14:textId="40132854" w:rsidR="00EF1D5F" w:rsidRDefault="00EF1D5F">
      <w:r>
        <w:t>La complejidad cultural y técnica del esquema actual del servicio de público domiciliario de aseo de Bogotá exige que el Distrito Capital aument</w:t>
      </w:r>
      <w:r w:rsidR="00037FF9">
        <w:t>e</w:t>
      </w:r>
      <w:r>
        <w:t xml:space="preserve"> los porcentajes de aprovechamiento y tratamiento de residuos, reduciendo así el transporte improductivo de largo trayecto, el enterramiento en Doña Juana y mitigando los efectos ambientales nocivos ya mencionados.</w:t>
      </w:r>
    </w:p>
    <w:p w14:paraId="343FF255" w14:textId="77777777" w:rsidR="00EF1D5F" w:rsidRDefault="00EF1D5F"/>
    <w:p w14:paraId="14406C57" w14:textId="77777777" w:rsidR="00EF1D5F" w:rsidRDefault="00EF1D5F">
      <w:r>
        <w:t>Así mismo, implica que el nuevo esquema de aseo impulse cambios en el comportamiento de los usuarios, promoviendo la separación en la fuente y la recolección selectiva, de manera tal que los recicladores y las recicladoras de oficio que han atendido tradicionalmente este servicio, y sus organizaciones, puedan acceder a los materiales inorgánicos mejorando las condiciones de su labor, para hacerla más digna y eficiente.</w:t>
      </w:r>
    </w:p>
    <w:p w14:paraId="068907B2" w14:textId="77777777" w:rsidR="00EF1D5F" w:rsidRDefault="00EF1D5F"/>
    <w:p w14:paraId="51F8F315" w14:textId="77777777" w:rsidR="00EF1D5F" w:rsidRDefault="00EF1D5F">
      <w:r>
        <w:t>Este cambio de paradigma incluye la incorporación de capacidades locales y desarrollos tecnológicos, en consonancia con la regulación de la Comisión de Regulación de Agua Potable y Saneamiento Básico y los estudios técnicos en curso para actualizar el marco tarifario e implementar el concepto de Basura Cero previsto en el Plan Nacional de Desarrollo 2022-2026.</w:t>
      </w:r>
    </w:p>
    <w:p w14:paraId="44E2988D" w14:textId="77777777" w:rsidR="00EF1D5F" w:rsidRDefault="00EF1D5F">
      <w:r>
        <w:t>Entre las capacidades locales que se deben destacar está el trabajo de los recicladores de oficio, quienes durante décadas han desempeñado una labor incansable en la recuperación de materiales y su reincorporación al ciclo productivo, con procesos artesanales y, a menudo, con escaso reconocimiento económico y social.</w:t>
      </w:r>
    </w:p>
    <w:p w14:paraId="440328CC" w14:textId="77777777" w:rsidR="00EF1D5F" w:rsidRDefault="00EF1D5F"/>
    <w:p w14:paraId="4840F034" w14:textId="77777777" w:rsidR="00EF1D5F" w:rsidRDefault="00EF1D5F">
      <w:r>
        <w:t>En efecto, se hace necesario fortalecer la capacidad operativa de las organizaciones de recicladores y recicladoras y mejorar sus condiciones laborales a través de una estrategia que incluya las siguientes acciones: modernizar los sistemas y medios de recolección y transporte, la infraestructura de clasificación y aprovechamiento, así como promover la participación de las personas recicladoras en los mercados de materiales recuperados, de manera tal que se regulen y sostengan los precios de materiales recuperados, subproductos y productos procesados garantizando su permanencia en el oficio y el acceso cierto y seguro a materiales aprovechables.</w:t>
      </w:r>
    </w:p>
    <w:p w14:paraId="7E4BC969" w14:textId="77777777" w:rsidR="00EF1D5F" w:rsidRDefault="00EF1D5F"/>
    <w:p w14:paraId="3C7ACF22" w14:textId="77777777" w:rsidR="00EF1D5F" w:rsidRDefault="00EF1D5F">
      <w:r>
        <w:t>La dignificación de la labor del reciclador implica asegurar condiciones mínimas para que puedan realizar su trabajo diario, por lo que la formalización laboral y la implementación de programas que promuevan un transporte digno y seguro de los materiales para su aprovechamiento son fundamentales. La dignificación de esta exigirá aunar esfuerzos entre los Gobiernos distrital y nacional para buscar la estructuración de un régimen especial que aporte a mejorar el bienestar de la población recicladora.</w:t>
      </w:r>
    </w:p>
    <w:p w14:paraId="4E692D48" w14:textId="77777777" w:rsidR="00EF1D5F" w:rsidRDefault="00EF1D5F"/>
    <w:p w14:paraId="33FB0C82" w14:textId="77777777" w:rsidR="00EF1D5F" w:rsidRDefault="00EF1D5F">
      <w:r>
        <w:t xml:space="preserve">Así mismo, se adelantarán acciones para el uso de medios de transporte más eficientes, seguros y dignos que reemplacen los vehículos de tracción humana que actualmente constituyen el medio de trabajo de la mayoría de las personas recicladoras, y se propenderá por una gestión interinstitucional que permita que los recursos, los beneficios y los incentivos disponibles les lleguen de manera equitativa. Para lo anterior, se implementará un sistema de verificación del cumplimiento de las normas establecidas </w:t>
      </w:r>
      <w:r>
        <w:lastRenderedPageBreak/>
        <w:t>para el ejercicio del oficio del reciclador y de sus organizaciones, garantizando así el registro adecuado de la población recicladora para la toma decisiones y la implementación de acciones afirmativas a su favor.</w:t>
      </w:r>
    </w:p>
    <w:p w14:paraId="411B998A" w14:textId="77777777" w:rsidR="00EF1D5F" w:rsidRDefault="00EF1D5F"/>
    <w:p w14:paraId="5ADE1374" w14:textId="77777777" w:rsidR="00EF1D5F" w:rsidRDefault="00EF1D5F">
      <w:r>
        <w:t>En el proceso se promoverá también la mejora tecnológica en las Estaciones de Clasificación de Aprovechamiento (ECA) y la gestión para su reconocimiento progresivo en la normativa urbana, mediante la participación de la Secretaría Distrital de Planeación y las curadurías urbanas.</w:t>
      </w:r>
    </w:p>
    <w:p w14:paraId="149D3E8E" w14:textId="77777777" w:rsidR="00EF1D5F" w:rsidRDefault="00EF1D5F"/>
    <w:p w14:paraId="57274D32" w14:textId="3EDEFF34" w:rsidR="00EF1D5F" w:rsidRDefault="00EF1D5F">
      <w:r>
        <w:t xml:space="preserve">En este contexto, es fundamental fortalecer la participación de las organizaciones de </w:t>
      </w:r>
      <w:r>
        <w:t>recicladores y recicladoras de oficio en las decisiones que les conciernen, por lo que se propone la consolidación de una mesa permanente distrital de reciclaje, a través de la cual se trabaje con las entidades distritales para la aplicación de acciones afirmativas reales que garanticen su permanencia en su oficio y la definición de normas y procedimientos administrativos que favorezcan su actividad (particularmente en el programa de aprovechamiento del Plan de Gestión Integral de Residuos Sólidos [PGIRS] y la definición del nuevo esquema de aseo).</w:t>
      </w:r>
    </w:p>
    <w:p w14:paraId="19C95248" w14:textId="77777777" w:rsidR="00EF1D5F" w:rsidRDefault="00EF1D5F"/>
    <w:p w14:paraId="5B6642D6" w14:textId="77777777" w:rsidR="00EF1D5F" w:rsidRDefault="00EF1D5F"/>
    <w:p w14:paraId="7D1EEBCC"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2648EC12" w14:textId="77777777" w:rsidR="00EF1D5F" w:rsidRDefault="00EF1D5F" w:rsidP="000124BE">
      <w:pPr>
        <w:pBdr>
          <w:top w:val="nil"/>
          <w:left w:val="nil"/>
          <w:bottom w:val="nil"/>
          <w:right w:val="nil"/>
          <w:between w:val="nil"/>
        </w:pBdr>
        <w:spacing w:line="220" w:lineRule="auto"/>
        <w:rPr>
          <w:b/>
          <w:color w:val="C00000"/>
          <w:sz w:val="18"/>
          <w:szCs w:val="18"/>
        </w:rPr>
      </w:pPr>
    </w:p>
    <w:p w14:paraId="10896D28" w14:textId="77777777" w:rsidR="00C372F4" w:rsidRDefault="00C372F4" w:rsidP="000124BE">
      <w:pPr>
        <w:pBdr>
          <w:top w:val="nil"/>
          <w:left w:val="nil"/>
          <w:bottom w:val="nil"/>
          <w:right w:val="nil"/>
          <w:between w:val="nil"/>
        </w:pBdr>
        <w:spacing w:line="220" w:lineRule="auto"/>
        <w:jc w:val="center"/>
        <w:rPr>
          <w:b/>
          <w:color w:val="C00000"/>
          <w:sz w:val="18"/>
          <w:szCs w:val="18"/>
        </w:rPr>
      </w:pPr>
    </w:p>
    <w:p w14:paraId="569524DC" w14:textId="60264C3F" w:rsidR="00EF1D5F" w:rsidRDefault="000A45DA" w:rsidP="000A45DA">
      <w:pPr>
        <w:pStyle w:val="Descripcin"/>
        <w:jc w:val="center"/>
        <w:rPr>
          <w:color w:val="3B3838"/>
          <w:sz w:val="18"/>
        </w:rPr>
      </w:pPr>
      <w:bookmarkStart w:id="368" w:name="_Toc165169956"/>
      <w:r w:rsidRPr="000A45DA">
        <w:rPr>
          <w:color w:val="C00000"/>
        </w:rPr>
        <w:t xml:space="preserve">Tabla </w:t>
      </w:r>
      <w:r w:rsidRPr="000A45DA">
        <w:rPr>
          <w:color w:val="C00000"/>
        </w:rPr>
        <w:fldChar w:fldCharType="begin"/>
      </w:r>
      <w:r w:rsidRPr="000A45DA">
        <w:rPr>
          <w:color w:val="C00000"/>
        </w:rPr>
        <w:instrText xml:space="preserve"> SEQ Tabla \* ARABIC </w:instrText>
      </w:r>
      <w:r w:rsidRPr="000A45DA">
        <w:rPr>
          <w:color w:val="C00000"/>
        </w:rPr>
        <w:fldChar w:fldCharType="separate"/>
      </w:r>
      <w:r w:rsidR="00D01651">
        <w:rPr>
          <w:noProof/>
          <w:color w:val="C00000"/>
        </w:rPr>
        <w:t>46</w:t>
      </w:r>
      <w:r w:rsidRPr="000A45DA">
        <w:rPr>
          <w:color w:val="C00000"/>
        </w:rPr>
        <w:fldChar w:fldCharType="end"/>
      </w:r>
      <w:r w:rsidRPr="000A45DA">
        <w:rPr>
          <w:color w:val="C00000"/>
        </w:rPr>
        <w:t xml:space="preserve">. </w:t>
      </w:r>
      <w:r w:rsidR="00EF1D5F">
        <w:rPr>
          <w:color w:val="3B3838"/>
          <w:sz w:val="18"/>
        </w:rPr>
        <w:t>Metas del programa 2</w:t>
      </w:r>
      <w:r w:rsidR="00EF1D5F">
        <w:rPr>
          <w:sz w:val="18"/>
        </w:rPr>
        <w:t>5</w:t>
      </w:r>
      <w:r>
        <w:rPr>
          <w:color w:val="3B3838"/>
          <w:sz w:val="18"/>
        </w:rPr>
        <w:t>:</w:t>
      </w:r>
      <w:r w:rsidR="00EF1D5F">
        <w:rPr>
          <w:color w:val="3B3838"/>
          <w:sz w:val="18"/>
        </w:rPr>
        <w:t xml:space="preserve"> </w:t>
      </w:r>
      <w:r w:rsidR="00EF1D5F">
        <w:rPr>
          <w:sz w:val="18"/>
        </w:rPr>
        <w:t>Aumento de la resiliencia al cambio climático y reducción de la vulnerabilidad</w:t>
      </w:r>
      <w:bookmarkEnd w:id="368"/>
    </w:p>
    <w:p w14:paraId="32B40036" w14:textId="77777777" w:rsidR="00EF1D5F" w:rsidRDefault="00EF1D5F" w:rsidP="000124BE">
      <w:pPr>
        <w:pBdr>
          <w:top w:val="nil"/>
          <w:left w:val="nil"/>
          <w:bottom w:val="nil"/>
          <w:right w:val="nil"/>
          <w:between w:val="nil"/>
        </w:pBdr>
        <w:spacing w:line="220" w:lineRule="auto"/>
        <w:jc w:val="center"/>
        <w:rPr>
          <w:color w:val="3B3838"/>
          <w:sz w:val="18"/>
          <w:szCs w:val="18"/>
        </w:rPr>
        <w:sectPr w:rsidR="00EF1D5F" w:rsidSect="00F7078E">
          <w:type w:val="continuous"/>
          <w:pgSz w:w="12240" w:h="15840"/>
          <w:pgMar w:top="2262" w:right="1440" w:bottom="1440" w:left="1440" w:header="708" w:footer="708" w:gutter="0"/>
          <w:cols w:space="720"/>
        </w:sectPr>
      </w:pPr>
    </w:p>
    <w:tbl>
      <w:tblPr>
        <w:tblW w:w="8838" w:type="dxa"/>
        <w:jc w:val="center"/>
        <w:tblBorders>
          <w:top w:val="nil"/>
          <w:left w:val="nil"/>
          <w:bottom w:val="nil"/>
          <w:right w:val="nil"/>
          <w:insideH w:val="nil"/>
          <w:insideV w:val="nil"/>
        </w:tblBorders>
        <w:tblLayout w:type="fixed"/>
        <w:tblLook w:val="0600" w:firstRow="0" w:lastRow="0" w:firstColumn="0" w:lastColumn="0" w:noHBand="1" w:noVBand="1"/>
      </w:tblPr>
      <w:tblGrid>
        <w:gridCol w:w="2552"/>
        <w:gridCol w:w="1276"/>
        <w:gridCol w:w="1275"/>
        <w:gridCol w:w="1276"/>
        <w:gridCol w:w="1276"/>
        <w:gridCol w:w="1183"/>
      </w:tblGrid>
      <w:tr w:rsidR="00EF1D5F" w:rsidRPr="00FB6251" w14:paraId="43FEDEE3" w14:textId="77777777" w:rsidTr="006E1CA0">
        <w:trPr>
          <w:trHeight w:val="600"/>
          <w:tblHeader/>
          <w:jc w:val="center"/>
        </w:trPr>
        <w:tc>
          <w:tcPr>
            <w:tcW w:w="2552"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6F24A7FC" w14:textId="77777777" w:rsidR="00EF1D5F" w:rsidRPr="00FB6251" w:rsidRDefault="00EF1D5F" w:rsidP="003D4AD9">
            <w:pPr>
              <w:widowControl w:val="0"/>
              <w:spacing w:line="276" w:lineRule="auto"/>
              <w:jc w:val="center"/>
              <w:rPr>
                <w:b/>
                <w:color w:val="FFFFFF"/>
                <w:sz w:val="24"/>
              </w:rPr>
            </w:pPr>
            <w:r w:rsidRPr="00FB6251">
              <w:rPr>
                <w:b/>
                <w:color w:val="FFFFFF"/>
                <w:sz w:val="24"/>
              </w:rPr>
              <w:t>SECTOR / Metas</w:t>
            </w:r>
          </w:p>
        </w:tc>
        <w:tc>
          <w:tcPr>
            <w:tcW w:w="6286"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6C4D5126" w14:textId="77777777" w:rsidR="00EF1D5F" w:rsidRPr="00FB6251" w:rsidRDefault="00EF1D5F" w:rsidP="003D4AD9">
            <w:pPr>
              <w:widowControl w:val="0"/>
              <w:spacing w:line="276" w:lineRule="auto"/>
              <w:jc w:val="center"/>
              <w:rPr>
                <w:b/>
                <w:color w:val="FFFFFF"/>
                <w:sz w:val="24"/>
              </w:rPr>
            </w:pPr>
            <w:r w:rsidRPr="00FB6251">
              <w:rPr>
                <w:b/>
                <w:color w:val="FFFFFF"/>
                <w:sz w:val="24"/>
              </w:rPr>
              <w:t>Magnitudes e Inversión</w:t>
            </w:r>
          </w:p>
          <w:p w14:paraId="6D2F2081" w14:textId="77777777" w:rsidR="00EF1D5F" w:rsidRPr="00FB6251" w:rsidRDefault="00EF1D5F" w:rsidP="003D4AD9">
            <w:pPr>
              <w:widowControl w:val="0"/>
              <w:spacing w:line="276" w:lineRule="auto"/>
              <w:jc w:val="center"/>
              <w:rPr>
                <w:rFonts w:ascii="Arial" w:eastAsia="Arial" w:hAnsi="Arial" w:cs="Arial"/>
                <w:color w:val="000000"/>
                <w:sz w:val="24"/>
              </w:rPr>
            </w:pPr>
            <w:r w:rsidRPr="00FB6251">
              <w:rPr>
                <w:b/>
                <w:color w:val="FFFFFF"/>
                <w:sz w:val="24"/>
              </w:rPr>
              <w:t>(Precios Constantes 2024)</w:t>
            </w:r>
          </w:p>
        </w:tc>
      </w:tr>
      <w:tr w:rsidR="00EF1D5F" w:rsidRPr="00FB6251" w14:paraId="0DEF55B8" w14:textId="77777777" w:rsidTr="006E1CA0">
        <w:trPr>
          <w:trHeight w:val="315"/>
          <w:tblHeader/>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23B98534"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1F37F47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2024</w:t>
            </w:r>
          </w:p>
        </w:tc>
        <w:tc>
          <w:tcPr>
            <w:tcW w:w="1275"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40A9FAC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2025</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5407838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2026</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3F4ECCC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2027</w:t>
            </w:r>
          </w:p>
        </w:tc>
        <w:tc>
          <w:tcPr>
            <w:tcW w:w="1183"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4D13DC1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b/>
                <w:color w:val="000000"/>
                <w:sz w:val="16"/>
                <w:szCs w:val="16"/>
              </w:rPr>
              <w:t>Total Inversión</w:t>
            </w:r>
          </w:p>
        </w:tc>
      </w:tr>
      <w:tr w:rsidR="00EF1D5F" w:rsidRPr="00FB6251" w14:paraId="02D18F0F" w14:textId="77777777" w:rsidTr="006E1CA0">
        <w:trPr>
          <w:trHeight w:val="315"/>
          <w:jc w:val="center"/>
        </w:trPr>
        <w:tc>
          <w:tcPr>
            <w:tcW w:w="8838"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31B834E2"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AMBIENTE</w:t>
            </w:r>
          </w:p>
        </w:tc>
      </w:tr>
      <w:tr w:rsidR="00EF1D5F" w:rsidRPr="00FB6251" w14:paraId="5A1B6EAF"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C69D478"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Asistir técnicamente 25.000 huertas urbanas en procesos de agricultura urbana.</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308C4E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276C36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345A4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07857A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8.000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3C72677"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15.433.275.211</w:t>
            </w:r>
          </w:p>
        </w:tc>
      </w:tr>
      <w:tr w:rsidR="00EF1D5F" w:rsidRPr="00FB6251" w14:paraId="59084CA5"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6972060A"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65E9F0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1.925.000.000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06960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4.636.490.722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B6218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4.501.447.302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31C8A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4.370.337.187</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0EAC159"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4C015B8E"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E714390"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Conservar 2.000 hectáreas de la Estructura Ecológica Principal del D.C.</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A39BB3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CEEC0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760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442200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705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D3E26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445</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6A11076"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80.975.478.538</w:t>
            </w:r>
          </w:p>
        </w:tc>
      </w:tr>
      <w:tr w:rsidR="00EF1D5F" w:rsidRPr="00FB6251" w14:paraId="5F6DA57B"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6B222482"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7DF8BD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32.331.950.780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60446E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14.353.642.490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D21655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23.249.475.945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3A590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11.040.409.323</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A7757BC"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30B55FD1"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C7245E4"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Consolidar 5 bosques urbanos como aporte al mejoramiento de coberturas vegetales.</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EFE60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57E50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FABCA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24FEF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E56BDA0"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9.785.145.124</w:t>
            </w:r>
          </w:p>
        </w:tc>
      </w:tr>
      <w:tr w:rsidR="00EF1D5F" w:rsidRPr="00FB6251" w14:paraId="5611E394"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929B3B6"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FE01E5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350.000.000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F8C58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2.434.339.282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9BF72D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3.676.124.046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0A45F1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3.324.681.797</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CDFF049"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3D0EC254"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754946A"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Desarrollar una (1) estrategia de renovación urbana verde con coberturas vegetales biodiversas.</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2CE4C5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F53C1C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B3CF7A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F4D89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25</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8270C46"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15.606.984.529</w:t>
            </w:r>
          </w:p>
        </w:tc>
      </w:tr>
      <w:tr w:rsidR="00EF1D5F" w:rsidRPr="00FB6251" w14:paraId="1187A15A"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A41F5BE"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F7D631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1.288.792.474</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4E9CD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4.458.484.537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AE445F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4.328.625.764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25BF3D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5.531.081.754</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CA7196F"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325B5D22"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B45ADFF"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Gestionar las 32 áreas protegidas del orden distrital</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B30E13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32</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D3D8D3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D5F6FB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14CA4C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32</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4595695"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115.485.300.111</w:t>
            </w:r>
          </w:p>
        </w:tc>
      </w:tr>
      <w:tr w:rsidR="00EF1D5F" w:rsidRPr="00FB6251" w14:paraId="618EF98C"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610B45E"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E4843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39.313.015.319</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EB20F5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24.704.455.668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004890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25.511.438.601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90A93E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25.956.390.523</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5D82EF9"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1382AABB"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50849B3"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 xml:space="preserve">Incorporar en 1.700 proyectos los </w:t>
            </w:r>
            <w:r w:rsidRPr="00FB6251">
              <w:rPr>
                <w:color w:val="000000"/>
                <w:sz w:val="16"/>
                <w:szCs w:val="16"/>
              </w:rPr>
              <w:lastRenderedPageBreak/>
              <w:t>criterios de ecourbanismo producción y consumo sostenible.</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A0029B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lastRenderedPageBreak/>
              <w:t>198</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4C916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435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73841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435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99F7ED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632</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6D1A3B8"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25.094.324.228</w:t>
            </w:r>
          </w:p>
        </w:tc>
      </w:tr>
      <w:tr w:rsidR="00EF1D5F" w:rsidRPr="00FB6251" w14:paraId="326C1A89"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6DC7618"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AB260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7.910.043.229</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ADD991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5.355.857.608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2466E4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5.719.847.931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00933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6.108.575.460</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681CC2DA"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617BA6CB" w14:textId="77777777" w:rsidTr="006E1CA0">
        <w:trPr>
          <w:trHeight w:val="34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842BE7A"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Intervenir 2.500 hectáreas de conectores ecosistémicos para aumentar la conectividad de los elementos de la Estructura Ecológica Principal</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923DD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5A393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470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C50E47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659970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1.010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602B8E2"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10.681.147.625</w:t>
            </w:r>
          </w:p>
        </w:tc>
      </w:tr>
      <w:tr w:rsidR="00EF1D5F" w:rsidRPr="00FB6251" w14:paraId="79AB60B8" w14:textId="77777777" w:rsidTr="006E1CA0">
        <w:trPr>
          <w:trHeight w:val="34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FBA9AC7"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4D0A6C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3.711.839.346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99E12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2.842.099.709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5F60F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2.003.013.846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18E996"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2.124.194.725</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DC5D5E5"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17D4B483"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EAA6B54"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Lograr setecientas ochenta (780) hectáreas en proceso de restauración ecológica</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AE4525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438228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722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9295F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725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A8F687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780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AA85BC1"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10.681.147.625</w:t>
            </w:r>
          </w:p>
        </w:tc>
      </w:tr>
      <w:tr w:rsidR="00EF1D5F" w:rsidRPr="00FB6251" w14:paraId="71292971"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61DBE4F"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E1AC9C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3.711.839.346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4BC5C9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2.842.099.709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380F1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2.003.013.846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6A9208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2.124.194.725</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152D102"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7F864AA8"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327CD95"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Mantener 200.000 metros cuadrados de jardinería</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06BEF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140.000,000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2D8206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160.000,000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5F1A9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180.000,000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8C7F5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200.000,000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FFD9D3F"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10.554.005.143</w:t>
            </w:r>
          </w:p>
        </w:tc>
      </w:tr>
      <w:tr w:rsidR="00EF1D5F" w:rsidRPr="00FB6251" w14:paraId="270F62EB"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DEB07E4"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C9A8F3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1.500.000.000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75259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2.155.890.693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2F1DC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3.035.695.554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96C0C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3.862.418.896</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56F39F6"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0C80A64B" w14:textId="77777777" w:rsidTr="006E1CA0">
        <w:trPr>
          <w:trHeight w:val="315"/>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4528EF7"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Mantener 500.000 árboles en zona urbana y rural en el Distrito Capital</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43590C" w14:textId="2B5168BD" w:rsidR="00EF1D5F" w:rsidRPr="00FB6251" w:rsidRDefault="00DB70C8" w:rsidP="003D4AD9">
            <w:pPr>
              <w:widowControl w:val="0"/>
              <w:spacing w:line="276" w:lineRule="auto"/>
              <w:jc w:val="center"/>
              <w:rPr>
                <w:rFonts w:ascii="Arial" w:eastAsia="Arial" w:hAnsi="Arial" w:cs="Arial"/>
                <w:color w:val="000000"/>
                <w:sz w:val="16"/>
                <w:szCs w:val="16"/>
              </w:rPr>
            </w:pPr>
            <w:r>
              <w:rPr>
                <w:color w:val="000000"/>
                <w:sz w:val="16"/>
                <w:szCs w:val="16"/>
              </w:rPr>
              <w:t>300.000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8BBE77E" w14:textId="09646478"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380</w:t>
            </w:r>
            <w:r w:rsidR="00DB70C8">
              <w:rPr>
                <w:color w:val="000000"/>
                <w:sz w:val="16"/>
                <w:szCs w:val="16"/>
              </w:rPr>
              <w:t>.000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BACA737" w14:textId="41F82EBF" w:rsidR="00EF1D5F" w:rsidRPr="00FB6251" w:rsidRDefault="00DB70C8" w:rsidP="003D4AD9">
            <w:pPr>
              <w:widowControl w:val="0"/>
              <w:spacing w:line="276" w:lineRule="auto"/>
              <w:jc w:val="center"/>
              <w:rPr>
                <w:rFonts w:ascii="Arial" w:eastAsia="Arial" w:hAnsi="Arial" w:cs="Arial"/>
                <w:color w:val="000000"/>
                <w:sz w:val="16"/>
                <w:szCs w:val="16"/>
              </w:rPr>
            </w:pPr>
            <w:r w:rsidRPr="00DB70C8">
              <w:rPr>
                <w:color w:val="000000"/>
                <w:sz w:val="16"/>
                <w:szCs w:val="16"/>
              </w:rPr>
              <w:t>420.000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997A5AC" w14:textId="0B878739"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500</w:t>
            </w:r>
            <w:r w:rsidR="00DB70C8">
              <w:rPr>
                <w:color w:val="000000"/>
                <w:sz w:val="16"/>
                <w:szCs w:val="16"/>
              </w:rPr>
              <w:t>.00</w:t>
            </w:r>
            <w:r w:rsidRPr="00FB6251">
              <w:rPr>
                <w:color w:val="000000"/>
                <w:sz w:val="16"/>
                <w:szCs w:val="16"/>
              </w:rPr>
              <w:t>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9BB9644"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53.437.410.701</w:t>
            </w:r>
          </w:p>
        </w:tc>
      </w:tr>
      <w:tr w:rsidR="00EF1D5F" w:rsidRPr="00FB6251" w14:paraId="7A6D7047" w14:textId="77777777" w:rsidTr="006E1CA0">
        <w:trPr>
          <w:trHeight w:val="315"/>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E783AD3"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75979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4.400.000.000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B45DED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14.927.786.039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81B2A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16.378.187.972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B0338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17.731.436.690</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66B64B23"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70BAB715" w14:textId="77777777" w:rsidTr="006E1CA0">
        <w:trPr>
          <w:trHeight w:val="45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3794994"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Realizar 1.182 procesos de participación ciudadana para la mitigación de las situaciones ambientales conflictivas y para la gestión del riesgo de desastres</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F08A14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176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20444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383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E88B8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381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53E4A5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242</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1B67BDE"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20.961.094.258</w:t>
            </w:r>
          </w:p>
        </w:tc>
      </w:tr>
      <w:tr w:rsidR="00EF1D5F" w:rsidRPr="00FB6251" w14:paraId="1F43E690" w14:textId="77777777" w:rsidTr="006E1CA0">
        <w:trPr>
          <w:trHeight w:val="45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460E8CC0"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3A7FC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2.270.292.053</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A451A4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5.954.656.519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0E3B5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5.942.347.410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50628E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6.793.798.276</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85C12A4"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4396827C" w14:textId="77777777" w:rsidTr="006E1CA0">
        <w:trPr>
          <w:trHeight w:val="45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AF0D2A5"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Vincular 2.302.200 personas en acciones de educación ambiental para la conservación de la biodiversidad y la gestión de riesgos de desastres</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3CDBD7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236.525</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EB2B1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818.050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6E0100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823.050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D3C91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424.575</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3D73EF2"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34.664.556.495</w:t>
            </w:r>
          </w:p>
        </w:tc>
      </w:tr>
      <w:tr w:rsidR="00EF1D5F" w:rsidRPr="00FB6251" w14:paraId="54654648" w14:textId="77777777" w:rsidTr="006E1CA0">
        <w:trPr>
          <w:trHeight w:val="45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018AE36"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DFF4F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4.715.201.414</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C51C5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9.304.337.625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BDD2C1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9.372.838.648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EF068A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11.272.178.808</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77ECD99D"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3A748F8C" w14:textId="77777777" w:rsidTr="006E1CA0">
        <w:trPr>
          <w:trHeight w:val="315"/>
          <w:jc w:val="center"/>
        </w:trPr>
        <w:tc>
          <w:tcPr>
            <w:tcW w:w="8838"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4C4627E0"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HÁBITAT</w:t>
            </w:r>
          </w:p>
        </w:tc>
      </w:tr>
      <w:tr w:rsidR="00EF1D5F" w:rsidRPr="00FB6251" w14:paraId="71EB3AB4"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4B3B92A"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2.800 Hectáreas adquiridas adecuadas recuperadas o restauradas de humedales quebradas ríos y cuencas abastecedoras en el área de cobertura de la EAAB</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DD348CA"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196</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9C40A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954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6832C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726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70273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924</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F9E95F2"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161.245.776.095</w:t>
            </w:r>
          </w:p>
        </w:tc>
      </w:tr>
      <w:tr w:rsidR="00EF1D5F" w:rsidRPr="00FB6251" w14:paraId="2D11D248"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68380AC4"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901F95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96.251.237.090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C6526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33.350.296.162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54C35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25.294.918.450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D6ACC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6.349.324.392</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EB0509F"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69CDAFD0"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1FBCEAED" w14:textId="3ADBF287" w:rsidR="00EF1D5F" w:rsidRPr="00FB6251" w:rsidRDefault="00EF1D5F" w:rsidP="003D4AD9">
            <w:pPr>
              <w:widowControl w:val="0"/>
              <w:spacing w:line="276" w:lineRule="auto"/>
              <w:jc w:val="left"/>
              <w:rPr>
                <w:color w:val="000000"/>
                <w:sz w:val="16"/>
                <w:szCs w:val="16"/>
              </w:rPr>
            </w:pPr>
            <w:r w:rsidRPr="00FB6251">
              <w:rPr>
                <w:color w:val="000000"/>
                <w:sz w:val="16"/>
                <w:szCs w:val="16"/>
              </w:rPr>
              <w:t xml:space="preserve">Construir una infraestructura </w:t>
            </w:r>
            <w:r w:rsidR="006E1CA0" w:rsidRPr="00FB6251">
              <w:rPr>
                <w:color w:val="000000"/>
                <w:sz w:val="16"/>
                <w:szCs w:val="16"/>
              </w:rPr>
              <w:t>piloto</w:t>
            </w:r>
            <w:r w:rsidRPr="00FB6251">
              <w:rPr>
                <w:color w:val="000000"/>
                <w:sz w:val="16"/>
                <w:szCs w:val="16"/>
              </w:rPr>
              <w:t xml:space="preserve"> para deshidratado y/o incineración </w:t>
            </w:r>
            <w:r w:rsidRPr="00FB6251">
              <w:rPr>
                <w:color w:val="000000"/>
                <w:sz w:val="16"/>
                <w:szCs w:val="16"/>
              </w:rPr>
              <w:lastRenderedPageBreak/>
              <w:t>de 48 ton/día de biosólidos de la PTAR salitre para ser gestionados con enfoque de circularidad</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D8D469D"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lastRenderedPageBreak/>
              <w:t>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FDAB79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4C1414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4F1B6C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7FCD6EA"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16.414.370.246</w:t>
            </w:r>
          </w:p>
        </w:tc>
      </w:tr>
      <w:tr w:rsidR="00EF1D5F" w:rsidRPr="00FB6251" w14:paraId="711BD00E"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2DEB27B"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71CC1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CAF32B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107.426.550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38B42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16.306.943.696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264F03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755FA3CC"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7222DE5F"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3099F19"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Implementar la primera etapa del proyecto para la construcción de la Planta de Tratamiento de Aguas Residuales- PTAR Canoas.</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295F3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536B8B7"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F59285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A6E302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039529B"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552.771.600.000</w:t>
            </w:r>
          </w:p>
        </w:tc>
      </w:tr>
      <w:tr w:rsidR="00EF1D5F" w:rsidRPr="00FB6251" w14:paraId="4BEF6A33"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EB9C917"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64447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A312D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15E5B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38.906.540.000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1A9F1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513.865.060.000</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F56B1CA"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4D1EB85C"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AC9FBDF"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Implementar un modelo de gestión integral de residuos sólidos en la prestación del servicio público de aseo que privilegie la economía circular.</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D06F94"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556B3D" w14:textId="11635C46" w:rsidR="00EF1D5F" w:rsidRPr="00FB6251" w:rsidRDefault="00B55A65" w:rsidP="003D4AD9">
            <w:pPr>
              <w:widowControl w:val="0"/>
              <w:spacing w:line="276" w:lineRule="auto"/>
              <w:jc w:val="center"/>
              <w:rPr>
                <w:rFonts w:ascii="Arial" w:eastAsia="Arial" w:hAnsi="Arial" w:cs="Arial"/>
                <w:color w:val="000000"/>
                <w:sz w:val="16"/>
                <w:szCs w:val="16"/>
              </w:rPr>
            </w:pPr>
            <w:r>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BFFE15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274D32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6D60F88"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88.942.271.892</w:t>
            </w:r>
          </w:p>
        </w:tc>
      </w:tr>
      <w:tr w:rsidR="00EF1D5F" w:rsidRPr="00FB6251" w14:paraId="744A6A65"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2E93871A"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B2B693"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6.694.000.000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F13263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14.000.000.000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CAD7C0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34.239.777.547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7BB19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34.008.494.345</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257FB24"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7B9A9A59"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5E0881F"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Mantener el 100% de la disposición final de los residuos sólidos que ingresan al Parque de Innovación Doña Juana PIDJ.</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D2E89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3321F8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4F07840"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84212E8"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9DC183D"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80.134.705.088</w:t>
            </w:r>
          </w:p>
        </w:tc>
      </w:tr>
      <w:tr w:rsidR="00EF1D5F" w:rsidRPr="00FB6251" w14:paraId="5C864542"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5203F64"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12CD14B"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35.081.000.000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F660EB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15.048.543.689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94FBF5F"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15.001.413.894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6D9C7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15.003.747.505</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F1966B7"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40ABA097"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61BD975"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Realizar el acompañamiento al 100% de las organizaciones de recicladores que lo requieran y cumplan con la normativa vigente para promover su fortalecimiento.</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72273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757F87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E30A7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515B4B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100%</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CC30535"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68.775.229.007</w:t>
            </w:r>
          </w:p>
        </w:tc>
      </w:tr>
      <w:tr w:rsidR="00EF1D5F" w:rsidRPr="00FB6251" w14:paraId="18DBEAD7"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33C8EA2"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38A529"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33.921.000.000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24D43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8.800.000.000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4EEE06E"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14.651.380.903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24C59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11.402.848.104</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7CBDCFDA"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r w:rsidR="00EF1D5F" w:rsidRPr="00FB6251" w14:paraId="1B6D02AF" w14:textId="77777777" w:rsidTr="006E1CA0">
        <w:trPr>
          <w:trHeight w:val="315"/>
          <w:jc w:val="center"/>
        </w:trPr>
        <w:tc>
          <w:tcPr>
            <w:tcW w:w="8838"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47CCEB55" w14:textId="77777777" w:rsidR="00EF1D5F" w:rsidRPr="00FB6251" w:rsidRDefault="00EF1D5F" w:rsidP="003D4AD9">
            <w:pPr>
              <w:widowControl w:val="0"/>
              <w:spacing w:line="276" w:lineRule="auto"/>
              <w:jc w:val="center"/>
              <w:rPr>
                <w:rFonts w:ascii="Arial" w:eastAsia="Arial" w:hAnsi="Arial" w:cs="Arial"/>
                <w:color w:val="FFFFFF" w:themeColor="background1"/>
                <w:szCs w:val="22"/>
              </w:rPr>
            </w:pPr>
            <w:r w:rsidRPr="00FB6251">
              <w:rPr>
                <w:b/>
                <w:color w:val="FFFFFF" w:themeColor="background1"/>
                <w:szCs w:val="22"/>
              </w:rPr>
              <w:t>SEGURIDAD CONVIVENCIA Y JUSTICIA</w:t>
            </w:r>
          </w:p>
        </w:tc>
      </w:tr>
      <w:tr w:rsidR="00EF1D5F" w:rsidRPr="00FB6251" w14:paraId="474BF959" w14:textId="77777777" w:rsidTr="006E1CA0">
        <w:trPr>
          <w:trHeight w:val="660"/>
          <w:jc w:val="center"/>
        </w:trPr>
        <w:tc>
          <w:tcPr>
            <w:tcW w:w="2552"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00CAF24" w14:textId="77777777" w:rsidR="00EF1D5F" w:rsidRPr="00FB6251" w:rsidRDefault="00EF1D5F" w:rsidP="003D4AD9">
            <w:pPr>
              <w:widowControl w:val="0"/>
              <w:spacing w:line="276" w:lineRule="auto"/>
              <w:jc w:val="left"/>
              <w:rPr>
                <w:color w:val="000000"/>
                <w:sz w:val="16"/>
                <w:szCs w:val="16"/>
              </w:rPr>
            </w:pPr>
            <w:r w:rsidRPr="00FB6251">
              <w:rPr>
                <w:color w:val="000000"/>
                <w:sz w:val="16"/>
                <w:szCs w:val="16"/>
              </w:rPr>
              <w:t>Implementar un programa para mejorar la respuesta en la atención a emergencias del Cuerpo Oficial de Bomberos de Bogotá apalancada en redes de conocimiento prevención del riesgo y cobertura en la ciudad y su entorno</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A7E16D" w14:textId="0CFB3BCE" w:rsidR="00EF1D5F" w:rsidRPr="00B55A65" w:rsidRDefault="00B55A65" w:rsidP="003D4AD9">
            <w:pPr>
              <w:widowControl w:val="0"/>
              <w:spacing w:line="276" w:lineRule="auto"/>
              <w:jc w:val="center"/>
              <w:rPr>
                <w:color w:val="000000"/>
                <w:sz w:val="16"/>
                <w:szCs w:val="16"/>
              </w:rPr>
            </w:pPr>
            <w:r>
              <w:rPr>
                <w:color w:val="000000"/>
                <w:sz w:val="16"/>
                <w:szCs w:val="16"/>
              </w:rPr>
              <w:t>1</w:t>
            </w:r>
            <w:r w:rsidR="00EF1D5F" w:rsidRPr="00FB6251">
              <w:rPr>
                <w:color w:val="000000"/>
                <w:sz w:val="16"/>
                <w:szCs w:val="16"/>
              </w:rPr>
              <w:t>0</w:t>
            </w:r>
            <w:r>
              <w:rPr>
                <w:color w:val="000000"/>
                <w:sz w:val="16"/>
                <w:szCs w:val="16"/>
              </w:rPr>
              <w:t>%</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07FFB45" w14:textId="46B9B130" w:rsidR="00EF1D5F" w:rsidRPr="00B55A65" w:rsidRDefault="00B55A65" w:rsidP="003D4AD9">
            <w:pPr>
              <w:widowControl w:val="0"/>
              <w:spacing w:line="276" w:lineRule="auto"/>
              <w:jc w:val="center"/>
              <w:rPr>
                <w:color w:val="000000"/>
                <w:sz w:val="16"/>
                <w:szCs w:val="16"/>
              </w:rPr>
            </w:pPr>
            <w:r w:rsidRPr="00B55A65">
              <w:rPr>
                <w:color w:val="000000"/>
                <w:sz w:val="16"/>
                <w:szCs w:val="16"/>
              </w:rPr>
              <w:t>25%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D77CC1" w14:textId="01D05235" w:rsidR="00EF1D5F" w:rsidRPr="00B55A65" w:rsidRDefault="00B55A65" w:rsidP="003D4AD9">
            <w:pPr>
              <w:widowControl w:val="0"/>
              <w:spacing w:line="276" w:lineRule="auto"/>
              <w:jc w:val="center"/>
              <w:rPr>
                <w:color w:val="000000"/>
                <w:sz w:val="16"/>
                <w:szCs w:val="16"/>
              </w:rPr>
            </w:pPr>
            <w:r>
              <w:rPr>
                <w:color w:val="000000"/>
                <w:sz w:val="16"/>
                <w:szCs w:val="16"/>
              </w:rPr>
              <w:t>40%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D9C729" w14:textId="1B3745C1" w:rsidR="00EF1D5F" w:rsidRPr="00B55A65" w:rsidRDefault="00B55A65" w:rsidP="003D4AD9">
            <w:pPr>
              <w:widowControl w:val="0"/>
              <w:spacing w:line="276" w:lineRule="auto"/>
              <w:jc w:val="center"/>
              <w:rPr>
                <w:color w:val="000000"/>
                <w:sz w:val="16"/>
                <w:szCs w:val="16"/>
              </w:rPr>
            </w:pPr>
            <w:r w:rsidRPr="00B55A65">
              <w:rPr>
                <w:color w:val="000000"/>
                <w:sz w:val="16"/>
                <w:szCs w:val="16"/>
              </w:rPr>
              <w:t>25%</w:t>
            </w:r>
          </w:p>
        </w:tc>
        <w:tc>
          <w:tcPr>
            <w:tcW w:w="1183"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6BA61EF" w14:textId="77777777" w:rsidR="00EF1D5F" w:rsidRPr="00FB6251" w:rsidRDefault="00EF1D5F" w:rsidP="003D4AD9">
            <w:pPr>
              <w:widowControl w:val="0"/>
              <w:spacing w:line="276" w:lineRule="auto"/>
              <w:jc w:val="center"/>
              <w:rPr>
                <w:b/>
                <w:color w:val="000000"/>
                <w:sz w:val="16"/>
                <w:szCs w:val="16"/>
              </w:rPr>
            </w:pPr>
            <w:r w:rsidRPr="00FB6251">
              <w:rPr>
                <w:b/>
                <w:color w:val="000000"/>
                <w:sz w:val="16"/>
                <w:szCs w:val="16"/>
              </w:rPr>
              <w:t>247.718.721.818</w:t>
            </w:r>
          </w:p>
        </w:tc>
      </w:tr>
      <w:tr w:rsidR="00EF1D5F" w:rsidRPr="00FB6251" w14:paraId="4F61783E" w14:textId="77777777" w:rsidTr="006E1CA0">
        <w:trPr>
          <w:trHeight w:val="660"/>
          <w:jc w:val="center"/>
        </w:trPr>
        <w:tc>
          <w:tcPr>
            <w:tcW w:w="2552"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48A997E9"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D35918C"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34.213.600.000</w:t>
            </w:r>
          </w:p>
        </w:tc>
        <w:tc>
          <w:tcPr>
            <w:tcW w:w="1275"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B1D81C5"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71.168.369.903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6086192"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71.168.344.802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93F361" w14:textId="77777777" w:rsidR="00EF1D5F" w:rsidRPr="00FB6251" w:rsidRDefault="00EF1D5F" w:rsidP="003D4AD9">
            <w:pPr>
              <w:widowControl w:val="0"/>
              <w:spacing w:line="276" w:lineRule="auto"/>
              <w:jc w:val="center"/>
              <w:rPr>
                <w:rFonts w:ascii="Arial" w:eastAsia="Arial" w:hAnsi="Arial" w:cs="Arial"/>
                <w:color w:val="000000"/>
                <w:sz w:val="16"/>
                <w:szCs w:val="16"/>
              </w:rPr>
            </w:pPr>
            <w:r w:rsidRPr="00FB6251">
              <w:rPr>
                <w:color w:val="000000"/>
                <w:sz w:val="16"/>
                <w:szCs w:val="16"/>
              </w:rPr>
              <w:t>71.168.407.114</w:t>
            </w:r>
          </w:p>
        </w:tc>
        <w:tc>
          <w:tcPr>
            <w:tcW w:w="1183"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8ECCC2C" w14:textId="77777777" w:rsidR="00EF1D5F" w:rsidRPr="00FB6251" w:rsidRDefault="00EF1D5F" w:rsidP="003D4AD9">
            <w:pPr>
              <w:widowControl w:val="0"/>
              <w:spacing w:line="276" w:lineRule="auto"/>
              <w:jc w:val="left"/>
              <w:rPr>
                <w:rFonts w:ascii="Arial" w:eastAsia="Arial" w:hAnsi="Arial" w:cs="Arial"/>
                <w:color w:val="000000"/>
                <w:sz w:val="16"/>
                <w:szCs w:val="16"/>
              </w:rPr>
            </w:pPr>
          </w:p>
        </w:tc>
      </w:tr>
    </w:tbl>
    <w:p w14:paraId="694ECE91" w14:textId="77777777" w:rsidR="00EF1D5F" w:rsidRDefault="00EF1D5F" w:rsidP="00DC1E48">
      <w:pPr>
        <w:keepNext/>
        <w:keepLines/>
        <w:pBdr>
          <w:top w:val="nil"/>
          <w:left w:val="nil"/>
          <w:bottom w:val="nil"/>
          <w:right w:val="nil"/>
          <w:between w:val="nil"/>
        </w:pBdr>
        <w:spacing w:line="340" w:lineRule="auto"/>
        <w:jc w:val="left"/>
      </w:pPr>
    </w:p>
    <w:p w14:paraId="3804BEB3" w14:textId="77777777" w:rsidR="00C372F4" w:rsidRDefault="00C372F4" w:rsidP="00DC1E48">
      <w:pPr>
        <w:keepNext/>
        <w:keepLines/>
        <w:pBdr>
          <w:top w:val="nil"/>
          <w:left w:val="nil"/>
          <w:bottom w:val="nil"/>
          <w:right w:val="nil"/>
          <w:between w:val="nil"/>
        </w:pBdr>
        <w:spacing w:line="340" w:lineRule="auto"/>
        <w:ind w:left="720"/>
        <w:jc w:val="left"/>
        <w:rPr>
          <w:b/>
          <w:color w:val="C00000"/>
          <w:sz w:val="28"/>
          <w:szCs w:val="28"/>
        </w:rPr>
      </w:pPr>
      <w:r>
        <w:rPr>
          <w:b/>
          <w:color w:val="C00000"/>
          <w:sz w:val="28"/>
          <w:szCs w:val="28"/>
        </w:rPr>
        <w:br w:type="page"/>
      </w:r>
    </w:p>
    <w:p w14:paraId="0F578E09" w14:textId="061CD5D1" w:rsidR="00EF1D5F" w:rsidRDefault="00EF1D5F" w:rsidP="00DB70C8">
      <w:pPr>
        <w:pStyle w:val="NIVEL4"/>
        <w:rPr>
          <w:i/>
        </w:rPr>
      </w:pPr>
      <w:bookmarkStart w:id="369" w:name="_Toc165169791"/>
      <w:r>
        <w:rPr>
          <w:color w:val="C00000"/>
        </w:rPr>
        <w:lastRenderedPageBreak/>
        <w:t>Programa 2</w:t>
      </w:r>
      <w:r>
        <w:rPr>
          <w:i/>
          <w:color w:val="C00000"/>
        </w:rPr>
        <w:t>6</w:t>
      </w:r>
      <w:r w:rsidR="00B55A65">
        <w:rPr>
          <w:color w:val="C00000"/>
        </w:rPr>
        <w:t>:</w:t>
      </w:r>
      <w:r>
        <w:rPr>
          <w:color w:val="C00000"/>
        </w:rPr>
        <w:t xml:space="preserve"> </w:t>
      </w:r>
      <w:r>
        <w:t>Movilidad sostenible</w:t>
      </w:r>
      <w:bookmarkEnd w:id="369"/>
    </w:p>
    <w:p w14:paraId="2CF09E53" w14:textId="77777777" w:rsidR="00EF1D5F" w:rsidRDefault="00EF1D5F">
      <w:pPr>
        <w:rPr>
          <w:i/>
        </w:rPr>
      </w:pPr>
    </w:p>
    <w:p w14:paraId="25F6B2B1" w14:textId="01856460" w:rsidR="00EF1D5F" w:rsidRPr="00DB70C8" w:rsidRDefault="00EF1D5F" w:rsidP="00DB70C8">
      <w:pPr>
        <w:keepNext/>
        <w:keepLines/>
        <w:pBdr>
          <w:top w:val="nil"/>
          <w:left w:val="nil"/>
          <w:bottom w:val="nil"/>
          <w:right w:val="nil"/>
          <w:between w:val="nil"/>
        </w:pBdr>
        <w:spacing w:line="340" w:lineRule="auto"/>
        <w:ind w:left="720" w:hanging="12"/>
        <w:jc w:val="left"/>
        <w:rPr>
          <w:b/>
          <w:sz w:val="24"/>
        </w:rPr>
      </w:pPr>
      <w:r w:rsidRPr="00DB70C8">
        <w:rPr>
          <w:b/>
          <w:sz w:val="24"/>
        </w:rPr>
        <w:t>Diagnóstico</w:t>
      </w:r>
    </w:p>
    <w:p w14:paraId="0431F04B" w14:textId="77777777" w:rsidR="00EF1D5F" w:rsidRDefault="00EF1D5F">
      <w:pPr>
        <w:rPr>
          <w:b/>
        </w:rPr>
        <w:sectPr w:rsidR="00EF1D5F" w:rsidSect="00F7078E">
          <w:type w:val="continuous"/>
          <w:pgSz w:w="12240" w:h="15840"/>
          <w:pgMar w:top="2262" w:right="1440" w:bottom="1440" w:left="1440" w:header="708" w:footer="708" w:gutter="0"/>
          <w:cols w:space="720"/>
        </w:sectPr>
      </w:pPr>
    </w:p>
    <w:p w14:paraId="0ADC255F" w14:textId="77777777" w:rsidR="00EF1D5F" w:rsidRDefault="00EF1D5F">
      <w:pPr>
        <w:rPr>
          <w:highlight w:val="white"/>
        </w:rPr>
      </w:pPr>
      <w:r>
        <w:rPr>
          <w:highlight w:val="white"/>
        </w:rPr>
        <w:t>Una de las problemáticas relacionadas con la movilidad son los altos costos y tiempos de desplazamiento dentro de la ciudad y con los municipios vecinos, superiores a los necesarios. Aunque la congestión es un fenómeno presente en la mayoría de las ciudades de tamaño mediano, grande y en las megaciudades, el crecimiento poblacional de Bogotá y de municipios como Soacha y Chía, altamente conurbado con la ciudad, se ha presionado aún más por la cogestión.</w:t>
      </w:r>
    </w:p>
    <w:p w14:paraId="3A9262DC" w14:textId="77777777" w:rsidR="00EF1D5F" w:rsidRDefault="00EF1D5F">
      <w:pPr>
        <w:rPr>
          <w:highlight w:val="white"/>
        </w:rPr>
      </w:pPr>
    </w:p>
    <w:p w14:paraId="1CE7785A" w14:textId="77777777" w:rsidR="00EF1D5F" w:rsidRDefault="00EF1D5F">
      <w:pPr>
        <w:rPr>
          <w:highlight w:val="white"/>
        </w:rPr>
      </w:pPr>
      <w:r>
        <w:rPr>
          <w:highlight w:val="white"/>
        </w:rPr>
        <w:t>Las últimas Encuestas de Movilidad 2023 en Bogotá-Región, entre 2011 y 2023 los tiempos en modos motorizados aumentaron de manera significativa, en especial en automóvil, que pasaron de 43 a 51 minutos (aumento del 19 %), entre tanto, los usuarios del SITP zonal tuvieron un aumento de 68 a 76 minutos en sus viajes (un aumento de más del 16 %).</w:t>
      </w:r>
    </w:p>
    <w:p w14:paraId="7700D3C8" w14:textId="77777777" w:rsidR="00EF1D5F" w:rsidRDefault="00EF1D5F">
      <w:pPr>
        <w:rPr>
          <w:highlight w:val="white"/>
        </w:rPr>
      </w:pPr>
    </w:p>
    <w:p w14:paraId="75C99D9C" w14:textId="77777777" w:rsidR="00EF1D5F" w:rsidRDefault="00EF1D5F">
      <w:pPr>
        <w:rPr>
          <w:highlight w:val="white"/>
        </w:rPr>
      </w:pPr>
      <w:r>
        <w:rPr>
          <w:highlight w:val="white"/>
        </w:rPr>
        <w:t>Durante un periodo de 12 años se observa una disminución de 0,54 p.p. en la participación del automóvil particular, que pasó del 14,48 % en 2011 al 13,94 % en 2023. Asimismo, se ha registrado un notable incremento en el uso de motocicletas (4,34 p.p.) y bicicletas (3,49 p.p.), con una participación en el reparto modal de 7,31 % y 7,3 %, respectivamente. Por otro lado, se evidencia una disminución de los viajes de transporte público, que pasó de 41 % en 2011 a 34,7 % en 2023, mientras que los viajes a pie mayores a 15 minutos se mantuvieron constantes con una participación modal de 28 % en los dos años mencionados.</w:t>
      </w:r>
    </w:p>
    <w:p w14:paraId="52B0508C" w14:textId="77777777" w:rsidR="00EF1D5F" w:rsidRDefault="00EF1D5F">
      <w:pPr>
        <w:rPr>
          <w:highlight w:val="white"/>
        </w:rPr>
      </w:pPr>
    </w:p>
    <w:p w14:paraId="510EF3D5" w14:textId="77777777" w:rsidR="00EF1D5F" w:rsidRDefault="00EF1D5F">
      <w:pPr>
        <w:rPr>
          <w:highlight w:val="white"/>
        </w:rPr>
      </w:pPr>
      <w:r>
        <w:rPr>
          <w:highlight w:val="white"/>
        </w:rPr>
        <w:t xml:space="preserve">Acorde con las cifras anteriores, Bogotá es una ciudad que en un fin de semana salen y entran entre 300.000 y 742.000 vehículos dependiendo de la fecha, por tan solo siete vías principales (autopista Norte, carrera 7, vía La Calera, autopista Sur, calle 13, calle 80 y la vía al Llano) y una vía menor sin las condiciones requeridas para el tráfico que es la Vía Suba-Cota, lo que ocasiona </w:t>
      </w:r>
      <w:r>
        <w:rPr>
          <w:highlight w:val="white"/>
        </w:rPr>
        <w:t>incrementos sustanciales en el tiempo requerido para entrar y salir de la ciudad. Esta problemática se acentúa porque Bogotá es una ciudad densa y sus habitantes realizan, en un día hábil, más de 12 millones de viajes en algún modo de transporte, y más de 14 millones contando a la Región (Encuesta de Movilidad, 2023). Lo anterior, debido a que la concentración de sus habitantes en las periferias de la ciudad conlleva largos desplazamientos diarios de los ciudadanos por la distribución desigual de la vivienda, el trabajo y el acceso a la educación en las zonas de residencia, siendo esta una de las principales causas de congestión.</w:t>
      </w:r>
    </w:p>
    <w:p w14:paraId="45AD1E93" w14:textId="77777777" w:rsidR="00EF1D5F" w:rsidRDefault="00EF1D5F">
      <w:pPr>
        <w:rPr>
          <w:highlight w:val="white"/>
        </w:rPr>
      </w:pPr>
    </w:p>
    <w:p w14:paraId="1D7AD255" w14:textId="77777777" w:rsidR="00EF1D5F" w:rsidRDefault="00EF1D5F">
      <w:pPr>
        <w:rPr>
          <w:highlight w:val="white"/>
        </w:rPr>
      </w:pPr>
      <w:r>
        <w:rPr>
          <w:highlight w:val="white"/>
        </w:rPr>
        <w:t>En cuanto a infraestructura de movilidad regional, el Consejo Regional de la RMBC identificó tres hechos metropolitanos (Acuerdo 06 de 2022) que se circunscriben en la temática de movilidad: 1) la gestión integral del sistema regional de transporte público de pasajeros; 2) integración y gestión de la actividad de carga y logística regional, y 3) la planeación, integración y gestión de la infraestructura de transporte y accesibilidad. Alrededor del desarrollo de estos hechos, se tienen grandes expectativas que solucionen problemáticas de movilidad regional, como: la construcción de Sistema Integrado de Transporte Regional (SITR) con prioridad en el modo férreo, donde se realizará la integración física y tarifaria del RegioTram, el Metro, el BRT, los buses intermunicipales y el SITP, expectativas alcanzables a corto o mediano plazo por la Autoridad Regional de Movilidad (ARM).</w:t>
      </w:r>
    </w:p>
    <w:p w14:paraId="0BE3D40F" w14:textId="77777777" w:rsidR="00EF1D5F" w:rsidRDefault="00EF1D5F">
      <w:pPr>
        <w:rPr>
          <w:highlight w:val="white"/>
        </w:rPr>
      </w:pPr>
    </w:p>
    <w:p w14:paraId="3E4AFA5F" w14:textId="77777777" w:rsidR="00EF1D5F" w:rsidRDefault="00EF1D5F">
      <w:pPr>
        <w:rPr>
          <w:highlight w:val="white"/>
        </w:rPr>
      </w:pPr>
      <w:r>
        <w:rPr>
          <w:highlight w:val="white"/>
        </w:rPr>
        <w:t xml:space="preserve">Una de las causas de la congestión se asocia con el déficit de infraestructura y, a su vez, con atrasos en la ejecución de algunas obras previstas. Por ejemplo, en el 2016 se proyectaba construir 29,9 km del sistema metro (CONPES 2999, 1998) y 388 km de troncales de TransMilenio (CONPES 3093, 2000). Hoy se está construyendo la primera línea del metro y se tiene el 29 % de </w:t>
      </w:r>
      <w:r>
        <w:rPr>
          <w:highlight w:val="white"/>
        </w:rPr>
        <w:lastRenderedPageBreak/>
        <w:t>troncales de TransMilenio operando. Adicionalmente, se presentan retrasos en las obras de las troncales de TransMilenio en ejecución, como es el caso de la avenida 68 y la falta de conexiones operacionales.</w:t>
      </w:r>
    </w:p>
    <w:p w14:paraId="5D73EDD2" w14:textId="77777777" w:rsidR="00EF1D5F" w:rsidRDefault="00EF1D5F">
      <w:pPr>
        <w:rPr>
          <w:highlight w:val="white"/>
        </w:rPr>
      </w:pPr>
    </w:p>
    <w:p w14:paraId="43776CED" w14:textId="77777777" w:rsidR="00EF1D5F" w:rsidRDefault="00EF1D5F">
      <w:pPr>
        <w:rPr>
          <w:highlight w:val="white"/>
        </w:rPr>
      </w:pPr>
      <w:r>
        <w:rPr>
          <w:highlight w:val="white"/>
        </w:rPr>
        <w:t>El atraso de las obras de infraestructura vial, para 2024 cuenta con más de 300 frentes de obra activos y un atraso en el 67 % de las obras que en promedio supera los 2 años (Cálculos IDU, febrero 2024).</w:t>
      </w:r>
    </w:p>
    <w:p w14:paraId="579A9F8E" w14:textId="77777777" w:rsidR="00EF1D5F" w:rsidRDefault="00EF1D5F">
      <w:pPr>
        <w:rPr>
          <w:highlight w:val="white"/>
        </w:rPr>
      </w:pPr>
    </w:p>
    <w:p w14:paraId="61E7F428" w14:textId="626986B7" w:rsidR="00EF1D5F" w:rsidRDefault="00EF1D5F">
      <w:pPr>
        <w:rPr>
          <w:highlight w:val="white"/>
        </w:rPr>
      </w:pPr>
      <w:r>
        <w:rPr>
          <w:highlight w:val="white"/>
        </w:rPr>
        <w:t xml:space="preserve">Por otro lado, un desafío crucial para alcanzar una movilidad eficiente es el estado, calidad y continuidad de la infraestructura del espacio público para la movilidad. La malla vial de la ciudad cuenta con una extensión de 14.588 km carril, de los cuales 1.272 corresponden a malla vial rural, y cerca del 27,5 % (cerca de 4.000 km carril) </w:t>
      </w:r>
      <w:r>
        <w:rPr>
          <w:highlight w:val="white"/>
        </w:rPr>
        <w:t>se encuentran entre estado pobre a estado fallido</w:t>
      </w:r>
      <w:r w:rsidR="00DB70C8">
        <w:rPr>
          <w:highlight w:val="white"/>
        </w:rPr>
        <w:t xml:space="preserve"> a 30 de junio de 2023</w:t>
      </w:r>
      <w:r>
        <w:rPr>
          <w:highlight w:val="white"/>
        </w:rPr>
        <w:t>.</w:t>
      </w:r>
    </w:p>
    <w:p w14:paraId="1A8EA01D" w14:textId="77777777" w:rsidR="00EF1D5F" w:rsidRDefault="00EF1D5F">
      <w:pPr>
        <w:rPr>
          <w:highlight w:val="white"/>
        </w:rPr>
      </w:pPr>
    </w:p>
    <w:p w14:paraId="6CA13C7E" w14:textId="77777777" w:rsidR="00EF1D5F" w:rsidRDefault="00EF1D5F">
      <w:pPr>
        <w:rPr>
          <w:highlight w:val="white"/>
        </w:rPr>
      </w:pPr>
      <w:r>
        <w:rPr>
          <w:highlight w:val="white"/>
        </w:rPr>
        <w:t>Así mismo, se presentan externalidades con efectos directos en las fatalidades por siniestros viales, en las altas emisiones de GEI y de material particulado PM 2,5 y PM 10, contaminantes que están principalmente asociadas a afectaciones en la salud de la ciudadanía, según la Secretaría Distrital de Salud.</w:t>
      </w:r>
    </w:p>
    <w:p w14:paraId="009AA450" w14:textId="77777777" w:rsidR="00EF1D5F" w:rsidRDefault="00EF1D5F">
      <w:pPr>
        <w:rPr>
          <w:highlight w:val="white"/>
        </w:rPr>
      </w:pPr>
    </w:p>
    <w:p w14:paraId="479E5253" w14:textId="77777777" w:rsidR="00EF1D5F" w:rsidRDefault="00EF1D5F">
      <w:pPr>
        <w:rPr>
          <w:highlight w:val="white"/>
        </w:rPr>
        <w:sectPr w:rsidR="00EF1D5F" w:rsidSect="00F7078E">
          <w:type w:val="continuous"/>
          <w:pgSz w:w="12240" w:h="15840"/>
          <w:pgMar w:top="2262" w:right="1440" w:bottom="1440" w:left="1440" w:header="708" w:footer="708" w:gutter="0"/>
          <w:cols w:num="2" w:space="720" w:equalWidth="0">
            <w:col w:w="4396" w:space="567"/>
            <w:col w:w="4396" w:space="0"/>
          </w:cols>
        </w:sectPr>
      </w:pPr>
      <w:r>
        <w:rPr>
          <w:highlight w:val="white"/>
        </w:rPr>
        <w:t>De esta manera, se deben inducir soluciones que promuevan un comportamiento ciudadano colaborativo y tolerante con la situación actual, de eficiencia y celeridad en el desarrollo de las obras que hoy están en desarrollo; y de visión y planeación con el fin de identificar las obras necesarias para que la oferta de movilidad tienda a superar su demanda.</w:t>
      </w:r>
    </w:p>
    <w:p w14:paraId="1FC91C03" w14:textId="77777777" w:rsidR="00EF1D5F" w:rsidRDefault="00EF1D5F">
      <w:pPr>
        <w:rPr>
          <w:highlight w:val="white"/>
        </w:rPr>
      </w:pPr>
    </w:p>
    <w:p w14:paraId="01446693" w14:textId="77777777" w:rsidR="00EF1D5F" w:rsidRDefault="00EF1D5F">
      <w:pPr>
        <w:rPr>
          <w:highlight w:val="white"/>
        </w:rPr>
      </w:pPr>
    </w:p>
    <w:p w14:paraId="381FD3D2" w14:textId="1B2A42DC" w:rsidR="00EF1D5F" w:rsidRPr="00B55A65" w:rsidRDefault="00EF1D5F" w:rsidP="00B55A65">
      <w:pPr>
        <w:keepNext/>
        <w:keepLines/>
        <w:pBdr>
          <w:top w:val="nil"/>
          <w:left w:val="nil"/>
          <w:bottom w:val="nil"/>
          <w:right w:val="nil"/>
          <w:between w:val="nil"/>
        </w:pBdr>
        <w:spacing w:line="340" w:lineRule="auto"/>
        <w:ind w:firstLine="708"/>
        <w:jc w:val="left"/>
        <w:rPr>
          <w:b/>
          <w:sz w:val="24"/>
          <w:u w:val="single"/>
        </w:rPr>
        <w:sectPr w:rsidR="00EF1D5F" w:rsidRPr="00B55A65" w:rsidSect="00F7078E">
          <w:type w:val="continuous"/>
          <w:pgSz w:w="12240" w:h="15840"/>
          <w:pgMar w:top="2262" w:right="1440" w:bottom="1440" w:left="1440" w:header="708" w:footer="708" w:gutter="0"/>
          <w:cols w:space="720"/>
        </w:sectPr>
      </w:pPr>
      <w:r w:rsidRPr="00B55A65">
        <w:rPr>
          <w:b/>
          <w:sz w:val="24"/>
        </w:rPr>
        <w:t>Descripción del programa</w:t>
      </w:r>
    </w:p>
    <w:p w14:paraId="380DDE88" w14:textId="77777777" w:rsidR="00EF1D5F" w:rsidRDefault="00EF1D5F">
      <w:pPr>
        <w:rPr>
          <w:highlight w:val="white"/>
        </w:rPr>
      </w:pPr>
      <w:r>
        <w:rPr>
          <w:highlight w:val="white"/>
        </w:rPr>
        <w:t>Este programa busca que el sistema de movilidad sea un catalizador de sostenibilidad ambiental, un motor de bienestar social y un lugar de encuentro de todos los ciudadanos. Es decir, garantizar que la ciudadanía pueda moverse de una manera rápida y segura, que contribuya a mejorar la calidad del aire y a reducir las emisiones de GEI.</w:t>
      </w:r>
    </w:p>
    <w:p w14:paraId="071ED20A" w14:textId="77777777" w:rsidR="00EF1D5F" w:rsidRDefault="00EF1D5F">
      <w:pPr>
        <w:rPr>
          <w:highlight w:val="white"/>
        </w:rPr>
      </w:pPr>
    </w:p>
    <w:p w14:paraId="446C79D0" w14:textId="77777777" w:rsidR="00EF1D5F" w:rsidRDefault="00EF1D5F">
      <w:pPr>
        <w:rPr>
          <w:highlight w:val="white"/>
        </w:rPr>
      </w:pPr>
      <w:r>
        <w:rPr>
          <w:highlight w:val="white"/>
        </w:rPr>
        <w:t>Por esto, es necesario superar el rezago en infraestructura para la movilidad mediante la ejecución de nuevos proyectos, así como la culminación de las obras que vienen en ejecución. Así mismo, contener el aumento de siniestros con fatalidades, mejorando las condiciones del espacio público para la movilidad con accesibilidad universal.</w:t>
      </w:r>
    </w:p>
    <w:p w14:paraId="1089F28A" w14:textId="77777777" w:rsidR="00EF1D5F" w:rsidRDefault="00EF1D5F">
      <w:pPr>
        <w:rPr>
          <w:highlight w:val="white"/>
        </w:rPr>
      </w:pPr>
    </w:p>
    <w:p w14:paraId="172A40AC" w14:textId="77777777" w:rsidR="00EF1D5F" w:rsidRDefault="00EF1D5F">
      <w:pPr>
        <w:rPr>
          <w:highlight w:val="white"/>
        </w:rPr>
      </w:pPr>
      <w:r>
        <w:rPr>
          <w:highlight w:val="white"/>
        </w:rPr>
        <w:t>Por lo tanto, se gestionarán nuevos proyectos de infraestructura sostenible en la ciudad-</w:t>
      </w:r>
      <w:r>
        <w:rPr>
          <w:highlight w:val="white"/>
        </w:rPr>
        <w:t>región, priorizando diseños de menor impacto ambiental, proyectos de renovación urbana para la movilidad sostenible asociados a la red de transporte público masivo.</w:t>
      </w:r>
    </w:p>
    <w:p w14:paraId="4AFFC43A" w14:textId="77777777" w:rsidR="00EF1D5F" w:rsidRDefault="00EF1D5F">
      <w:pPr>
        <w:rPr>
          <w:highlight w:val="white"/>
        </w:rPr>
      </w:pPr>
    </w:p>
    <w:p w14:paraId="5117B252" w14:textId="4087B0CD" w:rsidR="00EF1D5F" w:rsidRDefault="00EF1D5F">
      <w:pPr>
        <w:rPr>
          <w:highlight w:val="white"/>
        </w:rPr>
        <w:sectPr w:rsidR="00EF1D5F" w:rsidSect="00F7078E">
          <w:type w:val="continuous"/>
          <w:pgSz w:w="12240" w:h="15840"/>
          <w:pgMar w:top="2262" w:right="1440" w:bottom="1440" w:left="1440" w:header="708" w:footer="708" w:gutter="0"/>
          <w:cols w:num="2" w:space="720" w:equalWidth="0">
            <w:col w:w="4396" w:space="567"/>
            <w:col w:w="4396" w:space="0"/>
          </w:cols>
        </w:sectPr>
      </w:pPr>
      <w:r>
        <w:rPr>
          <w:highlight w:val="white"/>
        </w:rPr>
        <w:t>A continuación, se destacan los principales proyectos de movilidad nuevos y en ejecución, los cuales se priorizaron en el programa de ejecución del Plan de Ordenamiento Territorial en el presente Plan de Desarrollo, nuevas salidas de la ciudad por el occidente que permitan disminuir la congestión, así como las líneas del metro 1, 2 y 3, entre otras obras que se vienen desarrollando de acuerdo con el estado de cada proyecto. Adicionalmente, la conservación del 40 % (más de 3.000 km carril) de la malla vial cuyo estado de condición física se encuentra en mal estado (</w:t>
      </w:r>
      <w:r w:rsidR="00B55A65" w:rsidRPr="00B55A65">
        <w:rPr>
          <w:highlight w:val="white"/>
        </w:rPr>
        <w:fldChar w:fldCharType="begin"/>
      </w:r>
      <w:r w:rsidR="00B55A65" w:rsidRPr="00B55A65">
        <w:rPr>
          <w:highlight w:val="white"/>
        </w:rPr>
        <w:instrText xml:space="preserve"> REF _Ref165144381 \h </w:instrText>
      </w:r>
      <w:r w:rsidR="00B55A65" w:rsidRPr="00B55A65">
        <w:rPr>
          <w:highlight w:val="white"/>
        </w:rPr>
      </w:r>
      <w:r w:rsidR="00B55A65" w:rsidRPr="00B55A65">
        <w:rPr>
          <w:highlight w:val="white"/>
        </w:rPr>
        <w:fldChar w:fldCharType="separate"/>
      </w:r>
      <w:r w:rsidR="00D01651" w:rsidRPr="00B55A65">
        <w:rPr>
          <w:color w:val="C00000"/>
          <w:sz w:val="18"/>
          <w:szCs w:val="18"/>
        </w:rPr>
        <w:t xml:space="preserve">Tabla </w:t>
      </w:r>
      <w:r w:rsidR="00D01651">
        <w:rPr>
          <w:noProof/>
          <w:color w:val="C00000"/>
          <w:sz w:val="18"/>
        </w:rPr>
        <w:t>47</w:t>
      </w:r>
      <w:r w:rsidR="00B55A65" w:rsidRPr="00B55A65">
        <w:rPr>
          <w:highlight w:val="white"/>
        </w:rPr>
        <w:fldChar w:fldCharType="end"/>
      </w:r>
      <w:r w:rsidRPr="00B55A65">
        <w:rPr>
          <w:highlight w:val="white"/>
        </w:rPr>
        <w:t>).</w:t>
      </w:r>
    </w:p>
    <w:p w14:paraId="1520D80C" w14:textId="77777777" w:rsidR="00EF1D5F" w:rsidRDefault="00EF1D5F">
      <w:pPr>
        <w:rPr>
          <w:highlight w:val="white"/>
        </w:rPr>
      </w:pPr>
    </w:p>
    <w:p w14:paraId="67E77774" w14:textId="77777777" w:rsidR="00B55A65" w:rsidRDefault="00B55A65">
      <w:pPr>
        <w:spacing w:line="240" w:lineRule="auto"/>
        <w:jc w:val="left"/>
        <w:rPr>
          <w:b/>
          <w:color w:val="C00000"/>
          <w:sz w:val="18"/>
          <w:szCs w:val="18"/>
          <w:highlight w:val="white"/>
        </w:rPr>
      </w:pPr>
      <w:r>
        <w:rPr>
          <w:b/>
          <w:color w:val="C00000"/>
          <w:sz w:val="18"/>
          <w:szCs w:val="18"/>
          <w:highlight w:val="white"/>
        </w:rPr>
        <w:br w:type="page"/>
      </w:r>
    </w:p>
    <w:p w14:paraId="280CF930" w14:textId="5112DFB8" w:rsidR="00EF1D5F" w:rsidRPr="00B55A65" w:rsidRDefault="00B55A65" w:rsidP="00B55A65">
      <w:pPr>
        <w:pStyle w:val="Descripcin"/>
        <w:jc w:val="center"/>
        <w:rPr>
          <w:color w:val="C00000"/>
          <w:sz w:val="18"/>
          <w:highlight w:val="white"/>
        </w:rPr>
      </w:pPr>
      <w:bookmarkStart w:id="370" w:name="_Ref165144381"/>
      <w:bookmarkStart w:id="371" w:name="_Toc165169957"/>
      <w:r w:rsidRPr="00B55A65">
        <w:rPr>
          <w:color w:val="C00000"/>
          <w:sz w:val="18"/>
        </w:rPr>
        <w:lastRenderedPageBreak/>
        <w:t xml:space="preserve">Tabla </w:t>
      </w:r>
      <w:r w:rsidRPr="00B55A65">
        <w:rPr>
          <w:color w:val="C00000"/>
          <w:sz w:val="18"/>
        </w:rPr>
        <w:fldChar w:fldCharType="begin"/>
      </w:r>
      <w:r w:rsidRPr="00B55A65">
        <w:rPr>
          <w:color w:val="C00000"/>
          <w:sz w:val="18"/>
        </w:rPr>
        <w:instrText xml:space="preserve"> SEQ Tabla \* ARABIC </w:instrText>
      </w:r>
      <w:r w:rsidRPr="00B55A65">
        <w:rPr>
          <w:color w:val="C00000"/>
          <w:sz w:val="18"/>
        </w:rPr>
        <w:fldChar w:fldCharType="separate"/>
      </w:r>
      <w:r w:rsidR="00D01651">
        <w:rPr>
          <w:noProof/>
          <w:color w:val="C00000"/>
          <w:sz w:val="18"/>
        </w:rPr>
        <w:t>47</w:t>
      </w:r>
      <w:r w:rsidRPr="00B55A65">
        <w:rPr>
          <w:color w:val="C00000"/>
          <w:sz w:val="18"/>
        </w:rPr>
        <w:fldChar w:fldCharType="end"/>
      </w:r>
      <w:bookmarkEnd w:id="370"/>
      <w:r w:rsidRPr="00B55A65">
        <w:rPr>
          <w:color w:val="C00000"/>
          <w:sz w:val="18"/>
        </w:rPr>
        <w:t xml:space="preserve">. </w:t>
      </w:r>
      <w:r w:rsidR="00EF1D5F" w:rsidRPr="00B55A65">
        <w:rPr>
          <w:color w:val="3B3838"/>
          <w:sz w:val="18"/>
          <w:highlight w:val="white"/>
        </w:rPr>
        <w:t>Principales proyectos de movilidad nuevos y en ejecución</w:t>
      </w:r>
      <w:bookmarkEnd w:id="371"/>
    </w:p>
    <w:tbl>
      <w:tblPr>
        <w:tblW w:w="9072" w:type="dxa"/>
        <w:jc w:val="center"/>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4111"/>
        <w:gridCol w:w="1985"/>
        <w:gridCol w:w="2976"/>
      </w:tblGrid>
      <w:tr w:rsidR="00EF1D5F" w:rsidRPr="00E14E4A" w14:paraId="10189EED" w14:textId="77777777" w:rsidTr="00B55A65">
        <w:trPr>
          <w:trHeight w:val="476"/>
          <w:tblHeader/>
          <w:jc w:val="center"/>
        </w:trPr>
        <w:tc>
          <w:tcPr>
            <w:tcW w:w="4111" w:type="dxa"/>
            <w:shd w:val="clear" w:color="auto" w:fill="C00000"/>
            <w:vAlign w:val="center"/>
          </w:tcPr>
          <w:p w14:paraId="329993EE" w14:textId="77777777" w:rsidR="00EF1D5F" w:rsidRPr="00E14E4A" w:rsidRDefault="00EF1D5F" w:rsidP="00C372F4">
            <w:pPr>
              <w:jc w:val="right"/>
              <w:rPr>
                <w:b/>
                <w:color w:val="FFFFFF"/>
                <w:sz w:val="24"/>
              </w:rPr>
            </w:pPr>
            <w:r w:rsidRPr="00E14E4A">
              <w:rPr>
                <w:b/>
                <w:color w:val="FFFFFF"/>
                <w:sz w:val="24"/>
              </w:rPr>
              <w:t>Proyecto</w:t>
            </w:r>
          </w:p>
        </w:tc>
        <w:tc>
          <w:tcPr>
            <w:tcW w:w="1985" w:type="dxa"/>
            <w:shd w:val="clear" w:color="auto" w:fill="C00000"/>
            <w:vAlign w:val="center"/>
          </w:tcPr>
          <w:p w14:paraId="48CCE66E" w14:textId="77777777" w:rsidR="00EF1D5F" w:rsidRPr="00E14E4A" w:rsidRDefault="00EF1D5F" w:rsidP="003D4AD9">
            <w:pPr>
              <w:jc w:val="center"/>
              <w:rPr>
                <w:b/>
                <w:color w:val="FFFFFF"/>
                <w:sz w:val="24"/>
              </w:rPr>
            </w:pPr>
            <w:r w:rsidRPr="00E14E4A">
              <w:rPr>
                <w:b/>
                <w:color w:val="FFFFFF"/>
                <w:sz w:val="24"/>
              </w:rPr>
              <w:t>Estado</w:t>
            </w:r>
          </w:p>
        </w:tc>
        <w:tc>
          <w:tcPr>
            <w:tcW w:w="2976" w:type="dxa"/>
            <w:shd w:val="clear" w:color="auto" w:fill="C00000"/>
            <w:vAlign w:val="center"/>
          </w:tcPr>
          <w:p w14:paraId="77B0E30C" w14:textId="77777777" w:rsidR="00EF1D5F" w:rsidRPr="00E14E4A" w:rsidRDefault="00EF1D5F" w:rsidP="003D4AD9">
            <w:pPr>
              <w:jc w:val="center"/>
              <w:rPr>
                <w:b/>
                <w:color w:val="FFFFFF"/>
                <w:sz w:val="24"/>
              </w:rPr>
            </w:pPr>
            <w:r w:rsidRPr="00E14E4A">
              <w:rPr>
                <w:b/>
                <w:color w:val="FFFFFF"/>
                <w:sz w:val="24"/>
              </w:rPr>
              <w:t>Fecha de entrega</w:t>
            </w:r>
          </w:p>
          <w:p w14:paraId="58034270" w14:textId="77777777" w:rsidR="00EF1D5F" w:rsidRPr="00E14E4A" w:rsidRDefault="00EF1D5F" w:rsidP="003D4AD9">
            <w:pPr>
              <w:jc w:val="center"/>
              <w:rPr>
                <w:b/>
                <w:color w:val="FFFFFF"/>
                <w:sz w:val="24"/>
              </w:rPr>
            </w:pPr>
            <w:r w:rsidRPr="00E14E4A">
              <w:rPr>
                <w:b/>
                <w:color w:val="FFFFFF"/>
                <w:sz w:val="24"/>
              </w:rPr>
              <w:t>de la obra</w:t>
            </w:r>
          </w:p>
        </w:tc>
      </w:tr>
      <w:tr w:rsidR="00EF1D5F" w:rsidRPr="00E14E4A" w14:paraId="7BE155B8" w14:textId="77777777" w:rsidTr="00C372F4">
        <w:trPr>
          <w:trHeight w:val="397"/>
          <w:jc w:val="center"/>
        </w:trPr>
        <w:tc>
          <w:tcPr>
            <w:tcW w:w="4111" w:type="dxa"/>
            <w:shd w:val="clear" w:color="auto" w:fill="auto"/>
            <w:vAlign w:val="center"/>
          </w:tcPr>
          <w:p w14:paraId="1B95B494" w14:textId="77777777" w:rsidR="00EF1D5F" w:rsidRPr="00E14E4A" w:rsidRDefault="00EF1D5F" w:rsidP="00C372F4">
            <w:pPr>
              <w:jc w:val="right"/>
              <w:rPr>
                <w:sz w:val="16"/>
                <w:szCs w:val="16"/>
              </w:rPr>
            </w:pPr>
            <w:r w:rsidRPr="00E14E4A">
              <w:rPr>
                <w:sz w:val="16"/>
                <w:szCs w:val="16"/>
              </w:rPr>
              <w:t xml:space="preserve"> Primera línea del Metro Tramo 1</w:t>
            </w:r>
          </w:p>
        </w:tc>
        <w:tc>
          <w:tcPr>
            <w:tcW w:w="1985" w:type="dxa"/>
            <w:shd w:val="clear" w:color="auto" w:fill="auto"/>
            <w:vAlign w:val="center"/>
          </w:tcPr>
          <w:p w14:paraId="593D5A5F" w14:textId="77777777" w:rsidR="00EF1D5F" w:rsidRPr="00E14E4A" w:rsidRDefault="00EF1D5F" w:rsidP="003D4AD9">
            <w:pPr>
              <w:jc w:val="left"/>
              <w:rPr>
                <w:sz w:val="16"/>
                <w:szCs w:val="16"/>
              </w:rPr>
            </w:pPr>
            <w:r w:rsidRPr="00E14E4A">
              <w:rPr>
                <w:sz w:val="16"/>
                <w:szCs w:val="16"/>
              </w:rPr>
              <w:t>Etapa preoperativa</w:t>
            </w:r>
          </w:p>
        </w:tc>
        <w:tc>
          <w:tcPr>
            <w:tcW w:w="2976" w:type="dxa"/>
            <w:shd w:val="clear" w:color="auto" w:fill="auto"/>
            <w:vAlign w:val="center"/>
          </w:tcPr>
          <w:p w14:paraId="21C0C8BA" w14:textId="77777777" w:rsidR="00EF1D5F" w:rsidRPr="00E14E4A" w:rsidRDefault="00EF1D5F" w:rsidP="003D4AD9">
            <w:pPr>
              <w:jc w:val="left"/>
              <w:rPr>
                <w:sz w:val="16"/>
                <w:szCs w:val="16"/>
              </w:rPr>
            </w:pPr>
          </w:p>
        </w:tc>
      </w:tr>
      <w:tr w:rsidR="00EF1D5F" w:rsidRPr="00E14E4A" w14:paraId="7DAFAAA3" w14:textId="77777777" w:rsidTr="00C372F4">
        <w:trPr>
          <w:trHeight w:val="397"/>
          <w:jc w:val="center"/>
        </w:trPr>
        <w:tc>
          <w:tcPr>
            <w:tcW w:w="4111" w:type="dxa"/>
            <w:shd w:val="clear" w:color="auto" w:fill="auto"/>
            <w:vAlign w:val="center"/>
          </w:tcPr>
          <w:p w14:paraId="0EA25EFF" w14:textId="77777777" w:rsidR="00EF1D5F" w:rsidRPr="00E14E4A" w:rsidRDefault="00EF1D5F" w:rsidP="00C372F4">
            <w:pPr>
              <w:jc w:val="right"/>
              <w:rPr>
                <w:sz w:val="16"/>
                <w:szCs w:val="16"/>
              </w:rPr>
            </w:pPr>
            <w:r w:rsidRPr="00E14E4A">
              <w:rPr>
                <w:sz w:val="16"/>
                <w:szCs w:val="16"/>
              </w:rPr>
              <w:t xml:space="preserve"> Línea 2 Metro (L2MB)</w:t>
            </w:r>
          </w:p>
        </w:tc>
        <w:tc>
          <w:tcPr>
            <w:tcW w:w="1985" w:type="dxa"/>
            <w:shd w:val="clear" w:color="auto" w:fill="auto"/>
            <w:vAlign w:val="center"/>
          </w:tcPr>
          <w:p w14:paraId="06230687"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08BE0AC4" w14:textId="77777777" w:rsidR="00EF1D5F" w:rsidRPr="00E14E4A" w:rsidRDefault="00EF1D5F" w:rsidP="003D4AD9">
            <w:pPr>
              <w:jc w:val="left"/>
              <w:rPr>
                <w:sz w:val="16"/>
                <w:szCs w:val="16"/>
              </w:rPr>
            </w:pPr>
          </w:p>
        </w:tc>
      </w:tr>
      <w:tr w:rsidR="00EF1D5F" w:rsidRPr="00E14E4A" w14:paraId="3308174F" w14:textId="77777777" w:rsidTr="00C372F4">
        <w:trPr>
          <w:trHeight w:val="397"/>
          <w:jc w:val="center"/>
        </w:trPr>
        <w:tc>
          <w:tcPr>
            <w:tcW w:w="4111" w:type="dxa"/>
            <w:shd w:val="clear" w:color="auto" w:fill="auto"/>
            <w:vAlign w:val="center"/>
          </w:tcPr>
          <w:p w14:paraId="57321A36" w14:textId="77777777" w:rsidR="00EF1D5F" w:rsidRPr="00E14E4A" w:rsidRDefault="00EF1D5F" w:rsidP="00C372F4">
            <w:pPr>
              <w:jc w:val="right"/>
              <w:rPr>
                <w:sz w:val="16"/>
                <w:szCs w:val="16"/>
              </w:rPr>
            </w:pPr>
            <w:r w:rsidRPr="00E14E4A">
              <w:rPr>
                <w:sz w:val="16"/>
                <w:szCs w:val="16"/>
              </w:rPr>
              <w:t>Línea 3 Metro a Soacha</w:t>
            </w:r>
          </w:p>
        </w:tc>
        <w:tc>
          <w:tcPr>
            <w:tcW w:w="1985" w:type="dxa"/>
            <w:shd w:val="clear" w:color="auto" w:fill="auto"/>
            <w:vAlign w:val="center"/>
          </w:tcPr>
          <w:p w14:paraId="38247225"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693BB7D3" w14:textId="77777777" w:rsidR="00EF1D5F" w:rsidRPr="00E14E4A" w:rsidRDefault="00EF1D5F" w:rsidP="003D4AD9">
            <w:pPr>
              <w:jc w:val="left"/>
              <w:rPr>
                <w:sz w:val="16"/>
                <w:szCs w:val="16"/>
              </w:rPr>
            </w:pPr>
          </w:p>
        </w:tc>
      </w:tr>
      <w:tr w:rsidR="00EF1D5F" w:rsidRPr="00E14E4A" w14:paraId="5BDBECF2" w14:textId="77777777" w:rsidTr="00C372F4">
        <w:trPr>
          <w:trHeight w:val="397"/>
          <w:jc w:val="center"/>
        </w:trPr>
        <w:tc>
          <w:tcPr>
            <w:tcW w:w="4111" w:type="dxa"/>
            <w:shd w:val="clear" w:color="auto" w:fill="auto"/>
            <w:vAlign w:val="center"/>
          </w:tcPr>
          <w:p w14:paraId="5872FCA0" w14:textId="77777777" w:rsidR="00EF1D5F" w:rsidRPr="00E14E4A" w:rsidRDefault="00EF1D5F" w:rsidP="00C372F4">
            <w:pPr>
              <w:jc w:val="right"/>
              <w:rPr>
                <w:sz w:val="16"/>
                <w:szCs w:val="16"/>
              </w:rPr>
            </w:pPr>
            <w:r w:rsidRPr="00E14E4A">
              <w:rPr>
                <w:sz w:val="16"/>
                <w:szCs w:val="16"/>
              </w:rPr>
              <w:t>Avenida Alsacia Grupo 3</w:t>
            </w:r>
          </w:p>
        </w:tc>
        <w:tc>
          <w:tcPr>
            <w:tcW w:w="1985" w:type="dxa"/>
            <w:shd w:val="clear" w:color="auto" w:fill="auto"/>
            <w:vAlign w:val="center"/>
          </w:tcPr>
          <w:p w14:paraId="4E52788A"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4CE72DFC" w14:textId="77777777" w:rsidR="00EF1D5F" w:rsidRPr="00E14E4A" w:rsidRDefault="00EF1D5F" w:rsidP="003D4AD9">
            <w:pPr>
              <w:jc w:val="left"/>
              <w:rPr>
                <w:sz w:val="16"/>
                <w:szCs w:val="16"/>
              </w:rPr>
            </w:pPr>
            <w:r w:rsidRPr="00E14E4A">
              <w:rPr>
                <w:sz w:val="16"/>
                <w:szCs w:val="16"/>
              </w:rPr>
              <w:t>jun-24</w:t>
            </w:r>
          </w:p>
        </w:tc>
      </w:tr>
      <w:tr w:rsidR="00EF1D5F" w:rsidRPr="00E14E4A" w14:paraId="21C04A08" w14:textId="77777777" w:rsidTr="00C372F4">
        <w:trPr>
          <w:trHeight w:val="397"/>
          <w:jc w:val="center"/>
        </w:trPr>
        <w:tc>
          <w:tcPr>
            <w:tcW w:w="4111" w:type="dxa"/>
            <w:shd w:val="clear" w:color="auto" w:fill="auto"/>
            <w:vAlign w:val="center"/>
          </w:tcPr>
          <w:p w14:paraId="1F1DD5EF" w14:textId="77777777" w:rsidR="00EF1D5F" w:rsidRPr="00E14E4A" w:rsidRDefault="00EF1D5F" w:rsidP="00C372F4">
            <w:pPr>
              <w:jc w:val="right"/>
              <w:rPr>
                <w:sz w:val="16"/>
                <w:szCs w:val="16"/>
              </w:rPr>
            </w:pPr>
            <w:r w:rsidRPr="00E14E4A">
              <w:rPr>
                <w:sz w:val="16"/>
                <w:szCs w:val="16"/>
              </w:rPr>
              <w:t>Avenida El Tintal Grupo 2</w:t>
            </w:r>
          </w:p>
        </w:tc>
        <w:tc>
          <w:tcPr>
            <w:tcW w:w="1985" w:type="dxa"/>
            <w:shd w:val="clear" w:color="auto" w:fill="auto"/>
            <w:vAlign w:val="center"/>
          </w:tcPr>
          <w:p w14:paraId="56A4F961"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11FFE9FD" w14:textId="77777777" w:rsidR="00EF1D5F" w:rsidRPr="00E14E4A" w:rsidRDefault="00EF1D5F" w:rsidP="003D4AD9">
            <w:pPr>
              <w:jc w:val="left"/>
              <w:rPr>
                <w:sz w:val="16"/>
                <w:szCs w:val="16"/>
              </w:rPr>
            </w:pPr>
            <w:r w:rsidRPr="00E14E4A">
              <w:rPr>
                <w:sz w:val="16"/>
                <w:szCs w:val="16"/>
              </w:rPr>
              <w:t>jun-24</w:t>
            </w:r>
          </w:p>
        </w:tc>
      </w:tr>
      <w:tr w:rsidR="00EF1D5F" w:rsidRPr="00E14E4A" w14:paraId="72F62628" w14:textId="77777777" w:rsidTr="00C372F4">
        <w:trPr>
          <w:trHeight w:val="397"/>
          <w:jc w:val="center"/>
        </w:trPr>
        <w:tc>
          <w:tcPr>
            <w:tcW w:w="4111" w:type="dxa"/>
            <w:shd w:val="clear" w:color="auto" w:fill="auto"/>
            <w:vAlign w:val="center"/>
          </w:tcPr>
          <w:p w14:paraId="68E4D471" w14:textId="77777777" w:rsidR="00EF1D5F" w:rsidRPr="00E14E4A" w:rsidRDefault="00EF1D5F" w:rsidP="00C372F4">
            <w:pPr>
              <w:jc w:val="right"/>
              <w:rPr>
                <w:sz w:val="16"/>
                <w:szCs w:val="16"/>
              </w:rPr>
            </w:pPr>
            <w:r w:rsidRPr="00E14E4A">
              <w:rPr>
                <w:sz w:val="16"/>
                <w:szCs w:val="16"/>
              </w:rPr>
              <w:t>Intersección Norte-Quito-Sur (NQS) por Av. Bosa (Puente vehicular)</w:t>
            </w:r>
          </w:p>
        </w:tc>
        <w:tc>
          <w:tcPr>
            <w:tcW w:w="1985" w:type="dxa"/>
            <w:shd w:val="clear" w:color="auto" w:fill="auto"/>
            <w:vAlign w:val="center"/>
          </w:tcPr>
          <w:p w14:paraId="2DB6F474"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5ECCD437" w14:textId="77777777" w:rsidR="00EF1D5F" w:rsidRPr="00E14E4A" w:rsidRDefault="00EF1D5F" w:rsidP="003D4AD9">
            <w:pPr>
              <w:jc w:val="left"/>
              <w:rPr>
                <w:sz w:val="16"/>
                <w:szCs w:val="16"/>
              </w:rPr>
            </w:pPr>
            <w:r w:rsidRPr="00E14E4A">
              <w:rPr>
                <w:sz w:val="16"/>
                <w:szCs w:val="16"/>
              </w:rPr>
              <w:t>ene-26</w:t>
            </w:r>
          </w:p>
        </w:tc>
      </w:tr>
      <w:tr w:rsidR="00EF1D5F" w:rsidRPr="00E14E4A" w14:paraId="26669C11" w14:textId="77777777" w:rsidTr="00C372F4">
        <w:trPr>
          <w:trHeight w:val="397"/>
          <w:jc w:val="center"/>
        </w:trPr>
        <w:tc>
          <w:tcPr>
            <w:tcW w:w="4111" w:type="dxa"/>
            <w:shd w:val="clear" w:color="auto" w:fill="auto"/>
            <w:vAlign w:val="center"/>
          </w:tcPr>
          <w:p w14:paraId="6822C71D" w14:textId="77777777" w:rsidR="00EF1D5F" w:rsidRPr="00E14E4A" w:rsidRDefault="00EF1D5F" w:rsidP="00C372F4">
            <w:pPr>
              <w:jc w:val="right"/>
              <w:rPr>
                <w:sz w:val="16"/>
                <w:szCs w:val="16"/>
              </w:rPr>
            </w:pPr>
            <w:r w:rsidRPr="00E14E4A">
              <w:rPr>
                <w:sz w:val="16"/>
                <w:szCs w:val="16"/>
              </w:rPr>
              <w:t>Centro Fundacional Usaquén</w:t>
            </w:r>
          </w:p>
        </w:tc>
        <w:tc>
          <w:tcPr>
            <w:tcW w:w="1985" w:type="dxa"/>
            <w:shd w:val="clear" w:color="auto" w:fill="auto"/>
            <w:vAlign w:val="center"/>
          </w:tcPr>
          <w:p w14:paraId="193D83AC"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67F112AE" w14:textId="77777777" w:rsidR="00EF1D5F" w:rsidRPr="00E14E4A" w:rsidRDefault="00EF1D5F" w:rsidP="003D4AD9">
            <w:pPr>
              <w:jc w:val="left"/>
              <w:rPr>
                <w:sz w:val="16"/>
                <w:szCs w:val="16"/>
              </w:rPr>
            </w:pPr>
            <w:r w:rsidRPr="00E14E4A">
              <w:rPr>
                <w:sz w:val="16"/>
                <w:szCs w:val="16"/>
              </w:rPr>
              <w:t>dic-25</w:t>
            </w:r>
          </w:p>
        </w:tc>
      </w:tr>
      <w:tr w:rsidR="00EF1D5F" w:rsidRPr="00E14E4A" w14:paraId="1E61539A" w14:textId="77777777" w:rsidTr="00C372F4">
        <w:trPr>
          <w:trHeight w:val="397"/>
          <w:jc w:val="center"/>
        </w:trPr>
        <w:tc>
          <w:tcPr>
            <w:tcW w:w="4111" w:type="dxa"/>
            <w:shd w:val="clear" w:color="auto" w:fill="auto"/>
            <w:vAlign w:val="center"/>
          </w:tcPr>
          <w:p w14:paraId="497DFF82" w14:textId="77777777" w:rsidR="00EF1D5F" w:rsidRPr="00E14E4A" w:rsidRDefault="00EF1D5F" w:rsidP="00C372F4">
            <w:pPr>
              <w:jc w:val="right"/>
              <w:rPr>
                <w:sz w:val="16"/>
                <w:szCs w:val="16"/>
              </w:rPr>
            </w:pPr>
            <w:r w:rsidRPr="00E14E4A">
              <w:rPr>
                <w:sz w:val="16"/>
                <w:szCs w:val="16"/>
              </w:rPr>
              <w:t>Av. 1º de Mayo, calle 54 Sur entre carreras 88C y 89</w:t>
            </w:r>
          </w:p>
        </w:tc>
        <w:tc>
          <w:tcPr>
            <w:tcW w:w="1985" w:type="dxa"/>
            <w:shd w:val="clear" w:color="auto" w:fill="auto"/>
            <w:vAlign w:val="center"/>
          </w:tcPr>
          <w:p w14:paraId="01BFF513"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3C297B05" w14:textId="77777777" w:rsidR="00EF1D5F" w:rsidRPr="00E14E4A" w:rsidRDefault="00EF1D5F" w:rsidP="003D4AD9">
            <w:pPr>
              <w:jc w:val="left"/>
              <w:rPr>
                <w:sz w:val="16"/>
                <w:szCs w:val="16"/>
              </w:rPr>
            </w:pPr>
            <w:r w:rsidRPr="00E14E4A">
              <w:rPr>
                <w:sz w:val="16"/>
                <w:szCs w:val="16"/>
              </w:rPr>
              <w:t>dic-24</w:t>
            </w:r>
          </w:p>
        </w:tc>
      </w:tr>
      <w:tr w:rsidR="00EF1D5F" w:rsidRPr="00E14E4A" w14:paraId="773B39F9" w14:textId="77777777" w:rsidTr="00C372F4">
        <w:trPr>
          <w:trHeight w:val="397"/>
          <w:jc w:val="center"/>
        </w:trPr>
        <w:tc>
          <w:tcPr>
            <w:tcW w:w="4111" w:type="dxa"/>
            <w:shd w:val="clear" w:color="auto" w:fill="auto"/>
            <w:vAlign w:val="center"/>
          </w:tcPr>
          <w:p w14:paraId="16D0EAD4" w14:textId="77777777" w:rsidR="00EF1D5F" w:rsidRPr="00E14E4A" w:rsidRDefault="00EF1D5F" w:rsidP="00C372F4">
            <w:pPr>
              <w:jc w:val="right"/>
              <w:rPr>
                <w:sz w:val="16"/>
                <w:szCs w:val="16"/>
              </w:rPr>
            </w:pPr>
            <w:r w:rsidRPr="00E14E4A">
              <w:rPr>
                <w:sz w:val="16"/>
                <w:szCs w:val="16"/>
              </w:rPr>
              <w:t>Av. José Celestino Mutis (calle 63) desde la Tv. 112b bis a la cra. 114 hasta la cra. 122.</w:t>
            </w:r>
          </w:p>
        </w:tc>
        <w:tc>
          <w:tcPr>
            <w:tcW w:w="1985" w:type="dxa"/>
            <w:shd w:val="clear" w:color="auto" w:fill="auto"/>
            <w:vAlign w:val="center"/>
          </w:tcPr>
          <w:p w14:paraId="67CD7D1D"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5145A0EB" w14:textId="77777777" w:rsidR="00EF1D5F" w:rsidRPr="00E14E4A" w:rsidRDefault="00EF1D5F" w:rsidP="003D4AD9">
            <w:pPr>
              <w:jc w:val="left"/>
              <w:rPr>
                <w:sz w:val="16"/>
                <w:szCs w:val="16"/>
              </w:rPr>
            </w:pPr>
            <w:r w:rsidRPr="00E14E4A">
              <w:rPr>
                <w:sz w:val="16"/>
                <w:szCs w:val="16"/>
              </w:rPr>
              <w:t>dic-24</w:t>
            </w:r>
          </w:p>
        </w:tc>
      </w:tr>
      <w:tr w:rsidR="00EF1D5F" w:rsidRPr="00E14E4A" w14:paraId="0FFD0DDA" w14:textId="77777777" w:rsidTr="00C372F4">
        <w:trPr>
          <w:trHeight w:val="397"/>
          <w:jc w:val="center"/>
        </w:trPr>
        <w:tc>
          <w:tcPr>
            <w:tcW w:w="4111" w:type="dxa"/>
            <w:shd w:val="clear" w:color="auto" w:fill="auto"/>
            <w:vAlign w:val="center"/>
          </w:tcPr>
          <w:p w14:paraId="362C0729" w14:textId="77777777" w:rsidR="00EF1D5F" w:rsidRPr="00E14E4A" w:rsidRDefault="00EF1D5F" w:rsidP="00C372F4">
            <w:pPr>
              <w:jc w:val="right"/>
              <w:rPr>
                <w:sz w:val="16"/>
                <w:szCs w:val="16"/>
              </w:rPr>
            </w:pPr>
            <w:r w:rsidRPr="00E14E4A">
              <w:rPr>
                <w:sz w:val="16"/>
                <w:szCs w:val="16"/>
              </w:rPr>
              <w:t>Av. Laureano Gómez entre calles 170 y 193</w:t>
            </w:r>
          </w:p>
        </w:tc>
        <w:tc>
          <w:tcPr>
            <w:tcW w:w="1985" w:type="dxa"/>
            <w:shd w:val="clear" w:color="auto" w:fill="auto"/>
            <w:vAlign w:val="center"/>
          </w:tcPr>
          <w:p w14:paraId="521B738E"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022CE941" w14:textId="77777777" w:rsidR="00EF1D5F" w:rsidRPr="00E14E4A" w:rsidRDefault="00EF1D5F" w:rsidP="003D4AD9">
            <w:pPr>
              <w:jc w:val="left"/>
              <w:rPr>
                <w:sz w:val="16"/>
                <w:szCs w:val="16"/>
              </w:rPr>
            </w:pPr>
            <w:r w:rsidRPr="00E14E4A">
              <w:rPr>
                <w:sz w:val="16"/>
                <w:szCs w:val="16"/>
              </w:rPr>
              <w:t>may-25</w:t>
            </w:r>
          </w:p>
        </w:tc>
      </w:tr>
      <w:tr w:rsidR="00EF1D5F" w:rsidRPr="00E14E4A" w14:paraId="5D90CA0F" w14:textId="77777777" w:rsidTr="00C372F4">
        <w:trPr>
          <w:trHeight w:val="938"/>
          <w:jc w:val="center"/>
        </w:trPr>
        <w:tc>
          <w:tcPr>
            <w:tcW w:w="4111" w:type="dxa"/>
            <w:shd w:val="clear" w:color="auto" w:fill="auto"/>
            <w:vAlign w:val="center"/>
          </w:tcPr>
          <w:p w14:paraId="7A091041" w14:textId="77777777" w:rsidR="00EF1D5F" w:rsidRPr="00E14E4A" w:rsidRDefault="00EF1D5F" w:rsidP="00C372F4">
            <w:pPr>
              <w:jc w:val="right"/>
              <w:rPr>
                <w:sz w:val="16"/>
                <w:szCs w:val="16"/>
              </w:rPr>
            </w:pPr>
            <w:r w:rsidRPr="00E14E4A">
              <w:rPr>
                <w:sz w:val="16"/>
                <w:szCs w:val="16"/>
              </w:rPr>
              <w:t>Valorización Grupo 1,2,3,4,5 Zonas industriales Montevideo y Puente Aranda</w:t>
            </w:r>
          </w:p>
        </w:tc>
        <w:tc>
          <w:tcPr>
            <w:tcW w:w="1985" w:type="dxa"/>
            <w:shd w:val="clear" w:color="auto" w:fill="auto"/>
            <w:vAlign w:val="center"/>
          </w:tcPr>
          <w:p w14:paraId="48C176F6"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40FDA431" w14:textId="77777777" w:rsidR="00EF1D5F" w:rsidRPr="00E14E4A" w:rsidRDefault="00EF1D5F" w:rsidP="003D4AD9">
            <w:pPr>
              <w:jc w:val="left"/>
              <w:rPr>
                <w:sz w:val="16"/>
                <w:szCs w:val="16"/>
              </w:rPr>
            </w:pPr>
            <w:r w:rsidRPr="00E14E4A">
              <w:rPr>
                <w:sz w:val="16"/>
                <w:szCs w:val="16"/>
              </w:rPr>
              <w:t>Fechas de terminación según grupo: G1: sep-25; G2: ene-26; G3 y G4: feb-26; G5: jun-27</w:t>
            </w:r>
          </w:p>
        </w:tc>
      </w:tr>
      <w:tr w:rsidR="00EF1D5F" w:rsidRPr="00E14E4A" w14:paraId="309C485C" w14:textId="77777777" w:rsidTr="00C372F4">
        <w:trPr>
          <w:trHeight w:val="397"/>
          <w:jc w:val="center"/>
        </w:trPr>
        <w:tc>
          <w:tcPr>
            <w:tcW w:w="4111" w:type="dxa"/>
            <w:shd w:val="clear" w:color="auto" w:fill="auto"/>
            <w:vAlign w:val="center"/>
          </w:tcPr>
          <w:p w14:paraId="16A48E9F" w14:textId="77777777" w:rsidR="00EF1D5F" w:rsidRPr="00E14E4A" w:rsidRDefault="00EF1D5F" w:rsidP="00C372F4">
            <w:pPr>
              <w:jc w:val="right"/>
              <w:rPr>
                <w:sz w:val="16"/>
                <w:szCs w:val="16"/>
              </w:rPr>
            </w:pPr>
            <w:r w:rsidRPr="00E14E4A">
              <w:rPr>
                <w:sz w:val="16"/>
                <w:szCs w:val="16"/>
              </w:rPr>
              <w:t>A. Jorge Uribe Botero Fase I</w:t>
            </w:r>
          </w:p>
        </w:tc>
        <w:tc>
          <w:tcPr>
            <w:tcW w:w="1985" w:type="dxa"/>
            <w:shd w:val="clear" w:color="auto" w:fill="auto"/>
            <w:vAlign w:val="center"/>
          </w:tcPr>
          <w:p w14:paraId="42003630" w14:textId="77777777" w:rsidR="00EF1D5F" w:rsidRPr="00E14E4A" w:rsidRDefault="00EF1D5F" w:rsidP="003D4AD9">
            <w:pPr>
              <w:jc w:val="left"/>
              <w:rPr>
                <w:sz w:val="16"/>
                <w:szCs w:val="16"/>
              </w:rPr>
            </w:pPr>
            <w:r w:rsidRPr="00E14E4A">
              <w:rPr>
                <w:sz w:val="16"/>
                <w:szCs w:val="16"/>
              </w:rPr>
              <w:t>Obra antigua que se reestructurará</w:t>
            </w:r>
          </w:p>
        </w:tc>
        <w:tc>
          <w:tcPr>
            <w:tcW w:w="2976" w:type="dxa"/>
            <w:shd w:val="clear" w:color="auto" w:fill="auto"/>
            <w:vAlign w:val="center"/>
          </w:tcPr>
          <w:p w14:paraId="1D2BB3C5" w14:textId="77777777" w:rsidR="00EF1D5F" w:rsidRPr="00E14E4A" w:rsidRDefault="00EF1D5F" w:rsidP="003D4AD9">
            <w:pPr>
              <w:jc w:val="left"/>
              <w:rPr>
                <w:sz w:val="16"/>
                <w:szCs w:val="16"/>
              </w:rPr>
            </w:pPr>
            <w:r w:rsidRPr="00E14E4A">
              <w:rPr>
                <w:sz w:val="16"/>
                <w:szCs w:val="16"/>
              </w:rPr>
              <w:t>dic-28</w:t>
            </w:r>
          </w:p>
        </w:tc>
      </w:tr>
      <w:tr w:rsidR="00EF1D5F" w:rsidRPr="00E14E4A" w14:paraId="1C4666A4" w14:textId="77777777" w:rsidTr="00C372F4">
        <w:trPr>
          <w:trHeight w:val="397"/>
          <w:jc w:val="center"/>
        </w:trPr>
        <w:tc>
          <w:tcPr>
            <w:tcW w:w="4111" w:type="dxa"/>
            <w:shd w:val="clear" w:color="auto" w:fill="auto"/>
            <w:vAlign w:val="center"/>
          </w:tcPr>
          <w:p w14:paraId="7690C94F" w14:textId="77777777" w:rsidR="00EF1D5F" w:rsidRPr="00E14E4A" w:rsidRDefault="00EF1D5F" w:rsidP="00C372F4">
            <w:pPr>
              <w:jc w:val="right"/>
              <w:rPr>
                <w:sz w:val="16"/>
                <w:szCs w:val="16"/>
              </w:rPr>
            </w:pPr>
            <w:r w:rsidRPr="00E14E4A">
              <w:rPr>
                <w:sz w:val="16"/>
                <w:szCs w:val="16"/>
              </w:rPr>
              <w:t>Santa Bárbara y Contador cra. 19 calle 127-calle 134</w:t>
            </w:r>
          </w:p>
        </w:tc>
        <w:tc>
          <w:tcPr>
            <w:tcW w:w="1985" w:type="dxa"/>
            <w:shd w:val="clear" w:color="auto" w:fill="auto"/>
            <w:vAlign w:val="center"/>
          </w:tcPr>
          <w:p w14:paraId="2B87DE60" w14:textId="77777777" w:rsidR="00EF1D5F" w:rsidRPr="00E14E4A" w:rsidRDefault="00EF1D5F" w:rsidP="003D4AD9">
            <w:pPr>
              <w:jc w:val="left"/>
              <w:rPr>
                <w:sz w:val="16"/>
                <w:szCs w:val="16"/>
              </w:rPr>
            </w:pPr>
            <w:r w:rsidRPr="00E14E4A">
              <w:rPr>
                <w:sz w:val="16"/>
                <w:szCs w:val="16"/>
              </w:rPr>
              <w:t>Obra antigua que se reestructurará</w:t>
            </w:r>
          </w:p>
        </w:tc>
        <w:tc>
          <w:tcPr>
            <w:tcW w:w="2976" w:type="dxa"/>
            <w:shd w:val="clear" w:color="auto" w:fill="auto"/>
            <w:vAlign w:val="center"/>
          </w:tcPr>
          <w:p w14:paraId="166ADA53" w14:textId="77777777" w:rsidR="00EF1D5F" w:rsidRPr="00E14E4A" w:rsidRDefault="00EF1D5F" w:rsidP="003D4AD9">
            <w:pPr>
              <w:jc w:val="left"/>
              <w:rPr>
                <w:sz w:val="16"/>
                <w:szCs w:val="16"/>
              </w:rPr>
            </w:pPr>
            <w:r w:rsidRPr="00E14E4A">
              <w:rPr>
                <w:sz w:val="16"/>
                <w:szCs w:val="16"/>
              </w:rPr>
              <w:t>dic-28</w:t>
            </w:r>
          </w:p>
        </w:tc>
      </w:tr>
      <w:tr w:rsidR="00EF1D5F" w:rsidRPr="00E14E4A" w14:paraId="7F72F6E6" w14:textId="77777777" w:rsidTr="00C372F4">
        <w:trPr>
          <w:trHeight w:val="665"/>
          <w:jc w:val="center"/>
        </w:trPr>
        <w:tc>
          <w:tcPr>
            <w:tcW w:w="4111" w:type="dxa"/>
            <w:shd w:val="clear" w:color="auto" w:fill="auto"/>
            <w:vAlign w:val="center"/>
          </w:tcPr>
          <w:p w14:paraId="53DC55CD" w14:textId="77777777" w:rsidR="00EF1D5F" w:rsidRPr="00E14E4A" w:rsidRDefault="00EF1D5F" w:rsidP="00C372F4">
            <w:pPr>
              <w:jc w:val="right"/>
              <w:rPr>
                <w:sz w:val="16"/>
                <w:szCs w:val="16"/>
              </w:rPr>
            </w:pPr>
            <w:r w:rsidRPr="00E14E4A">
              <w:rPr>
                <w:sz w:val="16"/>
                <w:szCs w:val="16"/>
              </w:rPr>
              <w:t>Andenes y ciclorrutas autopista Norte costado oriental desde calle 80 hasta la calle 128 B</w:t>
            </w:r>
          </w:p>
        </w:tc>
        <w:tc>
          <w:tcPr>
            <w:tcW w:w="1985" w:type="dxa"/>
            <w:shd w:val="clear" w:color="auto" w:fill="auto"/>
            <w:vAlign w:val="center"/>
          </w:tcPr>
          <w:p w14:paraId="46D48A77"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62D0CDC5" w14:textId="77777777" w:rsidR="00EF1D5F" w:rsidRPr="00E14E4A" w:rsidRDefault="00EF1D5F" w:rsidP="003D4AD9">
            <w:pPr>
              <w:jc w:val="left"/>
              <w:rPr>
                <w:sz w:val="16"/>
                <w:szCs w:val="16"/>
              </w:rPr>
            </w:pPr>
            <w:r w:rsidRPr="00E14E4A">
              <w:rPr>
                <w:sz w:val="16"/>
                <w:szCs w:val="16"/>
              </w:rPr>
              <w:t>jul-24</w:t>
            </w:r>
          </w:p>
        </w:tc>
      </w:tr>
      <w:tr w:rsidR="00EF1D5F" w:rsidRPr="00E14E4A" w14:paraId="5B28848C" w14:textId="77777777" w:rsidTr="00C372F4">
        <w:trPr>
          <w:trHeight w:val="397"/>
          <w:jc w:val="center"/>
        </w:trPr>
        <w:tc>
          <w:tcPr>
            <w:tcW w:w="4111" w:type="dxa"/>
            <w:shd w:val="clear" w:color="auto" w:fill="auto"/>
            <w:vAlign w:val="center"/>
          </w:tcPr>
          <w:p w14:paraId="7876CAD0" w14:textId="77777777" w:rsidR="00EF1D5F" w:rsidRPr="00E14E4A" w:rsidRDefault="00EF1D5F" w:rsidP="00C372F4">
            <w:pPr>
              <w:jc w:val="right"/>
              <w:rPr>
                <w:sz w:val="16"/>
                <w:szCs w:val="16"/>
              </w:rPr>
            </w:pPr>
            <w:r w:rsidRPr="00E14E4A">
              <w:rPr>
                <w:sz w:val="16"/>
                <w:szCs w:val="16"/>
              </w:rPr>
              <w:t>Av. El Rincón / Av. Boyacá hasta cra. 91 e intersección: calle 127 Av. Boyacá</w:t>
            </w:r>
          </w:p>
        </w:tc>
        <w:tc>
          <w:tcPr>
            <w:tcW w:w="1985" w:type="dxa"/>
            <w:shd w:val="clear" w:color="auto" w:fill="auto"/>
            <w:vAlign w:val="center"/>
          </w:tcPr>
          <w:p w14:paraId="004F981C"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088B181B" w14:textId="77777777" w:rsidR="00EF1D5F" w:rsidRPr="00E14E4A" w:rsidRDefault="00EF1D5F" w:rsidP="003D4AD9">
            <w:pPr>
              <w:jc w:val="left"/>
              <w:rPr>
                <w:sz w:val="16"/>
                <w:szCs w:val="16"/>
              </w:rPr>
            </w:pPr>
            <w:r w:rsidRPr="00E14E4A">
              <w:rPr>
                <w:sz w:val="16"/>
                <w:szCs w:val="16"/>
              </w:rPr>
              <w:t>may-25</w:t>
            </w:r>
          </w:p>
        </w:tc>
      </w:tr>
      <w:tr w:rsidR="00EF1D5F" w:rsidRPr="00E14E4A" w14:paraId="4EA92DE1" w14:textId="77777777" w:rsidTr="00C372F4">
        <w:trPr>
          <w:trHeight w:val="397"/>
          <w:jc w:val="center"/>
        </w:trPr>
        <w:tc>
          <w:tcPr>
            <w:tcW w:w="4111" w:type="dxa"/>
            <w:shd w:val="clear" w:color="auto" w:fill="auto"/>
            <w:vAlign w:val="center"/>
          </w:tcPr>
          <w:p w14:paraId="3C71D4AE" w14:textId="77777777" w:rsidR="00EF1D5F" w:rsidRPr="00E14E4A" w:rsidRDefault="00EF1D5F" w:rsidP="00C372F4">
            <w:pPr>
              <w:jc w:val="right"/>
              <w:rPr>
                <w:sz w:val="16"/>
                <w:szCs w:val="16"/>
              </w:rPr>
            </w:pPr>
            <w:r w:rsidRPr="00E14E4A">
              <w:rPr>
                <w:sz w:val="16"/>
                <w:szCs w:val="16"/>
              </w:rPr>
              <w:t>Av. Boyacá (calle 72) / Av. San José (calle 170) hasta Av. San Antonio (calle 183)</w:t>
            </w:r>
          </w:p>
        </w:tc>
        <w:tc>
          <w:tcPr>
            <w:tcW w:w="1985" w:type="dxa"/>
            <w:shd w:val="clear" w:color="auto" w:fill="auto"/>
            <w:vAlign w:val="center"/>
          </w:tcPr>
          <w:p w14:paraId="75F8DBFE"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671C95BC" w14:textId="77777777" w:rsidR="00EF1D5F" w:rsidRPr="00E14E4A" w:rsidRDefault="00EF1D5F" w:rsidP="003D4AD9">
            <w:pPr>
              <w:jc w:val="left"/>
              <w:rPr>
                <w:sz w:val="16"/>
                <w:szCs w:val="16"/>
              </w:rPr>
            </w:pPr>
            <w:r w:rsidRPr="00E14E4A">
              <w:rPr>
                <w:sz w:val="16"/>
                <w:szCs w:val="16"/>
              </w:rPr>
              <w:t>dic-24</w:t>
            </w:r>
          </w:p>
        </w:tc>
      </w:tr>
      <w:tr w:rsidR="00EF1D5F" w:rsidRPr="00E14E4A" w14:paraId="79980E7A" w14:textId="77777777" w:rsidTr="00C372F4">
        <w:trPr>
          <w:trHeight w:val="397"/>
          <w:jc w:val="center"/>
        </w:trPr>
        <w:tc>
          <w:tcPr>
            <w:tcW w:w="4111" w:type="dxa"/>
            <w:shd w:val="clear" w:color="auto" w:fill="auto"/>
            <w:vAlign w:val="center"/>
          </w:tcPr>
          <w:p w14:paraId="4B51EFBF" w14:textId="77777777" w:rsidR="00EF1D5F" w:rsidRPr="00E14E4A" w:rsidRDefault="00EF1D5F" w:rsidP="00C372F4">
            <w:pPr>
              <w:jc w:val="right"/>
              <w:rPr>
                <w:sz w:val="16"/>
                <w:szCs w:val="16"/>
              </w:rPr>
            </w:pPr>
            <w:r w:rsidRPr="00E14E4A">
              <w:rPr>
                <w:sz w:val="16"/>
                <w:szCs w:val="16"/>
              </w:rPr>
              <w:t>Av. la Sirena (calle 153) entre autopista Norte y Av. Boyacá</w:t>
            </w:r>
          </w:p>
        </w:tc>
        <w:tc>
          <w:tcPr>
            <w:tcW w:w="1985" w:type="dxa"/>
            <w:shd w:val="clear" w:color="auto" w:fill="auto"/>
            <w:vAlign w:val="center"/>
          </w:tcPr>
          <w:p w14:paraId="21675884"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14BB8989" w14:textId="36960634" w:rsidR="00EF1D5F" w:rsidRPr="00E14E4A" w:rsidRDefault="00827970" w:rsidP="003D4AD9">
            <w:pPr>
              <w:jc w:val="left"/>
              <w:rPr>
                <w:sz w:val="16"/>
                <w:szCs w:val="16"/>
              </w:rPr>
            </w:pPr>
            <w:r>
              <w:rPr>
                <w:sz w:val="16"/>
                <w:szCs w:val="16"/>
              </w:rPr>
              <w:t>n</w:t>
            </w:r>
            <w:r w:rsidR="00EF1D5F" w:rsidRPr="00E14E4A">
              <w:rPr>
                <w:sz w:val="16"/>
                <w:szCs w:val="16"/>
              </w:rPr>
              <w:t>ov-24</w:t>
            </w:r>
          </w:p>
        </w:tc>
      </w:tr>
      <w:tr w:rsidR="00EF1D5F" w:rsidRPr="00E14E4A" w14:paraId="74FA1B8D" w14:textId="77777777" w:rsidTr="00C372F4">
        <w:trPr>
          <w:trHeight w:val="397"/>
          <w:jc w:val="center"/>
        </w:trPr>
        <w:tc>
          <w:tcPr>
            <w:tcW w:w="4111" w:type="dxa"/>
            <w:shd w:val="clear" w:color="auto" w:fill="auto"/>
            <w:vAlign w:val="center"/>
          </w:tcPr>
          <w:p w14:paraId="597069FC" w14:textId="77777777" w:rsidR="00EF1D5F" w:rsidRPr="00E14E4A" w:rsidRDefault="00EF1D5F" w:rsidP="00C372F4">
            <w:pPr>
              <w:jc w:val="right"/>
              <w:rPr>
                <w:sz w:val="16"/>
                <w:szCs w:val="16"/>
              </w:rPr>
            </w:pPr>
            <w:r w:rsidRPr="00E14E4A">
              <w:rPr>
                <w:sz w:val="16"/>
                <w:szCs w:val="16"/>
              </w:rPr>
              <w:t xml:space="preserve">Puente vehicular calle 153 </w:t>
            </w:r>
          </w:p>
          <w:p w14:paraId="489ED891" w14:textId="77777777" w:rsidR="00EF1D5F" w:rsidRPr="00E14E4A" w:rsidRDefault="00EF1D5F" w:rsidP="00C372F4">
            <w:pPr>
              <w:jc w:val="right"/>
              <w:rPr>
                <w:sz w:val="16"/>
                <w:szCs w:val="16"/>
              </w:rPr>
            </w:pPr>
            <w:r w:rsidRPr="00E14E4A">
              <w:rPr>
                <w:sz w:val="16"/>
                <w:szCs w:val="16"/>
              </w:rPr>
              <w:t>por autopista Norte</w:t>
            </w:r>
          </w:p>
        </w:tc>
        <w:tc>
          <w:tcPr>
            <w:tcW w:w="1985" w:type="dxa"/>
            <w:shd w:val="clear" w:color="auto" w:fill="auto"/>
            <w:vAlign w:val="center"/>
          </w:tcPr>
          <w:p w14:paraId="10E6FB5C"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0845B33F" w14:textId="77777777" w:rsidR="00EF1D5F" w:rsidRPr="00E14E4A" w:rsidRDefault="00EF1D5F" w:rsidP="003D4AD9">
            <w:pPr>
              <w:jc w:val="left"/>
              <w:rPr>
                <w:sz w:val="16"/>
                <w:szCs w:val="16"/>
              </w:rPr>
            </w:pPr>
            <w:r w:rsidRPr="00E14E4A">
              <w:rPr>
                <w:sz w:val="16"/>
                <w:szCs w:val="16"/>
              </w:rPr>
              <w:t>sep-25</w:t>
            </w:r>
          </w:p>
        </w:tc>
      </w:tr>
      <w:tr w:rsidR="00EF1D5F" w:rsidRPr="00E14E4A" w14:paraId="11D907A9" w14:textId="77777777" w:rsidTr="00C372F4">
        <w:trPr>
          <w:trHeight w:val="300"/>
          <w:jc w:val="center"/>
        </w:trPr>
        <w:tc>
          <w:tcPr>
            <w:tcW w:w="4111" w:type="dxa"/>
            <w:shd w:val="clear" w:color="auto" w:fill="auto"/>
            <w:vAlign w:val="center"/>
          </w:tcPr>
          <w:p w14:paraId="39FFDBBF" w14:textId="77777777" w:rsidR="00EF1D5F" w:rsidRPr="00E14E4A" w:rsidRDefault="00EF1D5F" w:rsidP="00C372F4">
            <w:pPr>
              <w:jc w:val="right"/>
              <w:rPr>
                <w:sz w:val="16"/>
                <w:szCs w:val="16"/>
              </w:rPr>
            </w:pPr>
            <w:r w:rsidRPr="00E14E4A">
              <w:rPr>
                <w:sz w:val="16"/>
                <w:szCs w:val="16"/>
              </w:rPr>
              <w:t>Valorización Acuerdo 724: Conexiones transversales</w:t>
            </w:r>
          </w:p>
        </w:tc>
        <w:tc>
          <w:tcPr>
            <w:tcW w:w="1985" w:type="dxa"/>
            <w:shd w:val="clear" w:color="auto" w:fill="auto"/>
            <w:vAlign w:val="center"/>
          </w:tcPr>
          <w:p w14:paraId="279DFB0A"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72B48180" w14:textId="77777777" w:rsidR="00EF1D5F" w:rsidRPr="00E14E4A" w:rsidRDefault="00EF1D5F" w:rsidP="003D4AD9">
            <w:pPr>
              <w:jc w:val="left"/>
              <w:rPr>
                <w:sz w:val="16"/>
                <w:szCs w:val="16"/>
              </w:rPr>
            </w:pPr>
            <w:r w:rsidRPr="00E14E4A">
              <w:rPr>
                <w:sz w:val="16"/>
                <w:szCs w:val="16"/>
              </w:rPr>
              <w:t>jul-25</w:t>
            </w:r>
          </w:p>
        </w:tc>
      </w:tr>
      <w:tr w:rsidR="00EF1D5F" w:rsidRPr="00E14E4A" w14:paraId="314AB511" w14:textId="77777777" w:rsidTr="00C372F4">
        <w:trPr>
          <w:trHeight w:val="585"/>
          <w:jc w:val="center"/>
        </w:trPr>
        <w:tc>
          <w:tcPr>
            <w:tcW w:w="4111" w:type="dxa"/>
            <w:shd w:val="clear" w:color="auto" w:fill="auto"/>
            <w:vAlign w:val="center"/>
          </w:tcPr>
          <w:p w14:paraId="4E07911F" w14:textId="77777777" w:rsidR="00EF1D5F" w:rsidRPr="00E14E4A" w:rsidRDefault="00EF1D5F" w:rsidP="00C372F4">
            <w:pPr>
              <w:jc w:val="right"/>
              <w:rPr>
                <w:sz w:val="16"/>
                <w:szCs w:val="16"/>
              </w:rPr>
            </w:pPr>
            <w:r w:rsidRPr="00E14E4A">
              <w:rPr>
                <w:sz w:val="16"/>
                <w:szCs w:val="16"/>
              </w:rPr>
              <w:t xml:space="preserve">Valorización Acuerdo 25 1995: Av. Francisco Miranda (calle 45) desde la cra. 5 </w:t>
            </w:r>
          </w:p>
          <w:p w14:paraId="13572AFB" w14:textId="77777777" w:rsidR="00EF1D5F" w:rsidRPr="00E14E4A" w:rsidRDefault="00EF1D5F" w:rsidP="00C372F4">
            <w:pPr>
              <w:jc w:val="right"/>
              <w:rPr>
                <w:sz w:val="16"/>
                <w:szCs w:val="16"/>
              </w:rPr>
            </w:pPr>
            <w:r w:rsidRPr="00E14E4A">
              <w:rPr>
                <w:sz w:val="16"/>
                <w:szCs w:val="16"/>
              </w:rPr>
              <w:t>hasta la cra. 7</w:t>
            </w:r>
          </w:p>
        </w:tc>
        <w:tc>
          <w:tcPr>
            <w:tcW w:w="1985" w:type="dxa"/>
            <w:shd w:val="clear" w:color="auto" w:fill="auto"/>
            <w:vAlign w:val="center"/>
          </w:tcPr>
          <w:p w14:paraId="1218950F"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541B2AED" w14:textId="77777777" w:rsidR="00EF1D5F" w:rsidRPr="00E14E4A" w:rsidRDefault="00EF1D5F" w:rsidP="003D4AD9">
            <w:pPr>
              <w:jc w:val="left"/>
              <w:rPr>
                <w:sz w:val="16"/>
                <w:szCs w:val="16"/>
              </w:rPr>
            </w:pPr>
            <w:r w:rsidRPr="00E14E4A">
              <w:rPr>
                <w:sz w:val="16"/>
                <w:szCs w:val="16"/>
              </w:rPr>
              <w:t>may-25</w:t>
            </w:r>
          </w:p>
        </w:tc>
      </w:tr>
      <w:tr w:rsidR="00EF1D5F" w:rsidRPr="00E14E4A" w14:paraId="27C7AFB2" w14:textId="77777777" w:rsidTr="00C372F4">
        <w:trPr>
          <w:trHeight w:val="397"/>
          <w:jc w:val="center"/>
        </w:trPr>
        <w:tc>
          <w:tcPr>
            <w:tcW w:w="4111" w:type="dxa"/>
            <w:shd w:val="clear" w:color="auto" w:fill="auto"/>
            <w:vAlign w:val="center"/>
          </w:tcPr>
          <w:p w14:paraId="1A112764" w14:textId="77777777" w:rsidR="00EF1D5F" w:rsidRPr="00E14E4A" w:rsidRDefault="00EF1D5F" w:rsidP="00C372F4">
            <w:pPr>
              <w:jc w:val="right"/>
              <w:rPr>
                <w:sz w:val="16"/>
                <w:szCs w:val="16"/>
              </w:rPr>
            </w:pPr>
            <w:r w:rsidRPr="00E14E4A">
              <w:rPr>
                <w:sz w:val="16"/>
                <w:szCs w:val="16"/>
              </w:rPr>
              <w:t>Av. Jorge Uribe Botero Fase II (calles 151-170) Valorización</w:t>
            </w:r>
          </w:p>
        </w:tc>
        <w:tc>
          <w:tcPr>
            <w:tcW w:w="1985" w:type="dxa"/>
            <w:shd w:val="clear" w:color="auto" w:fill="auto"/>
            <w:vAlign w:val="center"/>
          </w:tcPr>
          <w:p w14:paraId="1F20F57B"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4E763478" w14:textId="77777777" w:rsidR="00EF1D5F" w:rsidRPr="00E14E4A" w:rsidRDefault="00EF1D5F" w:rsidP="003D4AD9">
            <w:pPr>
              <w:jc w:val="left"/>
              <w:rPr>
                <w:sz w:val="16"/>
                <w:szCs w:val="16"/>
              </w:rPr>
            </w:pPr>
            <w:r w:rsidRPr="00E14E4A">
              <w:rPr>
                <w:sz w:val="16"/>
                <w:szCs w:val="16"/>
              </w:rPr>
              <w:t>may-28</w:t>
            </w:r>
          </w:p>
        </w:tc>
      </w:tr>
      <w:tr w:rsidR="00EF1D5F" w:rsidRPr="00E14E4A" w14:paraId="65B0FD59" w14:textId="77777777" w:rsidTr="00C372F4">
        <w:trPr>
          <w:trHeight w:val="397"/>
          <w:jc w:val="center"/>
        </w:trPr>
        <w:tc>
          <w:tcPr>
            <w:tcW w:w="4111" w:type="dxa"/>
            <w:shd w:val="clear" w:color="auto" w:fill="auto"/>
            <w:vAlign w:val="center"/>
          </w:tcPr>
          <w:p w14:paraId="32ABF9CF" w14:textId="77777777" w:rsidR="00EF1D5F" w:rsidRPr="00E14E4A" w:rsidRDefault="00EF1D5F" w:rsidP="00C372F4">
            <w:pPr>
              <w:jc w:val="right"/>
              <w:rPr>
                <w:sz w:val="16"/>
                <w:szCs w:val="16"/>
              </w:rPr>
            </w:pPr>
            <w:r w:rsidRPr="00E14E4A">
              <w:rPr>
                <w:sz w:val="16"/>
                <w:szCs w:val="16"/>
              </w:rPr>
              <w:lastRenderedPageBreak/>
              <w:t>Contador Fase II (calle 134 entre carreras 15 y 7) Valorización</w:t>
            </w:r>
          </w:p>
        </w:tc>
        <w:tc>
          <w:tcPr>
            <w:tcW w:w="1985" w:type="dxa"/>
            <w:shd w:val="clear" w:color="auto" w:fill="auto"/>
            <w:vAlign w:val="center"/>
          </w:tcPr>
          <w:p w14:paraId="0A9B523E"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03AED86A" w14:textId="77777777" w:rsidR="00EF1D5F" w:rsidRPr="00E14E4A" w:rsidRDefault="00EF1D5F" w:rsidP="003D4AD9">
            <w:pPr>
              <w:jc w:val="left"/>
              <w:rPr>
                <w:sz w:val="16"/>
                <w:szCs w:val="16"/>
              </w:rPr>
            </w:pPr>
            <w:r w:rsidRPr="00E14E4A">
              <w:rPr>
                <w:sz w:val="16"/>
                <w:szCs w:val="16"/>
              </w:rPr>
              <w:t>may-28</w:t>
            </w:r>
          </w:p>
        </w:tc>
      </w:tr>
      <w:tr w:rsidR="00EF1D5F" w:rsidRPr="00E14E4A" w14:paraId="00865985" w14:textId="77777777" w:rsidTr="00C372F4">
        <w:trPr>
          <w:trHeight w:val="397"/>
          <w:jc w:val="center"/>
        </w:trPr>
        <w:tc>
          <w:tcPr>
            <w:tcW w:w="4111" w:type="dxa"/>
            <w:shd w:val="clear" w:color="auto" w:fill="auto"/>
            <w:vAlign w:val="center"/>
          </w:tcPr>
          <w:p w14:paraId="51F42AEE" w14:textId="77777777" w:rsidR="00EF1D5F" w:rsidRPr="00E14E4A" w:rsidRDefault="00EF1D5F" w:rsidP="00C372F4">
            <w:pPr>
              <w:jc w:val="right"/>
              <w:rPr>
                <w:sz w:val="16"/>
                <w:szCs w:val="16"/>
              </w:rPr>
            </w:pPr>
            <w:r w:rsidRPr="00E14E4A">
              <w:rPr>
                <w:sz w:val="16"/>
                <w:szCs w:val="16"/>
              </w:rPr>
              <w:t>Puente Vehicular avenida Ferrocarril con av. Ciudad de Cali (Valorización)</w:t>
            </w:r>
          </w:p>
        </w:tc>
        <w:tc>
          <w:tcPr>
            <w:tcW w:w="1985" w:type="dxa"/>
            <w:shd w:val="clear" w:color="auto" w:fill="auto"/>
            <w:vAlign w:val="center"/>
          </w:tcPr>
          <w:p w14:paraId="1F1FC002"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2015D483" w14:textId="77777777" w:rsidR="00EF1D5F" w:rsidRPr="00E14E4A" w:rsidRDefault="00EF1D5F" w:rsidP="003D4AD9">
            <w:pPr>
              <w:jc w:val="left"/>
              <w:rPr>
                <w:sz w:val="16"/>
                <w:szCs w:val="16"/>
              </w:rPr>
            </w:pPr>
            <w:r w:rsidRPr="00E14E4A">
              <w:rPr>
                <w:sz w:val="16"/>
                <w:szCs w:val="16"/>
              </w:rPr>
              <w:t>jun-27</w:t>
            </w:r>
          </w:p>
        </w:tc>
      </w:tr>
      <w:tr w:rsidR="00EF1D5F" w:rsidRPr="00E14E4A" w14:paraId="07F5B502" w14:textId="77777777" w:rsidTr="00C372F4">
        <w:trPr>
          <w:trHeight w:val="397"/>
          <w:jc w:val="center"/>
        </w:trPr>
        <w:tc>
          <w:tcPr>
            <w:tcW w:w="4111" w:type="dxa"/>
            <w:shd w:val="clear" w:color="auto" w:fill="auto"/>
            <w:vAlign w:val="center"/>
          </w:tcPr>
          <w:p w14:paraId="3D24F212" w14:textId="77777777" w:rsidR="00EF1D5F" w:rsidRPr="00E14E4A" w:rsidRDefault="00EF1D5F" w:rsidP="00C372F4">
            <w:pPr>
              <w:jc w:val="right"/>
              <w:rPr>
                <w:sz w:val="16"/>
                <w:szCs w:val="16"/>
              </w:rPr>
            </w:pPr>
            <w:r w:rsidRPr="00E14E4A">
              <w:rPr>
                <w:sz w:val="16"/>
                <w:szCs w:val="16"/>
              </w:rPr>
              <w:t>Malla vial Usme (s)</w:t>
            </w:r>
          </w:p>
        </w:tc>
        <w:tc>
          <w:tcPr>
            <w:tcW w:w="1985" w:type="dxa"/>
            <w:shd w:val="clear" w:color="auto" w:fill="auto"/>
            <w:vAlign w:val="center"/>
          </w:tcPr>
          <w:p w14:paraId="4D678391"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172F2D9E" w14:textId="77777777" w:rsidR="00EF1D5F" w:rsidRPr="00E14E4A" w:rsidRDefault="00EF1D5F" w:rsidP="003D4AD9">
            <w:pPr>
              <w:jc w:val="left"/>
              <w:rPr>
                <w:sz w:val="16"/>
                <w:szCs w:val="16"/>
              </w:rPr>
            </w:pPr>
            <w:r w:rsidRPr="00E14E4A">
              <w:rPr>
                <w:sz w:val="16"/>
                <w:szCs w:val="16"/>
              </w:rPr>
              <w:t>may-25</w:t>
            </w:r>
          </w:p>
        </w:tc>
      </w:tr>
      <w:tr w:rsidR="00EF1D5F" w:rsidRPr="00E14E4A" w14:paraId="7AE37F96" w14:textId="77777777" w:rsidTr="00C372F4">
        <w:trPr>
          <w:trHeight w:val="397"/>
          <w:jc w:val="center"/>
        </w:trPr>
        <w:tc>
          <w:tcPr>
            <w:tcW w:w="4111" w:type="dxa"/>
            <w:shd w:val="clear" w:color="auto" w:fill="auto"/>
            <w:vAlign w:val="center"/>
          </w:tcPr>
          <w:p w14:paraId="782DC073" w14:textId="77777777" w:rsidR="00EF1D5F" w:rsidRPr="00E14E4A" w:rsidRDefault="00EF1D5F" w:rsidP="00C372F4">
            <w:pPr>
              <w:jc w:val="right"/>
              <w:rPr>
                <w:sz w:val="16"/>
                <w:szCs w:val="16"/>
              </w:rPr>
            </w:pPr>
            <w:r w:rsidRPr="00E14E4A">
              <w:rPr>
                <w:sz w:val="16"/>
                <w:szCs w:val="16"/>
              </w:rPr>
              <w:t>Av. Las Villas (cra. 58) entre calles 147 a 153</w:t>
            </w:r>
          </w:p>
        </w:tc>
        <w:tc>
          <w:tcPr>
            <w:tcW w:w="1985" w:type="dxa"/>
            <w:shd w:val="clear" w:color="auto" w:fill="auto"/>
            <w:vAlign w:val="center"/>
          </w:tcPr>
          <w:p w14:paraId="0E3CFADC"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54707FCB" w14:textId="77777777" w:rsidR="00EF1D5F" w:rsidRPr="00E14E4A" w:rsidRDefault="00EF1D5F" w:rsidP="003D4AD9">
            <w:pPr>
              <w:jc w:val="left"/>
              <w:rPr>
                <w:sz w:val="16"/>
                <w:szCs w:val="16"/>
              </w:rPr>
            </w:pPr>
            <w:r w:rsidRPr="00E14E4A">
              <w:rPr>
                <w:sz w:val="16"/>
                <w:szCs w:val="16"/>
              </w:rPr>
              <w:t>sep-27</w:t>
            </w:r>
          </w:p>
        </w:tc>
      </w:tr>
      <w:tr w:rsidR="00EF1D5F" w:rsidRPr="00E14E4A" w14:paraId="41F9BB55" w14:textId="77777777" w:rsidTr="00C372F4">
        <w:trPr>
          <w:trHeight w:val="397"/>
          <w:jc w:val="center"/>
        </w:trPr>
        <w:tc>
          <w:tcPr>
            <w:tcW w:w="4111" w:type="dxa"/>
            <w:shd w:val="clear" w:color="auto" w:fill="auto"/>
            <w:vAlign w:val="center"/>
          </w:tcPr>
          <w:p w14:paraId="04A28C77" w14:textId="77777777" w:rsidR="00EF1D5F" w:rsidRPr="00E14E4A" w:rsidRDefault="00EF1D5F" w:rsidP="00C372F4">
            <w:pPr>
              <w:jc w:val="right"/>
              <w:rPr>
                <w:sz w:val="16"/>
                <w:szCs w:val="16"/>
              </w:rPr>
            </w:pPr>
            <w:r w:rsidRPr="00E14E4A">
              <w:rPr>
                <w:sz w:val="16"/>
                <w:szCs w:val="16"/>
              </w:rPr>
              <w:t>1 de 3 estaciones elevadas del RegioTram de Occidente</w:t>
            </w:r>
          </w:p>
        </w:tc>
        <w:tc>
          <w:tcPr>
            <w:tcW w:w="1985" w:type="dxa"/>
            <w:shd w:val="clear" w:color="auto" w:fill="auto"/>
            <w:vAlign w:val="center"/>
          </w:tcPr>
          <w:p w14:paraId="6AF36527"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167C84A7" w14:textId="77777777" w:rsidR="00EF1D5F" w:rsidRPr="00E14E4A" w:rsidRDefault="00EF1D5F" w:rsidP="003D4AD9">
            <w:pPr>
              <w:jc w:val="left"/>
              <w:rPr>
                <w:sz w:val="16"/>
                <w:szCs w:val="16"/>
              </w:rPr>
            </w:pPr>
            <w:r w:rsidRPr="00E14E4A">
              <w:rPr>
                <w:sz w:val="16"/>
                <w:szCs w:val="16"/>
              </w:rPr>
              <w:t>dic-28</w:t>
            </w:r>
          </w:p>
        </w:tc>
      </w:tr>
      <w:tr w:rsidR="00EF1D5F" w:rsidRPr="00E14E4A" w14:paraId="4FF06ED9" w14:textId="77777777" w:rsidTr="00C372F4">
        <w:trPr>
          <w:trHeight w:val="397"/>
          <w:jc w:val="center"/>
        </w:trPr>
        <w:tc>
          <w:tcPr>
            <w:tcW w:w="4111" w:type="dxa"/>
            <w:shd w:val="clear" w:color="auto" w:fill="auto"/>
            <w:vAlign w:val="center"/>
          </w:tcPr>
          <w:p w14:paraId="24947C5B" w14:textId="77777777" w:rsidR="00EF1D5F" w:rsidRPr="00E14E4A" w:rsidRDefault="00EF1D5F" w:rsidP="00C372F4">
            <w:pPr>
              <w:jc w:val="right"/>
              <w:rPr>
                <w:sz w:val="16"/>
                <w:szCs w:val="16"/>
              </w:rPr>
            </w:pPr>
            <w:r w:rsidRPr="00E14E4A">
              <w:rPr>
                <w:sz w:val="16"/>
                <w:szCs w:val="16"/>
              </w:rPr>
              <w:t>Avenida Suba Cota</w:t>
            </w:r>
          </w:p>
        </w:tc>
        <w:tc>
          <w:tcPr>
            <w:tcW w:w="1985" w:type="dxa"/>
            <w:shd w:val="clear" w:color="auto" w:fill="auto"/>
            <w:vAlign w:val="center"/>
          </w:tcPr>
          <w:p w14:paraId="6F7365AE"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3910AE03" w14:textId="77777777" w:rsidR="00EF1D5F" w:rsidRPr="00E14E4A" w:rsidRDefault="00EF1D5F" w:rsidP="003D4AD9">
            <w:pPr>
              <w:jc w:val="left"/>
              <w:rPr>
                <w:sz w:val="16"/>
                <w:szCs w:val="16"/>
              </w:rPr>
            </w:pPr>
            <w:r w:rsidRPr="00E14E4A">
              <w:rPr>
                <w:sz w:val="16"/>
                <w:szCs w:val="16"/>
              </w:rPr>
              <w:t>dic-29</w:t>
            </w:r>
          </w:p>
        </w:tc>
      </w:tr>
      <w:tr w:rsidR="00EF1D5F" w:rsidRPr="00E14E4A" w14:paraId="5CBB7E1C" w14:textId="77777777" w:rsidTr="00C372F4">
        <w:trPr>
          <w:trHeight w:val="397"/>
          <w:jc w:val="center"/>
        </w:trPr>
        <w:tc>
          <w:tcPr>
            <w:tcW w:w="4111" w:type="dxa"/>
            <w:shd w:val="clear" w:color="auto" w:fill="auto"/>
            <w:vAlign w:val="center"/>
          </w:tcPr>
          <w:p w14:paraId="55D958CB" w14:textId="77777777" w:rsidR="00EF1D5F" w:rsidRPr="00E14E4A" w:rsidRDefault="00EF1D5F" w:rsidP="00C372F4">
            <w:pPr>
              <w:jc w:val="right"/>
              <w:rPr>
                <w:sz w:val="16"/>
                <w:szCs w:val="16"/>
              </w:rPr>
            </w:pPr>
            <w:r w:rsidRPr="00E14E4A">
              <w:rPr>
                <w:sz w:val="16"/>
                <w:szCs w:val="16"/>
              </w:rPr>
              <w:t>Av. Jorge Gaitán Cortés</w:t>
            </w:r>
          </w:p>
        </w:tc>
        <w:tc>
          <w:tcPr>
            <w:tcW w:w="1985" w:type="dxa"/>
            <w:shd w:val="clear" w:color="auto" w:fill="auto"/>
            <w:vAlign w:val="center"/>
          </w:tcPr>
          <w:p w14:paraId="0E30350C"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6A6FC3E8" w14:textId="77777777" w:rsidR="00EF1D5F" w:rsidRPr="00E14E4A" w:rsidRDefault="00EF1D5F" w:rsidP="003D4AD9">
            <w:pPr>
              <w:jc w:val="left"/>
              <w:rPr>
                <w:sz w:val="16"/>
                <w:szCs w:val="16"/>
              </w:rPr>
            </w:pPr>
            <w:r w:rsidRPr="00E14E4A">
              <w:rPr>
                <w:sz w:val="16"/>
                <w:szCs w:val="16"/>
              </w:rPr>
              <w:t>may-28</w:t>
            </w:r>
          </w:p>
        </w:tc>
      </w:tr>
      <w:tr w:rsidR="00EF1D5F" w:rsidRPr="00E14E4A" w14:paraId="78435A48" w14:textId="77777777" w:rsidTr="00C372F4">
        <w:trPr>
          <w:trHeight w:val="397"/>
          <w:jc w:val="center"/>
        </w:trPr>
        <w:tc>
          <w:tcPr>
            <w:tcW w:w="4111" w:type="dxa"/>
            <w:shd w:val="clear" w:color="auto" w:fill="auto"/>
            <w:vAlign w:val="center"/>
          </w:tcPr>
          <w:p w14:paraId="1FE1E86B" w14:textId="77777777" w:rsidR="00EF1D5F" w:rsidRPr="00E14E4A" w:rsidRDefault="00EF1D5F" w:rsidP="00C372F4">
            <w:pPr>
              <w:jc w:val="right"/>
              <w:rPr>
                <w:sz w:val="16"/>
                <w:szCs w:val="16"/>
              </w:rPr>
            </w:pPr>
            <w:r w:rsidRPr="00E14E4A">
              <w:rPr>
                <w:sz w:val="16"/>
                <w:szCs w:val="16"/>
              </w:rPr>
              <w:t>Puente vehicular Tibanica</w:t>
            </w:r>
          </w:p>
        </w:tc>
        <w:tc>
          <w:tcPr>
            <w:tcW w:w="1985" w:type="dxa"/>
            <w:shd w:val="clear" w:color="auto" w:fill="auto"/>
            <w:vAlign w:val="center"/>
          </w:tcPr>
          <w:p w14:paraId="389E0818"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21A9558A" w14:textId="77777777" w:rsidR="00EF1D5F" w:rsidRPr="00E14E4A" w:rsidRDefault="00EF1D5F" w:rsidP="003D4AD9">
            <w:pPr>
              <w:jc w:val="left"/>
              <w:rPr>
                <w:sz w:val="16"/>
                <w:szCs w:val="16"/>
              </w:rPr>
            </w:pPr>
            <w:r w:rsidRPr="00E14E4A">
              <w:rPr>
                <w:sz w:val="16"/>
                <w:szCs w:val="16"/>
              </w:rPr>
              <w:t>may-27</w:t>
            </w:r>
          </w:p>
        </w:tc>
      </w:tr>
      <w:tr w:rsidR="00EF1D5F" w:rsidRPr="00E14E4A" w14:paraId="2BA12071" w14:textId="77777777" w:rsidTr="00C372F4">
        <w:trPr>
          <w:trHeight w:val="806"/>
          <w:jc w:val="center"/>
        </w:trPr>
        <w:tc>
          <w:tcPr>
            <w:tcW w:w="4111" w:type="dxa"/>
            <w:shd w:val="clear" w:color="auto" w:fill="auto"/>
            <w:vAlign w:val="center"/>
          </w:tcPr>
          <w:p w14:paraId="4AEB837A" w14:textId="77777777" w:rsidR="00EF1D5F" w:rsidRPr="00E14E4A" w:rsidRDefault="00EF1D5F" w:rsidP="00C372F4">
            <w:pPr>
              <w:jc w:val="right"/>
              <w:rPr>
                <w:sz w:val="16"/>
                <w:szCs w:val="16"/>
              </w:rPr>
            </w:pPr>
            <w:r w:rsidRPr="00E14E4A">
              <w:rPr>
                <w:sz w:val="16"/>
                <w:szCs w:val="16"/>
              </w:rPr>
              <w:t>ALO (Complemento diseños). Julio-2025</w:t>
            </w:r>
          </w:p>
        </w:tc>
        <w:tc>
          <w:tcPr>
            <w:tcW w:w="1985" w:type="dxa"/>
            <w:shd w:val="clear" w:color="auto" w:fill="auto"/>
            <w:vAlign w:val="center"/>
          </w:tcPr>
          <w:p w14:paraId="481FBAF5"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04542877" w14:textId="77777777" w:rsidR="00EF1D5F" w:rsidRPr="00E14E4A" w:rsidRDefault="00EF1D5F" w:rsidP="003D4AD9">
            <w:pPr>
              <w:jc w:val="left"/>
              <w:rPr>
                <w:sz w:val="16"/>
                <w:szCs w:val="16"/>
              </w:rPr>
            </w:pPr>
            <w:r w:rsidRPr="00E14E4A">
              <w:rPr>
                <w:sz w:val="16"/>
                <w:szCs w:val="16"/>
              </w:rPr>
              <w:t>Depende de la efectiva entrega de los estudios y diseños de detalle</w:t>
            </w:r>
          </w:p>
        </w:tc>
      </w:tr>
      <w:tr w:rsidR="00EF1D5F" w:rsidRPr="00E14E4A" w14:paraId="659C711B" w14:textId="77777777" w:rsidTr="00C372F4">
        <w:trPr>
          <w:trHeight w:val="340"/>
          <w:jc w:val="center"/>
        </w:trPr>
        <w:tc>
          <w:tcPr>
            <w:tcW w:w="4111" w:type="dxa"/>
            <w:shd w:val="clear" w:color="auto" w:fill="auto"/>
            <w:vAlign w:val="center"/>
          </w:tcPr>
          <w:p w14:paraId="5F666644" w14:textId="77777777" w:rsidR="00EF1D5F" w:rsidRPr="00E14E4A" w:rsidRDefault="00EF1D5F" w:rsidP="00C372F4">
            <w:pPr>
              <w:jc w:val="right"/>
              <w:rPr>
                <w:sz w:val="16"/>
                <w:szCs w:val="16"/>
              </w:rPr>
            </w:pPr>
            <w:r w:rsidRPr="00E14E4A">
              <w:rPr>
                <w:sz w:val="16"/>
                <w:szCs w:val="16"/>
              </w:rPr>
              <w:t>Intercambiador av. calle 80</w:t>
            </w:r>
          </w:p>
        </w:tc>
        <w:tc>
          <w:tcPr>
            <w:tcW w:w="1985" w:type="dxa"/>
            <w:shd w:val="clear" w:color="auto" w:fill="auto"/>
            <w:vAlign w:val="center"/>
          </w:tcPr>
          <w:p w14:paraId="766E2906"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7B28C1B7" w14:textId="77777777" w:rsidR="00EF1D5F" w:rsidRPr="00E14E4A" w:rsidRDefault="00EF1D5F" w:rsidP="003D4AD9">
            <w:pPr>
              <w:jc w:val="left"/>
              <w:rPr>
                <w:sz w:val="16"/>
                <w:szCs w:val="16"/>
              </w:rPr>
            </w:pPr>
            <w:r w:rsidRPr="00E14E4A">
              <w:rPr>
                <w:sz w:val="16"/>
                <w:szCs w:val="16"/>
              </w:rPr>
              <w:t>dic. 26</w:t>
            </w:r>
          </w:p>
        </w:tc>
      </w:tr>
      <w:tr w:rsidR="00EF1D5F" w:rsidRPr="00E14E4A" w14:paraId="2BF10E13" w14:textId="77777777" w:rsidTr="00C372F4">
        <w:trPr>
          <w:trHeight w:val="984"/>
          <w:jc w:val="center"/>
        </w:trPr>
        <w:tc>
          <w:tcPr>
            <w:tcW w:w="4111" w:type="dxa"/>
            <w:shd w:val="clear" w:color="auto" w:fill="auto"/>
            <w:vAlign w:val="center"/>
          </w:tcPr>
          <w:p w14:paraId="3DABFABE" w14:textId="08A08C88" w:rsidR="00EF1D5F" w:rsidRPr="00E14E4A" w:rsidRDefault="00EF1D5F" w:rsidP="00C372F4">
            <w:pPr>
              <w:jc w:val="right"/>
              <w:rPr>
                <w:sz w:val="16"/>
                <w:szCs w:val="16"/>
              </w:rPr>
            </w:pPr>
            <w:r w:rsidRPr="00E14E4A">
              <w:rPr>
                <w:sz w:val="16"/>
                <w:szCs w:val="16"/>
              </w:rPr>
              <w:t xml:space="preserve">Av. </w:t>
            </w:r>
            <w:r w:rsidR="00B55A65">
              <w:rPr>
                <w:sz w:val="16"/>
                <w:szCs w:val="16"/>
              </w:rPr>
              <w:t>C</w:t>
            </w:r>
            <w:r w:rsidRPr="00E14E4A">
              <w:rPr>
                <w:sz w:val="16"/>
                <w:szCs w:val="16"/>
              </w:rPr>
              <w:t>ra. 68 Grupos 1</w:t>
            </w:r>
            <w:r w:rsidR="00B55A65">
              <w:rPr>
                <w:sz w:val="16"/>
                <w:szCs w:val="16"/>
              </w:rPr>
              <w:t xml:space="preserve"> </w:t>
            </w:r>
            <w:r w:rsidRPr="00E14E4A">
              <w:rPr>
                <w:sz w:val="16"/>
                <w:szCs w:val="16"/>
              </w:rPr>
              <w:t>a 9</w:t>
            </w:r>
          </w:p>
        </w:tc>
        <w:tc>
          <w:tcPr>
            <w:tcW w:w="1985" w:type="dxa"/>
            <w:shd w:val="clear" w:color="auto" w:fill="auto"/>
            <w:vAlign w:val="center"/>
          </w:tcPr>
          <w:p w14:paraId="09BF0E03"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01894B68" w14:textId="77777777" w:rsidR="00EF1D5F" w:rsidRPr="00E14E4A" w:rsidRDefault="00EF1D5F" w:rsidP="003D4AD9">
            <w:pPr>
              <w:jc w:val="left"/>
              <w:rPr>
                <w:sz w:val="16"/>
                <w:szCs w:val="16"/>
              </w:rPr>
            </w:pPr>
            <w:r w:rsidRPr="00E14E4A">
              <w:rPr>
                <w:sz w:val="16"/>
                <w:szCs w:val="16"/>
              </w:rPr>
              <w:t>ago-27</w:t>
            </w:r>
          </w:p>
          <w:p w14:paraId="0B1E7EBF" w14:textId="77777777" w:rsidR="00EF1D5F" w:rsidRPr="00E14E4A" w:rsidRDefault="00EF1D5F" w:rsidP="003D4AD9">
            <w:pPr>
              <w:jc w:val="left"/>
              <w:rPr>
                <w:sz w:val="16"/>
                <w:szCs w:val="16"/>
              </w:rPr>
            </w:pPr>
            <w:r w:rsidRPr="00E14E4A">
              <w:rPr>
                <w:sz w:val="16"/>
                <w:szCs w:val="16"/>
              </w:rPr>
              <w:t>La fecha depende de cada grupo, pero en agosto de 2027 termina el último grupo</w:t>
            </w:r>
          </w:p>
        </w:tc>
      </w:tr>
      <w:tr w:rsidR="00EF1D5F" w:rsidRPr="00E14E4A" w14:paraId="4314E80C" w14:textId="77777777" w:rsidTr="00C372F4">
        <w:trPr>
          <w:trHeight w:val="397"/>
          <w:jc w:val="center"/>
        </w:trPr>
        <w:tc>
          <w:tcPr>
            <w:tcW w:w="4111" w:type="dxa"/>
            <w:shd w:val="clear" w:color="auto" w:fill="auto"/>
            <w:vAlign w:val="center"/>
          </w:tcPr>
          <w:p w14:paraId="59B5C615" w14:textId="77777777" w:rsidR="00EF1D5F" w:rsidRPr="00E14E4A" w:rsidRDefault="00EF1D5F" w:rsidP="00C372F4">
            <w:pPr>
              <w:jc w:val="right"/>
              <w:rPr>
                <w:sz w:val="16"/>
                <w:szCs w:val="16"/>
              </w:rPr>
            </w:pPr>
            <w:r w:rsidRPr="00E14E4A">
              <w:rPr>
                <w:sz w:val="16"/>
                <w:szCs w:val="16"/>
              </w:rPr>
              <w:t>Troncal calle 13 tramos 1 y 2</w:t>
            </w:r>
          </w:p>
        </w:tc>
        <w:tc>
          <w:tcPr>
            <w:tcW w:w="1985" w:type="dxa"/>
            <w:shd w:val="clear" w:color="auto" w:fill="auto"/>
            <w:vAlign w:val="center"/>
          </w:tcPr>
          <w:p w14:paraId="2D7CE74A" w14:textId="77777777" w:rsidR="00EF1D5F" w:rsidRPr="00E14E4A" w:rsidRDefault="00EF1D5F" w:rsidP="003D4AD9">
            <w:pPr>
              <w:jc w:val="left"/>
              <w:rPr>
                <w:sz w:val="16"/>
                <w:szCs w:val="16"/>
              </w:rPr>
            </w:pPr>
            <w:r w:rsidRPr="00E14E4A">
              <w:rPr>
                <w:sz w:val="16"/>
                <w:szCs w:val="16"/>
              </w:rPr>
              <w:t>Preconstrucción</w:t>
            </w:r>
          </w:p>
        </w:tc>
        <w:tc>
          <w:tcPr>
            <w:tcW w:w="2976" w:type="dxa"/>
            <w:shd w:val="clear" w:color="auto" w:fill="auto"/>
            <w:vAlign w:val="center"/>
          </w:tcPr>
          <w:p w14:paraId="2BC1C0F9" w14:textId="77777777" w:rsidR="00EF1D5F" w:rsidRPr="00E14E4A" w:rsidRDefault="00EF1D5F" w:rsidP="003D4AD9">
            <w:pPr>
              <w:jc w:val="left"/>
              <w:rPr>
                <w:sz w:val="16"/>
                <w:szCs w:val="16"/>
              </w:rPr>
            </w:pPr>
            <w:r w:rsidRPr="00E14E4A">
              <w:rPr>
                <w:sz w:val="16"/>
                <w:szCs w:val="16"/>
              </w:rPr>
              <w:t>sep-28</w:t>
            </w:r>
          </w:p>
        </w:tc>
      </w:tr>
      <w:tr w:rsidR="00EF1D5F" w:rsidRPr="00E14E4A" w14:paraId="1752EDAD" w14:textId="77777777" w:rsidTr="00C372F4">
        <w:trPr>
          <w:trHeight w:val="397"/>
          <w:jc w:val="center"/>
        </w:trPr>
        <w:tc>
          <w:tcPr>
            <w:tcW w:w="4111" w:type="dxa"/>
            <w:shd w:val="clear" w:color="auto" w:fill="auto"/>
            <w:vAlign w:val="center"/>
          </w:tcPr>
          <w:p w14:paraId="1416FB2A" w14:textId="77777777" w:rsidR="00EF1D5F" w:rsidRPr="00E14E4A" w:rsidRDefault="00EF1D5F" w:rsidP="00C372F4">
            <w:pPr>
              <w:jc w:val="right"/>
              <w:rPr>
                <w:sz w:val="16"/>
                <w:szCs w:val="16"/>
              </w:rPr>
            </w:pPr>
            <w:r w:rsidRPr="00E14E4A">
              <w:rPr>
                <w:sz w:val="16"/>
                <w:szCs w:val="16"/>
              </w:rPr>
              <w:t>Troncal av. Caracas Sur Tramo 1</w:t>
            </w:r>
          </w:p>
        </w:tc>
        <w:tc>
          <w:tcPr>
            <w:tcW w:w="1985" w:type="dxa"/>
            <w:shd w:val="clear" w:color="auto" w:fill="auto"/>
            <w:vAlign w:val="center"/>
          </w:tcPr>
          <w:p w14:paraId="50AE35D3"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4653C900" w14:textId="77777777" w:rsidR="00EF1D5F" w:rsidRPr="00E14E4A" w:rsidRDefault="00EF1D5F" w:rsidP="003D4AD9">
            <w:pPr>
              <w:jc w:val="left"/>
              <w:rPr>
                <w:sz w:val="16"/>
                <w:szCs w:val="16"/>
              </w:rPr>
            </w:pPr>
            <w:r w:rsidRPr="00E14E4A">
              <w:rPr>
                <w:sz w:val="16"/>
                <w:szCs w:val="16"/>
              </w:rPr>
              <w:t>sep-24</w:t>
            </w:r>
          </w:p>
        </w:tc>
      </w:tr>
      <w:tr w:rsidR="00EF1D5F" w:rsidRPr="00E14E4A" w14:paraId="5CF3E585" w14:textId="77777777" w:rsidTr="00C372F4">
        <w:trPr>
          <w:trHeight w:val="1410"/>
          <w:jc w:val="center"/>
        </w:trPr>
        <w:tc>
          <w:tcPr>
            <w:tcW w:w="4111" w:type="dxa"/>
            <w:shd w:val="clear" w:color="auto" w:fill="auto"/>
            <w:vAlign w:val="center"/>
          </w:tcPr>
          <w:p w14:paraId="6374D62B" w14:textId="77777777" w:rsidR="00EF1D5F" w:rsidRPr="00E14E4A" w:rsidRDefault="00EF1D5F" w:rsidP="00C372F4">
            <w:pPr>
              <w:jc w:val="right"/>
              <w:rPr>
                <w:sz w:val="16"/>
                <w:szCs w:val="16"/>
              </w:rPr>
            </w:pPr>
            <w:r w:rsidRPr="00E14E4A">
              <w:rPr>
                <w:sz w:val="16"/>
                <w:szCs w:val="16"/>
              </w:rPr>
              <w:t>Troncal av. Cali Grupo 1 a 4</w:t>
            </w:r>
          </w:p>
        </w:tc>
        <w:tc>
          <w:tcPr>
            <w:tcW w:w="1985" w:type="dxa"/>
            <w:shd w:val="clear" w:color="auto" w:fill="auto"/>
            <w:vAlign w:val="center"/>
          </w:tcPr>
          <w:p w14:paraId="14492509"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551E95F2" w14:textId="77777777" w:rsidR="00EF1D5F" w:rsidRPr="00E14E4A" w:rsidRDefault="00EF1D5F" w:rsidP="003D4AD9">
            <w:pPr>
              <w:jc w:val="left"/>
              <w:rPr>
                <w:sz w:val="16"/>
                <w:szCs w:val="16"/>
              </w:rPr>
            </w:pPr>
            <w:r w:rsidRPr="00E14E4A">
              <w:rPr>
                <w:sz w:val="16"/>
                <w:szCs w:val="16"/>
              </w:rPr>
              <w:t>dic-25</w:t>
            </w:r>
          </w:p>
          <w:p w14:paraId="116B504A" w14:textId="77777777" w:rsidR="00EF1D5F" w:rsidRPr="00E14E4A" w:rsidRDefault="00EF1D5F" w:rsidP="003D4AD9">
            <w:pPr>
              <w:jc w:val="left"/>
              <w:rPr>
                <w:sz w:val="16"/>
                <w:szCs w:val="16"/>
              </w:rPr>
            </w:pPr>
            <w:r w:rsidRPr="00E14E4A">
              <w:rPr>
                <w:sz w:val="16"/>
                <w:szCs w:val="16"/>
              </w:rPr>
              <w:t>Cada grupo tiene una fecha de finalización diferente, pero el último termina en dic. 25</w:t>
            </w:r>
          </w:p>
        </w:tc>
      </w:tr>
      <w:tr w:rsidR="00EF1D5F" w:rsidRPr="00E14E4A" w14:paraId="1561F1CA" w14:textId="77777777" w:rsidTr="00C372F4">
        <w:trPr>
          <w:trHeight w:val="585"/>
          <w:jc w:val="center"/>
        </w:trPr>
        <w:tc>
          <w:tcPr>
            <w:tcW w:w="4111" w:type="dxa"/>
            <w:shd w:val="clear" w:color="auto" w:fill="auto"/>
            <w:vAlign w:val="center"/>
          </w:tcPr>
          <w:p w14:paraId="13B919D4" w14:textId="77777777" w:rsidR="00EF1D5F" w:rsidRPr="00E14E4A" w:rsidRDefault="00EF1D5F" w:rsidP="00C372F4">
            <w:pPr>
              <w:jc w:val="right"/>
              <w:rPr>
                <w:sz w:val="16"/>
                <w:szCs w:val="16"/>
              </w:rPr>
            </w:pPr>
            <w:r w:rsidRPr="00E14E4A">
              <w:rPr>
                <w:sz w:val="16"/>
                <w:szCs w:val="16"/>
              </w:rPr>
              <w:t>Corredor Verde cra. 7 de calle 99 a calle 127 - Construcción 3-1</w:t>
            </w:r>
          </w:p>
        </w:tc>
        <w:tc>
          <w:tcPr>
            <w:tcW w:w="1985" w:type="dxa"/>
            <w:shd w:val="clear" w:color="auto" w:fill="auto"/>
            <w:vAlign w:val="center"/>
          </w:tcPr>
          <w:p w14:paraId="3F208CD1" w14:textId="77777777" w:rsidR="00EF1D5F" w:rsidRPr="00E14E4A" w:rsidRDefault="00EF1D5F" w:rsidP="003D4AD9">
            <w:pPr>
              <w:jc w:val="left"/>
              <w:rPr>
                <w:sz w:val="16"/>
                <w:szCs w:val="16"/>
              </w:rPr>
            </w:pPr>
            <w:r w:rsidRPr="00E14E4A">
              <w:rPr>
                <w:sz w:val="16"/>
                <w:szCs w:val="16"/>
              </w:rPr>
              <w:t>Preconstrucción</w:t>
            </w:r>
          </w:p>
        </w:tc>
        <w:tc>
          <w:tcPr>
            <w:tcW w:w="2976" w:type="dxa"/>
            <w:shd w:val="clear" w:color="auto" w:fill="auto"/>
            <w:vAlign w:val="center"/>
          </w:tcPr>
          <w:p w14:paraId="5EC70D9C" w14:textId="77777777" w:rsidR="00EF1D5F" w:rsidRPr="00E14E4A" w:rsidRDefault="00EF1D5F" w:rsidP="003D4AD9">
            <w:pPr>
              <w:jc w:val="left"/>
              <w:rPr>
                <w:sz w:val="16"/>
                <w:szCs w:val="16"/>
              </w:rPr>
            </w:pPr>
            <w:r w:rsidRPr="00E14E4A">
              <w:rPr>
                <w:sz w:val="16"/>
                <w:szCs w:val="16"/>
              </w:rPr>
              <w:t>may-28</w:t>
            </w:r>
          </w:p>
        </w:tc>
      </w:tr>
      <w:tr w:rsidR="00EF1D5F" w:rsidRPr="00E14E4A" w14:paraId="5FB27829" w14:textId="77777777" w:rsidTr="00C372F4">
        <w:trPr>
          <w:trHeight w:val="585"/>
          <w:jc w:val="center"/>
        </w:trPr>
        <w:tc>
          <w:tcPr>
            <w:tcW w:w="4111" w:type="dxa"/>
            <w:shd w:val="clear" w:color="auto" w:fill="auto"/>
            <w:vAlign w:val="center"/>
          </w:tcPr>
          <w:p w14:paraId="69859D3C" w14:textId="77777777" w:rsidR="00EF1D5F" w:rsidRPr="00E14E4A" w:rsidRDefault="00EF1D5F" w:rsidP="00C372F4">
            <w:pPr>
              <w:jc w:val="right"/>
              <w:rPr>
                <w:sz w:val="16"/>
                <w:szCs w:val="16"/>
              </w:rPr>
            </w:pPr>
            <w:r w:rsidRPr="00E14E4A">
              <w:rPr>
                <w:sz w:val="16"/>
                <w:szCs w:val="16"/>
              </w:rPr>
              <w:t>Corredor Verde Cra. 7 de Cl. 127 a Cl. 183 - Construcción 3-2</w:t>
            </w:r>
          </w:p>
        </w:tc>
        <w:tc>
          <w:tcPr>
            <w:tcW w:w="1985" w:type="dxa"/>
            <w:shd w:val="clear" w:color="auto" w:fill="auto"/>
            <w:vAlign w:val="center"/>
          </w:tcPr>
          <w:p w14:paraId="45EDF23E" w14:textId="77777777" w:rsidR="00EF1D5F" w:rsidRPr="00E14E4A" w:rsidRDefault="00EF1D5F" w:rsidP="003D4AD9">
            <w:pPr>
              <w:jc w:val="left"/>
              <w:rPr>
                <w:sz w:val="16"/>
                <w:szCs w:val="16"/>
              </w:rPr>
            </w:pPr>
            <w:r w:rsidRPr="00E14E4A">
              <w:rPr>
                <w:sz w:val="16"/>
                <w:szCs w:val="16"/>
              </w:rPr>
              <w:t>Preconstrucción</w:t>
            </w:r>
          </w:p>
        </w:tc>
        <w:tc>
          <w:tcPr>
            <w:tcW w:w="2976" w:type="dxa"/>
            <w:shd w:val="clear" w:color="auto" w:fill="auto"/>
            <w:vAlign w:val="center"/>
          </w:tcPr>
          <w:p w14:paraId="5473207F" w14:textId="77777777" w:rsidR="00EF1D5F" w:rsidRPr="00E14E4A" w:rsidRDefault="00EF1D5F" w:rsidP="003D4AD9">
            <w:pPr>
              <w:jc w:val="left"/>
              <w:rPr>
                <w:sz w:val="16"/>
                <w:szCs w:val="16"/>
              </w:rPr>
            </w:pPr>
            <w:r w:rsidRPr="00E14E4A">
              <w:rPr>
                <w:sz w:val="16"/>
                <w:szCs w:val="16"/>
              </w:rPr>
              <w:t>abr-28</w:t>
            </w:r>
          </w:p>
        </w:tc>
      </w:tr>
      <w:tr w:rsidR="00EF1D5F" w:rsidRPr="00E14E4A" w14:paraId="5B4DCC76" w14:textId="77777777" w:rsidTr="00C372F4">
        <w:trPr>
          <w:trHeight w:val="735"/>
          <w:jc w:val="center"/>
        </w:trPr>
        <w:tc>
          <w:tcPr>
            <w:tcW w:w="4111" w:type="dxa"/>
            <w:shd w:val="clear" w:color="auto" w:fill="auto"/>
            <w:vAlign w:val="center"/>
          </w:tcPr>
          <w:p w14:paraId="5CB8966F" w14:textId="77777777" w:rsidR="00EF1D5F" w:rsidRPr="00E14E4A" w:rsidRDefault="00EF1D5F" w:rsidP="00C372F4">
            <w:pPr>
              <w:jc w:val="right"/>
              <w:rPr>
                <w:sz w:val="16"/>
                <w:szCs w:val="16"/>
              </w:rPr>
            </w:pPr>
            <w:r w:rsidRPr="00E14E4A">
              <w:rPr>
                <w:sz w:val="16"/>
                <w:szCs w:val="16"/>
              </w:rPr>
              <w:t>Corredor Verde Cra. 7 de Cl. 183 a Cl. 200 - Construcción 3-3</w:t>
            </w:r>
          </w:p>
        </w:tc>
        <w:tc>
          <w:tcPr>
            <w:tcW w:w="1985" w:type="dxa"/>
            <w:shd w:val="clear" w:color="auto" w:fill="auto"/>
            <w:vAlign w:val="center"/>
          </w:tcPr>
          <w:p w14:paraId="306FFC7D" w14:textId="77777777" w:rsidR="00EF1D5F" w:rsidRPr="00E14E4A" w:rsidRDefault="00EF1D5F" w:rsidP="003D4AD9">
            <w:pPr>
              <w:jc w:val="left"/>
              <w:rPr>
                <w:sz w:val="16"/>
                <w:szCs w:val="16"/>
              </w:rPr>
            </w:pPr>
            <w:r w:rsidRPr="00E14E4A">
              <w:rPr>
                <w:sz w:val="16"/>
                <w:szCs w:val="16"/>
              </w:rPr>
              <w:t>Preconstrucción</w:t>
            </w:r>
          </w:p>
        </w:tc>
        <w:tc>
          <w:tcPr>
            <w:tcW w:w="2976" w:type="dxa"/>
            <w:shd w:val="clear" w:color="auto" w:fill="auto"/>
            <w:vAlign w:val="center"/>
          </w:tcPr>
          <w:p w14:paraId="53360AEB" w14:textId="77777777" w:rsidR="00EF1D5F" w:rsidRPr="00E14E4A" w:rsidRDefault="00EF1D5F" w:rsidP="003D4AD9">
            <w:pPr>
              <w:jc w:val="left"/>
              <w:rPr>
                <w:sz w:val="16"/>
                <w:szCs w:val="16"/>
              </w:rPr>
            </w:pPr>
            <w:r w:rsidRPr="00E14E4A">
              <w:rPr>
                <w:sz w:val="16"/>
                <w:szCs w:val="16"/>
              </w:rPr>
              <w:t>abr-28</w:t>
            </w:r>
          </w:p>
        </w:tc>
      </w:tr>
      <w:tr w:rsidR="00EF1D5F" w:rsidRPr="00E14E4A" w14:paraId="3959DB23" w14:textId="77777777" w:rsidTr="00C372F4">
        <w:trPr>
          <w:trHeight w:val="397"/>
          <w:jc w:val="center"/>
        </w:trPr>
        <w:tc>
          <w:tcPr>
            <w:tcW w:w="4111" w:type="dxa"/>
            <w:shd w:val="clear" w:color="auto" w:fill="auto"/>
            <w:vAlign w:val="center"/>
          </w:tcPr>
          <w:p w14:paraId="52A9A4B5" w14:textId="77777777" w:rsidR="00EF1D5F" w:rsidRPr="00E14E4A" w:rsidRDefault="00EF1D5F" w:rsidP="00C372F4">
            <w:pPr>
              <w:jc w:val="right"/>
              <w:rPr>
                <w:sz w:val="16"/>
                <w:szCs w:val="16"/>
              </w:rPr>
            </w:pPr>
            <w:r w:rsidRPr="00E14E4A">
              <w:rPr>
                <w:sz w:val="16"/>
                <w:szCs w:val="16"/>
              </w:rPr>
              <w:t>Cable Aéreo Potosí</w:t>
            </w:r>
          </w:p>
        </w:tc>
        <w:tc>
          <w:tcPr>
            <w:tcW w:w="1985" w:type="dxa"/>
            <w:shd w:val="clear" w:color="auto" w:fill="auto"/>
            <w:vAlign w:val="center"/>
          </w:tcPr>
          <w:p w14:paraId="5120856D" w14:textId="77777777" w:rsidR="00EF1D5F" w:rsidRPr="00E14E4A" w:rsidRDefault="00EF1D5F" w:rsidP="003D4AD9">
            <w:pPr>
              <w:jc w:val="left"/>
              <w:rPr>
                <w:sz w:val="16"/>
                <w:szCs w:val="16"/>
              </w:rPr>
            </w:pPr>
            <w:r w:rsidRPr="00E14E4A">
              <w:rPr>
                <w:sz w:val="16"/>
                <w:szCs w:val="16"/>
              </w:rPr>
              <w:t>Ejecución diseños</w:t>
            </w:r>
          </w:p>
        </w:tc>
        <w:tc>
          <w:tcPr>
            <w:tcW w:w="2976" w:type="dxa"/>
            <w:shd w:val="clear" w:color="auto" w:fill="auto"/>
            <w:vAlign w:val="center"/>
          </w:tcPr>
          <w:p w14:paraId="67AB7FFC" w14:textId="702525EF" w:rsidR="00EF1D5F" w:rsidRPr="00E14E4A" w:rsidRDefault="00B55A65" w:rsidP="003D4AD9">
            <w:pPr>
              <w:jc w:val="left"/>
              <w:rPr>
                <w:sz w:val="16"/>
                <w:szCs w:val="16"/>
              </w:rPr>
            </w:pPr>
            <w:r>
              <w:rPr>
                <w:sz w:val="16"/>
                <w:szCs w:val="16"/>
              </w:rPr>
              <w:t>n</w:t>
            </w:r>
            <w:r w:rsidR="00EF1D5F" w:rsidRPr="00E14E4A">
              <w:rPr>
                <w:sz w:val="16"/>
                <w:szCs w:val="16"/>
              </w:rPr>
              <w:t>ov</w:t>
            </w:r>
            <w:r>
              <w:rPr>
                <w:sz w:val="16"/>
                <w:szCs w:val="16"/>
              </w:rPr>
              <w:t>-</w:t>
            </w:r>
            <w:r w:rsidR="00EF1D5F" w:rsidRPr="00E14E4A">
              <w:rPr>
                <w:sz w:val="16"/>
                <w:szCs w:val="16"/>
              </w:rPr>
              <w:t>28</w:t>
            </w:r>
          </w:p>
        </w:tc>
      </w:tr>
      <w:tr w:rsidR="00EF1D5F" w:rsidRPr="00E14E4A" w14:paraId="532E8B41" w14:textId="77777777" w:rsidTr="00C372F4">
        <w:trPr>
          <w:trHeight w:val="397"/>
          <w:jc w:val="center"/>
        </w:trPr>
        <w:tc>
          <w:tcPr>
            <w:tcW w:w="4111" w:type="dxa"/>
            <w:shd w:val="clear" w:color="auto" w:fill="auto"/>
            <w:vAlign w:val="center"/>
          </w:tcPr>
          <w:p w14:paraId="47389978" w14:textId="77777777" w:rsidR="00EF1D5F" w:rsidRPr="00E14E4A" w:rsidRDefault="00EF1D5F" w:rsidP="00C372F4">
            <w:pPr>
              <w:jc w:val="right"/>
              <w:rPr>
                <w:sz w:val="16"/>
                <w:szCs w:val="16"/>
              </w:rPr>
            </w:pPr>
            <w:r w:rsidRPr="00E14E4A">
              <w:rPr>
                <w:sz w:val="16"/>
                <w:szCs w:val="16"/>
              </w:rPr>
              <w:t>Cable Aéreo San Cristóbal</w:t>
            </w:r>
          </w:p>
        </w:tc>
        <w:tc>
          <w:tcPr>
            <w:tcW w:w="1985" w:type="dxa"/>
            <w:shd w:val="clear" w:color="auto" w:fill="auto"/>
            <w:vAlign w:val="center"/>
          </w:tcPr>
          <w:p w14:paraId="61645C92" w14:textId="77777777" w:rsidR="00EF1D5F" w:rsidRPr="00E14E4A" w:rsidRDefault="00EF1D5F" w:rsidP="003D4AD9">
            <w:pPr>
              <w:jc w:val="left"/>
              <w:rPr>
                <w:sz w:val="16"/>
                <w:szCs w:val="16"/>
              </w:rPr>
            </w:pPr>
            <w:r w:rsidRPr="00E14E4A">
              <w:rPr>
                <w:sz w:val="16"/>
                <w:szCs w:val="16"/>
              </w:rPr>
              <w:t>Ejecución obra</w:t>
            </w:r>
          </w:p>
        </w:tc>
        <w:tc>
          <w:tcPr>
            <w:tcW w:w="2976" w:type="dxa"/>
            <w:shd w:val="clear" w:color="auto" w:fill="auto"/>
            <w:vAlign w:val="center"/>
          </w:tcPr>
          <w:p w14:paraId="62402DEB" w14:textId="77777777" w:rsidR="00EF1D5F" w:rsidRPr="00E14E4A" w:rsidRDefault="00EF1D5F" w:rsidP="003D4AD9">
            <w:pPr>
              <w:jc w:val="left"/>
              <w:rPr>
                <w:sz w:val="16"/>
                <w:szCs w:val="16"/>
              </w:rPr>
            </w:pPr>
            <w:r w:rsidRPr="00E14E4A">
              <w:rPr>
                <w:sz w:val="16"/>
                <w:szCs w:val="16"/>
              </w:rPr>
              <w:t>mar-26</w:t>
            </w:r>
          </w:p>
        </w:tc>
      </w:tr>
      <w:tr w:rsidR="00EF1D5F" w:rsidRPr="00E14E4A" w14:paraId="12C7C084" w14:textId="77777777" w:rsidTr="00C372F4">
        <w:trPr>
          <w:trHeight w:val="397"/>
          <w:jc w:val="center"/>
        </w:trPr>
        <w:tc>
          <w:tcPr>
            <w:tcW w:w="4111" w:type="dxa"/>
            <w:shd w:val="clear" w:color="auto" w:fill="auto"/>
            <w:vAlign w:val="center"/>
          </w:tcPr>
          <w:p w14:paraId="3BA11242" w14:textId="77777777" w:rsidR="00EF1D5F" w:rsidRPr="00E14E4A" w:rsidRDefault="00EF1D5F" w:rsidP="00C372F4">
            <w:pPr>
              <w:jc w:val="right"/>
              <w:rPr>
                <w:sz w:val="16"/>
                <w:szCs w:val="16"/>
              </w:rPr>
            </w:pPr>
            <w:r w:rsidRPr="00E14E4A">
              <w:rPr>
                <w:sz w:val="16"/>
                <w:szCs w:val="16"/>
              </w:rPr>
              <w:t>Conexión calle 100 cra. 9-cra. 7 (Pedregal)</w:t>
            </w:r>
          </w:p>
        </w:tc>
        <w:tc>
          <w:tcPr>
            <w:tcW w:w="1985" w:type="dxa"/>
            <w:shd w:val="clear" w:color="auto" w:fill="auto"/>
            <w:vAlign w:val="center"/>
          </w:tcPr>
          <w:p w14:paraId="2D46390E"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7A07A812" w14:textId="77777777" w:rsidR="00EF1D5F" w:rsidRPr="00E14E4A" w:rsidRDefault="00EF1D5F" w:rsidP="003D4AD9">
            <w:pPr>
              <w:jc w:val="left"/>
              <w:rPr>
                <w:sz w:val="16"/>
                <w:szCs w:val="16"/>
              </w:rPr>
            </w:pPr>
            <w:r w:rsidRPr="00E14E4A">
              <w:rPr>
                <w:sz w:val="16"/>
                <w:szCs w:val="16"/>
              </w:rPr>
              <w:t>dic.27</w:t>
            </w:r>
          </w:p>
        </w:tc>
      </w:tr>
      <w:tr w:rsidR="00EF1D5F" w:rsidRPr="00E14E4A" w14:paraId="56A6FD3A" w14:textId="77777777" w:rsidTr="00C372F4">
        <w:trPr>
          <w:trHeight w:val="397"/>
          <w:jc w:val="center"/>
        </w:trPr>
        <w:tc>
          <w:tcPr>
            <w:tcW w:w="4111" w:type="dxa"/>
            <w:shd w:val="clear" w:color="auto" w:fill="auto"/>
            <w:vAlign w:val="center"/>
          </w:tcPr>
          <w:p w14:paraId="143132BD" w14:textId="77777777" w:rsidR="00EF1D5F" w:rsidRPr="00E14E4A" w:rsidRDefault="00EF1D5F" w:rsidP="00C372F4">
            <w:pPr>
              <w:jc w:val="right"/>
              <w:rPr>
                <w:sz w:val="16"/>
                <w:szCs w:val="16"/>
              </w:rPr>
            </w:pPr>
            <w:r w:rsidRPr="00E14E4A">
              <w:rPr>
                <w:sz w:val="16"/>
                <w:szCs w:val="16"/>
              </w:rPr>
              <w:lastRenderedPageBreak/>
              <w:t>Patio taller calle 13</w:t>
            </w:r>
          </w:p>
        </w:tc>
        <w:tc>
          <w:tcPr>
            <w:tcW w:w="1985" w:type="dxa"/>
            <w:shd w:val="clear" w:color="auto" w:fill="auto"/>
            <w:vAlign w:val="center"/>
          </w:tcPr>
          <w:p w14:paraId="3E744BA3"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0E8670ED" w14:textId="77777777" w:rsidR="00EF1D5F" w:rsidRPr="00E14E4A" w:rsidRDefault="00EF1D5F" w:rsidP="003D4AD9">
            <w:pPr>
              <w:jc w:val="left"/>
              <w:rPr>
                <w:sz w:val="16"/>
                <w:szCs w:val="16"/>
              </w:rPr>
            </w:pPr>
            <w:r w:rsidRPr="00E14E4A">
              <w:rPr>
                <w:sz w:val="16"/>
                <w:szCs w:val="16"/>
              </w:rPr>
              <w:t>dic-28</w:t>
            </w:r>
          </w:p>
        </w:tc>
      </w:tr>
      <w:tr w:rsidR="00EF1D5F" w:rsidRPr="00E14E4A" w14:paraId="0536A45A" w14:textId="77777777" w:rsidTr="00C372F4">
        <w:trPr>
          <w:trHeight w:val="397"/>
          <w:jc w:val="center"/>
        </w:trPr>
        <w:tc>
          <w:tcPr>
            <w:tcW w:w="4111" w:type="dxa"/>
            <w:shd w:val="clear" w:color="auto" w:fill="auto"/>
            <w:vAlign w:val="center"/>
          </w:tcPr>
          <w:p w14:paraId="5F4D7EB3" w14:textId="77777777" w:rsidR="00EF1D5F" w:rsidRPr="00E14E4A" w:rsidRDefault="00EF1D5F" w:rsidP="00C372F4">
            <w:pPr>
              <w:jc w:val="right"/>
              <w:rPr>
                <w:sz w:val="16"/>
                <w:szCs w:val="16"/>
              </w:rPr>
            </w:pPr>
            <w:r w:rsidRPr="00E14E4A">
              <w:rPr>
                <w:sz w:val="16"/>
                <w:szCs w:val="16"/>
              </w:rPr>
              <w:t>Troncal Av. Cl. 13 (tramos 3, 4, 5 y 6)</w:t>
            </w:r>
          </w:p>
        </w:tc>
        <w:tc>
          <w:tcPr>
            <w:tcW w:w="1985" w:type="dxa"/>
            <w:shd w:val="clear" w:color="auto" w:fill="auto"/>
            <w:vAlign w:val="center"/>
          </w:tcPr>
          <w:p w14:paraId="3B0270B2"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67AA2412" w14:textId="77777777" w:rsidR="00EF1D5F" w:rsidRPr="00E14E4A" w:rsidRDefault="00EF1D5F" w:rsidP="003D4AD9">
            <w:pPr>
              <w:jc w:val="left"/>
              <w:rPr>
                <w:sz w:val="16"/>
                <w:szCs w:val="16"/>
              </w:rPr>
            </w:pPr>
            <w:r w:rsidRPr="00E14E4A">
              <w:rPr>
                <w:sz w:val="16"/>
                <w:szCs w:val="16"/>
              </w:rPr>
              <w:t>sep-28</w:t>
            </w:r>
          </w:p>
        </w:tc>
      </w:tr>
      <w:tr w:rsidR="00EF1D5F" w:rsidRPr="00E14E4A" w14:paraId="1060DB73" w14:textId="77777777" w:rsidTr="00C372F4">
        <w:trPr>
          <w:trHeight w:val="686"/>
          <w:jc w:val="center"/>
        </w:trPr>
        <w:tc>
          <w:tcPr>
            <w:tcW w:w="4111" w:type="dxa"/>
            <w:shd w:val="clear" w:color="auto" w:fill="auto"/>
            <w:vAlign w:val="center"/>
          </w:tcPr>
          <w:p w14:paraId="1C4BD40F" w14:textId="77777777" w:rsidR="00EF1D5F" w:rsidRPr="00E14E4A" w:rsidRDefault="00EF1D5F" w:rsidP="00C372F4">
            <w:pPr>
              <w:jc w:val="right"/>
              <w:rPr>
                <w:sz w:val="16"/>
                <w:szCs w:val="16"/>
              </w:rPr>
            </w:pPr>
            <w:r w:rsidRPr="00E14E4A">
              <w:rPr>
                <w:sz w:val="16"/>
                <w:szCs w:val="16"/>
              </w:rPr>
              <w:t>Cable acceso a la Calera (2,6 km Bogotá-3,4 km La Calera) - Prefactibilidad</w:t>
            </w:r>
          </w:p>
        </w:tc>
        <w:tc>
          <w:tcPr>
            <w:tcW w:w="1985" w:type="dxa"/>
            <w:shd w:val="clear" w:color="auto" w:fill="auto"/>
            <w:vAlign w:val="center"/>
          </w:tcPr>
          <w:p w14:paraId="2413023E" w14:textId="77777777" w:rsidR="00EF1D5F" w:rsidRPr="00E14E4A" w:rsidRDefault="00EF1D5F" w:rsidP="003D4AD9">
            <w:pPr>
              <w:jc w:val="left"/>
              <w:rPr>
                <w:sz w:val="16"/>
                <w:szCs w:val="16"/>
              </w:rPr>
            </w:pPr>
            <w:r w:rsidRPr="00E14E4A">
              <w:rPr>
                <w:sz w:val="16"/>
                <w:szCs w:val="16"/>
              </w:rPr>
              <w:t>Nuevo</w:t>
            </w:r>
          </w:p>
        </w:tc>
        <w:tc>
          <w:tcPr>
            <w:tcW w:w="2976" w:type="dxa"/>
            <w:shd w:val="clear" w:color="auto" w:fill="auto"/>
            <w:vAlign w:val="center"/>
          </w:tcPr>
          <w:p w14:paraId="0849C03F" w14:textId="77777777" w:rsidR="00EF1D5F" w:rsidRPr="00E14E4A" w:rsidRDefault="00EF1D5F" w:rsidP="003D4AD9">
            <w:pPr>
              <w:jc w:val="left"/>
              <w:rPr>
                <w:sz w:val="16"/>
                <w:szCs w:val="16"/>
              </w:rPr>
            </w:pPr>
            <w:r w:rsidRPr="00E14E4A">
              <w:rPr>
                <w:sz w:val="16"/>
                <w:szCs w:val="16"/>
              </w:rPr>
              <w:t>La prefactibilidad se entregará conjuntamente entre el IDU y la Gobernación de Cundinamarca en jul-26</w:t>
            </w:r>
          </w:p>
        </w:tc>
      </w:tr>
      <w:tr w:rsidR="00EF1D5F" w:rsidRPr="00E14E4A" w14:paraId="58B1CC74" w14:textId="77777777" w:rsidTr="00C372F4">
        <w:trPr>
          <w:trHeight w:val="624"/>
          <w:jc w:val="center"/>
        </w:trPr>
        <w:tc>
          <w:tcPr>
            <w:tcW w:w="4111" w:type="dxa"/>
            <w:shd w:val="clear" w:color="auto" w:fill="auto"/>
            <w:vAlign w:val="center"/>
          </w:tcPr>
          <w:p w14:paraId="6ECF84D8" w14:textId="77777777" w:rsidR="00EF1D5F" w:rsidRPr="00E14E4A" w:rsidRDefault="00EF1D5F" w:rsidP="00C372F4">
            <w:pPr>
              <w:jc w:val="right"/>
              <w:rPr>
                <w:sz w:val="16"/>
                <w:szCs w:val="16"/>
              </w:rPr>
            </w:pPr>
            <w:r w:rsidRPr="00E14E4A">
              <w:rPr>
                <w:sz w:val="16"/>
                <w:szCs w:val="16"/>
              </w:rPr>
              <w:t>Corredor Verde cra. 7 entre calles 24 a 99</w:t>
            </w:r>
          </w:p>
        </w:tc>
        <w:tc>
          <w:tcPr>
            <w:tcW w:w="1985" w:type="dxa"/>
            <w:shd w:val="clear" w:color="auto" w:fill="auto"/>
            <w:vAlign w:val="center"/>
          </w:tcPr>
          <w:p w14:paraId="2A2849E8" w14:textId="77777777" w:rsidR="00EF1D5F" w:rsidRPr="00E14E4A" w:rsidRDefault="00EF1D5F" w:rsidP="003D4AD9">
            <w:pPr>
              <w:jc w:val="left"/>
              <w:rPr>
                <w:sz w:val="16"/>
                <w:szCs w:val="16"/>
              </w:rPr>
            </w:pPr>
            <w:r w:rsidRPr="00E14E4A">
              <w:rPr>
                <w:sz w:val="16"/>
                <w:szCs w:val="16"/>
              </w:rPr>
              <w:t>Proceso licitatorio en curso</w:t>
            </w:r>
          </w:p>
        </w:tc>
        <w:tc>
          <w:tcPr>
            <w:tcW w:w="2976" w:type="dxa"/>
            <w:shd w:val="clear" w:color="auto" w:fill="auto"/>
            <w:vAlign w:val="center"/>
          </w:tcPr>
          <w:p w14:paraId="66A8116F" w14:textId="77777777" w:rsidR="00EF1D5F" w:rsidRPr="00E14E4A" w:rsidRDefault="00EF1D5F" w:rsidP="003D4AD9">
            <w:pPr>
              <w:jc w:val="left"/>
              <w:rPr>
                <w:sz w:val="16"/>
                <w:szCs w:val="16"/>
              </w:rPr>
            </w:pPr>
            <w:r w:rsidRPr="00E14E4A">
              <w:rPr>
                <w:sz w:val="16"/>
                <w:szCs w:val="16"/>
              </w:rPr>
              <w:t>El proceso licitatorio está suspendido</w:t>
            </w:r>
          </w:p>
        </w:tc>
      </w:tr>
    </w:tbl>
    <w:p w14:paraId="0F19335B" w14:textId="77777777" w:rsidR="00EF1D5F" w:rsidRDefault="00EF1D5F" w:rsidP="00827970">
      <w:pPr>
        <w:pBdr>
          <w:top w:val="nil"/>
          <w:left w:val="nil"/>
          <w:bottom w:val="nil"/>
          <w:right w:val="nil"/>
          <w:between w:val="nil"/>
        </w:pBdr>
        <w:spacing w:line="220" w:lineRule="auto"/>
        <w:jc w:val="center"/>
        <w:rPr>
          <w:color w:val="3B3838"/>
          <w:sz w:val="18"/>
          <w:szCs w:val="18"/>
          <w:highlight w:val="white"/>
        </w:rPr>
      </w:pPr>
      <w:r>
        <w:rPr>
          <w:b/>
          <w:color w:val="3B3838"/>
          <w:sz w:val="18"/>
          <w:szCs w:val="18"/>
          <w:highlight w:val="white"/>
        </w:rPr>
        <w:t>Fuente:</w:t>
      </w:r>
      <w:r>
        <w:rPr>
          <w:color w:val="3B3838"/>
          <w:sz w:val="18"/>
          <w:szCs w:val="18"/>
          <w:highlight w:val="white"/>
        </w:rPr>
        <w:t xml:space="preserve"> Sector Movilidad, Matriz Obras POT: 08.04.24 IDU PDD 2024-2027 Escenario SDH.</w:t>
      </w:r>
    </w:p>
    <w:p w14:paraId="54D3E8EC" w14:textId="77777777" w:rsidR="00EF1D5F" w:rsidRDefault="00EF1D5F">
      <w:pPr>
        <w:rPr>
          <w:highlight w:val="white"/>
        </w:rPr>
      </w:pPr>
    </w:p>
    <w:p w14:paraId="609B8EC8" w14:textId="77777777" w:rsidR="00EF1D5F" w:rsidRDefault="00EF1D5F">
      <w:pPr>
        <w:rPr>
          <w:highlight w:val="white"/>
        </w:rPr>
        <w:sectPr w:rsidR="00EF1D5F" w:rsidSect="00F7078E">
          <w:type w:val="continuous"/>
          <w:pgSz w:w="12240" w:h="15840"/>
          <w:pgMar w:top="2262" w:right="1440" w:bottom="1440" w:left="1440" w:header="708" w:footer="708" w:gutter="0"/>
          <w:cols w:space="720"/>
        </w:sectPr>
      </w:pPr>
    </w:p>
    <w:p w14:paraId="4AC181D2" w14:textId="77777777" w:rsidR="00EF1D5F" w:rsidRDefault="00EF1D5F">
      <w:pPr>
        <w:rPr>
          <w:highlight w:val="white"/>
        </w:rPr>
      </w:pPr>
      <w:r>
        <w:rPr>
          <w:highlight w:val="white"/>
        </w:rPr>
        <w:t xml:space="preserve">Adicionalmente, se impulsará </w:t>
      </w:r>
      <w:r>
        <w:t xml:space="preserve">el ascenso tecnológico </w:t>
      </w:r>
      <w:r>
        <w:rPr>
          <w:highlight w:val="white"/>
        </w:rPr>
        <w:t xml:space="preserve">de la flota </w:t>
      </w:r>
      <w:r>
        <w:t xml:space="preserve">de vehículos particulares, de carga y de transporte público </w:t>
      </w:r>
      <w:r>
        <w:rPr>
          <w:highlight w:val="white"/>
        </w:rPr>
        <w:t xml:space="preserve">hacia vehículos de cero y bajas emisiones y se avanzará en consolidar un sistema multimodal integrado, de manera física y tarifaria, que ofrezca alternativas de movilidad sostenible y reduzca la dependencia del transporte privado. </w:t>
      </w:r>
      <w:r>
        <w:t xml:space="preserve">En armonía con el modelo de ocupación territorial del POT, se buscará materializar </w:t>
      </w:r>
      <w:r>
        <w:rPr>
          <w:highlight w:val="white"/>
        </w:rPr>
        <w:t xml:space="preserve">una Bogotá de proximidad </w:t>
      </w:r>
      <w:r>
        <w:t xml:space="preserve">y a su vez con enfoque regional, con </w:t>
      </w:r>
      <w:r>
        <w:rPr>
          <w:highlight w:val="white"/>
        </w:rPr>
        <w:t>espacios públicos para la movilidad</w:t>
      </w:r>
      <w:r>
        <w:t xml:space="preserve"> conveniente para todos los habitantes</w:t>
      </w:r>
      <w:r>
        <w:rPr>
          <w:highlight w:val="white"/>
        </w:rPr>
        <w:t xml:space="preserve"> e interconectados con las diferentes escalas: la regional, la distrital y la local.</w:t>
      </w:r>
    </w:p>
    <w:p w14:paraId="7C9E3618" w14:textId="77777777" w:rsidR="00EF1D5F" w:rsidRDefault="00EF1D5F">
      <w:pPr>
        <w:rPr>
          <w:highlight w:val="white"/>
        </w:rPr>
      </w:pPr>
    </w:p>
    <w:p w14:paraId="5C8E2AA2" w14:textId="77777777" w:rsidR="00EF1D5F" w:rsidRDefault="00EF1D5F">
      <w:r>
        <w:t xml:space="preserve">Así mismo, se promoverán soluciones de transición energética en el transporte carretero, incluyendo incentivos para vehículos limpios y la instalación de infraestructura de carga rápida para vehículos eléctricos, junto con medidas que desincentivan el uso de vehículos de combustión interna. Se priorizará la gestión eficiente del transporte de carga mediante la optimización de la actividad logística y de abastecimiento regional, con el objetivo de reducir la concentración de material particulado en el aire y mejorar la salud </w:t>
      </w:r>
      <w:r>
        <w:t>respiratoria de quienes habitan y transitan la ciudad.</w:t>
      </w:r>
    </w:p>
    <w:p w14:paraId="7104F1F8" w14:textId="77777777" w:rsidR="00EF1D5F" w:rsidRDefault="00EF1D5F">
      <w:r>
        <w:t>Por otra parte, se fomentará la movilidad individual baja en carbono mediante el fortalecimiento de modos de transporte alternativos como la movilidad activa, caminata y bicicleta, y el mejoramiento del espacio público para la movilidad a través de la conservación y construcción de infraestructura adecuada para estos modos de transporte.</w:t>
      </w:r>
    </w:p>
    <w:p w14:paraId="65C3B6D8" w14:textId="77777777" w:rsidR="00EF1D5F" w:rsidRDefault="00EF1D5F"/>
    <w:p w14:paraId="3853B8C2" w14:textId="11D0298C" w:rsidR="00EF1D5F" w:rsidRDefault="00EF1D5F">
      <w:r>
        <w:t>Finalmente, se apoyará financieramente a la Región Metropolitana Bogotá-Cundinamarca y a sus agencias regionales para que estas entidades puedan cumplir con sus funciones y se consoliden durante este cuatrienio. Para esto, se gestionarán recursos de la Alcaldía de Bogotá que puedan ser destinados a la Región Metropolitana y sus agencias. Se cederá el factor adicional del impuesto vehicular, establecido en literal i del artículo 33 de la Ley 2199 de 2022, a la Agencia Regional de Movilidad para proyectos que promuevan la movilidad sostenible y mejoren la conectividad regional de Bogotá en el marco de los hechos metropolitanos declarados en el área temática de la movilidad.</w:t>
      </w:r>
    </w:p>
    <w:p w14:paraId="7EE3CBBB"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040BBC4C" w14:textId="77777777" w:rsidR="00EF1D5F" w:rsidRDefault="00EF1D5F">
      <w:pPr>
        <w:rPr>
          <w:b/>
          <w:color w:val="000000"/>
        </w:rPr>
      </w:pPr>
      <w:bookmarkStart w:id="372" w:name="_heading=h.1pgrrkc" w:colFirst="0" w:colLast="0"/>
      <w:bookmarkEnd w:id="372"/>
    </w:p>
    <w:p w14:paraId="514370B9" w14:textId="77777777" w:rsidR="00EF1D5F" w:rsidRDefault="00EF1D5F">
      <w:pPr>
        <w:rPr>
          <w:b/>
          <w:color w:val="000000"/>
        </w:rPr>
      </w:pPr>
    </w:p>
    <w:p w14:paraId="23483D21" w14:textId="77777777" w:rsidR="00EF1D5F" w:rsidRDefault="00EF1D5F">
      <w:pPr>
        <w:pBdr>
          <w:top w:val="nil"/>
          <w:left w:val="nil"/>
          <w:bottom w:val="nil"/>
          <w:right w:val="nil"/>
          <w:between w:val="nil"/>
        </w:pBdr>
        <w:spacing w:line="220" w:lineRule="auto"/>
        <w:jc w:val="center"/>
        <w:rPr>
          <w:b/>
          <w:color w:val="C00000"/>
          <w:sz w:val="18"/>
          <w:szCs w:val="18"/>
        </w:rPr>
      </w:pPr>
    </w:p>
    <w:p w14:paraId="3A65DED1" w14:textId="77777777" w:rsidR="00827970" w:rsidRDefault="00827970">
      <w:pPr>
        <w:spacing w:line="240" w:lineRule="auto"/>
        <w:jc w:val="left"/>
        <w:rPr>
          <w:b/>
          <w:color w:val="C00000"/>
          <w:sz w:val="18"/>
          <w:szCs w:val="18"/>
        </w:rPr>
      </w:pPr>
      <w:r>
        <w:rPr>
          <w:b/>
          <w:color w:val="C00000"/>
          <w:sz w:val="18"/>
          <w:szCs w:val="18"/>
        </w:rPr>
        <w:br w:type="page"/>
      </w:r>
    </w:p>
    <w:p w14:paraId="255DDF40" w14:textId="57AA2C95" w:rsidR="00EF1D5F" w:rsidRPr="00827970" w:rsidRDefault="00827970" w:rsidP="00827970">
      <w:pPr>
        <w:pStyle w:val="Descripcin"/>
        <w:jc w:val="center"/>
        <w:rPr>
          <w:color w:val="3B3838"/>
          <w:sz w:val="18"/>
        </w:rPr>
      </w:pPr>
      <w:bookmarkStart w:id="373" w:name="_Toc165169958"/>
      <w:r w:rsidRPr="00827970">
        <w:rPr>
          <w:color w:val="C00000"/>
          <w:sz w:val="18"/>
        </w:rPr>
        <w:lastRenderedPageBreak/>
        <w:t xml:space="preserve">Tabla </w:t>
      </w:r>
      <w:r w:rsidRPr="00827970">
        <w:rPr>
          <w:color w:val="C00000"/>
          <w:sz w:val="18"/>
        </w:rPr>
        <w:fldChar w:fldCharType="begin"/>
      </w:r>
      <w:r w:rsidRPr="00827970">
        <w:rPr>
          <w:color w:val="C00000"/>
          <w:sz w:val="18"/>
        </w:rPr>
        <w:instrText xml:space="preserve"> SEQ Tabla \* ARABIC </w:instrText>
      </w:r>
      <w:r w:rsidRPr="00827970">
        <w:rPr>
          <w:color w:val="C00000"/>
          <w:sz w:val="18"/>
        </w:rPr>
        <w:fldChar w:fldCharType="separate"/>
      </w:r>
      <w:r w:rsidR="00D01651">
        <w:rPr>
          <w:noProof/>
          <w:color w:val="C00000"/>
          <w:sz w:val="18"/>
        </w:rPr>
        <w:t>48</w:t>
      </w:r>
      <w:r w:rsidRPr="00827970">
        <w:rPr>
          <w:color w:val="C00000"/>
          <w:sz w:val="18"/>
        </w:rPr>
        <w:fldChar w:fldCharType="end"/>
      </w:r>
      <w:r w:rsidRPr="00827970">
        <w:rPr>
          <w:color w:val="C00000"/>
          <w:sz w:val="18"/>
        </w:rPr>
        <w:t xml:space="preserve">. </w:t>
      </w:r>
      <w:r w:rsidR="00EF1D5F" w:rsidRPr="00827970">
        <w:rPr>
          <w:color w:val="3B3838"/>
          <w:sz w:val="18"/>
        </w:rPr>
        <w:t>Metas del programa 2</w:t>
      </w:r>
      <w:r w:rsidR="00EF1D5F" w:rsidRPr="00827970">
        <w:rPr>
          <w:sz w:val="18"/>
        </w:rPr>
        <w:t>6</w:t>
      </w:r>
      <w:r w:rsidR="00EF1D5F" w:rsidRPr="00827970">
        <w:rPr>
          <w:color w:val="3B3838"/>
          <w:sz w:val="18"/>
        </w:rPr>
        <w:t>. Movilidad sostenible</w:t>
      </w:r>
      <w:bookmarkEnd w:id="373"/>
    </w:p>
    <w:tbl>
      <w:tblPr>
        <w:tblW w:w="8838" w:type="dxa"/>
        <w:jc w:val="center"/>
        <w:tblBorders>
          <w:top w:val="nil"/>
          <w:left w:val="nil"/>
          <w:bottom w:val="nil"/>
          <w:right w:val="nil"/>
          <w:insideH w:val="nil"/>
          <w:insideV w:val="nil"/>
        </w:tblBorders>
        <w:tblLayout w:type="fixed"/>
        <w:tblLook w:val="0600" w:firstRow="0" w:lastRow="0" w:firstColumn="0" w:lastColumn="0" w:noHBand="1" w:noVBand="1"/>
      </w:tblPr>
      <w:tblGrid>
        <w:gridCol w:w="2127"/>
        <w:gridCol w:w="1417"/>
        <w:gridCol w:w="1276"/>
        <w:gridCol w:w="1417"/>
        <w:gridCol w:w="1276"/>
        <w:gridCol w:w="1325"/>
      </w:tblGrid>
      <w:tr w:rsidR="00EF1D5F" w:rsidRPr="00E14E4A" w14:paraId="53BAE456" w14:textId="77777777" w:rsidTr="00827970">
        <w:trPr>
          <w:trHeight w:val="600"/>
          <w:tblHeader/>
          <w:jc w:val="center"/>
        </w:trPr>
        <w:tc>
          <w:tcPr>
            <w:tcW w:w="2127" w:type="dxa"/>
            <w:vMerge w:val="restart"/>
            <w:tcBorders>
              <w:top w:val="nil"/>
              <w:left w:val="nil"/>
              <w:bottom w:val="double" w:sz="4" w:space="0" w:color="C00000"/>
              <w:right w:val="double" w:sz="4" w:space="0" w:color="C00000"/>
            </w:tcBorders>
            <w:shd w:val="clear" w:color="auto" w:fill="C00000"/>
            <w:tcMar>
              <w:top w:w="40" w:type="dxa"/>
              <w:left w:w="40" w:type="dxa"/>
              <w:bottom w:w="40" w:type="dxa"/>
              <w:right w:w="40" w:type="dxa"/>
            </w:tcMar>
            <w:vAlign w:val="center"/>
          </w:tcPr>
          <w:p w14:paraId="7D2A6957" w14:textId="77777777" w:rsidR="00EF1D5F" w:rsidRPr="00E14E4A" w:rsidRDefault="00EF1D5F" w:rsidP="003D4AD9">
            <w:pPr>
              <w:widowControl w:val="0"/>
              <w:spacing w:line="276" w:lineRule="auto"/>
              <w:jc w:val="center"/>
              <w:rPr>
                <w:b/>
                <w:color w:val="FFFFFF"/>
                <w:sz w:val="24"/>
              </w:rPr>
            </w:pPr>
            <w:r w:rsidRPr="00E14E4A">
              <w:rPr>
                <w:b/>
                <w:color w:val="FFFFFF"/>
                <w:sz w:val="24"/>
              </w:rPr>
              <w:t>SECTOR / Metas</w:t>
            </w:r>
          </w:p>
        </w:tc>
        <w:tc>
          <w:tcPr>
            <w:tcW w:w="6711" w:type="dxa"/>
            <w:gridSpan w:val="5"/>
            <w:tcBorders>
              <w:top w:val="nil"/>
              <w:left w:val="double" w:sz="4" w:space="0" w:color="C00000"/>
              <w:bottom w:val="double" w:sz="4" w:space="0" w:color="C00000"/>
              <w:right w:val="nil"/>
            </w:tcBorders>
            <w:shd w:val="clear" w:color="auto" w:fill="C00000"/>
            <w:tcMar>
              <w:top w:w="40" w:type="dxa"/>
              <w:left w:w="40" w:type="dxa"/>
              <w:bottom w:w="40" w:type="dxa"/>
              <w:right w:w="40" w:type="dxa"/>
            </w:tcMar>
            <w:vAlign w:val="center"/>
          </w:tcPr>
          <w:p w14:paraId="5F183181" w14:textId="77777777" w:rsidR="00EF1D5F" w:rsidRPr="00E14E4A" w:rsidRDefault="00EF1D5F" w:rsidP="003D4AD9">
            <w:pPr>
              <w:widowControl w:val="0"/>
              <w:spacing w:line="276" w:lineRule="auto"/>
              <w:jc w:val="center"/>
              <w:rPr>
                <w:b/>
                <w:color w:val="FFFFFF"/>
                <w:sz w:val="24"/>
              </w:rPr>
            </w:pPr>
            <w:r w:rsidRPr="00E14E4A">
              <w:rPr>
                <w:b/>
                <w:color w:val="FFFFFF"/>
                <w:sz w:val="24"/>
              </w:rPr>
              <w:t>Magnitudes e Inversión</w:t>
            </w:r>
          </w:p>
          <w:p w14:paraId="3E30084A" w14:textId="77777777" w:rsidR="00EF1D5F" w:rsidRPr="00E14E4A" w:rsidRDefault="00EF1D5F" w:rsidP="003D4AD9">
            <w:pPr>
              <w:widowControl w:val="0"/>
              <w:spacing w:line="276" w:lineRule="auto"/>
              <w:jc w:val="center"/>
              <w:rPr>
                <w:rFonts w:ascii="Arial" w:eastAsia="Arial" w:hAnsi="Arial" w:cs="Arial"/>
                <w:color w:val="000000"/>
              </w:rPr>
            </w:pPr>
            <w:r w:rsidRPr="00E14E4A">
              <w:rPr>
                <w:b/>
                <w:color w:val="FFFFFF"/>
              </w:rPr>
              <w:t>(Precios Constantes 2024)</w:t>
            </w:r>
          </w:p>
        </w:tc>
      </w:tr>
      <w:tr w:rsidR="00EF1D5F" w:rsidRPr="00E14E4A" w14:paraId="51259E88" w14:textId="77777777" w:rsidTr="00B7555A">
        <w:trPr>
          <w:trHeight w:val="315"/>
          <w:tblHeader/>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43D68ED5"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1932682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b/>
                <w:color w:val="000000"/>
                <w:sz w:val="16"/>
                <w:szCs w:val="16"/>
              </w:rPr>
              <w:t>2024</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3DD38EA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b/>
                <w:color w:val="000000"/>
                <w:sz w:val="16"/>
                <w:szCs w:val="16"/>
              </w:rPr>
              <w:t>2025</w:t>
            </w:r>
          </w:p>
        </w:tc>
        <w:tc>
          <w:tcPr>
            <w:tcW w:w="1417"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781412E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b/>
                <w:color w:val="000000"/>
                <w:sz w:val="16"/>
                <w:szCs w:val="16"/>
              </w:rPr>
              <w:t>2026</w:t>
            </w:r>
          </w:p>
        </w:tc>
        <w:tc>
          <w:tcPr>
            <w:tcW w:w="1276" w:type="dxa"/>
            <w:tcBorders>
              <w:top w:val="double" w:sz="4" w:space="0" w:color="C00000"/>
              <w:left w:val="double" w:sz="4" w:space="0" w:color="C00000"/>
              <w:bottom w:val="double" w:sz="4" w:space="0" w:color="C00000"/>
              <w:right w:val="double" w:sz="4" w:space="0" w:color="C00000"/>
            </w:tcBorders>
            <w:shd w:val="clear" w:color="auto" w:fill="D9D9D9"/>
            <w:tcMar>
              <w:top w:w="40" w:type="dxa"/>
              <w:left w:w="40" w:type="dxa"/>
              <w:bottom w:w="40" w:type="dxa"/>
              <w:right w:w="40" w:type="dxa"/>
            </w:tcMar>
            <w:vAlign w:val="center"/>
          </w:tcPr>
          <w:p w14:paraId="3526F6C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b/>
                <w:color w:val="000000"/>
                <w:sz w:val="16"/>
                <w:szCs w:val="16"/>
              </w:rPr>
              <w:t>2027</w:t>
            </w:r>
          </w:p>
        </w:tc>
        <w:tc>
          <w:tcPr>
            <w:tcW w:w="1325" w:type="dxa"/>
            <w:tcBorders>
              <w:top w:val="double" w:sz="4" w:space="0" w:color="C00000"/>
              <w:left w:val="double" w:sz="4" w:space="0" w:color="C00000"/>
              <w:bottom w:val="double" w:sz="4" w:space="0" w:color="C00000"/>
              <w:right w:val="nil"/>
            </w:tcBorders>
            <w:shd w:val="clear" w:color="auto" w:fill="D9D9D9"/>
            <w:tcMar>
              <w:top w:w="40" w:type="dxa"/>
              <w:left w:w="40" w:type="dxa"/>
              <w:bottom w:w="40" w:type="dxa"/>
              <w:right w:w="40" w:type="dxa"/>
            </w:tcMar>
            <w:vAlign w:val="center"/>
          </w:tcPr>
          <w:p w14:paraId="32D5DA5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b/>
                <w:color w:val="000000"/>
                <w:sz w:val="16"/>
                <w:szCs w:val="16"/>
              </w:rPr>
              <w:t>Total Inversión</w:t>
            </w:r>
          </w:p>
        </w:tc>
      </w:tr>
      <w:tr w:rsidR="00EF1D5F" w:rsidRPr="00E14E4A" w14:paraId="461C1CE6" w14:textId="77777777" w:rsidTr="00F005FD">
        <w:trPr>
          <w:trHeight w:val="315"/>
          <w:jc w:val="center"/>
        </w:trPr>
        <w:tc>
          <w:tcPr>
            <w:tcW w:w="8838" w:type="dxa"/>
            <w:gridSpan w:val="6"/>
            <w:tcBorders>
              <w:top w:val="double" w:sz="4" w:space="0" w:color="C00000"/>
              <w:left w:val="nil"/>
              <w:bottom w:val="double" w:sz="4" w:space="0" w:color="C00000"/>
              <w:right w:val="nil"/>
            </w:tcBorders>
            <w:shd w:val="clear" w:color="auto" w:fill="C00000"/>
            <w:tcMar>
              <w:top w:w="40" w:type="dxa"/>
              <w:left w:w="40" w:type="dxa"/>
              <w:bottom w:w="40" w:type="dxa"/>
              <w:right w:w="40" w:type="dxa"/>
            </w:tcMar>
            <w:vAlign w:val="center"/>
          </w:tcPr>
          <w:p w14:paraId="2B3FB554" w14:textId="77777777" w:rsidR="00EF1D5F" w:rsidRPr="00E14E4A" w:rsidRDefault="00EF1D5F" w:rsidP="003D4AD9">
            <w:pPr>
              <w:widowControl w:val="0"/>
              <w:spacing w:line="276" w:lineRule="auto"/>
              <w:jc w:val="center"/>
              <w:rPr>
                <w:rFonts w:ascii="Arial" w:eastAsia="Arial" w:hAnsi="Arial" w:cs="Arial"/>
                <w:color w:val="FFFFFF" w:themeColor="background1"/>
                <w:szCs w:val="22"/>
              </w:rPr>
            </w:pPr>
            <w:r w:rsidRPr="00E14E4A">
              <w:rPr>
                <w:b/>
                <w:color w:val="FFFFFF" w:themeColor="background1"/>
                <w:szCs w:val="22"/>
              </w:rPr>
              <w:t>MOVILIDAD</w:t>
            </w:r>
          </w:p>
        </w:tc>
      </w:tr>
      <w:tr w:rsidR="00EF1D5F" w:rsidRPr="00E14E4A" w14:paraId="0243E6DE"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F8D8509" w14:textId="030188F0" w:rsidR="00EF1D5F" w:rsidRPr="00E14E4A" w:rsidRDefault="00EF1D5F" w:rsidP="003D4AD9">
            <w:pPr>
              <w:widowControl w:val="0"/>
              <w:spacing w:line="276" w:lineRule="auto"/>
              <w:jc w:val="left"/>
              <w:rPr>
                <w:color w:val="000000"/>
                <w:sz w:val="16"/>
                <w:szCs w:val="16"/>
              </w:rPr>
            </w:pPr>
            <w:r w:rsidRPr="00E14E4A">
              <w:rPr>
                <w:color w:val="000000"/>
                <w:sz w:val="16"/>
                <w:szCs w:val="16"/>
              </w:rPr>
              <w:t>Alcanzar 143 km en operación de troncales de sistema de transporte público masivo (29 km nuevos)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35902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8E8C30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125</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8E8B4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8120C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143</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3D3DFF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940.565.568.762</w:t>
            </w:r>
          </w:p>
        </w:tc>
      </w:tr>
      <w:tr w:rsidR="00EF1D5F" w:rsidRPr="00E14E4A" w14:paraId="51CD4EDB"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1FC87DA"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FF4685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41.291.000.000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53167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488.265.048.544</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92592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296.012.819.304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D74142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114.996.700.914</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6935D8DC"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7634562C"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C5706B8"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Alcanzar 23 Kilómetros contratados de troncales de sistema de transporte público masivo con perspectiva de integración regional en aquellos corredores con influencia en la ciudad-región.</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1A98E8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0CE523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63430F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B48382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C9FB6CA"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2.525.825.131.973</w:t>
            </w:r>
          </w:p>
        </w:tc>
      </w:tr>
      <w:tr w:rsidR="00EF1D5F" w:rsidRPr="00E14E4A" w14:paraId="5B009CDC"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0DABA50"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22A714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515.818.000.000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49291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767.705.825.243</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EBAC92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800.740.880.385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C3968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441.560.426.346</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6073F165"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2D38B3CD"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18E96B6"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Alcanzar 46 enlaces vehiculares.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38A87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A2FF9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335BE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B5A95C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13</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D309E60"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352.166.767.917</w:t>
            </w:r>
          </w:p>
        </w:tc>
      </w:tr>
      <w:tr w:rsidR="00EF1D5F" w:rsidRPr="00E14E4A" w14:paraId="14E2D942"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3567AAA"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7ACB8A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105.178.000.000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33CF7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43.306.796.117</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AB771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118.666.226.789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04FCF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85.015.745.012</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96A0F8A"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07F3A384"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DB56E53"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Alcanzar el 16% del ciclo de vida del proyecto Línea 2 del Metro (L2MB), correspondiente al inicio del contrato de concesión, la interventoría, PMO e inicio de contratación cambiar por ejecución.</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4564C9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C4AF3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D82CEF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498DA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16%</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6CB150F"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416.050.852.592</w:t>
            </w:r>
          </w:p>
        </w:tc>
      </w:tr>
      <w:tr w:rsidR="00EF1D5F" w:rsidRPr="00E14E4A" w14:paraId="36E3C7C0"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28D4A1D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052B43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D8716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D836AF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AA5E6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416.050.852.592</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3F4F18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63A36F5B"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B72F18E" w14:textId="14F0AB91" w:rsidR="00EF1D5F" w:rsidRPr="00E14E4A" w:rsidRDefault="00EF1D5F" w:rsidP="003D4AD9">
            <w:pPr>
              <w:widowControl w:val="0"/>
              <w:spacing w:line="276" w:lineRule="auto"/>
              <w:jc w:val="left"/>
              <w:rPr>
                <w:color w:val="000000"/>
                <w:sz w:val="16"/>
                <w:szCs w:val="16"/>
              </w:rPr>
            </w:pPr>
            <w:r w:rsidRPr="00E14E4A">
              <w:rPr>
                <w:color w:val="000000"/>
                <w:sz w:val="16"/>
                <w:szCs w:val="16"/>
              </w:rPr>
              <w:t>Conservar 135 kilómetros lineales de la red de cicloinfraestructura.</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3A9C88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7DB04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43</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DFEB6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56D24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42</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1CE551A"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156.852.540.448</w:t>
            </w:r>
          </w:p>
        </w:tc>
      </w:tr>
      <w:tr w:rsidR="00EF1D5F" w:rsidRPr="00E14E4A" w14:paraId="35F8FFE3"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FF3D6A6"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7E479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10.358.000.000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F8D48E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51.100.000.000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A3329C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46.256.009.049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D678E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49.138.531.399</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9EA20CC"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51B54497"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C7D6FC6"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Conservar 2.915 kilómetros-carril de la red vial.</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335BD4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362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FAADEB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610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2E62A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875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8C650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1.068</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C0CCA2F"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2.128.243.642.897</w:t>
            </w:r>
          </w:p>
        </w:tc>
      </w:tr>
      <w:tr w:rsidR="00EF1D5F" w:rsidRPr="00E14E4A" w14:paraId="5A179443"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21534B1"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29329F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345.036.000.000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BEB7E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614.776.699.029</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A1456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643.857.102.460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EF396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524.573.841.408</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67A3A33"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7F9B271D"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59FB118" w14:textId="0AA186C8" w:rsidR="00EF1D5F" w:rsidRPr="00E14E4A" w:rsidRDefault="00EF1D5F" w:rsidP="003D4AD9">
            <w:pPr>
              <w:widowControl w:val="0"/>
              <w:spacing w:line="276" w:lineRule="auto"/>
              <w:jc w:val="left"/>
              <w:rPr>
                <w:color w:val="000000"/>
                <w:sz w:val="16"/>
                <w:szCs w:val="16"/>
              </w:rPr>
            </w:pPr>
            <w:r w:rsidRPr="00E14E4A">
              <w:rPr>
                <w:color w:val="000000"/>
                <w:sz w:val="16"/>
                <w:szCs w:val="16"/>
              </w:rPr>
              <w:t>Construir 59 kilómetros lineales de la red de cicloinfraestructura</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A59CEF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66C7F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12BCA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5DB3B2A" w14:textId="18F7C1B9" w:rsidR="00EF1D5F" w:rsidRPr="00E14E4A" w:rsidRDefault="000A2143" w:rsidP="003D4AD9">
            <w:pPr>
              <w:widowControl w:val="0"/>
              <w:spacing w:line="276" w:lineRule="auto"/>
              <w:jc w:val="center"/>
              <w:rPr>
                <w:rFonts w:ascii="Arial" w:eastAsia="Arial" w:hAnsi="Arial" w:cs="Arial"/>
                <w:color w:val="000000"/>
                <w:sz w:val="16"/>
                <w:szCs w:val="16"/>
              </w:rPr>
            </w:pPr>
            <w:r>
              <w:rPr>
                <w:color w:val="000000"/>
                <w:sz w:val="16"/>
                <w:szCs w:val="16"/>
              </w:rPr>
              <w:t>30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6798976"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293.358.922.962</w:t>
            </w:r>
          </w:p>
        </w:tc>
      </w:tr>
      <w:tr w:rsidR="00EF1D5F" w:rsidRPr="00E14E4A" w14:paraId="64A98300"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E388D06"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A872B5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12.593.000.000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E97AFA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26.488.349.515</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3A993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112.073.711.000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F13F2D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142.203.862.447</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B584705"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5DB1D90B"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6137E53"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Construir 80 Km/carril de malla vial en la ciudad.</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4E22280" w14:textId="359A907B"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525501" w14:textId="16119261"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B93CC4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0115DA6" w14:textId="09FA3DAC"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r w:rsidR="000A2143">
              <w:rPr>
                <w:color w:val="000000"/>
                <w:sz w:val="16"/>
                <w:szCs w:val="16"/>
              </w:rPr>
              <w:t>5</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5425B36"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1.767.966.317.733</w:t>
            </w:r>
          </w:p>
        </w:tc>
      </w:tr>
      <w:tr w:rsidR="00EF1D5F" w:rsidRPr="00E14E4A" w14:paraId="34F90474"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AE05E34"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C8AB73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1.447.051.000.000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0A4DB3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156.248.543.689</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F7B3D2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109.115.845.037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E4D48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55.550.929.006</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6BA526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9567F4A"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02C9C59"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Contratar 1 línea de cable</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A76E3B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0BA89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4FAE6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E18CF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6E8BAE4"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488.262.884.005</w:t>
            </w:r>
          </w:p>
        </w:tc>
      </w:tr>
      <w:tr w:rsidR="00EF1D5F" w:rsidRPr="00E14E4A" w14:paraId="53F44E3E"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65E1825"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D10A4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31.350.000.000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8305A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237.330.097.087</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57DA22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174.821.378.075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FC37A8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44.761.408.842</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93F7EE8"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10867726"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E6A70B2"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Contratar 50 Km/carril de malla vial en la ciudad</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72442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ACED0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0CDD4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791190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28</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479D252"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1.824.398.942.282</w:t>
            </w:r>
          </w:p>
        </w:tc>
      </w:tr>
      <w:tr w:rsidR="00EF1D5F" w:rsidRPr="00E14E4A" w14:paraId="0712A3DA"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1959ABD"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5E056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18.989.000.000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901F17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A9A6E0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622.276.369.121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17AE02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1.183.133.573.161</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1F6E095"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00C76FAC"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1248F00"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Desarrollar al menos 1 Proyecto de Desarrollo Urbanístico y/o Proyecto de Renovación Urbana para la Movilidad Sostenible (PRUMS) y/o Complejo de Integración Modal (CIM) de la red de transporte público.</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8EE4A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E73CB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81185C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463E2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38CBE2C5"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20.971.871.291</w:t>
            </w:r>
          </w:p>
        </w:tc>
      </w:tr>
      <w:tr w:rsidR="00EF1D5F" w:rsidRPr="00E14E4A" w14:paraId="4D72692D"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E13C444"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75D5A0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354283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98C0F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19.842.586.483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2FB9E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1.129.284.808</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12FB4AD4"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633EE0BE"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939CC19"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Diseñar y contratar el 100% de la construcción de la estación central del Sistema TransMilenio.</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57B25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62D7C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EFDC5E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9D7D5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CDD5CD3"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98.835.299.210</w:t>
            </w:r>
          </w:p>
        </w:tc>
      </w:tr>
      <w:tr w:rsidR="00EF1D5F" w:rsidRPr="00E14E4A" w14:paraId="0DB9B2BE"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E40CDE8"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7284B4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FDC77F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F45AF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535E6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98.835.299.210</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D5840C6"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4279F19"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80AC917"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Ejecutar 100% de las acciones para el mantenimiento y mejoramiento de las estaciones del Sistema Integrado de Transporte Público</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D1355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F76CF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31B57C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B04562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069C141"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239.313.443.381</w:t>
            </w:r>
          </w:p>
        </w:tc>
      </w:tr>
      <w:tr w:rsidR="00EF1D5F" w:rsidRPr="00E14E4A" w14:paraId="6F6E43D6"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F0F5CAC"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62FD1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58.335.000.000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F95181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84.305.825.243</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C9893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53.658.214.723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FA2B81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43.014.403.415</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07BFB8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6601FF19"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42D4CFE"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Ejecutar 3 intervenciones en la infraestructura física existente del componente troncal orientadas a optimizar la operación y mejorar la calidad del servicio</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8EFADF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DF2137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E2305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265981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E8817B3"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5.713.649.689</w:t>
            </w:r>
          </w:p>
        </w:tc>
      </w:tr>
      <w:tr w:rsidR="00EF1D5F" w:rsidRPr="00E14E4A" w14:paraId="07612C90"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5A45073"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BAF3AF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92.000.000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762B3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5.316.504.854</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649EC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139.504.195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B2BB17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165.640.640</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6445AE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58CE3520"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5F74A75"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Ejecutar el 100% de las actividades de planeación gestión y control del Sistema Integrado de Transporte Público de Bogotá.</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AF0428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35B8B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DFD40B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A98C3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E74257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506.274.564.969</w:t>
            </w:r>
          </w:p>
        </w:tc>
      </w:tr>
      <w:tr w:rsidR="00EF1D5F" w:rsidRPr="00E14E4A" w14:paraId="1CEE172A"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79D8DFD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011404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128.765.000.000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0DBF51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81.374.757.282</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155E1D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150.391.177.302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6C5222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145.743.630.385</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73BC614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61316AF2"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4FB6113"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Estructurar el 100% del Sistema Interoperable de Recaudo para los Sistemas de transporte público masivo disponibles de la ciudad con los componentes tecnológicos asociados.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AC8064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6A656C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5B903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1B8873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F281EC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140.843.695.718</w:t>
            </w:r>
          </w:p>
        </w:tc>
      </w:tr>
      <w:tr w:rsidR="00EF1D5F" w:rsidRPr="00E14E4A" w14:paraId="66684920"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FE0AEAA"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999870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41.533.000.000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1DEC8A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22.382.524.272</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AC47AB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39.667.263.644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A4CCB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37.260.907.802</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34DB010"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2A8248F6"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9CA3F5E"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 xml:space="preserve">Estructurar proyectos viales </w:t>
            </w:r>
            <w:r w:rsidRPr="00E14E4A">
              <w:rPr>
                <w:color w:val="000000"/>
                <w:sz w:val="16"/>
                <w:szCs w:val="16"/>
              </w:rPr>
              <w:lastRenderedPageBreak/>
              <w:t>correspondientes a 270 km carril de malla vial</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EEDE4D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lastRenderedPageBreak/>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7026C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270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48D707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12192C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0099412"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13.339.955.908</w:t>
            </w:r>
          </w:p>
        </w:tc>
      </w:tr>
      <w:tr w:rsidR="00EF1D5F" w:rsidRPr="00E14E4A" w14:paraId="3FDED4FA"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6335D7B6"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A152D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F4916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7.475.728.155</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77BAB5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3.393.345.273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E69BB1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2.470.882.480</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293A626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26CE49C1"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29D4B71"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Estructurar una línea de cable (estudios y diseños Fase I)</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6418F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1EEA0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0461F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22EF14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DEB4BF8"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9.858.534.620</w:t>
            </w:r>
          </w:p>
        </w:tc>
      </w:tr>
      <w:tr w:rsidR="00EF1D5F" w:rsidRPr="00E14E4A" w14:paraId="3678536F"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2F047BB"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6FCA9D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1.480.000.000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60DC12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8.145.631.068</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B7D9A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141.389.386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0257F0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91.514.166</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9874BEB"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F317787"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412593BA"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Generar 5.000 nuevos cupos de ciclo parqueaderos seguros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9A12E9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784756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F97B1A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9871BF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F49042A"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10.766.162.101</w:t>
            </w:r>
          </w:p>
        </w:tc>
      </w:tr>
      <w:tr w:rsidR="00EF1D5F" w:rsidRPr="00E14E4A" w14:paraId="5951D5E8"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7C35FB1"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3AE77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1.282.000.000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7CF664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3.883.495.146</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A9275C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3.770.383.637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FBDF71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1.830.283.319</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5BC067D"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B280374"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3387FFB9"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Implementar el 23% de la inserción urbana del Regiotram de Occidente.</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36A18E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84A0E5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C14F0D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67CAF5" w14:textId="600B3FCD" w:rsidR="00EF1D5F" w:rsidRPr="00E14E4A" w:rsidRDefault="00B7555A" w:rsidP="003D4AD9">
            <w:pPr>
              <w:widowControl w:val="0"/>
              <w:spacing w:line="276" w:lineRule="auto"/>
              <w:jc w:val="center"/>
              <w:rPr>
                <w:rFonts w:ascii="Arial" w:eastAsia="Arial" w:hAnsi="Arial" w:cs="Arial"/>
                <w:color w:val="000000"/>
                <w:sz w:val="16"/>
                <w:szCs w:val="16"/>
              </w:rPr>
            </w:pPr>
            <w:r>
              <w:rPr>
                <w:color w:val="000000"/>
                <w:sz w:val="16"/>
                <w:szCs w:val="16"/>
              </w:rPr>
              <w:t>23%</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AE2000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288.061.535.044</w:t>
            </w:r>
          </w:p>
        </w:tc>
      </w:tr>
      <w:tr w:rsidR="00EF1D5F" w:rsidRPr="00E14E4A" w14:paraId="762527E9"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9195D2B"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D18274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1.452.000.000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2A7441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78.724.271.845</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5EB8E1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151.972.853.238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B674C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55.912.409.962</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0AABA6A8"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9069A8A"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A790E48"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Incrementar en 613 los vehículos de cero o bajas emisiones vinculados en el Sistema Integrado de Transporte Público (SITP)</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25A4B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C2CE20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170,00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0E8602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315,00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BD1C1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613,00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AEAB3F4"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244.895.545.090</w:t>
            </w:r>
          </w:p>
        </w:tc>
      </w:tr>
      <w:tr w:rsidR="00EF1D5F" w:rsidRPr="00E14E4A" w14:paraId="6DA23B61"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1D638690"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E2E016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5F8A40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27.210.679.612</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B8C78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108.842.492.224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1CB67F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108.842.373.255</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4360A4E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7B0DC213"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3CCEACF"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Iniciar la operación de 1 línea de cable</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758B05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071A25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26EC2C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E33CCF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044C3805"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31.485.472.584</w:t>
            </w:r>
          </w:p>
        </w:tc>
      </w:tr>
      <w:tr w:rsidR="00EF1D5F" w:rsidRPr="00E14E4A" w14:paraId="15E6D902"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9DB3DD3"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ADFA94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8.000.000.000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16E230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7.766.990.291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941636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6.567.065.699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C90682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9.151.416.594</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2AF8627B"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6201532A"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541FF0C6"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Intervenir 20 puntos críticos de la malla vial rural</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864CDF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3E8E7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0EC503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4CEE1F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FBEB3B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5.691.500.439</w:t>
            </w:r>
          </w:p>
        </w:tc>
      </w:tr>
      <w:tr w:rsidR="00EF1D5F" w:rsidRPr="00E14E4A" w14:paraId="74AE8335"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67E04A5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2920FB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600.000.000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8723E0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1.747.572.816</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1C20B6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1.696.672.636</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C3D249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1.647.254.987</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0B2C14D"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70C311E5"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65EC7918"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Lograr 9.200.000 viajes en modos sostenibles en un día hábil entre semana en Bogotá-Región.</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BEE7CD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8.727.568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73805E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8.777.297</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B46E81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8.839.459</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A42F2F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9.200.000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7570503C"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150.983.680.136</w:t>
            </w:r>
          </w:p>
        </w:tc>
      </w:tr>
      <w:tr w:rsidR="00EF1D5F" w:rsidRPr="00E14E4A" w14:paraId="4DEC7678"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6926107"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8A0ED2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33.472.000.000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0B615E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39.002.912.621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47335F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39.169.573.004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2EAA9B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39.339.194.511</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F7D888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39C510AC"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389ACFE" w14:textId="6CEF2039" w:rsidR="00EF1D5F" w:rsidRPr="00E14E4A" w:rsidRDefault="00EF1D5F" w:rsidP="003D4AD9">
            <w:pPr>
              <w:widowControl w:val="0"/>
              <w:spacing w:line="276" w:lineRule="auto"/>
              <w:jc w:val="left"/>
              <w:rPr>
                <w:color w:val="000000"/>
                <w:sz w:val="16"/>
                <w:szCs w:val="16"/>
              </w:rPr>
            </w:pPr>
            <w:r w:rsidRPr="00E14E4A">
              <w:rPr>
                <w:color w:val="000000"/>
                <w:sz w:val="16"/>
                <w:szCs w:val="16"/>
              </w:rPr>
              <w:t>Lograr el 99.70% de la etapa preoperativa de la Primera Línea del Metro (PLMB)- Tramo 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3BE461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58,7%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594CF6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69,6%</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8E6835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90,7%</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E491B96"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99,7%</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15B41CE4"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2.072.653.548.983</w:t>
            </w:r>
          </w:p>
        </w:tc>
      </w:tr>
      <w:tr w:rsidR="00EF1D5F" w:rsidRPr="00E14E4A" w14:paraId="79C8D278"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581D7904"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DB862D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540.597.000.000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5B4005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544.926.213.592</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57E9CD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542.180.224.338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552DE2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444.950.111.052</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720A0E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32C48088" w14:textId="77777777" w:rsidTr="00F005FD">
        <w:trPr>
          <w:trHeight w:val="31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83F33AA"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Lograr el mejoramiento de las condiciones de 600 paraderos del SITP</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BADD42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6B0BC5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185</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537916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FD2173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69D1DAD1"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14.121.537.559</w:t>
            </w:r>
          </w:p>
        </w:tc>
      </w:tr>
      <w:tr w:rsidR="00EF1D5F" w:rsidRPr="00E14E4A" w14:paraId="6F64C6CD" w14:textId="77777777" w:rsidTr="00F005FD">
        <w:trPr>
          <w:trHeight w:val="31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783BDD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417CD0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836.000.000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0218E8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3.091.262.136</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6512E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5.327.552.078</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A93F80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4.866.723.344</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299FB80E"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2B5C11FC"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082B9EE3"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 xml:space="preserve">Mejorar la infraestructura de </w:t>
            </w:r>
            <w:r w:rsidRPr="00E14E4A">
              <w:rPr>
                <w:color w:val="000000"/>
                <w:sz w:val="16"/>
                <w:szCs w:val="16"/>
              </w:rPr>
              <w:lastRenderedPageBreak/>
              <w:t>5 patios del SITP a través de la puesta en operación de 2 patios y la adecuación física de 3 patios.</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C7B1A0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lastRenderedPageBreak/>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9A2FEF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D1B79C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21BCEC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4FD7F843"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12.417.841.476</w:t>
            </w:r>
          </w:p>
        </w:tc>
      </w:tr>
      <w:tr w:rsidR="00EF1D5F" w:rsidRPr="00E14E4A" w14:paraId="13227FC0"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62ABCC1"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3097E12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969.000.000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DA6438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10.095.145.631</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E7882A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823.828.825</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7038415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529.867.021</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393075C3"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E0F4F22"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2D8BAE49" w14:textId="2CB41E07" w:rsidR="00EF1D5F" w:rsidRPr="00E14E4A" w:rsidRDefault="00EF1D5F" w:rsidP="003D4AD9">
            <w:pPr>
              <w:widowControl w:val="0"/>
              <w:spacing w:line="276" w:lineRule="auto"/>
              <w:jc w:val="left"/>
              <w:rPr>
                <w:color w:val="000000"/>
                <w:sz w:val="16"/>
                <w:szCs w:val="16"/>
              </w:rPr>
            </w:pPr>
            <w:r w:rsidRPr="00E14E4A">
              <w:rPr>
                <w:color w:val="000000"/>
                <w:sz w:val="16"/>
                <w:szCs w:val="16"/>
              </w:rPr>
              <w:t>Poner en operación el 100% de 28 km de ciclorrutas y 840.000 m2 de espacio público como parte de troncales nuevas de TransMilenio</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2A9EF9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C58B81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29A199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4CD4EFF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20072B28"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17.038.288.245</w:t>
            </w:r>
          </w:p>
        </w:tc>
      </w:tr>
      <w:tr w:rsidR="00EF1D5F" w:rsidRPr="00E14E4A" w14:paraId="79A98D7D"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3C5BAEA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4474A2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2.437.000.000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DF58B9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2.709.708.738</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FF8371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5.254.972.193</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066E33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6.636.607.314</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6626CD94"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9FD1B13" w14:textId="77777777" w:rsidTr="00F005FD">
        <w:trPr>
          <w:trHeight w:val="345"/>
          <w:jc w:val="center"/>
        </w:trPr>
        <w:tc>
          <w:tcPr>
            <w:tcW w:w="2127" w:type="dxa"/>
            <w:vMerge w:val="restart"/>
            <w:tcBorders>
              <w:top w:val="double" w:sz="4" w:space="0" w:color="C00000"/>
              <w:left w:val="nil"/>
              <w:bottom w:val="double" w:sz="4" w:space="0" w:color="C00000"/>
              <w:right w:val="double" w:sz="4" w:space="0" w:color="C00000"/>
            </w:tcBorders>
            <w:shd w:val="clear" w:color="auto" w:fill="auto"/>
            <w:tcMar>
              <w:top w:w="40" w:type="dxa"/>
              <w:left w:w="40" w:type="dxa"/>
              <w:bottom w:w="40" w:type="dxa"/>
              <w:right w:w="40" w:type="dxa"/>
            </w:tcMar>
            <w:vAlign w:val="center"/>
          </w:tcPr>
          <w:p w14:paraId="78A5F5BC"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Realizar el 100% de las actividades de factibilidad que permitan dar trámite al convenio de cofinanciación con la nación para la expansión del Sistema de transporte público Metroferroviario ajustado a las condiciones de la demanda.</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1D11AE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1E02795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34,00%</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FF5115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97,00%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57A7D6B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w:t>
            </w:r>
          </w:p>
        </w:tc>
        <w:tc>
          <w:tcPr>
            <w:tcW w:w="1325" w:type="dxa"/>
            <w:vMerge w:val="restart"/>
            <w:tcBorders>
              <w:top w:val="double" w:sz="4" w:space="0" w:color="C00000"/>
              <w:left w:val="double" w:sz="4" w:space="0" w:color="C00000"/>
              <w:bottom w:val="double" w:sz="4" w:space="0" w:color="C00000"/>
              <w:right w:val="nil"/>
            </w:tcBorders>
            <w:shd w:val="clear" w:color="auto" w:fill="auto"/>
            <w:tcMar>
              <w:top w:w="40" w:type="dxa"/>
              <w:left w:w="40" w:type="dxa"/>
              <w:bottom w:w="40" w:type="dxa"/>
              <w:right w:w="40" w:type="dxa"/>
            </w:tcMar>
            <w:vAlign w:val="center"/>
          </w:tcPr>
          <w:p w14:paraId="5CE4A0E3"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61.565.171.081</w:t>
            </w:r>
          </w:p>
        </w:tc>
      </w:tr>
      <w:tr w:rsidR="00EF1D5F" w:rsidRPr="00E14E4A" w14:paraId="3AAE7E47" w14:textId="77777777" w:rsidTr="00F005FD">
        <w:trPr>
          <w:trHeight w:val="345"/>
          <w:jc w:val="center"/>
        </w:trPr>
        <w:tc>
          <w:tcPr>
            <w:tcW w:w="2127" w:type="dxa"/>
            <w:vMerge/>
            <w:tcBorders>
              <w:top w:val="double" w:sz="4" w:space="0" w:color="C00000"/>
              <w:left w:val="nil"/>
              <w:bottom w:val="double" w:sz="4" w:space="0" w:color="C00000"/>
              <w:right w:val="double" w:sz="4" w:space="0" w:color="C00000"/>
            </w:tcBorders>
            <w:shd w:val="clear" w:color="auto" w:fill="auto"/>
            <w:tcMar>
              <w:top w:w="100" w:type="dxa"/>
              <w:left w:w="100" w:type="dxa"/>
              <w:bottom w:w="100" w:type="dxa"/>
              <w:right w:w="100" w:type="dxa"/>
            </w:tcMar>
          </w:tcPr>
          <w:p w14:paraId="0E04965A"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108A42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238D70F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50.566.019.417</w:t>
            </w:r>
          </w:p>
        </w:tc>
        <w:tc>
          <w:tcPr>
            <w:tcW w:w="1417"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04345C13"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10.999.151.664</w:t>
            </w:r>
          </w:p>
        </w:tc>
        <w:tc>
          <w:tcPr>
            <w:tcW w:w="1276" w:type="dxa"/>
            <w:tcBorders>
              <w:top w:val="double" w:sz="4" w:space="0" w:color="C00000"/>
              <w:left w:val="double" w:sz="4" w:space="0" w:color="C00000"/>
              <w:bottom w:val="double" w:sz="4" w:space="0" w:color="C00000"/>
              <w:right w:val="double" w:sz="4" w:space="0" w:color="C00000"/>
            </w:tcBorders>
            <w:shd w:val="clear" w:color="auto" w:fill="auto"/>
            <w:tcMar>
              <w:top w:w="40" w:type="dxa"/>
              <w:left w:w="40" w:type="dxa"/>
              <w:bottom w:w="40" w:type="dxa"/>
              <w:right w:w="40" w:type="dxa"/>
            </w:tcMar>
            <w:vAlign w:val="center"/>
          </w:tcPr>
          <w:p w14:paraId="67BD074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0</w:t>
            </w:r>
          </w:p>
        </w:tc>
        <w:tc>
          <w:tcPr>
            <w:tcW w:w="1325" w:type="dxa"/>
            <w:vMerge/>
            <w:tcBorders>
              <w:top w:val="double" w:sz="4" w:space="0" w:color="C00000"/>
              <w:left w:val="double" w:sz="4" w:space="0" w:color="C00000"/>
              <w:bottom w:val="double" w:sz="4" w:space="0" w:color="C00000"/>
              <w:right w:val="nil"/>
            </w:tcBorders>
            <w:shd w:val="clear" w:color="auto" w:fill="auto"/>
            <w:tcMar>
              <w:top w:w="100" w:type="dxa"/>
              <w:left w:w="100" w:type="dxa"/>
              <w:bottom w:w="100" w:type="dxa"/>
              <w:right w:w="100" w:type="dxa"/>
            </w:tcMar>
          </w:tcPr>
          <w:p w14:paraId="59CD792C"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bl>
    <w:p w14:paraId="532F35D8" w14:textId="77777777" w:rsidR="00EF1D5F" w:rsidRDefault="00EF1D5F" w:rsidP="00F005FD">
      <w:bookmarkStart w:id="374" w:name="_heading=h.49gfa85" w:colFirst="0" w:colLast="0"/>
      <w:bookmarkEnd w:id="374"/>
    </w:p>
    <w:p w14:paraId="55318752" w14:textId="77777777" w:rsidR="00EF1D5F" w:rsidRDefault="00EF1D5F" w:rsidP="00F005FD"/>
    <w:p w14:paraId="2B604FAB" w14:textId="77777777" w:rsidR="00C372F4" w:rsidRDefault="00C372F4" w:rsidP="00432C7F">
      <w:pPr>
        <w:keepNext/>
        <w:keepLines/>
        <w:pBdr>
          <w:top w:val="nil"/>
          <w:left w:val="nil"/>
          <w:bottom w:val="nil"/>
          <w:right w:val="nil"/>
          <w:between w:val="nil"/>
        </w:pBdr>
        <w:ind w:left="1145" w:hanging="720"/>
        <w:jc w:val="left"/>
        <w:rPr>
          <w:b/>
          <w:color w:val="C00000"/>
          <w:sz w:val="28"/>
          <w:szCs w:val="28"/>
        </w:rPr>
      </w:pPr>
      <w:r>
        <w:rPr>
          <w:b/>
          <w:color w:val="C00000"/>
          <w:sz w:val="28"/>
          <w:szCs w:val="28"/>
        </w:rPr>
        <w:br w:type="page"/>
      </w:r>
    </w:p>
    <w:p w14:paraId="5A9C7874" w14:textId="20B60DE1" w:rsidR="00EF1D5F" w:rsidRPr="00432C7F" w:rsidRDefault="00EF1D5F" w:rsidP="00946597">
      <w:pPr>
        <w:pStyle w:val="NIVEL4"/>
        <w:rPr>
          <w:b w:val="0"/>
          <w:color w:val="3B3838"/>
          <w:sz w:val="28"/>
          <w:szCs w:val="28"/>
        </w:rPr>
      </w:pPr>
      <w:bookmarkStart w:id="375" w:name="_Toc165169792"/>
      <w:r w:rsidRPr="00946597">
        <w:rPr>
          <w:color w:val="C00000"/>
        </w:rPr>
        <w:lastRenderedPageBreak/>
        <w:t>Programa 27</w:t>
      </w:r>
      <w:r w:rsidR="008F470E">
        <w:rPr>
          <w:color w:val="C00000"/>
        </w:rPr>
        <w:t>:</w:t>
      </w:r>
      <w:r w:rsidRPr="00946597">
        <w:rPr>
          <w:color w:val="C00000"/>
        </w:rPr>
        <w:t xml:space="preserve"> </w:t>
      </w:r>
      <w:r w:rsidRPr="00946597">
        <w:t>Gestión del riesgo de desastres</w:t>
      </w:r>
      <w:r w:rsidR="00946597">
        <w:t xml:space="preserve"> </w:t>
      </w:r>
      <w:r w:rsidRPr="00C372F4">
        <w:rPr>
          <w:color w:val="3B3838"/>
          <w:sz w:val="28"/>
          <w:szCs w:val="28"/>
        </w:rPr>
        <w:t xml:space="preserve">para un territorio </w:t>
      </w:r>
      <w:r>
        <w:rPr>
          <w:color w:val="3B3838"/>
          <w:sz w:val="28"/>
          <w:szCs w:val="28"/>
        </w:rPr>
        <w:t>seguro</w:t>
      </w:r>
      <w:bookmarkEnd w:id="375"/>
    </w:p>
    <w:p w14:paraId="3FC5E810" w14:textId="77777777" w:rsidR="00EF1D5F" w:rsidRDefault="00EF1D5F">
      <w:pPr>
        <w:rPr>
          <w:i/>
        </w:rPr>
      </w:pPr>
    </w:p>
    <w:p w14:paraId="26647333" w14:textId="3D7AC386" w:rsidR="00EF1D5F" w:rsidRPr="00121FAC" w:rsidRDefault="00EF1D5F" w:rsidP="007E2533">
      <w:pPr>
        <w:keepNext/>
        <w:keepLines/>
        <w:pBdr>
          <w:top w:val="nil"/>
          <w:left w:val="nil"/>
          <w:bottom w:val="nil"/>
          <w:right w:val="nil"/>
          <w:between w:val="nil"/>
        </w:pBdr>
        <w:spacing w:line="340" w:lineRule="auto"/>
        <w:ind w:firstLine="708"/>
        <w:jc w:val="left"/>
        <w:rPr>
          <w:b/>
          <w:sz w:val="24"/>
        </w:rPr>
        <w:sectPr w:rsidR="00EF1D5F" w:rsidRPr="00121FAC" w:rsidSect="00F7078E">
          <w:type w:val="continuous"/>
          <w:pgSz w:w="12240" w:h="15840"/>
          <w:pgMar w:top="2262" w:right="1440" w:bottom="1440" w:left="1440" w:header="708" w:footer="708" w:gutter="0"/>
          <w:cols w:space="720"/>
        </w:sectPr>
      </w:pPr>
      <w:r w:rsidRPr="00121FAC">
        <w:rPr>
          <w:b/>
          <w:sz w:val="24"/>
        </w:rPr>
        <w:t>Diagnóstico</w:t>
      </w:r>
    </w:p>
    <w:p w14:paraId="76A426A5" w14:textId="77777777" w:rsidR="00EF1D5F" w:rsidRPr="00587F20" w:rsidRDefault="00EF1D5F" w:rsidP="00587F20">
      <w:r w:rsidRPr="00587F20">
        <w:t>La ciudad se enfrenta a diversos fenómenos amenazantes y escenarios de riesgo: sismos, movimientos en masa, inundaciones, avenidas torrenciales, incendios forestales, entre otros. Cada uno de ellos tiene la potencialidad de generar impactos relacionados con múltiples daños y pérdidas en personas, bienes, ambiente, medios de vida, economía e infraestructura de la ciudad.</w:t>
      </w:r>
    </w:p>
    <w:p w14:paraId="126B6DD9" w14:textId="77777777" w:rsidR="00EF1D5F" w:rsidRPr="00587F20" w:rsidRDefault="00EF1D5F" w:rsidP="00587F20"/>
    <w:p w14:paraId="3E61D282" w14:textId="77777777" w:rsidR="00EF1D5F" w:rsidRPr="00587F20" w:rsidRDefault="00EF1D5F" w:rsidP="00587F20">
      <w:pPr>
        <w:rPr>
          <w:spacing w:val="-8"/>
        </w:rPr>
      </w:pPr>
      <w:r w:rsidRPr="00587F20">
        <w:rPr>
          <w:spacing w:val="-8"/>
        </w:rPr>
        <w:t xml:space="preserve">Hay riesgos por fenómenos de origen socio-natural que son potenciados por la variabilidad climática, como los fenómenos de La Niña y El Niño. </w:t>
      </w:r>
    </w:p>
    <w:p w14:paraId="49D5934D" w14:textId="77777777" w:rsidR="00EF1D5F" w:rsidRPr="00587F20" w:rsidRDefault="00EF1D5F" w:rsidP="00587F20">
      <w:pPr>
        <w:rPr>
          <w:spacing w:val="-8"/>
        </w:rPr>
      </w:pPr>
    </w:p>
    <w:p w14:paraId="2180D527" w14:textId="77777777" w:rsidR="00EF1D5F" w:rsidRPr="00121FAC" w:rsidRDefault="00EF1D5F" w:rsidP="00587F20">
      <w:r w:rsidRPr="00587F20">
        <w:rPr>
          <w:spacing w:val="-8"/>
        </w:rPr>
        <w:t xml:space="preserve">Estos eventos, cada vez más frecuentes e intensos, </w:t>
      </w:r>
      <w:r w:rsidRPr="00121FAC">
        <w:rPr>
          <w:spacing w:val="-8"/>
        </w:rPr>
        <w:t xml:space="preserve">ponen en riesgo a la mayoría de la población. De </w:t>
      </w:r>
      <w:r w:rsidRPr="00121FAC">
        <w:rPr>
          <w:spacing w:val="-8"/>
        </w:rPr>
        <w:t>acuerdo con información del IDIGER, cerca de 600.000 habitantes se encuentran en condición de riesgo por inundación, cerca de 250.000 por movimientos en masa y cerca de 30.000 por avenidas torrenciales o crecientes súbitas. Es necesario fortalecer la gestión del riesgo de desastres impactada por los efectos del cambio climático.</w:t>
      </w:r>
    </w:p>
    <w:p w14:paraId="667E0D63" w14:textId="77777777" w:rsidR="00EF1D5F" w:rsidRPr="00121FAC" w:rsidRDefault="00EF1D5F" w:rsidP="00587F20"/>
    <w:p w14:paraId="0CD46F1A" w14:textId="65FAE21F" w:rsidR="00EF1D5F" w:rsidRPr="00121FAC" w:rsidRDefault="00EF1D5F">
      <w:r w:rsidRPr="00121FAC">
        <w:t>En los siguientes mapas se evidencia la localización de estos riesgos. Las zonas en rojo tienen amenaza alta por inundación por desbordamiento por los ríos urbanos y el río Bogotá; las zonas en amarillo, de inundación por rompimiento de jarillones (</w:t>
      </w:r>
      <w:r w:rsidR="00121FAC" w:rsidRPr="00121FAC">
        <w:fldChar w:fldCharType="begin"/>
      </w:r>
      <w:r w:rsidR="00121FAC" w:rsidRPr="00121FAC">
        <w:instrText xml:space="preserve"> REF _Ref165145023 \h </w:instrText>
      </w:r>
      <w:r w:rsidR="00121FAC" w:rsidRPr="00121FAC">
        <w:fldChar w:fldCharType="separate"/>
      </w:r>
      <w:r w:rsidR="00D01651" w:rsidRPr="00121FAC">
        <w:rPr>
          <w:color w:val="C00000"/>
          <w:sz w:val="18"/>
          <w:szCs w:val="18"/>
        </w:rPr>
        <w:t xml:space="preserve">Mapa </w:t>
      </w:r>
      <w:r w:rsidR="00D01651">
        <w:rPr>
          <w:noProof/>
          <w:color w:val="C00000"/>
          <w:sz w:val="18"/>
        </w:rPr>
        <w:t>8</w:t>
      </w:r>
      <w:r w:rsidR="00121FAC" w:rsidRPr="00121FAC">
        <w:fldChar w:fldCharType="end"/>
      </w:r>
      <w:r w:rsidRPr="00121FAC">
        <w:t>).</w:t>
      </w:r>
    </w:p>
    <w:p w14:paraId="4CB6EDA5" w14:textId="77777777" w:rsidR="00EF1D5F" w:rsidRDefault="00EF1D5F">
      <w:pPr>
        <w:sectPr w:rsidR="00EF1D5F" w:rsidSect="00F7078E">
          <w:type w:val="continuous"/>
          <w:pgSz w:w="12240" w:h="15840"/>
          <w:pgMar w:top="2262" w:right="1440" w:bottom="1440" w:left="1440" w:header="708" w:footer="708" w:gutter="0"/>
          <w:cols w:num="2" w:space="567"/>
        </w:sectPr>
      </w:pPr>
    </w:p>
    <w:p w14:paraId="20C7AB6F" w14:textId="77777777" w:rsidR="00EF1D5F" w:rsidRDefault="00EF1D5F"/>
    <w:p w14:paraId="270888A8" w14:textId="263E19AF" w:rsidR="00EF1D5F" w:rsidRPr="00121FAC" w:rsidRDefault="00121FAC" w:rsidP="00121FAC">
      <w:pPr>
        <w:pStyle w:val="Descripcin"/>
        <w:jc w:val="center"/>
        <w:rPr>
          <w:sz w:val="18"/>
        </w:rPr>
      </w:pPr>
      <w:bookmarkStart w:id="376" w:name="_Ref165145023"/>
      <w:bookmarkStart w:id="377" w:name="_Toc165170032"/>
      <w:r w:rsidRPr="00121FAC">
        <w:rPr>
          <w:color w:val="C00000"/>
          <w:sz w:val="18"/>
        </w:rPr>
        <w:t xml:space="preserve">Mapa </w:t>
      </w:r>
      <w:r w:rsidRPr="00121FAC">
        <w:rPr>
          <w:color w:val="C00000"/>
          <w:sz w:val="18"/>
        </w:rPr>
        <w:fldChar w:fldCharType="begin"/>
      </w:r>
      <w:r w:rsidRPr="00121FAC">
        <w:rPr>
          <w:color w:val="C00000"/>
          <w:sz w:val="18"/>
        </w:rPr>
        <w:instrText xml:space="preserve"> SEQ Mapa \* ARABIC </w:instrText>
      </w:r>
      <w:r w:rsidRPr="00121FAC">
        <w:rPr>
          <w:color w:val="C00000"/>
          <w:sz w:val="18"/>
        </w:rPr>
        <w:fldChar w:fldCharType="separate"/>
      </w:r>
      <w:r w:rsidR="00D01651">
        <w:rPr>
          <w:noProof/>
          <w:color w:val="C00000"/>
          <w:sz w:val="18"/>
        </w:rPr>
        <w:t>8</w:t>
      </w:r>
      <w:r w:rsidRPr="00121FAC">
        <w:rPr>
          <w:color w:val="C00000"/>
          <w:sz w:val="18"/>
        </w:rPr>
        <w:fldChar w:fldCharType="end"/>
      </w:r>
      <w:bookmarkEnd w:id="376"/>
      <w:r w:rsidRPr="00121FAC">
        <w:rPr>
          <w:color w:val="C00000"/>
          <w:sz w:val="18"/>
        </w:rPr>
        <w:t xml:space="preserve">. </w:t>
      </w:r>
      <w:r w:rsidRPr="00121FAC">
        <w:rPr>
          <w:sz w:val="18"/>
        </w:rPr>
        <w:t>Z</w:t>
      </w:r>
      <w:r w:rsidR="00EF1D5F" w:rsidRPr="00121FAC">
        <w:rPr>
          <w:sz w:val="18"/>
        </w:rPr>
        <w:t>onificación de amenazas</w:t>
      </w:r>
      <w:r w:rsidR="007E2533">
        <w:rPr>
          <w:sz w:val="18"/>
        </w:rPr>
        <w:t xml:space="preserve"> alta por inundación</w:t>
      </w:r>
      <w:r w:rsidR="007E2533">
        <w:rPr>
          <w:sz w:val="18"/>
        </w:rPr>
        <w:br/>
        <w:t>Izq. Desbordamiento – Der. Rompimiento de jarillones</w:t>
      </w:r>
      <w:bookmarkEnd w:id="377"/>
    </w:p>
    <w:p w14:paraId="0D6F6BE0" w14:textId="77777777" w:rsidR="00EF1D5F" w:rsidRDefault="00EF1D5F">
      <w:pPr>
        <w:rPr>
          <w:b/>
          <w:color w:val="000000"/>
        </w:rPr>
      </w:pPr>
      <w:r>
        <w:rPr>
          <w:noProof/>
        </w:rPr>
        <w:drawing>
          <wp:anchor distT="0" distB="0" distL="114300" distR="114300" simplePos="0" relativeHeight="251772928" behindDoc="0" locked="0" layoutInCell="1" hidden="0" allowOverlap="1" wp14:anchorId="1E998FEB" wp14:editId="6B827A94">
            <wp:simplePos x="0" y="0"/>
            <wp:positionH relativeFrom="column">
              <wp:posOffset>310368</wp:posOffset>
            </wp:positionH>
            <wp:positionV relativeFrom="paragraph">
              <wp:posOffset>8255</wp:posOffset>
            </wp:positionV>
            <wp:extent cx="5204731" cy="1641230"/>
            <wp:effectExtent l="0" t="0" r="0" b="0"/>
            <wp:wrapNone/>
            <wp:docPr id="213351600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rotWithShape="1">
                    <a:blip r:embed="rId140"/>
                    <a:srcRect b="23419"/>
                    <a:stretch/>
                  </pic:blipFill>
                  <pic:spPr bwMode="auto">
                    <a:xfrm>
                      <a:off x="0" y="0"/>
                      <a:ext cx="5204731" cy="164123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68A37DC" w14:textId="77777777" w:rsidR="00EF1D5F" w:rsidRDefault="00EF1D5F">
      <w:pPr>
        <w:rPr>
          <w:color w:val="000000"/>
        </w:rPr>
      </w:pPr>
    </w:p>
    <w:p w14:paraId="7F8DB155" w14:textId="77777777" w:rsidR="00EF1D5F" w:rsidRDefault="00EF1D5F">
      <w:pPr>
        <w:rPr>
          <w:color w:val="000000"/>
        </w:rPr>
      </w:pPr>
    </w:p>
    <w:p w14:paraId="79D915D7" w14:textId="77777777" w:rsidR="00EF1D5F" w:rsidRDefault="00EF1D5F">
      <w:pPr>
        <w:rPr>
          <w:color w:val="000000"/>
        </w:rPr>
      </w:pPr>
    </w:p>
    <w:p w14:paraId="1827E500" w14:textId="77777777" w:rsidR="00EF1D5F" w:rsidRDefault="00EF1D5F">
      <w:pPr>
        <w:rPr>
          <w:color w:val="000000"/>
        </w:rPr>
      </w:pPr>
    </w:p>
    <w:p w14:paraId="4D88E945" w14:textId="77777777" w:rsidR="00EF1D5F" w:rsidRDefault="00EF1D5F">
      <w:pPr>
        <w:rPr>
          <w:color w:val="000000"/>
        </w:rPr>
      </w:pPr>
    </w:p>
    <w:p w14:paraId="1869E5B8" w14:textId="77777777" w:rsidR="00EF1D5F" w:rsidRDefault="00EF1D5F">
      <w:pPr>
        <w:rPr>
          <w:color w:val="000000"/>
        </w:rPr>
      </w:pPr>
    </w:p>
    <w:p w14:paraId="319E7BAB" w14:textId="77777777" w:rsidR="00EF1D5F" w:rsidRDefault="00EF1D5F">
      <w:pPr>
        <w:rPr>
          <w:color w:val="000000"/>
        </w:rPr>
      </w:pPr>
    </w:p>
    <w:p w14:paraId="27FB0EF6" w14:textId="77777777" w:rsidR="00EF1D5F" w:rsidRDefault="00EF1D5F">
      <w:pPr>
        <w:rPr>
          <w:color w:val="000000"/>
        </w:rPr>
      </w:pPr>
    </w:p>
    <w:p w14:paraId="6579C3EA" w14:textId="77777777" w:rsidR="00EF1D5F" w:rsidRDefault="00EF1D5F">
      <w:pPr>
        <w:rPr>
          <w:color w:val="000000"/>
        </w:rPr>
      </w:pPr>
    </w:p>
    <w:p w14:paraId="0B5DCBF7" w14:textId="77777777" w:rsidR="00EF1D5F" w:rsidRDefault="00EF1D5F">
      <w:pPr>
        <w:rPr>
          <w:color w:val="000000"/>
        </w:rPr>
      </w:pPr>
    </w:p>
    <w:p w14:paraId="1F4F72C0" w14:textId="77777777" w:rsidR="00EF1D5F" w:rsidRDefault="00EF1D5F" w:rsidP="006622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IDIGER (2024).</w:t>
      </w:r>
    </w:p>
    <w:p w14:paraId="45F1EF37" w14:textId="77777777" w:rsidR="00EF1D5F" w:rsidRDefault="00EF1D5F">
      <w:pPr>
        <w:rPr>
          <w:color w:val="000000"/>
        </w:rPr>
      </w:pPr>
    </w:p>
    <w:p w14:paraId="6D72E50C" w14:textId="77777777" w:rsidR="00EF1D5F" w:rsidRDefault="00EF1D5F">
      <w:pPr>
        <w:rPr>
          <w:color w:val="000000"/>
        </w:rPr>
        <w:sectPr w:rsidR="00EF1D5F" w:rsidSect="00F7078E">
          <w:type w:val="continuous"/>
          <w:pgSz w:w="12240" w:h="15840"/>
          <w:pgMar w:top="2262" w:right="1440" w:bottom="1440" w:left="1440" w:header="708" w:footer="708" w:gutter="0"/>
          <w:cols w:space="720"/>
        </w:sectPr>
      </w:pPr>
    </w:p>
    <w:p w14:paraId="6BC9F5EB" w14:textId="13C0D9EF" w:rsidR="00EF1D5F" w:rsidRPr="007E2533" w:rsidRDefault="00EF1D5F">
      <w:pPr>
        <w:sectPr w:rsidR="00EF1D5F" w:rsidRPr="007E2533" w:rsidSect="00F7078E">
          <w:type w:val="continuous"/>
          <w:pgSz w:w="12240" w:h="15840"/>
          <w:pgMar w:top="2262" w:right="1440" w:bottom="1440" w:left="1440" w:header="708" w:footer="708" w:gutter="0"/>
          <w:cols w:num="2" w:space="567"/>
        </w:sectPr>
      </w:pPr>
      <w:r>
        <w:t xml:space="preserve">Otro de los riesgos asociados al cambio climático, entre otras razones, como se pudo evidenciar al inicio de 2024, son los incendios forestales. Hoy, una tercera parte del territorio, que se caracteriza por altas pendientes y abundancia de vegetación, se encuentra categorizada en </w:t>
      </w:r>
      <w:r>
        <w:t xml:space="preserve">amenaza alta, lo cual, unido a las altas temperaturas, genera condiciones propicias para la rápida propagación del fuego. En el siguiente mapa se visualizan las zonas de mayor riesgo, principalmente en el eje de los cerros orientales y la zona rural de la </w:t>
      </w:r>
      <w:r w:rsidRPr="007E2533">
        <w:t>ciudad (</w:t>
      </w:r>
      <w:r w:rsidR="007E2533" w:rsidRPr="007E2533">
        <w:fldChar w:fldCharType="begin"/>
      </w:r>
      <w:r w:rsidR="007E2533" w:rsidRPr="007E2533">
        <w:instrText xml:space="preserve"> REF _Ref165145153 \h </w:instrText>
      </w:r>
      <w:r w:rsidR="007E2533" w:rsidRPr="007E2533">
        <w:fldChar w:fldCharType="separate"/>
      </w:r>
      <w:r w:rsidR="00D01651" w:rsidRPr="007E2533">
        <w:rPr>
          <w:color w:val="C00000"/>
          <w:sz w:val="18"/>
          <w:szCs w:val="18"/>
        </w:rPr>
        <w:t xml:space="preserve">Mapa </w:t>
      </w:r>
      <w:r w:rsidR="00D01651">
        <w:rPr>
          <w:noProof/>
          <w:color w:val="C00000"/>
          <w:sz w:val="18"/>
        </w:rPr>
        <w:t>9</w:t>
      </w:r>
      <w:r w:rsidR="007E2533" w:rsidRPr="007E2533">
        <w:fldChar w:fldCharType="end"/>
      </w:r>
      <w:r w:rsidRPr="007E2533">
        <w:t>).</w:t>
      </w:r>
    </w:p>
    <w:p w14:paraId="3DEC1C40" w14:textId="77777777" w:rsidR="00EF1D5F" w:rsidRPr="007E2533" w:rsidRDefault="00EF1D5F">
      <w:pPr>
        <w:pBdr>
          <w:top w:val="nil"/>
          <w:left w:val="nil"/>
          <w:bottom w:val="nil"/>
          <w:right w:val="nil"/>
          <w:between w:val="nil"/>
        </w:pBdr>
        <w:spacing w:line="220" w:lineRule="auto"/>
        <w:jc w:val="center"/>
        <w:rPr>
          <w:b/>
          <w:sz w:val="18"/>
          <w:szCs w:val="18"/>
        </w:rPr>
        <w:sectPr w:rsidR="00EF1D5F" w:rsidRPr="007E2533" w:rsidSect="00F7078E">
          <w:type w:val="continuous"/>
          <w:pgSz w:w="12240" w:h="15840"/>
          <w:pgMar w:top="2262" w:right="1440" w:bottom="1440" w:left="1440" w:header="708" w:footer="708" w:gutter="0"/>
          <w:cols w:space="720"/>
        </w:sectPr>
      </w:pPr>
      <w:bookmarkStart w:id="378" w:name="_heading=h.i17xr6" w:colFirst="0" w:colLast="0"/>
      <w:bookmarkEnd w:id="378"/>
    </w:p>
    <w:p w14:paraId="6EA792D4" w14:textId="77777777" w:rsidR="007E2533" w:rsidRDefault="007E2533">
      <w:pPr>
        <w:spacing w:line="240" w:lineRule="auto"/>
        <w:jc w:val="left"/>
        <w:rPr>
          <w:b/>
          <w:color w:val="3B3838"/>
          <w:sz w:val="18"/>
          <w:szCs w:val="18"/>
        </w:rPr>
      </w:pPr>
      <w:r>
        <w:rPr>
          <w:b/>
          <w:color w:val="3B3838"/>
          <w:sz w:val="18"/>
          <w:szCs w:val="18"/>
        </w:rPr>
        <w:br w:type="page"/>
      </w:r>
    </w:p>
    <w:p w14:paraId="2604A209" w14:textId="6A309D74" w:rsidR="00EF1D5F" w:rsidRPr="007E2533" w:rsidRDefault="007E2533" w:rsidP="007E2533">
      <w:pPr>
        <w:pStyle w:val="Descripcin"/>
        <w:jc w:val="center"/>
        <w:rPr>
          <w:sz w:val="18"/>
        </w:rPr>
      </w:pPr>
      <w:bookmarkStart w:id="379" w:name="_Ref165145153"/>
      <w:bookmarkStart w:id="380" w:name="_Toc165170033"/>
      <w:r w:rsidRPr="007E2533">
        <w:rPr>
          <w:color w:val="C00000"/>
          <w:sz w:val="18"/>
        </w:rPr>
        <w:lastRenderedPageBreak/>
        <w:t xml:space="preserve">Mapa </w:t>
      </w:r>
      <w:r w:rsidRPr="007E2533">
        <w:rPr>
          <w:color w:val="C00000"/>
          <w:sz w:val="18"/>
        </w:rPr>
        <w:fldChar w:fldCharType="begin"/>
      </w:r>
      <w:r w:rsidRPr="007E2533">
        <w:rPr>
          <w:color w:val="C00000"/>
          <w:sz w:val="18"/>
        </w:rPr>
        <w:instrText xml:space="preserve"> SEQ Mapa \* ARABIC </w:instrText>
      </w:r>
      <w:r w:rsidRPr="007E2533">
        <w:rPr>
          <w:color w:val="C00000"/>
          <w:sz w:val="18"/>
        </w:rPr>
        <w:fldChar w:fldCharType="separate"/>
      </w:r>
      <w:r w:rsidR="00D01651">
        <w:rPr>
          <w:noProof/>
          <w:color w:val="C00000"/>
          <w:sz w:val="18"/>
        </w:rPr>
        <w:t>9</w:t>
      </w:r>
      <w:r w:rsidRPr="007E2533">
        <w:rPr>
          <w:color w:val="C00000"/>
          <w:sz w:val="18"/>
        </w:rPr>
        <w:fldChar w:fldCharType="end"/>
      </w:r>
      <w:bookmarkEnd w:id="379"/>
      <w:r w:rsidRPr="007E2533">
        <w:rPr>
          <w:color w:val="C00000"/>
          <w:sz w:val="18"/>
        </w:rPr>
        <w:t xml:space="preserve">. </w:t>
      </w:r>
      <w:r w:rsidRPr="007E2533">
        <w:rPr>
          <w:sz w:val="18"/>
        </w:rPr>
        <w:t>Z</w:t>
      </w:r>
      <w:r w:rsidR="00EF1D5F" w:rsidRPr="007E2533">
        <w:rPr>
          <w:sz w:val="18"/>
        </w:rPr>
        <w:t>onificación de amenaza por incendios forestales</w:t>
      </w:r>
      <w:bookmarkEnd w:id="380"/>
    </w:p>
    <w:p w14:paraId="1AC9047F" w14:textId="77777777" w:rsidR="00EF1D5F" w:rsidRDefault="00EF1D5F">
      <w:pPr>
        <w:rPr>
          <w:b/>
          <w:color w:val="000000"/>
        </w:rPr>
      </w:pPr>
      <w:r>
        <w:rPr>
          <w:noProof/>
        </w:rPr>
        <w:drawing>
          <wp:anchor distT="0" distB="0" distL="114300" distR="114300" simplePos="0" relativeHeight="251773952" behindDoc="0" locked="0" layoutInCell="1" hidden="0" allowOverlap="1" wp14:anchorId="3304AB00" wp14:editId="5520E0DC">
            <wp:simplePos x="0" y="0"/>
            <wp:positionH relativeFrom="column">
              <wp:posOffset>531349</wp:posOffset>
            </wp:positionH>
            <wp:positionV relativeFrom="paragraph">
              <wp:posOffset>97790</wp:posOffset>
            </wp:positionV>
            <wp:extent cx="4572000" cy="2190848"/>
            <wp:effectExtent l="0" t="0" r="0" b="0"/>
            <wp:wrapNone/>
            <wp:docPr id="213351601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rotWithShape="1">
                    <a:blip r:embed="rId141"/>
                    <a:srcRect t="8801"/>
                    <a:stretch/>
                  </pic:blipFill>
                  <pic:spPr bwMode="auto">
                    <a:xfrm>
                      <a:off x="0" y="0"/>
                      <a:ext cx="4572000" cy="21908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BE2BB8" w14:textId="77777777" w:rsidR="00EF1D5F" w:rsidRDefault="00EF1D5F">
      <w:pPr>
        <w:rPr>
          <w:color w:val="000000"/>
        </w:rPr>
      </w:pPr>
    </w:p>
    <w:p w14:paraId="169FF26F" w14:textId="77777777" w:rsidR="00EF1D5F" w:rsidRDefault="00EF1D5F">
      <w:pPr>
        <w:pBdr>
          <w:top w:val="nil"/>
          <w:left w:val="nil"/>
          <w:bottom w:val="nil"/>
          <w:right w:val="nil"/>
          <w:between w:val="nil"/>
        </w:pBdr>
        <w:spacing w:line="220" w:lineRule="auto"/>
        <w:jc w:val="center"/>
        <w:rPr>
          <w:b/>
          <w:color w:val="3B3838"/>
          <w:sz w:val="18"/>
          <w:szCs w:val="18"/>
        </w:rPr>
      </w:pPr>
    </w:p>
    <w:p w14:paraId="112455D5" w14:textId="77777777" w:rsidR="00EF1D5F" w:rsidRDefault="00EF1D5F">
      <w:pPr>
        <w:pBdr>
          <w:top w:val="nil"/>
          <w:left w:val="nil"/>
          <w:bottom w:val="nil"/>
          <w:right w:val="nil"/>
          <w:between w:val="nil"/>
        </w:pBdr>
        <w:spacing w:line="220" w:lineRule="auto"/>
        <w:jc w:val="center"/>
        <w:rPr>
          <w:b/>
          <w:color w:val="3B3838"/>
          <w:sz w:val="18"/>
          <w:szCs w:val="18"/>
        </w:rPr>
      </w:pPr>
    </w:p>
    <w:p w14:paraId="39FD8720" w14:textId="77777777" w:rsidR="00EF1D5F" w:rsidRDefault="00EF1D5F">
      <w:pPr>
        <w:pBdr>
          <w:top w:val="nil"/>
          <w:left w:val="nil"/>
          <w:bottom w:val="nil"/>
          <w:right w:val="nil"/>
          <w:between w:val="nil"/>
        </w:pBdr>
        <w:spacing w:line="220" w:lineRule="auto"/>
        <w:jc w:val="center"/>
        <w:rPr>
          <w:b/>
          <w:color w:val="3B3838"/>
          <w:sz w:val="18"/>
          <w:szCs w:val="18"/>
        </w:rPr>
      </w:pPr>
    </w:p>
    <w:p w14:paraId="4E3599AF" w14:textId="77777777" w:rsidR="00EF1D5F" w:rsidRDefault="00EF1D5F">
      <w:pPr>
        <w:pBdr>
          <w:top w:val="nil"/>
          <w:left w:val="nil"/>
          <w:bottom w:val="nil"/>
          <w:right w:val="nil"/>
          <w:between w:val="nil"/>
        </w:pBdr>
        <w:spacing w:line="220" w:lineRule="auto"/>
        <w:jc w:val="center"/>
        <w:rPr>
          <w:b/>
          <w:color w:val="3B3838"/>
          <w:sz w:val="18"/>
          <w:szCs w:val="18"/>
        </w:rPr>
      </w:pPr>
    </w:p>
    <w:p w14:paraId="7955BE37" w14:textId="77777777" w:rsidR="00EF1D5F" w:rsidRDefault="00EF1D5F">
      <w:pPr>
        <w:pBdr>
          <w:top w:val="nil"/>
          <w:left w:val="nil"/>
          <w:bottom w:val="nil"/>
          <w:right w:val="nil"/>
          <w:between w:val="nil"/>
        </w:pBdr>
        <w:spacing w:line="220" w:lineRule="auto"/>
        <w:jc w:val="center"/>
        <w:rPr>
          <w:b/>
          <w:color w:val="3B3838"/>
          <w:sz w:val="18"/>
          <w:szCs w:val="18"/>
        </w:rPr>
      </w:pPr>
    </w:p>
    <w:p w14:paraId="696F368B" w14:textId="77777777" w:rsidR="00EF1D5F" w:rsidRDefault="00EF1D5F">
      <w:pPr>
        <w:pBdr>
          <w:top w:val="nil"/>
          <w:left w:val="nil"/>
          <w:bottom w:val="nil"/>
          <w:right w:val="nil"/>
          <w:between w:val="nil"/>
        </w:pBdr>
        <w:spacing w:line="220" w:lineRule="auto"/>
        <w:jc w:val="center"/>
        <w:rPr>
          <w:b/>
          <w:color w:val="3B3838"/>
          <w:sz w:val="18"/>
          <w:szCs w:val="18"/>
        </w:rPr>
      </w:pPr>
    </w:p>
    <w:p w14:paraId="6A8C685B" w14:textId="77777777" w:rsidR="00EF1D5F" w:rsidRDefault="00EF1D5F">
      <w:pPr>
        <w:pBdr>
          <w:top w:val="nil"/>
          <w:left w:val="nil"/>
          <w:bottom w:val="nil"/>
          <w:right w:val="nil"/>
          <w:between w:val="nil"/>
        </w:pBdr>
        <w:spacing w:line="220" w:lineRule="auto"/>
        <w:jc w:val="center"/>
        <w:rPr>
          <w:b/>
          <w:color w:val="3B3838"/>
          <w:sz w:val="18"/>
          <w:szCs w:val="18"/>
        </w:rPr>
      </w:pPr>
    </w:p>
    <w:p w14:paraId="278C608C" w14:textId="77777777" w:rsidR="00EF1D5F" w:rsidRDefault="00EF1D5F">
      <w:pPr>
        <w:pBdr>
          <w:top w:val="nil"/>
          <w:left w:val="nil"/>
          <w:bottom w:val="nil"/>
          <w:right w:val="nil"/>
          <w:between w:val="nil"/>
        </w:pBdr>
        <w:spacing w:line="220" w:lineRule="auto"/>
        <w:jc w:val="center"/>
        <w:rPr>
          <w:b/>
          <w:color w:val="3B3838"/>
          <w:sz w:val="18"/>
          <w:szCs w:val="18"/>
        </w:rPr>
      </w:pPr>
    </w:p>
    <w:p w14:paraId="4F60AD81" w14:textId="77777777" w:rsidR="00EF1D5F" w:rsidRDefault="00EF1D5F">
      <w:pPr>
        <w:pBdr>
          <w:top w:val="nil"/>
          <w:left w:val="nil"/>
          <w:bottom w:val="nil"/>
          <w:right w:val="nil"/>
          <w:between w:val="nil"/>
        </w:pBdr>
        <w:spacing w:line="220" w:lineRule="auto"/>
        <w:jc w:val="center"/>
        <w:rPr>
          <w:b/>
          <w:color w:val="3B3838"/>
          <w:sz w:val="18"/>
          <w:szCs w:val="18"/>
        </w:rPr>
      </w:pPr>
    </w:p>
    <w:p w14:paraId="4AED151D" w14:textId="77777777" w:rsidR="00EF1D5F" w:rsidRDefault="00EF1D5F">
      <w:pPr>
        <w:pBdr>
          <w:top w:val="nil"/>
          <w:left w:val="nil"/>
          <w:bottom w:val="nil"/>
          <w:right w:val="nil"/>
          <w:between w:val="nil"/>
        </w:pBdr>
        <w:spacing w:line="220" w:lineRule="auto"/>
        <w:jc w:val="center"/>
        <w:rPr>
          <w:b/>
          <w:color w:val="3B3838"/>
          <w:sz w:val="18"/>
          <w:szCs w:val="18"/>
        </w:rPr>
      </w:pPr>
    </w:p>
    <w:p w14:paraId="044FDEEB" w14:textId="77777777" w:rsidR="00EF1D5F" w:rsidRDefault="00EF1D5F">
      <w:pPr>
        <w:pBdr>
          <w:top w:val="nil"/>
          <w:left w:val="nil"/>
          <w:bottom w:val="nil"/>
          <w:right w:val="nil"/>
          <w:between w:val="nil"/>
        </w:pBdr>
        <w:spacing w:line="220" w:lineRule="auto"/>
        <w:jc w:val="center"/>
        <w:rPr>
          <w:b/>
          <w:color w:val="3B3838"/>
          <w:sz w:val="18"/>
          <w:szCs w:val="18"/>
        </w:rPr>
      </w:pPr>
    </w:p>
    <w:p w14:paraId="072787A2" w14:textId="77777777" w:rsidR="00EF1D5F" w:rsidRDefault="00EF1D5F">
      <w:pPr>
        <w:pBdr>
          <w:top w:val="nil"/>
          <w:left w:val="nil"/>
          <w:bottom w:val="nil"/>
          <w:right w:val="nil"/>
          <w:between w:val="nil"/>
        </w:pBdr>
        <w:spacing w:line="220" w:lineRule="auto"/>
        <w:jc w:val="center"/>
        <w:rPr>
          <w:b/>
          <w:color w:val="3B3838"/>
          <w:sz w:val="18"/>
          <w:szCs w:val="18"/>
        </w:rPr>
      </w:pPr>
    </w:p>
    <w:p w14:paraId="128B166A" w14:textId="77777777" w:rsidR="00EF1D5F" w:rsidRDefault="00EF1D5F">
      <w:pPr>
        <w:pBdr>
          <w:top w:val="nil"/>
          <w:left w:val="nil"/>
          <w:bottom w:val="nil"/>
          <w:right w:val="nil"/>
          <w:between w:val="nil"/>
        </w:pBdr>
        <w:spacing w:line="220" w:lineRule="auto"/>
        <w:jc w:val="center"/>
        <w:rPr>
          <w:b/>
          <w:color w:val="3B3838"/>
          <w:sz w:val="18"/>
          <w:szCs w:val="18"/>
        </w:rPr>
      </w:pPr>
    </w:p>
    <w:p w14:paraId="7CE79BB3" w14:textId="77777777" w:rsidR="00EF1D5F" w:rsidRDefault="00EF1D5F">
      <w:pPr>
        <w:pBdr>
          <w:top w:val="nil"/>
          <w:left w:val="nil"/>
          <w:bottom w:val="nil"/>
          <w:right w:val="nil"/>
          <w:between w:val="nil"/>
        </w:pBdr>
        <w:spacing w:line="220" w:lineRule="auto"/>
        <w:jc w:val="center"/>
        <w:rPr>
          <w:b/>
          <w:color w:val="3B3838"/>
          <w:sz w:val="18"/>
          <w:szCs w:val="18"/>
        </w:rPr>
      </w:pPr>
    </w:p>
    <w:p w14:paraId="5C4D0EE6" w14:textId="77777777" w:rsidR="00EF1D5F" w:rsidRDefault="00EF1D5F">
      <w:pPr>
        <w:pBdr>
          <w:top w:val="nil"/>
          <w:left w:val="nil"/>
          <w:bottom w:val="nil"/>
          <w:right w:val="nil"/>
          <w:between w:val="nil"/>
        </w:pBdr>
        <w:spacing w:line="220" w:lineRule="auto"/>
        <w:jc w:val="center"/>
        <w:rPr>
          <w:b/>
          <w:color w:val="3B3838"/>
          <w:sz w:val="18"/>
          <w:szCs w:val="18"/>
        </w:rPr>
      </w:pPr>
    </w:p>
    <w:p w14:paraId="1341648D" w14:textId="77777777" w:rsidR="00EF1D5F" w:rsidRDefault="00EF1D5F">
      <w:pPr>
        <w:pBdr>
          <w:top w:val="nil"/>
          <w:left w:val="nil"/>
          <w:bottom w:val="nil"/>
          <w:right w:val="nil"/>
          <w:between w:val="nil"/>
        </w:pBdr>
        <w:spacing w:line="220" w:lineRule="auto"/>
        <w:rPr>
          <w:b/>
          <w:color w:val="3B3838"/>
          <w:sz w:val="18"/>
          <w:szCs w:val="18"/>
        </w:rPr>
      </w:pPr>
    </w:p>
    <w:p w14:paraId="4EBB2447" w14:textId="77777777"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IDIGER (2024).</w:t>
      </w:r>
    </w:p>
    <w:p w14:paraId="5078EAD2" w14:textId="77777777" w:rsidR="00EF1D5F" w:rsidRDefault="00EF1D5F">
      <w:pPr>
        <w:rPr>
          <w:color w:val="000000"/>
        </w:rPr>
      </w:pPr>
    </w:p>
    <w:p w14:paraId="7C6B9453" w14:textId="77777777" w:rsidR="007E2533" w:rsidRDefault="007E2533">
      <w:pPr>
        <w:rPr>
          <w:color w:val="000000"/>
        </w:rPr>
        <w:sectPr w:rsidR="007E2533" w:rsidSect="00F7078E">
          <w:type w:val="continuous"/>
          <w:pgSz w:w="12240" w:h="15840"/>
          <w:pgMar w:top="2262" w:right="1440" w:bottom="1440" w:left="1440" w:header="708" w:footer="708" w:gutter="0"/>
          <w:cols w:space="720"/>
        </w:sectPr>
      </w:pPr>
    </w:p>
    <w:p w14:paraId="462640DE" w14:textId="17068DF4" w:rsidR="00EF1D5F" w:rsidRDefault="00EF1D5F">
      <w:r>
        <w:t>En la zona urbana, los riesgos más frecuentes se asocian con la ausencia de mantenimiento en edificaciones o por deficiencias del proceso constructivo y algunos agentes externos como accidentes de tránsito, incendios estructurales, caída de elementos externos, entre otros. Estos eventos afectan la infraestructura de servicios, vías, espacio público, recursos ambientales y, en particular, afectan edificaciones o predios localizados en el entorno. Aunque es un riesgo generalizado en la ciudad, las localidades que reportan mayor número de afectaciones asociadas a estos procesos son Suba, Usaquén y Ciudad Bolívar.</w:t>
      </w:r>
    </w:p>
    <w:p w14:paraId="44936348" w14:textId="77777777" w:rsidR="00EF1D5F" w:rsidRDefault="00EF1D5F"/>
    <w:p w14:paraId="6554AACE" w14:textId="40ED17D6" w:rsidR="00EF1D5F" w:rsidRDefault="00EF1D5F">
      <w:r>
        <w:t>En el marco del POT de Bogotá</w:t>
      </w:r>
      <w:r w:rsidR="007E2533">
        <w:t>, Decreto 555 de 2021,</w:t>
      </w:r>
      <w:r w:rsidRPr="007E2533">
        <w:t xml:space="preserve"> </w:t>
      </w:r>
      <w:r>
        <w:t xml:space="preserve">se señalaron suelos de protección por riesgo, entre los cuales se encuentran las zonas de alto riesgo no mitigable y corresponden a los sectores en los que, por sus características de amenaza y vulnerabilidad, existe una alta </w:t>
      </w:r>
      <w:r>
        <w:t>probabilidad de que se presenten pérdidas de vidas, bienes e infraestructura (IDIGER).</w:t>
      </w:r>
    </w:p>
    <w:p w14:paraId="7C297F04" w14:textId="77777777" w:rsidR="00EF1D5F" w:rsidRDefault="00EF1D5F"/>
    <w:p w14:paraId="5EFAC904"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 xml:space="preserve">La forma de gestionar el riesgo, además del fortalecimiento de la capacidad de respuesta, y el mayor control a las normas de construcción, es el reasentamiento de las familias en condición de riesgo. Actualmente, se gestionan reasentamientos para 20.872 familias, 10.699 ya cuentan con reasentamiento terminado, 6.250 están en proceso de reasentamiento, 2.483 en adquisición predial por el IDIGER y 1.437 en cierre administrativo sin reasentamiento. Si bien, el Distrito Capital ha sido un referente nacional en planeación sobre los riesgos ambientales y climáticos que afectan a las personas, generando alternativas de prevención, mitigación y atención a </w:t>
      </w:r>
      <w:r w:rsidRPr="007E2533">
        <w:t>damnificados</w:t>
      </w:r>
      <w:r w:rsidRPr="007E2533">
        <w:rPr>
          <w:b/>
          <w:vertAlign w:val="superscript"/>
        </w:rPr>
        <w:footnoteReference w:id="17"/>
      </w:r>
      <w:r>
        <w:t>, la evidente vulnerabilidad de la ciudad hace necesario seguir fortaleciendo nuestra capacidad de atender integralmente estos riesgos.</w:t>
      </w:r>
    </w:p>
    <w:p w14:paraId="55FE955D" w14:textId="5142CBD7" w:rsidR="00EF1D5F" w:rsidRDefault="00EF1D5F"/>
    <w:p w14:paraId="0A92E33B" w14:textId="40240608" w:rsidR="0066225F" w:rsidRDefault="0066225F"/>
    <w:p w14:paraId="41083234" w14:textId="727AD1CD" w:rsidR="0066225F" w:rsidRDefault="0066225F"/>
    <w:p w14:paraId="6CCF884D" w14:textId="77777777" w:rsidR="0066225F" w:rsidRDefault="0066225F"/>
    <w:p w14:paraId="567621A9" w14:textId="77777777" w:rsidR="007E2533" w:rsidRDefault="007E2533">
      <w:pPr>
        <w:spacing w:line="240" w:lineRule="auto"/>
        <w:jc w:val="left"/>
        <w:rPr>
          <w:b/>
          <w:sz w:val="24"/>
        </w:rPr>
      </w:pPr>
      <w:r>
        <w:rPr>
          <w:b/>
          <w:sz w:val="24"/>
        </w:rPr>
        <w:br w:type="page"/>
      </w:r>
    </w:p>
    <w:p w14:paraId="22B4F4BE" w14:textId="18AA406C" w:rsidR="00EF1D5F" w:rsidRPr="007E2533" w:rsidRDefault="00EF1D5F" w:rsidP="007E2533">
      <w:pPr>
        <w:keepNext/>
        <w:keepLines/>
        <w:pBdr>
          <w:top w:val="nil"/>
          <w:left w:val="nil"/>
          <w:bottom w:val="nil"/>
          <w:right w:val="nil"/>
          <w:between w:val="nil"/>
        </w:pBdr>
        <w:spacing w:line="340" w:lineRule="auto"/>
        <w:ind w:firstLine="708"/>
        <w:jc w:val="left"/>
        <w:rPr>
          <w:b/>
          <w:sz w:val="24"/>
        </w:rPr>
        <w:sectPr w:rsidR="00EF1D5F" w:rsidRPr="007E2533" w:rsidSect="00F7078E">
          <w:type w:val="continuous"/>
          <w:pgSz w:w="12240" w:h="15840"/>
          <w:pgMar w:top="2262" w:right="1440" w:bottom="1440" w:left="1440" w:header="708" w:footer="708" w:gutter="0"/>
          <w:cols w:space="720"/>
        </w:sectPr>
      </w:pPr>
      <w:r w:rsidRPr="007E2533">
        <w:rPr>
          <w:b/>
          <w:sz w:val="24"/>
        </w:rPr>
        <w:lastRenderedPageBreak/>
        <w:t>Descripción del programa</w:t>
      </w:r>
    </w:p>
    <w:p w14:paraId="131DDC57" w14:textId="77777777" w:rsidR="00EF1D5F" w:rsidRDefault="00EF1D5F">
      <w:r>
        <w:t>El objetivo del programa es la protección del derecho fundamental a la vida de los hogares, particularmente aquellos localizados en zonas de alto riesgo no mitigable, en razón a fenómenos de remoción en masa, deslizamiento e inundación. Para ello, se fortalecerán las capacidades de respuesta de Bogotá ante la prevención y atención de emergencias, así como la continuidad de las actividades sociales, económicas y culturales de la ciudadanía.</w:t>
      </w:r>
    </w:p>
    <w:p w14:paraId="7B9ABBBC" w14:textId="77777777" w:rsidR="00EF1D5F" w:rsidRDefault="00EF1D5F"/>
    <w:p w14:paraId="7A211C18" w14:textId="77777777" w:rsidR="00EF1D5F" w:rsidRDefault="00EF1D5F">
      <w:r>
        <w:t>Frente a la gestión del riesgo, se fortalecerá el Sistema Distrital de Gestión de Riesgos y Cambio Climático (SDGR-CC), articulando la gestión adelantada por los actores institucionales públicos, privados y comunitarios en el ámbito de sus competencias, con el propósito común de generar sinergia en los procesos que integran el Sistema.</w:t>
      </w:r>
    </w:p>
    <w:p w14:paraId="633FCE36" w14:textId="77777777" w:rsidR="00EF1D5F" w:rsidRDefault="00EF1D5F"/>
    <w:p w14:paraId="21D6D372" w14:textId="77777777" w:rsidR="00EF1D5F" w:rsidRDefault="00EF1D5F">
      <w:pPr>
        <w:rPr>
          <w:highlight w:val="white"/>
        </w:rPr>
      </w:pPr>
      <w:r>
        <w:rPr>
          <w:highlight w:val="white"/>
        </w:rPr>
        <w:t>En relación con la reducción de riesgos, se adelantarán acciones en torno al conocimiento, la atención y respuesta efectiva de las situaciones producidas por la materialización y la reducción permanente de los riesgos, entendidos como la probabilidad de ocurrencia de pérdidas o daños en personas, bienes, ambiente, medios de vida, economía e infraestructura asociados a la ocurrencia de eventos o acontecimientos de origen natural, socio-natural o antropogénico no intencional; se desarrollarán procesos de preparativos y fortalecimiento de la infraestructura física y, adicionalmente, capacitaciones bomberiles, para la atención de emergencia, calamidad o desastre y la coordinación de las medidas de mitigación y adaptación frente a los efectos del cambio climático.</w:t>
      </w:r>
    </w:p>
    <w:p w14:paraId="497A907C" w14:textId="77777777" w:rsidR="00EF1D5F" w:rsidRDefault="00EF1D5F">
      <w:pPr>
        <w:rPr>
          <w:highlight w:val="white"/>
        </w:rPr>
      </w:pPr>
    </w:p>
    <w:p w14:paraId="7E05B73D" w14:textId="77777777" w:rsidR="00EF1D5F" w:rsidRDefault="00EF1D5F">
      <w:pPr>
        <w:rPr>
          <w:highlight w:val="white"/>
        </w:rPr>
      </w:pPr>
      <w:r>
        <w:rPr>
          <w:highlight w:val="white"/>
        </w:rPr>
        <w:t xml:space="preserve">Se busca no solo el mejoramiento continuo institucional, sino también fortalecer las capacidades institucionales para la gestión integral de riesgos de incendios, atención de rescates en todas sus modalidades e incidentes con materiales peligrosos, robusteciendo las diferentes capacidades técnicas y operativas (recurso </w:t>
      </w:r>
      <w:r>
        <w:rPr>
          <w:highlight w:val="white"/>
        </w:rPr>
        <w:t>humano, infraestructura, parque automotor, equipos, herramientas, formación, capacitación y arquitectura tecnológica), que permitan implementar acciones encaminadas a apalancar redes de conocimiento y prevención del riesgo, propendiendo por la mejora en la cobertura y la respuesta en la atención de emergencias en la ciudad y su entorno.</w:t>
      </w:r>
    </w:p>
    <w:p w14:paraId="3C53A954" w14:textId="77777777" w:rsidR="00EF1D5F" w:rsidRDefault="00EF1D5F">
      <w:pPr>
        <w:rPr>
          <w:highlight w:val="white"/>
        </w:rPr>
      </w:pPr>
    </w:p>
    <w:p w14:paraId="7093D341" w14:textId="77777777" w:rsidR="00EF1D5F" w:rsidRDefault="00EF1D5F">
      <w:pPr>
        <w:rPr>
          <w:highlight w:val="white"/>
        </w:rPr>
      </w:pPr>
      <w:r>
        <w:rPr>
          <w:highlight w:val="white"/>
        </w:rPr>
        <w:t>Se implementarán programas de entrenamiento en prevención, preparación y respuesta a emergencias sanitarias, con equipos de emergencia, funcionarias y funcionarios gubernamentales en protocolos de actuación. Bogotá se posicionará como líder nacional en el desarrollo de capacidades de prevención, preparación y respuesta (PPR), colaborando con personas expertas en salud pública y epidemiología para innovar en vigilancia epidemiológica, respuesta temprana y organización de servicios.</w:t>
      </w:r>
    </w:p>
    <w:p w14:paraId="721C5959" w14:textId="77777777" w:rsidR="00EF1D5F" w:rsidRDefault="00EF1D5F">
      <w:pPr>
        <w:rPr>
          <w:highlight w:val="white"/>
        </w:rPr>
      </w:pPr>
    </w:p>
    <w:p w14:paraId="449CAB89" w14:textId="46C5AF1D" w:rsidR="00EF1D5F" w:rsidRDefault="00EF1D5F">
      <w:pPr>
        <w:rPr>
          <w:highlight w:val="white"/>
        </w:rPr>
      </w:pPr>
      <w:r>
        <w:rPr>
          <w:highlight w:val="white"/>
        </w:rPr>
        <w:t>Se adelantarán acciones de construcción de obras de mitigación o reubicación de familias, entre otras</w:t>
      </w:r>
      <w:r w:rsidRPr="007E2533">
        <w:rPr>
          <w:highlight w:val="white"/>
        </w:rPr>
        <w:t>,</w:t>
      </w:r>
      <w:r>
        <w:rPr>
          <w:highlight w:val="white"/>
        </w:rPr>
        <w:t xml:space="preserve"> en torno al conocimiento y la reducción permanente de los riesgos, entendidos como la probabilidad de ocurrencia de pérdidas o daños en personas, bienes, ambiente, medios de vida, economía e infraestructura asociados a la ocurrencia de eventos o acontecimientos de origen natural, socio-natural o antropogénico no intencional en Bogotá, D. C. Se desarrollarán procesos de preparación para la atención y respuesta efectiva de las situaciones producidas por la materialización del riesgo que se define como emergencia, calamidad y/o desastre y la coordinación de las medidas de mitigación y adaptación frente a los efectos del cambio climático.</w:t>
      </w:r>
    </w:p>
    <w:p w14:paraId="496D7884" w14:textId="77777777" w:rsidR="00EF1D5F" w:rsidRDefault="00EF1D5F">
      <w:pPr>
        <w:rPr>
          <w:highlight w:val="white"/>
        </w:rPr>
      </w:pPr>
    </w:p>
    <w:p w14:paraId="07B54051" w14:textId="77777777" w:rsidR="00EF1D5F" w:rsidRDefault="00EF1D5F">
      <w:pPr>
        <w:rPr>
          <w:highlight w:val="white"/>
        </w:rPr>
      </w:pPr>
      <w:r>
        <w:rPr>
          <w:highlight w:val="white"/>
        </w:rPr>
        <w:t xml:space="preserve">Se fortalecerá el Sistema de Información para la Gestión del Riesgo y Cambio Climático, en el marco del Sistema de Gestión del Riesgo sobre variables asociadas al conocimiento y reducción del riesgo, manejo de emergencias y desastres, y mitigación y adaptación frente al cambio </w:t>
      </w:r>
      <w:r>
        <w:rPr>
          <w:highlight w:val="white"/>
        </w:rPr>
        <w:lastRenderedPageBreak/>
        <w:t>climático. Así mismo, se adelantará la estructuración y puesta en operación del Observatorio Distrital de Gestión de Riesgos y Cambio Climático y el Centro de Monitoreo, modernos, interoperables y con uso de inteligencia artificial.</w:t>
      </w:r>
    </w:p>
    <w:p w14:paraId="4F71072A" w14:textId="77777777" w:rsidR="00EF1D5F" w:rsidRDefault="00EF1D5F">
      <w:pPr>
        <w:rPr>
          <w:highlight w:val="white"/>
        </w:rPr>
      </w:pPr>
    </w:p>
    <w:p w14:paraId="3E2CC8C0" w14:textId="77777777" w:rsidR="00EF1D5F" w:rsidRDefault="00EF1D5F">
      <w:pPr>
        <w:rPr>
          <w:highlight w:val="white"/>
        </w:rPr>
      </w:pPr>
      <w:r>
        <w:rPr>
          <w:highlight w:val="white"/>
        </w:rPr>
        <w:t>Bogotá se consolidará como territorio inclusivo, seguro, resiliente y sostenible. Esta gestión de la información deberá integrar variables asociadas al género y otras diferenciales que permitan la toma de decisiones desde los enfoques de derechos de las mujeres, diferencial, poblacional e interseccional.</w:t>
      </w:r>
    </w:p>
    <w:p w14:paraId="571E3634" w14:textId="77777777" w:rsidR="00EF1D5F" w:rsidRDefault="00EF1D5F">
      <w:pPr>
        <w:rPr>
          <w:highlight w:val="white"/>
        </w:rPr>
      </w:pPr>
    </w:p>
    <w:p w14:paraId="3D125B88" w14:textId="32F72739" w:rsidR="00EF1D5F" w:rsidRDefault="00EF1D5F">
      <w:pPr>
        <w:rPr>
          <w:highlight w:val="white"/>
        </w:rPr>
      </w:pPr>
      <w:r>
        <w:rPr>
          <w:highlight w:val="white"/>
        </w:rPr>
        <w:t>En este marco, el programa de reasentamiento</w:t>
      </w:r>
      <w:r w:rsidR="007E2533">
        <w:rPr>
          <w:highlight w:val="white"/>
        </w:rPr>
        <w:t>, Decreto 330 de 2020,</w:t>
      </w:r>
      <w:r>
        <w:rPr>
          <w:highlight w:val="white"/>
        </w:rPr>
        <w:t xml:space="preserve"> establece el traslado de familias en condiciones de alto riesgo no mitigable o las ordenadas mediante sentencias judiciales o actos administrativos, que demuestran derechos de propiedad y/o de posesión y habiten en viviendas de estratos 1 y 2 en el Distrito Capital, con el objetivo de salvaguardar su derecho a la vida, y en el cual se pueden aplicar las siguientes acciones: 1) Relocalización transitoria. 2) Reubicación definitiva. 3) Enajenación voluntaria o expropiación administrativa y/o judicial. En consecuencia, su operación se extiende a diferentes localidades de la ciudad donde se identifican condiciones de alto riesgo no mitigable.</w:t>
      </w:r>
    </w:p>
    <w:p w14:paraId="044E46CD" w14:textId="77777777" w:rsidR="00EF1D5F" w:rsidRDefault="00EF1D5F">
      <w:pPr>
        <w:rPr>
          <w:highlight w:val="white"/>
        </w:rPr>
      </w:pPr>
    </w:p>
    <w:p w14:paraId="49FEEA82" w14:textId="77777777" w:rsidR="00EF1D5F" w:rsidRDefault="00EF1D5F">
      <w:pPr>
        <w:rPr>
          <w:highlight w:val="white"/>
        </w:rPr>
      </w:pPr>
      <w:r>
        <w:rPr>
          <w:highlight w:val="white"/>
        </w:rPr>
        <w:t xml:space="preserve">El POT fijó como meta reasentar 9.600 hogares durante el periodo de su vigencia 2022-2035, lo cual implica la ejecución de cuatro Administraciones distritales. En este caso, en el periodo 2024-2027 se reasentarán 3.200 hogares de manera segura y sostenible; esto es, familias vulnerables que habitan en zonas de alto riesgo no mitigable, atendiendo los protocolos establecidos para tal fin; así mismo, se adelantarán las acciones pertinentes para evitar la reocupación de zonas intervenidas, implementando medidas de traslado inmediato cuando sea necesario y realizando la adecuación, demarcación y señalización de los predios desocupados con el fin de evitar la reocupación de dichas zonas, </w:t>
      </w:r>
      <w:r>
        <w:rPr>
          <w:highlight w:val="white"/>
        </w:rPr>
        <w:t>articulando esfuerzos interinstitucionales en los niveles regional, distrital y local.</w:t>
      </w:r>
    </w:p>
    <w:p w14:paraId="5377545E" w14:textId="77777777" w:rsidR="00EF1D5F" w:rsidRDefault="00EF1D5F">
      <w:pPr>
        <w:rPr>
          <w:highlight w:val="white"/>
        </w:rPr>
      </w:pPr>
    </w:p>
    <w:p w14:paraId="23EC7D81" w14:textId="77777777" w:rsidR="00EF1D5F" w:rsidRDefault="00EF1D5F">
      <w:r>
        <w:t>Se priorizarán proyectos urbanos que maximicen la eficiencia de los inmuebles, además de promover un entorno inclusivo y sostenible; a su vez, se atenderán de manera integral los hogares que se vinculen al proceso de reasentamientos por alto riesgo no mitigable, asegurando su bienestar a través de la creación de espacios colaborativos y recreativos que fomenten la comunidad y la calidad de vida.</w:t>
      </w:r>
    </w:p>
    <w:p w14:paraId="42979228" w14:textId="77777777" w:rsidR="00EF1D5F" w:rsidRDefault="00EF1D5F"/>
    <w:p w14:paraId="4BCEEFA2" w14:textId="77777777" w:rsidR="00EF1D5F" w:rsidRDefault="00EF1D5F">
      <w:r>
        <w:t>Para evitar la reocupación de zonas intervenidas se deberán disponer acciones para generar espacio público construido cuando sea técnicamente viable. El compromiso de este Plan de Desarrollo en este sentido es garantizar la seguridad y el bienestar de los hogares afectados, promoviendo su inclusión a un hábitat seguro y el desarrollo sostenible de nuevas comunidades. Para esto, la primera acción será la actualización del inventario de zonas de alto riesgo no mitigable, identificando y caracterizando los hogares por reasentar que habitan en los predios.</w:t>
      </w:r>
    </w:p>
    <w:p w14:paraId="5CCBF14B" w14:textId="77777777" w:rsidR="00EF1D5F" w:rsidRDefault="00EF1D5F"/>
    <w:p w14:paraId="16F4A31D" w14:textId="77777777" w:rsidR="00EF1D5F" w:rsidRDefault="00EF1D5F">
      <w:r>
        <w:t xml:space="preserve">Con la coordinación de la Secretaría Distrital del Hábitat, la Secretaría Distrital de Gobierno y la Secretaría Distrital de Ambiente, la Caja de Vivienda Popular (CVP), el Departamento Administrativo de Defensoría del Espacio Público (DADEP), la Unidad Administrativa Especial de Catastro Distrital (UAECD) y el Instituto </w:t>
      </w:r>
      <w:r w:rsidRPr="00C43453">
        <w:t>Distrital de Gestión del Riesgo y Cambio Climático (IDIGER) se definirá la ruta o protocolo de acción</w:t>
      </w:r>
      <w:r>
        <w:t xml:space="preserve"> para el saneamiento predial de las mejoras adquiridas por la CVP y el IDIGER, de conformidad con las normas nacionales que regulen la materia. Para ello, podrán implementar pilotos de saneamiento predial, así como, en caso de ser necesario, expedir la reglamentación procedimental, que sea pertinente en el Distrito, para cumplimiento de tal fin y/o interponer las acciones administrativas o judiciales a que haya lugar.</w:t>
      </w:r>
    </w:p>
    <w:p w14:paraId="42225358" w14:textId="77777777" w:rsidR="00EF1D5F" w:rsidRDefault="00EF1D5F">
      <w:pPr>
        <w:rPr>
          <w:highlight w:val="yellow"/>
        </w:rPr>
      </w:pPr>
    </w:p>
    <w:p w14:paraId="39E43F92" w14:textId="7ECBF422" w:rsidR="00EF1D5F" w:rsidRDefault="00EF1D5F">
      <w:r>
        <w:lastRenderedPageBreak/>
        <w:t xml:space="preserve">Por otro lado, la administración distrital bajo la Coordinación de la Secretaría Distrital de Gobierno, la Secretaría Distrital del Hábitat, y el Instituto Distrital de Gestión del Riesgo y Cambio Climático </w:t>
      </w:r>
      <w:r w:rsidR="00C47423">
        <w:t>(</w:t>
      </w:r>
      <w:r>
        <w:t>IDIGER</w:t>
      </w:r>
      <w:r w:rsidR="00C47423">
        <w:t>)</w:t>
      </w:r>
      <w:r>
        <w:t>, junto con sus entidades adscritas y vinculadas, como aquellas requeridas para el cumplimiento de este programa, aunarán recursos técnicos, administrativos y financieros para lograr en la vigencia del presente Plan, la definición de rutas de atención diferenciada para el reasentamiento de personas asentadas en suelo de protección por riesgo en el suelo rural.</w:t>
      </w:r>
    </w:p>
    <w:p w14:paraId="04678D66" w14:textId="77777777" w:rsidR="00EF1D5F" w:rsidRDefault="00EF1D5F"/>
    <w:p w14:paraId="13A82EDD" w14:textId="77777777" w:rsidR="00EF1D5F" w:rsidRDefault="00EF1D5F">
      <w:r>
        <w:t>Para lograr estas rutas diferenciadas para el reasentamiento de personas asentadas en suelo de protección por riesgo en el suelo rural, se deberá considerar la implementación de pilotos de trabajo en las Unidades de Planeamiento Local Cerros Orientales, Cuenca del Tunjuelo y Sumapaz, y considerando variables como la relocalización in situ en el predio en caso que existan zonas del mismo predio sin condición de amenaza, riesgo o suelo de protección por riesgo y las condiciones socioeconómicas de los hogares atendidos a través de estas rutas diferenciadas de atención.</w:t>
      </w:r>
    </w:p>
    <w:p w14:paraId="36692C63" w14:textId="2CCBE178"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4146DAE4" w14:textId="31EA0A25" w:rsidR="00EF1D5F" w:rsidRPr="00CC4A68" w:rsidRDefault="00CC4A68" w:rsidP="00CC4A68">
      <w:pPr>
        <w:pStyle w:val="Descripcin"/>
        <w:jc w:val="center"/>
        <w:rPr>
          <w:color w:val="C00000"/>
          <w:sz w:val="18"/>
        </w:rPr>
      </w:pPr>
      <w:bookmarkStart w:id="381" w:name="_Toc165169959"/>
      <w:r w:rsidRPr="00CC4A68">
        <w:rPr>
          <w:color w:val="C00000"/>
          <w:sz w:val="18"/>
        </w:rPr>
        <w:t xml:space="preserve">Tabla </w:t>
      </w:r>
      <w:r w:rsidRPr="00CC4A68">
        <w:rPr>
          <w:color w:val="C00000"/>
          <w:sz w:val="18"/>
        </w:rPr>
        <w:fldChar w:fldCharType="begin"/>
      </w:r>
      <w:r w:rsidRPr="00CC4A68">
        <w:rPr>
          <w:color w:val="C00000"/>
          <w:sz w:val="18"/>
        </w:rPr>
        <w:instrText xml:space="preserve"> SEQ Tabla \* ARABIC </w:instrText>
      </w:r>
      <w:r w:rsidRPr="00CC4A68">
        <w:rPr>
          <w:color w:val="C00000"/>
          <w:sz w:val="18"/>
        </w:rPr>
        <w:fldChar w:fldCharType="separate"/>
      </w:r>
      <w:r w:rsidR="00D01651">
        <w:rPr>
          <w:noProof/>
          <w:color w:val="C00000"/>
          <w:sz w:val="18"/>
        </w:rPr>
        <w:t>49</w:t>
      </w:r>
      <w:r w:rsidRPr="00CC4A68">
        <w:rPr>
          <w:color w:val="C00000"/>
          <w:sz w:val="18"/>
        </w:rPr>
        <w:fldChar w:fldCharType="end"/>
      </w:r>
      <w:r w:rsidRPr="00CC4A68">
        <w:rPr>
          <w:color w:val="C00000"/>
          <w:sz w:val="18"/>
        </w:rPr>
        <w:t xml:space="preserve">. </w:t>
      </w:r>
      <w:r w:rsidR="00EF1D5F" w:rsidRPr="00CC4A68">
        <w:rPr>
          <w:color w:val="3B3838"/>
          <w:sz w:val="18"/>
        </w:rPr>
        <w:t>Metas del programa 2</w:t>
      </w:r>
      <w:r w:rsidR="00EF1D5F" w:rsidRPr="00CC4A68">
        <w:rPr>
          <w:sz w:val="18"/>
        </w:rPr>
        <w:t>7</w:t>
      </w:r>
      <w:r>
        <w:rPr>
          <w:color w:val="3B3838"/>
          <w:sz w:val="18"/>
        </w:rPr>
        <w:t>:</w:t>
      </w:r>
      <w:r w:rsidR="00EF1D5F" w:rsidRPr="00CC4A68">
        <w:rPr>
          <w:color w:val="3B3838"/>
          <w:sz w:val="18"/>
        </w:rPr>
        <w:t xml:space="preserve"> Gestión del riesgo de desastres para un territorio seguro</w:t>
      </w:r>
      <w:bookmarkEnd w:id="381"/>
    </w:p>
    <w:tbl>
      <w:tblPr>
        <w:tblW w:w="8838" w:type="dxa"/>
        <w:jc w:val="center"/>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2694"/>
        <w:gridCol w:w="1134"/>
        <w:gridCol w:w="1417"/>
        <w:gridCol w:w="1134"/>
        <w:gridCol w:w="1244"/>
        <w:gridCol w:w="1215"/>
      </w:tblGrid>
      <w:tr w:rsidR="00EF1D5F" w:rsidRPr="00E14E4A" w14:paraId="77B8D081" w14:textId="77777777" w:rsidTr="00D31D52">
        <w:trPr>
          <w:trHeight w:val="48"/>
          <w:tblHeader/>
          <w:jc w:val="center"/>
        </w:trPr>
        <w:tc>
          <w:tcPr>
            <w:tcW w:w="2694" w:type="dxa"/>
            <w:vMerge w:val="restart"/>
            <w:shd w:val="clear" w:color="auto" w:fill="C00000"/>
            <w:tcMar>
              <w:top w:w="40" w:type="dxa"/>
              <w:left w:w="40" w:type="dxa"/>
              <w:bottom w:w="40" w:type="dxa"/>
              <w:right w:w="40" w:type="dxa"/>
            </w:tcMar>
            <w:vAlign w:val="center"/>
          </w:tcPr>
          <w:p w14:paraId="2835B486" w14:textId="77777777" w:rsidR="00EF1D5F" w:rsidRPr="00E14E4A" w:rsidRDefault="00EF1D5F" w:rsidP="003D4AD9">
            <w:pPr>
              <w:widowControl w:val="0"/>
              <w:spacing w:line="276" w:lineRule="auto"/>
              <w:jc w:val="center"/>
              <w:rPr>
                <w:b/>
                <w:color w:val="FFFFFF"/>
                <w:sz w:val="24"/>
              </w:rPr>
            </w:pPr>
            <w:bookmarkStart w:id="382" w:name="_heading=h.2skop07dosk0" w:colFirst="0" w:colLast="0"/>
            <w:bookmarkEnd w:id="382"/>
            <w:r w:rsidRPr="00E14E4A">
              <w:rPr>
                <w:b/>
                <w:color w:val="FFFFFF"/>
                <w:sz w:val="24"/>
              </w:rPr>
              <w:t>SECTOR / Metas</w:t>
            </w:r>
          </w:p>
        </w:tc>
        <w:tc>
          <w:tcPr>
            <w:tcW w:w="6144" w:type="dxa"/>
            <w:gridSpan w:val="5"/>
            <w:shd w:val="clear" w:color="auto" w:fill="C00000"/>
            <w:tcMar>
              <w:top w:w="40" w:type="dxa"/>
              <w:left w:w="40" w:type="dxa"/>
              <w:bottom w:w="40" w:type="dxa"/>
              <w:right w:w="40" w:type="dxa"/>
            </w:tcMar>
            <w:vAlign w:val="center"/>
          </w:tcPr>
          <w:p w14:paraId="2F5B3F30" w14:textId="77777777" w:rsidR="00EF1D5F" w:rsidRPr="00E14E4A" w:rsidRDefault="00EF1D5F" w:rsidP="003D4AD9">
            <w:pPr>
              <w:widowControl w:val="0"/>
              <w:spacing w:line="276" w:lineRule="auto"/>
              <w:jc w:val="center"/>
              <w:rPr>
                <w:b/>
                <w:color w:val="FFFFFF"/>
                <w:sz w:val="24"/>
              </w:rPr>
            </w:pPr>
            <w:r w:rsidRPr="00E14E4A">
              <w:rPr>
                <w:b/>
                <w:color w:val="FFFFFF"/>
                <w:sz w:val="24"/>
              </w:rPr>
              <w:t>Magnitudes e Inversión</w:t>
            </w:r>
          </w:p>
          <w:p w14:paraId="5A93EB5A" w14:textId="77777777" w:rsidR="00EF1D5F" w:rsidRPr="00E14E4A" w:rsidRDefault="00EF1D5F" w:rsidP="003D4AD9">
            <w:pPr>
              <w:widowControl w:val="0"/>
              <w:spacing w:line="276" w:lineRule="auto"/>
              <w:jc w:val="center"/>
              <w:rPr>
                <w:rFonts w:ascii="Arial" w:eastAsia="Arial" w:hAnsi="Arial" w:cs="Arial"/>
                <w:color w:val="000000"/>
              </w:rPr>
            </w:pPr>
            <w:r w:rsidRPr="00D31D52">
              <w:rPr>
                <w:b/>
                <w:color w:val="FFFFFF"/>
                <w:sz w:val="20"/>
                <w:szCs w:val="22"/>
              </w:rPr>
              <w:t>(Precios Constantes 2024)</w:t>
            </w:r>
          </w:p>
        </w:tc>
      </w:tr>
      <w:tr w:rsidR="00EF1D5F" w:rsidRPr="00E14E4A" w14:paraId="00740AC7" w14:textId="77777777" w:rsidTr="00D31D52">
        <w:trPr>
          <w:trHeight w:val="20"/>
          <w:jc w:val="center"/>
        </w:trPr>
        <w:tc>
          <w:tcPr>
            <w:tcW w:w="2694" w:type="dxa"/>
            <w:vMerge/>
            <w:shd w:val="clear" w:color="auto" w:fill="auto"/>
            <w:tcMar>
              <w:top w:w="100" w:type="dxa"/>
              <w:left w:w="100" w:type="dxa"/>
              <w:bottom w:w="100" w:type="dxa"/>
              <w:right w:w="100" w:type="dxa"/>
            </w:tcMar>
          </w:tcPr>
          <w:p w14:paraId="0823EBE3"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D9D9D9"/>
            <w:tcMar>
              <w:top w:w="40" w:type="dxa"/>
              <w:left w:w="40" w:type="dxa"/>
              <w:bottom w:w="40" w:type="dxa"/>
              <w:right w:w="40" w:type="dxa"/>
            </w:tcMar>
            <w:vAlign w:val="center"/>
          </w:tcPr>
          <w:p w14:paraId="651D233A" w14:textId="77777777" w:rsidR="00EF1D5F" w:rsidRPr="00D31D52" w:rsidRDefault="00EF1D5F" w:rsidP="003D4AD9">
            <w:pPr>
              <w:widowControl w:val="0"/>
              <w:spacing w:line="276" w:lineRule="auto"/>
              <w:jc w:val="center"/>
              <w:rPr>
                <w:rFonts w:ascii="Arial" w:eastAsia="Arial" w:hAnsi="Arial" w:cs="Arial"/>
                <w:color w:val="000000"/>
                <w:sz w:val="14"/>
                <w:szCs w:val="14"/>
              </w:rPr>
            </w:pPr>
            <w:r w:rsidRPr="00D31D52">
              <w:rPr>
                <w:b/>
                <w:color w:val="000000"/>
                <w:sz w:val="14"/>
                <w:szCs w:val="14"/>
              </w:rPr>
              <w:t>2024</w:t>
            </w:r>
          </w:p>
        </w:tc>
        <w:tc>
          <w:tcPr>
            <w:tcW w:w="1417" w:type="dxa"/>
            <w:shd w:val="clear" w:color="auto" w:fill="D9D9D9"/>
            <w:tcMar>
              <w:top w:w="40" w:type="dxa"/>
              <w:left w:w="40" w:type="dxa"/>
              <w:bottom w:w="40" w:type="dxa"/>
              <w:right w:w="40" w:type="dxa"/>
            </w:tcMar>
            <w:vAlign w:val="center"/>
          </w:tcPr>
          <w:p w14:paraId="29DD5804" w14:textId="77777777" w:rsidR="00EF1D5F" w:rsidRPr="00D31D52" w:rsidRDefault="00EF1D5F" w:rsidP="003D4AD9">
            <w:pPr>
              <w:widowControl w:val="0"/>
              <w:spacing w:line="276" w:lineRule="auto"/>
              <w:jc w:val="center"/>
              <w:rPr>
                <w:rFonts w:ascii="Arial" w:eastAsia="Arial" w:hAnsi="Arial" w:cs="Arial"/>
                <w:color w:val="000000"/>
                <w:sz w:val="14"/>
                <w:szCs w:val="14"/>
              </w:rPr>
            </w:pPr>
            <w:r w:rsidRPr="00D31D52">
              <w:rPr>
                <w:b/>
                <w:color w:val="000000"/>
                <w:sz w:val="14"/>
                <w:szCs w:val="14"/>
              </w:rPr>
              <w:t>2025</w:t>
            </w:r>
          </w:p>
        </w:tc>
        <w:tc>
          <w:tcPr>
            <w:tcW w:w="1134" w:type="dxa"/>
            <w:shd w:val="clear" w:color="auto" w:fill="D9D9D9"/>
            <w:tcMar>
              <w:top w:w="40" w:type="dxa"/>
              <w:left w:w="40" w:type="dxa"/>
              <w:bottom w:w="40" w:type="dxa"/>
              <w:right w:w="40" w:type="dxa"/>
            </w:tcMar>
            <w:vAlign w:val="center"/>
          </w:tcPr>
          <w:p w14:paraId="2B86532B" w14:textId="77777777" w:rsidR="00EF1D5F" w:rsidRPr="00D31D52" w:rsidRDefault="00EF1D5F" w:rsidP="003D4AD9">
            <w:pPr>
              <w:widowControl w:val="0"/>
              <w:spacing w:line="276" w:lineRule="auto"/>
              <w:jc w:val="center"/>
              <w:rPr>
                <w:rFonts w:ascii="Arial" w:eastAsia="Arial" w:hAnsi="Arial" w:cs="Arial"/>
                <w:color w:val="000000"/>
                <w:sz w:val="14"/>
                <w:szCs w:val="14"/>
              </w:rPr>
            </w:pPr>
            <w:r w:rsidRPr="00D31D52">
              <w:rPr>
                <w:b/>
                <w:color w:val="000000"/>
                <w:sz w:val="14"/>
                <w:szCs w:val="14"/>
              </w:rPr>
              <w:t>2026</w:t>
            </w:r>
          </w:p>
        </w:tc>
        <w:tc>
          <w:tcPr>
            <w:tcW w:w="1244" w:type="dxa"/>
            <w:shd w:val="clear" w:color="auto" w:fill="D9D9D9"/>
            <w:tcMar>
              <w:top w:w="40" w:type="dxa"/>
              <w:left w:w="40" w:type="dxa"/>
              <w:bottom w:w="40" w:type="dxa"/>
              <w:right w:w="40" w:type="dxa"/>
            </w:tcMar>
            <w:vAlign w:val="center"/>
          </w:tcPr>
          <w:p w14:paraId="5B31578F" w14:textId="77777777" w:rsidR="00EF1D5F" w:rsidRPr="00D31D52" w:rsidRDefault="00EF1D5F" w:rsidP="003D4AD9">
            <w:pPr>
              <w:widowControl w:val="0"/>
              <w:spacing w:line="276" w:lineRule="auto"/>
              <w:jc w:val="center"/>
              <w:rPr>
                <w:rFonts w:ascii="Arial" w:eastAsia="Arial" w:hAnsi="Arial" w:cs="Arial"/>
                <w:color w:val="000000"/>
                <w:sz w:val="14"/>
                <w:szCs w:val="14"/>
              </w:rPr>
            </w:pPr>
            <w:r w:rsidRPr="00D31D52">
              <w:rPr>
                <w:b/>
                <w:color w:val="000000"/>
                <w:sz w:val="14"/>
                <w:szCs w:val="14"/>
              </w:rPr>
              <w:t>2027</w:t>
            </w:r>
          </w:p>
        </w:tc>
        <w:tc>
          <w:tcPr>
            <w:tcW w:w="1215" w:type="dxa"/>
            <w:shd w:val="clear" w:color="auto" w:fill="D9D9D9"/>
            <w:tcMar>
              <w:top w:w="40" w:type="dxa"/>
              <w:left w:w="40" w:type="dxa"/>
              <w:bottom w:w="40" w:type="dxa"/>
              <w:right w:w="40" w:type="dxa"/>
            </w:tcMar>
            <w:vAlign w:val="center"/>
          </w:tcPr>
          <w:p w14:paraId="0EF8F8F8" w14:textId="77777777" w:rsidR="00EF1D5F" w:rsidRPr="00D31D52" w:rsidRDefault="00EF1D5F" w:rsidP="003D4AD9">
            <w:pPr>
              <w:widowControl w:val="0"/>
              <w:spacing w:line="276" w:lineRule="auto"/>
              <w:jc w:val="center"/>
              <w:rPr>
                <w:rFonts w:ascii="Arial" w:eastAsia="Arial" w:hAnsi="Arial" w:cs="Arial"/>
                <w:color w:val="000000"/>
                <w:sz w:val="14"/>
                <w:szCs w:val="14"/>
              </w:rPr>
            </w:pPr>
            <w:r w:rsidRPr="00D31D52">
              <w:rPr>
                <w:b/>
                <w:color w:val="000000"/>
                <w:sz w:val="14"/>
                <w:szCs w:val="14"/>
              </w:rPr>
              <w:t>Total Inversión</w:t>
            </w:r>
          </w:p>
        </w:tc>
      </w:tr>
      <w:tr w:rsidR="00EF1D5F" w:rsidRPr="00E14E4A" w14:paraId="46F23591" w14:textId="77777777" w:rsidTr="001E12CE">
        <w:trPr>
          <w:trHeight w:val="315"/>
          <w:jc w:val="center"/>
        </w:trPr>
        <w:tc>
          <w:tcPr>
            <w:tcW w:w="8838" w:type="dxa"/>
            <w:gridSpan w:val="6"/>
            <w:shd w:val="clear" w:color="auto" w:fill="C00000"/>
            <w:tcMar>
              <w:top w:w="40" w:type="dxa"/>
              <w:left w:w="40" w:type="dxa"/>
              <w:bottom w:w="40" w:type="dxa"/>
              <w:right w:w="40" w:type="dxa"/>
            </w:tcMar>
            <w:vAlign w:val="center"/>
          </w:tcPr>
          <w:p w14:paraId="7ECE2F1C" w14:textId="77777777" w:rsidR="00EF1D5F" w:rsidRPr="00E14E4A" w:rsidRDefault="00EF1D5F" w:rsidP="003D4AD9">
            <w:pPr>
              <w:widowControl w:val="0"/>
              <w:spacing w:line="276" w:lineRule="auto"/>
              <w:jc w:val="center"/>
              <w:rPr>
                <w:rFonts w:ascii="Arial" w:eastAsia="Arial" w:hAnsi="Arial" w:cs="Arial"/>
                <w:color w:val="FFFFFF" w:themeColor="background1"/>
                <w:szCs w:val="22"/>
              </w:rPr>
            </w:pPr>
            <w:r w:rsidRPr="00E14E4A">
              <w:rPr>
                <w:b/>
                <w:color w:val="FFFFFF" w:themeColor="background1"/>
                <w:szCs w:val="22"/>
              </w:rPr>
              <w:t>AMBIENTE</w:t>
            </w:r>
          </w:p>
        </w:tc>
      </w:tr>
      <w:tr w:rsidR="00EF1D5F" w:rsidRPr="00E14E4A" w14:paraId="2BC88F4B" w14:textId="77777777" w:rsidTr="00D31D52">
        <w:trPr>
          <w:trHeight w:val="26"/>
          <w:jc w:val="center"/>
        </w:trPr>
        <w:tc>
          <w:tcPr>
            <w:tcW w:w="2694" w:type="dxa"/>
            <w:vMerge w:val="restart"/>
            <w:shd w:val="clear" w:color="auto" w:fill="auto"/>
            <w:tcMar>
              <w:top w:w="40" w:type="dxa"/>
              <w:left w:w="40" w:type="dxa"/>
              <w:bottom w:w="40" w:type="dxa"/>
              <w:right w:w="40" w:type="dxa"/>
            </w:tcMar>
            <w:vAlign w:val="center"/>
          </w:tcPr>
          <w:p w14:paraId="54FDCC5F"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Atender el 100% de la población afectada por emergencias calamidades o desastres con respuesta integral</w:t>
            </w:r>
          </w:p>
        </w:tc>
        <w:tc>
          <w:tcPr>
            <w:tcW w:w="1134" w:type="dxa"/>
            <w:shd w:val="clear" w:color="auto" w:fill="auto"/>
            <w:tcMar>
              <w:top w:w="40" w:type="dxa"/>
              <w:left w:w="40" w:type="dxa"/>
              <w:bottom w:w="40" w:type="dxa"/>
              <w:right w:w="40" w:type="dxa"/>
            </w:tcMar>
            <w:vAlign w:val="center"/>
          </w:tcPr>
          <w:p w14:paraId="27964A6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w:t>
            </w:r>
          </w:p>
        </w:tc>
        <w:tc>
          <w:tcPr>
            <w:tcW w:w="1417" w:type="dxa"/>
            <w:shd w:val="clear" w:color="auto" w:fill="auto"/>
            <w:tcMar>
              <w:top w:w="40" w:type="dxa"/>
              <w:left w:w="40" w:type="dxa"/>
              <w:bottom w:w="40" w:type="dxa"/>
              <w:right w:w="40" w:type="dxa"/>
            </w:tcMar>
            <w:vAlign w:val="center"/>
          </w:tcPr>
          <w:p w14:paraId="4BB12ED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w:t>
            </w:r>
          </w:p>
        </w:tc>
        <w:tc>
          <w:tcPr>
            <w:tcW w:w="1134" w:type="dxa"/>
            <w:shd w:val="clear" w:color="auto" w:fill="auto"/>
            <w:tcMar>
              <w:top w:w="40" w:type="dxa"/>
              <w:left w:w="40" w:type="dxa"/>
              <w:bottom w:w="40" w:type="dxa"/>
              <w:right w:w="40" w:type="dxa"/>
            </w:tcMar>
            <w:vAlign w:val="center"/>
          </w:tcPr>
          <w:p w14:paraId="675F4E7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w:t>
            </w:r>
          </w:p>
        </w:tc>
        <w:tc>
          <w:tcPr>
            <w:tcW w:w="1244" w:type="dxa"/>
            <w:shd w:val="clear" w:color="auto" w:fill="auto"/>
            <w:tcMar>
              <w:top w:w="40" w:type="dxa"/>
              <w:left w:w="40" w:type="dxa"/>
              <w:bottom w:w="40" w:type="dxa"/>
              <w:right w:w="40" w:type="dxa"/>
            </w:tcMar>
            <w:vAlign w:val="center"/>
          </w:tcPr>
          <w:p w14:paraId="4E51187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w:t>
            </w:r>
          </w:p>
        </w:tc>
        <w:tc>
          <w:tcPr>
            <w:tcW w:w="1215" w:type="dxa"/>
            <w:vMerge w:val="restart"/>
            <w:shd w:val="clear" w:color="auto" w:fill="auto"/>
            <w:tcMar>
              <w:top w:w="40" w:type="dxa"/>
              <w:left w:w="40" w:type="dxa"/>
              <w:bottom w:w="40" w:type="dxa"/>
              <w:right w:w="40" w:type="dxa"/>
            </w:tcMar>
            <w:vAlign w:val="center"/>
          </w:tcPr>
          <w:p w14:paraId="1823ADA0"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7.049.811.042</w:t>
            </w:r>
          </w:p>
        </w:tc>
      </w:tr>
      <w:tr w:rsidR="00EF1D5F" w:rsidRPr="00E14E4A" w14:paraId="5079916A" w14:textId="77777777" w:rsidTr="00D31D52">
        <w:trPr>
          <w:trHeight w:val="315"/>
          <w:jc w:val="center"/>
        </w:trPr>
        <w:tc>
          <w:tcPr>
            <w:tcW w:w="2694" w:type="dxa"/>
            <w:vMerge/>
            <w:shd w:val="clear" w:color="auto" w:fill="auto"/>
            <w:tcMar>
              <w:top w:w="100" w:type="dxa"/>
              <w:left w:w="100" w:type="dxa"/>
              <w:bottom w:w="100" w:type="dxa"/>
              <w:right w:w="100" w:type="dxa"/>
            </w:tcMar>
          </w:tcPr>
          <w:p w14:paraId="482E049D"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auto"/>
            <w:tcMar>
              <w:top w:w="40" w:type="dxa"/>
              <w:left w:w="40" w:type="dxa"/>
              <w:bottom w:w="40" w:type="dxa"/>
              <w:right w:w="40" w:type="dxa"/>
            </w:tcMar>
            <w:vAlign w:val="center"/>
          </w:tcPr>
          <w:p w14:paraId="2873E91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1.000.000.000</w:t>
            </w:r>
          </w:p>
        </w:tc>
        <w:tc>
          <w:tcPr>
            <w:tcW w:w="1417" w:type="dxa"/>
            <w:shd w:val="clear" w:color="auto" w:fill="auto"/>
            <w:tcMar>
              <w:top w:w="40" w:type="dxa"/>
              <w:left w:w="40" w:type="dxa"/>
              <w:bottom w:w="40" w:type="dxa"/>
              <w:right w:w="40" w:type="dxa"/>
            </w:tcMar>
            <w:vAlign w:val="center"/>
          </w:tcPr>
          <w:p w14:paraId="01C2842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2.038.834.951</w:t>
            </w:r>
          </w:p>
        </w:tc>
        <w:tc>
          <w:tcPr>
            <w:tcW w:w="1134" w:type="dxa"/>
            <w:shd w:val="clear" w:color="auto" w:fill="auto"/>
            <w:tcMar>
              <w:top w:w="40" w:type="dxa"/>
              <w:left w:w="40" w:type="dxa"/>
              <w:bottom w:w="40" w:type="dxa"/>
              <w:right w:w="40" w:type="dxa"/>
            </w:tcMar>
            <w:vAlign w:val="center"/>
          </w:tcPr>
          <w:p w14:paraId="1E53BF3B"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1.979.451.409</w:t>
            </w:r>
          </w:p>
        </w:tc>
        <w:tc>
          <w:tcPr>
            <w:tcW w:w="1244" w:type="dxa"/>
            <w:shd w:val="clear" w:color="auto" w:fill="auto"/>
            <w:tcMar>
              <w:top w:w="40" w:type="dxa"/>
              <w:left w:w="40" w:type="dxa"/>
              <w:bottom w:w="40" w:type="dxa"/>
              <w:right w:w="40" w:type="dxa"/>
            </w:tcMar>
            <w:vAlign w:val="center"/>
          </w:tcPr>
          <w:p w14:paraId="0DDBFAB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2.031.524.681</w:t>
            </w:r>
          </w:p>
        </w:tc>
        <w:tc>
          <w:tcPr>
            <w:tcW w:w="1215" w:type="dxa"/>
            <w:vMerge/>
            <w:shd w:val="clear" w:color="auto" w:fill="auto"/>
            <w:tcMar>
              <w:top w:w="100" w:type="dxa"/>
              <w:left w:w="100" w:type="dxa"/>
              <w:bottom w:w="100" w:type="dxa"/>
              <w:right w:w="100" w:type="dxa"/>
            </w:tcMar>
          </w:tcPr>
          <w:p w14:paraId="4B2E7634"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3BC000AD" w14:textId="77777777" w:rsidTr="00D31D52">
        <w:trPr>
          <w:trHeight w:val="20"/>
          <w:jc w:val="center"/>
        </w:trPr>
        <w:tc>
          <w:tcPr>
            <w:tcW w:w="2694" w:type="dxa"/>
            <w:vMerge w:val="restart"/>
            <w:shd w:val="clear" w:color="auto" w:fill="auto"/>
            <w:tcMar>
              <w:top w:w="40" w:type="dxa"/>
              <w:left w:w="40" w:type="dxa"/>
              <w:bottom w:w="40" w:type="dxa"/>
              <w:right w:w="40" w:type="dxa"/>
            </w:tcMar>
            <w:vAlign w:val="center"/>
          </w:tcPr>
          <w:p w14:paraId="62CC7841"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Intervenir 8 Unidades de Planeamiento Local (UPL) con acciones de reducción del riesgo y adaptación al cambio climático.</w:t>
            </w:r>
          </w:p>
        </w:tc>
        <w:tc>
          <w:tcPr>
            <w:tcW w:w="1134" w:type="dxa"/>
            <w:shd w:val="clear" w:color="auto" w:fill="auto"/>
            <w:tcMar>
              <w:top w:w="40" w:type="dxa"/>
              <w:left w:w="40" w:type="dxa"/>
              <w:bottom w:w="40" w:type="dxa"/>
              <w:right w:w="40" w:type="dxa"/>
            </w:tcMar>
            <w:vAlign w:val="center"/>
          </w:tcPr>
          <w:p w14:paraId="592E534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417" w:type="dxa"/>
            <w:shd w:val="clear" w:color="auto" w:fill="auto"/>
            <w:tcMar>
              <w:top w:w="40" w:type="dxa"/>
              <w:left w:w="40" w:type="dxa"/>
              <w:bottom w:w="40" w:type="dxa"/>
              <w:right w:w="40" w:type="dxa"/>
            </w:tcMar>
            <w:vAlign w:val="center"/>
          </w:tcPr>
          <w:p w14:paraId="613D48F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w:t>
            </w:r>
          </w:p>
        </w:tc>
        <w:tc>
          <w:tcPr>
            <w:tcW w:w="1134" w:type="dxa"/>
            <w:shd w:val="clear" w:color="auto" w:fill="auto"/>
            <w:tcMar>
              <w:top w:w="40" w:type="dxa"/>
              <w:left w:w="40" w:type="dxa"/>
              <w:bottom w:w="40" w:type="dxa"/>
              <w:right w:w="40" w:type="dxa"/>
            </w:tcMar>
            <w:vAlign w:val="center"/>
          </w:tcPr>
          <w:p w14:paraId="07262AB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w:t>
            </w:r>
          </w:p>
        </w:tc>
        <w:tc>
          <w:tcPr>
            <w:tcW w:w="1244" w:type="dxa"/>
            <w:shd w:val="clear" w:color="auto" w:fill="auto"/>
            <w:tcMar>
              <w:top w:w="40" w:type="dxa"/>
              <w:left w:w="40" w:type="dxa"/>
              <w:bottom w:w="40" w:type="dxa"/>
              <w:right w:w="40" w:type="dxa"/>
            </w:tcMar>
            <w:vAlign w:val="center"/>
          </w:tcPr>
          <w:p w14:paraId="5E4089C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w:t>
            </w:r>
          </w:p>
        </w:tc>
        <w:tc>
          <w:tcPr>
            <w:tcW w:w="1215" w:type="dxa"/>
            <w:vMerge w:val="restart"/>
            <w:shd w:val="clear" w:color="auto" w:fill="auto"/>
            <w:tcMar>
              <w:top w:w="40" w:type="dxa"/>
              <w:left w:w="40" w:type="dxa"/>
              <w:bottom w:w="40" w:type="dxa"/>
              <w:right w:w="40" w:type="dxa"/>
            </w:tcMar>
            <w:vAlign w:val="center"/>
          </w:tcPr>
          <w:p w14:paraId="6CF2DAC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18.029.555.684</w:t>
            </w:r>
          </w:p>
        </w:tc>
      </w:tr>
      <w:tr w:rsidR="00EF1D5F" w:rsidRPr="00E14E4A" w14:paraId="247449BF" w14:textId="77777777" w:rsidTr="00D31D52">
        <w:trPr>
          <w:trHeight w:val="20"/>
          <w:jc w:val="center"/>
        </w:trPr>
        <w:tc>
          <w:tcPr>
            <w:tcW w:w="2694" w:type="dxa"/>
            <w:vMerge/>
            <w:shd w:val="clear" w:color="auto" w:fill="auto"/>
            <w:tcMar>
              <w:top w:w="100" w:type="dxa"/>
              <w:left w:w="100" w:type="dxa"/>
              <w:bottom w:w="100" w:type="dxa"/>
              <w:right w:w="100" w:type="dxa"/>
            </w:tcMar>
          </w:tcPr>
          <w:p w14:paraId="4FE6B467"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auto"/>
            <w:tcMar>
              <w:top w:w="40" w:type="dxa"/>
              <w:left w:w="40" w:type="dxa"/>
              <w:bottom w:w="40" w:type="dxa"/>
              <w:right w:w="40" w:type="dxa"/>
            </w:tcMar>
            <w:vAlign w:val="center"/>
          </w:tcPr>
          <w:p w14:paraId="60A3BF2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1.811.780.832</w:t>
            </w:r>
          </w:p>
        </w:tc>
        <w:tc>
          <w:tcPr>
            <w:tcW w:w="1417" w:type="dxa"/>
            <w:shd w:val="clear" w:color="auto" w:fill="auto"/>
            <w:tcMar>
              <w:top w:w="40" w:type="dxa"/>
              <w:left w:w="40" w:type="dxa"/>
              <w:bottom w:w="40" w:type="dxa"/>
              <w:right w:w="40" w:type="dxa"/>
            </w:tcMar>
            <w:vAlign w:val="center"/>
          </w:tcPr>
          <w:p w14:paraId="04E98FB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4.628.975.044</w:t>
            </w:r>
          </w:p>
        </w:tc>
        <w:tc>
          <w:tcPr>
            <w:tcW w:w="1134" w:type="dxa"/>
            <w:shd w:val="clear" w:color="auto" w:fill="auto"/>
            <w:tcMar>
              <w:top w:w="40" w:type="dxa"/>
              <w:left w:w="40" w:type="dxa"/>
              <w:bottom w:w="40" w:type="dxa"/>
              <w:right w:w="40" w:type="dxa"/>
            </w:tcMar>
            <w:vAlign w:val="center"/>
          </w:tcPr>
          <w:p w14:paraId="0F3C2B9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5.392.980.633</w:t>
            </w:r>
          </w:p>
        </w:tc>
        <w:tc>
          <w:tcPr>
            <w:tcW w:w="1244" w:type="dxa"/>
            <w:shd w:val="clear" w:color="auto" w:fill="auto"/>
            <w:tcMar>
              <w:top w:w="40" w:type="dxa"/>
              <w:left w:w="40" w:type="dxa"/>
              <w:bottom w:w="40" w:type="dxa"/>
              <w:right w:w="40" w:type="dxa"/>
            </w:tcMar>
            <w:vAlign w:val="center"/>
          </w:tcPr>
          <w:p w14:paraId="12600E5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6.195.819.174</w:t>
            </w:r>
          </w:p>
        </w:tc>
        <w:tc>
          <w:tcPr>
            <w:tcW w:w="1215" w:type="dxa"/>
            <w:vMerge/>
            <w:shd w:val="clear" w:color="auto" w:fill="auto"/>
            <w:tcMar>
              <w:top w:w="100" w:type="dxa"/>
              <w:left w:w="100" w:type="dxa"/>
              <w:bottom w:w="100" w:type="dxa"/>
              <w:right w:w="100" w:type="dxa"/>
            </w:tcMar>
          </w:tcPr>
          <w:p w14:paraId="0A1360C6"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097DB054" w14:textId="77777777" w:rsidTr="00D31D52">
        <w:trPr>
          <w:trHeight w:val="20"/>
          <w:jc w:val="center"/>
        </w:trPr>
        <w:tc>
          <w:tcPr>
            <w:tcW w:w="2694" w:type="dxa"/>
            <w:vMerge w:val="restart"/>
            <w:shd w:val="clear" w:color="auto" w:fill="auto"/>
            <w:tcMar>
              <w:top w:w="40" w:type="dxa"/>
              <w:left w:w="40" w:type="dxa"/>
              <w:bottom w:w="40" w:type="dxa"/>
              <w:right w:w="40" w:type="dxa"/>
            </w:tcMar>
            <w:vAlign w:val="center"/>
          </w:tcPr>
          <w:p w14:paraId="1C3DF89C"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Realizar el análisis detallado de amenaza o riesgo en 3.200 hectáreas de acuerdo con los 8 escenarios de riesgo caracterizados en el 2016 para Bogotá</w:t>
            </w:r>
          </w:p>
        </w:tc>
        <w:tc>
          <w:tcPr>
            <w:tcW w:w="1134" w:type="dxa"/>
            <w:shd w:val="clear" w:color="auto" w:fill="auto"/>
            <w:tcMar>
              <w:top w:w="40" w:type="dxa"/>
              <w:left w:w="40" w:type="dxa"/>
              <w:bottom w:w="40" w:type="dxa"/>
              <w:right w:w="40" w:type="dxa"/>
            </w:tcMar>
            <w:vAlign w:val="center"/>
          </w:tcPr>
          <w:p w14:paraId="1077327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30</w:t>
            </w:r>
          </w:p>
        </w:tc>
        <w:tc>
          <w:tcPr>
            <w:tcW w:w="1417" w:type="dxa"/>
            <w:shd w:val="clear" w:color="auto" w:fill="auto"/>
            <w:tcMar>
              <w:top w:w="40" w:type="dxa"/>
              <w:left w:w="40" w:type="dxa"/>
              <w:bottom w:w="40" w:type="dxa"/>
              <w:right w:w="40" w:type="dxa"/>
            </w:tcMar>
            <w:vAlign w:val="center"/>
          </w:tcPr>
          <w:p w14:paraId="47D6F49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1.500</w:t>
            </w:r>
          </w:p>
        </w:tc>
        <w:tc>
          <w:tcPr>
            <w:tcW w:w="1134" w:type="dxa"/>
            <w:shd w:val="clear" w:color="auto" w:fill="auto"/>
            <w:tcMar>
              <w:top w:w="40" w:type="dxa"/>
              <w:left w:w="40" w:type="dxa"/>
              <w:bottom w:w="40" w:type="dxa"/>
              <w:right w:w="40" w:type="dxa"/>
            </w:tcMar>
            <w:vAlign w:val="center"/>
          </w:tcPr>
          <w:p w14:paraId="1C73038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350</w:t>
            </w:r>
          </w:p>
        </w:tc>
        <w:tc>
          <w:tcPr>
            <w:tcW w:w="1244" w:type="dxa"/>
            <w:shd w:val="clear" w:color="auto" w:fill="auto"/>
            <w:tcMar>
              <w:top w:w="40" w:type="dxa"/>
              <w:left w:w="40" w:type="dxa"/>
              <w:bottom w:w="40" w:type="dxa"/>
              <w:right w:w="40" w:type="dxa"/>
            </w:tcMar>
            <w:vAlign w:val="center"/>
          </w:tcPr>
          <w:p w14:paraId="035B196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1.320</w:t>
            </w:r>
          </w:p>
        </w:tc>
        <w:tc>
          <w:tcPr>
            <w:tcW w:w="1215" w:type="dxa"/>
            <w:vMerge w:val="restart"/>
            <w:shd w:val="clear" w:color="auto" w:fill="auto"/>
            <w:tcMar>
              <w:top w:w="40" w:type="dxa"/>
              <w:left w:w="40" w:type="dxa"/>
              <w:bottom w:w="40" w:type="dxa"/>
              <w:right w:w="40" w:type="dxa"/>
            </w:tcMar>
            <w:vAlign w:val="center"/>
          </w:tcPr>
          <w:p w14:paraId="58E94EB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25.148.914.901</w:t>
            </w:r>
          </w:p>
        </w:tc>
      </w:tr>
      <w:tr w:rsidR="00EF1D5F" w:rsidRPr="00E14E4A" w14:paraId="78D4A899" w14:textId="77777777" w:rsidTr="00D31D52">
        <w:trPr>
          <w:trHeight w:val="20"/>
          <w:jc w:val="center"/>
        </w:trPr>
        <w:tc>
          <w:tcPr>
            <w:tcW w:w="2694" w:type="dxa"/>
            <w:vMerge/>
            <w:shd w:val="clear" w:color="auto" w:fill="auto"/>
            <w:tcMar>
              <w:top w:w="100" w:type="dxa"/>
              <w:left w:w="100" w:type="dxa"/>
              <w:bottom w:w="100" w:type="dxa"/>
              <w:right w:w="100" w:type="dxa"/>
            </w:tcMar>
          </w:tcPr>
          <w:p w14:paraId="35E244E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auto"/>
            <w:tcMar>
              <w:top w:w="40" w:type="dxa"/>
              <w:left w:w="40" w:type="dxa"/>
              <w:bottom w:w="40" w:type="dxa"/>
              <w:right w:w="40" w:type="dxa"/>
            </w:tcMar>
            <w:vAlign w:val="center"/>
          </w:tcPr>
          <w:p w14:paraId="447B4410"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2.900.000.000</w:t>
            </w:r>
          </w:p>
        </w:tc>
        <w:tc>
          <w:tcPr>
            <w:tcW w:w="1417" w:type="dxa"/>
            <w:shd w:val="clear" w:color="auto" w:fill="auto"/>
            <w:tcMar>
              <w:top w:w="40" w:type="dxa"/>
              <w:left w:w="40" w:type="dxa"/>
              <w:bottom w:w="40" w:type="dxa"/>
              <w:right w:w="40" w:type="dxa"/>
            </w:tcMar>
            <w:vAlign w:val="center"/>
          </w:tcPr>
          <w:p w14:paraId="47EEFF5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6.448.633.796</w:t>
            </w:r>
          </w:p>
        </w:tc>
        <w:tc>
          <w:tcPr>
            <w:tcW w:w="1134" w:type="dxa"/>
            <w:shd w:val="clear" w:color="auto" w:fill="auto"/>
            <w:tcMar>
              <w:top w:w="40" w:type="dxa"/>
              <w:left w:w="40" w:type="dxa"/>
              <w:bottom w:w="40" w:type="dxa"/>
              <w:right w:w="40" w:type="dxa"/>
            </w:tcMar>
            <w:vAlign w:val="center"/>
          </w:tcPr>
          <w:p w14:paraId="36C68B2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7.512.971.413</w:t>
            </w:r>
          </w:p>
        </w:tc>
        <w:tc>
          <w:tcPr>
            <w:tcW w:w="1244" w:type="dxa"/>
            <w:shd w:val="clear" w:color="auto" w:fill="auto"/>
            <w:tcMar>
              <w:top w:w="40" w:type="dxa"/>
              <w:left w:w="40" w:type="dxa"/>
              <w:bottom w:w="40" w:type="dxa"/>
              <w:right w:w="40" w:type="dxa"/>
            </w:tcMar>
            <w:vAlign w:val="center"/>
          </w:tcPr>
          <w:p w14:paraId="79D5ACE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8.287.309.692</w:t>
            </w:r>
          </w:p>
        </w:tc>
        <w:tc>
          <w:tcPr>
            <w:tcW w:w="1215" w:type="dxa"/>
            <w:vMerge/>
            <w:shd w:val="clear" w:color="auto" w:fill="auto"/>
            <w:tcMar>
              <w:top w:w="100" w:type="dxa"/>
              <w:left w:w="100" w:type="dxa"/>
              <w:bottom w:w="100" w:type="dxa"/>
              <w:right w:w="100" w:type="dxa"/>
            </w:tcMar>
          </w:tcPr>
          <w:p w14:paraId="1558557F"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0C41EF2D" w14:textId="77777777" w:rsidTr="00D31D52">
        <w:trPr>
          <w:trHeight w:val="20"/>
          <w:jc w:val="center"/>
        </w:trPr>
        <w:tc>
          <w:tcPr>
            <w:tcW w:w="2694" w:type="dxa"/>
            <w:vMerge w:val="restart"/>
            <w:shd w:val="clear" w:color="auto" w:fill="auto"/>
            <w:tcMar>
              <w:top w:w="40" w:type="dxa"/>
              <w:left w:w="40" w:type="dxa"/>
              <w:bottom w:w="40" w:type="dxa"/>
              <w:right w:w="40" w:type="dxa"/>
            </w:tcMar>
            <w:vAlign w:val="center"/>
          </w:tcPr>
          <w:p w14:paraId="1154F005"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Reasentar 100 familias ubicadas en zonas de alto riesgo no mitigable a través de adquisición predial.</w:t>
            </w:r>
          </w:p>
        </w:tc>
        <w:tc>
          <w:tcPr>
            <w:tcW w:w="1134" w:type="dxa"/>
            <w:shd w:val="clear" w:color="auto" w:fill="auto"/>
            <w:tcMar>
              <w:top w:w="40" w:type="dxa"/>
              <w:left w:w="40" w:type="dxa"/>
              <w:bottom w:w="40" w:type="dxa"/>
              <w:right w:w="40" w:type="dxa"/>
            </w:tcMar>
            <w:vAlign w:val="center"/>
          </w:tcPr>
          <w:p w14:paraId="02889BCE"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w:t>
            </w:r>
          </w:p>
        </w:tc>
        <w:tc>
          <w:tcPr>
            <w:tcW w:w="1417" w:type="dxa"/>
            <w:shd w:val="clear" w:color="auto" w:fill="auto"/>
            <w:tcMar>
              <w:top w:w="40" w:type="dxa"/>
              <w:left w:w="40" w:type="dxa"/>
              <w:bottom w:w="40" w:type="dxa"/>
              <w:right w:w="40" w:type="dxa"/>
            </w:tcMar>
            <w:vAlign w:val="center"/>
          </w:tcPr>
          <w:p w14:paraId="4DCDD2D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25</w:t>
            </w:r>
          </w:p>
        </w:tc>
        <w:tc>
          <w:tcPr>
            <w:tcW w:w="1134" w:type="dxa"/>
            <w:shd w:val="clear" w:color="auto" w:fill="auto"/>
            <w:tcMar>
              <w:top w:w="40" w:type="dxa"/>
              <w:left w:w="40" w:type="dxa"/>
              <w:bottom w:w="40" w:type="dxa"/>
              <w:right w:w="40" w:type="dxa"/>
            </w:tcMar>
            <w:vAlign w:val="center"/>
          </w:tcPr>
          <w:p w14:paraId="6C1EC4B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30</w:t>
            </w:r>
          </w:p>
        </w:tc>
        <w:tc>
          <w:tcPr>
            <w:tcW w:w="1244" w:type="dxa"/>
            <w:shd w:val="clear" w:color="auto" w:fill="auto"/>
            <w:tcMar>
              <w:top w:w="40" w:type="dxa"/>
              <w:left w:w="40" w:type="dxa"/>
              <w:bottom w:w="40" w:type="dxa"/>
              <w:right w:w="40" w:type="dxa"/>
            </w:tcMar>
            <w:vAlign w:val="center"/>
          </w:tcPr>
          <w:p w14:paraId="736CC6C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42</w:t>
            </w:r>
          </w:p>
        </w:tc>
        <w:tc>
          <w:tcPr>
            <w:tcW w:w="1215" w:type="dxa"/>
            <w:vMerge w:val="restart"/>
            <w:shd w:val="clear" w:color="auto" w:fill="auto"/>
            <w:tcMar>
              <w:top w:w="40" w:type="dxa"/>
              <w:left w:w="40" w:type="dxa"/>
              <w:bottom w:w="40" w:type="dxa"/>
              <w:right w:w="40" w:type="dxa"/>
            </w:tcMar>
            <w:vAlign w:val="center"/>
          </w:tcPr>
          <w:p w14:paraId="2F132367"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26.303.810.888</w:t>
            </w:r>
          </w:p>
        </w:tc>
      </w:tr>
      <w:tr w:rsidR="00EF1D5F" w:rsidRPr="00E14E4A" w14:paraId="15EB06A7" w14:textId="77777777" w:rsidTr="00D31D52">
        <w:trPr>
          <w:trHeight w:val="20"/>
          <w:jc w:val="center"/>
        </w:trPr>
        <w:tc>
          <w:tcPr>
            <w:tcW w:w="2694" w:type="dxa"/>
            <w:vMerge/>
            <w:shd w:val="clear" w:color="auto" w:fill="auto"/>
            <w:tcMar>
              <w:top w:w="100" w:type="dxa"/>
              <w:left w:w="100" w:type="dxa"/>
              <w:bottom w:w="100" w:type="dxa"/>
              <w:right w:w="100" w:type="dxa"/>
            </w:tcMar>
          </w:tcPr>
          <w:p w14:paraId="5881532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auto"/>
            <w:tcMar>
              <w:top w:w="40" w:type="dxa"/>
              <w:left w:w="40" w:type="dxa"/>
              <w:bottom w:w="40" w:type="dxa"/>
              <w:right w:w="40" w:type="dxa"/>
            </w:tcMar>
            <w:vAlign w:val="center"/>
          </w:tcPr>
          <w:p w14:paraId="745F2B9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1.000.000.000</w:t>
            </w:r>
          </w:p>
        </w:tc>
        <w:tc>
          <w:tcPr>
            <w:tcW w:w="1417" w:type="dxa"/>
            <w:shd w:val="clear" w:color="auto" w:fill="auto"/>
            <w:tcMar>
              <w:top w:w="40" w:type="dxa"/>
              <w:left w:w="40" w:type="dxa"/>
              <w:bottom w:w="40" w:type="dxa"/>
              <w:right w:w="40" w:type="dxa"/>
            </w:tcMar>
            <w:vAlign w:val="center"/>
          </w:tcPr>
          <w:p w14:paraId="02195EA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6.789.447.328</w:t>
            </w:r>
          </w:p>
        </w:tc>
        <w:tc>
          <w:tcPr>
            <w:tcW w:w="1134" w:type="dxa"/>
            <w:shd w:val="clear" w:color="auto" w:fill="auto"/>
            <w:tcMar>
              <w:top w:w="40" w:type="dxa"/>
              <w:left w:w="40" w:type="dxa"/>
              <w:bottom w:w="40" w:type="dxa"/>
              <w:right w:w="40" w:type="dxa"/>
            </w:tcMar>
            <w:vAlign w:val="center"/>
          </w:tcPr>
          <w:p w14:paraId="2251427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7.910.035.722</w:t>
            </w:r>
          </w:p>
        </w:tc>
        <w:tc>
          <w:tcPr>
            <w:tcW w:w="1244" w:type="dxa"/>
            <w:shd w:val="clear" w:color="auto" w:fill="auto"/>
            <w:tcMar>
              <w:top w:w="40" w:type="dxa"/>
              <w:left w:w="40" w:type="dxa"/>
              <w:bottom w:w="40" w:type="dxa"/>
              <w:right w:w="40" w:type="dxa"/>
            </w:tcMar>
            <w:vAlign w:val="center"/>
          </w:tcPr>
          <w:p w14:paraId="226F1371"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10.604.327.839</w:t>
            </w:r>
          </w:p>
        </w:tc>
        <w:tc>
          <w:tcPr>
            <w:tcW w:w="1215" w:type="dxa"/>
            <w:vMerge/>
            <w:shd w:val="clear" w:color="auto" w:fill="auto"/>
            <w:tcMar>
              <w:top w:w="100" w:type="dxa"/>
              <w:left w:w="100" w:type="dxa"/>
              <w:bottom w:w="100" w:type="dxa"/>
              <w:right w:w="100" w:type="dxa"/>
            </w:tcMar>
          </w:tcPr>
          <w:p w14:paraId="1A49A27B"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4597B6C2" w14:textId="77777777" w:rsidTr="001E12CE">
        <w:trPr>
          <w:trHeight w:val="315"/>
          <w:jc w:val="center"/>
        </w:trPr>
        <w:tc>
          <w:tcPr>
            <w:tcW w:w="8838" w:type="dxa"/>
            <w:gridSpan w:val="6"/>
            <w:shd w:val="clear" w:color="auto" w:fill="C00000"/>
            <w:tcMar>
              <w:top w:w="40" w:type="dxa"/>
              <w:left w:w="40" w:type="dxa"/>
              <w:bottom w:w="40" w:type="dxa"/>
              <w:right w:w="40" w:type="dxa"/>
            </w:tcMar>
            <w:vAlign w:val="center"/>
          </w:tcPr>
          <w:p w14:paraId="746AF075" w14:textId="77777777" w:rsidR="00EF1D5F" w:rsidRPr="00E14E4A" w:rsidRDefault="00EF1D5F" w:rsidP="003D4AD9">
            <w:pPr>
              <w:widowControl w:val="0"/>
              <w:spacing w:line="276" w:lineRule="auto"/>
              <w:jc w:val="center"/>
              <w:rPr>
                <w:rFonts w:ascii="Arial" w:eastAsia="Arial" w:hAnsi="Arial" w:cs="Arial"/>
                <w:color w:val="FFFFFF" w:themeColor="background1"/>
                <w:sz w:val="16"/>
                <w:szCs w:val="16"/>
              </w:rPr>
            </w:pPr>
            <w:r w:rsidRPr="00E14E4A">
              <w:rPr>
                <w:b/>
                <w:color w:val="FFFFFF" w:themeColor="background1"/>
                <w:sz w:val="16"/>
                <w:szCs w:val="16"/>
              </w:rPr>
              <w:t>HÁBITAT</w:t>
            </w:r>
          </w:p>
        </w:tc>
      </w:tr>
      <w:tr w:rsidR="00EF1D5F" w:rsidRPr="00E14E4A" w14:paraId="145F5F69" w14:textId="77777777" w:rsidTr="00D31D52">
        <w:trPr>
          <w:trHeight w:val="20"/>
          <w:jc w:val="center"/>
        </w:trPr>
        <w:tc>
          <w:tcPr>
            <w:tcW w:w="2694" w:type="dxa"/>
            <w:vMerge w:val="restart"/>
            <w:shd w:val="clear" w:color="auto" w:fill="auto"/>
            <w:tcMar>
              <w:top w:w="40" w:type="dxa"/>
              <w:left w:w="40" w:type="dxa"/>
              <w:bottom w:w="40" w:type="dxa"/>
              <w:right w:w="40" w:type="dxa"/>
            </w:tcMar>
            <w:vAlign w:val="center"/>
          </w:tcPr>
          <w:p w14:paraId="684B0CDC"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Expedir 2.000 Actos de Reconocimiento y/o Licencias de construcción de viviendas de estratos 1 y 2 por parte de la Curaduría Pública Social</w:t>
            </w:r>
          </w:p>
        </w:tc>
        <w:tc>
          <w:tcPr>
            <w:tcW w:w="1134" w:type="dxa"/>
            <w:shd w:val="clear" w:color="auto" w:fill="auto"/>
            <w:tcMar>
              <w:top w:w="40" w:type="dxa"/>
              <w:left w:w="40" w:type="dxa"/>
              <w:bottom w:w="40" w:type="dxa"/>
              <w:right w:w="40" w:type="dxa"/>
            </w:tcMar>
            <w:vAlign w:val="center"/>
          </w:tcPr>
          <w:p w14:paraId="223952B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417" w:type="dxa"/>
            <w:shd w:val="clear" w:color="auto" w:fill="auto"/>
            <w:tcMar>
              <w:top w:w="40" w:type="dxa"/>
              <w:left w:w="40" w:type="dxa"/>
              <w:bottom w:w="40" w:type="dxa"/>
              <w:right w:w="40" w:type="dxa"/>
            </w:tcMar>
            <w:vAlign w:val="center"/>
          </w:tcPr>
          <w:p w14:paraId="0C2683C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800</w:t>
            </w:r>
          </w:p>
        </w:tc>
        <w:tc>
          <w:tcPr>
            <w:tcW w:w="1134" w:type="dxa"/>
            <w:shd w:val="clear" w:color="auto" w:fill="auto"/>
            <w:tcMar>
              <w:top w:w="40" w:type="dxa"/>
              <w:left w:w="40" w:type="dxa"/>
              <w:bottom w:w="40" w:type="dxa"/>
              <w:right w:w="40" w:type="dxa"/>
            </w:tcMar>
            <w:vAlign w:val="center"/>
          </w:tcPr>
          <w:p w14:paraId="3C995E14"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1.000</w:t>
            </w:r>
          </w:p>
        </w:tc>
        <w:tc>
          <w:tcPr>
            <w:tcW w:w="1244" w:type="dxa"/>
            <w:shd w:val="clear" w:color="auto" w:fill="auto"/>
            <w:tcMar>
              <w:top w:w="40" w:type="dxa"/>
              <w:left w:w="40" w:type="dxa"/>
              <w:bottom w:w="40" w:type="dxa"/>
              <w:right w:w="40" w:type="dxa"/>
            </w:tcMar>
            <w:vAlign w:val="center"/>
          </w:tcPr>
          <w:p w14:paraId="62BAEC5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100</w:t>
            </w:r>
          </w:p>
        </w:tc>
        <w:tc>
          <w:tcPr>
            <w:tcW w:w="1215" w:type="dxa"/>
            <w:vMerge w:val="restart"/>
            <w:shd w:val="clear" w:color="auto" w:fill="auto"/>
            <w:tcMar>
              <w:top w:w="40" w:type="dxa"/>
              <w:left w:w="40" w:type="dxa"/>
              <w:bottom w:w="40" w:type="dxa"/>
              <w:right w:w="40" w:type="dxa"/>
            </w:tcMar>
            <w:vAlign w:val="center"/>
          </w:tcPr>
          <w:p w14:paraId="380AE0D0"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15.718.860.088</w:t>
            </w:r>
          </w:p>
        </w:tc>
      </w:tr>
      <w:tr w:rsidR="00EF1D5F" w:rsidRPr="00E14E4A" w14:paraId="33A83E02" w14:textId="77777777" w:rsidTr="00D31D52">
        <w:trPr>
          <w:trHeight w:val="20"/>
          <w:jc w:val="center"/>
        </w:trPr>
        <w:tc>
          <w:tcPr>
            <w:tcW w:w="2694" w:type="dxa"/>
            <w:vMerge/>
            <w:shd w:val="clear" w:color="auto" w:fill="auto"/>
            <w:tcMar>
              <w:top w:w="100" w:type="dxa"/>
              <w:left w:w="100" w:type="dxa"/>
              <w:bottom w:w="100" w:type="dxa"/>
              <w:right w:w="100" w:type="dxa"/>
            </w:tcMar>
          </w:tcPr>
          <w:p w14:paraId="29DBFC70"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auto"/>
            <w:tcMar>
              <w:top w:w="40" w:type="dxa"/>
              <w:left w:w="40" w:type="dxa"/>
              <w:bottom w:w="40" w:type="dxa"/>
              <w:right w:w="40" w:type="dxa"/>
            </w:tcMar>
            <w:vAlign w:val="center"/>
          </w:tcPr>
          <w:p w14:paraId="77701E7D"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3.164.415.660</w:t>
            </w:r>
          </w:p>
        </w:tc>
        <w:tc>
          <w:tcPr>
            <w:tcW w:w="1417" w:type="dxa"/>
            <w:shd w:val="clear" w:color="auto" w:fill="auto"/>
            <w:tcMar>
              <w:top w:w="40" w:type="dxa"/>
              <w:left w:w="40" w:type="dxa"/>
              <w:bottom w:w="40" w:type="dxa"/>
              <w:right w:w="40" w:type="dxa"/>
            </w:tcMar>
            <w:vAlign w:val="center"/>
          </w:tcPr>
          <w:p w14:paraId="234E9E6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5.749.736.893</w:t>
            </w:r>
          </w:p>
        </w:tc>
        <w:tc>
          <w:tcPr>
            <w:tcW w:w="1134" w:type="dxa"/>
            <w:shd w:val="clear" w:color="auto" w:fill="auto"/>
            <w:tcMar>
              <w:top w:w="40" w:type="dxa"/>
              <w:left w:w="40" w:type="dxa"/>
              <w:bottom w:w="40" w:type="dxa"/>
              <w:right w:w="40" w:type="dxa"/>
            </w:tcMar>
            <w:vAlign w:val="center"/>
          </w:tcPr>
          <w:p w14:paraId="1A1F3B4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6.202.521.444</w:t>
            </w:r>
          </w:p>
        </w:tc>
        <w:tc>
          <w:tcPr>
            <w:tcW w:w="1244" w:type="dxa"/>
            <w:shd w:val="clear" w:color="auto" w:fill="auto"/>
            <w:tcMar>
              <w:top w:w="40" w:type="dxa"/>
              <w:left w:w="40" w:type="dxa"/>
              <w:bottom w:w="40" w:type="dxa"/>
              <w:right w:w="40" w:type="dxa"/>
            </w:tcMar>
            <w:vAlign w:val="center"/>
          </w:tcPr>
          <w:p w14:paraId="3B3190D8"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602.186.090</w:t>
            </w:r>
          </w:p>
        </w:tc>
        <w:tc>
          <w:tcPr>
            <w:tcW w:w="1215" w:type="dxa"/>
            <w:vMerge/>
            <w:shd w:val="clear" w:color="auto" w:fill="auto"/>
            <w:tcMar>
              <w:top w:w="100" w:type="dxa"/>
              <w:left w:w="100" w:type="dxa"/>
              <w:bottom w:w="100" w:type="dxa"/>
              <w:right w:w="100" w:type="dxa"/>
            </w:tcMar>
          </w:tcPr>
          <w:p w14:paraId="778E92F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r w:rsidR="00EF1D5F" w:rsidRPr="00E14E4A" w14:paraId="59AF9D66" w14:textId="77777777" w:rsidTr="00D31D52">
        <w:trPr>
          <w:trHeight w:val="20"/>
          <w:jc w:val="center"/>
        </w:trPr>
        <w:tc>
          <w:tcPr>
            <w:tcW w:w="2694" w:type="dxa"/>
            <w:vMerge w:val="restart"/>
            <w:shd w:val="clear" w:color="auto" w:fill="auto"/>
            <w:tcMar>
              <w:top w:w="40" w:type="dxa"/>
              <w:left w:w="40" w:type="dxa"/>
              <w:bottom w:w="40" w:type="dxa"/>
              <w:right w:w="40" w:type="dxa"/>
            </w:tcMar>
            <w:vAlign w:val="center"/>
          </w:tcPr>
          <w:p w14:paraId="585FA260" w14:textId="77777777" w:rsidR="00EF1D5F" w:rsidRPr="00E14E4A" w:rsidRDefault="00EF1D5F" w:rsidP="003D4AD9">
            <w:pPr>
              <w:widowControl w:val="0"/>
              <w:spacing w:line="276" w:lineRule="auto"/>
              <w:jc w:val="left"/>
              <w:rPr>
                <w:color w:val="000000"/>
                <w:sz w:val="16"/>
                <w:szCs w:val="16"/>
              </w:rPr>
            </w:pPr>
            <w:r w:rsidRPr="00E14E4A">
              <w:rPr>
                <w:color w:val="000000"/>
                <w:sz w:val="16"/>
                <w:szCs w:val="16"/>
              </w:rPr>
              <w:t>Reasentar 2.000 Hogares ubicados en zonas de alto riesgo no mitigable y/o las ordenadas mediante actos administrativos o sentencias judiciales</w:t>
            </w:r>
          </w:p>
        </w:tc>
        <w:tc>
          <w:tcPr>
            <w:tcW w:w="1134" w:type="dxa"/>
            <w:shd w:val="clear" w:color="auto" w:fill="auto"/>
            <w:tcMar>
              <w:top w:w="40" w:type="dxa"/>
              <w:left w:w="40" w:type="dxa"/>
              <w:bottom w:w="40" w:type="dxa"/>
              <w:right w:w="40" w:type="dxa"/>
            </w:tcMar>
            <w:vAlign w:val="center"/>
          </w:tcPr>
          <w:p w14:paraId="67E519EF"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202</w:t>
            </w:r>
          </w:p>
        </w:tc>
        <w:tc>
          <w:tcPr>
            <w:tcW w:w="1417" w:type="dxa"/>
            <w:shd w:val="clear" w:color="auto" w:fill="auto"/>
            <w:tcMar>
              <w:top w:w="40" w:type="dxa"/>
              <w:left w:w="40" w:type="dxa"/>
              <w:bottom w:w="40" w:type="dxa"/>
              <w:right w:w="40" w:type="dxa"/>
            </w:tcMar>
            <w:vAlign w:val="center"/>
          </w:tcPr>
          <w:p w14:paraId="5B20D697"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559</w:t>
            </w:r>
          </w:p>
        </w:tc>
        <w:tc>
          <w:tcPr>
            <w:tcW w:w="1134" w:type="dxa"/>
            <w:shd w:val="clear" w:color="auto" w:fill="auto"/>
            <w:tcMar>
              <w:top w:w="40" w:type="dxa"/>
              <w:left w:w="40" w:type="dxa"/>
              <w:bottom w:w="40" w:type="dxa"/>
              <w:right w:w="40" w:type="dxa"/>
            </w:tcMar>
            <w:vAlign w:val="center"/>
          </w:tcPr>
          <w:p w14:paraId="15D546D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572</w:t>
            </w:r>
          </w:p>
        </w:tc>
        <w:tc>
          <w:tcPr>
            <w:tcW w:w="1244" w:type="dxa"/>
            <w:shd w:val="clear" w:color="auto" w:fill="auto"/>
            <w:tcMar>
              <w:top w:w="40" w:type="dxa"/>
              <w:left w:w="40" w:type="dxa"/>
              <w:bottom w:w="40" w:type="dxa"/>
              <w:right w:w="40" w:type="dxa"/>
            </w:tcMar>
            <w:vAlign w:val="center"/>
          </w:tcPr>
          <w:p w14:paraId="320C1DE5"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667</w:t>
            </w:r>
          </w:p>
        </w:tc>
        <w:tc>
          <w:tcPr>
            <w:tcW w:w="1215" w:type="dxa"/>
            <w:vMerge w:val="restart"/>
            <w:shd w:val="clear" w:color="auto" w:fill="auto"/>
            <w:tcMar>
              <w:top w:w="40" w:type="dxa"/>
              <w:left w:w="40" w:type="dxa"/>
              <w:bottom w:w="40" w:type="dxa"/>
              <w:right w:w="40" w:type="dxa"/>
            </w:tcMar>
            <w:vAlign w:val="center"/>
          </w:tcPr>
          <w:p w14:paraId="15E3A7F8" w14:textId="77777777" w:rsidR="00EF1D5F" w:rsidRPr="00E14E4A" w:rsidRDefault="00EF1D5F" w:rsidP="003D4AD9">
            <w:pPr>
              <w:widowControl w:val="0"/>
              <w:spacing w:line="276" w:lineRule="auto"/>
              <w:jc w:val="center"/>
              <w:rPr>
                <w:b/>
                <w:color w:val="000000"/>
                <w:sz w:val="16"/>
                <w:szCs w:val="16"/>
              </w:rPr>
            </w:pPr>
            <w:r w:rsidRPr="00E14E4A">
              <w:rPr>
                <w:b/>
                <w:color w:val="000000"/>
                <w:sz w:val="16"/>
                <w:szCs w:val="16"/>
              </w:rPr>
              <w:t>97.243.474.400</w:t>
            </w:r>
          </w:p>
        </w:tc>
      </w:tr>
      <w:tr w:rsidR="00EF1D5F" w:rsidRPr="00E14E4A" w14:paraId="0E813802" w14:textId="77777777" w:rsidTr="00D31D52">
        <w:trPr>
          <w:trHeight w:val="450"/>
          <w:jc w:val="center"/>
        </w:trPr>
        <w:tc>
          <w:tcPr>
            <w:tcW w:w="2694" w:type="dxa"/>
            <w:vMerge/>
            <w:shd w:val="clear" w:color="auto" w:fill="auto"/>
            <w:tcMar>
              <w:top w:w="100" w:type="dxa"/>
              <w:left w:w="100" w:type="dxa"/>
              <w:bottom w:w="100" w:type="dxa"/>
              <w:right w:w="100" w:type="dxa"/>
            </w:tcMar>
          </w:tcPr>
          <w:p w14:paraId="413636C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c>
          <w:tcPr>
            <w:tcW w:w="1134" w:type="dxa"/>
            <w:shd w:val="clear" w:color="auto" w:fill="auto"/>
            <w:tcMar>
              <w:top w:w="40" w:type="dxa"/>
              <w:left w:w="40" w:type="dxa"/>
              <w:bottom w:w="40" w:type="dxa"/>
              <w:right w:w="40" w:type="dxa"/>
            </w:tcMar>
            <w:vAlign w:val="center"/>
          </w:tcPr>
          <w:p w14:paraId="57DF8F1C"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16.814.447.998</w:t>
            </w:r>
          </w:p>
        </w:tc>
        <w:tc>
          <w:tcPr>
            <w:tcW w:w="1417" w:type="dxa"/>
            <w:shd w:val="clear" w:color="auto" w:fill="auto"/>
            <w:tcMar>
              <w:top w:w="40" w:type="dxa"/>
              <w:left w:w="40" w:type="dxa"/>
              <w:bottom w:w="40" w:type="dxa"/>
              <w:right w:w="40" w:type="dxa"/>
            </w:tcMar>
            <w:vAlign w:val="center"/>
          </w:tcPr>
          <w:p w14:paraId="36820ED2"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23.827.106.304</w:t>
            </w:r>
          </w:p>
        </w:tc>
        <w:tc>
          <w:tcPr>
            <w:tcW w:w="1134" w:type="dxa"/>
            <w:shd w:val="clear" w:color="auto" w:fill="auto"/>
            <w:tcMar>
              <w:top w:w="40" w:type="dxa"/>
              <w:left w:w="40" w:type="dxa"/>
              <w:bottom w:w="40" w:type="dxa"/>
              <w:right w:w="40" w:type="dxa"/>
            </w:tcMar>
            <w:vAlign w:val="center"/>
          </w:tcPr>
          <w:p w14:paraId="367F6C7A"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24.885.036.433</w:t>
            </w:r>
          </w:p>
        </w:tc>
        <w:tc>
          <w:tcPr>
            <w:tcW w:w="1244" w:type="dxa"/>
            <w:shd w:val="clear" w:color="auto" w:fill="auto"/>
            <w:tcMar>
              <w:top w:w="40" w:type="dxa"/>
              <w:left w:w="40" w:type="dxa"/>
              <w:bottom w:w="40" w:type="dxa"/>
              <w:right w:w="40" w:type="dxa"/>
            </w:tcMar>
            <w:vAlign w:val="center"/>
          </w:tcPr>
          <w:p w14:paraId="51714429" w14:textId="77777777" w:rsidR="00EF1D5F" w:rsidRPr="00E14E4A" w:rsidRDefault="00EF1D5F" w:rsidP="003D4AD9">
            <w:pPr>
              <w:widowControl w:val="0"/>
              <w:spacing w:line="276" w:lineRule="auto"/>
              <w:jc w:val="center"/>
              <w:rPr>
                <w:rFonts w:ascii="Arial" w:eastAsia="Arial" w:hAnsi="Arial" w:cs="Arial"/>
                <w:color w:val="000000"/>
                <w:sz w:val="16"/>
                <w:szCs w:val="16"/>
              </w:rPr>
            </w:pPr>
            <w:r w:rsidRPr="00E14E4A">
              <w:rPr>
                <w:color w:val="000000"/>
                <w:sz w:val="16"/>
                <w:szCs w:val="16"/>
              </w:rPr>
              <w:t>31.716.883.665</w:t>
            </w:r>
          </w:p>
        </w:tc>
        <w:tc>
          <w:tcPr>
            <w:tcW w:w="1215" w:type="dxa"/>
            <w:vMerge/>
            <w:shd w:val="clear" w:color="auto" w:fill="auto"/>
            <w:tcMar>
              <w:top w:w="100" w:type="dxa"/>
              <w:left w:w="100" w:type="dxa"/>
              <w:bottom w:w="100" w:type="dxa"/>
              <w:right w:w="100" w:type="dxa"/>
            </w:tcMar>
          </w:tcPr>
          <w:p w14:paraId="0150A972" w14:textId="77777777" w:rsidR="00EF1D5F" w:rsidRPr="00E14E4A" w:rsidRDefault="00EF1D5F" w:rsidP="003D4AD9">
            <w:pPr>
              <w:widowControl w:val="0"/>
              <w:spacing w:line="276" w:lineRule="auto"/>
              <w:jc w:val="left"/>
              <w:rPr>
                <w:rFonts w:ascii="Arial" w:eastAsia="Arial" w:hAnsi="Arial" w:cs="Arial"/>
                <w:color w:val="000000"/>
                <w:sz w:val="16"/>
                <w:szCs w:val="16"/>
              </w:rPr>
            </w:pPr>
          </w:p>
        </w:tc>
      </w:tr>
    </w:tbl>
    <w:p w14:paraId="1DCB92FC" w14:textId="5A103EB5" w:rsidR="00EF1D5F" w:rsidRDefault="00EF1D5F" w:rsidP="008F470E">
      <w:pPr>
        <w:pStyle w:val="NIVEL4"/>
      </w:pPr>
      <w:bookmarkStart w:id="383" w:name="_heading=h.1h65qms" w:colFirst="0" w:colLast="0"/>
      <w:bookmarkStart w:id="384" w:name="_Toc165169793"/>
      <w:bookmarkEnd w:id="383"/>
      <w:r w:rsidRPr="00FF63F0">
        <w:rPr>
          <w:color w:val="C00000"/>
        </w:rPr>
        <w:lastRenderedPageBreak/>
        <w:t>Programa 28</w:t>
      </w:r>
      <w:r w:rsidR="00FF63F0">
        <w:rPr>
          <w:color w:val="C00000"/>
        </w:rPr>
        <w:t>:</w:t>
      </w:r>
      <w:r w:rsidRPr="00FF63F0">
        <w:rPr>
          <w:color w:val="C00000"/>
        </w:rPr>
        <w:t xml:space="preserve"> </w:t>
      </w:r>
      <w:r w:rsidRPr="00FF63F0">
        <w:t>Reducción de emisiones</w:t>
      </w:r>
      <w:r w:rsidR="00FF63F0">
        <w:t xml:space="preserve"> </w:t>
      </w:r>
      <w:r w:rsidRPr="0066225F">
        <w:t>y control del deterioro</w:t>
      </w:r>
      <w:r w:rsidR="0066225F">
        <w:t xml:space="preserve"> </w:t>
      </w:r>
      <w:r>
        <w:t>ambiental</w:t>
      </w:r>
      <w:bookmarkEnd w:id="384"/>
    </w:p>
    <w:p w14:paraId="25D29063" w14:textId="77777777" w:rsidR="00EF1D5F" w:rsidRDefault="00EF1D5F">
      <w:pPr>
        <w:rPr>
          <w:i/>
        </w:rPr>
      </w:pPr>
    </w:p>
    <w:p w14:paraId="19F9DA58" w14:textId="00C340D8" w:rsidR="00EF1D5F" w:rsidRPr="008F470E" w:rsidRDefault="00EF1D5F" w:rsidP="008F470E">
      <w:pPr>
        <w:keepNext/>
        <w:keepLines/>
        <w:pBdr>
          <w:top w:val="nil"/>
          <w:left w:val="nil"/>
          <w:bottom w:val="nil"/>
          <w:right w:val="nil"/>
          <w:between w:val="nil"/>
        </w:pBdr>
        <w:spacing w:line="340" w:lineRule="auto"/>
        <w:ind w:firstLine="708"/>
        <w:jc w:val="left"/>
        <w:rPr>
          <w:b/>
          <w:sz w:val="24"/>
        </w:rPr>
        <w:sectPr w:rsidR="00EF1D5F" w:rsidRPr="008F470E" w:rsidSect="00F7078E">
          <w:type w:val="continuous"/>
          <w:pgSz w:w="12240" w:h="15840"/>
          <w:pgMar w:top="2262" w:right="1440" w:bottom="1440" w:left="1440" w:header="708" w:footer="708" w:gutter="0"/>
          <w:cols w:space="720"/>
        </w:sectPr>
      </w:pPr>
      <w:r w:rsidRPr="008F470E">
        <w:rPr>
          <w:b/>
          <w:sz w:val="24"/>
        </w:rPr>
        <w:t>Diagnóstico</w:t>
      </w:r>
    </w:p>
    <w:p w14:paraId="213A142C" w14:textId="77777777" w:rsidR="00EF1D5F" w:rsidRDefault="00EF1D5F">
      <w:r>
        <w:t>Ante el evidente cambio climático, que como se ha visto afecta de manera integral a la ciudad, una de las principales acciones está en entender y tratar de controlar e incluso mitigar los factores que colaboran con este cambio, uno de estos, los gases efecto invernadero (GEI).</w:t>
      </w:r>
    </w:p>
    <w:p w14:paraId="4C24AA49" w14:textId="77777777" w:rsidR="00EF1D5F" w:rsidRDefault="00EF1D5F"/>
    <w:p w14:paraId="35A5853E" w14:textId="423DD549" w:rsidR="00EF1D5F" w:rsidRPr="008F470E" w:rsidRDefault="00EF1D5F">
      <w:r>
        <w:t>Con la serie histórica de estimaciones de GEI de 2010-2021, se observa que las principales emisiones en la ciudad provienen del transporte y de la energía estacionaria (</w:t>
      </w:r>
      <w:r w:rsidR="008F470E" w:rsidRPr="008F470E">
        <w:fldChar w:fldCharType="begin"/>
      </w:r>
      <w:r w:rsidR="008F470E" w:rsidRPr="008F470E">
        <w:instrText xml:space="preserve"> REF _Ref165145555 \h </w:instrText>
      </w:r>
      <w:r w:rsidR="008F470E" w:rsidRPr="008F470E">
        <w:fldChar w:fldCharType="separate"/>
      </w:r>
      <w:r w:rsidR="00D01651" w:rsidRPr="008F470E">
        <w:rPr>
          <w:color w:val="C00000"/>
          <w:sz w:val="18"/>
          <w:szCs w:val="18"/>
        </w:rPr>
        <w:t xml:space="preserve">Gráfica </w:t>
      </w:r>
      <w:r w:rsidR="00D01651">
        <w:rPr>
          <w:noProof/>
          <w:color w:val="C00000"/>
          <w:sz w:val="18"/>
        </w:rPr>
        <w:t>44</w:t>
      </w:r>
      <w:r w:rsidR="008F470E" w:rsidRPr="008F470E">
        <w:fldChar w:fldCharType="end"/>
      </w:r>
      <w:r w:rsidRPr="008F470E">
        <w:t xml:space="preserve">). Originadas </w:t>
      </w:r>
      <w:r w:rsidRPr="008F470E">
        <w:t>principalmente en la quema de combustibles fósiles en transporte, edificaciones e industria, energía estacionaria, generación de residuos líquidos y sólidos y cambio en los usos del suelo.</w:t>
      </w:r>
    </w:p>
    <w:p w14:paraId="29F56362" w14:textId="77777777" w:rsidR="00EF1D5F" w:rsidRPr="008F470E" w:rsidRDefault="00EF1D5F"/>
    <w:p w14:paraId="45F2617F" w14:textId="77777777" w:rsidR="00EF1D5F" w:rsidRPr="008F470E" w:rsidRDefault="00EF1D5F">
      <w:pPr>
        <w:sectPr w:rsidR="00EF1D5F" w:rsidRPr="008F470E" w:rsidSect="00F7078E">
          <w:type w:val="continuous"/>
          <w:pgSz w:w="12240" w:h="15840"/>
          <w:pgMar w:top="2262" w:right="1440" w:bottom="1440" w:left="1440" w:header="708" w:footer="708" w:gutter="0"/>
          <w:cols w:num="2" w:space="720" w:equalWidth="0">
            <w:col w:w="4396" w:space="567"/>
            <w:col w:w="4396" w:space="0"/>
          </w:cols>
        </w:sectPr>
      </w:pPr>
      <w:r w:rsidRPr="008F470E">
        <w:t>Si bien, estas emisiones han presentado una disminución durante la última década, su impacto sigue existiendo, contribuyendo así a la variabilidad climática, el aumento de las temperaturas y a la pérdida de la biodiversidad.</w:t>
      </w:r>
    </w:p>
    <w:p w14:paraId="7E931621" w14:textId="77777777" w:rsidR="00EF1D5F" w:rsidRPr="008F470E" w:rsidRDefault="00EF1D5F"/>
    <w:p w14:paraId="6BC4FDC0" w14:textId="77777777" w:rsidR="00EF1D5F" w:rsidRDefault="00EF1D5F"/>
    <w:p w14:paraId="7F47A210" w14:textId="2413636D" w:rsidR="00EF1D5F" w:rsidRPr="008F470E" w:rsidRDefault="008F470E" w:rsidP="008F470E">
      <w:pPr>
        <w:pStyle w:val="Descripcin"/>
        <w:jc w:val="center"/>
        <w:rPr>
          <w:sz w:val="18"/>
        </w:rPr>
      </w:pPr>
      <w:bookmarkStart w:id="385" w:name="_heading=h.415t9al" w:colFirst="0" w:colLast="0"/>
      <w:bookmarkStart w:id="386" w:name="_Ref165145555"/>
      <w:bookmarkStart w:id="387" w:name="_Toc165169870"/>
      <w:bookmarkEnd w:id="385"/>
      <w:r w:rsidRPr="008F470E">
        <w:rPr>
          <w:noProof/>
          <w:color w:val="C00000"/>
        </w:rPr>
        <w:drawing>
          <wp:anchor distT="0" distB="0" distL="114300" distR="114300" simplePos="0" relativeHeight="251774976" behindDoc="0" locked="0" layoutInCell="1" hidden="0" allowOverlap="1" wp14:anchorId="695F4B29" wp14:editId="4B66F33C">
            <wp:simplePos x="0" y="0"/>
            <wp:positionH relativeFrom="column">
              <wp:posOffset>127342</wp:posOffset>
            </wp:positionH>
            <wp:positionV relativeFrom="paragraph">
              <wp:posOffset>225083</wp:posOffset>
            </wp:positionV>
            <wp:extent cx="5486400" cy="2788285"/>
            <wp:effectExtent l="0" t="0" r="0" b="0"/>
            <wp:wrapSquare wrapText="bothSides" distT="0" distB="0" distL="114300" distR="114300"/>
            <wp:docPr id="213351599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2"/>
                    <a:srcRect t="5567" b="5567"/>
                    <a:stretch>
                      <a:fillRect/>
                    </a:stretch>
                  </pic:blipFill>
                  <pic:spPr>
                    <a:xfrm>
                      <a:off x="0" y="0"/>
                      <a:ext cx="5486400" cy="2788285"/>
                    </a:xfrm>
                    <a:prstGeom prst="rect">
                      <a:avLst/>
                    </a:prstGeom>
                    <a:ln/>
                  </pic:spPr>
                </pic:pic>
              </a:graphicData>
            </a:graphic>
          </wp:anchor>
        </w:drawing>
      </w:r>
      <w:r w:rsidRPr="008F470E">
        <w:rPr>
          <w:color w:val="C00000"/>
          <w:sz w:val="18"/>
        </w:rPr>
        <w:t xml:space="preserve">Gráfica </w:t>
      </w:r>
      <w:r w:rsidRPr="008F470E">
        <w:rPr>
          <w:color w:val="C00000"/>
          <w:sz w:val="18"/>
        </w:rPr>
        <w:fldChar w:fldCharType="begin"/>
      </w:r>
      <w:r w:rsidRPr="008F470E">
        <w:rPr>
          <w:color w:val="C00000"/>
          <w:sz w:val="18"/>
        </w:rPr>
        <w:instrText xml:space="preserve"> SEQ Gráfica \* ARABIC </w:instrText>
      </w:r>
      <w:r w:rsidRPr="008F470E">
        <w:rPr>
          <w:color w:val="C00000"/>
          <w:sz w:val="18"/>
        </w:rPr>
        <w:fldChar w:fldCharType="separate"/>
      </w:r>
      <w:r w:rsidR="00D01651">
        <w:rPr>
          <w:noProof/>
          <w:color w:val="C00000"/>
          <w:sz w:val="18"/>
        </w:rPr>
        <w:t>44</w:t>
      </w:r>
      <w:r w:rsidRPr="008F470E">
        <w:rPr>
          <w:color w:val="C00000"/>
          <w:sz w:val="18"/>
        </w:rPr>
        <w:fldChar w:fldCharType="end"/>
      </w:r>
      <w:bookmarkEnd w:id="386"/>
      <w:r w:rsidRPr="008F470E">
        <w:rPr>
          <w:color w:val="C00000"/>
          <w:sz w:val="18"/>
        </w:rPr>
        <w:t xml:space="preserve">. </w:t>
      </w:r>
      <w:r w:rsidRPr="008F470E">
        <w:rPr>
          <w:sz w:val="18"/>
        </w:rPr>
        <w:t>E</w:t>
      </w:r>
      <w:r w:rsidR="00EF1D5F" w:rsidRPr="008F470E">
        <w:rPr>
          <w:sz w:val="18"/>
        </w:rPr>
        <w:t>misiones de GEI (2010-2021)</w:t>
      </w:r>
      <w:bookmarkEnd w:id="387"/>
    </w:p>
    <w:p w14:paraId="7A212EA1" w14:textId="2825DF42"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Inventario de emisiones y absorciones de GEI, 2019, 2020 y 2021.</w:t>
      </w:r>
    </w:p>
    <w:p w14:paraId="6606C934" w14:textId="55844C18" w:rsidR="00EF1D5F" w:rsidRDefault="00EF1D5F">
      <w:pPr>
        <w:rPr>
          <w:color w:val="000000"/>
        </w:rPr>
      </w:pPr>
    </w:p>
    <w:p w14:paraId="2D61AD54" w14:textId="77777777" w:rsidR="00EF1D5F" w:rsidRDefault="00EF1D5F">
      <w:pPr>
        <w:rPr>
          <w:color w:val="000000"/>
        </w:rPr>
        <w:sectPr w:rsidR="00EF1D5F" w:rsidSect="00F7078E">
          <w:type w:val="continuous"/>
          <w:pgSz w:w="12240" w:h="15840"/>
          <w:pgMar w:top="2262" w:right="1440" w:bottom="1440" w:left="1440" w:header="708" w:footer="708" w:gutter="0"/>
          <w:cols w:space="720"/>
        </w:sectPr>
      </w:pPr>
    </w:p>
    <w:p w14:paraId="17433667" w14:textId="3B2D892C" w:rsidR="00EF1D5F" w:rsidRPr="00291CE3" w:rsidRDefault="00EF1D5F" w:rsidP="00291CE3">
      <w:pPr>
        <w:rPr>
          <w:spacing w:val="-8"/>
        </w:rPr>
        <w:sectPr w:rsidR="00EF1D5F" w:rsidRPr="00291CE3" w:rsidSect="00F7078E">
          <w:type w:val="continuous"/>
          <w:pgSz w:w="12240" w:h="15840"/>
          <w:pgMar w:top="2262" w:right="1440" w:bottom="1440" w:left="1440" w:header="708" w:footer="708" w:gutter="0"/>
          <w:cols w:num="2" w:space="567"/>
        </w:sectPr>
      </w:pPr>
      <w:r w:rsidRPr="00291CE3">
        <w:rPr>
          <w:spacing w:val="-8"/>
        </w:rPr>
        <w:t>Por otro lado, la contaminación del aire en Bogotá representa un importante riesgo para la salud, principalmente el material particulado PM 10 y PM 2</w:t>
      </w:r>
      <w:r w:rsidR="007A5FA8">
        <w:rPr>
          <w:spacing w:val="-8"/>
        </w:rPr>
        <w:t>.</w:t>
      </w:r>
      <w:r w:rsidRPr="00291CE3">
        <w:rPr>
          <w:spacing w:val="-8"/>
        </w:rPr>
        <w:t xml:space="preserve">5, asociado a enfermedades respiratorias, cardiovasculares y cáncer. A pesar de que, en los últimos ocho años, se observa una tendencia general a la reducción de las concentraciones, la ciudad está por </w:t>
      </w:r>
      <w:r w:rsidRPr="00291CE3">
        <w:rPr>
          <w:spacing w:val="-8"/>
        </w:rPr>
        <w:t>encima del nivel recomendado por la Organización Mundial de la Salud que es de 15</w:t>
      </w:r>
      <w:r w:rsidR="008F470E">
        <w:rPr>
          <w:spacing w:val="-8"/>
        </w:rPr>
        <w:t xml:space="preserve"> </w:t>
      </w:r>
      <w:r w:rsidRPr="00291CE3">
        <w:rPr>
          <w:spacing w:val="-8"/>
        </w:rPr>
        <w:t>µg/m</w:t>
      </w:r>
      <w:r w:rsidRPr="008F470E">
        <w:rPr>
          <w:spacing w:val="-8"/>
          <w:vertAlign w:val="superscript"/>
        </w:rPr>
        <w:t>3</w:t>
      </w:r>
      <w:r w:rsidRPr="00291CE3">
        <w:rPr>
          <w:spacing w:val="-8"/>
        </w:rPr>
        <w:t xml:space="preserve"> para PM 10 y 5</w:t>
      </w:r>
      <w:r w:rsidR="008F470E">
        <w:rPr>
          <w:spacing w:val="-8"/>
        </w:rPr>
        <w:t xml:space="preserve"> </w:t>
      </w:r>
      <w:r w:rsidRPr="00291CE3">
        <w:rPr>
          <w:spacing w:val="-8"/>
        </w:rPr>
        <w:t>µg</w:t>
      </w:r>
      <w:r w:rsidR="007A5FA8" w:rsidRPr="00291CE3">
        <w:rPr>
          <w:spacing w:val="-8"/>
        </w:rPr>
        <w:t>/m</w:t>
      </w:r>
      <w:r w:rsidR="007A5FA8" w:rsidRPr="008F470E">
        <w:rPr>
          <w:spacing w:val="-8"/>
          <w:vertAlign w:val="superscript"/>
        </w:rPr>
        <w:t>3</w:t>
      </w:r>
      <w:r w:rsidRPr="00291CE3">
        <w:rPr>
          <w:spacing w:val="-8"/>
        </w:rPr>
        <w:t xml:space="preserve"> para PM 2.5. Históricamente se presentan registros que exceden los límites normativos en varias de las estaciones de monitoreo principalmente en la estación de Carvajal-Sevillana (</w:t>
      </w:r>
      <w:r w:rsidR="00C7114C" w:rsidRPr="00C7114C">
        <w:rPr>
          <w:spacing w:val="-8"/>
        </w:rPr>
        <w:fldChar w:fldCharType="begin"/>
      </w:r>
      <w:r w:rsidR="00C7114C" w:rsidRPr="00C7114C">
        <w:rPr>
          <w:spacing w:val="-8"/>
        </w:rPr>
        <w:instrText xml:space="preserve"> REF _Ref165145821 \h </w:instrText>
      </w:r>
      <w:r w:rsidR="00C7114C" w:rsidRPr="00C7114C">
        <w:rPr>
          <w:spacing w:val="-8"/>
        </w:rPr>
      </w:r>
      <w:r w:rsidR="00C7114C" w:rsidRPr="00C7114C">
        <w:rPr>
          <w:spacing w:val="-8"/>
        </w:rPr>
        <w:fldChar w:fldCharType="separate"/>
      </w:r>
      <w:r w:rsidR="00D01651" w:rsidRPr="007A5FA8">
        <w:rPr>
          <w:color w:val="C00000"/>
          <w:sz w:val="18"/>
          <w:szCs w:val="18"/>
        </w:rPr>
        <w:t xml:space="preserve">Gráfica </w:t>
      </w:r>
      <w:r w:rsidR="00D01651">
        <w:rPr>
          <w:noProof/>
          <w:color w:val="C00000"/>
          <w:sz w:val="18"/>
        </w:rPr>
        <w:t>45</w:t>
      </w:r>
      <w:r w:rsidR="00C7114C" w:rsidRPr="00C7114C">
        <w:rPr>
          <w:spacing w:val="-8"/>
        </w:rPr>
        <w:fldChar w:fldCharType="end"/>
      </w:r>
      <w:r w:rsidR="00C7114C" w:rsidRPr="00C7114C">
        <w:rPr>
          <w:spacing w:val="-8"/>
        </w:rPr>
        <w:t xml:space="preserve">, </w:t>
      </w:r>
      <w:r w:rsidR="00C7114C" w:rsidRPr="00C7114C">
        <w:rPr>
          <w:spacing w:val="-8"/>
        </w:rPr>
        <w:fldChar w:fldCharType="begin"/>
      </w:r>
      <w:r w:rsidR="00C7114C" w:rsidRPr="00C7114C">
        <w:rPr>
          <w:spacing w:val="-8"/>
        </w:rPr>
        <w:instrText xml:space="preserve"> REF _Ref165145826 \h </w:instrText>
      </w:r>
      <w:r w:rsidR="00C7114C" w:rsidRPr="00C7114C">
        <w:rPr>
          <w:spacing w:val="-8"/>
        </w:rPr>
      </w:r>
      <w:r w:rsidR="00C7114C" w:rsidRPr="00C7114C">
        <w:rPr>
          <w:spacing w:val="-8"/>
        </w:rPr>
        <w:fldChar w:fldCharType="separate"/>
      </w:r>
      <w:r w:rsidR="00D01651" w:rsidRPr="007A5FA8">
        <w:rPr>
          <w:color w:val="C00000"/>
          <w:sz w:val="18"/>
          <w:szCs w:val="18"/>
        </w:rPr>
        <w:t xml:space="preserve">Gráfica </w:t>
      </w:r>
      <w:r w:rsidR="00D01651">
        <w:rPr>
          <w:noProof/>
          <w:color w:val="C00000"/>
          <w:sz w:val="18"/>
        </w:rPr>
        <w:t>46</w:t>
      </w:r>
      <w:r w:rsidR="00C7114C" w:rsidRPr="00C7114C">
        <w:rPr>
          <w:spacing w:val="-8"/>
        </w:rPr>
        <w:fldChar w:fldCharType="end"/>
      </w:r>
      <w:r w:rsidR="00C7114C" w:rsidRPr="00C7114C">
        <w:rPr>
          <w:spacing w:val="-8"/>
        </w:rPr>
        <w:t xml:space="preserve"> y </w:t>
      </w:r>
      <w:r w:rsidR="00C7114C" w:rsidRPr="00C7114C">
        <w:rPr>
          <w:spacing w:val="-8"/>
        </w:rPr>
        <w:fldChar w:fldCharType="begin"/>
      </w:r>
      <w:r w:rsidR="00C7114C" w:rsidRPr="00C7114C">
        <w:rPr>
          <w:spacing w:val="-8"/>
        </w:rPr>
        <w:instrText xml:space="preserve"> REF _Ref165145835 \h </w:instrText>
      </w:r>
      <w:r w:rsidR="00C7114C" w:rsidRPr="00C7114C">
        <w:rPr>
          <w:spacing w:val="-8"/>
        </w:rPr>
      </w:r>
      <w:r w:rsidR="00C7114C" w:rsidRPr="00C7114C">
        <w:rPr>
          <w:spacing w:val="-8"/>
        </w:rPr>
        <w:fldChar w:fldCharType="separate"/>
      </w:r>
      <w:r w:rsidR="00D01651" w:rsidRPr="007A5FA8">
        <w:rPr>
          <w:color w:val="C00000"/>
          <w:sz w:val="18"/>
          <w:szCs w:val="18"/>
        </w:rPr>
        <w:t xml:space="preserve">Mapa </w:t>
      </w:r>
      <w:r w:rsidR="00D01651">
        <w:rPr>
          <w:noProof/>
          <w:color w:val="C00000"/>
          <w:sz w:val="18"/>
        </w:rPr>
        <w:t>10</w:t>
      </w:r>
      <w:r w:rsidR="00C7114C" w:rsidRPr="00C7114C">
        <w:rPr>
          <w:spacing w:val="-8"/>
        </w:rPr>
        <w:fldChar w:fldCharType="end"/>
      </w:r>
      <w:r w:rsidRPr="00291CE3">
        <w:rPr>
          <w:spacing w:val="-8"/>
        </w:rPr>
        <w:t>).</w:t>
      </w:r>
    </w:p>
    <w:p w14:paraId="088ABA74" w14:textId="77777777" w:rsidR="00EF1D5F" w:rsidRDefault="00EF1D5F" w:rsidP="0066225F">
      <w:pPr>
        <w:pBdr>
          <w:top w:val="nil"/>
          <w:left w:val="nil"/>
          <w:bottom w:val="nil"/>
          <w:right w:val="nil"/>
          <w:between w:val="nil"/>
        </w:pBdr>
        <w:spacing w:line="220" w:lineRule="auto"/>
        <w:rPr>
          <w:b/>
          <w:color w:val="3B3838"/>
          <w:sz w:val="18"/>
          <w:szCs w:val="18"/>
        </w:rPr>
        <w:sectPr w:rsidR="00EF1D5F" w:rsidSect="00F7078E">
          <w:type w:val="continuous"/>
          <w:pgSz w:w="12240" w:h="15840"/>
          <w:pgMar w:top="2262" w:right="1440" w:bottom="1440" w:left="1440" w:header="708" w:footer="708" w:gutter="0"/>
          <w:cols w:space="720"/>
        </w:sectPr>
      </w:pPr>
    </w:p>
    <w:p w14:paraId="04B1F6A4" w14:textId="6A6879A3" w:rsidR="00EF1D5F" w:rsidRPr="007A5FA8" w:rsidRDefault="007A5FA8" w:rsidP="007A5FA8">
      <w:pPr>
        <w:pStyle w:val="Descripcin"/>
        <w:jc w:val="center"/>
        <w:rPr>
          <w:sz w:val="18"/>
        </w:rPr>
      </w:pPr>
      <w:bookmarkStart w:id="388" w:name="_Ref165145821"/>
      <w:bookmarkStart w:id="389" w:name="_Toc165169871"/>
      <w:r w:rsidRPr="007A5FA8">
        <w:rPr>
          <w:noProof/>
          <w:color w:val="C00000"/>
          <w:sz w:val="18"/>
        </w:rPr>
        <w:lastRenderedPageBreak/>
        <w:drawing>
          <wp:anchor distT="0" distB="0" distL="114300" distR="114300" simplePos="0" relativeHeight="251776000" behindDoc="0" locked="0" layoutInCell="1" hidden="0" allowOverlap="1" wp14:anchorId="500ACEEA" wp14:editId="53A3055A">
            <wp:simplePos x="0" y="0"/>
            <wp:positionH relativeFrom="margin">
              <wp:align>center</wp:align>
            </wp:positionH>
            <wp:positionV relativeFrom="paragraph">
              <wp:posOffset>210527</wp:posOffset>
            </wp:positionV>
            <wp:extent cx="4378325" cy="2299335"/>
            <wp:effectExtent l="0" t="0" r="0" b="0"/>
            <wp:wrapTopAndBottom distT="0" distB="0"/>
            <wp:docPr id="213351601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rotWithShape="1">
                    <a:blip r:embed="rId143"/>
                    <a:srcRect t="12778"/>
                    <a:stretch/>
                  </pic:blipFill>
                  <pic:spPr bwMode="auto">
                    <a:xfrm>
                      <a:off x="0" y="0"/>
                      <a:ext cx="4378325" cy="22993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A5FA8">
        <w:rPr>
          <w:color w:val="C00000"/>
          <w:sz w:val="18"/>
        </w:rPr>
        <w:t xml:space="preserve">Gráfica </w:t>
      </w:r>
      <w:r w:rsidRPr="007A5FA8">
        <w:rPr>
          <w:color w:val="C00000"/>
          <w:sz w:val="18"/>
        </w:rPr>
        <w:fldChar w:fldCharType="begin"/>
      </w:r>
      <w:r w:rsidRPr="007A5FA8">
        <w:rPr>
          <w:color w:val="C00000"/>
          <w:sz w:val="18"/>
        </w:rPr>
        <w:instrText xml:space="preserve"> SEQ Gráfica \* ARABIC </w:instrText>
      </w:r>
      <w:r w:rsidRPr="007A5FA8">
        <w:rPr>
          <w:color w:val="C00000"/>
          <w:sz w:val="18"/>
        </w:rPr>
        <w:fldChar w:fldCharType="separate"/>
      </w:r>
      <w:r w:rsidR="00D01651">
        <w:rPr>
          <w:noProof/>
          <w:color w:val="C00000"/>
          <w:sz w:val="18"/>
        </w:rPr>
        <w:t>45</w:t>
      </w:r>
      <w:r w:rsidRPr="007A5FA8">
        <w:rPr>
          <w:color w:val="C00000"/>
          <w:sz w:val="18"/>
        </w:rPr>
        <w:fldChar w:fldCharType="end"/>
      </w:r>
      <w:bookmarkEnd w:id="388"/>
      <w:r w:rsidRPr="007A5FA8">
        <w:rPr>
          <w:color w:val="C00000"/>
          <w:sz w:val="18"/>
        </w:rPr>
        <w:t xml:space="preserve">. </w:t>
      </w:r>
      <w:r w:rsidR="00EF1D5F" w:rsidRPr="007A5FA8">
        <w:rPr>
          <w:sz w:val="18"/>
        </w:rPr>
        <w:t>Promedio anual de ciudad PM 10 (µg/m</w:t>
      </w:r>
      <w:r w:rsidR="00EF1D5F" w:rsidRPr="007A5FA8">
        <w:rPr>
          <w:sz w:val="18"/>
          <w:vertAlign w:val="superscript"/>
        </w:rPr>
        <w:t>3</w:t>
      </w:r>
      <w:r w:rsidR="00EF1D5F" w:rsidRPr="007A5FA8">
        <w:rPr>
          <w:sz w:val="18"/>
        </w:rPr>
        <w:t>)</w:t>
      </w:r>
      <w:bookmarkEnd w:id="389"/>
    </w:p>
    <w:p w14:paraId="1C20C450" w14:textId="27F1E0B4" w:rsidR="0066225F" w:rsidRPr="007A5FA8" w:rsidRDefault="00EF1D5F" w:rsidP="007A5FA8">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Subdirección de Calidad del Aire, Auditiva y Visual, Secretaría Distrital de Ambiente.</w:t>
      </w:r>
    </w:p>
    <w:p w14:paraId="1EEC7C37" w14:textId="77777777" w:rsidR="0066225F" w:rsidRDefault="0066225F">
      <w:pPr>
        <w:pBdr>
          <w:top w:val="nil"/>
          <w:left w:val="nil"/>
          <w:bottom w:val="nil"/>
          <w:right w:val="nil"/>
          <w:between w:val="nil"/>
        </w:pBdr>
        <w:spacing w:line="220" w:lineRule="auto"/>
        <w:jc w:val="center"/>
        <w:rPr>
          <w:b/>
          <w:color w:val="3B3838"/>
          <w:sz w:val="18"/>
          <w:szCs w:val="18"/>
        </w:rPr>
      </w:pPr>
    </w:p>
    <w:p w14:paraId="708E251D" w14:textId="77777777" w:rsidR="0066225F" w:rsidRDefault="0066225F">
      <w:pPr>
        <w:pBdr>
          <w:top w:val="nil"/>
          <w:left w:val="nil"/>
          <w:bottom w:val="nil"/>
          <w:right w:val="nil"/>
          <w:between w:val="nil"/>
        </w:pBdr>
        <w:spacing w:line="220" w:lineRule="auto"/>
        <w:jc w:val="center"/>
        <w:rPr>
          <w:b/>
          <w:color w:val="3B3838"/>
          <w:sz w:val="18"/>
          <w:szCs w:val="18"/>
        </w:rPr>
      </w:pPr>
    </w:p>
    <w:p w14:paraId="6BE12CE3" w14:textId="77777777" w:rsidR="007A5FA8" w:rsidRDefault="007A5FA8">
      <w:pPr>
        <w:pBdr>
          <w:top w:val="nil"/>
          <w:left w:val="nil"/>
          <w:bottom w:val="nil"/>
          <w:right w:val="nil"/>
          <w:between w:val="nil"/>
        </w:pBdr>
        <w:spacing w:line="220" w:lineRule="auto"/>
        <w:jc w:val="center"/>
        <w:rPr>
          <w:b/>
          <w:color w:val="3B3838"/>
          <w:sz w:val="18"/>
          <w:szCs w:val="18"/>
        </w:rPr>
      </w:pPr>
    </w:p>
    <w:p w14:paraId="38181487" w14:textId="77777777" w:rsidR="007A5FA8" w:rsidRDefault="007A5FA8">
      <w:pPr>
        <w:pBdr>
          <w:top w:val="nil"/>
          <w:left w:val="nil"/>
          <w:bottom w:val="nil"/>
          <w:right w:val="nil"/>
          <w:between w:val="nil"/>
        </w:pBdr>
        <w:spacing w:line="220" w:lineRule="auto"/>
        <w:jc w:val="center"/>
        <w:rPr>
          <w:b/>
          <w:color w:val="3B3838"/>
          <w:sz w:val="18"/>
          <w:szCs w:val="18"/>
        </w:rPr>
      </w:pPr>
    </w:p>
    <w:p w14:paraId="471493CE" w14:textId="26B9BE52" w:rsidR="00EF1D5F" w:rsidRPr="007A5FA8" w:rsidRDefault="007A5FA8" w:rsidP="007A5FA8">
      <w:pPr>
        <w:pStyle w:val="Descripcin"/>
        <w:jc w:val="center"/>
        <w:rPr>
          <w:sz w:val="18"/>
        </w:rPr>
      </w:pPr>
      <w:bookmarkStart w:id="390" w:name="_Ref165145826"/>
      <w:bookmarkStart w:id="391" w:name="_Toc165169872"/>
      <w:r w:rsidRPr="007A5FA8">
        <w:rPr>
          <w:color w:val="C00000"/>
          <w:sz w:val="18"/>
        </w:rPr>
        <w:t xml:space="preserve">Gráfica </w:t>
      </w:r>
      <w:r w:rsidRPr="007A5FA8">
        <w:rPr>
          <w:color w:val="C00000"/>
          <w:sz w:val="18"/>
        </w:rPr>
        <w:fldChar w:fldCharType="begin"/>
      </w:r>
      <w:r w:rsidRPr="007A5FA8">
        <w:rPr>
          <w:color w:val="C00000"/>
          <w:sz w:val="18"/>
        </w:rPr>
        <w:instrText xml:space="preserve"> SEQ Gráfica \* ARABIC </w:instrText>
      </w:r>
      <w:r w:rsidRPr="007A5FA8">
        <w:rPr>
          <w:color w:val="C00000"/>
          <w:sz w:val="18"/>
        </w:rPr>
        <w:fldChar w:fldCharType="separate"/>
      </w:r>
      <w:r w:rsidR="00D01651">
        <w:rPr>
          <w:noProof/>
          <w:color w:val="C00000"/>
          <w:sz w:val="18"/>
        </w:rPr>
        <w:t>46</w:t>
      </w:r>
      <w:r w:rsidRPr="007A5FA8">
        <w:rPr>
          <w:color w:val="C00000"/>
          <w:sz w:val="18"/>
        </w:rPr>
        <w:fldChar w:fldCharType="end"/>
      </w:r>
      <w:bookmarkEnd w:id="390"/>
      <w:r w:rsidRPr="007A5FA8">
        <w:rPr>
          <w:color w:val="C00000"/>
          <w:sz w:val="18"/>
        </w:rPr>
        <w:t xml:space="preserve">. </w:t>
      </w:r>
      <w:r w:rsidR="00EF1D5F" w:rsidRPr="007A5FA8">
        <w:rPr>
          <w:sz w:val="18"/>
        </w:rPr>
        <w:t>Promedio anual de ciudad PM 2,5 (µg/m</w:t>
      </w:r>
      <w:r w:rsidR="00EF1D5F" w:rsidRPr="007A5FA8">
        <w:rPr>
          <w:sz w:val="18"/>
          <w:vertAlign w:val="superscript"/>
        </w:rPr>
        <w:t>3</w:t>
      </w:r>
      <w:r w:rsidR="00EF1D5F" w:rsidRPr="007A5FA8">
        <w:rPr>
          <w:sz w:val="18"/>
        </w:rPr>
        <w:t>)</w:t>
      </w:r>
      <w:bookmarkEnd w:id="391"/>
    </w:p>
    <w:p w14:paraId="7B7719D4" w14:textId="77777777" w:rsidR="00EF1D5F" w:rsidRDefault="00EF1D5F">
      <w:pPr>
        <w:rPr>
          <w:b/>
        </w:rPr>
      </w:pPr>
    </w:p>
    <w:p w14:paraId="2326CB9C" w14:textId="7505DD78" w:rsidR="00EF1D5F" w:rsidRDefault="007A5FA8">
      <w:pPr>
        <w:rPr>
          <w:b/>
        </w:rPr>
      </w:pPr>
      <w:r>
        <w:rPr>
          <w:noProof/>
        </w:rPr>
        <w:drawing>
          <wp:anchor distT="0" distB="0" distL="114300" distR="114300" simplePos="0" relativeHeight="251777024" behindDoc="0" locked="0" layoutInCell="1" hidden="0" allowOverlap="1" wp14:anchorId="1CEE95FD" wp14:editId="1866CC91">
            <wp:simplePos x="0" y="0"/>
            <wp:positionH relativeFrom="margin">
              <wp:align>center</wp:align>
            </wp:positionH>
            <wp:positionV relativeFrom="paragraph">
              <wp:posOffset>5128</wp:posOffset>
            </wp:positionV>
            <wp:extent cx="4805045" cy="2172970"/>
            <wp:effectExtent l="0" t="0" r="0" b="0"/>
            <wp:wrapNone/>
            <wp:docPr id="21335160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rotWithShape="1">
                    <a:blip r:embed="rId144"/>
                    <a:srcRect t="15761"/>
                    <a:stretch/>
                  </pic:blipFill>
                  <pic:spPr bwMode="auto">
                    <a:xfrm>
                      <a:off x="0" y="0"/>
                      <a:ext cx="4805045" cy="2172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5DE13C" w14:textId="77777777" w:rsidR="00EF1D5F" w:rsidRDefault="00EF1D5F">
      <w:pPr>
        <w:rPr>
          <w:b/>
        </w:rPr>
      </w:pPr>
    </w:p>
    <w:p w14:paraId="0696922B" w14:textId="77777777" w:rsidR="00EF1D5F" w:rsidRDefault="00EF1D5F">
      <w:pPr>
        <w:rPr>
          <w:b/>
        </w:rPr>
      </w:pPr>
    </w:p>
    <w:p w14:paraId="59722727" w14:textId="77777777" w:rsidR="00EF1D5F" w:rsidRDefault="00EF1D5F">
      <w:pPr>
        <w:rPr>
          <w:b/>
        </w:rPr>
      </w:pPr>
    </w:p>
    <w:p w14:paraId="0B54F177" w14:textId="77777777" w:rsidR="00EF1D5F" w:rsidRDefault="00EF1D5F">
      <w:pPr>
        <w:rPr>
          <w:b/>
        </w:rPr>
      </w:pPr>
    </w:p>
    <w:p w14:paraId="54C02417" w14:textId="77777777" w:rsidR="00EF1D5F" w:rsidRDefault="00EF1D5F">
      <w:pPr>
        <w:rPr>
          <w:b/>
        </w:rPr>
      </w:pPr>
    </w:p>
    <w:p w14:paraId="6A357998" w14:textId="77777777" w:rsidR="00EF1D5F" w:rsidRDefault="00EF1D5F">
      <w:pPr>
        <w:rPr>
          <w:b/>
        </w:rPr>
      </w:pPr>
    </w:p>
    <w:p w14:paraId="2086A3FF" w14:textId="77777777" w:rsidR="00EF1D5F" w:rsidRDefault="00EF1D5F">
      <w:pPr>
        <w:rPr>
          <w:b/>
        </w:rPr>
      </w:pPr>
    </w:p>
    <w:p w14:paraId="684E3710" w14:textId="77777777" w:rsidR="00EF1D5F" w:rsidRDefault="00EF1D5F">
      <w:pPr>
        <w:rPr>
          <w:b/>
        </w:rPr>
      </w:pPr>
    </w:p>
    <w:p w14:paraId="1BA36151" w14:textId="77777777" w:rsidR="00EF1D5F" w:rsidRDefault="00EF1D5F">
      <w:pPr>
        <w:rPr>
          <w:b/>
        </w:rPr>
      </w:pPr>
    </w:p>
    <w:p w14:paraId="65D9279B" w14:textId="77777777" w:rsidR="00EF1D5F" w:rsidRDefault="00EF1D5F">
      <w:pPr>
        <w:rPr>
          <w:b/>
        </w:rPr>
      </w:pPr>
    </w:p>
    <w:p w14:paraId="56D15493" w14:textId="77777777" w:rsidR="00EF1D5F" w:rsidRDefault="00EF1D5F">
      <w:pPr>
        <w:rPr>
          <w:color w:val="000000"/>
        </w:rPr>
      </w:pPr>
    </w:p>
    <w:p w14:paraId="37A6817D" w14:textId="77777777" w:rsidR="00EF1D5F" w:rsidRDefault="00EF1D5F" w:rsidP="002F5717">
      <w:pPr>
        <w:pBdr>
          <w:top w:val="nil"/>
          <w:left w:val="nil"/>
          <w:bottom w:val="nil"/>
          <w:right w:val="nil"/>
          <w:between w:val="nil"/>
        </w:pBdr>
        <w:spacing w:line="220" w:lineRule="auto"/>
        <w:jc w:val="center"/>
        <w:rPr>
          <w:b/>
          <w:color w:val="3B3838"/>
          <w:sz w:val="18"/>
          <w:szCs w:val="18"/>
        </w:rPr>
      </w:pPr>
    </w:p>
    <w:p w14:paraId="09C27C71" w14:textId="77777777" w:rsidR="00EF1D5F" w:rsidRDefault="00EF1D5F" w:rsidP="002F5717">
      <w:pPr>
        <w:pBdr>
          <w:top w:val="nil"/>
          <w:left w:val="nil"/>
          <w:bottom w:val="nil"/>
          <w:right w:val="nil"/>
          <w:between w:val="nil"/>
        </w:pBdr>
        <w:spacing w:line="220" w:lineRule="auto"/>
        <w:jc w:val="center"/>
        <w:rPr>
          <w:b/>
          <w:color w:val="3B3838"/>
          <w:sz w:val="18"/>
          <w:szCs w:val="18"/>
        </w:rPr>
      </w:pPr>
    </w:p>
    <w:p w14:paraId="052CC156" w14:textId="77777777" w:rsidR="00EF1D5F" w:rsidRPr="002F5717" w:rsidRDefault="00EF1D5F" w:rsidP="002F5717">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Subdirección de Calidad del Aire, Auditiva y Visual, Secretaría Distrital de Ambiente.</w:t>
      </w:r>
    </w:p>
    <w:p w14:paraId="78364F51" w14:textId="77777777" w:rsidR="0066225F" w:rsidRDefault="0066225F">
      <w:pPr>
        <w:pBdr>
          <w:top w:val="nil"/>
          <w:left w:val="nil"/>
          <w:bottom w:val="nil"/>
          <w:right w:val="nil"/>
          <w:between w:val="nil"/>
        </w:pBdr>
        <w:spacing w:line="220" w:lineRule="auto"/>
        <w:jc w:val="center"/>
        <w:rPr>
          <w:b/>
          <w:color w:val="3B3838"/>
          <w:sz w:val="18"/>
          <w:szCs w:val="18"/>
        </w:rPr>
      </w:pPr>
    </w:p>
    <w:p w14:paraId="19DD16C2" w14:textId="77777777" w:rsidR="0066225F" w:rsidRDefault="0066225F">
      <w:pPr>
        <w:pBdr>
          <w:top w:val="nil"/>
          <w:left w:val="nil"/>
          <w:bottom w:val="nil"/>
          <w:right w:val="nil"/>
          <w:between w:val="nil"/>
        </w:pBdr>
        <w:spacing w:line="220" w:lineRule="auto"/>
        <w:jc w:val="center"/>
        <w:rPr>
          <w:b/>
          <w:color w:val="3B3838"/>
          <w:sz w:val="18"/>
          <w:szCs w:val="18"/>
        </w:rPr>
      </w:pPr>
    </w:p>
    <w:p w14:paraId="211F3A68" w14:textId="77777777" w:rsidR="0066225F" w:rsidRDefault="0066225F">
      <w:pPr>
        <w:pBdr>
          <w:top w:val="nil"/>
          <w:left w:val="nil"/>
          <w:bottom w:val="nil"/>
          <w:right w:val="nil"/>
          <w:between w:val="nil"/>
        </w:pBdr>
        <w:spacing w:line="220" w:lineRule="auto"/>
        <w:jc w:val="center"/>
        <w:rPr>
          <w:b/>
          <w:color w:val="3B3838"/>
          <w:sz w:val="18"/>
          <w:szCs w:val="18"/>
        </w:rPr>
      </w:pPr>
    </w:p>
    <w:p w14:paraId="7E588FD3" w14:textId="77777777" w:rsidR="0066225F" w:rsidRDefault="0066225F">
      <w:pPr>
        <w:pBdr>
          <w:top w:val="nil"/>
          <w:left w:val="nil"/>
          <w:bottom w:val="nil"/>
          <w:right w:val="nil"/>
          <w:between w:val="nil"/>
        </w:pBdr>
        <w:spacing w:line="220" w:lineRule="auto"/>
        <w:jc w:val="center"/>
        <w:rPr>
          <w:b/>
          <w:color w:val="3B3838"/>
          <w:sz w:val="18"/>
          <w:szCs w:val="18"/>
        </w:rPr>
      </w:pPr>
    </w:p>
    <w:p w14:paraId="5E2F04AF" w14:textId="77777777" w:rsidR="0066225F" w:rsidRDefault="0066225F">
      <w:pPr>
        <w:pBdr>
          <w:top w:val="nil"/>
          <w:left w:val="nil"/>
          <w:bottom w:val="nil"/>
          <w:right w:val="nil"/>
          <w:between w:val="nil"/>
        </w:pBdr>
        <w:spacing w:line="220" w:lineRule="auto"/>
        <w:jc w:val="center"/>
        <w:rPr>
          <w:b/>
          <w:color w:val="3B3838"/>
          <w:sz w:val="18"/>
          <w:szCs w:val="18"/>
        </w:rPr>
      </w:pPr>
    </w:p>
    <w:p w14:paraId="6B3DD0D2" w14:textId="77777777" w:rsidR="0066225F" w:rsidRDefault="0066225F">
      <w:pPr>
        <w:pBdr>
          <w:top w:val="nil"/>
          <w:left w:val="nil"/>
          <w:bottom w:val="nil"/>
          <w:right w:val="nil"/>
          <w:between w:val="nil"/>
        </w:pBdr>
        <w:spacing w:line="220" w:lineRule="auto"/>
        <w:jc w:val="center"/>
        <w:rPr>
          <w:b/>
          <w:color w:val="3B3838"/>
          <w:sz w:val="18"/>
          <w:szCs w:val="18"/>
        </w:rPr>
      </w:pPr>
    </w:p>
    <w:p w14:paraId="1A8E772E" w14:textId="77777777" w:rsidR="0066225F" w:rsidRDefault="0066225F">
      <w:pPr>
        <w:pBdr>
          <w:top w:val="nil"/>
          <w:left w:val="nil"/>
          <w:bottom w:val="nil"/>
          <w:right w:val="nil"/>
          <w:between w:val="nil"/>
        </w:pBdr>
        <w:spacing w:line="220" w:lineRule="auto"/>
        <w:jc w:val="center"/>
        <w:rPr>
          <w:b/>
          <w:color w:val="3B3838"/>
          <w:sz w:val="18"/>
          <w:szCs w:val="18"/>
        </w:rPr>
      </w:pPr>
    </w:p>
    <w:p w14:paraId="2D052CC1" w14:textId="77777777" w:rsidR="0066225F" w:rsidRDefault="0066225F">
      <w:pPr>
        <w:pBdr>
          <w:top w:val="nil"/>
          <w:left w:val="nil"/>
          <w:bottom w:val="nil"/>
          <w:right w:val="nil"/>
          <w:between w:val="nil"/>
        </w:pBdr>
        <w:spacing w:line="220" w:lineRule="auto"/>
        <w:jc w:val="center"/>
        <w:rPr>
          <w:b/>
          <w:color w:val="3B3838"/>
          <w:sz w:val="18"/>
          <w:szCs w:val="18"/>
        </w:rPr>
      </w:pPr>
    </w:p>
    <w:p w14:paraId="153C7C94" w14:textId="4C8406F1" w:rsidR="0066225F" w:rsidRDefault="0066225F" w:rsidP="0066225F">
      <w:pPr>
        <w:pBdr>
          <w:top w:val="nil"/>
          <w:left w:val="nil"/>
          <w:bottom w:val="nil"/>
          <w:right w:val="nil"/>
          <w:between w:val="nil"/>
        </w:pBdr>
        <w:spacing w:line="220" w:lineRule="auto"/>
        <w:rPr>
          <w:b/>
          <w:color w:val="3B3838"/>
          <w:sz w:val="18"/>
          <w:szCs w:val="18"/>
        </w:rPr>
      </w:pPr>
    </w:p>
    <w:p w14:paraId="000B28D7" w14:textId="77777777" w:rsidR="0066225F" w:rsidRDefault="0066225F" w:rsidP="0066225F">
      <w:pPr>
        <w:pBdr>
          <w:top w:val="nil"/>
          <w:left w:val="nil"/>
          <w:bottom w:val="nil"/>
          <w:right w:val="nil"/>
          <w:between w:val="nil"/>
        </w:pBdr>
        <w:spacing w:line="220" w:lineRule="auto"/>
        <w:rPr>
          <w:b/>
          <w:color w:val="3B3838"/>
          <w:sz w:val="18"/>
          <w:szCs w:val="18"/>
        </w:rPr>
      </w:pPr>
    </w:p>
    <w:p w14:paraId="1C9A4A7E" w14:textId="77777777" w:rsidR="007A5FA8" w:rsidRDefault="007A5FA8">
      <w:pPr>
        <w:spacing w:line="240" w:lineRule="auto"/>
        <w:jc w:val="left"/>
        <w:rPr>
          <w:b/>
          <w:color w:val="3B3838"/>
          <w:sz w:val="18"/>
          <w:szCs w:val="18"/>
        </w:rPr>
      </w:pPr>
      <w:r>
        <w:rPr>
          <w:b/>
          <w:color w:val="3B3838"/>
          <w:sz w:val="18"/>
          <w:szCs w:val="18"/>
        </w:rPr>
        <w:br w:type="page"/>
      </w:r>
    </w:p>
    <w:p w14:paraId="2101C242" w14:textId="7E85541E" w:rsidR="00EF1D5F" w:rsidRPr="007A5FA8" w:rsidRDefault="007A5FA8" w:rsidP="007A5FA8">
      <w:pPr>
        <w:pStyle w:val="Descripcin"/>
        <w:jc w:val="center"/>
        <w:rPr>
          <w:sz w:val="18"/>
        </w:rPr>
      </w:pPr>
      <w:bookmarkStart w:id="392" w:name="_Ref165145835"/>
      <w:bookmarkStart w:id="393" w:name="_Toc165170034"/>
      <w:r w:rsidRPr="007A5FA8">
        <w:rPr>
          <w:color w:val="C00000"/>
          <w:sz w:val="18"/>
        </w:rPr>
        <w:lastRenderedPageBreak/>
        <w:t xml:space="preserve">Mapa </w:t>
      </w:r>
      <w:r w:rsidRPr="007A5FA8">
        <w:rPr>
          <w:color w:val="C00000"/>
          <w:sz w:val="18"/>
        </w:rPr>
        <w:fldChar w:fldCharType="begin"/>
      </w:r>
      <w:r w:rsidRPr="007A5FA8">
        <w:rPr>
          <w:color w:val="C00000"/>
          <w:sz w:val="18"/>
        </w:rPr>
        <w:instrText xml:space="preserve"> SEQ Mapa \* ARABIC </w:instrText>
      </w:r>
      <w:r w:rsidRPr="007A5FA8">
        <w:rPr>
          <w:color w:val="C00000"/>
          <w:sz w:val="18"/>
        </w:rPr>
        <w:fldChar w:fldCharType="separate"/>
      </w:r>
      <w:r w:rsidR="00D01651">
        <w:rPr>
          <w:noProof/>
          <w:color w:val="C00000"/>
          <w:sz w:val="18"/>
        </w:rPr>
        <w:t>10</w:t>
      </w:r>
      <w:r w:rsidRPr="007A5FA8">
        <w:rPr>
          <w:color w:val="C00000"/>
          <w:sz w:val="18"/>
        </w:rPr>
        <w:fldChar w:fldCharType="end"/>
      </w:r>
      <w:bookmarkEnd w:id="392"/>
      <w:r w:rsidRPr="007A5FA8">
        <w:rPr>
          <w:color w:val="C00000"/>
          <w:sz w:val="18"/>
        </w:rPr>
        <w:t>.</w:t>
      </w:r>
      <w:r w:rsidR="00EF1D5F" w:rsidRPr="007A5FA8">
        <w:rPr>
          <w:color w:val="C00000"/>
          <w:sz w:val="18"/>
        </w:rPr>
        <w:t xml:space="preserve"> </w:t>
      </w:r>
      <w:r w:rsidR="00EF1D5F" w:rsidRPr="007A5FA8">
        <w:rPr>
          <w:sz w:val="18"/>
        </w:rPr>
        <w:t>Concentración de PM 10</w:t>
      </w:r>
      <w:bookmarkEnd w:id="393"/>
    </w:p>
    <w:p w14:paraId="5B86126D" w14:textId="37F07F9D" w:rsidR="00EF1D5F" w:rsidRDefault="0066225F">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78048" behindDoc="0" locked="0" layoutInCell="1" hidden="0" allowOverlap="1" wp14:anchorId="0956C8A7" wp14:editId="24BD8D85">
            <wp:simplePos x="0" y="0"/>
            <wp:positionH relativeFrom="column">
              <wp:posOffset>-1270</wp:posOffset>
            </wp:positionH>
            <wp:positionV relativeFrom="paragraph">
              <wp:posOffset>92075</wp:posOffset>
            </wp:positionV>
            <wp:extent cx="5614035" cy="4327525"/>
            <wp:effectExtent l="0" t="0" r="0" b="3175"/>
            <wp:wrapNone/>
            <wp:docPr id="213351601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45"/>
                    <a:srcRect/>
                    <a:stretch>
                      <a:fillRect/>
                    </a:stretch>
                  </pic:blipFill>
                  <pic:spPr>
                    <a:xfrm>
                      <a:off x="0" y="0"/>
                      <a:ext cx="5614035" cy="4327525"/>
                    </a:xfrm>
                    <a:prstGeom prst="rect">
                      <a:avLst/>
                    </a:prstGeom>
                    <a:ln/>
                  </pic:spPr>
                </pic:pic>
              </a:graphicData>
            </a:graphic>
          </wp:anchor>
        </w:drawing>
      </w:r>
    </w:p>
    <w:p w14:paraId="417DBF22" w14:textId="34A9551E" w:rsidR="00EF1D5F" w:rsidRDefault="00EF1D5F">
      <w:pPr>
        <w:pBdr>
          <w:top w:val="nil"/>
          <w:left w:val="nil"/>
          <w:bottom w:val="nil"/>
          <w:right w:val="nil"/>
          <w:between w:val="nil"/>
        </w:pBdr>
        <w:spacing w:line="220" w:lineRule="auto"/>
        <w:jc w:val="center"/>
        <w:rPr>
          <w:color w:val="C00000"/>
          <w:sz w:val="18"/>
          <w:szCs w:val="18"/>
        </w:rPr>
      </w:pPr>
    </w:p>
    <w:p w14:paraId="101A4589" w14:textId="06EE20A6" w:rsidR="00EF1D5F" w:rsidRDefault="00EF1D5F">
      <w:pPr>
        <w:pBdr>
          <w:top w:val="nil"/>
          <w:left w:val="nil"/>
          <w:bottom w:val="nil"/>
          <w:right w:val="nil"/>
          <w:between w:val="nil"/>
        </w:pBdr>
        <w:spacing w:line="220" w:lineRule="auto"/>
        <w:jc w:val="center"/>
        <w:rPr>
          <w:color w:val="C00000"/>
          <w:sz w:val="18"/>
          <w:szCs w:val="18"/>
        </w:rPr>
      </w:pPr>
    </w:p>
    <w:p w14:paraId="5AEA4580" w14:textId="77777777" w:rsidR="00EF1D5F" w:rsidRDefault="00EF1D5F">
      <w:pPr>
        <w:pBdr>
          <w:top w:val="nil"/>
          <w:left w:val="nil"/>
          <w:bottom w:val="nil"/>
          <w:right w:val="nil"/>
          <w:between w:val="nil"/>
        </w:pBdr>
        <w:spacing w:line="220" w:lineRule="auto"/>
        <w:jc w:val="center"/>
        <w:rPr>
          <w:color w:val="C00000"/>
          <w:sz w:val="18"/>
          <w:szCs w:val="18"/>
        </w:rPr>
      </w:pPr>
    </w:p>
    <w:p w14:paraId="68792A32" w14:textId="77777777" w:rsidR="00EF1D5F" w:rsidRDefault="00EF1D5F">
      <w:pPr>
        <w:pBdr>
          <w:top w:val="nil"/>
          <w:left w:val="nil"/>
          <w:bottom w:val="nil"/>
          <w:right w:val="nil"/>
          <w:between w:val="nil"/>
        </w:pBdr>
        <w:spacing w:line="220" w:lineRule="auto"/>
        <w:jc w:val="center"/>
        <w:rPr>
          <w:color w:val="C00000"/>
          <w:sz w:val="18"/>
          <w:szCs w:val="18"/>
        </w:rPr>
      </w:pPr>
    </w:p>
    <w:p w14:paraId="0B54B32F" w14:textId="77777777" w:rsidR="00EF1D5F" w:rsidRDefault="00EF1D5F">
      <w:pPr>
        <w:pBdr>
          <w:top w:val="nil"/>
          <w:left w:val="nil"/>
          <w:bottom w:val="nil"/>
          <w:right w:val="nil"/>
          <w:between w:val="nil"/>
        </w:pBdr>
        <w:spacing w:line="220" w:lineRule="auto"/>
        <w:jc w:val="center"/>
        <w:rPr>
          <w:color w:val="C00000"/>
          <w:sz w:val="18"/>
          <w:szCs w:val="18"/>
        </w:rPr>
      </w:pPr>
    </w:p>
    <w:p w14:paraId="4B6ABE95" w14:textId="77777777" w:rsidR="00EF1D5F" w:rsidRDefault="00EF1D5F">
      <w:pPr>
        <w:pBdr>
          <w:top w:val="nil"/>
          <w:left w:val="nil"/>
          <w:bottom w:val="nil"/>
          <w:right w:val="nil"/>
          <w:between w:val="nil"/>
        </w:pBdr>
        <w:spacing w:line="220" w:lineRule="auto"/>
        <w:jc w:val="center"/>
        <w:rPr>
          <w:color w:val="C00000"/>
          <w:sz w:val="18"/>
          <w:szCs w:val="18"/>
        </w:rPr>
      </w:pPr>
    </w:p>
    <w:p w14:paraId="591E2FEC" w14:textId="4FAA1BF3" w:rsidR="00EF1D5F" w:rsidRDefault="00EF1D5F">
      <w:pPr>
        <w:pBdr>
          <w:top w:val="nil"/>
          <w:left w:val="nil"/>
          <w:bottom w:val="nil"/>
          <w:right w:val="nil"/>
          <w:between w:val="nil"/>
        </w:pBdr>
        <w:spacing w:line="220" w:lineRule="auto"/>
        <w:jc w:val="center"/>
        <w:rPr>
          <w:color w:val="C00000"/>
          <w:sz w:val="18"/>
          <w:szCs w:val="18"/>
        </w:rPr>
      </w:pPr>
    </w:p>
    <w:p w14:paraId="762149BF" w14:textId="77777777" w:rsidR="00EF1D5F" w:rsidRDefault="00EF1D5F">
      <w:pPr>
        <w:pBdr>
          <w:top w:val="nil"/>
          <w:left w:val="nil"/>
          <w:bottom w:val="nil"/>
          <w:right w:val="nil"/>
          <w:between w:val="nil"/>
        </w:pBdr>
        <w:spacing w:line="220" w:lineRule="auto"/>
        <w:jc w:val="center"/>
        <w:rPr>
          <w:color w:val="C00000"/>
          <w:sz w:val="18"/>
          <w:szCs w:val="18"/>
        </w:rPr>
      </w:pPr>
    </w:p>
    <w:p w14:paraId="76171C7E" w14:textId="77777777" w:rsidR="00EF1D5F" w:rsidRDefault="00EF1D5F">
      <w:pPr>
        <w:pBdr>
          <w:top w:val="nil"/>
          <w:left w:val="nil"/>
          <w:bottom w:val="nil"/>
          <w:right w:val="nil"/>
          <w:between w:val="nil"/>
        </w:pBdr>
        <w:spacing w:line="220" w:lineRule="auto"/>
        <w:jc w:val="center"/>
        <w:rPr>
          <w:color w:val="C00000"/>
          <w:sz w:val="18"/>
          <w:szCs w:val="18"/>
        </w:rPr>
      </w:pPr>
    </w:p>
    <w:p w14:paraId="6FAD1491" w14:textId="5D1CE0FF" w:rsidR="00EF1D5F" w:rsidRDefault="00EF1D5F">
      <w:pPr>
        <w:pBdr>
          <w:top w:val="nil"/>
          <w:left w:val="nil"/>
          <w:bottom w:val="nil"/>
          <w:right w:val="nil"/>
          <w:between w:val="nil"/>
        </w:pBdr>
        <w:spacing w:line="220" w:lineRule="auto"/>
        <w:jc w:val="center"/>
        <w:rPr>
          <w:color w:val="C00000"/>
          <w:sz w:val="18"/>
          <w:szCs w:val="18"/>
        </w:rPr>
      </w:pPr>
    </w:p>
    <w:p w14:paraId="5DFAF62F" w14:textId="77777777" w:rsidR="00EF1D5F" w:rsidRDefault="00EF1D5F">
      <w:pPr>
        <w:pBdr>
          <w:top w:val="nil"/>
          <w:left w:val="nil"/>
          <w:bottom w:val="nil"/>
          <w:right w:val="nil"/>
          <w:between w:val="nil"/>
        </w:pBdr>
        <w:spacing w:line="220" w:lineRule="auto"/>
        <w:jc w:val="center"/>
        <w:rPr>
          <w:color w:val="C00000"/>
          <w:sz w:val="18"/>
          <w:szCs w:val="18"/>
        </w:rPr>
      </w:pPr>
    </w:p>
    <w:p w14:paraId="7FC35E7C" w14:textId="77777777" w:rsidR="00EF1D5F" w:rsidRDefault="00EF1D5F">
      <w:pPr>
        <w:pBdr>
          <w:top w:val="nil"/>
          <w:left w:val="nil"/>
          <w:bottom w:val="nil"/>
          <w:right w:val="nil"/>
          <w:between w:val="nil"/>
        </w:pBdr>
        <w:spacing w:line="220" w:lineRule="auto"/>
        <w:jc w:val="center"/>
        <w:rPr>
          <w:color w:val="C00000"/>
          <w:sz w:val="18"/>
          <w:szCs w:val="18"/>
        </w:rPr>
      </w:pPr>
    </w:p>
    <w:p w14:paraId="050CAD17" w14:textId="77777777" w:rsidR="00EF1D5F" w:rsidRDefault="00EF1D5F">
      <w:pPr>
        <w:pBdr>
          <w:top w:val="nil"/>
          <w:left w:val="nil"/>
          <w:bottom w:val="nil"/>
          <w:right w:val="nil"/>
          <w:between w:val="nil"/>
        </w:pBdr>
        <w:spacing w:line="220" w:lineRule="auto"/>
        <w:jc w:val="center"/>
        <w:rPr>
          <w:color w:val="C00000"/>
          <w:sz w:val="18"/>
          <w:szCs w:val="18"/>
        </w:rPr>
      </w:pPr>
    </w:p>
    <w:p w14:paraId="52591083" w14:textId="77777777" w:rsidR="00EF1D5F" w:rsidRDefault="00EF1D5F">
      <w:pPr>
        <w:pBdr>
          <w:top w:val="nil"/>
          <w:left w:val="nil"/>
          <w:bottom w:val="nil"/>
          <w:right w:val="nil"/>
          <w:between w:val="nil"/>
        </w:pBdr>
        <w:spacing w:line="220" w:lineRule="auto"/>
        <w:jc w:val="center"/>
        <w:rPr>
          <w:color w:val="C00000"/>
          <w:sz w:val="18"/>
          <w:szCs w:val="18"/>
        </w:rPr>
      </w:pPr>
    </w:p>
    <w:p w14:paraId="3DDB6488" w14:textId="77777777" w:rsidR="00EF1D5F" w:rsidRDefault="00EF1D5F">
      <w:pPr>
        <w:pBdr>
          <w:top w:val="nil"/>
          <w:left w:val="nil"/>
          <w:bottom w:val="nil"/>
          <w:right w:val="nil"/>
          <w:between w:val="nil"/>
        </w:pBdr>
        <w:spacing w:line="220" w:lineRule="auto"/>
        <w:jc w:val="center"/>
        <w:rPr>
          <w:color w:val="C00000"/>
          <w:sz w:val="18"/>
          <w:szCs w:val="18"/>
        </w:rPr>
      </w:pPr>
    </w:p>
    <w:p w14:paraId="24AC8150" w14:textId="77777777" w:rsidR="00EF1D5F" w:rsidRDefault="00EF1D5F">
      <w:pPr>
        <w:pBdr>
          <w:top w:val="nil"/>
          <w:left w:val="nil"/>
          <w:bottom w:val="nil"/>
          <w:right w:val="nil"/>
          <w:between w:val="nil"/>
        </w:pBdr>
        <w:spacing w:line="220" w:lineRule="auto"/>
        <w:jc w:val="center"/>
        <w:rPr>
          <w:color w:val="C00000"/>
          <w:sz w:val="18"/>
          <w:szCs w:val="18"/>
        </w:rPr>
      </w:pPr>
    </w:p>
    <w:p w14:paraId="08E98D9E" w14:textId="77777777" w:rsidR="00EF1D5F" w:rsidRDefault="00EF1D5F">
      <w:pPr>
        <w:pBdr>
          <w:top w:val="nil"/>
          <w:left w:val="nil"/>
          <w:bottom w:val="nil"/>
          <w:right w:val="nil"/>
          <w:between w:val="nil"/>
        </w:pBdr>
        <w:spacing w:line="220" w:lineRule="auto"/>
        <w:jc w:val="center"/>
        <w:rPr>
          <w:color w:val="C00000"/>
          <w:sz w:val="18"/>
          <w:szCs w:val="18"/>
        </w:rPr>
      </w:pPr>
    </w:p>
    <w:p w14:paraId="02EA98AE" w14:textId="77777777" w:rsidR="00EF1D5F" w:rsidRDefault="00EF1D5F">
      <w:pPr>
        <w:pBdr>
          <w:top w:val="nil"/>
          <w:left w:val="nil"/>
          <w:bottom w:val="nil"/>
          <w:right w:val="nil"/>
          <w:between w:val="nil"/>
        </w:pBdr>
        <w:spacing w:line="220" w:lineRule="auto"/>
        <w:jc w:val="center"/>
        <w:rPr>
          <w:color w:val="C00000"/>
          <w:sz w:val="18"/>
          <w:szCs w:val="18"/>
        </w:rPr>
      </w:pPr>
    </w:p>
    <w:p w14:paraId="7CEFFA1D" w14:textId="77777777" w:rsidR="00EF1D5F" w:rsidRDefault="00EF1D5F">
      <w:pPr>
        <w:pBdr>
          <w:top w:val="nil"/>
          <w:left w:val="nil"/>
          <w:bottom w:val="nil"/>
          <w:right w:val="nil"/>
          <w:between w:val="nil"/>
        </w:pBdr>
        <w:spacing w:line="220" w:lineRule="auto"/>
        <w:jc w:val="center"/>
        <w:rPr>
          <w:color w:val="C00000"/>
          <w:sz w:val="18"/>
          <w:szCs w:val="18"/>
        </w:rPr>
      </w:pPr>
    </w:p>
    <w:p w14:paraId="1D5B1F81" w14:textId="77777777" w:rsidR="00EF1D5F" w:rsidRDefault="00EF1D5F">
      <w:pPr>
        <w:pBdr>
          <w:top w:val="nil"/>
          <w:left w:val="nil"/>
          <w:bottom w:val="nil"/>
          <w:right w:val="nil"/>
          <w:between w:val="nil"/>
        </w:pBdr>
        <w:spacing w:line="220" w:lineRule="auto"/>
        <w:jc w:val="center"/>
        <w:rPr>
          <w:color w:val="C00000"/>
          <w:sz w:val="18"/>
          <w:szCs w:val="18"/>
        </w:rPr>
      </w:pPr>
    </w:p>
    <w:p w14:paraId="4BD450BC" w14:textId="77777777" w:rsidR="00EF1D5F" w:rsidRDefault="00EF1D5F">
      <w:pPr>
        <w:pBdr>
          <w:top w:val="nil"/>
          <w:left w:val="nil"/>
          <w:bottom w:val="nil"/>
          <w:right w:val="nil"/>
          <w:between w:val="nil"/>
        </w:pBdr>
        <w:spacing w:line="220" w:lineRule="auto"/>
        <w:jc w:val="center"/>
        <w:rPr>
          <w:color w:val="C00000"/>
          <w:sz w:val="18"/>
          <w:szCs w:val="18"/>
        </w:rPr>
      </w:pPr>
    </w:p>
    <w:p w14:paraId="2B2A10F8" w14:textId="77777777" w:rsidR="00EF1D5F" w:rsidRDefault="00EF1D5F">
      <w:pPr>
        <w:pBdr>
          <w:top w:val="nil"/>
          <w:left w:val="nil"/>
          <w:bottom w:val="nil"/>
          <w:right w:val="nil"/>
          <w:between w:val="nil"/>
        </w:pBdr>
        <w:spacing w:line="220" w:lineRule="auto"/>
        <w:jc w:val="center"/>
        <w:rPr>
          <w:color w:val="C00000"/>
          <w:sz w:val="18"/>
          <w:szCs w:val="18"/>
        </w:rPr>
      </w:pPr>
    </w:p>
    <w:p w14:paraId="07D9B750" w14:textId="77777777" w:rsidR="00EF1D5F" w:rsidRDefault="00EF1D5F">
      <w:pPr>
        <w:pBdr>
          <w:top w:val="nil"/>
          <w:left w:val="nil"/>
          <w:bottom w:val="nil"/>
          <w:right w:val="nil"/>
          <w:between w:val="nil"/>
        </w:pBdr>
        <w:spacing w:line="220" w:lineRule="auto"/>
        <w:jc w:val="center"/>
        <w:rPr>
          <w:color w:val="C00000"/>
          <w:sz w:val="18"/>
          <w:szCs w:val="18"/>
        </w:rPr>
      </w:pPr>
    </w:p>
    <w:p w14:paraId="465A3AE6" w14:textId="77777777" w:rsidR="00EF1D5F" w:rsidRDefault="00EF1D5F">
      <w:pPr>
        <w:pBdr>
          <w:top w:val="nil"/>
          <w:left w:val="nil"/>
          <w:bottom w:val="nil"/>
          <w:right w:val="nil"/>
          <w:between w:val="nil"/>
        </w:pBdr>
        <w:spacing w:line="220" w:lineRule="auto"/>
        <w:jc w:val="center"/>
        <w:rPr>
          <w:color w:val="C00000"/>
          <w:sz w:val="18"/>
          <w:szCs w:val="18"/>
        </w:rPr>
      </w:pPr>
    </w:p>
    <w:p w14:paraId="0E92644C" w14:textId="77777777" w:rsidR="00EF1D5F" w:rsidRDefault="00EF1D5F">
      <w:pPr>
        <w:pBdr>
          <w:top w:val="nil"/>
          <w:left w:val="nil"/>
          <w:bottom w:val="nil"/>
          <w:right w:val="nil"/>
          <w:between w:val="nil"/>
        </w:pBdr>
        <w:spacing w:line="220" w:lineRule="auto"/>
        <w:jc w:val="center"/>
        <w:rPr>
          <w:color w:val="C00000"/>
          <w:sz w:val="18"/>
          <w:szCs w:val="18"/>
        </w:rPr>
      </w:pPr>
    </w:p>
    <w:p w14:paraId="211E69D0" w14:textId="77777777" w:rsidR="00EF1D5F" w:rsidRDefault="00EF1D5F">
      <w:pPr>
        <w:pBdr>
          <w:top w:val="nil"/>
          <w:left w:val="nil"/>
          <w:bottom w:val="nil"/>
          <w:right w:val="nil"/>
          <w:between w:val="nil"/>
        </w:pBdr>
        <w:spacing w:line="220" w:lineRule="auto"/>
        <w:jc w:val="center"/>
        <w:rPr>
          <w:color w:val="C00000"/>
          <w:sz w:val="18"/>
          <w:szCs w:val="18"/>
        </w:rPr>
      </w:pPr>
    </w:p>
    <w:p w14:paraId="26CE1EDD" w14:textId="77777777" w:rsidR="00EF1D5F" w:rsidRDefault="00EF1D5F">
      <w:pPr>
        <w:pBdr>
          <w:top w:val="nil"/>
          <w:left w:val="nil"/>
          <w:bottom w:val="nil"/>
          <w:right w:val="nil"/>
          <w:between w:val="nil"/>
        </w:pBdr>
        <w:spacing w:line="220" w:lineRule="auto"/>
        <w:jc w:val="center"/>
        <w:rPr>
          <w:color w:val="C00000"/>
          <w:sz w:val="18"/>
          <w:szCs w:val="18"/>
        </w:rPr>
      </w:pPr>
    </w:p>
    <w:p w14:paraId="4C82D701" w14:textId="77777777" w:rsidR="00EF1D5F" w:rsidRDefault="00EF1D5F">
      <w:pPr>
        <w:pBdr>
          <w:top w:val="nil"/>
          <w:left w:val="nil"/>
          <w:bottom w:val="nil"/>
          <w:right w:val="nil"/>
          <w:between w:val="nil"/>
        </w:pBdr>
        <w:spacing w:line="220" w:lineRule="auto"/>
        <w:jc w:val="center"/>
        <w:rPr>
          <w:color w:val="C00000"/>
          <w:sz w:val="18"/>
          <w:szCs w:val="18"/>
        </w:rPr>
      </w:pPr>
    </w:p>
    <w:p w14:paraId="527F2F95" w14:textId="77777777" w:rsidR="00EF1D5F" w:rsidRDefault="00EF1D5F">
      <w:pPr>
        <w:pBdr>
          <w:top w:val="nil"/>
          <w:left w:val="nil"/>
          <w:bottom w:val="nil"/>
          <w:right w:val="nil"/>
          <w:between w:val="nil"/>
        </w:pBdr>
        <w:spacing w:line="220" w:lineRule="auto"/>
        <w:jc w:val="center"/>
        <w:rPr>
          <w:color w:val="C00000"/>
          <w:sz w:val="18"/>
          <w:szCs w:val="18"/>
        </w:rPr>
      </w:pPr>
    </w:p>
    <w:p w14:paraId="74514862" w14:textId="77777777" w:rsidR="00EF1D5F" w:rsidRDefault="00EF1D5F">
      <w:pPr>
        <w:pBdr>
          <w:top w:val="nil"/>
          <w:left w:val="nil"/>
          <w:bottom w:val="nil"/>
          <w:right w:val="nil"/>
          <w:between w:val="nil"/>
        </w:pBdr>
        <w:spacing w:line="220" w:lineRule="auto"/>
        <w:jc w:val="center"/>
        <w:rPr>
          <w:color w:val="C00000"/>
          <w:sz w:val="18"/>
          <w:szCs w:val="18"/>
        </w:rPr>
      </w:pPr>
    </w:p>
    <w:p w14:paraId="6D52CEF6" w14:textId="77777777" w:rsidR="00EF1D5F" w:rsidRDefault="00EF1D5F">
      <w:pPr>
        <w:pBdr>
          <w:top w:val="nil"/>
          <w:left w:val="nil"/>
          <w:bottom w:val="nil"/>
          <w:right w:val="nil"/>
          <w:between w:val="nil"/>
        </w:pBdr>
        <w:spacing w:line="220" w:lineRule="auto"/>
        <w:jc w:val="center"/>
        <w:rPr>
          <w:color w:val="C00000"/>
          <w:sz w:val="18"/>
          <w:szCs w:val="18"/>
        </w:rPr>
      </w:pPr>
    </w:p>
    <w:p w14:paraId="1CDA9AD8" w14:textId="77777777" w:rsidR="00EF1D5F" w:rsidRDefault="00EF1D5F">
      <w:pPr>
        <w:pBdr>
          <w:top w:val="nil"/>
          <w:left w:val="nil"/>
          <w:bottom w:val="nil"/>
          <w:right w:val="nil"/>
          <w:between w:val="nil"/>
        </w:pBdr>
        <w:spacing w:line="220" w:lineRule="auto"/>
        <w:jc w:val="center"/>
        <w:rPr>
          <w:color w:val="C00000"/>
          <w:sz w:val="18"/>
          <w:szCs w:val="18"/>
        </w:rPr>
      </w:pPr>
    </w:p>
    <w:p w14:paraId="09732478" w14:textId="77777777" w:rsidR="00EF1D5F" w:rsidRDefault="00EF1D5F">
      <w:pPr>
        <w:pBdr>
          <w:top w:val="nil"/>
          <w:left w:val="nil"/>
          <w:bottom w:val="nil"/>
          <w:right w:val="nil"/>
          <w:between w:val="nil"/>
        </w:pBdr>
        <w:spacing w:line="220" w:lineRule="auto"/>
        <w:jc w:val="center"/>
        <w:rPr>
          <w:color w:val="C00000"/>
          <w:sz w:val="18"/>
          <w:szCs w:val="18"/>
        </w:rPr>
      </w:pPr>
    </w:p>
    <w:p w14:paraId="214AB476" w14:textId="77777777" w:rsidR="00EF1D5F" w:rsidRDefault="00EF1D5F">
      <w:pPr>
        <w:pBdr>
          <w:top w:val="nil"/>
          <w:left w:val="nil"/>
          <w:bottom w:val="nil"/>
          <w:right w:val="nil"/>
          <w:between w:val="nil"/>
        </w:pBdr>
        <w:spacing w:line="220" w:lineRule="auto"/>
        <w:jc w:val="center"/>
        <w:rPr>
          <w:color w:val="C00000"/>
          <w:sz w:val="18"/>
          <w:szCs w:val="18"/>
        </w:rPr>
      </w:pPr>
    </w:p>
    <w:p w14:paraId="10575755" w14:textId="77777777" w:rsidR="00EF1D5F" w:rsidRDefault="00EF1D5F">
      <w:pPr>
        <w:pBdr>
          <w:top w:val="nil"/>
          <w:left w:val="nil"/>
          <w:bottom w:val="nil"/>
          <w:right w:val="nil"/>
          <w:between w:val="nil"/>
        </w:pBdr>
        <w:spacing w:line="220" w:lineRule="auto"/>
        <w:jc w:val="center"/>
        <w:rPr>
          <w:color w:val="000000"/>
          <w:sz w:val="18"/>
          <w:szCs w:val="18"/>
        </w:rPr>
      </w:pPr>
      <w:r>
        <w:rPr>
          <w:b/>
          <w:color w:val="000000"/>
          <w:sz w:val="18"/>
          <w:szCs w:val="18"/>
        </w:rPr>
        <w:t>Fuente:</w:t>
      </w:r>
      <w:r>
        <w:rPr>
          <w:color w:val="000000"/>
          <w:sz w:val="18"/>
          <w:szCs w:val="18"/>
        </w:rPr>
        <w:t xml:space="preserve"> Índice Bogotano de Calidad del Aire y Riesgo en Salud (IBOCA, 2023).</w:t>
      </w:r>
    </w:p>
    <w:p w14:paraId="01BE036B" w14:textId="77777777" w:rsidR="00EF1D5F" w:rsidRDefault="00EF1D5F">
      <w:pPr>
        <w:pBdr>
          <w:top w:val="nil"/>
          <w:left w:val="nil"/>
          <w:bottom w:val="nil"/>
          <w:right w:val="nil"/>
          <w:between w:val="nil"/>
        </w:pBdr>
        <w:spacing w:line="220" w:lineRule="auto"/>
        <w:jc w:val="center"/>
        <w:rPr>
          <w:color w:val="000000"/>
          <w:sz w:val="18"/>
          <w:szCs w:val="18"/>
        </w:rPr>
      </w:pPr>
    </w:p>
    <w:p w14:paraId="7195C170" w14:textId="77777777" w:rsidR="00EF1D5F" w:rsidRDefault="00EF1D5F">
      <w:pPr>
        <w:rPr>
          <w:color w:val="000000"/>
        </w:rPr>
        <w:sectPr w:rsidR="00EF1D5F" w:rsidSect="00F7078E">
          <w:type w:val="continuous"/>
          <w:pgSz w:w="12240" w:h="15840"/>
          <w:pgMar w:top="2262" w:right="1440" w:bottom="1440" w:left="1440" w:header="708" w:footer="708" w:gutter="0"/>
          <w:cols w:space="720"/>
        </w:sectPr>
      </w:pPr>
    </w:p>
    <w:p w14:paraId="192ACDEB" w14:textId="39D7F856"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 xml:space="preserve">Las fuentes de emisión que afectan la ciudad pueden tener orígenes naturales o antropogénicos. Entre las causas naturales están la introducción de arenas del Sahara, quema de biomasa (incendios forestales) y, en ocasiones, las emisiones volcánicas. En el caso de las emisiones locales antropogénicas, el mayor aporte de PM </w:t>
      </w:r>
      <w:r>
        <w:t>2</w:t>
      </w:r>
      <w:r w:rsidR="001E5F5B">
        <w:t>.</w:t>
      </w:r>
      <w:r>
        <w:t xml:space="preserve">5 y PM 10 proviene de la resuspensión de partículas en la atmósfera, seguido de la quema de combustibles en fuentes móviles y fuentes fijas, mientras que en los demás contaminantes </w:t>
      </w:r>
      <w:r w:rsidRPr="001F1D11">
        <w:t>mayoritariamente provienen de las fuentes móviles (</w:t>
      </w:r>
      <w:r w:rsidR="001F1D11" w:rsidRPr="001F1D11">
        <w:fldChar w:fldCharType="begin"/>
      </w:r>
      <w:r w:rsidR="001F1D11" w:rsidRPr="001F1D11">
        <w:instrText xml:space="preserve"> REF _Ref165145956 \h </w:instrText>
      </w:r>
      <w:r w:rsidR="001F1D11" w:rsidRPr="001F1D11">
        <w:fldChar w:fldCharType="separate"/>
      </w:r>
      <w:r w:rsidR="00D01651" w:rsidRPr="001E5F5B">
        <w:rPr>
          <w:color w:val="C00000"/>
          <w:sz w:val="18"/>
          <w:szCs w:val="18"/>
        </w:rPr>
        <w:t xml:space="preserve">Gráfica </w:t>
      </w:r>
      <w:r w:rsidR="00D01651">
        <w:rPr>
          <w:noProof/>
          <w:color w:val="C00000"/>
          <w:sz w:val="18"/>
        </w:rPr>
        <w:t>47</w:t>
      </w:r>
      <w:r w:rsidR="001F1D11" w:rsidRPr="001F1D11">
        <w:fldChar w:fldCharType="end"/>
      </w:r>
      <w:r w:rsidRPr="001F1D11">
        <w:t>).</w:t>
      </w:r>
    </w:p>
    <w:p w14:paraId="1A2A6DE4" w14:textId="77777777" w:rsidR="00EF1D5F" w:rsidRDefault="00EF1D5F"/>
    <w:p w14:paraId="68C67C2C" w14:textId="77777777" w:rsidR="00EF1D5F" w:rsidRDefault="00EF1D5F"/>
    <w:p w14:paraId="2196949B" w14:textId="77777777" w:rsidR="00EF1D5F" w:rsidRDefault="00EF1D5F"/>
    <w:p w14:paraId="28CFB203" w14:textId="77777777" w:rsidR="00EF1D5F" w:rsidRDefault="00EF1D5F"/>
    <w:p w14:paraId="42ECDD4E" w14:textId="16EAECC7" w:rsidR="00EF1D5F" w:rsidRDefault="00EF1D5F"/>
    <w:p w14:paraId="4D8A5061" w14:textId="77777777" w:rsidR="0066225F" w:rsidRDefault="0066225F"/>
    <w:p w14:paraId="13F2C65E" w14:textId="77777777" w:rsidR="00EF1D5F" w:rsidRDefault="00EF1D5F"/>
    <w:p w14:paraId="63B0AD22" w14:textId="77777777" w:rsidR="00EF1D5F" w:rsidRDefault="00EF1D5F">
      <w:pPr>
        <w:pBdr>
          <w:top w:val="nil"/>
          <w:left w:val="nil"/>
          <w:bottom w:val="nil"/>
          <w:right w:val="nil"/>
          <w:between w:val="nil"/>
        </w:pBdr>
        <w:spacing w:line="220" w:lineRule="auto"/>
        <w:jc w:val="center"/>
        <w:rPr>
          <w:b/>
          <w:color w:val="3B3838"/>
          <w:sz w:val="18"/>
          <w:szCs w:val="18"/>
        </w:rPr>
      </w:pPr>
    </w:p>
    <w:p w14:paraId="0B7F8377" w14:textId="77777777" w:rsidR="001E5F5B" w:rsidRDefault="001E5F5B">
      <w:pPr>
        <w:spacing w:line="240" w:lineRule="auto"/>
        <w:jc w:val="left"/>
        <w:rPr>
          <w:b/>
          <w:color w:val="3B3838"/>
          <w:sz w:val="18"/>
          <w:szCs w:val="18"/>
        </w:rPr>
      </w:pPr>
      <w:r>
        <w:rPr>
          <w:b/>
          <w:color w:val="3B3838"/>
          <w:sz w:val="18"/>
          <w:szCs w:val="18"/>
        </w:rPr>
        <w:br w:type="page"/>
      </w:r>
    </w:p>
    <w:p w14:paraId="6503F0CE" w14:textId="1BC4A41A" w:rsidR="00EF1D5F" w:rsidRPr="001E5F5B" w:rsidRDefault="001E5F5B" w:rsidP="001E5F5B">
      <w:pPr>
        <w:pStyle w:val="Descripcin"/>
        <w:jc w:val="center"/>
        <w:rPr>
          <w:sz w:val="18"/>
        </w:rPr>
      </w:pPr>
      <w:bookmarkStart w:id="394" w:name="_Ref165145956"/>
      <w:bookmarkStart w:id="395" w:name="_Toc165169873"/>
      <w:r w:rsidRPr="001E5F5B">
        <w:rPr>
          <w:color w:val="C00000"/>
          <w:sz w:val="18"/>
        </w:rPr>
        <w:lastRenderedPageBreak/>
        <w:t xml:space="preserve">Gráfica </w:t>
      </w:r>
      <w:r w:rsidRPr="001E5F5B">
        <w:rPr>
          <w:color w:val="C00000"/>
          <w:sz w:val="18"/>
        </w:rPr>
        <w:fldChar w:fldCharType="begin"/>
      </w:r>
      <w:r w:rsidRPr="001E5F5B">
        <w:rPr>
          <w:color w:val="C00000"/>
          <w:sz w:val="18"/>
        </w:rPr>
        <w:instrText xml:space="preserve"> SEQ Gráfica \* ARABIC </w:instrText>
      </w:r>
      <w:r w:rsidRPr="001E5F5B">
        <w:rPr>
          <w:color w:val="C00000"/>
          <w:sz w:val="18"/>
        </w:rPr>
        <w:fldChar w:fldCharType="separate"/>
      </w:r>
      <w:r w:rsidR="00D01651">
        <w:rPr>
          <w:noProof/>
          <w:color w:val="C00000"/>
          <w:sz w:val="18"/>
        </w:rPr>
        <w:t>47</w:t>
      </w:r>
      <w:r w:rsidRPr="001E5F5B">
        <w:rPr>
          <w:color w:val="C00000"/>
          <w:sz w:val="18"/>
        </w:rPr>
        <w:fldChar w:fldCharType="end"/>
      </w:r>
      <w:bookmarkEnd w:id="394"/>
      <w:r w:rsidRPr="001E5F5B">
        <w:rPr>
          <w:color w:val="C00000"/>
          <w:sz w:val="18"/>
        </w:rPr>
        <w:t xml:space="preserve">. </w:t>
      </w:r>
      <w:r w:rsidR="00EF1D5F" w:rsidRPr="001E5F5B">
        <w:rPr>
          <w:sz w:val="18"/>
        </w:rPr>
        <w:t>Participación porcentual del total de emisiones de contaminantes criterio y BC* por tipo de fuente para el 2021</w:t>
      </w:r>
      <w:bookmarkEnd w:id="395"/>
    </w:p>
    <w:p w14:paraId="6339F556" w14:textId="77777777" w:rsidR="00EF1D5F" w:rsidRDefault="00EF1D5F">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79072" behindDoc="0" locked="0" layoutInCell="1" hidden="0" allowOverlap="1" wp14:anchorId="31B4E587" wp14:editId="03D62E0F">
            <wp:simplePos x="0" y="0"/>
            <wp:positionH relativeFrom="column">
              <wp:posOffset>222250</wp:posOffset>
            </wp:positionH>
            <wp:positionV relativeFrom="paragraph">
              <wp:posOffset>60618</wp:posOffset>
            </wp:positionV>
            <wp:extent cx="5184140" cy="2524760"/>
            <wp:effectExtent l="0" t="0" r="0" b="0"/>
            <wp:wrapNone/>
            <wp:docPr id="21335159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6"/>
                    <a:srcRect/>
                    <a:stretch>
                      <a:fillRect/>
                    </a:stretch>
                  </pic:blipFill>
                  <pic:spPr>
                    <a:xfrm>
                      <a:off x="0" y="0"/>
                      <a:ext cx="5184140" cy="2524760"/>
                    </a:xfrm>
                    <a:prstGeom prst="rect">
                      <a:avLst/>
                    </a:prstGeom>
                    <a:ln/>
                  </pic:spPr>
                </pic:pic>
              </a:graphicData>
            </a:graphic>
          </wp:anchor>
        </w:drawing>
      </w:r>
    </w:p>
    <w:p w14:paraId="4185D0AA" w14:textId="77777777" w:rsidR="00EF1D5F" w:rsidRDefault="00EF1D5F">
      <w:pPr>
        <w:pBdr>
          <w:top w:val="nil"/>
          <w:left w:val="nil"/>
          <w:bottom w:val="nil"/>
          <w:right w:val="nil"/>
          <w:between w:val="nil"/>
        </w:pBdr>
        <w:spacing w:line="220" w:lineRule="auto"/>
        <w:jc w:val="center"/>
        <w:rPr>
          <w:color w:val="C00000"/>
          <w:sz w:val="18"/>
          <w:szCs w:val="18"/>
        </w:rPr>
      </w:pPr>
    </w:p>
    <w:p w14:paraId="45A2DD3A" w14:textId="77777777" w:rsidR="00EF1D5F" w:rsidRDefault="00EF1D5F">
      <w:pPr>
        <w:pBdr>
          <w:top w:val="nil"/>
          <w:left w:val="nil"/>
          <w:bottom w:val="nil"/>
          <w:right w:val="nil"/>
          <w:between w:val="nil"/>
        </w:pBdr>
        <w:spacing w:line="220" w:lineRule="auto"/>
        <w:jc w:val="center"/>
        <w:rPr>
          <w:color w:val="C00000"/>
          <w:sz w:val="18"/>
          <w:szCs w:val="18"/>
        </w:rPr>
      </w:pPr>
    </w:p>
    <w:p w14:paraId="140DE140" w14:textId="77777777" w:rsidR="00EF1D5F" w:rsidRDefault="00EF1D5F">
      <w:pPr>
        <w:pBdr>
          <w:top w:val="nil"/>
          <w:left w:val="nil"/>
          <w:bottom w:val="nil"/>
          <w:right w:val="nil"/>
          <w:between w:val="nil"/>
        </w:pBdr>
        <w:spacing w:line="220" w:lineRule="auto"/>
        <w:jc w:val="center"/>
        <w:rPr>
          <w:color w:val="3B3838"/>
          <w:sz w:val="18"/>
          <w:szCs w:val="18"/>
        </w:rPr>
      </w:pPr>
    </w:p>
    <w:p w14:paraId="73870C4B" w14:textId="77777777" w:rsidR="00EF1D5F" w:rsidRDefault="00EF1D5F">
      <w:pPr>
        <w:pBdr>
          <w:top w:val="nil"/>
          <w:left w:val="nil"/>
          <w:bottom w:val="nil"/>
          <w:right w:val="nil"/>
          <w:between w:val="nil"/>
        </w:pBdr>
        <w:spacing w:line="220" w:lineRule="auto"/>
        <w:jc w:val="center"/>
        <w:rPr>
          <w:color w:val="3B3838"/>
          <w:sz w:val="18"/>
          <w:szCs w:val="18"/>
        </w:rPr>
      </w:pPr>
    </w:p>
    <w:p w14:paraId="1EEF945B" w14:textId="77777777" w:rsidR="00EF1D5F" w:rsidRDefault="00EF1D5F">
      <w:pPr>
        <w:pBdr>
          <w:top w:val="nil"/>
          <w:left w:val="nil"/>
          <w:bottom w:val="nil"/>
          <w:right w:val="nil"/>
          <w:between w:val="nil"/>
        </w:pBdr>
        <w:spacing w:line="220" w:lineRule="auto"/>
        <w:jc w:val="center"/>
        <w:rPr>
          <w:color w:val="3B3838"/>
          <w:sz w:val="18"/>
          <w:szCs w:val="18"/>
        </w:rPr>
      </w:pPr>
    </w:p>
    <w:p w14:paraId="681B2B51" w14:textId="77777777" w:rsidR="00EF1D5F" w:rsidRDefault="00EF1D5F">
      <w:pPr>
        <w:pBdr>
          <w:top w:val="nil"/>
          <w:left w:val="nil"/>
          <w:bottom w:val="nil"/>
          <w:right w:val="nil"/>
          <w:between w:val="nil"/>
        </w:pBdr>
        <w:spacing w:line="220" w:lineRule="auto"/>
        <w:jc w:val="center"/>
        <w:rPr>
          <w:color w:val="3B3838"/>
          <w:sz w:val="18"/>
          <w:szCs w:val="18"/>
        </w:rPr>
      </w:pPr>
    </w:p>
    <w:p w14:paraId="7559AE78" w14:textId="77777777" w:rsidR="00EF1D5F" w:rsidRDefault="00EF1D5F">
      <w:pPr>
        <w:pBdr>
          <w:top w:val="nil"/>
          <w:left w:val="nil"/>
          <w:bottom w:val="nil"/>
          <w:right w:val="nil"/>
          <w:between w:val="nil"/>
        </w:pBdr>
        <w:spacing w:line="220" w:lineRule="auto"/>
        <w:jc w:val="center"/>
        <w:rPr>
          <w:color w:val="3B3838"/>
          <w:sz w:val="18"/>
          <w:szCs w:val="18"/>
        </w:rPr>
      </w:pPr>
    </w:p>
    <w:p w14:paraId="0C872EF4" w14:textId="77777777" w:rsidR="00EF1D5F" w:rsidRDefault="00EF1D5F">
      <w:pPr>
        <w:pBdr>
          <w:top w:val="nil"/>
          <w:left w:val="nil"/>
          <w:bottom w:val="nil"/>
          <w:right w:val="nil"/>
          <w:between w:val="nil"/>
        </w:pBdr>
        <w:spacing w:line="220" w:lineRule="auto"/>
        <w:jc w:val="center"/>
        <w:rPr>
          <w:color w:val="3B3838"/>
          <w:sz w:val="18"/>
          <w:szCs w:val="18"/>
        </w:rPr>
      </w:pPr>
    </w:p>
    <w:p w14:paraId="3920F5C5" w14:textId="77777777" w:rsidR="00EF1D5F" w:rsidRDefault="00EF1D5F">
      <w:pPr>
        <w:pBdr>
          <w:top w:val="nil"/>
          <w:left w:val="nil"/>
          <w:bottom w:val="nil"/>
          <w:right w:val="nil"/>
          <w:between w:val="nil"/>
        </w:pBdr>
        <w:spacing w:line="220" w:lineRule="auto"/>
        <w:jc w:val="center"/>
        <w:rPr>
          <w:color w:val="3B3838"/>
          <w:sz w:val="18"/>
          <w:szCs w:val="18"/>
        </w:rPr>
      </w:pPr>
    </w:p>
    <w:p w14:paraId="40816A12" w14:textId="77777777" w:rsidR="00EF1D5F" w:rsidRDefault="00EF1D5F">
      <w:pPr>
        <w:pBdr>
          <w:top w:val="nil"/>
          <w:left w:val="nil"/>
          <w:bottom w:val="nil"/>
          <w:right w:val="nil"/>
          <w:between w:val="nil"/>
        </w:pBdr>
        <w:spacing w:line="220" w:lineRule="auto"/>
        <w:jc w:val="center"/>
        <w:rPr>
          <w:color w:val="3B3838"/>
          <w:sz w:val="18"/>
          <w:szCs w:val="18"/>
        </w:rPr>
      </w:pPr>
    </w:p>
    <w:p w14:paraId="3FCF16C5" w14:textId="77777777" w:rsidR="00EF1D5F" w:rsidRDefault="00EF1D5F">
      <w:pPr>
        <w:pBdr>
          <w:top w:val="nil"/>
          <w:left w:val="nil"/>
          <w:bottom w:val="nil"/>
          <w:right w:val="nil"/>
          <w:between w:val="nil"/>
        </w:pBdr>
        <w:spacing w:line="220" w:lineRule="auto"/>
        <w:jc w:val="center"/>
        <w:rPr>
          <w:color w:val="3B3838"/>
          <w:sz w:val="18"/>
          <w:szCs w:val="18"/>
        </w:rPr>
      </w:pPr>
    </w:p>
    <w:p w14:paraId="06A9626E" w14:textId="77777777" w:rsidR="00EF1D5F" w:rsidRDefault="00EF1D5F">
      <w:pPr>
        <w:pBdr>
          <w:top w:val="nil"/>
          <w:left w:val="nil"/>
          <w:bottom w:val="nil"/>
          <w:right w:val="nil"/>
          <w:between w:val="nil"/>
        </w:pBdr>
        <w:spacing w:line="220" w:lineRule="auto"/>
        <w:jc w:val="center"/>
        <w:rPr>
          <w:color w:val="3B3838"/>
          <w:sz w:val="18"/>
          <w:szCs w:val="18"/>
        </w:rPr>
      </w:pPr>
    </w:p>
    <w:p w14:paraId="2B31C7CA" w14:textId="77777777" w:rsidR="00EF1D5F" w:rsidRDefault="00EF1D5F">
      <w:pPr>
        <w:pBdr>
          <w:top w:val="nil"/>
          <w:left w:val="nil"/>
          <w:bottom w:val="nil"/>
          <w:right w:val="nil"/>
          <w:between w:val="nil"/>
        </w:pBdr>
        <w:spacing w:line="220" w:lineRule="auto"/>
        <w:jc w:val="center"/>
        <w:rPr>
          <w:color w:val="3B3838"/>
          <w:sz w:val="18"/>
          <w:szCs w:val="18"/>
        </w:rPr>
      </w:pPr>
    </w:p>
    <w:p w14:paraId="2FCA6235" w14:textId="77777777" w:rsidR="00EF1D5F" w:rsidRDefault="00EF1D5F">
      <w:pPr>
        <w:pBdr>
          <w:top w:val="nil"/>
          <w:left w:val="nil"/>
          <w:bottom w:val="nil"/>
          <w:right w:val="nil"/>
          <w:between w:val="nil"/>
        </w:pBdr>
        <w:spacing w:line="220" w:lineRule="auto"/>
        <w:jc w:val="center"/>
        <w:rPr>
          <w:color w:val="3B3838"/>
          <w:sz w:val="18"/>
          <w:szCs w:val="18"/>
        </w:rPr>
      </w:pPr>
    </w:p>
    <w:p w14:paraId="02264C39" w14:textId="77777777" w:rsidR="00EF1D5F" w:rsidRDefault="00EF1D5F">
      <w:pPr>
        <w:pBdr>
          <w:top w:val="nil"/>
          <w:left w:val="nil"/>
          <w:bottom w:val="nil"/>
          <w:right w:val="nil"/>
          <w:between w:val="nil"/>
        </w:pBdr>
        <w:spacing w:line="220" w:lineRule="auto"/>
        <w:jc w:val="center"/>
        <w:rPr>
          <w:color w:val="3B3838"/>
          <w:sz w:val="18"/>
          <w:szCs w:val="18"/>
        </w:rPr>
      </w:pPr>
    </w:p>
    <w:p w14:paraId="1246C654" w14:textId="77777777" w:rsidR="00EF1D5F" w:rsidRDefault="00EF1D5F">
      <w:pPr>
        <w:pBdr>
          <w:top w:val="nil"/>
          <w:left w:val="nil"/>
          <w:bottom w:val="nil"/>
          <w:right w:val="nil"/>
          <w:between w:val="nil"/>
        </w:pBdr>
        <w:spacing w:line="220" w:lineRule="auto"/>
        <w:jc w:val="center"/>
        <w:rPr>
          <w:color w:val="3B3838"/>
          <w:sz w:val="18"/>
          <w:szCs w:val="18"/>
        </w:rPr>
      </w:pPr>
    </w:p>
    <w:p w14:paraId="40335105" w14:textId="77777777" w:rsidR="00EF1D5F" w:rsidRDefault="00EF1D5F">
      <w:pPr>
        <w:pBdr>
          <w:top w:val="nil"/>
          <w:left w:val="nil"/>
          <w:bottom w:val="nil"/>
          <w:right w:val="nil"/>
          <w:between w:val="nil"/>
        </w:pBdr>
        <w:spacing w:line="220" w:lineRule="auto"/>
        <w:jc w:val="center"/>
        <w:rPr>
          <w:color w:val="3B3838"/>
          <w:sz w:val="18"/>
          <w:szCs w:val="18"/>
        </w:rPr>
      </w:pPr>
    </w:p>
    <w:p w14:paraId="0BB808C2" w14:textId="77777777" w:rsidR="00EF1D5F" w:rsidRDefault="00EF1D5F">
      <w:pPr>
        <w:pBdr>
          <w:top w:val="nil"/>
          <w:left w:val="nil"/>
          <w:bottom w:val="nil"/>
          <w:right w:val="nil"/>
          <w:between w:val="nil"/>
        </w:pBdr>
        <w:spacing w:line="220" w:lineRule="auto"/>
        <w:jc w:val="center"/>
        <w:rPr>
          <w:color w:val="3B3838"/>
          <w:sz w:val="18"/>
          <w:szCs w:val="18"/>
        </w:rPr>
      </w:pPr>
    </w:p>
    <w:p w14:paraId="2E34A915" w14:textId="77777777" w:rsidR="00EF1D5F" w:rsidRDefault="00EF1D5F">
      <w:pPr>
        <w:pBdr>
          <w:top w:val="nil"/>
          <w:left w:val="nil"/>
          <w:bottom w:val="nil"/>
          <w:right w:val="nil"/>
          <w:between w:val="nil"/>
        </w:pBdr>
        <w:spacing w:line="220" w:lineRule="auto"/>
        <w:jc w:val="center"/>
        <w:rPr>
          <w:color w:val="3B3838"/>
          <w:sz w:val="18"/>
          <w:szCs w:val="18"/>
        </w:rPr>
      </w:pPr>
    </w:p>
    <w:p w14:paraId="354763B8" w14:textId="77777777" w:rsidR="00EF1D5F" w:rsidRDefault="00EF1D5F">
      <w:pPr>
        <w:pBdr>
          <w:top w:val="nil"/>
          <w:left w:val="nil"/>
          <w:bottom w:val="nil"/>
          <w:right w:val="nil"/>
          <w:between w:val="nil"/>
        </w:pBdr>
        <w:spacing w:line="220" w:lineRule="auto"/>
        <w:jc w:val="center"/>
        <w:rPr>
          <w:color w:val="3B3838"/>
          <w:sz w:val="18"/>
          <w:szCs w:val="18"/>
        </w:rPr>
      </w:pPr>
    </w:p>
    <w:p w14:paraId="0EC96290" w14:textId="77777777" w:rsidR="00EF1D5F" w:rsidRDefault="00EF1D5F">
      <w:pPr>
        <w:pBdr>
          <w:top w:val="nil"/>
          <w:left w:val="nil"/>
          <w:bottom w:val="nil"/>
          <w:right w:val="nil"/>
          <w:between w:val="nil"/>
        </w:pBdr>
        <w:spacing w:line="220" w:lineRule="auto"/>
        <w:jc w:val="center"/>
        <w:rPr>
          <w:color w:val="3B3838"/>
          <w:sz w:val="18"/>
          <w:szCs w:val="18"/>
        </w:rPr>
      </w:pPr>
      <w:r>
        <w:rPr>
          <w:color w:val="3B3838"/>
          <w:sz w:val="18"/>
          <w:szCs w:val="18"/>
        </w:rPr>
        <w:t xml:space="preserve">*El Black Carbon (BC) es uno de los componentes clave </w:t>
      </w:r>
    </w:p>
    <w:p w14:paraId="5ED6E42F" w14:textId="77777777" w:rsidR="00EF1D5F" w:rsidRDefault="00EF1D5F">
      <w:pPr>
        <w:pBdr>
          <w:top w:val="nil"/>
          <w:left w:val="nil"/>
          <w:bottom w:val="nil"/>
          <w:right w:val="nil"/>
          <w:between w:val="nil"/>
        </w:pBdr>
        <w:spacing w:line="220" w:lineRule="auto"/>
        <w:jc w:val="center"/>
        <w:rPr>
          <w:color w:val="3B3838"/>
          <w:sz w:val="18"/>
          <w:szCs w:val="18"/>
        </w:rPr>
      </w:pPr>
      <w:r>
        <w:rPr>
          <w:color w:val="3B3838"/>
          <w:sz w:val="18"/>
          <w:szCs w:val="18"/>
        </w:rPr>
        <w:t>del material particulado que contribuye al cambio climático y al deterioro de la calidad del aire.</w:t>
      </w:r>
    </w:p>
    <w:p w14:paraId="74FCCFEA" w14:textId="77777777"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Secretaría Distrital de Ambiente (2021).</w:t>
      </w:r>
    </w:p>
    <w:p w14:paraId="21C132FB" w14:textId="77777777" w:rsidR="00EF1D5F" w:rsidRDefault="00EF1D5F">
      <w:pPr>
        <w:rPr>
          <w:color w:val="000000"/>
        </w:rPr>
      </w:pPr>
    </w:p>
    <w:p w14:paraId="0BCD7B1D" w14:textId="77777777" w:rsidR="00EF1D5F" w:rsidRDefault="00EF1D5F">
      <w:pPr>
        <w:rPr>
          <w:color w:val="000000"/>
        </w:rPr>
        <w:sectPr w:rsidR="00EF1D5F" w:rsidSect="00F7078E">
          <w:type w:val="continuous"/>
          <w:pgSz w:w="12240" w:h="15840"/>
          <w:pgMar w:top="2262" w:right="1440" w:bottom="1440" w:left="1440" w:header="708" w:footer="708" w:gutter="0"/>
          <w:cols w:space="720"/>
        </w:sectPr>
      </w:pPr>
    </w:p>
    <w:p w14:paraId="64F8B64A" w14:textId="3F1452AC" w:rsidR="00EF1D5F" w:rsidRDefault="00EF1D5F">
      <w:r>
        <w:t>Para PM 2</w:t>
      </w:r>
      <w:r w:rsidR="00744F41">
        <w:t>.</w:t>
      </w:r>
      <w:r>
        <w:t>5, la fuente con mayor aporte corresponde a las emisiones generadas como resuspensión de material particulado en vías secundarias (57 %) y principales (3 %) de la ciudad, asociadas al flujo vehicular y a la no pavimentación. El 93 % de estas emisiones se genera en vías sin pavimentar, le siguen las emisiones de la flota de transporte por combustión de combustibles líquidos (22 %), uso de maquinaria amarilla (5 %) y construcción de edificaciones (4 %). Además, los incendios tienen marcada influencia en el primer trimestre del año y los meses de septiembre y octubre.</w:t>
      </w:r>
    </w:p>
    <w:p w14:paraId="34761BE9" w14:textId="77777777" w:rsidR="00EF1D5F" w:rsidRDefault="00EF1D5F"/>
    <w:p w14:paraId="32198A1E" w14:textId="77777777" w:rsidR="00EF1D5F" w:rsidRDefault="00EF1D5F">
      <w:r>
        <w:t>En la misma línea de contaminación, aunque no asociada al cambio climático, están la acústica, la visual y la de los cuerpos de agua, las cuales también requieren atención. Con respecto al deterioro de la calidad acústica, se estima que el 11,8 % de la población de la ciudad se ve afectada por temas de ruido (promedio 2018-2021), centrado en las localidades Antonio Nariño (30 %), Usme (28 %), Candelaria (25 %) y Puente Aranda (21 %).</w:t>
      </w:r>
    </w:p>
    <w:p w14:paraId="18D47DE3" w14:textId="77777777" w:rsidR="00EF1D5F" w:rsidRDefault="00EF1D5F">
      <w:r>
        <w:t>En materia de contaminación visual, el análisis se mide en la publicidad exterior visual de empresas y establecimientos activos donde se tiene un estimado a 2023 de 423.056 empresas y establecimientos activos registrados ante la Cámara de Comercio de Bogotá. Con base en lo anterior, y conforme con las acciones de evaluación, control y seguimiento, se evidencia un aumento en las solicitudes de registro allegadas por la ciudadanía, con 5.727 procesos pendientes de trámite al 31 de diciembre de 2023.</w:t>
      </w:r>
    </w:p>
    <w:p w14:paraId="2AEE30E7" w14:textId="77777777" w:rsidR="00EF1D5F" w:rsidRDefault="00EF1D5F"/>
    <w:p w14:paraId="0ED6D3AE" w14:textId="77777777" w:rsidR="00EF1D5F" w:rsidRDefault="00EF1D5F">
      <w:r>
        <w:t xml:space="preserve">Frente a la contaminación de cuerpos de agua, en particular el vertimiento de aguas residuales domésticas procedente de la red de alcantarillado público del Distrito Capital (vertimientos directos, indirectos y conexiones erradas), representa cerca del 94 % de la carga contaminante. Bogotá aporta en carga transportada por los ríos urbanos 74.000 ton/año de materia orgánica (Demanda Bioquímica de Oxígeno [DBO]) y 114.000 ton/año de carga de Sólidos Suspendidos Totales (SST) que es aportada al río Bogotá afectando las condiciones de aguas </w:t>
      </w:r>
      <w:r>
        <w:lastRenderedPageBreak/>
        <w:t>abajo de municipios que se encuentran en la cuenca del río.</w:t>
      </w:r>
    </w:p>
    <w:p w14:paraId="628371CE" w14:textId="77777777" w:rsidR="00EF1D5F" w:rsidRDefault="00EF1D5F"/>
    <w:p w14:paraId="67B1E37F" w14:textId="77777777" w:rsidR="00EF1D5F" w:rsidRDefault="00EF1D5F">
      <w:r>
        <w:t>Con respecto al arbolado urbano, el cambio climático lo afecta directamente debido al aumento de la temperatura promedio y a la variación del régimen de precipitación. Entre 2020 y 2024, la SDA ha autorizado la intervención por emergencia de 15.629 árboles, de los cuales, en el 80 %, la causa fue el deficiente estado físico y sanitario, principalmente de las especies: ciprés (</w:t>
      </w:r>
      <w:r>
        <w:rPr>
          <w:i/>
        </w:rPr>
        <w:t>Cupressus lusitanica</w:t>
      </w:r>
      <w:r>
        <w:t>) con 1.809 árboles, acacia negra (</w:t>
      </w:r>
      <w:r>
        <w:rPr>
          <w:i/>
        </w:rPr>
        <w:t>Acacia decurrens</w:t>
      </w:r>
      <w:r>
        <w:t>) con 1.521, acacia japonesa (</w:t>
      </w:r>
      <w:r>
        <w:rPr>
          <w:i/>
        </w:rPr>
        <w:t>Acacia melanoxylon</w:t>
      </w:r>
      <w:r>
        <w:t>) con 1.432, y eucalipto común (</w:t>
      </w:r>
      <w:r>
        <w:rPr>
          <w:i/>
        </w:rPr>
        <w:t>Eucalyptus globulus</w:t>
      </w:r>
      <w:r>
        <w:t>) con 1.246. En el mismo periodo se presentaron 3.175 volcamientos, cuyas especies más frecuentes son acacia negra, acacia japonesa, ciprés y sauco (</w:t>
      </w:r>
      <w:r>
        <w:rPr>
          <w:i/>
        </w:rPr>
        <w:t>Sambucus nigra</w:t>
      </w:r>
      <w:r>
        <w:t>).</w:t>
      </w:r>
    </w:p>
    <w:p w14:paraId="2E715C0D" w14:textId="77777777" w:rsidR="00EF1D5F" w:rsidRDefault="00EF1D5F"/>
    <w:p w14:paraId="4DE51B30" w14:textId="77777777" w:rsidR="00EF1D5F" w:rsidRDefault="00EF1D5F">
      <w:r>
        <w:t>Por otra parte, se ha evidenciado la presencia de nuevas plagas y enfermedades, junto con el aumento en frecuencia y severidad de las existentes. Es así como, la plaga del aguacate en zona cafetera conocida como “chamusquina” (</w:t>
      </w:r>
      <w:r>
        <w:rPr>
          <w:i/>
        </w:rPr>
        <w:t>Monalonion velezangeli</w:t>
      </w:r>
      <w:r>
        <w:t xml:space="preserve">), ha atacado el falso pimiento </w:t>
      </w:r>
      <w:r>
        <w:t>en Bogotá, generando afectaciones y, a la vez, aumentando los ciclos de manejo requeridos para la permanencia de esta especie.</w:t>
      </w:r>
    </w:p>
    <w:p w14:paraId="6950F0AE" w14:textId="77777777" w:rsidR="00EF1D5F" w:rsidRDefault="00EF1D5F"/>
    <w:p w14:paraId="612E20CB" w14:textId="77777777" w:rsidR="00EF1D5F" w:rsidRDefault="00EF1D5F">
      <w:r>
        <w:t>A lo anterior se suma la sobreexplotación de la flora y la fauna silvestres, lo que incide en la degradación de los ecosistemas y sus efectos sobre el cambio climático; la pérdida de servicios ecosistémicos ha evidenciado la necesidad de ejercer control sobre este flagelo en la agenda política internacional (UNODC, 2020; UNODC, 2022). Lo anterior, facilita el comercio ilegal a escala local, como la articulación de estructuras de crimen organizado internacional (Mancera y Reyes, 2008; ROUTES, 2021).</w:t>
      </w:r>
    </w:p>
    <w:p w14:paraId="41AD06EE" w14:textId="77777777" w:rsidR="00EF1D5F" w:rsidRDefault="00EF1D5F"/>
    <w:p w14:paraId="25EFA39E"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En términos de fauna silvestre, las incautaciones se incrementaron en 20 % en este cuatrienio en comparación con el cuatrienio anterior, y se han incautado especies y especímenes que no habían sido detectados previamente, como el cargamento de 3.493 aletas de tiburón y las 232 tarántulas vivas halladas en septiembre y noviembre de 2021, respectivamente, en el Aeropuerto El Dorado.</w:t>
      </w:r>
    </w:p>
    <w:p w14:paraId="75649EFD" w14:textId="77777777" w:rsidR="00EF1D5F" w:rsidRDefault="00EF1D5F"/>
    <w:p w14:paraId="6231776F" w14:textId="77777777" w:rsidR="00EF1D5F" w:rsidRDefault="00EF1D5F"/>
    <w:p w14:paraId="1EBFD61C" w14:textId="09B477F7" w:rsidR="00EF1D5F" w:rsidRPr="00744F41" w:rsidRDefault="00EF1D5F" w:rsidP="00744F41">
      <w:pPr>
        <w:keepNext/>
        <w:keepLines/>
        <w:pBdr>
          <w:top w:val="nil"/>
          <w:left w:val="nil"/>
          <w:bottom w:val="nil"/>
          <w:right w:val="nil"/>
          <w:between w:val="nil"/>
        </w:pBdr>
        <w:spacing w:line="340" w:lineRule="auto"/>
        <w:ind w:firstLine="708"/>
        <w:jc w:val="left"/>
        <w:rPr>
          <w:b/>
          <w:sz w:val="24"/>
        </w:rPr>
        <w:sectPr w:rsidR="00EF1D5F" w:rsidRPr="00744F41" w:rsidSect="00F7078E">
          <w:type w:val="continuous"/>
          <w:pgSz w:w="12240" w:h="15840"/>
          <w:pgMar w:top="2262" w:right="1440" w:bottom="1440" w:left="1440" w:header="708" w:footer="708" w:gutter="0"/>
          <w:cols w:space="720"/>
        </w:sectPr>
      </w:pPr>
      <w:r w:rsidRPr="00744F41">
        <w:rPr>
          <w:b/>
          <w:sz w:val="24"/>
        </w:rPr>
        <w:t>Descripción del programa</w:t>
      </w:r>
    </w:p>
    <w:p w14:paraId="4085C285" w14:textId="77777777" w:rsidR="00EF1D5F" w:rsidRDefault="00EF1D5F">
      <w:pPr>
        <w:rPr>
          <w:highlight w:val="white"/>
        </w:rPr>
      </w:pPr>
      <w:r>
        <w:rPr>
          <w:highlight w:val="white"/>
        </w:rPr>
        <w:t xml:space="preserve">Debemos disminuir la afectación negativa sobre los ecosistemas y reducir los impactos ambientales asociados a la calidad del recurso hídrico, del aire, acústico y visual, de emisión de ruido, de publicidad exterior visual, y del suelo de protección </w:t>
      </w:r>
      <w:r>
        <w:t>y de la fauna y flora silvestres</w:t>
      </w:r>
      <w:r>
        <w:rPr>
          <w:highlight w:val="white"/>
        </w:rPr>
        <w:t>.</w:t>
      </w:r>
    </w:p>
    <w:p w14:paraId="668433B1" w14:textId="77777777" w:rsidR="00EF1D5F" w:rsidRDefault="00EF1D5F">
      <w:pPr>
        <w:rPr>
          <w:highlight w:val="white"/>
        </w:rPr>
      </w:pPr>
    </w:p>
    <w:p w14:paraId="78C00329" w14:textId="77777777" w:rsidR="00EF1D5F" w:rsidRDefault="00EF1D5F">
      <w:pPr>
        <w:rPr>
          <w:highlight w:val="white"/>
        </w:rPr>
      </w:pPr>
      <w:r>
        <w:rPr>
          <w:highlight w:val="white"/>
        </w:rPr>
        <w:t xml:space="preserve">Para esto, un primer paso se asocia con el ejercicio de la autoridad ambiental, mediante el control a los factores de deterioro de los recursos naturales, la operación de las redes de monitoreo de aire, ruido </w:t>
      </w:r>
      <w:r>
        <w:t>y del recurso hídrico, el</w:t>
      </w:r>
      <w:r>
        <w:rPr>
          <w:highlight w:val="white"/>
        </w:rPr>
        <w:t xml:space="preserve"> control al aprovechamiento ilegal de flora y fauna, la afectación del arbolado urbano y el control a las actividades extractivas.</w:t>
      </w:r>
    </w:p>
    <w:p w14:paraId="79463161" w14:textId="77777777" w:rsidR="00EF1D5F" w:rsidRDefault="00EF1D5F">
      <w:pPr>
        <w:rPr>
          <w:highlight w:val="white"/>
        </w:rPr>
      </w:pPr>
    </w:p>
    <w:p w14:paraId="14E14F40" w14:textId="77777777" w:rsidR="00EF1D5F" w:rsidRDefault="00EF1D5F">
      <w:pPr>
        <w:rPr>
          <w:highlight w:val="white"/>
        </w:rPr>
      </w:pPr>
      <w:r>
        <w:rPr>
          <w:highlight w:val="white"/>
        </w:rPr>
        <w:t>Debemos tener especial atención a la evaluación, seguimiento y control en los elementos de la Estructura Ecológica Principal (principalmente sistema hídrico), sobre todo a proyectos constructivos y actividades que generan endurecimientos y contaminación por disposiciones ilegales en áreas de importancia ecosistémica y protegidas. Se hace necesario fortalecer la acción del trámite sancionatorio ambiental con la intervención jurídica que recomienda actuaciones administrativas sancionatorias, hasta llegar a la notificación de actos administrativos.</w:t>
      </w:r>
    </w:p>
    <w:p w14:paraId="22AA0B37" w14:textId="77777777" w:rsidR="00EF1D5F" w:rsidRDefault="00EF1D5F">
      <w:pPr>
        <w:rPr>
          <w:highlight w:val="white"/>
        </w:rPr>
      </w:pPr>
    </w:p>
    <w:p w14:paraId="707D02F6" w14:textId="6B6AEC49" w:rsidR="00EF1D5F" w:rsidRDefault="00EF1D5F">
      <w:pPr>
        <w:rPr>
          <w:highlight w:val="white"/>
        </w:rPr>
      </w:pPr>
      <w:r>
        <w:rPr>
          <w:highlight w:val="white"/>
        </w:rPr>
        <w:t>En el marco del Plan Aire 2030, las acciones ejercidas por la autoridad ambiental distrital de control y seguimiento a fuentes fijas</w:t>
      </w:r>
      <w:r>
        <w:rPr>
          <w:b/>
          <w:highlight w:val="white"/>
        </w:rPr>
        <w:t xml:space="preserve"> </w:t>
      </w:r>
      <w:r>
        <w:rPr>
          <w:highlight w:val="white"/>
        </w:rPr>
        <w:t xml:space="preserve">—industrias, establecimientos de comercio o servicios que </w:t>
      </w:r>
      <w:r>
        <w:rPr>
          <w:highlight w:val="white"/>
        </w:rPr>
        <w:lastRenderedPageBreak/>
        <w:t>generan emisiones atmosféricas— comprenden: atención de trámites, requerimientos, visitas técnicas, medidas preventivas, permiso de emisiones y muestreo de emisiones. Lo anterior, busca que se pueda establecer el cumplimiento o no en materia de emisiones atmosféricas de fuentes que se presume podrían estar fuera de los límites permisibles. De la misma manera, las acciones de control y seguimiento a fuentes móviles —que todos los vehículos cumplan los límites según su tecnología— se relacionan con: control en vía, autorregulación ambiental voluntaria dirigida a empresas de transporte público colectivo de pasajeros y transporte público de carga, auditoría, seguimiento y verificación a los centros de diagnóstico automotriz y control a concesionarios, entre otros actores.</w:t>
      </w:r>
    </w:p>
    <w:p w14:paraId="06E78A3C" w14:textId="77777777" w:rsidR="00EF1D5F" w:rsidRDefault="00EF1D5F">
      <w:pPr>
        <w:rPr>
          <w:highlight w:val="white"/>
        </w:rPr>
      </w:pPr>
    </w:p>
    <w:p w14:paraId="7BAEE4CD" w14:textId="77777777" w:rsidR="00EF1D5F" w:rsidRDefault="00EF1D5F">
      <w:pPr>
        <w:rPr>
          <w:highlight w:val="white"/>
        </w:rPr>
      </w:pPr>
      <w:r>
        <w:rPr>
          <w:highlight w:val="white"/>
        </w:rPr>
        <w:t xml:space="preserve">Las acciones relacionadas con el programa de evaluación, control y seguimiento ambiental en predios en los que se desarrollan o desarrollaron actividades extractivas, industriales, comerciales y de servicios, con potencial afectación al recurso suelo, según el Sector Ambiente, comprende la habilitación de suelo urbano, afectado por extracción minera, contaminación o sospecha de contaminación, diagnosticando la dimensión del impacto ambiental generado por la </w:t>
      </w:r>
      <w:r>
        <w:rPr>
          <w:highlight w:val="white"/>
        </w:rPr>
        <w:t>actividad minera o la contaminación del suelo, para establecer sus medidas de gestión del recurso suelo. Para lo anterior, es fundamental realizar el seguimiento a los instrumentos ambientales de carácter de autorización o permisivo y las disposiciones de cumplimiento.</w:t>
      </w:r>
    </w:p>
    <w:p w14:paraId="7F8C97D6" w14:textId="77777777" w:rsidR="00EF1D5F" w:rsidRDefault="00EF1D5F">
      <w:pPr>
        <w:rPr>
          <w:highlight w:val="white"/>
        </w:rPr>
      </w:pPr>
    </w:p>
    <w:p w14:paraId="4FA9E740" w14:textId="77777777" w:rsidR="00EF1D5F" w:rsidRDefault="00EF1D5F">
      <w:pPr>
        <w:rPr>
          <w:highlight w:val="white"/>
        </w:rPr>
      </w:pPr>
      <w:r>
        <w:rPr>
          <w:highlight w:val="white"/>
        </w:rPr>
        <w:t>En materia de residuos peligrosos, debido a la dinámica de crecimiento en la ciudad, se continuará el control y seguimiento sobre los usuarios que generan residuos ordinarios, especiales, peligrosos y de manejo diferenciado. Se pretende contribuir a minimizar los impactos sobre el ambiente y la salud de los ciudadanos del Distrito y, por consiguiente, la disminución del riesgo y prevención de posibles afectaciones sobre el recurso hídrico y el suelo.</w:t>
      </w:r>
    </w:p>
    <w:p w14:paraId="44195B7D" w14:textId="77777777" w:rsidR="00EF1D5F" w:rsidRDefault="00EF1D5F">
      <w:pPr>
        <w:rPr>
          <w:highlight w:val="white"/>
        </w:rPr>
      </w:pPr>
    </w:p>
    <w:p w14:paraId="5B307E6D" w14:textId="0847308F"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Aunado a lo anterior, se tiene previsto implementar el instrumento financiero Fondo Carga, definido mediante Decreto Distrital 203 de 2023, en el cual la Secretaría Distrital de Movilidad participa en la estructuración y ejecución del Fondo, para promover la renovación del parque automotor de carga con el cambio de tecnologías, que es uno de los mayores aportantes de emisiones de contaminantes criterio y GEI</w:t>
      </w:r>
      <w:r w:rsidR="00744F41">
        <w:t>.</w:t>
      </w:r>
    </w:p>
    <w:p w14:paraId="33E7030C" w14:textId="77777777" w:rsidR="00EF1D5F" w:rsidRDefault="00EF1D5F"/>
    <w:p w14:paraId="25782CA7" w14:textId="3A1CF953" w:rsidR="00EF1D5F" w:rsidRPr="00744F41" w:rsidRDefault="00744F41" w:rsidP="00744F41">
      <w:pPr>
        <w:pStyle w:val="Descripcin"/>
        <w:jc w:val="center"/>
        <w:rPr>
          <w:color w:val="3B3838"/>
          <w:sz w:val="18"/>
        </w:rPr>
      </w:pPr>
      <w:bookmarkStart w:id="396" w:name="_Toc165169960"/>
      <w:r w:rsidRPr="00611254">
        <w:rPr>
          <w:color w:val="C00000"/>
          <w:sz w:val="18"/>
        </w:rPr>
        <w:t xml:space="preserve">Tabla </w:t>
      </w:r>
      <w:r w:rsidRPr="00611254">
        <w:rPr>
          <w:color w:val="C00000"/>
          <w:sz w:val="18"/>
        </w:rPr>
        <w:fldChar w:fldCharType="begin"/>
      </w:r>
      <w:r w:rsidRPr="00611254">
        <w:rPr>
          <w:color w:val="C00000"/>
          <w:sz w:val="18"/>
        </w:rPr>
        <w:instrText xml:space="preserve"> SEQ Tabla \* ARABIC </w:instrText>
      </w:r>
      <w:r w:rsidRPr="00611254">
        <w:rPr>
          <w:color w:val="C00000"/>
          <w:sz w:val="18"/>
        </w:rPr>
        <w:fldChar w:fldCharType="separate"/>
      </w:r>
      <w:r w:rsidR="00D01651">
        <w:rPr>
          <w:noProof/>
          <w:color w:val="C00000"/>
          <w:sz w:val="18"/>
        </w:rPr>
        <w:t>50</w:t>
      </w:r>
      <w:r w:rsidRPr="00611254">
        <w:rPr>
          <w:color w:val="C00000"/>
          <w:sz w:val="18"/>
        </w:rPr>
        <w:fldChar w:fldCharType="end"/>
      </w:r>
      <w:r w:rsidRPr="00611254">
        <w:rPr>
          <w:color w:val="C00000"/>
          <w:sz w:val="18"/>
        </w:rPr>
        <w:t xml:space="preserve">. </w:t>
      </w:r>
      <w:r w:rsidR="00EF1D5F" w:rsidRPr="00744F41">
        <w:rPr>
          <w:color w:val="3B3838"/>
          <w:sz w:val="18"/>
        </w:rPr>
        <w:t>Metas del programa 2</w:t>
      </w:r>
      <w:r w:rsidR="00EF1D5F" w:rsidRPr="00744F41">
        <w:rPr>
          <w:sz w:val="18"/>
        </w:rPr>
        <w:t>8</w:t>
      </w:r>
      <w:r>
        <w:rPr>
          <w:color w:val="3B3838"/>
          <w:sz w:val="18"/>
        </w:rPr>
        <w:t>:</w:t>
      </w:r>
      <w:r w:rsidR="00EF1D5F" w:rsidRPr="00744F41">
        <w:rPr>
          <w:color w:val="3B3838"/>
          <w:sz w:val="18"/>
        </w:rPr>
        <w:t xml:space="preserve"> Reducción de emisiones y control del deterioro ambiental</w:t>
      </w:r>
      <w:bookmarkEnd w:id="396"/>
    </w:p>
    <w:p w14:paraId="0A253083" w14:textId="77777777" w:rsidR="00EF1D5F" w:rsidRDefault="00EF1D5F" w:rsidP="00643DC9">
      <w:pPr>
        <w:widowControl w:val="0"/>
        <w:spacing w:line="276" w:lineRule="auto"/>
        <w:rPr>
          <w:b/>
          <w:color w:val="FFFFFF"/>
          <w:sz w:val="24"/>
        </w:rPr>
        <w:sectPr w:rsidR="00EF1D5F" w:rsidSect="00F7078E">
          <w:type w:val="continuous"/>
          <w:pgSz w:w="12240" w:h="15840"/>
          <w:pgMar w:top="2262" w:right="1440" w:bottom="1440" w:left="1440" w:header="708" w:footer="708" w:gutter="0"/>
          <w:cols w:space="720"/>
        </w:sectPr>
      </w:pPr>
    </w:p>
    <w:tbl>
      <w:tblPr>
        <w:tblW w:w="8838" w:type="dxa"/>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1979"/>
        <w:gridCol w:w="1417"/>
        <w:gridCol w:w="1276"/>
        <w:gridCol w:w="1418"/>
        <w:gridCol w:w="6"/>
        <w:gridCol w:w="1269"/>
        <w:gridCol w:w="1473"/>
      </w:tblGrid>
      <w:tr w:rsidR="00EF1D5F" w14:paraId="77602FA9" w14:textId="77777777" w:rsidTr="00744F41">
        <w:trPr>
          <w:trHeight w:val="600"/>
          <w:tblHeader/>
        </w:trPr>
        <w:tc>
          <w:tcPr>
            <w:tcW w:w="1979" w:type="dxa"/>
            <w:vMerge w:val="restart"/>
            <w:shd w:val="clear" w:color="auto" w:fill="C00000"/>
            <w:tcMar>
              <w:top w:w="40" w:type="dxa"/>
              <w:left w:w="40" w:type="dxa"/>
              <w:bottom w:w="40" w:type="dxa"/>
              <w:right w:w="40" w:type="dxa"/>
            </w:tcMar>
            <w:vAlign w:val="center"/>
          </w:tcPr>
          <w:p w14:paraId="4FC2CBF5" w14:textId="77777777" w:rsidR="00EF1D5F" w:rsidRPr="00744F41" w:rsidRDefault="00EF1D5F" w:rsidP="003D4AD9">
            <w:pPr>
              <w:widowControl w:val="0"/>
              <w:spacing w:line="276" w:lineRule="auto"/>
              <w:jc w:val="center"/>
              <w:rPr>
                <w:b/>
                <w:color w:val="FFFFFF"/>
                <w:sz w:val="20"/>
                <w:szCs w:val="20"/>
              </w:rPr>
            </w:pPr>
            <w:r w:rsidRPr="00744F41">
              <w:rPr>
                <w:b/>
                <w:color w:val="FFFFFF"/>
                <w:sz w:val="20"/>
                <w:szCs w:val="20"/>
              </w:rPr>
              <w:t>SECTOR / Metas</w:t>
            </w:r>
          </w:p>
        </w:tc>
        <w:tc>
          <w:tcPr>
            <w:tcW w:w="6859" w:type="dxa"/>
            <w:gridSpan w:val="6"/>
            <w:shd w:val="clear" w:color="auto" w:fill="C00000"/>
            <w:tcMar>
              <w:top w:w="40" w:type="dxa"/>
              <w:left w:w="40" w:type="dxa"/>
              <w:bottom w:w="40" w:type="dxa"/>
              <w:right w:w="40" w:type="dxa"/>
            </w:tcMar>
            <w:vAlign w:val="center"/>
          </w:tcPr>
          <w:p w14:paraId="7F1762F2" w14:textId="77777777" w:rsidR="00EF1D5F" w:rsidRPr="00744F41" w:rsidRDefault="00EF1D5F" w:rsidP="003D4AD9">
            <w:pPr>
              <w:widowControl w:val="0"/>
              <w:spacing w:line="276" w:lineRule="auto"/>
              <w:jc w:val="center"/>
              <w:rPr>
                <w:b/>
                <w:color w:val="FFFFFF"/>
                <w:sz w:val="20"/>
                <w:szCs w:val="20"/>
              </w:rPr>
            </w:pPr>
            <w:r w:rsidRPr="00744F41">
              <w:rPr>
                <w:b/>
                <w:color w:val="FFFFFF"/>
                <w:sz w:val="20"/>
                <w:szCs w:val="20"/>
              </w:rPr>
              <w:t>Magnitudes e Inversión</w:t>
            </w:r>
          </w:p>
          <w:p w14:paraId="3F3BE22A" w14:textId="77777777" w:rsidR="00EF1D5F" w:rsidRPr="00744F41" w:rsidRDefault="00EF1D5F" w:rsidP="003D4AD9">
            <w:pPr>
              <w:widowControl w:val="0"/>
              <w:spacing w:line="276" w:lineRule="auto"/>
              <w:jc w:val="center"/>
              <w:rPr>
                <w:rFonts w:ascii="Arial" w:eastAsia="Arial" w:hAnsi="Arial" w:cs="Arial"/>
                <w:color w:val="000000"/>
                <w:sz w:val="20"/>
                <w:szCs w:val="20"/>
              </w:rPr>
            </w:pPr>
            <w:r w:rsidRPr="00744F41">
              <w:rPr>
                <w:b/>
                <w:color w:val="FFFFFF"/>
                <w:sz w:val="20"/>
                <w:szCs w:val="20"/>
              </w:rPr>
              <w:t>(Precios Constantes 2024)</w:t>
            </w:r>
          </w:p>
        </w:tc>
      </w:tr>
      <w:tr w:rsidR="00EF1D5F" w14:paraId="05C98BB5" w14:textId="77777777" w:rsidTr="00744F41">
        <w:trPr>
          <w:trHeight w:val="315"/>
          <w:tblHeader/>
        </w:trPr>
        <w:tc>
          <w:tcPr>
            <w:tcW w:w="1979" w:type="dxa"/>
            <w:vMerge/>
            <w:shd w:val="clear" w:color="auto" w:fill="auto"/>
            <w:tcMar>
              <w:top w:w="100" w:type="dxa"/>
              <w:left w:w="100" w:type="dxa"/>
              <w:bottom w:w="100" w:type="dxa"/>
              <w:right w:w="100" w:type="dxa"/>
            </w:tcMar>
          </w:tcPr>
          <w:p w14:paraId="40114E65" w14:textId="77777777" w:rsidR="00EF1D5F" w:rsidRPr="00744F41" w:rsidRDefault="00EF1D5F" w:rsidP="003D4AD9">
            <w:pPr>
              <w:widowControl w:val="0"/>
              <w:spacing w:line="276" w:lineRule="auto"/>
              <w:jc w:val="left"/>
              <w:rPr>
                <w:rFonts w:ascii="Arial" w:eastAsia="Arial" w:hAnsi="Arial" w:cs="Arial"/>
                <w:color w:val="000000"/>
                <w:sz w:val="20"/>
                <w:szCs w:val="20"/>
              </w:rPr>
            </w:pPr>
          </w:p>
        </w:tc>
        <w:tc>
          <w:tcPr>
            <w:tcW w:w="1417" w:type="dxa"/>
            <w:shd w:val="clear" w:color="auto" w:fill="D9D9D9"/>
            <w:tcMar>
              <w:top w:w="40" w:type="dxa"/>
              <w:left w:w="40" w:type="dxa"/>
              <w:bottom w:w="40" w:type="dxa"/>
              <w:right w:w="40" w:type="dxa"/>
            </w:tcMar>
            <w:vAlign w:val="center"/>
          </w:tcPr>
          <w:p w14:paraId="72F95706" w14:textId="77777777" w:rsidR="00EF1D5F" w:rsidRPr="00744F41" w:rsidRDefault="00EF1D5F" w:rsidP="003D4AD9">
            <w:pPr>
              <w:widowControl w:val="0"/>
              <w:spacing w:line="276" w:lineRule="auto"/>
              <w:jc w:val="center"/>
              <w:rPr>
                <w:rFonts w:ascii="Arial" w:eastAsia="Arial" w:hAnsi="Arial" w:cs="Arial"/>
                <w:color w:val="000000"/>
                <w:sz w:val="20"/>
                <w:szCs w:val="20"/>
              </w:rPr>
            </w:pPr>
            <w:r w:rsidRPr="00744F41">
              <w:rPr>
                <w:b/>
                <w:color w:val="000000"/>
                <w:sz w:val="20"/>
                <w:szCs w:val="20"/>
              </w:rPr>
              <w:t>2024</w:t>
            </w:r>
          </w:p>
        </w:tc>
        <w:tc>
          <w:tcPr>
            <w:tcW w:w="1276" w:type="dxa"/>
            <w:shd w:val="clear" w:color="auto" w:fill="D9D9D9"/>
            <w:tcMar>
              <w:top w:w="40" w:type="dxa"/>
              <w:left w:w="40" w:type="dxa"/>
              <w:bottom w:w="40" w:type="dxa"/>
              <w:right w:w="40" w:type="dxa"/>
            </w:tcMar>
            <w:vAlign w:val="center"/>
          </w:tcPr>
          <w:p w14:paraId="628C7551" w14:textId="77777777" w:rsidR="00EF1D5F" w:rsidRPr="00744F41" w:rsidRDefault="00EF1D5F" w:rsidP="003D4AD9">
            <w:pPr>
              <w:widowControl w:val="0"/>
              <w:spacing w:line="276" w:lineRule="auto"/>
              <w:jc w:val="center"/>
              <w:rPr>
                <w:rFonts w:ascii="Arial" w:eastAsia="Arial" w:hAnsi="Arial" w:cs="Arial"/>
                <w:color w:val="000000"/>
                <w:sz w:val="20"/>
                <w:szCs w:val="20"/>
              </w:rPr>
            </w:pPr>
            <w:r w:rsidRPr="00744F41">
              <w:rPr>
                <w:b/>
                <w:color w:val="000000"/>
                <w:sz w:val="20"/>
                <w:szCs w:val="20"/>
              </w:rPr>
              <w:t>2025</w:t>
            </w:r>
          </w:p>
        </w:tc>
        <w:tc>
          <w:tcPr>
            <w:tcW w:w="1424" w:type="dxa"/>
            <w:gridSpan w:val="2"/>
            <w:shd w:val="clear" w:color="auto" w:fill="D9D9D9"/>
            <w:tcMar>
              <w:top w:w="40" w:type="dxa"/>
              <w:left w:w="40" w:type="dxa"/>
              <w:bottom w:w="40" w:type="dxa"/>
              <w:right w:w="40" w:type="dxa"/>
            </w:tcMar>
            <w:vAlign w:val="center"/>
          </w:tcPr>
          <w:p w14:paraId="417D933F" w14:textId="77777777" w:rsidR="00EF1D5F" w:rsidRPr="00744F41" w:rsidRDefault="00EF1D5F" w:rsidP="003D4AD9">
            <w:pPr>
              <w:widowControl w:val="0"/>
              <w:spacing w:line="276" w:lineRule="auto"/>
              <w:jc w:val="center"/>
              <w:rPr>
                <w:rFonts w:ascii="Arial" w:eastAsia="Arial" w:hAnsi="Arial" w:cs="Arial"/>
                <w:color w:val="000000"/>
                <w:sz w:val="20"/>
                <w:szCs w:val="20"/>
              </w:rPr>
            </w:pPr>
            <w:r w:rsidRPr="00744F41">
              <w:rPr>
                <w:b/>
                <w:color w:val="000000"/>
                <w:sz w:val="20"/>
                <w:szCs w:val="20"/>
              </w:rPr>
              <w:t>2026</w:t>
            </w:r>
          </w:p>
        </w:tc>
        <w:tc>
          <w:tcPr>
            <w:tcW w:w="1269" w:type="dxa"/>
            <w:shd w:val="clear" w:color="auto" w:fill="D9D9D9"/>
            <w:tcMar>
              <w:top w:w="40" w:type="dxa"/>
              <w:left w:w="40" w:type="dxa"/>
              <w:bottom w:w="40" w:type="dxa"/>
              <w:right w:w="40" w:type="dxa"/>
            </w:tcMar>
            <w:vAlign w:val="center"/>
          </w:tcPr>
          <w:p w14:paraId="0986A42B" w14:textId="77777777" w:rsidR="00EF1D5F" w:rsidRPr="00744F41" w:rsidRDefault="00EF1D5F" w:rsidP="003D4AD9">
            <w:pPr>
              <w:widowControl w:val="0"/>
              <w:spacing w:line="276" w:lineRule="auto"/>
              <w:jc w:val="center"/>
              <w:rPr>
                <w:rFonts w:ascii="Arial" w:eastAsia="Arial" w:hAnsi="Arial" w:cs="Arial"/>
                <w:color w:val="000000"/>
                <w:sz w:val="20"/>
                <w:szCs w:val="20"/>
              </w:rPr>
            </w:pPr>
            <w:r w:rsidRPr="00744F41">
              <w:rPr>
                <w:b/>
                <w:color w:val="000000"/>
                <w:sz w:val="20"/>
                <w:szCs w:val="20"/>
              </w:rPr>
              <w:t>2027</w:t>
            </w:r>
          </w:p>
        </w:tc>
        <w:tc>
          <w:tcPr>
            <w:tcW w:w="1473" w:type="dxa"/>
            <w:shd w:val="clear" w:color="auto" w:fill="D9D9D9"/>
            <w:tcMar>
              <w:top w:w="40" w:type="dxa"/>
              <w:left w:w="40" w:type="dxa"/>
              <w:bottom w:w="40" w:type="dxa"/>
              <w:right w:w="40" w:type="dxa"/>
            </w:tcMar>
            <w:vAlign w:val="center"/>
          </w:tcPr>
          <w:p w14:paraId="0D54B5A7" w14:textId="77777777" w:rsidR="00EF1D5F" w:rsidRPr="00744F41" w:rsidRDefault="00EF1D5F" w:rsidP="003D4AD9">
            <w:pPr>
              <w:widowControl w:val="0"/>
              <w:spacing w:line="276" w:lineRule="auto"/>
              <w:jc w:val="center"/>
              <w:rPr>
                <w:rFonts w:ascii="Arial" w:eastAsia="Arial" w:hAnsi="Arial" w:cs="Arial"/>
                <w:color w:val="000000"/>
                <w:sz w:val="20"/>
                <w:szCs w:val="20"/>
              </w:rPr>
            </w:pPr>
            <w:r w:rsidRPr="00744F41">
              <w:rPr>
                <w:b/>
                <w:color w:val="000000"/>
                <w:sz w:val="20"/>
                <w:szCs w:val="20"/>
              </w:rPr>
              <w:t>Total Inversión</w:t>
            </w:r>
          </w:p>
        </w:tc>
      </w:tr>
      <w:tr w:rsidR="00EF1D5F" w:rsidRPr="00CE7C47" w14:paraId="6D54F7C2" w14:textId="77777777" w:rsidTr="003D4AD9">
        <w:trPr>
          <w:trHeight w:val="315"/>
        </w:trPr>
        <w:tc>
          <w:tcPr>
            <w:tcW w:w="8838" w:type="dxa"/>
            <w:gridSpan w:val="7"/>
            <w:shd w:val="clear" w:color="auto" w:fill="C00000"/>
            <w:tcMar>
              <w:top w:w="40" w:type="dxa"/>
              <w:left w:w="40" w:type="dxa"/>
              <w:bottom w:w="40" w:type="dxa"/>
              <w:right w:w="40" w:type="dxa"/>
            </w:tcMar>
            <w:vAlign w:val="center"/>
          </w:tcPr>
          <w:p w14:paraId="20014F89" w14:textId="77777777" w:rsidR="00EF1D5F" w:rsidRPr="00CE7C47" w:rsidRDefault="00EF1D5F" w:rsidP="003D4AD9">
            <w:pPr>
              <w:widowControl w:val="0"/>
              <w:spacing w:line="276" w:lineRule="auto"/>
              <w:jc w:val="center"/>
              <w:rPr>
                <w:rFonts w:ascii="Arial" w:eastAsia="Arial" w:hAnsi="Arial" w:cs="Arial"/>
                <w:color w:val="FFFFFF" w:themeColor="background1"/>
                <w:sz w:val="24"/>
              </w:rPr>
            </w:pPr>
            <w:r w:rsidRPr="00CE7C47">
              <w:rPr>
                <w:b/>
                <w:color w:val="FFFFFF" w:themeColor="background1"/>
                <w:sz w:val="24"/>
              </w:rPr>
              <w:t>AMBIENTE</w:t>
            </w:r>
          </w:p>
        </w:tc>
      </w:tr>
      <w:tr w:rsidR="00EF1D5F" w14:paraId="49BB0D15" w14:textId="77777777" w:rsidTr="003D4AD9">
        <w:trPr>
          <w:trHeight w:val="345"/>
        </w:trPr>
        <w:tc>
          <w:tcPr>
            <w:tcW w:w="1979" w:type="dxa"/>
            <w:vMerge w:val="restart"/>
            <w:shd w:val="clear" w:color="auto" w:fill="auto"/>
            <w:tcMar>
              <w:top w:w="40" w:type="dxa"/>
              <w:left w:w="40" w:type="dxa"/>
              <w:bottom w:w="40" w:type="dxa"/>
              <w:right w:w="40" w:type="dxa"/>
            </w:tcMar>
            <w:vAlign w:val="center"/>
          </w:tcPr>
          <w:p w14:paraId="6FB1C822"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Implementar (1) un instrumento financiero para la renovación del parque automotor de los vehículos de transporte de carga (FonCarga).</w:t>
            </w:r>
          </w:p>
        </w:tc>
        <w:tc>
          <w:tcPr>
            <w:tcW w:w="1417" w:type="dxa"/>
            <w:shd w:val="clear" w:color="auto" w:fill="auto"/>
            <w:tcMar>
              <w:top w:w="40" w:type="dxa"/>
              <w:left w:w="40" w:type="dxa"/>
              <w:bottom w:w="40" w:type="dxa"/>
              <w:right w:w="40" w:type="dxa"/>
            </w:tcMar>
            <w:vAlign w:val="center"/>
          </w:tcPr>
          <w:p w14:paraId="1257A78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0,00</w:t>
            </w:r>
          </w:p>
        </w:tc>
        <w:tc>
          <w:tcPr>
            <w:tcW w:w="1276" w:type="dxa"/>
            <w:shd w:val="clear" w:color="auto" w:fill="auto"/>
            <w:tcMar>
              <w:top w:w="40" w:type="dxa"/>
              <w:left w:w="40" w:type="dxa"/>
              <w:bottom w:w="40" w:type="dxa"/>
              <w:right w:w="40" w:type="dxa"/>
            </w:tcMar>
            <w:vAlign w:val="center"/>
          </w:tcPr>
          <w:p w14:paraId="47C2C48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0,70</w:t>
            </w:r>
          </w:p>
        </w:tc>
        <w:tc>
          <w:tcPr>
            <w:tcW w:w="1418" w:type="dxa"/>
            <w:shd w:val="clear" w:color="auto" w:fill="auto"/>
            <w:tcMar>
              <w:top w:w="40" w:type="dxa"/>
              <w:left w:w="40" w:type="dxa"/>
              <w:bottom w:w="40" w:type="dxa"/>
              <w:right w:w="40" w:type="dxa"/>
            </w:tcMar>
            <w:vAlign w:val="center"/>
          </w:tcPr>
          <w:p w14:paraId="15FA4AC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0,80</w:t>
            </w:r>
          </w:p>
        </w:tc>
        <w:tc>
          <w:tcPr>
            <w:tcW w:w="1275" w:type="dxa"/>
            <w:gridSpan w:val="2"/>
            <w:shd w:val="clear" w:color="auto" w:fill="auto"/>
            <w:tcMar>
              <w:top w:w="40" w:type="dxa"/>
              <w:left w:w="40" w:type="dxa"/>
              <w:bottom w:w="40" w:type="dxa"/>
              <w:right w:w="40" w:type="dxa"/>
            </w:tcMar>
            <w:vAlign w:val="center"/>
          </w:tcPr>
          <w:p w14:paraId="3E12B48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w:t>
            </w:r>
          </w:p>
        </w:tc>
        <w:tc>
          <w:tcPr>
            <w:tcW w:w="1473" w:type="dxa"/>
            <w:vMerge w:val="restart"/>
            <w:shd w:val="clear" w:color="auto" w:fill="auto"/>
            <w:tcMar>
              <w:top w:w="40" w:type="dxa"/>
              <w:left w:w="40" w:type="dxa"/>
              <w:bottom w:w="40" w:type="dxa"/>
              <w:right w:w="40" w:type="dxa"/>
            </w:tcMar>
            <w:vAlign w:val="center"/>
          </w:tcPr>
          <w:p w14:paraId="6EA4F795"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13.484.703.447</w:t>
            </w:r>
          </w:p>
        </w:tc>
      </w:tr>
      <w:tr w:rsidR="00EF1D5F" w14:paraId="35FC14FE" w14:textId="77777777" w:rsidTr="003D4AD9">
        <w:trPr>
          <w:trHeight w:val="345"/>
        </w:trPr>
        <w:tc>
          <w:tcPr>
            <w:tcW w:w="1979" w:type="dxa"/>
            <w:vMerge/>
            <w:shd w:val="clear" w:color="auto" w:fill="auto"/>
            <w:tcMar>
              <w:top w:w="100" w:type="dxa"/>
              <w:left w:w="100" w:type="dxa"/>
              <w:bottom w:w="100" w:type="dxa"/>
              <w:right w:w="100" w:type="dxa"/>
            </w:tcMar>
          </w:tcPr>
          <w:p w14:paraId="27F1C582"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0132CEC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2.000.000.000</w:t>
            </w:r>
          </w:p>
        </w:tc>
        <w:tc>
          <w:tcPr>
            <w:tcW w:w="1276" w:type="dxa"/>
            <w:shd w:val="clear" w:color="auto" w:fill="auto"/>
            <w:tcMar>
              <w:top w:w="40" w:type="dxa"/>
              <w:left w:w="40" w:type="dxa"/>
              <w:bottom w:w="40" w:type="dxa"/>
              <w:right w:w="40" w:type="dxa"/>
            </w:tcMar>
            <w:vAlign w:val="center"/>
          </w:tcPr>
          <w:p w14:paraId="1532F41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2.427.184.466</w:t>
            </w:r>
          </w:p>
        </w:tc>
        <w:tc>
          <w:tcPr>
            <w:tcW w:w="1418" w:type="dxa"/>
            <w:shd w:val="clear" w:color="auto" w:fill="auto"/>
            <w:tcMar>
              <w:top w:w="40" w:type="dxa"/>
              <w:left w:w="40" w:type="dxa"/>
              <w:bottom w:w="40" w:type="dxa"/>
              <w:right w:w="40" w:type="dxa"/>
            </w:tcMar>
            <w:vAlign w:val="center"/>
          </w:tcPr>
          <w:p w14:paraId="5ECA193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3.708.029.526</w:t>
            </w:r>
          </w:p>
        </w:tc>
        <w:tc>
          <w:tcPr>
            <w:tcW w:w="1275" w:type="dxa"/>
            <w:gridSpan w:val="2"/>
            <w:shd w:val="clear" w:color="auto" w:fill="auto"/>
            <w:tcMar>
              <w:top w:w="40" w:type="dxa"/>
              <w:left w:w="40" w:type="dxa"/>
              <w:bottom w:w="40" w:type="dxa"/>
              <w:right w:w="40" w:type="dxa"/>
            </w:tcMar>
            <w:vAlign w:val="center"/>
          </w:tcPr>
          <w:p w14:paraId="0A369E6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5.349.489.455</w:t>
            </w:r>
          </w:p>
        </w:tc>
        <w:tc>
          <w:tcPr>
            <w:tcW w:w="1473" w:type="dxa"/>
            <w:vMerge/>
            <w:shd w:val="clear" w:color="auto" w:fill="auto"/>
            <w:tcMar>
              <w:top w:w="100" w:type="dxa"/>
              <w:left w:w="100" w:type="dxa"/>
              <w:bottom w:w="100" w:type="dxa"/>
              <w:right w:w="100" w:type="dxa"/>
            </w:tcMar>
          </w:tcPr>
          <w:p w14:paraId="6C669201"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223BCED9" w14:textId="77777777" w:rsidTr="003D4AD9">
        <w:trPr>
          <w:trHeight w:val="315"/>
        </w:trPr>
        <w:tc>
          <w:tcPr>
            <w:tcW w:w="1979" w:type="dxa"/>
            <w:vMerge w:val="restart"/>
            <w:shd w:val="clear" w:color="auto" w:fill="auto"/>
            <w:tcMar>
              <w:top w:w="40" w:type="dxa"/>
              <w:left w:w="40" w:type="dxa"/>
              <w:bottom w:w="40" w:type="dxa"/>
              <w:right w:w="40" w:type="dxa"/>
            </w:tcMar>
            <w:vAlign w:val="center"/>
          </w:tcPr>
          <w:p w14:paraId="22BE2C04"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 xml:space="preserve">Implementar un (1) programa para el control de la Estructura Ecológica </w:t>
            </w:r>
            <w:r w:rsidRPr="00CE7C47">
              <w:rPr>
                <w:color w:val="000000"/>
                <w:sz w:val="16"/>
                <w:szCs w:val="16"/>
              </w:rPr>
              <w:lastRenderedPageBreak/>
              <w:t>Principal.</w:t>
            </w:r>
          </w:p>
        </w:tc>
        <w:tc>
          <w:tcPr>
            <w:tcW w:w="1417" w:type="dxa"/>
            <w:shd w:val="clear" w:color="auto" w:fill="auto"/>
            <w:tcMar>
              <w:top w:w="40" w:type="dxa"/>
              <w:left w:w="40" w:type="dxa"/>
              <w:bottom w:w="40" w:type="dxa"/>
              <w:right w:w="40" w:type="dxa"/>
            </w:tcMar>
            <w:vAlign w:val="center"/>
          </w:tcPr>
          <w:p w14:paraId="74AB63D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lastRenderedPageBreak/>
              <w:t>0,20</w:t>
            </w:r>
          </w:p>
        </w:tc>
        <w:tc>
          <w:tcPr>
            <w:tcW w:w="1276" w:type="dxa"/>
            <w:shd w:val="clear" w:color="auto" w:fill="auto"/>
            <w:tcMar>
              <w:top w:w="40" w:type="dxa"/>
              <w:left w:w="40" w:type="dxa"/>
              <w:bottom w:w="40" w:type="dxa"/>
              <w:right w:w="40" w:type="dxa"/>
            </w:tcMar>
            <w:vAlign w:val="center"/>
          </w:tcPr>
          <w:p w14:paraId="6E2195B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0,20</w:t>
            </w:r>
          </w:p>
        </w:tc>
        <w:tc>
          <w:tcPr>
            <w:tcW w:w="1418" w:type="dxa"/>
            <w:shd w:val="clear" w:color="auto" w:fill="auto"/>
            <w:tcMar>
              <w:top w:w="40" w:type="dxa"/>
              <w:left w:w="40" w:type="dxa"/>
              <w:bottom w:w="40" w:type="dxa"/>
              <w:right w:w="40" w:type="dxa"/>
            </w:tcMar>
            <w:vAlign w:val="center"/>
          </w:tcPr>
          <w:p w14:paraId="1979049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0,30</w:t>
            </w:r>
          </w:p>
        </w:tc>
        <w:tc>
          <w:tcPr>
            <w:tcW w:w="1275" w:type="dxa"/>
            <w:gridSpan w:val="2"/>
            <w:shd w:val="clear" w:color="auto" w:fill="auto"/>
            <w:tcMar>
              <w:top w:w="40" w:type="dxa"/>
              <w:left w:w="40" w:type="dxa"/>
              <w:bottom w:w="40" w:type="dxa"/>
              <w:right w:w="40" w:type="dxa"/>
            </w:tcMar>
            <w:vAlign w:val="center"/>
          </w:tcPr>
          <w:p w14:paraId="52B0F0F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0,30</w:t>
            </w:r>
          </w:p>
        </w:tc>
        <w:tc>
          <w:tcPr>
            <w:tcW w:w="1473" w:type="dxa"/>
            <w:vMerge w:val="restart"/>
            <w:shd w:val="clear" w:color="auto" w:fill="auto"/>
            <w:tcMar>
              <w:top w:w="40" w:type="dxa"/>
              <w:left w:w="40" w:type="dxa"/>
              <w:bottom w:w="40" w:type="dxa"/>
              <w:right w:w="40" w:type="dxa"/>
            </w:tcMar>
            <w:vAlign w:val="center"/>
          </w:tcPr>
          <w:p w14:paraId="6919EA3B"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5.643.687.407</w:t>
            </w:r>
          </w:p>
        </w:tc>
      </w:tr>
      <w:tr w:rsidR="00EF1D5F" w14:paraId="4CE4A150" w14:textId="77777777" w:rsidTr="003D4AD9">
        <w:trPr>
          <w:trHeight w:val="315"/>
        </w:trPr>
        <w:tc>
          <w:tcPr>
            <w:tcW w:w="1979" w:type="dxa"/>
            <w:vMerge/>
            <w:shd w:val="clear" w:color="auto" w:fill="auto"/>
            <w:tcMar>
              <w:top w:w="100" w:type="dxa"/>
              <w:left w:w="100" w:type="dxa"/>
              <w:bottom w:w="100" w:type="dxa"/>
              <w:right w:w="100" w:type="dxa"/>
            </w:tcMar>
          </w:tcPr>
          <w:p w14:paraId="6B7B2682"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6E81349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714.791.000</w:t>
            </w:r>
          </w:p>
        </w:tc>
        <w:tc>
          <w:tcPr>
            <w:tcW w:w="1276" w:type="dxa"/>
            <w:shd w:val="clear" w:color="auto" w:fill="auto"/>
            <w:tcMar>
              <w:top w:w="40" w:type="dxa"/>
              <w:left w:w="40" w:type="dxa"/>
              <w:bottom w:w="40" w:type="dxa"/>
              <w:right w:w="40" w:type="dxa"/>
            </w:tcMar>
            <w:vAlign w:val="center"/>
          </w:tcPr>
          <w:p w14:paraId="6DCBB6A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1.590.352.427</w:t>
            </w:r>
          </w:p>
        </w:tc>
        <w:tc>
          <w:tcPr>
            <w:tcW w:w="1418" w:type="dxa"/>
            <w:shd w:val="clear" w:color="auto" w:fill="auto"/>
            <w:tcMar>
              <w:top w:w="40" w:type="dxa"/>
              <w:left w:w="40" w:type="dxa"/>
              <w:bottom w:w="40" w:type="dxa"/>
              <w:right w:w="40" w:type="dxa"/>
            </w:tcMar>
            <w:vAlign w:val="center"/>
          </w:tcPr>
          <w:p w14:paraId="3B2B4C9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1.684.398.153</w:t>
            </w:r>
          </w:p>
        </w:tc>
        <w:tc>
          <w:tcPr>
            <w:tcW w:w="1275" w:type="dxa"/>
            <w:gridSpan w:val="2"/>
            <w:shd w:val="clear" w:color="auto" w:fill="auto"/>
            <w:tcMar>
              <w:top w:w="40" w:type="dxa"/>
              <w:left w:w="40" w:type="dxa"/>
              <w:bottom w:w="40" w:type="dxa"/>
              <w:right w:w="40" w:type="dxa"/>
            </w:tcMar>
            <w:vAlign w:val="center"/>
          </w:tcPr>
          <w:p w14:paraId="0725CC3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1.654.145.827</w:t>
            </w:r>
          </w:p>
        </w:tc>
        <w:tc>
          <w:tcPr>
            <w:tcW w:w="1473" w:type="dxa"/>
            <w:vMerge/>
            <w:shd w:val="clear" w:color="auto" w:fill="auto"/>
            <w:tcMar>
              <w:top w:w="100" w:type="dxa"/>
              <w:left w:w="100" w:type="dxa"/>
              <w:bottom w:w="100" w:type="dxa"/>
              <w:right w:w="100" w:type="dxa"/>
            </w:tcMar>
          </w:tcPr>
          <w:p w14:paraId="50183CE3"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271ABA7F" w14:textId="77777777" w:rsidTr="003D4AD9">
        <w:trPr>
          <w:trHeight w:val="345"/>
        </w:trPr>
        <w:tc>
          <w:tcPr>
            <w:tcW w:w="1979" w:type="dxa"/>
            <w:vMerge w:val="restart"/>
            <w:shd w:val="clear" w:color="auto" w:fill="auto"/>
            <w:tcMar>
              <w:top w:w="40" w:type="dxa"/>
              <w:left w:w="40" w:type="dxa"/>
              <w:bottom w:w="40" w:type="dxa"/>
              <w:right w:w="40" w:type="dxa"/>
            </w:tcMar>
            <w:vAlign w:val="center"/>
          </w:tcPr>
          <w:p w14:paraId="7A0D5386"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Adelantar 52.200 actuaciones del procedimiento sancionatorio ambiental y del trámite de licenciamiento ambiental.</w:t>
            </w:r>
          </w:p>
        </w:tc>
        <w:tc>
          <w:tcPr>
            <w:tcW w:w="1417" w:type="dxa"/>
            <w:shd w:val="clear" w:color="auto" w:fill="auto"/>
            <w:tcMar>
              <w:top w:w="40" w:type="dxa"/>
              <w:left w:w="40" w:type="dxa"/>
              <w:bottom w:w="40" w:type="dxa"/>
              <w:right w:w="40" w:type="dxa"/>
            </w:tcMar>
            <w:vAlign w:val="center"/>
          </w:tcPr>
          <w:p w14:paraId="6C4A373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5.870</w:t>
            </w:r>
          </w:p>
        </w:tc>
        <w:tc>
          <w:tcPr>
            <w:tcW w:w="1276" w:type="dxa"/>
            <w:shd w:val="clear" w:color="auto" w:fill="auto"/>
            <w:tcMar>
              <w:top w:w="40" w:type="dxa"/>
              <w:left w:w="40" w:type="dxa"/>
              <w:bottom w:w="40" w:type="dxa"/>
              <w:right w:w="40" w:type="dxa"/>
            </w:tcMar>
            <w:vAlign w:val="center"/>
          </w:tcPr>
          <w:p w14:paraId="7635E6D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15.660</w:t>
            </w:r>
          </w:p>
        </w:tc>
        <w:tc>
          <w:tcPr>
            <w:tcW w:w="1418" w:type="dxa"/>
            <w:shd w:val="clear" w:color="auto" w:fill="auto"/>
            <w:tcMar>
              <w:top w:w="40" w:type="dxa"/>
              <w:left w:w="40" w:type="dxa"/>
              <w:bottom w:w="40" w:type="dxa"/>
              <w:right w:w="40" w:type="dxa"/>
            </w:tcMar>
            <w:vAlign w:val="center"/>
          </w:tcPr>
          <w:p w14:paraId="0CE6A60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13.962</w:t>
            </w:r>
          </w:p>
        </w:tc>
        <w:tc>
          <w:tcPr>
            <w:tcW w:w="1275" w:type="dxa"/>
            <w:gridSpan w:val="2"/>
            <w:shd w:val="clear" w:color="auto" w:fill="auto"/>
            <w:tcMar>
              <w:top w:w="40" w:type="dxa"/>
              <w:left w:w="40" w:type="dxa"/>
              <w:bottom w:w="40" w:type="dxa"/>
              <w:right w:w="40" w:type="dxa"/>
            </w:tcMar>
            <w:vAlign w:val="center"/>
          </w:tcPr>
          <w:p w14:paraId="077CD44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16.708</w:t>
            </w:r>
          </w:p>
        </w:tc>
        <w:tc>
          <w:tcPr>
            <w:tcW w:w="1473" w:type="dxa"/>
            <w:vMerge w:val="restart"/>
            <w:shd w:val="clear" w:color="auto" w:fill="auto"/>
            <w:tcMar>
              <w:top w:w="40" w:type="dxa"/>
              <w:left w:w="40" w:type="dxa"/>
              <w:bottom w:w="40" w:type="dxa"/>
              <w:right w:w="40" w:type="dxa"/>
            </w:tcMar>
            <w:vAlign w:val="center"/>
          </w:tcPr>
          <w:p w14:paraId="5AE8914A"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72.999.478.669</w:t>
            </w:r>
          </w:p>
        </w:tc>
      </w:tr>
      <w:tr w:rsidR="00EF1D5F" w14:paraId="5E410F59" w14:textId="77777777" w:rsidTr="003D4AD9">
        <w:trPr>
          <w:trHeight w:val="345"/>
        </w:trPr>
        <w:tc>
          <w:tcPr>
            <w:tcW w:w="1979" w:type="dxa"/>
            <w:vMerge/>
            <w:shd w:val="clear" w:color="auto" w:fill="auto"/>
            <w:tcMar>
              <w:top w:w="100" w:type="dxa"/>
              <w:left w:w="100" w:type="dxa"/>
              <w:bottom w:w="100" w:type="dxa"/>
              <w:right w:w="100" w:type="dxa"/>
            </w:tcMar>
          </w:tcPr>
          <w:p w14:paraId="47716238"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63D1CE2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7.757.395.434</w:t>
            </w:r>
          </w:p>
        </w:tc>
        <w:tc>
          <w:tcPr>
            <w:tcW w:w="1276" w:type="dxa"/>
            <w:shd w:val="clear" w:color="auto" w:fill="auto"/>
            <w:tcMar>
              <w:top w:w="40" w:type="dxa"/>
              <w:left w:w="40" w:type="dxa"/>
              <w:bottom w:w="40" w:type="dxa"/>
              <w:right w:w="40" w:type="dxa"/>
            </w:tcMar>
            <w:vAlign w:val="center"/>
          </w:tcPr>
          <w:p w14:paraId="02DE261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22.161.223.395</w:t>
            </w:r>
          </w:p>
        </w:tc>
        <w:tc>
          <w:tcPr>
            <w:tcW w:w="1418" w:type="dxa"/>
            <w:shd w:val="clear" w:color="auto" w:fill="auto"/>
            <w:tcMar>
              <w:top w:w="40" w:type="dxa"/>
              <w:left w:w="40" w:type="dxa"/>
              <w:bottom w:w="40" w:type="dxa"/>
              <w:right w:w="40" w:type="dxa"/>
            </w:tcMar>
            <w:vAlign w:val="center"/>
          </w:tcPr>
          <w:p w14:paraId="1F678F6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20.479.961.354</w:t>
            </w:r>
          </w:p>
        </w:tc>
        <w:tc>
          <w:tcPr>
            <w:tcW w:w="1275" w:type="dxa"/>
            <w:gridSpan w:val="2"/>
            <w:shd w:val="clear" w:color="auto" w:fill="auto"/>
            <w:tcMar>
              <w:top w:w="40" w:type="dxa"/>
              <w:left w:w="40" w:type="dxa"/>
              <w:bottom w:w="40" w:type="dxa"/>
              <w:right w:w="40" w:type="dxa"/>
            </w:tcMar>
            <w:vAlign w:val="center"/>
          </w:tcPr>
          <w:p w14:paraId="62F6315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22.600.898.486</w:t>
            </w:r>
          </w:p>
        </w:tc>
        <w:tc>
          <w:tcPr>
            <w:tcW w:w="1473" w:type="dxa"/>
            <w:vMerge/>
            <w:shd w:val="clear" w:color="auto" w:fill="auto"/>
            <w:tcMar>
              <w:top w:w="100" w:type="dxa"/>
              <w:left w:w="100" w:type="dxa"/>
              <w:bottom w:w="100" w:type="dxa"/>
              <w:right w:w="100" w:type="dxa"/>
            </w:tcMar>
          </w:tcPr>
          <w:p w14:paraId="19D011A1"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6C3E37B6" w14:textId="77777777" w:rsidTr="003D4AD9">
        <w:trPr>
          <w:trHeight w:val="315"/>
        </w:trPr>
        <w:tc>
          <w:tcPr>
            <w:tcW w:w="1979" w:type="dxa"/>
            <w:vMerge w:val="restart"/>
            <w:shd w:val="clear" w:color="auto" w:fill="auto"/>
            <w:tcMar>
              <w:top w:w="40" w:type="dxa"/>
              <w:left w:w="40" w:type="dxa"/>
              <w:bottom w:w="40" w:type="dxa"/>
              <w:right w:w="40" w:type="dxa"/>
            </w:tcMar>
            <w:vAlign w:val="center"/>
          </w:tcPr>
          <w:p w14:paraId="00F6BC93"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Controlar 25.200 usuarios generadores de residuos especiales peligrosos y de manejo diferenciado</w:t>
            </w:r>
          </w:p>
        </w:tc>
        <w:tc>
          <w:tcPr>
            <w:tcW w:w="1417" w:type="dxa"/>
            <w:shd w:val="clear" w:color="auto" w:fill="auto"/>
            <w:tcMar>
              <w:top w:w="40" w:type="dxa"/>
              <w:left w:w="40" w:type="dxa"/>
              <w:bottom w:w="40" w:type="dxa"/>
              <w:right w:w="40" w:type="dxa"/>
            </w:tcMar>
            <w:vAlign w:val="center"/>
          </w:tcPr>
          <w:p w14:paraId="14AD14D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3.000</w:t>
            </w:r>
          </w:p>
        </w:tc>
        <w:tc>
          <w:tcPr>
            <w:tcW w:w="1276" w:type="dxa"/>
            <w:shd w:val="clear" w:color="auto" w:fill="auto"/>
            <w:tcMar>
              <w:top w:w="40" w:type="dxa"/>
              <w:left w:w="40" w:type="dxa"/>
              <w:bottom w:w="40" w:type="dxa"/>
              <w:right w:w="40" w:type="dxa"/>
            </w:tcMar>
            <w:vAlign w:val="center"/>
          </w:tcPr>
          <w:p w14:paraId="4F045F5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6.950</w:t>
            </w:r>
          </w:p>
        </w:tc>
        <w:tc>
          <w:tcPr>
            <w:tcW w:w="1418" w:type="dxa"/>
            <w:shd w:val="clear" w:color="auto" w:fill="auto"/>
            <w:tcMar>
              <w:top w:w="40" w:type="dxa"/>
              <w:left w:w="40" w:type="dxa"/>
              <w:bottom w:w="40" w:type="dxa"/>
              <w:right w:w="40" w:type="dxa"/>
            </w:tcMar>
            <w:vAlign w:val="center"/>
          </w:tcPr>
          <w:p w14:paraId="75CB0BB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7.600</w:t>
            </w:r>
          </w:p>
        </w:tc>
        <w:tc>
          <w:tcPr>
            <w:tcW w:w="1275" w:type="dxa"/>
            <w:gridSpan w:val="2"/>
            <w:shd w:val="clear" w:color="auto" w:fill="auto"/>
            <w:tcMar>
              <w:top w:w="40" w:type="dxa"/>
              <w:left w:w="40" w:type="dxa"/>
              <w:bottom w:w="40" w:type="dxa"/>
              <w:right w:w="40" w:type="dxa"/>
            </w:tcMar>
            <w:vAlign w:val="center"/>
          </w:tcPr>
          <w:p w14:paraId="098CA7E6"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7.650</w:t>
            </w:r>
          </w:p>
        </w:tc>
        <w:tc>
          <w:tcPr>
            <w:tcW w:w="1473" w:type="dxa"/>
            <w:vMerge w:val="restart"/>
            <w:shd w:val="clear" w:color="auto" w:fill="auto"/>
            <w:tcMar>
              <w:top w:w="40" w:type="dxa"/>
              <w:left w:w="40" w:type="dxa"/>
              <w:bottom w:w="40" w:type="dxa"/>
              <w:right w:w="40" w:type="dxa"/>
            </w:tcMar>
            <w:vAlign w:val="center"/>
          </w:tcPr>
          <w:p w14:paraId="7411DC52"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19.918.247.316</w:t>
            </w:r>
          </w:p>
        </w:tc>
      </w:tr>
      <w:tr w:rsidR="00EF1D5F" w14:paraId="17AC49B1" w14:textId="77777777" w:rsidTr="003D4AD9">
        <w:trPr>
          <w:trHeight w:val="315"/>
        </w:trPr>
        <w:tc>
          <w:tcPr>
            <w:tcW w:w="1979" w:type="dxa"/>
            <w:vMerge/>
            <w:shd w:val="clear" w:color="auto" w:fill="auto"/>
            <w:tcMar>
              <w:top w:w="100" w:type="dxa"/>
              <w:left w:w="100" w:type="dxa"/>
              <w:bottom w:w="100" w:type="dxa"/>
              <w:right w:w="100" w:type="dxa"/>
            </w:tcMar>
          </w:tcPr>
          <w:p w14:paraId="29EC401F"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6764BA9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1.473.628.440</w:t>
            </w:r>
          </w:p>
        </w:tc>
        <w:tc>
          <w:tcPr>
            <w:tcW w:w="1276" w:type="dxa"/>
            <w:shd w:val="clear" w:color="auto" w:fill="auto"/>
            <w:tcMar>
              <w:top w:w="40" w:type="dxa"/>
              <w:left w:w="40" w:type="dxa"/>
              <w:bottom w:w="40" w:type="dxa"/>
              <w:right w:w="40" w:type="dxa"/>
            </w:tcMar>
            <w:vAlign w:val="center"/>
          </w:tcPr>
          <w:p w14:paraId="1E57A1E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6.008.557.282</w:t>
            </w:r>
          </w:p>
        </w:tc>
        <w:tc>
          <w:tcPr>
            <w:tcW w:w="1418" w:type="dxa"/>
            <w:shd w:val="clear" w:color="auto" w:fill="auto"/>
            <w:tcMar>
              <w:top w:w="40" w:type="dxa"/>
              <w:left w:w="40" w:type="dxa"/>
              <w:bottom w:w="40" w:type="dxa"/>
              <w:right w:w="40" w:type="dxa"/>
            </w:tcMar>
            <w:vAlign w:val="center"/>
          </w:tcPr>
          <w:p w14:paraId="22E9F8D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6.302.106.702</w:t>
            </w:r>
          </w:p>
        </w:tc>
        <w:tc>
          <w:tcPr>
            <w:tcW w:w="1275" w:type="dxa"/>
            <w:gridSpan w:val="2"/>
            <w:shd w:val="clear" w:color="auto" w:fill="auto"/>
            <w:tcMar>
              <w:top w:w="40" w:type="dxa"/>
              <w:left w:w="40" w:type="dxa"/>
              <w:bottom w:w="40" w:type="dxa"/>
              <w:right w:w="40" w:type="dxa"/>
            </w:tcMar>
            <w:vAlign w:val="center"/>
          </w:tcPr>
          <w:p w14:paraId="04FC7AF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6.133.954.893</w:t>
            </w:r>
          </w:p>
        </w:tc>
        <w:tc>
          <w:tcPr>
            <w:tcW w:w="1473" w:type="dxa"/>
            <w:vMerge/>
            <w:shd w:val="clear" w:color="auto" w:fill="auto"/>
            <w:tcMar>
              <w:top w:w="100" w:type="dxa"/>
              <w:left w:w="100" w:type="dxa"/>
              <w:bottom w:w="100" w:type="dxa"/>
              <w:right w:w="100" w:type="dxa"/>
            </w:tcMar>
          </w:tcPr>
          <w:p w14:paraId="65054EC8"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662EEDC2" w14:textId="77777777" w:rsidTr="003D4AD9">
        <w:trPr>
          <w:trHeight w:val="315"/>
        </w:trPr>
        <w:tc>
          <w:tcPr>
            <w:tcW w:w="1979" w:type="dxa"/>
            <w:vMerge w:val="restart"/>
            <w:shd w:val="clear" w:color="auto" w:fill="auto"/>
            <w:tcMar>
              <w:top w:w="40" w:type="dxa"/>
              <w:left w:w="40" w:type="dxa"/>
              <w:bottom w:w="40" w:type="dxa"/>
              <w:right w:w="40" w:type="dxa"/>
            </w:tcMar>
            <w:vAlign w:val="center"/>
          </w:tcPr>
          <w:p w14:paraId="4793C884"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Implementar dos (2) Zonas Urbanas por un Mejor Aire</w:t>
            </w:r>
          </w:p>
        </w:tc>
        <w:tc>
          <w:tcPr>
            <w:tcW w:w="1417" w:type="dxa"/>
            <w:shd w:val="clear" w:color="auto" w:fill="auto"/>
            <w:tcMar>
              <w:top w:w="40" w:type="dxa"/>
              <w:left w:w="40" w:type="dxa"/>
              <w:bottom w:w="40" w:type="dxa"/>
              <w:right w:w="40" w:type="dxa"/>
            </w:tcMar>
            <w:vAlign w:val="center"/>
          </w:tcPr>
          <w:p w14:paraId="0B80592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0,0</w:t>
            </w:r>
          </w:p>
        </w:tc>
        <w:tc>
          <w:tcPr>
            <w:tcW w:w="1276" w:type="dxa"/>
            <w:shd w:val="clear" w:color="auto" w:fill="auto"/>
            <w:tcMar>
              <w:top w:w="40" w:type="dxa"/>
              <w:left w:w="40" w:type="dxa"/>
              <w:bottom w:w="40" w:type="dxa"/>
              <w:right w:w="40" w:type="dxa"/>
            </w:tcMar>
            <w:vAlign w:val="center"/>
          </w:tcPr>
          <w:p w14:paraId="55E907E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1,5</w:t>
            </w:r>
          </w:p>
        </w:tc>
        <w:tc>
          <w:tcPr>
            <w:tcW w:w="1418" w:type="dxa"/>
            <w:shd w:val="clear" w:color="auto" w:fill="auto"/>
            <w:tcMar>
              <w:top w:w="40" w:type="dxa"/>
              <w:left w:w="40" w:type="dxa"/>
              <w:bottom w:w="40" w:type="dxa"/>
              <w:right w:w="40" w:type="dxa"/>
            </w:tcMar>
            <w:vAlign w:val="center"/>
          </w:tcPr>
          <w:p w14:paraId="67E127D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1,7</w:t>
            </w:r>
          </w:p>
        </w:tc>
        <w:tc>
          <w:tcPr>
            <w:tcW w:w="1275" w:type="dxa"/>
            <w:gridSpan w:val="2"/>
            <w:shd w:val="clear" w:color="auto" w:fill="auto"/>
            <w:tcMar>
              <w:top w:w="40" w:type="dxa"/>
              <w:left w:w="40" w:type="dxa"/>
              <w:bottom w:w="40" w:type="dxa"/>
              <w:right w:w="40" w:type="dxa"/>
            </w:tcMar>
            <w:vAlign w:val="center"/>
          </w:tcPr>
          <w:p w14:paraId="43C27E2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w:t>
            </w:r>
          </w:p>
        </w:tc>
        <w:tc>
          <w:tcPr>
            <w:tcW w:w="1473" w:type="dxa"/>
            <w:vMerge w:val="restart"/>
            <w:shd w:val="clear" w:color="auto" w:fill="auto"/>
            <w:tcMar>
              <w:top w:w="40" w:type="dxa"/>
              <w:left w:w="40" w:type="dxa"/>
              <w:bottom w:w="40" w:type="dxa"/>
              <w:right w:w="40" w:type="dxa"/>
            </w:tcMar>
            <w:vAlign w:val="center"/>
          </w:tcPr>
          <w:p w14:paraId="176DB113"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1.218.412.704</w:t>
            </w:r>
          </w:p>
        </w:tc>
      </w:tr>
      <w:tr w:rsidR="00EF1D5F" w14:paraId="2B04AC73" w14:textId="77777777" w:rsidTr="003D4AD9">
        <w:trPr>
          <w:trHeight w:val="315"/>
        </w:trPr>
        <w:tc>
          <w:tcPr>
            <w:tcW w:w="1979" w:type="dxa"/>
            <w:vMerge/>
            <w:shd w:val="clear" w:color="auto" w:fill="auto"/>
            <w:tcMar>
              <w:top w:w="100" w:type="dxa"/>
              <w:left w:w="100" w:type="dxa"/>
              <w:bottom w:w="100" w:type="dxa"/>
              <w:right w:w="100" w:type="dxa"/>
            </w:tcMar>
          </w:tcPr>
          <w:p w14:paraId="31640CBC"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6649594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138.992.143</w:t>
            </w:r>
          </w:p>
        </w:tc>
        <w:tc>
          <w:tcPr>
            <w:tcW w:w="1276" w:type="dxa"/>
            <w:shd w:val="clear" w:color="auto" w:fill="auto"/>
            <w:tcMar>
              <w:top w:w="40" w:type="dxa"/>
              <w:left w:w="40" w:type="dxa"/>
              <w:bottom w:w="40" w:type="dxa"/>
              <w:right w:w="40" w:type="dxa"/>
            </w:tcMar>
            <w:vAlign w:val="center"/>
          </w:tcPr>
          <w:p w14:paraId="26F379A6"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356.306.696</w:t>
            </w:r>
          </w:p>
        </w:tc>
        <w:tc>
          <w:tcPr>
            <w:tcW w:w="1418" w:type="dxa"/>
            <w:shd w:val="clear" w:color="auto" w:fill="auto"/>
            <w:tcMar>
              <w:top w:w="40" w:type="dxa"/>
              <w:left w:w="40" w:type="dxa"/>
              <w:bottom w:w="40" w:type="dxa"/>
              <w:right w:w="40" w:type="dxa"/>
            </w:tcMar>
            <w:vAlign w:val="center"/>
          </w:tcPr>
          <w:p w14:paraId="658EA24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345.928.831</w:t>
            </w:r>
          </w:p>
        </w:tc>
        <w:tc>
          <w:tcPr>
            <w:tcW w:w="1275" w:type="dxa"/>
            <w:gridSpan w:val="2"/>
            <w:shd w:val="clear" w:color="auto" w:fill="auto"/>
            <w:tcMar>
              <w:top w:w="40" w:type="dxa"/>
              <w:left w:w="40" w:type="dxa"/>
              <w:bottom w:w="40" w:type="dxa"/>
              <w:right w:w="40" w:type="dxa"/>
            </w:tcMar>
            <w:vAlign w:val="center"/>
          </w:tcPr>
          <w:p w14:paraId="2BF3865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377.185.033</w:t>
            </w:r>
          </w:p>
        </w:tc>
        <w:tc>
          <w:tcPr>
            <w:tcW w:w="1473" w:type="dxa"/>
            <w:vMerge/>
            <w:shd w:val="clear" w:color="auto" w:fill="auto"/>
            <w:tcMar>
              <w:top w:w="100" w:type="dxa"/>
              <w:left w:w="100" w:type="dxa"/>
              <w:bottom w:w="100" w:type="dxa"/>
              <w:right w:w="100" w:type="dxa"/>
            </w:tcMar>
          </w:tcPr>
          <w:p w14:paraId="38763CBB"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1F6F71E6" w14:textId="77777777" w:rsidTr="003D4AD9">
        <w:trPr>
          <w:trHeight w:val="315"/>
        </w:trPr>
        <w:tc>
          <w:tcPr>
            <w:tcW w:w="1979" w:type="dxa"/>
            <w:vMerge w:val="restart"/>
            <w:shd w:val="clear" w:color="auto" w:fill="auto"/>
            <w:tcMar>
              <w:top w:w="40" w:type="dxa"/>
              <w:left w:w="40" w:type="dxa"/>
              <w:bottom w:w="40" w:type="dxa"/>
              <w:right w:w="40" w:type="dxa"/>
            </w:tcMar>
            <w:vAlign w:val="center"/>
          </w:tcPr>
          <w:p w14:paraId="6D587B6F"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Implementar un (1) programa de control y planificación sobre el recurso hídrico y sus factores de impacto en el D.C.</w:t>
            </w:r>
          </w:p>
        </w:tc>
        <w:tc>
          <w:tcPr>
            <w:tcW w:w="1417" w:type="dxa"/>
            <w:shd w:val="clear" w:color="auto" w:fill="auto"/>
            <w:tcMar>
              <w:top w:w="40" w:type="dxa"/>
              <w:left w:w="40" w:type="dxa"/>
              <w:bottom w:w="40" w:type="dxa"/>
              <w:right w:w="40" w:type="dxa"/>
            </w:tcMar>
            <w:vAlign w:val="center"/>
          </w:tcPr>
          <w:p w14:paraId="7684525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w:t>
            </w:r>
          </w:p>
        </w:tc>
        <w:tc>
          <w:tcPr>
            <w:tcW w:w="1276" w:type="dxa"/>
            <w:shd w:val="clear" w:color="auto" w:fill="auto"/>
            <w:tcMar>
              <w:top w:w="40" w:type="dxa"/>
              <w:left w:w="40" w:type="dxa"/>
              <w:bottom w:w="40" w:type="dxa"/>
              <w:right w:w="40" w:type="dxa"/>
            </w:tcMar>
            <w:vAlign w:val="center"/>
          </w:tcPr>
          <w:p w14:paraId="4D58187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w:t>
            </w:r>
          </w:p>
        </w:tc>
        <w:tc>
          <w:tcPr>
            <w:tcW w:w="1418" w:type="dxa"/>
            <w:shd w:val="clear" w:color="auto" w:fill="auto"/>
            <w:tcMar>
              <w:top w:w="40" w:type="dxa"/>
              <w:left w:w="40" w:type="dxa"/>
              <w:bottom w:w="40" w:type="dxa"/>
              <w:right w:w="40" w:type="dxa"/>
            </w:tcMar>
            <w:vAlign w:val="center"/>
          </w:tcPr>
          <w:p w14:paraId="47AE877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w:t>
            </w:r>
          </w:p>
        </w:tc>
        <w:tc>
          <w:tcPr>
            <w:tcW w:w="1275" w:type="dxa"/>
            <w:gridSpan w:val="2"/>
            <w:shd w:val="clear" w:color="auto" w:fill="auto"/>
            <w:tcMar>
              <w:top w:w="40" w:type="dxa"/>
              <w:left w:w="40" w:type="dxa"/>
              <w:bottom w:w="40" w:type="dxa"/>
              <w:right w:w="40" w:type="dxa"/>
            </w:tcMar>
            <w:vAlign w:val="center"/>
          </w:tcPr>
          <w:p w14:paraId="0D90711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w:t>
            </w:r>
          </w:p>
        </w:tc>
        <w:tc>
          <w:tcPr>
            <w:tcW w:w="1473" w:type="dxa"/>
            <w:vMerge w:val="restart"/>
            <w:shd w:val="clear" w:color="auto" w:fill="auto"/>
            <w:tcMar>
              <w:top w:w="40" w:type="dxa"/>
              <w:left w:w="40" w:type="dxa"/>
              <w:bottom w:w="40" w:type="dxa"/>
              <w:right w:w="40" w:type="dxa"/>
            </w:tcMar>
            <w:vAlign w:val="center"/>
          </w:tcPr>
          <w:p w14:paraId="79507A44"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61.495.349.210</w:t>
            </w:r>
          </w:p>
        </w:tc>
      </w:tr>
      <w:tr w:rsidR="00EF1D5F" w14:paraId="64952CE4" w14:textId="77777777" w:rsidTr="003D4AD9">
        <w:trPr>
          <w:trHeight w:val="660"/>
        </w:trPr>
        <w:tc>
          <w:tcPr>
            <w:tcW w:w="1979" w:type="dxa"/>
            <w:vMerge/>
            <w:shd w:val="clear" w:color="auto" w:fill="auto"/>
            <w:tcMar>
              <w:top w:w="100" w:type="dxa"/>
              <w:left w:w="100" w:type="dxa"/>
              <w:bottom w:w="100" w:type="dxa"/>
              <w:right w:w="100" w:type="dxa"/>
            </w:tcMar>
          </w:tcPr>
          <w:p w14:paraId="11714D50"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42AFB7D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6.717.650.100</w:t>
            </w:r>
          </w:p>
        </w:tc>
        <w:tc>
          <w:tcPr>
            <w:tcW w:w="1276" w:type="dxa"/>
            <w:shd w:val="clear" w:color="auto" w:fill="auto"/>
            <w:tcMar>
              <w:top w:w="40" w:type="dxa"/>
              <w:left w:w="40" w:type="dxa"/>
              <w:bottom w:w="40" w:type="dxa"/>
              <w:right w:w="40" w:type="dxa"/>
            </w:tcMar>
            <w:vAlign w:val="center"/>
          </w:tcPr>
          <w:p w14:paraId="6A2CEC1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17.772.786.408</w:t>
            </w:r>
          </w:p>
        </w:tc>
        <w:tc>
          <w:tcPr>
            <w:tcW w:w="1418" w:type="dxa"/>
            <w:shd w:val="clear" w:color="auto" w:fill="auto"/>
            <w:tcMar>
              <w:top w:w="40" w:type="dxa"/>
              <w:left w:w="40" w:type="dxa"/>
              <w:bottom w:w="40" w:type="dxa"/>
              <w:right w:w="40" w:type="dxa"/>
            </w:tcMar>
            <w:vAlign w:val="center"/>
          </w:tcPr>
          <w:p w14:paraId="586A8D5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18.823.783.580</w:t>
            </w:r>
          </w:p>
        </w:tc>
        <w:tc>
          <w:tcPr>
            <w:tcW w:w="1275" w:type="dxa"/>
            <w:gridSpan w:val="2"/>
            <w:shd w:val="clear" w:color="auto" w:fill="auto"/>
            <w:tcMar>
              <w:top w:w="40" w:type="dxa"/>
              <w:left w:w="40" w:type="dxa"/>
              <w:bottom w:w="40" w:type="dxa"/>
              <w:right w:w="40" w:type="dxa"/>
            </w:tcMar>
            <w:vAlign w:val="center"/>
          </w:tcPr>
          <w:p w14:paraId="0ABD320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18.181.129.122</w:t>
            </w:r>
          </w:p>
        </w:tc>
        <w:tc>
          <w:tcPr>
            <w:tcW w:w="1473" w:type="dxa"/>
            <w:vMerge/>
            <w:shd w:val="clear" w:color="auto" w:fill="auto"/>
            <w:tcMar>
              <w:top w:w="100" w:type="dxa"/>
              <w:left w:w="100" w:type="dxa"/>
              <w:bottom w:w="100" w:type="dxa"/>
              <w:right w:w="100" w:type="dxa"/>
            </w:tcMar>
          </w:tcPr>
          <w:p w14:paraId="1734EDD8"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7D04F141" w14:textId="77777777" w:rsidTr="003D4AD9">
        <w:trPr>
          <w:trHeight w:val="660"/>
        </w:trPr>
        <w:tc>
          <w:tcPr>
            <w:tcW w:w="1979" w:type="dxa"/>
            <w:vMerge w:val="restart"/>
            <w:shd w:val="clear" w:color="auto" w:fill="auto"/>
            <w:tcMar>
              <w:top w:w="40" w:type="dxa"/>
              <w:left w:w="40" w:type="dxa"/>
              <w:bottom w:w="40" w:type="dxa"/>
              <w:right w:w="40" w:type="dxa"/>
            </w:tcMar>
            <w:vAlign w:val="center"/>
          </w:tcPr>
          <w:p w14:paraId="49E81439"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Implementar un (1) programa para el control al aprovechamiento de la flora arbolado urbano y fauna silvestre en Bogotá D.C.</w:t>
            </w:r>
          </w:p>
        </w:tc>
        <w:tc>
          <w:tcPr>
            <w:tcW w:w="1417" w:type="dxa"/>
            <w:shd w:val="clear" w:color="auto" w:fill="auto"/>
            <w:tcMar>
              <w:top w:w="40" w:type="dxa"/>
              <w:left w:w="40" w:type="dxa"/>
              <w:bottom w:w="40" w:type="dxa"/>
              <w:right w:w="40" w:type="dxa"/>
            </w:tcMar>
            <w:vAlign w:val="center"/>
          </w:tcPr>
          <w:p w14:paraId="675CB00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0,1</w:t>
            </w:r>
          </w:p>
        </w:tc>
        <w:tc>
          <w:tcPr>
            <w:tcW w:w="1276" w:type="dxa"/>
            <w:shd w:val="clear" w:color="auto" w:fill="auto"/>
            <w:tcMar>
              <w:top w:w="40" w:type="dxa"/>
              <w:left w:w="40" w:type="dxa"/>
              <w:bottom w:w="40" w:type="dxa"/>
              <w:right w:w="40" w:type="dxa"/>
            </w:tcMar>
            <w:vAlign w:val="center"/>
          </w:tcPr>
          <w:p w14:paraId="69DA4799" w14:textId="0589AC5B"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r w:rsidR="005B3853">
              <w:rPr>
                <w:color w:val="000000"/>
                <w:sz w:val="16"/>
                <w:szCs w:val="16"/>
              </w:rPr>
              <w:t>25</w:t>
            </w:r>
          </w:p>
        </w:tc>
        <w:tc>
          <w:tcPr>
            <w:tcW w:w="1418" w:type="dxa"/>
            <w:shd w:val="clear" w:color="auto" w:fill="auto"/>
            <w:tcMar>
              <w:top w:w="40" w:type="dxa"/>
              <w:left w:w="40" w:type="dxa"/>
              <w:bottom w:w="40" w:type="dxa"/>
              <w:right w:w="40" w:type="dxa"/>
            </w:tcMar>
            <w:vAlign w:val="center"/>
          </w:tcPr>
          <w:p w14:paraId="75F99BDC" w14:textId="04E65719"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r w:rsidR="005B3853">
              <w:rPr>
                <w:color w:val="000000"/>
                <w:sz w:val="16"/>
                <w:szCs w:val="16"/>
              </w:rPr>
              <w:t>25</w:t>
            </w:r>
          </w:p>
        </w:tc>
        <w:tc>
          <w:tcPr>
            <w:tcW w:w="1275" w:type="dxa"/>
            <w:gridSpan w:val="2"/>
            <w:shd w:val="clear" w:color="auto" w:fill="auto"/>
            <w:tcMar>
              <w:top w:w="40" w:type="dxa"/>
              <w:left w:w="40" w:type="dxa"/>
              <w:bottom w:w="40" w:type="dxa"/>
              <w:right w:w="40" w:type="dxa"/>
            </w:tcMar>
            <w:vAlign w:val="center"/>
          </w:tcPr>
          <w:p w14:paraId="03DD3A9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0,4</w:t>
            </w:r>
          </w:p>
        </w:tc>
        <w:tc>
          <w:tcPr>
            <w:tcW w:w="1473" w:type="dxa"/>
            <w:vMerge w:val="restart"/>
            <w:shd w:val="clear" w:color="auto" w:fill="auto"/>
            <w:tcMar>
              <w:top w:w="40" w:type="dxa"/>
              <w:left w:w="40" w:type="dxa"/>
              <w:bottom w:w="40" w:type="dxa"/>
              <w:right w:w="40" w:type="dxa"/>
            </w:tcMar>
            <w:vAlign w:val="center"/>
          </w:tcPr>
          <w:p w14:paraId="591E5DE5"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49.686.112.868</w:t>
            </w:r>
          </w:p>
        </w:tc>
      </w:tr>
      <w:tr w:rsidR="00EF1D5F" w14:paraId="5DCEAE8E" w14:textId="77777777" w:rsidTr="003D4AD9">
        <w:trPr>
          <w:trHeight w:val="660"/>
        </w:trPr>
        <w:tc>
          <w:tcPr>
            <w:tcW w:w="1979" w:type="dxa"/>
            <w:vMerge/>
            <w:shd w:val="clear" w:color="auto" w:fill="auto"/>
            <w:tcMar>
              <w:top w:w="100" w:type="dxa"/>
              <w:left w:w="100" w:type="dxa"/>
              <w:bottom w:w="100" w:type="dxa"/>
              <w:right w:w="100" w:type="dxa"/>
            </w:tcMar>
          </w:tcPr>
          <w:p w14:paraId="41A84D5D"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70ACC146"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7.918.087.131</w:t>
            </w:r>
          </w:p>
        </w:tc>
        <w:tc>
          <w:tcPr>
            <w:tcW w:w="1276" w:type="dxa"/>
            <w:shd w:val="clear" w:color="auto" w:fill="auto"/>
            <w:tcMar>
              <w:top w:w="40" w:type="dxa"/>
              <w:left w:w="40" w:type="dxa"/>
              <w:bottom w:w="40" w:type="dxa"/>
              <w:right w:w="40" w:type="dxa"/>
            </w:tcMar>
            <w:vAlign w:val="center"/>
          </w:tcPr>
          <w:p w14:paraId="2E7F882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11.639.093.856</w:t>
            </w:r>
          </w:p>
        </w:tc>
        <w:tc>
          <w:tcPr>
            <w:tcW w:w="1418" w:type="dxa"/>
            <w:shd w:val="clear" w:color="auto" w:fill="auto"/>
            <w:tcMar>
              <w:top w:w="40" w:type="dxa"/>
              <w:left w:w="40" w:type="dxa"/>
              <w:bottom w:w="40" w:type="dxa"/>
              <w:right w:w="40" w:type="dxa"/>
            </w:tcMar>
            <w:vAlign w:val="center"/>
          </w:tcPr>
          <w:p w14:paraId="6D960A7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11.639.093.856</w:t>
            </w:r>
          </w:p>
        </w:tc>
        <w:tc>
          <w:tcPr>
            <w:tcW w:w="1275" w:type="dxa"/>
            <w:gridSpan w:val="2"/>
            <w:shd w:val="clear" w:color="auto" w:fill="auto"/>
            <w:tcMar>
              <w:top w:w="40" w:type="dxa"/>
              <w:left w:w="40" w:type="dxa"/>
              <w:bottom w:w="40" w:type="dxa"/>
              <w:right w:w="40" w:type="dxa"/>
            </w:tcMar>
            <w:vAlign w:val="center"/>
          </w:tcPr>
          <w:p w14:paraId="301C651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18.489.838.025</w:t>
            </w:r>
          </w:p>
        </w:tc>
        <w:tc>
          <w:tcPr>
            <w:tcW w:w="1473" w:type="dxa"/>
            <w:vMerge/>
            <w:shd w:val="clear" w:color="auto" w:fill="auto"/>
            <w:tcMar>
              <w:top w:w="100" w:type="dxa"/>
              <w:left w:w="100" w:type="dxa"/>
              <w:bottom w:w="100" w:type="dxa"/>
              <w:right w:w="100" w:type="dxa"/>
            </w:tcMar>
          </w:tcPr>
          <w:p w14:paraId="4C5E6ED5"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3ADF7CC7" w14:textId="77777777" w:rsidTr="003D4AD9">
        <w:trPr>
          <w:trHeight w:val="660"/>
        </w:trPr>
        <w:tc>
          <w:tcPr>
            <w:tcW w:w="1979" w:type="dxa"/>
            <w:vMerge w:val="restart"/>
            <w:shd w:val="clear" w:color="auto" w:fill="auto"/>
            <w:tcMar>
              <w:top w:w="40" w:type="dxa"/>
              <w:left w:w="40" w:type="dxa"/>
              <w:bottom w:w="40" w:type="dxa"/>
              <w:right w:w="40" w:type="dxa"/>
            </w:tcMar>
            <w:vAlign w:val="center"/>
          </w:tcPr>
          <w:p w14:paraId="5D0B5ADF"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Implementar un (1) programa para el control ambiental en predios en los que se desarrollan o desarrollaron actividades extractivas industriales comerciales y de servicios con potencial afectación al recurso suelo.</w:t>
            </w:r>
          </w:p>
        </w:tc>
        <w:tc>
          <w:tcPr>
            <w:tcW w:w="1417" w:type="dxa"/>
            <w:shd w:val="clear" w:color="auto" w:fill="auto"/>
            <w:tcMar>
              <w:top w:w="40" w:type="dxa"/>
              <w:left w:w="40" w:type="dxa"/>
              <w:bottom w:w="40" w:type="dxa"/>
              <w:right w:w="40" w:type="dxa"/>
            </w:tcMar>
            <w:vAlign w:val="center"/>
          </w:tcPr>
          <w:p w14:paraId="17A9FC5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w:t>
            </w:r>
          </w:p>
        </w:tc>
        <w:tc>
          <w:tcPr>
            <w:tcW w:w="1276" w:type="dxa"/>
            <w:shd w:val="clear" w:color="auto" w:fill="auto"/>
            <w:tcMar>
              <w:top w:w="40" w:type="dxa"/>
              <w:left w:w="40" w:type="dxa"/>
              <w:bottom w:w="40" w:type="dxa"/>
              <w:right w:w="40" w:type="dxa"/>
            </w:tcMar>
            <w:vAlign w:val="center"/>
          </w:tcPr>
          <w:p w14:paraId="6F41B16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w:t>
            </w:r>
          </w:p>
        </w:tc>
        <w:tc>
          <w:tcPr>
            <w:tcW w:w="1418" w:type="dxa"/>
            <w:shd w:val="clear" w:color="auto" w:fill="auto"/>
            <w:tcMar>
              <w:top w:w="40" w:type="dxa"/>
              <w:left w:w="40" w:type="dxa"/>
              <w:bottom w:w="40" w:type="dxa"/>
              <w:right w:w="40" w:type="dxa"/>
            </w:tcMar>
            <w:vAlign w:val="center"/>
          </w:tcPr>
          <w:p w14:paraId="4640820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w:t>
            </w:r>
          </w:p>
        </w:tc>
        <w:tc>
          <w:tcPr>
            <w:tcW w:w="1275" w:type="dxa"/>
            <w:gridSpan w:val="2"/>
            <w:shd w:val="clear" w:color="auto" w:fill="auto"/>
            <w:tcMar>
              <w:top w:w="40" w:type="dxa"/>
              <w:left w:w="40" w:type="dxa"/>
              <w:bottom w:w="40" w:type="dxa"/>
              <w:right w:w="40" w:type="dxa"/>
            </w:tcMar>
            <w:vAlign w:val="center"/>
          </w:tcPr>
          <w:p w14:paraId="33CA3CD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w:t>
            </w:r>
          </w:p>
        </w:tc>
        <w:tc>
          <w:tcPr>
            <w:tcW w:w="1473" w:type="dxa"/>
            <w:vMerge w:val="restart"/>
            <w:shd w:val="clear" w:color="auto" w:fill="auto"/>
            <w:tcMar>
              <w:top w:w="40" w:type="dxa"/>
              <w:left w:w="40" w:type="dxa"/>
              <w:bottom w:w="40" w:type="dxa"/>
              <w:right w:w="40" w:type="dxa"/>
            </w:tcMar>
            <w:vAlign w:val="center"/>
          </w:tcPr>
          <w:p w14:paraId="708BB65A"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34.570.105.034</w:t>
            </w:r>
          </w:p>
        </w:tc>
      </w:tr>
      <w:tr w:rsidR="00EF1D5F" w14:paraId="148C1158" w14:textId="77777777" w:rsidTr="003D4AD9">
        <w:trPr>
          <w:trHeight w:val="660"/>
        </w:trPr>
        <w:tc>
          <w:tcPr>
            <w:tcW w:w="1979" w:type="dxa"/>
            <w:vMerge/>
            <w:shd w:val="clear" w:color="auto" w:fill="auto"/>
            <w:tcMar>
              <w:top w:w="100" w:type="dxa"/>
              <w:left w:w="100" w:type="dxa"/>
              <w:bottom w:w="100" w:type="dxa"/>
              <w:right w:w="100" w:type="dxa"/>
            </w:tcMar>
          </w:tcPr>
          <w:p w14:paraId="2AC2AF4B"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09CB914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4.278.633.052</w:t>
            </w:r>
          </w:p>
        </w:tc>
        <w:tc>
          <w:tcPr>
            <w:tcW w:w="1276" w:type="dxa"/>
            <w:shd w:val="clear" w:color="auto" w:fill="auto"/>
            <w:tcMar>
              <w:top w:w="40" w:type="dxa"/>
              <w:left w:w="40" w:type="dxa"/>
              <w:bottom w:w="40" w:type="dxa"/>
              <w:right w:w="40" w:type="dxa"/>
            </w:tcMar>
            <w:vAlign w:val="center"/>
          </w:tcPr>
          <w:p w14:paraId="61916A7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9.948.165.049</w:t>
            </w:r>
          </w:p>
        </w:tc>
        <w:tc>
          <w:tcPr>
            <w:tcW w:w="1418" w:type="dxa"/>
            <w:shd w:val="clear" w:color="auto" w:fill="auto"/>
            <w:tcMar>
              <w:top w:w="40" w:type="dxa"/>
              <w:left w:w="40" w:type="dxa"/>
              <w:bottom w:w="40" w:type="dxa"/>
              <w:right w:w="40" w:type="dxa"/>
            </w:tcMar>
            <w:vAlign w:val="center"/>
          </w:tcPr>
          <w:p w14:paraId="22AE6C5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10.348.300.500</w:t>
            </w:r>
          </w:p>
        </w:tc>
        <w:tc>
          <w:tcPr>
            <w:tcW w:w="1275" w:type="dxa"/>
            <w:gridSpan w:val="2"/>
            <w:shd w:val="clear" w:color="auto" w:fill="auto"/>
            <w:tcMar>
              <w:top w:w="40" w:type="dxa"/>
              <w:left w:w="40" w:type="dxa"/>
              <w:bottom w:w="40" w:type="dxa"/>
              <w:right w:w="40" w:type="dxa"/>
            </w:tcMar>
            <w:vAlign w:val="center"/>
          </w:tcPr>
          <w:p w14:paraId="187F0AE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9.995.006.433</w:t>
            </w:r>
          </w:p>
        </w:tc>
        <w:tc>
          <w:tcPr>
            <w:tcW w:w="1473" w:type="dxa"/>
            <w:vMerge/>
            <w:shd w:val="clear" w:color="auto" w:fill="auto"/>
            <w:tcMar>
              <w:top w:w="100" w:type="dxa"/>
              <w:left w:w="100" w:type="dxa"/>
              <w:bottom w:w="100" w:type="dxa"/>
              <w:right w:w="100" w:type="dxa"/>
            </w:tcMar>
          </w:tcPr>
          <w:p w14:paraId="5CD28D85"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0F018515" w14:textId="77777777" w:rsidTr="003D4AD9">
        <w:trPr>
          <w:trHeight w:val="450"/>
        </w:trPr>
        <w:tc>
          <w:tcPr>
            <w:tcW w:w="1979" w:type="dxa"/>
            <w:vMerge w:val="restart"/>
            <w:shd w:val="clear" w:color="auto" w:fill="auto"/>
            <w:tcMar>
              <w:top w:w="40" w:type="dxa"/>
              <w:left w:w="40" w:type="dxa"/>
              <w:bottom w:w="40" w:type="dxa"/>
              <w:right w:w="40" w:type="dxa"/>
            </w:tcMar>
            <w:vAlign w:val="center"/>
          </w:tcPr>
          <w:p w14:paraId="5C821144"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Implementar un (1) programa para mejorar la calidad del aire acústica y visual.</w:t>
            </w:r>
          </w:p>
        </w:tc>
        <w:tc>
          <w:tcPr>
            <w:tcW w:w="1417" w:type="dxa"/>
            <w:shd w:val="clear" w:color="auto" w:fill="auto"/>
            <w:tcMar>
              <w:top w:w="40" w:type="dxa"/>
              <w:left w:w="40" w:type="dxa"/>
              <w:bottom w:w="40" w:type="dxa"/>
              <w:right w:w="40" w:type="dxa"/>
            </w:tcMar>
            <w:vAlign w:val="center"/>
          </w:tcPr>
          <w:p w14:paraId="04DD55A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w:t>
            </w:r>
          </w:p>
        </w:tc>
        <w:tc>
          <w:tcPr>
            <w:tcW w:w="1276" w:type="dxa"/>
            <w:shd w:val="clear" w:color="auto" w:fill="auto"/>
            <w:tcMar>
              <w:top w:w="40" w:type="dxa"/>
              <w:left w:w="40" w:type="dxa"/>
              <w:bottom w:w="40" w:type="dxa"/>
              <w:right w:w="40" w:type="dxa"/>
            </w:tcMar>
            <w:vAlign w:val="center"/>
          </w:tcPr>
          <w:p w14:paraId="3A2C2D2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w:t>
            </w:r>
          </w:p>
        </w:tc>
        <w:tc>
          <w:tcPr>
            <w:tcW w:w="1418" w:type="dxa"/>
            <w:shd w:val="clear" w:color="auto" w:fill="auto"/>
            <w:tcMar>
              <w:top w:w="40" w:type="dxa"/>
              <w:left w:w="40" w:type="dxa"/>
              <w:bottom w:w="40" w:type="dxa"/>
              <w:right w:w="40" w:type="dxa"/>
            </w:tcMar>
            <w:vAlign w:val="center"/>
          </w:tcPr>
          <w:p w14:paraId="4BCE100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w:t>
            </w:r>
          </w:p>
        </w:tc>
        <w:tc>
          <w:tcPr>
            <w:tcW w:w="1275" w:type="dxa"/>
            <w:gridSpan w:val="2"/>
            <w:shd w:val="clear" w:color="auto" w:fill="auto"/>
            <w:tcMar>
              <w:top w:w="40" w:type="dxa"/>
              <w:left w:w="40" w:type="dxa"/>
              <w:bottom w:w="40" w:type="dxa"/>
              <w:right w:w="40" w:type="dxa"/>
            </w:tcMar>
            <w:vAlign w:val="center"/>
          </w:tcPr>
          <w:p w14:paraId="3B4ADAD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w:t>
            </w:r>
          </w:p>
        </w:tc>
        <w:tc>
          <w:tcPr>
            <w:tcW w:w="1473" w:type="dxa"/>
            <w:vMerge w:val="restart"/>
            <w:shd w:val="clear" w:color="auto" w:fill="auto"/>
            <w:tcMar>
              <w:top w:w="40" w:type="dxa"/>
              <w:left w:w="40" w:type="dxa"/>
              <w:bottom w:w="40" w:type="dxa"/>
              <w:right w:w="40" w:type="dxa"/>
            </w:tcMar>
            <w:vAlign w:val="center"/>
          </w:tcPr>
          <w:p w14:paraId="41B9C684"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79.367.906.192</w:t>
            </w:r>
          </w:p>
        </w:tc>
      </w:tr>
      <w:tr w:rsidR="00EF1D5F" w14:paraId="0E7B5643" w14:textId="77777777" w:rsidTr="003D4AD9">
        <w:trPr>
          <w:trHeight w:val="450"/>
        </w:trPr>
        <w:tc>
          <w:tcPr>
            <w:tcW w:w="1979" w:type="dxa"/>
            <w:vMerge/>
            <w:shd w:val="clear" w:color="auto" w:fill="auto"/>
            <w:tcMar>
              <w:top w:w="100" w:type="dxa"/>
              <w:left w:w="100" w:type="dxa"/>
              <w:bottom w:w="100" w:type="dxa"/>
              <w:right w:w="100" w:type="dxa"/>
            </w:tcMar>
          </w:tcPr>
          <w:p w14:paraId="485B22E9"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6B572BE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10.052.745.678</w:t>
            </w:r>
          </w:p>
        </w:tc>
        <w:tc>
          <w:tcPr>
            <w:tcW w:w="1276" w:type="dxa"/>
            <w:shd w:val="clear" w:color="auto" w:fill="auto"/>
            <w:tcMar>
              <w:top w:w="40" w:type="dxa"/>
              <w:left w:w="40" w:type="dxa"/>
              <w:bottom w:w="40" w:type="dxa"/>
              <w:right w:w="40" w:type="dxa"/>
            </w:tcMar>
            <w:vAlign w:val="center"/>
          </w:tcPr>
          <w:p w14:paraId="0A3BD59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25.634.267.591</w:t>
            </w:r>
          </w:p>
        </w:tc>
        <w:tc>
          <w:tcPr>
            <w:tcW w:w="1418" w:type="dxa"/>
            <w:shd w:val="clear" w:color="auto" w:fill="auto"/>
            <w:tcMar>
              <w:top w:w="40" w:type="dxa"/>
              <w:left w:w="40" w:type="dxa"/>
              <w:bottom w:w="40" w:type="dxa"/>
              <w:right w:w="40" w:type="dxa"/>
            </w:tcMar>
            <w:vAlign w:val="center"/>
          </w:tcPr>
          <w:p w14:paraId="347D12B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24.887.638.438</w:t>
            </w:r>
          </w:p>
        </w:tc>
        <w:tc>
          <w:tcPr>
            <w:tcW w:w="1275" w:type="dxa"/>
            <w:gridSpan w:val="2"/>
            <w:shd w:val="clear" w:color="auto" w:fill="auto"/>
            <w:tcMar>
              <w:top w:w="40" w:type="dxa"/>
              <w:left w:w="40" w:type="dxa"/>
              <w:bottom w:w="40" w:type="dxa"/>
              <w:right w:w="40" w:type="dxa"/>
            </w:tcMar>
            <w:vAlign w:val="center"/>
          </w:tcPr>
          <w:p w14:paraId="3D44A83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18.793.254.484</w:t>
            </w:r>
          </w:p>
        </w:tc>
        <w:tc>
          <w:tcPr>
            <w:tcW w:w="1473" w:type="dxa"/>
            <w:vMerge/>
            <w:shd w:val="clear" w:color="auto" w:fill="auto"/>
            <w:tcMar>
              <w:top w:w="100" w:type="dxa"/>
              <w:left w:w="100" w:type="dxa"/>
              <w:bottom w:w="100" w:type="dxa"/>
              <w:right w:w="100" w:type="dxa"/>
            </w:tcMar>
          </w:tcPr>
          <w:p w14:paraId="0DF516E0"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5B8CC23E" w14:textId="77777777" w:rsidTr="003D4AD9">
        <w:trPr>
          <w:trHeight w:val="480"/>
        </w:trPr>
        <w:tc>
          <w:tcPr>
            <w:tcW w:w="1979" w:type="dxa"/>
            <w:vMerge w:val="restart"/>
            <w:shd w:val="clear" w:color="auto" w:fill="auto"/>
            <w:tcMar>
              <w:top w:w="40" w:type="dxa"/>
              <w:left w:w="40" w:type="dxa"/>
              <w:bottom w:w="40" w:type="dxa"/>
              <w:right w:w="40" w:type="dxa"/>
            </w:tcMar>
            <w:vAlign w:val="center"/>
          </w:tcPr>
          <w:p w14:paraId="2CA8F560"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 xml:space="preserve">Implementar un (1) programa para reducir la </w:t>
            </w:r>
            <w:r w:rsidRPr="00CE7C47">
              <w:rPr>
                <w:color w:val="000000"/>
                <w:sz w:val="16"/>
                <w:szCs w:val="16"/>
              </w:rPr>
              <w:lastRenderedPageBreak/>
              <w:t>vulnerabilidad a riesgos climáticos en las áreas de importancia ambiental estratégica y en la estructura ecológica principal del Distrito Capital</w:t>
            </w:r>
          </w:p>
        </w:tc>
        <w:tc>
          <w:tcPr>
            <w:tcW w:w="1417" w:type="dxa"/>
            <w:shd w:val="clear" w:color="auto" w:fill="auto"/>
            <w:tcMar>
              <w:top w:w="40" w:type="dxa"/>
              <w:left w:w="40" w:type="dxa"/>
              <w:bottom w:w="40" w:type="dxa"/>
              <w:right w:w="40" w:type="dxa"/>
            </w:tcMar>
            <w:vAlign w:val="center"/>
          </w:tcPr>
          <w:p w14:paraId="68DA1DB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lastRenderedPageBreak/>
              <w:t>0,2</w:t>
            </w:r>
          </w:p>
        </w:tc>
        <w:tc>
          <w:tcPr>
            <w:tcW w:w="1276" w:type="dxa"/>
            <w:shd w:val="clear" w:color="auto" w:fill="auto"/>
            <w:tcMar>
              <w:top w:w="40" w:type="dxa"/>
              <w:left w:w="40" w:type="dxa"/>
              <w:bottom w:w="40" w:type="dxa"/>
              <w:right w:w="40" w:type="dxa"/>
            </w:tcMar>
            <w:vAlign w:val="center"/>
          </w:tcPr>
          <w:p w14:paraId="12B2FE6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0,4</w:t>
            </w:r>
          </w:p>
        </w:tc>
        <w:tc>
          <w:tcPr>
            <w:tcW w:w="1418" w:type="dxa"/>
            <w:shd w:val="clear" w:color="auto" w:fill="auto"/>
            <w:tcMar>
              <w:top w:w="40" w:type="dxa"/>
              <w:left w:w="40" w:type="dxa"/>
              <w:bottom w:w="40" w:type="dxa"/>
              <w:right w:w="40" w:type="dxa"/>
            </w:tcMar>
            <w:vAlign w:val="center"/>
          </w:tcPr>
          <w:p w14:paraId="77D57D3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0,7</w:t>
            </w:r>
          </w:p>
        </w:tc>
        <w:tc>
          <w:tcPr>
            <w:tcW w:w="1275" w:type="dxa"/>
            <w:gridSpan w:val="2"/>
            <w:shd w:val="clear" w:color="auto" w:fill="auto"/>
            <w:tcMar>
              <w:top w:w="40" w:type="dxa"/>
              <w:left w:w="40" w:type="dxa"/>
              <w:bottom w:w="40" w:type="dxa"/>
              <w:right w:w="40" w:type="dxa"/>
            </w:tcMar>
            <w:vAlign w:val="center"/>
          </w:tcPr>
          <w:p w14:paraId="5432A19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w:t>
            </w:r>
          </w:p>
        </w:tc>
        <w:tc>
          <w:tcPr>
            <w:tcW w:w="1473" w:type="dxa"/>
            <w:vMerge w:val="restart"/>
            <w:shd w:val="clear" w:color="auto" w:fill="auto"/>
            <w:tcMar>
              <w:top w:w="40" w:type="dxa"/>
              <w:left w:w="40" w:type="dxa"/>
              <w:bottom w:w="40" w:type="dxa"/>
              <w:right w:w="40" w:type="dxa"/>
            </w:tcMar>
            <w:vAlign w:val="center"/>
          </w:tcPr>
          <w:p w14:paraId="356E179D"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34.919.505.888</w:t>
            </w:r>
          </w:p>
        </w:tc>
      </w:tr>
      <w:tr w:rsidR="00EF1D5F" w14:paraId="06AA2140" w14:textId="77777777" w:rsidTr="003D4AD9">
        <w:trPr>
          <w:trHeight w:val="480"/>
        </w:trPr>
        <w:tc>
          <w:tcPr>
            <w:tcW w:w="1979" w:type="dxa"/>
            <w:vMerge/>
            <w:shd w:val="clear" w:color="auto" w:fill="auto"/>
            <w:tcMar>
              <w:top w:w="100" w:type="dxa"/>
              <w:left w:w="100" w:type="dxa"/>
              <w:bottom w:w="100" w:type="dxa"/>
              <w:right w:w="100" w:type="dxa"/>
            </w:tcMar>
          </w:tcPr>
          <w:p w14:paraId="4204A70E"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417" w:type="dxa"/>
            <w:shd w:val="clear" w:color="auto" w:fill="auto"/>
            <w:tcMar>
              <w:top w:w="40" w:type="dxa"/>
              <w:left w:w="40" w:type="dxa"/>
              <w:bottom w:w="40" w:type="dxa"/>
              <w:right w:w="40" w:type="dxa"/>
            </w:tcMar>
            <w:vAlign w:val="center"/>
          </w:tcPr>
          <w:p w14:paraId="4789987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7.736.276.451</w:t>
            </w:r>
          </w:p>
        </w:tc>
        <w:tc>
          <w:tcPr>
            <w:tcW w:w="1276" w:type="dxa"/>
            <w:shd w:val="clear" w:color="auto" w:fill="auto"/>
            <w:tcMar>
              <w:top w:w="40" w:type="dxa"/>
              <w:left w:w="40" w:type="dxa"/>
              <w:bottom w:w="40" w:type="dxa"/>
              <w:right w:w="40" w:type="dxa"/>
            </w:tcMar>
            <w:vAlign w:val="center"/>
          </w:tcPr>
          <w:p w14:paraId="04AA883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11.246.071.456</w:t>
            </w:r>
          </w:p>
        </w:tc>
        <w:tc>
          <w:tcPr>
            <w:tcW w:w="1418" w:type="dxa"/>
            <w:shd w:val="clear" w:color="auto" w:fill="auto"/>
            <w:tcMar>
              <w:top w:w="40" w:type="dxa"/>
              <w:left w:w="40" w:type="dxa"/>
              <w:bottom w:w="40" w:type="dxa"/>
              <w:right w:w="40" w:type="dxa"/>
            </w:tcMar>
            <w:vAlign w:val="center"/>
          </w:tcPr>
          <w:p w14:paraId="1D3852F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7.449.766.019</w:t>
            </w:r>
          </w:p>
        </w:tc>
        <w:tc>
          <w:tcPr>
            <w:tcW w:w="1275" w:type="dxa"/>
            <w:gridSpan w:val="2"/>
            <w:shd w:val="clear" w:color="auto" w:fill="auto"/>
            <w:tcMar>
              <w:top w:w="40" w:type="dxa"/>
              <w:left w:w="40" w:type="dxa"/>
              <w:bottom w:w="40" w:type="dxa"/>
              <w:right w:w="40" w:type="dxa"/>
            </w:tcMar>
            <w:vAlign w:val="center"/>
          </w:tcPr>
          <w:p w14:paraId="14D29A6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8.487.391.962</w:t>
            </w:r>
          </w:p>
        </w:tc>
        <w:tc>
          <w:tcPr>
            <w:tcW w:w="1473" w:type="dxa"/>
            <w:vMerge/>
            <w:shd w:val="clear" w:color="auto" w:fill="auto"/>
            <w:tcMar>
              <w:top w:w="100" w:type="dxa"/>
              <w:left w:w="100" w:type="dxa"/>
              <w:bottom w:w="100" w:type="dxa"/>
              <w:right w:w="100" w:type="dxa"/>
            </w:tcMar>
          </w:tcPr>
          <w:p w14:paraId="6E7B2E3F" w14:textId="77777777" w:rsidR="00EF1D5F" w:rsidRDefault="00EF1D5F" w:rsidP="003D4AD9">
            <w:pPr>
              <w:widowControl w:val="0"/>
              <w:spacing w:line="276" w:lineRule="auto"/>
              <w:jc w:val="left"/>
              <w:rPr>
                <w:rFonts w:ascii="Arial" w:eastAsia="Arial" w:hAnsi="Arial" w:cs="Arial"/>
                <w:color w:val="000000"/>
              </w:rPr>
            </w:pPr>
          </w:p>
        </w:tc>
      </w:tr>
    </w:tbl>
    <w:p w14:paraId="47CA3931" w14:textId="77777777" w:rsidR="00EF1D5F" w:rsidRDefault="00EF1D5F" w:rsidP="00AE0DAD">
      <w:pPr>
        <w:rPr>
          <w:b/>
          <w:u w:val="single"/>
        </w:rPr>
        <w:sectPr w:rsidR="00EF1D5F" w:rsidSect="00F7078E">
          <w:type w:val="continuous"/>
          <w:pgSz w:w="12240" w:h="15840"/>
          <w:pgMar w:top="2262" w:right="1440" w:bottom="1440" w:left="1440" w:header="708" w:footer="708" w:gutter="0"/>
          <w:cols w:space="567"/>
        </w:sectPr>
      </w:pPr>
    </w:p>
    <w:p w14:paraId="3400D555" w14:textId="77777777" w:rsidR="00EF1D5F" w:rsidRDefault="00EF1D5F" w:rsidP="00AE0DAD">
      <w:bookmarkStart w:id="397" w:name="_heading=h.vgdtq7" w:colFirst="0" w:colLast="0"/>
      <w:bookmarkEnd w:id="397"/>
    </w:p>
    <w:p w14:paraId="51C283FD" w14:textId="77777777" w:rsidR="0066225F" w:rsidRDefault="0066225F">
      <w:pPr>
        <w:keepNext/>
        <w:keepLines/>
        <w:pBdr>
          <w:top w:val="nil"/>
          <w:left w:val="nil"/>
          <w:bottom w:val="nil"/>
          <w:right w:val="nil"/>
          <w:between w:val="nil"/>
        </w:pBdr>
        <w:spacing w:line="340" w:lineRule="auto"/>
        <w:ind w:left="1145" w:hanging="720"/>
        <w:jc w:val="left"/>
        <w:rPr>
          <w:b/>
          <w:color w:val="C00000"/>
          <w:sz w:val="28"/>
          <w:szCs w:val="28"/>
        </w:rPr>
      </w:pPr>
      <w:r>
        <w:rPr>
          <w:b/>
          <w:color w:val="C00000"/>
          <w:sz w:val="28"/>
          <w:szCs w:val="28"/>
        </w:rPr>
        <w:br w:type="page"/>
      </w:r>
    </w:p>
    <w:p w14:paraId="1BA32AE6" w14:textId="0A2A3123" w:rsidR="00EF1D5F" w:rsidRDefault="00EF1D5F" w:rsidP="005F079E">
      <w:pPr>
        <w:pStyle w:val="NIVEL4"/>
      </w:pPr>
      <w:bookmarkStart w:id="398" w:name="_Toc165169794"/>
      <w:r>
        <w:rPr>
          <w:color w:val="C00000"/>
        </w:rPr>
        <w:lastRenderedPageBreak/>
        <w:t>Programa 29</w:t>
      </w:r>
      <w:r w:rsidR="00B54B9B">
        <w:rPr>
          <w:color w:val="C00000"/>
        </w:rPr>
        <w:t>:</w:t>
      </w:r>
      <w:r>
        <w:rPr>
          <w:color w:val="C00000"/>
        </w:rPr>
        <w:t xml:space="preserve"> </w:t>
      </w:r>
      <w:r>
        <w:t>Servicios públicos inclusivos y sostenibles</w:t>
      </w:r>
      <w:bookmarkEnd w:id="398"/>
    </w:p>
    <w:p w14:paraId="7BEAE29A" w14:textId="77777777" w:rsidR="0066225F" w:rsidRPr="0066225F" w:rsidRDefault="0066225F" w:rsidP="0066225F">
      <w:pPr>
        <w:pStyle w:val="Prrafodelista"/>
        <w:ind w:left="840"/>
        <w:rPr>
          <w:lang w:eastAsia="en-US"/>
        </w:rPr>
      </w:pPr>
    </w:p>
    <w:p w14:paraId="5DB17DF6" w14:textId="24A7C9C6" w:rsidR="00EF1D5F" w:rsidRPr="005F079E" w:rsidRDefault="00EF1D5F" w:rsidP="005F079E">
      <w:pPr>
        <w:ind w:firstLine="708"/>
        <w:rPr>
          <w:b/>
          <w:bCs/>
        </w:rPr>
        <w:sectPr w:rsidR="00EF1D5F" w:rsidRPr="005F079E" w:rsidSect="00F7078E">
          <w:type w:val="continuous"/>
          <w:pgSz w:w="12240" w:h="15840"/>
          <w:pgMar w:top="2262" w:right="1440" w:bottom="1440" w:left="1440" w:header="708" w:footer="708" w:gutter="0"/>
          <w:cols w:space="720"/>
        </w:sectPr>
      </w:pPr>
      <w:r w:rsidRPr="005F079E">
        <w:rPr>
          <w:b/>
          <w:bCs/>
          <w:sz w:val="24"/>
          <w:szCs w:val="28"/>
        </w:rPr>
        <w:t>Diagnóstico</w:t>
      </w:r>
    </w:p>
    <w:p w14:paraId="7D3A4059" w14:textId="77777777" w:rsidR="00EF1D5F" w:rsidRDefault="00EF1D5F">
      <w:r>
        <w:t>La prestación de servicios públicos de calidad es un derecho de todos los bogotanos y bogotanas y debe tener una mirada regional. Sin embargo, su prestación está afectada por su sostenibilidad ambiental y las brechas existentes en materia de cobertura, calidad y acceso a los servicios públicos en territorios rural, urbano y regional, como lo evidenció la Política Pública de Servicios Públicos para una Bogotá inteligente y sostenible 2023-2035.</w:t>
      </w:r>
    </w:p>
    <w:p w14:paraId="3EC38B72" w14:textId="77777777" w:rsidR="00EF1D5F" w:rsidRDefault="00EF1D5F"/>
    <w:p w14:paraId="6EC96AA7" w14:textId="77777777" w:rsidR="00EF1D5F" w:rsidRDefault="00EF1D5F">
      <w:r>
        <w:t xml:space="preserve">Actualmente, las consecuencias del cambio climático, como el fenómeno de El Niño, han puesto de manifiesto la crítica situación en materia de sostenibilidad ambiental en relación con los servicios ecosistémicos, especialmente los de regulación hídrica y del suelo y su relación con la prestación de algunos servicios públicos domiciliarios, especialmente el suministro de agua potable y energía. Esta situación </w:t>
      </w:r>
      <w:r>
        <w:t>representa un riesgo para la capacidad de satisfacer las demandas actuales y futuras.</w:t>
      </w:r>
    </w:p>
    <w:p w14:paraId="400D8B7E" w14:textId="77777777" w:rsidR="00EF1D5F" w:rsidRDefault="00EF1D5F"/>
    <w:p w14:paraId="62AD404E" w14:textId="5754F186" w:rsidR="00EF1D5F" w:rsidRDefault="00EF1D5F">
      <w:r>
        <w:t>Mientras que en el área urbana la mayoría de los servicios públicos tienen coberturas superiores al 95 %, con excepción de la posibilidad de acceso a internet (80 %), según la EM</w:t>
      </w:r>
      <w:r w:rsidR="005F079E">
        <w:t>B</w:t>
      </w:r>
      <w:r>
        <w:t xml:space="preserve"> 2021, la cobertura para los hogares en áreas rurales se encuentra en promedio alrededor del 70 %, con porcentajes críticos en alcantarillado (16,4 %), gas natural (18,7 %) e internet (38,4 %) y es aún menor en las áreas rurales dispersas. Esto se hace más evidente en las localidades de Ciudad Bolívar, Santa Fe, Sumapaz y Usme.</w:t>
      </w:r>
    </w:p>
    <w:p w14:paraId="2B88E0E1" w14:textId="77777777" w:rsidR="00EF1D5F" w:rsidRDefault="00EF1D5F"/>
    <w:p w14:paraId="3D27EAD6" w14:textId="0834B8AA"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Lo anterior implica explorar nuevos mecanismos e instrumentos de financiación que garanticen la provisión sostenible de los servicios públicos en el área urbana y rural de la ciuda</w:t>
      </w:r>
      <w:r w:rsidR="005F079E">
        <w:t xml:space="preserve">d. </w:t>
      </w:r>
    </w:p>
    <w:p w14:paraId="54416159" w14:textId="77777777" w:rsidR="005F079E" w:rsidRDefault="005F079E" w:rsidP="005F079E">
      <w:pPr>
        <w:rPr>
          <w:b/>
          <w:bCs/>
          <w:szCs w:val="22"/>
        </w:rPr>
      </w:pPr>
    </w:p>
    <w:p w14:paraId="343643EB" w14:textId="77DF8013" w:rsidR="00EF1D5F" w:rsidRPr="005F079E" w:rsidRDefault="00EF1D5F" w:rsidP="005F079E">
      <w:pPr>
        <w:ind w:firstLine="708"/>
        <w:rPr>
          <w:b/>
          <w:bCs/>
          <w:sz w:val="24"/>
        </w:rPr>
        <w:sectPr w:rsidR="00EF1D5F" w:rsidRPr="005F079E" w:rsidSect="00F7078E">
          <w:type w:val="continuous"/>
          <w:pgSz w:w="12240" w:h="15840"/>
          <w:pgMar w:top="2262" w:right="1440" w:bottom="1440" w:left="1440" w:header="708" w:footer="708" w:gutter="0"/>
          <w:cols w:space="720"/>
        </w:sectPr>
      </w:pPr>
      <w:r w:rsidRPr="005F079E">
        <w:rPr>
          <w:b/>
          <w:bCs/>
          <w:szCs w:val="22"/>
        </w:rPr>
        <w:t>Agua potable</w:t>
      </w:r>
    </w:p>
    <w:p w14:paraId="20D8613E" w14:textId="77777777" w:rsidR="00EF1D5F" w:rsidRDefault="00EF1D5F">
      <w:r>
        <w:t>En cuanto a sostenibilidad ambiental, actualmente Bogotá y la región enfrentan el fenómeno de El Niño, manifestado en la alteración del patrón normal de las condiciones meteorológicas con largos periodos de sequía, lo que se evidencia en los bajos niveles en los ocho embalses que abastecen de agua potable al Distrito Capital y a varios municipios del área de influencia.</w:t>
      </w:r>
    </w:p>
    <w:p w14:paraId="28175D51" w14:textId="77777777" w:rsidR="00EF1D5F" w:rsidRDefault="00EF1D5F"/>
    <w:p w14:paraId="2363C571" w14:textId="77777777" w:rsidR="00EF1D5F" w:rsidRDefault="00EF1D5F">
      <w:r>
        <w:t>Es necesario mencionar que la Empresa de Acueducto y Alcantarillado de Bogotá (EAAB) a lo largo del tiempo ha implementado de manera progresiva sistemas para el abastecimiento de agua proveniente de diferentes sectores de la región, principalmente de los sistemas Norte, Chingaza y Sur.</w:t>
      </w:r>
    </w:p>
    <w:p w14:paraId="459A51CC" w14:textId="77777777" w:rsidR="00EF1D5F" w:rsidRDefault="00EF1D5F"/>
    <w:p w14:paraId="4C40DF77" w14:textId="77777777" w:rsidR="00EF1D5F" w:rsidRDefault="00EF1D5F">
      <w:r>
        <w:t xml:space="preserve">Del 100 % de abastecimiento de la ciudad y municipios de la región, el Sistema Norte </w:t>
      </w:r>
      <w:r>
        <w:t>proporciona el 25 %, el Sistema Chingaza aporta el 70 % y el Sistema Sur, el 5 %.</w:t>
      </w:r>
    </w:p>
    <w:p w14:paraId="6FC9C8B2" w14:textId="77777777" w:rsidR="00EF1D5F" w:rsidRDefault="00EF1D5F"/>
    <w:p w14:paraId="2B254728" w14:textId="77777777" w:rsidR="00EF1D5F" w:rsidRDefault="00EF1D5F">
      <w:r>
        <w:t>Según el reporte de la EAAB, con fecha de corte al 7 de abril de 2024, el volumen de almacenamiento de agua del Sistema Norte es de 54,23 %, de 44,34 % para el Sistema Sur, y un preocupante 16,97 % para el Sistema Chingaza, lo que suma un volumen total del sistema del 45,17 %. Los embalses de Chuza y San Rafael, parte del Sistema Chingaza, se encuentran en el estado más crítico en términos de niveles de agua.</w:t>
      </w:r>
    </w:p>
    <w:p w14:paraId="502791FC" w14:textId="77777777" w:rsidR="00EF1D5F" w:rsidRDefault="00EF1D5F"/>
    <w:p w14:paraId="19186331" w14:textId="77777777" w:rsidR="00EF1D5F" w:rsidRDefault="00EF1D5F">
      <w:r>
        <w:t>El Sistema Norte se nutre de fuentes como el río Bogotá en el sector de Tibitoc, el río Teusacá y el embalse Aposentos (este último utilizado solo en contingencias), suministran un caudal total de 9,5 m</w:t>
      </w:r>
      <w:r w:rsidRPr="00CE39DF">
        <w:rPr>
          <w:vertAlign w:val="superscript"/>
        </w:rPr>
        <w:t>3</w:t>
      </w:r>
      <w:r>
        <w:t>/s, de los cuales 3 m</w:t>
      </w:r>
      <w:r w:rsidRPr="00CE39DF">
        <w:rPr>
          <w:vertAlign w:val="superscript"/>
        </w:rPr>
        <w:t>3</w:t>
      </w:r>
      <w:r>
        <w:t xml:space="preserve">/s están sujetos a condiciones específicas. Las aguas provenientes de los embalses del Sisga, Tominé y Neusa alimentan el Sistema Norte, llegando </w:t>
      </w:r>
      <w:r>
        <w:lastRenderedPageBreak/>
        <w:t>hasta la planta Tibitoc, que actualmente produce en promedio 4,48 m</w:t>
      </w:r>
      <w:r w:rsidRPr="00CE39DF">
        <w:rPr>
          <w:vertAlign w:val="superscript"/>
        </w:rPr>
        <w:t>3</w:t>
      </w:r>
      <w:r>
        <w:t>/s, equivalente al 26 % de la oferta total para Bogotá.</w:t>
      </w:r>
    </w:p>
    <w:p w14:paraId="57A1FED4" w14:textId="77777777" w:rsidR="00EF1D5F" w:rsidRDefault="00EF1D5F"/>
    <w:p w14:paraId="7CB9F569" w14:textId="77777777" w:rsidR="00EF1D5F" w:rsidRDefault="00EF1D5F">
      <w:r>
        <w:t>El Sistema Chingaza ha experimentado una tendencia decreciente en las afluencias del embalse de Chuza entre 2018 y febrero de 2024. A pesar de algunas precipitaciones medias durante épocas de sequía, incluso superiores a las proyectadas para febrero de 2024, estas no tuvieron un efecto directo significativo en el embalse, debido a que el suelo absorbió una parte importante de las precipitaciones.</w:t>
      </w:r>
    </w:p>
    <w:p w14:paraId="0508BAA7" w14:textId="77777777" w:rsidR="00EF1D5F" w:rsidRDefault="00EF1D5F"/>
    <w:p w14:paraId="3AED55BC" w14:textId="77777777" w:rsidR="00EF1D5F" w:rsidRDefault="00EF1D5F">
      <w:r>
        <w:t>Se observa además un descenso continuo en el volumen del embalse, que está por debajo de los niveles de la curva guía, lo que impide garantizar el volumen mínimo necesario para el suministro de agua en épocas secas. Actualmente, hay un déficit de almacenamiento de 90 millones de metros cúbicos para atender la demanda de los primeros meses del 2024.</w:t>
      </w:r>
    </w:p>
    <w:p w14:paraId="3DFEE88F" w14:textId="77777777" w:rsidR="00EF1D5F" w:rsidRDefault="00EF1D5F"/>
    <w:p w14:paraId="772C98ED" w14:textId="77777777" w:rsidR="00EF1D5F" w:rsidRDefault="00EF1D5F">
      <w:r>
        <w:t>Las proyecciones para 2024-2025 indican un descenso adicional en las afluencias medias que afectarían los volúmenes de agua del Sistema Chingaza. De hecho, desde 2024 se ha observado una reducción en el volumen, incluso por debajo de las proyecciones. Se estima que el volumen medio del sistema está en 107 millones de metros cúbicos por debajo de los volúmenes medios registrados entre 2007 y 2023.</w:t>
      </w:r>
    </w:p>
    <w:p w14:paraId="04F3BA48" w14:textId="77777777" w:rsidR="00EF1D5F" w:rsidRDefault="00EF1D5F"/>
    <w:p w14:paraId="153E0B24" w14:textId="77777777" w:rsidR="00EF1D5F" w:rsidRDefault="00EF1D5F">
      <w:r>
        <w:t>Lo anterior se agrava, aún más, si se tiene presente que la EAAB presta el servicio directo de acueducto en los municipios de Gachancipá, parte de Soacha y de Tocancipá, al igual que suministra agua mediante el esquema de venta en bloque a nueve municipios más de la región. De manera agregada, la EAAB satisface la demanda de una población de alrededor de 10 millones de personas, con caudales base de 20,6 m</w:t>
      </w:r>
      <w:r w:rsidRPr="00CE39DF">
        <w:rPr>
          <w:vertAlign w:val="superscript"/>
        </w:rPr>
        <w:t>3</w:t>
      </w:r>
      <w:r>
        <w:t>/s.</w:t>
      </w:r>
    </w:p>
    <w:p w14:paraId="083E1349" w14:textId="77777777" w:rsidR="00EF1D5F" w:rsidRDefault="00EF1D5F"/>
    <w:p w14:paraId="50769BA1" w14:textId="77777777" w:rsidR="00EF1D5F" w:rsidRDefault="00EF1D5F">
      <w:r>
        <w:t xml:space="preserve">Las proyecciones del uso del agua en el periodo 2017-2030 tienen una tendencia creciente. En un escenario pesimista, esta aumentará un 27 % a </w:t>
      </w:r>
      <w:r>
        <w:t>una tasa de crecimiento anual que oscila entre el 6 % y el 2 %; mientras que, en un escenario optimista, se prevé un incremento de uso de agua en 25 % a 2030 con tasas de crecimiento similares al escenario pesimista. Sumado a lo anterior, la falta de capacidad de fuentes de abastecimiento de agua alternativas en la región también potencializa la problemática.</w:t>
      </w:r>
    </w:p>
    <w:p w14:paraId="713D4D98" w14:textId="77777777" w:rsidR="00EF1D5F" w:rsidRDefault="00EF1D5F"/>
    <w:p w14:paraId="57D6C5D1" w14:textId="62BBC1B3" w:rsidR="00EF1D5F" w:rsidRDefault="00EF1D5F">
      <w:r>
        <w:t>De acuerdo con información del Plan Maestro de la EAAB, actualizado a 2021, es prioritario iniciar el proceso de estructuración de alternativas complementarias que fortalezcan la capacidad de abastecimiento de agua para la población, las cuales deberían entrar en operación antes del 2040, pues se tiene proyectado que para dicha vigencia la demanda de consumo entre las Áreas de Prestación de Servicios (APS) actuales de la EAAB ESP y la venta de agua en bloque no será suplida por la oferta proyectada (el caudal actual está en 20,99 m</w:t>
      </w:r>
      <w:r w:rsidRPr="00CE39DF">
        <w:rPr>
          <w:vertAlign w:val="superscript"/>
        </w:rPr>
        <w:t>3</w:t>
      </w:r>
      <w:r>
        <w:t>/s,</w:t>
      </w:r>
      <w:r w:rsidR="00CE39DF" w:rsidRPr="00CE39DF">
        <w:t xml:space="preserve"> </w:t>
      </w:r>
      <w:r w:rsidR="00CE39DF" w:rsidRPr="00CE39DF">
        <w:fldChar w:fldCharType="begin"/>
      </w:r>
      <w:r w:rsidR="00CE39DF" w:rsidRPr="00CE39DF">
        <w:instrText xml:space="preserve"> REF _Ref165146393 \h </w:instrText>
      </w:r>
      <w:r w:rsidR="00CE39DF" w:rsidRPr="00CE39DF">
        <w:fldChar w:fldCharType="separate"/>
      </w:r>
      <w:r w:rsidR="00D01651" w:rsidRPr="00CE39DF">
        <w:rPr>
          <w:color w:val="C00000"/>
          <w:sz w:val="18"/>
          <w:szCs w:val="18"/>
        </w:rPr>
        <w:t xml:space="preserve">Gráfica </w:t>
      </w:r>
      <w:r w:rsidR="00D01651">
        <w:rPr>
          <w:noProof/>
          <w:color w:val="C00000"/>
          <w:sz w:val="18"/>
        </w:rPr>
        <w:t>48</w:t>
      </w:r>
      <w:r w:rsidR="00CE39DF" w:rsidRPr="00CE39DF">
        <w:fldChar w:fldCharType="end"/>
      </w:r>
      <w:r>
        <w:t>).</w:t>
      </w:r>
    </w:p>
    <w:p w14:paraId="656FB7AB" w14:textId="77777777" w:rsidR="00EF1D5F" w:rsidRDefault="00EF1D5F"/>
    <w:p w14:paraId="09E605AC" w14:textId="77777777" w:rsidR="00EF1D5F" w:rsidRDefault="00EF1D5F">
      <w:r>
        <w:t>En este sentido, se contemplan medidas a corto, mediano y largo plazo. Las medidas inmediatas se traducen en la necesidad de ahorrar agua y disminuir los niveles de consumo en hogares, comercios, industrias y otros espacios con el fin de racionar el líquido vital. Así mismo, se deben promover programas para el uso eficiente del agua, el reúso y la mejora en la infraestructura de almacenamiento y distribución de agua para reducir pérdidas por fugas. A mediano plazo, se debe contar con fuentes de abastecimiento complementarias que permitan garantizar la provisión de agua potable para el Distrito Capital y las cabeceras municipales de la región. Finalmente, a largo plazo, se debe consolidar un esquema regional de prestación de servicios públicos, mediante la articulación de actores e infraestructuras de prestación del servicio.</w:t>
      </w:r>
    </w:p>
    <w:p w14:paraId="58745633" w14:textId="77777777" w:rsidR="00EF1D5F" w:rsidRDefault="00EF1D5F"/>
    <w:p w14:paraId="021BBDA5" w14:textId="77777777" w:rsidR="00EF1D5F" w:rsidRDefault="00EF1D5F">
      <w:r>
        <w:t xml:space="preserve">Atendiendo a estas problemáticas, la EAAB desarrolló un documento de alternativas para la regionalización de la prestación del servicio de acueducto en Bogotá y la región, que brinda </w:t>
      </w:r>
      <w:r>
        <w:lastRenderedPageBreak/>
        <w:t>insumo técnico y orientaciones para la identificación del hecho metropolitano.</w:t>
      </w:r>
    </w:p>
    <w:p w14:paraId="7D47119E"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42068979" w14:textId="77777777" w:rsidR="00EF1D5F" w:rsidRDefault="00EF1D5F"/>
    <w:p w14:paraId="0FD4D062" w14:textId="61022A05" w:rsidR="00EF1D5F" w:rsidRPr="00CE39DF" w:rsidRDefault="00CE39DF" w:rsidP="00CE39DF">
      <w:pPr>
        <w:pStyle w:val="Descripcin"/>
        <w:jc w:val="center"/>
        <w:rPr>
          <w:color w:val="C00000"/>
          <w:sz w:val="18"/>
        </w:rPr>
      </w:pPr>
      <w:bookmarkStart w:id="399" w:name="_Ref165146393"/>
      <w:bookmarkStart w:id="400" w:name="_Toc165169874"/>
      <w:r w:rsidRPr="00CE39DF">
        <w:rPr>
          <w:color w:val="C00000"/>
          <w:sz w:val="18"/>
        </w:rPr>
        <w:t xml:space="preserve">Gráfica </w:t>
      </w:r>
      <w:r w:rsidRPr="00CE39DF">
        <w:rPr>
          <w:color w:val="C00000"/>
          <w:sz w:val="18"/>
        </w:rPr>
        <w:fldChar w:fldCharType="begin"/>
      </w:r>
      <w:r w:rsidRPr="00CE39DF">
        <w:rPr>
          <w:color w:val="C00000"/>
          <w:sz w:val="18"/>
        </w:rPr>
        <w:instrText xml:space="preserve"> SEQ Gráfica \* ARABIC </w:instrText>
      </w:r>
      <w:r w:rsidRPr="00CE39DF">
        <w:rPr>
          <w:color w:val="C00000"/>
          <w:sz w:val="18"/>
        </w:rPr>
        <w:fldChar w:fldCharType="separate"/>
      </w:r>
      <w:r w:rsidR="00D01651">
        <w:rPr>
          <w:noProof/>
          <w:color w:val="C00000"/>
          <w:sz w:val="18"/>
        </w:rPr>
        <w:t>48</w:t>
      </w:r>
      <w:r w:rsidRPr="00CE39DF">
        <w:rPr>
          <w:color w:val="C00000"/>
          <w:sz w:val="18"/>
        </w:rPr>
        <w:fldChar w:fldCharType="end"/>
      </w:r>
      <w:bookmarkEnd w:id="399"/>
      <w:r w:rsidRPr="00CE39DF">
        <w:rPr>
          <w:color w:val="C00000"/>
          <w:sz w:val="18"/>
        </w:rPr>
        <w:t xml:space="preserve">. </w:t>
      </w:r>
      <w:r w:rsidR="00EF1D5F" w:rsidRPr="00CE39DF">
        <w:rPr>
          <w:sz w:val="18"/>
        </w:rPr>
        <w:t>Proyecciones de oferta y demanda del consumo de agua en Bogotá-Región</w:t>
      </w:r>
      <w:bookmarkEnd w:id="400"/>
    </w:p>
    <w:p w14:paraId="724B08E1" w14:textId="77777777" w:rsidR="00EF1D5F" w:rsidRDefault="00EF1D5F">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80096" behindDoc="0" locked="0" layoutInCell="1" hidden="0" allowOverlap="1" wp14:anchorId="4AB1A9E6" wp14:editId="1CCFBC17">
            <wp:simplePos x="0" y="0"/>
            <wp:positionH relativeFrom="column">
              <wp:posOffset>343534</wp:posOffset>
            </wp:positionH>
            <wp:positionV relativeFrom="paragraph">
              <wp:posOffset>48819</wp:posOffset>
            </wp:positionV>
            <wp:extent cx="4925086" cy="2564099"/>
            <wp:effectExtent l="0" t="0" r="0" b="0"/>
            <wp:wrapNone/>
            <wp:docPr id="213351600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7"/>
                    <a:srcRect/>
                    <a:stretch>
                      <a:fillRect/>
                    </a:stretch>
                  </pic:blipFill>
                  <pic:spPr>
                    <a:xfrm>
                      <a:off x="0" y="0"/>
                      <a:ext cx="4925086" cy="2564099"/>
                    </a:xfrm>
                    <a:prstGeom prst="rect">
                      <a:avLst/>
                    </a:prstGeom>
                    <a:ln/>
                  </pic:spPr>
                </pic:pic>
              </a:graphicData>
            </a:graphic>
          </wp:anchor>
        </w:drawing>
      </w:r>
    </w:p>
    <w:p w14:paraId="43A0924E" w14:textId="77777777" w:rsidR="00EF1D5F" w:rsidRDefault="00EF1D5F">
      <w:pPr>
        <w:pBdr>
          <w:top w:val="nil"/>
          <w:left w:val="nil"/>
          <w:bottom w:val="nil"/>
          <w:right w:val="nil"/>
          <w:between w:val="nil"/>
        </w:pBdr>
        <w:spacing w:line="220" w:lineRule="auto"/>
        <w:jc w:val="center"/>
        <w:rPr>
          <w:color w:val="C00000"/>
          <w:sz w:val="18"/>
          <w:szCs w:val="18"/>
        </w:rPr>
      </w:pPr>
    </w:p>
    <w:p w14:paraId="021989D7" w14:textId="77777777" w:rsidR="00EF1D5F" w:rsidRDefault="00EF1D5F">
      <w:pPr>
        <w:pBdr>
          <w:top w:val="nil"/>
          <w:left w:val="nil"/>
          <w:bottom w:val="nil"/>
          <w:right w:val="nil"/>
          <w:between w:val="nil"/>
        </w:pBdr>
        <w:spacing w:line="220" w:lineRule="auto"/>
        <w:jc w:val="center"/>
        <w:rPr>
          <w:color w:val="C00000"/>
          <w:sz w:val="18"/>
          <w:szCs w:val="18"/>
        </w:rPr>
      </w:pPr>
    </w:p>
    <w:p w14:paraId="28C9A5DE" w14:textId="77777777" w:rsidR="00EF1D5F" w:rsidRDefault="00EF1D5F">
      <w:pPr>
        <w:pBdr>
          <w:top w:val="nil"/>
          <w:left w:val="nil"/>
          <w:bottom w:val="nil"/>
          <w:right w:val="nil"/>
          <w:between w:val="nil"/>
        </w:pBdr>
        <w:spacing w:line="220" w:lineRule="auto"/>
        <w:jc w:val="center"/>
        <w:rPr>
          <w:color w:val="C00000"/>
          <w:sz w:val="18"/>
          <w:szCs w:val="18"/>
        </w:rPr>
      </w:pPr>
    </w:p>
    <w:p w14:paraId="5AED084C" w14:textId="77777777" w:rsidR="00EF1D5F" w:rsidRDefault="00EF1D5F">
      <w:pPr>
        <w:pBdr>
          <w:top w:val="nil"/>
          <w:left w:val="nil"/>
          <w:bottom w:val="nil"/>
          <w:right w:val="nil"/>
          <w:between w:val="nil"/>
        </w:pBdr>
        <w:spacing w:line="220" w:lineRule="auto"/>
        <w:jc w:val="center"/>
        <w:rPr>
          <w:color w:val="C00000"/>
          <w:sz w:val="18"/>
          <w:szCs w:val="18"/>
        </w:rPr>
      </w:pPr>
    </w:p>
    <w:p w14:paraId="52642380" w14:textId="77777777" w:rsidR="00EF1D5F" w:rsidRDefault="00EF1D5F">
      <w:pPr>
        <w:pBdr>
          <w:top w:val="nil"/>
          <w:left w:val="nil"/>
          <w:bottom w:val="nil"/>
          <w:right w:val="nil"/>
          <w:between w:val="nil"/>
        </w:pBdr>
        <w:spacing w:line="220" w:lineRule="auto"/>
        <w:jc w:val="center"/>
        <w:rPr>
          <w:color w:val="C00000"/>
          <w:sz w:val="18"/>
          <w:szCs w:val="18"/>
        </w:rPr>
      </w:pPr>
    </w:p>
    <w:p w14:paraId="66B2C1CF" w14:textId="77777777" w:rsidR="00EF1D5F" w:rsidRDefault="00EF1D5F">
      <w:pPr>
        <w:pBdr>
          <w:top w:val="nil"/>
          <w:left w:val="nil"/>
          <w:bottom w:val="nil"/>
          <w:right w:val="nil"/>
          <w:between w:val="nil"/>
        </w:pBdr>
        <w:spacing w:line="220" w:lineRule="auto"/>
        <w:jc w:val="center"/>
        <w:rPr>
          <w:color w:val="C00000"/>
          <w:sz w:val="18"/>
          <w:szCs w:val="18"/>
        </w:rPr>
      </w:pPr>
    </w:p>
    <w:p w14:paraId="72C21A02" w14:textId="77777777" w:rsidR="00EF1D5F" w:rsidRDefault="00EF1D5F">
      <w:pPr>
        <w:pBdr>
          <w:top w:val="nil"/>
          <w:left w:val="nil"/>
          <w:bottom w:val="nil"/>
          <w:right w:val="nil"/>
          <w:between w:val="nil"/>
        </w:pBdr>
        <w:spacing w:line="220" w:lineRule="auto"/>
        <w:jc w:val="center"/>
        <w:rPr>
          <w:color w:val="C00000"/>
          <w:sz w:val="18"/>
          <w:szCs w:val="18"/>
        </w:rPr>
      </w:pPr>
    </w:p>
    <w:p w14:paraId="1B6CA994" w14:textId="77777777" w:rsidR="00EF1D5F" w:rsidRDefault="00EF1D5F">
      <w:pPr>
        <w:pBdr>
          <w:top w:val="nil"/>
          <w:left w:val="nil"/>
          <w:bottom w:val="nil"/>
          <w:right w:val="nil"/>
          <w:between w:val="nil"/>
        </w:pBdr>
        <w:spacing w:line="220" w:lineRule="auto"/>
        <w:jc w:val="center"/>
        <w:rPr>
          <w:color w:val="C00000"/>
          <w:sz w:val="18"/>
          <w:szCs w:val="18"/>
        </w:rPr>
      </w:pPr>
    </w:p>
    <w:p w14:paraId="32B24724" w14:textId="77777777" w:rsidR="00EF1D5F" w:rsidRDefault="00EF1D5F">
      <w:pPr>
        <w:pBdr>
          <w:top w:val="nil"/>
          <w:left w:val="nil"/>
          <w:bottom w:val="nil"/>
          <w:right w:val="nil"/>
          <w:between w:val="nil"/>
        </w:pBdr>
        <w:spacing w:line="220" w:lineRule="auto"/>
        <w:jc w:val="center"/>
        <w:rPr>
          <w:color w:val="C00000"/>
          <w:sz w:val="18"/>
          <w:szCs w:val="18"/>
        </w:rPr>
      </w:pPr>
    </w:p>
    <w:p w14:paraId="7C6008A4" w14:textId="77777777" w:rsidR="00EF1D5F" w:rsidRDefault="00EF1D5F">
      <w:pPr>
        <w:pBdr>
          <w:top w:val="nil"/>
          <w:left w:val="nil"/>
          <w:bottom w:val="nil"/>
          <w:right w:val="nil"/>
          <w:between w:val="nil"/>
        </w:pBdr>
        <w:spacing w:line="220" w:lineRule="auto"/>
        <w:jc w:val="center"/>
        <w:rPr>
          <w:color w:val="C00000"/>
          <w:sz w:val="18"/>
          <w:szCs w:val="18"/>
        </w:rPr>
      </w:pPr>
    </w:p>
    <w:p w14:paraId="0B38703F" w14:textId="77777777" w:rsidR="00EF1D5F" w:rsidRDefault="00EF1D5F">
      <w:pPr>
        <w:pBdr>
          <w:top w:val="nil"/>
          <w:left w:val="nil"/>
          <w:bottom w:val="nil"/>
          <w:right w:val="nil"/>
          <w:between w:val="nil"/>
        </w:pBdr>
        <w:spacing w:line="220" w:lineRule="auto"/>
        <w:jc w:val="center"/>
        <w:rPr>
          <w:color w:val="C00000"/>
          <w:sz w:val="18"/>
          <w:szCs w:val="18"/>
        </w:rPr>
      </w:pPr>
    </w:p>
    <w:p w14:paraId="0F36CD53" w14:textId="77777777" w:rsidR="00EF1D5F" w:rsidRDefault="00EF1D5F">
      <w:pPr>
        <w:pBdr>
          <w:top w:val="nil"/>
          <w:left w:val="nil"/>
          <w:bottom w:val="nil"/>
          <w:right w:val="nil"/>
          <w:between w:val="nil"/>
        </w:pBdr>
        <w:spacing w:line="220" w:lineRule="auto"/>
        <w:jc w:val="center"/>
        <w:rPr>
          <w:color w:val="C00000"/>
          <w:sz w:val="18"/>
          <w:szCs w:val="18"/>
        </w:rPr>
      </w:pPr>
    </w:p>
    <w:p w14:paraId="446F919D" w14:textId="77777777" w:rsidR="00EF1D5F" w:rsidRDefault="00EF1D5F">
      <w:pPr>
        <w:pBdr>
          <w:top w:val="nil"/>
          <w:left w:val="nil"/>
          <w:bottom w:val="nil"/>
          <w:right w:val="nil"/>
          <w:between w:val="nil"/>
        </w:pBdr>
        <w:spacing w:line="220" w:lineRule="auto"/>
        <w:jc w:val="center"/>
        <w:rPr>
          <w:color w:val="C00000"/>
          <w:sz w:val="18"/>
          <w:szCs w:val="18"/>
        </w:rPr>
      </w:pPr>
    </w:p>
    <w:p w14:paraId="0732112D" w14:textId="77777777" w:rsidR="00EF1D5F" w:rsidRDefault="00EF1D5F">
      <w:pPr>
        <w:pBdr>
          <w:top w:val="nil"/>
          <w:left w:val="nil"/>
          <w:bottom w:val="nil"/>
          <w:right w:val="nil"/>
          <w:between w:val="nil"/>
        </w:pBdr>
        <w:spacing w:line="220" w:lineRule="auto"/>
        <w:jc w:val="center"/>
        <w:rPr>
          <w:color w:val="C00000"/>
          <w:sz w:val="18"/>
          <w:szCs w:val="18"/>
        </w:rPr>
      </w:pPr>
    </w:p>
    <w:p w14:paraId="26C9965C" w14:textId="77777777" w:rsidR="00EF1D5F" w:rsidRDefault="00EF1D5F">
      <w:pPr>
        <w:pBdr>
          <w:top w:val="nil"/>
          <w:left w:val="nil"/>
          <w:bottom w:val="nil"/>
          <w:right w:val="nil"/>
          <w:between w:val="nil"/>
        </w:pBdr>
        <w:spacing w:line="220" w:lineRule="auto"/>
        <w:jc w:val="center"/>
        <w:rPr>
          <w:color w:val="C00000"/>
          <w:sz w:val="18"/>
          <w:szCs w:val="18"/>
        </w:rPr>
      </w:pPr>
    </w:p>
    <w:p w14:paraId="1E9A04F1" w14:textId="77777777" w:rsidR="00EF1D5F" w:rsidRDefault="00EF1D5F">
      <w:pPr>
        <w:pBdr>
          <w:top w:val="nil"/>
          <w:left w:val="nil"/>
          <w:bottom w:val="nil"/>
          <w:right w:val="nil"/>
          <w:between w:val="nil"/>
        </w:pBdr>
        <w:spacing w:line="220" w:lineRule="auto"/>
        <w:jc w:val="center"/>
        <w:rPr>
          <w:color w:val="C00000"/>
          <w:sz w:val="18"/>
          <w:szCs w:val="18"/>
        </w:rPr>
      </w:pPr>
    </w:p>
    <w:p w14:paraId="15BC49E6" w14:textId="77777777" w:rsidR="00EF1D5F" w:rsidRDefault="00EF1D5F">
      <w:pPr>
        <w:pBdr>
          <w:top w:val="nil"/>
          <w:left w:val="nil"/>
          <w:bottom w:val="nil"/>
          <w:right w:val="nil"/>
          <w:between w:val="nil"/>
        </w:pBdr>
        <w:spacing w:line="220" w:lineRule="auto"/>
        <w:jc w:val="center"/>
        <w:rPr>
          <w:color w:val="C00000"/>
          <w:sz w:val="18"/>
          <w:szCs w:val="18"/>
        </w:rPr>
      </w:pPr>
    </w:p>
    <w:p w14:paraId="736BC6CE" w14:textId="77777777" w:rsidR="00EF1D5F" w:rsidRDefault="00EF1D5F">
      <w:pPr>
        <w:pBdr>
          <w:top w:val="nil"/>
          <w:left w:val="nil"/>
          <w:bottom w:val="nil"/>
          <w:right w:val="nil"/>
          <w:between w:val="nil"/>
        </w:pBdr>
        <w:spacing w:line="220" w:lineRule="auto"/>
        <w:jc w:val="center"/>
        <w:rPr>
          <w:color w:val="3B3838"/>
          <w:sz w:val="18"/>
          <w:szCs w:val="18"/>
        </w:rPr>
      </w:pPr>
    </w:p>
    <w:p w14:paraId="08B6CD44" w14:textId="77777777" w:rsidR="00EF1D5F" w:rsidRDefault="00EF1D5F">
      <w:pPr>
        <w:pBdr>
          <w:top w:val="nil"/>
          <w:left w:val="nil"/>
          <w:bottom w:val="nil"/>
          <w:right w:val="nil"/>
          <w:between w:val="nil"/>
        </w:pBdr>
        <w:spacing w:line="220" w:lineRule="auto"/>
        <w:jc w:val="center"/>
        <w:rPr>
          <w:b/>
          <w:color w:val="3B3838"/>
          <w:sz w:val="18"/>
          <w:szCs w:val="18"/>
        </w:rPr>
      </w:pPr>
    </w:p>
    <w:p w14:paraId="67ED6A10" w14:textId="77777777" w:rsidR="00EF1D5F" w:rsidRDefault="00EF1D5F">
      <w:pPr>
        <w:pBdr>
          <w:top w:val="nil"/>
          <w:left w:val="nil"/>
          <w:bottom w:val="nil"/>
          <w:right w:val="nil"/>
          <w:between w:val="nil"/>
        </w:pBdr>
        <w:spacing w:line="220" w:lineRule="auto"/>
        <w:jc w:val="center"/>
        <w:rPr>
          <w:b/>
          <w:color w:val="3B3838"/>
          <w:sz w:val="18"/>
          <w:szCs w:val="18"/>
        </w:rPr>
      </w:pPr>
    </w:p>
    <w:p w14:paraId="1A0AE924" w14:textId="77777777"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EAAB-ESP. Plan Maestro 2006 y actualización de información de demanda a 2021.</w:t>
      </w:r>
    </w:p>
    <w:p w14:paraId="2F9ED130" w14:textId="77777777" w:rsidR="00EF1D5F" w:rsidRDefault="00EF1D5F"/>
    <w:p w14:paraId="7ACBE05F" w14:textId="77777777" w:rsidR="00EF1D5F" w:rsidRDefault="00EF1D5F">
      <w:pPr>
        <w:sectPr w:rsidR="00EF1D5F" w:rsidSect="00F7078E">
          <w:type w:val="continuous"/>
          <w:pgSz w:w="12240" w:h="15840"/>
          <w:pgMar w:top="2262" w:right="1440" w:bottom="1440" w:left="1440" w:header="708" w:footer="708" w:gutter="0"/>
          <w:cols w:space="720"/>
        </w:sectPr>
      </w:pPr>
    </w:p>
    <w:p w14:paraId="7A6B96B7" w14:textId="77777777" w:rsidR="00EF1D5F" w:rsidRDefault="00EF1D5F">
      <w:r>
        <w:t>En cuanto a la provisión de servicios públicos en suelos urbano y rural del Distrito Capital, se tiene que la prestación del servicio público de agua potable en el área urbana de Bogotá cuenta con una de las coberturas más alta del país (99,8 %) con agua de calidad y accesibilidad permanente. Salvo algunas áreas de difícil gestión de barrios recién legalizados y que están en proceso de formalización de los servicios públicos.</w:t>
      </w:r>
    </w:p>
    <w:p w14:paraId="0C81F494" w14:textId="77777777" w:rsidR="00EF1D5F" w:rsidRDefault="00EF1D5F"/>
    <w:p w14:paraId="70907C3F" w14:textId="77777777" w:rsidR="00EF1D5F" w:rsidRDefault="00EF1D5F">
      <w:r>
        <w:t>Respecto al área rural, el servicio es prestado por 35 acueductos comunitarios con un aproximado de 8.761 suscriptores. Estos, además de cubrir la demanda de agua, intentan prestar el tratamiento de la misma, situación riesgosa dada la vulnerabilidad de estos sistemas que puede afectar la continuidad y la potabilidad.</w:t>
      </w:r>
    </w:p>
    <w:p w14:paraId="71FB7CB6" w14:textId="77777777" w:rsidR="00EF1D5F" w:rsidRDefault="00EF1D5F"/>
    <w:p w14:paraId="57EC4DD3" w14:textId="77777777" w:rsidR="00EF1D5F" w:rsidRDefault="00EF1D5F">
      <w:r>
        <w:t>Según los resultados de la Encuesta Multipropósito 2021, en cuanto a la cobertura de servicios públicos en la zona rural del Distrito, la localidad de Chapinero posee la más baja cobertura del servicio de acueducto (20,2 % de hogares rurales) y alcantarillado (2,3 %), explicado por la presencia de asentamientos que no han podido ser legalizados, debido al fallo de Cerros Orientales.</w:t>
      </w:r>
    </w:p>
    <w:p w14:paraId="1F726D4C" w14:textId="77777777" w:rsidR="00EF1D5F" w:rsidRDefault="00EF1D5F"/>
    <w:p w14:paraId="03D7C7B1" w14:textId="3A192FA4" w:rsidR="00EF1D5F" w:rsidRDefault="00EF1D5F">
      <w:r>
        <w:t>Una problemática adicional es la definición de la población beneficiaria del programa Mínimo Vital de Agua en Bogotá, programa diseñado para garantizar el acceso al agua para la población en condición de vulnerabilidad (Ley 196 de 2022). Las evaluaciones de impacto del programa muestran que el error de inclusión alcanza el 40% (población no pobre beneficiaria del programa) mientras que el error de exclusión, es decir, población pobre no beneficiaria alcanza el 17,5 %.</w:t>
      </w:r>
    </w:p>
    <w:p w14:paraId="081484EE"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163C57B6" w14:textId="77777777" w:rsidR="00EF1D5F" w:rsidRDefault="00EF1D5F"/>
    <w:p w14:paraId="40EB8B0C" w14:textId="77777777" w:rsidR="00EF1D5F" w:rsidRDefault="00EF1D5F"/>
    <w:p w14:paraId="61591AC3" w14:textId="77777777" w:rsidR="0082654E" w:rsidRDefault="0082654E">
      <w:pPr>
        <w:spacing w:line="240" w:lineRule="auto"/>
        <w:jc w:val="left"/>
        <w:rPr>
          <w:b/>
          <w:bCs/>
        </w:rPr>
      </w:pPr>
      <w:r>
        <w:rPr>
          <w:b/>
          <w:bCs/>
        </w:rPr>
        <w:br w:type="page"/>
      </w:r>
    </w:p>
    <w:p w14:paraId="27422FFD" w14:textId="3DB845C3" w:rsidR="00EF1D5F" w:rsidRPr="0082654E" w:rsidRDefault="00EF1D5F" w:rsidP="0082654E">
      <w:pPr>
        <w:ind w:firstLine="708"/>
        <w:rPr>
          <w:b/>
          <w:bCs/>
        </w:rPr>
        <w:sectPr w:rsidR="00EF1D5F" w:rsidRPr="0082654E" w:rsidSect="00F7078E">
          <w:type w:val="continuous"/>
          <w:pgSz w:w="12240" w:h="15840"/>
          <w:pgMar w:top="2262" w:right="1440" w:bottom="1440" w:left="1440" w:header="708" w:footer="708" w:gutter="0"/>
          <w:cols w:space="720"/>
        </w:sectPr>
      </w:pPr>
      <w:r w:rsidRPr="0082654E">
        <w:rPr>
          <w:b/>
          <w:bCs/>
        </w:rPr>
        <w:lastRenderedPageBreak/>
        <w:t>Alcantarillado</w:t>
      </w:r>
    </w:p>
    <w:p w14:paraId="3137D494" w14:textId="77777777" w:rsidR="00EF1D5F" w:rsidRDefault="00EF1D5F">
      <w:r>
        <w:t>Por otro lado, referente al servicio público de alcantarillado, este corresponde a la evacuación, tratamiento y disposición final de aguas residuales generados por los suscriptores ubicados en las zonas urbanas municipales. Sobre el tratamiento de aguas, actualmente solo se lleva a cabo sobre el 30 % de las aguas residuales originadas en suelo urbano de Bogotá (PTAR Salitre).</w:t>
      </w:r>
    </w:p>
    <w:p w14:paraId="45E2F92C" w14:textId="77777777" w:rsidR="00EF1D5F" w:rsidRDefault="00EF1D5F"/>
    <w:p w14:paraId="2F7DEACC" w14:textId="77777777" w:rsidR="00EF1D5F" w:rsidRDefault="00EF1D5F">
      <w:r>
        <w:t>La PTAR Salitre tiene un caudal de diseño de 4.000 L/s, mientras que, en los Sistemas de Tratamiento de Aguas Residuales de Cundinamarca, el caudal de diseño agregado es de 2.044 L/s. No obstante, a pesar de que existen sistemas de tratamiento de aguas residuales en el departamento y en el Distrito Capital, el caudal depurado de aguas residuales es inferior al 50 % por lo que es necesario profundizar las acciones en este campo.</w:t>
      </w:r>
    </w:p>
    <w:p w14:paraId="0CA55779" w14:textId="77777777" w:rsidR="00EF1D5F" w:rsidRDefault="00EF1D5F"/>
    <w:p w14:paraId="3E197BBF" w14:textId="77777777" w:rsidR="00EF1D5F" w:rsidRDefault="00EF1D5F">
      <w:r>
        <w:t xml:space="preserve">En el suelo rural no existe una prestación formal del servicio de alcantarillado. La disposición de </w:t>
      </w:r>
      <w:r>
        <w:t>aguas residuales se da de dos formas: mediante el funcionamiento de nueve plantas de tratamiento de aguas residuales localizadas en centros poblados como infraestructura colectiva para la recolección, transporte y tratamiento de aguas residuales, y mediante el uso de soluciones individuales en los casos de vivienda rural dispersa donde no es viable la conexión a sistemas comunitarios de alcantarillado, debido a que no son parte de la prestación de los servicios.</w:t>
      </w:r>
    </w:p>
    <w:p w14:paraId="72AD3077" w14:textId="77777777" w:rsidR="00EF1D5F" w:rsidRDefault="00EF1D5F"/>
    <w:p w14:paraId="79293C83" w14:textId="77777777" w:rsidR="00EF1D5F" w:rsidRDefault="00EF1D5F">
      <w:r>
        <w:t>En este sentido, los temas relacionados con el abastecimiento de agua potable y el manejo y tratamiento de las aguas residuales son aspectos con impacto regional, razón por la cual es necesario plantear acciones que permitan mejorar las condiciones de prestación de estos servicios, de forma que se garantice articulación territorial en la región y la disminución de posibles impactos ambientales en la provisión de los servicios públicos.</w:t>
      </w:r>
    </w:p>
    <w:p w14:paraId="3E037463"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2594CB1D" w14:textId="77777777" w:rsidR="00EF1D5F" w:rsidRDefault="00EF1D5F"/>
    <w:p w14:paraId="4CD7F44C" w14:textId="32648B46" w:rsidR="00EF1D5F" w:rsidRPr="0082654E" w:rsidRDefault="00EF1D5F" w:rsidP="009E1472">
      <w:pPr>
        <w:pStyle w:val="subnumeros"/>
        <w:numPr>
          <w:ilvl w:val="0"/>
          <w:numId w:val="0"/>
        </w:numPr>
        <w:ind w:left="1145" w:hanging="720"/>
        <w:outlineLvl w:val="9"/>
        <w:rPr>
          <w:sz w:val="22"/>
          <w:szCs w:val="20"/>
        </w:rPr>
        <w:sectPr w:rsidR="00EF1D5F" w:rsidRPr="0082654E" w:rsidSect="00F7078E">
          <w:type w:val="continuous"/>
          <w:pgSz w:w="12240" w:h="15840"/>
          <w:pgMar w:top="2262" w:right="1440" w:bottom="1440" w:left="1440" w:header="708" w:footer="708" w:gutter="0"/>
          <w:cols w:space="720"/>
        </w:sectPr>
      </w:pPr>
      <w:r w:rsidRPr="0082654E">
        <w:rPr>
          <w:sz w:val="22"/>
          <w:szCs w:val="20"/>
        </w:rPr>
        <w:t>Energía</w:t>
      </w:r>
    </w:p>
    <w:p w14:paraId="13C3F71B" w14:textId="77777777" w:rsidR="00EF1D5F" w:rsidRDefault="00EF1D5F">
      <w:r>
        <w:t>El sistema de energía en suelo urbano del Distrito Capital tiene una cobertura cercana al 100 % del territorio. Con el fin de mantener la cobertura y mejorar la confiabilidad del servicio a futuro, es necesario priorizar la intervención en unos sectores de la ciudad buscando ampliar la capacidad de las redes y construir nuevas subestaciones que soporten el desarrollo de las nuevas dinámicas residenciales e industriales definidas bajo la normatividad urbanística. Se evidencia una baja penetración de generación por medio de Fuentes No Convencionales de Energía Renovable en el Distrito Capital, pues, de acuerdo con el Observatorio Distrital de Bogotá, se cuenta con una generación de aproximadamente 18,8 MW (SDHT, 2024).</w:t>
      </w:r>
    </w:p>
    <w:p w14:paraId="5FEB8513" w14:textId="77777777" w:rsidR="00EF1D5F" w:rsidRDefault="00EF1D5F"/>
    <w:p w14:paraId="30120572" w14:textId="70DAC84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En relación con la prestación del servicio público de energía en el suelo rural del Distrito Capital, la cobertura supera el 90 % tanto en los centros poblados rurales como en el caso de la vivienda rural dispersa. Así, de acuerdo con los resultados de la Encuesta Multipropósito</w:t>
      </w:r>
      <w:r w:rsidR="0082654E">
        <w:t xml:space="preserve"> de Bogotá</w:t>
      </w:r>
      <w:r>
        <w:t xml:space="preserve"> 2021, la cobertura del servicio público de energía tiene un índice del 94,8 %, con el inconveniente principal de calidad y continuidad en la prestación del servicio. Debido a las condiciones de localización de la vivienda en la zona rural, la conexión de red es difícil, razón por la cual se presentan las deficiencias en la prestación del servicio y en los tiempos de respuesta del operador de red para solucionar los inconvenientes que se puedan presentar en la operación</w:t>
      </w:r>
    </w:p>
    <w:p w14:paraId="2DDFA86F" w14:textId="77777777" w:rsidR="00EF1D5F" w:rsidRDefault="00EF1D5F">
      <w:pPr>
        <w:rPr>
          <w:b/>
        </w:rPr>
      </w:pPr>
    </w:p>
    <w:p w14:paraId="475CDC93" w14:textId="77777777" w:rsidR="0082654E" w:rsidRDefault="0082654E">
      <w:pPr>
        <w:spacing w:line="240" w:lineRule="auto"/>
        <w:jc w:val="left"/>
        <w:rPr>
          <w:rFonts w:eastAsiaTheme="majorEastAsia" w:cstheme="majorBidi"/>
          <w:b/>
          <w:szCs w:val="22"/>
          <w:lang w:eastAsia="en-US"/>
        </w:rPr>
      </w:pPr>
      <w:r>
        <w:rPr>
          <w:szCs w:val="22"/>
        </w:rPr>
        <w:br w:type="page"/>
      </w:r>
    </w:p>
    <w:p w14:paraId="784D691C" w14:textId="7F06EA71" w:rsidR="00EF1D5F" w:rsidRPr="009E1472" w:rsidRDefault="00EF1D5F" w:rsidP="009E1472">
      <w:pPr>
        <w:ind w:firstLine="708"/>
        <w:rPr>
          <w:b/>
          <w:bCs/>
          <w:szCs w:val="22"/>
        </w:rPr>
        <w:sectPr w:rsidR="00EF1D5F" w:rsidRPr="009E1472" w:rsidSect="00F7078E">
          <w:type w:val="continuous"/>
          <w:pgSz w:w="12240" w:h="15840"/>
          <w:pgMar w:top="2262" w:right="1440" w:bottom="1440" w:left="1440" w:header="708" w:footer="708" w:gutter="0"/>
          <w:cols w:space="720"/>
        </w:sectPr>
      </w:pPr>
      <w:r w:rsidRPr="009E1472">
        <w:rPr>
          <w:b/>
          <w:bCs/>
          <w:szCs w:val="22"/>
        </w:rPr>
        <w:lastRenderedPageBreak/>
        <w:t>Gas natural</w:t>
      </w:r>
    </w:p>
    <w:p w14:paraId="4CC65F9E" w14:textId="77777777" w:rsidR="00EF1D5F" w:rsidRDefault="00EF1D5F">
      <w:r>
        <w:t>La cobertura del servicio público de gas natural en suelo urbano de Bogotá, D. C. es de alrededor del 95 %. El servicio se presta en zonas residenciales, comerciales e industriales a 2.069.928 de suscriptores, de acuerdo con la información reportada por el prestador Vanti Gas Natural S.A. E.S.P.</w:t>
      </w:r>
    </w:p>
    <w:p w14:paraId="714F0165" w14:textId="77777777" w:rsidR="00EF1D5F" w:rsidRDefault="00EF1D5F"/>
    <w:p w14:paraId="7EF56717" w14:textId="537A4A6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 xml:space="preserve">En cuanto al suelo rural, debido a la dificultad de conexión con las redes de abastecimiento del servicio de gas natural, la cobertura es menor, </w:t>
      </w:r>
      <w:r>
        <w:t>evidenciado en los resultados de la EM</w:t>
      </w:r>
      <w:r w:rsidR="00DF6CDF">
        <w:t>B</w:t>
      </w:r>
      <w:r>
        <w:t xml:space="preserve"> 2021 que indican que en los centros poblados rurales la cobertura no supera el 45 %, siendo aún más bajo el abastecimiento en las áreas de vivienda rural dispersa. En la actualidad, el Gas Licuado de Petróleo (GLP) es la alternativa más común en las áreas donde no se cuenta con servicio de gas natural; sin embargo, su comercialización y transporte también son un reto, especialmente en las zonas de vivienda rural dispersa.</w:t>
      </w:r>
    </w:p>
    <w:p w14:paraId="13D21EF1" w14:textId="77777777" w:rsidR="00EF1D5F" w:rsidRDefault="00EF1D5F"/>
    <w:p w14:paraId="7EF9CFD3" w14:textId="1D42BC52" w:rsidR="00EF1D5F" w:rsidRPr="009E1472" w:rsidRDefault="00EF1D5F" w:rsidP="009E1472">
      <w:pPr>
        <w:ind w:firstLine="708"/>
        <w:rPr>
          <w:b/>
          <w:bCs/>
          <w:i/>
          <w:szCs w:val="22"/>
        </w:rPr>
        <w:sectPr w:rsidR="00EF1D5F" w:rsidRPr="009E1472" w:rsidSect="00F7078E">
          <w:type w:val="continuous"/>
          <w:pgSz w:w="12240" w:h="15840"/>
          <w:pgMar w:top="2262" w:right="1440" w:bottom="1440" w:left="1440" w:header="708" w:footer="708" w:gutter="0"/>
          <w:cols w:space="720"/>
        </w:sectPr>
      </w:pPr>
      <w:r w:rsidRPr="009E1472">
        <w:rPr>
          <w:b/>
          <w:bCs/>
          <w:szCs w:val="22"/>
        </w:rPr>
        <w:t>Internet</w:t>
      </w:r>
    </w:p>
    <w:p w14:paraId="50A6CE68"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 xml:space="preserve">En materia de servicios de Tecnologías de la Información y las Comunicaciones (TIC) en suelos urbano y rural, los resultados de la Encuesta Multipropósito 2021 indican que, en promedio, el 80,7 % de los hogares urbanos de la ciudad cuentan con acceso al servicio de internet. Del porcentaje de los hogares que no cuentan con el servicio, la principal razón corresponde a factores económicos y de dificultad para el pago de este (41,1 %); otra parte se debe a razones </w:t>
      </w:r>
      <w:r>
        <w:t>culturales, tales como que no lo consideran necesario (29,3 %) o no saben usarlo (18,8 %); finalmente, la falta de cobertura tan solo representa un 0,4 % por la poca penetración del servicio. Por otra parte, la cobertura en el suelo rural es tan solo del 38,4 %, razón por la cual es necesario fortalecer el despliegue de las redes o implementar alternativas de conexión que permitan facilitar el acceso al servicio</w:t>
      </w:r>
    </w:p>
    <w:p w14:paraId="5A7ED9B9" w14:textId="77777777" w:rsidR="00EF1D5F" w:rsidRDefault="00EF1D5F"/>
    <w:p w14:paraId="4F736D71" w14:textId="243F4632" w:rsidR="00EF1D5F" w:rsidRPr="009E1472" w:rsidRDefault="00EF1D5F" w:rsidP="009E1472">
      <w:pPr>
        <w:ind w:firstLine="708"/>
        <w:rPr>
          <w:b/>
          <w:bCs/>
          <w:i/>
          <w:szCs w:val="22"/>
        </w:rPr>
        <w:sectPr w:rsidR="00EF1D5F" w:rsidRPr="009E1472" w:rsidSect="00F7078E">
          <w:type w:val="continuous"/>
          <w:pgSz w:w="12240" w:h="15840"/>
          <w:pgMar w:top="2262" w:right="1440" w:bottom="1440" w:left="1440" w:header="708" w:footer="708" w:gutter="0"/>
          <w:cols w:space="720"/>
        </w:sectPr>
      </w:pPr>
      <w:r w:rsidRPr="009E1472">
        <w:rPr>
          <w:b/>
          <w:bCs/>
          <w:szCs w:val="22"/>
        </w:rPr>
        <w:t>Servicios funerarios</w:t>
      </w:r>
    </w:p>
    <w:p w14:paraId="1A3A5CB9" w14:textId="55B2F306" w:rsidR="00EF1D5F" w:rsidRDefault="00EF1D5F">
      <w:r>
        <w:t xml:space="preserve">En cuanto a los servicios funerarios, el Distrito Capital dispone de cuatro cementerios públicos, incluido el Cementerio Central. La alta demanda de servicios funerarios generada por la pandemia del covid-19 produjo una prestación de 7.525 servicios de inhumación y 16.947 servicios de cremación en el 2020, y 7.138 y 16.123 en el 2021, respectivamente. En la actualidad, la capacidad de la infraestructura distrital en bóvedas, osarios y cenizarios (BOC) es de 34.460 unidades que corresponden al 81 % de la capacidad total. Estas locaciones son administradas también a través de un operador encargado de realizar las </w:t>
      </w:r>
      <w:r>
        <w:t>inhumaciones, exhumaciones y cremaciones en función de la demanda de servicios. Así mismo, se requiere la implementación de un sistema de información que permita la toma de decisiones asertivas frente a la gestión de las BOC. Adicionalmente, el Distrito otorga subvenciones a población en condiciones de vulnerabilidad, que no cuenta con los recursos económicos para cubrir los gastos funerarios de destino final de sus fallecidos, a quienes se han otorgado 14.646 subvenciones funerarias en el periodo comprendido entre 2020 y 2023.</w:t>
      </w:r>
    </w:p>
    <w:p w14:paraId="4C03E26C"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4C12326F" w14:textId="77777777" w:rsidR="00EF1D5F" w:rsidRDefault="00EF1D5F"/>
    <w:p w14:paraId="7125A70F" w14:textId="77777777" w:rsidR="00EF1D5F" w:rsidRDefault="00EF1D5F"/>
    <w:p w14:paraId="4C86E961" w14:textId="77777777" w:rsidR="00EF1D5F" w:rsidRDefault="00EF1D5F"/>
    <w:p w14:paraId="355065C9" w14:textId="77777777" w:rsidR="009E1472" w:rsidRDefault="009E1472">
      <w:pPr>
        <w:spacing w:line="240" w:lineRule="auto"/>
        <w:jc w:val="left"/>
        <w:rPr>
          <w:rFonts w:eastAsiaTheme="majorEastAsia" w:cstheme="majorBidi"/>
          <w:b/>
          <w:sz w:val="28"/>
          <w:szCs w:val="26"/>
          <w:lang w:eastAsia="en-US"/>
        </w:rPr>
      </w:pPr>
      <w:r>
        <w:br w:type="page"/>
      </w:r>
    </w:p>
    <w:p w14:paraId="6EB3FCB0" w14:textId="5D2025A0" w:rsidR="00EF1D5F" w:rsidRPr="009E1472" w:rsidRDefault="00EF1D5F" w:rsidP="009E1472">
      <w:pPr>
        <w:ind w:firstLine="708"/>
        <w:rPr>
          <w:b/>
          <w:bCs/>
        </w:rPr>
        <w:sectPr w:rsidR="00EF1D5F" w:rsidRPr="009E1472" w:rsidSect="00F7078E">
          <w:type w:val="continuous"/>
          <w:pgSz w:w="12240" w:h="15840"/>
          <w:pgMar w:top="2262" w:right="1440" w:bottom="1440" w:left="1440" w:header="708" w:footer="708" w:gutter="0"/>
          <w:cols w:space="720"/>
        </w:sectPr>
      </w:pPr>
      <w:r w:rsidRPr="009E1472">
        <w:rPr>
          <w:b/>
          <w:bCs/>
          <w:sz w:val="24"/>
          <w:szCs w:val="28"/>
        </w:rPr>
        <w:lastRenderedPageBreak/>
        <w:t>Descripción del programa</w:t>
      </w:r>
    </w:p>
    <w:p w14:paraId="09F1CC99" w14:textId="7A84BAB1"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 xml:space="preserve">El objetivo del programa es el fortalecimiento en la capacidad de la prestación de los servicios públicos en el Distrito Capital, en un escenario de cambio climático y creciente regionalización, enfatizando en los temas como el de fortalecimiento en la capacidad de abastecimiento </w:t>
      </w:r>
      <w:r>
        <w:t>sostenible de agua para la ciudad y la región, tratamiento de aguas residuales y el saneamiento del río Bogotá. Así mismo, la ciudad enfrentará el desafío asociado a la emergencia por el fenómeno de El Niño, particularmente el desabastecimiento de agua (recuadro).</w:t>
      </w:r>
    </w:p>
    <w:p w14:paraId="1C42C959" w14:textId="77777777" w:rsidR="00EF1D5F" w:rsidRDefault="00EF1D5F">
      <w:pPr>
        <w:sectPr w:rsidR="00EF1D5F" w:rsidSect="00F7078E">
          <w:type w:val="continuous"/>
          <w:pgSz w:w="12240" w:h="15840"/>
          <w:pgMar w:top="2262" w:right="1440" w:bottom="1440" w:left="1440" w:header="708" w:footer="708" w:gutter="0"/>
          <w:cols w:space="720"/>
        </w:sectPr>
      </w:pPr>
    </w:p>
    <w:p w14:paraId="493324E9" w14:textId="16740410" w:rsidR="00EF1D5F" w:rsidRDefault="00F077A9">
      <w:pPr>
        <w:widowControl w:val="0"/>
        <w:pBdr>
          <w:top w:val="nil"/>
          <w:left w:val="nil"/>
          <w:bottom w:val="nil"/>
          <w:right w:val="nil"/>
          <w:between w:val="nil"/>
        </w:pBdr>
        <w:spacing w:line="276" w:lineRule="auto"/>
        <w:jc w:val="left"/>
      </w:pPr>
      <w:r>
        <w:rPr>
          <w:noProof/>
        </w:rPr>
        <w:drawing>
          <wp:anchor distT="0" distB="0" distL="0" distR="0" simplePos="0" relativeHeight="251781120" behindDoc="1" locked="0" layoutInCell="1" hidden="0" allowOverlap="1" wp14:anchorId="686F8888" wp14:editId="564DB2A8">
            <wp:simplePos x="0" y="0"/>
            <wp:positionH relativeFrom="column">
              <wp:posOffset>654050</wp:posOffset>
            </wp:positionH>
            <wp:positionV relativeFrom="paragraph">
              <wp:posOffset>163195</wp:posOffset>
            </wp:positionV>
            <wp:extent cx="4443730" cy="3260725"/>
            <wp:effectExtent l="0" t="0" r="1270" b="3175"/>
            <wp:wrapNone/>
            <wp:docPr id="213351600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rotWithShape="1">
                    <a:blip r:embed="rId148"/>
                    <a:srcRect l="-1866" t="3037" r="-8" b="51268"/>
                    <a:stretch/>
                  </pic:blipFill>
                  <pic:spPr bwMode="auto">
                    <a:xfrm>
                      <a:off x="0" y="0"/>
                      <a:ext cx="4443730" cy="32607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bl>
      <w:tblPr>
        <w:tblW w:w="6804" w:type="dxa"/>
        <w:tblInd w:w="103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804"/>
      </w:tblGrid>
      <w:tr w:rsidR="00EF1D5F" w14:paraId="40162CCC" w14:textId="77777777">
        <w:tc>
          <w:tcPr>
            <w:tcW w:w="6804" w:type="dxa"/>
            <w:tcBorders>
              <w:top w:val="single" w:sz="4" w:space="0" w:color="C00000"/>
              <w:left w:val="nil"/>
              <w:bottom w:val="single" w:sz="4" w:space="0" w:color="C00000"/>
              <w:right w:val="nil"/>
            </w:tcBorders>
            <w:shd w:val="clear" w:color="auto" w:fill="auto"/>
          </w:tcPr>
          <w:p w14:paraId="2B6F0626" w14:textId="77777777" w:rsidR="00EF1D5F" w:rsidRDefault="00EF1D5F">
            <w:pPr>
              <w:ind w:left="603" w:right="314"/>
            </w:pPr>
          </w:p>
          <w:p w14:paraId="5D4BA975" w14:textId="77777777" w:rsidR="00EF1D5F" w:rsidRPr="00975393" w:rsidRDefault="00EF1D5F" w:rsidP="0036331A">
            <w:pPr>
              <w:spacing w:line="240" w:lineRule="auto"/>
              <w:ind w:right="314"/>
              <w:jc w:val="center"/>
              <w:rPr>
                <w:b/>
                <w:color w:val="C00000"/>
                <w:sz w:val="24"/>
              </w:rPr>
            </w:pPr>
            <w:r w:rsidRPr="00975393">
              <w:rPr>
                <w:b/>
                <w:color w:val="C00000"/>
                <w:sz w:val="24"/>
              </w:rPr>
              <w:t>Ante el descenso en el volumen de los embalses</w:t>
            </w:r>
          </w:p>
          <w:p w14:paraId="3AB0DC8C" w14:textId="77777777" w:rsidR="00EF1D5F" w:rsidRPr="00975393" w:rsidRDefault="00EF1D5F" w:rsidP="0036331A">
            <w:pPr>
              <w:spacing w:line="240" w:lineRule="auto"/>
              <w:ind w:right="314"/>
              <w:jc w:val="center"/>
              <w:rPr>
                <w:b/>
                <w:color w:val="C00000"/>
                <w:sz w:val="24"/>
              </w:rPr>
            </w:pPr>
            <w:r w:rsidRPr="00975393">
              <w:rPr>
                <w:b/>
                <w:color w:val="C00000"/>
                <w:sz w:val="24"/>
              </w:rPr>
              <w:t xml:space="preserve">que abastecen de agua potable </w:t>
            </w:r>
          </w:p>
          <w:p w14:paraId="2E09C80B" w14:textId="77777777" w:rsidR="00EF1D5F" w:rsidRPr="00975393" w:rsidRDefault="00EF1D5F" w:rsidP="0036331A">
            <w:pPr>
              <w:spacing w:line="240" w:lineRule="auto"/>
              <w:ind w:right="314"/>
              <w:jc w:val="center"/>
              <w:rPr>
                <w:b/>
                <w:color w:val="C00000"/>
                <w:sz w:val="24"/>
              </w:rPr>
            </w:pPr>
            <w:r w:rsidRPr="00975393">
              <w:rPr>
                <w:b/>
                <w:color w:val="C00000"/>
                <w:sz w:val="24"/>
              </w:rPr>
              <w:t xml:space="preserve">al distrito capital y a municipios de la región </w:t>
            </w:r>
          </w:p>
          <w:p w14:paraId="484C1806" w14:textId="26779AFF" w:rsidR="00EF1D5F" w:rsidRPr="00975393" w:rsidRDefault="00EF1D5F" w:rsidP="0036331A">
            <w:pPr>
              <w:spacing w:line="240" w:lineRule="auto"/>
              <w:ind w:right="314"/>
              <w:jc w:val="center"/>
              <w:rPr>
                <w:b/>
                <w:color w:val="C00000"/>
                <w:sz w:val="24"/>
              </w:rPr>
            </w:pPr>
            <w:r w:rsidRPr="00975393">
              <w:rPr>
                <w:b/>
                <w:color w:val="C00000"/>
                <w:sz w:val="24"/>
              </w:rPr>
              <w:t>por el fenómeno de</w:t>
            </w:r>
            <w:r w:rsidR="0036331A" w:rsidRPr="00975393">
              <w:rPr>
                <w:b/>
                <w:color w:val="C00000"/>
                <w:sz w:val="24"/>
              </w:rPr>
              <w:t xml:space="preserve"> El N</w:t>
            </w:r>
            <w:r w:rsidRPr="00975393">
              <w:rPr>
                <w:b/>
                <w:color w:val="C00000"/>
                <w:sz w:val="24"/>
              </w:rPr>
              <w:t>iño</w:t>
            </w:r>
          </w:p>
          <w:p w14:paraId="2A4289B4" w14:textId="77777777" w:rsidR="00EF1D5F" w:rsidRDefault="00EF1D5F">
            <w:pPr>
              <w:ind w:left="603" w:right="314"/>
            </w:pPr>
          </w:p>
          <w:p w14:paraId="55A98AF7" w14:textId="77777777" w:rsidR="00EF1D5F" w:rsidRDefault="00EF1D5F">
            <w:pPr>
              <w:ind w:left="603" w:right="314"/>
            </w:pPr>
            <w:r>
              <w:t>Es imperativo desarrollar una estrategia integral que involucre a todos los actores con responsabilidades sobre el recurso hídrico o que se beneficien del mismo, con el objetivo de garantizar la seguridad hídrica de los sistemas de acueducto y las fuentes para otras actividades económicas dependientes del agua.</w:t>
            </w:r>
          </w:p>
          <w:p w14:paraId="644517FF" w14:textId="77777777" w:rsidR="00EF1D5F" w:rsidRDefault="00EF1D5F">
            <w:pPr>
              <w:ind w:left="603" w:right="314"/>
            </w:pPr>
          </w:p>
          <w:p w14:paraId="49B66B8D" w14:textId="77777777" w:rsidR="00EF1D5F" w:rsidRDefault="00EF1D5F">
            <w:pPr>
              <w:ind w:left="603" w:right="314"/>
            </w:pPr>
            <w:r>
              <w:t>Es esencial llevar a cabo campañas para fomentar entre la ciudadanía el mejoramiento de hábitos de ahorro y uso eficiente del agua, lo que puede ser determinante para enfrentar las restricciones climáticas que afectan el acceso al recurso hídrico. Un acceso más consciente y racional al servicio de acueducto permitirá atender las necesidades con menor consumo de agua, beneficiando el medio ambiente y reduciendo costos en los servicios.</w:t>
            </w:r>
          </w:p>
          <w:p w14:paraId="7648D8DC" w14:textId="77777777" w:rsidR="00EF1D5F" w:rsidRDefault="00EF1D5F">
            <w:pPr>
              <w:ind w:left="603" w:right="314"/>
            </w:pPr>
          </w:p>
          <w:p w14:paraId="63B46B8D" w14:textId="77777777" w:rsidR="00EF1D5F" w:rsidRDefault="00EF1D5F">
            <w:pPr>
              <w:ind w:left="603" w:right="314"/>
            </w:pPr>
            <w:r>
              <w:t>En cuanto al consumo de agua en sectores no residenciales, es crucial promover mejoras en los procesos que fomenten el reúso del agua e incorporen prácticas de economía circular.</w:t>
            </w:r>
          </w:p>
          <w:p w14:paraId="1B8EF557" w14:textId="77777777" w:rsidR="00EF1D5F" w:rsidRDefault="00EF1D5F">
            <w:pPr>
              <w:ind w:left="603" w:right="314"/>
            </w:pPr>
          </w:p>
          <w:p w14:paraId="5666BA69" w14:textId="77777777" w:rsidR="00EF1D5F" w:rsidRDefault="00EF1D5F">
            <w:pPr>
              <w:ind w:left="603" w:right="314"/>
            </w:pPr>
            <w:r>
              <w:t>Además, se debe incentivar la coordinación interinstitucional para fortalecer las estrategias relacionadas con el manejo del recurso hídrico. Esta gestión debe convocar a los diferentes agentes a nivel local, regional y nacional para evaluar acciones que optimicen el manejo y seguimiento del ciclo del agua en las cuencas que abastecen al distrito capital y la región.</w:t>
            </w:r>
          </w:p>
          <w:p w14:paraId="3E0A23A3" w14:textId="77777777" w:rsidR="00EF1D5F" w:rsidRDefault="00EF1D5F">
            <w:pPr>
              <w:ind w:left="603" w:right="314"/>
            </w:pPr>
          </w:p>
          <w:p w14:paraId="260607B9" w14:textId="77777777" w:rsidR="00EF1D5F" w:rsidRDefault="00EF1D5F">
            <w:pPr>
              <w:ind w:left="603" w:right="314"/>
            </w:pPr>
          </w:p>
          <w:p w14:paraId="50630013" w14:textId="77777777" w:rsidR="00EF1D5F" w:rsidRDefault="00EF1D5F">
            <w:pPr>
              <w:ind w:left="603" w:right="314"/>
            </w:pPr>
            <w:r>
              <w:t xml:space="preserve">La prevención y el control serán criterios de gestión para evitar potenciales crisis por escasez o restricciones del recurso </w:t>
            </w:r>
            <w:r>
              <w:lastRenderedPageBreak/>
              <w:t>hídrico. La utilización de información histórica y análisis de datos permitirá proporcionar alertas tempranas para la adopción oportuna de acciones que minimicen los impactos y garanticen la confiabilidad del suministro de agua en el corto, mediano y largo plazo.</w:t>
            </w:r>
          </w:p>
          <w:p w14:paraId="0106B7C4" w14:textId="77777777" w:rsidR="00EF1D5F" w:rsidRDefault="00EF1D5F">
            <w:pPr>
              <w:ind w:left="603" w:right="314"/>
            </w:pPr>
          </w:p>
          <w:p w14:paraId="79C48C07" w14:textId="77777777" w:rsidR="00EF1D5F" w:rsidRDefault="00EF1D5F">
            <w:pPr>
              <w:ind w:left="603" w:right="314"/>
            </w:pPr>
            <w:r>
              <w:t>Esta visión tendrá un alcance regional, considerando las características del sistema que abastece principalmente a la ciudad y otros municipios del servicio de acueducto.</w:t>
            </w:r>
          </w:p>
          <w:p w14:paraId="043CE0BC" w14:textId="77777777" w:rsidR="00EF1D5F" w:rsidRDefault="00EF1D5F">
            <w:pPr>
              <w:ind w:left="603" w:right="314"/>
            </w:pPr>
          </w:p>
          <w:p w14:paraId="2E863270" w14:textId="77777777" w:rsidR="00EF1D5F" w:rsidRDefault="00EF1D5F">
            <w:pPr>
              <w:ind w:left="603" w:right="314"/>
            </w:pPr>
            <w:r>
              <w:t>Adicionalmente, se completará la fase de preinversión de las obras necesarias para la expansión del sistema de abastecimiento de fuentes hídricas a escala regional. El plan de acción que permita asegurar la expansión del sistema de abastecimiento de agua potable de Bogotá y la consolidación del área metropolitana, contendrá el detalle de estas intervenciones.</w:t>
            </w:r>
          </w:p>
          <w:p w14:paraId="6D49B79E" w14:textId="77777777" w:rsidR="00EF1D5F" w:rsidRDefault="00EF1D5F">
            <w:pPr>
              <w:ind w:left="603" w:right="314"/>
            </w:pPr>
          </w:p>
        </w:tc>
      </w:tr>
    </w:tbl>
    <w:p w14:paraId="2DC16674" w14:textId="77777777" w:rsidR="00EF1D5F" w:rsidRDefault="00EF1D5F">
      <w:pPr>
        <w:sectPr w:rsidR="00EF1D5F" w:rsidSect="00F7078E">
          <w:type w:val="continuous"/>
          <w:pgSz w:w="12240" w:h="15840"/>
          <w:pgMar w:top="2262" w:right="1440" w:bottom="1440" w:left="1440" w:header="708" w:footer="708" w:gutter="0"/>
          <w:cols w:space="720"/>
        </w:sectPr>
      </w:pPr>
      <w:r>
        <w:rPr>
          <w:noProof/>
        </w:rPr>
        <w:lastRenderedPageBreak/>
        <w:drawing>
          <wp:anchor distT="0" distB="0" distL="0" distR="0" simplePos="0" relativeHeight="251782144" behindDoc="1" locked="0" layoutInCell="1" hidden="0" allowOverlap="1" wp14:anchorId="38A182FC" wp14:editId="272ACA33">
            <wp:simplePos x="0" y="0"/>
            <wp:positionH relativeFrom="column">
              <wp:posOffset>531788</wp:posOffset>
            </wp:positionH>
            <wp:positionV relativeFrom="paragraph">
              <wp:posOffset>-4478997</wp:posOffset>
            </wp:positionV>
            <wp:extent cx="4442460" cy="4484077"/>
            <wp:effectExtent l="0" t="0" r="0" b="0"/>
            <wp:wrapNone/>
            <wp:docPr id="213351601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rotWithShape="1">
                    <a:blip r:embed="rId149"/>
                    <a:srcRect l="-1866" t="36317" r="-8" b="832"/>
                    <a:stretch/>
                  </pic:blipFill>
                  <pic:spPr bwMode="auto">
                    <a:xfrm>
                      <a:off x="0" y="0"/>
                      <a:ext cx="4442460" cy="4484077"/>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F842988" w14:textId="77777777" w:rsidR="00EF1D5F" w:rsidRDefault="00EF1D5F">
      <w:r>
        <w:t>De acuerdo con los procedimientos acordados por el Consejo Regional, se avanzará en la identificación del Hecho Metropolitano de servicios públicos domiciliarios y TIC orientado a mejorar la gobernanza y la integración de la región promoviendo acciones orientadas a garantizar la prestación eficiente de los servicios públicos en el ámbito regional, en el marco de la Región Metropolitana Bogotá-Cundinamarca y mediante la implementación del plan de acción correspondiente, según la competencia del Distrito Capital, de forma articulada con los demás actores de la región.</w:t>
      </w:r>
    </w:p>
    <w:p w14:paraId="3C3A4BDB" w14:textId="77777777" w:rsidR="00EF1D5F" w:rsidRDefault="00EF1D5F"/>
    <w:p w14:paraId="237CD75E" w14:textId="77777777" w:rsidR="00EF1D5F" w:rsidRDefault="00EF1D5F">
      <w:r>
        <w:t xml:space="preserve">En este plan de acción inevitablemente se deberán incluir las acciones tendientes al fortalecimiento del sistema de abastecimiento de agua potable para el Distrito Capital y los municipios de la región, el fortalecimiento de las infraestructuras de transporte de agua potable, la construcción de las infraestructuras de tratamiento de aguas residuales, la construcción de redes de interconexión e infraestructuras de distribución de energía y gas que permitan garantizar el abastecimiento conforme a las demandas proyectadas, y la implementación de alternativas de prestación de servicios públicos en las áreas de difícil conexión localizadas en </w:t>
      </w:r>
      <w:r>
        <w:t>suelo rural del Distrito Capital. Se avanzará en el proceso de consolidación urbanística de sectores como San José de Bavaria, con la viabilización de la construcción de las redes secundarias para el servicio de alcantarillado sanitario y pluvial.</w:t>
      </w:r>
    </w:p>
    <w:p w14:paraId="075EFD94" w14:textId="77777777" w:rsidR="00EF1D5F" w:rsidRDefault="00EF1D5F"/>
    <w:p w14:paraId="6232D4BB" w14:textId="77777777" w:rsidR="00EF1D5F" w:rsidRDefault="00EF1D5F">
      <w:r>
        <w:t>Para garantizar la adecuada prestación de los diferentes servicios públicos en el Distrito Capital, se avanzará en la implementación de las estrategias establecidas en el Decreto Distrital 615 de 2023, mediante el cual el Distrito Capital adoptó el Plan Maestro del Hábitat y Servicios Públicos. Estas estrategias permiten fortalecer el uso responsable de los recursos naturales requeridos para garantizar la prestación de estos servicios, de manera que se disminuya la presión sobre el ambiente y los impactos ambientales que se generan a partir de estas actividades. Así mismo, buscan fortalecer la capacidad de resiliencia del Distrito Capital y de la región de influencia ante las condiciones cambiantes del clima y su impacto en la provisión de los servicios públicos.</w:t>
      </w:r>
    </w:p>
    <w:p w14:paraId="5317EC17" w14:textId="77777777" w:rsidR="00EF1D5F" w:rsidRDefault="00EF1D5F"/>
    <w:p w14:paraId="57C9063F" w14:textId="77777777" w:rsidR="00EF1D5F" w:rsidRDefault="00EF1D5F">
      <w:r>
        <w:t xml:space="preserve">Estos lineamientos se implementarán tomando en cuenta el escenario de cambio climático existente, cuyos efectos en el riesgo de abastecimiento de agua potable y energía para la ciudad </w:t>
      </w:r>
      <w:r>
        <w:lastRenderedPageBreak/>
        <w:t>y la región se han implementado, se identificarán aquellos aspectos que sea necesario fortalecer o ajustar, de manera que la ciudad de adecúe en la mejor manera a las condiciones existentes.</w:t>
      </w:r>
    </w:p>
    <w:p w14:paraId="56017B33" w14:textId="77777777" w:rsidR="00EF1D5F" w:rsidRDefault="00EF1D5F"/>
    <w:p w14:paraId="11E024FA" w14:textId="77777777" w:rsidR="00EF1D5F" w:rsidRDefault="00EF1D5F">
      <w:r>
        <w:t>La Administración avanzará no solo en el abastecimiento y distribución de los servicios públicos, sino también en el uso eficiente de los mismos por los usuarios públicos y privados, con el fin de disminuir la presión sobre el ambiente y la vulnerabilidad de la ciudad a los efectos del cambio climático.</w:t>
      </w:r>
    </w:p>
    <w:p w14:paraId="5EF74F4E" w14:textId="77777777" w:rsidR="00EF1D5F" w:rsidRDefault="00EF1D5F"/>
    <w:p w14:paraId="50AA3DEC" w14:textId="77777777" w:rsidR="00EF1D5F" w:rsidRDefault="00EF1D5F">
      <w:r>
        <w:t>En este sentido, la planificación de los servicios públicos en el Distrito Capital debe prever las condiciones cambiantes del ambiente, de manera que las actuaciones públicas permitan avanzar en la acción climática. Esto requiere de una coordinación en la toma de decisiones por parte de los actores públicos encargados del ordenamiento territorial y de la provisión de servicios públicos, de manera que se pueda garantizar la provisión de la infraestructura de servicios públicos no sólo a partir de las nuevas demandas esperadas, sino también a partir de los escenarios de cambio climático advertidos para la ciudad y su área de influencia.</w:t>
      </w:r>
    </w:p>
    <w:p w14:paraId="2E1677BA" w14:textId="77777777" w:rsidR="00EF1D5F" w:rsidRDefault="00EF1D5F"/>
    <w:p w14:paraId="2EFBF11D" w14:textId="77777777" w:rsidR="00EF1D5F" w:rsidRDefault="00EF1D5F">
      <w:r>
        <w:t>Adquiere gran importancia la posibilidad de articulación y coordinación de actores, de manera que las inversiones públicas sobre la ciudad se lleven a cabo aprovechando las mejores condiciones existentes actualmente ante los escenarios de cambio climático y disminuyendo la vulnerabilidad de aquellas áreas en las cuales se ha identificado una menor o más costosa capacidad de adaptación.</w:t>
      </w:r>
    </w:p>
    <w:p w14:paraId="125DB783" w14:textId="77777777" w:rsidR="00EF1D5F" w:rsidRDefault="00EF1D5F"/>
    <w:p w14:paraId="3055C521" w14:textId="77777777" w:rsidR="00EF1D5F" w:rsidRDefault="00EF1D5F">
      <w:r>
        <w:t xml:space="preserve">En este sentido, la ampliación de las coberturas de provisión de servicios públicos no debe contemplar simplemente la extensión de infraestructura, sino también, la adecuación de la infraestructura existente. En lo relacionado con el servicio de acueducto, se avanzará en la identificación e implementación de alternativas de fortalecimiento del sistema de abastecimiento </w:t>
      </w:r>
      <w:r>
        <w:t>de agua potable para el Distrito Capital y los municipios de su área de influencia que son abastecidos por parte de la EAAB ESP. Se fortalecerán y optimizarán las infraestructuras existentes de captación, tratamiento, transporte y distribución de agua potable, fortaleciendo el uso eficiente del recurso hídrico, de manera que se disminuya la vulnerabilidad de la ciudad y la región ante los efectos del cambio climático.</w:t>
      </w:r>
    </w:p>
    <w:p w14:paraId="657840BA" w14:textId="77777777" w:rsidR="00EF1D5F" w:rsidRDefault="00EF1D5F"/>
    <w:p w14:paraId="5158132F" w14:textId="77777777" w:rsidR="00EF1D5F" w:rsidRDefault="00EF1D5F">
      <w:r>
        <w:t>De igual forma, se avanzará en la construcción y optimización de infraestructuras de distribución de agua potable en las áreas de construcción de nueva ciudad y en las áreas estratégicas de revitalización, conforme a las nuevas demandas identificadas. Se avanzará el programa de reducción de pérdidas técnica de agua potable, con el fin de disminuir el volumen de agua que no es utilizado de manera eficiente en la ciudad y que significa mayores costos ambientales y económicos en la prestación del servicio. Por último, se incentivará el uso eficiente del agua por parte de los usuarios del servicio público de acueducto, propiciando el uso de tecnologías más eficientes en los procesos y edificaciones de la ciudad, para lo cual se trabajará en el marco normativo de construcción sostenible.</w:t>
      </w:r>
    </w:p>
    <w:p w14:paraId="3AE4D654" w14:textId="77777777" w:rsidR="00EF1D5F" w:rsidRDefault="00EF1D5F"/>
    <w:p w14:paraId="77FF2FB3" w14:textId="77777777" w:rsidR="00EF1D5F" w:rsidRDefault="00EF1D5F">
      <w:r>
        <w:t xml:space="preserve">En lo que tiene que ver con el servicio de alcantarillado sanitario y pluvial, se avanzará en el proceso de diseño y construcción de la PTAR Canoas y de su infraestructura complementaria, con miras a disminuir el impacto de las aguas servidas en el Río Bogotá. Así mismo, se desarrollarán procesos de control de vertimientos sobre los elementos hídricos, mediante la construcción de infraestructura de saneamiento. Se fortalecerán las redes de alcantarillado al interior de la ciudad, de manera que soporten las nuevas demandas originadas en los procesos de revitalización del Distrito Capital. Para tal fin, el fortalecimiento de las redes de alcantarillado sanitario se articulará con las redes de alcantarillado pluvial mediante la implementación de Sistemas Urbanos de Drenaje Sostenible en aquellas áreas en las cuales este tipo de tecnologías </w:t>
      </w:r>
      <w:r>
        <w:lastRenderedPageBreak/>
        <w:t>resulten ser más eficientes para la regulación hídrica y la gestión hidráulica.</w:t>
      </w:r>
    </w:p>
    <w:p w14:paraId="13D5E868" w14:textId="77777777" w:rsidR="00EF1D5F" w:rsidRDefault="00EF1D5F"/>
    <w:p w14:paraId="1041935C" w14:textId="77777777" w:rsidR="00EF1D5F" w:rsidRDefault="00EF1D5F">
      <w:r>
        <w:t>En términos de sostenibilidad, se avanzará en los procesos de separación de vertimientos, los cuales facilitan la gestión de aguas pluviales como un recurso valioso, permitiendo su reutilización o infiltración para recargar acuíferos y promover la eficiencia, la seguridad y la gestión sostenible del agua en los sistemas de saneamiento, reduciendo las condiciones de vulnerabilidad hídrica de Bogotá.</w:t>
      </w:r>
    </w:p>
    <w:p w14:paraId="3EBEDF07" w14:textId="77777777" w:rsidR="00EF1D5F" w:rsidRDefault="00EF1D5F"/>
    <w:p w14:paraId="3B7EE8A2" w14:textId="77777777" w:rsidR="00EF1D5F" w:rsidRDefault="00EF1D5F">
      <w:r>
        <w:t>En relación con los servicios públicos de energía y gas, mediante este programa se plantea fomentar la ampliación de la capacidad instalada de Fuentes No Convencionales de Energía (FNCER), así como la implementación de sistemas de eficiencia energética.</w:t>
      </w:r>
    </w:p>
    <w:p w14:paraId="0EAF6792" w14:textId="77777777" w:rsidR="00EF1D5F" w:rsidRDefault="00EF1D5F"/>
    <w:p w14:paraId="7A2501E9" w14:textId="77777777" w:rsidR="00EF1D5F" w:rsidRDefault="00EF1D5F">
      <w:r>
        <w:t>Se apoyará el proceso de fortalecimiento de la red de transporte y distribución de energía eléctrica y gas en la ciudad, con el fin de robustecer la oferta de estos servicios públicos y de garantizar la calidad en la prestación de los mismos, acorde con las demandas crecientes. Para tal fin, la actuación pública y la coordinación interinstitucional facilitarán el despliegue de infraestructuras como subestaciones y redes de distribución acorde con las nuevas tecnologías y métodos constructivos, priorizando su localización en áreas estratégicas de la ciudad.</w:t>
      </w:r>
    </w:p>
    <w:p w14:paraId="78C7387C" w14:textId="77777777" w:rsidR="00EF1D5F" w:rsidRDefault="00EF1D5F"/>
    <w:p w14:paraId="0DCEDC2B" w14:textId="77777777" w:rsidR="00EF1D5F" w:rsidRDefault="00EF1D5F">
      <w:r>
        <w:t>Se avanzará en el proceso de electrificación de los sistemas de transporte público y privado de la ciudad, facilitando la masificación de la infraestructura de recarga mediante la habilitación de su localización en infraestructuras públicas estratégicas de espacios públicos y equipamientos. Así mismo, se incentivará la adecuación eléctrica de las edificaciones públicas y privadas mediante el ajuste en la normativa urbanística, de manera que se habilite el mayor número de sitios de recarga en la ciudad.</w:t>
      </w:r>
    </w:p>
    <w:p w14:paraId="53E11F7B" w14:textId="77777777" w:rsidR="00EF1D5F" w:rsidRDefault="00EF1D5F"/>
    <w:p w14:paraId="7E81A4EB" w14:textId="77777777" w:rsidR="00EF1D5F" w:rsidRDefault="00EF1D5F">
      <w:r>
        <w:t>Así mismo, se facilitará el uso más eficiente de energía eléctrica y gas en las áreas estratégicas de la ciudad mediante la implementación de estrategias como los Distritos Térmicos, que permitan identificar zonas de demanda intensiva y una gestión más eficiente de los recursos para el desarrollo de actividades residenciales y productivas.</w:t>
      </w:r>
    </w:p>
    <w:p w14:paraId="4EA0D982" w14:textId="77777777" w:rsidR="00EF1D5F" w:rsidRDefault="00EF1D5F"/>
    <w:p w14:paraId="0BC54019" w14:textId="77777777" w:rsidR="00EF1D5F" w:rsidRDefault="00EF1D5F">
      <w:r>
        <w:t>Igualmente, se desarrollarán acciones para mejorar las condiciones de acceso a los servicios públicos de energía y gas de las poblaciones que habitan en el suelo rural, haciendo énfasis en el mejoramiento de los canales de distribución y en la identificación de fuentes de financiación para la sustitución del uso de combustibles contaminantes en los hogares rurales, de manera que se incremente el uso en las labores domésticas de alternativas como las FNCER, el GLP o el Gas Natural Comprimido (GNC), cuyo uso actualmente tiene un costo elevado para la capacidad financiera de estas familias.</w:t>
      </w:r>
    </w:p>
    <w:p w14:paraId="2938B9D4" w14:textId="77777777" w:rsidR="00EF1D5F" w:rsidRDefault="00EF1D5F"/>
    <w:p w14:paraId="003DBD15" w14:textId="77777777" w:rsidR="00EF1D5F" w:rsidRDefault="00EF1D5F">
      <w:r>
        <w:t xml:space="preserve">En lo relacionado con TIC, se reconocerá su papel como una herramienta fundamental para promover la inclusión social y económica, así como para mejorar la eficiencia en la gestión de los recursos y servicios públicos en todos los sectores del desarrollo distrital. Para tal fin, se promoverá que toda política </w:t>
      </w:r>
      <w:r w:rsidRPr="00F077A9">
        <w:rPr>
          <w:spacing w:val="-6"/>
        </w:rPr>
        <w:t>pública del distrito deba contemplar la implementación de soluciones TIC entre sus estrategias, privilegiando el uso de la</w:t>
      </w:r>
      <w:r>
        <w:t xml:space="preserve"> infraestructura, redes y servicios ofrecidos por las entidades distritales. Se facilitará el despliegue de infraestructura para garantizar la conexión de alta velocidad en el suelo urbano mediante alternativas como la construcción de infraestructuras de conexión para sectores estratégicos de la ciudad, la cual facilite la conectividad a los hogares en dichas zonas. </w:t>
      </w:r>
    </w:p>
    <w:p w14:paraId="5B8B718B" w14:textId="77777777" w:rsidR="00EF1D5F" w:rsidRDefault="00EF1D5F"/>
    <w:p w14:paraId="0F8FD411" w14:textId="77777777" w:rsidR="00EF1D5F" w:rsidRDefault="00EF1D5F">
      <w:r>
        <w:t xml:space="preserve">Así mismo, se llevará a cabo la identificación y ajuste de requerimientos y trámites normativos que dificulten la localización de infraestructura de conexión en el suelo urbano; se llevará a cabo el fortalecimiento de nodos de acceso </w:t>
      </w:r>
      <w:r>
        <w:lastRenderedPageBreak/>
        <w:t>gratuito a internet en áreas estratégicas de la ciudad como espacios públicos, nodos de equipamientos públicos y estaciones del sistema de transporte masivo. Se explorará la posibilidad de implementar subsidios a las conexiones de fibra óptica para la población más vulnerable. Por su parte, para facilitar el acceso a las TIC en suelo rural, se incentivará el despliegue de infraestructura y la extensión de redes de conexión en los centros poblados rurales y se implementarán estrategias alternativas de conexión tales como los nodos rurales de acceso gratuito a internet, de manera que se disminuyan las brechas existentes en la actualidad.</w:t>
      </w:r>
    </w:p>
    <w:p w14:paraId="1BC747A0" w14:textId="77777777" w:rsidR="00EF1D5F" w:rsidRDefault="00EF1D5F"/>
    <w:p w14:paraId="4713887C" w14:textId="77777777" w:rsidR="00EF1D5F" w:rsidRDefault="00EF1D5F">
      <w:r>
        <w:t xml:space="preserve">Así mismo, se verificarán las condiciones de la prestación de los servicios públicos en los asentamientos de origen informal donde se ha evidenciado que se encuentran en su mayoría los hogares no cubiertos con servicios, para lograr la universalidad en algunos servicios públicos. El análisis caracterizará las condiciones de prestación de los servicios públicos en los asentamientos legalizados, los que se encuentran en proceso de legalización y los que no pueden ser legalizables, principalmente, en suelos en condición de riesgo no mitigable o de protección ambiental. Para tal fin, se producirá un sistema centralizado de información del hábitat rural del Distrito, que facilite identificar el estado actual de la vivienda y sus soportes territoriales que facilite la focalización de recursos y el mejoramiento en la calidad de vida de sus habitantes. A partir de esta caracterización, se definirán </w:t>
      </w:r>
      <w:r>
        <w:t>estrategias integrales e interinstitucionales para garantizar los derechos de los ciudadanos.</w:t>
      </w:r>
    </w:p>
    <w:p w14:paraId="5367E233" w14:textId="77777777" w:rsidR="00EF1D5F" w:rsidRDefault="00EF1D5F"/>
    <w:p w14:paraId="535DA09C" w14:textId="77777777" w:rsidR="00EF1D5F" w:rsidRDefault="00EF1D5F">
      <w:r>
        <w:t>Por último, respecto a la infraestructura de BOC, se garantizará la infraestructura en los cementerios Distritales en cumplimiento a la normativa vigente liberando los espacios actualmente ocupados para aumentar la disponibilidad y crear 7.292 nuevos espacios para llegar a 43.752 para la prestación de servicios de destino final aumentando la capacidad pública instalada.</w:t>
      </w:r>
    </w:p>
    <w:p w14:paraId="49E75198" w14:textId="77777777" w:rsidR="00EF1D5F" w:rsidRDefault="00EF1D5F"/>
    <w:p w14:paraId="4A3214A7" w14:textId="77777777" w:rsidR="00EF1D5F" w:rsidRPr="009729E0" w:rsidRDefault="00EF1D5F">
      <w:pPr>
        <w:rPr>
          <w:spacing w:val="-8"/>
        </w:rPr>
      </w:pPr>
      <w:r w:rsidRPr="009729E0">
        <w:rPr>
          <w:spacing w:val="-8"/>
        </w:rPr>
        <w:t>Finalmente, se realizarán obras de adecuación y mantenimiento en la infraestructura de los cementerios del Distrito para ampliar la capacidad y disponibilidad del servicio, que permita mejorar la cobertura y la promoción de dichas infraestructuras como monumentos.</w:t>
      </w:r>
    </w:p>
    <w:p w14:paraId="7E4F1BBD" w14:textId="77777777" w:rsidR="00EF1D5F" w:rsidRDefault="00EF1D5F"/>
    <w:p w14:paraId="50BBCBD0" w14:textId="2C4306E2" w:rsidR="00EF1D5F" w:rsidRDefault="00EF1D5F">
      <w:r>
        <w:t>Se gestionará y definirá en articulación con las empresas de servicios públicos domiciliarios y TIC los recursos necesarios para garantizar condiciones de sostenibilidad, cobertura, calidad y accesibilidad en la prestación de los servicios públicos en el suelo urbano y rural, dando cumplimiento a lo definido en la Política de Servicios Públicos y el Plan de Hábitat y Servicios Públicos. Adicionalmente, las empresas de servicios públicos incorporarán en sus respectivos planes de inversión los lineamientos definidos por la Secretaría Distrital del Hábitat o definirán en articulación con la Administración fuentes de financiación para la concreción de los proyectos.</w:t>
      </w:r>
    </w:p>
    <w:p w14:paraId="4F86BA49" w14:textId="77777777"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p>
    <w:p w14:paraId="7EA5668C" w14:textId="77777777" w:rsidR="00EF1D5F" w:rsidRDefault="00EF1D5F">
      <w:pPr>
        <w:rPr>
          <w:b/>
        </w:rPr>
      </w:pPr>
    </w:p>
    <w:p w14:paraId="2A5BF582" w14:textId="77777777" w:rsidR="00EF1D5F" w:rsidRPr="002467AD" w:rsidRDefault="00EF1D5F">
      <w:pPr>
        <w:pBdr>
          <w:top w:val="nil"/>
          <w:left w:val="nil"/>
          <w:bottom w:val="nil"/>
          <w:right w:val="nil"/>
          <w:between w:val="nil"/>
        </w:pBdr>
        <w:spacing w:line="220" w:lineRule="auto"/>
        <w:jc w:val="center"/>
        <w:rPr>
          <w:b/>
          <w:color w:val="3B3838"/>
          <w:sz w:val="18"/>
          <w:szCs w:val="18"/>
        </w:rPr>
      </w:pPr>
    </w:p>
    <w:p w14:paraId="1B2564DD" w14:textId="77777777" w:rsidR="002467AD" w:rsidRDefault="002467AD">
      <w:pPr>
        <w:spacing w:line="240" w:lineRule="auto"/>
        <w:jc w:val="left"/>
        <w:rPr>
          <w:rFonts w:eastAsiaTheme="minorEastAsia" w:cstheme="minorBidi"/>
          <w:b/>
          <w:iCs/>
          <w:color w:val="C00000"/>
          <w:sz w:val="18"/>
          <w:szCs w:val="18"/>
          <w:lang w:eastAsia="en-US"/>
        </w:rPr>
      </w:pPr>
      <w:r>
        <w:rPr>
          <w:color w:val="C00000"/>
          <w:sz w:val="18"/>
        </w:rPr>
        <w:br w:type="page"/>
      </w:r>
    </w:p>
    <w:p w14:paraId="24E63E64" w14:textId="1BAC2524" w:rsidR="00EF1D5F" w:rsidRPr="002467AD" w:rsidRDefault="002467AD" w:rsidP="002467AD">
      <w:pPr>
        <w:pStyle w:val="Descripcin"/>
        <w:jc w:val="center"/>
        <w:rPr>
          <w:sz w:val="18"/>
        </w:rPr>
      </w:pPr>
      <w:bookmarkStart w:id="401" w:name="_Toc165169961"/>
      <w:r w:rsidRPr="002467AD">
        <w:rPr>
          <w:color w:val="C00000"/>
          <w:sz w:val="18"/>
        </w:rPr>
        <w:lastRenderedPageBreak/>
        <w:t xml:space="preserve">Tabla </w:t>
      </w:r>
      <w:r w:rsidRPr="002467AD">
        <w:rPr>
          <w:color w:val="C00000"/>
          <w:sz w:val="18"/>
        </w:rPr>
        <w:fldChar w:fldCharType="begin"/>
      </w:r>
      <w:r w:rsidRPr="002467AD">
        <w:rPr>
          <w:color w:val="C00000"/>
          <w:sz w:val="18"/>
        </w:rPr>
        <w:instrText xml:space="preserve"> SEQ Tabla \* ARABIC </w:instrText>
      </w:r>
      <w:r w:rsidRPr="002467AD">
        <w:rPr>
          <w:color w:val="C00000"/>
          <w:sz w:val="18"/>
        </w:rPr>
        <w:fldChar w:fldCharType="separate"/>
      </w:r>
      <w:r w:rsidR="00D01651">
        <w:rPr>
          <w:noProof/>
          <w:color w:val="C00000"/>
          <w:sz w:val="18"/>
        </w:rPr>
        <w:t>51</w:t>
      </w:r>
      <w:r w:rsidRPr="002467AD">
        <w:rPr>
          <w:color w:val="C00000"/>
          <w:sz w:val="18"/>
        </w:rPr>
        <w:fldChar w:fldCharType="end"/>
      </w:r>
      <w:r w:rsidRPr="002467AD">
        <w:rPr>
          <w:color w:val="C00000"/>
          <w:sz w:val="18"/>
        </w:rPr>
        <w:t xml:space="preserve">. </w:t>
      </w:r>
      <w:r w:rsidR="00EF1D5F" w:rsidRPr="002467AD">
        <w:rPr>
          <w:sz w:val="18"/>
        </w:rPr>
        <w:t>Metas del programa 29</w:t>
      </w:r>
      <w:r w:rsidRPr="002467AD">
        <w:rPr>
          <w:sz w:val="18"/>
        </w:rPr>
        <w:t>:</w:t>
      </w:r>
      <w:r w:rsidR="00EF1D5F" w:rsidRPr="002467AD">
        <w:rPr>
          <w:sz w:val="18"/>
        </w:rPr>
        <w:t xml:space="preserve"> Servicios públicos inclusivos y sostenibles</w:t>
      </w:r>
      <w:bookmarkEnd w:id="401"/>
    </w:p>
    <w:tbl>
      <w:tblPr>
        <w:tblW w:w="8838" w:type="dxa"/>
        <w:jc w:val="center"/>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2268"/>
        <w:gridCol w:w="1276"/>
        <w:gridCol w:w="1559"/>
        <w:gridCol w:w="1276"/>
        <w:gridCol w:w="1244"/>
        <w:gridCol w:w="1215"/>
      </w:tblGrid>
      <w:tr w:rsidR="00EF1D5F" w14:paraId="2021884F" w14:textId="77777777" w:rsidTr="002467AD">
        <w:trPr>
          <w:trHeight w:val="600"/>
          <w:tblHeader/>
          <w:jc w:val="center"/>
        </w:trPr>
        <w:tc>
          <w:tcPr>
            <w:tcW w:w="2268" w:type="dxa"/>
            <w:vMerge w:val="restart"/>
            <w:shd w:val="clear" w:color="auto" w:fill="C00000"/>
            <w:tcMar>
              <w:top w:w="40" w:type="dxa"/>
              <w:left w:w="40" w:type="dxa"/>
              <w:bottom w:w="40" w:type="dxa"/>
              <w:right w:w="40" w:type="dxa"/>
            </w:tcMar>
            <w:vAlign w:val="center"/>
          </w:tcPr>
          <w:p w14:paraId="48FCF7C6" w14:textId="77777777" w:rsidR="00EF1D5F" w:rsidRDefault="00EF1D5F" w:rsidP="003D4AD9">
            <w:pPr>
              <w:widowControl w:val="0"/>
              <w:spacing w:line="276" w:lineRule="auto"/>
              <w:jc w:val="center"/>
              <w:rPr>
                <w:b/>
                <w:color w:val="FFFFFF"/>
                <w:sz w:val="24"/>
              </w:rPr>
            </w:pPr>
            <w:r>
              <w:rPr>
                <w:b/>
                <w:color w:val="FFFFFF"/>
                <w:sz w:val="24"/>
              </w:rPr>
              <w:t>SECTOR / Metas</w:t>
            </w:r>
          </w:p>
        </w:tc>
        <w:tc>
          <w:tcPr>
            <w:tcW w:w="6570" w:type="dxa"/>
            <w:gridSpan w:val="5"/>
            <w:shd w:val="clear" w:color="auto" w:fill="C00000"/>
            <w:tcMar>
              <w:top w:w="40" w:type="dxa"/>
              <w:left w:w="40" w:type="dxa"/>
              <w:bottom w:w="40" w:type="dxa"/>
              <w:right w:w="40" w:type="dxa"/>
            </w:tcMar>
            <w:vAlign w:val="center"/>
          </w:tcPr>
          <w:p w14:paraId="2BBA31DC" w14:textId="77777777" w:rsidR="00EF1D5F" w:rsidRDefault="00EF1D5F" w:rsidP="003D4AD9">
            <w:pPr>
              <w:widowControl w:val="0"/>
              <w:spacing w:line="276" w:lineRule="auto"/>
              <w:jc w:val="center"/>
              <w:rPr>
                <w:b/>
                <w:color w:val="FFFFFF"/>
                <w:sz w:val="24"/>
              </w:rPr>
            </w:pPr>
            <w:r>
              <w:rPr>
                <w:b/>
                <w:color w:val="FFFFFF"/>
                <w:sz w:val="24"/>
              </w:rPr>
              <w:t>Magnitudes e Inversión</w:t>
            </w:r>
          </w:p>
          <w:p w14:paraId="211790FA" w14:textId="77777777" w:rsidR="00EF1D5F" w:rsidRDefault="00EF1D5F" w:rsidP="003D4AD9">
            <w:pPr>
              <w:widowControl w:val="0"/>
              <w:spacing w:line="276" w:lineRule="auto"/>
              <w:jc w:val="center"/>
              <w:rPr>
                <w:rFonts w:ascii="Arial" w:eastAsia="Arial" w:hAnsi="Arial" w:cs="Arial"/>
                <w:color w:val="000000"/>
              </w:rPr>
            </w:pPr>
            <w:r>
              <w:rPr>
                <w:b/>
                <w:color w:val="FFFFFF"/>
                <w:sz w:val="18"/>
                <w:szCs w:val="18"/>
              </w:rPr>
              <w:t>(Precios Constantes 2024)</w:t>
            </w:r>
          </w:p>
        </w:tc>
      </w:tr>
      <w:tr w:rsidR="00EF1D5F" w14:paraId="77DFFA42" w14:textId="77777777" w:rsidTr="002467AD">
        <w:trPr>
          <w:trHeight w:val="315"/>
          <w:tblHeader/>
          <w:jc w:val="center"/>
        </w:trPr>
        <w:tc>
          <w:tcPr>
            <w:tcW w:w="2268" w:type="dxa"/>
            <w:vMerge/>
            <w:shd w:val="clear" w:color="auto" w:fill="auto"/>
            <w:tcMar>
              <w:top w:w="100" w:type="dxa"/>
              <w:left w:w="100" w:type="dxa"/>
              <w:bottom w:w="100" w:type="dxa"/>
              <w:right w:w="100" w:type="dxa"/>
            </w:tcMar>
          </w:tcPr>
          <w:p w14:paraId="41770F19" w14:textId="77777777" w:rsidR="00EF1D5F" w:rsidRDefault="00EF1D5F" w:rsidP="003D4AD9">
            <w:pPr>
              <w:widowControl w:val="0"/>
              <w:spacing w:line="276" w:lineRule="auto"/>
              <w:jc w:val="left"/>
              <w:rPr>
                <w:rFonts w:ascii="Arial" w:eastAsia="Arial" w:hAnsi="Arial" w:cs="Arial"/>
                <w:color w:val="000000"/>
              </w:rPr>
            </w:pPr>
          </w:p>
        </w:tc>
        <w:tc>
          <w:tcPr>
            <w:tcW w:w="1276" w:type="dxa"/>
            <w:shd w:val="clear" w:color="auto" w:fill="D9D9D9"/>
            <w:tcMar>
              <w:top w:w="40" w:type="dxa"/>
              <w:left w:w="40" w:type="dxa"/>
              <w:bottom w:w="40" w:type="dxa"/>
              <w:right w:w="40" w:type="dxa"/>
            </w:tcMar>
            <w:vAlign w:val="center"/>
          </w:tcPr>
          <w:p w14:paraId="0F8B081A" w14:textId="77777777" w:rsidR="00EF1D5F" w:rsidRDefault="00EF1D5F" w:rsidP="003D4AD9">
            <w:pPr>
              <w:widowControl w:val="0"/>
              <w:spacing w:line="276" w:lineRule="auto"/>
              <w:jc w:val="center"/>
              <w:rPr>
                <w:rFonts w:ascii="Arial" w:eastAsia="Arial" w:hAnsi="Arial" w:cs="Arial"/>
                <w:color w:val="000000"/>
              </w:rPr>
            </w:pPr>
            <w:r>
              <w:rPr>
                <w:b/>
                <w:color w:val="000000"/>
              </w:rPr>
              <w:t>2024</w:t>
            </w:r>
          </w:p>
        </w:tc>
        <w:tc>
          <w:tcPr>
            <w:tcW w:w="1559" w:type="dxa"/>
            <w:shd w:val="clear" w:color="auto" w:fill="D9D9D9"/>
            <w:tcMar>
              <w:top w:w="40" w:type="dxa"/>
              <w:left w:w="40" w:type="dxa"/>
              <w:bottom w:w="40" w:type="dxa"/>
              <w:right w:w="40" w:type="dxa"/>
            </w:tcMar>
            <w:vAlign w:val="center"/>
          </w:tcPr>
          <w:p w14:paraId="63C29500" w14:textId="77777777" w:rsidR="00EF1D5F" w:rsidRDefault="00EF1D5F" w:rsidP="003D4AD9">
            <w:pPr>
              <w:widowControl w:val="0"/>
              <w:spacing w:line="276" w:lineRule="auto"/>
              <w:jc w:val="center"/>
              <w:rPr>
                <w:rFonts w:ascii="Arial" w:eastAsia="Arial" w:hAnsi="Arial" w:cs="Arial"/>
                <w:color w:val="000000"/>
              </w:rPr>
            </w:pPr>
            <w:r>
              <w:rPr>
                <w:b/>
                <w:color w:val="000000"/>
              </w:rPr>
              <w:t>2025</w:t>
            </w:r>
          </w:p>
        </w:tc>
        <w:tc>
          <w:tcPr>
            <w:tcW w:w="1276" w:type="dxa"/>
            <w:shd w:val="clear" w:color="auto" w:fill="D9D9D9"/>
            <w:tcMar>
              <w:top w:w="40" w:type="dxa"/>
              <w:left w:w="40" w:type="dxa"/>
              <w:bottom w:w="40" w:type="dxa"/>
              <w:right w:w="40" w:type="dxa"/>
            </w:tcMar>
            <w:vAlign w:val="center"/>
          </w:tcPr>
          <w:p w14:paraId="3ADB0CBF" w14:textId="77777777" w:rsidR="00EF1D5F" w:rsidRDefault="00EF1D5F" w:rsidP="003D4AD9">
            <w:pPr>
              <w:widowControl w:val="0"/>
              <w:spacing w:line="276" w:lineRule="auto"/>
              <w:jc w:val="center"/>
              <w:rPr>
                <w:rFonts w:ascii="Arial" w:eastAsia="Arial" w:hAnsi="Arial" w:cs="Arial"/>
                <w:color w:val="000000"/>
              </w:rPr>
            </w:pPr>
            <w:r>
              <w:rPr>
                <w:b/>
                <w:color w:val="000000"/>
              </w:rPr>
              <w:t>2026</w:t>
            </w:r>
          </w:p>
        </w:tc>
        <w:tc>
          <w:tcPr>
            <w:tcW w:w="1244" w:type="dxa"/>
            <w:shd w:val="clear" w:color="auto" w:fill="D9D9D9"/>
            <w:tcMar>
              <w:top w:w="40" w:type="dxa"/>
              <w:left w:w="40" w:type="dxa"/>
              <w:bottom w:w="40" w:type="dxa"/>
              <w:right w:w="40" w:type="dxa"/>
            </w:tcMar>
            <w:vAlign w:val="center"/>
          </w:tcPr>
          <w:p w14:paraId="0084DCDF" w14:textId="77777777" w:rsidR="00EF1D5F" w:rsidRDefault="00EF1D5F" w:rsidP="003D4AD9">
            <w:pPr>
              <w:widowControl w:val="0"/>
              <w:spacing w:line="276" w:lineRule="auto"/>
              <w:jc w:val="center"/>
              <w:rPr>
                <w:rFonts w:ascii="Arial" w:eastAsia="Arial" w:hAnsi="Arial" w:cs="Arial"/>
                <w:color w:val="000000"/>
              </w:rPr>
            </w:pPr>
            <w:r>
              <w:rPr>
                <w:b/>
                <w:color w:val="000000"/>
              </w:rPr>
              <w:t>2027</w:t>
            </w:r>
          </w:p>
        </w:tc>
        <w:tc>
          <w:tcPr>
            <w:tcW w:w="1215" w:type="dxa"/>
            <w:shd w:val="clear" w:color="auto" w:fill="D9D9D9"/>
            <w:tcMar>
              <w:top w:w="40" w:type="dxa"/>
              <w:left w:w="40" w:type="dxa"/>
              <w:bottom w:w="40" w:type="dxa"/>
              <w:right w:w="40" w:type="dxa"/>
            </w:tcMar>
            <w:vAlign w:val="center"/>
          </w:tcPr>
          <w:p w14:paraId="4FAB3403" w14:textId="75F727A3" w:rsidR="002467AD" w:rsidRDefault="00EF1D5F" w:rsidP="003D4AD9">
            <w:pPr>
              <w:widowControl w:val="0"/>
              <w:spacing w:line="276" w:lineRule="auto"/>
              <w:jc w:val="center"/>
              <w:rPr>
                <w:b/>
                <w:color w:val="000000"/>
              </w:rPr>
            </w:pPr>
            <w:r>
              <w:rPr>
                <w:b/>
                <w:color w:val="000000"/>
              </w:rPr>
              <w:t>Total</w:t>
            </w:r>
          </w:p>
          <w:p w14:paraId="041A168E" w14:textId="049B2A1C" w:rsidR="00EF1D5F" w:rsidRDefault="00EF1D5F" w:rsidP="003D4AD9">
            <w:pPr>
              <w:widowControl w:val="0"/>
              <w:spacing w:line="276" w:lineRule="auto"/>
              <w:jc w:val="center"/>
              <w:rPr>
                <w:rFonts w:ascii="Arial" w:eastAsia="Arial" w:hAnsi="Arial" w:cs="Arial"/>
                <w:color w:val="000000"/>
              </w:rPr>
            </w:pPr>
            <w:r>
              <w:rPr>
                <w:b/>
                <w:color w:val="000000"/>
              </w:rPr>
              <w:t>Inversión</w:t>
            </w:r>
          </w:p>
        </w:tc>
      </w:tr>
      <w:tr w:rsidR="00EF1D5F" w14:paraId="589F96DE" w14:textId="77777777" w:rsidTr="00E853B7">
        <w:trPr>
          <w:trHeight w:val="315"/>
          <w:jc w:val="center"/>
        </w:trPr>
        <w:tc>
          <w:tcPr>
            <w:tcW w:w="8838" w:type="dxa"/>
            <w:gridSpan w:val="6"/>
            <w:shd w:val="clear" w:color="auto" w:fill="C00000"/>
            <w:tcMar>
              <w:top w:w="40" w:type="dxa"/>
              <w:left w:w="40" w:type="dxa"/>
              <w:bottom w:w="40" w:type="dxa"/>
              <w:right w:w="40" w:type="dxa"/>
            </w:tcMar>
            <w:vAlign w:val="center"/>
          </w:tcPr>
          <w:p w14:paraId="6690B5E9" w14:textId="77777777" w:rsidR="00EF1D5F" w:rsidRPr="00CE7C47" w:rsidRDefault="00EF1D5F" w:rsidP="003D4AD9">
            <w:pPr>
              <w:widowControl w:val="0"/>
              <w:spacing w:line="276" w:lineRule="auto"/>
              <w:jc w:val="center"/>
              <w:rPr>
                <w:rFonts w:ascii="Arial" w:eastAsia="Arial" w:hAnsi="Arial" w:cs="Arial"/>
                <w:color w:val="FFFFFF" w:themeColor="background1"/>
              </w:rPr>
            </w:pPr>
            <w:r w:rsidRPr="00CE7C47">
              <w:rPr>
                <w:b/>
                <w:color w:val="FFFFFF" w:themeColor="background1"/>
              </w:rPr>
              <w:t>HÁBITAT</w:t>
            </w:r>
          </w:p>
        </w:tc>
      </w:tr>
      <w:tr w:rsidR="00EF1D5F" w14:paraId="000CF21C"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7D6B99B6"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Activar 120 proyectos de renovación de infraestructura para la prestación de servicio de acueducto y alcantarillado en Bogotá y la región para garantizar la calidad cobertura y continuidad de los servicios</w:t>
            </w:r>
          </w:p>
        </w:tc>
        <w:tc>
          <w:tcPr>
            <w:tcW w:w="1276" w:type="dxa"/>
            <w:shd w:val="clear" w:color="auto" w:fill="auto"/>
            <w:tcMar>
              <w:top w:w="40" w:type="dxa"/>
              <w:left w:w="40" w:type="dxa"/>
              <w:bottom w:w="40" w:type="dxa"/>
              <w:right w:w="40" w:type="dxa"/>
            </w:tcMar>
            <w:vAlign w:val="center"/>
          </w:tcPr>
          <w:p w14:paraId="23F4DDD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15</w:t>
            </w:r>
          </w:p>
        </w:tc>
        <w:tc>
          <w:tcPr>
            <w:tcW w:w="1559" w:type="dxa"/>
            <w:shd w:val="clear" w:color="auto" w:fill="auto"/>
            <w:tcMar>
              <w:top w:w="40" w:type="dxa"/>
              <w:left w:w="40" w:type="dxa"/>
              <w:bottom w:w="40" w:type="dxa"/>
              <w:right w:w="40" w:type="dxa"/>
            </w:tcMar>
            <w:vAlign w:val="center"/>
          </w:tcPr>
          <w:p w14:paraId="03F0662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45</w:t>
            </w:r>
          </w:p>
        </w:tc>
        <w:tc>
          <w:tcPr>
            <w:tcW w:w="1276" w:type="dxa"/>
            <w:shd w:val="clear" w:color="auto" w:fill="auto"/>
            <w:tcMar>
              <w:top w:w="40" w:type="dxa"/>
              <w:left w:w="40" w:type="dxa"/>
              <w:bottom w:w="40" w:type="dxa"/>
              <w:right w:w="40" w:type="dxa"/>
            </w:tcMar>
            <w:vAlign w:val="center"/>
          </w:tcPr>
          <w:p w14:paraId="388B3A6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17</w:t>
            </w:r>
          </w:p>
        </w:tc>
        <w:tc>
          <w:tcPr>
            <w:tcW w:w="1244" w:type="dxa"/>
            <w:shd w:val="clear" w:color="auto" w:fill="auto"/>
            <w:tcMar>
              <w:top w:w="40" w:type="dxa"/>
              <w:left w:w="40" w:type="dxa"/>
              <w:bottom w:w="40" w:type="dxa"/>
              <w:right w:w="40" w:type="dxa"/>
            </w:tcMar>
            <w:vAlign w:val="center"/>
          </w:tcPr>
          <w:p w14:paraId="504CA4F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43</w:t>
            </w:r>
          </w:p>
        </w:tc>
        <w:tc>
          <w:tcPr>
            <w:tcW w:w="1215" w:type="dxa"/>
            <w:vMerge w:val="restart"/>
            <w:shd w:val="clear" w:color="auto" w:fill="auto"/>
            <w:tcMar>
              <w:top w:w="40" w:type="dxa"/>
              <w:left w:w="40" w:type="dxa"/>
              <w:bottom w:w="40" w:type="dxa"/>
              <w:right w:w="40" w:type="dxa"/>
            </w:tcMar>
            <w:vAlign w:val="center"/>
          </w:tcPr>
          <w:p w14:paraId="27624565"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925.819.921.354</w:t>
            </w:r>
          </w:p>
        </w:tc>
      </w:tr>
      <w:tr w:rsidR="00EF1D5F" w14:paraId="74F446A7" w14:textId="77777777" w:rsidTr="00E853B7">
        <w:trPr>
          <w:trHeight w:val="345"/>
          <w:jc w:val="center"/>
        </w:trPr>
        <w:tc>
          <w:tcPr>
            <w:tcW w:w="2268" w:type="dxa"/>
            <w:vMerge/>
            <w:shd w:val="clear" w:color="auto" w:fill="auto"/>
            <w:tcMar>
              <w:top w:w="100" w:type="dxa"/>
              <w:left w:w="100" w:type="dxa"/>
              <w:bottom w:w="100" w:type="dxa"/>
              <w:right w:w="100" w:type="dxa"/>
            </w:tcMar>
          </w:tcPr>
          <w:p w14:paraId="0BB0DB6A"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1ADE30A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329.468.518.190</w:t>
            </w:r>
          </w:p>
        </w:tc>
        <w:tc>
          <w:tcPr>
            <w:tcW w:w="1559" w:type="dxa"/>
            <w:shd w:val="clear" w:color="auto" w:fill="auto"/>
            <w:tcMar>
              <w:top w:w="40" w:type="dxa"/>
              <w:left w:w="40" w:type="dxa"/>
              <w:bottom w:w="40" w:type="dxa"/>
              <w:right w:w="40" w:type="dxa"/>
            </w:tcMar>
            <w:vAlign w:val="center"/>
          </w:tcPr>
          <w:p w14:paraId="58FE22B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350.627.870.767</w:t>
            </w:r>
          </w:p>
        </w:tc>
        <w:tc>
          <w:tcPr>
            <w:tcW w:w="1276" w:type="dxa"/>
            <w:shd w:val="clear" w:color="auto" w:fill="auto"/>
            <w:tcMar>
              <w:top w:w="40" w:type="dxa"/>
              <w:left w:w="40" w:type="dxa"/>
              <w:bottom w:w="40" w:type="dxa"/>
              <w:right w:w="40" w:type="dxa"/>
            </w:tcMar>
            <w:vAlign w:val="center"/>
          </w:tcPr>
          <w:p w14:paraId="28860A1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128.773.918.682</w:t>
            </w:r>
          </w:p>
        </w:tc>
        <w:tc>
          <w:tcPr>
            <w:tcW w:w="1244" w:type="dxa"/>
            <w:shd w:val="clear" w:color="auto" w:fill="auto"/>
            <w:tcMar>
              <w:top w:w="40" w:type="dxa"/>
              <w:left w:w="40" w:type="dxa"/>
              <w:bottom w:w="40" w:type="dxa"/>
              <w:right w:w="40" w:type="dxa"/>
            </w:tcMar>
            <w:vAlign w:val="center"/>
          </w:tcPr>
          <w:p w14:paraId="393DDEC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116.949.613.715</w:t>
            </w:r>
          </w:p>
        </w:tc>
        <w:tc>
          <w:tcPr>
            <w:tcW w:w="1215" w:type="dxa"/>
            <w:vMerge/>
            <w:shd w:val="clear" w:color="auto" w:fill="auto"/>
            <w:tcMar>
              <w:top w:w="100" w:type="dxa"/>
              <w:left w:w="100" w:type="dxa"/>
              <w:bottom w:w="100" w:type="dxa"/>
              <w:right w:w="100" w:type="dxa"/>
            </w:tcMar>
          </w:tcPr>
          <w:p w14:paraId="1597A07B" w14:textId="77777777" w:rsidR="00EF1D5F" w:rsidRDefault="00EF1D5F" w:rsidP="003D4AD9">
            <w:pPr>
              <w:widowControl w:val="0"/>
              <w:spacing w:line="276" w:lineRule="auto"/>
              <w:jc w:val="left"/>
              <w:rPr>
                <w:rFonts w:ascii="Arial" w:eastAsia="Arial" w:hAnsi="Arial" w:cs="Arial"/>
                <w:color w:val="000000"/>
              </w:rPr>
            </w:pPr>
          </w:p>
        </w:tc>
      </w:tr>
      <w:tr w:rsidR="00EF1D5F" w14:paraId="3F973D1F"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5A4768CE"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Aumentar en 7.279 espacios la capacidad y la disponibilidad de las Bóvedas Osarios y Cenizarios -BOC de los cementerios propiedad del Distrito para garantizar la prestación del servicio.</w:t>
            </w:r>
          </w:p>
        </w:tc>
        <w:tc>
          <w:tcPr>
            <w:tcW w:w="1276" w:type="dxa"/>
            <w:shd w:val="clear" w:color="auto" w:fill="auto"/>
            <w:tcMar>
              <w:top w:w="40" w:type="dxa"/>
              <w:left w:w="40" w:type="dxa"/>
              <w:bottom w:w="40" w:type="dxa"/>
              <w:right w:w="40" w:type="dxa"/>
            </w:tcMar>
            <w:vAlign w:val="center"/>
          </w:tcPr>
          <w:p w14:paraId="008C95A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559" w:type="dxa"/>
            <w:shd w:val="clear" w:color="auto" w:fill="auto"/>
            <w:tcMar>
              <w:top w:w="40" w:type="dxa"/>
              <w:left w:w="40" w:type="dxa"/>
              <w:bottom w:w="40" w:type="dxa"/>
              <w:right w:w="40" w:type="dxa"/>
            </w:tcMar>
            <w:vAlign w:val="center"/>
          </w:tcPr>
          <w:p w14:paraId="2C561A4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276" w:type="dxa"/>
            <w:shd w:val="clear" w:color="auto" w:fill="auto"/>
            <w:tcMar>
              <w:top w:w="40" w:type="dxa"/>
              <w:left w:w="40" w:type="dxa"/>
              <w:bottom w:w="40" w:type="dxa"/>
              <w:right w:w="40" w:type="dxa"/>
            </w:tcMar>
            <w:vAlign w:val="center"/>
          </w:tcPr>
          <w:p w14:paraId="7E3C1F1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3.639</w:t>
            </w:r>
          </w:p>
        </w:tc>
        <w:tc>
          <w:tcPr>
            <w:tcW w:w="1244" w:type="dxa"/>
            <w:shd w:val="clear" w:color="auto" w:fill="auto"/>
            <w:tcMar>
              <w:top w:w="40" w:type="dxa"/>
              <w:left w:w="40" w:type="dxa"/>
              <w:bottom w:w="40" w:type="dxa"/>
              <w:right w:w="40" w:type="dxa"/>
            </w:tcMar>
            <w:vAlign w:val="center"/>
          </w:tcPr>
          <w:p w14:paraId="6381AB4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3.640</w:t>
            </w:r>
          </w:p>
        </w:tc>
        <w:tc>
          <w:tcPr>
            <w:tcW w:w="1215" w:type="dxa"/>
            <w:vMerge w:val="restart"/>
            <w:shd w:val="clear" w:color="auto" w:fill="auto"/>
            <w:tcMar>
              <w:top w:w="40" w:type="dxa"/>
              <w:left w:w="40" w:type="dxa"/>
              <w:bottom w:w="40" w:type="dxa"/>
              <w:right w:w="40" w:type="dxa"/>
            </w:tcMar>
            <w:vAlign w:val="center"/>
          </w:tcPr>
          <w:p w14:paraId="0093C272"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14.144.344.093</w:t>
            </w:r>
          </w:p>
        </w:tc>
      </w:tr>
      <w:tr w:rsidR="00EF1D5F" w14:paraId="6669BF74" w14:textId="77777777" w:rsidTr="00E853B7">
        <w:trPr>
          <w:trHeight w:val="345"/>
          <w:jc w:val="center"/>
        </w:trPr>
        <w:tc>
          <w:tcPr>
            <w:tcW w:w="2268" w:type="dxa"/>
            <w:vMerge/>
            <w:shd w:val="clear" w:color="auto" w:fill="auto"/>
            <w:tcMar>
              <w:top w:w="100" w:type="dxa"/>
              <w:left w:w="100" w:type="dxa"/>
              <w:bottom w:w="100" w:type="dxa"/>
              <w:right w:w="100" w:type="dxa"/>
            </w:tcMar>
          </w:tcPr>
          <w:p w14:paraId="2810A076"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20E897C6"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11.144.000.000</w:t>
            </w:r>
          </w:p>
        </w:tc>
        <w:tc>
          <w:tcPr>
            <w:tcW w:w="1559" w:type="dxa"/>
            <w:shd w:val="clear" w:color="auto" w:fill="auto"/>
            <w:tcMar>
              <w:top w:w="40" w:type="dxa"/>
              <w:left w:w="40" w:type="dxa"/>
              <w:bottom w:w="40" w:type="dxa"/>
              <w:right w:w="40" w:type="dxa"/>
            </w:tcMar>
            <w:vAlign w:val="center"/>
          </w:tcPr>
          <w:p w14:paraId="161356A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1.000.000.000</w:t>
            </w:r>
          </w:p>
        </w:tc>
        <w:tc>
          <w:tcPr>
            <w:tcW w:w="1276" w:type="dxa"/>
            <w:shd w:val="clear" w:color="auto" w:fill="auto"/>
            <w:tcMar>
              <w:top w:w="40" w:type="dxa"/>
              <w:left w:w="40" w:type="dxa"/>
              <w:bottom w:w="40" w:type="dxa"/>
              <w:right w:w="40" w:type="dxa"/>
            </w:tcMar>
            <w:vAlign w:val="center"/>
          </w:tcPr>
          <w:p w14:paraId="7EF028B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1.000.094.260</w:t>
            </w:r>
          </w:p>
        </w:tc>
        <w:tc>
          <w:tcPr>
            <w:tcW w:w="1244" w:type="dxa"/>
            <w:shd w:val="clear" w:color="auto" w:fill="auto"/>
            <w:tcMar>
              <w:top w:w="40" w:type="dxa"/>
              <w:left w:w="40" w:type="dxa"/>
              <w:bottom w:w="40" w:type="dxa"/>
              <w:right w:w="40" w:type="dxa"/>
            </w:tcMar>
            <w:vAlign w:val="center"/>
          </w:tcPr>
          <w:p w14:paraId="5E56214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1.000.249.834</w:t>
            </w:r>
          </w:p>
        </w:tc>
        <w:tc>
          <w:tcPr>
            <w:tcW w:w="1215" w:type="dxa"/>
            <w:vMerge/>
            <w:shd w:val="clear" w:color="auto" w:fill="auto"/>
            <w:tcMar>
              <w:top w:w="100" w:type="dxa"/>
              <w:left w:w="100" w:type="dxa"/>
              <w:bottom w:w="100" w:type="dxa"/>
              <w:right w:w="100" w:type="dxa"/>
            </w:tcMar>
          </w:tcPr>
          <w:p w14:paraId="2948BC3A"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5DCA76D6"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01E2C2CD"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Caracterizar 1000 hogares ubicados en Centros Poblados Rurales y ruralidad dispersa con relación a la prestación de servicios públicos domiciliarios</w:t>
            </w:r>
          </w:p>
        </w:tc>
        <w:tc>
          <w:tcPr>
            <w:tcW w:w="1276" w:type="dxa"/>
            <w:shd w:val="clear" w:color="auto" w:fill="auto"/>
            <w:tcMar>
              <w:top w:w="40" w:type="dxa"/>
              <w:left w:w="40" w:type="dxa"/>
              <w:bottom w:w="40" w:type="dxa"/>
              <w:right w:w="40" w:type="dxa"/>
            </w:tcMar>
            <w:vAlign w:val="center"/>
          </w:tcPr>
          <w:p w14:paraId="7357D70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559" w:type="dxa"/>
            <w:shd w:val="clear" w:color="auto" w:fill="auto"/>
            <w:tcMar>
              <w:top w:w="40" w:type="dxa"/>
              <w:left w:w="40" w:type="dxa"/>
              <w:bottom w:w="40" w:type="dxa"/>
              <w:right w:w="40" w:type="dxa"/>
            </w:tcMar>
            <w:vAlign w:val="center"/>
          </w:tcPr>
          <w:p w14:paraId="0BE166B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300</w:t>
            </w:r>
          </w:p>
        </w:tc>
        <w:tc>
          <w:tcPr>
            <w:tcW w:w="1276" w:type="dxa"/>
            <w:shd w:val="clear" w:color="auto" w:fill="auto"/>
            <w:tcMar>
              <w:top w:w="40" w:type="dxa"/>
              <w:left w:w="40" w:type="dxa"/>
              <w:bottom w:w="40" w:type="dxa"/>
              <w:right w:w="40" w:type="dxa"/>
            </w:tcMar>
            <w:vAlign w:val="center"/>
          </w:tcPr>
          <w:p w14:paraId="612D466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400</w:t>
            </w:r>
          </w:p>
        </w:tc>
        <w:tc>
          <w:tcPr>
            <w:tcW w:w="1244" w:type="dxa"/>
            <w:shd w:val="clear" w:color="auto" w:fill="auto"/>
            <w:tcMar>
              <w:top w:w="40" w:type="dxa"/>
              <w:left w:w="40" w:type="dxa"/>
              <w:bottom w:w="40" w:type="dxa"/>
              <w:right w:w="40" w:type="dxa"/>
            </w:tcMar>
            <w:vAlign w:val="center"/>
          </w:tcPr>
          <w:p w14:paraId="20F3B14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300</w:t>
            </w:r>
          </w:p>
        </w:tc>
        <w:tc>
          <w:tcPr>
            <w:tcW w:w="1215" w:type="dxa"/>
            <w:vMerge w:val="restart"/>
            <w:shd w:val="clear" w:color="auto" w:fill="auto"/>
            <w:tcMar>
              <w:top w:w="40" w:type="dxa"/>
              <w:left w:w="40" w:type="dxa"/>
              <w:bottom w:w="40" w:type="dxa"/>
              <w:right w:w="40" w:type="dxa"/>
            </w:tcMar>
            <w:vAlign w:val="center"/>
          </w:tcPr>
          <w:p w14:paraId="3FE56117"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1.285.272.413</w:t>
            </w:r>
          </w:p>
        </w:tc>
      </w:tr>
      <w:tr w:rsidR="00EF1D5F" w14:paraId="50E35E59" w14:textId="77777777" w:rsidTr="00E853B7">
        <w:trPr>
          <w:trHeight w:val="345"/>
          <w:jc w:val="center"/>
        </w:trPr>
        <w:tc>
          <w:tcPr>
            <w:tcW w:w="2268" w:type="dxa"/>
            <w:vMerge/>
            <w:shd w:val="clear" w:color="auto" w:fill="auto"/>
            <w:tcMar>
              <w:top w:w="100" w:type="dxa"/>
              <w:left w:w="100" w:type="dxa"/>
              <w:bottom w:w="100" w:type="dxa"/>
              <w:right w:w="100" w:type="dxa"/>
            </w:tcMar>
          </w:tcPr>
          <w:p w14:paraId="3B3DD485"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4E0ED7E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184.000.000</w:t>
            </w:r>
          </w:p>
        </w:tc>
        <w:tc>
          <w:tcPr>
            <w:tcW w:w="1559" w:type="dxa"/>
            <w:shd w:val="clear" w:color="auto" w:fill="auto"/>
            <w:tcMar>
              <w:top w:w="40" w:type="dxa"/>
              <w:left w:w="40" w:type="dxa"/>
              <w:bottom w:w="40" w:type="dxa"/>
              <w:right w:w="40" w:type="dxa"/>
            </w:tcMar>
            <w:vAlign w:val="center"/>
          </w:tcPr>
          <w:p w14:paraId="2A7E37E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377.669.903</w:t>
            </w:r>
          </w:p>
        </w:tc>
        <w:tc>
          <w:tcPr>
            <w:tcW w:w="1276" w:type="dxa"/>
            <w:shd w:val="clear" w:color="auto" w:fill="auto"/>
            <w:tcMar>
              <w:top w:w="40" w:type="dxa"/>
              <w:left w:w="40" w:type="dxa"/>
              <w:bottom w:w="40" w:type="dxa"/>
              <w:right w:w="40" w:type="dxa"/>
            </w:tcMar>
            <w:vAlign w:val="center"/>
          </w:tcPr>
          <w:p w14:paraId="4733511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367.612.405</w:t>
            </w:r>
          </w:p>
        </w:tc>
        <w:tc>
          <w:tcPr>
            <w:tcW w:w="1244" w:type="dxa"/>
            <w:shd w:val="clear" w:color="auto" w:fill="auto"/>
            <w:tcMar>
              <w:top w:w="40" w:type="dxa"/>
              <w:left w:w="40" w:type="dxa"/>
              <w:bottom w:w="40" w:type="dxa"/>
              <w:right w:w="40" w:type="dxa"/>
            </w:tcMar>
            <w:vAlign w:val="center"/>
          </w:tcPr>
          <w:p w14:paraId="16BBA83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355.990.105</w:t>
            </w:r>
          </w:p>
        </w:tc>
        <w:tc>
          <w:tcPr>
            <w:tcW w:w="1215" w:type="dxa"/>
            <w:vMerge/>
            <w:shd w:val="clear" w:color="auto" w:fill="auto"/>
            <w:tcMar>
              <w:top w:w="100" w:type="dxa"/>
              <w:left w:w="100" w:type="dxa"/>
              <w:bottom w:w="100" w:type="dxa"/>
              <w:right w:w="100" w:type="dxa"/>
            </w:tcMar>
          </w:tcPr>
          <w:p w14:paraId="3831284A"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76CC66A5"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3DA75067"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Construir un plan de acción que permita asegurar la expansión del sistema de abastecimiento de agua potable del Distrito Capital y la consolidación del área metropolitana Bogotá - Región para un periodo de crecimiento mínimo de 25 años.</w:t>
            </w:r>
          </w:p>
        </w:tc>
        <w:tc>
          <w:tcPr>
            <w:tcW w:w="1276" w:type="dxa"/>
            <w:shd w:val="clear" w:color="auto" w:fill="auto"/>
            <w:tcMar>
              <w:top w:w="40" w:type="dxa"/>
              <w:left w:w="40" w:type="dxa"/>
              <w:bottom w:w="40" w:type="dxa"/>
              <w:right w:w="40" w:type="dxa"/>
            </w:tcMar>
            <w:vAlign w:val="center"/>
          </w:tcPr>
          <w:p w14:paraId="56C4519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559" w:type="dxa"/>
            <w:shd w:val="clear" w:color="auto" w:fill="auto"/>
            <w:tcMar>
              <w:top w:w="40" w:type="dxa"/>
              <w:left w:w="40" w:type="dxa"/>
              <w:bottom w:w="40" w:type="dxa"/>
              <w:right w:w="40" w:type="dxa"/>
            </w:tcMar>
            <w:vAlign w:val="center"/>
          </w:tcPr>
          <w:p w14:paraId="447BD7D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276" w:type="dxa"/>
            <w:shd w:val="clear" w:color="auto" w:fill="auto"/>
            <w:tcMar>
              <w:top w:w="40" w:type="dxa"/>
              <w:left w:w="40" w:type="dxa"/>
              <w:bottom w:w="40" w:type="dxa"/>
              <w:right w:w="40" w:type="dxa"/>
            </w:tcMar>
            <w:vAlign w:val="center"/>
          </w:tcPr>
          <w:p w14:paraId="5E142AD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244" w:type="dxa"/>
            <w:shd w:val="clear" w:color="auto" w:fill="auto"/>
            <w:tcMar>
              <w:top w:w="40" w:type="dxa"/>
              <w:left w:w="40" w:type="dxa"/>
              <w:bottom w:w="40" w:type="dxa"/>
              <w:right w:w="40" w:type="dxa"/>
            </w:tcMar>
            <w:vAlign w:val="center"/>
          </w:tcPr>
          <w:p w14:paraId="46BC953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w:t>
            </w:r>
          </w:p>
        </w:tc>
        <w:tc>
          <w:tcPr>
            <w:tcW w:w="1215" w:type="dxa"/>
            <w:vMerge w:val="restart"/>
            <w:shd w:val="clear" w:color="auto" w:fill="auto"/>
            <w:tcMar>
              <w:top w:w="40" w:type="dxa"/>
              <w:left w:w="40" w:type="dxa"/>
              <w:bottom w:w="40" w:type="dxa"/>
              <w:right w:w="40" w:type="dxa"/>
            </w:tcMar>
            <w:vAlign w:val="center"/>
          </w:tcPr>
          <w:p w14:paraId="4BB4EBF1"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20.000.000.000</w:t>
            </w:r>
          </w:p>
        </w:tc>
      </w:tr>
      <w:tr w:rsidR="00EF1D5F" w14:paraId="345260B8" w14:textId="77777777" w:rsidTr="00E853B7">
        <w:trPr>
          <w:trHeight w:val="345"/>
          <w:jc w:val="center"/>
        </w:trPr>
        <w:tc>
          <w:tcPr>
            <w:tcW w:w="2268" w:type="dxa"/>
            <w:vMerge/>
            <w:shd w:val="clear" w:color="auto" w:fill="auto"/>
            <w:tcMar>
              <w:top w:w="100" w:type="dxa"/>
              <w:left w:w="100" w:type="dxa"/>
              <w:bottom w:w="100" w:type="dxa"/>
              <w:right w:w="100" w:type="dxa"/>
            </w:tcMar>
          </w:tcPr>
          <w:p w14:paraId="1A8ACFF0"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5A57F7B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559" w:type="dxa"/>
            <w:shd w:val="clear" w:color="auto" w:fill="auto"/>
            <w:tcMar>
              <w:top w:w="40" w:type="dxa"/>
              <w:left w:w="40" w:type="dxa"/>
              <w:bottom w:w="40" w:type="dxa"/>
              <w:right w:w="40" w:type="dxa"/>
            </w:tcMar>
            <w:vAlign w:val="center"/>
          </w:tcPr>
          <w:p w14:paraId="7BC7E76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10.000.000.000</w:t>
            </w:r>
          </w:p>
        </w:tc>
        <w:tc>
          <w:tcPr>
            <w:tcW w:w="1276" w:type="dxa"/>
            <w:shd w:val="clear" w:color="auto" w:fill="auto"/>
            <w:tcMar>
              <w:top w:w="40" w:type="dxa"/>
              <w:left w:w="40" w:type="dxa"/>
              <w:bottom w:w="40" w:type="dxa"/>
              <w:right w:w="40" w:type="dxa"/>
            </w:tcMar>
            <w:vAlign w:val="center"/>
          </w:tcPr>
          <w:p w14:paraId="3F060B4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5.000.000.000</w:t>
            </w:r>
          </w:p>
        </w:tc>
        <w:tc>
          <w:tcPr>
            <w:tcW w:w="1244" w:type="dxa"/>
            <w:shd w:val="clear" w:color="auto" w:fill="auto"/>
            <w:tcMar>
              <w:top w:w="40" w:type="dxa"/>
              <w:left w:w="40" w:type="dxa"/>
              <w:bottom w:w="40" w:type="dxa"/>
              <w:right w:w="40" w:type="dxa"/>
            </w:tcMar>
            <w:vAlign w:val="center"/>
          </w:tcPr>
          <w:p w14:paraId="65EC668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5.000.000.000</w:t>
            </w:r>
          </w:p>
        </w:tc>
        <w:tc>
          <w:tcPr>
            <w:tcW w:w="1215" w:type="dxa"/>
            <w:vMerge/>
            <w:shd w:val="clear" w:color="auto" w:fill="auto"/>
            <w:tcMar>
              <w:top w:w="100" w:type="dxa"/>
              <w:left w:w="100" w:type="dxa"/>
              <w:bottom w:w="100" w:type="dxa"/>
              <w:right w:w="100" w:type="dxa"/>
            </w:tcMar>
          </w:tcPr>
          <w:p w14:paraId="392750C5"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675A6DE6"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575553CD"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Desarrollar cinco (5) herramientas para mejorar la prestación eficiente de servicios públicos calidad de vida y la toma de decisiones en el área urbana.</w:t>
            </w:r>
          </w:p>
        </w:tc>
        <w:tc>
          <w:tcPr>
            <w:tcW w:w="1276" w:type="dxa"/>
            <w:shd w:val="clear" w:color="auto" w:fill="auto"/>
            <w:tcMar>
              <w:top w:w="40" w:type="dxa"/>
              <w:left w:w="40" w:type="dxa"/>
              <w:bottom w:w="40" w:type="dxa"/>
              <w:right w:w="40" w:type="dxa"/>
            </w:tcMar>
            <w:vAlign w:val="center"/>
          </w:tcPr>
          <w:p w14:paraId="7F7CBAF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0,25</w:t>
            </w:r>
          </w:p>
        </w:tc>
        <w:tc>
          <w:tcPr>
            <w:tcW w:w="1559" w:type="dxa"/>
            <w:shd w:val="clear" w:color="auto" w:fill="auto"/>
            <w:tcMar>
              <w:top w:w="40" w:type="dxa"/>
              <w:left w:w="40" w:type="dxa"/>
              <w:bottom w:w="40" w:type="dxa"/>
              <w:right w:w="40" w:type="dxa"/>
            </w:tcMar>
            <w:vAlign w:val="center"/>
          </w:tcPr>
          <w:p w14:paraId="6F1D40E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0,75</w:t>
            </w:r>
          </w:p>
        </w:tc>
        <w:tc>
          <w:tcPr>
            <w:tcW w:w="1276" w:type="dxa"/>
            <w:shd w:val="clear" w:color="auto" w:fill="auto"/>
            <w:tcMar>
              <w:top w:w="40" w:type="dxa"/>
              <w:left w:w="40" w:type="dxa"/>
              <w:bottom w:w="40" w:type="dxa"/>
              <w:right w:w="40" w:type="dxa"/>
            </w:tcMar>
            <w:vAlign w:val="center"/>
          </w:tcPr>
          <w:p w14:paraId="504F364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w:t>
            </w:r>
          </w:p>
        </w:tc>
        <w:tc>
          <w:tcPr>
            <w:tcW w:w="1244" w:type="dxa"/>
            <w:shd w:val="clear" w:color="auto" w:fill="auto"/>
            <w:tcMar>
              <w:top w:w="40" w:type="dxa"/>
              <w:left w:w="40" w:type="dxa"/>
              <w:bottom w:w="40" w:type="dxa"/>
              <w:right w:w="40" w:type="dxa"/>
            </w:tcMar>
            <w:vAlign w:val="center"/>
          </w:tcPr>
          <w:p w14:paraId="09E23EB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w:t>
            </w:r>
          </w:p>
        </w:tc>
        <w:tc>
          <w:tcPr>
            <w:tcW w:w="1215" w:type="dxa"/>
            <w:vMerge w:val="restart"/>
            <w:shd w:val="clear" w:color="auto" w:fill="auto"/>
            <w:tcMar>
              <w:top w:w="40" w:type="dxa"/>
              <w:left w:w="40" w:type="dxa"/>
              <w:bottom w:w="40" w:type="dxa"/>
              <w:right w:w="40" w:type="dxa"/>
            </w:tcMar>
            <w:vAlign w:val="center"/>
          </w:tcPr>
          <w:p w14:paraId="478C2B00"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2.775.782.852</w:t>
            </w:r>
          </w:p>
        </w:tc>
      </w:tr>
      <w:tr w:rsidR="00EF1D5F" w14:paraId="4B35D158" w14:textId="77777777" w:rsidTr="00E853B7">
        <w:trPr>
          <w:trHeight w:val="345"/>
          <w:jc w:val="center"/>
        </w:trPr>
        <w:tc>
          <w:tcPr>
            <w:tcW w:w="2268" w:type="dxa"/>
            <w:vMerge/>
            <w:shd w:val="clear" w:color="auto" w:fill="auto"/>
            <w:tcMar>
              <w:top w:w="100" w:type="dxa"/>
              <w:left w:w="100" w:type="dxa"/>
              <w:bottom w:w="100" w:type="dxa"/>
              <w:right w:w="100" w:type="dxa"/>
            </w:tcMar>
          </w:tcPr>
          <w:p w14:paraId="1336F4A9"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3E54C4A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184.000.000</w:t>
            </w:r>
          </w:p>
        </w:tc>
        <w:tc>
          <w:tcPr>
            <w:tcW w:w="1559" w:type="dxa"/>
            <w:shd w:val="clear" w:color="auto" w:fill="auto"/>
            <w:tcMar>
              <w:top w:w="40" w:type="dxa"/>
              <w:left w:w="40" w:type="dxa"/>
              <w:bottom w:w="40" w:type="dxa"/>
              <w:right w:w="40" w:type="dxa"/>
            </w:tcMar>
            <w:vAlign w:val="center"/>
          </w:tcPr>
          <w:p w14:paraId="5508D23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950.485.437</w:t>
            </w:r>
          </w:p>
        </w:tc>
        <w:tc>
          <w:tcPr>
            <w:tcW w:w="1276" w:type="dxa"/>
            <w:shd w:val="clear" w:color="auto" w:fill="auto"/>
            <w:tcMar>
              <w:top w:w="40" w:type="dxa"/>
              <w:left w:w="40" w:type="dxa"/>
              <w:bottom w:w="40" w:type="dxa"/>
              <w:right w:w="40" w:type="dxa"/>
            </w:tcMar>
            <w:vAlign w:val="center"/>
          </w:tcPr>
          <w:p w14:paraId="4E74A35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832.312.188</w:t>
            </w:r>
          </w:p>
        </w:tc>
        <w:tc>
          <w:tcPr>
            <w:tcW w:w="1244" w:type="dxa"/>
            <w:shd w:val="clear" w:color="auto" w:fill="auto"/>
            <w:tcMar>
              <w:top w:w="40" w:type="dxa"/>
              <w:left w:w="40" w:type="dxa"/>
              <w:bottom w:w="40" w:type="dxa"/>
              <w:right w:w="40" w:type="dxa"/>
            </w:tcMar>
            <w:vAlign w:val="center"/>
          </w:tcPr>
          <w:p w14:paraId="6BAB8FB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808.985.227</w:t>
            </w:r>
          </w:p>
        </w:tc>
        <w:tc>
          <w:tcPr>
            <w:tcW w:w="1215" w:type="dxa"/>
            <w:vMerge/>
            <w:shd w:val="clear" w:color="auto" w:fill="auto"/>
            <w:tcMar>
              <w:top w:w="100" w:type="dxa"/>
              <w:left w:w="100" w:type="dxa"/>
              <w:bottom w:w="100" w:type="dxa"/>
              <w:right w:w="100" w:type="dxa"/>
            </w:tcMar>
          </w:tcPr>
          <w:p w14:paraId="2FB4EEB1"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34849F48" w14:textId="77777777" w:rsidTr="00E853B7">
        <w:trPr>
          <w:trHeight w:val="315"/>
          <w:jc w:val="center"/>
        </w:trPr>
        <w:tc>
          <w:tcPr>
            <w:tcW w:w="2268" w:type="dxa"/>
            <w:vMerge w:val="restart"/>
            <w:shd w:val="clear" w:color="auto" w:fill="auto"/>
            <w:tcMar>
              <w:top w:w="40" w:type="dxa"/>
              <w:left w:w="40" w:type="dxa"/>
              <w:bottom w:w="40" w:type="dxa"/>
              <w:right w:w="40" w:type="dxa"/>
            </w:tcMar>
            <w:vAlign w:val="center"/>
          </w:tcPr>
          <w:p w14:paraId="6AACFD06"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Elaborar un estudio técnico como insumos para la elaboración de un hecho metropolitano.</w:t>
            </w:r>
          </w:p>
        </w:tc>
        <w:tc>
          <w:tcPr>
            <w:tcW w:w="1276" w:type="dxa"/>
            <w:shd w:val="clear" w:color="auto" w:fill="auto"/>
            <w:tcMar>
              <w:top w:w="40" w:type="dxa"/>
              <w:left w:w="40" w:type="dxa"/>
              <w:bottom w:w="40" w:type="dxa"/>
              <w:right w:w="40" w:type="dxa"/>
            </w:tcMar>
            <w:vAlign w:val="center"/>
          </w:tcPr>
          <w:p w14:paraId="0973CA2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0,10</w:t>
            </w:r>
          </w:p>
        </w:tc>
        <w:tc>
          <w:tcPr>
            <w:tcW w:w="1559" w:type="dxa"/>
            <w:shd w:val="clear" w:color="auto" w:fill="auto"/>
            <w:tcMar>
              <w:top w:w="40" w:type="dxa"/>
              <w:left w:w="40" w:type="dxa"/>
              <w:bottom w:w="40" w:type="dxa"/>
              <w:right w:w="40" w:type="dxa"/>
            </w:tcMar>
            <w:vAlign w:val="center"/>
          </w:tcPr>
          <w:p w14:paraId="3A1E7D5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0,30</w:t>
            </w:r>
          </w:p>
        </w:tc>
        <w:tc>
          <w:tcPr>
            <w:tcW w:w="1276" w:type="dxa"/>
            <w:shd w:val="clear" w:color="auto" w:fill="auto"/>
            <w:tcMar>
              <w:top w:w="40" w:type="dxa"/>
              <w:left w:w="40" w:type="dxa"/>
              <w:bottom w:w="40" w:type="dxa"/>
              <w:right w:w="40" w:type="dxa"/>
            </w:tcMar>
            <w:vAlign w:val="center"/>
          </w:tcPr>
          <w:p w14:paraId="3EBAC679"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0,30</w:t>
            </w:r>
          </w:p>
        </w:tc>
        <w:tc>
          <w:tcPr>
            <w:tcW w:w="1244" w:type="dxa"/>
            <w:shd w:val="clear" w:color="auto" w:fill="auto"/>
            <w:tcMar>
              <w:top w:w="40" w:type="dxa"/>
              <w:left w:w="40" w:type="dxa"/>
              <w:bottom w:w="40" w:type="dxa"/>
              <w:right w:w="40" w:type="dxa"/>
            </w:tcMar>
            <w:vAlign w:val="center"/>
          </w:tcPr>
          <w:p w14:paraId="1E5CEA5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0,30</w:t>
            </w:r>
          </w:p>
        </w:tc>
        <w:tc>
          <w:tcPr>
            <w:tcW w:w="1215" w:type="dxa"/>
            <w:vMerge w:val="restart"/>
            <w:shd w:val="clear" w:color="auto" w:fill="auto"/>
            <w:tcMar>
              <w:top w:w="40" w:type="dxa"/>
              <w:left w:w="40" w:type="dxa"/>
              <w:bottom w:w="40" w:type="dxa"/>
              <w:right w:w="40" w:type="dxa"/>
            </w:tcMar>
            <w:vAlign w:val="center"/>
          </w:tcPr>
          <w:p w14:paraId="6D9627E0"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4.302.458.133</w:t>
            </w:r>
          </w:p>
        </w:tc>
      </w:tr>
      <w:tr w:rsidR="00EF1D5F" w14:paraId="7814349C" w14:textId="77777777" w:rsidTr="00E853B7">
        <w:trPr>
          <w:trHeight w:val="315"/>
          <w:jc w:val="center"/>
        </w:trPr>
        <w:tc>
          <w:tcPr>
            <w:tcW w:w="2268" w:type="dxa"/>
            <w:vMerge/>
            <w:shd w:val="clear" w:color="auto" w:fill="auto"/>
            <w:tcMar>
              <w:top w:w="100" w:type="dxa"/>
              <w:left w:w="100" w:type="dxa"/>
              <w:bottom w:w="100" w:type="dxa"/>
              <w:right w:w="100" w:type="dxa"/>
            </w:tcMar>
          </w:tcPr>
          <w:p w14:paraId="5EDF5E01"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3A2625D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184.000.000</w:t>
            </w:r>
          </w:p>
        </w:tc>
        <w:tc>
          <w:tcPr>
            <w:tcW w:w="1559" w:type="dxa"/>
            <w:shd w:val="clear" w:color="auto" w:fill="auto"/>
            <w:tcMar>
              <w:top w:w="40" w:type="dxa"/>
              <w:left w:w="40" w:type="dxa"/>
              <w:bottom w:w="40" w:type="dxa"/>
              <w:right w:w="40" w:type="dxa"/>
            </w:tcMar>
            <w:vAlign w:val="center"/>
          </w:tcPr>
          <w:p w14:paraId="64860B3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1.413.592.233</w:t>
            </w:r>
          </w:p>
        </w:tc>
        <w:tc>
          <w:tcPr>
            <w:tcW w:w="1276" w:type="dxa"/>
            <w:shd w:val="clear" w:color="auto" w:fill="auto"/>
            <w:tcMar>
              <w:top w:w="40" w:type="dxa"/>
              <w:left w:w="40" w:type="dxa"/>
              <w:bottom w:w="40" w:type="dxa"/>
              <w:right w:w="40" w:type="dxa"/>
            </w:tcMar>
            <w:vAlign w:val="center"/>
          </w:tcPr>
          <w:p w14:paraId="0568DE4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1.372.419.644</w:t>
            </w:r>
          </w:p>
        </w:tc>
        <w:tc>
          <w:tcPr>
            <w:tcW w:w="1244" w:type="dxa"/>
            <w:shd w:val="clear" w:color="auto" w:fill="auto"/>
            <w:tcMar>
              <w:top w:w="40" w:type="dxa"/>
              <w:left w:w="40" w:type="dxa"/>
              <w:bottom w:w="40" w:type="dxa"/>
              <w:right w:w="40" w:type="dxa"/>
            </w:tcMar>
            <w:vAlign w:val="center"/>
          </w:tcPr>
          <w:p w14:paraId="2323099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1.332.446.256</w:t>
            </w:r>
          </w:p>
        </w:tc>
        <w:tc>
          <w:tcPr>
            <w:tcW w:w="1215" w:type="dxa"/>
            <w:vMerge/>
            <w:shd w:val="clear" w:color="auto" w:fill="auto"/>
            <w:tcMar>
              <w:top w:w="100" w:type="dxa"/>
              <w:left w:w="100" w:type="dxa"/>
              <w:bottom w:w="100" w:type="dxa"/>
              <w:right w:w="100" w:type="dxa"/>
            </w:tcMar>
          </w:tcPr>
          <w:p w14:paraId="1234364F"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63A77D55"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3A33428D"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 xml:space="preserve">Incorporar 145.000 suscriptores </w:t>
            </w:r>
            <w:r w:rsidRPr="00CE7C47">
              <w:rPr>
                <w:color w:val="000000"/>
                <w:sz w:val="16"/>
                <w:szCs w:val="16"/>
              </w:rPr>
              <w:lastRenderedPageBreak/>
              <w:t>en el servicio de alcantarillado sanitario en las áreas de prestación de servicio de la EAAB.</w:t>
            </w:r>
          </w:p>
        </w:tc>
        <w:tc>
          <w:tcPr>
            <w:tcW w:w="1276" w:type="dxa"/>
            <w:shd w:val="clear" w:color="auto" w:fill="auto"/>
            <w:tcMar>
              <w:top w:w="40" w:type="dxa"/>
              <w:left w:w="40" w:type="dxa"/>
              <w:bottom w:w="40" w:type="dxa"/>
              <w:right w:w="40" w:type="dxa"/>
            </w:tcMar>
            <w:vAlign w:val="center"/>
          </w:tcPr>
          <w:p w14:paraId="5B8CFB0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lastRenderedPageBreak/>
              <w:t>18.891</w:t>
            </w:r>
          </w:p>
        </w:tc>
        <w:tc>
          <w:tcPr>
            <w:tcW w:w="1559" w:type="dxa"/>
            <w:shd w:val="clear" w:color="auto" w:fill="auto"/>
            <w:tcMar>
              <w:top w:w="40" w:type="dxa"/>
              <w:left w:w="40" w:type="dxa"/>
              <w:bottom w:w="40" w:type="dxa"/>
              <w:right w:w="40" w:type="dxa"/>
            </w:tcMar>
            <w:vAlign w:val="center"/>
          </w:tcPr>
          <w:p w14:paraId="4A882E2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62.046</w:t>
            </w:r>
          </w:p>
        </w:tc>
        <w:tc>
          <w:tcPr>
            <w:tcW w:w="1276" w:type="dxa"/>
            <w:shd w:val="clear" w:color="auto" w:fill="auto"/>
            <w:tcMar>
              <w:top w:w="40" w:type="dxa"/>
              <w:left w:w="40" w:type="dxa"/>
              <w:bottom w:w="40" w:type="dxa"/>
              <w:right w:w="40" w:type="dxa"/>
            </w:tcMar>
            <w:vAlign w:val="center"/>
          </w:tcPr>
          <w:p w14:paraId="655EDDB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27.855</w:t>
            </w:r>
          </w:p>
        </w:tc>
        <w:tc>
          <w:tcPr>
            <w:tcW w:w="1244" w:type="dxa"/>
            <w:shd w:val="clear" w:color="auto" w:fill="auto"/>
            <w:tcMar>
              <w:top w:w="40" w:type="dxa"/>
              <w:left w:w="40" w:type="dxa"/>
              <w:bottom w:w="40" w:type="dxa"/>
              <w:right w:w="40" w:type="dxa"/>
            </w:tcMar>
            <w:vAlign w:val="center"/>
          </w:tcPr>
          <w:p w14:paraId="036B952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36.208</w:t>
            </w:r>
          </w:p>
        </w:tc>
        <w:tc>
          <w:tcPr>
            <w:tcW w:w="1215" w:type="dxa"/>
            <w:vMerge w:val="restart"/>
            <w:shd w:val="clear" w:color="auto" w:fill="auto"/>
            <w:tcMar>
              <w:top w:w="40" w:type="dxa"/>
              <w:left w:w="40" w:type="dxa"/>
              <w:bottom w:w="40" w:type="dxa"/>
              <w:right w:w="40" w:type="dxa"/>
            </w:tcMar>
            <w:vAlign w:val="center"/>
          </w:tcPr>
          <w:p w14:paraId="51451E47"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248.779.720.471</w:t>
            </w:r>
          </w:p>
        </w:tc>
      </w:tr>
      <w:tr w:rsidR="00EF1D5F" w14:paraId="036B0853" w14:textId="77777777" w:rsidTr="00E853B7">
        <w:trPr>
          <w:trHeight w:val="345"/>
          <w:jc w:val="center"/>
        </w:trPr>
        <w:tc>
          <w:tcPr>
            <w:tcW w:w="2268" w:type="dxa"/>
            <w:vMerge/>
            <w:shd w:val="clear" w:color="auto" w:fill="auto"/>
            <w:tcMar>
              <w:top w:w="100" w:type="dxa"/>
              <w:left w:w="100" w:type="dxa"/>
              <w:bottom w:w="100" w:type="dxa"/>
              <w:right w:w="100" w:type="dxa"/>
            </w:tcMar>
          </w:tcPr>
          <w:p w14:paraId="2B80032B" w14:textId="77777777" w:rsidR="00EF1D5F" w:rsidRDefault="00EF1D5F" w:rsidP="003D4AD9">
            <w:pPr>
              <w:widowControl w:val="0"/>
              <w:spacing w:line="276" w:lineRule="auto"/>
              <w:jc w:val="left"/>
              <w:rPr>
                <w:rFonts w:ascii="Arial" w:eastAsia="Arial" w:hAnsi="Arial" w:cs="Arial"/>
                <w:color w:val="000000"/>
              </w:rPr>
            </w:pPr>
          </w:p>
        </w:tc>
        <w:tc>
          <w:tcPr>
            <w:tcW w:w="1276" w:type="dxa"/>
            <w:shd w:val="clear" w:color="auto" w:fill="auto"/>
            <w:tcMar>
              <w:top w:w="40" w:type="dxa"/>
              <w:left w:w="40" w:type="dxa"/>
              <w:bottom w:w="40" w:type="dxa"/>
              <w:right w:w="40" w:type="dxa"/>
            </w:tcMar>
            <w:vAlign w:val="center"/>
          </w:tcPr>
          <w:p w14:paraId="6906419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80.325.956.928</w:t>
            </w:r>
          </w:p>
        </w:tc>
        <w:tc>
          <w:tcPr>
            <w:tcW w:w="1559" w:type="dxa"/>
            <w:shd w:val="clear" w:color="auto" w:fill="auto"/>
            <w:tcMar>
              <w:top w:w="40" w:type="dxa"/>
              <w:left w:w="40" w:type="dxa"/>
              <w:bottom w:w="40" w:type="dxa"/>
              <w:right w:w="40" w:type="dxa"/>
            </w:tcMar>
            <w:vAlign w:val="center"/>
          </w:tcPr>
          <w:p w14:paraId="300E335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89.359.791.661</w:t>
            </w:r>
          </w:p>
        </w:tc>
        <w:tc>
          <w:tcPr>
            <w:tcW w:w="1276" w:type="dxa"/>
            <w:shd w:val="clear" w:color="auto" w:fill="auto"/>
            <w:tcMar>
              <w:top w:w="40" w:type="dxa"/>
              <w:left w:w="40" w:type="dxa"/>
              <w:bottom w:w="40" w:type="dxa"/>
              <w:right w:w="40" w:type="dxa"/>
            </w:tcMar>
            <w:vAlign w:val="center"/>
          </w:tcPr>
          <w:p w14:paraId="2BD36386"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40.117.516.754</w:t>
            </w:r>
          </w:p>
        </w:tc>
        <w:tc>
          <w:tcPr>
            <w:tcW w:w="1244" w:type="dxa"/>
            <w:shd w:val="clear" w:color="auto" w:fill="auto"/>
            <w:tcMar>
              <w:top w:w="40" w:type="dxa"/>
              <w:left w:w="40" w:type="dxa"/>
              <w:bottom w:w="40" w:type="dxa"/>
              <w:right w:w="40" w:type="dxa"/>
            </w:tcMar>
            <w:vAlign w:val="center"/>
          </w:tcPr>
          <w:p w14:paraId="679DCEE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38.976.455.128</w:t>
            </w:r>
          </w:p>
        </w:tc>
        <w:tc>
          <w:tcPr>
            <w:tcW w:w="1215" w:type="dxa"/>
            <w:vMerge/>
            <w:shd w:val="clear" w:color="auto" w:fill="auto"/>
            <w:tcMar>
              <w:top w:w="100" w:type="dxa"/>
              <w:left w:w="100" w:type="dxa"/>
              <w:bottom w:w="100" w:type="dxa"/>
              <w:right w:w="100" w:type="dxa"/>
            </w:tcMar>
          </w:tcPr>
          <w:p w14:paraId="2C16D80C" w14:textId="77777777" w:rsidR="00EF1D5F" w:rsidRDefault="00EF1D5F" w:rsidP="003D4AD9">
            <w:pPr>
              <w:widowControl w:val="0"/>
              <w:spacing w:line="276" w:lineRule="auto"/>
              <w:jc w:val="left"/>
              <w:rPr>
                <w:rFonts w:ascii="Arial" w:eastAsia="Arial" w:hAnsi="Arial" w:cs="Arial"/>
                <w:color w:val="000000"/>
              </w:rPr>
            </w:pPr>
          </w:p>
        </w:tc>
      </w:tr>
      <w:tr w:rsidR="00EF1D5F" w14:paraId="56AA270B" w14:textId="77777777" w:rsidTr="00E853B7">
        <w:trPr>
          <w:trHeight w:val="315"/>
          <w:jc w:val="center"/>
        </w:trPr>
        <w:tc>
          <w:tcPr>
            <w:tcW w:w="2268" w:type="dxa"/>
            <w:vMerge w:val="restart"/>
            <w:shd w:val="clear" w:color="auto" w:fill="auto"/>
            <w:tcMar>
              <w:top w:w="40" w:type="dxa"/>
              <w:left w:w="40" w:type="dxa"/>
              <w:bottom w:w="40" w:type="dxa"/>
              <w:right w:w="40" w:type="dxa"/>
            </w:tcMar>
            <w:vAlign w:val="center"/>
          </w:tcPr>
          <w:p w14:paraId="3C2B01F7"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Incorporar 150.000 suscriptores en el servicio de acueducto en las áreas de prestación de servicio de la EAAB.</w:t>
            </w:r>
          </w:p>
        </w:tc>
        <w:tc>
          <w:tcPr>
            <w:tcW w:w="1276" w:type="dxa"/>
            <w:shd w:val="clear" w:color="auto" w:fill="auto"/>
            <w:tcMar>
              <w:top w:w="40" w:type="dxa"/>
              <w:left w:w="40" w:type="dxa"/>
              <w:bottom w:w="40" w:type="dxa"/>
              <w:right w:w="40" w:type="dxa"/>
            </w:tcMar>
            <w:vAlign w:val="center"/>
          </w:tcPr>
          <w:p w14:paraId="58F721D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19.280</w:t>
            </w:r>
          </w:p>
        </w:tc>
        <w:tc>
          <w:tcPr>
            <w:tcW w:w="1559" w:type="dxa"/>
            <w:shd w:val="clear" w:color="auto" w:fill="auto"/>
            <w:tcMar>
              <w:top w:w="40" w:type="dxa"/>
              <w:left w:w="40" w:type="dxa"/>
              <w:bottom w:w="40" w:type="dxa"/>
              <w:right w:w="40" w:type="dxa"/>
            </w:tcMar>
            <w:vAlign w:val="center"/>
          </w:tcPr>
          <w:p w14:paraId="1BDA2F6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54.020</w:t>
            </w:r>
          </w:p>
        </w:tc>
        <w:tc>
          <w:tcPr>
            <w:tcW w:w="1276" w:type="dxa"/>
            <w:shd w:val="clear" w:color="auto" w:fill="auto"/>
            <w:tcMar>
              <w:top w:w="40" w:type="dxa"/>
              <w:left w:w="40" w:type="dxa"/>
              <w:bottom w:w="40" w:type="dxa"/>
              <w:right w:w="40" w:type="dxa"/>
            </w:tcMar>
            <w:vAlign w:val="center"/>
          </w:tcPr>
          <w:p w14:paraId="1C58D39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25.080</w:t>
            </w:r>
          </w:p>
        </w:tc>
        <w:tc>
          <w:tcPr>
            <w:tcW w:w="1244" w:type="dxa"/>
            <w:shd w:val="clear" w:color="auto" w:fill="auto"/>
            <w:tcMar>
              <w:top w:w="40" w:type="dxa"/>
              <w:left w:w="40" w:type="dxa"/>
              <w:bottom w:w="40" w:type="dxa"/>
              <w:right w:w="40" w:type="dxa"/>
            </w:tcMar>
            <w:vAlign w:val="center"/>
          </w:tcPr>
          <w:p w14:paraId="16BA0D8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51.620</w:t>
            </w:r>
          </w:p>
        </w:tc>
        <w:tc>
          <w:tcPr>
            <w:tcW w:w="1215" w:type="dxa"/>
            <w:vMerge w:val="restart"/>
            <w:shd w:val="clear" w:color="auto" w:fill="auto"/>
            <w:tcMar>
              <w:top w:w="40" w:type="dxa"/>
              <w:left w:w="40" w:type="dxa"/>
              <w:bottom w:w="40" w:type="dxa"/>
              <w:right w:w="40" w:type="dxa"/>
            </w:tcMar>
            <w:vAlign w:val="center"/>
          </w:tcPr>
          <w:p w14:paraId="7AA63E1F"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252.391.971.682</w:t>
            </w:r>
          </w:p>
        </w:tc>
      </w:tr>
      <w:tr w:rsidR="00EF1D5F" w14:paraId="77329CB4" w14:textId="77777777" w:rsidTr="00E853B7">
        <w:trPr>
          <w:trHeight w:val="315"/>
          <w:jc w:val="center"/>
        </w:trPr>
        <w:tc>
          <w:tcPr>
            <w:tcW w:w="2268" w:type="dxa"/>
            <w:vMerge/>
            <w:shd w:val="clear" w:color="auto" w:fill="auto"/>
            <w:tcMar>
              <w:top w:w="100" w:type="dxa"/>
              <w:left w:w="100" w:type="dxa"/>
              <w:bottom w:w="100" w:type="dxa"/>
              <w:right w:w="100" w:type="dxa"/>
            </w:tcMar>
          </w:tcPr>
          <w:p w14:paraId="58A8AD88"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5A1620C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94.584.679.116</w:t>
            </w:r>
          </w:p>
        </w:tc>
        <w:tc>
          <w:tcPr>
            <w:tcW w:w="1559" w:type="dxa"/>
            <w:shd w:val="clear" w:color="auto" w:fill="auto"/>
            <w:tcMar>
              <w:top w:w="40" w:type="dxa"/>
              <w:left w:w="40" w:type="dxa"/>
              <w:bottom w:w="40" w:type="dxa"/>
              <w:right w:w="40" w:type="dxa"/>
            </w:tcMar>
            <w:vAlign w:val="center"/>
          </w:tcPr>
          <w:p w14:paraId="1DF390F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89.756.538.782</w:t>
            </w:r>
          </w:p>
        </w:tc>
        <w:tc>
          <w:tcPr>
            <w:tcW w:w="1276" w:type="dxa"/>
            <w:shd w:val="clear" w:color="auto" w:fill="auto"/>
            <w:tcMar>
              <w:top w:w="40" w:type="dxa"/>
              <w:left w:w="40" w:type="dxa"/>
              <w:bottom w:w="40" w:type="dxa"/>
              <w:right w:w="40" w:type="dxa"/>
            </w:tcMar>
            <w:vAlign w:val="center"/>
          </w:tcPr>
          <w:p w14:paraId="240D091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41.671.361.301</w:t>
            </w:r>
          </w:p>
        </w:tc>
        <w:tc>
          <w:tcPr>
            <w:tcW w:w="1244" w:type="dxa"/>
            <w:shd w:val="clear" w:color="auto" w:fill="auto"/>
            <w:tcMar>
              <w:top w:w="40" w:type="dxa"/>
              <w:left w:w="40" w:type="dxa"/>
              <w:bottom w:w="40" w:type="dxa"/>
              <w:right w:w="40" w:type="dxa"/>
            </w:tcMar>
            <w:vAlign w:val="center"/>
          </w:tcPr>
          <w:p w14:paraId="23222AB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26.379.392.483</w:t>
            </w:r>
          </w:p>
        </w:tc>
        <w:tc>
          <w:tcPr>
            <w:tcW w:w="1215" w:type="dxa"/>
            <w:vMerge/>
            <w:shd w:val="clear" w:color="auto" w:fill="auto"/>
            <w:tcMar>
              <w:top w:w="100" w:type="dxa"/>
              <w:left w:w="100" w:type="dxa"/>
              <w:bottom w:w="100" w:type="dxa"/>
              <w:right w:w="100" w:type="dxa"/>
            </w:tcMar>
          </w:tcPr>
          <w:p w14:paraId="70CCADC0"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4C6A1A28" w14:textId="77777777" w:rsidTr="00E853B7">
        <w:trPr>
          <w:trHeight w:val="345"/>
          <w:jc w:val="center"/>
        </w:trPr>
        <w:tc>
          <w:tcPr>
            <w:tcW w:w="2268" w:type="dxa"/>
            <w:vMerge w:val="restart"/>
            <w:shd w:val="clear" w:color="auto" w:fill="auto"/>
            <w:tcMar>
              <w:top w:w="40" w:type="dxa"/>
              <w:left w:w="40" w:type="dxa"/>
              <w:bottom w:w="40" w:type="dxa"/>
              <w:right w:w="40" w:type="dxa"/>
            </w:tcMar>
            <w:vAlign w:val="center"/>
          </w:tcPr>
          <w:p w14:paraId="6BB28C44"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Mejorar a 2000 hogares rurales las condiciones de cobertura calidad y continuidad de la prestación de los Servicios Públicos domiciliarios y TIC</w:t>
            </w:r>
          </w:p>
        </w:tc>
        <w:tc>
          <w:tcPr>
            <w:tcW w:w="1276" w:type="dxa"/>
            <w:shd w:val="clear" w:color="auto" w:fill="auto"/>
            <w:tcMar>
              <w:top w:w="40" w:type="dxa"/>
              <w:left w:w="40" w:type="dxa"/>
              <w:bottom w:w="40" w:type="dxa"/>
              <w:right w:w="40" w:type="dxa"/>
            </w:tcMar>
            <w:vAlign w:val="center"/>
          </w:tcPr>
          <w:p w14:paraId="3BBBF5A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2.000,000</w:t>
            </w:r>
          </w:p>
        </w:tc>
        <w:tc>
          <w:tcPr>
            <w:tcW w:w="1559" w:type="dxa"/>
            <w:shd w:val="clear" w:color="auto" w:fill="auto"/>
            <w:tcMar>
              <w:top w:w="40" w:type="dxa"/>
              <w:left w:w="40" w:type="dxa"/>
              <w:bottom w:w="40" w:type="dxa"/>
              <w:right w:w="40" w:type="dxa"/>
            </w:tcMar>
            <w:vAlign w:val="center"/>
          </w:tcPr>
          <w:p w14:paraId="34CCDA1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2.000,000</w:t>
            </w:r>
          </w:p>
        </w:tc>
        <w:tc>
          <w:tcPr>
            <w:tcW w:w="1276" w:type="dxa"/>
            <w:shd w:val="clear" w:color="auto" w:fill="auto"/>
            <w:tcMar>
              <w:top w:w="40" w:type="dxa"/>
              <w:left w:w="40" w:type="dxa"/>
              <w:bottom w:w="40" w:type="dxa"/>
              <w:right w:w="40" w:type="dxa"/>
            </w:tcMar>
            <w:vAlign w:val="center"/>
          </w:tcPr>
          <w:p w14:paraId="31D89CCC"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2.000,000</w:t>
            </w:r>
          </w:p>
        </w:tc>
        <w:tc>
          <w:tcPr>
            <w:tcW w:w="1244" w:type="dxa"/>
            <w:shd w:val="clear" w:color="auto" w:fill="auto"/>
            <w:tcMar>
              <w:top w:w="40" w:type="dxa"/>
              <w:left w:w="40" w:type="dxa"/>
              <w:bottom w:w="40" w:type="dxa"/>
              <w:right w:w="40" w:type="dxa"/>
            </w:tcMar>
            <w:vAlign w:val="center"/>
          </w:tcPr>
          <w:p w14:paraId="5E04072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2.000,000</w:t>
            </w:r>
          </w:p>
        </w:tc>
        <w:tc>
          <w:tcPr>
            <w:tcW w:w="1215" w:type="dxa"/>
            <w:vMerge w:val="restart"/>
            <w:shd w:val="clear" w:color="auto" w:fill="auto"/>
            <w:tcMar>
              <w:top w:w="40" w:type="dxa"/>
              <w:left w:w="40" w:type="dxa"/>
              <w:bottom w:w="40" w:type="dxa"/>
              <w:right w:w="40" w:type="dxa"/>
            </w:tcMar>
            <w:vAlign w:val="center"/>
          </w:tcPr>
          <w:p w14:paraId="5B93B3EB"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8.981.435.590</w:t>
            </w:r>
          </w:p>
        </w:tc>
      </w:tr>
      <w:tr w:rsidR="00EF1D5F" w14:paraId="434D043E" w14:textId="77777777" w:rsidTr="00E853B7">
        <w:trPr>
          <w:trHeight w:val="345"/>
          <w:jc w:val="center"/>
        </w:trPr>
        <w:tc>
          <w:tcPr>
            <w:tcW w:w="2268" w:type="dxa"/>
            <w:vMerge/>
            <w:shd w:val="clear" w:color="auto" w:fill="auto"/>
            <w:tcMar>
              <w:top w:w="100" w:type="dxa"/>
              <w:left w:w="100" w:type="dxa"/>
              <w:bottom w:w="100" w:type="dxa"/>
              <w:right w:w="100" w:type="dxa"/>
            </w:tcMar>
          </w:tcPr>
          <w:p w14:paraId="1D7A5DEE"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7A722E6D"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184.000.000</w:t>
            </w:r>
          </w:p>
        </w:tc>
        <w:tc>
          <w:tcPr>
            <w:tcW w:w="1559" w:type="dxa"/>
            <w:shd w:val="clear" w:color="auto" w:fill="auto"/>
            <w:tcMar>
              <w:top w:w="40" w:type="dxa"/>
              <w:left w:w="40" w:type="dxa"/>
              <w:bottom w:w="40" w:type="dxa"/>
              <w:right w:w="40" w:type="dxa"/>
            </w:tcMar>
            <w:vAlign w:val="center"/>
          </w:tcPr>
          <w:p w14:paraId="096C09E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3.403.883.495</w:t>
            </w:r>
          </w:p>
        </w:tc>
        <w:tc>
          <w:tcPr>
            <w:tcW w:w="1276" w:type="dxa"/>
            <w:shd w:val="clear" w:color="auto" w:fill="auto"/>
            <w:tcMar>
              <w:top w:w="40" w:type="dxa"/>
              <w:left w:w="40" w:type="dxa"/>
              <w:bottom w:w="40" w:type="dxa"/>
              <w:right w:w="40" w:type="dxa"/>
            </w:tcMar>
            <w:vAlign w:val="center"/>
          </w:tcPr>
          <w:p w14:paraId="10C5AC8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2.692.053.916</w:t>
            </w:r>
          </w:p>
        </w:tc>
        <w:tc>
          <w:tcPr>
            <w:tcW w:w="1244" w:type="dxa"/>
            <w:shd w:val="clear" w:color="auto" w:fill="auto"/>
            <w:tcMar>
              <w:top w:w="40" w:type="dxa"/>
              <w:left w:w="40" w:type="dxa"/>
              <w:bottom w:w="40" w:type="dxa"/>
              <w:right w:w="40" w:type="dxa"/>
            </w:tcMar>
            <w:vAlign w:val="center"/>
          </w:tcPr>
          <w:p w14:paraId="0A78924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2.701.498.178</w:t>
            </w:r>
          </w:p>
        </w:tc>
        <w:tc>
          <w:tcPr>
            <w:tcW w:w="1215" w:type="dxa"/>
            <w:vMerge/>
            <w:shd w:val="clear" w:color="auto" w:fill="auto"/>
            <w:tcMar>
              <w:top w:w="100" w:type="dxa"/>
              <w:left w:w="100" w:type="dxa"/>
              <w:bottom w:w="100" w:type="dxa"/>
              <w:right w:w="100" w:type="dxa"/>
            </w:tcMar>
          </w:tcPr>
          <w:p w14:paraId="4E919D51"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4CCB1ECC" w14:textId="77777777" w:rsidTr="00E853B7">
        <w:trPr>
          <w:trHeight w:val="315"/>
          <w:jc w:val="center"/>
        </w:trPr>
        <w:tc>
          <w:tcPr>
            <w:tcW w:w="2268" w:type="dxa"/>
            <w:vMerge w:val="restart"/>
            <w:shd w:val="clear" w:color="auto" w:fill="auto"/>
            <w:tcMar>
              <w:top w:w="40" w:type="dxa"/>
              <w:left w:w="40" w:type="dxa"/>
              <w:bottom w:w="40" w:type="dxa"/>
              <w:right w:w="40" w:type="dxa"/>
            </w:tcMar>
            <w:vAlign w:val="center"/>
          </w:tcPr>
          <w:p w14:paraId="7CA893DD"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Realizar el 100% de las intervenciones menores priorizadas en el Cementerio Central.</w:t>
            </w:r>
          </w:p>
        </w:tc>
        <w:tc>
          <w:tcPr>
            <w:tcW w:w="1276" w:type="dxa"/>
            <w:shd w:val="clear" w:color="auto" w:fill="auto"/>
            <w:tcMar>
              <w:top w:w="40" w:type="dxa"/>
              <w:left w:w="40" w:type="dxa"/>
              <w:bottom w:w="40" w:type="dxa"/>
              <w:right w:w="40" w:type="dxa"/>
            </w:tcMar>
            <w:vAlign w:val="center"/>
          </w:tcPr>
          <w:p w14:paraId="6A3D8137"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w:t>
            </w:r>
          </w:p>
        </w:tc>
        <w:tc>
          <w:tcPr>
            <w:tcW w:w="1559" w:type="dxa"/>
            <w:shd w:val="clear" w:color="auto" w:fill="auto"/>
            <w:tcMar>
              <w:top w:w="40" w:type="dxa"/>
              <w:left w:w="40" w:type="dxa"/>
              <w:bottom w:w="40" w:type="dxa"/>
              <w:right w:w="40" w:type="dxa"/>
            </w:tcMar>
            <w:vAlign w:val="center"/>
          </w:tcPr>
          <w:p w14:paraId="5493059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100%</w:t>
            </w:r>
          </w:p>
        </w:tc>
        <w:tc>
          <w:tcPr>
            <w:tcW w:w="1276" w:type="dxa"/>
            <w:shd w:val="clear" w:color="auto" w:fill="auto"/>
            <w:tcMar>
              <w:top w:w="40" w:type="dxa"/>
              <w:left w:w="40" w:type="dxa"/>
              <w:bottom w:w="40" w:type="dxa"/>
              <w:right w:w="40" w:type="dxa"/>
            </w:tcMar>
            <w:vAlign w:val="center"/>
          </w:tcPr>
          <w:p w14:paraId="274AD0FE"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244" w:type="dxa"/>
            <w:shd w:val="clear" w:color="auto" w:fill="auto"/>
            <w:tcMar>
              <w:top w:w="40" w:type="dxa"/>
              <w:left w:w="40" w:type="dxa"/>
              <w:bottom w:w="40" w:type="dxa"/>
              <w:right w:w="40" w:type="dxa"/>
            </w:tcMar>
            <w:vAlign w:val="center"/>
          </w:tcPr>
          <w:p w14:paraId="7C407743"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0%</w:t>
            </w:r>
          </w:p>
        </w:tc>
        <w:tc>
          <w:tcPr>
            <w:tcW w:w="1215" w:type="dxa"/>
            <w:vMerge w:val="restart"/>
            <w:shd w:val="clear" w:color="auto" w:fill="auto"/>
            <w:tcMar>
              <w:top w:w="40" w:type="dxa"/>
              <w:left w:w="40" w:type="dxa"/>
              <w:bottom w:w="40" w:type="dxa"/>
              <w:right w:w="40" w:type="dxa"/>
            </w:tcMar>
            <w:vAlign w:val="center"/>
          </w:tcPr>
          <w:p w14:paraId="502C411F"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15.401.814.581</w:t>
            </w:r>
          </w:p>
        </w:tc>
      </w:tr>
      <w:tr w:rsidR="00EF1D5F" w14:paraId="197F9284" w14:textId="77777777" w:rsidTr="00E853B7">
        <w:trPr>
          <w:trHeight w:val="315"/>
          <w:jc w:val="center"/>
        </w:trPr>
        <w:tc>
          <w:tcPr>
            <w:tcW w:w="2268" w:type="dxa"/>
            <w:vMerge/>
            <w:shd w:val="clear" w:color="auto" w:fill="auto"/>
            <w:tcMar>
              <w:top w:w="100" w:type="dxa"/>
              <w:left w:w="100" w:type="dxa"/>
              <w:bottom w:w="100" w:type="dxa"/>
              <w:right w:w="100" w:type="dxa"/>
            </w:tcMar>
          </w:tcPr>
          <w:p w14:paraId="27695E77"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c>
          <w:tcPr>
            <w:tcW w:w="1276" w:type="dxa"/>
            <w:shd w:val="clear" w:color="auto" w:fill="auto"/>
            <w:tcMar>
              <w:top w:w="40" w:type="dxa"/>
              <w:left w:w="40" w:type="dxa"/>
              <w:bottom w:w="40" w:type="dxa"/>
              <w:right w:w="40" w:type="dxa"/>
            </w:tcMar>
            <w:vAlign w:val="center"/>
          </w:tcPr>
          <w:p w14:paraId="1059B35B"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3.646.000.000</w:t>
            </w:r>
          </w:p>
        </w:tc>
        <w:tc>
          <w:tcPr>
            <w:tcW w:w="1559" w:type="dxa"/>
            <w:shd w:val="clear" w:color="auto" w:fill="auto"/>
            <w:tcMar>
              <w:top w:w="40" w:type="dxa"/>
              <w:left w:w="40" w:type="dxa"/>
              <w:bottom w:w="40" w:type="dxa"/>
              <w:right w:w="40" w:type="dxa"/>
            </w:tcMar>
            <w:vAlign w:val="center"/>
          </w:tcPr>
          <w:p w14:paraId="5C425F68"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2.000.000.000</w:t>
            </w:r>
          </w:p>
        </w:tc>
        <w:tc>
          <w:tcPr>
            <w:tcW w:w="1276" w:type="dxa"/>
            <w:shd w:val="clear" w:color="auto" w:fill="auto"/>
            <w:tcMar>
              <w:top w:w="40" w:type="dxa"/>
              <w:left w:w="40" w:type="dxa"/>
              <w:bottom w:w="40" w:type="dxa"/>
              <w:right w:w="40" w:type="dxa"/>
            </w:tcMar>
            <w:vAlign w:val="center"/>
          </w:tcPr>
          <w:p w14:paraId="7952FF34"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4.000.377.038</w:t>
            </w:r>
          </w:p>
        </w:tc>
        <w:tc>
          <w:tcPr>
            <w:tcW w:w="1244" w:type="dxa"/>
            <w:shd w:val="clear" w:color="auto" w:fill="auto"/>
            <w:tcMar>
              <w:top w:w="40" w:type="dxa"/>
              <w:left w:w="40" w:type="dxa"/>
              <w:bottom w:w="40" w:type="dxa"/>
              <w:right w:w="40" w:type="dxa"/>
            </w:tcMar>
            <w:vAlign w:val="center"/>
          </w:tcPr>
          <w:p w14:paraId="001579B6"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5.755.437.543</w:t>
            </w:r>
          </w:p>
        </w:tc>
        <w:tc>
          <w:tcPr>
            <w:tcW w:w="1215" w:type="dxa"/>
            <w:vMerge/>
            <w:shd w:val="clear" w:color="auto" w:fill="auto"/>
            <w:tcMar>
              <w:top w:w="100" w:type="dxa"/>
              <w:left w:w="100" w:type="dxa"/>
              <w:bottom w:w="100" w:type="dxa"/>
              <w:right w:w="100" w:type="dxa"/>
            </w:tcMar>
          </w:tcPr>
          <w:p w14:paraId="52EAEC7E" w14:textId="77777777" w:rsidR="00EF1D5F" w:rsidRPr="00CE7C47" w:rsidRDefault="00EF1D5F" w:rsidP="003D4AD9">
            <w:pPr>
              <w:widowControl w:val="0"/>
              <w:spacing w:line="276" w:lineRule="auto"/>
              <w:jc w:val="left"/>
              <w:rPr>
                <w:rFonts w:ascii="Arial" w:eastAsia="Arial" w:hAnsi="Arial" w:cs="Arial"/>
                <w:color w:val="000000"/>
                <w:sz w:val="16"/>
                <w:szCs w:val="16"/>
              </w:rPr>
            </w:pPr>
          </w:p>
        </w:tc>
      </w:tr>
      <w:tr w:rsidR="00EF1D5F" w14:paraId="01D6DC12" w14:textId="77777777" w:rsidTr="00E853B7">
        <w:trPr>
          <w:trHeight w:val="315"/>
          <w:jc w:val="center"/>
        </w:trPr>
        <w:tc>
          <w:tcPr>
            <w:tcW w:w="2268" w:type="dxa"/>
            <w:vMerge w:val="restart"/>
            <w:shd w:val="clear" w:color="auto" w:fill="auto"/>
            <w:tcMar>
              <w:top w:w="40" w:type="dxa"/>
              <w:left w:w="40" w:type="dxa"/>
              <w:bottom w:w="40" w:type="dxa"/>
              <w:right w:w="40" w:type="dxa"/>
            </w:tcMar>
            <w:vAlign w:val="center"/>
          </w:tcPr>
          <w:p w14:paraId="4E2492EA" w14:textId="77777777" w:rsidR="00EF1D5F" w:rsidRPr="00CE7C47" w:rsidRDefault="00EF1D5F" w:rsidP="003D4AD9">
            <w:pPr>
              <w:widowControl w:val="0"/>
              <w:spacing w:line="276" w:lineRule="auto"/>
              <w:jc w:val="left"/>
              <w:rPr>
                <w:color w:val="000000"/>
                <w:sz w:val="16"/>
                <w:szCs w:val="16"/>
              </w:rPr>
            </w:pPr>
            <w:r w:rsidRPr="00CE7C47">
              <w:rPr>
                <w:color w:val="000000"/>
                <w:sz w:val="16"/>
                <w:szCs w:val="16"/>
              </w:rPr>
              <w:t>Reducir en 50 Kms la longitud de redes de alcantarillado combinado en la ciudad de Bogotá</w:t>
            </w:r>
          </w:p>
        </w:tc>
        <w:tc>
          <w:tcPr>
            <w:tcW w:w="1276" w:type="dxa"/>
            <w:shd w:val="clear" w:color="auto" w:fill="auto"/>
            <w:tcMar>
              <w:top w:w="40" w:type="dxa"/>
              <w:left w:w="40" w:type="dxa"/>
              <w:bottom w:w="40" w:type="dxa"/>
              <w:right w:w="40" w:type="dxa"/>
            </w:tcMar>
            <w:vAlign w:val="center"/>
          </w:tcPr>
          <w:p w14:paraId="6C25075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w:t>
            </w:r>
          </w:p>
        </w:tc>
        <w:tc>
          <w:tcPr>
            <w:tcW w:w="1559" w:type="dxa"/>
            <w:shd w:val="clear" w:color="auto" w:fill="auto"/>
            <w:tcMar>
              <w:top w:w="40" w:type="dxa"/>
              <w:left w:w="40" w:type="dxa"/>
              <w:bottom w:w="40" w:type="dxa"/>
              <w:right w:w="40" w:type="dxa"/>
            </w:tcMar>
            <w:vAlign w:val="center"/>
          </w:tcPr>
          <w:p w14:paraId="6397FA8F"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22</w:t>
            </w:r>
          </w:p>
        </w:tc>
        <w:tc>
          <w:tcPr>
            <w:tcW w:w="1276" w:type="dxa"/>
            <w:shd w:val="clear" w:color="auto" w:fill="auto"/>
            <w:tcMar>
              <w:top w:w="40" w:type="dxa"/>
              <w:left w:w="40" w:type="dxa"/>
              <w:bottom w:w="40" w:type="dxa"/>
              <w:right w:w="40" w:type="dxa"/>
            </w:tcMar>
            <w:vAlign w:val="center"/>
          </w:tcPr>
          <w:p w14:paraId="58742B52"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16</w:t>
            </w:r>
          </w:p>
        </w:tc>
        <w:tc>
          <w:tcPr>
            <w:tcW w:w="1244" w:type="dxa"/>
            <w:shd w:val="clear" w:color="auto" w:fill="auto"/>
            <w:tcMar>
              <w:top w:w="40" w:type="dxa"/>
              <w:left w:w="40" w:type="dxa"/>
              <w:bottom w:w="40" w:type="dxa"/>
              <w:right w:w="40" w:type="dxa"/>
            </w:tcMar>
            <w:vAlign w:val="center"/>
          </w:tcPr>
          <w:p w14:paraId="7BAECDCA" w14:textId="2E182453" w:rsidR="00EF1D5F" w:rsidRPr="00CE7C47" w:rsidRDefault="00407EDB" w:rsidP="003D4AD9">
            <w:pPr>
              <w:widowControl w:val="0"/>
              <w:spacing w:line="276" w:lineRule="auto"/>
              <w:jc w:val="center"/>
              <w:rPr>
                <w:rFonts w:ascii="Arial" w:eastAsia="Arial" w:hAnsi="Arial" w:cs="Arial"/>
                <w:color w:val="000000"/>
                <w:sz w:val="16"/>
                <w:szCs w:val="16"/>
              </w:rPr>
            </w:pPr>
            <w:r>
              <w:rPr>
                <w:color w:val="000000"/>
                <w:sz w:val="16"/>
                <w:szCs w:val="16"/>
              </w:rPr>
              <w:t>7</w:t>
            </w:r>
          </w:p>
        </w:tc>
        <w:tc>
          <w:tcPr>
            <w:tcW w:w="1215" w:type="dxa"/>
            <w:vMerge w:val="restart"/>
            <w:shd w:val="clear" w:color="auto" w:fill="auto"/>
            <w:tcMar>
              <w:top w:w="40" w:type="dxa"/>
              <w:left w:w="40" w:type="dxa"/>
              <w:bottom w:w="40" w:type="dxa"/>
              <w:right w:w="40" w:type="dxa"/>
            </w:tcMar>
            <w:vAlign w:val="center"/>
          </w:tcPr>
          <w:p w14:paraId="7C19B8E3" w14:textId="77777777" w:rsidR="00EF1D5F" w:rsidRPr="00CE7C47" w:rsidRDefault="00EF1D5F" w:rsidP="003D4AD9">
            <w:pPr>
              <w:widowControl w:val="0"/>
              <w:spacing w:line="276" w:lineRule="auto"/>
              <w:jc w:val="center"/>
              <w:rPr>
                <w:b/>
                <w:color w:val="000000"/>
                <w:sz w:val="16"/>
                <w:szCs w:val="16"/>
              </w:rPr>
            </w:pPr>
            <w:r w:rsidRPr="00CE7C47">
              <w:rPr>
                <w:b/>
                <w:color w:val="000000"/>
                <w:sz w:val="16"/>
                <w:szCs w:val="16"/>
              </w:rPr>
              <w:t>201.733.282.146</w:t>
            </w:r>
          </w:p>
        </w:tc>
      </w:tr>
      <w:tr w:rsidR="00EF1D5F" w14:paraId="0AE91561" w14:textId="77777777" w:rsidTr="00E853B7">
        <w:trPr>
          <w:trHeight w:val="315"/>
          <w:jc w:val="center"/>
        </w:trPr>
        <w:tc>
          <w:tcPr>
            <w:tcW w:w="2268" w:type="dxa"/>
            <w:vMerge/>
            <w:shd w:val="clear" w:color="auto" w:fill="auto"/>
            <w:tcMar>
              <w:top w:w="100" w:type="dxa"/>
              <w:left w:w="100" w:type="dxa"/>
              <w:bottom w:w="100" w:type="dxa"/>
              <w:right w:w="100" w:type="dxa"/>
            </w:tcMar>
          </w:tcPr>
          <w:p w14:paraId="2AC55EE7" w14:textId="77777777" w:rsidR="00EF1D5F" w:rsidRDefault="00EF1D5F" w:rsidP="003D4AD9">
            <w:pPr>
              <w:widowControl w:val="0"/>
              <w:spacing w:line="276" w:lineRule="auto"/>
              <w:jc w:val="left"/>
              <w:rPr>
                <w:rFonts w:ascii="Arial" w:eastAsia="Arial" w:hAnsi="Arial" w:cs="Arial"/>
                <w:color w:val="000000"/>
              </w:rPr>
            </w:pPr>
          </w:p>
        </w:tc>
        <w:tc>
          <w:tcPr>
            <w:tcW w:w="1276" w:type="dxa"/>
            <w:shd w:val="clear" w:color="auto" w:fill="auto"/>
            <w:tcMar>
              <w:top w:w="40" w:type="dxa"/>
              <w:left w:w="40" w:type="dxa"/>
              <w:bottom w:w="40" w:type="dxa"/>
              <w:right w:w="40" w:type="dxa"/>
            </w:tcMar>
            <w:vAlign w:val="center"/>
          </w:tcPr>
          <w:p w14:paraId="70D69EE1"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52.379.937.520</w:t>
            </w:r>
          </w:p>
        </w:tc>
        <w:tc>
          <w:tcPr>
            <w:tcW w:w="1559" w:type="dxa"/>
            <w:shd w:val="clear" w:color="auto" w:fill="auto"/>
            <w:tcMar>
              <w:top w:w="40" w:type="dxa"/>
              <w:left w:w="40" w:type="dxa"/>
              <w:bottom w:w="40" w:type="dxa"/>
              <w:right w:w="40" w:type="dxa"/>
            </w:tcMar>
            <w:vAlign w:val="center"/>
          </w:tcPr>
          <w:p w14:paraId="749A2235"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74.221.707.009</w:t>
            </w:r>
          </w:p>
        </w:tc>
        <w:tc>
          <w:tcPr>
            <w:tcW w:w="1276" w:type="dxa"/>
            <w:shd w:val="clear" w:color="auto" w:fill="auto"/>
            <w:tcMar>
              <w:top w:w="40" w:type="dxa"/>
              <w:left w:w="40" w:type="dxa"/>
              <w:bottom w:w="40" w:type="dxa"/>
              <w:right w:w="40" w:type="dxa"/>
            </w:tcMar>
            <w:vAlign w:val="center"/>
          </w:tcPr>
          <w:p w14:paraId="581F50DA"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54.640.122.542</w:t>
            </w:r>
          </w:p>
        </w:tc>
        <w:tc>
          <w:tcPr>
            <w:tcW w:w="1244" w:type="dxa"/>
            <w:shd w:val="clear" w:color="auto" w:fill="auto"/>
            <w:tcMar>
              <w:top w:w="40" w:type="dxa"/>
              <w:left w:w="40" w:type="dxa"/>
              <w:bottom w:w="40" w:type="dxa"/>
              <w:right w:w="40" w:type="dxa"/>
            </w:tcMar>
            <w:vAlign w:val="center"/>
          </w:tcPr>
          <w:p w14:paraId="446D8FF0" w14:textId="77777777" w:rsidR="00EF1D5F" w:rsidRPr="00CE7C47" w:rsidRDefault="00EF1D5F" w:rsidP="003D4AD9">
            <w:pPr>
              <w:widowControl w:val="0"/>
              <w:spacing w:line="276" w:lineRule="auto"/>
              <w:jc w:val="center"/>
              <w:rPr>
                <w:rFonts w:ascii="Arial" w:eastAsia="Arial" w:hAnsi="Arial" w:cs="Arial"/>
                <w:color w:val="000000"/>
                <w:sz w:val="16"/>
                <w:szCs w:val="16"/>
              </w:rPr>
            </w:pPr>
            <w:r w:rsidRPr="00CE7C47">
              <w:rPr>
                <w:color w:val="000000"/>
                <w:sz w:val="16"/>
                <w:szCs w:val="16"/>
              </w:rPr>
              <w:t>20.491.515.075</w:t>
            </w:r>
          </w:p>
        </w:tc>
        <w:tc>
          <w:tcPr>
            <w:tcW w:w="1215" w:type="dxa"/>
            <w:vMerge/>
            <w:shd w:val="clear" w:color="auto" w:fill="auto"/>
            <w:tcMar>
              <w:top w:w="100" w:type="dxa"/>
              <w:left w:w="100" w:type="dxa"/>
              <w:bottom w:w="100" w:type="dxa"/>
              <w:right w:w="100" w:type="dxa"/>
            </w:tcMar>
          </w:tcPr>
          <w:p w14:paraId="3A37D4BC" w14:textId="77777777" w:rsidR="00EF1D5F" w:rsidRDefault="00EF1D5F" w:rsidP="003D4AD9">
            <w:pPr>
              <w:widowControl w:val="0"/>
              <w:spacing w:line="276" w:lineRule="auto"/>
              <w:jc w:val="left"/>
              <w:rPr>
                <w:rFonts w:ascii="Arial" w:eastAsia="Arial" w:hAnsi="Arial" w:cs="Arial"/>
                <w:color w:val="000000"/>
              </w:rPr>
            </w:pPr>
          </w:p>
        </w:tc>
      </w:tr>
    </w:tbl>
    <w:p w14:paraId="2AE5DEFD" w14:textId="77777777" w:rsidR="00EF1D5F" w:rsidRDefault="00EF1D5F" w:rsidP="00E853B7">
      <w:bookmarkStart w:id="402" w:name="_heading=h.1ulbmlt" w:colFirst="0" w:colLast="0"/>
      <w:bookmarkEnd w:id="402"/>
    </w:p>
    <w:p w14:paraId="4FA864F4" w14:textId="77777777" w:rsidR="00EF1D5F" w:rsidRDefault="00EF1D5F" w:rsidP="00E853B7"/>
    <w:p w14:paraId="524CC59B" w14:textId="77777777" w:rsidR="00B54B9B" w:rsidRDefault="00B54B9B">
      <w:pPr>
        <w:spacing w:line="240" w:lineRule="auto"/>
        <w:jc w:val="left"/>
        <w:rPr>
          <w:rFonts w:eastAsiaTheme="majorEastAsia" w:cstheme="majorBidi"/>
          <w:b/>
          <w:color w:val="C00000"/>
          <w:sz w:val="28"/>
          <w:szCs w:val="26"/>
          <w:lang w:eastAsia="en-US"/>
        </w:rPr>
      </w:pPr>
      <w:r>
        <w:rPr>
          <w:color w:val="C00000"/>
        </w:rPr>
        <w:br w:type="page"/>
      </w:r>
    </w:p>
    <w:p w14:paraId="4BC7DB9F" w14:textId="44FF08A8" w:rsidR="00EF1D5F" w:rsidRDefault="00EF1D5F" w:rsidP="00B54B9B">
      <w:pPr>
        <w:pStyle w:val="NIVEL4"/>
      </w:pPr>
      <w:bookmarkStart w:id="403" w:name="_Toc165169795"/>
      <w:r>
        <w:rPr>
          <w:color w:val="C00000"/>
        </w:rPr>
        <w:lastRenderedPageBreak/>
        <w:t>Programa 30</w:t>
      </w:r>
      <w:r w:rsidR="00B54B9B">
        <w:rPr>
          <w:color w:val="C00000"/>
        </w:rPr>
        <w:t xml:space="preserve">: </w:t>
      </w:r>
      <w:r>
        <w:t>Atención del déficit social para un hábitat digno</w:t>
      </w:r>
      <w:bookmarkEnd w:id="403"/>
    </w:p>
    <w:p w14:paraId="53FB77F6" w14:textId="77777777" w:rsidR="00F077A9" w:rsidRPr="00F077A9" w:rsidRDefault="00F077A9" w:rsidP="00F077A9">
      <w:pPr>
        <w:pStyle w:val="Prrafodelista"/>
        <w:ind w:left="840"/>
        <w:rPr>
          <w:lang w:eastAsia="en-US"/>
        </w:rPr>
      </w:pPr>
    </w:p>
    <w:p w14:paraId="4D413F5F" w14:textId="0FABB3A8" w:rsidR="00EF1D5F" w:rsidRPr="004C1DBE" w:rsidRDefault="00EF1D5F" w:rsidP="004C1DBE">
      <w:pPr>
        <w:ind w:firstLine="708"/>
        <w:rPr>
          <w:b/>
          <w:bCs/>
          <w:sz w:val="24"/>
        </w:rPr>
        <w:sectPr w:rsidR="00EF1D5F" w:rsidRPr="004C1DBE" w:rsidSect="00F7078E">
          <w:type w:val="continuous"/>
          <w:pgSz w:w="12240" w:h="15840"/>
          <w:pgMar w:top="2262" w:right="1440" w:bottom="1440" w:left="1440" w:header="708" w:footer="708" w:gutter="0"/>
          <w:cols w:space="720"/>
        </w:sectPr>
      </w:pPr>
      <w:r w:rsidRPr="004C1DBE">
        <w:rPr>
          <w:b/>
          <w:bCs/>
          <w:sz w:val="24"/>
        </w:rPr>
        <w:t>Diagnóstico</w:t>
      </w:r>
    </w:p>
    <w:p w14:paraId="5B290CD5" w14:textId="77777777" w:rsidR="00EF1D5F" w:rsidRPr="00F077A9" w:rsidRDefault="00EF1D5F">
      <w:pPr>
        <w:rPr>
          <w:spacing w:val="-6"/>
          <w:highlight w:val="white"/>
        </w:rPr>
      </w:pPr>
      <w:r w:rsidRPr="00F077A9">
        <w:rPr>
          <w:spacing w:val="-6"/>
          <w:highlight w:val="white"/>
        </w:rPr>
        <w:t>Lograr una ciudad donde se quiera vivir y los habitantes se puedan desarrollar es el máximo objetivo. Para esto, todos y todas deben encontrar en la ciudad un entorno que les ofrezca un hábitat digno, sin exclusión. Desafortunadamente, hoy tenemos limitaciones en algunos equipamientos, especialmente en los de educación, infraestructura social y de salud, que tengan presente la distribución local y el concepto de cercanía.</w:t>
      </w:r>
    </w:p>
    <w:p w14:paraId="50DE21BE" w14:textId="77777777" w:rsidR="00EF1D5F" w:rsidRPr="00F077A9" w:rsidRDefault="00EF1D5F">
      <w:pPr>
        <w:rPr>
          <w:spacing w:val="-6"/>
          <w:highlight w:val="white"/>
        </w:rPr>
      </w:pPr>
    </w:p>
    <w:p w14:paraId="74C1521B" w14:textId="72CFC3C7" w:rsidR="00EF1D5F" w:rsidRPr="00F077A9" w:rsidRDefault="00EF1D5F">
      <w:pPr>
        <w:rPr>
          <w:spacing w:val="-6"/>
          <w:highlight w:val="white"/>
        </w:rPr>
      </w:pPr>
      <w:r w:rsidRPr="00F077A9">
        <w:rPr>
          <w:spacing w:val="-6"/>
          <w:highlight w:val="white"/>
        </w:rPr>
        <w:t>Ejemplo de esto es el número importante de niños de primera infancia que no son atendidos en ninguna institución educativa, más de 265.000 infantes de 0 a 5 años de un total de 560.012, cifra que es cercana a la atención ofrecida hoy por la Secretaría de Educación del Distrito, la Secretaría Distrital de Integración Social, el Instituto Colombiano de Bienestar Familiar y colegios privados (293.000 niños y niñas). Es decir, la mitad de nuestros niños y niñas de 0 a 5 años no tiene acceso a la oferta educativa.</w:t>
      </w:r>
    </w:p>
    <w:p w14:paraId="3777DF14" w14:textId="77777777" w:rsidR="00EF1D5F" w:rsidRPr="00F077A9" w:rsidRDefault="00EF1D5F">
      <w:pPr>
        <w:rPr>
          <w:spacing w:val="-6"/>
          <w:highlight w:val="white"/>
        </w:rPr>
      </w:pPr>
    </w:p>
    <w:p w14:paraId="0CB5D31E" w14:textId="77777777" w:rsidR="00EF1D5F" w:rsidRPr="00F077A9" w:rsidRDefault="00EF1D5F">
      <w:pPr>
        <w:rPr>
          <w:color w:val="0D0D0D"/>
          <w:spacing w:val="-6"/>
          <w:highlight w:val="white"/>
        </w:rPr>
      </w:pPr>
      <w:r w:rsidRPr="00F077A9">
        <w:rPr>
          <w:spacing w:val="-6"/>
          <w:highlight w:val="white"/>
        </w:rPr>
        <w:t xml:space="preserve">Una de las causas es la insuficiente oferta de servicios de atención integral articulada entre los diferentes sectores involucrados, además de la insuficiente </w:t>
      </w:r>
      <w:r w:rsidRPr="00F077A9">
        <w:rPr>
          <w:color w:val="0D0D0D"/>
          <w:spacing w:val="-6"/>
          <w:highlight w:val="white"/>
        </w:rPr>
        <w:t>infraestructura (equipamientos) educativa con ambientes de aprendizajes que permitan el desarrollo de acciones pedagógicas.</w:t>
      </w:r>
    </w:p>
    <w:p w14:paraId="3670D900" w14:textId="77777777" w:rsidR="00EF1D5F" w:rsidRPr="00F077A9" w:rsidRDefault="00EF1D5F">
      <w:pPr>
        <w:rPr>
          <w:color w:val="0D0D0D"/>
          <w:spacing w:val="-6"/>
          <w:highlight w:val="white"/>
        </w:rPr>
      </w:pPr>
    </w:p>
    <w:p w14:paraId="2241AA32" w14:textId="516E849B" w:rsidR="00EF1D5F" w:rsidRPr="00F077A9" w:rsidRDefault="00EF1D5F">
      <w:pPr>
        <w:rPr>
          <w:spacing w:val="-6"/>
          <w:highlight w:val="white"/>
        </w:rPr>
        <w:sectPr w:rsidR="00EF1D5F" w:rsidRPr="00F077A9" w:rsidSect="00F7078E">
          <w:type w:val="continuous"/>
          <w:pgSz w:w="12240" w:h="15840"/>
          <w:pgMar w:top="2262" w:right="1440" w:bottom="1440" w:left="1440" w:header="708" w:footer="708" w:gutter="0"/>
          <w:cols w:num="2" w:space="720" w:equalWidth="0">
            <w:col w:w="4396" w:space="567"/>
            <w:col w:w="4396" w:space="0"/>
          </w:cols>
        </w:sectPr>
      </w:pPr>
      <w:r w:rsidRPr="00F077A9">
        <w:rPr>
          <w:spacing w:val="-6"/>
          <w:highlight w:val="white"/>
        </w:rPr>
        <w:t xml:space="preserve">Con relación a niños, niñas y adolescentes, para el periodo 2022-2023, la demanda educativa (oficial y no oficial) correspondía a 1.229.363, de los cuales el 11,7 % demandan cupos de preescolar. En materia de oferta educativa, al realizar un análisis de oferta y demanda para el sector oficial (en los niveles de preescolar a media), se encuentra que, pese a los esfuerzos de varias administraciones por ampliarla, persiste un déficit de cupos en algunas zonas de la ciudad; especialmente en las localidades de Suba, Kennedy, Bosa, Antonio Nariño, Ciudad Bolívar y Usme. Este déficit de cupos es especialmente significativo para el nivel de preescolar en términos generales y de forma específica en las zonas de El Rincón, Tibabuyes y Patio Bonito </w:t>
      </w:r>
      <w:r w:rsidRPr="00B54B9B">
        <w:rPr>
          <w:spacing w:val="-6"/>
          <w:highlight w:val="white"/>
        </w:rPr>
        <w:t>(</w:t>
      </w:r>
      <w:r w:rsidR="00B54B9B" w:rsidRPr="00B54B9B">
        <w:rPr>
          <w:spacing w:val="-6"/>
          <w:highlight w:val="white"/>
        </w:rPr>
        <w:fldChar w:fldCharType="begin"/>
      </w:r>
      <w:r w:rsidR="00B54B9B" w:rsidRPr="00B54B9B">
        <w:rPr>
          <w:spacing w:val="-6"/>
          <w:highlight w:val="white"/>
        </w:rPr>
        <w:instrText xml:space="preserve"> REF _Ref165147026 \h </w:instrText>
      </w:r>
      <w:r w:rsidR="00B54B9B" w:rsidRPr="00B54B9B">
        <w:rPr>
          <w:spacing w:val="-6"/>
          <w:highlight w:val="white"/>
        </w:rPr>
      </w:r>
      <w:r w:rsidR="00B54B9B" w:rsidRPr="00B54B9B">
        <w:rPr>
          <w:spacing w:val="-6"/>
          <w:highlight w:val="white"/>
        </w:rPr>
        <w:fldChar w:fldCharType="separate"/>
      </w:r>
      <w:r w:rsidR="00D01651" w:rsidRPr="00B54B9B">
        <w:rPr>
          <w:color w:val="C00000"/>
          <w:sz w:val="18"/>
          <w:szCs w:val="18"/>
        </w:rPr>
        <w:t xml:space="preserve">Mapa </w:t>
      </w:r>
      <w:r w:rsidR="00D01651">
        <w:rPr>
          <w:noProof/>
          <w:color w:val="C00000"/>
          <w:sz w:val="18"/>
        </w:rPr>
        <w:t>11</w:t>
      </w:r>
      <w:r w:rsidR="00B54B9B" w:rsidRPr="00B54B9B">
        <w:rPr>
          <w:spacing w:val="-6"/>
          <w:highlight w:val="white"/>
        </w:rPr>
        <w:fldChar w:fldCharType="end"/>
      </w:r>
      <w:r w:rsidRPr="00B54B9B">
        <w:rPr>
          <w:spacing w:val="-6"/>
          <w:highlight w:val="white"/>
        </w:rPr>
        <w:t>).</w:t>
      </w:r>
    </w:p>
    <w:p w14:paraId="29D6E977" w14:textId="77777777" w:rsidR="00EF1D5F" w:rsidRPr="00B54B9B" w:rsidRDefault="00EF1D5F" w:rsidP="00887868">
      <w:pPr>
        <w:pBdr>
          <w:top w:val="nil"/>
          <w:left w:val="nil"/>
          <w:bottom w:val="nil"/>
          <w:right w:val="nil"/>
          <w:between w:val="nil"/>
        </w:pBdr>
        <w:spacing w:line="220" w:lineRule="auto"/>
        <w:rPr>
          <w:b/>
          <w:sz w:val="18"/>
          <w:szCs w:val="18"/>
          <w:highlight w:val="white"/>
        </w:rPr>
      </w:pPr>
    </w:p>
    <w:p w14:paraId="34C7313B" w14:textId="13ABF19B" w:rsidR="00EF1D5F" w:rsidRPr="00B54B9B" w:rsidRDefault="00B54B9B" w:rsidP="00B54B9B">
      <w:pPr>
        <w:pStyle w:val="Descripcin"/>
        <w:jc w:val="center"/>
        <w:rPr>
          <w:sz w:val="18"/>
          <w:highlight w:val="white"/>
        </w:rPr>
      </w:pPr>
      <w:bookmarkStart w:id="404" w:name="_Ref165147026"/>
      <w:bookmarkStart w:id="405" w:name="_Toc165170035"/>
      <w:r w:rsidRPr="00B54B9B">
        <w:rPr>
          <w:color w:val="C00000"/>
          <w:sz w:val="18"/>
        </w:rPr>
        <w:t xml:space="preserve">Mapa </w:t>
      </w:r>
      <w:r w:rsidRPr="00B54B9B">
        <w:rPr>
          <w:color w:val="C00000"/>
          <w:sz w:val="18"/>
        </w:rPr>
        <w:fldChar w:fldCharType="begin"/>
      </w:r>
      <w:r w:rsidRPr="00B54B9B">
        <w:rPr>
          <w:color w:val="C00000"/>
          <w:sz w:val="18"/>
        </w:rPr>
        <w:instrText xml:space="preserve"> SEQ Mapa \* ARABIC </w:instrText>
      </w:r>
      <w:r w:rsidRPr="00B54B9B">
        <w:rPr>
          <w:color w:val="C00000"/>
          <w:sz w:val="18"/>
        </w:rPr>
        <w:fldChar w:fldCharType="separate"/>
      </w:r>
      <w:r w:rsidR="00D01651">
        <w:rPr>
          <w:noProof/>
          <w:color w:val="C00000"/>
          <w:sz w:val="18"/>
        </w:rPr>
        <w:t>11</w:t>
      </w:r>
      <w:r w:rsidRPr="00B54B9B">
        <w:rPr>
          <w:color w:val="C00000"/>
          <w:sz w:val="18"/>
        </w:rPr>
        <w:fldChar w:fldCharType="end"/>
      </w:r>
      <w:bookmarkEnd w:id="404"/>
      <w:r w:rsidRPr="00B54B9B">
        <w:rPr>
          <w:color w:val="C00000"/>
          <w:sz w:val="18"/>
        </w:rPr>
        <w:t xml:space="preserve">. </w:t>
      </w:r>
      <w:r w:rsidR="00EF1D5F" w:rsidRPr="00B54B9B">
        <w:rPr>
          <w:sz w:val="18"/>
          <w:highlight w:val="white"/>
        </w:rPr>
        <w:t>Déficit/superávit del sector oficial por nivel educativo</w:t>
      </w:r>
      <w:bookmarkEnd w:id="405"/>
    </w:p>
    <w:p w14:paraId="58B86459" w14:textId="77777777" w:rsidR="00EF1D5F" w:rsidRDefault="00EF1D5F">
      <w:pPr>
        <w:pBdr>
          <w:top w:val="nil"/>
          <w:left w:val="nil"/>
          <w:bottom w:val="nil"/>
          <w:right w:val="nil"/>
          <w:between w:val="nil"/>
        </w:pBdr>
        <w:spacing w:line="220" w:lineRule="auto"/>
        <w:jc w:val="center"/>
        <w:rPr>
          <w:color w:val="C00000"/>
          <w:sz w:val="18"/>
          <w:szCs w:val="18"/>
          <w:highlight w:val="white"/>
        </w:rPr>
      </w:pPr>
      <w:r>
        <w:rPr>
          <w:noProof/>
        </w:rPr>
        <w:drawing>
          <wp:anchor distT="0" distB="0" distL="114300" distR="114300" simplePos="0" relativeHeight="251783168" behindDoc="0" locked="0" layoutInCell="1" hidden="0" allowOverlap="1" wp14:anchorId="2F9BD966" wp14:editId="246603EC">
            <wp:simplePos x="0" y="0"/>
            <wp:positionH relativeFrom="column">
              <wp:posOffset>288925</wp:posOffset>
            </wp:positionH>
            <wp:positionV relativeFrom="paragraph">
              <wp:posOffset>77470</wp:posOffset>
            </wp:positionV>
            <wp:extent cx="5033913" cy="2647823"/>
            <wp:effectExtent l="0" t="0" r="0" b="0"/>
            <wp:wrapNone/>
            <wp:docPr id="213351600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0"/>
                    <a:srcRect/>
                    <a:stretch>
                      <a:fillRect/>
                    </a:stretch>
                  </pic:blipFill>
                  <pic:spPr>
                    <a:xfrm>
                      <a:off x="0" y="0"/>
                      <a:ext cx="5039330" cy="2650673"/>
                    </a:xfrm>
                    <a:prstGeom prst="rect">
                      <a:avLst/>
                    </a:prstGeom>
                    <a:ln/>
                  </pic:spPr>
                </pic:pic>
              </a:graphicData>
            </a:graphic>
            <wp14:sizeRelH relativeFrom="margin">
              <wp14:pctWidth>0</wp14:pctWidth>
            </wp14:sizeRelH>
            <wp14:sizeRelV relativeFrom="margin">
              <wp14:pctHeight>0</wp14:pctHeight>
            </wp14:sizeRelV>
          </wp:anchor>
        </w:drawing>
      </w:r>
    </w:p>
    <w:p w14:paraId="34EE81D9"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3CF841AA"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1AFBFCD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501E7A2C"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3C41D62E"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4C287A4"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75DA6BC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5764A866"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B9D307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68581B4A"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171BE796"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24902914"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984B7F6"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03922E17"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19FED40B"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60195980"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78B637C" w14:textId="77777777" w:rsidR="00EF1D5F" w:rsidRDefault="00EF1D5F">
      <w:pPr>
        <w:pBdr>
          <w:top w:val="nil"/>
          <w:left w:val="nil"/>
          <w:bottom w:val="nil"/>
          <w:right w:val="nil"/>
          <w:between w:val="nil"/>
        </w:pBdr>
        <w:spacing w:line="220" w:lineRule="auto"/>
        <w:jc w:val="center"/>
        <w:rPr>
          <w:color w:val="C00000"/>
          <w:sz w:val="18"/>
          <w:szCs w:val="18"/>
          <w:highlight w:val="white"/>
        </w:rPr>
      </w:pPr>
    </w:p>
    <w:p w14:paraId="497459AC" w14:textId="77777777" w:rsidR="00EF1D5F" w:rsidRDefault="00EF1D5F">
      <w:pPr>
        <w:pBdr>
          <w:top w:val="nil"/>
          <w:left w:val="nil"/>
          <w:bottom w:val="nil"/>
          <w:right w:val="nil"/>
          <w:between w:val="nil"/>
        </w:pBdr>
        <w:spacing w:line="220" w:lineRule="auto"/>
        <w:jc w:val="center"/>
        <w:rPr>
          <w:color w:val="3B3838"/>
          <w:sz w:val="18"/>
          <w:szCs w:val="18"/>
          <w:highlight w:val="white"/>
        </w:rPr>
      </w:pPr>
    </w:p>
    <w:p w14:paraId="0FA0FC38" w14:textId="77777777" w:rsidR="00EF1D5F" w:rsidRDefault="00EF1D5F">
      <w:pPr>
        <w:pBdr>
          <w:top w:val="nil"/>
          <w:left w:val="nil"/>
          <w:bottom w:val="nil"/>
          <w:right w:val="nil"/>
          <w:between w:val="nil"/>
        </w:pBdr>
        <w:spacing w:line="220" w:lineRule="auto"/>
        <w:jc w:val="center"/>
        <w:rPr>
          <w:color w:val="3B3838"/>
          <w:sz w:val="18"/>
          <w:szCs w:val="18"/>
          <w:highlight w:val="white"/>
        </w:rPr>
      </w:pPr>
    </w:p>
    <w:p w14:paraId="2DF8B6ED" w14:textId="77777777" w:rsidR="00EF1D5F" w:rsidRDefault="00EF1D5F">
      <w:pPr>
        <w:pBdr>
          <w:top w:val="nil"/>
          <w:left w:val="nil"/>
          <w:bottom w:val="nil"/>
          <w:right w:val="nil"/>
          <w:between w:val="nil"/>
        </w:pBdr>
        <w:spacing w:line="220" w:lineRule="auto"/>
        <w:jc w:val="center"/>
        <w:rPr>
          <w:color w:val="3B3838"/>
          <w:sz w:val="18"/>
          <w:szCs w:val="18"/>
          <w:highlight w:val="white"/>
        </w:rPr>
      </w:pPr>
    </w:p>
    <w:p w14:paraId="398E7FFC" w14:textId="77777777" w:rsidR="00EF1D5F" w:rsidRDefault="00EF1D5F">
      <w:pPr>
        <w:pBdr>
          <w:top w:val="nil"/>
          <w:left w:val="nil"/>
          <w:bottom w:val="nil"/>
          <w:right w:val="nil"/>
          <w:between w:val="nil"/>
        </w:pBdr>
        <w:spacing w:line="220" w:lineRule="auto"/>
        <w:jc w:val="center"/>
        <w:rPr>
          <w:b/>
          <w:color w:val="3B3838"/>
          <w:sz w:val="18"/>
          <w:szCs w:val="18"/>
          <w:highlight w:val="white"/>
        </w:rPr>
      </w:pPr>
    </w:p>
    <w:p w14:paraId="231E6269" w14:textId="77777777" w:rsidR="00EF1D5F" w:rsidRDefault="00EF1D5F">
      <w:pPr>
        <w:pBdr>
          <w:top w:val="nil"/>
          <w:left w:val="nil"/>
          <w:bottom w:val="nil"/>
          <w:right w:val="nil"/>
          <w:between w:val="nil"/>
        </w:pBdr>
        <w:spacing w:line="220" w:lineRule="auto"/>
        <w:jc w:val="center"/>
        <w:rPr>
          <w:color w:val="3B3838"/>
          <w:sz w:val="18"/>
          <w:szCs w:val="18"/>
          <w:highlight w:val="white"/>
        </w:rPr>
      </w:pPr>
      <w:r>
        <w:rPr>
          <w:b/>
          <w:color w:val="3B3838"/>
          <w:sz w:val="18"/>
          <w:szCs w:val="18"/>
          <w:highlight w:val="white"/>
        </w:rPr>
        <w:t>Fuente:</w:t>
      </w:r>
      <w:r>
        <w:rPr>
          <w:color w:val="3B3838"/>
          <w:sz w:val="18"/>
          <w:szCs w:val="18"/>
          <w:highlight w:val="white"/>
        </w:rPr>
        <w:t xml:space="preserve"> Estudio de Insuficiencia y Limitaciones 2023 (Secretaría de Educación del Distrito, 2022).</w:t>
      </w:r>
    </w:p>
    <w:p w14:paraId="5FB2123C" w14:textId="77777777" w:rsidR="00EF1D5F" w:rsidRDefault="00EF1D5F">
      <w:pPr>
        <w:rPr>
          <w:highlight w:val="white"/>
        </w:rPr>
      </w:pPr>
    </w:p>
    <w:p w14:paraId="4D727B90" w14:textId="77777777" w:rsidR="00EF1D5F" w:rsidRDefault="00EF1D5F">
      <w:pPr>
        <w:rPr>
          <w:highlight w:val="white"/>
        </w:rPr>
        <w:sectPr w:rsidR="00EF1D5F" w:rsidSect="00F7078E">
          <w:type w:val="continuous"/>
          <w:pgSz w:w="12240" w:h="15840"/>
          <w:pgMar w:top="2262" w:right="1440" w:bottom="1440" w:left="1440" w:header="708" w:footer="708" w:gutter="0"/>
          <w:cols w:space="720"/>
        </w:sectPr>
      </w:pPr>
    </w:p>
    <w:p w14:paraId="3BFB0F24" w14:textId="77777777" w:rsidR="00EF1D5F" w:rsidRDefault="00EF1D5F">
      <w:pPr>
        <w:rPr>
          <w:highlight w:val="white"/>
        </w:rPr>
      </w:pPr>
      <w:r>
        <w:rPr>
          <w:highlight w:val="white"/>
        </w:rPr>
        <w:lastRenderedPageBreak/>
        <w:t>En cuanto a Integración Social, hay fallas en la disponibilidad y distribución adecuada de servicios e infraestructura social, de acuerdo con la localización y demandas actuales de la población; en parte, porque la estructuración de servicios requiere una lectura más eficiente de las situaciones coyunturales y permanentes de la ciudad generadas por el fenómeno de flujos migratorios mixtos y la pandemia por covid-19, entre otras. Esto es fundamental dado el perfil de vulnerabilidad que tienen los grupos poblacionales más atendidos: habitante de calle, víctimas de violencia en el contexto familiar y basadas en género y orientación sexual, población LGBTI, población con discapacidad y población migrante.</w:t>
      </w:r>
    </w:p>
    <w:p w14:paraId="2980AB07" w14:textId="77777777" w:rsidR="00EF1D5F" w:rsidRDefault="00EF1D5F">
      <w:pPr>
        <w:rPr>
          <w:highlight w:val="white"/>
        </w:rPr>
      </w:pPr>
    </w:p>
    <w:p w14:paraId="482DE1F1" w14:textId="77777777" w:rsidR="00EF1D5F" w:rsidRDefault="00EF1D5F">
      <w:r>
        <w:rPr>
          <w:highlight w:val="white"/>
        </w:rPr>
        <w:t xml:space="preserve">En cuanto a los equipamientos en general, más de la mitad de las localidades cuentan con </w:t>
      </w:r>
      <w:r>
        <w:rPr>
          <w:highlight w:val="white"/>
        </w:rPr>
        <w:t>m</w:t>
      </w:r>
      <w:r>
        <w:t>enos de 3,5 m</w:t>
      </w:r>
      <w:r>
        <w:rPr>
          <w:vertAlign w:val="superscript"/>
        </w:rPr>
        <w:t>2</w:t>
      </w:r>
      <w:r>
        <w:t xml:space="preserve"> de equipamientos de escala vecinal, zonal y urbana por habitante.</w:t>
      </w:r>
    </w:p>
    <w:p w14:paraId="2341AF72" w14:textId="77777777" w:rsidR="00EF1D5F" w:rsidRDefault="00EF1D5F"/>
    <w:p w14:paraId="29F47A8A" w14:textId="77777777" w:rsidR="00EF1D5F" w:rsidRDefault="00EF1D5F">
      <w:r>
        <w:t>Así mismo, se identifica un déficit en 10 de los 12 sectores de la Administración que prestan servicios sociales y del cuidado, tales como de bienestar social, educativos, de salud o administrativos (Secretaría Distrital de Planeación, 2021).</w:t>
      </w:r>
    </w:p>
    <w:p w14:paraId="230DB69C" w14:textId="77777777" w:rsidR="00EF1D5F" w:rsidRDefault="00EF1D5F"/>
    <w:p w14:paraId="6023342B" w14:textId="77777777" w:rsidR="00EF1D5F" w:rsidRDefault="00EF1D5F">
      <w:r>
        <w:t>Esto, en parte, porque un gran número de equipamientos se concentra en escalas pequeñas con una limitada incidencia en el territorio y en la población.</w:t>
      </w:r>
    </w:p>
    <w:p w14:paraId="419549FC" w14:textId="77777777" w:rsidR="00EF1D5F" w:rsidRDefault="00EF1D5F"/>
    <w:p w14:paraId="174425C3" w14:textId="75FABF9B" w:rsidR="00EF1D5F" w:rsidRDefault="00EF1D5F">
      <w:pPr>
        <w:sectPr w:rsidR="00EF1D5F" w:rsidSect="00F7078E">
          <w:type w:val="continuous"/>
          <w:pgSz w:w="12240" w:h="15840"/>
          <w:pgMar w:top="2262" w:right="1440" w:bottom="1440" w:left="1440" w:header="708" w:footer="708" w:gutter="0"/>
          <w:cols w:num="2" w:space="567"/>
        </w:sectPr>
      </w:pPr>
      <w:r>
        <w:t>A su vez, los equipamientos de mayor escala y gran incidencia en la población, donde se garantiza la concentración de variados y especializados servicios, tienen menor presencia en el territorio (</w:t>
      </w:r>
      <w:r w:rsidR="004C5043" w:rsidRPr="004C5043">
        <w:fldChar w:fldCharType="begin"/>
      </w:r>
      <w:r w:rsidR="004C5043" w:rsidRPr="004C5043">
        <w:instrText xml:space="preserve"> REF _Ref165147118 \h </w:instrText>
      </w:r>
      <w:r w:rsidR="004C5043" w:rsidRPr="004C5043">
        <w:fldChar w:fldCharType="separate"/>
      </w:r>
      <w:r w:rsidR="00D01651" w:rsidRPr="004C5043">
        <w:rPr>
          <w:color w:val="C00000"/>
          <w:sz w:val="18"/>
          <w:szCs w:val="18"/>
        </w:rPr>
        <w:t xml:space="preserve">Tabla </w:t>
      </w:r>
      <w:r w:rsidR="00D01651">
        <w:rPr>
          <w:noProof/>
          <w:color w:val="C00000"/>
          <w:sz w:val="18"/>
        </w:rPr>
        <w:t>52</w:t>
      </w:r>
      <w:r w:rsidR="004C5043" w:rsidRPr="004C5043">
        <w:fldChar w:fldCharType="end"/>
      </w:r>
      <w:r w:rsidRPr="004C5043">
        <w:t>)</w:t>
      </w:r>
      <w:r w:rsidR="004C5043" w:rsidRPr="004C5043">
        <w:t>.</w:t>
      </w:r>
    </w:p>
    <w:p w14:paraId="15801B8C" w14:textId="77777777" w:rsidR="005B593C" w:rsidRDefault="005B593C" w:rsidP="004C5043">
      <w:pPr>
        <w:pBdr>
          <w:top w:val="nil"/>
          <w:left w:val="nil"/>
          <w:bottom w:val="nil"/>
          <w:right w:val="nil"/>
          <w:between w:val="nil"/>
        </w:pBdr>
        <w:spacing w:line="220" w:lineRule="auto"/>
        <w:rPr>
          <w:b/>
          <w:color w:val="C00000"/>
          <w:sz w:val="18"/>
          <w:szCs w:val="18"/>
        </w:rPr>
      </w:pPr>
    </w:p>
    <w:p w14:paraId="78F01220" w14:textId="0948F08F" w:rsidR="00EF1D5F" w:rsidRPr="004C5043" w:rsidRDefault="004C5043" w:rsidP="004C5043">
      <w:pPr>
        <w:pStyle w:val="Descripcin"/>
        <w:jc w:val="center"/>
        <w:rPr>
          <w:color w:val="3B3838"/>
          <w:sz w:val="18"/>
        </w:rPr>
      </w:pPr>
      <w:bookmarkStart w:id="406" w:name="_Ref165147118"/>
      <w:bookmarkStart w:id="407" w:name="_Toc165169962"/>
      <w:r w:rsidRPr="004C5043">
        <w:rPr>
          <w:color w:val="C00000"/>
          <w:sz w:val="18"/>
        </w:rPr>
        <w:t xml:space="preserve">Tabla </w:t>
      </w:r>
      <w:r w:rsidRPr="004C5043">
        <w:rPr>
          <w:color w:val="C00000"/>
          <w:sz w:val="18"/>
        </w:rPr>
        <w:fldChar w:fldCharType="begin"/>
      </w:r>
      <w:r w:rsidRPr="004C5043">
        <w:rPr>
          <w:color w:val="C00000"/>
          <w:sz w:val="18"/>
        </w:rPr>
        <w:instrText xml:space="preserve"> SEQ Tabla \* ARABIC </w:instrText>
      </w:r>
      <w:r w:rsidRPr="004C5043">
        <w:rPr>
          <w:color w:val="C00000"/>
          <w:sz w:val="18"/>
        </w:rPr>
        <w:fldChar w:fldCharType="separate"/>
      </w:r>
      <w:r w:rsidR="00D01651">
        <w:rPr>
          <w:noProof/>
          <w:color w:val="C00000"/>
          <w:sz w:val="18"/>
        </w:rPr>
        <w:t>52</w:t>
      </w:r>
      <w:r w:rsidRPr="004C5043">
        <w:rPr>
          <w:color w:val="C00000"/>
          <w:sz w:val="18"/>
        </w:rPr>
        <w:fldChar w:fldCharType="end"/>
      </w:r>
      <w:bookmarkEnd w:id="406"/>
      <w:r w:rsidRPr="004C5043">
        <w:rPr>
          <w:color w:val="C00000"/>
          <w:sz w:val="18"/>
        </w:rPr>
        <w:t xml:space="preserve">. </w:t>
      </w:r>
      <w:r w:rsidR="00EF1D5F" w:rsidRPr="004C5043">
        <w:rPr>
          <w:color w:val="3B3838"/>
          <w:sz w:val="18"/>
        </w:rPr>
        <w:t>Cantidad base de equipamientos y área construida óptima por habitante general</w:t>
      </w:r>
      <w:bookmarkEnd w:id="407"/>
    </w:p>
    <w:tbl>
      <w:tblPr>
        <w:tblW w:w="9007" w:type="dxa"/>
        <w:tblBorders>
          <w:bottom w:val="double" w:sz="4" w:space="0" w:color="C00000"/>
          <w:insideH w:val="double" w:sz="4" w:space="0" w:color="C00000"/>
          <w:insideV w:val="double" w:sz="4" w:space="0" w:color="C00000"/>
        </w:tblBorders>
        <w:tblLayout w:type="fixed"/>
        <w:tblLook w:val="0000" w:firstRow="0" w:lastRow="0" w:firstColumn="0" w:lastColumn="0" w:noHBand="0" w:noVBand="0"/>
      </w:tblPr>
      <w:tblGrid>
        <w:gridCol w:w="2448"/>
        <w:gridCol w:w="2447"/>
        <w:gridCol w:w="2194"/>
        <w:gridCol w:w="1918"/>
      </w:tblGrid>
      <w:tr w:rsidR="00EF1D5F" w14:paraId="2EA8DB17" w14:textId="77777777" w:rsidTr="004C5043">
        <w:trPr>
          <w:trHeight w:val="20"/>
        </w:trPr>
        <w:tc>
          <w:tcPr>
            <w:tcW w:w="2448" w:type="dxa"/>
            <w:shd w:val="clear" w:color="auto" w:fill="C00000"/>
            <w:vAlign w:val="center"/>
          </w:tcPr>
          <w:p w14:paraId="2CF44173" w14:textId="77777777" w:rsidR="00EF1D5F" w:rsidRDefault="00EF1D5F" w:rsidP="003D4AD9">
            <w:pPr>
              <w:widowControl w:val="0"/>
              <w:pBdr>
                <w:top w:val="nil"/>
                <w:left w:val="nil"/>
                <w:bottom w:val="nil"/>
                <w:right w:val="nil"/>
                <w:between w:val="nil"/>
              </w:pBdr>
              <w:spacing w:before="30" w:line="185" w:lineRule="auto"/>
              <w:ind w:left="75" w:right="3"/>
              <w:jc w:val="left"/>
              <w:rPr>
                <w:b/>
                <w:color w:val="FFFFFF"/>
                <w:sz w:val="28"/>
                <w:szCs w:val="28"/>
              </w:rPr>
            </w:pPr>
            <w:r>
              <w:rPr>
                <w:b/>
                <w:color w:val="FFFFFF"/>
                <w:sz w:val="28"/>
                <w:szCs w:val="28"/>
              </w:rPr>
              <w:t>Sector</w:t>
            </w:r>
          </w:p>
        </w:tc>
        <w:tc>
          <w:tcPr>
            <w:tcW w:w="2447" w:type="dxa"/>
            <w:shd w:val="clear" w:color="auto" w:fill="C00000"/>
            <w:vAlign w:val="center"/>
          </w:tcPr>
          <w:p w14:paraId="317F9AF1" w14:textId="77777777" w:rsidR="00EF1D5F" w:rsidRDefault="00EF1D5F" w:rsidP="003D4AD9">
            <w:pPr>
              <w:jc w:val="center"/>
              <w:rPr>
                <w:b/>
                <w:color w:val="FFFFFF"/>
              </w:rPr>
            </w:pPr>
            <w:r>
              <w:rPr>
                <w:b/>
                <w:color w:val="FFFFFF"/>
              </w:rPr>
              <w:t>m</w:t>
            </w:r>
            <w:r>
              <w:rPr>
                <w:b/>
                <w:color w:val="FFFFFF"/>
                <w:vertAlign w:val="superscript"/>
              </w:rPr>
              <w:t>2</w:t>
            </w:r>
            <w:r>
              <w:rPr>
                <w:b/>
                <w:color w:val="FFFFFF"/>
              </w:rPr>
              <w:t xml:space="preserve"> construidos óptimos</w:t>
            </w:r>
          </w:p>
          <w:p w14:paraId="0767D1F1" w14:textId="77777777" w:rsidR="00EF1D5F" w:rsidRDefault="00EF1D5F" w:rsidP="003D4AD9">
            <w:pPr>
              <w:jc w:val="center"/>
              <w:rPr>
                <w:b/>
                <w:color w:val="FFFFFF"/>
                <w:sz w:val="24"/>
              </w:rPr>
            </w:pPr>
            <w:r>
              <w:rPr>
                <w:b/>
                <w:color w:val="FFFFFF"/>
              </w:rPr>
              <w:t>por equipamiento</w:t>
            </w:r>
          </w:p>
        </w:tc>
        <w:tc>
          <w:tcPr>
            <w:tcW w:w="2194" w:type="dxa"/>
            <w:shd w:val="clear" w:color="auto" w:fill="C00000"/>
            <w:vAlign w:val="center"/>
          </w:tcPr>
          <w:p w14:paraId="34EDBB7B" w14:textId="77777777" w:rsidR="00EF1D5F" w:rsidRDefault="00EF1D5F" w:rsidP="003D4AD9">
            <w:pPr>
              <w:jc w:val="center"/>
              <w:rPr>
                <w:b/>
                <w:color w:val="FFFFFF"/>
              </w:rPr>
            </w:pPr>
            <w:r>
              <w:rPr>
                <w:b/>
                <w:color w:val="FFFFFF"/>
              </w:rPr>
              <w:t>Cantidad equipamientos cada 100 mil habitantes</w:t>
            </w:r>
          </w:p>
        </w:tc>
        <w:tc>
          <w:tcPr>
            <w:tcW w:w="1918" w:type="dxa"/>
            <w:shd w:val="clear" w:color="auto" w:fill="C00000"/>
            <w:vAlign w:val="center"/>
          </w:tcPr>
          <w:p w14:paraId="1F3E289D" w14:textId="77777777" w:rsidR="00EF1D5F" w:rsidRDefault="00EF1D5F" w:rsidP="003D4AD9">
            <w:pPr>
              <w:jc w:val="center"/>
              <w:rPr>
                <w:b/>
                <w:color w:val="FFFFFF"/>
              </w:rPr>
            </w:pPr>
            <w:r>
              <w:rPr>
                <w:b/>
                <w:color w:val="FFFFFF"/>
              </w:rPr>
              <w:t>m</w:t>
            </w:r>
            <w:r>
              <w:rPr>
                <w:b/>
                <w:color w:val="FFFFFF"/>
                <w:vertAlign w:val="superscript"/>
              </w:rPr>
              <w:t>2</w:t>
            </w:r>
            <w:r>
              <w:rPr>
                <w:b/>
                <w:color w:val="FFFFFF"/>
              </w:rPr>
              <w:t xml:space="preserve"> construidos cada 100 mil habitantes</w:t>
            </w:r>
          </w:p>
        </w:tc>
      </w:tr>
      <w:tr w:rsidR="00EF1D5F" w14:paraId="397FF598" w14:textId="77777777" w:rsidTr="004C5043">
        <w:trPr>
          <w:trHeight w:val="20"/>
        </w:trPr>
        <w:tc>
          <w:tcPr>
            <w:tcW w:w="2448" w:type="dxa"/>
            <w:vAlign w:val="center"/>
          </w:tcPr>
          <w:p w14:paraId="1EE9C2D8" w14:textId="77777777" w:rsidR="00EF1D5F" w:rsidRPr="00C5122E" w:rsidRDefault="00EF1D5F" w:rsidP="003D4AD9">
            <w:pPr>
              <w:widowControl w:val="0"/>
              <w:pBdr>
                <w:top w:val="nil"/>
                <w:left w:val="nil"/>
                <w:bottom w:val="nil"/>
                <w:right w:val="nil"/>
                <w:between w:val="nil"/>
              </w:pBdr>
              <w:spacing w:before="20" w:line="167" w:lineRule="auto"/>
              <w:ind w:left="75" w:right="23"/>
              <w:jc w:val="left"/>
              <w:rPr>
                <w:b/>
                <w:color w:val="3B3838"/>
                <w:sz w:val="16"/>
                <w:szCs w:val="16"/>
              </w:rPr>
            </w:pPr>
            <w:r w:rsidRPr="00C5122E">
              <w:rPr>
                <w:b/>
                <w:color w:val="3B3838"/>
                <w:sz w:val="16"/>
                <w:szCs w:val="16"/>
              </w:rPr>
              <w:t>Abastecimiento</w:t>
            </w:r>
          </w:p>
        </w:tc>
        <w:tc>
          <w:tcPr>
            <w:tcW w:w="2447" w:type="dxa"/>
            <w:vAlign w:val="center"/>
          </w:tcPr>
          <w:p w14:paraId="08E4A8DF" w14:textId="77777777" w:rsidR="00EF1D5F" w:rsidRPr="00C5122E" w:rsidRDefault="00EF1D5F" w:rsidP="003D4AD9">
            <w:pPr>
              <w:widowControl w:val="0"/>
              <w:pBdr>
                <w:top w:val="nil"/>
                <w:left w:val="nil"/>
                <w:bottom w:val="nil"/>
                <w:right w:val="nil"/>
                <w:between w:val="nil"/>
              </w:pBdr>
              <w:spacing w:before="2" w:line="185" w:lineRule="auto"/>
              <w:ind w:left="86" w:right="10"/>
              <w:jc w:val="right"/>
              <w:rPr>
                <w:color w:val="3B3838"/>
                <w:sz w:val="16"/>
                <w:szCs w:val="16"/>
              </w:rPr>
            </w:pPr>
            <w:r w:rsidRPr="00C5122E">
              <w:rPr>
                <w:color w:val="3B3838"/>
                <w:sz w:val="16"/>
                <w:szCs w:val="16"/>
              </w:rPr>
              <w:t>2.000</w:t>
            </w:r>
          </w:p>
        </w:tc>
        <w:tc>
          <w:tcPr>
            <w:tcW w:w="2194" w:type="dxa"/>
            <w:vAlign w:val="center"/>
          </w:tcPr>
          <w:p w14:paraId="472F22AA" w14:textId="77777777" w:rsidR="00EF1D5F" w:rsidRPr="00C5122E" w:rsidRDefault="00EF1D5F" w:rsidP="003D4AD9">
            <w:pPr>
              <w:widowControl w:val="0"/>
              <w:pBdr>
                <w:top w:val="nil"/>
                <w:left w:val="nil"/>
                <w:bottom w:val="nil"/>
                <w:right w:val="nil"/>
                <w:between w:val="nil"/>
              </w:pBdr>
              <w:spacing w:before="12" w:line="175" w:lineRule="auto"/>
              <w:ind w:left="39" w:right="15"/>
              <w:jc w:val="right"/>
              <w:rPr>
                <w:color w:val="3B3838"/>
                <w:sz w:val="16"/>
                <w:szCs w:val="16"/>
              </w:rPr>
            </w:pPr>
            <w:r w:rsidRPr="00C5122E">
              <w:rPr>
                <w:color w:val="3B3838"/>
                <w:sz w:val="16"/>
                <w:szCs w:val="16"/>
              </w:rPr>
              <w:t>2</w:t>
            </w:r>
          </w:p>
        </w:tc>
        <w:tc>
          <w:tcPr>
            <w:tcW w:w="1918" w:type="dxa"/>
            <w:vAlign w:val="center"/>
          </w:tcPr>
          <w:p w14:paraId="7651C1AD" w14:textId="77777777" w:rsidR="00EF1D5F" w:rsidRPr="00C5122E" w:rsidRDefault="00EF1D5F" w:rsidP="003D4AD9">
            <w:pPr>
              <w:widowControl w:val="0"/>
              <w:pBdr>
                <w:top w:val="nil"/>
                <w:left w:val="nil"/>
                <w:bottom w:val="nil"/>
                <w:right w:val="nil"/>
                <w:between w:val="nil"/>
              </w:pBdr>
              <w:spacing w:before="2" w:line="185" w:lineRule="auto"/>
              <w:ind w:left="40" w:right="2"/>
              <w:jc w:val="right"/>
              <w:rPr>
                <w:color w:val="3B3838"/>
                <w:sz w:val="16"/>
                <w:szCs w:val="16"/>
              </w:rPr>
            </w:pPr>
            <w:r w:rsidRPr="00C5122E">
              <w:rPr>
                <w:color w:val="3B3838"/>
                <w:sz w:val="16"/>
                <w:szCs w:val="16"/>
              </w:rPr>
              <w:t>4.000</w:t>
            </w:r>
          </w:p>
        </w:tc>
      </w:tr>
      <w:tr w:rsidR="00EF1D5F" w14:paraId="76DDF819" w14:textId="77777777" w:rsidTr="004C5043">
        <w:trPr>
          <w:trHeight w:val="20"/>
        </w:trPr>
        <w:tc>
          <w:tcPr>
            <w:tcW w:w="2448" w:type="dxa"/>
            <w:vAlign w:val="center"/>
          </w:tcPr>
          <w:p w14:paraId="7CFDA9D9" w14:textId="77777777" w:rsidR="00EF1D5F" w:rsidRPr="00C5122E" w:rsidRDefault="00EF1D5F" w:rsidP="003D4AD9">
            <w:pPr>
              <w:widowControl w:val="0"/>
              <w:pBdr>
                <w:top w:val="nil"/>
                <w:left w:val="nil"/>
                <w:bottom w:val="nil"/>
                <w:right w:val="nil"/>
                <w:between w:val="nil"/>
              </w:pBdr>
              <w:spacing w:before="30" w:line="167" w:lineRule="auto"/>
              <w:ind w:left="75" w:right="6"/>
              <w:jc w:val="left"/>
              <w:rPr>
                <w:b/>
                <w:color w:val="3B3838"/>
                <w:sz w:val="16"/>
                <w:szCs w:val="16"/>
              </w:rPr>
            </w:pPr>
            <w:r w:rsidRPr="00C5122E">
              <w:rPr>
                <w:b/>
                <w:color w:val="3B3838"/>
                <w:sz w:val="16"/>
                <w:szCs w:val="16"/>
              </w:rPr>
              <w:t>Cultura</w:t>
            </w:r>
          </w:p>
        </w:tc>
        <w:tc>
          <w:tcPr>
            <w:tcW w:w="2447" w:type="dxa"/>
            <w:vAlign w:val="center"/>
          </w:tcPr>
          <w:p w14:paraId="2A69DDAC" w14:textId="77777777" w:rsidR="00EF1D5F" w:rsidRPr="00C5122E" w:rsidRDefault="00EF1D5F" w:rsidP="003D4AD9">
            <w:pPr>
              <w:widowControl w:val="0"/>
              <w:pBdr>
                <w:top w:val="nil"/>
                <w:left w:val="nil"/>
                <w:bottom w:val="nil"/>
                <w:right w:val="nil"/>
                <w:between w:val="nil"/>
              </w:pBdr>
              <w:spacing w:before="12" w:line="185" w:lineRule="auto"/>
              <w:ind w:left="86" w:right="13"/>
              <w:jc w:val="right"/>
              <w:rPr>
                <w:color w:val="3B3838"/>
                <w:sz w:val="16"/>
                <w:szCs w:val="16"/>
              </w:rPr>
            </w:pPr>
            <w:r w:rsidRPr="00C5122E">
              <w:rPr>
                <w:color w:val="3B3838"/>
                <w:sz w:val="16"/>
                <w:szCs w:val="16"/>
              </w:rPr>
              <w:t>3.000</w:t>
            </w:r>
          </w:p>
        </w:tc>
        <w:tc>
          <w:tcPr>
            <w:tcW w:w="2194" w:type="dxa"/>
            <w:vAlign w:val="center"/>
          </w:tcPr>
          <w:p w14:paraId="3A69E26E" w14:textId="77777777" w:rsidR="00EF1D5F" w:rsidRPr="00C5122E" w:rsidRDefault="00EF1D5F" w:rsidP="003D4AD9">
            <w:pPr>
              <w:widowControl w:val="0"/>
              <w:pBdr>
                <w:top w:val="nil"/>
                <w:left w:val="nil"/>
                <w:bottom w:val="nil"/>
                <w:right w:val="nil"/>
                <w:between w:val="nil"/>
              </w:pBdr>
              <w:spacing w:before="12" w:line="185" w:lineRule="auto"/>
              <w:ind w:left="39" w:right="12"/>
              <w:jc w:val="right"/>
              <w:rPr>
                <w:color w:val="3B3838"/>
                <w:sz w:val="16"/>
                <w:szCs w:val="16"/>
              </w:rPr>
            </w:pPr>
            <w:r w:rsidRPr="00C5122E">
              <w:rPr>
                <w:color w:val="3B3838"/>
                <w:sz w:val="16"/>
                <w:szCs w:val="16"/>
              </w:rPr>
              <w:t>4</w:t>
            </w:r>
          </w:p>
        </w:tc>
        <w:tc>
          <w:tcPr>
            <w:tcW w:w="1918" w:type="dxa"/>
            <w:vAlign w:val="center"/>
          </w:tcPr>
          <w:p w14:paraId="0B2072BA" w14:textId="77777777" w:rsidR="00EF1D5F" w:rsidRPr="00C5122E" w:rsidRDefault="00EF1D5F" w:rsidP="003D4AD9">
            <w:pPr>
              <w:widowControl w:val="0"/>
              <w:pBdr>
                <w:top w:val="nil"/>
                <w:left w:val="nil"/>
                <w:bottom w:val="nil"/>
                <w:right w:val="nil"/>
                <w:between w:val="nil"/>
              </w:pBdr>
              <w:spacing w:before="12" w:line="185" w:lineRule="auto"/>
              <w:ind w:left="40" w:right="23"/>
              <w:jc w:val="right"/>
              <w:rPr>
                <w:color w:val="3B3838"/>
                <w:sz w:val="16"/>
                <w:szCs w:val="16"/>
              </w:rPr>
            </w:pPr>
            <w:r w:rsidRPr="00C5122E">
              <w:rPr>
                <w:color w:val="3B3838"/>
                <w:sz w:val="16"/>
                <w:szCs w:val="16"/>
              </w:rPr>
              <w:t>12.000</w:t>
            </w:r>
          </w:p>
        </w:tc>
      </w:tr>
      <w:tr w:rsidR="00EF1D5F" w14:paraId="4E7EC94A" w14:textId="77777777" w:rsidTr="004C5043">
        <w:trPr>
          <w:trHeight w:val="20"/>
        </w:trPr>
        <w:tc>
          <w:tcPr>
            <w:tcW w:w="2448" w:type="dxa"/>
            <w:vAlign w:val="center"/>
          </w:tcPr>
          <w:p w14:paraId="3C83CF91" w14:textId="77777777" w:rsidR="00EF1D5F" w:rsidRPr="00C5122E" w:rsidRDefault="00EF1D5F" w:rsidP="003D4AD9">
            <w:pPr>
              <w:widowControl w:val="0"/>
              <w:pBdr>
                <w:top w:val="nil"/>
                <w:left w:val="nil"/>
                <w:bottom w:val="nil"/>
                <w:right w:val="nil"/>
                <w:between w:val="nil"/>
              </w:pBdr>
              <w:spacing w:before="22" w:line="175" w:lineRule="auto"/>
              <w:ind w:left="75" w:right="11"/>
              <w:jc w:val="left"/>
              <w:rPr>
                <w:b/>
                <w:i/>
                <w:color w:val="3B3838"/>
                <w:sz w:val="16"/>
                <w:szCs w:val="16"/>
              </w:rPr>
            </w:pPr>
            <w:r w:rsidRPr="00C5122E">
              <w:rPr>
                <w:b/>
                <w:color w:val="3B3838"/>
                <w:sz w:val="16"/>
                <w:szCs w:val="16"/>
              </w:rPr>
              <w:t xml:space="preserve">Educación </w:t>
            </w:r>
            <w:r w:rsidRPr="00C5122E">
              <w:rPr>
                <w:i/>
                <w:color w:val="3B3838"/>
                <w:sz w:val="16"/>
                <w:szCs w:val="16"/>
              </w:rPr>
              <w:t>(preescolar, básica, media y técnica)</w:t>
            </w:r>
          </w:p>
        </w:tc>
        <w:tc>
          <w:tcPr>
            <w:tcW w:w="2447" w:type="dxa"/>
            <w:vAlign w:val="center"/>
          </w:tcPr>
          <w:p w14:paraId="27BECA84" w14:textId="77777777" w:rsidR="00EF1D5F" w:rsidRPr="00C5122E" w:rsidRDefault="00EF1D5F" w:rsidP="003D4AD9">
            <w:pPr>
              <w:widowControl w:val="0"/>
              <w:pBdr>
                <w:top w:val="nil"/>
                <w:left w:val="nil"/>
                <w:bottom w:val="nil"/>
                <w:right w:val="nil"/>
                <w:between w:val="nil"/>
              </w:pBdr>
              <w:spacing w:before="22" w:line="175" w:lineRule="auto"/>
              <w:ind w:left="86" w:right="15"/>
              <w:jc w:val="right"/>
              <w:rPr>
                <w:color w:val="3B3838"/>
                <w:sz w:val="16"/>
                <w:szCs w:val="16"/>
              </w:rPr>
            </w:pPr>
            <w:r w:rsidRPr="00C5122E">
              <w:rPr>
                <w:color w:val="3B3838"/>
                <w:sz w:val="16"/>
                <w:szCs w:val="16"/>
              </w:rPr>
              <w:t>10.266</w:t>
            </w:r>
          </w:p>
        </w:tc>
        <w:tc>
          <w:tcPr>
            <w:tcW w:w="2194" w:type="dxa"/>
            <w:vAlign w:val="center"/>
          </w:tcPr>
          <w:p w14:paraId="5D6BDF73" w14:textId="77777777" w:rsidR="00EF1D5F" w:rsidRPr="00C5122E" w:rsidRDefault="00EF1D5F" w:rsidP="003D4AD9">
            <w:pPr>
              <w:widowControl w:val="0"/>
              <w:pBdr>
                <w:top w:val="nil"/>
                <w:left w:val="nil"/>
                <w:bottom w:val="nil"/>
                <w:right w:val="nil"/>
                <w:between w:val="nil"/>
              </w:pBdr>
              <w:spacing w:before="22" w:line="175" w:lineRule="auto"/>
              <w:ind w:left="39" w:right="28"/>
              <w:jc w:val="right"/>
              <w:rPr>
                <w:color w:val="3B3838"/>
                <w:sz w:val="16"/>
                <w:szCs w:val="16"/>
              </w:rPr>
            </w:pPr>
            <w:r w:rsidRPr="00C5122E">
              <w:rPr>
                <w:color w:val="3B3838"/>
                <w:sz w:val="16"/>
                <w:szCs w:val="16"/>
              </w:rPr>
              <w:t>18,31</w:t>
            </w:r>
          </w:p>
        </w:tc>
        <w:tc>
          <w:tcPr>
            <w:tcW w:w="1918" w:type="dxa"/>
            <w:vAlign w:val="center"/>
          </w:tcPr>
          <w:p w14:paraId="0E683325" w14:textId="77777777" w:rsidR="00EF1D5F" w:rsidRPr="00C5122E" w:rsidRDefault="00EF1D5F" w:rsidP="003D4AD9">
            <w:pPr>
              <w:widowControl w:val="0"/>
              <w:pBdr>
                <w:top w:val="nil"/>
                <w:left w:val="nil"/>
                <w:bottom w:val="nil"/>
                <w:right w:val="nil"/>
                <w:between w:val="nil"/>
              </w:pBdr>
              <w:spacing w:before="22" w:line="175" w:lineRule="auto"/>
              <w:ind w:left="40" w:right="15"/>
              <w:jc w:val="right"/>
              <w:rPr>
                <w:color w:val="3B3838"/>
                <w:sz w:val="16"/>
                <w:szCs w:val="16"/>
              </w:rPr>
            </w:pPr>
            <w:r w:rsidRPr="00C5122E">
              <w:rPr>
                <w:color w:val="3B3838"/>
                <w:sz w:val="16"/>
                <w:szCs w:val="16"/>
              </w:rPr>
              <w:t>188.000</w:t>
            </w:r>
          </w:p>
        </w:tc>
      </w:tr>
      <w:tr w:rsidR="00EF1D5F" w14:paraId="69525A22" w14:textId="77777777" w:rsidTr="004C5043">
        <w:trPr>
          <w:trHeight w:val="20"/>
        </w:trPr>
        <w:tc>
          <w:tcPr>
            <w:tcW w:w="2448" w:type="dxa"/>
            <w:vAlign w:val="center"/>
          </w:tcPr>
          <w:p w14:paraId="70FCF438" w14:textId="77777777" w:rsidR="00EF1D5F" w:rsidRPr="00C5122E" w:rsidRDefault="00EF1D5F" w:rsidP="003D4AD9">
            <w:pPr>
              <w:widowControl w:val="0"/>
              <w:pBdr>
                <w:top w:val="nil"/>
                <w:left w:val="nil"/>
                <w:bottom w:val="nil"/>
                <w:right w:val="nil"/>
                <w:between w:val="nil"/>
              </w:pBdr>
              <w:spacing w:before="30" w:line="167" w:lineRule="auto"/>
              <w:ind w:left="75" w:right="10"/>
              <w:jc w:val="left"/>
              <w:rPr>
                <w:b/>
                <w:i/>
                <w:color w:val="3B3838"/>
                <w:sz w:val="16"/>
                <w:szCs w:val="16"/>
              </w:rPr>
            </w:pPr>
            <w:r w:rsidRPr="00C5122E">
              <w:rPr>
                <w:b/>
                <w:color w:val="3B3838"/>
                <w:sz w:val="16"/>
                <w:szCs w:val="16"/>
              </w:rPr>
              <w:t xml:space="preserve">Educación </w:t>
            </w:r>
            <w:r w:rsidRPr="00C5122E">
              <w:rPr>
                <w:i/>
                <w:color w:val="3B3838"/>
                <w:sz w:val="16"/>
                <w:szCs w:val="16"/>
              </w:rPr>
              <w:t>(superior)</w:t>
            </w:r>
          </w:p>
        </w:tc>
        <w:tc>
          <w:tcPr>
            <w:tcW w:w="2447" w:type="dxa"/>
            <w:vAlign w:val="center"/>
          </w:tcPr>
          <w:p w14:paraId="33320E77" w14:textId="77777777" w:rsidR="00EF1D5F" w:rsidRPr="00C5122E" w:rsidRDefault="00EF1D5F" w:rsidP="003D4AD9">
            <w:pPr>
              <w:widowControl w:val="0"/>
              <w:pBdr>
                <w:top w:val="nil"/>
                <w:left w:val="nil"/>
                <w:bottom w:val="nil"/>
                <w:right w:val="nil"/>
                <w:between w:val="nil"/>
              </w:pBdr>
              <w:spacing w:before="22" w:line="175" w:lineRule="auto"/>
              <w:ind w:left="86" w:right="34"/>
              <w:jc w:val="right"/>
              <w:rPr>
                <w:color w:val="3B3838"/>
                <w:sz w:val="16"/>
                <w:szCs w:val="16"/>
              </w:rPr>
            </w:pPr>
            <w:r w:rsidRPr="00C5122E">
              <w:rPr>
                <w:color w:val="3B3838"/>
                <w:sz w:val="16"/>
                <w:szCs w:val="16"/>
              </w:rPr>
              <w:t>10.575</w:t>
            </w:r>
          </w:p>
        </w:tc>
        <w:tc>
          <w:tcPr>
            <w:tcW w:w="2194" w:type="dxa"/>
            <w:vAlign w:val="center"/>
          </w:tcPr>
          <w:p w14:paraId="2261CA77" w14:textId="77777777" w:rsidR="00EF1D5F" w:rsidRPr="00C5122E" w:rsidRDefault="00EF1D5F" w:rsidP="003D4AD9">
            <w:pPr>
              <w:widowControl w:val="0"/>
              <w:pBdr>
                <w:top w:val="nil"/>
                <w:left w:val="nil"/>
                <w:bottom w:val="nil"/>
                <w:right w:val="nil"/>
                <w:between w:val="nil"/>
              </w:pBdr>
              <w:spacing w:before="12" w:line="185" w:lineRule="auto"/>
              <w:ind w:left="39" w:right="23"/>
              <w:jc w:val="right"/>
              <w:rPr>
                <w:color w:val="3B3838"/>
                <w:sz w:val="16"/>
                <w:szCs w:val="16"/>
              </w:rPr>
            </w:pPr>
            <w:r w:rsidRPr="00C5122E">
              <w:rPr>
                <w:color w:val="3B3838"/>
                <w:sz w:val="16"/>
                <w:szCs w:val="16"/>
              </w:rPr>
              <w:t>0,17</w:t>
            </w:r>
          </w:p>
        </w:tc>
        <w:tc>
          <w:tcPr>
            <w:tcW w:w="1918" w:type="dxa"/>
            <w:vAlign w:val="center"/>
          </w:tcPr>
          <w:p w14:paraId="1CA10BE7" w14:textId="77777777" w:rsidR="00EF1D5F" w:rsidRPr="00C5122E" w:rsidRDefault="00EF1D5F" w:rsidP="003D4AD9">
            <w:pPr>
              <w:widowControl w:val="0"/>
              <w:pBdr>
                <w:top w:val="nil"/>
                <w:left w:val="nil"/>
                <w:bottom w:val="nil"/>
                <w:right w:val="nil"/>
                <w:between w:val="nil"/>
              </w:pBdr>
              <w:spacing w:before="22" w:line="175" w:lineRule="auto"/>
              <w:ind w:left="40" w:right="3"/>
              <w:jc w:val="right"/>
              <w:rPr>
                <w:color w:val="3B3838"/>
                <w:sz w:val="16"/>
                <w:szCs w:val="16"/>
              </w:rPr>
            </w:pPr>
            <w:r w:rsidRPr="00C5122E">
              <w:rPr>
                <w:color w:val="3B3838"/>
                <w:sz w:val="16"/>
                <w:szCs w:val="16"/>
              </w:rPr>
              <w:t>1.798</w:t>
            </w:r>
          </w:p>
        </w:tc>
      </w:tr>
      <w:tr w:rsidR="00EF1D5F" w14:paraId="5F2E8858" w14:textId="77777777" w:rsidTr="004C5043">
        <w:trPr>
          <w:trHeight w:val="20"/>
        </w:trPr>
        <w:tc>
          <w:tcPr>
            <w:tcW w:w="2448" w:type="dxa"/>
            <w:vAlign w:val="center"/>
          </w:tcPr>
          <w:p w14:paraId="1758B38E" w14:textId="77777777" w:rsidR="00EF1D5F" w:rsidRPr="00C5122E" w:rsidRDefault="00EF1D5F" w:rsidP="003D4AD9">
            <w:pPr>
              <w:widowControl w:val="0"/>
              <w:pBdr>
                <w:top w:val="nil"/>
                <w:left w:val="nil"/>
                <w:bottom w:val="nil"/>
                <w:right w:val="nil"/>
                <w:between w:val="nil"/>
              </w:pBdr>
              <w:spacing w:before="30" w:line="177" w:lineRule="auto"/>
              <w:ind w:left="75" w:right="10"/>
              <w:jc w:val="left"/>
              <w:rPr>
                <w:b/>
                <w:color w:val="3B3838"/>
                <w:sz w:val="16"/>
                <w:szCs w:val="16"/>
              </w:rPr>
            </w:pPr>
            <w:r w:rsidRPr="00C5122E">
              <w:rPr>
                <w:b/>
                <w:color w:val="3B3838"/>
                <w:sz w:val="16"/>
                <w:szCs w:val="16"/>
              </w:rPr>
              <w:t>Participación</w:t>
            </w:r>
          </w:p>
        </w:tc>
        <w:tc>
          <w:tcPr>
            <w:tcW w:w="2447" w:type="dxa"/>
            <w:vAlign w:val="center"/>
          </w:tcPr>
          <w:p w14:paraId="40ED02F6" w14:textId="77777777" w:rsidR="00EF1D5F" w:rsidRPr="00C5122E" w:rsidRDefault="00EF1D5F" w:rsidP="003D4AD9">
            <w:pPr>
              <w:widowControl w:val="0"/>
              <w:pBdr>
                <w:top w:val="nil"/>
                <w:left w:val="nil"/>
                <w:bottom w:val="nil"/>
                <w:right w:val="nil"/>
                <w:between w:val="nil"/>
              </w:pBdr>
              <w:spacing w:before="22" w:line="185" w:lineRule="auto"/>
              <w:ind w:left="86"/>
              <w:jc w:val="right"/>
              <w:rPr>
                <w:color w:val="3B3838"/>
                <w:sz w:val="16"/>
                <w:szCs w:val="16"/>
              </w:rPr>
            </w:pPr>
            <w:r w:rsidRPr="00C5122E">
              <w:rPr>
                <w:color w:val="3B3838"/>
                <w:sz w:val="16"/>
                <w:szCs w:val="16"/>
              </w:rPr>
              <w:t>500</w:t>
            </w:r>
          </w:p>
        </w:tc>
        <w:tc>
          <w:tcPr>
            <w:tcW w:w="2194" w:type="dxa"/>
            <w:vAlign w:val="center"/>
          </w:tcPr>
          <w:p w14:paraId="5F976FEE" w14:textId="77777777" w:rsidR="00EF1D5F" w:rsidRPr="00C5122E" w:rsidRDefault="00EF1D5F" w:rsidP="003D4AD9">
            <w:pPr>
              <w:widowControl w:val="0"/>
              <w:pBdr>
                <w:top w:val="nil"/>
                <w:left w:val="nil"/>
                <w:bottom w:val="nil"/>
                <w:right w:val="nil"/>
                <w:between w:val="nil"/>
              </w:pBdr>
              <w:spacing w:before="40" w:line="167" w:lineRule="auto"/>
              <w:ind w:left="39" w:right="17"/>
              <w:jc w:val="right"/>
              <w:rPr>
                <w:color w:val="3B3838"/>
                <w:sz w:val="16"/>
                <w:szCs w:val="16"/>
              </w:rPr>
            </w:pPr>
            <w:r w:rsidRPr="00C5122E">
              <w:rPr>
                <w:color w:val="3B3838"/>
                <w:sz w:val="16"/>
                <w:szCs w:val="16"/>
              </w:rPr>
              <w:t>11</w:t>
            </w:r>
          </w:p>
        </w:tc>
        <w:tc>
          <w:tcPr>
            <w:tcW w:w="1918" w:type="dxa"/>
            <w:vAlign w:val="center"/>
          </w:tcPr>
          <w:p w14:paraId="4FADF220" w14:textId="77777777" w:rsidR="00EF1D5F" w:rsidRPr="00C5122E" w:rsidRDefault="00EF1D5F" w:rsidP="003D4AD9">
            <w:pPr>
              <w:widowControl w:val="0"/>
              <w:pBdr>
                <w:top w:val="nil"/>
                <w:left w:val="nil"/>
                <w:bottom w:val="nil"/>
                <w:right w:val="nil"/>
                <w:between w:val="nil"/>
              </w:pBdr>
              <w:spacing w:before="12" w:line="195" w:lineRule="auto"/>
              <w:ind w:left="40" w:right="6"/>
              <w:jc w:val="right"/>
              <w:rPr>
                <w:color w:val="3B3838"/>
                <w:sz w:val="16"/>
                <w:szCs w:val="16"/>
              </w:rPr>
            </w:pPr>
            <w:r w:rsidRPr="00C5122E">
              <w:rPr>
                <w:color w:val="3B3838"/>
                <w:sz w:val="16"/>
                <w:szCs w:val="16"/>
              </w:rPr>
              <w:t>5.500</w:t>
            </w:r>
          </w:p>
        </w:tc>
      </w:tr>
      <w:tr w:rsidR="00EF1D5F" w14:paraId="08C15610" w14:textId="77777777" w:rsidTr="004C5043">
        <w:trPr>
          <w:trHeight w:val="20"/>
        </w:trPr>
        <w:tc>
          <w:tcPr>
            <w:tcW w:w="2448" w:type="dxa"/>
            <w:vAlign w:val="center"/>
          </w:tcPr>
          <w:p w14:paraId="17318631" w14:textId="77777777" w:rsidR="00EF1D5F" w:rsidRPr="00C5122E" w:rsidRDefault="00EF1D5F" w:rsidP="003D4AD9">
            <w:pPr>
              <w:widowControl w:val="0"/>
              <w:pBdr>
                <w:top w:val="nil"/>
                <w:left w:val="nil"/>
                <w:bottom w:val="nil"/>
                <w:right w:val="nil"/>
                <w:between w:val="nil"/>
              </w:pBdr>
              <w:spacing w:before="11" w:line="186" w:lineRule="auto"/>
              <w:ind w:left="75" w:right="9"/>
              <w:jc w:val="left"/>
              <w:rPr>
                <w:b/>
                <w:color w:val="3B3838"/>
                <w:sz w:val="16"/>
                <w:szCs w:val="16"/>
              </w:rPr>
            </w:pPr>
            <w:r w:rsidRPr="00C5122E">
              <w:rPr>
                <w:b/>
                <w:color w:val="3B3838"/>
                <w:sz w:val="16"/>
                <w:szCs w:val="16"/>
              </w:rPr>
              <w:t>Mujer</w:t>
            </w:r>
          </w:p>
        </w:tc>
        <w:tc>
          <w:tcPr>
            <w:tcW w:w="2447" w:type="dxa"/>
            <w:vAlign w:val="center"/>
          </w:tcPr>
          <w:p w14:paraId="61F5C0B1" w14:textId="77777777" w:rsidR="00EF1D5F" w:rsidRPr="00C5122E" w:rsidRDefault="00EF1D5F" w:rsidP="003D4AD9">
            <w:pPr>
              <w:widowControl w:val="0"/>
              <w:pBdr>
                <w:top w:val="nil"/>
                <w:left w:val="nil"/>
                <w:bottom w:val="nil"/>
                <w:right w:val="nil"/>
                <w:between w:val="nil"/>
              </w:pBdr>
              <w:spacing w:before="12" w:line="185" w:lineRule="auto"/>
              <w:ind w:left="86" w:right="18"/>
              <w:jc w:val="right"/>
              <w:rPr>
                <w:color w:val="3B3838"/>
                <w:sz w:val="16"/>
                <w:szCs w:val="16"/>
              </w:rPr>
            </w:pPr>
            <w:r w:rsidRPr="00C5122E">
              <w:rPr>
                <w:color w:val="3B3838"/>
                <w:sz w:val="16"/>
                <w:szCs w:val="16"/>
              </w:rPr>
              <w:t>1.650</w:t>
            </w:r>
          </w:p>
        </w:tc>
        <w:tc>
          <w:tcPr>
            <w:tcW w:w="2194" w:type="dxa"/>
            <w:vAlign w:val="center"/>
          </w:tcPr>
          <w:p w14:paraId="2BEE3DAA" w14:textId="77777777" w:rsidR="00EF1D5F" w:rsidRPr="00C5122E" w:rsidRDefault="00EF1D5F" w:rsidP="003D4AD9">
            <w:pPr>
              <w:widowControl w:val="0"/>
              <w:pBdr>
                <w:top w:val="nil"/>
                <w:left w:val="nil"/>
                <w:bottom w:val="nil"/>
                <w:right w:val="nil"/>
                <w:between w:val="nil"/>
              </w:pBdr>
              <w:spacing w:before="12" w:line="185" w:lineRule="auto"/>
              <w:ind w:left="39" w:right="23"/>
              <w:jc w:val="right"/>
              <w:rPr>
                <w:color w:val="3B3838"/>
                <w:sz w:val="16"/>
                <w:szCs w:val="16"/>
              </w:rPr>
            </w:pPr>
            <w:r w:rsidRPr="00C5122E">
              <w:rPr>
                <w:color w:val="3B3838"/>
                <w:sz w:val="16"/>
                <w:szCs w:val="16"/>
              </w:rPr>
              <w:t>0,46</w:t>
            </w:r>
          </w:p>
        </w:tc>
        <w:tc>
          <w:tcPr>
            <w:tcW w:w="1918" w:type="dxa"/>
            <w:vAlign w:val="center"/>
          </w:tcPr>
          <w:p w14:paraId="6DC063CB" w14:textId="77777777" w:rsidR="00EF1D5F" w:rsidRPr="00C5122E" w:rsidRDefault="00EF1D5F" w:rsidP="003D4AD9">
            <w:pPr>
              <w:widowControl w:val="0"/>
              <w:pBdr>
                <w:top w:val="nil"/>
                <w:left w:val="nil"/>
                <w:bottom w:val="nil"/>
                <w:right w:val="nil"/>
                <w:between w:val="nil"/>
              </w:pBdr>
              <w:spacing w:before="6" w:line="191" w:lineRule="auto"/>
              <w:ind w:left="40" w:right="2"/>
              <w:jc w:val="right"/>
              <w:rPr>
                <w:color w:val="3B3838"/>
                <w:sz w:val="16"/>
                <w:szCs w:val="16"/>
              </w:rPr>
            </w:pPr>
            <w:r w:rsidRPr="00C5122E">
              <w:rPr>
                <w:color w:val="3B3838"/>
                <w:sz w:val="16"/>
                <w:szCs w:val="16"/>
              </w:rPr>
              <w:t>192</w:t>
            </w:r>
          </w:p>
        </w:tc>
      </w:tr>
      <w:tr w:rsidR="00EF1D5F" w14:paraId="2FB49B16" w14:textId="77777777" w:rsidTr="004C5043">
        <w:trPr>
          <w:trHeight w:val="20"/>
        </w:trPr>
        <w:tc>
          <w:tcPr>
            <w:tcW w:w="2448" w:type="dxa"/>
            <w:vAlign w:val="center"/>
          </w:tcPr>
          <w:p w14:paraId="7C0F6C44" w14:textId="77777777" w:rsidR="00EF1D5F" w:rsidRPr="00C5122E" w:rsidRDefault="00EF1D5F" w:rsidP="003D4AD9">
            <w:pPr>
              <w:widowControl w:val="0"/>
              <w:pBdr>
                <w:top w:val="nil"/>
                <w:left w:val="nil"/>
                <w:bottom w:val="nil"/>
                <w:right w:val="nil"/>
                <w:between w:val="nil"/>
              </w:pBdr>
              <w:spacing w:before="40" w:line="147" w:lineRule="auto"/>
              <w:ind w:left="75" w:right="5"/>
              <w:jc w:val="left"/>
              <w:rPr>
                <w:b/>
                <w:color w:val="3B3838"/>
                <w:sz w:val="16"/>
                <w:szCs w:val="16"/>
              </w:rPr>
            </w:pPr>
            <w:r w:rsidRPr="00C5122E">
              <w:rPr>
                <w:b/>
                <w:color w:val="3B3838"/>
                <w:sz w:val="16"/>
                <w:szCs w:val="16"/>
              </w:rPr>
              <w:t>Integración social</w:t>
            </w:r>
          </w:p>
        </w:tc>
        <w:tc>
          <w:tcPr>
            <w:tcW w:w="2447" w:type="dxa"/>
            <w:vAlign w:val="center"/>
          </w:tcPr>
          <w:p w14:paraId="76B95F57" w14:textId="77777777" w:rsidR="00EF1D5F" w:rsidRPr="00C5122E" w:rsidRDefault="00EF1D5F" w:rsidP="003D4AD9">
            <w:pPr>
              <w:widowControl w:val="0"/>
              <w:pBdr>
                <w:top w:val="nil"/>
                <w:left w:val="nil"/>
                <w:bottom w:val="nil"/>
                <w:right w:val="nil"/>
                <w:between w:val="nil"/>
              </w:pBdr>
              <w:spacing w:before="22" w:line="165" w:lineRule="auto"/>
              <w:ind w:left="86" w:right="32"/>
              <w:jc w:val="right"/>
              <w:rPr>
                <w:color w:val="3B3838"/>
                <w:sz w:val="16"/>
                <w:szCs w:val="16"/>
              </w:rPr>
            </w:pPr>
            <w:r w:rsidRPr="00C5122E">
              <w:rPr>
                <w:color w:val="3B3838"/>
                <w:sz w:val="16"/>
                <w:szCs w:val="16"/>
              </w:rPr>
              <w:t>4.500</w:t>
            </w:r>
          </w:p>
        </w:tc>
        <w:tc>
          <w:tcPr>
            <w:tcW w:w="2194" w:type="dxa"/>
            <w:vAlign w:val="center"/>
          </w:tcPr>
          <w:p w14:paraId="408B8983" w14:textId="77777777" w:rsidR="00EF1D5F" w:rsidRPr="00C5122E" w:rsidRDefault="00EF1D5F" w:rsidP="003D4AD9">
            <w:pPr>
              <w:widowControl w:val="0"/>
              <w:pBdr>
                <w:top w:val="nil"/>
                <w:left w:val="nil"/>
                <w:bottom w:val="nil"/>
                <w:right w:val="nil"/>
                <w:between w:val="nil"/>
              </w:pBdr>
              <w:spacing w:before="22" w:line="165" w:lineRule="auto"/>
              <w:ind w:left="39" w:right="33"/>
              <w:jc w:val="right"/>
              <w:rPr>
                <w:color w:val="3B3838"/>
                <w:sz w:val="16"/>
                <w:szCs w:val="16"/>
              </w:rPr>
            </w:pPr>
            <w:r w:rsidRPr="00C5122E">
              <w:rPr>
                <w:color w:val="3B3838"/>
                <w:sz w:val="16"/>
                <w:szCs w:val="16"/>
              </w:rPr>
              <w:t>13</w:t>
            </w:r>
          </w:p>
        </w:tc>
        <w:tc>
          <w:tcPr>
            <w:tcW w:w="1918" w:type="dxa"/>
            <w:vAlign w:val="center"/>
          </w:tcPr>
          <w:p w14:paraId="442738A3" w14:textId="77777777" w:rsidR="00EF1D5F" w:rsidRPr="00C5122E" w:rsidRDefault="00EF1D5F" w:rsidP="003D4AD9">
            <w:pPr>
              <w:widowControl w:val="0"/>
              <w:pBdr>
                <w:top w:val="nil"/>
                <w:left w:val="nil"/>
                <w:bottom w:val="nil"/>
                <w:right w:val="nil"/>
                <w:between w:val="nil"/>
              </w:pBdr>
              <w:spacing w:before="22" w:line="165" w:lineRule="auto"/>
              <w:ind w:left="40" w:right="7"/>
              <w:jc w:val="right"/>
              <w:rPr>
                <w:color w:val="3B3838"/>
                <w:sz w:val="16"/>
                <w:szCs w:val="16"/>
              </w:rPr>
            </w:pPr>
            <w:r w:rsidRPr="00C5122E">
              <w:rPr>
                <w:color w:val="3B3838"/>
                <w:sz w:val="16"/>
                <w:szCs w:val="16"/>
              </w:rPr>
              <w:t>58.500</w:t>
            </w:r>
          </w:p>
        </w:tc>
      </w:tr>
      <w:tr w:rsidR="00EF1D5F" w14:paraId="58B9A313" w14:textId="77777777" w:rsidTr="004C5043">
        <w:trPr>
          <w:trHeight w:val="20"/>
        </w:trPr>
        <w:tc>
          <w:tcPr>
            <w:tcW w:w="2448" w:type="dxa"/>
            <w:vAlign w:val="center"/>
          </w:tcPr>
          <w:p w14:paraId="3EAE549D" w14:textId="77777777" w:rsidR="00EF1D5F" w:rsidRPr="00C5122E" w:rsidRDefault="00EF1D5F" w:rsidP="003D4AD9">
            <w:pPr>
              <w:widowControl w:val="0"/>
              <w:pBdr>
                <w:top w:val="nil"/>
                <w:left w:val="nil"/>
                <w:bottom w:val="nil"/>
                <w:right w:val="nil"/>
                <w:between w:val="nil"/>
              </w:pBdr>
              <w:spacing w:before="40" w:line="167" w:lineRule="auto"/>
              <w:ind w:left="75" w:right="6"/>
              <w:jc w:val="left"/>
              <w:rPr>
                <w:b/>
                <w:i/>
                <w:color w:val="3B3838"/>
                <w:sz w:val="16"/>
                <w:szCs w:val="16"/>
              </w:rPr>
            </w:pPr>
            <w:r w:rsidRPr="00C5122E">
              <w:rPr>
                <w:b/>
                <w:color w:val="3B3838"/>
                <w:sz w:val="16"/>
                <w:szCs w:val="16"/>
              </w:rPr>
              <w:t xml:space="preserve">Seguridad </w:t>
            </w:r>
            <w:r w:rsidRPr="00C5122E">
              <w:rPr>
                <w:i/>
                <w:color w:val="3B3838"/>
                <w:sz w:val="16"/>
                <w:szCs w:val="16"/>
              </w:rPr>
              <w:t>(CAI)</w:t>
            </w:r>
          </w:p>
        </w:tc>
        <w:tc>
          <w:tcPr>
            <w:tcW w:w="2447" w:type="dxa"/>
            <w:vAlign w:val="center"/>
          </w:tcPr>
          <w:p w14:paraId="40F0D8A9" w14:textId="77777777" w:rsidR="00EF1D5F" w:rsidRPr="00C5122E" w:rsidRDefault="00EF1D5F" w:rsidP="003D4AD9">
            <w:pPr>
              <w:widowControl w:val="0"/>
              <w:pBdr>
                <w:top w:val="nil"/>
                <w:left w:val="nil"/>
                <w:bottom w:val="nil"/>
                <w:right w:val="nil"/>
                <w:between w:val="nil"/>
              </w:pBdr>
              <w:spacing w:line="207" w:lineRule="auto"/>
              <w:ind w:left="86" w:right="10"/>
              <w:jc w:val="right"/>
              <w:rPr>
                <w:color w:val="3B3838"/>
                <w:sz w:val="16"/>
                <w:szCs w:val="16"/>
              </w:rPr>
            </w:pPr>
            <w:r w:rsidRPr="00C5122E">
              <w:rPr>
                <w:color w:val="3B3838"/>
                <w:sz w:val="16"/>
                <w:szCs w:val="16"/>
              </w:rPr>
              <w:t>so</w:t>
            </w:r>
          </w:p>
        </w:tc>
        <w:tc>
          <w:tcPr>
            <w:tcW w:w="2194" w:type="dxa"/>
            <w:vAlign w:val="center"/>
          </w:tcPr>
          <w:p w14:paraId="72B4AC20" w14:textId="77777777" w:rsidR="00EF1D5F" w:rsidRPr="00C5122E" w:rsidRDefault="00EF1D5F" w:rsidP="003D4AD9">
            <w:pPr>
              <w:widowControl w:val="0"/>
              <w:pBdr>
                <w:top w:val="nil"/>
                <w:left w:val="nil"/>
                <w:bottom w:val="nil"/>
                <w:right w:val="nil"/>
                <w:between w:val="nil"/>
              </w:pBdr>
              <w:spacing w:before="22" w:line="185" w:lineRule="auto"/>
              <w:ind w:left="39"/>
              <w:jc w:val="right"/>
              <w:rPr>
                <w:color w:val="3B3838"/>
                <w:sz w:val="16"/>
                <w:szCs w:val="16"/>
              </w:rPr>
            </w:pPr>
            <w:r w:rsidRPr="00C5122E">
              <w:rPr>
                <w:color w:val="3B3838"/>
                <w:sz w:val="16"/>
                <w:szCs w:val="16"/>
              </w:rPr>
              <w:t>2,13</w:t>
            </w:r>
          </w:p>
        </w:tc>
        <w:tc>
          <w:tcPr>
            <w:tcW w:w="1918" w:type="dxa"/>
            <w:vAlign w:val="center"/>
          </w:tcPr>
          <w:p w14:paraId="183C3493" w14:textId="77777777" w:rsidR="00EF1D5F" w:rsidRPr="00C5122E" w:rsidRDefault="00EF1D5F" w:rsidP="003D4AD9">
            <w:pPr>
              <w:widowControl w:val="0"/>
              <w:pBdr>
                <w:top w:val="nil"/>
                <w:left w:val="nil"/>
                <w:bottom w:val="nil"/>
                <w:right w:val="nil"/>
                <w:between w:val="nil"/>
              </w:pBdr>
              <w:spacing w:before="32" w:line="175" w:lineRule="auto"/>
              <w:ind w:left="40" w:right="17"/>
              <w:jc w:val="right"/>
              <w:rPr>
                <w:color w:val="3B3838"/>
                <w:sz w:val="16"/>
                <w:szCs w:val="16"/>
              </w:rPr>
            </w:pPr>
            <w:r w:rsidRPr="00C5122E">
              <w:rPr>
                <w:color w:val="3B3838"/>
                <w:sz w:val="16"/>
                <w:szCs w:val="16"/>
              </w:rPr>
              <w:t>107</w:t>
            </w:r>
          </w:p>
        </w:tc>
      </w:tr>
      <w:tr w:rsidR="00EF1D5F" w14:paraId="462DEA11" w14:textId="77777777" w:rsidTr="004C5043">
        <w:trPr>
          <w:trHeight w:val="20"/>
        </w:trPr>
        <w:tc>
          <w:tcPr>
            <w:tcW w:w="2448" w:type="dxa"/>
            <w:vAlign w:val="center"/>
          </w:tcPr>
          <w:p w14:paraId="64B1E82A" w14:textId="77777777" w:rsidR="00EF1D5F" w:rsidRPr="00C5122E" w:rsidRDefault="00EF1D5F" w:rsidP="003D4AD9">
            <w:pPr>
              <w:widowControl w:val="0"/>
              <w:pBdr>
                <w:top w:val="nil"/>
                <w:left w:val="nil"/>
                <w:bottom w:val="nil"/>
                <w:right w:val="nil"/>
                <w:between w:val="nil"/>
              </w:pBdr>
              <w:spacing w:before="30" w:line="167" w:lineRule="auto"/>
              <w:ind w:left="75"/>
              <w:jc w:val="left"/>
              <w:rPr>
                <w:b/>
                <w:i/>
                <w:color w:val="3B3838"/>
                <w:sz w:val="16"/>
                <w:szCs w:val="16"/>
              </w:rPr>
            </w:pPr>
            <w:r w:rsidRPr="00C5122E">
              <w:rPr>
                <w:b/>
                <w:color w:val="3B3838"/>
                <w:sz w:val="16"/>
                <w:szCs w:val="16"/>
              </w:rPr>
              <w:t xml:space="preserve">Seguridad </w:t>
            </w:r>
            <w:r w:rsidRPr="00C5122E">
              <w:rPr>
                <w:i/>
                <w:color w:val="3B3838"/>
                <w:sz w:val="16"/>
                <w:szCs w:val="16"/>
              </w:rPr>
              <w:t>(Estación de Policía)</w:t>
            </w:r>
          </w:p>
        </w:tc>
        <w:tc>
          <w:tcPr>
            <w:tcW w:w="2447" w:type="dxa"/>
            <w:vAlign w:val="center"/>
          </w:tcPr>
          <w:p w14:paraId="1824926A" w14:textId="77777777" w:rsidR="00EF1D5F" w:rsidRPr="00C5122E" w:rsidRDefault="00EF1D5F" w:rsidP="003D4AD9">
            <w:pPr>
              <w:widowControl w:val="0"/>
              <w:pBdr>
                <w:top w:val="nil"/>
                <w:left w:val="nil"/>
                <w:bottom w:val="nil"/>
                <w:right w:val="nil"/>
                <w:between w:val="nil"/>
              </w:pBdr>
              <w:spacing w:before="12" w:line="185" w:lineRule="auto"/>
              <w:ind w:left="86" w:right="8"/>
              <w:jc w:val="right"/>
              <w:rPr>
                <w:color w:val="3B3838"/>
                <w:sz w:val="16"/>
                <w:szCs w:val="16"/>
              </w:rPr>
            </w:pPr>
            <w:r w:rsidRPr="00C5122E">
              <w:rPr>
                <w:color w:val="3B3838"/>
                <w:sz w:val="16"/>
                <w:szCs w:val="16"/>
              </w:rPr>
              <w:t>4.000</w:t>
            </w:r>
          </w:p>
        </w:tc>
        <w:tc>
          <w:tcPr>
            <w:tcW w:w="2194" w:type="dxa"/>
            <w:vAlign w:val="center"/>
          </w:tcPr>
          <w:p w14:paraId="4E11A959" w14:textId="77777777" w:rsidR="00EF1D5F" w:rsidRPr="00C5122E" w:rsidRDefault="00EF1D5F" w:rsidP="003D4AD9">
            <w:pPr>
              <w:widowControl w:val="0"/>
              <w:pBdr>
                <w:top w:val="nil"/>
                <w:left w:val="nil"/>
                <w:bottom w:val="nil"/>
                <w:right w:val="nil"/>
                <w:between w:val="nil"/>
              </w:pBdr>
              <w:spacing w:before="12" w:line="185" w:lineRule="auto"/>
              <w:ind w:left="39" w:right="19"/>
              <w:jc w:val="right"/>
              <w:rPr>
                <w:color w:val="3B3838"/>
                <w:sz w:val="16"/>
                <w:szCs w:val="16"/>
              </w:rPr>
            </w:pPr>
            <w:r w:rsidRPr="00C5122E">
              <w:rPr>
                <w:color w:val="3B3838"/>
                <w:sz w:val="16"/>
                <w:szCs w:val="16"/>
              </w:rPr>
              <w:t>0,28</w:t>
            </w:r>
          </w:p>
        </w:tc>
        <w:tc>
          <w:tcPr>
            <w:tcW w:w="1918" w:type="dxa"/>
            <w:vAlign w:val="center"/>
          </w:tcPr>
          <w:p w14:paraId="169AA80E" w14:textId="77777777" w:rsidR="00EF1D5F" w:rsidRPr="00C5122E" w:rsidRDefault="00EF1D5F" w:rsidP="003D4AD9">
            <w:pPr>
              <w:widowControl w:val="0"/>
              <w:pBdr>
                <w:top w:val="nil"/>
                <w:left w:val="nil"/>
                <w:bottom w:val="nil"/>
                <w:right w:val="nil"/>
                <w:between w:val="nil"/>
              </w:pBdr>
              <w:spacing w:before="12" w:line="185" w:lineRule="auto"/>
              <w:ind w:left="40" w:right="27"/>
              <w:jc w:val="right"/>
              <w:rPr>
                <w:color w:val="3B3838"/>
                <w:sz w:val="16"/>
                <w:szCs w:val="16"/>
              </w:rPr>
            </w:pPr>
            <w:r w:rsidRPr="00C5122E">
              <w:rPr>
                <w:color w:val="3B3838"/>
                <w:sz w:val="16"/>
                <w:szCs w:val="16"/>
              </w:rPr>
              <w:t>1.120</w:t>
            </w:r>
          </w:p>
        </w:tc>
      </w:tr>
      <w:tr w:rsidR="00EF1D5F" w14:paraId="32688077" w14:textId="77777777" w:rsidTr="004C5043">
        <w:trPr>
          <w:trHeight w:val="20"/>
        </w:trPr>
        <w:tc>
          <w:tcPr>
            <w:tcW w:w="2448" w:type="dxa"/>
            <w:vAlign w:val="center"/>
          </w:tcPr>
          <w:p w14:paraId="6A7964DE" w14:textId="77777777" w:rsidR="00EF1D5F" w:rsidRPr="00C5122E" w:rsidRDefault="00EF1D5F" w:rsidP="003D4AD9">
            <w:pPr>
              <w:widowControl w:val="0"/>
              <w:pBdr>
                <w:top w:val="nil"/>
                <w:left w:val="nil"/>
                <w:bottom w:val="nil"/>
                <w:right w:val="nil"/>
                <w:between w:val="nil"/>
              </w:pBdr>
              <w:spacing w:before="30" w:line="167" w:lineRule="auto"/>
              <w:ind w:left="75" w:right="7"/>
              <w:jc w:val="left"/>
              <w:rPr>
                <w:b/>
                <w:i/>
                <w:color w:val="3B3838"/>
                <w:sz w:val="16"/>
                <w:szCs w:val="16"/>
              </w:rPr>
            </w:pPr>
            <w:r w:rsidRPr="00C5122E">
              <w:rPr>
                <w:b/>
                <w:color w:val="3B3838"/>
                <w:sz w:val="16"/>
                <w:szCs w:val="16"/>
              </w:rPr>
              <w:t xml:space="preserve">Seguridad </w:t>
            </w:r>
            <w:r w:rsidRPr="00C5122E">
              <w:rPr>
                <w:i/>
                <w:color w:val="3B3838"/>
                <w:sz w:val="16"/>
                <w:szCs w:val="16"/>
              </w:rPr>
              <w:t>(Estación de Bomberos)</w:t>
            </w:r>
          </w:p>
        </w:tc>
        <w:tc>
          <w:tcPr>
            <w:tcW w:w="2447" w:type="dxa"/>
            <w:vAlign w:val="center"/>
          </w:tcPr>
          <w:p w14:paraId="4E1F788E" w14:textId="77777777" w:rsidR="00EF1D5F" w:rsidRPr="00C5122E" w:rsidRDefault="00EF1D5F" w:rsidP="003D4AD9">
            <w:pPr>
              <w:widowControl w:val="0"/>
              <w:pBdr>
                <w:top w:val="nil"/>
                <w:left w:val="nil"/>
                <w:bottom w:val="nil"/>
                <w:right w:val="nil"/>
                <w:between w:val="nil"/>
              </w:pBdr>
              <w:spacing w:before="12" w:line="185" w:lineRule="auto"/>
              <w:ind w:left="86" w:right="10"/>
              <w:jc w:val="right"/>
              <w:rPr>
                <w:color w:val="3B3838"/>
                <w:sz w:val="16"/>
                <w:szCs w:val="16"/>
              </w:rPr>
            </w:pPr>
            <w:r w:rsidRPr="00C5122E">
              <w:rPr>
                <w:color w:val="3B3838"/>
                <w:sz w:val="16"/>
                <w:szCs w:val="16"/>
              </w:rPr>
              <w:t>2.000</w:t>
            </w:r>
          </w:p>
        </w:tc>
        <w:tc>
          <w:tcPr>
            <w:tcW w:w="2194" w:type="dxa"/>
            <w:vAlign w:val="center"/>
          </w:tcPr>
          <w:p w14:paraId="2860CC9C" w14:textId="77777777" w:rsidR="00EF1D5F" w:rsidRPr="00C5122E" w:rsidRDefault="00EF1D5F" w:rsidP="003D4AD9">
            <w:pPr>
              <w:widowControl w:val="0"/>
              <w:pBdr>
                <w:top w:val="nil"/>
                <w:left w:val="nil"/>
                <w:bottom w:val="nil"/>
                <w:right w:val="nil"/>
                <w:between w:val="nil"/>
              </w:pBdr>
              <w:spacing w:before="12" w:line="185" w:lineRule="auto"/>
              <w:ind w:left="39" w:right="30"/>
              <w:jc w:val="right"/>
              <w:rPr>
                <w:color w:val="3B3838"/>
                <w:sz w:val="16"/>
                <w:szCs w:val="16"/>
              </w:rPr>
            </w:pPr>
            <w:r w:rsidRPr="00C5122E">
              <w:rPr>
                <w:color w:val="3B3838"/>
                <w:sz w:val="16"/>
                <w:szCs w:val="16"/>
              </w:rPr>
              <w:t>0,6</w:t>
            </w:r>
          </w:p>
        </w:tc>
        <w:tc>
          <w:tcPr>
            <w:tcW w:w="1918" w:type="dxa"/>
            <w:vAlign w:val="center"/>
          </w:tcPr>
          <w:p w14:paraId="24963B2A" w14:textId="77777777" w:rsidR="00EF1D5F" w:rsidRPr="00C5122E" w:rsidRDefault="00EF1D5F" w:rsidP="003D4AD9">
            <w:pPr>
              <w:widowControl w:val="0"/>
              <w:pBdr>
                <w:top w:val="nil"/>
                <w:left w:val="nil"/>
                <w:bottom w:val="nil"/>
                <w:right w:val="nil"/>
                <w:between w:val="nil"/>
              </w:pBdr>
              <w:spacing w:before="12" w:line="185" w:lineRule="auto"/>
              <w:ind w:left="40" w:right="7"/>
              <w:jc w:val="right"/>
              <w:rPr>
                <w:color w:val="3B3838"/>
                <w:sz w:val="16"/>
                <w:szCs w:val="16"/>
              </w:rPr>
            </w:pPr>
            <w:r w:rsidRPr="00C5122E">
              <w:rPr>
                <w:color w:val="3B3838"/>
                <w:sz w:val="16"/>
                <w:szCs w:val="16"/>
              </w:rPr>
              <w:t>1.200</w:t>
            </w:r>
          </w:p>
        </w:tc>
      </w:tr>
      <w:tr w:rsidR="00EF1D5F" w14:paraId="2C8B5C8E" w14:textId="77777777" w:rsidTr="004C5043">
        <w:trPr>
          <w:trHeight w:val="20"/>
        </w:trPr>
        <w:tc>
          <w:tcPr>
            <w:tcW w:w="2448" w:type="dxa"/>
            <w:vAlign w:val="center"/>
          </w:tcPr>
          <w:p w14:paraId="6E1536A2" w14:textId="77777777" w:rsidR="00EF1D5F" w:rsidRPr="00C5122E" w:rsidRDefault="00EF1D5F" w:rsidP="003D4AD9">
            <w:pPr>
              <w:widowControl w:val="0"/>
              <w:pBdr>
                <w:top w:val="nil"/>
                <w:left w:val="nil"/>
                <w:bottom w:val="nil"/>
                <w:right w:val="nil"/>
                <w:between w:val="nil"/>
              </w:pBdr>
              <w:spacing w:before="30" w:line="157" w:lineRule="auto"/>
              <w:ind w:left="75" w:right="17"/>
              <w:jc w:val="left"/>
              <w:rPr>
                <w:b/>
                <w:i/>
                <w:color w:val="3B3838"/>
                <w:sz w:val="16"/>
                <w:szCs w:val="16"/>
              </w:rPr>
            </w:pPr>
            <w:r w:rsidRPr="00C5122E">
              <w:rPr>
                <w:b/>
                <w:color w:val="3B3838"/>
                <w:sz w:val="16"/>
                <w:szCs w:val="16"/>
              </w:rPr>
              <w:t xml:space="preserve">Salud </w:t>
            </w:r>
            <w:r w:rsidRPr="00C5122E">
              <w:rPr>
                <w:i/>
                <w:color w:val="3B3838"/>
                <w:sz w:val="16"/>
                <w:szCs w:val="16"/>
              </w:rPr>
              <w:t>(CAPS)</w:t>
            </w:r>
          </w:p>
        </w:tc>
        <w:tc>
          <w:tcPr>
            <w:tcW w:w="2447" w:type="dxa"/>
            <w:vAlign w:val="center"/>
          </w:tcPr>
          <w:p w14:paraId="3EDDEA26" w14:textId="77777777" w:rsidR="00EF1D5F" w:rsidRPr="00C5122E" w:rsidRDefault="00EF1D5F" w:rsidP="003D4AD9">
            <w:pPr>
              <w:widowControl w:val="0"/>
              <w:pBdr>
                <w:top w:val="nil"/>
                <w:left w:val="nil"/>
                <w:bottom w:val="nil"/>
                <w:right w:val="nil"/>
                <w:between w:val="nil"/>
              </w:pBdr>
              <w:spacing w:before="22" w:line="165" w:lineRule="auto"/>
              <w:ind w:left="86" w:right="32"/>
              <w:jc w:val="right"/>
              <w:rPr>
                <w:color w:val="3B3838"/>
                <w:sz w:val="16"/>
                <w:szCs w:val="16"/>
              </w:rPr>
            </w:pPr>
            <w:r w:rsidRPr="00C5122E">
              <w:rPr>
                <w:color w:val="3B3838"/>
                <w:sz w:val="16"/>
                <w:szCs w:val="16"/>
              </w:rPr>
              <w:t>8.000</w:t>
            </w:r>
          </w:p>
        </w:tc>
        <w:tc>
          <w:tcPr>
            <w:tcW w:w="2194" w:type="dxa"/>
            <w:vAlign w:val="center"/>
          </w:tcPr>
          <w:p w14:paraId="626C9309" w14:textId="77777777" w:rsidR="00EF1D5F" w:rsidRPr="00C5122E" w:rsidRDefault="00EF1D5F" w:rsidP="003D4AD9">
            <w:pPr>
              <w:widowControl w:val="0"/>
              <w:pBdr>
                <w:top w:val="nil"/>
                <w:left w:val="nil"/>
                <w:bottom w:val="nil"/>
                <w:right w:val="nil"/>
                <w:between w:val="nil"/>
              </w:pBdr>
              <w:spacing w:before="12" w:line="175" w:lineRule="auto"/>
              <w:ind w:left="39" w:right="38"/>
              <w:jc w:val="right"/>
              <w:rPr>
                <w:color w:val="3B3838"/>
                <w:sz w:val="16"/>
                <w:szCs w:val="16"/>
              </w:rPr>
            </w:pPr>
            <w:r w:rsidRPr="00C5122E">
              <w:rPr>
                <w:color w:val="3B3838"/>
                <w:sz w:val="16"/>
                <w:szCs w:val="16"/>
              </w:rPr>
              <w:t>1,33</w:t>
            </w:r>
          </w:p>
        </w:tc>
        <w:tc>
          <w:tcPr>
            <w:tcW w:w="1918" w:type="dxa"/>
            <w:vAlign w:val="center"/>
          </w:tcPr>
          <w:p w14:paraId="7A51BB4C" w14:textId="77777777" w:rsidR="00EF1D5F" w:rsidRPr="00C5122E" w:rsidRDefault="00EF1D5F" w:rsidP="003D4AD9">
            <w:pPr>
              <w:widowControl w:val="0"/>
              <w:pBdr>
                <w:top w:val="nil"/>
                <w:left w:val="nil"/>
                <w:bottom w:val="nil"/>
                <w:right w:val="nil"/>
                <w:between w:val="nil"/>
              </w:pBdr>
              <w:spacing w:before="22" w:line="165" w:lineRule="auto"/>
              <w:ind w:left="40" w:right="27"/>
              <w:jc w:val="right"/>
              <w:rPr>
                <w:color w:val="3B3838"/>
                <w:sz w:val="16"/>
                <w:szCs w:val="16"/>
              </w:rPr>
            </w:pPr>
            <w:r w:rsidRPr="00C5122E">
              <w:rPr>
                <w:color w:val="3B3838"/>
                <w:sz w:val="16"/>
                <w:szCs w:val="16"/>
              </w:rPr>
              <w:t>10.640</w:t>
            </w:r>
          </w:p>
        </w:tc>
      </w:tr>
      <w:tr w:rsidR="00EF1D5F" w14:paraId="4F1730C6" w14:textId="77777777" w:rsidTr="004C5043">
        <w:trPr>
          <w:trHeight w:val="20"/>
        </w:trPr>
        <w:tc>
          <w:tcPr>
            <w:tcW w:w="2448" w:type="dxa"/>
            <w:vAlign w:val="center"/>
          </w:tcPr>
          <w:p w14:paraId="796A767E" w14:textId="77777777" w:rsidR="00EF1D5F" w:rsidRPr="00C5122E" w:rsidRDefault="00EF1D5F" w:rsidP="003D4AD9">
            <w:pPr>
              <w:widowControl w:val="0"/>
              <w:pBdr>
                <w:top w:val="nil"/>
                <w:left w:val="nil"/>
                <w:bottom w:val="nil"/>
                <w:right w:val="nil"/>
                <w:between w:val="nil"/>
              </w:pBdr>
              <w:spacing w:before="40" w:line="167" w:lineRule="auto"/>
              <w:ind w:left="75" w:right="15"/>
              <w:jc w:val="left"/>
              <w:rPr>
                <w:b/>
                <w:i/>
                <w:color w:val="3B3838"/>
                <w:sz w:val="16"/>
                <w:szCs w:val="16"/>
              </w:rPr>
            </w:pPr>
            <w:r w:rsidRPr="00C5122E">
              <w:rPr>
                <w:b/>
                <w:color w:val="3B3838"/>
                <w:sz w:val="16"/>
                <w:szCs w:val="16"/>
              </w:rPr>
              <w:t xml:space="preserve">Salud </w:t>
            </w:r>
            <w:r w:rsidRPr="00C5122E">
              <w:rPr>
                <w:i/>
                <w:color w:val="3B3838"/>
                <w:sz w:val="16"/>
                <w:szCs w:val="16"/>
              </w:rPr>
              <w:t>(UMHES)</w:t>
            </w:r>
          </w:p>
        </w:tc>
        <w:tc>
          <w:tcPr>
            <w:tcW w:w="2447" w:type="dxa"/>
            <w:vAlign w:val="center"/>
          </w:tcPr>
          <w:p w14:paraId="0450C7D9" w14:textId="77777777" w:rsidR="00EF1D5F" w:rsidRPr="00C5122E" w:rsidRDefault="00EF1D5F" w:rsidP="003D4AD9">
            <w:pPr>
              <w:widowControl w:val="0"/>
              <w:pBdr>
                <w:top w:val="nil"/>
                <w:left w:val="nil"/>
                <w:bottom w:val="nil"/>
                <w:right w:val="nil"/>
                <w:between w:val="nil"/>
              </w:pBdr>
              <w:spacing w:before="32" w:line="175" w:lineRule="auto"/>
              <w:ind w:left="86" w:right="17"/>
              <w:jc w:val="right"/>
              <w:rPr>
                <w:color w:val="3B3838"/>
                <w:sz w:val="16"/>
                <w:szCs w:val="16"/>
              </w:rPr>
            </w:pPr>
            <w:r w:rsidRPr="00C5122E">
              <w:rPr>
                <w:color w:val="3B3838"/>
                <w:sz w:val="16"/>
                <w:szCs w:val="16"/>
              </w:rPr>
              <w:t>30.000</w:t>
            </w:r>
          </w:p>
        </w:tc>
        <w:tc>
          <w:tcPr>
            <w:tcW w:w="2194" w:type="dxa"/>
            <w:vAlign w:val="center"/>
          </w:tcPr>
          <w:p w14:paraId="2A0F7DEA" w14:textId="77777777" w:rsidR="00EF1D5F" w:rsidRPr="00C5122E" w:rsidRDefault="00EF1D5F" w:rsidP="003D4AD9">
            <w:pPr>
              <w:widowControl w:val="0"/>
              <w:pBdr>
                <w:top w:val="nil"/>
                <w:left w:val="nil"/>
                <w:bottom w:val="nil"/>
                <w:right w:val="nil"/>
                <w:between w:val="nil"/>
              </w:pBdr>
              <w:spacing w:before="32" w:line="175" w:lineRule="auto"/>
              <w:ind w:left="39" w:right="31"/>
              <w:jc w:val="right"/>
              <w:rPr>
                <w:color w:val="3B3838"/>
                <w:sz w:val="16"/>
                <w:szCs w:val="16"/>
              </w:rPr>
            </w:pPr>
            <w:r w:rsidRPr="00C5122E">
              <w:rPr>
                <w:color w:val="3B3838"/>
                <w:sz w:val="16"/>
                <w:szCs w:val="16"/>
              </w:rPr>
              <w:t>1</w:t>
            </w:r>
          </w:p>
        </w:tc>
        <w:tc>
          <w:tcPr>
            <w:tcW w:w="1918" w:type="dxa"/>
            <w:vAlign w:val="center"/>
          </w:tcPr>
          <w:p w14:paraId="2F5E48AF" w14:textId="77777777" w:rsidR="00EF1D5F" w:rsidRPr="00C5122E" w:rsidRDefault="00EF1D5F" w:rsidP="003D4AD9">
            <w:pPr>
              <w:widowControl w:val="0"/>
              <w:pBdr>
                <w:top w:val="nil"/>
                <w:left w:val="nil"/>
                <w:bottom w:val="nil"/>
                <w:right w:val="nil"/>
                <w:between w:val="nil"/>
              </w:pBdr>
              <w:spacing w:before="22" w:line="185" w:lineRule="auto"/>
              <w:ind w:left="40" w:right="19"/>
              <w:jc w:val="right"/>
              <w:rPr>
                <w:color w:val="3B3838"/>
                <w:sz w:val="16"/>
                <w:szCs w:val="16"/>
              </w:rPr>
            </w:pPr>
            <w:r w:rsidRPr="00C5122E">
              <w:rPr>
                <w:color w:val="3B3838"/>
                <w:sz w:val="16"/>
                <w:szCs w:val="16"/>
              </w:rPr>
              <w:t>30.000</w:t>
            </w:r>
          </w:p>
        </w:tc>
      </w:tr>
      <w:tr w:rsidR="00EF1D5F" w14:paraId="48D2B16C" w14:textId="77777777" w:rsidTr="004C5043">
        <w:trPr>
          <w:trHeight w:val="20"/>
        </w:trPr>
        <w:tc>
          <w:tcPr>
            <w:tcW w:w="2448" w:type="dxa"/>
            <w:vAlign w:val="center"/>
          </w:tcPr>
          <w:p w14:paraId="47B6F58B" w14:textId="77777777" w:rsidR="00EF1D5F" w:rsidRPr="00C5122E" w:rsidRDefault="00EF1D5F" w:rsidP="003D4AD9">
            <w:pPr>
              <w:widowControl w:val="0"/>
              <w:pBdr>
                <w:top w:val="nil"/>
                <w:left w:val="nil"/>
                <w:bottom w:val="nil"/>
                <w:right w:val="nil"/>
                <w:between w:val="nil"/>
              </w:pBdr>
              <w:spacing w:before="30" w:line="167" w:lineRule="auto"/>
              <w:ind w:left="75" w:right="14"/>
              <w:jc w:val="left"/>
              <w:rPr>
                <w:b/>
                <w:color w:val="3B3838"/>
                <w:sz w:val="16"/>
                <w:szCs w:val="16"/>
              </w:rPr>
            </w:pPr>
            <w:r w:rsidRPr="00C5122E">
              <w:rPr>
                <w:b/>
                <w:color w:val="3B3838"/>
                <w:sz w:val="16"/>
                <w:szCs w:val="16"/>
              </w:rPr>
              <w:t>Administración pública</w:t>
            </w:r>
          </w:p>
        </w:tc>
        <w:tc>
          <w:tcPr>
            <w:tcW w:w="2447" w:type="dxa"/>
            <w:vAlign w:val="center"/>
          </w:tcPr>
          <w:p w14:paraId="50F6B8A0" w14:textId="77777777" w:rsidR="00EF1D5F" w:rsidRPr="00C5122E" w:rsidRDefault="00EF1D5F" w:rsidP="003D4AD9">
            <w:pPr>
              <w:widowControl w:val="0"/>
              <w:pBdr>
                <w:top w:val="nil"/>
                <w:left w:val="nil"/>
                <w:bottom w:val="nil"/>
                <w:right w:val="nil"/>
                <w:between w:val="nil"/>
              </w:pBdr>
              <w:spacing w:before="12" w:line="185" w:lineRule="auto"/>
              <w:ind w:left="86" w:right="18"/>
              <w:jc w:val="right"/>
              <w:rPr>
                <w:color w:val="3B3838"/>
                <w:sz w:val="16"/>
                <w:szCs w:val="16"/>
              </w:rPr>
            </w:pPr>
            <w:r w:rsidRPr="00C5122E">
              <w:rPr>
                <w:color w:val="3B3838"/>
                <w:sz w:val="16"/>
                <w:szCs w:val="16"/>
              </w:rPr>
              <w:t>1.500</w:t>
            </w:r>
          </w:p>
        </w:tc>
        <w:tc>
          <w:tcPr>
            <w:tcW w:w="2194" w:type="dxa"/>
            <w:vAlign w:val="center"/>
          </w:tcPr>
          <w:p w14:paraId="2415B7E1" w14:textId="77777777" w:rsidR="00EF1D5F" w:rsidRPr="00C5122E" w:rsidRDefault="00EF1D5F" w:rsidP="003D4AD9">
            <w:pPr>
              <w:widowControl w:val="0"/>
              <w:pBdr>
                <w:top w:val="nil"/>
                <w:left w:val="nil"/>
                <w:bottom w:val="nil"/>
                <w:right w:val="nil"/>
                <w:between w:val="nil"/>
              </w:pBdr>
              <w:spacing w:before="12" w:line="185" w:lineRule="auto"/>
              <w:ind w:left="39" w:right="16"/>
              <w:jc w:val="right"/>
              <w:rPr>
                <w:color w:val="3B3838"/>
                <w:sz w:val="16"/>
                <w:szCs w:val="16"/>
              </w:rPr>
            </w:pPr>
            <w:r w:rsidRPr="00C5122E">
              <w:rPr>
                <w:color w:val="3B3838"/>
                <w:sz w:val="16"/>
                <w:szCs w:val="16"/>
              </w:rPr>
              <w:t>0,25</w:t>
            </w:r>
          </w:p>
        </w:tc>
        <w:tc>
          <w:tcPr>
            <w:tcW w:w="1918" w:type="dxa"/>
            <w:vAlign w:val="center"/>
          </w:tcPr>
          <w:p w14:paraId="703BFFD6" w14:textId="77777777" w:rsidR="00EF1D5F" w:rsidRPr="00C5122E" w:rsidRDefault="00EF1D5F" w:rsidP="003D4AD9">
            <w:pPr>
              <w:widowControl w:val="0"/>
              <w:pBdr>
                <w:top w:val="nil"/>
                <w:left w:val="nil"/>
                <w:bottom w:val="nil"/>
                <w:right w:val="nil"/>
                <w:between w:val="nil"/>
              </w:pBdr>
              <w:spacing w:before="12" w:line="185" w:lineRule="auto"/>
              <w:ind w:left="40"/>
              <w:jc w:val="right"/>
              <w:rPr>
                <w:color w:val="3B3838"/>
                <w:sz w:val="16"/>
                <w:szCs w:val="16"/>
              </w:rPr>
            </w:pPr>
            <w:r w:rsidRPr="00C5122E">
              <w:rPr>
                <w:color w:val="3B3838"/>
                <w:sz w:val="16"/>
                <w:szCs w:val="16"/>
              </w:rPr>
              <w:t>375</w:t>
            </w:r>
          </w:p>
        </w:tc>
      </w:tr>
      <w:tr w:rsidR="00EF1D5F" w14:paraId="2904E871" w14:textId="77777777" w:rsidTr="004C5043">
        <w:trPr>
          <w:trHeight w:val="20"/>
        </w:trPr>
        <w:tc>
          <w:tcPr>
            <w:tcW w:w="2448" w:type="dxa"/>
            <w:vAlign w:val="center"/>
          </w:tcPr>
          <w:p w14:paraId="55ED5FAA" w14:textId="77777777" w:rsidR="00EF1D5F" w:rsidRPr="00C5122E" w:rsidRDefault="00EF1D5F" w:rsidP="003D4AD9">
            <w:pPr>
              <w:widowControl w:val="0"/>
              <w:pBdr>
                <w:top w:val="nil"/>
                <w:left w:val="nil"/>
                <w:bottom w:val="nil"/>
                <w:right w:val="nil"/>
                <w:between w:val="nil"/>
              </w:pBdr>
              <w:spacing w:before="30" w:line="157" w:lineRule="auto"/>
              <w:ind w:left="75" w:right="16"/>
              <w:jc w:val="left"/>
              <w:rPr>
                <w:b/>
                <w:color w:val="3B3838"/>
                <w:sz w:val="16"/>
                <w:szCs w:val="16"/>
              </w:rPr>
            </w:pPr>
            <w:r w:rsidRPr="00C5122E">
              <w:rPr>
                <w:b/>
                <w:color w:val="3B3838"/>
                <w:sz w:val="16"/>
                <w:szCs w:val="16"/>
              </w:rPr>
              <w:t>Recreación</w:t>
            </w:r>
          </w:p>
        </w:tc>
        <w:tc>
          <w:tcPr>
            <w:tcW w:w="2447" w:type="dxa"/>
            <w:vAlign w:val="center"/>
          </w:tcPr>
          <w:p w14:paraId="0E7BD806" w14:textId="77777777" w:rsidR="00EF1D5F" w:rsidRPr="00C5122E" w:rsidRDefault="00EF1D5F" w:rsidP="003D4AD9">
            <w:pPr>
              <w:widowControl w:val="0"/>
              <w:pBdr>
                <w:top w:val="nil"/>
                <w:left w:val="nil"/>
                <w:bottom w:val="nil"/>
                <w:right w:val="nil"/>
                <w:between w:val="nil"/>
              </w:pBdr>
              <w:spacing w:before="12" w:line="175" w:lineRule="auto"/>
              <w:ind w:left="86" w:right="31"/>
              <w:jc w:val="right"/>
              <w:rPr>
                <w:color w:val="3B3838"/>
                <w:sz w:val="16"/>
                <w:szCs w:val="16"/>
              </w:rPr>
            </w:pPr>
            <w:r w:rsidRPr="00C5122E">
              <w:rPr>
                <w:color w:val="3B3838"/>
                <w:sz w:val="16"/>
                <w:szCs w:val="16"/>
              </w:rPr>
              <w:t>6.750</w:t>
            </w:r>
          </w:p>
        </w:tc>
        <w:tc>
          <w:tcPr>
            <w:tcW w:w="2194" w:type="dxa"/>
            <w:vAlign w:val="center"/>
          </w:tcPr>
          <w:p w14:paraId="401B1ACC" w14:textId="77777777" w:rsidR="00EF1D5F" w:rsidRPr="00C5122E" w:rsidRDefault="00EF1D5F" w:rsidP="003D4AD9">
            <w:pPr>
              <w:widowControl w:val="0"/>
              <w:pBdr>
                <w:top w:val="nil"/>
                <w:left w:val="nil"/>
                <w:bottom w:val="nil"/>
                <w:right w:val="nil"/>
                <w:between w:val="nil"/>
              </w:pBdr>
              <w:spacing w:before="12" w:line="175" w:lineRule="auto"/>
              <w:ind w:left="39" w:right="37"/>
              <w:jc w:val="right"/>
              <w:rPr>
                <w:color w:val="3B3838"/>
                <w:sz w:val="16"/>
                <w:szCs w:val="16"/>
              </w:rPr>
            </w:pPr>
            <w:r w:rsidRPr="00C5122E">
              <w:rPr>
                <w:color w:val="3B3838"/>
                <w:sz w:val="16"/>
                <w:szCs w:val="16"/>
              </w:rPr>
              <w:t>0,5</w:t>
            </w:r>
          </w:p>
        </w:tc>
        <w:tc>
          <w:tcPr>
            <w:tcW w:w="1918" w:type="dxa"/>
            <w:vAlign w:val="center"/>
          </w:tcPr>
          <w:p w14:paraId="6ADFDBEC" w14:textId="77777777" w:rsidR="00EF1D5F" w:rsidRPr="00C5122E" w:rsidRDefault="00EF1D5F" w:rsidP="003D4AD9">
            <w:pPr>
              <w:widowControl w:val="0"/>
              <w:pBdr>
                <w:top w:val="nil"/>
                <w:left w:val="nil"/>
                <w:bottom w:val="nil"/>
                <w:right w:val="nil"/>
                <w:between w:val="nil"/>
              </w:pBdr>
              <w:spacing w:before="12" w:line="175" w:lineRule="auto"/>
              <w:ind w:left="40"/>
              <w:jc w:val="right"/>
              <w:rPr>
                <w:color w:val="3B3838"/>
                <w:sz w:val="16"/>
                <w:szCs w:val="16"/>
              </w:rPr>
            </w:pPr>
            <w:r w:rsidRPr="00C5122E">
              <w:rPr>
                <w:color w:val="3B3838"/>
                <w:sz w:val="16"/>
                <w:szCs w:val="16"/>
              </w:rPr>
              <w:t>3.375</w:t>
            </w:r>
          </w:p>
        </w:tc>
      </w:tr>
    </w:tbl>
    <w:p w14:paraId="4C31D3BE" w14:textId="77777777" w:rsidR="00EF1D5F" w:rsidRDefault="00EF1D5F" w:rsidP="00CC3D4D">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Cantidad de equipamientos y área construida óptima. Adaptado de la Secretaría Distrital de Planeación (SDP). (2021a). </w:t>
      </w:r>
      <w:r>
        <w:rPr>
          <w:i/>
          <w:color w:val="3B3838"/>
          <w:sz w:val="18"/>
          <w:szCs w:val="18"/>
        </w:rPr>
        <w:t>“Documento Técnico de Soporte, Libro II Componente Urbano”.</w:t>
      </w:r>
      <w:r>
        <w:rPr>
          <w:color w:val="3B3838"/>
          <w:sz w:val="18"/>
          <w:szCs w:val="18"/>
        </w:rPr>
        <w:t xml:space="preserve"> Plan de Ordenamiento Territorial, </w:t>
      </w:r>
    </w:p>
    <w:p w14:paraId="2E94FA04" w14:textId="77777777" w:rsidR="00EF1D5F" w:rsidRDefault="00EF1D5F" w:rsidP="00CC3D4D">
      <w:pPr>
        <w:pBdr>
          <w:top w:val="nil"/>
          <w:left w:val="nil"/>
          <w:bottom w:val="nil"/>
          <w:right w:val="nil"/>
          <w:between w:val="nil"/>
        </w:pBdr>
        <w:spacing w:line="220" w:lineRule="auto"/>
        <w:jc w:val="center"/>
        <w:rPr>
          <w:color w:val="3B3838"/>
          <w:sz w:val="18"/>
          <w:szCs w:val="18"/>
        </w:rPr>
      </w:pPr>
      <w:r>
        <w:rPr>
          <w:color w:val="3B3838"/>
          <w:sz w:val="18"/>
          <w:szCs w:val="18"/>
        </w:rPr>
        <w:t>Bogotá.</w:t>
      </w:r>
    </w:p>
    <w:p w14:paraId="244824B3" w14:textId="77777777" w:rsidR="00EF1D5F" w:rsidRDefault="00EF1D5F"/>
    <w:p w14:paraId="7EB4B82C" w14:textId="2AFBBF5F" w:rsidR="00EF1D5F" w:rsidRPr="004C1DBE" w:rsidRDefault="00EF1D5F" w:rsidP="004C1DBE">
      <w:pPr>
        <w:keepNext/>
        <w:keepLines/>
        <w:pBdr>
          <w:top w:val="nil"/>
          <w:left w:val="nil"/>
          <w:bottom w:val="nil"/>
          <w:right w:val="nil"/>
          <w:between w:val="nil"/>
        </w:pBdr>
        <w:spacing w:line="340" w:lineRule="auto"/>
        <w:ind w:firstLine="708"/>
        <w:jc w:val="left"/>
        <w:rPr>
          <w:b/>
          <w:sz w:val="28"/>
          <w:szCs w:val="28"/>
        </w:rPr>
        <w:sectPr w:rsidR="00EF1D5F" w:rsidRPr="004C1DBE" w:rsidSect="00F7078E">
          <w:type w:val="continuous"/>
          <w:pgSz w:w="12240" w:h="15840"/>
          <w:pgMar w:top="2262" w:right="1440" w:bottom="1440" w:left="1440" w:header="708" w:footer="708" w:gutter="0"/>
          <w:cols w:space="720"/>
        </w:sectPr>
      </w:pPr>
      <w:r w:rsidRPr="004C1DBE">
        <w:rPr>
          <w:b/>
          <w:sz w:val="28"/>
          <w:szCs w:val="28"/>
        </w:rPr>
        <w:t>Descripción del programa</w:t>
      </w:r>
    </w:p>
    <w:p w14:paraId="760A6552" w14:textId="77777777" w:rsidR="00EF1D5F" w:rsidRPr="000F75EB" w:rsidRDefault="00EF1D5F" w:rsidP="000F75EB">
      <w:pPr>
        <w:rPr>
          <w:spacing w:val="-6"/>
          <w:highlight w:val="white"/>
        </w:rPr>
      </w:pPr>
      <w:r w:rsidRPr="000F75EB">
        <w:rPr>
          <w:spacing w:val="-6"/>
          <w:highlight w:val="white"/>
        </w:rPr>
        <w:t xml:space="preserve">Un hábitat digno involucra tanto las condiciones de vivienda como del entorno frente a una oferta de servicios dotacionales, especialmente los equipamientos sociales del cuidado en educación, salud, integración social, cultura, recreación y deporte, </w:t>
      </w:r>
      <w:r w:rsidRPr="000F75EB">
        <w:rPr>
          <w:spacing w:val="-6"/>
          <w:highlight w:val="white"/>
        </w:rPr>
        <w:t>urbanos y rurales. Se buscará mejorar las condiciones habitacionales incluyendo los equipamientos sociales, entre otros.</w:t>
      </w:r>
    </w:p>
    <w:p w14:paraId="07DDE604" w14:textId="77777777" w:rsidR="00EF1D5F" w:rsidRPr="000F75EB" w:rsidRDefault="00EF1D5F" w:rsidP="000F75EB">
      <w:pPr>
        <w:rPr>
          <w:highlight w:val="white"/>
        </w:rPr>
      </w:pPr>
    </w:p>
    <w:p w14:paraId="66CDD83B" w14:textId="77777777" w:rsidR="00EF1D5F" w:rsidRPr="000F75EB" w:rsidRDefault="00EF1D5F" w:rsidP="000F75EB">
      <w:pPr>
        <w:rPr>
          <w:highlight w:val="white"/>
        </w:rPr>
      </w:pPr>
      <w:r w:rsidRPr="000F75EB">
        <w:rPr>
          <w:highlight w:val="white"/>
        </w:rPr>
        <w:lastRenderedPageBreak/>
        <w:t>Una de las grandes apuestas de Bogotá es garantizar la educación inicial en jardines infantiles y en colegios públicos de la ciudad, conforme con el propósito de universalizar los tres grados del preescolar (prejardín, jardín y transición) que dispone la Ley General de Educación, Ley 115 de 1994.</w:t>
      </w:r>
    </w:p>
    <w:p w14:paraId="01ED32CB" w14:textId="77777777" w:rsidR="00EF1D5F" w:rsidRPr="000F75EB" w:rsidRDefault="00EF1D5F" w:rsidP="000F75EB">
      <w:pPr>
        <w:rPr>
          <w:highlight w:val="white"/>
        </w:rPr>
      </w:pPr>
    </w:p>
    <w:p w14:paraId="03C243AE" w14:textId="77777777" w:rsidR="00EF1D5F" w:rsidRPr="000F75EB" w:rsidRDefault="00EF1D5F" w:rsidP="000F75EB">
      <w:pPr>
        <w:rPr>
          <w:highlight w:val="white"/>
        </w:rPr>
      </w:pPr>
      <w:r w:rsidRPr="000F75EB">
        <w:rPr>
          <w:highlight w:val="white"/>
        </w:rPr>
        <w:t>Este programa busca reducir los desequilibrios y desigualdades en el territorio, garantizando que los habitantes de las zonas rurales y urbanas accedan a los servicios sociales del cuidado a través de intervenciones y proyectos de calidad en educación, salud, integración social, cultura, que les permitan ejercer mejor, y de manera más próxima a sus viviendas, sus derechos. Aumentar la oferta educativa, cultural, de integración social y de salud, desarrollando intervenciones en materia de infraestructura de calidad y proximidad que contribuyan a la reducción de los déficits existentes en la oferta de servicios sociales.</w:t>
      </w:r>
    </w:p>
    <w:p w14:paraId="4EAB2AF3" w14:textId="77777777" w:rsidR="00EF1D5F" w:rsidRPr="000F75EB" w:rsidRDefault="00EF1D5F" w:rsidP="000F75EB">
      <w:pPr>
        <w:rPr>
          <w:highlight w:val="white"/>
        </w:rPr>
      </w:pPr>
    </w:p>
    <w:p w14:paraId="179B9AB7" w14:textId="77777777" w:rsidR="00EF1D5F" w:rsidRPr="000F75EB" w:rsidRDefault="00EF1D5F" w:rsidP="000F75EB">
      <w:pPr>
        <w:rPr>
          <w:highlight w:val="white"/>
        </w:rPr>
      </w:pPr>
      <w:r w:rsidRPr="000F75EB">
        <w:rPr>
          <w:highlight w:val="white"/>
        </w:rPr>
        <w:t xml:space="preserve">La construcción de infraestructura de educación se concentrará en la restitución de colegios existentes para mejorar su estado, y el desarrollo de nueva infraestructura se priorizará para la extensión de la jornada única y fortalecer la oferta de algunas localidades donde todavía se requieren más cupos. Así, la expansión de la infraestructura educativa tendrá énfasis especialmente en la ampliación del tiempo escolar y la atención a niños, niñas y jóvenes desde la primera infancia hasta la media, crear espacios educativos acogedores y motivadores que fomenten la inclusión, la accesibilidad, la permanencia y el contacto con la naturaleza. De igual </w:t>
      </w:r>
      <w:r w:rsidRPr="000F75EB">
        <w:rPr>
          <w:highlight w:val="white"/>
        </w:rPr>
        <w:t>forma, se seguirán restituyendo instituciones educativas en aras de mantener y mejorar las sedes educativas que lo requieran.</w:t>
      </w:r>
    </w:p>
    <w:p w14:paraId="478B1EFE" w14:textId="77777777" w:rsidR="00EF1D5F" w:rsidRPr="000F75EB" w:rsidRDefault="00EF1D5F" w:rsidP="000F75EB">
      <w:pPr>
        <w:rPr>
          <w:highlight w:val="white"/>
        </w:rPr>
      </w:pPr>
    </w:p>
    <w:p w14:paraId="3F30DF2C" w14:textId="77777777" w:rsidR="00EF1D5F" w:rsidRPr="000F75EB" w:rsidRDefault="00EF1D5F" w:rsidP="000F75EB">
      <w:pPr>
        <w:rPr>
          <w:highlight w:val="white"/>
        </w:rPr>
      </w:pPr>
      <w:r w:rsidRPr="000F75EB">
        <w:rPr>
          <w:highlight w:val="white"/>
        </w:rPr>
        <w:t>Por otra parte, se construirán infraestructuras de salud donde el déficit lo requiera, de acuerdo con la red de salud existente en la ciudad, de manera que las personas puedan tener acceso a una oferta de servicios sanitarios de manera más ágil, y de acuerdo con la complejidad de sus necesidades.</w:t>
      </w:r>
    </w:p>
    <w:p w14:paraId="50EE8036" w14:textId="77777777" w:rsidR="00EF1D5F" w:rsidRPr="000F75EB" w:rsidRDefault="00EF1D5F" w:rsidP="000F75EB">
      <w:pPr>
        <w:rPr>
          <w:highlight w:val="white"/>
        </w:rPr>
      </w:pPr>
    </w:p>
    <w:p w14:paraId="68B980AA" w14:textId="77777777" w:rsidR="00EF1D5F" w:rsidRPr="000F75EB" w:rsidRDefault="00EF1D5F" w:rsidP="000F75EB">
      <w:pPr>
        <w:rPr>
          <w:highlight w:val="white"/>
        </w:rPr>
      </w:pPr>
      <w:r w:rsidRPr="000F75EB">
        <w:rPr>
          <w:highlight w:val="white"/>
        </w:rPr>
        <w:t>En relación con la oferta de equipamientos culturales, se buscará que las comunidades tengan un acceso más cercano a la oferta de centros culturales, de manera que puedan disfrutar las diferentes alternativas de desarrollo cultural que ofrece el Distrito Capital, sin necesidad de desplazarse hacia las zonas céntricas de la ciudad.</w:t>
      </w:r>
    </w:p>
    <w:p w14:paraId="2F89ECED" w14:textId="77777777" w:rsidR="00EF1D5F" w:rsidRPr="000F75EB" w:rsidRDefault="00EF1D5F" w:rsidP="000F75EB">
      <w:pPr>
        <w:rPr>
          <w:highlight w:val="white"/>
        </w:rPr>
      </w:pPr>
    </w:p>
    <w:p w14:paraId="5F0ACA1F" w14:textId="56FEA983" w:rsidR="00EF1D5F" w:rsidRPr="004C1DBE" w:rsidRDefault="00EF1D5F" w:rsidP="000F75EB">
      <w:pPr>
        <w:rPr>
          <w:highlight w:val="white"/>
        </w:rPr>
        <w:sectPr w:rsidR="00EF1D5F" w:rsidRPr="004C1DBE" w:rsidSect="00F7078E">
          <w:type w:val="continuous"/>
          <w:pgSz w:w="12240" w:h="15840"/>
          <w:pgMar w:top="2262" w:right="1440" w:bottom="1440" w:left="1440" w:header="708" w:footer="708" w:gutter="0"/>
          <w:cols w:num="2" w:space="567"/>
        </w:sectPr>
      </w:pPr>
      <w:r w:rsidRPr="000F75EB">
        <w:rPr>
          <w:highlight w:val="white"/>
        </w:rPr>
        <w:t>Dado que la apuesta de ciudad es acercar los servicios a la ciudadanía, la oferta de nueva infraestructura para la prestación de servicios sociales con estándares de calidad busca ampliar cobertura en los servicios sociales, acciones orientadas a la intervención de la infraestructura física en la cual se prestan los servicios sociales de Integración Social con el fin de prestar servicios sociales de calidad. La meta es acercar los servicios a la población, lo que implica relocalizar la oferta y, por ende, hacer intervenciones locativas según se requiera, como mantenimientos, reforzamientos o adecuaciones de los espacios físicos que permitan el cumplimiento de los estándares</w:t>
      </w:r>
      <w:r w:rsidRPr="000F75EB">
        <w:t>.</w:t>
      </w:r>
    </w:p>
    <w:p w14:paraId="3BF8F854" w14:textId="77777777" w:rsidR="00EF1D5F" w:rsidRDefault="00EF1D5F"/>
    <w:p w14:paraId="126E89BE" w14:textId="77777777" w:rsidR="005B593C" w:rsidRDefault="005B593C" w:rsidP="00234944">
      <w:pPr>
        <w:pBdr>
          <w:top w:val="nil"/>
          <w:left w:val="nil"/>
          <w:bottom w:val="nil"/>
          <w:right w:val="nil"/>
          <w:between w:val="nil"/>
        </w:pBdr>
        <w:spacing w:line="220" w:lineRule="auto"/>
        <w:jc w:val="center"/>
        <w:rPr>
          <w:b/>
          <w:color w:val="C00000"/>
          <w:sz w:val="18"/>
          <w:szCs w:val="18"/>
        </w:rPr>
      </w:pPr>
    </w:p>
    <w:p w14:paraId="15B54D42" w14:textId="77777777" w:rsidR="005B593C" w:rsidRDefault="005B593C" w:rsidP="00234944">
      <w:pPr>
        <w:pBdr>
          <w:top w:val="nil"/>
          <w:left w:val="nil"/>
          <w:bottom w:val="nil"/>
          <w:right w:val="nil"/>
          <w:between w:val="nil"/>
        </w:pBdr>
        <w:spacing w:line="220" w:lineRule="auto"/>
        <w:jc w:val="center"/>
        <w:rPr>
          <w:b/>
          <w:color w:val="C00000"/>
          <w:sz w:val="18"/>
          <w:szCs w:val="18"/>
        </w:rPr>
      </w:pPr>
      <w:r>
        <w:rPr>
          <w:b/>
          <w:color w:val="C00000"/>
          <w:sz w:val="18"/>
          <w:szCs w:val="18"/>
        </w:rPr>
        <w:br w:type="page"/>
      </w:r>
    </w:p>
    <w:p w14:paraId="595B8C06" w14:textId="3C0AE5B0" w:rsidR="00EF1D5F" w:rsidRPr="00926159" w:rsidRDefault="00926159" w:rsidP="00926159">
      <w:pPr>
        <w:pStyle w:val="Descripcin"/>
        <w:jc w:val="center"/>
        <w:rPr>
          <w:sz w:val="18"/>
        </w:rPr>
      </w:pPr>
      <w:bookmarkStart w:id="408" w:name="_Toc165169963"/>
      <w:r w:rsidRPr="00926159">
        <w:rPr>
          <w:color w:val="C00000"/>
          <w:sz w:val="18"/>
        </w:rPr>
        <w:lastRenderedPageBreak/>
        <w:t xml:space="preserve">Tabla </w:t>
      </w:r>
      <w:r w:rsidRPr="00926159">
        <w:rPr>
          <w:color w:val="C00000"/>
          <w:sz w:val="18"/>
        </w:rPr>
        <w:fldChar w:fldCharType="begin"/>
      </w:r>
      <w:r w:rsidRPr="00926159">
        <w:rPr>
          <w:color w:val="C00000"/>
          <w:sz w:val="18"/>
        </w:rPr>
        <w:instrText xml:space="preserve"> SEQ Tabla \* ARABIC </w:instrText>
      </w:r>
      <w:r w:rsidRPr="00926159">
        <w:rPr>
          <w:color w:val="C00000"/>
          <w:sz w:val="18"/>
        </w:rPr>
        <w:fldChar w:fldCharType="separate"/>
      </w:r>
      <w:r w:rsidR="00D01651">
        <w:rPr>
          <w:noProof/>
          <w:color w:val="C00000"/>
          <w:sz w:val="18"/>
        </w:rPr>
        <w:t>53</w:t>
      </w:r>
      <w:r w:rsidRPr="00926159">
        <w:rPr>
          <w:color w:val="C00000"/>
          <w:sz w:val="18"/>
        </w:rPr>
        <w:fldChar w:fldCharType="end"/>
      </w:r>
      <w:r w:rsidRPr="00926159">
        <w:rPr>
          <w:color w:val="C00000"/>
          <w:sz w:val="18"/>
        </w:rPr>
        <w:t xml:space="preserve">. </w:t>
      </w:r>
      <w:r w:rsidR="00EF1D5F" w:rsidRPr="00926159">
        <w:rPr>
          <w:sz w:val="18"/>
        </w:rPr>
        <w:t>Metas del programa 30</w:t>
      </w:r>
      <w:r>
        <w:rPr>
          <w:sz w:val="18"/>
        </w:rPr>
        <w:t>:</w:t>
      </w:r>
      <w:r w:rsidR="00EF1D5F" w:rsidRPr="00926159">
        <w:rPr>
          <w:sz w:val="18"/>
        </w:rPr>
        <w:t xml:space="preserve"> Atención del déficit social para un hábitat digno</w:t>
      </w:r>
      <w:bookmarkEnd w:id="408"/>
    </w:p>
    <w:tbl>
      <w:tblPr>
        <w:tblW w:w="8838" w:type="dxa"/>
        <w:tblBorders>
          <w:insideH w:val="double" w:sz="4" w:space="0" w:color="C00000"/>
          <w:insideV w:val="double" w:sz="4" w:space="0" w:color="C00000"/>
        </w:tblBorders>
        <w:tblLayout w:type="fixed"/>
        <w:tblLook w:val="0600" w:firstRow="0" w:lastRow="0" w:firstColumn="0" w:lastColumn="0" w:noHBand="1" w:noVBand="1"/>
      </w:tblPr>
      <w:tblGrid>
        <w:gridCol w:w="2410"/>
        <w:gridCol w:w="1276"/>
        <w:gridCol w:w="1270"/>
        <w:gridCol w:w="1275"/>
        <w:gridCol w:w="1276"/>
        <w:gridCol w:w="1331"/>
      </w:tblGrid>
      <w:tr w:rsidR="00EF1D5F" w14:paraId="2ECD10C7" w14:textId="77777777" w:rsidTr="00225A55">
        <w:trPr>
          <w:trHeight w:val="600"/>
          <w:tblHeader/>
        </w:trPr>
        <w:tc>
          <w:tcPr>
            <w:tcW w:w="2410" w:type="dxa"/>
            <w:vMerge w:val="restart"/>
            <w:tcBorders>
              <w:top w:val="nil"/>
              <w:bottom w:val="double" w:sz="4" w:space="0" w:color="C00000"/>
            </w:tcBorders>
            <w:shd w:val="clear" w:color="auto" w:fill="C00000"/>
            <w:tcMar>
              <w:top w:w="40" w:type="dxa"/>
              <w:left w:w="40" w:type="dxa"/>
              <w:bottom w:w="40" w:type="dxa"/>
              <w:right w:w="40" w:type="dxa"/>
            </w:tcMar>
            <w:vAlign w:val="center"/>
          </w:tcPr>
          <w:p w14:paraId="601A5750" w14:textId="77777777" w:rsidR="00EF1D5F" w:rsidRDefault="00EF1D5F" w:rsidP="003D4AD9">
            <w:pPr>
              <w:widowControl w:val="0"/>
              <w:spacing w:line="276" w:lineRule="auto"/>
              <w:jc w:val="center"/>
              <w:rPr>
                <w:b/>
                <w:color w:val="FFFFFF"/>
                <w:sz w:val="24"/>
              </w:rPr>
            </w:pPr>
            <w:r>
              <w:rPr>
                <w:b/>
                <w:color w:val="FFFFFF"/>
                <w:sz w:val="24"/>
              </w:rPr>
              <w:t>SECTOR / Metas</w:t>
            </w:r>
          </w:p>
        </w:tc>
        <w:tc>
          <w:tcPr>
            <w:tcW w:w="6428" w:type="dxa"/>
            <w:gridSpan w:val="5"/>
            <w:tcBorders>
              <w:top w:val="nil"/>
              <w:bottom w:val="double" w:sz="4" w:space="0" w:color="C00000"/>
            </w:tcBorders>
            <w:shd w:val="clear" w:color="auto" w:fill="C00000"/>
            <w:tcMar>
              <w:top w:w="40" w:type="dxa"/>
              <w:left w:w="40" w:type="dxa"/>
              <w:bottom w:w="40" w:type="dxa"/>
              <w:right w:w="40" w:type="dxa"/>
            </w:tcMar>
            <w:vAlign w:val="center"/>
          </w:tcPr>
          <w:p w14:paraId="6D947712" w14:textId="77777777" w:rsidR="00EF1D5F" w:rsidRDefault="00EF1D5F" w:rsidP="003D4AD9">
            <w:pPr>
              <w:widowControl w:val="0"/>
              <w:spacing w:line="276" w:lineRule="auto"/>
              <w:jc w:val="center"/>
              <w:rPr>
                <w:b/>
                <w:color w:val="FFFFFF"/>
                <w:sz w:val="24"/>
              </w:rPr>
            </w:pPr>
            <w:r>
              <w:rPr>
                <w:b/>
                <w:color w:val="FFFFFF"/>
                <w:sz w:val="24"/>
              </w:rPr>
              <w:t>Magnitudes e Inversión</w:t>
            </w:r>
          </w:p>
          <w:p w14:paraId="73A8D3AA" w14:textId="77777777" w:rsidR="00EF1D5F" w:rsidRDefault="00EF1D5F" w:rsidP="003D4AD9">
            <w:pPr>
              <w:widowControl w:val="0"/>
              <w:spacing w:line="276" w:lineRule="auto"/>
              <w:jc w:val="center"/>
              <w:rPr>
                <w:rFonts w:ascii="Arial" w:eastAsia="Arial" w:hAnsi="Arial" w:cs="Arial"/>
                <w:color w:val="000000"/>
              </w:rPr>
            </w:pPr>
            <w:r>
              <w:rPr>
                <w:b/>
                <w:color w:val="FFFFFF"/>
                <w:sz w:val="18"/>
                <w:szCs w:val="18"/>
              </w:rPr>
              <w:t>(Precios Constantes 2024)</w:t>
            </w:r>
          </w:p>
        </w:tc>
      </w:tr>
      <w:tr w:rsidR="00EF1D5F" w14:paraId="04CD8439" w14:textId="77777777" w:rsidTr="005B593C">
        <w:trPr>
          <w:trHeight w:val="315"/>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0C096B0D" w14:textId="77777777" w:rsidR="00EF1D5F" w:rsidRDefault="00EF1D5F" w:rsidP="003D4AD9">
            <w:pPr>
              <w:widowControl w:val="0"/>
              <w:spacing w:line="276" w:lineRule="auto"/>
              <w:jc w:val="left"/>
              <w:rPr>
                <w:rFonts w:ascii="Arial" w:eastAsia="Arial" w:hAnsi="Arial" w:cs="Arial"/>
                <w:color w:val="000000"/>
              </w:rPr>
            </w:pPr>
          </w:p>
        </w:tc>
        <w:tc>
          <w:tcPr>
            <w:tcW w:w="1276" w:type="dxa"/>
            <w:tcBorders>
              <w:top w:val="double" w:sz="4" w:space="0" w:color="C00000"/>
              <w:bottom w:val="double" w:sz="4" w:space="0" w:color="C00000"/>
            </w:tcBorders>
            <w:shd w:val="clear" w:color="auto" w:fill="D9D9D9"/>
            <w:tcMar>
              <w:top w:w="40" w:type="dxa"/>
              <w:left w:w="40" w:type="dxa"/>
              <w:bottom w:w="40" w:type="dxa"/>
              <w:right w:w="40" w:type="dxa"/>
            </w:tcMar>
            <w:vAlign w:val="center"/>
          </w:tcPr>
          <w:p w14:paraId="605C9382" w14:textId="77777777" w:rsidR="00EF1D5F" w:rsidRDefault="00EF1D5F" w:rsidP="003D4AD9">
            <w:pPr>
              <w:widowControl w:val="0"/>
              <w:spacing w:line="276" w:lineRule="auto"/>
              <w:jc w:val="center"/>
              <w:rPr>
                <w:rFonts w:ascii="Arial" w:eastAsia="Arial" w:hAnsi="Arial" w:cs="Arial"/>
                <w:color w:val="000000"/>
              </w:rPr>
            </w:pPr>
            <w:r>
              <w:rPr>
                <w:b/>
                <w:color w:val="000000"/>
              </w:rPr>
              <w:t>2024</w:t>
            </w:r>
          </w:p>
        </w:tc>
        <w:tc>
          <w:tcPr>
            <w:tcW w:w="1270" w:type="dxa"/>
            <w:tcBorders>
              <w:top w:val="double" w:sz="4" w:space="0" w:color="C00000"/>
              <w:bottom w:val="double" w:sz="4" w:space="0" w:color="C00000"/>
            </w:tcBorders>
            <w:shd w:val="clear" w:color="auto" w:fill="D9D9D9"/>
            <w:tcMar>
              <w:top w:w="40" w:type="dxa"/>
              <w:left w:w="40" w:type="dxa"/>
              <w:bottom w:w="40" w:type="dxa"/>
              <w:right w:w="40" w:type="dxa"/>
            </w:tcMar>
            <w:vAlign w:val="center"/>
          </w:tcPr>
          <w:p w14:paraId="5A93CE7F" w14:textId="77777777" w:rsidR="00EF1D5F" w:rsidRDefault="00EF1D5F" w:rsidP="003D4AD9">
            <w:pPr>
              <w:widowControl w:val="0"/>
              <w:spacing w:line="276" w:lineRule="auto"/>
              <w:jc w:val="center"/>
              <w:rPr>
                <w:rFonts w:ascii="Arial" w:eastAsia="Arial" w:hAnsi="Arial" w:cs="Arial"/>
                <w:color w:val="000000"/>
              </w:rPr>
            </w:pPr>
            <w:r>
              <w:rPr>
                <w:b/>
                <w:color w:val="000000"/>
              </w:rPr>
              <w:t>2025</w:t>
            </w:r>
          </w:p>
        </w:tc>
        <w:tc>
          <w:tcPr>
            <w:tcW w:w="1275" w:type="dxa"/>
            <w:tcBorders>
              <w:top w:val="double" w:sz="4" w:space="0" w:color="C00000"/>
              <w:bottom w:val="double" w:sz="4" w:space="0" w:color="C00000"/>
            </w:tcBorders>
            <w:shd w:val="clear" w:color="auto" w:fill="D9D9D9"/>
            <w:tcMar>
              <w:top w:w="40" w:type="dxa"/>
              <w:left w:w="40" w:type="dxa"/>
              <w:bottom w:w="40" w:type="dxa"/>
              <w:right w:w="40" w:type="dxa"/>
            </w:tcMar>
            <w:vAlign w:val="center"/>
          </w:tcPr>
          <w:p w14:paraId="7365CA08" w14:textId="77777777" w:rsidR="00EF1D5F" w:rsidRDefault="00EF1D5F" w:rsidP="003D4AD9">
            <w:pPr>
              <w:widowControl w:val="0"/>
              <w:spacing w:line="276" w:lineRule="auto"/>
              <w:jc w:val="center"/>
              <w:rPr>
                <w:rFonts w:ascii="Arial" w:eastAsia="Arial" w:hAnsi="Arial" w:cs="Arial"/>
                <w:color w:val="000000"/>
              </w:rPr>
            </w:pPr>
            <w:r>
              <w:rPr>
                <w:b/>
                <w:color w:val="000000"/>
              </w:rPr>
              <w:t>2026</w:t>
            </w:r>
          </w:p>
        </w:tc>
        <w:tc>
          <w:tcPr>
            <w:tcW w:w="1276" w:type="dxa"/>
            <w:tcBorders>
              <w:top w:val="double" w:sz="4" w:space="0" w:color="C00000"/>
              <w:bottom w:val="double" w:sz="4" w:space="0" w:color="C00000"/>
            </w:tcBorders>
            <w:shd w:val="clear" w:color="auto" w:fill="D9D9D9"/>
            <w:tcMar>
              <w:top w:w="40" w:type="dxa"/>
              <w:left w:w="40" w:type="dxa"/>
              <w:bottom w:w="40" w:type="dxa"/>
              <w:right w:w="40" w:type="dxa"/>
            </w:tcMar>
            <w:vAlign w:val="center"/>
          </w:tcPr>
          <w:p w14:paraId="23048454" w14:textId="77777777" w:rsidR="00EF1D5F" w:rsidRDefault="00EF1D5F" w:rsidP="003D4AD9">
            <w:pPr>
              <w:widowControl w:val="0"/>
              <w:spacing w:line="276" w:lineRule="auto"/>
              <w:jc w:val="center"/>
              <w:rPr>
                <w:rFonts w:ascii="Arial" w:eastAsia="Arial" w:hAnsi="Arial" w:cs="Arial"/>
                <w:color w:val="000000"/>
              </w:rPr>
            </w:pPr>
            <w:r>
              <w:rPr>
                <w:b/>
                <w:color w:val="000000"/>
              </w:rPr>
              <w:t>2027</w:t>
            </w:r>
          </w:p>
        </w:tc>
        <w:tc>
          <w:tcPr>
            <w:tcW w:w="1331" w:type="dxa"/>
            <w:tcBorders>
              <w:top w:val="double" w:sz="4" w:space="0" w:color="C00000"/>
              <w:bottom w:val="double" w:sz="4" w:space="0" w:color="C00000"/>
            </w:tcBorders>
            <w:shd w:val="clear" w:color="auto" w:fill="D9D9D9"/>
            <w:tcMar>
              <w:top w:w="40" w:type="dxa"/>
              <w:left w:w="40" w:type="dxa"/>
              <w:bottom w:w="40" w:type="dxa"/>
              <w:right w:w="40" w:type="dxa"/>
            </w:tcMar>
            <w:vAlign w:val="center"/>
          </w:tcPr>
          <w:p w14:paraId="0EE19A3B" w14:textId="7FE69389" w:rsidR="00225A55" w:rsidRDefault="00EF1D5F" w:rsidP="00225A55">
            <w:pPr>
              <w:widowControl w:val="0"/>
              <w:spacing w:line="276" w:lineRule="auto"/>
              <w:jc w:val="right"/>
              <w:rPr>
                <w:b/>
                <w:color w:val="000000"/>
              </w:rPr>
            </w:pPr>
            <w:r>
              <w:rPr>
                <w:b/>
                <w:color w:val="000000"/>
              </w:rPr>
              <w:t>Total</w:t>
            </w:r>
          </w:p>
          <w:p w14:paraId="7F5541E2" w14:textId="290A656C" w:rsidR="00EF1D5F" w:rsidRDefault="00EF1D5F" w:rsidP="00225A55">
            <w:pPr>
              <w:widowControl w:val="0"/>
              <w:spacing w:line="276" w:lineRule="auto"/>
              <w:jc w:val="right"/>
              <w:rPr>
                <w:rFonts w:ascii="Arial" w:eastAsia="Arial" w:hAnsi="Arial" w:cs="Arial"/>
                <w:color w:val="000000"/>
              </w:rPr>
            </w:pPr>
            <w:r>
              <w:rPr>
                <w:b/>
                <w:color w:val="000000"/>
              </w:rPr>
              <w:t>Inversión</w:t>
            </w:r>
          </w:p>
        </w:tc>
      </w:tr>
      <w:tr w:rsidR="00EF1D5F" w14:paraId="1725EBD9" w14:textId="77777777" w:rsidTr="005B593C">
        <w:trPr>
          <w:trHeight w:val="315"/>
        </w:trPr>
        <w:tc>
          <w:tcPr>
            <w:tcW w:w="8838" w:type="dxa"/>
            <w:gridSpan w:val="6"/>
            <w:tcBorders>
              <w:top w:val="double" w:sz="4" w:space="0" w:color="C00000"/>
              <w:bottom w:val="double" w:sz="4" w:space="0" w:color="C00000"/>
            </w:tcBorders>
            <w:shd w:val="clear" w:color="auto" w:fill="C00000"/>
            <w:tcMar>
              <w:top w:w="40" w:type="dxa"/>
              <w:left w:w="40" w:type="dxa"/>
              <w:bottom w:w="40" w:type="dxa"/>
              <w:right w:w="40" w:type="dxa"/>
            </w:tcMar>
            <w:vAlign w:val="center"/>
          </w:tcPr>
          <w:p w14:paraId="5B5641C4" w14:textId="77777777" w:rsidR="00EF1D5F" w:rsidRPr="00C5122E" w:rsidRDefault="00EF1D5F" w:rsidP="003D4AD9">
            <w:pPr>
              <w:widowControl w:val="0"/>
              <w:spacing w:line="276" w:lineRule="auto"/>
              <w:jc w:val="center"/>
              <w:rPr>
                <w:rFonts w:ascii="Arial" w:eastAsia="Arial" w:hAnsi="Arial" w:cs="Arial"/>
                <w:color w:val="FFFFFF" w:themeColor="background1"/>
              </w:rPr>
            </w:pPr>
            <w:r w:rsidRPr="00C5122E">
              <w:rPr>
                <w:b/>
                <w:color w:val="FFFFFF" w:themeColor="background1"/>
              </w:rPr>
              <w:t>EDUCACIÓN</w:t>
            </w:r>
          </w:p>
        </w:tc>
      </w:tr>
      <w:tr w:rsidR="00EF1D5F" w14:paraId="0869B1EF" w14:textId="77777777" w:rsidTr="005B593C">
        <w:trPr>
          <w:trHeight w:val="198"/>
        </w:trPr>
        <w:tc>
          <w:tcPr>
            <w:tcW w:w="2410"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4D5B009" w14:textId="77777777" w:rsidR="00EF1D5F" w:rsidRPr="00C5122E" w:rsidRDefault="00EF1D5F" w:rsidP="003D4AD9">
            <w:pPr>
              <w:widowControl w:val="0"/>
              <w:spacing w:line="276" w:lineRule="auto"/>
              <w:jc w:val="left"/>
              <w:rPr>
                <w:color w:val="000000"/>
                <w:sz w:val="16"/>
                <w:szCs w:val="16"/>
              </w:rPr>
            </w:pPr>
            <w:r w:rsidRPr="00C5122E">
              <w:rPr>
                <w:color w:val="000000"/>
                <w:sz w:val="16"/>
                <w:szCs w:val="16"/>
              </w:rPr>
              <w:t>Entregar 12 colegios restituidos y dotados para mejorar la calidad de la oferta educativa</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4CF18B2"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7F32CD3"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4</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170B4B0F"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4</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74B3EF7"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3</w:t>
            </w:r>
          </w:p>
        </w:tc>
        <w:tc>
          <w:tcPr>
            <w:tcW w:w="1331"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CBB4C45" w14:textId="77777777" w:rsidR="00EF1D5F" w:rsidRPr="00C5122E" w:rsidRDefault="00EF1D5F" w:rsidP="003D4AD9">
            <w:pPr>
              <w:widowControl w:val="0"/>
              <w:spacing w:line="276" w:lineRule="auto"/>
              <w:jc w:val="center"/>
              <w:rPr>
                <w:b/>
                <w:color w:val="000000"/>
                <w:sz w:val="16"/>
                <w:szCs w:val="16"/>
              </w:rPr>
            </w:pPr>
            <w:r w:rsidRPr="00C5122E">
              <w:rPr>
                <w:b/>
                <w:color w:val="000000"/>
                <w:sz w:val="16"/>
                <w:szCs w:val="16"/>
              </w:rPr>
              <w:t>322.087.817.586</w:t>
            </w:r>
          </w:p>
        </w:tc>
      </w:tr>
      <w:tr w:rsidR="00EF1D5F" w14:paraId="3ECE681F" w14:textId="77777777" w:rsidTr="005B593C">
        <w:trPr>
          <w:trHeight w:val="20"/>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59DBE082" w14:textId="77777777" w:rsidR="00EF1D5F" w:rsidRPr="00C5122E"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340CE64"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170.830.475.787</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83AB323"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92.219.783.064</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EF71345"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45.326.101.948</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7AAF178"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13.711.456.787</w:t>
            </w:r>
          </w:p>
        </w:tc>
        <w:tc>
          <w:tcPr>
            <w:tcW w:w="1331"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33FE534C" w14:textId="77777777" w:rsidR="00EF1D5F" w:rsidRPr="00C5122E" w:rsidRDefault="00EF1D5F" w:rsidP="003D4AD9">
            <w:pPr>
              <w:widowControl w:val="0"/>
              <w:spacing w:line="276" w:lineRule="auto"/>
              <w:jc w:val="left"/>
              <w:rPr>
                <w:rFonts w:ascii="Arial" w:eastAsia="Arial" w:hAnsi="Arial" w:cs="Arial"/>
                <w:color w:val="000000"/>
                <w:sz w:val="16"/>
                <w:szCs w:val="16"/>
              </w:rPr>
            </w:pPr>
          </w:p>
        </w:tc>
      </w:tr>
      <w:tr w:rsidR="00EF1D5F" w14:paraId="345E0113" w14:textId="77777777" w:rsidTr="005B593C">
        <w:trPr>
          <w:trHeight w:val="225"/>
        </w:trPr>
        <w:tc>
          <w:tcPr>
            <w:tcW w:w="2410"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F7D3B1E" w14:textId="77777777" w:rsidR="00EF1D5F" w:rsidRPr="00C5122E" w:rsidRDefault="00EF1D5F" w:rsidP="003D4AD9">
            <w:pPr>
              <w:widowControl w:val="0"/>
              <w:spacing w:line="276" w:lineRule="auto"/>
              <w:jc w:val="left"/>
              <w:rPr>
                <w:color w:val="000000"/>
                <w:sz w:val="16"/>
                <w:szCs w:val="16"/>
              </w:rPr>
            </w:pPr>
            <w:r w:rsidRPr="00C5122E">
              <w:rPr>
                <w:color w:val="000000"/>
                <w:sz w:val="16"/>
                <w:szCs w:val="16"/>
              </w:rPr>
              <w:t>Entregar 16 colegios nuevos y dotados para ampliar la oferta educativa</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525196CF"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5</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1F1363C9"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5</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5E7CEAA"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6</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8F035E2"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0</w:t>
            </w:r>
          </w:p>
        </w:tc>
        <w:tc>
          <w:tcPr>
            <w:tcW w:w="1331"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2500F0B" w14:textId="77777777" w:rsidR="00EF1D5F" w:rsidRPr="00C5122E" w:rsidRDefault="00EF1D5F" w:rsidP="003D4AD9">
            <w:pPr>
              <w:widowControl w:val="0"/>
              <w:spacing w:line="276" w:lineRule="auto"/>
              <w:jc w:val="center"/>
              <w:rPr>
                <w:b/>
                <w:color w:val="000000"/>
                <w:sz w:val="16"/>
                <w:szCs w:val="16"/>
              </w:rPr>
            </w:pPr>
            <w:r w:rsidRPr="00C5122E">
              <w:rPr>
                <w:b/>
                <w:color w:val="000000"/>
                <w:sz w:val="16"/>
                <w:szCs w:val="16"/>
              </w:rPr>
              <w:t>407.667.728.575</w:t>
            </w:r>
          </w:p>
        </w:tc>
      </w:tr>
      <w:tr w:rsidR="00EF1D5F" w14:paraId="0A377A6E" w14:textId="77777777" w:rsidTr="005B593C">
        <w:trPr>
          <w:trHeight w:val="97"/>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155BF4D8" w14:textId="77777777" w:rsidR="00EF1D5F" w:rsidRPr="00C5122E"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3CCCC21"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151.882.810.538</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2BFB04E"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160.611.629.698</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EDB8184"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81.461.831.552</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6049558"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13.711.456.787</w:t>
            </w:r>
          </w:p>
        </w:tc>
        <w:tc>
          <w:tcPr>
            <w:tcW w:w="1331"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28E23C7E" w14:textId="77777777" w:rsidR="00EF1D5F" w:rsidRDefault="00EF1D5F" w:rsidP="003D4AD9">
            <w:pPr>
              <w:widowControl w:val="0"/>
              <w:spacing w:line="276" w:lineRule="auto"/>
              <w:jc w:val="left"/>
              <w:rPr>
                <w:rFonts w:ascii="Arial" w:eastAsia="Arial" w:hAnsi="Arial" w:cs="Arial"/>
                <w:color w:val="000000"/>
              </w:rPr>
            </w:pPr>
          </w:p>
        </w:tc>
      </w:tr>
      <w:tr w:rsidR="00EF1D5F" w14:paraId="2C10DDD2" w14:textId="77777777" w:rsidTr="005B593C">
        <w:trPr>
          <w:trHeight w:val="363"/>
        </w:trPr>
        <w:tc>
          <w:tcPr>
            <w:tcW w:w="2410"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D607A79" w14:textId="77777777" w:rsidR="00EF1D5F" w:rsidRPr="00C5122E" w:rsidRDefault="00EF1D5F" w:rsidP="003D4AD9">
            <w:pPr>
              <w:widowControl w:val="0"/>
              <w:spacing w:line="276" w:lineRule="auto"/>
              <w:jc w:val="left"/>
              <w:rPr>
                <w:color w:val="000000"/>
                <w:sz w:val="16"/>
                <w:szCs w:val="16"/>
              </w:rPr>
            </w:pPr>
            <w:r w:rsidRPr="00C5122E">
              <w:rPr>
                <w:color w:val="000000"/>
                <w:sz w:val="16"/>
                <w:szCs w:val="16"/>
              </w:rPr>
              <w:t>Intervenir 310 sedes educativas y sedes administrativas con acciones de mejoramiento a la infraestructura y/o dotaciones para el aprendizaje</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9472363"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0</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92565FB"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98</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AC61FEE"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107</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5DC3CDD1"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105</w:t>
            </w:r>
          </w:p>
        </w:tc>
        <w:tc>
          <w:tcPr>
            <w:tcW w:w="1331"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BBBBB65" w14:textId="77777777" w:rsidR="00EF1D5F" w:rsidRPr="00C5122E" w:rsidRDefault="00EF1D5F" w:rsidP="003D4AD9">
            <w:pPr>
              <w:widowControl w:val="0"/>
              <w:spacing w:line="276" w:lineRule="auto"/>
              <w:jc w:val="center"/>
              <w:rPr>
                <w:b/>
                <w:color w:val="000000"/>
                <w:sz w:val="16"/>
                <w:szCs w:val="16"/>
              </w:rPr>
            </w:pPr>
            <w:r w:rsidRPr="00C5122E">
              <w:rPr>
                <w:b/>
                <w:color w:val="000000"/>
                <w:sz w:val="16"/>
                <w:szCs w:val="16"/>
              </w:rPr>
              <w:t>570.006.221.220</w:t>
            </w:r>
          </w:p>
        </w:tc>
      </w:tr>
      <w:tr w:rsidR="00EF1D5F" w14:paraId="171A2AEA" w14:textId="77777777" w:rsidTr="005B593C">
        <w:trPr>
          <w:trHeight w:val="20"/>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1E1A89BF" w14:textId="77777777" w:rsidR="00EF1D5F" w:rsidRDefault="00EF1D5F" w:rsidP="003D4AD9">
            <w:pPr>
              <w:widowControl w:val="0"/>
              <w:spacing w:line="276" w:lineRule="auto"/>
              <w:jc w:val="left"/>
              <w:rPr>
                <w:rFonts w:ascii="Arial" w:eastAsia="Arial" w:hAnsi="Arial" w:cs="Arial"/>
                <w:color w:val="000000"/>
              </w:rPr>
            </w:pP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B2330A9"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113.435.953.637</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100EC027"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132.175.228.137</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0EE5C48"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151.549.535.170</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356EDE6"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172.845.504.276</w:t>
            </w:r>
          </w:p>
        </w:tc>
        <w:tc>
          <w:tcPr>
            <w:tcW w:w="1331"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68F19626" w14:textId="77777777" w:rsidR="00EF1D5F" w:rsidRDefault="00EF1D5F" w:rsidP="003D4AD9">
            <w:pPr>
              <w:widowControl w:val="0"/>
              <w:spacing w:line="276" w:lineRule="auto"/>
              <w:jc w:val="left"/>
              <w:rPr>
                <w:rFonts w:ascii="Arial" w:eastAsia="Arial" w:hAnsi="Arial" w:cs="Arial"/>
                <w:color w:val="000000"/>
              </w:rPr>
            </w:pPr>
          </w:p>
        </w:tc>
      </w:tr>
      <w:tr w:rsidR="00EF1D5F" w14:paraId="5F9F97E1" w14:textId="77777777" w:rsidTr="005B593C">
        <w:trPr>
          <w:trHeight w:val="315"/>
        </w:trPr>
        <w:tc>
          <w:tcPr>
            <w:tcW w:w="8838" w:type="dxa"/>
            <w:gridSpan w:val="6"/>
            <w:tcBorders>
              <w:top w:val="double" w:sz="4" w:space="0" w:color="C00000"/>
              <w:bottom w:val="double" w:sz="4" w:space="0" w:color="C00000"/>
            </w:tcBorders>
            <w:shd w:val="clear" w:color="auto" w:fill="C00000"/>
            <w:tcMar>
              <w:top w:w="40" w:type="dxa"/>
              <w:left w:w="40" w:type="dxa"/>
              <w:bottom w:w="40" w:type="dxa"/>
              <w:right w:w="40" w:type="dxa"/>
            </w:tcMar>
            <w:vAlign w:val="center"/>
          </w:tcPr>
          <w:p w14:paraId="61ED1731" w14:textId="77777777" w:rsidR="00EF1D5F" w:rsidRPr="00C5122E" w:rsidRDefault="00EF1D5F" w:rsidP="003D4AD9">
            <w:pPr>
              <w:widowControl w:val="0"/>
              <w:spacing w:line="276" w:lineRule="auto"/>
              <w:jc w:val="center"/>
              <w:rPr>
                <w:rFonts w:ascii="Arial" w:eastAsia="Arial" w:hAnsi="Arial" w:cs="Arial"/>
                <w:color w:val="FFFFFF" w:themeColor="background1"/>
              </w:rPr>
            </w:pPr>
            <w:r w:rsidRPr="00C5122E">
              <w:rPr>
                <w:b/>
                <w:color w:val="FFFFFF" w:themeColor="background1"/>
              </w:rPr>
              <w:t>INTEGRACIÓN SOCIAL</w:t>
            </w:r>
          </w:p>
        </w:tc>
      </w:tr>
      <w:tr w:rsidR="00EF1D5F" w14:paraId="063545BC" w14:textId="77777777" w:rsidTr="005B593C">
        <w:trPr>
          <w:trHeight w:val="295"/>
        </w:trPr>
        <w:tc>
          <w:tcPr>
            <w:tcW w:w="2410"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8926DDB" w14:textId="77777777" w:rsidR="00EF1D5F" w:rsidRPr="00C5122E" w:rsidRDefault="00EF1D5F" w:rsidP="003D4AD9">
            <w:pPr>
              <w:widowControl w:val="0"/>
              <w:spacing w:line="276" w:lineRule="auto"/>
              <w:jc w:val="left"/>
              <w:rPr>
                <w:color w:val="000000"/>
                <w:sz w:val="16"/>
                <w:szCs w:val="16"/>
              </w:rPr>
            </w:pPr>
            <w:r w:rsidRPr="00C5122E">
              <w:rPr>
                <w:color w:val="000000"/>
                <w:sz w:val="16"/>
                <w:szCs w:val="16"/>
              </w:rPr>
              <w:t>Aumentar en al menos 4 equipamientos la oferta de infraestructura para la prestación de servicios sociales con estándares de calidad</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48D193C"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0</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40E1937"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BEA4E17"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2</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6C28C8B"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1</w:t>
            </w:r>
          </w:p>
        </w:tc>
        <w:tc>
          <w:tcPr>
            <w:tcW w:w="1331"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0966F36" w14:textId="77777777" w:rsidR="00EF1D5F" w:rsidRPr="00C5122E" w:rsidRDefault="00EF1D5F" w:rsidP="003D4AD9">
            <w:pPr>
              <w:widowControl w:val="0"/>
              <w:spacing w:line="276" w:lineRule="auto"/>
              <w:jc w:val="center"/>
              <w:rPr>
                <w:b/>
                <w:color w:val="000000"/>
                <w:sz w:val="16"/>
                <w:szCs w:val="16"/>
              </w:rPr>
            </w:pPr>
            <w:r w:rsidRPr="00C5122E">
              <w:rPr>
                <w:b/>
                <w:color w:val="000000"/>
                <w:sz w:val="16"/>
                <w:szCs w:val="16"/>
              </w:rPr>
              <w:t>31.402.915.373</w:t>
            </w:r>
          </w:p>
        </w:tc>
      </w:tr>
      <w:tr w:rsidR="00EF1D5F" w14:paraId="3FF961B2" w14:textId="77777777" w:rsidTr="005B593C">
        <w:trPr>
          <w:trHeight w:val="163"/>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44C0EBFA" w14:textId="77777777" w:rsidR="00EF1D5F" w:rsidRPr="00C5122E"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829B5E1"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9.041.000.000</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33334D55"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7.226.213.592</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522A927D"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7.515.317.184</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642B2BB"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7.620.384.597</w:t>
            </w:r>
          </w:p>
        </w:tc>
        <w:tc>
          <w:tcPr>
            <w:tcW w:w="1331"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07CF8A4D" w14:textId="77777777" w:rsidR="00EF1D5F" w:rsidRDefault="00EF1D5F" w:rsidP="003D4AD9">
            <w:pPr>
              <w:widowControl w:val="0"/>
              <w:spacing w:line="276" w:lineRule="auto"/>
              <w:jc w:val="left"/>
              <w:rPr>
                <w:rFonts w:ascii="Arial" w:eastAsia="Arial" w:hAnsi="Arial" w:cs="Arial"/>
                <w:color w:val="000000"/>
              </w:rPr>
            </w:pPr>
          </w:p>
        </w:tc>
      </w:tr>
      <w:tr w:rsidR="00EF1D5F" w14:paraId="7E2FC287" w14:textId="77777777" w:rsidTr="005B593C">
        <w:trPr>
          <w:trHeight w:val="540"/>
        </w:trPr>
        <w:tc>
          <w:tcPr>
            <w:tcW w:w="2410"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5D25CC91" w14:textId="77777777" w:rsidR="00EF1D5F" w:rsidRPr="00C5122E" w:rsidRDefault="00EF1D5F" w:rsidP="003D4AD9">
            <w:pPr>
              <w:widowControl w:val="0"/>
              <w:spacing w:line="276" w:lineRule="auto"/>
              <w:jc w:val="left"/>
              <w:rPr>
                <w:color w:val="000000"/>
                <w:sz w:val="16"/>
                <w:szCs w:val="16"/>
              </w:rPr>
            </w:pPr>
            <w:r w:rsidRPr="00C5122E">
              <w:rPr>
                <w:color w:val="000000"/>
                <w:sz w:val="16"/>
                <w:szCs w:val="16"/>
              </w:rPr>
              <w:t>Realizar 1400 optimizaciones en unidades operativas para la prestación de servicios sociales a través del mantenimiento reforzamiento y adecuación de las infraestructuras.</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E25CDE4"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350</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5B5856EE"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350</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70BBDA7"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350</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8779DAA"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350</w:t>
            </w:r>
          </w:p>
        </w:tc>
        <w:tc>
          <w:tcPr>
            <w:tcW w:w="1331"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FE84F1C" w14:textId="77777777" w:rsidR="00EF1D5F" w:rsidRPr="00C5122E" w:rsidRDefault="00EF1D5F" w:rsidP="003D4AD9">
            <w:pPr>
              <w:widowControl w:val="0"/>
              <w:spacing w:line="276" w:lineRule="auto"/>
              <w:jc w:val="center"/>
              <w:rPr>
                <w:b/>
                <w:color w:val="000000"/>
                <w:sz w:val="16"/>
                <w:szCs w:val="16"/>
              </w:rPr>
            </w:pPr>
            <w:r w:rsidRPr="00C5122E">
              <w:rPr>
                <w:b/>
                <w:color w:val="000000"/>
                <w:sz w:val="16"/>
                <w:szCs w:val="16"/>
              </w:rPr>
              <w:t>204.204.546.327</w:t>
            </w:r>
          </w:p>
        </w:tc>
      </w:tr>
      <w:tr w:rsidR="00EF1D5F" w14:paraId="7C93C7F1" w14:textId="77777777" w:rsidTr="005B593C">
        <w:trPr>
          <w:trHeight w:val="540"/>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0946C1B0" w14:textId="77777777" w:rsidR="00EF1D5F" w:rsidRPr="00C5122E"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A812E2A"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49.422.000.000</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8D4E80F"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49.684.466.019</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AD76962"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52.235.837.496</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4F29797" w14:textId="77777777" w:rsidR="00EF1D5F" w:rsidRPr="00C5122E" w:rsidRDefault="00EF1D5F" w:rsidP="003D4AD9">
            <w:pPr>
              <w:widowControl w:val="0"/>
              <w:spacing w:line="276" w:lineRule="auto"/>
              <w:jc w:val="center"/>
              <w:rPr>
                <w:rFonts w:ascii="Arial" w:eastAsia="Arial" w:hAnsi="Arial" w:cs="Arial"/>
                <w:color w:val="000000"/>
                <w:sz w:val="16"/>
                <w:szCs w:val="16"/>
              </w:rPr>
            </w:pPr>
            <w:r w:rsidRPr="00C5122E">
              <w:rPr>
                <w:color w:val="000000"/>
                <w:sz w:val="16"/>
                <w:szCs w:val="16"/>
              </w:rPr>
              <w:t>52.862.242.811</w:t>
            </w:r>
          </w:p>
        </w:tc>
        <w:tc>
          <w:tcPr>
            <w:tcW w:w="1331"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09AE3E2C" w14:textId="77777777" w:rsidR="00EF1D5F" w:rsidRDefault="00EF1D5F" w:rsidP="003D4AD9">
            <w:pPr>
              <w:widowControl w:val="0"/>
              <w:spacing w:line="276" w:lineRule="auto"/>
              <w:jc w:val="left"/>
              <w:rPr>
                <w:rFonts w:ascii="Arial" w:eastAsia="Arial" w:hAnsi="Arial" w:cs="Arial"/>
                <w:color w:val="000000"/>
              </w:rPr>
            </w:pPr>
          </w:p>
        </w:tc>
      </w:tr>
      <w:tr w:rsidR="00EF1D5F" w:rsidRPr="00C5122E" w14:paraId="27A3987C" w14:textId="77777777" w:rsidTr="005B593C">
        <w:trPr>
          <w:trHeight w:val="315"/>
        </w:trPr>
        <w:tc>
          <w:tcPr>
            <w:tcW w:w="8838" w:type="dxa"/>
            <w:gridSpan w:val="6"/>
            <w:tcBorders>
              <w:top w:val="double" w:sz="4" w:space="0" w:color="C00000"/>
              <w:bottom w:val="double" w:sz="4" w:space="0" w:color="C00000"/>
            </w:tcBorders>
            <w:shd w:val="clear" w:color="auto" w:fill="C00000"/>
            <w:tcMar>
              <w:top w:w="40" w:type="dxa"/>
              <w:left w:w="40" w:type="dxa"/>
              <w:bottom w:w="40" w:type="dxa"/>
              <w:right w:w="40" w:type="dxa"/>
            </w:tcMar>
            <w:vAlign w:val="center"/>
          </w:tcPr>
          <w:p w14:paraId="4C6A5DF7" w14:textId="77777777" w:rsidR="00EF1D5F" w:rsidRPr="00C5122E" w:rsidRDefault="00EF1D5F" w:rsidP="003D4AD9">
            <w:pPr>
              <w:widowControl w:val="0"/>
              <w:spacing w:line="276" w:lineRule="auto"/>
              <w:jc w:val="center"/>
              <w:rPr>
                <w:rFonts w:ascii="Arial" w:eastAsia="Arial" w:hAnsi="Arial" w:cs="Arial"/>
                <w:color w:val="FFFFFF" w:themeColor="background1"/>
              </w:rPr>
            </w:pPr>
            <w:r w:rsidRPr="00C5122E">
              <w:rPr>
                <w:b/>
                <w:color w:val="FFFFFF" w:themeColor="background1"/>
              </w:rPr>
              <w:t>SALUD</w:t>
            </w:r>
          </w:p>
        </w:tc>
      </w:tr>
      <w:tr w:rsidR="00EF1D5F" w:rsidRPr="00740030" w14:paraId="2640E7D7" w14:textId="77777777" w:rsidTr="005B593C">
        <w:trPr>
          <w:trHeight w:val="393"/>
        </w:trPr>
        <w:tc>
          <w:tcPr>
            <w:tcW w:w="2410"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A1D9906" w14:textId="77777777" w:rsidR="00EF1D5F" w:rsidRPr="00740030" w:rsidRDefault="00EF1D5F" w:rsidP="003D4AD9">
            <w:pPr>
              <w:widowControl w:val="0"/>
              <w:spacing w:line="276" w:lineRule="auto"/>
              <w:jc w:val="left"/>
              <w:rPr>
                <w:color w:val="000000"/>
                <w:sz w:val="16"/>
                <w:szCs w:val="16"/>
              </w:rPr>
            </w:pPr>
            <w:r w:rsidRPr="00740030">
              <w:rPr>
                <w:color w:val="000000"/>
                <w:sz w:val="16"/>
                <w:szCs w:val="16"/>
              </w:rPr>
              <w:t>Culminar la construcción de 4 infraestructuras hospitalarias en curso y avanzar en el diseño de 2 infraestructuras en Salud viabilizadas en Bogotá D.C.</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6C845C0F"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1</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CCCA655"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2</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4215E086"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3</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5C533FC2"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0</w:t>
            </w:r>
          </w:p>
        </w:tc>
        <w:tc>
          <w:tcPr>
            <w:tcW w:w="1331" w:type="dxa"/>
            <w:vMerge w:val="restart"/>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0C1CF78" w14:textId="77777777" w:rsidR="00EF1D5F" w:rsidRPr="00740030" w:rsidRDefault="00EF1D5F" w:rsidP="003D4AD9">
            <w:pPr>
              <w:widowControl w:val="0"/>
              <w:spacing w:line="276" w:lineRule="auto"/>
              <w:jc w:val="center"/>
              <w:rPr>
                <w:b/>
                <w:color w:val="000000"/>
                <w:sz w:val="16"/>
                <w:szCs w:val="16"/>
              </w:rPr>
            </w:pPr>
            <w:r w:rsidRPr="00740030">
              <w:rPr>
                <w:b/>
                <w:color w:val="000000"/>
                <w:sz w:val="16"/>
                <w:szCs w:val="16"/>
              </w:rPr>
              <w:t>1.075.968.338.784</w:t>
            </w:r>
          </w:p>
        </w:tc>
      </w:tr>
      <w:tr w:rsidR="00EF1D5F" w:rsidRPr="00740030" w14:paraId="1E474A4C" w14:textId="77777777" w:rsidTr="005B593C">
        <w:trPr>
          <w:trHeight w:val="396"/>
        </w:trPr>
        <w:tc>
          <w:tcPr>
            <w:tcW w:w="2410"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230AF442" w14:textId="77777777" w:rsidR="00EF1D5F" w:rsidRPr="00740030" w:rsidRDefault="00EF1D5F" w:rsidP="003D4AD9">
            <w:pPr>
              <w:widowControl w:val="0"/>
              <w:spacing w:line="276" w:lineRule="auto"/>
              <w:jc w:val="left"/>
              <w:rPr>
                <w:rFonts w:ascii="Arial" w:eastAsia="Arial" w:hAnsi="Arial" w:cs="Arial"/>
                <w:color w:val="000000"/>
                <w:sz w:val="16"/>
                <w:szCs w:val="16"/>
              </w:rPr>
            </w:pP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6493C16"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332.581.773.000</w:t>
            </w:r>
          </w:p>
        </w:tc>
        <w:tc>
          <w:tcPr>
            <w:tcW w:w="1270"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729311B6"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192.839.305.224</w:t>
            </w:r>
          </w:p>
        </w:tc>
        <w:tc>
          <w:tcPr>
            <w:tcW w:w="1275"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0F1B6323"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256.666.837.373</w:t>
            </w:r>
          </w:p>
        </w:tc>
        <w:tc>
          <w:tcPr>
            <w:tcW w:w="1276" w:type="dxa"/>
            <w:tcBorders>
              <w:top w:val="double" w:sz="4" w:space="0" w:color="C00000"/>
              <w:bottom w:val="double" w:sz="4" w:space="0" w:color="C00000"/>
            </w:tcBorders>
            <w:shd w:val="clear" w:color="auto" w:fill="auto"/>
            <w:tcMar>
              <w:top w:w="40" w:type="dxa"/>
              <w:left w:w="40" w:type="dxa"/>
              <w:bottom w:w="40" w:type="dxa"/>
              <w:right w:w="40" w:type="dxa"/>
            </w:tcMar>
            <w:vAlign w:val="center"/>
          </w:tcPr>
          <w:p w14:paraId="28B6FE79" w14:textId="77777777" w:rsidR="00EF1D5F" w:rsidRPr="00740030" w:rsidRDefault="00EF1D5F" w:rsidP="003D4AD9">
            <w:pPr>
              <w:widowControl w:val="0"/>
              <w:spacing w:line="276" w:lineRule="auto"/>
              <w:jc w:val="center"/>
              <w:rPr>
                <w:rFonts w:ascii="Arial" w:eastAsia="Arial" w:hAnsi="Arial" w:cs="Arial"/>
                <w:color w:val="000000"/>
                <w:sz w:val="16"/>
                <w:szCs w:val="16"/>
              </w:rPr>
            </w:pPr>
            <w:r w:rsidRPr="00740030">
              <w:rPr>
                <w:color w:val="000000"/>
                <w:sz w:val="16"/>
                <w:szCs w:val="16"/>
              </w:rPr>
              <w:t>293.880.423.187</w:t>
            </w:r>
          </w:p>
        </w:tc>
        <w:tc>
          <w:tcPr>
            <w:tcW w:w="1331" w:type="dxa"/>
            <w:vMerge/>
            <w:tcBorders>
              <w:top w:val="double" w:sz="4" w:space="0" w:color="C00000"/>
              <w:bottom w:val="double" w:sz="4" w:space="0" w:color="C00000"/>
            </w:tcBorders>
            <w:shd w:val="clear" w:color="auto" w:fill="auto"/>
            <w:tcMar>
              <w:top w:w="100" w:type="dxa"/>
              <w:left w:w="100" w:type="dxa"/>
              <w:bottom w:w="100" w:type="dxa"/>
              <w:right w:w="100" w:type="dxa"/>
            </w:tcMar>
          </w:tcPr>
          <w:p w14:paraId="0F4D29BF" w14:textId="77777777" w:rsidR="00EF1D5F" w:rsidRPr="00740030" w:rsidRDefault="00EF1D5F" w:rsidP="003D4AD9">
            <w:pPr>
              <w:widowControl w:val="0"/>
              <w:spacing w:line="276" w:lineRule="auto"/>
              <w:jc w:val="left"/>
              <w:rPr>
                <w:rFonts w:ascii="Arial" w:eastAsia="Arial" w:hAnsi="Arial" w:cs="Arial"/>
                <w:color w:val="000000"/>
                <w:sz w:val="16"/>
                <w:szCs w:val="16"/>
              </w:rPr>
            </w:pPr>
          </w:p>
        </w:tc>
      </w:tr>
    </w:tbl>
    <w:p w14:paraId="067B52B6" w14:textId="77777777" w:rsidR="005B593C" w:rsidRDefault="005B593C">
      <w:pPr>
        <w:keepNext/>
        <w:keepLines/>
        <w:pBdr>
          <w:top w:val="nil"/>
          <w:left w:val="nil"/>
          <w:bottom w:val="nil"/>
          <w:right w:val="nil"/>
          <w:between w:val="nil"/>
        </w:pBdr>
        <w:spacing w:line="340" w:lineRule="auto"/>
        <w:ind w:left="1145" w:hanging="720"/>
        <w:jc w:val="left"/>
        <w:rPr>
          <w:b/>
          <w:color w:val="C00000"/>
          <w:sz w:val="28"/>
          <w:szCs w:val="28"/>
        </w:rPr>
      </w:pPr>
      <w:r>
        <w:rPr>
          <w:b/>
          <w:color w:val="C00000"/>
          <w:sz w:val="28"/>
          <w:szCs w:val="28"/>
        </w:rPr>
        <w:br w:type="page"/>
      </w:r>
    </w:p>
    <w:p w14:paraId="0D3B3921" w14:textId="3967591B" w:rsidR="00EF1D5F" w:rsidRDefault="00EF1D5F" w:rsidP="00225A55">
      <w:pPr>
        <w:pStyle w:val="NIVEL4"/>
        <w:rPr>
          <w:i/>
          <w:color w:val="C00000"/>
        </w:rPr>
      </w:pPr>
      <w:bookmarkStart w:id="409" w:name="_Toc165169796"/>
      <w:r>
        <w:rPr>
          <w:color w:val="C00000"/>
        </w:rPr>
        <w:lastRenderedPageBreak/>
        <w:t xml:space="preserve">Programa 31. </w:t>
      </w:r>
      <w:r>
        <w:t>Acceso equitativo de vivienda urbana y rural</w:t>
      </w:r>
      <w:bookmarkEnd w:id="409"/>
    </w:p>
    <w:p w14:paraId="340B6B2D" w14:textId="77777777" w:rsidR="00EF1D5F" w:rsidRDefault="00EF1D5F" w:rsidP="00225A55">
      <w:pPr>
        <w:rPr>
          <w:i/>
          <w:color w:val="C00000"/>
        </w:rPr>
      </w:pPr>
    </w:p>
    <w:p w14:paraId="351B5C10" w14:textId="032EEE39" w:rsidR="00EF1D5F" w:rsidRPr="00225A55" w:rsidRDefault="00EF1D5F" w:rsidP="00225A55">
      <w:pPr>
        <w:ind w:firstLine="708"/>
        <w:rPr>
          <w:b/>
          <w:bCs/>
          <w:color w:val="C00000"/>
        </w:rPr>
        <w:sectPr w:rsidR="00EF1D5F" w:rsidRPr="00225A55" w:rsidSect="00F7078E">
          <w:type w:val="continuous"/>
          <w:pgSz w:w="12240" w:h="15840"/>
          <w:pgMar w:top="2262" w:right="1440" w:bottom="1440" w:left="1440" w:header="708" w:footer="708" w:gutter="0"/>
          <w:cols w:space="720"/>
        </w:sectPr>
      </w:pPr>
      <w:r w:rsidRPr="00225A55">
        <w:rPr>
          <w:b/>
          <w:bCs/>
        </w:rPr>
        <w:t>Diagnóstico</w:t>
      </w:r>
    </w:p>
    <w:p w14:paraId="75A7ACEC" w14:textId="77777777" w:rsidR="00EF1D5F" w:rsidRDefault="00EF1D5F">
      <w:r>
        <w:rPr>
          <w:highlight w:val="white"/>
        </w:rPr>
        <w:t xml:space="preserve">Los hogares que actualmente viven en condiciones habitacionales deficitarias y los nuevos núcleos familiares conformados en la ciudad enfrentan dificultades, ya sea para encontrar una vivienda nueva de valor asequible o para acceder a los distintos subsidios </w:t>
      </w:r>
      <w:r>
        <w:t xml:space="preserve">de índole nacional y distrital. A pesar de que en los últimos años ha bajado el déficit de vivienda, este problema se puede acentuar por la reducción en el ritmo de construcción y venta de unidades de vivienda </w:t>
      </w:r>
      <w:r>
        <w:t>nueva de interés social (VIS) y vivienda de interés prioritario (VIP).</w:t>
      </w:r>
    </w:p>
    <w:p w14:paraId="3CA1D524" w14:textId="77777777" w:rsidR="00EF1D5F" w:rsidRDefault="00EF1D5F"/>
    <w:p w14:paraId="277AA637" w14:textId="0AC0DEFE" w:rsidR="00EF1D5F" w:rsidRDefault="00EF1D5F">
      <w:pPr>
        <w:sectPr w:rsidR="00EF1D5F" w:rsidSect="00F7078E">
          <w:type w:val="continuous"/>
          <w:pgSz w:w="12240" w:h="15840"/>
          <w:pgMar w:top="2262" w:right="1440" w:bottom="1440" w:left="1440" w:header="708" w:footer="708" w:gutter="0"/>
          <w:cols w:num="2" w:space="720" w:equalWidth="0">
            <w:col w:w="4396" w:space="567"/>
            <w:col w:w="4396" w:space="0"/>
          </w:cols>
        </w:sectPr>
      </w:pPr>
      <w:r>
        <w:t xml:space="preserve">En 2023 se registró el número más bajo de ventas de vivienda de los últimos seis años, reducción que se explica por diferentes factores que incluyen el incremento de las tasas de interés y la dificultad de acceso a los subsidios del Gobierno nacional, aspectos que repercuten en el número de hogares que pueden comprar una vivienda </w:t>
      </w:r>
      <w:r w:rsidRPr="00225A55">
        <w:t>nueva (</w:t>
      </w:r>
      <w:r w:rsidR="00225A55" w:rsidRPr="00225A55">
        <w:fldChar w:fldCharType="begin"/>
      </w:r>
      <w:r w:rsidR="00225A55" w:rsidRPr="00225A55">
        <w:instrText xml:space="preserve"> REF _Ref165147318 \h </w:instrText>
      </w:r>
      <w:r w:rsidR="00225A55" w:rsidRPr="00225A55">
        <w:fldChar w:fldCharType="separate"/>
      </w:r>
      <w:r w:rsidR="00D01651" w:rsidRPr="00225A55">
        <w:rPr>
          <w:color w:val="C00000"/>
          <w:sz w:val="18"/>
          <w:szCs w:val="18"/>
        </w:rPr>
        <w:t xml:space="preserve">Gráfica </w:t>
      </w:r>
      <w:r w:rsidR="00D01651">
        <w:rPr>
          <w:noProof/>
          <w:color w:val="C00000"/>
          <w:sz w:val="18"/>
        </w:rPr>
        <w:t>49</w:t>
      </w:r>
      <w:r w:rsidR="00225A55" w:rsidRPr="00225A55">
        <w:fldChar w:fldCharType="end"/>
      </w:r>
      <w:r w:rsidRPr="00225A55">
        <w:t>)</w:t>
      </w:r>
      <w:r w:rsidR="00225A55">
        <w:t>.</w:t>
      </w:r>
    </w:p>
    <w:p w14:paraId="596F158C" w14:textId="77777777" w:rsidR="00EF1D5F" w:rsidRDefault="00EF1D5F"/>
    <w:p w14:paraId="27FD8E3A" w14:textId="5CBC2AD8" w:rsidR="00EF1D5F" w:rsidRDefault="00225A55" w:rsidP="00225A55">
      <w:pPr>
        <w:pStyle w:val="Descripcin"/>
        <w:jc w:val="center"/>
        <w:rPr>
          <w:color w:val="C00000"/>
          <w:sz w:val="18"/>
        </w:rPr>
      </w:pPr>
      <w:bookmarkStart w:id="410" w:name="_Ref165147318"/>
      <w:bookmarkStart w:id="411" w:name="_Toc165169875"/>
      <w:r w:rsidRPr="00225A55">
        <w:rPr>
          <w:color w:val="C00000"/>
          <w:sz w:val="18"/>
        </w:rPr>
        <w:t xml:space="preserve">Gráfica </w:t>
      </w:r>
      <w:r w:rsidRPr="00225A55">
        <w:rPr>
          <w:color w:val="C00000"/>
          <w:sz w:val="18"/>
        </w:rPr>
        <w:fldChar w:fldCharType="begin"/>
      </w:r>
      <w:r w:rsidRPr="00225A55">
        <w:rPr>
          <w:color w:val="C00000"/>
          <w:sz w:val="18"/>
        </w:rPr>
        <w:instrText xml:space="preserve"> SEQ Gráfica \* ARABIC </w:instrText>
      </w:r>
      <w:r w:rsidRPr="00225A55">
        <w:rPr>
          <w:color w:val="C00000"/>
          <w:sz w:val="18"/>
        </w:rPr>
        <w:fldChar w:fldCharType="separate"/>
      </w:r>
      <w:r w:rsidR="00D01651">
        <w:rPr>
          <w:noProof/>
          <w:color w:val="C00000"/>
          <w:sz w:val="18"/>
        </w:rPr>
        <w:t>49</w:t>
      </w:r>
      <w:r w:rsidRPr="00225A55">
        <w:rPr>
          <w:color w:val="C00000"/>
          <w:sz w:val="18"/>
        </w:rPr>
        <w:fldChar w:fldCharType="end"/>
      </w:r>
      <w:bookmarkEnd w:id="410"/>
      <w:r w:rsidRPr="00225A55">
        <w:rPr>
          <w:color w:val="C00000"/>
          <w:sz w:val="18"/>
        </w:rPr>
        <w:t xml:space="preserve">. </w:t>
      </w:r>
      <w:r w:rsidR="00EF1D5F" w:rsidRPr="00225A55">
        <w:rPr>
          <w:sz w:val="18"/>
        </w:rPr>
        <w:t>Ventas de VIS y VIP en Bogotá (2013-2023)</w:t>
      </w:r>
      <w:bookmarkEnd w:id="411"/>
    </w:p>
    <w:p w14:paraId="4546063C" w14:textId="77777777" w:rsidR="00EF1D5F" w:rsidRDefault="00EF1D5F">
      <w:pPr>
        <w:pBdr>
          <w:top w:val="nil"/>
          <w:left w:val="nil"/>
          <w:bottom w:val="nil"/>
          <w:right w:val="nil"/>
          <w:between w:val="nil"/>
        </w:pBdr>
        <w:spacing w:line="220" w:lineRule="auto"/>
        <w:jc w:val="center"/>
        <w:rPr>
          <w:color w:val="C00000"/>
          <w:sz w:val="18"/>
          <w:szCs w:val="18"/>
        </w:rPr>
      </w:pPr>
      <w:r>
        <w:rPr>
          <w:noProof/>
        </w:rPr>
        <w:drawing>
          <wp:anchor distT="0" distB="0" distL="114300" distR="114300" simplePos="0" relativeHeight="251784192" behindDoc="0" locked="0" layoutInCell="1" hidden="0" allowOverlap="1" wp14:anchorId="786AA4D8" wp14:editId="2E42EA95">
            <wp:simplePos x="0" y="0"/>
            <wp:positionH relativeFrom="column">
              <wp:posOffset>179461</wp:posOffset>
            </wp:positionH>
            <wp:positionV relativeFrom="paragraph">
              <wp:posOffset>5715</wp:posOffset>
            </wp:positionV>
            <wp:extent cx="5386753" cy="3702659"/>
            <wp:effectExtent l="0" t="0" r="0" b="0"/>
            <wp:wrapNone/>
            <wp:docPr id="213351600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1"/>
                    <a:srcRect/>
                    <a:stretch>
                      <a:fillRect/>
                    </a:stretch>
                  </pic:blipFill>
                  <pic:spPr>
                    <a:xfrm>
                      <a:off x="0" y="0"/>
                      <a:ext cx="5386753" cy="3702659"/>
                    </a:xfrm>
                    <a:prstGeom prst="rect">
                      <a:avLst/>
                    </a:prstGeom>
                    <a:ln/>
                  </pic:spPr>
                </pic:pic>
              </a:graphicData>
            </a:graphic>
            <wp14:sizeRelH relativeFrom="margin">
              <wp14:pctWidth>0</wp14:pctWidth>
            </wp14:sizeRelH>
            <wp14:sizeRelV relativeFrom="margin">
              <wp14:pctHeight>0</wp14:pctHeight>
            </wp14:sizeRelV>
          </wp:anchor>
        </w:drawing>
      </w:r>
    </w:p>
    <w:p w14:paraId="2A6A0A5C" w14:textId="77777777" w:rsidR="00EF1D5F" w:rsidRDefault="00EF1D5F">
      <w:pPr>
        <w:pBdr>
          <w:top w:val="nil"/>
          <w:left w:val="nil"/>
          <w:bottom w:val="nil"/>
          <w:right w:val="nil"/>
          <w:between w:val="nil"/>
        </w:pBdr>
        <w:spacing w:line="220" w:lineRule="auto"/>
        <w:jc w:val="center"/>
        <w:rPr>
          <w:color w:val="C00000"/>
          <w:sz w:val="18"/>
          <w:szCs w:val="18"/>
        </w:rPr>
      </w:pPr>
    </w:p>
    <w:p w14:paraId="411C27BD" w14:textId="77777777" w:rsidR="00EF1D5F" w:rsidRDefault="00EF1D5F">
      <w:pPr>
        <w:pBdr>
          <w:top w:val="nil"/>
          <w:left w:val="nil"/>
          <w:bottom w:val="nil"/>
          <w:right w:val="nil"/>
          <w:between w:val="nil"/>
        </w:pBdr>
        <w:spacing w:line="220" w:lineRule="auto"/>
        <w:jc w:val="center"/>
        <w:rPr>
          <w:color w:val="C00000"/>
          <w:sz w:val="18"/>
          <w:szCs w:val="18"/>
        </w:rPr>
      </w:pPr>
    </w:p>
    <w:p w14:paraId="702D5FF7" w14:textId="77777777" w:rsidR="00EF1D5F" w:rsidRDefault="00EF1D5F">
      <w:pPr>
        <w:pBdr>
          <w:top w:val="nil"/>
          <w:left w:val="nil"/>
          <w:bottom w:val="nil"/>
          <w:right w:val="nil"/>
          <w:between w:val="nil"/>
        </w:pBdr>
        <w:spacing w:line="220" w:lineRule="auto"/>
        <w:jc w:val="center"/>
        <w:rPr>
          <w:color w:val="C00000"/>
          <w:sz w:val="18"/>
          <w:szCs w:val="18"/>
        </w:rPr>
      </w:pPr>
    </w:p>
    <w:p w14:paraId="17C76C90" w14:textId="77777777" w:rsidR="00EF1D5F" w:rsidRDefault="00EF1D5F">
      <w:pPr>
        <w:pBdr>
          <w:top w:val="nil"/>
          <w:left w:val="nil"/>
          <w:bottom w:val="nil"/>
          <w:right w:val="nil"/>
          <w:between w:val="nil"/>
        </w:pBdr>
        <w:spacing w:line="220" w:lineRule="auto"/>
        <w:jc w:val="center"/>
        <w:rPr>
          <w:color w:val="C00000"/>
          <w:sz w:val="18"/>
          <w:szCs w:val="18"/>
        </w:rPr>
      </w:pPr>
    </w:p>
    <w:p w14:paraId="589C7E18" w14:textId="77777777" w:rsidR="00EF1D5F" w:rsidRDefault="00EF1D5F">
      <w:pPr>
        <w:pBdr>
          <w:top w:val="nil"/>
          <w:left w:val="nil"/>
          <w:bottom w:val="nil"/>
          <w:right w:val="nil"/>
          <w:between w:val="nil"/>
        </w:pBdr>
        <w:spacing w:line="220" w:lineRule="auto"/>
        <w:jc w:val="center"/>
        <w:rPr>
          <w:color w:val="C00000"/>
          <w:sz w:val="18"/>
          <w:szCs w:val="18"/>
        </w:rPr>
      </w:pPr>
    </w:p>
    <w:p w14:paraId="069E37E3" w14:textId="77777777" w:rsidR="00EF1D5F" w:rsidRDefault="00EF1D5F">
      <w:pPr>
        <w:pBdr>
          <w:top w:val="nil"/>
          <w:left w:val="nil"/>
          <w:bottom w:val="nil"/>
          <w:right w:val="nil"/>
          <w:between w:val="nil"/>
        </w:pBdr>
        <w:spacing w:line="220" w:lineRule="auto"/>
        <w:jc w:val="center"/>
        <w:rPr>
          <w:color w:val="C00000"/>
          <w:sz w:val="18"/>
          <w:szCs w:val="18"/>
        </w:rPr>
      </w:pPr>
    </w:p>
    <w:p w14:paraId="7ED2B8C8" w14:textId="77777777" w:rsidR="00EF1D5F" w:rsidRDefault="00EF1D5F">
      <w:pPr>
        <w:pBdr>
          <w:top w:val="nil"/>
          <w:left w:val="nil"/>
          <w:bottom w:val="nil"/>
          <w:right w:val="nil"/>
          <w:between w:val="nil"/>
        </w:pBdr>
        <w:spacing w:line="220" w:lineRule="auto"/>
        <w:jc w:val="center"/>
        <w:rPr>
          <w:color w:val="3B3838"/>
          <w:sz w:val="18"/>
          <w:szCs w:val="18"/>
        </w:rPr>
      </w:pPr>
    </w:p>
    <w:p w14:paraId="7507CF22" w14:textId="77777777" w:rsidR="00EF1D5F" w:rsidRDefault="00EF1D5F">
      <w:pPr>
        <w:pBdr>
          <w:top w:val="nil"/>
          <w:left w:val="nil"/>
          <w:bottom w:val="nil"/>
          <w:right w:val="nil"/>
          <w:between w:val="nil"/>
        </w:pBdr>
        <w:spacing w:line="220" w:lineRule="auto"/>
        <w:jc w:val="center"/>
        <w:rPr>
          <w:color w:val="3B3838"/>
          <w:sz w:val="18"/>
          <w:szCs w:val="18"/>
        </w:rPr>
      </w:pPr>
    </w:p>
    <w:p w14:paraId="47A23C91" w14:textId="77777777" w:rsidR="00EF1D5F" w:rsidRDefault="00EF1D5F">
      <w:pPr>
        <w:pBdr>
          <w:top w:val="nil"/>
          <w:left w:val="nil"/>
          <w:bottom w:val="nil"/>
          <w:right w:val="nil"/>
          <w:between w:val="nil"/>
        </w:pBdr>
        <w:spacing w:line="220" w:lineRule="auto"/>
        <w:jc w:val="center"/>
        <w:rPr>
          <w:color w:val="3B3838"/>
          <w:sz w:val="18"/>
          <w:szCs w:val="18"/>
        </w:rPr>
      </w:pPr>
    </w:p>
    <w:p w14:paraId="35FA7233" w14:textId="77777777" w:rsidR="00EF1D5F" w:rsidRDefault="00EF1D5F">
      <w:pPr>
        <w:pBdr>
          <w:top w:val="nil"/>
          <w:left w:val="nil"/>
          <w:bottom w:val="nil"/>
          <w:right w:val="nil"/>
          <w:between w:val="nil"/>
        </w:pBdr>
        <w:spacing w:line="220" w:lineRule="auto"/>
        <w:jc w:val="center"/>
        <w:rPr>
          <w:color w:val="3B3838"/>
          <w:sz w:val="18"/>
          <w:szCs w:val="18"/>
        </w:rPr>
      </w:pPr>
    </w:p>
    <w:p w14:paraId="63FBDB1A" w14:textId="77777777" w:rsidR="00EF1D5F" w:rsidRDefault="00EF1D5F">
      <w:pPr>
        <w:pBdr>
          <w:top w:val="nil"/>
          <w:left w:val="nil"/>
          <w:bottom w:val="nil"/>
          <w:right w:val="nil"/>
          <w:between w:val="nil"/>
        </w:pBdr>
        <w:spacing w:line="220" w:lineRule="auto"/>
        <w:jc w:val="center"/>
        <w:rPr>
          <w:color w:val="3B3838"/>
          <w:sz w:val="18"/>
          <w:szCs w:val="18"/>
        </w:rPr>
      </w:pPr>
    </w:p>
    <w:p w14:paraId="501166B6" w14:textId="77777777" w:rsidR="00EF1D5F" w:rsidRDefault="00EF1D5F">
      <w:pPr>
        <w:pBdr>
          <w:top w:val="nil"/>
          <w:left w:val="nil"/>
          <w:bottom w:val="nil"/>
          <w:right w:val="nil"/>
          <w:between w:val="nil"/>
        </w:pBdr>
        <w:spacing w:line="220" w:lineRule="auto"/>
        <w:jc w:val="center"/>
        <w:rPr>
          <w:color w:val="3B3838"/>
          <w:sz w:val="18"/>
          <w:szCs w:val="18"/>
        </w:rPr>
      </w:pPr>
    </w:p>
    <w:p w14:paraId="469E2E08" w14:textId="77777777" w:rsidR="00EF1D5F" w:rsidRDefault="00EF1D5F">
      <w:pPr>
        <w:pBdr>
          <w:top w:val="nil"/>
          <w:left w:val="nil"/>
          <w:bottom w:val="nil"/>
          <w:right w:val="nil"/>
          <w:between w:val="nil"/>
        </w:pBdr>
        <w:spacing w:line="220" w:lineRule="auto"/>
        <w:jc w:val="center"/>
        <w:rPr>
          <w:color w:val="3B3838"/>
          <w:sz w:val="18"/>
          <w:szCs w:val="18"/>
        </w:rPr>
      </w:pPr>
    </w:p>
    <w:p w14:paraId="3D58C18C" w14:textId="77777777" w:rsidR="00EF1D5F" w:rsidRDefault="00EF1D5F">
      <w:pPr>
        <w:pBdr>
          <w:top w:val="nil"/>
          <w:left w:val="nil"/>
          <w:bottom w:val="nil"/>
          <w:right w:val="nil"/>
          <w:between w:val="nil"/>
        </w:pBdr>
        <w:spacing w:line="220" w:lineRule="auto"/>
        <w:jc w:val="center"/>
        <w:rPr>
          <w:color w:val="3B3838"/>
          <w:sz w:val="18"/>
          <w:szCs w:val="18"/>
        </w:rPr>
      </w:pPr>
    </w:p>
    <w:p w14:paraId="1105ED22" w14:textId="77777777" w:rsidR="00EF1D5F" w:rsidRDefault="00EF1D5F">
      <w:pPr>
        <w:pBdr>
          <w:top w:val="nil"/>
          <w:left w:val="nil"/>
          <w:bottom w:val="nil"/>
          <w:right w:val="nil"/>
          <w:between w:val="nil"/>
        </w:pBdr>
        <w:spacing w:line="220" w:lineRule="auto"/>
        <w:jc w:val="center"/>
        <w:rPr>
          <w:color w:val="3B3838"/>
          <w:sz w:val="18"/>
          <w:szCs w:val="18"/>
        </w:rPr>
      </w:pPr>
    </w:p>
    <w:p w14:paraId="2B66D997" w14:textId="77777777" w:rsidR="00EF1D5F" w:rsidRDefault="00EF1D5F">
      <w:pPr>
        <w:pBdr>
          <w:top w:val="nil"/>
          <w:left w:val="nil"/>
          <w:bottom w:val="nil"/>
          <w:right w:val="nil"/>
          <w:between w:val="nil"/>
        </w:pBdr>
        <w:spacing w:line="220" w:lineRule="auto"/>
        <w:jc w:val="center"/>
        <w:rPr>
          <w:color w:val="3B3838"/>
          <w:sz w:val="18"/>
          <w:szCs w:val="18"/>
        </w:rPr>
      </w:pPr>
    </w:p>
    <w:p w14:paraId="23B63E17" w14:textId="77777777" w:rsidR="00EF1D5F" w:rsidRDefault="00EF1D5F">
      <w:pPr>
        <w:pBdr>
          <w:top w:val="nil"/>
          <w:left w:val="nil"/>
          <w:bottom w:val="nil"/>
          <w:right w:val="nil"/>
          <w:between w:val="nil"/>
        </w:pBdr>
        <w:spacing w:line="220" w:lineRule="auto"/>
        <w:jc w:val="center"/>
        <w:rPr>
          <w:color w:val="3B3838"/>
          <w:sz w:val="18"/>
          <w:szCs w:val="18"/>
        </w:rPr>
      </w:pPr>
    </w:p>
    <w:p w14:paraId="2178AFBB" w14:textId="77777777" w:rsidR="00EF1D5F" w:rsidRDefault="00EF1D5F">
      <w:pPr>
        <w:pBdr>
          <w:top w:val="nil"/>
          <w:left w:val="nil"/>
          <w:bottom w:val="nil"/>
          <w:right w:val="nil"/>
          <w:between w:val="nil"/>
        </w:pBdr>
        <w:spacing w:line="220" w:lineRule="auto"/>
        <w:jc w:val="center"/>
        <w:rPr>
          <w:color w:val="3B3838"/>
          <w:sz w:val="18"/>
          <w:szCs w:val="18"/>
        </w:rPr>
      </w:pPr>
    </w:p>
    <w:p w14:paraId="2DFA5554" w14:textId="77777777" w:rsidR="00EF1D5F" w:rsidRDefault="00EF1D5F">
      <w:pPr>
        <w:pBdr>
          <w:top w:val="nil"/>
          <w:left w:val="nil"/>
          <w:bottom w:val="nil"/>
          <w:right w:val="nil"/>
          <w:between w:val="nil"/>
        </w:pBdr>
        <w:spacing w:line="220" w:lineRule="auto"/>
        <w:jc w:val="center"/>
        <w:rPr>
          <w:color w:val="3B3838"/>
          <w:sz w:val="18"/>
          <w:szCs w:val="18"/>
        </w:rPr>
      </w:pPr>
    </w:p>
    <w:p w14:paraId="77A83A6C" w14:textId="77777777" w:rsidR="00EF1D5F" w:rsidRDefault="00EF1D5F">
      <w:pPr>
        <w:pBdr>
          <w:top w:val="nil"/>
          <w:left w:val="nil"/>
          <w:bottom w:val="nil"/>
          <w:right w:val="nil"/>
          <w:between w:val="nil"/>
        </w:pBdr>
        <w:spacing w:line="220" w:lineRule="auto"/>
        <w:jc w:val="center"/>
        <w:rPr>
          <w:color w:val="3B3838"/>
          <w:sz w:val="18"/>
          <w:szCs w:val="18"/>
        </w:rPr>
      </w:pPr>
    </w:p>
    <w:p w14:paraId="0BD6494F" w14:textId="77777777" w:rsidR="00EF1D5F" w:rsidRDefault="00EF1D5F">
      <w:pPr>
        <w:pBdr>
          <w:top w:val="nil"/>
          <w:left w:val="nil"/>
          <w:bottom w:val="nil"/>
          <w:right w:val="nil"/>
          <w:between w:val="nil"/>
        </w:pBdr>
        <w:spacing w:line="220" w:lineRule="auto"/>
        <w:jc w:val="center"/>
        <w:rPr>
          <w:color w:val="3B3838"/>
          <w:sz w:val="18"/>
          <w:szCs w:val="18"/>
        </w:rPr>
      </w:pPr>
    </w:p>
    <w:p w14:paraId="36C709C8" w14:textId="77777777" w:rsidR="00EF1D5F" w:rsidRDefault="00EF1D5F">
      <w:pPr>
        <w:pBdr>
          <w:top w:val="nil"/>
          <w:left w:val="nil"/>
          <w:bottom w:val="nil"/>
          <w:right w:val="nil"/>
          <w:between w:val="nil"/>
        </w:pBdr>
        <w:spacing w:line="220" w:lineRule="auto"/>
        <w:jc w:val="center"/>
        <w:rPr>
          <w:color w:val="3B3838"/>
          <w:sz w:val="18"/>
          <w:szCs w:val="18"/>
        </w:rPr>
      </w:pPr>
    </w:p>
    <w:p w14:paraId="0CCF0C56" w14:textId="77777777" w:rsidR="00EF1D5F" w:rsidRDefault="00EF1D5F">
      <w:pPr>
        <w:pBdr>
          <w:top w:val="nil"/>
          <w:left w:val="nil"/>
          <w:bottom w:val="nil"/>
          <w:right w:val="nil"/>
          <w:between w:val="nil"/>
        </w:pBdr>
        <w:spacing w:line="220" w:lineRule="auto"/>
        <w:jc w:val="center"/>
        <w:rPr>
          <w:color w:val="3B3838"/>
          <w:sz w:val="18"/>
          <w:szCs w:val="18"/>
        </w:rPr>
      </w:pPr>
    </w:p>
    <w:p w14:paraId="7E18E813" w14:textId="77777777" w:rsidR="00EF1D5F" w:rsidRDefault="00EF1D5F">
      <w:pPr>
        <w:pBdr>
          <w:top w:val="nil"/>
          <w:left w:val="nil"/>
          <w:bottom w:val="nil"/>
          <w:right w:val="nil"/>
          <w:between w:val="nil"/>
        </w:pBdr>
        <w:spacing w:line="220" w:lineRule="auto"/>
        <w:jc w:val="center"/>
        <w:rPr>
          <w:color w:val="3B3838"/>
          <w:sz w:val="18"/>
          <w:szCs w:val="18"/>
        </w:rPr>
      </w:pPr>
    </w:p>
    <w:p w14:paraId="1C8C20E2" w14:textId="77777777" w:rsidR="00EF1D5F" w:rsidRDefault="00EF1D5F">
      <w:pPr>
        <w:pBdr>
          <w:top w:val="nil"/>
          <w:left w:val="nil"/>
          <w:bottom w:val="nil"/>
          <w:right w:val="nil"/>
          <w:between w:val="nil"/>
        </w:pBdr>
        <w:spacing w:line="220" w:lineRule="auto"/>
        <w:jc w:val="center"/>
        <w:rPr>
          <w:color w:val="3B3838"/>
          <w:sz w:val="18"/>
          <w:szCs w:val="18"/>
        </w:rPr>
      </w:pPr>
    </w:p>
    <w:p w14:paraId="46D63ADE" w14:textId="77777777" w:rsidR="00EF1D5F" w:rsidRDefault="00EF1D5F">
      <w:pPr>
        <w:pBdr>
          <w:top w:val="nil"/>
          <w:left w:val="nil"/>
          <w:bottom w:val="nil"/>
          <w:right w:val="nil"/>
          <w:between w:val="nil"/>
        </w:pBdr>
        <w:spacing w:line="220" w:lineRule="auto"/>
        <w:jc w:val="center"/>
        <w:rPr>
          <w:color w:val="3B3838"/>
          <w:sz w:val="18"/>
          <w:szCs w:val="18"/>
        </w:rPr>
      </w:pPr>
    </w:p>
    <w:p w14:paraId="239D3C67" w14:textId="77777777" w:rsidR="00EF1D5F" w:rsidRDefault="00EF1D5F">
      <w:pPr>
        <w:pBdr>
          <w:top w:val="nil"/>
          <w:left w:val="nil"/>
          <w:bottom w:val="nil"/>
          <w:right w:val="nil"/>
          <w:between w:val="nil"/>
        </w:pBdr>
        <w:spacing w:line="220" w:lineRule="auto"/>
        <w:rPr>
          <w:color w:val="3B3838"/>
          <w:sz w:val="18"/>
          <w:szCs w:val="18"/>
        </w:rPr>
      </w:pPr>
    </w:p>
    <w:p w14:paraId="62230884" w14:textId="77777777" w:rsidR="00EF1D5F" w:rsidRDefault="00EF1D5F">
      <w:pPr>
        <w:pBdr>
          <w:top w:val="nil"/>
          <w:left w:val="nil"/>
          <w:bottom w:val="nil"/>
          <w:right w:val="nil"/>
          <w:between w:val="nil"/>
        </w:pBdr>
        <w:spacing w:line="220" w:lineRule="auto"/>
        <w:jc w:val="center"/>
        <w:rPr>
          <w:b/>
          <w:color w:val="3B3838"/>
          <w:sz w:val="18"/>
          <w:szCs w:val="18"/>
        </w:rPr>
      </w:pPr>
    </w:p>
    <w:p w14:paraId="750AACA2" w14:textId="77777777"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Galería Inmobiliaria (2023).</w:t>
      </w:r>
    </w:p>
    <w:p w14:paraId="38DF3FE9" w14:textId="77777777" w:rsidR="00EF1D5F" w:rsidRDefault="00EF1D5F">
      <w:pPr>
        <w:rPr>
          <w:color w:val="3B3838"/>
          <w:sz w:val="18"/>
          <w:szCs w:val="18"/>
        </w:rPr>
      </w:pPr>
    </w:p>
    <w:p w14:paraId="1630F37F" w14:textId="67A3A9F4" w:rsidR="005B593C" w:rsidRDefault="005B593C">
      <w:pPr>
        <w:rPr>
          <w:color w:val="000000"/>
        </w:rPr>
        <w:sectPr w:rsidR="005B593C" w:rsidSect="00F7078E">
          <w:type w:val="continuous"/>
          <w:pgSz w:w="12240" w:h="15840"/>
          <w:pgMar w:top="2262" w:right="1440" w:bottom="1440" w:left="1440" w:header="708" w:footer="708" w:gutter="0"/>
          <w:cols w:space="720"/>
        </w:sectPr>
      </w:pPr>
    </w:p>
    <w:p w14:paraId="18061573" w14:textId="77777777" w:rsidR="00225A55" w:rsidRDefault="00225A55">
      <w:pPr>
        <w:spacing w:line="240" w:lineRule="auto"/>
        <w:jc w:val="left"/>
        <w:rPr>
          <w:spacing w:val="-8"/>
        </w:rPr>
      </w:pPr>
      <w:r>
        <w:rPr>
          <w:spacing w:val="-8"/>
        </w:rPr>
        <w:br w:type="page"/>
      </w:r>
    </w:p>
    <w:p w14:paraId="6BC91E82" w14:textId="3A34DE8C" w:rsidR="00225A55" w:rsidRDefault="00EF1D5F">
      <w:pPr>
        <w:rPr>
          <w:spacing w:val="-8"/>
          <w:highlight w:val="white"/>
        </w:rPr>
      </w:pPr>
      <w:r w:rsidRPr="00297A05">
        <w:rPr>
          <w:spacing w:val="-8"/>
        </w:rPr>
        <w:lastRenderedPageBreak/>
        <w:t>La Encuesta Multipropósito</w:t>
      </w:r>
      <w:r w:rsidR="005145F7">
        <w:rPr>
          <w:spacing w:val="-8"/>
        </w:rPr>
        <w:t xml:space="preserve"> de Bogotá</w:t>
      </w:r>
      <w:r w:rsidRPr="00297A05">
        <w:rPr>
          <w:spacing w:val="-8"/>
        </w:rPr>
        <w:t xml:space="preserve"> del 2021 identificó que el déficit de vivienda en Bogotá ascendía a 252.915 hogares (9 %), de los cuales 29.774 corresponden al déficit cuantitativo (11,8 %) y 223.141 al déficit cualitativo (88,2 %). Del total de familias deficitarias el 58 % estaría ubicado en zonas de origen informal (SDHT, 2023)</w:t>
      </w:r>
      <w:r w:rsidRPr="00297A05">
        <w:rPr>
          <w:b/>
          <w:color w:val="C00000"/>
          <w:spacing w:val="-8"/>
          <w:vertAlign w:val="superscript"/>
        </w:rPr>
        <w:footnoteReference w:id="18"/>
      </w:r>
      <w:r w:rsidRPr="00297A05">
        <w:rPr>
          <w:spacing w:val="-8"/>
        </w:rPr>
        <w:t>. De la demanda agregada de vivienda</w:t>
      </w:r>
      <w:r w:rsidRPr="00297A05">
        <w:rPr>
          <w:b/>
          <w:color w:val="C00000"/>
          <w:spacing w:val="-8"/>
          <w:vertAlign w:val="superscript"/>
        </w:rPr>
        <w:footnoteReference w:id="19"/>
      </w:r>
      <w:r w:rsidRPr="00297A05">
        <w:rPr>
          <w:spacing w:val="-8"/>
          <w:highlight w:val="white"/>
        </w:rPr>
        <w:t xml:space="preserve"> el 51% se concentra en hogares con ingresos menores a 2 SMMLV, mientras que la oferta VIP, solución de vivienda a la que estos hogares tienen más posibilidad de acceder, representa tan solo el 5 % del mercado de vivienda. </w:t>
      </w:r>
    </w:p>
    <w:p w14:paraId="4274B629" w14:textId="77777777" w:rsidR="00225A55" w:rsidRDefault="00225A55">
      <w:pPr>
        <w:rPr>
          <w:spacing w:val="-8"/>
          <w:highlight w:val="white"/>
        </w:rPr>
      </w:pPr>
    </w:p>
    <w:p w14:paraId="6EFA12B8" w14:textId="4F653272" w:rsidR="00EF1D5F" w:rsidRPr="00297A05" w:rsidRDefault="00EF1D5F">
      <w:pPr>
        <w:rPr>
          <w:spacing w:val="-8"/>
          <w:highlight w:val="white"/>
        </w:rPr>
      </w:pPr>
      <w:r w:rsidRPr="00297A05">
        <w:rPr>
          <w:spacing w:val="-8"/>
          <w:highlight w:val="white"/>
        </w:rPr>
        <w:t>Si se suman a las problemáticas del entorno los efectos adversos de las condiciones precarias del déficit cualitativo de vivienda, se puede establecer el impacto que esto tiene en la vida de los habitantes. La Encuesta Nacional de Calidad de Vida 2022 enfatiza en esta problemática señalando que entre los problemas más destacados asociados a condiciones de habitabilidad se encuentran la presencia de plagas, humedad, hacinamiento y riesgos estructurales. Según los datos, en 2022, 259.000 hogares en Bogotá estaban en hacinamiento mitigable y 2.000 en hacinamiento no mitigable.</w:t>
      </w:r>
    </w:p>
    <w:p w14:paraId="0AAD16E8" w14:textId="27D8CC7C" w:rsidR="00EF1D5F" w:rsidRPr="00297A05" w:rsidRDefault="00EF1D5F">
      <w:pPr>
        <w:rPr>
          <w:spacing w:val="-8"/>
        </w:rPr>
      </w:pPr>
    </w:p>
    <w:p w14:paraId="2D5471B6" w14:textId="12BA9C14" w:rsidR="00EF1D5F" w:rsidRPr="00297A05" w:rsidRDefault="00EF1D5F">
      <w:pPr>
        <w:rPr>
          <w:spacing w:val="-8"/>
          <w:highlight w:val="white"/>
        </w:rPr>
      </w:pPr>
      <w:r w:rsidRPr="00297A05">
        <w:rPr>
          <w:spacing w:val="-8"/>
          <w:highlight w:val="white"/>
        </w:rPr>
        <w:t>En cuanto a los hogares con ingresos entre 2 y 4 SMMLV, tienen una participación</w:t>
      </w:r>
      <w:r w:rsidRPr="00297A05">
        <w:rPr>
          <w:spacing w:val="-8"/>
        </w:rPr>
        <w:t xml:space="preserve"> del 28 % del total, con una oferta de VIS del 42 %</w:t>
      </w:r>
      <w:r w:rsidRPr="00297A05">
        <w:rPr>
          <w:b/>
          <w:color w:val="C00000"/>
          <w:spacing w:val="-8"/>
          <w:vertAlign w:val="superscript"/>
        </w:rPr>
        <w:footnoteReference w:id="20"/>
      </w:r>
      <w:r w:rsidRPr="00297A05">
        <w:rPr>
          <w:spacing w:val="-8"/>
        </w:rPr>
        <w:t xml:space="preserve"> </w:t>
      </w:r>
      <w:r w:rsidRPr="00297A05">
        <w:rPr>
          <w:spacing w:val="-8"/>
          <w:highlight w:val="white"/>
        </w:rPr>
        <w:t xml:space="preserve">de participación, lo cual ha permitido un mayor nivel de producción en los últimos años; aunque, sin solucionar los retos financieros que estas familias enfrentan. Por último, en el segmento del mercado de la vivienda no VIS se observa un comportamiento opuesto al del mercado VIP; los hogares con más de 4 SMMLV tienen </w:t>
      </w:r>
      <w:r w:rsidRPr="00297A05">
        <w:rPr>
          <w:spacing w:val="-8"/>
          <w:highlight w:val="white"/>
        </w:rPr>
        <w:t>una participación del 21 % de la demanda y pueden acceder a una oferta habitacional con un peso del 53 % del total de vivienda nueva en Bogotá.</w:t>
      </w:r>
    </w:p>
    <w:p w14:paraId="1B9B2C22" w14:textId="77777777" w:rsidR="00EF1D5F" w:rsidRPr="00297A05" w:rsidRDefault="00EF1D5F">
      <w:pPr>
        <w:rPr>
          <w:spacing w:val="-8"/>
        </w:rPr>
      </w:pPr>
    </w:p>
    <w:p w14:paraId="2AF8E61A" w14:textId="48A6CC79" w:rsidR="00EF1D5F" w:rsidRPr="00297A05" w:rsidRDefault="00EF1D5F">
      <w:pPr>
        <w:rPr>
          <w:spacing w:val="-8"/>
          <w:highlight w:val="white"/>
        </w:rPr>
      </w:pPr>
      <w:r w:rsidRPr="00297A05">
        <w:rPr>
          <w:spacing w:val="-8"/>
          <w:highlight w:val="white"/>
        </w:rPr>
        <w:t>El ritmo de producción de vivienda nueva es insuficiente para satisfacer la demanda. Si se calculara un promedio simple anual de las necesidades habitacionales identificadas, se obtendría un número superior a las 85.000 unidades actuales. Esto contrasta con las 35.000 iniciaciones promedio anuales de vivienda nueva formal que se registraron en la ciudad durante el periodo 2018-2023.</w:t>
      </w:r>
    </w:p>
    <w:p w14:paraId="29A02D71" w14:textId="77777777" w:rsidR="00EF1D5F" w:rsidRPr="00297A05" w:rsidRDefault="00EF1D5F">
      <w:pPr>
        <w:rPr>
          <w:spacing w:val="-8"/>
          <w:highlight w:val="white"/>
        </w:rPr>
      </w:pPr>
    </w:p>
    <w:p w14:paraId="00FC1229" w14:textId="77777777" w:rsidR="00EF1D5F" w:rsidRPr="00297A05" w:rsidRDefault="00EF1D5F">
      <w:pPr>
        <w:rPr>
          <w:spacing w:val="-8"/>
        </w:rPr>
      </w:pPr>
      <w:r w:rsidRPr="00297A05">
        <w:rPr>
          <w:spacing w:val="-8"/>
        </w:rPr>
        <w:t>Adicionalmente, la mayor parte de esta oferta de vivienda nueva no se desarrolla en áreas que cuenten con soportes territoriales adecuados. De acuerdo con cifras de Galería Inmobiliaria (2023), los lanzamientos de vivienda VIS-VIP en Unidades de Planeamiento Local deficitarias en soportes urbanos alcanzaron el 64,27 % durante el periodo 2016-2023 en la ciudad.</w:t>
      </w:r>
    </w:p>
    <w:p w14:paraId="615154A8" w14:textId="77777777" w:rsidR="00EF1D5F" w:rsidRPr="00297A05" w:rsidRDefault="00EF1D5F">
      <w:pPr>
        <w:rPr>
          <w:spacing w:val="-8"/>
        </w:rPr>
      </w:pPr>
    </w:p>
    <w:p w14:paraId="08299FDB" w14:textId="6066D646" w:rsidR="00EF1D5F" w:rsidRPr="00297A05" w:rsidRDefault="00EF1D5F">
      <w:pPr>
        <w:rPr>
          <w:spacing w:val="-8"/>
        </w:rPr>
        <w:sectPr w:rsidR="00EF1D5F" w:rsidRPr="00297A05" w:rsidSect="00F7078E">
          <w:type w:val="continuous"/>
          <w:pgSz w:w="12240" w:h="15840"/>
          <w:pgMar w:top="2262" w:right="1440" w:bottom="1440" w:left="1440" w:header="708" w:footer="708" w:gutter="0"/>
          <w:cols w:num="2" w:space="720" w:equalWidth="0">
            <w:col w:w="4396" w:space="567"/>
            <w:col w:w="4396" w:space="0"/>
          </w:cols>
        </w:sectPr>
      </w:pPr>
      <w:r w:rsidRPr="00297A05">
        <w:rPr>
          <w:spacing w:val="-8"/>
        </w:rPr>
        <w:t>Ahora bien, cabe destacar que las necesidades de producción de vivienda no solo deben contemplar el déficit habitacional existente, sino también la generación de nuevos núcleos familiares, toda vez que esto genera presiones en la futura demanda de vivienda en la ciudad. Por lo anterior, para el periodo 2014-2023, se formaron 75.444 nuevos hogares por año, cifra que contrasta con el promedio de iniciaciones de viviendas que fue de 34.587unidades de acuerdo con el Censo de Edificaciones del DANE, lo cual evidencia una brecha en la producción formal de vivienda de 40.857 unidades</w:t>
      </w:r>
      <w:r w:rsidR="005145F7">
        <w:rPr>
          <w:rFonts w:ascii="Times New Roman" w:hAnsi="Times New Roman"/>
          <w:color w:val="000000"/>
          <w:spacing w:val="-8"/>
          <w:sz w:val="24"/>
        </w:rPr>
        <w:t>.</w:t>
      </w:r>
    </w:p>
    <w:p w14:paraId="3EF85DB2" w14:textId="20913FA1" w:rsidR="00EF1D5F" w:rsidRDefault="00EF1D5F"/>
    <w:p w14:paraId="7F42B7B6" w14:textId="77777777" w:rsidR="005B593C" w:rsidRDefault="005B593C"/>
    <w:p w14:paraId="6ACB8F5C" w14:textId="77777777" w:rsidR="005266A5" w:rsidRDefault="005266A5">
      <w:pPr>
        <w:spacing w:line="240" w:lineRule="auto"/>
        <w:jc w:val="left"/>
        <w:rPr>
          <w:b/>
          <w:color w:val="3B3838"/>
          <w:sz w:val="18"/>
          <w:szCs w:val="18"/>
        </w:rPr>
      </w:pPr>
      <w:r>
        <w:rPr>
          <w:b/>
          <w:color w:val="3B3838"/>
          <w:sz w:val="18"/>
          <w:szCs w:val="18"/>
        </w:rPr>
        <w:br w:type="page"/>
      </w:r>
    </w:p>
    <w:p w14:paraId="08D8A4B8" w14:textId="685F733B" w:rsidR="00EF1D5F" w:rsidRPr="005266A5" w:rsidRDefault="005266A5" w:rsidP="005266A5">
      <w:pPr>
        <w:pStyle w:val="Descripcin"/>
        <w:jc w:val="center"/>
        <w:rPr>
          <w:sz w:val="18"/>
        </w:rPr>
      </w:pPr>
      <w:bookmarkStart w:id="412" w:name="_Toc165170036"/>
      <w:r w:rsidRPr="005266A5">
        <w:rPr>
          <w:sz w:val="18"/>
        </w:rPr>
        <w:lastRenderedPageBreak/>
        <w:t xml:space="preserve">Mapa </w:t>
      </w:r>
      <w:r w:rsidRPr="005266A5">
        <w:rPr>
          <w:sz w:val="18"/>
        </w:rPr>
        <w:fldChar w:fldCharType="begin"/>
      </w:r>
      <w:r w:rsidRPr="005266A5">
        <w:rPr>
          <w:sz w:val="18"/>
        </w:rPr>
        <w:instrText xml:space="preserve"> SEQ Mapa \* ARABIC </w:instrText>
      </w:r>
      <w:r w:rsidRPr="005266A5">
        <w:rPr>
          <w:sz w:val="18"/>
        </w:rPr>
        <w:fldChar w:fldCharType="separate"/>
      </w:r>
      <w:r w:rsidR="00D01651">
        <w:rPr>
          <w:noProof/>
          <w:sz w:val="18"/>
        </w:rPr>
        <w:t>12</w:t>
      </w:r>
      <w:r w:rsidRPr="005266A5">
        <w:rPr>
          <w:sz w:val="18"/>
        </w:rPr>
        <w:fldChar w:fldCharType="end"/>
      </w:r>
      <w:r w:rsidRPr="005266A5">
        <w:rPr>
          <w:sz w:val="18"/>
        </w:rPr>
        <w:t xml:space="preserve">. </w:t>
      </w:r>
      <w:r w:rsidR="00EF1D5F" w:rsidRPr="005266A5">
        <w:rPr>
          <w:sz w:val="18"/>
        </w:rPr>
        <w:t>Lanzamientos de VIS-VIP en UPL deficitarias y superavitarias de soportes urbanos entre 2016-2022</w:t>
      </w:r>
      <w:bookmarkEnd w:id="412"/>
    </w:p>
    <w:p w14:paraId="7A33CE8D" w14:textId="4F28AC70" w:rsidR="00EF1D5F" w:rsidRDefault="00774809">
      <w:pPr>
        <w:pBdr>
          <w:top w:val="nil"/>
          <w:left w:val="nil"/>
          <w:bottom w:val="nil"/>
          <w:right w:val="nil"/>
          <w:between w:val="nil"/>
        </w:pBdr>
        <w:spacing w:line="220" w:lineRule="auto"/>
        <w:jc w:val="center"/>
        <w:rPr>
          <w:color w:val="C00000"/>
          <w:sz w:val="18"/>
          <w:szCs w:val="18"/>
        </w:rPr>
      </w:pPr>
      <w:r>
        <w:rPr>
          <w:noProof/>
          <w:color w:val="C00000"/>
          <w:sz w:val="18"/>
          <w:szCs w:val="18"/>
        </w:rPr>
        <w:drawing>
          <wp:inline distT="0" distB="0" distL="0" distR="0" wp14:anchorId="666C189B" wp14:editId="3C96ACDE">
            <wp:extent cx="2409092" cy="3640015"/>
            <wp:effectExtent l="0" t="0" r="0" b="0"/>
            <wp:docPr id="54719733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97339" name="Imagen 547197339"/>
                    <pic:cNvPicPr/>
                  </pic:nvPicPr>
                  <pic:blipFill rotWithShape="1">
                    <a:blip r:embed="rId152">
                      <a:extLst>
                        <a:ext uri="{28A0092B-C50C-407E-A947-70E740481C1C}">
                          <a14:useLocalDpi xmlns:a14="http://schemas.microsoft.com/office/drawing/2010/main" val="0"/>
                        </a:ext>
                      </a:extLst>
                    </a:blip>
                    <a:srcRect l="1128" t="967" r="1010" b="456"/>
                    <a:stretch/>
                  </pic:blipFill>
                  <pic:spPr bwMode="auto">
                    <a:xfrm>
                      <a:off x="0" y="0"/>
                      <a:ext cx="2411962" cy="3644352"/>
                    </a:xfrm>
                    <a:prstGeom prst="rect">
                      <a:avLst/>
                    </a:prstGeom>
                    <a:ln>
                      <a:noFill/>
                    </a:ln>
                    <a:extLst>
                      <a:ext uri="{53640926-AAD7-44D8-BBD7-CCE9431645EC}">
                        <a14:shadowObscured xmlns:a14="http://schemas.microsoft.com/office/drawing/2010/main"/>
                      </a:ext>
                    </a:extLst>
                  </pic:spPr>
                </pic:pic>
              </a:graphicData>
            </a:graphic>
          </wp:inline>
        </w:drawing>
      </w:r>
    </w:p>
    <w:p w14:paraId="15E0AA09" w14:textId="77777777" w:rsidR="00EF1D5F" w:rsidRDefault="00EF1D5F">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Documento Técnico de Soporte Plan de Hábitat y Servicios Públicos, SDHT (2023).</w:t>
      </w:r>
    </w:p>
    <w:p w14:paraId="66E7C6E0" w14:textId="77777777" w:rsidR="00EF1D5F" w:rsidRDefault="00EF1D5F">
      <w:pPr>
        <w:rPr>
          <w:color w:val="000000"/>
        </w:rPr>
      </w:pPr>
    </w:p>
    <w:p w14:paraId="64C574A3" w14:textId="77777777" w:rsidR="00EF1D5F" w:rsidRDefault="00EF1D5F">
      <w:pPr>
        <w:rPr>
          <w:color w:val="000000"/>
        </w:rPr>
        <w:sectPr w:rsidR="00EF1D5F" w:rsidSect="00F7078E">
          <w:type w:val="continuous"/>
          <w:pgSz w:w="12240" w:h="15840"/>
          <w:pgMar w:top="2262" w:right="1440" w:bottom="1440" w:left="1440" w:header="708" w:footer="708" w:gutter="0"/>
          <w:cols w:space="720"/>
        </w:sectPr>
      </w:pPr>
    </w:p>
    <w:p w14:paraId="06187553" w14:textId="77777777" w:rsidR="00EF1D5F" w:rsidRDefault="00EF1D5F">
      <w:r>
        <w:t>Adicionalmente, si a esta demanda de soluciones habitacionales dignas se suma la formación esperada de hogares a 2030, se tendría la entrada de 550.492 nuevas familias demandantes (78.642 hogares por año) entre 2023 y 2030, de los cuales más del 70 %</w:t>
      </w:r>
      <w:r>
        <w:rPr>
          <w:vertAlign w:val="superscript"/>
        </w:rPr>
        <w:footnoteReference w:id="21"/>
      </w:r>
      <w:r>
        <w:t xml:space="preserve"> tendría ingresos </w:t>
      </w:r>
      <w:r>
        <w:t>inferiores a los 4 SMMLV. Dado lo anterior, la demanda potencial de viviendas sería en promedio de unas 78.642 unidades de viviendas al año, de las cuales, aproximadamente, el 70 % deberían destinarse a VIP y VIS.</w:t>
      </w:r>
    </w:p>
    <w:p w14:paraId="7359980A" w14:textId="77777777" w:rsidR="00EF1D5F" w:rsidRDefault="00EF1D5F"/>
    <w:p w14:paraId="4F2A9BE3" w14:textId="77777777" w:rsidR="00EF1D5F" w:rsidRDefault="00EF1D5F">
      <w:pPr>
        <w:rPr>
          <w:highlight w:val="yellow"/>
        </w:rPr>
        <w:sectPr w:rsidR="00EF1D5F" w:rsidSect="00F7078E">
          <w:type w:val="continuous"/>
          <w:pgSz w:w="12240" w:h="15840"/>
          <w:pgMar w:top="2262" w:right="1440" w:bottom="1440" w:left="1440" w:header="708" w:footer="708" w:gutter="0"/>
          <w:cols w:num="2" w:space="720" w:equalWidth="0">
            <w:col w:w="4396" w:space="567"/>
            <w:col w:w="4396" w:space="0"/>
          </w:cols>
        </w:sectPr>
      </w:pPr>
    </w:p>
    <w:p w14:paraId="30AB2ECE" w14:textId="77777777" w:rsidR="00EF1D5F" w:rsidRDefault="00EF1D5F"/>
    <w:p w14:paraId="322F586C" w14:textId="77777777" w:rsidR="00EF1D5F" w:rsidRDefault="00EF1D5F"/>
    <w:p w14:paraId="5D5FFAEE" w14:textId="20E8000F" w:rsidR="00EF1D5F" w:rsidRPr="00557B29" w:rsidRDefault="00EF1D5F" w:rsidP="00557B29">
      <w:pPr>
        <w:keepNext/>
        <w:keepLines/>
        <w:pBdr>
          <w:top w:val="nil"/>
          <w:left w:val="nil"/>
          <w:bottom w:val="nil"/>
          <w:right w:val="nil"/>
          <w:between w:val="nil"/>
        </w:pBdr>
        <w:spacing w:line="340" w:lineRule="auto"/>
        <w:ind w:firstLine="708"/>
        <w:jc w:val="left"/>
        <w:rPr>
          <w:b/>
          <w:sz w:val="24"/>
        </w:rPr>
        <w:sectPr w:rsidR="00EF1D5F" w:rsidRPr="00557B29" w:rsidSect="00F7078E">
          <w:type w:val="continuous"/>
          <w:pgSz w:w="12240" w:h="15840"/>
          <w:pgMar w:top="2262" w:right="1440" w:bottom="1440" w:left="1440" w:header="708" w:footer="708" w:gutter="0"/>
          <w:cols w:space="720"/>
        </w:sectPr>
      </w:pPr>
      <w:r w:rsidRPr="00557B29">
        <w:rPr>
          <w:b/>
          <w:sz w:val="24"/>
        </w:rPr>
        <w:t>Descripción del programa</w:t>
      </w:r>
    </w:p>
    <w:p w14:paraId="462A522E" w14:textId="77777777" w:rsidR="00EF1D5F" w:rsidRDefault="00EF1D5F">
      <w:r>
        <w:t xml:space="preserve">El objetivo del programa es atender el déficit cuantitativo y cualitativo de vivienda digna para todas las personas que habitan en Bogotá, promoviendo la inclusión social y el desarrollo urbano sostenible. Se avanzará en la gestión pública que favorezca la habilitación de suelo para la construcción de vivienda en el Distrito Capital, a través de las labores para facilitar la articulación de los sectores públicos y privados </w:t>
      </w:r>
      <w:r>
        <w:t>relacionados con la construcción de infraestructura pública y la construcción de soluciones habitacionales.</w:t>
      </w:r>
    </w:p>
    <w:p w14:paraId="609F80C1" w14:textId="77777777" w:rsidR="00EF1D5F" w:rsidRDefault="00EF1D5F"/>
    <w:p w14:paraId="621B6858" w14:textId="77777777" w:rsidR="00EF1D5F" w:rsidRDefault="00EF1D5F">
      <w:pPr>
        <w:rPr>
          <w:vertAlign w:val="superscript"/>
        </w:rPr>
      </w:pPr>
      <w:r>
        <w:t xml:space="preserve">En esta habilitación del suelo, se tendrán en cuenta las condiciones del territorio y de las infraestructuras públicas existentes, para disminuir la presión sobre las condiciones de vulnerabilidad de la ciudad ante el cambio climático, </w:t>
      </w:r>
      <w:r>
        <w:lastRenderedPageBreak/>
        <w:t>aprovechando de manera más eficiente las infraestructuras públicas existentes, adecuándolas para un mejor funcionamiento ante los escenarios de riesgo identificados para la ciudad, e incorporando criterios de sostenibilidad ambiental en su producción, construcción y uso por parte de los ciudadanos.</w:t>
      </w:r>
    </w:p>
    <w:p w14:paraId="507ED7F4" w14:textId="77777777" w:rsidR="00EF1D5F" w:rsidRDefault="00EF1D5F"/>
    <w:p w14:paraId="2C9FBD45" w14:textId="77777777" w:rsidR="00EF1D5F" w:rsidRDefault="00EF1D5F">
      <w:pPr>
        <w:spacing w:line="259" w:lineRule="auto"/>
      </w:pPr>
      <w:r>
        <w:t xml:space="preserve">Se propiciarán y fortalecerán los mecanismos de acceso a vivienda propia mediante el financiamiento para tasas de interés y cuotas iniciales en nuevos hogares, así como el acceso a vivienda usada de calidad mediante soluciones como el arriendo social o el leasing, considerando la capacidad de pago de las personas. </w:t>
      </w:r>
    </w:p>
    <w:p w14:paraId="072CDDF5" w14:textId="77777777" w:rsidR="00EF1D5F" w:rsidRDefault="00EF1D5F">
      <w:pPr>
        <w:spacing w:line="259" w:lineRule="auto"/>
      </w:pPr>
    </w:p>
    <w:p w14:paraId="5F4BA3F8" w14:textId="77777777" w:rsidR="00EF1D5F" w:rsidRDefault="00EF1D5F">
      <w:pPr>
        <w:spacing w:line="259" w:lineRule="auto"/>
      </w:pPr>
      <w:r>
        <w:t>Se impulsará la construcción de cerca de 80.000 viviendas de interés social y prioritario mediante un paquete de incentivos para promotores y constructores, centrado en agilizar trámites y fortalecer la Ventanilla Única de la Construcción (VUC). El Gobierno distrital tomará medidas normativas y administrativas que garanticen la interoperabilidad entre las entidades involucradas en la cadena de urbanismo y construcción, con el fin de implementar los mecanismos tecnológicos necesarios para la prestación de los servicios web, asegurando así su funcionalidad a través de la VUC.</w:t>
      </w:r>
    </w:p>
    <w:p w14:paraId="73DE4220" w14:textId="77777777" w:rsidR="00EF1D5F" w:rsidRDefault="00EF1D5F"/>
    <w:p w14:paraId="309BA815" w14:textId="77777777" w:rsidR="00EF1D5F" w:rsidRDefault="00EF1D5F">
      <w:pPr>
        <w:pBdr>
          <w:top w:val="nil"/>
          <w:left w:val="nil"/>
          <w:bottom w:val="nil"/>
          <w:right w:val="nil"/>
          <w:between w:val="nil"/>
        </w:pBdr>
        <w:spacing w:line="260" w:lineRule="auto"/>
      </w:pPr>
      <w:r>
        <w:t xml:space="preserve">Se garantizará que la totalidad de los procedimientos asociados a la Cadena de Trámites de Urbanismo y Construcción y otros procesos relacionados directa o indirectamente se ejecuten haciendo uso de todos los servicios disponibles en la VUC. Así mismo, se desarrollará un plan de racionalización de los trámites y procedimientos que actualmente adelanta la ciudadanía ante la Administración distrital. Esta reducción de trámites partirá de lo logrado en los años anteriores e irá acompañada de una estrategia de digitalización para ofrecer un relacionamiento ágil </w:t>
      </w:r>
      <w:r>
        <w:t>entre la gente y la Administración. Se mejorarán las herramientas transaccionales digitales, tiempos de servicio, usabilidad de las plataformas y la implementación de estrategias de “ventanillas únicas”.</w:t>
      </w:r>
    </w:p>
    <w:p w14:paraId="5E8BFB2E" w14:textId="77777777" w:rsidR="00EF1D5F" w:rsidRDefault="00EF1D5F">
      <w:pPr>
        <w:pBdr>
          <w:top w:val="nil"/>
          <w:left w:val="nil"/>
          <w:bottom w:val="nil"/>
          <w:right w:val="nil"/>
          <w:between w:val="nil"/>
        </w:pBdr>
        <w:spacing w:line="260" w:lineRule="auto"/>
      </w:pPr>
    </w:p>
    <w:p w14:paraId="3B2FED7A" w14:textId="77777777" w:rsidR="00EF1D5F" w:rsidRDefault="00EF1D5F">
      <w:pPr>
        <w:spacing w:line="259" w:lineRule="auto"/>
      </w:pPr>
      <w:r>
        <w:t>Se integrarán los enfoques poblacional-diferencial y de género en acciones de mejoramiento integral de barrios, se promoverán espacios seguros especialmente para mujeres y niñas, su participación en acciones estratégicas y en el desarrollo de Unidades de Planeamiento Local, facilitando su acceso a servicios financieros y promoviendo su inclusión en el sector de la construcción.</w:t>
      </w:r>
    </w:p>
    <w:p w14:paraId="38B62C06" w14:textId="77777777" w:rsidR="00EF1D5F" w:rsidRDefault="00EF1D5F">
      <w:pPr>
        <w:spacing w:line="259" w:lineRule="auto"/>
      </w:pPr>
    </w:p>
    <w:p w14:paraId="3FC3BFB1" w14:textId="77777777" w:rsidR="00EF1D5F" w:rsidRDefault="00EF1D5F">
      <w:pPr>
        <w:spacing w:line="259" w:lineRule="auto"/>
      </w:pPr>
      <w:r>
        <w:t>Se ejecutará el Programa de Mejoramiento Integral de Barrios y los Planes de Intervención para el Mejoramiento Integral (PIMI-Hábitat), como instrumentos aplicables en asentamientos humanos de origen informal, los cuales tienen como objetivo principal  mejorar los territorios y las viviendas, garantizando una mejor calidad de vida para sus habitantes al proporcionar servicios urbanos necesarios, reducir el déficit de vivienda y mejorar el entorno a través de intervenciones sostenibles en aspectos físicos, ambientales, sociales, culturales y económicos.</w:t>
      </w:r>
    </w:p>
    <w:p w14:paraId="539DB727" w14:textId="77777777" w:rsidR="00EF1D5F" w:rsidRDefault="00EF1D5F">
      <w:pPr>
        <w:pBdr>
          <w:top w:val="nil"/>
          <w:left w:val="nil"/>
          <w:bottom w:val="nil"/>
          <w:right w:val="nil"/>
          <w:between w:val="nil"/>
        </w:pBdr>
        <w:spacing w:line="259" w:lineRule="auto"/>
      </w:pPr>
    </w:p>
    <w:p w14:paraId="64882271" w14:textId="77777777" w:rsidR="00EF1D5F" w:rsidRDefault="00EF1D5F">
      <w:pPr>
        <w:spacing w:line="259" w:lineRule="auto"/>
      </w:pPr>
      <w:r>
        <w:t>Así mismo, se planteará un modelo de gestión progresiva de vivienda, con diseños aprobados mediante la Curaduría Pública Social, acompañamiento técnico y capacitación a la comunidad. Se realizarán intervenciones de fachadas dirigidas a construir ciudad en áreas donde se desarrollen intervenciones integrales, como acción que complemente los procesos de construcción que ejecute el Distrito a fin de optimizar recursos y generar compromiso social en las comunidades.</w:t>
      </w:r>
    </w:p>
    <w:p w14:paraId="559E29A2" w14:textId="77777777" w:rsidR="00EF1D5F" w:rsidRDefault="00EF1D5F">
      <w:pPr>
        <w:spacing w:line="259" w:lineRule="auto"/>
      </w:pPr>
    </w:p>
    <w:p w14:paraId="2FB00ADD" w14:textId="77777777" w:rsidR="00EF1D5F" w:rsidRDefault="00EF1D5F">
      <w:pPr>
        <w:spacing w:line="259" w:lineRule="auto"/>
      </w:pPr>
      <w:r>
        <w:lastRenderedPageBreak/>
        <w:t xml:space="preserve">De igual manera, se impulsarán instrumentos como la legalización y la formalización urbanística, herramientas dirigidas al reconocimiento de un asentamiento humano, incorporándose jurídica y normativamente al Distrito Capital. De igual forma, el mejoramiento integral contempla dar prioridad a la titulación de predios de los hogares, permitiéndoles consolidar su patrimonio. </w:t>
      </w:r>
    </w:p>
    <w:p w14:paraId="0F9D800D" w14:textId="77777777" w:rsidR="00EF1D5F" w:rsidRDefault="00EF1D5F">
      <w:pPr>
        <w:spacing w:line="259" w:lineRule="auto"/>
      </w:pPr>
    </w:p>
    <w:p w14:paraId="28463C4E" w14:textId="77777777" w:rsidR="00EF1D5F" w:rsidRDefault="00EF1D5F">
      <w:pPr>
        <w:pBdr>
          <w:top w:val="nil"/>
          <w:left w:val="nil"/>
          <w:bottom w:val="nil"/>
          <w:right w:val="nil"/>
          <w:between w:val="nil"/>
        </w:pBdr>
        <w:spacing w:line="259" w:lineRule="auto"/>
      </w:pPr>
      <w:r>
        <w:t>Se dará continuidad en la atención a los hogares que viven en áreas de alto riesgo no mitigable, los cuales deben ser reasentados con el fin evitar alguna calamidad del orden natural y lograr preservar su vida.</w:t>
      </w:r>
    </w:p>
    <w:p w14:paraId="29843E0D" w14:textId="77777777" w:rsidR="00EF1D5F" w:rsidRDefault="00EF1D5F">
      <w:pPr>
        <w:spacing w:line="259" w:lineRule="auto"/>
      </w:pPr>
    </w:p>
    <w:p w14:paraId="514D37A9" w14:textId="77777777" w:rsidR="00EF1D5F" w:rsidRDefault="00EF1D5F">
      <w:pPr>
        <w:spacing w:line="259" w:lineRule="auto"/>
        <w:rPr>
          <w:rFonts w:ascii="Times New Roman" w:hAnsi="Times New Roman"/>
          <w:color w:val="000000"/>
          <w:sz w:val="24"/>
        </w:rPr>
      </w:pPr>
      <w:r>
        <w:t xml:space="preserve">Adicionalmente, es necesario anotar que la solución a este tipo de demandas debe incorporar así mismo la adaptación al cambio climático y a los escenarios de riesgo identificados para la </w:t>
      </w:r>
      <w:r>
        <w:t>ciudad, en aspectos tales como la priorización en la localización de las viviendas de áreas del territorio menos vulnerables a este tipo de fenómenos, la incorporación de enfoques de sostenibilidad en su producción y en la forma en que se construye el hábitat día a día, en relación con el acceso y uso de las infraestructuras públicas como servicios públicos, espacio público y equipamientos.</w:t>
      </w:r>
    </w:p>
    <w:p w14:paraId="1A5D3E6A" w14:textId="77777777" w:rsidR="00EF1D5F" w:rsidRDefault="00EF1D5F">
      <w:pPr>
        <w:spacing w:line="259" w:lineRule="auto"/>
      </w:pPr>
    </w:p>
    <w:p w14:paraId="6B1EA0CA" w14:textId="2743C92A" w:rsidR="00EF1D5F" w:rsidRPr="0066317B" w:rsidRDefault="00EF1D5F" w:rsidP="0066317B">
      <w:pPr>
        <w:spacing w:line="259" w:lineRule="auto"/>
        <w:sectPr w:rsidR="00EF1D5F" w:rsidRPr="0066317B" w:rsidSect="00F7078E">
          <w:type w:val="continuous"/>
          <w:pgSz w:w="12240" w:h="15840"/>
          <w:pgMar w:top="2262" w:right="1440" w:bottom="1440" w:left="1440" w:header="708" w:footer="708" w:gutter="0"/>
          <w:cols w:num="2" w:space="720" w:equalWidth="0">
            <w:col w:w="4396" w:space="567"/>
            <w:col w:w="4396" w:space="0"/>
          </w:cols>
        </w:sectPr>
      </w:pPr>
      <w:r>
        <w:t>Finalmente, para aportar al portafolio de vivienda en la ciudad, se impulsarán proyectos de VIS y VIP en predios fiscales o privados, proyectos inmobiliarios mediante la habilitación de suelo en actuaciones estratégicas, unidades funcionales, planes parciales, proyectos de reúso y subdivisión para soluciones habitacionales mediante el reciclaje de edificios públicos y privados</w:t>
      </w:r>
      <w:r>
        <w:rPr>
          <w:highlight w:val="white"/>
        </w:rPr>
        <w:t>.</w:t>
      </w:r>
    </w:p>
    <w:p w14:paraId="110B50E9" w14:textId="77777777" w:rsidR="00EF1D5F" w:rsidRDefault="00EF1D5F"/>
    <w:p w14:paraId="7A2BB7DC" w14:textId="77777777" w:rsidR="00EF1D5F" w:rsidRDefault="00EF1D5F"/>
    <w:p w14:paraId="7A395C1E" w14:textId="77777777" w:rsidR="00EF1D5F" w:rsidRDefault="00EF1D5F"/>
    <w:p w14:paraId="058FEC01" w14:textId="77777777" w:rsidR="00EF1D5F" w:rsidRDefault="00EF1D5F"/>
    <w:p w14:paraId="7D5D94A3" w14:textId="77777777" w:rsidR="00EF1D5F" w:rsidRDefault="00EF1D5F"/>
    <w:p w14:paraId="41B14CD7" w14:textId="77777777" w:rsidR="0056478D" w:rsidRDefault="0056478D">
      <w:pPr>
        <w:spacing w:line="240" w:lineRule="auto"/>
        <w:jc w:val="left"/>
        <w:rPr>
          <w:b/>
          <w:color w:val="C00000"/>
          <w:sz w:val="18"/>
          <w:szCs w:val="18"/>
        </w:rPr>
      </w:pPr>
      <w:bookmarkStart w:id="413" w:name="_heading=h.375fbgg" w:colFirst="0" w:colLast="0"/>
      <w:bookmarkStart w:id="414" w:name="_heading=h.rrf932oz786" w:colFirst="0" w:colLast="0"/>
      <w:bookmarkEnd w:id="413"/>
      <w:bookmarkEnd w:id="414"/>
      <w:r>
        <w:rPr>
          <w:b/>
          <w:color w:val="C00000"/>
          <w:sz w:val="18"/>
          <w:szCs w:val="18"/>
        </w:rPr>
        <w:br w:type="page"/>
      </w:r>
    </w:p>
    <w:p w14:paraId="75F14F94" w14:textId="7F19802E" w:rsidR="00EF1D5F" w:rsidRPr="0056478D" w:rsidRDefault="0056478D" w:rsidP="0056478D">
      <w:pPr>
        <w:pStyle w:val="Descripcin"/>
        <w:jc w:val="center"/>
        <w:rPr>
          <w:color w:val="C00000"/>
          <w:sz w:val="18"/>
        </w:rPr>
      </w:pPr>
      <w:bookmarkStart w:id="415" w:name="_Toc165169964"/>
      <w:r w:rsidRPr="0056478D">
        <w:rPr>
          <w:color w:val="C00000"/>
          <w:sz w:val="18"/>
        </w:rPr>
        <w:lastRenderedPageBreak/>
        <w:t xml:space="preserve">Tabla </w:t>
      </w:r>
      <w:r w:rsidRPr="0056478D">
        <w:rPr>
          <w:color w:val="C00000"/>
          <w:sz w:val="18"/>
        </w:rPr>
        <w:fldChar w:fldCharType="begin"/>
      </w:r>
      <w:r w:rsidRPr="0056478D">
        <w:rPr>
          <w:color w:val="C00000"/>
          <w:sz w:val="18"/>
        </w:rPr>
        <w:instrText xml:space="preserve"> SEQ Tabla \* ARABIC </w:instrText>
      </w:r>
      <w:r w:rsidRPr="0056478D">
        <w:rPr>
          <w:color w:val="C00000"/>
          <w:sz w:val="18"/>
        </w:rPr>
        <w:fldChar w:fldCharType="separate"/>
      </w:r>
      <w:r w:rsidR="00D01651">
        <w:rPr>
          <w:noProof/>
          <w:color w:val="C00000"/>
          <w:sz w:val="18"/>
        </w:rPr>
        <w:t>54</w:t>
      </w:r>
      <w:r w:rsidRPr="0056478D">
        <w:rPr>
          <w:color w:val="C00000"/>
          <w:sz w:val="18"/>
        </w:rPr>
        <w:fldChar w:fldCharType="end"/>
      </w:r>
      <w:r w:rsidRPr="0056478D">
        <w:rPr>
          <w:color w:val="C00000"/>
          <w:sz w:val="18"/>
        </w:rPr>
        <w:t xml:space="preserve">. </w:t>
      </w:r>
      <w:r w:rsidR="00EF1D5F" w:rsidRPr="0056478D">
        <w:rPr>
          <w:sz w:val="18"/>
        </w:rPr>
        <w:t>Metas del programa 31</w:t>
      </w:r>
      <w:r w:rsidRPr="0056478D">
        <w:rPr>
          <w:sz w:val="18"/>
        </w:rPr>
        <w:t>:</w:t>
      </w:r>
      <w:r w:rsidR="00EF1D5F" w:rsidRPr="0056478D">
        <w:rPr>
          <w:sz w:val="18"/>
        </w:rPr>
        <w:t xml:space="preserve"> Acceso equitativo de vivienda urbana y rural</w:t>
      </w:r>
      <w:bookmarkEnd w:id="415"/>
    </w:p>
    <w:tbl>
      <w:tblPr>
        <w:tblW w:w="8838" w:type="dxa"/>
        <w:tblBorders>
          <w:bottom w:val="double" w:sz="4" w:space="0" w:color="C00000"/>
          <w:insideH w:val="double" w:sz="4" w:space="0" w:color="C00000"/>
          <w:insideV w:val="double" w:sz="4" w:space="0" w:color="C00000"/>
        </w:tblBorders>
        <w:tblLayout w:type="fixed"/>
        <w:tblLook w:val="0600" w:firstRow="0" w:lastRow="0" w:firstColumn="0" w:lastColumn="0" w:noHBand="1" w:noVBand="1"/>
      </w:tblPr>
      <w:tblGrid>
        <w:gridCol w:w="2410"/>
        <w:gridCol w:w="1276"/>
        <w:gridCol w:w="1276"/>
        <w:gridCol w:w="1275"/>
        <w:gridCol w:w="1276"/>
        <w:gridCol w:w="1325"/>
      </w:tblGrid>
      <w:tr w:rsidR="00EF1D5F" w14:paraId="44C5287E" w14:textId="77777777" w:rsidTr="003D4AD9">
        <w:trPr>
          <w:trHeight w:val="600"/>
        </w:trPr>
        <w:tc>
          <w:tcPr>
            <w:tcW w:w="2410" w:type="dxa"/>
            <w:vMerge w:val="restart"/>
            <w:shd w:val="clear" w:color="auto" w:fill="C00000"/>
            <w:tcMar>
              <w:top w:w="40" w:type="dxa"/>
              <w:left w:w="40" w:type="dxa"/>
              <w:bottom w:w="40" w:type="dxa"/>
              <w:right w:w="40" w:type="dxa"/>
            </w:tcMar>
            <w:vAlign w:val="center"/>
          </w:tcPr>
          <w:p w14:paraId="61E48240" w14:textId="77777777" w:rsidR="00EF1D5F" w:rsidRPr="00740030" w:rsidRDefault="00EF1D5F" w:rsidP="003D4AD9">
            <w:pPr>
              <w:widowControl w:val="0"/>
              <w:spacing w:line="276" w:lineRule="auto"/>
              <w:jc w:val="center"/>
              <w:rPr>
                <w:b/>
                <w:color w:val="FFFFFF"/>
                <w:sz w:val="28"/>
                <w:szCs w:val="28"/>
              </w:rPr>
            </w:pPr>
            <w:bookmarkStart w:id="416" w:name="_heading=h.mbal94gv0hrc" w:colFirst="0" w:colLast="0"/>
            <w:bookmarkEnd w:id="416"/>
            <w:r w:rsidRPr="00740030">
              <w:rPr>
                <w:b/>
                <w:color w:val="FFFFFF"/>
                <w:sz w:val="28"/>
                <w:szCs w:val="28"/>
              </w:rPr>
              <w:t>SECTOR / Metas</w:t>
            </w:r>
          </w:p>
        </w:tc>
        <w:tc>
          <w:tcPr>
            <w:tcW w:w="6428" w:type="dxa"/>
            <w:gridSpan w:val="5"/>
            <w:shd w:val="clear" w:color="auto" w:fill="C00000"/>
            <w:tcMar>
              <w:top w:w="40" w:type="dxa"/>
              <w:left w:w="40" w:type="dxa"/>
              <w:bottom w:w="40" w:type="dxa"/>
              <w:right w:w="40" w:type="dxa"/>
            </w:tcMar>
            <w:vAlign w:val="center"/>
          </w:tcPr>
          <w:p w14:paraId="1665C2B2" w14:textId="77777777" w:rsidR="00EF1D5F" w:rsidRDefault="00EF1D5F" w:rsidP="003D4AD9">
            <w:pPr>
              <w:widowControl w:val="0"/>
              <w:spacing w:line="276" w:lineRule="auto"/>
              <w:jc w:val="center"/>
              <w:rPr>
                <w:b/>
                <w:color w:val="FFFFFF"/>
                <w:sz w:val="24"/>
              </w:rPr>
            </w:pPr>
            <w:r>
              <w:rPr>
                <w:b/>
                <w:color w:val="FFFFFF"/>
                <w:sz w:val="24"/>
              </w:rPr>
              <w:t>Magnitudes e Inversión</w:t>
            </w:r>
          </w:p>
          <w:p w14:paraId="58EADA4A" w14:textId="77777777" w:rsidR="00EF1D5F" w:rsidRDefault="00EF1D5F" w:rsidP="003D4AD9">
            <w:pPr>
              <w:widowControl w:val="0"/>
              <w:spacing w:line="276" w:lineRule="auto"/>
              <w:jc w:val="center"/>
              <w:rPr>
                <w:rFonts w:ascii="Arial" w:eastAsia="Arial" w:hAnsi="Arial" w:cs="Arial"/>
                <w:color w:val="000000"/>
              </w:rPr>
            </w:pPr>
            <w:r>
              <w:rPr>
                <w:b/>
                <w:color w:val="FFFFFF"/>
                <w:sz w:val="18"/>
                <w:szCs w:val="18"/>
              </w:rPr>
              <w:t>(Precios Constantes 2024)</w:t>
            </w:r>
          </w:p>
        </w:tc>
      </w:tr>
      <w:tr w:rsidR="00EF1D5F" w14:paraId="650A20A9" w14:textId="77777777" w:rsidTr="003D4AD9">
        <w:trPr>
          <w:trHeight w:val="647"/>
        </w:trPr>
        <w:tc>
          <w:tcPr>
            <w:tcW w:w="2410" w:type="dxa"/>
            <w:vMerge/>
            <w:shd w:val="clear" w:color="auto" w:fill="auto"/>
            <w:tcMar>
              <w:top w:w="100" w:type="dxa"/>
              <w:left w:w="100" w:type="dxa"/>
              <w:bottom w:w="100" w:type="dxa"/>
              <w:right w:w="100" w:type="dxa"/>
            </w:tcMar>
          </w:tcPr>
          <w:p w14:paraId="5AAF3AEB" w14:textId="77777777" w:rsidR="00EF1D5F" w:rsidRDefault="00EF1D5F" w:rsidP="003D4AD9">
            <w:pPr>
              <w:widowControl w:val="0"/>
              <w:spacing w:line="276" w:lineRule="auto"/>
              <w:jc w:val="left"/>
              <w:rPr>
                <w:rFonts w:ascii="Arial" w:eastAsia="Arial" w:hAnsi="Arial" w:cs="Arial"/>
                <w:color w:val="000000"/>
              </w:rPr>
            </w:pPr>
          </w:p>
        </w:tc>
        <w:tc>
          <w:tcPr>
            <w:tcW w:w="1276" w:type="dxa"/>
            <w:shd w:val="clear" w:color="auto" w:fill="D0CECE" w:themeFill="background2" w:themeFillShade="E6"/>
            <w:tcMar>
              <w:top w:w="40" w:type="dxa"/>
              <w:left w:w="40" w:type="dxa"/>
              <w:bottom w:w="40" w:type="dxa"/>
              <w:right w:w="40" w:type="dxa"/>
            </w:tcMar>
            <w:vAlign w:val="center"/>
          </w:tcPr>
          <w:p w14:paraId="0F743EB6" w14:textId="77777777" w:rsidR="00EF1D5F" w:rsidRPr="00C5122E" w:rsidRDefault="00EF1D5F" w:rsidP="003D4AD9">
            <w:pPr>
              <w:widowControl w:val="0"/>
              <w:spacing w:line="276" w:lineRule="auto"/>
              <w:jc w:val="center"/>
              <w:rPr>
                <w:rFonts w:ascii="Arial" w:eastAsia="Arial" w:hAnsi="Arial" w:cs="Arial"/>
              </w:rPr>
            </w:pPr>
            <w:r w:rsidRPr="00C5122E">
              <w:rPr>
                <w:b/>
              </w:rPr>
              <w:t>2024</w:t>
            </w:r>
          </w:p>
        </w:tc>
        <w:tc>
          <w:tcPr>
            <w:tcW w:w="1276" w:type="dxa"/>
            <w:shd w:val="clear" w:color="auto" w:fill="D0CECE" w:themeFill="background2" w:themeFillShade="E6"/>
            <w:tcMar>
              <w:top w:w="40" w:type="dxa"/>
              <w:left w:w="40" w:type="dxa"/>
              <w:bottom w:w="40" w:type="dxa"/>
              <w:right w:w="40" w:type="dxa"/>
            </w:tcMar>
            <w:vAlign w:val="center"/>
          </w:tcPr>
          <w:p w14:paraId="799690D3" w14:textId="77777777" w:rsidR="00EF1D5F" w:rsidRPr="00C5122E" w:rsidRDefault="00EF1D5F" w:rsidP="003D4AD9">
            <w:pPr>
              <w:widowControl w:val="0"/>
              <w:spacing w:line="276" w:lineRule="auto"/>
              <w:jc w:val="center"/>
              <w:rPr>
                <w:rFonts w:ascii="Arial" w:eastAsia="Arial" w:hAnsi="Arial" w:cs="Arial"/>
              </w:rPr>
            </w:pPr>
            <w:r w:rsidRPr="00C5122E">
              <w:rPr>
                <w:b/>
              </w:rPr>
              <w:t>2025</w:t>
            </w:r>
          </w:p>
        </w:tc>
        <w:tc>
          <w:tcPr>
            <w:tcW w:w="1275" w:type="dxa"/>
            <w:shd w:val="clear" w:color="auto" w:fill="D0CECE" w:themeFill="background2" w:themeFillShade="E6"/>
            <w:tcMar>
              <w:top w:w="40" w:type="dxa"/>
              <w:left w:w="40" w:type="dxa"/>
              <w:bottom w:w="40" w:type="dxa"/>
              <w:right w:w="40" w:type="dxa"/>
            </w:tcMar>
            <w:vAlign w:val="center"/>
          </w:tcPr>
          <w:p w14:paraId="203EDE26" w14:textId="77777777" w:rsidR="00EF1D5F" w:rsidRPr="00C5122E" w:rsidRDefault="00EF1D5F" w:rsidP="003D4AD9">
            <w:pPr>
              <w:widowControl w:val="0"/>
              <w:spacing w:line="276" w:lineRule="auto"/>
              <w:jc w:val="center"/>
              <w:rPr>
                <w:rFonts w:ascii="Arial" w:eastAsia="Arial" w:hAnsi="Arial" w:cs="Arial"/>
              </w:rPr>
            </w:pPr>
            <w:r w:rsidRPr="00C5122E">
              <w:rPr>
                <w:b/>
              </w:rPr>
              <w:t>2026</w:t>
            </w:r>
          </w:p>
        </w:tc>
        <w:tc>
          <w:tcPr>
            <w:tcW w:w="1276" w:type="dxa"/>
            <w:shd w:val="clear" w:color="auto" w:fill="D0CECE" w:themeFill="background2" w:themeFillShade="E6"/>
            <w:tcMar>
              <w:top w:w="40" w:type="dxa"/>
              <w:left w:w="40" w:type="dxa"/>
              <w:bottom w:w="40" w:type="dxa"/>
              <w:right w:w="40" w:type="dxa"/>
            </w:tcMar>
            <w:vAlign w:val="center"/>
          </w:tcPr>
          <w:p w14:paraId="26DD1612" w14:textId="77777777" w:rsidR="00EF1D5F" w:rsidRPr="00C5122E" w:rsidRDefault="00EF1D5F" w:rsidP="003D4AD9">
            <w:pPr>
              <w:widowControl w:val="0"/>
              <w:spacing w:line="276" w:lineRule="auto"/>
              <w:jc w:val="center"/>
              <w:rPr>
                <w:rFonts w:ascii="Arial" w:eastAsia="Arial" w:hAnsi="Arial" w:cs="Arial"/>
              </w:rPr>
            </w:pPr>
            <w:r w:rsidRPr="00C5122E">
              <w:rPr>
                <w:b/>
              </w:rPr>
              <w:t>2027</w:t>
            </w:r>
          </w:p>
        </w:tc>
        <w:tc>
          <w:tcPr>
            <w:tcW w:w="1325" w:type="dxa"/>
            <w:shd w:val="clear" w:color="auto" w:fill="D0CECE" w:themeFill="background2" w:themeFillShade="E6"/>
            <w:tcMar>
              <w:top w:w="40" w:type="dxa"/>
              <w:left w:w="40" w:type="dxa"/>
              <w:bottom w:w="40" w:type="dxa"/>
              <w:right w:w="40" w:type="dxa"/>
            </w:tcMar>
            <w:vAlign w:val="center"/>
          </w:tcPr>
          <w:p w14:paraId="5506F2D1" w14:textId="77777777" w:rsidR="0056478D" w:rsidRDefault="00EF1D5F" w:rsidP="0056478D">
            <w:pPr>
              <w:widowControl w:val="0"/>
              <w:spacing w:line="276" w:lineRule="auto"/>
              <w:jc w:val="right"/>
              <w:rPr>
                <w:b/>
              </w:rPr>
            </w:pPr>
            <w:r w:rsidRPr="00C5122E">
              <w:rPr>
                <w:b/>
              </w:rPr>
              <w:t>Total</w:t>
            </w:r>
          </w:p>
          <w:p w14:paraId="0AA48835" w14:textId="3F37A6CE" w:rsidR="00EF1D5F" w:rsidRPr="00C5122E" w:rsidRDefault="00EF1D5F" w:rsidP="0056478D">
            <w:pPr>
              <w:widowControl w:val="0"/>
              <w:spacing w:line="276" w:lineRule="auto"/>
              <w:jc w:val="right"/>
              <w:rPr>
                <w:rFonts w:ascii="Arial" w:eastAsia="Arial" w:hAnsi="Arial" w:cs="Arial"/>
              </w:rPr>
            </w:pPr>
            <w:r w:rsidRPr="00C5122E">
              <w:rPr>
                <w:b/>
              </w:rPr>
              <w:t>Inversión</w:t>
            </w:r>
          </w:p>
        </w:tc>
      </w:tr>
      <w:tr w:rsidR="00EF1D5F" w:rsidRPr="00C5122E" w14:paraId="51CDA19D" w14:textId="77777777" w:rsidTr="003D4AD9">
        <w:trPr>
          <w:trHeight w:val="315"/>
        </w:trPr>
        <w:tc>
          <w:tcPr>
            <w:tcW w:w="8838" w:type="dxa"/>
            <w:gridSpan w:val="6"/>
            <w:shd w:val="clear" w:color="auto" w:fill="C00000"/>
            <w:tcMar>
              <w:top w:w="40" w:type="dxa"/>
              <w:left w:w="40" w:type="dxa"/>
              <w:bottom w:w="40" w:type="dxa"/>
              <w:right w:w="40" w:type="dxa"/>
            </w:tcMar>
            <w:vAlign w:val="center"/>
          </w:tcPr>
          <w:p w14:paraId="5093D134" w14:textId="77777777" w:rsidR="00EF1D5F" w:rsidRPr="00C5122E" w:rsidRDefault="00EF1D5F" w:rsidP="003D4AD9">
            <w:pPr>
              <w:widowControl w:val="0"/>
              <w:spacing w:line="276" w:lineRule="auto"/>
              <w:jc w:val="center"/>
              <w:rPr>
                <w:rFonts w:ascii="Arial" w:eastAsia="Arial" w:hAnsi="Arial" w:cs="Arial"/>
                <w:color w:val="FFFFFF" w:themeColor="background1"/>
              </w:rPr>
            </w:pPr>
            <w:r w:rsidRPr="00C5122E">
              <w:rPr>
                <w:b/>
                <w:color w:val="FFFFFF" w:themeColor="background1"/>
              </w:rPr>
              <w:t>HÁBITAT</w:t>
            </w:r>
          </w:p>
        </w:tc>
      </w:tr>
      <w:tr w:rsidR="00EF1D5F" w:rsidRPr="00740030" w14:paraId="79410A71" w14:textId="77777777" w:rsidTr="003D4AD9">
        <w:trPr>
          <w:trHeight w:val="345"/>
        </w:trPr>
        <w:tc>
          <w:tcPr>
            <w:tcW w:w="2410" w:type="dxa"/>
            <w:vMerge w:val="restart"/>
            <w:shd w:val="clear" w:color="auto" w:fill="auto"/>
            <w:tcMar>
              <w:top w:w="40" w:type="dxa"/>
              <w:left w:w="40" w:type="dxa"/>
              <w:bottom w:w="40" w:type="dxa"/>
              <w:right w:w="40" w:type="dxa"/>
            </w:tcMar>
            <w:vAlign w:val="center"/>
          </w:tcPr>
          <w:p w14:paraId="58BDE930"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Ejecutar 48 Trámites y/o Otros Procedimientos Administrativos en la Herramienta Tecnológica -Ventanilla Única de la Construcción</w:t>
            </w:r>
          </w:p>
        </w:tc>
        <w:tc>
          <w:tcPr>
            <w:tcW w:w="1276" w:type="dxa"/>
            <w:shd w:val="clear" w:color="auto" w:fill="auto"/>
            <w:tcMar>
              <w:top w:w="40" w:type="dxa"/>
              <w:left w:w="40" w:type="dxa"/>
              <w:bottom w:w="40" w:type="dxa"/>
              <w:right w:w="40" w:type="dxa"/>
            </w:tcMar>
            <w:vAlign w:val="center"/>
          </w:tcPr>
          <w:p w14:paraId="08A7B886"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4</w:t>
            </w:r>
          </w:p>
        </w:tc>
        <w:tc>
          <w:tcPr>
            <w:tcW w:w="1276" w:type="dxa"/>
            <w:shd w:val="clear" w:color="auto" w:fill="auto"/>
            <w:tcMar>
              <w:top w:w="40" w:type="dxa"/>
              <w:left w:w="40" w:type="dxa"/>
              <w:bottom w:w="40" w:type="dxa"/>
              <w:right w:w="40" w:type="dxa"/>
            </w:tcMar>
            <w:vAlign w:val="center"/>
          </w:tcPr>
          <w:p w14:paraId="255E973E"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13</w:t>
            </w:r>
          </w:p>
        </w:tc>
        <w:tc>
          <w:tcPr>
            <w:tcW w:w="1275" w:type="dxa"/>
            <w:shd w:val="clear" w:color="auto" w:fill="auto"/>
            <w:tcMar>
              <w:top w:w="40" w:type="dxa"/>
              <w:left w:w="40" w:type="dxa"/>
              <w:bottom w:w="40" w:type="dxa"/>
              <w:right w:w="40" w:type="dxa"/>
            </w:tcMar>
            <w:vAlign w:val="center"/>
          </w:tcPr>
          <w:p w14:paraId="38DCDF98"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13</w:t>
            </w:r>
          </w:p>
        </w:tc>
        <w:tc>
          <w:tcPr>
            <w:tcW w:w="1276" w:type="dxa"/>
            <w:shd w:val="clear" w:color="auto" w:fill="auto"/>
            <w:tcMar>
              <w:top w:w="40" w:type="dxa"/>
              <w:left w:w="40" w:type="dxa"/>
              <w:bottom w:w="40" w:type="dxa"/>
              <w:right w:w="40" w:type="dxa"/>
            </w:tcMar>
            <w:vAlign w:val="center"/>
          </w:tcPr>
          <w:p w14:paraId="0C7A9B4B"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18</w:t>
            </w:r>
          </w:p>
        </w:tc>
        <w:tc>
          <w:tcPr>
            <w:tcW w:w="1325" w:type="dxa"/>
            <w:vMerge w:val="restart"/>
            <w:shd w:val="clear" w:color="auto" w:fill="auto"/>
            <w:tcMar>
              <w:top w:w="40" w:type="dxa"/>
              <w:left w:w="40" w:type="dxa"/>
              <w:bottom w:w="40" w:type="dxa"/>
              <w:right w:w="40" w:type="dxa"/>
            </w:tcMar>
            <w:vAlign w:val="center"/>
          </w:tcPr>
          <w:p w14:paraId="56A45440"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7.765.811.355</w:t>
            </w:r>
          </w:p>
        </w:tc>
      </w:tr>
      <w:tr w:rsidR="00EF1D5F" w:rsidRPr="00740030" w14:paraId="6B402748" w14:textId="77777777" w:rsidTr="003D4AD9">
        <w:trPr>
          <w:trHeight w:val="345"/>
        </w:trPr>
        <w:tc>
          <w:tcPr>
            <w:tcW w:w="2410" w:type="dxa"/>
            <w:vMerge/>
            <w:shd w:val="clear" w:color="auto" w:fill="auto"/>
            <w:tcMar>
              <w:top w:w="100" w:type="dxa"/>
              <w:left w:w="100" w:type="dxa"/>
              <w:bottom w:w="100" w:type="dxa"/>
              <w:right w:w="100" w:type="dxa"/>
            </w:tcMar>
          </w:tcPr>
          <w:p w14:paraId="4F3A802B"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1253D9D9"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972.000.000</w:t>
            </w:r>
          </w:p>
        </w:tc>
        <w:tc>
          <w:tcPr>
            <w:tcW w:w="1276" w:type="dxa"/>
            <w:shd w:val="clear" w:color="auto" w:fill="auto"/>
            <w:tcMar>
              <w:top w:w="40" w:type="dxa"/>
              <w:left w:w="40" w:type="dxa"/>
              <w:bottom w:w="40" w:type="dxa"/>
              <w:right w:w="40" w:type="dxa"/>
            </w:tcMar>
            <w:vAlign w:val="center"/>
          </w:tcPr>
          <w:p w14:paraId="35D926B6"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2.406.796.117</w:t>
            </w:r>
          </w:p>
        </w:tc>
        <w:tc>
          <w:tcPr>
            <w:tcW w:w="1275" w:type="dxa"/>
            <w:shd w:val="clear" w:color="auto" w:fill="auto"/>
            <w:tcMar>
              <w:top w:w="40" w:type="dxa"/>
              <w:left w:w="40" w:type="dxa"/>
              <w:bottom w:w="40" w:type="dxa"/>
              <w:right w:w="40" w:type="dxa"/>
            </w:tcMar>
            <w:vAlign w:val="center"/>
          </w:tcPr>
          <w:p w14:paraId="66AED587"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2.099.161.090</w:t>
            </w:r>
          </w:p>
        </w:tc>
        <w:tc>
          <w:tcPr>
            <w:tcW w:w="1276" w:type="dxa"/>
            <w:shd w:val="clear" w:color="auto" w:fill="auto"/>
            <w:tcMar>
              <w:top w:w="40" w:type="dxa"/>
              <w:left w:w="40" w:type="dxa"/>
              <w:bottom w:w="40" w:type="dxa"/>
              <w:right w:w="40" w:type="dxa"/>
            </w:tcMar>
            <w:vAlign w:val="center"/>
          </w:tcPr>
          <w:p w14:paraId="5C428BD6"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2.287.854.148</w:t>
            </w:r>
          </w:p>
        </w:tc>
        <w:tc>
          <w:tcPr>
            <w:tcW w:w="1325" w:type="dxa"/>
            <w:vMerge/>
            <w:shd w:val="clear" w:color="auto" w:fill="auto"/>
            <w:tcMar>
              <w:top w:w="100" w:type="dxa"/>
              <w:left w:w="100" w:type="dxa"/>
              <w:bottom w:w="100" w:type="dxa"/>
              <w:right w:w="100" w:type="dxa"/>
            </w:tcMar>
          </w:tcPr>
          <w:p w14:paraId="7FFB6AE1"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r w:rsidR="00EF1D5F" w:rsidRPr="00740030" w14:paraId="45E6DE8A" w14:textId="77777777" w:rsidTr="003D4AD9">
        <w:trPr>
          <w:trHeight w:val="345"/>
        </w:trPr>
        <w:tc>
          <w:tcPr>
            <w:tcW w:w="2410" w:type="dxa"/>
            <w:vMerge w:val="restart"/>
            <w:shd w:val="clear" w:color="auto" w:fill="auto"/>
            <w:tcMar>
              <w:top w:w="40" w:type="dxa"/>
              <w:left w:w="40" w:type="dxa"/>
              <w:bottom w:w="40" w:type="dxa"/>
              <w:right w:w="40" w:type="dxa"/>
            </w:tcMar>
            <w:vAlign w:val="center"/>
          </w:tcPr>
          <w:p w14:paraId="172FE494"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Gestionar 90 hectáreas de suelo útil habilitado para la producción de soluciones habitacionales con soportes urbanos adecuados.</w:t>
            </w:r>
          </w:p>
        </w:tc>
        <w:tc>
          <w:tcPr>
            <w:tcW w:w="1276" w:type="dxa"/>
            <w:shd w:val="clear" w:color="auto" w:fill="auto"/>
            <w:tcMar>
              <w:top w:w="40" w:type="dxa"/>
              <w:left w:w="40" w:type="dxa"/>
              <w:bottom w:w="40" w:type="dxa"/>
              <w:right w:w="40" w:type="dxa"/>
            </w:tcMar>
            <w:vAlign w:val="center"/>
          </w:tcPr>
          <w:p w14:paraId="2360B924"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5</w:t>
            </w:r>
          </w:p>
        </w:tc>
        <w:tc>
          <w:tcPr>
            <w:tcW w:w="1276" w:type="dxa"/>
            <w:shd w:val="clear" w:color="auto" w:fill="auto"/>
            <w:tcMar>
              <w:top w:w="40" w:type="dxa"/>
              <w:left w:w="40" w:type="dxa"/>
              <w:bottom w:w="40" w:type="dxa"/>
              <w:right w:w="40" w:type="dxa"/>
            </w:tcMar>
            <w:vAlign w:val="center"/>
          </w:tcPr>
          <w:p w14:paraId="50AB5678"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25</w:t>
            </w:r>
          </w:p>
        </w:tc>
        <w:tc>
          <w:tcPr>
            <w:tcW w:w="1275" w:type="dxa"/>
            <w:shd w:val="clear" w:color="auto" w:fill="auto"/>
            <w:tcMar>
              <w:top w:w="40" w:type="dxa"/>
              <w:left w:w="40" w:type="dxa"/>
              <w:bottom w:w="40" w:type="dxa"/>
              <w:right w:w="40" w:type="dxa"/>
            </w:tcMar>
            <w:vAlign w:val="center"/>
          </w:tcPr>
          <w:p w14:paraId="582122DE"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35</w:t>
            </w:r>
          </w:p>
        </w:tc>
        <w:tc>
          <w:tcPr>
            <w:tcW w:w="1276" w:type="dxa"/>
            <w:shd w:val="clear" w:color="auto" w:fill="auto"/>
            <w:tcMar>
              <w:top w:w="40" w:type="dxa"/>
              <w:left w:w="40" w:type="dxa"/>
              <w:bottom w:w="40" w:type="dxa"/>
              <w:right w:w="40" w:type="dxa"/>
            </w:tcMar>
            <w:vAlign w:val="center"/>
          </w:tcPr>
          <w:p w14:paraId="0A43805C"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25</w:t>
            </w:r>
          </w:p>
        </w:tc>
        <w:tc>
          <w:tcPr>
            <w:tcW w:w="1325" w:type="dxa"/>
            <w:vMerge w:val="restart"/>
            <w:shd w:val="clear" w:color="auto" w:fill="auto"/>
            <w:tcMar>
              <w:top w:w="40" w:type="dxa"/>
              <w:left w:w="40" w:type="dxa"/>
              <w:bottom w:w="40" w:type="dxa"/>
              <w:right w:w="40" w:type="dxa"/>
            </w:tcMar>
            <w:vAlign w:val="center"/>
          </w:tcPr>
          <w:p w14:paraId="5A9FF780"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11.343.506.093</w:t>
            </w:r>
          </w:p>
        </w:tc>
      </w:tr>
      <w:tr w:rsidR="00EF1D5F" w:rsidRPr="00740030" w14:paraId="55E03FA1" w14:textId="77777777" w:rsidTr="003D4AD9">
        <w:trPr>
          <w:trHeight w:val="345"/>
        </w:trPr>
        <w:tc>
          <w:tcPr>
            <w:tcW w:w="2410" w:type="dxa"/>
            <w:vMerge/>
            <w:shd w:val="clear" w:color="auto" w:fill="auto"/>
            <w:tcMar>
              <w:top w:w="100" w:type="dxa"/>
              <w:left w:w="100" w:type="dxa"/>
              <w:bottom w:w="100" w:type="dxa"/>
              <w:right w:w="100" w:type="dxa"/>
            </w:tcMar>
          </w:tcPr>
          <w:p w14:paraId="44F42355"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64FC4D7E"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2.266.000.000</w:t>
            </w:r>
          </w:p>
        </w:tc>
        <w:tc>
          <w:tcPr>
            <w:tcW w:w="1276" w:type="dxa"/>
            <w:shd w:val="clear" w:color="auto" w:fill="auto"/>
            <w:tcMar>
              <w:top w:w="40" w:type="dxa"/>
              <w:left w:w="40" w:type="dxa"/>
              <w:bottom w:w="40" w:type="dxa"/>
              <w:right w:w="40" w:type="dxa"/>
            </w:tcMar>
            <w:vAlign w:val="center"/>
          </w:tcPr>
          <w:p w14:paraId="3E35BDE7"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3.631.067.961</w:t>
            </w:r>
          </w:p>
        </w:tc>
        <w:tc>
          <w:tcPr>
            <w:tcW w:w="1275" w:type="dxa"/>
            <w:shd w:val="clear" w:color="auto" w:fill="auto"/>
            <w:tcMar>
              <w:top w:w="40" w:type="dxa"/>
              <w:left w:w="40" w:type="dxa"/>
              <w:bottom w:w="40" w:type="dxa"/>
              <w:right w:w="40" w:type="dxa"/>
            </w:tcMar>
            <w:vAlign w:val="center"/>
          </w:tcPr>
          <w:p w14:paraId="2EC32CAC"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2.685.455.745</w:t>
            </w:r>
          </w:p>
        </w:tc>
        <w:tc>
          <w:tcPr>
            <w:tcW w:w="1276" w:type="dxa"/>
            <w:shd w:val="clear" w:color="auto" w:fill="auto"/>
            <w:tcMar>
              <w:top w:w="40" w:type="dxa"/>
              <w:left w:w="40" w:type="dxa"/>
              <w:bottom w:w="40" w:type="dxa"/>
              <w:right w:w="40" w:type="dxa"/>
            </w:tcMar>
            <w:vAlign w:val="center"/>
          </w:tcPr>
          <w:p w14:paraId="10958F97"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2.760.982.386</w:t>
            </w:r>
          </w:p>
        </w:tc>
        <w:tc>
          <w:tcPr>
            <w:tcW w:w="1325" w:type="dxa"/>
            <w:vMerge/>
            <w:shd w:val="clear" w:color="auto" w:fill="auto"/>
            <w:tcMar>
              <w:top w:w="100" w:type="dxa"/>
              <w:left w:w="100" w:type="dxa"/>
              <w:bottom w:w="100" w:type="dxa"/>
              <w:right w:w="100" w:type="dxa"/>
            </w:tcMar>
          </w:tcPr>
          <w:p w14:paraId="54B243CF"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r w:rsidR="00EF1D5F" w:rsidRPr="00740030" w14:paraId="3CDDE833" w14:textId="77777777" w:rsidTr="003D4AD9">
        <w:trPr>
          <w:trHeight w:val="315"/>
        </w:trPr>
        <w:tc>
          <w:tcPr>
            <w:tcW w:w="2410" w:type="dxa"/>
            <w:vMerge w:val="restart"/>
            <w:shd w:val="clear" w:color="auto" w:fill="auto"/>
            <w:tcMar>
              <w:top w:w="40" w:type="dxa"/>
              <w:left w:w="40" w:type="dxa"/>
              <w:bottom w:w="40" w:type="dxa"/>
              <w:right w:w="40" w:type="dxa"/>
            </w:tcMar>
            <w:vAlign w:val="center"/>
          </w:tcPr>
          <w:p w14:paraId="16F5DEC1"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Mejorar 22.000 M2 de fachadas de vivienda en estratos 1 y 2.</w:t>
            </w:r>
          </w:p>
        </w:tc>
        <w:tc>
          <w:tcPr>
            <w:tcW w:w="1276" w:type="dxa"/>
            <w:shd w:val="clear" w:color="auto" w:fill="auto"/>
            <w:tcMar>
              <w:top w:w="40" w:type="dxa"/>
              <w:left w:w="40" w:type="dxa"/>
              <w:bottom w:w="40" w:type="dxa"/>
              <w:right w:w="40" w:type="dxa"/>
            </w:tcMar>
            <w:vAlign w:val="center"/>
          </w:tcPr>
          <w:p w14:paraId="716F4EB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1.100</w:t>
            </w:r>
          </w:p>
        </w:tc>
        <w:tc>
          <w:tcPr>
            <w:tcW w:w="1276" w:type="dxa"/>
            <w:shd w:val="clear" w:color="auto" w:fill="auto"/>
            <w:tcMar>
              <w:top w:w="40" w:type="dxa"/>
              <w:left w:w="40" w:type="dxa"/>
              <w:bottom w:w="40" w:type="dxa"/>
              <w:right w:w="40" w:type="dxa"/>
            </w:tcMar>
            <w:vAlign w:val="center"/>
          </w:tcPr>
          <w:p w14:paraId="562C33C0"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8.800</w:t>
            </w:r>
          </w:p>
        </w:tc>
        <w:tc>
          <w:tcPr>
            <w:tcW w:w="1275" w:type="dxa"/>
            <w:shd w:val="clear" w:color="auto" w:fill="auto"/>
            <w:tcMar>
              <w:top w:w="40" w:type="dxa"/>
              <w:left w:w="40" w:type="dxa"/>
              <w:bottom w:w="40" w:type="dxa"/>
              <w:right w:w="40" w:type="dxa"/>
            </w:tcMar>
            <w:vAlign w:val="center"/>
          </w:tcPr>
          <w:p w14:paraId="78CA2217"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11.000</w:t>
            </w:r>
          </w:p>
        </w:tc>
        <w:tc>
          <w:tcPr>
            <w:tcW w:w="1276" w:type="dxa"/>
            <w:shd w:val="clear" w:color="auto" w:fill="auto"/>
            <w:tcMar>
              <w:top w:w="40" w:type="dxa"/>
              <w:left w:w="40" w:type="dxa"/>
              <w:bottom w:w="40" w:type="dxa"/>
              <w:right w:w="40" w:type="dxa"/>
            </w:tcMar>
            <w:vAlign w:val="center"/>
          </w:tcPr>
          <w:p w14:paraId="7D8AC849"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1.100</w:t>
            </w:r>
          </w:p>
        </w:tc>
        <w:tc>
          <w:tcPr>
            <w:tcW w:w="1325" w:type="dxa"/>
            <w:vMerge w:val="restart"/>
            <w:shd w:val="clear" w:color="auto" w:fill="auto"/>
            <w:tcMar>
              <w:top w:w="40" w:type="dxa"/>
              <w:left w:w="40" w:type="dxa"/>
              <w:bottom w:w="40" w:type="dxa"/>
              <w:right w:w="40" w:type="dxa"/>
            </w:tcMar>
            <w:vAlign w:val="center"/>
          </w:tcPr>
          <w:p w14:paraId="50328324"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3.677.147.311</w:t>
            </w:r>
          </w:p>
        </w:tc>
      </w:tr>
      <w:tr w:rsidR="00EF1D5F" w:rsidRPr="00740030" w14:paraId="70970FEB" w14:textId="77777777" w:rsidTr="003D4AD9">
        <w:trPr>
          <w:trHeight w:val="315"/>
        </w:trPr>
        <w:tc>
          <w:tcPr>
            <w:tcW w:w="2410" w:type="dxa"/>
            <w:vMerge/>
            <w:shd w:val="clear" w:color="auto" w:fill="auto"/>
            <w:tcMar>
              <w:top w:w="100" w:type="dxa"/>
              <w:left w:w="100" w:type="dxa"/>
              <w:bottom w:w="100" w:type="dxa"/>
              <w:right w:w="100" w:type="dxa"/>
            </w:tcMar>
          </w:tcPr>
          <w:p w14:paraId="2821CA7D"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3361EEB5"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724.240.601</w:t>
            </w:r>
          </w:p>
        </w:tc>
        <w:tc>
          <w:tcPr>
            <w:tcW w:w="1276" w:type="dxa"/>
            <w:shd w:val="clear" w:color="auto" w:fill="auto"/>
            <w:tcMar>
              <w:top w:w="40" w:type="dxa"/>
              <w:left w:w="40" w:type="dxa"/>
              <w:bottom w:w="40" w:type="dxa"/>
              <w:right w:w="40" w:type="dxa"/>
            </w:tcMar>
            <w:vAlign w:val="center"/>
          </w:tcPr>
          <w:p w14:paraId="4F0F72A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1.352.384.466</w:t>
            </w:r>
          </w:p>
        </w:tc>
        <w:tc>
          <w:tcPr>
            <w:tcW w:w="1275" w:type="dxa"/>
            <w:shd w:val="clear" w:color="auto" w:fill="auto"/>
            <w:tcMar>
              <w:top w:w="40" w:type="dxa"/>
              <w:left w:w="40" w:type="dxa"/>
              <w:bottom w:w="40" w:type="dxa"/>
              <w:right w:w="40" w:type="dxa"/>
            </w:tcMar>
            <w:vAlign w:val="center"/>
          </w:tcPr>
          <w:p w14:paraId="1EAEC697"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1.458.883.024</w:t>
            </w:r>
          </w:p>
        </w:tc>
        <w:tc>
          <w:tcPr>
            <w:tcW w:w="1276" w:type="dxa"/>
            <w:shd w:val="clear" w:color="auto" w:fill="auto"/>
            <w:tcMar>
              <w:top w:w="40" w:type="dxa"/>
              <w:left w:w="40" w:type="dxa"/>
              <w:bottom w:w="40" w:type="dxa"/>
              <w:right w:w="40" w:type="dxa"/>
            </w:tcMar>
            <w:vAlign w:val="center"/>
          </w:tcPr>
          <w:p w14:paraId="320558BC"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141.639.220</w:t>
            </w:r>
          </w:p>
        </w:tc>
        <w:tc>
          <w:tcPr>
            <w:tcW w:w="1325" w:type="dxa"/>
            <w:vMerge/>
            <w:shd w:val="clear" w:color="auto" w:fill="auto"/>
            <w:tcMar>
              <w:top w:w="100" w:type="dxa"/>
              <w:left w:w="100" w:type="dxa"/>
              <w:bottom w:w="100" w:type="dxa"/>
              <w:right w:w="100" w:type="dxa"/>
            </w:tcMar>
          </w:tcPr>
          <w:p w14:paraId="122A01E3"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r w:rsidR="00EF1D5F" w:rsidRPr="00740030" w14:paraId="71381C9A" w14:textId="77777777" w:rsidTr="003D4AD9">
        <w:trPr>
          <w:trHeight w:val="315"/>
        </w:trPr>
        <w:tc>
          <w:tcPr>
            <w:tcW w:w="2410" w:type="dxa"/>
            <w:vMerge w:val="restart"/>
            <w:shd w:val="clear" w:color="auto" w:fill="auto"/>
            <w:tcMar>
              <w:top w:w="40" w:type="dxa"/>
              <w:left w:w="40" w:type="dxa"/>
              <w:bottom w:w="40" w:type="dxa"/>
              <w:right w:w="40" w:type="dxa"/>
            </w:tcMar>
            <w:vAlign w:val="center"/>
          </w:tcPr>
          <w:p w14:paraId="6E4A9BE3"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Promover 9.000 soluciones habitacionales en el marco del portafolio de vivienda.</w:t>
            </w:r>
          </w:p>
        </w:tc>
        <w:tc>
          <w:tcPr>
            <w:tcW w:w="1276" w:type="dxa"/>
            <w:shd w:val="clear" w:color="auto" w:fill="auto"/>
            <w:tcMar>
              <w:top w:w="40" w:type="dxa"/>
              <w:left w:w="40" w:type="dxa"/>
              <w:bottom w:w="40" w:type="dxa"/>
              <w:right w:w="40" w:type="dxa"/>
            </w:tcMar>
            <w:vAlign w:val="center"/>
          </w:tcPr>
          <w:p w14:paraId="3F4B347F"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450</w:t>
            </w:r>
          </w:p>
        </w:tc>
        <w:tc>
          <w:tcPr>
            <w:tcW w:w="1276" w:type="dxa"/>
            <w:shd w:val="clear" w:color="auto" w:fill="auto"/>
            <w:tcMar>
              <w:top w:w="40" w:type="dxa"/>
              <w:left w:w="40" w:type="dxa"/>
              <w:bottom w:w="40" w:type="dxa"/>
              <w:right w:w="40" w:type="dxa"/>
            </w:tcMar>
            <w:vAlign w:val="center"/>
          </w:tcPr>
          <w:p w14:paraId="4329CEAB"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3.150</w:t>
            </w:r>
          </w:p>
        </w:tc>
        <w:tc>
          <w:tcPr>
            <w:tcW w:w="1275" w:type="dxa"/>
            <w:shd w:val="clear" w:color="auto" w:fill="auto"/>
            <w:tcMar>
              <w:top w:w="40" w:type="dxa"/>
              <w:left w:w="40" w:type="dxa"/>
              <w:bottom w:w="40" w:type="dxa"/>
              <w:right w:w="40" w:type="dxa"/>
            </w:tcMar>
            <w:vAlign w:val="center"/>
          </w:tcPr>
          <w:p w14:paraId="35EA4A7E"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3.150</w:t>
            </w:r>
          </w:p>
        </w:tc>
        <w:tc>
          <w:tcPr>
            <w:tcW w:w="1276" w:type="dxa"/>
            <w:shd w:val="clear" w:color="auto" w:fill="auto"/>
            <w:tcMar>
              <w:top w:w="40" w:type="dxa"/>
              <w:left w:w="40" w:type="dxa"/>
              <w:bottom w:w="40" w:type="dxa"/>
              <w:right w:w="40" w:type="dxa"/>
            </w:tcMar>
            <w:vAlign w:val="center"/>
          </w:tcPr>
          <w:p w14:paraId="78388B7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2.250</w:t>
            </w:r>
          </w:p>
        </w:tc>
        <w:tc>
          <w:tcPr>
            <w:tcW w:w="1325" w:type="dxa"/>
            <w:vMerge w:val="restart"/>
            <w:shd w:val="clear" w:color="auto" w:fill="auto"/>
            <w:tcMar>
              <w:top w:w="40" w:type="dxa"/>
              <w:left w:w="40" w:type="dxa"/>
              <w:bottom w:w="40" w:type="dxa"/>
              <w:right w:w="40" w:type="dxa"/>
            </w:tcMar>
            <w:vAlign w:val="center"/>
          </w:tcPr>
          <w:p w14:paraId="2C4BC101"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31.839.241.564</w:t>
            </w:r>
          </w:p>
        </w:tc>
      </w:tr>
      <w:tr w:rsidR="00EF1D5F" w:rsidRPr="00740030" w14:paraId="1ADCBD1A" w14:textId="77777777" w:rsidTr="003D4AD9">
        <w:trPr>
          <w:trHeight w:val="315"/>
        </w:trPr>
        <w:tc>
          <w:tcPr>
            <w:tcW w:w="2410" w:type="dxa"/>
            <w:vMerge/>
            <w:shd w:val="clear" w:color="auto" w:fill="auto"/>
            <w:tcMar>
              <w:top w:w="100" w:type="dxa"/>
              <w:left w:w="100" w:type="dxa"/>
              <w:bottom w:w="100" w:type="dxa"/>
              <w:right w:w="100" w:type="dxa"/>
            </w:tcMar>
          </w:tcPr>
          <w:p w14:paraId="10AE269A"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040B8FBB"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1.678.400.000</w:t>
            </w:r>
          </w:p>
        </w:tc>
        <w:tc>
          <w:tcPr>
            <w:tcW w:w="1276" w:type="dxa"/>
            <w:shd w:val="clear" w:color="auto" w:fill="auto"/>
            <w:tcMar>
              <w:top w:w="40" w:type="dxa"/>
              <w:left w:w="40" w:type="dxa"/>
              <w:bottom w:w="40" w:type="dxa"/>
              <w:right w:w="40" w:type="dxa"/>
            </w:tcMar>
            <w:vAlign w:val="center"/>
          </w:tcPr>
          <w:p w14:paraId="4A95ABBC"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11.406.601.942</w:t>
            </w:r>
          </w:p>
        </w:tc>
        <w:tc>
          <w:tcPr>
            <w:tcW w:w="1275" w:type="dxa"/>
            <w:shd w:val="clear" w:color="auto" w:fill="auto"/>
            <w:tcMar>
              <w:top w:w="40" w:type="dxa"/>
              <w:left w:w="40" w:type="dxa"/>
              <w:bottom w:w="40" w:type="dxa"/>
              <w:right w:w="40" w:type="dxa"/>
            </w:tcMar>
            <w:vAlign w:val="center"/>
          </w:tcPr>
          <w:p w14:paraId="6AEA2AF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11.074.370.817</w:t>
            </w:r>
          </w:p>
        </w:tc>
        <w:tc>
          <w:tcPr>
            <w:tcW w:w="1276" w:type="dxa"/>
            <w:shd w:val="clear" w:color="auto" w:fill="auto"/>
            <w:tcMar>
              <w:top w:w="40" w:type="dxa"/>
              <w:left w:w="40" w:type="dxa"/>
              <w:bottom w:w="40" w:type="dxa"/>
              <w:right w:w="40" w:type="dxa"/>
            </w:tcMar>
            <w:vAlign w:val="center"/>
          </w:tcPr>
          <w:p w14:paraId="347FB74D"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7.679.868.805</w:t>
            </w:r>
          </w:p>
        </w:tc>
        <w:tc>
          <w:tcPr>
            <w:tcW w:w="1325" w:type="dxa"/>
            <w:vMerge/>
            <w:shd w:val="clear" w:color="auto" w:fill="auto"/>
            <w:tcMar>
              <w:top w:w="100" w:type="dxa"/>
              <w:left w:w="100" w:type="dxa"/>
              <w:bottom w:w="100" w:type="dxa"/>
              <w:right w:w="100" w:type="dxa"/>
            </w:tcMar>
          </w:tcPr>
          <w:p w14:paraId="22A7CFD4"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r w:rsidR="00EF1D5F" w:rsidRPr="00740030" w14:paraId="7EABED9D" w14:textId="77777777" w:rsidTr="003D4AD9">
        <w:trPr>
          <w:trHeight w:val="315"/>
        </w:trPr>
        <w:tc>
          <w:tcPr>
            <w:tcW w:w="2410" w:type="dxa"/>
            <w:vMerge w:val="restart"/>
            <w:shd w:val="clear" w:color="auto" w:fill="auto"/>
            <w:tcMar>
              <w:top w:w="40" w:type="dxa"/>
              <w:left w:w="40" w:type="dxa"/>
              <w:bottom w:w="40" w:type="dxa"/>
              <w:right w:w="40" w:type="dxa"/>
            </w:tcMar>
            <w:vAlign w:val="center"/>
          </w:tcPr>
          <w:p w14:paraId="214F540E"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Promover la iniciación de 1.000 unidades de vivienda nueva en estratos 1 y 2.</w:t>
            </w:r>
          </w:p>
        </w:tc>
        <w:tc>
          <w:tcPr>
            <w:tcW w:w="1276" w:type="dxa"/>
            <w:shd w:val="clear" w:color="auto" w:fill="auto"/>
            <w:tcMar>
              <w:top w:w="40" w:type="dxa"/>
              <w:left w:w="40" w:type="dxa"/>
              <w:bottom w:w="40" w:type="dxa"/>
              <w:right w:w="40" w:type="dxa"/>
            </w:tcMar>
            <w:vAlign w:val="center"/>
          </w:tcPr>
          <w:p w14:paraId="7B586D1B"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0</w:t>
            </w:r>
          </w:p>
        </w:tc>
        <w:tc>
          <w:tcPr>
            <w:tcW w:w="1276" w:type="dxa"/>
            <w:shd w:val="clear" w:color="auto" w:fill="auto"/>
            <w:tcMar>
              <w:top w:w="40" w:type="dxa"/>
              <w:left w:w="40" w:type="dxa"/>
              <w:bottom w:w="40" w:type="dxa"/>
              <w:right w:w="40" w:type="dxa"/>
            </w:tcMar>
            <w:vAlign w:val="center"/>
          </w:tcPr>
          <w:p w14:paraId="0A5EA4B7"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300</w:t>
            </w:r>
          </w:p>
        </w:tc>
        <w:tc>
          <w:tcPr>
            <w:tcW w:w="1275" w:type="dxa"/>
            <w:shd w:val="clear" w:color="auto" w:fill="auto"/>
            <w:tcMar>
              <w:top w:w="40" w:type="dxa"/>
              <w:left w:w="40" w:type="dxa"/>
              <w:bottom w:w="40" w:type="dxa"/>
              <w:right w:w="40" w:type="dxa"/>
            </w:tcMar>
            <w:vAlign w:val="center"/>
          </w:tcPr>
          <w:p w14:paraId="6BE1B65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400</w:t>
            </w:r>
          </w:p>
        </w:tc>
        <w:tc>
          <w:tcPr>
            <w:tcW w:w="1276" w:type="dxa"/>
            <w:shd w:val="clear" w:color="auto" w:fill="auto"/>
            <w:tcMar>
              <w:top w:w="40" w:type="dxa"/>
              <w:left w:w="40" w:type="dxa"/>
              <w:bottom w:w="40" w:type="dxa"/>
              <w:right w:w="40" w:type="dxa"/>
            </w:tcMar>
            <w:vAlign w:val="center"/>
          </w:tcPr>
          <w:p w14:paraId="4D1D8B89"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300</w:t>
            </w:r>
          </w:p>
        </w:tc>
        <w:tc>
          <w:tcPr>
            <w:tcW w:w="1325" w:type="dxa"/>
            <w:vMerge w:val="restart"/>
            <w:shd w:val="clear" w:color="auto" w:fill="auto"/>
            <w:tcMar>
              <w:top w:w="40" w:type="dxa"/>
              <w:left w:w="40" w:type="dxa"/>
              <w:bottom w:w="40" w:type="dxa"/>
              <w:right w:w="40" w:type="dxa"/>
            </w:tcMar>
            <w:vAlign w:val="center"/>
          </w:tcPr>
          <w:p w14:paraId="017EF5E4"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16.406.808.589</w:t>
            </w:r>
          </w:p>
        </w:tc>
      </w:tr>
      <w:tr w:rsidR="00EF1D5F" w:rsidRPr="00740030" w14:paraId="438F17B1" w14:textId="77777777" w:rsidTr="003D4AD9">
        <w:trPr>
          <w:trHeight w:val="315"/>
        </w:trPr>
        <w:tc>
          <w:tcPr>
            <w:tcW w:w="2410" w:type="dxa"/>
            <w:vMerge/>
            <w:shd w:val="clear" w:color="auto" w:fill="auto"/>
            <w:tcMar>
              <w:top w:w="100" w:type="dxa"/>
              <w:left w:w="100" w:type="dxa"/>
              <w:bottom w:w="100" w:type="dxa"/>
              <w:right w:w="100" w:type="dxa"/>
            </w:tcMar>
          </w:tcPr>
          <w:p w14:paraId="24C78C4F"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165E83D9"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2.215.089.157</w:t>
            </w:r>
          </w:p>
        </w:tc>
        <w:tc>
          <w:tcPr>
            <w:tcW w:w="1276" w:type="dxa"/>
            <w:shd w:val="clear" w:color="auto" w:fill="auto"/>
            <w:tcMar>
              <w:top w:w="40" w:type="dxa"/>
              <w:left w:w="40" w:type="dxa"/>
              <w:bottom w:w="40" w:type="dxa"/>
              <w:right w:w="40" w:type="dxa"/>
            </w:tcMar>
            <w:vAlign w:val="center"/>
          </w:tcPr>
          <w:p w14:paraId="42F4EACE"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5.582.524.272</w:t>
            </w:r>
          </w:p>
        </w:tc>
        <w:tc>
          <w:tcPr>
            <w:tcW w:w="1275" w:type="dxa"/>
            <w:shd w:val="clear" w:color="auto" w:fill="auto"/>
            <w:tcMar>
              <w:top w:w="40" w:type="dxa"/>
              <w:left w:w="40" w:type="dxa"/>
              <w:bottom w:w="40" w:type="dxa"/>
              <w:right w:w="40" w:type="dxa"/>
            </w:tcMar>
            <w:vAlign w:val="center"/>
          </w:tcPr>
          <w:p w14:paraId="48E0CBE9"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4.948.628.523</w:t>
            </w:r>
          </w:p>
        </w:tc>
        <w:tc>
          <w:tcPr>
            <w:tcW w:w="1276" w:type="dxa"/>
            <w:shd w:val="clear" w:color="auto" w:fill="auto"/>
            <w:tcMar>
              <w:top w:w="40" w:type="dxa"/>
              <w:left w:w="40" w:type="dxa"/>
              <w:bottom w:w="40" w:type="dxa"/>
              <w:right w:w="40" w:type="dxa"/>
            </w:tcMar>
            <w:vAlign w:val="center"/>
          </w:tcPr>
          <w:p w14:paraId="72FB72C6"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3.660.566.637</w:t>
            </w:r>
          </w:p>
        </w:tc>
        <w:tc>
          <w:tcPr>
            <w:tcW w:w="1325" w:type="dxa"/>
            <w:vMerge/>
            <w:shd w:val="clear" w:color="auto" w:fill="auto"/>
            <w:tcMar>
              <w:top w:w="100" w:type="dxa"/>
              <w:left w:w="100" w:type="dxa"/>
              <w:bottom w:w="100" w:type="dxa"/>
              <w:right w:w="100" w:type="dxa"/>
            </w:tcMar>
          </w:tcPr>
          <w:p w14:paraId="336EFA8F"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r w:rsidR="00EF1D5F" w:rsidRPr="00740030" w14:paraId="16EBB722" w14:textId="77777777" w:rsidTr="003D4AD9">
        <w:trPr>
          <w:trHeight w:val="315"/>
        </w:trPr>
        <w:tc>
          <w:tcPr>
            <w:tcW w:w="2410" w:type="dxa"/>
            <w:vMerge w:val="restart"/>
            <w:shd w:val="clear" w:color="auto" w:fill="auto"/>
            <w:tcMar>
              <w:top w:w="40" w:type="dxa"/>
              <w:left w:w="40" w:type="dxa"/>
              <w:bottom w:w="40" w:type="dxa"/>
              <w:right w:w="40" w:type="dxa"/>
            </w:tcMar>
            <w:vAlign w:val="center"/>
          </w:tcPr>
          <w:p w14:paraId="638CAFAD"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Promover la iniciación de 80.000 Unidades de Viviendas VIS y VIP en Bogotá.</w:t>
            </w:r>
          </w:p>
        </w:tc>
        <w:tc>
          <w:tcPr>
            <w:tcW w:w="1276" w:type="dxa"/>
            <w:shd w:val="clear" w:color="auto" w:fill="auto"/>
            <w:tcMar>
              <w:top w:w="40" w:type="dxa"/>
              <w:left w:w="40" w:type="dxa"/>
              <w:bottom w:w="40" w:type="dxa"/>
              <w:right w:w="40" w:type="dxa"/>
            </w:tcMar>
            <w:vAlign w:val="center"/>
          </w:tcPr>
          <w:p w14:paraId="273C598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10.000</w:t>
            </w:r>
          </w:p>
        </w:tc>
        <w:tc>
          <w:tcPr>
            <w:tcW w:w="1276" w:type="dxa"/>
            <w:shd w:val="clear" w:color="auto" w:fill="auto"/>
            <w:tcMar>
              <w:top w:w="40" w:type="dxa"/>
              <w:left w:w="40" w:type="dxa"/>
              <w:bottom w:w="40" w:type="dxa"/>
              <w:right w:w="40" w:type="dxa"/>
            </w:tcMar>
            <w:vAlign w:val="center"/>
          </w:tcPr>
          <w:p w14:paraId="5143C6DE"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20.000</w:t>
            </w:r>
          </w:p>
        </w:tc>
        <w:tc>
          <w:tcPr>
            <w:tcW w:w="1275" w:type="dxa"/>
            <w:shd w:val="clear" w:color="auto" w:fill="auto"/>
            <w:tcMar>
              <w:top w:w="40" w:type="dxa"/>
              <w:left w:w="40" w:type="dxa"/>
              <w:bottom w:w="40" w:type="dxa"/>
              <w:right w:w="40" w:type="dxa"/>
            </w:tcMar>
            <w:vAlign w:val="center"/>
          </w:tcPr>
          <w:p w14:paraId="30311448"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20.000</w:t>
            </w:r>
          </w:p>
        </w:tc>
        <w:tc>
          <w:tcPr>
            <w:tcW w:w="1276" w:type="dxa"/>
            <w:shd w:val="clear" w:color="auto" w:fill="auto"/>
            <w:tcMar>
              <w:top w:w="40" w:type="dxa"/>
              <w:left w:w="40" w:type="dxa"/>
              <w:bottom w:w="40" w:type="dxa"/>
              <w:right w:w="40" w:type="dxa"/>
            </w:tcMar>
            <w:vAlign w:val="center"/>
          </w:tcPr>
          <w:p w14:paraId="65E3DBA1"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30.000</w:t>
            </w:r>
          </w:p>
        </w:tc>
        <w:tc>
          <w:tcPr>
            <w:tcW w:w="1325" w:type="dxa"/>
            <w:vMerge w:val="restart"/>
            <w:shd w:val="clear" w:color="auto" w:fill="auto"/>
            <w:tcMar>
              <w:top w:w="40" w:type="dxa"/>
              <w:left w:w="40" w:type="dxa"/>
              <w:bottom w:w="40" w:type="dxa"/>
              <w:right w:w="40" w:type="dxa"/>
            </w:tcMar>
            <w:vAlign w:val="center"/>
          </w:tcPr>
          <w:p w14:paraId="716DA8A5"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3.848.223.888</w:t>
            </w:r>
          </w:p>
        </w:tc>
      </w:tr>
      <w:tr w:rsidR="00EF1D5F" w:rsidRPr="00740030" w14:paraId="6EF1E87B" w14:textId="77777777" w:rsidTr="003D4AD9">
        <w:trPr>
          <w:trHeight w:val="315"/>
        </w:trPr>
        <w:tc>
          <w:tcPr>
            <w:tcW w:w="2410" w:type="dxa"/>
            <w:vMerge/>
            <w:shd w:val="clear" w:color="auto" w:fill="auto"/>
            <w:tcMar>
              <w:top w:w="100" w:type="dxa"/>
              <w:left w:w="100" w:type="dxa"/>
              <w:bottom w:w="100" w:type="dxa"/>
              <w:right w:w="100" w:type="dxa"/>
            </w:tcMar>
          </w:tcPr>
          <w:p w14:paraId="6BDD4A1F"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23717F00"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972.000.000</w:t>
            </w:r>
          </w:p>
        </w:tc>
        <w:tc>
          <w:tcPr>
            <w:tcW w:w="1276" w:type="dxa"/>
            <w:shd w:val="clear" w:color="auto" w:fill="auto"/>
            <w:tcMar>
              <w:top w:w="40" w:type="dxa"/>
              <w:left w:w="40" w:type="dxa"/>
              <w:bottom w:w="40" w:type="dxa"/>
              <w:right w:w="40" w:type="dxa"/>
            </w:tcMar>
            <w:vAlign w:val="center"/>
          </w:tcPr>
          <w:p w14:paraId="5421E0A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1.043.689.320</w:t>
            </w:r>
          </w:p>
        </w:tc>
        <w:tc>
          <w:tcPr>
            <w:tcW w:w="1275" w:type="dxa"/>
            <w:shd w:val="clear" w:color="auto" w:fill="auto"/>
            <w:tcMar>
              <w:top w:w="40" w:type="dxa"/>
              <w:left w:w="40" w:type="dxa"/>
              <w:bottom w:w="40" w:type="dxa"/>
              <w:right w:w="40" w:type="dxa"/>
            </w:tcMar>
            <w:vAlign w:val="center"/>
          </w:tcPr>
          <w:p w14:paraId="32B4C668"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642.850.410</w:t>
            </w:r>
          </w:p>
        </w:tc>
        <w:tc>
          <w:tcPr>
            <w:tcW w:w="1276" w:type="dxa"/>
            <w:shd w:val="clear" w:color="auto" w:fill="auto"/>
            <w:tcMar>
              <w:top w:w="40" w:type="dxa"/>
              <w:left w:w="40" w:type="dxa"/>
              <w:bottom w:w="40" w:type="dxa"/>
              <w:right w:w="40" w:type="dxa"/>
            </w:tcMar>
            <w:vAlign w:val="center"/>
          </w:tcPr>
          <w:p w14:paraId="5C2C45CB"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1.189.684.157</w:t>
            </w:r>
          </w:p>
        </w:tc>
        <w:tc>
          <w:tcPr>
            <w:tcW w:w="1325" w:type="dxa"/>
            <w:vMerge/>
            <w:shd w:val="clear" w:color="auto" w:fill="auto"/>
            <w:tcMar>
              <w:top w:w="100" w:type="dxa"/>
              <w:left w:w="100" w:type="dxa"/>
              <w:bottom w:w="100" w:type="dxa"/>
              <w:right w:w="100" w:type="dxa"/>
            </w:tcMar>
          </w:tcPr>
          <w:p w14:paraId="297E5790"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r w:rsidR="00EF1D5F" w:rsidRPr="00740030" w14:paraId="3137F9F2" w14:textId="77777777" w:rsidTr="003D4AD9">
        <w:trPr>
          <w:trHeight w:val="315"/>
        </w:trPr>
        <w:tc>
          <w:tcPr>
            <w:tcW w:w="2410" w:type="dxa"/>
            <w:vMerge w:val="restart"/>
            <w:shd w:val="clear" w:color="auto" w:fill="auto"/>
            <w:tcMar>
              <w:top w:w="40" w:type="dxa"/>
              <w:left w:w="40" w:type="dxa"/>
              <w:bottom w:w="40" w:type="dxa"/>
              <w:right w:w="40" w:type="dxa"/>
            </w:tcMar>
            <w:vAlign w:val="center"/>
          </w:tcPr>
          <w:p w14:paraId="5170A73A" w14:textId="77777777" w:rsidR="00EF1D5F" w:rsidRPr="00740030" w:rsidRDefault="00EF1D5F" w:rsidP="003D4AD9">
            <w:pPr>
              <w:widowControl w:val="0"/>
              <w:spacing w:line="276" w:lineRule="auto"/>
              <w:jc w:val="left"/>
              <w:rPr>
                <w:color w:val="000000"/>
                <w:sz w:val="18"/>
                <w:szCs w:val="18"/>
              </w:rPr>
            </w:pPr>
            <w:r w:rsidRPr="00740030">
              <w:rPr>
                <w:color w:val="000000"/>
                <w:sz w:val="18"/>
                <w:szCs w:val="18"/>
              </w:rPr>
              <w:t>Sanear y titular 3.150 predios de estratos 1 y 2 localizados en barrios de origen informal</w:t>
            </w:r>
          </w:p>
        </w:tc>
        <w:tc>
          <w:tcPr>
            <w:tcW w:w="1276" w:type="dxa"/>
            <w:shd w:val="clear" w:color="auto" w:fill="auto"/>
            <w:tcMar>
              <w:top w:w="40" w:type="dxa"/>
              <w:left w:w="40" w:type="dxa"/>
              <w:bottom w:w="40" w:type="dxa"/>
              <w:right w:w="40" w:type="dxa"/>
            </w:tcMar>
            <w:vAlign w:val="center"/>
          </w:tcPr>
          <w:p w14:paraId="69CC2F50"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100</w:t>
            </w:r>
          </w:p>
        </w:tc>
        <w:tc>
          <w:tcPr>
            <w:tcW w:w="1276" w:type="dxa"/>
            <w:shd w:val="clear" w:color="auto" w:fill="auto"/>
            <w:tcMar>
              <w:top w:w="40" w:type="dxa"/>
              <w:left w:w="40" w:type="dxa"/>
              <w:bottom w:w="40" w:type="dxa"/>
              <w:right w:w="40" w:type="dxa"/>
            </w:tcMar>
            <w:vAlign w:val="center"/>
          </w:tcPr>
          <w:p w14:paraId="594008B2"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800</w:t>
            </w:r>
          </w:p>
        </w:tc>
        <w:tc>
          <w:tcPr>
            <w:tcW w:w="1275" w:type="dxa"/>
            <w:shd w:val="clear" w:color="auto" w:fill="auto"/>
            <w:tcMar>
              <w:top w:w="40" w:type="dxa"/>
              <w:left w:w="40" w:type="dxa"/>
              <w:bottom w:w="40" w:type="dxa"/>
              <w:right w:w="40" w:type="dxa"/>
            </w:tcMar>
            <w:vAlign w:val="center"/>
          </w:tcPr>
          <w:p w14:paraId="089A7F71"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1.225</w:t>
            </w:r>
          </w:p>
        </w:tc>
        <w:tc>
          <w:tcPr>
            <w:tcW w:w="1276" w:type="dxa"/>
            <w:shd w:val="clear" w:color="auto" w:fill="auto"/>
            <w:tcMar>
              <w:top w:w="40" w:type="dxa"/>
              <w:left w:w="40" w:type="dxa"/>
              <w:bottom w:w="40" w:type="dxa"/>
              <w:right w:w="40" w:type="dxa"/>
            </w:tcMar>
            <w:vAlign w:val="center"/>
          </w:tcPr>
          <w:p w14:paraId="2A17BF4F"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1.025</w:t>
            </w:r>
          </w:p>
        </w:tc>
        <w:tc>
          <w:tcPr>
            <w:tcW w:w="1325" w:type="dxa"/>
            <w:vMerge w:val="restart"/>
            <w:shd w:val="clear" w:color="auto" w:fill="auto"/>
            <w:tcMar>
              <w:top w:w="40" w:type="dxa"/>
              <w:left w:w="40" w:type="dxa"/>
              <w:bottom w:w="40" w:type="dxa"/>
              <w:right w:w="40" w:type="dxa"/>
            </w:tcMar>
            <w:vAlign w:val="center"/>
          </w:tcPr>
          <w:p w14:paraId="6C130872" w14:textId="77777777" w:rsidR="00EF1D5F" w:rsidRPr="00740030" w:rsidRDefault="00EF1D5F" w:rsidP="003D4AD9">
            <w:pPr>
              <w:widowControl w:val="0"/>
              <w:spacing w:line="276" w:lineRule="auto"/>
              <w:jc w:val="center"/>
              <w:rPr>
                <w:b/>
                <w:color w:val="000000"/>
                <w:sz w:val="18"/>
                <w:szCs w:val="18"/>
              </w:rPr>
            </w:pPr>
            <w:r w:rsidRPr="00740030">
              <w:rPr>
                <w:b/>
                <w:color w:val="000000"/>
                <w:sz w:val="18"/>
                <w:szCs w:val="18"/>
              </w:rPr>
              <w:t>19.616.891.032</w:t>
            </w:r>
          </w:p>
        </w:tc>
      </w:tr>
      <w:tr w:rsidR="00EF1D5F" w:rsidRPr="00740030" w14:paraId="5FF52471" w14:textId="77777777" w:rsidTr="003D4AD9">
        <w:trPr>
          <w:trHeight w:val="315"/>
        </w:trPr>
        <w:tc>
          <w:tcPr>
            <w:tcW w:w="2410" w:type="dxa"/>
            <w:vMerge/>
            <w:shd w:val="clear" w:color="auto" w:fill="auto"/>
            <w:tcMar>
              <w:top w:w="100" w:type="dxa"/>
              <w:left w:w="100" w:type="dxa"/>
              <w:bottom w:w="100" w:type="dxa"/>
              <w:right w:w="100" w:type="dxa"/>
            </w:tcMar>
          </w:tcPr>
          <w:p w14:paraId="4B7C8E8F"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c>
          <w:tcPr>
            <w:tcW w:w="1276" w:type="dxa"/>
            <w:shd w:val="clear" w:color="auto" w:fill="auto"/>
            <w:tcMar>
              <w:top w:w="40" w:type="dxa"/>
              <w:left w:w="40" w:type="dxa"/>
              <w:bottom w:w="40" w:type="dxa"/>
              <w:right w:w="40" w:type="dxa"/>
            </w:tcMar>
            <w:vAlign w:val="center"/>
          </w:tcPr>
          <w:p w14:paraId="0475CF08"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1.476.726.105</w:t>
            </w:r>
          </w:p>
        </w:tc>
        <w:tc>
          <w:tcPr>
            <w:tcW w:w="1276" w:type="dxa"/>
            <w:shd w:val="clear" w:color="auto" w:fill="auto"/>
            <w:tcMar>
              <w:top w:w="40" w:type="dxa"/>
              <w:left w:w="40" w:type="dxa"/>
              <w:bottom w:w="40" w:type="dxa"/>
              <w:right w:w="40" w:type="dxa"/>
            </w:tcMar>
            <w:vAlign w:val="center"/>
          </w:tcPr>
          <w:p w14:paraId="36941988"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5.097.087.379</w:t>
            </w:r>
          </w:p>
        </w:tc>
        <w:tc>
          <w:tcPr>
            <w:tcW w:w="1275" w:type="dxa"/>
            <w:shd w:val="clear" w:color="auto" w:fill="auto"/>
            <w:tcMar>
              <w:top w:w="40" w:type="dxa"/>
              <w:left w:w="40" w:type="dxa"/>
              <w:bottom w:w="40" w:type="dxa"/>
              <w:right w:w="40" w:type="dxa"/>
            </w:tcMar>
            <w:vAlign w:val="center"/>
          </w:tcPr>
          <w:p w14:paraId="6AA45603"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5.891.224.432</w:t>
            </w:r>
          </w:p>
        </w:tc>
        <w:tc>
          <w:tcPr>
            <w:tcW w:w="1276" w:type="dxa"/>
            <w:shd w:val="clear" w:color="auto" w:fill="auto"/>
            <w:tcMar>
              <w:top w:w="40" w:type="dxa"/>
              <w:left w:w="40" w:type="dxa"/>
              <w:bottom w:w="40" w:type="dxa"/>
              <w:right w:w="40" w:type="dxa"/>
            </w:tcMar>
            <w:vAlign w:val="center"/>
          </w:tcPr>
          <w:p w14:paraId="3D84A89A" w14:textId="77777777" w:rsidR="00EF1D5F" w:rsidRPr="00740030" w:rsidRDefault="00EF1D5F" w:rsidP="003D4AD9">
            <w:pPr>
              <w:widowControl w:val="0"/>
              <w:spacing w:line="276" w:lineRule="auto"/>
              <w:jc w:val="center"/>
              <w:rPr>
                <w:rFonts w:ascii="Arial" w:eastAsia="Arial" w:hAnsi="Arial" w:cs="Arial"/>
                <w:color w:val="000000"/>
                <w:sz w:val="18"/>
                <w:szCs w:val="18"/>
              </w:rPr>
            </w:pPr>
            <w:r w:rsidRPr="00740030">
              <w:rPr>
                <w:color w:val="000000"/>
                <w:sz w:val="18"/>
                <w:szCs w:val="18"/>
              </w:rPr>
              <w:t>7.151.853.116</w:t>
            </w:r>
          </w:p>
        </w:tc>
        <w:tc>
          <w:tcPr>
            <w:tcW w:w="1325" w:type="dxa"/>
            <w:vMerge/>
            <w:shd w:val="clear" w:color="auto" w:fill="auto"/>
            <w:tcMar>
              <w:top w:w="100" w:type="dxa"/>
              <w:left w:w="100" w:type="dxa"/>
              <w:bottom w:w="100" w:type="dxa"/>
              <w:right w:w="100" w:type="dxa"/>
            </w:tcMar>
          </w:tcPr>
          <w:p w14:paraId="2544EAEC" w14:textId="77777777" w:rsidR="00EF1D5F" w:rsidRPr="00740030" w:rsidRDefault="00EF1D5F" w:rsidP="003D4AD9">
            <w:pPr>
              <w:widowControl w:val="0"/>
              <w:spacing w:line="276" w:lineRule="auto"/>
              <w:jc w:val="left"/>
              <w:rPr>
                <w:rFonts w:ascii="Arial" w:eastAsia="Arial" w:hAnsi="Arial" w:cs="Arial"/>
                <w:color w:val="000000"/>
                <w:sz w:val="18"/>
                <w:szCs w:val="18"/>
              </w:rPr>
            </w:pPr>
          </w:p>
        </w:tc>
      </w:tr>
    </w:tbl>
    <w:p w14:paraId="5A83F28B" w14:textId="77777777" w:rsidR="00EF1D5F" w:rsidRPr="00740030" w:rsidRDefault="00EF1D5F" w:rsidP="008459DF">
      <w:pPr>
        <w:rPr>
          <w:sz w:val="18"/>
          <w:szCs w:val="18"/>
        </w:rPr>
      </w:pPr>
    </w:p>
    <w:p w14:paraId="12FCA321" w14:textId="0D0EDA07" w:rsidR="00EF1D5F" w:rsidRDefault="00EF1D5F">
      <w:pPr>
        <w:spacing w:line="260" w:lineRule="auto"/>
      </w:pPr>
      <w:r>
        <w:br w:type="page"/>
      </w:r>
    </w:p>
    <w:p w14:paraId="010ADA4C" w14:textId="2DFE8110" w:rsidR="00EF1D5F" w:rsidRDefault="00F469D1" w:rsidP="00A67348">
      <w:r>
        <w:rPr>
          <w:noProof/>
        </w:rPr>
        <w:lastRenderedPageBreak/>
        <w:drawing>
          <wp:anchor distT="0" distB="0" distL="114300" distR="114300" simplePos="0" relativeHeight="251789312" behindDoc="1" locked="0" layoutInCell="1" allowOverlap="1" wp14:anchorId="28EAECF4" wp14:editId="45CF7E3D">
            <wp:simplePos x="0" y="0"/>
            <wp:positionH relativeFrom="column">
              <wp:posOffset>57150</wp:posOffset>
            </wp:positionH>
            <wp:positionV relativeFrom="paragraph">
              <wp:posOffset>-1436370</wp:posOffset>
            </wp:positionV>
            <wp:extent cx="5932800" cy="2269335"/>
            <wp:effectExtent l="0" t="0" r="0" b="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pic:cNvPicPr/>
                  </pic:nvPicPr>
                  <pic:blipFill rotWithShape="1">
                    <a:blip r:embed="rId153">
                      <a:extLst>
                        <a:ext uri="{28A0092B-C50C-407E-A947-70E740481C1C}">
                          <a14:useLocalDpi xmlns:a14="http://schemas.microsoft.com/office/drawing/2010/main" val="0"/>
                        </a:ext>
                      </a:extLst>
                    </a:blip>
                    <a:srcRect l="1606"/>
                    <a:stretch/>
                  </pic:blipFill>
                  <pic:spPr bwMode="auto">
                    <a:xfrm>
                      <a:off x="0" y="0"/>
                      <a:ext cx="5932800" cy="2269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6536A8" w14:textId="135D58D1" w:rsidR="00EF1D5F" w:rsidRDefault="00EF1D5F" w:rsidP="00E130BB">
      <w:pPr>
        <w:pStyle w:val="titulodocumento"/>
      </w:pPr>
    </w:p>
    <w:p w14:paraId="7DEE827A" w14:textId="77777777" w:rsidR="00EF1D5F" w:rsidRDefault="00EF1D5F" w:rsidP="002C446A">
      <w:pPr>
        <w:pStyle w:val="titulodocumento"/>
      </w:pPr>
    </w:p>
    <w:p w14:paraId="239904F8" w14:textId="77777777" w:rsidR="00F469D1" w:rsidRDefault="00F469D1" w:rsidP="002C446A">
      <w:pPr>
        <w:pStyle w:val="titulodocumento"/>
      </w:pPr>
    </w:p>
    <w:p w14:paraId="4210778C" w14:textId="375DE662" w:rsidR="00EF1D5F" w:rsidRPr="00001230" w:rsidRDefault="00EF1D5F" w:rsidP="00A67348">
      <w:pPr>
        <w:pStyle w:val="NIVEL2PDD"/>
      </w:pPr>
      <w:bookmarkStart w:id="417" w:name="_Toc165169797"/>
      <w:r w:rsidRPr="00A67348">
        <w:rPr>
          <w:color w:val="3B3838" w:themeColor="background2" w:themeShade="40"/>
        </w:rPr>
        <w:t>Objetivo 5</w:t>
      </w:r>
      <w:r w:rsidR="00A67348">
        <w:rPr>
          <w:color w:val="3B3838" w:themeColor="background2" w:themeShade="40"/>
        </w:rPr>
        <w:t>.</w:t>
      </w:r>
      <w:r w:rsidRPr="00A67348">
        <w:rPr>
          <w:color w:val="3B3838" w:themeColor="background2" w:themeShade="40"/>
        </w:rPr>
        <w:t xml:space="preserve"> </w:t>
      </w:r>
      <w:r w:rsidRPr="00001230">
        <w:t>Bogotá confía en su Gobierno</w:t>
      </w:r>
      <w:bookmarkEnd w:id="417"/>
    </w:p>
    <w:p w14:paraId="0CC7036A" w14:textId="77777777" w:rsidR="00EF1D5F" w:rsidRDefault="00EF1D5F" w:rsidP="005D5A4A"/>
    <w:p w14:paraId="49DAACE9" w14:textId="77777777" w:rsidR="00EF1D5F" w:rsidRDefault="00EF1D5F" w:rsidP="005D5A4A">
      <w:pPr>
        <w:sectPr w:rsidR="00EF1D5F" w:rsidSect="00F7078E">
          <w:headerReference w:type="default" r:id="rId154"/>
          <w:type w:val="continuous"/>
          <w:pgSz w:w="12240" w:h="15840"/>
          <w:pgMar w:top="2262" w:right="1440" w:bottom="1440" w:left="1440" w:header="708" w:footer="708" w:gutter="0"/>
          <w:cols w:space="720"/>
        </w:sectPr>
      </w:pPr>
    </w:p>
    <w:p w14:paraId="65283159" w14:textId="77777777" w:rsidR="00EF1D5F" w:rsidRPr="004E2ACF" w:rsidRDefault="00EF1D5F" w:rsidP="004E2ACF">
      <w:pPr>
        <w:rPr>
          <w:rFonts w:cs="Times New Roman (Cuerpo en alfa"/>
          <w:spacing w:val="-8"/>
        </w:rPr>
      </w:pPr>
      <w:r w:rsidRPr="004E2ACF">
        <w:rPr>
          <w:rFonts w:cs="Times New Roman (Cuerpo en alfa"/>
          <w:spacing w:val="-8"/>
        </w:rPr>
        <w:t>Una ciudad pujante, donde se quiera vivir, requiere un Gobierno que atienda las necesidades, garantice los derechos de las personas y brinde un servicio amable, ágil y oportuno en todo el territorio, con un gasto eficiente. Un Gobierno en el que la ciudadanía crea y confíe.</w:t>
      </w:r>
    </w:p>
    <w:p w14:paraId="51FA00D7" w14:textId="77777777" w:rsidR="00EF1D5F" w:rsidRPr="004E2ACF" w:rsidRDefault="00EF1D5F" w:rsidP="004E2ACF">
      <w:pPr>
        <w:rPr>
          <w:rFonts w:cs="Times New Roman (Cuerpo en alfa"/>
          <w:spacing w:val="-8"/>
        </w:rPr>
      </w:pPr>
    </w:p>
    <w:p w14:paraId="7EFF2C51" w14:textId="77777777" w:rsidR="00EF1D5F" w:rsidRPr="004E2ACF" w:rsidRDefault="00EF1D5F" w:rsidP="004E2ACF">
      <w:pPr>
        <w:rPr>
          <w:rFonts w:cs="Times New Roman (Cuerpo en alfa"/>
          <w:spacing w:val="-8"/>
        </w:rPr>
      </w:pPr>
      <w:r w:rsidRPr="004E2ACF">
        <w:rPr>
          <w:rFonts w:cs="Times New Roman (Cuerpo en alfa"/>
          <w:spacing w:val="-8"/>
        </w:rPr>
        <w:t>Lograr un Gobierno con este talante es un trabajo de todas y todos: de las entidades del sector público y de la ciudadanía; sin embargo, cinco sectores en especial deben trabajar articuladamente para generar las condiciones con tal fin: Gobierno, Gestión Pública, Gestión Jurídica, Planeación y Hacienda.</w:t>
      </w:r>
    </w:p>
    <w:p w14:paraId="1E541511" w14:textId="77777777" w:rsidR="00EF1D5F" w:rsidRPr="004E2ACF" w:rsidRDefault="00EF1D5F" w:rsidP="004E2ACF">
      <w:pPr>
        <w:rPr>
          <w:rFonts w:cs="Times New Roman (Cuerpo en alfa"/>
          <w:spacing w:val="-8"/>
        </w:rPr>
      </w:pPr>
    </w:p>
    <w:p w14:paraId="1AB8E78C" w14:textId="77777777" w:rsidR="00EF1D5F" w:rsidRPr="004E2ACF" w:rsidRDefault="00EF1D5F" w:rsidP="004E2ACF">
      <w:pPr>
        <w:rPr>
          <w:rFonts w:cs="Times New Roman (Cuerpo en alfa"/>
          <w:spacing w:val="-8"/>
        </w:rPr>
      </w:pPr>
      <w:r w:rsidRPr="004E2ACF">
        <w:rPr>
          <w:rFonts w:cs="Times New Roman (Cuerpo en alfa"/>
          <w:spacing w:val="-8"/>
        </w:rPr>
        <w:t>Estos han de trabajar de manera coordinada con todas las entidades distritales, buscando fortalecer la confianza entre el Gobierno y la ciudadanía que habita Bogotá y transita por ella, a partir de una relación fundamentada en el diálogo, el respeto, la participación y la corresponsabilidad. Un Gobierno que promueva la integridad, la transparencia, la eficiencia y el orgullo de colaboradoras, colaboradores, sus servidoras y servidores públicos. Este gran proceso irá acompañado con transformación digital e innovación pública para brindar mejores servicios a la ciudadanía.</w:t>
      </w:r>
    </w:p>
    <w:p w14:paraId="4297AC71" w14:textId="77777777" w:rsidR="00EF1D5F" w:rsidRPr="004E2ACF" w:rsidRDefault="00EF1D5F" w:rsidP="004E2ACF">
      <w:pPr>
        <w:rPr>
          <w:rFonts w:cs="Times New Roman (Cuerpo en alfa"/>
          <w:spacing w:val="-8"/>
        </w:rPr>
      </w:pPr>
    </w:p>
    <w:p w14:paraId="4FBF48EF" w14:textId="77777777" w:rsidR="00EF1D5F" w:rsidRPr="004E2ACF" w:rsidRDefault="00EF1D5F" w:rsidP="004E2ACF">
      <w:pPr>
        <w:rPr>
          <w:rFonts w:cs="Times New Roman (Cuerpo en alfa"/>
          <w:spacing w:val="-8"/>
        </w:rPr>
      </w:pPr>
      <w:r w:rsidRPr="004E2ACF">
        <w:rPr>
          <w:rFonts w:cs="Times New Roman (Cuerpo en alfa"/>
          <w:spacing w:val="-8"/>
        </w:rPr>
        <w:t xml:space="preserve">El creciente consenso entre los gobiernos y la sociedad civil, la academia, el sector privado y en general la ciudadanía, por avanzar hacia una gestión pública más inteligente, abierta y cercana, ha dado paso a nuevas formas de relacionamiento entre las instituciones y la ciudadanía, que se expresan en un uso cada vez más intensivo, estructurado y estratégico de la tecnología, los datos y la innovación para mejorar y acercar a las instituciones públicas y la </w:t>
      </w:r>
      <w:r w:rsidRPr="004E2ACF">
        <w:rPr>
          <w:rFonts w:cs="Times New Roman (Cuerpo en alfa"/>
          <w:spacing w:val="-8"/>
        </w:rPr>
        <w:t>ciudadanía mediante el acceso a trámites y servicios, la utilidad de la información, la incidencia ciudadana y la posibilidad de cocrear soluciones públicas a través de la colaboración.</w:t>
      </w:r>
    </w:p>
    <w:p w14:paraId="785DE983" w14:textId="77777777" w:rsidR="00EF1D5F" w:rsidRPr="004E2ACF" w:rsidRDefault="00EF1D5F" w:rsidP="004E2ACF">
      <w:pPr>
        <w:rPr>
          <w:rFonts w:cs="Times New Roman (Cuerpo en alfa"/>
          <w:spacing w:val="-8"/>
        </w:rPr>
      </w:pPr>
    </w:p>
    <w:p w14:paraId="45D44DFC" w14:textId="77777777" w:rsidR="00EF1D5F" w:rsidRPr="004E2ACF" w:rsidRDefault="00EF1D5F" w:rsidP="004E2ACF">
      <w:pPr>
        <w:rPr>
          <w:rFonts w:cs="Times New Roman (Cuerpo en alfa"/>
          <w:spacing w:val="-8"/>
        </w:rPr>
      </w:pPr>
      <w:r w:rsidRPr="004E2ACF">
        <w:rPr>
          <w:rFonts w:cs="Times New Roman (Cuerpo en alfa"/>
          <w:spacing w:val="-8"/>
        </w:rPr>
        <w:t>El Gobierno de Bogotá establecerá una nueva relación con la ciudadanía, igualmente, a partir de la implementación de un modelo de gobernanza inteligente, basada en los valores del gobierno abierto, donde la ciudadanía hace parte de la toma de decisiones de la capital, se beneficie con del uso de la información pública y pueda acceder con más facilidad a los trámites y servicios del Distrito.</w:t>
      </w:r>
    </w:p>
    <w:p w14:paraId="7CC09F13" w14:textId="77777777" w:rsidR="00EF1D5F" w:rsidRPr="004E2ACF" w:rsidRDefault="00EF1D5F" w:rsidP="004E2ACF">
      <w:pPr>
        <w:rPr>
          <w:rFonts w:cs="Times New Roman (Cuerpo en alfa"/>
          <w:spacing w:val="-8"/>
        </w:rPr>
      </w:pPr>
    </w:p>
    <w:p w14:paraId="04A396A4" w14:textId="77777777" w:rsidR="00EF1D5F" w:rsidRPr="004E2ACF" w:rsidRDefault="00EF1D5F" w:rsidP="004E2ACF">
      <w:pPr>
        <w:rPr>
          <w:rFonts w:cs="Times New Roman (Cuerpo en alfa"/>
          <w:spacing w:val="-8"/>
        </w:rPr>
      </w:pPr>
      <w:r w:rsidRPr="004E2ACF">
        <w:rPr>
          <w:rFonts w:cs="Times New Roman (Cuerpo en alfa"/>
          <w:spacing w:val="-8"/>
        </w:rPr>
        <w:t>Se debe fortalecer las entidades para que cuenten con mayores capacidades en el aprovechamiento estratégico de la innovación abierta, los datos con propósito y la tecnología incluyente y generativa, para que, a través de sus actuaciones, respondan a los retos actuales que enfrenta el Distrito Capital, sigan y cumplan con los compromisos adquiridos en este Plan y los diferentes instrumentos de planeación, encaminados a la satisfacción de las expectativas y necesidades de la población Bogotana.</w:t>
      </w:r>
    </w:p>
    <w:p w14:paraId="12D6B313" w14:textId="77777777" w:rsidR="00EF1D5F" w:rsidRPr="004E2ACF" w:rsidRDefault="00EF1D5F" w:rsidP="004E2ACF">
      <w:pPr>
        <w:rPr>
          <w:rFonts w:cs="Times New Roman (Cuerpo en alfa"/>
          <w:spacing w:val="-8"/>
        </w:rPr>
      </w:pPr>
    </w:p>
    <w:p w14:paraId="51A09ACC" w14:textId="77777777" w:rsidR="00EF1D5F" w:rsidRPr="004E2ACF" w:rsidRDefault="00EF1D5F" w:rsidP="004E2ACF">
      <w:pPr>
        <w:rPr>
          <w:rFonts w:cs="Times New Roman (Cuerpo en alfa"/>
          <w:spacing w:val="-8"/>
        </w:rPr>
      </w:pPr>
      <w:r w:rsidRPr="004E2ACF">
        <w:rPr>
          <w:rFonts w:cs="Times New Roman (Cuerpo en alfa"/>
          <w:spacing w:val="-8"/>
        </w:rPr>
        <w:t xml:space="preserve">El Gobierno distrital reconoce la valiosa experiencia de la ciudadanía como insumo fundamental en la toma de decisiones. Por ello, se compromete a fortalecer y crear espacios de cercanía, confianza, diálogo, deliberación y consenso, a través de plataformas de participación como los presupuestos participativos, la formulación de las políticas públicas, las audiencias y las asambleas ciudadanas, y la promoción de espacios participativos de nivel regional, como el Ágora Metropolitana de la Región Metropolitana Bogotá-Cundinamarca, que deberá ser </w:t>
      </w:r>
      <w:r w:rsidRPr="004E2ACF">
        <w:rPr>
          <w:rFonts w:cs="Times New Roman (Cuerpo en alfa"/>
          <w:spacing w:val="-8"/>
        </w:rPr>
        <w:lastRenderedPageBreak/>
        <w:t>implementado. El Gobierno distrital se compromete, así mismo, a convertir a Bogotá en un referente en materia de democracia deliberativa e innovación democrática.</w:t>
      </w:r>
    </w:p>
    <w:p w14:paraId="7950D435" w14:textId="77777777" w:rsidR="00EF1D5F" w:rsidRPr="004E2ACF" w:rsidRDefault="00EF1D5F" w:rsidP="004E2ACF">
      <w:pPr>
        <w:rPr>
          <w:rFonts w:cs="Times New Roman (Cuerpo en alfa"/>
          <w:spacing w:val="-8"/>
        </w:rPr>
      </w:pPr>
      <w:r w:rsidRPr="004E2ACF">
        <w:rPr>
          <w:rFonts w:cs="Times New Roman (Cuerpo en alfa"/>
          <w:spacing w:val="-8"/>
        </w:rPr>
        <w:t xml:space="preserve">Como parte de este objetivo se espera la consolidación de una cadena de valor con tres eslabones fundamentales. El primero de ellos está centrado en el fortalecimiento de las entidades públicas y su gobernanza local, regional e internacional, con el fin de prestar un mejor servicio a la ciudadanía a partir de la innovación pública, la transformación digital y la generación de habilitantes y capacidades en el talento humano. El segundo se basa en brindar los </w:t>
      </w:r>
      <w:r w:rsidRPr="004E2ACF">
        <w:rPr>
          <w:rFonts w:cs="Times New Roman (Cuerpo en alfa"/>
          <w:spacing w:val="-8"/>
        </w:rPr>
        <w:t>canales de relacionamiento necesarios para facilitar y acercar a la ciudadanía el Gobierno de la ciudad y generar un modelo de gobernanza nuevo que motive una participación incidente, fortalezca las capacidades de la ciudadanía y el talento humano y genere valor público a través del uso de datos.</w:t>
      </w:r>
    </w:p>
    <w:p w14:paraId="2CE9E892" w14:textId="77777777" w:rsidR="00EF1D5F" w:rsidRPr="004E2ACF" w:rsidRDefault="00EF1D5F" w:rsidP="004E2ACF">
      <w:pPr>
        <w:rPr>
          <w:rFonts w:cs="Times New Roman (Cuerpo en alfa"/>
          <w:spacing w:val="-8"/>
        </w:rPr>
      </w:pPr>
    </w:p>
    <w:p w14:paraId="27BC616A" w14:textId="06EC3DA5" w:rsidR="00EF1D5F" w:rsidRPr="00EC7691" w:rsidRDefault="00EF1D5F" w:rsidP="00EC7691">
      <w:pPr>
        <w:sectPr w:rsidR="00EF1D5F" w:rsidRPr="00EC7691" w:rsidSect="00F7078E">
          <w:type w:val="continuous"/>
          <w:pgSz w:w="12240" w:h="15840"/>
          <w:pgMar w:top="2262" w:right="1440" w:bottom="1440" w:left="1440" w:header="708" w:footer="680" w:gutter="0"/>
          <w:cols w:num="2" w:space="567"/>
          <w:docGrid w:linePitch="299"/>
        </w:sectPr>
      </w:pPr>
      <w:r w:rsidRPr="004E2ACF">
        <w:rPr>
          <w:rFonts w:cs="Times New Roman (Cuerpo en alfa"/>
          <w:spacing w:val="-8"/>
        </w:rPr>
        <w:t>Finalmente, el tercer y último eslabón, producto de los dos anteriores, la materialización del compromiso institucional del Distrito Capital por un gobierno cercano y eficiente, que tenga en cuenta la colaboración pública en favor del desarrollo de la ciudad como se muestra a continuación en la</w:t>
      </w:r>
      <w:r w:rsidR="00EC7691" w:rsidRPr="00EC7691">
        <w:rPr>
          <w:rFonts w:cs="Times New Roman (Cuerpo en alfa"/>
          <w:spacing w:val="-8"/>
        </w:rPr>
        <w:t xml:space="preserve"> </w:t>
      </w:r>
      <w:r w:rsidR="00EC7691" w:rsidRPr="00EC7691">
        <w:rPr>
          <w:rFonts w:cs="Times New Roman (Cuerpo en alfa"/>
          <w:spacing w:val="-8"/>
        </w:rPr>
        <w:fldChar w:fldCharType="begin"/>
      </w:r>
      <w:r w:rsidR="00EC7691" w:rsidRPr="00EC7691">
        <w:rPr>
          <w:rFonts w:cs="Times New Roman (Cuerpo en alfa"/>
          <w:spacing w:val="-8"/>
        </w:rPr>
        <w:instrText xml:space="preserve"> REF _Ref165148252 \h </w:instrText>
      </w:r>
      <w:r w:rsidR="00EC7691" w:rsidRPr="00EC7691">
        <w:rPr>
          <w:rFonts w:cs="Times New Roman (Cuerpo en alfa"/>
          <w:spacing w:val="-8"/>
        </w:rPr>
      </w:r>
      <w:r w:rsidR="00EC7691" w:rsidRPr="00EC7691">
        <w:rPr>
          <w:rFonts w:cs="Times New Roman (Cuerpo en alfa"/>
          <w:spacing w:val="-8"/>
        </w:rPr>
        <w:fldChar w:fldCharType="separate"/>
      </w:r>
      <w:r w:rsidR="00D01651" w:rsidRPr="00EC7691">
        <w:rPr>
          <w:color w:val="C00000"/>
          <w:sz w:val="18"/>
          <w:szCs w:val="18"/>
        </w:rPr>
        <w:t xml:space="preserve">Figura </w:t>
      </w:r>
      <w:r w:rsidR="00D01651">
        <w:rPr>
          <w:noProof/>
          <w:color w:val="C00000"/>
          <w:sz w:val="18"/>
        </w:rPr>
        <w:t>15</w:t>
      </w:r>
      <w:r w:rsidR="00EC7691" w:rsidRPr="00EC7691">
        <w:rPr>
          <w:rFonts w:cs="Times New Roman (Cuerpo en alfa"/>
          <w:spacing w:val="-8"/>
        </w:rPr>
        <w:fldChar w:fldCharType="end"/>
      </w:r>
      <w:r w:rsidRPr="004E2ACF">
        <w:rPr>
          <w:rFonts w:cs="Times New Roman (Cuerpo en alfa"/>
          <w:spacing w:val="-8"/>
        </w:rPr>
        <w:t>.</w:t>
      </w:r>
      <w:r>
        <w:rPr>
          <w:rFonts w:cs="Times New Roman (Cuerpo en alfa"/>
          <w:spacing w:val="-8"/>
        </w:rPr>
        <w:t xml:space="preserve"> </w:t>
      </w:r>
    </w:p>
    <w:p w14:paraId="5D7362F4" w14:textId="77777777" w:rsidR="00EF1D5F" w:rsidRDefault="00EF1D5F" w:rsidP="00EC7691">
      <w:pPr>
        <w:pStyle w:val="figuratitulo"/>
        <w:jc w:val="both"/>
        <w:rPr>
          <w:b/>
          <w:bCs/>
        </w:rPr>
      </w:pPr>
    </w:p>
    <w:p w14:paraId="41A4C899" w14:textId="23918056" w:rsidR="00EF1D5F" w:rsidRPr="00EC7691" w:rsidRDefault="00EC7691" w:rsidP="00EC7691">
      <w:pPr>
        <w:pStyle w:val="Descripcin"/>
        <w:jc w:val="center"/>
        <w:rPr>
          <w:sz w:val="18"/>
        </w:rPr>
      </w:pPr>
      <w:bookmarkStart w:id="418" w:name="_Ref165148252"/>
      <w:bookmarkStart w:id="419" w:name="_Toc165169991"/>
      <w:r w:rsidRPr="00EC7691">
        <w:rPr>
          <w:color w:val="C00000"/>
          <w:sz w:val="18"/>
        </w:rPr>
        <w:t xml:space="preserve">Figura </w:t>
      </w:r>
      <w:r w:rsidRPr="00EC7691">
        <w:rPr>
          <w:color w:val="C00000"/>
          <w:sz w:val="18"/>
        </w:rPr>
        <w:fldChar w:fldCharType="begin"/>
      </w:r>
      <w:r w:rsidRPr="00EC7691">
        <w:rPr>
          <w:color w:val="C00000"/>
          <w:sz w:val="18"/>
        </w:rPr>
        <w:instrText xml:space="preserve"> SEQ Figura \* ARABIC </w:instrText>
      </w:r>
      <w:r w:rsidRPr="00EC7691">
        <w:rPr>
          <w:color w:val="C00000"/>
          <w:sz w:val="18"/>
        </w:rPr>
        <w:fldChar w:fldCharType="separate"/>
      </w:r>
      <w:r w:rsidR="00D01651">
        <w:rPr>
          <w:noProof/>
          <w:color w:val="C00000"/>
          <w:sz w:val="18"/>
        </w:rPr>
        <w:t>15</w:t>
      </w:r>
      <w:r w:rsidRPr="00EC7691">
        <w:rPr>
          <w:color w:val="C00000"/>
          <w:sz w:val="18"/>
        </w:rPr>
        <w:fldChar w:fldCharType="end"/>
      </w:r>
      <w:bookmarkEnd w:id="418"/>
      <w:r w:rsidRPr="00EC7691">
        <w:rPr>
          <w:color w:val="C00000"/>
          <w:sz w:val="18"/>
        </w:rPr>
        <w:t xml:space="preserve">. </w:t>
      </w:r>
      <w:r w:rsidR="00EF1D5F" w:rsidRPr="00EC7691">
        <w:rPr>
          <w:sz w:val="18"/>
        </w:rPr>
        <w:t>Cadena de valor Objetivo 5</w:t>
      </w:r>
      <w:r w:rsidRPr="00EC7691">
        <w:rPr>
          <w:sz w:val="18"/>
        </w:rPr>
        <w:t>:</w:t>
      </w:r>
      <w:r w:rsidR="00EF1D5F" w:rsidRPr="00EC7691">
        <w:rPr>
          <w:sz w:val="18"/>
        </w:rPr>
        <w:t xml:space="preserve"> Bogotá confía en su Gobierno.</w:t>
      </w:r>
      <w:bookmarkEnd w:id="419"/>
    </w:p>
    <w:p w14:paraId="3030D999" w14:textId="77777777" w:rsidR="00EF1D5F" w:rsidRPr="00E94B15" w:rsidRDefault="00EF1D5F" w:rsidP="00F15A4F">
      <w:pPr>
        <w:spacing w:line="480" w:lineRule="auto"/>
        <w:jc w:val="center"/>
        <w:rPr>
          <w:highlight w:val="white"/>
        </w:rPr>
      </w:pPr>
      <w:r>
        <w:rPr>
          <w:noProof/>
        </w:rPr>
        <w:drawing>
          <wp:inline distT="0" distB="0" distL="0" distR="0" wp14:anchorId="04154642" wp14:editId="3F34F499">
            <wp:extent cx="5612130" cy="3237230"/>
            <wp:effectExtent l="0" t="0" r="0" b="0"/>
            <wp:docPr id="1239823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23437" name="Imagen 1239823437"/>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612130" cy="3237230"/>
                    </a:xfrm>
                    <a:prstGeom prst="rect">
                      <a:avLst/>
                    </a:prstGeom>
                  </pic:spPr>
                </pic:pic>
              </a:graphicData>
            </a:graphic>
          </wp:inline>
        </w:drawing>
      </w:r>
    </w:p>
    <w:p w14:paraId="5D18917B" w14:textId="77777777" w:rsidR="00EF1D5F" w:rsidRPr="00EC5897" w:rsidRDefault="00EF1D5F" w:rsidP="00F15A4F">
      <w:pPr>
        <w:spacing w:line="480" w:lineRule="auto"/>
        <w:jc w:val="center"/>
        <w:rPr>
          <w:sz w:val="18"/>
        </w:rPr>
      </w:pPr>
      <w:r w:rsidRPr="00EC5897">
        <w:rPr>
          <w:b/>
          <w:bCs/>
          <w:sz w:val="18"/>
          <w:szCs w:val="18"/>
        </w:rPr>
        <w:t>Fuente</w:t>
      </w:r>
      <w:r w:rsidRPr="00EC5897">
        <w:rPr>
          <w:b/>
          <w:bCs/>
          <w:sz w:val="18"/>
        </w:rPr>
        <w:t>:</w:t>
      </w:r>
      <w:r w:rsidRPr="00EC5897">
        <w:rPr>
          <w:sz w:val="18"/>
        </w:rPr>
        <w:t xml:space="preserve"> </w:t>
      </w:r>
      <w:r w:rsidRPr="00EC5897">
        <w:rPr>
          <w:sz w:val="18"/>
          <w:szCs w:val="18"/>
        </w:rPr>
        <w:t>Elaboración Propia SDP, Subsecretaría de Planeación de la Inversión.</w:t>
      </w:r>
    </w:p>
    <w:p w14:paraId="1291FFCA" w14:textId="77777777" w:rsidR="00EF1D5F" w:rsidRDefault="00EF1D5F" w:rsidP="005D5A4A">
      <w:pPr>
        <w:spacing w:line="480" w:lineRule="auto"/>
        <w:rPr>
          <w:rFonts w:ascii="Times New Roman" w:hAnsi="Times New Roman"/>
          <w:sz w:val="24"/>
        </w:rPr>
        <w:sectPr w:rsidR="00EF1D5F" w:rsidSect="00F7078E">
          <w:type w:val="continuous"/>
          <w:pgSz w:w="12240" w:h="15840"/>
          <w:pgMar w:top="2262" w:right="1440" w:bottom="1440" w:left="1440" w:header="708" w:footer="680" w:gutter="0"/>
          <w:cols w:space="720"/>
          <w:docGrid w:linePitch="299"/>
        </w:sectPr>
      </w:pPr>
    </w:p>
    <w:p w14:paraId="060EB5A3" w14:textId="77777777" w:rsidR="00EF1D5F" w:rsidRPr="00B944E8" w:rsidRDefault="00EF1D5F" w:rsidP="00F15A4F">
      <w:r w:rsidRPr="00F15A4F">
        <w:t xml:space="preserve">La implementación de este objetivo estratégico se realizará por medio de tres estrategias: 1) ¡Bogotá se fortalece con un Gobierno abierto, cercano, eficiente, transparente e íntegro!, la cual ayudará a la consolidación de gobierno inteligente, más cercano, capaz de responder a las demandas ciudadanas en tiempo reducido y llegando a toda la ciudad con una oferta integral de servicios de fácil acceso, garantizando la </w:t>
      </w:r>
      <w:r w:rsidRPr="00F15A4F">
        <w:t xml:space="preserve">presencia del Gobierno y su talento humano en el territorio, en diálogo y colaboración con la ciudadanía, la sociedad civil, la academia, el sector privado y la comunidad internacional; 2) ¡Una ciudadanía que participa, incide y transforma!, donde se fortalecerá el modelo distrital de participación para que exista diálogo bidireccional y multiactores, permanente, claro, pertinente y oportuno, que contribuya a la </w:t>
      </w:r>
      <w:r w:rsidRPr="00F15A4F">
        <w:lastRenderedPageBreak/>
        <w:t xml:space="preserve">construcción de soluciones conjuntas para el desarrollo de la ciudad, y 3) ¡Bogotá adopta medidas para mejorar la calidad y eficiencia del gasto público, y así aumentar la confianza de la ciudadanía en su Gobierno!, con la cual se implementará un modelo de evaluación de las principales intervenciones del Gobierno que permitan </w:t>
      </w:r>
      <w:r w:rsidRPr="00F15A4F">
        <w:t>analizar el valor público de lo que las entidades públicas están implementando, en el marco del propósito de fortalecer la confianza en su Gobierno. Se construirá el Sistema de Información Unificado del Distrito, para así orientar los esfuerzos hacia acciones más integrales con mayor eficiencia de recursos y mejores resultados.</w:t>
      </w:r>
    </w:p>
    <w:p w14:paraId="7D5AEC1A" w14:textId="77777777" w:rsidR="00EF1D5F" w:rsidRDefault="00EF1D5F" w:rsidP="005D5A4A">
      <w:pPr>
        <w:spacing w:line="480" w:lineRule="auto"/>
        <w:rPr>
          <w:rFonts w:ascii="Times New Roman" w:hAnsi="Times New Roman"/>
          <w:sz w:val="24"/>
        </w:rPr>
        <w:sectPr w:rsidR="00EF1D5F" w:rsidSect="00F7078E">
          <w:type w:val="continuous"/>
          <w:pgSz w:w="12240" w:h="15840"/>
          <w:pgMar w:top="2262" w:right="1440" w:bottom="1440" w:left="1440" w:header="708" w:footer="680" w:gutter="0"/>
          <w:cols w:num="2" w:space="567"/>
          <w:docGrid w:linePitch="299"/>
        </w:sectPr>
      </w:pPr>
    </w:p>
    <w:p w14:paraId="12E0264A" w14:textId="77777777" w:rsidR="00EC7691" w:rsidRDefault="00EC7691" w:rsidP="00EC7691">
      <w:pPr>
        <w:pStyle w:val="Descripcin"/>
        <w:jc w:val="center"/>
      </w:pPr>
    </w:p>
    <w:p w14:paraId="1319ECBA" w14:textId="10AFE253" w:rsidR="00EF1D5F" w:rsidRPr="00EC7691" w:rsidRDefault="00EC7691" w:rsidP="00EC7691">
      <w:pPr>
        <w:pStyle w:val="Descripcin"/>
        <w:jc w:val="center"/>
        <w:rPr>
          <w:sz w:val="18"/>
        </w:rPr>
      </w:pPr>
      <w:bookmarkStart w:id="420" w:name="_Toc165169992"/>
      <w:r w:rsidRPr="00EC7691">
        <w:rPr>
          <w:color w:val="C00000"/>
          <w:sz w:val="18"/>
        </w:rPr>
        <w:t xml:space="preserve">Figura </w:t>
      </w:r>
      <w:r w:rsidRPr="00EC7691">
        <w:rPr>
          <w:color w:val="C00000"/>
          <w:sz w:val="18"/>
        </w:rPr>
        <w:fldChar w:fldCharType="begin"/>
      </w:r>
      <w:r w:rsidRPr="00EC7691">
        <w:rPr>
          <w:color w:val="C00000"/>
          <w:sz w:val="18"/>
        </w:rPr>
        <w:instrText xml:space="preserve"> SEQ Figura \* ARABIC </w:instrText>
      </w:r>
      <w:r w:rsidRPr="00EC7691">
        <w:rPr>
          <w:color w:val="C00000"/>
          <w:sz w:val="18"/>
        </w:rPr>
        <w:fldChar w:fldCharType="separate"/>
      </w:r>
      <w:r w:rsidR="00D01651">
        <w:rPr>
          <w:noProof/>
          <w:color w:val="C00000"/>
          <w:sz w:val="18"/>
        </w:rPr>
        <w:t>16</w:t>
      </w:r>
      <w:r w:rsidRPr="00EC7691">
        <w:rPr>
          <w:color w:val="C00000"/>
          <w:sz w:val="18"/>
        </w:rPr>
        <w:fldChar w:fldCharType="end"/>
      </w:r>
      <w:r w:rsidRPr="00EC7691">
        <w:rPr>
          <w:color w:val="C00000"/>
          <w:sz w:val="18"/>
        </w:rPr>
        <w:t xml:space="preserve">. </w:t>
      </w:r>
      <w:r w:rsidR="00EF1D5F" w:rsidRPr="00EC7691">
        <w:rPr>
          <w:sz w:val="18"/>
        </w:rPr>
        <w:t>Estructura Objetivo 5</w:t>
      </w:r>
      <w:r>
        <w:rPr>
          <w:sz w:val="18"/>
        </w:rPr>
        <w:t xml:space="preserve">: </w:t>
      </w:r>
      <w:r w:rsidR="00EF1D5F" w:rsidRPr="00EC7691">
        <w:rPr>
          <w:sz w:val="18"/>
        </w:rPr>
        <w:t>Bogotá confía en su Gobierno.</w:t>
      </w:r>
      <w:bookmarkEnd w:id="420"/>
    </w:p>
    <w:p w14:paraId="649B581C" w14:textId="77777777" w:rsidR="00EF1D5F" w:rsidRDefault="00EF1D5F" w:rsidP="00DF2678">
      <w:pPr>
        <w:pStyle w:val="figuratitulo"/>
        <w:rPr>
          <w:color w:val="000000" w:themeColor="text1"/>
        </w:rPr>
      </w:pPr>
    </w:p>
    <w:p w14:paraId="36902162" w14:textId="77777777" w:rsidR="00EF1D5F" w:rsidRPr="00E94B15" w:rsidRDefault="00EF1D5F" w:rsidP="00DF2678">
      <w:pPr>
        <w:spacing w:line="480" w:lineRule="auto"/>
        <w:jc w:val="center"/>
        <w:rPr>
          <w:highlight w:val="white"/>
        </w:rPr>
      </w:pPr>
      <w:r w:rsidRPr="00E94B15">
        <w:rPr>
          <w:noProof/>
          <w:highlight w:val="white"/>
        </w:rPr>
        <w:drawing>
          <wp:inline distT="114300" distB="114300" distL="114300" distR="114300" wp14:anchorId="6D9858E7" wp14:editId="4B5803CC">
            <wp:extent cx="5344386" cy="3749810"/>
            <wp:effectExtent l="0" t="0" r="8890" b="3175"/>
            <wp:docPr id="2133516019" name="image19.png"/>
            <wp:cNvGraphicFramePr/>
            <a:graphic xmlns:a="http://schemas.openxmlformats.org/drawingml/2006/main">
              <a:graphicData uri="http://schemas.openxmlformats.org/drawingml/2006/picture">
                <pic:pic xmlns:pic="http://schemas.openxmlformats.org/drawingml/2006/picture">
                  <pic:nvPicPr>
                    <pic:cNvPr id="2133516019" name="image19.png"/>
                    <pic:cNvPicPr preferRelativeResize="0"/>
                  </pic:nvPicPr>
                  <pic:blipFill>
                    <a:blip r:embed="rId156">
                      <a:extLst>
                        <a:ext uri="{28A0092B-C50C-407E-A947-70E740481C1C}">
                          <a14:useLocalDpi xmlns:a14="http://schemas.microsoft.com/office/drawing/2010/main" val="0"/>
                        </a:ext>
                      </a:extLst>
                    </a:blip>
                    <a:srcRect l="9915" r="9915"/>
                    <a:stretch>
                      <a:fillRect/>
                    </a:stretch>
                  </pic:blipFill>
                  <pic:spPr bwMode="auto">
                    <a:xfrm>
                      <a:off x="0" y="0"/>
                      <a:ext cx="5344386" cy="3749810"/>
                    </a:xfrm>
                    <a:prstGeom prst="rect">
                      <a:avLst/>
                    </a:prstGeom>
                    <a:ln>
                      <a:noFill/>
                    </a:ln>
                    <a:extLst>
                      <a:ext uri="{53640926-AAD7-44D8-BBD7-CCE9431645EC}">
                        <a14:shadowObscured xmlns:a14="http://schemas.microsoft.com/office/drawing/2010/main"/>
                      </a:ext>
                    </a:extLst>
                  </pic:spPr>
                </pic:pic>
              </a:graphicData>
            </a:graphic>
          </wp:inline>
        </w:drawing>
      </w:r>
    </w:p>
    <w:p w14:paraId="525D8611" w14:textId="77777777" w:rsidR="00EF1D5F" w:rsidRPr="00EC5897" w:rsidRDefault="00EF1D5F" w:rsidP="00F23D8D">
      <w:pPr>
        <w:spacing w:line="480" w:lineRule="auto"/>
        <w:jc w:val="center"/>
        <w:rPr>
          <w:sz w:val="18"/>
          <w:szCs w:val="18"/>
        </w:rPr>
      </w:pPr>
      <w:r w:rsidRPr="00EC5897">
        <w:rPr>
          <w:b/>
          <w:bCs/>
          <w:sz w:val="18"/>
          <w:szCs w:val="18"/>
        </w:rPr>
        <w:t>Fuente:</w:t>
      </w:r>
      <w:r w:rsidRPr="00EC5897">
        <w:rPr>
          <w:sz w:val="18"/>
        </w:rPr>
        <w:t xml:space="preserve"> </w:t>
      </w:r>
      <w:r w:rsidRPr="00EC5897">
        <w:rPr>
          <w:sz w:val="18"/>
          <w:szCs w:val="18"/>
        </w:rPr>
        <w:t>Elaboración Propia SDP, Subsecretaría de Planeación de la Inversión.</w:t>
      </w:r>
    </w:p>
    <w:p w14:paraId="68ED0F5E" w14:textId="77777777" w:rsidR="00EF1D5F" w:rsidRDefault="00EF1D5F" w:rsidP="00F23D8D">
      <w:pPr>
        <w:sectPr w:rsidR="00EF1D5F" w:rsidSect="00F7078E">
          <w:type w:val="continuous"/>
          <w:pgSz w:w="12240" w:h="15840"/>
          <w:pgMar w:top="2262" w:right="1440" w:bottom="1440" w:left="1440" w:header="708" w:footer="680" w:gutter="0"/>
          <w:cols w:space="720"/>
          <w:docGrid w:linePitch="299"/>
        </w:sectPr>
      </w:pPr>
    </w:p>
    <w:p w14:paraId="69737724" w14:textId="77777777" w:rsidR="00EF1D5F" w:rsidRPr="00F23D8D" w:rsidRDefault="00EF1D5F" w:rsidP="00F23D8D">
      <w:r w:rsidRPr="00F23D8D">
        <w:t xml:space="preserve">Las estrategias estarán acompañadas de ocho programas, a través de los cuales se impulsará la modernización del sistema distrital de peticiones, quejas, reclamos y soluciones </w:t>
      </w:r>
      <w:r w:rsidRPr="00F23D8D">
        <w:rPr>
          <w:i/>
          <w:iCs/>
        </w:rPr>
        <w:t>“Bogotá te Escucha”,</w:t>
      </w:r>
      <w:r w:rsidRPr="00F23D8D">
        <w:t xml:space="preserve"> no solo a nivel tecnológico, sino con personal que haga presencia a nivel territorial. Como parte del fortalecimiento de la estrategia territorial, también se crearán: centros de atención distrital especializados (CADES) Sociales, como epicentros de servicios ofrecidos por las </w:t>
      </w:r>
      <w:r w:rsidRPr="00F23D8D">
        <w:t xml:space="preserve">diferentes entidades en las localidades; el sistema distrital de rendición de cuentas Bogotá para la Gente, con el cual se abrirán espacios para la construcción colaborativa y el desarrollo de propuestas por parte de la ciudadanía, y el plan </w:t>
      </w:r>
      <w:r w:rsidRPr="00F23D8D">
        <w:rPr>
          <w:i/>
          <w:iCs/>
        </w:rPr>
        <w:t>“Cero Filas”,</w:t>
      </w:r>
      <w:r w:rsidRPr="00F23D8D">
        <w:t xml:space="preserve"> con una atención telefónica activa y la intensificación en el uso de las plataformas virtuales y todo tipo de canales digitales.</w:t>
      </w:r>
    </w:p>
    <w:p w14:paraId="0DAE92CC" w14:textId="77777777" w:rsidR="00EF1D5F" w:rsidRPr="00F23D8D" w:rsidRDefault="00EF1D5F" w:rsidP="00F23D8D"/>
    <w:p w14:paraId="7D42531A" w14:textId="77777777" w:rsidR="00EF1D5F" w:rsidRPr="00F23D8D" w:rsidRDefault="00EF1D5F" w:rsidP="00F23D8D">
      <w:r w:rsidRPr="00F23D8D">
        <w:rPr>
          <w:spacing w:val="-6"/>
        </w:rPr>
        <w:lastRenderedPageBreak/>
        <w:t>Se trabajará por racionalizar trámites y procedimientos fortaleciendo e implementando nuevas ventanillas únicas de atención a la ciudadanía, para que puedan realizar todos los trámites ante entidades distritales en el menor número de interacciones posible. A fin de que esto sea posible, cada entidad contará con una ruta de innovación pública para agilizar, facilitar y mejorar el servicio a la ciudadanía</w:t>
      </w:r>
      <w:r w:rsidRPr="00F23D8D">
        <w:t>.</w:t>
      </w:r>
    </w:p>
    <w:p w14:paraId="747B1915" w14:textId="77777777" w:rsidR="00EF1D5F" w:rsidRPr="00F23D8D" w:rsidRDefault="00EF1D5F" w:rsidP="00F23D8D"/>
    <w:p w14:paraId="317E3896" w14:textId="77777777" w:rsidR="00EF1D5F" w:rsidRPr="00F23D8D" w:rsidRDefault="00EF1D5F" w:rsidP="00F23D8D">
      <w:r w:rsidRPr="00F23D8D">
        <w:t xml:space="preserve">El nuevo modelo de gobernanza democrática estará articulado con acciones que motiven la participación a nivel individual y colectivo, tales como: el fortalecimiento de instancias de la participación ciudadana; el sistema de votación electrónica de elecciones en materia de participación (VOTEC); el fortalecimiento de ParticiLAB, con el cual se promoverá un modelo de retos ciudadanos para ser resueltos de manera </w:t>
      </w:r>
      <w:r w:rsidRPr="00F23D8D">
        <w:t>conjunta; la implementación de procesos pedagógicos para la formación ciudadana en participación, la gobernanza regulatoria por medio de la participación ciudadana en la formulación de las normas, y la práctica exitosa en la ciudad, como las obras con saldo pedagógico.</w:t>
      </w:r>
    </w:p>
    <w:p w14:paraId="524D9301" w14:textId="77777777" w:rsidR="00EF1D5F" w:rsidRPr="00F23D8D" w:rsidRDefault="00EF1D5F" w:rsidP="00F23D8D"/>
    <w:p w14:paraId="050D7644" w14:textId="77777777" w:rsidR="00EF1D5F" w:rsidRDefault="00EF1D5F" w:rsidP="00F23D8D">
      <w:r w:rsidRPr="00F23D8D">
        <w:t>Bogotá, al contar con un Gobierno moderno y facultado para trabajar en conjunto con la ciudadanía que lo eligió, contribuye al logro del ODS 17. Fortalecer los medios de implementación y revitalizar la Alianza Mundial para el Desarrollo Sostenible, en la medida en que involucra a su población en la búsqueda y construcción de soluciones y la toma de decisiones conjuntas, brinda información sobre sus compromisos con el desarrollo de la ciudad y permite que el desarrollo de la ciudad sea principalmente consensuado y colectivo.</w:t>
      </w:r>
    </w:p>
    <w:p w14:paraId="707ECD91" w14:textId="77777777" w:rsidR="00EF1D5F" w:rsidRDefault="00EF1D5F" w:rsidP="00F23D8D">
      <w:pPr>
        <w:sectPr w:rsidR="00EF1D5F" w:rsidSect="00F7078E">
          <w:type w:val="continuous"/>
          <w:pgSz w:w="12240" w:h="15840"/>
          <w:pgMar w:top="2262" w:right="1440" w:bottom="1440" w:left="1440" w:header="708" w:footer="680" w:gutter="0"/>
          <w:cols w:num="2" w:space="567"/>
          <w:docGrid w:linePitch="299"/>
        </w:sectPr>
      </w:pPr>
    </w:p>
    <w:p w14:paraId="4BA11CBA" w14:textId="77777777" w:rsidR="00EF1D5F" w:rsidRPr="00F23D8D" w:rsidRDefault="00EF1D5F" w:rsidP="00F23D8D"/>
    <w:p w14:paraId="7ED7D885" w14:textId="77777777" w:rsidR="00EF1D5F" w:rsidRDefault="00EF1D5F" w:rsidP="00EC7691">
      <w:pPr>
        <w:pStyle w:val="Ttulo3"/>
        <w:rPr>
          <w:lang w:val="es-419"/>
        </w:rPr>
      </w:pPr>
      <w:bookmarkStart w:id="421" w:name="_Toc165169798"/>
      <w:r w:rsidRPr="009D3B72">
        <w:rPr>
          <w:lang w:val="es-419"/>
        </w:rPr>
        <w:t>Estrategias</w:t>
      </w:r>
      <w:bookmarkEnd w:id="421"/>
    </w:p>
    <w:p w14:paraId="399A5510" w14:textId="77777777" w:rsidR="00EF1D5F" w:rsidRPr="00833A18" w:rsidRDefault="00EF1D5F" w:rsidP="00833A18">
      <w:pPr>
        <w:rPr>
          <w:lang w:val="es-419"/>
        </w:rPr>
      </w:pPr>
    </w:p>
    <w:p w14:paraId="70BE0C45" w14:textId="77777777" w:rsidR="00EF1D5F" w:rsidRDefault="00EF1D5F" w:rsidP="005D5A4A">
      <w:pPr>
        <w:pStyle w:val="Ttulo3"/>
        <w:spacing w:line="480" w:lineRule="auto"/>
        <w:ind w:left="0"/>
        <w:rPr>
          <w:rFonts w:ascii="Times New Roman" w:hAnsi="Times New Roman" w:cs="Times New Roman"/>
          <w:iCs/>
          <w:color w:val="auto"/>
        </w:rPr>
        <w:sectPr w:rsidR="00EF1D5F" w:rsidSect="00F7078E">
          <w:type w:val="continuous"/>
          <w:pgSz w:w="12240" w:h="15840"/>
          <w:pgMar w:top="2262" w:right="1440" w:bottom="1440" w:left="1440" w:header="708" w:footer="680" w:gutter="0"/>
          <w:cols w:space="720"/>
          <w:docGrid w:linePitch="299"/>
        </w:sectPr>
      </w:pPr>
    </w:p>
    <w:p w14:paraId="45E99B84" w14:textId="77777777" w:rsidR="00EF1D5F" w:rsidRPr="00EC7691" w:rsidRDefault="00EF1D5F" w:rsidP="00EC7691">
      <w:pPr>
        <w:spacing w:line="240" w:lineRule="auto"/>
        <w:rPr>
          <w:b/>
          <w:bCs/>
          <w:i/>
          <w:sz w:val="28"/>
          <w:szCs w:val="28"/>
        </w:rPr>
      </w:pPr>
      <w:r w:rsidRPr="00EC7691">
        <w:rPr>
          <w:b/>
          <w:bCs/>
          <w:sz w:val="28"/>
          <w:szCs w:val="28"/>
        </w:rPr>
        <w:t>¡Bogotá se fortalece con un Gobierno abierto, cercano, eficiente, transparente e íntegro!</w:t>
      </w:r>
    </w:p>
    <w:p w14:paraId="2DFFF8E3" w14:textId="77777777" w:rsidR="00EF1D5F" w:rsidRDefault="00EF1D5F" w:rsidP="005D5A4A">
      <w:pPr>
        <w:rPr>
          <w:highlight w:val="white"/>
        </w:rPr>
        <w:sectPr w:rsidR="00EF1D5F" w:rsidSect="00F7078E">
          <w:type w:val="continuous"/>
          <w:pgSz w:w="12240" w:h="15840"/>
          <w:pgMar w:top="2262" w:right="1440" w:bottom="1440" w:left="1440" w:header="708" w:footer="680" w:gutter="0"/>
          <w:cols w:space="720"/>
          <w:docGrid w:linePitch="299"/>
        </w:sectPr>
      </w:pPr>
    </w:p>
    <w:p w14:paraId="4FFBDF73" w14:textId="77777777" w:rsidR="00EF1D5F" w:rsidRDefault="00EF1D5F" w:rsidP="00FC6AAF">
      <w:r>
        <w:t xml:space="preserve">Con esa estrategia, la Administración distrital responderá a las dinámicas y a los cambios en la interacción con la ciudadanía garantizando una gestión pública más cercana, caracterizada por esquemas de operación articulados e intercambio de información ofreciendo servicios de manera integral y mediante el aprovechamiento de las herramientas digitales, con presencia del </w:t>
      </w:r>
      <w:r w:rsidRPr="00FC6AAF">
        <w:rPr>
          <w:spacing w:val="-8"/>
        </w:rPr>
        <w:t>Gobierno en el territorio, bajo un marco de transparencia, integridad y corresponsabilidad.</w:t>
      </w:r>
    </w:p>
    <w:p w14:paraId="0CB82775" w14:textId="77777777" w:rsidR="00EF1D5F" w:rsidRDefault="00EF1D5F" w:rsidP="00FC6AAF"/>
    <w:p w14:paraId="0FCE5D78" w14:textId="77777777" w:rsidR="00EF1D5F" w:rsidRDefault="00EF1D5F" w:rsidP="00FC6AAF">
      <w:r>
        <w:t>En Bogotá se garantiza la atención a la ciudadanía de forma presencial o virtual, atendiendo las peticiones, quejas, reclamos y sugerencias que se reciban de forma eficiente con la creación y fortalecimiento de múltiples canales para ello.</w:t>
      </w:r>
    </w:p>
    <w:p w14:paraId="7AE46D47" w14:textId="77777777" w:rsidR="00EF1D5F" w:rsidRDefault="00EF1D5F" w:rsidP="00FC6AAF"/>
    <w:p w14:paraId="28412ED6" w14:textId="77777777" w:rsidR="00EF1D5F" w:rsidRDefault="00EF1D5F" w:rsidP="00FC6AAF">
      <w:r>
        <w:t xml:space="preserve">La ciudad garantiza la coordinación intra e interterritorial mediante la adopción de un Plan Integral Jurídico y Operativo de Gobernanza, </w:t>
      </w:r>
      <w:r>
        <w:t xml:space="preserve">Coordinación e Integración Multinivel (SIGCIM), que mejora la colaboración y la confianza entre las diversas entidades clave, tanto a nivel distrital como con las figuras asociativas y el entorno inmediato de la ciudad, para lograr un desarrollo más armónico y sostenible. </w:t>
      </w:r>
    </w:p>
    <w:p w14:paraId="67AE8CE6" w14:textId="77777777" w:rsidR="00EF1D5F" w:rsidRDefault="00EF1D5F" w:rsidP="00FC6AAF"/>
    <w:p w14:paraId="2E60467F" w14:textId="77777777" w:rsidR="00EF1D5F" w:rsidRDefault="00EF1D5F" w:rsidP="00FC6AAF">
      <w:r>
        <w:t xml:space="preserve">De igual manera, se implementarán programas destinados a fortalecer la gestión integral del talento humano, en la cual se priorizará el bienestar y reconocimiento de servidoras y servidores públicos y colaboradores y colaboradoras. Se enfatizará en el desarrollo de sus competencias digitales para adaptarse a los avances tecnológicos y que permitan fomentar una cultura de innovación para solucionar problemas públicos de la ciudad. Además, se impulsarán programas de formación continua para consolidar un talento humano íntegro, con vocación de servicio público y sentido de pertenencia garantizando </w:t>
      </w:r>
      <w:r>
        <w:lastRenderedPageBreak/>
        <w:t>un desempeño óptimo y una gestión eficaz de los recursos públicos. Todo ello contribuirá al desarrollo de la ciudad y fortalecerá la confianza ciudadana en las instituciones públicas.</w:t>
      </w:r>
    </w:p>
    <w:p w14:paraId="58A0FA80" w14:textId="1DD6E1FE" w:rsidR="00EF1D5F" w:rsidRDefault="00EF1D5F" w:rsidP="005D5A4A">
      <w:pPr>
        <w:rPr>
          <w:highlight w:val="white"/>
        </w:rPr>
        <w:sectPr w:rsidR="00EF1D5F" w:rsidSect="00F7078E">
          <w:type w:val="continuous"/>
          <w:pgSz w:w="12240" w:h="15840"/>
          <w:pgMar w:top="2262" w:right="1440" w:bottom="1440" w:left="1440" w:header="708" w:footer="680" w:gutter="0"/>
          <w:cols w:num="2" w:space="567"/>
          <w:docGrid w:linePitch="299"/>
        </w:sectPr>
      </w:pPr>
      <w:r>
        <w:t xml:space="preserve">En ese contexto se promoverá el uso ético y el aprovechamiento de los datos, la tecnología y la </w:t>
      </w:r>
      <w:r>
        <w:t>innovación para la modernización del Gobierno distrital, de forma que se contribuya al robustecimiento de las relaciones de confianza entre la ciudadanía y las entidades públicas.</w:t>
      </w:r>
    </w:p>
    <w:p w14:paraId="32B6D5C5" w14:textId="77777777" w:rsidR="00EF1D5F" w:rsidRDefault="00EF1D5F" w:rsidP="005D5A4A">
      <w:pPr>
        <w:rPr>
          <w:highlight w:val="white"/>
        </w:rPr>
      </w:pPr>
    </w:p>
    <w:p w14:paraId="79B9FAD9" w14:textId="77777777" w:rsidR="00EF1D5F" w:rsidRPr="00F34766" w:rsidRDefault="00EF1D5F" w:rsidP="00F34766">
      <w:pPr>
        <w:spacing w:line="240" w:lineRule="auto"/>
        <w:rPr>
          <w:b/>
          <w:bCs/>
          <w:i/>
          <w:sz w:val="28"/>
          <w:szCs w:val="28"/>
        </w:rPr>
      </w:pPr>
      <w:r w:rsidRPr="00F34766">
        <w:rPr>
          <w:b/>
          <w:bCs/>
          <w:sz w:val="28"/>
          <w:szCs w:val="28"/>
        </w:rPr>
        <w:t>¡Una ciudadanía que participa, incide y transforma!</w:t>
      </w:r>
    </w:p>
    <w:p w14:paraId="6ED95AEE" w14:textId="77777777" w:rsidR="00EF1D5F" w:rsidRDefault="00EF1D5F" w:rsidP="005D5A4A">
      <w:pPr>
        <w:sectPr w:rsidR="00EF1D5F" w:rsidSect="00F7078E">
          <w:type w:val="continuous"/>
          <w:pgSz w:w="12240" w:h="15840"/>
          <w:pgMar w:top="2262" w:right="1440" w:bottom="1440" w:left="1440" w:header="708" w:footer="680" w:gutter="0"/>
          <w:cols w:space="720"/>
          <w:docGrid w:linePitch="299"/>
        </w:sectPr>
      </w:pPr>
    </w:p>
    <w:p w14:paraId="23823F4B" w14:textId="77777777" w:rsidR="00EF1D5F" w:rsidRDefault="00EF1D5F" w:rsidP="006666B8">
      <w:r>
        <w:t>Bogotá debe caracterizarse por la dedicación y el esfuerzo de sus entidades públicas para fortalecer su relación con la ciudadanía, a través de mejores canales de atención y más cercanos territorialmente.</w:t>
      </w:r>
    </w:p>
    <w:p w14:paraId="56C2EA33" w14:textId="77777777" w:rsidR="00EF1D5F" w:rsidRDefault="00EF1D5F" w:rsidP="006666B8"/>
    <w:p w14:paraId="0E9F8B16" w14:textId="77777777" w:rsidR="00EF1D5F" w:rsidRPr="00DE1FE7" w:rsidRDefault="00EF1D5F" w:rsidP="006666B8">
      <w:pPr>
        <w:rPr>
          <w:spacing w:val="-6"/>
        </w:rPr>
      </w:pPr>
      <w:r w:rsidRPr="00DE1FE7">
        <w:rPr>
          <w:spacing w:val="-6"/>
        </w:rPr>
        <w:t>Para ello, se generarán acciones de innovación a los canales de atención y se generará un nuevo modelo de gobernanza que, desde el diálogo bidireccional, permanente, pertinente y oportuno, impulse la participación y acción ciudadana en los procesos que contribuyen al cumplimiento de las políticas públicas distritales y la construcción conjunta de respuestas a los grandes problemas de la ciudad.</w:t>
      </w:r>
    </w:p>
    <w:p w14:paraId="19A77554" w14:textId="77777777" w:rsidR="00EF1D5F" w:rsidRDefault="00EF1D5F" w:rsidP="006666B8"/>
    <w:p w14:paraId="484CE30B" w14:textId="77777777" w:rsidR="00EF1D5F" w:rsidRDefault="00EF1D5F" w:rsidP="006666B8">
      <w:r>
        <w:t xml:space="preserve">La ciudad requiere seguir fortaleciendo el modelo de participación que reconoce la diferencia y la diversidad como pilares para la consolidación de una democracia deliberativa, con la cual se definirán nuevas formas de trabajo conjuntas y consensuadas en función de avanzar en el desarrollo de la ciudad y las aspiraciones de su población en ella. </w:t>
      </w:r>
    </w:p>
    <w:p w14:paraId="48AEFA6E" w14:textId="77777777" w:rsidR="00EF1D5F" w:rsidRDefault="00EF1D5F" w:rsidP="006666B8"/>
    <w:p w14:paraId="7BCA3B34" w14:textId="77777777" w:rsidR="00EF1D5F" w:rsidRDefault="00EF1D5F" w:rsidP="006666B8">
      <w:r>
        <w:t>Con el modelo de fortalecimiento, las organizaciones sociales, comunales, medios comunitarios y alternativos, organizaciones de propiedad horizontal y las instancias de participación, accederán a distintas herramientas e instrumentos para identificar su estado y capacidad de sostenibilidad e incrementar sus capacidades organizativas a fin de desarrollar acciones que contribuyan a la transformación de su territorio, de una realidad o circunstancia o para incidir en la toma de decisiones públicas.</w:t>
      </w:r>
    </w:p>
    <w:p w14:paraId="184E33A7" w14:textId="77777777" w:rsidR="00EF1D5F" w:rsidRDefault="00EF1D5F" w:rsidP="006666B8"/>
    <w:p w14:paraId="0B204797" w14:textId="77777777" w:rsidR="00EF1D5F" w:rsidRPr="00DE1FE7" w:rsidRDefault="00EF1D5F" w:rsidP="006666B8">
      <w:pPr>
        <w:rPr>
          <w:spacing w:val="-6"/>
        </w:rPr>
      </w:pPr>
      <w:r w:rsidRPr="00DE1FE7">
        <w:rPr>
          <w:spacing w:val="-6"/>
        </w:rPr>
        <w:t>Para hacer tangibles iniciativas de participación incidente, se adelantarán, entre otras, obras menores en espacio público que presenten las Juntas de Acción Comunal (JAC) del Distrito o, en alianza con organizaciones sociales para el mantenimiento, rehabilitación, embellecimiento y reverdecimiento de zonas recreativas, deportivas y barriales, contribuyan a promocionar la participación ciudadana, la apropiación responsable del espacio público y el encuentro</w:t>
      </w:r>
      <w:r w:rsidRPr="00DE1FE7">
        <w:rPr>
          <w:rFonts w:ascii="Arial" w:hAnsi="Arial" w:cs="Arial"/>
          <w:spacing w:val="-6"/>
        </w:rPr>
        <w:t> </w:t>
      </w:r>
      <w:r w:rsidRPr="00DE1FE7">
        <w:rPr>
          <w:spacing w:val="-6"/>
        </w:rPr>
        <w:t>social.</w:t>
      </w:r>
    </w:p>
    <w:p w14:paraId="70672EFD" w14:textId="77777777" w:rsidR="00EF1D5F" w:rsidRDefault="00EF1D5F" w:rsidP="006666B8"/>
    <w:p w14:paraId="41829686" w14:textId="77777777" w:rsidR="00EF1D5F" w:rsidRPr="006666B8" w:rsidRDefault="00EF1D5F" w:rsidP="006666B8">
      <w:pPr>
        <w:rPr>
          <w:spacing w:val="-8"/>
        </w:rPr>
      </w:pPr>
      <w:r w:rsidRPr="006666B8">
        <w:rPr>
          <w:spacing w:val="-8"/>
        </w:rPr>
        <w:t>La mencionada es una estrategia que responde a intereses y necesidades sin distinción; por ello, con programas como cercanía con la ciudadanía y participación ciudadana que incorpore enfoques poblacional, diferencial, de género, derechos humanos y territorial, se buscará el fortalecimiento de los procesos pedagógicos de participación ciudadana en los diversos espacios e instancias liderados por la Secretaría Distrital de Gobierno, el Instituto Distrital de la Participación y acción Comunal (IDPAC) y la Veeduría Distrital, de acuerdo con los lineamientos establecidos en el Sistema Distrital de Participación Ciudadana, el cual involucra a las diferentes instituciones distritales. Con el ánimo de avanzar en la implementación de nuevas estrategias de diálogo con la ciudadanía, se promoverá la lectura, el uso de las redes y canales digitales con las cuales se motive la gestión del conocimiento como elemento esencial para la participación incidente.</w:t>
      </w:r>
    </w:p>
    <w:p w14:paraId="49D55AD6" w14:textId="77777777" w:rsidR="00EF1D5F" w:rsidRDefault="00EF1D5F" w:rsidP="006666B8"/>
    <w:p w14:paraId="190A9A83" w14:textId="77777777" w:rsidR="00EF1D5F" w:rsidRPr="00DE1FE7" w:rsidRDefault="00EF1D5F" w:rsidP="006666B8">
      <w:pPr>
        <w:rPr>
          <w:spacing w:val="-8"/>
        </w:rPr>
      </w:pPr>
      <w:r w:rsidRPr="00DE1FE7">
        <w:rPr>
          <w:spacing w:val="-8"/>
        </w:rPr>
        <w:t xml:space="preserve">Dicha estrategia garantiza un Gobierno local cercano a la ciudadanía en el territorio, con un modelo de gestión que desarrolla acciones para un Gobierno abierto, participativo, transparente y colaborativo, donde, de acuerdo con las necesidades en el territorio y los adecuados procesos de territorialización de la gestión y la inversión distrital, se haga entrega </w:t>
      </w:r>
      <w:r w:rsidRPr="00DE1FE7">
        <w:rPr>
          <w:spacing w:val="-8"/>
        </w:rPr>
        <w:lastRenderedPageBreak/>
        <w:t xml:space="preserve">oportuna de bienes y servicios y se recupere la confianza de la ciudadanía en la gestión de las alcaldías locales en lo cotidiano. </w:t>
      </w:r>
    </w:p>
    <w:p w14:paraId="46D6541A" w14:textId="77777777" w:rsidR="00EF1D5F" w:rsidRDefault="00EF1D5F" w:rsidP="006666B8"/>
    <w:p w14:paraId="27655259" w14:textId="77777777" w:rsidR="00EF1D5F" w:rsidRPr="006666B8" w:rsidRDefault="00EF1D5F" w:rsidP="006666B8">
      <w:pPr>
        <w:rPr>
          <w:spacing w:val="-6"/>
        </w:rPr>
      </w:pPr>
      <w:r w:rsidRPr="006666B8">
        <w:rPr>
          <w:spacing w:val="-6"/>
        </w:rPr>
        <w:t xml:space="preserve">Esto significa que mediante la implementación de nuevos diseños institucionales dentro del catálogo institucional de la democracia deliberativa se materialice la participación informada e incidente. Esto se logrará a través del uso de mecanismos conocidos en su forma más general como </w:t>
      </w:r>
      <w:r w:rsidRPr="006666B8">
        <w:rPr>
          <w:i/>
          <w:iCs/>
          <w:spacing w:val="-6"/>
        </w:rPr>
        <w:t>“minipúblicos”</w:t>
      </w:r>
      <w:r w:rsidRPr="006666B8">
        <w:rPr>
          <w:spacing w:val="-6"/>
        </w:rPr>
        <w:t xml:space="preserve"> o como “asambleas ciudadanas” que garanticen una deliberación de calidad y un diálogo informado. </w:t>
      </w:r>
    </w:p>
    <w:p w14:paraId="7514DF32" w14:textId="77777777" w:rsidR="00EF1D5F" w:rsidRDefault="00EF1D5F" w:rsidP="006666B8"/>
    <w:p w14:paraId="3CC36A37" w14:textId="77777777" w:rsidR="00EF1D5F" w:rsidRDefault="00EF1D5F" w:rsidP="006666B8">
      <w:r>
        <w:t>Con la estrategia se reconoce la importancia de la ciudadanía en la construcción conjunta de soluciones a los retos que impone una ciudad como Bogotá; por eso, a través de la estrategia se hará uso de las diferentes herramientas de innovación pública como el laboratorio ParticiLAB y Golab. Así mismo, se darán las garantías para la participación representativa con el fortalecimiento de Votec como el sistema de apoyo a la democracia de la ciudad.</w:t>
      </w:r>
    </w:p>
    <w:p w14:paraId="2FCE8CEF" w14:textId="77777777" w:rsidR="00EF1D5F" w:rsidRDefault="00EF1D5F" w:rsidP="006666B8"/>
    <w:p w14:paraId="22017535" w14:textId="77777777" w:rsidR="00EF1D5F" w:rsidRDefault="00EF1D5F" w:rsidP="006666B8">
      <w:r>
        <w:t xml:space="preserve">Para avanzar en la implementación de nuevas estrategias de formación en capacidades democráticas y diálogo con la ciudadanía a través del uso de redes y canales digitales con las cuales se motive la gestión del conocimiento como elemento esencial para la participación incidente, se buscará el fortalecimiento de los procesos pedagógicos de participación ciudadana en los diversos espacios e instancias, liderado ello por el Instituto Distrital de la Participación y Acción Comunal (IDPAC) y la Veeduría Distrital, de acuerdo con los lineamientos establecidos en el Sistema Distrital de Participación Ciudadana, el cual involucra a las diferentes instituciones distritales. </w:t>
      </w:r>
    </w:p>
    <w:p w14:paraId="2CFA3790" w14:textId="77777777" w:rsidR="00EF1D5F" w:rsidRDefault="00EF1D5F" w:rsidP="006666B8"/>
    <w:p w14:paraId="163269D4" w14:textId="77777777" w:rsidR="00EF1D5F" w:rsidRPr="006666B8" w:rsidRDefault="00EF1D5F" w:rsidP="006666B8">
      <w:pPr>
        <w:rPr>
          <w:spacing w:val="-8"/>
        </w:rPr>
      </w:pPr>
      <w:r w:rsidRPr="006666B8">
        <w:rPr>
          <w:spacing w:val="-8"/>
        </w:rPr>
        <w:t>Se incentivará la participación de las organizaciones sociales, comunales de primer, segundo y tercer grado, medios comunitarios e instancias de participación, a través de la articulación de acciones técnicas, financieras y políticas con las organizaciones de la sociedad civil (OSC), organismos internacionales, fondos de desarrollo local y entidades distritales y nacionales.</w:t>
      </w:r>
    </w:p>
    <w:p w14:paraId="2712ADAD" w14:textId="77777777" w:rsidR="00EF1D5F" w:rsidRDefault="00EF1D5F" w:rsidP="006666B8">
      <w:pPr>
        <w:sectPr w:rsidR="00EF1D5F" w:rsidSect="00F7078E">
          <w:type w:val="continuous"/>
          <w:pgSz w:w="12240" w:h="15840"/>
          <w:pgMar w:top="2262" w:right="1440" w:bottom="1440" w:left="1440" w:header="708" w:footer="680" w:gutter="0"/>
          <w:cols w:num="2" w:space="567"/>
          <w:docGrid w:linePitch="299"/>
        </w:sectPr>
      </w:pPr>
    </w:p>
    <w:p w14:paraId="129DA084" w14:textId="77777777" w:rsidR="00EF1D5F" w:rsidRPr="00B944E8" w:rsidRDefault="00EF1D5F" w:rsidP="006666B8"/>
    <w:p w14:paraId="44239330" w14:textId="77777777" w:rsidR="00EF1D5F" w:rsidRDefault="00EF1D5F" w:rsidP="005D5A4A">
      <w:pPr>
        <w:sectPr w:rsidR="00EF1D5F" w:rsidSect="00F7078E">
          <w:type w:val="continuous"/>
          <w:pgSz w:w="12240" w:h="15840"/>
          <w:pgMar w:top="2262" w:right="1440" w:bottom="1440" w:left="1440" w:header="708" w:footer="680" w:gutter="0"/>
          <w:cols w:num="2" w:space="720"/>
          <w:docGrid w:linePitch="299"/>
        </w:sectPr>
      </w:pPr>
    </w:p>
    <w:p w14:paraId="23D26ADC" w14:textId="77777777" w:rsidR="00EF1D5F" w:rsidRPr="00B944E8" w:rsidRDefault="00EF1D5F" w:rsidP="005D5A4A"/>
    <w:p w14:paraId="5A5A4C44" w14:textId="77777777" w:rsidR="00EF1D5F" w:rsidRDefault="00EF1D5F" w:rsidP="00CB6AEC">
      <w:pPr>
        <w:pStyle w:val="Prrafodelista"/>
        <w:numPr>
          <w:ilvl w:val="1"/>
          <w:numId w:val="31"/>
        </w:numPr>
        <w:spacing w:line="240" w:lineRule="auto"/>
        <w:ind w:left="480"/>
        <w:rPr>
          <w:b/>
          <w:bCs/>
          <w:sz w:val="28"/>
          <w:szCs w:val="28"/>
        </w:rPr>
        <w:sectPr w:rsidR="00EF1D5F" w:rsidSect="00F7078E">
          <w:type w:val="continuous"/>
          <w:pgSz w:w="12240" w:h="15840"/>
          <w:pgMar w:top="2262" w:right="1440" w:bottom="1440" w:left="1440" w:header="708" w:footer="680" w:gutter="0"/>
          <w:cols w:num="2" w:space="720"/>
          <w:docGrid w:linePitch="299"/>
        </w:sectPr>
      </w:pPr>
    </w:p>
    <w:p w14:paraId="552CBE71" w14:textId="77777777" w:rsidR="00EF1D5F" w:rsidRPr="00F34766" w:rsidRDefault="00EF1D5F" w:rsidP="00F34766">
      <w:pPr>
        <w:spacing w:line="240" w:lineRule="auto"/>
        <w:rPr>
          <w:b/>
          <w:bCs/>
          <w:i/>
          <w:sz w:val="28"/>
          <w:szCs w:val="28"/>
        </w:rPr>
      </w:pPr>
      <w:r w:rsidRPr="00F34766">
        <w:rPr>
          <w:b/>
          <w:bCs/>
          <w:sz w:val="28"/>
          <w:szCs w:val="28"/>
        </w:rPr>
        <w:t>¡Bogotá adopta medidas para mejorar la calidad y eficiencia del gasto público, y así aumentar la confianza de la ciudadanía en su Gobierno!</w:t>
      </w:r>
    </w:p>
    <w:p w14:paraId="3092EAEA" w14:textId="77777777" w:rsidR="00EF1D5F" w:rsidRDefault="00EF1D5F" w:rsidP="005D5A4A">
      <w:pPr>
        <w:sectPr w:rsidR="00EF1D5F" w:rsidSect="00F7078E">
          <w:type w:val="continuous"/>
          <w:pgSz w:w="12240" w:h="15840"/>
          <w:pgMar w:top="2262" w:right="1440" w:bottom="1440" w:left="1440" w:header="708" w:footer="680" w:gutter="0"/>
          <w:cols w:space="720"/>
          <w:docGrid w:linePitch="299"/>
        </w:sectPr>
      </w:pPr>
    </w:p>
    <w:p w14:paraId="0F4AE223" w14:textId="77777777" w:rsidR="00EF1D5F" w:rsidRDefault="00EF1D5F" w:rsidP="004452C7">
      <w:r>
        <w:t xml:space="preserve">La Administración distrital, en cabeza de la Secretaría de Hacienda y la Secretaría Distrital de Planeación, han venido implementando criterios y herramientas para mejorar la calidad del gasto público, con el objetivo de garantizar una gestión más estratégica, que le permita a la ciudad avanzar hacia una mayor coherencia entre las inversiones realizadas y los productos obtenidos. </w:t>
      </w:r>
    </w:p>
    <w:p w14:paraId="46D204FF" w14:textId="77777777" w:rsidR="00EF1D5F" w:rsidRDefault="00EF1D5F" w:rsidP="004452C7"/>
    <w:p w14:paraId="021691E4" w14:textId="77777777" w:rsidR="00EF1D5F" w:rsidRPr="00EE543C" w:rsidRDefault="00EF1D5F" w:rsidP="004452C7">
      <w:pPr>
        <w:rPr>
          <w:spacing w:val="-4"/>
        </w:rPr>
      </w:pPr>
      <w:r w:rsidRPr="00EE543C">
        <w:rPr>
          <w:spacing w:val="-4"/>
        </w:rPr>
        <w:t xml:space="preserve">Se trata de implementar un conjunto de funciones y herramientas que le permitan a la Administración aproximarse al proceso de presupuestación centrada en el logro, el rendimiento y el impacto efectivo en la población, buscando contrarrestar la inercia presupuestal, en la que los presupuestos sufren cambios mínimos durante el tiempo, pues son determinados por su versión precedente. Con </w:t>
      </w:r>
      <w:r w:rsidRPr="00EE543C">
        <w:rPr>
          <w:spacing w:val="-4"/>
        </w:rPr>
        <w:t xml:space="preserve">este propósito, se dará aplicación a herramientas de calidad del gasto público, como Productos, Metas y Resultados (PMR), evaluaciones de gasto, el Marco de Gasto de Mediano Plazo y los trazadores presupuestales. </w:t>
      </w:r>
    </w:p>
    <w:p w14:paraId="36E796D8" w14:textId="77777777" w:rsidR="00EF1D5F" w:rsidRDefault="00EF1D5F" w:rsidP="004452C7"/>
    <w:p w14:paraId="6D92AD17" w14:textId="77777777" w:rsidR="00EF1D5F" w:rsidRDefault="00EF1D5F" w:rsidP="004452C7">
      <w:r>
        <w:t xml:space="preserve">Aumentar la calidad del gasto implica mejorar la articulación entre las entidades previniendo retrasos y sobrecostos, mejorando la capacidad de reacción ante los imprevistos sociales, económicos, ambientales, culturales y territoriales propios de una ciudad como Bogotá y reconociendo la capacidad real de ejecución de las entidades distritales para implementar estrategias que permitan incrementarla. Adicionalmente, supone la necesidad de hacer seguimiento y evaluación a las políticas, planes, programas y proyectos que hace la Administración distrital, </w:t>
      </w:r>
      <w:r>
        <w:lastRenderedPageBreak/>
        <w:t xml:space="preserve">con miras a tomar decisiones basadas en evidencia, razón por la cual la presente estrategia introduce una cultura de seguimiento y evaluación que permita retroalimentar el accionar de las entidades y garantizar una mejor asignación del presupuesto público. </w:t>
      </w:r>
    </w:p>
    <w:p w14:paraId="462C9BCC" w14:textId="77777777" w:rsidR="00EF1D5F" w:rsidRDefault="00EF1D5F" w:rsidP="004452C7">
      <w:r>
        <w:t xml:space="preserve">Para lograr mayor eficiencia se utilizarán instrumentos de agregación de demanda o negociaciones unificadas con proveedores, para mejorar las condiciones de adquisición, eliminar costos de intermediación y brindar celeridad a los procesos de contratación. En paralelo, se incentivará el uso de vigencias futuras como herramienta para la contratación de procesos que </w:t>
      </w:r>
      <w:r>
        <w:t>trascienden una vigencia, con el propósito de optimizar los espacios presupuestales de los diferentes sectores.</w:t>
      </w:r>
    </w:p>
    <w:p w14:paraId="7B3D9DF9" w14:textId="04395B7D" w:rsidR="00EF1D5F" w:rsidRDefault="00EF1D5F" w:rsidP="004452C7">
      <w:pPr>
        <w:sectPr w:rsidR="00EF1D5F" w:rsidSect="00F7078E">
          <w:type w:val="continuous"/>
          <w:pgSz w:w="12240" w:h="15840"/>
          <w:pgMar w:top="2262" w:right="1440" w:bottom="1440" w:left="1440" w:header="708" w:footer="680" w:gutter="0"/>
          <w:cols w:num="2" w:space="567"/>
          <w:docGrid w:linePitch="299"/>
        </w:sectPr>
      </w:pPr>
      <w:r>
        <w:t>En el marco de tal estrategia, Bogotá busca que sus ciudadanos puedan ver el impacto de las inversiones que se hacen con los recursos que ellos aportan a través de sus impuestos, por lo que se fortalecerá, además, el proceso de rendición de cuentas sobre la destinación de los recursos públicos, lo cual debe redundar en menores niveles de evasión y en la recuperación de la confianza de los ciudadanos en la Administración.</w:t>
      </w:r>
    </w:p>
    <w:p w14:paraId="05E26294" w14:textId="006B4A2E" w:rsidR="00EF1D5F" w:rsidRPr="00B944E8" w:rsidRDefault="00EF1D5F" w:rsidP="004452C7"/>
    <w:p w14:paraId="1869DB12" w14:textId="69F515E5" w:rsidR="00EF1D5F" w:rsidRPr="004F164E" w:rsidRDefault="00582DDF" w:rsidP="00F34766">
      <w:pPr>
        <w:pStyle w:val="Descripcin"/>
        <w:jc w:val="center"/>
        <w:rPr>
          <w:sz w:val="18"/>
          <w:szCs w:val="14"/>
        </w:rPr>
      </w:pPr>
      <w:bookmarkStart w:id="422" w:name="_Toc165169993"/>
      <w:r w:rsidRPr="004F164E">
        <w:rPr>
          <w:noProof/>
          <w:color w:val="000000" w:themeColor="text1"/>
          <w:sz w:val="18"/>
          <w:szCs w:val="14"/>
        </w:rPr>
        <w:lastRenderedPageBreak/>
        <w:drawing>
          <wp:anchor distT="0" distB="0" distL="114300" distR="114300" simplePos="0" relativeHeight="251883520" behindDoc="0" locked="0" layoutInCell="1" allowOverlap="1" wp14:anchorId="2791FE0D" wp14:editId="2C80881C">
            <wp:simplePos x="0" y="0"/>
            <wp:positionH relativeFrom="margin">
              <wp:align>left</wp:align>
            </wp:positionH>
            <wp:positionV relativeFrom="paragraph">
              <wp:posOffset>322776</wp:posOffset>
            </wp:positionV>
            <wp:extent cx="5760000" cy="5112200"/>
            <wp:effectExtent l="0" t="0" r="0" b="0"/>
            <wp:wrapTopAndBottom/>
            <wp:docPr id="5831458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45814" name="Imagen 583145814"/>
                    <pic:cNvPicPr/>
                  </pic:nvPicPr>
                  <pic:blipFill rotWithShape="1">
                    <a:blip r:embed="rId157">
                      <a:extLst>
                        <a:ext uri="{28A0092B-C50C-407E-A947-70E740481C1C}">
                          <a14:useLocalDpi xmlns:a14="http://schemas.microsoft.com/office/drawing/2010/main" val="0"/>
                        </a:ext>
                      </a:extLst>
                    </a:blip>
                    <a:srcRect l="2037" t="1259" r="1425" b="32522"/>
                    <a:stretch/>
                  </pic:blipFill>
                  <pic:spPr bwMode="auto">
                    <a:xfrm>
                      <a:off x="0" y="0"/>
                      <a:ext cx="5760000" cy="511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4766" w:rsidRPr="004F164E">
        <w:rPr>
          <w:color w:val="C00000"/>
          <w:sz w:val="18"/>
          <w:szCs w:val="14"/>
        </w:rPr>
        <w:t xml:space="preserve">Figura </w:t>
      </w:r>
      <w:r w:rsidR="00F34766" w:rsidRPr="004F164E">
        <w:rPr>
          <w:color w:val="C00000"/>
          <w:sz w:val="18"/>
          <w:szCs w:val="14"/>
        </w:rPr>
        <w:fldChar w:fldCharType="begin"/>
      </w:r>
      <w:r w:rsidR="00F34766" w:rsidRPr="004F164E">
        <w:rPr>
          <w:color w:val="C00000"/>
          <w:sz w:val="18"/>
          <w:szCs w:val="14"/>
        </w:rPr>
        <w:instrText xml:space="preserve"> SEQ Figura \* ARABIC </w:instrText>
      </w:r>
      <w:r w:rsidR="00F34766" w:rsidRPr="004F164E">
        <w:rPr>
          <w:color w:val="C00000"/>
          <w:sz w:val="18"/>
          <w:szCs w:val="14"/>
        </w:rPr>
        <w:fldChar w:fldCharType="separate"/>
      </w:r>
      <w:r w:rsidR="00D01651">
        <w:rPr>
          <w:noProof/>
          <w:color w:val="C00000"/>
          <w:sz w:val="18"/>
          <w:szCs w:val="14"/>
        </w:rPr>
        <w:t>17</w:t>
      </w:r>
      <w:r w:rsidR="00F34766" w:rsidRPr="004F164E">
        <w:rPr>
          <w:color w:val="C00000"/>
          <w:sz w:val="18"/>
          <w:szCs w:val="14"/>
        </w:rPr>
        <w:fldChar w:fldCharType="end"/>
      </w:r>
      <w:r w:rsidR="00F34766" w:rsidRPr="004F164E">
        <w:rPr>
          <w:color w:val="C00000"/>
          <w:sz w:val="18"/>
          <w:szCs w:val="14"/>
        </w:rPr>
        <w:t>.</w:t>
      </w:r>
      <w:r w:rsidR="00EF1D5F" w:rsidRPr="004F164E">
        <w:rPr>
          <w:color w:val="C00000"/>
          <w:sz w:val="18"/>
          <w:szCs w:val="14"/>
        </w:rPr>
        <w:t xml:space="preserve"> </w:t>
      </w:r>
      <w:r w:rsidR="00EF1D5F" w:rsidRPr="004F164E">
        <w:rPr>
          <w:sz w:val="18"/>
          <w:szCs w:val="14"/>
        </w:rPr>
        <w:t xml:space="preserve">Metas </w:t>
      </w:r>
      <w:r w:rsidR="00F34766" w:rsidRPr="004F164E">
        <w:rPr>
          <w:sz w:val="18"/>
          <w:szCs w:val="14"/>
        </w:rPr>
        <w:t>E</w:t>
      </w:r>
      <w:r w:rsidR="00EF1D5F" w:rsidRPr="004F164E">
        <w:rPr>
          <w:sz w:val="18"/>
          <w:szCs w:val="14"/>
        </w:rPr>
        <w:t xml:space="preserve">stratégicas </w:t>
      </w:r>
      <w:r w:rsidR="00F34766" w:rsidRPr="004F164E">
        <w:rPr>
          <w:sz w:val="18"/>
          <w:szCs w:val="14"/>
        </w:rPr>
        <w:t>O</w:t>
      </w:r>
      <w:r w:rsidR="00EF1D5F" w:rsidRPr="004F164E">
        <w:rPr>
          <w:sz w:val="18"/>
          <w:szCs w:val="14"/>
        </w:rPr>
        <w:t>bjetivo 5</w:t>
      </w:r>
      <w:bookmarkEnd w:id="422"/>
      <w:r w:rsidR="00EF1D5F" w:rsidRPr="004F164E">
        <w:rPr>
          <w:sz w:val="18"/>
          <w:szCs w:val="14"/>
        </w:rPr>
        <w:t xml:space="preserve"> </w:t>
      </w:r>
    </w:p>
    <w:p w14:paraId="3005FD8F" w14:textId="77A8E90E" w:rsidR="00EF1D5F" w:rsidRPr="00EC5897" w:rsidRDefault="00EF1D5F" w:rsidP="00EC5897">
      <w:pPr>
        <w:spacing w:line="480" w:lineRule="auto"/>
        <w:jc w:val="center"/>
        <w:rPr>
          <w:sz w:val="18"/>
        </w:rPr>
      </w:pPr>
    </w:p>
    <w:p w14:paraId="30E8BAFA" w14:textId="77777777" w:rsidR="00EF1D5F" w:rsidRDefault="00EF1D5F" w:rsidP="004F164E">
      <w:pPr>
        <w:pStyle w:val="Ttulo3"/>
        <w:rPr>
          <w:lang w:val="es-419"/>
        </w:rPr>
      </w:pPr>
      <w:bookmarkStart w:id="423" w:name="_Toc165169799"/>
      <w:r w:rsidRPr="00BD3B65">
        <w:rPr>
          <w:lang w:val="es-419"/>
        </w:rPr>
        <w:t>Programas</w:t>
      </w:r>
      <w:bookmarkEnd w:id="423"/>
    </w:p>
    <w:p w14:paraId="6B59CECD" w14:textId="77777777" w:rsidR="00EF1D5F" w:rsidRPr="00A708C9" w:rsidRDefault="00EF1D5F" w:rsidP="00A708C9">
      <w:pPr>
        <w:pStyle w:val="Prrafodelista"/>
        <w:ind w:left="480"/>
      </w:pPr>
    </w:p>
    <w:p w14:paraId="6F5F8156" w14:textId="5B8804BF" w:rsidR="00EF1D5F" w:rsidRPr="00167127" w:rsidRDefault="00EF1D5F" w:rsidP="004F164E">
      <w:pPr>
        <w:pStyle w:val="NIVEL4"/>
        <w:jc w:val="left"/>
      </w:pPr>
      <w:bookmarkStart w:id="424" w:name="_Toc165169800"/>
      <w:r w:rsidRPr="00B76985">
        <w:rPr>
          <w:color w:val="C00000"/>
        </w:rPr>
        <w:t>Programa 32</w:t>
      </w:r>
      <w:r w:rsidR="004F164E">
        <w:rPr>
          <w:color w:val="C00000"/>
        </w:rPr>
        <w:t xml:space="preserve">: </w:t>
      </w:r>
      <w:r w:rsidRPr="004C11C3">
        <w:t>Gobierno abierto, íntegro, transparente y corresponsable</w:t>
      </w:r>
      <w:bookmarkEnd w:id="424"/>
    </w:p>
    <w:p w14:paraId="3DF1AB9D" w14:textId="77777777" w:rsidR="00EF1D5F" w:rsidRPr="00B944E8" w:rsidRDefault="00EF1D5F" w:rsidP="004F164E">
      <w:pPr>
        <w:rPr>
          <w:rFonts w:ascii="Times New Roman" w:hAnsi="Times New Roman"/>
          <w:sz w:val="24"/>
        </w:rPr>
      </w:pPr>
    </w:p>
    <w:p w14:paraId="7B518B1C" w14:textId="0C2AE74F" w:rsidR="00EF1D5F" w:rsidRPr="00CE1CEF" w:rsidRDefault="00EF1D5F" w:rsidP="00CE1CEF">
      <w:pPr>
        <w:ind w:firstLine="708"/>
        <w:rPr>
          <w:b/>
          <w:sz w:val="24"/>
        </w:rPr>
        <w:sectPr w:rsidR="00EF1D5F" w:rsidRPr="00CE1CEF" w:rsidSect="00F7078E">
          <w:type w:val="continuous"/>
          <w:pgSz w:w="12240" w:h="15840"/>
          <w:pgMar w:top="2262" w:right="1440" w:bottom="1440" w:left="1440" w:header="708" w:footer="680" w:gutter="0"/>
          <w:cols w:space="720"/>
          <w:docGrid w:linePitch="299"/>
        </w:sectPr>
      </w:pPr>
      <w:r w:rsidRPr="00CE1CEF">
        <w:rPr>
          <w:b/>
          <w:sz w:val="24"/>
        </w:rPr>
        <w:t>Diagnóstico</w:t>
      </w:r>
    </w:p>
    <w:p w14:paraId="0252B2A7" w14:textId="77777777" w:rsidR="00EF1D5F" w:rsidRDefault="00EF1D5F" w:rsidP="004453EC">
      <w:r w:rsidRPr="00B944E8">
        <w:t xml:space="preserve">Si </w:t>
      </w:r>
      <w:r>
        <w:t xml:space="preserve">El mundo, Colombia y Bogotá han avanzado a lo largo de las últimas décadas en la definición de estándares, normas y políticas públicas, orientadas a promover la transparencia, la integridad, la lucha contra la corrupción y el Gobierno abierto. Ejemplos de ello son: las </w:t>
      </w:r>
      <w:r>
        <w:t xml:space="preserve">convenciones anticorrupción; las recomendaciones de la Organización para la Cooperación y el Desarrollo Económico (OCDE) de gobernanza e integridad; las leyes nacionales de transparencia, anticorrupción y de participación ciudadana; la incorporación de Bogotá a la Alianza de </w:t>
      </w:r>
      <w:r>
        <w:lastRenderedPageBreak/>
        <w:t>Gobierno Abierto, y la adopción de la política pública distrital de Transparencia, Integridad y cero Tolerancia contra la Corrupción.</w:t>
      </w:r>
    </w:p>
    <w:p w14:paraId="399C5F59" w14:textId="77777777" w:rsidR="00EF1D5F" w:rsidRDefault="00EF1D5F" w:rsidP="004453EC"/>
    <w:p w14:paraId="3F02B965" w14:textId="77777777" w:rsidR="00EF1D5F" w:rsidRPr="00C5626B" w:rsidRDefault="00EF1D5F" w:rsidP="004453EC">
      <w:pPr>
        <w:rPr>
          <w:spacing w:val="-6"/>
        </w:rPr>
      </w:pPr>
      <w:r w:rsidRPr="00C5626B">
        <w:rPr>
          <w:spacing w:val="-6"/>
        </w:rPr>
        <w:t xml:space="preserve">A pesar de los mandatos y recomendaciones, diversos estudios y encuestas indican que las normas y los sistemas de control y denuncia son necesarios, pero no suficientes por sí solos. </w:t>
      </w:r>
    </w:p>
    <w:p w14:paraId="668F1CEC" w14:textId="77777777" w:rsidR="00EF1D5F" w:rsidRDefault="00EF1D5F" w:rsidP="004453EC"/>
    <w:p w14:paraId="1B5583A5" w14:textId="00783072" w:rsidR="00EF1D5F" w:rsidRPr="00C5626B" w:rsidRDefault="00EF1D5F" w:rsidP="004453EC">
      <w:pPr>
        <w:rPr>
          <w:spacing w:val="-6"/>
        </w:rPr>
      </w:pPr>
      <w:r w:rsidRPr="00C5626B">
        <w:rPr>
          <w:spacing w:val="-6"/>
        </w:rPr>
        <w:t>Por ejemplo, la Encuesta de Percepción Ciudadana de Bogotá Cómo Vamos indica que el 35,8</w:t>
      </w:r>
      <w:r w:rsidRPr="00C5626B">
        <w:rPr>
          <w:rFonts w:ascii="Arial" w:hAnsi="Arial" w:cs="Arial"/>
          <w:spacing w:val="-6"/>
        </w:rPr>
        <w:t> </w:t>
      </w:r>
      <w:r w:rsidRPr="00C5626B">
        <w:rPr>
          <w:spacing w:val="-6"/>
        </w:rPr>
        <w:t>% de las personas consultadas considera que la percepción de corrupción en la ciudad ha aumentado. En el mismo sentido, el Observatorio y Gestión del Conocimiento Cultural del Distrito tiene estudios que demuestran que 9 de cada 10 personas en Bogotá consideran que más de la mitad de las y los servidores públicos son corruptos. Lo mismo se evidencia en la percepción de confianza, pues de acuerdo con este mismo observatorio, 8 de cada 10 personas confían poco o nada en la Alcaldía Mayor y en sus instituciones.</w:t>
      </w:r>
    </w:p>
    <w:p w14:paraId="3AA818B9" w14:textId="77777777" w:rsidR="00EF1D5F" w:rsidRDefault="00EF1D5F" w:rsidP="004453EC"/>
    <w:p w14:paraId="5DC94B7E" w14:textId="77777777" w:rsidR="00EF1D5F" w:rsidRDefault="00EF1D5F" w:rsidP="004453EC">
      <w:r>
        <w:t>Lo anterior es una invitación a analizar el estado de las capacidades dentro de las organizaciones, donde se evidencian oportunidades de mejora. El Índice de Desempeño Institucional (IDI), adelantado por el Departamento Administrativo de la Función Pública, y que mide las 19 políticas que componen el Modelo Integrado de Planeación y Gestión (MiPg), señala para la Política de Integridad, en la medición 2022, un resultado agregado para la Alcaldía Mayor de 76,9. Por su parte, el Índice de Gobierno Abierto de Bogotá, que realiza la Secretaría General, indica un promedio de 67 puntos para las entidades del Distrito en 2023.</w:t>
      </w:r>
    </w:p>
    <w:p w14:paraId="0E621C42" w14:textId="77777777" w:rsidR="00EF1D5F" w:rsidRDefault="00EF1D5F" w:rsidP="004453EC"/>
    <w:p w14:paraId="64E2D0A3" w14:textId="77777777" w:rsidR="00EF1D5F" w:rsidRDefault="00EF1D5F" w:rsidP="004453EC">
      <w:r>
        <w:t xml:space="preserve">El Índice de Transparencia de Bogotá (ITB), realizado por la Corporación Transparencia por </w:t>
      </w:r>
      <w:r>
        <w:t>Colombia, en alianza con la Veeduría Distrital y USAID, se compone del análisis de 3 factores: Visibilidad, que analiza los riesgos asociados a la opacidad en la información, las restricciones para el acceso a la información pública y el bajo cumplimiento del principio de Transparencia Activa; Institucionalidad, que evalúa los riesgos generados por las conductas irregulares, las deficiencias en los procesos y procedimientos en la gestión institucional y por la discrecionalidad en la toma de decisiones, y Control y Sanción, que hace énfasis en los riesgos relacionados con la baja cultura de autorregulación, la baja disposición al control externo y los escasos mecanismos de sanción por hechos de corrupción. En el periodo 2022-2023 se obtuvo un promedio de calificación del ITB de 78,0. Específicamente, la calificación para cada factor fue: Visibilidad: 84,7; Institucionalidad: 73,6, y Control y Sanción: 77,3.</w:t>
      </w:r>
    </w:p>
    <w:p w14:paraId="6C6AF40C" w14:textId="77777777" w:rsidR="00EF1D5F" w:rsidRDefault="00EF1D5F" w:rsidP="004453EC"/>
    <w:p w14:paraId="5E2173B5" w14:textId="50FEA01B" w:rsidR="00EF1D5F" w:rsidRDefault="00EF1D5F" w:rsidP="004453EC">
      <w:r>
        <w:t xml:space="preserve">Para combatir estos flagelos y, por ende, la percepción que </w:t>
      </w:r>
      <w:r w:rsidR="00CE1CEF">
        <w:t>generan</w:t>
      </w:r>
      <w:r>
        <w:t xml:space="preserve"> es fundamental la participación de la ciudadanía; en especial, a través de la denuncia. Sin embargo, y teniendo presente los resultados de la Encuesta sobre Ambiente y Desempeño Institucional Departamental (EDID), del Departamento Administrativo Nacional de Estadística (DANE) para la vigencia de 2023, se evidencia que el 50 % de las y los servidores públicos vinculados en entidades nacionales o en las alcaldías de las ciudades capitales encuentran alguna razón por la cual no denuncian un caso de corrupción, como por ejemplo: temor a ser objeto de represalias laborales o contra su integridad o su vida, la ausencia de mecanismos que garanticen su protección, considerar que los casos no son investigados ni castigados, o que los trámites son complicados.</w:t>
      </w:r>
    </w:p>
    <w:p w14:paraId="4460D0A1" w14:textId="77777777" w:rsidR="00EF1D5F" w:rsidRDefault="00EF1D5F" w:rsidP="00A708C9">
      <w:pPr>
        <w:sectPr w:rsidR="00EF1D5F" w:rsidSect="00F7078E">
          <w:type w:val="continuous"/>
          <w:pgSz w:w="12240" w:h="15840"/>
          <w:pgMar w:top="2262" w:right="1440" w:bottom="1440" w:left="1440" w:header="708" w:footer="680" w:gutter="0"/>
          <w:cols w:num="2" w:space="567"/>
          <w:docGrid w:linePitch="299"/>
        </w:sectPr>
      </w:pPr>
    </w:p>
    <w:p w14:paraId="51307D37" w14:textId="77777777" w:rsidR="00EF1D5F" w:rsidRDefault="00EF1D5F" w:rsidP="00A708C9"/>
    <w:p w14:paraId="4C4080D2" w14:textId="45EF8E1F" w:rsidR="00EF1D5F" w:rsidRPr="00EA7605" w:rsidRDefault="00EA7605" w:rsidP="00EA7605">
      <w:pPr>
        <w:pStyle w:val="Descripcin"/>
        <w:jc w:val="center"/>
        <w:rPr>
          <w:bCs/>
          <w:sz w:val="18"/>
        </w:rPr>
      </w:pPr>
      <w:bookmarkStart w:id="425" w:name="_Toc165169876"/>
      <w:r w:rsidRPr="00EA7605">
        <w:rPr>
          <w:color w:val="C00000"/>
          <w:sz w:val="18"/>
        </w:rPr>
        <w:t xml:space="preserve">Gráfica </w:t>
      </w:r>
      <w:r w:rsidRPr="00EA7605">
        <w:rPr>
          <w:color w:val="C00000"/>
          <w:sz w:val="18"/>
        </w:rPr>
        <w:fldChar w:fldCharType="begin"/>
      </w:r>
      <w:r w:rsidRPr="00EA7605">
        <w:rPr>
          <w:color w:val="C00000"/>
          <w:sz w:val="18"/>
        </w:rPr>
        <w:instrText xml:space="preserve"> SEQ Gráfica \* ARABIC </w:instrText>
      </w:r>
      <w:r w:rsidRPr="00EA7605">
        <w:rPr>
          <w:color w:val="C00000"/>
          <w:sz w:val="18"/>
        </w:rPr>
        <w:fldChar w:fldCharType="separate"/>
      </w:r>
      <w:r w:rsidR="00D01651">
        <w:rPr>
          <w:noProof/>
          <w:color w:val="C00000"/>
          <w:sz w:val="18"/>
        </w:rPr>
        <w:t>50</w:t>
      </w:r>
      <w:r w:rsidRPr="00EA7605">
        <w:rPr>
          <w:color w:val="C00000"/>
          <w:sz w:val="18"/>
        </w:rPr>
        <w:fldChar w:fldCharType="end"/>
      </w:r>
      <w:r w:rsidRPr="00EA7605">
        <w:rPr>
          <w:color w:val="C00000"/>
          <w:sz w:val="18"/>
        </w:rPr>
        <w:t xml:space="preserve">. </w:t>
      </w:r>
      <w:r w:rsidR="00EF1D5F" w:rsidRPr="00EA7605">
        <w:rPr>
          <w:sz w:val="18"/>
        </w:rPr>
        <w:t>Razones por las que no se denuncia un caso de corrupción en la entidad (2023)</w:t>
      </w:r>
      <w:bookmarkEnd w:id="425"/>
    </w:p>
    <w:p w14:paraId="619AC9F6" w14:textId="77777777" w:rsidR="00EF1D5F" w:rsidRDefault="00EF1D5F" w:rsidP="00EA7605">
      <w:pPr>
        <w:spacing w:line="240" w:lineRule="auto"/>
        <w:jc w:val="center"/>
        <w:rPr>
          <w:sz w:val="18"/>
          <w:szCs w:val="18"/>
        </w:rPr>
      </w:pPr>
      <w:r>
        <w:rPr>
          <w:b/>
          <w:bCs/>
          <w:noProof/>
          <w:color w:val="3B3838"/>
          <w:sz w:val="18"/>
          <w:szCs w:val="18"/>
        </w:rPr>
        <w:lastRenderedPageBreak/>
        <w:drawing>
          <wp:inline distT="0" distB="0" distL="0" distR="0" wp14:anchorId="67825A9F" wp14:editId="0EDB6141">
            <wp:extent cx="5612130" cy="3237230"/>
            <wp:effectExtent l="0" t="0" r="0" b="0"/>
            <wp:docPr id="15754055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05538" name="Imagen 1575405538"/>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612130" cy="3237230"/>
                    </a:xfrm>
                    <a:prstGeom prst="rect">
                      <a:avLst/>
                    </a:prstGeom>
                  </pic:spPr>
                </pic:pic>
              </a:graphicData>
            </a:graphic>
          </wp:inline>
        </w:drawing>
      </w:r>
      <w:r w:rsidRPr="00FE6110">
        <w:rPr>
          <w:b/>
          <w:bCs/>
          <w:sz w:val="18"/>
          <w:szCs w:val="18"/>
        </w:rPr>
        <w:t>Fuente:</w:t>
      </w:r>
      <w:r w:rsidRPr="007967CD">
        <w:rPr>
          <w:sz w:val="18"/>
          <w:szCs w:val="18"/>
        </w:rPr>
        <w:t xml:space="preserve"> Encuesta sobre Ambiente y Desempeño Institucional Departamental (DANE, 2023).</w:t>
      </w:r>
    </w:p>
    <w:p w14:paraId="0A42BBC3" w14:textId="77777777" w:rsidR="00EF1D5F" w:rsidRPr="00FC6C45" w:rsidRDefault="00EF1D5F" w:rsidP="00FC6C45">
      <w:pPr>
        <w:spacing w:line="200" w:lineRule="exact"/>
        <w:jc w:val="center"/>
        <w:rPr>
          <w:sz w:val="18"/>
          <w:szCs w:val="18"/>
        </w:rPr>
      </w:pPr>
      <w:r w:rsidRPr="00FC6C45">
        <w:rPr>
          <w:b/>
          <w:bCs/>
          <w:sz w:val="18"/>
          <w:szCs w:val="18"/>
        </w:rPr>
        <w:t>Nota:</w:t>
      </w:r>
      <w:r w:rsidRPr="00FC6C45">
        <w:rPr>
          <w:sz w:val="18"/>
          <w:szCs w:val="18"/>
        </w:rPr>
        <w:t xml:space="preserve"> opción de respuesta única. Población de referencia: 63.506 servidores del orden nacional; 10.793 gobernaciones, 16.464 alcaldías. Bogotá incluye 14 secretarías distritales.</w:t>
      </w:r>
    </w:p>
    <w:p w14:paraId="01EBFDB3" w14:textId="77777777" w:rsidR="00EF1D5F" w:rsidRDefault="00EF1D5F" w:rsidP="00A708C9"/>
    <w:p w14:paraId="3D29CFB4" w14:textId="77777777" w:rsidR="00EA7605" w:rsidRDefault="00EA7605" w:rsidP="00A708C9">
      <w:pPr>
        <w:sectPr w:rsidR="00EA7605" w:rsidSect="00F7078E">
          <w:type w:val="continuous"/>
          <w:pgSz w:w="12240" w:h="15840"/>
          <w:pgMar w:top="2262" w:right="1440" w:bottom="1440" w:left="1440" w:header="708" w:footer="680" w:gutter="0"/>
          <w:cols w:space="720"/>
          <w:docGrid w:linePitch="299"/>
        </w:sectPr>
      </w:pPr>
    </w:p>
    <w:p w14:paraId="0811F826" w14:textId="36683475" w:rsidR="00EF1D5F" w:rsidRDefault="00EF1D5F" w:rsidP="005B4239">
      <w:r>
        <w:t>A partir de este panorama, así como de otras encuestas y mediciones existentes y de una revisión cuidadosa de las normas y políticas que hoy en día rigen la actividad del Distrito en estas materias, es claro que la acción de la Administración distrital en este periodo debe enfocarse en abordar los siguientes retos principales:</w:t>
      </w:r>
    </w:p>
    <w:p w14:paraId="34696F6B" w14:textId="4DC7C61A" w:rsidR="00EF1D5F" w:rsidRPr="007B0476" w:rsidRDefault="00EF1D5F" w:rsidP="00CB6AEC">
      <w:pPr>
        <w:pStyle w:val="Prrafodelista"/>
        <w:numPr>
          <w:ilvl w:val="0"/>
          <w:numId w:val="47"/>
        </w:numPr>
        <w:spacing w:line="240" w:lineRule="auto"/>
        <w:rPr>
          <w:spacing w:val="-8"/>
        </w:rPr>
      </w:pPr>
      <w:r w:rsidRPr="007B0476">
        <w:rPr>
          <w:spacing w:val="-8"/>
        </w:rPr>
        <w:t>Inflación normativa y de políticas, y carencia de evaluación de su impacto.</w:t>
      </w:r>
    </w:p>
    <w:p w14:paraId="0407C4BE" w14:textId="77777777" w:rsidR="007B0476" w:rsidRPr="007B0476" w:rsidRDefault="007B0476" w:rsidP="007B0476">
      <w:pPr>
        <w:pStyle w:val="Prrafodelista"/>
        <w:spacing w:line="240" w:lineRule="auto"/>
        <w:rPr>
          <w:spacing w:val="-8"/>
        </w:rPr>
      </w:pPr>
    </w:p>
    <w:p w14:paraId="4BE43CC1" w14:textId="202F7450" w:rsidR="00EF1D5F" w:rsidRPr="007B0476" w:rsidRDefault="00EF1D5F" w:rsidP="00CB6AEC">
      <w:pPr>
        <w:pStyle w:val="Prrafodelista"/>
        <w:numPr>
          <w:ilvl w:val="0"/>
          <w:numId w:val="47"/>
        </w:numPr>
        <w:spacing w:line="240" w:lineRule="auto"/>
        <w:rPr>
          <w:spacing w:val="-8"/>
        </w:rPr>
      </w:pPr>
      <w:r w:rsidRPr="007B0476">
        <w:rPr>
          <w:spacing w:val="-8"/>
        </w:rPr>
        <w:t>Debilidad de coordinación y liderazgo en el arreglo institucional (entidades, dependencias e instancias de coordinación); especialmente, en transparencia, integridad y sistema de control interno.</w:t>
      </w:r>
    </w:p>
    <w:p w14:paraId="578DD9C8" w14:textId="77777777" w:rsidR="007B0476" w:rsidRPr="007B0476" w:rsidRDefault="007B0476" w:rsidP="007B0476">
      <w:pPr>
        <w:pStyle w:val="Prrafodelista"/>
        <w:spacing w:line="240" w:lineRule="auto"/>
        <w:rPr>
          <w:spacing w:val="-8"/>
        </w:rPr>
      </w:pPr>
    </w:p>
    <w:p w14:paraId="0DFB8CA3" w14:textId="77E8BAC0" w:rsidR="00EF1D5F" w:rsidRPr="007B0476" w:rsidRDefault="00EF1D5F" w:rsidP="00CB6AEC">
      <w:pPr>
        <w:pStyle w:val="Prrafodelista"/>
        <w:numPr>
          <w:ilvl w:val="0"/>
          <w:numId w:val="47"/>
        </w:numPr>
        <w:spacing w:line="240" w:lineRule="auto"/>
        <w:rPr>
          <w:spacing w:val="-8"/>
        </w:rPr>
      </w:pPr>
      <w:r w:rsidRPr="007B0476">
        <w:rPr>
          <w:spacing w:val="-8"/>
        </w:rPr>
        <w:t>Bajo nivel de gobernanza interinstitucional de datos, y falta de capacidad para la acción y toma decisiones basadas en datos.</w:t>
      </w:r>
    </w:p>
    <w:p w14:paraId="36514393" w14:textId="77777777" w:rsidR="007B0476" w:rsidRPr="007B0476" w:rsidRDefault="007B0476" w:rsidP="007B0476">
      <w:pPr>
        <w:pStyle w:val="Prrafodelista"/>
        <w:spacing w:line="240" w:lineRule="auto"/>
        <w:rPr>
          <w:spacing w:val="-8"/>
        </w:rPr>
      </w:pPr>
    </w:p>
    <w:p w14:paraId="064EF880" w14:textId="669A2090" w:rsidR="00EF1D5F" w:rsidRPr="007B0476" w:rsidRDefault="00EF1D5F" w:rsidP="00CB6AEC">
      <w:pPr>
        <w:pStyle w:val="Prrafodelista"/>
        <w:numPr>
          <w:ilvl w:val="0"/>
          <w:numId w:val="47"/>
        </w:numPr>
        <w:spacing w:line="240" w:lineRule="auto"/>
        <w:rPr>
          <w:spacing w:val="-8"/>
        </w:rPr>
      </w:pPr>
      <w:r w:rsidRPr="007B0476">
        <w:rPr>
          <w:spacing w:val="-8"/>
        </w:rPr>
        <w:t>Bajo impacto de las acciones de prevención de mala gestión y hechos de corrupción.</w:t>
      </w:r>
    </w:p>
    <w:p w14:paraId="41E01D10" w14:textId="77777777" w:rsidR="007B0476" w:rsidRPr="007B0476" w:rsidRDefault="007B0476" w:rsidP="007B0476">
      <w:pPr>
        <w:pStyle w:val="Prrafodelista"/>
        <w:spacing w:line="240" w:lineRule="auto"/>
        <w:rPr>
          <w:spacing w:val="-8"/>
        </w:rPr>
      </w:pPr>
    </w:p>
    <w:p w14:paraId="1E9FEB38" w14:textId="77777777" w:rsidR="00EF1D5F" w:rsidRPr="007B0476" w:rsidRDefault="00EF1D5F" w:rsidP="00CB6AEC">
      <w:pPr>
        <w:pStyle w:val="Prrafodelista"/>
        <w:numPr>
          <w:ilvl w:val="0"/>
          <w:numId w:val="47"/>
        </w:numPr>
        <w:spacing w:line="240" w:lineRule="auto"/>
        <w:rPr>
          <w:spacing w:val="-8"/>
        </w:rPr>
      </w:pPr>
      <w:r w:rsidRPr="007B0476">
        <w:rPr>
          <w:spacing w:val="-8"/>
        </w:rPr>
        <w:t>Baja identificación de elementos de confianza en la relación y cercanía con la ciudadanía, y carencia de estrategias de cambio cultural.</w:t>
      </w:r>
    </w:p>
    <w:p w14:paraId="0453E7B5" w14:textId="77777777" w:rsidR="00EF1D5F" w:rsidRPr="007B0476" w:rsidRDefault="00EF1D5F" w:rsidP="005B4239">
      <w:pPr>
        <w:rPr>
          <w:spacing w:val="-8"/>
        </w:rPr>
      </w:pPr>
      <w:r w:rsidRPr="007B0476">
        <w:rPr>
          <w:spacing w:val="-8"/>
        </w:rPr>
        <w:t>De otro lado, Bogotá viene consolidándose como un gobierno abierto reconocido nacional e internacionalmente. El primer antecedente se conoce desde 2012 cuando Colombia ingresó a la Alianza de Gobierno Abierto (Open Government Partnership-OGP) implementando hasta la fecha cuatro planes Nacionales de Gobierno Abierto donde se destaca el involucramiento y cocreación con ciudades y regiones del país. Bogotá participó en la cocreación del V Plan de Acción de Estado Abierto 2023-2025.</w:t>
      </w:r>
    </w:p>
    <w:p w14:paraId="21ECB58A" w14:textId="77777777" w:rsidR="00EF1D5F" w:rsidRPr="007B0476" w:rsidRDefault="00EF1D5F" w:rsidP="005B4239">
      <w:pPr>
        <w:rPr>
          <w:spacing w:val="-8"/>
        </w:rPr>
      </w:pPr>
    </w:p>
    <w:p w14:paraId="10FD3E1C" w14:textId="77777777" w:rsidR="00EF1D5F" w:rsidRPr="007B0476" w:rsidRDefault="00EF1D5F" w:rsidP="005B4239">
      <w:pPr>
        <w:rPr>
          <w:spacing w:val="-8"/>
        </w:rPr>
      </w:pPr>
      <w:r w:rsidRPr="007B0476">
        <w:rPr>
          <w:spacing w:val="-8"/>
        </w:rPr>
        <w:t xml:space="preserve">En 2020 Bogotá ingresó como gobierno local a OGP y presentó su primer plan de acción de gobierno abierto el cuál sirvió para que fuera ratificada en 2024 en dicha alianza, la cual reúne y promueve las </w:t>
      </w:r>
      <w:r w:rsidRPr="007B0476">
        <w:rPr>
          <w:spacing w:val="-8"/>
        </w:rPr>
        <w:lastRenderedPageBreak/>
        <w:t>mejores prácticas de gobiernos abiertos del mundo.</w:t>
      </w:r>
    </w:p>
    <w:p w14:paraId="5E447CE1" w14:textId="77777777" w:rsidR="00EF1D5F" w:rsidRDefault="00EF1D5F" w:rsidP="005D5A4A">
      <w:pPr>
        <w:spacing w:line="480" w:lineRule="auto"/>
        <w:rPr>
          <w:rFonts w:ascii="Times New Roman" w:hAnsi="Times New Roman"/>
          <w:sz w:val="24"/>
        </w:rPr>
        <w:sectPr w:rsidR="00EF1D5F" w:rsidSect="00F7078E">
          <w:type w:val="continuous"/>
          <w:pgSz w:w="12240" w:h="15840"/>
          <w:pgMar w:top="2262" w:right="1440" w:bottom="1440" w:left="1440" w:header="708" w:footer="680" w:gutter="0"/>
          <w:cols w:num="2" w:space="720"/>
          <w:docGrid w:linePitch="299"/>
        </w:sectPr>
      </w:pPr>
    </w:p>
    <w:p w14:paraId="13DF0159" w14:textId="77777777" w:rsidR="00EA7605" w:rsidRDefault="00EA7605" w:rsidP="00EA7605">
      <w:pPr>
        <w:ind w:firstLine="708"/>
        <w:rPr>
          <w:b/>
          <w:bCs/>
          <w:sz w:val="24"/>
          <w:szCs w:val="28"/>
        </w:rPr>
      </w:pPr>
    </w:p>
    <w:p w14:paraId="7F23C30F" w14:textId="1B39CFA1" w:rsidR="00EF1D5F" w:rsidRPr="00EA7605" w:rsidRDefault="00EF1D5F" w:rsidP="00EA7605">
      <w:pPr>
        <w:ind w:firstLine="708"/>
        <w:rPr>
          <w:b/>
          <w:bCs/>
        </w:rPr>
      </w:pPr>
      <w:r w:rsidRPr="00EA7605">
        <w:rPr>
          <w:b/>
          <w:bCs/>
          <w:sz w:val="24"/>
          <w:szCs w:val="28"/>
        </w:rPr>
        <w:t>Descripción del programa</w:t>
      </w:r>
    </w:p>
    <w:p w14:paraId="19FF147B" w14:textId="77777777" w:rsidR="00EF1D5F" w:rsidRDefault="00EF1D5F" w:rsidP="00177F5B">
      <w:pPr>
        <w:sectPr w:rsidR="00EF1D5F" w:rsidSect="00F7078E">
          <w:type w:val="continuous"/>
          <w:pgSz w:w="12240" w:h="15840"/>
          <w:pgMar w:top="2262" w:right="1440" w:bottom="1440" w:left="1440" w:header="708" w:footer="680" w:gutter="0"/>
          <w:cols w:space="720"/>
          <w:docGrid w:linePitch="299"/>
        </w:sectPr>
      </w:pPr>
    </w:p>
    <w:p w14:paraId="69C17A3D" w14:textId="77777777" w:rsidR="00EF1D5F" w:rsidRPr="00074AB9" w:rsidRDefault="00EF1D5F" w:rsidP="00904446">
      <w:pPr>
        <w:rPr>
          <w:spacing w:val="-6"/>
        </w:rPr>
      </w:pPr>
      <w:r w:rsidRPr="00074AB9">
        <w:rPr>
          <w:spacing w:val="-6"/>
        </w:rPr>
        <w:t xml:space="preserve">Este programa se enmarca en la apuesta por un Estado Abierto donde se fortalecerán los avances en la implementación del Gobierno Abierto de Bogotá mediante una estrategia de gobernanza inteligente que (a) articule de forma integral  los desafíos transversales de la transparencia, la participación y la colaboración en las soluciones públicas, mediante el uso estratégico de procesos de transformación digital y la innovación pública; (b) implemente, ponga en práctica, coopere e intercambie experiencias y recomendaciones con alianzas y organismos internacionales, regionales y nacionales; (c) y utilice esquemas permanentes de medición para evaluar, logros, desafíos y niveles de madurez </w:t>
      </w:r>
      <w:r w:rsidRPr="00074AB9">
        <w:rPr>
          <w:spacing w:val="-6"/>
        </w:rPr>
        <w:t>en el desempeño de una gestión pública abierta, íntegra y corresponsable.</w:t>
      </w:r>
    </w:p>
    <w:p w14:paraId="3E7B61E8" w14:textId="77777777" w:rsidR="00EF1D5F" w:rsidRPr="00074AB9" w:rsidRDefault="00EF1D5F" w:rsidP="00904446">
      <w:pPr>
        <w:rPr>
          <w:spacing w:val="-6"/>
        </w:rPr>
      </w:pPr>
    </w:p>
    <w:p w14:paraId="1E67E2C4" w14:textId="77777777" w:rsidR="00EF1D5F" w:rsidRPr="00074AB9" w:rsidRDefault="00EF1D5F" w:rsidP="00904446">
      <w:pPr>
        <w:rPr>
          <w:spacing w:val="-6"/>
        </w:rPr>
      </w:pPr>
      <w:r w:rsidRPr="00074AB9">
        <w:rPr>
          <w:spacing w:val="-6"/>
        </w:rPr>
        <w:t>Para incrementar la confianza de la ciudadanía en su Gobierno, este programa liderará acciones orientadas a fomentar la integridad, la transparencia y la corresponsabilidad de servidores y servidoras públicas del Distrito, a través de acciones de fortalecimiento del sistema de control interno, de estrategias de cambio cultural, del diseño e implementación de planes que mejoren el acceso a la información pública, la rendición de cuentas permanente, la identificación y prevención de riesgos de corrupción y la habilitación de espacios de diálogo con la ciudadanía sobre incidentes.</w:t>
      </w:r>
    </w:p>
    <w:p w14:paraId="127338BF" w14:textId="77777777" w:rsidR="00EF1D5F" w:rsidRDefault="00EF1D5F" w:rsidP="00177F5B">
      <w:pPr>
        <w:sectPr w:rsidR="00EF1D5F" w:rsidSect="00F7078E">
          <w:type w:val="continuous"/>
          <w:pgSz w:w="12240" w:h="15840"/>
          <w:pgMar w:top="2262" w:right="1440" w:bottom="1440" w:left="1440" w:header="708" w:footer="680" w:gutter="0"/>
          <w:cols w:num="2" w:space="567"/>
          <w:docGrid w:linePitch="299"/>
        </w:sectPr>
      </w:pPr>
    </w:p>
    <w:p w14:paraId="1FFA2CEF" w14:textId="77777777" w:rsidR="00EA7605" w:rsidRDefault="00EA7605">
      <w:pPr>
        <w:spacing w:line="240" w:lineRule="auto"/>
        <w:jc w:val="left"/>
        <w:rPr>
          <w:rFonts w:eastAsiaTheme="minorEastAsia" w:cstheme="minorBidi"/>
          <w:b/>
          <w:iCs/>
          <w:szCs w:val="18"/>
          <w:lang w:val="es-419" w:eastAsia="en-US"/>
        </w:rPr>
      </w:pPr>
      <w:r>
        <w:br w:type="page"/>
      </w:r>
    </w:p>
    <w:p w14:paraId="7059AFE3" w14:textId="60EDE63E" w:rsidR="00EF1D5F" w:rsidRPr="00EA7605" w:rsidRDefault="00EA7605" w:rsidP="00EA7605">
      <w:pPr>
        <w:pStyle w:val="Descripcin"/>
        <w:jc w:val="center"/>
        <w:rPr>
          <w:bCs/>
          <w:sz w:val="18"/>
        </w:rPr>
      </w:pPr>
      <w:bookmarkStart w:id="426" w:name="_Toc165169994"/>
      <w:r w:rsidRPr="00EA7605">
        <w:rPr>
          <w:color w:val="C00000"/>
          <w:sz w:val="18"/>
        </w:rPr>
        <w:lastRenderedPageBreak/>
        <w:t xml:space="preserve">Figura </w:t>
      </w:r>
      <w:r w:rsidRPr="00EA7605">
        <w:rPr>
          <w:color w:val="C00000"/>
          <w:sz w:val="18"/>
        </w:rPr>
        <w:fldChar w:fldCharType="begin"/>
      </w:r>
      <w:r w:rsidRPr="00EA7605">
        <w:rPr>
          <w:color w:val="C00000"/>
          <w:sz w:val="18"/>
        </w:rPr>
        <w:instrText xml:space="preserve"> SEQ Figura \* ARABIC </w:instrText>
      </w:r>
      <w:r w:rsidRPr="00EA7605">
        <w:rPr>
          <w:color w:val="C00000"/>
          <w:sz w:val="18"/>
        </w:rPr>
        <w:fldChar w:fldCharType="separate"/>
      </w:r>
      <w:r w:rsidR="00D01651">
        <w:rPr>
          <w:noProof/>
          <w:color w:val="C00000"/>
          <w:sz w:val="18"/>
        </w:rPr>
        <w:t>18</w:t>
      </w:r>
      <w:r w:rsidRPr="00EA7605">
        <w:rPr>
          <w:color w:val="C00000"/>
          <w:sz w:val="18"/>
        </w:rPr>
        <w:fldChar w:fldCharType="end"/>
      </w:r>
      <w:r w:rsidRPr="00EA7605">
        <w:rPr>
          <w:color w:val="C00000"/>
          <w:sz w:val="18"/>
        </w:rPr>
        <w:t xml:space="preserve">. </w:t>
      </w:r>
      <w:r w:rsidR="00EF1D5F" w:rsidRPr="00EA7605">
        <w:rPr>
          <w:sz w:val="18"/>
        </w:rPr>
        <w:t>Gobierno íntegro, transparente y corresponsable</w:t>
      </w:r>
      <w:bookmarkEnd w:id="426"/>
    </w:p>
    <w:p w14:paraId="3BBD7BA5" w14:textId="77777777" w:rsidR="00EF1D5F" w:rsidRPr="00E94B15" w:rsidRDefault="00EF1D5F" w:rsidP="00074AB9">
      <w:pPr>
        <w:spacing w:line="480" w:lineRule="auto"/>
        <w:jc w:val="center"/>
      </w:pPr>
      <w:r w:rsidRPr="008B3CBE">
        <w:rPr>
          <w:caps/>
          <w:noProof/>
        </w:rPr>
        <w:drawing>
          <wp:inline distT="0" distB="0" distL="0" distR="0" wp14:anchorId="112EA5C6" wp14:editId="1F744D61">
            <wp:extent cx="4057851" cy="3387969"/>
            <wp:effectExtent l="0" t="0" r="0" b="0"/>
            <wp:docPr id="171944588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45886" name="Imagen 1719445886"/>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068435" cy="3396806"/>
                    </a:xfrm>
                    <a:prstGeom prst="rect">
                      <a:avLst/>
                    </a:prstGeom>
                  </pic:spPr>
                </pic:pic>
              </a:graphicData>
            </a:graphic>
          </wp:inline>
        </w:drawing>
      </w:r>
    </w:p>
    <w:p w14:paraId="6F3D3D3C" w14:textId="77777777" w:rsidR="00EF1D5F" w:rsidRDefault="00EF1D5F" w:rsidP="00074AB9">
      <w:pPr>
        <w:spacing w:line="480" w:lineRule="auto"/>
        <w:jc w:val="center"/>
        <w:rPr>
          <w:color w:val="3B3838"/>
          <w:sz w:val="18"/>
          <w:szCs w:val="18"/>
        </w:rPr>
      </w:pPr>
      <w:r w:rsidRPr="00C132C6">
        <w:rPr>
          <w:b/>
          <w:bCs/>
          <w:color w:val="3B3838"/>
          <w:sz w:val="18"/>
          <w:szCs w:val="18"/>
        </w:rPr>
        <w:t>Fuente:</w:t>
      </w:r>
      <w:r w:rsidRPr="00C132C6">
        <w:rPr>
          <w:color w:val="3B3838"/>
          <w:sz w:val="18"/>
          <w:szCs w:val="18"/>
        </w:rPr>
        <w:t xml:space="preserve"> Secretaría General (2024).</w:t>
      </w:r>
    </w:p>
    <w:p w14:paraId="421907FF" w14:textId="77777777" w:rsidR="00EF1D5F" w:rsidRDefault="00EF1D5F" w:rsidP="0063656D">
      <w:pPr>
        <w:sectPr w:rsidR="00EF1D5F" w:rsidSect="00F7078E">
          <w:type w:val="continuous"/>
          <w:pgSz w:w="12240" w:h="15840"/>
          <w:pgMar w:top="2262" w:right="1440" w:bottom="1440" w:left="1440" w:header="708" w:footer="680" w:gutter="0"/>
          <w:cols w:space="720"/>
          <w:docGrid w:linePitch="299"/>
        </w:sectPr>
      </w:pPr>
    </w:p>
    <w:p w14:paraId="55549A80" w14:textId="77777777" w:rsidR="00EF1D5F" w:rsidRPr="0063656D" w:rsidRDefault="00EF1D5F" w:rsidP="0063656D">
      <w:pPr>
        <w:rPr>
          <w:spacing w:val="-6"/>
        </w:rPr>
      </w:pPr>
      <w:r w:rsidRPr="0063656D">
        <w:rPr>
          <w:spacing w:val="-6"/>
        </w:rPr>
        <w:t xml:space="preserve">Este programa tendrá cuatro componentes. El primero, orientado a fomentar </w:t>
      </w:r>
      <w:r w:rsidRPr="00D321FF">
        <w:rPr>
          <w:b/>
          <w:bCs/>
          <w:spacing w:val="-6"/>
        </w:rPr>
        <w:t xml:space="preserve">la integridad y la prevención de la corrupción, </w:t>
      </w:r>
      <w:r w:rsidRPr="0063656D">
        <w:rPr>
          <w:spacing w:val="-6"/>
        </w:rPr>
        <w:t>y con el cual se revisarán y actualizarán las estrategias de apropiación del Código de Integridad del Servicio Público en el Distrito en todas las entidades y organismos; se realizarán acciones pedagógicas y de promoción que aumenten la comprensión de las y los servidores públicos acerca del código, y su uso en situaciones cotidianas. Se diseñarán e implementarán metodologías para la adecuada gestión de conflictos de interés, la divulgación proactiva de estos y la resolución de dilemas éticos de las y los servidores públicos, así como la definición de medidas que permitan prevenir irregularidades y hechos de corrupción.</w:t>
      </w:r>
    </w:p>
    <w:p w14:paraId="29B80AAD" w14:textId="77777777" w:rsidR="00EF1D5F" w:rsidRPr="0063656D" w:rsidRDefault="00EF1D5F" w:rsidP="0063656D">
      <w:pPr>
        <w:rPr>
          <w:spacing w:val="-6"/>
        </w:rPr>
      </w:pPr>
    </w:p>
    <w:p w14:paraId="147E5116" w14:textId="77777777" w:rsidR="00EF1D5F" w:rsidRPr="0063656D" w:rsidRDefault="00EF1D5F" w:rsidP="0063656D">
      <w:r w:rsidRPr="0063656D">
        <w:t xml:space="preserve">Se liderará el diseño e implementación de protocolos de protección a denunciantes internos de corrupción fomentando canales y espacios seguros para que quienes consideran tener conocimiento de alguna irregularidad o posible </w:t>
      </w:r>
      <w:r w:rsidRPr="0063656D">
        <w:t>hecho de corrupción en su rol dentro del servicio público puedan reportarlo sin temor a represalias de sus superiores, compañeros, compañeras o personas involucradas; sumado a lo anterior, se implementarán estrategias para lanzar alertas tempranas de posibles irregularidades o hechos de corrupción en el marco de procesos de contratación liderados por entidades y organismos del Distrito, para que servidores, servidoras y ciudadanía puedan ayudar a identificar riesgos que puedan prevenirse o mitigarse; lo anterior, en coordinación y en concordancia con las competencias de la Veeduría Distrital y los órganos de control distritales y nacionales.</w:t>
      </w:r>
    </w:p>
    <w:p w14:paraId="4CF98259" w14:textId="77777777" w:rsidR="00EF1D5F" w:rsidRPr="0063656D" w:rsidRDefault="00EF1D5F" w:rsidP="0063656D"/>
    <w:p w14:paraId="1B0A6381" w14:textId="77777777" w:rsidR="00EF1D5F" w:rsidRPr="0063656D" w:rsidRDefault="00EF1D5F" w:rsidP="0063656D">
      <w:r w:rsidRPr="0063656D">
        <w:t xml:space="preserve">El segundo componente tiene el objetivo de </w:t>
      </w:r>
      <w:r w:rsidRPr="00D321FF">
        <w:rPr>
          <w:i/>
          <w:iCs/>
        </w:rPr>
        <w:t>mejorar la transparencia y el gobierno abierto;</w:t>
      </w:r>
      <w:r w:rsidRPr="0063656D">
        <w:t xml:space="preserve"> por ello, se promoverá el acceso a la información pública más clara, más incluyente y más relevante del Distrito Capital, así como la mayor participación de la ciudadanía en la identificación de </w:t>
      </w:r>
      <w:r w:rsidRPr="0063656D">
        <w:lastRenderedPageBreak/>
        <w:t xml:space="preserve">datos públicos susceptibles de ser estructurados, abiertos y publicados. Se fomentará el uso de los datos abiertos y de la información pública en general, para un mayor y mejor control de la ciudadanía y la promoción de la integridad en el Distrito Capital, para continuar con el fortalecimiento de la estrategia de Gobierno Abierto Bogotá (GAB) y de la plataforma https://gobiernoabiertobogota.gov.co/ posicionándola como uno de los principales canales para promover el acceso a la información del Distrito Capital y la promoción de espacios de colaboración ciudadana y de canales para la interacción e innovación abierta. </w:t>
      </w:r>
    </w:p>
    <w:p w14:paraId="7898172A" w14:textId="77777777" w:rsidR="00EF1D5F" w:rsidRPr="0063656D" w:rsidRDefault="00EF1D5F" w:rsidP="0063656D"/>
    <w:p w14:paraId="7DBD9526" w14:textId="77777777" w:rsidR="00EF1D5F" w:rsidRPr="0063656D" w:rsidRDefault="00EF1D5F" w:rsidP="0063656D">
      <w:r w:rsidRPr="0063656D">
        <w:t>En este sentido, se formulará e implementará, el segundo Plan de Acción de Gobierno Abierto de Bogotá ante la Alianza de Gobierno Abierto (OGP Local), para convertir a Bogotá en un referente internacional, que prioriza su plan de acción desde el más alto nivel, y que involucra de forma asertiva e incidente las propuestas de la ciudadanía en la formulación de sus compromisos. Todo lo anterior se desarrollará con el ánimo de generar confianza ciudadana en el Gobierno garantizando a la ciudadanía que conozca el avance de todas las iniciativas adicionales que lideren sectores estratégicos de la Administración, así como el cumplimiento de este plan de desarrollo.</w:t>
      </w:r>
    </w:p>
    <w:p w14:paraId="6D0FCC69" w14:textId="77777777" w:rsidR="00EF1D5F" w:rsidRPr="0063656D" w:rsidRDefault="00EF1D5F" w:rsidP="0063656D"/>
    <w:p w14:paraId="1221D0DB" w14:textId="77777777" w:rsidR="00EF1D5F" w:rsidRPr="0063656D" w:rsidRDefault="00EF1D5F" w:rsidP="0063656D">
      <w:r w:rsidRPr="0063656D">
        <w:t xml:space="preserve">Se desarrollarán procesos de memoria y archivo de vivencias e historias de la ciudad documentando y recogiendo las experiencias y productos de quienes se han dedicado a estudiar la capital, para garantizar la transparencia y el acceso a la información pública, motivando una gestión documental y de archivo que facilite la organización, disposición y consulta de información para generar valor público y aumentar la confianza de la ciudadanía en las instituciones públicas. Por tal razón, el Archivo de Bogotá será un actor clave para fomentar las capacidades de gestión del patrimonio documental de las entidades distritales, al permitir la salvaguarda del acervo de carácter histórico o relevante para la </w:t>
      </w:r>
      <w:r w:rsidRPr="0063656D">
        <w:t>Administración pública de la ciudad, y en procura del uso y disfrute por parte de las y los bogotanos.</w:t>
      </w:r>
    </w:p>
    <w:p w14:paraId="36562D03" w14:textId="77777777" w:rsidR="00EF1D5F" w:rsidRPr="0063656D" w:rsidRDefault="00EF1D5F" w:rsidP="0063656D"/>
    <w:p w14:paraId="2309A28F" w14:textId="77777777" w:rsidR="00EF1D5F" w:rsidRPr="0063656D" w:rsidRDefault="00EF1D5F" w:rsidP="0063656D">
      <w:r w:rsidRPr="0063656D">
        <w:t xml:space="preserve">El tercer componente tiene como propósito </w:t>
      </w:r>
      <w:r w:rsidRPr="00D321FF">
        <w:rPr>
          <w:i/>
          <w:iCs/>
        </w:rPr>
        <w:t>promover el seguimiento y control a la gestión pública</w:t>
      </w:r>
      <w:r w:rsidRPr="0063656D">
        <w:t xml:space="preserve"> por parte de la ciudadanía, con acciones de acompañamiento a entidades del Distrito Capital para garantizar la promoción de la participación ciudadana en sus planes de acción institucional. </w:t>
      </w:r>
    </w:p>
    <w:p w14:paraId="43AE12F4" w14:textId="77777777" w:rsidR="00EF1D5F" w:rsidRPr="0063656D" w:rsidRDefault="00EF1D5F" w:rsidP="0063656D"/>
    <w:p w14:paraId="0819EDAA" w14:textId="77777777" w:rsidR="00EF1D5F" w:rsidRPr="0063656D" w:rsidRDefault="00EF1D5F" w:rsidP="0063656D">
      <w:r w:rsidRPr="0063656D">
        <w:t xml:space="preserve">Igualmente, se promoverán las acciones orientadas a fomentar la corresponsabilidad entre servidoras y servidores públicos y ciudadanía, las rendiciones permanentes de cuentas —siguiendo los lineamientos del Sistema Nacional de Rendición de Cuentas— y habilitando espacios presenciales y virtuales que permitan la conversación entre ciudadanía y los servidores responsables de los programas, obras y proyectos. </w:t>
      </w:r>
    </w:p>
    <w:p w14:paraId="65BF501F" w14:textId="77777777" w:rsidR="00EF1D5F" w:rsidRPr="0063656D" w:rsidRDefault="00EF1D5F" w:rsidP="0063656D"/>
    <w:p w14:paraId="7771AC65" w14:textId="77777777" w:rsidR="00EF1D5F" w:rsidRPr="0063656D" w:rsidRDefault="00EF1D5F" w:rsidP="0063656D">
      <w:r w:rsidRPr="0063656D">
        <w:t>Así mismo, se llevarán a cabo espacios de innovación abierta que convoquen a la ideación ciudadana para encontrar mejores soluciones a los retos de la ciudad. Lo anterior será posible gracias a la coordinación de la Secretaría General con la Secretaría de Gobierno y el IDPAC para liderar las acciones que permitan alcanzar las metas de promoción de participación ciudadana en la gestión pública y asistir técnicamente a las entidades y organismos del Distrito Capital en ese propósito.</w:t>
      </w:r>
    </w:p>
    <w:p w14:paraId="5EEF978D" w14:textId="77777777" w:rsidR="00EF1D5F" w:rsidRPr="0063656D" w:rsidRDefault="00EF1D5F" w:rsidP="0063656D"/>
    <w:p w14:paraId="2895D59D" w14:textId="77777777" w:rsidR="00EF1D5F" w:rsidRPr="0063656D" w:rsidRDefault="00EF1D5F" w:rsidP="0063656D">
      <w:r w:rsidRPr="0063656D">
        <w:t>Finalmente, con el cuarto componente se busca generar un cambio cultural para la integridad. Se busca promover cambios en las creencias, las normas sociales y los comportamientos de servidoras, servidores y contratistas del Distrito Capital y la ciudadanía, para mejorar los niveles de confianza de ambas partes en sí mismas (para ser capaces de generar cambios colectivos) y entre sí (para ser capaces de interactuar de forma productiva).</w:t>
      </w:r>
    </w:p>
    <w:p w14:paraId="1730B643" w14:textId="77777777" w:rsidR="00EF1D5F" w:rsidRPr="0063656D" w:rsidRDefault="00EF1D5F" w:rsidP="0063656D"/>
    <w:p w14:paraId="42CCF418" w14:textId="77777777" w:rsidR="00EF1D5F" w:rsidRDefault="00EF1D5F" w:rsidP="0063656D">
      <w:r w:rsidRPr="0063656D">
        <w:lastRenderedPageBreak/>
        <w:t xml:space="preserve">Debemos promover una cultura de integridad, eficiencia y colaboración en los procesos y servicios de la Administración distrital involucrando a servidoras, servidores y contratistas en todos los niveles, y diseñando estrategias basadas en </w:t>
      </w:r>
      <w:r w:rsidRPr="0063656D">
        <w:t>evidencias empíricas, mejores prácticas internacionales, visibilización de buenas prácticas y soluciones locales, y acciones colectivas que potencialicen el impacto de las medidas regulatorias, de seguimiento y control, y de sanción.</w:t>
      </w:r>
    </w:p>
    <w:p w14:paraId="55C15061" w14:textId="77777777" w:rsidR="00EF1D5F" w:rsidRPr="0063656D" w:rsidRDefault="00EF1D5F" w:rsidP="0063656D">
      <w:pPr>
        <w:sectPr w:rsidR="00EF1D5F" w:rsidRPr="0063656D" w:rsidSect="00F7078E">
          <w:type w:val="continuous"/>
          <w:pgSz w:w="12240" w:h="15840"/>
          <w:pgMar w:top="2262" w:right="1440" w:bottom="1440" w:left="1440" w:header="708" w:footer="680" w:gutter="0"/>
          <w:cols w:num="2" w:space="567"/>
          <w:docGrid w:linePitch="299"/>
        </w:sectPr>
      </w:pPr>
    </w:p>
    <w:p w14:paraId="74356EE1" w14:textId="77777777" w:rsidR="00EF1D5F" w:rsidRDefault="00EF1D5F" w:rsidP="00D321FF">
      <w:pPr>
        <w:keepNext/>
        <w:pBdr>
          <w:top w:val="nil"/>
          <w:left w:val="nil"/>
          <w:bottom w:val="nil"/>
          <w:right w:val="nil"/>
          <w:between w:val="nil"/>
        </w:pBdr>
        <w:spacing w:line="480" w:lineRule="auto"/>
        <w:jc w:val="center"/>
        <w:rPr>
          <w:rFonts w:ascii="Times New Roman" w:hAnsi="Times New Roman"/>
          <w:color w:val="000000"/>
          <w:sz w:val="24"/>
        </w:rPr>
      </w:pPr>
    </w:p>
    <w:p w14:paraId="40EB9F2E" w14:textId="6F914984" w:rsidR="00EF1D5F" w:rsidRPr="00297200" w:rsidRDefault="00297200" w:rsidP="00297200">
      <w:pPr>
        <w:pStyle w:val="Descripcin"/>
        <w:jc w:val="center"/>
        <w:rPr>
          <w:color w:val="C00000"/>
          <w:sz w:val="18"/>
          <w:szCs w:val="14"/>
        </w:rPr>
      </w:pPr>
      <w:bookmarkStart w:id="427" w:name="_Toc165169965"/>
      <w:r w:rsidRPr="00297200">
        <w:rPr>
          <w:color w:val="C00000"/>
          <w:sz w:val="18"/>
          <w:szCs w:val="14"/>
        </w:rPr>
        <w:t xml:space="preserve">Tabla </w:t>
      </w:r>
      <w:r w:rsidRPr="00297200">
        <w:rPr>
          <w:color w:val="C00000"/>
          <w:sz w:val="18"/>
          <w:szCs w:val="14"/>
        </w:rPr>
        <w:fldChar w:fldCharType="begin"/>
      </w:r>
      <w:r w:rsidRPr="00297200">
        <w:rPr>
          <w:color w:val="C00000"/>
          <w:sz w:val="18"/>
          <w:szCs w:val="14"/>
        </w:rPr>
        <w:instrText xml:space="preserve"> SEQ Tabla \* ARABIC </w:instrText>
      </w:r>
      <w:r w:rsidRPr="00297200">
        <w:rPr>
          <w:color w:val="C00000"/>
          <w:sz w:val="18"/>
          <w:szCs w:val="14"/>
        </w:rPr>
        <w:fldChar w:fldCharType="separate"/>
      </w:r>
      <w:r w:rsidR="00D01651">
        <w:rPr>
          <w:noProof/>
          <w:color w:val="C00000"/>
          <w:sz w:val="18"/>
          <w:szCs w:val="14"/>
        </w:rPr>
        <w:t>55</w:t>
      </w:r>
      <w:r w:rsidRPr="00297200">
        <w:rPr>
          <w:color w:val="C00000"/>
          <w:sz w:val="18"/>
          <w:szCs w:val="14"/>
        </w:rPr>
        <w:fldChar w:fldCharType="end"/>
      </w:r>
      <w:r w:rsidRPr="00297200">
        <w:rPr>
          <w:color w:val="C00000"/>
          <w:sz w:val="18"/>
          <w:szCs w:val="14"/>
        </w:rPr>
        <w:t xml:space="preserve">. </w:t>
      </w:r>
      <w:r w:rsidR="00EF1D5F" w:rsidRPr="00297200">
        <w:rPr>
          <w:sz w:val="18"/>
          <w:szCs w:val="14"/>
        </w:rPr>
        <w:t xml:space="preserve">Metas del programa </w:t>
      </w:r>
      <w:r>
        <w:rPr>
          <w:sz w:val="18"/>
          <w:szCs w:val="14"/>
        </w:rPr>
        <w:t xml:space="preserve">32: </w:t>
      </w:r>
      <w:r w:rsidR="00EF1D5F" w:rsidRPr="00297200">
        <w:rPr>
          <w:sz w:val="18"/>
          <w:szCs w:val="14"/>
        </w:rPr>
        <w:t>Gobierno abierto, íntegro, transparente y corresponsable</w:t>
      </w:r>
      <w:bookmarkEnd w:id="427"/>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542"/>
        <w:gridCol w:w="1404"/>
        <w:gridCol w:w="1350"/>
        <w:gridCol w:w="1344"/>
        <w:gridCol w:w="1364"/>
        <w:gridCol w:w="1356"/>
      </w:tblGrid>
      <w:tr w:rsidR="002318A3" w:rsidRPr="00EA032D" w14:paraId="6DCF6EBE" w14:textId="77777777" w:rsidTr="00AA4BBB">
        <w:trPr>
          <w:tblHeader/>
        </w:trPr>
        <w:tc>
          <w:tcPr>
            <w:tcW w:w="0" w:type="auto"/>
            <w:vMerge w:val="restart"/>
            <w:shd w:val="clear" w:color="auto" w:fill="C00000"/>
            <w:tcMar>
              <w:top w:w="30" w:type="dxa"/>
              <w:left w:w="45" w:type="dxa"/>
              <w:bottom w:w="30" w:type="dxa"/>
              <w:right w:w="45" w:type="dxa"/>
            </w:tcMar>
            <w:vAlign w:val="center"/>
            <w:hideMark/>
          </w:tcPr>
          <w:p w14:paraId="569B4128" w14:textId="77777777" w:rsidR="002318A3" w:rsidRPr="00EA032D" w:rsidRDefault="002318A3" w:rsidP="00AA4BBB">
            <w:pPr>
              <w:jc w:val="center"/>
              <w:rPr>
                <w:rFonts w:cs="Arial"/>
                <w:b/>
                <w:bCs/>
                <w:color w:val="FFFFFF"/>
                <w:sz w:val="20"/>
                <w:szCs w:val="20"/>
              </w:rPr>
            </w:pPr>
            <w:r w:rsidRPr="00EA032D">
              <w:rPr>
                <w:rFonts w:cs="Arial"/>
                <w:b/>
                <w:bCs/>
                <w:color w:val="FFFFFF"/>
                <w:sz w:val="20"/>
                <w:szCs w:val="20"/>
              </w:rPr>
              <w:t>SECTOR / Metas</w:t>
            </w:r>
          </w:p>
        </w:tc>
        <w:tc>
          <w:tcPr>
            <w:tcW w:w="0" w:type="auto"/>
            <w:gridSpan w:val="5"/>
            <w:shd w:val="clear" w:color="auto" w:fill="C00000"/>
            <w:tcMar>
              <w:top w:w="30" w:type="dxa"/>
              <w:left w:w="45" w:type="dxa"/>
              <w:bottom w:w="30" w:type="dxa"/>
              <w:right w:w="45" w:type="dxa"/>
            </w:tcMar>
            <w:vAlign w:val="center"/>
            <w:hideMark/>
          </w:tcPr>
          <w:p w14:paraId="1D1F7320" w14:textId="77777777" w:rsidR="002318A3" w:rsidRPr="00EA032D" w:rsidRDefault="002318A3" w:rsidP="00AA4BBB">
            <w:pPr>
              <w:jc w:val="center"/>
              <w:rPr>
                <w:rFonts w:cs="Arial"/>
                <w:b/>
                <w:bCs/>
                <w:color w:val="FFFFFF"/>
                <w:sz w:val="20"/>
                <w:szCs w:val="20"/>
              </w:rPr>
            </w:pPr>
            <w:r w:rsidRPr="00EA032D">
              <w:rPr>
                <w:rFonts w:cs="Arial"/>
                <w:b/>
                <w:bCs/>
                <w:color w:val="FFFFFF"/>
                <w:sz w:val="20"/>
                <w:szCs w:val="20"/>
              </w:rPr>
              <w:t xml:space="preserve">Magnitudes e Inversión </w:t>
            </w:r>
          </w:p>
          <w:p w14:paraId="5A905310" w14:textId="77777777" w:rsidR="002318A3" w:rsidRPr="00EA032D" w:rsidRDefault="002318A3" w:rsidP="00AA4BBB">
            <w:pPr>
              <w:jc w:val="center"/>
              <w:rPr>
                <w:rFonts w:cs="Arial"/>
                <w:b/>
                <w:bCs/>
                <w:color w:val="FFFFFF"/>
                <w:sz w:val="20"/>
                <w:szCs w:val="20"/>
              </w:rPr>
            </w:pPr>
            <w:r w:rsidRPr="00EA032D">
              <w:rPr>
                <w:rFonts w:cs="Arial"/>
                <w:b/>
                <w:bCs/>
                <w:color w:val="FFFFFF"/>
                <w:sz w:val="20"/>
                <w:szCs w:val="20"/>
              </w:rPr>
              <w:t>(Precios Constantes 2024)</w:t>
            </w:r>
          </w:p>
        </w:tc>
      </w:tr>
      <w:tr w:rsidR="002318A3" w:rsidRPr="00EA032D" w14:paraId="2A8A9B9D" w14:textId="77777777" w:rsidTr="00AA4BBB">
        <w:trPr>
          <w:tblHeader/>
        </w:trPr>
        <w:tc>
          <w:tcPr>
            <w:tcW w:w="0" w:type="auto"/>
            <w:vMerge/>
            <w:shd w:val="clear" w:color="auto" w:fill="C00000"/>
            <w:vAlign w:val="center"/>
            <w:hideMark/>
          </w:tcPr>
          <w:p w14:paraId="49D8585F" w14:textId="77777777" w:rsidR="002318A3" w:rsidRPr="00EA032D" w:rsidRDefault="002318A3" w:rsidP="00AA4BBB">
            <w:pPr>
              <w:rPr>
                <w:rFonts w:cs="Arial"/>
                <w:b/>
                <w:bCs/>
                <w:color w:val="FFFFFF"/>
                <w:sz w:val="20"/>
                <w:szCs w:val="20"/>
              </w:rPr>
            </w:pPr>
          </w:p>
        </w:tc>
        <w:tc>
          <w:tcPr>
            <w:tcW w:w="0" w:type="auto"/>
            <w:shd w:val="clear" w:color="auto" w:fill="D9D9D9"/>
            <w:tcMar>
              <w:top w:w="30" w:type="dxa"/>
              <w:left w:w="45" w:type="dxa"/>
              <w:bottom w:w="30" w:type="dxa"/>
              <w:right w:w="45" w:type="dxa"/>
            </w:tcMar>
            <w:vAlign w:val="center"/>
            <w:hideMark/>
          </w:tcPr>
          <w:p w14:paraId="0BC31D57" w14:textId="77777777" w:rsidR="002318A3" w:rsidRPr="00EA032D" w:rsidRDefault="002318A3" w:rsidP="00AA4BBB">
            <w:pPr>
              <w:jc w:val="center"/>
              <w:rPr>
                <w:rFonts w:cs="Arial"/>
                <w:b/>
                <w:bCs/>
                <w:sz w:val="20"/>
                <w:szCs w:val="20"/>
              </w:rPr>
            </w:pPr>
            <w:r w:rsidRPr="00EA032D">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57494A80" w14:textId="77777777" w:rsidR="002318A3" w:rsidRPr="00EA032D" w:rsidRDefault="002318A3" w:rsidP="00AA4BBB">
            <w:pPr>
              <w:jc w:val="center"/>
              <w:rPr>
                <w:rFonts w:cs="Arial"/>
                <w:b/>
                <w:bCs/>
                <w:sz w:val="20"/>
                <w:szCs w:val="20"/>
              </w:rPr>
            </w:pPr>
            <w:r w:rsidRPr="00EA032D">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31BBFDAC" w14:textId="77777777" w:rsidR="002318A3" w:rsidRPr="00EA032D" w:rsidRDefault="002318A3" w:rsidP="00AA4BBB">
            <w:pPr>
              <w:jc w:val="center"/>
              <w:rPr>
                <w:rFonts w:cs="Arial"/>
                <w:b/>
                <w:bCs/>
                <w:sz w:val="20"/>
                <w:szCs w:val="20"/>
              </w:rPr>
            </w:pPr>
            <w:r w:rsidRPr="00EA032D">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13FF7BEA" w14:textId="77777777" w:rsidR="002318A3" w:rsidRPr="00EA032D" w:rsidRDefault="002318A3" w:rsidP="00AA4BBB">
            <w:pPr>
              <w:jc w:val="center"/>
              <w:rPr>
                <w:rFonts w:cs="Arial"/>
                <w:b/>
                <w:bCs/>
                <w:sz w:val="20"/>
                <w:szCs w:val="20"/>
              </w:rPr>
            </w:pPr>
            <w:r w:rsidRPr="00EA032D">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4B417DF9" w14:textId="77777777" w:rsidR="002318A3" w:rsidRPr="00EA032D" w:rsidRDefault="002318A3" w:rsidP="00AA4BBB">
            <w:pPr>
              <w:jc w:val="center"/>
              <w:rPr>
                <w:rFonts w:cs="Arial"/>
                <w:b/>
                <w:bCs/>
                <w:sz w:val="20"/>
                <w:szCs w:val="20"/>
              </w:rPr>
            </w:pPr>
            <w:r w:rsidRPr="00EA032D">
              <w:rPr>
                <w:rFonts w:cs="Arial"/>
                <w:b/>
                <w:bCs/>
                <w:sz w:val="20"/>
                <w:szCs w:val="20"/>
              </w:rPr>
              <w:t>Total Inversión</w:t>
            </w:r>
          </w:p>
        </w:tc>
      </w:tr>
      <w:tr w:rsidR="002318A3" w:rsidRPr="00EA032D" w14:paraId="3D9D3969" w14:textId="77777777" w:rsidTr="00AA4BBB">
        <w:tc>
          <w:tcPr>
            <w:tcW w:w="0" w:type="auto"/>
            <w:gridSpan w:val="6"/>
            <w:shd w:val="clear" w:color="auto" w:fill="C00000"/>
            <w:tcMar>
              <w:top w:w="30" w:type="dxa"/>
              <w:left w:w="45" w:type="dxa"/>
              <w:bottom w:w="30" w:type="dxa"/>
              <w:right w:w="45" w:type="dxa"/>
            </w:tcMar>
            <w:vAlign w:val="center"/>
            <w:hideMark/>
          </w:tcPr>
          <w:p w14:paraId="2280ADEE" w14:textId="77777777" w:rsidR="002318A3" w:rsidRPr="00EA032D" w:rsidRDefault="002318A3" w:rsidP="00AA4BBB">
            <w:pPr>
              <w:jc w:val="center"/>
              <w:rPr>
                <w:rFonts w:cs="Arial"/>
                <w:b/>
                <w:bCs/>
                <w:color w:val="FFFFFF" w:themeColor="background1"/>
                <w:sz w:val="20"/>
                <w:szCs w:val="20"/>
              </w:rPr>
            </w:pPr>
            <w:r w:rsidRPr="00EA032D">
              <w:rPr>
                <w:rFonts w:cs="Arial"/>
                <w:b/>
                <w:bCs/>
                <w:color w:val="FFFFFF" w:themeColor="background1"/>
                <w:sz w:val="20"/>
                <w:szCs w:val="20"/>
              </w:rPr>
              <w:t>Gestión jurídica</w:t>
            </w:r>
          </w:p>
        </w:tc>
      </w:tr>
      <w:tr w:rsidR="002318A3" w:rsidRPr="00EA032D" w14:paraId="00CF09B6" w14:textId="77777777" w:rsidTr="00AA4BBB">
        <w:tc>
          <w:tcPr>
            <w:tcW w:w="0" w:type="auto"/>
            <w:vMerge w:val="restart"/>
            <w:tcMar>
              <w:top w:w="30" w:type="dxa"/>
              <w:left w:w="45" w:type="dxa"/>
              <w:bottom w:w="30" w:type="dxa"/>
              <w:right w:w="45" w:type="dxa"/>
            </w:tcMar>
            <w:vAlign w:val="center"/>
            <w:hideMark/>
          </w:tcPr>
          <w:p w14:paraId="53B04297" w14:textId="77777777" w:rsidR="002318A3" w:rsidRPr="00EA032D" w:rsidRDefault="002318A3" w:rsidP="00AA4BBB">
            <w:pPr>
              <w:rPr>
                <w:rFonts w:cs="Arial"/>
                <w:sz w:val="20"/>
                <w:szCs w:val="20"/>
              </w:rPr>
            </w:pPr>
            <w:r w:rsidRPr="00EA032D">
              <w:rPr>
                <w:rFonts w:cs="Arial"/>
                <w:sz w:val="20"/>
                <w:szCs w:val="20"/>
              </w:rPr>
              <w:t>Ejecutar cuatro (4) programas de inspección vigilancia y control de Entidades Sin Ánimo de Lucro enfocado al fortalecimiento del control social y la gestión del conocimiento</w:t>
            </w:r>
          </w:p>
        </w:tc>
        <w:tc>
          <w:tcPr>
            <w:tcW w:w="0" w:type="auto"/>
            <w:tcMar>
              <w:top w:w="30" w:type="dxa"/>
              <w:left w:w="45" w:type="dxa"/>
              <w:bottom w:w="30" w:type="dxa"/>
              <w:right w:w="45" w:type="dxa"/>
            </w:tcMar>
            <w:vAlign w:val="center"/>
            <w:hideMark/>
          </w:tcPr>
          <w:p w14:paraId="2BF785B4"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51D124FA"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5F847BD0"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788EB11A"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vMerge w:val="restart"/>
            <w:tcMar>
              <w:top w:w="30" w:type="dxa"/>
              <w:left w:w="45" w:type="dxa"/>
              <w:bottom w:w="30" w:type="dxa"/>
              <w:right w:w="45" w:type="dxa"/>
            </w:tcMar>
            <w:vAlign w:val="center"/>
            <w:hideMark/>
          </w:tcPr>
          <w:p w14:paraId="152D2AC8" w14:textId="77777777" w:rsidR="002318A3" w:rsidRPr="00EA032D" w:rsidRDefault="002318A3" w:rsidP="00AA4BBB">
            <w:pPr>
              <w:jc w:val="center"/>
              <w:rPr>
                <w:rFonts w:cs="Arial"/>
                <w:b/>
                <w:bCs/>
                <w:sz w:val="20"/>
                <w:szCs w:val="20"/>
              </w:rPr>
            </w:pPr>
            <w:r w:rsidRPr="00EA032D">
              <w:rPr>
                <w:rFonts w:cs="Arial"/>
                <w:b/>
                <w:bCs/>
                <w:sz w:val="20"/>
                <w:szCs w:val="20"/>
              </w:rPr>
              <w:t>2.933.972.451</w:t>
            </w:r>
          </w:p>
        </w:tc>
      </w:tr>
      <w:tr w:rsidR="002318A3" w:rsidRPr="00EA032D" w14:paraId="295FEB14" w14:textId="77777777" w:rsidTr="00AA4BBB">
        <w:tc>
          <w:tcPr>
            <w:tcW w:w="0" w:type="auto"/>
            <w:vMerge/>
            <w:vAlign w:val="center"/>
            <w:hideMark/>
          </w:tcPr>
          <w:p w14:paraId="21B4306F"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18B2D756" w14:textId="77777777" w:rsidR="002318A3" w:rsidRPr="00EA032D" w:rsidRDefault="002318A3" w:rsidP="00AA4BBB">
            <w:pPr>
              <w:jc w:val="center"/>
              <w:rPr>
                <w:rFonts w:cs="Arial"/>
                <w:sz w:val="20"/>
                <w:szCs w:val="20"/>
              </w:rPr>
            </w:pPr>
            <w:r w:rsidRPr="00EA032D">
              <w:rPr>
                <w:rFonts w:cs="Arial"/>
                <w:sz w:val="20"/>
                <w:szCs w:val="20"/>
              </w:rPr>
              <w:t>182.000.000</w:t>
            </w:r>
          </w:p>
        </w:tc>
        <w:tc>
          <w:tcPr>
            <w:tcW w:w="0" w:type="auto"/>
            <w:tcMar>
              <w:top w:w="30" w:type="dxa"/>
              <w:left w:w="45" w:type="dxa"/>
              <w:bottom w:w="30" w:type="dxa"/>
              <w:right w:w="45" w:type="dxa"/>
            </w:tcMar>
            <w:vAlign w:val="center"/>
            <w:hideMark/>
          </w:tcPr>
          <w:p w14:paraId="1FFBC863" w14:textId="77777777" w:rsidR="002318A3" w:rsidRPr="00EA032D" w:rsidRDefault="002318A3" w:rsidP="00AA4BBB">
            <w:pPr>
              <w:jc w:val="center"/>
              <w:rPr>
                <w:rFonts w:cs="Arial"/>
                <w:sz w:val="20"/>
                <w:szCs w:val="20"/>
              </w:rPr>
            </w:pPr>
            <w:r w:rsidRPr="00EA032D">
              <w:rPr>
                <w:rFonts w:cs="Arial"/>
                <w:sz w:val="20"/>
                <w:szCs w:val="20"/>
              </w:rPr>
              <w:t>965.048.544</w:t>
            </w:r>
          </w:p>
        </w:tc>
        <w:tc>
          <w:tcPr>
            <w:tcW w:w="0" w:type="auto"/>
            <w:tcMar>
              <w:top w:w="30" w:type="dxa"/>
              <w:left w:w="45" w:type="dxa"/>
              <w:bottom w:w="30" w:type="dxa"/>
              <w:right w:w="45" w:type="dxa"/>
            </w:tcMar>
            <w:vAlign w:val="center"/>
            <w:hideMark/>
          </w:tcPr>
          <w:p w14:paraId="19433A66" w14:textId="77777777" w:rsidR="002318A3" w:rsidRPr="00EA032D" w:rsidRDefault="002318A3" w:rsidP="00AA4BBB">
            <w:pPr>
              <w:jc w:val="center"/>
              <w:rPr>
                <w:rFonts w:cs="Arial"/>
                <w:sz w:val="20"/>
                <w:szCs w:val="20"/>
              </w:rPr>
            </w:pPr>
            <w:r w:rsidRPr="00EA032D">
              <w:rPr>
                <w:rFonts w:cs="Arial"/>
                <w:sz w:val="20"/>
                <w:szCs w:val="20"/>
              </w:rPr>
              <w:t>899.236.497</w:t>
            </w:r>
          </w:p>
        </w:tc>
        <w:tc>
          <w:tcPr>
            <w:tcW w:w="0" w:type="auto"/>
            <w:tcMar>
              <w:top w:w="30" w:type="dxa"/>
              <w:left w:w="45" w:type="dxa"/>
              <w:bottom w:w="30" w:type="dxa"/>
              <w:right w:w="45" w:type="dxa"/>
            </w:tcMar>
            <w:vAlign w:val="center"/>
            <w:hideMark/>
          </w:tcPr>
          <w:p w14:paraId="43240E45" w14:textId="77777777" w:rsidR="002318A3" w:rsidRPr="00EA032D" w:rsidRDefault="002318A3" w:rsidP="00AA4BBB">
            <w:pPr>
              <w:jc w:val="center"/>
              <w:rPr>
                <w:rFonts w:cs="Arial"/>
                <w:sz w:val="20"/>
                <w:szCs w:val="20"/>
              </w:rPr>
            </w:pPr>
            <w:r w:rsidRPr="00EA032D">
              <w:rPr>
                <w:rFonts w:cs="Arial"/>
                <w:sz w:val="20"/>
                <w:szCs w:val="20"/>
              </w:rPr>
              <w:t>887.687.410</w:t>
            </w:r>
          </w:p>
        </w:tc>
        <w:tc>
          <w:tcPr>
            <w:tcW w:w="0" w:type="auto"/>
            <w:vMerge/>
            <w:vAlign w:val="center"/>
            <w:hideMark/>
          </w:tcPr>
          <w:p w14:paraId="59443988" w14:textId="77777777" w:rsidR="002318A3" w:rsidRPr="00EA032D" w:rsidRDefault="002318A3" w:rsidP="00AA4BBB">
            <w:pPr>
              <w:rPr>
                <w:rFonts w:cs="Arial"/>
                <w:b/>
                <w:bCs/>
                <w:sz w:val="20"/>
                <w:szCs w:val="20"/>
              </w:rPr>
            </w:pPr>
          </w:p>
        </w:tc>
      </w:tr>
      <w:tr w:rsidR="002318A3" w:rsidRPr="00EA032D" w14:paraId="5538B7E1" w14:textId="77777777" w:rsidTr="00AA4BBB">
        <w:tc>
          <w:tcPr>
            <w:tcW w:w="0" w:type="auto"/>
            <w:vMerge w:val="restart"/>
            <w:tcMar>
              <w:top w:w="30" w:type="dxa"/>
              <w:left w:w="45" w:type="dxa"/>
              <w:bottom w:w="30" w:type="dxa"/>
              <w:right w:w="45" w:type="dxa"/>
            </w:tcMar>
            <w:vAlign w:val="center"/>
            <w:hideMark/>
          </w:tcPr>
          <w:p w14:paraId="5FCA1B7B" w14:textId="77777777" w:rsidR="002318A3" w:rsidRPr="00EA032D" w:rsidRDefault="002318A3" w:rsidP="00AA4BBB">
            <w:pPr>
              <w:rPr>
                <w:rFonts w:cs="Arial"/>
                <w:sz w:val="20"/>
                <w:szCs w:val="20"/>
              </w:rPr>
            </w:pPr>
            <w:r w:rsidRPr="00EA032D">
              <w:rPr>
                <w:rFonts w:cs="Arial"/>
                <w:sz w:val="20"/>
                <w:szCs w:val="20"/>
              </w:rPr>
              <w:t>Ejecutar el 100% de las acciones para el fortalecimiento del Sistema Jurídico Integral Anticorrupción SIJIA (Observatorio Distrital de Contratación y Lucha Anticorrupción-ODCLA y el Modelo de gestión jurídica anticorrupción)</w:t>
            </w:r>
          </w:p>
        </w:tc>
        <w:tc>
          <w:tcPr>
            <w:tcW w:w="0" w:type="auto"/>
            <w:tcMar>
              <w:top w:w="30" w:type="dxa"/>
              <w:left w:w="45" w:type="dxa"/>
              <w:bottom w:w="30" w:type="dxa"/>
              <w:right w:w="45" w:type="dxa"/>
            </w:tcMar>
            <w:vAlign w:val="center"/>
            <w:hideMark/>
          </w:tcPr>
          <w:p w14:paraId="678D26E1" w14:textId="77777777" w:rsidR="002318A3" w:rsidRPr="00EA032D" w:rsidRDefault="002318A3" w:rsidP="00AA4BBB">
            <w:pPr>
              <w:jc w:val="center"/>
              <w:rPr>
                <w:rFonts w:cs="Arial"/>
                <w:sz w:val="20"/>
                <w:szCs w:val="20"/>
              </w:rPr>
            </w:pPr>
            <w:r w:rsidRPr="00EA032D">
              <w:rPr>
                <w:rFonts w:cs="Arial"/>
                <w:sz w:val="20"/>
                <w:szCs w:val="20"/>
              </w:rPr>
              <w:t>15,00%</w:t>
            </w:r>
          </w:p>
        </w:tc>
        <w:tc>
          <w:tcPr>
            <w:tcW w:w="0" w:type="auto"/>
            <w:tcMar>
              <w:top w:w="30" w:type="dxa"/>
              <w:left w:w="45" w:type="dxa"/>
              <w:bottom w:w="30" w:type="dxa"/>
              <w:right w:w="45" w:type="dxa"/>
            </w:tcMar>
            <w:vAlign w:val="center"/>
            <w:hideMark/>
          </w:tcPr>
          <w:p w14:paraId="2D1986D7" w14:textId="77777777" w:rsidR="002318A3" w:rsidRPr="00EA032D" w:rsidRDefault="002318A3" w:rsidP="00AA4BBB">
            <w:pPr>
              <w:jc w:val="center"/>
              <w:rPr>
                <w:rFonts w:cs="Arial"/>
                <w:sz w:val="20"/>
                <w:szCs w:val="20"/>
              </w:rPr>
            </w:pPr>
            <w:r w:rsidRPr="00EA032D">
              <w:rPr>
                <w:rFonts w:cs="Arial"/>
                <w:sz w:val="20"/>
                <w:szCs w:val="20"/>
              </w:rPr>
              <w:t>30,00%</w:t>
            </w:r>
          </w:p>
        </w:tc>
        <w:tc>
          <w:tcPr>
            <w:tcW w:w="0" w:type="auto"/>
            <w:tcMar>
              <w:top w:w="30" w:type="dxa"/>
              <w:left w:w="45" w:type="dxa"/>
              <w:bottom w:w="30" w:type="dxa"/>
              <w:right w:w="45" w:type="dxa"/>
            </w:tcMar>
            <w:vAlign w:val="center"/>
            <w:hideMark/>
          </w:tcPr>
          <w:p w14:paraId="4756BEAC" w14:textId="77777777" w:rsidR="002318A3" w:rsidRPr="00EA032D" w:rsidRDefault="002318A3" w:rsidP="00AA4BBB">
            <w:pPr>
              <w:jc w:val="center"/>
              <w:rPr>
                <w:rFonts w:cs="Arial"/>
                <w:sz w:val="20"/>
                <w:szCs w:val="20"/>
              </w:rPr>
            </w:pPr>
            <w:r w:rsidRPr="00EA032D">
              <w:rPr>
                <w:rFonts w:cs="Arial"/>
                <w:sz w:val="20"/>
                <w:szCs w:val="20"/>
              </w:rPr>
              <w:t>30,00%</w:t>
            </w:r>
          </w:p>
        </w:tc>
        <w:tc>
          <w:tcPr>
            <w:tcW w:w="0" w:type="auto"/>
            <w:tcMar>
              <w:top w:w="30" w:type="dxa"/>
              <w:left w:w="45" w:type="dxa"/>
              <w:bottom w:w="30" w:type="dxa"/>
              <w:right w:w="45" w:type="dxa"/>
            </w:tcMar>
            <w:vAlign w:val="center"/>
            <w:hideMark/>
          </w:tcPr>
          <w:p w14:paraId="65DD9AC8" w14:textId="77777777" w:rsidR="002318A3" w:rsidRPr="00EA032D" w:rsidRDefault="002318A3" w:rsidP="00AA4BBB">
            <w:pPr>
              <w:jc w:val="center"/>
              <w:rPr>
                <w:rFonts w:cs="Arial"/>
                <w:sz w:val="20"/>
                <w:szCs w:val="20"/>
              </w:rPr>
            </w:pPr>
            <w:r w:rsidRPr="00EA032D">
              <w:rPr>
                <w:rFonts w:cs="Arial"/>
                <w:sz w:val="20"/>
                <w:szCs w:val="20"/>
              </w:rPr>
              <w:t>25,00%</w:t>
            </w:r>
          </w:p>
        </w:tc>
        <w:tc>
          <w:tcPr>
            <w:tcW w:w="0" w:type="auto"/>
            <w:vMerge w:val="restart"/>
            <w:tcMar>
              <w:top w:w="30" w:type="dxa"/>
              <w:left w:w="45" w:type="dxa"/>
              <w:bottom w:w="30" w:type="dxa"/>
              <w:right w:w="45" w:type="dxa"/>
            </w:tcMar>
            <w:vAlign w:val="center"/>
            <w:hideMark/>
          </w:tcPr>
          <w:p w14:paraId="0187E3BF" w14:textId="77777777" w:rsidR="002318A3" w:rsidRPr="00EA032D" w:rsidRDefault="002318A3" w:rsidP="00AA4BBB">
            <w:pPr>
              <w:jc w:val="center"/>
              <w:rPr>
                <w:rFonts w:cs="Arial"/>
                <w:b/>
                <w:bCs/>
                <w:sz w:val="20"/>
                <w:szCs w:val="20"/>
              </w:rPr>
            </w:pPr>
            <w:r w:rsidRPr="00EA032D">
              <w:rPr>
                <w:rFonts w:cs="Arial"/>
                <w:b/>
                <w:bCs/>
                <w:sz w:val="20"/>
                <w:szCs w:val="20"/>
              </w:rPr>
              <w:t>1.047.876.496</w:t>
            </w:r>
          </w:p>
        </w:tc>
      </w:tr>
      <w:tr w:rsidR="002318A3" w:rsidRPr="00EA032D" w14:paraId="25117D6A" w14:textId="77777777" w:rsidTr="00AA4BBB">
        <w:tc>
          <w:tcPr>
            <w:tcW w:w="0" w:type="auto"/>
            <w:vMerge/>
            <w:vAlign w:val="center"/>
            <w:hideMark/>
          </w:tcPr>
          <w:p w14:paraId="7BF313FE"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3752FA19" w14:textId="77777777" w:rsidR="002318A3" w:rsidRPr="00EA032D" w:rsidRDefault="002318A3" w:rsidP="00AA4BBB">
            <w:pPr>
              <w:jc w:val="center"/>
              <w:rPr>
                <w:rFonts w:cs="Arial"/>
                <w:sz w:val="20"/>
                <w:szCs w:val="20"/>
              </w:rPr>
            </w:pPr>
            <w:r w:rsidRPr="00EA032D">
              <w:rPr>
                <w:rFonts w:cs="Arial"/>
                <w:sz w:val="20"/>
                <w:szCs w:val="20"/>
              </w:rPr>
              <w:t>220.000.000</w:t>
            </w:r>
          </w:p>
        </w:tc>
        <w:tc>
          <w:tcPr>
            <w:tcW w:w="0" w:type="auto"/>
            <w:tcMar>
              <w:top w:w="30" w:type="dxa"/>
              <w:left w:w="45" w:type="dxa"/>
              <w:bottom w:w="30" w:type="dxa"/>
              <w:right w:w="45" w:type="dxa"/>
            </w:tcMar>
            <w:vAlign w:val="center"/>
            <w:hideMark/>
          </w:tcPr>
          <w:p w14:paraId="0551709F" w14:textId="77777777" w:rsidR="002318A3" w:rsidRPr="00EA032D" w:rsidRDefault="002318A3" w:rsidP="00AA4BBB">
            <w:pPr>
              <w:jc w:val="center"/>
              <w:rPr>
                <w:rFonts w:cs="Arial"/>
                <w:sz w:val="20"/>
                <w:szCs w:val="20"/>
              </w:rPr>
            </w:pPr>
            <w:r w:rsidRPr="00EA032D">
              <w:rPr>
                <w:rFonts w:cs="Arial"/>
                <w:sz w:val="20"/>
                <w:szCs w:val="20"/>
              </w:rPr>
              <w:t>262.135.922</w:t>
            </w:r>
          </w:p>
        </w:tc>
        <w:tc>
          <w:tcPr>
            <w:tcW w:w="0" w:type="auto"/>
            <w:tcMar>
              <w:top w:w="30" w:type="dxa"/>
              <w:left w:w="45" w:type="dxa"/>
              <w:bottom w:w="30" w:type="dxa"/>
              <w:right w:w="45" w:type="dxa"/>
            </w:tcMar>
            <w:vAlign w:val="center"/>
            <w:hideMark/>
          </w:tcPr>
          <w:p w14:paraId="205A2794" w14:textId="77777777" w:rsidR="002318A3" w:rsidRPr="00EA032D" w:rsidRDefault="002318A3" w:rsidP="00AA4BBB">
            <w:pPr>
              <w:jc w:val="center"/>
              <w:rPr>
                <w:rFonts w:cs="Arial"/>
                <w:sz w:val="20"/>
                <w:szCs w:val="20"/>
              </w:rPr>
            </w:pPr>
            <w:r w:rsidRPr="00EA032D">
              <w:rPr>
                <w:rFonts w:cs="Arial"/>
                <w:sz w:val="20"/>
                <w:szCs w:val="20"/>
              </w:rPr>
              <w:t>273.352.814</w:t>
            </w:r>
          </w:p>
        </w:tc>
        <w:tc>
          <w:tcPr>
            <w:tcW w:w="0" w:type="auto"/>
            <w:tcMar>
              <w:top w:w="30" w:type="dxa"/>
              <w:left w:w="45" w:type="dxa"/>
              <w:bottom w:w="30" w:type="dxa"/>
              <w:right w:w="45" w:type="dxa"/>
            </w:tcMar>
            <w:vAlign w:val="center"/>
            <w:hideMark/>
          </w:tcPr>
          <w:p w14:paraId="3DAD2BDD" w14:textId="77777777" w:rsidR="002318A3" w:rsidRPr="00EA032D" w:rsidRDefault="002318A3" w:rsidP="00AA4BBB">
            <w:pPr>
              <w:jc w:val="center"/>
              <w:rPr>
                <w:rFonts w:cs="Arial"/>
                <w:sz w:val="20"/>
                <w:szCs w:val="20"/>
              </w:rPr>
            </w:pPr>
            <w:r w:rsidRPr="00EA032D">
              <w:rPr>
                <w:rFonts w:cs="Arial"/>
                <w:sz w:val="20"/>
                <w:szCs w:val="20"/>
              </w:rPr>
              <w:t>292.387.760</w:t>
            </w:r>
          </w:p>
        </w:tc>
        <w:tc>
          <w:tcPr>
            <w:tcW w:w="0" w:type="auto"/>
            <w:vMerge/>
            <w:vAlign w:val="center"/>
            <w:hideMark/>
          </w:tcPr>
          <w:p w14:paraId="3778819F" w14:textId="77777777" w:rsidR="002318A3" w:rsidRPr="00EA032D" w:rsidRDefault="002318A3" w:rsidP="00AA4BBB">
            <w:pPr>
              <w:rPr>
                <w:rFonts w:cs="Arial"/>
                <w:b/>
                <w:bCs/>
                <w:sz w:val="20"/>
                <w:szCs w:val="20"/>
              </w:rPr>
            </w:pPr>
          </w:p>
        </w:tc>
      </w:tr>
      <w:tr w:rsidR="002318A3" w:rsidRPr="00EA032D" w14:paraId="7E6B4507" w14:textId="77777777" w:rsidTr="00AA4BBB">
        <w:tc>
          <w:tcPr>
            <w:tcW w:w="0" w:type="auto"/>
            <w:gridSpan w:val="6"/>
            <w:shd w:val="clear" w:color="auto" w:fill="C00000"/>
            <w:tcMar>
              <w:top w:w="30" w:type="dxa"/>
              <w:left w:w="45" w:type="dxa"/>
              <w:bottom w:w="30" w:type="dxa"/>
              <w:right w:w="45" w:type="dxa"/>
            </w:tcMar>
            <w:vAlign w:val="center"/>
            <w:hideMark/>
          </w:tcPr>
          <w:p w14:paraId="2B051E61" w14:textId="77777777" w:rsidR="002318A3" w:rsidRPr="00EA032D" w:rsidRDefault="002318A3" w:rsidP="00AA4BBB">
            <w:pPr>
              <w:jc w:val="center"/>
              <w:rPr>
                <w:rFonts w:cs="Arial"/>
                <w:b/>
                <w:bCs/>
                <w:sz w:val="20"/>
                <w:szCs w:val="20"/>
              </w:rPr>
            </w:pPr>
            <w:r w:rsidRPr="00EA032D">
              <w:rPr>
                <w:rFonts w:cs="Arial"/>
                <w:b/>
                <w:bCs/>
                <w:color w:val="FFFFFF" w:themeColor="background1"/>
                <w:sz w:val="20"/>
                <w:szCs w:val="20"/>
              </w:rPr>
              <w:t>Gestión pública</w:t>
            </w:r>
          </w:p>
        </w:tc>
      </w:tr>
      <w:tr w:rsidR="002318A3" w:rsidRPr="00EA032D" w14:paraId="46E905C5" w14:textId="77777777" w:rsidTr="00AA4BBB">
        <w:tc>
          <w:tcPr>
            <w:tcW w:w="0" w:type="auto"/>
            <w:vMerge w:val="restart"/>
            <w:tcMar>
              <w:top w:w="30" w:type="dxa"/>
              <w:left w:w="45" w:type="dxa"/>
              <w:bottom w:w="30" w:type="dxa"/>
              <w:right w:w="45" w:type="dxa"/>
            </w:tcMar>
            <w:vAlign w:val="center"/>
            <w:hideMark/>
          </w:tcPr>
          <w:p w14:paraId="74441CEB" w14:textId="77777777" w:rsidR="002318A3" w:rsidRPr="00EA032D" w:rsidRDefault="002318A3" w:rsidP="00AA4BBB">
            <w:pPr>
              <w:rPr>
                <w:rFonts w:cs="Arial"/>
                <w:sz w:val="20"/>
                <w:szCs w:val="20"/>
              </w:rPr>
            </w:pPr>
            <w:r w:rsidRPr="00EA032D">
              <w:rPr>
                <w:rFonts w:cs="Arial"/>
                <w:sz w:val="20"/>
                <w:szCs w:val="20"/>
              </w:rPr>
              <w:t xml:space="preserve">Ejecutar una estrategia de comunicación pública que permita brindar información sobre la oferta de servicios y la gestión de la administración distrital. </w:t>
            </w:r>
          </w:p>
        </w:tc>
        <w:tc>
          <w:tcPr>
            <w:tcW w:w="0" w:type="auto"/>
            <w:tcMar>
              <w:top w:w="30" w:type="dxa"/>
              <w:left w:w="45" w:type="dxa"/>
              <w:bottom w:w="30" w:type="dxa"/>
              <w:right w:w="45" w:type="dxa"/>
            </w:tcMar>
            <w:vAlign w:val="center"/>
            <w:hideMark/>
          </w:tcPr>
          <w:p w14:paraId="74165B7A"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18C05E1E"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26E7760C"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18A87956"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vMerge w:val="restart"/>
            <w:tcMar>
              <w:top w:w="30" w:type="dxa"/>
              <w:left w:w="45" w:type="dxa"/>
              <w:bottom w:w="30" w:type="dxa"/>
              <w:right w:w="45" w:type="dxa"/>
            </w:tcMar>
            <w:vAlign w:val="center"/>
            <w:hideMark/>
          </w:tcPr>
          <w:p w14:paraId="12439CF4" w14:textId="77777777" w:rsidR="002318A3" w:rsidRPr="00EA032D" w:rsidRDefault="002318A3" w:rsidP="00AA4BBB">
            <w:pPr>
              <w:jc w:val="center"/>
              <w:rPr>
                <w:rFonts w:cs="Arial"/>
                <w:b/>
                <w:bCs/>
                <w:sz w:val="20"/>
                <w:szCs w:val="20"/>
              </w:rPr>
            </w:pPr>
            <w:r w:rsidRPr="00EA032D">
              <w:rPr>
                <w:rFonts w:cs="Arial"/>
                <w:b/>
                <w:bCs/>
                <w:sz w:val="20"/>
                <w:szCs w:val="20"/>
              </w:rPr>
              <w:t>86.172.349.323</w:t>
            </w:r>
          </w:p>
        </w:tc>
      </w:tr>
      <w:tr w:rsidR="002318A3" w:rsidRPr="00EA032D" w14:paraId="34190762" w14:textId="77777777" w:rsidTr="00AA4BBB">
        <w:tc>
          <w:tcPr>
            <w:tcW w:w="0" w:type="auto"/>
            <w:vMerge/>
            <w:vAlign w:val="center"/>
            <w:hideMark/>
          </w:tcPr>
          <w:p w14:paraId="748F3B31"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35DEC4D5" w14:textId="77777777" w:rsidR="002318A3" w:rsidRPr="00EA032D" w:rsidRDefault="002318A3" w:rsidP="00AA4BBB">
            <w:pPr>
              <w:jc w:val="center"/>
              <w:rPr>
                <w:rFonts w:cs="Arial"/>
                <w:sz w:val="20"/>
                <w:szCs w:val="20"/>
              </w:rPr>
            </w:pPr>
            <w:r w:rsidRPr="00EA032D">
              <w:rPr>
                <w:rFonts w:cs="Arial"/>
                <w:sz w:val="20"/>
                <w:szCs w:val="20"/>
              </w:rPr>
              <w:t>20.049.019.687</w:t>
            </w:r>
          </w:p>
        </w:tc>
        <w:tc>
          <w:tcPr>
            <w:tcW w:w="0" w:type="auto"/>
            <w:tcMar>
              <w:top w:w="30" w:type="dxa"/>
              <w:left w:w="45" w:type="dxa"/>
              <w:bottom w:w="30" w:type="dxa"/>
              <w:right w:w="45" w:type="dxa"/>
            </w:tcMar>
            <w:vAlign w:val="center"/>
            <w:hideMark/>
          </w:tcPr>
          <w:p w14:paraId="3E31E6F0" w14:textId="77777777" w:rsidR="002318A3" w:rsidRPr="00EA032D" w:rsidRDefault="002318A3" w:rsidP="00AA4BBB">
            <w:pPr>
              <w:jc w:val="center"/>
              <w:rPr>
                <w:rFonts w:cs="Arial"/>
                <w:sz w:val="20"/>
                <w:szCs w:val="20"/>
              </w:rPr>
            </w:pPr>
            <w:r w:rsidRPr="00EA032D">
              <w:rPr>
                <w:rFonts w:cs="Arial"/>
                <w:sz w:val="20"/>
                <w:szCs w:val="20"/>
              </w:rPr>
              <w:t>20.609.911.848</w:t>
            </w:r>
          </w:p>
        </w:tc>
        <w:tc>
          <w:tcPr>
            <w:tcW w:w="0" w:type="auto"/>
            <w:tcMar>
              <w:top w:w="30" w:type="dxa"/>
              <w:left w:w="45" w:type="dxa"/>
              <w:bottom w:w="30" w:type="dxa"/>
              <w:right w:w="45" w:type="dxa"/>
            </w:tcMar>
            <w:vAlign w:val="center"/>
            <w:hideMark/>
          </w:tcPr>
          <w:p w14:paraId="1B754A93" w14:textId="77777777" w:rsidR="002318A3" w:rsidRPr="00EA032D" w:rsidRDefault="002318A3" w:rsidP="00AA4BBB">
            <w:pPr>
              <w:jc w:val="center"/>
              <w:rPr>
                <w:rFonts w:cs="Arial"/>
                <w:sz w:val="20"/>
                <w:szCs w:val="20"/>
              </w:rPr>
            </w:pPr>
            <w:r w:rsidRPr="00EA032D">
              <w:rPr>
                <w:rFonts w:cs="Arial"/>
                <w:sz w:val="20"/>
                <w:szCs w:val="20"/>
              </w:rPr>
              <w:t>22.756.982.318</w:t>
            </w:r>
          </w:p>
        </w:tc>
        <w:tc>
          <w:tcPr>
            <w:tcW w:w="0" w:type="auto"/>
            <w:tcMar>
              <w:top w:w="30" w:type="dxa"/>
              <w:left w:w="45" w:type="dxa"/>
              <w:bottom w:w="30" w:type="dxa"/>
              <w:right w:w="45" w:type="dxa"/>
            </w:tcMar>
            <w:vAlign w:val="center"/>
            <w:hideMark/>
          </w:tcPr>
          <w:p w14:paraId="7DBAA484" w14:textId="77777777" w:rsidR="002318A3" w:rsidRPr="00EA032D" w:rsidRDefault="002318A3" w:rsidP="00AA4BBB">
            <w:pPr>
              <w:jc w:val="center"/>
              <w:rPr>
                <w:rFonts w:cs="Arial"/>
                <w:sz w:val="20"/>
                <w:szCs w:val="20"/>
              </w:rPr>
            </w:pPr>
            <w:r w:rsidRPr="00EA032D">
              <w:rPr>
                <w:rFonts w:cs="Arial"/>
                <w:sz w:val="20"/>
                <w:szCs w:val="20"/>
              </w:rPr>
              <w:t>22.756.435.471</w:t>
            </w:r>
          </w:p>
        </w:tc>
        <w:tc>
          <w:tcPr>
            <w:tcW w:w="0" w:type="auto"/>
            <w:vMerge/>
            <w:vAlign w:val="center"/>
            <w:hideMark/>
          </w:tcPr>
          <w:p w14:paraId="7C466837" w14:textId="77777777" w:rsidR="002318A3" w:rsidRPr="00EA032D" w:rsidRDefault="002318A3" w:rsidP="00AA4BBB">
            <w:pPr>
              <w:rPr>
                <w:rFonts w:cs="Arial"/>
                <w:b/>
                <w:bCs/>
                <w:sz w:val="20"/>
                <w:szCs w:val="20"/>
              </w:rPr>
            </w:pPr>
          </w:p>
        </w:tc>
      </w:tr>
      <w:tr w:rsidR="002318A3" w:rsidRPr="00EA032D" w14:paraId="23789F0F" w14:textId="77777777" w:rsidTr="00AA4BBB">
        <w:tc>
          <w:tcPr>
            <w:tcW w:w="0" w:type="auto"/>
            <w:vMerge w:val="restart"/>
            <w:tcMar>
              <w:top w:w="30" w:type="dxa"/>
              <w:left w:w="45" w:type="dxa"/>
              <w:bottom w:w="30" w:type="dxa"/>
              <w:right w:w="45" w:type="dxa"/>
            </w:tcMar>
            <w:vAlign w:val="center"/>
            <w:hideMark/>
          </w:tcPr>
          <w:p w14:paraId="3F3D08C1" w14:textId="77777777" w:rsidR="002318A3" w:rsidRPr="00EA032D" w:rsidRDefault="002318A3" w:rsidP="00AA4BBB">
            <w:pPr>
              <w:rPr>
                <w:rFonts w:cs="Arial"/>
                <w:sz w:val="20"/>
                <w:szCs w:val="20"/>
              </w:rPr>
            </w:pPr>
            <w:r w:rsidRPr="00EA032D">
              <w:rPr>
                <w:rFonts w:cs="Arial"/>
                <w:sz w:val="20"/>
                <w:szCs w:val="20"/>
              </w:rPr>
              <w:t xml:space="preserve">Fortalecer la estrategia de Gobierno Abierto que integre y articule acciones de transparencia, innovación, datos abiertos, colaboración y alianzas con organismos internacionales y nacionales que fomenten confianza y </w:t>
            </w:r>
            <w:r w:rsidRPr="00EA032D">
              <w:rPr>
                <w:rFonts w:cs="Arial"/>
                <w:sz w:val="20"/>
                <w:szCs w:val="20"/>
              </w:rPr>
              <w:lastRenderedPageBreak/>
              <w:t>acerquen a la ciudadanía con la Administración.</w:t>
            </w:r>
          </w:p>
        </w:tc>
        <w:tc>
          <w:tcPr>
            <w:tcW w:w="0" w:type="auto"/>
            <w:tcMar>
              <w:top w:w="30" w:type="dxa"/>
              <w:left w:w="45" w:type="dxa"/>
              <w:bottom w:w="30" w:type="dxa"/>
              <w:right w:w="45" w:type="dxa"/>
            </w:tcMar>
            <w:vAlign w:val="center"/>
            <w:hideMark/>
          </w:tcPr>
          <w:p w14:paraId="238598E6" w14:textId="77777777" w:rsidR="002318A3" w:rsidRPr="00EA032D" w:rsidRDefault="002318A3" w:rsidP="00AA4BBB">
            <w:pPr>
              <w:jc w:val="center"/>
              <w:rPr>
                <w:rFonts w:cs="Arial"/>
                <w:sz w:val="20"/>
                <w:szCs w:val="20"/>
              </w:rPr>
            </w:pPr>
            <w:r w:rsidRPr="00EA032D">
              <w:rPr>
                <w:rFonts w:cs="Arial"/>
                <w:sz w:val="20"/>
                <w:szCs w:val="20"/>
              </w:rPr>
              <w:lastRenderedPageBreak/>
              <w:t>0,2</w:t>
            </w:r>
          </w:p>
        </w:tc>
        <w:tc>
          <w:tcPr>
            <w:tcW w:w="0" w:type="auto"/>
            <w:tcMar>
              <w:top w:w="30" w:type="dxa"/>
              <w:left w:w="45" w:type="dxa"/>
              <w:bottom w:w="30" w:type="dxa"/>
              <w:right w:w="45" w:type="dxa"/>
            </w:tcMar>
            <w:vAlign w:val="center"/>
            <w:hideMark/>
          </w:tcPr>
          <w:p w14:paraId="57477FA7" w14:textId="77777777" w:rsidR="002318A3" w:rsidRPr="00EA032D" w:rsidRDefault="002318A3" w:rsidP="00AA4BBB">
            <w:pPr>
              <w:jc w:val="center"/>
              <w:rPr>
                <w:rFonts w:cs="Arial"/>
                <w:sz w:val="20"/>
                <w:szCs w:val="20"/>
              </w:rPr>
            </w:pPr>
            <w:r w:rsidRPr="00EA032D">
              <w:rPr>
                <w:rFonts w:cs="Arial"/>
                <w:sz w:val="20"/>
                <w:szCs w:val="20"/>
              </w:rPr>
              <w:t>0,3</w:t>
            </w:r>
          </w:p>
        </w:tc>
        <w:tc>
          <w:tcPr>
            <w:tcW w:w="0" w:type="auto"/>
            <w:tcMar>
              <w:top w:w="30" w:type="dxa"/>
              <w:left w:w="45" w:type="dxa"/>
              <w:bottom w:w="30" w:type="dxa"/>
              <w:right w:w="45" w:type="dxa"/>
            </w:tcMar>
            <w:vAlign w:val="center"/>
            <w:hideMark/>
          </w:tcPr>
          <w:p w14:paraId="6CF90A2C" w14:textId="77777777" w:rsidR="002318A3" w:rsidRPr="00EA032D" w:rsidRDefault="002318A3" w:rsidP="00AA4BBB">
            <w:pPr>
              <w:jc w:val="center"/>
              <w:rPr>
                <w:rFonts w:cs="Arial"/>
                <w:sz w:val="20"/>
                <w:szCs w:val="20"/>
              </w:rPr>
            </w:pPr>
            <w:r w:rsidRPr="00EA032D">
              <w:rPr>
                <w:rFonts w:cs="Arial"/>
                <w:sz w:val="20"/>
                <w:szCs w:val="20"/>
              </w:rPr>
              <w:t>0,3</w:t>
            </w:r>
          </w:p>
        </w:tc>
        <w:tc>
          <w:tcPr>
            <w:tcW w:w="0" w:type="auto"/>
            <w:tcMar>
              <w:top w:w="30" w:type="dxa"/>
              <w:left w:w="45" w:type="dxa"/>
              <w:bottom w:w="30" w:type="dxa"/>
              <w:right w:w="45" w:type="dxa"/>
            </w:tcMar>
            <w:vAlign w:val="center"/>
            <w:hideMark/>
          </w:tcPr>
          <w:p w14:paraId="29083864" w14:textId="77777777" w:rsidR="002318A3" w:rsidRPr="00EA032D" w:rsidRDefault="002318A3" w:rsidP="00AA4BBB">
            <w:pPr>
              <w:jc w:val="center"/>
              <w:rPr>
                <w:rFonts w:cs="Arial"/>
                <w:sz w:val="20"/>
                <w:szCs w:val="20"/>
              </w:rPr>
            </w:pPr>
            <w:r w:rsidRPr="00EA032D">
              <w:rPr>
                <w:rFonts w:cs="Arial"/>
                <w:sz w:val="20"/>
                <w:szCs w:val="20"/>
              </w:rPr>
              <w:t>0,2</w:t>
            </w:r>
          </w:p>
        </w:tc>
        <w:tc>
          <w:tcPr>
            <w:tcW w:w="0" w:type="auto"/>
            <w:vMerge w:val="restart"/>
            <w:tcMar>
              <w:top w:w="30" w:type="dxa"/>
              <w:left w:w="45" w:type="dxa"/>
              <w:bottom w:w="30" w:type="dxa"/>
              <w:right w:w="45" w:type="dxa"/>
            </w:tcMar>
            <w:vAlign w:val="center"/>
            <w:hideMark/>
          </w:tcPr>
          <w:p w14:paraId="3B68184A" w14:textId="77777777" w:rsidR="002318A3" w:rsidRPr="00EA032D" w:rsidRDefault="002318A3" w:rsidP="00AA4BBB">
            <w:pPr>
              <w:jc w:val="center"/>
              <w:rPr>
                <w:rFonts w:cs="Arial"/>
                <w:b/>
                <w:bCs/>
                <w:sz w:val="20"/>
                <w:szCs w:val="20"/>
              </w:rPr>
            </w:pPr>
            <w:r w:rsidRPr="00EA032D">
              <w:rPr>
                <w:rFonts w:cs="Arial"/>
                <w:b/>
                <w:bCs/>
                <w:sz w:val="20"/>
                <w:szCs w:val="20"/>
              </w:rPr>
              <w:t>4.641.593.431</w:t>
            </w:r>
          </w:p>
        </w:tc>
      </w:tr>
      <w:tr w:rsidR="002318A3" w:rsidRPr="00EA032D" w14:paraId="2980F881" w14:textId="77777777" w:rsidTr="00AA4BBB">
        <w:tc>
          <w:tcPr>
            <w:tcW w:w="0" w:type="auto"/>
            <w:vMerge/>
            <w:vAlign w:val="center"/>
            <w:hideMark/>
          </w:tcPr>
          <w:p w14:paraId="657AC38F"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31AD3F3C" w14:textId="77777777" w:rsidR="002318A3" w:rsidRPr="00EA032D" w:rsidRDefault="002318A3" w:rsidP="00AA4BBB">
            <w:pPr>
              <w:jc w:val="center"/>
              <w:rPr>
                <w:rFonts w:cs="Arial"/>
                <w:sz w:val="20"/>
                <w:szCs w:val="20"/>
              </w:rPr>
            </w:pPr>
            <w:r w:rsidRPr="00EA032D">
              <w:rPr>
                <w:rFonts w:cs="Arial"/>
                <w:sz w:val="20"/>
                <w:szCs w:val="20"/>
              </w:rPr>
              <w:t>757.933.269</w:t>
            </w:r>
          </w:p>
        </w:tc>
        <w:tc>
          <w:tcPr>
            <w:tcW w:w="0" w:type="auto"/>
            <w:tcMar>
              <w:top w:w="30" w:type="dxa"/>
              <w:left w:w="45" w:type="dxa"/>
              <w:bottom w:w="30" w:type="dxa"/>
              <w:right w:w="45" w:type="dxa"/>
            </w:tcMar>
            <w:vAlign w:val="center"/>
            <w:hideMark/>
          </w:tcPr>
          <w:p w14:paraId="5E5FA50E" w14:textId="77777777" w:rsidR="002318A3" w:rsidRPr="00EA032D" w:rsidRDefault="002318A3" w:rsidP="00AA4BBB">
            <w:pPr>
              <w:jc w:val="center"/>
              <w:rPr>
                <w:rFonts w:cs="Arial"/>
                <w:sz w:val="20"/>
                <w:szCs w:val="20"/>
              </w:rPr>
            </w:pPr>
            <w:r w:rsidRPr="00EA032D">
              <w:rPr>
                <w:rFonts w:cs="Arial"/>
                <w:sz w:val="20"/>
                <w:szCs w:val="20"/>
              </w:rPr>
              <w:t>1.200.137.977</w:t>
            </w:r>
          </w:p>
        </w:tc>
        <w:tc>
          <w:tcPr>
            <w:tcW w:w="0" w:type="auto"/>
            <w:tcMar>
              <w:top w:w="30" w:type="dxa"/>
              <w:left w:w="45" w:type="dxa"/>
              <w:bottom w:w="30" w:type="dxa"/>
              <w:right w:w="45" w:type="dxa"/>
            </w:tcMar>
            <w:vAlign w:val="center"/>
            <w:hideMark/>
          </w:tcPr>
          <w:p w14:paraId="164BF623" w14:textId="77777777" w:rsidR="002318A3" w:rsidRPr="00EA032D" w:rsidRDefault="002318A3" w:rsidP="00AA4BBB">
            <w:pPr>
              <w:jc w:val="center"/>
              <w:rPr>
                <w:rFonts w:cs="Arial"/>
                <w:sz w:val="20"/>
                <w:szCs w:val="20"/>
              </w:rPr>
            </w:pPr>
            <w:r w:rsidRPr="00EA032D">
              <w:rPr>
                <w:rFonts w:cs="Arial"/>
                <w:sz w:val="20"/>
                <w:szCs w:val="20"/>
              </w:rPr>
              <w:t>1.480.142.033</w:t>
            </w:r>
          </w:p>
        </w:tc>
        <w:tc>
          <w:tcPr>
            <w:tcW w:w="0" w:type="auto"/>
            <w:tcMar>
              <w:top w:w="30" w:type="dxa"/>
              <w:left w:w="45" w:type="dxa"/>
              <w:bottom w:w="30" w:type="dxa"/>
              <w:right w:w="45" w:type="dxa"/>
            </w:tcMar>
            <w:vAlign w:val="center"/>
            <w:hideMark/>
          </w:tcPr>
          <w:p w14:paraId="7B2E4D57" w14:textId="77777777" w:rsidR="002318A3" w:rsidRPr="00EA032D" w:rsidRDefault="002318A3" w:rsidP="00AA4BBB">
            <w:pPr>
              <w:jc w:val="center"/>
              <w:rPr>
                <w:rFonts w:cs="Arial"/>
                <w:sz w:val="20"/>
                <w:szCs w:val="20"/>
              </w:rPr>
            </w:pPr>
            <w:r w:rsidRPr="00EA032D">
              <w:rPr>
                <w:rFonts w:cs="Arial"/>
                <w:sz w:val="20"/>
                <w:szCs w:val="20"/>
              </w:rPr>
              <w:t>1.203.380.153</w:t>
            </w:r>
          </w:p>
        </w:tc>
        <w:tc>
          <w:tcPr>
            <w:tcW w:w="0" w:type="auto"/>
            <w:vMerge/>
            <w:vAlign w:val="center"/>
            <w:hideMark/>
          </w:tcPr>
          <w:p w14:paraId="3A59FE63" w14:textId="77777777" w:rsidR="002318A3" w:rsidRPr="00EA032D" w:rsidRDefault="002318A3" w:rsidP="00AA4BBB">
            <w:pPr>
              <w:rPr>
                <w:rFonts w:cs="Arial"/>
                <w:b/>
                <w:bCs/>
                <w:sz w:val="20"/>
                <w:szCs w:val="20"/>
              </w:rPr>
            </w:pPr>
          </w:p>
        </w:tc>
      </w:tr>
      <w:tr w:rsidR="002318A3" w:rsidRPr="00EA032D" w14:paraId="00933A8A" w14:textId="77777777" w:rsidTr="00AA4BBB">
        <w:tc>
          <w:tcPr>
            <w:tcW w:w="0" w:type="auto"/>
            <w:vMerge w:val="restart"/>
            <w:tcMar>
              <w:top w:w="30" w:type="dxa"/>
              <w:left w:w="45" w:type="dxa"/>
              <w:bottom w:w="30" w:type="dxa"/>
              <w:right w:w="45" w:type="dxa"/>
            </w:tcMar>
            <w:vAlign w:val="center"/>
            <w:hideMark/>
          </w:tcPr>
          <w:p w14:paraId="53CA2CDA" w14:textId="77777777" w:rsidR="002318A3" w:rsidRPr="00EA032D" w:rsidRDefault="002318A3" w:rsidP="00AA4BBB">
            <w:pPr>
              <w:rPr>
                <w:rFonts w:cs="Arial"/>
                <w:sz w:val="20"/>
                <w:szCs w:val="20"/>
              </w:rPr>
            </w:pPr>
            <w:r w:rsidRPr="00EA032D">
              <w:rPr>
                <w:rFonts w:cs="Arial"/>
                <w:sz w:val="20"/>
                <w:szCs w:val="20"/>
              </w:rPr>
              <w:t>Implementar una (1) estrategia de cambio cultural para la integridad, prevención de prácticas irregulares en el Distrito y generación de mecanismos de colaboración para dar mayor transparencia al relacionamiento con los grupos de interés y la ciudadanía.</w:t>
            </w:r>
          </w:p>
        </w:tc>
        <w:tc>
          <w:tcPr>
            <w:tcW w:w="0" w:type="auto"/>
            <w:tcMar>
              <w:top w:w="30" w:type="dxa"/>
              <w:left w:w="45" w:type="dxa"/>
              <w:bottom w:w="30" w:type="dxa"/>
              <w:right w:w="45" w:type="dxa"/>
            </w:tcMar>
            <w:vAlign w:val="center"/>
            <w:hideMark/>
          </w:tcPr>
          <w:p w14:paraId="0E2785AF" w14:textId="77777777" w:rsidR="002318A3" w:rsidRPr="00EA032D" w:rsidRDefault="002318A3" w:rsidP="00AA4BBB">
            <w:pPr>
              <w:jc w:val="center"/>
              <w:rPr>
                <w:rFonts w:cs="Arial"/>
                <w:sz w:val="20"/>
                <w:szCs w:val="20"/>
              </w:rPr>
            </w:pPr>
            <w:r w:rsidRPr="00EA032D">
              <w:rPr>
                <w:rFonts w:cs="Arial"/>
                <w:sz w:val="20"/>
                <w:szCs w:val="20"/>
              </w:rPr>
              <w:t>0,2</w:t>
            </w:r>
          </w:p>
        </w:tc>
        <w:tc>
          <w:tcPr>
            <w:tcW w:w="0" w:type="auto"/>
            <w:tcMar>
              <w:top w:w="30" w:type="dxa"/>
              <w:left w:w="45" w:type="dxa"/>
              <w:bottom w:w="30" w:type="dxa"/>
              <w:right w:w="45" w:type="dxa"/>
            </w:tcMar>
            <w:vAlign w:val="center"/>
            <w:hideMark/>
          </w:tcPr>
          <w:p w14:paraId="1D403FED" w14:textId="77777777" w:rsidR="002318A3" w:rsidRPr="00EA032D" w:rsidRDefault="002318A3" w:rsidP="00AA4BBB">
            <w:pPr>
              <w:jc w:val="center"/>
              <w:rPr>
                <w:rFonts w:cs="Arial"/>
                <w:sz w:val="20"/>
                <w:szCs w:val="20"/>
              </w:rPr>
            </w:pPr>
            <w:r w:rsidRPr="00EA032D">
              <w:rPr>
                <w:rFonts w:cs="Arial"/>
                <w:sz w:val="20"/>
                <w:szCs w:val="20"/>
              </w:rPr>
              <w:t>0,3</w:t>
            </w:r>
          </w:p>
        </w:tc>
        <w:tc>
          <w:tcPr>
            <w:tcW w:w="0" w:type="auto"/>
            <w:tcMar>
              <w:top w:w="30" w:type="dxa"/>
              <w:left w:w="45" w:type="dxa"/>
              <w:bottom w:w="30" w:type="dxa"/>
              <w:right w:w="45" w:type="dxa"/>
            </w:tcMar>
            <w:vAlign w:val="center"/>
            <w:hideMark/>
          </w:tcPr>
          <w:p w14:paraId="44E12729" w14:textId="77777777" w:rsidR="002318A3" w:rsidRPr="00EA032D" w:rsidRDefault="002318A3" w:rsidP="00AA4BBB">
            <w:pPr>
              <w:jc w:val="center"/>
              <w:rPr>
                <w:rFonts w:cs="Arial"/>
                <w:sz w:val="20"/>
                <w:szCs w:val="20"/>
              </w:rPr>
            </w:pPr>
            <w:r w:rsidRPr="00EA032D">
              <w:rPr>
                <w:rFonts w:cs="Arial"/>
                <w:sz w:val="20"/>
                <w:szCs w:val="20"/>
              </w:rPr>
              <w:t>0,3</w:t>
            </w:r>
          </w:p>
        </w:tc>
        <w:tc>
          <w:tcPr>
            <w:tcW w:w="0" w:type="auto"/>
            <w:tcMar>
              <w:top w:w="30" w:type="dxa"/>
              <w:left w:w="45" w:type="dxa"/>
              <w:bottom w:w="30" w:type="dxa"/>
              <w:right w:w="45" w:type="dxa"/>
            </w:tcMar>
            <w:vAlign w:val="center"/>
            <w:hideMark/>
          </w:tcPr>
          <w:p w14:paraId="0CA8355A" w14:textId="77777777" w:rsidR="002318A3" w:rsidRPr="00EA032D" w:rsidRDefault="002318A3" w:rsidP="00AA4BBB">
            <w:pPr>
              <w:jc w:val="center"/>
              <w:rPr>
                <w:rFonts w:cs="Arial"/>
                <w:sz w:val="20"/>
                <w:szCs w:val="20"/>
              </w:rPr>
            </w:pPr>
            <w:r w:rsidRPr="00EA032D">
              <w:rPr>
                <w:rFonts w:cs="Arial"/>
                <w:sz w:val="20"/>
                <w:szCs w:val="20"/>
              </w:rPr>
              <w:t>0,2</w:t>
            </w:r>
          </w:p>
        </w:tc>
        <w:tc>
          <w:tcPr>
            <w:tcW w:w="0" w:type="auto"/>
            <w:vMerge w:val="restart"/>
            <w:tcMar>
              <w:top w:w="30" w:type="dxa"/>
              <w:left w:w="45" w:type="dxa"/>
              <w:bottom w:w="30" w:type="dxa"/>
              <w:right w:w="45" w:type="dxa"/>
            </w:tcMar>
            <w:vAlign w:val="center"/>
            <w:hideMark/>
          </w:tcPr>
          <w:p w14:paraId="2C136EED" w14:textId="77777777" w:rsidR="002318A3" w:rsidRPr="00EA032D" w:rsidRDefault="002318A3" w:rsidP="00AA4BBB">
            <w:pPr>
              <w:jc w:val="center"/>
              <w:rPr>
                <w:rFonts w:cs="Arial"/>
                <w:b/>
                <w:bCs/>
                <w:sz w:val="20"/>
                <w:szCs w:val="20"/>
              </w:rPr>
            </w:pPr>
            <w:r w:rsidRPr="00EA032D">
              <w:rPr>
                <w:rFonts w:cs="Arial"/>
                <w:b/>
                <w:bCs/>
                <w:sz w:val="20"/>
                <w:szCs w:val="20"/>
              </w:rPr>
              <w:t>8.202.191.610</w:t>
            </w:r>
          </w:p>
        </w:tc>
      </w:tr>
      <w:tr w:rsidR="002318A3" w:rsidRPr="00EA032D" w14:paraId="1A426E68" w14:textId="77777777" w:rsidTr="00AA4BBB">
        <w:tc>
          <w:tcPr>
            <w:tcW w:w="0" w:type="auto"/>
            <w:vMerge/>
            <w:vAlign w:val="center"/>
            <w:hideMark/>
          </w:tcPr>
          <w:p w14:paraId="2B397BB4"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574B6B60" w14:textId="77777777" w:rsidR="002318A3" w:rsidRPr="00EA032D" w:rsidRDefault="002318A3" w:rsidP="00AA4BBB">
            <w:pPr>
              <w:jc w:val="center"/>
              <w:rPr>
                <w:rFonts w:cs="Arial"/>
                <w:sz w:val="20"/>
                <w:szCs w:val="20"/>
              </w:rPr>
            </w:pPr>
            <w:r w:rsidRPr="00EA032D">
              <w:rPr>
                <w:rFonts w:cs="Arial"/>
                <w:sz w:val="20"/>
                <w:szCs w:val="20"/>
              </w:rPr>
              <w:t>1.187.341.839</w:t>
            </w:r>
          </w:p>
        </w:tc>
        <w:tc>
          <w:tcPr>
            <w:tcW w:w="0" w:type="auto"/>
            <w:tcMar>
              <w:top w:w="30" w:type="dxa"/>
              <w:left w:w="45" w:type="dxa"/>
              <w:bottom w:w="30" w:type="dxa"/>
              <w:right w:w="45" w:type="dxa"/>
            </w:tcMar>
            <w:vAlign w:val="center"/>
            <w:hideMark/>
          </w:tcPr>
          <w:p w14:paraId="0363360E" w14:textId="77777777" w:rsidR="002318A3" w:rsidRPr="00EA032D" w:rsidRDefault="002318A3" w:rsidP="00AA4BBB">
            <w:pPr>
              <w:jc w:val="center"/>
              <w:rPr>
                <w:rFonts w:cs="Arial"/>
                <w:sz w:val="20"/>
                <w:szCs w:val="20"/>
              </w:rPr>
            </w:pPr>
            <w:r w:rsidRPr="00EA032D">
              <w:rPr>
                <w:rFonts w:cs="Arial"/>
                <w:sz w:val="20"/>
                <w:szCs w:val="20"/>
              </w:rPr>
              <w:t>2.235.601.565</w:t>
            </w:r>
          </w:p>
        </w:tc>
        <w:tc>
          <w:tcPr>
            <w:tcW w:w="0" w:type="auto"/>
            <w:tcMar>
              <w:top w:w="30" w:type="dxa"/>
              <w:left w:w="45" w:type="dxa"/>
              <w:bottom w:w="30" w:type="dxa"/>
              <w:right w:w="45" w:type="dxa"/>
            </w:tcMar>
            <w:vAlign w:val="center"/>
            <w:hideMark/>
          </w:tcPr>
          <w:p w14:paraId="101D6FBC" w14:textId="77777777" w:rsidR="002318A3" w:rsidRPr="00EA032D" w:rsidRDefault="002318A3" w:rsidP="00AA4BBB">
            <w:pPr>
              <w:jc w:val="center"/>
              <w:rPr>
                <w:rFonts w:cs="Arial"/>
                <w:sz w:val="20"/>
                <w:szCs w:val="20"/>
              </w:rPr>
            </w:pPr>
            <w:r w:rsidRPr="00EA032D">
              <w:rPr>
                <w:rFonts w:cs="Arial"/>
                <w:sz w:val="20"/>
                <w:szCs w:val="20"/>
              </w:rPr>
              <w:t>2.318.719.384</w:t>
            </w:r>
          </w:p>
        </w:tc>
        <w:tc>
          <w:tcPr>
            <w:tcW w:w="0" w:type="auto"/>
            <w:tcMar>
              <w:top w:w="30" w:type="dxa"/>
              <w:left w:w="45" w:type="dxa"/>
              <w:bottom w:w="30" w:type="dxa"/>
              <w:right w:w="45" w:type="dxa"/>
            </w:tcMar>
            <w:vAlign w:val="center"/>
            <w:hideMark/>
          </w:tcPr>
          <w:p w14:paraId="54543F0F" w14:textId="77777777" w:rsidR="002318A3" w:rsidRPr="00EA032D" w:rsidRDefault="002318A3" w:rsidP="00AA4BBB">
            <w:pPr>
              <w:jc w:val="center"/>
              <w:rPr>
                <w:rFonts w:cs="Arial"/>
                <w:sz w:val="20"/>
                <w:szCs w:val="20"/>
              </w:rPr>
            </w:pPr>
            <w:r w:rsidRPr="00EA032D">
              <w:rPr>
                <w:rFonts w:cs="Arial"/>
                <w:sz w:val="20"/>
                <w:szCs w:val="20"/>
              </w:rPr>
              <w:t>2.460.528.821</w:t>
            </w:r>
          </w:p>
        </w:tc>
        <w:tc>
          <w:tcPr>
            <w:tcW w:w="0" w:type="auto"/>
            <w:vMerge/>
            <w:vAlign w:val="center"/>
            <w:hideMark/>
          </w:tcPr>
          <w:p w14:paraId="3F041264" w14:textId="77777777" w:rsidR="002318A3" w:rsidRPr="00EA032D" w:rsidRDefault="002318A3" w:rsidP="00AA4BBB">
            <w:pPr>
              <w:rPr>
                <w:rFonts w:cs="Arial"/>
                <w:b/>
                <w:bCs/>
                <w:sz w:val="20"/>
                <w:szCs w:val="20"/>
              </w:rPr>
            </w:pPr>
          </w:p>
        </w:tc>
      </w:tr>
      <w:tr w:rsidR="002318A3" w:rsidRPr="00EA032D" w14:paraId="005A7048" w14:textId="77777777" w:rsidTr="00AA4BBB">
        <w:tc>
          <w:tcPr>
            <w:tcW w:w="0" w:type="auto"/>
            <w:vMerge w:val="restart"/>
            <w:tcMar>
              <w:top w:w="30" w:type="dxa"/>
              <w:left w:w="45" w:type="dxa"/>
              <w:bottom w:w="30" w:type="dxa"/>
              <w:right w:w="45" w:type="dxa"/>
            </w:tcMar>
            <w:vAlign w:val="center"/>
            <w:hideMark/>
          </w:tcPr>
          <w:p w14:paraId="01924ABA" w14:textId="77777777" w:rsidR="002318A3" w:rsidRPr="00EA032D" w:rsidRDefault="002318A3" w:rsidP="00AA4BBB">
            <w:pPr>
              <w:rPr>
                <w:rFonts w:cs="Arial"/>
                <w:sz w:val="20"/>
                <w:szCs w:val="20"/>
              </w:rPr>
            </w:pPr>
            <w:r w:rsidRPr="00EA032D">
              <w:rPr>
                <w:rFonts w:cs="Arial"/>
                <w:sz w:val="20"/>
                <w:szCs w:val="20"/>
              </w:rPr>
              <w:t>Poner en marcha 1 una estrategia de posicionamiento de la memoria investigación histórica y difusión del patrimonio documental orientada a la consulta ciudadana.</w:t>
            </w:r>
          </w:p>
        </w:tc>
        <w:tc>
          <w:tcPr>
            <w:tcW w:w="0" w:type="auto"/>
            <w:tcMar>
              <w:top w:w="30" w:type="dxa"/>
              <w:left w:w="45" w:type="dxa"/>
              <w:bottom w:w="30" w:type="dxa"/>
              <w:right w:w="45" w:type="dxa"/>
            </w:tcMar>
            <w:vAlign w:val="center"/>
            <w:hideMark/>
          </w:tcPr>
          <w:p w14:paraId="644964DC" w14:textId="4008B347" w:rsidR="002318A3" w:rsidRPr="00EA032D" w:rsidRDefault="002318A3" w:rsidP="00AA4BBB">
            <w:pPr>
              <w:jc w:val="center"/>
              <w:rPr>
                <w:rFonts w:cs="Arial"/>
                <w:sz w:val="20"/>
                <w:szCs w:val="20"/>
              </w:rPr>
            </w:pPr>
            <w:r w:rsidRPr="00EA032D">
              <w:rPr>
                <w:rFonts w:cs="Arial"/>
                <w:sz w:val="20"/>
                <w:szCs w:val="20"/>
              </w:rPr>
              <w:t>0,25</w:t>
            </w:r>
          </w:p>
        </w:tc>
        <w:tc>
          <w:tcPr>
            <w:tcW w:w="0" w:type="auto"/>
            <w:tcMar>
              <w:top w:w="30" w:type="dxa"/>
              <w:left w:w="45" w:type="dxa"/>
              <w:bottom w:w="30" w:type="dxa"/>
              <w:right w:w="45" w:type="dxa"/>
            </w:tcMar>
            <w:vAlign w:val="center"/>
            <w:hideMark/>
          </w:tcPr>
          <w:p w14:paraId="6EAF3AF7" w14:textId="1F090A0F" w:rsidR="002318A3" w:rsidRPr="00EA032D" w:rsidRDefault="002318A3" w:rsidP="00AA4BBB">
            <w:pPr>
              <w:jc w:val="center"/>
              <w:rPr>
                <w:rFonts w:cs="Arial"/>
                <w:sz w:val="20"/>
                <w:szCs w:val="20"/>
              </w:rPr>
            </w:pPr>
            <w:r w:rsidRPr="00EA032D">
              <w:rPr>
                <w:rFonts w:cs="Arial"/>
                <w:sz w:val="20"/>
                <w:szCs w:val="20"/>
              </w:rPr>
              <w:t>0,25</w:t>
            </w:r>
          </w:p>
        </w:tc>
        <w:tc>
          <w:tcPr>
            <w:tcW w:w="0" w:type="auto"/>
            <w:tcMar>
              <w:top w:w="30" w:type="dxa"/>
              <w:left w:w="45" w:type="dxa"/>
              <w:bottom w:w="30" w:type="dxa"/>
              <w:right w:w="45" w:type="dxa"/>
            </w:tcMar>
            <w:vAlign w:val="center"/>
            <w:hideMark/>
          </w:tcPr>
          <w:p w14:paraId="53760260" w14:textId="17BC16D7" w:rsidR="002318A3" w:rsidRPr="00EA032D" w:rsidRDefault="002318A3" w:rsidP="00AA4BBB">
            <w:pPr>
              <w:jc w:val="center"/>
              <w:rPr>
                <w:rFonts w:cs="Arial"/>
                <w:sz w:val="20"/>
                <w:szCs w:val="20"/>
              </w:rPr>
            </w:pPr>
            <w:r w:rsidRPr="00EA032D">
              <w:rPr>
                <w:rFonts w:cs="Arial"/>
                <w:sz w:val="20"/>
                <w:szCs w:val="20"/>
              </w:rPr>
              <w:t>0,25</w:t>
            </w:r>
          </w:p>
        </w:tc>
        <w:tc>
          <w:tcPr>
            <w:tcW w:w="0" w:type="auto"/>
            <w:tcMar>
              <w:top w:w="30" w:type="dxa"/>
              <w:left w:w="45" w:type="dxa"/>
              <w:bottom w:w="30" w:type="dxa"/>
              <w:right w:w="45" w:type="dxa"/>
            </w:tcMar>
            <w:vAlign w:val="center"/>
            <w:hideMark/>
          </w:tcPr>
          <w:p w14:paraId="71460566" w14:textId="30A03D30" w:rsidR="002318A3" w:rsidRPr="00EA032D" w:rsidRDefault="002318A3" w:rsidP="00AA4BBB">
            <w:pPr>
              <w:jc w:val="center"/>
              <w:rPr>
                <w:rFonts w:cs="Arial"/>
                <w:sz w:val="20"/>
                <w:szCs w:val="20"/>
              </w:rPr>
            </w:pPr>
            <w:r w:rsidRPr="00EA032D">
              <w:rPr>
                <w:rFonts w:cs="Arial"/>
                <w:sz w:val="20"/>
                <w:szCs w:val="20"/>
              </w:rPr>
              <w:t>0,25</w:t>
            </w:r>
          </w:p>
        </w:tc>
        <w:tc>
          <w:tcPr>
            <w:tcW w:w="0" w:type="auto"/>
            <w:vMerge w:val="restart"/>
            <w:tcMar>
              <w:top w:w="30" w:type="dxa"/>
              <w:left w:w="45" w:type="dxa"/>
              <w:bottom w:w="30" w:type="dxa"/>
              <w:right w:w="45" w:type="dxa"/>
            </w:tcMar>
            <w:vAlign w:val="center"/>
            <w:hideMark/>
          </w:tcPr>
          <w:p w14:paraId="264A02CE" w14:textId="77777777" w:rsidR="002318A3" w:rsidRPr="00EA032D" w:rsidRDefault="002318A3" w:rsidP="00AA4BBB">
            <w:pPr>
              <w:jc w:val="center"/>
              <w:rPr>
                <w:rFonts w:cs="Arial"/>
                <w:b/>
                <w:bCs/>
                <w:sz w:val="20"/>
                <w:szCs w:val="20"/>
              </w:rPr>
            </w:pPr>
            <w:r w:rsidRPr="00EA032D">
              <w:rPr>
                <w:rFonts w:cs="Arial"/>
                <w:b/>
                <w:bCs/>
                <w:sz w:val="20"/>
                <w:szCs w:val="20"/>
              </w:rPr>
              <w:t>21.023.270.144</w:t>
            </w:r>
          </w:p>
        </w:tc>
      </w:tr>
      <w:tr w:rsidR="002318A3" w:rsidRPr="00EA032D" w14:paraId="6CEAE1E7" w14:textId="77777777" w:rsidTr="00AA4BBB">
        <w:tc>
          <w:tcPr>
            <w:tcW w:w="0" w:type="auto"/>
            <w:vMerge/>
            <w:vAlign w:val="center"/>
            <w:hideMark/>
          </w:tcPr>
          <w:p w14:paraId="28922CA9"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0AC81336" w14:textId="77777777" w:rsidR="002318A3" w:rsidRPr="00EA032D" w:rsidRDefault="002318A3" w:rsidP="00AA4BBB">
            <w:pPr>
              <w:jc w:val="center"/>
              <w:rPr>
                <w:rFonts w:cs="Arial"/>
                <w:sz w:val="20"/>
                <w:szCs w:val="20"/>
              </w:rPr>
            </w:pPr>
            <w:r w:rsidRPr="00EA032D">
              <w:rPr>
                <w:rFonts w:cs="Arial"/>
                <w:sz w:val="20"/>
                <w:szCs w:val="20"/>
              </w:rPr>
              <w:t>1.507.061.830</w:t>
            </w:r>
          </w:p>
        </w:tc>
        <w:tc>
          <w:tcPr>
            <w:tcW w:w="0" w:type="auto"/>
            <w:tcMar>
              <w:top w:w="30" w:type="dxa"/>
              <w:left w:w="45" w:type="dxa"/>
              <w:bottom w:w="30" w:type="dxa"/>
              <w:right w:w="45" w:type="dxa"/>
            </w:tcMar>
            <w:vAlign w:val="center"/>
            <w:hideMark/>
          </w:tcPr>
          <w:p w14:paraId="3895A8E1" w14:textId="77777777" w:rsidR="002318A3" w:rsidRPr="00EA032D" w:rsidRDefault="002318A3" w:rsidP="00AA4BBB">
            <w:pPr>
              <w:jc w:val="center"/>
              <w:rPr>
                <w:rFonts w:cs="Arial"/>
                <w:sz w:val="20"/>
                <w:szCs w:val="20"/>
              </w:rPr>
            </w:pPr>
            <w:r w:rsidRPr="00EA032D">
              <w:rPr>
                <w:rFonts w:cs="Arial"/>
                <w:sz w:val="20"/>
                <w:szCs w:val="20"/>
              </w:rPr>
              <w:t>5.920.272.285</w:t>
            </w:r>
          </w:p>
        </w:tc>
        <w:tc>
          <w:tcPr>
            <w:tcW w:w="0" w:type="auto"/>
            <w:tcMar>
              <w:top w:w="30" w:type="dxa"/>
              <w:left w:w="45" w:type="dxa"/>
              <w:bottom w:w="30" w:type="dxa"/>
              <w:right w:w="45" w:type="dxa"/>
            </w:tcMar>
            <w:vAlign w:val="center"/>
            <w:hideMark/>
          </w:tcPr>
          <w:p w14:paraId="607C844C" w14:textId="77777777" w:rsidR="002318A3" w:rsidRPr="00EA032D" w:rsidRDefault="002318A3" w:rsidP="00AA4BBB">
            <w:pPr>
              <w:jc w:val="center"/>
              <w:rPr>
                <w:rFonts w:cs="Arial"/>
                <w:sz w:val="20"/>
                <w:szCs w:val="20"/>
              </w:rPr>
            </w:pPr>
            <w:r w:rsidRPr="00EA032D">
              <w:rPr>
                <w:rFonts w:cs="Arial"/>
                <w:sz w:val="20"/>
                <w:szCs w:val="20"/>
              </w:rPr>
              <w:t>6.936.994.697</w:t>
            </w:r>
          </w:p>
        </w:tc>
        <w:tc>
          <w:tcPr>
            <w:tcW w:w="0" w:type="auto"/>
            <w:tcMar>
              <w:top w:w="30" w:type="dxa"/>
              <w:left w:w="45" w:type="dxa"/>
              <w:bottom w:w="30" w:type="dxa"/>
              <w:right w:w="45" w:type="dxa"/>
            </w:tcMar>
            <w:vAlign w:val="center"/>
            <w:hideMark/>
          </w:tcPr>
          <w:p w14:paraId="23EC392B" w14:textId="77777777" w:rsidR="002318A3" w:rsidRPr="00EA032D" w:rsidRDefault="002318A3" w:rsidP="00AA4BBB">
            <w:pPr>
              <w:jc w:val="center"/>
              <w:rPr>
                <w:rFonts w:cs="Arial"/>
                <w:sz w:val="20"/>
                <w:szCs w:val="20"/>
              </w:rPr>
            </w:pPr>
            <w:r w:rsidRPr="00EA032D">
              <w:rPr>
                <w:rFonts w:cs="Arial"/>
                <w:sz w:val="20"/>
                <w:szCs w:val="20"/>
              </w:rPr>
              <w:t>6.658.941.332</w:t>
            </w:r>
          </w:p>
        </w:tc>
        <w:tc>
          <w:tcPr>
            <w:tcW w:w="0" w:type="auto"/>
            <w:vMerge/>
            <w:vAlign w:val="center"/>
            <w:hideMark/>
          </w:tcPr>
          <w:p w14:paraId="3859ED21" w14:textId="77777777" w:rsidR="002318A3" w:rsidRPr="00EA032D" w:rsidRDefault="002318A3" w:rsidP="00AA4BBB">
            <w:pPr>
              <w:rPr>
                <w:rFonts w:cs="Arial"/>
                <w:b/>
                <w:bCs/>
                <w:sz w:val="20"/>
                <w:szCs w:val="20"/>
              </w:rPr>
            </w:pPr>
          </w:p>
        </w:tc>
      </w:tr>
      <w:tr w:rsidR="002318A3" w:rsidRPr="00EA032D" w14:paraId="56A499AA" w14:textId="77777777" w:rsidTr="00AA4BBB">
        <w:tc>
          <w:tcPr>
            <w:tcW w:w="0" w:type="auto"/>
            <w:gridSpan w:val="6"/>
            <w:shd w:val="clear" w:color="auto" w:fill="C00000"/>
            <w:tcMar>
              <w:top w:w="30" w:type="dxa"/>
              <w:left w:w="45" w:type="dxa"/>
              <w:bottom w:w="30" w:type="dxa"/>
              <w:right w:w="45" w:type="dxa"/>
            </w:tcMar>
            <w:vAlign w:val="center"/>
            <w:hideMark/>
          </w:tcPr>
          <w:p w14:paraId="09E94FBC" w14:textId="77777777" w:rsidR="002318A3" w:rsidRPr="00EA032D" w:rsidRDefault="002318A3" w:rsidP="00AA4BBB">
            <w:pPr>
              <w:jc w:val="center"/>
              <w:rPr>
                <w:rFonts w:cs="Arial"/>
                <w:b/>
                <w:bCs/>
                <w:color w:val="FFFFFF" w:themeColor="background1"/>
                <w:sz w:val="20"/>
                <w:szCs w:val="20"/>
              </w:rPr>
            </w:pPr>
            <w:r w:rsidRPr="00EA032D">
              <w:rPr>
                <w:rFonts w:cs="Arial"/>
                <w:b/>
                <w:bCs/>
                <w:color w:val="FFFFFF" w:themeColor="background1"/>
                <w:sz w:val="20"/>
                <w:szCs w:val="20"/>
              </w:rPr>
              <w:t>Gobierno</w:t>
            </w:r>
          </w:p>
        </w:tc>
      </w:tr>
      <w:tr w:rsidR="002318A3" w:rsidRPr="00EA032D" w14:paraId="515D76A6" w14:textId="77777777" w:rsidTr="00AA4BBB">
        <w:tc>
          <w:tcPr>
            <w:tcW w:w="0" w:type="auto"/>
            <w:vMerge w:val="restart"/>
            <w:tcMar>
              <w:top w:w="30" w:type="dxa"/>
              <w:left w:w="45" w:type="dxa"/>
              <w:bottom w:w="30" w:type="dxa"/>
              <w:right w:w="45" w:type="dxa"/>
            </w:tcMar>
            <w:vAlign w:val="center"/>
            <w:hideMark/>
          </w:tcPr>
          <w:p w14:paraId="03A7FBB5" w14:textId="77777777" w:rsidR="002318A3" w:rsidRPr="00EA032D" w:rsidRDefault="002318A3" w:rsidP="00AA4BBB">
            <w:pPr>
              <w:rPr>
                <w:rFonts w:cs="Arial"/>
                <w:sz w:val="20"/>
                <w:szCs w:val="20"/>
              </w:rPr>
            </w:pPr>
            <w:r w:rsidRPr="00EA032D">
              <w:rPr>
                <w:rFonts w:cs="Arial"/>
                <w:sz w:val="20"/>
                <w:szCs w:val="20"/>
              </w:rPr>
              <w:t xml:space="preserve">Ejecutar 12 acciones que garanticen atención a la ciudadanía transparencia anticorrupción y acceso a la información en el marco de las políticas públicas existentes. </w:t>
            </w:r>
          </w:p>
        </w:tc>
        <w:tc>
          <w:tcPr>
            <w:tcW w:w="0" w:type="auto"/>
            <w:tcMar>
              <w:top w:w="30" w:type="dxa"/>
              <w:left w:w="45" w:type="dxa"/>
              <w:bottom w:w="30" w:type="dxa"/>
              <w:right w:w="45" w:type="dxa"/>
            </w:tcMar>
            <w:vAlign w:val="center"/>
            <w:hideMark/>
          </w:tcPr>
          <w:p w14:paraId="5E700646" w14:textId="77777777" w:rsidR="002318A3" w:rsidRPr="00EA032D" w:rsidRDefault="002318A3" w:rsidP="00AA4BBB">
            <w:pPr>
              <w:jc w:val="center"/>
              <w:rPr>
                <w:rFonts w:cs="Arial"/>
                <w:sz w:val="20"/>
                <w:szCs w:val="20"/>
              </w:rPr>
            </w:pPr>
            <w:r w:rsidRPr="00EA032D">
              <w:rPr>
                <w:rFonts w:cs="Arial"/>
                <w:sz w:val="20"/>
                <w:szCs w:val="20"/>
              </w:rPr>
              <w:t>3</w:t>
            </w:r>
          </w:p>
        </w:tc>
        <w:tc>
          <w:tcPr>
            <w:tcW w:w="0" w:type="auto"/>
            <w:tcMar>
              <w:top w:w="30" w:type="dxa"/>
              <w:left w:w="45" w:type="dxa"/>
              <w:bottom w:w="30" w:type="dxa"/>
              <w:right w:w="45" w:type="dxa"/>
            </w:tcMar>
            <w:vAlign w:val="center"/>
            <w:hideMark/>
          </w:tcPr>
          <w:p w14:paraId="0AAD9C20" w14:textId="77777777" w:rsidR="002318A3" w:rsidRPr="00EA032D" w:rsidRDefault="002318A3" w:rsidP="00AA4BBB">
            <w:pPr>
              <w:jc w:val="center"/>
              <w:rPr>
                <w:rFonts w:cs="Arial"/>
                <w:sz w:val="20"/>
                <w:szCs w:val="20"/>
              </w:rPr>
            </w:pPr>
            <w:r w:rsidRPr="00EA032D">
              <w:rPr>
                <w:rFonts w:cs="Arial"/>
                <w:sz w:val="20"/>
                <w:szCs w:val="20"/>
              </w:rPr>
              <w:t>3</w:t>
            </w:r>
          </w:p>
        </w:tc>
        <w:tc>
          <w:tcPr>
            <w:tcW w:w="0" w:type="auto"/>
            <w:tcMar>
              <w:top w:w="30" w:type="dxa"/>
              <w:left w:w="45" w:type="dxa"/>
              <w:bottom w:w="30" w:type="dxa"/>
              <w:right w:w="45" w:type="dxa"/>
            </w:tcMar>
            <w:vAlign w:val="center"/>
            <w:hideMark/>
          </w:tcPr>
          <w:p w14:paraId="414B324B" w14:textId="77777777" w:rsidR="002318A3" w:rsidRPr="00EA032D" w:rsidRDefault="002318A3" w:rsidP="00AA4BBB">
            <w:pPr>
              <w:jc w:val="center"/>
              <w:rPr>
                <w:rFonts w:cs="Arial"/>
                <w:sz w:val="20"/>
                <w:szCs w:val="20"/>
              </w:rPr>
            </w:pPr>
            <w:r w:rsidRPr="00EA032D">
              <w:rPr>
                <w:rFonts w:cs="Arial"/>
                <w:sz w:val="20"/>
                <w:szCs w:val="20"/>
              </w:rPr>
              <w:t>3</w:t>
            </w:r>
          </w:p>
        </w:tc>
        <w:tc>
          <w:tcPr>
            <w:tcW w:w="0" w:type="auto"/>
            <w:tcMar>
              <w:top w:w="30" w:type="dxa"/>
              <w:left w:w="45" w:type="dxa"/>
              <w:bottom w:w="30" w:type="dxa"/>
              <w:right w:w="45" w:type="dxa"/>
            </w:tcMar>
            <w:vAlign w:val="center"/>
            <w:hideMark/>
          </w:tcPr>
          <w:p w14:paraId="7CD549B3" w14:textId="77777777" w:rsidR="002318A3" w:rsidRPr="00EA032D" w:rsidRDefault="002318A3" w:rsidP="00AA4BBB">
            <w:pPr>
              <w:jc w:val="center"/>
              <w:rPr>
                <w:rFonts w:cs="Arial"/>
                <w:sz w:val="20"/>
                <w:szCs w:val="20"/>
              </w:rPr>
            </w:pPr>
            <w:r w:rsidRPr="00EA032D">
              <w:rPr>
                <w:rFonts w:cs="Arial"/>
                <w:sz w:val="20"/>
                <w:szCs w:val="20"/>
              </w:rPr>
              <w:t>3</w:t>
            </w:r>
          </w:p>
        </w:tc>
        <w:tc>
          <w:tcPr>
            <w:tcW w:w="0" w:type="auto"/>
            <w:vMerge w:val="restart"/>
            <w:tcMar>
              <w:top w:w="30" w:type="dxa"/>
              <w:left w:w="45" w:type="dxa"/>
              <w:bottom w:w="30" w:type="dxa"/>
              <w:right w:w="45" w:type="dxa"/>
            </w:tcMar>
            <w:vAlign w:val="center"/>
            <w:hideMark/>
          </w:tcPr>
          <w:p w14:paraId="1D794BCB" w14:textId="77777777" w:rsidR="002318A3" w:rsidRPr="00EA032D" w:rsidRDefault="002318A3" w:rsidP="00AA4BBB">
            <w:pPr>
              <w:jc w:val="center"/>
              <w:rPr>
                <w:rFonts w:cs="Arial"/>
                <w:b/>
                <w:bCs/>
                <w:sz w:val="20"/>
                <w:szCs w:val="20"/>
              </w:rPr>
            </w:pPr>
            <w:r w:rsidRPr="00EA032D">
              <w:rPr>
                <w:rFonts w:cs="Arial"/>
                <w:b/>
                <w:bCs/>
                <w:sz w:val="20"/>
                <w:szCs w:val="20"/>
              </w:rPr>
              <w:t>7.761.037.844</w:t>
            </w:r>
          </w:p>
        </w:tc>
      </w:tr>
      <w:tr w:rsidR="002318A3" w:rsidRPr="00EA032D" w14:paraId="30BB547F" w14:textId="77777777" w:rsidTr="00AA4BBB">
        <w:tc>
          <w:tcPr>
            <w:tcW w:w="0" w:type="auto"/>
            <w:vMerge/>
            <w:vAlign w:val="center"/>
            <w:hideMark/>
          </w:tcPr>
          <w:p w14:paraId="099D9839"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7DE574FB" w14:textId="77777777" w:rsidR="002318A3" w:rsidRPr="00EA032D" w:rsidRDefault="002318A3" w:rsidP="00AA4BBB">
            <w:pPr>
              <w:jc w:val="center"/>
              <w:rPr>
                <w:rFonts w:cs="Arial"/>
                <w:sz w:val="20"/>
                <w:szCs w:val="20"/>
              </w:rPr>
            </w:pPr>
            <w:r w:rsidRPr="00EA032D">
              <w:rPr>
                <w:rFonts w:cs="Arial"/>
                <w:sz w:val="20"/>
                <w:szCs w:val="20"/>
              </w:rPr>
              <w:t>891.475.902</w:t>
            </w:r>
          </w:p>
        </w:tc>
        <w:tc>
          <w:tcPr>
            <w:tcW w:w="0" w:type="auto"/>
            <w:tcMar>
              <w:top w:w="30" w:type="dxa"/>
              <w:left w:w="45" w:type="dxa"/>
              <w:bottom w:w="30" w:type="dxa"/>
              <w:right w:w="45" w:type="dxa"/>
            </w:tcMar>
            <w:vAlign w:val="center"/>
            <w:hideMark/>
          </w:tcPr>
          <w:p w14:paraId="66C5BCD0" w14:textId="77777777" w:rsidR="002318A3" w:rsidRPr="00EA032D" w:rsidRDefault="002318A3" w:rsidP="00AA4BBB">
            <w:pPr>
              <w:jc w:val="center"/>
              <w:rPr>
                <w:rFonts w:cs="Arial"/>
                <w:sz w:val="20"/>
                <w:szCs w:val="20"/>
              </w:rPr>
            </w:pPr>
            <w:r w:rsidRPr="00EA032D">
              <w:rPr>
                <w:rFonts w:cs="Arial"/>
                <w:sz w:val="20"/>
                <w:szCs w:val="20"/>
              </w:rPr>
              <w:t>2.289.853.981</w:t>
            </w:r>
          </w:p>
        </w:tc>
        <w:tc>
          <w:tcPr>
            <w:tcW w:w="0" w:type="auto"/>
            <w:tcMar>
              <w:top w:w="30" w:type="dxa"/>
              <w:left w:w="45" w:type="dxa"/>
              <w:bottom w:w="30" w:type="dxa"/>
              <w:right w:w="45" w:type="dxa"/>
            </w:tcMar>
            <w:vAlign w:val="center"/>
            <w:hideMark/>
          </w:tcPr>
          <w:p w14:paraId="4AE96CAD" w14:textId="77777777" w:rsidR="002318A3" w:rsidRPr="00EA032D" w:rsidRDefault="002318A3" w:rsidP="00AA4BBB">
            <w:pPr>
              <w:jc w:val="center"/>
              <w:rPr>
                <w:rFonts w:cs="Arial"/>
                <w:sz w:val="20"/>
                <w:szCs w:val="20"/>
              </w:rPr>
            </w:pPr>
            <w:r w:rsidRPr="00EA032D">
              <w:rPr>
                <w:rFonts w:cs="Arial"/>
                <w:sz w:val="20"/>
                <w:szCs w:val="20"/>
              </w:rPr>
              <w:t>2.289.853.981</w:t>
            </w:r>
          </w:p>
        </w:tc>
        <w:tc>
          <w:tcPr>
            <w:tcW w:w="0" w:type="auto"/>
            <w:tcMar>
              <w:top w:w="30" w:type="dxa"/>
              <w:left w:w="45" w:type="dxa"/>
              <w:bottom w:w="30" w:type="dxa"/>
              <w:right w:w="45" w:type="dxa"/>
            </w:tcMar>
            <w:vAlign w:val="center"/>
            <w:hideMark/>
          </w:tcPr>
          <w:p w14:paraId="77FAFF03" w14:textId="77777777" w:rsidR="002318A3" w:rsidRPr="00EA032D" w:rsidRDefault="002318A3" w:rsidP="00AA4BBB">
            <w:pPr>
              <w:jc w:val="center"/>
              <w:rPr>
                <w:rFonts w:cs="Arial"/>
                <w:sz w:val="20"/>
                <w:szCs w:val="20"/>
              </w:rPr>
            </w:pPr>
            <w:r w:rsidRPr="00EA032D">
              <w:rPr>
                <w:rFonts w:cs="Arial"/>
                <w:sz w:val="20"/>
                <w:szCs w:val="20"/>
              </w:rPr>
              <w:t>2.289.853.981</w:t>
            </w:r>
          </w:p>
        </w:tc>
        <w:tc>
          <w:tcPr>
            <w:tcW w:w="0" w:type="auto"/>
            <w:vMerge/>
            <w:vAlign w:val="center"/>
            <w:hideMark/>
          </w:tcPr>
          <w:p w14:paraId="731611F2" w14:textId="77777777" w:rsidR="002318A3" w:rsidRPr="00EA032D" w:rsidRDefault="002318A3" w:rsidP="00AA4BBB">
            <w:pPr>
              <w:rPr>
                <w:rFonts w:cs="Arial"/>
                <w:b/>
                <w:bCs/>
                <w:sz w:val="20"/>
                <w:szCs w:val="20"/>
              </w:rPr>
            </w:pPr>
          </w:p>
        </w:tc>
      </w:tr>
      <w:tr w:rsidR="002318A3" w:rsidRPr="00EA032D" w14:paraId="69D66110" w14:textId="77777777" w:rsidTr="00AA4BBB">
        <w:tc>
          <w:tcPr>
            <w:tcW w:w="0" w:type="auto"/>
            <w:gridSpan w:val="6"/>
            <w:shd w:val="clear" w:color="auto" w:fill="C00000"/>
            <w:tcMar>
              <w:top w:w="30" w:type="dxa"/>
              <w:left w:w="45" w:type="dxa"/>
              <w:bottom w:w="30" w:type="dxa"/>
              <w:right w:w="45" w:type="dxa"/>
            </w:tcMar>
            <w:vAlign w:val="center"/>
            <w:hideMark/>
          </w:tcPr>
          <w:p w14:paraId="1DA54F0D" w14:textId="77777777" w:rsidR="002318A3" w:rsidRPr="00EA032D" w:rsidRDefault="002318A3" w:rsidP="00AA4BBB">
            <w:pPr>
              <w:jc w:val="center"/>
              <w:rPr>
                <w:rFonts w:cs="Arial"/>
                <w:b/>
                <w:bCs/>
                <w:color w:val="FFFFFF" w:themeColor="background1"/>
                <w:sz w:val="20"/>
                <w:szCs w:val="20"/>
              </w:rPr>
            </w:pPr>
            <w:r w:rsidRPr="00EA032D">
              <w:rPr>
                <w:rFonts w:cs="Arial"/>
                <w:b/>
                <w:bCs/>
                <w:color w:val="FFFFFF" w:themeColor="background1"/>
                <w:sz w:val="20"/>
                <w:szCs w:val="20"/>
              </w:rPr>
              <w:t>Hábitat</w:t>
            </w:r>
          </w:p>
        </w:tc>
      </w:tr>
      <w:tr w:rsidR="002318A3" w:rsidRPr="00EA032D" w14:paraId="3F4678B8" w14:textId="77777777" w:rsidTr="00AA4BBB">
        <w:tc>
          <w:tcPr>
            <w:tcW w:w="0" w:type="auto"/>
            <w:vMerge w:val="restart"/>
            <w:tcMar>
              <w:top w:w="30" w:type="dxa"/>
              <w:left w:w="45" w:type="dxa"/>
              <w:bottom w:w="30" w:type="dxa"/>
              <w:right w:w="45" w:type="dxa"/>
            </w:tcMar>
            <w:vAlign w:val="center"/>
            <w:hideMark/>
          </w:tcPr>
          <w:p w14:paraId="60569D9E" w14:textId="77777777" w:rsidR="002318A3" w:rsidRPr="00EA032D" w:rsidRDefault="002318A3" w:rsidP="00AA4BBB">
            <w:pPr>
              <w:rPr>
                <w:rFonts w:cs="Arial"/>
                <w:sz w:val="20"/>
                <w:szCs w:val="20"/>
              </w:rPr>
            </w:pPr>
            <w:r w:rsidRPr="00EA032D">
              <w:rPr>
                <w:rFonts w:cs="Arial"/>
                <w:sz w:val="20"/>
                <w:szCs w:val="20"/>
              </w:rPr>
              <w:t>Integrar 4 herramientas del sistema de información del sector hábitat que permitan la transparencia y difusión del conocimiento generado</w:t>
            </w:r>
          </w:p>
        </w:tc>
        <w:tc>
          <w:tcPr>
            <w:tcW w:w="0" w:type="auto"/>
            <w:tcMar>
              <w:top w:w="30" w:type="dxa"/>
              <w:left w:w="45" w:type="dxa"/>
              <w:bottom w:w="30" w:type="dxa"/>
              <w:right w:w="45" w:type="dxa"/>
            </w:tcMar>
            <w:vAlign w:val="center"/>
            <w:hideMark/>
          </w:tcPr>
          <w:p w14:paraId="75E9AB6F" w14:textId="712A3CA6" w:rsidR="002318A3" w:rsidRPr="00EA032D" w:rsidRDefault="002318A3" w:rsidP="00AA4BBB">
            <w:pPr>
              <w:jc w:val="center"/>
              <w:rPr>
                <w:rFonts w:cs="Arial"/>
                <w:sz w:val="20"/>
                <w:szCs w:val="20"/>
              </w:rPr>
            </w:pPr>
            <w:r w:rsidRPr="00EA032D">
              <w:rPr>
                <w:rFonts w:cs="Arial"/>
                <w:sz w:val="20"/>
                <w:szCs w:val="20"/>
              </w:rPr>
              <w:t>0,6</w:t>
            </w:r>
          </w:p>
        </w:tc>
        <w:tc>
          <w:tcPr>
            <w:tcW w:w="0" w:type="auto"/>
            <w:tcMar>
              <w:top w:w="30" w:type="dxa"/>
              <w:left w:w="45" w:type="dxa"/>
              <w:bottom w:w="30" w:type="dxa"/>
              <w:right w:w="45" w:type="dxa"/>
            </w:tcMar>
            <w:vAlign w:val="center"/>
            <w:hideMark/>
          </w:tcPr>
          <w:p w14:paraId="2062B6E4"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060EFC28" w14:textId="7C65B173" w:rsidR="002318A3" w:rsidRPr="00EA032D" w:rsidRDefault="002318A3" w:rsidP="00AA4BBB">
            <w:pPr>
              <w:jc w:val="center"/>
              <w:rPr>
                <w:rFonts w:cs="Arial"/>
                <w:sz w:val="20"/>
                <w:szCs w:val="20"/>
              </w:rPr>
            </w:pPr>
            <w:r w:rsidRPr="00EA032D">
              <w:rPr>
                <w:rFonts w:cs="Arial"/>
                <w:sz w:val="20"/>
                <w:szCs w:val="20"/>
              </w:rPr>
              <w:t>1,2</w:t>
            </w:r>
          </w:p>
        </w:tc>
        <w:tc>
          <w:tcPr>
            <w:tcW w:w="0" w:type="auto"/>
            <w:tcMar>
              <w:top w:w="30" w:type="dxa"/>
              <w:left w:w="45" w:type="dxa"/>
              <w:bottom w:w="30" w:type="dxa"/>
              <w:right w:w="45" w:type="dxa"/>
            </w:tcMar>
            <w:vAlign w:val="center"/>
            <w:hideMark/>
          </w:tcPr>
          <w:p w14:paraId="07EC4E45" w14:textId="64558070" w:rsidR="002318A3" w:rsidRPr="00EA032D" w:rsidRDefault="002318A3" w:rsidP="00AA4BBB">
            <w:pPr>
              <w:jc w:val="center"/>
              <w:rPr>
                <w:rFonts w:cs="Arial"/>
                <w:sz w:val="20"/>
                <w:szCs w:val="20"/>
              </w:rPr>
            </w:pPr>
            <w:r w:rsidRPr="00EA032D">
              <w:rPr>
                <w:rFonts w:cs="Arial"/>
                <w:sz w:val="20"/>
                <w:szCs w:val="20"/>
              </w:rPr>
              <w:t>1,2</w:t>
            </w:r>
          </w:p>
        </w:tc>
        <w:tc>
          <w:tcPr>
            <w:tcW w:w="0" w:type="auto"/>
            <w:vMerge w:val="restart"/>
            <w:tcMar>
              <w:top w:w="30" w:type="dxa"/>
              <w:left w:w="45" w:type="dxa"/>
              <w:bottom w:w="30" w:type="dxa"/>
              <w:right w:w="45" w:type="dxa"/>
            </w:tcMar>
            <w:vAlign w:val="center"/>
            <w:hideMark/>
          </w:tcPr>
          <w:p w14:paraId="0F836857" w14:textId="77777777" w:rsidR="002318A3" w:rsidRPr="00EA032D" w:rsidRDefault="002318A3" w:rsidP="00AA4BBB">
            <w:pPr>
              <w:jc w:val="center"/>
              <w:rPr>
                <w:rFonts w:cs="Arial"/>
                <w:b/>
                <w:bCs/>
                <w:sz w:val="20"/>
                <w:szCs w:val="20"/>
              </w:rPr>
            </w:pPr>
            <w:r w:rsidRPr="00EA032D">
              <w:rPr>
                <w:rFonts w:cs="Arial"/>
                <w:b/>
                <w:bCs/>
                <w:sz w:val="20"/>
                <w:szCs w:val="20"/>
              </w:rPr>
              <w:t>14.068.187.990</w:t>
            </w:r>
          </w:p>
        </w:tc>
      </w:tr>
      <w:tr w:rsidR="002318A3" w:rsidRPr="00EA032D" w14:paraId="54301ED1" w14:textId="77777777" w:rsidTr="00AA4BBB">
        <w:tc>
          <w:tcPr>
            <w:tcW w:w="0" w:type="auto"/>
            <w:vMerge/>
            <w:vAlign w:val="center"/>
            <w:hideMark/>
          </w:tcPr>
          <w:p w14:paraId="0D91FDA5"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34BC4B67" w14:textId="77777777" w:rsidR="002318A3" w:rsidRPr="00EA032D" w:rsidRDefault="002318A3" w:rsidP="00AA4BBB">
            <w:pPr>
              <w:jc w:val="center"/>
              <w:rPr>
                <w:rFonts w:cs="Arial"/>
                <w:sz w:val="20"/>
                <w:szCs w:val="20"/>
              </w:rPr>
            </w:pPr>
            <w:r w:rsidRPr="00EA032D">
              <w:rPr>
                <w:rFonts w:cs="Arial"/>
                <w:sz w:val="20"/>
                <w:szCs w:val="20"/>
              </w:rPr>
              <w:t>854.000.000</w:t>
            </w:r>
          </w:p>
        </w:tc>
        <w:tc>
          <w:tcPr>
            <w:tcW w:w="0" w:type="auto"/>
            <w:tcMar>
              <w:top w:w="30" w:type="dxa"/>
              <w:left w:w="45" w:type="dxa"/>
              <w:bottom w:w="30" w:type="dxa"/>
              <w:right w:w="45" w:type="dxa"/>
            </w:tcMar>
            <w:vAlign w:val="center"/>
            <w:hideMark/>
          </w:tcPr>
          <w:p w14:paraId="36A58B8E" w14:textId="77777777" w:rsidR="002318A3" w:rsidRPr="00EA032D" w:rsidRDefault="002318A3" w:rsidP="00AA4BBB">
            <w:pPr>
              <w:jc w:val="center"/>
              <w:rPr>
                <w:rFonts w:cs="Arial"/>
                <w:sz w:val="20"/>
                <w:szCs w:val="20"/>
              </w:rPr>
            </w:pPr>
            <w:r w:rsidRPr="00EA032D">
              <w:rPr>
                <w:rFonts w:cs="Arial"/>
                <w:sz w:val="20"/>
                <w:szCs w:val="20"/>
              </w:rPr>
              <w:t>4.854.368.932</w:t>
            </w:r>
          </w:p>
        </w:tc>
        <w:tc>
          <w:tcPr>
            <w:tcW w:w="0" w:type="auto"/>
            <w:tcMar>
              <w:top w:w="30" w:type="dxa"/>
              <w:left w:w="45" w:type="dxa"/>
              <w:bottom w:w="30" w:type="dxa"/>
              <w:right w:w="45" w:type="dxa"/>
            </w:tcMar>
            <w:vAlign w:val="center"/>
            <w:hideMark/>
          </w:tcPr>
          <w:p w14:paraId="07E797F6" w14:textId="77777777" w:rsidR="002318A3" w:rsidRPr="00EA032D" w:rsidRDefault="002318A3" w:rsidP="00AA4BBB">
            <w:pPr>
              <w:jc w:val="center"/>
              <w:rPr>
                <w:rFonts w:cs="Arial"/>
                <w:sz w:val="20"/>
                <w:szCs w:val="20"/>
              </w:rPr>
            </w:pPr>
            <w:r w:rsidRPr="00EA032D">
              <w:rPr>
                <w:rFonts w:cs="Arial"/>
                <w:sz w:val="20"/>
                <w:szCs w:val="20"/>
              </w:rPr>
              <w:t>4.241.681.591</w:t>
            </w:r>
          </w:p>
        </w:tc>
        <w:tc>
          <w:tcPr>
            <w:tcW w:w="0" w:type="auto"/>
            <w:tcMar>
              <w:top w:w="30" w:type="dxa"/>
              <w:left w:w="45" w:type="dxa"/>
              <w:bottom w:w="30" w:type="dxa"/>
              <w:right w:w="45" w:type="dxa"/>
            </w:tcMar>
            <w:vAlign w:val="center"/>
            <w:hideMark/>
          </w:tcPr>
          <w:p w14:paraId="5ABD75E2" w14:textId="77777777" w:rsidR="002318A3" w:rsidRPr="00EA032D" w:rsidRDefault="002318A3" w:rsidP="00AA4BBB">
            <w:pPr>
              <w:jc w:val="center"/>
              <w:rPr>
                <w:rFonts w:cs="Arial"/>
                <w:sz w:val="20"/>
                <w:szCs w:val="20"/>
              </w:rPr>
            </w:pPr>
            <w:r w:rsidRPr="00EA032D">
              <w:rPr>
                <w:rFonts w:cs="Arial"/>
                <w:sz w:val="20"/>
                <w:szCs w:val="20"/>
              </w:rPr>
              <w:t>4.118.137.467</w:t>
            </w:r>
          </w:p>
        </w:tc>
        <w:tc>
          <w:tcPr>
            <w:tcW w:w="0" w:type="auto"/>
            <w:vMerge/>
            <w:vAlign w:val="center"/>
            <w:hideMark/>
          </w:tcPr>
          <w:p w14:paraId="31603DD0" w14:textId="77777777" w:rsidR="002318A3" w:rsidRPr="00EA032D" w:rsidRDefault="002318A3" w:rsidP="00AA4BBB">
            <w:pPr>
              <w:rPr>
                <w:rFonts w:cs="Arial"/>
                <w:b/>
                <w:bCs/>
                <w:sz w:val="20"/>
                <w:szCs w:val="20"/>
              </w:rPr>
            </w:pPr>
          </w:p>
        </w:tc>
      </w:tr>
      <w:tr w:rsidR="002318A3" w:rsidRPr="00EA032D" w14:paraId="0A8DFD7E" w14:textId="77777777" w:rsidTr="00AA4BBB">
        <w:tc>
          <w:tcPr>
            <w:tcW w:w="0" w:type="auto"/>
            <w:gridSpan w:val="6"/>
            <w:shd w:val="clear" w:color="auto" w:fill="C00000"/>
            <w:tcMar>
              <w:top w:w="30" w:type="dxa"/>
              <w:left w:w="45" w:type="dxa"/>
              <w:bottom w:w="30" w:type="dxa"/>
              <w:right w:w="45" w:type="dxa"/>
            </w:tcMar>
            <w:vAlign w:val="center"/>
            <w:hideMark/>
          </w:tcPr>
          <w:p w14:paraId="551B11FD" w14:textId="77777777" w:rsidR="002318A3" w:rsidRPr="00EA032D" w:rsidRDefault="002318A3" w:rsidP="00AA4BBB">
            <w:pPr>
              <w:jc w:val="center"/>
              <w:rPr>
                <w:rFonts w:cs="Arial"/>
                <w:b/>
                <w:bCs/>
                <w:color w:val="FFFFFF" w:themeColor="background1"/>
                <w:sz w:val="20"/>
                <w:szCs w:val="20"/>
              </w:rPr>
            </w:pPr>
            <w:r w:rsidRPr="00EA032D">
              <w:rPr>
                <w:rFonts w:cs="Arial"/>
                <w:b/>
                <w:bCs/>
                <w:color w:val="FFFFFF" w:themeColor="background1"/>
                <w:sz w:val="20"/>
                <w:szCs w:val="20"/>
              </w:rPr>
              <w:t>Hacienda</w:t>
            </w:r>
          </w:p>
        </w:tc>
      </w:tr>
      <w:tr w:rsidR="002318A3" w:rsidRPr="00EA032D" w14:paraId="7D490214" w14:textId="77777777" w:rsidTr="00AA4BBB">
        <w:tc>
          <w:tcPr>
            <w:tcW w:w="0" w:type="auto"/>
            <w:vMerge w:val="restart"/>
            <w:tcMar>
              <w:top w:w="30" w:type="dxa"/>
              <w:left w:w="45" w:type="dxa"/>
              <w:bottom w:w="30" w:type="dxa"/>
              <w:right w:w="45" w:type="dxa"/>
            </w:tcMar>
            <w:vAlign w:val="center"/>
            <w:hideMark/>
          </w:tcPr>
          <w:p w14:paraId="04427171" w14:textId="77777777" w:rsidR="002318A3" w:rsidRPr="00EA032D" w:rsidRDefault="002318A3" w:rsidP="00AA4BBB">
            <w:pPr>
              <w:rPr>
                <w:rFonts w:cs="Arial"/>
                <w:sz w:val="20"/>
                <w:szCs w:val="20"/>
              </w:rPr>
            </w:pPr>
            <w:r w:rsidRPr="00EA032D">
              <w:rPr>
                <w:rFonts w:cs="Arial"/>
                <w:sz w:val="20"/>
                <w:szCs w:val="20"/>
              </w:rPr>
              <w:t>Automatizar 5 trámites catastrales</w:t>
            </w:r>
          </w:p>
        </w:tc>
        <w:tc>
          <w:tcPr>
            <w:tcW w:w="0" w:type="auto"/>
            <w:tcMar>
              <w:top w:w="30" w:type="dxa"/>
              <w:left w:w="45" w:type="dxa"/>
              <w:bottom w:w="30" w:type="dxa"/>
              <w:right w:w="45" w:type="dxa"/>
            </w:tcMar>
            <w:vAlign w:val="center"/>
            <w:hideMark/>
          </w:tcPr>
          <w:p w14:paraId="0406A50A" w14:textId="77777777" w:rsidR="002318A3" w:rsidRPr="00EA032D" w:rsidRDefault="002318A3" w:rsidP="00AA4BBB">
            <w:pPr>
              <w:jc w:val="center"/>
              <w:rPr>
                <w:rFonts w:cs="Arial"/>
                <w:sz w:val="20"/>
                <w:szCs w:val="20"/>
              </w:rPr>
            </w:pPr>
            <w:r w:rsidRPr="00EA032D">
              <w:rPr>
                <w:rFonts w:cs="Arial"/>
                <w:sz w:val="20"/>
                <w:szCs w:val="20"/>
              </w:rPr>
              <w:t>1</w:t>
            </w:r>
          </w:p>
        </w:tc>
        <w:tc>
          <w:tcPr>
            <w:tcW w:w="0" w:type="auto"/>
            <w:tcMar>
              <w:top w:w="30" w:type="dxa"/>
              <w:left w:w="45" w:type="dxa"/>
              <w:bottom w:w="30" w:type="dxa"/>
              <w:right w:w="45" w:type="dxa"/>
            </w:tcMar>
            <w:vAlign w:val="center"/>
            <w:hideMark/>
          </w:tcPr>
          <w:p w14:paraId="0DF631D3" w14:textId="77777777" w:rsidR="002318A3" w:rsidRPr="00EA032D" w:rsidRDefault="002318A3" w:rsidP="00AA4BBB">
            <w:pPr>
              <w:jc w:val="center"/>
              <w:rPr>
                <w:rFonts w:cs="Arial"/>
                <w:sz w:val="20"/>
                <w:szCs w:val="20"/>
              </w:rPr>
            </w:pPr>
            <w:r w:rsidRPr="00EA032D">
              <w:rPr>
                <w:rFonts w:cs="Arial"/>
                <w:sz w:val="20"/>
                <w:szCs w:val="20"/>
              </w:rPr>
              <w:t>2</w:t>
            </w:r>
          </w:p>
        </w:tc>
        <w:tc>
          <w:tcPr>
            <w:tcW w:w="0" w:type="auto"/>
            <w:tcMar>
              <w:top w:w="30" w:type="dxa"/>
              <w:left w:w="45" w:type="dxa"/>
              <w:bottom w:w="30" w:type="dxa"/>
              <w:right w:w="45" w:type="dxa"/>
            </w:tcMar>
            <w:vAlign w:val="center"/>
            <w:hideMark/>
          </w:tcPr>
          <w:p w14:paraId="38E2202E" w14:textId="77777777" w:rsidR="002318A3" w:rsidRPr="00EA032D" w:rsidRDefault="002318A3" w:rsidP="00AA4BBB">
            <w:pPr>
              <w:jc w:val="center"/>
              <w:rPr>
                <w:rFonts w:cs="Arial"/>
                <w:sz w:val="20"/>
                <w:szCs w:val="20"/>
              </w:rPr>
            </w:pPr>
            <w:r w:rsidRPr="00EA032D">
              <w:rPr>
                <w:rFonts w:cs="Arial"/>
                <w:sz w:val="20"/>
                <w:szCs w:val="20"/>
              </w:rPr>
              <w:t>3</w:t>
            </w:r>
          </w:p>
        </w:tc>
        <w:tc>
          <w:tcPr>
            <w:tcW w:w="0" w:type="auto"/>
            <w:tcMar>
              <w:top w:w="30" w:type="dxa"/>
              <w:left w:w="45" w:type="dxa"/>
              <w:bottom w:w="30" w:type="dxa"/>
              <w:right w:w="45" w:type="dxa"/>
            </w:tcMar>
            <w:vAlign w:val="center"/>
            <w:hideMark/>
          </w:tcPr>
          <w:p w14:paraId="55F944D9" w14:textId="77777777" w:rsidR="002318A3" w:rsidRPr="00EA032D" w:rsidRDefault="002318A3" w:rsidP="00AA4BBB">
            <w:pPr>
              <w:jc w:val="center"/>
              <w:rPr>
                <w:rFonts w:cs="Arial"/>
                <w:sz w:val="20"/>
                <w:szCs w:val="20"/>
              </w:rPr>
            </w:pPr>
            <w:r w:rsidRPr="00EA032D">
              <w:rPr>
                <w:rFonts w:cs="Arial"/>
                <w:sz w:val="20"/>
                <w:szCs w:val="20"/>
              </w:rPr>
              <w:t>5</w:t>
            </w:r>
          </w:p>
        </w:tc>
        <w:tc>
          <w:tcPr>
            <w:tcW w:w="0" w:type="auto"/>
            <w:vMerge w:val="restart"/>
            <w:tcMar>
              <w:top w:w="30" w:type="dxa"/>
              <w:left w:w="45" w:type="dxa"/>
              <w:bottom w:w="30" w:type="dxa"/>
              <w:right w:w="45" w:type="dxa"/>
            </w:tcMar>
            <w:vAlign w:val="center"/>
            <w:hideMark/>
          </w:tcPr>
          <w:p w14:paraId="56D32541" w14:textId="77777777" w:rsidR="002318A3" w:rsidRPr="00EA032D" w:rsidRDefault="002318A3" w:rsidP="00AA4BBB">
            <w:pPr>
              <w:jc w:val="center"/>
              <w:rPr>
                <w:rFonts w:cs="Arial"/>
                <w:b/>
                <w:bCs/>
                <w:sz w:val="20"/>
                <w:szCs w:val="20"/>
              </w:rPr>
            </w:pPr>
            <w:r w:rsidRPr="00EA032D">
              <w:rPr>
                <w:rFonts w:cs="Arial"/>
                <w:b/>
                <w:bCs/>
                <w:sz w:val="20"/>
                <w:szCs w:val="20"/>
              </w:rPr>
              <w:t>16.441.360.102</w:t>
            </w:r>
          </w:p>
        </w:tc>
      </w:tr>
      <w:tr w:rsidR="002318A3" w:rsidRPr="00EA032D" w14:paraId="5B5C5ABB" w14:textId="77777777" w:rsidTr="00AA4BBB">
        <w:tc>
          <w:tcPr>
            <w:tcW w:w="0" w:type="auto"/>
            <w:vMerge/>
            <w:vAlign w:val="center"/>
            <w:hideMark/>
          </w:tcPr>
          <w:p w14:paraId="74E1C6CD"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1494AB53" w14:textId="77777777" w:rsidR="002318A3" w:rsidRPr="00EA032D" w:rsidRDefault="002318A3" w:rsidP="00AA4BBB">
            <w:pPr>
              <w:jc w:val="center"/>
              <w:rPr>
                <w:rFonts w:cs="Arial"/>
                <w:sz w:val="20"/>
                <w:szCs w:val="20"/>
              </w:rPr>
            </w:pPr>
            <w:r w:rsidRPr="00EA032D">
              <w:rPr>
                <w:rFonts w:cs="Arial"/>
                <w:sz w:val="20"/>
                <w:szCs w:val="20"/>
              </w:rPr>
              <w:t>300.000.000</w:t>
            </w:r>
          </w:p>
        </w:tc>
        <w:tc>
          <w:tcPr>
            <w:tcW w:w="0" w:type="auto"/>
            <w:tcMar>
              <w:top w:w="30" w:type="dxa"/>
              <w:left w:w="45" w:type="dxa"/>
              <w:bottom w:w="30" w:type="dxa"/>
              <w:right w:w="45" w:type="dxa"/>
            </w:tcMar>
            <w:vAlign w:val="center"/>
            <w:hideMark/>
          </w:tcPr>
          <w:p w14:paraId="267D4494" w14:textId="77777777" w:rsidR="002318A3" w:rsidRPr="00EA032D" w:rsidRDefault="002318A3" w:rsidP="00AA4BBB">
            <w:pPr>
              <w:jc w:val="center"/>
              <w:rPr>
                <w:rFonts w:cs="Arial"/>
                <w:sz w:val="20"/>
                <w:szCs w:val="20"/>
              </w:rPr>
            </w:pPr>
            <w:r w:rsidRPr="00EA032D">
              <w:rPr>
                <w:rFonts w:cs="Arial"/>
                <w:sz w:val="20"/>
                <w:szCs w:val="20"/>
              </w:rPr>
              <w:t>5.825.242.718</w:t>
            </w:r>
          </w:p>
        </w:tc>
        <w:tc>
          <w:tcPr>
            <w:tcW w:w="0" w:type="auto"/>
            <w:tcMar>
              <w:top w:w="30" w:type="dxa"/>
              <w:left w:w="45" w:type="dxa"/>
              <w:bottom w:w="30" w:type="dxa"/>
              <w:right w:w="45" w:type="dxa"/>
            </w:tcMar>
            <w:vAlign w:val="center"/>
            <w:hideMark/>
          </w:tcPr>
          <w:p w14:paraId="2EBCA8CD" w14:textId="77777777" w:rsidR="002318A3" w:rsidRPr="00EA032D" w:rsidRDefault="002318A3" w:rsidP="00AA4BBB">
            <w:pPr>
              <w:jc w:val="center"/>
              <w:rPr>
                <w:rFonts w:cs="Arial"/>
                <w:sz w:val="20"/>
                <w:szCs w:val="20"/>
              </w:rPr>
            </w:pPr>
            <w:r w:rsidRPr="00EA032D">
              <w:rPr>
                <w:rFonts w:cs="Arial"/>
                <w:sz w:val="20"/>
                <w:szCs w:val="20"/>
              </w:rPr>
              <w:t>5.269.111.132</w:t>
            </w:r>
          </w:p>
        </w:tc>
        <w:tc>
          <w:tcPr>
            <w:tcW w:w="0" w:type="auto"/>
            <w:tcMar>
              <w:top w:w="30" w:type="dxa"/>
              <w:left w:w="45" w:type="dxa"/>
              <w:bottom w:w="30" w:type="dxa"/>
              <w:right w:w="45" w:type="dxa"/>
            </w:tcMar>
            <w:vAlign w:val="center"/>
            <w:hideMark/>
          </w:tcPr>
          <w:p w14:paraId="16A47B72" w14:textId="77777777" w:rsidR="002318A3" w:rsidRPr="00EA032D" w:rsidRDefault="002318A3" w:rsidP="00AA4BBB">
            <w:pPr>
              <w:jc w:val="center"/>
              <w:rPr>
                <w:rFonts w:cs="Arial"/>
                <w:sz w:val="20"/>
                <w:szCs w:val="20"/>
              </w:rPr>
            </w:pPr>
            <w:r w:rsidRPr="00EA032D">
              <w:rPr>
                <w:rFonts w:cs="Arial"/>
                <w:sz w:val="20"/>
                <w:szCs w:val="20"/>
              </w:rPr>
              <w:t>5.047.006.251</w:t>
            </w:r>
          </w:p>
        </w:tc>
        <w:tc>
          <w:tcPr>
            <w:tcW w:w="0" w:type="auto"/>
            <w:vMerge/>
            <w:vAlign w:val="center"/>
            <w:hideMark/>
          </w:tcPr>
          <w:p w14:paraId="3F207604" w14:textId="77777777" w:rsidR="002318A3" w:rsidRPr="00EA032D" w:rsidRDefault="002318A3" w:rsidP="00AA4BBB">
            <w:pPr>
              <w:rPr>
                <w:rFonts w:cs="Arial"/>
                <w:b/>
                <w:bCs/>
                <w:sz w:val="20"/>
                <w:szCs w:val="20"/>
              </w:rPr>
            </w:pPr>
          </w:p>
        </w:tc>
      </w:tr>
      <w:tr w:rsidR="002318A3" w:rsidRPr="00EA032D" w14:paraId="613565F0" w14:textId="77777777" w:rsidTr="00AA4BBB">
        <w:tc>
          <w:tcPr>
            <w:tcW w:w="0" w:type="auto"/>
            <w:vMerge w:val="restart"/>
            <w:tcMar>
              <w:top w:w="30" w:type="dxa"/>
              <w:left w:w="45" w:type="dxa"/>
              <w:bottom w:w="30" w:type="dxa"/>
              <w:right w:w="45" w:type="dxa"/>
            </w:tcMar>
            <w:vAlign w:val="center"/>
            <w:hideMark/>
          </w:tcPr>
          <w:p w14:paraId="0111ABA1" w14:textId="77777777" w:rsidR="002318A3" w:rsidRPr="00EA032D" w:rsidRDefault="002318A3" w:rsidP="00AA4BBB">
            <w:pPr>
              <w:rPr>
                <w:rFonts w:cs="Arial"/>
                <w:sz w:val="20"/>
                <w:szCs w:val="20"/>
              </w:rPr>
            </w:pPr>
            <w:r w:rsidRPr="00EA032D">
              <w:rPr>
                <w:rFonts w:cs="Arial"/>
                <w:sz w:val="20"/>
                <w:szCs w:val="20"/>
              </w:rPr>
              <w:t xml:space="preserve">Desarrollar el 100% de las acciones para disponer una plataforma tecnológica que </w:t>
            </w:r>
            <w:r w:rsidRPr="00EA032D">
              <w:rPr>
                <w:rFonts w:cs="Arial"/>
                <w:sz w:val="20"/>
                <w:szCs w:val="20"/>
              </w:rPr>
              <w:lastRenderedPageBreak/>
              <w:t>integre la información geográfica y catastral de Bogotá</w:t>
            </w:r>
          </w:p>
        </w:tc>
        <w:tc>
          <w:tcPr>
            <w:tcW w:w="0" w:type="auto"/>
            <w:tcMar>
              <w:top w:w="30" w:type="dxa"/>
              <w:left w:w="45" w:type="dxa"/>
              <w:bottom w:w="30" w:type="dxa"/>
              <w:right w:w="45" w:type="dxa"/>
            </w:tcMar>
            <w:vAlign w:val="center"/>
            <w:hideMark/>
          </w:tcPr>
          <w:p w14:paraId="1DF1DDFD" w14:textId="77777777" w:rsidR="002318A3" w:rsidRPr="00EA032D" w:rsidRDefault="002318A3" w:rsidP="00AA4BBB">
            <w:pPr>
              <w:jc w:val="center"/>
              <w:rPr>
                <w:rFonts w:cs="Arial"/>
                <w:sz w:val="20"/>
                <w:szCs w:val="20"/>
              </w:rPr>
            </w:pPr>
            <w:r w:rsidRPr="00EA032D">
              <w:rPr>
                <w:rFonts w:cs="Arial"/>
                <w:sz w:val="20"/>
                <w:szCs w:val="20"/>
              </w:rPr>
              <w:lastRenderedPageBreak/>
              <w:t>20%</w:t>
            </w:r>
          </w:p>
        </w:tc>
        <w:tc>
          <w:tcPr>
            <w:tcW w:w="0" w:type="auto"/>
            <w:tcMar>
              <w:top w:w="30" w:type="dxa"/>
              <w:left w:w="45" w:type="dxa"/>
              <w:bottom w:w="30" w:type="dxa"/>
              <w:right w:w="45" w:type="dxa"/>
            </w:tcMar>
            <w:vAlign w:val="center"/>
            <w:hideMark/>
          </w:tcPr>
          <w:p w14:paraId="62DDE39D" w14:textId="77777777" w:rsidR="002318A3" w:rsidRPr="00EA032D" w:rsidRDefault="002318A3" w:rsidP="00AA4BBB">
            <w:pPr>
              <w:jc w:val="center"/>
              <w:rPr>
                <w:rFonts w:cs="Arial"/>
                <w:sz w:val="20"/>
                <w:szCs w:val="20"/>
              </w:rPr>
            </w:pPr>
            <w:r w:rsidRPr="00EA032D">
              <w:rPr>
                <w:rFonts w:cs="Arial"/>
                <w:sz w:val="20"/>
                <w:szCs w:val="20"/>
              </w:rPr>
              <w:t>50%</w:t>
            </w:r>
          </w:p>
        </w:tc>
        <w:tc>
          <w:tcPr>
            <w:tcW w:w="0" w:type="auto"/>
            <w:tcMar>
              <w:top w:w="30" w:type="dxa"/>
              <w:left w:w="45" w:type="dxa"/>
              <w:bottom w:w="30" w:type="dxa"/>
              <w:right w:w="45" w:type="dxa"/>
            </w:tcMar>
            <w:vAlign w:val="center"/>
            <w:hideMark/>
          </w:tcPr>
          <w:p w14:paraId="7571E5EC" w14:textId="77777777" w:rsidR="002318A3" w:rsidRPr="00EA032D" w:rsidRDefault="002318A3" w:rsidP="00AA4BBB">
            <w:pPr>
              <w:jc w:val="center"/>
              <w:rPr>
                <w:rFonts w:cs="Arial"/>
                <w:sz w:val="20"/>
                <w:szCs w:val="20"/>
              </w:rPr>
            </w:pPr>
            <w:r w:rsidRPr="00EA032D">
              <w:rPr>
                <w:rFonts w:cs="Arial"/>
                <w:sz w:val="20"/>
                <w:szCs w:val="20"/>
              </w:rPr>
              <w:t>80%</w:t>
            </w:r>
          </w:p>
        </w:tc>
        <w:tc>
          <w:tcPr>
            <w:tcW w:w="0" w:type="auto"/>
            <w:tcMar>
              <w:top w:w="30" w:type="dxa"/>
              <w:left w:w="45" w:type="dxa"/>
              <w:bottom w:w="30" w:type="dxa"/>
              <w:right w:w="45" w:type="dxa"/>
            </w:tcMar>
            <w:vAlign w:val="center"/>
            <w:hideMark/>
          </w:tcPr>
          <w:p w14:paraId="2D8E75D6"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vMerge w:val="restart"/>
            <w:tcMar>
              <w:top w:w="30" w:type="dxa"/>
              <w:left w:w="45" w:type="dxa"/>
              <w:bottom w:w="30" w:type="dxa"/>
              <w:right w:w="45" w:type="dxa"/>
            </w:tcMar>
            <w:vAlign w:val="center"/>
            <w:hideMark/>
          </w:tcPr>
          <w:p w14:paraId="4D4B6A2F" w14:textId="77777777" w:rsidR="002318A3" w:rsidRPr="00EA032D" w:rsidRDefault="002318A3" w:rsidP="00AA4BBB">
            <w:pPr>
              <w:jc w:val="center"/>
              <w:rPr>
                <w:rFonts w:cs="Arial"/>
                <w:b/>
                <w:bCs/>
                <w:sz w:val="20"/>
                <w:szCs w:val="20"/>
              </w:rPr>
            </w:pPr>
            <w:r w:rsidRPr="00EA032D">
              <w:rPr>
                <w:rFonts w:cs="Arial"/>
                <w:b/>
                <w:bCs/>
                <w:sz w:val="20"/>
                <w:szCs w:val="20"/>
              </w:rPr>
              <w:t>16.918.971.743</w:t>
            </w:r>
          </w:p>
        </w:tc>
      </w:tr>
      <w:tr w:rsidR="002318A3" w:rsidRPr="00EA032D" w14:paraId="6D480C99" w14:textId="77777777" w:rsidTr="00AA4BBB">
        <w:tc>
          <w:tcPr>
            <w:tcW w:w="0" w:type="auto"/>
            <w:vMerge/>
            <w:vAlign w:val="center"/>
            <w:hideMark/>
          </w:tcPr>
          <w:p w14:paraId="5894925C"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56BFBC05" w14:textId="77777777" w:rsidR="002318A3" w:rsidRPr="00EA032D" w:rsidRDefault="002318A3" w:rsidP="00AA4BBB">
            <w:pPr>
              <w:jc w:val="center"/>
              <w:rPr>
                <w:rFonts w:cs="Arial"/>
                <w:sz w:val="20"/>
                <w:szCs w:val="20"/>
              </w:rPr>
            </w:pPr>
            <w:r w:rsidRPr="00EA032D">
              <w:rPr>
                <w:rFonts w:cs="Arial"/>
                <w:sz w:val="20"/>
                <w:szCs w:val="20"/>
              </w:rPr>
              <w:t>3.468.000.000</w:t>
            </w:r>
          </w:p>
        </w:tc>
        <w:tc>
          <w:tcPr>
            <w:tcW w:w="0" w:type="auto"/>
            <w:tcMar>
              <w:top w:w="30" w:type="dxa"/>
              <w:left w:w="45" w:type="dxa"/>
              <w:bottom w:w="30" w:type="dxa"/>
              <w:right w:w="45" w:type="dxa"/>
            </w:tcMar>
            <w:vAlign w:val="center"/>
            <w:hideMark/>
          </w:tcPr>
          <w:p w14:paraId="149CFB8A" w14:textId="77777777" w:rsidR="002318A3" w:rsidRPr="00EA032D" w:rsidRDefault="002318A3" w:rsidP="00AA4BBB">
            <w:pPr>
              <w:jc w:val="center"/>
              <w:rPr>
                <w:rFonts w:cs="Arial"/>
                <w:sz w:val="20"/>
                <w:szCs w:val="20"/>
              </w:rPr>
            </w:pPr>
            <w:r w:rsidRPr="00EA032D">
              <w:rPr>
                <w:rFonts w:cs="Arial"/>
                <w:sz w:val="20"/>
                <w:szCs w:val="20"/>
              </w:rPr>
              <w:t>4.854.368.932</w:t>
            </w:r>
          </w:p>
        </w:tc>
        <w:tc>
          <w:tcPr>
            <w:tcW w:w="0" w:type="auto"/>
            <w:tcMar>
              <w:top w:w="30" w:type="dxa"/>
              <w:left w:w="45" w:type="dxa"/>
              <w:bottom w:w="30" w:type="dxa"/>
              <w:right w:w="45" w:type="dxa"/>
            </w:tcMar>
            <w:vAlign w:val="center"/>
            <w:hideMark/>
          </w:tcPr>
          <w:p w14:paraId="656A89F0" w14:textId="77777777" w:rsidR="002318A3" w:rsidRPr="00EA032D" w:rsidRDefault="002318A3" w:rsidP="00AA4BBB">
            <w:pPr>
              <w:jc w:val="center"/>
              <w:rPr>
                <w:rFonts w:cs="Arial"/>
                <w:sz w:val="20"/>
                <w:szCs w:val="20"/>
              </w:rPr>
            </w:pPr>
            <w:r w:rsidRPr="00EA032D">
              <w:rPr>
                <w:rFonts w:cs="Arial"/>
                <w:sz w:val="20"/>
                <w:szCs w:val="20"/>
              </w:rPr>
              <w:t>4.390.611.745</w:t>
            </w:r>
          </w:p>
        </w:tc>
        <w:tc>
          <w:tcPr>
            <w:tcW w:w="0" w:type="auto"/>
            <w:tcMar>
              <w:top w:w="30" w:type="dxa"/>
              <w:left w:w="45" w:type="dxa"/>
              <w:bottom w:w="30" w:type="dxa"/>
              <w:right w:w="45" w:type="dxa"/>
            </w:tcMar>
            <w:vAlign w:val="center"/>
            <w:hideMark/>
          </w:tcPr>
          <w:p w14:paraId="433AADDB" w14:textId="77777777" w:rsidR="002318A3" w:rsidRPr="00EA032D" w:rsidRDefault="002318A3" w:rsidP="00AA4BBB">
            <w:pPr>
              <w:jc w:val="center"/>
              <w:rPr>
                <w:rFonts w:cs="Arial"/>
                <w:sz w:val="20"/>
                <w:szCs w:val="20"/>
              </w:rPr>
            </w:pPr>
            <w:r w:rsidRPr="00EA032D">
              <w:rPr>
                <w:rFonts w:cs="Arial"/>
                <w:sz w:val="20"/>
                <w:szCs w:val="20"/>
              </w:rPr>
              <w:t>4.205.991.066</w:t>
            </w:r>
          </w:p>
        </w:tc>
        <w:tc>
          <w:tcPr>
            <w:tcW w:w="0" w:type="auto"/>
            <w:vMerge/>
            <w:vAlign w:val="center"/>
            <w:hideMark/>
          </w:tcPr>
          <w:p w14:paraId="3D2C7317" w14:textId="77777777" w:rsidR="002318A3" w:rsidRPr="00EA032D" w:rsidRDefault="002318A3" w:rsidP="00AA4BBB">
            <w:pPr>
              <w:rPr>
                <w:rFonts w:cs="Arial"/>
                <w:b/>
                <w:bCs/>
                <w:sz w:val="20"/>
                <w:szCs w:val="20"/>
              </w:rPr>
            </w:pPr>
          </w:p>
        </w:tc>
      </w:tr>
      <w:tr w:rsidR="002318A3" w:rsidRPr="00EA032D" w14:paraId="457047FE" w14:textId="77777777" w:rsidTr="00AA4BBB">
        <w:tc>
          <w:tcPr>
            <w:tcW w:w="0" w:type="auto"/>
            <w:vMerge w:val="restart"/>
            <w:tcMar>
              <w:top w:w="30" w:type="dxa"/>
              <w:left w:w="45" w:type="dxa"/>
              <w:bottom w:w="30" w:type="dxa"/>
              <w:right w:w="45" w:type="dxa"/>
            </w:tcMar>
            <w:vAlign w:val="center"/>
            <w:hideMark/>
          </w:tcPr>
          <w:p w14:paraId="00184239" w14:textId="77777777" w:rsidR="002318A3" w:rsidRPr="00EA032D" w:rsidRDefault="002318A3" w:rsidP="00AA4BBB">
            <w:pPr>
              <w:rPr>
                <w:rFonts w:cs="Arial"/>
                <w:sz w:val="20"/>
                <w:szCs w:val="20"/>
              </w:rPr>
            </w:pPr>
            <w:r w:rsidRPr="00EA032D">
              <w:rPr>
                <w:rFonts w:cs="Arial"/>
                <w:sz w:val="20"/>
                <w:szCs w:val="20"/>
              </w:rPr>
              <w:t>Mantener el 100% del censo inmobiliario de Bogotá actualizado</w:t>
            </w:r>
          </w:p>
        </w:tc>
        <w:tc>
          <w:tcPr>
            <w:tcW w:w="0" w:type="auto"/>
            <w:tcMar>
              <w:top w:w="30" w:type="dxa"/>
              <w:left w:w="45" w:type="dxa"/>
              <w:bottom w:w="30" w:type="dxa"/>
              <w:right w:w="45" w:type="dxa"/>
            </w:tcMar>
            <w:vAlign w:val="center"/>
            <w:hideMark/>
          </w:tcPr>
          <w:p w14:paraId="3DB122E7"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tcMar>
              <w:top w:w="30" w:type="dxa"/>
              <w:left w:w="45" w:type="dxa"/>
              <w:bottom w:w="30" w:type="dxa"/>
              <w:right w:w="45" w:type="dxa"/>
            </w:tcMar>
            <w:vAlign w:val="center"/>
            <w:hideMark/>
          </w:tcPr>
          <w:p w14:paraId="4F94D97A"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tcMar>
              <w:top w:w="30" w:type="dxa"/>
              <w:left w:w="45" w:type="dxa"/>
              <w:bottom w:w="30" w:type="dxa"/>
              <w:right w:w="45" w:type="dxa"/>
            </w:tcMar>
            <w:vAlign w:val="center"/>
            <w:hideMark/>
          </w:tcPr>
          <w:p w14:paraId="1C67F178"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tcMar>
              <w:top w:w="30" w:type="dxa"/>
              <w:left w:w="45" w:type="dxa"/>
              <w:bottom w:w="30" w:type="dxa"/>
              <w:right w:w="45" w:type="dxa"/>
            </w:tcMar>
            <w:vAlign w:val="center"/>
            <w:hideMark/>
          </w:tcPr>
          <w:p w14:paraId="5AA73B65"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vMerge w:val="restart"/>
            <w:tcMar>
              <w:top w:w="30" w:type="dxa"/>
              <w:left w:w="45" w:type="dxa"/>
              <w:bottom w:w="30" w:type="dxa"/>
              <w:right w:w="45" w:type="dxa"/>
            </w:tcMar>
            <w:vAlign w:val="center"/>
            <w:hideMark/>
          </w:tcPr>
          <w:p w14:paraId="5C9E7160" w14:textId="77777777" w:rsidR="002318A3" w:rsidRPr="00EA032D" w:rsidRDefault="002318A3" w:rsidP="00AA4BBB">
            <w:pPr>
              <w:jc w:val="center"/>
              <w:rPr>
                <w:rFonts w:cs="Arial"/>
                <w:b/>
                <w:bCs/>
                <w:sz w:val="20"/>
                <w:szCs w:val="20"/>
              </w:rPr>
            </w:pPr>
            <w:r w:rsidRPr="00EA032D">
              <w:rPr>
                <w:rFonts w:cs="Arial"/>
                <w:b/>
                <w:bCs/>
                <w:sz w:val="20"/>
                <w:szCs w:val="20"/>
              </w:rPr>
              <w:t>61.656.858.628</w:t>
            </w:r>
          </w:p>
        </w:tc>
      </w:tr>
      <w:tr w:rsidR="002318A3" w:rsidRPr="00EA032D" w14:paraId="1DD19205" w14:textId="77777777" w:rsidTr="00AA4BBB">
        <w:tc>
          <w:tcPr>
            <w:tcW w:w="0" w:type="auto"/>
            <w:vMerge/>
            <w:vAlign w:val="center"/>
            <w:hideMark/>
          </w:tcPr>
          <w:p w14:paraId="7F86A620"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6BA00512" w14:textId="77777777" w:rsidR="002318A3" w:rsidRPr="00EA032D" w:rsidRDefault="002318A3" w:rsidP="00AA4BBB">
            <w:pPr>
              <w:jc w:val="center"/>
              <w:rPr>
                <w:rFonts w:cs="Arial"/>
                <w:sz w:val="20"/>
                <w:szCs w:val="20"/>
              </w:rPr>
            </w:pPr>
            <w:r w:rsidRPr="00EA032D">
              <w:rPr>
                <w:rFonts w:cs="Arial"/>
                <w:sz w:val="20"/>
                <w:szCs w:val="20"/>
              </w:rPr>
              <w:t>34.754.000.000</w:t>
            </w:r>
          </w:p>
        </w:tc>
        <w:tc>
          <w:tcPr>
            <w:tcW w:w="0" w:type="auto"/>
            <w:tcMar>
              <w:top w:w="30" w:type="dxa"/>
              <w:left w:w="45" w:type="dxa"/>
              <w:bottom w:w="30" w:type="dxa"/>
              <w:right w:w="45" w:type="dxa"/>
            </w:tcMar>
            <w:vAlign w:val="center"/>
            <w:hideMark/>
          </w:tcPr>
          <w:p w14:paraId="74EF6FA8" w14:textId="77777777" w:rsidR="002318A3" w:rsidRPr="00EA032D" w:rsidRDefault="002318A3" w:rsidP="00AA4BBB">
            <w:pPr>
              <w:jc w:val="center"/>
              <w:rPr>
                <w:rFonts w:cs="Arial"/>
                <w:sz w:val="20"/>
                <w:szCs w:val="20"/>
              </w:rPr>
            </w:pPr>
            <w:r w:rsidRPr="00EA032D">
              <w:rPr>
                <w:rFonts w:cs="Arial"/>
                <w:sz w:val="20"/>
                <w:szCs w:val="20"/>
              </w:rPr>
              <w:t>9.708.737.864</w:t>
            </w:r>
          </w:p>
        </w:tc>
        <w:tc>
          <w:tcPr>
            <w:tcW w:w="0" w:type="auto"/>
            <w:tcMar>
              <w:top w:w="30" w:type="dxa"/>
              <w:left w:w="45" w:type="dxa"/>
              <w:bottom w:w="30" w:type="dxa"/>
              <w:right w:w="45" w:type="dxa"/>
            </w:tcMar>
            <w:vAlign w:val="center"/>
            <w:hideMark/>
          </w:tcPr>
          <w:p w14:paraId="209B846F" w14:textId="77777777" w:rsidR="002318A3" w:rsidRPr="00EA032D" w:rsidRDefault="002318A3" w:rsidP="00AA4BBB">
            <w:pPr>
              <w:jc w:val="center"/>
              <w:rPr>
                <w:rFonts w:cs="Arial"/>
                <w:sz w:val="20"/>
                <w:szCs w:val="20"/>
              </w:rPr>
            </w:pPr>
            <w:r w:rsidRPr="00EA032D">
              <w:rPr>
                <w:rFonts w:cs="Arial"/>
                <w:sz w:val="20"/>
                <w:szCs w:val="20"/>
              </w:rPr>
              <w:t>8.781.223.489</w:t>
            </w:r>
          </w:p>
        </w:tc>
        <w:tc>
          <w:tcPr>
            <w:tcW w:w="0" w:type="auto"/>
            <w:tcMar>
              <w:top w:w="30" w:type="dxa"/>
              <w:left w:w="45" w:type="dxa"/>
              <w:bottom w:w="30" w:type="dxa"/>
              <w:right w:w="45" w:type="dxa"/>
            </w:tcMar>
            <w:vAlign w:val="center"/>
            <w:hideMark/>
          </w:tcPr>
          <w:p w14:paraId="0934484E" w14:textId="77777777" w:rsidR="002318A3" w:rsidRPr="00EA032D" w:rsidRDefault="002318A3" w:rsidP="00AA4BBB">
            <w:pPr>
              <w:jc w:val="center"/>
              <w:rPr>
                <w:rFonts w:cs="Arial"/>
                <w:sz w:val="20"/>
                <w:szCs w:val="20"/>
              </w:rPr>
            </w:pPr>
            <w:r w:rsidRPr="00EA032D">
              <w:rPr>
                <w:rFonts w:cs="Arial"/>
                <w:sz w:val="20"/>
                <w:szCs w:val="20"/>
              </w:rPr>
              <w:t>8.412.897.274</w:t>
            </w:r>
          </w:p>
        </w:tc>
        <w:tc>
          <w:tcPr>
            <w:tcW w:w="0" w:type="auto"/>
            <w:vMerge/>
            <w:vAlign w:val="center"/>
            <w:hideMark/>
          </w:tcPr>
          <w:p w14:paraId="35C691BB" w14:textId="77777777" w:rsidR="002318A3" w:rsidRPr="00EA032D" w:rsidRDefault="002318A3" w:rsidP="00AA4BBB">
            <w:pPr>
              <w:rPr>
                <w:rFonts w:cs="Arial"/>
                <w:b/>
                <w:bCs/>
                <w:sz w:val="20"/>
                <w:szCs w:val="20"/>
              </w:rPr>
            </w:pPr>
          </w:p>
        </w:tc>
      </w:tr>
      <w:tr w:rsidR="002318A3" w:rsidRPr="00EA032D" w14:paraId="014536AF" w14:textId="77777777" w:rsidTr="00AA4BBB">
        <w:tc>
          <w:tcPr>
            <w:tcW w:w="0" w:type="auto"/>
            <w:gridSpan w:val="6"/>
            <w:shd w:val="clear" w:color="auto" w:fill="C00000"/>
            <w:tcMar>
              <w:top w:w="30" w:type="dxa"/>
              <w:left w:w="45" w:type="dxa"/>
              <w:bottom w:w="30" w:type="dxa"/>
              <w:right w:w="45" w:type="dxa"/>
            </w:tcMar>
            <w:vAlign w:val="center"/>
            <w:hideMark/>
          </w:tcPr>
          <w:p w14:paraId="0BDB908D" w14:textId="77777777" w:rsidR="002318A3" w:rsidRPr="00EA032D" w:rsidRDefault="002318A3" w:rsidP="00AA4BBB">
            <w:pPr>
              <w:jc w:val="center"/>
              <w:rPr>
                <w:rFonts w:cs="Arial"/>
                <w:b/>
                <w:bCs/>
                <w:sz w:val="20"/>
                <w:szCs w:val="20"/>
              </w:rPr>
            </w:pPr>
            <w:r w:rsidRPr="00EA032D">
              <w:rPr>
                <w:rFonts w:cs="Arial"/>
                <w:b/>
                <w:bCs/>
                <w:color w:val="FFFFFF" w:themeColor="background1"/>
                <w:sz w:val="20"/>
                <w:szCs w:val="20"/>
              </w:rPr>
              <w:t>Salud</w:t>
            </w:r>
          </w:p>
        </w:tc>
      </w:tr>
      <w:tr w:rsidR="002318A3" w:rsidRPr="00EA032D" w14:paraId="2445220A" w14:textId="77777777" w:rsidTr="00AA4BBB">
        <w:tc>
          <w:tcPr>
            <w:tcW w:w="0" w:type="auto"/>
            <w:vMerge w:val="restart"/>
            <w:tcMar>
              <w:top w:w="30" w:type="dxa"/>
              <w:left w:w="45" w:type="dxa"/>
              <w:bottom w:w="30" w:type="dxa"/>
              <w:right w:w="45" w:type="dxa"/>
            </w:tcMar>
            <w:vAlign w:val="center"/>
            <w:hideMark/>
          </w:tcPr>
          <w:p w14:paraId="574F99A9" w14:textId="77777777" w:rsidR="002318A3" w:rsidRPr="00EA032D" w:rsidRDefault="002318A3" w:rsidP="00AA4BBB">
            <w:pPr>
              <w:rPr>
                <w:rFonts w:cs="Arial"/>
                <w:sz w:val="20"/>
                <w:szCs w:val="20"/>
              </w:rPr>
            </w:pPr>
            <w:r w:rsidRPr="00EA032D">
              <w:rPr>
                <w:rFonts w:cs="Arial"/>
                <w:sz w:val="20"/>
                <w:szCs w:val="20"/>
              </w:rPr>
              <w:t>Contribuir al 100% en el ejercicio de la transparencia e innovación para el fortalecimiento de las capacidades institucionales del sector</w:t>
            </w:r>
          </w:p>
        </w:tc>
        <w:tc>
          <w:tcPr>
            <w:tcW w:w="0" w:type="auto"/>
            <w:tcMar>
              <w:top w:w="30" w:type="dxa"/>
              <w:left w:w="45" w:type="dxa"/>
              <w:bottom w:w="30" w:type="dxa"/>
              <w:right w:w="45" w:type="dxa"/>
            </w:tcMar>
            <w:vAlign w:val="center"/>
            <w:hideMark/>
          </w:tcPr>
          <w:p w14:paraId="23C6CA2E"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tcMar>
              <w:top w:w="30" w:type="dxa"/>
              <w:left w:w="45" w:type="dxa"/>
              <w:bottom w:w="30" w:type="dxa"/>
              <w:right w:w="45" w:type="dxa"/>
            </w:tcMar>
            <w:vAlign w:val="center"/>
            <w:hideMark/>
          </w:tcPr>
          <w:p w14:paraId="1C47073A"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tcMar>
              <w:top w:w="30" w:type="dxa"/>
              <w:left w:w="45" w:type="dxa"/>
              <w:bottom w:w="30" w:type="dxa"/>
              <w:right w:w="45" w:type="dxa"/>
            </w:tcMar>
            <w:vAlign w:val="center"/>
            <w:hideMark/>
          </w:tcPr>
          <w:p w14:paraId="6BECFE9B"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tcMar>
              <w:top w:w="30" w:type="dxa"/>
              <w:left w:w="45" w:type="dxa"/>
              <w:bottom w:w="30" w:type="dxa"/>
              <w:right w:w="45" w:type="dxa"/>
            </w:tcMar>
            <w:vAlign w:val="center"/>
            <w:hideMark/>
          </w:tcPr>
          <w:p w14:paraId="7DF06589" w14:textId="77777777" w:rsidR="002318A3" w:rsidRPr="00EA032D" w:rsidRDefault="002318A3" w:rsidP="00AA4BBB">
            <w:pPr>
              <w:jc w:val="center"/>
              <w:rPr>
                <w:rFonts w:cs="Arial"/>
                <w:sz w:val="20"/>
                <w:szCs w:val="20"/>
              </w:rPr>
            </w:pPr>
            <w:r w:rsidRPr="00EA032D">
              <w:rPr>
                <w:rFonts w:cs="Arial"/>
                <w:sz w:val="20"/>
                <w:szCs w:val="20"/>
              </w:rPr>
              <w:t>100%</w:t>
            </w:r>
          </w:p>
        </w:tc>
        <w:tc>
          <w:tcPr>
            <w:tcW w:w="0" w:type="auto"/>
            <w:vMerge w:val="restart"/>
            <w:tcMar>
              <w:top w:w="30" w:type="dxa"/>
              <w:left w:w="45" w:type="dxa"/>
              <w:bottom w:w="30" w:type="dxa"/>
              <w:right w:w="45" w:type="dxa"/>
            </w:tcMar>
            <w:vAlign w:val="center"/>
            <w:hideMark/>
          </w:tcPr>
          <w:p w14:paraId="0A7421E6" w14:textId="77777777" w:rsidR="002318A3" w:rsidRPr="00EA032D" w:rsidRDefault="002318A3" w:rsidP="00AA4BBB">
            <w:pPr>
              <w:jc w:val="center"/>
              <w:rPr>
                <w:rFonts w:cs="Arial"/>
                <w:b/>
                <w:bCs/>
                <w:sz w:val="20"/>
                <w:szCs w:val="20"/>
              </w:rPr>
            </w:pPr>
            <w:r w:rsidRPr="00EA032D">
              <w:rPr>
                <w:rFonts w:cs="Arial"/>
                <w:b/>
                <w:bCs/>
                <w:sz w:val="20"/>
                <w:szCs w:val="20"/>
              </w:rPr>
              <w:t>83.644.206.355</w:t>
            </w:r>
          </w:p>
        </w:tc>
      </w:tr>
      <w:tr w:rsidR="002318A3" w:rsidRPr="00EA032D" w14:paraId="0210E438" w14:textId="77777777" w:rsidTr="00AA4BBB">
        <w:tc>
          <w:tcPr>
            <w:tcW w:w="0" w:type="auto"/>
            <w:vMerge/>
            <w:vAlign w:val="center"/>
            <w:hideMark/>
          </w:tcPr>
          <w:p w14:paraId="0B3796ED" w14:textId="77777777" w:rsidR="002318A3" w:rsidRPr="00EA032D" w:rsidRDefault="002318A3" w:rsidP="00AA4BBB">
            <w:pPr>
              <w:rPr>
                <w:rFonts w:cs="Arial"/>
                <w:sz w:val="20"/>
                <w:szCs w:val="20"/>
              </w:rPr>
            </w:pPr>
          </w:p>
        </w:tc>
        <w:tc>
          <w:tcPr>
            <w:tcW w:w="0" w:type="auto"/>
            <w:tcMar>
              <w:top w:w="30" w:type="dxa"/>
              <w:left w:w="45" w:type="dxa"/>
              <w:bottom w:w="30" w:type="dxa"/>
              <w:right w:w="45" w:type="dxa"/>
            </w:tcMar>
            <w:vAlign w:val="center"/>
            <w:hideMark/>
          </w:tcPr>
          <w:p w14:paraId="6EA5CBE6" w14:textId="77777777" w:rsidR="002318A3" w:rsidRPr="00EA032D" w:rsidRDefault="002318A3" w:rsidP="00AA4BBB">
            <w:pPr>
              <w:jc w:val="center"/>
              <w:rPr>
                <w:rFonts w:cs="Arial"/>
                <w:sz w:val="20"/>
                <w:szCs w:val="20"/>
              </w:rPr>
            </w:pPr>
            <w:r w:rsidRPr="00EA032D">
              <w:rPr>
                <w:rFonts w:cs="Arial"/>
                <w:sz w:val="20"/>
                <w:szCs w:val="20"/>
              </w:rPr>
              <w:t>12.646.000.000</w:t>
            </w:r>
          </w:p>
        </w:tc>
        <w:tc>
          <w:tcPr>
            <w:tcW w:w="0" w:type="auto"/>
            <w:tcMar>
              <w:top w:w="30" w:type="dxa"/>
              <w:left w:w="45" w:type="dxa"/>
              <w:bottom w:w="30" w:type="dxa"/>
              <w:right w:w="45" w:type="dxa"/>
            </w:tcMar>
            <w:vAlign w:val="center"/>
            <w:hideMark/>
          </w:tcPr>
          <w:p w14:paraId="698C3388" w14:textId="77777777" w:rsidR="002318A3" w:rsidRPr="00EA032D" w:rsidRDefault="002318A3" w:rsidP="00AA4BBB">
            <w:pPr>
              <w:jc w:val="center"/>
              <w:rPr>
                <w:rFonts w:cs="Arial"/>
                <w:sz w:val="20"/>
                <w:szCs w:val="20"/>
              </w:rPr>
            </w:pPr>
            <w:r w:rsidRPr="00EA032D">
              <w:rPr>
                <w:rFonts w:cs="Arial"/>
                <w:sz w:val="20"/>
                <w:szCs w:val="20"/>
              </w:rPr>
              <w:t>20.430.185.243</w:t>
            </w:r>
          </w:p>
        </w:tc>
        <w:tc>
          <w:tcPr>
            <w:tcW w:w="0" w:type="auto"/>
            <w:tcMar>
              <w:top w:w="30" w:type="dxa"/>
              <w:left w:w="45" w:type="dxa"/>
              <w:bottom w:w="30" w:type="dxa"/>
              <w:right w:w="45" w:type="dxa"/>
            </w:tcMar>
            <w:vAlign w:val="center"/>
            <w:hideMark/>
          </w:tcPr>
          <w:p w14:paraId="42A1E7B6" w14:textId="77777777" w:rsidR="002318A3" w:rsidRPr="00EA032D" w:rsidRDefault="002318A3" w:rsidP="00AA4BBB">
            <w:pPr>
              <w:jc w:val="center"/>
              <w:rPr>
                <w:rFonts w:cs="Arial"/>
                <w:sz w:val="20"/>
                <w:szCs w:val="20"/>
              </w:rPr>
            </w:pPr>
            <w:r w:rsidRPr="00EA032D">
              <w:rPr>
                <w:rFonts w:cs="Arial"/>
                <w:sz w:val="20"/>
                <w:szCs w:val="20"/>
              </w:rPr>
              <w:t>34.147.430.436</w:t>
            </w:r>
          </w:p>
        </w:tc>
        <w:tc>
          <w:tcPr>
            <w:tcW w:w="0" w:type="auto"/>
            <w:tcMar>
              <w:top w:w="30" w:type="dxa"/>
              <w:left w:w="45" w:type="dxa"/>
              <w:bottom w:w="30" w:type="dxa"/>
              <w:right w:w="45" w:type="dxa"/>
            </w:tcMar>
            <w:vAlign w:val="center"/>
            <w:hideMark/>
          </w:tcPr>
          <w:p w14:paraId="5842FBE5" w14:textId="77777777" w:rsidR="002318A3" w:rsidRPr="00EA032D" w:rsidRDefault="002318A3" w:rsidP="00AA4BBB">
            <w:pPr>
              <w:jc w:val="center"/>
              <w:rPr>
                <w:rFonts w:cs="Arial"/>
                <w:sz w:val="20"/>
                <w:szCs w:val="20"/>
              </w:rPr>
            </w:pPr>
            <w:r w:rsidRPr="00EA032D">
              <w:rPr>
                <w:rFonts w:cs="Arial"/>
                <w:sz w:val="20"/>
                <w:szCs w:val="20"/>
              </w:rPr>
              <w:t>16.420.590.676</w:t>
            </w:r>
          </w:p>
        </w:tc>
        <w:tc>
          <w:tcPr>
            <w:tcW w:w="0" w:type="auto"/>
            <w:vMerge/>
            <w:vAlign w:val="center"/>
            <w:hideMark/>
          </w:tcPr>
          <w:p w14:paraId="1CC664AC" w14:textId="77777777" w:rsidR="002318A3" w:rsidRPr="00EA032D" w:rsidRDefault="002318A3" w:rsidP="00AA4BBB">
            <w:pPr>
              <w:rPr>
                <w:rFonts w:cs="Arial"/>
                <w:b/>
                <w:bCs/>
                <w:sz w:val="20"/>
                <w:szCs w:val="20"/>
              </w:rPr>
            </w:pPr>
          </w:p>
        </w:tc>
      </w:tr>
      <w:tr w:rsidR="002318A3" w:rsidRPr="00EA032D" w14:paraId="454FBA8D" w14:textId="77777777" w:rsidTr="00AA4BBB">
        <w:tc>
          <w:tcPr>
            <w:tcW w:w="0" w:type="auto"/>
            <w:gridSpan w:val="6"/>
            <w:shd w:val="clear" w:color="auto" w:fill="C00000"/>
            <w:tcMar>
              <w:top w:w="30" w:type="dxa"/>
              <w:left w:w="45" w:type="dxa"/>
              <w:bottom w:w="30" w:type="dxa"/>
              <w:right w:w="45" w:type="dxa"/>
            </w:tcMar>
            <w:vAlign w:val="center"/>
            <w:hideMark/>
          </w:tcPr>
          <w:p w14:paraId="5D0FE1A1" w14:textId="77777777" w:rsidR="002318A3" w:rsidRPr="00EA032D" w:rsidRDefault="002318A3" w:rsidP="00AA4BBB">
            <w:pPr>
              <w:jc w:val="center"/>
              <w:rPr>
                <w:rFonts w:cs="Arial"/>
                <w:b/>
                <w:bCs/>
                <w:color w:val="FFFFFF" w:themeColor="background1"/>
                <w:sz w:val="20"/>
                <w:szCs w:val="20"/>
              </w:rPr>
            </w:pPr>
            <w:r w:rsidRPr="00EA032D">
              <w:rPr>
                <w:rFonts w:cs="Arial"/>
                <w:b/>
                <w:bCs/>
                <w:color w:val="FFFFFF" w:themeColor="background1"/>
                <w:sz w:val="20"/>
                <w:szCs w:val="20"/>
              </w:rPr>
              <w:t>Veeduría</w:t>
            </w:r>
          </w:p>
        </w:tc>
      </w:tr>
      <w:tr w:rsidR="002318A3" w:rsidRPr="00EA032D" w14:paraId="76919E68" w14:textId="77777777" w:rsidTr="00AA4BBB">
        <w:tc>
          <w:tcPr>
            <w:tcW w:w="0" w:type="auto"/>
            <w:vMerge w:val="restart"/>
            <w:tcMar>
              <w:top w:w="30" w:type="dxa"/>
              <w:left w:w="45" w:type="dxa"/>
              <w:bottom w:w="30" w:type="dxa"/>
              <w:right w:w="45" w:type="dxa"/>
            </w:tcMar>
            <w:vAlign w:val="center"/>
            <w:hideMark/>
          </w:tcPr>
          <w:p w14:paraId="1EB494A2" w14:textId="77777777" w:rsidR="002318A3" w:rsidRPr="00EA032D" w:rsidRDefault="002318A3" w:rsidP="00AA4BBB">
            <w:pPr>
              <w:rPr>
                <w:rFonts w:cs="Arial"/>
                <w:sz w:val="20"/>
                <w:szCs w:val="20"/>
              </w:rPr>
            </w:pPr>
            <w:r w:rsidRPr="00EA032D">
              <w:rPr>
                <w:rFonts w:cs="Arial"/>
                <w:sz w:val="20"/>
                <w:szCs w:val="20"/>
              </w:rPr>
              <w:t>Fortalecer a 4.300 ciudadanas ciudadanos y/o servidoras servidores públicos en control social de la gestión pública promoviendo transparencia y la cultura de denuncia.</w:t>
            </w:r>
          </w:p>
        </w:tc>
        <w:tc>
          <w:tcPr>
            <w:tcW w:w="0" w:type="auto"/>
            <w:tcMar>
              <w:top w:w="30" w:type="dxa"/>
              <w:left w:w="45" w:type="dxa"/>
              <w:bottom w:w="30" w:type="dxa"/>
              <w:right w:w="45" w:type="dxa"/>
            </w:tcMar>
            <w:vAlign w:val="center"/>
            <w:hideMark/>
          </w:tcPr>
          <w:p w14:paraId="10B6C36D" w14:textId="77777777" w:rsidR="002318A3" w:rsidRPr="00EA032D" w:rsidRDefault="002318A3" w:rsidP="00AA4BBB">
            <w:pPr>
              <w:jc w:val="center"/>
              <w:rPr>
                <w:rFonts w:cs="Arial"/>
                <w:sz w:val="20"/>
                <w:szCs w:val="20"/>
              </w:rPr>
            </w:pPr>
            <w:r w:rsidRPr="00EA032D">
              <w:rPr>
                <w:rFonts w:cs="Arial"/>
                <w:sz w:val="20"/>
                <w:szCs w:val="20"/>
              </w:rPr>
              <w:t>400</w:t>
            </w:r>
          </w:p>
        </w:tc>
        <w:tc>
          <w:tcPr>
            <w:tcW w:w="0" w:type="auto"/>
            <w:tcMar>
              <w:top w:w="30" w:type="dxa"/>
              <w:left w:w="45" w:type="dxa"/>
              <w:bottom w:w="30" w:type="dxa"/>
              <w:right w:w="45" w:type="dxa"/>
            </w:tcMar>
            <w:vAlign w:val="center"/>
            <w:hideMark/>
          </w:tcPr>
          <w:p w14:paraId="4E73E565" w14:textId="77777777" w:rsidR="002318A3" w:rsidRPr="00EA032D" w:rsidRDefault="002318A3" w:rsidP="00AA4BBB">
            <w:pPr>
              <w:jc w:val="center"/>
              <w:rPr>
                <w:rFonts w:cs="Arial"/>
                <w:sz w:val="20"/>
                <w:szCs w:val="20"/>
              </w:rPr>
            </w:pPr>
            <w:r w:rsidRPr="00EA032D">
              <w:rPr>
                <w:rFonts w:cs="Arial"/>
                <w:sz w:val="20"/>
                <w:szCs w:val="20"/>
              </w:rPr>
              <w:t>1.300</w:t>
            </w:r>
          </w:p>
        </w:tc>
        <w:tc>
          <w:tcPr>
            <w:tcW w:w="0" w:type="auto"/>
            <w:tcMar>
              <w:top w:w="30" w:type="dxa"/>
              <w:left w:w="45" w:type="dxa"/>
              <w:bottom w:w="30" w:type="dxa"/>
              <w:right w:w="45" w:type="dxa"/>
            </w:tcMar>
            <w:vAlign w:val="center"/>
            <w:hideMark/>
          </w:tcPr>
          <w:p w14:paraId="4F342164" w14:textId="77777777" w:rsidR="002318A3" w:rsidRPr="00EA032D" w:rsidRDefault="002318A3" w:rsidP="00AA4BBB">
            <w:pPr>
              <w:jc w:val="center"/>
              <w:rPr>
                <w:rFonts w:cs="Arial"/>
                <w:sz w:val="20"/>
                <w:szCs w:val="20"/>
              </w:rPr>
            </w:pPr>
            <w:r w:rsidRPr="00EA032D">
              <w:rPr>
                <w:rFonts w:cs="Arial"/>
                <w:sz w:val="20"/>
                <w:szCs w:val="20"/>
              </w:rPr>
              <w:t>1.300</w:t>
            </w:r>
          </w:p>
        </w:tc>
        <w:tc>
          <w:tcPr>
            <w:tcW w:w="0" w:type="auto"/>
            <w:tcMar>
              <w:top w:w="30" w:type="dxa"/>
              <w:left w:w="45" w:type="dxa"/>
              <w:bottom w:w="30" w:type="dxa"/>
              <w:right w:w="45" w:type="dxa"/>
            </w:tcMar>
            <w:vAlign w:val="center"/>
            <w:hideMark/>
          </w:tcPr>
          <w:p w14:paraId="1DF1E108" w14:textId="77777777" w:rsidR="002318A3" w:rsidRPr="00EA032D" w:rsidRDefault="002318A3" w:rsidP="00AA4BBB">
            <w:pPr>
              <w:jc w:val="center"/>
              <w:rPr>
                <w:rFonts w:cs="Arial"/>
                <w:sz w:val="20"/>
                <w:szCs w:val="20"/>
              </w:rPr>
            </w:pPr>
            <w:r w:rsidRPr="00EA032D">
              <w:rPr>
                <w:rFonts w:cs="Arial"/>
                <w:sz w:val="20"/>
                <w:szCs w:val="20"/>
              </w:rPr>
              <w:t>1.300</w:t>
            </w:r>
          </w:p>
        </w:tc>
        <w:tc>
          <w:tcPr>
            <w:tcW w:w="0" w:type="auto"/>
            <w:vMerge w:val="restart"/>
            <w:tcMar>
              <w:top w:w="30" w:type="dxa"/>
              <w:left w:w="45" w:type="dxa"/>
              <w:bottom w:w="30" w:type="dxa"/>
              <w:right w:w="45" w:type="dxa"/>
            </w:tcMar>
            <w:vAlign w:val="center"/>
            <w:hideMark/>
          </w:tcPr>
          <w:p w14:paraId="6352B25E" w14:textId="77777777" w:rsidR="002318A3" w:rsidRPr="00EA032D" w:rsidRDefault="002318A3" w:rsidP="00AA4BBB">
            <w:pPr>
              <w:jc w:val="center"/>
              <w:rPr>
                <w:rFonts w:cs="Arial"/>
                <w:b/>
                <w:bCs/>
                <w:sz w:val="20"/>
                <w:szCs w:val="20"/>
              </w:rPr>
            </w:pPr>
            <w:r w:rsidRPr="00EA032D">
              <w:rPr>
                <w:rFonts w:cs="Arial"/>
                <w:b/>
                <w:bCs/>
                <w:sz w:val="20"/>
                <w:szCs w:val="20"/>
              </w:rPr>
              <w:t>8.112.149.439</w:t>
            </w:r>
          </w:p>
        </w:tc>
      </w:tr>
      <w:tr w:rsidR="002318A3" w:rsidRPr="00EA032D" w14:paraId="0933494B" w14:textId="77777777" w:rsidTr="00AA4BBB">
        <w:tc>
          <w:tcPr>
            <w:tcW w:w="0" w:type="auto"/>
            <w:vMerge/>
            <w:tcBorders>
              <w:bottom w:val="double" w:sz="4" w:space="0" w:color="C00000"/>
            </w:tcBorders>
            <w:vAlign w:val="center"/>
            <w:hideMark/>
          </w:tcPr>
          <w:p w14:paraId="4B76E8F4" w14:textId="77777777" w:rsidR="002318A3" w:rsidRPr="00EA032D" w:rsidRDefault="002318A3" w:rsidP="00AA4BBB">
            <w:pPr>
              <w:rPr>
                <w:rFonts w:cs="Arial"/>
                <w:sz w:val="20"/>
                <w:szCs w:val="20"/>
              </w:rPr>
            </w:pPr>
          </w:p>
        </w:tc>
        <w:tc>
          <w:tcPr>
            <w:tcW w:w="0" w:type="auto"/>
            <w:tcBorders>
              <w:bottom w:val="double" w:sz="4" w:space="0" w:color="C00000"/>
            </w:tcBorders>
            <w:tcMar>
              <w:top w:w="30" w:type="dxa"/>
              <w:left w:w="45" w:type="dxa"/>
              <w:bottom w:w="30" w:type="dxa"/>
              <w:right w:w="45" w:type="dxa"/>
            </w:tcMar>
            <w:vAlign w:val="center"/>
            <w:hideMark/>
          </w:tcPr>
          <w:p w14:paraId="2BD3A525" w14:textId="77777777" w:rsidR="002318A3" w:rsidRPr="00EA032D" w:rsidRDefault="002318A3" w:rsidP="00AA4BBB">
            <w:pPr>
              <w:jc w:val="center"/>
              <w:rPr>
                <w:rFonts w:cs="Arial"/>
                <w:sz w:val="20"/>
                <w:szCs w:val="20"/>
              </w:rPr>
            </w:pPr>
            <w:r w:rsidRPr="00EA032D">
              <w:rPr>
                <w:rFonts w:cs="Arial"/>
                <w:sz w:val="20"/>
                <w:szCs w:val="20"/>
              </w:rPr>
              <w:t>1.067.375.000</w:t>
            </w:r>
          </w:p>
        </w:tc>
        <w:tc>
          <w:tcPr>
            <w:tcW w:w="0" w:type="auto"/>
            <w:tcBorders>
              <w:bottom w:val="double" w:sz="4" w:space="0" w:color="C00000"/>
            </w:tcBorders>
            <w:tcMar>
              <w:top w:w="30" w:type="dxa"/>
              <w:left w:w="45" w:type="dxa"/>
              <w:bottom w:w="30" w:type="dxa"/>
              <w:right w:w="45" w:type="dxa"/>
            </w:tcMar>
            <w:vAlign w:val="center"/>
            <w:hideMark/>
          </w:tcPr>
          <w:p w14:paraId="7173415F" w14:textId="77777777" w:rsidR="002318A3" w:rsidRPr="00EA032D" w:rsidRDefault="002318A3" w:rsidP="00AA4BBB">
            <w:pPr>
              <w:jc w:val="center"/>
              <w:rPr>
                <w:rFonts w:cs="Arial"/>
                <w:sz w:val="20"/>
                <w:szCs w:val="20"/>
              </w:rPr>
            </w:pPr>
            <w:r w:rsidRPr="00EA032D">
              <w:rPr>
                <w:rFonts w:cs="Arial"/>
                <w:sz w:val="20"/>
                <w:szCs w:val="20"/>
              </w:rPr>
              <w:t>2.418.001.618</w:t>
            </w:r>
          </w:p>
        </w:tc>
        <w:tc>
          <w:tcPr>
            <w:tcW w:w="0" w:type="auto"/>
            <w:tcBorders>
              <w:bottom w:val="double" w:sz="4" w:space="0" w:color="C00000"/>
            </w:tcBorders>
            <w:tcMar>
              <w:top w:w="30" w:type="dxa"/>
              <w:left w:w="45" w:type="dxa"/>
              <w:bottom w:w="30" w:type="dxa"/>
              <w:right w:w="45" w:type="dxa"/>
            </w:tcMar>
            <w:vAlign w:val="center"/>
            <w:hideMark/>
          </w:tcPr>
          <w:p w14:paraId="6D9FDDE8" w14:textId="77777777" w:rsidR="002318A3" w:rsidRPr="00EA032D" w:rsidRDefault="002318A3" w:rsidP="00AA4BBB">
            <w:pPr>
              <w:jc w:val="center"/>
              <w:rPr>
                <w:rFonts w:cs="Arial"/>
                <w:sz w:val="20"/>
                <w:szCs w:val="20"/>
              </w:rPr>
            </w:pPr>
            <w:r w:rsidRPr="00EA032D">
              <w:rPr>
                <w:rFonts w:cs="Arial"/>
                <w:sz w:val="20"/>
                <w:szCs w:val="20"/>
              </w:rPr>
              <w:t>2.347.574.387</w:t>
            </w:r>
          </w:p>
        </w:tc>
        <w:tc>
          <w:tcPr>
            <w:tcW w:w="0" w:type="auto"/>
            <w:tcBorders>
              <w:bottom w:val="double" w:sz="4" w:space="0" w:color="C00000"/>
            </w:tcBorders>
            <w:tcMar>
              <w:top w:w="30" w:type="dxa"/>
              <w:left w:w="45" w:type="dxa"/>
              <w:bottom w:w="30" w:type="dxa"/>
              <w:right w:w="45" w:type="dxa"/>
            </w:tcMar>
            <w:vAlign w:val="center"/>
            <w:hideMark/>
          </w:tcPr>
          <w:p w14:paraId="29110BFD" w14:textId="77777777" w:rsidR="002318A3" w:rsidRPr="00EA032D" w:rsidRDefault="002318A3" w:rsidP="00AA4BBB">
            <w:pPr>
              <w:jc w:val="center"/>
              <w:rPr>
                <w:rFonts w:cs="Arial"/>
                <w:sz w:val="20"/>
                <w:szCs w:val="20"/>
              </w:rPr>
            </w:pPr>
            <w:r w:rsidRPr="00EA032D">
              <w:rPr>
                <w:rFonts w:cs="Arial"/>
                <w:sz w:val="20"/>
                <w:szCs w:val="20"/>
              </w:rPr>
              <w:t>2.279.198.434</w:t>
            </w:r>
          </w:p>
        </w:tc>
        <w:tc>
          <w:tcPr>
            <w:tcW w:w="0" w:type="auto"/>
            <w:vMerge/>
            <w:tcBorders>
              <w:bottom w:val="double" w:sz="4" w:space="0" w:color="C00000"/>
            </w:tcBorders>
            <w:vAlign w:val="center"/>
            <w:hideMark/>
          </w:tcPr>
          <w:p w14:paraId="0E05A262" w14:textId="77777777" w:rsidR="002318A3" w:rsidRPr="00EA032D" w:rsidRDefault="002318A3" w:rsidP="00AA4BBB">
            <w:pPr>
              <w:rPr>
                <w:rFonts w:cs="Arial"/>
                <w:b/>
                <w:bCs/>
                <w:sz w:val="20"/>
                <w:szCs w:val="20"/>
              </w:rPr>
            </w:pPr>
          </w:p>
        </w:tc>
      </w:tr>
    </w:tbl>
    <w:p w14:paraId="4FC5FC0E" w14:textId="77777777" w:rsidR="00EF1D5F" w:rsidRDefault="00EF1D5F" w:rsidP="002318A3">
      <w:pPr>
        <w:rPr>
          <w:b/>
          <w:bCs/>
          <w:iCs/>
          <w:color w:val="C00000"/>
          <w:sz w:val="28"/>
          <w:szCs w:val="28"/>
        </w:rPr>
      </w:pPr>
    </w:p>
    <w:p w14:paraId="27C9EA09" w14:textId="77777777" w:rsidR="007B0476" w:rsidRDefault="007B0476" w:rsidP="002318A3">
      <w:pPr>
        <w:pStyle w:val="subnumeros"/>
        <w:numPr>
          <w:ilvl w:val="0"/>
          <w:numId w:val="0"/>
        </w:numPr>
        <w:ind w:left="1134"/>
        <w:outlineLvl w:val="9"/>
        <w:rPr>
          <w:bCs/>
        </w:rPr>
      </w:pPr>
    </w:p>
    <w:p w14:paraId="1D8E23BC" w14:textId="77777777" w:rsidR="007B0476" w:rsidRDefault="007B0476" w:rsidP="002318A3">
      <w:pPr>
        <w:pStyle w:val="subnumeros"/>
        <w:numPr>
          <w:ilvl w:val="0"/>
          <w:numId w:val="0"/>
        </w:numPr>
        <w:ind w:left="1145" w:hanging="720"/>
        <w:outlineLvl w:val="9"/>
        <w:rPr>
          <w:bCs/>
        </w:rPr>
      </w:pPr>
      <w:r>
        <w:rPr>
          <w:bCs/>
        </w:rPr>
        <w:br w:type="page"/>
      </w:r>
    </w:p>
    <w:p w14:paraId="7B172419" w14:textId="28BC5C12" w:rsidR="00EF1D5F" w:rsidRDefault="00EF1D5F" w:rsidP="00EA032D">
      <w:pPr>
        <w:pStyle w:val="NIVEL4"/>
        <w:rPr>
          <w:bCs/>
        </w:rPr>
      </w:pPr>
      <w:bookmarkStart w:id="428" w:name="_Toc165169801"/>
      <w:r w:rsidRPr="007B0476">
        <w:rPr>
          <w:color w:val="C00000"/>
        </w:rPr>
        <w:lastRenderedPageBreak/>
        <w:t>Programa 33</w:t>
      </w:r>
      <w:r w:rsidR="00003CFE">
        <w:rPr>
          <w:color w:val="C00000"/>
        </w:rPr>
        <w:t>:</w:t>
      </w:r>
      <w:r w:rsidRPr="007B0476">
        <w:rPr>
          <w:color w:val="C00000"/>
        </w:rPr>
        <w:t xml:space="preserve"> </w:t>
      </w:r>
      <w:r w:rsidRPr="00CE4741">
        <w:t xml:space="preserve">Fortalecimiento institucional </w:t>
      </w:r>
      <w:r w:rsidRPr="00CE4741">
        <w:rPr>
          <w:bCs/>
        </w:rPr>
        <w:t>para un gobierno</w:t>
      </w:r>
      <w:r w:rsidR="007B0476">
        <w:rPr>
          <w:bCs/>
        </w:rPr>
        <w:t xml:space="preserve"> </w:t>
      </w:r>
      <w:r w:rsidRPr="00CE4741">
        <w:rPr>
          <w:bCs/>
        </w:rPr>
        <w:t>confiable</w:t>
      </w:r>
      <w:bookmarkEnd w:id="428"/>
    </w:p>
    <w:p w14:paraId="41D0E006" w14:textId="77777777" w:rsidR="00EF1D5F" w:rsidRPr="00CE4741" w:rsidRDefault="00EF1D5F" w:rsidP="00EA032D">
      <w:pPr>
        <w:pStyle w:val="subnumeros"/>
        <w:numPr>
          <w:ilvl w:val="0"/>
          <w:numId w:val="0"/>
        </w:numPr>
        <w:ind w:left="1134"/>
        <w:outlineLvl w:val="9"/>
        <w:rPr>
          <w:bCs/>
        </w:rPr>
      </w:pPr>
    </w:p>
    <w:p w14:paraId="7A038778" w14:textId="7DF11B4A" w:rsidR="00EF1D5F" w:rsidRDefault="00EF1D5F" w:rsidP="00EA032D">
      <w:pPr>
        <w:ind w:firstLine="708"/>
        <w:sectPr w:rsidR="00EF1D5F" w:rsidSect="00F7078E">
          <w:type w:val="continuous"/>
          <w:pgSz w:w="12240" w:h="15840"/>
          <w:pgMar w:top="2262" w:right="1440" w:bottom="1440" w:left="1440" w:header="708" w:footer="680" w:gutter="0"/>
          <w:cols w:space="720"/>
          <w:docGrid w:linePitch="299"/>
        </w:sectPr>
      </w:pPr>
      <w:r w:rsidRPr="00EA032D">
        <w:rPr>
          <w:b/>
          <w:bCs/>
          <w:sz w:val="24"/>
          <w:szCs w:val="28"/>
        </w:rPr>
        <w:t>Diagnóstico</w:t>
      </w:r>
      <w:bookmarkStart w:id="429" w:name="_Hlk165061881"/>
    </w:p>
    <w:p w14:paraId="74711062" w14:textId="77777777" w:rsidR="00EF1D5F" w:rsidRDefault="00EF1D5F" w:rsidP="007B0476">
      <w:r w:rsidRPr="00D82824">
        <w:t>En Bogotá se han implementado diversas estrategias de fortalecimiento y mejora institucional para asegurar la entrega de bienes y servicios que atienden las necesidades de la ciudadanía. Estos avances se recogen en dos índices:</w:t>
      </w:r>
    </w:p>
    <w:p w14:paraId="1068F54B" w14:textId="77777777" w:rsidR="00EA032D" w:rsidRPr="00D82824" w:rsidRDefault="00EA032D" w:rsidP="007B0476"/>
    <w:p w14:paraId="308E814E" w14:textId="77777777" w:rsidR="00EF1D5F" w:rsidRPr="00D82824" w:rsidRDefault="00EF1D5F" w:rsidP="00CB6AEC">
      <w:pPr>
        <w:pStyle w:val="Prrafodelista"/>
        <w:numPr>
          <w:ilvl w:val="0"/>
          <w:numId w:val="48"/>
        </w:numPr>
        <w:spacing w:line="240" w:lineRule="auto"/>
        <w:rPr>
          <w:szCs w:val="22"/>
        </w:rPr>
      </w:pPr>
      <w:r w:rsidRPr="00D82824">
        <w:rPr>
          <w:szCs w:val="22"/>
        </w:rPr>
        <w:t>El Índice de Desempeño Institucional (IDI)</w:t>
      </w:r>
      <w:r w:rsidRPr="00EA032D">
        <w:rPr>
          <w:b/>
          <w:bCs/>
          <w:szCs w:val="22"/>
          <w:vertAlign w:val="superscript"/>
        </w:rPr>
        <w:footnoteReference w:id="22"/>
      </w:r>
      <w:r w:rsidRPr="00D82824">
        <w:rPr>
          <w:szCs w:val="22"/>
        </w:rPr>
        <w:t>, en el cual la ciudad obtiene un resultado calificado como superior (86,5 puntos); esto es, 15 puntos por encima del promedio de las ciudades capitales (71,5) de Colombia.</w:t>
      </w:r>
    </w:p>
    <w:p w14:paraId="660350FF" w14:textId="77777777" w:rsidR="00EF1D5F" w:rsidRPr="00D82824" w:rsidRDefault="00EF1D5F" w:rsidP="006C7630"/>
    <w:p w14:paraId="2847214D" w14:textId="101B2F45" w:rsidR="00EF1D5F" w:rsidRPr="00D82824" w:rsidRDefault="00EF1D5F" w:rsidP="00CB6AEC">
      <w:pPr>
        <w:pStyle w:val="Prrafodelista"/>
        <w:numPr>
          <w:ilvl w:val="0"/>
          <w:numId w:val="48"/>
        </w:numPr>
        <w:spacing w:line="240" w:lineRule="auto"/>
        <w:rPr>
          <w:szCs w:val="22"/>
        </w:rPr>
      </w:pPr>
      <w:r w:rsidRPr="00D82824">
        <w:rPr>
          <w:szCs w:val="22"/>
        </w:rPr>
        <w:t>El Índice de Gestión Pública Distrital (IGPD)</w:t>
      </w:r>
      <w:r w:rsidRPr="00EA032D">
        <w:rPr>
          <w:b/>
          <w:bCs/>
          <w:szCs w:val="22"/>
          <w:vertAlign w:val="superscript"/>
        </w:rPr>
        <w:footnoteReference w:id="23"/>
      </w:r>
      <w:r w:rsidRPr="00D82824">
        <w:rPr>
          <w:szCs w:val="22"/>
        </w:rPr>
        <w:t>, el cual en 2022 llegó al 88,5/100.</w:t>
      </w:r>
    </w:p>
    <w:p w14:paraId="4BD55892" w14:textId="77777777" w:rsidR="00EF1D5F" w:rsidRPr="00D82824" w:rsidRDefault="00EF1D5F" w:rsidP="00CE4741"/>
    <w:p w14:paraId="52B3AB76" w14:textId="77777777" w:rsidR="00EF1D5F" w:rsidRPr="00D82824" w:rsidRDefault="00EF1D5F" w:rsidP="00CE4741">
      <w:r w:rsidRPr="00D82824">
        <w:t>Con mediciones como estas, es posible conocer hasta dónde se han resuelto ciertos aspectos; también destacan asuntos en los que es necesario concentrar los esfuerzos a fin de reforzar la gestión institucional.</w:t>
      </w:r>
    </w:p>
    <w:p w14:paraId="51C5A036" w14:textId="77777777" w:rsidR="00EF1D5F" w:rsidRPr="00D82824" w:rsidRDefault="00EF1D5F" w:rsidP="00CE4741"/>
    <w:p w14:paraId="25A0295C" w14:textId="77777777" w:rsidR="00EF1D5F" w:rsidRPr="00D82824" w:rsidRDefault="00EF1D5F" w:rsidP="00CE4741">
      <w:r w:rsidRPr="00D82824">
        <w:t>El IDI deja entrever la necesidad de la ciudad para racionalizar trámites (67,2), robustecer la seguridad digital (75,4) y abordar desafíos en cuanto a condiciones que propicien integridad (76,9). Estas áreas recibieron la menor calificación en 2022, en contraste con los altos resultados en políticas con las que deberían tener una relación estrecha. ¿Son congruentes los datos, aunque se infiriera que la transparencia (88,2), el servicio al ciudadano (85), la gestión de talento humano (90,3) y el fortalecimiento organizacional y la simplificación de procesos (97,3) inciden en trámites, seguridad digital e integridad?</w:t>
      </w:r>
    </w:p>
    <w:p w14:paraId="2D171D1C" w14:textId="77777777" w:rsidR="00EA032D" w:rsidRDefault="00EA032D" w:rsidP="00CE4741"/>
    <w:p w14:paraId="466E95DC" w14:textId="2597013C" w:rsidR="00EF1D5F" w:rsidRPr="00D82824" w:rsidRDefault="00EF1D5F" w:rsidP="00CE4741">
      <w:r w:rsidRPr="00D82824">
        <w:t>Por su parte, con las cifras del IGPD no es posible establecer la relación entre planes, uso de recursos e impacto de la ejecución. Es decir, no es suficiente que los números se queden en demostrar si la Administración ejecuta el 100 % de los recursos planeados, sin preguntarse cuánto logró solucionar con los recursos invertidos. Además, el componente de Gestión Presupuestal de 2022 da cuenta de dificult</w:t>
      </w:r>
      <w:r w:rsidRPr="00EA032D">
        <w:t>ades; especialmente, en la constitución de reservas</w:t>
      </w:r>
      <w:r w:rsidRPr="00EA032D">
        <w:rPr>
          <w:b/>
          <w:bCs/>
          <w:vertAlign w:val="superscript"/>
        </w:rPr>
        <w:footnoteReference w:id="24"/>
      </w:r>
      <w:r w:rsidRPr="00EA032D">
        <w:t>.</w:t>
      </w:r>
    </w:p>
    <w:bookmarkEnd w:id="429"/>
    <w:p w14:paraId="1B77EB92" w14:textId="77777777" w:rsidR="00EF1D5F" w:rsidRDefault="00EF1D5F" w:rsidP="00CE4741">
      <w:pPr>
        <w:sectPr w:rsidR="00EF1D5F" w:rsidSect="00F7078E">
          <w:type w:val="continuous"/>
          <w:pgSz w:w="12240" w:h="15840"/>
          <w:pgMar w:top="2262" w:right="1440" w:bottom="1440" w:left="1440" w:header="708" w:footer="680" w:gutter="0"/>
          <w:cols w:num="2" w:space="567"/>
          <w:docGrid w:linePitch="299"/>
        </w:sectPr>
      </w:pPr>
    </w:p>
    <w:p w14:paraId="629500ED" w14:textId="77777777" w:rsidR="00EF1D5F" w:rsidRDefault="00EF1D5F" w:rsidP="00CE4741"/>
    <w:p w14:paraId="0951697B" w14:textId="77777777" w:rsidR="00EF1D5F" w:rsidRDefault="00EF1D5F" w:rsidP="00CE4741"/>
    <w:p w14:paraId="13483DF2" w14:textId="77777777" w:rsidR="00EF1D5F" w:rsidRDefault="00EF1D5F" w:rsidP="00CE4741"/>
    <w:p w14:paraId="557D3179" w14:textId="77777777" w:rsidR="00EF1D5F" w:rsidRDefault="00EF1D5F" w:rsidP="00CE4741"/>
    <w:p w14:paraId="3EDFD084" w14:textId="77777777" w:rsidR="00EF1D5F" w:rsidRDefault="00EF1D5F" w:rsidP="00CE4741"/>
    <w:p w14:paraId="693560F0" w14:textId="77777777" w:rsidR="00003CFE" w:rsidRDefault="00003CFE">
      <w:pPr>
        <w:spacing w:line="240" w:lineRule="auto"/>
        <w:jc w:val="left"/>
        <w:rPr>
          <w:b/>
          <w:color w:val="3B3838"/>
          <w:sz w:val="18"/>
          <w:szCs w:val="18"/>
        </w:rPr>
      </w:pPr>
      <w:r>
        <w:rPr>
          <w:b/>
          <w:color w:val="3B3838"/>
          <w:sz w:val="18"/>
          <w:szCs w:val="18"/>
        </w:rPr>
        <w:br w:type="page"/>
      </w:r>
    </w:p>
    <w:p w14:paraId="56912D38" w14:textId="185CFFC0" w:rsidR="00EF1D5F" w:rsidRPr="00E81166" w:rsidRDefault="00E81166" w:rsidP="00E81166">
      <w:pPr>
        <w:pStyle w:val="Descripcin"/>
        <w:jc w:val="center"/>
        <w:rPr>
          <w:bCs/>
          <w:sz w:val="18"/>
        </w:rPr>
      </w:pPr>
      <w:bookmarkStart w:id="430" w:name="_Toc165169877"/>
      <w:r w:rsidRPr="00E81166">
        <w:rPr>
          <w:color w:val="C00000"/>
          <w:sz w:val="18"/>
        </w:rPr>
        <w:lastRenderedPageBreak/>
        <w:t xml:space="preserve">Gráfica </w:t>
      </w:r>
      <w:r w:rsidRPr="00E81166">
        <w:rPr>
          <w:color w:val="C00000"/>
          <w:sz w:val="18"/>
        </w:rPr>
        <w:fldChar w:fldCharType="begin"/>
      </w:r>
      <w:r w:rsidRPr="00E81166">
        <w:rPr>
          <w:color w:val="C00000"/>
          <w:sz w:val="18"/>
        </w:rPr>
        <w:instrText xml:space="preserve"> SEQ Gráfica \* ARABIC </w:instrText>
      </w:r>
      <w:r w:rsidRPr="00E81166">
        <w:rPr>
          <w:color w:val="C00000"/>
          <w:sz w:val="18"/>
        </w:rPr>
        <w:fldChar w:fldCharType="separate"/>
      </w:r>
      <w:r w:rsidR="00D01651">
        <w:rPr>
          <w:noProof/>
          <w:color w:val="C00000"/>
          <w:sz w:val="18"/>
        </w:rPr>
        <w:t>51</w:t>
      </w:r>
      <w:r w:rsidRPr="00E81166">
        <w:rPr>
          <w:color w:val="C00000"/>
          <w:sz w:val="18"/>
        </w:rPr>
        <w:fldChar w:fldCharType="end"/>
      </w:r>
      <w:r w:rsidRPr="00E81166">
        <w:rPr>
          <w:color w:val="C00000"/>
          <w:sz w:val="18"/>
        </w:rPr>
        <w:t xml:space="preserve">. </w:t>
      </w:r>
      <w:r w:rsidR="00EF1D5F" w:rsidRPr="00E81166">
        <w:rPr>
          <w:sz w:val="18"/>
        </w:rPr>
        <w:t>Índice de Gestión Pública Distrital (IGPD) 2022</w:t>
      </w:r>
      <w:r>
        <w:rPr>
          <w:sz w:val="18"/>
        </w:rPr>
        <w:t xml:space="preserve"> - promedio</w:t>
      </w:r>
      <w:bookmarkEnd w:id="430"/>
    </w:p>
    <w:p w14:paraId="53CFC540" w14:textId="190D9248" w:rsidR="00EF1D5F" w:rsidRPr="00632481" w:rsidRDefault="00EF1D5F" w:rsidP="00632481">
      <w:pPr>
        <w:spacing w:line="480" w:lineRule="auto"/>
        <w:jc w:val="center"/>
        <w:rPr>
          <w:b/>
        </w:rPr>
      </w:pPr>
      <w:r>
        <w:rPr>
          <w:noProof/>
        </w:rPr>
        <w:drawing>
          <wp:inline distT="0" distB="0" distL="0" distR="0" wp14:anchorId="4FA34E11" wp14:editId="001DB74C">
            <wp:extent cx="5862320" cy="1722120"/>
            <wp:effectExtent l="0" t="0" r="5080" b="0"/>
            <wp:docPr id="1033947773" name="Gráfico 1">
              <a:extLst xmlns:a="http://schemas.openxmlformats.org/drawingml/2006/main">
                <a:ext uri="{FF2B5EF4-FFF2-40B4-BE49-F238E27FC236}">
                  <a16:creationId xmlns:a16="http://schemas.microsoft.com/office/drawing/2014/main" id="{CE89697E-D10C-45B9-BE07-68B1979F3D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r w:rsidRPr="00C132C6">
        <w:rPr>
          <w:b/>
          <w:bCs/>
          <w:color w:val="3B3838"/>
          <w:sz w:val="18"/>
          <w:szCs w:val="18"/>
        </w:rPr>
        <w:t>Fuente:</w:t>
      </w:r>
      <w:r w:rsidRPr="00C132C6">
        <w:rPr>
          <w:color w:val="3B3838"/>
          <w:sz w:val="18"/>
          <w:szCs w:val="18"/>
        </w:rPr>
        <w:t xml:space="preserve"> IGDP 2022.</w:t>
      </w:r>
    </w:p>
    <w:p w14:paraId="64CF1A24" w14:textId="77777777" w:rsidR="00EF1D5F" w:rsidRDefault="00EF1D5F" w:rsidP="00CE4741"/>
    <w:p w14:paraId="782AB483" w14:textId="77777777" w:rsidR="00EF1D5F" w:rsidRDefault="00EF1D5F" w:rsidP="00382E8C">
      <w:pPr>
        <w:sectPr w:rsidR="00EF1D5F" w:rsidSect="00F7078E">
          <w:type w:val="continuous"/>
          <w:pgSz w:w="12240" w:h="15840"/>
          <w:pgMar w:top="2262" w:right="1440" w:bottom="1440" w:left="1440" w:header="708" w:footer="680" w:gutter="0"/>
          <w:cols w:space="720"/>
          <w:docGrid w:linePitch="299"/>
        </w:sectPr>
      </w:pPr>
    </w:p>
    <w:p w14:paraId="195BF2D7" w14:textId="77777777" w:rsidR="00EF1D5F" w:rsidRDefault="00EF1D5F" w:rsidP="00CE4741">
      <w:pPr>
        <w:sectPr w:rsidR="00EF1D5F" w:rsidSect="00F7078E">
          <w:type w:val="continuous"/>
          <w:pgSz w:w="12240" w:h="15840"/>
          <w:pgMar w:top="2262" w:right="1440" w:bottom="1440" w:left="1440" w:header="708" w:footer="680" w:gutter="0"/>
          <w:cols w:num="2" w:space="567"/>
          <w:docGrid w:linePitch="299"/>
        </w:sectPr>
      </w:pPr>
      <w:r>
        <w:t xml:space="preserve">En consecuencia, es necesario enriquecer el IGPD para permitir un análisis minucioso, con el cual se identifiquen los rezagos en la ejecución de recursos, que probablemente sean el reflejo </w:t>
      </w:r>
      <w:r>
        <w:t>de debilidades en el diseño de planes, procesos, estructuras organizacionales y capacidades del talento humano, entre otros elementos.</w:t>
      </w:r>
    </w:p>
    <w:p w14:paraId="777FCF49" w14:textId="77777777" w:rsidR="00EF1D5F" w:rsidRDefault="00EF1D5F" w:rsidP="00382E8C">
      <w:pPr>
        <w:spacing w:line="480" w:lineRule="auto"/>
        <w:rPr>
          <w:b/>
          <w:color w:val="3B3838"/>
          <w:sz w:val="18"/>
          <w:szCs w:val="18"/>
        </w:rPr>
      </w:pPr>
    </w:p>
    <w:p w14:paraId="1C3E013F" w14:textId="0BC4A36E" w:rsidR="00632481" w:rsidRPr="00632481" w:rsidRDefault="00EF1D5F" w:rsidP="00632481">
      <w:pPr>
        <w:pStyle w:val="Descripcin"/>
        <w:jc w:val="center"/>
        <w:rPr>
          <w:bCs/>
          <w:sz w:val="18"/>
          <w:lang w:val="es-ES_tradnl"/>
        </w:rPr>
      </w:pPr>
      <w:bookmarkStart w:id="431" w:name="_Toc165169878"/>
      <w:r w:rsidRPr="00632481">
        <w:rPr>
          <w:noProof/>
          <w:color w:val="C00000"/>
          <w:sz w:val="18"/>
        </w:rPr>
        <w:drawing>
          <wp:anchor distT="0" distB="0" distL="114300" distR="114300" simplePos="0" relativeHeight="251791360" behindDoc="0" locked="0" layoutInCell="1" allowOverlap="1" wp14:anchorId="061E4E85" wp14:editId="5F74C7F7">
            <wp:simplePos x="0" y="0"/>
            <wp:positionH relativeFrom="column">
              <wp:posOffset>-455295</wp:posOffset>
            </wp:positionH>
            <wp:positionV relativeFrom="paragraph">
              <wp:posOffset>241935</wp:posOffset>
            </wp:positionV>
            <wp:extent cx="6669405" cy="3489960"/>
            <wp:effectExtent l="0" t="0" r="0" b="0"/>
            <wp:wrapTopAndBottom/>
            <wp:docPr id="521249815" name="Gráfico 1">
              <a:extLst xmlns:a="http://schemas.openxmlformats.org/drawingml/2006/main">
                <a:ext uri="{FF2B5EF4-FFF2-40B4-BE49-F238E27FC236}">
                  <a16:creationId xmlns:a16="http://schemas.microsoft.com/office/drawing/2014/main" id="{8534EFB7-1C12-49CC-83B4-CB6E11CDF4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14:sizeRelH relativeFrom="margin">
              <wp14:pctWidth>0</wp14:pctWidth>
            </wp14:sizeRelH>
            <wp14:sizeRelV relativeFrom="margin">
              <wp14:pctHeight>0</wp14:pctHeight>
            </wp14:sizeRelV>
          </wp:anchor>
        </w:drawing>
      </w:r>
      <w:r w:rsidR="00632481" w:rsidRPr="00632481">
        <w:rPr>
          <w:color w:val="C00000"/>
          <w:sz w:val="18"/>
        </w:rPr>
        <w:t xml:space="preserve">Gráfica </w:t>
      </w:r>
      <w:r w:rsidR="00632481" w:rsidRPr="00632481">
        <w:rPr>
          <w:color w:val="C00000"/>
          <w:sz w:val="18"/>
        </w:rPr>
        <w:fldChar w:fldCharType="begin"/>
      </w:r>
      <w:r w:rsidR="00632481" w:rsidRPr="00632481">
        <w:rPr>
          <w:color w:val="C00000"/>
          <w:sz w:val="18"/>
        </w:rPr>
        <w:instrText xml:space="preserve"> SEQ Gráfica \* ARABIC </w:instrText>
      </w:r>
      <w:r w:rsidR="00632481" w:rsidRPr="00632481">
        <w:rPr>
          <w:color w:val="C00000"/>
          <w:sz w:val="18"/>
        </w:rPr>
        <w:fldChar w:fldCharType="separate"/>
      </w:r>
      <w:r w:rsidR="00D01651">
        <w:rPr>
          <w:noProof/>
          <w:color w:val="C00000"/>
          <w:sz w:val="18"/>
        </w:rPr>
        <w:t>52</w:t>
      </w:r>
      <w:r w:rsidR="00632481" w:rsidRPr="00632481">
        <w:rPr>
          <w:color w:val="C00000"/>
          <w:sz w:val="18"/>
        </w:rPr>
        <w:fldChar w:fldCharType="end"/>
      </w:r>
      <w:r w:rsidR="00632481" w:rsidRPr="00632481">
        <w:rPr>
          <w:color w:val="C00000"/>
          <w:sz w:val="18"/>
        </w:rPr>
        <w:t xml:space="preserve">. </w:t>
      </w:r>
      <w:r w:rsidR="00632481" w:rsidRPr="00632481">
        <w:rPr>
          <w:bCs/>
          <w:sz w:val="18"/>
          <w:lang w:val="es-ES_tradnl"/>
        </w:rPr>
        <w:t>Índices Promedio por Políticas en el Distrito Capital Comparado con el Promedio Nacional</w:t>
      </w:r>
      <w:bookmarkEnd w:id="431"/>
    </w:p>
    <w:p w14:paraId="7D4011A9" w14:textId="3B3428D1" w:rsidR="00EF1D5F" w:rsidRPr="00632481" w:rsidRDefault="00EF1D5F" w:rsidP="00632481">
      <w:pPr>
        <w:pStyle w:val="Descripcin"/>
        <w:jc w:val="center"/>
        <w:rPr>
          <w:bCs/>
          <w:sz w:val="18"/>
        </w:rPr>
        <w:sectPr w:rsidR="00EF1D5F" w:rsidRPr="00632481" w:rsidSect="00F7078E">
          <w:type w:val="continuous"/>
          <w:pgSz w:w="12240" w:h="15840"/>
          <w:pgMar w:top="2262" w:right="1440" w:bottom="1440" w:left="1440" w:header="708" w:footer="680" w:gutter="0"/>
          <w:cols w:space="567"/>
          <w:docGrid w:linePitch="299"/>
        </w:sectPr>
      </w:pPr>
    </w:p>
    <w:p w14:paraId="1DF28133" w14:textId="77777777" w:rsidR="00EF1D5F" w:rsidRDefault="00EF1D5F" w:rsidP="00FC2476">
      <w:pPr>
        <w:pStyle w:val="figuratitulo"/>
        <w:rPr>
          <w:color w:val="3B3838" w:themeColor="background2" w:themeShade="40"/>
        </w:rPr>
      </w:pPr>
      <w:r w:rsidRPr="009828B6">
        <w:rPr>
          <w:b/>
          <w:bCs/>
          <w:color w:val="3B3838" w:themeColor="background2" w:themeShade="40"/>
        </w:rPr>
        <w:t>Fuente:</w:t>
      </w:r>
      <w:r w:rsidRPr="009828B6">
        <w:rPr>
          <w:color w:val="3B3838" w:themeColor="background2" w:themeShade="40"/>
        </w:rPr>
        <w:t xml:space="preserve"> elaboración propia, a partir de los resultados de la medición del IDI; Departamento Administrativo de la Función Pública (DAFP).</w:t>
      </w:r>
    </w:p>
    <w:p w14:paraId="7B533E4A" w14:textId="77777777" w:rsidR="00EF1D5F" w:rsidRDefault="00EF1D5F" w:rsidP="0008085E">
      <w:pPr>
        <w:sectPr w:rsidR="00EF1D5F" w:rsidSect="00F7078E">
          <w:type w:val="continuous"/>
          <w:pgSz w:w="12240" w:h="15840"/>
          <w:pgMar w:top="2262" w:right="1440" w:bottom="1440" w:left="1440" w:header="708" w:footer="680" w:gutter="0"/>
          <w:cols w:space="720"/>
          <w:docGrid w:linePitch="299"/>
        </w:sectPr>
      </w:pPr>
    </w:p>
    <w:p w14:paraId="4389A900" w14:textId="1E284652" w:rsidR="00EF1D5F" w:rsidRPr="002469F8" w:rsidRDefault="00EF1D5F" w:rsidP="0008085E">
      <w:r w:rsidRPr="002469F8">
        <w:lastRenderedPageBreak/>
        <w:t>Por otra parte, el 45,3</w:t>
      </w:r>
      <w:r w:rsidRPr="002469F8">
        <w:rPr>
          <w:rFonts w:ascii="Arial" w:hAnsi="Arial" w:cs="Arial"/>
        </w:rPr>
        <w:t> </w:t>
      </w:r>
      <w:r w:rsidRPr="002469F8">
        <w:t>% de la ciudadanía no está satisfecha con la inversión pública que hace la ciudad, como lo resaltó la encuesta de percepción realizada por Bogotá Cómo Vamos (2023). Esto refuerza el síntoma de unas mediciones desconectadas entre las capacidades institucionales y la percepción ciudadana sobre la gestión pública. Por lo tanto, se pueden ver dos situaciones:</w:t>
      </w:r>
    </w:p>
    <w:p w14:paraId="13253241" w14:textId="77777777" w:rsidR="00EF1D5F" w:rsidRPr="002469F8" w:rsidRDefault="00EF1D5F" w:rsidP="00CB6AEC">
      <w:pPr>
        <w:pStyle w:val="Prrafodelista"/>
        <w:numPr>
          <w:ilvl w:val="0"/>
          <w:numId w:val="49"/>
        </w:numPr>
        <w:spacing w:line="240" w:lineRule="auto"/>
        <w:rPr>
          <w:spacing w:val="-4"/>
          <w:szCs w:val="22"/>
        </w:rPr>
      </w:pPr>
      <w:r w:rsidRPr="002469F8">
        <w:rPr>
          <w:spacing w:val="-4"/>
          <w:szCs w:val="22"/>
        </w:rPr>
        <w:t>Ni la información ni los criterios utilizados para medir la gestión y desempeño en las entidades distritales se articulan con la información de entrega efectiva de resultados a la ciudadanía (trámites y servicios, garantía de derechos, participación ciudadana incidente, entre otros).</w:t>
      </w:r>
    </w:p>
    <w:p w14:paraId="1505A582" w14:textId="77777777" w:rsidR="00EF1D5F" w:rsidRPr="002469F8" w:rsidRDefault="00EF1D5F" w:rsidP="00B70092"/>
    <w:p w14:paraId="14AB210E" w14:textId="77777777" w:rsidR="00EF1D5F" w:rsidRPr="002469F8" w:rsidRDefault="00EF1D5F" w:rsidP="00CB6AEC">
      <w:pPr>
        <w:pStyle w:val="Prrafodelista"/>
        <w:numPr>
          <w:ilvl w:val="0"/>
          <w:numId w:val="49"/>
        </w:numPr>
        <w:spacing w:line="240" w:lineRule="auto"/>
        <w:rPr>
          <w:szCs w:val="22"/>
        </w:rPr>
      </w:pPr>
      <w:r w:rsidRPr="002469F8">
        <w:rPr>
          <w:szCs w:val="22"/>
        </w:rPr>
        <w:t>En la Administración distrital existen limitaciones en las capacidades institucionales para dar respuestas oportunas, y para adaptarse de manera diferenciada a las dinámicas sociales, económicas, tecnológicas, ambientales y locales.</w:t>
      </w:r>
    </w:p>
    <w:p w14:paraId="041FCBBD" w14:textId="77777777" w:rsidR="00EF1D5F" w:rsidRPr="002469F8" w:rsidRDefault="00EF1D5F" w:rsidP="0008085E"/>
    <w:p w14:paraId="52D7C73C" w14:textId="325676F3" w:rsidR="00EF1D5F" w:rsidRPr="002469F8" w:rsidRDefault="00EF1D5F" w:rsidP="0008085E">
      <w:pPr>
        <w:rPr>
          <w:spacing w:val="-6"/>
        </w:rPr>
      </w:pPr>
      <w:r w:rsidRPr="002469F8">
        <w:rPr>
          <w:spacing w:val="-6"/>
        </w:rPr>
        <w:t xml:space="preserve">Por otro lado, las entidades tienen dificultades para coordinar y ejecutar conjuntamente algunos asuntos. Si bien en el Distrito Capital existen alrededor de 152 instancias que conforman el Sistema de Coordinación Distrital, cuyo objetivo es facilitar la articulación interinstitucional e intersectorial, estos espacios se reúnen periódicamente tan solo para cumplir normas y protocolos; es decir, no </w:t>
      </w:r>
      <w:r w:rsidRPr="002469F8">
        <w:rPr>
          <w:spacing w:val="-6"/>
        </w:rPr>
        <w:t xml:space="preserve">representan encuentros decisivos para armonizar planes de trabajo ni solucionar cuellos de botella. </w:t>
      </w:r>
    </w:p>
    <w:p w14:paraId="3B031DC4" w14:textId="77777777" w:rsidR="00EF1D5F" w:rsidRPr="002469F8" w:rsidRDefault="00EF1D5F" w:rsidP="0008085E">
      <w:pPr>
        <w:rPr>
          <w:spacing w:val="-6"/>
        </w:rPr>
      </w:pPr>
    </w:p>
    <w:p w14:paraId="0199C14C" w14:textId="4B706819" w:rsidR="00EF1D5F" w:rsidRPr="002469F8" w:rsidRDefault="00EF1D5F" w:rsidP="0008085E">
      <w:pPr>
        <w:rPr>
          <w:spacing w:val="-6"/>
        </w:rPr>
      </w:pPr>
      <w:r w:rsidRPr="002469F8">
        <w:rPr>
          <w:spacing w:val="-6"/>
        </w:rPr>
        <w:t>Aunado a lo anterior, el mencionado sistema ha resultado en la proliferación de espacios ad hoc o informales. En ambos casos, las instancias interinstitucionales tienen tres desafíos</w:t>
      </w:r>
      <w:r w:rsidR="00632481">
        <w:rPr>
          <w:spacing w:val="-6"/>
        </w:rPr>
        <w:t>:</w:t>
      </w:r>
      <w:r w:rsidRPr="002469F8">
        <w:rPr>
          <w:spacing w:val="-6"/>
        </w:rPr>
        <w:t xml:space="preserve"> </w:t>
      </w:r>
    </w:p>
    <w:p w14:paraId="029932F7" w14:textId="77777777" w:rsidR="00EF1D5F" w:rsidRPr="002469F8" w:rsidRDefault="00EF1D5F" w:rsidP="00CB6AEC">
      <w:pPr>
        <w:pStyle w:val="Prrafodelista"/>
        <w:numPr>
          <w:ilvl w:val="0"/>
          <w:numId w:val="50"/>
        </w:numPr>
        <w:spacing w:line="240" w:lineRule="auto"/>
        <w:rPr>
          <w:spacing w:val="-4"/>
          <w:szCs w:val="22"/>
        </w:rPr>
      </w:pPr>
      <w:r w:rsidRPr="002469F8">
        <w:rPr>
          <w:spacing w:val="-4"/>
          <w:szCs w:val="22"/>
        </w:rPr>
        <w:t>Son numerosas, lo que pone a prueba la capacidad de las entidades y personal del nivel directivo para asistir y generar valor.</w:t>
      </w:r>
    </w:p>
    <w:p w14:paraId="4A44E39B" w14:textId="77777777" w:rsidR="00EF1D5F" w:rsidRPr="002469F8" w:rsidRDefault="00EF1D5F" w:rsidP="00B70092"/>
    <w:p w14:paraId="4FDC8749" w14:textId="77777777" w:rsidR="00EF1D5F" w:rsidRPr="002469F8" w:rsidRDefault="00EF1D5F" w:rsidP="00CB6AEC">
      <w:pPr>
        <w:pStyle w:val="Prrafodelista"/>
        <w:numPr>
          <w:ilvl w:val="0"/>
          <w:numId w:val="50"/>
        </w:numPr>
        <w:spacing w:line="240" w:lineRule="auto"/>
        <w:rPr>
          <w:szCs w:val="22"/>
        </w:rPr>
      </w:pPr>
      <w:r w:rsidRPr="002469F8">
        <w:rPr>
          <w:szCs w:val="22"/>
        </w:rPr>
        <w:t>No se aprovechan para lograr los propósitos para los cuales fueron creadas.</w:t>
      </w:r>
    </w:p>
    <w:p w14:paraId="5A3EE22C" w14:textId="77777777" w:rsidR="00EF1D5F" w:rsidRPr="002469F8" w:rsidRDefault="00EF1D5F" w:rsidP="00B70092"/>
    <w:p w14:paraId="397785FB" w14:textId="77777777" w:rsidR="00EF1D5F" w:rsidRPr="002469F8" w:rsidRDefault="00EF1D5F" w:rsidP="00CB6AEC">
      <w:pPr>
        <w:pStyle w:val="Prrafodelista"/>
        <w:numPr>
          <w:ilvl w:val="0"/>
          <w:numId w:val="50"/>
        </w:numPr>
        <w:spacing w:line="240" w:lineRule="auto"/>
        <w:rPr>
          <w:szCs w:val="22"/>
        </w:rPr>
      </w:pPr>
      <w:r w:rsidRPr="002469F8">
        <w:rPr>
          <w:szCs w:val="22"/>
        </w:rPr>
        <w:t>No representan oportunidades para ejecutar medidas de alto impacto con el fin de atender asuntos sensibles como desastres, obras públicas o labores de inspección, vigilancia y control.</w:t>
      </w:r>
    </w:p>
    <w:p w14:paraId="395BB96A" w14:textId="77777777" w:rsidR="00EF1D5F" w:rsidRPr="002469F8" w:rsidRDefault="00EF1D5F" w:rsidP="0008085E"/>
    <w:p w14:paraId="0EE4D913" w14:textId="77777777" w:rsidR="00EF1D5F" w:rsidRPr="002469F8" w:rsidRDefault="00EF1D5F" w:rsidP="0008085E">
      <w:r w:rsidRPr="002469F8">
        <w:t>En conclusión, las brechas en las capacidades de las entidades y dificultades en la articulación entre ellas inciden en el nivel de confianza de la ciudadanía en la Administración local y distrital.</w:t>
      </w:r>
    </w:p>
    <w:p w14:paraId="7C685EE7" w14:textId="77777777" w:rsidR="00EF1D5F" w:rsidRPr="002469F8" w:rsidRDefault="00EF1D5F" w:rsidP="0008085E"/>
    <w:p w14:paraId="4B0DBC2D" w14:textId="77777777" w:rsidR="00EF1D5F" w:rsidRPr="002469F8" w:rsidRDefault="00EF1D5F" w:rsidP="0008085E">
      <w:r w:rsidRPr="002469F8">
        <w:t>Sin duda, la confianza en Bogotá depende de sus destrezas para entregar bienes y servicios con valor público. El liderazgo de la Secretaría General y la concurrencia de todos los sectores de la Administración distrital —sobre todo, el Gobierno, con las localidades, Planeación con la Región Metropolitana y Hacienda— son determinantes.</w:t>
      </w:r>
    </w:p>
    <w:p w14:paraId="68F8F8B7" w14:textId="77777777" w:rsidR="00EF1D5F" w:rsidRDefault="00EF1D5F" w:rsidP="0008085E">
      <w:pPr>
        <w:sectPr w:rsidR="00EF1D5F" w:rsidSect="00F7078E">
          <w:type w:val="continuous"/>
          <w:pgSz w:w="12240" w:h="15840"/>
          <w:pgMar w:top="2262" w:right="1440" w:bottom="1440" w:left="1440" w:header="708" w:footer="680" w:gutter="0"/>
          <w:cols w:num="2" w:space="567"/>
          <w:docGrid w:linePitch="299"/>
        </w:sectPr>
      </w:pPr>
    </w:p>
    <w:p w14:paraId="38E47C9B" w14:textId="77777777" w:rsidR="00EF1D5F" w:rsidRPr="0008085E" w:rsidRDefault="00EF1D5F" w:rsidP="0008085E"/>
    <w:p w14:paraId="308D0819" w14:textId="4322A3E3" w:rsidR="00EF1D5F" w:rsidRPr="00632481" w:rsidRDefault="00EF1D5F" w:rsidP="00632481">
      <w:pPr>
        <w:ind w:firstLine="708"/>
        <w:rPr>
          <w:b/>
          <w:bCs/>
          <w:color w:val="C00000"/>
        </w:rPr>
      </w:pPr>
      <w:r w:rsidRPr="00632481">
        <w:rPr>
          <w:b/>
          <w:bCs/>
        </w:rPr>
        <w:t>Descripción del programa</w:t>
      </w:r>
    </w:p>
    <w:p w14:paraId="2D7C6CFE" w14:textId="77777777" w:rsidR="00EF1D5F" w:rsidRDefault="00EF1D5F" w:rsidP="00775A46">
      <w:pPr>
        <w:rPr>
          <w:highlight w:val="white"/>
        </w:rPr>
        <w:sectPr w:rsidR="00EF1D5F" w:rsidSect="00F7078E">
          <w:type w:val="continuous"/>
          <w:pgSz w:w="12240" w:h="15840"/>
          <w:pgMar w:top="2262" w:right="1440" w:bottom="1440" w:left="1440" w:header="708" w:footer="680" w:gutter="0"/>
          <w:cols w:space="720"/>
          <w:docGrid w:linePitch="299"/>
        </w:sectPr>
      </w:pPr>
    </w:p>
    <w:p w14:paraId="196E11CF" w14:textId="77777777" w:rsidR="00EF1D5F" w:rsidRDefault="00EF1D5F" w:rsidP="00252F9F">
      <w:r>
        <w:t>Con la implementación de este programa se dotará a las entidades distritales de conocimientos, habilidades y actitudes para asegurar valor público, de tal manera que se sintonicen las instituciones del Distrito Capital con las necesidades de las personas y hogares, al igual que con las de barrios y veredas de Bogotá. Además, que entreguen resultados, y cumplan de esta manera con los compromisos adquiridos ante la ciudadanía.</w:t>
      </w:r>
    </w:p>
    <w:p w14:paraId="638CCA46" w14:textId="77777777" w:rsidR="00EF1D5F" w:rsidRDefault="00EF1D5F" w:rsidP="00252F9F">
      <w:r>
        <w:t>Para ello, Bogotá identificará el conjunto de capacidades institucionales clave para ejecutar las políticas de gestión y desempeño. Se analizarán cualitativamente las brechas entre las capacidades institucionales existentes y las requeridas para atender los retos de ciudad, además de ajustar el IGPD, con el fin de medir la relación entre gestión pública y generación de valor público, de tal manera que se tengan cifras sobre capacidades de cada entidad para producir resultados.</w:t>
      </w:r>
    </w:p>
    <w:p w14:paraId="5A8C4607" w14:textId="77777777" w:rsidR="00A36409" w:rsidRDefault="00EF1D5F" w:rsidP="00252F9F">
      <w:r>
        <w:lastRenderedPageBreak/>
        <w:t>Adicionalmente, definirá y ofrecerá el portafolio distrital de asistencia técnica, con el fin de fortalecer las capacidades para atender los retos de ciudad desde dos perspectivas:</w:t>
      </w:r>
    </w:p>
    <w:p w14:paraId="3A731A60" w14:textId="7C58178C" w:rsidR="00EF1D5F" w:rsidRDefault="00EF1D5F" w:rsidP="00252F9F">
      <w:r>
        <w:t xml:space="preserve"> </w:t>
      </w:r>
    </w:p>
    <w:p w14:paraId="6CC7B634" w14:textId="77777777" w:rsidR="00EF1D5F" w:rsidRDefault="00EF1D5F" w:rsidP="00CB6AEC">
      <w:pPr>
        <w:pStyle w:val="Prrafodelista"/>
        <w:numPr>
          <w:ilvl w:val="0"/>
          <w:numId w:val="51"/>
        </w:numPr>
        <w:spacing w:line="240" w:lineRule="auto"/>
      </w:pPr>
      <w:r>
        <w:t>La coordinaci</w:t>
      </w:r>
      <w:r w:rsidRPr="00252F9F">
        <w:t>ó</w:t>
      </w:r>
      <w:r>
        <w:t>n entre entidades y la soluci</w:t>
      </w:r>
      <w:r w:rsidRPr="00252F9F">
        <w:t>ó</w:t>
      </w:r>
      <w:r>
        <w:t>n de aspectos cr</w:t>
      </w:r>
      <w:r w:rsidRPr="00252F9F">
        <w:t>í</w:t>
      </w:r>
      <w:r>
        <w:t>ticos en la gesti</w:t>
      </w:r>
      <w:r w:rsidRPr="00252F9F">
        <w:t>ó</w:t>
      </w:r>
      <w:r>
        <w:t>n y desempe</w:t>
      </w:r>
      <w:r w:rsidRPr="00252F9F">
        <w:t>ñ</w:t>
      </w:r>
      <w:r>
        <w:t>o de cada sector.</w:t>
      </w:r>
    </w:p>
    <w:p w14:paraId="44A5E738" w14:textId="77777777" w:rsidR="00EF1D5F" w:rsidRDefault="00EF1D5F" w:rsidP="00252F9F">
      <w:pPr>
        <w:pStyle w:val="Prrafodelista"/>
      </w:pPr>
    </w:p>
    <w:p w14:paraId="2BA432C6" w14:textId="77777777" w:rsidR="00EF1D5F" w:rsidRDefault="00EF1D5F" w:rsidP="00CB6AEC">
      <w:pPr>
        <w:pStyle w:val="Prrafodelista"/>
        <w:numPr>
          <w:ilvl w:val="0"/>
          <w:numId w:val="51"/>
        </w:numPr>
        <w:spacing w:line="240" w:lineRule="auto"/>
      </w:pPr>
      <w:r>
        <w:t>Creaci</w:t>
      </w:r>
      <w:r w:rsidRPr="00252F9F">
        <w:t>ó</w:t>
      </w:r>
      <w:r>
        <w:t>n e implementaci</w:t>
      </w:r>
      <w:r w:rsidRPr="00252F9F">
        <w:t>ó</w:t>
      </w:r>
      <w:r>
        <w:t>n de modelos de gesti</w:t>
      </w:r>
      <w:r w:rsidRPr="00252F9F">
        <w:t>ó</w:t>
      </w:r>
      <w:r>
        <w:t>n eficaces para la intervenci</w:t>
      </w:r>
      <w:r w:rsidRPr="00252F9F">
        <w:t>ó</w:t>
      </w:r>
      <w:r>
        <w:t>n integral y sincronizada de retos de ciudad de alto impacto, como: la atenci</w:t>
      </w:r>
      <w:r w:rsidRPr="00252F9F">
        <w:t>ó</w:t>
      </w:r>
      <w:r>
        <w:t>n de emergencias y desastres; obras p</w:t>
      </w:r>
      <w:r w:rsidRPr="00252F9F">
        <w:t>ú</w:t>
      </w:r>
      <w:r>
        <w:t>blicas inconclusas; atenci</w:t>
      </w:r>
      <w:r w:rsidRPr="00252F9F">
        <w:t>ó</w:t>
      </w:r>
      <w:r>
        <w:t>n a situaciones problem</w:t>
      </w:r>
      <w:r w:rsidRPr="00252F9F">
        <w:t>á</w:t>
      </w:r>
      <w:r>
        <w:t>ticas de convivencia pac</w:t>
      </w:r>
      <w:r w:rsidRPr="00252F9F">
        <w:t>í</w:t>
      </w:r>
      <w:r>
        <w:t xml:space="preserve">fica o de movilidad, y seguridad alimentaria, entre otros. </w:t>
      </w:r>
    </w:p>
    <w:p w14:paraId="553CB131" w14:textId="77777777" w:rsidR="00EF1D5F" w:rsidRDefault="00EF1D5F" w:rsidP="005D5A4A">
      <w:pPr>
        <w:spacing w:line="480" w:lineRule="auto"/>
        <w:rPr>
          <w:rFonts w:ascii="Times New Roman" w:hAnsi="Times New Roman"/>
          <w:sz w:val="24"/>
        </w:rPr>
        <w:sectPr w:rsidR="00EF1D5F" w:rsidSect="00F7078E">
          <w:type w:val="continuous"/>
          <w:pgSz w:w="12240" w:h="15840"/>
          <w:pgMar w:top="2262" w:right="1440" w:bottom="1440" w:left="1440" w:header="708" w:footer="680" w:gutter="0"/>
          <w:cols w:num="2" w:space="567"/>
          <w:docGrid w:linePitch="299"/>
        </w:sectPr>
      </w:pPr>
    </w:p>
    <w:p w14:paraId="7109314C" w14:textId="77777777" w:rsidR="00DA2807" w:rsidRDefault="00DA2807" w:rsidP="00A36409">
      <w:pPr>
        <w:pStyle w:val="Descripcin"/>
        <w:jc w:val="center"/>
        <w:rPr>
          <w:color w:val="C00000"/>
          <w:sz w:val="18"/>
        </w:rPr>
      </w:pPr>
      <w:bookmarkStart w:id="432" w:name="_heading=h.upglbi" w:colFirst="0" w:colLast="0"/>
      <w:bookmarkEnd w:id="432"/>
    </w:p>
    <w:p w14:paraId="3C73DB79" w14:textId="09C0D2D8" w:rsidR="00EF1D5F" w:rsidRPr="00A36409" w:rsidRDefault="00A36409" w:rsidP="00A36409">
      <w:pPr>
        <w:pStyle w:val="Descripcin"/>
        <w:jc w:val="center"/>
        <w:rPr>
          <w:sz w:val="18"/>
        </w:rPr>
      </w:pPr>
      <w:bookmarkStart w:id="433" w:name="_Toc165169966"/>
      <w:r w:rsidRPr="00A36409">
        <w:rPr>
          <w:color w:val="C00000"/>
          <w:sz w:val="18"/>
        </w:rPr>
        <w:t xml:space="preserve">Tabla </w:t>
      </w:r>
      <w:r w:rsidRPr="00A36409">
        <w:rPr>
          <w:color w:val="C00000"/>
          <w:sz w:val="18"/>
        </w:rPr>
        <w:fldChar w:fldCharType="begin"/>
      </w:r>
      <w:r w:rsidRPr="00A36409">
        <w:rPr>
          <w:color w:val="C00000"/>
          <w:sz w:val="18"/>
        </w:rPr>
        <w:instrText xml:space="preserve"> SEQ Tabla \* ARABIC </w:instrText>
      </w:r>
      <w:r w:rsidRPr="00A36409">
        <w:rPr>
          <w:color w:val="C00000"/>
          <w:sz w:val="18"/>
        </w:rPr>
        <w:fldChar w:fldCharType="separate"/>
      </w:r>
      <w:r w:rsidR="00D01651">
        <w:rPr>
          <w:noProof/>
          <w:color w:val="C00000"/>
          <w:sz w:val="18"/>
        </w:rPr>
        <w:t>56</w:t>
      </w:r>
      <w:r w:rsidRPr="00A36409">
        <w:rPr>
          <w:color w:val="C00000"/>
          <w:sz w:val="18"/>
        </w:rPr>
        <w:fldChar w:fldCharType="end"/>
      </w:r>
      <w:r w:rsidRPr="00A36409">
        <w:rPr>
          <w:color w:val="C00000"/>
          <w:sz w:val="18"/>
        </w:rPr>
        <w:t xml:space="preserve">. </w:t>
      </w:r>
      <w:r w:rsidR="00EF1D5F" w:rsidRPr="00A36409">
        <w:rPr>
          <w:sz w:val="18"/>
        </w:rPr>
        <w:t>Metas del programa</w:t>
      </w:r>
      <w:r>
        <w:rPr>
          <w:sz w:val="18"/>
        </w:rPr>
        <w:t xml:space="preserve"> 33:</w:t>
      </w:r>
      <w:r w:rsidR="00EF1D5F" w:rsidRPr="00A36409">
        <w:rPr>
          <w:sz w:val="18"/>
        </w:rPr>
        <w:t xml:space="preserve"> Fortalecimiento institucional para una gobernanza pública confiable</w:t>
      </w:r>
      <w:bookmarkEnd w:id="433"/>
    </w:p>
    <w:tbl>
      <w:tblPr>
        <w:tblW w:w="9828"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402"/>
        <w:gridCol w:w="1492"/>
        <w:gridCol w:w="1486"/>
        <w:gridCol w:w="1447"/>
        <w:gridCol w:w="1455"/>
        <w:gridCol w:w="1540"/>
        <w:gridCol w:w="6"/>
      </w:tblGrid>
      <w:tr w:rsidR="009F783C" w:rsidRPr="009F783C" w14:paraId="02B274B1" w14:textId="77777777" w:rsidTr="00AA4BBB">
        <w:trPr>
          <w:gridAfter w:val="1"/>
          <w:wAfter w:w="6" w:type="dxa"/>
          <w:tblHeader/>
        </w:trPr>
        <w:tc>
          <w:tcPr>
            <w:tcW w:w="2402" w:type="dxa"/>
            <w:vMerge w:val="restart"/>
            <w:shd w:val="clear" w:color="auto" w:fill="C00000"/>
            <w:tcMar>
              <w:top w:w="30" w:type="dxa"/>
              <w:left w:w="45" w:type="dxa"/>
              <w:bottom w:w="30" w:type="dxa"/>
              <w:right w:w="45" w:type="dxa"/>
            </w:tcMar>
            <w:vAlign w:val="center"/>
            <w:hideMark/>
          </w:tcPr>
          <w:p w14:paraId="045E08FD" w14:textId="77777777" w:rsidR="009F783C" w:rsidRPr="009F783C" w:rsidRDefault="009F783C" w:rsidP="00AA4BBB">
            <w:pPr>
              <w:jc w:val="center"/>
              <w:rPr>
                <w:rFonts w:cs="Arial"/>
                <w:b/>
                <w:bCs/>
                <w:color w:val="FFFFFF"/>
                <w:sz w:val="20"/>
                <w:szCs w:val="20"/>
              </w:rPr>
            </w:pPr>
            <w:r w:rsidRPr="009F783C">
              <w:rPr>
                <w:rFonts w:cs="Arial"/>
                <w:b/>
                <w:bCs/>
                <w:color w:val="FFFFFF"/>
                <w:sz w:val="20"/>
                <w:szCs w:val="20"/>
              </w:rPr>
              <w:t>SECTOR / Metas</w:t>
            </w:r>
          </w:p>
        </w:tc>
        <w:tc>
          <w:tcPr>
            <w:tcW w:w="7420" w:type="dxa"/>
            <w:gridSpan w:val="5"/>
            <w:shd w:val="clear" w:color="auto" w:fill="C00000"/>
            <w:tcMar>
              <w:top w:w="30" w:type="dxa"/>
              <w:left w:w="45" w:type="dxa"/>
              <w:bottom w:w="30" w:type="dxa"/>
              <w:right w:w="45" w:type="dxa"/>
            </w:tcMar>
            <w:vAlign w:val="center"/>
            <w:hideMark/>
          </w:tcPr>
          <w:p w14:paraId="268B8D8E" w14:textId="77777777" w:rsidR="009F783C" w:rsidRPr="009F783C" w:rsidRDefault="009F783C" w:rsidP="00AA4BBB">
            <w:pPr>
              <w:jc w:val="center"/>
              <w:rPr>
                <w:rFonts w:cs="Arial"/>
                <w:b/>
                <w:bCs/>
                <w:color w:val="FFFFFF"/>
                <w:sz w:val="20"/>
                <w:szCs w:val="20"/>
              </w:rPr>
            </w:pPr>
            <w:r w:rsidRPr="009F783C">
              <w:rPr>
                <w:rFonts w:cs="Arial"/>
                <w:b/>
                <w:bCs/>
                <w:color w:val="FFFFFF"/>
                <w:sz w:val="20"/>
                <w:szCs w:val="20"/>
              </w:rPr>
              <w:t xml:space="preserve">Magnitudes e Inversión </w:t>
            </w:r>
          </w:p>
          <w:p w14:paraId="52C24A8A" w14:textId="77777777" w:rsidR="009F783C" w:rsidRPr="009F783C" w:rsidRDefault="009F783C" w:rsidP="00AA4BBB">
            <w:pPr>
              <w:jc w:val="center"/>
              <w:rPr>
                <w:rFonts w:cs="Arial"/>
                <w:b/>
                <w:bCs/>
                <w:color w:val="FFFFFF"/>
                <w:sz w:val="20"/>
                <w:szCs w:val="20"/>
              </w:rPr>
            </w:pPr>
            <w:r w:rsidRPr="009F783C">
              <w:rPr>
                <w:rFonts w:cs="Arial"/>
                <w:b/>
                <w:bCs/>
                <w:color w:val="FFFFFF"/>
                <w:sz w:val="20"/>
                <w:szCs w:val="20"/>
              </w:rPr>
              <w:t>(Precios Constantes 2024)</w:t>
            </w:r>
          </w:p>
        </w:tc>
      </w:tr>
      <w:tr w:rsidR="009F783C" w:rsidRPr="009F783C" w14:paraId="5F6A941E" w14:textId="77777777" w:rsidTr="00AA4BBB">
        <w:trPr>
          <w:gridAfter w:val="1"/>
          <w:wAfter w:w="6" w:type="dxa"/>
          <w:trHeight w:val="735"/>
          <w:tblHeader/>
        </w:trPr>
        <w:tc>
          <w:tcPr>
            <w:tcW w:w="2402" w:type="dxa"/>
            <w:vMerge/>
            <w:shd w:val="clear" w:color="auto" w:fill="C00000"/>
            <w:vAlign w:val="center"/>
            <w:hideMark/>
          </w:tcPr>
          <w:p w14:paraId="133354A3" w14:textId="77777777" w:rsidR="009F783C" w:rsidRPr="009F783C" w:rsidRDefault="009F783C" w:rsidP="00AA4BBB">
            <w:pPr>
              <w:rPr>
                <w:rFonts w:cs="Arial"/>
                <w:b/>
                <w:bCs/>
                <w:color w:val="FFFFFF"/>
                <w:sz w:val="20"/>
                <w:szCs w:val="20"/>
              </w:rPr>
            </w:pPr>
          </w:p>
        </w:tc>
        <w:tc>
          <w:tcPr>
            <w:tcW w:w="1492" w:type="dxa"/>
            <w:shd w:val="clear" w:color="auto" w:fill="D9D9D9"/>
            <w:tcMar>
              <w:top w:w="30" w:type="dxa"/>
              <w:left w:w="45" w:type="dxa"/>
              <w:bottom w:w="30" w:type="dxa"/>
              <w:right w:w="45" w:type="dxa"/>
            </w:tcMar>
            <w:vAlign w:val="center"/>
            <w:hideMark/>
          </w:tcPr>
          <w:p w14:paraId="3342BCBF" w14:textId="77777777" w:rsidR="009F783C" w:rsidRPr="009F783C" w:rsidRDefault="009F783C" w:rsidP="00AA4BBB">
            <w:pPr>
              <w:jc w:val="center"/>
              <w:rPr>
                <w:rFonts w:cs="Arial"/>
                <w:b/>
                <w:bCs/>
                <w:sz w:val="20"/>
                <w:szCs w:val="20"/>
              </w:rPr>
            </w:pPr>
            <w:r w:rsidRPr="009F783C">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224FB977" w14:textId="77777777" w:rsidR="009F783C" w:rsidRPr="009F783C" w:rsidRDefault="009F783C" w:rsidP="00AA4BBB">
            <w:pPr>
              <w:jc w:val="center"/>
              <w:rPr>
                <w:rFonts w:cs="Arial"/>
                <w:b/>
                <w:bCs/>
                <w:sz w:val="20"/>
                <w:szCs w:val="20"/>
              </w:rPr>
            </w:pPr>
            <w:r w:rsidRPr="009F783C">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678AC80B" w14:textId="77777777" w:rsidR="009F783C" w:rsidRPr="009F783C" w:rsidRDefault="009F783C" w:rsidP="00AA4BBB">
            <w:pPr>
              <w:jc w:val="center"/>
              <w:rPr>
                <w:rFonts w:cs="Arial"/>
                <w:b/>
                <w:bCs/>
                <w:sz w:val="20"/>
                <w:szCs w:val="20"/>
              </w:rPr>
            </w:pPr>
            <w:r w:rsidRPr="009F783C">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52294894" w14:textId="77777777" w:rsidR="009F783C" w:rsidRPr="009F783C" w:rsidRDefault="009F783C" w:rsidP="00AA4BBB">
            <w:pPr>
              <w:jc w:val="center"/>
              <w:rPr>
                <w:rFonts w:cs="Arial"/>
                <w:b/>
                <w:bCs/>
                <w:sz w:val="20"/>
                <w:szCs w:val="20"/>
              </w:rPr>
            </w:pPr>
            <w:r w:rsidRPr="009F783C">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14D235E7" w14:textId="77777777" w:rsidR="009F783C" w:rsidRPr="009F783C" w:rsidRDefault="009F783C" w:rsidP="00AA4BBB">
            <w:pPr>
              <w:jc w:val="center"/>
              <w:rPr>
                <w:rFonts w:cs="Arial"/>
                <w:b/>
                <w:bCs/>
                <w:sz w:val="20"/>
                <w:szCs w:val="20"/>
              </w:rPr>
            </w:pPr>
            <w:r w:rsidRPr="009F783C">
              <w:rPr>
                <w:rFonts w:cs="Arial"/>
                <w:b/>
                <w:bCs/>
                <w:sz w:val="20"/>
                <w:szCs w:val="20"/>
              </w:rPr>
              <w:t>Total Inversión</w:t>
            </w:r>
          </w:p>
        </w:tc>
      </w:tr>
      <w:tr w:rsidR="009F783C" w:rsidRPr="009F783C" w14:paraId="094492AA" w14:textId="77777777" w:rsidTr="00AA4BBB">
        <w:tc>
          <w:tcPr>
            <w:tcW w:w="9828" w:type="dxa"/>
            <w:gridSpan w:val="7"/>
            <w:shd w:val="clear" w:color="auto" w:fill="C00000"/>
            <w:tcMar>
              <w:top w:w="30" w:type="dxa"/>
              <w:left w:w="45" w:type="dxa"/>
              <w:bottom w:w="30" w:type="dxa"/>
              <w:right w:w="45" w:type="dxa"/>
            </w:tcMar>
            <w:vAlign w:val="center"/>
            <w:hideMark/>
          </w:tcPr>
          <w:p w14:paraId="16C11B64"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Ambiente</w:t>
            </w:r>
          </w:p>
        </w:tc>
      </w:tr>
      <w:tr w:rsidR="009F783C" w:rsidRPr="009F783C" w14:paraId="5B367721" w14:textId="77777777" w:rsidTr="00AA4BBB">
        <w:trPr>
          <w:gridAfter w:val="1"/>
          <w:wAfter w:w="6" w:type="dxa"/>
        </w:trPr>
        <w:tc>
          <w:tcPr>
            <w:tcW w:w="2402" w:type="dxa"/>
            <w:vMerge w:val="restart"/>
            <w:tcMar>
              <w:top w:w="30" w:type="dxa"/>
              <w:left w:w="45" w:type="dxa"/>
              <w:bottom w:w="30" w:type="dxa"/>
              <w:right w:w="45" w:type="dxa"/>
            </w:tcMar>
            <w:vAlign w:val="center"/>
            <w:hideMark/>
          </w:tcPr>
          <w:p w14:paraId="26BB343D" w14:textId="77777777" w:rsidR="009F783C" w:rsidRPr="009F783C" w:rsidRDefault="009F783C" w:rsidP="00AA4BBB">
            <w:pPr>
              <w:rPr>
                <w:rFonts w:cs="Arial"/>
                <w:sz w:val="20"/>
                <w:szCs w:val="20"/>
              </w:rPr>
            </w:pPr>
            <w:r w:rsidRPr="009F783C">
              <w:rPr>
                <w:rFonts w:cs="Arial"/>
                <w:sz w:val="20"/>
                <w:szCs w:val="20"/>
              </w:rPr>
              <w:t>Implementar 3 programas de información ambiental y conocimiento ambiental</w:t>
            </w:r>
          </w:p>
        </w:tc>
        <w:tc>
          <w:tcPr>
            <w:tcW w:w="1492" w:type="dxa"/>
            <w:tcMar>
              <w:top w:w="30" w:type="dxa"/>
              <w:left w:w="45" w:type="dxa"/>
              <w:bottom w:w="30" w:type="dxa"/>
              <w:right w:w="45" w:type="dxa"/>
            </w:tcMar>
            <w:vAlign w:val="center"/>
            <w:hideMark/>
          </w:tcPr>
          <w:p w14:paraId="76CFCFA4" w14:textId="1AD9BA1B" w:rsidR="009F783C" w:rsidRPr="009F783C" w:rsidRDefault="009F783C" w:rsidP="00AA4BBB">
            <w:pPr>
              <w:jc w:val="center"/>
              <w:rPr>
                <w:rFonts w:cs="Arial"/>
                <w:sz w:val="20"/>
                <w:szCs w:val="20"/>
              </w:rPr>
            </w:pPr>
            <w:r w:rsidRPr="009F783C">
              <w:rPr>
                <w:rFonts w:cs="Arial"/>
                <w:sz w:val="20"/>
                <w:szCs w:val="20"/>
              </w:rPr>
              <w:t>12</w:t>
            </w:r>
            <w:r w:rsidR="00C770D0">
              <w:rPr>
                <w:rFonts w:cs="Arial"/>
                <w:sz w:val="20"/>
                <w:szCs w:val="20"/>
              </w:rPr>
              <w:t>%</w:t>
            </w:r>
          </w:p>
        </w:tc>
        <w:tc>
          <w:tcPr>
            <w:tcW w:w="0" w:type="auto"/>
            <w:tcMar>
              <w:top w:w="30" w:type="dxa"/>
              <w:left w:w="45" w:type="dxa"/>
              <w:bottom w:w="30" w:type="dxa"/>
              <w:right w:w="45" w:type="dxa"/>
            </w:tcMar>
            <w:vAlign w:val="center"/>
            <w:hideMark/>
          </w:tcPr>
          <w:p w14:paraId="1D5DAB5C" w14:textId="2DC56391" w:rsidR="009F783C" w:rsidRPr="009F783C" w:rsidRDefault="009F783C" w:rsidP="00AA4BBB">
            <w:pPr>
              <w:jc w:val="center"/>
              <w:rPr>
                <w:rFonts w:cs="Arial"/>
                <w:sz w:val="20"/>
                <w:szCs w:val="20"/>
              </w:rPr>
            </w:pPr>
            <w:r w:rsidRPr="009F783C">
              <w:rPr>
                <w:rFonts w:cs="Arial"/>
                <w:sz w:val="20"/>
                <w:szCs w:val="20"/>
              </w:rPr>
              <w:t>26</w:t>
            </w:r>
            <w:r w:rsidR="00C770D0">
              <w:rPr>
                <w:rFonts w:cs="Arial"/>
                <w:sz w:val="20"/>
                <w:szCs w:val="20"/>
              </w:rPr>
              <w:t>%</w:t>
            </w:r>
          </w:p>
        </w:tc>
        <w:tc>
          <w:tcPr>
            <w:tcW w:w="0" w:type="auto"/>
            <w:tcMar>
              <w:top w:w="30" w:type="dxa"/>
              <w:left w:w="45" w:type="dxa"/>
              <w:bottom w:w="30" w:type="dxa"/>
              <w:right w:w="45" w:type="dxa"/>
            </w:tcMar>
            <w:vAlign w:val="center"/>
            <w:hideMark/>
          </w:tcPr>
          <w:p w14:paraId="2D83A7BD" w14:textId="08898FA4" w:rsidR="009F783C" w:rsidRPr="009F783C" w:rsidRDefault="009F783C" w:rsidP="00AA4BBB">
            <w:pPr>
              <w:jc w:val="center"/>
              <w:rPr>
                <w:rFonts w:cs="Arial"/>
                <w:sz w:val="20"/>
                <w:szCs w:val="20"/>
              </w:rPr>
            </w:pPr>
            <w:r w:rsidRPr="009F783C">
              <w:rPr>
                <w:rFonts w:cs="Arial"/>
                <w:sz w:val="20"/>
                <w:szCs w:val="20"/>
              </w:rPr>
              <w:t>28</w:t>
            </w:r>
            <w:r w:rsidR="00C770D0">
              <w:rPr>
                <w:rFonts w:cs="Arial"/>
                <w:sz w:val="20"/>
                <w:szCs w:val="20"/>
              </w:rPr>
              <w:t>%</w:t>
            </w:r>
          </w:p>
        </w:tc>
        <w:tc>
          <w:tcPr>
            <w:tcW w:w="0" w:type="auto"/>
            <w:tcMar>
              <w:top w:w="30" w:type="dxa"/>
              <w:left w:w="45" w:type="dxa"/>
              <w:bottom w:w="30" w:type="dxa"/>
              <w:right w:w="45" w:type="dxa"/>
            </w:tcMar>
            <w:vAlign w:val="center"/>
            <w:hideMark/>
          </w:tcPr>
          <w:p w14:paraId="2EC6C3CB" w14:textId="20583184" w:rsidR="009F783C" w:rsidRPr="009F783C" w:rsidRDefault="009F783C" w:rsidP="00AA4BBB">
            <w:pPr>
              <w:jc w:val="center"/>
              <w:rPr>
                <w:rFonts w:cs="Arial"/>
                <w:sz w:val="20"/>
                <w:szCs w:val="20"/>
              </w:rPr>
            </w:pPr>
            <w:r w:rsidRPr="009F783C">
              <w:rPr>
                <w:rFonts w:cs="Arial"/>
                <w:sz w:val="20"/>
                <w:szCs w:val="20"/>
              </w:rPr>
              <w:t>34</w:t>
            </w:r>
            <w:r w:rsidR="00C770D0">
              <w:rPr>
                <w:rFonts w:cs="Arial"/>
                <w:sz w:val="20"/>
                <w:szCs w:val="20"/>
              </w:rPr>
              <w:t>%</w:t>
            </w:r>
          </w:p>
        </w:tc>
        <w:tc>
          <w:tcPr>
            <w:tcW w:w="0" w:type="auto"/>
            <w:vMerge w:val="restart"/>
            <w:tcMar>
              <w:top w:w="30" w:type="dxa"/>
              <w:left w:w="45" w:type="dxa"/>
              <w:bottom w:w="30" w:type="dxa"/>
              <w:right w:w="45" w:type="dxa"/>
            </w:tcMar>
            <w:vAlign w:val="center"/>
            <w:hideMark/>
          </w:tcPr>
          <w:p w14:paraId="1A521D30" w14:textId="77777777" w:rsidR="009F783C" w:rsidRPr="009F783C" w:rsidRDefault="009F783C" w:rsidP="00AA4BBB">
            <w:pPr>
              <w:jc w:val="center"/>
              <w:rPr>
                <w:rFonts w:cs="Arial"/>
                <w:b/>
                <w:bCs/>
                <w:sz w:val="20"/>
                <w:szCs w:val="20"/>
              </w:rPr>
            </w:pPr>
            <w:r w:rsidRPr="009F783C">
              <w:rPr>
                <w:rFonts w:cs="Arial"/>
                <w:b/>
                <w:bCs/>
                <w:sz w:val="20"/>
                <w:szCs w:val="20"/>
              </w:rPr>
              <w:t>53.409.613.152</w:t>
            </w:r>
          </w:p>
        </w:tc>
      </w:tr>
      <w:tr w:rsidR="009F783C" w:rsidRPr="009F783C" w14:paraId="20DA7D25" w14:textId="77777777" w:rsidTr="00AA4BBB">
        <w:trPr>
          <w:gridAfter w:val="1"/>
          <w:wAfter w:w="6" w:type="dxa"/>
        </w:trPr>
        <w:tc>
          <w:tcPr>
            <w:tcW w:w="2402" w:type="dxa"/>
            <w:vMerge/>
            <w:vAlign w:val="center"/>
            <w:hideMark/>
          </w:tcPr>
          <w:p w14:paraId="53850BC6"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32217C27" w14:textId="77777777" w:rsidR="009F783C" w:rsidRPr="009F783C" w:rsidRDefault="009F783C" w:rsidP="00AA4BBB">
            <w:pPr>
              <w:jc w:val="center"/>
              <w:rPr>
                <w:rFonts w:cs="Arial"/>
                <w:sz w:val="20"/>
                <w:szCs w:val="20"/>
              </w:rPr>
            </w:pPr>
            <w:r w:rsidRPr="009F783C">
              <w:rPr>
                <w:rFonts w:cs="Arial"/>
                <w:sz w:val="20"/>
                <w:szCs w:val="20"/>
              </w:rPr>
              <w:t>6.182.285.664</w:t>
            </w:r>
          </w:p>
        </w:tc>
        <w:tc>
          <w:tcPr>
            <w:tcW w:w="0" w:type="auto"/>
            <w:tcMar>
              <w:top w:w="30" w:type="dxa"/>
              <w:left w:w="45" w:type="dxa"/>
              <w:bottom w:w="30" w:type="dxa"/>
              <w:right w:w="45" w:type="dxa"/>
            </w:tcMar>
            <w:vAlign w:val="center"/>
            <w:hideMark/>
          </w:tcPr>
          <w:p w14:paraId="49A4BA1C" w14:textId="77777777" w:rsidR="009F783C" w:rsidRPr="009F783C" w:rsidRDefault="009F783C" w:rsidP="00AA4BBB">
            <w:pPr>
              <w:jc w:val="center"/>
              <w:rPr>
                <w:rFonts w:cs="Arial"/>
                <w:sz w:val="20"/>
                <w:szCs w:val="20"/>
              </w:rPr>
            </w:pPr>
            <w:r w:rsidRPr="009F783C">
              <w:rPr>
                <w:rFonts w:cs="Arial"/>
                <w:sz w:val="20"/>
                <w:szCs w:val="20"/>
              </w:rPr>
              <w:t>15.538.322.311</w:t>
            </w:r>
          </w:p>
        </w:tc>
        <w:tc>
          <w:tcPr>
            <w:tcW w:w="0" w:type="auto"/>
            <w:tcMar>
              <w:top w:w="30" w:type="dxa"/>
              <w:left w:w="45" w:type="dxa"/>
              <w:bottom w:w="30" w:type="dxa"/>
              <w:right w:w="45" w:type="dxa"/>
            </w:tcMar>
            <w:vAlign w:val="center"/>
            <w:hideMark/>
          </w:tcPr>
          <w:p w14:paraId="4F84AB1F" w14:textId="77777777" w:rsidR="009F783C" w:rsidRPr="009F783C" w:rsidRDefault="009F783C" w:rsidP="00AA4BBB">
            <w:pPr>
              <w:jc w:val="center"/>
              <w:rPr>
                <w:rFonts w:cs="Arial"/>
                <w:sz w:val="20"/>
                <w:szCs w:val="20"/>
              </w:rPr>
            </w:pPr>
            <w:r w:rsidRPr="009F783C">
              <w:rPr>
                <w:rFonts w:cs="Arial"/>
                <w:sz w:val="20"/>
                <w:szCs w:val="20"/>
              </w:rPr>
              <w:t>15.432.950.816</w:t>
            </w:r>
          </w:p>
        </w:tc>
        <w:tc>
          <w:tcPr>
            <w:tcW w:w="0" w:type="auto"/>
            <w:tcMar>
              <w:top w:w="30" w:type="dxa"/>
              <w:left w:w="45" w:type="dxa"/>
              <w:bottom w:w="30" w:type="dxa"/>
              <w:right w:w="45" w:type="dxa"/>
            </w:tcMar>
            <w:vAlign w:val="center"/>
            <w:hideMark/>
          </w:tcPr>
          <w:p w14:paraId="2FA5B422" w14:textId="77777777" w:rsidR="009F783C" w:rsidRPr="009F783C" w:rsidRDefault="009F783C" w:rsidP="00AA4BBB">
            <w:pPr>
              <w:jc w:val="center"/>
              <w:rPr>
                <w:rFonts w:cs="Arial"/>
                <w:sz w:val="20"/>
                <w:szCs w:val="20"/>
              </w:rPr>
            </w:pPr>
            <w:r w:rsidRPr="009F783C">
              <w:rPr>
                <w:rFonts w:cs="Arial"/>
                <w:sz w:val="20"/>
                <w:szCs w:val="20"/>
              </w:rPr>
              <w:t>16.256.054.361</w:t>
            </w:r>
          </w:p>
        </w:tc>
        <w:tc>
          <w:tcPr>
            <w:tcW w:w="0" w:type="auto"/>
            <w:vMerge/>
            <w:vAlign w:val="center"/>
            <w:hideMark/>
          </w:tcPr>
          <w:p w14:paraId="02FC3719" w14:textId="77777777" w:rsidR="009F783C" w:rsidRPr="009F783C" w:rsidRDefault="009F783C" w:rsidP="00AA4BBB">
            <w:pPr>
              <w:rPr>
                <w:rFonts w:cs="Arial"/>
                <w:b/>
                <w:bCs/>
                <w:sz w:val="20"/>
                <w:szCs w:val="20"/>
              </w:rPr>
            </w:pPr>
          </w:p>
        </w:tc>
      </w:tr>
      <w:tr w:rsidR="009F783C" w:rsidRPr="009F783C" w14:paraId="7189076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78FFBDB8" w14:textId="77777777" w:rsidR="009F783C" w:rsidRPr="009F783C" w:rsidRDefault="009F783C" w:rsidP="00AA4BBB">
            <w:pPr>
              <w:rPr>
                <w:rFonts w:cs="Arial"/>
                <w:sz w:val="20"/>
                <w:szCs w:val="20"/>
              </w:rPr>
            </w:pPr>
            <w:r w:rsidRPr="009F783C">
              <w:rPr>
                <w:rFonts w:cs="Arial"/>
                <w:sz w:val="20"/>
                <w:szCs w:val="20"/>
              </w:rPr>
              <w:t>Realizar el 100% de las acciones para el mejoramiento de la capacidad de gestión pública del sector ambiente</w:t>
            </w:r>
          </w:p>
        </w:tc>
        <w:tc>
          <w:tcPr>
            <w:tcW w:w="1492" w:type="dxa"/>
            <w:tcMar>
              <w:top w:w="30" w:type="dxa"/>
              <w:left w:w="45" w:type="dxa"/>
              <w:bottom w:w="30" w:type="dxa"/>
              <w:right w:w="45" w:type="dxa"/>
            </w:tcMar>
            <w:vAlign w:val="center"/>
            <w:hideMark/>
          </w:tcPr>
          <w:p w14:paraId="061E456A" w14:textId="77777777" w:rsidR="009F783C" w:rsidRPr="009F783C" w:rsidRDefault="009F783C" w:rsidP="00AA4BBB">
            <w:pPr>
              <w:jc w:val="center"/>
              <w:rPr>
                <w:rFonts w:cs="Arial"/>
                <w:sz w:val="20"/>
                <w:szCs w:val="20"/>
              </w:rPr>
            </w:pPr>
            <w:r w:rsidRPr="009F783C">
              <w:rPr>
                <w:rFonts w:cs="Arial"/>
                <w:sz w:val="20"/>
                <w:szCs w:val="20"/>
              </w:rPr>
              <w:t>10,00%</w:t>
            </w:r>
          </w:p>
        </w:tc>
        <w:tc>
          <w:tcPr>
            <w:tcW w:w="0" w:type="auto"/>
            <w:tcMar>
              <w:top w:w="30" w:type="dxa"/>
              <w:left w:w="45" w:type="dxa"/>
              <w:bottom w:w="30" w:type="dxa"/>
              <w:right w:w="45" w:type="dxa"/>
            </w:tcMar>
            <w:vAlign w:val="center"/>
            <w:hideMark/>
          </w:tcPr>
          <w:p w14:paraId="5259B9DD" w14:textId="77777777" w:rsidR="009F783C" w:rsidRPr="009F783C" w:rsidRDefault="009F783C" w:rsidP="00AA4BBB">
            <w:pPr>
              <w:jc w:val="center"/>
              <w:rPr>
                <w:rFonts w:cs="Arial"/>
                <w:sz w:val="20"/>
                <w:szCs w:val="20"/>
              </w:rPr>
            </w:pPr>
            <w:r w:rsidRPr="009F783C">
              <w:rPr>
                <w:rFonts w:cs="Arial"/>
                <w:sz w:val="20"/>
                <w:szCs w:val="20"/>
              </w:rPr>
              <w:t>25,00%</w:t>
            </w:r>
          </w:p>
        </w:tc>
        <w:tc>
          <w:tcPr>
            <w:tcW w:w="0" w:type="auto"/>
            <w:tcMar>
              <w:top w:w="30" w:type="dxa"/>
              <w:left w:w="45" w:type="dxa"/>
              <w:bottom w:w="30" w:type="dxa"/>
              <w:right w:w="45" w:type="dxa"/>
            </w:tcMar>
            <w:vAlign w:val="center"/>
            <w:hideMark/>
          </w:tcPr>
          <w:p w14:paraId="573C42A1" w14:textId="77777777" w:rsidR="009F783C" w:rsidRPr="009F783C" w:rsidRDefault="009F783C" w:rsidP="00AA4BBB">
            <w:pPr>
              <w:jc w:val="center"/>
              <w:rPr>
                <w:rFonts w:cs="Arial"/>
                <w:sz w:val="20"/>
                <w:szCs w:val="20"/>
              </w:rPr>
            </w:pPr>
            <w:r w:rsidRPr="009F783C">
              <w:rPr>
                <w:rFonts w:cs="Arial"/>
                <w:sz w:val="20"/>
                <w:szCs w:val="20"/>
              </w:rPr>
              <w:t>32,50%</w:t>
            </w:r>
          </w:p>
        </w:tc>
        <w:tc>
          <w:tcPr>
            <w:tcW w:w="0" w:type="auto"/>
            <w:tcMar>
              <w:top w:w="30" w:type="dxa"/>
              <w:left w:w="45" w:type="dxa"/>
              <w:bottom w:w="30" w:type="dxa"/>
              <w:right w:w="45" w:type="dxa"/>
            </w:tcMar>
            <w:vAlign w:val="center"/>
            <w:hideMark/>
          </w:tcPr>
          <w:p w14:paraId="3DD4F12E" w14:textId="77777777" w:rsidR="009F783C" w:rsidRPr="009F783C" w:rsidRDefault="009F783C" w:rsidP="00AA4BBB">
            <w:pPr>
              <w:jc w:val="center"/>
              <w:rPr>
                <w:rFonts w:cs="Arial"/>
                <w:sz w:val="20"/>
                <w:szCs w:val="20"/>
              </w:rPr>
            </w:pPr>
            <w:r w:rsidRPr="009F783C">
              <w:rPr>
                <w:rFonts w:cs="Arial"/>
                <w:sz w:val="20"/>
                <w:szCs w:val="20"/>
              </w:rPr>
              <w:t>32,50%</w:t>
            </w:r>
          </w:p>
        </w:tc>
        <w:tc>
          <w:tcPr>
            <w:tcW w:w="0" w:type="auto"/>
            <w:vMerge w:val="restart"/>
            <w:tcMar>
              <w:top w:w="30" w:type="dxa"/>
              <w:left w:w="45" w:type="dxa"/>
              <w:bottom w:w="30" w:type="dxa"/>
              <w:right w:w="45" w:type="dxa"/>
            </w:tcMar>
            <w:vAlign w:val="center"/>
            <w:hideMark/>
          </w:tcPr>
          <w:p w14:paraId="2D35519F" w14:textId="77777777" w:rsidR="009F783C" w:rsidRPr="009F783C" w:rsidRDefault="009F783C" w:rsidP="00AA4BBB">
            <w:pPr>
              <w:jc w:val="center"/>
              <w:rPr>
                <w:rFonts w:cs="Arial"/>
                <w:b/>
                <w:bCs/>
                <w:sz w:val="20"/>
                <w:szCs w:val="20"/>
              </w:rPr>
            </w:pPr>
            <w:r w:rsidRPr="009F783C">
              <w:rPr>
                <w:rFonts w:cs="Arial"/>
                <w:b/>
                <w:bCs/>
                <w:sz w:val="20"/>
                <w:szCs w:val="20"/>
              </w:rPr>
              <w:t>194.704.089.457</w:t>
            </w:r>
          </w:p>
        </w:tc>
      </w:tr>
      <w:tr w:rsidR="009F783C" w:rsidRPr="009F783C" w14:paraId="74F6F3FB" w14:textId="77777777" w:rsidTr="00AA4BBB">
        <w:trPr>
          <w:gridAfter w:val="1"/>
          <w:wAfter w:w="6" w:type="dxa"/>
        </w:trPr>
        <w:tc>
          <w:tcPr>
            <w:tcW w:w="2402" w:type="dxa"/>
            <w:vMerge/>
            <w:vAlign w:val="center"/>
            <w:hideMark/>
          </w:tcPr>
          <w:p w14:paraId="30EE78BA"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479A3DEE" w14:textId="77777777" w:rsidR="009F783C" w:rsidRPr="009F783C" w:rsidRDefault="009F783C" w:rsidP="00AA4BBB">
            <w:pPr>
              <w:jc w:val="center"/>
              <w:rPr>
                <w:rFonts w:cs="Arial"/>
                <w:sz w:val="20"/>
                <w:szCs w:val="20"/>
              </w:rPr>
            </w:pPr>
            <w:r w:rsidRPr="009F783C">
              <w:rPr>
                <w:rFonts w:cs="Arial"/>
                <w:sz w:val="20"/>
                <w:szCs w:val="20"/>
              </w:rPr>
              <w:t>24.160.816.796</w:t>
            </w:r>
          </w:p>
        </w:tc>
        <w:tc>
          <w:tcPr>
            <w:tcW w:w="0" w:type="auto"/>
            <w:tcMar>
              <w:top w:w="30" w:type="dxa"/>
              <w:left w:w="45" w:type="dxa"/>
              <w:bottom w:w="30" w:type="dxa"/>
              <w:right w:w="45" w:type="dxa"/>
            </w:tcMar>
            <w:vAlign w:val="center"/>
            <w:hideMark/>
          </w:tcPr>
          <w:p w14:paraId="03469C72" w14:textId="77777777" w:rsidR="009F783C" w:rsidRPr="009F783C" w:rsidRDefault="009F783C" w:rsidP="00AA4BBB">
            <w:pPr>
              <w:jc w:val="center"/>
              <w:rPr>
                <w:rFonts w:cs="Arial"/>
                <w:sz w:val="20"/>
                <w:szCs w:val="20"/>
              </w:rPr>
            </w:pPr>
            <w:r w:rsidRPr="009F783C">
              <w:rPr>
                <w:rFonts w:cs="Arial"/>
                <w:sz w:val="20"/>
                <w:szCs w:val="20"/>
              </w:rPr>
              <w:t>54.184.896.653</w:t>
            </w:r>
          </w:p>
        </w:tc>
        <w:tc>
          <w:tcPr>
            <w:tcW w:w="0" w:type="auto"/>
            <w:tcMar>
              <w:top w:w="30" w:type="dxa"/>
              <w:left w:w="45" w:type="dxa"/>
              <w:bottom w:w="30" w:type="dxa"/>
              <w:right w:w="45" w:type="dxa"/>
            </w:tcMar>
            <w:vAlign w:val="center"/>
            <w:hideMark/>
          </w:tcPr>
          <w:p w14:paraId="46EC71BE" w14:textId="77777777" w:rsidR="009F783C" w:rsidRPr="009F783C" w:rsidRDefault="009F783C" w:rsidP="00AA4BBB">
            <w:pPr>
              <w:jc w:val="center"/>
              <w:rPr>
                <w:rFonts w:cs="Arial"/>
                <w:sz w:val="20"/>
                <w:szCs w:val="20"/>
              </w:rPr>
            </w:pPr>
            <w:r w:rsidRPr="009F783C">
              <w:rPr>
                <w:rFonts w:cs="Arial"/>
                <w:sz w:val="20"/>
                <w:szCs w:val="20"/>
              </w:rPr>
              <w:t>56.652.180.216</w:t>
            </w:r>
          </w:p>
        </w:tc>
        <w:tc>
          <w:tcPr>
            <w:tcW w:w="0" w:type="auto"/>
            <w:tcMar>
              <w:top w:w="30" w:type="dxa"/>
              <w:left w:w="45" w:type="dxa"/>
              <w:bottom w:w="30" w:type="dxa"/>
              <w:right w:w="45" w:type="dxa"/>
            </w:tcMar>
            <w:vAlign w:val="center"/>
            <w:hideMark/>
          </w:tcPr>
          <w:p w14:paraId="77D465EE" w14:textId="77777777" w:rsidR="009F783C" w:rsidRPr="009F783C" w:rsidRDefault="009F783C" w:rsidP="00AA4BBB">
            <w:pPr>
              <w:jc w:val="center"/>
              <w:rPr>
                <w:rFonts w:cs="Arial"/>
                <w:sz w:val="20"/>
                <w:szCs w:val="20"/>
              </w:rPr>
            </w:pPr>
            <w:r w:rsidRPr="009F783C">
              <w:rPr>
                <w:rFonts w:cs="Arial"/>
                <w:sz w:val="20"/>
                <w:szCs w:val="20"/>
              </w:rPr>
              <w:t>59.706.195.792</w:t>
            </w:r>
          </w:p>
        </w:tc>
        <w:tc>
          <w:tcPr>
            <w:tcW w:w="0" w:type="auto"/>
            <w:vMerge/>
            <w:vAlign w:val="center"/>
            <w:hideMark/>
          </w:tcPr>
          <w:p w14:paraId="2A575F7C" w14:textId="77777777" w:rsidR="009F783C" w:rsidRPr="009F783C" w:rsidRDefault="009F783C" w:rsidP="00AA4BBB">
            <w:pPr>
              <w:rPr>
                <w:rFonts w:cs="Arial"/>
                <w:b/>
                <w:bCs/>
                <w:sz w:val="20"/>
                <w:szCs w:val="20"/>
              </w:rPr>
            </w:pPr>
          </w:p>
        </w:tc>
      </w:tr>
      <w:tr w:rsidR="009F783C" w:rsidRPr="009F783C" w14:paraId="735DA431" w14:textId="77777777" w:rsidTr="00AA4BBB">
        <w:tc>
          <w:tcPr>
            <w:tcW w:w="9828" w:type="dxa"/>
            <w:gridSpan w:val="7"/>
            <w:shd w:val="clear" w:color="auto" w:fill="C00000"/>
            <w:tcMar>
              <w:top w:w="30" w:type="dxa"/>
              <w:left w:w="45" w:type="dxa"/>
              <w:bottom w:w="30" w:type="dxa"/>
              <w:right w:w="45" w:type="dxa"/>
            </w:tcMar>
            <w:vAlign w:val="center"/>
            <w:hideMark/>
          </w:tcPr>
          <w:p w14:paraId="40FADF84"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Cultura, Recreación y Deporte</w:t>
            </w:r>
          </w:p>
        </w:tc>
      </w:tr>
      <w:tr w:rsidR="009F783C" w:rsidRPr="009F783C" w14:paraId="458EDF60" w14:textId="77777777" w:rsidTr="00AA4BBB">
        <w:trPr>
          <w:gridAfter w:val="1"/>
          <w:wAfter w:w="6" w:type="dxa"/>
        </w:trPr>
        <w:tc>
          <w:tcPr>
            <w:tcW w:w="2402" w:type="dxa"/>
            <w:vMerge w:val="restart"/>
            <w:tcMar>
              <w:top w:w="30" w:type="dxa"/>
              <w:left w:w="45" w:type="dxa"/>
              <w:bottom w:w="30" w:type="dxa"/>
              <w:right w:w="45" w:type="dxa"/>
            </w:tcMar>
            <w:vAlign w:val="center"/>
            <w:hideMark/>
          </w:tcPr>
          <w:p w14:paraId="6A70D273" w14:textId="77777777" w:rsidR="009F783C" w:rsidRPr="009F783C" w:rsidRDefault="009F783C" w:rsidP="00AA4BBB">
            <w:pPr>
              <w:rPr>
                <w:rFonts w:cs="Arial"/>
                <w:sz w:val="20"/>
                <w:szCs w:val="20"/>
              </w:rPr>
            </w:pPr>
            <w:r w:rsidRPr="009F783C">
              <w:rPr>
                <w:rFonts w:cs="Arial"/>
                <w:sz w:val="20"/>
                <w:szCs w:val="20"/>
              </w:rPr>
              <w:t>Fortalecer la gestión institucional de 6 entidades distritales del sector Cultura Recreación y Deporte con mejor infraestructura recursos físicos tecnológicos y un talento humano más cualificado y consciente de su papel como servidores públicos que favorezca un modelo de relacionamiento integral con la ciudadanía.</w:t>
            </w:r>
          </w:p>
        </w:tc>
        <w:tc>
          <w:tcPr>
            <w:tcW w:w="1492" w:type="dxa"/>
            <w:tcMar>
              <w:top w:w="30" w:type="dxa"/>
              <w:left w:w="45" w:type="dxa"/>
              <w:bottom w:w="30" w:type="dxa"/>
              <w:right w:w="45" w:type="dxa"/>
            </w:tcMar>
            <w:vAlign w:val="center"/>
            <w:hideMark/>
          </w:tcPr>
          <w:p w14:paraId="0546804A" w14:textId="77777777" w:rsidR="009F783C" w:rsidRPr="009F783C" w:rsidRDefault="009F783C" w:rsidP="00AA4BBB">
            <w:pPr>
              <w:jc w:val="center"/>
              <w:rPr>
                <w:rFonts w:cs="Arial"/>
                <w:sz w:val="20"/>
                <w:szCs w:val="20"/>
              </w:rPr>
            </w:pPr>
            <w:r w:rsidRPr="009F783C">
              <w:rPr>
                <w:rFonts w:cs="Arial"/>
                <w:sz w:val="20"/>
                <w:szCs w:val="20"/>
              </w:rPr>
              <w:t>6</w:t>
            </w:r>
          </w:p>
        </w:tc>
        <w:tc>
          <w:tcPr>
            <w:tcW w:w="0" w:type="auto"/>
            <w:tcMar>
              <w:top w:w="30" w:type="dxa"/>
              <w:left w:w="45" w:type="dxa"/>
              <w:bottom w:w="30" w:type="dxa"/>
              <w:right w:w="45" w:type="dxa"/>
            </w:tcMar>
            <w:vAlign w:val="center"/>
            <w:hideMark/>
          </w:tcPr>
          <w:p w14:paraId="7CB449AE" w14:textId="77777777" w:rsidR="009F783C" w:rsidRPr="009F783C" w:rsidRDefault="009F783C" w:rsidP="00AA4BBB">
            <w:pPr>
              <w:jc w:val="center"/>
              <w:rPr>
                <w:rFonts w:cs="Arial"/>
                <w:sz w:val="20"/>
                <w:szCs w:val="20"/>
              </w:rPr>
            </w:pPr>
            <w:r w:rsidRPr="009F783C">
              <w:rPr>
                <w:rFonts w:cs="Arial"/>
                <w:sz w:val="20"/>
                <w:szCs w:val="20"/>
              </w:rPr>
              <w:t>6</w:t>
            </w:r>
          </w:p>
        </w:tc>
        <w:tc>
          <w:tcPr>
            <w:tcW w:w="0" w:type="auto"/>
            <w:tcMar>
              <w:top w:w="30" w:type="dxa"/>
              <w:left w:w="45" w:type="dxa"/>
              <w:bottom w:w="30" w:type="dxa"/>
              <w:right w:w="45" w:type="dxa"/>
            </w:tcMar>
            <w:vAlign w:val="center"/>
            <w:hideMark/>
          </w:tcPr>
          <w:p w14:paraId="2B7B9E42" w14:textId="77777777" w:rsidR="009F783C" w:rsidRPr="009F783C" w:rsidRDefault="009F783C" w:rsidP="00AA4BBB">
            <w:pPr>
              <w:jc w:val="center"/>
              <w:rPr>
                <w:rFonts w:cs="Arial"/>
                <w:sz w:val="20"/>
                <w:szCs w:val="20"/>
              </w:rPr>
            </w:pPr>
            <w:r w:rsidRPr="009F783C">
              <w:rPr>
                <w:rFonts w:cs="Arial"/>
                <w:sz w:val="20"/>
                <w:szCs w:val="20"/>
              </w:rPr>
              <w:t>6</w:t>
            </w:r>
          </w:p>
        </w:tc>
        <w:tc>
          <w:tcPr>
            <w:tcW w:w="0" w:type="auto"/>
            <w:tcMar>
              <w:top w:w="30" w:type="dxa"/>
              <w:left w:w="45" w:type="dxa"/>
              <w:bottom w:w="30" w:type="dxa"/>
              <w:right w:w="45" w:type="dxa"/>
            </w:tcMar>
            <w:vAlign w:val="center"/>
            <w:hideMark/>
          </w:tcPr>
          <w:p w14:paraId="4073222B" w14:textId="77777777" w:rsidR="009F783C" w:rsidRPr="009F783C" w:rsidRDefault="009F783C" w:rsidP="00AA4BBB">
            <w:pPr>
              <w:jc w:val="center"/>
              <w:rPr>
                <w:rFonts w:cs="Arial"/>
                <w:sz w:val="20"/>
                <w:szCs w:val="20"/>
              </w:rPr>
            </w:pPr>
            <w:r w:rsidRPr="009F783C">
              <w:rPr>
                <w:rFonts w:cs="Arial"/>
                <w:sz w:val="20"/>
                <w:szCs w:val="20"/>
              </w:rPr>
              <w:t>6</w:t>
            </w:r>
          </w:p>
        </w:tc>
        <w:tc>
          <w:tcPr>
            <w:tcW w:w="0" w:type="auto"/>
            <w:vMerge w:val="restart"/>
            <w:tcMar>
              <w:top w:w="30" w:type="dxa"/>
              <w:left w:w="45" w:type="dxa"/>
              <w:bottom w:w="30" w:type="dxa"/>
              <w:right w:w="45" w:type="dxa"/>
            </w:tcMar>
            <w:vAlign w:val="center"/>
            <w:hideMark/>
          </w:tcPr>
          <w:p w14:paraId="1BF29D72" w14:textId="77777777" w:rsidR="009F783C" w:rsidRPr="009F783C" w:rsidRDefault="009F783C" w:rsidP="00AA4BBB">
            <w:pPr>
              <w:jc w:val="center"/>
              <w:rPr>
                <w:rFonts w:cs="Arial"/>
                <w:b/>
                <w:bCs/>
                <w:sz w:val="20"/>
                <w:szCs w:val="20"/>
              </w:rPr>
            </w:pPr>
            <w:r w:rsidRPr="009F783C">
              <w:rPr>
                <w:rFonts w:cs="Arial"/>
                <w:b/>
                <w:bCs/>
                <w:sz w:val="20"/>
                <w:szCs w:val="20"/>
              </w:rPr>
              <w:t>283.148.442.911</w:t>
            </w:r>
          </w:p>
        </w:tc>
      </w:tr>
      <w:tr w:rsidR="009F783C" w:rsidRPr="009F783C" w14:paraId="5E725744" w14:textId="77777777" w:rsidTr="00AA4BBB">
        <w:trPr>
          <w:gridAfter w:val="1"/>
          <w:wAfter w:w="6" w:type="dxa"/>
        </w:trPr>
        <w:tc>
          <w:tcPr>
            <w:tcW w:w="2402" w:type="dxa"/>
            <w:vMerge/>
            <w:vAlign w:val="center"/>
            <w:hideMark/>
          </w:tcPr>
          <w:p w14:paraId="151C5239"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7A8B2135" w14:textId="77777777" w:rsidR="009F783C" w:rsidRPr="009F783C" w:rsidRDefault="009F783C" w:rsidP="00AA4BBB">
            <w:pPr>
              <w:jc w:val="center"/>
              <w:rPr>
                <w:rFonts w:cs="Arial"/>
                <w:sz w:val="20"/>
                <w:szCs w:val="20"/>
              </w:rPr>
            </w:pPr>
            <w:r w:rsidRPr="009F783C">
              <w:rPr>
                <w:rFonts w:cs="Arial"/>
                <w:sz w:val="20"/>
                <w:szCs w:val="20"/>
              </w:rPr>
              <w:t>77.955.258.523</w:t>
            </w:r>
          </w:p>
        </w:tc>
        <w:tc>
          <w:tcPr>
            <w:tcW w:w="0" w:type="auto"/>
            <w:tcMar>
              <w:top w:w="30" w:type="dxa"/>
              <w:left w:w="45" w:type="dxa"/>
              <w:bottom w:w="30" w:type="dxa"/>
              <w:right w:w="45" w:type="dxa"/>
            </w:tcMar>
            <w:vAlign w:val="center"/>
            <w:hideMark/>
          </w:tcPr>
          <w:p w14:paraId="4685D98D" w14:textId="77777777" w:rsidR="009F783C" w:rsidRPr="009F783C" w:rsidRDefault="009F783C" w:rsidP="00AA4BBB">
            <w:pPr>
              <w:jc w:val="center"/>
              <w:rPr>
                <w:rFonts w:cs="Arial"/>
                <w:sz w:val="20"/>
                <w:szCs w:val="20"/>
              </w:rPr>
            </w:pPr>
            <w:r w:rsidRPr="009F783C">
              <w:rPr>
                <w:rFonts w:cs="Arial"/>
                <w:sz w:val="20"/>
                <w:szCs w:val="20"/>
              </w:rPr>
              <w:t>65.740.078.382</w:t>
            </w:r>
          </w:p>
        </w:tc>
        <w:tc>
          <w:tcPr>
            <w:tcW w:w="0" w:type="auto"/>
            <w:tcMar>
              <w:top w:w="30" w:type="dxa"/>
              <w:left w:w="45" w:type="dxa"/>
              <w:bottom w:w="30" w:type="dxa"/>
              <w:right w:w="45" w:type="dxa"/>
            </w:tcMar>
            <w:vAlign w:val="center"/>
            <w:hideMark/>
          </w:tcPr>
          <w:p w14:paraId="17F7D443" w14:textId="77777777" w:rsidR="009F783C" w:rsidRPr="009F783C" w:rsidRDefault="009F783C" w:rsidP="00AA4BBB">
            <w:pPr>
              <w:jc w:val="center"/>
              <w:rPr>
                <w:rFonts w:cs="Arial"/>
                <w:sz w:val="20"/>
                <w:szCs w:val="20"/>
              </w:rPr>
            </w:pPr>
            <w:r w:rsidRPr="009F783C">
              <w:rPr>
                <w:rFonts w:cs="Arial"/>
                <w:sz w:val="20"/>
                <w:szCs w:val="20"/>
              </w:rPr>
              <w:t>69.711.401.663</w:t>
            </w:r>
          </w:p>
        </w:tc>
        <w:tc>
          <w:tcPr>
            <w:tcW w:w="0" w:type="auto"/>
            <w:tcMar>
              <w:top w:w="30" w:type="dxa"/>
              <w:left w:w="45" w:type="dxa"/>
              <w:bottom w:w="30" w:type="dxa"/>
              <w:right w:w="45" w:type="dxa"/>
            </w:tcMar>
            <w:vAlign w:val="center"/>
            <w:hideMark/>
          </w:tcPr>
          <w:p w14:paraId="1996C03F" w14:textId="77777777" w:rsidR="009F783C" w:rsidRPr="009F783C" w:rsidRDefault="009F783C" w:rsidP="00AA4BBB">
            <w:pPr>
              <w:jc w:val="center"/>
              <w:rPr>
                <w:rFonts w:cs="Arial"/>
                <w:sz w:val="20"/>
                <w:szCs w:val="20"/>
              </w:rPr>
            </w:pPr>
            <w:r w:rsidRPr="009F783C">
              <w:rPr>
                <w:rFonts w:cs="Arial"/>
                <w:sz w:val="20"/>
                <w:szCs w:val="20"/>
              </w:rPr>
              <w:t>69.741.704.343</w:t>
            </w:r>
          </w:p>
        </w:tc>
        <w:tc>
          <w:tcPr>
            <w:tcW w:w="0" w:type="auto"/>
            <w:vMerge/>
            <w:vAlign w:val="center"/>
            <w:hideMark/>
          </w:tcPr>
          <w:p w14:paraId="4759E350" w14:textId="77777777" w:rsidR="009F783C" w:rsidRPr="009F783C" w:rsidRDefault="009F783C" w:rsidP="00AA4BBB">
            <w:pPr>
              <w:rPr>
                <w:rFonts w:cs="Arial"/>
                <w:b/>
                <w:bCs/>
                <w:sz w:val="20"/>
                <w:szCs w:val="20"/>
              </w:rPr>
            </w:pPr>
          </w:p>
        </w:tc>
      </w:tr>
      <w:tr w:rsidR="009F783C" w:rsidRPr="009F783C" w14:paraId="5BD1F694" w14:textId="77777777" w:rsidTr="00AA4BBB">
        <w:tc>
          <w:tcPr>
            <w:tcW w:w="9828" w:type="dxa"/>
            <w:gridSpan w:val="7"/>
            <w:shd w:val="clear" w:color="auto" w:fill="C00000"/>
            <w:tcMar>
              <w:top w:w="30" w:type="dxa"/>
              <w:left w:w="45" w:type="dxa"/>
              <w:bottom w:w="30" w:type="dxa"/>
              <w:right w:w="45" w:type="dxa"/>
            </w:tcMar>
            <w:vAlign w:val="center"/>
            <w:hideMark/>
          </w:tcPr>
          <w:p w14:paraId="638AB86C"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Desarrollo Económico</w:t>
            </w:r>
          </w:p>
        </w:tc>
      </w:tr>
      <w:tr w:rsidR="009F783C" w:rsidRPr="009F783C" w14:paraId="61AF5DE5" w14:textId="77777777" w:rsidTr="00AA4BBB">
        <w:trPr>
          <w:gridAfter w:val="1"/>
          <w:wAfter w:w="6" w:type="dxa"/>
        </w:trPr>
        <w:tc>
          <w:tcPr>
            <w:tcW w:w="2402" w:type="dxa"/>
            <w:vMerge w:val="restart"/>
            <w:tcMar>
              <w:top w:w="30" w:type="dxa"/>
              <w:left w:w="45" w:type="dxa"/>
              <w:bottom w:w="30" w:type="dxa"/>
              <w:right w:w="45" w:type="dxa"/>
            </w:tcMar>
            <w:vAlign w:val="center"/>
            <w:hideMark/>
          </w:tcPr>
          <w:p w14:paraId="20ED6276" w14:textId="77777777" w:rsidR="009F783C" w:rsidRPr="009F783C" w:rsidRDefault="009F783C" w:rsidP="00AA4BBB">
            <w:pPr>
              <w:rPr>
                <w:rFonts w:cs="Arial"/>
                <w:sz w:val="20"/>
                <w:szCs w:val="20"/>
              </w:rPr>
            </w:pPr>
            <w:r w:rsidRPr="009F783C">
              <w:rPr>
                <w:rFonts w:cs="Arial"/>
                <w:sz w:val="20"/>
                <w:szCs w:val="20"/>
              </w:rPr>
              <w:t xml:space="preserve">Implementar 1 estrategia para fortalecimiento de la gestión institucional y </w:t>
            </w:r>
            <w:r w:rsidRPr="009F783C">
              <w:rPr>
                <w:rFonts w:cs="Arial"/>
                <w:sz w:val="20"/>
                <w:szCs w:val="20"/>
              </w:rPr>
              <w:lastRenderedPageBreak/>
              <w:t>operativa para el sector desarrollo económico</w:t>
            </w:r>
          </w:p>
        </w:tc>
        <w:tc>
          <w:tcPr>
            <w:tcW w:w="1492" w:type="dxa"/>
            <w:tcMar>
              <w:top w:w="30" w:type="dxa"/>
              <w:left w:w="45" w:type="dxa"/>
              <w:bottom w:w="30" w:type="dxa"/>
              <w:right w:w="45" w:type="dxa"/>
            </w:tcMar>
            <w:vAlign w:val="center"/>
            <w:hideMark/>
          </w:tcPr>
          <w:p w14:paraId="4DE70269" w14:textId="77777777" w:rsidR="009F783C" w:rsidRPr="009F783C" w:rsidRDefault="009F783C" w:rsidP="00AA4BBB">
            <w:pPr>
              <w:jc w:val="center"/>
              <w:rPr>
                <w:rFonts w:cs="Arial"/>
                <w:sz w:val="20"/>
                <w:szCs w:val="20"/>
              </w:rPr>
            </w:pPr>
            <w:r w:rsidRPr="009F783C">
              <w:rPr>
                <w:rFonts w:cs="Arial"/>
                <w:sz w:val="20"/>
                <w:szCs w:val="20"/>
              </w:rPr>
              <w:lastRenderedPageBreak/>
              <w:t>1</w:t>
            </w:r>
          </w:p>
        </w:tc>
        <w:tc>
          <w:tcPr>
            <w:tcW w:w="0" w:type="auto"/>
            <w:tcMar>
              <w:top w:w="30" w:type="dxa"/>
              <w:left w:w="45" w:type="dxa"/>
              <w:bottom w:w="30" w:type="dxa"/>
              <w:right w:w="45" w:type="dxa"/>
            </w:tcMar>
            <w:vAlign w:val="center"/>
            <w:hideMark/>
          </w:tcPr>
          <w:p w14:paraId="3254632B"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6A6D271C"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788249BD"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vMerge w:val="restart"/>
            <w:tcMar>
              <w:top w:w="30" w:type="dxa"/>
              <w:left w:w="45" w:type="dxa"/>
              <w:bottom w:w="30" w:type="dxa"/>
              <w:right w:w="45" w:type="dxa"/>
            </w:tcMar>
            <w:vAlign w:val="center"/>
            <w:hideMark/>
          </w:tcPr>
          <w:p w14:paraId="3953DF6E" w14:textId="77777777" w:rsidR="009F783C" w:rsidRPr="009F783C" w:rsidRDefault="009F783C" w:rsidP="00AA4BBB">
            <w:pPr>
              <w:jc w:val="center"/>
              <w:rPr>
                <w:rFonts w:cs="Arial"/>
                <w:b/>
                <w:bCs/>
                <w:sz w:val="20"/>
                <w:szCs w:val="20"/>
              </w:rPr>
            </w:pPr>
            <w:r w:rsidRPr="009F783C">
              <w:rPr>
                <w:rFonts w:cs="Arial"/>
                <w:b/>
                <w:bCs/>
                <w:sz w:val="20"/>
                <w:szCs w:val="20"/>
              </w:rPr>
              <w:t>171.096.119.422</w:t>
            </w:r>
          </w:p>
        </w:tc>
      </w:tr>
      <w:tr w:rsidR="009F783C" w:rsidRPr="009F783C" w14:paraId="2563A7FF" w14:textId="77777777" w:rsidTr="00AA4BBB">
        <w:trPr>
          <w:gridAfter w:val="1"/>
          <w:wAfter w:w="6" w:type="dxa"/>
        </w:trPr>
        <w:tc>
          <w:tcPr>
            <w:tcW w:w="2402" w:type="dxa"/>
            <w:vMerge/>
            <w:vAlign w:val="center"/>
            <w:hideMark/>
          </w:tcPr>
          <w:p w14:paraId="1FB1F95A"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09B7BF66" w14:textId="77777777" w:rsidR="009F783C" w:rsidRPr="009F783C" w:rsidRDefault="009F783C" w:rsidP="00AA4BBB">
            <w:pPr>
              <w:jc w:val="center"/>
              <w:rPr>
                <w:rFonts w:cs="Arial"/>
                <w:sz w:val="20"/>
                <w:szCs w:val="20"/>
              </w:rPr>
            </w:pPr>
            <w:r w:rsidRPr="009F783C">
              <w:rPr>
                <w:rFonts w:cs="Arial"/>
                <w:sz w:val="20"/>
                <w:szCs w:val="20"/>
              </w:rPr>
              <w:t>22.162.891.000</w:t>
            </w:r>
          </w:p>
        </w:tc>
        <w:tc>
          <w:tcPr>
            <w:tcW w:w="0" w:type="auto"/>
            <w:tcMar>
              <w:top w:w="30" w:type="dxa"/>
              <w:left w:w="45" w:type="dxa"/>
              <w:bottom w:w="30" w:type="dxa"/>
              <w:right w:w="45" w:type="dxa"/>
            </w:tcMar>
            <w:vAlign w:val="center"/>
            <w:hideMark/>
          </w:tcPr>
          <w:p w14:paraId="69366D64" w14:textId="77777777" w:rsidR="009F783C" w:rsidRPr="009F783C" w:rsidRDefault="009F783C" w:rsidP="00AA4BBB">
            <w:pPr>
              <w:jc w:val="center"/>
              <w:rPr>
                <w:rFonts w:cs="Arial"/>
                <w:sz w:val="20"/>
                <w:szCs w:val="20"/>
              </w:rPr>
            </w:pPr>
            <w:r w:rsidRPr="009F783C">
              <w:rPr>
                <w:rFonts w:cs="Arial"/>
                <w:sz w:val="20"/>
                <w:szCs w:val="20"/>
              </w:rPr>
              <w:t>45.362.258.252</w:t>
            </w:r>
          </w:p>
        </w:tc>
        <w:tc>
          <w:tcPr>
            <w:tcW w:w="0" w:type="auto"/>
            <w:tcMar>
              <w:top w:w="30" w:type="dxa"/>
              <w:left w:w="45" w:type="dxa"/>
              <w:bottom w:w="30" w:type="dxa"/>
              <w:right w:w="45" w:type="dxa"/>
            </w:tcMar>
            <w:vAlign w:val="center"/>
            <w:hideMark/>
          </w:tcPr>
          <w:p w14:paraId="680F7E27" w14:textId="77777777" w:rsidR="009F783C" w:rsidRPr="009F783C" w:rsidRDefault="009F783C" w:rsidP="00AA4BBB">
            <w:pPr>
              <w:jc w:val="center"/>
              <w:rPr>
                <w:rFonts w:cs="Arial"/>
                <w:sz w:val="20"/>
                <w:szCs w:val="20"/>
              </w:rPr>
            </w:pPr>
            <w:r w:rsidRPr="009F783C">
              <w:rPr>
                <w:rFonts w:cs="Arial"/>
                <w:sz w:val="20"/>
                <w:szCs w:val="20"/>
              </w:rPr>
              <w:t>50.649.339.240</w:t>
            </w:r>
          </w:p>
        </w:tc>
        <w:tc>
          <w:tcPr>
            <w:tcW w:w="0" w:type="auto"/>
            <w:tcMar>
              <w:top w:w="30" w:type="dxa"/>
              <w:left w:w="45" w:type="dxa"/>
              <w:bottom w:w="30" w:type="dxa"/>
              <w:right w:w="45" w:type="dxa"/>
            </w:tcMar>
            <w:vAlign w:val="center"/>
            <w:hideMark/>
          </w:tcPr>
          <w:p w14:paraId="35677C6E" w14:textId="77777777" w:rsidR="009F783C" w:rsidRPr="009F783C" w:rsidRDefault="009F783C" w:rsidP="00AA4BBB">
            <w:pPr>
              <w:jc w:val="center"/>
              <w:rPr>
                <w:rFonts w:cs="Arial"/>
                <w:sz w:val="20"/>
                <w:szCs w:val="20"/>
              </w:rPr>
            </w:pPr>
            <w:r w:rsidRPr="009F783C">
              <w:rPr>
                <w:rFonts w:cs="Arial"/>
                <w:sz w:val="20"/>
                <w:szCs w:val="20"/>
              </w:rPr>
              <w:t>52.921.630.929</w:t>
            </w:r>
          </w:p>
        </w:tc>
        <w:tc>
          <w:tcPr>
            <w:tcW w:w="0" w:type="auto"/>
            <w:vMerge/>
            <w:vAlign w:val="center"/>
            <w:hideMark/>
          </w:tcPr>
          <w:p w14:paraId="5E1D4EC4" w14:textId="77777777" w:rsidR="009F783C" w:rsidRPr="009F783C" w:rsidRDefault="009F783C" w:rsidP="00AA4BBB">
            <w:pPr>
              <w:rPr>
                <w:rFonts w:cs="Arial"/>
                <w:b/>
                <w:bCs/>
                <w:sz w:val="20"/>
                <w:szCs w:val="20"/>
              </w:rPr>
            </w:pPr>
          </w:p>
        </w:tc>
      </w:tr>
      <w:tr w:rsidR="009F783C" w:rsidRPr="009F783C" w14:paraId="1367B91B" w14:textId="77777777" w:rsidTr="00AA4BBB">
        <w:tc>
          <w:tcPr>
            <w:tcW w:w="9828" w:type="dxa"/>
            <w:gridSpan w:val="7"/>
            <w:shd w:val="clear" w:color="auto" w:fill="C00000"/>
            <w:tcMar>
              <w:top w:w="30" w:type="dxa"/>
              <w:left w:w="45" w:type="dxa"/>
              <w:bottom w:w="30" w:type="dxa"/>
              <w:right w:w="45" w:type="dxa"/>
            </w:tcMar>
            <w:vAlign w:val="center"/>
            <w:hideMark/>
          </w:tcPr>
          <w:p w14:paraId="7B309F99" w14:textId="77777777" w:rsidR="009F783C" w:rsidRPr="009F783C" w:rsidRDefault="009F783C" w:rsidP="00AA4BBB">
            <w:pPr>
              <w:jc w:val="center"/>
              <w:rPr>
                <w:rFonts w:cs="Arial"/>
                <w:b/>
                <w:bCs/>
                <w:color w:val="FFFFFF" w:themeColor="background1"/>
                <w:sz w:val="20"/>
                <w:szCs w:val="20"/>
              </w:rPr>
            </w:pPr>
            <w:r w:rsidRPr="009F783C">
              <w:rPr>
                <w:rFonts w:cs="Arial"/>
                <w:b/>
                <w:bCs/>
                <w:color w:val="FFFFFF" w:themeColor="background1"/>
                <w:sz w:val="20"/>
                <w:szCs w:val="20"/>
              </w:rPr>
              <w:t>Gestión Jurídica</w:t>
            </w:r>
          </w:p>
        </w:tc>
      </w:tr>
      <w:tr w:rsidR="009F783C" w:rsidRPr="009F783C" w14:paraId="08780F8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0D34F27D" w14:textId="77777777" w:rsidR="009F783C" w:rsidRPr="009F783C" w:rsidRDefault="009F783C" w:rsidP="00AA4BBB">
            <w:pPr>
              <w:rPr>
                <w:rFonts w:cs="Arial"/>
                <w:sz w:val="20"/>
                <w:szCs w:val="20"/>
              </w:rPr>
            </w:pPr>
            <w:r w:rsidRPr="009F783C">
              <w:rPr>
                <w:rFonts w:cs="Arial"/>
                <w:sz w:val="20"/>
                <w:szCs w:val="20"/>
              </w:rPr>
              <w:t>Diseñar el sistema de compra pública eficiente innovadora y transparente para el Distrito Capital.</w:t>
            </w:r>
          </w:p>
        </w:tc>
        <w:tc>
          <w:tcPr>
            <w:tcW w:w="1492" w:type="dxa"/>
            <w:tcMar>
              <w:top w:w="30" w:type="dxa"/>
              <w:left w:w="45" w:type="dxa"/>
              <w:bottom w:w="30" w:type="dxa"/>
              <w:right w:w="45" w:type="dxa"/>
            </w:tcMar>
            <w:vAlign w:val="center"/>
            <w:hideMark/>
          </w:tcPr>
          <w:p w14:paraId="4347694C" w14:textId="77777777" w:rsidR="009F783C" w:rsidRPr="009F783C" w:rsidRDefault="009F783C" w:rsidP="00AA4BBB">
            <w:pPr>
              <w:jc w:val="center"/>
              <w:rPr>
                <w:rFonts w:cs="Arial"/>
                <w:sz w:val="20"/>
                <w:szCs w:val="20"/>
              </w:rPr>
            </w:pPr>
            <w:r w:rsidRPr="009F783C">
              <w:rPr>
                <w:rFonts w:cs="Arial"/>
                <w:sz w:val="20"/>
                <w:szCs w:val="20"/>
              </w:rPr>
              <w:t>0,1</w:t>
            </w:r>
          </w:p>
        </w:tc>
        <w:tc>
          <w:tcPr>
            <w:tcW w:w="0" w:type="auto"/>
            <w:tcMar>
              <w:top w:w="30" w:type="dxa"/>
              <w:left w:w="45" w:type="dxa"/>
              <w:bottom w:w="30" w:type="dxa"/>
              <w:right w:w="45" w:type="dxa"/>
            </w:tcMar>
            <w:vAlign w:val="center"/>
            <w:hideMark/>
          </w:tcPr>
          <w:p w14:paraId="259F51D1" w14:textId="77777777" w:rsidR="009F783C" w:rsidRPr="009F783C" w:rsidRDefault="009F783C" w:rsidP="00AA4BBB">
            <w:pPr>
              <w:jc w:val="center"/>
              <w:rPr>
                <w:rFonts w:cs="Arial"/>
                <w:sz w:val="20"/>
                <w:szCs w:val="20"/>
              </w:rPr>
            </w:pPr>
            <w:r w:rsidRPr="009F783C">
              <w:rPr>
                <w:rFonts w:cs="Arial"/>
                <w:sz w:val="20"/>
                <w:szCs w:val="20"/>
              </w:rPr>
              <w:t>0,2</w:t>
            </w:r>
          </w:p>
        </w:tc>
        <w:tc>
          <w:tcPr>
            <w:tcW w:w="0" w:type="auto"/>
            <w:tcMar>
              <w:top w:w="30" w:type="dxa"/>
              <w:left w:w="45" w:type="dxa"/>
              <w:bottom w:w="30" w:type="dxa"/>
              <w:right w:w="45" w:type="dxa"/>
            </w:tcMar>
            <w:vAlign w:val="center"/>
            <w:hideMark/>
          </w:tcPr>
          <w:p w14:paraId="6C128428" w14:textId="77777777" w:rsidR="009F783C" w:rsidRPr="009F783C" w:rsidRDefault="009F783C" w:rsidP="00AA4BBB">
            <w:pPr>
              <w:jc w:val="center"/>
              <w:rPr>
                <w:rFonts w:cs="Arial"/>
                <w:sz w:val="20"/>
                <w:szCs w:val="20"/>
              </w:rPr>
            </w:pPr>
            <w:r w:rsidRPr="009F783C">
              <w:rPr>
                <w:rFonts w:cs="Arial"/>
                <w:sz w:val="20"/>
                <w:szCs w:val="20"/>
              </w:rPr>
              <w:t>0,4</w:t>
            </w:r>
          </w:p>
        </w:tc>
        <w:tc>
          <w:tcPr>
            <w:tcW w:w="0" w:type="auto"/>
            <w:tcMar>
              <w:top w:w="30" w:type="dxa"/>
              <w:left w:w="45" w:type="dxa"/>
              <w:bottom w:w="30" w:type="dxa"/>
              <w:right w:w="45" w:type="dxa"/>
            </w:tcMar>
            <w:vAlign w:val="center"/>
            <w:hideMark/>
          </w:tcPr>
          <w:p w14:paraId="1D64EC71" w14:textId="77777777" w:rsidR="009F783C" w:rsidRPr="009F783C" w:rsidRDefault="009F783C" w:rsidP="00AA4BBB">
            <w:pPr>
              <w:jc w:val="center"/>
              <w:rPr>
                <w:rFonts w:cs="Arial"/>
                <w:sz w:val="20"/>
                <w:szCs w:val="20"/>
              </w:rPr>
            </w:pPr>
            <w:r w:rsidRPr="009F783C">
              <w:rPr>
                <w:rFonts w:cs="Arial"/>
                <w:sz w:val="20"/>
                <w:szCs w:val="20"/>
              </w:rPr>
              <w:t>0,3</w:t>
            </w:r>
          </w:p>
        </w:tc>
        <w:tc>
          <w:tcPr>
            <w:tcW w:w="0" w:type="auto"/>
            <w:vMerge w:val="restart"/>
            <w:tcMar>
              <w:top w:w="30" w:type="dxa"/>
              <w:left w:w="45" w:type="dxa"/>
              <w:bottom w:w="30" w:type="dxa"/>
              <w:right w:w="45" w:type="dxa"/>
            </w:tcMar>
            <w:vAlign w:val="center"/>
            <w:hideMark/>
          </w:tcPr>
          <w:p w14:paraId="43CF72E8" w14:textId="77777777" w:rsidR="009F783C" w:rsidRPr="009F783C" w:rsidRDefault="009F783C" w:rsidP="00AA4BBB">
            <w:pPr>
              <w:jc w:val="center"/>
              <w:rPr>
                <w:rFonts w:cs="Arial"/>
                <w:b/>
                <w:bCs/>
                <w:sz w:val="20"/>
                <w:szCs w:val="20"/>
              </w:rPr>
            </w:pPr>
            <w:r w:rsidRPr="009F783C">
              <w:rPr>
                <w:rFonts w:cs="Arial"/>
                <w:b/>
                <w:bCs/>
                <w:sz w:val="20"/>
                <w:szCs w:val="20"/>
              </w:rPr>
              <w:t>1.638.383.055</w:t>
            </w:r>
          </w:p>
        </w:tc>
      </w:tr>
      <w:tr w:rsidR="009F783C" w:rsidRPr="009F783C" w14:paraId="1C76375D" w14:textId="77777777" w:rsidTr="00AA4BBB">
        <w:trPr>
          <w:gridAfter w:val="1"/>
          <w:wAfter w:w="6" w:type="dxa"/>
        </w:trPr>
        <w:tc>
          <w:tcPr>
            <w:tcW w:w="2402" w:type="dxa"/>
            <w:vMerge/>
            <w:vAlign w:val="center"/>
            <w:hideMark/>
          </w:tcPr>
          <w:p w14:paraId="00F8F222"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696DC363" w14:textId="77777777" w:rsidR="009F783C" w:rsidRPr="009F783C" w:rsidRDefault="009F783C" w:rsidP="00AA4BBB">
            <w:pPr>
              <w:jc w:val="center"/>
              <w:rPr>
                <w:rFonts w:cs="Arial"/>
                <w:sz w:val="20"/>
                <w:szCs w:val="20"/>
              </w:rPr>
            </w:pPr>
            <w:r w:rsidRPr="009F783C">
              <w:rPr>
                <w:rFonts w:cs="Arial"/>
                <w:sz w:val="20"/>
                <w:szCs w:val="20"/>
              </w:rPr>
              <w:t>200.000.000</w:t>
            </w:r>
          </w:p>
        </w:tc>
        <w:tc>
          <w:tcPr>
            <w:tcW w:w="0" w:type="auto"/>
            <w:tcMar>
              <w:top w:w="30" w:type="dxa"/>
              <w:left w:w="45" w:type="dxa"/>
              <w:bottom w:w="30" w:type="dxa"/>
              <w:right w:w="45" w:type="dxa"/>
            </w:tcMar>
            <w:vAlign w:val="center"/>
            <w:hideMark/>
          </w:tcPr>
          <w:p w14:paraId="32EDA048" w14:textId="77777777" w:rsidR="009F783C" w:rsidRPr="009F783C" w:rsidRDefault="009F783C" w:rsidP="00AA4BBB">
            <w:pPr>
              <w:jc w:val="center"/>
              <w:rPr>
                <w:rFonts w:cs="Arial"/>
                <w:sz w:val="20"/>
                <w:szCs w:val="20"/>
              </w:rPr>
            </w:pPr>
            <w:r w:rsidRPr="009F783C">
              <w:rPr>
                <w:rFonts w:cs="Arial"/>
                <w:sz w:val="20"/>
                <w:szCs w:val="20"/>
              </w:rPr>
              <w:t>388.349.515</w:t>
            </w:r>
          </w:p>
        </w:tc>
        <w:tc>
          <w:tcPr>
            <w:tcW w:w="0" w:type="auto"/>
            <w:tcMar>
              <w:top w:w="30" w:type="dxa"/>
              <w:left w:w="45" w:type="dxa"/>
              <w:bottom w:w="30" w:type="dxa"/>
              <w:right w:w="45" w:type="dxa"/>
            </w:tcMar>
            <w:vAlign w:val="center"/>
            <w:hideMark/>
          </w:tcPr>
          <w:p w14:paraId="612ABE00" w14:textId="77777777" w:rsidR="009F783C" w:rsidRPr="009F783C" w:rsidRDefault="009F783C" w:rsidP="00AA4BBB">
            <w:pPr>
              <w:jc w:val="center"/>
              <w:rPr>
                <w:rFonts w:cs="Arial"/>
                <w:sz w:val="20"/>
                <w:szCs w:val="20"/>
              </w:rPr>
            </w:pPr>
            <w:r w:rsidRPr="009F783C">
              <w:rPr>
                <w:rFonts w:cs="Arial"/>
                <w:sz w:val="20"/>
                <w:szCs w:val="20"/>
              </w:rPr>
              <w:t>546.705.627</w:t>
            </w:r>
          </w:p>
        </w:tc>
        <w:tc>
          <w:tcPr>
            <w:tcW w:w="0" w:type="auto"/>
            <w:tcMar>
              <w:top w:w="30" w:type="dxa"/>
              <w:left w:w="45" w:type="dxa"/>
              <w:bottom w:w="30" w:type="dxa"/>
              <w:right w:w="45" w:type="dxa"/>
            </w:tcMar>
            <w:vAlign w:val="center"/>
            <w:hideMark/>
          </w:tcPr>
          <w:p w14:paraId="3FC7E9A8" w14:textId="77777777" w:rsidR="009F783C" w:rsidRPr="009F783C" w:rsidRDefault="009F783C" w:rsidP="00AA4BBB">
            <w:pPr>
              <w:jc w:val="center"/>
              <w:rPr>
                <w:rFonts w:cs="Arial"/>
                <w:sz w:val="20"/>
                <w:szCs w:val="20"/>
              </w:rPr>
            </w:pPr>
            <w:r w:rsidRPr="009F783C">
              <w:rPr>
                <w:rFonts w:cs="Arial"/>
                <w:sz w:val="20"/>
                <w:szCs w:val="20"/>
              </w:rPr>
              <w:t>503.327.913</w:t>
            </w:r>
          </w:p>
        </w:tc>
        <w:tc>
          <w:tcPr>
            <w:tcW w:w="0" w:type="auto"/>
            <w:vMerge/>
            <w:vAlign w:val="center"/>
            <w:hideMark/>
          </w:tcPr>
          <w:p w14:paraId="735B9BD5" w14:textId="77777777" w:rsidR="009F783C" w:rsidRPr="009F783C" w:rsidRDefault="009F783C" w:rsidP="00AA4BBB">
            <w:pPr>
              <w:rPr>
                <w:rFonts w:cs="Arial"/>
                <w:b/>
                <w:bCs/>
                <w:sz w:val="20"/>
                <w:szCs w:val="20"/>
              </w:rPr>
            </w:pPr>
          </w:p>
        </w:tc>
      </w:tr>
      <w:tr w:rsidR="009F783C" w:rsidRPr="009F783C" w14:paraId="21636D75" w14:textId="77777777" w:rsidTr="00AA4BBB">
        <w:trPr>
          <w:gridAfter w:val="1"/>
          <w:wAfter w:w="6" w:type="dxa"/>
        </w:trPr>
        <w:tc>
          <w:tcPr>
            <w:tcW w:w="2402" w:type="dxa"/>
            <w:vMerge w:val="restart"/>
            <w:tcMar>
              <w:top w:w="30" w:type="dxa"/>
              <w:left w:w="45" w:type="dxa"/>
              <w:bottom w:w="30" w:type="dxa"/>
              <w:right w:w="45" w:type="dxa"/>
            </w:tcMar>
            <w:vAlign w:val="center"/>
            <w:hideMark/>
          </w:tcPr>
          <w:p w14:paraId="7E369D5C" w14:textId="77777777" w:rsidR="009F783C" w:rsidRPr="009F783C" w:rsidRDefault="009F783C" w:rsidP="00AA4BBB">
            <w:pPr>
              <w:rPr>
                <w:rFonts w:cs="Arial"/>
                <w:sz w:val="20"/>
                <w:szCs w:val="20"/>
              </w:rPr>
            </w:pPr>
            <w:r w:rsidRPr="009F783C">
              <w:rPr>
                <w:rFonts w:cs="Arial"/>
                <w:sz w:val="20"/>
                <w:szCs w:val="20"/>
              </w:rPr>
              <w:t>Elaborar 15 decretos reglamentarios uno para cada sector de la administración distrital como parte de una estrategia de mejora normativa en la ciudad</w:t>
            </w:r>
          </w:p>
        </w:tc>
        <w:tc>
          <w:tcPr>
            <w:tcW w:w="1492" w:type="dxa"/>
            <w:tcMar>
              <w:top w:w="30" w:type="dxa"/>
              <w:left w:w="45" w:type="dxa"/>
              <w:bottom w:w="30" w:type="dxa"/>
              <w:right w:w="45" w:type="dxa"/>
            </w:tcMar>
            <w:vAlign w:val="center"/>
            <w:hideMark/>
          </w:tcPr>
          <w:p w14:paraId="103FC391" w14:textId="77777777" w:rsidR="009F783C" w:rsidRPr="009F783C" w:rsidRDefault="009F783C" w:rsidP="00AA4BBB">
            <w:pPr>
              <w:jc w:val="center"/>
              <w:rPr>
                <w:rFonts w:cs="Arial"/>
                <w:sz w:val="20"/>
                <w:szCs w:val="20"/>
              </w:rPr>
            </w:pPr>
            <w:r w:rsidRPr="009F783C">
              <w:rPr>
                <w:rFonts w:cs="Arial"/>
                <w:sz w:val="20"/>
                <w:szCs w:val="20"/>
              </w:rPr>
              <w:t>2</w:t>
            </w:r>
          </w:p>
        </w:tc>
        <w:tc>
          <w:tcPr>
            <w:tcW w:w="0" w:type="auto"/>
            <w:tcMar>
              <w:top w:w="30" w:type="dxa"/>
              <w:left w:w="45" w:type="dxa"/>
              <w:bottom w:w="30" w:type="dxa"/>
              <w:right w:w="45" w:type="dxa"/>
            </w:tcMar>
            <w:vAlign w:val="center"/>
            <w:hideMark/>
          </w:tcPr>
          <w:p w14:paraId="793E4FF0" w14:textId="77777777" w:rsidR="009F783C" w:rsidRPr="009F783C" w:rsidRDefault="009F783C" w:rsidP="00AA4BBB">
            <w:pPr>
              <w:jc w:val="center"/>
              <w:rPr>
                <w:rFonts w:cs="Arial"/>
                <w:sz w:val="20"/>
                <w:szCs w:val="20"/>
              </w:rPr>
            </w:pPr>
            <w:r w:rsidRPr="009F783C">
              <w:rPr>
                <w:rFonts w:cs="Arial"/>
                <w:sz w:val="20"/>
                <w:szCs w:val="20"/>
              </w:rPr>
              <w:t>5</w:t>
            </w:r>
          </w:p>
        </w:tc>
        <w:tc>
          <w:tcPr>
            <w:tcW w:w="0" w:type="auto"/>
            <w:tcMar>
              <w:top w:w="30" w:type="dxa"/>
              <w:left w:w="45" w:type="dxa"/>
              <w:bottom w:w="30" w:type="dxa"/>
              <w:right w:w="45" w:type="dxa"/>
            </w:tcMar>
            <w:vAlign w:val="center"/>
            <w:hideMark/>
          </w:tcPr>
          <w:p w14:paraId="668DA837" w14:textId="77777777" w:rsidR="009F783C" w:rsidRPr="009F783C" w:rsidRDefault="009F783C" w:rsidP="00AA4BBB">
            <w:pPr>
              <w:jc w:val="center"/>
              <w:rPr>
                <w:rFonts w:cs="Arial"/>
                <w:sz w:val="20"/>
                <w:szCs w:val="20"/>
              </w:rPr>
            </w:pPr>
            <w:r w:rsidRPr="009F783C">
              <w:rPr>
                <w:rFonts w:cs="Arial"/>
                <w:sz w:val="20"/>
                <w:szCs w:val="20"/>
              </w:rPr>
              <w:t>4</w:t>
            </w:r>
          </w:p>
        </w:tc>
        <w:tc>
          <w:tcPr>
            <w:tcW w:w="0" w:type="auto"/>
            <w:tcMar>
              <w:top w:w="30" w:type="dxa"/>
              <w:left w:w="45" w:type="dxa"/>
              <w:bottom w:w="30" w:type="dxa"/>
              <w:right w:w="45" w:type="dxa"/>
            </w:tcMar>
            <w:vAlign w:val="center"/>
            <w:hideMark/>
          </w:tcPr>
          <w:p w14:paraId="637B33E6" w14:textId="77777777" w:rsidR="009F783C" w:rsidRPr="009F783C" w:rsidRDefault="009F783C" w:rsidP="00AA4BBB">
            <w:pPr>
              <w:jc w:val="center"/>
              <w:rPr>
                <w:rFonts w:cs="Arial"/>
                <w:sz w:val="20"/>
                <w:szCs w:val="20"/>
              </w:rPr>
            </w:pPr>
            <w:r w:rsidRPr="009F783C">
              <w:rPr>
                <w:rFonts w:cs="Arial"/>
                <w:sz w:val="20"/>
                <w:szCs w:val="20"/>
              </w:rPr>
              <w:t>4</w:t>
            </w:r>
          </w:p>
        </w:tc>
        <w:tc>
          <w:tcPr>
            <w:tcW w:w="0" w:type="auto"/>
            <w:vMerge w:val="restart"/>
            <w:tcMar>
              <w:top w:w="30" w:type="dxa"/>
              <w:left w:w="45" w:type="dxa"/>
              <w:bottom w:w="30" w:type="dxa"/>
              <w:right w:w="45" w:type="dxa"/>
            </w:tcMar>
            <w:vAlign w:val="center"/>
            <w:hideMark/>
          </w:tcPr>
          <w:p w14:paraId="0882EA4E" w14:textId="77777777" w:rsidR="009F783C" w:rsidRPr="009F783C" w:rsidRDefault="009F783C" w:rsidP="00AA4BBB">
            <w:pPr>
              <w:jc w:val="center"/>
              <w:rPr>
                <w:rFonts w:cs="Arial"/>
                <w:b/>
                <w:bCs/>
                <w:sz w:val="20"/>
                <w:szCs w:val="20"/>
              </w:rPr>
            </w:pPr>
            <w:r w:rsidRPr="009F783C">
              <w:rPr>
                <w:rFonts w:cs="Arial"/>
                <w:b/>
                <w:bCs/>
                <w:sz w:val="20"/>
                <w:szCs w:val="20"/>
              </w:rPr>
              <w:t>2.371.458.516</w:t>
            </w:r>
          </w:p>
        </w:tc>
      </w:tr>
      <w:tr w:rsidR="009F783C" w:rsidRPr="009F783C" w14:paraId="6A6274FE" w14:textId="77777777" w:rsidTr="00AA4BBB">
        <w:trPr>
          <w:gridAfter w:val="1"/>
          <w:wAfter w:w="6" w:type="dxa"/>
        </w:trPr>
        <w:tc>
          <w:tcPr>
            <w:tcW w:w="2402" w:type="dxa"/>
            <w:vMerge/>
            <w:vAlign w:val="center"/>
            <w:hideMark/>
          </w:tcPr>
          <w:p w14:paraId="7E6AE10A"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65483E08" w14:textId="77777777" w:rsidR="009F783C" w:rsidRPr="009F783C" w:rsidRDefault="009F783C" w:rsidP="00AA4BBB">
            <w:pPr>
              <w:jc w:val="center"/>
              <w:rPr>
                <w:rFonts w:cs="Arial"/>
                <w:sz w:val="20"/>
                <w:szCs w:val="20"/>
              </w:rPr>
            </w:pPr>
            <w:r w:rsidRPr="009F783C">
              <w:rPr>
                <w:rFonts w:cs="Arial"/>
                <w:sz w:val="20"/>
                <w:szCs w:val="20"/>
              </w:rPr>
              <w:t>250.000.000</w:t>
            </w:r>
          </w:p>
        </w:tc>
        <w:tc>
          <w:tcPr>
            <w:tcW w:w="0" w:type="auto"/>
            <w:tcMar>
              <w:top w:w="30" w:type="dxa"/>
              <w:left w:w="45" w:type="dxa"/>
              <w:bottom w:w="30" w:type="dxa"/>
              <w:right w:w="45" w:type="dxa"/>
            </w:tcMar>
            <w:vAlign w:val="center"/>
            <w:hideMark/>
          </w:tcPr>
          <w:p w14:paraId="1F80AD6C" w14:textId="77777777" w:rsidR="009F783C" w:rsidRPr="009F783C" w:rsidRDefault="009F783C" w:rsidP="00AA4BBB">
            <w:pPr>
              <w:jc w:val="center"/>
              <w:rPr>
                <w:rFonts w:cs="Arial"/>
                <w:sz w:val="20"/>
                <w:szCs w:val="20"/>
              </w:rPr>
            </w:pPr>
            <w:r w:rsidRPr="009F783C">
              <w:rPr>
                <w:rFonts w:cs="Arial"/>
                <w:sz w:val="20"/>
                <w:szCs w:val="20"/>
              </w:rPr>
              <w:t>728.155.340</w:t>
            </w:r>
          </w:p>
        </w:tc>
        <w:tc>
          <w:tcPr>
            <w:tcW w:w="0" w:type="auto"/>
            <w:tcMar>
              <w:top w:w="30" w:type="dxa"/>
              <w:left w:w="45" w:type="dxa"/>
              <w:bottom w:w="30" w:type="dxa"/>
              <w:right w:w="45" w:type="dxa"/>
            </w:tcMar>
            <w:vAlign w:val="center"/>
            <w:hideMark/>
          </w:tcPr>
          <w:p w14:paraId="2689CD05" w14:textId="77777777" w:rsidR="009F783C" w:rsidRPr="009F783C" w:rsidRDefault="009F783C" w:rsidP="00AA4BBB">
            <w:pPr>
              <w:jc w:val="center"/>
              <w:rPr>
                <w:rFonts w:cs="Arial"/>
                <w:sz w:val="20"/>
                <w:szCs w:val="20"/>
              </w:rPr>
            </w:pPr>
            <w:r w:rsidRPr="009F783C">
              <w:rPr>
                <w:rFonts w:cs="Arial"/>
                <w:sz w:val="20"/>
                <w:szCs w:val="20"/>
              </w:rPr>
              <w:t>706.946.932</w:t>
            </w:r>
          </w:p>
        </w:tc>
        <w:tc>
          <w:tcPr>
            <w:tcW w:w="0" w:type="auto"/>
            <w:tcMar>
              <w:top w:w="30" w:type="dxa"/>
              <w:left w:w="45" w:type="dxa"/>
              <w:bottom w:w="30" w:type="dxa"/>
              <w:right w:w="45" w:type="dxa"/>
            </w:tcMar>
            <w:vAlign w:val="center"/>
            <w:hideMark/>
          </w:tcPr>
          <w:p w14:paraId="0F8B08EB" w14:textId="77777777" w:rsidR="009F783C" w:rsidRPr="009F783C" w:rsidRDefault="009F783C" w:rsidP="00AA4BBB">
            <w:pPr>
              <w:jc w:val="center"/>
              <w:rPr>
                <w:rFonts w:cs="Arial"/>
                <w:sz w:val="20"/>
                <w:szCs w:val="20"/>
              </w:rPr>
            </w:pPr>
            <w:r w:rsidRPr="009F783C">
              <w:rPr>
                <w:rFonts w:cs="Arial"/>
                <w:sz w:val="20"/>
                <w:szCs w:val="20"/>
              </w:rPr>
              <w:t>686.356.245</w:t>
            </w:r>
          </w:p>
        </w:tc>
        <w:tc>
          <w:tcPr>
            <w:tcW w:w="0" w:type="auto"/>
            <w:vMerge/>
            <w:vAlign w:val="center"/>
            <w:hideMark/>
          </w:tcPr>
          <w:p w14:paraId="63E1D983" w14:textId="77777777" w:rsidR="009F783C" w:rsidRPr="009F783C" w:rsidRDefault="009F783C" w:rsidP="00AA4BBB">
            <w:pPr>
              <w:rPr>
                <w:rFonts w:cs="Arial"/>
                <w:b/>
                <w:bCs/>
                <w:sz w:val="20"/>
                <w:szCs w:val="20"/>
              </w:rPr>
            </w:pPr>
          </w:p>
        </w:tc>
      </w:tr>
      <w:tr w:rsidR="009F783C" w:rsidRPr="009F783C" w14:paraId="43FAC4C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E2F1E85" w14:textId="77777777" w:rsidR="009F783C" w:rsidRPr="009F783C" w:rsidRDefault="009F783C" w:rsidP="00AA4BBB">
            <w:pPr>
              <w:rPr>
                <w:rFonts w:cs="Arial"/>
                <w:sz w:val="20"/>
                <w:szCs w:val="20"/>
              </w:rPr>
            </w:pPr>
            <w:r w:rsidRPr="009F783C">
              <w:rPr>
                <w:rFonts w:cs="Arial"/>
                <w:sz w:val="20"/>
                <w:szCs w:val="20"/>
              </w:rPr>
              <w:t>Estructurar una metodología para fortalecer la gestión disciplinaria en el distrito capital</w:t>
            </w:r>
          </w:p>
        </w:tc>
        <w:tc>
          <w:tcPr>
            <w:tcW w:w="1492" w:type="dxa"/>
            <w:tcMar>
              <w:top w:w="30" w:type="dxa"/>
              <w:left w:w="45" w:type="dxa"/>
              <w:bottom w:w="30" w:type="dxa"/>
              <w:right w:w="45" w:type="dxa"/>
            </w:tcMar>
            <w:vAlign w:val="center"/>
            <w:hideMark/>
          </w:tcPr>
          <w:p w14:paraId="50B2C3E2" w14:textId="020ED2B8" w:rsidR="009F783C" w:rsidRPr="009F783C" w:rsidRDefault="009F783C" w:rsidP="00AA4BBB">
            <w:pPr>
              <w:jc w:val="center"/>
              <w:rPr>
                <w:rFonts w:cs="Arial"/>
                <w:sz w:val="20"/>
                <w:szCs w:val="20"/>
              </w:rPr>
            </w:pPr>
            <w:r w:rsidRPr="009F783C">
              <w:rPr>
                <w:rFonts w:cs="Arial"/>
                <w:sz w:val="20"/>
                <w:szCs w:val="20"/>
              </w:rPr>
              <w:t>0,</w:t>
            </w:r>
            <w:r w:rsidR="008A59AD">
              <w:rPr>
                <w:rFonts w:cs="Arial"/>
                <w:sz w:val="20"/>
                <w:szCs w:val="20"/>
              </w:rPr>
              <w:t>15</w:t>
            </w:r>
          </w:p>
        </w:tc>
        <w:tc>
          <w:tcPr>
            <w:tcW w:w="0" w:type="auto"/>
            <w:tcMar>
              <w:top w:w="30" w:type="dxa"/>
              <w:left w:w="45" w:type="dxa"/>
              <w:bottom w:w="30" w:type="dxa"/>
              <w:right w:w="45" w:type="dxa"/>
            </w:tcMar>
            <w:vAlign w:val="center"/>
            <w:hideMark/>
          </w:tcPr>
          <w:p w14:paraId="7511A0B2" w14:textId="77777777" w:rsidR="009F783C" w:rsidRPr="009F783C" w:rsidRDefault="009F783C" w:rsidP="00AA4BBB">
            <w:pPr>
              <w:jc w:val="center"/>
              <w:rPr>
                <w:rFonts w:cs="Arial"/>
                <w:sz w:val="20"/>
                <w:szCs w:val="20"/>
              </w:rPr>
            </w:pPr>
            <w:r w:rsidRPr="009F783C">
              <w:rPr>
                <w:rFonts w:cs="Arial"/>
                <w:sz w:val="20"/>
                <w:szCs w:val="20"/>
              </w:rPr>
              <w:t>0,3</w:t>
            </w:r>
          </w:p>
        </w:tc>
        <w:tc>
          <w:tcPr>
            <w:tcW w:w="0" w:type="auto"/>
            <w:tcMar>
              <w:top w:w="30" w:type="dxa"/>
              <w:left w:w="45" w:type="dxa"/>
              <w:bottom w:w="30" w:type="dxa"/>
              <w:right w:w="45" w:type="dxa"/>
            </w:tcMar>
            <w:vAlign w:val="center"/>
            <w:hideMark/>
          </w:tcPr>
          <w:p w14:paraId="404EC693" w14:textId="77777777" w:rsidR="009F783C" w:rsidRPr="009F783C" w:rsidRDefault="009F783C" w:rsidP="00AA4BBB">
            <w:pPr>
              <w:jc w:val="center"/>
              <w:rPr>
                <w:rFonts w:cs="Arial"/>
                <w:sz w:val="20"/>
                <w:szCs w:val="20"/>
              </w:rPr>
            </w:pPr>
            <w:r w:rsidRPr="009F783C">
              <w:rPr>
                <w:rFonts w:cs="Arial"/>
                <w:sz w:val="20"/>
                <w:szCs w:val="20"/>
              </w:rPr>
              <w:t>0,3</w:t>
            </w:r>
          </w:p>
        </w:tc>
        <w:tc>
          <w:tcPr>
            <w:tcW w:w="0" w:type="auto"/>
            <w:tcMar>
              <w:top w:w="30" w:type="dxa"/>
              <w:left w:w="45" w:type="dxa"/>
              <w:bottom w:w="30" w:type="dxa"/>
              <w:right w:w="45" w:type="dxa"/>
            </w:tcMar>
            <w:vAlign w:val="center"/>
            <w:hideMark/>
          </w:tcPr>
          <w:p w14:paraId="2924BD43" w14:textId="4B173198" w:rsidR="009F783C" w:rsidRPr="009F783C" w:rsidRDefault="009F783C" w:rsidP="00AA4BBB">
            <w:pPr>
              <w:jc w:val="center"/>
              <w:rPr>
                <w:rFonts w:cs="Arial"/>
                <w:sz w:val="20"/>
                <w:szCs w:val="20"/>
              </w:rPr>
            </w:pPr>
            <w:r w:rsidRPr="009F783C">
              <w:rPr>
                <w:rFonts w:cs="Arial"/>
                <w:sz w:val="20"/>
                <w:szCs w:val="20"/>
              </w:rPr>
              <w:t>0,</w:t>
            </w:r>
            <w:r w:rsidR="008A59AD">
              <w:rPr>
                <w:rFonts w:cs="Arial"/>
                <w:sz w:val="20"/>
                <w:szCs w:val="20"/>
              </w:rPr>
              <w:t>25</w:t>
            </w:r>
          </w:p>
        </w:tc>
        <w:tc>
          <w:tcPr>
            <w:tcW w:w="0" w:type="auto"/>
            <w:vMerge w:val="restart"/>
            <w:tcMar>
              <w:top w:w="30" w:type="dxa"/>
              <w:left w:w="45" w:type="dxa"/>
              <w:bottom w:w="30" w:type="dxa"/>
              <w:right w:w="45" w:type="dxa"/>
            </w:tcMar>
            <w:vAlign w:val="center"/>
            <w:hideMark/>
          </w:tcPr>
          <w:p w14:paraId="017D6E3D" w14:textId="77777777" w:rsidR="009F783C" w:rsidRPr="009F783C" w:rsidRDefault="009F783C" w:rsidP="00AA4BBB">
            <w:pPr>
              <w:jc w:val="center"/>
              <w:rPr>
                <w:rFonts w:cs="Arial"/>
                <w:b/>
                <w:bCs/>
                <w:sz w:val="20"/>
                <w:szCs w:val="20"/>
              </w:rPr>
            </w:pPr>
            <w:r w:rsidRPr="009F783C">
              <w:rPr>
                <w:rFonts w:cs="Arial"/>
                <w:b/>
                <w:bCs/>
                <w:sz w:val="20"/>
                <w:szCs w:val="20"/>
              </w:rPr>
              <w:t>996.670.587</w:t>
            </w:r>
          </w:p>
        </w:tc>
      </w:tr>
      <w:tr w:rsidR="009F783C" w:rsidRPr="009F783C" w14:paraId="6B5CA089" w14:textId="77777777" w:rsidTr="00AA4BBB">
        <w:trPr>
          <w:gridAfter w:val="1"/>
          <w:wAfter w:w="6" w:type="dxa"/>
        </w:trPr>
        <w:tc>
          <w:tcPr>
            <w:tcW w:w="2402" w:type="dxa"/>
            <w:vMerge/>
            <w:vAlign w:val="center"/>
            <w:hideMark/>
          </w:tcPr>
          <w:p w14:paraId="065C8727"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26B99539" w14:textId="77777777" w:rsidR="009F783C" w:rsidRPr="009F783C" w:rsidRDefault="009F783C" w:rsidP="00AA4BBB">
            <w:pPr>
              <w:jc w:val="center"/>
              <w:rPr>
                <w:rFonts w:cs="Arial"/>
                <w:sz w:val="20"/>
                <w:szCs w:val="20"/>
              </w:rPr>
            </w:pPr>
            <w:r w:rsidRPr="009F783C">
              <w:rPr>
                <w:rFonts w:cs="Arial"/>
                <w:sz w:val="20"/>
                <w:szCs w:val="20"/>
              </w:rPr>
              <w:t>180.000.000</w:t>
            </w:r>
          </w:p>
        </w:tc>
        <w:tc>
          <w:tcPr>
            <w:tcW w:w="0" w:type="auto"/>
            <w:tcMar>
              <w:top w:w="30" w:type="dxa"/>
              <w:left w:w="45" w:type="dxa"/>
              <w:bottom w:w="30" w:type="dxa"/>
              <w:right w:w="45" w:type="dxa"/>
            </w:tcMar>
            <w:vAlign w:val="center"/>
            <w:hideMark/>
          </w:tcPr>
          <w:p w14:paraId="389E6C12" w14:textId="77777777" w:rsidR="009F783C" w:rsidRPr="009F783C" w:rsidRDefault="009F783C" w:rsidP="00AA4BBB">
            <w:pPr>
              <w:jc w:val="center"/>
              <w:rPr>
                <w:rFonts w:cs="Arial"/>
                <w:sz w:val="20"/>
                <w:szCs w:val="20"/>
              </w:rPr>
            </w:pPr>
            <w:r w:rsidRPr="009F783C">
              <w:rPr>
                <w:rFonts w:cs="Arial"/>
                <w:sz w:val="20"/>
                <w:szCs w:val="20"/>
              </w:rPr>
              <w:t>213.592.233</w:t>
            </w:r>
          </w:p>
        </w:tc>
        <w:tc>
          <w:tcPr>
            <w:tcW w:w="0" w:type="auto"/>
            <w:tcMar>
              <w:top w:w="30" w:type="dxa"/>
              <w:left w:w="45" w:type="dxa"/>
              <w:bottom w:w="30" w:type="dxa"/>
              <w:right w:w="45" w:type="dxa"/>
            </w:tcMar>
            <w:vAlign w:val="center"/>
            <w:hideMark/>
          </w:tcPr>
          <w:p w14:paraId="30A4C981" w14:textId="77777777" w:rsidR="009F783C" w:rsidRPr="009F783C" w:rsidRDefault="009F783C" w:rsidP="00AA4BBB">
            <w:pPr>
              <w:jc w:val="center"/>
              <w:rPr>
                <w:rFonts w:cs="Arial"/>
                <w:sz w:val="20"/>
                <w:szCs w:val="20"/>
              </w:rPr>
            </w:pPr>
            <w:r w:rsidRPr="009F783C">
              <w:rPr>
                <w:rFonts w:cs="Arial"/>
                <w:sz w:val="20"/>
                <w:szCs w:val="20"/>
              </w:rPr>
              <w:t>282.778.773</w:t>
            </w:r>
          </w:p>
        </w:tc>
        <w:tc>
          <w:tcPr>
            <w:tcW w:w="0" w:type="auto"/>
            <w:tcMar>
              <w:top w:w="30" w:type="dxa"/>
              <w:left w:w="45" w:type="dxa"/>
              <w:bottom w:w="30" w:type="dxa"/>
              <w:right w:w="45" w:type="dxa"/>
            </w:tcMar>
            <w:vAlign w:val="center"/>
            <w:hideMark/>
          </w:tcPr>
          <w:p w14:paraId="3CD320F9" w14:textId="77777777" w:rsidR="009F783C" w:rsidRPr="009F783C" w:rsidRDefault="009F783C" w:rsidP="00AA4BBB">
            <w:pPr>
              <w:jc w:val="center"/>
              <w:rPr>
                <w:rFonts w:cs="Arial"/>
                <w:sz w:val="20"/>
                <w:szCs w:val="20"/>
              </w:rPr>
            </w:pPr>
            <w:r w:rsidRPr="009F783C">
              <w:rPr>
                <w:rFonts w:cs="Arial"/>
                <w:sz w:val="20"/>
                <w:szCs w:val="20"/>
              </w:rPr>
              <w:t>320.299.581</w:t>
            </w:r>
          </w:p>
        </w:tc>
        <w:tc>
          <w:tcPr>
            <w:tcW w:w="0" w:type="auto"/>
            <w:vMerge/>
            <w:vAlign w:val="center"/>
            <w:hideMark/>
          </w:tcPr>
          <w:p w14:paraId="0AA4B266" w14:textId="77777777" w:rsidR="009F783C" w:rsidRPr="009F783C" w:rsidRDefault="009F783C" w:rsidP="00AA4BBB">
            <w:pPr>
              <w:rPr>
                <w:rFonts w:cs="Arial"/>
                <w:b/>
                <w:bCs/>
                <w:sz w:val="20"/>
                <w:szCs w:val="20"/>
              </w:rPr>
            </w:pPr>
          </w:p>
        </w:tc>
      </w:tr>
      <w:tr w:rsidR="009F783C" w:rsidRPr="009F783C" w14:paraId="5CB354F9"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B878B6C" w14:textId="77777777" w:rsidR="009F783C" w:rsidRPr="009F783C" w:rsidRDefault="009F783C" w:rsidP="00AA4BBB">
            <w:pPr>
              <w:rPr>
                <w:rFonts w:cs="Arial"/>
                <w:sz w:val="20"/>
                <w:szCs w:val="20"/>
              </w:rPr>
            </w:pPr>
            <w:r w:rsidRPr="009F783C">
              <w:rPr>
                <w:rFonts w:cs="Arial"/>
                <w:sz w:val="20"/>
                <w:szCs w:val="20"/>
              </w:rPr>
              <w:t>Fortalecer en un 100 % las capacidades institucionales de la Secretaría Jurídica Distrital.</w:t>
            </w:r>
          </w:p>
        </w:tc>
        <w:tc>
          <w:tcPr>
            <w:tcW w:w="1492" w:type="dxa"/>
            <w:tcMar>
              <w:top w:w="30" w:type="dxa"/>
              <w:left w:w="45" w:type="dxa"/>
              <w:bottom w:w="30" w:type="dxa"/>
              <w:right w:w="45" w:type="dxa"/>
            </w:tcMar>
            <w:vAlign w:val="center"/>
            <w:hideMark/>
          </w:tcPr>
          <w:p w14:paraId="79FC9E8C"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6B5B6BC6"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2D428224"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6B87789D"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vMerge w:val="restart"/>
            <w:tcMar>
              <w:top w:w="30" w:type="dxa"/>
              <w:left w:w="45" w:type="dxa"/>
              <w:bottom w:w="30" w:type="dxa"/>
              <w:right w:w="45" w:type="dxa"/>
            </w:tcMar>
            <w:vAlign w:val="center"/>
            <w:hideMark/>
          </w:tcPr>
          <w:p w14:paraId="472B218F" w14:textId="77777777" w:rsidR="009F783C" w:rsidRPr="009F783C" w:rsidRDefault="009F783C" w:rsidP="00AA4BBB">
            <w:pPr>
              <w:jc w:val="center"/>
              <w:rPr>
                <w:rFonts w:cs="Arial"/>
                <w:b/>
                <w:bCs/>
                <w:sz w:val="20"/>
                <w:szCs w:val="20"/>
              </w:rPr>
            </w:pPr>
            <w:r w:rsidRPr="009F783C">
              <w:rPr>
                <w:rFonts w:cs="Arial"/>
                <w:b/>
                <w:bCs/>
                <w:sz w:val="20"/>
                <w:szCs w:val="20"/>
              </w:rPr>
              <w:t>7.711.768.204</w:t>
            </w:r>
          </w:p>
        </w:tc>
      </w:tr>
      <w:tr w:rsidR="009F783C" w:rsidRPr="009F783C" w14:paraId="5B1ECF2E" w14:textId="77777777" w:rsidTr="00AA4BBB">
        <w:trPr>
          <w:gridAfter w:val="1"/>
          <w:wAfter w:w="6" w:type="dxa"/>
        </w:trPr>
        <w:tc>
          <w:tcPr>
            <w:tcW w:w="2402" w:type="dxa"/>
            <w:vMerge/>
            <w:vAlign w:val="center"/>
            <w:hideMark/>
          </w:tcPr>
          <w:p w14:paraId="66CFAF1E"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487E09DC" w14:textId="77777777" w:rsidR="009F783C" w:rsidRPr="009F783C" w:rsidRDefault="009F783C" w:rsidP="00AA4BBB">
            <w:pPr>
              <w:jc w:val="center"/>
              <w:rPr>
                <w:rFonts w:cs="Arial"/>
                <w:sz w:val="20"/>
                <w:szCs w:val="20"/>
              </w:rPr>
            </w:pPr>
            <w:r w:rsidRPr="009F783C">
              <w:rPr>
                <w:rFonts w:cs="Arial"/>
                <w:sz w:val="20"/>
                <w:szCs w:val="20"/>
              </w:rPr>
              <w:t>1.442.000.000</w:t>
            </w:r>
          </w:p>
        </w:tc>
        <w:tc>
          <w:tcPr>
            <w:tcW w:w="0" w:type="auto"/>
            <w:tcMar>
              <w:top w:w="30" w:type="dxa"/>
              <w:left w:w="45" w:type="dxa"/>
              <w:bottom w:w="30" w:type="dxa"/>
              <w:right w:w="45" w:type="dxa"/>
            </w:tcMar>
            <w:vAlign w:val="center"/>
            <w:hideMark/>
          </w:tcPr>
          <w:p w14:paraId="264D0F58" w14:textId="77777777" w:rsidR="009F783C" w:rsidRPr="009F783C" w:rsidRDefault="009F783C" w:rsidP="00AA4BBB">
            <w:pPr>
              <w:jc w:val="center"/>
              <w:rPr>
                <w:rFonts w:cs="Arial"/>
                <w:sz w:val="20"/>
                <w:szCs w:val="20"/>
              </w:rPr>
            </w:pPr>
            <w:r w:rsidRPr="009F783C">
              <w:rPr>
                <w:rFonts w:cs="Arial"/>
                <w:sz w:val="20"/>
                <w:szCs w:val="20"/>
              </w:rPr>
              <w:t>1.990.291.262</w:t>
            </w:r>
          </w:p>
        </w:tc>
        <w:tc>
          <w:tcPr>
            <w:tcW w:w="0" w:type="auto"/>
            <w:tcMar>
              <w:top w:w="30" w:type="dxa"/>
              <w:left w:w="45" w:type="dxa"/>
              <w:bottom w:w="30" w:type="dxa"/>
              <w:right w:w="45" w:type="dxa"/>
            </w:tcMar>
            <w:vAlign w:val="center"/>
            <w:hideMark/>
          </w:tcPr>
          <w:p w14:paraId="75527550" w14:textId="77777777" w:rsidR="009F783C" w:rsidRPr="009F783C" w:rsidRDefault="009F783C" w:rsidP="00AA4BBB">
            <w:pPr>
              <w:jc w:val="center"/>
              <w:rPr>
                <w:rFonts w:cs="Arial"/>
                <w:sz w:val="20"/>
                <w:szCs w:val="20"/>
              </w:rPr>
            </w:pPr>
            <w:r w:rsidRPr="009F783C">
              <w:rPr>
                <w:rFonts w:cs="Arial"/>
                <w:sz w:val="20"/>
                <w:szCs w:val="20"/>
              </w:rPr>
              <w:t>2.083.136.959</w:t>
            </w:r>
          </w:p>
        </w:tc>
        <w:tc>
          <w:tcPr>
            <w:tcW w:w="0" w:type="auto"/>
            <w:tcMar>
              <w:top w:w="30" w:type="dxa"/>
              <w:left w:w="45" w:type="dxa"/>
              <w:bottom w:w="30" w:type="dxa"/>
              <w:right w:w="45" w:type="dxa"/>
            </w:tcMar>
            <w:vAlign w:val="center"/>
            <w:hideMark/>
          </w:tcPr>
          <w:p w14:paraId="776B6FCD" w14:textId="77777777" w:rsidR="009F783C" w:rsidRPr="009F783C" w:rsidRDefault="009F783C" w:rsidP="00AA4BBB">
            <w:pPr>
              <w:jc w:val="center"/>
              <w:rPr>
                <w:rFonts w:cs="Arial"/>
                <w:sz w:val="20"/>
                <w:szCs w:val="20"/>
              </w:rPr>
            </w:pPr>
            <w:r w:rsidRPr="009F783C">
              <w:rPr>
                <w:rFonts w:cs="Arial"/>
                <w:sz w:val="20"/>
                <w:szCs w:val="20"/>
              </w:rPr>
              <w:t>2.196.339.982</w:t>
            </w:r>
          </w:p>
        </w:tc>
        <w:tc>
          <w:tcPr>
            <w:tcW w:w="0" w:type="auto"/>
            <w:vMerge/>
            <w:vAlign w:val="center"/>
            <w:hideMark/>
          </w:tcPr>
          <w:p w14:paraId="6FAD017B" w14:textId="77777777" w:rsidR="009F783C" w:rsidRPr="009F783C" w:rsidRDefault="009F783C" w:rsidP="00AA4BBB">
            <w:pPr>
              <w:rPr>
                <w:rFonts w:cs="Arial"/>
                <w:b/>
                <w:bCs/>
                <w:sz w:val="20"/>
                <w:szCs w:val="20"/>
              </w:rPr>
            </w:pPr>
          </w:p>
        </w:tc>
      </w:tr>
      <w:tr w:rsidR="009F783C" w:rsidRPr="009F783C" w14:paraId="1F034C2B" w14:textId="77777777" w:rsidTr="00AA4BBB">
        <w:tc>
          <w:tcPr>
            <w:tcW w:w="9828" w:type="dxa"/>
            <w:gridSpan w:val="7"/>
            <w:shd w:val="clear" w:color="auto" w:fill="C00000"/>
            <w:tcMar>
              <w:top w:w="30" w:type="dxa"/>
              <w:left w:w="45" w:type="dxa"/>
              <w:bottom w:w="30" w:type="dxa"/>
              <w:right w:w="45" w:type="dxa"/>
            </w:tcMar>
            <w:vAlign w:val="center"/>
            <w:hideMark/>
          </w:tcPr>
          <w:p w14:paraId="47FF0F85" w14:textId="77777777" w:rsidR="009F783C" w:rsidRPr="009F783C" w:rsidRDefault="009F783C" w:rsidP="00AA4BBB">
            <w:pPr>
              <w:jc w:val="center"/>
              <w:rPr>
                <w:rFonts w:cs="Arial"/>
                <w:b/>
                <w:bCs/>
                <w:color w:val="FFFFFF" w:themeColor="background1"/>
                <w:sz w:val="20"/>
                <w:szCs w:val="20"/>
              </w:rPr>
            </w:pPr>
            <w:r w:rsidRPr="009F783C">
              <w:rPr>
                <w:rFonts w:cs="Arial"/>
                <w:b/>
                <w:bCs/>
                <w:color w:val="FFFFFF" w:themeColor="background1"/>
                <w:sz w:val="20"/>
                <w:szCs w:val="20"/>
              </w:rPr>
              <w:t>Gestión Pública</w:t>
            </w:r>
          </w:p>
        </w:tc>
      </w:tr>
      <w:tr w:rsidR="009F783C" w:rsidRPr="009F783C" w14:paraId="6F5BB53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C8DC1D8" w14:textId="77777777" w:rsidR="009F783C" w:rsidRPr="009F783C" w:rsidRDefault="009F783C" w:rsidP="00AA4BBB">
            <w:pPr>
              <w:rPr>
                <w:rFonts w:cs="Arial"/>
                <w:sz w:val="20"/>
                <w:szCs w:val="20"/>
              </w:rPr>
            </w:pPr>
            <w:r w:rsidRPr="009F783C">
              <w:rPr>
                <w:rFonts w:cs="Arial"/>
                <w:sz w:val="20"/>
                <w:szCs w:val="20"/>
              </w:rPr>
              <w:t>Implementar un (1) servicio de asistencia técnica integral para el mejoramiento de la gestión y el desempeño en la administración distrital orientado a la solución de los retos de ciudad</w:t>
            </w:r>
          </w:p>
        </w:tc>
        <w:tc>
          <w:tcPr>
            <w:tcW w:w="1492" w:type="dxa"/>
            <w:tcMar>
              <w:top w:w="30" w:type="dxa"/>
              <w:left w:w="45" w:type="dxa"/>
              <w:bottom w:w="30" w:type="dxa"/>
              <w:right w:w="45" w:type="dxa"/>
            </w:tcMar>
            <w:vAlign w:val="center"/>
            <w:hideMark/>
          </w:tcPr>
          <w:p w14:paraId="45526C76" w14:textId="77777777" w:rsidR="009F783C" w:rsidRPr="009F783C" w:rsidRDefault="009F783C" w:rsidP="00AA4BBB">
            <w:pPr>
              <w:jc w:val="center"/>
              <w:rPr>
                <w:rFonts w:cs="Arial"/>
                <w:sz w:val="20"/>
                <w:szCs w:val="20"/>
              </w:rPr>
            </w:pPr>
            <w:r w:rsidRPr="009F783C">
              <w:rPr>
                <w:rFonts w:cs="Arial"/>
                <w:sz w:val="20"/>
                <w:szCs w:val="20"/>
              </w:rPr>
              <w:t>30%</w:t>
            </w:r>
          </w:p>
        </w:tc>
        <w:tc>
          <w:tcPr>
            <w:tcW w:w="0" w:type="auto"/>
            <w:tcMar>
              <w:top w:w="30" w:type="dxa"/>
              <w:left w:w="45" w:type="dxa"/>
              <w:bottom w:w="30" w:type="dxa"/>
              <w:right w:w="45" w:type="dxa"/>
            </w:tcMar>
            <w:vAlign w:val="center"/>
            <w:hideMark/>
          </w:tcPr>
          <w:p w14:paraId="0617C16A" w14:textId="77777777" w:rsidR="009F783C" w:rsidRPr="009F783C" w:rsidRDefault="009F783C" w:rsidP="00AA4BBB">
            <w:pPr>
              <w:jc w:val="center"/>
              <w:rPr>
                <w:rFonts w:cs="Arial"/>
                <w:sz w:val="20"/>
                <w:szCs w:val="20"/>
              </w:rPr>
            </w:pPr>
            <w:r w:rsidRPr="009F783C">
              <w:rPr>
                <w:rFonts w:cs="Arial"/>
                <w:sz w:val="20"/>
                <w:szCs w:val="20"/>
              </w:rPr>
              <w:t>55%</w:t>
            </w:r>
          </w:p>
        </w:tc>
        <w:tc>
          <w:tcPr>
            <w:tcW w:w="0" w:type="auto"/>
            <w:tcMar>
              <w:top w:w="30" w:type="dxa"/>
              <w:left w:w="45" w:type="dxa"/>
              <w:bottom w:w="30" w:type="dxa"/>
              <w:right w:w="45" w:type="dxa"/>
            </w:tcMar>
            <w:vAlign w:val="center"/>
            <w:hideMark/>
          </w:tcPr>
          <w:p w14:paraId="5863AB1D" w14:textId="77777777" w:rsidR="009F783C" w:rsidRPr="009F783C" w:rsidRDefault="009F783C" w:rsidP="00AA4BBB">
            <w:pPr>
              <w:jc w:val="center"/>
              <w:rPr>
                <w:rFonts w:cs="Arial"/>
                <w:sz w:val="20"/>
                <w:szCs w:val="20"/>
              </w:rPr>
            </w:pPr>
            <w:r w:rsidRPr="009F783C">
              <w:rPr>
                <w:rFonts w:cs="Arial"/>
                <w:sz w:val="20"/>
                <w:szCs w:val="20"/>
              </w:rPr>
              <w:t>80%</w:t>
            </w:r>
          </w:p>
        </w:tc>
        <w:tc>
          <w:tcPr>
            <w:tcW w:w="0" w:type="auto"/>
            <w:tcMar>
              <w:top w:w="30" w:type="dxa"/>
              <w:left w:w="45" w:type="dxa"/>
              <w:bottom w:w="30" w:type="dxa"/>
              <w:right w:w="45" w:type="dxa"/>
            </w:tcMar>
            <w:vAlign w:val="center"/>
            <w:hideMark/>
          </w:tcPr>
          <w:p w14:paraId="02A86CCD"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1262B237" w14:textId="77777777" w:rsidR="009F783C" w:rsidRPr="009F783C" w:rsidRDefault="009F783C" w:rsidP="00AA4BBB">
            <w:pPr>
              <w:jc w:val="center"/>
              <w:rPr>
                <w:rFonts w:cs="Arial"/>
                <w:b/>
                <w:bCs/>
                <w:sz w:val="20"/>
                <w:szCs w:val="20"/>
              </w:rPr>
            </w:pPr>
            <w:r w:rsidRPr="009F783C">
              <w:rPr>
                <w:rFonts w:cs="Arial"/>
                <w:b/>
                <w:bCs/>
                <w:sz w:val="20"/>
                <w:szCs w:val="20"/>
              </w:rPr>
              <w:t>72.598.963.961</w:t>
            </w:r>
          </w:p>
        </w:tc>
      </w:tr>
      <w:tr w:rsidR="009F783C" w:rsidRPr="009F783C" w14:paraId="784618DF" w14:textId="77777777" w:rsidTr="00AA4BBB">
        <w:trPr>
          <w:gridAfter w:val="1"/>
          <w:wAfter w:w="6" w:type="dxa"/>
        </w:trPr>
        <w:tc>
          <w:tcPr>
            <w:tcW w:w="2402" w:type="dxa"/>
            <w:vMerge/>
            <w:vAlign w:val="center"/>
            <w:hideMark/>
          </w:tcPr>
          <w:p w14:paraId="2C4493B1"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5DE2BF7F" w14:textId="77777777" w:rsidR="009F783C" w:rsidRPr="009F783C" w:rsidRDefault="009F783C" w:rsidP="00AA4BBB">
            <w:pPr>
              <w:jc w:val="center"/>
              <w:rPr>
                <w:rFonts w:cs="Arial"/>
                <w:sz w:val="20"/>
                <w:szCs w:val="20"/>
              </w:rPr>
            </w:pPr>
            <w:r w:rsidRPr="009F783C">
              <w:rPr>
                <w:rFonts w:cs="Arial"/>
                <w:sz w:val="20"/>
                <w:szCs w:val="20"/>
              </w:rPr>
              <w:t>11.731.897.399</w:t>
            </w:r>
          </w:p>
        </w:tc>
        <w:tc>
          <w:tcPr>
            <w:tcW w:w="0" w:type="auto"/>
            <w:tcMar>
              <w:top w:w="30" w:type="dxa"/>
              <w:left w:w="45" w:type="dxa"/>
              <w:bottom w:w="30" w:type="dxa"/>
              <w:right w:w="45" w:type="dxa"/>
            </w:tcMar>
            <w:vAlign w:val="center"/>
            <w:hideMark/>
          </w:tcPr>
          <w:p w14:paraId="5ED94EF1" w14:textId="77777777" w:rsidR="009F783C" w:rsidRPr="009F783C" w:rsidRDefault="009F783C" w:rsidP="00AA4BBB">
            <w:pPr>
              <w:jc w:val="center"/>
              <w:rPr>
                <w:rFonts w:cs="Arial"/>
                <w:sz w:val="20"/>
                <w:szCs w:val="20"/>
              </w:rPr>
            </w:pPr>
            <w:r w:rsidRPr="009F783C">
              <w:rPr>
                <w:rFonts w:cs="Arial"/>
                <w:sz w:val="20"/>
                <w:szCs w:val="20"/>
              </w:rPr>
              <w:t>18.166.221.702</w:t>
            </w:r>
          </w:p>
        </w:tc>
        <w:tc>
          <w:tcPr>
            <w:tcW w:w="0" w:type="auto"/>
            <w:tcMar>
              <w:top w:w="30" w:type="dxa"/>
              <w:left w:w="45" w:type="dxa"/>
              <w:bottom w:w="30" w:type="dxa"/>
              <w:right w:w="45" w:type="dxa"/>
            </w:tcMar>
            <w:vAlign w:val="center"/>
            <w:hideMark/>
          </w:tcPr>
          <w:p w14:paraId="51B64B4B" w14:textId="77777777" w:rsidR="009F783C" w:rsidRPr="009F783C" w:rsidRDefault="009F783C" w:rsidP="00AA4BBB">
            <w:pPr>
              <w:jc w:val="center"/>
              <w:rPr>
                <w:rFonts w:cs="Arial"/>
                <w:sz w:val="20"/>
                <w:szCs w:val="20"/>
              </w:rPr>
            </w:pPr>
            <w:r w:rsidRPr="009F783C">
              <w:rPr>
                <w:rFonts w:cs="Arial"/>
                <w:sz w:val="20"/>
                <w:szCs w:val="20"/>
              </w:rPr>
              <w:t>17.097.362.768</w:t>
            </w:r>
          </w:p>
        </w:tc>
        <w:tc>
          <w:tcPr>
            <w:tcW w:w="0" w:type="auto"/>
            <w:tcMar>
              <w:top w:w="30" w:type="dxa"/>
              <w:left w:w="45" w:type="dxa"/>
              <w:bottom w:w="30" w:type="dxa"/>
              <w:right w:w="45" w:type="dxa"/>
            </w:tcMar>
            <w:vAlign w:val="center"/>
            <w:hideMark/>
          </w:tcPr>
          <w:p w14:paraId="59734A9F" w14:textId="77777777" w:rsidR="009F783C" w:rsidRPr="009F783C" w:rsidRDefault="009F783C" w:rsidP="00AA4BBB">
            <w:pPr>
              <w:jc w:val="center"/>
              <w:rPr>
                <w:rFonts w:cs="Arial"/>
                <w:sz w:val="20"/>
                <w:szCs w:val="20"/>
              </w:rPr>
            </w:pPr>
            <w:r w:rsidRPr="009F783C">
              <w:rPr>
                <w:rFonts w:cs="Arial"/>
                <w:sz w:val="20"/>
                <w:szCs w:val="20"/>
              </w:rPr>
              <w:t>25.603.482.092</w:t>
            </w:r>
          </w:p>
        </w:tc>
        <w:tc>
          <w:tcPr>
            <w:tcW w:w="0" w:type="auto"/>
            <w:vMerge/>
            <w:vAlign w:val="center"/>
            <w:hideMark/>
          </w:tcPr>
          <w:p w14:paraId="37028F74" w14:textId="77777777" w:rsidR="009F783C" w:rsidRPr="009F783C" w:rsidRDefault="009F783C" w:rsidP="00AA4BBB">
            <w:pPr>
              <w:rPr>
                <w:rFonts w:cs="Arial"/>
                <w:b/>
                <w:bCs/>
                <w:sz w:val="20"/>
                <w:szCs w:val="20"/>
              </w:rPr>
            </w:pPr>
          </w:p>
        </w:tc>
      </w:tr>
      <w:tr w:rsidR="009F783C" w:rsidRPr="009F783C" w14:paraId="76BFB946" w14:textId="77777777" w:rsidTr="00AA4BBB">
        <w:tc>
          <w:tcPr>
            <w:tcW w:w="9828" w:type="dxa"/>
            <w:gridSpan w:val="7"/>
            <w:shd w:val="clear" w:color="auto" w:fill="C00000"/>
            <w:tcMar>
              <w:top w:w="30" w:type="dxa"/>
              <w:left w:w="45" w:type="dxa"/>
              <w:bottom w:w="30" w:type="dxa"/>
              <w:right w:w="45" w:type="dxa"/>
            </w:tcMar>
            <w:vAlign w:val="center"/>
            <w:hideMark/>
          </w:tcPr>
          <w:p w14:paraId="34352B02"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Gobierno</w:t>
            </w:r>
          </w:p>
        </w:tc>
      </w:tr>
      <w:tr w:rsidR="009F783C" w:rsidRPr="009F783C" w14:paraId="302E297D" w14:textId="77777777" w:rsidTr="00AA4BBB">
        <w:trPr>
          <w:gridAfter w:val="1"/>
          <w:wAfter w:w="6" w:type="dxa"/>
        </w:trPr>
        <w:tc>
          <w:tcPr>
            <w:tcW w:w="2402" w:type="dxa"/>
            <w:vMerge w:val="restart"/>
            <w:tcMar>
              <w:top w:w="30" w:type="dxa"/>
              <w:left w:w="45" w:type="dxa"/>
              <w:bottom w:w="30" w:type="dxa"/>
              <w:right w:w="45" w:type="dxa"/>
            </w:tcMar>
            <w:vAlign w:val="center"/>
            <w:hideMark/>
          </w:tcPr>
          <w:p w14:paraId="3433B28F" w14:textId="77777777" w:rsidR="009F783C" w:rsidRPr="009F783C" w:rsidRDefault="009F783C" w:rsidP="00AA4BBB">
            <w:pPr>
              <w:rPr>
                <w:rFonts w:cs="Arial"/>
                <w:sz w:val="20"/>
                <w:szCs w:val="20"/>
              </w:rPr>
            </w:pPr>
            <w:r w:rsidRPr="009F783C">
              <w:rPr>
                <w:rFonts w:cs="Arial"/>
                <w:sz w:val="20"/>
                <w:szCs w:val="20"/>
              </w:rPr>
              <w:t>Constituir (3) componentes de fortalecimiento institucional para las Alcaldías Locales y su gestión del desarrollo local desde un enfoque de interseccionalidad</w:t>
            </w:r>
          </w:p>
        </w:tc>
        <w:tc>
          <w:tcPr>
            <w:tcW w:w="1492" w:type="dxa"/>
            <w:tcMar>
              <w:top w:w="30" w:type="dxa"/>
              <w:left w:w="45" w:type="dxa"/>
              <w:bottom w:w="30" w:type="dxa"/>
              <w:right w:w="45" w:type="dxa"/>
            </w:tcMar>
            <w:vAlign w:val="center"/>
            <w:hideMark/>
          </w:tcPr>
          <w:p w14:paraId="3E55E2CE" w14:textId="77777777" w:rsidR="009F783C" w:rsidRPr="009F783C" w:rsidRDefault="009F783C" w:rsidP="00AA4BBB">
            <w:pPr>
              <w:jc w:val="center"/>
              <w:rPr>
                <w:rFonts w:cs="Arial"/>
                <w:sz w:val="20"/>
                <w:szCs w:val="20"/>
              </w:rPr>
            </w:pPr>
            <w:r w:rsidRPr="009F783C">
              <w:rPr>
                <w:rFonts w:cs="Arial"/>
                <w:sz w:val="20"/>
                <w:szCs w:val="20"/>
              </w:rPr>
              <w:t>10%</w:t>
            </w:r>
          </w:p>
        </w:tc>
        <w:tc>
          <w:tcPr>
            <w:tcW w:w="0" w:type="auto"/>
            <w:tcMar>
              <w:top w:w="30" w:type="dxa"/>
              <w:left w:w="45" w:type="dxa"/>
              <w:bottom w:w="30" w:type="dxa"/>
              <w:right w:w="45" w:type="dxa"/>
            </w:tcMar>
            <w:vAlign w:val="center"/>
            <w:hideMark/>
          </w:tcPr>
          <w:p w14:paraId="7FEABDEB" w14:textId="77777777" w:rsidR="009F783C" w:rsidRPr="009F783C" w:rsidRDefault="009F783C" w:rsidP="00AA4BBB">
            <w:pPr>
              <w:jc w:val="center"/>
              <w:rPr>
                <w:rFonts w:cs="Arial"/>
                <w:sz w:val="20"/>
                <w:szCs w:val="20"/>
              </w:rPr>
            </w:pPr>
            <w:r w:rsidRPr="009F783C">
              <w:rPr>
                <w:rFonts w:cs="Arial"/>
                <w:sz w:val="20"/>
                <w:szCs w:val="20"/>
              </w:rPr>
              <w:t>30%</w:t>
            </w:r>
          </w:p>
        </w:tc>
        <w:tc>
          <w:tcPr>
            <w:tcW w:w="0" w:type="auto"/>
            <w:tcMar>
              <w:top w:w="30" w:type="dxa"/>
              <w:left w:w="45" w:type="dxa"/>
              <w:bottom w:w="30" w:type="dxa"/>
              <w:right w:w="45" w:type="dxa"/>
            </w:tcMar>
            <w:vAlign w:val="center"/>
            <w:hideMark/>
          </w:tcPr>
          <w:p w14:paraId="6B84CC57" w14:textId="77777777" w:rsidR="009F783C" w:rsidRPr="009F783C" w:rsidRDefault="009F783C" w:rsidP="00AA4BBB">
            <w:pPr>
              <w:jc w:val="center"/>
              <w:rPr>
                <w:rFonts w:cs="Arial"/>
                <w:sz w:val="20"/>
                <w:szCs w:val="20"/>
              </w:rPr>
            </w:pPr>
            <w:r w:rsidRPr="009F783C">
              <w:rPr>
                <w:rFonts w:cs="Arial"/>
                <w:sz w:val="20"/>
                <w:szCs w:val="20"/>
              </w:rPr>
              <w:t>60%</w:t>
            </w:r>
          </w:p>
        </w:tc>
        <w:tc>
          <w:tcPr>
            <w:tcW w:w="0" w:type="auto"/>
            <w:tcMar>
              <w:top w:w="30" w:type="dxa"/>
              <w:left w:w="45" w:type="dxa"/>
              <w:bottom w:w="30" w:type="dxa"/>
              <w:right w:w="45" w:type="dxa"/>
            </w:tcMar>
            <w:vAlign w:val="center"/>
            <w:hideMark/>
          </w:tcPr>
          <w:p w14:paraId="60A01C11"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796198C1" w14:textId="77777777" w:rsidR="009F783C" w:rsidRPr="009F783C" w:rsidRDefault="009F783C" w:rsidP="00AA4BBB">
            <w:pPr>
              <w:jc w:val="center"/>
              <w:rPr>
                <w:rFonts w:cs="Arial"/>
                <w:b/>
                <w:bCs/>
                <w:sz w:val="20"/>
                <w:szCs w:val="20"/>
              </w:rPr>
            </w:pPr>
            <w:r w:rsidRPr="009F783C">
              <w:rPr>
                <w:rFonts w:cs="Arial"/>
                <w:b/>
                <w:bCs/>
                <w:sz w:val="20"/>
                <w:szCs w:val="20"/>
              </w:rPr>
              <w:t>24.614.355.955</w:t>
            </w:r>
          </w:p>
        </w:tc>
      </w:tr>
      <w:tr w:rsidR="009F783C" w:rsidRPr="009F783C" w14:paraId="5176456A" w14:textId="77777777" w:rsidTr="00AA4BBB">
        <w:trPr>
          <w:gridAfter w:val="1"/>
          <w:wAfter w:w="6" w:type="dxa"/>
        </w:trPr>
        <w:tc>
          <w:tcPr>
            <w:tcW w:w="2402" w:type="dxa"/>
            <w:vMerge/>
            <w:vAlign w:val="center"/>
            <w:hideMark/>
          </w:tcPr>
          <w:p w14:paraId="75FA602C"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214867EE" w14:textId="77777777" w:rsidR="009F783C" w:rsidRPr="009F783C" w:rsidRDefault="009F783C" w:rsidP="00AA4BBB">
            <w:pPr>
              <w:jc w:val="center"/>
              <w:rPr>
                <w:rFonts w:cs="Arial"/>
                <w:sz w:val="20"/>
                <w:szCs w:val="20"/>
              </w:rPr>
            </w:pPr>
            <w:r w:rsidRPr="009F783C">
              <w:rPr>
                <w:rFonts w:cs="Arial"/>
                <w:sz w:val="20"/>
                <w:szCs w:val="20"/>
              </w:rPr>
              <w:t>1.920.000.000</w:t>
            </w:r>
          </w:p>
        </w:tc>
        <w:tc>
          <w:tcPr>
            <w:tcW w:w="0" w:type="auto"/>
            <w:tcMar>
              <w:top w:w="30" w:type="dxa"/>
              <w:left w:w="45" w:type="dxa"/>
              <w:bottom w:w="30" w:type="dxa"/>
              <w:right w:w="45" w:type="dxa"/>
            </w:tcMar>
            <w:vAlign w:val="center"/>
            <w:hideMark/>
          </w:tcPr>
          <w:p w14:paraId="71C7D752" w14:textId="77777777" w:rsidR="009F783C" w:rsidRPr="009F783C" w:rsidRDefault="009F783C" w:rsidP="00AA4BBB">
            <w:pPr>
              <w:jc w:val="center"/>
              <w:rPr>
                <w:rFonts w:cs="Arial"/>
                <w:sz w:val="20"/>
                <w:szCs w:val="20"/>
              </w:rPr>
            </w:pPr>
            <w:r w:rsidRPr="009F783C">
              <w:rPr>
                <w:rFonts w:cs="Arial"/>
                <w:sz w:val="20"/>
                <w:szCs w:val="20"/>
              </w:rPr>
              <w:t>8.830.097.087</w:t>
            </w:r>
          </w:p>
        </w:tc>
        <w:tc>
          <w:tcPr>
            <w:tcW w:w="0" w:type="auto"/>
            <w:tcMar>
              <w:top w:w="30" w:type="dxa"/>
              <w:left w:w="45" w:type="dxa"/>
              <w:bottom w:w="30" w:type="dxa"/>
              <w:right w:w="45" w:type="dxa"/>
            </w:tcMar>
            <w:vAlign w:val="center"/>
            <w:hideMark/>
          </w:tcPr>
          <w:p w14:paraId="1A9C5808" w14:textId="77777777" w:rsidR="009F783C" w:rsidRPr="009F783C" w:rsidRDefault="009F783C" w:rsidP="00AA4BBB">
            <w:pPr>
              <w:jc w:val="center"/>
              <w:rPr>
                <w:rFonts w:cs="Arial"/>
                <w:sz w:val="20"/>
                <w:szCs w:val="20"/>
              </w:rPr>
            </w:pPr>
            <w:r w:rsidRPr="009F783C">
              <w:rPr>
                <w:rFonts w:cs="Arial"/>
                <w:sz w:val="20"/>
                <w:szCs w:val="20"/>
              </w:rPr>
              <w:t>5.179.564.521</w:t>
            </w:r>
          </w:p>
        </w:tc>
        <w:tc>
          <w:tcPr>
            <w:tcW w:w="0" w:type="auto"/>
            <w:tcMar>
              <w:top w:w="30" w:type="dxa"/>
              <w:left w:w="45" w:type="dxa"/>
              <w:bottom w:w="30" w:type="dxa"/>
              <w:right w:w="45" w:type="dxa"/>
            </w:tcMar>
            <w:vAlign w:val="center"/>
            <w:hideMark/>
          </w:tcPr>
          <w:p w14:paraId="7AE9EC77" w14:textId="77777777" w:rsidR="009F783C" w:rsidRPr="009F783C" w:rsidRDefault="009F783C" w:rsidP="00AA4BBB">
            <w:pPr>
              <w:jc w:val="center"/>
              <w:rPr>
                <w:rFonts w:cs="Arial"/>
                <w:sz w:val="20"/>
                <w:szCs w:val="20"/>
              </w:rPr>
            </w:pPr>
            <w:r w:rsidRPr="009F783C">
              <w:rPr>
                <w:rFonts w:cs="Arial"/>
                <w:sz w:val="20"/>
                <w:szCs w:val="20"/>
              </w:rPr>
              <w:t>8.684.694.347</w:t>
            </w:r>
          </w:p>
        </w:tc>
        <w:tc>
          <w:tcPr>
            <w:tcW w:w="0" w:type="auto"/>
            <w:vMerge/>
            <w:vAlign w:val="center"/>
            <w:hideMark/>
          </w:tcPr>
          <w:p w14:paraId="7B218EF5" w14:textId="77777777" w:rsidR="009F783C" w:rsidRPr="009F783C" w:rsidRDefault="009F783C" w:rsidP="00AA4BBB">
            <w:pPr>
              <w:rPr>
                <w:rFonts w:cs="Arial"/>
                <w:b/>
                <w:bCs/>
                <w:sz w:val="20"/>
                <w:szCs w:val="20"/>
              </w:rPr>
            </w:pPr>
          </w:p>
        </w:tc>
      </w:tr>
      <w:tr w:rsidR="009F783C" w:rsidRPr="009F783C" w14:paraId="21FAAE1C" w14:textId="77777777" w:rsidTr="00AA4BBB">
        <w:trPr>
          <w:gridAfter w:val="1"/>
          <w:wAfter w:w="6" w:type="dxa"/>
        </w:trPr>
        <w:tc>
          <w:tcPr>
            <w:tcW w:w="2402" w:type="dxa"/>
            <w:vMerge w:val="restart"/>
            <w:tcMar>
              <w:top w:w="30" w:type="dxa"/>
              <w:left w:w="45" w:type="dxa"/>
              <w:bottom w:w="30" w:type="dxa"/>
              <w:right w:w="45" w:type="dxa"/>
            </w:tcMar>
            <w:vAlign w:val="center"/>
            <w:hideMark/>
          </w:tcPr>
          <w:p w14:paraId="4151C973" w14:textId="77777777" w:rsidR="009F783C" w:rsidRPr="009F783C" w:rsidRDefault="009F783C" w:rsidP="00AA4BBB">
            <w:pPr>
              <w:rPr>
                <w:rFonts w:cs="Arial"/>
                <w:sz w:val="20"/>
                <w:szCs w:val="20"/>
              </w:rPr>
            </w:pPr>
            <w:r w:rsidRPr="009F783C">
              <w:rPr>
                <w:rFonts w:cs="Arial"/>
                <w:sz w:val="20"/>
                <w:szCs w:val="20"/>
              </w:rPr>
              <w:t>Implementar 1 estrategia para fortalecimiento de la gestión institucional y operativa</w:t>
            </w:r>
          </w:p>
        </w:tc>
        <w:tc>
          <w:tcPr>
            <w:tcW w:w="1492" w:type="dxa"/>
            <w:tcMar>
              <w:top w:w="30" w:type="dxa"/>
              <w:left w:w="45" w:type="dxa"/>
              <w:bottom w:w="30" w:type="dxa"/>
              <w:right w:w="45" w:type="dxa"/>
            </w:tcMar>
            <w:vAlign w:val="center"/>
            <w:hideMark/>
          </w:tcPr>
          <w:p w14:paraId="79AA27BA"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tcMar>
              <w:top w:w="30" w:type="dxa"/>
              <w:left w:w="45" w:type="dxa"/>
              <w:bottom w:w="30" w:type="dxa"/>
              <w:right w:w="45" w:type="dxa"/>
            </w:tcMar>
            <w:vAlign w:val="center"/>
            <w:hideMark/>
          </w:tcPr>
          <w:p w14:paraId="0FC2FA71"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tcMar>
              <w:top w:w="30" w:type="dxa"/>
              <w:left w:w="45" w:type="dxa"/>
              <w:bottom w:w="30" w:type="dxa"/>
              <w:right w:w="45" w:type="dxa"/>
            </w:tcMar>
            <w:vAlign w:val="center"/>
            <w:hideMark/>
          </w:tcPr>
          <w:p w14:paraId="460E7BDF"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tcMar>
              <w:top w:w="30" w:type="dxa"/>
              <w:left w:w="45" w:type="dxa"/>
              <w:bottom w:w="30" w:type="dxa"/>
              <w:right w:w="45" w:type="dxa"/>
            </w:tcMar>
            <w:vAlign w:val="center"/>
            <w:hideMark/>
          </w:tcPr>
          <w:p w14:paraId="34B2E40B"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vMerge w:val="restart"/>
            <w:tcMar>
              <w:top w:w="30" w:type="dxa"/>
              <w:left w:w="45" w:type="dxa"/>
              <w:bottom w:w="30" w:type="dxa"/>
              <w:right w:w="45" w:type="dxa"/>
            </w:tcMar>
            <w:vAlign w:val="center"/>
            <w:hideMark/>
          </w:tcPr>
          <w:p w14:paraId="4DE33F28" w14:textId="77777777" w:rsidR="009F783C" w:rsidRPr="009F783C" w:rsidRDefault="009F783C" w:rsidP="00AA4BBB">
            <w:pPr>
              <w:jc w:val="center"/>
              <w:rPr>
                <w:rFonts w:cs="Arial"/>
                <w:b/>
                <w:bCs/>
                <w:sz w:val="20"/>
                <w:szCs w:val="20"/>
              </w:rPr>
            </w:pPr>
            <w:r w:rsidRPr="009F783C">
              <w:rPr>
                <w:rFonts w:cs="Arial"/>
                <w:b/>
                <w:bCs/>
                <w:sz w:val="20"/>
                <w:szCs w:val="20"/>
              </w:rPr>
              <w:t>130.578.678.587</w:t>
            </w:r>
          </w:p>
        </w:tc>
      </w:tr>
      <w:tr w:rsidR="009F783C" w:rsidRPr="009F783C" w14:paraId="608A2197" w14:textId="77777777" w:rsidTr="00AA4BBB">
        <w:trPr>
          <w:gridAfter w:val="1"/>
          <w:wAfter w:w="6" w:type="dxa"/>
        </w:trPr>
        <w:tc>
          <w:tcPr>
            <w:tcW w:w="2402" w:type="dxa"/>
            <w:vMerge/>
            <w:vAlign w:val="center"/>
            <w:hideMark/>
          </w:tcPr>
          <w:p w14:paraId="28F63413"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083896D2" w14:textId="77777777" w:rsidR="009F783C" w:rsidRPr="009F783C" w:rsidRDefault="009F783C" w:rsidP="00AA4BBB">
            <w:pPr>
              <w:jc w:val="center"/>
              <w:rPr>
                <w:rFonts w:cs="Arial"/>
                <w:sz w:val="20"/>
                <w:szCs w:val="20"/>
              </w:rPr>
            </w:pPr>
            <w:r w:rsidRPr="009F783C">
              <w:rPr>
                <w:rFonts w:cs="Arial"/>
                <w:sz w:val="20"/>
                <w:szCs w:val="20"/>
              </w:rPr>
              <w:t>21.609.979.931</w:t>
            </w:r>
          </w:p>
        </w:tc>
        <w:tc>
          <w:tcPr>
            <w:tcW w:w="0" w:type="auto"/>
            <w:tcMar>
              <w:top w:w="30" w:type="dxa"/>
              <w:left w:w="45" w:type="dxa"/>
              <w:bottom w:w="30" w:type="dxa"/>
              <w:right w:w="45" w:type="dxa"/>
            </w:tcMar>
            <w:vAlign w:val="center"/>
            <w:hideMark/>
          </w:tcPr>
          <w:p w14:paraId="7DFEA890" w14:textId="77777777" w:rsidR="009F783C" w:rsidRPr="009F783C" w:rsidRDefault="009F783C" w:rsidP="00AA4BBB">
            <w:pPr>
              <w:jc w:val="center"/>
              <w:rPr>
                <w:rFonts w:cs="Arial"/>
                <w:sz w:val="20"/>
                <w:szCs w:val="20"/>
              </w:rPr>
            </w:pPr>
            <w:r w:rsidRPr="009F783C">
              <w:rPr>
                <w:rFonts w:cs="Arial"/>
                <w:sz w:val="20"/>
                <w:szCs w:val="20"/>
              </w:rPr>
              <w:t>39.592.865.796</w:t>
            </w:r>
          </w:p>
        </w:tc>
        <w:tc>
          <w:tcPr>
            <w:tcW w:w="0" w:type="auto"/>
            <w:tcMar>
              <w:top w:w="30" w:type="dxa"/>
              <w:left w:w="45" w:type="dxa"/>
              <w:bottom w:w="30" w:type="dxa"/>
              <w:right w:w="45" w:type="dxa"/>
            </w:tcMar>
            <w:vAlign w:val="center"/>
            <w:hideMark/>
          </w:tcPr>
          <w:p w14:paraId="2D9597F2" w14:textId="77777777" w:rsidR="009F783C" w:rsidRPr="009F783C" w:rsidRDefault="009F783C" w:rsidP="00AA4BBB">
            <w:pPr>
              <w:jc w:val="center"/>
              <w:rPr>
                <w:rFonts w:cs="Arial"/>
                <w:sz w:val="20"/>
                <w:szCs w:val="20"/>
              </w:rPr>
            </w:pPr>
            <w:r w:rsidRPr="009F783C">
              <w:rPr>
                <w:rFonts w:cs="Arial"/>
                <w:sz w:val="20"/>
                <w:szCs w:val="20"/>
              </w:rPr>
              <w:t>40.562.864.100</w:t>
            </w:r>
          </w:p>
        </w:tc>
        <w:tc>
          <w:tcPr>
            <w:tcW w:w="0" w:type="auto"/>
            <w:tcMar>
              <w:top w:w="30" w:type="dxa"/>
              <w:left w:w="45" w:type="dxa"/>
              <w:bottom w:w="30" w:type="dxa"/>
              <w:right w:w="45" w:type="dxa"/>
            </w:tcMar>
            <w:vAlign w:val="center"/>
            <w:hideMark/>
          </w:tcPr>
          <w:p w14:paraId="5EF2EDAA" w14:textId="77777777" w:rsidR="009F783C" w:rsidRPr="009F783C" w:rsidRDefault="009F783C" w:rsidP="00AA4BBB">
            <w:pPr>
              <w:jc w:val="center"/>
              <w:rPr>
                <w:rFonts w:cs="Arial"/>
                <w:sz w:val="20"/>
                <w:szCs w:val="20"/>
              </w:rPr>
            </w:pPr>
            <w:r w:rsidRPr="009F783C">
              <w:rPr>
                <w:rFonts w:cs="Arial"/>
                <w:sz w:val="20"/>
                <w:szCs w:val="20"/>
              </w:rPr>
              <w:t>28.812.968.760</w:t>
            </w:r>
          </w:p>
        </w:tc>
        <w:tc>
          <w:tcPr>
            <w:tcW w:w="0" w:type="auto"/>
            <w:vMerge/>
            <w:vAlign w:val="center"/>
            <w:hideMark/>
          </w:tcPr>
          <w:p w14:paraId="289468ED" w14:textId="77777777" w:rsidR="009F783C" w:rsidRPr="009F783C" w:rsidRDefault="009F783C" w:rsidP="00AA4BBB">
            <w:pPr>
              <w:rPr>
                <w:rFonts w:cs="Arial"/>
                <w:b/>
                <w:bCs/>
                <w:sz w:val="20"/>
                <w:szCs w:val="20"/>
              </w:rPr>
            </w:pPr>
          </w:p>
        </w:tc>
      </w:tr>
      <w:tr w:rsidR="009F783C" w:rsidRPr="009F783C" w14:paraId="226A88A8" w14:textId="77777777" w:rsidTr="00AA4BBB">
        <w:tc>
          <w:tcPr>
            <w:tcW w:w="9828" w:type="dxa"/>
            <w:gridSpan w:val="7"/>
            <w:shd w:val="clear" w:color="auto" w:fill="C00000"/>
            <w:tcMar>
              <w:top w:w="30" w:type="dxa"/>
              <w:left w:w="45" w:type="dxa"/>
              <w:bottom w:w="30" w:type="dxa"/>
              <w:right w:w="45" w:type="dxa"/>
            </w:tcMar>
            <w:vAlign w:val="center"/>
            <w:hideMark/>
          </w:tcPr>
          <w:p w14:paraId="2E37815D"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Hábitat</w:t>
            </w:r>
          </w:p>
        </w:tc>
      </w:tr>
      <w:tr w:rsidR="009F783C" w:rsidRPr="009F783C" w14:paraId="47B056F5" w14:textId="77777777" w:rsidTr="00AA4BBB">
        <w:trPr>
          <w:gridAfter w:val="1"/>
          <w:wAfter w:w="6" w:type="dxa"/>
        </w:trPr>
        <w:tc>
          <w:tcPr>
            <w:tcW w:w="2402" w:type="dxa"/>
            <w:vMerge w:val="restart"/>
            <w:tcMar>
              <w:top w:w="30" w:type="dxa"/>
              <w:left w:w="45" w:type="dxa"/>
              <w:bottom w:w="30" w:type="dxa"/>
              <w:right w:w="45" w:type="dxa"/>
            </w:tcMar>
            <w:vAlign w:val="center"/>
            <w:hideMark/>
          </w:tcPr>
          <w:p w14:paraId="6C094D86" w14:textId="77777777" w:rsidR="009F783C" w:rsidRPr="009F783C" w:rsidRDefault="009F783C" w:rsidP="00AA4BBB">
            <w:pPr>
              <w:rPr>
                <w:rFonts w:cs="Arial"/>
                <w:sz w:val="20"/>
                <w:szCs w:val="20"/>
              </w:rPr>
            </w:pPr>
            <w:r w:rsidRPr="009F783C">
              <w:rPr>
                <w:rFonts w:cs="Arial"/>
                <w:sz w:val="20"/>
                <w:szCs w:val="20"/>
              </w:rPr>
              <w:t>Fortalecer el 100% de la capacidad de gestión de las entidades del Sector Hábitat que promueva la innovación gubernamental la eficiencia administrativa y operativa como generadores de confianza ciudadana (Secretaría de Hábitat CVP Renobo UAESP)</w:t>
            </w:r>
          </w:p>
        </w:tc>
        <w:tc>
          <w:tcPr>
            <w:tcW w:w="1492" w:type="dxa"/>
            <w:tcMar>
              <w:top w:w="30" w:type="dxa"/>
              <w:left w:w="45" w:type="dxa"/>
              <w:bottom w:w="30" w:type="dxa"/>
              <w:right w:w="45" w:type="dxa"/>
            </w:tcMar>
            <w:vAlign w:val="center"/>
            <w:hideMark/>
          </w:tcPr>
          <w:p w14:paraId="3BF00C3C"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03122BB3"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6B231398"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3BB39672"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739F774A" w14:textId="77777777" w:rsidR="009F783C" w:rsidRPr="009F783C" w:rsidRDefault="009F783C" w:rsidP="00AA4BBB">
            <w:pPr>
              <w:jc w:val="center"/>
              <w:rPr>
                <w:rFonts w:cs="Arial"/>
                <w:b/>
                <w:bCs/>
                <w:sz w:val="20"/>
                <w:szCs w:val="20"/>
              </w:rPr>
            </w:pPr>
            <w:r w:rsidRPr="009F783C">
              <w:rPr>
                <w:rFonts w:cs="Arial"/>
                <w:b/>
                <w:bCs/>
                <w:sz w:val="20"/>
                <w:szCs w:val="20"/>
              </w:rPr>
              <w:t>228.456.702.749</w:t>
            </w:r>
          </w:p>
        </w:tc>
      </w:tr>
      <w:tr w:rsidR="009F783C" w:rsidRPr="009F783C" w14:paraId="4B7563DD" w14:textId="77777777" w:rsidTr="00AA4BBB">
        <w:trPr>
          <w:gridAfter w:val="1"/>
          <w:wAfter w:w="6" w:type="dxa"/>
        </w:trPr>
        <w:tc>
          <w:tcPr>
            <w:tcW w:w="2402" w:type="dxa"/>
            <w:vMerge/>
            <w:vAlign w:val="center"/>
            <w:hideMark/>
          </w:tcPr>
          <w:p w14:paraId="5304BF42"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782A210A" w14:textId="77777777" w:rsidR="009F783C" w:rsidRPr="009F783C" w:rsidRDefault="009F783C" w:rsidP="00AA4BBB">
            <w:pPr>
              <w:jc w:val="center"/>
              <w:rPr>
                <w:rFonts w:cs="Arial"/>
                <w:sz w:val="20"/>
                <w:szCs w:val="20"/>
              </w:rPr>
            </w:pPr>
            <w:r w:rsidRPr="009F783C">
              <w:rPr>
                <w:rFonts w:cs="Arial"/>
                <w:sz w:val="20"/>
                <w:szCs w:val="20"/>
              </w:rPr>
              <w:t>68.464.239.651</w:t>
            </w:r>
          </w:p>
        </w:tc>
        <w:tc>
          <w:tcPr>
            <w:tcW w:w="0" w:type="auto"/>
            <w:tcMar>
              <w:top w:w="30" w:type="dxa"/>
              <w:left w:w="45" w:type="dxa"/>
              <w:bottom w:w="30" w:type="dxa"/>
              <w:right w:w="45" w:type="dxa"/>
            </w:tcMar>
            <w:vAlign w:val="center"/>
            <w:hideMark/>
          </w:tcPr>
          <w:p w14:paraId="03426337" w14:textId="77777777" w:rsidR="009F783C" w:rsidRPr="009F783C" w:rsidRDefault="009F783C" w:rsidP="00AA4BBB">
            <w:pPr>
              <w:jc w:val="center"/>
              <w:rPr>
                <w:rFonts w:cs="Arial"/>
                <w:sz w:val="20"/>
                <w:szCs w:val="20"/>
              </w:rPr>
            </w:pPr>
            <w:r w:rsidRPr="009F783C">
              <w:rPr>
                <w:rFonts w:cs="Arial"/>
                <w:sz w:val="20"/>
                <w:szCs w:val="20"/>
              </w:rPr>
              <w:t>58.117.027.184</w:t>
            </w:r>
          </w:p>
        </w:tc>
        <w:tc>
          <w:tcPr>
            <w:tcW w:w="0" w:type="auto"/>
            <w:tcMar>
              <w:top w:w="30" w:type="dxa"/>
              <w:left w:w="45" w:type="dxa"/>
              <w:bottom w:w="30" w:type="dxa"/>
              <w:right w:w="45" w:type="dxa"/>
            </w:tcMar>
            <w:vAlign w:val="center"/>
            <w:hideMark/>
          </w:tcPr>
          <w:p w14:paraId="24E4DBB8" w14:textId="77777777" w:rsidR="009F783C" w:rsidRPr="009F783C" w:rsidRDefault="009F783C" w:rsidP="00AA4BBB">
            <w:pPr>
              <w:jc w:val="center"/>
              <w:rPr>
                <w:rFonts w:cs="Arial"/>
                <w:sz w:val="20"/>
                <w:szCs w:val="20"/>
              </w:rPr>
            </w:pPr>
            <w:r w:rsidRPr="009F783C">
              <w:rPr>
                <w:rFonts w:cs="Arial"/>
                <w:sz w:val="20"/>
                <w:szCs w:val="20"/>
              </w:rPr>
              <w:t>50.060.370.440</w:t>
            </w:r>
          </w:p>
        </w:tc>
        <w:tc>
          <w:tcPr>
            <w:tcW w:w="0" w:type="auto"/>
            <w:tcMar>
              <w:top w:w="30" w:type="dxa"/>
              <w:left w:w="45" w:type="dxa"/>
              <w:bottom w:w="30" w:type="dxa"/>
              <w:right w:w="45" w:type="dxa"/>
            </w:tcMar>
            <w:vAlign w:val="center"/>
            <w:hideMark/>
          </w:tcPr>
          <w:p w14:paraId="7ACDF829" w14:textId="77777777" w:rsidR="009F783C" w:rsidRPr="009F783C" w:rsidRDefault="009F783C" w:rsidP="00AA4BBB">
            <w:pPr>
              <w:jc w:val="center"/>
              <w:rPr>
                <w:rFonts w:cs="Arial"/>
                <w:sz w:val="20"/>
                <w:szCs w:val="20"/>
              </w:rPr>
            </w:pPr>
            <w:r w:rsidRPr="009F783C">
              <w:rPr>
                <w:rFonts w:cs="Arial"/>
                <w:sz w:val="20"/>
                <w:szCs w:val="20"/>
              </w:rPr>
              <w:t>51.815.065.474</w:t>
            </w:r>
          </w:p>
        </w:tc>
        <w:tc>
          <w:tcPr>
            <w:tcW w:w="0" w:type="auto"/>
            <w:vMerge/>
            <w:vAlign w:val="center"/>
            <w:hideMark/>
          </w:tcPr>
          <w:p w14:paraId="4AB63754" w14:textId="77777777" w:rsidR="009F783C" w:rsidRPr="009F783C" w:rsidRDefault="009F783C" w:rsidP="00AA4BBB">
            <w:pPr>
              <w:rPr>
                <w:rFonts w:cs="Arial"/>
                <w:b/>
                <w:bCs/>
                <w:sz w:val="20"/>
                <w:szCs w:val="20"/>
              </w:rPr>
            </w:pPr>
          </w:p>
        </w:tc>
      </w:tr>
      <w:tr w:rsidR="009F783C" w:rsidRPr="009F783C" w14:paraId="3D6D6A13" w14:textId="77777777" w:rsidTr="00AA4BBB">
        <w:trPr>
          <w:gridAfter w:val="1"/>
          <w:wAfter w:w="6" w:type="dxa"/>
        </w:trPr>
        <w:tc>
          <w:tcPr>
            <w:tcW w:w="2402" w:type="dxa"/>
            <w:vMerge w:val="restart"/>
            <w:tcMar>
              <w:top w:w="30" w:type="dxa"/>
              <w:left w:w="45" w:type="dxa"/>
              <w:bottom w:w="30" w:type="dxa"/>
              <w:right w:w="45" w:type="dxa"/>
            </w:tcMar>
            <w:vAlign w:val="center"/>
            <w:hideMark/>
          </w:tcPr>
          <w:p w14:paraId="7184E0A9" w14:textId="77777777" w:rsidR="009F783C" w:rsidRPr="009F783C" w:rsidRDefault="009F783C" w:rsidP="00AA4BBB">
            <w:pPr>
              <w:rPr>
                <w:rFonts w:cs="Arial"/>
                <w:sz w:val="20"/>
                <w:szCs w:val="20"/>
              </w:rPr>
            </w:pPr>
            <w:r w:rsidRPr="009F783C">
              <w:rPr>
                <w:rFonts w:cs="Arial"/>
                <w:sz w:val="20"/>
                <w:szCs w:val="20"/>
              </w:rPr>
              <w:t>Implementar el 100% la estrategia de fortalecimiento de capacidades de gestión de la EAAB que promueva la innovación organizacional la eficiencia administrativa y operativa como generadora de confianza ciudadana.</w:t>
            </w:r>
          </w:p>
        </w:tc>
        <w:tc>
          <w:tcPr>
            <w:tcW w:w="1492" w:type="dxa"/>
            <w:tcMar>
              <w:top w:w="30" w:type="dxa"/>
              <w:left w:w="45" w:type="dxa"/>
              <w:bottom w:w="30" w:type="dxa"/>
              <w:right w:w="45" w:type="dxa"/>
            </w:tcMar>
            <w:vAlign w:val="center"/>
            <w:hideMark/>
          </w:tcPr>
          <w:p w14:paraId="11ABA943"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tcMar>
              <w:top w:w="30" w:type="dxa"/>
              <w:left w:w="45" w:type="dxa"/>
              <w:bottom w:w="30" w:type="dxa"/>
              <w:right w:w="45" w:type="dxa"/>
            </w:tcMar>
            <w:vAlign w:val="center"/>
            <w:hideMark/>
          </w:tcPr>
          <w:p w14:paraId="0189182E"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tcMar>
              <w:top w:w="30" w:type="dxa"/>
              <w:left w:w="45" w:type="dxa"/>
              <w:bottom w:w="30" w:type="dxa"/>
              <w:right w:w="45" w:type="dxa"/>
            </w:tcMar>
            <w:vAlign w:val="center"/>
            <w:hideMark/>
          </w:tcPr>
          <w:p w14:paraId="03714FF7"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tcMar>
              <w:top w:w="30" w:type="dxa"/>
              <w:left w:w="45" w:type="dxa"/>
              <w:bottom w:w="30" w:type="dxa"/>
              <w:right w:w="45" w:type="dxa"/>
            </w:tcMar>
            <w:vAlign w:val="center"/>
            <w:hideMark/>
          </w:tcPr>
          <w:p w14:paraId="2D157380" w14:textId="77777777" w:rsidR="009F783C" w:rsidRPr="009F783C" w:rsidRDefault="009F783C" w:rsidP="00AA4BBB">
            <w:pPr>
              <w:jc w:val="center"/>
              <w:rPr>
                <w:rFonts w:cs="Arial"/>
                <w:sz w:val="20"/>
                <w:szCs w:val="20"/>
              </w:rPr>
            </w:pPr>
            <w:r w:rsidRPr="009F783C">
              <w:rPr>
                <w:rFonts w:cs="Arial"/>
                <w:sz w:val="20"/>
                <w:szCs w:val="20"/>
              </w:rPr>
              <w:t>25%</w:t>
            </w:r>
          </w:p>
        </w:tc>
        <w:tc>
          <w:tcPr>
            <w:tcW w:w="0" w:type="auto"/>
            <w:vMerge w:val="restart"/>
            <w:tcMar>
              <w:top w:w="30" w:type="dxa"/>
              <w:left w:w="45" w:type="dxa"/>
              <w:bottom w:w="30" w:type="dxa"/>
              <w:right w:w="45" w:type="dxa"/>
            </w:tcMar>
            <w:vAlign w:val="center"/>
            <w:hideMark/>
          </w:tcPr>
          <w:p w14:paraId="2AFCC063" w14:textId="77777777" w:rsidR="009F783C" w:rsidRPr="009F783C" w:rsidRDefault="009F783C" w:rsidP="00AA4BBB">
            <w:pPr>
              <w:jc w:val="center"/>
              <w:rPr>
                <w:rFonts w:cs="Arial"/>
                <w:b/>
                <w:bCs/>
                <w:sz w:val="20"/>
                <w:szCs w:val="20"/>
              </w:rPr>
            </w:pPr>
            <w:r w:rsidRPr="009F783C">
              <w:rPr>
                <w:rFonts w:cs="Arial"/>
                <w:b/>
                <w:bCs/>
                <w:sz w:val="20"/>
                <w:szCs w:val="20"/>
              </w:rPr>
              <w:t>807.843.659.761</w:t>
            </w:r>
          </w:p>
        </w:tc>
      </w:tr>
      <w:tr w:rsidR="009F783C" w:rsidRPr="009F783C" w14:paraId="3C089D3C" w14:textId="77777777" w:rsidTr="00AA4BBB">
        <w:trPr>
          <w:gridAfter w:val="1"/>
          <w:wAfter w:w="6" w:type="dxa"/>
        </w:trPr>
        <w:tc>
          <w:tcPr>
            <w:tcW w:w="2402" w:type="dxa"/>
            <w:vMerge/>
            <w:vAlign w:val="center"/>
            <w:hideMark/>
          </w:tcPr>
          <w:p w14:paraId="298B1D67"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58F3C6F1" w14:textId="77777777" w:rsidR="009F783C" w:rsidRPr="009F783C" w:rsidRDefault="009F783C" w:rsidP="00AA4BBB">
            <w:pPr>
              <w:jc w:val="center"/>
              <w:rPr>
                <w:rFonts w:cs="Arial"/>
                <w:sz w:val="20"/>
                <w:szCs w:val="20"/>
              </w:rPr>
            </w:pPr>
            <w:r w:rsidRPr="009F783C">
              <w:rPr>
                <w:rFonts w:cs="Arial"/>
                <w:sz w:val="20"/>
                <w:szCs w:val="20"/>
              </w:rPr>
              <w:t>291.067.846.157</w:t>
            </w:r>
          </w:p>
        </w:tc>
        <w:tc>
          <w:tcPr>
            <w:tcW w:w="0" w:type="auto"/>
            <w:tcMar>
              <w:top w:w="30" w:type="dxa"/>
              <w:left w:w="45" w:type="dxa"/>
              <w:bottom w:w="30" w:type="dxa"/>
              <w:right w:w="45" w:type="dxa"/>
            </w:tcMar>
            <w:vAlign w:val="center"/>
            <w:hideMark/>
          </w:tcPr>
          <w:p w14:paraId="1B23F32E" w14:textId="77777777" w:rsidR="009F783C" w:rsidRPr="009F783C" w:rsidRDefault="009F783C" w:rsidP="00AA4BBB">
            <w:pPr>
              <w:jc w:val="center"/>
              <w:rPr>
                <w:rFonts w:cs="Arial"/>
                <w:sz w:val="20"/>
                <w:szCs w:val="20"/>
              </w:rPr>
            </w:pPr>
            <w:r w:rsidRPr="009F783C">
              <w:rPr>
                <w:rFonts w:cs="Arial"/>
                <w:sz w:val="20"/>
                <w:szCs w:val="20"/>
              </w:rPr>
              <w:t>175.521.077.489</w:t>
            </w:r>
          </w:p>
        </w:tc>
        <w:tc>
          <w:tcPr>
            <w:tcW w:w="0" w:type="auto"/>
            <w:tcMar>
              <w:top w:w="30" w:type="dxa"/>
              <w:left w:w="45" w:type="dxa"/>
              <w:bottom w:w="30" w:type="dxa"/>
              <w:right w:w="45" w:type="dxa"/>
            </w:tcMar>
            <w:vAlign w:val="center"/>
            <w:hideMark/>
          </w:tcPr>
          <w:p w14:paraId="4D34E734" w14:textId="77777777" w:rsidR="009F783C" w:rsidRPr="009F783C" w:rsidRDefault="009F783C" w:rsidP="00AA4BBB">
            <w:pPr>
              <w:jc w:val="center"/>
              <w:rPr>
                <w:rFonts w:cs="Arial"/>
                <w:sz w:val="20"/>
                <w:szCs w:val="20"/>
              </w:rPr>
            </w:pPr>
            <w:r w:rsidRPr="009F783C">
              <w:rPr>
                <w:rFonts w:cs="Arial"/>
                <w:sz w:val="20"/>
                <w:szCs w:val="20"/>
              </w:rPr>
              <w:t>259.275.683.570</w:t>
            </w:r>
          </w:p>
        </w:tc>
        <w:tc>
          <w:tcPr>
            <w:tcW w:w="0" w:type="auto"/>
            <w:tcMar>
              <w:top w:w="30" w:type="dxa"/>
              <w:left w:w="45" w:type="dxa"/>
              <w:bottom w:w="30" w:type="dxa"/>
              <w:right w:w="45" w:type="dxa"/>
            </w:tcMar>
            <w:vAlign w:val="center"/>
            <w:hideMark/>
          </w:tcPr>
          <w:p w14:paraId="01969847" w14:textId="77777777" w:rsidR="009F783C" w:rsidRPr="009F783C" w:rsidRDefault="009F783C" w:rsidP="00AA4BBB">
            <w:pPr>
              <w:jc w:val="center"/>
              <w:rPr>
                <w:rFonts w:cs="Arial"/>
                <w:sz w:val="20"/>
                <w:szCs w:val="20"/>
              </w:rPr>
            </w:pPr>
            <w:r w:rsidRPr="009F783C">
              <w:rPr>
                <w:rFonts w:cs="Arial"/>
                <w:sz w:val="20"/>
                <w:szCs w:val="20"/>
              </w:rPr>
              <w:t>81.979.052.545</w:t>
            </w:r>
          </w:p>
        </w:tc>
        <w:tc>
          <w:tcPr>
            <w:tcW w:w="0" w:type="auto"/>
            <w:vMerge/>
            <w:vAlign w:val="center"/>
            <w:hideMark/>
          </w:tcPr>
          <w:p w14:paraId="095C7BDE" w14:textId="77777777" w:rsidR="009F783C" w:rsidRPr="009F783C" w:rsidRDefault="009F783C" w:rsidP="00AA4BBB">
            <w:pPr>
              <w:rPr>
                <w:rFonts w:cs="Arial"/>
                <w:b/>
                <w:bCs/>
                <w:sz w:val="20"/>
                <w:szCs w:val="20"/>
              </w:rPr>
            </w:pPr>
          </w:p>
        </w:tc>
      </w:tr>
      <w:tr w:rsidR="009F783C" w:rsidRPr="009F783C" w14:paraId="524D078B" w14:textId="77777777" w:rsidTr="00AA4BBB">
        <w:tc>
          <w:tcPr>
            <w:tcW w:w="9828" w:type="dxa"/>
            <w:gridSpan w:val="7"/>
            <w:shd w:val="clear" w:color="auto" w:fill="C00000"/>
            <w:tcMar>
              <w:top w:w="30" w:type="dxa"/>
              <w:left w:w="45" w:type="dxa"/>
              <w:bottom w:w="30" w:type="dxa"/>
              <w:right w:w="45" w:type="dxa"/>
            </w:tcMar>
            <w:vAlign w:val="center"/>
            <w:hideMark/>
          </w:tcPr>
          <w:p w14:paraId="3184E4DF"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Hacienda</w:t>
            </w:r>
          </w:p>
        </w:tc>
      </w:tr>
      <w:tr w:rsidR="009F783C" w:rsidRPr="009F783C" w14:paraId="0E0B22C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702732BD" w14:textId="77777777" w:rsidR="009F783C" w:rsidRPr="009F783C" w:rsidRDefault="009F783C" w:rsidP="00AA4BBB">
            <w:pPr>
              <w:rPr>
                <w:rFonts w:cs="Arial"/>
                <w:sz w:val="20"/>
                <w:szCs w:val="20"/>
              </w:rPr>
            </w:pPr>
            <w:r w:rsidRPr="009F783C">
              <w:rPr>
                <w:rFonts w:cs="Arial"/>
                <w:sz w:val="20"/>
                <w:szCs w:val="20"/>
              </w:rPr>
              <w:t>Realizar el 100% de las acciones de fortalecimiento tecnológico e institucional orientados a una mejor prestación de los servicios a la ciudadanía</w:t>
            </w:r>
          </w:p>
        </w:tc>
        <w:tc>
          <w:tcPr>
            <w:tcW w:w="1492" w:type="dxa"/>
            <w:tcMar>
              <w:top w:w="30" w:type="dxa"/>
              <w:left w:w="45" w:type="dxa"/>
              <w:bottom w:w="30" w:type="dxa"/>
              <w:right w:w="45" w:type="dxa"/>
            </w:tcMar>
            <w:vAlign w:val="center"/>
            <w:hideMark/>
          </w:tcPr>
          <w:p w14:paraId="2AD2754C" w14:textId="77777777" w:rsidR="009F783C" w:rsidRPr="009F783C" w:rsidRDefault="009F783C" w:rsidP="00AA4BBB">
            <w:pPr>
              <w:jc w:val="center"/>
              <w:rPr>
                <w:rFonts w:cs="Arial"/>
                <w:sz w:val="20"/>
                <w:szCs w:val="20"/>
              </w:rPr>
            </w:pPr>
            <w:r w:rsidRPr="009F783C">
              <w:rPr>
                <w:rFonts w:cs="Arial"/>
                <w:sz w:val="20"/>
                <w:szCs w:val="20"/>
              </w:rPr>
              <w:t>20%</w:t>
            </w:r>
          </w:p>
        </w:tc>
        <w:tc>
          <w:tcPr>
            <w:tcW w:w="0" w:type="auto"/>
            <w:tcMar>
              <w:top w:w="30" w:type="dxa"/>
              <w:left w:w="45" w:type="dxa"/>
              <w:bottom w:w="30" w:type="dxa"/>
              <w:right w:w="45" w:type="dxa"/>
            </w:tcMar>
            <w:vAlign w:val="center"/>
            <w:hideMark/>
          </w:tcPr>
          <w:p w14:paraId="66EAA92B" w14:textId="77777777" w:rsidR="009F783C" w:rsidRPr="009F783C" w:rsidRDefault="009F783C" w:rsidP="00AA4BBB">
            <w:pPr>
              <w:jc w:val="center"/>
              <w:rPr>
                <w:rFonts w:cs="Arial"/>
                <w:sz w:val="20"/>
                <w:szCs w:val="20"/>
              </w:rPr>
            </w:pPr>
            <w:r w:rsidRPr="009F783C">
              <w:rPr>
                <w:rFonts w:cs="Arial"/>
                <w:sz w:val="20"/>
                <w:szCs w:val="20"/>
              </w:rPr>
              <w:t>40%</w:t>
            </w:r>
          </w:p>
        </w:tc>
        <w:tc>
          <w:tcPr>
            <w:tcW w:w="0" w:type="auto"/>
            <w:tcMar>
              <w:top w:w="30" w:type="dxa"/>
              <w:left w:w="45" w:type="dxa"/>
              <w:bottom w:w="30" w:type="dxa"/>
              <w:right w:w="45" w:type="dxa"/>
            </w:tcMar>
            <w:vAlign w:val="center"/>
            <w:hideMark/>
          </w:tcPr>
          <w:p w14:paraId="5368B82D" w14:textId="77777777" w:rsidR="009F783C" w:rsidRPr="009F783C" w:rsidRDefault="009F783C" w:rsidP="00AA4BBB">
            <w:pPr>
              <w:jc w:val="center"/>
              <w:rPr>
                <w:rFonts w:cs="Arial"/>
                <w:sz w:val="20"/>
                <w:szCs w:val="20"/>
              </w:rPr>
            </w:pPr>
            <w:r w:rsidRPr="009F783C">
              <w:rPr>
                <w:rFonts w:cs="Arial"/>
                <w:sz w:val="20"/>
                <w:szCs w:val="20"/>
              </w:rPr>
              <w:t>70%</w:t>
            </w:r>
          </w:p>
        </w:tc>
        <w:tc>
          <w:tcPr>
            <w:tcW w:w="0" w:type="auto"/>
            <w:tcMar>
              <w:top w:w="30" w:type="dxa"/>
              <w:left w:w="45" w:type="dxa"/>
              <w:bottom w:w="30" w:type="dxa"/>
              <w:right w:w="45" w:type="dxa"/>
            </w:tcMar>
            <w:vAlign w:val="center"/>
            <w:hideMark/>
          </w:tcPr>
          <w:p w14:paraId="736E8337"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71ACD242" w14:textId="77777777" w:rsidR="009F783C" w:rsidRPr="009F783C" w:rsidRDefault="009F783C" w:rsidP="00AA4BBB">
            <w:pPr>
              <w:jc w:val="center"/>
              <w:rPr>
                <w:rFonts w:cs="Arial"/>
                <w:b/>
                <w:bCs/>
                <w:sz w:val="20"/>
                <w:szCs w:val="20"/>
              </w:rPr>
            </w:pPr>
            <w:r w:rsidRPr="009F783C">
              <w:rPr>
                <w:rFonts w:cs="Arial"/>
                <w:b/>
                <w:bCs/>
                <w:sz w:val="20"/>
                <w:szCs w:val="20"/>
              </w:rPr>
              <w:t>95.701.648.879</w:t>
            </w:r>
          </w:p>
        </w:tc>
      </w:tr>
      <w:tr w:rsidR="009F783C" w:rsidRPr="009F783C" w14:paraId="562D8D39" w14:textId="77777777" w:rsidTr="00AA4BBB">
        <w:trPr>
          <w:gridAfter w:val="1"/>
          <w:wAfter w:w="6" w:type="dxa"/>
        </w:trPr>
        <w:tc>
          <w:tcPr>
            <w:tcW w:w="2402" w:type="dxa"/>
            <w:vMerge/>
            <w:vAlign w:val="center"/>
            <w:hideMark/>
          </w:tcPr>
          <w:p w14:paraId="5C42801D"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7E39C57A" w14:textId="77777777" w:rsidR="009F783C" w:rsidRPr="009F783C" w:rsidRDefault="009F783C" w:rsidP="00AA4BBB">
            <w:pPr>
              <w:jc w:val="center"/>
              <w:rPr>
                <w:rFonts w:cs="Arial"/>
                <w:sz w:val="20"/>
                <w:szCs w:val="20"/>
              </w:rPr>
            </w:pPr>
            <w:r w:rsidRPr="009F783C">
              <w:rPr>
                <w:rFonts w:cs="Arial"/>
                <w:sz w:val="20"/>
                <w:szCs w:val="20"/>
              </w:rPr>
              <w:t>19.725.000.000</w:t>
            </w:r>
          </w:p>
        </w:tc>
        <w:tc>
          <w:tcPr>
            <w:tcW w:w="0" w:type="auto"/>
            <w:tcMar>
              <w:top w:w="30" w:type="dxa"/>
              <w:left w:w="45" w:type="dxa"/>
              <w:bottom w:w="30" w:type="dxa"/>
              <w:right w:w="45" w:type="dxa"/>
            </w:tcMar>
            <w:vAlign w:val="center"/>
            <w:hideMark/>
          </w:tcPr>
          <w:p w14:paraId="0959DD93" w14:textId="77777777" w:rsidR="009F783C" w:rsidRPr="009F783C" w:rsidRDefault="009F783C" w:rsidP="00AA4BBB">
            <w:pPr>
              <w:jc w:val="center"/>
              <w:rPr>
                <w:rFonts w:cs="Arial"/>
                <w:sz w:val="20"/>
                <w:szCs w:val="20"/>
              </w:rPr>
            </w:pPr>
            <w:r w:rsidRPr="009F783C">
              <w:rPr>
                <w:rFonts w:cs="Arial"/>
                <w:sz w:val="20"/>
                <w:szCs w:val="20"/>
              </w:rPr>
              <w:t>21.246.601.942</w:t>
            </w:r>
          </w:p>
        </w:tc>
        <w:tc>
          <w:tcPr>
            <w:tcW w:w="0" w:type="auto"/>
            <w:tcMar>
              <w:top w:w="30" w:type="dxa"/>
              <w:left w:w="45" w:type="dxa"/>
              <w:bottom w:w="30" w:type="dxa"/>
              <w:right w:w="45" w:type="dxa"/>
            </w:tcMar>
            <w:vAlign w:val="center"/>
            <w:hideMark/>
          </w:tcPr>
          <w:p w14:paraId="5795F471" w14:textId="77777777" w:rsidR="009F783C" w:rsidRPr="009F783C" w:rsidRDefault="009F783C" w:rsidP="00AA4BBB">
            <w:pPr>
              <w:jc w:val="center"/>
              <w:rPr>
                <w:rFonts w:cs="Arial"/>
                <w:sz w:val="20"/>
                <w:szCs w:val="20"/>
              </w:rPr>
            </w:pPr>
            <w:r w:rsidRPr="009F783C">
              <w:rPr>
                <w:rFonts w:cs="Arial"/>
                <w:sz w:val="20"/>
                <w:szCs w:val="20"/>
              </w:rPr>
              <w:t>26.675.464.228</w:t>
            </w:r>
          </w:p>
        </w:tc>
        <w:tc>
          <w:tcPr>
            <w:tcW w:w="0" w:type="auto"/>
            <w:tcMar>
              <w:top w:w="30" w:type="dxa"/>
              <w:left w:w="45" w:type="dxa"/>
              <w:bottom w:w="30" w:type="dxa"/>
              <w:right w:w="45" w:type="dxa"/>
            </w:tcMar>
            <w:vAlign w:val="center"/>
            <w:hideMark/>
          </w:tcPr>
          <w:p w14:paraId="2ECF7B0D" w14:textId="77777777" w:rsidR="009F783C" w:rsidRPr="009F783C" w:rsidRDefault="009F783C" w:rsidP="00AA4BBB">
            <w:pPr>
              <w:jc w:val="center"/>
              <w:rPr>
                <w:rFonts w:cs="Arial"/>
                <w:sz w:val="20"/>
                <w:szCs w:val="20"/>
              </w:rPr>
            </w:pPr>
            <w:r w:rsidRPr="009F783C">
              <w:rPr>
                <w:rFonts w:cs="Arial"/>
                <w:sz w:val="20"/>
                <w:szCs w:val="20"/>
              </w:rPr>
              <w:t>28.054.582.709</w:t>
            </w:r>
          </w:p>
        </w:tc>
        <w:tc>
          <w:tcPr>
            <w:tcW w:w="0" w:type="auto"/>
            <w:vMerge/>
            <w:vAlign w:val="center"/>
            <w:hideMark/>
          </w:tcPr>
          <w:p w14:paraId="68B0800E" w14:textId="77777777" w:rsidR="009F783C" w:rsidRPr="009F783C" w:rsidRDefault="009F783C" w:rsidP="00AA4BBB">
            <w:pPr>
              <w:rPr>
                <w:rFonts w:cs="Arial"/>
                <w:b/>
                <w:bCs/>
                <w:sz w:val="20"/>
                <w:szCs w:val="20"/>
              </w:rPr>
            </w:pPr>
          </w:p>
        </w:tc>
      </w:tr>
      <w:tr w:rsidR="009F783C" w:rsidRPr="009F783C" w14:paraId="481FD5D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2C8FB261" w14:textId="77777777" w:rsidR="009F783C" w:rsidRPr="009F783C" w:rsidRDefault="009F783C" w:rsidP="00AA4BBB">
            <w:pPr>
              <w:rPr>
                <w:rFonts w:cs="Arial"/>
                <w:sz w:val="20"/>
                <w:szCs w:val="20"/>
              </w:rPr>
            </w:pPr>
            <w:r w:rsidRPr="009F783C">
              <w:rPr>
                <w:rFonts w:cs="Arial"/>
                <w:sz w:val="20"/>
                <w:szCs w:val="20"/>
              </w:rPr>
              <w:t>Realizar el 100% de las acciones de fortalecimiento tecnológico e institucional orientados a una mejor prestación de los servicios a la ciudadanía.</w:t>
            </w:r>
          </w:p>
        </w:tc>
        <w:tc>
          <w:tcPr>
            <w:tcW w:w="1492" w:type="dxa"/>
            <w:tcMar>
              <w:top w:w="30" w:type="dxa"/>
              <w:left w:w="45" w:type="dxa"/>
              <w:bottom w:w="30" w:type="dxa"/>
              <w:right w:w="45" w:type="dxa"/>
            </w:tcMar>
            <w:vAlign w:val="center"/>
            <w:hideMark/>
          </w:tcPr>
          <w:p w14:paraId="1FBAF195"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61D29966"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6753C7B4"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14212294"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5638479A" w14:textId="77777777" w:rsidR="009F783C" w:rsidRPr="009F783C" w:rsidRDefault="009F783C" w:rsidP="00AA4BBB">
            <w:pPr>
              <w:jc w:val="center"/>
              <w:rPr>
                <w:rFonts w:cs="Arial"/>
                <w:b/>
                <w:bCs/>
                <w:sz w:val="20"/>
                <w:szCs w:val="20"/>
              </w:rPr>
            </w:pPr>
            <w:r w:rsidRPr="009F783C">
              <w:rPr>
                <w:rFonts w:cs="Arial"/>
                <w:b/>
                <w:bCs/>
                <w:sz w:val="20"/>
                <w:szCs w:val="20"/>
              </w:rPr>
              <w:t>44.493.421.723</w:t>
            </w:r>
          </w:p>
        </w:tc>
      </w:tr>
      <w:tr w:rsidR="009F783C" w:rsidRPr="009F783C" w14:paraId="67D2730E" w14:textId="77777777" w:rsidTr="00AA4BBB">
        <w:trPr>
          <w:gridAfter w:val="1"/>
          <w:wAfter w:w="6" w:type="dxa"/>
        </w:trPr>
        <w:tc>
          <w:tcPr>
            <w:tcW w:w="2402" w:type="dxa"/>
            <w:vMerge/>
            <w:vAlign w:val="center"/>
            <w:hideMark/>
          </w:tcPr>
          <w:p w14:paraId="085C1684"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4FD88544" w14:textId="77777777" w:rsidR="009F783C" w:rsidRPr="009F783C" w:rsidRDefault="009F783C" w:rsidP="00AA4BBB">
            <w:pPr>
              <w:jc w:val="center"/>
              <w:rPr>
                <w:rFonts w:cs="Arial"/>
                <w:sz w:val="20"/>
                <w:szCs w:val="20"/>
              </w:rPr>
            </w:pPr>
            <w:r w:rsidRPr="009F783C">
              <w:rPr>
                <w:rFonts w:cs="Arial"/>
                <w:sz w:val="20"/>
                <w:szCs w:val="20"/>
              </w:rPr>
              <w:t>9.057.000.000</w:t>
            </w:r>
          </w:p>
        </w:tc>
        <w:tc>
          <w:tcPr>
            <w:tcW w:w="0" w:type="auto"/>
            <w:tcMar>
              <w:top w:w="30" w:type="dxa"/>
              <w:left w:w="45" w:type="dxa"/>
              <w:bottom w:w="30" w:type="dxa"/>
              <w:right w:w="45" w:type="dxa"/>
            </w:tcMar>
            <w:vAlign w:val="center"/>
            <w:hideMark/>
          </w:tcPr>
          <w:p w14:paraId="407D6E33" w14:textId="77777777" w:rsidR="009F783C" w:rsidRPr="009F783C" w:rsidRDefault="009F783C" w:rsidP="00AA4BBB">
            <w:pPr>
              <w:jc w:val="center"/>
              <w:rPr>
                <w:rFonts w:cs="Arial"/>
                <w:sz w:val="20"/>
                <w:szCs w:val="20"/>
              </w:rPr>
            </w:pPr>
            <w:r w:rsidRPr="009F783C">
              <w:rPr>
                <w:rFonts w:cs="Arial"/>
                <w:sz w:val="20"/>
                <w:szCs w:val="20"/>
              </w:rPr>
              <w:t>12.788.349.515</w:t>
            </w:r>
          </w:p>
        </w:tc>
        <w:tc>
          <w:tcPr>
            <w:tcW w:w="0" w:type="auto"/>
            <w:tcMar>
              <w:top w:w="30" w:type="dxa"/>
              <w:left w:w="45" w:type="dxa"/>
              <w:bottom w:w="30" w:type="dxa"/>
              <w:right w:w="45" w:type="dxa"/>
            </w:tcMar>
            <w:vAlign w:val="center"/>
            <w:hideMark/>
          </w:tcPr>
          <w:p w14:paraId="26F974F8" w14:textId="77777777" w:rsidR="009F783C" w:rsidRPr="009F783C" w:rsidRDefault="009F783C" w:rsidP="00AA4BBB">
            <w:pPr>
              <w:jc w:val="center"/>
              <w:rPr>
                <w:rFonts w:cs="Arial"/>
                <w:sz w:val="20"/>
                <w:szCs w:val="20"/>
              </w:rPr>
            </w:pPr>
            <w:r w:rsidRPr="009F783C">
              <w:rPr>
                <w:rFonts w:cs="Arial"/>
                <w:sz w:val="20"/>
                <w:szCs w:val="20"/>
              </w:rPr>
              <w:t>11.567.536.997</w:t>
            </w:r>
          </w:p>
        </w:tc>
        <w:tc>
          <w:tcPr>
            <w:tcW w:w="0" w:type="auto"/>
            <w:tcMar>
              <w:top w:w="30" w:type="dxa"/>
              <w:left w:w="45" w:type="dxa"/>
              <w:bottom w:w="30" w:type="dxa"/>
              <w:right w:w="45" w:type="dxa"/>
            </w:tcMar>
            <w:vAlign w:val="center"/>
            <w:hideMark/>
          </w:tcPr>
          <w:p w14:paraId="4B090AC9" w14:textId="77777777" w:rsidR="009F783C" w:rsidRPr="009F783C" w:rsidRDefault="009F783C" w:rsidP="00AA4BBB">
            <w:pPr>
              <w:jc w:val="center"/>
              <w:rPr>
                <w:rFonts w:cs="Arial"/>
                <w:sz w:val="20"/>
                <w:szCs w:val="20"/>
              </w:rPr>
            </w:pPr>
            <w:r w:rsidRPr="009F783C">
              <w:rPr>
                <w:rFonts w:cs="Arial"/>
                <w:sz w:val="20"/>
                <w:szCs w:val="20"/>
              </w:rPr>
              <w:t>11.080.535.211</w:t>
            </w:r>
          </w:p>
        </w:tc>
        <w:tc>
          <w:tcPr>
            <w:tcW w:w="0" w:type="auto"/>
            <w:vMerge/>
            <w:vAlign w:val="center"/>
            <w:hideMark/>
          </w:tcPr>
          <w:p w14:paraId="34EF9FCE" w14:textId="77777777" w:rsidR="009F783C" w:rsidRPr="009F783C" w:rsidRDefault="009F783C" w:rsidP="00AA4BBB">
            <w:pPr>
              <w:rPr>
                <w:rFonts w:cs="Arial"/>
                <w:b/>
                <w:bCs/>
                <w:sz w:val="20"/>
                <w:szCs w:val="20"/>
              </w:rPr>
            </w:pPr>
          </w:p>
        </w:tc>
      </w:tr>
      <w:tr w:rsidR="009F783C" w:rsidRPr="009F783C" w14:paraId="5CD7CF47" w14:textId="77777777" w:rsidTr="00AA4BBB">
        <w:tc>
          <w:tcPr>
            <w:tcW w:w="9828" w:type="dxa"/>
            <w:gridSpan w:val="7"/>
            <w:shd w:val="clear" w:color="auto" w:fill="C00000"/>
            <w:tcMar>
              <w:top w:w="30" w:type="dxa"/>
              <w:left w:w="45" w:type="dxa"/>
              <w:bottom w:w="30" w:type="dxa"/>
              <w:right w:w="45" w:type="dxa"/>
            </w:tcMar>
            <w:vAlign w:val="center"/>
            <w:hideMark/>
          </w:tcPr>
          <w:p w14:paraId="0F94DC65" w14:textId="77777777" w:rsidR="009F783C" w:rsidRPr="009F783C" w:rsidRDefault="009F783C" w:rsidP="00AA4BBB">
            <w:pPr>
              <w:jc w:val="center"/>
              <w:rPr>
                <w:rFonts w:cs="Arial"/>
                <w:b/>
                <w:bCs/>
                <w:color w:val="FFFFFF" w:themeColor="background1"/>
                <w:sz w:val="20"/>
                <w:szCs w:val="20"/>
              </w:rPr>
            </w:pPr>
            <w:r w:rsidRPr="009F783C">
              <w:rPr>
                <w:rFonts w:cs="Arial"/>
                <w:b/>
                <w:bCs/>
                <w:color w:val="FFFFFF" w:themeColor="background1"/>
                <w:sz w:val="20"/>
                <w:szCs w:val="20"/>
              </w:rPr>
              <w:t>Integración social</w:t>
            </w:r>
          </w:p>
        </w:tc>
      </w:tr>
      <w:tr w:rsidR="009F783C" w:rsidRPr="009F783C" w14:paraId="54C5957A"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E37C6A9" w14:textId="77777777" w:rsidR="009F783C" w:rsidRPr="009F783C" w:rsidRDefault="009F783C" w:rsidP="00AA4BBB">
            <w:pPr>
              <w:rPr>
                <w:rFonts w:cs="Arial"/>
                <w:sz w:val="20"/>
                <w:szCs w:val="20"/>
              </w:rPr>
            </w:pPr>
            <w:r w:rsidRPr="009F783C">
              <w:rPr>
                <w:rFonts w:cs="Arial"/>
                <w:sz w:val="20"/>
                <w:szCs w:val="20"/>
              </w:rPr>
              <w:lastRenderedPageBreak/>
              <w:t>Implementar el 100% de los servicios de soporte misional a la operación del sector Integración Social</w:t>
            </w:r>
          </w:p>
        </w:tc>
        <w:tc>
          <w:tcPr>
            <w:tcW w:w="1492" w:type="dxa"/>
            <w:tcMar>
              <w:top w:w="30" w:type="dxa"/>
              <w:left w:w="45" w:type="dxa"/>
              <w:bottom w:w="30" w:type="dxa"/>
              <w:right w:w="45" w:type="dxa"/>
            </w:tcMar>
            <w:vAlign w:val="center"/>
            <w:hideMark/>
          </w:tcPr>
          <w:p w14:paraId="1CCD2281"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04B171EE"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266C5A61"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25D40771"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vMerge w:val="restart"/>
            <w:tcMar>
              <w:top w:w="30" w:type="dxa"/>
              <w:left w:w="45" w:type="dxa"/>
              <w:bottom w:w="30" w:type="dxa"/>
              <w:right w:w="45" w:type="dxa"/>
            </w:tcMar>
            <w:vAlign w:val="center"/>
            <w:hideMark/>
          </w:tcPr>
          <w:p w14:paraId="522E4979" w14:textId="77777777" w:rsidR="009F783C" w:rsidRPr="009F783C" w:rsidRDefault="009F783C" w:rsidP="00AA4BBB">
            <w:pPr>
              <w:jc w:val="center"/>
              <w:rPr>
                <w:rFonts w:cs="Arial"/>
                <w:b/>
                <w:bCs/>
                <w:sz w:val="20"/>
                <w:szCs w:val="20"/>
              </w:rPr>
            </w:pPr>
            <w:r w:rsidRPr="009F783C">
              <w:rPr>
                <w:rFonts w:cs="Arial"/>
                <w:b/>
                <w:bCs/>
                <w:sz w:val="20"/>
                <w:szCs w:val="20"/>
              </w:rPr>
              <w:t>1.882.796.733.722</w:t>
            </w:r>
          </w:p>
        </w:tc>
      </w:tr>
      <w:tr w:rsidR="009F783C" w:rsidRPr="009F783C" w14:paraId="3FC920EB" w14:textId="77777777" w:rsidTr="00AA4BBB">
        <w:trPr>
          <w:gridAfter w:val="1"/>
          <w:wAfter w:w="6" w:type="dxa"/>
        </w:trPr>
        <w:tc>
          <w:tcPr>
            <w:tcW w:w="2402" w:type="dxa"/>
            <w:vMerge/>
            <w:vAlign w:val="center"/>
            <w:hideMark/>
          </w:tcPr>
          <w:p w14:paraId="3B044017"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2D1B72DF" w14:textId="77777777" w:rsidR="009F783C" w:rsidRPr="009F783C" w:rsidRDefault="009F783C" w:rsidP="00AA4BBB">
            <w:pPr>
              <w:jc w:val="center"/>
              <w:rPr>
                <w:rFonts w:cs="Arial"/>
                <w:sz w:val="20"/>
                <w:szCs w:val="20"/>
              </w:rPr>
            </w:pPr>
            <w:r w:rsidRPr="009F783C">
              <w:rPr>
                <w:rFonts w:cs="Arial"/>
                <w:sz w:val="20"/>
                <w:szCs w:val="20"/>
              </w:rPr>
              <w:t>468.048.173.427</w:t>
            </w:r>
          </w:p>
        </w:tc>
        <w:tc>
          <w:tcPr>
            <w:tcW w:w="0" w:type="auto"/>
            <w:tcMar>
              <w:top w:w="30" w:type="dxa"/>
              <w:left w:w="45" w:type="dxa"/>
              <w:bottom w:w="30" w:type="dxa"/>
              <w:right w:w="45" w:type="dxa"/>
            </w:tcMar>
            <w:vAlign w:val="center"/>
            <w:hideMark/>
          </w:tcPr>
          <w:p w14:paraId="1112978D" w14:textId="77777777" w:rsidR="009F783C" w:rsidRPr="009F783C" w:rsidRDefault="009F783C" w:rsidP="00AA4BBB">
            <w:pPr>
              <w:jc w:val="center"/>
              <w:rPr>
                <w:rFonts w:cs="Arial"/>
                <w:sz w:val="20"/>
                <w:szCs w:val="20"/>
              </w:rPr>
            </w:pPr>
            <w:r w:rsidRPr="009F783C">
              <w:rPr>
                <w:rFonts w:cs="Arial"/>
                <w:sz w:val="20"/>
                <w:szCs w:val="20"/>
              </w:rPr>
              <w:t>463.336.893.204</w:t>
            </w:r>
          </w:p>
        </w:tc>
        <w:tc>
          <w:tcPr>
            <w:tcW w:w="0" w:type="auto"/>
            <w:tcMar>
              <w:top w:w="30" w:type="dxa"/>
              <w:left w:w="45" w:type="dxa"/>
              <w:bottom w:w="30" w:type="dxa"/>
              <w:right w:w="45" w:type="dxa"/>
            </w:tcMar>
            <w:vAlign w:val="center"/>
            <w:hideMark/>
          </w:tcPr>
          <w:p w14:paraId="114CBB17" w14:textId="77777777" w:rsidR="009F783C" w:rsidRPr="009F783C" w:rsidRDefault="009F783C" w:rsidP="00AA4BBB">
            <w:pPr>
              <w:jc w:val="center"/>
              <w:rPr>
                <w:rFonts w:cs="Arial"/>
                <w:sz w:val="20"/>
                <w:szCs w:val="20"/>
              </w:rPr>
            </w:pPr>
            <w:r w:rsidRPr="009F783C">
              <w:rPr>
                <w:rFonts w:cs="Arial"/>
                <w:sz w:val="20"/>
                <w:szCs w:val="20"/>
              </w:rPr>
              <w:t>481.205.580.168</w:t>
            </w:r>
          </w:p>
        </w:tc>
        <w:tc>
          <w:tcPr>
            <w:tcW w:w="0" w:type="auto"/>
            <w:tcMar>
              <w:top w:w="30" w:type="dxa"/>
              <w:left w:w="45" w:type="dxa"/>
              <w:bottom w:w="30" w:type="dxa"/>
              <w:right w:w="45" w:type="dxa"/>
            </w:tcMar>
            <w:vAlign w:val="center"/>
            <w:hideMark/>
          </w:tcPr>
          <w:p w14:paraId="47B2240B" w14:textId="77777777" w:rsidR="009F783C" w:rsidRPr="009F783C" w:rsidRDefault="009F783C" w:rsidP="00AA4BBB">
            <w:pPr>
              <w:jc w:val="center"/>
              <w:rPr>
                <w:rFonts w:cs="Arial"/>
                <w:sz w:val="20"/>
                <w:szCs w:val="20"/>
              </w:rPr>
            </w:pPr>
            <w:r w:rsidRPr="009F783C">
              <w:rPr>
                <w:rFonts w:cs="Arial"/>
                <w:sz w:val="20"/>
                <w:szCs w:val="20"/>
              </w:rPr>
              <w:t>488.271.086.923</w:t>
            </w:r>
          </w:p>
        </w:tc>
        <w:tc>
          <w:tcPr>
            <w:tcW w:w="0" w:type="auto"/>
            <w:vMerge/>
            <w:vAlign w:val="center"/>
            <w:hideMark/>
          </w:tcPr>
          <w:p w14:paraId="181D86CD" w14:textId="77777777" w:rsidR="009F783C" w:rsidRPr="009F783C" w:rsidRDefault="009F783C" w:rsidP="00AA4BBB">
            <w:pPr>
              <w:rPr>
                <w:rFonts w:cs="Arial"/>
                <w:b/>
                <w:bCs/>
                <w:sz w:val="20"/>
                <w:szCs w:val="20"/>
              </w:rPr>
            </w:pPr>
          </w:p>
        </w:tc>
      </w:tr>
      <w:tr w:rsidR="009F783C" w:rsidRPr="009F783C" w14:paraId="4DA31D30" w14:textId="77777777" w:rsidTr="00AA4BBB">
        <w:trPr>
          <w:gridAfter w:val="1"/>
          <w:wAfter w:w="6" w:type="dxa"/>
        </w:trPr>
        <w:tc>
          <w:tcPr>
            <w:tcW w:w="2402" w:type="dxa"/>
            <w:vMerge w:val="restart"/>
            <w:tcMar>
              <w:top w:w="30" w:type="dxa"/>
              <w:left w:w="45" w:type="dxa"/>
              <w:bottom w:w="30" w:type="dxa"/>
              <w:right w:w="45" w:type="dxa"/>
            </w:tcMar>
            <w:vAlign w:val="center"/>
            <w:hideMark/>
          </w:tcPr>
          <w:p w14:paraId="2200A4ED" w14:textId="77777777" w:rsidR="009F783C" w:rsidRPr="009F783C" w:rsidRDefault="009F783C" w:rsidP="00AA4BBB">
            <w:pPr>
              <w:rPr>
                <w:rFonts w:cs="Arial"/>
                <w:sz w:val="20"/>
                <w:szCs w:val="20"/>
              </w:rPr>
            </w:pPr>
            <w:r w:rsidRPr="009F783C">
              <w:rPr>
                <w:rFonts w:cs="Arial"/>
                <w:sz w:val="20"/>
                <w:szCs w:val="20"/>
              </w:rPr>
              <w:t>Realizar 5 diseños de nuevos esquemas de operación para la provisión de los servicios sociales en unidades operativas y extramurales</w:t>
            </w:r>
          </w:p>
        </w:tc>
        <w:tc>
          <w:tcPr>
            <w:tcW w:w="1492" w:type="dxa"/>
            <w:tcMar>
              <w:top w:w="30" w:type="dxa"/>
              <w:left w:w="45" w:type="dxa"/>
              <w:bottom w:w="30" w:type="dxa"/>
              <w:right w:w="45" w:type="dxa"/>
            </w:tcMar>
            <w:vAlign w:val="center"/>
            <w:hideMark/>
          </w:tcPr>
          <w:p w14:paraId="0DC3CB80"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2B62B835"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05418068" w14:textId="77777777" w:rsidR="009F783C" w:rsidRPr="009F783C" w:rsidRDefault="009F783C" w:rsidP="00AA4BBB">
            <w:pPr>
              <w:jc w:val="center"/>
              <w:rPr>
                <w:rFonts w:cs="Arial"/>
                <w:sz w:val="20"/>
                <w:szCs w:val="20"/>
              </w:rPr>
            </w:pPr>
            <w:r w:rsidRPr="009F783C">
              <w:rPr>
                <w:rFonts w:cs="Arial"/>
                <w:sz w:val="20"/>
                <w:szCs w:val="20"/>
              </w:rPr>
              <w:t>2</w:t>
            </w:r>
          </w:p>
        </w:tc>
        <w:tc>
          <w:tcPr>
            <w:tcW w:w="0" w:type="auto"/>
            <w:tcMar>
              <w:top w:w="30" w:type="dxa"/>
              <w:left w:w="45" w:type="dxa"/>
              <w:bottom w:w="30" w:type="dxa"/>
              <w:right w:w="45" w:type="dxa"/>
            </w:tcMar>
            <w:vAlign w:val="center"/>
            <w:hideMark/>
          </w:tcPr>
          <w:p w14:paraId="3CE7BD45"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vMerge w:val="restart"/>
            <w:tcMar>
              <w:top w:w="30" w:type="dxa"/>
              <w:left w:w="45" w:type="dxa"/>
              <w:bottom w:w="30" w:type="dxa"/>
              <w:right w:w="45" w:type="dxa"/>
            </w:tcMar>
            <w:vAlign w:val="center"/>
            <w:hideMark/>
          </w:tcPr>
          <w:p w14:paraId="2154CF58" w14:textId="77777777" w:rsidR="009F783C" w:rsidRPr="009F783C" w:rsidRDefault="009F783C" w:rsidP="00AA4BBB">
            <w:pPr>
              <w:jc w:val="center"/>
              <w:rPr>
                <w:rFonts w:cs="Arial"/>
                <w:b/>
                <w:bCs/>
                <w:sz w:val="20"/>
                <w:szCs w:val="20"/>
              </w:rPr>
            </w:pPr>
            <w:r w:rsidRPr="009F783C">
              <w:rPr>
                <w:rFonts w:cs="Arial"/>
                <w:b/>
                <w:bCs/>
                <w:sz w:val="20"/>
                <w:szCs w:val="20"/>
              </w:rPr>
              <w:t>1.857.743.531</w:t>
            </w:r>
          </w:p>
        </w:tc>
      </w:tr>
      <w:tr w:rsidR="009F783C" w:rsidRPr="009F783C" w14:paraId="71599E3D" w14:textId="77777777" w:rsidTr="00AA4BBB">
        <w:trPr>
          <w:gridAfter w:val="1"/>
          <w:wAfter w:w="6" w:type="dxa"/>
        </w:trPr>
        <w:tc>
          <w:tcPr>
            <w:tcW w:w="2402" w:type="dxa"/>
            <w:vMerge/>
            <w:vAlign w:val="center"/>
            <w:hideMark/>
          </w:tcPr>
          <w:p w14:paraId="05A39973"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7042908A" w14:textId="77777777" w:rsidR="009F783C" w:rsidRPr="009F783C" w:rsidRDefault="009F783C" w:rsidP="00AA4BBB">
            <w:pPr>
              <w:jc w:val="center"/>
              <w:rPr>
                <w:rFonts w:cs="Arial"/>
                <w:sz w:val="20"/>
                <w:szCs w:val="20"/>
              </w:rPr>
            </w:pPr>
            <w:r w:rsidRPr="009F783C">
              <w:rPr>
                <w:rFonts w:cs="Arial"/>
                <w:sz w:val="20"/>
                <w:szCs w:val="20"/>
              </w:rPr>
              <w:t>445.000.000</w:t>
            </w:r>
          </w:p>
        </w:tc>
        <w:tc>
          <w:tcPr>
            <w:tcW w:w="0" w:type="auto"/>
            <w:tcMar>
              <w:top w:w="30" w:type="dxa"/>
              <w:left w:w="45" w:type="dxa"/>
              <w:bottom w:w="30" w:type="dxa"/>
              <w:right w:w="45" w:type="dxa"/>
            </w:tcMar>
            <w:vAlign w:val="center"/>
            <w:hideMark/>
          </w:tcPr>
          <w:p w14:paraId="44AFEE13" w14:textId="77777777" w:rsidR="009F783C" w:rsidRPr="009F783C" w:rsidRDefault="009F783C" w:rsidP="00AA4BBB">
            <w:pPr>
              <w:jc w:val="center"/>
              <w:rPr>
                <w:rFonts w:cs="Arial"/>
                <w:sz w:val="20"/>
                <w:szCs w:val="20"/>
              </w:rPr>
            </w:pPr>
            <w:r w:rsidRPr="009F783C">
              <w:rPr>
                <w:rFonts w:cs="Arial"/>
                <w:sz w:val="20"/>
                <w:szCs w:val="20"/>
              </w:rPr>
              <w:t>456.310.680</w:t>
            </w:r>
          </w:p>
        </w:tc>
        <w:tc>
          <w:tcPr>
            <w:tcW w:w="0" w:type="auto"/>
            <w:tcMar>
              <w:top w:w="30" w:type="dxa"/>
              <w:left w:w="45" w:type="dxa"/>
              <w:bottom w:w="30" w:type="dxa"/>
              <w:right w:w="45" w:type="dxa"/>
            </w:tcMar>
            <w:vAlign w:val="center"/>
            <w:hideMark/>
          </w:tcPr>
          <w:p w14:paraId="2C4D3721" w14:textId="77777777" w:rsidR="009F783C" w:rsidRPr="009F783C" w:rsidRDefault="009F783C" w:rsidP="00AA4BBB">
            <w:pPr>
              <w:jc w:val="center"/>
              <w:rPr>
                <w:rFonts w:cs="Arial"/>
                <w:sz w:val="20"/>
                <w:szCs w:val="20"/>
              </w:rPr>
            </w:pPr>
            <w:r w:rsidRPr="009F783C">
              <w:rPr>
                <w:rFonts w:cs="Arial"/>
                <w:sz w:val="20"/>
                <w:szCs w:val="20"/>
              </w:rPr>
              <w:t>475.068.338</w:t>
            </w:r>
          </w:p>
        </w:tc>
        <w:tc>
          <w:tcPr>
            <w:tcW w:w="0" w:type="auto"/>
            <w:tcMar>
              <w:top w:w="30" w:type="dxa"/>
              <w:left w:w="45" w:type="dxa"/>
              <w:bottom w:w="30" w:type="dxa"/>
              <w:right w:w="45" w:type="dxa"/>
            </w:tcMar>
            <w:vAlign w:val="center"/>
            <w:hideMark/>
          </w:tcPr>
          <w:p w14:paraId="2948B9DE" w14:textId="77777777" w:rsidR="009F783C" w:rsidRPr="009F783C" w:rsidRDefault="009F783C" w:rsidP="00AA4BBB">
            <w:pPr>
              <w:jc w:val="center"/>
              <w:rPr>
                <w:rFonts w:cs="Arial"/>
                <w:sz w:val="20"/>
                <w:szCs w:val="20"/>
              </w:rPr>
            </w:pPr>
            <w:r w:rsidRPr="009F783C">
              <w:rPr>
                <w:rFonts w:cs="Arial"/>
                <w:sz w:val="20"/>
                <w:szCs w:val="20"/>
              </w:rPr>
              <w:t>481.364.513</w:t>
            </w:r>
          </w:p>
        </w:tc>
        <w:tc>
          <w:tcPr>
            <w:tcW w:w="0" w:type="auto"/>
            <w:vMerge/>
            <w:vAlign w:val="center"/>
            <w:hideMark/>
          </w:tcPr>
          <w:p w14:paraId="660F3B0F" w14:textId="77777777" w:rsidR="009F783C" w:rsidRPr="009F783C" w:rsidRDefault="009F783C" w:rsidP="00AA4BBB">
            <w:pPr>
              <w:rPr>
                <w:rFonts w:cs="Arial"/>
                <w:b/>
                <w:bCs/>
                <w:sz w:val="20"/>
                <w:szCs w:val="20"/>
              </w:rPr>
            </w:pPr>
          </w:p>
        </w:tc>
      </w:tr>
      <w:tr w:rsidR="009F783C" w:rsidRPr="009F783C" w14:paraId="468C6304" w14:textId="77777777" w:rsidTr="00AA4BBB">
        <w:tc>
          <w:tcPr>
            <w:tcW w:w="9828" w:type="dxa"/>
            <w:gridSpan w:val="7"/>
            <w:shd w:val="clear" w:color="auto" w:fill="C00000"/>
            <w:tcMar>
              <w:top w:w="30" w:type="dxa"/>
              <w:left w:w="45" w:type="dxa"/>
              <w:bottom w:w="30" w:type="dxa"/>
              <w:right w:w="45" w:type="dxa"/>
            </w:tcMar>
            <w:vAlign w:val="center"/>
            <w:hideMark/>
          </w:tcPr>
          <w:p w14:paraId="16188AAA"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Movilidad</w:t>
            </w:r>
          </w:p>
        </w:tc>
      </w:tr>
      <w:tr w:rsidR="009F783C" w:rsidRPr="009F783C" w14:paraId="1210851B" w14:textId="77777777" w:rsidTr="00AA4BBB">
        <w:trPr>
          <w:gridAfter w:val="1"/>
          <w:wAfter w:w="6" w:type="dxa"/>
        </w:trPr>
        <w:tc>
          <w:tcPr>
            <w:tcW w:w="2402" w:type="dxa"/>
            <w:vMerge w:val="restart"/>
            <w:tcMar>
              <w:top w:w="30" w:type="dxa"/>
              <w:left w:w="45" w:type="dxa"/>
              <w:bottom w:w="30" w:type="dxa"/>
              <w:right w:w="45" w:type="dxa"/>
            </w:tcMar>
            <w:vAlign w:val="center"/>
            <w:hideMark/>
          </w:tcPr>
          <w:p w14:paraId="12BF6054" w14:textId="77777777" w:rsidR="009F783C" w:rsidRPr="009F783C" w:rsidRDefault="009F783C" w:rsidP="00AA4BBB">
            <w:pPr>
              <w:rPr>
                <w:rFonts w:cs="Arial"/>
                <w:sz w:val="20"/>
                <w:szCs w:val="20"/>
              </w:rPr>
            </w:pPr>
            <w:r w:rsidRPr="009F783C">
              <w:rPr>
                <w:rFonts w:cs="Arial"/>
                <w:sz w:val="20"/>
                <w:szCs w:val="20"/>
              </w:rPr>
              <w:t>Desarrollar el 100% de la estrategia de mejora y sostenibilidad del Modelo Integrado De Planeación y Gestión - Mipg en las entidades del Sector Movilidad</w:t>
            </w:r>
          </w:p>
        </w:tc>
        <w:tc>
          <w:tcPr>
            <w:tcW w:w="1492" w:type="dxa"/>
            <w:tcMar>
              <w:top w:w="30" w:type="dxa"/>
              <w:left w:w="45" w:type="dxa"/>
              <w:bottom w:w="30" w:type="dxa"/>
              <w:right w:w="45" w:type="dxa"/>
            </w:tcMar>
            <w:vAlign w:val="center"/>
            <w:hideMark/>
          </w:tcPr>
          <w:p w14:paraId="52DF421E"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59F85D4D"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28203C19"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77AE5ED9"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vMerge w:val="restart"/>
            <w:tcMar>
              <w:top w:w="30" w:type="dxa"/>
              <w:left w:w="45" w:type="dxa"/>
              <w:bottom w:w="30" w:type="dxa"/>
              <w:right w:w="45" w:type="dxa"/>
            </w:tcMar>
            <w:vAlign w:val="center"/>
            <w:hideMark/>
          </w:tcPr>
          <w:p w14:paraId="7779ADE1" w14:textId="77777777" w:rsidR="009F783C" w:rsidRPr="009F783C" w:rsidRDefault="009F783C" w:rsidP="00AA4BBB">
            <w:pPr>
              <w:jc w:val="center"/>
              <w:rPr>
                <w:rFonts w:cs="Arial"/>
                <w:b/>
                <w:bCs/>
                <w:sz w:val="20"/>
                <w:szCs w:val="20"/>
              </w:rPr>
            </w:pPr>
            <w:r w:rsidRPr="009F783C">
              <w:rPr>
                <w:rFonts w:cs="Arial"/>
                <w:b/>
                <w:bCs/>
                <w:sz w:val="20"/>
                <w:szCs w:val="20"/>
              </w:rPr>
              <w:t>1.836.952.177.326</w:t>
            </w:r>
          </w:p>
        </w:tc>
      </w:tr>
      <w:tr w:rsidR="009F783C" w:rsidRPr="009F783C" w14:paraId="2AEE767B" w14:textId="77777777" w:rsidTr="00AA4BBB">
        <w:trPr>
          <w:gridAfter w:val="1"/>
          <w:wAfter w:w="6" w:type="dxa"/>
        </w:trPr>
        <w:tc>
          <w:tcPr>
            <w:tcW w:w="2402" w:type="dxa"/>
            <w:vMerge/>
            <w:vAlign w:val="center"/>
            <w:hideMark/>
          </w:tcPr>
          <w:p w14:paraId="1ECF13BC"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0934CC3F" w14:textId="77777777" w:rsidR="009F783C" w:rsidRPr="009F783C" w:rsidRDefault="009F783C" w:rsidP="00AA4BBB">
            <w:pPr>
              <w:jc w:val="center"/>
              <w:rPr>
                <w:rFonts w:cs="Arial"/>
                <w:sz w:val="20"/>
                <w:szCs w:val="20"/>
              </w:rPr>
            </w:pPr>
            <w:r w:rsidRPr="009F783C">
              <w:rPr>
                <w:rFonts w:cs="Arial"/>
                <w:sz w:val="20"/>
                <w:szCs w:val="20"/>
              </w:rPr>
              <w:t>317.899.000.000</w:t>
            </w:r>
          </w:p>
        </w:tc>
        <w:tc>
          <w:tcPr>
            <w:tcW w:w="0" w:type="auto"/>
            <w:tcMar>
              <w:top w:w="30" w:type="dxa"/>
              <w:left w:w="45" w:type="dxa"/>
              <w:bottom w:w="30" w:type="dxa"/>
              <w:right w:w="45" w:type="dxa"/>
            </w:tcMar>
            <w:vAlign w:val="center"/>
            <w:hideMark/>
          </w:tcPr>
          <w:p w14:paraId="498C4229" w14:textId="77777777" w:rsidR="009F783C" w:rsidRPr="009F783C" w:rsidRDefault="009F783C" w:rsidP="00AA4BBB">
            <w:pPr>
              <w:jc w:val="center"/>
              <w:rPr>
                <w:rFonts w:cs="Arial"/>
                <w:sz w:val="20"/>
                <w:szCs w:val="20"/>
              </w:rPr>
            </w:pPr>
            <w:r w:rsidRPr="009F783C">
              <w:rPr>
                <w:rFonts w:cs="Arial"/>
                <w:sz w:val="20"/>
                <w:szCs w:val="20"/>
              </w:rPr>
              <w:t>502.288.349.515</w:t>
            </w:r>
          </w:p>
        </w:tc>
        <w:tc>
          <w:tcPr>
            <w:tcW w:w="0" w:type="auto"/>
            <w:tcMar>
              <w:top w:w="30" w:type="dxa"/>
              <w:left w:w="45" w:type="dxa"/>
              <w:bottom w:w="30" w:type="dxa"/>
              <w:right w:w="45" w:type="dxa"/>
            </w:tcMar>
            <w:vAlign w:val="center"/>
            <w:hideMark/>
          </w:tcPr>
          <w:p w14:paraId="24D2FE5B" w14:textId="77777777" w:rsidR="009F783C" w:rsidRPr="009F783C" w:rsidRDefault="009F783C" w:rsidP="00AA4BBB">
            <w:pPr>
              <w:jc w:val="center"/>
              <w:rPr>
                <w:rFonts w:cs="Arial"/>
                <w:sz w:val="20"/>
                <w:szCs w:val="20"/>
              </w:rPr>
            </w:pPr>
            <w:r w:rsidRPr="009F783C">
              <w:rPr>
                <w:rFonts w:cs="Arial"/>
                <w:sz w:val="20"/>
                <w:szCs w:val="20"/>
              </w:rPr>
              <w:t>505.180.507.117</w:t>
            </w:r>
          </w:p>
        </w:tc>
        <w:tc>
          <w:tcPr>
            <w:tcW w:w="0" w:type="auto"/>
            <w:tcMar>
              <w:top w:w="30" w:type="dxa"/>
              <w:left w:w="45" w:type="dxa"/>
              <w:bottom w:w="30" w:type="dxa"/>
              <w:right w:w="45" w:type="dxa"/>
            </w:tcMar>
            <w:vAlign w:val="center"/>
            <w:hideMark/>
          </w:tcPr>
          <w:p w14:paraId="4D74AC45" w14:textId="77777777" w:rsidR="009F783C" w:rsidRPr="009F783C" w:rsidRDefault="009F783C" w:rsidP="00AA4BBB">
            <w:pPr>
              <w:jc w:val="center"/>
              <w:rPr>
                <w:rFonts w:cs="Arial"/>
                <w:sz w:val="20"/>
                <w:szCs w:val="20"/>
              </w:rPr>
            </w:pPr>
            <w:r w:rsidRPr="009F783C">
              <w:rPr>
                <w:rFonts w:cs="Arial"/>
                <w:sz w:val="20"/>
                <w:szCs w:val="20"/>
              </w:rPr>
              <w:t>511.584.320.695</w:t>
            </w:r>
          </w:p>
        </w:tc>
        <w:tc>
          <w:tcPr>
            <w:tcW w:w="0" w:type="auto"/>
            <w:vMerge/>
            <w:vAlign w:val="center"/>
            <w:hideMark/>
          </w:tcPr>
          <w:p w14:paraId="1001AA49" w14:textId="77777777" w:rsidR="009F783C" w:rsidRPr="009F783C" w:rsidRDefault="009F783C" w:rsidP="00AA4BBB">
            <w:pPr>
              <w:rPr>
                <w:rFonts w:cs="Arial"/>
                <w:b/>
                <w:bCs/>
                <w:sz w:val="20"/>
                <w:szCs w:val="20"/>
              </w:rPr>
            </w:pPr>
          </w:p>
        </w:tc>
      </w:tr>
      <w:tr w:rsidR="009F783C" w:rsidRPr="009F783C" w14:paraId="6513E508" w14:textId="77777777" w:rsidTr="00AA4BBB">
        <w:tc>
          <w:tcPr>
            <w:tcW w:w="9828" w:type="dxa"/>
            <w:gridSpan w:val="7"/>
            <w:shd w:val="clear" w:color="auto" w:fill="C00000"/>
            <w:tcMar>
              <w:top w:w="30" w:type="dxa"/>
              <w:left w:w="45" w:type="dxa"/>
              <w:bottom w:w="30" w:type="dxa"/>
              <w:right w:w="45" w:type="dxa"/>
            </w:tcMar>
            <w:vAlign w:val="center"/>
            <w:hideMark/>
          </w:tcPr>
          <w:p w14:paraId="19441CDC" w14:textId="77777777" w:rsidR="009F783C" w:rsidRPr="009F783C" w:rsidRDefault="009F783C" w:rsidP="00AA4BBB">
            <w:pPr>
              <w:jc w:val="center"/>
              <w:rPr>
                <w:rFonts w:cs="Arial"/>
                <w:b/>
                <w:bCs/>
                <w:sz w:val="20"/>
                <w:szCs w:val="20"/>
              </w:rPr>
            </w:pPr>
            <w:r w:rsidRPr="009F783C">
              <w:rPr>
                <w:rFonts w:cs="Arial"/>
                <w:b/>
                <w:bCs/>
                <w:color w:val="FFFFFF" w:themeColor="background1"/>
                <w:sz w:val="20"/>
                <w:szCs w:val="20"/>
              </w:rPr>
              <w:t>Mujer</w:t>
            </w:r>
          </w:p>
        </w:tc>
      </w:tr>
      <w:tr w:rsidR="009F783C" w:rsidRPr="009F783C" w14:paraId="1F0D4D14" w14:textId="77777777" w:rsidTr="00AA4BBB">
        <w:trPr>
          <w:gridAfter w:val="1"/>
          <w:wAfter w:w="6" w:type="dxa"/>
        </w:trPr>
        <w:tc>
          <w:tcPr>
            <w:tcW w:w="2402" w:type="dxa"/>
            <w:vMerge w:val="restart"/>
            <w:tcMar>
              <w:top w:w="30" w:type="dxa"/>
              <w:left w:w="45" w:type="dxa"/>
              <w:bottom w:w="30" w:type="dxa"/>
              <w:right w:w="45" w:type="dxa"/>
            </w:tcMar>
            <w:vAlign w:val="center"/>
            <w:hideMark/>
          </w:tcPr>
          <w:p w14:paraId="47465E30" w14:textId="77777777" w:rsidR="009F783C" w:rsidRPr="009F783C" w:rsidRDefault="009F783C" w:rsidP="00AA4BBB">
            <w:pPr>
              <w:rPr>
                <w:rFonts w:cs="Arial"/>
                <w:sz w:val="20"/>
                <w:szCs w:val="20"/>
              </w:rPr>
            </w:pPr>
            <w:r w:rsidRPr="009F783C">
              <w:rPr>
                <w:rFonts w:cs="Arial"/>
                <w:sz w:val="20"/>
                <w:szCs w:val="20"/>
              </w:rPr>
              <w:t>Articular con los 15 sectores de la Administración Distrital programas y acciones orientadas a mitigar la violencia económica política y comunitaria contra las mujeres aportando al fortalecimiento de su autonomía económica física y social, así como al ejercicio pleno de su ciudadanía</w:t>
            </w:r>
          </w:p>
        </w:tc>
        <w:tc>
          <w:tcPr>
            <w:tcW w:w="1492" w:type="dxa"/>
            <w:tcMar>
              <w:top w:w="30" w:type="dxa"/>
              <w:left w:w="45" w:type="dxa"/>
              <w:bottom w:w="30" w:type="dxa"/>
              <w:right w:w="45" w:type="dxa"/>
            </w:tcMar>
            <w:vAlign w:val="center"/>
            <w:hideMark/>
          </w:tcPr>
          <w:p w14:paraId="7198420F" w14:textId="77777777" w:rsidR="009F783C" w:rsidRPr="009F783C" w:rsidRDefault="009F783C" w:rsidP="00AA4BBB">
            <w:pPr>
              <w:jc w:val="center"/>
              <w:rPr>
                <w:rFonts w:cs="Arial"/>
                <w:sz w:val="20"/>
                <w:szCs w:val="20"/>
              </w:rPr>
            </w:pPr>
            <w:r w:rsidRPr="009F783C">
              <w:rPr>
                <w:rFonts w:cs="Arial"/>
                <w:sz w:val="20"/>
                <w:szCs w:val="20"/>
              </w:rPr>
              <w:t>15</w:t>
            </w:r>
          </w:p>
        </w:tc>
        <w:tc>
          <w:tcPr>
            <w:tcW w:w="0" w:type="auto"/>
            <w:tcMar>
              <w:top w:w="30" w:type="dxa"/>
              <w:left w:w="45" w:type="dxa"/>
              <w:bottom w:w="30" w:type="dxa"/>
              <w:right w:w="45" w:type="dxa"/>
            </w:tcMar>
            <w:vAlign w:val="center"/>
            <w:hideMark/>
          </w:tcPr>
          <w:p w14:paraId="792B257E" w14:textId="77777777" w:rsidR="009F783C" w:rsidRPr="009F783C" w:rsidRDefault="009F783C" w:rsidP="00AA4BBB">
            <w:pPr>
              <w:jc w:val="center"/>
              <w:rPr>
                <w:rFonts w:cs="Arial"/>
                <w:sz w:val="20"/>
                <w:szCs w:val="20"/>
              </w:rPr>
            </w:pPr>
            <w:r w:rsidRPr="009F783C">
              <w:rPr>
                <w:rFonts w:cs="Arial"/>
                <w:sz w:val="20"/>
                <w:szCs w:val="20"/>
              </w:rPr>
              <w:t>15</w:t>
            </w:r>
          </w:p>
        </w:tc>
        <w:tc>
          <w:tcPr>
            <w:tcW w:w="0" w:type="auto"/>
            <w:tcMar>
              <w:top w:w="30" w:type="dxa"/>
              <w:left w:w="45" w:type="dxa"/>
              <w:bottom w:w="30" w:type="dxa"/>
              <w:right w:w="45" w:type="dxa"/>
            </w:tcMar>
            <w:vAlign w:val="center"/>
            <w:hideMark/>
          </w:tcPr>
          <w:p w14:paraId="074A5048" w14:textId="77777777" w:rsidR="009F783C" w:rsidRPr="009F783C" w:rsidRDefault="009F783C" w:rsidP="00AA4BBB">
            <w:pPr>
              <w:jc w:val="center"/>
              <w:rPr>
                <w:rFonts w:cs="Arial"/>
                <w:sz w:val="20"/>
                <w:szCs w:val="20"/>
              </w:rPr>
            </w:pPr>
            <w:r w:rsidRPr="009F783C">
              <w:rPr>
                <w:rFonts w:cs="Arial"/>
                <w:sz w:val="20"/>
                <w:szCs w:val="20"/>
              </w:rPr>
              <w:t>15</w:t>
            </w:r>
          </w:p>
        </w:tc>
        <w:tc>
          <w:tcPr>
            <w:tcW w:w="0" w:type="auto"/>
            <w:tcMar>
              <w:top w:w="30" w:type="dxa"/>
              <w:left w:w="45" w:type="dxa"/>
              <w:bottom w:w="30" w:type="dxa"/>
              <w:right w:w="45" w:type="dxa"/>
            </w:tcMar>
            <w:vAlign w:val="center"/>
            <w:hideMark/>
          </w:tcPr>
          <w:p w14:paraId="48F69739" w14:textId="77777777" w:rsidR="009F783C" w:rsidRPr="009F783C" w:rsidRDefault="009F783C" w:rsidP="00AA4BBB">
            <w:pPr>
              <w:jc w:val="center"/>
              <w:rPr>
                <w:rFonts w:cs="Arial"/>
                <w:sz w:val="20"/>
                <w:szCs w:val="20"/>
              </w:rPr>
            </w:pPr>
            <w:r w:rsidRPr="009F783C">
              <w:rPr>
                <w:rFonts w:cs="Arial"/>
                <w:sz w:val="20"/>
                <w:szCs w:val="20"/>
              </w:rPr>
              <w:t>15</w:t>
            </w:r>
          </w:p>
        </w:tc>
        <w:tc>
          <w:tcPr>
            <w:tcW w:w="0" w:type="auto"/>
            <w:vMerge w:val="restart"/>
            <w:tcMar>
              <w:top w:w="30" w:type="dxa"/>
              <w:left w:w="45" w:type="dxa"/>
              <w:bottom w:w="30" w:type="dxa"/>
              <w:right w:w="45" w:type="dxa"/>
            </w:tcMar>
            <w:vAlign w:val="center"/>
            <w:hideMark/>
          </w:tcPr>
          <w:p w14:paraId="371440F8" w14:textId="77777777" w:rsidR="009F783C" w:rsidRPr="009F783C" w:rsidRDefault="009F783C" w:rsidP="00AA4BBB">
            <w:pPr>
              <w:jc w:val="center"/>
              <w:rPr>
                <w:rFonts w:cs="Arial"/>
                <w:b/>
                <w:bCs/>
                <w:sz w:val="20"/>
                <w:szCs w:val="20"/>
              </w:rPr>
            </w:pPr>
            <w:r w:rsidRPr="009F783C">
              <w:rPr>
                <w:rFonts w:cs="Arial"/>
                <w:b/>
                <w:bCs/>
                <w:sz w:val="20"/>
                <w:szCs w:val="20"/>
              </w:rPr>
              <w:t>10.501.735.403</w:t>
            </w:r>
          </w:p>
        </w:tc>
      </w:tr>
      <w:tr w:rsidR="009F783C" w:rsidRPr="009F783C" w14:paraId="01F5E9A2" w14:textId="77777777" w:rsidTr="00AA4BBB">
        <w:trPr>
          <w:gridAfter w:val="1"/>
          <w:wAfter w:w="6" w:type="dxa"/>
        </w:trPr>
        <w:tc>
          <w:tcPr>
            <w:tcW w:w="2402" w:type="dxa"/>
            <w:vMerge/>
            <w:vAlign w:val="center"/>
            <w:hideMark/>
          </w:tcPr>
          <w:p w14:paraId="5C52A9B8"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6A45CD2F" w14:textId="77777777" w:rsidR="009F783C" w:rsidRPr="009F783C" w:rsidRDefault="009F783C" w:rsidP="00AA4BBB">
            <w:pPr>
              <w:jc w:val="center"/>
              <w:rPr>
                <w:rFonts w:cs="Arial"/>
                <w:sz w:val="20"/>
                <w:szCs w:val="20"/>
              </w:rPr>
            </w:pPr>
            <w:r w:rsidRPr="009F783C">
              <w:rPr>
                <w:rFonts w:cs="Arial"/>
                <w:sz w:val="20"/>
                <w:szCs w:val="20"/>
              </w:rPr>
              <w:t>2.446.169.370</w:t>
            </w:r>
          </w:p>
        </w:tc>
        <w:tc>
          <w:tcPr>
            <w:tcW w:w="0" w:type="auto"/>
            <w:tcMar>
              <w:top w:w="30" w:type="dxa"/>
              <w:left w:w="45" w:type="dxa"/>
              <w:bottom w:w="30" w:type="dxa"/>
              <w:right w:w="45" w:type="dxa"/>
            </w:tcMar>
            <w:vAlign w:val="center"/>
            <w:hideMark/>
          </w:tcPr>
          <w:p w14:paraId="12DD8002" w14:textId="77777777" w:rsidR="009F783C" w:rsidRPr="009F783C" w:rsidRDefault="009F783C" w:rsidP="00AA4BBB">
            <w:pPr>
              <w:jc w:val="center"/>
              <w:rPr>
                <w:rFonts w:cs="Arial"/>
                <w:sz w:val="20"/>
                <w:szCs w:val="20"/>
              </w:rPr>
            </w:pPr>
            <w:r w:rsidRPr="009F783C">
              <w:rPr>
                <w:rFonts w:cs="Arial"/>
                <w:sz w:val="20"/>
                <w:szCs w:val="20"/>
              </w:rPr>
              <w:t>2.600.539.282</w:t>
            </w:r>
          </w:p>
        </w:tc>
        <w:tc>
          <w:tcPr>
            <w:tcW w:w="0" w:type="auto"/>
            <w:tcMar>
              <w:top w:w="30" w:type="dxa"/>
              <w:left w:w="45" w:type="dxa"/>
              <w:bottom w:w="30" w:type="dxa"/>
              <w:right w:w="45" w:type="dxa"/>
            </w:tcMar>
            <w:vAlign w:val="center"/>
            <w:hideMark/>
          </w:tcPr>
          <w:p w14:paraId="568490D6" w14:textId="77777777" w:rsidR="009F783C" w:rsidRPr="009F783C" w:rsidRDefault="009F783C" w:rsidP="00AA4BBB">
            <w:pPr>
              <w:jc w:val="center"/>
              <w:rPr>
                <w:rFonts w:cs="Arial"/>
                <w:sz w:val="20"/>
                <w:szCs w:val="20"/>
              </w:rPr>
            </w:pPr>
            <w:r w:rsidRPr="009F783C">
              <w:rPr>
                <w:rFonts w:cs="Arial"/>
                <w:sz w:val="20"/>
                <w:szCs w:val="20"/>
              </w:rPr>
              <w:t>2.688.907.121</w:t>
            </w:r>
          </w:p>
        </w:tc>
        <w:tc>
          <w:tcPr>
            <w:tcW w:w="0" w:type="auto"/>
            <w:tcMar>
              <w:top w:w="30" w:type="dxa"/>
              <w:left w:w="45" w:type="dxa"/>
              <w:bottom w:w="30" w:type="dxa"/>
              <w:right w:w="45" w:type="dxa"/>
            </w:tcMar>
            <w:vAlign w:val="center"/>
            <w:hideMark/>
          </w:tcPr>
          <w:p w14:paraId="36B53FDA" w14:textId="77777777" w:rsidR="009F783C" w:rsidRPr="009F783C" w:rsidRDefault="009F783C" w:rsidP="00AA4BBB">
            <w:pPr>
              <w:jc w:val="center"/>
              <w:rPr>
                <w:rFonts w:cs="Arial"/>
                <w:sz w:val="20"/>
                <w:szCs w:val="20"/>
              </w:rPr>
            </w:pPr>
            <w:r w:rsidRPr="009F783C">
              <w:rPr>
                <w:rFonts w:cs="Arial"/>
                <w:sz w:val="20"/>
                <w:szCs w:val="20"/>
              </w:rPr>
              <w:t>2.766.119.630</w:t>
            </w:r>
          </w:p>
        </w:tc>
        <w:tc>
          <w:tcPr>
            <w:tcW w:w="0" w:type="auto"/>
            <w:vMerge/>
            <w:vAlign w:val="center"/>
            <w:hideMark/>
          </w:tcPr>
          <w:p w14:paraId="625F6D6D" w14:textId="77777777" w:rsidR="009F783C" w:rsidRPr="009F783C" w:rsidRDefault="009F783C" w:rsidP="00AA4BBB">
            <w:pPr>
              <w:rPr>
                <w:rFonts w:cs="Arial"/>
                <w:b/>
                <w:bCs/>
                <w:sz w:val="20"/>
                <w:szCs w:val="20"/>
              </w:rPr>
            </w:pPr>
          </w:p>
        </w:tc>
      </w:tr>
      <w:tr w:rsidR="009F783C" w:rsidRPr="009F783C" w14:paraId="5AF6B1CF"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210A911" w14:textId="77777777" w:rsidR="009F783C" w:rsidRPr="009F783C" w:rsidRDefault="009F783C" w:rsidP="00AA4BBB">
            <w:pPr>
              <w:rPr>
                <w:rFonts w:cs="Arial"/>
                <w:sz w:val="20"/>
                <w:szCs w:val="20"/>
              </w:rPr>
            </w:pPr>
            <w:r w:rsidRPr="009F783C">
              <w:rPr>
                <w:rFonts w:cs="Arial"/>
                <w:sz w:val="20"/>
                <w:szCs w:val="20"/>
              </w:rPr>
              <w:t>Lograr al menos 92 puntos del índice de Gestión Pública Distrital</w:t>
            </w:r>
          </w:p>
        </w:tc>
        <w:tc>
          <w:tcPr>
            <w:tcW w:w="1492" w:type="dxa"/>
            <w:tcMar>
              <w:top w:w="30" w:type="dxa"/>
              <w:left w:w="45" w:type="dxa"/>
              <w:bottom w:w="30" w:type="dxa"/>
              <w:right w:w="45" w:type="dxa"/>
            </w:tcMar>
            <w:vAlign w:val="center"/>
            <w:hideMark/>
          </w:tcPr>
          <w:p w14:paraId="6432DA60" w14:textId="77777777" w:rsidR="009F783C" w:rsidRPr="009F783C" w:rsidRDefault="009F783C" w:rsidP="00AA4BBB">
            <w:pPr>
              <w:jc w:val="center"/>
              <w:rPr>
                <w:rFonts w:cs="Arial"/>
                <w:sz w:val="20"/>
                <w:szCs w:val="20"/>
              </w:rPr>
            </w:pPr>
            <w:r w:rsidRPr="009F783C">
              <w:rPr>
                <w:rFonts w:cs="Arial"/>
                <w:sz w:val="20"/>
                <w:szCs w:val="20"/>
              </w:rPr>
              <w:t>90.4</w:t>
            </w:r>
          </w:p>
        </w:tc>
        <w:tc>
          <w:tcPr>
            <w:tcW w:w="0" w:type="auto"/>
            <w:tcMar>
              <w:top w:w="30" w:type="dxa"/>
              <w:left w:w="45" w:type="dxa"/>
              <w:bottom w:w="30" w:type="dxa"/>
              <w:right w:w="45" w:type="dxa"/>
            </w:tcMar>
            <w:vAlign w:val="center"/>
            <w:hideMark/>
          </w:tcPr>
          <w:p w14:paraId="0DF0869F" w14:textId="77777777" w:rsidR="009F783C" w:rsidRPr="009F783C" w:rsidRDefault="009F783C" w:rsidP="00AA4BBB">
            <w:pPr>
              <w:jc w:val="center"/>
              <w:rPr>
                <w:rFonts w:cs="Arial"/>
                <w:sz w:val="20"/>
                <w:szCs w:val="20"/>
              </w:rPr>
            </w:pPr>
            <w:r w:rsidRPr="009F783C">
              <w:rPr>
                <w:rFonts w:cs="Arial"/>
                <w:sz w:val="20"/>
                <w:szCs w:val="20"/>
              </w:rPr>
              <w:t>91</w:t>
            </w:r>
          </w:p>
        </w:tc>
        <w:tc>
          <w:tcPr>
            <w:tcW w:w="0" w:type="auto"/>
            <w:tcMar>
              <w:top w:w="30" w:type="dxa"/>
              <w:left w:w="45" w:type="dxa"/>
              <w:bottom w:w="30" w:type="dxa"/>
              <w:right w:w="45" w:type="dxa"/>
            </w:tcMar>
            <w:vAlign w:val="center"/>
            <w:hideMark/>
          </w:tcPr>
          <w:p w14:paraId="5F692AE5" w14:textId="77777777" w:rsidR="009F783C" w:rsidRPr="009F783C" w:rsidRDefault="009F783C" w:rsidP="00AA4BBB">
            <w:pPr>
              <w:jc w:val="center"/>
              <w:rPr>
                <w:rFonts w:cs="Arial"/>
                <w:sz w:val="20"/>
                <w:szCs w:val="20"/>
              </w:rPr>
            </w:pPr>
            <w:r w:rsidRPr="009F783C">
              <w:rPr>
                <w:rFonts w:cs="Arial"/>
                <w:sz w:val="20"/>
                <w:szCs w:val="20"/>
              </w:rPr>
              <w:t>91.5</w:t>
            </w:r>
          </w:p>
        </w:tc>
        <w:tc>
          <w:tcPr>
            <w:tcW w:w="0" w:type="auto"/>
            <w:tcMar>
              <w:top w:w="30" w:type="dxa"/>
              <w:left w:w="45" w:type="dxa"/>
              <w:bottom w:w="30" w:type="dxa"/>
              <w:right w:w="45" w:type="dxa"/>
            </w:tcMar>
            <w:vAlign w:val="center"/>
            <w:hideMark/>
          </w:tcPr>
          <w:p w14:paraId="609F88AD" w14:textId="77777777" w:rsidR="009F783C" w:rsidRPr="009F783C" w:rsidRDefault="009F783C" w:rsidP="00AA4BBB">
            <w:pPr>
              <w:jc w:val="center"/>
              <w:rPr>
                <w:rFonts w:cs="Arial"/>
                <w:sz w:val="20"/>
                <w:szCs w:val="20"/>
              </w:rPr>
            </w:pPr>
            <w:r w:rsidRPr="009F783C">
              <w:rPr>
                <w:rFonts w:cs="Arial"/>
                <w:sz w:val="20"/>
                <w:szCs w:val="20"/>
              </w:rPr>
              <w:t>92</w:t>
            </w:r>
          </w:p>
        </w:tc>
        <w:tc>
          <w:tcPr>
            <w:tcW w:w="0" w:type="auto"/>
            <w:vMerge w:val="restart"/>
            <w:tcMar>
              <w:top w:w="30" w:type="dxa"/>
              <w:left w:w="45" w:type="dxa"/>
              <w:bottom w:w="30" w:type="dxa"/>
              <w:right w:w="45" w:type="dxa"/>
            </w:tcMar>
            <w:vAlign w:val="center"/>
            <w:hideMark/>
          </w:tcPr>
          <w:p w14:paraId="634B4DDB" w14:textId="77777777" w:rsidR="009F783C" w:rsidRPr="009F783C" w:rsidRDefault="009F783C" w:rsidP="00AA4BBB">
            <w:pPr>
              <w:jc w:val="center"/>
              <w:rPr>
                <w:rFonts w:cs="Arial"/>
                <w:b/>
                <w:bCs/>
                <w:sz w:val="20"/>
                <w:szCs w:val="20"/>
              </w:rPr>
            </w:pPr>
            <w:r w:rsidRPr="009F783C">
              <w:rPr>
                <w:rFonts w:cs="Arial"/>
                <w:b/>
                <w:bCs/>
                <w:sz w:val="20"/>
                <w:szCs w:val="20"/>
              </w:rPr>
              <w:t>53.425.192.105</w:t>
            </w:r>
          </w:p>
        </w:tc>
      </w:tr>
      <w:tr w:rsidR="009F783C" w:rsidRPr="009F783C" w14:paraId="71DD0D01" w14:textId="77777777" w:rsidTr="00AA4BBB">
        <w:trPr>
          <w:gridAfter w:val="1"/>
          <w:wAfter w:w="6" w:type="dxa"/>
        </w:trPr>
        <w:tc>
          <w:tcPr>
            <w:tcW w:w="2402" w:type="dxa"/>
            <w:vMerge/>
            <w:vAlign w:val="center"/>
            <w:hideMark/>
          </w:tcPr>
          <w:p w14:paraId="45103794"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1A30F964" w14:textId="77777777" w:rsidR="009F783C" w:rsidRPr="009F783C" w:rsidRDefault="009F783C" w:rsidP="00AA4BBB">
            <w:pPr>
              <w:jc w:val="center"/>
              <w:rPr>
                <w:rFonts w:cs="Arial"/>
                <w:sz w:val="20"/>
                <w:szCs w:val="20"/>
              </w:rPr>
            </w:pPr>
            <w:r w:rsidRPr="009F783C">
              <w:rPr>
                <w:rFonts w:cs="Arial"/>
                <w:sz w:val="20"/>
                <w:szCs w:val="20"/>
              </w:rPr>
              <w:t>12.444.330.723</w:t>
            </w:r>
          </w:p>
        </w:tc>
        <w:tc>
          <w:tcPr>
            <w:tcW w:w="0" w:type="auto"/>
            <w:tcMar>
              <w:top w:w="30" w:type="dxa"/>
              <w:left w:w="45" w:type="dxa"/>
              <w:bottom w:w="30" w:type="dxa"/>
              <w:right w:w="45" w:type="dxa"/>
            </w:tcMar>
            <w:vAlign w:val="center"/>
            <w:hideMark/>
          </w:tcPr>
          <w:p w14:paraId="63DC35E3" w14:textId="77777777" w:rsidR="009F783C" w:rsidRPr="009F783C" w:rsidRDefault="009F783C" w:rsidP="00AA4BBB">
            <w:pPr>
              <w:jc w:val="center"/>
              <w:rPr>
                <w:rFonts w:cs="Arial"/>
                <w:sz w:val="20"/>
                <w:szCs w:val="20"/>
              </w:rPr>
            </w:pPr>
            <w:r w:rsidRPr="009F783C">
              <w:rPr>
                <w:rFonts w:cs="Arial"/>
                <w:sz w:val="20"/>
                <w:szCs w:val="20"/>
              </w:rPr>
              <w:t>13.229.652.565</w:t>
            </w:r>
          </w:p>
        </w:tc>
        <w:tc>
          <w:tcPr>
            <w:tcW w:w="0" w:type="auto"/>
            <w:tcMar>
              <w:top w:w="30" w:type="dxa"/>
              <w:left w:w="45" w:type="dxa"/>
              <w:bottom w:w="30" w:type="dxa"/>
              <w:right w:w="45" w:type="dxa"/>
            </w:tcMar>
            <w:vAlign w:val="center"/>
            <w:hideMark/>
          </w:tcPr>
          <w:p w14:paraId="120C2706" w14:textId="77777777" w:rsidR="009F783C" w:rsidRPr="009F783C" w:rsidRDefault="009F783C" w:rsidP="00AA4BBB">
            <w:pPr>
              <w:jc w:val="center"/>
              <w:rPr>
                <w:rFonts w:cs="Arial"/>
                <w:sz w:val="20"/>
                <w:szCs w:val="20"/>
              </w:rPr>
            </w:pPr>
            <w:r w:rsidRPr="009F783C">
              <w:rPr>
                <w:rFonts w:cs="Arial"/>
                <w:sz w:val="20"/>
                <w:szCs w:val="20"/>
              </w:rPr>
              <w:t>13.679.203.866</w:t>
            </w:r>
          </w:p>
        </w:tc>
        <w:tc>
          <w:tcPr>
            <w:tcW w:w="0" w:type="auto"/>
            <w:tcMar>
              <w:top w:w="30" w:type="dxa"/>
              <w:left w:w="45" w:type="dxa"/>
              <w:bottom w:w="30" w:type="dxa"/>
              <w:right w:w="45" w:type="dxa"/>
            </w:tcMar>
            <w:vAlign w:val="center"/>
            <w:hideMark/>
          </w:tcPr>
          <w:p w14:paraId="7741D7AF" w14:textId="77777777" w:rsidR="009F783C" w:rsidRPr="009F783C" w:rsidRDefault="009F783C" w:rsidP="00AA4BBB">
            <w:pPr>
              <w:jc w:val="center"/>
              <w:rPr>
                <w:rFonts w:cs="Arial"/>
                <w:sz w:val="20"/>
                <w:szCs w:val="20"/>
              </w:rPr>
            </w:pPr>
            <w:r w:rsidRPr="009F783C">
              <w:rPr>
                <w:rFonts w:cs="Arial"/>
                <w:sz w:val="20"/>
                <w:szCs w:val="20"/>
              </w:rPr>
              <w:t>14.072.004.951</w:t>
            </w:r>
          </w:p>
        </w:tc>
        <w:tc>
          <w:tcPr>
            <w:tcW w:w="0" w:type="auto"/>
            <w:vMerge/>
            <w:vAlign w:val="center"/>
            <w:hideMark/>
          </w:tcPr>
          <w:p w14:paraId="33FC51DB" w14:textId="77777777" w:rsidR="009F783C" w:rsidRPr="009F783C" w:rsidRDefault="009F783C" w:rsidP="00AA4BBB">
            <w:pPr>
              <w:rPr>
                <w:rFonts w:cs="Arial"/>
                <w:b/>
                <w:bCs/>
                <w:sz w:val="20"/>
                <w:szCs w:val="20"/>
              </w:rPr>
            </w:pPr>
          </w:p>
        </w:tc>
      </w:tr>
      <w:tr w:rsidR="009F783C" w:rsidRPr="009F783C" w14:paraId="2FBB23BB" w14:textId="77777777" w:rsidTr="00AA4BBB">
        <w:tc>
          <w:tcPr>
            <w:tcW w:w="9828" w:type="dxa"/>
            <w:gridSpan w:val="7"/>
            <w:shd w:val="clear" w:color="auto" w:fill="C00000"/>
            <w:tcMar>
              <w:top w:w="30" w:type="dxa"/>
              <w:left w:w="45" w:type="dxa"/>
              <w:bottom w:w="30" w:type="dxa"/>
              <w:right w:w="45" w:type="dxa"/>
            </w:tcMar>
            <w:vAlign w:val="center"/>
            <w:hideMark/>
          </w:tcPr>
          <w:p w14:paraId="4848E662" w14:textId="77777777" w:rsidR="009F783C" w:rsidRPr="009F783C" w:rsidRDefault="009F783C" w:rsidP="00AA4BBB">
            <w:pPr>
              <w:jc w:val="center"/>
              <w:rPr>
                <w:rFonts w:cs="Arial"/>
                <w:b/>
                <w:bCs/>
                <w:color w:val="FFFFFF" w:themeColor="background1"/>
                <w:sz w:val="20"/>
                <w:szCs w:val="20"/>
              </w:rPr>
            </w:pPr>
            <w:r w:rsidRPr="009F783C">
              <w:rPr>
                <w:rFonts w:cs="Arial"/>
                <w:b/>
                <w:bCs/>
                <w:color w:val="FFFFFF" w:themeColor="background1"/>
                <w:sz w:val="20"/>
                <w:szCs w:val="20"/>
              </w:rPr>
              <w:t>Planeación</w:t>
            </w:r>
          </w:p>
        </w:tc>
      </w:tr>
      <w:tr w:rsidR="009F783C" w:rsidRPr="009F783C" w14:paraId="680FC023" w14:textId="77777777" w:rsidTr="00AA4BBB">
        <w:trPr>
          <w:gridAfter w:val="1"/>
          <w:wAfter w:w="6" w:type="dxa"/>
        </w:trPr>
        <w:tc>
          <w:tcPr>
            <w:tcW w:w="2402" w:type="dxa"/>
            <w:vMerge w:val="restart"/>
            <w:tcMar>
              <w:top w:w="30" w:type="dxa"/>
              <w:left w:w="45" w:type="dxa"/>
              <w:bottom w:w="30" w:type="dxa"/>
              <w:right w:w="45" w:type="dxa"/>
            </w:tcMar>
            <w:vAlign w:val="center"/>
            <w:hideMark/>
          </w:tcPr>
          <w:p w14:paraId="39568684" w14:textId="77777777" w:rsidR="009F783C" w:rsidRPr="009F783C" w:rsidRDefault="009F783C" w:rsidP="00AA4BBB">
            <w:pPr>
              <w:rPr>
                <w:rFonts w:cs="Arial"/>
                <w:sz w:val="20"/>
                <w:szCs w:val="20"/>
              </w:rPr>
            </w:pPr>
            <w:r w:rsidRPr="009F783C">
              <w:rPr>
                <w:rFonts w:cs="Arial"/>
                <w:sz w:val="20"/>
                <w:szCs w:val="20"/>
              </w:rPr>
              <w:t xml:space="preserve">Consolidar el 100% del modelo de operación de la SDP incorporando acciones estratégicas orientadas a fortalecer el valor público y la </w:t>
            </w:r>
            <w:r w:rsidRPr="009F783C">
              <w:rPr>
                <w:rFonts w:cs="Arial"/>
                <w:sz w:val="20"/>
                <w:szCs w:val="20"/>
              </w:rPr>
              <w:lastRenderedPageBreak/>
              <w:t>confianza ciudadana en el que hacer de la entidad.</w:t>
            </w:r>
          </w:p>
        </w:tc>
        <w:tc>
          <w:tcPr>
            <w:tcW w:w="1492" w:type="dxa"/>
            <w:tcMar>
              <w:top w:w="30" w:type="dxa"/>
              <w:left w:w="45" w:type="dxa"/>
              <w:bottom w:w="30" w:type="dxa"/>
              <w:right w:w="45" w:type="dxa"/>
            </w:tcMar>
            <w:vAlign w:val="center"/>
            <w:hideMark/>
          </w:tcPr>
          <w:p w14:paraId="477337AA" w14:textId="77777777" w:rsidR="009F783C" w:rsidRPr="009F783C" w:rsidRDefault="009F783C" w:rsidP="00AA4BBB">
            <w:pPr>
              <w:jc w:val="center"/>
              <w:rPr>
                <w:rFonts w:cs="Arial"/>
                <w:sz w:val="20"/>
                <w:szCs w:val="20"/>
              </w:rPr>
            </w:pPr>
            <w:r w:rsidRPr="009F783C">
              <w:rPr>
                <w:rFonts w:cs="Arial"/>
                <w:sz w:val="20"/>
                <w:szCs w:val="20"/>
              </w:rPr>
              <w:lastRenderedPageBreak/>
              <w:t>30%</w:t>
            </w:r>
          </w:p>
        </w:tc>
        <w:tc>
          <w:tcPr>
            <w:tcW w:w="0" w:type="auto"/>
            <w:tcMar>
              <w:top w:w="30" w:type="dxa"/>
              <w:left w:w="45" w:type="dxa"/>
              <w:bottom w:w="30" w:type="dxa"/>
              <w:right w:w="45" w:type="dxa"/>
            </w:tcMar>
            <w:vAlign w:val="center"/>
            <w:hideMark/>
          </w:tcPr>
          <w:p w14:paraId="2A2B5A10" w14:textId="77777777" w:rsidR="009F783C" w:rsidRPr="009F783C" w:rsidRDefault="009F783C" w:rsidP="00AA4BBB">
            <w:pPr>
              <w:jc w:val="center"/>
              <w:rPr>
                <w:rFonts w:cs="Arial"/>
                <w:sz w:val="20"/>
                <w:szCs w:val="20"/>
              </w:rPr>
            </w:pPr>
            <w:r w:rsidRPr="009F783C">
              <w:rPr>
                <w:rFonts w:cs="Arial"/>
                <w:sz w:val="20"/>
                <w:szCs w:val="20"/>
              </w:rPr>
              <w:t>50%</w:t>
            </w:r>
          </w:p>
        </w:tc>
        <w:tc>
          <w:tcPr>
            <w:tcW w:w="0" w:type="auto"/>
            <w:tcMar>
              <w:top w:w="30" w:type="dxa"/>
              <w:left w:w="45" w:type="dxa"/>
              <w:bottom w:w="30" w:type="dxa"/>
              <w:right w:w="45" w:type="dxa"/>
            </w:tcMar>
            <w:vAlign w:val="center"/>
            <w:hideMark/>
          </w:tcPr>
          <w:p w14:paraId="5C2AE177" w14:textId="77777777" w:rsidR="009F783C" w:rsidRPr="009F783C" w:rsidRDefault="009F783C" w:rsidP="00AA4BBB">
            <w:pPr>
              <w:jc w:val="center"/>
              <w:rPr>
                <w:rFonts w:cs="Arial"/>
                <w:sz w:val="20"/>
                <w:szCs w:val="20"/>
              </w:rPr>
            </w:pPr>
            <w:r w:rsidRPr="009F783C">
              <w:rPr>
                <w:rFonts w:cs="Arial"/>
                <w:sz w:val="20"/>
                <w:szCs w:val="20"/>
              </w:rPr>
              <w:t>70%</w:t>
            </w:r>
          </w:p>
        </w:tc>
        <w:tc>
          <w:tcPr>
            <w:tcW w:w="0" w:type="auto"/>
            <w:tcMar>
              <w:top w:w="30" w:type="dxa"/>
              <w:left w:w="45" w:type="dxa"/>
              <w:bottom w:w="30" w:type="dxa"/>
              <w:right w:w="45" w:type="dxa"/>
            </w:tcMar>
            <w:vAlign w:val="center"/>
            <w:hideMark/>
          </w:tcPr>
          <w:p w14:paraId="74188145"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6B243B9C" w14:textId="77777777" w:rsidR="009F783C" w:rsidRPr="009F783C" w:rsidRDefault="009F783C" w:rsidP="00AA4BBB">
            <w:pPr>
              <w:jc w:val="center"/>
              <w:rPr>
                <w:rFonts w:cs="Arial"/>
                <w:b/>
                <w:bCs/>
                <w:sz w:val="20"/>
                <w:szCs w:val="20"/>
              </w:rPr>
            </w:pPr>
            <w:r w:rsidRPr="009F783C">
              <w:rPr>
                <w:rFonts w:cs="Arial"/>
                <w:b/>
                <w:bCs/>
                <w:sz w:val="20"/>
                <w:szCs w:val="20"/>
              </w:rPr>
              <w:t>26.882.992.952</w:t>
            </w:r>
          </w:p>
        </w:tc>
      </w:tr>
      <w:tr w:rsidR="009F783C" w:rsidRPr="009F783C" w14:paraId="7C9E20F3" w14:textId="77777777" w:rsidTr="00AA4BBB">
        <w:trPr>
          <w:gridAfter w:val="1"/>
          <w:wAfter w:w="6" w:type="dxa"/>
        </w:trPr>
        <w:tc>
          <w:tcPr>
            <w:tcW w:w="2402" w:type="dxa"/>
            <w:vMerge/>
            <w:vAlign w:val="center"/>
            <w:hideMark/>
          </w:tcPr>
          <w:p w14:paraId="3F4AF148"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39172695" w14:textId="77777777" w:rsidR="009F783C" w:rsidRPr="009F783C" w:rsidRDefault="009F783C" w:rsidP="00AA4BBB">
            <w:pPr>
              <w:jc w:val="center"/>
              <w:rPr>
                <w:rFonts w:cs="Arial"/>
                <w:sz w:val="20"/>
                <w:szCs w:val="20"/>
              </w:rPr>
            </w:pPr>
            <w:r w:rsidRPr="009F783C">
              <w:rPr>
                <w:rFonts w:cs="Arial"/>
                <w:sz w:val="20"/>
                <w:szCs w:val="20"/>
              </w:rPr>
              <w:t>7.902.301.080</w:t>
            </w:r>
          </w:p>
        </w:tc>
        <w:tc>
          <w:tcPr>
            <w:tcW w:w="0" w:type="auto"/>
            <w:tcMar>
              <w:top w:w="30" w:type="dxa"/>
              <w:left w:w="45" w:type="dxa"/>
              <w:bottom w:w="30" w:type="dxa"/>
              <w:right w:w="45" w:type="dxa"/>
            </w:tcMar>
            <w:vAlign w:val="center"/>
            <w:hideMark/>
          </w:tcPr>
          <w:p w14:paraId="482FEA49" w14:textId="77777777" w:rsidR="009F783C" w:rsidRPr="009F783C" w:rsidRDefault="009F783C" w:rsidP="00AA4BBB">
            <w:pPr>
              <w:jc w:val="center"/>
              <w:rPr>
                <w:rFonts w:cs="Arial"/>
                <w:sz w:val="20"/>
                <w:szCs w:val="20"/>
              </w:rPr>
            </w:pPr>
            <w:r w:rsidRPr="009F783C">
              <w:rPr>
                <w:rFonts w:cs="Arial"/>
                <w:sz w:val="20"/>
                <w:szCs w:val="20"/>
              </w:rPr>
              <w:t>6.415.894.071</w:t>
            </w:r>
          </w:p>
        </w:tc>
        <w:tc>
          <w:tcPr>
            <w:tcW w:w="0" w:type="auto"/>
            <w:tcMar>
              <w:top w:w="30" w:type="dxa"/>
              <w:left w:w="45" w:type="dxa"/>
              <w:bottom w:w="30" w:type="dxa"/>
              <w:right w:w="45" w:type="dxa"/>
            </w:tcMar>
            <w:vAlign w:val="center"/>
            <w:hideMark/>
          </w:tcPr>
          <w:p w14:paraId="713BC949" w14:textId="77777777" w:rsidR="009F783C" w:rsidRPr="009F783C" w:rsidRDefault="009F783C" w:rsidP="00AA4BBB">
            <w:pPr>
              <w:jc w:val="center"/>
              <w:rPr>
                <w:rFonts w:cs="Arial"/>
                <w:sz w:val="20"/>
                <w:szCs w:val="20"/>
              </w:rPr>
            </w:pPr>
            <w:r w:rsidRPr="009F783C">
              <w:rPr>
                <w:rFonts w:cs="Arial"/>
                <w:sz w:val="20"/>
                <w:szCs w:val="20"/>
              </w:rPr>
              <w:t>5.989.992.534</w:t>
            </w:r>
          </w:p>
        </w:tc>
        <w:tc>
          <w:tcPr>
            <w:tcW w:w="0" w:type="auto"/>
            <w:tcMar>
              <w:top w:w="30" w:type="dxa"/>
              <w:left w:w="45" w:type="dxa"/>
              <w:bottom w:w="30" w:type="dxa"/>
              <w:right w:w="45" w:type="dxa"/>
            </w:tcMar>
            <w:vAlign w:val="center"/>
            <w:hideMark/>
          </w:tcPr>
          <w:p w14:paraId="1DA5DC66" w14:textId="77777777" w:rsidR="009F783C" w:rsidRPr="009F783C" w:rsidRDefault="009F783C" w:rsidP="00AA4BBB">
            <w:pPr>
              <w:jc w:val="center"/>
              <w:rPr>
                <w:rFonts w:cs="Arial"/>
                <w:sz w:val="20"/>
                <w:szCs w:val="20"/>
              </w:rPr>
            </w:pPr>
            <w:r w:rsidRPr="009F783C">
              <w:rPr>
                <w:rFonts w:cs="Arial"/>
                <w:sz w:val="20"/>
                <w:szCs w:val="20"/>
              </w:rPr>
              <w:t>6.574.805.267</w:t>
            </w:r>
          </w:p>
        </w:tc>
        <w:tc>
          <w:tcPr>
            <w:tcW w:w="0" w:type="auto"/>
            <w:vMerge/>
            <w:vAlign w:val="center"/>
            <w:hideMark/>
          </w:tcPr>
          <w:p w14:paraId="7F04F7AA" w14:textId="77777777" w:rsidR="009F783C" w:rsidRPr="009F783C" w:rsidRDefault="009F783C" w:rsidP="00AA4BBB">
            <w:pPr>
              <w:rPr>
                <w:rFonts w:cs="Arial"/>
                <w:b/>
                <w:bCs/>
                <w:sz w:val="20"/>
                <w:szCs w:val="20"/>
              </w:rPr>
            </w:pPr>
          </w:p>
        </w:tc>
      </w:tr>
      <w:tr w:rsidR="009F783C" w:rsidRPr="009F783C" w14:paraId="454F5806"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9631591" w14:textId="77777777" w:rsidR="009F783C" w:rsidRPr="009F783C" w:rsidRDefault="009F783C" w:rsidP="00AA4BBB">
            <w:pPr>
              <w:rPr>
                <w:rFonts w:cs="Arial"/>
                <w:sz w:val="20"/>
                <w:szCs w:val="20"/>
              </w:rPr>
            </w:pPr>
            <w:r w:rsidRPr="009F783C">
              <w:rPr>
                <w:rFonts w:cs="Arial"/>
                <w:sz w:val="20"/>
                <w:szCs w:val="20"/>
              </w:rPr>
              <w:t>Desarrollar 4 fases del plan de acción establecido para cumplir los objetivos del ecosistema Distrital de Política Pública.</w:t>
            </w:r>
          </w:p>
        </w:tc>
        <w:tc>
          <w:tcPr>
            <w:tcW w:w="1492" w:type="dxa"/>
            <w:tcMar>
              <w:top w:w="30" w:type="dxa"/>
              <w:left w:w="45" w:type="dxa"/>
              <w:bottom w:w="30" w:type="dxa"/>
              <w:right w:w="45" w:type="dxa"/>
            </w:tcMar>
            <w:vAlign w:val="center"/>
            <w:hideMark/>
          </w:tcPr>
          <w:p w14:paraId="493F4F4A"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1CD1AE24"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33124FE7"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tcMar>
              <w:top w:w="30" w:type="dxa"/>
              <w:left w:w="45" w:type="dxa"/>
              <w:bottom w:w="30" w:type="dxa"/>
              <w:right w:w="45" w:type="dxa"/>
            </w:tcMar>
            <w:vAlign w:val="center"/>
            <w:hideMark/>
          </w:tcPr>
          <w:p w14:paraId="60902CEE" w14:textId="77777777" w:rsidR="009F783C" w:rsidRPr="009F783C" w:rsidRDefault="009F783C" w:rsidP="00AA4BBB">
            <w:pPr>
              <w:jc w:val="center"/>
              <w:rPr>
                <w:rFonts w:cs="Arial"/>
                <w:sz w:val="20"/>
                <w:szCs w:val="20"/>
              </w:rPr>
            </w:pPr>
            <w:r w:rsidRPr="009F783C">
              <w:rPr>
                <w:rFonts w:cs="Arial"/>
                <w:sz w:val="20"/>
                <w:szCs w:val="20"/>
              </w:rPr>
              <w:t>1</w:t>
            </w:r>
          </w:p>
        </w:tc>
        <w:tc>
          <w:tcPr>
            <w:tcW w:w="0" w:type="auto"/>
            <w:vMerge w:val="restart"/>
            <w:tcMar>
              <w:top w:w="30" w:type="dxa"/>
              <w:left w:w="45" w:type="dxa"/>
              <w:bottom w:w="30" w:type="dxa"/>
              <w:right w:w="45" w:type="dxa"/>
            </w:tcMar>
            <w:vAlign w:val="center"/>
            <w:hideMark/>
          </w:tcPr>
          <w:p w14:paraId="16188267" w14:textId="77777777" w:rsidR="009F783C" w:rsidRPr="009F783C" w:rsidRDefault="009F783C" w:rsidP="00AA4BBB">
            <w:pPr>
              <w:jc w:val="center"/>
              <w:rPr>
                <w:rFonts w:cs="Arial"/>
                <w:b/>
                <w:bCs/>
                <w:sz w:val="20"/>
                <w:szCs w:val="20"/>
              </w:rPr>
            </w:pPr>
            <w:r w:rsidRPr="009F783C">
              <w:rPr>
                <w:rFonts w:cs="Arial"/>
                <w:b/>
                <w:bCs/>
                <w:sz w:val="20"/>
                <w:szCs w:val="20"/>
              </w:rPr>
              <w:t>25.718.507.878</w:t>
            </w:r>
          </w:p>
        </w:tc>
      </w:tr>
      <w:tr w:rsidR="009F783C" w:rsidRPr="009F783C" w14:paraId="17A56F10" w14:textId="77777777" w:rsidTr="00AA4BBB">
        <w:trPr>
          <w:gridAfter w:val="1"/>
          <w:wAfter w:w="6" w:type="dxa"/>
        </w:trPr>
        <w:tc>
          <w:tcPr>
            <w:tcW w:w="2402" w:type="dxa"/>
            <w:vMerge/>
            <w:vAlign w:val="center"/>
            <w:hideMark/>
          </w:tcPr>
          <w:p w14:paraId="0FF0B746"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20B3AAC9" w14:textId="77777777" w:rsidR="009F783C" w:rsidRPr="009F783C" w:rsidRDefault="009F783C" w:rsidP="00AA4BBB">
            <w:pPr>
              <w:jc w:val="center"/>
              <w:rPr>
                <w:rFonts w:cs="Arial"/>
                <w:sz w:val="20"/>
                <w:szCs w:val="20"/>
              </w:rPr>
            </w:pPr>
            <w:r w:rsidRPr="009F783C">
              <w:rPr>
                <w:rFonts w:cs="Arial"/>
                <w:sz w:val="20"/>
                <w:szCs w:val="20"/>
              </w:rPr>
              <w:t>10.123.863.286</w:t>
            </w:r>
          </w:p>
        </w:tc>
        <w:tc>
          <w:tcPr>
            <w:tcW w:w="0" w:type="auto"/>
            <w:tcMar>
              <w:top w:w="30" w:type="dxa"/>
              <w:left w:w="45" w:type="dxa"/>
              <w:bottom w:w="30" w:type="dxa"/>
              <w:right w:w="45" w:type="dxa"/>
            </w:tcMar>
            <w:vAlign w:val="center"/>
            <w:hideMark/>
          </w:tcPr>
          <w:p w14:paraId="27AB96E5" w14:textId="77777777" w:rsidR="009F783C" w:rsidRPr="009F783C" w:rsidRDefault="009F783C" w:rsidP="00AA4BBB">
            <w:pPr>
              <w:jc w:val="center"/>
              <w:rPr>
                <w:rFonts w:cs="Arial"/>
                <w:sz w:val="20"/>
                <w:szCs w:val="20"/>
              </w:rPr>
            </w:pPr>
            <w:r w:rsidRPr="009F783C">
              <w:rPr>
                <w:rFonts w:cs="Arial"/>
                <w:sz w:val="20"/>
                <w:szCs w:val="20"/>
              </w:rPr>
              <w:t>4.791.583.485</w:t>
            </w:r>
          </w:p>
        </w:tc>
        <w:tc>
          <w:tcPr>
            <w:tcW w:w="0" w:type="auto"/>
            <w:tcMar>
              <w:top w:w="30" w:type="dxa"/>
              <w:left w:w="45" w:type="dxa"/>
              <w:bottom w:w="30" w:type="dxa"/>
              <w:right w:w="45" w:type="dxa"/>
            </w:tcMar>
            <w:vAlign w:val="center"/>
            <w:hideMark/>
          </w:tcPr>
          <w:p w14:paraId="7CC899AB" w14:textId="77777777" w:rsidR="009F783C" w:rsidRPr="009F783C" w:rsidRDefault="009F783C" w:rsidP="00AA4BBB">
            <w:pPr>
              <w:jc w:val="center"/>
              <w:rPr>
                <w:rFonts w:cs="Arial"/>
                <w:sz w:val="20"/>
                <w:szCs w:val="20"/>
              </w:rPr>
            </w:pPr>
            <w:r w:rsidRPr="009F783C">
              <w:rPr>
                <w:rFonts w:cs="Arial"/>
                <w:sz w:val="20"/>
                <w:szCs w:val="20"/>
              </w:rPr>
              <w:t>5.261.909.072</w:t>
            </w:r>
          </w:p>
        </w:tc>
        <w:tc>
          <w:tcPr>
            <w:tcW w:w="0" w:type="auto"/>
            <w:tcMar>
              <w:top w:w="30" w:type="dxa"/>
              <w:left w:w="45" w:type="dxa"/>
              <w:bottom w:w="30" w:type="dxa"/>
              <w:right w:w="45" w:type="dxa"/>
            </w:tcMar>
            <w:vAlign w:val="center"/>
            <w:hideMark/>
          </w:tcPr>
          <w:p w14:paraId="36BC2417" w14:textId="77777777" w:rsidR="009F783C" w:rsidRPr="009F783C" w:rsidRDefault="009F783C" w:rsidP="00AA4BBB">
            <w:pPr>
              <w:jc w:val="center"/>
              <w:rPr>
                <w:rFonts w:cs="Arial"/>
                <w:sz w:val="20"/>
                <w:szCs w:val="20"/>
              </w:rPr>
            </w:pPr>
            <w:r w:rsidRPr="009F783C">
              <w:rPr>
                <w:rFonts w:cs="Arial"/>
                <w:sz w:val="20"/>
                <w:szCs w:val="20"/>
              </w:rPr>
              <w:t>5.541.152.035</w:t>
            </w:r>
          </w:p>
        </w:tc>
        <w:tc>
          <w:tcPr>
            <w:tcW w:w="0" w:type="auto"/>
            <w:vMerge/>
            <w:vAlign w:val="center"/>
            <w:hideMark/>
          </w:tcPr>
          <w:p w14:paraId="6AC160A4" w14:textId="77777777" w:rsidR="009F783C" w:rsidRPr="009F783C" w:rsidRDefault="009F783C" w:rsidP="00AA4BBB">
            <w:pPr>
              <w:rPr>
                <w:rFonts w:cs="Arial"/>
                <w:b/>
                <w:bCs/>
                <w:sz w:val="20"/>
                <w:szCs w:val="20"/>
              </w:rPr>
            </w:pPr>
          </w:p>
        </w:tc>
      </w:tr>
      <w:tr w:rsidR="009F783C" w:rsidRPr="009F783C" w14:paraId="4C64B69A" w14:textId="77777777" w:rsidTr="00AA4BBB">
        <w:trPr>
          <w:gridAfter w:val="1"/>
          <w:wAfter w:w="6" w:type="dxa"/>
        </w:trPr>
        <w:tc>
          <w:tcPr>
            <w:tcW w:w="2402" w:type="dxa"/>
            <w:vMerge w:val="restart"/>
            <w:tcMar>
              <w:top w:w="30" w:type="dxa"/>
              <w:left w:w="45" w:type="dxa"/>
              <w:bottom w:w="30" w:type="dxa"/>
              <w:right w:w="45" w:type="dxa"/>
            </w:tcMar>
            <w:vAlign w:val="center"/>
            <w:hideMark/>
          </w:tcPr>
          <w:p w14:paraId="40A2797A" w14:textId="77777777" w:rsidR="009F783C" w:rsidRPr="009F783C" w:rsidRDefault="009F783C" w:rsidP="00AA4BBB">
            <w:pPr>
              <w:rPr>
                <w:rFonts w:cs="Arial"/>
                <w:sz w:val="20"/>
                <w:szCs w:val="20"/>
              </w:rPr>
            </w:pPr>
            <w:r w:rsidRPr="009F783C">
              <w:rPr>
                <w:rFonts w:cs="Arial"/>
                <w:sz w:val="20"/>
                <w:szCs w:val="20"/>
              </w:rPr>
              <w:t>Implementar 1 Plan de Modernización Tecnológico y Físico de la SDP cuya finalidad sea lograr una administración pública eficiente y adaptada a las necesidades de la ciudadanía bogotana</w:t>
            </w:r>
          </w:p>
        </w:tc>
        <w:tc>
          <w:tcPr>
            <w:tcW w:w="1492" w:type="dxa"/>
            <w:tcMar>
              <w:top w:w="30" w:type="dxa"/>
              <w:left w:w="45" w:type="dxa"/>
              <w:bottom w:w="30" w:type="dxa"/>
              <w:right w:w="45" w:type="dxa"/>
            </w:tcMar>
            <w:vAlign w:val="center"/>
            <w:hideMark/>
          </w:tcPr>
          <w:p w14:paraId="341B0DCB" w14:textId="77777777" w:rsidR="009F783C" w:rsidRPr="009F783C" w:rsidRDefault="009F783C" w:rsidP="00AA4BBB">
            <w:pPr>
              <w:jc w:val="center"/>
              <w:rPr>
                <w:rFonts w:cs="Arial"/>
                <w:sz w:val="20"/>
                <w:szCs w:val="20"/>
              </w:rPr>
            </w:pPr>
            <w:r w:rsidRPr="009F783C">
              <w:rPr>
                <w:rFonts w:cs="Arial"/>
                <w:sz w:val="20"/>
                <w:szCs w:val="20"/>
              </w:rPr>
              <w:t>30%</w:t>
            </w:r>
          </w:p>
        </w:tc>
        <w:tc>
          <w:tcPr>
            <w:tcW w:w="0" w:type="auto"/>
            <w:tcMar>
              <w:top w:w="30" w:type="dxa"/>
              <w:left w:w="45" w:type="dxa"/>
              <w:bottom w:w="30" w:type="dxa"/>
              <w:right w:w="45" w:type="dxa"/>
            </w:tcMar>
            <w:vAlign w:val="center"/>
            <w:hideMark/>
          </w:tcPr>
          <w:p w14:paraId="0CED01BC" w14:textId="77777777" w:rsidR="009F783C" w:rsidRPr="009F783C" w:rsidRDefault="009F783C" w:rsidP="00AA4BBB">
            <w:pPr>
              <w:jc w:val="center"/>
              <w:rPr>
                <w:rFonts w:cs="Arial"/>
                <w:sz w:val="20"/>
                <w:szCs w:val="20"/>
              </w:rPr>
            </w:pPr>
            <w:r w:rsidRPr="009F783C">
              <w:rPr>
                <w:rFonts w:cs="Arial"/>
                <w:sz w:val="20"/>
                <w:szCs w:val="20"/>
              </w:rPr>
              <w:t>60%</w:t>
            </w:r>
          </w:p>
        </w:tc>
        <w:tc>
          <w:tcPr>
            <w:tcW w:w="0" w:type="auto"/>
            <w:tcMar>
              <w:top w:w="30" w:type="dxa"/>
              <w:left w:w="45" w:type="dxa"/>
              <w:bottom w:w="30" w:type="dxa"/>
              <w:right w:w="45" w:type="dxa"/>
            </w:tcMar>
            <w:vAlign w:val="center"/>
            <w:hideMark/>
          </w:tcPr>
          <w:p w14:paraId="7B684CBB" w14:textId="77777777" w:rsidR="009F783C" w:rsidRPr="009F783C" w:rsidRDefault="009F783C" w:rsidP="00AA4BBB">
            <w:pPr>
              <w:jc w:val="center"/>
              <w:rPr>
                <w:rFonts w:cs="Arial"/>
                <w:sz w:val="20"/>
                <w:szCs w:val="20"/>
              </w:rPr>
            </w:pPr>
            <w:r w:rsidRPr="009F783C">
              <w:rPr>
                <w:rFonts w:cs="Arial"/>
                <w:sz w:val="20"/>
                <w:szCs w:val="20"/>
              </w:rPr>
              <w:t>80%</w:t>
            </w:r>
          </w:p>
        </w:tc>
        <w:tc>
          <w:tcPr>
            <w:tcW w:w="0" w:type="auto"/>
            <w:tcMar>
              <w:top w:w="30" w:type="dxa"/>
              <w:left w:w="45" w:type="dxa"/>
              <w:bottom w:w="30" w:type="dxa"/>
              <w:right w:w="45" w:type="dxa"/>
            </w:tcMar>
            <w:vAlign w:val="center"/>
            <w:hideMark/>
          </w:tcPr>
          <w:p w14:paraId="6B548E0E"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25DA8D1F" w14:textId="77777777" w:rsidR="009F783C" w:rsidRPr="009F783C" w:rsidRDefault="009F783C" w:rsidP="00AA4BBB">
            <w:pPr>
              <w:jc w:val="center"/>
              <w:rPr>
                <w:rFonts w:cs="Arial"/>
                <w:b/>
                <w:bCs/>
                <w:sz w:val="20"/>
                <w:szCs w:val="20"/>
              </w:rPr>
            </w:pPr>
            <w:r w:rsidRPr="009F783C">
              <w:rPr>
                <w:rFonts w:cs="Arial"/>
                <w:b/>
                <w:bCs/>
                <w:sz w:val="20"/>
                <w:szCs w:val="20"/>
              </w:rPr>
              <w:t>43.239.450.176</w:t>
            </w:r>
          </w:p>
        </w:tc>
      </w:tr>
      <w:tr w:rsidR="009F783C" w:rsidRPr="009F783C" w14:paraId="0CC9D977" w14:textId="77777777" w:rsidTr="00AA4BBB">
        <w:trPr>
          <w:gridAfter w:val="1"/>
          <w:wAfter w:w="6" w:type="dxa"/>
        </w:trPr>
        <w:tc>
          <w:tcPr>
            <w:tcW w:w="2402" w:type="dxa"/>
            <w:vMerge/>
            <w:vAlign w:val="center"/>
            <w:hideMark/>
          </w:tcPr>
          <w:p w14:paraId="4EBE11B4"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6CBA0579" w14:textId="77777777" w:rsidR="009F783C" w:rsidRPr="009F783C" w:rsidRDefault="009F783C" w:rsidP="00AA4BBB">
            <w:pPr>
              <w:jc w:val="center"/>
              <w:rPr>
                <w:rFonts w:cs="Arial"/>
                <w:sz w:val="20"/>
                <w:szCs w:val="20"/>
              </w:rPr>
            </w:pPr>
            <w:r w:rsidRPr="009F783C">
              <w:rPr>
                <w:rFonts w:cs="Arial"/>
                <w:sz w:val="20"/>
                <w:szCs w:val="20"/>
              </w:rPr>
              <w:t>12.727.698.920</w:t>
            </w:r>
          </w:p>
        </w:tc>
        <w:tc>
          <w:tcPr>
            <w:tcW w:w="0" w:type="auto"/>
            <w:tcMar>
              <w:top w:w="30" w:type="dxa"/>
              <w:left w:w="45" w:type="dxa"/>
              <w:bottom w:w="30" w:type="dxa"/>
              <w:right w:w="45" w:type="dxa"/>
            </w:tcMar>
            <w:vAlign w:val="center"/>
            <w:hideMark/>
          </w:tcPr>
          <w:p w14:paraId="3770E00E" w14:textId="77777777" w:rsidR="009F783C" w:rsidRPr="009F783C" w:rsidRDefault="009F783C" w:rsidP="00AA4BBB">
            <w:pPr>
              <w:jc w:val="center"/>
              <w:rPr>
                <w:rFonts w:cs="Arial"/>
                <w:sz w:val="20"/>
                <w:szCs w:val="20"/>
              </w:rPr>
            </w:pPr>
            <w:r w:rsidRPr="009F783C">
              <w:rPr>
                <w:rFonts w:cs="Arial"/>
                <w:sz w:val="20"/>
                <w:szCs w:val="20"/>
              </w:rPr>
              <w:t>10.594.785.542</w:t>
            </w:r>
          </w:p>
        </w:tc>
        <w:tc>
          <w:tcPr>
            <w:tcW w:w="0" w:type="auto"/>
            <w:tcMar>
              <w:top w:w="30" w:type="dxa"/>
              <w:left w:w="45" w:type="dxa"/>
              <w:bottom w:w="30" w:type="dxa"/>
              <w:right w:w="45" w:type="dxa"/>
            </w:tcMar>
            <w:vAlign w:val="center"/>
            <w:hideMark/>
          </w:tcPr>
          <w:p w14:paraId="00503E8C" w14:textId="77777777" w:rsidR="009F783C" w:rsidRPr="009F783C" w:rsidRDefault="009F783C" w:rsidP="00AA4BBB">
            <w:pPr>
              <w:jc w:val="center"/>
              <w:rPr>
                <w:rFonts w:cs="Arial"/>
                <w:sz w:val="20"/>
                <w:szCs w:val="20"/>
              </w:rPr>
            </w:pPr>
            <w:r w:rsidRPr="009F783C">
              <w:rPr>
                <w:rFonts w:cs="Arial"/>
                <w:sz w:val="20"/>
                <w:szCs w:val="20"/>
              </w:rPr>
              <w:t>9.647.673.599</w:t>
            </w:r>
          </w:p>
        </w:tc>
        <w:tc>
          <w:tcPr>
            <w:tcW w:w="0" w:type="auto"/>
            <w:tcMar>
              <w:top w:w="30" w:type="dxa"/>
              <w:left w:w="45" w:type="dxa"/>
              <w:bottom w:w="30" w:type="dxa"/>
              <w:right w:w="45" w:type="dxa"/>
            </w:tcMar>
            <w:vAlign w:val="center"/>
            <w:hideMark/>
          </w:tcPr>
          <w:p w14:paraId="217C42F3" w14:textId="77777777" w:rsidR="009F783C" w:rsidRPr="009F783C" w:rsidRDefault="009F783C" w:rsidP="00AA4BBB">
            <w:pPr>
              <w:jc w:val="center"/>
              <w:rPr>
                <w:rFonts w:cs="Arial"/>
                <w:sz w:val="20"/>
                <w:szCs w:val="20"/>
              </w:rPr>
            </w:pPr>
            <w:r w:rsidRPr="009F783C">
              <w:rPr>
                <w:rFonts w:cs="Arial"/>
                <w:sz w:val="20"/>
                <w:szCs w:val="20"/>
              </w:rPr>
              <w:t>10.269.292.115</w:t>
            </w:r>
          </w:p>
        </w:tc>
        <w:tc>
          <w:tcPr>
            <w:tcW w:w="0" w:type="auto"/>
            <w:vMerge/>
            <w:vAlign w:val="center"/>
            <w:hideMark/>
          </w:tcPr>
          <w:p w14:paraId="37211FB3" w14:textId="77777777" w:rsidR="009F783C" w:rsidRPr="009F783C" w:rsidRDefault="009F783C" w:rsidP="00AA4BBB">
            <w:pPr>
              <w:rPr>
                <w:rFonts w:cs="Arial"/>
                <w:b/>
                <w:bCs/>
                <w:sz w:val="20"/>
                <w:szCs w:val="20"/>
              </w:rPr>
            </w:pPr>
          </w:p>
        </w:tc>
      </w:tr>
      <w:tr w:rsidR="009F783C" w:rsidRPr="009F783C" w14:paraId="76DD1ADE" w14:textId="77777777" w:rsidTr="00AA4BBB">
        <w:tc>
          <w:tcPr>
            <w:tcW w:w="9828" w:type="dxa"/>
            <w:gridSpan w:val="7"/>
            <w:shd w:val="clear" w:color="auto" w:fill="C00000"/>
            <w:tcMar>
              <w:top w:w="30" w:type="dxa"/>
              <w:left w:w="45" w:type="dxa"/>
              <w:bottom w:w="30" w:type="dxa"/>
              <w:right w:w="45" w:type="dxa"/>
            </w:tcMar>
            <w:vAlign w:val="center"/>
            <w:hideMark/>
          </w:tcPr>
          <w:p w14:paraId="36A86FFD" w14:textId="77777777" w:rsidR="009F783C" w:rsidRPr="009F783C" w:rsidRDefault="009F783C" w:rsidP="00AA4BBB">
            <w:pPr>
              <w:jc w:val="center"/>
              <w:rPr>
                <w:rFonts w:cs="Arial"/>
                <w:b/>
                <w:bCs/>
                <w:color w:val="FFFFFF" w:themeColor="background1"/>
                <w:sz w:val="20"/>
                <w:szCs w:val="20"/>
              </w:rPr>
            </w:pPr>
            <w:r w:rsidRPr="009F783C">
              <w:rPr>
                <w:rFonts w:cs="Arial"/>
                <w:b/>
                <w:bCs/>
                <w:color w:val="FFFFFF" w:themeColor="background1"/>
                <w:sz w:val="20"/>
                <w:szCs w:val="20"/>
              </w:rPr>
              <w:t>Seguridad, Convivencia y Justicia</w:t>
            </w:r>
          </w:p>
        </w:tc>
      </w:tr>
      <w:tr w:rsidR="009F783C" w:rsidRPr="009F783C" w14:paraId="5CDCB4D5" w14:textId="77777777" w:rsidTr="00AA4BBB">
        <w:trPr>
          <w:gridAfter w:val="1"/>
          <w:wAfter w:w="6" w:type="dxa"/>
        </w:trPr>
        <w:tc>
          <w:tcPr>
            <w:tcW w:w="2402" w:type="dxa"/>
            <w:vMerge w:val="restart"/>
            <w:tcMar>
              <w:top w:w="30" w:type="dxa"/>
              <w:left w:w="45" w:type="dxa"/>
              <w:bottom w:w="30" w:type="dxa"/>
              <w:right w:w="45" w:type="dxa"/>
            </w:tcMar>
            <w:vAlign w:val="center"/>
            <w:hideMark/>
          </w:tcPr>
          <w:p w14:paraId="1B5CAE50" w14:textId="77777777" w:rsidR="009F783C" w:rsidRPr="009F783C" w:rsidRDefault="009F783C" w:rsidP="00AA4BBB">
            <w:pPr>
              <w:rPr>
                <w:rFonts w:cs="Arial"/>
                <w:sz w:val="20"/>
                <w:szCs w:val="20"/>
              </w:rPr>
            </w:pPr>
            <w:r w:rsidRPr="009F783C">
              <w:rPr>
                <w:rFonts w:cs="Arial"/>
                <w:sz w:val="20"/>
                <w:szCs w:val="20"/>
              </w:rPr>
              <w:t>Desarrollar un plan para el fortalecimiento de las capacidades institucionales de la UAECOB</w:t>
            </w:r>
          </w:p>
        </w:tc>
        <w:tc>
          <w:tcPr>
            <w:tcW w:w="1492" w:type="dxa"/>
            <w:tcMar>
              <w:top w:w="30" w:type="dxa"/>
              <w:left w:w="45" w:type="dxa"/>
              <w:bottom w:w="30" w:type="dxa"/>
              <w:right w:w="45" w:type="dxa"/>
            </w:tcMar>
            <w:vAlign w:val="center"/>
            <w:hideMark/>
          </w:tcPr>
          <w:p w14:paraId="4D97E9AF" w14:textId="77777777" w:rsidR="009F783C" w:rsidRPr="009F783C" w:rsidRDefault="009F783C" w:rsidP="00AA4BBB">
            <w:pPr>
              <w:jc w:val="center"/>
              <w:rPr>
                <w:rFonts w:cs="Arial"/>
                <w:sz w:val="20"/>
                <w:szCs w:val="20"/>
              </w:rPr>
            </w:pPr>
            <w:r w:rsidRPr="009F783C">
              <w:rPr>
                <w:rFonts w:cs="Arial"/>
                <w:sz w:val="20"/>
                <w:szCs w:val="20"/>
              </w:rPr>
              <w:t>20%</w:t>
            </w:r>
          </w:p>
        </w:tc>
        <w:tc>
          <w:tcPr>
            <w:tcW w:w="0" w:type="auto"/>
            <w:tcMar>
              <w:top w:w="30" w:type="dxa"/>
              <w:left w:w="45" w:type="dxa"/>
              <w:bottom w:w="30" w:type="dxa"/>
              <w:right w:w="45" w:type="dxa"/>
            </w:tcMar>
            <w:vAlign w:val="center"/>
            <w:hideMark/>
          </w:tcPr>
          <w:p w14:paraId="57ECC85F" w14:textId="77777777" w:rsidR="009F783C" w:rsidRPr="009F783C" w:rsidRDefault="009F783C" w:rsidP="00AA4BBB">
            <w:pPr>
              <w:jc w:val="center"/>
              <w:rPr>
                <w:rFonts w:cs="Arial"/>
                <w:sz w:val="20"/>
                <w:szCs w:val="20"/>
              </w:rPr>
            </w:pPr>
            <w:r w:rsidRPr="009F783C">
              <w:rPr>
                <w:rFonts w:cs="Arial"/>
                <w:sz w:val="20"/>
                <w:szCs w:val="20"/>
              </w:rPr>
              <w:t>40%</w:t>
            </w:r>
          </w:p>
        </w:tc>
        <w:tc>
          <w:tcPr>
            <w:tcW w:w="0" w:type="auto"/>
            <w:tcMar>
              <w:top w:w="30" w:type="dxa"/>
              <w:left w:w="45" w:type="dxa"/>
              <w:bottom w:w="30" w:type="dxa"/>
              <w:right w:w="45" w:type="dxa"/>
            </w:tcMar>
            <w:vAlign w:val="center"/>
            <w:hideMark/>
          </w:tcPr>
          <w:p w14:paraId="31CFD0A2" w14:textId="77777777" w:rsidR="009F783C" w:rsidRPr="009F783C" w:rsidRDefault="009F783C" w:rsidP="00AA4BBB">
            <w:pPr>
              <w:jc w:val="center"/>
              <w:rPr>
                <w:rFonts w:cs="Arial"/>
                <w:sz w:val="20"/>
                <w:szCs w:val="20"/>
              </w:rPr>
            </w:pPr>
            <w:r w:rsidRPr="009F783C">
              <w:rPr>
                <w:rFonts w:cs="Arial"/>
                <w:sz w:val="20"/>
                <w:szCs w:val="20"/>
              </w:rPr>
              <w:t>70%</w:t>
            </w:r>
          </w:p>
        </w:tc>
        <w:tc>
          <w:tcPr>
            <w:tcW w:w="0" w:type="auto"/>
            <w:tcMar>
              <w:top w:w="30" w:type="dxa"/>
              <w:left w:w="45" w:type="dxa"/>
              <w:bottom w:w="30" w:type="dxa"/>
              <w:right w:w="45" w:type="dxa"/>
            </w:tcMar>
            <w:vAlign w:val="center"/>
            <w:hideMark/>
          </w:tcPr>
          <w:p w14:paraId="0C83B4D1"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33BC60DC" w14:textId="77777777" w:rsidR="009F783C" w:rsidRPr="009F783C" w:rsidRDefault="009F783C" w:rsidP="00AA4BBB">
            <w:pPr>
              <w:jc w:val="center"/>
              <w:rPr>
                <w:rFonts w:cs="Arial"/>
                <w:b/>
                <w:bCs/>
                <w:sz w:val="20"/>
                <w:szCs w:val="20"/>
              </w:rPr>
            </w:pPr>
            <w:r w:rsidRPr="009F783C">
              <w:rPr>
                <w:rFonts w:cs="Arial"/>
                <w:b/>
                <w:bCs/>
                <w:sz w:val="20"/>
                <w:szCs w:val="20"/>
              </w:rPr>
              <w:t>60.195.477.198</w:t>
            </w:r>
          </w:p>
        </w:tc>
      </w:tr>
      <w:tr w:rsidR="009F783C" w:rsidRPr="009F783C" w14:paraId="34E8A140" w14:textId="77777777" w:rsidTr="00AA4BBB">
        <w:trPr>
          <w:gridAfter w:val="1"/>
          <w:wAfter w:w="6" w:type="dxa"/>
        </w:trPr>
        <w:tc>
          <w:tcPr>
            <w:tcW w:w="2402" w:type="dxa"/>
            <w:vMerge/>
            <w:vAlign w:val="center"/>
            <w:hideMark/>
          </w:tcPr>
          <w:p w14:paraId="1A123236"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471D0B7F" w14:textId="77777777" w:rsidR="009F783C" w:rsidRPr="009F783C" w:rsidRDefault="009F783C" w:rsidP="00AA4BBB">
            <w:pPr>
              <w:jc w:val="center"/>
              <w:rPr>
                <w:rFonts w:cs="Arial"/>
                <w:sz w:val="20"/>
                <w:szCs w:val="20"/>
              </w:rPr>
            </w:pPr>
            <w:r w:rsidRPr="009F783C">
              <w:rPr>
                <w:rFonts w:cs="Arial"/>
                <w:sz w:val="20"/>
                <w:szCs w:val="20"/>
              </w:rPr>
              <w:t>8.553.400.000</w:t>
            </w:r>
          </w:p>
        </w:tc>
        <w:tc>
          <w:tcPr>
            <w:tcW w:w="0" w:type="auto"/>
            <w:tcMar>
              <w:top w:w="30" w:type="dxa"/>
              <w:left w:w="45" w:type="dxa"/>
              <w:bottom w:w="30" w:type="dxa"/>
              <w:right w:w="45" w:type="dxa"/>
            </w:tcMar>
            <w:vAlign w:val="center"/>
            <w:hideMark/>
          </w:tcPr>
          <w:p w14:paraId="404EE4B9" w14:textId="77777777" w:rsidR="009F783C" w:rsidRPr="009F783C" w:rsidRDefault="009F783C" w:rsidP="00AA4BBB">
            <w:pPr>
              <w:jc w:val="center"/>
              <w:rPr>
                <w:rFonts w:cs="Arial"/>
                <w:sz w:val="20"/>
                <w:szCs w:val="20"/>
              </w:rPr>
            </w:pPr>
            <w:r w:rsidRPr="009F783C">
              <w:rPr>
                <w:rFonts w:cs="Arial"/>
                <w:sz w:val="20"/>
                <w:szCs w:val="20"/>
              </w:rPr>
              <w:t>17.792.038.835</w:t>
            </w:r>
          </w:p>
        </w:tc>
        <w:tc>
          <w:tcPr>
            <w:tcW w:w="0" w:type="auto"/>
            <w:tcMar>
              <w:top w:w="30" w:type="dxa"/>
              <w:left w:w="45" w:type="dxa"/>
              <w:bottom w:w="30" w:type="dxa"/>
              <w:right w:w="45" w:type="dxa"/>
            </w:tcMar>
            <w:vAlign w:val="center"/>
            <w:hideMark/>
          </w:tcPr>
          <w:p w14:paraId="2DA96207" w14:textId="77777777" w:rsidR="009F783C" w:rsidRPr="009F783C" w:rsidRDefault="009F783C" w:rsidP="00AA4BBB">
            <w:pPr>
              <w:jc w:val="center"/>
              <w:rPr>
                <w:rFonts w:cs="Arial"/>
                <w:sz w:val="20"/>
                <w:szCs w:val="20"/>
              </w:rPr>
            </w:pPr>
            <w:r w:rsidRPr="009F783C">
              <w:rPr>
                <w:rFonts w:cs="Arial"/>
                <w:sz w:val="20"/>
                <w:szCs w:val="20"/>
              </w:rPr>
              <w:t>17.792.063.342</w:t>
            </w:r>
          </w:p>
        </w:tc>
        <w:tc>
          <w:tcPr>
            <w:tcW w:w="0" w:type="auto"/>
            <w:tcMar>
              <w:top w:w="30" w:type="dxa"/>
              <w:left w:w="45" w:type="dxa"/>
              <w:bottom w:w="30" w:type="dxa"/>
              <w:right w:w="45" w:type="dxa"/>
            </w:tcMar>
            <w:vAlign w:val="center"/>
            <w:hideMark/>
          </w:tcPr>
          <w:p w14:paraId="562271B2" w14:textId="77777777" w:rsidR="009F783C" w:rsidRPr="009F783C" w:rsidRDefault="009F783C" w:rsidP="00AA4BBB">
            <w:pPr>
              <w:jc w:val="center"/>
              <w:rPr>
                <w:rFonts w:cs="Arial"/>
                <w:sz w:val="20"/>
                <w:szCs w:val="20"/>
              </w:rPr>
            </w:pPr>
            <w:r w:rsidRPr="009F783C">
              <w:rPr>
                <w:rFonts w:cs="Arial"/>
                <w:sz w:val="20"/>
                <w:szCs w:val="20"/>
              </w:rPr>
              <w:t>17.792.001.113</w:t>
            </w:r>
          </w:p>
        </w:tc>
        <w:tc>
          <w:tcPr>
            <w:tcW w:w="0" w:type="auto"/>
            <w:vMerge/>
            <w:vAlign w:val="center"/>
            <w:hideMark/>
          </w:tcPr>
          <w:p w14:paraId="02709AA0" w14:textId="77777777" w:rsidR="009F783C" w:rsidRPr="009F783C" w:rsidRDefault="009F783C" w:rsidP="00AA4BBB">
            <w:pPr>
              <w:rPr>
                <w:rFonts w:cs="Arial"/>
                <w:b/>
                <w:bCs/>
                <w:sz w:val="20"/>
                <w:szCs w:val="20"/>
              </w:rPr>
            </w:pPr>
          </w:p>
        </w:tc>
      </w:tr>
      <w:tr w:rsidR="009F783C" w:rsidRPr="009F783C" w14:paraId="3743C392" w14:textId="77777777" w:rsidTr="00AA4BBB">
        <w:trPr>
          <w:gridAfter w:val="1"/>
          <w:wAfter w:w="6" w:type="dxa"/>
        </w:trPr>
        <w:tc>
          <w:tcPr>
            <w:tcW w:w="2402" w:type="dxa"/>
            <w:vMerge w:val="restart"/>
            <w:tcMar>
              <w:top w:w="30" w:type="dxa"/>
              <w:left w:w="45" w:type="dxa"/>
              <w:bottom w:w="30" w:type="dxa"/>
              <w:right w:w="45" w:type="dxa"/>
            </w:tcMar>
            <w:vAlign w:val="center"/>
            <w:hideMark/>
          </w:tcPr>
          <w:p w14:paraId="5B7EE5C6" w14:textId="77777777" w:rsidR="009F783C" w:rsidRPr="009F783C" w:rsidRDefault="009F783C" w:rsidP="00AA4BBB">
            <w:pPr>
              <w:rPr>
                <w:rFonts w:cs="Arial"/>
                <w:sz w:val="20"/>
                <w:szCs w:val="20"/>
              </w:rPr>
            </w:pPr>
            <w:r w:rsidRPr="009F783C">
              <w:rPr>
                <w:rFonts w:cs="Arial"/>
                <w:sz w:val="20"/>
                <w:szCs w:val="20"/>
              </w:rPr>
              <w:t xml:space="preserve">Ejecutar la prestación de servicios de seguridad convivencia y justicia garantizando la operación y gestión de la estructura organizacional </w:t>
            </w:r>
          </w:p>
        </w:tc>
        <w:tc>
          <w:tcPr>
            <w:tcW w:w="1492" w:type="dxa"/>
            <w:tcMar>
              <w:top w:w="30" w:type="dxa"/>
              <w:left w:w="45" w:type="dxa"/>
              <w:bottom w:w="30" w:type="dxa"/>
              <w:right w:w="45" w:type="dxa"/>
            </w:tcMar>
            <w:vAlign w:val="center"/>
            <w:hideMark/>
          </w:tcPr>
          <w:p w14:paraId="2E41BF63"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2B58065E"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6AF90FF9"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tcMar>
              <w:top w:w="30" w:type="dxa"/>
              <w:left w:w="45" w:type="dxa"/>
              <w:bottom w:w="30" w:type="dxa"/>
              <w:right w:w="45" w:type="dxa"/>
            </w:tcMar>
            <w:vAlign w:val="center"/>
            <w:hideMark/>
          </w:tcPr>
          <w:p w14:paraId="6FE6BCC3"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01E4880B" w14:textId="77777777" w:rsidR="009F783C" w:rsidRPr="009F783C" w:rsidRDefault="009F783C" w:rsidP="00AA4BBB">
            <w:pPr>
              <w:jc w:val="center"/>
              <w:rPr>
                <w:rFonts w:cs="Arial"/>
                <w:b/>
                <w:bCs/>
                <w:sz w:val="20"/>
                <w:szCs w:val="20"/>
              </w:rPr>
            </w:pPr>
            <w:r w:rsidRPr="009F783C">
              <w:rPr>
                <w:rFonts w:cs="Arial"/>
                <w:b/>
                <w:bCs/>
                <w:sz w:val="20"/>
                <w:szCs w:val="20"/>
              </w:rPr>
              <w:t>360.843.306.971</w:t>
            </w:r>
          </w:p>
        </w:tc>
      </w:tr>
      <w:tr w:rsidR="009F783C" w:rsidRPr="009F783C" w14:paraId="710C8974" w14:textId="77777777" w:rsidTr="00AA4BBB">
        <w:trPr>
          <w:gridAfter w:val="1"/>
          <w:wAfter w:w="6" w:type="dxa"/>
        </w:trPr>
        <w:tc>
          <w:tcPr>
            <w:tcW w:w="2402" w:type="dxa"/>
            <w:vMerge/>
            <w:vAlign w:val="center"/>
            <w:hideMark/>
          </w:tcPr>
          <w:p w14:paraId="3DB28D03" w14:textId="77777777" w:rsidR="009F783C" w:rsidRPr="009F783C" w:rsidRDefault="009F783C" w:rsidP="00AA4BBB">
            <w:pPr>
              <w:rPr>
                <w:rFonts w:cs="Arial"/>
                <w:sz w:val="20"/>
                <w:szCs w:val="20"/>
              </w:rPr>
            </w:pPr>
          </w:p>
        </w:tc>
        <w:tc>
          <w:tcPr>
            <w:tcW w:w="1492" w:type="dxa"/>
            <w:tcMar>
              <w:top w:w="30" w:type="dxa"/>
              <w:left w:w="45" w:type="dxa"/>
              <w:bottom w:w="30" w:type="dxa"/>
              <w:right w:w="45" w:type="dxa"/>
            </w:tcMar>
            <w:vAlign w:val="center"/>
            <w:hideMark/>
          </w:tcPr>
          <w:p w14:paraId="05D875D3" w14:textId="77777777" w:rsidR="009F783C" w:rsidRPr="009F783C" w:rsidRDefault="009F783C" w:rsidP="00AA4BBB">
            <w:pPr>
              <w:jc w:val="center"/>
              <w:rPr>
                <w:rFonts w:cs="Arial"/>
                <w:sz w:val="20"/>
                <w:szCs w:val="20"/>
              </w:rPr>
            </w:pPr>
            <w:r w:rsidRPr="009F783C">
              <w:rPr>
                <w:rFonts w:cs="Arial"/>
                <w:sz w:val="20"/>
                <w:szCs w:val="20"/>
              </w:rPr>
              <w:t>92.116.427.000</w:t>
            </w:r>
          </w:p>
        </w:tc>
        <w:tc>
          <w:tcPr>
            <w:tcW w:w="0" w:type="auto"/>
            <w:tcMar>
              <w:top w:w="30" w:type="dxa"/>
              <w:left w:w="45" w:type="dxa"/>
              <w:bottom w:w="30" w:type="dxa"/>
              <w:right w:w="45" w:type="dxa"/>
            </w:tcMar>
            <w:vAlign w:val="center"/>
            <w:hideMark/>
          </w:tcPr>
          <w:p w14:paraId="5C2CC8F0" w14:textId="77777777" w:rsidR="009F783C" w:rsidRPr="009F783C" w:rsidRDefault="009F783C" w:rsidP="00AA4BBB">
            <w:pPr>
              <w:jc w:val="center"/>
              <w:rPr>
                <w:rFonts w:cs="Arial"/>
                <w:sz w:val="20"/>
                <w:szCs w:val="20"/>
              </w:rPr>
            </w:pPr>
            <w:r w:rsidRPr="009F783C">
              <w:rPr>
                <w:rFonts w:cs="Arial"/>
                <w:sz w:val="20"/>
                <w:szCs w:val="20"/>
              </w:rPr>
              <w:t>92.180.210.680</w:t>
            </w:r>
          </w:p>
        </w:tc>
        <w:tc>
          <w:tcPr>
            <w:tcW w:w="0" w:type="auto"/>
            <w:tcMar>
              <w:top w:w="30" w:type="dxa"/>
              <w:left w:w="45" w:type="dxa"/>
              <w:bottom w:w="30" w:type="dxa"/>
              <w:right w:w="45" w:type="dxa"/>
            </w:tcMar>
            <w:vAlign w:val="center"/>
            <w:hideMark/>
          </w:tcPr>
          <w:p w14:paraId="3D257C40" w14:textId="77777777" w:rsidR="009F783C" w:rsidRPr="009F783C" w:rsidRDefault="009F783C" w:rsidP="00AA4BBB">
            <w:pPr>
              <w:jc w:val="center"/>
              <w:rPr>
                <w:rFonts w:cs="Arial"/>
                <w:sz w:val="20"/>
                <w:szCs w:val="20"/>
              </w:rPr>
            </w:pPr>
            <w:r w:rsidRPr="009F783C">
              <w:rPr>
                <w:rFonts w:cs="Arial"/>
                <w:sz w:val="20"/>
                <w:szCs w:val="20"/>
              </w:rPr>
              <w:t>91.284.770.478</w:t>
            </w:r>
          </w:p>
        </w:tc>
        <w:tc>
          <w:tcPr>
            <w:tcW w:w="0" w:type="auto"/>
            <w:tcMar>
              <w:top w:w="30" w:type="dxa"/>
              <w:left w:w="45" w:type="dxa"/>
              <w:bottom w:w="30" w:type="dxa"/>
              <w:right w:w="45" w:type="dxa"/>
            </w:tcMar>
            <w:vAlign w:val="center"/>
            <w:hideMark/>
          </w:tcPr>
          <w:p w14:paraId="621C6DA7" w14:textId="77777777" w:rsidR="009F783C" w:rsidRPr="009F783C" w:rsidRDefault="009F783C" w:rsidP="00AA4BBB">
            <w:pPr>
              <w:jc w:val="center"/>
              <w:rPr>
                <w:rFonts w:cs="Arial"/>
                <w:sz w:val="20"/>
                <w:szCs w:val="20"/>
              </w:rPr>
            </w:pPr>
            <w:r w:rsidRPr="009F783C">
              <w:rPr>
                <w:rFonts w:cs="Arial"/>
                <w:sz w:val="20"/>
                <w:szCs w:val="20"/>
              </w:rPr>
              <w:t>95.656.561.978</w:t>
            </w:r>
          </w:p>
        </w:tc>
        <w:tc>
          <w:tcPr>
            <w:tcW w:w="0" w:type="auto"/>
            <w:vMerge/>
            <w:vAlign w:val="center"/>
            <w:hideMark/>
          </w:tcPr>
          <w:p w14:paraId="77A787AA" w14:textId="77777777" w:rsidR="009F783C" w:rsidRPr="009F783C" w:rsidRDefault="009F783C" w:rsidP="00AA4BBB">
            <w:pPr>
              <w:rPr>
                <w:rFonts w:cs="Arial"/>
                <w:b/>
                <w:bCs/>
                <w:sz w:val="20"/>
                <w:szCs w:val="20"/>
              </w:rPr>
            </w:pPr>
          </w:p>
        </w:tc>
      </w:tr>
      <w:tr w:rsidR="009F783C" w:rsidRPr="009F783C" w14:paraId="39268A09" w14:textId="77777777" w:rsidTr="00AA4BBB">
        <w:trPr>
          <w:gridAfter w:val="1"/>
          <w:wAfter w:w="6" w:type="dxa"/>
        </w:trPr>
        <w:tc>
          <w:tcPr>
            <w:tcW w:w="2402" w:type="dxa"/>
            <w:vMerge w:val="restart"/>
            <w:tcMar>
              <w:top w:w="30" w:type="dxa"/>
              <w:left w:w="45" w:type="dxa"/>
              <w:bottom w:w="30" w:type="dxa"/>
              <w:right w:w="45" w:type="dxa"/>
            </w:tcMar>
            <w:vAlign w:val="center"/>
            <w:hideMark/>
          </w:tcPr>
          <w:p w14:paraId="09021B5C" w14:textId="77777777" w:rsidR="009F783C" w:rsidRPr="009F783C" w:rsidRDefault="009F783C" w:rsidP="00AA4BBB">
            <w:pPr>
              <w:rPr>
                <w:rFonts w:cs="Arial"/>
                <w:sz w:val="20"/>
                <w:szCs w:val="20"/>
              </w:rPr>
            </w:pPr>
            <w:r w:rsidRPr="009F783C">
              <w:rPr>
                <w:rFonts w:cs="Arial"/>
                <w:sz w:val="20"/>
                <w:szCs w:val="20"/>
              </w:rPr>
              <w:t>Fortalecer la Secretaría Distrital de Seguridad Convivencia y Justicia para una gestión más eficiente.</w:t>
            </w:r>
          </w:p>
        </w:tc>
        <w:tc>
          <w:tcPr>
            <w:tcW w:w="1492" w:type="dxa"/>
            <w:tcMar>
              <w:top w:w="30" w:type="dxa"/>
              <w:left w:w="45" w:type="dxa"/>
              <w:bottom w:w="30" w:type="dxa"/>
              <w:right w:w="45" w:type="dxa"/>
            </w:tcMar>
            <w:vAlign w:val="center"/>
            <w:hideMark/>
          </w:tcPr>
          <w:p w14:paraId="30E04169" w14:textId="77777777" w:rsidR="009F783C" w:rsidRPr="009F783C" w:rsidRDefault="009F783C" w:rsidP="00AA4BBB">
            <w:pPr>
              <w:jc w:val="center"/>
              <w:rPr>
                <w:rFonts w:cs="Arial"/>
                <w:sz w:val="20"/>
                <w:szCs w:val="20"/>
              </w:rPr>
            </w:pPr>
            <w:r w:rsidRPr="009F783C">
              <w:rPr>
                <w:rFonts w:cs="Arial"/>
                <w:sz w:val="20"/>
                <w:szCs w:val="20"/>
              </w:rPr>
              <w:t>20%</w:t>
            </w:r>
          </w:p>
        </w:tc>
        <w:tc>
          <w:tcPr>
            <w:tcW w:w="0" w:type="auto"/>
            <w:tcMar>
              <w:top w:w="30" w:type="dxa"/>
              <w:left w:w="45" w:type="dxa"/>
              <w:bottom w:w="30" w:type="dxa"/>
              <w:right w:w="45" w:type="dxa"/>
            </w:tcMar>
            <w:vAlign w:val="center"/>
            <w:hideMark/>
          </w:tcPr>
          <w:p w14:paraId="263A1A56" w14:textId="77777777" w:rsidR="009F783C" w:rsidRPr="009F783C" w:rsidRDefault="009F783C" w:rsidP="00AA4BBB">
            <w:pPr>
              <w:jc w:val="center"/>
              <w:rPr>
                <w:rFonts w:cs="Arial"/>
                <w:sz w:val="20"/>
                <w:szCs w:val="20"/>
              </w:rPr>
            </w:pPr>
            <w:r w:rsidRPr="009F783C">
              <w:rPr>
                <w:rFonts w:cs="Arial"/>
                <w:sz w:val="20"/>
                <w:szCs w:val="20"/>
              </w:rPr>
              <w:t>40%</w:t>
            </w:r>
          </w:p>
        </w:tc>
        <w:tc>
          <w:tcPr>
            <w:tcW w:w="0" w:type="auto"/>
            <w:tcMar>
              <w:top w:w="30" w:type="dxa"/>
              <w:left w:w="45" w:type="dxa"/>
              <w:bottom w:w="30" w:type="dxa"/>
              <w:right w:w="45" w:type="dxa"/>
            </w:tcMar>
            <w:vAlign w:val="center"/>
            <w:hideMark/>
          </w:tcPr>
          <w:p w14:paraId="1E1109C5" w14:textId="77777777" w:rsidR="009F783C" w:rsidRPr="009F783C" w:rsidRDefault="009F783C" w:rsidP="00AA4BBB">
            <w:pPr>
              <w:jc w:val="center"/>
              <w:rPr>
                <w:rFonts w:cs="Arial"/>
                <w:sz w:val="20"/>
                <w:szCs w:val="20"/>
              </w:rPr>
            </w:pPr>
            <w:r w:rsidRPr="009F783C">
              <w:rPr>
                <w:rFonts w:cs="Arial"/>
                <w:sz w:val="20"/>
                <w:szCs w:val="20"/>
              </w:rPr>
              <w:t>70%</w:t>
            </w:r>
          </w:p>
        </w:tc>
        <w:tc>
          <w:tcPr>
            <w:tcW w:w="0" w:type="auto"/>
            <w:tcMar>
              <w:top w:w="30" w:type="dxa"/>
              <w:left w:w="45" w:type="dxa"/>
              <w:bottom w:w="30" w:type="dxa"/>
              <w:right w:w="45" w:type="dxa"/>
            </w:tcMar>
            <w:vAlign w:val="center"/>
            <w:hideMark/>
          </w:tcPr>
          <w:p w14:paraId="0EB08AB5" w14:textId="77777777" w:rsidR="009F783C" w:rsidRPr="009F783C" w:rsidRDefault="009F783C" w:rsidP="00AA4BBB">
            <w:pPr>
              <w:jc w:val="center"/>
              <w:rPr>
                <w:rFonts w:cs="Arial"/>
                <w:sz w:val="20"/>
                <w:szCs w:val="20"/>
              </w:rPr>
            </w:pPr>
            <w:r w:rsidRPr="009F783C">
              <w:rPr>
                <w:rFonts w:cs="Arial"/>
                <w:sz w:val="20"/>
                <w:szCs w:val="20"/>
              </w:rPr>
              <w:t>100%</w:t>
            </w:r>
          </w:p>
        </w:tc>
        <w:tc>
          <w:tcPr>
            <w:tcW w:w="0" w:type="auto"/>
            <w:vMerge w:val="restart"/>
            <w:tcMar>
              <w:top w:w="30" w:type="dxa"/>
              <w:left w:w="45" w:type="dxa"/>
              <w:bottom w:w="30" w:type="dxa"/>
              <w:right w:w="45" w:type="dxa"/>
            </w:tcMar>
            <w:vAlign w:val="center"/>
            <w:hideMark/>
          </w:tcPr>
          <w:p w14:paraId="25C607D0" w14:textId="77777777" w:rsidR="009F783C" w:rsidRPr="009F783C" w:rsidRDefault="009F783C" w:rsidP="00AA4BBB">
            <w:pPr>
              <w:jc w:val="center"/>
              <w:rPr>
                <w:rFonts w:cs="Arial"/>
                <w:b/>
                <w:bCs/>
                <w:sz w:val="20"/>
                <w:szCs w:val="20"/>
              </w:rPr>
            </w:pPr>
            <w:r w:rsidRPr="009F783C">
              <w:rPr>
                <w:rFonts w:cs="Arial"/>
                <w:b/>
                <w:bCs/>
                <w:sz w:val="20"/>
                <w:szCs w:val="20"/>
              </w:rPr>
              <w:t>216.665.458.141</w:t>
            </w:r>
          </w:p>
        </w:tc>
      </w:tr>
      <w:tr w:rsidR="009F783C" w:rsidRPr="009F783C" w14:paraId="36F57B65" w14:textId="77777777" w:rsidTr="00AA4BBB">
        <w:trPr>
          <w:gridAfter w:val="1"/>
          <w:wAfter w:w="6" w:type="dxa"/>
        </w:trPr>
        <w:tc>
          <w:tcPr>
            <w:tcW w:w="2402" w:type="dxa"/>
            <w:vMerge/>
            <w:tcBorders>
              <w:bottom w:val="double" w:sz="4" w:space="0" w:color="C00000"/>
            </w:tcBorders>
            <w:vAlign w:val="center"/>
            <w:hideMark/>
          </w:tcPr>
          <w:p w14:paraId="168A3C16" w14:textId="77777777" w:rsidR="009F783C" w:rsidRPr="009F783C" w:rsidRDefault="009F783C" w:rsidP="00AA4BBB">
            <w:pPr>
              <w:rPr>
                <w:rFonts w:cs="Arial"/>
                <w:sz w:val="20"/>
                <w:szCs w:val="20"/>
              </w:rPr>
            </w:pPr>
          </w:p>
        </w:tc>
        <w:tc>
          <w:tcPr>
            <w:tcW w:w="1492" w:type="dxa"/>
            <w:tcBorders>
              <w:bottom w:val="double" w:sz="4" w:space="0" w:color="C00000"/>
            </w:tcBorders>
            <w:tcMar>
              <w:top w:w="30" w:type="dxa"/>
              <w:left w:w="45" w:type="dxa"/>
              <w:bottom w:w="30" w:type="dxa"/>
              <w:right w:w="45" w:type="dxa"/>
            </w:tcMar>
            <w:vAlign w:val="center"/>
            <w:hideMark/>
          </w:tcPr>
          <w:p w14:paraId="502FD00A" w14:textId="77777777" w:rsidR="009F783C" w:rsidRPr="009F783C" w:rsidRDefault="009F783C" w:rsidP="00AA4BBB">
            <w:pPr>
              <w:jc w:val="center"/>
              <w:rPr>
                <w:rFonts w:cs="Arial"/>
                <w:sz w:val="20"/>
                <w:szCs w:val="20"/>
              </w:rPr>
            </w:pPr>
            <w:r w:rsidRPr="009F783C">
              <w:rPr>
                <w:rFonts w:cs="Arial"/>
                <w:sz w:val="20"/>
                <w:szCs w:val="20"/>
              </w:rPr>
              <w:t>500.000.000</w:t>
            </w:r>
          </w:p>
        </w:tc>
        <w:tc>
          <w:tcPr>
            <w:tcW w:w="0" w:type="auto"/>
            <w:tcBorders>
              <w:bottom w:val="double" w:sz="4" w:space="0" w:color="C00000"/>
            </w:tcBorders>
            <w:tcMar>
              <w:top w:w="30" w:type="dxa"/>
              <w:left w:w="45" w:type="dxa"/>
              <w:bottom w:w="30" w:type="dxa"/>
              <w:right w:w="45" w:type="dxa"/>
            </w:tcMar>
            <w:vAlign w:val="center"/>
            <w:hideMark/>
          </w:tcPr>
          <w:p w14:paraId="554CE460" w14:textId="77777777" w:rsidR="009F783C" w:rsidRPr="009F783C" w:rsidRDefault="009F783C" w:rsidP="00AA4BBB">
            <w:pPr>
              <w:jc w:val="center"/>
              <w:rPr>
                <w:rFonts w:cs="Arial"/>
                <w:sz w:val="20"/>
                <w:szCs w:val="20"/>
              </w:rPr>
            </w:pPr>
            <w:r w:rsidRPr="009F783C">
              <w:rPr>
                <w:rFonts w:cs="Arial"/>
                <w:sz w:val="20"/>
                <w:szCs w:val="20"/>
              </w:rPr>
              <w:t>44.976.185.437</w:t>
            </w:r>
          </w:p>
        </w:tc>
        <w:tc>
          <w:tcPr>
            <w:tcW w:w="0" w:type="auto"/>
            <w:tcBorders>
              <w:bottom w:val="double" w:sz="4" w:space="0" w:color="C00000"/>
            </w:tcBorders>
            <w:tcMar>
              <w:top w:w="30" w:type="dxa"/>
              <w:left w:w="45" w:type="dxa"/>
              <w:bottom w:w="30" w:type="dxa"/>
              <w:right w:w="45" w:type="dxa"/>
            </w:tcMar>
            <w:vAlign w:val="center"/>
            <w:hideMark/>
          </w:tcPr>
          <w:p w14:paraId="01E2216D" w14:textId="77777777" w:rsidR="009F783C" w:rsidRPr="009F783C" w:rsidRDefault="009F783C" w:rsidP="00AA4BBB">
            <w:pPr>
              <w:jc w:val="center"/>
              <w:rPr>
                <w:rFonts w:cs="Arial"/>
                <w:sz w:val="20"/>
                <w:szCs w:val="20"/>
              </w:rPr>
            </w:pPr>
            <w:r w:rsidRPr="009F783C">
              <w:rPr>
                <w:rFonts w:cs="Arial"/>
                <w:sz w:val="20"/>
                <w:szCs w:val="20"/>
              </w:rPr>
              <w:t>82.965.492.506</w:t>
            </w:r>
          </w:p>
        </w:tc>
        <w:tc>
          <w:tcPr>
            <w:tcW w:w="0" w:type="auto"/>
            <w:tcBorders>
              <w:bottom w:val="double" w:sz="4" w:space="0" w:color="C00000"/>
            </w:tcBorders>
            <w:tcMar>
              <w:top w:w="30" w:type="dxa"/>
              <w:left w:w="45" w:type="dxa"/>
              <w:bottom w:w="30" w:type="dxa"/>
              <w:right w:w="45" w:type="dxa"/>
            </w:tcMar>
            <w:vAlign w:val="center"/>
            <w:hideMark/>
          </w:tcPr>
          <w:p w14:paraId="5B291150" w14:textId="77777777" w:rsidR="009F783C" w:rsidRPr="009F783C" w:rsidRDefault="009F783C" w:rsidP="00AA4BBB">
            <w:pPr>
              <w:jc w:val="center"/>
              <w:rPr>
                <w:rFonts w:cs="Arial"/>
                <w:sz w:val="20"/>
                <w:szCs w:val="20"/>
              </w:rPr>
            </w:pPr>
            <w:r w:rsidRPr="009F783C">
              <w:rPr>
                <w:rFonts w:cs="Arial"/>
                <w:sz w:val="20"/>
                <w:szCs w:val="20"/>
              </w:rPr>
              <w:t>94.465.171.996</w:t>
            </w:r>
          </w:p>
        </w:tc>
        <w:tc>
          <w:tcPr>
            <w:tcW w:w="0" w:type="auto"/>
            <w:vMerge/>
            <w:tcBorders>
              <w:bottom w:val="double" w:sz="4" w:space="0" w:color="C00000"/>
            </w:tcBorders>
            <w:vAlign w:val="center"/>
            <w:hideMark/>
          </w:tcPr>
          <w:p w14:paraId="518A052D" w14:textId="77777777" w:rsidR="009F783C" w:rsidRPr="009F783C" w:rsidRDefault="009F783C" w:rsidP="00AA4BBB">
            <w:pPr>
              <w:rPr>
                <w:rFonts w:cs="Arial"/>
                <w:b/>
                <w:bCs/>
                <w:sz w:val="20"/>
                <w:szCs w:val="20"/>
              </w:rPr>
            </w:pPr>
          </w:p>
        </w:tc>
      </w:tr>
    </w:tbl>
    <w:p w14:paraId="72A51D66" w14:textId="77777777" w:rsidR="00EF1D5F" w:rsidRDefault="00EF1D5F" w:rsidP="00DA2807">
      <w:pPr>
        <w:rPr>
          <w:rFonts w:ascii="Times New Roman" w:hAnsi="Times New Roman"/>
          <w:iCs/>
          <w:color w:val="auto"/>
        </w:rPr>
      </w:pPr>
    </w:p>
    <w:p w14:paraId="4365CB70" w14:textId="77777777" w:rsidR="00EF1D5F" w:rsidRPr="00775A46" w:rsidRDefault="00EF1D5F" w:rsidP="00775A46"/>
    <w:p w14:paraId="333A6B6B" w14:textId="77777777" w:rsidR="00EF1D5F" w:rsidRDefault="00EF1D5F" w:rsidP="00DA2807">
      <w:pPr>
        <w:rPr>
          <w:rFonts w:ascii="Times New Roman" w:hAnsi="Times New Roman"/>
          <w:iCs/>
          <w:color w:val="auto"/>
        </w:rPr>
      </w:pPr>
    </w:p>
    <w:p w14:paraId="6337B8A4" w14:textId="77777777" w:rsidR="00EF1D5F" w:rsidRPr="00AC6644" w:rsidRDefault="00EF1D5F" w:rsidP="00AC6644"/>
    <w:p w14:paraId="3618FB5A" w14:textId="77777777" w:rsidR="007B0476" w:rsidRDefault="007B0476" w:rsidP="009F783C">
      <w:pPr>
        <w:rPr>
          <w:color w:val="C00000"/>
        </w:rPr>
      </w:pPr>
      <w:r>
        <w:rPr>
          <w:color w:val="C00000"/>
        </w:rPr>
        <w:br w:type="page"/>
      </w:r>
    </w:p>
    <w:p w14:paraId="6BB3646F" w14:textId="5E223DF0" w:rsidR="00EF1D5F" w:rsidRDefault="00EF1D5F" w:rsidP="008A59AD">
      <w:pPr>
        <w:pStyle w:val="NIVEL4"/>
      </w:pPr>
      <w:bookmarkStart w:id="434" w:name="_Toc165169802"/>
      <w:r w:rsidRPr="00775A46">
        <w:rPr>
          <w:color w:val="C00000"/>
        </w:rPr>
        <w:lastRenderedPageBreak/>
        <w:t xml:space="preserve">Programa </w:t>
      </w:r>
      <w:r>
        <w:rPr>
          <w:color w:val="C00000"/>
        </w:rPr>
        <w:t>34</w:t>
      </w:r>
      <w:r w:rsidR="008A59AD">
        <w:rPr>
          <w:color w:val="C00000"/>
        </w:rPr>
        <w:t xml:space="preserve">: </w:t>
      </w:r>
      <w:r w:rsidRPr="003D5451">
        <w:t>Talento Humano unido por la ciudadanía</w:t>
      </w:r>
      <w:bookmarkEnd w:id="434"/>
    </w:p>
    <w:p w14:paraId="19804DAE" w14:textId="77777777" w:rsidR="005308D3" w:rsidRDefault="005308D3" w:rsidP="009537B2">
      <w:pPr>
        <w:rPr>
          <w:color w:val="C00000"/>
        </w:rPr>
      </w:pPr>
    </w:p>
    <w:p w14:paraId="5C20F600" w14:textId="6E504BFE" w:rsidR="00EF1D5F" w:rsidRPr="005308D3" w:rsidRDefault="00EF1D5F" w:rsidP="005308D3">
      <w:pPr>
        <w:ind w:firstLine="708"/>
        <w:rPr>
          <w:b/>
          <w:bCs/>
        </w:rPr>
      </w:pPr>
      <w:r w:rsidRPr="005308D3">
        <w:rPr>
          <w:b/>
          <w:bCs/>
        </w:rPr>
        <w:t>Diagnóstico</w:t>
      </w:r>
    </w:p>
    <w:p w14:paraId="778A4B9E" w14:textId="77777777" w:rsidR="00EF1D5F" w:rsidRDefault="00EF1D5F" w:rsidP="00775A46">
      <w:pPr>
        <w:sectPr w:rsidR="00EF1D5F" w:rsidSect="00F7078E">
          <w:type w:val="continuous"/>
          <w:pgSz w:w="12240" w:h="15840"/>
          <w:pgMar w:top="2262" w:right="1440" w:bottom="1440" w:left="1440" w:header="708" w:footer="680" w:gutter="0"/>
          <w:cols w:space="720"/>
          <w:docGrid w:linePitch="299"/>
        </w:sectPr>
      </w:pPr>
    </w:p>
    <w:p w14:paraId="0F83E2A3" w14:textId="3ACBA2F7" w:rsidR="00EF1D5F" w:rsidRDefault="00EF1D5F" w:rsidP="00694464">
      <w:pPr>
        <w:rPr>
          <w:highlight w:val="white"/>
        </w:rPr>
      </w:pPr>
      <w:r>
        <w:rPr>
          <w:highlight w:val="white"/>
        </w:rPr>
        <w:t>El talento humano vinculado a las entidades y organismos distritales con el que Bogotá presta los bienes y servicios a la ciudadanía está conformado por 112.342 personas, de las cuales 64.510 son servidoras y servidores públicos, y 47.832, colaboradoras y colaboradores. Estos representan el 2,8</w:t>
      </w:r>
      <w:r>
        <w:t> %</w:t>
      </w:r>
      <w:r>
        <w:rPr>
          <w:highlight w:val="white"/>
        </w:rPr>
        <w:t xml:space="preserve"> de la población ocupada de Bogotá, lo cual significa, en este contexto, que la gestión de las personas en el Distrito Capital, resulta clave para el cumplimiento de las apuestas del Plan Distrital de Desarrollo.</w:t>
      </w:r>
    </w:p>
    <w:p w14:paraId="519A52F7" w14:textId="77777777" w:rsidR="00EF1D5F" w:rsidRDefault="00EF1D5F" w:rsidP="00694464">
      <w:pPr>
        <w:rPr>
          <w:highlight w:val="white"/>
        </w:rPr>
      </w:pPr>
    </w:p>
    <w:p w14:paraId="286DC013" w14:textId="77777777" w:rsidR="00EF1D5F" w:rsidRDefault="00EF1D5F" w:rsidP="00694464">
      <w:pPr>
        <w:rPr>
          <w:highlight w:val="white"/>
        </w:rPr>
      </w:pPr>
      <w:r>
        <w:rPr>
          <w:highlight w:val="white"/>
        </w:rPr>
        <w:t>Para comprender el nivel de eficacia en esta labor, se cuenta con la medición del IDI, que es un referente esencial para entender el estado del arte de gestión y desempeño de las entidades y organismos distritales. A tal efecto, al analizar los resultados de la Política de Gestión Estratégica del Talento Humano en la vigencia 2022, se identifica que el 46</w:t>
      </w:r>
      <w:r>
        <w:t> %</w:t>
      </w:r>
      <w:r>
        <w:rPr>
          <w:highlight w:val="white"/>
        </w:rPr>
        <w:t xml:space="preserve"> de las entidades y organismos se encuentran por debajo del promedio distrital, correspondiente a 90,3 puntos, evidencia de una brecha en la gestión integral del talento humano. </w:t>
      </w:r>
    </w:p>
    <w:p w14:paraId="156E536D" w14:textId="77777777" w:rsidR="00EF1D5F" w:rsidRDefault="00EF1D5F" w:rsidP="00694464">
      <w:pPr>
        <w:rPr>
          <w:highlight w:val="white"/>
        </w:rPr>
      </w:pPr>
    </w:p>
    <w:p w14:paraId="44832AC1" w14:textId="77777777" w:rsidR="00EF1D5F" w:rsidRDefault="00EF1D5F" w:rsidP="00694464">
      <w:r>
        <w:rPr>
          <w:highlight w:val="white"/>
        </w:rPr>
        <w:t xml:space="preserve">Ahora bien, </w:t>
      </w:r>
      <w:r>
        <w:t xml:space="preserve">para identificar las brechas que existen en cada uno de los subcomponentes de gestión del talento humano, el Distrito Capital ha avanzado en la medición del Índice de Desempeño del Servicio Civil Distrital, en cuyos últimos resultados, correspondientes a la vigencia 2022, se obtuvo un puntaje de 69,72 sobre 100. </w:t>
      </w:r>
    </w:p>
    <w:p w14:paraId="770C03C1" w14:textId="77777777" w:rsidR="00EF1D5F" w:rsidRDefault="00EF1D5F" w:rsidP="00694464"/>
    <w:p w14:paraId="22F8F48F" w14:textId="77777777" w:rsidR="00EF1D5F" w:rsidRDefault="00EF1D5F" w:rsidP="00694464">
      <w:r>
        <w:t xml:space="preserve">Este instrumento permite diagnosticar fortalezas y debilidades en ocho subsistemas clave: 1) Planificación; 2) Organización del Trabajo; 3) Gestión del Empleo; 4) Gestión del Rendimiento; 5) Gestión de la Compensación; 6) Gestión del Desarrollo; 7) Gestión de las Relaciones Humanas y Sociales, y 8) Organización de la Función de Recursos Humanos. Los resultados de esta medición evidencian un nivel alto de desarrollo del servicio civil en la ciudad. Sin embargo, </w:t>
      </w:r>
      <w:r>
        <w:t>a pesar de estos resultados, es innegable que persiste una brecha significativa que requiere intervención.</w:t>
      </w:r>
    </w:p>
    <w:p w14:paraId="43CAC5BA" w14:textId="77777777" w:rsidR="00EF1D5F" w:rsidRDefault="00EF1D5F" w:rsidP="00694464">
      <w:pPr>
        <w:rPr>
          <w:highlight w:val="white"/>
        </w:rPr>
      </w:pPr>
    </w:p>
    <w:p w14:paraId="551037C0" w14:textId="3137A48A" w:rsidR="00EF1D5F" w:rsidRDefault="00EF1D5F" w:rsidP="00694464">
      <w:pPr>
        <w:rPr>
          <w:highlight w:val="white"/>
        </w:rPr>
      </w:pPr>
      <w:r>
        <w:rPr>
          <w:highlight w:val="white"/>
        </w:rPr>
        <w:t>Respecto a las mencionadas brechas, la Administración distrital formuló la Política Pública de Gestión Integral del Talento Humano, aprobada con el CONPES Distrital 07 de 2019, cuya implementación ha avanzado en el 67,25</w:t>
      </w:r>
      <w:r>
        <w:t> %</w:t>
      </w:r>
      <w:r>
        <w:rPr>
          <w:highlight w:val="white"/>
        </w:rPr>
        <w:t xml:space="preserve">. No obstante, según los resultados de la evaluación de esta política, el desafío radica en mantener los esfuerzos en su implementación con una visión a largo plazo, hacia 2030. </w:t>
      </w:r>
    </w:p>
    <w:p w14:paraId="6A37B004" w14:textId="77777777" w:rsidR="00EF1D5F" w:rsidRDefault="00EF1D5F" w:rsidP="00694464">
      <w:pPr>
        <w:rPr>
          <w:highlight w:val="white"/>
        </w:rPr>
      </w:pPr>
    </w:p>
    <w:p w14:paraId="75687F8A" w14:textId="77777777" w:rsidR="00EF1D5F" w:rsidRDefault="00EF1D5F" w:rsidP="00694464">
      <w:r>
        <w:rPr>
          <w:highlight w:val="white"/>
        </w:rPr>
        <w:t xml:space="preserve">Esto implica dar continuidad a los 23 productos activos de la política, </w:t>
      </w:r>
      <w:r>
        <w:t>relacionados con convocatorias públicas para provisión de empleos por mérito, programas de bienestar laboral, programas de reconocimiento y exaltación de la labor de servidor/a público/a, programas de innovación pública, consolidación del sistema de información del empleo y de la Administración pública, así como la apropiación de competencias digitales e innovación en las y los servidores públicos y colaboradores del Distrito Capital, para abordar de manera efectiva los desafíos públicos.</w:t>
      </w:r>
    </w:p>
    <w:p w14:paraId="44F1B52A" w14:textId="77777777" w:rsidR="00EF1D5F" w:rsidRDefault="00EF1D5F" w:rsidP="00694464"/>
    <w:p w14:paraId="07BFD29F" w14:textId="77777777" w:rsidR="00EF1D5F" w:rsidRDefault="00EF1D5F" w:rsidP="00694464">
      <w:r>
        <w:t xml:space="preserve">Una de las fortalezas más importantes de puesta en marcha de la política ha sido la consolidación del Sistema de Información Distrital del Empleo y la Administración Pública (SIDEAP, versión 2.0), que ha permitido transparentar de cara a la ciudadanía y a los grupos de interés, al igual que la composición, caracterización y gestión de talento humano contando con información oportuna y veraz para la toma de decisiones en los diversos subcomponentes de gestión de este. </w:t>
      </w:r>
    </w:p>
    <w:p w14:paraId="64FFC060" w14:textId="77777777" w:rsidR="00EF1D5F" w:rsidRDefault="00EF1D5F" w:rsidP="00694464"/>
    <w:p w14:paraId="42841FEE" w14:textId="77777777" w:rsidR="00EF1D5F" w:rsidRPr="00A63559" w:rsidRDefault="00EF1D5F" w:rsidP="00694464">
      <w:pPr>
        <w:rPr>
          <w:spacing w:val="-4"/>
        </w:rPr>
      </w:pPr>
      <w:r w:rsidRPr="00A63559">
        <w:rPr>
          <w:spacing w:val="-4"/>
        </w:rPr>
        <w:t xml:space="preserve">El SIDEAP 2.0, además, ha permitido gestionar de manera integral la información relacionada con la estructura organizacional y el talento humano, a </w:t>
      </w:r>
      <w:r w:rsidRPr="00A63559">
        <w:rPr>
          <w:spacing w:val="-4"/>
        </w:rPr>
        <w:lastRenderedPageBreak/>
        <w:t xml:space="preserve">través de 33 módulos y funcionalidades que facilitan la labor de las áreas de servidoras, servidores, colaboradoras y colaboradores de las entidades distritales, y así les permite ser más eficientes, al acceder a herramientas tecnológicas hechas a la medida. </w:t>
      </w:r>
    </w:p>
    <w:p w14:paraId="61C9CD5E" w14:textId="77777777" w:rsidR="00EF1D5F" w:rsidRDefault="00EF1D5F" w:rsidP="00694464"/>
    <w:p w14:paraId="15D87C2C" w14:textId="77777777" w:rsidR="00EF1D5F" w:rsidRDefault="00EF1D5F" w:rsidP="00694464">
      <w:r>
        <w:t xml:space="preserve">El avance que ha tenido el Distrito Capital en materia de información de las estructuras organizacionales, plantas y, en general, de las principales variables del talento humano vinculado al Distrito, es un esfuerzo valioso que no debe desaprovecharse. Esto evidencia la necesidad de continuar en su consolidación, optimización y mantenimiento, para asegurar el rigor de las decisiones basadas en datos y evitar caer en la obsolescencia y desactualización. </w:t>
      </w:r>
    </w:p>
    <w:p w14:paraId="2D20627A" w14:textId="77777777" w:rsidR="00EF1D5F" w:rsidRDefault="00EF1D5F" w:rsidP="00694464"/>
    <w:p w14:paraId="4E6EA887" w14:textId="77777777" w:rsidR="00EF1D5F" w:rsidRDefault="00EF1D5F" w:rsidP="00694464">
      <w:r>
        <w:t xml:space="preserve">Ahora bien, en la citada política, uno de los ejes fundamentales lo constituye el principio constitucional del Mérito, en cuya senda Bogotá ha avanzado de manera contundente en los últimos años, y ofertando por convocatoria pública meritocrática de 12.677 empleos de carrera administrativa. Entre 2012 y 2015 se ofertaron 1.769 </w:t>
      </w:r>
      <w:r>
        <w:t xml:space="preserve">empleos; de 2016 a 2020 la cifra aumentó a 5.036, y de 2021 a 2023 se alcanzaron a ofertar 5.872 empleos de carrera administrativa. </w:t>
      </w:r>
    </w:p>
    <w:p w14:paraId="06442474" w14:textId="77777777" w:rsidR="00EF1D5F" w:rsidRDefault="00EF1D5F" w:rsidP="00694464"/>
    <w:p w14:paraId="7F372EB5" w14:textId="77777777" w:rsidR="00EF1D5F" w:rsidRDefault="00EF1D5F" w:rsidP="00694464">
      <w:r>
        <w:t>Adicionalmente a lo anterior, la actual administración avanzó en las convocatorias públicas que realiza la Comisión Nacional del Servicio Civil para los empleos de carrera en los procesos denominados Distrito V y Distrito VI, así como en las convocatorias públicas para seleccionar los alcaldes y alcaldesas locales de Bogotá, y para la conformación objetiva del banco de hojas de vida que permitan seleccionar a los gerentes de las subredes integrales de salud.</w:t>
      </w:r>
    </w:p>
    <w:p w14:paraId="0307DB48" w14:textId="77777777" w:rsidR="00EF1D5F" w:rsidRDefault="00EF1D5F" w:rsidP="00694464"/>
    <w:p w14:paraId="5F7400A4" w14:textId="77777777" w:rsidR="00EF1D5F" w:rsidRDefault="00EF1D5F" w:rsidP="00694464">
      <w:r>
        <w:t>No obstante, este gran esfuerzo, la ciudad sigue enfrentando un reto de cara al mérito, ya que en su planta de personal tiene 9.884</w:t>
      </w:r>
      <w:r w:rsidRPr="00A63559">
        <w:rPr>
          <w:b/>
          <w:bCs/>
          <w:color w:val="C00000"/>
          <w:vertAlign w:val="superscript"/>
        </w:rPr>
        <w:footnoteReference w:id="25"/>
      </w:r>
      <w:r>
        <w:t xml:space="preserve"> empleos susceptibles de ser convocados a concurso público, situación que se origina por las vacancias definitivas generadas por el desarrollo de las múltiples convocatorias que ha tenido el país y por los procesos de retiro de las empleadas y los empleados públicos por pensión.</w:t>
      </w:r>
    </w:p>
    <w:p w14:paraId="00498939" w14:textId="77777777" w:rsidR="00EF1D5F" w:rsidRDefault="00EF1D5F" w:rsidP="00694464">
      <w:pPr>
        <w:sectPr w:rsidR="00EF1D5F" w:rsidSect="00F7078E">
          <w:type w:val="continuous"/>
          <w:pgSz w:w="12240" w:h="15840"/>
          <w:pgMar w:top="2262" w:right="1440" w:bottom="1440" w:left="1440" w:header="708" w:footer="680" w:gutter="0"/>
          <w:cols w:num="2" w:space="567"/>
          <w:docGrid w:linePitch="299"/>
        </w:sectPr>
      </w:pPr>
    </w:p>
    <w:p w14:paraId="2021FA91" w14:textId="77777777" w:rsidR="00EF1D5F" w:rsidRDefault="00EF1D5F" w:rsidP="00694464"/>
    <w:p w14:paraId="5296629F" w14:textId="77777777" w:rsidR="00EF1D5F" w:rsidRDefault="00EF1D5F" w:rsidP="00694464">
      <w:r>
        <w:t>De igual manera, frente al mérito en la permanencia, de acuerdo con el informe de desempeño laboral de la Comisión Nacional del Servicio Civil (CNSC), en la vigencia 2021 los resultados de la evaluación definitiva del desempeño para los empleados públicos del Distrito Capital indican que el 96</w:t>
      </w:r>
      <w:r>
        <w:rPr>
          <w:rFonts w:ascii="Arial" w:hAnsi="Arial" w:cs="Arial"/>
        </w:rPr>
        <w:t> </w:t>
      </w:r>
      <w:r>
        <w:t>% se encuentra en sobresaliente, solo el 4</w:t>
      </w:r>
      <w:r>
        <w:rPr>
          <w:rFonts w:ascii="Arial" w:hAnsi="Arial" w:cs="Arial"/>
        </w:rPr>
        <w:t> </w:t>
      </w:r>
      <w:r>
        <w:t>% está en satisfactorio y el 0,1</w:t>
      </w:r>
      <w:r>
        <w:rPr>
          <w:rFonts w:ascii="Arial" w:hAnsi="Arial" w:cs="Arial"/>
        </w:rPr>
        <w:t> </w:t>
      </w:r>
      <w:r>
        <w:t xml:space="preserve">% obtuvo un no satisfactorio. Esto evidencia que el instrumento de evaluación del desempeño “tipo” no ha logrado garantizar que el mérito y la productividad sean la regla para ejercer el privilegio de desempeñar un empleo público. </w:t>
      </w:r>
    </w:p>
    <w:p w14:paraId="6E523CBC" w14:textId="77777777" w:rsidR="00EF1D5F" w:rsidRDefault="00EF1D5F" w:rsidP="00694464">
      <w:pPr>
        <w:rPr>
          <w:highlight w:val="white"/>
        </w:rPr>
      </w:pPr>
    </w:p>
    <w:p w14:paraId="63F0E35E" w14:textId="77777777" w:rsidR="00EF1D5F" w:rsidRDefault="00EF1D5F" w:rsidP="00694464">
      <w:pPr>
        <w:rPr>
          <w:highlight w:val="white"/>
        </w:rPr>
      </w:pPr>
      <w:r>
        <w:rPr>
          <w:highlight w:val="white"/>
        </w:rPr>
        <w:t xml:space="preserve">Por otro lado, dentro de la citada política se cuenta con varios programas que le apuntan a impactar positivamente la vida laboral de los servidores y colaboradores del Distrito Capital, </w:t>
      </w:r>
      <w:r>
        <w:rPr>
          <w:highlight w:val="white"/>
        </w:rPr>
        <w:t>para generar mayor bienestar, sentido de pertenencia y, por ende, un mejor desempeño en la realización de las labores diarias.</w:t>
      </w:r>
    </w:p>
    <w:p w14:paraId="2B4F7CB8" w14:textId="77777777" w:rsidR="00EF1D5F" w:rsidRDefault="00EF1D5F" w:rsidP="00694464">
      <w:pPr>
        <w:rPr>
          <w:highlight w:val="white"/>
        </w:rPr>
      </w:pPr>
    </w:p>
    <w:p w14:paraId="23706414" w14:textId="77777777" w:rsidR="00EF1D5F" w:rsidRDefault="00EF1D5F" w:rsidP="00694464">
      <w:pPr>
        <w:rPr>
          <w:highlight w:val="white"/>
        </w:rPr>
      </w:pPr>
      <w:r>
        <w:rPr>
          <w:highlight w:val="white"/>
        </w:rPr>
        <w:t xml:space="preserve">Estos programas se desarrollan dentro del </w:t>
      </w:r>
      <w:r>
        <w:t>Modelo de Bienestar Laboral Distrital, estructurado en cuatro ejes: 1) Estados mentales positivos; 2) Propósito de vida; 3) Relaciones interpersonales, y 4) Conocimiento de las fortalezas propias. El impacto de dichos ejes se evidencia en la medición de clima laboral y ambiente organizacional, donde el Distrito Capital ha logrado una calificación de riesgo bajo. Sin embargo, es necesario poner atención a tres componentes: falta de redes de apoyo;</w:t>
      </w:r>
      <w:r>
        <w:rPr>
          <w:i/>
        </w:rPr>
        <w:t xml:space="preserve"> moobing</w:t>
      </w:r>
      <w:r>
        <w:t>, o acoso laboral, y administración del tiempo de trabajadores con personal a cargo, calificados todos ellos en riesgo medio.</w:t>
      </w:r>
      <w:r>
        <w:rPr>
          <w:highlight w:val="white"/>
        </w:rPr>
        <w:t xml:space="preserve"> </w:t>
      </w:r>
    </w:p>
    <w:p w14:paraId="29BC26D0" w14:textId="77777777" w:rsidR="00EF1D5F" w:rsidRDefault="00EF1D5F" w:rsidP="00694464"/>
    <w:p w14:paraId="3229C158" w14:textId="77777777" w:rsidR="00EF1D5F" w:rsidRPr="009537B2" w:rsidRDefault="00EF1D5F" w:rsidP="00694464">
      <w:pPr>
        <w:rPr>
          <w:spacing w:val="-6"/>
        </w:rPr>
      </w:pPr>
      <w:r w:rsidRPr="004A46EC">
        <w:rPr>
          <w:spacing w:val="-6"/>
        </w:rPr>
        <w:lastRenderedPageBreak/>
        <w:t xml:space="preserve">Además de lo anterior, esta medición permitió </w:t>
      </w:r>
      <w:r w:rsidRPr="009537B2">
        <w:rPr>
          <w:spacing w:val="-6"/>
        </w:rPr>
        <w:t>reconocer, respecto del estado emocional, que el 12</w:t>
      </w:r>
      <w:r w:rsidRPr="009537B2">
        <w:rPr>
          <w:rFonts w:ascii="Arial" w:hAnsi="Arial" w:cs="Arial"/>
          <w:spacing w:val="-6"/>
        </w:rPr>
        <w:t> </w:t>
      </w:r>
      <w:r w:rsidRPr="009537B2">
        <w:rPr>
          <w:spacing w:val="-6"/>
        </w:rPr>
        <w:t>%</w:t>
      </w:r>
      <w:r w:rsidRPr="009537B2">
        <w:rPr>
          <w:b/>
          <w:bCs/>
          <w:spacing w:val="-6"/>
          <w:vertAlign w:val="superscript"/>
        </w:rPr>
        <w:footnoteReference w:id="26"/>
      </w:r>
      <w:r w:rsidRPr="009537B2">
        <w:rPr>
          <w:spacing w:val="-6"/>
        </w:rPr>
        <w:t xml:space="preserve"> de la población valorada —es decir, 4.554 personas— se halla en estado emocional estresado; 3.123, ansiosas, y al menos 650, en estado depresivo (DASCD, 2021). </w:t>
      </w:r>
    </w:p>
    <w:p w14:paraId="06EB2743" w14:textId="77777777" w:rsidR="00EF1D5F" w:rsidRPr="009537B2" w:rsidRDefault="00EF1D5F" w:rsidP="00694464"/>
    <w:p w14:paraId="064DE419" w14:textId="77777777" w:rsidR="00EF1D5F" w:rsidRPr="009537B2" w:rsidRDefault="00EF1D5F" w:rsidP="00694464">
      <w:pPr>
        <w:rPr>
          <w:highlight w:val="yellow"/>
        </w:rPr>
      </w:pPr>
      <w:r w:rsidRPr="009537B2">
        <w:t>Ahora bien, en el marco de las condiciones laborales de trabajo, se debe señalar que el Distrito Capital ha tenido una tradición histórica en la promoción y desarrollo del diálogo social con las diferentes organizaciones sindicales de empleados públicos, y ello es un hito esencial y pionero en el país. A tal efecto, desde 2004, antes de la expedición del Decreto 535 de 2009, el Distrito Capital se ha constituido en un escenario donde las organizaciones sindicales de empleados públicos son partícipes en la gestión pública distrital, con el fin de mejorar el bienestar de los servidores públicos que están vinculados en las entidades y organismos. Sin embargo, se requiere continuar fortaleciendo estos espacios para el desarrollo de un diálogo directo con las organizaciones sindicales.</w:t>
      </w:r>
      <w:r w:rsidRPr="009537B2">
        <w:rPr>
          <w:highlight w:val="yellow"/>
        </w:rPr>
        <w:t xml:space="preserve"> </w:t>
      </w:r>
    </w:p>
    <w:p w14:paraId="753453BE" w14:textId="77777777" w:rsidR="00EF1D5F" w:rsidRPr="009537B2" w:rsidRDefault="00EF1D5F" w:rsidP="00694464"/>
    <w:p w14:paraId="737D96DB" w14:textId="77777777" w:rsidR="00EF1D5F" w:rsidRPr="009537B2" w:rsidRDefault="00EF1D5F" w:rsidP="00694464">
      <w:pPr>
        <w:rPr>
          <w:b/>
        </w:rPr>
      </w:pPr>
      <w:r w:rsidRPr="009537B2">
        <w:t>Con este escenario, se concluye que, en el subcomponente de gestión de las relaciones individuales y sociales, la Administración distrital cuenta con oportunidades de intervención para mejorar el bien-estar laboral y generar un impacto significativo en la vocación de servicio y sentido de pertinencia.</w:t>
      </w:r>
      <w:r w:rsidRPr="009537B2">
        <w:rPr>
          <w:b/>
        </w:rPr>
        <w:t xml:space="preserve"> </w:t>
      </w:r>
    </w:p>
    <w:p w14:paraId="3411530F" w14:textId="77777777" w:rsidR="00EF1D5F" w:rsidRPr="009537B2" w:rsidRDefault="00EF1D5F" w:rsidP="00694464">
      <w:pPr>
        <w:rPr>
          <w:highlight w:val="white"/>
        </w:rPr>
      </w:pPr>
    </w:p>
    <w:p w14:paraId="17AC37E6" w14:textId="77777777" w:rsidR="00EF1D5F" w:rsidRPr="009537B2" w:rsidRDefault="00EF1D5F" w:rsidP="00694464">
      <w:pPr>
        <w:rPr>
          <w:spacing w:val="-4"/>
        </w:rPr>
      </w:pPr>
      <w:r w:rsidRPr="009537B2">
        <w:rPr>
          <w:spacing w:val="-4"/>
          <w:highlight w:val="white"/>
        </w:rPr>
        <w:t xml:space="preserve">En materia de gestión de desarrollo de las personas vinculadas en el Distrito Capital, la Política Pública de Gestión integral de Talento Humano adoptó varias acciones, en busca de mejorar o </w:t>
      </w:r>
      <w:r w:rsidRPr="009537B2">
        <w:rPr>
          <w:spacing w:val="-4"/>
          <w:highlight w:val="white"/>
        </w:rPr>
        <w:t>instalar competencias comportamentales, y funcionales; dentro de estas últimas se destacan las digitales, las de innovación e, incluso, las ambientales. Entre dichas acciones, el Distrito Capital implementó el “Aula del Saber Distrital”, como una herramienta para impartir capacitación al talento humano vinculado al Distrito, y que cuenta en la actualidad con 112 cursos (68 virtuales y 48 presenciales o asistidos por tecnologías de la información y la comunicación [TIC]).</w:t>
      </w:r>
      <w:r w:rsidRPr="009537B2">
        <w:rPr>
          <w:spacing w:val="-4"/>
        </w:rPr>
        <w:t xml:space="preserve"> </w:t>
      </w:r>
    </w:p>
    <w:p w14:paraId="44E9370A" w14:textId="77777777" w:rsidR="00EF1D5F" w:rsidRPr="009537B2" w:rsidRDefault="00EF1D5F" w:rsidP="00694464">
      <w:pPr>
        <w:rPr>
          <w:highlight w:val="white"/>
        </w:rPr>
      </w:pPr>
    </w:p>
    <w:p w14:paraId="41F15539" w14:textId="77777777" w:rsidR="00EF1D5F" w:rsidRDefault="00EF1D5F" w:rsidP="00694464">
      <w:pPr>
        <w:rPr>
          <w:b/>
        </w:rPr>
      </w:pPr>
      <w:r w:rsidRPr="009537B2">
        <w:rPr>
          <w:highlight w:val="white"/>
        </w:rPr>
        <w:t>El avance en materia de gestión del desarrollo se puede revelar con los resultados del indicador de fortalecimiento de capacidades previsto en el Sistema de Analítica de Datos del Talento Humano Distrital</w:t>
      </w:r>
      <w:r w:rsidRPr="009537B2">
        <w:rPr>
          <w:b/>
          <w:bCs/>
          <w:highlight w:val="white"/>
          <w:vertAlign w:val="superscript"/>
        </w:rPr>
        <w:footnoteReference w:id="27"/>
      </w:r>
      <w:r w:rsidRPr="009537B2">
        <w:rPr>
          <w:highlight w:val="white"/>
        </w:rPr>
        <w:t>, que indica que, en promedio, el 25</w:t>
      </w:r>
      <w:r w:rsidRPr="009537B2">
        <w:rPr>
          <w:rFonts w:ascii="Arial" w:hAnsi="Arial" w:cs="Arial"/>
          <w:highlight w:val="white"/>
        </w:rPr>
        <w:t> </w:t>
      </w:r>
      <w:r w:rsidRPr="009537B2">
        <w:rPr>
          <w:highlight w:val="white"/>
        </w:rPr>
        <w:t>% de las servidoras y los servidores públicos participaron en procesos de capacitación entre 2020 y 2023</w:t>
      </w:r>
      <w:r w:rsidRPr="009537B2">
        <w:rPr>
          <w:b/>
          <w:bCs/>
          <w:highlight w:val="white"/>
          <w:vertAlign w:val="superscript"/>
        </w:rPr>
        <w:footnoteReference w:id="28"/>
      </w:r>
      <w:r w:rsidRPr="009537B2">
        <w:rPr>
          <w:highlight w:val="white"/>
        </w:rPr>
        <w:t>. As</w:t>
      </w:r>
      <w:r>
        <w:rPr>
          <w:highlight w:val="white"/>
        </w:rPr>
        <w:t>í mismo, evidencia que tan solo el 3</w:t>
      </w:r>
      <w:r>
        <w:rPr>
          <w:rFonts w:ascii="Arial" w:hAnsi="Arial" w:cs="Arial"/>
          <w:highlight w:val="white"/>
        </w:rPr>
        <w:t> </w:t>
      </w:r>
      <w:r>
        <w:rPr>
          <w:highlight w:val="white"/>
        </w:rPr>
        <w:t>% del total de las personas optaron por hacer el primer curso de competencias digitales, y solo el 5</w:t>
      </w:r>
      <w:r>
        <w:rPr>
          <w:rFonts w:ascii="Arial" w:hAnsi="Arial" w:cs="Arial"/>
          <w:highlight w:val="white"/>
        </w:rPr>
        <w:t> </w:t>
      </w:r>
      <w:r>
        <w:rPr>
          <w:highlight w:val="white"/>
        </w:rPr>
        <w:t>%, el de innovación.</w:t>
      </w:r>
      <w:r>
        <w:rPr>
          <w:b/>
        </w:rPr>
        <w:t xml:space="preserve"> </w:t>
      </w:r>
    </w:p>
    <w:p w14:paraId="625F3655" w14:textId="77777777" w:rsidR="00EF1D5F" w:rsidRDefault="00EF1D5F" w:rsidP="00694464"/>
    <w:p w14:paraId="79B457C8" w14:textId="77777777" w:rsidR="00EF1D5F" w:rsidRDefault="00EF1D5F" w:rsidP="00694464">
      <w:pPr>
        <w:rPr>
          <w:highlight w:val="white"/>
        </w:rPr>
      </w:pPr>
      <w:r>
        <w:t xml:space="preserve">En este punto, es necesario enfatizar la importancia de la capacitación y formación continua, dado que es uno de los subsistemas más importantes en la gestión de personas para adecuar y fortalecer los conocimientos, aptitudes y habilidades de las personas para el logro de los fines organizacionales. </w:t>
      </w:r>
      <w:r>
        <w:rPr>
          <w:highlight w:val="white"/>
        </w:rPr>
        <w:t xml:space="preserve">Por lo anterior, se evidencia la necesidad de una intervención integral y sistémica, orientada a fortalecer la gestión del talento humano, con el propósito de mejorar la confianza en las instituciones, y de generar bienes y servicios considerando las necesidades de los ciudadanos y las ciudadanas. </w:t>
      </w:r>
    </w:p>
    <w:p w14:paraId="16988BFE" w14:textId="77777777" w:rsidR="00EF1D5F" w:rsidRDefault="00EF1D5F" w:rsidP="005D5A4A">
      <w:pPr>
        <w:spacing w:line="480" w:lineRule="auto"/>
        <w:rPr>
          <w:rFonts w:ascii="Times New Roman" w:hAnsi="Times New Roman"/>
          <w:sz w:val="24"/>
          <w:highlight w:val="white"/>
        </w:rPr>
        <w:sectPr w:rsidR="00EF1D5F" w:rsidSect="00F7078E">
          <w:type w:val="continuous"/>
          <w:pgSz w:w="12240" w:h="15840"/>
          <w:pgMar w:top="2262" w:right="1440" w:bottom="1440" w:left="1440" w:header="708" w:footer="680" w:gutter="0"/>
          <w:cols w:num="2" w:space="567"/>
          <w:docGrid w:linePitch="299"/>
        </w:sectPr>
      </w:pPr>
    </w:p>
    <w:p w14:paraId="753F5E52" w14:textId="77777777" w:rsidR="00EF1D5F" w:rsidRPr="00B944E8" w:rsidRDefault="00EF1D5F" w:rsidP="005D5A4A">
      <w:pPr>
        <w:spacing w:line="480" w:lineRule="auto"/>
        <w:rPr>
          <w:rFonts w:ascii="Times New Roman" w:hAnsi="Times New Roman"/>
          <w:sz w:val="24"/>
          <w:highlight w:val="white"/>
        </w:rPr>
      </w:pPr>
    </w:p>
    <w:p w14:paraId="559211C5" w14:textId="77777777" w:rsidR="009537B2" w:rsidRDefault="009537B2">
      <w:pPr>
        <w:spacing w:line="240" w:lineRule="auto"/>
        <w:jc w:val="left"/>
        <w:rPr>
          <w:b/>
          <w:bCs/>
          <w:sz w:val="24"/>
          <w:szCs w:val="28"/>
        </w:rPr>
      </w:pPr>
      <w:r>
        <w:rPr>
          <w:b/>
          <w:bCs/>
          <w:sz w:val="24"/>
          <w:szCs w:val="28"/>
        </w:rPr>
        <w:br w:type="page"/>
      </w:r>
    </w:p>
    <w:p w14:paraId="1B1261D5" w14:textId="0086FC84" w:rsidR="00EF1D5F" w:rsidRPr="009537B2" w:rsidRDefault="00EF1D5F" w:rsidP="009537B2">
      <w:pPr>
        <w:ind w:firstLine="708"/>
        <w:rPr>
          <w:b/>
          <w:bCs/>
          <w:sz w:val="24"/>
          <w:szCs w:val="28"/>
        </w:rPr>
      </w:pPr>
      <w:r w:rsidRPr="009537B2">
        <w:rPr>
          <w:b/>
          <w:bCs/>
          <w:sz w:val="24"/>
          <w:szCs w:val="28"/>
        </w:rPr>
        <w:lastRenderedPageBreak/>
        <w:t>Descripción del programa</w:t>
      </w:r>
    </w:p>
    <w:p w14:paraId="2B3FED8A" w14:textId="77777777" w:rsidR="00EF1D5F" w:rsidRDefault="00EF1D5F" w:rsidP="00071BAB">
      <w:pPr>
        <w:rPr>
          <w:highlight w:val="white"/>
        </w:rPr>
        <w:sectPr w:rsidR="00EF1D5F" w:rsidSect="00F7078E">
          <w:type w:val="continuous"/>
          <w:pgSz w:w="12240" w:h="15840"/>
          <w:pgMar w:top="2262" w:right="1440" w:bottom="1440" w:left="1440" w:header="708" w:footer="680" w:gutter="0"/>
          <w:cols w:space="720"/>
          <w:docGrid w:linePitch="299"/>
        </w:sectPr>
      </w:pPr>
    </w:p>
    <w:p w14:paraId="4E8893B5" w14:textId="77777777" w:rsidR="00EF1D5F" w:rsidRPr="00963DA2" w:rsidRDefault="00EF1D5F" w:rsidP="00963DA2">
      <w:pPr>
        <w:rPr>
          <w:spacing w:val="-6"/>
          <w:highlight w:val="white"/>
        </w:rPr>
      </w:pPr>
      <w:r w:rsidRPr="00963DA2">
        <w:rPr>
          <w:spacing w:val="-6"/>
          <w:highlight w:val="white"/>
        </w:rPr>
        <w:t xml:space="preserve">Este programa es una apuesta estratégica de la Administración distrital que pretende centrar la gestión pública en las personas que están al servicio de la ciudad, y con la que se busca empoderar a servidoras, servidores, colaboradoras y colaboradores para que diseñen e implementen soluciones a los problemas públicos donde el eje fundamental sea la ciudadanía y, de esta manera, recobrar su confianza en las entidades públicas distritales. </w:t>
      </w:r>
    </w:p>
    <w:p w14:paraId="68977904" w14:textId="77777777" w:rsidR="00EF1D5F" w:rsidRDefault="00EF1D5F" w:rsidP="00963DA2">
      <w:pPr>
        <w:rPr>
          <w:highlight w:val="white"/>
        </w:rPr>
      </w:pPr>
    </w:p>
    <w:p w14:paraId="160A8EBC" w14:textId="77777777" w:rsidR="00EF1D5F" w:rsidRPr="00963DA2" w:rsidRDefault="00EF1D5F" w:rsidP="00963DA2">
      <w:pPr>
        <w:rPr>
          <w:spacing w:val="-4"/>
        </w:rPr>
      </w:pPr>
      <w:r w:rsidRPr="00963DA2">
        <w:rPr>
          <w:spacing w:val="-4"/>
          <w:highlight w:val="white"/>
        </w:rPr>
        <w:t>Se optimizará el potencial del talento humano de la Administración distrital para generar valor público, mediante el</w:t>
      </w:r>
      <w:r w:rsidRPr="00963DA2">
        <w:rPr>
          <w:spacing w:val="-4"/>
        </w:rPr>
        <w:t xml:space="preserve"> desarrollo y fortalecimiento de la gestión integral del talento humano, con una adecuada planificación, disponibilidad de información suficiente, veraz y oportuna, diseño de puestos de trabajo, perfiles ocupacionales pertinentes y procesos exitosos de reclutamiento, selección, permanencia y retiro.</w:t>
      </w:r>
    </w:p>
    <w:p w14:paraId="2E127493" w14:textId="77777777" w:rsidR="00EF1D5F" w:rsidRDefault="00EF1D5F" w:rsidP="00963DA2"/>
    <w:p w14:paraId="150F00AC" w14:textId="77777777" w:rsidR="00EF1D5F" w:rsidRDefault="00EF1D5F" w:rsidP="00963DA2">
      <w:r>
        <w:t>En este gran proceso, el mérito y la idoneidad se constituyen en los criterios fundamentales para acceder a la Administración pública distrital, así como para promover un mercado laboral incluyente e inclusivo que permita atraer a los mejores talentos en las entidades y organismos distritales. Por ello, la actual Administración ha decidido impulsar las convocatorias públicas que realiza la Comisión Nacional del Servicio Civil para los empleos de carrera, entre otros.</w:t>
      </w:r>
    </w:p>
    <w:p w14:paraId="7B999515" w14:textId="77777777" w:rsidR="00EF1D5F" w:rsidRDefault="00EF1D5F" w:rsidP="00963DA2"/>
    <w:p w14:paraId="4DF93539" w14:textId="77777777" w:rsidR="00EF1D5F" w:rsidRDefault="00EF1D5F" w:rsidP="00963DA2">
      <w:r>
        <w:t>Igualmente. El mérito será un principio fundamental para la permanencia de las y los servidores con un sistema de gestión del desempeño</w:t>
      </w:r>
      <w:r>
        <w:rPr>
          <w:vertAlign w:val="superscript"/>
        </w:rPr>
        <w:footnoteReference w:id="29"/>
      </w:r>
      <w:r>
        <w:t xml:space="preserve"> que permita evaluar la productividad y los aportes individuales de las y los servidores a las metas institucionales.</w:t>
      </w:r>
    </w:p>
    <w:p w14:paraId="6C7BA971" w14:textId="77777777" w:rsidR="00EF1D5F" w:rsidRDefault="00EF1D5F" w:rsidP="00963DA2"/>
    <w:p w14:paraId="5F2036CE" w14:textId="77777777" w:rsidR="00EF1D5F" w:rsidRDefault="00EF1D5F" w:rsidP="00963DA2">
      <w:r>
        <w:t xml:space="preserve">Para promover un alto sentido de pertenencia y vocación de servicio, se implementarán programas innovadores de bienestar y de reconocimiento y exaltación de la labor de los servidores </w:t>
      </w:r>
      <w:r>
        <w:t>públicos y de la gestión del desarrollo personal, que son determinantes para lograr los objetivos institucionales que impactan positivamente nuestra ciudad.</w:t>
      </w:r>
    </w:p>
    <w:p w14:paraId="71E36642" w14:textId="77777777" w:rsidR="00EF1D5F" w:rsidRDefault="00EF1D5F" w:rsidP="00963DA2"/>
    <w:p w14:paraId="3BD6E19F" w14:textId="77777777" w:rsidR="00EF1D5F" w:rsidRDefault="00EF1D5F" w:rsidP="00963DA2">
      <w:r>
        <w:t>Adicionalmente, se pretende fortalecer los espacios de diálogo social con las organizaciones sindicales de las y los servidores públicos, de tal manera que se generen mecanismos institucionales que permitan mejorar las condiciones de empleo público del Distrito Capital.</w:t>
      </w:r>
    </w:p>
    <w:p w14:paraId="3D9A5D1D" w14:textId="77777777" w:rsidR="00EF1D5F" w:rsidRDefault="00EF1D5F" w:rsidP="00963DA2"/>
    <w:p w14:paraId="65F2FEE5" w14:textId="77777777" w:rsidR="00EF1D5F" w:rsidRDefault="00EF1D5F" w:rsidP="00963DA2">
      <w:r>
        <w:t xml:space="preserve">Se fortalecerá la gestión de competencias blandas de servidoras, servidores públicos, colaboradoras y colaboradores, en virtud de que el desarrollo de estas habilidades atienda de una manera integral las responsabilidades a cargo de las entidades y organismos distritales mejorando la calidad en la prestación de los bienes y servicios y promoviendo la actualización periódica de sus conocimientos. </w:t>
      </w:r>
    </w:p>
    <w:p w14:paraId="36297D78" w14:textId="77777777" w:rsidR="00EF1D5F" w:rsidRDefault="00EF1D5F" w:rsidP="00963DA2"/>
    <w:p w14:paraId="70BF3C1B" w14:textId="77777777" w:rsidR="00EF1D5F" w:rsidRDefault="00EF1D5F" w:rsidP="00963DA2">
      <w:r>
        <w:t xml:space="preserve">De igual manera, se buscará fortalecer las competencias funcionales haciendo especial énfasis en las </w:t>
      </w:r>
      <w:r>
        <w:rPr>
          <w:i/>
        </w:rPr>
        <w:t>e-skills</w:t>
      </w:r>
      <w:r>
        <w:t xml:space="preserve"> (competencias digitales), para mejorar los niveles de apropiación en un entorno de creciente automatización, promoviendo una auténtica cultura de la innovación que permita adaptar el talento humano distrital a los avances tecnológicos, como estrategia para equilibrar la introducción de nuevas tecnologías con la preservación de empleos, brindar servicios más eficientes y cercanos a las necesidades ciudadanas y generar capacidades en el talento humano distrital. </w:t>
      </w:r>
    </w:p>
    <w:p w14:paraId="7371DE01" w14:textId="77777777" w:rsidR="00EF1D5F" w:rsidRDefault="00EF1D5F" w:rsidP="00963DA2"/>
    <w:p w14:paraId="725EB27D" w14:textId="77777777" w:rsidR="00EF1D5F" w:rsidRDefault="00EF1D5F" w:rsidP="00963DA2">
      <w:pPr>
        <w:rPr>
          <w:b/>
        </w:rPr>
      </w:pPr>
      <w:r>
        <w:t xml:space="preserve">Finalmente, se mejorarán los estándares en la entrega de bienes y servicios al contar con servidores y servidoras y colaboradores cuya gestión se relaciona con atributos como excelencia, mérito, idoneidad, profesionalización, y productividad, y así contribuir a aumentar la confianza </w:t>
      </w:r>
      <w:r>
        <w:lastRenderedPageBreak/>
        <w:t>de la ciudadanía en las servidoras, los servidores públicos y colaboradores y en las organizaciones distritales.</w:t>
      </w:r>
    </w:p>
    <w:p w14:paraId="35F2556E" w14:textId="77777777" w:rsidR="00EF1D5F" w:rsidRDefault="00EF1D5F" w:rsidP="0063274A">
      <w:pPr>
        <w:jc w:val="center"/>
        <w:rPr>
          <w:highlight w:val="yellow"/>
        </w:rPr>
        <w:sectPr w:rsidR="00EF1D5F" w:rsidSect="00F7078E">
          <w:type w:val="continuous"/>
          <w:pgSz w:w="12240" w:h="15840"/>
          <w:pgMar w:top="2262" w:right="1440" w:bottom="1440" w:left="1440" w:header="708" w:footer="680" w:gutter="0"/>
          <w:cols w:num="2" w:space="567"/>
          <w:docGrid w:linePitch="299"/>
        </w:sectPr>
      </w:pPr>
    </w:p>
    <w:p w14:paraId="2CC425B8" w14:textId="2960EDA7" w:rsidR="00EF1D5F" w:rsidRDefault="00EF1D5F" w:rsidP="0063274A">
      <w:pPr>
        <w:jc w:val="center"/>
        <w:rPr>
          <w:highlight w:val="yellow"/>
        </w:rPr>
      </w:pPr>
    </w:p>
    <w:p w14:paraId="0689D83E" w14:textId="77777777" w:rsidR="007B0476" w:rsidRPr="0063274A" w:rsidRDefault="007B0476" w:rsidP="0063274A">
      <w:pPr>
        <w:jc w:val="center"/>
        <w:rPr>
          <w:highlight w:val="yellow"/>
        </w:rPr>
      </w:pPr>
    </w:p>
    <w:p w14:paraId="7BE7C5A1" w14:textId="4082392C" w:rsidR="00EF1D5F" w:rsidRDefault="009537B2" w:rsidP="009537B2">
      <w:pPr>
        <w:pStyle w:val="Descripcin"/>
        <w:jc w:val="center"/>
        <w:rPr>
          <w:color w:val="000000" w:themeColor="text1"/>
        </w:rPr>
      </w:pPr>
      <w:bookmarkStart w:id="435" w:name="_Toc165169967"/>
      <w:r w:rsidRPr="005E1CE1">
        <w:rPr>
          <w:color w:val="C00000"/>
        </w:rPr>
        <w:t xml:space="preserve">Tabla </w:t>
      </w:r>
      <w:r w:rsidRPr="005E1CE1">
        <w:rPr>
          <w:color w:val="C00000"/>
        </w:rPr>
        <w:fldChar w:fldCharType="begin"/>
      </w:r>
      <w:r w:rsidRPr="005E1CE1">
        <w:rPr>
          <w:color w:val="C00000"/>
        </w:rPr>
        <w:instrText xml:space="preserve"> SEQ Tabla \* ARABIC </w:instrText>
      </w:r>
      <w:r w:rsidRPr="005E1CE1">
        <w:rPr>
          <w:color w:val="C00000"/>
        </w:rPr>
        <w:fldChar w:fldCharType="separate"/>
      </w:r>
      <w:r w:rsidR="00D01651">
        <w:rPr>
          <w:noProof/>
          <w:color w:val="C00000"/>
        </w:rPr>
        <w:t>57</w:t>
      </w:r>
      <w:r w:rsidRPr="005E1CE1">
        <w:rPr>
          <w:color w:val="C00000"/>
        </w:rPr>
        <w:fldChar w:fldCharType="end"/>
      </w:r>
      <w:r w:rsidRPr="005E1CE1">
        <w:rPr>
          <w:color w:val="C00000"/>
        </w:rPr>
        <w:t xml:space="preserve">. </w:t>
      </w:r>
      <w:r w:rsidR="00EF1D5F" w:rsidRPr="0063274A">
        <w:rPr>
          <w:color w:val="000000" w:themeColor="text1"/>
        </w:rPr>
        <w:t>Metas</w:t>
      </w:r>
      <w:r w:rsidR="00EF1D5F" w:rsidRPr="009B2286">
        <w:rPr>
          <w:color w:val="000000" w:themeColor="text1"/>
        </w:rPr>
        <w:t xml:space="preserve"> del programa</w:t>
      </w:r>
      <w:r>
        <w:rPr>
          <w:color w:val="000000" w:themeColor="text1"/>
        </w:rPr>
        <w:t xml:space="preserve"> 34:</w:t>
      </w:r>
      <w:r w:rsidR="00EF1D5F" w:rsidRPr="009B2286">
        <w:rPr>
          <w:color w:val="000000" w:themeColor="text1"/>
        </w:rPr>
        <w:t xml:space="preserve"> Talento humano unido por la ciudadanía</w:t>
      </w:r>
      <w:bookmarkEnd w:id="435"/>
    </w:p>
    <w:tbl>
      <w:tblPr>
        <w:tblW w:w="936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295"/>
        <w:gridCol w:w="1364"/>
        <w:gridCol w:w="1406"/>
        <w:gridCol w:w="1393"/>
        <w:gridCol w:w="1410"/>
        <w:gridCol w:w="1492"/>
      </w:tblGrid>
      <w:tr w:rsidR="005B0A75" w:rsidRPr="00D34671" w14:paraId="6EE8BDA6" w14:textId="77777777" w:rsidTr="005B0A75">
        <w:tc>
          <w:tcPr>
            <w:tcW w:w="0" w:type="auto"/>
            <w:vMerge w:val="restart"/>
            <w:shd w:val="clear" w:color="auto" w:fill="C00000"/>
            <w:tcMar>
              <w:top w:w="30" w:type="dxa"/>
              <w:left w:w="45" w:type="dxa"/>
              <w:bottom w:w="30" w:type="dxa"/>
              <w:right w:w="45" w:type="dxa"/>
            </w:tcMar>
            <w:vAlign w:val="center"/>
            <w:hideMark/>
          </w:tcPr>
          <w:p w14:paraId="7BC30E0F" w14:textId="77777777" w:rsidR="005B0A75" w:rsidRPr="00D34671" w:rsidRDefault="005B0A75" w:rsidP="00AA4BBB">
            <w:pPr>
              <w:jc w:val="center"/>
              <w:rPr>
                <w:rFonts w:cs="Arial"/>
                <w:b/>
                <w:bCs/>
                <w:color w:val="FFFFFF"/>
                <w:sz w:val="24"/>
              </w:rPr>
            </w:pPr>
            <w:r w:rsidRPr="00D34671">
              <w:rPr>
                <w:rFonts w:cs="Arial"/>
                <w:b/>
                <w:bCs/>
                <w:color w:val="FFFFFF"/>
                <w:sz w:val="24"/>
              </w:rPr>
              <w:t>SECTOR / Metas</w:t>
            </w:r>
          </w:p>
        </w:tc>
        <w:tc>
          <w:tcPr>
            <w:tcW w:w="0" w:type="auto"/>
            <w:gridSpan w:val="5"/>
            <w:shd w:val="clear" w:color="auto" w:fill="C00000"/>
            <w:tcMar>
              <w:top w:w="30" w:type="dxa"/>
              <w:left w:w="45" w:type="dxa"/>
              <w:bottom w:w="30" w:type="dxa"/>
              <w:right w:w="45" w:type="dxa"/>
            </w:tcMar>
            <w:vAlign w:val="center"/>
            <w:hideMark/>
          </w:tcPr>
          <w:p w14:paraId="04FF5F65" w14:textId="77777777" w:rsidR="005B0A75" w:rsidRDefault="005B0A75" w:rsidP="00AA4BBB">
            <w:pPr>
              <w:jc w:val="center"/>
              <w:rPr>
                <w:rFonts w:cs="Arial"/>
                <w:b/>
                <w:bCs/>
                <w:color w:val="FFFFFF"/>
                <w:sz w:val="24"/>
              </w:rPr>
            </w:pPr>
            <w:r w:rsidRPr="00237369">
              <w:rPr>
                <w:rFonts w:cs="Arial"/>
                <w:b/>
                <w:bCs/>
                <w:color w:val="FFFFFF"/>
                <w:sz w:val="24"/>
              </w:rPr>
              <w:t xml:space="preserve">Magnitudes e </w:t>
            </w:r>
            <w:r w:rsidRPr="00D34671">
              <w:rPr>
                <w:rFonts w:cs="Arial"/>
                <w:b/>
                <w:bCs/>
                <w:color w:val="FFFFFF"/>
                <w:sz w:val="24"/>
              </w:rPr>
              <w:t xml:space="preserve">Inversión </w:t>
            </w:r>
          </w:p>
          <w:p w14:paraId="53FB689A" w14:textId="77777777" w:rsidR="005B0A75" w:rsidRPr="00D34671" w:rsidRDefault="005B0A75" w:rsidP="00AA4BBB">
            <w:pPr>
              <w:jc w:val="center"/>
              <w:rPr>
                <w:rFonts w:cs="Arial"/>
                <w:b/>
                <w:bCs/>
                <w:color w:val="FFFFFF"/>
                <w:sz w:val="24"/>
              </w:rPr>
            </w:pPr>
            <w:r w:rsidRPr="006E2B6C">
              <w:rPr>
                <w:rFonts w:cs="Arial"/>
                <w:b/>
                <w:bCs/>
                <w:color w:val="FFFFFF"/>
                <w:szCs w:val="20"/>
              </w:rPr>
              <w:t>(Precios Constantes 2024)</w:t>
            </w:r>
          </w:p>
        </w:tc>
      </w:tr>
      <w:tr w:rsidR="005B0A75" w:rsidRPr="00D34671" w14:paraId="592A6E5E" w14:textId="77777777" w:rsidTr="005B0A75">
        <w:tc>
          <w:tcPr>
            <w:tcW w:w="0" w:type="auto"/>
            <w:vMerge/>
            <w:vAlign w:val="center"/>
            <w:hideMark/>
          </w:tcPr>
          <w:p w14:paraId="71C0841C" w14:textId="77777777" w:rsidR="005B0A75" w:rsidRPr="00D34671" w:rsidRDefault="005B0A75" w:rsidP="00AA4BBB">
            <w:pPr>
              <w:rPr>
                <w:rFonts w:cs="Arial"/>
                <w:b/>
                <w:bCs/>
                <w:color w:val="FFFFFF"/>
                <w:sz w:val="24"/>
              </w:rPr>
            </w:pPr>
          </w:p>
        </w:tc>
        <w:tc>
          <w:tcPr>
            <w:tcW w:w="0" w:type="auto"/>
            <w:shd w:val="clear" w:color="auto" w:fill="D9D9D9"/>
            <w:tcMar>
              <w:top w:w="30" w:type="dxa"/>
              <w:left w:w="45" w:type="dxa"/>
              <w:bottom w:w="30" w:type="dxa"/>
              <w:right w:w="45" w:type="dxa"/>
            </w:tcMar>
            <w:vAlign w:val="center"/>
            <w:hideMark/>
          </w:tcPr>
          <w:p w14:paraId="01991B4A" w14:textId="77777777" w:rsidR="005B0A75" w:rsidRPr="00D34671" w:rsidRDefault="005B0A75" w:rsidP="00AA4BBB">
            <w:pPr>
              <w:jc w:val="center"/>
              <w:rPr>
                <w:rFonts w:cs="Arial"/>
                <w:b/>
                <w:bCs/>
                <w:szCs w:val="20"/>
              </w:rPr>
            </w:pPr>
            <w:r w:rsidRPr="00D34671">
              <w:rPr>
                <w:rFonts w:cs="Arial"/>
                <w:b/>
                <w:bCs/>
                <w:szCs w:val="20"/>
              </w:rPr>
              <w:t>2024</w:t>
            </w:r>
          </w:p>
        </w:tc>
        <w:tc>
          <w:tcPr>
            <w:tcW w:w="0" w:type="auto"/>
            <w:shd w:val="clear" w:color="auto" w:fill="D9D9D9"/>
            <w:tcMar>
              <w:top w:w="30" w:type="dxa"/>
              <w:left w:w="45" w:type="dxa"/>
              <w:bottom w:w="30" w:type="dxa"/>
              <w:right w:w="45" w:type="dxa"/>
            </w:tcMar>
            <w:vAlign w:val="center"/>
            <w:hideMark/>
          </w:tcPr>
          <w:p w14:paraId="69B895C3" w14:textId="77777777" w:rsidR="005B0A75" w:rsidRPr="00D34671" w:rsidRDefault="005B0A75" w:rsidP="00AA4BBB">
            <w:pPr>
              <w:jc w:val="center"/>
              <w:rPr>
                <w:rFonts w:cs="Arial"/>
                <w:b/>
                <w:bCs/>
                <w:szCs w:val="20"/>
              </w:rPr>
            </w:pPr>
            <w:r w:rsidRPr="00D34671">
              <w:rPr>
                <w:rFonts w:cs="Arial"/>
                <w:b/>
                <w:bCs/>
                <w:szCs w:val="20"/>
              </w:rPr>
              <w:t>2025</w:t>
            </w:r>
          </w:p>
        </w:tc>
        <w:tc>
          <w:tcPr>
            <w:tcW w:w="0" w:type="auto"/>
            <w:shd w:val="clear" w:color="auto" w:fill="D9D9D9"/>
            <w:tcMar>
              <w:top w:w="30" w:type="dxa"/>
              <w:left w:w="45" w:type="dxa"/>
              <w:bottom w:w="30" w:type="dxa"/>
              <w:right w:w="45" w:type="dxa"/>
            </w:tcMar>
            <w:vAlign w:val="center"/>
            <w:hideMark/>
          </w:tcPr>
          <w:p w14:paraId="6956364D" w14:textId="77777777" w:rsidR="005B0A75" w:rsidRPr="00D34671" w:rsidRDefault="005B0A75" w:rsidP="00AA4BBB">
            <w:pPr>
              <w:jc w:val="center"/>
              <w:rPr>
                <w:rFonts w:cs="Arial"/>
                <w:b/>
                <w:bCs/>
                <w:szCs w:val="20"/>
              </w:rPr>
            </w:pPr>
            <w:r w:rsidRPr="00D34671">
              <w:rPr>
                <w:rFonts w:cs="Arial"/>
                <w:b/>
                <w:bCs/>
                <w:szCs w:val="20"/>
              </w:rPr>
              <w:t>2026</w:t>
            </w:r>
          </w:p>
        </w:tc>
        <w:tc>
          <w:tcPr>
            <w:tcW w:w="0" w:type="auto"/>
            <w:shd w:val="clear" w:color="auto" w:fill="D9D9D9"/>
            <w:tcMar>
              <w:top w:w="30" w:type="dxa"/>
              <w:left w:w="45" w:type="dxa"/>
              <w:bottom w:w="30" w:type="dxa"/>
              <w:right w:w="45" w:type="dxa"/>
            </w:tcMar>
            <w:vAlign w:val="center"/>
            <w:hideMark/>
          </w:tcPr>
          <w:p w14:paraId="2B6E12D2" w14:textId="77777777" w:rsidR="005B0A75" w:rsidRPr="00D34671" w:rsidRDefault="005B0A75" w:rsidP="00AA4BBB">
            <w:pPr>
              <w:jc w:val="center"/>
              <w:rPr>
                <w:rFonts w:cs="Arial"/>
                <w:b/>
                <w:bCs/>
                <w:szCs w:val="20"/>
              </w:rPr>
            </w:pPr>
            <w:r w:rsidRPr="00D34671">
              <w:rPr>
                <w:rFonts w:cs="Arial"/>
                <w:b/>
                <w:bCs/>
                <w:szCs w:val="20"/>
              </w:rPr>
              <w:t>2027</w:t>
            </w:r>
          </w:p>
        </w:tc>
        <w:tc>
          <w:tcPr>
            <w:tcW w:w="0" w:type="auto"/>
            <w:shd w:val="clear" w:color="auto" w:fill="D9D9D9"/>
            <w:tcMar>
              <w:top w:w="30" w:type="dxa"/>
              <w:left w:w="45" w:type="dxa"/>
              <w:bottom w:w="30" w:type="dxa"/>
              <w:right w:w="45" w:type="dxa"/>
            </w:tcMar>
            <w:vAlign w:val="center"/>
            <w:hideMark/>
          </w:tcPr>
          <w:p w14:paraId="38D4DCE1" w14:textId="77777777" w:rsidR="005B0A75" w:rsidRPr="00D34671" w:rsidRDefault="005B0A75" w:rsidP="00AA4BBB">
            <w:pPr>
              <w:jc w:val="center"/>
              <w:rPr>
                <w:rFonts w:cs="Arial"/>
                <w:b/>
                <w:bCs/>
                <w:szCs w:val="20"/>
              </w:rPr>
            </w:pPr>
            <w:r w:rsidRPr="00D34671">
              <w:rPr>
                <w:rFonts w:cs="Arial"/>
                <w:b/>
                <w:bCs/>
                <w:szCs w:val="20"/>
              </w:rPr>
              <w:t>Total Inversión</w:t>
            </w:r>
          </w:p>
        </w:tc>
      </w:tr>
      <w:tr w:rsidR="005B0A75" w:rsidRPr="00D34671" w14:paraId="5A7D7245" w14:textId="77777777" w:rsidTr="005B0A75">
        <w:tc>
          <w:tcPr>
            <w:tcW w:w="0" w:type="auto"/>
            <w:gridSpan w:val="6"/>
            <w:shd w:val="clear" w:color="auto" w:fill="C00000"/>
            <w:tcMar>
              <w:top w:w="30" w:type="dxa"/>
              <w:left w:w="45" w:type="dxa"/>
              <w:bottom w:w="30" w:type="dxa"/>
              <w:right w:w="45" w:type="dxa"/>
            </w:tcMar>
            <w:vAlign w:val="center"/>
            <w:hideMark/>
          </w:tcPr>
          <w:p w14:paraId="4BD8E2B1" w14:textId="77777777" w:rsidR="005B0A75" w:rsidRPr="00D34671" w:rsidRDefault="005B0A75" w:rsidP="00AA4BBB">
            <w:pPr>
              <w:jc w:val="center"/>
              <w:rPr>
                <w:rFonts w:cs="Arial"/>
                <w:b/>
                <w:bCs/>
                <w:szCs w:val="20"/>
              </w:rPr>
            </w:pPr>
            <w:r w:rsidRPr="005D6242">
              <w:rPr>
                <w:rFonts w:cs="Arial"/>
                <w:b/>
                <w:bCs/>
                <w:color w:val="FFFFFF" w:themeColor="background1"/>
                <w:szCs w:val="20"/>
              </w:rPr>
              <w:t>Gestión pública</w:t>
            </w:r>
          </w:p>
        </w:tc>
      </w:tr>
      <w:tr w:rsidR="005B0A75" w:rsidRPr="00D34671" w14:paraId="0B81414F" w14:textId="77777777" w:rsidTr="005B0A75">
        <w:tc>
          <w:tcPr>
            <w:tcW w:w="0" w:type="auto"/>
            <w:vMerge w:val="restart"/>
            <w:tcMar>
              <w:top w:w="30" w:type="dxa"/>
              <w:left w:w="45" w:type="dxa"/>
              <w:bottom w:w="30" w:type="dxa"/>
              <w:right w:w="45" w:type="dxa"/>
            </w:tcMar>
            <w:vAlign w:val="center"/>
            <w:hideMark/>
          </w:tcPr>
          <w:p w14:paraId="1995B655" w14:textId="77777777" w:rsidR="005B0A75" w:rsidRPr="00D34671" w:rsidRDefault="005B0A75" w:rsidP="00AA4BBB">
            <w:pPr>
              <w:rPr>
                <w:rFonts w:cs="Arial"/>
                <w:szCs w:val="20"/>
              </w:rPr>
            </w:pPr>
            <w:r w:rsidRPr="00D34671">
              <w:rPr>
                <w:rFonts w:cs="Arial"/>
                <w:szCs w:val="20"/>
              </w:rPr>
              <w:t xml:space="preserve">Asistir 46 entidades y organismos distritales para fortalecer la Política de Gestión Estratégica del Talento Humano del Índice de Desempeño Institucional (IDI). </w:t>
            </w:r>
          </w:p>
        </w:tc>
        <w:tc>
          <w:tcPr>
            <w:tcW w:w="0" w:type="auto"/>
            <w:tcMar>
              <w:top w:w="30" w:type="dxa"/>
              <w:left w:w="45" w:type="dxa"/>
              <w:bottom w:w="30" w:type="dxa"/>
              <w:right w:w="45" w:type="dxa"/>
            </w:tcMar>
            <w:vAlign w:val="center"/>
            <w:hideMark/>
          </w:tcPr>
          <w:p w14:paraId="1F80989F" w14:textId="77777777" w:rsidR="005B0A75" w:rsidRPr="00D34671" w:rsidRDefault="005B0A75" w:rsidP="00AA4BBB">
            <w:pPr>
              <w:jc w:val="center"/>
              <w:rPr>
                <w:rFonts w:cs="Arial"/>
                <w:szCs w:val="20"/>
              </w:rPr>
            </w:pPr>
            <w:r w:rsidRPr="00D34671">
              <w:rPr>
                <w:rFonts w:cs="Arial"/>
                <w:szCs w:val="20"/>
              </w:rPr>
              <w:t>0</w:t>
            </w:r>
          </w:p>
        </w:tc>
        <w:tc>
          <w:tcPr>
            <w:tcW w:w="0" w:type="auto"/>
            <w:tcMar>
              <w:top w:w="30" w:type="dxa"/>
              <w:left w:w="45" w:type="dxa"/>
              <w:bottom w:w="30" w:type="dxa"/>
              <w:right w:w="45" w:type="dxa"/>
            </w:tcMar>
            <w:vAlign w:val="center"/>
            <w:hideMark/>
          </w:tcPr>
          <w:p w14:paraId="236BD904" w14:textId="77777777" w:rsidR="005B0A75" w:rsidRPr="00D34671" w:rsidRDefault="005B0A75" w:rsidP="00AA4BBB">
            <w:pPr>
              <w:jc w:val="center"/>
              <w:rPr>
                <w:rFonts w:cs="Arial"/>
                <w:szCs w:val="20"/>
              </w:rPr>
            </w:pPr>
            <w:r w:rsidRPr="00D34671">
              <w:rPr>
                <w:rFonts w:cs="Arial"/>
                <w:szCs w:val="20"/>
              </w:rPr>
              <w:t>46</w:t>
            </w:r>
          </w:p>
        </w:tc>
        <w:tc>
          <w:tcPr>
            <w:tcW w:w="0" w:type="auto"/>
            <w:tcMar>
              <w:top w:w="30" w:type="dxa"/>
              <w:left w:w="45" w:type="dxa"/>
              <w:bottom w:w="30" w:type="dxa"/>
              <w:right w:w="45" w:type="dxa"/>
            </w:tcMar>
            <w:vAlign w:val="center"/>
            <w:hideMark/>
          </w:tcPr>
          <w:p w14:paraId="7B712C57" w14:textId="77777777" w:rsidR="005B0A75" w:rsidRPr="00D34671" w:rsidRDefault="005B0A75" w:rsidP="00AA4BBB">
            <w:pPr>
              <w:jc w:val="center"/>
              <w:rPr>
                <w:rFonts w:cs="Arial"/>
                <w:szCs w:val="20"/>
              </w:rPr>
            </w:pPr>
            <w:r w:rsidRPr="00D34671">
              <w:rPr>
                <w:rFonts w:cs="Arial"/>
                <w:szCs w:val="20"/>
              </w:rPr>
              <w:t>46</w:t>
            </w:r>
          </w:p>
        </w:tc>
        <w:tc>
          <w:tcPr>
            <w:tcW w:w="0" w:type="auto"/>
            <w:tcMar>
              <w:top w:w="30" w:type="dxa"/>
              <w:left w:w="45" w:type="dxa"/>
              <w:bottom w:w="30" w:type="dxa"/>
              <w:right w:w="45" w:type="dxa"/>
            </w:tcMar>
            <w:vAlign w:val="center"/>
            <w:hideMark/>
          </w:tcPr>
          <w:p w14:paraId="3FBF0728" w14:textId="77777777" w:rsidR="005B0A75" w:rsidRPr="00D34671" w:rsidRDefault="005B0A75" w:rsidP="00AA4BBB">
            <w:pPr>
              <w:jc w:val="center"/>
              <w:rPr>
                <w:rFonts w:cs="Arial"/>
                <w:szCs w:val="20"/>
              </w:rPr>
            </w:pPr>
            <w:r w:rsidRPr="00D34671">
              <w:rPr>
                <w:rFonts w:cs="Arial"/>
                <w:szCs w:val="20"/>
              </w:rPr>
              <w:t>46</w:t>
            </w:r>
          </w:p>
        </w:tc>
        <w:tc>
          <w:tcPr>
            <w:tcW w:w="0" w:type="auto"/>
            <w:vMerge w:val="restart"/>
            <w:tcMar>
              <w:top w:w="30" w:type="dxa"/>
              <w:left w:w="45" w:type="dxa"/>
              <w:bottom w:w="30" w:type="dxa"/>
              <w:right w:w="45" w:type="dxa"/>
            </w:tcMar>
            <w:vAlign w:val="center"/>
            <w:hideMark/>
          </w:tcPr>
          <w:p w14:paraId="1E82659F" w14:textId="77777777" w:rsidR="005B0A75" w:rsidRPr="00D34671" w:rsidRDefault="005B0A75" w:rsidP="00AA4BBB">
            <w:pPr>
              <w:jc w:val="center"/>
              <w:rPr>
                <w:rFonts w:cs="Arial"/>
                <w:b/>
                <w:bCs/>
                <w:szCs w:val="20"/>
              </w:rPr>
            </w:pPr>
            <w:r w:rsidRPr="00D34671">
              <w:rPr>
                <w:rFonts w:cs="Arial"/>
                <w:b/>
                <w:bCs/>
                <w:szCs w:val="20"/>
              </w:rPr>
              <w:t>20.083.637.909</w:t>
            </w:r>
          </w:p>
        </w:tc>
      </w:tr>
      <w:tr w:rsidR="005B0A75" w:rsidRPr="00D34671" w14:paraId="170F1ED9" w14:textId="77777777" w:rsidTr="005B0A75">
        <w:tc>
          <w:tcPr>
            <w:tcW w:w="0" w:type="auto"/>
            <w:vMerge/>
            <w:tcBorders>
              <w:bottom w:val="double" w:sz="4" w:space="0" w:color="C00000"/>
            </w:tcBorders>
            <w:vAlign w:val="center"/>
            <w:hideMark/>
          </w:tcPr>
          <w:p w14:paraId="78B31E2E" w14:textId="77777777" w:rsidR="005B0A75" w:rsidRPr="00D34671" w:rsidRDefault="005B0A75" w:rsidP="00AA4BBB">
            <w:pPr>
              <w:rPr>
                <w:rFonts w:cs="Arial"/>
                <w:szCs w:val="20"/>
              </w:rPr>
            </w:pPr>
          </w:p>
        </w:tc>
        <w:tc>
          <w:tcPr>
            <w:tcW w:w="0" w:type="auto"/>
            <w:tcBorders>
              <w:bottom w:val="double" w:sz="4" w:space="0" w:color="C00000"/>
            </w:tcBorders>
            <w:tcMar>
              <w:top w:w="30" w:type="dxa"/>
              <w:left w:w="45" w:type="dxa"/>
              <w:bottom w:w="30" w:type="dxa"/>
              <w:right w:w="45" w:type="dxa"/>
            </w:tcMar>
            <w:vAlign w:val="center"/>
            <w:hideMark/>
          </w:tcPr>
          <w:p w14:paraId="0A99CA8B" w14:textId="77777777" w:rsidR="005B0A75" w:rsidRPr="00D34671" w:rsidRDefault="005B0A75" w:rsidP="00AA4BBB">
            <w:pPr>
              <w:jc w:val="center"/>
              <w:rPr>
                <w:rFonts w:cs="Arial"/>
                <w:szCs w:val="20"/>
              </w:rPr>
            </w:pPr>
            <w:r w:rsidRPr="00D34671">
              <w:rPr>
                <w:rFonts w:cs="Arial"/>
                <w:szCs w:val="20"/>
              </w:rPr>
              <w:t>4.186.666.185</w:t>
            </w:r>
          </w:p>
        </w:tc>
        <w:tc>
          <w:tcPr>
            <w:tcW w:w="0" w:type="auto"/>
            <w:tcBorders>
              <w:bottom w:val="double" w:sz="4" w:space="0" w:color="C00000"/>
            </w:tcBorders>
            <w:tcMar>
              <w:top w:w="30" w:type="dxa"/>
              <w:left w:w="45" w:type="dxa"/>
              <w:bottom w:w="30" w:type="dxa"/>
              <w:right w:w="45" w:type="dxa"/>
            </w:tcMar>
            <w:vAlign w:val="center"/>
            <w:hideMark/>
          </w:tcPr>
          <w:p w14:paraId="48FBE57A" w14:textId="77777777" w:rsidR="005B0A75" w:rsidRPr="00D34671" w:rsidRDefault="005B0A75" w:rsidP="00AA4BBB">
            <w:pPr>
              <w:jc w:val="center"/>
              <w:rPr>
                <w:rFonts w:cs="Arial"/>
                <w:szCs w:val="20"/>
              </w:rPr>
            </w:pPr>
            <w:r w:rsidRPr="00D34671">
              <w:rPr>
                <w:rFonts w:cs="Arial"/>
                <w:szCs w:val="20"/>
              </w:rPr>
              <w:t>4.878.720.486</w:t>
            </w:r>
          </w:p>
        </w:tc>
        <w:tc>
          <w:tcPr>
            <w:tcW w:w="0" w:type="auto"/>
            <w:tcBorders>
              <w:bottom w:val="double" w:sz="4" w:space="0" w:color="C00000"/>
            </w:tcBorders>
            <w:tcMar>
              <w:top w:w="30" w:type="dxa"/>
              <w:left w:w="45" w:type="dxa"/>
              <w:bottom w:w="30" w:type="dxa"/>
              <w:right w:w="45" w:type="dxa"/>
            </w:tcMar>
            <w:vAlign w:val="center"/>
            <w:hideMark/>
          </w:tcPr>
          <w:p w14:paraId="029F4EE4" w14:textId="77777777" w:rsidR="005B0A75" w:rsidRPr="00D34671" w:rsidRDefault="005B0A75" w:rsidP="00AA4BBB">
            <w:pPr>
              <w:jc w:val="center"/>
              <w:rPr>
                <w:rFonts w:cs="Arial"/>
                <w:szCs w:val="20"/>
              </w:rPr>
            </w:pPr>
            <w:r w:rsidRPr="00D34671">
              <w:rPr>
                <w:rFonts w:cs="Arial"/>
                <w:szCs w:val="20"/>
              </w:rPr>
              <w:t>5.770.404.268</w:t>
            </w:r>
          </w:p>
        </w:tc>
        <w:tc>
          <w:tcPr>
            <w:tcW w:w="0" w:type="auto"/>
            <w:tcBorders>
              <w:bottom w:val="double" w:sz="4" w:space="0" w:color="C00000"/>
            </w:tcBorders>
            <w:tcMar>
              <w:top w:w="30" w:type="dxa"/>
              <w:left w:w="45" w:type="dxa"/>
              <w:bottom w:w="30" w:type="dxa"/>
              <w:right w:w="45" w:type="dxa"/>
            </w:tcMar>
            <w:vAlign w:val="center"/>
            <w:hideMark/>
          </w:tcPr>
          <w:p w14:paraId="34A244F0" w14:textId="77777777" w:rsidR="005B0A75" w:rsidRPr="00D34671" w:rsidRDefault="005B0A75" w:rsidP="00AA4BBB">
            <w:pPr>
              <w:jc w:val="center"/>
              <w:rPr>
                <w:rFonts w:cs="Arial"/>
                <w:szCs w:val="20"/>
              </w:rPr>
            </w:pPr>
            <w:r w:rsidRPr="00D34671">
              <w:rPr>
                <w:rFonts w:cs="Arial"/>
                <w:szCs w:val="20"/>
              </w:rPr>
              <w:t>5.247.846.969</w:t>
            </w:r>
          </w:p>
        </w:tc>
        <w:tc>
          <w:tcPr>
            <w:tcW w:w="0" w:type="auto"/>
            <w:vMerge/>
            <w:tcBorders>
              <w:bottom w:val="double" w:sz="4" w:space="0" w:color="C00000"/>
            </w:tcBorders>
            <w:vAlign w:val="center"/>
            <w:hideMark/>
          </w:tcPr>
          <w:p w14:paraId="503B894D" w14:textId="77777777" w:rsidR="005B0A75" w:rsidRPr="00D34671" w:rsidRDefault="005B0A75" w:rsidP="00AA4BBB">
            <w:pPr>
              <w:rPr>
                <w:rFonts w:cs="Arial"/>
                <w:b/>
                <w:bCs/>
                <w:szCs w:val="20"/>
              </w:rPr>
            </w:pPr>
          </w:p>
        </w:tc>
      </w:tr>
    </w:tbl>
    <w:p w14:paraId="47979130" w14:textId="77777777" w:rsidR="007B0476" w:rsidRDefault="007B0476" w:rsidP="005B0A75">
      <w:pPr>
        <w:rPr>
          <w:b/>
          <w:bCs/>
          <w:iCs/>
          <w:color w:val="C00000"/>
          <w:sz w:val="28"/>
          <w:szCs w:val="28"/>
        </w:rPr>
      </w:pPr>
      <w:r>
        <w:rPr>
          <w:b/>
          <w:bCs/>
          <w:iCs/>
          <w:color w:val="C00000"/>
          <w:sz w:val="28"/>
          <w:szCs w:val="28"/>
        </w:rPr>
        <w:br w:type="page"/>
      </w:r>
    </w:p>
    <w:p w14:paraId="2F587289" w14:textId="22FB228F" w:rsidR="00EF1D5F" w:rsidRDefault="00EF1D5F" w:rsidP="00372786">
      <w:pPr>
        <w:pStyle w:val="NIVEL4"/>
      </w:pPr>
      <w:bookmarkStart w:id="436" w:name="_Toc165169803"/>
      <w:r w:rsidRPr="0063274A">
        <w:rPr>
          <w:color w:val="C00000"/>
        </w:rPr>
        <w:lastRenderedPageBreak/>
        <w:t xml:space="preserve">Programa </w:t>
      </w:r>
      <w:r>
        <w:rPr>
          <w:color w:val="C00000"/>
        </w:rPr>
        <w:t>35</w:t>
      </w:r>
      <w:r w:rsidR="00372786">
        <w:rPr>
          <w:color w:val="C00000"/>
        </w:rPr>
        <w:t>:</w:t>
      </w:r>
      <w:r w:rsidRPr="0063274A">
        <w:rPr>
          <w:color w:val="C00000"/>
        </w:rPr>
        <w:t xml:space="preserve"> </w:t>
      </w:r>
      <w:r w:rsidRPr="00683304">
        <w:t>Bogotá Ciudad Inteligente</w:t>
      </w:r>
      <w:bookmarkEnd w:id="436"/>
    </w:p>
    <w:p w14:paraId="61B1B094" w14:textId="77777777" w:rsidR="007B0476" w:rsidRPr="007B0476" w:rsidRDefault="007B0476" w:rsidP="007B0476">
      <w:pPr>
        <w:pStyle w:val="Prrafodelista"/>
        <w:ind w:left="792"/>
        <w:rPr>
          <w:lang w:eastAsia="en-US"/>
        </w:rPr>
      </w:pPr>
    </w:p>
    <w:p w14:paraId="6F2EC370" w14:textId="6A07CD1B" w:rsidR="00EF1D5F" w:rsidRPr="00372786" w:rsidRDefault="00EF1D5F" w:rsidP="00372786">
      <w:pPr>
        <w:ind w:firstLine="708"/>
        <w:rPr>
          <w:b/>
          <w:bCs/>
          <w:color w:val="C00000"/>
        </w:rPr>
      </w:pPr>
      <w:r w:rsidRPr="00372786">
        <w:rPr>
          <w:b/>
          <w:bCs/>
          <w:sz w:val="24"/>
        </w:rPr>
        <w:t>Diagnóstico</w:t>
      </w:r>
    </w:p>
    <w:p w14:paraId="700C9F70" w14:textId="77777777" w:rsidR="00EF1D5F" w:rsidRDefault="00EF1D5F" w:rsidP="0063274A">
      <w:pPr>
        <w:rPr>
          <w:highlight w:val="white"/>
        </w:rPr>
        <w:sectPr w:rsidR="00EF1D5F" w:rsidSect="00F7078E">
          <w:type w:val="continuous"/>
          <w:pgSz w:w="12240" w:h="15840"/>
          <w:pgMar w:top="2262" w:right="1440" w:bottom="1440" w:left="1440" w:header="708" w:footer="680" w:gutter="0"/>
          <w:cols w:space="720"/>
          <w:docGrid w:linePitch="299"/>
        </w:sectPr>
      </w:pPr>
    </w:p>
    <w:p w14:paraId="2F4D805A" w14:textId="77777777" w:rsidR="00EF1D5F" w:rsidRDefault="00EF1D5F" w:rsidP="005D2FC9">
      <w:r>
        <w:t>La transformación digital de Bogotá implica la adopción y el uso estratégico de la tecnología y los datos y la innovación pública para la solución de problemáticas y necesidades de interés público mejorando la eficiencia y la calidad de vida de la ciudadanía, así como cerrando las brechas digitales y fomentando el crecimiento económico sostenible y equitativo de la ciudad.</w:t>
      </w:r>
    </w:p>
    <w:p w14:paraId="4B41CF7E" w14:textId="77777777" w:rsidR="00EF1D5F" w:rsidRDefault="00EF1D5F" w:rsidP="005D2FC9"/>
    <w:p w14:paraId="36C1E399" w14:textId="027CB469" w:rsidR="00EF1D5F" w:rsidRDefault="00EF1D5F" w:rsidP="005D2FC9">
      <w:r>
        <w:t>Si bien Bogotá ha experimentado un crecimiento en el porcentaje de hogares conectados a internet, al pasar del 57</w:t>
      </w:r>
      <w:r>
        <w:rPr>
          <w:rFonts w:ascii="Arial" w:hAnsi="Arial" w:cs="Arial"/>
        </w:rPr>
        <w:t> </w:t>
      </w:r>
      <w:r>
        <w:t>% de hogares con acceso a Internet en 2014 al 80,5</w:t>
      </w:r>
      <w:r>
        <w:rPr>
          <w:rFonts w:ascii="Arial" w:hAnsi="Arial" w:cs="Arial"/>
        </w:rPr>
        <w:t> </w:t>
      </w:r>
      <w:r>
        <w:t>% de hogares conectados en 2021</w:t>
      </w:r>
      <w:r w:rsidR="00105CDB">
        <w:t xml:space="preserve"> (EMB, 2021)</w:t>
      </w:r>
      <w:r w:rsidRPr="001E6CFC">
        <w:t>, siguen existiendo brechas por cerrar respecto al uso y aprovechamiento de los datos, la tecnología y la innovación en el territorio, tomando en cuenta que en el ámbito urbano persiste el 19,30</w:t>
      </w:r>
      <w:r w:rsidRPr="001E6CFC">
        <w:rPr>
          <w:rFonts w:ascii="Arial" w:hAnsi="Arial" w:cs="Arial"/>
        </w:rPr>
        <w:t> </w:t>
      </w:r>
      <w:r w:rsidRPr="001E6CFC">
        <w:t>% de hogares sin conexión a internet, y la cifra aumenta en el ámbito rural, a 61,6</w:t>
      </w:r>
      <w:r w:rsidRPr="001E6CFC">
        <w:rPr>
          <w:rFonts w:ascii="Arial" w:hAnsi="Arial" w:cs="Arial"/>
        </w:rPr>
        <w:t> </w:t>
      </w:r>
      <w:r w:rsidRPr="001E6CFC">
        <w:t xml:space="preserve">%, </w:t>
      </w:r>
      <w:r>
        <w:t xml:space="preserve">datos que son </w:t>
      </w:r>
      <w:r>
        <w:t>corroborados por la Encuesta de Tecnologías de la Información y las Comunicaciones en Hogares (ENTIC Hogares 2022), la cual señala que un 20% de hogares bogotanos aún no cuentan con conexión a internet.</w:t>
      </w:r>
    </w:p>
    <w:p w14:paraId="474541B8" w14:textId="77777777" w:rsidR="00EF1D5F" w:rsidRDefault="00EF1D5F" w:rsidP="005D2FC9"/>
    <w:p w14:paraId="46F70137" w14:textId="041AD5F4" w:rsidR="00EF1D5F" w:rsidRDefault="00EF1D5F" w:rsidP="0063274A">
      <w:pPr>
        <w:sectPr w:rsidR="00EF1D5F" w:rsidSect="00F7078E">
          <w:type w:val="continuous"/>
          <w:pgSz w:w="12240" w:h="15840"/>
          <w:pgMar w:top="2262" w:right="1440" w:bottom="1440" w:left="1440" w:header="708" w:footer="680" w:gutter="0"/>
          <w:cols w:num="2" w:space="567"/>
          <w:docGrid w:linePitch="299"/>
        </w:sectPr>
      </w:pPr>
      <w:r>
        <w:t>Desde el enfoque territorial, la brecha digital pone de relieve la existencia de inequidades y disparidades marcadas entre los territorios más vulnerables y los más ricos y, principalmente, entre lo urbano y lo rural. La brecha de conexión a internet, por ejemplo, pone a la localidad de Sumapaz como la menos conectada, con tan solo el 20,8</w:t>
      </w:r>
      <w:r>
        <w:rPr>
          <w:rFonts w:ascii="Arial" w:hAnsi="Arial" w:cs="Arial"/>
        </w:rPr>
        <w:t> </w:t>
      </w:r>
      <w:r>
        <w:t>% de acceso a conectividad, mientras que la localidad con mayor cobertura es Teusaquillo, con el 96,1</w:t>
      </w:r>
      <w:r>
        <w:rPr>
          <w:rFonts w:ascii="Arial" w:hAnsi="Arial" w:cs="Arial"/>
        </w:rPr>
        <w:t> </w:t>
      </w:r>
      <w:r>
        <w:t xml:space="preserve">% </w:t>
      </w:r>
      <w:r w:rsidRPr="001E6CFC">
        <w:t>(</w:t>
      </w:r>
      <w:r w:rsidR="001E6CFC" w:rsidRPr="001E6CFC">
        <w:rPr>
          <w:highlight w:val="yellow"/>
        </w:rPr>
        <w:fldChar w:fldCharType="begin"/>
      </w:r>
      <w:r w:rsidR="001E6CFC" w:rsidRPr="001E6CFC">
        <w:instrText xml:space="preserve"> REF _Ref165150278 \h </w:instrText>
      </w:r>
      <w:r w:rsidR="001E6CFC" w:rsidRPr="001E6CFC">
        <w:rPr>
          <w:highlight w:val="yellow"/>
        </w:rPr>
      </w:r>
      <w:r w:rsidR="001E6CFC" w:rsidRPr="001E6CFC">
        <w:rPr>
          <w:highlight w:val="yellow"/>
        </w:rPr>
        <w:fldChar w:fldCharType="separate"/>
      </w:r>
      <w:r w:rsidR="00D01651" w:rsidRPr="0030295B">
        <w:rPr>
          <w:color w:val="C00000"/>
          <w:sz w:val="18"/>
          <w:szCs w:val="18"/>
        </w:rPr>
        <w:t xml:space="preserve">Gráfica </w:t>
      </w:r>
      <w:r w:rsidR="00D01651">
        <w:rPr>
          <w:noProof/>
          <w:color w:val="C00000"/>
          <w:sz w:val="18"/>
        </w:rPr>
        <w:t>53</w:t>
      </w:r>
      <w:r w:rsidR="001E6CFC" w:rsidRPr="001E6CFC">
        <w:rPr>
          <w:highlight w:val="yellow"/>
        </w:rPr>
        <w:fldChar w:fldCharType="end"/>
      </w:r>
      <w:r>
        <w:t>). Es decir, mientras en Teusaquillo 9 de 10 personas tienen conectividad, en Sumapaz tan solo la tienen 2 de cada 10.</w:t>
      </w:r>
    </w:p>
    <w:p w14:paraId="1F7CF70F" w14:textId="31558EE3" w:rsidR="00EF1D5F" w:rsidRPr="0030295B" w:rsidRDefault="0030295B" w:rsidP="0030295B">
      <w:pPr>
        <w:pStyle w:val="Descripcin"/>
        <w:jc w:val="center"/>
        <w:rPr>
          <w:color w:val="000000" w:themeColor="text1"/>
          <w:sz w:val="18"/>
        </w:rPr>
      </w:pPr>
      <w:r w:rsidRPr="0030295B">
        <w:rPr>
          <w:sz w:val="18"/>
        </w:rPr>
        <w:br/>
      </w:r>
      <w:bookmarkStart w:id="437" w:name="_Ref165150278"/>
      <w:bookmarkStart w:id="438" w:name="_Toc165169879"/>
      <w:r w:rsidRPr="0030295B">
        <w:rPr>
          <w:color w:val="C00000"/>
          <w:sz w:val="18"/>
        </w:rPr>
        <w:t xml:space="preserve">Gráfica </w:t>
      </w:r>
      <w:r w:rsidRPr="0030295B">
        <w:rPr>
          <w:color w:val="C00000"/>
          <w:sz w:val="18"/>
        </w:rPr>
        <w:fldChar w:fldCharType="begin"/>
      </w:r>
      <w:r w:rsidRPr="0030295B">
        <w:rPr>
          <w:color w:val="C00000"/>
          <w:sz w:val="18"/>
        </w:rPr>
        <w:instrText xml:space="preserve"> SEQ Gráfica \* ARABIC </w:instrText>
      </w:r>
      <w:r w:rsidRPr="0030295B">
        <w:rPr>
          <w:color w:val="C00000"/>
          <w:sz w:val="18"/>
        </w:rPr>
        <w:fldChar w:fldCharType="separate"/>
      </w:r>
      <w:r w:rsidR="00D01651">
        <w:rPr>
          <w:noProof/>
          <w:color w:val="C00000"/>
          <w:sz w:val="18"/>
        </w:rPr>
        <w:t>53</w:t>
      </w:r>
      <w:r w:rsidRPr="0030295B">
        <w:rPr>
          <w:color w:val="C00000"/>
          <w:sz w:val="18"/>
        </w:rPr>
        <w:fldChar w:fldCharType="end"/>
      </w:r>
      <w:bookmarkEnd w:id="437"/>
      <w:r w:rsidRPr="0030295B">
        <w:rPr>
          <w:color w:val="C00000"/>
          <w:sz w:val="18"/>
        </w:rPr>
        <w:t xml:space="preserve">. </w:t>
      </w:r>
      <w:r w:rsidR="00EF1D5F" w:rsidRPr="001E6CFC">
        <w:rPr>
          <w:sz w:val="18"/>
        </w:rPr>
        <w:t>Hogares con conexión a internet por localidades (2021)</w:t>
      </w:r>
      <w:bookmarkEnd w:id="438"/>
    </w:p>
    <w:p w14:paraId="6C454BCB" w14:textId="77777777" w:rsidR="00EF1D5F" w:rsidRPr="00E94B15" w:rsidRDefault="00EF1D5F" w:rsidP="00351FEF">
      <w:pPr>
        <w:spacing w:line="480" w:lineRule="auto"/>
        <w:jc w:val="center"/>
        <w:rPr>
          <w:b/>
        </w:rPr>
      </w:pPr>
      <w:r>
        <w:rPr>
          <w:b/>
          <w:noProof/>
        </w:rPr>
        <w:drawing>
          <wp:inline distT="0" distB="0" distL="0" distR="0" wp14:anchorId="2EC86759" wp14:editId="16641DEF">
            <wp:extent cx="4484077" cy="2586539"/>
            <wp:effectExtent l="0" t="0" r="0" b="0"/>
            <wp:docPr id="703870070" name="Imagen 9"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870070" name="Imagen 9" descr="Imagen que contiene Gráfico&#10;&#10;Descripción generada automáticament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35473" cy="2616186"/>
                    </a:xfrm>
                    <a:prstGeom prst="rect">
                      <a:avLst/>
                    </a:prstGeom>
                  </pic:spPr>
                </pic:pic>
              </a:graphicData>
            </a:graphic>
          </wp:inline>
        </w:drawing>
      </w:r>
    </w:p>
    <w:p w14:paraId="39799871" w14:textId="77777777" w:rsidR="00EF1D5F" w:rsidRPr="00351FEF" w:rsidRDefault="00EF1D5F" w:rsidP="00351FEF">
      <w:pPr>
        <w:pStyle w:val="figuratitulo"/>
        <w:rPr>
          <w:color w:val="3B3838" w:themeColor="background2" w:themeShade="40"/>
        </w:rPr>
      </w:pPr>
      <w:r w:rsidRPr="00351FEF">
        <w:rPr>
          <w:b/>
          <w:bCs/>
          <w:color w:val="3B3838" w:themeColor="background2" w:themeShade="40"/>
        </w:rPr>
        <w:t>Fuente:</w:t>
      </w:r>
      <w:r w:rsidRPr="00351FEF">
        <w:rPr>
          <w:color w:val="3B3838" w:themeColor="background2" w:themeShade="40"/>
        </w:rPr>
        <w:t xml:space="preserve"> DANE y SDP-Encuesta Multipropósito 2021. </w:t>
      </w:r>
      <w:r w:rsidRPr="00351FEF">
        <w:rPr>
          <w:color w:val="3B3838" w:themeColor="background2" w:themeShade="40"/>
        </w:rPr>
        <w:br/>
      </w:r>
      <w:r w:rsidRPr="00351FEF">
        <w:rPr>
          <w:b/>
          <w:bCs/>
          <w:color w:val="3B3838" w:themeColor="background2" w:themeShade="40"/>
        </w:rPr>
        <w:t>Nota:</w:t>
      </w:r>
      <w:r w:rsidRPr="00351FEF">
        <w:rPr>
          <w:color w:val="3B3838" w:themeColor="background2" w:themeShade="40"/>
        </w:rPr>
        <w:t xml:space="preserve"> cálculos: SDP-Dirección de Estudios Macro. Fecha de cálculo: 2022-09-02.</w:t>
      </w:r>
    </w:p>
    <w:p w14:paraId="0979B601" w14:textId="77777777" w:rsidR="00EF1D5F" w:rsidRDefault="00EF1D5F" w:rsidP="0063274A"/>
    <w:p w14:paraId="1EC30844" w14:textId="1D480CE5" w:rsidR="00C80534" w:rsidRDefault="00C80534" w:rsidP="0063274A">
      <w:pPr>
        <w:sectPr w:rsidR="00C80534" w:rsidSect="00F7078E">
          <w:type w:val="continuous"/>
          <w:pgSz w:w="12240" w:h="15840"/>
          <w:pgMar w:top="2262" w:right="1440" w:bottom="1440" w:left="1440" w:header="708" w:footer="680" w:gutter="0"/>
          <w:cols w:space="720"/>
          <w:docGrid w:linePitch="299"/>
        </w:sectPr>
      </w:pPr>
    </w:p>
    <w:p w14:paraId="3B20D7F1" w14:textId="10A06256" w:rsidR="00C80534" w:rsidRPr="00C80534" w:rsidRDefault="00EF1D5F" w:rsidP="002B7FA6">
      <w:pPr>
        <w:rPr>
          <w:spacing w:val="-6"/>
        </w:rPr>
        <w:sectPr w:rsidR="00C80534" w:rsidRPr="00C80534" w:rsidSect="00F7078E">
          <w:type w:val="continuous"/>
          <w:pgSz w:w="12240" w:h="15840"/>
          <w:pgMar w:top="2262" w:right="1440" w:bottom="1440" w:left="1440" w:header="708" w:footer="680" w:gutter="0"/>
          <w:cols w:num="2" w:space="567"/>
          <w:docGrid w:linePitch="299"/>
        </w:sectPr>
      </w:pPr>
      <w:r w:rsidRPr="00C80534">
        <w:rPr>
          <w:spacing w:val="-6"/>
        </w:rPr>
        <w:lastRenderedPageBreak/>
        <w:t>La población que realiza trámites gubernamentales a través de medios digitales es tan solo del 20,9</w:t>
      </w:r>
      <w:r w:rsidRPr="00C80534">
        <w:rPr>
          <w:rFonts w:ascii="Arial" w:hAnsi="Arial" w:cs="Arial"/>
          <w:spacing w:val="-6"/>
        </w:rPr>
        <w:t> </w:t>
      </w:r>
      <w:r w:rsidRPr="00C80534">
        <w:rPr>
          <w:spacing w:val="-6"/>
        </w:rPr>
        <w:t>% en el entorno urbano, y del 7,9</w:t>
      </w:r>
      <w:r w:rsidRPr="00C80534">
        <w:rPr>
          <w:rFonts w:ascii="Arial" w:hAnsi="Arial" w:cs="Arial"/>
          <w:spacing w:val="-6"/>
        </w:rPr>
        <w:t> </w:t>
      </w:r>
      <w:r w:rsidRPr="00C80534">
        <w:rPr>
          <w:spacing w:val="-6"/>
        </w:rPr>
        <w:t xml:space="preserve">%, en el territorio rural, razón por la que la transformación digital del Gobierno y la digitalización de los trámites y </w:t>
      </w:r>
      <w:r w:rsidRPr="00C80534">
        <w:rPr>
          <w:spacing w:val="-6"/>
        </w:rPr>
        <w:t>procedimientos administrativos del Gobierno distrital no estarían, por el momento, impactando real y profundamente sobre la población, la cual seguiría usando los medios presenciales para la realización de dichos trámites y procedimientos.</w:t>
      </w:r>
    </w:p>
    <w:p w14:paraId="61CA29B4" w14:textId="77777777" w:rsidR="00C80534" w:rsidRDefault="00C80534" w:rsidP="00C80534">
      <w:pPr>
        <w:keepNext/>
        <w:pBdr>
          <w:top w:val="nil"/>
          <w:left w:val="nil"/>
          <w:bottom w:val="nil"/>
          <w:right w:val="nil"/>
          <w:between w:val="nil"/>
        </w:pBdr>
        <w:spacing w:line="480" w:lineRule="auto"/>
        <w:rPr>
          <w:b/>
          <w:color w:val="3B3838"/>
          <w:sz w:val="18"/>
          <w:szCs w:val="18"/>
        </w:rPr>
      </w:pPr>
    </w:p>
    <w:p w14:paraId="76091E13" w14:textId="687BDC1C" w:rsidR="00EF1D5F" w:rsidRPr="008D1985" w:rsidRDefault="008D1985" w:rsidP="008D1985">
      <w:pPr>
        <w:pStyle w:val="Descripcin"/>
        <w:jc w:val="center"/>
        <w:rPr>
          <w:bCs/>
          <w:sz w:val="18"/>
        </w:rPr>
      </w:pPr>
      <w:bookmarkStart w:id="439" w:name="_Toc165169880"/>
      <w:r w:rsidRPr="008D1985">
        <w:rPr>
          <w:color w:val="C00000"/>
          <w:sz w:val="18"/>
        </w:rPr>
        <w:t xml:space="preserve">Gráfica </w:t>
      </w:r>
      <w:r w:rsidRPr="008D1985">
        <w:rPr>
          <w:color w:val="C00000"/>
          <w:sz w:val="18"/>
        </w:rPr>
        <w:fldChar w:fldCharType="begin"/>
      </w:r>
      <w:r w:rsidRPr="008D1985">
        <w:rPr>
          <w:color w:val="C00000"/>
          <w:sz w:val="18"/>
        </w:rPr>
        <w:instrText xml:space="preserve"> SEQ Gráfica \* ARABIC </w:instrText>
      </w:r>
      <w:r w:rsidRPr="008D1985">
        <w:rPr>
          <w:color w:val="C00000"/>
          <w:sz w:val="18"/>
        </w:rPr>
        <w:fldChar w:fldCharType="separate"/>
      </w:r>
      <w:r w:rsidR="00D01651">
        <w:rPr>
          <w:noProof/>
          <w:color w:val="C00000"/>
          <w:sz w:val="18"/>
        </w:rPr>
        <w:t>54</w:t>
      </w:r>
      <w:r w:rsidRPr="008D1985">
        <w:rPr>
          <w:color w:val="C00000"/>
          <w:sz w:val="18"/>
        </w:rPr>
        <w:fldChar w:fldCharType="end"/>
      </w:r>
      <w:r w:rsidRPr="008D1985">
        <w:rPr>
          <w:color w:val="C00000"/>
          <w:sz w:val="18"/>
        </w:rPr>
        <w:t xml:space="preserve">. </w:t>
      </w:r>
      <w:r w:rsidR="00EF1D5F" w:rsidRPr="008D1985">
        <w:rPr>
          <w:sz w:val="18"/>
        </w:rPr>
        <w:t>Actividades realizadas en internet</w:t>
      </w:r>
      <w:bookmarkEnd w:id="439"/>
    </w:p>
    <w:p w14:paraId="1C9A9C85" w14:textId="77777777" w:rsidR="008D1985" w:rsidRDefault="00EF1D5F" w:rsidP="00BA14E6">
      <w:pPr>
        <w:spacing w:line="480" w:lineRule="auto"/>
        <w:jc w:val="center"/>
        <w:rPr>
          <w:b/>
          <w:bCs/>
          <w:color w:val="3B3838"/>
          <w:sz w:val="18"/>
          <w:szCs w:val="18"/>
        </w:rPr>
      </w:pPr>
      <w:r>
        <w:rPr>
          <w:b/>
          <w:noProof/>
        </w:rPr>
        <w:drawing>
          <wp:inline distT="0" distB="0" distL="0" distR="0" wp14:anchorId="5E010554" wp14:editId="3F7F6C22">
            <wp:extent cx="5250730" cy="2067497"/>
            <wp:effectExtent l="0" t="0" r="0" b="0"/>
            <wp:docPr id="1539621218" name="Imagen 10"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621218" name="Imagen 10" descr="Gráfico, Gráfico de barras&#10;&#10;Descripción generada automáticamente"/>
                    <pic:cNvPicPr/>
                  </pic:nvPicPr>
                  <pic:blipFill rotWithShape="1">
                    <a:blip r:embed="rId163" cstate="print">
                      <a:extLst>
                        <a:ext uri="{28A0092B-C50C-407E-A947-70E740481C1C}">
                          <a14:useLocalDpi xmlns:a14="http://schemas.microsoft.com/office/drawing/2010/main" val="0"/>
                        </a:ext>
                      </a:extLst>
                    </a:blip>
                    <a:srcRect b="10746"/>
                    <a:stretch/>
                  </pic:blipFill>
                  <pic:spPr bwMode="auto">
                    <a:xfrm>
                      <a:off x="0" y="0"/>
                      <a:ext cx="5258516" cy="2070563"/>
                    </a:xfrm>
                    <a:prstGeom prst="rect">
                      <a:avLst/>
                    </a:prstGeom>
                    <a:ln>
                      <a:noFill/>
                    </a:ln>
                    <a:extLst>
                      <a:ext uri="{53640926-AAD7-44D8-BBD7-CCE9431645EC}">
                        <a14:shadowObscured xmlns:a14="http://schemas.microsoft.com/office/drawing/2010/main"/>
                      </a:ext>
                    </a:extLst>
                  </pic:spPr>
                </pic:pic>
              </a:graphicData>
            </a:graphic>
          </wp:inline>
        </w:drawing>
      </w:r>
    </w:p>
    <w:p w14:paraId="56D3C3D3" w14:textId="44C15F9D" w:rsidR="00EF1D5F" w:rsidRDefault="00EF1D5F" w:rsidP="00BA14E6">
      <w:pPr>
        <w:spacing w:line="480" w:lineRule="auto"/>
        <w:jc w:val="center"/>
        <w:rPr>
          <w:color w:val="3B3838"/>
          <w:sz w:val="18"/>
          <w:szCs w:val="18"/>
        </w:rPr>
      </w:pPr>
      <w:r w:rsidRPr="00C132C6">
        <w:rPr>
          <w:b/>
          <w:bCs/>
          <w:color w:val="3B3838"/>
          <w:sz w:val="18"/>
          <w:szCs w:val="18"/>
        </w:rPr>
        <w:t>Fuente:</w:t>
      </w:r>
      <w:r w:rsidRPr="00C132C6">
        <w:rPr>
          <w:color w:val="3B3838"/>
          <w:sz w:val="18"/>
          <w:szCs w:val="18"/>
        </w:rPr>
        <w:t xml:space="preserve"> DANE-E</w:t>
      </w:r>
      <w:r w:rsidR="008D1985">
        <w:rPr>
          <w:color w:val="3B3838"/>
          <w:sz w:val="18"/>
          <w:szCs w:val="18"/>
        </w:rPr>
        <w:t>MB</w:t>
      </w:r>
      <w:r w:rsidRPr="00C132C6">
        <w:rPr>
          <w:color w:val="3B3838"/>
          <w:sz w:val="18"/>
          <w:szCs w:val="18"/>
        </w:rPr>
        <w:t xml:space="preserve"> (2021).</w:t>
      </w:r>
    </w:p>
    <w:p w14:paraId="150C587C" w14:textId="77777777" w:rsidR="00EF1D5F" w:rsidRDefault="00EF1D5F" w:rsidP="00C519AB">
      <w:pPr>
        <w:sectPr w:rsidR="00EF1D5F" w:rsidSect="00F7078E">
          <w:type w:val="continuous"/>
          <w:pgSz w:w="12240" w:h="15840"/>
          <w:pgMar w:top="2262" w:right="1440" w:bottom="1440" w:left="1440" w:header="708" w:footer="680" w:gutter="0"/>
          <w:cols w:space="720"/>
          <w:docGrid w:linePitch="299"/>
        </w:sectPr>
      </w:pPr>
      <w:bookmarkStart w:id="440" w:name="_Hlk165070687"/>
    </w:p>
    <w:p w14:paraId="15AB56EE" w14:textId="77777777" w:rsidR="00EF1D5F" w:rsidRPr="00C519AB" w:rsidRDefault="00EF1D5F" w:rsidP="00C519AB">
      <w:r w:rsidRPr="00C519AB">
        <w:t>Por otra parte, se presenta una baja consolidación de los elementos habilitadores para la transformación digital de la Administración pública. Según los resultados del Índice de Gobierno Digital de 2022, solo 18 entidades (37</w:t>
      </w:r>
      <w:r w:rsidRPr="00C519AB">
        <w:rPr>
          <w:rFonts w:ascii="Arial" w:hAnsi="Arial" w:cs="Arial"/>
        </w:rPr>
        <w:t> </w:t>
      </w:r>
      <w:r w:rsidRPr="00C519AB">
        <w:t xml:space="preserve">%) reportan estar intercambiando información mediante protocolos de interoperabilidad digital. </w:t>
      </w:r>
    </w:p>
    <w:p w14:paraId="69329FAE" w14:textId="77777777" w:rsidR="00EF1D5F" w:rsidRPr="00C519AB" w:rsidRDefault="00EF1D5F" w:rsidP="00C519AB"/>
    <w:p w14:paraId="5624D164" w14:textId="77777777" w:rsidR="00EF1D5F" w:rsidRDefault="00EF1D5F" w:rsidP="00C519AB">
      <w:r w:rsidRPr="00C519AB">
        <w:t>Lo anterior no es ajeno a la seguridad de la información. La ciberseguridad ya es un problema nacional con hasta 60 denuncias diarias de ciberdelitos cometidos. A nivel distrital, entidades como la Secretaría General, la Secretaría de Movilidad, Catastro Distrital, la Secretaría de Gobierno, Metro de Bogotá, la Secretaría de Salud, la Subred SurOccidente, Canal Capital, Capital Salud y Transmilenio, entre otras, han sido atacadas. Dentro de los tipos de ataque contenidos y atendidos existen ataques tipo Defacement</w:t>
      </w:r>
      <w:r w:rsidRPr="008D1985">
        <w:rPr>
          <w:b/>
          <w:bCs/>
          <w:vertAlign w:val="superscript"/>
        </w:rPr>
        <w:footnoteReference w:id="30"/>
      </w:r>
      <w:r w:rsidRPr="008D1985">
        <w:t>,</w:t>
      </w:r>
      <w:r w:rsidRPr="00C519AB">
        <w:t xml:space="preserve"> </w:t>
      </w:r>
      <w:r w:rsidRPr="00C519AB">
        <w:t>Phishing</w:t>
      </w:r>
      <w:r w:rsidRPr="008D1985">
        <w:rPr>
          <w:b/>
          <w:bCs/>
          <w:vertAlign w:val="superscript"/>
        </w:rPr>
        <w:footnoteReference w:id="31"/>
      </w:r>
      <w:r w:rsidRPr="00C519AB">
        <w:t xml:space="preserve"> y explotación de vulnerabilidades conocidas. </w:t>
      </w:r>
    </w:p>
    <w:p w14:paraId="1D7B94DA" w14:textId="77777777" w:rsidR="008D1985" w:rsidRPr="00C519AB" w:rsidRDefault="008D1985" w:rsidP="00C519AB"/>
    <w:p w14:paraId="59B5716D" w14:textId="77777777" w:rsidR="00EF1D5F" w:rsidRDefault="00EF1D5F" w:rsidP="00C519AB">
      <w:r w:rsidRPr="00C519AB">
        <w:t>El anterior resultado se relaciona con la consolidación de la infraestructura de datos del Distrito Capital. De acuerdo con la medición del Índice de Gobierno Digital realizada en 2022, más del 75</w:t>
      </w:r>
      <w:r w:rsidRPr="00C519AB">
        <w:rPr>
          <w:rFonts w:ascii="Arial" w:hAnsi="Arial" w:cs="Arial"/>
        </w:rPr>
        <w:t> </w:t>
      </w:r>
      <w:r w:rsidRPr="00C519AB">
        <w:t xml:space="preserve">% de las entidades distritales no cuentan con una política de gobierno de datos formulada e implementada con estándares de calidad; tampoco, con archivo, preservación y reutilización de los datos con estándares de calidad. </w:t>
      </w:r>
    </w:p>
    <w:p w14:paraId="20CD3E16" w14:textId="77777777" w:rsidR="00EF1D5F" w:rsidRPr="00C519AB" w:rsidRDefault="00EF1D5F" w:rsidP="00C519AB"/>
    <w:p w14:paraId="7CD3A383" w14:textId="77777777" w:rsidR="00EF1D5F" w:rsidRPr="00C519AB" w:rsidRDefault="00EF1D5F" w:rsidP="00C519AB">
      <w:r w:rsidRPr="00C519AB">
        <w:t xml:space="preserve">Actualmente las diferentes entidades del distrito producen información de forma desagregada y en silos bajo diferentes plataformas y con diferentes criterios de producción almacenamiento y gobierno, razón por la cual a través de la expedición del decreto 575 de 2023 </w:t>
      </w:r>
      <w:r w:rsidRPr="00C712EE">
        <w:rPr>
          <w:i/>
          <w:iCs/>
        </w:rPr>
        <w:t xml:space="preserve">“por </w:t>
      </w:r>
      <w:r w:rsidRPr="00C712EE">
        <w:rPr>
          <w:i/>
          <w:iCs/>
        </w:rPr>
        <w:lastRenderedPageBreak/>
        <w:t>medio del cual se definen los componentes de la Infraestructura de Datos y se establece el modelo de gobernanza correspondiente en el Distrito Capital”,</w:t>
      </w:r>
      <w:r w:rsidRPr="00C519AB">
        <w:t xml:space="preserve"> se busca definir los componentes de la infraestructura de datos del distrito y establecer el modelo de gobernanza correspondiente para mejorar los servicios que ofrecen las entidades públicas de la capital y aumentar la confianza por parte de la ciudadanía.</w:t>
      </w:r>
    </w:p>
    <w:p w14:paraId="5E34CA68" w14:textId="77777777" w:rsidR="00EF1D5F" w:rsidRPr="00C519AB" w:rsidRDefault="00EF1D5F" w:rsidP="00C519AB"/>
    <w:p w14:paraId="2A45CE53" w14:textId="77777777" w:rsidR="00EF1D5F" w:rsidRPr="00C519AB" w:rsidRDefault="00EF1D5F" w:rsidP="00C519AB">
      <w:r w:rsidRPr="00C519AB">
        <w:t xml:space="preserve">En ese mismo sentido, se evidencian inconvenientes relacionados con la gestión, producción, actualización, análisis, disposición y divulgación de la información, respecto a criterios como su calidad, pertinencia, interoperabilidad, oportunidad, accesibilidad o coherencia, que </w:t>
      </w:r>
      <w:r w:rsidRPr="00C519AB">
        <w:t xml:space="preserve">dificultan la toma de decisiones en Bogotá, D. C., y la región —principalmente, a los actores institucionales—, pero que inciden en los demás actores interesados. Los resultados del Índice de Capacidad Estadística Territorial (ICET), medido por el DANE, si bien arrojaban una buena capacidad para la ciudad en general (91 puntos), por dimensiones, la de accesibilidad y uso de la información estadística se registraba como la más baja, con 71 puntos. </w:t>
      </w:r>
    </w:p>
    <w:p w14:paraId="53091820" w14:textId="77777777" w:rsidR="00EF1D5F" w:rsidRPr="00C519AB" w:rsidRDefault="00EF1D5F" w:rsidP="00C519AB"/>
    <w:p w14:paraId="1EEF5287" w14:textId="77777777" w:rsidR="00EF1D5F" w:rsidRDefault="00EF1D5F" w:rsidP="00C519AB">
      <w:pPr>
        <w:sectPr w:rsidR="00EF1D5F" w:rsidSect="00F7078E">
          <w:type w:val="continuous"/>
          <w:pgSz w:w="12240" w:h="15840"/>
          <w:pgMar w:top="2262" w:right="1440" w:bottom="1440" w:left="1440" w:header="708" w:footer="680" w:gutter="0"/>
          <w:cols w:num="2" w:space="567"/>
          <w:docGrid w:linePitch="299"/>
        </w:sectPr>
      </w:pPr>
      <w:r w:rsidRPr="00C519AB">
        <w:t>Todo lo anterior, refleja diferencias en la capacidad de los diferentes actores del territorio para incorporar eficientemente los Datos, la Tecnología y la Innovación, para dar respuesta a las necesidades de las y los bogotanos.</w:t>
      </w:r>
      <w:bookmarkEnd w:id="440"/>
    </w:p>
    <w:p w14:paraId="5E3DC2C8" w14:textId="77777777" w:rsidR="00EF1D5F" w:rsidRDefault="00EF1D5F" w:rsidP="00C519AB"/>
    <w:p w14:paraId="02666646" w14:textId="77777777" w:rsidR="00EF1D5F" w:rsidRPr="0063274A" w:rsidRDefault="00EF1D5F" w:rsidP="00C519AB">
      <w:pPr>
        <w:rPr>
          <w:color w:val="C00000"/>
          <w:sz w:val="28"/>
          <w:szCs w:val="28"/>
        </w:rPr>
      </w:pPr>
    </w:p>
    <w:p w14:paraId="2D6E4952" w14:textId="497DE227" w:rsidR="00EF1D5F" w:rsidRPr="008D1985" w:rsidRDefault="00EF1D5F" w:rsidP="008D1985">
      <w:pPr>
        <w:ind w:firstLine="708"/>
        <w:rPr>
          <w:b/>
          <w:bCs/>
        </w:rPr>
      </w:pPr>
      <w:r w:rsidRPr="008D1985">
        <w:rPr>
          <w:b/>
          <w:bCs/>
          <w:sz w:val="24"/>
          <w:szCs w:val="28"/>
        </w:rPr>
        <w:t>Descripción del programa</w:t>
      </w:r>
    </w:p>
    <w:p w14:paraId="7AFFA9FA" w14:textId="77777777" w:rsidR="00EF1D5F" w:rsidRDefault="00EF1D5F" w:rsidP="0063274A">
      <w:pPr>
        <w:sectPr w:rsidR="00EF1D5F" w:rsidSect="00F7078E">
          <w:type w:val="continuous"/>
          <w:pgSz w:w="12240" w:h="15840"/>
          <w:pgMar w:top="2262" w:right="1440" w:bottom="1440" w:left="1440" w:header="708" w:footer="680" w:gutter="0"/>
          <w:cols w:space="720"/>
          <w:docGrid w:linePitch="299"/>
        </w:sectPr>
      </w:pPr>
    </w:p>
    <w:p w14:paraId="3D28CED6" w14:textId="77777777" w:rsidR="00EF1D5F" w:rsidRPr="00FE017B" w:rsidRDefault="00EF1D5F" w:rsidP="00FE017B">
      <w:r w:rsidRPr="00FE017B">
        <w:t>Una ciudad inteligente es aquella que, a través de los datos, la tecnología, la innovación y el trabajo articulado con todos los actores de su ecosistema, logra generar oportunidades para mejorar la calidad de vida de sus habitantes, incrementa la competitividad y la eficiencia de la administración pública y del sector productivo, reduce las brechas digitales fomentando el crecimiento económico y equitativo e impulsa la sostenibilidad ambiental, económica y social de su entorno.</w:t>
      </w:r>
    </w:p>
    <w:p w14:paraId="6193BAB0" w14:textId="77777777" w:rsidR="00EF1D5F" w:rsidRPr="00FE017B" w:rsidRDefault="00EF1D5F" w:rsidP="00FE017B"/>
    <w:p w14:paraId="7B6DCEB2" w14:textId="77777777" w:rsidR="00EF1D5F" w:rsidRPr="00FE017B" w:rsidRDefault="00EF1D5F" w:rsidP="00FE017B">
      <w:r w:rsidRPr="00FE017B">
        <w:t xml:space="preserve">Para consolidarse como una ciudad inteligente, Bogotá impulsará acciones que cierren la brecha digital ampliando la oferta y el acceso a Internet de calidad, brinden oportunidades de apropiación digital para las zonas rurales y población en condición de vulnerabilidad, fomenten la formación del talento digital con las habilidades del Siglo XXI para promover la competitividad de Bogotá, fortalezcan la toma de decisiones basadas en datos para mejorar la prestación de servicios de la Administración Distrital y resolver problemas de ciudad, consoliden el gobierno abierto, promuevan la participación ciudadana, generen un espacio digital seguro para los ciudadanos y la administración pública y </w:t>
      </w:r>
      <w:r w:rsidRPr="00FE017B">
        <w:t>establezcan la innovación como eje del diseño de servicios al ciudadano y las ciencias del comportamiento para transformar la cultura de la ciudad.</w:t>
      </w:r>
    </w:p>
    <w:p w14:paraId="3E9F7DEC" w14:textId="77777777" w:rsidR="00EF1D5F" w:rsidRPr="00FE017B" w:rsidRDefault="00EF1D5F" w:rsidP="00FE017B"/>
    <w:p w14:paraId="07AE98EF" w14:textId="77777777" w:rsidR="00EF1D5F" w:rsidRPr="00FE017B" w:rsidRDefault="00EF1D5F" w:rsidP="00FE017B">
      <w:r w:rsidRPr="00FE017B">
        <w:t xml:space="preserve">Bogotá avanzará en el cierre de la brecha digital, y el sector público debe ser un ejemplo para ello. Adoptará el uso estratégico de la tecnología y los datos y la innovación para solucionar problemáticas y necesidades de interés colectivo mejorando la eficiencia en la gestión pública y la calidad de vida de la ciudadanía, cerrando las brechas digitales y fomentando el crecimiento económico sostenible y equitativo de la ciudad. </w:t>
      </w:r>
    </w:p>
    <w:p w14:paraId="502DC644" w14:textId="77777777" w:rsidR="00EF1D5F" w:rsidRPr="00FE017B" w:rsidRDefault="00EF1D5F" w:rsidP="00FE017B"/>
    <w:p w14:paraId="071BF673" w14:textId="77777777" w:rsidR="00EF1D5F" w:rsidRPr="00FE017B" w:rsidRDefault="00EF1D5F" w:rsidP="00FE017B">
      <w:r w:rsidRPr="00FE017B">
        <w:t xml:space="preserve">Para ello se promoverá la ampliación de cobertura y la oferta de conectividad pública y social, a efectos de propender por el aumento del acceso, uso y apropiación del servicio público esencial de acceso a internet. </w:t>
      </w:r>
    </w:p>
    <w:p w14:paraId="56CA41CA" w14:textId="77777777" w:rsidR="00EF1D5F" w:rsidRPr="00FE017B" w:rsidRDefault="00EF1D5F" w:rsidP="00FE017B"/>
    <w:p w14:paraId="284ABC13" w14:textId="77777777" w:rsidR="00EF1D5F" w:rsidRPr="00687CD1" w:rsidRDefault="00EF1D5F" w:rsidP="00FE017B">
      <w:pPr>
        <w:rPr>
          <w:spacing w:val="-6"/>
        </w:rPr>
      </w:pPr>
      <w:r w:rsidRPr="00687CD1">
        <w:rPr>
          <w:spacing w:val="-6"/>
        </w:rPr>
        <w:t xml:space="preserve">Así mismo, se formulará un esquema de incentivos para el intercambio y desarrollo de infraestructura y redes de telecomunicaciones —en especial, de 4G y 5G— y </w:t>
      </w:r>
      <w:r w:rsidRPr="00687CD1">
        <w:rPr>
          <w:rFonts w:eastAsia="Roboto" w:cs="Roboto"/>
          <w:spacing w:val="-6"/>
          <w:highlight w:val="white"/>
        </w:rPr>
        <w:t>se fomentará el uso de tecnologías emergentes, esquemas de cooperación público-</w:t>
      </w:r>
      <w:r w:rsidRPr="00687CD1">
        <w:rPr>
          <w:rFonts w:eastAsia="Roboto" w:cs="Roboto"/>
          <w:spacing w:val="-6"/>
          <w:highlight w:val="white"/>
        </w:rPr>
        <w:lastRenderedPageBreak/>
        <w:t>privada y estrategias articuladas con los proveedores de redes y servicios de telecomunicaciones para la identificación de necesidades prioritarias de inversiones para el despliegue de redes e infraestructura,</w:t>
      </w:r>
      <w:r w:rsidRPr="00687CD1">
        <w:rPr>
          <w:spacing w:val="-6"/>
        </w:rPr>
        <w:t xml:space="preserve"> para así contribuir al impulso de varias iniciativas que desarrollarán en el presente Gobierno pedagógicas, de apropiación digital y la formación de habilidades TIC; especialmente, en la población vulnerable, en grupos poblacionales en la ciudad que afrontan estas brechas y en la población rural.</w:t>
      </w:r>
    </w:p>
    <w:p w14:paraId="561DE8A3" w14:textId="77777777" w:rsidR="00EF1D5F" w:rsidRPr="00FE017B" w:rsidRDefault="00EF1D5F" w:rsidP="00FE017B"/>
    <w:p w14:paraId="547296D8" w14:textId="77777777" w:rsidR="00EF1D5F" w:rsidRPr="00FE017B" w:rsidRDefault="00EF1D5F" w:rsidP="00FE017B">
      <w:r w:rsidRPr="00FE017B">
        <w:t>Se trabajará en la instalación y el despliegue eficiente y ordenado de las redes e infraestructura requeridas para la prestación de los servicios públicos de telecomunicaciones; entre estos, el servicio público de acceso a internet, catalogado como de naturaleza esencial mediante la Ley 2108 de 2021, de manera que se asegure que la población en zonas urbanas y rurales pueda ejercer su derecho al acceso a los servicios públicos provistos sobre tales redes e infraestructura.</w:t>
      </w:r>
    </w:p>
    <w:p w14:paraId="4B11D04F" w14:textId="77777777" w:rsidR="00EF1D5F" w:rsidRPr="00FE017B" w:rsidRDefault="00EF1D5F" w:rsidP="00FE017B">
      <w:pPr>
        <w:rPr>
          <w:rFonts w:eastAsia="Roboto" w:cs="Roboto"/>
          <w:highlight w:val="white"/>
        </w:rPr>
      </w:pPr>
    </w:p>
    <w:p w14:paraId="05713980" w14:textId="77777777" w:rsidR="00EF1D5F" w:rsidRPr="00FE017B" w:rsidRDefault="00EF1D5F" w:rsidP="00FE017B">
      <w:r w:rsidRPr="00FE017B">
        <w:rPr>
          <w:rFonts w:eastAsia="Roboto" w:cs="Roboto"/>
          <w:highlight w:val="white"/>
        </w:rPr>
        <w:t>De igual manera, se fomentarán estrategias articuladas con la ETB respecto de las necesidades de ampliación de la conectividad y la promoción de la transformación digital en el Distrito Capital, en todo caso teniendo en cuenta el entorno de competencia que rige los mercados de redes y servicios de telecomunicaciones en virtud de la Ley 1341 de 2009 y sus modificaciones. Todo lo anterior, hará parte integral de las estrategias y planes de conectividad social que se implementarán conforme a los mandatos del presente plan de desarrollo.</w:t>
      </w:r>
    </w:p>
    <w:p w14:paraId="63B78BF6" w14:textId="77777777" w:rsidR="00EF1D5F" w:rsidRPr="00FE017B" w:rsidRDefault="00EF1D5F" w:rsidP="00FE017B"/>
    <w:p w14:paraId="13813982" w14:textId="77777777" w:rsidR="00EF1D5F" w:rsidRPr="00FE017B" w:rsidRDefault="00EF1D5F" w:rsidP="00FE017B">
      <w:r w:rsidRPr="00FE017B">
        <w:t xml:space="preserve">Bogotá continuará con su proceso de transformación digital impulsando la implementación </w:t>
      </w:r>
      <w:r w:rsidRPr="00FE017B">
        <w:t>de los lineamientos de la política de Gobierno Digital; principalmente, en materia de usabilidad y accesibilidad, promoviendo la digitalización y automatización masiva de trámites, la compartición de recursos TIC y alianzas estratégicas entre entidades y el uso de tecnologías avanzadas para generar mayor eficiencia, productividad e innovación por parte de los diferentes actores del ecosistema digital. Así mismo, se adoptarán y promoverán nuevas tecnologías implementando soluciones basadas en la inteligencia artificial (IA) y la analítica de datos para mejorar la eficiencia, la interacción con los diferentes actores de la ciudad y la toma de decisiones; además, se habilitarán espacios para formar competencias y capacitar tanto a funcionarios y funcionarias como a ciudadanas y ciudadanos en el manejo de estas nuevas tecnologías.</w:t>
      </w:r>
    </w:p>
    <w:p w14:paraId="5F87DB3C" w14:textId="77777777" w:rsidR="00EF1D5F" w:rsidRPr="00FE017B" w:rsidRDefault="00EF1D5F" w:rsidP="00FE017B"/>
    <w:p w14:paraId="79F270AC" w14:textId="77777777" w:rsidR="00EF1D5F" w:rsidRPr="00FE017B" w:rsidRDefault="00EF1D5F" w:rsidP="00FE017B">
      <w:r w:rsidRPr="00FE017B">
        <w:t xml:space="preserve">Adicionalmente, se fortalecerán las capacidades de gestión de riesgos digitales de protección de datos personales y de aseguramiento de las infraestructuras críticas del Distrito Capital, a partir de la implementación del modelo de Gobernanza de Seguridad Digital y la creación del Equipo de Respuesta ante Emergencias Informáticas (CSIRT Distrital). </w:t>
      </w:r>
    </w:p>
    <w:p w14:paraId="64D97B8E" w14:textId="77777777" w:rsidR="00EF1D5F" w:rsidRPr="00FE017B" w:rsidRDefault="00EF1D5F" w:rsidP="00FE017B"/>
    <w:p w14:paraId="1C966A38" w14:textId="21DFD763" w:rsidR="00EF1D5F" w:rsidRPr="00FE017B" w:rsidRDefault="00EF1D5F" w:rsidP="00FE017B">
      <w:r w:rsidRPr="00FE017B">
        <w:t>Así mismo, se implementarán los componentes de la Infraestructura de Datos del Distrito y del modelo de gobernanza de datos, a fin de permitir a la Administración distrital articular, orientar, definir, monitorear y priorizar acciones para la generación, almacenamiento, intercambio, uso estratégico, aprovechamiento y medición de los datos producidos por las instituciones distritales y locales, y con otros actores particulares o privados.</w:t>
      </w:r>
    </w:p>
    <w:p w14:paraId="5175B35F" w14:textId="77777777" w:rsidR="00EF1D5F" w:rsidRDefault="00EF1D5F" w:rsidP="005D5A4A">
      <w:pPr>
        <w:spacing w:line="480" w:lineRule="auto"/>
        <w:rPr>
          <w:rFonts w:ascii="Times New Roman" w:hAnsi="Times New Roman"/>
          <w:sz w:val="24"/>
        </w:rPr>
        <w:sectPr w:rsidR="00EF1D5F" w:rsidSect="00F7078E">
          <w:type w:val="continuous"/>
          <w:pgSz w:w="12240" w:h="15840"/>
          <w:pgMar w:top="2262" w:right="1440" w:bottom="1440" w:left="1440" w:header="708" w:footer="680" w:gutter="0"/>
          <w:cols w:num="2" w:space="567"/>
          <w:docGrid w:linePitch="299"/>
        </w:sectPr>
      </w:pPr>
    </w:p>
    <w:p w14:paraId="2B6F12DD" w14:textId="77777777" w:rsidR="00EF1D5F" w:rsidRDefault="00EF1D5F" w:rsidP="0063274A">
      <w:pPr>
        <w:pStyle w:val="figuratitulo"/>
      </w:pPr>
    </w:p>
    <w:p w14:paraId="38CCDB38" w14:textId="77777777" w:rsidR="00C80534" w:rsidRDefault="00C80534" w:rsidP="0063274A">
      <w:pPr>
        <w:pStyle w:val="figuratitulo"/>
        <w:rPr>
          <w:b/>
          <w:bCs/>
        </w:rPr>
      </w:pPr>
    </w:p>
    <w:p w14:paraId="54A5F453" w14:textId="77777777" w:rsidR="00C80534" w:rsidRDefault="00C80534" w:rsidP="0063274A">
      <w:pPr>
        <w:pStyle w:val="figuratitulo"/>
        <w:rPr>
          <w:b/>
          <w:bCs/>
        </w:rPr>
      </w:pPr>
    </w:p>
    <w:p w14:paraId="4EE0C9DC" w14:textId="77777777" w:rsidR="008D1985" w:rsidRDefault="008D1985">
      <w:pPr>
        <w:spacing w:line="240" w:lineRule="auto"/>
        <w:jc w:val="left"/>
        <w:rPr>
          <w:rFonts w:eastAsiaTheme="minorHAnsi" w:cstheme="minorBidi"/>
          <w:b/>
          <w:bCs/>
          <w:color w:val="C00000"/>
          <w:sz w:val="18"/>
          <w:lang w:eastAsia="en-US"/>
        </w:rPr>
      </w:pPr>
      <w:r>
        <w:rPr>
          <w:b/>
          <w:bCs/>
        </w:rPr>
        <w:br w:type="page"/>
      </w:r>
    </w:p>
    <w:p w14:paraId="5F336979" w14:textId="7298C594" w:rsidR="00EF1D5F" w:rsidRPr="008D1985" w:rsidRDefault="008D1985" w:rsidP="008D1985">
      <w:pPr>
        <w:pStyle w:val="Descripcin"/>
        <w:jc w:val="center"/>
        <w:rPr>
          <w:sz w:val="18"/>
          <w:szCs w:val="14"/>
        </w:rPr>
      </w:pPr>
      <w:bookmarkStart w:id="441" w:name="_Toc165169968"/>
      <w:r w:rsidRPr="008D1985">
        <w:rPr>
          <w:color w:val="C00000"/>
          <w:sz w:val="18"/>
          <w:szCs w:val="14"/>
        </w:rPr>
        <w:lastRenderedPageBreak/>
        <w:t xml:space="preserve">Tabla </w:t>
      </w:r>
      <w:r w:rsidRPr="008D1985">
        <w:rPr>
          <w:color w:val="C00000"/>
          <w:sz w:val="18"/>
          <w:szCs w:val="14"/>
        </w:rPr>
        <w:fldChar w:fldCharType="begin"/>
      </w:r>
      <w:r w:rsidRPr="008D1985">
        <w:rPr>
          <w:color w:val="C00000"/>
          <w:sz w:val="18"/>
          <w:szCs w:val="14"/>
        </w:rPr>
        <w:instrText xml:space="preserve"> SEQ Tabla \* ARABIC </w:instrText>
      </w:r>
      <w:r w:rsidRPr="008D1985">
        <w:rPr>
          <w:color w:val="C00000"/>
          <w:sz w:val="18"/>
          <w:szCs w:val="14"/>
        </w:rPr>
        <w:fldChar w:fldCharType="separate"/>
      </w:r>
      <w:r w:rsidR="00D01651">
        <w:rPr>
          <w:noProof/>
          <w:color w:val="C00000"/>
          <w:sz w:val="18"/>
          <w:szCs w:val="14"/>
        </w:rPr>
        <w:t>58</w:t>
      </w:r>
      <w:r w:rsidRPr="008D1985">
        <w:rPr>
          <w:color w:val="C00000"/>
          <w:sz w:val="18"/>
          <w:szCs w:val="14"/>
        </w:rPr>
        <w:fldChar w:fldCharType="end"/>
      </w:r>
      <w:r w:rsidRPr="008D1985">
        <w:rPr>
          <w:color w:val="C00000"/>
          <w:sz w:val="18"/>
          <w:szCs w:val="14"/>
        </w:rPr>
        <w:t xml:space="preserve">. </w:t>
      </w:r>
      <w:r w:rsidR="00EF1D5F" w:rsidRPr="008D1985">
        <w:rPr>
          <w:color w:val="000000" w:themeColor="text1"/>
          <w:sz w:val="18"/>
          <w:szCs w:val="14"/>
        </w:rPr>
        <w:t>Metas del programa</w:t>
      </w:r>
      <w:r w:rsidRPr="008D1985">
        <w:rPr>
          <w:color w:val="000000" w:themeColor="text1"/>
          <w:sz w:val="18"/>
          <w:szCs w:val="14"/>
        </w:rPr>
        <w:t xml:space="preserve"> 35:</w:t>
      </w:r>
      <w:r w:rsidR="00EF1D5F" w:rsidRPr="008D1985">
        <w:rPr>
          <w:color w:val="000000" w:themeColor="text1"/>
          <w:sz w:val="18"/>
          <w:szCs w:val="14"/>
        </w:rPr>
        <w:t xml:space="preserve"> Bogotá ciudad inteligente</w:t>
      </w:r>
      <w:bookmarkEnd w:id="441"/>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348"/>
        <w:gridCol w:w="1410"/>
        <w:gridCol w:w="1363"/>
        <w:gridCol w:w="1397"/>
        <w:gridCol w:w="1412"/>
        <w:gridCol w:w="1430"/>
      </w:tblGrid>
      <w:tr w:rsidR="008D1985" w:rsidRPr="008D1985" w14:paraId="02CEDF9C" w14:textId="77777777" w:rsidTr="00AA4BBB">
        <w:trPr>
          <w:tblHeader/>
        </w:trPr>
        <w:tc>
          <w:tcPr>
            <w:tcW w:w="0" w:type="auto"/>
            <w:vMerge w:val="restart"/>
            <w:shd w:val="clear" w:color="auto" w:fill="C00000"/>
            <w:tcMar>
              <w:top w:w="30" w:type="dxa"/>
              <w:left w:w="45" w:type="dxa"/>
              <w:bottom w:w="30" w:type="dxa"/>
              <w:right w:w="45" w:type="dxa"/>
            </w:tcMar>
            <w:vAlign w:val="center"/>
            <w:hideMark/>
          </w:tcPr>
          <w:p w14:paraId="4E02DF4C" w14:textId="77777777" w:rsidR="008D1985" w:rsidRPr="00DA10C4" w:rsidRDefault="008D1985" w:rsidP="00AA4BBB">
            <w:pPr>
              <w:jc w:val="center"/>
              <w:rPr>
                <w:rFonts w:cs="Arial"/>
                <w:b/>
                <w:bCs/>
                <w:color w:val="FFFFFF"/>
                <w:sz w:val="18"/>
                <w:szCs w:val="18"/>
              </w:rPr>
            </w:pPr>
            <w:r w:rsidRPr="00DA10C4">
              <w:rPr>
                <w:rFonts w:cs="Arial"/>
                <w:b/>
                <w:bCs/>
                <w:color w:val="FFFFFF"/>
                <w:sz w:val="18"/>
                <w:szCs w:val="18"/>
              </w:rPr>
              <w:t>SECTOR / Metas</w:t>
            </w:r>
          </w:p>
        </w:tc>
        <w:tc>
          <w:tcPr>
            <w:tcW w:w="0" w:type="auto"/>
            <w:gridSpan w:val="5"/>
            <w:shd w:val="clear" w:color="auto" w:fill="C00000"/>
            <w:tcMar>
              <w:top w:w="30" w:type="dxa"/>
              <w:left w:w="45" w:type="dxa"/>
              <w:bottom w:w="30" w:type="dxa"/>
              <w:right w:w="45" w:type="dxa"/>
            </w:tcMar>
            <w:vAlign w:val="center"/>
            <w:hideMark/>
          </w:tcPr>
          <w:p w14:paraId="5F3D44F1" w14:textId="77777777" w:rsidR="008D1985" w:rsidRPr="008D1985" w:rsidRDefault="008D1985" w:rsidP="00AA4BBB">
            <w:pPr>
              <w:jc w:val="center"/>
              <w:rPr>
                <w:rFonts w:cs="Arial"/>
                <w:b/>
                <w:bCs/>
                <w:color w:val="FFFFFF"/>
                <w:sz w:val="20"/>
                <w:szCs w:val="20"/>
              </w:rPr>
            </w:pPr>
            <w:r w:rsidRPr="008D1985">
              <w:rPr>
                <w:rFonts w:cs="Arial"/>
                <w:b/>
                <w:bCs/>
                <w:color w:val="FFFFFF"/>
                <w:sz w:val="20"/>
                <w:szCs w:val="20"/>
              </w:rPr>
              <w:t xml:space="preserve">Magnitudes Inversión </w:t>
            </w:r>
          </w:p>
          <w:p w14:paraId="4C8AC5B0" w14:textId="77777777" w:rsidR="008D1985" w:rsidRPr="008D1985" w:rsidRDefault="008D1985" w:rsidP="00AA4BBB">
            <w:pPr>
              <w:jc w:val="center"/>
              <w:rPr>
                <w:rFonts w:cs="Arial"/>
                <w:b/>
                <w:bCs/>
                <w:color w:val="FFFFFF"/>
                <w:sz w:val="20"/>
                <w:szCs w:val="20"/>
              </w:rPr>
            </w:pPr>
            <w:r w:rsidRPr="008D1985">
              <w:rPr>
                <w:rFonts w:cs="Arial"/>
                <w:b/>
                <w:bCs/>
                <w:color w:val="FFFFFF"/>
                <w:sz w:val="20"/>
                <w:szCs w:val="20"/>
              </w:rPr>
              <w:t>(Precios Constantes 2024)</w:t>
            </w:r>
          </w:p>
        </w:tc>
      </w:tr>
      <w:tr w:rsidR="008D1985" w:rsidRPr="008D1985" w14:paraId="1DE247A3" w14:textId="77777777" w:rsidTr="00AA4BBB">
        <w:trPr>
          <w:trHeight w:val="641"/>
          <w:tblHeader/>
        </w:trPr>
        <w:tc>
          <w:tcPr>
            <w:tcW w:w="0" w:type="auto"/>
            <w:vMerge/>
            <w:vAlign w:val="center"/>
            <w:hideMark/>
          </w:tcPr>
          <w:p w14:paraId="55652203" w14:textId="77777777" w:rsidR="008D1985" w:rsidRPr="00DA10C4" w:rsidRDefault="008D1985" w:rsidP="00AA4BBB">
            <w:pPr>
              <w:rPr>
                <w:rFonts w:cs="Arial"/>
                <w:b/>
                <w:bCs/>
                <w:color w:val="FFFFFF"/>
                <w:sz w:val="18"/>
                <w:szCs w:val="18"/>
              </w:rPr>
            </w:pPr>
          </w:p>
        </w:tc>
        <w:tc>
          <w:tcPr>
            <w:tcW w:w="0" w:type="auto"/>
            <w:shd w:val="clear" w:color="auto" w:fill="D9D9D9"/>
            <w:tcMar>
              <w:top w:w="30" w:type="dxa"/>
              <w:left w:w="45" w:type="dxa"/>
              <w:bottom w:w="30" w:type="dxa"/>
              <w:right w:w="45" w:type="dxa"/>
            </w:tcMar>
            <w:vAlign w:val="center"/>
            <w:hideMark/>
          </w:tcPr>
          <w:p w14:paraId="23D6ABBB" w14:textId="77777777" w:rsidR="008D1985" w:rsidRPr="008D1985" w:rsidRDefault="008D1985" w:rsidP="00AA4BBB">
            <w:pPr>
              <w:jc w:val="center"/>
              <w:rPr>
                <w:rFonts w:cs="Arial"/>
                <w:b/>
                <w:bCs/>
                <w:sz w:val="20"/>
                <w:szCs w:val="20"/>
              </w:rPr>
            </w:pPr>
            <w:r w:rsidRPr="008D1985">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7D86D8DB" w14:textId="77777777" w:rsidR="008D1985" w:rsidRPr="008D1985" w:rsidRDefault="008D1985" w:rsidP="00AA4BBB">
            <w:pPr>
              <w:jc w:val="center"/>
              <w:rPr>
                <w:rFonts w:cs="Arial"/>
                <w:b/>
                <w:bCs/>
                <w:sz w:val="20"/>
                <w:szCs w:val="20"/>
              </w:rPr>
            </w:pPr>
            <w:r w:rsidRPr="008D1985">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393A450B" w14:textId="77777777" w:rsidR="008D1985" w:rsidRPr="008D1985" w:rsidRDefault="008D1985" w:rsidP="00AA4BBB">
            <w:pPr>
              <w:jc w:val="center"/>
              <w:rPr>
                <w:rFonts w:cs="Arial"/>
                <w:b/>
                <w:bCs/>
                <w:sz w:val="20"/>
                <w:szCs w:val="20"/>
              </w:rPr>
            </w:pPr>
            <w:r w:rsidRPr="008D1985">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0B7777AA" w14:textId="77777777" w:rsidR="008D1985" w:rsidRPr="008D1985" w:rsidRDefault="008D1985" w:rsidP="00AA4BBB">
            <w:pPr>
              <w:jc w:val="center"/>
              <w:rPr>
                <w:rFonts w:cs="Arial"/>
                <w:b/>
                <w:bCs/>
                <w:sz w:val="20"/>
                <w:szCs w:val="20"/>
              </w:rPr>
            </w:pPr>
            <w:r w:rsidRPr="008D1985">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01365EDF" w14:textId="77777777" w:rsidR="008D1985" w:rsidRPr="008D1985" w:rsidRDefault="008D1985" w:rsidP="00AA4BBB">
            <w:pPr>
              <w:jc w:val="center"/>
              <w:rPr>
                <w:rFonts w:cs="Arial"/>
                <w:b/>
                <w:bCs/>
                <w:sz w:val="20"/>
                <w:szCs w:val="20"/>
              </w:rPr>
            </w:pPr>
            <w:r w:rsidRPr="008D1985">
              <w:rPr>
                <w:rFonts w:cs="Arial"/>
                <w:b/>
                <w:bCs/>
                <w:sz w:val="20"/>
                <w:szCs w:val="20"/>
              </w:rPr>
              <w:t>Total Inversión</w:t>
            </w:r>
          </w:p>
        </w:tc>
      </w:tr>
      <w:tr w:rsidR="008D1985" w:rsidRPr="008D1985" w14:paraId="7ADD06ED" w14:textId="77777777" w:rsidTr="00AA4BBB">
        <w:tc>
          <w:tcPr>
            <w:tcW w:w="0" w:type="auto"/>
            <w:gridSpan w:val="6"/>
            <w:shd w:val="clear" w:color="auto" w:fill="C00000"/>
            <w:tcMar>
              <w:top w:w="30" w:type="dxa"/>
              <w:left w:w="45" w:type="dxa"/>
              <w:bottom w:w="30" w:type="dxa"/>
              <w:right w:w="45" w:type="dxa"/>
            </w:tcMar>
            <w:vAlign w:val="center"/>
            <w:hideMark/>
          </w:tcPr>
          <w:p w14:paraId="0CE2FBA8" w14:textId="77777777" w:rsidR="008D1985" w:rsidRPr="00DA10C4" w:rsidRDefault="008D1985" w:rsidP="00AA4BBB">
            <w:pPr>
              <w:jc w:val="center"/>
              <w:rPr>
                <w:rFonts w:cs="Arial"/>
                <w:b/>
                <w:bCs/>
                <w:color w:val="FFFFFF" w:themeColor="background1"/>
                <w:sz w:val="18"/>
                <w:szCs w:val="18"/>
              </w:rPr>
            </w:pPr>
            <w:r w:rsidRPr="00DA10C4">
              <w:rPr>
                <w:rFonts w:cs="Arial"/>
                <w:b/>
                <w:bCs/>
                <w:color w:val="FFFFFF" w:themeColor="background1"/>
                <w:sz w:val="18"/>
                <w:szCs w:val="18"/>
              </w:rPr>
              <w:t>Desarrollo Económico</w:t>
            </w:r>
          </w:p>
        </w:tc>
      </w:tr>
      <w:tr w:rsidR="008D1985" w:rsidRPr="008D1985" w14:paraId="0A8BE64C" w14:textId="77777777" w:rsidTr="00AA4BBB">
        <w:tc>
          <w:tcPr>
            <w:tcW w:w="0" w:type="auto"/>
            <w:vMerge w:val="restart"/>
            <w:tcMar>
              <w:top w:w="30" w:type="dxa"/>
              <w:left w:w="45" w:type="dxa"/>
              <w:bottom w:w="30" w:type="dxa"/>
              <w:right w:w="45" w:type="dxa"/>
            </w:tcMar>
            <w:vAlign w:val="center"/>
            <w:hideMark/>
          </w:tcPr>
          <w:p w14:paraId="0C5F9EB6" w14:textId="77777777" w:rsidR="008D1985" w:rsidRPr="00DA10C4" w:rsidRDefault="008D1985" w:rsidP="00AA4BBB">
            <w:pPr>
              <w:rPr>
                <w:rFonts w:cs="Arial"/>
                <w:sz w:val="18"/>
                <w:szCs w:val="18"/>
              </w:rPr>
            </w:pPr>
            <w:r w:rsidRPr="00DA10C4">
              <w:rPr>
                <w:rFonts w:cs="Arial"/>
                <w:sz w:val="18"/>
                <w:szCs w:val="18"/>
              </w:rPr>
              <w:t>Implementar el 100% del modelo de gestión de la información del sector de desarrollo económico que permita realizar análisis para la toma de decisiones estratégicas</w:t>
            </w:r>
          </w:p>
        </w:tc>
        <w:tc>
          <w:tcPr>
            <w:tcW w:w="0" w:type="auto"/>
            <w:tcMar>
              <w:top w:w="30" w:type="dxa"/>
              <w:left w:w="45" w:type="dxa"/>
              <w:bottom w:w="30" w:type="dxa"/>
              <w:right w:w="45" w:type="dxa"/>
            </w:tcMar>
            <w:vAlign w:val="center"/>
            <w:hideMark/>
          </w:tcPr>
          <w:p w14:paraId="4B585780" w14:textId="77777777" w:rsidR="008D1985" w:rsidRPr="008D1985" w:rsidRDefault="008D1985" w:rsidP="00AA4BBB">
            <w:pPr>
              <w:jc w:val="center"/>
              <w:rPr>
                <w:rFonts w:cs="Arial"/>
                <w:sz w:val="20"/>
                <w:szCs w:val="20"/>
              </w:rPr>
            </w:pPr>
            <w:r w:rsidRPr="008D1985">
              <w:rPr>
                <w:rFonts w:cs="Arial"/>
                <w:sz w:val="20"/>
                <w:szCs w:val="20"/>
              </w:rPr>
              <w:t>16,40%</w:t>
            </w:r>
          </w:p>
        </w:tc>
        <w:tc>
          <w:tcPr>
            <w:tcW w:w="0" w:type="auto"/>
            <w:tcMar>
              <w:top w:w="30" w:type="dxa"/>
              <w:left w:w="45" w:type="dxa"/>
              <w:bottom w:w="30" w:type="dxa"/>
              <w:right w:w="45" w:type="dxa"/>
            </w:tcMar>
            <w:vAlign w:val="center"/>
            <w:hideMark/>
          </w:tcPr>
          <w:p w14:paraId="1721A9DC" w14:textId="77777777" w:rsidR="008D1985" w:rsidRPr="008D1985" w:rsidRDefault="008D1985" w:rsidP="00AA4BBB">
            <w:pPr>
              <w:jc w:val="center"/>
              <w:rPr>
                <w:rFonts w:cs="Arial"/>
                <w:sz w:val="20"/>
                <w:szCs w:val="20"/>
              </w:rPr>
            </w:pPr>
            <w:r w:rsidRPr="008D1985">
              <w:rPr>
                <w:rFonts w:cs="Arial"/>
                <w:sz w:val="20"/>
                <w:szCs w:val="20"/>
              </w:rPr>
              <w:t>29,80%</w:t>
            </w:r>
          </w:p>
        </w:tc>
        <w:tc>
          <w:tcPr>
            <w:tcW w:w="0" w:type="auto"/>
            <w:tcMar>
              <w:top w:w="30" w:type="dxa"/>
              <w:left w:w="45" w:type="dxa"/>
              <w:bottom w:w="30" w:type="dxa"/>
              <w:right w:w="45" w:type="dxa"/>
            </w:tcMar>
            <w:vAlign w:val="center"/>
            <w:hideMark/>
          </w:tcPr>
          <w:p w14:paraId="017E2708" w14:textId="77777777" w:rsidR="008D1985" w:rsidRPr="008D1985" w:rsidRDefault="008D1985" w:rsidP="00AA4BBB">
            <w:pPr>
              <w:jc w:val="center"/>
              <w:rPr>
                <w:rFonts w:cs="Arial"/>
                <w:sz w:val="20"/>
                <w:szCs w:val="20"/>
              </w:rPr>
            </w:pPr>
            <w:r w:rsidRPr="008D1985">
              <w:rPr>
                <w:rFonts w:cs="Arial"/>
                <w:sz w:val="20"/>
                <w:szCs w:val="20"/>
              </w:rPr>
              <w:t>26,90%</w:t>
            </w:r>
          </w:p>
        </w:tc>
        <w:tc>
          <w:tcPr>
            <w:tcW w:w="0" w:type="auto"/>
            <w:tcMar>
              <w:top w:w="30" w:type="dxa"/>
              <w:left w:w="45" w:type="dxa"/>
              <w:bottom w:w="30" w:type="dxa"/>
              <w:right w:w="45" w:type="dxa"/>
            </w:tcMar>
            <w:vAlign w:val="center"/>
            <w:hideMark/>
          </w:tcPr>
          <w:p w14:paraId="5FAC03AB" w14:textId="77777777" w:rsidR="008D1985" w:rsidRPr="008D1985" w:rsidRDefault="008D1985" w:rsidP="00AA4BBB">
            <w:pPr>
              <w:jc w:val="center"/>
              <w:rPr>
                <w:rFonts w:cs="Arial"/>
                <w:sz w:val="20"/>
                <w:szCs w:val="20"/>
              </w:rPr>
            </w:pPr>
            <w:r w:rsidRPr="008D1985">
              <w:rPr>
                <w:rFonts w:cs="Arial"/>
                <w:sz w:val="20"/>
                <w:szCs w:val="20"/>
              </w:rPr>
              <w:t>26,90%</w:t>
            </w:r>
          </w:p>
        </w:tc>
        <w:tc>
          <w:tcPr>
            <w:tcW w:w="0" w:type="auto"/>
            <w:vMerge w:val="restart"/>
            <w:tcMar>
              <w:top w:w="30" w:type="dxa"/>
              <w:left w:w="45" w:type="dxa"/>
              <w:bottom w:w="30" w:type="dxa"/>
              <w:right w:w="45" w:type="dxa"/>
            </w:tcMar>
            <w:vAlign w:val="center"/>
            <w:hideMark/>
          </w:tcPr>
          <w:p w14:paraId="6515A5F0" w14:textId="77777777" w:rsidR="008D1985" w:rsidRPr="008D1985" w:rsidRDefault="008D1985" w:rsidP="00AA4BBB">
            <w:pPr>
              <w:jc w:val="center"/>
              <w:rPr>
                <w:rFonts w:cs="Arial"/>
                <w:b/>
                <w:bCs/>
                <w:sz w:val="20"/>
                <w:szCs w:val="20"/>
              </w:rPr>
            </w:pPr>
            <w:r w:rsidRPr="008D1985">
              <w:rPr>
                <w:rFonts w:cs="Arial"/>
                <w:b/>
                <w:bCs/>
                <w:sz w:val="20"/>
                <w:szCs w:val="20"/>
              </w:rPr>
              <w:t>44.983.189.780</w:t>
            </w:r>
          </w:p>
        </w:tc>
      </w:tr>
      <w:tr w:rsidR="008D1985" w:rsidRPr="008D1985" w14:paraId="646FEF80" w14:textId="77777777" w:rsidTr="00AA4BBB">
        <w:tc>
          <w:tcPr>
            <w:tcW w:w="0" w:type="auto"/>
            <w:vMerge/>
            <w:vAlign w:val="center"/>
            <w:hideMark/>
          </w:tcPr>
          <w:p w14:paraId="340E999F"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2F284274" w14:textId="77777777" w:rsidR="008D1985" w:rsidRPr="008D1985" w:rsidRDefault="008D1985" w:rsidP="00AA4BBB">
            <w:pPr>
              <w:jc w:val="center"/>
              <w:rPr>
                <w:rFonts w:cs="Arial"/>
                <w:sz w:val="20"/>
                <w:szCs w:val="20"/>
              </w:rPr>
            </w:pPr>
            <w:r w:rsidRPr="008D1985">
              <w:rPr>
                <w:rFonts w:cs="Arial"/>
                <w:sz w:val="20"/>
                <w:szCs w:val="20"/>
              </w:rPr>
              <w:t>9.095.464.000</w:t>
            </w:r>
          </w:p>
        </w:tc>
        <w:tc>
          <w:tcPr>
            <w:tcW w:w="0" w:type="auto"/>
            <w:tcMar>
              <w:top w:w="30" w:type="dxa"/>
              <w:left w:w="45" w:type="dxa"/>
              <w:bottom w:w="30" w:type="dxa"/>
              <w:right w:w="45" w:type="dxa"/>
            </w:tcMar>
            <w:vAlign w:val="center"/>
            <w:hideMark/>
          </w:tcPr>
          <w:p w14:paraId="368A1FE0" w14:textId="77777777" w:rsidR="008D1985" w:rsidRPr="008D1985" w:rsidRDefault="008D1985" w:rsidP="00AA4BBB">
            <w:pPr>
              <w:jc w:val="center"/>
              <w:rPr>
                <w:rFonts w:cs="Arial"/>
                <w:sz w:val="20"/>
                <w:szCs w:val="20"/>
              </w:rPr>
            </w:pPr>
            <w:r w:rsidRPr="008D1985">
              <w:rPr>
                <w:rFonts w:cs="Arial"/>
                <w:sz w:val="20"/>
                <w:szCs w:val="20"/>
              </w:rPr>
              <w:t>12.524.543.063</w:t>
            </w:r>
          </w:p>
        </w:tc>
        <w:tc>
          <w:tcPr>
            <w:tcW w:w="0" w:type="auto"/>
            <w:tcMar>
              <w:top w:w="30" w:type="dxa"/>
              <w:left w:w="45" w:type="dxa"/>
              <w:bottom w:w="30" w:type="dxa"/>
              <w:right w:w="45" w:type="dxa"/>
            </w:tcMar>
            <w:vAlign w:val="center"/>
            <w:hideMark/>
          </w:tcPr>
          <w:p w14:paraId="6BF5B601" w14:textId="77777777" w:rsidR="008D1985" w:rsidRPr="008D1985" w:rsidRDefault="008D1985" w:rsidP="00AA4BBB">
            <w:pPr>
              <w:jc w:val="center"/>
              <w:rPr>
                <w:rFonts w:cs="Arial"/>
                <w:sz w:val="20"/>
                <w:szCs w:val="20"/>
              </w:rPr>
            </w:pPr>
            <w:r w:rsidRPr="008D1985">
              <w:rPr>
                <w:rFonts w:cs="Arial"/>
                <w:sz w:val="20"/>
                <w:szCs w:val="20"/>
              </w:rPr>
              <w:t>11.583.369.968</w:t>
            </w:r>
          </w:p>
        </w:tc>
        <w:tc>
          <w:tcPr>
            <w:tcW w:w="0" w:type="auto"/>
            <w:tcMar>
              <w:top w:w="30" w:type="dxa"/>
              <w:left w:w="45" w:type="dxa"/>
              <w:bottom w:w="30" w:type="dxa"/>
              <w:right w:w="45" w:type="dxa"/>
            </w:tcMar>
            <w:vAlign w:val="center"/>
            <w:hideMark/>
          </w:tcPr>
          <w:p w14:paraId="4C543834" w14:textId="77777777" w:rsidR="008D1985" w:rsidRPr="008D1985" w:rsidRDefault="008D1985" w:rsidP="00AA4BBB">
            <w:pPr>
              <w:jc w:val="center"/>
              <w:rPr>
                <w:rFonts w:cs="Arial"/>
                <w:sz w:val="20"/>
                <w:szCs w:val="20"/>
              </w:rPr>
            </w:pPr>
            <w:r w:rsidRPr="008D1985">
              <w:rPr>
                <w:rFonts w:cs="Arial"/>
                <w:sz w:val="20"/>
                <w:szCs w:val="20"/>
              </w:rPr>
              <w:t>11.779.812.749</w:t>
            </w:r>
          </w:p>
        </w:tc>
        <w:tc>
          <w:tcPr>
            <w:tcW w:w="0" w:type="auto"/>
            <w:vMerge/>
            <w:vAlign w:val="center"/>
            <w:hideMark/>
          </w:tcPr>
          <w:p w14:paraId="55FCF5D6" w14:textId="77777777" w:rsidR="008D1985" w:rsidRPr="008D1985" w:rsidRDefault="008D1985" w:rsidP="00AA4BBB">
            <w:pPr>
              <w:rPr>
                <w:rFonts w:cs="Arial"/>
                <w:b/>
                <w:bCs/>
                <w:sz w:val="20"/>
                <w:szCs w:val="20"/>
              </w:rPr>
            </w:pPr>
          </w:p>
        </w:tc>
      </w:tr>
      <w:tr w:rsidR="008D1985" w:rsidRPr="008D1985" w14:paraId="0C44709A" w14:textId="77777777" w:rsidTr="00AA4BBB">
        <w:tc>
          <w:tcPr>
            <w:tcW w:w="0" w:type="auto"/>
            <w:gridSpan w:val="6"/>
            <w:shd w:val="clear" w:color="auto" w:fill="C00000"/>
            <w:tcMar>
              <w:top w:w="30" w:type="dxa"/>
              <w:left w:w="45" w:type="dxa"/>
              <w:bottom w:w="30" w:type="dxa"/>
              <w:right w:w="45" w:type="dxa"/>
            </w:tcMar>
            <w:vAlign w:val="center"/>
            <w:hideMark/>
          </w:tcPr>
          <w:p w14:paraId="3543FCC2" w14:textId="77777777" w:rsidR="008D1985" w:rsidRPr="00DA10C4" w:rsidRDefault="008D1985" w:rsidP="00AA4BBB">
            <w:pPr>
              <w:jc w:val="center"/>
              <w:rPr>
                <w:rFonts w:cs="Arial"/>
                <w:b/>
                <w:bCs/>
                <w:sz w:val="18"/>
                <w:szCs w:val="18"/>
              </w:rPr>
            </w:pPr>
            <w:r w:rsidRPr="00DA10C4">
              <w:rPr>
                <w:rFonts w:cs="Arial"/>
                <w:b/>
                <w:bCs/>
                <w:color w:val="FFFFFF" w:themeColor="background1"/>
                <w:sz w:val="18"/>
                <w:szCs w:val="18"/>
              </w:rPr>
              <w:t>Gestión Jurídica</w:t>
            </w:r>
          </w:p>
        </w:tc>
      </w:tr>
      <w:tr w:rsidR="008D1985" w:rsidRPr="008D1985" w14:paraId="6E2CC82C" w14:textId="77777777" w:rsidTr="00AA4BBB">
        <w:tc>
          <w:tcPr>
            <w:tcW w:w="0" w:type="auto"/>
            <w:vMerge w:val="restart"/>
            <w:tcMar>
              <w:top w:w="30" w:type="dxa"/>
              <w:left w:w="45" w:type="dxa"/>
              <w:bottom w:w="30" w:type="dxa"/>
              <w:right w:w="45" w:type="dxa"/>
            </w:tcMar>
            <w:vAlign w:val="center"/>
            <w:hideMark/>
          </w:tcPr>
          <w:p w14:paraId="38A07A6B" w14:textId="77777777" w:rsidR="008D1985" w:rsidRPr="00DA10C4" w:rsidRDefault="008D1985" w:rsidP="00AA4BBB">
            <w:pPr>
              <w:rPr>
                <w:rFonts w:cs="Arial"/>
                <w:sz w:val="18"/>
                <w:szCs w:val="18"/>
              </w:rPr>
            </w:pPr>
            <w:r w:rsidRPr="00DA10C4">
              <w:rPr>
                <w:rFonts w:cs="Arial"/>
                <w:sz w:val="18"/>
                <w:szCs w:val="18"/>
              </w:rPr>
              <w:t>Ejecutar un plan para el mantenimiento y optimización de los sistemas de información a cargo de la Secretaría Jurídica Distrital</w:t>
            </w:r>
          </w:p>
        </w:tc>
        <w:tc>
          <w:tcPr>
            <w:tcW w:w="0" w:type="auto"/>
            <w:tcMar>
              <w:top w:w="30" w:type="dxa"/>
              <w:left w:w="45" w:type="dxa"/>
              <w:bottom w:w="30" w:type="dxa"/>
              <w:right w:w="45" w:type="dxa"/>
            </w:tcMar>
            <w:vAlign w:val="center"/>
            <w:hideMark/>
          </w:tcPr>
          <w:p w14:paraId="7F8536BB" w14:textId="77777777" w:rsidR="008D1985" w:rsidRPr="008D1985" w:rsidRDefault="008D1985" w:rsidP="00AA4BBB">
            <w:pPr>
              <w:jc w:val="center"/>
              <w:rPr>
                <w:rFonts w:cs="Arial"/>
                <w:sz w:val="20"/>
                <w:szCs w:val="20"/>
              </w:rPr>
            </w:pPr>
            <w:r w:rsidRPr="008D1985">
              <w:rPr>
                <w:rFonts w:cs="Arial"/>
                <w:sz w:val="20"/>
                <w:szCs w:val="20"/>
              </w:rPr>
              <w:t>0,15</w:t>
            </w:r>
          </w:p>
        </w:tc>
        <w:tc>
          <w:tcPr>
            <w:tcW w:w="0" w:type="auto"/>
            <w:tcMar>
              <w:top w:w="30" w:type="dxa"/>
              <w:left w:w="45" w:type="dxa"/>
              <w:bottom w:w="30" w:type="dxa"/>
              <w:right w:w="45" w:type="dxa"/>
            </w:tcMar>
            <w:vAlign w:val="center"/>
            <w:hideMark/>
          </w:tcPr>
          <w:p w14:paraId="3491984C" w14:textId="77777777" w:rsidR="008D1985" w:rsidRPr="008D1985" w:rsidRDefault="008D1985" w:rsidP="00AA4BBB">
            <w:pPr>
              <w:jc w:val="center"/>
              <w:rPr>
                <w:rFonts w:cs="Arial"/>
                <w:sz w:val="20"/>
                <w:szCs w:val="20"/>
              </w:rPr>
            </w:pPr>
            <w:r w:rsidRPr="008D1985">
              <w:rPr>
                <w:rFonts w:cs="Arial"/>
                <w:sz w:val="20"/>
                <w:szCs w:val="20"/>
              </w:rPr>
              <w:t>0,30</w:t>
            </w:r>
          </w:p>
        </w:tc>
        <w:tc>
          <w:tcPr>
            <w:tcW w:w="0" w:type="auto"/>
            <w:tcMar>
              <w:top w:w="30" w:type="dxa"/>
              <w:left w:w="45" w:type="dxa"/>
              <w:bottom w:w="30" w:type="dxa"/>
              <w:right w:w="45" w:type="dxa"/>
            </w:tcMar>
            <w:vAlign w:val="center"/>
            <w:hideMark/>
          </w:tcPr>
          <w:p w14:paraId="508C78E5" w14:textId="77777777" w:rsidR="008D1985" w:rsidRPr="008D1985" w:rsidRDefault="008D1985" w:rsidP="00AA4BBB">
            <w:pPr>
              <w:jc w:val="center"/>
              <w:rPr>
                <w:rFonts w:cs="Arial"/>
                <w:sz w:val="20"/>
                <w:szCs w:val="20"/>
              </w:rPr>
            </w:pPr>
            <w:r w:rsidRPr="008D1985">
              <w:rPr>
                <w:rFonts w:cs="Arial"/>
                <w:sz w:val="20"/>
                <w:szCs w:val="20"/>
              </w:rPr>
              <w:t>0,30</w:t>
            </w:r>
          </w:p>
        </w:tc>
        <w:tc>
          <w:tcPr>
            <w:tcW w:w="0" w:type="auto"/>
            <w:tcMar>
              <w:top w:w="30" w:type="dxa"/>
              <w:left w:w="45" w:type="dxa"/>
              <w:bottom w:w="30" w:type="dxa"/>
              <w:right w:w="45" w:type="dxa"/>
            </w:tcMar>
            <w:vAlign w:val="center"/>
            <w:hideMark/>
          </w:tcPr>
          <w:p w14:paraId="3806C880" w14:textId="77777777" w:rsidR="008D1985" w:rsidRPr="008D1985" w:rsidRDefault="008D1985" w:rsidP="00AA4BBB">
            <w:pPr>
              <w:jc w:val="center"/>
              <w:rPr>
                <w:rFonts w:cs="Arial"/>
                <w:sz w:val="20"/>
                <w:szCs w:val="20"/>
              </w:rPr>
            </w:pPr>
            <w:r w:rsidRPr="008D1985">
              <w:rPr>
                <w:rFonts w:cs="Arial"/>
                <w:sz w:val="20"/>
                <w:szCs w:val="20"/>
              </w:rPr>
              <w:t>0,25</w:t>
            </w:r>
          </w:p>
        </w:tc>
        <w:tc>
          <w:tcPr>
            <w:tcW w:w="0" w:type="auto"/>
            <w:vMerge w:val="restart"/>
            <w:tcMar>
              <w:top w:w="30" w:type="dxa"/>
              <w:left w:w="45" w:type="dxa"/>
              <w:bottom w:w="30" w:type="dxa"/>
              <w:right w:w="45" w:type="dxa"/>
            </w:tcMar>
            <w:vAlign w:val="center"/>
            <w:hideMark/>
          </w:tcPr>
          <w:p w14:paraId="7746B222" w14:textId="77777777" w:rsidR="008D1985" w:rsidRPr="008D1985" w:rsidRDefault="008D1985" w:rsidP="00AA4BBB">
            <w:pPr>
              <w:jc w:val="center"/>
              <w:rPr>
                <w:rFonts w:cs="Arial"/>
                <w:b/>
                <w:bCs/>
                <w:sz w:val="20"/>
                <w:szCs w:val="20"/>
              </w:rPr>
            </w:pPr>
            <w:r w:rsidRPr="008D1985">
              <w:rPr>
                <w:rFonts w:cs="Arial"/>
                <w:b/>
                <w:bCs/>
                <w:sz w:val="20"/>
                <w:szCs w:val="20"/>
              </w:rPr>
              <w:t>14.198.610.940</w:t>
            </w:r>
          </w:p>
        </w:tc>
      </w:tr>
      <w:tr w:rsidR="008D1985" w:rsidRPr="008D1985" w14:paraId="74CD6180" w14:textId="77777777" w:rsidTr="00AA4BBB">
        <w:tc>
          <w:tcPr>
            <w:tcW w:w="0" w:type="auto"/>
            <w:vMerge/>
            <w:vAlign w:val="center"/>
            <w:hideMark/>
          </w:tcPr>
          <w:p w14:paraId="470829B5"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1F34E9FC" w14:textId="77777777" w:rsidR="008D1985" w:rsidRPr="008D1985" w:rsidRDefault="008D1985" w:rsidP="00AA4BBB">
            <w:pPr>
              <w:jc w:val="center"/>
              <w:rPr>
                <w:rFonts w:cs="Arial"/>
                <w:sz w:val="20"/>
                <w:szCs w:val="20"/>
              </w:rPr>
            </w:pPr>
            <w:r w:rsidRPr="008D1985">
              <w:rPr>
                <w:rFonts w:cs="Arial"/>
                <w:sz w:val="20"/>
                <w:szCs w:val="20"/>
              </w:rPr>
              <w:t>3.031.000.000</w:t>
            </w:r>
          </w:p>
        </w:tc>
        <w:tc>
          <w:tcPr>
            <w:tcW w:w="0" w:type="auto"/>
            <w:tcMar>
              <w:top w:w="30" w:type="dxa"/>
              <w:left w:w="45" w:type="dxa"/>
              <w:bottom w:w="30" w:type="dxa"/>
              <w:right w:w="45" w:type="dxa"/>
            </w:tcMar>
            <w:vAlign w:val="center"/>
            <w:hideMark/>
          </w:tcPr>
          <w:p w14:paraId="4C012B3C" w14:textId="77777777" w:rsidR="008D1985" w:rsidRPr="008D1985" w:rsidRDefault="008D1985" w:rsidP="00AA4BBB">
            <w:pPr>
              <w:jc w:val="center"/>
              <w:rPr>
                <w:rFonts w:cs="Arial"/>
                <w:sz w:val="20"/>
                <w:szCs w:val="20"/>
              </w:rPr>
            </w:pPr>
            <w:r w:rsidRPr="008D1985">
              <w:rPr>
                <w:rFonts w:cs="Arial"/>
                <w:sz w:val="20"/>
                <w:szCs w:val="20"/>
              </w:rPr>
              <w:t>3.398.058.252</w:t>
            </w:r>
          </w:p>
        </w:tc>
        <w:tc>
          <w:tcPr>
            <w:tcW w:w="0" w:type="auto"/>
            <w:tcMar>
              <w:top w:w="30" w:type="dxa"/>
              <w:left w:w="45" w:type="dxa"/>
              <w:bottom w:w="30" w:type="dxa"/>
              <w:right w:w="45" w:type="dxa"/>
            </w:tcMar>
            <w:vAlign w:val="center"/>
            <w:hideMark/>
          </w:tcPr>
          <w:p w14:paraId="63E46999" w14:textId="77777777" w:rsidR="008D1985" w:rsidRPr="008D1985" w:rsidRDefault="008D1985" w:rsidP="00AA4BBB">
            <w:pPr>
              <w:jc w:val="center"/>
              <w:rPr>
                <w:rFonts w:cs="Arial"/>
                <w:sz w:val="20"/>
                <w:szCs w:val="20"/>
              </w:rPr>
            </w:pPr>
            <w:r w:rsidRPr="008D1985">
              <w:rPr>
                <w:rFonts w:cs="Arial"/>
                <w:sz w:val="20"/>
                <w:szCs w:val="20"/>
              </w:rPr>
              <w:t>3.864.643.227</w:t>
            </w:r>
          </w:p>
        </w:tc>
        <w:tc>
          <w:tcPr>
            <w:tcW w:w="0" w:type="auto"/>
            <w:tcMar>
              <w:top w:w="30" w:type="dxa"/>
              <w:left w:w="45" w:type="dxa"/>
              <w:bottom w:w="30" w:type="dxa"/>
              <w:right w:w="45" w:type="dxa"/>
            </w:tcMar>
            <w:vAlign w:val="center"/>
            <w:hideMark/>
          </w:tcPr>
          <w:p w14:paraId="4CB3F364" w14:textId="77777777" w:rsidR="008D1985" w:rsidRPr="008D1985" w:rsidRDefault="008D1985" w:rsidP="00AA4BBB">
            <w:pPr>
              <w:jc w:val="center"/>
              <w:rPr>
                <w:rFonts w:cs="Arial"/>
                <w:sz w:val="20"/>
                <w:szCs w:val="20"/>
              </w:rPr>
            </w:pPr>
            <w:r w:rsidRPr="008D1985">
              <w:rPr>
                <w:rFonts w:cs="Arial"/>
                <w:sz w:val="20"/>
                <w:szCs w:val="20"/>
              </w:rPr>
              <w:t>3.904.909.460</w:t>
            </w:r>
          </w:p>
        </w:tc>
        <w:tc>
          <w:tcPr>
            <w:tcW w:w="0" w:type="auto"/>
            <w:vMerge/>
            <w:vAlign w:val="center"/>
            <w:hideMark/>
          </w:tcPr>
          <w:p w14:paraId="2E8D10E1" w14:textId="77777777" w:rsidR="008D1985" w:rsidRPr="008D1985" w:rsidRDefault="008D1985" w:rsidP="00AA4BBB">
            <w:pPr>
              <w:rPr>
                <w:rFonts w:cs="Arial"/>
                <w:b/>
                <w:bCs/>
                <w:sz w:val="20"/>
                <w:szCs w:val="20"/>
              </w:rPr>
            </w:pPr>
          </w:p>
        </w:tc>
      </w:tr>
      <w:tr w:rsidR="008D1985" w:rsidRPr="008D1985" w14:paraId="6F460442" w14:textId="77777777" w:rsidTr="00AA4BBB">
        <w:tc>
          <w:tcPr>
            <w:tcW w:w="0" w:type="auto"/>
            <w:gridSpan w:val="6"/>
            <w:shd w:val="clear" w:color="auto" w:fill="C00000"/>
            <w:tcMar>
              <w:top w:w="30" w:type="dxa"/>
              <w:left w:w="45" w:type="dxa"/>
              <w:bottom w:w="30" w:type="dxa"/>
              <w:right w:w="45" w:type="dxa"/>
            </w:tcMar>
            <w:vAlign w:val="center"/>
            <w:hideMark/>
          </w:tcPr>
          <w:p w14:paraId="06225C92" w14:textId="77777777" w:rsidR="008D1985" w:rsidRPr="00DA10C4" w:rsidRDefault="008D1985" w:rsidP="00AA4BBB">
            <w:pPr>
              <w:jc w:val="center"/>
              <w:rPr>
                <w:rFonts w:cs="Arial"/>
                <w:b/>
                <w:bCs/>
                <w:color w:val="FFFFFF" w:themeColor="background1"/>
                <w:sz w:val="18"/>
                <w:szCs w:val="18"/>
              </w:rPr>
            </w:pPr>
            <w:r w:rsidRPr="00DA10C4">
              <w:rPr>
                <w:rFonts w:cs="Arial"/>
                <w:b/>
                <w:bCs/>
                <w:color w:val="FFFFFF" w:themeColor="background1"/>
                <w:sz w:val="18"/>
                <w:szCs w:val="18"/>
              </w:rPr>
              <w:t>Gestión Pública</w:t>
            </w:r>
          </w:p>
        </w:tc>
      </w:tr>
      <w:tr w:rsidR="008D1985" w:rsidRPr="008D1985" w14:paraId="0714658B" w14:textId="77777777" w:rsidTr="00AA4BBB">
        <w:tc>
          <w:tcPr>
            <w:tcW w:w="0" w:type="auto"/>
            <w:vMerge w:val="restart"/>
            <w:tcMar>
              <w:top w:w="30" w:type="dxa"/>
              <w:left w:w="45" w:type="dxa"/>
              <w:bottom w:w="30" w:type="dxa"/>
              <w:right w:w="45" w:type="dxa"/>
            </w:tcMar>
            <w:vAlign w:val="center"/>
            <w:hideMark/>
          </w:tcPr>
          <w:p w14:paraId="6C1E5328" w14:textId="77777777" w:rsidR="008D1985" w:rsidRPr="00DA10C4" w:rsidRDefault="008D1985" w:rsidP="00AA4BBB">
            <w:pPr>
              <w:rPr>
                <w:rFonts w:cs="Arial"/>
                <w:sz w:val="18"/>
                <w:szCs w:val="18"/>
              </w:rPr>
            </w:pPr>
            <w:r w:rsidRPr="00DA10C4">
              <w:rPr>
                <w:rFonts w:cs="Arial"/>
                <w:sz w:val="18"/>
                <w:szCs w:val="18"/>
              </w:rPr>
              <w:t>Crear y mantener 1 equipo de Respuesta a Incidentes de Seguridad Digital (CSIRT) de Bogotá para garantizar la protección de datos e información de la ciudadanía</w:t>
            </w:r>
          </w:p>
        </w:tc>
        <w:tc>
          <w:tcPr>
            <w:tcW w:w="0" w:type="auto"/>
            <w:tcMar>
              <w:top w:w="30" w:type="dxa"/>
              <w:left w:w="45" w:type="dxa"/>
              <w:bottom w:w="30" w:type="dxa"/>
              <w:right w:w="45" w:type="dxa"/>
            </w:tcMar>
            <w:vAlign w:val="center"/>
            <w:hideMark/>
          </w:tcPr>
          <w:p w14:paraId="6269170C" w14:textId="77777777" w:rsidR="008D1985" w:rsidRPr="008D1985" w:rsidRDefault="008D1985" w:rsidP="00AA4BBB">
            <w:pPr>
              <w:jc w:val="center"/>
              <w:rPr>
                <w:rFonts w:cs="Arial"/>
                <w:sz w:val="20"/>
                <w:szCs w:val="20"/>
              </w:rPr>
            </w:pPr>
            <w:r w:rsidRPr="008D1985">
              <w:rPr>
                <w:rFonts w:cs="Arial"/>
                <w:sz w:val="20"/>
                <w:szCs w:val="20"/>
              </w:rPr>
              <w:t>1</w:t>
            </w:r>
          </w:p>
        </w:tc>
        <w:tc>
          <w:tcPr>
            <w:tcW w:w="0" w:type="auto"/>
            <w:tcMar>
              <w:top w:w="30" w:type="dxa"/>
              <w:left w:w="45" w:type="dxa"/>
              <w:bottom w:w="30" w:type="dxa"/>
              <w:right w:w="45" w:type="dxa"/>
            </w:tcMar>
            <w:vAlign w:val="center"/>
            <w:hideMark/>
          </w:tcPr>
          <w:p w14:paraId="74A60863" w14:textId="77777777" w:rsidR="008D1985" w:rsidRPr="008D1985" w:rsidRDefault="008D1985" w:rsidP="00AA4BBB">
            <w:pPr>
              <w:jc w:val="center"/>
              <w:rPr>
                <w:rFonts w:cs="Arial"/>
                <w:sz w:val="20"/>
                <w:szCs w:val="20"/>
              </w:rPr>
            </w:pPr>
            <w:r w:rsidRPr="008D1985">
              <w:rPr>
                <w:rFonts w:cs="Arial"/>
                <w:sz w:val="20"/>
                <w:szCs w:val="20"/>
              </w:rPr>
              <w:t>1</w:t>
            </w:r>
          </w:p>
        </w:tc>
        <w:tc>
          <w:tcPr>
            <w:tcW w:w="0" w:type="auto"/>
            <w:tcMar>
              <w:top w:w="30" w:type="dxa"/>
              <w:left w:w="45" w:type="dxa"/>
              <w:bottom w:w="30" w:type="dxa"/>
              <w:right w:w="45" w:type="dxa"/>
            </w:tcMar>
            <w:vAlign w:val="center"/>
            <w:hideMark/>
          </w:tcPr>
          <w:p w14:paraId="209CC6C9" w14:textId="77777777" w:rsidR="008D1985" w:rsidRPr="008D1985" w:rsidRDefault="008D1985" w:rsidP="00AA4BBB">
            <w:pPr>
              <w:jc w:val="center"/>
              <w:rPr>
                <w:rFonts w:cs="Arial"/>
                <w:sz w:val="20"/>
                <w:szCs w:val="20"/>
              </w:rPr>
            </w:pPr>
            <w:r w:rsidRPr="008D1985">
              <w:rPr>
                <w:rFonts w:cs="Arial"/>
                <w:sz w:val="20"/>
                <w:szCs w:val="20"/>
              </w:rPr>
              <w:t>1</w:t>
            </w:r>
          </w:p>
        </w:tc>
        <w:tc>
          <w:tcPr>
            <w:tcW w:w="0" w:type="auto"/>
            <w:tcMar>
              <w:top w:w="30" w:type="dxa"/>
              <w:left w:w="45" w:type="dxa"/>
              <w:bottom w:w="30" w:type="dxa"/>
              <w:right w:w="45" w:type="dxa"/>
            </w:tcMar>
            <w:vAlign w:val="center"/>
            <w:hideMark/>
          </w:tcPr>
          <w:p w14:paraId="3982DA92" w14:textId="77777777" w:rsidR="008D1985" w:rsidRPr="008D1985" w:rsidRDefault="008D1985" w:rsidP="00AA4BBB">
            <w:pPr>
              <w:jc w:val="center"/>
              <w:rPr>
                <w:rFonts w:cs="Arial"/>
                <w:sz w:val="20"/>
                <w:szCs w:val="20"/>
              </w:rPr>
            </w:pPr>
            <w:r w:rsidRPr="008D1985">
              <w:rPr>
                <w:rFonts w:cs="Arial"/>
                <w:sz w:val="20"/>
                <w:szCs w:val="20"/>
              </w:rPr>
              <w:t>1</w:t>
            </w:r>
          </w:p>
        </w:tc>
        <w:tc>
          <w:tcPr>
            <w:tcW w:w="0" w:type="auto"/>
            <w:vMerge w:val="restart"/>
            <w:tcMar>
              <w:top w:w="30" w:type="dxa"/>
              <w:left w:w="45" w:type="dxa"/>
              <w:bottom w:w="30" w:type="dxa"/>
              <w:right w:w="45" w:type="dxa"/>
            </w:tcMar>
            <w:vAlign w:val="center"/>
            <w:hideMark/>
          </w:tcPr>
          <w:p w14:paraId="6C07ECCD" w14:textId="77777777" w:rsidR="008D1985" w:rsidRPr="008D1985" w:rsidRDefault="008D1985" w:rsidP="00AA4BBB">
            <w:pPr>
              <w:jc w:val="center"/>
              <w:rPr>
                <w:rFonts w:cs="Arial"/>
                <w:b/>
                <w:bCs/>
                <w:sz w:val="20"/>
                <w:szCs w:val="20"/>
              </w:rPr>
            </w:pPr>
            <w:r w:rsidRPr="008D1985">
              <w:rPr>
                <w:rFonts w:cs="Arial"/>
                <w:b/>
                <w:bCs/>
                <w:sz w:val="20"/>
                <w:szCs w:val="20"/>
              </w:rPr>
              <w:t>51.888.141.311</w:t>
            </w:r>
          </w:p>
        </w:tc>
      </w:tr>
      <w:tr w:rsidR="008D1985" w:rsidRPr="008D1985" w14:paraId="0AD5704A" w14:textId="77777777" w:rsidTr="00AA4BBB">
        <w:tc>
          <w:tcPr>
            <w:tcW w:w="0" w:type="auto"/>
            <w:vMerge/>
            <w:vAlign w:val="center"/>
            <w:hideMark/>
          </w:tcPr>
          <w:p w14:paraId="34883CB8"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698E33A9" w14:textId="77777777" w:rsidR="008D1985" w:rsidRPr="008D1985" w:rsidRDefault="008D1985" w:rsidP="00AA4BBB">
            <w:pPr>
              <w:jc w:val="center"/>
              <w:rPr>
                <w:rFonts w:cs="Arial"/>
                <w:sz w:val="20"/>
                <w:szCs w:val="20"/>
              </w:rPr>
            </w:pPr>
            <w:r w:rsidRPr="008D1985">
              <w:rPr>
                <w:rFonts w:cs="Arial"/>
                <w:sz w:val="20"/>
                <w:szCs w:val="20"/>
              </w:rPr>
              <w:t>8.445.532.313</w:t>
            </w:r>
          </w:p>
        </w:tc>
        <w:tc>
          <w:tcPr>
            <w:tcW w:w="0" w:type="auto"/>
            <w:tcMar>
              <w:top w:w="30" w:type="dxa"/>
              <w:left w:w="45" w:type="dxa"/>
              <w:bottom w:w="30" w:type="dxa"/>
              <w:right w:w="45" w:type="dxa"/>
            </w:tcMar>
            <w:vAlign w:val="center"/>
            <w:hideMark/>
          </w:tcPr>
          <w:p w14:paraId="0F60CBEA" w14:textId="77777777" w:rsidR="008D1985" w:rsidRPr="008D1985" w:rsidRDefault="008D1985" w:rsidP="00AA4BBB">
            <w:pPr>
              <w:jc w:val="center"/>
              <w:rPr>
                <w:rFonts w:cs="Arial"/>
                <w:sz w:val="20"/>
                <w:szCs w:val="20"/>
              </w:rPr>
            </w:pPr>
            <w:r w:rsidRPr="008D1985">
              <w:rPr>
                <w:rFonts w:cs="Arial"/>
                <w:sz w:val="20"/>
                <w:szCs w:val="20"/>
              </w:rPr>
              <w:t>12.104.693.114</w:t>
            </w:r>
          </w:p>
        </w:tc>
        <w:tc>
          <w:tcPr>
            <w:tcW w:w="0" w:type="auto"/>
            <w:tcMar>
              <w:top w:w="30" w:type="dxa"/>
              <w:left w:w="45" w:type="dxa"/>
              <w:bottom w:w="30" w:type="dxa"/>
              <w:right w:w="45" w:type="dxa"/>
            </w:tcMar>
            <w:vAlign w:val="center"/>
            <w:hideMark/>
          </w:tcPr>
          <w:p w14:paraId="0F7B8A9B" w14:textId="77777777" w:rsidR="008D1985" w:rsidRPr="008D1985" w:rsidRDefault="008D1985" w:rsidP="00AA4BBB">
            <w:pPr>
              <w:jc w:val="center"/>
              <w:rPr>
                <w:rFonts w:cs="Arial"/>
                <w:sz w:val="20"/>
                <w:szCs w:val="20"/>
              </w:rPr>
            </w:pPr>
            <w:r w:rsidRPr="008D1985">
              <w:rPr>
                <w:rFonts w:cs="Arial"/>
                <w:sz w:val="20"/>
                <w:szCs w:val="20"/>
              </w:rPr>
              <w:t>15.401.823.751</w:t>
            </w:r>
          </w:p>
        </w:tc>
        <w:tc>
          <w:tcPr>
            <w:tcW w:w="0" w:type="auto"/>
            <w:tcMar>
              <w:top w:w="30" w:type="dxa"/>
              <w:left w:w="45" w:type="dxa"/>
              <w:bottom w:w="30" w:type="dxa"/>
              <w:right w:w="45" w:type="dxa"/>
            </w:tcMar>
            <w:vAlign w:val="center"/>
            <w:hideMark/>
          </w:tcPr>
          <w:p w14:paraId="11811170" w14:textId="77777777" w:rsidR="008D1985" w:rsidRPr="008D1985" w:rsidRDefault="008D1985" w:rsidP="00AA4BBB">
            <w:pPr>
              <w:jc w:val="center"/>
              <w:rPr>
                <w:rFonts w:cs="Arial"/>
                <w:sz w:val="20"/>
                <w:szCs w:val="20"/>
              </w:rPr>
            </w:pPr>
            <w:r w:rsidRPr="008D1985">
              <w:rPr>
                <w:rFonts w:cs="Arial"/>
                <w:sz w:val="20"/>
                <w:szCs w:val="20"/>
              </w:rPr>
              <w:t>15.936.092.134</w:t>
            </w:r>
          </w:p>
        </w:tc>
        <w:tc>
          <w:tcPr>
            <w:tcW w:w="0" w:type="auto"/>
            <w:vMerge/>
            <w:vAlign w:val="center"/>
            <w:hideMark/>
          </w:tcPr>
          <w:p w14:paraId="1F86A0D9" w14:textId="77777777" w:rsidR="008D1985" w:rsidRPr="008D1985" w:rsidRDefault="008D1985" w:rsidP="00AA4BBB">
            <w:pPr>
              <w:rPr>
                <w:rFonts w:cs="Arial"/>
                <w:b/>
                <w:bCs/>
                <w:sz w:val="20"/>
                <w:szCs w:val="20"/>
              </w:rPr>
            </w:pPr>
          </w:p>
        </w:tc>
      </w:tr>
      <w:tr w:rsidR="008D1985" w:rsidRPr="008D1985" w14:paraId="35C8F448" w14:textId="77777777" w:rsidTr="00AA4BBB">
        <w:tc>
          <w:tcPr>
            <w:tcW w:w="0" w:type="auto"/>
            <w:vMerge w:val="restart"/>
            <w:tcMar>
              <w:top w:w="30" w:type="dxa"/>
              <w:left w:w="45" w:type="dxa"/>
              <w:bottom w:w="30" w:type="dxa"/>
              <w:right w:w="45" w:type="dxa"/>
            </w:tcMar>
            <w:vAlign w:val="center"/>
            <w:hideMark/>
          </w:tcPr>
          <w:p w14:paraId="394176FD" w14:textId="77777777" w:rsidR="008D1985" w:rsidRPr="00DA10C4" w:rsidRDefault="008D1985" w:rsidP="00AA4BBB">
            <w:pPr>
              <w:rPr>
                <w:rFonts w:cs="Arial"/>
                <w:sz w:val="18"/>
                <w:szCs w:val="18"/>
              </w:rPr>
            </w:pPr>
            <w:r w:rsidRPr="00DA10C4">
              <w:rPr>
                <w:rFonts w:cs="Arial"/>
                <w:sz w:val="18"/>
                <w:szCs w:val="18"/>
              </w:rPr>
              <w:t>Implementar 1 infraestructura de datos del distrito para mejorar la oferta de servicios distritales a personas hogares y empresas.</w:t>
            </w:r>
          </w:p>
        </w:tc>
        <w:tc>
          <w:tcPr>
            <w:tcW w:w="0" w:type="auto"/>
            <w:tcMar>
              <w:top w:w="30" w:type="dxa"/>
              <w:left w:w="45" w:type="dxa"/>
              <w:bottom w:w="30" w:type="dxa"/>
              <w:right w:w="45" w:type="dxa"/>
            </w:tcMar>
            <w:vAlign w:val="center"/>
            <w:hideMark/>
          </w:tcPr>
          <w:p w14:paraId="1F7E92EA" w14:textId="77777777" w:rsidR="008D1985" w:rsidRPr="008D1985" w:rsidRDefault="008D1985" w:rsidP="00AA4BBB">
            <w:pPr>
              <w:jc w:val="center"/>
              <w:rPr>
                <w:rFonts w:cs="Arial"/>
                <w:sz w:val="20"/>
                <w:szCs w:val="20"/>
              </w:rPr>
            </w:pPr>
            <w:r w:rsidRPr="008D1985">
              <w:rPr>
                <w:rFonts w:cs="Arial"/>
                <w:sz w:val="20"/>
                <w:szCs w:val="20"/>
              </w:rPr>
              <w:t>25%</w:t>
            </w:r>
          </w:p>
        </w:tc>
        <w:tc>
          <w:tcPr>
            <w:tcW w:w="0" w:type="auto"/>
            <w:tcMar>
              <w:top w:w="30" w:type="dxa"/>
              <w:left w:w="45" w:type="dxa"/>
              <w:bottom w:w="30" w:type="dxa"/>
              <w:right w:w="45" w:type="dxa"/>
            </w:tcMar>
            <w:vAlign w:val="center"/>
            <w:hideMark/>
          </w:tcPr>
          <w:p w14:paraId="55D6EE07" w14:textId="77777777" w:rsidR="008D1985" w:rsidRPr="008D1985" w:rsidRDefault="008D1985" w:rsidP="00AA4BBB">
            <w:pPr>
              <w:jc w:val="center"/>
              <w:rPr>
                <w:rFonts w:cs="Arial"/>
                <w:sz w:val="20"/>
                <w:szCs w:val="20"/>
              </w:rPr>
            </w:pPr>
            <w:r w:rsidRPr="008D1985">
              <w:rPr>
                <w:rFonts w:cs="Arial"/>
                <w:sz w:val="20"/>
                <w:szCs w:val="20"/>
              </w:rPr>
              <w:t>50%</w:t>
            </w:r>
          </w:p>
        </w:tc>
        <w:tc>
          <w:tcPr>
            <w:tcW w:w="0" w:type="auto"/>
            <w:tcMar>
              <w:top w:w="30" w:type="dxa"/>
              <w:left w:w="45" w:type="dxa"/>
              <w:bottom w:w="30" w:type="dxa"/>
              <w:right w:w="45" w:type="dxa"/>
            </w:tcMar>
            <w:vAlign w:val="center"/>
            <w:hideMark/>
          </w:tcPr>
          <w:p w14:paraId="31766646" w14:textId="77777777" w:rsidR="008D1985" w:rsidRPr="008D1985" w:rsidRDefault="008D1985" w:rsidP="00AA4BBB">
            <w:pPr>
              <w:jc w:val="center"/>
              <w:rPr>
                <w:rFonts w:cs="Arial"/>
                <w:sz w:val="20"/>
                <w:szCs w:val="20"/>
              </w:rPr>
            </w:pPr>
            <w:r w:rsidRPr="008D1985">
              <w:rPr>
                <w:rFonts w:cs="Arial"/>
                <w:sz w:val="20"/>
                <w:szCs w:val="20"/>
              </w:rPr>
              <w:t>75%</w:t>
            </w:r>
          </w:p>
        </w:tc>
        <w:tc>
          <w:tcPr>
            <w:tcW w:w="0" w:type="auto"/>
            <w:tcMar>
              <w:top w:w="30" w:type="dxa"/>
              <w:left w:w="45" w:type="dxa"/>
              <w:bottom w:w="30" w:type="dxa"/>
              <w:right w:w="45" w:type="dxa"/>
            </w:tcMar>
            <w:vAlign w:val="center"/>
            <w:hideMark/>
          </w:tcPr>
          <w:p w14:paraId="263E5C34"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vMerge w:val="restart"/>
            <w:tcMar>
              <w:top w:w="30" w:type="dxa"/>
              <w:left w:w="45" w:type="dxa"/>
              <w:bottom w:w="30" w:type="dxa"/>
              <w:right w:w="45" w:type="dxa"/>
            </w:tcMar>
            <w:vAlign w:val="center"/>
            <w:hideMark/>
          </w:tcPr>
          <w:p w14:paraId="41640963" w14:textId="77777777" w:rsidR="008D1985" w:rsidRPr="008D1985" w:rsidRDefault="008D1985" w:rsidP="00AA4BBB">
            <w:pPr>
              <w:jc w:val="center"/>
              <w:rPr>
                <w:rFonts w:cs="Arial"/>
                <w:b/>
                <w:bCs/>
                <w:sz w:val="20"/>
                <w:szCs w:val="20"/>
              </w:rPr>
            </w:pPr>
            <w:r w:rsidRPr="008D1985">
              <w:rPr>
                <w:rFonts w:cs="Arial"/>
                <w:b/>
                <w:bCs/>
                <w:sz w:val="20"/>
                <w:szCs w:val="20"/>
              </w:rPr>
              <w:t>13.841.226.368</w:t>
            </w:r>
          </w:p>
        </w:tc>
      </w:tr>
      <w:tr w:rsidR="008D1985" w:rsidRPr="008D1985" w14:paraId="2BCBC895" w14:textId="77777777" w:rsidTr="00AA4BBB">
        <w:tc>
          <w:tcPr>
            <w:tcW w:w="0" w:type="auto"/>
            <w:vMerge/>
            <w:vAlign w:val="center"/>
            <w:hideMark/>
          </w:tcPr>
          <w:p w14:paraId="79503569"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151DF362" w14:textId="77777777" w:rsidR="008D1985" w:rsidRPr="008D1985" w:rsidRDefault="008D1985" w:rsidP="00AA4BBB">
            <w:pPr>
              <w:jc w:val="center"/>
              <w:rPr>
                <w:rFonts w:cs="Arial"/>
                <w:sz w:val="20"/>
                <w:szCs w:val="20"/>
              </w:rPr>
            </w:pPr>
            <w:r w:rsidRPr="008D1985">
              <w:rPr>
                <w:rFonts w:cs="Arial"/>
                <w:sz w:val="20"/>
                <w:szCs w:val="20"/>
              </w:rPr>
              <w:t>1.899.493.389</w:t>
            </w:r>
          </w:p>
        </w:tc>
        <w:tc>
          <w:tcPr>
            <w:tcW w:w="0" w:type="auto"/>
            <w:tcMar>
              <w:top w:w="30" w:type="dxa"/>
              <w:left w:w="45" w:type="dxa"/>
              <w:bottom w:w="30" w:type="dxa"/>
              <w:right w:w="45" w:type="dxa"/>
            </w:tcMar>
            <w:vAlign w:val="center"/>
            <w:hideMark/>
          </w:tcPr>
          <w:p w14:paraId="390EC25B" w14:textId="77777777" w:rsidR="008D1985" w:rsidRPr="008D1985" w:rsidRDefault="008D1985" w:rsidP="00AA4BBB">
            <w:pPr>
              <w:jc w:val="center"/>
              <w:rPr>
                <w:rFonts w:cs="Arial"/>
                <w:sz w:val="20"/>
                <w:szCs w:val="20"/>
              </w:rPr>
            </w:pPr>
            <w:r w:rsidRPr="008D1985">
              <w:rPr>
                <w:rFonts w:cs="Arial"/>
                <w:sz w:val="20"/>
                <w:szCs w:val="20"/>
              </w:rPr>
              <w:t>3.676.015.155</w:t>
            </w:r>
          </w:p>
        </w:tc>
        <w:tc>
          <w:tcPr>
            <w:tcW w:w="0" w:type="auto"/>
            <w:tcMar>
              <w:top w:w="30" w:type="dxa"/>
              <w:left w:w="45" w:type="dxa"/>
              <w:bottom w:w="30" w:type="dxa"/>
              <w:right w:w="45" w:type="dxa"/>
            </w:tcMar>
            <w:vAlign w:val="center"/>
            <w:hideMark/>
          </w:tcPr>
          <w:p w14:paraId="0642E90A" w14:textId="77777777" w:rsidR="008D1985" w:rsidRPr="008D1985" w:rsidRDefault="008D1985" w:rsidP="00AA4BBB">
            <w:pPr>
              <w:jc w:val="center"/>
              <w:rPr>
                <w:rFonts w:cs="Arial"/>
                <w:sz w:val="20"/>
                <w:szCs w:val="20"/>
              </w:rPr>
            </w:pPr>
            <w:r w:rsidRPr="008D1985">
              <w:rPr>
                <w:rFonts w:cs="Arial"/>
                <w:sz w:val="20"/>
                <w:szCs w:val="20"/>
              </w:rPr>
              <w:t>4.107.802.809</w:t>
            </w:r>
          </w:p>
        </w:tc>
        <w:tc>
          <w:tcPr>
            <w:tcW w:w="0" w:type="auto"/>
            <w:tcMar>
              <w:top w:w="30" w:type="dxa"/>
              <w:left w:w="45" w:type="dxa"/>
              <w:bottom w:w="30" w:type="dxa"/>
              <w:right w:w="45" w:type="dxa"/>
            </w:tcMar>
            <w:vAlign w:val="center"/>
            <w:hideMark/>
          </w:tcPr>
          <w:p w14:paraId="4FF2DF27" w14:textId="77777777" w:rsidR="008D1985" w:rsidRPr="008D1985" w:rsidRDefault="008D1985" w:rsidP="00AA4BBB">
            <w:pPr>
              <w:jc w:val="center"/>
              <w:rPr>
                <w:rFonts w:cs="Arial"/>
                <w:sz w:val="20"/>
                <w:szCs w:val="20"/>
              </w:rPr>
            </w:pPr>
            <w:r w:rsidRPr="008D1985">
              <w:rPr>
                <w:rFonts w:cs="Arial"/>
                <w:sz w:val="20"/>
                <w:szCs w:val="20"/>
              </w:rPr>
              <w:t>4.157.915.014</w:t>
            </w:r>
          </w:p>
        </w:tc>
        <w:tc>
          <w:tcPr>
            <w:tcW w:w="0" w:type="auto"/>
            <w:vMerge/>
            <w:vAlign w:val="center"/>
            <w:hideMark/>
          </w:tcPr>
          <w:p w14:paraId="3367AFB0" w14:textId="77777777" w:rsidR="008D1985" w:rsidRPr="008D1985" w:rsidRDefault="008D1985" w:rsidP="00AA4BBB">
            <w:pPr>
              <w:rPr>
                <w:rFonts w:cs="Arial"/>
                <w:b/>
                <w:bCs/>
                <w:sz w:val="20"/>
                <w:szCs w:val="20"/>
              </w:rPr>
            </w:pPr>
          </w:p>
        </w:tc>
      </w:tr>
      <w:tr w:rsidR="008D1985" w:rsidRPr="008D1985" w14:paraId="2CEB8F1D" w14:textId="77777777" w:rsidTr="00AA4BBB">
        <w:tc>
          <w:tcPr>
            <w:tcW w:w="0" w:type="auto"/>
            <w:vMerge w:val="restart"/>
            <w:tcMar>
              <w:top w:w="30" w:type="dxa"/>
              <w:left w:w="45" w:type="dxa"/>
              <w:bottom w:w="30" w:type="dxa"/>
              <w:right w:w="45" w:type="dxa"/>
            </w:tcMar>
            <w:vAlign w:val="center"/>
            <w:hideMark/>
          </w:tcPr>
          <w:p w14:paraId="43DAC735" w14:textId="77777777" w:rsidR="008D1985" w:rsidRPr="00DA10C4" w:rsidRDefault="008D1985" w:rsidP="00AA4BBB">
            <w:pPr>
              <w:rPr>
                <w:rFonts w:cs="Arial"/>
                <w:sz w:val="18"/>
                <w:szCs w:val="18"/>
              </w:rPr>
            </w:pPr>
            <w:r w:rsidRPr="00DA10C4">
              <w:rPr>
                <w:rFonts w:cs="Arial"/>
                <w:sz w:val="18"/>
                <w:szCs w:val="18"/>
              </w:rPr>
              <w:t>Implementar en 8 localidades con zonas rurales de Bogotá una solución para el cierre de brecha digital</w:t>
            </w:r>
          </w:p>
        </w:tc>
        <w:tc>
          <w:tcPr>
            <w:tcW w:w="0" w:type="auto"/>
            <w:tcMar>
              <w:top w:w="30" w:type="dxa"/>
              <w:left w:w="45" w:type="dxa"/>
              <w:bottom w:w="30" w:type="dxa"/>
              <w:right w:w="45" w:type="dxa"/>
            </w:tcMar>
            <w:vAlign w:val="center"/>
            <w:hideMark/>
          </w:tcPr>
          <w:p w14:paraId="3B19163E" w14:textId="77777777" w:rsidR="008D1985" w:rsidRPr="008D1985" w:rsidRDefault="008D1985" w:rsidP="00AA4BBB">
            <w:pPr>
              <w:jc w:val="center"/>
              <w:rPr>
                <w:rFonts w:cs="Arial"/>
                <w:sz w:val="20"/>
                <w:szCs w:val="20"/>
              </w:rPr>
            </w:pPr>
            <w:r w:rsidRPr="008D1985">
              <w:rPr>
                <w:rFonts w:cs="Arial"/>
                <w:sz w:val="20"/>
                <w:szCs w:val="20"/>
              </w:rPr>
              <w:t>1</w:t>
            </w:r>
          </w:p>
        </w:tc>
        <w:tc>
          <w:tcPr>
            <w:tcW w:w="0" w:type="auto"/>
            <w:tcMar>
              <w:top w:w="30" w:type="dxa"/>
              <w:left w:w="45" w:type="dxa"/>
              <w:bottom w:w="30" w:type="dxa"/>
              <w:right w:w="45" w:type="dxa"/>
            </w:tcMar>
            <w:vAlign w:val="center"/>
            <w:hideMark/>
          </w:tcPr>
          <w:p w14:paraId="4C772822" w14:textId="77777777" w:rsidR="008D1985" w:rsidRPr="008D1985" w:rsidRDefault="008D1985" w:rsidP="00AA4BBB">
            <w:pPr>
              <w:jc w:val="center"/>
              <w:rPr>
                <w:rFonts w:cs="Arial"/>
                <w:sz w:val="20"/>
                <w:szCs w:val="20"/>
              </w:rPr>
            </w:pPr>
            <w:r w:rsidRPr="008D1985">
              <w:rPr>
                <w:rFonts w:cs="Arial"/>
                <w:sz w:val="20"/>
                <w:szCs w:val="20"/>
              </w:rPr>
              <w:t>1</w:t>
            </w:r>
          </w:p>
        </w:tc>
        <w:tc>
          <w:tcPr>
            <w:tcW w:w="0" w:type="auto"/>
            <w:tcMar>
              <w:top w:w="30" w:type="dxa"/>
              <w:left w:w="45" w:type="dxa"/>
              <w:bottom w:w="30" w:type="dxa"/>
              <w:right w:w="45" w:type="dxa"/>
            </w:tcMar>
            <w:vAlign w:val="center"/>
            <w:hideMark/>
          </w:tcPr>
          <w:p w14:paraId="124B7181" w14:textId="77777777" w:rsidR="008D1985" w:rsidRPr="008D1985" w:rsidRDefault="008D1985" w:rsidP="00AA4BBB">
            <w:pPr>
              <w:jc w:val="center"/>
              <w:rPr>
                <w:rFonts w:cs="Arial"/>
                <w:sz w:val="20"/>
                <w:szCs w:val="20"/>
              </w:rPr>
            </w:pPr>
            <w:r w:rsidRPr="008D1985">
              <w:rPr>
                <w:rFonts w:cs="Arial"/>
                <w:sz w:val="20"/>
                <w:szCs w:val="20"/>
              </w:rPr>
              <w:t>3</w:t>
            </w:r>
          </w:p>
        </w:tc>
        <w:tc>
          <w:tcPr>
            <w:tcW w:w="0" w:type="auto"/>
            <w:tcMar>
              <w:top w:w="30" w:type="dxa"/>
              <w:left w:w="45" w:type="dxa"/>
              <w:bottom w:w="30" w:type="dxa"/>
              <w:right w:w="45" w:type="dxa"/>
            </w:tcMar>
            <w:vAlign w:val="center"/>
            <w:hideMark/>
          </w:tcPr>
          <w:p w14:paraId="734E0A79" w14:textId="77777777" w:rsidR="008D1985" w:rsidRPr="008D1985" w:rsidRDefault="008D1985" w:rsidP="00AA4BBB">
            <w:pPr>
              <w:jc w:val="center"/>
              <w:rPr>
                <w:rFonts w:cs="Arial"/>
                <w:sz w:val="20"/>
                <w:szCs w:val="20"/>
              </w:rPr>
            </w:pPr>
            <w:r w:rsidRPr="008D1985">
              <w:rPr>
                <w:rFonts w:cs="Arial"/>
                <w:sz w:val="20"/>
                <w:szCs w:val="20"/>
              </w:rPr>
              <w:t>3</w:t>
            </w:r>
          </w:p>
        </w:tc>
        <w:tc>
          <w:tcPr>
            <w:tcW w:w="0" w:type="auto"/>
            <w:vMerge w:val="restart"/>
            <w:tcMar>
              <w:top w:w="30" w:type="dxa"/>
              <w:left w:w="45" w:type="dxa"/>
              <w:bottom w:w="30" w:type="dxa"/>
              <w:right w:w="45" w:type="dxa"/>
            </w:tcMar>
            <w:vAlign w:val="center"/>
            <w:hideMark/>
          </w:tcPr>
          <w:p w14:paraId="13F4AF08" w14:textId="77777777" w:rsidR="008D1985" w:rsidRPr="008D1985" w:rsidRDefault="008D1985" w:rsidP="00AA4BBB">
            <w:pPr>
              <w:jc w:val="center"/>
              <w:rPr>
                <w:rFonts w:cs="Arial"/>
                <w:b/>
                <w:bCs/>
                <w:sz w:val="20"/>
                <w:szCs w:val="20"/>
              </w:rPr>
            </w:pPr>
            <w:r w:rsidRPr="008D1985">
              <w:rPr>
                <w:rFonts w:cs="Arial"/>
                <w:b/>
                <w:bCs/>
                <w:sz w:val="20"/>
                <w:szCs w:val="20"/>
              </w:rPr>
              <w:t>9.374.299.137</w:t>
            </w:r>
          </w:p>
        </w:tc>
      </w:tr>
      <w:tr w:rsidR="008D1985" w:rsidRPr="008D1985" w14:paraId="1E784426" w14:textId="77777777" w:rsidTr="00AA4BBB">
        <w:tc>
          <w:tcPr>
            <w:tcW w:w="0" w:type="auto"/>
            <w:vMerge/>
            <w:vAlign w:val="center"/>
            <w:hideMark/>
          </w:tcPr>
          <w:p w14:paraId="63DE10C4"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5936291C" w14:textId="77777777" w:rsidR="008D1985" w:rsidRPr="008D1985" w:rsidRDefault="008D1985" w:rsidP="00AA4BBB">
            <w:pPr>
              <w:jc w:val="center"/>
              <w:rPr>
                <w:rFonts w:cs="Arial"/>
                <w:sz w:val="20"/>
                <w:szCs w:val="20"/>
              </w:rPr>
            </w:pPr>
            <w:r w:rsidRPr="008D1985">
              <w:rPr>
                <w:rFonts w:cs="Arial"/>
                <w:sz w:val="20"/>
                <w:szCs w:val="20"/>
              </w:rPr>
              <w:t>1.192.091.522</w:t>
            </w:r>
          </w:p>
        </w:tc>
        <w:tc>
          <w:tcPr>
            <w:tcW w:w="0" w:type="auto"/>
            <w:tcMar>
              <w:top w:w="30" w:type="dxa"/>
              <w:left w:w="45" w:type="dxa"/>
              <w:bottom w:w="30" w:type="dxa"/>
              <w:right w:w="45" w:type="dxa"/>
            </w:tcMar>
            <w:vAlign w:val="center"/>
            <w:hideMark/>
          </w:tcPr>
          <w:p w14:paraId="0DD40552" w14:textId="77777777" w:rsidR="008D1985" w:rsidRPr="008D1985" w:rsidRDefault="008D1985" w:rsidP="00AA4BBB">
            <w:pPr>
              <w:jc w:val="center"/>
              <w:rPr>
                <w:rFonts w:cs="Arial"/>
                <w:sz w:val="20"/>
                <w:szCs w:val="20"/>
              </w:rPr>
            </w:pPr>
            <w:r w:rsidRPr="008D1985">
              <w:rPr>
                <w:rFonts w:cs="Arial"/>
                <w:sz w:val="20"/>
                <w:szCs w:val="20"/>
              </w:rPr>
              <w:t>2.513.036.349</w:t>
            </w:r>
          </w:p>
        </w:tc>
        <w:tc>
          <w:tcPr>
            <w:tcW w:w="0" w:type="auto"/>
            <w:tcMar>
              <w:top w:w="30" w:type="dxa"/>
              <w:left w:w="45" w:type="dxa"/>
              <w:bottom w:w="30" w:type="dxa"/>
              <w:right w:w="45" w:type="dxa"/>
            </w:tcMar>
            <w:vAlign w:val="center"/>
            <w:hideMark/>
          </w:tcPr>
          <w:p w14:paraId="19DCCEB8" w14:textId="77777777" w:rsidR="008D1985" w:rsidRPr="008D1985" w:rsidRDefault="008D1985" w:rsidP="00AA4BBB">
            <w:pPr>
              <w:jc w:val="center"/>
              <w:rPr>
                <w:rFonts w:cs="Arial"/>
                <w:sz w:val="20"/>
                <w:szCs w:val="20"/>
              </w:rPr>
            </w:pPr>
            <w:r w:rsidRPr="008D1985">
              <w:rPr>
                <w:rFonts w:cs="Arial"/>
                <w:sz w:val="20"/>
                <w:szCs w:val="20"/>
              </w:rPr>
              <w:t>2.814.324.630</w:t>
            </w:r>
          </w:p>
        </w:tc>
        <w:tc>
          <w:tcPr>
            <w:tcW w:w="0" w:type="auto"/>
            <w:tcMar>
              <w:top w:w="30" w:type="dxa"/>
              <w:left w:w="45" w:type="dxa"/>
              <w:bottom w:w="30" w:type="dxa"/>
              <w:right w:w="45" w:type="dxa"/>
            </w:tcMar>
            <w:vAlign w:val="center"/>
            <w:hideMark/>
          </w:tcPr>
          <w:p w14:paraId="46F31799" w14:textId="77777777" w:rsidR="008D1985" w:rsidRPr="008D1985" w:rsidRDefault="008D1985" w:rsidP="00AA4BBB">
            <w:pPr>
              <w:jc w:val="center"/>
              <w:rPr>
                <w:rFonts w:cs="Arial"/>
                <w:sz w:val="20"/>
                <w:szCs w:val="20"/>
              </w:rPr>
            </w:pPr>
            <w:r w:rsidRPr="008D1985">
              <w:rPr>
                <w:rFonts w:cs="Arial"/>
                <w:sz w:val="20"/>
                <w:szCs w:val="20"/>
              </w:rPr>
              <w:t>2.854.846.636</w:t>
            </w:r>
          </w:p>
        </w:tc>
        <w:tc>
          <w:tcPr>
            <w:tcW w:w="0" w:type="auto"/>
            <w:vMerge/>
            <w:vAlign w:val="center"/>
            <w:hideMark/>
          </w:tcPr>
          <w:p w14:paraId="76DD2F9B" w14:textId="77777777" w:rsidR="008D1985" w:rsidRPr="008D1985" w:rsidRDefault="008D1985" w:rsidP="00AA4BBB">
            <w:pPr>
              <w:rPr>
                <w:rFonts w:cs="Arial"/>
                <w:b/>
                <w:bCs/>
                <w:sz w:val="20"/>
                <w:szCs w:val="20"/>
              </w:rPr>
            </w:pPr>
          </w:p>
        </w:tc>
      </w:tr>
      <w:tr w:rsidR="008D1985" w:rsidRPr="008D1985" w14:paraId="05BEE6F3" w14:textId="77777777" w:rsidTr="00AA4BBB">
        <w:tc>
          <w:tcPr>
            <w:tcW w:w="0" w:type="auto"/>
            <w:vMerge w:val="restart"/>
            <w:tcMar>
              <w:top w:w="30" w:type="dxa"/>
              <w:left w:w="45" w:type="dxa"/>
              <w:bottom w:w="30" w:type="dxa"/>
              <w:right w:w="45" w:type="dxa"/>
            </w:tcMar>
            <w:vAlign w:val="center"/>
            <w:hideMark/>
          </w:tcPr>
          <w:p w14:paraId="06DB1C95" w14:textId="77777777" w:rsidR="008D1985" w:rsidRPr="00DA10C4" w:rsidRDefault="008D1985" w:rsidP="00AA4BBB">
            <w:pPr>
              <w:rPr>
                <w:rFonts w:cs="Arial"/>
                <w:sz w:val="18"/>
                <w:szCs w:val="18"/>
              </w:rPr>
            </w:pPr>
            <w:r w:rsidRPr="00DA10C4">
              <w:rPr>
                <w:rFonts w:cs="Arial"/>
                <w:sz w:val="18"/>
                <w:szCs w:val="18"/>
              </w:rPr>
              <w:t>Poner en funcionamiento 1 portafolio de servicios TIC para la transformación digital en entidades distritales que mejore su eficiencia y la toma de decisiones</w:t>
            </w:r>
          </w:p>
        </w:tc>
        <w:tc>
          <w:tcPr>
            <w:tcW w:w="0" w:type="auto"/>
            <w:tcMar>
              <w:top w:w="30" w:type="dxa"/>
              <w:left w:w="45" w:type="dxa"/>
              <w:bottom w:w="30" w:type="dxa"/>
              <w:right w:w="45" w:type="dxa"/>
            </w:tcMar>
            <w:vAlign w:val="center"/>
            <w:hideMark/>
          </w:tcPr>
          <w:p w14:paraId="1EE42B24" w14:textId="77777777" w:rsidR="008D1985" w:rsidRPr="008D1985" w:rsidRDefault="008D1985" w:rsidP="00AA4BBB">
            <w:pPr>
              <w:jc w:val="center"/>
              <w:rPr>
                <w:rFonts w:cs="Arial"/>
                <w:sz w:val="20"/>
                <w:szCs w:val="20"/>
              </w:rPr>
            </w:pPr>
            <w:r w:rsidRPr="008D1985">
              <w:rPr>
                <w:rFonts w:cs="Arial"/>
                <w:sz w:val="20"/>
                <w:szCs w:val="20"/>
              </w:rPr>
              <w:t>25%</w:t>
            </w:r>
          </w:p>
        </w:tc>
        <w:tc>
          <w:tcPr>
            <w:tcW w:w="0" w:type="auto"/>
            <w:tcMar>
              <w:top w:w="30" w:type="dxa"/>
              <w:left w:w="45" w:type="dxa"/>
              <w:bottom w:w="30" w:type="dxa"/>
              <w:right w:w="45" w:type="dxa"/>
            </w:tcMar>
            <w:vAlign w:val="center"/>
            <w:hideMark/>
          </w:tcPr>
          <w:p w14:paraId="3257C198" w14:textId="77777777" w:rsidR="008D1985" w:rsidRPr="008D1985" w:rsidRDefault="008D1985" w:rsidP="00AA4BBB">
            <w:pPr>
              <w:jc w:val="center"/>
              <w:rPr>
                <w:rFonts w:cs="Arial"/>
                <w:sz w:val="20"/>
                <w:szCs w:val="20"/>
              </w:rPr>
            </w:pPr>
            <w:r w:rsidRPr="008D1985">
              <w:rPr>
                <w:rFonts w:cs="Arial"/>
                <w:sz w:val="20"/>
                <w:szCs w:val="20"/>
              </w:rPr>
              <w:t>50%</w:t>
            </w:r>
          </w:p>
        </w:tc>
        <w:tc>
          <w:tcPr>
            <w:tcW w:w="0" w:type="auto"/>
            <w:tcMar>
              <w:top w:w="30" w:type="dxa"/>
              <w:left w:w="45" w:type="dxa"/>
              <w:bottom w:w="30" w:type="dxa"/>
              <w:right w:w="45" w:type="dxa"/>
            </w:tcMar>
            <w:vAlign w:val="center"/>
            <w:hideMark/>
          </w:tcPr>
          <w:p w14:paraId="6BAAC2ED" w14:textId="77777777" w:rsidR="008D1985" w:rsidRPr="008D1985" w:rsidRDefault="008D1985" w:rsidP="00AA4BBB">
            <w:pPr>
              <w:jc w:val="center"/>
              <w:rPr>
                <w:rFonts w:cs="Arial"/>
                <w:sz w:val="20"/>
                <w:szCs w:val="20"/>
              </w:rPr>
            </w:pPr>
            <w:r w:rsidRPr="008D1985">
              <w:rPr>
                <w:rFonts w:cs="Arial"/>
                <w:sz w:val="20"/>
                <w:szCs w:val="20"/>
              </w:rPr>
              <w:t>75%</w:t>
            </w:r>
          </w:p>
        </w:tc>
        <w:tc>
          <w:tcPr>
            <w:tcW w:w="0" w:type="auto"/>
            <w:tcMar>
              <w:top w:w="30" w:type="dxa"/>
              <w:left w:w="45" w:type="dxa"/>
              <w:bottom w:w="30" w:type="dxa"/>
              <w:right w:w="45" w:type="dxa"/>
            </w:tcMar>
            <w:vAlign w:val="center"/>
            <w:hideMark/>
          </w:tcPr>
          <w:p w14:paraId="1104EEB8"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vMerge w:val="restart"/>
            <w:tcMar>
              <w:top w:w="30" w:type="dxa"/>
              <w:left w:w="45" w:type="dxa"/>
              <w:bottom w:w="30" w:type="dxa"/>
              <w:right w:w="45" w:type="dxa"/>
            </w:tcMar>
            <w:vAlign w:val="center"/>
            <w:hideMark/>
          </w:tcPr>
          <w:p w14:paraId="0546BCA0" w14:textId="77777777" w:rsidR="008D1985" w:rsidRPr="008D1985" w:rsidRDefault="008D1985" w:rsidP="00AA4BBB">
            <w:pPr>
              <w:jc w:val="center"/>
              <w:rPr>
                <w:rFonts w:cs="Arial"/>
                <w:b/>
                <w:bCs/>
                <w:sz w:val="20"/>
                <w:szCs w:val="20"/>
              </w:rPr>
            </w:pPr>
            <w:r w:rsidRPr="008D1985">
              <w:rPr>
                <w:rFonts w:cs="Arial"/>
                <w:b/>
                <w:bCs/>
                <w:sz w:val="20"/>
                <w:szCs w:val="20"/>
              </w:rPr>
              <w:t>27.311.406.725</w:t>
            </w:r>
          </w:p>
        </w:tc>
      </w:tr>
      <w:tr w:rsidR="008D1985" w:rsidRPr="008D1985" w14:paraId="3661FB30" w14:textId="77777777" w:rsidTr="00AA4BBB">
        <w:tc>
          <w:tcPr>
            <w:tcW w:w="0" w:type="auto"/>
            <w:vMerge/>
            <w:vAlign w:val="center"/>
            <w:hideMark/>
          </w:tcPr>
          <w:p w14:paraId="07AE9AD3"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50763A03" w14:textId="77777777" w:rsidR="008D1985" w:rsidRPr="008D1985" w:rsidRDefault="008D1985" w:rsidP="00AA4BBB">
            <w:pPr>
              <w:jc w:val="center"/>
              <w:rPr>
                <w:rFonts w:cs="Arial"/>
                <w:sz w:val="20"/>
                <w:szCs w:val="20"/>
              </w:rPr>
            </w:pPr>
            <w:r w:rsidRPr="008D1985">
              <w:rPr>
                <w:rFonts w:cs="Arial"/>
                <w:sz w:val="20"/>
                <w:szCs w:val="20"/>
              </w:rPr>
              <w:t>5.613.396.399</w:t>
            </w:r>
          </w:p>
        </w:tc>
        <w:tc>
          <w:tcPr>
            <w:tcW w:w="0" w:type="auto"/>
            <w:tcMar>
              <w:top w:w="30" w:type="dxa"/>
              <w:left w:w="45" w:type="dxa"/>
              <w:bottom w:w="30" w:type="dxa"/>
              <w:right w:w="45" w:type="dxa"/>
            </w:tcMar>
            <w:vAlign w:val="center"/>
            <w:hideMark/>
          </w:tcPr>
          <w:p w14:paraId="629C691E" w14:textId="77777777" w:rsidR="008D1985" w:rsidRPr="008D1985" w:rsidRDefault="008D1985" w:rsidP="00AA4BBB">
            <w:pPr>
              <w:jc w:val="center"/>
              <w:rPr>
                <w:rFonts w:cs="Arial"/>
                <w:sz w:val="20"/>
                <w:szCs w:val="20"/>
              </w:rPr>
            </w:pPr>
            <w:r w:rsidRPr="008D1985">
              <w:rPr>
                <w:rFonts w:cs="Arial"/>
                <w:sz w:val="20"/>
                <w:szCs w:val="20"/>
              </w:rPr>
              <w:t>6.538.983.652</w:t>
            </w:r>
          </w:p>
        </w:tc>
        <w:tc>
          <w:tcPr>
            <w:tcW w:w="0" w:type="auto"/>
            <w:tcMar>
              <w:top w:w="30" w:type="dxa"/>
              <w:left w:w="45" w:type="dxa"/>
              <w:bottom w:w="30" w:type="dxa"/>
              <w:right w:w="45" w:type="dxa"/>
            </w:tcMar>
            <w:vAlign w:val="center"/>
            <w:hideMark/>
          </w:tcPr>
          <w:p w14:paraId="2579908C" w14:textId="77777777" w:rsidR="008D1985" w:rsidRPr="008D1985" w:rsidRDefault="008D1985" w:rsidP="00AA4BBB">
            <w:pPr>
              <w:jc w:val="center"/>
              <w:rPr>
                <w:rFonts w:cs="Arial"/>
                <w:sz w:val="20"/>
                <w:szCs w:val="20"/>
              </w:rPr>
            </w:pPr>
            <w:r w:rsidRPr="008D1985">
              <w:rPr>
                <w:rFonts w:cs="Arial"/>
                <w:sz w:val="20"/>
                <w:szCs w:val="20"/>
              </w:rPr>
              <w:t>8.113.966.399</w:t>
            </w:r>
          </w:p>
        </w:tc>
        <w:tc>
          <w:tcPr>
            <w:tcW w:w="0" w:type="auto"/>
            <w:tcMar>
              <w:top w:w="30" w:type="dxa"/>
              <w:left w:w="45" w:type="dxa"/>
              <w:bottom w:w="30" w:type="dxa"/>
              <w:right w:w="45" w:type="dxa"/>
            </w:tcMar>
            <w:vAlign w:val="center"/>
            <w:hideMark/>
          </w:tcPr>
          <w:p w14:paraId="43AB0CDF" w14:textId="77777777" w:rsidR="008D1985" w:rsidRPr="008D1985" w:rsidRDefault="008D1985" w:rsidP="00AA4BBB">
            <w:pPr>
              <w:jc w:val="center"/>
              <w:rPr>
                <w:rFonts w:cs="Arial"/>
                <w:sz w:val="20"/>
                <w:szCs w:val="20"/>
              </w:rPr>
            </w:pPr>
            <w:r w:rsidRPr="008D1985">
              <w:rPr>
                <w:rFonts w:cs="Arial"/>
                <w:sz w:val="20"/>
                <w:szCs w:val="20"/>
              </w:rPr>
              <w:t>7.045.060.274</w:t>
            </w:r>
          </w:p>
        </w:tc>
        <w:tc>
          <w:tcPr>
            <w:tcW w:w="0" w:type="auto"/>
            <w:vMerge/>
            <w:vAlign w:val="center"/>
            <w:hideMark/>
          </w:tcPr>
          <w:p w14:paraId="1419A1D4" w14:textId="77777777" w:rsidR="008D1985" w:rsidRPr="008D1985" w:rsidRDefault="008D1985" w:rsidP="00AA4BBB">
            <w:pPr>
              <w:rPr>
                <w:rFonts w:cs="Arial"/>
                <w:b/>
                <w:bCs/>
                <w:sz w:val="20"/>
                <w:szCs w:val="20"/>
              </w:rPr>
            </w:pPr>
          </w:p>
        </w:tc>
      </w:tr>
      <w:tr w:rsidR="008D1985" w:rsidRPr="008D1985" w14:paraId="36E5C27F" w14:textId="77777777" w:rsidTr="00AA4BBB">
        <w:tc>
          <w:tcPr>
            <w:tcW w:w="0" w:type="auto"/>
            <w:gridSpan w:val="6"/>
            <w:shd w:val="clear" w:color="auto" w:fill="C00000"/>
            <w:tcMar>
              <w:top w:w="30" w:type="dxa"/>
              <w:left w:w="45" w:type="dxa"/>
              <w:bottom w:w="30" w:type="dxa"/>
              <w:right w:w="45" w:type="dxa"/>
            </w:tcMar>
            <w:vAlign w:val="center"/>
            <w:hideMark/>
          </w:tcPr>
          <w:p w14:paraId="67EE2A9D" w14:textId="77777777" w:rsidR="008D1985" w:rsidRPr="00DA10C4" w:rsidRDefault="008D1985" w:rsidP="00AA4BBB">
            <w:pPr>
              <w:jc w:val="center"/>
              <w:rPr>
                <w:rFonts w:cs="Arial"/>
                <w:b/>
                <w:bCs/>
                <w:color w:val="FFFFFF" w:themeColor="background1"/>
                <w:sz w:val="18"/>
                <w:szCs w:val="18"/>
              </w:rPr>
            </w:pPr>
            <w:r w:rsidRPr="00DA10C4">
              <w:rPr>
                <w:rFonts w:cs="Arial"/>
                <w:b/>
                <w:bCs/>
                <w:color w:val="FFFFFF" w:themeColor="background1"/>
                <w:sz w:val="18"/>
                <w:szCs w:val="18"/>
              </w:rPr>
              <w:t>Integración Social</w:t>
            </w:r>
          </w:p>
        </w:tc>
      </w:tr>
      <w:tr w:rsidR="008D1985" w:rsidRPr="008D1985" w14:paraId="32272139" w14:textId="77777777" w:rsidTr="00AA4BBB">
        <w:tc>
          <w:tcPr>
            <w:tcW w:w="0" w:type="auto"/>
            <w:vMerge w:val="restart"/>
            <w:tcMar>
              <w:top w:w="30" w:type="dxa"/>
              <w:left w:w="45" w:type="dxa"/>
              <w:bottom w:w="30" w:type="dxa"/>
              <w:right w:w="45" w:type="dxa"/>
            </w:tcMar>
            <w:vAlign w:val="center"/>
            <w:hideMark/>
          </w:tcPr>
          <w:p w14:paraId="27634679" w14:textId="77777777" w:rsidR="008D1985" w:rsidRPr="00DA10C4" w:rsidRDefault="008D1985" w:rsidP="00AA4BBB">
            <w:pPr>
              <w:rPr>
                <w:rFonts w:cs="Arial"/>
                <w:sz w:val="18"/>
                <w:szCs w:val="18"/>
              </w:rPr>
            </w:pPr>
            <w:r w:rsidRPr="00DA10C4">
              <w:rPr>
                <w:rFonts w:cs="Arial"/>
                <w:sz w:val="18"/>
                <w:szCs w:val="18"/>
              </w:rPr>
              <w:lastRenderedPageBreak/>
              <w:t>Reducir a 43% la obsolescencia Tecnológica del Sector Integración Social la cual incluye la actualización de los sistemas de información y equipamiento tecnológico</w:t>
            </w:r>
          </w:p>
        </w:tc>
        <w:tc>
          <w:tcPr>
            <w:tcW w:w="0" w:type="auto"/>
            <w:tcMar>
              <w:top w:w="30" w:type="dxa"/>
              <w:left w:w="45" w:type="dxa"/>
              <w:bottom w:w="30" w:type="dxa"/>
              <w:right w:w="45" w:type="dxa"/>
            </w:tcMar>
            <w:vAlign w:val="center"/>
            <w:hideMark/>
          </w:tcPr>
          <w:p w14:paraId="26935C9C" w14:textId="77777777" w:rsidR="008D1985" w:rsidRPr="008D1985" w:rsidRDefault="008D1985" w:rsidP="00AA4BBB">
            <w:pPr>
              <w:jc w:val="center"/>
              <w:rPr>
                <w:rFonts w:cs="Arial"/>
                <w:sz w:val="20"/>
                <w:szCs w:val="20"/>
              </w:rPr>
            </w:pPr>
            <w:r w:rsidRPr="008D1985">
              <w:rPr>
                <w:rFonts w:cs="Arial"/>
                <w:sz w:val="20"/>
                <w:szCs w:val="20"/>
              </w:rPr>
              <w:t>65</w:t>
            </w:r>
          </w:p>
        </w:tc>
        <w:tc>
          <w:tcPr>
            <w:tcW w:w="0" w:type="auto"/>
            <w:tcMar>
              <w:top w:w="30" w:type="dxa"/>
              <w:left w:w="45" w:type="dxa"/>
              <w:bottom w:w="30" w:type="dxa"/>
              <w:right w:w="45" w:type="dxa"/>
            </w:tcMar>
            <w:vAlign w:val="center"/>
            <w:hideMark/>
          </w:tcPr>
          <w:p w14:paraId="7E549F8A" w14:textId="77777777" w:rsidR="008D1985" w:rsidRPr="008D1985" w:rsidRDefault="008D1985" w:rsidP="00AA4BBB">
            <w:pPr>
              <w:jc w:val="center"/>
              <w:rPr>
                <w:rFonts w:cs="Arial"/>
                <w:sz w:val="20"/>
                <w:szCs w:val="20"/>
              </w:rPr>
            </w:pPr>
            <w:r w:rsidRPr="008D1985">
              <w:rPr>
                <w:rFonts w:cs="Arial"/>
                <w:sz w:val="20"/>
                <w:szCs w:val="20"/>
              </w:rPr>
              <w:t>59</w:t>
            </w:r>
          </w:p>
        </w:tc>
        <w:tc>
          <w:tcPr>
            <w:tcW w:w="0" w:type="auto"/>
            <w:tcMar>
              <w:top w:w="30" w:type="dxa"/>
              <w:left w:w="45" w:type="dxa"/>
              <w:bottom w:w="30" w:type="dxa"/>
              <w:right w:w="45" w:type="dxa"/>
            </w:tcMar>
            <w:vAlign w:val="center"/>
            <w:hideMark/>
          </w:tcPr>
          <w:p w14:paraId="0F796D4B" w14:textId="77777777" w:rsidR="008D1985" w:rsidRPr="008D1985" w:rsidRDefault="008D1985" w:rsidP="00AA4BBB">
            <w:pPr>
              <w:jc w:val="center"/>
              <w:rPr>
                <w:rFonts w:cs="Arial"/>
                <w:sz w:val="20"/>
                <w:szCs w:val="20"/>
              </w:rPr>
            </w:pPr>
            <w:r w:rsidRPr="008D1985">
              <w:rPr>
                <w:rFonts w:cs="Arial"/>
                <w:sz w:val="20"/>
                <w:szCs w:val="20"/>
              </w:rPr>
              <w:t>47</w:t>
            </w:r>
          </w:p>
        </w:tc>
        <w:tc>
          <w:tcPr>
            <w:tcW w:w="0" w:type="auto"/>
            <w:tcMar>
              <w:top w:w="30" w:type="dxa"/>
              <w:left w:w="45" w:type="dxa"/>
              <w:bottom w:w="30" w:type="dxa"/>
              <w:right w:w="45" w:type="dxa"/>
            </w:tcMar>
            <w:vAlign w:val="center"/>
            <w:hideMark/>
          </w:tcPr>
          <w:p w14:paraId="406288F9" w14:textId="77777777" w:rsidR="008D1985" w:rsidRPr="008D1985" w:rsidRDefault="008D1985" w:rsidP="00AA4BBB">
            <w:pPr>
              <w:jc w:val="center"/>
              <w:rPr>
                <w:rFonts w:cs="Arial"/>
                <w:sz w:val="20"/>
                <w:szCs w:val="20"/>
              </w:rPr>
            </w:pPr>
            <w:r w:rsidRPr="008D1985">
              <w:rPr>
                <w:rFonts w:cs="Arial"/>
                <w:sz w:val="20"/>
                <w:szCs w:val="20"/>
              </w:rPr>
              <w:t>43</w:t>
            </w:r>
          </w:p>
        </w:tc>
        <w:tc>
          <w:tcPr>
            <w:tcW w:w="0" w:type="auto"/>
            <w:vMerge w:val="restart"/>
            <w:tcMar>
              <w:top w:w="30" w:type="dxa"/>
              <w:left w:w="45" w:type="dxa"/>
              <w:bottom w:w="30" w:type="dxa"/>
              <w:right w:w="45" w:type="dxa"/>
            </w:tcMar>
            <w:vAlign w:val="center"/>
            <w:hideMark/>
          </w:tcPr>
          <w:p w14:paraId="1F2D912D" w14:textId="77777777" w:rsidR="008D1985" w:rsidRPr="008D1985" w:rsidRDefault="008D1985" w:rsidP="00AA4BBB">
            <w:pPr>
              <w:jc w:val="center"/>
              <w:rPr>
                <w:rFonts w:cs="Arial"/>
                <w:b/>
                <w:bCs/>
                <w:sz w:val="20"/>
                <w:szCs w:val="20"/>
              </w:rPr>
            </w:pPr>
            <w:r w:rsidRPr="008D1985">
              <w:rPr>
                <w:rFonts w:cs="Arial"/>
                <w:b/>
                <w:bCs/>
                <w:sz w:val="20"/>
                <w:szCs w:val="20"/>
              </w:rPr>
              <w:t>172.306.889.476</w:t>
            </w:r>
          </w:p>
        </w:tc>
      </w:tr>
      <w:tr w:rsidR="008D1985" w:rsidRPr="008D1985" w14:paraId="201E6F42" w14:textId="77777777" w:rsidTr="00AA4BBB">
        <w:tc>
          <w:tcPr>
            <w:tcW w:w="0" w:type="auto"/>
            <w:vMerge/>
            <w:vAlign w:val="center"/>
            <w:hideMark/>
          </w:tcPr>
          <w:p w14:paraId="22325230"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7F87C40A" w14:textId="77777777" w:rsidR="008D1985" w:rsidRPr="008D1985" w:rsidRDefault="008D1985" w:rsidP="00AA4BBB">
            <w:pPr>
              <w:jc w:val="center"/>
              <w:rPr>
                <w:rFonts w:cs="Arial"/>
                <w:sz w:val="20"/>
                <w:szCs w:val="20"/>
              </w:rPr>
            </w:pPr>
            <w:r w:rsidRPr="008D1985">
              <w:rPr>
                <w:rFonts w:cs="Arial"/>
                <w:sz w:val="20"/>
                <w:szCs w:val="20"/>
              </w:rPr>
              <w:t>41.408.000.000</w:t>
            </w:r>
          </w:p>
        </w:tc>
        <w:tc>
          <w:tcPr>
            <w:tcW w:w="0" w:type="auto"/>
            <w:tcMar>
              <w:top w:w="30" w:type="dxa"/>
              <w:left w:w="45" w:type="dxa"/>
              <w:bottom w:w="30" w:type="dxa"/>
              <w:right w:w="45" w:type="dxa"/>
            </w:tcMar>
            <w:vAlign w:val="center"/>
            <w:hideMark/>
          </w:tcPr>
          <w:p w14:paraId="1678B436" w14:textId="77777777" w:rsidR="008D1985" w:rsidRPr="008D1985" w:rsidRDefault="008D1985" w:rsidP="00AA4BBB">
            <w:pPr>
              <w:jc w:val="center"/>
              <w:rPr>
                <w:rFonts w:cs="Arial"/>
                <w:sz w:val="20"/>
                <w:szCs w:val="20"/>
              </w:rPr>
            </w:pPr>
            <w:r w:rsidRPr="008D1985">
              <w:rPr>
                <w:rFonts w:cs="Arial"/>
                <w:sz w:val="20"/>
                <w:szCs w:val="20"/>
              </w:rPr>
              <w:t>42.244.660.194</w:t>
            </w:r>
          </w:p>
        </w:tc>
        <w:tc>
          <w:tcPr>
            <w:tcW w:w="0" w:type="auto"/>
            <w:tcMar>
              <w:top w:w="30" w:type="dxa"/>
              <w:left w:w="45" w:type="dxa"/>
              <w:bottom w:w="30" w:type="dxa"/>
              <w:right w:w="45" w:type="dxa"/>
            </w:tcMar>
            <w:vAlign w:val="center"/>
            <w:hideMark/>
          </w:tcPr>
          <w:p w14:paraId="2FA649C5" w14:textId="77777777" w:rsidR="008D1985" w:rsidRPr="008D1985" w:rsidRDefault="008D1985" w:rsidP="00AA4BBB">
            <w:pPr>
              <w:jc w:val="center"/>
              <w:rPr>
                <w:rFonts w:cs="Arial"/>
                <w:sz w:val="20"/>
                <w:szCs w:val="20"/>
              </w:rPr>
            </w:pPr>
            <w:r w:rsidRPr="008D1985">
              <w:rPr>
                <w:rFonts w:cs="Arial"/>
                <w:sz w:val="20"/>
                <w:szCs w:val="20"/>
              </w:rPr>
              <w:t>44.046.564.238</w:t>
            </w:r>
          </w:p>
        </w:tc>
        <w:tc>
          <w:tcPr>
            <w:tcW w:w="0" w:type="auto"/>
            <w:tcMar>
              <w:top w:w="30" w:type="dxa"/>
              <w:left w:w="45" w:type="dxa"/>
              <w:bottom w:w="30" w:type="dxa"/>
              <w:right w:w="45" w:type="dxa"/>
            </w:tcMar>
            <w:vAlign w:val="center"/>
            <w:hideMark/>
          </w:tcPr>
          <w:p w14:paraId="1968CF5A" w14:textId="77777777" w:rsidR="008D1985" w:rsidRPr="008D1985" w:rsidRDefault="008D1985" w:rsidP="00AA4BBB">
            <w:pPr>
              <w:jc w:val="center"/>
              <w:rPr>
                <w:rFonts w:cs="Arial"/>
                <w:sz w:val="20"/>
                <w:szCs w:val="20"/>
              </w:rPr>
            </w:pPr>
            <w:r w:rsidRPr="008D1985">
              <w:rPr>
                <w:rFonts w:cs="Arial"/>
                <w:sz w:val="20"/>
                <w:szCs w:val="20"/>
              </w:rPr>
              <w:t>44.607.665.044</w:t>
            </w:r>
          </w:p>
        </w:tc>
        <w:tc>
          <w:tcPr>
            <w:tcW w:w="0" w:type="auto"/>
            <w:vMerge/>
            <w:vAlign w:val="center"/>
            <w:hideMark/>
          </w:tcPr>
          <w:p w14:paraId="64E77FCB" w14:textId="77777777" w:rsidR="008D1985" w:rsidRPr="008D1985" w:rsidRDefault="008D1985" w:rsidP="00AA4BBB">
            <w:pPr>
              <w:rPr>
                <w:rFonts w:cs="Arial"/>
                <w:b/>
                <w:bCs/>
                <w:sz w:val="20"/>
                <w:szCs w:val="20"/>
              </w:rPr>
            </w:pPr>
          </w:p>
        </w:tc>
      </w:tr>
      <w:tr w:rsidR="008D1985" w:rsidRPr="008D1985" w14:paraId="4D5038EA" w14:textId="77777777" w:rsidTr="00AA4BBB">
        <w:tc>
          <w:tcPr>
            <w:tcW w:w="0" w:type="auto"/>
            <w:gridSpan w:val="6"/>
            <w:shd w:val="clear" w:color="auto" w:fill="C00000"/>
            <w:tcMar>
              <w:top w:w="30" w:type="dxa"/>
              <w:left w:w="45" w:type="dxa"/>
              <w:bottom w:w="30" w:type="dxa"/>
              <w:right w:w="45" w:type="dxa"/>
            </w:tcMar>
            <w:vAlign w:val="center"/>
            <w:hideMark/>
          </w:tcPr>
          <w:p w14:paraId="4A9EE8A7" w14:textId="77777777" w:rsidR="008D1985" w:rsidRPr="00DA10C4" w:rsidRDefault="008D1985" w:rsidP="00AA4BBB">
            <w:pPr>
              <w:jc w:val="center"/>
              <w:rPr>
                <w:rFonts w:cs="Arial"/>
                <w:b/>
                <w:bCs/>
                <w:sz w:val="18"/>
                <w:szCs w:val="18"/>
              </w:rPr>
            </w:pPr>
            <w:r w:rsidRPr="00DA10C4">
              <w:rPr>
                <w:rFonts w:cs="Arial"/>
                <w:b/>
                <w:bCs/>
                <w:color w:val="FFFFFF" w:themeColor="background1"/>
                <w:sz w:val="18"/>
                <w:szCs w:val="18"/>
              </w:rPr>
              <w:t>Planeación</w:t>
            </w:r>
          </w:p>
        </w:tc>
      </w:tr>
      <w:tr w:rsidR="008D1985" w:rsidRPr="008D1985" w14:paraId="376C8C3B" w14:textId="77777777" w:rsidTr="00AA4BBB">
        <w:tc>
          <w:tcPr>
            <w:tcW w:w="0" w:type="auto"/>
            <w:vMerge w:val="restart"/>
            <w:tcMar>
              <w:top w:w="30" w:type="dxa"/>
              <w:left w:w="45" w:type="dxa"/>
              <w:bottom w:w="30" w:type="dxa"/>
              <w:right w:w="45" w:type="dxa"/>
            </w:tcMar>
            <w:vAlign w:val="center"/>
            <w:hideMark/>
          </w:tcPr>
          <w:p w14:paraId="19A45894" w14:textId="77777777" w:rsidR="008D1985" w:rsidRPr="00DA10C4" w:rsidRDefault="008D1985" w:rsidP="00AA4BBB">
            <w:pPr>
              <w:rPr>
                <w:rFonts w:cs="Arial"/>
                <w:sz w:val="18"/>
                <w:szCs w:val="18"/>
              </w:rPr>
            </w:pPr>
            <w:r w:rsidRPr="00DA10C4">
              <w:rPr>
                <w:rFonts w:cs="Arial"/>
                <w:sz w:val="18"/>
                <w:szCs w:val="18"/>
              </w:rPr>
              <w:t>Aplicar 5 instrumentos de captura de información para la toma de decisiones</w:t>
            </w:r>
          </w:p>
        </w:tc>
        <w:tc>
          <w:tcPr>
            <w:tcW w:w="0" w:type="auto"/>
            <w:tcMar>
              <w:top w:w="30" w:type="dxa"/>
              <w:left w:w="45" w:type="dxa"/>
              <w:bottom w:w="30" w:type="dxa"/>
              <w:right w:w="45" w:type="dxa"/>
            </w:tcMar>
            <w:vAlign w:val="center"/>
            <w:hideMark/>
          </w:tcPr>
          <w:p w14:paraId="50E6EB00" w14:textId="7763964E" w:rsidR="008D1985" w:rsidRPr="008D1985" w:rsidRDefault="008D1985" w:rsidP="00AA4BBB">
            <w:pPr>
              <w:jc w:val="center"/>
              <w:rPr>
                <w:rFonts w:cs="Arial"/>
                <w:sz w:val="20"/>
                <w:szCs w:val="20"/>
              </w:rPr>
            </w:pPr>
            <w:r w:rsidRPr="008D1985">
              <w:rPr>
                <w:rFonts w:cs="Arial"/>
                <w:sz w:val="20"/>
                <w:szCs w:val="20"/>
              </w:rPr>
              <w:t>1,</w:t>
            </w:r>
            <w:r>
              <w:rPr>
                <w:rFonts w:cs="Arial"/>
                <w:sz w:val="20"/>
                <w:szCs w:val="20"/>
              </w:rPr>
              <w:t>3</w:t>
            </w:r>
          </w:p>
        </w:tc>
        <w:tc>
          <w:tcPr>
            <w:tcW w:w="0" w:type="auto"/>
            <w:tcMar>
              <w:top w:w="30" w:type="dxa"/>
              <w:left w:w="45" w:type="dxa"/>
              <w:bottom w:w="30" w:type="dxa"/>
              <w:right w:w="45" w:type="dxa"/>
            </w:tcMar>
            <w:vAlign w:val="center"/>
            <w:hideMark/>
          </w:tcPr>
          <w:p w14:paraId="45D2328C" w14:textId="77777777" w:rsidR="008D1985" w:rsidRPr="008D1985" w:rsidRDefault="008D1985" w:rsidP="00AA4BBB">
            <w:pPr>
              <w:jc w:val="center"/>
              <w:rPr>
                <w:rFonts w:cs="Arial"/>
                <w:sz w:val="20"/>
                <w:szCs w:val="20"/>
              </w:rPr>
            </w:pPr>
            <w:r w:rsidRPr="008D1985">
              <w:rPr>
                <w:rFonts w:cs="Arial"/>
                <w:sz w:val="20"/>
                <w:szCs w:val="20"/>
              </w:rPr>
              <w:t>1,6</w:t>
            </w:r>
          </w:p>
        </w:tc>
        <w:tc>
          <w:tcPr>
            <w:tcW w:w="0" w:type="auto"/>
            <w:tcMar>
              <w:top w:w="30" w:type="dxa"/>
              <w:left w:w="45" w:type="dxa"/>
              <w:bottom w:w="30" w:type="dxa"/>
              <w:right w:w="45" w:type="dxa"/>
            </w:tcMar>
            <w:vAlign w:val="center"/>
            <w:hideMark/>
          </w:tcPr>
          <w:p w14:paraId="2BE9ECA4" w14:textId="77777777" w:rsidR="008D1985" w:rsidRPr="008D1985" w:rsidRDefault="008D1985" w:rsidP="00AA4BBB">
            <w:pPr>
              <w:jc w:val="center"/>
              <w:rPr>
                <w:rFonts w:cs="Arial"/>
                <w:sz w:val="20"/>
                <w:szCs w:val="20"/>
              </w:rPr>
            </w:pPr>
            <w:r w:rsidRPr="008D1985">
              <w:rPr>
                <w:rFonts w:cs="Arial"/>
                <w:sz w:val="20"/>
                <w:szCs w:val="20"/>
              </w:rPr>
              <w:t>1,1</w:t>
            </w:r>
          </w:p>
        </w:tc>
        <w:tc>
          <w:tcPr>
            <w:tcW w:w="0" w:type="auto"/>
            <w:tcMar>
              <w:top w:w="30" w:type="dxa"/>
              <w:left w:w="45" w:type="dxa"/>
              <w:bottom w:w="30" w:type="dxa"/>
              <w:right w:w="45" w:type="dxa"/>
            </w:tcMar>
            <w:vAlign w:val="center"/>
            <w:hideMark/>
          </w:tcPr>
          <w:p w14:paraId="482829DE" w14:textId="4A677309" w:rsidR="008D1985" w:rsidRPr="008D1985" w:rsidRDefault="008D1985" w:rsidP="00AA4BBB">
            <w:pPr>
              <w:jc w:val="center"/>
              <w:rPr>
                <w:rFonts w:cs="Arial"/>
                <w:sz w:val="20"/>
                <w:szCs w:val="20"/>
              </w:rPr>
            </w:pPr>
            <w:r w:rsidRPr="008D1985">
              <w:rPr>
                <w:rFonts w:cs="Arial"/>
                <w:sz w:val="20"/>
                <w:szCs w:val="20"/>
              </w:rPr>
              <w:t>1</w:t>
            </w:r>
          </w:p>
        </w:tc>
        <w:tc>
          <w:tcPr>
            <w:tcW w:w="0" w:type="auto"/>
            <w:vMerge w:val="restart"/>
            <w:tcMar>
              <w:top w:w="30" w:type="dxa"/>
              <w:left w:w="45" w:type="dxa"/>
              <w:bottom w:w="30" w:type="dxa"/>
              <w:right w:w="45" w:type="dxa"/>
            </w:tcMar>
            <w:vAlign w:val="center"/>
            <w:hideMark/>
          </w:tcPr>
          <w:p w14:paraId="47DAFEC4" w14:textId="77777777" w:rsidR="008D1985" w:rsidRPr="008D1985" w:rsidRDefault="008D1985" w:rsidP="00AA4BBB">
            <w:pPr>
              <w:jc w:val="center"/>
              <w:rPr>
                <w:rFonts w:cs="Arial"/>
                <w:b/>
                <w:bCs/>
                <w:sz w:val="20"/>
                <w:szCs w:val="20"/>
              </w:rPr>
            </w:pPr>
            <w:r w:rsidRPr="008D1985">
              <w:rPr>
                <w:rFonts w:cs="Arial"/>
                <w:b/>
                <w:bCs/>
                <w:sz w:val="20"/>
                <w:szCs w:val="20"/>
              </w:rPr>
              <w:t>35.637.101.608</w:t>
            </w:r>
          </w:p>
        </w:tc>
      </w:tr>
      <w:tr w:rsidR="008D1985" w:rsidRPr="008D1985" w14:paraId="4451E0C6" w14:textId="77777777" w:rsidTr="00AA4BBB">
        <w:tc>
          <w:tcPr>
            <w:tcW w:w="0" w:type="auto"/>
            <w:vMerge/>
            <w:vAlign w:val="center"/>
            <w:hideMark/>
          </w:tcPr>
          <w:p w14:paraId="5A4C83E8"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446D3844" w14:textId="77777777" w:rsidR="008D1985" w:rsidRPr="008D1985" w:rsidRDefault="008D1985" w:rsidP="00AA4BBB">
            <w:pPr>
              <w:jc w:val="center"/>
              <w:rPr>
                <w:rFonts w:cs="Arial"/>
                <w:sz w:val="20"/>
                <w:szCs w:val="20"/>
              </w:rPr>
            </w:pPr>
            <w:r w:rsidRPr="008D1985">
              <w:rPr>
                <w:rFonts w:cs="Arial"/>
                <w:sz w:val="20"/>
                <w:szCs w:val="20"/>
              </w:rPr>
              <w:t>9.057.000.000</w:t>
            </w:r>
          </w:p>
        </w:tc>
        <w:tc>
          <w:tcPr>
            <w:tcW w:w="0" w:type="auto"/>
            <w:tcMar>
              <w:top w:w="30" w:type="dxa"/>
              <w:left w:w="45" w:type="dxa"/>
              <w:bottom w:w="30" w:type="dxa"/>
              <w:right w:w="45" w:type="dxa"/>
            </w:tcMar>
            <w:vAlign w:val="center"/>
            <w:hideMark/>
          </w:tcPr>
          <w:p w14:paraId="2D147281" w14:textId="77777777" w:rsidR="008D1985" w:rsidRPr="008D1985" w:rsidRDefault="008D1985" w:rsidP="00AA4BBB">
            <w:pPr>
              <w:jc w:val="center"/>
              <w:rPr>
                <w:rFonts w:cs="Arial"/>
                <w:sz w:val="20"/>
                <w:szCs w:val="20"/>
              </w:rPr>
            </w:pPr>
            <w:r w:rsidRPr="008D1985">
              <w:rPr>
                <w:rFonts w:cs="Arial"/>
                <w:sz w:val="20"/>
                <w:szCs w:val="20"/>
              </w:rPr>
              <w:t>12.788.349.515</w:t>
            </w:r>
          </w:p>
        </w:tc>
        <w:tc>
          <w:tcPr>
            <w:tcW w:w="0" w:type="auto"/>
            <w:tcMar>
              <w:top w:w="30" w:type="dxa"/>
              <w:left w:w="45" w:type="dxa"/>
              <w:bottom w:w="30" w:type="dxa"/>
              <w:right w:w="45" w:type="dxa"/>
            </w:tcMar>
            <w:vAlign w:val="center"/>
            <w:hideMark/>
          </w:tcPr>
          <w:p w14:paraId="047984A0" w14:textId="77777777" w:rsidR="008D1985" w:rsidRPr="008D1985" w:rsidRDefault="008D1985" w:rsidP="00AA4BBB">
            <w:pPr>
              <w:jc w:val="center"/>
              <w:rPr>
                <w:rFonts w:cs="Arial"/>
                <w:sz w:val="20"/>
                <w:szCs w:val="20"/>
              </w:rPr>
            </w:pPr>
            <w:r w:rsidRPr="008D1985">
              <w:rPr>
                <w:rFonts w:cs="Arial"/>
                <w:sz w:val="20"/>
                <w:szCs w:val="20"/>
              </w:rPr>
              <w:t>11.567.536.997</w:t>
            </w:r>
          </w:p>
        </w:tc>
        <w:tc>
          <w:tcPr>
            <w:tcW w:w="0" w:type="auto"/>
            <w:tcMar>
              <w:top w:w="30" w:type="dxa"/>
              <w:left w:w="45" w:type="dxa"/>
              <w:bottom w:w="30" w:type="dxa"/>
              <w:right w:w="45" w:type="dxa"/>
            </w:tcMar>
            <w:vAlign w:val="center"/>
            <w:hideMark/>
          </w:tcPr>
          <w:p w14:paraId="44E1A5B9" w14:textId="77777777" w:rsidR="008D1985" w:rsidRPr="008D1985" w:rsidRDefault="008D1985" w:rsidP="00AA4BBB">
            <w:pPr>
              <w:jc w:val="center"/>
              <w:rPr>
                <w:rFonts w:cs="Arial"/>
                <w:sz w:val="20"/>
                <w:szCs w:val="20"/>
              </w:rPr>
            </w:pPr>
            <w:r w:rsidRPr="008D1985">
              <w:rPr>
                <w:rFonts w:cs="Arial"/>
                <w:sz w:val="20"/>
                <w:szCs w:val="20"/>
              </w:rPr>
              <w:t>11.080.535.211</w:t>
            </w:r>
          </w:p>
        </w:tc>
        <w:tc>
          <w:tcPr>
            <w:tcW w:w="0" w:type="auto"/>
            <w:vMerge/>
            <w:vAlign w:val="center"/>
            <w:hideMark/>
          </w:tcPr>
          <w:p w14:paraId="1F9F7B82" w14:textId="77777777" w:rsidR="008D1985" w:rsidRPr="008D1985" w:rsidRDefault="008D1985" w:rsidP="00AA4BBB">
            <w:pPr>
              <w:rPr>
                <w:rFonts w:cs="Arial"/>
                <w:b/>
                <w:bCs/>
                <w:sz w:val="20"/>
                <w:szCs w:val="20"/>
              </w:rPr>
            </w:pPr>
          </w:p>
        </w:tc>
      </w:tr>
      <w:tr w:rsidR="008D1985" w:rsidRPr="008D1985" w14:paraId="53A9E44A" w14:textId="77777777" w:rsidTr="00AA4BBB">
        <w:tc>
          <w:tcPr>
            <w:tcW w:w="0" w:type="auto"/>
            <w:vMerge w:val="restart"/>
            <w:tcMar>
              <w:top w:w="30" w:type="dxa"/>
              <w:left w:w="45" w:type="dxa"/>
              <w:bottom w:w="30" w:type="dxa"/>
              <w:right w:w="45" w:type="dxa"/>
            </w:tcMar>
            <w:vAlign w:val="center"/>
            <w:hideMark/>
          </w:tcPr>
          <w:p w14:paraId="1428EEC3" w14:textId="77777777" w:rsidR="008D1985" w:rsidRPr="00DA10C4" w:rsidRDefault="008D1985" w:rsidP="00AA4BBB">
            <w:pPr>
              <w:rPr>
                <w:rFonts w:cs="Arial"/>
                <w:sz w:val="18"/>
                <w:szCs w:val="18"/>
              </w:rPr>
            </w:pPr>
            <w:r w:rsidRPr="00DA10C4">
              <w:rPr>
                <w:rFonts w:cs="Arial"/>
                <w:sz w:val="18"/>
                <w:szCs w:val="18"/>
              </w:rPr>
              <w:t>Consolidar el 100% de la primera fase del sistema de información de planeación distrital.</w:t>
            </w:r>
          </w:p>
        </w:tc>
        <w:tc>
          <w:tcPr>
            <w:tcW w:w="0" w:type="auto"/>
            <w:tcMar>
              <w:top w:w="30" w:type="dxa"/>
              <w:left w:w="45" w:type="dxa"/>
              <w:bottom w:w="30" w:type="dxa"/>
              <w:right w:w="45" w:type="dxa"/>
            </w:tcMar>
            <w:vAlign w:val="center"/>
            <w:hideMark/>
          </w:tcPr>
          <w:p w14:paraId="015C78B9" w14:textId="77777777" w:rsidR="008D1985" w:rsidRPr="008D1985" w:rsidRDefault="008D1985" w:rsidP="00AA4BBB">
            <w:pPr>
              <w:jc w:val="center"/>
              <w:rPr>
                <w:rFonts w:cs="Arial"/>
                <w:sz w:val="20"/>
                <w:szCs w:val="20"/>
              </w:rPr>
            </w:pPr>
            <w:r w:rsidRPr="008D1985">
              <w:rPr>
                <w:rFonts w:cs="Arial"/>
                <w:sz w:val="20"/>
                <w:szCs w:val="20"/>
              </w:rPr>
              <w:t>20,00%</w:t>
            </w:r>
          </w:p>
        </w:tc>
        <w:tc>
          <w:tcPr>
            <w:tcW w:w="0" w:type="auto"/>
            <w:tcMar>
              <w:top w:w="30" w:type="dxa"/>
              <w:left w:w="45" w:type="dxa"/>
              <w:bottom w:w="30" w:type="dxa"/>
              <w:right w:w="45" w:type="dxa"/>
            </w:tcMar>
            <w:vAlign w:val="center"/>
            <w:hideMark/>
          </w:tcPr>
          <w:p w14:paraId="5390086E" w14:textId="77777777" w:rsidR="008D1985" w:rsidRPr="008D1985" w:rsidRDefault="008D1985" w:rsidP="00AA4BBB">
            <w:pPr>
              <w:jc w:val="center"/>
              <w:rPr>
                <w:rFonts w:cs="Arial"/>
                <w:sz w:val="20"/>
                <w:szCs w:val="20"/>
              </w:rPr>
            </w:pPr>
            <w:r w:rsidRPr="008D1985">
              <w:rPr>
                <w:rFonts w:cs="Arial"/>
                <w:sz w:val="20"/>
                <w:szCs w:val="20"/>
              </w:rPr>
              <w:t>30,00%</w:t>
            </w:r>
          </w:p>
        </w:tc>
        <w:tc>
          <w:tcPr>
            <w:tcW w:w="0" w:type="auto"/>
            <w:tcMar>
              <w:top w:w="30" w:type="dxa"/>
              <w:left w:w="45" w:type="dxa"/>
              <w:bottom w:w="30" w:type="dxa"/>
              <w:right w:w="45" w:type="dxa"/>
            </w:tcMar>
            <w:vAlign w:val="center"/>
            <w:hideMark/>
          </w:tcPr>
          <w:p w14:paraId="57A038C8" w14:textId="77777777" w:rsidR="008D1985" w:rsidRPr="008D1985" w:rsidRDefault="008D1985" w:rsidP="00AA4BBB">
            <w:pPr>
              <w:jc w:val="center"/>
              <w:rPr>
                <w:rFonts w:cs="Arial"/>
                <w:sz w:val="20"/>
                <w:szCs w:val="20"/>
              </w:rPr>
            </w:pPr>
            <w:r w:rsidRPr="008D1985">
              <w:rPr>
                <w:rFonts w:cs="Arial"/>
                <w:sz w:val="20"/>
                <w:szCs w:val="20"/>
              </w:rPr>
              <w:t>30,00%</w:t>
            </w:r>
          </w:p>
        </w:tc>
        <w:tc>
          <w:tcPr>
            <w:tcW w:w="0" w:type="auto"/>
            <w:tcMar>
              <w:top w:w="30" w:type="dxa"/>
              <w:left w:w="45" w:type="dxa"/>
              <w:bottom w:w="30" w:type="dxa"/>
              <w:right w:w="45" w:type="dxa"/>
            </w:tcMar>
            <w:vAlign w:val="center"/>
            <w:hideMark/>
          </w:tcPr>
          <w:p w14:paraId="38AF2746" w14:textId="77777777" w:rsidR="008D1985" w:rsidRPr="008D1985" w:rsidRDefault="008D1985" w:rsidP="00AA4BBB">
            <w:pPr>
              <w:jc w:val="center"/>
              <w:rPr>
                <w:rFonts w:cs="Arial"/>
                <w:sz w:val="20"/>
                <w:szCs w:val="20"/>
              </w:rPr>
            </w:pPr>
            <w:r w:rsidRPr="008D1985">
              <w:rPr>
                <w:rFonts w:cs="Arial"/>
                <w:sz w:val="20"/>
                <w:szCs w:val="20"/>
              </w:rPr>
              <w:t>20,00%</w:t>
            </w:r>
          </w:p>
        </w:tc>
        <w:tc>
          <w:tcPr>
            <w:tcW w:w="0" w:type="auto"/>
            <w:vMerge w:val="restart"/>
            <w:tcMar>
              <w:top w:w="30" w:type="dxa"/>
              <w:left w:w="45" w:type="dxa"/>
              <w:bottom w:w="30" w:type="dxa"/>
              <w:right w:w="45" w:type="dxa"/>
            </w:tcMar>
            <w:vAlign w:val="center"/>
            <w:hideMark/>
          </w:tcPr>
          <w:p w14:paraId="3282815F" w14:textId="77777777" w:rsidR="008D1985" w:rsidRPr="008D1985" w:rsidRDefault="008D1985" w:rsidP="00AA4BBB">
            <w:pPr>
              <w:jc w:val="center"/>
              <w:rPr>
                <w:rFonts w:cs="Arial"/>
                <w:b/>
                <w:bCs/>
                <w:sz w:val="20"/>
                <w:szCs w:val="20"/>
              </w:rPr>
            </w:pPr>
            <w:r w:rsidRPr="008D1985">
              <w:rPr>
                <w:rFonts w:cs="Arial"/>
                <w:b/>
                <w:bCs/>
                <w:sz w:val="20"/>
                <w:szCs w:val="20"/>
              </w:rPr>
              <w:t>7.065.688.898</w:t>
            </w:r>
          </w:p>
        </w:tc>
      </w:tr>
      <w:tr w:rsidR="008D1985" w:rsidRPr="008D1985" w14:paraId="2D37F807" w14:textId="77777777" w:rsidTr="00AA4BBB">
        <w:tc>
          <w:tcPr>
            <w:tcW w:w="0" w:type="auto"/>
            <w:vMerge/>
            <w:vAlign w:val="center"/>
            <w:hideMark/>
          </w:tcPr>
          <w:p w14:paraId="37A7CF5D"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3BCAEC84" w14:textId="77777777" w:rsidR="008D1985" w:rsidRPr="008D1985" w:rsidRDefault="008D1985" w:rsidP="00AA4BBB">
            <w:pPr>
              <w:jc w:val="center"/>
              <w:rPr>
                <w:rFonts w:cs="Arial"/>
                <w:sz w:val="20"/>
                <w:szCs w:val="20"/>
              </w:rPr>
            </w:pPr>
            <w:r w:rsidRPr="008D1985">
              <w:rPr>
                <w:rFonts w:cs="Arial"/>
                <w:sz w:val="20"/>
                <w:szCs w:val="20"/>
              </w:rPr>
              <w:t>1.039.374.000</w:t>
            </w:r>
          </w:p>
        </w:tc>
        <w:tc>
          <w:tcPr>
            <w:tcW w:w="0" w:type="auto"/>
            <w:tcMar>
              <w:top w:w="30" w:type="dxa"/>
              <w:left w:w="45" w:type="dxa"/>
              <w:bottom w:w="30" w:type="dxa"/>
              <w:right w:w="45" w:type="dxa"/>
            </w:tcMar>
            <w:vAlign w:val="center"/>
            <w:hideMark/>
          </w:tcPr>
          <w:p w14:paraId="72E05399" w14:textId="77777777" w:rsidR="008D1985" w:rsidRPr="008D1985" w:rsidRDefault="008D1985" w:rsidP="00AA4BBB">
            <w:pPr>
              <w:jc w:val="center"/>
              <w:rPr>
                <w:rFonts w:cs="Arial"/>
                <w:sz w:val="20"/>
                <w:szCs w:val="20"/>
              </w:rPr>
            </w:pPr>
            <w:r w:rsidRPr="008D1985">
              <w:rPr>
                <w:rFonts w:cs="Arial"/>
                <w:sz w:val="20"/>
                <w:szCs w:val="20"/>
              </w:rPr>
              <w:t>2.165.048.544</w:t>
            </w:r>
          </w:p>
        </w:tc>
        <w:tc>
          <w:tcPr>
            <w:tcW w:w="0" w:type="auto"/>
            <w:tcMar>
              <w:top w:w="30" w:type="dxa"/>
              <w:left w:w="45" w:type="dxa"/>
              <w:bottom w:w="30" w:type="dxa"/>
              <w:right w:w="45" w:type="dxa"/>
            </w:tcMar>
            <w:vAlign w:val="center"/>
            <w:hideMark/>
          </w:tcPr>
          <w:p w14:paraId="22F41802" w14:textId="77777777" w:rsidR="008D1985" w:rsidRPr="008D1985" w:rsidRDefault="008D1985" w:rsidP="00AA4BBB">
            <w:pPr>
              <w:jc w:val="center"/>
              <w:rPr>
                <w:rFonts w:cs="Arial"/>
                <w:sz w:val="20"/>
                <w:szCs w:val="20"/>
              </w:rPr>
            </w:pPr>
            <w:r w:rsidRPr="008D1985">
              <w:rPr>
                <w:rFonts w:cs="Arial"/>
                <w:sz w:val="20"/>
                <w:szCs w:val="20"/>
              </w:rPr>
              <w:t>2.391.365.821</w:t>
            </w:r>
          </w:p>
        </w:tc>
        <w:tc>
          <w:tcPr>
            <w:tcW w:w="0" w:type="auto"/>
            <w:tcMar>
              <w:top w:w="30" w:type="dxa"/>
              <w:left w:w="45" w:type="dxa"/>
              <w:bottom w:w="30" w:type="dxa"/>
              <w:right w:w="45" w:type="dxa"/>
            </w:tcMar>
            <w:vAlign w:val="center"/>
            <w:hideMark/>
          </w:tcPr>
          <w:p w14:paraId="0949CF49" w14:textId="77777777" w:rsidR="008D1985" w:rsidRPr="008D1985" w:rsidRDefault="008D1985" w:rsidP="00AA4BBB">
            <w:pPr>
              <w:jc w:val="center"/>
              <w:rPr>
                <w:rFonts w:cs="Arial"/>
                <w:sz w:val="20"/>
                <w:szCs w:val="20"/>
              </w:rPr>
            </w:pPr>
            <w:r w:rsidRPr="008D1985">
              <w:rPr>
                <w:rFonts w:cs="Arial"/>
                <w:sz w:val="20"/>
                <w:szCs w:val="20"/>
              </w:rPr>
              <w:t>1.469.900.533</w:t>
            </w:r>
          </w:p>
        </w:tc>
        <w:tc>
          <w:tcPr>
            <w:tcW w:w="0" w:type="auto"/>
            <w:vMerge/>
            <w:vAlign w:val="center"/>
            <w:hideMark/>
          </w:tcPr>
          <w:p w14:paraId="6FA1CCBA" w14:textId="77777777" w:rsidR="008D1985" w:rsidRPr="008D1985" w:rsidRDefault="008D1985" w:rsidP="00AA4BBB">
            <w:pPr>
              <w:rPr>
                <w:rFonts w:cs="Arial"/>
                <w:b/>
                <w:bCs/>
                <w:sz w:val="20"/>
                <w:szCs w:val="20"/>
              </w:rPr>
            </w:pPr>
          </w:p>
        </w:tc>
      </w:tr>
      <w:tr w:rsidR="008D1985" w:rsidRPr="008D1985" w14:paraId="413EE8A6" w14:textId="77777777" w:rsidTr="00AA4BBB">
        <w:tc>
          <w:tcPr>
            <w:tcW w:w="0" w:type="auto"/>
            <w:vMerge w:val="restart"/>
            <w:tcMar>
              <w:top w:w="30" w:type="dxa"/>
              <w:left w:w="45" w:type="dxa"/>
              <w:bottom w:w="30" w:type="dxa"/>
              <w:right w:w="45" w:type="dxa"/>
            </w:tcMar>
            <w:vAlign w:val="center"/>
            <w:hideMark/>
          </w:tcPr>
          <w:p w14:paraId="5732F324" w14:textId="77777777" w:rsidR="008D1985" w:rsidRPr="00DA10C4" w:rsidRDefault="008D1985" w:rsidP="00AA4BBB">
            <w:pPr>
              <w:rPr>
                <w:rFonts w:cs="Arial"/>
                <w:sz w:val="18"/>
                <w:szCs w:val="18"/>
              </w:rPr>
            </w:pPr>
            <w:r w:rsidRPr="00DA10C4">
              <w:rPr>
                <w:rFonts w:cs="Arial"/>
                <w:sz w:val="18"/>
                <w:szCs w:val="18"/>
              </w:rPr>
              <w:t>Implementar el 60% del Plan Estadístico Distrital 2025-2029.</w:t>
            </w:r>
          </w:p>
        </w:tc>
        <w:tc>
          <w:tcPr>
            <w:tcW w:w="0" w:type="auto"/>
            <w:tcMar>
              <w:top w:w="30" w:type="dxa"/>
              <w:left w:w="45" w:type="dxa"/>
              <w:bottom w:w="30" w:type="dxa"/>
              <w:right w:w="45" w:type="dxa"/>
            </w:tcMar>
            <w:vAlign w:val="center"/>
            <w:hideMark/>
          </w:tcPr>
          <w:p w14:paraId="58A69AAC" w14:textId="77777777" w:rsidR="008D1985" w:rsidRPr="008D1985" w:rsidRDefault="008D1985" w:rsidP="00AA4BBB">
            <w:pPr>
              <w:jc w:val="center"/>
              <w:rPr>
                <w:rFonts w:cs="Arial"/>
                <w:sz w:val="20"/>
                <w:szCs w:val="20"/>
              </w:rPr>
            </w:pPr>
            <w:r w:rsidRPr="008D1985">
              <w:rPr>
                <w:rFonts w:cs="Arial"/>
                <w:sz w:val="20"/>
                <w:szCs w:val="20"/>
              </w:rPr>
              <w:t>15,00%</w:t>
            </w:r>
          </w:p>
        </w:tc>
        <w:tc>
          <w:tcPr>
            <w:tcW w:w="0" w:type="auto"/>
            <w:tcMar>
              <w:top w:w="30" w:type="dxa"/>
              <w:left w:w="45" w:type="dxa"/>
              <w:bottom w:w="30" w:type="dxa"/>
              <w:right w:w="45" w:type="dxa"/>
            </w:tcMar>
            <w:vAlign w:val="center"/>
            <w:hideMark/>
          </w:tcPr>
          <w:p w14:paraId="0A889639" w14:textId="77777777" w:rsidR="008D1985" w:rsidRPr="008D1985" w:rsidRDefault="008D1985" w:rsidP="00AA4BBB">
            <w:pPr>
              <w:jc w:val="center"/>
              <w:rPr>
                <w:rFonts w:cs="Arial"/>
                <w:sz w:val="20"/>
                <w:szCs w:val="20"/>
              </w:rPr>
            </w:pPr>
            <w:r w:rsidRPr="008D1985">
              <w:rPr>
                <w:rFonts w:cs="Arial"/>
                <w:sz w:val="20"/>
                <w:szCs w:val="20"/>
              </w:rPr>
              <w:t>15,00%</w:t>
            </w:r>
          </w:p>
        </w:tc>
        <w:tc>
          <w:tcPr>
            <w:tcW w:w="0" w:type="auto"/>
            <w:tcMar>
              <w:top w:w="30" w:type="dxa"/>
              <w:left w:w="45" w:type="dxa"/>
              <w:bottom w:w="30" w:type="dxa"/>
              <w:right w:w="45" w:type="dxa"/>
            </w:tcMar>
            <w:vAlign w:val="center"/>
            <w:hideMark/>
          </w:tcPr>
          <w:p w14:paraId="34F7C51A" w14:textId="77777777" w:rsidR="008D1985" w:rsidRPr="008D1985" w:rsidRDefault="008D1985" w:rsidP="00AA4BBB">
            <w:pPr>
              <w:jc w:val="center"/>
              <w:rPr>
                <w:rFonts w:cs="Arial"/>
                <w:sz w:val="20"/>
                <w:szCs w:val="20"/>
              </w:rPr>
            </w:pPr>
            <w:r w:rsidRPr="008D1985">
              <w:rPr>
                <w:rFonts w:cs="Arial"/>
                <w:sz w:val="20"/>
                <w:szCs w:val="20"/>
              </w:rPr>
              <w:t>15,00%</w:t>
            </w:r>
          </w:p>
        </w:tc>
        <w:tc>
          <w:tcPr>
            <w:tcW w:w="0" w:type="auto"/>
            <w:tcMar>
              <w:top w:w="30" w:type="dxa"/>
              <w:left w:w="45" w:type="dxa"/>
              <w:bottom w:w="30" w:type="dxa"/>
              <w:right w:w="45" w:type="dxa"/>
            </w:tcMar>
            <w:vAlign w:val="center"/>
            <w:hideMark/>
          </w:tcPr>
          <w:p w14:paraId="2051395C" w14:textId="77777777" w:rsidR="008D1985" w:rsidRPr="008D1985" w:rsidRDefault="008D1985" w:rsidP="00AA4BBB">
            <w:pPr>
              <w:jc w:val="center"/>
              <w:rPr>
                <w:rFonts w:cs="Arial"/>
                <w:sz w:val="20"/>
                <w:szCs w:val="20"/>
              </w:rPr>
            </w:pPr>
            <w:r w:rsidRPr="008D1985">
              <w:rPr>
                <w:rFonts w:cs="Arial"/>
                <w:sz w:val="20"/>
                <w:szCs w:val="20"/>
              </w:rPr>
              <w:t>15,00%</w:t>
            </w:r>
          </w:p>
        </w:tc>
        <w:tc>
          <w:tcPr>
            <w:tcW w:w="0" w:type="auto"/>
            <w:vMerge w:val="restart"/>
            <w:tcMar>
              <w:top w:w="30" w:type="dxa"/>
              <w:left w:w="45" w:type="dxa"/>
              <w:bottom w:w="30" w:type="dxa"/>
              <w:right w:w="45" w:type="dxa"/>
            </w:tcMar>
            <w:vAlign w:val="center"/>
            <w:hideMark/>
          </w:tcPr>
          <w:p w14:paraId="671239C3" w14:textId="77777777" w:rsidR="008D1985" w:rsidRPr="008D1985" w:rsidRDefault="008D1985" w:rsidP="00AA4BBB">
            <w:pPr>
              <w:jc w:val="center"/>
              <w:rPr>
                <w:rFonts w:cs="Arial"/>
                <w:b/>
                <w:bCs/>
                <w:sz w:val="20"/>
                <w:szCs w:val="20"/>
              </w:rPr>
            </w:pPr>
            <w:r w:rsidRPr="008D1985">
              <w:rPr>
                <w:rFonts w:cs="Arial"/>
                <w:b/>
                <w:bCs/>
                <w:sz w:val="20"/>
                <w:szCs w:val="20"/>
              </w:rPr>
              <w:t>2.256.309.993</w:t>
            </w:r>
          </w:p>
        </w:tc>
      </w:tr>
      <w:tr w:rsidR="008D1985" w:rsidRPr="008D1985" w14:paraId="4BA676D8" w14:textId="77777777" w:rsidTr="00AA4BBB">
        <w:tc>
          <w:tcPr>
            <w:tcW w:w="0" w:type="auto"/>
            <w:vMerge/>
            <w:vAlign w:val="center"/>
            <w:hideMark/>
          </w:tcPr>
          <w:p w14:paraId="256FF6FB"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5362CA62" w14:textId="77777777" w:rsidR="008D1985" w:rsidRPr="008D1985" w:rsidRDefault="008D1985" w:rsidP="00AA4BBB">
            <w:pPr>
              <w:jc w:val="center"/>
              <w:rPr>
                <w:rFonts w:cs="Arial"/>
                <w:sz w:val="20"/>
                <w:szCs w:val="20"/>
              </w:rPr>
            </w:pPr>
            <w:r w:rsidRPr="008D1985">
              <w:rPr>
                <w:rFonts w:cs="Arial"/>
                <w:sz w:val="20"/>
                <w:szCs w:val="20"/>
              </w:rPr>
              <w:t>550.000.000</w:t>
            </w:r>
          </w:p>
        </w:tc>
        <w:tc>
          <w:tcPr>
            <w:tcW w:w="0" w:type="auto"/>
            <w:tcMar>
              <w:top w:w="30" w:type="dxa"/>
              <w:left w:w="45" w:type="dxa"/>
              <w:bottom w:w="30" w:type="dxa"/>
              <w:right w:w="45" w:type="dxa"/>
            </w:tcMar>
            <w:vAlign w:val="center"/>
            <w:hideMark/>
          </w:tcPr>
          <w:p w14:paraId="0FFAEB38" w14:textId="77777777" w:rsidR="008D1985" w:rsidRPr="008D1985" w:rsidRDefault="008D1985" w:rsidP="00AA4BBB">
            <w:pPr>
              <w:jc w:val="center"/>
              <w:rPr>
                <w:rFonts w:cs="Arial"/>
                <w:sz w:val="20"/>
                <w:szCs w:val="20"/>
              </w:rPr>
            </w:pPr>
            <w:r w:rsidRPr="008D1985">
              <w:rPr>
                <w:rFonts w:cs="Arial"/>
                <w:sz w:val="20"/>
                <w:szCs w:val="20"/>
              </w:rPr>
              <w:t>572.815.534</w:t>
            </w:r>
          </w:p>
        </w:tc>
        <w:tc>
          <w:tcPr>
            <w:tcW w:w="0" w:type="auto"/>
            <w:tcMar>
              <w:top w:w="30" w:type="dxa"/>
              <w:left w:w="45" w:type="dxa"/>
              <w:bottom w:w="30" w:type="dxa"/>
              <w:right w:w="45" w:type="dxa"/>
            </w:tcMar>
            <w:vAlign w:val="center"/>
            <w:hideMark/>
          </w:tcPr>
          <w:p w14:paraId="281E801D" w14:textId="77777777" w:rsidR="008D1985" w:rsidRPr="008D1985" w:rsidRDefault="008D1985" w:rsidP="00AA4BBB">
            <w:pPr>
              <w:jc w:val="center"/>
              <w:rPr>
                <w:rFonts w:cs="Arial"/>
                <w:sz w:val="20"/>
                <w:szCs w:val="20"/>
              </w:rPr>
            </w:pPr>
            <w:r w:rsidRPr="008D1985">
              <w:rPr>
                <w:rFonts w:cs="Arial"/>
                <w:sz w:val="20"/>
                <w:szCs w:val="20"/>
              </w:rPr>
              <w:t>584.409.464</w:t>
            </w:r>
          </w:p>
        </w:tc>
        <w:tc>
          <w:tcPr>
            <w:tcW w:w="0" w:type="auto"/>
            <w:tcMar>
              <w:top w:w="30" w:type="dxa"/>
              <w:left w:w="45" w:type="dxa"/>
              <w:bottom w:w="30" w:type="dxa"/>
              <w:right w:w="45" w:type="dxa"/>
            </w:tcMar>
            <w:vAlign w:val="center"/>
            <w:hideMark/>
          </w:tcPr>
          <w:p w14:paraId="352597ED" w14:textId="77777777" w:rsidR="008D1985" w:rsidRPr="008D1985" w:rsidRDefault="008D1985" w:rsidP="00AA4BBB">
            <w:pPr>
              <w:jc w:val="center"/>
              <w:rPr>
                <w:rFonts w:cs="Arial"/>
                <w:sz w:val="20"/>
                <w:szCs w:val="20"/>
              </w:rPr>
            </w:pPr>
            <w:r w:rsidRPr="008D1985">
              <w:rPr>
                <w:rFonts w:cs="Arial"/>
                <w:sz w:val="20"/>
                <w:szCs w:val="20"/>
              </w:rPr>
              <w:t>549.084.996</w:t>
            </w:r>
          </w:p>
        </w:tc>
        <w:tc>
          <w:tcPr>
            <w:tcW w:w="0" w:type="auto"/>
            <w:vMerge/>
            <w:vAlign w:val="center"/>
            <w:hideMark/>
          </w:tcPr>
          <w:p w14:paraId="7E422C32" w14:textId="77777777" w:rsidR="008D1985" w:rsidRPr="008D1985" w:rsidRDefault="008D1985" w:rsidP="00AA4BBB">
            <w:pPr>
              <w:rPr>
                <w:rFonts w:cs="Arial"/>
                <w:b/>
                <w:bCs/>
                <w:sz w:val="20"/>
                <w:szCs w:val="20"/>
              </w:rPr>
            </w:pPr>
          </w:p>
        </w:tc>
      </w:tr>
      <w:tr w:rsidR="008D1985" w:rsidRPr="008D1985" w14:paraId="071695D2" w14:textId="77777777" w:rsidTr="00AA4BBB">
        <w:tc>
          <w:tcPr>
            <w:tcW w:w="0" w:type="auto"/>
            <w:gridSpan w:val="6"/>
            <w:shd w:val="clear" w:color="auto" w:fill="C00000"/>
            <w:tcMar>
              <w:top w:w="30" w:type="dxa"/>
              <w:left w:w="45" w:type="dxa"/>
              <w:bottom w:w="30" w:type="dxa"/>
              <w:right w:w="45" w:type="dxa"/>
            </w:tcMar>
            <w:vAlign w:val="center"/>
            <w:hideMark/>
          </w:tcPr>
          <w:p w14:paraId="4C2A1FE6" w14:textId="77777777" w:rsidR="008D1985" w:rsidRPr="00DA10C4" w:rsidRDefault="008D1985" w:rsidP="00AA4BBB">
            <w:pPr>
              <w:jc w:val="center"/>
              <w:rPr>
                <w:rFonts w:cs="Arial"/>
                <w:b/>
                <w:bCs/>
                <w:sz w:val="18"/>
                <w:szCs w:val="18"/>
              </w:rPr>
            </w:pPr>
            <w:r w:rsidRPr="00DA10C4">
              <w:rPr>
                <w:rFonts w:cs="Arial"/>
                <w:b/>
                <w:bCs/>
                <w:color w:val="FFFFFF" w:themeColor="background1"/>
                <w:sz w:val="18"/>
                <w:szCs w:val="18"/>
              </w:rPr>
              <w:t>Salud</w:t>
            </w:r>
          </w:p>
        </w:tc>
      </w:tr>
      <w:tr w:rsidR="008D1985" w:rsidRPr="008D1985" w14:paraId="5B8BAA6E" w14:textId="77777777" w:rsidTr="00AA4BBB">
        <w:tc>
          <w:tcPr>
            <w:tcW w:w="0" w:type="auto"/>
            <w:vMerge w:val="restart"/>
            <w:tcMar>
              <w:top w:w="30" w:type="dxa"/>
              <w:left w:w="45" w:type="dxa"/>
              <w:bottom w:w="30" w:type="dxa"/>
              <w:right w:w="45" w:type="dxa"/>
            </w:tcMar>
            <w:vAlign w:val="center"/>
            <w:hideMark/>
          </w:tcPr>
          <w:p w14:paraId="087E55E9" w14:textId="77777777" w:rsidR="008D1985" w:rsidRPr="00DA10C4" w:rsidRDefault="008D1985" w:rsidP="00AA4BBB">
            <w:pPr>
              <w:rPr>
                <w:rFonts w:cs="Arial"/>
                <w:sz w:val="18"/>
                <w:szCs w:val="18"/>
              </w:rPr>
            </w:pPr>
            <w:r w:rsidRPr="00DA10C4">
              <w:rPr>
                <w:rFonts w:cs="Arial"/>
                <w:sz w:val="18"/>
                <w:szCs w:val="18"/>
              </w:rPr>
              <w:t>Implementar la estrategia de arquitectura empresarial y seguridad digital para fortalecer las capacidades institucionales y tecnológicas de información de la SDS</w:t>
            </w:r>
          </w:p>
        </w:tc>
        <w:tc>
          <w:tcPr>
            <w:tcW w:w="0" w:type="auto"/>
            <w:tcMar>
              <w:top w:w="30" w:type="dxa"/>
              <w:left w:w="45" w:type="dxa"/>
              <w:bottom w:w="30" w:type="dxa"/>
              <w:right w:w="45" w:type="dxa"/>
            </w:tcMar>
            <w:vAlign w:val="center"/>
            <w:hideMark/>
          </w:tcPr>
          <w:p w14:paraId="71B27D18"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tcMar>
              <w:top w:w="30" w:type="dxa"/>
              <w:left w:w="45" w:type="dxa"/>
              <w:bottom w:w="30" w:type="dxa"/>
              <w:right w:w="45" w:type="dxa"/>
            </w:tcMar>
            <w:vAlign w:val="center"/>
            <w:hideMark/>
          </w:tcPr>
          <w:p w14:paraId="6775FD6C"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tcMar>
              <w:top w:w="30" w:type="dxa"/>
              <w:left w:w="45" w:type="dxa"/>
              <w:bottom w:w="30" w:type="dxa"/>
              <w:right w:w="45" w:type="dxa"/>
            </w:tcMar>
            <w:vAlign w:val="center"/>
            <w:hideMark/>
          </w:tcPr>
          <w:p w14:paraId="3488143E"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tcMar>
              <w:top w:w="30" w:type="dxa"/>
              <w:left w:w="45" w:type="dxa"/>
              <w:bottom w:w="30" w:type="dxa"/>
              <w:right w:w="45" w:type="dxa"/>
            </w:tcMar>
            <w:vAlign w:val="center"/>
            <w:hideMark/>
          </w:tcPr>
          <w:p w14:paraId="637D599A"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vMerge w:val="restart"/>
            <w:tcMar>
              <w:top w:w="30" w:type="dxa"/>
              <w:left w:w="45" w:type="dxa"/>
              <w:bottom w:w="30" w:type="dxa"/>
              <w:right w:w="45" w:type="dxa"/>
            </w:tcMar>
            <w:vAlign w:val="center"/>
            <w:hideMark/>
          </w:tcPr>
          <w:p w14:paraId="5AE342EF" w14:textId="77777777" w:rsidR="008D1985" w:rsidRPr="008D1985" w:rsidRDefault="008D1985" w:rsidP="00AA4BBB">
            <w:pPr>
              <w:jc w:val="center"/>
              <w:rPr>
                <w:rFonts w:cs="Arial"/>
                <w:b/>
                <w:bCs/>
                <w:sz w:val="20"/>
                <w:szCs w:val="20"/>
              </w:rPr>
            </w:pPr>
            <w:r w:rsidRPr="008D1985">
              <w:rPr>
                <w:rFonts w:cs="Arial"/>
                <w:b/>
                <w:bCs/>
                <w:sz w:val="20"/>
                <w:szCs w:val="20"/>
              </w:rPr>
              <w:t>141.597.812.873</w:t>
            </w:r>
          </w:p>
        </w:tc>
      </w:tr>
      <w:tr w:rsidR="008D1985" w:rsidRPr="008D1985" w14:paraId="16EC286F" w14:textId="77777777" w:rsidTr="00AA4BBB">
        <w:tc>
          <w:tcPr>
            <w:tcW w:w="0" w:type="auto"/>
            <w:vMerge/>
            <w:vAlign w:val="center"/>
            <w:hideMark/>
          </w:tcPr>
          <w:p w14:paraId="18163579" w14:textId="77777777" w:rsidR="008D1985" w:rsidRPr="00DA10C4" w:rsidRDefault="008D1985" w:rsidP="00AA4BBB">
            <w:pPr>
              <w:rPr>
                <w:rFonts w:cs="Arial"/>
                <w:sz w:val="18"/>
                <w:szCs w:val="18"/>
              </w:rPr>
            </w:pPr>
          </w:p>
        </w:tc>
        <w:tc>
          <w:tcPr>
            <w:tcW w:w="0" w:type="auto"/>
            <w:tcMar>
              <w:top w:w="30" w:type="dxa"/>
              <w:left w:w="45" w:type="dxa"/>
              <w:bottom w:w="30" w:type="dxa"/>
              <w:right w:w="45" w:type="dxa"/>
            </w:tcMar>
            <w:vAlign w:val="center"/>
            <w:hideMark/>
          </w:tcPr>
          <w:p w14:paraId="270E31EF" w14:textId="77777777" w:rsidR="008D1985" w:rsidRPr="008D1985" w:rsidRDefault="008D1985" w:rsidP="00AA4BBB">
            <w:pPr>
              <w:jc w:val="center"/>
              <w:rPr>
                <w:rFonts w:cs="Arial"/>
                <w:sz w:val="20"/>
                <w:szCs w:val="20"/>
              </w:rPr>
            </w:pPr>
            <w:r w:rsidRPr="008D1985">
              <w:rPr>
                <w:rFonts w:cs="Arial"/>
                <w:sz w:val="20"/>
                <w:szCs w:val="20"/>
              </w:rPr>
              <w:t>24.434.089.000</w:t>
            </w:r>
          </w:p>
        </w:tc>
        <w:tc>
          <w:tcPr>
            <w:tcW w:w="0" w:type="auto"/>
            <w:tcMar>
              <w:top w:w="30" w:type="dxa"/>
              <w:left w:w="45" w:type="dxa"/>
              <w:bottom w:w="30" w:type="dxa"/>
              <w:right w:w="45" w:type="dxa"/>
            </w:tcMar>
            <w:vAlign w:val="center"/>
            <w:hideMark/>
          </w:tcPr>
          <w:p w14:paraId="669E6288" w14:textId="77777777" w:rsidR="008D1985" w:rsidRPr="008D1985" w:rsidRDefault="008D1985" w:rsidP="00AA4BBB">
            <w:pPr>
              <w:jc w:val="center"/>
              <w:rPr>
                <w:rFonts w:cs="Arial"/>
                <w:sz w:val="20"/>
                <w:szCs w:val="20"/>
              </w:rPr>
            </w:pPr>
            <w:r w:rsidRPr="008D1985">
              <w:rPr>
                <w:rFonts w:cs="Arial"/>
                <w:sz w:val="20"/>
                <w:szCs w:val="20"/>
              </w:rPr>
              <w:t>50.157.338.778</w:t>
            </w:r>
          </w:p>
        </w:tc>
        <w:tc>
          <w:tcPr>
            <w:tcW w:w="0" w:type="auto"/>
            <w:tcMar>
              <w:top w:w="30" w:type="dxa"/>
              <w:left w:w="45" w:type="dxa"/>
              <w:bottom w:w="30" w:type="dxa"/>
              <w:right w:w="45" w:type="dxa"/>
            </w:tcMar>
            <w:vAlign w:val="center"/>
            <w:hideMark/>
          </w:tcPr>
          <w:p w14:paraId="6536EAE6" w14:textId="77777777" w:rsidR="008D1985" w:rsidRPr="008D1985" w:rsidRDefault="008D1985" w:rsidP="00AA4BBB">
            <w:pPr>
              <w:jc w:val="center"/>
              <w:rPr>
                <w:rFonts w:cs="Arial"/>
                <w:sz w:val="20"/>
                <w:szCs w:val="20"/>
              </w:rPr>
            </w:pPr>
            <w:r w:rsidRPr="008D1985">
              <w:rPr>
                <w:rFonts w:cs="Arial"/>
                <w:sz w:val="20"/>
                <w:szCs w:val="20"/>
              </w:rPr>
              <w:t>37.923.746.625</w:t>
            </w:r>
          </w:p>
        </w:tc>
        <w:tc>
          <w:tcPr>
            <w:tcW w:w="0" w:type="auto"/>
            <w:tcMar>
              <w:top w:w="30" w:type="dxa"/>
              <w:left w:w="45" w:type="dxa"/>
              <w:bottom w:w="30" w:type="dxa"/>
              <w:right w:w="45" w:type="dxa"/>
            </w:tcMar>
            <w:vAlign w:val="center"/>
            <w:hideMark/>
          </w:tcPr>
          <w:p w14:paraId="06DE5E30" w14:textId="77777777" w:rsidR="008D1985" w:rsidRPr="008D1985" w:rsidRDefault="008D1985" w:rsidP="00AA4BBB">
            <w:pPr>
              <w:jc w:val="center"/>
              <w:rPr>
                <w:rFonts w:cs="Arial"/>
                <w:sz w:val="20"/>
                <w:szCs w:val="20"/>
              </w:rPr>
            </w:pPr>
            <w:r w:rsidRPr="008D1985">
              <w:rPr>
                <w:rFonts w:cs="Arial"/>
                <w:sz w:val="20"/>
                <w:szCs w:val="20"/>
              </w:rPr>
              <w:t>29.082.638.471</w:t>
            </w:r>
          </w:p>
        </w:tc>
        <w:tc>
          <w:tcPr>
            <w:tcW w:w="0" w:type="auto"/>
            <w:vMerge/>
            <w:vAlign w:val="center"/>
            <w:hideMark/>
          </w:tcPr>
          <w:p w14:paraId="1BD008BE" w14:textId="77777777" w:rsidR="008D1985" w:rsidRPr="008D1985" w:rsidRDefault="008D1985" w:rsidP="00AA4BBB">
            <w:pPr>
              <w:rPr>
                <w:rFonts w:cs="Arial"/>
                <w:b/>
                <w:bCs/>
                <w:sz w:val="20"/>
                <w:szCs w:val="20"/>
              </w:rPr>
            </w:pPr>
          </w:p>
        </w:tc>
      </w:tr>
      <w:tr w:rsidR="008D1985" w:rsidRPr="008D1985" w14:paraId="00FD2C4B" w14:textId="77777777" w:rsidTr="00AA4BBB">
        <w:tc>
          <w:tcPr>
            <w:tcW w:w="0" w:type="auto"/>
            <w:gridSpan w:val="6"/>
            <w:shd w:val="clear" w:color="auto" w:fill="C00000"/>
            <w:tcMar>
              <w:top w:w="30" w:type="dxa"/>
              <w:left w:w="45" w:type="dxa"/>
              <w:bottom w:w="30" w:type="dxa"/>
              <w:right w:w="45" w:type="dxa"/>
            </w:tcMar>
            <w:vAlign w:val="center"/>
            <w:hideMark/>
          </w:tcPr>
          <w:p w14:paraId="7CD7E1C5" w14:textId="77777777" w:rsidR="008D1985" w:rsidRPr="00DA10C4" w:rsidRDefault="008D1985" w:rsidP="00AA4BBB">
            <w:pPr>
              <w:jc w:val="center"/>
              <w:rPr>
                <w:rFonts w:cs="Arial"/>
                <w:b/>
                <w:bCs/>
                <w:color w:val="FFFFFF" w:themeColor="background1"/>
                <w:sz w:val="18"/>
                <w:szCs w:val="18"/>
              </w:rPr>
            </w:pPr>
            <w:r w:rsidRPr="00DA10C4">
              <w:rPr>
                <w:rFonts w:cs="Arial"/>
                <w:b/>
                <w:bCs/>
                <w:color w:val="FFFFFF" w:themeColor="background1"/>
                <w:sz w:val="18"/>
                <w:szCs w:val="18"/>
              </w:rPr>
              <w:t>Seguridad, Convivencia y Justicia</w:t>
            </w:r>
          </w:p>
        </w:tc>
      </w:tr>
      <w:tr w:rsidR="008D1985" w:rsidRPr="008D1985" w14:paraId="03FA2105" w14:textId="77777777" w:rsidTr="00AA4BBB">
        <w:tc>
          <w:tcPr>
            <w:tcW w:w="0" w:type="auto"/>
            <w:vMerge w:val="restart"/>
            <w:tcMar>
              <w:top w:w="30" w:type="dxa"/>
              <w:left w:w="45" w:type="dxa"/>
              <w:bottom w:w="30" w:type="dxa"/>
              <w:right w:w="45" w:type="dxa"/>
            </w:tcMar>
            <w:vAlign w:val="center"/>
            <w:hideMark/>
          </w:tcPr>
          <w:p w14:paraId="0B98F81D" w14:textId="77777777" w:rsidR="008D1985" w:rsidRPr="00DA10C4" w:rsidRDefault="008D1985" w:rsidP="00AA4BBB">
            <w:pPr>
              <w:rPr>
                <w:rFonts w:cs="Arial"/>
                <w:sz w:val="18"/>
                <w:szCs w:val="18"/>
              </w:rPr>
            </w:pPr>
            <w:r w:rsidRPr="00DA10C4">
              <w:rPr>
                <w:rFonts w:cs="Arial"/>
                <w:sz w:val="18"/>
                <w:szCs w:val="18"/>
              </w:rPr>
              <w:t>Implementar un sistema de información integrado interoperable y de gestión del conocimiento para el análisis estratégico y toma de decisión el monitoreo y evaluación de Planes Programas Estrategias y Proyectos desarrollados en el Sector Seguridad Convivencia y Justicia</w:t>
            </w:r>
          </w:p>
        </w:tc>
        <w:tc>
          <w:tcPr>
            <w:tcW w:w="0" w:type="auto"/>
            <w:tcMar>
              <w:top w:w="30" w:type="dxa"/>
              <w:left w:w="45" w:type="dxa"/>
              <w:bottom w:w="30" w:type="dxa"/>
              <w:right w:w="45" w:type="dxa"/>
            </w:tcMar>
            <w:vAlign w:val="center"/>
            <w:hideMark/>
          </w:tcPr>
          <w:p w14:paraId="0673333A" w14:textId="77777777" w:rsidR="008D1985" w:rsidRPr="008D1985" w:rsidRDefault="008D1985" w:rsidP="00AA4BBB">
            <w:pPr>
              <w:jc w:val="center"/>
              <w:rPr>
                <w:rFonts w:cs="Arial"/>
                <w:sz w:val="20"/>
                <w:szCs w:val="20"/>
              </w:rPr>
            </w:pPr>
            <w:r w:rsidRPr="008D1985">
              <w:rPr>
                <w:rFonts w:cs="Arial"/>
                <w:sz w:val="20"/>
                <w:szCs w:val="20"/>
              </w:rPr>
              <w:t>20%</w:t>
            </w:r>
          </w:p>
        </w:tc>
        <w:tc>
          <w:tcPr>
            <w:tcW w:w="0" w:type="auto"/>
            <w:tcMar>
              <w:top w:w="30" w:type="dxa"/>
              <w:left w:w="45" w:type="dxa"/>
              <w:bottom w:w="30" w:type="dxa"/>
              <w:right w:w="45" w:type="dxa"/>
            </w:tcMar>
            <w:vAlign w:val="center"/>
            <w:hideMark/>
          </w:tcPr>
          <w:p w14:paraId="0C80EA03" w14:textId="77777777" w:rsidR="008D1985" w:rsidRPr="008D1985" w:rsidRDefault="008D1985" w:rsidP="00AA4BBB">
            <w:pPr>
              <w:jc w:val="center"/>
              <w:rPr>
                <w:rFonts w:cs="Arial"/>
                <w:sz w:val="20"/>
                <w:szCs w:val="20"/>
              </w:rPr>
            </w:pPr>
            <w:r w:rsidRPr="008D1985">
              <w:rPr>
                <w:rFonts w:cs="Arial"/>
                <w:sz w:val="20"/>
                <w:szCs w:val="20"/>
              </w:rPr>
              <w:t>40%</w:t>
            </w:r>
          </w:p>
        </w:tc>
        <w:tc>
          <w:tcPr>
            <w:tcW w:w="0" w:type="auto"/>
            <w:tcMar>
              <w:top w:w="30" w:type="dxa"/>
              <w:left w:w="45" w:type="dxa"/>
              <w:bottom w:w="30" w:type="dxa"/>
              <w:right w:w="45" w:type="dxa"/>
            </w:tcMar>
            <w:vAlign w:val="center"/>
            <w:hideMark/>
          </w:tcPr>
          <w:p w14:paraId="489E3E2F" w14:textId="77777777" w:rsidR="008D1985" w:rsidRPr="008D1985" w:rsidRDefault="008D1985" w:rsidP="00AA4BBB">
            <w:pPr>
              <w:jc w:val="center"/>
              <w:rPr>
                <w:rFonts w:cs="Arial"/>
                <w:sz w:val="20"/>
                <w:szCs w:val="20"/>
              </w:rPr>
            </w:pPr>
            <w:r w:rsidRPr="008D1985">
              <w:rPr>
                <w:rFonts w:cs="Arial"/>
                <w:sz w:val="20"/>
                <w:szCs w:val="20"/>
              </w:rPr>
              <w:t>70%</w:t>
            </w:r>
          </w:p>
        </w:tc>
        <w:tc>
          <w:tcPr>
            <w:tcW w:w="0" w:type="auto"/>
            <w:tcMar>
              <w:top w:w="30" w:type="dxa"/>
              <w:left w:w="45" w:type="dxa"/>
              <w:bottom w:w="30" w:type="dxa"/>
              <w:right w:w="45" w:type="dxa"/>
            </w:tcMar>
            <w:vAlign w:val="center"/>
            <w:hideMark/>
          </w:tcPr>
          <w:p w14:paraId="79C45F09" w14:textId="77777777" w:rsidR="008D1985" w:rsidRPr="008D1985" w:rsidRDefault="008D1985" w:rsidP="00AA4BBB">
            <w:pPr>
              <w:jc w:val="center"/>
              <w:rPr>
                <w:rFonts w:cs="Arial"/>
                <w:sz w:val="20"/>
                <w:szCs w:val="20"/>
              </w:rPr>
            </w:pPr>
            <w:r w:rsidRPr="008D1985">
              <w:rPr>
                <w:rFonts w:cs="Arial"/>
                <w:sz w:val="20"/>
                <w:szCs w:val="20"/>
              </w:rPr>
              <w:t>100%</w:t>
            </w:r>
          </w:p>
        </w:tc>
        <w:tc>
          <w:tcPr>
            <w:tcW w:w="0" w:type="auto"/>
            <w:vMerge w:val="restart"/>
            <w:tcMar>
              <w:top w:w="30" w:type="dxa"/>
              <w:left w:w="45" w:type="dxa"/>
              <w:bottom w:w="30" w:type="dxa"/>
              <w:right w:w="45" w:type="dxa"/>
            </w:tcMar>
            <w:vAlign w:val="center"/>
            <w:hideMark/>
          </w:tcPr>
          <w:p w14:paraId="7D7EC936" w14:textId="77777777" w:rsidR="008D1985" w:rsidRPr="008D1985" w:rsidRDefault="008D1985" w:rsidP="00AA4BBB">
            <w:pPr>
              <w:jc w:val="center"/>
              <w:rPr>
                <w:rFonts w:cs="Arial"/>
                <w:b/>
                <w:bCs/>
                <w:sz w:val="20"/>
                <w:szCs w:val="20"/>
              </w:rPr>
            </w:pPr>
            <w:r w:rsidRPr="008D1985">
              <w:rPr>
                <w:rFonts w:cs="Arial"/>
                <w:b/>
                <w:bCs/>
                <w:sz w:val="20"/>
                <w:szCs w:val="20"/>
              </w:rPr>
              <w:t>2.939.727.975</w:t>
            </w:r>
          </w:p>
        </w:tc>
      </w:tr>
      <w:tr w:rsidR="008D1985" w:rsidRPr="008D1985" w14:paraId="4DDBECA1" w14:textId="77777777" w:rsidTr="00AA4BBB">
        <w:tc>
          <w:tcPr>
            <w:tcW w:w="0" w:type="auto"/>
            <w:vMerge/>
            <w:tcBorders>
              <w:bottom w:val="double" w:sz="4" w:space="0" w:color="C00000"/>
            </w:tcBorders>
            <w:vAlign w:val="center"/>
            <w:hideMark/>
          </w:tcPr>
          <w:p w14:paraId="2DD16ECC" w14:textId="77777777" w:rsidR="008D1985" w:rsidRPr="00DA10C4" w:rsidRDefault="008D1985" w:rsidP="00AA4BBB">
            <w:pPr>
              <w:rPr>
                <w:rFonts w:cs="Arial"/>
                <w:sz w:val="18"/>
                <w:szCs w:val="18"/>
              </w:rPr>
            </w:pPr>
          </w:p>
        </w:tc>
        <w:tc>
          <w:tcPr>
            <w:tcW w:w="0" w:type="auto"/>
            <w:tcBorders>
              <w:bottom w:val="double" w:sz="4" w:space="0" w:color="C00000"/>
            </w:tcBorders>
            <w:tcMar>
              <w:top w:w="30" w:type="dxa"/>
              <w:left w:w="45" w:type="dxa"/>
              <w:bottom w:w="30" w:type="dxa"/>
              <w:right w:w="45" w:type="dxa"/>
            </w:tcMar>
            <w:vAlign w:val="center"/>
            <w:hideMark/>
          </w:tcPr>
          <w:p w14:paraId="56944181" w14:textId="77777777" w:rsidR="008D1985" w:rsidRPr="008D1985" w:rsidRDefault="008D1985" w:rsidP="00AA4BBB">
            <w:pPr>
              <w:jc w:val="center"/>
              <w:rPr>
                <w:rFonts w:cs="Arial"/>
                <w:sz w:val="20"/>
                <w:szCs w:val="20"/>
              </w:rPr>
            </w:pPr>
            <w:r w:rsidRPr="008D1985">
              <w:rPr>
                <w:rFonts w:cs="Arial"/>
                <w:sz w:val="20"/>
                <w:szCs w:val="20"/>
              </w:rPr>
              <w:t>833.474.000</w:t>
            </w:r>
          </w:p>
        </w:tc>
        <w:tc>
          <w:tcPr>
            <w:tcW w:w="0" w:type="auto"/>
            <w:tcBorders>
              <w:bottom w:val="double" w:sz="4" w:space="0" w:color="C00000"/>
            </w:tcBorders>
            <w:tcMar>
              <w:top w:w="30" w:type="dxa"/>
              <w:left w:w="45" w:type="dxa"/>
              <w:bottom w:w="30" w:type="dxa"/>
              <w:right w:w="45" w:type="dxa"/>
            </w:tcMar>
            <w:vAlign w:val="center"/>
            <w:hideMark/>
          </w:tcPr>
          <w:p w14:paraId="10A1D0F3" w14:textId="77777777" w:rsidR="008D1985" w:rsidRPr="008D1985" w:rsidRDefault="008D1985" w:rsidP="00AA4BBB">
            <w:pPr>
              <w:jc w:val="center"/>
              <w:rPr>
                <w:rFonts w:cs="Arial"/>
                <w:sz w:val="20"/>
                <w:szCs w:val="20"/>
              </w:rPr>
            </w:pPr>
            <w:r w:rsidRPr="008D1985">
              <w:rPr>
                <w:rFonts w:cs="Arial"/>
                <w:sz w:val="20"/>
                <w:szCs w:val="20"/>
              </w:rPr>
              <w:t>1.632.478.641</w:t>
            </w:r>
          </w:p>
        </w:tc>
        <w:tc>
          <w:tcPr>
            <w:tcW w:w="0" w:type="auto"/>
            <w:tcBorders>
              <w:bottom w:val="double" w:sz="4" w:space="0" w:color="C00000"/>
            </w:tcBorders>
            <w:tcMar>
              <w:top w:w="30" w:type="dxa"/>
              <w:left w:w="45" w:type="dxa"/>
              <w:bottom w:w="30" w:type="dxa"/>
              <w:right w:w="45" w:type="dxa"/>
            </w:tcMar>
            <w:vAlign w:val="center"/>
            <w:hideMark/>
          </w:tcPr>
          <w:p w14:paraId="2AD9C103" w14:textId="77777777" w:rsidR="008D1985" w:rsidRPr="008D1985" w:rsidRDefault="008D1985" w:rsidP="00AA4BBB">
            <w:pPr>
              <w:jc w:val="center"/>
              <w:rPr>
                <w:rFonts w:cs="Arial"/>
                <w:sz w:val="20"/>
                <w:szCs w:val="20"/>
              </w:rPr>
            </w:pPr>
            <w:r w:rsidRPr="008D1985">
              <w:rPr>
                <w:rFonts w:cs="Arial"/>
                <w:sz w:val="20"/>
                <w:szCs w:val="20"/>
              </w:rPr>
              <w:t>558.458.856</w:t>
            </w:r>
          </w:p>
        </w:tc>
        <w:tc>
          <w:tcPr>
            <w:tcW w:w="0" w:type="auto"/>
            <w:tcBorders>
              <w:bottom w:val="double" w:sz="4" w:space="0" w:color="C00000"/>
            </w:tcBorders>
            <w:tcMar>
              <w:top w:w="30" w:type="dxa"/>
              <w:left w:w="45" w:type="dxa"/>
              <w:bottom w:w="30" w:type="dxa"/>
              <w:right w:w="45" w:type="dxa"/>
            </w:tcMar>
            <w:vAlign w:val="center"/>
            <w:hideMark/>
          </w:tcPr>
          <w:p w14:paraId="7ECE558B" w14:textId="77777777" w:rsidR="008D1985" w:rsidRPr="008D1985" w:rsidRDefault="008D1985" w:rsidP="00AA4BBB">
            <w:pPr>
              <w:jc w:val="center"/>
              <w:rPr>
                <w:rFonts w:cs="Arial"/>
                <w:sz w:val="20"/>
                <w:szCs w:val="20"/>
              </w:rPr>
            </w:pPr>
            <w:r w:rsidRPr="008D1985">
              <w:rPr>
                <w:rFonts w:cs="Arial"/>
                <w:sz w:val="20"/>
                <w:szCs w:val="20"/>
              </w:rPr>
              <w:t>0</w:t>
            </w:r>
          </w:p>
        </w:tc>
        <w:tc>
          <w:tcPr>
            <w:tcW w:w="0" w:type="auto"/>
            <w:vMerge/>
            <w:tcBorders>
              <w:bottom w:val="double" w:sz="4" w:space="0" w:color="C00000"/>
            </w:tcBorders>
            <w:vAlign w:val="center"/>
            <w:hideMark/>
          </w:tcPr>
          <w:p w14:paraId="4CB4C44F" w14:textId="77777777" w:rsidR="008D1985" w:rsidRPr="008D1985" w:rsidRDefault="008D1985" w:rsidP="00AA4BBB">
            <w:pPr>
              <w:rPr>
                <w:rFonts w:cs="Arial"/>
                <w:b/>
                <w:bCs/>
                <w:sz w:val="20"/>
                <w:szCs w:val="20"/>
              </w:rPr>
            </w:pPr>
          </w:p>
        </w:tc>
      </w:tr>
    </w:tbl>
    <w:p w14:paraId="526221D8" w14:textId="77777777" w:rsidR="00EF1D5F" w:rsidRPr="00B944E8" w:rsidRDefault="00EF1D5F" w:rsidP="0063274A">
      <w:pPr>
        <w:pStyle w:val="figuratitulo"/>
      </w:pPr>
    </w:p>
    <w:p w14:paraId="233AAE89" w14:textId="77777777" w:rsidR="008D1985" w:rsidRDefault="008D1985">
      <w:pPr>
        <w:spacing w:line="240" w:lineRule="auto"/>
        <w:jc w:val="left"/>
        <w:rPr>
          <w:rFonts w:eastAsiaTheme="majorEastAsia" w:cstheme="majorBidi"/>
          <w:b/>
          <w:color w:val="C00000"/>
          <w:sz w:val="28"/>
          <w:szCs w:val="26"/>
          <w:lang w:eastAsia="en-US"/>
        </w:rPr>
      </w:pPr>
      <w:r>
        <w:rPr>
          <w:color w:val="C00000"/>
        </w:rPr>
        <w:br w:type="page"/>
      </w:r>
    </w:p>
    <w:p w14:paraId="3CA843C5" w14:textId="15374BE5" w:rsidR="00EF1D5F" w:rsidRPr="00DC328E" w:rsidRDefault="00EF1D5F" w:rsidP="00DA10C4">
      <w:pPr>
        <w:pStyle w:val="NIVEL4"/>
        <w:jc w:val="left"/>
        <w:rPr>
          <w:i/>
        </w:rPr>
      </w:pPr>
      <w:bookmarkStart w:id="442" w:name="_Toc165169804"/>
      <w:r w:rsidRPr="0074585F">
        <w:rPr>
          <w:color w:val="C00000"/>
        </w:rPr>
        <w:lastRenderedPageBreak/>
        <w:t xml:space="preserve">Programa </w:t>
      </w:r>
      <w:r>
        <w:rPr>
          <w:color w:val="C00000"/>
        </w:rPr>
        <w:t>36</w:t>
      </w:r>
      <w:r w:rsidR="00DA10C4">
        <w:rPr>
          <w:color w:val="C00000"/>
        </w:rPr>
        <w:t xml:space="preserve">: </w:t>
      </w:r>
      <w:r w:rsidRPr="00DC328E">
        <w:t>Innovación Pública para la generación de la confianza ciudadana</w:t>
      </w:r>
      <w:bookmarkEnd w:id="442"/>
    </w:p>
    <w:p w14:paraId="1E3CADDE" w14:textId="77777777" w:rsidR="00EF1D5F" w:rsidRPr="0074585F" w:rsidRDefault="00EF1D5F" w:rsidP="00DA10C4">
      <w:pPr>
        <w:rPr>
          <w:color w:val="C00000"/>
        </w:rPr>
      </w:pPr>
    </w:p>
    <w:p w14:paraId="18E6D433" w14:textId="424E4BB6" w:rsidR="00EF1D5F" w:rsidRPr="001764D3" w:rsidRDefault="00EF1D5F" w:rsidP="001764D3">
      <w:pPr>
        <w:ind w:firstLine="708"/>
        <w:rPr>
          <w:b/>
          <w:bCs/>
          <w:color w:val="C00000"/>
        </w:rPr>
      </w:pPr>
      <w:r w:rsidRPr="001764D3">
        <w:rPr>
          <w:b/>
          <w:bCs/>
          <w:sz w:val="24"/>
        </w:rPr>
        <w:t>Diagnóstico</w:t>
      </w:r>
    </w:p>
    <w:p w14:paraId="1B9A5485" w14:textId="77777777" w:rsidR="00EF1D5F" w:rsidRDefault="00EF1D5F" w:rsidP="0074585F">
      <w:pPr>
        <w:sectPr w:rsidR="00EF1D5F" w:rsidSect="00F7078E">
          <w:type w:val="continuous"/>
          <w:pgSz w:w="12240" w:h="15840"/>
          <w:pgMar w:top="2262" w:right="1440" w:bottom="1440" w:left="1440" w:header="708" w:footer="680" w:gutter="0"/>
          <w:cols w:space="720"/>
          <w:docGrid w:linePitch="299"/>
        </w:sectPr>
      </w:pPr>
    </w:p>
    <w:p w14:paraId="0AA9298B" w14:textId="77777777" w:rsidR="00EF1D5F" w:rsidRDefault="00EF1D5F" w:rsidP="00DF2560">
      <w:bookmarkStart w:id="443" w:name="_Hlk165073230"/>
      <w:r>
        <w:t>La innovación es el motor de la evolución, es ser capaz de identificar y poner en práctica nuevas formas de hacer mejor lo que se ha hecho, y de introducir la producción de bienes y servicios de manera acorde con la evolución de la sociedad, haciendo uso de todos los recursos técnicos y humanos disponibles.</w:t>
      </w:r>
    </w:p>
    <w:p w14:paraId="16AB67F4" w14:textId="77777777" w:rsidR="00EF1D5F" w:rsidRDefault="00EF1D5F" w:rsidP="00DF2560"/>
    <w:p w14:paraId="48BFC6CB" w14:textId="77777777" w:rsidR="00EF1D5F" w:rsidRDefault="00EF1D5F" w:rsidP="00DF2560">
      <w:r>
        <w:t>Si bien Bogotá ha sido referente internacional y nacional en materia de innovación en el sector público, aún tiene grandes oportunidades de mejora.</w:t>
      </w:r>
    </w:p>
    <w:p w14:paraId="003A3AB5" w14:textId="77777777" w:rsidR="00EF1D5F" w:rsidRDefault="00EF1D5F" w:rsidP="00DF2560"/>
    <w:p w14:paraId="54EAE6E1" w14:textId="77777777" w:rsidR="00EF1D5F" w:rsidRDefault="00EF1D5F" w:rsidP="00DF2560">
      <w:r>
        <w:t>En 2023 Bogotá tuvo el mejor puntaje en el Índice de Capacidades de Innovación Pública, con el 96</w:t>
      </w:r>
      <w:r>
        <w:rPr>
          <w:rFonts w:ascii="Arial" w:hAnsi="Arial" w:cs="Arial"/>
        </w:rPr>
        <w:t> </w:t>
      </w:r>
      <w:r>
        <w:t>% (DNP, 2023). En relación con el Índice de Innovación Pública (IIP), de la Veeduría Distrital de Bogotá, para 2023 la ciudad sobrepasó su meta anual de cumplimiento, pues llegó a los 45,02 puntos (3,2 puntos por encima de la meta). Este último indicador refleja varios retos con grandes oportunidades de mejora: fortalecer la capacidad institucional, que hace referencia a la planeación en lo relativo a la innovación, presupuesto en temas de innovación, recursos humanos que trabajan en temas de innovación y recursos digitales habilitantes para la innovación (puntaje de 49,79, peso del 25</w:t>
      </w:r>
      <w:r>
        <w:rPr>
          <w:rFonts w:ascii="Arial" w:hAnsi="Arial" w:cs="Arial"/>
        </w:rPr>
        <w:t> </w:t>
      </w:r>
      <w:r>
        <w:t>% del índice).</w:t>
      </w:r>
    </w:p>
    <w:p w14:paraId="52A81743" w14:textId="77777777" w:rsidR="00EF1D5F" w:rsidRDefault="00EF1D5F" w:rsidP="00DF2560"/>
    <w:p w14:paraId="15913F2F" w14:textId="77777777" w:rsidR="00EF1D5F" w:rsidRDefault="00EF1D5F" w:rsidP="00DF2560">
      <w:r>
        <w:t xml:space="preserve">De igual manera, es importante fortalecer prácticas y procesos, que hacen referencia a la identificación y el uso de retos o áreas de oportunidad, generación de ideas, diseño de </w:t>
      </w:r>
      <w:r>
        <w:t>innovaciones, generación de capacidades y cultura y liderazgo para la innovación pública; nuestro resultado solo alcanzó 42,06 puntos.</w:t>
      </w:r>
    </w:p>
    <w:p w14:paraId="00319963" w14:textId="77777777" w:rsidR="00EF1D5F" w:rsidRDefault="00EF1D5F" w:rsidP="00DF2560"/>
    <w:p w14:paraId="09D61DFF" w14:textId="77777777" w:rsidR="00EF1D5F" w:rsidRDefault="00EF1D5F" w:rsidP="00DF2560">
      <w:r>
        <w:t>De igual forma, en materia de resultados, que hace referencia a innovaciones implementadas y generación de capacidades en innovación para funcionarios y contratistas, nuestro resultado solo alcanzó 42,05 puntos. En cuanto a capacidades institucionales, procesos, procedimientos y resultados en materia de gestión del conocimiento, la medición alcanzó 47,9 puntos.</w:t>
      </w:r>
    </w:p>
    <w:p w14:paraId="7649677F" w14:textId="77777777" w:rsidR="00EF1D5F" w:rsidRDefault="00EF1D5F" w:rsidP="00DF2560">
      <w:pPr>
        <w:rPr>
          <w:b/>
        </w:rPr>
      </w:pPr>
    </w:p>
    <w:p w14:paraId="791473A0" w14:textId="77777777" w:rsidR="00EF1D5F" w:rsidRPr="00DF2560" w:rsidRDefault="00EF1D5F" w:rsidP="00DF2560">
      <w:pPr>
        <w:rPr>
          <w:spacing w:val="-4"/>
        </w:rPr>
      </w:pPr>
      <w:r w:rsidRPr="00DF2560">
        <w:rPr>
          <w:spacing w:val="-4"/>
        </w:rPr>
        <w:t>Además de los resultados que arrojan las mediciones sobre innovación pública, también es importante considerar el ecosistema de innovación pública amplio de la ciudad, conformado por unidades, laboratorios y equipos que han venido ofreciendo servicios que habilitan la innovación pública y social en la ciudad.</w:t>
      </w:r>
    </w:p>
    <w:p w14:paraId="20A4C5D3" w14:textId="77777777" w:rsidR="00EF1D5F" w:rsidRDefault="00EF1D5F" w:rsidP="00DF2560">
      <w:pPr>
        <w:rPr>
          <w:b/>
        </w:rPr>
      </w:pPr>
    </w:p>
    <w:p w14:paraId="6C45FD80" w14:textId="77777777" w:rsidR="00EF1D5F" w:rsidRDefault="00EF1D5F" w:rsidP="00DF2560">
      <w:bookmarkStart w:id="444" w:name="_heading=h.5zac7r6wh6u2" w:colFirst="0" w:colLast="0"/>
      <w:bookmarkEnd w:id="444"/>
      <w:r>
        <w:t>Esta visión “ecosistémica” permite que las entidades gestionen conocimiento sobre la innovación, y que trabajen de manera articulada hacia el alcance de metas, así como generar una institucionalidad y compromiso directivo relevante sobre la temática con Startups Govtech y Startups, de interés público para la búsqueda de soluciones a los problemas de la ciudad, como la “Ruta de Alto Impacto” y el Campus de Ciencia, Tecnología e Innovación</w:t>
      </w:r>
      <w:r w:rsidRPr="00DF2560">
        <w:rPr>
          <w:b/>
          <w:bCs/>
          <w:color w:val="C00000"/>
          <w:vertAlign w:val="superscript"/>
        </w:rPr>
        <w:footnoteReference w:id="32"/>
      </w:r>
      <w:r>
        <w:t xml:space="preserve"> del Distrito; sin embargo, deben consolidarse y fortalecerse para avanzar en la solución de los retos de ciudad.</w:t>
      </w:r>
    </w:p>
    <w:bookmarkEnd w:id="443"/>
    <w:p w14:paraId="541B0D23" w14:textId="77777777" w:rsidR="00EF1D5F" w:rsidRDefault="00EF1D5F" w:rsidP="005D5A4A">
      <w:pPr>
        <w:spacing w:line="480" w:lineRule="auto"/>
        <w:rPr>
          <w:rFonts w:ascii="Times New Roman" w:hAnsi="Times New Roman"/>
          <w:b/>
          <w:bCs/>
          <w:sz w:val="24"/>
        </w:rPr>
        <w:sectPr w:rsidR="00EF1D5F" w:rsidSect="00F7078E">
          <w:type w:val="continuous"/>
          <w:pgSz w:w="12240" w:h="15840"/>
          <w:pgMar w:top="2262" w:right="1440" w:bottom="1440" w:left="1440" w:header="708" w:footer="680" w:gutter="0"/>
          <w:cols w:num="2" w:space="567"/>
          <w:docGrid w:linePitch="299"/>
        </w:sectPr>
      </w:pPr>
    </w:p>
    <w:p w14:paraId="2CD3D873" w14:textId="77777777" w:rsidR="00EF1D5F" w:rsidRDefault="00EF1D5F" w:rsidP="005D5A4A">
      <w:pPr>
        <w:spacing w:line="480" w:lineRule="auto"/>
        <w:rPr>
          <w:rFonts w:ascii="Times New Roman" w:hAnsi="Times New Roman"/>
          <w:b/>
          <w:bCs/>
          <w:sz w:val="24"/>
        </w:rPr>
      </w:pPr>
    </w:p>
    <w:p w14:paraId="2A19F94F" w14:textId="214D01FD" w:rsidR="00EF1D5F" w:rsidRPr="001764D3" w:rsidRDefault="00EF1D5F" w:rsidP="001764D3">
      <w:pPr>
        <w:ind w:firstLine="708"/>
        <w:rPr>
          <w:b/>
          <w:bCs/>
          <w:sz w:val="24"/>
        </w:rPr>
      </w:pPr>
      <w:r w:rsidRPr="001764D3">
        <w:rPr>
          <w:b/>
          <w:bCs/>
          <w:sz w:val="24"/>
        </w:rPr>
        <w:t>Descripción del programa</w:t>
      </w:r>
    </w:p>
    <w:p w14:paraId="417E1607" w14:textId="77777777" w:rsidR="00EF1D5F" w:rsidRDefault="00EF1D5F" w:rsidP="0074585F">
      <w:pPr>
        <w:rPr>
          <w:highlight w:val="white"/>
        </w:rPr>
        <w:sectPr w:rsidR="00EF1D5F" w:rsidSect="00F7078E">
          <w:type w:val="continuous"/>
          <w:pgSz w:w="12240" w:h="15840"/>
          <w:pgMar w:top="2262" w:right="1440" w:bottom="1440" w:left="1440" w:header="708" w:footer="680" w:gutter="0"/>
          <w:cols w:space="720"/>
          <w:docGrid w:linePitch="299"/>
        </w:sectPr>
      </w:pPr>
    </w:p>
    <w:p w14:paraId="1D1FEB94" w14:textId="77777777" w:rsidR="00EF1D5F" w:rsidRDefault="00EF1D5F" w:rsidP="00DF2560">
      <w:r>
        <w:t xml:space="preserve">Con este programa se fortalecerán las capacidades institucionales de las entidades distritales para utilizar la innovación y el conocimiento como medio esencial para mejorar el desarrollo </w:t>
      </w:r>
      <w:r>
        <w:t xml:space="preserve">organizacional, el desempeño institucional y los servicios a la ciudadanía, y fortalecer la confianza. Sumado a ello, pondrá en marcha retos de innovación abierta, basada en información </w:t>
      </w:r>
      <w:r>
        <w:lastRenderedPageBreak/>
        <w:t>estratégica que fortalezca la toma de decisiones del Distrito Capital, así como la consolidación del Laboratorio de innovación Pública de Bogotá (iBO), buscando aportar a la búsqueda conjunta de soluciones a retos estratégicos de la ciudad y seguir posicionándola como referente internacional, nacional y local en estos temas.</w:t>
      </w:r>
    </w:p>
    <w:p w14:paraId="6C9D48DB" w14:textId="77777777" w:rsidR="00EF1D5F" w:rsidRDefault="00EF1D5F" w:rsidP="00DF2560"/>
    <w:p w14:paraId="6900ED52" w14:textId="77777777" w:rsidR="00EF1D5F" w:rsidRDefault="00EF1D5F" w:rsidP="00DF2560">
      <w:r>
        <w:t>El fortalecimiento de las capacidades institucionales requiere la generación de una cultura de innovación pública en las entidades y su talento humano, mediante la formación en intraemprendimiento, y teniendo como base la innovación pública. Estas capacidades buscan generar soluciones a problemas desde una mirada sistémica, participativa, creativa, basada en la experimentación, buscando que la innovación comience por las personas.</w:t>
      </w:r>
    </w:p>
    <w:p w14:paraId="639D550E" w14:textId="77777777" w:rsidR="00EF1D5F" w:rsidRDefault="00EF1D5F" w:rsidP="00DF2560"/>
    <w:p w14:paraId="25D4D400" w14:textId="77777777" w:rsidR="00EF1D5F" w:rsidRDefault="00EF1D5F" w:rsidP="00DF2560">
      <w:r>
        <w:t>El avance y el dinamismo del ecosistema de innovación pública de la ciudad se lograrán a través del aprovechamiento del Campus de Ciencia, Tecnología e Innovación, el trabajo colaborativo con Startups Govtech,</w:t>
      </w:r>
      <w:r>
        <w:rPr>
          <w:i/>
        </w:rPr>
        <w:t xml:space="preserve"> startups </w:t>
      </w:r>
      <w:r>
        <w:t xml:space="preserve">de interés </w:t>
      </w:r>
      <w:r>
        <w:t>público y la articulación entre actores institucionales, académicos, económicos y sociales de carácter nacional, regional e internacional que coadyuven en la búsqueda de soluciones a los retos estratégicos de la ciudad, enmarcados en los cinco objetivos de este Plan Distrital de Desarrollo.</w:t>
      </w:r>
    </w:p>
    <w:p w14:paraId="70D5DCA3" w14:textId="77777777" w:rsidR="00EF1D5F" w:rsidRDefault="00EF1D5F" w:rsidP="00DF2560"/>
    <w:p w14:paraId="5720454C" w14:textId="343E8CFD" w:rsidR="00EF1D5F" w:rsidRDefault="00EF1D5F" w:rsidP="00DF2560">
      <w:pPr>
        <w:sectPr w:rsidR="00EF1D5F" w:rsidSect="00F7078E">
          <w:type w:val="continuous"/>
          <w:pgSz w:w="12240" w:h="15840"/>
          <w:pgMar w:top="2262" w:right="1440" w:bottom="1440" w:left="1440" w:header="708" w:footer="680" w:gutter="0"/>
          <w:cols w:num="2" w:space="567"/>
          <w:docGrid w:linePitch="299"/>
        </w:sectPr>
      </w:pPr>
      <w:r>
        <w:t>El desarrollo de estas soluciones tendrá componentes metodológicos relacionados con el diseño centrado en las personas, el pensamiento sistémico, las ciencias del comportamiento, la gestión del conocimiento y el uso de tecnología y análisis de datos. Todo esto, encaminado a generar mayor confianza en la ciudadanía, agilidad en el sector público y un mayor desempeño en las entidades públicas. En la medida en que las capacidades en gestión del conocimiento e innovación de las entidades distritales se fortalezcan y se dé una mayor articulación entre la Administración y el ecosistema de innovación, será posible profundizar el diseño y el desarrollo de soluciones innovadoras a grandes retos de Bogotá.</w:t>
      </w:r>
    </w:p>
    <w:p w14:paraId="0C0F4A1B" w14:textId="77777777" w:rsidR="00EF1D5F" w:rsidRPr="00B944E8" w:rsidRDefault="00EF1D5F" w:rsidP="005D5A4A">
      <w:pPr>
        <w:spacing w:line="480" w:lineRule="auto"/>
        <w:rPr>
          <w:rFonts w:ascii="Times New Roman" w:hAnsi="Times New Roman"/>
          <w:sz w:val="24"/>
        </w:rPr>
      </w:pPr>
    </w:p>
    <w:p w14:paraId="419AAAF3" w14:textId="77777777" w:rsidR="00EF1D5F" w:rsidRDefault="00EF1D5F" w:rsidP="005D5A4A">
      <w:pPr>
        <w:rPr>
          <w:rFonts w:ascii="Times New Roman" w:hAnsi="Times New Roman"/>
          <w:sz w:val="24"/>
        </w:rPr>
      </w:pPr>
      <w:r>
        <w:rPr>
          <w:rFonts w:ascii="Times New Roman" w:hAnsi="Times New Roman"/>
          <w:sz w:val="24"/>
        </w:rPr>
        <w:br w:type="page"/>
      </w:r>
    </w:p>
    <w:p w14:paraId="55427016" w14:textId="6817081C" w:rsidR="00EF1D5F" w:rsidRPr="004D203A" w:rsidRDefault="004D203A" w:rsidP="004D203A">
      <w:pPr>
        <w:pStyle w:val="Descripcin"/>
        <w:jc w:val="center"/>
        <w:rPr>
          <w:sz w:val="18"/>
        </w:rPr>
      </w:pPr>
      <w:bookmarkStart w:id="445" w:name="_Toc165169969"/>
      <w:r w:rsidRPr="004D203A">
        <w:rPr>
          <w:color w:val="C00000"/>
          <w:sz w:val="18"/>
        </w:rPr>
        <w:lastRenderedPageBreak/>
        <w:t xml:space="preserve">Tabla </w:t>
      </w:r>
      <w:r w:rsidRPr="004D203A">
        <w:rPr>
          <w:color w:val="C00000"/>
          <w:sz w:val="18"/>
        </w:rPr>
        <w:fldChar w:fldCharType="begin"/>
      </w:r>
      <w:r w:rsidRPr="004D203A">
        <w:rPr>
          <w:color w:val="C00000"/>
          <w:sz w:val="18"/>
        </w:rPr>
        <w:instrText xml:space="preserve"> SEQ Tabla \* ARABIC </w:instrText>
      </w:r>
      <w:r w:rsidRPr="004D203A">
        <w:rPr>
          <w:color w:val="C00000"/>
          <w:sz w:val="18"/>
        </w:rPr>
        <w:fldChar w:fldCharType="separate"/>
      </w:r>
      <w:r w:rsidR="00D01651">
        <w:rPr>
          <w:noProof/>
          <w:color w:val="C00000"/>
          <w:sz w:val="18"/>
        </w:rPr>
        <w:t>59</w:t>
      </w:r>
      <w:r w:rsidRPr="004D203A">
        <w:rPr>
          <w:color w:val="C00000"/>
          <w:sz w:val="18"/>
        </w:rPr>
        <w:fldChar w:fldCharType="end"/>
      </w:r>
      <w:r w:rsidRPr="004D203A">
        <w:rPr>
          <w:color w:val="C00000"/>
          <w:sz w:val="18"/>
        </w:rPr>
        <w:t xml:space="preserve">. </w:t>
      </w:r>
      <w:r w:rsidR="00EF1D5F" w:rsidRPr="004D203A">
        <w:rPr>
          <w:color w:val="000000" w:themeColor="text1"/>
          <w:sz w:val="18"/>
        </w:rPr>
        <w:t xml:space="preserve">Metas del programa </w:t>
      </w:r>
      <w:r w:rsidRPr="004D203A">
        <w:rPr>
          <w:color w:val="000000" w:themeColor="text1"/>
          <w:sz w:val="18"/>
        </w:rPr>
        <w:t xml:space="preserve">36: </w:t>
      </w:r>
      <w:r w:rsidR="00EF1D5F" w:rsidRPr="004D203A">
        <w:rPr>
          <w:color w:val="000000" w:themeColor="text1"/>
          <w:sz w:val="18"/>
        </w:rPr>
        <w:t>Innovación Pública para la generación de la confianza ciudadana</w:t>
      </w:r>
      <w:bookmarkEnd w:id="445"/>
    </w:p>
    <w:tbl>
      <w:tblPr>
        <w:tblW w:w="936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101"/>
        <w:gridCol w:w="1277"/>
        <w:gridCol w:w="1229"/>
        <w:gridCol w:w="1224"/>
        <w:gridCol w:w="1280"/>
        <w:gridCol w:w="1249"/>
      </w:tblGrid>
      <w:tr w:rsidR="00D65427" w:rsidRPr="00D65427" w14:paraId="6442EF88" w14:textId="77777777" w:rsidTr="00D65427">
        <w:trPr>
          <w:tblHeader/>
        </w:trPr>
        <w:tc>
          <w:tcPr>
            <w:tcW w:w="0" w:type="auto"/>
            <w:vMerge w:val="restart"/>
            <w:shd w:val="clear" w:color="auto" w:fill="C00000"/>
            <w:tcMar>
              <w:top w:w="30" w:type="dxa"/>
              <w:left w:w="45" w:type="dxa"/>
              <w:bottom w:w="30" w:type="dxa"/>
              <w:right w:w="45" w:type="dxa"/>
            </w:tcMar>
            <w:vAlign w:val="center"/>
            <w:hideMark/>
          </w:tcPr>
          <w:p w14:paraId="207AAAC1" w14:textId="77777777" w:rsidR="00D65427" w:rsidRPr="00D65427" w:rsidRDefault="00D65427" w:rsidP="00AA4BBB">
            <w:pPr>
              <w:jc w:val="center"/>
              <w:rPr>
                <w:rFonts w:cs="Arial"/>
                <w:b/>
                <w:bCs/>
                <w:color w:val="FFFFFF"/>
                <w:sz w:val="20"/>
                <w:szCs w:val="20"/>
              </w:rPr>
            </w:pPr>
            <w:r w:rsidRPr="00D65427">
              <w:rPr>
                <w:rFonts w:cs="Arial"/>
                <w:b/>
                <w:bCs/>
                <w:color w:val="FFFFFF"/>
                <w:sz w:val="20"/>
                <w:szCs w:val="20"/>
              </w:rPr>
              <w:t>SECTOR / Metas</w:t>
            </w:r>
          </w:p>
        </w:tc>
        <w:tc>
          <w:tcPr>
            <w:tcW w:w="0" w:type="auto"/>
            <w:gridSpan w:val="5"/>
            <w:shd w:val="clear" w:color="auto" w:fill="C00000"/>
            <w:tcMar>
              <w:top w:w="30" w:type="dxa"/>
              <w:left w:w="45" w:type="dxa"/>
              <w:bottom w:w="30" w:type="dxa"/>
              <w:right w:w="45" w:type="dxa"/>
            </w:tcMar>
            <w:vAlign w:val="center"/>
            <w:hideMark/>
          </w:tcPr>
          <w:p w14:paraId="1CF56F3A" w14:textId="77777777" w:rsidR="00D65427" w:rsidRPr="00D65427" w:rsidRDefault="00D65427" w:rsidP="00AA4BBB">
            <w:pPr>
              <w:jc w:val="center"/>
              <w:rPr>
                <w:rFonts w:cs="Arial"/>
                <w:b/>
                <w:bCs/>
                <w:color w:val="FFFFFF"/>
                <w:sz w:val="20"/>
                <w:szCs w:val="20"/>
              </w:rPr>
            </w:pPr>
            <w:r w:rsidRPr="00D65427">
              <w:rPr>
                <w:rFonts w:cs="Arial"/>
                <w:b/>
                <w:bCs/>
                <w:color w:val="FFFFFF"/>
                <w:sz w:val="20"/>
                <w:szCs w:val="20"/>
              </w:rPr>
              <w:t xml:space="preserve">Magnitudes e Inversión </w:t>
            </w:r>
          </w:p>
          <w:p w14:paraId="0EB8D7FE" w14:textId="77777777" w:rsidR="00D65427" w:rsidRPr="00D65427" w:rsidRDefault="00D65427" w:rsidP="00AA4BBB">
            <w:pPr>
              <w:jc w:val="center"/>
              <w:rPr>
                <w:rFonts w:cs="Arial"/>
                <w:b/>
                <w:bCs/>
                <w:color w:val="FFFFFF"/>
                <w:sz w:val="20"/>
                <w:szCs w:val="20"/>
              </w:rPr>
            </w:pPr>
            <w:r w:rsidRPr="00D65427">
              <w:rPr>
                <w:rFonts w:cs="Arial"/>
                <w:b/>
                <w:bCs/>
                <w:color w:val="FFFFFF"/>
                <w:sz w:val="20"/>
                <w:szCs w:val="20"/>
              </w:rPr>
              <w:t>(Precios Constantes 2024)</w:t>
            </w:r>
          </w:p>
        </w:tc>
      </w:tr>
      <w:tr w:rsidR="00D65427" w:rsidRPr="00D65427" w14:paraId="0A81D94E" w14:textId="77777777" w:rsidTr="00D65427">
        <w:trPr>
          <w:tblHeader/>
        </w:trPr>
        <w:tc>
          <w:tcPr>
            <w:tcW w:w="0" w:type="auto"/>
            <w:vMerge/>
            <w:vAlign w:val="center"/>
            <w:hideMark/>
          </w:tcPr>
          <w:p w14:paraId="76EC2073" w14:textId="77777777" w:rsidR="00D65427" w:rsidRPr="00D65427" w:rsidRDefault="00D65427" w:rsidP="00AA4BBB">
            <w:pPr>
              <w:rPr>
                <w:rFonts w:cs="Arial"/>
                <w:b/>
                <w:bCs/>
                <w:color w:val="FFFFFF"/>
                <w:sz w:val="20"/>
                <w:szCs w:val="20"/>
              </w:rPr>
            </w:pPr>
          </w:p>
        </w:tc>
        <w:tc>
          <w:tcPr>
            <w:tcW w:w="0" w:type="auto"/>
            <w:shd w:val="clear" w:color="auto" w:fill="D9D9D9"/>
            <w:tcMar>
              <w:top w:w="30" w:type="dxa"/>
              <w:left w:w="45" w:type="dxa"/>
              <w:bottom w:w="30" w:type="dxa"/>
              <w:right w:w="45" w:type="dxa"/>
            </w:tcMar>
            <w:vAlign w:val="center"/>
            <w:hideMark/>
          </w:tcPr>
          <w:p w14:paraId="5BA5D922" w14:textId="77777777" w:rsidR="00D65427" w:rsidRPr="00D65427" w:rsidRDefault="00D65427" w:rsidP="00AA4BBB">
            <w:pPr>
              <w:jc w:val="center"/>
              <w:rPr>
                <w:rFonts w:cs="Arial"/>
                <w:b/>
                <w:bCs/>
                <w:sz w:val="20"/>
                <w:szCs w:val="20"/>
              </w:rPr>
            </w:pPr>
            <w:r w:rsidRPr="00D65427">
              <w:rPr>
                <w:rFonts w:cs="Arial"/>
                <w:b/>
                <w:bCs/>
                <w:sz w:val="20"/>
                <w:szCs w:val="20"/>
              </w:rPr>
              <w:t>2024</w:t>
            </w:r>
          </w:p>
        </w:tc>
        <w:tc>
          <w:tcPr>
            <w:tcW w:w="0" w:type="auto"/>
            <w:shd w:val="clear" w:color="auto" w:fill="D9D9D9"/>
            <w:tcMar>
              <w:top w:w="30" w:type="dxa"/>
              <w:left w:w="45" w:type="dxa"/>
              <w:bottom w:w="30" w:type="dxa"/>
              <w:right w:w="45" w:type="dxa"/>
            </w:tcMar>
            <w:vAlign w:val="center"/>
            <w:hideMark/>
          </w:tcPr>
          <w:p w14:paraId="0487C2D9" w14:textId="77777777" w:rsidR="00D65427" w:rsidRPr="00D65427" w:rsidRDefault="00D65427" w:rsidP="00AA4BBB">
            <w:pPr>
              <w:jc w:val="center"/>
              <w:rPr>
                <w:rFonts w:cs="Arial"/>
                <w:b/>
                <w:bCs/>
                <w:sz w:val="20"/>
                <w:szCs w:val="20"/>
              </w:rPr>
            </w:pPr>
            <w:r w:rsidRPr="00D65427">
              <w:rPr>
                <w:rFonts w:cs="Arial"/>
                <w:b/>
                <w:bCs/>
                <w:sz w:val="20"/>
                <w:szCs w:val="20"/>
              </w:rPr>
              <w:t>2025</w:t>
            </w:r>
          </w:p>
        </w:tc>
        <w:tc>
          <w:tcPr>
            <w:tcW w:w="0" w:type="auto"/>
            <w:shd w:val="clear" w:color="auto" w:fill="D9D9D9"/>
            <w:tcMar>
              <w:top w:w="30" w:type="dxa"/>
              <w:left w:w="45" w:type="dxa"/>
              <w:bottom w:w="30" w:type="dxa"/>
              <w:right w:w="45" w:type="dxa"/>
            </w:tcMar>
            <w:vAlign w:val="center"/>
            <w:hideMark/>
          </w:tcPr>
          <w:p w14:paraId="674ABBF9" w14:textId="77777777" w:rsidR="00D65427" w:rsidRPr="00D65427" w:rsidRDefault="00D65427" w:rsidP="00AA4BBB">
            <w:pPr>
              <w:jc w:val="center"/>
              <w:rPr>
                <w:rFonts w:cs="Arial"/>
                <w:b/>
                <w:bCs/>
                <w:sz w:val="20"/>
                <w:szCs w:val="20"/>
              </w:rPr>
            </w:pPr>
            <w:r w:rsidRPr="00D65427">
              <w:rPr>
                <w:rFonts w:cs="Arial"/>
                <w:b/>
                <w:bCs/>
                <w:sz w:val="20"/>
                <w:szCs w:val="20"/>
              </w:rPr>
              <w:t>2026</w:t>
            </w:r>
          </w:p>
        </w:tc>
        <w:tc>
          <w:tcPr>
            <w:tcW w:w="0" w:type="auto"/>
            <w:shd w:val="clear" w:color="auto" w:fill="D9D9D9"/>
            <w:tcMar>
              <w:top w:w="30" w:type="dxa"/>
              <w:left w:w="45" w:type="dxa"/>
              <w:bottom w:w="30" w:type="dxa"/>
              <w:right w:w="45" w:type="dxa"/>
            </w:tcMar>
            <w:vAlign w:val="center"/>
            <w:hideMark/>
          </w:tcPr>
          <w:p w14:paraId="391A21B0" w14:textId="77777777" w:rsidR="00D65427" w:rsidRPr="00D65427" w:rsidRDefault="00D65427" w:rsidP="00AA4BBB">
            <w:pPr>
              <w:jc w:val="center"/>
              <w:rPr>
                <w:rFonts w:cs="Arial"/>
                <w:b/>
                <w:bCs/>
                <w:sz w:val="20"/>
                <w:szCs w:val="20"/>
              </w:rPr>
            </w:pPr>
            <w:r w:rsidRPr="00D65427">
              <w:rPr>
                <w:rFonts w:cs="Arial"/>
                <w:b/>
                <w:bCs/>
                <w:sz w:val="20"/>
                <w:szCs w:val="20"/>
              </w:rPr>
              <w:t>2027</w:t>
            </w:r>
          </w:p>
        </w:tc>
        <w:tc>
          <w:tcPr>
            <w:tcW w:w="0" w:type="auto"/>
            <w:shd w:val="clear" w:color="auto" w:fill="D9D9D9"/>
            <w:tcMar>
              <w:top w:w="30" w:type="dxa"/>
              <w:left w:w="45" w:type="dxa"/>
              <w:bottom w:w="30" w:type="dxa"/>
              <w:right w:w="45" w:type="dxa"/>
            </w:tcMar>
            <w:vAlign w:val="center"/>
            <w:hideMark/>
          </w:tcPr>
          <w:p w14:paraId="3A8B3BCC" w14:textId="77777777" w:rsidR="00D65427" w:rsidRPr="00D65427" w:rsidRDefault="00D65427" w:rsidP="00AA4BBB">
            <w:pPr>
              <w:jc w:val="center"/>
              <w:rPr>
                <w:rFonts w:cs="Arial"/>
                <w:b/>
                <w:bCs/>
                <w:sz w:val="20"/>
                <w:szCs w:val="20"/>
              </w:rPr>
            </w:pPr>
            <w:r w:rsidRPr="00D65427">
              <w:rPr>
                <w:rFonts w:cs="Arial"/>
                <w:b/>
                <w:bCs/>
                <w:sz w:val="20"/>
                <w:szCs w:val="20"/>
              </w:rPr>
              <w:t>Total Inversión</w:t>
            </w:r>
          </w:p>
        </w:tc>
      </w:tr>
      <w:tr w:rsidR="00D65427" w:rsidRPr="00D65427" w14:paraId="14AEC313" w14:textId="77777777" w:rsidTr="00D65427">
        <w:tc>
          <w:tcPr>
            <w:tcW w:w="0" w:type="auto"/>
            <w:gridSpan w:val="6"/>
            <w:shd w:val="clear" w:color="auto" w:fill="C00000"/>
            <w:tcMar>
              <w:top w:w="30" w:type="dxa"/>
              <w:left w:w="45" w:type="dxa"/>
              <w:bottom w:w="30" w:type="dxa"/>
              <w:right w:w="45" w:type="dxa"/>
            </w:tcMar>
            <w:vAlign w:val="center"/>
            <w:hideMark/>
          </w:tcPr>
          <w:p w14:paraId="327A30CC" w14:textId="77777777" w:rsidR="00D65427" w:rsidRPr="00D65427" w:rsidRDefault="00D65427" w:rsidP="00AA4BBB">
            <w:pPr>
              <w:jc w:val="center"/>
              <w:rPr>
                <w:rFonts w:cs="Arial"/>
                <w:b/>
                <w:bCs/>
                <w:sz w:val="20"/>
                <w:szCs w:val="20"/>
              </w:rPr>
            </w:pPr>
            <w:r w:rsidRPr="00D65427">
              <w:rPr>
                <w:rFonts w:cs="Arial"/>
                <w:b/>
                <w:bCs/>
                <w:color w:val="FFFFFF" w:themeColor="background1"/>
                <w:sz w:val="20"/>
                <w:szCs w:val="20"/>
              </w:rPr>
              <w:t>Gestión Pública</w:t>
            </w:r>
          </w:p>
        </w:tc>
      </w:tr>
      <w:tr w:rsidR="00D65427" w:rsidRPr="00D65427" w14:paraId="76693C23" w14:textId="77777777" w:rsidTr="00D65427">
        <w:tc>
          <w:tcPr>
            <w:tcW w:w="0" w:type="auto"/>
            <w:vMerge w:val="restart"/>
            <w:tcMar>
              <w:top w:w="30" w:type="dxa"/>
              <w:left w:w="45" w:type="dxa"/>
              <w:bottom w:w="30" w:type="dxa"/>
              <w:right w:w="45" w:type="dxa"/>
            </w:tcMar>
            <w:vAlign w:val="center"/>
            <w:hideMark/>
          </w:tcPr>
          <w:p w14:paraId="0F7E75E3" w14:textId="77777777" w:rsidR="00D65427" w:rsidRPr="00D65427" w:rsidRDefault="00D65427" w:rsidP="00AA4BBB">
            <w:pPr>
              <w:rPr>
                <w:rFonts w:cs="Arial"/>
                <w:sz w:val="20"/>
                <w:szCs w:val="20"/>
              </w:rPr>
            </w:pPr>
            <w:r w:rsidRPr="00D65427">
              <w:rPr>
                <w:rFonts w:cs="Arial"/>
                <w:sz w:val="20"/>
                <w:szCs w:val="20"/>
              </w:rPr>
              <w:t>Consolidar el Laboratorio de innovación Pública de Bogotá iBO como articulador del ecosistema de innovación pública de la ciudad el ecosistema Govtech y como prestador de servicios de innovación pública en el campus CTI.</w:t>
            </w:r>
          </w:p>
        </w:tc>
        <w:tc>
          <w:tcPr>
            <w:tcW w:w="0" w:type="auto"/>
            <w:tcMar>
              <w:top w:w="30" w:type="dxa"/>
              <w:left w:w="45" w:type="dxa"/>
              <w:bottom w:w="30" w:type="dxa"/>
              <w:right w:w="45" w:type="dxa"/>
            </w:tcMar>
            <w:vAlign w:val="center"/>
            <w:hideMark/>
          </w:tcPr>
          <w:p w14:paraId="017D51F9" w14:textId="77777777" w:rsidR="00D65427" w:rsidRPr="00D65427" w:rsidRDefault="00D65427" w:rsidP="00AA4BBB">
            <w:pPr>
              <w:jc w:val="center"/>
              <w:rPr>
                <w:rFonts w:cs="Arial"/>
                <w:sz w:val="20"/>
                <w:szCs w:val="20"/>
              </w:rPr>
            </w:pPr>
            <w:r w:rsidRPr="00D65427">
              <w:rPr>
                <w:rFonts w:cs="Arial"/>
                <w:sz w:val="20"/>
                <w:szCs w:val="20"/>
              </w:rPr>
              <w:t>25,00%</w:t>
            </w:r>
          </w:p>
        </w:tc>
        <w:tc>
          <w:tcPr>
            <w:tcW w:w="0" w:type="auto"/>
            <w:tcMar>
              <w:top w:w="30" w:type="dxa"/>
              <w:left w:w="45" w:type="dxa"/>
              <w:bottom w:w="30" w:type="dxa"/>
              <w:right w:w="45" w:type="dxa"/>
            </w:tcMar>
            <w:vAlign w:val="center"/>
            <w:hideMark/>
          </w:tcPr>
          <w:p w14:paraId="3FBE5C07" w14:textId="77777777" w:rsidR="00D65427" w:rsidRPr="00D65427" w:rsidRDefault="00D65427" w:rsidP="00AA4BBB">
            <w:pPr>
              <w:jc w:val="center"/>
              <w:rPr>
                <w:rFonts w:cs="Arial"/>
                <w:sz w:val="20"/>
                <w:szCs w:val="20"/>
              </w:rPr>
            </w:pPr>
            <w:r w:rsidRPr="00D65427">
              <w:rPr>
                <w:rFonts w:cs="Arial"/>
                <w:sz w:val="20"/>
                <w:szCs w:val="20"/>
              </w:rPr>
              <w:t>25,00%</w:t>
            </w:r>
          </w:p>
        </w:tc>
        <w:tc>
          <w:tcPr>
            <w:tcW w:w="0" w:type="auto"/>
            <w:tcMar>
              <w:top w:w="30" w:type="dxa"/>
              <w:left w:w="45" w:type="dxa"/>
              <w:bottom w:w="30" w:type="dxa"/>
              <w:right w:w="45" w:type="dxa"/>
            </w:tcMar>
            <w:vAlign w:val="center"/>
            <w:hideMark/>
          </w:tcPr>
          <w:p w14:paraId="04DD5695" w14:textId="77777777" w:rsidR="00D65427" w:rsidRPr="00D65427" w:rsidRDefault="00D65427" w:rsidP="00AA4BBB">
            <w:pPr>
              <w:jc w:val="center"/>
              <w:rPr>
                <w:rFonts w:cs="Arial"/>
                <w:sz w:val="20"/>
                <w:szCs w:val="20"/>
              </w:rPr>
            </w:pPr>
            <w:r w:rsidRPr="00D65427">
              <w:rPr>
                <w:rFonts w:cs="Arial"/>
                <w:sz w:val="20"/>
                <w:szCs w:val="20"/>
              </w:rPr>
              <w:t>25,00%</w:t>
            </w:r>
          </w:p>
        </w:tc>
        <w:tc>
          <w:tcPr>
            <w:tcW w:w="0" w:type="auto"/>
            <w:tcMar>
              <w:top w:w="30" w:type="dxa"/>
              <w:left w:w="45" w:type="dxa"/>
              <w:bottom w:w="30" w:type="dxa"/>
              <w:right w:w="45" w:type="dxa"/>
            </w:tcMar>
            <w:vAlign w:val="center"/>
            <w:hideMark/>
          </w:tcPr>
          <w:p w14:paraId="3A4F4F7F" w14:textId="77777777" w:rsidR="00D65427" w:rsidRPr="00D65427" w:rsidRDefault="00D65427" w:rsidP="00AA4BBB">
            <w:pPr>
              <w:jc w:val="center"/>
              <w:rPr>
                <w:rFonts w:cs="Arial"/>
                <w:sz w:val="20"/>
                <w:szCs w:val="20"/>
              </w:rPr>
            </w:pPr>
            <w:r w:rsidRPr="00D65427">
              <w:rPr>
                <w:rFonts w:cs="Arial"/>
                <w:sz w:val="20"/>
                <w:szCs w:val="20"/>
              </w:rPr>
              <w:t>25,00%</w:t>
            </w:r>
          </w:p>
        </w:tc>
        <w:tc>
          <w:tcPr>
            <w:tcW w:w="0" w:type="auto"/>
            <w:vMerge w:val="restart"/>
            <w:tcMar>
              <w:top w:w="30" w:type="dxa"/>
              <w:left w:w="45" w:type="dxa"/>
              <w:bottom w:w="30" w:type="dxa"/>
              <w:right w:w="45" w:type="dxa"/>
            </w:tcMar>
            <w:vAlign w:val="center"/>
            <w:hideMark/>
          </w:tcPr>
          <w:p w14:paraId="0FA98BEA" w14:textId="77777777" w:rsidR="00D65427" w:rsidRPr="00D65427" w:rsidRDefault="00D65427" w:rsidP="00AA4BBB">
            <w:pPr>
              <w:jc w:val="center"/>
              <w:rPr>
                <w:rFonts w:cs="Arial"/>
                <w:b/>
                <w:bCs/>
                <w:sz w:val="20"/>
                <w:szCs w:val="20"/>
              </w:rPr>
            </w:pPr>
            <w:r w:rsidRPr="00D65427">
              <w:rPr>
                <w:rFonts w:cs="Arial"/>
                <w:b/>
                <w:bCs/>
                <w:sz w:val="20"/>
                <w:szCs w:val="20"/>
              </w:rPr>
              <w:t>1.646.597.700</w:t>
            </w:r>
          </w:p>
        </w:tc>
      </w:tr>
      <w:tr w:rsidR="00D65427" w:rsidRPr="00D65427" w14:paraId="6A65C830" w14:textId="77777777" w:rsidTr="00D65427">
        <w:tc>
          <w:tcPr>
            <w:tcW w:w="0" w:type="auto"/>
            <w:vMerge/>
            <w:vAlign w:val="center"/>
            <w:hideMark/>
          </w:tcPr>
          <w:p w14:paraId="3E350A65"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13DC8BF4" w14:textId="77777777" w:rsidR="00D65427" w:rsidRPr="00D65427" w:rsidRDefault="00D65427" w:rsidP="00AA4BBB">
            <w:pPr>
              <w:jc w:val="center"/>
              <w:rPr>
                <w:rFonts w:cs="Arial"/>
                <w:sz w:val="20"/>
                <w:szCs w:val="20"/>
              </w:rPr>
            </w:pPr>
            <w:r w:rsidRPr="00D65427">
              <w:rPr>
                <w:rFonts w:cs="Arial"/>
                <w:sz w:val="20"/>
                <w:szCs w:val="20"/>
              </w:rPr>
              <w:t>0</w:t>
            </w:r>
          </w:p>
        </w:tc>
        <w:tc>
          <w:tcPr>
            <w:tcW w:w="0" w:type="auto"/>
            <w:tcMar>
              <w:top w:w="30" w:type="dxa"/>
              <w:left w:w="45" w:type="dxa"/>
              <w:bottom w:w="30" w:type="dxa"/>
              <w:right w:w="45" w:type="dxa"/>
            </w:tcMar>
            <w:vAlign w:val="center"/>
            <w:hideMark/>
          </w:tcPr>
          <w:p w14:paraId="0EF1B927" w14:textId="77777777" w:rsidR="00D65427" w:rsidRPr="00D65427" w:rsidRDefault="00D65427" w:rsidP="00AA4BBB">
            <w:pPr>
              <w:jc w:val="center"/>
              <w:rPr>
                <w:rFonts w:cs="Arial"/>
                <w:sz w:val="20"/>
                <w:szCs w:val="20"/>
              </w:rPr>
            </w:pPr>
            <w:r w:rsidRPr="00D65427">
              <w:rPr>
                <w:rFonts w:cs="Arial"/>
                <w:sz w:val="20"/>
                <w:szCs w:val="20"/>
              </w:rPr>
              <w:t>517.340.210</w:t>
            </w:r>
          </w:p>
        </w:tc>
        <w:tc>
          <w:tcPr>
            <w:tcW w:w="0" w:type="auto"/>
            <w:tcMar>
              <w:top w:w="30" w:type="dxa"/>
              <w:left w:w="45" w:type="dxa"/>
              <w:bottom w:w="30" w:type="dxa"/>
              <w:right w:w="45" w:type="dxa"/>
            </w:tcMar>
            <w:vAlign w:val="center"/>
            <w:hideMark/>
          </w:tcPr>
          <w:p w14:paraId="6A58D8C5" w14:textId="77777777" w:rsidR="00D65427" w:rsidRPr="00D65427" w:rsidRDefault="00D65427" w:rsidP="00AA4BBB">
            <w:pPr>
              <w:jc w:val="center"/>
              <w:rPr>
                <w:rFonts w:cs="Arial"/>
                <w:sz w:val="20"/>
                <w:szCs w:val="20"/>
              </w:rPr>
            </w:pPr>
            <w:r w:rsidRPr="00D65427">
              <w:rPr>
                <w:rFonts w:cs="Arial"/>
                <w:sz w:val="20"/>
                <w:szCs w:val="20"/>
              </w:rPr>
              <w:t>566.787.633</w:t>
            </w:r>
          </w:p>
        </w:tc>
        <w:tc>
          <w:tcPr>
            <w:tcW w:w="0" w:type="auto"/>
            <w:tcMar>
              <w:top w:w="30" w:type="dxa"/>
              <w:left w:w="45" w:type="dxa"/>
              <w:bottom w:w="30" w:type="dxa"/>
              <w:right w:w="45" w:type="dxa"/>
            </w:tcMar>
            <w:vAlign w:val="center"/>
            <w:hideMark/>
          </w:tcPr>
          <w:p w14:paraId="6D80E1F8" w14:textId="77777777" w:rsidR="00D65427" w:rsidRPr="00D65427" w:rsidRDefault="00D65427" w:rsidP="00AA4BBB">
            <w:pPr>
              <w:jc w:val="center"/>
              <w:rPr>
                <w:rFonts w:cs="Arial"/>
                <w:sz w:val="20"/>
                <w:szCs w:val="20"/>
              </w:rPr>
            </w:pPr>
            <w:r w:rsidRPr="00D65427">
              <w:rPr>
                <w:rFonts w:cs="Arial"/>
                <w:sz w:val="20"/>
                <w:szCs w:val="20"/>
              </w:rPr>
              <w:t>562.469.858</w:t>
            </w:r>
          </w:p>
        </w:tc>
        <w:tc>
          <w:tcPr>
            <w:tcW w:w="0" w:type="auto"/>
            <w:vMerge/>
            <w:vAlign w:val="center"/>
            <w:hideMark/>
          </w:tcPr>
          <w:p w14:paraId="0469D039" w14:textId="77777777" w:rsidR="00D65427" w:rsidRPr="00D65427" w:rsidRDefault="00D65427" w:rsidP="00AA4BBB">
            <w:pPr>
              <w:rPr>
                <w:rFonts w:cs="Arial"/>
                <w:b/>
                <w:bCs/>
                <w:sz w:val="20"/>
                <w:szCs w:val="20"/>
              </w:rPr>
            </w:pPr>
          </w:p>
        </w:tc>
      </w:tr>
      <w:tr w:rsidR="00D65427" w:rsidRPr="00D65427" w14:paraId="28848E6A" w14:textId="77777777" w:rsidTr="00D65427">
        <w:tc>
          <w:tcPr>
            <w:tcW w:w="0" w:type="auto"/>
            <w:vMerge w:val="restart"/>
            <w:tcMar>
              <w:top w:w="30" w:type="dxa"/>
              <w:left w:w="45" w:type="dxa"/>
              <w:bottom w:w="30" w:type="dxa"/>
              <w:right w:w="45" w:type="dxa"/>
            </w:tcMar>
            <w:vAlign w:val="center"/>
            <w:hideMark/>
          </w:tcPr>
          <w:p w14:paraId="5DBDBD17" w14:textId="77777777" w:rsidR="00D65427" w:rsidRPr="00D65427" w:rsidRDefault="00D65427" w:rsidP="00AA4BBB">
            <w:pPr>
              <w:rPr>
                <w:rFonts w:cs="Arial"/>
                <w:sz w:val="20"/>
                <w:szCs w:val="20"/>
              </w:rPr>
            </w:pPr>
            <w:r w:rsidRPr="00D65427">
              <w:rPr>
                <w:rFonts w:cs="Arial"/>
                <w:sz w:val="20"/>
                <w:szCs w:val="20"/>
              </w:rPr>
              <w:t>Desarrollar 6 prototipos que den solución a retos prioritarios/estratégicos de ciudad, así como de trámites y servicios que busquen mejorar la relación con la ciudadanía.</w:t>
            </w:r>
          </w:p>
        </w:tc>
        <w:tc>
          <w:tcPr>
            <w:tcW w:w="0" w:type="auto"/>
            <w:tcMar>
              <w:top w:w="30" w:type="dxa"/>
              <w:left w:w="45" w:type="dxa"/>
              <w:bottom w:w="30" w:type="dxa"/>
              <w:right w:w="45" w:type="dxa"/>
            </w:tcMar>
            <w:vAlign w:val="center"/>
            <w:hideMark/>
          </w:tcPr>
          <w:p w14:paraId="530C0B86" w14:textId="77777777" w:rsidR="00D65427" w:rsidRPr="00D65427" w:rsidRDefault="00D65427" w:rsidP="00AA4BBB">
            <w:pPr>
              <w:jc w:val="center"/>
              <w:rPr>
                <w:rFonts w:cs="Arial"/>
                <w:sz w:val="20"/>
                <w:szCs w:val="20"/>
              </w:rPr>
            </w:pPr>
            <w:r w:rsidRPr="00D65427">
              <w:rPr>
                <w:rFonts w:cs="Arial"/>
                <w:sz w:val="20"/>
                <w:szCs w:val="20"/>
              </w:rPr>
              <w:t>1</w:t>
            </w:r>
          </w:p>
        </w:tc>
        <w:tc>
          <w:tcPr>
            <w:tcW w:w="0" w:type="auto"/>
            <w:tcMar>
              <w:top w:w="30" w:type="dxa"/>
              <w:left w:w="45" w:type="dxa"/>
              <w:bottom w:w="30" w:type="dxa"/>
              <w:right w:w="45" w:type="dxa"/>
            </w:tcMar>
            <w:vAlign w:val="center"/>
            <w:hideMark/>
          </w:tcPr>
          <w:p w14:paraId="1022EA4D" w14:textId="77777777" w:rsidR="00D65427" w:rsidRPr="00D65427" w:rsidRDefault="00D65427" w:rsidP="00AA4BBB">
            <w:pPr>
              <w:jc w:val="center"/>
              <w:rPr>
                <w:rFonts w:cs="Arial"/>
                <w:sz w:val="20"/>
                <w:szCs w:val="20"/>
              </w:rPr>
            </w:pPr>
            <w:r w:rsidRPr="00D65427">
              <w:rPr>
                <w:rFonts w:cs="Arial"/>
                <w:sz w:val="20"/>
                <w:szCs w:val="20"/>
              </w:rPr>
              <w:t>2</w:t>
            </w:r>
          </w:p>
        </w:tc>
        <w:tc>
          <w:tcPr>
            <w:tcW w:w="0" w:type="auto"/>
            <w:tcMar>
              <w:top w:w="30" w:type="dxa"/>
              <w:left w:w="45" w:type="dxa"/>
              <w:bottom w:w="30" w:type="dxa"/>
              <w:right w:w="45" w:type="dxa"/>
            </w:tcMar>
            <w:vAlign w:val="center"/>
            <w:hideMark/>
          </w:tcPr>
          <w:p w14:paraId="26833E8D" w14:textId="77777777" w:rsidR="00D65427" w:rsidRPr="00D65427" w:rsidRDefault="00D65427" w:rsidP="00AA4BBB">
            <w:pPr>
              <w:jc w:val="center"/>
              <w:rPr>
                <w:rFonts w:cs="Arial"/>
                <w:sz w:val="20"/>
                <w:szCs w:val="20"/>
              </w:rPr>
            </w:pPr>
            <w:r w:rsidRPr="00D65427">
              <w:rPr>
                <w:rFonts w:cs="Arial"/>
                <w:sz w:val="20"/>
                <w:szCs w:val="20"/>
              </w:rPr>
              <w:t>2</w:t>
            </w:r>
          </w:p>
        </w:tc>
        <w:tc>
          <w:tcPr>
            <w:tcW w:w="0" w:type="auto"/>
            <w:tcMar>
              <w:top w:w="30" w:type="dxa"/>
              <w:left w:w="45" w:type="dxa"/>
              <w:bottom w:w="30" w:type="dxa"/>
              <w:right w:w="45" w:type="dxa"/>
            </w:tcMar>
            <w:vAlign w:val="center"/>
            <w:hideMark/>
          </w:tcPr>
          <w:p w14:paraId="14037201" w14:textId="77777777" w:rsidR="00D65427" w:rsidRPr="00D65427" w:rsidRDefault="00D65427" w:rsidP="00AA4BBB">
            <w:pPr>
              <w:jc w:val="center"/>
              <w:rPr>
                <w:rFonts w:cs="Arial"/>
                <w:sz w:val="20"/>
                <w:szCs w:val="20"/>
              </w:rPr>
            </w:pPr>
            <w:r w:rsidRPr="00D65427">
              <w:rPr>
                <w:rFonts w:cs="Arial"/>
                <w:sz w:val="20"/>
                <w:szCs w:val="20"/>
              </w:rPr>
              <w:t>1</w:t>
            </w:r>
          </w:p>
        </w:tc>
        <w:tc>
          <w:tcPr>
            <w:tcW w:w="0" w:type="auto"/>
            <w:vMerge w:val="restart"/>
            <w:tcMar>
              <w:top w:w="30" w:type="dxa"/>
              <w:left w:w="45" w:type="dxa"/>
              <w:bottom w:w="30" w:type="dxa"/>
              <w:right w:w="45" w:type="dxa"/>
            </w:tcMar>
            <w:vAlign w:val="center"/>
            <w:hideMark/>
          </w:tcPr>
          <w:p w14:paraId="63394E7A" w14:textId="77777777" w:rsidR="00D65427" w:rsidRPr="00D65427" w:rsidRDefault="00D65427" w:rsidP="00AA4BBB">
            <w:pPr>
              <w:jc w:val="center"/>
              <w:rPr>
                <w:rFonts w:cs="Arial"/>
                <w:b/>
                <w:bCs/>
                <w:sz w:val="20"/>
                <w:szCs w:val="20"/>
              </w:rPr>
            </w:pPr>
            <w:r w:rsidRPr="00D65427">
              <w:rPr>
                <w:rFonts w:cs="Arial"/>
                <w:b/>
                <w:bCs/>
                <w:sz w:val="20"/>
                <w:szCs w:val="20"/>
              </w:rPr>
              <w:t>3.702.182.964</w:t>
            </w:r>
          </w:p>
        </w:tc>
      </w:tr>
      <w:tr w:rsidR="00D65427" w:rsidRPr="00D65427" w14:paraId="41CE74DD" w14:textId="77777777" w:rsidTr="00D65427">
        <w:tc>
          <w:tcPr>
            <w:tcW w:w="0" w:type="auto"/>
            <w:vMerge/>
            <w:vAlign w:val="center"/>
            <w:hideMark/>
          </w:tcPr>
          <w:p w14:paraId="00584829"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55D50397" w14:textId="77777777" w:rsidR="00D65427" w:rsidRPr="00D65427" w:rsidRDefault="00D65427" w:rsidP="00AA4BBB">
            <w:pPr>
              <w:jc w:val="center"/>
              <w:rPr>
                <w:rFonts w:cs="Arial"/>
                <w:sz w:val="20"/>
                <w:szCs w:val="20"/>
              </w:rPr>
            </w:pPr>
            <w:r w:rsidRPr="00D65427">
              <w:rPr>
                <w:rFonts w:cs="Arial"/>
                <w:sz w:val="20"/>
                <w:szCs w:val="20"/>
              </w:rPr>
              <w:t>554.645.552</w:t>
            </w:r>
          </w:p>
        </w:tc>
        <w:tc>
          <w:tcPr>
            <w:tcW w:w="0" w:type="auto"/>
            <w:tcMar>
              <w:top w:w="30" w:type="dxa"/>
              <w:left w:w="45" w:type="dxa"/>
              <w:bottom w:w="30" w:type="dxa"/>
              <w:right w:w="45" w:type="dxa"/>
            </w:tcMar>
            <w:vAlign w:val="center"/>
            <w:hideMark/>
          </w:tcPr>
          <w:p w14:paraId="67F7A89F" w14:textId="77777777" w:rsidR="00D65427" w:rsidRPr="00D65427" w:rsidRDefault="00D65427" w:rsidP="00AA4BBB">
            <w:pPr>
              <w:jc w:val="center"/>
              <w:rPr>
                <w:rFonts w:cs="Arial"/>
                <w:sz w:val="20"/>
                <w:szCs w:val="20"/>
              </w:rPr>
            </w:pPr>
            <w:r w:rsidRPr="00D65427">
              <w:rPr>
                <w:rFonts w:cs="Arial"/>
                <w:sz w:val="20"/>
                <w:szCs w:val="20"/>
              </w:rPr>
              <w:t>985.163.223</w:t>
            </w:r>
          </w:p>
        </w:tc>
        <w:tc>
          <w:tcPr>
            <w:tcW w:w="0" w:type="auto"/>
            <w:tcMar>
              <w:top w:w="30" w:type="dxa"/>
              <w:left w:w="45" w:type="dxa"/>
              <w:bottom w:w="30" w:type="dxa"/>
              <w:right w:w="45" w:type="dxa"/>
            </w:tcMar>
            <w:vAlign w:val="center"/>
            <w:hideMark/>
          </w:tcPr>
          <w:p w14:paraId="230CD227" w14:textId="77777777" w:rsidR="00D65427" w:rsidRPr="00D65427" w:rsidRDefault="00D65427" w:rsidP="00AA4BBB">
            <w:pPr>
              <w:jc w:val="center"/>
              <w:rPr>
                <w:rFonts w:cs="Arial"/>
                <w:sz w:val="20"/>
                <w:szCs w:val="20"/>
              </w:rPr>
            </w:pPr>
            <w:r w:rsidRPr="00D65427">
              <w:rPr>
                <w:rFonts w:cs="Arial"/>
                <w:sz w:val="20"/>
                <w:szCs w:val="20"/>
              </w:rPr>
              <w:t>1.083.346.215</w:t>
            </w:r>
          </w:p>
        </w:tc>
        <w:tc>
          <w:tcPr>
            <w:tcW w:w="0" w:type="auto"/>
            <w:tcMar>
              <w:top w:w="30" w:type="dxa"/>
              <w:left w:w="45" w:type="dxa"/>
              <w:bottom w:w="30" w:type="dxa"/>
              <w:right w:w="45" w:type="dxa"/>
            </w:tcMar>
            <w:vAlign w:val="center"/>
            <w:hideMark/>
          </w:tcPr>
          <w:p w14:paraId="3DE6D558" w14:textId="77777777" w:rsidR="00D65427" w:rsidRPr="00D65427" w:rsidRDefault="00D65427" w:rsidP="00AA4BBB">
            <w:pPr>
              <w:jc w:val="center"/>
              <w:rPr>
                <w:rFonts w:cs="Arial"/>
                <w:sz w:val="20"/>
                <w:szCs w:val="20"/>
              </w:rPr>
            </w:pPr>
            <w:r w:rsidRPr="00D65427">
              <w:rPr>
                <w:rFonts w:cs="Arial"/>
                <w:sz w:val="20"/>
                <w:szCs w:val="20"/>
              </w:rPr>
              <w:t>1.079.027.973</w:t>
            </w:r>
          </w:p>
        </w:tc>
        <w:tc>
          <w:tcPr>
            <w:tcW w:w="0" w:type="auto"/>
            <w:vMerge/>
            <w:vAlign w:val="center"/>
            <w:hideMark/>
          </w:tcPr>
          <w:p w14:paraId="5B936D21" w14:textId="77777777" w:rsidR="00D65427" w:rsidRPr="00D65427" w:rsidRDefault="00D65427" w:rsidP="00AA4BBB">
            <w:pPr>
              <w:rPr>
                <w:rFonts w:cs="Arial"/>
                <w:b/>
                <w:bCs/>
                <w:sz w:val="20"/>
                <w:szCs w:val="20"/>
              </w:rPr>
            </w:pPr>
          </w:p>
        </w:tc>
      </w:tr>
      <w:tr w:rsidR="00D65427" w:rsidRPr="00D65427" w14:paraId="14AF0CC0" w14:textId="77777777" w:rsidTr="00D65427">
        <w:tc>
          <w:tcPr>
            <w:tcW w:w="0" w:type="auto"/>
            <w:vMerge w:val="restart"/>
            <w:tcMar>
              <w:top w:w="30" w:type="dxa"/>
              <w:left w:w="45" w:type="dxa"/>
              <w:bottom w:w="30" w:type="dxa"/>
              <w:right w:w="45" w:type="dxa"/>
            </w:tcMar>
            <w:vAlign w:val="center"/>
            <w:hideMark/>
          </w:tcPr>
          <w:p w14:paraId="28660F03" w14:textId="77777777" w:rsidR="00D65427" w:rsidRPr="00D65427" w:rsidRDefault="00D65427" w:rsidP="00AA4BBB">
            <w:pPr>
              <w:rPr>
                <w:rFonts w:cs="Arial"/>
                <w:sz w:val="20"/>
                <w:szCs w:val="20"/>
              </w:rPr>
            </w:pPr>
            <w:r w:rsidRPr="00D65427">
              <w:rPr>
                <w:rFonts w:cs="Arial"/>
                <w:sz w:val="20"/>
                <w:szCs w:val="20"/>
              </w:rPr>
              <w:t>Desarrollo de capacidades de intraemprendimiento en innovación pública en 15 entidades públicas distritales.</w:t>
            </w:r>
          </w:p>
        </w:tc>
        <w:tc>
          <w:tcPr>
            <w:tcW w:w="0" w:type="auto"/>
            <w:tcMar>
              <w:top w:w="30" w:type="dxa"/>
              <w:left w:w="45" w:type="dxa"/>
              <w:bottom w:w="30" w:type="dxa"/>
              <w:right w:w="45" w:type="dxa"/>
            </w:tcMar>
            <w:vAlign w:val="center"/>
            <w:hideMark/>
          </w:tcPr>
          <w:p w14:paraId="6E5ABFED" w14:textId="77777777" w:rsidR="00D65427" w:rsidRPr="00D65427" w:rsidRDefault="00D65427" w:rsidP="00AA4BBB">
            <w:pPr>
              <w:jc w:val="center"/>
              <w:rPr>
                <w:rFonts w:cs="Arial"/>
                <w:sz w:val="20"/>
                <w:szCs w:val="20"/>
              </w:rPr>
            </w:pPr>
            <w:r w:rsidRPr="00D65427">
              <w:rPr>
                <w:rFonts w:cs="Arial"/>
                <w:sz w:val="20"/>
                <w:szCs w:val="20"/>
              </w:rPr>
              <w:t>3</w:t>
            </w:r>
          </w:p>
        </w:tc>
        <w:tc>
          <w:tcPr>
            <w:tcW w:w="0" w:type="auto"/>
            <w:tcMar>
              <w:top w:w="30" w:type="dxa"/>
              <w:left w:w="45" w:type="dxa"/>
              <w:bottom w:w="30" w:type="dxa"/>
              <w:right w:w="45" w:type="dxa"/>
            </w:tcMar>
            <w:vAlign w:val="center"/>
            <w:hideMark/>
          </w:tcPr>
          <w:p w14:paraId="2A81DF22" w14:textId="77777777" w:rsidR="00D65427" w:rsidRPr="00D65427" w:rsidRDefault="00D65427" w:rsidP="00AA4BBB">
            <w:pPr>
              <w:jc w:val="center"/>
              <w:rPr>
                <w:rFonts w:cs="Arial"/>
                <w:sz w:val="20"/>
                <w:szCs w:val="20"/>
              </w:rPr>
            </w:pPr>
            <w:r w:rsidRPr="00D65427">
              <w:rPr>
                <w:rFonts w:cs="Arial"/>
                <w:sz w:val="20"/>
                <w:szCs w:val="20"/>
              </w:rPr>
              <w:t>5</w:t>
            </w:r>
          </w:p>
        </w:tc>
        <w:tc>
          <w:tcPr>
            <w:tcW w:w="0" w:type="auto"/>
            <w:tcMar>
              <w:top w:w="30" w:type="dxa"/>
              <w:left w:w="45" w:type="dxa"/>
              <w:bottom w:w="30" w:type="dxa"/>
              <w:right w:w="45" w:type="dxa"/>
            </w:tcMar>
            <w:vAlign w:val="center"/>
            <w:hideMark/>
          </w:tcPr>
          <w:p w14:paraId="5359F4E4" w14:textId="77777777" w:rsidR="00D65427" w:rsidRPr="00D65427" w:rsidRDefault="00D65427" w:rsidP="00AA4BBB">
            <w:pPr>
              <w:jc w:val="center"/>
              <w:rPr>
                <w:rFonts w:cs="Arial"/>
                <w:sz w:val="20"/>
                <w:szCs w:val="20"/>
              </w:rPr>
            </w:pPr>
            <w:r w:rsidRPr="00D65427">
              <w:rPr>
                <w:rFonts w:cs="Arial"/>
                <w:sz w:val="20"/>
                <w:szCs w:val="20"/>
              </w:rPr>
              <w:t>5</w:t>
            </w:r>
          </w:p>
        </w:tc>
        <w:tc>
          <w:tcPr>
            <w:tcW w:w="0" w:type="auto"/>
            <w:tcMar>
              <w:top w:w="30" w:type="dxa"/>
              <w:left w:w="45" w:type="dxa"/>
              <w:bottom w:w="30" w:type="dxa"/>
              <w:right w:w="45" w:type="dxa"/>
            </w:tcMar>
            <w:vAlign w:val="center"/>
            <w:hideMark/>
          </w:tcPr>
          <w:p w14:paraId="3D14AAFE" w14:textId="77777777" w:rsidR="00D65427" w:rsidRPr="00D65427" w:rsidRDefault="00D65427" w:rsidP="00AA4BBB">
            <w:pPr>
              <w:jc w:val="center"/>
              <w:rPr>
                <w:rFonts w:cs="Arial"/>
                <w:sz w:val="20"/>
                <w:szCs w:val="20"/>
              </w:rPr>
            </w:pPr>
            <w:r w:rsidRPr="00D65427">
              <w:rPr>
                <w:rFonts w:cs="Arial"/>
                <w:sz w:val="20"/>
                <w:szCs w:val="20"/>
              </w:rPr>
              <w:t>2</w:t>
            </w:r>
          </w:p>
        </w:tc>
        <w:tc>
          <w:tcPr>
            <w:tcW w:w="0" w:type="auto"/>
            <w:vMerge w:val="restart"/>
            <w:tcMar>
              <w:top w:w="30" w:type="dxa"/>
              <w:left w:w="45" w:type="dxa"/>
              <w:bottom w:w="30" w:type="dxa"/>
              <w:right w:w="45" w:type="dxa"/>
            </w:tcMar>
            <w:vAlign w:val="center"/>
            <w:hideMark/>
          </w:tcPr>
          <w:p w14:paraId="5CF095C8" w14:textId="77777777" w:rsidR="00D65427" w:rsidRPr="00D65427" w:rsidRDefault="00D65427" w:rsidP="00AA4BBB">
            <w:pPr>
              <w:jc w:val="center"/>
              <w:rPr>
                <w:rFonts w:cs="Arial"/>
                <w:b/>
                <w:bCs/>
                <w:sz w:val="20"/>
                <w:szCs w:val="20"/>
              </w:rPr>
            </w:pPr>
            <w:r w:rsidRPr="00D65427">
              <w:rPr>
                <w:rFonts w:cs="Arial"/>
                <w:b/>
                <w:bCs/>
                <w:sz w:val="20"/>
                <w:szCs w:val="20"/>
              </w:rPr>
              <w:t>943.123.837</w:t>
            </w:r>
          </w:p>
        </w:tc>
      </w:tr>
      <w:tr w:rsidR="00D65427" w:rsidRPr="00D65427" w14:paraId="6F90FAE8" w14:textId="77777777" w:rsidTr="00D65427">
        <w:tc>
          <w:tcPr>
            <w:tcW w:w="0" w:type="auto"/>
            <w:vMerge/>
            <w:vAlign w:val="center"/>
            <w:hideMark/>
          </w:tcPr>
          <w:p w14:paraId="1A88D53A"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0E68E3BF" w14:textId="77777777" w:rsidR="00D65427" w:rsidRPr="00D65427" w:rsidRDefault="00D65427" w:rsidP="00AA4BBB">
            <w:pPr>
              <w:jc w:val="center"/>
              <w:rPr>
                <w:rFonts w:cs="Arial"/>
                <w:sz w:val="20"/>
                <w:szCs w:val="20"/>
              </w:rPr>
            </w:pPr>
            <w:r w:rsidRPr="00D65427">
              <w:rPr>
                <w:rFonts w:cs="Arial"/>
                <w:sz w:val="20"/>
                <w:szCs w:val="20"/>
              </w:rPr>
              <w:t>0</w:t>
            </w:r>
          </w:p>
        </w:tc>
        <w:tc>
          <w:tcPr>
            <w:tcW w:w="0" w:type="auto"/>
            <w:tcMar>
              <w:top w:w="30" w:type="dxa"/>
              <w:left w:w="45" w:type="dxa"/>
              <w:bottom w:w="30" w:type="dxa"/>
              <w:right w:w="45" w:type="dxa"/>
            </w:tcMar>
            <w:vAlign w:val="center"/>
            <w:hideMark/>
          </w:tcPr>
          <w:p w14:paraId="68F5C969" w14:textId="77777777" w:rsidR="00D65427" w:rsidRPr="00D65427" w:rsidRDefault="00D65427" w:rsidP="00AA4BBB">
            <w:pPr>
              <w:jc w:val="center"/>
              <w:rPr>
                <w:rFonts w:cs="Arial"/>
                <w:sz w:val="20"/>
                <w:szCs w:val="20"/>
              </w:rPr>
            </w:pPr>
            <w:r w:rsidRPr="00D65427">
              <w:rPr>
                <w:rFonts w:cs="Arial"/>
                <w:sz w:val="20"/>
                <w:szCs w:val="20"/>
              </w:rPr>
              <w:t>298.077.408</w:t>
            </w:r>
          </w:p>
        </w:tc>
        <w:tc>
          <w:tcPr>
            <w:tcW w:w="0" w:type="auto"/>
            <w:tcMar>
              <w:top w:w="30" w:type="dxa"/>
              <w:left w:w="45" w:type="dxa"/>
              <w:bottom w:w="30" w:type="dxa"/>
              <w:right w:w="45" w:type="dxa"/>
            </w:tcMar>
            <w:vAlign w:val="center"/>
            <w:hideMark/>
          </w:tcPr>
          <w:p w14:paraId="383CB5BC" w14:textId="77777777" w:rsidR="00D65427" w:rsidRPr="00D65427" w:rsidRDefault="00D65427" w:rsidP="00AA4BBB">
            <w:pPr>
              <w:jc w:val="center"/>
              <w:rPr>
                <w:rFonts w:cs="Arial"/>
                <w:sz w:val="20"/>
                <w:szCs w:val="20"/>
              </w:rPr>
            </w:pPr>
            <w:r w:rsidRPr="00D65427">
              <w:rPr>
                <w:rFonts w:cs="Arial"/>
                <w:sz w:val="20"/>
                <w:szCs w:val="20"/>
              </w:rPr>
              <w:t>324.681.874</w:t>
            </w:r>
          </w:p>
        </w:tc>
        <w:tc>
          <w:tcPr>
            <w:tcW w:w="0" w:type="auto"/>
            <w:tcMar>
              <w:top w:w="30" w:type="dxa"/>
              <w:left w:w="45" w:type="dxa"/>
              <w:bottom w:w="30" w:type="dxa"/>
              <w:right w:w="45" w:type="dxa"/>
            </w:tcMar>
            <w:vAlign w:val="center"/>
            <w:hideMark/>
          </w:tcPr>
          <w:p w14:paraId="0C14B90E" w14:textId="77777777" w:rsidR="00D65427" w:rsidRPr="00D65427" w:rsidRDefault="00D65427" w:rsidP="00AA4BBB">
            <w:pPr>
              <w:jc w:val="center"/>
              <w:rPr>
                <w:rFonts w:cs="Arial"/>
                <w:sz w:val="20"/>
                <w:szCs w:val="20"/>
              </w:rPr>
            </w:pPr>
            <w:r w:rsidRPr="00D65427">
              <w:rPr>
                <w:rFonts w:cs="Arial"/>
                <w:sz w:val="20"/>
                <w:szCs w:val="20"/>
              </w:rPr>
              <w:t>320.364.556</w:t>
            </w:r>
          </w:p>
        </w:tc>
        <w:tc>
          <w:tcPr>
            <w:tcW w:w="0" w:type="auto"/>
            <w:vMerge/>
            <w:vAlign w:val="center"/>
            <w:hideMark/>
          </w:tcPr>
          <w:p w14:paraId="120BF3B4" w14:textId="77777777" w:rsidR="00D65427" w:rsidRPr="00D65427" w:rsidRDefault="00D65427" w:rsidP="00AA4BBB">
            <w:pPr>
              <w:rPr>
                <w:rFonts w:cs="Arial"/>
                <w:b/>
                <w:bCs/>
                <w:sz w:val="20"/>
                <w:szCs w:val="20"/>
              </w:rPr>
            </w:pPr>
          </w:p>
        </w:tc>
      </w:tr>
      <w:tr w:rsidR="00D65427" w:rsidRPr="00D65427" w14:paraId="392BCDE7" w14:textId="77777777" w:rsidTr="00D65427">
        <w:tc>
          <w:tcPr>
            <w:tcW w:w="0" w:type="auto"/>
            <w:gridSpan w:val="6"/>
            <w:shd w:val="clear" w:color="auto" w:fill="C00000"/>
            <w:tcMar>
              <w:top w:w="30" w:type="dxa"/>
              <w:left w:w="45" w:type="dxa"/>
              <w:bottom w:w="30" w:type="dxa"/>
              <w:right w:w="45" w:type="dxa"/>
            </w:tcMar>
            <w:vAlign w:val="center"/>
            <w:hideMark/>
          </w:tcPr>
          <w:p w14:paraId="27F6912A" w14:textId="77777777" w:rsidR="00D65427" w:rsidRPr="00D65427" w:rsidRDefault="00D65427" w:rsidP="00AA4BBB">
            <w:pPr>
              <w:jc w:val="center"/>
              <w:rPr>
                <w:rFonts w:cs="Arial"/>
                <w:b/>
                <w:bCs/>
                <w:sz w:val="20"/>
                <w:szCs w:val="20"/>
              </w:rPr>
            </w:pPr>
            <w:r w:rsidRPr="00D65427">
              <w:rPr>
                <w:rFonts w:cs="Arial"/>
                <w:b/>
                <w:bCs/>
                <w:color w:val="FFFFFF" w:themeColor="background1"/>
                <w:sz w:val="20"/>
                <w:szCs w:val="20"/>
              </w:rPr>
              <w:t>Gobierno</w:t>
            </w:r>
          </w:p>
        </w:tc>
      </w:tr>
      <w:tr w:rsidR="00D65427" w:rsidRPr="00D65427" w14:paraId="32704CC4" w14:textId="77777777" w:rsidTr="00D65427">
        <w:tc>
          <w:tcPr>
            <w:tcW w:w="0" w:type="auto"/>
            <w:vMerge w:val="restart"/>
            <w:tcMar>
              <w:top w:w="30" w:type="dxa"/>
              <w:left w:w="45" w:type="dxa"/>
              <w:bottom w:w="30" w:type="dxa"/>
              <w:right w:w="45" w:type="dxa"/>
            </w:tcMar>
            <w:vAlign w:val="center"/>
            <w:hideMark/>
          </w:tcPr>
          <w:p w14:paraId="6086E1FF" w14:textId="77777777" w:rsidR="00D65427" w:rsidRPr="00D65427" w:rsidRDefault="00D65427" w:rsidP="00AA4BBB">
            <w:pPr>
              <w:rPr>
                <w:rFonts w:cs="Arial"/>
                <w:sz w:val="20"/>
                <w:szCs w:val="20"/>
              </w:rPr>
            </w:pPr>
            <w:r w:rsidRPr="00D65427">
              <w:rPr>
                <w:rFonts w:cs="Arial"/>
                <w:sz w:val="20"/>
                <w:szCs w:val="20"/>
              </w:rPr>
              <w:t>Fortalecer un (1) laboratorio de innovación pública que promueva el gobierno abierto y la participación ciudadana desde un enfoque de interseccionalidad.</w:t>
            </w:r>
          </w:p>
        </w:tc>
        <w:tc>
          <w:tcPr>
            <w:tcW w:w="0" w:type="auto"/>
            <w:tcMar>
              <w:top w:w="30" w:type="dxa"/>
              <w:left w:w="45" w:type="dxa"/>
              <w:bottom w:w="30" w:type="dxa"/>
              <w:right w:w="45" w:type="dxa"/>
            </w:tcMar>
            <w:vAlign w:val="center"/>
            <w:hideMark/>
          </w:tcPr>
          <w:p w14:paraId="3198CDA0" w14:textId="0A61C9D0" w:rsidR="00D65427" w:rsidRPr="00D65427" w:rsidRDefault="00D65427" w:rsidP="00AA4BBB">
            <w:pPr>
              <w:jc w:val="center"/>
              <w:rPr>
                <w:rFonts w:cs="Arial"/>
                <w:sz w:val="20"/>
                <w:szCs w:val="20"/>
              </w:rPr>
            </w:pPr>
            <w:r w:rsidRPr="00D65427">
              <w:rPr>
                <w:rFonts w:cs="Arial"/>
                <w:sz w:val="20"/>
                <w:szCs w:val="20"/>
              </w:rPr>
              <w:t>0</w:t>
            </w:r>
            <w:r>
              <w:rPr>
                <w:rFonts w:cs="Arial"/>
                <w:sz w:val="20"/>
                <w:szCs w:val="20"/>
              </w:rPr>
              <w:t>,</w:t>
            </w:r>
            <w:r w:rsidRPr="00D65427">
              <w:rPr>
                <w:rFonts w:cs="Arial"/>
                <w:sz w:val="20"/>
                <w:szCs w:val="20"/>
              </w:rPr>
              <w:t>10</w:t>
            </w:r>
          </w:p>
        </w:tc>
        <w:tc>
          <w:tcPr>
            <w:tcW w:w="0" w:type="auto"/>
            <w:tcMar>
              <w:top w:w="30" w:type="dxa"/>
              <w:left w:w="45" w:type="dxa"/>
              <w:bottom w:w="30" w:type="dxa"/>
              <w:right w:w="45" w:type="dxa"/>
            </w:tcMar>
            <w:vAlign w:val="center"/>
            <w:hideMark/>
          </w:tcPr>
          <w:p w14:paraId="4E1552BC" w14:textId="4DD97312" w:rsidR="00D65427" w:rsidRPr="00D65427" w:rsidRDefault="00D65427" w:rsidP="00AA4BBB">
            <w:pPr>
              <w:jc w:val="center"/>
              <w:rPr>
                <w:rFonts w:cs="Arial"/>
                <w:sz w:val="20"/>
                <w:szCs w:val="20"/>
              </w:rPr>
            </w:pPr>
            <w:r w:rsidRPr="00D65427">
              <w:rPr>
                <w:rFonts w:cs="Arial"/>
                <w:sz w:val="20"/>
                <w:szCs w:val="20"/>
              </w:rPr>
              <w:t>0</w:t>
            </w:r>
            <w:r>
              <w:rPr>
                <w:rFonts w:cs="Arial"/>
                <w:sz w:val="20"/>
                <w:szCs w:val="20"/>
              </w:rPr>
              <w:t>,</w:t>
            </w:r>
            <w:r w:rsidRPr="00D65427">
              <w:rPr>
                <w:rFonts w:cs="Arial"/>
                <w:sz w:val="20"/>
                <w:szCs w:val="20"/>
              </w:rPr>
              <w:t>35</w:t>
            </w:r>
          </w:p>
        </w:tc>
        <w:tc>
          <w:tcPr>
            <w:tcW w:w="0" w:type="auto"/>
            <w:tcMar>
              <w:top w:w="30" w:type="dxa"/>
              <w:left w:w="45" w:type="dxa"/>
              <w:bottom w:w="30" w:type="dxa"/>
              <w:right w:w="45" w:type="dxa"/>
            </w:tcMar>
            <w:vAlign w:val="center"/>
            <w:hideMark/>
          </w:tcPr>
          <w:p w14:paraId="2313C772" w14:textId="3442AC63" w:rsidR="00D65427" w:rsidRPr="00D65427" w:rsidRDefault="00D65427" w:rsidP="00AA4BBB">
            <w:pPr>
              <w:jc w:val="center"/>
              <w:rPr>
                <w:rFonts w:cs="Arial"/>
                <w:sz w:val="20"/>
                <w:szCs w:val="20"/>
              </w:rPr>
            </w:pPr>
            <w:r w:rsidRPr="00D65427">
              <w:rPr>
                <w:rFonts w:cs="Arial"/>
                <w:sz w:val="20"/>
                <w:szCs w:val="20"/>
              </w:rPr>
              <w:t>0</w:t>
            </w:r>
            <w:r>
              <w:rPr>
                <w:rFonts w:cs="Arial"/>
                <w:sz w:val="20"/>
                <w:szCs w:val="20"/>
              </w:rPr>
              <w:t>,</w:t>
            </w:r>
            <w:r w:rsidRPr="00D65427">
              <w:rPr>
                <w:rFonts w:cs="Arial"/>
                <w:sz w:val="20"/>
                <w:szCs w:val="20"/>
              </w:rPr>
              <w:t>75</w:t>
            </w:r>
          </w:p>
        </w:tc>
        <w:tc>
          <w:tcPr>
            <w:tcW w:w="0" w:type="auto"/>
            <w:tcMar>
              <w:top w:w="30" w:type="dxa"/>
              <w:left w:w="45" w:type="dxa"/>
              <w:bottom w:w="30" w:type="dxa"/>
              <w:right w:w="45" w:type="dxa"/>
            </w:tcMar>
            <w:vAlign w:val="center"/>
            <w:hideMark/>
          </w:tcPr>
          <w:p w14:paraId="48D72F63" w14:textId="77777777" w:rsidR="00D65427" w:rsidRPr="00D65427" w:rsidRDefault="00D65427" w:rsidP="00AA4BBB">
            <w:pPr>
              <w:jc w:val="center"/>
              <w:rPr>
                <w:rFonts w:cs="Arial"/>
                <w:sz w:val="20"/>
                <w:szCs w:val="20"/>
              </w:rPr>
            </w:pPr>
            <w:r w:rsidRPr="00D65427">
              <w:rPr>
                <w:rFonts w:cs="Arial"/>
                <w:sz w:val="20"/>
                <w:szCs w:val="20"/>
              </w:rPr>
              <w:t>1.00</w:t>
            </w:r>
          </w:p>
        </w:tc>
        <w:tc>
          <w:tcPr>
            <w:tcW w:w="0" w:type="auto"/>
            <w:vMerge w:val="restart"/>
            <w:tcMar>
              <w:top w:w="30" w:type="dxa"/>
              <w:left w:w="45" w:type="dxa"/>
              <w:bottom w:w="30" w:type="dxa"/>
              <w:right w:w="45" w:type="dxa"/>
            </w:tcMar>
            <w:vAlign w:val="center"/>
            <w:hideMark/>
          </w:tcPr>
          <w:p w14:paraId="0241D40B" w14:textId="77777777" w:rsidR="00D65427" w:rsidRPr="00D65427" w:rsidRDefault="00D65427" w:rsidP="00AA4BBB">
            <w:pPr>
              <w:jc w:val="center"/>
              <w:rPr>
                <w:rFonts w:cs="Arial"/>
                <w:b/>
                <w:bCs/>
                <w:sz w:val="20"/>
                <w:szCs w:val="20"/>
              </w:rPr>
            </w:pPr>
            <w:r w:rsidRPr="00D65427">
              <w:rPr>
                <w:rFonts w:cs="Arial"/>
                <w:b/>
                <w:bCs/>
                <w:sz w:val="20"/>
                <w:szCs w:val="20"/>
              </w:rPr>
              <w:t>9.535.065.324</w:t>
            </w:r>
          </w:p>
        </w:tc>
      </w:tr>
      <w:tr w:rsidR="00D65427" w:rsidRPr="00D65427" w14:paraId="25C133A6" w14:textId="77777777" w:rsidTr="00D65427">
        <w:tc>
          <w:tcPr>
            <w:tcW w:w="0" w:type="auto"/>
            <w:vMerge/>
            <w:vAlign w:val="center"/>
            <w:hideMark/>
          </w:tcPr>
          <w:p w14:paraId="193DB979"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70011F43" w14:textId="77777777" w:rsidR="00D65427" w:rsidRPr="00D65427" w:rsidRDefault="00D65427" w:rsidP="00AA4BBB">
            <w:pPr>
              <w:jc w:val="center"/>
              <w:rPr>
                <w:rFonts w:cs="Arial"/>
                <w:sz w:val="20"/>
                <w:szCs w:val="20"/>
              </w:rPr>
            </w:pPr>
            <w:r w:rsidRPr="00D65427">
              <w:rPr>
                <w:rFonts w:cs="Arial"/>
                <w:sz w:val="20"/>
                <w:szCs w:val="20"/>
              </w:rPr>
              <w:t>1.138.000.000</w:t>
            </w:r>
          </w:p>
        </w:tc>
        <w:tc>
          <w:tcPr>
            <w:tcW w:w="0" w:type="auto"/>
            <w:tcMar>
              <w:top w:w="30" w:type="dxa"/>
              <w:left w:w="45" w:type="dxa"/>
              <w:bottom w:w="30" w:type="dxa"/>
              <w:right w:w="45" w:type="dxa"/>
            </w:tcMar>
            <w:vAlign w:val="center"/>
            <w:hideMark/>
          </w:tcPr>
          <w:p w14:paraId="7619320A" w14:textId="77777777" w:rsidR="00D65427" w:rsidRPr="00D65427" w:rsidRDefault="00D65427" w:rsidP="00AA4BBB">
            <w:pPr>
              <w:jc w:val="center"/>
              <w:rPr>
                <w:rFonts w:cs="Arial"/>
                <w:sz w:val="20"/>
                <w:szCs w:val="20"/>
              </w:rPr>
            </w:pPr>
            <w:r w:rsidRPr="00D65427">
              <w:rPr>
                <w:rFonts w:cs="Arial"/>
                <w:sz w:val="20"/>
                <w:szCs w:val="20"/>
              </w:rPr>
              <w:t>2.912.621.359</w:t>
            </w:r>
          </w:p>
        </w:tc>
        <w:tc>
          <w:tcPr>
            <w:tcW w:w="0" w:type="auto"/>
            <w:tcMar>
              <w:top w:w="30" w:type="dxa"/>
              <w:left w:w="45" w:type="dxa"/>
              <w:bottom w:w="30" w:type="dxa"/>
              <w:right w:w="45" w:type="dxa"/>
            </w:tcMar>
            <w:vAlign w:val="center"/>
            <w:hideMark/>
          </w:tcPr>
          <w:p w14:paraId="3FA1AEA2" w14:textId="77777777" w:rsidR="00D65427" w:rsidRPr="00D65427" w:rsidRDefault="00D65427" w:rsidP="00AA4BBB">
            <w:pPr>
              <w:jc w:val="center"/>
              <w:rPr>
                <w:rFonts w:cs="Arial"/>
                <w:sz w:val="20"/>
                <w:szCs w:val="20"/>
              </w:rPr>
            </w:pPr>
            <w:r w:rsidRPr="00D65427">
              <w:rPr>
                <w:rFonts w:cs="Arial"/>
                <w:sz w:val="20"/>
                <w:szCs w:val="20"/>
              </w:rPr>
              <w:t>2.922.047.318</w:t>
            </w:r>
          </w:p>
        </w:tc>
        <w:tc>
          <w:tcPr>
            <w:tcW w:w="0" w:type="auto"/>
            <w:tcMar>
              <w:top w:w="30" w:type="dxa"/>
              <w:left w:w="45" w:type="dxa"/>
              <w:bottom w:w="30" w:type="dxa"/>
              <w:right w:w="45" w:type="dxa"/>
            </w:tcMar>
            <w:vAlign w:val="center"/>
            <w:hideMark/>
          </w:tcPr>
          <w:p w14:paraId="38B54036" w14:textId="77777777" w:rsidR="00D65427" w:rsidRPr="00D65427" w:rsidRDefault="00D65427" w:rsidP="00AA4BBB">
            <w:pPr>
              <w:jc w:val="center"/>
              <w:rPr>
                <w:rFonts w:cs="Arial"/>
                <w:sz w:val="20"/>
                <w:szCs w:val="20"/>
              </w:rPr>
            </w:pPr>
            <w:r w:rsidRPr="00D65427">
              <w:rPr>
                <w:rFonts w:cs="Arial"/>
                <w:sz w:val="20"/>
                <w:szCs w:val="20"/>
              </w:rPr>
              <w:t>2.562.396.646</w:t>
            </w:r>
          </w:p>
        </w:tc>
        <w:tc>
          <w:tcPr>
            <w:tcW w:w="0" w:type="auto"/>
            <w:vMerge/>
            <w:vAlign w:val="center"/>
            <w:hideMark/>
          </w:tcPr>
          <w:p w14:paraId="1C6D3CC6" w14:textId="77777777" w:rsidR="00D65427" w:rsidRPr="00D65427" w:rsidRDefault="00D65427" w:rsidP="00AA4BBB">
            <w:pPr>
              <w:rPr>
                <w:rFonts w:cs="Arial"/>
                <w:b/>
                <w:bCs/>
                <w:sz w:val="20"/>
                <w:szCs w:val="20"/>
              </w:rPr>
            </w:pPr>
          </w:p>
        </w:tc>
      </w:tr>
      <w:tr w:rsidR="00D65427" w:rsidRPr="00D65427" w14:paraId="328AF9D9" w14:textId="77777777" w:rsidTr="00D65427">
        <w:tc>
          <w:tcPr>
            <w:tcW w:w="0" w:type="auto"/>
            <w:vMerge w:val="restart"/>
            <w:tcMar>
              <w:top w:w="30" w:type="dxa"/>
              <w:left w:w="45" w:type="dxa"/>
              <w:bottom w:w="30" w:type="dxa"/>
              <w:right w:w="45" w:type="dxa"/>
            </w:tcMar>
            <w:vAlign w:val="center"/>
            <w:hideMark/>
          </w:tcPr>
          <w:p w14:paraId="7FE73839" w14:textId="77777777" w:rsidR="00D65427" w:rsidRPr="00D65427" w:rsidRDefault="00D65427" w:rsidP="00AA4BBB">
            <w:pPr>
              <w:rPr>
                <w:rFonts w:cs="Arial"/>
                <w:sz w:val="20"/>
                <w:szCs w:val="20"/>
              </w:rPr>
            </w:pPr>
            <w:r w:rsidRPr="00D65427">
              <w:rPr>
                <w:rFonts w:cs="Arial"/>
                <w:sz w:val="20"/>
                <w:szCs w:val="20"/>
              </w:rPr>
              <w:t>Fortalecer un (1) Observatorio de Conflictividad Social y Gobernabilidad con enfoque de derechos humanos género y diferencial.</w:t>
            </w:r>
          </w:p>
        </w:tc>
        <w:tc>
          <w:tcPr>
            <w:tcW w:w="0" w:type="auto"/>
            <w:tcMar>
              <w:top w:w="30" w:type="dxa"/>
              <w:left w:w="45" w:type="dxa"/>
              <w:bottom w:w="30" w:type="dxa"/>
              <w:right w:w="45" w:type="dxa"/>
            </w:tcMar>
            <w:vAlign w:val="center"/>
            <w:hideMark/>
          </w:tcPr>
          <w:p w14:paraId="6464E980" w14:textId="77777777" w:rsidR="00D65427" w:rsidRPr="00D65427" w:rsidRDefault="00D65427" w:rsidP="00AA4BBB">
            <w:pPr>
              <w:jc w:val="center"/>
              <w:rPr>
                <w:rFonts w:cs="Arial"/>
                <w:sz w:val="20"/>
                <w:szCs w:val="20"/>
              </w:rPr>
            </w:pPr>
            <w:r w:rsidRPr="00D65427">
              <w:rPr>
                <w:rFonts w:cs="Arial"/>
                <w:sz w:val="20"/>
                <w:szCs w:val="20"/>
              </w:rPr>
              <w:t>0,14</w:t>
            </w:r>
          </w:p>
        </w:tc>
        <w:tc>
          <w:tcPr>
            <w:tcW w:w="0" w:type="auto"/>
            <w:tcMar>
              <w:top w:w="30" w:type="dxa"/>
              <w:left w:w="45" w:type="dxa"/>
              <w:bottom w:w="30" w:type="dxa"/>
              <w:right w:w="45" w:type="dxa"/>
            </w:tcMar>
            <w:vAlign w:val="center"/>
            <w:hideMark/>
          </w:tcPr>
          <w:p w14:paraId="0E5ECB04" w14:textId="77777777" w:rsidR="00D65427" w:rsidRPr="00D65427" w:rsidRDefault="00D65427" w:rsidP="00AA4BBB">
            <w:pPr>
              <w:jc w:val="center"/>
              <w:rPr>
                <w:rFonts w:cs="Arial"/>
                <w:sz w:val="20"/>
                <w:szCs w:val="20"/>
              </w:rPr>
            </w:pPr>
            <w:r w:rsidRPr="00D65427">
              <w:rPr>
                <w:rFonts w:cs="Arial"/>
                <w:sz w:val="20"/>
                <w:szCs w:val="20"/>
              </w:rPr>
              <w:t>0,22</w:t>
            </w:r>
          </w:p>
        </w:tc>
        <w:tc>
          <w:tcPr>
            <w:tcW w:w="0" w:type="auto"/>
            <w:tcMar>
              <w:top w:w="30" w:type="dxa"/>
              <w:left w:w="45" w:type="dxa"/>
              <w:bottom w:w="30" w:type="dxa"/>
              <w:right w:w="45" w:type="dxa"/>
            </w:tcMar>
            <w:vAlign w:val="center"/>
            <w:hideMark/>
          </w:tcPr>
          <w:p w14:paraId="659F0110" w14:textId="77777777" w:rsidR="00D65427" w:rsidRPr="00D65427" w:rsidRDefault="00D65427" w:rsidP="00AA4BBB">
            <w:pPr>
              <w:jc w:val="center"/>
              <w:rPr>
                <w:rFonts w:cs="Arial"/>
                <w:sz w:val="20"/>
                <w:szCs w:val="20"/>
              </w:rPr>
            </w:pPr>
            <w:r w:rsidRPr="00D65427">
              <w:rPr>
                <w:rFonts w:cs="Arial"/>
                <w:sz w:val="20"/>
                <w:szCs w:val="20"/>
              </w:rPr>
              <w:t>0,24</w:t>
            </w:r>
          </w:p>
        </w:tc>
        <w:tc>
          <w:tcPr>
            <w:tcW w:w="0" w:type="auto"/>
            <w:tcMar>
              <w:top w:w="30" w:type="dxa"/>
              <w:left w:w="45" w:type="dxa"/>
              <w:bottom w:w="30" w:type="dxa"/>
              <w:right w:w="45" w:type="dxa"/>
            </w:tcMar>
            <w:vAlign w:val="center"/>
            <w:hideMark/>
          </w:tcPr>
          <w:p w14:paraId="1FF8ADE3" w14:textId="77777777" w:rsidR="00D65427" w:rsidRPr="00D65427" w:rsidRDefault="00D65427" w:rsidP="00AA4BBB">
            <w:pPr>
              <w:jc w:val="center"/>
              <w:rPr>
                <w:rFonts w:cs="Arial"/>
                <w:sz w:val="20"/>
                <w:szCs w:val="20"/>
              </w:rPr>
            </w:pPr>
            <w:r w:rsidRPr="00D65427">
              <w:rPr>
                <w:rFonts w:cs="Arial"/>
                <w:sz w:val="20"/>
                <w:szCs w:val="20"/>
              </w:rPr>
              <w:t>0,40</w:t>
            </w:r>
          </w:p>
        </w:tc>
        <w:tc>
          <w:tcPr>
            <w:tcW w:w="0" w:type="auto"/>
            <w:vMerge w:val="restart"/>
            <w:tcMar>
              <w:top w:w="30" w:type="dxa"/>
              <w:left w:w="45" w:type="dxa"/>
              <w:bottom w:w="30" w:type="dxa"/>
              <w:right w:w="45" w:type="dxa"/>
            </w:tcMar>
            <w:vAlign w:val="center"/>
            <w:hideMark/>
          </w:tcPr>
          <w:p w14:paraId="2233A699" w14:textId="77777777" w:rsidR="00D65427" w:rsidRPr="00D65427" w:rsidRDefault="00D65427" w:rsidP="00AA4BBB">
            <w:pPr>
              <w:jc w:val="center"/>
              <w:rPr>
                <w:rFonts w:cs="Arial"/>
                <w:b/>
                <w:bCs/>
                <w:sz w:val="20"/>
                <w:szCs w:val="20"/>
              </w:rPr>
            </w:pPr>
            <w:r w:rsidRPr="00D65427">
              <w:rPr>
                <w:rFonts w:cs="Arial"/>
                <w:b/>
                <w:bCs/>
                <w:sz w:val="20"/>
                <w:szCs w:val="20"/>
              </w:rPr>
              <w:t>3.596.291.526</w:t>
            </w:r>
          </w:p>
        </w:tc>
      </w:tr>
      <w:tr w:rsidR="00D65427" w:rsidRPr="00D65427" w14:paraId="74B31973" w14:textId="77777777" w:rsidTr="00D65427">
        <w:tc>
          <w:tcPr>
            <w:tcW w:w="0" w:type="auto"/>
            <w:vMerge/>
            <w:vAlign w:val="center"/>
            <w:hideMark/>
          </w:tcPr>
          <w:p w14:paraId="189FD180"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4634E2E8" w14:textId="77777777" w:rsidR="00D65427" w:rsidRPr="00D65427" w:rsidRDefault="00D65427" w:rsidP="00AA4BBB">
            <w:pPr>
              <w:jc w:val="center"/>
              <w:rPr>
                <w:rFonts w:cs="Arial"/>
                <w:sz w:val="20"/>
                <w:szCs w:val="20"/>
              </w:rPr>
            </w:pPr>
            <w:r w:rsidRPr="00D65427">
              <w:rPr>
                <w:rFonts w:cs="Arial"/>
                <w:sz w:val="20"/>
                <w:szCs w:val="20"/>
              </w:rPr>
              <w:t>550.000.000</w:t>
            </w:r>
          </w:p>
        </w:tc>
        <w:tc>
          <w:tcPr>
            <w:tcW w:w="0" w:type="auto"/>
            <w:tcMar>
              <w:top w:w="30" w:type="dxa"/>
              <w:left w:w="45" w:type="dxa"/>
              <w:bottom w:w="30" w:type="dxa"/>
              <w:right w:w="45" w:type="dxa"/>
            </w:tcMar>
            <w:vAlign w:val="center"/>
            <w:hideMark/>
          </w:tcPr>
          <w:p w14:paraId="75F1BC17" w14:textId="77777777" w:rsidR="00D65427" w:rsidRPr="00D65427" w:rsidRDefault="00D65427" w:rsidP="00AA4BBB">
            <w:pPr>
              <w:jc w:val="center"/>
              <w:rPr>
                <w:rFonts w:cs="Arial"/>
                <w:sz w:val="20"/>
                <w:szCs w:val="20"/>
              </w:rPr>
            </w:pPr>
            <w:r w:rsidRPr="00D65427">
              <w:rPr>
                <w:rFonts w:cs="Arial"/>
                <w:sz w:val="20"/>
                <w:szCs w:val="20"/>
              </w:rPr>
              <w:t>825.242.718</w:t>
            </w:r>
          </w:p>
        </w:tc>
        <w:tc>
          <w:tcPr>
            <w:tcW w:w="0" w:type="auto"/>
            <w:tcMar>
              <w:top w:w="30" w:type="dxa"/>
              <w:left w:w="45" w:type="dxa"/>
              <w:bottom w:w="30" w:type="dxa"/>
              <w:right w:w="45" w:type="dxa"/>
            </w:tcMar>
            <w:vAlign w:val="center"/>
            <w:hideMark/>
          </w:tcPr>
          <w:p w14:paraId="55C9A814" w14:textId="77777777" w:rsidR="00D65427" w:rsidRPr="00D65427" w:rsidRDefault="00D65427" w:rsidP="00AA4BBB">
            <w:pPr>
              <w:jc w:val="center"/>
              <w:rPr>
                <w:rFonts w:cs="Arial"/>
                <w:sz w:val="20"/>
                <w:szCs w:val="20"/>
              </w:rPr>
            </w:pPr>
            <w:r w:rsidRPr="00D65427">
              <w:rPr>
                <w:rFonts w:cs="Arial"/>
                <w:sz w:val="20"/>
                <w:szCs w:val="20"/>
              </w:rPr>
              <w:t>848.336.318</w:t>
            </w:r>
          </w:p>
        </w:tc>
        <w:tc>
          <w:tcPr>
            <w:tcW w:w="0" w:type="auto"/>
            <w:tcMar>
              <w:top w:w="30" w:type="dxa"/>
              <w:left w:w="45" w:type="dxa"/>
              <w:bottom w:w="30" w:type="dxa"/>
              <w:right w:w="45" w:type="dxa"/>
            </w:tcMar>
            <w:vAlign w:val="center"/>
            <w:hideMark/>
          </w:tcPr>
          <w:p w14:paraId="3441EC7F" w14:textId="77777777" w:rsidR="00D65427" w:rsidRPr="00D65427" w:rsidRDefault="00D65427" w:rsidP="00AA4BBB">
            <w:pPr>
              <w:jc w:val="center"/>
              <w:rPr>
                <w:rFonts w:cs="Arial"/>
                <w:sz w:val="20"/>
                <w:szCs w:val="20"/>
              </w:rPr>
            </w:pPr>
            <w:r w:rsidRPr="00D65427">
              <w:rPr>
                <w:rFonts w:cs="Arial"/>
                <w:sz w:val="20"/>
                <w:szCs w:val="20"/>
              </w:rPr>
              <w:t>1.372.712.489</w:t>
            </w:r>
          </w:p>
        </w:tc>
        <w:tc>
          <w:tcPr>
            <w:tcW w:w="0" w:type="auto"/>
            <w:vMerge/>
            <w:vAlign w:val="center"/>
            <w:hideMark/>
          </w:tcPr>
          <w:p w14:paraId="601A86D2" w14:textId="77777777" w:rsidR="00D65427" w:rsidRPr="00D65427" w:rsidRDefault="00D65427" w:rsidP="00AA4BBB">
            <w:pPr>
              <w:rPr>
                <w:rFonts w:cs="Arial"/>
                <w:b/>
                <w:bCs/>
                <w:sz w:val="20"/>
                <w:szCs w:val="20"/>
              </w:rPr>
            </w:pPr>
          </w:p>
        </w:tc>
      </w:tr>
      <w:tr w:rsidR="00D65427" w:rsidRPr="00D65427" w14:paraId="12BAB96C" w14:textId="77777777" w:rsidTr="00D65427">
        <w:tc>
          <w:tcPr>
            <w:tcW w:w="0" w:type="auto"/>
            <w:vMerge w:val="restart"/>
            <w:tcMar>
              <w:top w:w="30" w:type="dxa"/>
              <w:left w:w="45" w:type="dxa"/>
              <w:bottom w:w="30" w:type="dxa"/>
              <w:right w:w="45" w:type="dxa"/>
            </w:tcMar>
            <w:vAlign w:val="center"/>
            <w:hideMark/>
          </w:tcPr>
          <w:p w14:paraId="15E457F3" w14:textId="77777777" w:rsidR="00D65427" w:rsidRPr="00D65427" w:rsidRDefault="00D65427" w:rsidP="00AA4BBB">
            <w:pPr>
              <w:rPr>
                <w:rFonts w:cs="Arial"/>
                <w:sz w:val="20"/>
                <w:szCs w:val="20"/>
              </w:rPr>
            </w:pPr>
            <w:r w:rsidRPr="00D65427">
              <w:rPr>
                <w:rFonts w:cs="Arial"/>
                <w:sz w:val="20"/>
                <w:szCs w:val="20"/>
              </w:rPr>
              <w:t>Implementar 100 acciones con un enfoque interseccional en el marco del laboratorio de innovación en la relación gobierno y ciudadanía desarrollando prototipos que recojan retos ciudadanos para ser solucionados de manera colaborativa mejorando la participación incidente en Bogotá.</w:t>
            </w:r>
          </w:p>
        </w:tc>
        <w:tc>
          <w:tcPr>
            <w:tcW w:w="0" w:type="auto"/>
            <w:tcMar>
              <w:top w:w="30" w:type="dxa"/>
              <w:left w:w="45" w:type="dxa"/>
              <w:bottom w:w="30" w:type="dxa"/>
              <w:right w:w="45" w:type="dxa"/>
            </w:tcMar>
            <w:vAlign w:val="center"/>
            <w:hideMark/>
          </w:tcPr>
          <w:p w14:paraId="740ED2D3" w14:textId="77777777" w:rsidR="00D65427" w:rsidRPr="00D65427" w:rsidRDefault="00D65427" w:rsidP="00AA4BBB">
            <w:pPr>
              <w:jc w:val="center"/>
              <w:rPr>
                <w:rFonts w:cs="Arial"/>
                <w:sz w:val="20"/>
                <w:szCs w:val="20"/>
              </w:rPr>
            </w:pPr>
            <w:r w:rsidRPr="00D65427">
              <w:rPr>
                <w:rFonts w:cs="Arial"/>
                <w:sz w:val="20"/>
                <w:szCs w:val="20"/>
              </w:rPr>
              <w:t>10</w:t>
            </w:r>
          </w:p>
        </w:tc>
        <w:tc>
          <w:tcPr>
            <w:tcW w:w="0" w:type="auto"/>
            <w:tcMar>
              <w:top w:w="30" w:type="dxa"/>
              <w:left w:w="45" w:type="dxa"/>
              <w:bottom w:w="30" w:type="dxa"/>
              <w:right w:w="45" w:type="dxa"/>
            </w:tcMar>
            <w:vAlign w:val="center"/>
            <w:hideMark/>
          </w:tcPr>
          <w:p w14:paraId="77BAE8C7" w14:textId="77777777" w:rsidR="00D65427" w:rsidRPr="00D65427" w:rsidRDefault="00D65427" w:rsidP="00AA4BBB">
            <w:pPr>
              <w:jc w:val="center"/>
              <w:rPr>
                <w:rFonts w:cs="Arial"/>
                <w:sz w:val="20"/>
                <w:szCs w:val="20"/>
              </w:rPr>
            </w:pPr>
            <w:r w:rsidRPr="00D65427">
              <w:rPr>
                <w:rFonts w:cs="Arial"/>
                <w:sz w:val="20"/>
                <w:szCs w:val="20"/>
              </w:rPr>
              <w:t>35</w:t>
            </w:r>
          </w:p>
        </w:tc>
        <w:tc>
          <w:tcPr>
            <w:tcW w:w="0" w:type="auto"/>
            <w:tcMar>
              <w:top w:w="30" w:type="dxa"/>
              <w:left w:w="45" w:type="dxa"/>
              <w:bottom w:w="30" w:type="dxa"/>
              <w:right w:w="45" w:type="dxa"/>
            </w:tcMar>
            <w:vAlign w:val="center"/>
            <w:hideMark/>
          </w:tcPr>
          <w:p w14:paraId="58810B82" w14:textId="77777777" w:rsidR="00D65427" w:rsidRPr="00D65427" w:rsidRDefault="00D65427" w:rsidP="00AA4BBB">
            <w:pPr>
              <w:jc w:val="center"/>
              <w:rPr>
                <w:rFonts w:cs="Arial"/>
                <w:sz w:val="20"/>
                <w:szCs w:val="20"/>
              </w:rPr>
            </w:pPr>
            <w:r w:rsidRPr="00D65427">
              <w:rPr>
                <w:rFonts w:cs="Arial"/>
                <w:sz w:val="20"/>
                <w:szCs w:val="20"/>
              </w:rPr>
              <w:t>35</w:t>
            </w:r>
          </w:p>
        </w:tc>
        <w:tc>
          <w:tcPr>
            <w:tcW w:w="0" w:type="auto"/>
            <w:tcMar>
              <w:top w:w="30" w:type="dxa"/>
              <w:left w:w="45" w:type="dxa"/>
              <w:bottom w:w="30" w:type="dxa"/>
              <w:right w:w="45" w:type="dxa"/>
            </w:tcMar>
            <w:vAlign w:val="center"/>
            <w:hideMark/>
          </w:tcPr>
          <w:p w14:paraId="69A365BF" w14:textId="77777777" w:rsidR="00D65427" w:rsidRPr="00D65427" w:rsidRDefault="00D65427" w:rsidP="00AA4BBB">
            <w:pPr>
              <w:jc w:val="center"/>
              <w:rPr>
                <w:rFonts w:cs="Arial"/>
                <w:sz w:val="20"/>
                <w:szCs w:val="20"/>
              </w:rPr>
            </w:pPr>
            <w:r w:rsidRPr="00D65427">
              <w:rPr>
                <w:rFonts w:cs="Arial"/>
                <w:sz w:val="20"/>
                <w:szCs w:val="20"/>
              </w:rPr>
              <w:t>20</w:t>
            </w:r>
          </w:p>
        </w:tc>
        <w:tc>
          <w:tcPr>
            <w:tcW w:w="0" w:type="auto"/>
            <w:vMerge w:val="restart"/>
            <w:tcMar>
              <w:top w:w="30" w:type="dxa"/>
              <w:left w:w="45" w:type="dxa"/>
              <w:bottom w:w="30" w:type="dxa"/>
              <w:right w:w="45" w:type="dxa"/>
            </w:tcMar>
            <w:vAlign w:val="center"/>
            <w:hideMark/>
          </w:tcPr>
          <w:p w14:paraId="3C834354" w14:textId="77777777" w:rsidR="00D65427" w:rsidRPr="00D65427" w:rsidRDefault="00D65427" w:rsidP="00AA4BBB">
            <w:pPr>
              <w:jc w:val="center"/>
              <w:rPr>
                <w:rFonts w:cs="Arial"/>
                <w:b/>
                <w:bCs/>
                <w:sz w:val="20"/>
                <w:szCs w:val="20"/>
              </w:rPr>
            </w:pPr>
            <w:r w:rsidRPr="00D65427">
              <w:rPr>
                <w:rFonts w:cs="Arial"/>
                <w:b/>
                <w:bCs/>
                <w:sz w:val="20"/>
                <w:szCs w:val="20"/>
              </w:rPr>
              <w:t>3.201.215.557</w:t>
            </w:r>
          </w:p>
        </w:tc>
      </w:tr>
      <w:tr w:rsidR="00D65427" w:rsidRPr="00D65427" w14:paraId="3DE3F92D" w14:textId="77777777" w:rsidTr="00D65427">
        <w:tc>
          <w:tcPr>
            <w:tcW w:w="0" w:type="auto"/>
            <w:vMerge/>
            <w:vAlign w:val="center"/>
            <w:hideMark/>
          </w:tcPr>
          <w:p w14:paraId="206817CA"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546552A9" w14:textId="77777777" w:rsidR="00D65427" w:rsidRPr="00D65427" w:rsidRDefault="00D65427" w:rsidP="00AA4BBB">
            <w:pPr>
              <w:jc w:val="center"/>
              <w:rPr>
                <w:rFonts w:cs="Arial"/>
                <w:sz w:val="20"/>
                <w:szCs w:val="20"/>
              </w:rPr>
            </w:pPr>
            <w:r w:rsidRPr="00D65427">
              <w:rPr>
                <w:rFonts w:cs="Arial"/>
                <w:sz w:val="20"/>
                <w:szCs w:val="20"/>
              </w:rPr>
              <w:t>336.000.000</w:t>
            </w:r>
          </w:p>
        </w:tc>
        <w:tc>
          <w:tcPr>
            <w:tcW w:w="0" w:type="auto"/>
            <w:tcMar>
              <w:top w:w="30" w:type="dxa"/>
              <w:left w:w="45" w:type="dxa"/>
              <w:bottom w:w="30" w:type="dxa"/>
              <w:right w:w="45" w:type="dxa"/>
            </w:tcMar>
            <w:vAlign w:val="center"/>
            <w:hideMark/>
          </w:tcPr>
          <w:p w14:paraId="4E20F2AA" w14:textId="77777777" w:rsidR="00D65427" w:rsidRPr="00D65427" w:rsidRDefault="00D65427" w:rsidP="00AA4BBB">
            <w:pPr>
              <w:jc w:val="center"/>
              <w:rPr>
                <w:rFonts w:cs="Arial"/>
                <w:sz w:val="20"/>
                <w:szCs w:val="20"/>
              </w:rPr>
            </w:pPr>
            <w:r w:rsidRPr="00D65427">
              <w:rPr>
                <w:rFonts w:cs="Arial"/>
                <w:sz w:val="20"/>
                <w:szCs w:val="20"/>
              </w:rPr>
              <w:t>1.141.747.573</w:t>
            </w:r>
          </w:p>
        </w:tc>
        <w:tc>
          <w:tcPr>
            <w:tcW w:w="0" w:type="auto"/>
            <w:tcMar>
              <w:top w:w="30" w:type="dxa"/>
              <w:left w:w="45" w:type="dxa"/>
              <w:bottom w:w="30" w:type="dxa"/>
              <w:right w:w="45" w:type="dxa"/>
            </w:tcMar>
            <w:vAlign w:val="center"/>
            <w:hideMark/>
          </w:tcPr>
          <w:p w14:paraId="610A325B" w14:textId="77777777" w:rsidR="00D65427" w:rsidRPr="00D65427" w:rsidRDefault="00D65427" w:rsidP="00AA4BBB">
            <w:pPr>
              <w:jc w:val="center"/>
              <w:rPr>
                <w:rFonts w:cs="Arial"/>
                <w:sz w:val="20"/>
                <w:szCs w:val="20"/>
              </w:rPr>
            </w:pPr>
            <w:r w:rsidRPr="00D65427">
              <w:rPr>
                <w:rFonts w:cs="Arial"/>
                <w:sz w:val="20"/>
                <w:szCs w:val="20"/>
              </w:rPr>
              <w:t>1.108.492.789</w:t>
            </w:r>
          </w:p>
        </w:tc>
        <w:tc>
          <w:tcPr>
            <w:tcW w:w="0" w:type="auto"/>
            <w:tcMar>
              <w:top w:w="30" w:type="dxa"/>
              <w:left w:w="45" w:type="dxa"/>
              <w:bottom w:w="30" w:type="dxa"/>
              <w:right w:w="45" w:type="dxa"/>
            </w:tcMar>
            <w:vAlign w:val="center"/>
            <w:hideMark/>
          </w:tcPr>
          <w:p w14:paraId="5F3ABBA7" w14:textId="77777777" w:rsidR="00D65427" w:rsidRPr="00D65427" w:rsidRDefault="00D65427" w:rsidP="00AA4BBB">
            <w:pPr>
              <w:jc w:val="center"/>
              <w:rPr>
                <w:rFonts w:cs="Arial"/>
                <w:sz w:val="20"/>
                <w:szCs w:val="20"/>
              </w:rPr>
            </w:pPr>
            <w:r w:rsidRPr="00D65427">
              <w:rPr>
                <w:rFonts w:cs="Arial"/>
                <w:sz w:val="20"/>
                <w:szCs w:val="20"/>
              </w:rPr>
              <w:t>614.975.195</w:t>
            </w:r>
          </w:p>
        </w:tc>
        <w:tc>
          <w:tcPr>
            <w:tcW w:w="0" w:type="auto"/>
            <w:vMerge/>
            <w:vAlign w:val="center"/>
            <w:hideMark/>
          </w:tcPr>
          <w:p w14:paraId="6B3DD367" w14:textId="77777777" w:rsidR="00D65427" w:rsidRPr="00D65427" w:rsidRDefault="00D65427" w:rsidP="00AA4BBB">
            <w:pPr>
              <w:rPr>
                <w:rFonts w:cs="Arial"/>
                <w:b/>
                <w:bCs/>
                <w:sz w:val="20"/>
                <w:szCs w:val="20"/>
              </w:rPr>
            </w:pPr>
          </w:p>
        </w:tc>
      </w:tr>
      <w:tr w:rsidR="00D65427" w:rsidRPr="00D65427" w14:paraId="042BE36E" w14:textId="77777777" w:rsidTr="00D65427">
        <w:tc>
          <w:tcPr>
            <w:tcW w:w="0" w:type="auto"/>
            <w:gridSpan w:val="6"/>
            <w:shd w:val="clear" w:color="auto" w:fill="C00000"/>
            <w:tcMar>
              <w:top w:w="30" w:type="dxa"/>
              <w:left w:w="45" w:type="dxa"/>
              <w:bottom w:w="30" w:type="dxa"/>
              <w:right w:w="45" w:type="dxa"/>
            </w:tcMar>
            <w:vAlign w:val="center"/>
            <w:hideMark/>
          </w:tcPr>
          <w:p w14:paraId="6DDAF668" w14:textId="77777777" w:rsidR="00D65427" w:rsidRPr="00D65427" w:rsidRDefault="00D65427" w:rsidP="00AA4BBB">
            <w:pPr>
              <w:jc w:val="center"/>
              <w:rPr>
                <w:rFonts w:cs="Arial"/>
                <w:b/>
                <w:bCs/>
                <w:sz w:val="20"/>
                <w:szCs w:val="20"/>
              </w:rPr>
            </w:pPr>
            <w:r w:rsidRPr="00D65427">
              <w:rPr>
                <w:rFonts w:cs="Arial"/>
                <w:b/>
                <w:bCs/>
                <w:color w:val="FFFFFF" w:themeColor="background1"/>
                <w:sz w:val="20"/>
                <w:szCs w:val="20"/>
              </w:rPr>
              <w:t>Planeación</w:t>
            </w:r>
          </w:p>
        </w:tc>
      </w:tr>
      <w:tr w:rsidR="00D65427" w:rsidRPr="00D65427" w14:paraId="45772D61" w14:textId="77777777" w:rsidTr="00D65427">
        <w:tc>
          <w:tcPr>
            <w:tcW w:w="0" w:type="auto"/>
            <w:vMerge w:val="restart"/>
            <w:tcMar>
              <w:top w:w="30" w:type="dxa"/>
              <w:left w:w="45" w:type="dxa"/>
              <w:bottom w:w="30" w:type="dxa"/>
              <w:right w:w="45" w:type="dxa"/>
            </w:tcMar>
            <w:vAlign w:val="center"/>
            <w:hideMark/>
          </w:tcPr>
          <w:p w14:paraId="22C098F4" w14:textId="77777777" w:rsidR="00D65427" w:rsidRPr="00D65427" w:rsidRDefault="00D65427" w:rsidP="00AA4BBB">
            <w:pPr>
              <w:rPr>
                <w:rFonts w:cs="Arial"/>
                <w:sz w:val="20"/>
                <w:szCs w:val="20"/>
              </w:rPr>
            </w:pPr>
            <w:r w:rsidRPr="00D65427">
              <w:rPr>
                <w:rFonts w:cs="Arial"/>
                <w:sz w:val="20"/>
                <w:szCs w:val="20"/>
              </w:rPr>
              <w:lastRenderedPageBreak/>
              <w:t>Implementar 5 retos de innovación abierta basados en información estratégica bajo un modelo de gobernanza de datos que fortalezca la toma de decisiones del distrito.</w:t>
            </w:r>
          </w:p>
        </w:tc>
        <w:tc>
          <w:tcPr>
            <w:tcW w:w="0" w:type="auto"/>
            <w:tcMar>
              <w:top w:w="30" w:type="dxa"/>
              <w:left w:w="45" w:type="dxa"/>
              <w:bottom w:w="30" w:type="dxa"/>
              <w:right w:w="45" w:type="dxa"/>
            </w:tcMar>
            <w:vAlign w:val="center"/>
            <w:hideMark/>
          </w:tcPr>
          <w:p w14:paraId="51B87FA3" w14:textId="77777777" w:rsidR="00D65427" w:rsidRPr="00D65427" w:rsidRDefault="00D65427" w:rsidP="00AA4BBB">
            <w:pPr>
              <w:jc w:val="center"/>
              <w:rPr>
                <w:rFonts w:cs="Arial"/>
                <w:sz w:val="20"/>
                <w:szCs w:val="20"/>
              </w:rPr>
            </w:pPr>
            <w:r w:rsidRPr="00D65427">
              <w:rPr>
                <w:rFonts w:cs="Arial"/>
                <w:sz w:val="20"/>
                <w:szCs w:val="20"/>
              </w:rPr>
              <w:t>1</w:t>
            </w:r>
          </w:p>
        </w:tc>
        <w:tc>
          <w:tcPr>
            <w:tcW w:w="0" w:type="auto"/>
            <w:tcMar>
              <w:top w:w="30" w:type="dxa"/>
              <w:left w:w="45" w:type="dxa"/>
              <w:bottom w:w="30" w:type="dxa"/>
              <w:right w:w="45" w:type="dxa"/>
            </w:tcMar>
            <w:vAlign w:val="center"/>
            <w:hideMark/>
          </w:tcPr>
          <w:p w14:paraId="2E05767E" w14:textId="77777777" w:rsidR="00D65427" w:rsidRPr="00D65427" w:rsidRDefault="00D65427" w:rsidP="00AA4BBB">
            <w:pPr>
              <w:jc w:val="center"/>
              <w:rPr>
                <w:rFonts w:cs="Arial"/>
                <w:sz w:val="20"/>
                <w:szCs w:val="20"/>
              </w:rPr>
            </w:pPr>
            <w:r w:rsidRPr="00D65427">
              <w:rPr>
                <w:rFonts w:cs="Arial"/>
                <w:sz w:val="20"/>
                <w:szCs w:val="20"/>
              </w:rPr>
              <w:t>2</w:t>
            </w:r>
          </w:p>
        </w:tc>
        <w:tc>
          <w:tcPr>
            <w:tcW w:w="0" w:type="auto"/>
            <w:tcMar>
              <w:top w:w="30" w:type="dxa"/>
              <w:left w:w="45" w:type="dxa"/>
              <w:bottom w:w="30" w:type="dxa"/>
              <w:right w:w="45" w:type="dxa"/>
            </w:tcMar>
            <w:vAlign w:val="center"/>
            <w:hideMark/>
          </w:tcPr>
          <w:p w14:paraId="229F974B" w14:textId="77777777" w:rsidR="00D65427" w:rsidRPr="00D65427" w:rsidRDefault="00D65427" w:rsidP="00AA4BBB">
            <w:pPr>
              <w:jc w:val="center"/>
              <w:rPr>
                <w:rFonts w:cs="Arial"/>
                <w:sz w:val="20"/>
                <w:szCs w:val="20"/>
              </w:rPr>
            </w:pPr>
            <w:r w:rsidRPr="00D65427">
              <w:rPr>
                <w:rFonts w:cs="Arial"/>
                <w:sz w:val="20"/>
                <w:szCs w:val="20"/>
              </w:rPr>
              <w:t>1</w:t>
            </w:r>
          </w:p>
        </w:tc>
        <w:tc>
          <w:tcPr>
            <w:tcW w:w="0" w:type="auto"/>
            <w:tcMar>
              <w:top w:w="30" w:type="dxa"/>
              <w:left w:w="45" w:type="dxa"/>
              <w:bottom w:w="30" w:type="dxa"/>
              <w:right w:w="45" w:type="dxa"/>
            </w:tcMar>
            <w:vAlign w:val="center"/>
            <w:hideMark/>
          </w:tcPr>
          <w:p w14:paraId="5F7BD1B7" w14:textId="77777777" w:rsidR="00D65427" w:rsidRPr="00D65427" w:rsidRDefault="00D65427" w:rsidP="00AA4BBB">
            <w:pPr>
              <w:jc w:val="center"/>
              <w:rPr>
                <w:rFonts w:cs="Arial"/>
                <w:sz w:val="20"/>
                <w:szCs w:val="20"/>
              </w:rPr>
            </w:pPr>
            <w:r w:rsidRPr="00D65427">
              <w:rPr>
                <w:rFonts w:cs="Arial"/>
                <w:sz w:val="20"/>
                <w:szCs w:val="20"/>
              </w:rPr>
              <w:t>1</w:t>
            </w:r>
          </w:p>
        </w:tc>
        <w:tc>
          <w:tcPr>
            <w:tcW w:w="0" w:type="auto"/>
            <w:vMerge w:val="restart"/>
            <w:tcMar>
              <w:top w:w="30" w:type="dxa"/>
              <w:left w:w="45" w:type="dxa"/>
              <w:bottom w:w="30" w:type="dxa"/>
              <w:right w:w="45" w:type="dxa"/>
            </w:tcMar>
            <w:vAlign w:val="center"/>
            <w:hideMark/>
          </w:tcPr>
          <w:p w14:paraId="2C293F89" w14:textId="77777777" w:rsidR="00D65427" w:rsidRPr="00D65427" w:rsidRDefault="00D65427" w:rsidP="00AA4BBB">
            <w:pPr>
              <w:jc w:val="center"/>
              <w:rPr>
                <w:rFonts w:cs="Arial"/>
                <w:b/>
                <w:bCs/>
                <w:sz w:val="20"/>
                <w:szCs w:val="20"/>
              </w:rPr>
            </w:pPr>
            <w:r w:rsidRPr="00D65427">
              <w:rPr>
                <w:rFonts w:cs="Arial"/>
                <w:b/>
                <w:bCs/>
                <w:sz w:val="20"/>
                <w:szCs w:val="20"/>
              </w:rPr>
              <w:t>3.193.497.272</w:t>
            </w:r>
          </w:p>
        </w:tc>
      </w:tr>
      <w:tr w:rsidR="00D65427" w:rsidRPr="00D65427" w14:paraId="3FE98C0A" w14:textId="77777777" w:rsidTr="00D65427">
        <w:tc>
          <w:tcPr>
            <w:tcW w:w="0" w:type="auto"/>
            <w:vMerge/>
            <w:vAlign w:val="center"/>
            <w:hideMark/>
          </w:tcPr>
          <w:p w14:paraId="0814CE70" w14:textId="77777777" w:rsidR="00D65427" w:rsidRPr="00D65427" w:rsidRDefault="00D65427" w:rsidP="00AA4BBB">
            <w:pPr>
              <w:rPr>
                <w:rFonts w:cs="Arial"/>
                <w:sz w:val="20"/>
                <w:szCs w:val="20"/>
              </w:rPr>
            </w:pPr>
          </w:p>
        </w:tc>
        <w:tc>
          <w:tcPr>
            <w:tcW w:w="0" w:type="auto"/>
            <w:tcMar>
              <w:top w:w="30" w:type="dxa"/>
              <w:left w:w="45" w:type="dxa"/>
              <w:bottom w:w="30" w:type="dxa"/>
              <w:right w:w="45" w:type="dxa"/>
            </w:tcMar>
            <w:vAlign w:val="center"/>
            <w:hideMark/>
          </w:tcPr>
          <w:p w14:paraId="21405D41" w14:textId="77777777" w:rsidR="00D65427" w:rsidRPr="00D65427" w:rsidRDefault="00D65427" w:rsidP="00AA4BBB">
            <w:pPr>
              <w:jc w:val="center"/>
              <w:rPr>
                <w:rFonts w:cs="Arial"/>
                <w:sz w:val="20"/>
                <w:szCs w:val="20"/>
              </w:rPr>
            </w:pPr>
            <w:r w:rsidRPr="00D65427">
              <w:rPr>
                <w:rFonts w:cs="Arial"/>
                <w:sz w:val="20"/>
                <w:szCs w:val="20"/>
              </w:rPr>
              <w:t>723.650.000</w:t>
            </w:r>
          </w:p>
        </w:tc>
        <w:tc>
          <w:tcPr>
            <w:tcW w:w="0" w:type="auto"/>
            <w:tcMar>
              <w:top w:w="30" w:type="dxa"/>
              <w:left w:w="45" w:type="dxa"/>
              <w:bottom w:w="30" w:type="dxa"/>
              <w:right w:w="45" w:type="dxa"/>
            </w:tcMar>
            <w:vAlign w:val="center"/>
            <w:hideMark/>
          </w:tcPr>
          <w:p w14:paraId="3D4653CA" w14:textId="77777777" w:rsidR="00D65427" w:rsidRPr="00D65427" w:rsidRDefault="00D65427" w:rsidP="00AA4BBB">
            <w:pPr>
              <w:jc w:val="center"/>
              <w:rPr>
                <w:rFonts w:cs="Arial"/>
                <w:sz w:val="20"/>
                <w:szCs w:val="20"/>
              </w:rPr>
            </w:pPr>
            <w:r w:rsidRPr="00D65427">
              <w:rPr>
                <w:rFonts w:cs="Arial"/>
                <w:sz w:val="20"/>
                <w:szCs w:val="20"/>
              </w:rPr>
              <w:t>904.854.369</w:t>
            </w:r>
          </w:p>
        </w:tc>
        <w:tc>
          <w:tcPr>
            <w:tcW w:w="0" w:type="auto"/>
            <w:tcMar>
              <w:top w:w="30" w:type="dxa"/>
              <w:left w:w="45" w:type="dxa"/>
              <w:bottom w:w="30" w:type="dxa"/>
              <w:right w:w="45" w:type="dxa"/>
            </w:tcMar>
            <w:vAlign w:val="center"/>
            <w:hideMark/>
          </w:tcPr>
          <w:p w14:paraId="4E0949AB" w14:textId="77777777" w:rsidR="00D65427" w:rsidRPr="00D65427" w:rsidRDefault="00D65427" w:rsidP="00AA4BBB">
            <w:pPr>
              <w:jc w:val="center"/>
              <w:rPr>
                <w:rFonts w:cs="Arial"/>
                <w:sz w:val="20"/>
                <w:szCs w:val="20"/>
              </w:rPr>
            </w:pPr>
            <w:r w:rsidRPr="00D65427">
              <w:rPr>
                <w:rFonts w:cs="Arial"/>
                <w:sz w:val="20"/>
                <w:szCs w:val="20"/>
              </w:rPr>
              <w:t>788.952.776</w:t>
            </w:r>
          </w:p>
        </w:tc>
        <w:tc>
          <w:tcPr>
            <w:tcW w:w="0" w:type="auto"/>
            <w:tcMar>
              <w:top w:w="30" w:type="dxa"/>
              <w:left w:w="45" w:type="dxa"/>
              <w:bottom w:w="30" w:type="dxa"/>
              <w:right w:w="45" w:type="dxa"/>
            </w:tcMar>
            <w:vAlign w:val="center"/>
            <w:hideMark/>
          </w:tcPr>
          <w:p w14:paraId="555C046E" w14:textId="77777777" w:rsidR="00D65427" w:rsidRPr="00D65427" w:rsidRDefault="00D65427" w:rsidP="00AA4BBB">
            <w:pPr>
              <w:jc w:val="center"/>
              <w:rPr>
                <w:rFonts w:cs="Arial"/>
                <w:sz w:val="20"/>
                <w:szCs w:val="20"/>
              </w:rPr>
            </w:pPr>
            <w:r w:rsidRPr="00D65427">
              <w:rPr>
                <w:rFonts w:cs="Arial"/>
                <w:sz w:val="20"/>
                <w:szCs w:val="20"/>
              </w:rPr>
              <w:t>776.040.127</w:t>
            </w:r>
          </w:p>
        </w:tc>
        <w:tc>
          <w:tcPr>
            <w:tcW w:w="0" w:type="auto"/>
            <w:vMerge/>
            <w:vAlign w:val="center"/>
            <w:hideMark/>
          </w:tcPr>
          <w:p w14:paraId="4622CB99" w14:textId="77777777" w:rsidR="00D65427" w:rsidRPr="00D65427" w:rsidRDefault="00D65427" w:rsidP="00AA4BBB">
            <w:pPr>
              <w:rPr>
                <w:rFonts w:cs="Arial"/>
                <w:b/>
                <w:bCs/>
                <w:sz w:val="20"/>
                <w:szCs w:val="20"/>
              </w:rPr>
            </w:pPr>
          </w:p>
        </w:tc>
      </w:tr>
      <w:tr w:rsidR="00D65427" w:rsidRPr="00D65427" w14:paraId="21A1D979" w14:textId="77777777" w:rsidTr="00D65427">
        <w:tc>
          <w:tcPr>
            <w:tcW w:w="0" w:type="auto"/>
            <w:gridSpan w:val="6"/>
            <w:shd w:val="clear" w:color="auto" w:fill="C00000"/>
            <w:tcMar>
              <w:top w:w="30" w:type="dxa"/>
              <w:left w:w="45" w:type="dxa"/>
              <w:bottom w:w="30" w:type="dxa"/>
              <w:right w:w="45" w:type="dxa"/>
            </w:tcMar>
            <w:vAlign w:val="center"/>
            <w:hideMark/>
          </w:tcPr>
          <w:p w14:paraId="7DAE4534" w14:textId="77777777" w:rsidR="00D65427" w:rsidRPr="00D65427" w:rsidRDefault="00D65427" w:rsidP="00AA4BBB">
            <w:pPr>
              <w:jc w:val="center"/>
              <w:rPr>
                <w:rFonts w:cs="Arial"/>
                <w:b/>
                <w:bCs/>
                <w:sz w:val="20"/>
                <w:szCs w:val="20"/>
              </w:rPr>
            </w:pPr>
            <w:r w:rsidRPr="00D65427">
              <w:rPr>
                <w:rFonts w:cs="Arial"/>
                <w:b/>
                <w:bCs/>
                <w:color w:val="FFFFFF" w:themeColor="background1"/>
                <w:sz w:val="20"/>
                <w:szCs w:val="20"/>
              </w:rPr>
              <w:t>Veeduría</w:t>
            </w:r>
          </w:p>
        </w:tc>
      </w:tr>
      <w:tr w:rsidR="00D65427" w:rsidRPr="00D65427" w14:paraId="2FFDFF11" w14:textId="77777777" w:rsidTr="00D65427">
        <w:tc>
          <w:tcPr>
            <w:tcW w:w="0" w:type="auto"/>
            <w:vMerge w:val="restart"/>
            <w:tcMar>
              <w:top w:w="30" w:type="dxa"/>
              <w:left w:w="45" w:type="dxa"/>
              <w:bottom w:w="30" w:type="dxa"/>
              <w:right w:w="45" w:type="dxa"/>
            </w:tcMar>
            <w:vAlign w:val="center"/>
            <w:hideMark/>
          </w:tcPr>
          <w:p w14:paraId="5920BAEA" w14:textId="77777777" w:rsidR="00D65427" w:rsidRPr="00D65427" w:rsidRDefault="00D65427" w:rsidP="00AA4BBB">
            <w:pPr>
              <w:rPr>
                <w:rFonts w:cs="Arial"/>
                <w:sz w:val="20"/>
                <w:szCs w:val="20"/>
              </w:rPr>
            </w:pPr>
            <w:r w:rsidRPr="00D65427">
              <w:rPr>
                <w:rFonts w:cs="Arial"/>
                <w:sz w:val="20"/>
                <w:szCs w:val="20"/>
              </w:rPr>
              <w:t>Desarrollar 3 componentes (innovación pública tecnología y fortalecimiento institucional) para mejorar el modelo de control y vigilancia con carácter preventivo en entidades del distrito.</w:t>
            </w:r>
          </w:p>
        </w:tc>
        <w:tc>
          <w:tcPr>
            <w:tcW w:w="0" w:type="auto"/>
            <w:tcMar>
              <w:top w:w="30" w:type="dxa"/>
              <w:left w:w="45" w:type="dxa"/>
              <w:bottom w:w="30" w:type="dxa"/>
              <w:right w:w="45" w:type="dxa"/>
            </w:tcMar>
            <w:vAlign w:val="center"/>
            <w:hideMark/>
          </w:tcPr>
          <w:p w14:paraId="57AF998B" w14:textId="77777777" w:rsidR="00D65427" w:rsidRPr="00D65427" w:rsidRDefault="00D65427" w:rsidP="00AA4BBB">
            <w:pPr>
              <w:jc w:val="center"/>
              <w:rPr>
                <w:rFonts w:cs="Arial"/>
                <w:sz w:val="20"/>
                <w:szCs w:val="20"/>
              </w:rPr>
            </w:pPr>
            <w:r w:rsidRPr="00D65427">
              <w:rPr>
                <w:rFonts w:cs="Arial"/>
                <w:sz w:val="20"/>
                <w:szCs w:val="20"/>
              </w:rPr>
              <w:t>3</w:t>
            </w:r>
          </w:p>
        </w:tc>
        <w:tc>
          <w:tcPr>
            <w:tcW w:w="0" w:type="auto"/>
            <w:tcMar>
              <w:top w:w="30" w:type="dxa"/>
              <w:left w:w="45" w:type="dxa"/>
              <w:bottom w:w="30" w:type="dxa"/>
              <w:right w:w="45" w:type="dxa"/>
            </w:tcMar>
            <w:vAlign w:val="center"/>
            <w:hideMark/>
          </w:tcPr>
          <w:p w14:paraId="06A250FA" w14:textId="77777777" w:rsidR="00D65427" w:rsidRPr="00D65427" w:rsidRDefault="00D65427" w:rsidP="00AA4BBB">
            <w:pPr>
              <w:jc w:val="center"/>
              <w:rPr>
                <w:rFonts w:cs="Arial"/>
                <w:sz w:val="20"/>
                <w:szCs w:val="20"/>
              </w:rPr>
            </w:pPr>
            <w:r w:rsidRPr="00D65427">
              <w:rPr>
                <w:rFonts w:cs="Arial"/>
                <w:sz w:val="20"/>
                <w:szCs w:val="20"/>
              </w:rPr>
              <w:t>3</w:t>
            </w:r>
          </w:p>
        </w:tc>
        <w:tc>
          <w:tcPr>
            <w:tcW w:w="0" w:type="auto"/>
            <w:tcMar>
              <w:top w:w="30" w:type="dxa"/>
              <w:left w:w="45" w:type="dxa"/>
              <w:bottom w:w="30" w:type="dxa"/>
              <w:right w:w="45" w:type="dxa"/>
            </w:tcMar>
            <w:vAlign w:val="center"/>
            <w:hideMark/>
          </w:tcPr>
          <w:p w14:paraId="1C093461" w14:textId="77777777" w:rsidR="00D65427" w:rsidRPr="00D65427" w:rsidRDefault="00D65427" w:rsidP="00AA4BBB">
            <w:pPr>
              <w:jc w:val="center"/>
              <w:rPr>
                <w:rFonts w:cs="Arial"/>
                <w:sz w:val="20"/>
                <w:szCs w:val="20"/>
              </w:rPr>
            </w:pPr>
            <w:r w:rsidRPr="00D65427">
              <w:rPr>
                <w:rFonts w:cs="Arial"/>
                <w:sz w:val="20"/>
                <w:szCs w:val="20"/>
              </w:rPr>
              <w:t>3</w:t>
            </w:r>
          </w:p>
        </w:tc>
        <w:tc>
          <w:tcPr>
            <w:tcW w:w="0" w:type="auto"/>
            <w:tcMar>
              <w:top w:w="30" w:type="dxa"/>
              <w:left w:w="45" w:type="dxa"/>
              <w:bottom w:w="30" w:type="dxa"/>
              <w:right w:w="45" w:type="dxa"/>
            </w:tcMar>
            <w:vAlign w:val="center"/>
            <w:hideMark/>
          </w:tcPr>
          <w:p w14:paraId="282B3180" w14:textId="77777777" w:rsidR="00D65427" w:rsidRPr="00D65427" w:rsidRDefault="00D65427" w:rsidP="00AA4BBB">
            <w:pPr>
              <w:jc w:val="center"/>
              <w:rPr>
                <w:rFonts w:cs="Arial"/>
                <w:sz w:val="20"/>
                <w:szCs w:val="20"/>
              </w:rPr>
            </w:pPr>
            <w:r w:rsidRPr="00D65427">
              <w:rPr>
                <w:rFonts w:cs="Arial"/>
                <w:sz w:val="20"/>
                <w:szCs w:val="20"/>
              </w:rPr>
              <w:t>3</w:t>
            </w:r>
          </w:p>
        </w:tc>
        <w:tc>
          <w:tcPr>
            <w:tcW w:w="0" w:type="auto"/>
            <w:vMerge w:val="restart"/>
            <w:tcMar>
              <w:top w:w="30" w:type="dxa"/>
              <w:left w:w="45" w:type="dxa"/>
              <w:bottom w:w="30" w:type="dxa"/>
              <w:right w:w="45" w:type="dxa"/>
            </w:tcMar>
            <w:vAlign w:val="center"/>
            <w:hideMark/>
          </w:tcPr>
          <w:p w14:paraId="1C16C130" w14:textId="77777777" w:rsidR="00D65427" w:rsidRPr="00D65427" w:rsidRDefault="00D65427" w:rsidP="00AA4BBB">
            <w:pPr>
              <w:jc w:val="center"/>
              <w:rPr>
                <w:rFonts w:cs="Arial"/>
                <w:b/>
                <w:bCs/>
                <w:sz w:val="20"/>
                <w:szCs w:val="20"/>
              </w:rPr>
            </w:pPr>
            <w:r w:rsidRPr="00D65427">
              <w:rPr>
                <w:rFonts w:cs="Arial"/>
                <w:b/>
                <w:bCs/>
                <w:sz w:val="20"/>
                <w:szCs w:val="20"/>
              </w:rPr>
              <w:t>7.627.833.501</w:t>
            </w:r>
          </w:p>
        </w:tc>
      </w:tr>
      <w:tr w:rsidR="00D65427" w:rsidRPr="00D65427" w14:paraId="7709E085" w14:textId="77777777" w:rsidTr="00D65427">
        <w:tc>
          <w:tcPr>
            <w:tcW w:w="0" w:type="auto"/>
            <w:vMerge/>
            <w:tcBorders>
              <w:bottom w:val="double" w:sz="4" w:space="0" w:color="C00000"/>
            </w:tcBorders>
            <w:vAlign w:val="center"/>
            <w:hideMark/>
          </w:tcPr>
          <w:p w14:paraId="3E2F0498" w14:textId="77777777" w:rsidR="00D65427" w:rsidRPr="00D65427" w:rsidRDefault="00D65427" w:rsidP="00AA4BBB">
            <w:pPr>
              <w:rPr>
                <w:rFonts w:cs="Arial"/>
                <w:sz w:val="20"/>
                <w:szCs w:val="20"/>
              </w:rPr>
            </w:pPr>
          </w:p>
        </w:tc>
        <w:tc>
          <w:tcPr>
            <w:tcW w:w="0" w:type="auto"/>
            <w:tcBorders>
              <w:bottom w:val="double" w:sz="4" w:space="0" w:color="C00000"/>
            </w:tcBorders>
            <w:tcMar>
              <w:top w:w="30" w:type="dxa"/>
              <w:left w:w="45" w:type="dxa"/>
              <w:bottom w:w="30" w:type="dxa"/>
              <w:right w:w="45" w:type="dxa"/>
            </w:tcMar>
            <w:vAlign w:val="center"/>
            <w:hideMark/>
          </w:tcPr>
          <w:p w14:paraId="2CD017C2" w14:textId="77777777" w:rsidR="00D65427" w:rsidRPr="00D65427" w:rsidRDefault="00D65427" w:rsidP="00AA4BBB">
            <w:pPr>
              <w:jc w:val="center"/>
              <w:rPr>
                <w:rFonts w:cs="Arial"/>
                <w:sz w:val="20"/>
                <w:szCs w:val="20"/>
              </w:rPr>
            </w:pPr>
            <w:r w:rsidRPr="00D65427">
              <w:rPr>
                <w:rFonts w:cs="Arial"/>
                <w:sz w:val="20"/>
                <w:szCs w:val="20"/>
              </w:rPr>
              <w:t>1.003.650.000</w:t>
            </w:r>
          </w:p>
        </w:tc>
        <w:tc>
          <w:tcPr>
            <w:tcW w:w="0" w:type="auto"/>
            <w:tcBorders>
              <w:bottom w:val="double" w:sz="4" w:space="0" w:color="C00000"/>
            </w:tcBorders>
            <w:tcMar>
              <w:top w:w="30" w:type="dxa"/>
              <w:left w:w="45" w:type="dxa"/>
              <w:bottom w:w="30" w:type="dxa"/>
              <w:right w:w="45" w:type="dxa"/>
            </w:tcMar>
            <w:vAlign w:val="center"/>
            <w:hideMark/>
          </w:tcPr>
          <w:p w14:paraId="462C2D77" w14:textId="77777777" w:rsidR="00D65427" w:rsidRPr="00D65427" w:rsidRDefault="00D65427" w:rsidP="00AA4BBB">
            <w:pPr>
              <w:jc w:val="center"/>
              <w:rPr>
                <w:rFonts w:cs="Arial"/>
                <w:sz w:val="20"/>
                <w:szCs w:val="20"/>
              </w:rPr>
            </w:pPr>
            <w:r w:rsidRPr="00D65427">
              <w:rPr>
                <w:rFonts w:cs="Arial"/>
                <w:sz w:val="20"/>
                <w:szCs w:val="20"/>
              </w:rPr>
              <w:t>2.273.640.777</w:t>
            </w:r>
          </w:p>
        </w:tc>
        <w:tc>
          <w:tcPr>
            <w:tcW w:w="0" w:type="auto"/>
            <w:tcBorders>
              <w:bottom w:val="double" w:sz="4" w:space="0" w:color="C00000"/>
            </w:tcBorders>
            <w:tcMar>
              <w:top w:w="30" w:type="dxa"/>
              <w:left w:w="45" w:type="dxa"/>
              <w:bottom w:w="30" w:type="dxa"/>
              <w:right w:w="45" w:type="dxa"/>
            </w:tcMar>
            <w:vAlign w:val="center"/>
            <w:hideMark/>
          </w:tcPr>
          <w:p w14:paraId="27D90CB8" w14:textId="77777777" w:rsidR="00D65427" w:rsidRPr="00D65427" w:rsidRDefault="00D65427" w:rsidP="00AA4BBB">
            <w:pPr>
              <w:jc w:val="center"/>
              <w:rPr>
                <w:rFonts w:cs="Arial"/>
                <w:sz w:val="20"/>
                <w:szCs w:val="20"/>
              </w:rPr>
            </w:pPr>
            <w:r w:rsidRPr="00D65427">
              <w:rPr>
                <w:rFonts w:cs="Arial"/>
                <w:sz w:val="20"/>
                <w:szCs w:val="20"/>
              </w:rPr>
              <w:t>2.207.418.230</w:t>
            </w:r>
          </w:p>
        </w:tc>
        <w:tc>
          <w:tcPr>
            <w:tcW w:w="0" w:type="auto"/>
            <w:tcBorders>
              <w:bottom w:val="double" w:sz="4" w:space="0" w:color="C00000"/>
            </w:tcBorders>
            <w:tcMar>
              <w:top w:w="30" w:type="dxa"/>
              <w:left w:w="45" w:type="dxa"/>
              <w:bottom w:w="30" w:type="dxa"/>
              <w:right w:w="45" w:type="dxa"/>
            </w:tcMar>
            <w:vAlign w:val="center"/>
            <w:hideMark/>
          </w:tcPr>
          <w:p w14:paraId="4CC9A431" w14:textId="77777777" w:rsidR="00D65427" w:rsidRPr="00D65427" w:rsidRDefault="00D65427" w:rsidP="00AA4BBB">
            <w:pPr>
              <w:jc w:val="center"/>
              <w:rPr>
                <w:rFonts w:cs="Arial"/>
                <w:sz w:val="20"/>
                <w:szCs w:val="20"/>
              </w:rPr>
            </w:pPr>
            <w:r w:rsidRPr="00D65427">
              <w:rPr>
                <w:rFonts w:cs="Arial"/>
                <w:sz w:val="20"/>
                <w:szCs w:val="20"/>
              </w:rPr>
              <w:t>2.143.124.495</w:t>
            </w:r>
          </w:p>
        </w:tc>
        <w:tc>
          <w:tcPr>
            <w:tcW w:w="0" w:type="auto"/>
            <w:vMerge/>
            <w:tcBorders>
              <w:bottom w:val="double" w:sz="4" w:space="0" w:color="C00000"/>
            </w:tcBorders>
            <w:vAlign w:val="center"/>
            <w:hideMark/>
          </w:tcPr>
          <w:p w14:paraId="6EACD23A" w14:textId="77777777" w:rsidR="00D65427" w:rsidRPr="00D65427" w:rsidRDefault="00D65427" w:rsidP="00AA4BBB">
            <w:pPr>
              <w:rPr>
                <w:rFonts w:cs="Arial"/>
                <w:b/>
                <w:bCs/>
                <w:sz w:val="20"/>
                <w:szCs w:val="20"/>
              </w:rPr>
            </w:pPr>
          </w:p>
        </w:tc>
      </w:tr>
    </w:tbl>
    <w:p w14:paraId="1DFC2D5C" w14:textId="77777777" w:rsidR="00C80534" w:rsidRDefault="00C80534" w:rsidP="003C014B">
      <w:pPr>
        <w:rPr>
          <w:b/>
          <w:bCs/>
          <w:iCs/>
          <w:color w:val="C00000"/>
          <w:sz w:val="28"/>
          <w:szCs w:val="28"/>
        </w:rPr>
      </w:pPr>
      <w:r>
        <w:rPr>
          <w:b/>
          <w:bCs/>
          <w:iCs/>
          <w:color w:val="C00000"/>
          <w:sz w:val="28"/>
          <w:szCs w:val="28"/>
        </w:rPr>
        <w:br w:type="page"/>
      </w:r>
    </w:p>
    <w:p w14:paraId="7C6ACA15" w14:textId="5B111415" w:rsidR="00EF1D5F" w:rsidRDefault="00EF1D5F" w:rsidP="009C2C7A">
      <w:pPr>
        <w:pStyle w:val="NIVEL4"/>
      </w:pPr>
      <w:bookmarkStart w:id="446" w:name="_Toc165169805"/>
      <w:r w:rsidRPr="00425738">
        <w:rPr>
          <w:color w:val="C00000"/>
        </w:rPr>
        <w:lastRenderedPageBreak/>
        <w:t xml:space="preserve">Programa </w:t>
      </w:r>
      <w:r>
        <w:rPr>
          <w:color w:val="C00000"/>
        </w:rPr>
        <w:t>37</w:t>
      </w:r>
      <w:r w:rsidR="00D65427">
        <w:rPr>
          <w:color w:val="C00000"/>
        </w:rPr>
        <w:t xml:space="preserve">: </w:t>
      </w:r>
      <w:r w:rsidRPr="00687CD1">
        <w:t>Construyendo Confianza con la Región</w:t>
      </w:r>
      <w:bookmarkEnd w:id="446"/>
    </w:p>
    <w:p w14:paraId="30F5419F" w14:textId="77777777" w:rsidR="00C80534" w:rsidRPr="00C80534" w:rsidRDefault="00C80534" w:rsidP="00C80534">
      <w:pPr>
        <w:pStyle w:val="Prrafodelista"/>
        <w:ind w:left="792"/>
        <w:rPr>
          <w:lang w:eastAsia="en-US"/>
        </w:rPr>
      </w:pPr>
    </w:p>
    <w:p w14:paraId="27D784FC" w14:textId="7CEB8D69" w:rsidR="00EF1D5F" w:rsidRPr="009C2C7A" w:rsidRDefault="00EF1D5F" w:rsidP="009C2C7A">
      <w:pPr>
        <w:ind w:firstLine="708"/>
        <w:rPr>
          <w:b/>
          <w:bCs/>
          <w:color w:val="C00000"/>
        </w:rPr>
      </w:pPr>
      <w:r w:rsidRPr="009C2C7A">
        <w:rPr>
          <w:b/>
          <w:bCs/>
        </w:rPr>
        <w:t>Diagnóstico</w:t>
      </w:r>
    </w:p>
    <w:p w14:paraId="12158D0B" w14:textId="77777777" w:rsidR="00EF1D5F" w:rsidRDefault="00EF1D5F" w:rsidP="00425738">
      <w:pPr>
        <w:sectPr w:rsidR="00EF1D5F" w:rsidSect="00F7078E">
          <w:type w:val="continuous"/>
          <w:pgSz w:w="12240" w:h="15840"/>
          <w:pgMar w:top="2262" w:right="1440" w:bottom="1440" w:left="1440" w:header="708" w:footer="680" w:gutter="0"/>
          <w:cols w:space="720"/>
          <w:docGrid w:linePitch="299"/>
        </w:sectPr>
      </w:pPr>
    </w:p>
    <w:p w14:paraId="5FD09C23" w14:textId="77777777" w:rsidR="00EF1D5F" w:rsidRDefault="00EF1D5F" w:rsidP="00CF3B24">
      <w:r>
        <w:t>Las dinámicas ambientales, económicas y sociales, de Bogotá, están altamente asociadas a las de su entorno, lo que exige crear y fortalecer un modelo de gobernanza multinivel entre las entidades municipales, Región Metropolitana Bogotá Cundinamarca (RMBC y la Región Central (RAP-E). Esto nos permitirá trabajar en pro de superar las heterogeneidades y fomentar la confianza y colaboración en función del desarrollo colectivo territorial y el bienestar de sus habitantes.</w:t>
      </w:r>
    </w:p>
    <w:p w14:paraId="6102CCF2" w14:textId="77777777" w:rsidR="00EF1D5F" w:rsidRDefault="00EF1D5F" w:rsidP="00CF3B24"/>
    <w:p w14:paraId="437D3EC6" w14:textId="77777777" w:rsidR="00EF1D5F" w:rsidRDefault="00EF1D5F" w:rsidP="00CF3B24">
      <w:r>
        <w:t>Lo anterior ha sido fruto del aprendizaje que ha tenido Bogotá sobre la importancia del trabajo con sus vecinos territoriales y su relacionamiento en función de las problemáticas que experimentan y los retos que se comparten en materia de desarrollo económico y ordenamiento territorial.</w:t>
      </w:r>
    </w:p>
    <w:p w14:paraId="36DE0A1F" w14:textId="77777777" w:rsidR="00EF1D5F" w:rsidRDefault="00EF1D5F" w:rsidP="00CF3B24"/>
    <w:p w14:paraId="7F371914" w14:textId="77777777" w:rsidR="00EF1D5F" w:rsidRDefault="00EF1D5F" w:rsidP="00CF3B24">
      <w:r>
        <w:t>Debido a la asimetría en materia social, económica, informativa y de capacidad que existe en todos los niveles, así como a las decisiones unilaterales de cada entidad territorial, urge la creación de políticas públicas armonizadas, que faciliten el intercambio de información y fomentar acuerdos estratégicos, para fortalecer, a su vez, los espacios de integración regional como: el Comité de Integración Territorial, la RMBC, la RAP-E y la Asociación de Ciudades Capitales (Asocapitales), entre otros.</w:t>
      </w:r>
    </w:p>
    <w:p w14:paraId="7FCA21F4" w14:textId="77777777" w:rsidR="00EF1D5F" w:rsidRDefault="00EF1D5F" w:rsidP="00CF3B24"/>
    <w:p w14:paraId="08857A11" w14:textId="77777777" w:rsidR="00EF1D5F" w:rsidRDefault="00EF1D5F" w:rsidP="00CF3B24">
      <w:r>
        <w:t xml:space="preserve">Es importante avanzar en las dinámicas de relacionamiento multinivel con acuerdos que conlleven una articulación de la región, para fortalecer la colaboración entre Bogotá, municipios vecinos y las entidades territoriales. Estas relaciones requieren una visión integral y coordinación en distintos niveles gubernamentales para promover un desarrollo equitativo y sostenible. </w:t>
      </w:r>
      <w:r>
        <w:t>Por lo tanto, es vital consolidar un marco político-administrativo consistente, que respalde la corresponsabilidad y colaboración entre los distintos actores.</w:t>
      </w:r>
    </w:p>
    <w:p w14:paraId="03A88B5D" w14:textId="77777777" w:rsidR="00EF1D5F" w:rsidRDefault="00EF1D5F" w:rsidP="00CF3B24">
      <w:pPr>
        <w:rPr>
          <w:b/>
        </w:rPr>
      </w:pPr>
    </w:p>
    <w:p w14:paraId="73F71033" w14:textId="77777777" w:rsidR="00EF1D5F" w:rsidRDefault="00EF1D5F" w:rsidP="00CF3B24">
      <w:r>
        <w:t>Mientras la RMBC se enfoca en alinear el ordenamiento territorial y fomentar la cohesión entre Bogotá y sus municipios cercanos, la RAP-E busca integrar una mayor diversidad de departamentos abordando retos ambientales y de infraestructura a una escala más amplia. Ambas trabajan en identificar hechos metropolitanos y avanzar en políticas públicas regionales, aunque se requiere mejorar la coordinación y el consenso.</w:t>
      </w:r>
    </w:p>
    <w:p w14:paraId="6835752D" w14:textId="77777777" w:rsidR="00EF1D5F" w:rsidRDefault="00EF1D5F" w:rsidP="00CF3B24">
      <w:pPr>
        <w:rPr>
          <w:b/>
        </w:rPr>
      </w:pPr>
    </w:p>
    <w:p w14:paraId="65DD3AE7" w14:textId="77777777" w:rsidR="00EF1D5F" w:rsidRPr="00AB1519" w:rsidRDefault="00EF1D5F" w:rsidP="00CF3B24">
      <w:pPr>
        <w:rPr>
          <w:spacing w:val="-4"/>
        </w:rPr>
      </w:pPr>
      <w:r w:rsidRPr="00AB1519">
        <w:rPr>
          <w:spacing w:val="-4"/>
        </w:rPr>
        <w:t xml:space="preserve">La Ley Orgánica de Ordenamiento Territorial (LOOT, 2011) enfatiza el equilibrio territorial socioeconómico como acceso equitativo a oportunidades de desarrollo en Colombia. Las barreras a este acceso varían con la concentración o dispersión </w:t>
      </w:r>
      <w:r w:rsidRPr="009C2C7A">
        <w:rPr>
          <w:spacing w:val="-4"/>
        </w:rPr>
        <w:t>poblacional</w:t>
      </w:r>
      <w:r w:rsidRPr="009C2C7A">
        <w:rPr>
          <w:b/>
          <w:bCs/>
          <w:spacing w:val="-4"/>
          <w:vertAlign w:val="superscript"/>
        </w:rPr>
        <w:footnoteReference w:id="33"/>
      </w:r>
      <w:r w:rsidRPr="009C2C7A">
        <w:rPr>
          <w:spacing w:val="-4"/>
        </w:rPr>
        <w:t xml:space="preserve">. </w:t>
      </w:r>
      <w:r w:rsidRPr="00AB1519">
        <w:rPr>
          <w:spacing w:val="-4"/>
        </w:rPr>
        <w:t>Por ejemplo, en Bogotá y algunos municipios las altas concentraciones poblacionales enfrentan barreras de acceso debido a los costos de transporte, que limitan el acceso a empleo y servicios. En contraste, los municipios remotos presentan asentamientos rurales dispersos. Estos patrones afectan la distribución de inversiones en los planes de desarrollo; a menudo, sin fomentar sinergias intermunicipales.</w:t>
      </w:r>
    </w:p>
    <w:p w14:paraId="73299DE9" w14:textId="77777777" w:rsidR="00EF1D5F" w:rsidRDefault="00EF1D5F" w:rsidP="00CF3B24">
      <w:pPr>
        <w:rPr>
          <w:b/>
        </w:rPr>
      </w:pPr>
    </w:p>
    <w:p w14:paraId="1E9BE65D" w14:textId="77777777" w:rsidR="00EF1D5F" w:rsidRPr="00ED6C3D" w:rsidRDefault="00EF1D5F" w:rsidP="00ED6C3D">
      <w:pPr>
        <w:sectPr w:rsidR="00EF1D5F" w:rsidRPr="00ED6C3D" w:rsidSect="00F7078E">
          <w:type w:val="continuous"/>
          <w:pgSz w:w="12240" w:h="15840"/>
          <w:pgMar w:top="2262" w:right="1440" w:bottom="1440" w:left="1440" w:header="708" w:footer="680" w:gutter="0"/>
          <w:cols w:num="2" w:space="567"/>
          <w:docGrid w:linePitch="299"/>
        </w:sectPr>
      </w:pPr>
      <w:r>
        <w:t xml:space="preserve">Así mismo, la Misión para el Fortalecimiento del Sistema de Ciudades (2012-2013) reveló la importancia de las aglomeraciones urbanas, como la de Bogotá, compuesta por 22 municipios, en el desarrollo nacional. El CONPES 3819 (2014) subrayó la falta de políticas de articulación entre ciudades, limitando la urbanización y la equidad regional. Es en tal sentido como se resalta la </w:t>
      </w:r>
      <w:r>
        <w:lastRenderedPageBreak/>
        <w:t>necesidad de coordinar el desarrollo para aprovechar la urbanización.</w:t>
      </w:r>
    </w:p>
    <w:p w14:paraId="5DE134DB" w14:textId="08D73698" w:rsidR="00EF1D5F" w:rsidRDefault="00EF1D5F" w:rsidP="00425738">
      <w:pPr>
        <w:pStyle w:val="figuratitulo"/>
        <w:rPr>
          <w:b/>
          <w:bCs/>
        </w:rPr>
      </w:pPr>
    </w:p>
    <w:p w14:paraId="43562342" w14:textId="77777777" w:rsidR="00C80534" w:rsidRDefault="00C80534" w:rsidP="00425738">
      <w:pPr>
        <w:pStyle w:val="figuratitulo"/>
        <w:rPr>
          <w:b/>
          <w:bCs/>
        </w:rPr>
      </w:pPr>
    </w:p>
    <w:p w14:paraId="0A338C3C" w14:textId="3EB9BBB8" w:rsidR="00EF1D5F" w:rsidRPr="009C2C7A" w:rsidRDefault="009C2C7A" w:rsidP="009C2C7A">
      <w:pPr>
        <w:pStyle w:val="Descripcin"/>
        <w:jc w:val="center"/>
        <w:rPr>
          <w:bCs/>
          <w:sz w:val="18"/>
        </w:rPr>
      </w:pPr>
      <w:bookmarkStart w:id="447" w:name="_Toc165170037"/>
      <w:r w:rsidRPr="009C2C7A">
        <w:rPr>
          <w:color w:val="C00000"/>
          <w:sz w:val="18"/>
        </w:rPr>
        <w:t xml:space="preserve">Mapa </w:t>
      </w:r>
      <w:r w:rsidRPr="009C2C7A">
        <w:rPr>
          <w:color w:val="C00000"/>
          <w:sz w:val="18"/>
        </w:rPr>
        <w:fldChar w:fldCharType="begin"/>
      </w:r>
      <w:r w:rsidRPr="009C2C7A">
        <w:rPr>
          <w:color w:val="C00000"/>
          <w:sz w:val="18"/>
        </w:rPr>
        <w:instrText xml:space="preserve"> SEQ Mapa \* ARABIC </w:instrText>
      </w:r>
      <w:r w:rsidRPr="009C2C7A">
        <w:rPr>
          <w:color w:val="C00000"/>
          <w:sz w:val="18"/>
        </w:rPr>
        <w:fldChar w:fldCharType="separate"/>
      </w:r>
      <w:r w:rsidR="00D01651">
        <w:rPr>
          <w:noProof/>
          <w:color w:val="C00000"/>
          <w:sz w:val="18"/>
        </w:rPr>
        <w:t>13</w:t>
      </w:r>
      <w:r w:rsidRPr="009C2C7A">
        <w:rPr>
          <w:color w:val="C00000"/>
          <w:sz w:val="18"/>
        </w:rPr>
        <w:fldChar w:fldCharType="end"/>
      </w:r>
      <w:r w:rsidRPr="009C2C7A">
        <w:rPr>
          <w:color w:val="C00000"/>
          <w:sz w:val="18"/>
        </w:rPr>
        <w:t xml:space="preserve">. </w:t>
      </w:r>
      <w:r w:rsidR="00EF1D5F" w:rsidRPr="009C2C7A">
        <w:rPr>
          <w:sz w:val="18"/>
        </w:rPr>
        <w:t>Aglomeración de Bogotá</w:t>
      </w:r>
      <w:bookmarkEnd w:id="447"/>
    </w:p>
    <w:p w14:paraId="769793A3" w14:textId="77777777" w:rsidR="00EF1D5F" w:rsidRPr="00E94B15" w:rsidRDefault="00EF1D5F" w:rsidP="00ED6C3D">
      <w:pPr>
        <w:spacing w:line="480" w:lineRule="auto"/>
        <w:jc w:val="center"/>
      </w:pPr>
      <w:r w:rsidRPr="00E94B15">
        <w:rPr>
          <w:noProof/>
        </w:rPr>
        <w:drawing>
          <wp:inline distT="114300" distB="114300" distL="114300" distR="114300" wp14:anchorId="076CEF98" wp14:editId="4FB0EB9B">
            <wp:extent cx="4958499" cy="6006729"/>
            <wp:effectExtent l="0" t="0" r="0" b="0"/>
            <wp:docPr id="21335160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4"/>
                    <a:srcRect/>
                    <a:stretch>
                      <a:fillRect/>
                    </a:stretch>
                  </pic:blipFill>
                  <pic:spPr>
                    <a:xfrm>
                      <a:off x="0" y="0"/>
                      <a:ext cx="5001043" cy="6058266"/>
                    </a:xfrm>
                    <a:prstGeom prst="rect">
                      <a:avLst/>
                    </a:prstGeom>
                    <a:ln/>
                    <a:effectLst>
                      <a:softEdge rad="0"/>
                    </a:effectLst>
                  </pic:spPr>
                </pic:pic>
              </a:graphicData>
            </a:graphic>
          </wp:inline>
        </w:drawing>
      </w:r>
    </w:p>
    <w:p w14:paraId="3007DD1C" w14:textId="77777777" w:rsidR="00EF1D5F" w:rsidRPr="00C132C6" w:rsidRDefault="00EF1D5F" w:rsidP="00ED6C3D">
      <w:pPr>
        <w:spacing w:line="480" w:lineRule="auto"/>
        <w:jc w:val="center"/>
        <w:rPr>
          <w:color w:val="3B3838"/>
          <w:sz w:val="18"/>
          <w:szCs w:val="18"/>
        </w:rPr>
      </w:pPr>
      <w:r w:rsidRPr="00C132C6">
        <w:rPr>
          <w:b/>
          <w:bCs/>
          <w:color w:val="3B3838"/>
          <w:sz w:val="18"/>
          <w:szCs w:val="18"/>
        </w:rPr>
        <w:t>Fuente:</w:t>
      </w:r>
      <w:r w:rsidRPr="00C132C6">
        <w:rPr>
          <w:color w:val="3B3838"/>
          <w:sz w:val="18"/>
          <w:szCs w:val="18"/>
        </w:rPr>
        <w:t xml:space="preserve"> DNP (2018).</w:t>
      </w:r>
    </w:p>
    <w:p w14:paraId="38BA4F9E" w14:textId="77777777" w:rsidR="00EF1D5F" w:rsidRDefault="00EF1D5F" w:rsidP="00425738">
      <w:pPr>
        <w:rPr>
          <w:highlight w:val="white"/>
        </w:rPr>
        <w:sectPr w:rsidR="00EF1D5F" w:rsidSect="00F7078E">
          <w:type w:val="continuous"/>
          <w:pgSz w:w="12240" w:h="15840"/>
          <w:pgMar w:top="2262" w:right="1440" w:bottom="1440" w:left="1440" w:header="708" w:footer="680" w:gutter="0"/>
          <w:cols w:space="720"/>
          <w:docGrid w:linePitch="299"/>
        </w:sectPr>
      </w:pPr>
    </w:p>
    <w:p w14:paraId="63C4C854" w14:textId="77777777" w:rsidR="009C2C7A" w:rsidRDefault="009C2C7A">
      <w:pPr>
        <w:spacing w:line="240" w:lineRule="auto"/>
        <w:jc w:val="left"/>
      </w:pPr>
      <w:r>
        <w:br w:type="page"/>
      </w:r>
    </w:p>
    <w:p w14:paraId="5E8D2F12" w14:textId="0C16DA63" w:rsidR="00EF1D5F" w:rsidRDefault="00EF1D5F" w:rsidP="004F25B9">
      <w:r>
        <w:lastRenderedPageBreak/>
        <w:t xml:space="preserve">La expansión urbana desordenada alrededor de Bogotá, reflejada en la saturación vial, subraya la necesidad de un modelo de desarrollo equilibrado. La región, liderada por Bogotá, concentra, según las cuentas nacionales del DANE (2022), el </w:t>
      </w:r>
      <w:r w:rsidR="009C2C7A">
        <w:t>31</w:t>
      </w:r>
      <w:r>
        <w:rPr>
          <w:rFonts w:ascii="Arial" w:hAnsi="Arial" w:cs="Arial"/>
        </w:rPr>
        <w:t> </w:t>
      </w:r>
      <w:r>
        <w:t>% del producto interno bruto (PIB) nacional, pero mostrando una estructura económica estable a lo largo del tiempo.</w:t>
      </w:r>
    </w:p>
    <w:p w14:paraId="6953BB19" w14:textId="77777777" w:rsidR="00EF1D5F" w:rsidRDefault="00EF1D5F" w:rsidP="004F25B9"/>
    <w:p w14:paraId="4C3DAE0F" w14:textId="77777777" w:rsidR="00EF1D5F" w:rsidRDefault="00EF1D5F" w:rsidP="004F25B9">
      <w:r>
        <w:t>Este análisis sugiere que la planificación y la inversión deben ser estratégicas, equilibrando la concentración económica y las necesidades poblacionales para fomentar un desarrollo regional coherente y sostenible; de ahí la importancia de trabajar en acciones de integración regional que faciliten la búsqueda de construcciones conjuntas involucrando las implicaciones de la urbanización en los suelos rurales y de valor ecosistémico.</w:t>
      </w:r>
    </w:p>
    <w:p w14:paraId="754B5894" w14:textId="77777777" w:rsidR="00EF1D5F" w:rsidRDefault="00EF1D5F" w:rsidP="004F25B9"/>
    <w:p w14:paraId="66920B84" w14:textId="77777777" w:rsidR="00EF1D5F" w:rsidRDefault="00EF1D5F" w:rsidP="004F25B9">
      <w:r>
        <w:t>Lo anterior exalta otro aspecto, que muestra la necesaria relación y confianza con la región, lo cual se demuestra a partir de los datos de SIPSA (DANE-2023), en los que se evidencia que la operación de abastecimiento de alimentos de la ciudad de Bogotá es muy dependiente (en el 83,2</w:t>
      </w:r>
      <w:r>
        <w:rPr>
          <w:rFonts w:ascii="Arial" w:hAnsi="Arial" w:cs="Arial"/>
        </w:rPr>
        <w:t> </w:t>
      </w:r>
      <w:r>
        <w:t xml:space="preserve">%) de los departamentos de la Región </w:t>
      </w:r>
      <w:r>
        <w:t>Central (de la producción de Cundinamarca, con el 42,7</w:t>
      </w:r>
      <w:r>
        <w:rPr>
          <w:rFonts w:ascii="Arial" w:hAnsi="Arial" w:cs="Arial"/>
        </w:rPr>
        <w:t> </w:t>
      </w:r>
      <w:r>
        <w:t>%; la de Boyacá, con el 15,6</w:t>
      </w:r>
      <w:r>
        <w:rPr>
          <w:rFonts w:ascii="Arial" w:hAnsi="Arial" w:cs="Arial"/>
        </w:rPr>
        <w:t> </w:t>
      </w:r>
      <w:r>
        <w:t>%; la de Meta, con el 13,1</w:t>
      </w:r>
      <w:r>
        <w:rPr>
          <w:rFonts w:ascii="Arial" w:hAnsi="Arial" w:cs="Arial"/>
        </w:rPr>
        <w:t> </w:t>
      </w:r>
      <w:r>
        <w:t>%; la de Tolima, con el 3,8</w:t>
      </w:r>
      <w:r>
        <w:rPr>
          <w:rFonts w:ascii="Arial" w:hAnsi="Arial" w:cs="Arial"/>
        </w:rPr>
        <w:t> </w:t>
      </w:r>
      <w:r>
        <w:t>%, y la de Huila, con el 3,0</w:t>
      </w:r>
      <w:r>
        <w:rPr>
          <w:rFonts w:ascii="Arial" w:hAnsi="Arial" w:cs="Arial"/>
        </w:rPr>
        <w:t> </w:t>
      </w:r>
      <w:r>
        <w:t>%). Si bien Bogotá representa la demanda más importante, su capacidad de producción es muy baja con respecto al nivel de consumo; los datos registran el 4,9</w:t>
      </w:r>
      <w:r>
        <w:rPr>
          <w:rFonts w:ascii="Arial" w:hAnsi="Arial" w:cs="Arial"/>
        </w:rPr>
        <w:t> </w:t>
      </w:r>
      <w:r>
        <w:t>%, dato de relevancia frente a un suelo rural que representa el 76,5</w:t>
      </w:r>
      <w:r>
        <w:rPr>
          <w:rFonts w:ascii="Arial" w:hAnsi="Arial" w:cs="Arial"/>
        </w:rPr>
        <w:t> </w:t>
      </w:r>
      <w:r>
        <w:t>% del territorio de Bogotá.</w:t>
      </w:r>
    </w:p>
    <w:p w14:paraId="0BD0BA92" w14:textId="77777777" w:rsidR="00EF1D5F" w:rsidRDefault="00EF1D5F" w:rsidP="004F25B9"/>
    <w:p w14:paraId="619230EE" w14:textId="77777777" w:rsidR="00EF1D5F" w:rsidRPr="002B4CAC" w:rsidRDefault="00EF1D5F" w:rsidP="002B4CAC">
      <w:pPr>
        <w:sectPr w:rsidR="00EF1D5F" w:rsidRPr="002B4CAC" w:rsidSect="00F7078E">
          <w:type w:val="continuous"/>
          <w:pgSz w:w="12240" w:h="15840"/>
          <w:pgMar w:top="2262" w:right="1440" w:bottom="1440" w:left="1440" w:header="708" w:footer="680" w:gutter="0"/>
          <w:cols w:num="2" w:space="567"/>
          <w:docGrid w:linePitch="299"/>
        </w:sectPr>
      </w:pPr>
      <w:r>
        <w:t>En Bogotá y su entorno funcional próximo se concentra, aproximadamente, el 20</w:t>
      </w:r>
      <w:r>
        <w:rPr>
          <w:rFonts w:ascii="Arial" w:hAnsi="Arial" w:cs="Arial"/>
        </w:rPr>
        <w:t> </w:t>
      </w:r>
      <w:r>
        <w:t>% de la población de Colombia (10,2 millones de habitantes) y el 31</w:t>
      </w:r>
      <w:r>
        <w:rPr>
          <w:rFonts w:ascii="Arial" w:hAnsi="Arial" w:cs="Arial"/>
        </w:rPr>
        <w:t> </w:t>
      </w:r>
      <w:r>
        <w:t>% del valor agregado. El Centro de las Naciones Unidas para el Desarrollo Regional (UNCRD &amp; SDP) (2015) argumenta que no solo Bogotá, en su rol como la ciudad con mayor concentración de población y actividad económica del país, ha sido un atractor de movimientos migratorios, sino que en los municipios del entorno cercano las personas han hallado una oferta de suelo y vivienda a unos costos relativamente menores con respecto a Bogotá. Tal como se ha presentado la expansión urbana en la región (IDOM, 2018), se evidencia la necesidad de un modelo que permita balancear las dinámicas de desarrollo en el entorno regional.</w:t>
      </w:r>
    </w:p>
    <w:p w14:paraId="406BF5A6" w14:textId="4C6F7D12" w:rsidR="00EF1D5F" w:rsidRPr="0010046D" w:rsidRDefault="00EF1D5F" w:rsidP="0010046D">
      <w:pPr>
        <w:pStyle w:val="Descripcin"/>
        <w:jc w:val="center"/>
        <w:rPr>
          <w:bCs/>
          <w:sz w:val="18"/>
        </w:rPr>
      </w:pPr>
      <w:bookmarkStart w:id="448" w:name="_Toc165170038"/>
      <w:r w:rsidRPr="0010046D">
        <w:rPr>
          <w:noProof/>
          <w:color w:val="C00000"/>
          <w:sz w:val="18"/>
        </w:rPr>
        <w:lastRenderedPageBreak/>
        <w:drawing>
          <wp:anchor distT="0" distB="0" distL="114300" distR="114300" simplePos="0" relativeHeight="251792384" behindDoc="0" locked="0" layoutInCell="1" allowOverlap="1" wp14:anchorId="4AFF4FE8" wp14:editId="5A3A48F3">
            <wp:simplePos x="0" y="0"/>
            <wp:positionH relativeFrom="margin">
              <wp:align>center</wp:align>
            </wp:positionH>
            <wp:positionV relativeFrom="paragraph">
              <wp:posOffset>192698</wp:posOffset>
            </wp:positionV>
            <wp:extent cx="5645785" cy="3305810"/>
            <wp:effectExtent l="0" t="0" r="0" b="8890"/>
            <wp:wrapSquare wrapText="bothSides"/>
            <wp:docPr id="1511978035" name="image15.png"/>
            <wp:cNvGraphicFramePr/>
            <a:graphic xmlns:a="http://schemas.openxmlformats.org/drawingml/2006/main">
              <a:graphicData uri="http://schemas.openxmlformats.org/drawingml/2006/picture">
                <pic:pic xmlns:pic="http://schemas.openxmlformats.org/drawingml/2006/picture">
                  <pic:nvPicPr>
                    <pic:cNvPr id="1511978035" name="image15.png"/>
                    <pic:cNvPicPr preferRelativeResize="0"/>
                  </pic:nvPicPr>
                  <pic:blipFill>
                    <a:blip r:embed="rId165">
                      <a:extLst>
                        <a:ext uri="{28A0092B-C50C-407E-A947-70E740481C1C}">
                          <a14:useLocalDpi xmlns:a14="http://schemas.microsoft.com/office/drawing/2010/main" val="0"/>
                        </a:ext>
                      </a:extLst>
                    </a:blip>
                    <a:stretch>
                      <a:fillRect/>
                    </a:stretch>
                  </pic:blipFill>
                  <pic:spPr>
                    <a:xfrm>
                      <a:off x="0" y="0"/>
                      <a:ext cx="5645785" cy="3305810"/>
                    </a:xfrm>
                    <a:prstGeom prst="rect">
                      <a:avLst/>
                    </a:prstGeom>
                    <a:ln/>
                    <a:effectLst>
                      <a:softEdge rad="0"/>
                    </a:effectLst>
                  </pic:spPr>
                </pic:pic>
              </a:graphicData>
            </a:graphic>
            <wp14:sizeRelH relativeFrom="page">
              <wp14:pctWidth>0</wp14:pctWidth>
            </wp14:sizeRelH>
            <wp14:sizeRelV relativeFrom="page">
              <wp14:pctHeight>0</wp14:pctHeight>
            </wp14:sizeRelV>
          </wp:anchor>
        </w:drawing>
      </w:r>
      <w:r w:rsidR="0010046D" w:rsidRPr="0010046D">
        <w:rPr>
          <w:color w:val="C00000"/>
          <w:sz w:val="18"/>
        </w:rPr>
        <w:t xml:space="preserve">Mapa </w:t>
      </w:r>
      <w:r w:rsidR="0010046D" w:rsidRPr="0010046D">
        <w:rPr>
          <w:color w:val="C00000"/>
          <w:sz w:val="18"/>
        </w:rPr>
        <w:fldChar w:fldCharType="begin"/>
      </w:r>
      <w:r w:rsidR="0010046D" w:rsidRPr="0010046D">
        <w:rPr>
          <w:color w:val="C00000"/>
          <w:sz w:val="18"/>
        </w:rPr>
        <w:instrText xml:space="preserve"> SEQ Mapa \* ARABIC </w:instrText>
      </w:r>
      <w:r w:rsidR="0010046D" w:rsidRPr="0010046D">
        <w:rPr>
          <w:color w:val="C00000"/>
          <w:sz w:val="18"/>
        </w:rPr>
        <w:fldChar w:fldCharType="separate"/>
      </w:r>
      <w:r w:rsidR="00D01651">
        <w:rPr>
          <w:noProof/>
          <w:color w:val="C00000"/>
          <w:sz w:val="18"/>
        </w:rPr>
        <w:t>14</w:t>
      </w:r>
      <w:r w:rsidR="0010046D" w:rsidRPr="0010046D">
        <w:rPr>
          <w:color w:val="C00000"/>
          <w:sz w:val="18"/>
        </w:rPr>
        <w:fldChar w:fldCharType="end"/>
      </w:r>
      <w:r w:rsidR="0010046D" w:rsidRPr="0010046D">
        <w:rPr>
          <w:color w:val="C00000"/>
          <w:sz w:val="18"/>
        </w:rPr>
        <w:t xml:space="preserve">. </w:t>
      </w:r>
      <w:r w:rsidRPr="0010046D">
        <w:rPr>
          <w:sz w:val="18"/>
        </w:rPr>
        <w:t>Distribución de la población y el valor agregado (2021)</w:t>
      </w:r>
      <w:bookmarkEnd w:id="448"/>
    </w:p>
    <w:p w14:paraId="255AA85D" w14:textId="77777777" w:rsidR="00EF1D5F" w:rsidRPr="00E94B15" w:rsidRDefault="00EF1D5F" w:rsidP="00C80534">
      <w:pPr>
        <w:spacing w:line="480" w:lineRule="auto"/>
        <w:jc w:val="center"/>
      </w:pPr>
      <w:r w:rsidRPr="00C132C6">
        <w:rPr>
          <w:b/>
          <w:bCs/>
          <w:color w:val="3B3838"/>
          <w:sz w:val="18"/>
          <w:szCs w:val="18"/>
        </w:rPr>
        <w:t>Fuente:</w:t>
      </w:r>
      <w:r w:rsidRPr="00C132C6">
        <w:rPr>
          <w:color w:val="3B3838"/>
          <w:sz w:val="18"/>
          <w:szCs w:val="18"/>
        </w:rPr>
        <w:t xml:space="preserve"> ODUR, con base en información del Sistema de Cuentas Nacionales y proyecciones de población del DANE.</w:t>
      </w:r>
    </w:p>
    <w:p w14:paraId="21F9CCC2" w14:textId="77777777" w:rsidR="00EF1D5F" w:rsidRDefault="00EF1D5F" w:rsidP="00866B5D">
      <w:pPr>
        <w:sectPr w:rsidR="00EF1D5F" w:rsidSect="00F7078E">
          <w:type w:val="continuous"/>
          <w:pgSz w:w="12240" w:h="15840"/>
          <w:pgMar w:top="2262" w:right="1440" w:bottom="1440" w:left="1440" w:header="708" w:footer="680" w:gutter="0"/>
          <w:cols w:space="720"/>
          <w:docGrid w:linePitch="299"/>
        </w:sectPr>
      </w:pPr>
    </w:p>
    <w:p w14:paraId="0730E135" w14:textId="77777777" w:rsidR="00EF1D5F" w:rsidRPr="00866B5D" w:rsidRDefault="00EF1D5F" w:rsidP="00866B5D">
      <w:pPr>
        <w:rPr>
          <w:spacing w:val="-6"/>
        </w:rPr>
      </w:pPr>
      <w:r w:rsidRPr="00866B5D">
        <w:rPr>
          <w:spacing w:val="-6"/>
        </w:rPr>
        <w:t xml:space="preserve">Por lo tanto, asuntos con una representación espacial tan explícita como la expansión urbana y las condiciones de movilidad, que tienen implicaciones en el desarrollo económico de la región, requieren soluciones articuladas entre Bogotá y su entorno regional, así como en las áreas temáticas de las </w:t>
      </w:r>
      <w:r w:rsidRPr="00866B5D">
        <w:rPr>
          <w:spacing w:val="-6"/>
        </w:rPr>
        <w:t>regiones en las que tiene participación Bogotá. En tal sentido, resaltan: movilidad; ordenamiento territorial; abastecimiento; logística; seguridad alimentaria; servicios públicos; ambiente; seguridad y convivencia ciudadana, y desarrollo económico, entre otras.</w:t>
      </w:r>
    </w:p>
    <w:p w14:paraId="793C609A" w14:textId="77777777" w:rsidR="00EF1D5F" w:rsidRDefault="00EF1D5F" w:rsidP="005D5A4A">
      <w:pPr>
        <w:spacing w:line="480" w:lineRule="auto"/>
        <w:rPr>
          <w:rFonts w:ascii="Times New Roman" w:hAnsi="Times New Roman"/>
          <w:sz w:val="24"/>
          <w:highlight w:val="white"/>
        </w:rPr>
        <w:sectPr w:rsidR="00EF1D5F" w:rsidSect="00F7078E">
          <w:type w:val="continuous"/>
          <w:pgSz w:w="12240" w:h="15840"/>
          <w:pgMar w:top="2262" w:right="1440" w:bottom="1440" w:left="1440" w:header="708" w:footer="680" w:gutter="0"/>
          <w:cols w:num="2" w:space="567"/>
          <w:docGrid w:linePitch="299"/>
        </w:sectPr>
      </w:pPr>
    </w:p>
    <w:p w14:paraId="1C52F68C" w14:textId="77777777" w:rsidR="00EF1D5F" w:rsidRPr="00B944E8" w:rsidRDefault="00EF1D5F" w:rsidP="005D5A4A">
      <w:pPr>
        <w:spacing w:line="480" w:lineRule="auto"/>
        <w:rPr>
          <w:rFonts w:ascii="Times New Roman" w:hAnsi="Times New Roman"/>
          <w:sz w:val="24"/>
          <w:highlight w:val="white"/>
        </w:rPr>
      </w:pPr>
    </w:p>
    <w:p w14:paraId="35C9236A" w14:textId="3EFD04B4" w:rsidR="00EF1D5F" w:rsidRPr="007A5B78" w:rsidRDefault="00EF1D5F" w:rsidP="007A5B78">
      <w:pPr>
        <w:ind w:firstLine="708"/>
        <w:rPr>
          <w:b/>
          <w:bCs/>
          <w:color w:val="C00000"/>
          <w:szCs w:val="28"/>
        </w:rPr>
      </w:pPr>
      <w:r w:rsidRPr="007A5B78">
        <w:rPr>
          <w:b/>
          <w:bCs/>
          <w:sz w:val="24"/>
          <w:szCs w:val="28"/>
        </w:rPr>
        <w:t>Descripción</w:t>
      </w:r>
      <w:r w:rsidRPr="007A5B78">
        <w:rPr>
          <w:b/>
          <w:bCs/>
          <w:sz w:val="24"/>
          <w:szCs w:val="32"/>
        </w:rPr>
        <w:t xml:space="preserve"> del programa</w:t>
      </w:r>
    </w:p>
    <w:p w14:paraId="00606916" w14:textId="77777777" w:rsidR="00EF1D5F" w:rsidRDefault="00EF1D5F" w:rsidP="00425738">
      <w:pPr>
        <w:rPr>
          <w:highlight w:val="white"/>
        </w:rPr>
        <w:sectPr w:rsidR="00EF1D5F" w:rsidSect="00F7078E">
          <w:type w:val="continuous"/>
          <w:pgSz w:w="12240" w:h="15840"/>
          <w:pgMar w:top="2262" w:right="1440" w:bottom="1440" w:left="1440" w:header="708" w:footer="680" w:gutter="0"/>
          <w:cols w:space="720"/>
          <w:docGrid w:linePitch="299"/>
        </w:sectPr>
      </w:pPr>
    </w:p>
    <w:p w14:paraId="0DAC20BA" w14:textId="77777777" w:rsidR="00EF1D5F" w:rsidRDefault="00EF1D5F" w:rsidP="00A0786C">
      <w:r>
        <w:t xml:space="preserve">Con este programa, Bogotá desarrollará un esquema de gobernanza, coordinación e integración multinivel para promover la gestión de las acciones sectoriales en todos los componentes de relacionamiento social, económico, productivo, ambiental y territorial para el desarrollo funcional de la ciudad y sus pares regionales en los territorios urbano y rural, mediante la coordinación con los diferentes sectores y niveles de Gobierno distrital, los gobiernos de los municipios de Cundinamarca, la Gobernación de Cundinamarca y las figuras asociativas a las que pertenece Bogotá (RAP-E, RMBC, Asocapitales), así </w:t>
      </w:r>
      <w:r>
        <w:t>como las entidades del orden nacional que aborden la dinámica territorial del entorno distrital.</w:t>
      </w:r>
    </w:p>
    <w:p w14:paraId="1F7027BC" w14:textId="77777777" w:rsidR="00EF1D5F" w:rsidRDefault="00EF1D5F" w:rsidP="00A0786C">
      <w:pPr>
        <w:rPr>
          <w:b/>
        </w:rPr>
      </w:pPr>
    </w:p>
    <w:p w14:paraId="2CB126EE" w14:textId="77777777" w:rsidR="00EF1D5F" w:rsidRDefault="00EF1D5F" w:rsidP="00A0786C">
      <w:r>
        <w:t>Se crearán mecanismos para la articulación de iniciativas públicas, privadas y comunitarias con perspectiva regional, mediante espacios de articulación institucional, fomentando la participación de todos los actores, generando espacios de comunicación y conocimiento de las agendas específicas y generales y generando un marco institucional y operativo que motive la colaboración multinivel con confianza y seguridad institucional.</w:t>
      </w:r>
    </w:p>
    <w:p w14:paraId="232F3707" w14:textId="77777777" w:rsidR="00EF1D5F" w:rsidRDefault="00EF1D5F" w:rsidP="00A0786C">
      <w:pPr>
        <w:rPr>
          <w:b/>
        </w:rPr>
      </w:pPr>
    </w:p>
    <w:p w14:paraId="655ED4B8" w14:textId="77777777" w:rsidR="00EF1D5F" w:rsidRDefault="00EF1D5F" w:rsidP="00A0786C">
      <w:r>
        <w:lastRenderedPageBreak/>
        <w:t>Se fortalecerán los instrumentos de soporte técnico para la toma informada de decisiones estratégicas a nivel regional, y se generarán los canales de comunicación a través de la participación de diversos espacios para el conocimiento y construcción colectiva de conocimiento sobre las temáticas relevantes en materia de integración regional y las condiciones funcionales del desarrollo del territorio.</w:t>
      </w:r>
    </w:p>
    <w:p w14:paraId="02137422" w14:textId="77777777" w:rsidR="00EF1D5F" w:rsidRDefault="00EF1D5F" w:rsidP="00A0786C">
      <w:pPr>
        <w:rPr>
          <w:b/>
        </w:rPr>
      </w:pPr>
    </w:p>
    <w:p w14:paraId="3F5AF54C" w14:textId="77777777" w:rsidR="00EF1D5F" w:rsidRDefault="00EF1D5F" w:rsidP="00A0786C">
      <w:r>
        <w:t>Adicionalmente, se promoverá la conformación y consolidación del Ágora Metropolitana de la RMBC. Este será un espacio virtual de participación a través del cual la ciudadanía bogotana y de la región podrán participar y co-crear, deliberar y hacer seguimiento a las iniciativas y hechos metropolitanos.</w:t>
      </w:r>
    </w:p>
    <w:p w14:paraId="1F814040" w14:textId="77777777" w:rsidR="00EF1D5F" w:rsidRDefault="00EF1D5F" w:rsidP="00A0786C"/>
    <w:p w14:paraId="3C8AA759" w14:textId="77777777" w:rsidR="00EF1D5F" w:rsidRDefault="00EF1D5F" w:rsidP="00A0786C">
      <w:r>
        <w:t>Se creará el sistema de información de iniciativas de impacto regional, el cual permitirá identificar y hacer seguimiento a las dinámicas regionales que afecten a Bogotá, así como identificar, involucrar y articular a todas las entidades del Distrito Capital que deban participar en el desarrollo de los proyectos regionales.</w:t>
      </w:r>
    </w:p>
    <w:p w14:paraId="2E42E1D7" w14:textId="77777777" w:rsidR="00EF1D5F" w:rsidRDefault="00EF1D5F" w:rsidP="00A0786C"/>
    <w:p w14:paraId="56DECD25" w14:textId="77777777" w:rsidR="00EF1D5F" w:rsidRDefault="00EF1D5F" w:rsidP="00A0786C">
      <w:r>
        <w:t>Esto obedece a que Bogotá enfrenta el desafío de alinear los intereses y las necesidades de una población diversa y en crecimiento con los de su entorno funcional. El éxito de este programa guarda relación con la capacidad distrital para formular un marco jurídico sólido que respalde la coordinación e integración multinivel permitiendo una planificación y ejecución de proyectos conjunta y eficaz.</w:t>
      </w:r>
    </w:p>
    <w:p w14:paraId="3C70EEB1" w14:textId="77777777" w:rsidR="00EF1D5F" w:rsidRDefault="00EF1D5F" w:rsidP="00A0786C">
      <w:pPr>
        <w:rPr>
          <w:b/>
        </w:rPr>
      </w:pPr>
    </w:p>
    <w:p w14:paraId="5381C581" w14:textId="77777777" w:rsidR="00EF1D5F" w:rsidRDefault="00EF1D5F" w:rsidP="00A0786C">
      <w:r>
        <w:t xml:space="preserve">Para avanzar hacia una gobernanza multinivel efectiva, el programa prioriza el establecimiento de estructuras legales y operativas que faciliten la toma colaborativa de decisiones. Esto implica la construcción de canales de comunicación entre las distintas entidades gubernamentales, así como entre estas y los esquemas asociativos en los que Bogotá participa, promoviendo una cultura de colaboración y entendimiento mutuo. El enfoque estará en </w:t>
      </w:r>
      <w:r>
        <w:t>superar las barreras administrativas y jurídicas que han obstaculizado la cooperación en el pasado estableciendo un terreno común para el diálogo y la acción conjunta.</w:t>
      </w:r>
    </w:p>
    <w:p w14:paraId="3482D176" w14:textId="77777777" w:rsidR="00EF1D5F" w:rsidRDefault="00EF1D5F" w:rsidP="00A0786C">
      <w:pPr>
        <w:rPr>
          <w:b/>
        </w:rPr>
      </w:pPr>
    </w:p>
    <w:p w14:paraId="19AA6F6A" w14:textId="77777777" w:rsidR="00EF1D5F" w:rsidRDefault="00EF1D5F" w:rsidP="00A0786C">
      <w:r>
        <w:t>La integración de las agendas de desarrollo de Bogotá con las de los entes territoriales de los distintos niveles de relacionamiento es fundamental para abordar eficazmente los desafíos comunes, como la movilidad, el desarrollo económico, la seguridad alimentaria, la seguridad integral y la gestión ambiental. Mediante el fortalecimiento de la coordinación intra e interterritorial, se busca maximizar los recursos, compartir conocimientos y estrategias, y alinear los esfuerzos de desarrollo para beneficio de todas las partes involucradas.</w:t>
      </w:r>
    </w:p>
    <w:p w14:paraId="3A80FD4A" w14:textId="77777777" w:rsidR="00EF1D5F" w:rsidRDefault="00EF1D5F" w:rsidP="00A0786C">
      <w:pPr>
        <w:rPr>
          <w:b/>
        </w:rPr>
      </w:pPr>
    </w:p>
    <w:p w14:paraId="0181DA2D" w14:textId="77777777" w:rsidR="00EF1D5F" w:rsidRDefault="00EF1D5F" w:rsidP="00A0786C">
      <w:r>
        <w:t>Bogotá transformará, con este programa, la forma como enfrenta los procesos de interacción y colaboración con sus pares regionales, para pasar a una relación caracterizada por la coordinación, la sinergia y la cooperación estratégica que evidencien la construcción de una confianza regional. Para lograrlo, los esfuerzos estarán centrados en la identificación y superación de las brechas de comunicación, la armonización de políticas y la facilitación de un enfoque cohesivo para la planificación regional.</w:t>
      </w:r>
    </w:p>
    <w:p w14:paraId="6D9B9F1A" w14:textId="77777777" w:rsidR="00EF1D5F" w:rsidRDefault="00EF1D5F" w:rsidP="00A0786C">
      <w:pPr>
        <w:rPr>
          <w:b/>
        </w:rPr>
      </w:pPr>
    </w:p>
    <w:p w14:paraId="06338F7A" w14:textId="77777777" w:rsidR="00EF1D5F" w:rsidRDefault="00EF1D5F" w:rsidP="00A0786C">
      <w:r>
        <w:t>El proceso de fortalecimiento de la coordinación multinivel se basa en el entendimiento de que cada entidad, ya sea dentro de Bogotá o fuera, en suelo urbano o rural, tiene roles y responsabilidades únicos, pero complementarios. El reconocimiento de estas funciones y la creación de canales para su integración efectiva son cruciales. Se hará énfasis en mecanismos de coordinación que permitan una comunicación fluida y constante evitando la duplicación de esfuerzos y asegurando el uso óptimo de los recursos disponibles, y articulando las diversas dimensiones y mandatos de las normas sectoriales de superior jerarquía.</w:t>
      </w:r>
    </w:p>
    <w:p w14:paraId="0313F10C" w14:textId="77777777" w:rsidR="00EF1D5F" w:rsidRDefault="00EF1D5F" w:rsidP="00A0786C">
      <w:pPr>
        <w:rPr>
          <w:b/>
        </w:rPr>
      </w:pPr>
    </w:p>
    <w:p w14:paraId="3D35C2AC" w14:textId="2FBEF358" w:rsidR="00EF1D5F" w:rsidRPr="00C51728" w:rsidRDefault="00EF1D5F" w:rsidP="00A0786C">
      <w:bookmarkStart w:id="449" w:name="_heading=h.kmkoy8cnigkc" w:colFirst="0" w:colLast="0"/>
      <w:bookmarkEnd w:id="449"/>
      <w:r>
        <w:lastRenderedPageBreak/>
        <w:t xml:space="preserve">Por ello, se implementarán plataformas de coordinación como comités, mesas de trabajo y foros de diálogo, donde representantes de los distintos niveles de Gobierno y sectores puedan reunirse regularmente para discutir y alinear sus </w:t>
      </w:r>
      <w:r>
        <w:t>actividades de desarrollo. Estos espacios contarán con el apoyo de sistemas de información y comunicación eficientes que permitan un seguimiento continuo de las actividades y el progreso hacia los objetivos comunes.</w:t>
      </w:r>
    </w:p>
    <w:p w14:paraId="527A0C9C" w14:textId="77777777" w:rsidR="00EF1D5F" w:rsidRDefault="00EF1D5F" w:rsidP="00425738">
      <w:pPr>
        <w:rPr>
          <w:highlight w:val="white"/>
        </w:rPr>
        <w:sectPr w:rsidR="00EF1D5F" w:rsidSect="00F7078E">
          <w:type w:val="continuous"/>
          <w:pgSz w:w="12240" w:h="15840"/>
          <w:pgMar w:top="2262" w:right="1440" w:bottom="1440" w:left="1440" w:header="708" w:footer="680" w:gutter="0"/>
          <w:cols w:num="2" w:space="567"/>
          <w:docGrid w:linePitch="299"/>
        </w:sectPr>
      </w:pPr>
    </w:p>
    <w:p w14:paraId="2F42AB7E" w14:textId="77777777" w:rsidR="00EF1D5F" w:rsidRDefault="00EF1D5F" w:rsidP="00425738">
      <w:pPr>
        <w:rPr>
          <w:highlight w:val="white"/>
        </w:rPr>
      </w:pPr>
    </w:p>
    <w:p w14:paraId="2BB9CD0D" w14:textId="6E17B8DD" w:rsidR="00EF1D5F" w:rsidRPr="00EF6A19" w:rsidRDefault="006A32DC" w:rsidP="006A32DC">
      <w:pPr>
        <w:pStyle w:val="Descripcin"/>
        <w:jc w:val="center"/>
        <w:rPr>
          <w:color w:val="000000" w:themeColor="text1"/>
          <w:sz w:val="18"/>
        </w:rPr>
      </w:pPr>
      <w:bookmarkStart w:id="450" w:name="_Toc165169970"/>
      <w:r w:rsidRPr="00EF6A19">
        <w:rPr>
          <w:color w:val="C00000"/>
          <w:sz w:val="18"/>
        </w:rPr>
        <w:t xml:space="preserve">Tabla </w:t>
      </w:r>
      <w:r w:rsidRPr="00EF6A19">
        <w:rPr>
          <w:color w:val="C00000"/>
          <w:sz w:val="18"/>
        </w:rPr>
        <w:fldChar w:fldCharType="begin"/>
      </w:r>
      <w:r w:rsidRPr="00EF6A19">
        <w:rPr>
          <w:color w:val="C00000"/>
          <w:sz w:val="18"/>
        </w:rPr>
        <w:instrText xml:space="preserve"> SEQ Tabla \* ARABIC </w:instrText>
      </w:r>
      <w:r w:rsidRPr="00EF6A19">
        <w:rPr>
          <w:color w:val="C00000"/>
          <w:sz w:val="18"/>
        </w:rPr>
        <w:fldChar w:fldCharType="separate"/>
      </w:r>
      <w:r w:rsidR="00D01651">
        <w:rPr>
          <w:noProof/>
          <w:color w:val="C00000"/>
          <w:sz w:val="18"/>
        </w:rPr>
        <w:t>60</w:t>
      </w:r>
      <w:r w:rsidRPr="00EF6A19">
        <w:rPr>
          <w:color w:val="C00000"/>
          <w:sz w:val="18"/>
        </w:rPr>
        <w:fldChar w:fldCharType="end"/>
      </w:r>
      <w:r w:rsidRPr="00EF6A19">
        <w:rPr>
          <w:color w:val="C00000"/>
          <w:sz w:val="18"/>
        </w:rPr>
        <w:t xml:space="preserve">. </w:t>
      </w:r>
      <w:r w:rsidR="00EF1D5F" w:rsidRPr="00EF6A19">
        <w:rPr>
          <w:color w:val="000000" w:themeColor="text1"/>
          <w:sz w:val="18"/>
        </w:rPr>
        <w:t>Metas del programa</w:t>
      </w:r>
      <w:r w:rsidRPr="00EF6A19">
        <w:rPr>
          <w:color w:val="000000" w:themeColor="text1"/>
          <w:sz w:val="18"/>
        </w:rPr>
        <w:t xml:space="preserve"> 37:</w:t>
      </w:r>
      <w:r w:rsidR="00EF1D5F" w:rsidRPr="00EF6A19">
        <w:rPr>
          <w:color w:val="000000" w:themeColor="text1"/>
          <w:sz w:val="18"/>
        </w:rPr>
        <w:t xml:space="preserve"> Construyendo confianza con la región</w:t>
      </w:r>
      <w:bookmarkEnd w:id="450"/>
    </w:p>
    <w:tbl>
      <w:tblPr>
        <w:tblW w:w="936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783"/>
        <w:gridCol w:w="1270"/>
        <w:gridCol w:w="1287"/>
        <w:gridCol w:w="1333"/>
        <w:gridCol w:w="1344"/>
        <w:gridCol w:w="1343"/>
      </w:tblGrid>
      <w:tr w:rsidR="00EF6A19" w:rsidRPr="00D34671" w14:paraId="38EF879D" w14:textId="77777777" w:rsidTr="00EF6A19">
        <w:tc>
          <w:tcPr>
            <w:tcW w:w="0" w:type="auto"/>
            <w:vMerge w:val="restart"/>
            <w:shd w:val="clear" w:color="auto" w:fill="C00000"/>
            <w:tcMar>
              <w:top w:w="30" w:type="dxa"/>
              <w:left w:w="45" w:type="dxa"/>
              <w:bottom w:w="30" w:type="dxa"/>
              <w:right w:w="45" w:type="dxa"/>
            </w:tcMar>
            <w:vAlign w:val="center"/>
            <w:hideMark/>
          </w:tcPr>
          <w:p w14:paraId="3044ADF1" w14:textId="77777777" w:rsidR="00EF6A19" w:rsidRPr="00D34671" w:rsidRDefault="00EF6A19" w:rsidP="00AA4BBB">
            <w:pPr>
              <w:jc w:val="center"/>
              <w:rPr>
                <w:rFonts w:cs="Arial"/>
                <w:b/>
                <w:bCs/>
                <w:color w:val="FFFFFF"/>
                <w:sz w:val="24"/>
              </w:rPr>
            </w:pPr>
            <w:bookmarkStart w:id="451" w:name="_heading=h.9ifinagdi7nf" w:colFirst="0" w:colLast="0"/>
            <w:bookmarkEnd w:id="451"/>
            <w:r w:rsidRPr="00D34671">
              <w:rPr>
                <w:rFonts w:cs="Arial"/>
                <w:b/>
                <w:bCs/>
                <w:color w:val="FFFFFF"/>
                <w:sz w:val="24"/>
              </w:rPr>
              <w:t>SECTOR / Metas</w:t>
            </w:r>
          </w:p>
        </w:tc>
        <w:tc>
          <w:tcPr>
            <w:tcW w:w="0" w:type="auto"/>
            <w:gridSpan w:val="5"/>
            <w:shd w:val="clear" w:color="auto" w:fill="C00000"/>
            <w:tcMar>
              <w:top w:w="30" w:type="dxa"/>
              <w:left w:w="45" w:type="dxa"/>
              <w:bottom w:w="30" w:type="dxa"/>
              <w:right w:w="45" w:type="dxa"/>
            </w:tcMar>
            <w:vAlign w:val="center"/>
            <w:hideMark/>
          </w:tcPr>
          <w:p w14:paraId="55D1B8F0" w14:textId="77777777" w:rsidR="00EF6A19" w:rsidRDefault="00EF6A19" w:rsidP="00AA4BBB">
            <w:pPr>
              <w:jc w:val="center"/>
              <w:rPr>
                <w:rFonts w:cs="Arial"/>
                <w:b/>
                <w:bCs/>
                <w:color w:val="FFFFFF"/>
                <w:sz w:val="24"/>
              </w:rPr>
            </w:pPr>
            <w:r w:rsidRPr="00237369">
              <w:rPr>
                <w:rFonts w:cs="Arial"/>
                <w:b/>
                <w:bCs/>
                <w:color w:val="FFFFFF"/>
                <w:sz w:val="24"/>
              </w:rPr>
              <w:t xml:space="preserve">Magnitudes e </w:t>
            </w:r>
            <w:r w:rsidRPr="00D34671">
              <w:rPr>
                <w:rFonts w:cs="Arial"/>
                <w:b/>
                <w:bCs/>
                <w:color w:val="FFFFFF"/>
                <w:sz w:val="24"/>
              </w:rPr>
              <w:t xml:space="preserve">Inversión </w:t>
            </w:r>
          </w:p>
          <w:p w14:paraId="69B0A67A" w14:textId="77777777" w:rsidR="00EF6A19" w:rsidRPr="00D34671" w:rsidRDefault="00EF6A19" w:rsidP="00AA4BBB">
            <w:pPr>
              <w:jc w:val="center"/>
              <w:rPr>
                <w:rFonts w:cs="Arial"/>
                <w:b/>
                <w:bCs/>
                <w:color w:val="FFFFFF"/>
                <w:sz w:val="24"/>
              </w:rPr>
            </w:pPr>
            <w:r w:rsidRPr="006E2B6C">
              <w:rPr>
                <w:rFonts w:cs="Arial"/>
                <w:b/>
                <w:bCs/>
                <w:color w:val="FFFFFF"/>
                <w:szCs w:val="20"/>
              </w:rPr>
              <w:t>(Precios Constantes 2024)</w:t>
            </w:r>
          </w:p>
        </w:tc>
      </w:tr>
      <w:tr w:rsidR="00EF6A19" w:rsidRPr="00D34671" w14:paraId="54DE5492" w14:textId="77777777" w:rsidTr="00EF6A19">
        <w:tc>
          <w:tcPr>
            <w:tcW w:w="0" w:type="auto"/>
            <w:vMerge/>
            <w:vAlign w:val="center"/>
            <w:hideMark/>
          </w:tcPr>
          <w:p w14:paraId="58325E16" w14:textId="77777777" w:rsidR="00EF6A19" w:rsidRPr="00D34671" w:rsidRDefault="00EF6A19" w:rsidP="00AA4BBB">
            <w:pPr>
              <w:rPr>
                <w:rFonts w:cs="Arial"/>
                <w:b/>
                <w:bCs/>
                <w:color w:val="FFFFFF"/>
                <w:sz w:val="24"/>
              </w:rPr>
            </w:pPr>
          </w:p>
        </w:tc>
        <w:tc>
          <w:tcPr>
            <w:tcW w:w="0" w:type="auto"/>
            <w:shd w:val="clear" w:color="auto" w:fill="D9D9D9"/>
            <w:tcMar>
              <w:top w:w="30" w:type="dxa"/>
              <w:left w:w="45" w:type="dxa"/>
              <w:bottom w:w="30" w:type="dxa"/>
              <w:right w:w="45" w:type="dxa"/>
            </w:tcMar>
            <w:vAlign w:val="center"/>
            <w:hideMark/>
          </w:tcPr>
          <w:p w14:paraId="1F5059D8" w14:textId="77777777" w:rsidR="00EF6A19" w:rsidRPr="00D34671" w:rsidRDefault="00EF6A19" w:rsidP="00AA4BBB">
            <w:pPr>
              <w:jc w:val="center"/>
              <w:rPr>
                <w:rFonts w:cs="Arial"/>
                <w:b/>
                <w:bCs/>
                <w:szCs w:val="20"/>
              </w:rPr>
            </w:pPr>
            <w:r w:rsidRPr="00D34671">
              <w:rPr>
                <w:rFonts w:cs="Arial"/>
                <w:b/>
                <w:bCs/>
                <w:szCs w:val="20"/>
              </w:rPr>
              <w:t>2024</w:t>
            </w:r>
          </w:p>
        </w:tc>
        <w:tc>
          <w:tcPr>
            <w:tcW w:w="0" w:type="auto"/>
            <w:shd w:val="clear" w:color="auto" w:fill="D9D9D9"/>
            <w:tcMar>
              <w:top w:w="30" w:type="dxa"/>
              <w:left w:w="45" w:type="dxa"/>
              <w:bottom w:w="30" w:type="dxa"/>
              <w:right w:w="45" w:type="dxa"/>
            </w:tcMar>
            <w:vAlign w:val="center"/>
            <w:hideMark/>
          </w:tcPr>
          <w:p w14:paraId="689383DD" w14:textId="77777777" w:rsidR="00EF6A19" w:rsidRPr="00D34671" w:rsidRDefault="00EF6A19" w:rsidP="00AA4BBB">
            <w:pPr>
              <w:jc w:val="center"/>
              <w:rPr>
                <w:rFonts w:cs="Arial"/>
                <w:b/>
                <w:bCs/>
                <w:szCs w:val="20"/>
              </w:rPr>
            </w:pPr>
            <w:r w:rsidRPr="00D34671">
              <w:rPr>
                <w:rFonts w:cs="Arial"/>
                <w:b/>
                <w:bCs/>
                <w:szCs w:val="20"/>
              </w:rPr>
              <w:t>2025</w:t>
            </w:r>
          </w:p>
        </w:tc>
        <w:tc>
          <w:tcPr>
            <w:tcW w:w="0" w:type="auto"/>
            <w:shd w:val="clear" w:color="auto" w:fill="D9D9D9"/>
            <w:tcMar>
              <w:top w:w="30" w:type="dxa"/>
              <w:left w:w="45" w:type="dxa"/>
              <w:bottom w:w="30" w:type="dxa"/>
              <w:right w:w="45" w:type="dxa"/>
            </w:tcMar>
            <w:vAlign w:val="center"/>
            <w:hideMark/>
          </w:tcPr>
          <w:p w14:paraId="7E36B1AA" w14:textId="77777777" w:rsidR="00EF6A19" w:rsidRPr="00D34671" w:rsidRDefault="00EF6A19" w:rsidP="00AA4BBB">
            <w:pPr>
              <w:jc w:val="center"/>
              <w:rPr>
                <w:rFonts w:cs="Arial"/>
                <w:b/>
                <w:bCs/>
                <w:szCs w:val="20"/>
              </w:rPr>
            </w:pPr>
            <w:r w:rsidRPr="00D34671">
              <w:rPr>
                <w:rFonts w:cs="Arial"/>
                <w:b/>
                <w:bCs/>
                <w:szCs w:val="20"/>
              </w:rPr>
              <w:t>2026</w:t>
            </w:r>
          </w:p>
        </w:tc>
        <w:tc>
          <w:tcPr>
            <w:tcW w:w="0" w:type="auto"/>
            <w:shd w:val="clear" w:color="auto" w:fill="D9D9D9"/>
            <w:tcMar>
              <w:top w:w="30" w:type="dxa"/>
              <w:left w:w="45" w:type="dxa"/>
              <w:bottom w:w="30" w:type="dxa"/>
              <w:right w:w="45" w:type="dxa"/>
            </w:tcMar>
            <w:vAlign w:val="center"/>
            <w:hideMark/>
          </w:tcPr>
          <w:p w14:paraId="134AB4AE" w14:textId="77777777" w:rsidR="00EF6A19" w:rsidRPr="00D34671" w:rsidRDefault="00EF6A19" w:rsidP="00AA4BBB">
            <w:pPr>
              <w:jc w:val="center"/>
              <w:rPr>
                <w:rFonts w:cs="Arial"/>
                <w:b/>
                <w:bCs/>
                <w:szCs w:val="20"/>
              </w:rPr>
            </w:pPr>
            <w:r w:rsidRPr="00D34671">
              <w:rPr>
                <w:rFonts w:cs="Arial"/>
                <w:b/>
                <w:bCs/>
                <w:szCs w:val="20"/>
              </w:rPr>
              <w:t>2027</w:t>
            </w:r>
          </w:p>
        </w:tc>
        <w:tc>
          <w:tcPr>
            <w:tcW w:w="0" w:type="auto"/>
            <w:shd w:val="clear" w:color="auto" w:fill="D9D9D9"/>
            <w:tcMar>
              <w:top w:w="30" w:type="dxa"/>
              <w:left w:w="45" w:type="dxa"/>
              <w:bottom w:w="30" w:type="dxa"/>
              <w:right w:w="45" w:type="dxa"/>
            </w:tcMar>
            <w:vAlign w:val="center"/>
            <w:hideMark/>
          </w:tcPr>
          <w:p w14:paraId="34023CAC" w14:textId="77777777" w:rsidR="00EF6A19" w:rsidRPr="00D34671" w:rsidRDefault="00EF6A19" w:rsidP="00AA4BBB">
            <w:pPr>
              <w:jc w:val="center"/>
              <w:rPr>
                <w:rFonts w:cs="Arial"/>
                <w:b/>
                <w:bCs/>
                <w:szCs w:val="20"/>
              </w:rPr>
            </w:pPr>
            <w:r w:rsidRPr="00D34671">
              <w:rPr>
                <w:rFonts w:cs="Arial"/>
                <w:b/>
                <w:bCs/>
                <w:szCs w:val="20"/>
              </w:rPr>
              <w:t>Total Inversión</w:t>
            </w:r>
          </w:p>
        </w:tc>
      </w:tr>
      <w:tr w:rsidR="00EF6A19" w:rsidRPr="00D34671" w14:paraId="122CC1B4" w14:textId="77777777" w:rsidTr="00EF6A19">
        <w:tc>
          <w:tcPr>
            <w:tcW w:w="0" w:type="auto"/>
            <w:gridSpan w:val="6"/>
            <w:shd w:val="clear" w:color="auto" w:fill="C00000"/>
            <w:tcMar>
              <w:top w:w="30" w:type="dxa"/>
              <w:left w:w="45" w:type="dxa"/>
              <w:bottom w:w="30" w:type="dxa"/>
              <w:right w:w="45" w:type="dxa"/>
            </w:tcMar>
            <w:vAlign w:val="center"/>
            <w:hideMark/>
          </w:tcPr>
          <w:p w14:paraId="705F46D1" w14:textId="77777777" w:rsidR="00EF6A19" w:rsidRPr="00D34671" w:rsidRDefault="00EF6A19" w:rsidP="00AA4BBB">
            <w:pPr>
              <w:jc w:val="center"/>
              <w:rPr>
                <w:rFonts w:cs="Arial"/>
                <w:b/>
                <w:bCs/>
                <w:szCs w:val="20"/>
              </w:rPr>
            </w:pPr>
            <w:r w:rsidRPr="00022ED4">
              <w:rPr>
                <w:rFonts w:cs="Arial"/>
                <w:b/>
                <w:bCs/>
                <w:color w:val="FFFFFF" w:themeColor="background1"/>
                <w:szCs w:val="20"/>
              </w:rPr>
              <w:t>Planeación</w:t>
            </w:r>
          </w:p>
        </w:tc>
      </w:tr>
      <w:tr w:rsidR="00EF6A19" w:rsidRPr="00D34671" w14:paraId="28AF4EA6" w14:textId="77777777" w:rsidTr="00EF6A19">
        <w:tc>
          <w:tcPr>
            <w:tcW w:w="0" w:type="auto"/>
            <w:vMerge w:val="restart"/>
            <w:tcMar>
              <w:top w:w="30" w:type="dxa"/>
              <w:left w:w="45" w:type="dxa"/>
              <w:bottom w:w="30" w:type="dxa"/>
              <w:right w:w="45" w:type="dxa"/>
            </w:tcMar>
            <w:vAlign w:val="center"/>
            <w:hideMark/>
          </w:tcPr>
          <w:p w14:paraId="5A0FE0F1" w14:textId="77777777" w:rsidR="00EF6A19" w:rsidRPr="00D34671" w:rsidRDefault="00EF6A19" w:rsidP="00AA4BBB">
            <w:pPr>
              <w:rPr>
                <w:rFonts w:cs="Arial"/>
                <w:szCs w:val="20"/>
              </w:rPr>
            </w:pPr>
            <w:r w:rsidRPr="00D34671">
              <w:rPr>
                <w:rFonts w:cs="Arial"/>
                <w:szCs w:val="20"/>
              </w:rPr>
              <w:t>Desarrollar el 100% del plan estratégico de coordinación y articulación regional al interior del distrito (sectores y entidades) así como con los diferentes esquemas de asociatividad multinivel (RMBC RAPE ASOCAPITALES).</w:t>
            </w:r>
          </w:p>
        </w:tc>
        <w:tc>
          <w:tcPr>
            <w:tcW w:w="0" w:type="auto"/>
            <w:tcMar>
              <w:top w:w="30" w:type="dxa"/>
              <w:left w:w="45" w:type="dxa"/>
              <w:bottom w:w="30" w:type="dxa"/>
              <w:right w:w="45" w:type="dxa"/>
            </w:tcMar>
            <w:vAlign w:val="center"/>
            <w:hideMark/>
          </w:tcPr>
          <w:p w14:paraId="2E35737D" w14:textId="77777777" w:rsidR="00EF6A19" w:rsidRPr="00D34671" w:rsidRDefault="00EF6A19" w:rsidP="00AA4BBB">
            <w:pPr>
              <w:jc w:val="center"/>
              <w:rPr>
                <w:rFonts w:cs="Arial"/>
                <w:szCs w:val="20"/>
              </w:rPr>
            </w:pPr>
            <w:r w:rsidRPr="00D34671">
              <w:rPr>
                <w:rFonts w:cs="Arial"/>
                <w:szCs w:val="20"/>
              </w:rPr>
              <w:t>20,00%</w:t>
            </w:r>
          </w:p>
        </w:tc>
        <w:tc>
          <w:tcPr>
            <w:tcW w:w="0" w:type="auto"/>
            <w:tcMar>
              <w:top w:w="30" w:type="dxa"/>
              <w:left w:w="45" w:type="dxa"/>
              <w:bottom w:w="30" w:type="dxa"/>
              <w:right w:w="45" w:type="dxa"/>
            </w:tcMar>
            <w:vAlign w:val="center"/>
            <w:hideMark/>
          </w:tcPr>
          <w:p w14:paraId="539C5880" w14:textId="77777777" w:rsidR="00EF6A19" w:rsidRPr="00D34671" w:rsidRDefault="00EF6A19" w:rsidP="00AA4BBB">
            <w:pPr>
              <w:jc w:val="center"/>
              <w:rPr>
                <w:rFonts w:cs="Arial"/>
                <w:szCs w:val="20"/>
              </w:rPr>
            </w:pPr>
            <w:r w:rsidRPr="00D34671">
              <w:rPr>
                <w:rFonts w:cs="Arial"/>
                <w:szCs w:val="20"/>
              </w:rPr>
              <w:t>50,00%</w:t>
            </w:r>
          </w:p>
        </w:tc>
        <w:tc>
          <w:tcPr>
            <w:tcW w:w="0" w:type="auto"/>
            <w:tcMar>
              <w:top w:w="30" w:type="dxa"/>
              <w:left w:w="45" w:type="dxa"/>
              <w:bottom w:w="30" w:type="dxa"/>
              <w:right w:w="45" w:type="dxa"/>
            </w:tcMar>
            <w:vAlign w:val="center"/>
            <w:hideMark/>
          </w:tcPr>
          <w:p w14:paraId="2FFC1B64" w14:textId="77777777" w:rsidR="00EF6A19" w:rsidRPr="00D34671" w:rsidRDefault="00EF6A19" w:rsidP="00AA4BBB">
            <w:pPr>
              <w:jc w:val="center"/>
              <w:rPr>
                <w:rFonts w:cs="Arial"/>
                <w:szCs w:val="20"/>
              </w:rPr>
            </w:pPr>
            <w:r w:rsidRPr="00D34671">
              <w:rPr>
                <w:rFonts w:cs="Arial"/>
                <w:szCs w:val="20"/>
              </w:rPr>
              <w:t>80,00%</w:t>
            </w:r>
          </w:p>
        </w:tc>
        <w:tc>
          <w:tcPr>
            <w:tcW w:w="0" w:type="auto"/>
            <w:tcMar>
              <w:top w:w="30" w:type="dxa"/>
              <w:left w:w="45" w:type="dxa"/>
              <w:bottom w:w="30" w:type="dxa"/>
              <w:right w:w="45" w:type="dxa"/>
            </w:tcMar>
            <w:vAlign w:val="center"/>
            <w:hideMark/>
          </w:tcPr>
          <w:p w14:paraId="75B38C96" w14:textId="77777777" w:rsidR="00EF6A19" w:rsidRPr="00D34671" w:rsidRDefault="00EF6A19" w:rsidP="00AA4BBB">
            <w:pPr>
              <w:jc w:val="center"/>
              <w:rPr>
                <w:rFonts w:cs="Arial"/>
                <w:szCs w:val="20"/>
              </w:rPr>
            </w:pPr>
            <w:r w:rsidRPr="00D34671">
              <w:rPr>
                <w:rFonts w:cs="Arial"/>
                <w:szCs w:val="20"/>
              </w:rPr>
              <w:t>100,00%</w:t>
            </w:r>
          </w:p>
        </w:tc>
        <w:tc>
          <w:tcPr>
            <w:tcW w:w="0" w:type="auto"/>
            <w:vMerge w:val="restart"/>
            <w:tcMar>
              <w:top w:w="30" w:type="dxa"/>
              <w:left w:w="45" w:type="dxa"/>
              <w:bottom w:w="30" w:type="dxa"/>
              <w:right w:w="45" w:type="dxa"/>
            </w:tcMar>
            <w:vAlign w:val="center"/>
            <w:hideMark/>
          </w:tcPr>
          <w:p w14:paraId="04255EB7" w14:textId="77777777" w:rsidR="00EF6A19" w:rsidRPr="00D34671" w:rsidRDefault="00EF6A19" w:rsidP="00AA4BBB">
            <w:pPr>
              <w:jc w:val="center"/>
              <w:rPr>
                <w:rFonts w:cs="Arial"/>
                <w:b/>
                <w:bCs/>
                <w:szCs w:val="20"/>
              </w:rPr>
            </w:pPr>
            <w:r w:rsidRPr="00D34671">
              <w:rPr>
                <w:rFonts w:cs="Arial"/>
                <w:b/>
                <w:bCs/>
                <w:szCs w:val="20"/>
              </w:rPr>
              <w:t>6.082.721.992</w:t>
            </w:r>
          </w:p>
        </w:tc>
      </w:tr>
      <w:tr w:rsidR="00EF6A19" w:rsidRPr="00D34671" w14:paraId="0181E096" w14:textId="77777777" w:rsidTr="00EF6A19">
        <w:tc>
          <w:tcPr>
            <w:tcW w:w="0" w:type="auto"/>
            <w:vMerge/>
            <w:tcBorders>
              <w:bottom w:val="double" w:sz="4" w:space="0" w:color="C00000"/>
            </w:tcBorders>
            <w:vAlign w:val="center"/>
            <w:hideMark/>
          </w:tcPr>
          <w:p w14:paraId="68690AAC" w14:textId="77777777" w:rsidR="00EF6A19" w:rsidRPr="00D34671" w:rsidRDefault="00EF6A19" w:rsidP="00AA4BBB">
            <w:pPr>
              <w:rPr>
                <w:rFonts w:cs="Arial"/>
                <w:szCs w:val="20"/>
              </w:rPr>
            </w:pPr>
          </w:p>
        </w:tc>
        <w:tc>
          <w:tcPr>
            <w:tcW w:w="0" w:type="auto"/>
            <w:tcBorders>
              <w:bottom w:val="double" w:sz="4" w:space="0" w:color="C00000"/>
            </w:tcBorders>
            <w:tcMar>
              <w:top w:w="30" w:type="dxa"/>
              <w:left w:w="45" w:type="dxa"/>
              <w:bottom w:w="30" w:type="dxa"/>
              <w:right w:w="45" w:type="dxa"/>
            </w:tcMar>
            <w:vAlign w:val="center"/>
            <w:hideMark/>
          </w:tcPr>
          <w:p w14:paraId="20CB568E" w14:textId="77777777" w:rsidR="00EF6A19" w:rsidRPr="00D34671" w:rsidRDefault="00EF6A19" w:rsidP="00AA4BBB">
            <w:pPr>
              <w:jc w:val="center"/>
              <w:rPr>
                <w:rFonts w:cs="Arial"/>
                <w:szCs w:val="20"/>
              </w:rPr>
            </w:pPr>
            <w:r w:rsidRPr="00D34671">
              <w:rPr>
                <w:rFonts w:cs="Arial"/>
                <w:szCs w:val="20"/>
              </w:rPr>
              <w:t>902.000.000</w:t>
            </w:r>
          </w:p>
        </w:tc>
        <w:tc>
          <w:tcPr>
            <w:tcW w:w="0" w:type="auto"/>
            <w:tcBorders>
              <w:bottom w:val="double" w:sz="4" w:space="0" w:color="C00000"/>
            </w:tcBorders>
            <w:tcMar>
              <w:top w:w="30" w:type="dxa"/>
              <w:left w:w="45" w:type="dxa"/>
              <w:bottom w:w="30" w:type="dxa"/>
              <w:right w:w="45" w:type="dxa"/>
            </w:tcMar>
            <w:vAlign w:val="center"/>
            <w:hideMark/>
          </w:tcPr>
          <w:p w14:paraId="33C458E8" w14:textId="77777777" w:rsidR="00EF6A19" w:rsidRPr="00D34671" w:rsidRDefault="00EF6A19" w:rsidP="00AA4BBB">
            <w:pPr>
              <w:jc w:val="center"/>
              <w:rPr>
                <w:rFonts w:cs="Arial"/>
                <w:szCs w:val="20"/>
              </w:rPr>
            </w:pPr>
            <w:r w:rsidRPr="00D34671">
              <w:rPr>
                <w:rFonts w:cs="Arial"/>
                <w:szCs w:val="20"/>
              </w:rPr>
              <w:t>1.914.563.107</w:t>
            </w:r>
          </w:p>
        </w:tc>
        <w:tc>
          <w:tcPr>
            <w:tcW w:w="0" w:type="auto"/>
            <w:tcBorders>
              <w:bottom w:val="double" w:sz="4" w:space="0" w:color="C00000"/>
            </w:tcBorders>
            <w:tcMar>
              <w:top w:w="30" w:type="dxa"/>
              <w:left w:w="45" w:type="dxa"/>
              <w:bottom w:w="30" w:type="dxa"/>
              <w:right w:w="45" w:type="dxa"/>
            </w:tcMar>
            <w:vAlign w:val="center"/>
            <w:hideMark/>
          </w:tcPr>
          <w:p w14:paraId="0E939586" w14:textId="77777777" w:rsidR="00EF6A19" w:rsidRPr="00D34671" w:rsidRDefault="00EF6A19" w:rsidP="00AA4BBB">
            <w:pPr>
              <w:jc w:val="center"/>
              <w:rPr>
                <w:rFonts w:cs="Arial"/>
                <w:szCs w:val="20"/>
              </w:rPr>
            </w:pPr>
            <w:r w:rsidRPr="00D34671">
              <w:rPr>
                <w:rFonts w:cs="Arial"/>
                <w:szCs w:val="20"/>
              </w:rPr>
              <w:t>1.728.720.897</w:t>
            </w:r>
          </w:p>
        </w:tc>
        <w:tc>
          <w:tcPr>
            <w:tcW w:w="0" w:type="auto"/>
            <w:tcBorders>
              <w:bottom w:val="double" w:sz="4" w:space="0" w:color="C00000"/>
            </w:tcBorders>
            <w:tcMar>
              <w:top w:w="30" w:type="dxa"/>
              <w:left w:w="45" w:type="dxa"/>
              <w:bottom w:w="30" w:type="dxa"/>
              <w:right w:w="45" w:type="dxa"/>
            </w:tcMar>
            <w:vAlign w:val="center"/>
            <w:hideMark/>
          </w:tcPr>
          <w:p w14:paraId="4EDBF5F8" w14:textId="77777777" w:rsidR="00EF6A19" w:rsidRPr="00D34671" w:rsidRDefault="00EF6A19" w:rsidP="00AA4BBB">
            <w:pPr>
              <w:jc w:val="center"/>
              <w:rPr>
                <w:rFonts w:cs="Arial"/>
                <w:szCs w:val="20"/>
              </w:rPr>
            </w:pPr>
            <w:r w:rsidRPr="00D34671">
              <w:rPr>
                <w:rFonts w:cs="Arial"/>
                <w:szCs w:val="20"/>
              </w:rPr>
              <w:t>1.537.437.988</w:t>
            </w:r>
          </w:p>
        </w:tc>
        <w:tc>
          <w:tcPr>
            <w:tcW w:w="0" w:type="auto"/>
            <w:vMerge/>
            <w:tcBorders>
              <w:bottom w:val="double" w:sz="4" w:space="0" w:color="C00000"/>
            </w:tcBorders>
            <w:vAlign w:val="center"/>
            <w:hideMark/>
          </w:tcPr>
          <w:p w14:paraId="6777FF16" w14:textId="77777777" w:rsidR="00EF6A19" w:rsidRPr="00D34671" w:rsidRDefault="00EF6A19" w:rsidP="00AA4BBB">
            <w:pPr>
              <w:rPr>
                <w:rFonts w:cs="Arial"/>
                <w:b/>
                <w:bCs/>
                <w:szCs w:val="20"/>
              </w:rPr>
            </w:pPr>
          </w:p>
        </w:tc>
      </w:tr>
    </w:tbl>
    <w:p w14:paraId="56C2B949" w14:textId="77777777" w:rsidR="00EF1D5F" w:rsidRDefault="00EF1D5F" w:rsidP="00A0786C">
      <w:pPr>
        <w:pStyle w:val="figuratitulo"/>
        <w:jc w:val="both"/>
      </w:pPr>
    </w:p>
    <w:p w14:paraId="074B0E20" w14:textId="77777777" w:rsidR="00EF1D5F" w:rsidRDefault="00EF1D5F" w:rsidP="00A0786C">
      <w:pPr>
        <w:pStyle w:val="figuratitulo"/>
        <w:jc w:val="both"/>
      </w:pPr>
    </w:p>
    <w:p w14:paraId="6569849D" w14:textId="77777777" w:rsidR="00EF1D5F" w:rsidRDefault="00EF1D5F" w:rsidP="00A0786C">
      <w:pPr>
        <w:pStyle w:val="figuratitulo"/>
        <w:jc w:val="both"/>
      </w:pPr>
    </w:p>
    <w:p w14:paraId="0F6F8FFA" w14:textId="77777777" w:rsidR="00C80534" w:rsidRDefault="00C80534" w:rsidP="00433BDC">
      <w:pPr>
        <w:rPr>
          <w:b/>
          <w:bCs/>
          <w:iCs/>
          <w:color w:val="C00000"/>
          <w:sz w:val="28"/>
          <w:szCs w:val="28"/>
        </w:rPr>
      </w:pPr>
      <w:r>
        <w:rPr>
          <w:b/>
          <w:bCs/>
          <w:iCs/>
          <w:color w:val="C00000"/>
          <w:sz w:val="28"/>
          <w:szCs w:val="28"/>
        </w:rPr>
        <w:br w:type="page"/>
      </w:r>
    </w:p>
    <w:p w14:paraId="1C117492" w14:textId="023FC112" w:rsidR="00EF1D5F" w:rsidRPr="00B3701D" w:rsidRDefault="00EF1D5F" w:rsidP="00433BDC">
      <w:pPr>
        <w:pStyle w:val="NIVEL4"/>
      </w:pPr>
      <w:bookmarkStart w:id="452" w:name="_Toc165169806"/>
      <w:r w:rsidRPr="00B3701D">
        <w:rPr>
          <w:color w:val="C00000"/>
        </w:rPr>
        <w:lastRenderedPageBreak/>
        <w:t xml:space="preserve">Programa </w:t>
      </w:r>
      <w:r>
        <w:rPr>
          <w:color w:val="C00000"/>
        </w:rPr>
        <w:t>38</w:t>
      </w:r>
      <w:r w:rsidR="00433BDC">
        <w:rPr>
          <w:color w:val="C00000"/>
        </w:rPr>
        <w:t xml:space="preserve">: </w:t>
      </w:r>
      <w:r w:rsidRPr="00560C50">
        <w:t>Gestión eficiente de los ingresos y gastos enfocados en la confianza ciudadana</w:t>
      </w:r>
      <w:bookmarkEnd w:id="452"/>
    </w:p>
    <w:p w14:paraId="64B1D057" w14:textId="77777777" w:rsidR="00EF1D5F" w:rsidRPr="00B3701D" w:rsidRDefault="00EF1D5F" w:rsidP="001A6822"/>
    <w:p w14:paraId="14928881" w14:textId="2F4C2C67" w:rsidR="00EF1D5F" w:rsidRPr="00433BDC" w:rsidRDefault="00EF1D5F" w:rsidP="00433BDC">
      <w:pPr>
        <w:ind w:firstLine="708"/>
        <w:rPr>
          <w:b/>
          <w:bCs/>
          <w:sz w:val="24"/>
        </w:rPr>
      </w:pPr>
      <w:r w:rsidRPr="00433BDC">
        <w:rPr>
          <w:b/>
          <w:bCs/>
          <w:sz w:val="24"/>
        </w:rPr>
        <w:t>Diagnóstico</w:t>
      </w:r>
    </w:p>
    <w:p w14:paraId="548B69BF" w14:textId="77777777" w:rsidR="00EF1D5F" w:rsidRDefault="00EF1D5F" w:rsidP="00B3701D">
      <w:pPr>
        <w:sectPr w:rsidR="00EF1D5F" w:rsidSect="00F7078E">
          <w:type w:val="continuous"/>
          <w:pgSz w:w="12240" w:h="15840"/>
          <w:pgMar w:top="2262" w:right="1440" w:bottom="1440" w:left="1440" w:header="708" w:footer="680" w:gutter="0"/>
          <w:cols w:space="720"/>
          <w:docGrid w:linePitch="299"/>
        </w:sectPr>
      </w:pPr>
    </w:p>
    <w:p w14:paraId="036496A9" w14:textId="77777777" w:rsidR="00EF1D5F" w:rsidRDefault="00EF1D5F" w:rsidP="00B71A32">
      <w:r>
        <w:t>Las limitaciones en la gestión de recursos de capital se evidencian en el escenario fiscal presentado en el Marco Fiscal de Mediano Plazo (MFMP) 2024-2034, el cual establece en 2024 una meta de balance primario para la Administración central del -0,6</w:t>
      </w:r>
      <w:r>
        <w:rPr>
          <w:rFonts w:ascii="Arial" w:hAnsi="Arial" w:cs="Arial"/>
        </w:rPr>
        <w:t> </w:t>
      </w:r>
      <w:r>
        <w:t>% del PIB distrital, resultado que obedece a una proyección de ingresos fiscales de 24,33 billones de pesos y unos gastos fiscales que ascenderían a 29,96 billones de pesos. Los recursos de capital proyectados para el cierre de 2024 sumarían 2,7 billones de pesos, lo cual muestra un incremento del 6,3</w:t>
      </w:r>
      <w:r>
        <w:rPr>
          <w:rFonts w:ascii="Arial" w:hAnsi="Arial" w:cs="Arial"/>
        </w:rPr>
        <w:t> </w:t>
      </w:r>
      <w:r>
        <w:t>% frente a 2023. Esta dinámica refleja el comportamiento esperado de los excedentes financieros y de los dividendos y utilidades por otras inversiones de capital.</w:t>
      </w:r>
    </w:p>
    <w:p w14:paraId="7623D374" w14:textId="77777777" w:rsidR="00EF1D5F" w:rsidRDefault="00EF1D5F" w:rsidP="00B71A32">
      <w:r>
        <w:t>En cuanto a las limitaciones en potencial de nuevo endeudamiento estratégico, la Ley 358 de 1997 establece dos indicadores para monitorear el endeudamiento de las entidades territoriales. El primero hace referencia a la capacidad de pago de la deuda, cuyo desarrollo histórico se resume en la figura 12. Este indicador se mide como la razón del gasto en intereses frente al ahorro operacional. Su nivel se ha mantenido en un promedio del 2,37</w:t>
      </w:r>
      <w:r>
        <w:rPr>
          <w:rFonts w:ascii="Arial" w:hAnsi="Arial" w:cs="Arial"/>
        </w:rPr>
        <w:t> </w:t>
      </w:r>
      <w:r>
        <w:t>% en los últimos 10 años, por debajo del límite de ley, del 60</w:t>
      </w:r>
      <w:r>
        <w:rPr>
          <w:rFonts w:ascii="Arial" w:hAnsi="Arial" w:cs="Arial"/>
        </w:rPr>
        <w:t> </w:t>
      </w:r>
      <w:r>
        <w:t>%. En los últimos 2 años se evidencia el aumento en el servicio de la deuda, como resultado de un mayor endeudamiento y del endurecimiento de las condiciones de financiamiento.</w:t>
      </w:r>
    </w:p>
    <w:p w14:paraId="5773FE41" w14:textId="77777777" w:rsidR="00EF1D5F" w:rsidRDefault="00EF1D5F" w:rsidP="00B3701D">
      <w:pPr>
        <w:rPr>
          <w:highlight w:val="white"/>
        </w:rPr>
        <w:sectPr w:rsidR="00EF1D5F" w:rsidSect="00F7078E">
          <w:type w:val="continuous"/>
          <w:pgSz w:w="12240" w:h="15840"/>
          <w:pgMar w:top="2262" w:right="1440" w:bottom="1440" w:left="1440" w:header="708" w:footer="680" w:gutter="0"/>
          <w:cols w:num="2" w:space="567"/>
          <w:docGrid w:linePitch="299"/>
        </w:sectPr>
      </w:pPr>
    </w:p>
    <w:p w14:paraId="6292EB8D" w14:textId="77777777" w:rsidR="00433BDC" w:rsidRDefault="00433BDC" w:rsidP="00433BDC">
      <w:pPr>
        <w:pStyle w:val="Descripcin"/>
        <w:jc w:val="center"/>
        <w:rPr>
          <w:color w:val="C00000"/>
          <w:sz w:val="18"/>
        </w:rPr>
      </w:pPr>
    </w:p>
    <w:p w14:paraId="67F764B0" w14:textId="68BABF81" w:rsidR="00EF1D5F" w:rsidRPr="00433BDC" w:rsidRDefault="00EF1D5F" w:rsidP="00433BDC">
      <w:pPr>
        <w:pStyle w:val="Descripcin"/>
        <w:jc w:val="center"/>
        <w:rPr>
          <w:bCs/>
          <w:sz w:val="18"/>
        </w:rPr>
      </w:pPr>
      <w:bookmarkStart w:id="453" w:name="_Toc165169881"/>
      <w:r w:rsidRPr="00433BDC">
        <w:rPr>
          <w:bCs/>
          <w:noProof/>
          <w:color w:val="C00000"/>
          <w:sz w:val="18"/>
        </w:rPr>
        <w:drawing>
          <wp:anchor distT="0" distB="0" distL="114300" distR="114300" simplePos="0" relativeHeight="251793408" behindDoc="0" locked="0" layoutInCell="1" allowOverlap="1" wp14:anchorId="5FE4498D" wp14:editId="53E682E8">
            <wp:simplePos x="0" y="0"/>
            <wp:positionH relativeFrom="column">
              <wp:posOffset>-195953</wp:posOffset>
            </wp:positionH>
            <wp:positionV relativeFrom="paragraph">
              <wp:posOffset>278765</wp:posOffset>
            </wp:positionV>
            <wp:extent cx="5924221" cy="2613548"/>
            <wp:effectExtent l="0" t="0" r="0" b="0"/>
            <wp:wrapSquare wrapText="bothSides"/>
            <wp:docPr id="1667158520" name="Imagen 11" descr="Escala de tiem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58520" name="Imagen 11" descr="Escala de tiempo&#10;&#10;Descripción generada automáticamente con confianza baja"/>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924221" cy="2613548"/>
                    </a:xfrm>
                    <a:prstGeom prst="rect">
                      <a:avLst/>
                    </a:prstGeom>
                  </pic:spPr>
                </pic:pic>
              </a:graphicData>
            </a:graphic>
            <wp14:sizeRelH relativeFrom="page">
              <wp14:pctWidth>0</wp14:pctWidth>
            </wp14:sizeRelH>
            <wp14:sizeRelV relativeFrom="page">
              <wp14:pctHeight>0</wp14:pctHeight>
            </wp14:sizeRelV>
          </wp:anchor>
        </w:drawing>
      </w:r>
      <w:r w:rsidR="00433BDC" w:rsidRPr="00433BDC">
        <w:rPr>
          <w:color w:val="C00000"/>
          <w:sz w:val="18"/>
        </w:rPr>
        <w:t xml:space="preserve">Gráfica </w:t>
      </w:r>
      <w:r w:rsidR="00433BDC" w:rsidRPr="00433BDC">
        <w:rPr>
          <w:color w:val="C00000"/>
          <w:sz w:val="18"/>
        </w:rPr>
        <w:fldChar w:fldCharType="begin"/>
      </w:r>
      <w:r w:rsidR="00433BDC" w:rsidRPr="00433BDC">
        <w:rPr>
          <w:color w:val="C00000"/>
          <w:sz w:val="18"/>
        </w:rPr>
        <w:instrText xml:space="preserve"> SEQ Gráfica \* ARABIC </w:instrText>
      </w:r>
      <w:r w:rsidR="00433BDC" w:rsidRPr="00433BDC">
        <w:rPr>
          <w:color w:val="C00000"/>
          <w:sz w:val="18"/>
        </w:rPr>
        <w:fldChar w:fldCharType="separate"/>
      </w:r>
      <w:r w:rsidR="00D01651">
        <w:rPr>
          <w:noProof/>
          <w:color w:val="C00000"/>
          <w:sz w:val="18"/>
        </w:rPr>
        <w:t>55</w:t>
      </w:r>
      <w:r w:rsidR="00433BDC" w:rsidRPr="00433BDC">
        <w:rPr>
          <w:color w:val="C00000"/>
          <w:sz w:val="18"/>
        </w:rPr>
        <w:fldChar w:fldCharType="end"/>
      </w:r>
      <w:r w:rsidR="00433BDC" w:rsidRPr="00433BDC">
        <w:rPr>
          <w:color w:val="C00000"/>
          <w:sz w:val="18"/>
        </w:rPr>
        <w:t xml:space="preserve">. </w:t>
      </w:r>
      <w:r w:rsidRPr="00433BDC">
        <w:rPr>
          <w:sz w:val="18"/>
        </w:rPr>
        <w:t>Comportamiento del indicador de capacidad de la deuda</w:t>
      </w:r>
      <w:bookmarkEnd w:id="453"/>
    </w:p>
    <w:p w14:paraId="18DE9DF7" w14:textId="77777777" w:rsidR="00EF1D5F" w:rsidRPr="00C132C6" w:rsidRDefault="00EF1D5F" w:rsidP="00D060EE">
      <w:pPr>
        <w:spacing w:line="480" w:lineRule="auto"/>
        <w:jc w:val="center"/>
        <w:rPr>
          <w:color w:val="3B3838"/>
          <w:sz w:val="18"/>
          <w:szCs w:val="18"/>
        </w:rPr>
      </w:pPr>
      <w:r w:rsidRPr="00C132C6">
        <w:rPr>
          <w:b/>
          <w:bCs/>
          <w:color w:val="3B3838"/>
          <w:sz w:val="18"/>
          <w:szCs w:val="18"/>
        </w:rPr>
        <w:t>Fuente:</w:t>
      </w:r>
      <w:r w:rsidRPr="00C132C6">
        <w:rPr>
          <w:color w:val="3B3838"/>
          <w:sz w:val="18"/>
          <w:szCs w:val="18"/>
        </w:rPr>
        <w:t xml:space="preserve"> SDH-DDCP. Fecha de actualización: septiembre de 2023.</w:t>
      </w:r>
    </w:p>
    <w:p w14:paraId="1A2DC47E" w14:textId="77777777" w:rsidR="00EF1D5F" w:rsidRDefault="00EF1D5F" w:rsidP="00B27FD9">
      <w:pPr>
        <w:rPr>
          <w:highlight w:val="white"/>
        </w:rPr>
      </w:pPr>
    </w:p>
    <w:p w14:paraId="2F5EC108" w14:textId="45F319B3" w:rsidR="00C80534" w:rsidRDefault="00C80534" w:rsidP="00B27FD9">
      <w:pPr>
        <w:rPr>
          <w:highlight w:val="white"/>
        </w:rPr>
        <w:sectPr w:rsidR="00C80534" w:rsidSect="00F7078E">
          <w:type w:val="continuous"/>
          <w:pgSz w:w="12240" w:h="15840"/>
          <w:pgMar w:top="2262" w:right="1440" w:bottom="1440" w:left="1440" w:header="708" w:footer="680" w:gutter="0"/>
          <w:cols w:space="720"/>
          <w:docGrid w:linePitch="299"/>
        </w:sectPr>
      </w:pPr>
    </w:p>
    <w:p w14:paraId="61202180" w14:textId="77777777" w:rsidR="00EF1D5F" w:rsidRDefault="00EF1D5F" w:rsidP="004143E9">
      <w:r>
        <w:t>El segundo indicador es el de sostenibilidad, y se construye como la razón entre el saldo de la deuda y los ingresos corrientes. En la última década este indicador se mantuvo en un nivel promedio del 27,28</w:t>
      </w:r>
      <w:r>
        <w:rPr>
          <w:rFonts w:ascii="Arial" w:hAnsi="Arial" w:cs="Arial"/>
        </w:rPr>
        <w:t> </w:t>
      </w:r>
      <w:r>
        <w:t xml:space="preserve">%, como se observa en la figura </w:t>
      </w:r>
      <w:r>
        <w:t>13. En el periodo reciente el indicador presenta una tendencia alcista, dado el incremento en los niveles de deuda del Distrito Capital, pero sigue manteniendo una amplia diferencia frente al límite establecido, del 100</w:t>
      </w:r>
      <w:r>
        <w:rPr>
          <w:rFonts w:ascii="Arial" w:hAnsi="Arial" w:cs="Arial"/>
        </w:rPr>
        <w:t> </w:t>
      </w:r>
      <w:r>
        <w:t>%.</w:t>
      </w:r>
    </w:p>
    <w:p w14:paraId="28B22449" w14:textId="77777777" w:rsidR="00EF1D5F" w:rsidRDefault="00EF1D5F" w:rsidP="005D5A4A">
      <w:pPr>
        <w:spacing w:line="480" w:lineRule="auto"/>
        <w:rPr>
          <w:rFonts w:ascii="Times New Roman" w:hAnsi="Times New Roman"/>
          <w:sz w:val="24"/>
          <w:highlight w:val="white"/>
        </w:rPr>
        <w:sectPr w:rsidR="00EF1D5F" w:rsidSect="00F7078E">
          <w:type w:val="continuous"/>
          <w:pgSz w:w="12240" w:h="15840"/>
          <w:pgMar w:top="2262" w:right="1440" w:bottom="1440" w:left="1440" w:header="708" w:footer="680" w:gutter="0"/>
          <w:cols w:num="2" w:space="567"/>
          <w:docGrid w:linePitch="299"/>
        </w:sectPr>
      </w:pPr>
    </w:p>
    <w:p w14:paraId="4E0DCE07" w14:textId="6AB0FEC5" w:rsidR="00EF1D5F" w:rsidRPr="00433BDC" w:rsidRDefault="00433BDC" w:rsidP="00433BDC">
      <w:pPr>
        <w:pStyle w:val="Descripcin"/>
        <w:jc w:val="center"/>
        <w:rPr>
          <w:bCs/>
          <w:sz w:val="18"/>
        </w:rPr>
      </w:pPr>
      <w:bookmarkStart w:id="454" w:name="_Toc165169882"/>
      <w:r w:rsidRPr="00433BDC">
        <w:rPr>
          <w:color w:val="C00000"/>
          <w:sz w:val="18"/>
        </w:rPr>
        <w:lastRenderedPageBreak/>
        <w:t xml:space="preserve">Gráfica </w:t>
      </w:r>
      <w:r w:rsidRPr="00433BDC">
        <w:rPr>
          <w:color w:val="C00000"/>
          <w:sz w:val="18"/>
        </w:rPr>
        <w:fldChar w:fldCharType="begin"/>
      </w:r>
      <w:r w:rsidRPr="00433BDC">
        <w:rPr>
          <w:color w:val="C00000"/>
          <w:sz w:val="18"/>
        </w:rPr>
        <w:instrText xml:space="preserve"> SEQ Gráfica \* ARABIC </w:instrText>
      </w:r>
      <w:r w:rsidRPr="00433BDC">
        <w:rPr>
          <w:color w:val="C00000"/>
          <w:sz w:val="18"/>
        </w:rPr>
        <w:fldChar w:fldCharType="separate"/>
      </w:r>
      <w:r w:rsidR="00D01651">
        <w:rPr>
          <w:noProof/>
          <w:color w:val="C00000"/>
          <w:sz w:val="18"/>
        </w:rPr>
        <w:t>56</w:t>
      </w:r>
      <w:r w:rsidRPr="00433BDC">
        <w:rPr>
          <w:color w:val="C00000"/>
          <w:sz w:val="18"/>
        </w:rPr>
        <w:fldChar w:fldCharType="end"/>
      </w:r>
      <w:r w:rsidRPr="00433BDC">
        <w:rPr>
          <w:color w:val="C00000"/>
          <w:sz w:val="18"/>
        </w:rPr>
        <w:t xml:space="preserve">. </w:t>
      </w:r>
      <w:r w:rsidR="00EF1D5F" w:rsidRPr="00433BDC">
        <w:rPr>
          <w:sz w:val="18"/>
        </w:rPr>
        <w:t>Comportamiento del indicador de sostenibilidad de la deuda</w:t>
      </w:r>
      <w:bookmarkEnd w:id="454"/>
    </w:p>
    <w:p w14:paraId="31CA0716" w14:textId="77777777" w:rsidR="000D7041" w:rsidRDefault="00EF1D5F" w:rsidP="004C49AC">
      <w:pPr>
        <w:spacing w:line="480" w:lineRule="auto"/>
        <w:jc w:val="center"/>
        <w:rPr>
          <w:b/>
          <w:bCs/>
          <w:color w:val="3B3838"/>
          <w:sz w:val="18"/>
          <w:szCs w:val="18"/>
        </w:rPr>
      </w:pPr>
      <w:r>
        <w:rPr>
          <w:b/>
          <w:noProof/>
        </w:rPr>
        <w:drawing>
          <wp:inline distT="0" distB="0" distL="0" distR="0" wp14:anchorId="4D38F292" wp14:editId="592A1BF5">
            <wp:extent cx="5439508" cy="2215686"/>
            <wp:effectExtent l="0" t="0" r="0" b="0"/>
            <wp:docPr id="611910429" name="Imagen 12"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910429" name="Imagen 12" descr="Imagen que contiene Diagrama&#10;&#10;Descripción generada automáticamente"/>
                    <pic:cNvPicPr/>
                  </pic:nvPicPr>
                  <pic:blipFill rotWithShape="1">
                    <a:blip r:embed="rId167" cstate="print">
                      <a:extLst>
                        <a:ext uri="{28A0092B-C50C-407E-A947-70E740481C1C}">
                          <a14:useLocalDpi xmlns:a14="http://schemas.microsoft.com/office/drawing/2010/main" val="0"/>
                        </a:ext>
                      </a:extLst>
                    </a:blip>
                    <a:srcRect t="5900" b="1769"/>
                    <a:stretch/>
                  </pic:blipFill>
                  <pic:spPr bwMode="auto">
                    <a:xfrm>
                      <a:off x="0" y="0"/>
                      <a:ext cx="5443299" cy="2217230"/>
                    </a:xfrm>
                    <a:prstGeom prst="rect">
                      <a:avLst/>
                    </a:prstGeom>
                    <a:ln>
                      <a:noFill/>
                    </a:ln>
                    <a:extLst>
                      <a:ext uri="{53640926-AAD7-44D8-BBD7-CCE9431645EC}">
                        <a14:shadowObscured xmlns:a14="http://schemas.microsoft.com/office/drawing/2010/main"/>
                      </a:ext>
                    </a:extLst>
                  </pic:spPr>
                </pic:pic>
              </a:graphicData>
            </a:graphic>
          </wp:inline>
        </w:drawing>
      </w:r>
    </w:p>
    <w:p w14:paraId="29AC1F1F" w14:textId="741DAEDB" w:rsidR="00EF1D5F" w:rsidRPr="004C49AC" w:rsidRDefault="00EF1D5F" w:rsidP="004C49AC">
      <w:pPr>
        <w:spacing w:line="480" w:lineRule="auto"/>
        <w:jc w:val="center"/>
        <w:rPr>
          <w:b/>
        </w:rPr>
      </w:pPr>
      <w:r w:rsidRPr="00C132C6">
        <w:rPr>
          <w:b/>
          <w:bCs/>
          <w:color w:val="3B3838"/>
          <w:sz w:val="18"/>
          <w:szCs w:val="18"/>
        </w:rPr>
        <w:t>Fuente:</w:t>
      </w:r>
      <w:r w:rsidRPr="00C132C6">
        <w:rPr>
          <w:color w:val="3B3838"/>
          <w:sz w:val="18"/>
          <w:szCs w:val="18"/>
        </w:rPr>
        <w:t xml:space="preserve"> SDH-DDCP. Fecha de actualización: septiembre de 2023.</w:t>
      </w:r>
    </w:p>
    <w:p w14:paraId="4B32BAE9" w14:textId="77777777" w:rsidR="00EF1D5F" w:rsidRDefault="00EF1D5F" w:rsidP="00B27FD9">
      <w:pPr>
        <w:rPr>
          <w:highlight w:val="white"/>
        </w:rPr>
        <w:sectPr w:rsidR="00EF1D5F" w:rsidSect="00F7078E">
          <w:type w:val="continuous"/>
          <w:pgSz w:w="12240" w:h="15840"/>
          <w:pgMar w:top="2262" w:right="1440" w:bottom="1440" w:left="1440" w:header="708" w:footer="680" w:gutter="0"/>
          <w:cols w:space="720"/>
          <w:docGrid w:linePitch="299"/>
        </w:sectPr>
      </w:pPr>
    </w:p>
    <w:p w14:paraId="74395488" w14:textId="77777777" w:rsidR="00EF1D5F" w:rsidRDefault="00EF1D5F" w:rsidP="00400D0D">
      <w:r>
        <w:t>La relación se mide a precios constantes de septiembre de 2023 y el nivel del PIB se basa en la proyección realizada por la Dirección de Estadísticas y Estudios Fiscales (DEEF), de la Secretaría Distrital de Hacienda, para el cierre de 2023. El artículo 30 de la Ley 2155 de 2021 modificó los límites de los indicadores. El límite para el indicador de capacidad pasó del 40</w:t>
      </w:r>
      <w:r>
        <w:rPr>
          <w:rFonts w:ascii="Arial" w:hAnsi="Arial" w:cs="Arial"/>
        </w:rPr>
        <w:t> </w:t>
      </w:r>
      <w:r>
        <w:t>% al 60</w:t>
      </w:r>
      <w:r>
        <w:rPr>
          <w:rFonts w:ascii="Arial" w:hAnsi="Arial" w:cs="Arial"/>
        </w:rPr>
        <w:t> </w:t>
      </w:r>
      <w:r>
        <w:t>%, mientras que el límite para el indicador de sostenibilidad pasó del 80</w:t>
      </w:r>
      <w:r>
        <w:rPr>
          <w:rFonts w:ascii="Arial" w:hAnsi="Arial" w:cs="Arial"/>
        </w:rPr>
        <w:t> </w:t>
      </w:r>
      <w:r>
        <w:t>% al 100</w:t>
      </w:r>
      <w:r>
        <w:rPr>
          <w:rFonts w:ascii="Arial" w:hAnsi="Arial" w:cs="Arial"/>
        </w:rPr>
        <w:t> </w:t>
      </w:r>
      <w:r>
        <w:t xml:space="preserve">%. </w:t>
      </w:r>
    </w:p>
    <w:p w14:paraId="566CE815" w14:textId="77777777" w:rsidR="00EF1D5F" w:rsidRDefault="00EF1D5F" w:rsidP="00400D0D"/>
    <w:p w14:paraId="2B103F14" w14:textId="77777777" w:rsidR="00EF1D5F" w:rsidRDefault="00EF1D5F" w:rsidP="00400D0D">
      <w:r>
        <w:t>Durante el cuatrienio 2020-2023 el Distrito Capital contó con un cupo de endeudamiento de 17,1 billones de pesos</w:t>
      </w:r>
      <w:r w:rsidRPr="00CA6A87">
        <w:rPr>
          <w:b/>
          <w:bCs/>
          <w:vertAlign w:val="superscript"/>
        </w:rPr>
        <w:footnoteReference w:id="34"/>
      </w:r>
      <w:r w:rsidRPr="00CA6A87">
        <w:t>,</w:t>
      </w:r>
      <w:r>
        <w:t xml:space="preserve"> lo que limita la capacidad de la ciudad para adquirir nueva deuda. Si bien, de acuerdo con los indicadores ya descritos, aún se tiene espacio para una deuda sana y sostenible, la nueva deuda que pueda contraerse tendrá que ser inferior a la del cuatrienio anterior.</w:t>
      </w:r>
    </w:p>
    <w:p w14:paraId="2950A6C0" w14:textId="77777777" w:rsidR="00EF1D5F" w:rsidRDefault="00EF1D5F" w:rsidP="00400D0D"/>
    <w:p w14:paraId="1619EE57" w14:textId="77777777" w:rsidR="00EF1D5F" w:rsidRDefault="00EF1D5F" w:rsidP="00400D0D">
      <w:r>
        <w:t>En cuanto a los gastos fiscales de la Administración central, se estima que en el mediano plazo muestra un crecimiento promedio real anual del 1,4</w:t>
      </w:r>
      <w:r>
        <w:rPr>
          <w:rFonts w:ascii="Arial" w:hAnsi="Arial" w:cs="Arial"/>
        </w:rPr>
        <w:t> </w:t>
      </w:r>
      <w:r>
        <w:t>%, por lo cual se ubica, en promedio, en el 5,2</w:t>
      </w:r>
      <w:r>
        <w:rPr>
          <w:rFonts w:ascii="Arial" w:hAnsi="Arial" w:cs="Arial"/>
        </w:rPr>
        <w:t> </w:t>
      </w:r>
      <w:r>
        <w:t xml:space="preserve">% del PIB distrital. En relación con los gastos de funcionamiento, su cálculo se enmarca en los </w:t>
      </w:r>
      <w:r>
        <w:t>criterios de la Ley 617 de 2000, que a partir de 2004 estableció como tope el 50</w:t>
      </w:r>
      <w:r>
        <w:rPr>
          <w:rFonts w:ascii="Arial" w:hAnsi="Arial" w:cs="Arial"/>
        </w:rPr>
        <w:t> </w:t>
      </w:r>
      <w:r>
        <w:t>% respecto de los ingresos corrientes de libre destinación. En total, se espera que dichos gastos muestren una variación promedio real del 1,4</w:t>
      </w:r>
      <w:r>
        <w:rPr>
          <w:rFonts w:ascii="Arial" w:hAnsi="Arial" w:cs="Arial"/>
        </w:rPr>
        <w:t> </w:t>
      </w:r>
      <w:r>
        <w:t>% anual entre 2025 y 2034.</w:t>
      </w:r>
    </w:p>
    <w:p w14:paraId="7BD94A3B" w14:textId="77777777" w:rsidR="00EF1D5F" w:rsidRDefault="00EF1D5F" w:rsidP="00400D0D"/>
    <w:p w14:paraId="5A01B656" w14:textId="77777777" w:rsidR="00EF1D5F" w:rsidRDefault="00EF1D5F" w:rsidP="00400D0D">
      <w:r>
        <w:t>Ahora bien, un aspecto relacionado con los principales impuestos de la ciudad es que existen altos niveles de evasión en impuesto predial (16,5</w:t>
      </w:r>
      <w:r>
        <w:rPr>
          <w:rFonts w:ascii="Arial" w:hAnsi="Arial" w:cs="Arial"/>
        </w:rPr>
        <w:t> </w:t>
      </w:r>
      <w:r>
        <w:t>%), vehículos (19,7</w:t>
      </w:r>
      <w:r>
        <w:rPr>
          <w:rFonts w:ascii="Arial" w:hAnsi="Arial" w:cs="Arial"/>
        </w:rPr>
        <w:t> </w:t>
      </w:r>
      <w:r>
        <w:t>%) e Impuesto de Industria y Comercio (ICA) (17</w:t>
      </w:r>
      <w:r>
        <w:rPr>
          <w:rFonts w:ascii="Arial" w:hAnsi="Arial" w:cs="Arial"/>
        </w:rPr>
        <w:t> </w:t>
      </w:r>
      <w:r>
        <w:t>%). Pese a esto, el análisis realizado arroja que desde 2017, cuando entró en vigor el sistema mixto de facturación y declaración de los impuestos a la propiedad, los niveles de evasión de los impuestos predial unificado y vehículos automotores se han mantenido en valores que en ningún caso han excedido el 20</w:t>
      </w:r>
      <w:r>
        <w:rPr>
          <w:rFonts w:ascii="Arial" w:hAnsi="Arial" w:cs="Arial"/>
        </w:rPr>
        <w:t> </w:t>
      </w:r>
      <w:r>
        <w:t>% del recaudo potencial.</w:t>
      </w:r>
    </w:p>
    <w:p w14:paraId="0EBCF9A8" w14:textId="77777777" w:rsidR="00EF1D5F" w:rsidRDefault="00EF1D5F" w:rsidP="00400D0D"/>
    <w:p w14:paraId="02C2518A" w14:textId="77777777" w:rsidR="00EF1D5F" w:rsidRDefault="00EF1D5F" w:rsidP="00400D0D">
      <w:r>
        <w:t xml:space="preserve">En 2020 se produjo un deterioro de los indicadores estratégicos de cumplimiento y evasión, en medio de la pandemia de Covid-19, lo que limitó considerablemente la capacidad de generación de ingresos de hogares y empresas, y en consecuencia, se produjo un incremento de la cartera </w:t>
      </w:r>
      <w:r>
        <w:lastRenderedPageBreak/>
        <w:t>tributaria. Para el cierre de 2023, un total de 1.100.000 contribuyentes conformaban la cartera total del Distrito Capital; dicha deuda ascendió a 12,6 billones de pesos, de los cuales el 40</w:t>
      </w:r>
      <w:r>
        <w:rPr>
          <w:rFonts w:ascii="Arial" w:hAnsi="Arial" w:cs="Arial"/>
        </w:rPr>
        <w:t> </w:t>
      </w:r>
      <w:r>
        <w:t>% constituyen el capital adeudado, y donde el 46</w:t>
      </w:r>
      <w:r>
        <w:rPr>
          <w:rFonts w:ascii="Arial" w:hAnsi="Arial" w:cs="Arial"/>
        </w:rPr>
        <w:t> </w:t>
      </w:r>
      <w:r>
        <w:t>% corresponde a intereses, y el 14</w:t>
      </w:r>
      <w:r>
        <w:rPr>
          <w:rFonts w:ascii="Arial" w:hAnsi="Arial" w:cs="Arial"/>
        </w:rPr>
        <w:t> </w:t>
      </w:r>
      <w:r>
        <w:t>%, a sanciones.</w:t>
      </w:r>
    </w:p>
    <w:p w14:paraId="73BED4C0" w14:textId="77777777" w:rsidR="00EF1D5F" w:rsidRDefault="00EF1D5F" w:rsidP="00400D0D"/>
    <w:p w14:paraId="7AF4BDBD" w14:textId="77777777" w:rsidR="00EF1D5F" w:rsidRDefault="00EF1D5F" w:rsidP="00400D0D">
      <w:r>
        <w:t>El gran peso de intereses y sanciones dificulta a los contribuyentes ponerse al día en sus obligaciones. Si bien es preciso señalar que en 2021, a fin de motivar una normalización de obligaciones tributarias incumplidas, el Concejo de Bogotá, mediante el Acuerdo 816 de agosto de 2021, aprobó una reducción del 100</w:t>
      </w:r>
      <w:r>
        <w:rPr>
          <w:rFonts w:ascii="Arial" w:hAnsi="Arial" w:cs="Arial"/>
        </w:rPr>
        <w:t> </w:t>
      </w:r>
      <w:r>
        <w:t xml:space="preserve">% en sanciones e intereses respecto de obligaciones tributarias que hubieren entrado en mora desde el inicio de la emergencia sanitaria decretada por el Gobierno nacional hasta la fecha del acuerdo, también es necesario tener en cuenta que la emergencia no finalizó sino hasta el 30 de junio de 2022, por lo cual muchos de los afectados no tuvieron la oportunidad de acogerse al beneficio. </w:t>
      </w:r>
    </w:p>
    <w:p w14:paraId="1A1FF379" w14:textId="77777777" w:rsidR="00EF1D5F" w:rsidRDefault="00EF1D5F" w:rsidP="00400D0D"/>
    <w:p w14:paraId="56CC2D84" w14:textId="77777777" w:rsidR="00EF1D5F" w:rsidRDefault="00EF1D5F" w:rsidP="00400D0D">
      <w:r>
        <w:t xml:space="preserve">Por último, para una gestión eficiente de los ingresos se requiere contar con sistemas de información automatizados y esquemas de recaudo transaccionales robustos y seguros. Conscientes de ello, las últimas dos administraciones estuvieron trabajando en implementar una solución integral que abordara las debilidades </w:t>
      </w:r>
      <w:r>
        <w:t>tecnológicas y de operación que presentaban los sistemas anteriores, en los que la base de datos de los contribuyentes se encontraba dispersa en distintos formatos, fuentes y repositorios de gestión manual, lo que impedía su análisis integral para la toma de decisiones, generaba pérdidas de integridad y confiablidad y aumentaba el riesgo de evasión tributaria y prescripción de cartera. Sin embargo, dicha iniciativa ha enfrentado diversas dificultades técnicas y contractuales que han retrasado su implementación para consolidar el firme propósito de dar soluciones simples e integrales al ciudadano a fin de cumplir sus obligaciones tributarias y recuperar los niveles de confianza en la Administración distrital.</w:t>
      </w:r>
    </w:p>
    <w:p w14:paraId="71FB0282" w14:textId="77777777" w:rsidR="00EF1D5F" w:rsidRDefault="00EF1D5F" w:rsidP="00400D0D"/>
    <w:p w14:paraId="459C2219" w14:textId="77777777" w:rsidR="00EF1D5F" w:rsidRPr="00400D0D" w:rsidRDefault="00EF1D5F" w:rsidP="00400D0D">
      <w:pPr>
        <w:rPr>
          <w:spacing w:val="-8"/>
        </w:rPr>
      </w:pPr>
      <w:r w:rsidRPr="00400D0D">
        <w:rPr>
          <w:spacing w:val="-8"/>
        </w:rPr>
        <w:t>Hoy, aunque se han solucionado muchas de las dificultades presentadas, el reto no está concluido, por lo cual la apuesta es adelantar las acciones que permitan entregar a la ciudad una versión completa de la solución integral propuesta, con información centralizada, mayor seguridad y transparencia, pero también, con acceso fácil y amigable para los ciudadanos. A partir del diagnóstico presentado en esta sección se han identificado las prioridades de la Administración distrital para este cuatrienio, las cuales buscan: 1) generar más ingresos para la ciudad; 2) asegurar una mejor calidad del gasto público, y 3) garantizar que cada una de las acciones implementadas cuente con un enfoque ciudadano.</w:t>
      </w:r>
    </w:p>
    <w:p w14:paraId="11D4F014" w14:textId="77777777" w:rsidR="00EF1D5F" w:rsidRDefault="00EF1D5F" w:rsidP="005D5A4A">
      <w:pPr>
        <w:spacing w:line="480" w:lineRule="auto"/>
        <w:rPr>
          <w:rFonts w:ascii="Times New Roman" w:hAnsi="Times New Roman"/>
          <w:sz w:val="24"/>
          <w:highlight w:val="white"/>
        </w:rPr>
        <w:sectPr w:rsidR="00EF1D5F" w:rsidSect="00F7078E">
          <w:type w:val="continuous"/>
          <w:pgSz w:w="12240" w:h="15840"/>
          <w:pgMar w:top="2262" w:right="1440" w:bottom="1440" w:left="1440" w:header="708" w:footer="680" w:gutter="0"/>
          <w:cols w:num="2" w:space="567"/>
          <w:docGrid w:linePitch="299"/>
        </w:sectPr>
      </w:pPr>
    </w:p>
    <w:p w14:paraId="310ADE52" w14:textId="77777777" w:rsidR="00EF1D5F" w:rsidRPr="00B944E8" w:rsidRDefault="00EF1D5F" w:rsidP="005D5A4A">
      <w:pPr>
        <w:spacing w:line="480" w:lineRule="auto"/>
        <w:rPr>
          <w:rFonts w:ascii="Times New Roman" w:hAnsi="Times New Roman"/>
          <w:sz w:val="24"/>
          <w:highlight w:val="white"/>
        </w:rPr>
      </w:pPr>
    </w:p>
    <w:p w14:paraId="08FFCC54" w14:textId="5F25A9A9" w:rsidR="00EF1D5F" w:rsidRPr="00CA6A87" w:rsidRDefault="00EF1D5F" w:rsidP="00CA6A87">
      <w:pPr>
        <w:ind w:firstLine="708"/>
        <w:rPr>
          <w:b/>
          <w:bCs/>
          <w:szCs w:val="28"/>
        </w:rPr>
      </w:pPr>
      <w:r w:rsidRPr="00CA6A87">
        <w:rPr>
          <w:b/>
          <w:bCs/>
          <w:sz w:val="24"/>
        </w:rPr>
        <w:t>Descripción del programa</w:t>
      </w:r>
    </w:p>
    <w:p w14:paraId="584E7281" w14:textId="77777777" w:rsidR="00EF1D5F" w:rsidRDefault="00EF1D5F" w:rsidP="00413935">
      <w:pPr>
        <w:rPr>
          <w:highlight w:val="white"/>
        </w:rPr>
        <w:sectPr w:rsidR="00EF1D5F" w:rsidSect="00F7078E">
          <w:type w:val="continuous"/>
          <w:pgSz w:w="12240" w:h="15840"/>
          <w:pgMar w:top="2262" w:right="1440" w:bottom="1440" w:left="1440" w:header="708" w:footer="680" w:gutter="0"/>
          <w:cols w:space="720"/>
          <w:docGrid w:linePitch="299"/>
        </w:sectPr>
      </w:pPr>
    </w:p>
    <w:p w14:paraId="548B9D59" w14:textId="77777777" w:rsidR="00EF1D5F" w:rsidRDefault="00EF1D5F" w:rsidP="00400D0D">
      <w:r>
        <w:t>Este programa desarrollará acciones para aumentar y optimizar los ingresos del Distrito Capital, hacer más eficientes sus gastos y garantizar su calidad, y mejorar el servicio a las y los contribuyentes en sus interacciones con la Administración para el cumplimiento de sus obligaciones tributarias.</w:t>
      </w:r>
    </w:p>
    <w:p w14:paraId="0B203B0C" w14:textId="77777777" w:rsidR="00EF1D5F" w:rsidRDefault="00EF1D5F" w:rsidP="00400D0D"/>
    <w:p w14:paraId="6E85FB6C" w14:textId="77777777" w:rsidR="00EF1D5F" w:rsidRDefault="00EF1D5F" w:rsidP="00400D0D">
      <w:r>
        <w:t xml:space="preserve">Se fortalecerán las fuentes actuales de ingreso de la ciudad entendiendo la importancia de la gestión catastral y generando estrategias para disminuir la evasión y la cartera, al tiempo que </w:t>
      </w:r>
      <w:r>
        <w:t>se trabajará por articular o fortalecer nuevos actores que permitan mecanismos alternativos de financiación de las inversiones públicas; entre ellos, el fortalecimiento de las alianzas público-privadas, las alianzas público-populares, también conocidas como</w:t>
      </w:r>
      <w:r>
        <w:rPr>
          <w:i/>
        </w:rPr>
        <w:t xml:space="preserve"> obras con saldo pedagógico</w:t>
      </w:r>
      <w:r>
        <w:t>, y la implementación para la ciudad de Bogotá del mecanismo de obras por impuestos.</w:t>
      </w:r>
    </w:p>
    <w:p w14:paraId="250B43B0" w14:textId="77777777" w:rsidR="00EF1D5F" w:rsidRDefault="00EF1D5F" w:rsidP="00400D0D"/>
    <w:p w14:paraId="3C308EAE" w14:textId="77777777" w:rsidR="00EF1D5F" w:rsidRDefault="00EF1D5F" w:rsidP="00400D0D">
      <w:r>
        <w:t xml:space="preserve">La Administración tributaria distrital buscará fortalecer el recaudo tributario mediante iniciativas para la adopción de normas sustanciales y </w:t>
      </w:r>
      <w:r>
        <w:lastRenderedPageBreak/>
        <w:t xml:space="preserve">procedimentales que permitan simplificar el ciclo tributario, reducir la evasión y gestionar diversos mecanismos que permitan complementar la financiación del Plan Distrital de Desarrollo, tales como la sobretasa bomberil, que fortalecerá la gestión integral del riesgo contra incendio; la atención de rescates y de incidentes con materiales peligrosos; la contribución por parqueaderos, cuyos recursos se destinarán para la sostenibilidad y calidad del sistema de transporte —particularmente, para garantizar el acceso de poblaciones vulnerables al transporte público, como parte de la estrategia social de la ciudad, que a través del presente plan de desarrollo reconoce el gasto en ciudad como parte del programa Ingreso Mínimo Garantizado—, y el impuesto de alumbrado público, reconociendo la importancia que tiene una adecuada iluminación del espacio para la seguridad de la ciudad y, por ende, buscando garantizar la sostenibilidad de las intervenciones de mejora, modernización y ampliación del servicio de alumbrado público. Estos mecanismos tienen origen legal y han sido implementados por administraciones y concejos municipales en diferentes regiones del país, como un ejercicio de corresponsabilidad con las finanzas y los objetivos de desarrollo municipal. </w:t>
      </w:r>
    </w:p>
    <w:p w14:paraId="2DDE7796" w14:textId="77777777" w:rsidR="00EF1D5F" w:rsidRDefault="00EF1D5F" w:rsidP="00400D0D"/>
    <w:p w14:paraId="4A9E8F2E" w14:textId="77777777" w:rsidR="00EF1D5F" w:rsidRPr="00400D0D" w:rsidRDefault="00EF1D5F" w:rsidP="00400D0D">
      <w:r>
        <w:t xml:space="preserve">En el marco de la estrategia de calidad del gasto, a través del presente programa se generarán mecanismos para optimizar la gestión financiera de los sectores que en la actualidad representan los mayores niveles de incertidumbre para las finanzas del Distrito Capital, como 1) movilidad y 2) salud, y se definirán los mecanismos para asegurar que toda nueva inversión cuente con los recursos </w:t>
      </w:r>
      <w:r w:rsidRPr="00400D0D">
        <w:t>necesarios para su operación.</w:t>
      </w:r>
    </w:p>
    <w:p w14:paraId="3FE7C1CF" w14:textId="77777777" w:rsidR="00EF1D5F" w:rsidRPr="00400D0D" w:rsidRDefault="00EF1D5F" w:rsidP="00400D0D"/>
    <w:p w14:paraId="390303D5" w14:textId="77777777" w:rsidR="00EF1D5F" w:rsidRDefault="00EF1D5F" w:rsidP="00CB6AEC">
      <w:pPr>
        <w:pStyle w:val="Prrafodelista"/>
        <w:numPr>
          <w:ilvl w:val="0"/>
          <w:numId w:val="52"/>
        </w:numPr>
        <w:spacing w:line="240" w:lineRule="auto"/>
        <w:rPr>
          <w:szCs w:val="22"/>
        </w:rPr>
      </w:pPr>
      <w:r w:rsidRPr="00400D0D">
        <w:rPr>
          <w:b/>
          <w:bCs/>
          <w:i/>
          <w:color w:val="C00000"/>
          <w:szCs w:val="22"/>
        </w:rPr>
        <w:t>Movilidad:</w:t>
      </w:r>
      <w:r w:rsidRPr="00400D0D">
        <w:rPr>
          <w:color w:val="C00000"/>
          <w:szCs w:val="22"/>
        </w:rPr>
        <w:t xml:space="preserve"> </w:t>
      </w:r>
      <w:r w:rsidRPr="00400D0D">
        <w:rPr>
          <w:szCs w:val="22"/>
        </w:rPr>
        <w:t xml:space="preserve">Si bien el sistema Transmilenio fue autosostenible en sus orígenes, la implementación del componente zonal, la adopción de algunas políticas tarifarias y, más recientemente, los efectos de la pandemia han generado que la </w:t>
      </w:r>
      <w:r w:rsidRPr="00400D0D">
        <w:rPr>
          <w:szCs w:val="22"/>
        </w:rPr>
        <w:t xml:space="preserve">diferencia entre los ingresos por validaciones y los costos del sistema se incrementen de manera significativa, y ello hace necesario contar con fuentes tanto distritales como nacionales para cubrir dicho déficit. En aras de garantizar la prestación del servicio, y considerando la capacidad adquisitiva de la población, resulta relevante disponer de una estrategia de planeación de las finanzas del sistema. Para ello es necesario hacer una revisión desde la perspectiva tanto del costo como del ingreso. Desde el costo, buscando medidas que generen mayor eficiencia y focalización del gasto; y desde el ingreso, considerando reducir la evasión, así como fuentes alternativas de financiamiento y el acceso a la cofinanciación del Gobierno nacional, establecido en los artículos 172 y 183 de la Ley 2294 de 2023. </w:t>
      </w:r>
    </w:p>
    <w:p w14:paraId="43B6CFDB" w14:textId="77777777" w:rsidR="00EF1D5F" w:rsidRPr="00400D0D" w:rsidRDefault="00EF1D5F" w:rsidP="00400D0D">
      <w:pPr>
        <w:pStyle w:val="Prrafodelista"/>
        <w:rPr>
          <w:szCs w:val="22"/>
        </w:rPr>
      </w:pPr>
    </w:p>
    <w:p w14:paraId="5750D75A" w14:textId="77777777" w:rsidR="00EF1D5F" w:rsidRPr="00400D0D" w:rsidRDefault="00EF1D5F" w:rsidP="00CB6AEC">
      <w:pPr>
        <w:pStyle w:val="Prrafodelista"/>
        <w:numPr>
          <w:ilvl w:val="0"/>
          <w:numId w:val="52"/>
        </w:numPr>
        <w:spacing w:line="240" w:lineRule="auto"/>
        <w:rPr>
          <w:szCs w:val="22"/>
        </w:rPr>
      </w:pPr>
      <w:r w:rsidRPr="00400D0D">
        <w:rPr>
          <w:b/>
          <w:bCs/>
          <w:i/>
          <w:color w:val="C00000"/>
          <w:szCs w:val="22"/>
        </w:rPr>
        <w:t>Salud:</w:t>
      </w:r>
      <w:r w:rsidRPr="00400D0D">
        <w:rPr>
          <w:color w:val="C00000"/>
          <w:szCs w:val="22"/>
        </w:rPr>
        <w:t xml:space="preserve"> </w:t>
      </w:r>
      <w:r w:rsidRPr="00400D0D">
        <w:rPr>
          <w:szCs w:val="22"/>
        </w:rPr>
        <w:t>Es necesario implementar un plan de recuperación integral y de operación sostenible de las subredes integradas de salud, el Fondo Financiero Distrital de Salud, Capital Salud EPS, la Entidad de Gestión Administrativa y Técnica (EGAT) y los demás entes involucrados, y que incluya la capitalización de la EPS distrital y la reingeniería de los procesos de gestión de las entidades del sector, buscando generar una mayor capacidad instalada para la oferta de servicios de salud. Lo anterior, en el marco del control de tutela y la rectoría que la Administración distrital ejerce sobre el sistema para alcanzar las metas de ciudad.</w:t>
      </w:r>
    </w:p>
    <w:p w14:paraId="53628CE2" w14:textId="77777777" w:rsidR="00EF1D5F" w:rsidRPr="00400D0D" w:rsidRDefault="00EF1D5F" w:rsidP="00400D0D"/>
    <w:p w14:paraId="06C3973E" w14:textId="77777777" w:rsidR="00EF1D5F" w:rsidRPr="00400D0D" w:rsidRDefault="00EF1D5F" w:rsidP="00400D0D">
      <w:r w:rsidRPr="00400D0D">
        <w:t xml:space="preserve">Finalmente, es indispensable recuperar la confianza de la ciudadanía en la gestión que realiza el Distrito Capital administrando y ejecutando sus recursos. Para eso, es indispensable que las inversiones se conviertan en bienes y servicios públicos concretos, en los tiempos esperados. </w:t>
      </w:r>
      <w:r w:rsidRPr="00400D0D">
        <w:lastRenderedPageBreak/>
        <w:t xml:space="preserve">Además, es importante ampliar y fortalecer los canales de atención presenciales y virtuales y finalizar la implementación del sistema integral de información financiera del Distrito Capital, con una oficina virtual sencilla y amigable para los contribuyentes. Adicionalmente, se requiere involucrar a la ciudadanía en la gestión continua de los recursos de la ciudad, mantenerles informados e informadas y hacerles partícipes de las soluciones que se proponen para los problemas de la ciudad y de los recursos que se necesitan para implementarlas. Fortalecer el sentido de corresponsabilidad es indispensable para que más contribuyentes cumplan oportunamente con sus obligaciones y se sientan cada vez más partícipes del desarrollo de la ciudad. </w:t>
      </w:r>
    </w:p>
    <w:p w14:paraId="188DD089" w14:textId="77777777" w:rsidR="00EF1D5F" w:rsidRPr="00400D0D" w:rsidRDefault="00EF1D5F" w:rsidP="00400D0D"/>
    <w:p w14:paraId="1385D54A" w14:textId="77777777" w:rsidR="00EF1D5F" w:rsidRPr="00400D0D" w:rsidRDefault="00EF1D5F" w:rsidP="00400D0D">
      <w:r w:rsidRPr="00400D0D">
        <w:t>Por otra parte, con este programa se desarrollarán mecanismos para la recuperación del patrimonio público, y se hará seguimiento a las entidades del sector central frente la ejecución del plan maestro para la recuperación de los recursos públicos inmersos en los procesos judiciales, extrajudiciales y penales en los que el Distrito Capital tenga interés.</w:t>
      </w:r>
    </w:p>
    <w:p w14:paraId="1054303B" w14:textId="77777777" w:rsidR="00EF1D5F" w:rsidRPr="00400D0D" w:rsidRDefault="00EF1D5F" w:rsidP="00400D0D"/>
    <w:p w14:paraId="4CE65194" w14:textId="61C5BFC4" w:rsidR="00EF1D5F" w:rsidRPr="00400D0D" w:rsidRDefault="00EF1D5F" w:rsidP="00400D0D">
      <w:r w:rsidRPr="00400D0D">
        <w:t>Se implementarán procesos de seguimiento y medición que den cuenta de su gestión y resultados, buscando, entre otros, integrar los aplicativos utilizados con tal fin y mejorar las experiencias de usuaria y usuario asociados a dichos aplicativos.</w:t>
      </w:r>
    </w:p>
    <w:p w14:paraId="3AD467DE" w14:textId="77777777" w:rsidR="00EF1D5F" w:rsidRDefault="00EF1D5F" w:rsidP="00413935">
      <w:pPr>
        <w:sectPr w:rsidR="00EF1D5F" w:rsidSect="00F7078E">
          <w:type w:val="continuous"/>
          <w:pgSz w:w="12240" w:h="15840"/>
          <w:pgMar w:top="2262" w:right="1440" w:bottom="1440" w:left="1440" w:header="708" w:footer="680" w:gutter="0"/>
          <w:cols w:num="2" w:space="567"/>
          <w:docGrid w:linePitch="299"/>
        </w:sectPr>
      </w:pPr>
    </w:p>
    <w:p w14:paraId="01A185F8" w14:textId="77777777" w:rsidR="00EF1D5F" w:rsidRPr="00B944E8" w:rsidRDefault="00EF1D5F" w:rsidP="00413935"/>
    <w:p w14:paraId="1309EE54" w14:textId="2D539764" w:rsidR="00EF1D5F" w:rsidRPr="00BF2CCE" w:rsidRDefault="00BF2CCE" w:rsidP="00BF2CCE">
      <w:pPr>
        <w:pStyle w:val="Descripcin"/>
        <w:jc w:val="center"/>
        <w:rPr>
          <w:color w:val="000000" w:themeColor="text1"/>
          <w:sz w:val="18"/>
        </w:rPr>
      </w:pPr>
      <w:bookmarkStart w:id="455" w:name="_Toc165169971"/>
      <w:r w:rsidRPr="00BF2CCE">
        <w:rPr>
          <w:color w:val="C00000"/>
          <w:sz w:val="18"/>
        </w:rPr>
        <w:t xml:space="preserve">Tabla </w:t>
      </w:r>
      <w:r w:rsidRPr="00BF2CCE">
        <w:rPr>
          <w:color w:val="C00000"/>
          <w:sz w:val="18"/>
        </w:rPr>
        <w:fldChar w:fldCharType="begin"/>
      </w:r>
      <w:r w:rsidRPr="00BF2CCE">
        <w:rPr>
          <w:color w:val="C00000"/>
          <w:sz w:val="18"/>
        </w:rPr>
        <w:instrText xml:space="preserve"> SEQ Tabla \* ARABIC </w:instrText>
      </w:r>
      <w:r w:rsidRPr="00BF2CCE">
        <w:rPr>
          <w:color w:val="C00000"/>
          <w:sz w:val="18"/>
        </w:rPr>
        <w:fldChar w:fldCharType="separate"/>
      </w:r>
      <w:r w:rsidR="00D01651">
        <w:rPr>
          <w:noProof/>
          <w:color w:val="C00000"/>
          <w:sz w:val="18"/>
        </w:rPr>
        <w:t>61</w:t>
      </w:r>
      <w:r w:rsidRPr="00BF2CCE">
        <w:rPr>
          <w:color w:val="C00000"/>
          <w:sz w:val="18"/>
        </w:rPr>
        <w:fldChar w:fldCharType="end"/>
      </w:r>
      <w:r w:rsidRPr="00BF2CCE">
        <w:rPr>
          <w:color w:val="C00000"/>
          <w:sz w:val="18"/>
        </w:rPr>
        <w:t xml:space="preserve">. </w:t>
      </w:r>
      <w:r w:rsidR="00EF1D5F" w:rsidRPr="00BF2CCE">
        <w:rPr>
          <w:color w:val="000000" w:themeColor="text1"/>
          <w:sz w:val="18"/>
        </w:rPr>
        <w:t xml:space="preserve">Metas del programa </w:t>
      </w:r>
      <w:r w:rsidRPr="00BF2CCE">
        <w:rPr>
          <w:color w:val="000000" w:themeColor="text1"/>
          <w:sz w:val="18"/>
        </w:rPr>
        <w:t xml:space="preserve">38: </w:t>
      </w:r>
      <w:r w:rsidR="00EF1D5F" w:rsidRPr="00BF2CCE">
        <w:rPr>
          <w:color w:val="000000" w:themeColor="text1"/>
          <w:sz w:val="18"/>
        </w:rPr>
        <w:t>Gestión eficiente de los ingresos y gastos enfocados en la confianza ciudadana</w:t>
      </w:r>
      <w:bookmarkEnd w:id="455"/>
    </w:p>
    <w:tbl>
      <w:tblPr>
        <w:tblW w:w="936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249"/>
        <w:gridCol w:w="1275"/>
        <w:gridCol w:w="1216"/>
        <w:gridCol w:w="1178"/>
        <w:gridCol w:w="1254"/>
        <w:gridCol w:w="1188"/>
      </w:tblGrid>
      <w:tr w:rsidR="00BF2CCE" w:rsidRPr="00BF2CCE" w14:paraId="0EFD1EAF" w14:textId="77777777" w:rsidTr="00BF2CCE">
        <w:trPr>
          <w:tblHeader/>
        </w:trPr>
        <w:tc>
          <w:tcPr>
            <w:tcW w:w="0" w:type="auto"/>
            <w:vMerge w:val="restart"/>
            <w:shd w:val="clear" w:color="auto" w:fill="C00000"/>
            <w:tcMar>
              <w:top w:w="30" w:type="dxa"/>
              <w:left w:w="45" w:type="dxa"/>
              <w:bottom w:w="30" w:type="dxa"/>
              <w:right w:w="45" w:type="dxa"/>
            </w:tcMar>
            <w:vAlign w:val="center"/>
            <w:hideMark/>
          </w:tcPr>
          <w:p w14:paraId="74C486CB" w14:textId="77777777" w:rsidR="00BF2CCE" w:rsidRPr="00BF2CCE" w:rsidRDefault="00BF2CCE" w:rsidP="00AA4BBB">
            <w:pPr>
              <w:jc w:val="center"/>
              <w:rPr>
                <w:rFonts w:cs="Arial"/>
                <w:b/>
                <w:bCs/>
                <w:color w:val="FFFFFF"/>
                <w:sz w:val="18"/>
                <w:szCs w:val="18"/>
              </w:rPr>
            </w:pPr>
            <w:r w:rsidRPr="00BF2CCE">
              <w:rPr>
                <w:rFonts w:cs="Arial"/>
                <w:b/>
                <w:bCs/>
                <w:color w:val="FFFFFF"/>
                <w:sz w:val="18"/>
                <w:szCs w:val="18"/>
              </w:rPr>
              <w:t>SECTOR / Metas</w:t>
            </w:r>
          </w:p>
        </w:tc>
        <w:tc>
          <w:tcPr>
            <w:tcW w:w="0" w:type="auto"/>
            <w:gridSpan w:val="5"/>
            <w:shd w:val="clear" w:color="auto" w:fill="C00000"/>
            <w:tcMar>
              <w:top w:w="30" w:type="dxa"/>
              <w:left w:w="45" w:type="dxa"/>
              <w:bottom w:w="30" w:type="dxa"/>
              <w:right w:w="45" w:type="dxa"/>
            </w:tcMar>
            <w:vAlign w:val="center"/>
            <w:hideMark/>
          </w:tcPr>
          <w:p w14:paraId="3273FF20" w14:textId="77777777" w:rsidR="00BF2CCE" w:rsidRPr="00BF2CCE" w:rsidRDefault="00BF2CCE" w:rsidP="00AA4BBB">
            <w:pPr>
              <w:jc w:val="center"/>
              <w:rPr>
                <w:rFonts w:cs="Arial"/>
                <w:b/>
                <w:bCs/>
                <w:color w:val="FFFFFF"/>
                <w:sz w:val="18"/>
                <w:szCs w:val="18"/>
              </w:rPr>
            </w:pPr>
            <w:r w:rsidRPr="00BF2CCE">
              <w:rPr>
                <w:rFonts w:cs="Arial"/>
                <w:b/>
                <w:bCs/>
                <w:color w:val="FFFFFF"/>
                <w:sz w:val="18"/>
                <w:szCs w:val="18"/>
              </w:rPr>
              <w:t xml:space="preserve">Magnitudes e Inversión </w:t>
            </w:r>
          </w:p>
          <w:p w14:paraId="270F3F53" w14:textId="77777777" w:rsidR="00BF2CCE" w:rsidRPr="00BF2CCE" w:rsidRDefault="00BF2CCE" w:rsidP="00AA4BBB">
            <w:pPr>
              <w:jc w:val="center"/>
              <w:rPr>
                <w:rFonts w:cs="Arial"/>
                <w:b/>
                <w:bCs/>
                <w:color w:val="FFFFFF"/>
                <w:sz w:val="18"/>
                <w:szCs w:val="18"/>
              </w:rPr>
            </w:pPr>
            <w:r w:rsidRPr="00BF2CCE">
              <w:rPr>
                <w:rFonts w:cs="Arial"/>
                <w:b/>
                <w:bCs/>
                <w:color w:val="FFFFFF"/>
                <w:sz w:val="18"/>
                <w:szCs w:val="18"/>
              </w:rPr>
              <w:t>(Precios Constantes 2024)</w:t>
            </w:r>
          </w:p>
        </w:tc>
      </w:tr>
      <w:tr w:rsidR="00BF2CCE" w:rsidRPr="00BF2CCE" w14:paraId="61E53BED" w14:textId="77777777" w:rsidTr="00F353A5">
        <w:trPr>
          <w:tblHeader/>
        </w:trPr>
        <w:tc>
          <w:tcPr>
            <w:tcW w:w="0" w:type="auto"/>
            <w:vMerge/>
            <w:vAlign w:val="center"/>
            <w:hideMark/>
          </w:tcPr>
          <w:p w14:paraId="1F8ED6A6" w14:textId="77777777" w:rsidR="00BF2CCE" w:rsidRPr="00BF2CCE" w:rsidRDefault="00BF2CCE" w:rsidP="00AA4BBB">
            <w:pPr>
              <w:rPr>
                <w:rFonts w:cs="Arial"/>
                <w:b/>
                <w:bCs/>
                <w:color w:val="FFFFFF"/>
                <w:sz w:val="18"/>
                <w:szCs w:val="18"/>
              </w:rPr>
            </w:pPr>
          </w:p>
        </w:tc>
        <w:tc>
          <w:tcPr>
            <w:tcW w:w="0" w:type="auto"/>
            <w:shd w:val="clear" w:color="auto" w:fill="D9D9D9"/>
            <w:tcMar>
              <w:top w:w="30" w:type="dxa"/>
              <w:left w:w="45" w:type="dxa"/>
              <w:bottom w:w="30" w:type="dxa"/>
              <w:right w:w="45" w:type="dxa"/>
            </w:tcMar>
            <w:vAlign w:val="center"/>
            <w:hideMark/>
          </w:tcPr>
          <w:p w14:paraId="45CD6530" w14:textId="77777777" w:rsidR="00BF2CCE" w:rsidRPr="00BF2CCE" w:rsidRDefault="00BF2CCE" w:rsidP="00AA4BBB">
            <w:pPr>
              <w:jc w:val="center"/>
              <w:rPr>
                <w:rFonts w:cs="Arial"/>
                <w:b/>
                <w:bCs/>
                <w:sz w:val="18"/>
                <w:szCs w:val="18"/>
              </w:rPr>
            </w:pPr>
            <w:r w:rsidRPr="00BF2CCE">
              <w:rPr>
                <w:rFonts w:cs="Arial"/>
                <w:b/>
                <w:bCs/>
                <w:sz w:val="18"/>
                <w:szCs w:val="18"/>
              </w:rPr>
              <w:t>2024</w:t>
            </w:r>
          </w:p>
        </w:tc>
        <w:tc>
          <w:tcPr>
            <w:tcW w:w="0" w:type="auto"/>
            <w:shd w:val="clear" w:color="auto" w:fill="D9D9D9"/>
            <w:tcMar>
              <w:top w:w="30" w:type="dxa"/>
              <w:left w:w="45" w:type="dxa"/>
              <w:bottom w:w="30" w:type="dxa"/>
              <w:right w:w="45" w:type="dxa"/>
            </w:tcMar>
            <w:vAlign w:val="center"/>
            <w:hideMark/>
          </w:tcPr>
          <w:p w14:paraId="73AFB5D4" w14:textId="77777777" w:rsidR="00BF2CCE" w:rsidRPr="00BF2CCE" w:rsidRDefault="00BF2CCE" w:rsidP="00AA4BBB">
            <w:pPr>
              <w:jc w:val="center"/>
              <w:rPr>
                <w:rFonts w:cs="Arial"/>
                <w:b/>
                <w:bCs/>
                <w:sz w:val="18"/>
                <w:szCs w:val="18"/>
              </w:rPr>
            </w:pPr>
            <w:r w:rsidRPr="00BF2CCE">
              <w:rPr>
                <w:rFonts w:cs="Arial"/>
                <w:b/>
                <w:bCs/>
                <w:sz w:val="18"/>
                <w:szCs w:val="18"/>
              </w:rPr>
              <w:t>2025</w:t>
            </w:r>
          </w:p>
        </w:tc>
        <w:tc>
          <w:tcPr>
            <w:tcW w:w="0" w:type="auto"/>
            <w:shd w:val="clear" w:color="auto" w:fill="D9D9D9"/>
            <w:tcMar>
              <w:top w:w="30" w:type="dxa"/>
              <w:left w:w="45" w:type="dxa"/>
              <w:bottom w:w="30" w:type="dxa"/>
              <w:right w:w="45" w:type="dxa"/>
            </w:tcMar>
            <w:vAlign w:val="center"/>
            <w:hideMark/>
          </w:tcPr>
          <w:p w14:paraId="36DF8C96" w14:textId="77777777" w:rsidR="00BF2CCE" w:rsidRPr="00BF2CCE" w:rsidRDefault="00BF2CCE" w:rsidP="00AA4BBB">
            <w:pPr>
              <w:jc w:val="center"/>
              <w:rPr>
                <w:rFonts w:cs="Arial"/>
                <w:b/>
                <w:bCs/>
                <w:sz w:val="18"/>
                <w:szCs w:val="18"/>
              </w:rPr>
            </w:pPr>
            <w:r w:rsidRPr="00BF2CCE">
              <w:rPr>
                <w:rFonts w:cs="Arial"/>
                <w:b/>
                <w:bCs/>
                <w:sz w:val="18"/>
                <w:szCs w:val="18"/>
              </w:rPr>
              <w:t>2026</w:t>
            </w:r>
          </w:p>
        </w:tc>
        <w:tc>
          <w:tcPr>
            <w:tcW w:w="0" w:type="auto"/>
            <w:shd w:val="clear" w:color="auto" w:fill="D9D9D9"/>
            <w:tcMar>
              <w:top w:w="30" w:type="dxa"/>
              <w:left w:w="45" w:type="dxa"/>
              <w:bottom w:w="30" w:type="dxa"/>
              <w:right w:w="45" w:type="dxa"/>
            </w:tcMar>
            <w:vAlign w:val="center"/>
            <w:hideMark/>
          </w:tcPr>
          <w:p w14:paraId="39213906" w14:textId="77777777" w:rsidR="00BF2CCE" w:rsidRPr="00BF2CCE" w:rsidRDefault="00BF2CCE" w:rsidP="00AA4BBB">
            <w:pPr>
              <w:jc w:val="center"/>
              <w:rPr>
                <w:rFonts w:cs="Arial"/>
                <w:b/>
                <w:bCs/>
                <w:sz w:val="18"/>
                <w:szCs w:val="18"/>
              </w:rPr>
            </w:pPr>
            <w:r w:rsidRPr="00BF2CCE">
              <w:rPr>
                <w:rFonts w:cs="Arial"/>
                <w:b/>
                <w:bCs/>
                <w:sz w:val="18"/>
                <w:szCs w:val="18"/>
              </w:rPr>
              <w:t>2027</w:t>
            </w:r>
          </w:p>
        </w:tc>
        <w:tc>
          <w:tcPr>
            <w:tcW w:w="0" w:type="auto"/>
            <w:shd w:val="clear" w:color="auto" w:fill="D9D9D9"/>
            <w:tcMar>
              <w:top w:w="30" w:type="dxa"/>
              <w:left w:w="45" w:type="dxa"/>
              <w:bottom w:w="30" w:type="dxa"/>
              <w:right w:w="45" w:type="dxa"/>
            </w:tcMar>
            <w:vAlign w:val="center"/>
            <w:hideMark/>
          </w:tcPr>
          <w:p w14:paraId="035D6E22" w14:textId="77777777" w:rsidR="00F353A5" w:rsidRDefault="00BF2CCE" w:rsidP="00F353A5">
            <w:pPr>
              <w:jc w:val="right"/>
              <w:rPr>
                <w:rFonts w:cs="Arial"/>
                <w:b/>
                <w:bCs/>
                <w:sz w:val="18"/>
                <w:szCs w:val="18"/>
              </w:rPr>
            </w:pPr>
            <w:r w:rsidRPr="00BF2CCE">
              <w:rPr>
                <w:rFonts w:cs="Arial"/>
                <w:b/>
                <w:bCs/>
                <w:sz w:val="18"/>
                <w:szCs w:val="18"/>
              </w:rPr>
              <w:t>Total</w:t>
            </w:r>
          </w:p>
          <w:p w14:paraId="4A956F8C" w14:textId="4093DBA0" w:rsidR="00BF2CCE" w:rsidRPr="00BF2CCE" w:rsidRDefault="00BF2CCE" w:rsidP="00F353A5">
            <w:pPr>
              <w:jc w:val="right"/>
              <w:rPr>
                <w:rFonts w:cs="Arial"/>
                <w:b/>
                <w:bCs/>
                <w:sz w:val="18"/>
                <w:szCs w:val="18"/>
              </w:rPr>
            </w:pPr>
            <w:r w:rsidRPr="00BF2CCE">
              <w:rPr>
                <w:rFonts w:cs="Arial"/>
                <w:b/>
                <w:bCs/>
                <w:sz w:val="18"/>
                <w:szCs w:val="18"/>
              </w:rPr>
              <w:t>Inversión</w:t>
            </w:r>
          </w:p>
        </w:tc>
      </w:tr>
      <w:tr w:rsidR="00BF2CCE" w:rsidRPr="00BF2CCE" w14:paraId="4CE08DE5" w14:textId="77777777" w:rsidTr="00BF2CCE">
        <w:tc>
          <w:tcPr>
            <w:tcW w:w="0" w:type="auto"/>
            <w:gridSpan w:val="6"/>
            <w:shd w:val="clear" w:color="auto" w:fill="C00000"/>
            <w:tcMar>
              <w:top w:w="30" w:type="dxa"/>
              <w:left w:w="45" w:type="dxa"/>
              <w:bottom w:w="30" w:type="dxa"/>
              <w:right w:w="45" w:type="dxa"/>
            </w:tcMar>
            <w:vAlign w:val="center"/>
            <w:hideMark/>
          </w:tcPr>
          <w:p w14:paraId="3238ECC8" w14:textId="77777777" w:rsidR="00BF2CCE" w:rsidRPr="00BF2CCE" w:rsidRDefault="00BF2CCE" w:rsidP="00AA4BBB">
            <w:pPr>
              <w:jc w:val="center"/>
              <w:rPr>
                <w:rFonts w:cs="Arial"/>
                <w:b/>
                <w:bCs/>
                <w:sz w:val="18"/>
                <w:szCs w:val="18"/>
              </w:rPr>
            </w:pPr>
            <w:r w:rsidRPr="00BF2CCE">
              <w:rPr>
                <w:rFonts w:cs="Arial"/>
                <w:b/>
                <w:bCs/>
                <w:color w:val="FFFFFF" w:themeColor="background1"/>
                <w:sz w:val="18"/>
                <w:szCs w:val="18"/>
              </w:rPr>
              <w:t>Gestión Jurídica</w:t>
            </w:r>
          </w:p>
        </w:tc>
      </w:tr>
      <w:tr w:rsidR="00BF2CCE" w:rsidRPr="00BF2CCE" w14:paraId="325D672E" w14:textId="77777777" w:rsidTr="00BF2CCE">
        <w:tc>
          <w:tcPr>
            <w:tcW w:w="0" w:type="auto"/>
            <w:vMerge w:val="restart"/>
            <w:tcMar>
              <w:top w:w="30" w:type="dxa"/>
              <w:left w:w="45" w:type="dxa"/>
              <w:bottom w:w="30" w:type="dxa"/>
              <w:right w:w="45" w:type="dxa"/>
            </w:tcMar>
            <w:vAlign w:val="center"/>
            <w:hideMark/>
          </w:tcPr>
          <w:p w14:paraId="5DB070D7" w14:textId="77777777" w:rsidR="00BF2CCE" w:rsidRPr="00BF2CCE" w:rsidRDefault="00BF2CCE" w:rsidP="00AA4BBB">
            <w:pPr>
              <w:rPr>
                <w:rFonts w:cs="Arial"/>
                <w:sz w:val="18"/>
                <w:szCs w:val="18"/>
              </w:rPr>
            </w:pPr>
            <w:r w:rsidRPr="00BF2CCE">
              <w:rPr>
                <w:rFonts w:cs="Arial"/>
                <w:sz w:val="18"/>
                <w:szCs w:val="18"/>
              </w:rPr>
              <w:t>Generar cuatro (4) estrategias para el fortalecimiento jurídico del Distrito Capital para la prevención del daño antijurídico la participación eficiente en los procesos judiciales y extrajudiciales y la gestión del conocimiento.</w:t>
            </w:r>
          </w:p>
        </w:tc>
        <w:tc>
          <w:tcPr>
            <w:tcW w:w="0" w:type="auto"/>
            <w:tcMar>
              <w:top w:w="30" w:type="dxa"/>
              <w:left w:w="45" w:type="dxa"/>
              <w:bottom w:w="30" w:type="dxa"/>
              <w:right w:w="45" w:type="dxa"/>
            </w:tcMar>
            <w:vAlign w:val="center"/>
            <w:hideMark/>
          </w:tcPr>
          <w:p w14:paraId="54E5E276"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tcMar>
              <w:top w:w="30" w:type="dxa"/>
              <w:left w:w="45" w:type="dxa"/>
              <w:bottom w:w="30" w:type="dxa"/>
              <w:right w:w="45" w:type="dxa"/>
            </w:tcMar>
            <w:vAlign w:val="center"/>
            <w:hideMark/>
          </w:tcPr>
          <w:p w14:paraId="122DBA76"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tcMar>
              <w:top w:w="30" w:type="dxa"/>
              <w:left w:w="45" w:type="dxa"/>
              <w:bottom w:w="30" w:type="dxa"/>
              <w:right w:w="45" w:type="dxa"/>
            </w:tcMar>
            <w:vAlign w:val="center"/>
            <w:hideMark/>
          </w:tcPr>
          <w:p w14:paraId="7F57026D"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tcMar>
              <w:top w:w="30" w:type="dxa"/>
              <w:left w:w="45" w:type="dxa"/>
              <w:bottom w:w="30" w:type="dxa"/>
              <w:right w:w="45" w:type="dxa"/>
            </w:tcMar>
            <w:vAlign w:val="center"/>
            <w:hideMark/>
          </w:tcPr>
          <w:p w14:paraId="48050D54"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vMerge w:val="restart"/>
            <w:tcMar>
              <w:top w:w="30" w:type="dxa"/>
              <w:left w:w="45" w:type="dxa"/>
              <w:bottom w:w="30" w:type="dxa"/>
              <w:right w:w="45" w:type="dxa"/>
            </w:tcMar>
            <w:vAlign w:val="center"/>
            <w:hideMark/>
          </w:tcPr>
          <w:p w14:paraId="04DD2191" w14:textId="77777777" w:rsidR="00BF2CCE" w:rsidRPr="00BF2CCE" w:rsidRDefault="00BF2CCE" w:rsidP="00AA4BBB">
            <w:pPr>
              <w:jc w:val="center"/>
              <w:rPr>
                <w:rFonts w:cs="Arial"/>
                <w:b/>
                <w:bCs/>
                <w:sz w:val="18"/>
                <w:szCs w:val="18"/>
              </w:rPr>
            </w:pPr>
            <w:r w:rsidRPr="00BF2CCE">
              <w:rPr>
                <w:rFonts w:cs="Arial"/>
                <w:b/>
                <w:bCs/>
                <w:sz w:val="18"/>
                <w:szCs w:val="18"/>
              </w:rPr>
              <w:t>6.802.521.210</w:t>
            </w:r>
          </w:p>
        </w:tc>
      </w:tr>
      <w:tr w:rsidR="00BF2CCE" w:rsidRPr="00BF2CCE" w14:paraId="17EC33AF" w14:textId="77777777" w:rsidTr="00BF2CCE">
        <w:tc>
          <w:tcPr>
            <w:tcW w:w="0" w:type="auto"/>
            <w:vMerge/>
            <w:vAlign w:val="center"/>
            <w:hideMark/>
          </w:tcPr>
          <w:p w14:paraId="444C2FB2" w14:textId="77777777" w:rsidR="00BF2CCE" w:rsidRPr="00BF2CCE" w:rsidRDefault="00BF2CCE" w:rsidP="00AA4BBB">
            <w:pPr>
              <w:rPr>
                <w:rFonts w:cs="Arial"/>
                <w:sz w:val="18"/>
                <w:szCs w:val="18"/>
              </w:rPr>
            </w:pPr>
          </w:p>
        </w:tc>
        <w:tc>
          <w:tcPr>
            <w:tcW w:w="0" w:type="auto"/>
            <w:tcMar>
              <w:top w:w="30" w:type="dxa"/>
              <w:left w:w="45" w:type="dxa"/>
              <w:bottom w:w="30" w:type="dxa"/>
              <w:right w:w="45" w:type="dxa"/>
            </w:tcMar>
            <w:vAlign w:val="center"/>
            <w:hideMark/>
          </w:tcPr>
          <w:p w14:paraId="39CE8D4A" w14:textId="77777777" w:rsidR="00BF2CCE" w:rsidRPr="00BF2CCE" w:rsidRDefault="00BF2CCE" w:rsidP="00AA4BBB">
            <w:pPr>
              <w:jc w:val="center"/>
              <w:rPr>
                <w:rFonts w:cs="Arial"/>
                <w:sz w:val="18"/>
                <w:szCs w:val="18"/>
              </w:rPr>
            </w:pPr>
            <w:r w:rsidRPr="00BF2CCE">
              <w:rPr>
                <w:rFonts w:cs="Arial"/>
                <w:sz w:val="18"/>
                <w:szCs w:val="18"/>
              </w:rPr>
              <w:t>1.822.000.000</w:t>
            </w:r>
          </w:p>
        </w:tc>
        <w:tc>
          <w:tcPr>
            <w:tcW w:w="0" w:type="auto"/>
            <w:tcMar>
              <w:top w:w="30" w:type="dxa"/>
              <w:left w:w="45" w:type="dxa"/>
              <w:bottom w:w="30" w:type="dxa"/>
              <w:right w:w="45" w:type="dxa"/>
            </w:tcMar>
            <w:vAlign w:val="center"/>
            <w:hideMark/>
          </w:tcPr>
          <w:p w14:paraId="440F309E" w14:textId="77777777" w:rsidR="00BF2CCE" w:rsidRPr="00BF2CCE" w:rsidRDefault="00BF2CCE" w:rsidP="00AA4BBB">
            <w:pPr>
              <w:jc w:val="center"/>
              <w:rPr>
                <w:rFonts w:cs="Arial"/>
                <w:sz w:val="18"/>
                <w:szCs w:val="18"/>
              </w:rPr>
            </w:pPr>
            <w:r w:rsidRPr="00BF2CCE">
              <w:rPr>
                <w:rFonts w:cs="Arial"/>
                <w:sz w:val="18"/>
                <w:szCs w:val="18"/>
              </w:rPr>
              <w:t>1.456.310.680</w:t>
            </w:r>
          </w:p>
        </w:tc>
        <w:tc>
          <w:tcPr>
            <w:tcW w:w="0" w:type="auto"/>
            <w:tcMar>
              <w:top w:w="30" w:type="dxa"/>
              <w:left w:w="45" w:type="dxa"/>
              <w:bottom w:w="30" w:type="dxa"/>
              <w:right w:w="45" w:type="dxa"/>
            </w:tcMar>
            <w:vAlign w:val="center"/>
            <w:hideMark/>
          </w:tcPr>
          <w:p w14:paraId="15C8E3FC" w14:textId="77777777" w:rsidR="00BF2CCE" w:rsidRPr="00BF2CCE" w:rsidRDefault="00BF2CCE" w:rsidP="00AA4BBB">
            <w:pPr>
              <w:jc w:val="center"/>
              <w:rPr>
                <w:rFonts w:cs="Arial"/>
                <w:sz w:val="18"/>
                <w:szCs w:val="18"/>
              </w:rPr>
            </w:pPr>
            <w:r w:rsidRPr="00BF2CCE">
              <w:rPr>
                <w:rFonts w:cs="Arial"/>
                <w:sz w:val="18"/>
                <w:szCs w:val="18"/>
              </w:rPr>
              <w:t>1.602.413.046</w:t>
            </w:r>
          </w:p>
        </w:tc>
        <w:tc>
          <w:tcPr>
            <w:tcW w:w="0" w:type="auto"/>
            <w:tcMar>
              <w:top w:w="30" w:type="dxa"/>
              <w:left w:w="45" w:type="dxa"/>
              <w:bottom w:w="30" w:type="dxa"/>
              <w:right w:w="45" w:type="dxa"/>
            </w:tcMar>
            <w:vAlign w:val="center"/>
            <w:hideMark/>
          </w:tcPr>
          <w:p w14:paraId="56DEF211" w14:textId="77777777" w:rsidR="00BF2CCE" w:rsidRPr="00BF2CCE" w:rsidRDefault="00BF2CCE" w:rsidP="00AA4BBB">
            <w:pPr>
              <w:jc w:val="center"/>
              <w:rPr>
                <w:rFonts w:cs="Arial"/>
                <w:sz w:val="18"/>
                <w:szCs w:val="18"/>
              </w:rPr>
            </w:pPr>
            <w:r w:rsidRPr="00BF2CCE">
              <w:rPr>
                <w:rFonts w:cs="Arial"/>
                <w:sz w:val="18"/>
                <w:szCs w:val="18"/>
              </w:rPr>
              <w:t>1.921.797.485</w:t>
            </w:r>
          </w:p>
        </w:tc>
        <w:tc>
          <w:tcPr>
            <w:tcW w:w="0" w:type="auto"/>
            <w:vMerge/>
            <w:vAlign w:val="center"/>
            <w:hideMark/>
          </w:tcPr>
          <w:p w14:paraId="41F966DE" w14:textId="77777777" w:rsidR="00BF2CCE" w:rsidRPr="00BF2CCE" w:rsidRDefault="00BF2CCE" w:rsidP="00AA4BBB">
            <w:pPr>
              <w:rPr>
                <w:rFonts w:cs="Arial"/>
                <w:b/>
                <w:bCs/>
                <w:sz w:val="18"/>
                <w:szCs w:val="18"/>
              </w:rPr>
            </w:pPr>
          </w:p>
        </w:tc>
      </w:tr>
      <w:tr w:rsidR="00BF2CCE" w:rsidRPr="00BF2CCE" w14:paraId="1B6B3F48" w14:textId="77777777" w:rsidTr="00BF2CCE">
        <w:tc>
          <w:tcPr>
            <w:tcW w:w="0" w:type="auto"/>
            <w:vMerge w:val="restart"/>
            <w:tcMar>
              <w:top w:w="30" w:type="dxa"/>
              <w:left w:w="45" w:type="dxa"/>
              <w:bottom w:w="30" w:type="dxa"/>
              <w:right w:w="45" w:type="dxa"/>
            </w:tcMar>
            <w:vAlign w:val="center"/>
            <w:hideMark/>
          </w:tcPr>
          <w:p w14:paraId="5B877CAA" w14:textId="77777777" w:rsidR="00BF2CCE" w:rsidRPr="00BF2CCE" w:rsidRDefault="00BF2CCE" w:rsidP="00AA4BBB">
            <w:pPr>
              <w:rPr>
                <w:rFonts w:cs="Arial"/>
                <w:sz w:val="18"/>
                <w:szCs w:val="18"/>
              </w:rPr>
            </w:pPr>
            <w:r w:rsidRPr="00BF2CCE">
              <w:rPr>
                <w:rFonts w:cs="Arial"/>
                <w:sz w:val="18"/>
                <w:szCs w:val="18"/>
              </w:rPr>
              <w:t>Implementar 4 (cuatro) planes de acompañamiento y asesorías a las Alcaldías Locales en materia de defensa judicial y prevención del daño antijurídico en los procesos judiciales con mayor valor en pretensiones.</w:t>
            </w:r>
          </w:p>
        </w:tc>
        <w:tc>
          <w:tcPr>
            <w:tcW w:w="0" w:type="auto"/>
            <w:tcMar>
              <w:top w:w="30" w:type="dxa"/>
              <w:left w:w="45" w:type="dxa"/>
              <w:bottom w:w="30" w:type="dxa"/>
              <w:right w:w="45" w:type="dxa"/>
            </w:tcMar>
            <w:vAlign w:val="center"/>
            <w:hideMark/>
          </w:tcPr>
          <w:p w14:paraId="77C67985"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tcMar>
              <w:top w:w="30" w:type="dxa"/>
              <w:left w:w="45" w:type="dxa"/>
              <w:bottom w:w="30" w:type="dxa"/>
              <w:right w:w="45" w:type="dxa"/>
            </w:tcMar>
            <w:vAlign w:val="center"/>
            <w:hideMark/>
          </w:tcPr>
          <w:p w14:paraId="1430D583"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tcMar>
              <w:top w:w="30" w:type="dxa"/>
              <w:left w:w="45" w:type="dxa"/>
              <w:bottom w:w="30" w:type="dxa"/>
              <w:right w:w="45" w:type="dxa"/>
            </w:tcMar>
            <w:vAlign w:val="center"/>
            <w:hideMark/>
          </w:tcPr>
          <w:p w14:paraId="307BAF2C"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tcMar>
              <w:top w:w="30" w:type="dxa"/>
              <w:left w:w="45" w:type="dxa"/>
              <w:bottom w:w="30" w:type="dxa"/>
              <w:right w:w="45" w:type="dxa"/>
            </w:tcMar>
            <w:vAlign w:val="center"/>
            <w:hideMark/>
          </w:tcPr>
          <w:p w14:paraId="13FC07C0" w14:textId="77777777" w:rsidR="00BF2CCE" w:rsidRPr="00BF2CCE" w:rsidRDefault="00BF2CCE" w:rsidP="00AA4BBB">
            <w:pPr>
              <w:jc w:val="center"/>
              <w:rPr>
                <w:rFonts w:cs="Arial"/>
                <w:sz w:val="18"/>
                <w:szCs w:val="18"/>
              </w:rPr>
            </w:pPr>
            <w:r w:rsidRPr="00BF2CCE">
              <w:rPr>
                <w:rFonts w:cs="Arial"/>
                <w:sz w:val="18"/>
                <w:szCs w:val="18"/>
              </w:rPr>
              <w:t>1</w:t>
            </w:r>
          </w:p>
        </w:tc>
        <w:tc>
          <w:tcPr>
            <w:tcW w:w="0" w:type="auto"/>
            <w:vMerge w:val="restart"/>
            <w:tcMar>
              <w:top w:w="30" w:type="dxa"/>
              <w:left w:w="45" w:type="dxa"/>
              <w:bottom w:w="30" w:type="dxa"/>
              <w:right w:w="45" w:type="dxa"/>
            </w:tcMar>
            <w:vAlign w:val="center"/>
            <w:hideMark/>
          </w:tcPr>
          <w:p w14:paraId="46C1FF48" w14:textId="77777777" w:rsidR="00BF2CCE" w:rsidRPr="00BF2CCE" w:rsidRDefault="00BF2CCE" w:rsidP="00AA4BBB">
            <w:pPr>
              <w:jc w:val="center"/>
              <w:rPr>
                <w:rFonts w:cs="Arial"/>
                <w:b/>
                <w:bCs/>
                <w:sz w:val="18"/>
                <w:szCs w:val="18"/>
              </w:rPr>
            </w:pPr>
            <w:r w:rsidRPr="00BF2CCE">
              <w:rPr>
                <w:rFonts w:cs="Arial"/>
                <w:b/>
                <w:bCs/>
                <w:sz w:val="18"/>
                <w:szCs w:val="18"/>
              </w:rPr>
              <w:t>1.412.767.553</w:t>
            </w:r>
          </w:p>
        </w:tc>
      </w:tr>
      <w:tr w:rsidR="00BF2CCE" w:rsidRPr="00BF2CCE" w14:paraId="6518CCFB" w14:textId="77777777" w:rsidTr="00BF2CCE">
        <w:tc>
          <w:tcPr>
            <w:tcW w:w="0" w:type="auto"/>
            <w:vMerge/>
            <w:vAlign w:val="center"/>
            <w:hideMark/>
          </w:tcPr>
          <w:p w14:paraId="7C6763A0" w14:textId="77777777" w:rsidR="00BF2CCE" w:rsidRPr="00BF2CCE" w:rsidRDefault="00BF2CCE" w:rsidP="00AA4BBB">
            <w:pPr>
              <w:rPr>
                <w:rFonts w:cs="Arial"/>
                <w:sz w:val="18"/>
                <w:szCs w:val="18"/>
              </w:rPr>
            </w:pPr>
          </w:p>
        </w:tc>
        <w:tc>
          <w:tcPr>
            <w:tcW w:w="0" w:type="auto"/>
            <w:tcMar>
              <w:top w:w="30" w:type="dxa"/>
              <w:left w:w="45" w:type="dxa"/>
              <w:bottom w:w="30" w:type="dxa"/>
              <w:right w:w="45" w:type="dxa"/>
            </w:tcMar>
            <w:vAlign w:val="center"/>
            <w:hideMark/>
          </w:tcPr>
          <w:p w14:paraId="2565F35A" w14:textId="77777777" w:rsidR="00BF2CCE" w:rsidRPr="00BF2CCE" w:rsidRDefault="00BF2CCE" w:rsidP="00AA4BBB">
            <w:pPr>
              <w:jc w:val="center"/>
              <w:rPr>
                <w:rFonts w:cs="Arial"/>
                <w:sz w:val="18"/>
                <w:szCs w:val="18"/>
              </w:rPr>
            </w:pPr>
            <w:r w:rsidRPr="00BF2CCE">
              <w:rPr>
                <w:rFonts w:cs="Arial"/>
                <w:sz w:val="18"/>
                <w:szCs w:val="18"/>
              </w:rPr>
              <w:t>250.000.000</w:t>
            </w:r>
          </w:p>
        </w:tc>
        <w:tc>
          <w:tcPr>
            <w:tcW w:w="0" w:type="auto"/>
            <w:tcMar>
              <w:top w:w="30" w:type="dxa"/>
              <w:left w:w="45" w:type="dxa"/>
              <w:bottom w:w="30" w:type="dxa"/>
              <w:right w:w="45" w:type="dxa"/>
            </w:tcMar>
            <w:vAlign w:val="center"/>
            <w:hideMark/>
          </w:tcPr>
          <w:p w14:paraId="533591D8" w14:textId="77777777" w:rsidR="00BF2CCE" w:rsidRPr="00BF2CCE" w:rsidRDefault="00BF2CCE" w:rsidP="00AA4BBB">
            <w:pPr>
              <w:jc w:val="center"/>
              <w:rPr>
                <w:rFonts w:cs="Arial"/>
                <w:sz w:val="18"/>
                <w:szCs w:val="18"/>
              </w:rPr>
            </w:pPr>
            <w:r w:rsidRPr="00BF2CCE">
              <w:rPr>
                <w:rFonts w:cs="Arial"/>
                <w:sz w:val="18"/>
                <w:szCs w:val="18"/>
              </w:rPr>
              <w:t>364.077.670</w:t>
            </w:r>
          </w:p>
        </w:tc>
        <w:tc>
          <w:tcPr>
            <w:tcW w:w="0" w:type="auto"/>
            <w:tcMar>
              <w:top w:w="30" w:type="dxa"/>
              <w:left w:w="45" w:type="dxa"/>
              <w:bottom w:w="30" w:type="dxa"/>
              <w:right w:w="45" w:type="dxa"/>
            </w:tcMar>
            <w:vAlign w:val="center"/>
            <w:hideMark/>
          </w:tcPr>
          <w:p w14:paraId="4928F69E" w14:textId="77777777" w:rsidR="00BF2CCE" w:rsidRPr="00BF2CCE" w:rsidRDefault="00BF2CCE" w:rsidP="00AA4BBB">
            <w:pPr>
              <w:jc w:val="center"/>
              <w:rPr>
                <w:rFonts w:cs="Arial"/>
                <w:sz w:val="18"/>
                <w:szCs w:val="18"/>
              </w:rPr>
            </w:pPr>
            <w:r w:rsidRPr="00BF2CCE">
              <w:rPr>
                <w:rFonts w:cs="Arial"/>
                <w:sz w:val="18"/>
                <w:szCs w:val="18"/>
              </w:rPr>
              <w:t>400.603.261</w:t>
            </w:r>
          </w:p>
        </w:tc>
        <w:tc>
          <w:tcPr>
            <w:tcW w:w="0" w:type="auto"/>
            <w:tcMar>
              <w:top w:w="30" w:type="dxa"/>
              <w:left w:w="45" w:type="dxa"/>
              <w:bottom w:w="30" w:type="dxa"/>
              <w:right w:w="45" w:type="dxa"/>
            </w:tcMar>
            <w:vAlign w:val="center"/>
            <w:hideMark/>
          </w:tcPr>
          <w:p w14:paraId="4389DB7F" w14:textId="77777777" w:rsidR="00BF2CCE" w:rsidRPr="00BF2CCE" w:rsidRDefault="00BF2CCE" w:rsidP="00AA4BBB">
            <w:pPr>
              <w:jc w:val="center"/>
              <w:rPr>
                <w:rFonts w:cs="Arial"/>
                <w:sz w:val="18"/>
                <w:szCs w:val="18"/>
              </w:rPr>
            </w:pPr>
            <w:r w:rsidRPr="00BF2CCE">
              <w:rPr>
                <w:rFonts w:cs="Arial"/>
                <w:sz w:val="18"/>
                <w:szCs w:val="18"/>
              </w:rPr>
              <w:t>398.086.622</w:t>
            </w:r>
          </w:p>
        </w:tc>
        <w:tc>
          <w:tcPr>
            <w:tcW w:w="0" w:type="auto"/>
            <w:vMerge/>
            <w:vAlign w:val="center"/>
            <w:hideMark/>
          </w:tcPr>
          <w:p w14:paraId="1AB677A6" w14:textId="77777777" w:rsidR="00BF2CCE" w:rsidRPr="00BF2CCE" w:rsidRDefault="00BF2CCE" w:rsidP="00AA4BBB">
            <w:pPr>
              <w:rPr>
                <w:rFonts w:cs="Arial"/>
                <w:b/>
                <w:bCs/>
                <w:sz w:val="18"/>
                <w:szCs w:val="18"/>
              </w:rPr>
            </w:pPr>
          </w:p>
        </w:tc>
      </w:tr>
      <w:tr w:rsidR="00BF2CCE" w:rsidRPr="00BF2CCE" w14:paraId="5F96A287" w14:textId="77777777" w:rsidTr="00BF2CCE">
        <w:tc>
          <w:tcPr>
            <w:tcW w:w="0" w:type="auto"/>
            <w:gridSpan w:val="6"/>
            <w:shd w:val="clear" w:color="auto" w:fill="C00000"/>
            <w:tcMar>
              <w:top w:w="30" w:type="dxa"/>
              <w:left w:w="45" w:type="dxa"/>
              <w:bottom w:w="30" w:type="dxa"/>
              <w:right w:w="45" w:type="dxa"/>
            </w:tcMar>
            <w:vAlign w:val="center"/>
            <w:hideMark/>
          </w:tcPr>
          <w:p w14:paraId="037CA370" w14:textId="77777777" w:rsidR="00BF2CCE" w:rsidRPr="00BF2CCE" w:rsidRDefault="00BF2CCE" w:rsidP="00AA4BBB">
            <w:pPr>
              <w:jc w:val="center"/>
              <w:rPr>
                <w:rFonts w:cs="Arial"/>
                <w:b/>
                <w:bCs/>
                <w:sz w:val="18"/>
                <w:szCs w:val="18"/>
              </w:rPr>
            </w:pPr>
            <w:r w:rsidRPr="00BF2CCE">
              <w:rPr>
                <w:rFonts w:cs="Arial"/>
                <w:b/>
                <w:bCs/>
                <w:color w:val="FFFFFF" w:themeColor="background1"/>
                <w:sz w:val="18"/>
                <w:szCs w:val="18"/>
              </w:rPr>
              <w:t>Hacienda</w:t>
            </w:r>
          </w:p>
        </w:tc>
      </w:tr>
      <w:tr w:rsidR="00BF2CCE" w:rsidRPr="00BF2CCE" w14:paraId="2872BD3A" w14:textId="77777777" w:rsidTr="00BF2CCE">
        <w:tc>
          <w:tcPr>
            <w:tcW w:w="0" w:type="auto"/>
            <w:vMerge w:val="restart"/>
            <w:tcMar>
              <w:top w:w="30" w:type="dxa"/>
              <w:left w:w="45" w:type="dxa"/>
              <w:bottom w:w="30" w:type="dxa"/>
              <w:right w:w="45" w:type="dxa"/>
            </w:tcMar>
            <w:vAlign w:val="center"/>
            <w:hideMark/>
          </w:tcPr>
          <w:p w14:paraId="30E600A4" w14:textId="77777777" w:rsidR="00BF2CCE" w:rsidRPr="00BF2CCE" w:rsidRDefault="00BF2CCE" w:rsidP="00AA4BBB">
            <w:pPr>
              <w:rPr>
                <w:rFonts w:cs="Arial"/>
                <w:sz w:val="18"/>
                <w:szCs w:val="18"/>
              </w:rPr>
            </w:pPr>
            <w:r w:rsidRPr="00BF2CCE">
              <w:rPr>
                <w:rFonts w:cs="Arial"/>
                <w:sz w:val="18"/>
                <w:szCs w:val="18"/>
              </w:rPr>
              <w:t>Alcanzar 14% de recuperación de cartera tributaria del saldo acumulado al año anterior.</w:t>
            </w:r>
          </w:p>
        </w:tc>
        <w:tc>
          <w:tcPr>
            <w:tcW w:w="0" w:type="auto"/>
            <w:tcMar>
              <w:top w:w="30" w:type="dxa"/>
              <w:left w:w="45" w:type="dxa"/>
              <w:bottom w:w="30" w:type="dxa"/>
              <w:right w:w="45" w:type="dxa"/>
            </w:tcMar>
            <w:vAlign w:val="center"/>
            <w:hideMark/>
          </w:tcPr>
          <w:p w14:paraId="02B36721" w14:textId="77777777" w:rsidR="00BF2CCE" w:rsidRPr="00BF2CCE" w:rsidRDefault="00BF2CCE" w:rsidP="00AA4BBB">
            <w:pPr>
              <w:jc w:val="center"/>
              <w:rPr>
                <w:rFonts w:cs="Arial"/>
                <w:sz w:val="18"/>
                <w:szCs w:val="18"/>
              </w:rPr>
            </w:pPr>
            <w:r w:rsidRPr="00BF2CCE">
              <w:rPr>
                <w:rFonts w:cs="Arial"/>
                <w:sz w:val="18"/>
                <w:szCs w:val="18"/>
              </w:rPr>
              <w:t>12,50%</w:t>
            </w:r>
          </w:p>
        </w:tc>
        <w:tc>
          <w:tcPr>
            <w:tcW w:w="0" w:type="auto"/>
            <w:tcMar>
              <w:top w:w="30" w:type="dxa"/>
              <w:left w:w="45" w:type="dxa"/>
              <w:bottom w:w="30" w:type="dxa"/>
              <w:right w:w="45" w:type="dxa"/>
            </w:tcMar>
            <w:vAlign w:val="center"/>
            <w:hideMark/>
          </w:tcPr>
          <w:p w14:paraId="3787FE68" w14:textId="77777777" w:rsidR="00BF2CCE" w:rsidRPr="00BF2CCE" w:rsidRDefault="00BF2CCE" w:rsidP="00AA4BBB">
            <w:pPr>
              <w:jc w:val="center"/>
              <w:rPr>
                <w:rFonts w:cs="Arial"/>
                <w:sz w:val="18"/>
                <w:szCs w:val="18"/>
              </w:rPr>
            </w:pPr>
            <w:r w:rsidRPr="00BF2CCE">
              <w:rPr>
                <w:rFonts w:cs="Arial"/>
                <w:sz w:val="18"/>
                <w:szCs w:val="18"/>
              </w:rPr>
              <w:t>13,00%</w:t>
            </w:r>
          </w:p>
        </w:tc>
        <w:tc>
          <w:tcPr>
            <w:tcW w:w="0" w:type="auto"/>
            <w:tcMar>
              <w:top w:w="30" w:type="dxa"/>
              <w:left w:w="45" w:type="dxa"/>
              <w:bottom w:w="30" w:type="dxa"/>
              <w:right w:w="45" w:type="dxa"/>
            </w:tcMar>
            <w:vAlign w:val="center"/>
            <w:hideMark/>
          </w:tcPr>
          <w:p w14:paraId="7737B612" w14:textId="77777777" w:rsidR="00BF2CCE" w:rsidRPr="00BF2CCE" w:rsidRDefault="00BF2CCE" w:rsidP="00AA4BBB">
            <w:pPr>
              <w:jc w:val="center"/>
              <w:rPr>
                <w:rFonts w:cs="Arial"/>
                <w:sz w:val="18"/>
                <w:szCs w:val="18"/>
              </w:rPr>
            </w:pPr>
            <w:r w:rsidRPr="00BF2CCE">
              <w:rPr>
                <w:rFonts w:cs="Arial"/>
                <w:sz w:val="18"/>
                <w:szCs w:val="18"/>
              </w:rPr>
              <w:t>13,50%</w:t>
            </w:r>
          </w:p>
        </w:tc>
        <w:tc>
          <w:tcPr>
            <w:tcW w:w="0" w:type="auto"/>
            <w:tcMar>
              <w:top w:w="30" w:type="dxa"/>
              <w:left w:w="45" w:type="dxa"/>
              <w:bottom w:w="30" w:type="dxa"/>
              <w:right w:w="45" w:type="dxa"/>
            </w:tcMar>
            <w:vAlign w:val="center"/>
            <w:hideMark/>
          </w:tcPr>
          <w:p w14:paraId="2F50BCA9" w14:textId="77777777" w:rsidR="00BF2CCE" w:rsidRPr="00BF2CCE" w:rsidRDefault="00BF2CCE" w:rsidP="00AA4BBB">
            <w:pPr>
              <w:jc w:val="center"/>
              <w:rPr>
                <w:rFonts w:cs="Arial"/>
                <w:sz w:val="18"/>
                <w:szCs w:val="18"/>
              </w:rPr>
            </w:pPr>
            <w:r w:rsidRPr="00BF2CCE">
              <w:rPr>
                <w:rFonts w:cs="Arial"/>
                <w:sz w:val="18"/>
                <w:szCs w:val="18"/>
              </w:rPr>
              <w:t>14,00%</w:t>
            </w:r>
          </w:p>
        </w:tc>
        <w:tc>
          <w:tcPr>
            <w:tcW w:w="0" w:type="auto"/>
            <w:vMerge w:val="restart"/>
            <w:tcMar>
              <w:top w:w="30" w:type="dxa"/>
              <w:left w:w="45" w:type="dxa"/>
              <w:bottom w:w="30" w:type="dxa"/>
              <w:right w:w="45" w:type="dxa"/>
            </w:tcMar>
            <w:vAlign w:val="center"/>
            <w:hideMark/>
          </w:tcPr>
          <w:p w14:paraId="47627D6E" w14:textId="77777777" w:rsidR="00BF2CCE" w:rsidRPr="00BF2CCE" w:rsidRDefault="00BF2CCE" w:rsidP="00AA4BBB">
            <w:pPr>
              <w:jc w:val="center"/>
              <w:rPr>
                <w:rFonts w:cs="Arial"/>
                <w:b/>
                <w:bCs/>
                <w:sz w:val="18"/>
                <w:szCs w:val="18"/>
              </w:rPr>
            </w:pPr>
            <w:r w:rsidRPr="00BF2CCE">
              <w:rPr>
                <w:rFonts w:cs="Arial"/>
                <w:b/>
                <w:bCs/>
                <w:sz w:val="18"/>
                <w:szCs w:val="18"/>
              </w:rPr>
              <w:t>8.570.692.405</w:t>
            </w:r>
          </w:p>
        </w:tc>
      </w:tr>
      <w:tr w:rsidR="00BF2CCE" w:rsidRPr="00BF2CCE" w14:paraId="2771E7D7" w14:textId="77777777" w:rsidTr="00BF2CCE">
        <w:tc>
          <w:tcPr>
            <w:tcW w:w="0" w:type="auto"/>
            <w:vMerge/>
            <w:vAlign w:val="center"/>
            <w:hideMark/>
          </w:tcPr>
          <w:p w14:paraId="54D232DC" w14:textId="77777777" w:rsidR="00BF2CCE" w:rsidRPr="00BF2CCE" w:rsidRDefault="00BF2CCE" w:rsidP="00AA4BBB">
            <w:pPr>
              <w:rPr>
                <w:rFonts w:cs="Arial"/>
                <w:sz w:val="18"/>
                <w:szCs w:val="18"/>
              </w:rPr>
            </w:pPr>
          </w:p>
        </w:tc>
        <w:tc>
          <w:tcPr>
            <w:tcW w:w="0" w:type="auto"/>
            <w:tcMar>
              <w:top w:w="30" w:type="dxa"/>
              <w:left w:w="45" w:type="dxa"/>
              <w:bottom w:w="30" w:type="dxa"/>
              <w:right w:w="45" w:type="dxa"/>
            </w:tcMar>
            <w:vAlign w:val="center"/>
            <w:hideMark/>
          </w:tcPr>
          <w:p w14:paraId="1EF60521" w14:textId="77777777" w:rsidR="00BF2CCE" w:rsidRPr="00BF2CCE" w:rsidRDefault="00BF2CCE" w:rsidP="00AA4BBB">
            <w:pPr>
              <w:jc w:val="center"/>
              <w:rPr>
                <w:rFonts w:cs="Arial"/>
                <w:sz w:val="18"/>
                <w:szCs w:val="18"/>
              </w:rPr>
            </w:pPr>
            <w:r w:rsidRPr="00BF2CCE">
              <w:rPr>
                <w:rFonts w:cs="Arial"/>
                <w:sz w:val="18"/>
                <w:szCs w:val="18"/>
              </w:rPr>
              <w:t>1.000.000.000</w:t>
            </w:r>
          </w:p>
        </w:tc>
        <w:tc>
          <w:tcPr>
            <w:tcW w:w="0" w:type="auto"/>
            <w:tcMar>
              <w:top w:w="30" w:type="dxa"/>
              <w:left w:w="45" w:type="dxa"/>
              <w:bottom w:w="30" w:type="dxa"/>
              <w:right w:w="45" w:type="dxa"/>
            </w:tcMar>
            <w:vAlign w:val="center"/>
            <w:hideMark/>
          </w:tcPr>
          <w:p w14:paraId="5F2F8958" w14:textId="77777777" w:rsidR="00BF2CCE" w:rsidRPr="00BF2CCE" w:rsidRDefault="00BF2CCE" w:rsidP="00AA4BBB">
            <w:pPr>
              <w:jc w:val="center"/>
              <w:rPr>
                <w:rFonts w:cs="Arial"/>
                <w:sz w:val="18"/>
                <w:szCs w:val="18"/>
              </w:rPr>
            </w:pPr>
            <w:r w:rsidRPr="00BF2CCE">
              <w:rPr>
                <w:rFonts w:cs="Arial"/>
                <w:sz w:val="18"/>
                <w:szCs w:val="18"/>
              </w:rPr>
              <w:t>2.912.621.359</w:t>
            </w:r>
          </w:p>
        </w:tc>
        <w:tc>
          <w:tcPr>
            <w:tcW w:w="0" w:type="auto"/>
            <w:tcMar>
              <w:top w:w="30" w:type="dxa"/>
              <w:left w:w="45" w:type="dxa"/>
              <w:bottom w:w="30" w:type="dxa"/>
              <w:right w:w="45" w:type="dxa"/>
            </w:tcMar>
            <w:vAlign w:val="center"/>
            <w:hideMark/>
          </w:tcPr>
          <w:p w14:paraId="3DB4E450" w14:textId="77777777" w:rsidR="00BF2CCE" w:rsidRPr="00BF2CCE" w:rsidRDefault="00BF2CCE" w:rsidP="00AA4BBB">
            <w:pPr>
              <w:jc w:val="center"/>
              <w:rPr>
                <w:rFonts w:cs="Arial"/>
                <w:sz w:val="18"/>
                <w:szCs w:val="18"/>
              </w:rPr>
            </w:pPr>
            <w:r w:rsidRPr="00BF2CCE">
              <w:rPr>
                <w:rFonts w:cs="Arial"/>
                <w:sz w:val="18"/>
                <w:szCs w:val="18"/>
              </w:rPr>
              <w:t>2.827.787.727</w:t>
            </w:r>
          </w:p>
        </w:tc>
        <w:tc>
          <w:tcPr>
            <w:tcW w:w="0" w:type="auto"/>
            <w:tcMar>
              <w:top w:w="30" w:type="dxa"/>
              <w:left w:w="45" w:type="dxa"/>
              <w:bottom w:w="30" w:type="dxa"/>
              <w:right w:w="45" w:type="dxa"/>
            </w:tcMar>
            <w:vAlign w:val="center"/>
            <w:hideMark/>
          </w:tcPr>
          <w:p w14:paraId="5FA7A7C1" w14:textId="77777777" w:rsidR="00BF2CCE" w:rsidRPr="00BF2CCE" w:rsidRDefault="00BF2CCE" w:rsidP="00AA4BBB">
            <w:pPr>
              <w:jc w:val="center"/>
              <w:rPr>
                <w:rFonts w:cs="Arial"/>
                <w:sz w:val="18"/>
                <w:szCs w:val="18"/>
              </w:rPr>
            </w:pPr>
            <w:r w:rsidRPr="00BF2CCE">
              <w:rPr>
                <w:rFonts w:cs="Arial"/>
                <w:sz w:val="18"/>
                <w:szCs w:val="18"/>
              </w:rPr>
              <w:t>1.830.283.319</w:t>
            </w:r>
          </w:p>
        </w:tc>
        <w:tc>
          <w:tcPr>
            <w:tcW w:w="0" w:type="auto"/>
            <w:vMerge/>
            <w:vAlign w:val="center"/>
            <w:hideMark/>
          </w:tcPr>
          <w:p w14:paraId="3DDB7706" w14:textId="77777777" w:rsidR="00BF2CCE" w:rsidRPr="00BF2CCE" w:rsidRDefault="00BF2CCE" w:rsidP="00AA4BBB">
            <w:pPr>
              <w:rPr>
                <w:rFonts w:cs="Arial"/>
                <w:b/>
                <w:bCs/>
                <w:sz w:val="18"/>
                <w:szCs w:val="18"/>
              </w:rPr>
            </w:pPr>
          </w:p>
        </w:tc>
      </w:tr>
      <w:tr w:rsidR="00BF2CCE" w:rsidRPr="00BF2CCE" w14:paraId="70D9CD64" w14:textId="77777777" w:rsidTr="00BF2CCE">
        <w:tc>
          <w:tcPr>
            <w:tcW w:w="0" w:type="auto"/>
            <w:vMerge w:val="restart"/>
            <w:tcMar>
              <w:top w:w="30" w:type="dxa"/>
              <w:left w:w="45" w:type="dxa"/>
              <w:bottom w:w="30" w:type="dxa"/>
              <w:right w:w="45" w:type="dxa"/>
            </w:tcMar>
            <w:vAlign w:val="center"/>
            <w:hideMark/>
          </w:tcPr>
          <w:p w14:paraId="57D7E198" w14:textId="77777777" w:rsidR="00BF2CCE" w:rsidRPr="00BF2CCE" w:rsidRDefault="00BF2CCE" w:rsidP="00AA4BBB">
            <w:pPr>
              <w:rPr>
                <w:rFonts w:cs="Arial"/>
                <w:sz w:val="18"/>
                <w:szCs w:val="18"/>
              </w:rPr>
            </w:pPr>
            <w:r w:rsidRPr="00BF2CCE">
              <w:rPr>
                <w:rFonts w:cs="Arial"/>
                <w:sz w:val="18"/>
                <w:szCs w:val="18"/>
              </w:rPr>
              <w:t>Cumplir el 100% de la estrategia para el fortalecimiento de la gestión de derechos prestacionales y la política de atención al pensionado</w:t>
            </w:r>
          </w:p>
        </w:tc>
        <w:tc>
          <w:tcPr>
            <w:tcW w:w="0" w:type="auto"/>
            <w:tcMar>
              <w:top w:w="30" w:type="dxa"/>
              <w:left w:w="45" w:type="dxa"/>
              <w:bottom w:w="30" w:type="dxa"/>
              <w:right w:w="45" w:type="dxa"/>
            </w:tcMar>
            <w:vAlign w:val="center"/>
            <w:hideMark/>
          </w:tcPr>
          <w:p w14:paraId="0FF670CB" w14:textId="77777777" w:rsidR="00BF2CCE" w:rsidRPr="00BF2CCE" w:rsidRDefault="00BF2CCE" w:rsidP="00AA4BBB">
            <w:pPr>
              <w:jc w:val="center"/>
              <w:rPr>
                <w:rFonts w:cs="Arial"/>
                <w:sz w:val="18"/>
                <w:szCs w:val="18"/>
              </w:rPr>
            </w:pPr>
            <w:r w:rsidRPr="00BF2CCE">
              <w:rPr>
                <w:rFonts w:cs="Arial"/>
                <w:sz w:val="18"/>
                <w:szCs w:val="18"/>
              </w:rPr>
              <w:t>10,00%</w:t>
            </w:r>
          </w:p>
        </w:tc>
        <w:tc>
          <w:tcPr>
            <w:tcW w:w="0" w:type="auto"/>
            <w:tcMar>
              <w:top w:w="30" w:type="dxa"/>
              <w:left w:w="45" w:type="dxa"/>
              <w:bottom w:w="30" w:type="dxa"/>
              <w:right w:w="45" w:type="dxa"/>
            </w:tcMar>
            <w:vAlign w:val="center"/>
            <w:hideMark/>
          </w:tcPr>
          <w:p w14:paraId="7C51D6C9" w14:textId="77777777" w:rsidR="00BF2CCE" w:rsidRPr="00BF2CCE" w:rsidRDefault="00BF2CCE" w:rsidP="00AA4BBB">
            <w:pPr>
              <w:jc w:val="center"/>
              <w:rPr>
                <w:rFonts w:cs="Arial"/>
                <w:sz w:val="18"/>
                <w:szCs w:val="18"/>
              </w:rPr>
            </w:pPr>
            <w:r w:rsidRPr="00BF2CCE">
              <w:rPr>
                <w:rFonts w:cs="Arial"/>
                <w:sz w:val="18"/>
                <w:szCs w:val="18"/>
              </w:rPr>
              <w:t>40,00%</w:t>
            </w:r>
          </w:p>
        </w:tc>
        <w:tc>
          <w:tcPr>
            <w:tcW w:w="0" w:type="auto"/>
            <w:tcMar>
              <w:top w:w="30" w:type="dxa"/>
              <w:left w:w="45" w:type="dxa"/>
              <w:bottom w:w="30" w:type="dxa"/>
              <w:right w:w="45" w:type="dxa"/>
            </w:tcMar>
            <w:vAlign w:val="center"/>
            <w:hideMark/>
          </w:tcPr>
          <w:p w14:paraId="6AA9E251" w14:textId="77777777" w:rsidR="00BF2CCE" w:rsidRPr="00BF2CCE" w:rsidRDefault="00BF2CCE" w:rsidP="00AA4BBB">
            <w:pPr>
              <w:jc w:val="center"/>
              <w:rPr>
                <w:rFonts w:cs="Arial"/>
                <w:sz w:val="18"/>
                <w:szCs w:val="18"/>
              </w:rPr>
            </w:pPr>
            <w:r w:rsidRPr="00BF2CCE">
              <w:rPr>
                <w:rFonts w:cs="Arial"/>
                <w:sz w:val="18"/>
                <w:szCs w:val="18"/>
              </w:rPr>
              <w:t>70,00%</w:t>
            </w:r>
          </w:p>
        </w:tc>
        <w:tc>
          <w:tcPr>
            <w:tcW w:w="0" w:type="auto"/>
            <w:tcMar>
              <w:top w:w="30" w:type="dxa"/>
              <w:left w:w="45" w:type="dxa"/>
              <w:bottom w:w="30" w:type="dxa"/>
              <w:right w:w="45" w:type="dxa"/>
            </w:tcMar>
            <w:vAlign w:val="center"/>
            <w:hideMark/>
          </w:tcPr>
          <w:p w14:paraId="125C1CAA" w14:textId="77777777" w:rsidR="00BF2CCE" w:rsidRPr="00BF2CCE" w:rsidRDefault="00BF2CCE" w:rsidP="00AA4BBB">
            <w:pPr>
              <w:jc w:val="center"/>
              <w:rPr>
                <w:rFonts w:cs="Arial"/>
                <w:sz w:val="18"/>
                <w:szCs w:val="18"/>
              </w:rPr>
            </w:pPr>
            <w:r w:rsidRPr="00BF2CCE">
              <w:rPr>
                <w:rFonts w:cs="Arial"/>
                <w:sz w:val="18"/>
                <w:szCs w:val="18"/>
              </w:rPr>
              <w:t>100,00%</w:t>
            </w:r>
          </w:p>
        </w:tc>
        <w:tc>
          <w:tcPr>
            <w:tcW w:w="0" w:type="auto"/>
            <w:vMerge w:val="restart"/>
            <w:tcMar>
              <w:top w:w="30" w:type="dxa"/>
              <w:left w:w="45" w:type="dxa"/>
              <w:bottom w:w="30" w:type="dxa"/>
              <w:right w:w="45" w:type="dxa"/>
            </w:tcMar>
            <w:vAlign w:val="center"/>
            <w:hideMark/>
          </w:tcPr>
          <w:p w14:paraId="72C45410" w14:textId="77777777" w:rsidR="00BF2CCE" w:rsidRPr="00BF2CCE" w:rsidRDefault="00BF2CCE" w:rsidP="00AA4BBB">
            <w:pPr>
              <w:jc w:val="center"/>
              <w:rPr>
                <w:rFonts w:cs="Arial"/>
                <w:b/>
                <w:bCs/>
                <w:sz w:val="18"/>
                <w:szCs w:val="18"/>
              </w:rPr>
            </w:pPr>
            <w:r w:rsidRPr="00BF2CCE">
              <w:rPr>
                <w:rFonts w:cs="Arial"/>
                <w:b/>
                <w:bCs/>
                <w:sz w:val="18"/>
                <w:szCs w:val="18"/>
              </w:rPr>
              <w:t>24.210.811.797</w:t>
            </w:r>
          </w:p>
        </w:tc>
      </w:tr>
      <w:tr w:rsidR="00BF2CCE" w:rsidRPr="00BF2CCE" w14:paraId="4D0BBDBE" w14:textId="77777777" w:rsidTr="00BF2CCE">
        <w:tc>
          <w:tcPr>
            <w:tcW w:w="0" w:type="auto"/>
            <w:vMerge/>
            <w:vAlign w:val="center"/>
            <w:hideMark/>
          </w:tcPr>
          <w:p w14:paraId="6EA95E9A" w14:textId="77777777" w:rsidR="00BF2CCE" w:rsidRPr="00BF2CCE" w:rsidRDefault="00BF2CCE" w:rsidP="00AA4BBB">
            <w:pPr>
              <w:rPr>
                <w:rFonts w:cs="Arial"/>
                <w:sz w:val="18"/>
                <w:szCs w:val="18"/>
              </w:rPr>
            </w:pPr>
          </w:p>
        </w:tc>
        <w:tc>
          <w:tcPr>
            <w:tcW w:w="0" w:type="auto"/>
            <w:tcMar>
              <w:top w:w="30" w:type="dxa"/>
              <w:left w:w="45" w:type="dxa"/>
              <w:bottom w:w="30" w:type="dxa"/>
              <w:right w:w="45" w:type="dxa"/>
            </w:tcMar>
            <w:vAlign w:val="center"/>
            <w:hideMark/>
          </w:tcPr>
          <w:p w14:paraId="729F1BB9" w14:textId="77777777" w:rsidR="00BF2CCE" w:rsidRPr="00BF2CCE" w:rsidRDefault="00BF2CCE" w:rsidP="00AA4BBB">
            <w:pPr>
              <w:jc w:val="center"/>
              <w:rPr>
                <w:rFonts w:cs="Arial"/>
                <w:sz w:val="18"/>
                <w:szCs w:val="18"/>
              </w:rPr>
            </w:pPr>
            <w:r w:rsidRPr="00BF2CCE">
              <w:rPr>
                <w:rFonts w:cs="Arial"/>
                <w:sz w:val="18"/>
                <w:szCs w:val="18"/>
              </w:rPr>
              <w:t>5.609.000.000</w:t>
            </w:r>
          </w:p>
        </w:tc>
        <w:tc>
          <w:tcPr>
            <w:tcW w:w="0" w:type="auto"/>
            <w:tcMar>
              <w:top w:w="30" w:type="dxa"/>
              <w:left w:w="45" w:type="dxa"/>
              <w:bottom w:w="30" w:type="dxa"/>
              <w:right w:w="45" w:type="dxa"/>
            </w:tcMar>
            <w:vAlign w:val="center"/>
            <w:hideMark/>
          </w:tcPr>
          <w:p w14:paraId="5CF78A0E" w14:textId="77777777" w:rsidR="00BF2CCE" w:rsidRPr="00BF2CCE" w:rsidRDefault="00BF2CCE" w:rsidP="00AA4BBB">
            <w:pPr>
              <w:jc w:val="center"/>
              <w:rPr>
                <w:rFonts w:cs="Arial"/>
                <w:sz w:val="18"/>
                <w:szCs w:val="18"/>
              </w:rPr>
            </w:pPr>
            <w:r w:rsidRPr="00BF2CCE">
              <w:rPr>
                <w:rFonts w:cs="Arial"/>
                <w:sz w:val="18"/>
                <w:szCs w:val="18"/>
              </w:rPr>
              <w:t>6.000.000.000</w:t>
            </w:r>
          </w:p>
        </w:tc>
        <w:tc>
          <w:tcPr>
            <w:tcW w:w="0" w:type="auto"/>
            <w:tcMar>
              <w:top w:w="30" w:type="dxa"/>
              <w:left w:w="45" w:type="dxa"/>
              <w:bottom w:w="30" w:type="dxa"/>
              <w:right w:w="45" w:type="dxa"/>
            </w:tcMar>
            <w:vAlign w:val="center"/>
            <w:hideMark/>
          </w:tcPr>
          <w:p w14:paraId="1F78330C" w14:textId="77777777" w:rsidR="00BF2CCE" w:rsidRPr="00BF2CCE" w:rsidRDefault="00BF2CCE" w:rsidP="00AA4BBB">
            <w:pPr>
              <w:jc w:val="center"/>
              <w:rPr>
                <w:rFonts w:cs="Arial"/>
                <w:sz w:val="18"/>
                <w:szCs w:val="18"/>
              </w:rPr>
            </w:pPr>
            <w:r w:rsidRPr="00BF2CCE">
              <w:rPr>
                <w:rFonts w:cs="Arial"/>
                <w:sz w:val="18"/>
                <w:szCs w:val="18"/>
              </w:rPr>
              <w:t>6.200.395.890</w:t>
            </w:r>
          </w:p>
        </w:tc>
        <w:tc>
          <w:tcPr>
            <w:tcW w:w="0" w:type="auto"/>
            <w:tcMar>
              <w:top w:w="30" w:type="dxa"/>
              <w:left w:w="45" w:type="dxa"/>
              <w:bottom w:w="30" w:type="dxa"/>
              <w:right w:w="45" w:type="dxa"/>
            </w:tcMar>
            <w:vAlign w:val="center"/>
            <w:hideMark/>
          </w:tcPr>
          <w:p w14:paraId="614B25C7" w14:textId="77777777" w:rsidR="00BF2CCE" w:rsidRPr="00BF2CCE" w:rsidRDefault="00BF2CCE" w:rsidP="00AA4BBB">
            <w:pPr>
              <w:jc w:val="center"/>
              <w:rPr>
                <w:rFonts w:cs="Arial"/>
                <w:sz w:val="18"/>
                <w:szCs w:val="18"/>
              </w:rPr>
            </w:pPr>
            <w:r w:rsidRPr="00BF2CCE">
              <w:rPr>
                <w:rFonts w:cs="Arial"/>
                <w:sz w:val="18"/>
                <w:szCs w:val="18"/>
              </w:rPr>
              <w:t>6.401.415.907</w:t>
            </w:r>
          </w:p>
        </w:tc>
        <w:tc>
          <w:tcPr>
            <w:tcW w:w="0" w:type="auto"/>
            <w:vMerge/>
            <w:vAlign w:val="center"/>
            <w:hideMark/>
          </w:tcPr>
          <w:p w14:paraId="1AF53C01" w14:textId="77777777" w:rsidR="00BF2CCE" w:rsidRPr="00BF2CCE" w:rsidRDefault="00BF2CCE" w:rsidP="00AA4BBB">
            <w:pPr>
              <w:rPr>
                <w:rFonts w:cs="Arial"/>
                <w:b/>
                <w:bCs/>
                <w:sz w:val="18"/>
                <w:szCs w:val="18"/>
              </w:rPr>
            </w:pPr>
          </w:p>
        </w:tc>
      </w:tr>
      <w:tr w:rsidR="00BF2CCE" w:rsidRPr="00BF2CCE" w14:paraId="271A9B84" w14:textId="77777777" w:rsidTr="00BF2CCE">
        <w:tc>
          <w:tcPr>
            <w:tcW w:w="0" w:type="auto"/>
            <w:vMerge w:val="restart"/>
            <w:tcMar>
              <w:top w:w="30" w:type="dxa"/>
              <w:left w:w="45" w:type="dxa"/>
              <w:bottom w:w="30" w:type="dxa"/>
              <w:right w:w="45" w:type="dxa"/>
            </w:tcMar>
            <w:vAlign w:val="center"/>
            <w:hideMark/>
          </w:tcPr>
          <w:p w14:paraId="567AF185" w14:textId="77777777" w:rsidR="00BF2CCE" w:rsidRPr="00BF2CCE" w:rsidRDefault="00BF2CCE" w:rsidP="00AA4BBB">
            <w:pPr>
              <w:rPr>
                <w:rFonts w:cs="Arial"/>
                <w:sz w:val="18"/>
                <w:szCs w:val="18"/>
              </w:rPr>
            </w:pPr>
            <w:r w:rsidRPr="00BF2CCE">
              <w:rPr>
                <w:rFonts w:cs="Arial"/>
                <w:sz w:val="18"/>
                <w:szCs w:val="18"/>
              </w:rPr>
              <w:lastRenderedPageBreak/>
              <w:t>Recaudar $63,78 billones de pesos constantes de 2024 en ingresos tributarios para el período 2024-2027 por recaudo oportuno y gestión antievasión.</w:t>
            </w:r>
          </w:p>
        </w:tc>
        <w:tc>
          <w:tcPr>
            <w:tcW w:w="0" w:type="auto"/>
            <w:tcMar>
              <w:top w:w="30" w:type="dxa"/>
              <w:left w:w="45" w:type="dxa"/>
              <w:bottom w:w="30" w:type="dxa"/>
              <w:right w:w="45" w:type="dxa"/>
            </w:tcMar>
            <w:vAlign w:val="center"/>
            <w:hideMark/>
          </w:tcPr>
          <w:p w14:paraId="459070CE" w14:textId="77777777" w:rsidR="00BF2CCE" w:rsidRPr="00BF2CCE" w:rsidRDefault="00BF2CCE" w:rsidP="00AA4BBB">
            <w:pPr>
              <w:jc w:val="center"/>
              <w:rPr>
                <w:rFonts w:cs="Arial"/>
                <w:sz w:val="18"/>
                <w:szCs w:val="18"/>
              </w:rPr>
            </w:pPr>
            <w:r w:rsidRPr="00BF2CCE">
              <w:rPr>
                <w:rFonts w:cs="Arial"/>
                <w:sz w:val="18"/>
                <w:szCs w:val="18"/>
              </w:rPr>
              <w:t>15</w:t>
            </w:r>
          </w:p>
        </w:tc>
        <w:tc>
          <w:tcPr>
            <w:tcW w:w="0" w:type="auto"/>
            <w:tcMar>
              <w:top w:w="30" w:type="dxa"/>
              <w:left w:w="45" w:type="dxa"/>
              <w:bottom w:w="30" w:type="dxa"/>
              <w:right w:w="45" w:type="dxa"/>
            </w:tcMar>
            <w:vAlign w:val="center"/>
            <w:hideMark/>
          </w:tcPr>
          <w:p w14:paraId="5144617B" w14:textId="77777777" w:rsidR="00BF2CCE" w:rsidRPr="00BF2CCE" w:rsidRDefault="00BF2CCE" w:rsidP="00AA4BBB">
            <w:pPr>
              <w:jc w:val="center"/>
              <w:rPr>
                <w:rFonts w:cs="Arial"/>
                <w:sz w:val="18"/>
                <w:szCs w:val="18"/>
              </w:rPr>
            </w:pPr>
            <w:r w:rsidRPr="00BF2CCE">
              <w:rPr>
                <w:rFonts w:cs="Arial"/>
                <w:sz w:val="18"/>
                <w:szCs w:val="18"/>
              </w:rPr>
              <w:t>16</w:t>
            </w:r>
          </w:p>
        </w:tc>
        <w:tc>
          <w:tcPr>
            <w:tcW w:w="0" w:type="auto"/>
            <w:tcMar>
              <w:top w:w="30" w:type="dxa"/>
              <w:left w:w="45" w:type="dxa"/>
              <w:bottom w:w="30" w:type="dxa"/>
              <w:right w:w="45" w:type="dxa"/>
            </w:tcMar>
            <w:vAlign w:val="center"/>
            <w:hideMark/>
          </w:tcPr>
          <w:p w14:paraId="475C92EF" w14:textId="77777777" w:rsidR="00BF2CCE" w:rsidRPr="00BF2CCE" w:rsidRDefault="00BF2CCE" w:rsidP="00AA4BBB">
            <w:pPr>
              <w:jc w:val="center"/>
              <w:rPr>
                <w:rFonts w:cs="Arial"/>
                <w:sz w:val="18"/>
                <w:szCs w:val="18"/>
              </w:rPr>
            </w:pPr>
            <w:r w:rsidRPr="00BF2CCE">
              <w:rPr>
                <w:rFonts w:cs="Arial"/>
                <w:sz w:val="18"/>
                <w:szCs w:val="18"/>
              </w:rPr>
              <w:t>16</w:t>
            </w:r>
          </w:p>
        </w:tc>
        <w:tc>
          <w:tcPr>
            <w:tcW w:w="0" w:type="auto"/>
            <w:tcMar>
              <w:top w:w="30" w:type="dxa"/>
              <w:left w:w="45" w:type="dxa"/>
              <w:bottom w:w="30" w:type="dxa"/>
              <w:right w:w="45" w:type="dxa"/>
            </w:tcMar>
            <w:vAlign w:val="center"/>
            <w:hideMark/>
          </w:tcPr>
          <w:p w14:paraId="457DC034" w14:textId="77777777" w:rsidR="00BF2CCE" w:rsidRPr="00BF2CCE" w:rsidRDefault="00BF2CCE" w:rsidP="00AA4BBB">
            <w:pPr>
              <w:jc w:val="center"/>
              <w:rPr>
                <w:rFonts w:cs="Arial"/>
                <w:sz w:val="18"/>
                <w:szCs w:val="18"/>
              </w:rPr>
            </w:pPr>
            <w:r w:rsidRPr="00BF2CCE">
              <w:rPr>
                <w:rFonts w:cs="Arial"/>
                <w:sz w:val="18"/>
                <w:szCs w:val="18"/>
              </w:rPr>
              <w:t>17</w:t>
            </w:r>
          </w:p>
        </w:tc>
        <w:tc>
          <w:tcPr>
            <w:tcW w:w="0" w:type="auto"/>
            <w:vMerge w:val="restart"/>
            <w:tcMar>
              <w:top w:w="30" w:type="dxa"/>
              <w:left w:w="45" w:type="dxa"/>
              <w:bottom w:w="30" w:type="dxa"/>
              <w:right w:w="45" w:type="dxa"/>
            </w:tcMar>
            <w:vAlign w:val="center"/>
            <w:hideMark/>
          </w:tcPr>
          <w:p w14:paraId="04435B84" w14:textId="77777777" w:rsidR="00BF2CCE" w:rsidRPr="00BF2CCE" w:rsidRDefault="00BF2CCE" w:rsidP="00AA4BBB">
            <w:pPr>
              <w:jc w:val="center"/>
              <w:rPr>
                <w:rFonts w:cs="Arial"/>
                <w:b/>
                <w:bCs/>
                <w:sz w:val="18"/>
                <w:szCs w:val="18"/>
              </w:rPr>
            </w:pPr>
            <w:r w:rsidRPr="00BF2CCE">
              <w:rPr>
                <w:rFonts w:cs="Arial"/>
                <w:b/>
                <w:bCs/>
                <w:sz w:val="18"/>
                <w:szCs w:val="18"/>
              </w:rPr>
              <w:t>179.751.371.276</w:t>
            </w:r>
          </w:p>
        </w:tc>
      </w:tr>
      <w:tr w:rsidR="00BF2CCE" w:rsidRPr="00BF2CCE" w14:paraId="6ED13CA3" w14:textId="77777777" w:rsidTr="00BF2CCE">
        <w:tc>
          <w:tcPr>
            <w:tcW w:w="0" w:type="auto"/>
            <w:vMerge/>
            <w:vAlign w:val="center"/>
            <w:hideMark/>
          </w:tcPr>
          <w:p w14:paraId="42CCD226" w14:textId="77777777" w:rsidR="00BF2CCE" w:rsidRPr="00BF2CCE" w:rsidRDefault="00BF2CCE" w:rsidP="00AA4BBB">
            <w:pPr>
              <w:rPr>
                <w:rFonts w:cs="Arial"/>
                <w:sz w:val="18"/>
                <w:szCs w:val="18"/>
              </w:rPr>
            </w:pPr>
          </w:p>
        </w:tc>
        <w:tc>
          <w:tcPr>
            <w:tcW w:w="0" w:type="auto"/>
            <w:tcMar>
              <w:top w:w="30" w:type="dxa"/>
              <w:left w:w="45" w:type="dxa"/>
              <w:bottom w:w="30" w:type="dxa"/>
              <w:right w:w="45" w:type="dxa"/>
            </w:tcMar>
            <w:vAlign w:val="center"/>
            <w:hideMark/>
          </w:tcPr>
          <w:p w14:paraId="46A6C250" w14:textId="77777777" w:rsidR="00BF2CCE" w:rsidRPr="00BF2CCE" w:rsidRDefault="00BF2CCE" w:rsidP="00AA4BBB">
            <w:pPr>
              <w:jc w:val="center"/>
              <w:rPr>
                <w:rFonts w:cs="Arial"/>
                <w:sz w:val="18"/>
                <w:szCs w:val="18"/>
              </w:rPr>
            </w:pPr>
            <w:r w:rsidRPr="00BF2CCE">
              <w:rPr>
                <w:rFonts w:cs="Arial"/>
                <w:sz w:val="18"/>
                <w:szCs w:val="18"/>
              </w:rPr>
              <w:t>18.940.000.000</w:t>
            </w:r>
          </w:p>
        </w:tc>
        <w:tc>
          <w:tcPr>
            <w:tcW w:w="0" w:type="auto"/>
            <w:tcMar>
              <w:top w:w="30" w:type="dxa"/>
              <w:left w:w="45" w:type="dxa"/>
              <w:bottom w:w="30" w:type="dxa"/>
              <w:right w:w="45" w:type="dxa"/>
            </w:tcMar>
            <w:vAlign w:val="center"/>
            <w:hideMark/>
          </w:tcPr>
          <w:p w14:paraId="06794DFC" w14:textId="77777777" w:rsidR="00BF2CCE" w:rsidRPr="00BF2CCE" w:rsidRDefault="00BF2CCE" w:rsidP="00AA4BBB">
            <w:pPr>
              <w:jc w:val="center"/>
              <w:rPr>
                <w:rFonts w:cs="Arial"/>
                <w:sz w:val="18"/>
                <w:szCs w:val="18"/>
              </w:rPr>
            </w:pPr>
            <w:r w:rsidRPr="00BF2CCE">
              <w:rPr>
                <w:rFonts w:cs="Arial"/>
                <w:sz w:val="18"/>
                <w:szCs w:val="18"/>
              </w:rPr>
              <w:t>51.773.786.408</w:t>
            </w:r>
          </w:p>
        </w:tc>
        <w:tc>
          <w:tcPr>
            <w:tcW w:w="0" w:type="auto"/>
            <w:tcMar>
              <w:top w:w="30" w:type="dxa"/>
              <w:left w:w="45" w:type="dxa"/>
              <w:bottom w:w="30" w:type="dxa"/>
              <w:right w:w="45" w:type="dxa"/>
            </w:tcMar>
            <w:vAlign w:val="center"/>
            <w:hideMark/>
          </w:tcPr>
          <w:p w14:paraId="76B164A1" w14:textId="77777777" w:rsidR="00BF2CCE" w:rsidRPr="00BF2CCE" w:rsidRDefault="00BF2CCE" w:rsidP="00AA4BBB">
            <w:pPr>
              <w:jc w:val="center"/>
              <w:rPr>
                <w:rFonts w:cs="Arial"/>
                <w:sz w:val="18"/>
                <w:szCs w:val="18"/>
              </w:rPr>
            </w:pPr>
            <w:r w:rsidRPr="00BF2CCE">
              <w:rPr>
                <w:rFonts w:cs="Arial"/>
                <w:sz w:val="18"/>
                <w:szCs w:val="18"/>
              </w:rPr>
              <w:t>51.737.204.261</w:t>
            </w:r>
          </w:p>
        </w:tc>
        <w:tc>
          <w:tcPr>
            <w:tcW w:w="0" w:type="auto"/>
            <w:tcMar>
              <w:top w:w="30" w:type="dxa"/>
              <w:left w:w="45" w:type="dxa"/>
              <w:bottom w:w="30" w:type="dxa"/>
              <w:right w:w="45" w:type="dxa"/>
            </w:tcMar>
            <w:vAlign w:val="center"/>
            <w:hideMark/>
          </w:tcPr>
          <w:p w14:paraId="0E6E7B83" w14:textId="77777777" w:rsidR="00BF2CCE" w:rsidRPr="00BF2CCE" w:rsidRDefault="00BF2CCE" w:rsidP="00AA4BBB">
            <w:pPr>
              <w:jc w:val="center"/>
              <w:rPr>
                <w:rFonts w:cs="Arial"/>
                <w:sz w:val="18"/>
                <w:szCs w:val="18"/>
              </w:rPr>
            </w:pPr>
            <w:r w:rsidRPr="00BF2CCE">
              <w:rPr>
                <w:rFonts w:cs="Arial"/>
                <w:sz w:val="18"/>
                <w:szCs w:val="18"/>
              </w:rPr>
              <w:t>57.300.380.607</w:t>
            </w:r>
          </w:p>
        </w:tc>
        <w:tc>
          <w:tcPr>
            <w:tcW w:w="0" w:type="auto"/>
            <w:vMerge/>
            <w:vAlign w:val="center"/>
            <w:hideMark/>
          </w:tcPr>
          <w:p w14:paraId="3F85105B" w14:textId="77777777" w:rsidR="00BF2CCE" w:rsidRPr="00BF2CCE" w:rsidRDefault="00BF2CCE" w:rsidP="00AA4BBB">
            <w:pPr>
              <w:rPr>
                <w:rFonts w:cs="Arial"/>
                <w:b/>
                <w:bCs/>
                <w:sz w:val="18"/>
                <w:szCs w:val="18"/>
              </w:rPr>
            </w:pPr>
          </w:p>
        </w:tc>
      </w:tr>
      <w:tr w:rsidR="00BF2CCE" w:rsidRPr="00BF2CCE" w14:paraId="41D9F943" w14:textId="77777777" w:rsidTr="00BF2CCE">
        <w:tc>
          <w:tcPr>
            <w:tcW w:w="0" w:type="auto"/>
            <w:gridSpan w:val="6"/>
            <w:shd w:val="clear" w:color="auto" w:fill="C00000"/>
            <w:tcMar>
              <w:top w:w="30" w:type="dxa"/>
              <w:left w:w="45" w:type="dxa"/>
              <w:bottom w:w="30" w:type="dxa"/>
              <w:right w:w="45" w:type="dxa"/>
            </w:tcMar>
            <w:vAlign w:val="center"/>
            <w:hideMark/>
          </w:tcPr>
          <w:p w14:paraId="6C10214A" w14:textId="77777777" w:rsidR="00BF2CCE" w:rsidRPr="00BF2CCE" w:rsidRDefault="00BF2CCE" w:rsidP="00AA4BBB">
            <w:pPr>
              <w:jc w:val="center"/>
              <w:rPr>
                <w:rFonts w:cs="Arial"/>
                <w:b/>
                <w:bCs/>
                <w:sz w:val="18"/>
                <w:szCs w:val="18"/>
              </w:rPr>
            </w:pPr>
            <w:r w:rsidRPr="00BF2CCE">
              <w:rPr>
                <w:rFonts w:cs="Arial"/>
                <w:b/>
                <w:bCs/>
                <w:color w:val="FFFFFF" w:themeColor="background1"/>
                <w:sz w:val="18"/>
                <w:szCs w:val="18"/>
              </w:rPr>
              <w:t>Planeación</w:t>
            </w:r>
          </w:p>
        </w:tc>
      </w:tr>
      <w:tr w:rsidR="00BF2CCE" w:rsidRPr="00BF2CCE" w14:paraId="21326AD8" w14:textId="77777777" w:rsidTr="00BF2CCE">
        <w:tc>
          <w:tcPr>
            <w:tcW w:w="0" w:type="auto"/>
            <w:vMerge w:val="restart"/>
            <w:tcMar>
              <w:top w:w="30" w:type="dxa"/>
              <w:left w:w="45" w:type="dxa"/>
              <w:bottom w:w="30" w:type="dxa"/>
              <w:right w:w="45" w:type="dxa"/>
            </w:tcMar>
            <w:vAlign w:val="center"/>
            <w:hideMark/>
          </w:tcPr>
          <w:p w14:paraId="623C5009" w14:textId="77777777" w:rsidR="00BF2CCE" w:rsidRPr="00BF2CCE" w:rsidRDefault="00BF2CCE" w:rsidP="00AA4BBB">
            <w:pPr>
              <w:rPr>
                <w:rFonts w:cs="Arial"/>
                <w:sz w:val="18"/>
                <w:szCs w:val="18"/>
              </w:rPr>
            </w:pPr>
            <w:r w:rsidRPr="00BF2CCE">
              <w:rPr>
                <w:rFonts w:cs="Arial"/>
                <w:sz w:val="18"/>
                <w:szCs w:val="18"/>
              </w:rPr>
              <w:t>Implementar 1 modelo de operación y actualización de Registros administrativos para la focalización del gasto de Bogotá</w:t>
            </w:r>
          </w:p>
        </w:tc>
        <w:tc>
          <w:tcPr>
            <w:tcW w:w="0" w:type="auto"/>
            <w:tcMar>
              <w:top w:w="30" w:type="dxa"/>
              <w:left w:w="45" w:type="dxa"/>
              <w:bottom w:w="30" w:type="dxa"/>
              <w:right w:w="45" w:type="dxa"/>
            </w:tcMar>
            <w:vAlign w:val="center"/>
            <w:hideMark/>
          </w:tcPr>
          <w:p w14:paraId="3ED75B29" w14:textId="77777777" w:rsidR="00BF2CCE" w:rsidRPr="00BF2CCE" w:rsidRDefault="00BF2CCE" w:rsidP="00AA4BBB">
            <w:pPr>
              <w:jc w:val="center"/>
              <w:rPr>
                <w:rFonts w:cs="Arial"/>
                <w:sz w:val="18"/>
                <w:szCs w:val="18"/>
              </w:rPr>
            </w:pPr>
            <w:r w:rsidRPr="00BF2CCE">
              <w:rPr>
                <w:rFonts w:cs="Arial"/>
                <w:sz w:val="18"/>
                <w:szCs w:val="18"/>
              </w:rPr>
              <w:t>25,00%</w:t>
            </w:r>
          </w:p>
        </w:tc>
        <w:tc>
          <w:tcPr>
            <w:tcW w:w="0" w:type="auto"/>
            <w:tcMar>
              <w:top w:w="30" w:type="dxa"/>
              <w:left w:w="45" w:type="dxa"/>
              <w:bottom w:w="30" w:type="dxa"/>
              <w:right w:w="45" w:type="dxa"/>
            </w:tcMar>
            <w:vAlign w:val="center"/>
            <w:hideMark/>
          </w:tcPr>
          <w:p w14:paraId="66D11154" w14:textId="77777777" w:rsidR="00BF2CCE" w:rsidRPr="00BF2CCE" w:rsidRDefault="00BF2CCE" w:rsidP="00AA4BBB">
            <w:pPr>
              <w:jc w:val="center"/>
              <w:rPr>
                <w:rFonts w:cs="Arial"/>
                <w:sz w:val="18"/>
                <w:szCs w:val="18"/>
              </w:rPr>
            </w:pPr>
            <w:r w:rsidRPr="00BF2CCE">
              <w:rPr>
                <w:rFonts w:cs="Arial"/>
                <w:sz w:val="18"/>
                <w:szCs w:val="18"/>
              </w:rPr>
              <w:t>30,00%</w:t>
            </w:r>
          </w:p>
        </w:tc>
        <w:tc>
          <w:tcPr>
            <w:tcW w:w="0" w:type="auto"/>
            <w:tcMar>
              <w:top w:w="30" w:type="dxa"/>
              <w:left w:w="45" w:type="dxa"/>
              <w:bottom w:w="30" w:type="dxa"/>
              <w:right w:w="45" w:type="dxa"/>
            </w:tcMar>
            <w:vAlign w:val="center"/>
            <w:hideMark/>
          </w:tcPr>
          <w:p w14:paraId="7D92B0C2" w14:textId="77777777" w:rsidR="00BF2CCE" w:rsidRPr="00BF2CCE" w:rsidRDefault="00BF2CCE" w:rsidP="00AA4BBB">
            <w:pPr>
              <w:jc w:val="center"/>
              <w:rPr>
                <w:rFonts w:cs="Arial"/>
                <w:sz w:val="18"/>
                <w:szCs w:val="18"/>
              </w:rPr>
            </w:pPr>
            <w:r w:rsidRPr="00BF2CCE">
              <w:rPr>
                <w:rFonts w:cs="Arial"/>
                <w:sz w:val="18"/>
                <w:szCs w:val="18"/>
              </w:rPr>
              <w:t>30,00%</w:t>
            </w:r>
          </w:p>
        </w:tc>
        <w:tc>
          <w:tcPr>
            <w:tcW w:w="0" w:type="auto"/>
            <w:tcMar>
              <w:top w:w="30" w:type="dxa"/>
              <w:left w:w="45" w:type="dxa"/>
              <w:bottom w:w="30" w:type="dxa"/>
              <w:right w:w="45" w:type="dxa"/>
            </w:tcMar>
            <w:vAlign w:val="center"/>
            <w:hideMark/>
          </w:tcPr>
          <w:p w14:paraId="7F93FC3B" w14:textId="77777777" w:rsidR="00BF2CCE" w:rsidRPr="00BF2CCE" w:rsidRDefault="00BF2CCE" w:rsidP="00AA4BBB">
            <w:pPr>
              <w:jc w:val="center"/>
              <w:rPr>
                <w:rFonts w:cs="Arial"/>
                <w:sz w:val="18"/>
                <w:szCs w:val="18"/>
              </w:rPr>
            </w:pPr>
            <w:r w:rsidRPr="00BF2CCE">
              <w:rPr>
                <w:rFonts w:cs="Arial"/>
                <w:sz w:val="18"/>
                <w:szCs w:val="18"/>
              </w:rPr>
              <w:t>15,00%</w:t>
            </w:r>
          </w:p>
        </w:tc>
        <w:tc>
          <w:tcPr>
            <w:tcW w:w="0" w:type="auto"/>
            <w:vMerge w:val="restart"/>
            <w:tcMar>
              <w:top w:w="30" w:type="dxa"/>
              <w:left w:w="45" w:type="dxa"/>
              <w:bottom w:w="30" w:type="dxa"/>
              <w:right w:w="45" w:type="dxa"/>
            </w:tcMar>
            <w:vAlign w:val="center"/>
            <w:hideMark/>
          </w:tcPr>
          <w:p w14:paraId="6B406A14" w14:textId="77777777" w:rsidR="00BF2CCE" w:rsidRPr="00BF2CCE" w:rsidRDefault="00BF2CCE" w:rsidP="00AA4BBB">
            <w:pPr>
              <w:jc w:val="center"/>
              <w:rPr>
                <w:rFonts w:cs="Arial"/>
                <w:b/>
                <w:bCs/>
                <w:sz w:val="18"/>
                <w:szCs w:val="18"/>
              </w:rPr>
            </w:pPr>
            <w:r w:rsidRPr="00BF2CCE">
              <w:rPr>
                <w:rFonts w:cs="Arial"/>
                <w:b/>
                <w:bCs/>
                <w:sz w:val="18"/>
                <w:szCs w:val="18"/>
              </w:rPr>
              <w:t>27.564.172.512</w:t>
            </w:r>
          </w:p>
        </w:tc>
      </w:tr>
      <w:tr w:rsidR="00BF2CCE" w:rsidRPr="00BF2CCE" w14:paraId="0B9F95A1" w14:textId="77777777" w:rsidTr="00BF2CCE">
        <w:tc>
          <w:tcPr>
            <w:tcW w:w="0" w:type="auto"/>
            <w:vMerge/>
            <w:vAlign w:val="center"/>
            <w:hideMark/>
          </w:tcPr>
          <w:p w14:paraId="26399166" w14:textId="77777777" w:rsidR="00BF2CCE" w:rsidRPr="00BF2CCE" w:rsidRDefault="00BF2CCE" w:rsidP="00AA4BBB">
            <w:pPr>
              <w:rPr>
                <w:rFonts w:cs="Arial"/>
                <w:sz w:val="18"/>
                <w:szCs w:val="18"/>
              </w:rPr>
            </w:pPr>
          </w:p>
        </w:tc>
        <w:tc>
          <w:tcPr>
            <w:tcW w:w="0" w:type="auto"/>
            <w:tcMar>
              <w:top w:w="30" w:type="dxa"/>
              <w:left w:w="45" w:type="dxa"/>
              <w:bottom w:w="30" w:type="dxa"/>
              <w:right w:w="45" w:type="dxa"/>
            </w:tcMar>
            <w:vAlign w:val="center"/>
            <w:hideMark/>
          </w:tcPr>
          <w:p w14:paraId="098BC0FD" w14:textId="77777777" w:rsidR="00BF2CCE" w:rsidRPr="00BF2CCE" w:rsidRDefault="00BF2CCE" w:rsidP="00AA4BBB">
            <w:pPr>
              <w:jc w:val="center"/>
              <w:rPr>
                <w:rFonts w:cs="Arial"/>
                <w:sz w:val="18"/>
                <w:szCs w:val="18"/>
              </w:rPr>
            </w:pPr>
            <w:r w:rsidRPr="00BF2CCE">
              <w:rPr>
                <w:rFonts w:cs="Arial"/>
                <w:sz w:val="18"/>
                <w:szCs w:val="18"/>
              </w:rPr>
              <w:t>6.681.000.000</w:t>
            </w:r>
          </w:p>
        </w:tc>
        <w:tc>
          <w:tcPr>
            <w:tcW w:w="0" w:type="auto"/>
            <w:tcMar>
              <w:top w:w="30" w:type="dxa"/>
              <w:left w:w="45" w:type="dxa"/>
              <w:bottom w:w="30" w:type="dxa"/>
              <w:right w:w="45" w:type="dxa"/>
            </w:tcMar>
            <w:vAlign w:val="center"/>
            <w:hideMark/>
          </w:tcPr>
          <w:p w14:paraId="51774F99" w14:textId="77777777" w:rsidR="00BF2CCE" w:rsidRPr="00BF2CCE" w:rsidRDefault="00BF2CCE" w:rsidP="00AA4BBB">
            <w:pPr>
              <w:jc w:val="center"/>
              <w:rPr>
                <w:rFonts w:cs="Arial"/>
                <w:sz w:val="18"/>
                <w:szCs w:val="18"/>
              </w:rPr>
            </w:pPr>
            <w:r w:rsidRPr="00BF2CCE">
              <w:rPr>
                <w:rFonts w:cs="Arial"/>
                <w:sz w:val="18"/>
                <w:szCs w:val="18"/>
              </w:rPr>
              <w:t>6.864.563.107</w:t>
            </w:r>
          </w:p>
        </w:tc>
        <w:tc>
          <w:tcPr>
            <w:tcW w:w="0" w:type="auto"/>
            <w:tcMar>
              <w:top w:w="30" w:type="dxa"/>
              <w:left w:w="45" w:type="dxa"/>
              <w:bottom w:w="30" w:type="dxa"/>
              <w:right w:w="45" w:type="dxa"/>
            </w:tcMar>
            <w:vAlign w:val="center"/>
            <w:hideMark/>
          </w:tcPr>
          <w:p w14:paraId="6935886E" w14:textId="77777777" w:rsidR="00BF2CCE" w:rsidRPr="00BF2CCE" w:rsidRDefault="00BF2CCE" w:rsidP="00AA4BBB">
            <w:pPr>
              <w:jc w:val="center"/>
              <w:rPr>
                <w:rFonts w:cs="Arial"/>
                <w:sz w:val="18"/>
                <w:szCs w:val="18"/>
              </w:rPr>
            </w:pPr>
            <w:r w:rsidRPr="00BF2CCE">
              <w:rPr>
                <w:rFonts w:cs="Arial"/>
                <w:sz w:val="18"/>
                <w:szCs w:val="18"/>
              </w:rPr>
              <w:t>7.151.569.422</w:t>
            </w:r>
          </w:p>
        </w:tc>
        <w:tc>
          <w:tcPr>
            <w:tcW w:w="0" w:type="auto"/>
            <w:tcMar>
              <w:top w:w="30" w:type="dxa"/>
              <w:left w:w="45" w:type="dxa"/>
              <w:bottom w:w="30" w:type="dxa"/>
              <w:right w:w="45" w:type="dxa"/>
            </w:tcMar>
            <w:vAlign w:val="center"/>
            <w:hideMark/>
          </w:tcPr>
          <w:p w14:paraId="45BFDAB9" w14:textId="77777777" w:rsidR="00BF2CCE" w:rsidRPr="00BF2CCE" w:rsidRDefault="00BF2CCE" w:rsidP="00AA4BBB">
            <w:pPr>
              <w:jc w:val="center"/>
              <w:rPr>
                <w:rFonts w:cs="Arial"/>
                <w:sz w:val="18"/>
                <w:szCs w:val="18"/>
              </w:rPr>
            </w:pPr>
            <w:r w:rsidRPr="00BF2CCE">
              <w:rPr>
                <w:rFonts w:cs="Arial"/>
                <w:sz w:val="18"/>
                <w:szCs w:val="18"/>
              </w:rPr>
              <w:t>6.867.039.983</w:t>
            </w:r>
          </w:p>
        </w:tc>
        <w:tc>
          <w:tcPr>
            <w:tcW w:w="0" w:type="auto"/>
            <w:vMerge/>
            <w:vAlign w:val="center"/>
            <w:hideMark/>
          </w:tcPr>
          <w:p w14:paraId="6C36C139" w14:textId="77777777" w:rsidR="00BF2CCE" w:rsidRPr="00BF2CCE" w:rsidRDefault="00BF2CCE" w:rsidP="00AA4BBB">
            <w:pPr>
              <w:rPr>
                <w:rFonts w:cs="Arial"/>
                <w:b/>
                <w:bCs/>
                <w:sz w:val="18"/>
                <w:szCs w:val="18"/>
              </w:rPr>
            </w:pPr>
          </w:p>
        </w:tc>
      </w:tr>
      <w:tr w:rsidR="00BF2CCE" w:rsidRPr="00BF2CCE" w14:paraId="487DC970" w14:textId="77777777" w:rsidTr="00F353A5">
        <w:tc>
          <w:tcPr>
            <w:tcW w:w="0" w:type="auto"/>
            <w:vMerge w:val="restart"/>
            <w:tcMar>
              <w:top w:w="30" w:type="dxa"/>
              <w:left w:w="45" w:type="dxa"/>
              <w:bottom w:w="30" w:type="dxa"/>
              <w:right w:w="45" w:type="dxa"/>
            </w:tcMar>
            <w:vAlign w:val="center"/>
            <w:hideMark/>
          </w:tcPr>
          <w:p w14:paraId="043C06F3" w14:textId="77777777" w:rsidR="00BF2CCE" w:rsidRPr="00BF2CCE" w:rsidRDefault="00BF2CCE" w:rsidP="00AA4BBB">
            <w:pPr>
              <w:rPr>
                <w:rFonts w:cs="Arial"/>
                <w:sz w:val="18"/>
                <w:szCs w:val="18"/>
              </w:rPr>
            </w:pPr>
            <w:r w:rsidRPr="00BF2CCE">
              <w:rPr>
                <w:rFonts w:cs="Arial"/>
                <w:sz w:val="18"/>
                <w:szCs w:val="18"/>
              </w:rPr>
              <w:t>Producir el 100% de los informes estratégicos con información oportuna y de calidad a la ciudad para el análisis del avance de sus planes e inversiones y la toma de decisiones en política pública</w:t>
            </w:r>
          </w:p>
        </w:tc>
        <w:tc>
          <w:tcPr>
            <w:tcW w:w="0" w:type="auto"/>
            <w:tcMar>
              <w:top w:w="30" w:type="dxa"/>
              <w:left w:w="45" w:type="dxa"/>
              <w:bottom w:w="30" w:type="dxa"/>
              <w:right w:w="45" w:type="dxa"/>
            </w:tcMar>
            <w:vAlign w:val="center"/>
            <w:hideMark/>
          </w:tcPr>
          <w:p w14:paraId="0DE35A5E" w14:textId="77777777" w:rsidR="00BF2CCE" w:rsidRPr="00BF2CCE" w:rsidRDefault="00BF2CCE" w:rsidP="00AA4BBB">
            <w:pPr>
              <w:jc w:val="center"/>
              <w:rPr>
                <w:rFonts w:cs="Arial"/>
                <w:sz w:val="18"/>
                <w:szCs w:val="18"/>
              </w:rPr>
            </w:pPr>
            <w:r w:rsidRPr="00BF2CCE">
              <w:rPr>
                <w:rFonts w:cs="Arial"/>
                <w:sz w:val="18"/>
                <w:szCs w:val="18"/>
              </w:rPr>
              <w:t>100</w:t>
            </w:r>
          </w:p>
        </w:tc>
        <w:tc>
          <w:tcPr>
            <w:tcW w:w="0" w:type="auto"/>
            <w:tcMar>
              <w:top w:w="30" w:type="dxa"/>
              <w:left w:w="45" w:type="dxa"/>
              <w:bottom w:w="30" w:type="dxa"/>
              <w:right w:w="45" w:type="dxa"/>
            </w:tcMar>
            <w:vAlign w:val="center"/>
            <w:hideMark/>
          </w:tcPr>
          <w:p w14:paraId="660E8391" w14:textId="77777777" w:rsidR="00BF2CCE" w:rsidRPr="00BF2CCE" w:rsidRDefault="00BF2CCE" w:rsidP="00AA4BBB">
            <w:pPr>
              <w:jc w:val="center"/>
              <w:rPr>
                <w:rFonts w:cs="Arial"/>
                <w:sz w:val="18"/>
                <w:szCs w:val="18"/>
              </w:rPr>
            </w:pPr>
            <w:r w:rsidRPr="00BF2CCE">
              <w:rPr>
                <w:rFonts w:cs="Arial"/>
                <w:sz w:val="18"/>
                <w:szCs w:val="18"/>
              </w:rPr>
              <w:t>100</w:t>
            </w:r>
          </w:p>
        </w:tc>
        <w:tc>
          <w:tcPr>
            <w:tcW w:w="0" w:type="auto"/>
            <w:tcMar>
              <w:top w:w="30" w:type="dxa"/>
              <w:left w:w="45" w:type="dxa"/>
              <w:bottom w:w="30" w:type="dxa"/>
              <w:right w:w="45" w:type="dxa"/>
            </w:tcMar>
            <w:vAlign w:val="center"/>
            <w:hideMark/>
          </w:tcPr>
          <w:p w14:paraId="55DA2D16" w14:textId="77777777" w:rsidR="00BF2CCE" w:rsidRPr="00BF2CCE" w:rsidRDefault="00BF2CCE" w:rsidP="00AA4BBB">
            <w:pPr>
              <w:jc w:val="center"/>
              <w:rPr>
                <w:rFonts w:cs="Arial"/>
                <w:sz w:val="18"/>
                <w:szCs w:val="18"/>
              </w:rPr>
            </w:pPr>
            <w:r w:rsidRPr="00BF2CCE">
              <w:rPr>
                <w:rFonts w:cs="Arial"/>
                <w:sz w:val="18"/>
                <w:szCs w:val="18"/>
              </w:rPr>
              <w:t>100</w:t>
            </w:r>
          </w:p>
        </w:tc>
        <w:tc>
          <w:tcPr>
            <w:tcW w:w="0" w:type="auto"/>
            <w:tcMar>
              <w:top w:w="30" w:type="dxa"/>
              <w:left w:w="45" w:type="dxa"/>
              <w:bottom w:w="30" w:type="dxa"/>
              <w:right w:w="45" w:type="dxa"/>
            </w:tcMar>
            <w:vAlign w:val="center"/>
            <w:hideMark/>
          </w:tcPr>
          <w:p w14:paraId="2E0095E9" w14:textId="77777777" w:rsidR="00BF2CCE" w:rsidRPr="00BF2CCE" w:rsidRDefault="00BF2CCE" w:rsidP="00AA4BBB">
            <w:pPr>
              <w:jc w:val="center"/>
              <w:rPr>
                <w:rFonts w:cs="Arial"/>
                <w:sz w:val="18"/>
                <w:szCs w:val="18"/>
              </w:rPr>
            </w:pPr>
            <w:r w:rsidRPr="00BF2CCE">
              <w:rPr>
                <w:rFonts w:cs="Arial"/>
                <w:sz w:val="18"/>
                <w:szCs w:val="18"/>
              </w:rPr>
              <w:t>100</w:t>
            </w:r>
          </w:p>
        </w:tc>
        <w:tc>
          <w:tcPr>
            <w:tcW w:w="0" w:type="auto"/>
            <w:vMerge w:val="restart"/>
            <w:tcMar>
              <w:top w:w="30" w:type="dxa"/>
              <w:left w:w="45" w:type="dxa"/>
              <w:bottom w:w="30" w:type="dxa"/>
              <w:right w:w="45" w:type="dxa"/>
            </w:tcMar>
            <w:vAlign w:val="center"/>
            <w:hideMark/>
          </w:tcPr>
          <w:p w14:paraId="6783DB37" w14:textId="77777777" w:rsidR="00BF2CCE" w:rsidRPr="00BF2CCE" w:rsidRDefault="00BF2CCE" w:rsidP="00F353A5">
            <w:pPr>
              <w:jc w:val="center"/>
              <w:rPr>
                <w:rFonts w:cs="Arial"/>
                <w:b/>
                <w:bCs/>
                <w:sz w:val="18"/>
                <w:szCs w:val="18"/>
              </w:rPr>
            </w:pPr>
            <w:r w:rsidRPr="00BF2CCE">
              <w:rPr>
                <w:rFonts w:cs="Arial"/>
                <w:b/>
                <w:bCs/>
                <w:sz w:val="18"/>
                <w:szCs w:val="18"/>
              </w:rPr>
              <w:t>7.547.347.693</w:t>
            </w:r>
          </w:p>
        </w:tc>
      </w:tr>
      <w:tr w:rsidR="00BF2CCE" w:rsidRPr="00BF2CCE" w14:paraId="1403BD1C" w14:textId="77777777" w:rsidTr="00BF2CCE">
        <w:tc>
          <w:tcPr>
            <w:tcW w:w="0" w:type="auto"/>
            <w:vMerge/>
            <w:tcBorders>
              <w:bottom w:val="double" w:sz="4" w:space="0" w:color="C00000"/>
            </w:tcBorders>
            <w:vAlign w:val="center"/>
            <w:hideMark/>
          </w:tcPr>
          <w:p w14:paraId="1CA59C37" w14:textId="77777777" w:rsidR="00BF2CCE" w:rsidRPr="00BF2CCE" w:rsidRDefault="00BF2CCE" w:rsidP="00AA4BBB">
            <w:pPr>
              <w:rPr>
                <w:rFonts w:cs="Arial"/>
                <w:sz w:val="18"/>
                <w:szCs w:val="18"/>
              </w:rPr>
            </w:pPr>
          </w:p>
        </w:tc>
        <w:tc>
          <w:tcPr>
            <w:tcW w:w="0" w:type="auto"/>
            <w:tcBorders>
              <w:bottom w:val="double" w:sz="4" w:space="0" w:color="C00000"/>
            </w:tcBorders>
            <w:tcMar>
              <w:top w:w="30" w:type="dxa"/>
              <w:left w:w="45" w:type="dxa"/>
              <w:bottom w:w="30" w:type="dxa"/>
              <w:right w:w="45" w:type="dxa"/>
            </w:tcMar>
            <w:vAlign w:val="center"/>
            <w:hideMark/>
          </w:tcPr>
          <w:p w14:paraId="1866AB3F" w14:textId="77777777" w:rsidR="00BF2CCE" w:rsidRPr="00BF2CCE" w:rsidRDefault="00BF2CCE" w:rsidP="00AA4BBB">
            <w:pPr>
              <w:jc w:val="center"/>
              <w:rPr>
                <w:rFonts w:cs="Arial"/>
                <w:sz w:val="18"/>
                <w:szCs w:val="18"/>
              </w:rPr>
            </w:pPr>
            <w:r w:rsidRPr="00BF2CCE">
              <w:rPr>
                <w:rFonts w:cs="Arial"/>
                <w:sz w:val="18"/>
                <w:szCs w:val="18"/>
              </w:rPr>
              <w:t>2.089.000.000</w:t>
            </w:r>
          </w:p>
        </w:tc>
        <w:tc>
          <w:tcPr>
            <w:tcW w:w="0" w:type="auto"/>
            <w:tcBorders>
              <w:bottom w:val="double" w:sz="4" w:space="0" w:color="C00000"/>
            </w:tcBorders>
            <w:tcMar>
              <w:top w:w="30" w:type="dxa"/>
              <w:left w:w="45" w:type="dxa"/>
              <w:bottom w:w="30" w:type="dxa"/>
              <w:right w:w="45" w:type="dxa"/>
            </w:tcMar>
            <w:vAlign w:val="center"/>
            <w:hideMark/>
          </w:tcPr>
          <w:p w14:paraId="35C44B61" w14:textId="77777777" w:rsidR="00BF2CCE" w:rsidRPr="00BF2CCE" w:rsidRDefault="00BF2CCE" w:rsidP="00AA4BBB">
            <w:pPr>
              <w:jc w:val="center"/>
              <w:rPr>
                <w:rFonts w:cs="Arial"/>
                <w:sz w:val="18"/>
                <w:szCs w:val="18"/>
              </w:rPr>
            </w:pPr>
            <w:r w:rsidRPr="00BF2CCE">
              <w:rPr>
                <w:rFonts w:cs="Arial"/>
                <w:sz w:val="18"/>
                <w:szCs w:val="18"/>
              </w:rPr>
              <w:t>1.525.242.718</w:t>
            </w:r>
          </w:p>
        </w:tc>
        <w:tc>
          <w:tcPr>
            <w:tcW w:w="0" w:type="auto"/>
            <w:tcBorders>
              <w:bottom w:val="double" w:sz="4" w:space="0" w:color="C00000"/>
            </w:tcBorders>
            <w:tcMar>
              <w:top w:w="30" w:type="dxa"/>
              <w:left w:w="45" w:type="dxa"/>
              <w:bottom w:w="30" w:type="dxa"/>
              <w:right w:w="45" w:type="dxa"/>
            </w:tcMar>
            <w:vAlign w:val="center"/>
            <w:hideMark/>
          </w:tcPr>
          <w:p w14:paraId="468CAA9E" w14:textId="77777777" w:rsidR="00BF2CCE" w:rsidRPr="00BF2CCE" w:rsidRDefault="00BF2CCE" w:rsidP="00AA4BBB">
            <w:pPr>
              <w:jc w:val="center"/>
              <w:rPr>
                <w:rFonts w:cs="Arial"/>
                <w:sz w:val="18"/>
                <w:szCs w:val="18"/>
              </w:rPr>
            </w:pPr>
            <w:r w:rsidRPr="00BF2CCE">
              <w:rPr>
                <w:rFonts w:cs="Arial"/>
                <w:sz w:val="18"/>
                <w:szCs w:val="18"/>
              </w:rPr>
              <w:t>1.816.382.317</w:t>
            </w:r>
          </w:p>
        </w:tc>
        <w:tc>
          <w:tcPr>
            <w:tcW w:w="0" w:type="auto"/>
            <w:tcBorders>
              <w:bottom w:val="double" w:sz="4" w:space="0" w:color="C00000"/>
            </w:tcBorders>
            <w:tcMar>
              <w:top w:w="30" w:type="dxa"/>
              <w:left w:w="45" w:type="dxa"/>
              <w:bottom w:w="30" w:type="dxa"/>
              <w:right w:w="45" w:type="dxa"/>
            </w:tcMar>
            <w:vAlign w:val="center"/>
            <w:hideMark/>
          </w:tcPr>
          <w:p w14:paraId="1D7A5C32" w14:textId="77777777" w:rsidR="00BF2CCE" w:rsidRPr="00BF2CCE" w:rsidRDefault="00BF2CCE" w:rsidP="00AA4BBB">
            <w:pPr>
              <w:jc w:val="center"/>
              <w:rPr>
                <w:rFonts w:cs="Arial"/>
                <w:sz w:val="18"/>
                <w:szCs w:val="18"/>
              </w:rPr>
            </w:pPr>
            <w:r w:rsidRPr="00BF2CCE">
              <w:rPr>
                <w:rFonts w:cs="Arial"/>
                <w:sz w:val="18"/>
                <w:szCs w:val="18"/>
              </w:rPr>
              <w:t>2.116.722.658</w:t>
            </w:r>
          </w:p>
        </w:tc>
        <w:tc>
          <w:tcPr>
            <w:tcW w:w="0" w:type="auto"/>
            <w:vMerge/>
            <w:tcBorders>
              <w:bottom w:val="double" w:sz="4" w:space="0" w:color="C00000"/>
            </w:tcBorders>
            <w:vAlign w:val="center"/>
            <w:hideMark/>
          </w:tcPr>
          <w:p w14:paraId="7A2FBA1C" w14:textId="77777777" w:rsidR="00BF2CCE" w:rsidRPr="00BF2CCE" w:rsidRDefault="00BF2CCE" w:rsidP="00AA4BBB">
            <w:pPr>
              <w:rPr>
                <w:rFonts w:cs="Arial"/>
                <w:b/>
                <w:bCs/>
                <w:sz w:val="18"/>
                <w:szCs w:val="18"/>
              </w:rPr>
            </w:pPr>
          </w:p>
        </w:tc>
      </w:tr>
    </w:tbl>
    <w:p w14:paraId="26E0FCBF" w14:textId="77777777" w:rsidR="00EF1D5F" w:rsidRPr="00B944E8" w:rsidRDefault="00EF1D5F" w:rsidP="005D5A4A">
      <w:pPr>
        <w:spacing w:line="480" w:lineRule="auto"/>
        <w:rPr>
          <w:rFonts w:ascii="Times New Roman" w:hAnsi="Times New Roman"/>
          <w:sz w:val="24"/>
        </w:rPr>
      </w:pPr>
    </w:p>
    <w:p w14:paraId="5AA8F256" w14:textId="77777777" w:rsidR="004C49AC" w:rsidRDefault="004C49AC" w:rsidP="007D678A">
      <w:pPr>
        <w:pStyle w:val="Ttulo3"/>
        <w:ind w:left="1275" w:hanging="567"/>
        <w:rPr>
          <w:rFonts w:cs="Times New Roman"/>
          <w:b w:val="0"/>
          <w:bCs/>
          <w:iCs/>
          <w:color w:val="C00000"/>
          <w:szCs w:val="28"/>
        </w:rPr>
      </w:pPr>
      <w:r>
        <w:rPr>
          <w:rFonts w:cs="Times New Roman"/>
          <w:bCs/>
          <w:iCs/>
          <w:color w:val="C00000"/>
          <w:szCs w:val="28"/>
        </w:rPr>
        <w:br w:type="page"/>
      </w:r>
    </w:p>
    <w:p w14:paraId="204CE7B5" w14:textId="6F63346C" w:rsidR="00EF1D5F" w:rsidRDefault="00EF1D5F" w:rsidP="00F353A5">
      <w:pPr>
        <w:pStyle w:val="NIVEL4"/>
      </w:pPr>
      <w:bookmarkStart w:id="456" w:name="_Toc165169807"/>
      <w:r w:rsidRPr="00413935">
        <w:rPr>
          <w:color w:val="C00000"/>
        </w:rPr>
        <w:lastRenderedPageBreak/>
        <w:t xml:space="preserve">Programa </w:t>
      </w:r>
      <w:r>
        <w:rPr>
          <w:color w:val="C00000"/>
        </w:rPr>
        <w:t>39</w:t>
      </w:r>
      <w:r w:rsidR="00F353A5">
        <w:rPr>
          <w:color w:val="C00000"/>
        </w:rPr>
        <w:t xml:space="preserve">: </w:t>
      </w:r>
      <w:r w:rsidRPr="00E05B2F">
        <w:t>Camino hacia una democracia deliberativa con un gobierno cercano a la gente y con participación ciudadana</w:t>
      </w:r>
      <w:bookmarkEnd w:id="456"/>
    </w:p>
    <w:p w14:paraId="4161C6B2" w14:textId="77777777" w:rsidR="00EF1D5F" w:rsidRPr="007D678A" w:rsidRDefault="00EF1D5F" w:rsidP="00F353A5"/>
    <w:p w14:paraId="5F10807D" w14:textId="4BDEF5D7" w:rsidR="00EF1D5F" w:rsidRPr="00F353A5" w:rsidRDefault="00EF1D5F" w:rsidP="00F353A5">
      <w:pPr>
        <w:ind w:firstLine="708"/>
        <w:rPr>
          <w:b/>
          <w:bCs/>
          <w:color w:val="C00000"/>
        </w:rPr>
      </w:pPr>
      <w:r w:rsidRPr="00F353A5">
        <w:rPr>
          <w:b/>
          <w:bCs/>
        </w:rPr>
        <w:t>Diagnóstico</w:t>
      </w:r>
    </w:p>
    <w:p w14:paraId="171E35D9" w14:textId="77777777" w:rsidR="00EF1D5F" w:rsidRDefault="00EF1D5F" w:rsidP="00413935">
      <w:pPr>
        <w:rPr>
          <w:highlight w:val="white"/>
        </w:rPr>
        <w:sectPr w:rsidR="00EF1D5F" w:rsidSect="00F7078E">
          <w:type w:val="continuous"/>
          <w:pgSz w:w="12240" w:h="15840"/>
          <w:pgMar w:top="2262" w:right="1440" w:bottom="1440" w:left="1440" w:header="708" w:footer="680" w:gutter="0"/>
          <w:cols w:space="720"/>
          <w:docGrid w:linePitch="299"/>
        </w:sectPr>
      </w:pPr>
    </w:p>
    <w:p w14:paraId="7D0471A9" w14:textId="77777777" w:rsidR="00EF1D5F" w:rsidRDefault="00EF1D5F" w:rsidP="00CC7AB4">
      <w:r>
        <w:t xml:space="preserve">Para recuperar la confianza de la ciudadanía en el Gobierno distrital hay que generar las condiciones necesarias de atención ciudadana brindando </w:t>
      </w:r>
      <w:r>
        <w:rPr>
          <w:i/>
        </w:rPr>
        <w:t>canales y servicios</w:t>
      </w:r>
      <w:r>
        <w:t xml:space="preserve"> de excelencia en el territorio, de acuerdo con sus necesidades y requerimientos; también, fortalecer o crear </w:t>
      </w:r>
      <w:r>
        <w:rPr>
          <w:i/>
        </w:rPr>
        <w:t>espacios de encuentro</w:t>
      </w:r>
      <w:r>
        <w:t xml:space="preserve"> para afianzar la participación de la ciudadanía incidente, y el trabajo conjunto y corresponsable en beneficio del desarrollo de Bogotá.</w:t>
      </w:r>
    </w:p>
    <w:p w14:paraId="2E896A90" w14:textId="77777777" w:rsidR="00EF1D5F" w:rsidRDefault="00EF1D5F" w:rsidP="00CC7AB4"/>
    <w:p w14:paraId="68C9EE0D" w14:textId="77777777" w:rsidR="00EF1D5F" w:rsidRDefault="00EF1D5F" w:rsidP="00CC7AB4">
      <w:r>
        <w:t>Según la Encuesta Bienal de Cultura de 2023, el 43</w:t>
      </w:r>
      <w:r>
        <w:rPr>
          <w:rFonts w:ascii="Arial" w:hAnsi="Arial" w:cs="Arial"/>
        </w:rPr>
        <w:t> </w:t>
      </w:r>
      <w:r>
        <w:t>% de las personas consultadas confían poco en la Alcaldía Mayor de Bogotá, así como en sus entidades. De igual forma, a través de la Encuesta de Cultura Política del DANE de 2021, se pone en evidencia que el 25,8</w:t>
      </w:r>
      <w:r>
        <w:rPr>
          <w:rFonts w:ascii="Arial" w:hAnsi="Arial" w:cs="Arial"/>
        </w:rPr>
        <w:t> </w:t>
      </w:r>
      <w:r>
        <w:t xml:space="preserve">% de la ciudadanía no usó mecanismos de participación, por motivos de desconfianza o percepción de poca efectividad. </w:t>
      </w:r>
    </w:p>
    <w:p w14:paraId="25BE5D76" w14:textId="77777777" w:rsidR="00EF1D5F" w:rsidRDefault="00EF1D5F" w:rsidP="00CC7AB4"/>
    <w:p w14:paraId="1314518F" w14:textId="77777777" w:rsidR="00EF1D5F" w:rsidRDefault="00EF1D5F" w:rsidP="00CC7AB4">
      <w:r>
        <w:t>Un primer elemento para recobrar la confianza ciudadana en el Gobierno distrital es brindando canales de atención presenciales y virtuales óptimos y más cercanos a la población. La última medición del Índice de Calidad del Servicio de Atención del modelo multicanal con que cuenta Bogotá registra que solo se alcanzó el 78</w:t>
      </w:r>
      <w:r>
        <w:rPr>
          <w:rFonts w:ascii="Arial" w:hAnsi="Arial" w:cs="Arial"/>
        </w:rPr>
        <w:t> </w:t>
      </w:r>
      <w:r>
        <w:t xml:space="preserve">% en materia de cumplimiento de los estándares de </w:t>
      </w:r>
      <w:r>
        <w:t>calidad esperados, de acuerdo con los resultados de 2023.</w:t>
      </w:r>
    </w:p>
    <w:p w14:paraId="0D899EB0" w14:textId="77777777" w:rsidR="00EF1D5F" w:rsidRDefault="00EF1D5F" w:rsidP="00CC7AB4"/>
    <w:p w14:paraId="73998134" w14:textId="77777777" w:rsidR="00EF1D5F" w:rsidRDefault="00EF1D5F" w:rsidP="00CC7AB4">
      <w:r>
        <w:t>Por su parte, el nivel del servicio ofrecido en las alcaldías locales bajó de 80 puntos en 2020 a 75,21 en 2023. Y el cumplimiento de los criterios de calidad y calidez en las respuestas de entidades distritales a peticiones ciudadanas pasó del 81</w:t>
      </w:r>
      <w:r>
        <w:rPr>
          <w:rFonts w:ascii="Arial" w:hAnsi="Arial" w:cs="Arial"/>
        </w:rPr>
        <w:t> </w:t>
      </w:r>
      <w:r>
        <w:t>% en 2020 al 78</w:t>
      </w:r>
      <w:r>
        <w:rPr>
          <w:rFonts w:ascii="Arial" w:hAnsi="Arial" w:cs="Arial"/>
        </w:rPr>
        <w:t> </w:t>
      </w:r>
      <w:r>
        <w:t xml:space="preserve">% en 2023. Esto significa que hay un gran reto para revertir la tendencia y trabajar por servicios de alto nivel y más presentes en el territorio. </w:t>
      </w:r>
    </w:p>
    <w:p w14:paraId="62FE9BBA" w14:textId="77777777" w:rsidR="00EF1D5F" w:rsidRDefault="00EF1D5F" w:rsidP="00CC7AB4"/>
    <w:p w14:paraId="5CA927E1" w14:textId="77777777" w:rsidR="00EF1D5F" w:rsidRDefault="00EF1D5F" w:rsidP="00CC7AB4">
      <w:r>
        <w:t>En materia de la Red CADE y de la preferencia de la gente respecto a sus diversos canales, según la Encuesta de Satisfacción Ciudadana de 2023, se presentan los siguientes resultados: el 96,82</w:t>
      </w:r>
      <w:r>
        <w:rPr>
          <w:rFonts w:ascii="Arial" w:hAnsi="Arial" w:cs="Arial"/>
        </w:rPr>
        <w:t> </w:t>
      </w:r>
      <w:r>
        <w:t>% prefiere el canal presencial; el 80,6</w:t>
      </w:r>
      <w:r>
        <w:rPr>
          <w:rFonts w:ascii="Arial" w:hAnsi="Arial" w:cs="Arial"/>
        </w:rPr>
        <w:t> </w:t>
      </w:r>
      <w:r>
        <w:t xml:space="preserve">%, la vía virtual de </w:t>
      </w:r>
      <w:r>
        <w:rPr>
          <w:i/>
        </w:rPr>
        <w:t>Bogotá Te Escucha</w:t>
      </w:r>
      <w:r>
        <w:t>; el 58,40</w:t>
      </w:r>
      <w:r>
        <w:rPr>
          <w:rFonts w:ascii="Arial" w:hAnsi="Arial" w:cs="Arial"/>
        </w:rPr>
        <w:t> </w:t>
      </w:r>
      <w:r>
        <w:t>%, la vía telefónica; el 73,7</w:t>
      </w:r>
      <w:r>
        <w:rPr>
          <w:rFonts w:ascii="Arial" w:hAnsi="Arial" w:cs="Arial"/>
        </w:rPr>
        <w:t> </w:t>
      </w:r>
      <w:r>
        <w:t>%, el Super CADE Virtual, y el 76,3</w:t>
      </w:r>
      <w:r>
        <w:rPr>
          <w:rFonts w:ascii="Arial" w:hAnsi="Arial" w:cs="Arial"/>
        </w:rPr>
        <w:t> </w:t>
      </w:r>
      <w:r>
        <w:t>%, aplicaciones de otras entidades.</w:t>
      </w:r>
    </w:p>
    <w:p w14:paraId="606BBF7F" w14:textId="77777777" w:rsidR="00EF1D5F" w:rsidRDefault="00EF1D5F" w:rsidP="00CC7AB4"/>
    <w:p w14:paraId="209E6665" w14:textId="77777777" w:rsidR="00EF1D5F" w:rsidRDefault="00EF1D5F" w:rsidP="00CC7AB4">
      <w:r>
        <w:t>Vale la pena resaltar que, según el informe de interacciones por canales de atención de 2023 de la Dirección Distrital de Servicio al Ciudadano (DDSC), el canal más utilizado fue el presencial, con el 61,83</w:t>
      </w:r>
      <w:r>
        <w:rPr>
          <w:rFonts w:ascii="Arial" w:hAnsi="Arial" w:cs="Arial"/>
        </w:rPr>
        <w:t> </w:t>
      </w:r>
      <w:r>
        <w:t>%, frente al virtual, con el 16,92</w:t>
      </w:r>
      <w:r>
        <w:rPr>
          <w:rFonts w:ascii="Arial" w:hAnsi="Arial" w:cs="Arial"/>
        </w:rPr>
        <w:t> </w:t>
      </w:r>
      <w:r>
        <w:t>%, y el telefónico, con el 21,26</w:t>
      </w:r>
      <w:r>
        <w:rPr>
          <w:rFonts w:ascii="Arial" w:hAnsi="Arial" w:cs="Arial"/>
        </w:rPr>
        <w:t> </w:t>
      </w:r>
      <w:r>
        <w:t xml:space="preserve">%. </w:t>
      </w:r>
    </w:p>
    <w:p w14:paraId="77CB02CF" w14:textId="77777777" w:rsidR="00EF1D5F" w:rsidRDefault="00EF1D5F" w:rsidP="005D5A4A">
      <w:pPr>
        <w:spacing w:line="480" w:lineRule="auto"/>
        <w:jc w:val="center"/>
        <w:rPr>
          <w:rFonts w:ascii="Times New Roman" w:hAnsi="Times New Roman"/>
          <w:sz w:val="24"/>
        </w:rPr>
        <w:sectPr w:rsidR="00EF1D5F" w:rsidSect="00F7078E">
          <w:type w:val="continuous"/>
          <w:pgSz w:w="12240" w:h="15840"/>
          <w:pgMar w:top="2262" w:right="1440" w:bottom="1440" w:left="1440" w:header="708" w:footer="680" w:gutter="0"/>
          <w:cols w:num="2" w:space="567"/>
          <w:docGrid w:linePitch="299"/>
        </w:sectPr>
      </w:pPr>
    </w:p>
    <w:p w14:paraId="4237C266" w14:textId="77777777" w:rsidR="00EF1D5F" w:rsidRDefault="00EF1D5F" w:rsidP="00413935">
      <w:pPr>
        <w:pStyle w:val="figuratitulo"/>
        <w:jc w:val="both"/>
        <w:rPr>
          <w:b/>
          <w:bCs/>
        </w:rPr>
      </w:pPr>
    </w:p>
    <w:p w14:paraId="1A6E5C61" w14:textId="77777777" w:rsidR="00F353A5" w:rsidRDefault="00F353A5">
      <w:pPr>
        <w:spacing w:line="240" w:lineRule="auto"/>
        <w:jc w:val="left"/>
        <w:rPr>
          <w:rFonts w:eastAsiaTheme="minorEastAsia" w:cstheme="minorBidi"/>
          <w:b/>
          <w:iCs/>
          <w:color w:val="C00000"/>
          <w:sz w:val="18"/>
          <w:szCs w:val="18"/>
          <w:lang w:val="es-419" w:eastAsia="en-US"/>
        </w:rPr>
      </w:pPr>
      <w:r>
        <w:rPr>
          <w:color w:val="C00000"/>
          <w:sz w:val="18"/>
        </w:rPr>
        <w:br w:type="page"/>
      </w:r>
    </w:p>
    <w:p w14:paraId="07C54B3F" w14:textId="4ECB4A47" w:rsidR="00EF1D5F" w:rsidRPr="00F353A5" w:rsidRDefault="00F353A5" w:rsidP="00F353A5">
      <w:pPr>
        <w:pStyle w:val="Descripcin"/>
        <w:jc w:val="center"/>
        <w:rPr>
          <w:bCs/>
          <w:sz w:val="18"/>
        </w:rPr>
      </w:pPr>
      <w:bookmarkStart w:id="457" w:name="_Toc165169883"/>
      <w:r w:rsidRPr="00F353A5">
        <w:rPr>
          <w:color w:val="C00000"/>
          <w:sz w:val="18"/>
        </w:rPr>
        <w:lastRenderedPageBreak/>
        <w:t xml:space="preserve">Gráfica </w:t>
      </w:r>
      <w:r w:rsidRPr="00F353A5">
        <w:rPr>
          <w:color w:val="C00000"/>
          <w:sz w:val="18"/>
        </w:rPr>
        <w:fldChar w:fldCharType="begin"/>
      </w:r>
      <w:r w:rsidRPr="00F353A5">
        <w:rPr>
          <w:color w:val="C00000"/>
          <w:sz w:val="18"/>
        </w:rPr>
        <w:instrText xml:space="preserve"> SEQ Gráfica \* ARABIC </w:instrText>
      </w:r>
      <w:r w:rsidRPr="00F353A5">
        <w:rPr>
          <w:color w:val="C00000"/>
          <w:sz w:val="18"/>
        </w:rPr>
        <w:fldChar w:fldCharType="separate"/>
      </w:r>
      <w:r w:rsidR="00D01651">
        <w:rPr>
          <w:noProof/>
          <w:color w:val="C00000"/>
          <w:sz w:val="18"/>
        </w:rPr>
        <w:t>57</w:t>
      </w:r>
      <w:r w:rsidRPr="00F353A5">
        <w:rPr>
          <w:color w:val="C00000"/>
          <w:sz w:val="18"/>
        </w:rPr>
        <w:fldChar w:fldCharType="end"/>
      </w:r>
      <w:r w:rsidRPr="00F353A5">
        <w:rPr>
          <w:color w:val="C00000"/>
          <w:sz w:val="18"/>
        </w:rPr>
        <w:t xml:space="preserve">. </w:t>
      </w:r>
      <w:r w:rsidR="00EF1D5F" w:rsidRPr="00F353A5">
        <w:rPr>
          <w:sz w:val="18"/>
        </w:rPr>
        <w:t>Participación por canal de atención, por grupo etario</w:t>
      </w:r>
      <w:bookmarkEnd w:id="457"/>
    </w:p>
    <w:p w14:paraId="36E462C4" w14:textId="77777777" w:rsidR="00EF1D5F" w:rsidRPr="00E94B15" w:rsidRDefault="00EF1D5F" w:rsidP="00F353A5">
      <w:pPr>
        <w:spacing w:line="240" w:lineRule="auto"/>
        <w:jc w:val="center"/>
        <w:rPr>
          <w:b/>
        </w:rPr>
      </w:pPr>
      <w:r>
        <w:rPr>
          <w:b/>
          <w:noProof/>
        </w:rPr>
        <w:drawing>
          <wp:inline distT="0" distB="0" distL="0" distR="0" wp14:anchorId="583E239E" wp14:editId="57A9C94A">
            <wp:extent cx="4624168" cy="1957530"/>
            <wp:effectExtent l="0" t="0" r="0" b="0"/>
            <wp:docPr id="306757344" name="Imagen 13"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57344" name="Imagen 13" descr="Gráfico, Gráfico de barras&#10;&#10;Descripción generada automáticamente"/>
                    <pic:cNvPicPr/>
                  </pic:nvPicPr>
                  <pic:blipFill rotWithShape="1">
                    <a:blip r:embed="rId168" cstate="print">
                      <a:extLst>
                        <a:ext uri="{28A0092B-C50C-407E-A947-70E740481C1C}">
                          <a14:useLocalDpi xmlns:a14="http://schemas.microsoft.com/office/drawing/2010/main" val="0"/>
                        </a:ext>
                      </a:extLst>
                    </a:blip>
                    <a:srcRect l="8985" t="13731" r="8594" b="7180"/>
                    <a:stretch/>
                  </pic:blipFill>
                  <pic:spPr bwMode="auto">
                    <a:xfrm>
                      <a:off x="0" y="0"/>
                      <a:ext cx="4625543" cy="1958112"/>
                    </a:xfrm>
                    <a:prstGeom prst="rect">
                      <a:avLst/>
                    </a:prstGeom>
                    <a:ln>
                      <a:noFill/>
                    </a:ln>
                    <a:extLst>
                      <a:ext uri="{53640926-AAD7-44D8-BBD7-CCE9431645EC}">
                        <a14:shadowObscured xmlns:a14="http://schemas.microsoft.com/office/drawing/2010/main"/>
                      </a:ext>
                    </a:extLst>
                  </pic:spPr>
                </pic:pic>
              </a:graphicData>
            </a:graphic>
          </wp:inline>
        </w:drawing>
      </w:r>
    </w:p>
    <w:p w14:paraId="72ADB97D" w14:textId="77777777" w:rsidR="00EF1D5F" w:rsidRPr="00C132C6" w:rsidRDefault="00EF1D5F" w:rsidP="00DB00A2">
      <w:pPr>
        <w:spacing w:line="480" w:lineRule="auto"/>
        <w:jc w:val="center"/>
        <w:rPr>
          <w:color w:val="3B3838"/>
          <w:sz w:val="18"/>
          <w:szCs w:val="18"/>
        </w:rPr>
      </w:pPr>
      <w:r w:rsidRPr="00C132C6">
        <w:rPr>
          <w:b/>
          <w:bCs/>
          <w:color w:val="3B3838"/>
          <w:sz w:val="18"/>
          <w:szCs w:val="18"/>
        </w:rPr>
        <w:t>Fuente:</w:t>
      </w:r>
      <w:r w:rsidRPr="00C132C6">
        <w:rPr>
          <w:color w:val="3B3838"/>
          <w:sz w:val="18"/>
          <w:szCs w:val="18"/>
        </w:rPr>
        <w:t xml:space="preserve"> Subsecretaría del Servicio a la Ciudadanía (2020-2023).</w:t>
      </w:r>
    </w:p>
    <w:p w14:paraId="0DB1EAC5" w14:textId="77777777" w:rsidR="00EF1D5F" w:rsidRDefault="00EF1D5F" w:rsidP="00413935">
      <w:pPr>
        <w:rPr>
          <w:highlight w:val="white"/>
        </w:rPr>
        <w:sectPr w:rsidR="00EF1D5F" w:rsidSect="00F7078E">
          <w:type w:val="continuous"/>
          <w:pgSz w:w="12240" w:h="15840"/>
          <w:pgMar w:top="2262" w:right="1440" w:bottom="1440" w:left="1440" w:header="708" w:footer="680" w:gutter="0"/>
          <w:cols w:space="720"/>
          <w:docGrid w:linePitch="299"/>
        </w:sectPr>
      </w:pPr>
    </w:p>
    <w:p w14:paraId="7D8852DE" w14:textId="77777777" w:rsidR="00EF1D5F" w:rsidRDefault="00EF1D5F" w:rsidP="00DB00A2">
      <w:r>
        <w:t>Frente al nivel de satisfacción con el Sistema de Gestión de Peticiones Ciudadanas, Bogotá Te Escucha alcanza el 74,9</w:t>
      </w:r>
      <w:r>
        <w:rPr>
          <w:rFonts w:ascii="Arial" w:hAnsi="Arial" w:cs="Arial"/>
        </w:rPr>
        <w:t> </w:t>
      </w:r>
      <w:r>
        <w:t>% de satisfacción, y la Línea 195, el 86,6</w:t>
      </w:r>
      <w:r>
        <w:rPr>
          <w:rFonts w:ascii="Arial" w:hAnsi="Arial" w:cs="Arial"/>
        </w:rPr>
        <w:t> </w:t>
      </w:r>
      <w:r>
        <w:t>%. Esto señala que la red es importante y necesaria para la ciudadanía, por lo cual se debe fortalecerla y optimizarla.</w:t>
      </w:r>
    </w:p>
    <w:p w14:paraId="71DFFD8A" w14:textId="77777777" w:rsidR="00EF1D5F" w:rsidRDefault="00EF1D5F" w:rsidP="00DB00A2"/>
    <w:p w14:paraId="390E90BE" w14:textId="77777777" w:rsidR="00EF1D5F" w:rsidRDefault="00EF1D5F" w:rsidP="00DB00A2">
      <w:r>
        <w:t xml:space="preserve">En este proceso de fortalecimiento es importante considerar el uso de los canales por grupos etarios: por ejemplo, entre el rango de edad de 29-59 años se usan en un alto nivel los 3 canales de atención del Distrito Capital (presencial, virtual y telefónico), mientras que los mayores de 59 años prefieren el canal presencial. </w:t>
      </w:r>
    </w:p>
    <w:p w14:paraId="7ED39B5E" w14:textId="77777777" w:rsidR="00EF1D5F" w:rsidRDefault="00EF1D5F" w:rsidP="00DB00A2"/>
    <w:p w14:paraId="16FC56E4" w14:textId="77777777" w:rsidR="00EF1D5F" w:rsidRDefault="00EF1D5F" w:rsidP="00DB00A2">
      <w:r>
        <w:t xml:space="preserve">A diferencia de los grupos anteriores, el canal telefónico fue el preferido por las personas jóvenes, de entre 14 y 28 años; por eso, es importante continuar el fortalecimiento de la información de la Guía de Trámites y Servicios y de la </w:t>
      </w:r>
      <w:r>
        <w:t>Respuesta de Voz Interactiva (IVR), que son las herramientas fundamentales para que las y los jóvenes encuentren información de su interés en este canal.</w:t>
      </w:r>
    </w:p>
    <w:p w14:paraId="699E387A" w14:textId="77777777" w:rsidR="00EF1D5F" w:rsidRDefault="00EF1D5F" w:rsidP="00DB00A2"/>
    <w:p w14:paraId="75E97D61" w14:textId="77777777" w:rsidR="00EF1D5F" w:rsidRDefault="00EF1D5F" w:rsidP="00DB00A2">
      <w:r>
        <w:t xml:space="preserve">Se evidencia la necesidad de continuar las campañas de socialización y divulgación para el uso de los canales virtuales, por cuanto es el menos utilizado, tendencia que se observó en todos los grupos etarios. Adicional a esto, es importante seguir fortaleciendo el medio de atención virtual Chatbot Chatico, el cual se atiende a través de la web (Portal Bogotá) y de WhatsApp, tomando en cuenta la alta demanda de interacciones en lo transcurrido de 2023. </w:t>
      </w:r>
    </w:p>
    <w:p w14:paraId="197BE302" w14:textId="77777777" w:rsidR="00EF1D5F" w:rsidRDefault="00EF1D5F" w:rsidP="00DB00A2"/>
    <w:p w14:paraId="40C08570" w14:textId="77777777" w:rsidR="00EF1D5F" w:rsidRPr="00DB00A2" w:rsidRDefault="00EF1D5F" w:rsidP="00DB00A2">
      <w:pPr>
        <w:sectPr w:rsidR="00EF1D5F" w:rsidRPr="00DB00A2" w:rsidSect="00F7078E">
          <w:type w:val="continuous"/>
          <w:pgSz w:w="12240" w:h="15840"/>
          <w:pgMar w:top="2262" w:right="1440" w:bottom="1440" w:left="1440" w:header="708" w:footer="680" w:gutter="0"/>
          <w:cols w:num="2" w:space="567"/>
          <w:docGrid w:linePitch="299"/>
        </w:sectPr>
      </w:pPr>
      <w:r>
        <w:t>Cabe resaltar que por grupo etario se presentan coincidencias en las entidades más solicitadas; sin embargo, se observan diferencias en el trámite más requerido.</w:t>
      </w:r>
    </w:p>
    <w:p w14:paraId="34CBFEFE" w14:textId="2590C235" w:rsidR="00EF1D5F" w:rsidRDefault="00EF1D5F" w:rsidP="00DB00A2">
      <w:pPr>
        <w:spacing w:line="480" w:lineRule="auto"/>
        <w:jc w:val="center"/>
        <w:rPr>
          <w:b/>
          <w:color w:val="3B3838"/>
          <w:sz w:val="18"/>
          <w:szCs w:val="18"/>
        </w:rPr>
      </w:pPr>
    </w:p>
    <w:p w14:paraId="3D7743F8" w14:textId="23775D55" w:rsidR="004C49AC" w:rsidRDefault="004C49AC" w:rsidP="00DB00A2">
      <w:pPr>
        <w:spacing w:line="480" w:lineRule="auto"/>
        <w:jc w:val="center"/>
        <w:rPr>
          <w:b/>
          <w:color w:val="3B3838"/>
          <w:sz w:val="18"/>
          <w:szCs w:val="18"/>
        </w:rPr>
      </w:pPr>
    </w:p>
    <w:p w14:paraId="3544505C" w14:textId="77777777" w:rsidR="004C49AC" w:rsidRDefault="004C49AC" w:rsidP="00DB00A2">
      <w:pPr>
        <w:spacing w:line="480" w:lineRule="auto"/>
        <w:jc w:val="center"/>
        <w:rPr>
          <w:b/>
          <w:color w:val="3B3838"/>
          <w:sz w:val="18"/>
          <w:szCs w:val="18"/>
        </w:rPr>
      </w:pPr>
    </w:p>
    <w:p w14:paraId="2C6C084B" w14:textId="77777777" w:rsidR="007675A1" w:rsidRDefault="007675A1">
      <w:pPr>
        <w:spacing w:line="240" w:lineRule="auto"/>
        <w:jc w:val="left"/>
        <w:rPr>
          <w:b/>
          <w:color w:val="3B3838"/>
          <w:sz w:val="18"/>
          <w:szCs w:val="18"/>
        </w:rPr>
      </w:pPr>
      <w:r>
        <w:rPr>
          <w:b/>
          <w:color w:val="3B3838"/>
          <w:sz w:val="18"/>
          <w:szCs w:val="18"/>
        </w:rPr>
        <w:br w:type="page"/>
      </w:r>
    </w:p>
    <w:p w14:paraId="11021FEE" w14:textId="4E80EDD9" w:rsidR="00EF1D5F" w:rsidRPr="007675A1" w:rsidRDefault="007675A1" w:rsidP="007675A1">
      <w:pPr>
        <w:pStyle w:val="Descripcin"/>
        <w:jc w:val="center"/>
        <w:rPr>
          <w:bCs/>
          <w:sz w:val="18"/>
        </w:rPr>
      </w:pPr>
      <w:bookmarkStart w:id="458" w:name="_Toc165169884"/>
      <w:r w:rsidRPr="007675A1">
        <w:rPr>
          <w:color w:val="C00000"/>
          <w:sz w:val="18"/>
        </w:rPr>
        <w:lastRenderedPageBreak/>
        <w:t xml:space="preserve">Gráfica </w:t>
      </w:r>
      <w:r w:rsidRPr="007675A1">
        <w:rPr>
          <w:color w:val="C00000"/>
          <w:sz w:val="18"/>
        </w:rPr>
        <w:fldChar w:fldCharType="begin"/>
      </w:r>
      <w:r w:rsidRPr="007675A1">
        <w:rPr>
          <w:color w:val="C00000"/>
          <w:sz w:val="18"/>
        </w:rPr>
        <w:instrText xml:space="preserve"> SEQ Gráfica \* ARABIC </w:instrText>
      </w:r>
      <w:r w:rsidRPr="007675A1">
        <w:rPr>
          <w:color w:val="C00000"/>
          <w:sz w:val="18"/>
        </w:rPr>
        <w:fldChar w:fldCharType="separate"/>
      </w:r>
      <w:r w:rsidR="00D01651">
        <w:rPr>
          <w:noProof/>
          <w:color w:val="C00000"/>
          <w:sz w:val="18"/>
        </w:rPr>
        <w:t>58</w:t>
      </w:r>
      <w:r w:rsidRPr="007675A1">
        <w:rPr>
          <w:color w:val="C00000"/>
          <w:sz w:val="18"/>
        </w:rPr>
        <w:fldChar w:fldCharType="end"/>
      </w:r>
      <w:r w:rsidRPr="007675A1">
        <w:rPr>
          <w:color w:val="C00000"/>
          <w:sz w:val="18"/>
        </w:rPr>
        <w:t xml:space="preserve">. </w:t>
      </w:r>
      <w:r w:rsidR="00EF1D5F" w:rsidRPr="007675A1">
        <w:rPr>
          <w:sz w:val="18"/>
        </w:rPr>
        <w:t>Participación por canal de atención, por grupo etario</w:t>
      </w:r>
      <w:bookmarkEnd w:id="458"/>
    </w:p>
    <w:p w14:paraId="198FB625" w14:textId="77777777" w:rsidR="00EF1D5F" w:rsidRDefault="00EF1D5F" w:rsidP="007675A1">
      <w:pPr>
        <w:spacing w:line="240" w:lineRule="auto"/>
        <w:jc w:val="center"/>
        <w:rPr>
          <w:color w:val="3B3838"/>
          <w:sz w:val="18"/>
          <w:szCs w:val="18"/>
        </w:rPr>
      </w:pPr>
      <w:r>
        <w:rPr>
          <w:b/>
          <w:noProof/>
        </w:rPr>
        <w:drawing>
          <wp:inline distT="0" distB="0" distL="0" distR="0" wp14:anchorId="29DA3243" wp14:editId="32C70FAE">
            <wp:extent cx="5612130" cy="2025650"/>
            <wp:effectExtent l="0" t="0" r="0" b="0"/>
            <wp:docPr id="1471267245" name="Imagen 14"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67245" name="Imagen 14" descr="Gráfico&#10;&#10;Descripción generada automáticamente"/>
                    <pic:cNvPicPr/>
                  </pic:nvPicPr>
                  <pic:blipFill rotWithShape="1">
                    <a:blip r:embed="rId169" cstate="print">
                      <a:extLst>
                        <a:ext uri="{28A0092B-C50C-407E-A947-70E740481C1C}">
                          <a14:useLocalDpi xmlns:a14="http://schemas.microsoft.com/office/drawing/2010/main" val="0"/>
                        </a:ext>
                      </a:extLst>
                    </a:blip>
                    <a:srcRect t="14363" b="3822"/>
                    <a:stretch/>
                  </pic:blipFill>
                  <pic:spPr bwMode="auto">
                    <a:xfrm>
                      <a:off x="0" y="0"/>
                      <a:ext cx="5612130" cy="2025650"/>
                    </a:xfrm>
                    <a:prstGeom prst="rect">
                      <a:avLst/>
                    </a:prstGeom>
                    <a:ln>
                      <a:noFill/>
                    </a:ln>
                    <a:extLst>
                      <a:ext uri="{53640926-AAD7-44D8-BBD7-CCE9431645EC}">
                        <a14:shadowObscured xmlns:a14="http://schemas.microsoft.com/office/drawing/2010/main"/>
                      </a:ext>
                    </a:extLst>
                  </pic:spPr>
                </pic:pic>
              </a:graphicData>
            </a:graphic>
          </wp:inline>
        </w:drawing>
      </w:r>
      <w:r w:rsidRPr="00C132C6">
        <w:rPr>
          <w:b/>
          <w:bCs/>
          <w:color w:val="3B3838"/>
          <w:sz w:val="18"/>
          <w:szCs w:val="18"/>
        </w:rPr>
        <w:t>Fuente:</w:t>
      </w:r>
      <w:r w:rsidRPr="00C132C6">
        <w:rPr>
          <w:color w:val="3B3838"/>
          <w:sz w:val="18"/>
          <w:szCs w:val="18"/>
        </w:rPr>
        <w:t xml:space="preserve"> Bogotá Te Escucha, Tipificado Línea 195, y Sistema de Asignación de Turnos (SAT).</w:t>
      </w:r>
    </w:p>
    <w:p w14:paraId="6A80D9CA" w14:textId="77777777" w:rsidR="007675A1" w:rsidRPr="00C132C6" w:rsidRDefault="007675A1" w:rsidP="007675A1">
      <w:pPr>
        <w:spacing w:line="240" w:lineRule="auto"/>
        <w:jc w:val="center"/>
        <w:rPr>
          <w:color w:val="3B3838"/>
          <w:sz w:val="18"/>
          <w:szCs w:val="18"/>
        </w:rPr>
      </w:pPr>
    </w:p>
    <w:p w14:paraId="394B6443" w14:textId="77777777" w:rsidR="00EF1D5F" w:rsidRDefault="00EF1D5F" w:rsidP="00940F07">
      <w:pPr>
        <w:sectPr w:rsidR="00EF1D5F" w:rsidSect="00F7078E">
          <w:type w:val="continuous"/>
          <w:pgSz w:w="12240" w:h="15840"/>
          <w:pgMar w:top="2262" w:right="1440" w:bottom="1440" w:left="1440" w:header="708" w:footer="680" w:gutter="0"/>
          <w:cols w:space="720"/>
          <w:docGrid w:linePitch="299"/>
        </w:sectPr>
      </w:pPr>
    </w:p>
    <w:p w14:paraId="1C52285F" w14:textId="77777777" w:rsidR="00EF1D5F" w:rsidRDefault="00EF1D5F" w:rsidP="00940F07">
      <w:r>
        <w:t>En la atención presencial, se destaca la necesidad de rediseñar y fortalecer las ferias de servicio a la ciudadanía en el territorio de las 20 localidades, con servicios más amables, sencillos y ágiles, incorporando servicios sociales, de justicia, convivencia y paz, asociados a las condiciones y características diferenciales de las personas, como su género y sus situaciones especiales de salud, entre otros.</w:t>
      </w:r>
    </w:p>
    <w:p w14:paraId="16E389AC" w14:textId="77777777" w:rsidR="00EF1D5F" w:rsidRDefault="00EF1D5F" w:rsidP="00940F07"/>
    <w:p w14:paraId="32255810" w14:textId="77777777" w:rsidR="00EF1D5F" w:rsidRPr="00940F07" w:rsidRDefault="00EF1D5F" w:rsidP="00940F07">
      <w:pPr>
        <w:rPr>
          <w:spacing w:val="-6"/>
        </w:rPr>
      </w:pPr>
      <w:r w:rsidRPr="00940F07">
        <w:rPr>
          <w:spacing w:val="-6"/>
        </w:rPr>
        <w:t xml:space="preserve">Según datos de marzo de 2024 del Sistema Único de Información de Trámites (SUIT), Bogotá suma un total de 564 trámites, incluidas las consultas de acceso a información pública (CAIP) y otros procedimientos administrativos (OPA). De estos, 84 trámites son presenciales, 297 pueden adelantarse parcialmente en línea y 183 se gestionan virtualmente. </w:t>
      </w:r>
    </w:p>
    <w:p w14:paraId="5DB029B7" w14:textId="77777777" w:rsidR="00EF1D5F" w:rsidRDefault="00EF1D5F" w:rsidP="00940F07"/>
    <w:p w14:paraId="4A3D2B65" w14:textId="77777777" w:rsidR="00EF1D5F" w:rsidRDefault="00EF1D5F" w:rsidP="00940F07">
      <w:r>
        <w:t>Las entidades más consultadas por la ciudadanía en los distintos canales de atención de la Red CADE son la Secretaría Distrital de Movilidad y la Secretaría Distrital de Hacienda y Recaudo Bogotá, a través de los trámites Cursos Pedagógicos por Infracciones, Impuesto Predial y sobre Vehículos y, por último, la Tarjeta SITP.</w:t>
      </w:r>
    </w:p>
    <w:p w14:paraId="27B69A55" w14:textId="77777777" w:rsidR="00EF1D5F" w:rsidRDefault="00EF1D5F" w:rsidP="00940F07"/>
    <w:p w14:paraId="234B8426" w14:textId="77777777" w:rsidR="00EF1D5F" w:rsidRDefault="00EF1D5F" w:rsidP="00940F07">
      <w:r>
        <w:t>Aunque en Bogotá se han desarrollado modelos especializados en la oferta de bienes y servicios que se brinda a poblaciones prioritarias y de especial atención, el 53,7</w:t>
      </w:r>
      <w:r>
        <w:rPr>
          <w:rFonts w:ascii="Arial" w:hAnsi="Arial" w:cs="Arial"/>
        </w:rPr>
        <w:t> </w:t>
      </w:r>
      <w:r>
        <w:t xml:space="preserve">% de la ciudadanía </w:t>
      </w:r>
      <w:r>
        <w:t>considera que el Gobierno distrital no atiende ni responde de manera efectiva a las necesidades y solicitudes de la gente, mientras que el 34,1</w:t>
      </w:r>
      <w:r>
        <w:rPr>
          <w:rFonts w:ascii="Arial" w:hAnsi="Arial" w:cs="Arial"/>
        </w:rPr>
        <w:t> </w:t>
      </w:r>
      <w:r>
        <w:t>% estima que lo hace solo parcialmente, y tan solo el 12,2</w:t>
      </w:r>
      <w:r>
        <w:rPr>
          <w:rFonts w:ascii="Arial" w:hAnsi="Arial" w:cs="Arial"/>
        </w:rPr>
        <w:t> </w:t>
      </w:r>
      <w:r>
        <w:t>% percibe que lo hace de manera efectiva (Bogotá Cómo Vamos, 2023).</w:t>
      </w:r>
    </w:p>
    <w:p w14:paraId="23197468" w14:textId="77777777" w:rsidR="00EF1D5F" w:rsidRDefault="00EF1D5F" w:rsidP="00940F07"/>
    <w:p w14:paraId="22938204" w14:textId="77777777" w:rsidR="00EF1D5F" w:rsidRDefault="00EF1D5F" w:rsidP="00940F07">
      <w:r>
        <w:t>Entre las razones más importantes que la ciudadanía expone para llegar a confiar en las entidades del Distrito Capital se destacan las relacionadas con el cumplimiento de su misionalidad, la prestación de un servicio eficiente, la atención ágil y oportuna de las solicitudes y los resultados, que se reflejen en la satisfacción de la población; mientras ello no suceda, la ciudadanía no buscará acercarse a su propio Gobierno y, por ende, no será de su interés participar en las decisiones que inciden en el desarrollo de la ciudad en escenarios como las instancias de participación ciudadana.</w:t>
      </w:r>
    </w:p>
    <w:p w14:paraId="0FEF8AD4" w14:textId="77777777" w:rsidR="00EF1D5F" w:rsidRDefault="00EF1D5F" w:rsidP="00940F07"/>
    <w:p w14:paraId="73ADA368" w14:textId="4CC85B07" w:rsidR="00EF1D5F" w:rsidRDefault="00EF1D5F" w:rsidP="00940F07">
      <w:r>
        <w:t>Según el Observatorio de Participación (OP) del IDPAC, la ciudad cuenta con un inventario, para marzo de 2023, de 1.082 instancias en el Distrito Capital, de las cuales el 83,27</w:t>
      </w:r>
      <w:r>
        <w:rPr>
          <w:rFonts w:ascii="Arial" w:hAnsi="Arial" w:cs="Arial"/>
        </w:rPr>
        <w:t> </w:t>
      </w:r>
      <w:r>
        <w:t>% (901) se encuentran activas, el 8,32</w:t>
      </w:r>
      <w:r>
        <w:rPr>
          <w:rFonts w:ascii="Arial" w:hAnsi="Arial" w:cs="Arial"/>
        </w:rPr>
        <w:t> </w:t>
      </w:r>
      <w:r>
        <w:t>% (90) están inactivas y el 8,41</w:t>
      </w:r>
      <w:r>
        <w:rPr>
          <w:rFonts w:ascii="Arial" w:hAnsi="Arial" w:cs="Arial"/>
        </w:rPr>
        <w:t> </w:t>
      </w:r>
      <w:r>
        <w:t xml:space="preserve">% (91) no registra información. No obstante, de los 8 tipos de alcance que señalan Velásquez y González (2020) de este tipo de escenarios entre ellos: informar, consultar a diferentes segmentos de la población, canalizar iniciativas </w:t>
      </w:r>
      <w:r>
        <w:lastRenderedPageBreak/>
        <w:t>ciudadanas, concertar acuerdos sobre temas específicos, tomar decisiones sobre el rumbo de la acción del Estado, implementar algunas de esas decisiones y vigilar la gestión pública o sus resultados—, el 23,7</w:t>
      </w:r>
      <w:r>
        <w:rPr>
          <w:rFonts w:ascii="Arial" w:hAnsi="Arial" w:cs="Arial"/>
        </w:rPr>
        <w:t> </w:t>
      </w:r>
      <w:r>
        <w:t>% de las instancias activas son para consultar, el 22,7</w:t>
      </w:r>
      <w:r>
        <w:rPr>
          <w:rFonts w:ascii="Arial" w:hAnsi="Arial" w:cs="Arial"/>
        </w:rPr>
        <w:t> </w:t>
      </w:r>
      <w:r>
        <w:t>% son para informar o socializar y el 14,8</w:t>
      </w:r>
      <w:r>
        <w:rPr>
          <w:rFonts w:ascii="Arial" w:hAnsi="Arial" w:cs="Arial"/>
        </w:rPr>
        <w:t> </w:t>
      </w:r>
      <w:r>
        <w:t>% son para concertar.</w:t>
      </w:r>
    </w:p>
    <w:p w14:paraId="6762B60E" w14:textId="77777777" w:rsidR="00EF1D5F" w:rsidRDefault="00EF1D5F" w:rsidP="00940F07"/>
    <w:p w14:paraId="50EF18DE" w14:textId="77777777" w:rsidR="00EF1D5F" w:rsidRDefault="00EF1D5F" w:rsidP="00940F07">
      <w:r>
        <w:t>Según la misma medición, solo el 3</w:t>
      </w:r>
      <w:r>
        <w:rPr>
          <w:rFonts w:ascii="Arial" w:hAnsi="Arial" w:cs="Arial"/>
        </w:rPr>
        <w:t> </w:t>
      </w:r>
      <w:r>
        <w:t>% de las personas en Bogotá dicen confiar en personas desconocidas; esto es, 3 puntos porcentuales menos que el total nacional y 12 puntos porcentuales menos que el total nacional frente a la confianza que dicen tener las personas con sus familiares y amistades, ya que esta se ubicó en la ciudad en el 11</w:t>
      </w:r>
      <w:r>
        <w:rPr>
          <w:rFonts w:ascii="Arial" w:hAnsi="Arial" w:cs="Arial"/>
        </w:rPr>
        <w:t> </w:t>
      </w:r>
      <w:r>
        <w:t xml:space="preserve">%. </w:t>
      </w:r>
    </w:p>
    <w:p w14:paraId="7F99D80F" w14:textId="77777777" w:rsidR="00EF1D5F" w:rsidRDefault="00EF1D5F" w:rsidP="00940F07"/>
    <w:p w14:paraId="4C02A85E" w14:textId="77777777" w:rsidR="00EF1D5F" w:rsidRDefault="00EF1D5F" w:rsidP="00940F07">
      <w:r>
        <w:t>Sobre las preferencias para organizar o participar, la Encuesta Multipropósito concluye que en el área urbana entre dichas preferencias predominan las de tipo religioso (5,27</w:t>
      </w:r>
      <w:r>
        <w:rPr>
          <w:rFonts w:ascii="Arial" w:hAnsi="Arial" w:cs="Arial"/>
        </w:rPr>
        <w:t> </w:t>
      </w:r>
      <w:r>
        <w:t>%) o deportivo (0,72</w:t>
      </w:r>
      <w:r>
        <w:rPr>
          <w:rFonts w:ascii="Arial" w:hAnsi="Arial" w:cs="Arial"/>
        </w:rPr>
        <w:t> </w:t>
      </w:r>
      <w:r>
        <w:t>%), y en la zona rural, las religiosas, de fe o de grupo de oración (4,17</w:t>
      </w:r>
      <w:r>
        <w:rPr>
          <w:rFonts w:ascii="Arial" w:hAnsi="Arial" w:cs="Arial"/>
        </w:rPr>
        <w:t> </w:t>
      </w:r>
      <w:r>
        <w:t>%), seguidas por las JAC y las juntas de acción cívica barrial o de seguridad y vigilancia (8,97</w:t>
      </w:r>
      <w:r>
        <w:rPr>
          <w:rFonts w:ascii="Arial" w:hAnsi="Arial" w:cs="Arial"/>
        </w:rPr>
        <w:t> </w:t>
      </w:r>
      <w:r>
        <w:t>%).</w:t>
      </w:r>
    </w:p>
    <w:p w14:paraId="1D01EDCD" w14:textId="77777777" w:rsidR="00EF1D5F" w:rsidRDefault="00EF1D5F" w:rsidP="00940F07">
      <w:r>
        <w:t xml:space="preserve"> </w:t>
      </w:r>
    </w:p>
    <w:p w14:paraId="6E0C882B" w14:textId="77777777" w:rsidR="00EF1D5F" w:rsidRDefault="00EF1D5F" w:rsidP="00940F07">
      <w:r>
        <w:t xml:space="preserve">La Federación Comunal de Bogotá, como máxima entidad de agrupación de las JAC, a través de su plan estratégico establece unos derroteros para la organización en dos grandes ámbitos. El primero, a nivel interno, corresponde a los planes, programas, proyectos y acciones que dan cuenta del quehacer de la federación y sus integrantes, sin la concurrencia de otros actores. El segundo ámbito, a nivel externo, requiere la concurrencia de otros actores, tanto públicos como privados y comunitarios. </w:t>
      </w:r>
    </w:p>
    <w:p w14:paraId="71D0CA63" w14:textId="77777777" w:rsidR="00EF1D5F" w:rsidRDefault="00EF1D5F" w:rsidP="00940F07"/>
    <w:p w14:paraId="71F1200A" w14:textId="77777777" w:rsidR="00EF1D5F" w:rsidRDefault="00EF1D5F" w:rsidP="00940F07">
      <w:r>
        <w:t>A continuación, se muestran algunos de los indicadores relacionados con fortalecimiento a organizaciones:</w:t>
      </w:r>
    </w:p>
    <w:p w14:paraId="4A670503" w14:textId="77777777" w:rsidR="00EF1D5F" w:rsidRDefault="00EF1D5F" w:rsidP="00940F07"/>
    <w:p w14:paraId="6D3814C9" w14:textId="77777777" w:rsidR="00EF1D5F" w:rsidRDefault="00EF1D5F" w:rsidP="00CB6AEC">
      <w:pPr>
        <w:pStyle w:val="Prrafodelista"/>
        <w:numPr>
          <w:ilvl w:val="0"/>
          <w:numId w:val="53"/>
        </w:numPr>
        <w:spacing w:line="240" w:lineRule="auto"/>
      </w:pPr>
      <w:r>
        <w:t>El Índice de Fortalecimiento a Organizaciones Comunales mostró que de 447 entidades caracterizadas, el 16,33</w:t>
      </w:r>
      <w:r w:rsidRPr="00940F07">
        <w:rPr>
          <w:rFonts w:ascii="Arial" w:hAnsi="Arial" w:cs="Arial"/>
        </w:rPr>
        <w:t> </w:t>
      </w:r>
      <w:r>
        <w:t>% se encuentra en el nivel de preparaci</w:t>
      </w:r>
      <w:r w:rsidRPr="00940F07">
        <w:t>ó</w:t>
      </w:r>
      <w:r>
        <w:t xml:space="preserve">n </w:t>
      </w:r>
      <w:r>
        <w:t>(bajo); el 50,56</w:t>
      </w:r>
      <w:r w:rsidRPr="00940F07">
        <w:rPr>
          <w:rFonts w:ascii="Arial" w:hAnsi="Arial" w:cs="Arial"/>
        </w:rPr>
        <w:t> </w:t>
      </w:r>
      <w:r>
        <w:t>%, en el de creaci</w:t>
      </w:r>
      <w:r w:rsidRPr="00940F07">
        <w:t>ó</w:t>
      </w:r>
      <w:r>
        <w:t>n (b</w:t>
      </w:r>
      <w:r w:rsidRPr="00940F07">
        <w:t>á</w:t>
      </w:r>
      <w:r>
        <w:t>sico); el 28,41</w:t>
      </w:r>
      <w:r w:rsidRPr="00940F07">
        <w:rPr>
          <w:rFonts w:ascii="Arial" w:hAnsi="Arial" w:cs="Arial"/>
        </w:rPr>
        <w:t> </w:t>
      </w:r>
      <w:r>
        <w:t>%, en el de estructuraci</w:t>
      </w:r>
      <w:r w:rsidRPr="00940F07">
        <w:t>ó</w:t>
      </w:r>
      <w:r>
        <w:t>n (regular), y tan solo el 4,7</w:t>
      </w:r>
      <w:r w:rsidRPr="00940F07">
        <w:rPr>
          <w:rFonts w:ascii="Arial" w:hAnsi="Arial" w:cs="Arial"/>
        </w:rPr>
        <w:t> </w:t>
      </w:r>
      <w:r>
        <w:t>%, en el de consolidaci</w:t>
      </w:r>
      <w:r w:rsidRPr="00940F07">
        <w:t>ó</w:t>
      </w:r>
      <w:r>
        <w:t>n (sobresaliente). Todo eso pone de manifiesto la necesidad de fortalecer su capacidad de incidencia en las decisiones p</w:t>
      </w:r>
      <w:r w:rsidRPr="00940F07">
        <w:t>ú</w:t>
      </w:r>
      <w:r>
        <w:t>blicas y contribuir al desarrollo organizativo de las organizaciones comunales de primer, segundo y tercer grado; esto significa que se debe trabajar desde el Distrito Capital para mejorar la coordinación y articulación de acciones con las diferentes entidades.</w:t>
      </w:r>
    </w:p>
    <w:p w14:paraId="1B8254EA" w14:textId="77777777" w:rsidR="00EF1D5F" w:rsidRDefault="00EF1D5F" w:rsidP="00940F07">
      <w:pPr>
        <w:pStyle w:val="Prrafodelista"/>
      </w:pPr>
    </w:p>
    <w:p w14:paraId="72004C14" w14:textId="77777777" w:rsidR="00EF1D5F" w:rsidRDefault="00EF1D5F" w:rsidP="00CB6AEC">
      <w:pPr>
        <w:pStyle w:val="Prrafodelista"/>
        <w:numPr>
          <w:ilvl w:val="0"/>
          <w:numId w:val="53"/>
        </w:numPr>
        <w:spacing w:line="240" w:lineRule="auto"/>
      </w:pPr>
      <w:r>
        <w:t>El Índice de Fortalecimiento a Organizaciones Sociales (IFOS 2.0) ha caracterizado 2.229 organizaciones, la mayoría de las cuales reporta un nivel de fortalecimiento bajo (preparación) o básico (creación). Apenas el 9,69</w:t>
      </w:r>
      <w:r w:rsidRPr="00940F07">
        <w:rPr>
          <w:rFonts w:ascii="Arial" w:hAnsi="Arial" w:cs="Arial"/>
        </w:rPr>
        <w:t> </w:t>
      </w:r>
      <w:r>
        <w:t>% de las organizaciones caracterizadas se encuentra en consolidaci</w:t>
      </w:r>
      <w:r w:rsidRPr="00940F07">
        <w:t>ó</w:t>
      </w:r>
      <w:r>
        <w:t>n; es decir, son pocas las organizaciones que tienen un fortalecimiento sobresaliente.</w:t>
      </w:r>
    </w:p>
    <w:p w14:paraId="10738884" w14:textId="77777777" w:rsidR="00EF1D5F" w:rsidRDefault="00EF1D5F" w:rsidP="00940F07">
      <w:pPr>
        <w:pStyle w:val="Prrafodelista"/>
      </w:pPr>
    </w:p>
    <w:p w14:paraId="3B48DD23" w14:textId="77777777" w:rsidR="00EF1D5F" w:rsidRDefault="00EF1D5F" w:rsidP="00940F07">
      <w:pPr>
        <w:pStyle w:val="Prrafodelista"/>
      </w:pPr>
    </w:p>
    <w:p w14:paraId="75584F7E" w14:textId="77777777" w:rsidR="00EF1D5F" w:rsidRDefault="00EF1D5F" w:rsidP="00CB6AEC">
      <w:pPr>
        <w:pStyle w:val="Prrafodelista"/>
        <w:numPr>
          <w:ilvl w:val="0"/>
          <w:numId w:val="53"/>
        </w:numPr>
        <w:spacing w:line="240" w:lineRule="auto"/>
      </w:pPr>
      <w:r>
        <w:t>Según el Índice de Fortalecimiento de Instancias de Participación (IFIS), el nivel de fortalecimiento de las instancias, para marzo de 2023, es nivel intermedio, de creación y estructuración, de un total de 328 instancias caracterizadas, ya que allí se agrupa el 75,91</w:t>
      </w:r>
      <w:r w:rsidRPr="00940F07">
        <w:rPr>
          <w:rFonts w:ascii="Arial" w:hAnsi="Arial" w:cs="Arial"/>
        </w:rPr>
        <w:t> </w:t>
      </w:r>
      <w:r>
        <w:t xml:space="preserve">% del total de estas. </w:t>
      </w:r>
    </w:p>
    <w:p w14:paraId="57EE956D" w14:textId="77777777" w:rsidR="00EF1D5F" w:rsidRDefault="00EF1D5F" w:rsidP="00940F07"/>
    <w:p w14:paraId="76E74BCA" w14:textId="77777777" w:rsidR="00EF1D5F" w:rsidRDefault="00EF1D5F" w:rsidP="00940F07">
      <w:r>
        <w:t>Frente a la formación y capacitación en temas de participación, sigue existiendo un déficit importante, si se toma como punto de partida que en la ciudad existen 6,2 millones de personas mayores de 18 años, y que, de ellas, el 8</w:t>
      </w:r>
      <w:r>
        <w:rPr>
          <w:rFonts w:ascii="Arial" w:hAnsi="Arial" w:cs="Arial"/>
        </w:rPr>
        <w:t> </w:t>
      </w:r>
      <w:r>
        <w:t>% pertenece a organizaciones sociales, lo que representa un total de 496.000 personas.</w:t>
      </w:r>
    </w:p>
    <w:p w14:paraId="22537261" w14:textId="77777777" w:rsidR="00EF1D5F" w:rsidRDefault="00EF1D5F" w:rsidP="00940F07"/>
    <w:p w14:paraId="7657BF96" w14:textId="77777777" w:rsidR="00EF1D5F" w:rsidRDefault="00EF1D5F" w:rsidP="00940F07">
      <w:r>
        <w:lastRenderedPageBreak/>
        <w:t xml:space="preserve">Es importante resaltar que en Bogotá es necesario seguir trabajando en la transformación de los espacios de participación en términos de equidad e igualdad. En el Diagnóstico de Paridad en Instancias de Participación Local del Distrito 2021, preparado por la Secretaría Distrital de la Mujer, se ha identificado que los escenarios locales de participación ciudadana más masculinizados en su número de miembros eran los consejos locales de deportes y recreación, los comités locales de libertad religiosa, las asociaciones de juntas de acción comunal y las plataformas de juventud. </w:t>
      </w:r>
    </w:p>
    <w:p w14:paraId="1F5DE138" w14:textId="77777777" w:rsidR="00EF1D5F" w:rsidRDefault="00EF1D5F" w:rsidP="00940F07"/>
    <w:p w14:paraId="6F95E168" w14:textId="77777777" w:rsidR="00EF1D5F" w:rsidRDefault="00EF1D5F" w:rsidP="00940F07">
      <w:r>
        <w:t xml:space="preserve">Por su parte, las instancias en las que había más presencia de mujeres eran las que reproducen el rol de género, como los comités operativos locales de familia, los comités operativos de infancia y adolescencia y los comités de seguridad alimentaria. Finalmente, las instancias más paritarias eran los consejos locales de planeación, los consejos locales de propiedad horizontal y los consejos de arte, cultura y patrimonio. </w:t>
      </w:r>
    </w:p>
    <w:p w14:paraId="63F5383B" w14:textId="77777777" w:rsidR="00EF1D5F" w:rsidRDefault="00EF1D5F" w:rsidP="00940F07"/>
    <w:p w14:paraId="517B2D8A" w14:textId="77777777" w:rsidR="00EF1D5F" w:rsidRDefault="00EF1D5F" w:rsidP="00940F07">
      <w:r>
        <w:t>De acuerdo con la Encuesta Multipropósito 2021, el 92,0</w:t>
      </w:r>
      <w:r>
        <w:rPr>
          <w:rFonts w:ascii="Arial" w:hAnsi="Arial" w:cs="Arial"/>
        </w:rPr>
        <w:t> </w:t>
      </w:r>
      <w:r>
        <w:t>% de las mujeres jefas de hogar (frente al 91,6</w:t>
      </w:r>
      <w:r>
        <w:rPr>
          <w:rFonts w:ascii="Arial" w:hAnsi="Arial" w:cs="Arial"/>
        </w:rPr>
        <w:t> </w:t>
      </w:r>
      <w:r>
        <w:t>% de hombres jefes) no pertenecían a ninguna organización social, cultural, política, religiosa, productiva o gremial. Mientras la proporción más alta de jefas mujeres que sí estaban vinculadas a alguna de estas corresponde a una organización religiosa, de fe o de grupo de oración, con el 5,0</w:t>
      </w:r>
      <w:r>
        <w:rPr>
          <w:rFonts w:ascii="Arial" w:hAnsi="Arial" w:cs="Arial"/>
        </w:rPr>
        <w:t> </w:t>
      </w:r>
      <w:r>
        <w:t>%, su pertenencia a un grupo o partido político apenas llegaba al 0,1</w:t>
      </w:r>
      <w:r>
        <w:rPr>
          <w:rFonts w:ascii="Arial" w:hAnsi="Arial" w:cs="Arial"/>
        </w:rPr>
        <w:t> </w:t>
      </w:r>
      <w:r>
        <w:t>%.</w:t>
      </w:r>
    </w:p>
    <w:p w14:paraId="7D8ED581" w14:textId="77777777" w:rsidR="00EF1D5F" w:rsidRDefault="00EF1D5F" w:rsidP="00940F07"/>
    <w:p w14:paraId="6BA1B5EA" w14:textId="77777777" w:rsidR="00EF1D5F" w:rsidRDefault="00EF1D5F" w:rsidP="00940F07">
      <w:r>
        <w:t>En el Distrito Capital, según la Encuesta de percepción ciudadana sobre la participación y el control social, de la Veeduría Distrital (2023), el 35</w:t>
      </w:r>
      <w:r>
        <w:rPr>
          <w:rFonts w:ascii="Arial" w:hAnsi="Arial" w:cs="Arial"/>
        </w:rPr>
        <w:t> </w:t>
      </w:r>
      <w:r>
        <w:t>% de la ciudadanía se considera una persona común y corriente, desinteresada de los asuntos públicos; además, el 29</w:t>
      </w:r>
      <w:r>
        <w:rPr>
          <w:rFonts w:ascii="Arial" w:hAnsi="Arial" w:cs="Arial"/>
        </w:rPr>
        <w:t> </w:t>
      </w:r>
      <w:r>
        <w:t>% considera que la definición de participación ciudadana es colaborar con las y los vecinos para mejorar la calidad de vida. El 94</w:t>
      </w:r>
      <w:r>
        <w:rPr>
          <w:rFonts w:ascii="Arial" w:hAnsi="Arial" w:cs="Arial"/>
        </w:rPr>
        <w:t> </w:t>
      </w:r>
      <w:r>
        <w:t xml:space="preserve">% dice no haber formado parte de organizaciones de participación ciudadana. El </w:t>
      </w:r>
      <w:r>
        <w:t>83</w:t>
      </w:r>
      <w:r>
        <w:rPr>
          <w:rFonts w:ascii="Arial" w:hAnsi="Arial" w:cs="Arial"/>
        </w:rPr>
        <w:t> </w:t>
      </w:r>
      <w:r>
        <w:t>% dice no saber qué es el control social ni cómo se ejerce, y el 89</w:t>
      </w:r>
      <w:r>
        <w:rPr>
          <w:rFonts w:ascii="Arial" w:hAnsi="Arial" w:cs="Arial"/>
        </w:rPr>
        <w:t> </w:t>
      </w:r>
      <w:r>
        <w:t>% desconoce alguna experiencia de control social en el Distrito o en la localidad. El 64</w:t>
      </w:r>
      <w:r>
        <w:rPr>
          <w:rFonts w:ascii="Arial" w:hAnsi="Arial" w:cs="Arial"/>
        </w:rPr>
        <w:t> </w:t>
      </w:r>
      <w:r>
        <w:t>% dice nunca haber asistido a foros ciudadanos, ni encuentros ni mesas de concertación en los que, probablemente, se discutieron asuntos de importancia, como la destinación de los recursos públicos a nivel local bajo esquemas como los adoptados en Bogotá, de presupuestos participativos.</w:t>
      </w:r>
    </w:p>
    <w:p w14:paraId="35CCBC2F" w14:textId="77777777" w:rsidR="00EF1D5F" w:rsidRDefault="00EF1D5F" w:rsidP="00940F07"/>
    <w:p w14:paraId="0A5C1964" w14:textId="77777777" w:rsidR="00EF1D5F" w:rsidRDefault="00EF1D5F" w:rsidP="00940F07">
      <w:r>
        <w:t>De acuerdo con la Secretaría Distrital de Gobierno, en su rol como coordinador general de presupuestos participativos y garante de la plataforma de participación del Gobierno Abierto de Bogotá, otro de los asuntos relacionados con la participación ciudadana y el Gobierno Abierto son los presupuestos participativos, y su problema actualmente se encuentra relacionado con el desinterés de la ciudadanía en hacer parte de los procesos que se hallan estrechamente ligados con las decisiones públicas ante dificultades asociadas al acceso y falta de cercanía de los espacios tradicionales de participación. Este desinterés puede deberse a tres elementos clave: la transparencia en la gestión pública, la acción colectiva y la falta de cercanía de dichos espacios tradicionales de participación.</w:t>
      </w:r>
    </w:p>
    <w:p w14:paraId="0A46BB4B" w14:textId="77777777" w:rsidR="00EF1D5F" w:rsidRDefault="00EF1D5F" w:rsidP="00940F07"/>
    <w:p w14:paraId="568BD4EE" w14:textId="77777777" w:rsidR="00EF1D5F" w:rsidRDefault="00EF1D5F" w:rsidP="00940F07">
      <w:r>
        <w:t>Los presupuestos participativos en Bogotá se han posicionado como el ejercicio de participación directa e incidente de mayor importancia de la ciudad fortaleciendo los espacios y mecanismos de participación, promoviendo la inclusión de nuevas ciudadanías, aumentando drásticamente la participación, al pasar de 30.114 ciudadanos y ciudadanas partícipes en el proceso de priorización para la vigencia 2020 a más de 318.000 (318.459) para la vigencia 2023, y contando con una presentación de propuestas agregadas que supera las 30.000 iniciativas ciudadanas, que dentro del componente de inversión participativo ha logrado definirse hasta en el 54</w:t>
      </w:r>
      <w:r>
        <w:rPr>
          <w:rFonts w:ascii="Arial" w:hAnsi="Arial" w:cs="Arial"/>
        </w:rPr>
        <w:t> </w:t>
      </w:r>
      <w:r>
        <w:t xml:space="preserve">% de la inversión local. </w:t>
      </w:r>
    </w:p>
    <w:p w14:paraId="4D74A080" w14:textId="77777777" w:rsidR="00EF1D5F" w:rsidRDefault="00EF1D5F" w:rsidP="00940F07"/>
    <w:p w14:paraId="0E3E39E0" w14:textId="77777777" w:rsidR="00EF1D5F" w:rsidRDefault="00EF1D5F" w:rsidP="00940F07">
      <w:r>
        <w:lastRenderedPageBreak/>
        <w:t xml:space="preserve">Ahora bien, aunque Bogotá cuenta con un catálogo de mecanismos y de espacios para la participación ciudadana que deben ser fortalecidos, estos, en varios aspectos, se han quedado cortos en la representatividad y la incidencia real sobre la toma decisiones: muestra de ello es que hay quienes en la ciudad nunca han participado en estos escenarios. </w:t>
      </w:r>
    </w:p>
    <w:p w14:paraId="043F0505" w14:textId="77777777" w:rsidR="00EF1D5F" w:rsidRDefault="00EF1D5F" w:rsidP="00940F07"/>
    <w:p w14:paraId="1B0C4848" w14:textId="77777777" w:rsidR="00AE26F2" w:rsidRDefault="00EF1D5F" w:rsidP="00940F07">
      <w:r>
        <w:t>Ante esta realidad, que no es solo el caso de Bogotá, sino también, el de varias ciudades en el mundo, han aparecido nuevos diseños institucionales que potencian la participación y aportan al camino de una democracia deliberativa. Estos nuevos diseños comparten algunos elementos y finalidades:</w:t>
      </w:r>
    </w:p>
    <w:p w14:paraId="00B03E9A" w14:textId="3D590471" w:rsidR="00EF1D5F" w:rsidRDefault="00EF1D5F" w:rsidP="00940F07">
      <w:r>
        <w:t xml:space="preserve"> </w:t>
      </w:r>
    </w:p>
    <w:p w14:paraId="045E4CC0" w14:textId="77777777" w:rsidR="00EF1D5F" w:rsidRDefault="00EF1D5F" w:rsidP="00CB6AEC">
      <w:pPr>
        <w:pStyle w:val="Prrafodelista"/>
        <w:numPr>
          <w:ilvl w:val="0"/>
          <w:numId w:val="54"/>
        </w:numPr>
        <w:spacing w:line="240" w:lineRule="auto"/>
      </w:pPr>
      <w:r>
        <w:t xml:space="preserve">Personas escogidas de manera aleatoria, para alcanzar la inclusión de ciudadanía no activa políticamente. </w:t>
      </w:r>
    </w:p>
    <w:p w14:paraId="30B31B13" w14:textId="77777777" w:rsidR="00EF1D5F" w:rsidRDefault="00EF1D5F" w:rsidP="00940F07">
      <w:pPr>
        <w:pStyle w:val="Prrafodelista"/>
      </w:pPr>
    </w:p>
    <w:p w14:paraId="5C8F5B07" w14:textId="10571AB5" w:rsidR="00EF1D5F" w:rsidRDefault="00EF1D5F" w:rsidP="009D2914">
      <w:pPr>
        <w:pStyle w:val="Prrafodelista"/>
        <w:numPr>
          <w:ilvl w:val="0"/>
          <w:numId w:val="54"/>
        </w:numPr>
        <w:spacing w:line="240" w:lineRule="auto"/>
      </w:pPr>
      <w:r>
        <w:t xml:space="preserve">Personas que sean demográficamente representativas de la población, para proporcionar niveles de representación descriptiva. </w:t>
      </w:r>
    </w:p>
    <w:p w14:paraId="02A3F337" w14:textId="77777777" w:rsidR="00EF1D5F" w:rsidRDefault="00EF1D5F" w:rsidP="00940F07">
      <w:pPr>
        <w:pStyle w:val="Prrafodelista"/>
      </w:pPr>
    </w:p>
    <w:p w14:paraId="66B62606" w14:textId="77777777" w:rsidR="00EF1D5F" w:rsidRDefault="00EF1D5F" w:rsidP="00CB6AEC">
      <w:pPr>
        <w:pStyle w:val="Prrafodelista"/>
        <w:numPr>
          <w:ilvl w:val="0"/>
          <w:numId w:val="54"/>
        </w:numPr>
        <w:spacing w:line="240" w:lineRule="auto"/>
      </w:pPr>
      <w:r>
        <w:t>Deliberación antecedida por la formación, para generar diálogos cualificados.</w:t>
      </w:r>
    </w:p>
    <w:p w14:paraId="733697A2" w14:textId="77777777" w:rsidR="00EF1D5F" w:rsidRDefault="00EF1D5F" w:rsidP="00940F07">
      <w:r>
        <w:t>Estos modelos han restaurado el ideal democrático de que cualquier ciudadana o ciudadano es apto o apta para aportar a las discusiones del Gobierno. Aquí, las “expertas” y los “expertos” son ciudadanía llamada a cumplir una finalidad pública que puede ejercer incidencia en una decisión política.</w:t>
      </w:r>
    </w:p>
    <w:p w14:paraId="10642474" w14:textId="77777777" w:rsidR="00EF1D5F" w:rsidRDefault="00EF1D5F" w:rsidP="00940F07"/>
    <w:p w14:paraId="6CD740B1" w14:textId="4508F57F" w:rsidR="00EF1D5F" w:rsidRDefault="00EF1D5F" w:rsidP="00940F07">
      <w:r>
        <w:t>En Colombia, casi no se ha innovado, aún, en espacios deliberativos ni en nuevos mecanismos de participación ciudadana. El único caso reciente fue la Asamblea Ciudadana Itinerante, del Concejo de Bogotá, que dejó varias enseñanzas, incluyendo la importancia de buscar estándares deliberativos más elevados, la necesidad de articular a la sociedad civil organizada en dichos procesos y la necesidad de que los resultados de esas deliberaciones tengan el potencial para nutrir la toma de decisiones en la ciudad.</w:t>
      </w:r>
    </w:p>
    <w:p w14:paraId="18D9BC3E" w14:textId="77777777" w:rsidR="00EF1D5F" w:rsidRDefault="00EF1D5F" w:rsidP="00940F07"/>
    <w:p w14:paraId="74174666" w14:textId="77777777" w:rsidR="00EF1D5F" w:rsidRDefault="00EF1D5F" w:rsidP="00940F07">
      <w:pPr>
        <w:rPr>
          <w:highlight w:val="yellow"/>
        </w:rPr>
      </w:pPr>
      <w:r>
        <w:t>Por ello, en Bogotá surge la necesidad de alcanzar los más altos estándares de deliberación, celebrar reuniones con estándares internacionales, convocar estos procesos desde la Administración distrital, garantizar su eficacia política e introducir innovaciones a escala local y regional.</w:t>
      </w:r>
    </w:p>
    <w:p w14:paraId="3BF4B9E1" w14:textId="77777777" w:rsidR="00EF1D5F" w:rsidRDefault="00EF1D5F" w:rsidP="005D5A4A">
      <w:pPr>
        <w:spacing w:line="480" w:lineRule="auto"/>
        <w:rPr>
          <w:rFonts w:ascii="Times New Roman" w:hAnsi="Times New Roman"/>
          <w:sz w:val="24"/>
          <w:highlight w:val="white"/>
        </w:rPr>
        <w:sectPr w:rsidR="00EF1D5F" w:rsidSect="00F7078E">
          <w:type w:val="continuous"/>
          <w:pgSz w:w="12240" w:h="15840"/>
          <w:pgMar w:top="2262" w:right="1440" w:bottom="1440" w:left="1440" w:header="708" w:footer="680" w:gutter="0"/>
          <w:cols w:num="2" w:space="567"/>
          <w:docGrid w:linePitch="299"/>
        </w:sectPr>
      </w:pPr>
    </w:p>
    <w:p w14:paraId="368BCC46" w14:textId="77777777" w:rsidR="00EF1D5F" w:rsidRPr="00B944E8" w:rsidRDefault="00EF1D5F" w:rsidP="005D5A4A">
      <w:pPr>
        <w:spacing w:line="480" w:lineRule="auto"/>
        <w:rPr>
          <w:rFonts w:ascii="Times New Roman" w:hAnsi="Times New Roman"/>
          <w:sz w:val="24"/>
          <w:highlight w:val="white"/>
        </w:rPr>
      </w:pPr>
    </w:p>
    <w:p w14:paraId="24822AC5" w14:textId="62D479BD" w:rsidR="00EF1D5F" w:rsidRPr="00444A95" w:rsidRDefault="00EF1D5F" w:rsidP="00444A95">
      <w:pPr>
        <w:spacing w:line="240" w:lineRule="auto"/>
        <w:ind w:firstLine="708"/>
        <w:rPr>
          <w:b/>
          <w:bCs/>
          <w:sz w:val="28"/>
          <w:szCs w:val="28"/>
        </w:rPr>
        <w:sectPr w:rsidR="00EF1D5F" w:rsidRPr="00444A95" w:rsidSect="00F7078E">
          <w:type w:val="continuous"/>
          <w:pgSz w:w="12240" w:h="15840"/>
          <w:pgMar w:top="2262" w:right="1440" w:bottom="1440" w:left="1440" w:header="708" w:footer="680" w:gutter="0"/>
          <w:cols w:space="720"/>
          <w:docGrid w:linePitch="299"/>
        </w:sectPr>
      </w:pPr>
      <w:r w:rsidRPr="00444A95">
        <w:rPr>
          <w:b/>
          <w:bCs/>
          <w:sz w:val="24"/>
        </w:rPr>
        <w:t>Descripción del programa</w:t>
      </w:r>
    </w:p>
    <w:p w14:paraId="30AF8BE7" w14:textId="77777777" w:rsidR="00EF1D5F" w:rsidRDefault="00EF1D5F" w:rsidP="00F90E54">
      <w:r>
        <w:t>Para que Bogotá camine hacia una democracia deliberativa, con un Gobierno cercano a la gente y con participación ciudadana, se requieren varios elementos. Uno de ellos es alcanzar un alto nivel de excelencia en la prestación de servicios a la ciudadanía respondiendo a sus expectativas y, en especial, a sus requerimientos y necesidades concretas en el territorio; alcanzar altos niveles de satisfacción en su relación con el Gobierno y con la ciudad, e incentivar su corresponsabilidad en la búsqueda de soluciones a las problemáticas cotidianas, para mejorar las condiciones de vida de todas y todos.</w:t>
      </w:r>
    </w:p>
    <w:p w14:paraId="5996E992" w14:textId="77777777" w:rsidR="00EF1D5F" w:rsidRDefault="00EF1D5F" w:rsidP="00F90E54"/>
    <w:p w14:paraId="0D8B58EA" w14:textId="77777777" w:rsidR="00EF1D5F" w:rsidRDefault="00EF1D5F" w:rsidP="00F90E54">
      <w:r>
        <w:t xml:space="preserve">Para ello, se fortalecerá la atención a la ciudadanía en territorio retomando la vocación del Gobierno distrital de estar al servicio de las personas y, a su vez, siendo garante del restablecimiento de sus derechos, mediante la articulación y convocatoria a las entidades y la ciudadanía, desde sus diferencias y diversidad, a hacer parte de la construcción de consensos y respuestas a los desafíos que enfrenta la ciudad. </w:t>
      </w:r>
    </w:p>
    <w:p w14:paraId="35DEB870" w14:textId="77777777" w:rsidR="00EF1D5F" w:rsidRDefault="00EF1D5F" w:rsidP="00F90E54"/>
    <w:p w14:paraId="3C5679B4" w14:textId="77777777" w:rsidR="00EF1D5F" w:rsidRDefault="00EF1D5F" w:rsidP="00F90E54">
      <w:r>
        <w:t xml:space="preserve">Se desarrollarán acciones para fortalecer la prestación de servicios y trámites adelantados por la ciudadanía, con canales de comunicación sólidos, talento humano y recurso tecnológico para robustecer la prestación de trámites y </w:t>
      </w:r>
      <w:r>
        <w:lastRenderedPageBreak/>
        <w:t>servicios y mejorar los niveles de satisfacción de la ciudadanía.</w:t>
      </w:r>
    </w:p>
    <w:p w14:paraId="5C87C023" w14:textId="77777777" w:rsidR="00EF1D5F" w:rsidRDefault="00EF1D5F" w:rsidP="00F90E54"/>
    <w:p w14:paraId="5EE2DF12" w14:textId="77777777" w:rsidR="00EF1D5F" w:rsidRDefault="00EF1D5F" w:rsidP="00F90E54">
      <w:r>
        <w:t>En primer lugar, se impulsará una estrategia distrital que permita el fortalecimiento y actualización de los canales de atención (presencial, virtual y telefónico) de la Red CADE. Con ello se afianzará la confianza institucional, en la medida en que se podrá mejorar la capacidad de escucha a la ciudadanía, equidad en el trato y atención diferencial requerida. De igual forma, se mejorará la capacidad de respuesta para la entrega de los bienes y servicios de manera permanente, respondiendo a las expectativas y necesidades diferenciales de la ciudadanía, facilitando su relación con los asuntos públicos y haciéndola más sencilla, ágil y amable en cumplimiento de la Política Racionalización de Trámites en el Distrito.</w:t>
      </w:r>
    </w:p>
    <w:p w14:paraId="4094A602" w14:textId="77777777" w:rsidR="00EF1D5F" w:rsidRDefault="00EF1D5F" w:rsidP="00F90E54"/>
    <w:p w14:paraId="21B166DB" w14:textId="77777777" w:rsidR="00EF1D5F" w:rsidRDefault="00EF1D5F" w:rsidP="00F90E54">
      <w:r>
        <w:t xml:space="preserve">La modernización de los canales de atención de red estará acompañada de un esquema de gobierno más cercano, con capacidad para responder a las demandas ciudadanas en tiempo reducido y con presencia en cada rincón de la ciudad. De esta forma, la ciudadanía no tendrá que incurrir en múltiples desplazamientos para acceder a la oferta de servicios existentes. </w:t>
      </w:r>
    </w:p>
    <w:p w14:paraId="2DC3A804" w14:textId="77777777" w:rsidR="00EF1D5F" w:rsidRDefault="00EF1D5F" w:rsidP="00F90E54"/>
    <w:p w14:paraId="46116DBB" w14:textId="77777777" w:rsidR="00EF1D5F" w:rsidRDefault="00EF1D5F" w:rsidP="00F90E54">
      <w:r>
        <w:t xml:space="preserve">La modernización de los canales se realizará a través de </w:t>
      </w:r>
      <w:r w:rsidRPr="009A6F2A">
        <w:t>dos acciones:</w:t>
      </w:r>
    </w:p>
    <w:p w14:paraId="1323F838" w14:textId="77777777" w:rsidR="008F71A7" w:rsidRPr="009A6F2A" w:rsidRDefault="008F71A7" w:rsidP="00F90E54"/>
    <w:p w14:paraId="25AB7554" w14:textId="77777777" w:rsidR="00EF1D5F" w:rsidRPr="009A6F2A" w:rsidRDefault="00EF1D5F" w:rsidP="00CB6AEC">
      <w:pPr>
        <w:pStyle w:val="Prrafodelista"/>
        <w:numPr>
          <w:ilvl w:val="0"/>
          <w:numId w:val="55"/>
        </w:numPr>
        <w:spacing w:line="240" w:lineRule="auto"/>
        <w:rPr>
          <w:szCs w:val="22"/>
        </w:rPr>
      </w:pPr>
      <w:r w:rsidRPr="009A6F2A">
        <w:rPr>
          <w:i/>
          <w:szCs w:val="22"/>
        </w:rPr>
        <w:t>Transformación digital:</w:t>
      </w:r>
      <w:r w:rsidRPr="009A6F2A">
        <w:rPr>
          <w:szCs w:val="22"/>
        </w:rPr>
        <w:t xml:space="preserve"> Mejorando las herramientas tecnológicas del canal telefónico y el canal virtual, fortaleciendo la interacción con la ciudadanía e impulsando el uso de plataformas virtuales y canales digitales para la optimización de los procesos de redireccionamiento de peticiones y analítica de datos, que apoyen la toma de decisiones.</w:t>
      </w:r>
    </w:p>
    <w:p w14:paraId="3DC0DB8D" w14:textId="77777777" w:rsidR="00EF1D5F" w:rsidRPr="009A6F2A" w:rsidRDefault="00EF1D5F" w:rsidP="009A6F2A">
      <w:pPr>
        <w:pStyle w:val="Prrafodelista"/>
        <w:rPr>
          <w:szCs w:val="22"/>
        </w:rPr>
      </w:pPr>
    </w:p>
    <w:p w14:paraId="2AB3875E" w14:textId="77777777" w:rsidR="00EF1D5F" w:rsidRPr="009A6F2A" w:rsidRDefault="00EF1D5F" w:rsidP="00CB6AEC">
      <w:pPr>
        <w:pStyle w:val="Prrafodelista"/>
        <w:numPr>
          <w:ilvl w:val="0"/>
          <w:numId w:val="55"/>
        </w:numPr>
        <w:spacing w:line="240" w:lineRule="auto"/>
        <w:rPr>
          <w:szCs w:val="22"/>
        </w:rPr>
      </w:pPr>
      <w:r w:rsidRPr="009A6F2A">
        <w:rPr>
          <w:i/>
          <w:szCs w:val="22"/>
        </w:rPr>
        <w:t>Ampliación de cobertura:</w:t>
      </w:r>
      <w:r w:rsidRPr="009A6F2A">
        <w:rPr>
          <w:szCs w:val="22"/>
        </w:rPr>
        <w:t xml:space="preserve"> Fortaleciendo la estrategia itinerante en el territorio y la focalización de la oferta de servicios en la Red CADE, de acuerdo con la </w:t>
      </w:r>
      <w:r w:rsidRPr="009A6F2A">
        <w:rPr>
          <w:szCs w:val="22"/>
        </w:rPr>
        <w:t xml:space="preserve">caracterización y necesidades de los grupos de valor. </w:t>
      </w:r>
    </w:p>
    <w:p w14:paraId="445CDE24" w14:textId="77777777" w:rsidR="00EF1D5F" w:rsidRDefault="00EF1D5F" w:rsidP="00F90E54"/>
    <w:p w14:paraId="39C2DF60" w14:textId="77777777" w:rsidR="00EF1D5F" w:rsidRDefault="00EF1D5F" w:rsidP="00F90E54">
      <w:r>
        <w:t xml:space="preserve">Por lo anterior, Bogotá Te Escucha, como el canal de recepción de peticiones, quejas y reclamos, tendrá una reingeniería a nivel tecnológico y dispondrá de personal de atención al público a nivel territorial. Con ello, habrá una mayor eficiencia en los puntos de atención presencial para promover cero filas. </w:t>
      </w:r>
    </w:p>
    <w:p w14:paraId="0400269E" w14:textId="77777777" w:rsidR="00EF1D5F" w:rsidRDefault="00EF1D5F" w:rsidP="00F90E54"/>
    <w:p w14:paraId="14D62C7B" w14:textId="77777777" w:rsidR="00EF1D5F" w:rsidRDefault="00EF1D5F" w:rsidP="00F90E54">
      <w:r>
        <w:t>Con la reorganización de la Red CADE también se ampliará la oferta de los servicios sociales, de tal manera que la ciudadanía pueda acceder en sus territorios a la oferta de las diferentes entidades del Distrito Capital, y así cumplir con el compromiso de reunir en diferentes zonas de la ciudad los servicios ofrecidos por las entidades relacionadas en materia social.</w:t>
      </w:r>
    </w:p>
    <w:p w14:paraId="77751D2F" w14:textId="77777777" w:rsidR="00EF1D5F" w:rsidRDefault="00EF1D5F" w:rsidP="00F90E54"/>
    <w:p w14:paraId="62ED7E3F" w14:textId="77777777" w:rsidR="00EF1D5F" w:rsidRDefault="00EF1D5F" w:rsidP="00F90E54">
      <w:r>
        <w:t>Para que la ciudadanía pueda realizar todos los trámites ante entidades distritales de manera ágil y sencilla y en el menor número de interacciones posibles, se crearán ventanillas de servicio, así como un portal web que permita realizar los trámites por internet, y contribuya también a la reducción de costos y tiempos de desplazamientos. Para su funcionamiento se implementará, de manera transversal, una estrategia de racionalización de trámites y uso de lenguaje claro e incluyente, y que comprende el acompañamiento en los procesos de digitalización y automatización de los servicios del Distrito Capital.</w:t>
      </w:r>
    </w:p>
    <w:p w14:paraId="4C111F90" w14:textId="77777777" w:rsidR="00EF1D5F" w:rsidRDefault="00EF1D5F" w:rsidP="00F90E54"/>
    <w:p w14:paraId="47F4A7A3" w14:textId="77777777" w:rsidR="00EF1D5F" w:rsidRDefault="00EF1D5F" w:rsidP="00F90E54">
      <w:r>
        <w:t>Con el ánimo de recibir aportes y recomendaciones a los actos administrativos actuales, así como la formulación de otros, para garantizar las transformaciones que requiere la ciudad —especialmente, las que buscan atender a las expectativas de desarrollo que tiene la ciudadanía en estos cuatro años de gobierno—, se fortalecerá LegalBog, como único portal de consulta ciudadana a este tipo de iniciativas, y velando por que dichos aportes y recomendaciones sean una pieza fundamental en las decisiones de la ciudad.</w:t>
      </w:r>
    </w:p>
    <w:p w14:paraId="35E7E762" w14:textId="77777777" w:rsidR="00EF1D5F" w:rsidRDefault="00EF1D5F" w:rsidP="00F90E54">
      <w:r>
        <w:lastRenderedPageBreak/>
        <w:t>Ahora bien, para consolidar la relación de confianza e interacción con la ciudadanía, se implementará el nuevo modelo de gobernanza democrática, a través del cual se fortalecerán las plataformas de participación ciudadana en las 20 localidades, en el marco de presupuestos participativos, Gobierno Abierto y audiencias ciudadanas y asambleas locales. Espacios donde la ciudadanía tendrá la posibilidad de ser parte de las decisiones y actuaciones de la Administración distrital.</w:t>
      </w:r>
    </w:p>
    <w:p w14:paraId="1CA45F9D" w14:textId="77777777" w:rsidR="00EF1D5F" w:rsidRDefault="00EF1D5F" w:rsidP="00F90E54"/>
    <w:p w14:paraId="68F4C8AC" w14:textId="77777777" w:rsidR="00EF1D5F" w:rsidRDefault="00EF1D5F" w:rsidP="00F90E54">
      <w:r>
        <w:t>Por su parte, para dar respuesta a las dificultades relacionadas con los presupuestos participativos, a través del programa se fortalecerá la visión de estos como un proceso institucional, democrático, incluyente y pedagógico, con enfoque territorial, poblacional-diferencial y de género, que promueva la participación directa a incidente y permita fortalecer la confianza de la ciudadanía hacia la Administración definiendo los recursos y las propuestas destinadas a la generación de soluciones a las problemáticas locales, mediante la territorialización de la inversión.</w:t>
      </w:r>
    </w:p>
    <w:p w14:paraId="11C368FF" w14:textId="77777777" w:rsidR="00EF1D5F" w:rsidRDefault="00EF1D5F" w:rsidP="00F90E54"/>
    <w:p w14:paraId="109FB171" w14:textId="77777777" w:rsidR="00EF1D5F" w:rsidRDefault="00EF1D5F" w:rsidP="00F90E54">
      <w:r>
        <w:t xml:space="preserve">Los presupuestos participativos permitirán, además, el fortalecimiento de los procesos ciudadanos de control social a la ejecución de los recursos y la fiscalización de estos, mediante la implementación de estrategias de control y veeduría a la ejecución de los recursos destinados para la inversión en cada una de las alcaldías locales. </w:t>
      </w:r>
    </w:p>
    <w:p w14:paraId="5966F55F" w14:textId="77777777" w:rsidR="00EF1D5F" w:rsidRDefault="00EF1D5F" w:rsidP="00F90E54"/>
    <w:p w14:paraId="5DE015A0" w14:textId="77777777" w:rsidR="00EF1D5F" w:rsidRDefault="00EF1D5F" w:rsidP="00F90E54">
      <w:r>
        <w:t xml:space="preserve">Así mismo, se promoverán otros escenarios innovadores, como: conferencias de consenso, jurados o paneles ciudadanos, que motiven la discusión democrática en doble vía con una institucionalidad y unas instancias de participación fortalecidas con un modelo distrital de participación que articula y permite que, en los procesos de diseño, implementación, seguimiento y evaluación de las acciones del Gobierno de la ciudad, la voz de la ciudadanía será fundamental. Todos los escenarios de deliberación giran en torno a cuatro principios: la selección aleatoria </w:t>
      </w:r>
      <w:r>
        <w:t xml:space="preserve">y demográficamente representativa de sus participantes; la deliberación de calidad con la ayuda de facilitadores; el aprendizaje en los temas de diálogo informado, y el impacto de sus recomendaciones. </w:t>
      </w:r>
    </w:p>
    <w:p w14:paraId="78AA8C57" w14:textId="77777777" w:rsidR="00EF1D5F" w:rsidRDefault="00EF1D5F" w:rsidP="00F90E54"/>
    <w:p w14:paraId="41D6D10E" w14:textId="77777777" w:rsidR="00EF1D5F" w:rsidRDefault="00EF1D5F" w:rsidP="00F90E54">
      <w:r>
        <w:t xml:space="preserve">En este programa se desarrollarán acciones de preparación y cualificación de los equipos de relacionamiento con la ciudadanía de las diferentes entidades en temáticas misionales de su sector, y en el desarrollo de habilidades socioemocionales que garanticen un diálogo y atención respetuoso, y con la capacidad de escucha a la ciudadanía en sus diferencias y diversidad. </w:t>
      </w:r>
    </w:p>
    <w:p w14:paraId="691ECBD8" w14:textId="77777777" w:rsidR="00EF1D5F" w:rsidRDefault="00EF1D5F" w:rsidP="00F90E54"/>
    <w:p w14:paraId="5D7EFB6D" w14:textId="77777777" w:rsidR="00EF1D5F" w:rsidRDefault="00EF1D5F" w:rsidP="00F90E54">
      <w:r>
        <w:t>Así mismo, se desarrollarán procesos de formación ciudadana que garanticen una democracia deliberativa e innovación que mejoren el diálogo, y considerando, para ello, la promoción de la lectura, el uso de las redes sociales y canales digitales para la gestión del conocimiento y una participación más incidente.</w:t>
      </w:r>
    </w:p>
    <w:p w14:paraId="6B807C41" w14:textId="77777777" w:rsidR="00EF1D5F" w:rsidRDefault="00EF1D5F" w:rsidP="00F90E54"/>
    <w:p w14:paraId="3B2BCCE3" w14:textId="77777777" w:rsidR="00EF1D5F" w:rsidRDefault="00EF1D5F" w:rsidP="00F90E54">
      <w:r>
        <w:t>En cabeza de la Secretaría Distrital de Gobierno, se respaldará el fortalecimiento de capacidades en los procesos de elección, formación y fortalecimiento, con miras a promover nuevas ciudadanías y liderazgos activos; en especial, el Consejo Distrital de Juventud y los consejos locales de juventud. Esto irá vinculado a la construcción de una ruta metodológica de acompañamiento y asesoramiento a las alcaldías locales; acompañamiento y asesoramiento a los consejos de juventud en el ejercicio de sus funciones; una estrategia de capacitación de fortalecimiento de saberes de enfoque de género, derechos humanos y poblacional, e impulso, mediante la articulación interinstitucional, de incentivos a la participación.</w:t>
      </w:r>
    </w:p>
    <w:p w14:paraId="1A60034C" w14:textId="77777777" w:rsidR="00EF1D5F" w:rsidRDefault="00EF1D5F" w:rsidP="00F90E54"/>
    <w:p w14:paraId="706B447C" w14:textId="77777777" w:rsidR="00EF1D5F" w:rsidRDefault="00EF1D5F" w:rsidP="00F90E54">
      <w:r>
        <w:t xml:space="preserve">Para el desarrollo de este programa, se retomarán las recomendaciones, sugerencias, experticia, conocimiento y habilidades de las instancias de participación formales y no formales que se encuentran en la ciudad, como mecanismos para materializar la participación ciudadana. De </w:t>
      </w:r>
      <w:r>
        <w:lastRenderedPageBreak/>
        <w:t>igual manera, es imperativo involucrar a medios de comunicación comunitarios, la Federación Comunal de Bogotá, las Asojuntas y las JAC, dada su amplia experiencia en procesos sociales y comunitarios con reconocimiento por parte de la comunidad y la institucionalidad local, distrital y nacional. Por ello, se adoptará nuevamente la metodología de Obras con Saldo Pedagógico para el desarrollo de acciones en materia del mejoramiento y rehabilitación de espacios públicos contando con la participación activa de las JAC y las organizaciones sociales.</w:t>
      </w:r>
    </w:p>
    <w:p w14:paraId="5E2F4CFE" w14:textId="77777777" w:rsidR="00EF1D5F" w:rsidRDefault="00EF1D5F" w:rsidP="00F90E54">
      <w:bookmarkStart w:id="459" w:name="_heading=h.x0dhdvhhic4i" w:colFirst="0" w:colLast="0"/>
      <w:bookmarkEnd w:id="459"/>
    </w:p>
    <w:p w14:paraId="57A9A788" w14:textId="77777777" w:rsidR="00EF1D5F" w:rsidRDefault="00EF1D5F" w:rsidP="00F90E54">
      <w:r>
        <w:t>Con el programa, no solo se dará continuidad al Observatorio Distrital de la Participaci</w:t>
      </w:r>
      <w:r>
        <w:rPr>
          <w:highlight w:val="white"/>
        </w:rPr>
        <w:t>ón</w:t>
      </w:r>
      <w:r>
        <w:t>, sino que también será fortalecido</w:t>
      </w:r>
      <w:r>
        <w:rPr>
          <w:highlight w:val="white"/>
        </w:rPr>
        <w:t xml:space="preserve"> y </w:t>
      </w:r>
      <w:r>
        <w:t xml:space="preserve">se medirá el actual modelo de fortalecimiento para las organizaciones sociales, poblacionales, de mujeres, comunales, de medios comunitarios y alternativos, organizaciones de propiedad horizontal e instancias de participación del Distrito Capital; se construirá, además, una línea base sobre el estado de avance de cada una de las instancias de participación, con el ánimo de fijar un punto de partida y definir un punto de llegada, generando estímulos e incentivos y articulando los esfuerzos institucionales, recursos, metodologías y estrategias para asegurar su implementación, sostenibilidad y mejora en el marco de la política de participación incidente. </w:t>
      </w:r>
    </w:p>
    <w:p w14:paraId="228CDE88" w14:textId="77777777" w:rsidR="00EF1D5F" w:rsidRDefault="00EF1D5F" w:rsidP="00F90E54"/>
    <w:p w14:paraId="1141BDE2" w14:textId="77777777" w:rsidR="00EF1D5F" w:rsidRDefault="00EF1D5F" w:rsidP="00F90E54">
      <w:r>
        <w:t xml:space="preserve">Así mismo, se garantizarán las condiciones para la votación electrónica a través de las cuales se </w:t>
      </w:r>
      <w:r>
        <w:t>elige la representación de la ciudadanía en las instancias y organizaciones sociales y comunales de participación con el sistema VOTEC.</w:t>
      </w:r>
    </w:p>
    <w:p w14:paraId="221E3C9A" w14:textId="77777777" w:rsidR="00EF1D5F" w:rsidRDefault="00EF1D5F" w:rsidP="00F90E54"/>
    <w:p w14:paraId="7D07ADF1" w14:textId="77777777" w:rsidR="00EF1D5F" w:rsidRDefault="00EF1D5F" w:rsidP="00F90E54">
      <w:r>
        <w:t xml:space="preserve">Dadas las garantías de atención, participación y diálogo incidente con la ciudadanía ya mencionadas, a través de la Secretaría Distrital de Planeación se hará un esfuerzo para, en cuatro años, posicionar a Bogotá como un referente en materia de democracia deliberativa e innovación democrática, así como en la realización de nuevos diseños institucionales, conocidos en su forma más general como “minipúblicos” o “asambleas ciudadanas”. Estos espacios incluyen, entre otros: la realización de metadeliberaciones para la proyección procedimental de las reuniones futuras; la celebración de asambleas de institucionalización para convertir los resultados de las deliberaciones en política pública; un diálogo más recursivo con las autoridades distritales, y un modelo de deliberación democrática secuenciada. </w:t>
      </w:r>
    </w:p>
    <w:p w14:paraId="2AA8FA20" w14:textId="77777777" w:rsidR="00EF1D5F" w:rsidRDefault="00EF1D5F" w:rsidP="00F90E54"/>
    <w:p w14:paraId="2DBDEE7F" w14:textId="30F158D3" w:rsidR="00EF1D5F" w:rsidRPr="00F90E54" w:rsidRDefault="00EF1D5F" w:rsidP="00F90E54">
      <w:r>
        <w:t>Las metas asociadas buscarán que, a través de la innovación democrática en Bogotá, se puedan irradiar soluciones a largo plazo para la ciudad. Por ello, las deliberaciones de dichos espacios estarán orientadas desde la Secretaría de Planeación y serán sobre temas estratégicos de ciudad que requieran un tipo de deliberación no vinculada a intereses particulares y orientada al interés público.</w:t>
      </w:r>
    </w:p>
    <w:p w14:paraId="6A7344DE" w14:textId="77777777" w:rsidR="00EF1D5F" w:rsidRDefault="00EF1D5F" w:rsidP="004554F9">
      <w:pPr>
        <w:pStyle w:val="figuratitulo"/>
        <w:rPr>
          <w:b/>
          <w:bCs/>
        </w:rPr>
        <w:sectPr w:rsidR="00EF1D5F" w:rsidSect="00F7078E">
          <w:type w:val="continuous"/>
          <w:pgSz w:w="12240" w:h="15840"/>
          <w:pgMar w:top="2262" w:right="1440" w:bottom="1440" w:left="1440" w:header="708" w:footer="680" w:gutter="0"/>
          <w:cols w:num="2" w:space="567"/>
          <w:docGrid w:linePitch="299"/>
        </w:sectPr>
      </w:pPr>
    </w:p>
    <w:p w14:paraId="6325E478" w14:textId="77777777" w:rsidR="00EF1D5F" w:rsidRDefault="00EF1D5F" w:rsidP="004554F9">
      <w:pPr>
        <w:pStyle w:val="figuratitulo"/>
        <w:rPr>
          <w:b/>
          <w:bCs/>
        </w:rPr>
      </w:pPr>
    </w:p>
    <w:p w14:paraId="3FBAB80B" w14:textId="77777777" w:rsidR="00EF1D5F" w:rsidRDefault="00EF1D5F" w:rsidP="004554F9">
      <w:pPr>
        <w:pStyle w:val="figuratitulo"/>
        <w:rPr>
          <w:b/>
          <w:bCs/>
        </w:rPr>
      </w:pPr>
    </w:p>
    <w:p w14:paraId="79335FC6" w14:textId="77777777" w:rsidR="00EF1D5F" w:rsidRDefault="00EF1D5F" w:rsidP="004554F9">
      <w:pPr>
        <w:pStyle w:val="figuratitulo"/>
        <w:rPr>
          <w:b/>
          <w:bCs/>
        </w:rPr>
      </w:pPr>
    </w:p>
    <w:p w14:paraId="42EE30B5" w14:textId="77777777" w:rsidR="00EF1D5F" w:rsidRDefault="00EF1D5F" w:rsidP="004554F9">
      <w:pPr>
        <w:pStyle w:val="figuratitulo"/>
        <w:rPr>
          <w:b/>
          <w:bCs/>
        </w:rPr>
      </w:pPr>
    </w:p>
    <w:p w14:paraId="46CF5A4F" w14:textId="77777777" w:rsidR="00EF1D5F" w:rsidRDefault="00EF1D5F" w:rsidP="004554F9">
      <w:pPr>
        <w:pStyle w:val="figuratitulo"/>
        <w:rPr>
          <w:b/>
          <w:bCs/>
        </w:rPr>
      </w:pPr>
    </w:p>
    <w:p w14:paraId="1BC85847" w14:textId="77777777" w:rsidR="00EF1D5F" w:rsidRDefault="00EF1D5F" w:rsidP="004554F9">
      <w:pPr>
        <w:pStyle w:val="figuratitulo"/>
        <w:rPr>
          <w:b/>
          <w:bCs/>
        </w:rPr>
      </w:pPr>
    </w:p>
    <w:p w14:paraId="6FEF4B85" w14:textId="77777777" w:rsidR="00EF1D5F" w:rsidRDefault="00EF1D5F" w:rsidP="004554F9">
      <w:pPr>
        <w:pStyle w:val="figuratitulo"/>
        <w:rPr>
          <w:b/>
          <w:bCs/>
        </w:rPr>
      </w:pPr>
    </w:p>
    <w:p w14:paraId="4A312234" w14:textId="77777777" w:rsidR="00EF1D5F" w:rsidRDefault="00EF1D5F" w:rsidP="004554F9">
      <w:pPr>
        <w:pStyle w:val="figuratitulo"/>
        <w:rPr>
          <w:b/>
          <w:bCs/>
        </w:rPr>
      </w:pPr>
    </w:p>
    <w:p w14:paraId="59FA0C84" w14:textId="77777777" w:rsidR="00EF1D5F" w:rsidRDefault="00EF1D5F" w:rsidP="004554F9">
      <w:pPr>
        <w:pStyle w:val="figuratitulo"/>
        <w:rPr>
          <w:b/>
          <w:bCs/>
        </w:rPr>
      </w:pPr>
    </w:p>
    <w:p w14:paraId="2E878D72" w14:textId="77777777" w:rsidR="008969F5" w:rsidRDefault="008969F5">
      <w:pPr>
        <w:spacing w:line="240" w:lineRule="auto"/>
        <w:jc w:val="left"/>
        <w:rPr>
          <w:rFonts w:eastAsiaTheme="minorHAnsi" w:cstheme="minorBidi"/>
          <w:b/>
          <w:bCs/>
          <w:color w:val="C00000"/>
          <w:sz w:val="18"/>
          <w:lang w:eastAsia="en-US"/>
        </w:rPr>
      </w:pPr>
      <w:r>
        <w:rPr>
          <w:b/>
          <w:bCs/>
        </w:rPr>
        <w:br w:type="page"/>
      </w:r>
    </w:p>
    <w:p w14:paraId="68BF05CF" w14:textId="4F1E4344" w:rsidR="00EF1D5F" w:rsidRPr="008969F5" w:rsidRDefault="008969F5" w:rsidP="008969F5">
      <w:pPr>
        <w:pStyle w:val="Descripcin"/>
        <w:jc w:val="center"/>
        <w:rPr>
          <w:color w:val="000000" w:themeColor="text1"/>
          <w:sz w:val="18"/>
        </w:rPr>
      </w:pPr>
      <w:bookmarkStart w:id="460" w:name="_Toc165169972"/>
      <w:r w:rsidRPr="008969F5">
        <w:rPr>
          <w:color w:val="C00000"/>
          <w:sz w:val="18"/>
        </w:rPr>
        <w:lastRenderedPageBreak/>
        <w:t xml:space="preserve">Tabla </w:t>
      </w:r>
      <w:r w:rsidRPr="008969F5">
        <w:rPr>
          <w:color w:val="C00000"/>
          <w:sz w:val="18"/>
        </w:rPr>
        <w:fldChar w:fldCharType="begin"/>
      </w:r>
      <w:r w:rsidRPr="008969F5">
        <w:rPr>
          <w:color w:val="C00000"/>
          <w:sz w:val="18"/>
        </w:rPr>
        <w:instrText xml:space="preserve"> SEQ Tabla \* ARABIC </w:instrText>
      </w:r>
      <w:r w:rsidRPr="008969F5">
        <w:rPr>
          <w:color w:val="C00000"/>
          <w:sz w:val="18"/>
        </w:rPr>
        <w:fldChar w:fldCharType="separate"/>
      </w:r>
      <w:r w:rsidR="00D01651">
        <w:rPr>
          <w:noProof/>
          <w:color w:val="C00000"/>
          <w:sz w:val="18"/>
        </w:rPr>
        <w:t>62</w:t>
      </w:r>
      <w:r w:rsidRPr="008969F5">
        <w:rPr>
          <w:color w:val="C00000"/>
          <w:sz w:val="18"/>
        </w:rPr>
        <w:fldChar w:fldCharType="end"/>
      </w:r>
      <w:r w:rsidRPr="008969F5">
        <w:rPr>
          <w:color w:val="C00000"/>
          <w:sz w:val="18"/>
        </w:rPr>
        <w:t xml:space="preserve">. </w:t>
      </w:r>
      <w:r w:rsidR="00EF1D5F" w:rsidRPr="008969F5">
        <w:rPr>
          <w:color w:val="000000" w:themeColor="text1"/>
          <w:sz w:val="18"/>
        </w:rPr>
        <w:t>Metas del programa</w:t>
      </w:r>
      <w:r w:rsidRPr="008969F5">
        <w:rPr>
          <w:color w:val="000000" w:themeColor="text1"/>
          <w:sz w:val="18"/>
        </w:rPr>
        <w:t xml:space="preserve"> 39: </w:t>
      </w:r>
      <w:r w:rsidR="00EF1D5F" w:rsidRPr="008969F5">
        <w:rPr>
          <w:color w:val="000000" w:themeColor="text1"/>
          <w:sz w:val="18"/>
        </w:rPr>
        <w:t>Camino hacia una democracia deliberativa con un Gobierno cercano a la gente y con participación ciudadana</w:t>
      </w:r>
      <w:bookmarkEnd w:id="460"/>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817"/>
        <w:gridCol w:w="1348"/>
        <w:gridCol w:w="1322"/>
        <w:gridCol w:w="1284"/>
        <w:gridCol w:w="1270"/>
        <w:gridCol w:w="1319"/>
      </w:tblGrid>
      <w:tr w:rsidR="00D053CA" w:rsidRPr="00D053CA" w14:paraId="377A436F" w14:textId="77777777" w:rsidTr="00AA4BBB">
        <w:trPr>
          <w:tblHeader/>
        </w:trPr>
        <w:tc>
          <w:tcPr>
            <w:tcW w:w="0" w:type="auto"/>
            <w:vMerge w:val="restart"/>
            <w:shd w:val="clear" w:color="auto" w:fill="C00000"/>
            <w:tcMar>
              <w:top w:w="30" w:type="dxa"/>
              <w:left w:w="45" w:type="dxa"/>
              <w:bottom w:w="30" w:type="dxa"/>
              <w:right w:w="45" w:type="dxa"/>
            </w:tcMar>
            <w:vAlign w:val="center"/>
            <w:hideMark/>
          </w:tcPr>
          <w:p w14:paraId="72C7B0FE" w14:textId="77777777" w:rsidR="00D053CA" w:rsidRPr="00D053CA" w:rsidRDefault="00D053CA" w:rsidP="00AA4BBB">
            <w:pPr>
              <w:jc w:val="center"/>
              <w:rPr>
                <w:rFonts w:cs="Arial"/>
                <w:b/>
                <w:bCs/>
                <w:color w:val="FFFFFF"/>
                <w:sz w:val="18"/>
                <w:szCs w:val="18"/>
              </w:rPr>
            </w:pPr>
            <w:r w:rsidRPr="00D053CA">
              <w:rPr>
                <w:rFonts w:cs="Arial"/>
                <w:b/>
                <w:bCs/>
                <w:color w:val="FFFFFF"/>
                <w:sz w:val="18"/>
                <w:szCs w:val="18"/>
              </w:rPr>
              <w:t>SECTOR / Metas</w:t>
            </w:r>
          </w:p>
        </w:tc>
        <w:tc>
          <w:tcPr>
            <w:tcW w:w="0" w:type="auto"/>
            <w:gridSpan w:val="5"/>
            <w:shd w:val="clear" w:color="auto" w:fill="C00000"/>
            <w:tcMar>
              <w:top w:w="30" w:type="dxa"/>
              <w:left w:w="45" w:type="dxa"/>
              <w:bottom w:w="30" w:type="dxa"/>
              <w:right w:w="45" w:type="dxa"/>
            </w:tcMar>
            <w:vAlign w:val="center"/>
            <w:hideMark/>
          </w:tcPr>
          <w:p w14:paraId="71DDF3A9" w14:textId="77777777" w:rsidR="00D053CA" w:rsidRPr="00D053CA" w:rsidRDefault="00D053CA" w:rsidP="00AA4BBB">
            <w:pPr>
              <w:jc w:val="center"/>
              <w:rPr>
                <w:rFonts w:cs="Arial"/>
                <w:b/>
                <w:bCs/>
                <w:color w:val="FFFFFF"/>
                <w:sz w:val="18"/>
                <w:szCs w:val="18"/>
              </w:rPr>
            </w:pPr>
            <w:r w:rsidRPr="00D053CA">
              <w:rPr>
                <w:rFonts w:cs="Arial"/>
                <w:b/>
                <w:bCs/>
                <w:color w:val="FFFFFF"/>
                <w:sz w:val="18"/>
                <w:szCs w:val="18"/>
              </w:rPr>
              <w:t xml:space="preserve">Magnitudes e Inversión </w:t>
            </w:r>
          </w:p>
          <w:p w14:paraId="6AD9901B" w14:textId="77777777" w:rsidR="00D053CA" w:rsidRPr="00D053CA" w:rsidRDefault="00D053CA" w:rsidP="00AA4BBB">
            <w:pPr>
              <w:jc w:val="center"/>
              <w:rPr>
                <w:rFonts w:cs="Arial"/>
                <w:b/>
                <w:bCs/>
                <w:color w:val="FFFFFF"/>
                <w:sz w:val="18"/>
                <w:szCs w:val="18"/>
              </w:rPr>
            </w:pPr>
            <w:r w:rsidRPr="00D053CA">
              <w:rPr>
                <w:rFonts w:cs="Arial"/>
                <w:b/>
                <w:bCs/>
                <w:color w:val="FFFFFF"/>
                <w:sz w:val="18"/>
                <w:szCs w:val="18"/>
              </w:rPr>
              <w:t>(Precios Constantes 2024)</w:t>
            </w:r>
          </w:p>
        </w:tc>
      </w:tr>
      <w:tr w:rsidR="00D053CA" w:rsidRPr="00D053CA" w14:paraId="74E0B7E5" w14:textId="77777777" w:rsidTr="00AA4BBB">
        <w:trPr>
          <w:trHeight w:val="465"/>
          <w:tblHeader/>
        </w:trPr>
        <w:tc>
          <w:tcPr>
            <w:tcW w:w="0" w:type="auto"/>
            <w:vMerge/>
            <w:vAlign w:val="center"/>
            <w:hideMark/>
          </w:tcPr>
          <w:p w14:paraId="6879DB41" w14:textId="77777777" w:rsidR="00D053CA" w:rsidRPr="00D053CA" w:rsidRDefault="00D053CA" w:rsidP="00AA4BBB">
            <w:pPr>
              <w:rPr>
                <w:rFonts w:cs="Arial"/>
                <w:b/>
                <w:bCs/>
                <w:color w:val="FFFFFF"/>
                <w:sz w:val="18"/>
                <w:szCs w:val="18"/>
              </w:rPr>
            </w:pPr>
          </w:p>
        </w:tc>
        <w:tc>
          <w:tcPr>
            <w:tcW w:w="0" w:type="auto"/>
            <w:shd w:val="clear" w:color="auto" w:fill="D9D9D9"/>
            <w:tcMar>
              <w:top w:w="30" w:type="dxa"/>
              <w:left w:w="45" w:type="dxa"/>
              <w:bottom w:w="30" w:type="dxa"/>
              <w:right w:w="45" w:type="dxa"/>
            </w:tcMar>
            <w:vAlign w:val="center"/>
            <w:hideMark/>
          </w:tcPr>
          <w:p w14:paraId="25DD35F7" w14:textId="77777777" w:rsidR="00D053CA" w:rsidRPr="00D053CA" w:rsidRDefault="00D053CA" w:rsidP="00AA4BBB">
            <w:pPr>
              <w:jc w:val="center"/>
              <w:rPr>
                <w:rFonts w:cs="Arial"/>
                <w:b/>
                <w:bCs/>
                <w:sz w:val="18"/>
                <w:szCs w:val="18"/>
              </w:rPr>
            </w:pPr>
            <w:r w:rsidRPr="00D053CA">
              <w:rPr>
                <w:rFonts w:cs="Arial"/>
                <w:b/>
                <w:bCs/>
                <w:sz w:val="18"/>
                <w:szCs w:val="18"/>
              </w:rPr>
              <w:t>2024</w:t>
            </w:r>
          </w:p>
        </w:tc>
        <w:tc>
          <w:tcPr>
            <w:tcW w:w="0" w:type="auto"/>
            <w:shd w:val="clear" w:color="auto" w:fill="D9D9D9"/>
            <w:tcMar>
              <w:top w:w="30" w:type="dxa"/>
              <w:left w:w="45" w:type="dxa"/>
              <w:bottom w:w="30" w:type="dxa"/>
              <w:right w:w="45" w:type="dxa"/>
            </w:tcMar>
            <w:vAlign w:val="center"/>
            <w:hideMark/>
          </w:tcPr>
          <w:p w14:paraId="326C070B" w14:textId="77777777" w:rsidR="00D053CA" w:rsidRPr="00D053CA" w:rsidRDefault="00D053CA" w:rsidP="00AA4BBB">
            <w:pPr>
              <w:jc w:val="center"/>
              <w:rPr>
                <w:rFonts w:cs="Arial"/>
                <w:b/>
                <w:bCs/>
                <w:sz w:val="18"/>
                <w:szCs w:val="18"/>
              </w:rPr>
            </w:pPr>
            <w:r w:rsidRPr="00D053CA">
              <w:rPr>
                <w:rFonts w:cs="Arial"/>
                <w:b/>
                <w:bCs/>
                <w:sz w:val="18"/>
                <w:szCs w:val="18"/>
              </w:rPr>
              <w:t>2025</w:t>
            </w:r>
          </w:p>
        </w:tc>
        <w:tc>
          <w:tcPr>
            <w:tcW w:w="0" w:type="auto"/>
            <w:shd w:val="clear" w:color="auto" w:fill="D9D9D9"/>
            <w:tcMar>
              <w:top w:w="30" w:type="dxa"/>
              <w:left w:w="45" w:type="dxa"/>
              <w:bottom w:w="30" w:type="dxa"/>
              <w:right w:w="45" w:type="dxa"/>
            </w:tcMar>
            <w:vAlign w:val="center"/>
            <w:hideMark/>
          </w:tcPr>
          <w:p w14:paraId="75570151" w14:textId="77777777" w:rsidR="00D053CA" w:rsidRPr="00D053CA" w:rsidRDefault="00D053CA" w:rsidP="00AA4BBB">
            <w:pPr>
              <w:jc w:val="center"/>
              <w:rPr>
                <w:rFonts w:cs="Arial"/>
                <w:b/>
                <w:bCs/>
                <w:sz w:val="18"/>
                <w:szCs w:val="18"/>
              </w:rPr>
            </w:pPr>
            <w:r w:rsidRPr="00D053CA">
              <w:rPr>
                <w:rFonts w:cs="Arial"/>
                <w:b/>
                <w:bCs/>
                <w:sz w:val="18"/>
                <w:szCs w:val="18"/>
              </w:rPr>
              <w:t>2026</w:t>
            </w:r>
          </w:p>
        </w:tc>
        <w:tc>
          <w:tcPr>
            <w:tcW w:w="0" w:type="auto"/>
            <w:shd w:val="clear" w:color="auto" w:fill="D9D9D9"/>
            <w:tcMar>
              <w:top w:w="30" w:type="dxa"/>
              <w:left w:w="45" w:type="dxa"/>
              <w:bottom w:w="30" w:type="dxa"/>
              <w:right w:w="45" w:type="dxa"/>
            </w:tcMar>
            <w:vAlign w:val="center"/>
            <w:hideMark/>
          </w:tcPr>
          <w:p w14:paraId="25DA75D7" w14:textId="77777777" w:rsidR="00D053CA" w:rsidRPr="00D053CA" w:rsidRDefault="00D053CA" w:rsidP="00AA4BBB">
            <w:pPr>
              <w:jc w:val="center"/>
              <w:rPr>
                <w:rFonts w:cs="Arial"/>
                <w:b/>
                <w:bCs/>
                <w:sz w:val="18"/>
                <w:szCs w:val="18"/>
              </w:rPr>
            </w:pPr>
            <w:r w:rsidRPr="00D053CA">
              <w:rPr>
                <w:rFonts w:cs="Arial"/>
                <w:b/>
                <w:bCs/>
                <w:sz w:val="18"/>
                <w:szCs w:val="18"/>
              </w:rPr>
              <w:t>2027</w:t>
            </w:r>
          </w:p>
        </w:tc>
        <w:tc>
          <w:tcPr>
            <w:tcW w:w="0" w:type="auto"/>
            <w:shd w:val="clear" w:color="auto" w:fill="D9D9D9"/>
            <w:tcMar>
              <w:top w:w="30" w:type="dxa"/>
              <w:left w:w="45" w:type="dxa"/>
              <w:bottom w:w="30" w:type="dxa"/>
              <w:right w:w="45" w:type="dxa"/>
            </w:tcMar>
            <w:vAlign w:val="center"/>
            <w:hideMark/>
          </w:tcPr>
          <w:p w14:paraId="48E784DC" w14:textId="77777777" w:rsidR="00D053CA" w:rsidRPr="00D053CA" w:rsidRDefault="00D053CA" w:rsidP="00AA4BBB">
            <w:pPr>
              <w:jc w:val="center"/>
              <w:rPr>
                <w:rFonts w:cs="Arial"/>
                <w:b/>
                <w:bCs/>
                <w:sz w:val="18"/>
                <w:szCs w:val="18"/>
              </w:rPr>
            </w:pPr>
            <w:r w:rsidRPr="00D053CA">
              <w:rPr>
                <w:rFonts w:cs="Arial"/>
                <w:b/>
                <w:bCs/>
                <w:sz w:val="18"/>
                <w:szCs w:val="18"/>
              </w:rPr>
              <w:t>Total Inversión</w:t>
            </w:r>
          </w:p>
        </w:tc>
      </w:tr>
      <w:tr w:rsidR="00D053CA" w:rsidRPr="00D053CA" w14:paraId="36EB4448" w14:textId="77777777" w:rsidTr="00AA4BBB">
        <w:tc>
          <w:tcPr>
            <w:tcW w:w="0" w:type="auto"/>
            <w:gridSpan w:val="6"/>
            <w:shd w:val="clear" w:color="auto" w:fill="C00000"/>
            <w:tcMar>
              <w:top w:w="30" w:type="dxa"/>
              <w:left w:w="45" w:type="dxa"/>
              <w:bottom w:w="30" w:type="dxa"/>
              <w:right w:w="45" w:type="dxa"/>
            </w:tcMar>
            <w:vAlign w:val="center"/>
            <w:hideMark/>
          </w:tcPr>
          <w:p w14:paraId="6BFBD36F" w14:textId="77777777" w:rsidR="00D053CA" w:rsidRPr="00D053CA" w:rsidRDefault="00D053CA" w:rsidP="00AA4BBB">
            <w:pPr>
              <w:jc w:val="center"/>
              <w:rPr>
                <w:rFonts w:cs="Arial"/>
                <w:b/>
                <w:bCs/>
                <w:color w:val="FFFFFF" w:themeColor="background1"/>
                <w:sz w:val="18"/>
                <w:szCs w:val="18"/>
              </w:rPr>
            </w:pPr>
            <w:r w:rsidRPr="00D053CA">
              <w:rPr>
                <w:rFonts w:cs="Arial"/>
                <w:b/>
                <w:bCs/>
                <w:color w:val="FFFFFF" w:themeColor="background1"/>
                <w:sz w:val="18"/>
                <w:szCs w:val="18"/>
              </w:rPr>
              <w:t>Gestión Jurídica</w:t>
            </w:r>
          </w:p>
        </w:tc>
      </w:tr>
      <w:tr w:rsidR="00D053CA" w:rsidRPr="00D053CA" w14:paraId="6D76241D" w14:textId="77777777" w:rsidTr="00AA4BBB">
        <w:tc>
          <w:tcPr>
            <w:tcW w:w="0" w:type="auto"/>
            <w:vMerge w:val="restart"/>
            <w:tcMar>
              <w:top w:w="30" w:type="dxa"/>
              <w:left w:w="45" w:type="dxa"/>
              <w:bottom w:w="30" w:type="dxa"/>
              <w:right w:w="45" w:type="dxa"/>
            </w:tcMar>
            <w:vAlign w:val="center"/>
            <w:hideMark/>
          </w:tcPr>
          <w:p w14:paraId="7AA75AD7" w14:textId="77777777" w:rsidR="00D053CA" w:rsidRPr="00D053CA" w:rsidRDefault="00D053CA" w:rsidP="00AA4BBB">
            <w:pPr>
              <w:rPr>
                <w:rFonts w:cs="Arial"/>
                <w:sz w:val="18"/>
                <w:szCs w:val="18"/>
              </w:rPr>
            </w:pPr>
            <w:r w:rsidRPr="00D053CA">
              <w:rPr>
                <w:rFonts w:cs="Arial"/>
                <w:sz w:val="18"/>
                <w:szCs w:val="18"/>
              </w:rPr>
              <w:t xml:space="preserve">Lograr el 43% de participación ciudadana incidente en los proyectos normativos y de regulación que expida la administración distrital. </w:t>
            </w:r>
          </w:p>
        </w:tc>
        <w:tc>
          <w:tcPr>
            <w:tcW w:w="0" w:type="auto"/>
            <w:tcMar>
              <w:top w:w="30" w:type="dxa"/>
              <w:left w:w="45" w:type="dxa"/>
              <w:bottom w:w="30" w:type="dxa"/>
              <w:right w:w="45" w:type="dxa"/>
            </w:tcMar>
            <w:vAlign w:val="center"/>
            <w:hideMark/>
          </w:tcPr>
          <w:p w14:paraId="0154DE66" w14:textId="77777777" w:rsidR="00D053CA" w:rsidRPr="00D053CA" w:rsidRDefault="00D053CA" w:rsidP="00AA4BBB">
            <w:pPr>
              <w:jc w:val="center"/>
              <w:rPr>
                <w:rFonts w:cs="Arial"/>
                <w:sz w:val="18"/>
                <w:szCs w:val="18"/>
              </w:rPr>
            </w:pPr>
            <w:r w:rsidRPr="00D053CA">
              <w:rPr>
                <w:rFonts w:cs="Arial"/>
                <w:sz w:val="18"/>
                <w:szCs w:val="18"/>
              </w:rPr>
              <w:t>30</w:t>
            </w:r>
          </w:p>
        </w:tc>
        <w:tc>
          <w:tcPr>
            <w:tcW w:w="0" w:type="auto"/>
            <w:tcMar>
              <w:top w:w="30" w:type="dxa"/>
              <w:left w:w="45" w:type="dxa"/>
              <w:bottom w:w="30" w:type="dxa"/>
              <w:right w:w="45" w:type="dxa"/>
            </w:tcMar>
            <w:vAlign w:val="center"/>
            <w:hideMark/>
          </w:tcPr>
          <w:p w14:paraId="2FE49EEF" w14:textId="77777777" w:rsidR="00D053CA" w:rsidRPr="00D053CA" w:rsidRDefault="00D053CA" w:rsidP="00AA4BBB">
            <w:pPr>
              <w:jc w:val="center"/>
              <w:rPr>
                <w:rFonts w:cs="Arial"/>
                <w:sz w:val="18"/>
                <w:szCs w:val="18"/>
              </w:rPr>
            </w:pPr>
            <w:r w:rsidRPr="00D053CA">
              <w:rPr>
                <w:rFonts w:cs="Arial"/>
                <w:sz w:val="18"/>
                <w:szCs w:val="18"/>
              </w:rPr>
              <w:t>35</w:t>
            </w:r>
          </w:p>
        </w:tc>
        <w:tc>
          <w:tcPr>
            <w:tcW w:w="0" w:type="auto"/>
            <w:tcMar>
              <w:top w:w="30" w:type="dxa"/>
              <w:left w:w="45" w:type="dxa"/>
              <w:bottom w:w="30" w:type="dxa"/>
              <w:right w:w="45" w:type="dxa"/>
            </w:tcMar>
            <w:vAlign w:val="center"/>
            <w:hideMark/>
          </w:tcPr>
          <w:p w14:paraId="70B21349" w14:textId="77777777" w:rsidR="00D053CA" w:rsidRPr="00D053CA" w:rsidRDefault="00D053CA" w:rsidP="00AA4BBB">
            <w:pPr>
              <w:jc w:val="center"/>
              <w:rPr>
                <w:rFonts w:cs="Arial"/>
                <w:sz w:val="18"/>
                <w:szCs w:val="18"/>
              </w:rPr>
            </w:pPr>
            <w:r w:rsidRPr="00D053CA">
              <w:rPr>
                <w:rFonts w:cs="Arial"/>
                <w:sz w:val="18"/>
                <w:szCs w:val="18"/>
              </w:rPr>
              <w:t>40</w:t>
            </w:r>
          </w:p>
        </w:tc>
        <w:tc>
          <w:tcPr>
            <w:tcW w:w="0" w:type="auto"/>
            <w:tcMar>
              <w:top w:w="30" w:type="dxa"/>
              <w:left w:w="45" w:type="dxa"/>
              <w:bottom w:w="30" w:type="dxa"/>
              <w:right w:w="45" w:type="dxa"/>
            </w:tcMar>
            <w:vAlign w:val="center"/>
            <w:hideMark/>
          </w:tcPr>
          <w:p w14:paraId="7A9AC267" w14:textId="77777777" w:rsidR="00D053CA" w:rsidRPr="00D053CA" w:rsidRDefault="00D053CA" w:rsidP="00AA4BBB">
            <w:pPr>
              <w:jc w:val="center"/>
              <w:rPr>
                <w:rFonts w:cs="Arial"/>
                <w:sz w:val="18"/>
                <w:szCs w:val="18"/>
              </w:rPr>
            </w:pPr>
            <w:r w:rsidRPr="00D053CA">
              <w:rPr>
                <w:rFonts w:cs="Arial"/>
                <w:sz w:val="18"/>
                <w:szCs w:val="18"/>
              </w:rPr>
              <w:t>43</w:t>
            </w:r>
          </w:p>
        </w:tc>
        <w:tc>
          <w:tcPr>
            <w:tcW w:w="0" w:type="auto"/>
            <w:vMerge w:val="restart"/>
            <w:tcMar>
              <w:top w:w="30" w:type="dxa"/>
              <w:left w:w="45" w:type="dxa"/>
              <w:bottom w:w="30" w:type="dxa"/>
              <w:right w:w="45" w:type="dxa"/>
            </w:tcMar>
            <w:vAlign w:val="center"/>
            <w:hideMark/>
          </w:tcPr>
          <w:p w14:paraId="1E20DAC9" w14:textId="77777777" w:rsidR="00D053CA" w:rsidRPr="00D053CA" w:rsidRDefault="00D053CA" w:rsidP="00AA4BBB">
            <w:pPr>
              <w:jc w:val="center"/>
              <w:rPr>
                <w:rFonts w:cs="Arial"/>
                <w:b/>
                <w:bCs/>
                <w:sz w:val="18"/>
                <w:szCs w:val="18"/>
              </w:rPr>
            </w:pPr>
            <w:r w:rsidRPr="00D053CA">
              <w:rPr>
                <w:rFonts w:cs="Arial"/>
                <w:b/>
                <w:bCs/>
                <w:sz w:val="18"/>
                <w:szCs w:val="18"/>
              </w:rPr>
              <w:t>978.600.373</w:t>
            </w:r>
          </w:p>
        </w:tc>
      </w:tr>
      <w:tr w:rsidR="00D053CA" w:rsidRPr="00D053CA" w14:paraId="1258CA60" w14:textId="77777777" w:rsidTr="00AA4BBB">
        <w:tc>
          <w:tcPr>
            <w:tcW w:w="0" w:type="auto"/>
            <w:vMerge/>
            <w:vAlign w:val="center"/>
            <w:hideMark/>
          </w:tcPr>
          <w:p w14:paraId="6854573B"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06A36574" w14:textId="77777777" w:rsidR="00D053CA" w:rsidRPr="00D053CA" w:rsidRDefault="00D053CA" w:rsidP="00AA4BBB">
            <w:pPr>
              <w:jc w:val="center"/>
              <w:rPr>
                <w:rFonts w:cs="Arial"/>
                <w:sz w:val="18"/>
                <w:szCs w:val="18"/>
              </w:rPr>
            </w:pPr>
            <w:r w:rsidRPr="00D053CA">
              <w:rPr>
                <w:rFonts w:cs="Arial"/>
                <w:sz w:val="18"/>
                <w:szCs w:val="18"/>
              </w:rPr>
              <w:t>150.000.000</w:t>
            </w:r>
          </w:p>
        </w:tc>
        <w:tc>
          <w:tcPr>
            <w:tcW w:w="0" w:type="auto"/>
            <w:tcMar>
              <w:top w:w="30" w:type="dxa"/>
              <w:left w:w="45" w:type="dxa"/>
              <w:bottom w:w="30" w:type="dxa"/>
              <w:right w:w="45" w:type="dxa"/>
            </w:tcMar>
            <w:vAlign w:val="center"/>
            <w:hideMark/>
          </w:tcPr>
          <w:p w14:paraId="4577BFA6" w14:textId="77777777" w:rsidR="00D053CA" w:rsidRPr="00D053CA" w:rsidRDefault="00D053CA" w:rsidP="00AA4BBB">
            <w:pPr>
              <w:jc w:val="center"/>
              <w:rPr>
                <w:rFonts w:cs="Arial"/>
                <w:sz w:val="18"/>
                <w:szCs w:val="18"/>
              </w:rPr>
            </w:pPr>
            <w:r w:rsidRPr="00D053CA">
              <w:rPr>
                <w:rFonts w:cs="Arial"/>
                <w:sz w:val="18"/>
                <w:szCs w:val="18"/>
              </w:rPr>
              <w:t>252.427.184</w:t>
            </w:r>
          </w:p>
        </w:tc>
        <w:tc>
          <w:tcPr>
            <w:tcW w:w="0" w:type="auto"/>
            <w:tcMar>
              <w:top w:w="30" w:type="dxa"/>
              <w:left w:w="45" w:type="dxa"/>
              <w:bottom w:w="30" w:type="dxa"/>
              <w:right w:w="45" w:type="dxa"/>
            </w:tcMar>
            <w:vAlign w:val="center"/>
            <w:hideMark/>
          </w:tcPr>
          <w:p w14:paraId="1E00191A" w14:textId="77777777" w:rsidR="00D053CA" w:rsidRPr="00D053CA" w:rsidRDefault="00D053CA" w:rsidP="00AA4BBB">
            <w:pPr>
              <w:jc w:val="center"/>
              <w:rPr>
                <w:rFonts w:cs="Arial"/>
                <w:sz w:val="18"/>
                <w:szCs w:val="18"/>
              </w:rPr>
            </w:pPr>
            <w:r w:rsidRPr="00D053CA">
              <w:rPr>
                <w:rFonts w:cs="Arial"/>
                <w:sz w:val="18"/>
                <w:szCs w:val="18"/>
              </w:rPr>
              <w:t>301.630.691</w:t>
            </w:r>
          </w:p>
        </w:tc>
        <w:tc>
          <w:tcPr>
            <w:tcW w:w="0" w:type="auto"/>
            <w:tcMar>
              <w:top w:w="30" w:type="dxa"/>
              <w:left w:w="45" w:type="dxa"/>
              <w:bottom w:w="30" w:type="dxa"/>
              <w:right w:w="45" w:type="dxa"/>
            </w:tcMar>
            <w:vAlign w:val="center"/>
            <w:hideMark/>
          </w:tcPr>
          <w:p w14:paraId="04CFAD1A" w14:textId="77777777" w:rsidR="00D053CA" w:rsidRPr="00D053CA" w:rsidRDefault="00D053CA" w:rsidP="00AA4BBB">
            <w:pPr>
              <w:jc w:val="center"/>
              <w:rPr>
                <w:rFonts w:cs="Arial"/>
                <w:sz w:val="18"/>
                <w:szCs w:val="18"/>
              </w:rPr>
            </w:pPr>
            <w:r w:rsidRPr="00D053CA">
              <w:rPr>
                <w:rFonts w:cs="Arial"/>
                <w:sz w:val="18"/>
                <w:szCs w:val="18"/>
              </w:rPr>
              <w:t>274.542.498</w:t>
            </w:r>
          </w:p>
        </w:tc>
        <w:tc>
          <w:tcPr>
            <w:tcW w:w="0" w:type="auto"/>
            <w:vMerge/>
            <w:vAlign w:val="center"/>
            <w:hideMark/>
          </w:tcPr>
          <w:p w14:paraId="2E3069D5" w14:textId="77777777" w:rsidR="00D053CA" w:rsidRPr="00D053CA" w:rsidRDefault="00D053CA" w:rsidP="00AA4BBB">
            <w:pPr>
              <w:rPr>
                <w:rFonts w:cs="Arial"/>
                <w:b/>
                <w:bCs/>
                <w:sz w:val="18"/>
                <w:szCs w:val="18"/>
              </w:rPr>
            </w:pPr>
          </w:p>
        </w:tc>
      </w:tr>
      <w:tr w:rsidR="00D053CA" w:rsidRPr="00D053CA" w14:paraId="2771FF50" w14:textId="77777777" w:rsidTr="00AA4BBB">
        <w:tc>
          <w:tcPr>
            <w:tcW w:w="0" w:type="auto"/>
            <w:gridSpan w:val="6"/>
            <w:shd w:val="clear" w:color="auto" w:fill="C00000"/>
            <w:tcMar>
              <w:top w:w="30" w:type="dxa"/>
              <w:left w:w="45" w:type="dxa"/>
              <w:bottom w:w="30" w:type="dxa"/>
              <w:right w:w="45" w:type="dxa"/>
            </w:tcMar>
            <w:vAlign w:val="center"/>
            <w:hideMark/>
          </w:tcPr>
          <w:p w14:paraId="73588EFA" w14:textId="77777777" w:rsidR="00D053CA" w:rsidRPr="00D053CA" w:rsidRDefault="00D053CA" w:rsidP="00AA4BBB">
            <w:pPr>
              <w:jc w:val="center"/>
              <w:rPr>
                <w:rFonts w:cs="Arial"/>
                <w:b/>
                <w:bCs/>
                <w:color w:val="FFFFFF" w:themeColor="background1"/>
                <w:sz w:val="18"/>
                <w:szCs w:val="18"/>
              </w:rPr>
            </w:pPr>
            <w:r w:rsidRPr="00D053CA">
              <w:rPr>
                <w:rFonts w:cs="Arial"/>
                <w:b/>
                <w:bCs/>
                <w:color w:val="FFFFFF" w:themeColor="background1"/>
                <w:sz w:val="18"/>
                <w:szCs w:val="18"/>
              </w:rPr>
              <w:t>Gestión Pública</w:t>
            </w:r>
          </w:p>
        </w:tc>
      </w:tr>
      <w:tr w:rsidR="00D053CA" w:rsidRPr="00D053CA" w14:paraId="578C7867" w14:textId="77777777" w:rsidTr="00AA4BBB">
        <w:tc>
          <w:tcPr>
            <w:tcW w:w="0" w:type="auto"/>
            <w:vMerge w:val="restart"/>
            <w:tcMar>
              <w:top w:w="30" w:type="dxa"/>
              <w:left w:w="45" w:type="dxa"/>
              <w:bottom w:w="30" w:type="dxa"/>
              <w:right w:w="45" w:type="dxa"/>
            </w:tcMar>
            <w:vAlign w:val="center"/>
            <w:hideMark/>
          </w:tcPr>
          <w:p w14:paraId="5B5C6884" w14:textId="77777777" w:rsidR="00D053CA" w:rsidRPr="00D053CA" w:rsidRDefault="00D053CA" w:rsidP="00AA4BBB">
            <w:pPr>
              <w:rPr>
                <w:rFonts w:cs="Arial"/>
                <w:sz w:val="18"/>
                <w:szCs w:val="18"/>
              </w:rPr>
            </w:pPr>
            <w:r w:rsidRPr="00D053CA">
              <w:rPr>
                <w:rFonts w:cs="Arial"/>
                <w:sz w:val="18"/>
                <w:szCs w:val="18"/>
              </w:rPr>
              <w:t>Crear 1 portal web para el acceso ágil y sencillo a toda la oferta de trámites y servicios del Distrito Capital.</w:t>
            </w:r>
          </w:p>
        </w:tc>
        <w:tc>
          <w:tcPr>
            <w:tcW w:w="0" w:type="auto"/>
            <w:tcMar>
              <w:top w:w="30" w:type="dxa"/>
              <w:left w:w="45" w:type="dxa"/>
              <w:bottom w:w="30" w:type="dxa"/>
              <w:right w:w="45" w:type="dxa"/>
            </w:tcMar>
            <w:vAlign w:val="center"/>
            <w:hideMark/>
          </w:tcPr>
          <w:p w14:paraId="03228299" w14:textId="77777777" w:rsidR="00D053CA" w:rsidRPr="00D053CA" w:rsidRDefault="00D053CA" w:rsidP="00AA4BBB">
            <w:pPr>
              <w:jc w:val="center"/>
              <w:rPr>
                <w:rFonts w:cs="Arial"/>
                <w:sz w:val="18"/>
                <w:szCs w:val="18"/>
              </w:rPr>
            </w:pPr>
            <w:r w:rsidRPr="00D053CA">
              <w:rPr>
                <w:rFonts w:cs="Arial"/>
                <w:sz w:val="18"/>
                <w:szCs w:val="18"/>
              </w:rPr>
              <w:t>0,15</w:t>
            </w:r>
          </w:p>
        </w:tc>
        <w:tc>
          <w:tcPr>
            <w:tcW w:w="0" w:type="auto"/>
            <w:tcMar>
              <w:top w:w="30" w:type="dxa"/>
              <w:left w:w="45" w:type="dxa"/>
              <w:bottom w:w="30" w:type="dxa"/>
              <w:right w:w="45" w:type="dxa"/>
            </w:tcMar>
            <w:vAlign w:val="center"/>
            <w:hideMark/>
          </w:tcPr>
          <w:p w14:paraId="5DF8D79C" w14:textId="77777777" w:rsidR="00D053CA" w:rsidRPr="00D053CA" w:rsidRDefault="00D053CA" w:rsidP="00AA4BBB">
            <w:pPr>
              <w:jc w:val="center"/>
              <w:rPr>
                <w:rFonts w:cs="Arial"/>
                <w:sz w:val="18"/>
                <w:szCs w:val="18"/>
              </w:rPr>
            </w:pPr>
            <w:r w:rsidRPr="00D053CA">
              <w:rPr>
                <w:rFonts w:cs="Arial"/>
                <w:sz w:val="18"/>
                <w:szCs w:val="18"/>
              </w:rPr>
              <w:t>0,30</w:t>
            </w:r>
          </w:p>
        </w:tc>
        <w:tc>
          <w:tcPr>
            <w:tcW w:w="0" w:type="auto"/>
            <w:tcMar>
              <w:top w:w="30" w:type="dxa"/>
              <w:left w:w="45" w:type="dxa"/>
              <w:bottom w:w="30" w:type="dxa"/>
              <w:right w:w="45" w:type="dxa"/>
            </w:tcMar>
            <w:vAlign w:val="center"/>
            <w:hideMark/>
          </w:tcPr>
          <w:p w14:paraId="2E746613" w14:textId="77777777" w:rsidR="00D053CA" w:rsidRPr="00D053CA" w:rsidRDefault="00D053CA" w:rsidP="00AA4BBB">
            <w:pPr>
              <w:jc w:val="center"/>
              <w:rPr>
                <w:rFonts w:cs="Arial"/>
                <w:sz w:val="18"/>
                <w:szCs w:val="18"/>
              </w:rPr>
            </w:pPr>
            <w:r w:rsidRPr="00D053CA">
              <w:rPr>
                <w:rFonts w:cs="Arial"/>
                <w:sz w:val="18"/>
                <w:szCs w:val="18"/>
              </w:rPr>
              <w:t>0,30</w:t>
            </w:r>
          </w:p>
        </w:tc>
        <w:tc>
          <w:tcPr>
            <w:tcW w:w="0" w:type="auto"/>
            <w:tcMar>
              <w:top w:w="30" w:type="dxa"/>
              <w:left w:w="45" w:type="dxa"/>
              <w:bottom w:w="30" w:type="dxa"/>
              <w:right w:w="45" w:type="dxa"/>
            </w:tcMar>
            <w:vAlign w:val="center"/>
            <w:hideMark/>
          </w:tcPr>
          <w:p w14:paraId="427CAEAF" w14:textId="77777777" w:rsidR="00D053CA" w:rsidRPr="00D053CA" w:rsidRDefault="00D053CA" w:rsidP="00AA4BBB">
            <w:pPr>
              <w:jc w:val="center"/>
              <w:rPr>
                <w:rFonts w:cs="Arial"/>
                <w:sz w:val="18"/>
                <w:szCs w:val="18"/>
              </w:rPr>
            </w:pPr>
            <w:r w:rsidRPr="00D053CA">
              <w:rPr>
                <w:rFonts w:cs="Arial"/>
                <w:sz w:val="18"/>
                <w:szCs w:val="18"/>
              </w:rPr>
              <w:t>0,25</w:t>
            </w:r>
          </w:p>
        </w:tc>
        <w:tc>
          <w:tcPr>
            <w:tcW w:w="0" w:type="auto"/>
            <w:vMerge w:val="restart"/>
            <w:tcMar>
              <w:top w:w="30" w:type="dxa"/>
              <w:left w:w="45" w:type="dxa"/>
              <w:bottom w:w="30" w:type="dxa"/>
              <w:right w:w="45" w:type="dxa"/>
            </w:tcMar>
            <w:vAlign w:val="center"/>
            <w:hideMark/>
          </w:tcPr>
          <w:p w14:paraId="444649DD" w14:textId="77777777" w:rsidR="00D053CA" w:rsidRPr="00D053CA" w:rsidRDefault="00D053CA" w:rsidP="00AA4BBB">
            <w:pPr>
              <w:jc w:val="center"/>
              <w:rPr>
                <w:rFonts w:cs="Arial"/>
                <w:b/>
                <w:bCs/>
                <w:sz w:val="18"/>
                <w:szCs w:val="18"/>
              </w:rPr>
            </w:pPr>
            <w:r w:rsidRPr="00D053CA">
              <w:rPr>
                <w:rFonts w:cs="Arial"/>
                <w:b/>
                <w:bCs/>
                <w:sz w:val="18"/>
                <w:szCs w:val="18"/>
              </w:rPr>
              <w:t>6.086.910.829</w:t>
            </w:r>
          </w:p>
        </w:tc>
      </w:tr>
      <w:tr w:rsidR="00D053CA" w:rsidRPr="00D053CA" w14:paraId="1A37C307" w14:textId="77777777" w:rsidTr="00AA4BBB">
        <w:tc>
          <w:tcPr>
            <w:tcW w:w="0" w:type="auto"/>
            <w:vMerge/>
            <w:vAlign w:val="center"/>
            <w:hideMark/>
          </w:tcPr>
          <w:p w14:paraId="42F3EE72"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230F5BE4" w14:textId="77777777" w:rsidR="00D053CA" w:rsidRPr="00D053CA" w:rsidRDefault="00D053CA" w:rsidP="00AA4BBB">
            <w:pPr>
              <w:jc w:val="center"/>
              <w:rPr>
                <w:rFonts w:cs="Arial"/>
                <w:sz w:val="18"/>
                <w:szCs w:val="18"/>
              </w:rPr>
            </w:pPr>
            <w:r w:rsidRPr="00D053CA">
              <w:rPr>
                <w:rFonts w:cs="Arial"/>
                <w:sz w:val="18"/>
                <w:szCs w:val="18"/>
              </w:rPr>
              <w:t>555.835.982</w:t>
            </w:r>
          </w:p>
        </w:tc>
        <w:tc>
          <w:tcPr>
            <w:tcW w:w="0" w:type="auto"/>
            <w:tcMar>
              <w:top w:w="30" w:type="dxa"/>
              <w:left w:w="45" w:type="dxa"/>
              <w:bottom w:w="30" w:type="dxa"/>
              <w:right w:w="45" w:type="dxa"/>
            </w:tcMar>
            <w:vAlign w:val="center"/>
            <w:hideMark/>
          </w:tcPr>
          <w:p w14:paraId="1F44F074" w14:textId="77777777" w:rsidR="00D053CA" w:rsidRPr="00D053CA" w:rsidRDefault="00D053CA" w:rsidP="00AA4BBB">
            <w:pPr>
              <w:jc w:val="center"/>
              <w:rPr>
                <w:rFonts w:cs="Arial"/>
                <w:sz w:val="18"/>
                <w:szCs w:val="18"/>
              </w:rPr>
            </w:pPr>
            <w:r w:rsidRPr="00D053CA">
              <w:rPr>
                <w:rFonts w:cs="Arial"/>
                <w:sz w:val="18"/>
                <w:szCs w:val="18"/>
              </w:rPr>
              <w:t>1.061.518.692</w:t>
            </w:r>
          </w:p>
        </w:tc>
        <w:tc>
          <w:tcPr>
            <w:tcW w:w="0" w:type="auto"/>
            <w:tcMar>
              <w:top w:w="30" w:type="dxa"/>
              <w:left w:w="45" w:type="dxa"/>
              <w:bottom w:w="30" w:type="dxa"/>
              <w:right w:w="45" w:type="dxa"/>
            </w:tcMar>
            <w:vAlign w:val="center"/>
            <w:hideMark/>
          </w:tcPr>
          <w:p w14:paraId="32C95594" w14:textId="77777777" w:rsidR="00D053CA" w:rsidRPr="00D053CA" w:rsidRDefault="00D053CA" w:rsidP="00AA4BBB">
            <w:pPr>
              <w:jc w:val="center"/>
              <w:rPr>
                <w:rFonts w:cs="Arial"/>
                <w:sz w:val="18"/>
                <w:szCs w:val="18"/>
              </w:rPr>
            </w:pPr>
            <w:r w:rsidRPr="00D053CA">
              <w:rPr>
                <w:rFonts w:cs="Arial"/>
                <w:sz w:val="18"/>
                <w:szCs w:val="18"/>
              </w:rPr>
              <w:t>2.278.362.836</w:t>
            </w:r>
          </w:p>
        </w:tc>
        <w:tc>
          <w:tcPr>
            <w:tcW w:w="0" w:type="auto"/>
            <w:tcMar>
              <w:top w:w="30" w:type="dxa"/>
              <w:left w:w="45" w:type="dxa"/>
              <w:bottom w:w="30" w:type="dxa"/>
              <w:right w:w="45" w:type="dxa"/>
            </w:tcMar>
            <w:vAlign w:val="center"/>
            <w:hideMark/>
          </w:tcPr>
          <w:p w14:paraId="70E4D485" w14:textId="77777777" w:rsidR="00D053CA" w:rsidRPr="00D053CA" w:rsidRDefault="00D053CA" w:rsidP="00AA4BBB">
            <w:pPr>
              <w:jc w:val="center"/>
              <w:rPr>
                <w:rFonts w:cs="Arial"/>
                <w:sz w:val="18"/>
                <w:szCs w:val="18"/>
              </w:rPr>
            </w:pPr>
            <w:r w:rsidRPr="00D053CA">
              <w:rPr>
                <w:rFonts w:cs="Arial"/>
                <w:sz w:val="18"/>
                <w:szCs w:val="18"/>
              </w:rPr>
              <w:t>2.191.193.318</w:t>
            </w:r>
          </w:p>
        </w:tc>
        <w:tc>
          <w:tcPr>
            <w:tcW w:w="0" w:type="auto"/>
            <w:vMerge/>
            <w:vAlign w:val="center"/>
            <w:hideMark/>
          </w:tcPr>
          <w:p w14:paraId="15B9F6A5" w14:textId="77777777" w:rsidR="00D053CA" w:rsidRPr="00D053CA" w:rsidRDefault="00D053CA" w:rsidP="00AA4BBB">
            <w:pPr>
              <w:rPr>
                <w:rFonts w:cs="Arial"/>
                <w:b/>
                <w:bCs/>
                <w:sz w:val="18"/>
                <w:szCs w:val="18"/>
              </w:rPr>
            </w:pPr>
          </w:p>
        </w:tc>
      </w:tr>
      <w:tr w:rsidR="00D053CA" w:rsidRPr="00D053CA" w14:paraId="39EE3ACC" w14:textId="77777777" w:rsidTr="00AA4BBB">
        <w:tc>
          <w:tcPr>
            <w:tcW w:w="0" w:type="auto"/>
            <w:vMerge w:val="restart"/>
            <w:tcMar>
              <w:top w:w="30" w:type="dxa"/>
              <w:left w:w="45" w:type="dxa"/>
              <w:bottom w:w="30" w:type="dxa"/>
              <w:right w:w="45" w:type="dxa"/>
            </w:tcMar>
            <w:vAlign w:val="center"/>
            <w:hideMark/>
          </w:tcPr>
          <w:p w14:paraId="6841A806" w14:textId="77777777" w:rsidR="00D053CA" w:rsidRPr="00D053CA" w:rsidRDefault="00D053CA" w:rsidP="00AA4BBB">
            <w:pPr>
              <w:rPr>
                <w:rFonts w:cs="Arial"/>
                <w:sz w:val="18"/>
                <w:szCs w:val="18"/>
              </w:rPr>
            </w:pPr>
            <w:r w:rsidRPr="00D053CA">
              <w:rPr>
                <w:rFonts w:cs="Arial"/>
                <w:sz w:val="18"/>
                <w:szCs w:val="18"/>
              </w:rPr>
              <w:t>Fortalecer la capacidad de los 3 canales de atención (presencial virtual y telefónico) para atender orientar y responder a las necesidades de la población con un enfoque diferencial en cada rincón de la Ciudad.</w:t>
            </w:r>
          </w:p>
        </w:tc>
        <w:tc>
          <w:tcPr>
            <w:tcW w:w="0" w:type="auto"/>
            <w:tcMar>
              <w:top w:w="30" w:type="dxa"/>
              <w:left w:w="45" w:type="dxa"/>
              <w:bottom w:w="30" w:type="dxa"/>
              <w:right w:w="45" w:type="dxa"/>
            </w:tcMar>
            <w:vAlign w:val="center"/>
            <w:hideMark/>
          </w:tcPr>
          <w:p w14:paraId="39D7EF22" w14:textId="77777777" w:rsidR="00D053CA" w:rsidRPr="00D053CA" w:rsidRDefault="00D053CA" w:rsidP="00AA4BBB">
            <w:pPr>
              <w:jc w:val="center"/>
              <w:rPr>
                <w:rFonts w:cs="Arial"/>
                <w:sz w:val="18"/>
                <w:szCs w:val="18"/>
              </w:rPr>
            </w:pPr>
            <w:r w:rsidRPr="00D053CA">
              <w:rPr>
                <w:rFonts w:cs="Arial"/>
                <w:sz w:val="18"/>
                <w:szCs w:val="18"/>
              </w:rPr>
              <w:t>3</w:t>
            </w:r>
          </w:p>
        </w:tc>
        <w:tc>
          <w:tcPr>
            <w:tcW w:w="0" w:type="auto"/>
            <w:tcMar>
              <w:top w:w="30" w:type="dxa"/>
              <w:left w:w="45" w:type="dxa"/>
              <w:bottom w:w="30" w:type="dxa"/>
              <w:right w:w="45" w:type="dxa"/>
            </w:tcMar>
            <w:vAlign w:val="center"/>
            <w:hideMark/>
          </w:tcPr>
          <w:p w14:paraId="2BFDB5FB" w14:textId="77777777" w:rsidR="00D053CA" w:rsidRPr="00D053CA" w:rsidRDefault="00D053CA" w:rsidP="00AA4BBB">
            <w:pPr>
              <w:jc w:val="center"/>
              <w:rPr>
                <w:rFonts w:cs="Arial"/>
                <w:sz w:val="18"/>
                <w:szCs w:val="18"/>
              </w:rPr>
            </w:pPr>
            <w:r w:rsidRPr="00D053CA">
              <w:rPr>
                <w:rFonts w:cs="Arial"/>
                <w:sz w:val="18"/>
                <w:szCs w:val="18"/>
              </w:rPr>
              <w:t>3</w:t>
            </w:r>
          </w:p>
        </w:tc>
        <w:tc>
          <w:tcPr>
            <w:tcW w:w="0" w:type="auto"/>
            <w:tcMar>
              <w:top w:w="30" w:type="dxa"/>
              <w:left w:w="45" w:type="dxa"/>
              <w:bottom w:w="30" w:type="dxa"/>
              <w:right w:w="45" w:type="dxa"/>
            </w:tcMar>
            <w:vAlign w:val="center"/>
            <w:hideMark/>
          </w:tcPr>
          <w:p w14:paraId="3F3B34BA" w14:textId="77777777" w:rsidR="00D053CA" w:rsidRPr="00D053CA" w:rsidRDefault="00D053CA" w:rsidP="00AA4BBB">
            <w:pPr>
              <w:jc w:val="center"/>
              <w:rPr>
                <w:rFonts w:cs="Arial"/>
                <w:sz w:val="18"/>
                <w:szCs w:val="18"/>
              </w:rPr>
            </w:pPr>
            <w:r w:rsidRPr="00D053CA">
              <w:rPr>
                <w:rFonts w:cs="Arial"/>
                <w:sz w:val="18"/>
                <w:szCs w:val="18"/>
              </w:rPr>
              <w:t>3</w:t>
            </w:r>
          </w:p>
        </w:tc>
        <w:tc>
          <w:tcPr>
            <w:tcW w:w="0" w:type="auto"/>
            <w:tcMar>
              <w:top w:w="30" w:type="dxa"/>
              <w:left w:w="45" w:type="dxa"/>
              <w:bottom w:w="30" w:type="dxa"/>
              <w:right w:w="45" w:type="dxa"/>
            </w:tcMar>
            <w:vAlign w:val="center"/>
            <w:hideMark/>
          </w:tcPr>
          <w:p w14:paraId="5D62958A" w14:textId="77777777" w:rsidR="00D053CA" w:rsidRPr="00D053CA" w:rsidRDefault="00D053CA" w:rsidP="00AA4BBB">
            <w:pPr>
              <w:jc w:val="center"/>
              <w:rPr>
                <w:rFonts w:cs="Arial"/>
                <w:sz w:val="18"/>
                <w:szCs w:val="18"/>
              </w:rPr>
            </w:pPr>
            <w:r w:rsidRPr="00D053CA">
              <w:rPr>
                <w:rFonts w:cs="Arial"/>
                <w:sz w:val="18"/>
                <w:szCs w:val="18"/>
              </w:rPr>
              <w:t>3</w:t>
            </w:r>
          </w:p>
        </w:tc>
        <w:tc>
          <w:tcPr>
            <w:tcW w:w="0" w:type="auto"/>
            <w:vMerge w:val="restart"/>
            <w:tcMar>
              <w:top w:w="30" w:type="dxa"/>
              <w:left w:w="45" w:type="dxa"/>
              <w:bottom w:w="30" w:type="dxa"/>
              <w:right w:w="45" w:type="dxa"/>
            </w:tcMar>
            <w:vAlign w:val="center"/>
            <w:hideMark/>
          </w:tcPr>
          <w:p w14:paraId="2A0FC466" w14:textId="77777777" w:rsidR="00D053CA" w:rsidRPr="00D053CA" w:rsidRDefault="00D053CA" w:rsidP="00AA4BBB">
            <w:pPr>
              <w:jc w:val="center"/>
              <w:rPr>
                <w:rFonts w:cs="Arial"/>
                <w:b/>
                <w:bCs/>
                <w:sz w:val="18"/>
                <w:szCs w:val="18"/>
              </w:rPr>
            </w:pPr>
            <w:r w:rsidRPr="00D053CA">
              <w:rPr>
                <w:rFonts w:cs="Arial"/>
                <w:b/>
                <w:bCs/>
                <w:sz w:val="18"/>
                <w:szCs w:val="18"/>
              </w:rPr>
              <w:t>17.652.270.184</w:t>
            </w:r>
          </w:p>
        </w:tc>
      </w:tr>
      <w:tr w:rsidR="00D053CA" w:rsidRPr="00D053CA" w14:paraId="04BC8C6D" w14:textId="77777777" w:rsidTr="00AA4BBB">
        <w:tc>
          <w:tcPr>
            <w:tcW w:w="0" w:type="auto"/>
            <w:vMerge/>
            <w:vAlign w:val="center"/>
            <w:hideMark/>
          </w:tcPr>
          <w:p w14:paraId="0352715D"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0CD3BAAE" w14:textId="77777777" w:rsidR="00D053CA" w:rsidRPr="00D053CA" w:rsidRDefault="00D053CA" w:rsidP="00AA4BBB">
            <w:pPr>
              <w:jc w:val="center"/>
              <w:rPr>
                <w:rFonts w:cs="Arial"/>
                <w:sz w:val="18"/>
                <w:szCs w:val="18"/>
              </w:rPr>
            </w:pPr>
            <w:r w:rsidRPr="00D053CA">
              <w:rPr>
                <w:rFonts w:cs="Arial"/>
                <w:sz w:val="18"/>
                <w:szCs w:val="18"/>
              </w:rPr>
              <w:t>2.411.188.082</w:t>
            </w:r>
          </w:p>
        </w:tc>
        <w:tc>
          <w:tcPr>
            <w:tcW w:w="0" w:type="auto"/>
            <w:tcMar>
              <w:top w:w="30" w:type="dxa"/>
              <w:left w:w="45" w:type="dxa"/>
              <w:bottom w:w="30" w:type="dxa"/>
              <w:right w:w="45" w:type="dxa"/>
            </w:tcMar>
            <w:vAlign w:val="center"/>
            <w:hideMark/>
          </w:tcPr>
          <w:p w14:paraId="31AD5A0A" w14:textId="77777777" w:rsidR="00D053CA" w:rsidRPr="00D053CA" w:rsidRDefault="00D053CA" w:rsidP="00AA4BBB">
            <w:pPr>
              <w:jc w:val="center"/>
              <w:rPr>
                <w:rFonts w:cs="Arial"/>
                <w:sz w:val="18"/>
                <w:szCs w:val="18"/>
              </w:rPr>
            </w:pPr>
            <w:r w:rsidRPr="00D053CA">
              <w:rPr>
                <w:rFonts w:cs="Arial"/>
                <w:sz w:val="18"/>
                <w:szCs w:val="18"/>
              </w:rPr>
              <w:t>5.146.776.796</w:t>
            </w:r>
          </w:p>
        </w:tc>
        <w:tc>
          <w:tcPr>
            <w:tcW w:w="0" w:type="auto"/>
            <w:tcMar>
              <w:top w:w="30" w:type="dxa"/>
              <w:left w:w="45" w:type="dxa"/>
              <w:bottom w:w="30" w:type="dxa"/>
              <w:right w:w="45" w:type="dxa"/>
            </w:tcMar>
            <w:vAlign w:val="center"/>
            <w:hideMark/>
          </w:tcPr>
          <w:p w14:paraId="6263FE46" w14:textId="77777777" w:rsidR="00D053CA" w:rsidRPr="00D053CA" w:rsidRDefault="00D053CA" w:rsidP="00AA4BBB">
            <w:pPr>
              <w:jc w:val="center"/>
              <w:rPr>
                <w:rFonts w:cs="Arial"/>
                <w:sz w:val="18"/>
                <w:szCs w:val="18"/>
              </w:rPr>
            </w:pPr>
            <w:r w:rsidRPr="00D053CA">
              <w:rPr>
                <w:rFonts w:cs="Arial"/>
                <w:sz w:val="18"/>
                <w:szCs w:val="18"/>
              </w:rPr>
              <w:t>5.352.406.321</w:t>
            </w:r>
          </w:p>
        </w:tc>
        <w:tc>
          <w:tcPr>
            <w:tcW w:w="0" w:type="auto"/>
            <w:tcMar>
              <w:top w:w="30" w:type="dxa"/>
              <w:left w:w="45" w:type="dxa"/>
              <w:bottom w:w="30" w:type="dxa"/>
              <w:right w:w="45" w:type="dxa"/>
            </w:tcMar>
            <w:vAlign w:val="center"/>
            <w:hideMark/>
          </w:tcPr>
          <w:p w14:paraId="311EAD6B" w14:textId="77777777" w:rsidR="00D053CA" w:rsidRPr="00D053CA" w:rsidRDefault="00D053CA" w:rsidP="00AA4BBB">
            <w:pPr>
              <w:jc w:val="center"/>
              <w:rPr>
                <w:rFonts w:cs="Arial"/>
                <w:sz w:val="18"/>
                <w:szCs w:val="18"/>
              </w:rPr>
            </w:pPr>
            <w:r w:rsidRPr="00D053CA">
              <w:rPr>
                <w:rFonts w:cs="Arial"/>
                <w:sz w:val="18"/>
                <w:szCs w:val="18"/>
              </w:rPr>
              <w:t>4.741.898.985</w:t>
            </w:r>
          </w:p>
        </w:tc>
        <w:tc>
          <w:tcPr>
            <w:tcW w:w="0" w:type="auto"/>
            <w:vMerge/>
            <w:vAlign w:val="center"/>
            <w:hideMark/>
          </w:tcPr>
          <w:p w14:paraId="00EFA5E9" w14:textId="77777777" w:rsidR="00D053CA" w:rsidRPr="00D053CA" w:rsidRDefault="00D053CA" w:rsidP="00AA4BBB">
            <w:pPr>
              <w:rPr>
                <w:rFonts w:cs="Arial"/>
                <w:b/>
                <w:bCs/>
                <w:sz w:val="18"/>
                <w:szCs w:val="18"/>
              </w:rPr>
            </w:pPr>
          </w:p>
        </w:tc>
      </w:tr>
      <w:tr w:rsidR="00D053CA" w:rsidRPr="00D053CA" w14:paraId="24C4F6A6" w14:textId="77777777" w:rsidTr="00AA4BBB">
        <w:tc>
          <w:tcPr>
            <w:tcW w:w="0" w:type="auto"/>
            <w:gridSpan w:val="6"/>
            <w:shd w:val="clear" w:color="auto" w:fill="C00000"/>
            <w:tcMar>
              <w:top w:w="30" w:type="dxa"/>
              <w:left w:w="45" w:type="dxa"/>
              <w:bottom w:w="30" w:type="dxa"/>
              <w:right w:w="45" w:type="dxa"/>
            </w:tcMar>
            <w:vAlign w:val="center"/>
            <w:hideMark/>
          </w:tcPr>
          <w:p w14:paraId="5063EE97" w14:textId="77777777" w:rsidR="00D053CA" w:rsidRPr="00D053CA" w:rsidRDefault="00D053CA" w:rsidP="00AA4BBB">
            <w:pPr>
              <w:jc w:val="center"/>
              <w:rPr>
                <w:rFonts w:cs="Arial"/>
                <w:b/>
                <w:bCs/>
                <w:sz w:val="18"/>
                <w:szCs w:val="18"/>
              </w:rPr>
            </w:pPr>
            <w:r w:rsidRPr="00D053CA">
              <w:rPr>
                <w:rFonts w:cs="Arial"/>
                <w:b/>
                <w:bCs/>
                <w:color w:val="FFFFFF" w:themeColor="background1"/>
                <w:sz w:val="18"/>
                <w:szCs w:val="18"/>
              </w:rPr>
              <w:t>Gobierno</w:t>
            </w:r>
          </w:p>
        </w:tc>
      </w:tr>
      <w:tr w:rsidR="00D053CA" w:rsidRPr="00D053CA" w14:paraId="18828EB6" w14:textId="77777777" w:rsidTr="00AA4BBB">
        <w:tc>
          <w:tcPr>
            <w:tcW w:w="0" w:type="auto"/>
            <w:vMerge w:val="restart"/>
            <w:tcMar>
              <w:top w:w="30" w:type="dxa"/>
              <w:left w:w="45" w:type="dxa"/>
              <w:bottom w:w="30" w:type="dxa"/>
              <w:right w:w="45" w:type="dxa"/>
            </w:tcMar>
            <w:vAlign w:val="center"/>
            <w:hideMark/>
          </w:tcPr>
          <w:p w14:paraId="33370616" w14:textId="77777777" w:rsidR="00D053CA" w:rsidRPr="00D053CA" w:rsidRDefault="00D053CA" w:rsidP="00AA4BBB">
            <w:pPr>
              <w:rPr>
                <w:rFonts w:cs="Arial"/>
                <w:sz w:val="18"/>
                <w:szCs w:val="18"/>
              </w:rPr>
            </w:pPr>
            <w:r w:rsidRPr="00D053CA">
              <w:rPr>
                <w:rFonts w:cs="Arial"/>
                <w:sz w:val="18"/>
                <w:szCs w:val="18"/>
              </w:rPr>
              <w:t>Constituir cuatro (4) módulos de atención relacionamiento y política con sentido entre la administración distrital las corporaciones de elección popular y la ciudadanía que responda de manera estratégica oportuna efectiva y resolutiva las solicitudes cotidianas normativas y logísticas para la ciudad con un enfoque de interseccionalidad.</w:t>
            </w:r>
          </w:p>
        </w:tc>
        <w:tc>
          <w:tcPr>
            <w:tcW w:w="0" w:type="auto"/>
            <w:tcMar>
              <w:top w:w="30" w:type="dxa"/>
              <w:left w:w="45" w:type="dxa"/>
              <w:bottom w:w="30" w:type="dxa"/>
              <w:right w:w="45" w:type="dxa"/>
            </w:tcMar>
            <w:vAlign w:val="center"/>
            <w:hideMark/>
          </w:tcPr>
          <w:p w14:paraId="60F15447" w14:textId="4F052E73" w:rsidR="00D053CA" w:rsidRPr="00D053CA" w:rsidRDefault="00D053CA" w:rsidP="00AA4BBB">
            <w:pPr>
              <w:jc w:val="center"/>
              <w:rPr>
                <w:rFonts w:cs="Arial"/>
                <w:sz w:val="18"/>
                <w:szCs w:val="18"/>
              </w:rPr>
            </w:pPr>
            <w:r w:rsidRPr="00D053CA">
              <w:rPr>
                <w:rFonts w:cs="Arial"/>
                <w:sz w:val="18"/>
                <w:szCs w:val="18"/>
              </w:rPr>
              <w:t>100%</w:t>
            </w:r>
          </w:p>
        </w:tc>
        <w:tc>
          <w:tcPr>
            <w:tcW w:w="0" w:type="auto"/>
            <w:tcMar>
              <w:top w:w="30" w:type="dxa"/>
              <w:left w:w="45" w:type="dxa"/>
              <w:bottom w:w="30" w:type="dxa"/>
              <w:right w:w="45" w:type="dxa"/>
            </w:tcMar>
            <w:vAlign w:val="center"/>
            <w:hideMark/>
          </w:tcPr>
          <w:p w14:paraId="253B2347" w14:textId="5AB1DC58" w:rsidR="00D053CA" w:rsidRPr="00D053CA" w:rsidRDefault="00F80612" w:rsidP="00AA4BBB">
            <w:pPr>
              <w:jc w:val="center"/>
              <w:rPr>
                <w:rFonts w:cs="Arial"/>
                <w:sz w:val="18"/>
                <w:szCs w:val="18"/>
              </w:rPr>
            </w:pPr>
            <w:r w:rsidRPr="00D053CA">
              <w:rPr>
                <w:rFonts w:cs="Arial"/>
                <w:sz w:val="18"/>
                <w:szCs w:val="18"/>
              </w:rPr>
              <w:t>100%</w:t>
            </w:r>
          </w:p>
        </w:tc>
        <w:tc>
          <w:tcPr>
            <w:tcW w:w="0" w:type="auto"/>
            <w:tcMar>
              <w:top w:w="30" w:type="dxa"/>
              <w:left w:w="45" w:type="dxa"/>
              <w:bottom w:w="30" w:type="dxa"/>
              <w:right w:w="45" w:type="dxa"/>
            </w:tcMar>
            <w:vAlign w:val="center"/>
            <w:hideMark/>
          </w:tcPr>
          <w:p w14:paraId="68C51B74" w14:textId="79EEF908" w:rsidR="00D053CA" w:rsidRPr="00D053CA" w:rsidRDefault="00F80612" w:rsidP="00AA4BBB">
            <w:pPr>
              <w:jc w:val="center"/>
              <w:rPr>
                <w:rFonts w:cs="Arial"/>
                <w:sz w:val="18"/>
                <w:szCs w:val="18"/>
              </w:rPr>
            </w:pPr>
            <w:r w:rsidRPr="00D053CA">
              <w:rPr>
                <w:rFonts w:cs="Arial"/>
                <w:sz w:val="18"/>
                <w:szCs w:val="18"/>
              </w:rPr>
              <w:t>100%</w:t>
            </w:r>
          </w:p>
        </w:tc>
        <w:tc>
          <w:tcPr>
            <w:tcW w:w="0" w:type="auto"/>
            <w:tcMar>
              <w:top w:w="30" w:type="dxa"/>
              <w:left w:w="45" w:type="dxa"/>
              <w:bottom w:w="30" w:type="dxa"/>
              <w:right w:w="45" w:type="dxa"/>
            </w:tcMar>
            <w:vAlign w:val="center"/>
            <w:hideMark/>
          </w:tcPr>
          <w:p w14:paraId="6CBB27F9" w14:textId="7C02CEC3" w:rsidR="00D053CA" w:rsidRPr="00D053CA" w:rsidRDefault="00F80612" w:rsidP="00AA4BBB">
            <w:pPr>
              <w:jc w:val="center"/>
              <w:rPr>
                <w:rFonts w:cs="Arial"/>
                <w:sz w:val="18"/>
                <w:szCs w:val="18"/>
              </w:rPr>
            </w:pPr>
            <w:r w:rsidRPr="00D053CA">
              <w:rPr>
                <w:rFonts w:cs="Arial"/>
                <w:sz w:val="18"/>
                <w:szCs w:val="18"/>
              </w:rPr>
              <w:t>100%</w:t>
            </w:r>
          </w:p>
        </w:tc>
        <w:tc>
          <w:tcPr>
            <w:tcW w:w="0" w:type="auto"/>
            <w:vMerge w:val="restart"/>
            <w:tcMar>
              <w:top w:w="30" w:type="dxa"/>
              <w:left w:w="45" w:type="dxa"/>
              <w:bottom w:w="30" w:type="dxa"/>
              <w:right w:w="45" w:type="dxa"/>
            </w:tcMar>
            <w:vAlign w:val="center"/>
            <w:hideMark/>
          </w:tcPr>
          <w:p w14:paraId="62F97ECE" w14:textId="77777777" w:rsidR="00D053CA" w:rsidRPr="00D053CA" w:rsidRDefault="00D053CA" w:rsidP="00AA4BBB">
            <w:pPr>
              <w:jc w:val="center"/>
              <w:rPr>
                <w:rFonts w:cs="Arial"/>
                <w:b/>
                <w:bCs/>
                <w:sz w:val="18"/>
                <w:szCs w:val="18"/>
              </w:rPr>
            </w:pPr>
            <w:r w:rsidRPr="00D053CA">
              <w:rPr>
                <w:rFonts w:cs="Arial"/>
                <w:b/>
                <w:bCs/>
                <w:sz w:val="18"/>
                <w:szCs w:val="18"/>
              </w:rPr>
              <w:t>7.742.364.785</w:t>
            </w:r>
          </w:p>
        </w:tc>
      </w:tr>
      <w:tr w:rsidR="00D053CA" w:rsidRPr="00D053CA" w14:paraId="72EF229E" w14:textId="77777777" w:rsidTr="00AA4BBB">
        <w:tc>
          <w:tcPr>
            <w:tcW w:w="0" w:type="auto"/>
            <w:vMerge/>
            <w:vAlign w:val="center"/>
            <w:hideMark/>
          </w:tcPr>
          <w:p w14:paraId="63A9A8D8"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7EBF404E" w14:textId="77777777" w:rsidR="00D053CA" w:rsidRPr="00D053CA" w:rsidRDefault="00D053CA" w:rsidP="00AA4BBB">
            <w:pPr>
              <w:jc w:val="center"/>
              <w:rPr>
                <w:rFonts w:cs="Arial"/>
                <w:sz w:val="18"/>
                <w:szCs w:val="18"/>
              </w:rPr>
            </w:pPr>
            <w:r w:rsidRPr="00D053CA">
              <w:rPr>
                <w:rFonts w:cs="Arial"/>
                <w:sz w:val="18"/>
                <w:szCs w:val="18"/>
              </w:rPr>
              <w:t>172.000.000</w:t>
            </w:r>
          </w:p>
        </w:tc>
        <w:tc>
          <w:tcPr>
            <w:tcW w:w="0" w:type="auto"/>
            <w:tcMar>
              <w:top w:w="30" w:type="dxa"/>
              <w:left w:w="45" w:type="dxa"/>
              <w:bottom w:w="30" w:type="dxa"/>
              <w:right w:w="45" w:type="dxa"/>
            </w:tcMar>
            <w:vAlign w:val="center"/>
            <w:hideMark/>
          </w:tcPr>
          <w:p w14:paraId="0A12E860" w14:textId="77777777" w:rsidR="00D053CA" w:rsidRPr="00D053CA" w:rsidRDefault="00D053CA" w:rsidP="00AA4BBB">
            <w:pPr>
              <w:jc w:val="center"/>
              <w:rPr>
                <w:rFonts w:cs="Arial"/>
                <w:sz w:val="18"/>
                <w:szCs w:val="18"/>
              </w:rPr>
            </w:pPr>
            <w:r w:rsidRPr="00D053CA">
              <w:rPr>
                <w:rFonts w:cs="Arial"/>
                <w:sz w:val="18"/>
                <w:szCs w:val="18"/>
              </w:rPr>
              <w:t>2.310.679.612</w:t>
            </w:r>
          </w:p>
        </w:tc>
        <w:tc>
          <w:tcPr>
            <w:tcW w:w="0" w:type="auto"/>
            <w:tcMar>
              <w:top w:w="30" w:type="dxa"/>
              <w:left w:w="45" w:type="dxa"/>
              <w:bottom w:w="30" w:type="dxa"/>
              <w:right w:w="45" w:type="dxa"/>
            </w:tcMar>
            <w:vAlign w:val="center"/>
            <w:hideMark/>
          </w:tcPr>
          <w:p w14:paraId="12695E0E" w14:textId="77777777" w:rsidR="00D053CA" w:rsidRPr="00D053CA" w:rsidRDefault="00D053CA" w:rsidP="00AA4BBB">
            <w:pPr>
              <w:jc w:val="center"/>
              <w:rPr>
                <w:rFonts w:cs="Arial"/>
                <w:sz w:val="18"/>
                <w:szCs w:val="18"/>
              </w:rPr>
            </w:pPr>
            <w:r w:rsidRPr="00D053CA">
              <w:rPr>
                <w:rFonts w:cs="Arial"/>
                <w:sz w:val="18"/>
                <w:szCs w:val="18"/>
              </w:rPr>
              <w:t>2.808.935.809</w:t>
            </w:r>
          </w:p>
        </w:tc>
        <w:tc>
          <w:tcPr>
            <w:tcW w:w="0" w:type="auto"/>
            <w:tcMar>
              <w:top w:w="30" w:type="dxa"/>
              <w:left w:w="45" w:type="dxa"/>
              <w:bottom w:w="30" w:type="dxa"/>
              <w:right w:w="45" w:type="dxa"/>
            </w:tcMar>
            <w:vAlign w:val="center"/>
            <w:hideMark/>
          </w:tcPr>
          <w:p w14:paraId="6F49F4E2" w14:textId="77777777" w:rsidR="00D053CA" w:rsidRPr="00D053CA" w:rsidRDefault="00D053CA" w:rsidP="00AA4BBB">
            <w:pPr>
              <w:jc w:val="center"/>
              <w:rPr>
                <w:rFonts w:cs="Arial"/>
                <w:sz w:val="18"/>
                <w:szCs w:val="18"/>
              </w:rPr>
            </w:pPr>
            <w:r w:rsidRPr="00D053CA">
              <w:rPr>
                <w:rFonts w:cs="Arial"/>
                <w:sz w:val="18"/>
                <w:szCs w:val="18"/>
              </w:rPr>
              <w:t>2.450.749.364</w:t>
            </w:r>
          </w:p>
        </w:tc>
        <w:tc>
          <w:tcPr>
            <w:tcW w:w="0" w:type="auto"/>
            <w:vMerge/>
            <w:vAlign w:val="center"/>
            <w:hideMark/>
          </w:tcPr>
          <w:p w14:paraId="03446BFB" w14:textId="77777777" w:rsidR="00D053CA" w:rsidRPr="00D053CA" w:rsidRDefault="00D053CA" w:rsidP="00AA4BBB">
            <w:pPr>
              <w:rPr>
                <w:rFonts w:cs="Arial"/>
                <w:b/>
                <w:bCs/>
                <w:sz w:val="18"/>
                <w:szCs w:val="18"/>
              </w:rPr>
            </w:pPr>
          </w:p>
        </w:tc>
      </w:tr>
      <w:tr w:rsidR="00D053CA" w:rsidRPr="00D053CA" w14:paraId="016E7DAC" w14:textId="77777777" w:rsidTr="00AA4BBB">
        <w:tc>
          <w:tcPr>
            <w:tcW w:w="0" w:type="auto"/>
            <w:vMerge w:val="restart"/>
            <w:tcMar>
              <w:top w:w="30" w:type="dxa"/>
              <w:left w:w="45" w:type="dxa"/>
              <w:bottom w:w="30" w:type="dxa"/>
              <w:right w:w="45" w:type="dxa"/>
            </w:tcMar>
            <w:vAlign w:val="center"/>
            <w:hideMark/>
          </w:tcPr>
          <w:p w14:paraId="5B100E92" w14:textId="77777777" w:rsidR="00D053CA" w:rsidRPr="00D053CA" w:rsidRDefault="00D053CA" w:rsidP="00AA4BBB">
            <w:pPr>
              <w:rPr>
                <w:rFonts w:cs="Arial"/>
                <w:sz w:val="18"/>
                <w:szCs w:val="18"/>
              </w:rPr>
            </w:pPr>
            <w:r w:rsidRPr="00D053CA">
              <w:rPr>
                <w:rFonts w:cs="Arial"/>
                <w:sz w:val="18"/>
                <w:szCs w:val="18"/>
              </w:rPr>
              <w:t>Ejecutar el 100% anual de las acciones que garanticen el cumplimiento de los productos en las Políticas Públicas Distritales a cargo de IDPAC con enfoque de género poblacional y diferencial.</w:t>
            </w:r>
          </w:p>
        </w:tc>
        <w:tc>
          <w:tcPr>
            <w:tcW w:w="0" w:type="auto"/>
            <w:tcMar>
              <w:top w:w="30" w:type="dxa"/>
              <w:left w:w="45" w:type="dxa"/>
              <w:bottom w:w="30" w:type="dxa"/>
              <w:right w:w="45" w:type="dxa"/>
            </w:tcMar>
            <w:vAlign w:val="center"/>
            <w:hideMark/>
          </w:tcPr>
          <w:p w14:paraId="120BDBAC"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tcMar>
              <w:top w:w="30" w:type="dxa"/>
              <w:left w:w="45" w:type="dxa"/>
              <w:bottom w:w="30" w:type="dxa"/>
              <w:right w:w="45" w:type="dxa"/>
            </w:tcMar>
            <w:vAlign w:val="center"/>
            <w:hideMark/>
          </w:tcPr>
          <w:p w14:paraId="6BF706C9"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tcMar>
              <w:top w:w="30" w:type="dxa"/>
              <w:left w:w="45" w:type="dxa"/>
              <w:bottom w:w="30" w:type="dxa"/>
              <w:right w:w="45" w:type="dxa"/>
            </w:tcMar>
            <w:vAlign w:val="center"/>
            <w:hideMark/>
          </w:tcPr>
          <w:p w14:paraId="7ECC3AC9"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tcMar>
              <w:top w:w="30" w:type="dxa"/>
              <w:left w:w="45" w:type="dxa"/>
              <w:bottom w:w="30" w:type="dxa"/>
              <w:right w:w="45" w:type="dxa"/>
            </w:tcMar>
            <w:vAlign w:val="center"/>
            <w:hideMark/>
          </w:tcPr>
          <w:p w14:paraId="7BF83544"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vMerge w:val="restart"/>
            <w:tcMar>
              <w:top w:w="30" w:type="dxa"/>
              <w:left w:w="45" w:type="dxa"/>
              <w:bottom w:w="30" w:type="dxa"/>
              <w:right w:w="45" w:type="dxa"/>
            </w:tcMar>
            <w:vAlign w:val="center"/>
            <w:hideMark/>
          </w:tcPr>
          <w:p w14:paraId="7C206278" w14:textId="77777777" w:rsidR="00D053CA" w:rsidRPr="00D053CA" w:rsidRDefault="00D053CA" w:rsidP="00AA4BBB">
            <w:pPr>
              <w:jc w:val="center"/>
              <w:rPr>
                <w:rFonts w:cs="Arial"/>
                <w:b/>
                <w:bCs/>
                <w:sz w:val="18"/>
                <w:szCs w:val="18"/>
              </w:rPr>
            </w:pPr>
            <w:r w:rsidRPr="00D053CA">
              <w:rPr>
                <w:rFonts w:cs="Arial"/>
                <w:b/>
                <w:bCs/>
                <w:sz w:val="18"/>
                <w:szCs w:val="18"/>
              </w:rPr>
              <w:t>5.891.761.013</w:t>
            </w:r>
          </w:p>
        </w:tc>
      </w:tr>
      <w:tr w:rsidR="00D053CA" w:rsidRPr="00D053CA" w14:paraId="350C3D22" w14:textId="77777777" w:rsidTr="00AA4BBB">
        <w:tc>
          <w:tcPr>
            <w:tcW w:w="0" w:type="auto"/>
            <w:vMerge/>
            <w:vAlign w:val="center"/>
            <w:hideMark/>
          </w:tcPr>
          <w:p w14:paraId="06D7EE81"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24E57520" w14:textId="77777777" w:rsidR="00D053CA" w:rsidRPr="00D053CA" w:rsidRDefault="00D053CA" w:rsidP="00AA4BBB">
            <w:pPr>
              <w:jc w:val="center"/>
              <w:rPr>
                <w:rFonts w:cs="Arial"/>
                <w:sz w:val="18"/>
                <w:szCs w:val="18"/>
              </w:rPr>
            </w:pPr>
            <w:r w:rsidRPr="00D053CA">
              <w:rPr>
                <w:rFonts w:cs="Arial"/>
                <w:sz w:val="18"/>
                <w:szCs w:val="18"/>
              </w:rPr>
              <w:t>618.400.000</w:t>
            </w:r>
          </w:p>
        </w:tc>
        <w:tc>
          <w:tcPr>
            <w:tcW w:w="0" w:type="auto"/>
            <w:tcMar>
              <w:top w:w="30" w:type="dxa"/>
              <w:left w:w="45" w:type="dxa"/>
              <w:bottom w:w="30" w:type="dxa"/>
              <w:right w:w="45" w:type="dxa"/>
            </w:tcMar>
            <w:vAlign w:val="center"/>
            <w:hideMark/>
          </w:tcPr>
          <w:p w14:paraId="11CB1CB0" w14:textId="77777777" w:rsidR="00D053CA" w:rsidRPr="00D053CA" w:rsidRDefault="00D053CA" w:rsidP="00AA4BBB">
            <w:pPr>
              <w:jc w:val="center"/>
              <w:rPr>
                <w:rFonts w:cs="Arial"/>
                <w:sz w:val="18"/>
                <w:szCs w:val="18"/>
              </w:rPr>
            </w:pPr>
            <w:r w:rsidRPr="00D053CA">
              <w:rPr>
                <w:rFonts w:cs="Arial"/>
                <w:sz w:val="18"/>
                <w:szCs w:val="18"/>
              </w:rPr>
              <w:t>2.101.359.223</w:t>
            </w:r>
          </w:p>
        </w:tc>
        <w:tc>
          <w:tcPr>
            <w:tcW w:w="0" w:type="auto"/>
            <w:tcMar>
              <w:top w:w="30" w:type="dxa"/>
              <w:left w:w="45" w:type="dxa"/>
              <w:bottom w:w="30" w:type="dxa"/>
              <w:right w:w="45" w:type="dxa"/>
            </w:tcMar>
            <w:vAlign w:val="center"/>
            <w:hideMark/>
          </w:tcPr>
          <w:p w14:paraId="381855C8" w14:textId="77777777" w:rsidR="00D053CA" w:rsidRPr="00D053CA" w:rsidRDefault="00D053CA" w:rsidP="00AA4BBB">
            <w:pPr>
              <w:jc w:val="center"/>
              <w:rPr>
                <w:rFonts w:cs="Arial"/>
                <w:sz w:val="18"/>
                <w:szCs w:val="18"/>
              </w:rPr>
            </w:pPr>
            <w:r w:rsidRPr="00D053CA">
              <w:rPr>
                <w:rFonts w:cs="Arial"/>
                <w:sz w:val="18"/>
                <w:szCs w:val="18"/>
              </w:rPr>
              <w:t>2.040.154.586</w:t>
            </w:r>
          </w:p>
        </w:tc>
        <w:tc>
          <w:tcPr>
            <w:tcW w:w="0" w:type="auto"/>
            <w:tcMar>
              <w:top w:w="30" w:type="dxa"/>
              <w:left w:w="45" w:type="dxa"/>
              <w:bottom w:w="30" w:type="dxa"/>
              <w:right w:w="45" w:type="dxa"/>
            </w:tcMar>
            <w:vAlign w:val="center"/>
            <w:hideMark/>
          </w:tcPr>
          <w:p w14:paraId="189FA094" w14:textId="77777777" w:rsidR="00D053CA" w:rsidRPr="00D053CA" w:rsidRDefault="00D053CA" w:rsidP="00AA4BBB">
            <w:pPr>
              <w:jc w:val="center"/>
              <w:rPr>
                <w:rFonts w:cs="Arial"/>
                <w:sz w:val="18"/>
                <w:szCs w:val="18"/>
              </w:rPr>
            </w:pPr>
            <w:r w:rsidRPr="00D053CA">
              <w:rPr>
                <w:rFonts w:cs="Arial"/>
                <w:sz w:val="18"/>
                <w:szCs w:val="18"/>
              </w:rPr>
              <w:t>1.131.847.204</w:t>
            </w:r>
          </w:p>
        </w:tc>
        <w:tc>
          <w:tcPr>
            <w:tcW w:w="0" w:type="auto"/>
            <w:vMerge/>
            <w:vAlign w:val="center"/>
            <w:hideMark/>
          </w:tcPr>
          <w:p w14:paraId="3EE01180" w14:textId="77777777" w:rsidR="00D053CA" w:rsidRPr="00D053CA" w:rsidRDefault="00D053CA" w:rsidP="00AA4BBB">
            <w:pPr>
              <w:rPr>
                <w:rFonts w:cs="Arial"/>
                <w:b/>
                <w:bCs/>
                <w:sz w:val="18"/>
                <w:szCs w:val="18"/>
              </w:rPr>
            </w:pPr>
          </w:p>
        </w:tc>
      </w:tr>
      <w:tr w:rsidR="00D053CA" w:rsidRPr="00D053CA" w14:paraId="1144A68C" w14:textId="77777777" w:rsidTr="00AA4BBB">
        <w:tc>
          <w:tcPr>
            <w:tcW w:w="0" w:type="auto"/>
            <w:vMerge w:val="restart"/>
            <w:tcMar>
              <w:top w:w="30" w:type="dxa"/>
              <w:left w:w="45" w:type="dxa"/>
              <w:bottom w:w="30" w:type="dxa"/>
              <w:right w:w="45" w:type="dxa"/>
            </w:tcMar>
            <w:vAlign w:val="center"/>
            <w:hideMark/>
          </w:tcPr>
          <w:p w14:paraId="31920ED4" w14:textId="77777777" w:rsidR="00D053CA" w:rsidRPr="00D053CA" w:rsidRDefault="00D053CA" w:rsidP="00AA4BBB">
            <w:pPr>
              <w:rPr>
                <w:rFonts w:cs="Arial"/>
                <w:sz w:val="18"/>
                <w:szCs w:val="18"/>
              </w:rPr>
            </w:pPr>
            <w:r w:rsidRPr="00D053CA">
              <w:rPr>
                <w:rFonts w:cs="Arial"/>
                <w:sz w:val="18"/>
                <w:szCs w:val="18"/>
              </w:rPr>
              <w:t xml:space="preserve">Fomentar la participación ciudadana y el ambiente habilitante en la construcción de lo público, en articulación con las Organizaciones de la </w:t>
            </w:r>
            <w:r w:rsidRPr="00D053CA">
              <w:rPr>
                <w:rFonts w:cs="Arial"/>
                <w:sz w:val="18"/>
                <w:szCs w:val="18"/>
              </w:rPr>
              <w:lastRenderedPageBreak/>
              <w:t>Sociedad Civil (OSC), Organismos Internacionales, Fondos de Desarrollo Local, entidades Distritales y del orden Nacional, empleando instrumentos técnicos, jurídicos y financieros.</w:t>
            </w:r>
          </w:p>
        </w:tc>
        <w:tc>
          <w:tcPr>
            <w:tcW w:w="0" w:type="auto"/>
            <w:tcMar>
              <w:top w:w="30" w:type="dxa"/>
              <w:left w:w="45" w:type="dxa"/>
              <w:bottom w:w="30" w:type="dxa"/>
              <w:right w:w="45" w:type="dxa"/>
            </w:tcMar>
            <w:vAlign w:val="center"/>
            <w:hideMark/>
          </w:tcPr>
          <w:p w14:paraId="4B4FADD0" w14:textId="77777777" w:rsidR="00D053CA" w:rsidRPr="00D053CA" w:rsidRDefault="00D053CA" w:rsidP="00AA4BBB">
            <w:pPr>
              <w:jc w:val="center"/>
              <w:rPr>
                <w:rFonts w:cs="Arial"/>
                <w:sz w:val="18"/>
                <w:szCs w:val="18"/>
              </w:rPr>
            </w:pPr>
            <w:r w:rsidRPr="00D053CA">
              <w:rPr>
                <w:rFonts w:cs="Arial"/>
                <w:sz w:val="18"/>
                <w:szCs w:val="18"/>
              </w:rPr>
              <w:lastRenderedPageBreak/>
              <w:t>155</w:t>
            </w:r>
          </w:p>
        </w:tc>
        <w:tc>
          <w:tcPr>
            <w:tcW w:w="0" w:type="auto"/>
            <w:tcMar>
              <w:top w:w="30" w:type="dxa"/>
              <w:left w:w="45" w:type="dxa"/>
              <w:bottom w:w="30" w:type="dxa"/>
              <w:right w:w="45" w:type="dxa"/>
            </w:tcMar>
            <w:vAlign w:val="center"/>
            <w:hideMark/>
          </w:tcPr>
          <w:p w14:paraId="4ACBD363" w14:textId="77777777" w:rsidR="00D053CA" w:rsidRPr="00D053CA" w:rsidRDefault="00D053CA" w:rsidP="00AA4BBB">
            <w:pPr>
              <w:jc w:val="center"/>
              <w:rPr>
                <w:rFonts w:cs="Arial"/>
                <w:sz w:val="18"/>
                <w:szCs w:val="18"/>
              </w:rPr>
            </w:pPr>
            <w:r w:rsidRPr="00D053CA">
              <w:rPr>
                <w:rFonts w:cs="Arial"/>
                <w:sz w:val="18"/>
                <w:szCs w:val="18"/>
              </w:rPr>
              <w:t>542</w:t>
            </w:r>
          </w:p>
        </w:tc>
        <w:tc>
          <w:tcPr>
            <w:tcW w:w="0" w:type="auto"/>
            <w:tcMar>
              <w:top w:w="30" w:type="dxa"/>
              <w:left w:w="45" w:type="dxa"/>
              <w:bottom w:w="30" w:type="dxa"/>
              <w:right w:w="45" w:type="dxa"/>
            </w:tcMar>
            <w:vAlign w:val="center"/>
            <w:hideMark/>
          </w:tcPr>
          <w:p w14:paraId="08795A1B" w14:textId="77777777" w:rsidR="00D053CA" w:rsidRPr="00D053CA" w:rsidRDefault="00D053CA" w:rsidP="00AA4BBB">
            <w:pPr>
              <w:jc w:val="center"/>
              <w:rPr>
                <w:rFonts w:cs="Arial"/>
                <w:sz w:val="18"/>
                <w:szCs w:val="18"/>
              </w:rPr>
            </w:pPr>
            <w:r w:rsidRPr="00D053CA">
              <w:rPr>
                <w:rFonts w:cs="Arial"/>
                <w:sz w:val="18"/>
                <w:szCs w:val="18"/>
              </w:rPr>
              <w:t>542</w:t>
            </w:r>
          </w:p>
        </w:tc>
        <w:tc>
          <w:tcPr>
            <w:tcW w:w="0" w:type="auto"/>
            <w:tcMar>
              <w:top w:w="30" w:type="dxa"/>
              <w:left w:w="45" w:type="dxa"/>
              <w:bottom w:w="30" w:type="dxa"/>
              <w:right w:w="45" w:type="dxa"/>
            </w:tcMar>
            <w:vAlign w:val="center"/>
            <w:hideMark/>
          </w:tcPr>
          <w:p w14:paraId="328268D2" w14:textId="77777777" w:rsidR="00D053CA" w:rsidRPr="00D053CA" w:rsidRDefault="00D053CA" w:rsidP="00AA4BBB">
            <w:pPr>
              <w:jc w:val="center"/>
              <w:rPr>
                <w:rFonts w:cs="Arial"/>
                <w:sz w:val="18"/>
                <w:szCs w:val="18"/>
              </w:rPr>
            </w:pPr>
            <w:r w:rsidRPr="00D053CA">
              <w:rPr>
                <w:rFonts w:cs="Arial"/>
                <w:sz w:val="18"/>
                <w:szCs w:val="18"/>
              </w:rPr>
              <w:t>311</w:t>
            </w:r>
          </w:p>
        </w:tc>
        <w:tc>
          <w:tcPr>
            <w:tcW w:w="0" w:type="auto"/>
            <w:vMerge w:val="restart"/>
            <w:tcMar>
              <w:top w:w="30" w:type="dxa"/>
              <w:left w:w="45" w:type="dxa"/>
              <w:bottom w:w="30" w:type="dxa"/>
              <w:right w:w="45" w:type="dxa"/>
            </w:tcMar>
            <w:vAlign w:val="center"/>
            <w:hideMark/>
          </w:tcPr>
          <w:p w14:paraId="4FFBFDCE" w14:textId="77777777" w:rsidR="00D053CA" w:rsidRPr="00D053CA" w:rsidRDefault="00D053CA" w:rsidP="00AA4BBB">
            <w:pPr>
              <w:jc w:val="center"/>
              <w:rPr>
                <w:rFonts w:cs="Arial"/>
                <w:b/>
                <w:bCs/>
                <w:sz w:val="18"/>
                <w:szCs w:val="18"/>
              </w:rPr>
            </w:pPr>
            <w:r w:rsidRPr="00D053CA">
              <w:rPr>
                <w:rFonts w:cs="Arial"/>
                <w:b/>
                <w:bCs/>
                <w:sz w:val="18"/>
                <w:szCs w:val="18"/>
              </w:rPr>
              <w:t>17.721.014.691</w:t>
            </w:r>
          </w:p>
        </w:tc>
      </w:tr>
      <w:tr w:rsidR="00D053CA" w:rsidRPr="00D053CA" w14:paraId="0CF0BBC1" w14:textId="77777777" w:rsidTr="00AA4BBB">
        <w:tc>
          <w:tcPr>
            <w:tcW w:w="0" w:type="auto"/>
            <w:vMerge/>
            <w:vAlign w:val="center"/>
            <w:hideMark/>
          </w:tcPr>
          <w:p w14:paraId="11B6131E"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1108199A" w14:textId="77777777" w:rsidR="00D053CA" w:rsidRPr="00D053CA" w:rsidRDefault="00D053CA" w:rsidP="00AA4BBB">
            <w:pPr>
              <w:jc w:val="center"/>
              <w:rPr>
                <w:rFonts w:cs="Arial"/>
                <w:sz w:val="18"/>
                <w:szCs w:val="18"/>
              </w:rPr>
            </w:pPr>
            <w:r w:rsidRPr="00D053CA">
              <w:rPr>
                <w:rFonts w:cs="Arial"/>
                <w:sz w:val="18"/>
                <w:szCs w:val="18"/>
              </w:rPr>
              <w:t>1.860.000.000</w:t>
            </w:r>
          </w:p>
        </w:tc>
        <w:tc>
          <w:tcPr>
            <w:tcW w:w="0" w:type="auto"/>
            <w:tcMar>
              <w:top w:w="30" w:type="dxa"/>
              <w:left w:w="45" w:type="dxa"/>
              <w:bottom w:w="30" w:type="dxa"/>
              <w:right w:w="45" w:type="dxa"/>
            </w:tcMar>
            <w:vAlign w:val="center"/>
            <w:hideMark/>
          </w:tcPr>
          <w:p w14:paraId="7ECAE928" w14:textId="77777777" w:rsidR="00D053CA" w:rsidRPr="00D053CA" w:rsidRDefault="00D053CA" w:rsidP="00AA4BBB">
            <w:pPr>
              <w:jc w:val="center"/>
              <w:rPr>
                <w:rFonts w:cs="Arial"/>
                <w:sz w:val="18"/>
                <w:szCs w:val="18"/>
              </w:rPr>
            </w:pPr>
            <w:r w:rsidRPr="00D053CA">
              <w:rPr>
                <w:rFonts w:cs="Arial"/>
                <w:sz w:val="18"/>
                <w:szCs w:val="18"/>
              </w:rPr>
              <w:t>6.320.388.350</w:t>
            </w:r>
          </w:p>
        </w:tc>
        <w:tc>
          <w:tcPr>
            <w:tcW w:w="0" w:type="auto"/>
            <w:tcMar>
              <w:top w:w="30" w:type="dxa"/>
              <w:left w:w="45" w:type="dxa"/>
              <w:bottom w:w="30" w:type="dxa"/>
              <w:right w:w="45" w:type="dxa"/>
            </w:tcMar>
            <w:vAlign w:val="center"/>
            <w:hideMark/>
          </w:tcPr>
          <w:p w14:paraId="495F96EC" w14:textId="77777777" w:rsidR="00D053CA" w:rsidRPr="00D053CA" w:rsidRDefault="00D053CA" w:rsidP="00AA4BBB">
            <w:pPr>
              <w:jc w:val="center"/>
              <w:rPr>
                <w:rFonts w:cs="Arial"/>
                <w:sz w:val="18"/>
                <w:szCs w:val="18"/>
              </w:rPr>
            </w:pPr>
            <w:r w:rsidRPr="00D053CA">
              <w:rPr>
                <w:rFonts w:cs="Arial"/>
                <w:sz w:val="18"/>
                <w:szCs w:val="18"/>
              </w:rPr>
              <w:t>6.136.299.368</w:t>
            </w:r>
          </w:p>
        </w:tc>
        <w:tc>
          <w:tcPr>
            <w:tcW w:w="0" w:type="auto"/>
            <w:tcMar>
              <w:top w:w="30" w:type="dxa"/>
              <w:left w:w="45" w:type="dxa"/>
              <w:bottom w:w="30" w:type="dxa"/>
              <w:right w:w="45" w:type="dxa"/>
            </w:tcMar>
            <w:vAlign w:val="center"/>
            <w:hideMark/>
          </w:tcPr>
          <w:p w14:paraId="732DAB15" w14:textId="77777777" w:rsidR="00D053CA" w:rsidRPr="00D053CA" w:rsidRDefault="00D053CA" w:rsidP="00AA4BBB">
            <w:pPr>
              <w:jc w:val="center"/>
              <w:rPr>
                <w:rFonts w:cs="Arial"/>
                <w:sz w:val="18"/>
                <w:szCs w:val="18"/>
              </w:rPr>
            </w:pPr>
            <w:r w:rsidRPr="00D053CA">
              <w:rPr>
                <w:rFonts w:cs="Arial"/>
                <w:sz w:val="18"/>
                <w:szCs w:val="18"/>
              </w:rPr>
              <w:t>3.404.326.973</w:t>
            </w:r>
          </w:p>
        </w:tc>
        <w:tc>
          <w:tcPr>
            <w:tcW w:w="0" w:type="auto"/>
            <w:vMerge/>
            <w:vAlign w:val="center"/>
            <w:hideMark/>
          </w:tcPr>
          <w:p w14:paraId="3A092C2E" w14:textId="77777777" w:rsidR="00D053CA" w:rsidRPr="00D053CA" w:rsidRDefault="00D053CA" w:rsidP="00AA4BBB">
            <w:pPr>
              <w:rPr>
                <w:rFonts w:cs="Arial"/>
                <w:b/>
                <w:bCs/>
                <w:sz w:val="18"/>
                <w:szCs w:val="18"/>
              </w:rPr>
            </w:pPr>
          </w:p>
        </w:tc>
      </w:tr>
      <w:tr w:rsidR="00D053CA" w:rsidRPr="00D053CA" w14:paraId="3FBBCCBE" w14:textId="77777777" w:rsidTr="00AA4BBB">
        <w:tc>
          <w:tcPr>
            <w:tcW w:w="0" w:type="auto"/>
            <w:vMerge w:val="restart"/>
            <w:tcMar>
              <w:top w:w="30" w:type="dxa"/>
              <w:left w:w="45" w:type="dxa"/>
              <w:bottom w:w="30" w:type="dxa"/>
              <w:right w:w="45" w:type="dxa"/>
            </w:tcMar>
            <w:vAlign w:val="center"/>
            <w:hideMark/>
          </w:tcPr>
          <w:p w14:paraId="0A5F82D4" w14:textId="77777777" w:rsidR="00D053CA" w:rsidRPr="00D053CA" w:rsidRDefault="00D053CA" w:rsidP="00AA4BBB">
            <w:pPr>
              <w:rPr>
                <w:rFonts w:cs="Arial"/>
                <w:sz w:val="18"/>
                <w:szCs w:val="18"/>
              </w:rPr>
            </w:pPr>
            <w:r w:rsidRPr="00D053CA">
              <w:rPr>
                <w:rFonts w:cs="Arial"/>
                <w:sz w:val="18"/>
                <w:szCs w:val="18"/>
              </w:rPr>
              <w:t>Fortalecer las competencias ciudadanas de 120.000 personas en sus diferencias diversidades y formas organizativas para la participación incidente y la construcción de acuerdos que robustezcan el tejido social incorporando enfoque de género de género diferencial y poblacional.</w:t>
            </w:r>
          </w:p>
        </w:tc>
        <w:tc>
          <w:tcPr>
            <w:tcW w:w="0" w:type="auto"/>
            <w:tcMar>
              <w:top w:w="30" w:type="dxa"/>
              <w:left w:w="45" w:type="dxa"/>
              <w:bottom w:w="30" w:type="dxa"/>
              <w:right w:w="45" w:type="dxa"/>
            </w:tcMar>
            <w:vAlign w:val="center"/>
            <w:hideMark/>
          </w:tcPr>
          <w:p w14:paraId="0D2ABCD6" w14:textId="77777777" w:rsidR="00D053CA" w:rsidRPr="00D053CA" w:rsidRDefault="00D053CA" w:rsidP="00AA4BBB">
            <w:pPr>
              <w:jc w:val="center"/>
              <w:rPr>
                <w:rFonts w:cs="Arial"/>
                <w:sz w:val="18"/>
                <w:szCs w:val="18"/>
              </w:rPr>
            </w:pPr>
            <w:r w:rsidRPr="00D053CA">
              <w:rPr>
                <w:rFonts w:cs="Arial"/>
                <w:sz w:val="18"/>
                <w:szCs w:val="18"/>
              </w:rPr>
              <w:t>12.000</w:t>
            </w:r>
          </w:p>
        </w:tc>
        <w:tc>
          <w:tcPr>
            <w:tcW w:w="0" w:type="auto"/>
            <w:tcMar>
              <w:top w:w="30" w:type="dxa"/>
              <w:left w:w="45" w:type="dxa"/>
              <w:bottom w:w="30" w:type="dxa"/>
              <w:right w:w="45" w:type="dxa"/>
            </w:tcMar>
            <w:vAlign w:val="center"/>
            <w:hideMark/>
          </w:tcPr>
          <w:p w14:paraId="3B9B0B99" w14:textId="77777777" w:rsidR="00D053CA" w:rsidRPr="00D053CA" w:rsidRDefault="00D053CA" w:rsidP="00AA4BBB">
            <w:pPr>
              <w:jc w:val="center"/>
              <w:rPr>
                <w:rFonts w:cs="Arial"/>
                <w:sz w:val="18"/>
                <w:szCs w:val="18"/>
              </w:rPr>
            </w:pPr>
            <w:r w:rsidRPr="00D053CA">
              <w:rPr>
                <w:rFonts w:cs="Arial"/>
                <w:sz w:val="18"/>
                <w:szCs w:val="18"/>
              </w:rPr>
              <w:t>42.000</w:t>
            </w:r>
          </w:p>
        </w:tc>
        <w:tc>
          <w:tcPr>
            <w:tcW w:w="0" w:type="auto"/>
            <w:tcMar>
              <w:top w:w="30" w:type="dxa"/>
              <w:left w:w="45" w:type="dxa"/>
              <w:bottom w:w="30" w:type="dxa"/>
              <w:right w:w="45" w:type="dxa"/>
            </w:tcMar>
            <w:vAlign w:val="center"/>
            <w:hideMark/>
          </w:tcPr>
          <w:p w14:paraId="4618CCB7" w14:textId="77777777" w:rsidR="00D053CA" w:rsidRPr="00D053CA" w:rsidRDefault="00D053CA" w:rsidP="00AA4BBB">
            <w:pPr>
              <w:jc w:val="center"/>
              <w:rPr>
                <w:rFonts w:cs="Arial"/>
                <w:sz w:val="18"/>
                <w:szCs w:val="18"/>
              </w:rPr>
            </w:pPr>
            <w:r w:rsidRPr="00D053CA">
              <w:rPr>
                <w:rFonts w:cs="Arial"/>
                <w:sz w:val="18"/>
                <w:szCs w:val="18"/>
              </w:rPr>
              <w:t>42.000</w:t>
            </w:r>
          </w:p>
        </w:tc>
        <w:tc>
          <w:tcPr>
            <w:tcW w:w="0" w:type="auto"/>
            <w:tcMar>
              <w:top w:w="30" w:type="dxa"/>
              <w:left w:w="45" w:type="dxa"/>
              <w:bottom w:w="30" w:type="dxa"/>
              <w:right w:w="45" w:type="dxa"/>
            </w:tcMar>
            <w:vAlign w:val="center"/>
            <w:hideMark/>
          </w:tcPr>
          <w:p w14:paraId="4072640B" w14:textId="77777777" w:rsidR="00D053CA" w:rsidRPr="00D053CA" w:rsidRDefault="00D053CA" w:rsidP="00AA4BBB">
            <w:pPr>
              <w:jc w:val="center"/>
              <w:rPr>
                <w:rFonts w:cs="Arial"/>
                <w:sz w:val="18"/>
                <w:szCs w:val="18"/>
              </w:rPr>
            </w:pPr>
            <w:r w:rsidRPr="00D053CA">
              <w:rPr>
                <w:rFonts w:cs="Arial"/>
                <w:sz w:val="18"/>
                <w:szCs w:val="18"/>
              </w:rPr>
              <w:t>24.000</w:t>
            </w:r>
          </w:p>
        </w:tc>
        <w:tc>
          <w:tcPr>
            <w:tcW w:w="0" w:type="auto"/>
            <w:vMerge w:val="restart"/>
            <w:tcMar>
              <w:top w:w="30" w:type="dxa"/>
              <w:left w:w="45" w:type="dxa"/>
              <w:bottom w:w="30" w:type="dxa"/>
              <w:right w:w="45" w:type="dxa"/>
            </w:tcMar>
            <w:vAlign w:val="center"/>
            <w:hideMark/>
          </w:tcPr>
          <w:p w14:paraId="7F74D27C" w14:textId="77777777" w:rsidR="00D053CA" w:rsidRPr="00D053CA" w:rsidRDefault="00D053CA" w:rsidP="00AA4BBB">
            <w:pPr>
              <w:jc w:val="center"/>
              <w:rPr>
                <w:rFonts w:cs="Arial"/>
                <w:b/>
                <w:bCs/>
                <w:sz w:val="18"/>
                <w:szCs w:val="18"/>
              </w:rPr>
            </w:pPr>
            <w:r w:rsidRPr="00D053CA">
              <w:rPr>
                <w:rFonts w:cs="Arial"/>
                <w:b/>
                <w:bCs/>
                <w:sz w:val="18"/>
                <w:szCs w:val="18"/>
              </w:rPr>
              <w:t>20.579.242.867</w:t>
            </w:r>
          </w:p>
        </w:tc>
      </w:tr>
      <w:tr w:rsidR="00D053CA" w:rsidRPr="00D053CA" w14:paraId="056AB5EE" w14:textId="77777777" w:rsidTr="00AA4BBB">
        <w:tc>
          <w:tcPr>
            <w:tcW w:w="0" w:type="auto"/>
            <w:vMerge/>
            <w:vAlign w:val="center"/>
            <w:hideMark/>
          </w:tcPr>
          <w:p w14:paraId="22AA6BDE"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7EF8EB20" w14:textId="77777777" w:rsidR="00D053CA" w:rsidRPr="00D053CA" w:rsidRDefault="00D053CA" w:rsidP="00AA4BBB">
            <w:pPr>
              <w:jc w:val="center"/>
              <w:rPr>
                <w:rFonts w:cs="Arial"/>
                <w:sz w:val="18"/>
                <w:szCs w:val="18"/>
              </w:rPr>
            </w:pPr>
            <w:r w:rsidRPr="00D053CA">
              <w:rPr>
                <w:rFonts w:cs="Arial"/>
                <w:sz w:val="18"/>
                <w:szCs w:val="18"/>
              </w:rPr>
              <w:t>2.160.000.000</w:t>
            </w:r>
          </w:p>
        </w:tc>
        <w:tc>
          <w:tcPr>
            <w:tcW w:w="0" w:type="auto"/>
            <w:tcMar>
              <w:top w:w="30" w:type="dxa"/>
              <w:left w:w="45" w:type="dxa"/>
              <w:bottom w:w="30" w:type="dxa"/>
              <w:right w:w="45" w:type="dxa"/>
            </w:tcMar>
            <w:vAlign w:val="center"/>
            <w:hideMark/>
          </w:tcPr>
          <w:p w14:paraId="2E6135C5" w14:textId="77777777" w:rsidR="00D053CA" w:rsidRPr="00D053CA" w:rsidRDefault="00D053CA" w:rsidP="00AA4BBB">
            <w:pPr>
              <w:jc w:val="center"/>
              <w:rPr>
                <w:rFonts w:cs="Arial"/>
                <w:sz w:val="18"/>
                <w:szCs w:val="18"/>
              </w:rPr>
            </w:pPr>
            <w:r w:rsidRPr="00D053CA">
              <w:rPr>
                <w:rFonts w:cs="Arial"/>
                <w:sz w:val="18"/>
                <w:szCs w:val="18"/>
              </w:rPr>
              <w:t>7.339.805.825</w:t>
            </w:r>
          </w:p>
        </w:tc>
        <w:tc>
          <w:tcPr>
            <w:tcW w:w="0" w:type="auto"/>
            <w:tcMar>
              <w:top w:w="30" w:type="dxa"/>
              <w:left w:w="45" w:type="dxa"/>
              <w:bottom w:w="30" w:type="dxa"/>
              <w:right w:w="45" w:type="dxa"/>
            </w:tcMar>
            <w:vAlign w:val="center"/>
            <w:hideMark/>
          </w:tcPr>
          <w:p w14:paraId="625885E1" w14:textId="77777777" w:rsidR="00D053CA" w:rsidRPr="00D053CA" w:rsidRDefault="00D053CA" w:rsidP="00AA4BBB">
            <w:pPr>
              <w:jc w:val="center"/>
              <w:rPr>
                <w:rFonts w:cs="Arial"/>
                <w:sz w:val="18"/>
                <w:szCs w:val="18"/>
              </w:rPr>
            </w:pPr>
            <w:r w:rsidRPr="00D053CA">
              <w:rPr>
                <w:rFonts w:cs="Arial"/>
                <w:sz w:val="18"/>
                <w:szCs w:val="18"/>
              </w:rPr>
              <w:t>7.126.025.073</w:t>
            </w:r>
          </w:p>
        </w:tc>
        <w:tc>
          <w:tcPr>
            <w:tcW w:w="0" w:type="auto"/>
            <w:tcMar>
              <w:top w:w="30" w:type="dxa"/>
              <w:left w:w="45" w:type="dxa"/>
              <w:bottom w:w="30" w:type="dxa"/>
              <w:right w:w="45" w:type="dxa"/>
            </w:tcMar>
            <w:vAlign w:val="center"/>
            <w:hideMark/>
          </w:tcPr>
          <w:p w14:paraId="7914F53B" w14:textId="77777777" w:rsidR="00D053CA" w:rsidRPr="00D053CA" w:rsidRDefault="00D053CA" w:rsidP="00AA4BBB">
            <w:pPr>
              <w:jc w:val="center"/>
              <w:rPr>
                <w:rFonts w:cs="Arial"/>
                <w:sz w:val="18"/>
                <w:szCs w:val="18"/>
              </w:rPr>
            </w:pPr>
            <w:r w:rsidRPr="00D053CA">
              <w:rPr>
                <w:rFonts w:cs="Arial"/>
                <w:sz w:val="18"/>
                <w:szCs w:val="18"/>
              </w:rPr>
              <w:t>3.953.411.968</w:t>
            </w:r>
          </w:p>
        </w:tc>
        <w:tc>
          <w:tcPr>
            <w:tcW w:w="0" w:type="auto"/>
            <w:vMerge/>
            <w:vAlign w:val="center"/>
            <w:hideMark/>
          </w:tcPr>
          <w:p w14:paraId="3410D93D" w14:textId="77777777" w:rsidR="00D053CA" w:rsidRPr="00D053CA" w:rsidRDefault="00D053CA" w:rsidP="00AA4BBB">
            <w:pPr>
              <w:rPr>
                <w:rFonts w:cs="Arial"/>
                <w:b/>
                <w:bCs/>
                <w:sz w:val="18"/>
                <w:szCs w:val="18"/>
              </w:rPr>
            </w:pPr>
          </w:p>
        </w:tc>
      </w:tr>
      <w:tr w:rsidR="00D053CA" w:rsidRPr="00D053CA" w14:paraId="7F0E663E" w14:textId="77777777" w:rsidTr="00AA4BBB">
        <w:tc>
          <w:tcPr>
            <w:tcW w:w="0" w:type="auto"/>
            <w:vMerge w:val="restart"/>
            <w:tcMar>
              <w:top w:w="30" w:type="dxa"/>
              <w:left w:w="45" w:type="dxa"/>
              <w:bottom w:w="30" w:type="dxa"/>
              <w:right w:w="45" w:type="dxa"/>
            </w:tcMar>
            <w:vAlign w:val="center"/>
            <w:hideMark/>
          </w:tcPr>
          <w:p w14:paraId="69D22AD9" w14:textId="77777777" w:rsidR="00D053CA" w:rsidRPr="00D053CA" w:rsidRDefault="00D053CA" w:rsidP="00AA4BBB">
            <w:pPr>
              <w:rPr>
                <w:rFonts w:cs="Arial"/>
                <w:sz w:val="18"/>
                <w:szCs w:val="18"/>
              </w:rPr>
            </w:pPr>
            <w:r w:rsidRPr="00D053CA">
              <w:rPr>
                <w:rFonts w:cs="Arial"/>
                <w:sz w:val="18"/>
                <w:szCs w:val="18"/>
              </w:rPr>
              <w:t>Implementar 35 iniciativas de producción de información que recojan información y datos diferenciados por sexo edad orientación sexual identidad de género estrato social pertenencia étnico-racial ubicación geográfica discapacidad sobre las dinámicas retos y tendencias de participación incidente y paritaria que aportan datos claves para la ciudadanía y la toma de decisiones en materia de políticas públicas.</w:t>
            </w:r>
          </w:p>
        </w:tc>
        <w:tc>
          <w:tcPr>
            <w:tcW w:w="0" w:type="auto"/>
            <w:tcMar>
              <w:top w:w="30" w:type="dxa"/>
              <w:left w:w="45" w:type="dxa"/>
              <w:bottom w:w="30" w:type="dxa"/>
              <w:right w:w="45" w:type="dxa"/>
            </w:tcMar>
            <w:vAlign w:val="center"/>
            <w:hideMark/>
          </w:tcPr>
          <w:p w14:paraId="3EC2BA4C" w14:textId="77777777" w:rsidR="00D053CA" w:rsidRPr="00D053CA" w:rsidRDefault="00D053CA" w:rsidP="00AA4BBB">
            <w:pPr>
              <w:jc w:val="center"/>
              <w:rPr>
                <w:rFonts w:cs="Arial"/>
                <w:sz w:val="18"/>
                <w:szCs w:val="18"/>
              </w:rPr>
            </w:pPr>
            <w:r w:rsidRPr="00D053CA">
              <w:rPr>
                <w:rFonts w:cs="Arial"/>
                <w:sz w:val="18"/>
                <w:szCs w:val="18"/>
              </w:rPr>
              <w:t>4</w:t>
            </w:r>
          </w:p>
        </w:tc>
        <w:tc>
          <w:tcPr>
            <w:tcW w:w="0" w:type="auto"/>
            <w:tcMar>
              <w:top w:w="30" w:type="dxa"/>
              <w:left w:w="45" w:type="dxa"/>
              <w:bottom w:w="30" w:type="dxa"/>
              <w:right w:w="45" w:type="dxa"/>
            </w:tcMar>
            <w:vAlign w:val="center"/>
            <w:hideMark/>
          </w:tcPr>
          <w:p w14:paraId="4F71CBED" w14:textId="77777777" w:rsidR="00D053CA" w:rsidRPr="00D053CA" w:rsidRDefault="00D053CA" w:rsidP="00AA4BBB">
            <w:pPr>
              <w:jc w:val="center"/>
              <w:rPr>
                <w:rFonts w:cs="Arial"/>
                <w:sz w:val="18"/>
                <w:szCs w:val="18"/>
              </w:rPr>
            </w:pPr>
            <w:r w:rsidRPr="00D053CA">
              <w:rPr>
                <w:rFonts w:cs="Arial"/>
                <w:sz w:val="18"/>
                <w:szCs w:val="18"/>
              </w:rPr>
              <w:t>12</w:t>
            </w:r>
          </w:p>
        </w:tc>
        <w:tc>
          <w:tcPr>
            <w:tcW w:w="0" w:type="auto"/>
            <w:tcMar>
              <w:top w:w="30" w:type="dxa"/>
              <w:left w:w="45" w:type="dxa"/>
              <w:bottom w:w="30" w:type="dxa"/>
              <w:right w:w="45" w:type="dxa"/>
            </w:tcMar>
            <w:vAlign w:val="center"/>
            <w:hideMark/>
          </w:tcPr>
          <w:p w14:paraId="5BA92687" w14:textId="77777777" w:rsidR="00D053CA" w:rsidRPr="00D053CA" w:rsidRDefault="00D053CA" w:rsidP="00AA4BBB">
            <w:pPr>
              <w:jc w:val="center"/>
              <w:rPr>
                <w:rFonts w:cs="Arial"/>
                <w:sz w:val="18"/>
                <w:szCs w:val="18"/>
              </w:rPr>
            </w:pPr>
            <w:r w:rsidRPr="00D053CA">
              <w:rPr>
                <w:rFonts w:cs="Arial"/>
                <w:sz w:val="18"/>
                <w:szCs w:val="18"/>
              </w:rPr>
              <w:t>12</w:t>
            </w:r>
          </w:p>
        </w:tc>
        <w:tc>
          <w:tcPr>
            <w:tcW w:w="0" w:type="auto"/>
            <w:tcMar>
              <w:top w:w="30" w:type="dxa"/>
              <w:left w:w="45" w:type="dxa"/>
              <w:bottom w:w="30" w:type="dxa"/>
              <w:right w:w="45" w:type="dxa"/>
            </w:tcMar>
            <w:vAlign w:val="center"/>
            <w:hideMark/>
          </w:tcPr>
          <w:p w14:paraId="0337E44F" w14:textId="77777777" w:rsidR="00D053CA" w:rsidRPr="00D053CA" w:rsidRDefault="00D053CA" w:rsidP="00AA4BBB">
            <w:pPr>
              <w:jc w:val="center"/>
              <w:rPr>
                <w:rFonts w:cs="Arial"/>
                <w:sz w:val="18"/>
                <w:szCs w:val="18"/>
              </w:rPr>
            </w:pPr>
            <w:r w:rsidRPr="00D053CA">
              <w:rPr>
                <w:rFonts w:cs="Arial"/>
                <w:sz w:val="18"/>
                <w:szCs w:val="18"/>
              </w:rPr>
              <w:t>7</w:t>
            </w:r>
          </w:p>
        </w:tc>
        <w:tc>
          <w:tcPr>
            <w:tcW w:w="0" w:type="auto"/>
            <w:vMerge w:val="restart"/>
            <w:tcMar>
              <w:top w:w="30" w:type="dxa"/>
              <w:left w:w="45" w:type="dxa"/>
              <w:bottom w:w="30" w:type="dxa"/>
              <w:right w:w="45" w:type="dxa"/>
            </w:tcMar>
            <w:vAlign w:val="center"/>
            <w:hideMark/>
          </w:tcPr>
          <w:p w14:paraId="123E6752" w14:textId="77777777" w:rsidR="00D053CA" w:rsidRPr="00D053CA" w:rsidRDefault="00D053CA" w:rsidP="00AA4BBB">
            <w:pPr>
              <w:jc w:val="center"/>
              <w:rPr>
                <w:rFonts w:cs="Arial"/>
                <w:b/>
                <w:bCs/>
                <w:sz w:val="18"/>
                <w:szCs w:val="18"/>
              </w:rPr>
            </w:pPr>
            <w:r w:rsidRPr="00D053CA">
              <w:rPr>
                <w:rFonts w:cs="Arial"/>
                <w:b/>
                <w:bCs/>
                <w:sz w:val="18"/>
                <w:szCs w:val="18"/>
              </w:rPr>
              <w:t>6.055.632.762</w:t>
            </w:r>
          </w:p>
        </w:tc>
      </w:tr>
      <w:tr w:rsidR="00D053CA" w:rsidRPr="00D053CA" w14:paraId="7E536F4A" w14:textId="77777777" w:rsidTr="00AA4BBB">
        <w:tc>
          <w:tcPr>
            <w:tcW w:w="0" w:type="auto"/>
            <w:vMerge/>
            <w:vAlign w:val="center"/>
            <w:hideMark/>
          </w:tcPr>
          <w:p w14:paraId="667544DE"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3BDFEBAA" w14:textId="77777777" w:rsidR="00D053CA" w:rsidRPr="00D053CA" w:rsidRDefault="00D053CA" w:rsidP="00AA4BBB">
            <w:pPr>
              <w:jc w:val="center"/>
              <w:rPr>
                <w:rFonts w:cs="Arial"/>
                <w:sz w:val="18"/>
                <w:szCs w:val="18"/>
              </w:rPr>
            </w:pPr>
            <w:r w:rsidRPr="00D053CA">
              <w:rPr>
                <w:rFonts w:cs="Arial"/>
                <w:sz w:val="18"/>
                <w:szCs w:val="18"/>
              </w:rPr>
              <w:t>635.600.000</w:t>
            </w:r>
          </w:p>
        </w:tc>
        <w:tc>
          <w:tcPr>
            <w:tcW w:w="0" w:type="auto"/>
            <w:tcMar>
              <w:top w:w="30" w:type="dxa"/>
              <w:left w:w="45" w:type="dxa"/>
              <w:bottom w:w="30" w:type="dxa"/>
              <w:right w:w="45" w:type="dxa"/>
            </w:tcMar>
            <w:vAlign w:val="center"/>
            <w:hideMark/>
          </w:tcPr>
          <w:p w14:paraId="1860ABA2" w14:textId="77777777" w:rsidR="00D053CA" w:rsidRPr="00D053CA" w:rsidRDefault="00D053CA" w:rsidP="00AA4BBB">
            <w:pPr>
              <w:jc w:val="center"/>
              <w:rPr>
                <w:rFonts w:cs="Arial"/>
                <w:sz w:val="18"/>
                <w:szCs w:val="18"/>
              </w:rPr>
            </w:pPr>
            <w:r w:rsidRPr="00D053CA">
              <w:rPr>
                <w:rFonts w:cs="Arial"/>
                <w:sz w:val="18"/>
                <w:szCs w:val="18"/>
              </w:rPr>
              <w:t>2.159.805.825</w:t>
            </w:r>
          </w:p>
        </w:tc>
        <w:tc>
          <w:tcPr>
            <w:tcW w:w="0" w:type="auto"/>
            <w:tcMar>
              <w:top w:w="30" w:type="dxa"/>
              <w:left w:w="45" w:type="dxa"/>
              <w:bottom w:w="30" w:type="dxa"/>
              <w:right w:w="45" w:type="dxa"/>
            </w:tcMar>
            <w:vAlign w:val="center"/>
            <w:hideMark/>
          </w:tcPr>
          <w:p w14:paraId="4FA51548" w14:textId="77777777" w:rsidR="00D053CA" w:rsidRPr="00D053CA" w:rsidRDefault="00D053CA" w:rsidP="00AA4BBB">
            <w:pPr>
              <w:jc w:val="center"/>
              <w:rPr>
                <w:rFonts w:cs="Arial"/>
                <w:sz w:val="18"/>
                <w:szCs w:val="18"/>
              </w:rPr>
            </w:pPr>
            <w:r w:rsidRPr="00D053CA">
              <w:rPr>
                <w:rFonts w:cs="Arial"/>
                <w:sz w:val="18"/>
                <w:szCs w:val="18"/>
              </w:rPr>
              <w:t>2.096.898.859</w:t>
            </w:r>
          </w:p>
        </w:tc>
        <w:tc>
          <w:tcPr>
            <w:tcW w:w="0" w:type="auto"/>
            <w:tcMar>
              <w:top w:w="30" w:type="dxa"/>
              <w:left w:w="45" w:type="dxa"/>
              <w:bottom w:w="30" w:type="dxa"/>
              <w:right w:w="45" w:type="dxa"/>
            </w:tcMar>
            <w:vAlign w:val="center"/>
            <w:hideMark/>
          </w:tcPr>
          <w:p w14:paraId="0B2E442D" w14:textId="77777777" w:rsidR="00D053CA" w:rsidRPr="00D053CA" w:rsidRDefault="00D053CA" w:rsidP="00AA4BBB">
            <w:pPr>
              <w:jc w:val="center"/>
              <w:rPr>
                <w:rFonts w:cs="Arial"/>
                <w:sz w:val="18"/>
                <w:szCs w:val="18"/>
              </w:rPr>
            </w:pPr>
            <w:r w:rsidRPr="00D053CA">
              <w:rPr>
                <w:rFonts w:cs="Arial"/>
                <w:sz w:val="18"/>
                <w:szCs w:val="18"/>
              </w:rPr>
              <w:t>1.163.328.077</w:t>
            </w:r>
          </w:p>
        </w:tc>
        <w:tc>
          <w:tcPr>
            <w:tcW w:w="0" w:type="auto"/>
            <w:vMerge/>
            <w:vAlign w:val="center"/>
            <w:hideMark/>
          </w:tcPr>
          <w:p w14:paraId="08FA1DBC" w14:textId="77777777" w:rsidR="00D053CA" w:rsidRPr="00D053CA" w:rsidRDefault="00D053CA" w:rsidP="00AA4BBB">
            <w:pPr>
              <w:rPr>
                <w:rFonts w:cs="Arial"/>
                <w:b/>
                <w:bCs/>
                <w:sz w:val="18"/>
                <w:szCs w:val="18"/>
              </w:rPr>
            </w:pPr>
          </w:p>
        </w:tc>
      </w:tr>
      <w:tr w:rsidR="00D053CA" w:rsidRPr="00D053CA" w14:paraId="57D6E6DD" w14:textId="77777777" w:rsidTr="00AA4BBB">
        <w:tc>
          <w:tcPr>
            <w:tcW w:w="0" w:type="auto"/>
            <w:vMerge w:val="restart"/>
            <w:tcMar>
              <w:top w:w="30" w:type="dxa"/>
              <w:left w:w="45" w:type="dxa"/>
              <w:bottom w:w="30" w:type="dxa"/>
              <w:right w:w="45" w:type="dxa"/>
            </w:tcMar>
            <w:vAlign w:val="center"/>
            <w:hideMark/>
          </w:tcPr>
          <w:p w14:paraId="61E15A59" w14:textId="77777777" w:rsidR="00D053CA" w:rsidRPr="00D053CA" w:rsidRDefault="00D053CA" w:rsidP="00AA4BBB">
            <w:pPr>
              <w:rPr>
                <w:rFonts w:cs="Arial"/>
                <w:sz w:val="18"/>
                <w:szCs w:val="18"/>
              </w:rPr>
            </w:pPr>
            <w:r w:rsidRPr="00D053CA">
              <w:rPr>
                <w:rFonts w:cs="Arial"/>
                <w:sz w:val="18"/>
                <w:szCs w:val="18"/>
              </w:rPr>
              <w:t>Implementar un (1) modelo de gobernanza democrática que amplíe el alcance de la participación de la ciudadanía organizaciones sociales y comunales de primer segundo y tercer grado en todas las decisiones públicas del gobierno distrital.</w:t>
            </w:r>
          </w:p>
        </w:tc>
        <w:tc>
          <w:tcPr>
            <w:tcW w:w="0" w:type="auto"/>
            <w:tcMar>
              <w:top w:w="30" w:type="dxa"/>
              <w:left w:w="45" w:type="dxa"/>
              <w:bottom w:w="30" w:type="dxa"/>
              <w:right w:w="45" w:type="dxa"/>
            </w:tcMar>
            <w:vAlign w:val="center"/>
            <w:hideMark/>
          </w:tcPr>
          <w:p w14:paraId="1D53FAE6" w14:textId="5D75E993" w:rsidR="00D053CA" w:rsidRPr="00D053CA" w:rsidRDefault="00D053CA" w:rsidP="00AA4BBB">
            <w:pPr>
              <w:jc w:val="center"/>
              <w:rPr>
                <w:rFonts w:cs="Arial"/>
                <w:sz w:val="18"/>
                <w:szCs w:val="18"/>
              </w:rPr>
            </w:pPr>
            <w:r w:rsidRPr="00D053CA">
              <w:rPr>
                <w:rFonts w:cs="Arial"/>
                <w:sz w:val="18"/>
                <w:szCs w:val="18"/>
              </w:rPr>
              <w:t>0</w:t>
            </w:r>
            <w:r w:rsidR="00F80612">
              <w:rPr>
                <w:rFonts w:cs="Arial"/>
                <w:sz w:val="18"/>
                <w:szCs w:val="18"/>
              </w:rPr>
              <w:t>,</w:t>
            </w:r>
            <w:r w:rsidRPr="00D053CA">
              <w:rPr>
                <w:rFonts w:cs="Arial"/>
                <w:sz w:val="18"/>
                <w:szCs w:val="18"/>
              </w:rPr>
              <w:t>09</w:t>
            </w:r>
          </w:p>
        </w:tc>
        <w:tc>
          <w:tcPr>
            <w:tcW w:w="0" w:type="auto"/>
            <w:tcMar>
              <w:top w:w="30" w:type="dxa"/>
              <w:left w:w="45" w:type="dxa"/>
              <w:bottom w:w="30" w:type="dxa"/>
              <w:right w:w="45" w:type="dxa"/>
            </w:tcMar>
            <w:vAlign w:val="center"/>
            <w:hideMark/>
          </w:tcPr>
          <w:p w14:paraId="39CD18FB" w14:textId="6D8F3E5A" w:rsidR="00D053CA" w:rsidRPr="00D053CA" w:rsidRDefault="00D053CA" w:rsidP="00AA4BBB">
            <w:pPr>
              <w:jc w:val="center"/>
              <w:rPr>
                <w:rFonts w:cs="Arial"/>
                <w:sz w:val="18"/>
                <w:szCs w:val="18"/>
              </w:rPr>
            </w:pPr>
            <w:r w:rsidRPr="00D053CA">
              <w:rPr>
                <w:rFonts w:cs="Arial"/>
                <w:sz w:val="18"/>
                <w:szCs w:val="18"/>
              </w:rPr>
              <w:t>0</w:t>
            </w:r>
            <w:r w:rsidR="00F80612">
              <w:rPr>
                <w:rFonts w:cs="Arial"/>
                <w:sz w:val="18"/>
                <w:szCs w:val="18"/>
              </w:rPr>
              <w:t>,</w:t>
            </w:r>
            <w:r w:rsidRPr="00D053CA">
              <w:rPr>
                <w:rFonts w:cs="Arial"/>
                <w:sz w:val="18"/>
                <w:szCs w:val="18"/>
              </w:rPr>
              <w:t>35</w:t>
            </w:r>
          </w:p>
        </w:tc>
        <w:tc>
          <w:tcPr>
            <w:tcW w:w="0" w:type="auto"/>
            <w:tcMar>
              <w:top w:w="30" w:type="dxa"/>
              <w:left w:w="45" w:type="dxa"/>
              <w:bottom w:w="30" w:type="dxa"/>
              <w:right w:w="45" w:type="dxa"/>
            </w:tcMar>
            <w:vAlign w:val="center"/>
            <w:hideMark/>
          </w:tcPr>
          <w:p w14:paraId="0C441D58" w14:textId="67FE7F8C" w:rsidR="00D053CA" w:rsidRPr="00D053CA" w:rsidRDefault="00D053CA" w:rsidP="00AA4BBB">
            <w:pPr>
              <w:jc w:val="center"/>
              <w:rPr>
                <w:rFonts w:cs="Arial"/>
                <w:sz w:val="18"/>
                <w:szCs w:val="18"/>
              </w:rPr>
            </w:pPr>
            <w:r w:rsidRPr="00D053CA">
              <w:rPr>
                <w:rFonts w:cs="Arial"/>
                <w:sz w:val="18"/>
                <w:szCs w:val="18"/>
              </w:rPr>
              <w:t>0</w:t>
            </w:r>
            <w:r w:rsidR="00F80612">
              <w:rPr>
                <w:rFonts w:cs="Arial"/>
                <w:sz w:val="18"/>
                <w:szCs w:val="18"/>
              </w:rPr>
              <w:t>,</w:t>
            </w:r>
            <w:r w:rsidRPr="00D053CA">
              <w:rPr>
                <w:rFonts w:cs="Arial"/>
                <w:sz w:val="18"/>
                <w:szCs w:val="18"/>
              </w:rPr>
              <w:t>35</w:t>
            </w:r>
          </w:p>
        </w:tc>
        <w:tc>
          <w:tcPr>
            <w:tcW w:w="0" w:type="auto"/>
            <w:tcMar>
              <w:top w:w="30" w:type="dxa"/>
              <w:left w:w="45" w:type="dxa"/>
              <w:bottom w:w="30" w:type="dxa"/>
              <w:right w:w="45" w:type="dxa"/>
            </w:tcMar>
            <w:vAlign w:val="center"/>
            <w:hideMark/>
          </w:tcPr>
          <w:p w14:paraId="2C266960" w14:textId="4A725DB0" w:rsidR="00D053CA" w:rsidRPr="00D053CA" w:rsidRDefault="00D053CA" w:rsidP="00AA4BBB">
            <w:pPr>
              <w:jc w:val="center"/>
              <w:rPr>
                <w:rFonts w:cs="Arial"/>
                <w:sz w:val="18"/>
                <w:szCs w:val="18"/>
              </w:rPr>
            </w:pPr>
            <w:r w:rsidRPr="00D053CA">
              <w:rPr>
                <w:rFonts w:cs="Arial"/>
                <w:sz w:val="18"/>
                <w:szCs w:val="18"/>
              </w:rPr>
              <w:t>0</w:t>
            </w:r>
            <w:r w:rsidR="00F80612">
              <w:rPr>
                <w:rFonts w:cs="Arial"/>
                <w:sz w:val="18"/>
                <w:szCs w:val="18"/>
              </w:rPr>
              <w:t>,</w:t>
            </w:r>
            <w:r w:rsidRPr="00D053CA">
              <w:rPr>
                <w:rFonts w:cs="Arial"/>
                <w:sz w:val="18"/>
                <w:szCs w:val="18"/>
              </w:rPr>
              <w:t>21</w:t>
            </w:r>
          </w:p>
        </w:tc>
        <w:tc>
          <w:tcPr>
            <w:tcW w:w="0" w:type="auto"/>
            <w:vMerge w:val="restart"/>
            <w:tcMar>
              <w:top w:w="30" w:type="dxa"/>
              <w:left w:w="45" w:type="dxa"/>
              <w:bottom w:w="30" w:type="dxa"/>
              <w:right w:w="45" w:type="dxa"/>
            </w:tcMar>
            <w:vAlign w:val="center"/>
            <w:hideMark/>
          </w:tcPr>
          <w:p w14:paraId="58A54863" w14:textId="77777777" w:rsidR="00D053CA" w:rsidRPr="00D053CA" w:rsidRDefault="00D053CA" w:rsidP="00AA4BBB">
            <w:pPr>
              <w:jc w:val="center"/>
              <w:rPr>
                <w:rFonts w:cs="Arial"/>
                <w:b/>
                <w:bCs/>
                <w:sz w:val="18"/>
                <w:szCs w:val="18"/>
              </w:rPr>
            </w:pPr>
            <w:r w:rsidRPr="00D053CA">
              <w:rPr>
                <w:rFonts w:cs="Arial"/>
                <w:b/>
                <w:bCs/>
                <w:sz w:val="18"/>
                <w:szCs w:val="18"/>
              </w:rPr>
              <w:t>59.769.198.537</w:t>
            </w:r>
          </w:p>
        </w:tc>
      </w:tr>
      <w:tr w:rsidR="00D053CA" w:rsidRPr="00D053CA" w14:paraId="2F7738D9" w14:textId="77777777" w:rsidTr="00AA4BBB">
        <w:tc>
          <w:tcPr>
            <w:tcW w:w="0" w:type="auto"/>
            <w:vMerge/>
            <w:vAlign w:val="center"/>
            <w:hideMark/>
          </w:tcPr>
          <w:p w14:paraId="6A639183"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08D237A5" w14:textId="77777777" w:rsidR="00D053CA" w:rsidRPr="00D053CA" w:rsidRDefault="00D053CA" w:rsidP="00AA4BBB">
            <w:pPr>
              <w:jc w:val="center"/>
              <w:rPr>
                <w:rFonts w:cs="Arial"/>
                <w:sz w:val="18"/>
                <w:szCs w:val="18"/>
              </w:rPr>
            </w:pPr>
            <w:r w:rsidRPr="00D053CA">
              <w:rPr>
                <w:rFonts w:cs="Arial"/>
                <w:sz w:val="18"/>
                <w:szCs w:val="18"/>
              </w:rPr>
              <w:t>5.679.600.000</w:t>
            </w:r>
          </w:p>
        </w:tc>
        <w:tc>
          <w:tcPr>
            <w:tcW w:w="0" w:type="auto"/>
            <w:tcMar>
              <w:top w:w="30" w:type="dxa"/>
              <w:left w:w="45" w:type="dxa"/>
              <w:bottom w:w="30" w:type="dxa"/>
              <w:right w:w="45" w:type="dxa"/>
            </w:tcMar>
            <w:vAlign w:val="center"/>
            <w:hideMark/>
          </w:tcPr>
          <w:p w14:paraId="03AD5B62" w14:textId="77777777" w:rsidR="00D053CA" w:rsidRPr="00D053CA" w:rsidRDefault="00D053CA" w:rsidP="00AA4BBB">
            <w:pPr>
              <w:jc w:val="center"/>
              <w:rPr>
                <w:rFonts w:cs="Arial"/>
                <w:sz w:val="18"/>
                <w:szCs w:val="18"/>
              </w:rPr>
            </w:pPr>
            <w:r w:rsidRPr="00D053CA">
              <w:rPr>
                <w:rFonts w:cs="Arial"/>
                <w:sz w:val="18"/>
                <w:szCs w:val="18"/>
              </w:rPr>
              <w:t>21.241.359.223</w:t>
            </w:r>
          </w:p>
        </w:tc>
        <w:tc>
          <w:tcPr>
            <w:tcW w:w="0" w:type="auto"/>
            <w:tcMar>
              <w:top w:w="30" w:type="dxa"/>
              <w:left w:w="45" w:type="dxa"/>
              <w:bottom w:w="30" w:type="dxa"/>
              <w:right w:w="45" w:type="dxa"/>
            </w:tcMar>
            <w:vAlign w:val="center"/>
            <w:hideMark/>
          </w:tcPr>
          <w:p w14:paraId="2C97790C" w14:textId="77777777" w:rsidR="00D053CA" w:rsidRPr="00D053CA" w:rsidRDefault="00D053CA" w:rsidP="00AA4BBB">
            <w:pPr>
              <w:jc w:val="center"/>
              <w:rPr>
                <w:rFonts w:cs="Arial"/>
                <w:sz w:val="18"/>
                <w:szCs w:val="18"/>
              </w:rPr>
            </w:pPr>
            <w:r w:rsidRPr="00D053CA">
              <w:rPr>
                <w:rFonts w:cs="Arial"/>
                <w:sz w:val="18"/>
                <w:szCs w:val="18"/>
              </w:rPr>
              <w:t>20.622.678.858</w:t>
            </w:r>
          </w:p>
        </w:tc>
        <w:tc>
          <w:tcPr>
            <w:tcW w:w="0" w:type="auto"/>
            <w:tcMar>
              <w:top w:w="30" w:type="dxa"/>
              <w:left w:w="45" w:type="dxa"/>
              <w:bottom w:w="30" w:type="dxa"/>
              <w:right w:w="45" w:type="dxa"/>
            </w:tcMar>
            <w:vAlign w:val="center"/>
            <w:hideMark/>
          </w:tcPr>
          <w:p w14:paraId="4A0B8EE9" w14:textId="77777777" w:rsidR="00D053CA" w:rsidRPr="00D053CA" w:rsidRDefault="00D053CA" w:rsidP="00AA4BBB">
            <w:pPr>
              <w:jc w:val="center"/>
              <w:rPr>
                <w:rFonts w:cs="Arial"/>
                <w:sz w:val="18"/>
                <w:szCs w:val="18"/>
              </w:rPr>
            </w:pPr>
            <w:r w:rsidRPr="00D053CA">
              <w:rPr>
                <w:rFonts w:cs="Arial"/>
                <w:sz w:val="18"/>
                <w:szCs w:val="18"/>
              </w:rPr>
              <w:t>12.225.560.456</w:t>
            </w:r>
          </w:p>
        </w:tc>
        <w:tc>
          <w:tcPr>
            <w:tcW w:w="0" w:type="auto"/>
            <w:vMerge/>
            <w:vAlign w:val="center"/>
            <w:hideMark/>
          </w:tcPr>
          <w:p w14:paraId="38765A69" w14:textId="77777777" w:rsidR="00D053CA" w:rsidRPr="00D053CA" w:rsidRDefault="00D053CA" w:rsidP="00AA4BBB">
            <w:pPr>
              <w:rPr>
                <w:rFonts w:cs="Arial"/>
                <w:b/>
                <w:bCs/>
                <w:sz w:val="18"/>
                <w:szCs w:val="18"/>
              </w:rPr>
            </w:pPr>
          </w:p>
        </w:tc>
      </w:tr>
      <w:tr w:rsidR="00D053CA" w:rsidRPr="00D053CA" w14:paraId="1BD7D081" w14:textId="77777777" w:rsidTr="00AA4BBB">
        <w:tc>
          <w:tcPr>
            <w:tcW w:w="0" w:type="auto"/>
            <w:vMerge w:val="restart"/>
            <w:tcMar>
              <w:top w:w="30" w:type="dxa"/>
              <w:left w:w="45" w:type="dxa"/>
              <w:bottom w:w="30" w:type="dxa"/>
              <w:right w:w="45" w:type="dxa"/>
            </w:tcMar>
            <w:vAlign w:val="center"/>
            <w:hideMark/>
          </w:tcPr>
          <w:p w14:paraId="0BCCBA59" w14:textId="77777777" w:rsidR="00D053CA" w:rsidRPr="00D053CA" w:rsidRDefault="00D053CA" w:rsidP="00AA4BBB">
            <w:pPr>
              <w:rPr>
                <w:rFonts w:cs="Arial"/>
                <w:sz w:val="18"/>
                <w:szCs w:val="18"/>
              </w:rPr>
            </w:pPr>
            <w:r w:rsidRPr="00D053CA">
              <w:rPr>
                <w:rFonts w:cs="Arial"/>
                <w:sz w:val="18"/>
                <w:szCs w:val="18"/>
              </w:rPr>
              <w:t>Implementar un (1) plan de fortalecimiento de Consejos de Juventud y los Consejeros Locales y Distritales</w:t>
            </w:r>
          </w:p>
        </w:tc>
        <w:tc>
          <w:tcPr>
            <w:tcW w:w="0" w:type="auto"/>
            <w:tcMar>
              <w:top w:w="30" w:type="dxa"/>
              <w:left w:w="45" w:type="dxa"/>
              <w:bottom w:w="30" w:type="dxa"/>
              <w:right w:w="45" w:type="dxa"/>
            </w:tcMar>
            <w:vAlign w:val="center"/>
            <w:hideMark/>
          </w:tcPr>
          <w:p w14:paraId="48158FD2"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7E3B3A8F"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414286E5"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303DDE47"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vMerge w:val="restart"/>
            <w:tcMar>
              <w:top w:w="30" w:type="dxa"/>
              <w:left w:w="45" w:type="dxa"/>
              <w:bottom w:w="30" w:type="dxa"/>
              <w:right w:w="45" w:type="dxa"/>
            </w:tcMar>
            <w:vAlign w:val="center"/>
            <w:hideMark/>
          </w:tcPr>
          <w:p w14:paraId="50851086" w14:textId="77777777" w:rsidR="00D053CA" w:rsidRPr="00D053CA" w:rsidRDefault="00D053CA" w:rsidP="00AA4BBB">
            <w:pPr>
              <w:jc w:val="center"/>
              <w:rPr>
                <w:rFonts w:cs="Arial"/>
                <w:b/>
                <w:bCs/>
                <w:sz w:val="18"/>
                <w:szCs w:val="18"/>
              </w:rPr>
            </w:pPr>
            <w:r w:rsidRPr="00D053CA">
              <w:rPr>
                <w:rFonts w:cs="Arial"/>
                <w:b/>
                <w:bCs/>
                <w:sz w:val="18"/>
                <w:szCs w:val="18"/>
              </w:rPr>
              <w:t>2.381.315.827</w:t>
            </w:r>
          </w:p>
        </w:tc>
      </w:tr>
      <w:tr w:rsidR="00D053CA" w:rsidRPr="00D053CA" w14:paraId="24A5B69B" w14:textId="77777777" w:rsidTr="00AA4BBB">
        <w:tc>
          <w:tcPr>
            <w:tcW w:w="0" w:type="auto"/>
            <w:vMerge/>
            <w:vAlign w:val="center"/>
            <w:hideMark/>
          </w:tcPr>
          <w:p w14:paraId="4166A6F3"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1A1F9A10" w14:textId="77777777" w:rsidR="00D053CA" w:rsidRPr="00D053CA" w:rsidRDefault="00D053CA" w:rsidP="00AA4BBB">
            <w:pPr>
              <w:jc w:val="center"/>
              <w:rPr>
                <w:rFonts w:cs="Arial"/>
                <w:sz w:val="18"/>
                <w:szCs w:val="18"/>
              </w:rPr>
            </w:pPr>
            <w:r w:rsidRPr="00D053CA">
              <w:rPr>
                <w:rFonts w:cs="Arial"/>
                <w:sz w:val="18"/>
                <w:szCs w:val="18"/>
              </w:rPr>
              <w:t>300.000.000</w:t>
            </w:r>
          </w:p>
        </w:tc>
        <w:tc>
          <w:tcPr>
            <w:tcW w:w="0" w:type="auto"/>
            <w:tcMar>
              <w:top w:w="30" w:type="dxa"/>
              <w:left w:w="45" w:type="dxa"/>
              <w:bottom w:w="30" w:type="dxa"/>
              <w:right w:w="45" w:type="dxa"/>
            </w:tcMar>
            <w:vAlign w:val="center"/>
            <w:hideMark/>
          </w:tcPr>
          <w:p w14:paraId="49660CDD" w14:textId="77777777" w:rsidR="00D053CA" w:rsidRPr="00D053CA" w:rsidRDefault="00D053CA" w:rsidP="00AA4BBB">
            <w:pPr>
              <w:jc w:val="center"/>
              <w:rPr>
                <w:rFonts w:cs="Arial"/>
                <w:sz w:val="18"/>
                <w:szCs w:val="18"/>
              </w:rPr>
            </w:pPr>
            <w:r w:rsidRPr="00D053CA">
              <w:rPr>
                <w:rFonts w:cs="Arial"/>
                <w:sz w:val="18"/>
                <w:szCs w:val="18"/>
              </w:rPr>
              <w:t>873.786.408</w:t>
            </w:r>
          </w:p>
        </w:tc>
        <w:tc>
          <w:tcPr>
            <w:tcW w:w="0" w:type="auto"/>
            <w:tcMar>
              <w:top w:w="30" w:type="dxa"/>
              <w:left w:w="45" w:type="dxa"/>
              <w:bottom w:w="30" w:type="dxa"/>
              <w:right w:w="45" w:type="dxa"/>
            </w:tcMar>
            <w:vAlign w:val="center"/>
            <w:hideMark/>
          </w:tcPr>
          <w:p w14:paraId="6B0844D6" w14:textId="77777777" w:rsidR="00D053CA" w:rsidRPr="00D053CA" w:rsidRDefault="00D053CA" w:rsidP="00AA4BBB">
            <w:pPr>
              <w:jc w:val="center"/>
              <w:rPr>
                <w:rFonts w:cs="Arial"/>
                <w:sz w:val="18"/>
                <w:szCs w:val="18"/>
              </w:rPr>
            </w:pPr>
            <w:r w:rsidRPr="00D053CA">
              <w:rPr>
                <w:rFonts w:cs="Arial"/>
                <w:sz w:val="18"/>
                <w:szCs w:val="18"/>
              </w:rPr>
              <w:t>612.687.341</w:t>
            </w:r>
          </w:p>
        </w:tc>
        <w:tc>
          <w:tcPr>
            <w:tcW w:w="0" w:type="auto"/>
            <w:tcMar>
              <w:top w:w="30" w:type="dxa"/>
              <w:left w:w="45" w:type="dxa"/>
              <w:bottom w:w="30" w:type="dxa"/>
              <w:right w:w="45" w:type="dxa"/>
            </w:tcMar>
            <w:vAlign w:val="center"/>
            <w:hideMark/>
          </w:tcPr>
          <w:p w14:paraId="3745BBAE" w14:textId="77777777" w:rsidR="00D053CA" w:rsidRPr="00D053CA" w:rsidRDefault="00D053CA" w:rsidP="00AA4BBB">
            <w:pPr>
              <w:jc w:val="center"/>
              <w:rPr>
                <w:rFonts w:cs="Arial"/>
                <w:sz w:val="18"/>
                <w:szCs w:val="18"/>
              </w:rPr>
            </w:pPr>
            <w:r w:rsidRPr="00D053CA">
              <w:rPr>
                <w:rFonts w:cs="Arial"/>
                <w:sz w:val="18"/>
                <w:szCs w:val="18"/>
              </w:rPr>
              <w:t>594.842.079</w:t>
            </w:r>
          </w:p>
        </w:tc>
        <w:tc>
          <w:tcPr>
            <w:tcW w:w="0" w:type="auto"/>
            <w:vMerge/>
            <w:vAlign w:val="center"/>
            <w:hideMark/>
          </w:tcPr>
          <w:p w14:paraId="093DD875" w14:textId="77777777" w:rsidR="00D053CA" w:rsidRPr="00D053CA" w:rsidRDefault="00D053CA" w:rsidP="00AA4BBB">
            <w:pPr>
              <w:rPr>
                <w:rFonts w:cs="Arial"/>
                <w:b/>
                <w:bCs/>
                <w:sz w:val="18"/>
                <w:szCs w:val="18"/>
              </w:rPr>
            </w:pPr>
          </w:p>
        </w:tc>
      </w:tr>
      <w:tr w:rsidR="00D053CA" w:rsidRPr="00D053CA" w14:paraId="71B70A4D" w14:textId="77777777" w:rsidTr="00AA4BBB">
        <w:tc>
          <w:tcPr>
            <w:tcW w:w="0" w:type="auto"/>
            <w:vMerge w:val="restart"/>
            <w:tcMar>
              <w:top w:w="30" w:type="dxa"/>
              <w:left w:w="45" w:type="dxa"/>
              <w:bottom w:w="30" w:type="dxa"/>
              <w:right w:w="45" w:type="dxa"/>
            </w:tcMar>
            <w:vAlign w:val="center"/>
            <w:hideMark/>
          </w:tcPr>
          <w:p w14:paraId="045B1155" w14:textId="77777777" w:rsidR="00D053CA" w:rsidRPr="00D053CA" w:rsidRDefault="00D053CA" w:rsidP="00AA4BBB">
            <w:pPr>
              <w:rPr>
                <w:rFonts w:cs="Arial"/>
                <w:sz w:val="18"/>
                <w:szCs w:val="18"/>
              </w:rPr>
            </w:pPr>
            <w:r w:rsidRPr="00D053CA">
              <w:rPr>
                <w:rFonts w:cs="Arial"/>
                <w:sz w:val="18"/>
                <w:szCs w:val="18"/>
              </w:rPr>
              <w:t xml:space="preserve">Implementar una (1) estrategia de participación ciudadana en las 20 localidades con enfoque de género poblacional y diferencial en el marco </w:t>
            </w:r>
            <w:r w:rsidRPr="00D053CA">
              <w:rPr>
                <w:rFonts w:cs="Arial"/>
                <w:sz w:val="18"/>
                <w:szCs w:val="18"/>
              </w:rPr>
              <w:lastRenderedPageBreak/>
              <w:t>de presupuestos participativos Gobierno Abierto de Bogotá.</w:t>
            </w:r>
          </w:p>
        </w:tc>
        <w:tc>
          <w:tcPr>
            <w:tcW w:w="0" w:type="auto"/>
            <w:tcMar>
              <w:top w:w="30" w:type="dxa"/>
              <w:left w:w="45" w:type="dxa"/>
              <w:bottom w:w="30" w:type="dxa"/>
              <w:right w:w="45" w:type="dxa"/>
            </w:tcMar>
            <w:vAlign w:val="center"/>
            <w:hideMark/>
          </w:tcPr>
          <w:p w14:paraId="34B4A61F" w14:textId="77777777" w:rsidR="00D053CA" w:rsidRPr="00D053CA" w:rsidRDefault="00D053CA" w:rsidP="00AA4BBB">
            <w:pPr>
              <w:jc w:val="center"/>
              <w:rPr>
                <w:rFonts w:cs="Arial"/>
                <w:sz w:val="18"/>
                <w:szCs w:val="18"/>
              </w:rPr>
            </w:pPr>
            <w:r w:rsidRPr="00D053CA">
              <w:rPr>
                <w:rFonts w:cs="Arial"/>
                <w:sz w:val="18"/>
                <w:szCs w:val="18"/>
              </w:rPr>
              <w:lastRenderedPageBreak/>
              <w:t>20%</w:t>
            </w:r>
          </w:p>
        </w:tc>
        <w:tc>
          <w:tcPr>
            <w:tcW w:w="0" w:type="auto"/>
            <w:tcMar>
              <w:top w:w="30" w:type="dxa"/>
              <w:left w:w="45" w:type="dxa"/>
              <w:bottom w:w="30" w:type="dxa"/>
              <w:right w:w="45" w:type="dxa"/>
            </w:tcMar>
            <w:vAlign w:val="center"/>
            <w:hideMark/>
          </w:tcPr>
          <w:p w14:paraId="1155CE9A" w14:textId="77777777" w:rsidR="00D053CA" w:rsidRPr="00D053CA" w:rsidRDefault="00D053CA" w:rsidP="00AA4BBB">
            <w:pPr>
              <w:jc w:val="center"/>
              <w:rPr>
                <w:rFonts w:cs="Arial"/>
                <w:sz w:val="18"/>
                <w:szCs w:val="18"/>
              </w:rPr>
            </w:pPr>
            <w:r w:rsidRPr="00D053CA">
              <w:rPr>
                <w:rFonts w:cs="Arial"/>
                <w:sz w:val="18"/>
                <w:szCs w:val="18"/>
              </w:rPr>
              <w:t>20%</w:t>
            </w:r>
          </w:p>
        </w:tc>
        <w:tc>
          <w:tcPr>
            <w:tcW w:w="0" w:type="auto"/>
            <w:tcMar>
              <w:top w:w="30" w:type="dxa"/>
              <w:left w:w="45" w:type="dxa"/>
              <w:bottom w:w="30" w:type="dxa"/>
              <w:right w:w="45" w:type="dxa"/>
            </w:tcMar>
            <w:vAlign w:val="center"/>
            <w:hideMark/>
          </w:tcPr>
          <w:p w14:paraId="23E3AD88" w14:textId="77777777" w:rsidR="00D053CA" w:rsidRPr="00D053CA" w:rsidRDefault="00D053CA" w:rsidP="00AA4BBB">
            <w:pPr>
              <w:jc w:val="center"/>
              <w:rPr>
                <w:rFonts w:cs="Arial"/>
                <w:sz w:val="18"/>
                <w:szCs w:val="18"/>
              </w:rPr>
            </w:pPr>
            <w:r w:rsidRPr="00D053CA">
              <w:rPr>
                <w:rFonts w:cs="Arial"/>
                <w:sz w:val="18"/>
                <w:szCs w:val="18"/>
              </w:rPr>
              <w:t>20%</w:t>
            </w:r>
          </w:p>
        </w:tc>
        <w:tc>
          <w:tcPr>
            <w:tcW w:w="0" w:type="auto"/>
            <w:tcMar>
              <w:top w:w="30" w:type="dxa"/>
              <w:left w:w="45" w:type="dxa"/>
              <w:bottom w:w="30" w:type="dxa"/>
              <w:right w:w="45" w:type="dxa"/>
            </w:tcMar>
            <w:vAlign w:val="center"/>
            <w:hideMark/>
          </w:tcPr>
          <w:p w14:paraId="70850E19" w14:textId="77777777" w:rsidR="00D053CA" w:rsidRPr="00D053CA" w:rsidRDefault="00D053CA" w:rsidP="00AA4BBB">
            <w:pPr>
              <w:jc w:val="center"/>
              <w:rPr>
                <w:rFonts w:cs="Arial"/>
                <w:sz w:val="18"/>
                <w:szCs w:val="18"/>
              </w:rPr>
            </w:pPr>
            <w:r w:rsidRPr="00D053CA">
              <w:rPr>
                <w:rFonts w:cs="Arial"/>
                <w:sz w:val="18"/>
                <w:szCs w:val="18"/>
              </w:rPr>
              <w:t>40%</w:t>
            </w:r>
          </w:p>
        </w:tc>
        <w:tc>
          <w:tcPr>
            <w:tcW w:w="0" w:type="auto"/>
            <w:vMerge w:val="restart"/>
            <w:tcMar>
              <w:top w:w="30" w:type="dxa"/>
              <w:left w:w="45" w:type="dxa"/>
              <w:bottom w:w="30" w:type="dxa"/>
              <w:right w:w="45" w:type="dxa"/>
            </w:tcMar>
            <w:vAlign w:val="center"/>
            <w:hideMark/>
          </w:tcPr>
          <w:p w14:paraId="3B7AD12A" w14:textId="77777777" w:rsidR="00D053CA" w:rsidRPr="00D053CA" w:rsidRDefault="00D053CA" w:rsidP="00AA4BBB">
            <w:pPr>
              <w:jc w:val="center"/>
              <w:rPr>
                <w:rFonts w:cs="Arial"/>
                <w:b/>
                <w:bCs/>
                <w:sz w:val="18"/>
                <w:szCs w:val="18"/>
              </w:rPr>
            </w:pPr>
            <w:r w:rsidRPr="00D053CA">
              <w:rPr>
                <w:rFonts w:cs="Arial"/>
                <w:b/>
                <w:bCs/>
                <w:sz w:val="18"/>
                <w:szCs w:val="18"/>
              </w:rPr>
              <w:t>6.451.649.497</w:t>
            </w:r>
          </w:p>
        </w:tc>
      </w:tr>
      <w:tr w:rsidR="00D053CA" w:rsidRPr="00D053CA" w14:paraId="5317066A" w14:textId="77777777" w:rsidTr="00AA4BBB">
        <w:tc>
          <w:tcPr>
            <w:tcW w:w="0" w:type="auto"/>
            <w:vMerge/>
            <w:vAlign w:val="center"/>
            <w:hideMark/>
          </w:tcPr>
          <w:p w14:paraId="16132835"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77FA3305" w14:textId="77777777" w:rsidR="00D053CA" w:rsidRPr="00D053CA" w:rsidRDefault="00D053CA" w:rsidP="00AA4BBB">
            <w:pPr>
              <w:jc w:val="center"/>
              <w:rPr>
                <w:rFonts w:cs="Arial"/>
                <w:sz w:val="18"/>
                <w:szCs w:val="18"/>
              </w:rPr>
            </w:pPr>
            <w:r w:rsidRPr="00D053CA">
              <w:rPr>
                <w:rFonts w:cs="Arial"/>
                <w:sz w:val="18"/>
                <w:szCs w:val="18"/>
              </w:rPr>
              <w:t>800.000.000</w:t>
            </w:r>
          </w:p>
        </w:tc>
        <w:tc>
          <w:tcPr>
            <w:tcW w:w="0" w:type="auto"/>
            <w:tcMar>
              <w:top w:w="30" w:type="dxa"/>
              <w:left w:w="45" w:type="dxa"/>
              <w:bottom w:w="30" w:type="dxa"/>
              <w:right w:w="45" w:type="dxa"/>
            </w:tcMar>
            <w:vAlign w:val="center"/>
            <w:hideMark/>
          </w:tcPr>
          <w:p w14:paraId="548448BE" w14:textId="77777777" w:rsidR="00D053CA" w:rsidRPr="00D053CA" w:rsidRDefault="00D053CA" w:rsidP="00AA4BBB">
            <w:pPr>
              <w:jc w:val="center"/>
              <w:rPr>
                <w:rFonts w:cs="Arial"/>
                <w:sz w:val="18"/>
                <w:szCs w:val="18"/>
              </w:rPr>
            </w:pPr>
            <w:r w:rsidRPr="00D053CA">
              <w:rPr>
                <w:rFonts w:cs="Arial"/>
                <w:sz w:val="18"/>
                <w:szCs w:val="18"/>
              </w:rPr>
              <w:t>1.844.660.194</w:t>
            </w:r>
          </w:p>
        </w:tc>
        <w:tc>
          <w:tcPr>
            <w:tcW w:w="0" w:type="auto"/>
            <w:tcMar>
              <w:top w:w="30" w:type="dxa"/>
              <w:left w:w="45" w:type="dxa"/>
              <w:bottom w:w="30" w:type="dxa"/>
              <w:right w:w="45" w:type="dxa"/>
            </w:tcMar>
            <w:vAlign w:val="center"/>
            <w:hideMark/>
          </w:tcPr>
          <w:p w14:paraId="71E779A9" w14:textId="77777777" w:rsidR="00D053CA" w:rsidRPr="00D053CA" w:rsidRDefault="00D053CA" w:rsidP="00AA4BBB">
            <w:pPr>
              <w:jc w:val="center"/>
              <w:rPr>
                <w:rFonts w:cs="Arial"/>
                <w:sz w:val="18"/>
                <w:szCs w:val="18"/>
              </w:rPr>
            </w:pPr>
            <w:r w:rsidRPr="00D053CA">
              <w:rPr>
                <w:rFonts w:cs="Arial"/>
                <w:sz w:val="18"/>
                <w:szCs w:val="18"/>
              </w:rPr>
              <w:t>1.885.191.818</w:t>
            </w:r>
          </w:p>
        </w:tc>
        <w:tc>
          <w:tcPr>
            <w:tcW w:w="0" w:type="auto"/>
            <w:tcMar>
              <w:top w:w="30" w:type="dxa"/>
              <w:left w:w="45" w:type="dxa"/>
              <w:bottom w:w="30" w:type="dxa"/>
              <w:right w:w="45" w:type="dxa"/>
            </w:tcMar>
            <w:vAlign w:val="center"/>
            <w:hideMark/>
          </w:tcPr>
          <w:p w14:paraId="58334406" w14:textId="77777777" w:rsidR="00D053CA" w:rsidRPr="00D053CA" w:rsidRDefault="00D053CA" w:rsidP="00AA4BBB">
            <w:pPr>
              <w:jc w:val="center"/>
              <w:rPr>
                <w:rFonts w:cs="Arial"/>
                <w:sz w:val="18"/>
                <w:szCs w:val="18"/>
              </w:rPr>
            </w:pPr>
            <w:r w:rsidRPr="00D053CA">
              <w:rPr>
                <w:rFonts w:cs="Arial"/>
                <w:sz w:val="18"/>
                <w:szCs w:val="18"/>
              </w:rPr>
              <w:t>1.921.797.485</w:t>
            </w:r>
          </w:p>
        </w:tc>
        <w:tc>
          <w:tcPr>
            <w:tcW w:w="0" w:type="auto"/>
            <w:vMerge/>
            <w:vAlign w:val="center"/>
            <w:hideMark/>
          </w:tcPr>
          <w:p w14:paraId="41C58F4B" w14:textId="77777777" w:rsidR="00D053CA" w:rsidRPr="00D053CA" w:rsidRDefault="00D053CA" w:rsidP="00AA4BBB">
            <w:pPr>
              <w:rPr>
                <w:rFonts w:cs="Arial"/>
                <w:b/>
                <w:bCs/>
                <w:sz w:val="18"/>
                <w:szCs w:val="18"/>
              </w:rPr>
            </w:pPr>
          </w:p>
        </w:tc>
      </w:tr>
      <w:tr w:rsidR="00D053CA" w:rsidRPr="00D053CA" w14:paraId="7D3D022E" w14:textId="77777777" w:rsidTr="00AA4BBB">
        <w:tc>
          <w:tcPr>
            <w:tcW w:w="0" w:type="auto"/>
            <w:vMerge w:val="restart"/>
            <w:tcMar>
              <w:top w:w="30" w:type="dxa"/>
              <w:left w:w="45" w:type="dxa"/>
              <w:bottom w:w="30" w:type="dxa"/>
              <w:right w:w="45" w:type="dxa"/>
            </w:tcMar>
            <w:vAlign w:val="center"/>
            <w:hideMark/>
          </w:tcPr>
          <w:p w14:paraId="355DE601" w14:textId="77777777" w:rsidR="00D053CA" w:rsidRPr="00D053CA" w:rsidRDefault="00D053CA" w:rsidP="00AA4BBB">
            <w:pPr>
              <w:rPr>
                <w:rFonts w:cs="Arial"/>
                <w:sz w:val="18"/>
                <w:szCs w:val="18"/>
              </w:rPr>
            </w:pPr>
            <w:r w:rsidRPr="00D053CA">
              <w:rPr>
                <w:rFonts w:cs="Arial"/>
                <w:sz w:val="18"/>
                <w:szCs w:val="18"/>
              </w:rPr>
              <w:t>Implementar una (1) metodología conducente a la implementación y seguimiento de convenios solidarios para facilitar el aprovechamiento en bienes fiscales y de carácter comunitario en salones comunales así como en estacionamiento en zonas de cesión con uso de parqueadero de carácter barrial con uso comunitario que no hagan parte de la red de estacionamientos públicos y privados de conexión al sistema de transporte.</w:t>
            </w:r>
          </w:p>
        </w:tc>
        <w:tc>
          <w:tcPr>
            <w:tcW w:w="0" w:type="auto"/>
            <w:tcMar>
              <w:top w:w="30" w:type="dxa"/>
              <w:left w:w="45" w:type="dxa"/>
              <w:bottom w:w="30" w:type="dxa"/>
              <w:right w:w="45" w:type="dxa"/>
            </w:tcMar>
            <w:vAlign w:val="center"/>
            <w:hideMark/>
          </w:tcPr>
          <w:p w14:paraId="6E4D7181"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tcMar>
              <w:top w:w="30" w:type="dxa"/>
              <w:left w:w="45" w:type="dxa"/>
              <w:bottom w:w="30" w:type="dxa"/>
              <w:right w:w="45" w:type="dxa"/>
            </w:tcMar>
            <w:vAlign w:val="center"/>
            <w:hideMark/>
          </w:tcPr>
          <w:p w14:paraId="2C084419"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tcMar>
              <w:top w:w="30" w:type="dxa"/>
              <w:left w:w="45" w:type="dxa"/>
              <w:bottom w:w="30" w:type="dxa"/>
              <w:right w:w="45" w:type="dxa"/>
            </w:tcMar>
            <w:vAlign w:val="center"/>
            <w:hideMark/>
          </w:tcPr>
          <w:p w14:paraId="54292BA7"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tcMar>
              <w:top w:w="30" w:type="dxa"/>
              <w:left w:w="45" w:type="dxa"/>
              <w:bottom w:w="30" w:type="dxa"/>
              <w:right w:w="45" w:type="dxa"/>
            </w:tcMar>
            <w:vAlign w:val="center"/>
            <w:hideMark/>
          </w:tcPr>
          <w:p w14:paraId="4A7C84D4" w14:textId="77777777" w:rsidR="00D053CA" w:rsidRPr="00D053CA" w:rsidRDefault="00D053CA" w:rsidP="00AA4BBB">
            <w:pPr>
              <w:jc w:val="center"/>
              <w:rPr>
                <w:rFonts w:cs="Arial"/>
                <w:sz w:val="18"/>
                <w:szCs w:val="18"/>
              </w:rPr>
            </w:pPr>
            <w:r w:rsidRPr="00D053CA">
              <w:rPr>
                <w:rFonts w:cs="Arial"/>
                <w:sz w:val="18"/>
                <w:szCs w:val="18"/>
              </w:rPr>
              <w:t>25,00%</w:t>
            </w:r>
          </w:p>
        </w:tc>
        <w:tc>
          <w:tcPr>
            <w:tcW w:w="0" w:type="auto"/>
            <w:vMerge w:val="restart"/>
            <w:tcMar>
              <w:top w:w="30" w:type="dxa"/>
              <w:left w:w="45" w:type="dxa"/>
              <w:bottom w:w="30" w:type="dxa"/>
              <w:right w:w="45" w:type="dxa"/>
            </w:tcMar>
            <w:vAlign w:val="center"/>
            <w:hideMark/>
          </w:tcPr>
          <w:p w14:paraId="260086B8" w14:textId="77777777" w:rsidR="00D053CA" w:rsidRPr="00D053CA" w:rsidRDefault="00D053CA" w:rsidP="00AA4BBB">
            <w:pPr>
              <w:jc w:val="center"/>
              <w:rPr>
                <w:rFonts w:cs="Arial"/>
                <w:b/>
                <w:bCs/>
                <w:sz w:val="18"/>
                <w:szCs w:val="18"/>
              </w:rPr>
            </w:pPr>
            <w:r w:rsidRPr="00D053CA">
              <w:rPr>
                <w:rFonts w:cs="Arial"/>
                <w:b/>
                <w:bCs/>
                <w:sz w:val="18"/>
                <w:szCs w:val="18"/>
              </w:rPr>
              <w:t>1.810.211.178</w:t>
            </w:r>
          </w:p>
        </w:tc>
      </w:tr>
      <w:tr w:rsidR="00D053CA" w:rsidRPr="00D053CA" w14:paraId="42C8E4FF" w14:textId="77777777" w:rsidTr="00AA4BBB">
        <w:tc>
          <w:tcPr>
            <w:tcW w:w="0" w:type="auto"/>
            <w:vMerge/>
            <w:vAlign w:val="center"/>
            <w:hideMark/>
          </w:tcPr>
          <w:p w14:paraId="2889878A"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3F21711B" w14:textId="77777777" w:rsidR="00D053CA" w:rsidRPr="00D053CA" w:rsidRDefault="00D053CA" w:rsidP="00AA4BBB">
            <w:pPr>
              <w:jc w:val="center"/>
              <w:rPr>
                <w:rFonts w:cs="Arial"/>
                <w:sz w:val="18"/>
                <w:szCs w:val="18"/>
              </w:rPr>
            </w:pPr>
            <w:r w:rsidRPr="00D053CA">
              <w:rPr>
                <w:rFonts w:cs="Arial"/>
                <w:sz w:val="18"/>
                <w:szCs w:val="18"/>
              </w:rPr>
              <w:t>190.000.000</w:t>
            </w:r>
          </w:p>
        </w:tc>
        <w:tc>
          <w:tcPr>
            <w:tcW w:w="0" w:type="auto"/>
            <w:tcMar>
              <w:top w:w="30" w:type="dxa"/>
              <w:left w:w="45" w:type="dxa"/>
              <w:bottom w:w="30" w:type="dxa"/>
              <w:right w:w="45" w:type="dxa"/>
            </w:tcMar>
            <w:vAlign w:val="center"/>
            <w:hideMark/>
          </w:tcPr>
          <w:p w14:paraId="00FCE697" w14:textId="77777777" w:rsidR="00D053CA" w:rsidRPr="00D053CA" w:rsidRDefault="00D053CA" w:rsidP="00AA4BBB">
            <w:pPr>
              <w:jc w:val="center"/>
              <w:rPr>
                <w:rFonts w:cs="Arial"/>
                <w:sz w:val="18"/>
                <w:szCs w:val="18"/>
              </w:rPr>
            </w:pPr>
            <w:r w:rsidRPr="00D053CA">
              <w:rPr>
                <w:rFonts w:cs="Arial"/>
                <w:sz w:val="18"/>
                <w:szCs w:val="18"/>
              </w:rPr>
              <w:t>645.631.068</w:t>
            </w:r>
          </w:p>
        </w:tc>
        <w:tc>
          <w:tcPr>
            <w:tcW w:w="0" w:type="auto"/>
            <w:tcMar>
              <w:top w:w="30" w:type="dxa"/>
              <w:left w:w="45" w:type="dxa"/>
              <w:bottom w:w="30" w:type="dxa"/>
              <w:right w:w="45" w:type="dxa"/>
            </w:tcMar>
            <w:vAlign w:val="center"/>
            <w:hideMark/>
          </w:tcPr>
          <w:p w14:paraId="0126D0CD" w14:textId="77777777" w:rsidR="00D053CA" w:rsidRPr="00D053CA" w:rsidRDefault="00D053CA" w:rsidP="00AA4BBB">
            <w:pPr>
              <w:jc w:val="center"/>
              <w:rPr>
                <w:rFonts w:cs="Arial"/>
                <w:sz w:val="18"/>
                <w:szCs w:val="18"/>
              </w:rPr>
            </w:pPr>
            <w:r w:rsidRPr="00D053CA">
              <w:rPr>
                <w:rFonts w:cs="Arial"/>
                <w:sz w:val="18"/>
                <w:szCs w:val="18"/>
              </w:rPr>
              <w:t>626.826.280</w:t>
            </w:r>
          </w:p>
        </w:tc>
        <w:tc>
          <w:tcPr>
            <w:tcW w:w="0" w:type="auto"/>
            <w:tcMar>
              <w:top w:w="30" w:type="dxa"/>
              <w:left w:w="45" w:type="dxa"/>
              <w:bottom w:w="30" w:type="dxa"/>
              <w:right w:w="45" w:type="dxa"/>
            </w:tcMar>
            <w:vAlign w:val="center"/>
            <w:hideMark/>
          </w:tcPr>
          <w:p w14:paraId="492506D0" w14:textId="77777777" w:rsidR="00D053CA" w:rsidRPr="00D053CA" w:rsidRDefault="00D053CA" w:rsidP="00AA4BBB">
            <w:pPr>
              <w:jc w:val="center"/>
              <w:rPr>
                <w:rFonts w:cs="Arial"/>
                <w:sz w:val="18"/>
                <w:szCs w:val="18"/>
              </w:rPr>
            </w:pPr>
            <w:r w:rsidRPr="00D053CA">
              <w:rPr>
                <w:rFonts w:cs="Arial"/>
                <w:sz w:val="18"/>
                <w:szCs w:val="18"/>
              </w:rPr>
              <w:t>347.753.831</w:t>
            </w:r>
          </w:p>
        </w:tc>
        <w:tc>
          <w:tcPr>
            <w:tcW w:w="0" w:type="auto"/>
            <w:vMerge/>
            <w:vAlign w:val="center"/>
            <w:hideMark/>
          </w:tcPr>
          <w:p w14:paraId="2C8343B3" w14:textId="77777777" w:rsidR="00D053CA" w:rsidRPr="00D053CA" w:rsidRDefault="00D053CA" w:rsidP="00AA4BBB">
            <w:pPr>
              <w:rPr>
                <w:rFonts w:cs="Arial"/>
                <w:b/>
                <w:bCs/>
                <w:sz w:val="18"/>
                <w:szCs w:val="18"/>
              </w:rPr>
            </w:pPr>
          </w:p>
        </w:tc>
      </w:tr>
      <w:tr w:rsidR="00D053CA" w:rsidRPr="00D053CA" w14:paraId="6CD31139" w14:textId="77777777" w:rsidTr="00AA4BBB">
        <w:tc>
          <w:tcPr>
            <w:tcW w:w="0" w:type="auto"/>
            <w:gridSpan w:val="6"/>
            <w:shd w:val="clear" w:color="auto" w:fill="C00000"/>
            <w:tcMar>
              <w:top w:w="30" w:type="dxa"/>
              <w:left w:w="45" w:type="dxa"/>
              <w:bottom w:w="30" w:type="dxa"/>
              <w:right w:w="45" w:type="dxa"/>
            </w:tcMar>
            <w:vAlign w:val="center"/>
            <w:hideMark/>
          </w:tcPr>
          <w:p w14:paraId="3005E29B" w14:textId="77777777" w:rsidR="00D053CA" w:rsidRPr="00D053CA" w:rsidRDefault="00D053CA" w:rsidP="00AA4BBB">
            <w:pPr>
              <w:jc w:val="center"/>
              <w:rPr>
                <w:rFonts w:cs="Arial"/>
                <w:b/>
                <w:bCs/>
                <w:sz w:val="18"/>
                <w:szCs w:val="18"/>
              </w:rPr>
            </w:pPr>
            <w:r w:rsidRPr="00D053CA">
              <w:rPr>
                <w:rFonts w:cs="Arial"/>
                <w:b/>
                <w:bCs/>
                <w:color w:val="FFFFFF" w:themeColor="background1"/>
                <w:sz w:val="18"/>
                <w:szCs w:val="18"/>
              </w:rPr>
              <w:t>Hacienda</w:t>
            </w:r>
          </w:p>
        </w:tc>
      </w:tr>
      <w:tr w:rsidR="00D053CA" w:rsidRPr="00D053CA" w14:paraId="747ECB92" w14:textId="77777777" w:rsidTr="00AA4BBB">
        <w:tc>
          <w:tcPr>
            <w:tcW w:w="0" w:type="auto"/>
            <w:vMerge w:val="restart"/>
            <w:tcMar>
              <w:top w:w="30" w:type="dxa"/>
              <w:left w:w="45" w:type="dxa"/>
              <w:bottom w:w="30" w:type="dxa"/>
              <w:right w:w="45" w:type="dxa"/>
            </w:tcMar>
            <w:vAlign w:val="center"/>
            <w:hideMark/>
          </w:tcPr>
          <w:p w14:paraId="7848AB65" w14:textId="77777777" w:rsidR="00D053CA" w:rsidRPr="00D053CA" w:rsidRDefault="00D053CA" w:rsidP="00AA4BBB">
            <w:pPr>
              <w:rPr>
                <w:rFonts w:cs="Arial"/>
                <w:sz w:val="18"/>
                <w:szCs w:val="18"/>
              </w:rPr>
            </w:pPr>
            <w:r w:rsidRPr="00D053CA">
              <w:rPr>
                <w:rFonts w:cs="Arial"/>
                <w:sz w:val="18"/>
                <w:szCs w:val="18"/>
              </w:rPr>
              <w:t>Alcanzar 78 puntos en el índice de satisfacción frente a los trámites que presta la Secretaría Distrital de Hacienda</w:t>
            </w:r>
          </w:p>
        </w:tc>
        <w:tc>
          <w:tcPr>
            <w:tcW w:w="0" w:type="auto"/>
            <w:tcMar>
              <w:top w:w="30" w:type="dxa"/>
              <w:left w:w="45" w:type="dxa"/>
              <w:bottom w:w="30" w:type="dxa"/>
              <w:right w:w="45" w:type="dxa"/>
            </w:tcMar>
            <w:vAlign w:val="center"/>
            <w:hideMark/>
          </w:tcPr>
          <w:p w14:paraId="16E42CEB" w14:textId="77777777" w:rsidR="00D053CA" w:rsidRPr="00D053CA" w:rsidRDefault="00D053CA" w:rsidP="00AA4BBB">
            <w:pPr>
              <w:jc w:val="center"/>
              <w:rPr>
                <w:rFonts w:cs="Arial"/>
                <w:sz w:val="18"/>
                <w:szCs w:val="18"/>
              </w:rPr>
            </w:pPr>
            <w:r w:rsidRPr="00D053CA">
              <w:rPr>
                <w:rFonts w:cs="Arial"/>
                <w:sz w:val="18"/>
                <w:szCs w:val="18"/>
              </w:rPr>
              <w:t>68</w:t>
            </w:r>
          </w:p>
        </w:tc>
        <w:tc>
          <w:tcPr>
            <w:tcW w:w="0" w:type="auto"/>
            <w:tcMar>
              <w:top w:w="30" w:type="dxa"/>
              <w:left w:w="45" w:type="dxa"/>
              <w:bottom w:w="30" w:type="dxa"/>
              <w:right w:w="45" w:type="dxa"/>
            </w:tcMar>
            <w:vAlign w:val="center"/>
            <w:hideMark/>
          </w:tcPr>
          <w:p w14:paraId="4A9BE426" w14:textId="77777777" w:rsidR="00D053CA" w:rsidRPr="00D053CA" w:rsidRDefault="00D053CA" w:rsidP="00AA4BBB">
            <w:pPr>
              <w:jc w:val="center"/>
              <w:rPr>
                <w:rFonts w:cs="Arial"/>
                <w:sz w:val="18"/>
                <w:szCs w:val="18"/>
              </w:rPr>
            </w:pPr>
            <w:r w:rsidRPr="00D053CA">
              <w:rPr>
                <w:rFonts w:cs="Arial"/>
                <w:sz w:val="18"/>
                <w:szCs w:val="18"/>
              </w:rPr>
              <w:t>70</w:t>
            </w:r>
          </w:p>
        </w:tc>
        <w:tc>
          <w:tcPr>
            <w:tcW w:w="0" w:type="auto"/>
            <w:tcMar>
              <w:top w:w="30" w:type="dxa"/>
              <w:left w:w="45" w:type="dxa"/>
              <w:bottom w:w="30" w:type="dxa"/>
              <w:right w:w="45" w:type="dxa"/>
            </w:tcMar>
            <w:vAlign w:val="center"/>
            <w:hideMark/>
          </w:tcPr>
          <w:p w14:paraId="598C6929" w14:textId="77777777" w:rsidR="00D053CA" w:rsidRPr="00D053CA" w:rsidRDefault="00D053CA" w:rsidP="00AA4BBB">
            <w:pPr>
              <w:jc w:val="center"/>
              <w:rPr>
                <w:rFonts w:cs="Arial"/>
                <w:sz w:val="18"/>
                <w:szCs w:val="18"/>
              </w:rPr>
            </w:pPr>
            <w:r w:rsidRPr="00D053CA">
              <w:rPr>
                <w:rFonts w:cs="Arial"/>
                <w:sz w:val="18"/>
                <w:szCs w:val="18"/>
              </w:rPr>
              <w:t>73</w:t>
            </w:r>
          </w:p>
        </w:tc>
        <w:tc>
          <w:tcPr>
            <w:tcW w:w="0" w:type="auto"/>
            <w:tcMar>
              <w:top w:w="30" w:type="dxa"/>
              <w:left w:w="45" w:type="dxa"/>
              <w:bottom w:w="30" w:type="dxa"/>
              <w:right w:w="45" w:type="dxa"/>
            </w:tcMar>
            <w:vAlign w:val="center"/>
            <w:hideMark/>
          </w:tcPr>
          <w:p w14:paraId="7AAB1E30" w14:textId="77777777" w:rsidR="00D053CA" w:rsidRPr="00D053CA" w:rsidRDefault="00D053CA" w:rsidP="00AA4BBB">
            <w:pPr>
              <w:jc w:val="center"/>
              <w:rPr>
                <w:rFonts w:cs="Arial"/>
                <w:sz w:val="18"/>
                <w:szCs w:val="18"/>
              </w:rPr>
            </w:pPr>
            <w:r w:rsidRPr="00D053CA">
              <w:rPr>
                <w:rFonts w:cs="Arial"/>
                <w:sz w:val="18"/>
                <w:szCs w:val="18"/>
              </w:rPr>
              <w:t>78</w:t>
            </w:r>
          </w:p>
        </w:tc>
        <w:tc>
          <w:tcPr>
            <w:tcW w:w="0" w:type="auto"/>
            <w:vMerge w:val="restart"/>
            <w:tcMar>
              <w:top w:w="30" w:type="dxa"/>
              <w:left w:w="45" w:type="dxa"/>
              <w:bottom w:w="30" w:type="dxa"/>
              <w:right w:w="45" w:type="dxa"/>
            </w:tcMar>
            <w:vAlign w:val="center"/>
            <w:hideMark/>
          </w:tcPr>
          <w:p w14:paraId="11B1FE8B" w14:textId="77777777" w:rsidR="00D053CA" w:rsidRPr="00D053CA" w:rsidRDefault="00D053CA" w:rsidP="00AA4BBB">
            <w:pPr>
              <w:jc w:val="center"/>
              <w:rPr>
                <w:rFonts w:cs="Arial"/>
                <w:b/>
                <w:bCs/>
                <w:sz w:val="18"/>
                <w:szCs w:val="18"/>
              </w:rPr>
            </w:pPr>
            <w:r w:rsidRPr="00D053CA">
              <w:rPr>
                <w:rFonts w:cs="Arial"/>
                <w:b/>
                <w:bCs/>
                <w:sz w:val="18"/>
                <w:szCs w:val="18"/>
              </w:rPr>
              <w:t>25.435.957.819</w:t>
            </w:r>
          </w:p>
        </w:tc>
      </w:tr>
      <w:tr w:rsidR="00D053CA" w:rsidRPr="00D053CA" w14:paraId="163DD21C" w14:textId="77777777" w:rsidTr="00AA4BBB">
        <w:tc>
          <w:tcPr>
            <w:tcW w:w="0" w:type="auto"/>
            <w:vMerge/>
            <w:vAlign w:val="center"/>
            <w:hideMark/>
          </w:tcPr>
          <w:p w14:paraId="3F549F45"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2C6EDE07" w14:textId="77777777" w:rsidR="00D053CA" w:rsidRPr="00D053CA" w:rsidRDefault="00D053CA" w:rsidP="00AA4BBB">
            <w:pPr>
              <w:jc w:val="center"/>
              <w:rPr>
                <w:rFonts w:cs="Arial"/>
                <w:sz w:val="18"/>
                <w:szCs w:val="18"/>
              </w:rPr>
            </w:pPr>
            <w:r w:rsidRPr="00D053CA">
              <w:rPr>
                <w:rFonts w:cs="Arial"/>
                <w:sz w:val="18"/>
                <w:szCs w:val="18"/>
              </w:rPr>
              <w:t>1.040.000.000</w:t>
            </w:r>
          </w:p>
        </w:tc>
        <w:tc>
          <w:tcPr>
            <w:tcW w:w="0" w:type="auto"/>
            <w:tcMar>
              <w:top w:w="30" w:type="dxa"/>
              <w:left w:w="45" w:type="dxa"/>
              <w:bottom w:w="30" w:type="dxa"/>
              <w:right w:w="45" w:type="dxa"/>
            </w:tcMar>
            <w:vAlign w:val="center"/>
            <w:hideMark/>
          </w:tcPr>
          <w:p w14:paraId="344882B8" w14:textId="77777777" w:rsidR="00D053CA" w:rsidRPr="00D053CA" w:rsidRDefault="00D053CA" w:rsidP="00AA4BBB">
            <w:pPr>
              <w:jc w:val="center"/>
              <w:rPr>
                <w:rFonts w:cs="Arial"/>
                <w:sz w:val="18"/>
                <w:szCs w:val="18"/>
              </w:rPr>
            </w:pPr>
            <w:r w:rsidRPr="00D053CA">
              <w:rPr>
                <w:rFonts w:cs="Arial"/>
                <w:sz w:val="18"/>
                <w:szCs w:val="18"/>
              </w:rPr>
              <w:t>3.594.174.757</w:t>
            </w:r>
          </w:p>
        </w:tc>
        <w:tc>
          <w:tcPr>
            <w:tcW w:w="0" w:type="auto"/>
            <w:tcMar>
              <w:top w:w="30" w:type="dxa"/>
              <w:left w:w="45" w:type="dxa"/>
              <w:bottom w:w="30" w:type="dxa"/>
              <w:right w:w="45" w:type="dxa"/>
            </w:tcMar>
            <w:vAlign w:val="center"/>
            <w:hideMark/>
          </w:tcPr>
          <w:p w14:paraId="5CCB8DF4" w14:textId="77777777" w:rsidR="00D053CA" w:rsidRPr="00D053CA" w:rsidRDefault="00D053CA" w:rsidP="00AA4BBB">
            <w:pPr>
              <w:jc w:val="center"/>
              <w:rPr>
                <w:rFonts w:cs="Arial"/>
                <w:sz w:val="18"/>
                <w:szCs w:val="18"/>
              </w:rPr>
            </w:pPr>
            <w:r w:rsidRPr="00D053CA">
              <w:rPr>
                <w:rFonts w:cs="Arial"/>
                <w:sz w:val="18"/>
                <w:szCs w:val="18"/>
              </w:rPr>
              <w:t>10.735.224.809</w:t>
            </w:r>
          </w:p>
        </w:tc>
        <w:tc>
          <w:tcPr>
            <w:tcW w:w="0" w:type="auto"/>
            <w:tcMar>
              <w:top w:w="30" w:type="dxa"/>
              <w:left w:w="45" w:type="dxa"/>
              <w:bottom w:w="30" w:type="dxa"/>
              <w:right w:w="45" w:type="dxa"/>
            </w:tcMar>
            <w:vAlign w:val="center"/>
            <w:hideMark/>
          </w:tcPr>
          <w:p w14:paraId="0811C3ED" w14:textId="77777777" w:rsidR="00D053CA" w:rsidRPr="00D053CA" w:rsidRDefault="00D053CA" w:rsidP="00AA4BBB">
            <w:pPr>
              <w:jc w:val="center"/>
              <w:rPr>
                <w:rFonts w:cs="Arial"/>
                <w:sz w:val="18"/>
                <w:szCs w:val="18"/>
              </w:rPr>
            </w:pPr>
            <w:r w:rsidRPr="00D053CA">
              <w:rPr>
                <w:rFonts w:cs="Arial"/>
                <w:sz w:val="18"/>
                <w:szCs w:val="18"/>
              </w:rPr>
              <w:t>10.066.558.253</w:t>
            </w:r>
          </w:p>
        </w:tc>
        <w:tc>
          <w:tcPr>
            <w:tcW w:w="0" w:type="auto"/>
            <w:vMerge/>
            <w:vAlign w:val="center"/>
            <w:hideMark/>
          </w:tcPr>
          <w:p w14:paraId="2C961F5C" w14:textId="77777777" w:rsidR="00D053CA" w:rsidRPr="00D053CA" w:rsidRDefault="00D053CA" w:rsidP="00AA4BBB">
            <w:pPr>
              <w:rPr>
                <w:rFonts w:cs="Arial"/>
                <w:b/>
                <w:bCs/>
                <w:sz w:val="18"/>
                <w:szCs w:val="18"/>
              </w:rPr>
            </w:pPr>
          </w:p>
        </w:tc>
      </w:tr>
      <w:tr w:rsidR="00D053CA" w:rsidRPr="00D053CA" w14:paraId="3A6D89E4" w14:textId="77777777" w:rsidTr="00AA4BBB">
        <w:tc>
          <w:tcPr>
            <w:tcW w:w="0" w:type="auto"/>
            <w:gridSpan w:val="6"/>
            <w:shd w:val="clear" w:color="auto" w:fill="C00000"/>
            <w:tcMar>
              <w:top w:w="30" w:type="dxa"/>
              <w:left w:w="45" w:type="dxa"/>
              <w:bottom w:w="30" w:type="dxa"/>
              <w:right w:w="45" w:type="dxa"/>
            </w:tcMar>
            <w:vAlign w:val="center"/>
            <w:hideMark/>
          </w:tcPr>
          <w:p w14:paraId="5CB22CCD" w14:textId="77777777" w:rsidR="00D053CA" w:rsidRPr="00D053CA" w:rsidRDefault="00D053CA" w:rsidP="00AA4BBB">
            <w:pPr>
              <w:jc w:val="center"/>
              <w:rPr>
                <w:rFonts w:cs="Arial"/>
                <w:b/>
                <w:bCs/>
                <w:sz w:val="18"/>
                <w:szCs w:val="18"/>
              </w:rPr>
            </w:pPr>
            <w:r w:rsidRPr="00D053CA">
              <w:rPr>
                <w:rFonts w:cs="Arial"/>
                <w:b/>
                <w:bCs/>
                <w:color w:val="FFFFFF" w:themeColor="background1"/>
                <w:sz w:val="18"/>
                <w:szCs w:val="18"/>
              </w:rPr>
              <w:t>Movilidad</w:t>
            </w:r>
          </w:p>
        </w:tc>
      </w:tr>
      <w:tr w:rsidR="00D053CA" w:rsidRPr="00D053CA" w14:paraId="2286FFB6" w14:textId="77777777" w:rsidTr="00AA4BBB">
        <w:tc>
          <w:tcPr>
            <w:tcW w:w="0" w:type="auto"/>
            <w:vMerge w:val="restart"/>
            <w:tcMar>
              <w:top w:w="30" w:type="dxa"/>
              <w:left w:w="45" w:type="dxa"/>
              <w:bottom w:w="30" w:type="dxa"/>
              <w:right w:w="45" w:type="dxa"/>
            </w:tcMar>
            <w:vAlign w:val="center"/>
            <w:hideMark/>
          </w:tcPr>
          <w:p w14:paraId="174FCC5E" w14:textId="77777777" w:rsidR="00D053CA" w:rsidRPr="00D053CA" w:rsidRDefault="00D053CA" w:rsidP="00AA4BBB">
            <w:pPr>
              <w:rPr>
                <w:rFonts w:cs="Arial"/>
                <w:sz w:val="18"/>
                <w:szCs w:val="18"/>
              </w:rPr>
            </w:pPr>
            <w:r w:rsidRPr="00D053CA">
              <w:rPr>
                <w:rFonts w:cs="Arial"/>
                <w:sz w:val="18"/>
                <w:szCs w:val="18"/>
              </w:rPr>
              <w:t>Desarrollar el 100% de la estrategia de mejoramiento en la atención participación ciudadana incidente y formación a través de los canales definidos por cada entidad del Sector Movilidad</w:t>
            </w:r>
          </w:p>
        </w:tc>
        <w:tc>
          <w:tcPr>
            <w:tcW w:w="0" w:type="auto"/>
            <w:tcMar>
              <w:top w:w="30" w:type="dxa"/>
              <w:left w:w="45" w:type="dxa"/>
              <w:bottom w:w="30" w:type="dxa"/>
              <w:right w:w="45" w:type="dxa"/>
            </w:tcMar>
            <w:vAlign w:val="center"/>
            <w:hideMark/>
          </w:tcPr>
          <w:p w14:paraId="6B5FF223" w14:textId="77777777" w:rsidR="00D053CA" w:rsidRPr="00D053CA" w:rsidRDefault="00D053CA" w:rsidP="00AA4BBB">
            <w:pPr>
              <w:jc w:val="center"/>
              <w:rPr>
                <w:rFonts w:cs="Arial"/>
                <w:sz w:val="18"/>
                <w:szCs w:val="18"/>
              </w:rPr>
            </w:pPr>
            <w:r w:rsidRPr="00D053CA">
              <w:rPr>
                <w:rFonts w:cs="Arial"/>
                <w:sz w:val="18"/>
                <w:szCs w:val="18"/>
              </w:rPr>
              <w:t>100,00%</w:t>
            </w:r>
          </w:p>
        </w:tc>
        <w:tc>
          <w:tcPr>
            <w:tcW w:w="0" w:type="auto"/>
            <w:tcMar>
              <w:top w:w="30" w:type="dxa"/>
              <w:left w:w="45" w:type="dxa"/>
              <w:bottom w:w="30" w:type="dxa"/>
              <w:right w:w="45" w:type="dxa"/>
            </w:tcMar>
            <w:vAlign w:val="center"/>
            <w:hideMark/>
          </w:tcPr>
          <w:p w14:paraId="5AD90733" w14:textId="77777777" w:rsidR="00D053CA" w:rsidRPr="00D053CA" w:rsidRDefault="00D053CA" w:rsidP="00AA4BBB">
            <w:pPr>
              <w:jc w:val="center"/>
              <w:rPr>
                <w:rFonts w:cs="Arial"/>
                <w:sz w:val="18"/>
                <w:szCs w:val="18"/>
              </w:rPr>
            </w:pPr>
            <w:r w:rsidRPr="00D053CA">
              <w:rPr>
                <w:rFonts w:cs="Arial"/>
                <w:sz w:val="18"/>
                <w:szCs w:val="18"/>
              </w:rPr>
              <w:t>100,00%</w:t>
            </w:r>
          </w:p>
        </w:tc>
        <w:tc>
          <w:tcPr>
            <w:tcW w:w="0" w:type="auto"/>
            <w:tcMar>
              <w:top w:w="30" w:type="dxa"/>
              <w:left w:w="45" w:type="dxa"/>
              <w:bottom w:w="30" w:type="dxa"/>
              <w:right w:w="45" w:type="dxa"/>
            </w:tcMar>
            <w:vAlign w:val="center"/>
            <w:hideMark/>
          </w:tcPr>
          <w:p w14:paraId="52F60B50" w14:textId="77777777" w:rsidR="00D053CA" w:rsidRPr="00D053CA" w:rsidRDefault="00D053CA" w:rsidP="00AA4BBB">
            <w:pPr>
              <w:jc w:val="center"/>
              <w:rPr>
                <w:rFonts w:cs="Arial"/>
                <w:sz w:val="18"/>
                <w:szCs w:val="18"/>
              </w:rPr>
            </w:pPr>
            <w:r w:rsidRPr="00D053CA">
              <w:rPr>
                <w:rFonts w:cs="Arial"/>
                <w:sz w:val="18"/>
                <w:szCs w:val="18"/>
              </w:rPr>
              <w:t>100,00%</w:t>
            </w:r>
          </w:p>
        </w:tc>
        <w:tc>
          <w:tcPr>
            <w:tcW w:w="0" w:type="auto"/>
            <w:tcMar>
              <w:top w:w="30" w:type="dxa"/>
              <w:left w:w="45" w:type="dxa"/>
              <w:bottom w:w="30" w:type="dxa"/>
              <w:right w:w="45" w:type="dxa"/>
            </w:tcMar>
            <w:vAlign w:val="center"/>
            <w:hideMark/>
          </w:tcPr>
          <w:p w14:paraId="441CE975" w14:textId="77777777" w:rsidR="00D053CA" w:rsidRPr="00D053CA" w:rsidRDefault="00D053CA" w:rsidP="00AA4BBB">
            <w:pPr>
              <w:jc w:val="center"/>
              <w:rPr>
                <w:rFonts w:cs="Arial"/>
                <w:sz w:val="18"/>
                <w:szCs w:val="18"/>
              </w:rPr>
            </w:pPr>
            <w:r w:rsidRPr="00D053CA">
              <w:rPr>
                <w:rFonts w:cs="Arial"/>
                <w:sz w:val="18"/>
                <w:szCs w:val="18"/>
              </w:rPr>
              <w:t>100,00%</w:t>
            </w:r>
          </w:p>
        </w:tc>
        <w:tc>
          <w:tcPr>
            <w:tcW w:w="0" w:type="auto"/>
            <w:vMerge w:val="restart"/>
            <w:tcMar>
              <w:top w:w="30" w:type="dxa"/>
              <w:left w:w="45" w:type="dxa"/>
              <w:bottom w:w="30" w:type="dxa"/>
              <w:right w:w="45" w:type="dxa"/>
            </w:tcMar>
            <w:vAlign w:val="center"/>
            <w:hideMark/>
          </w:tcPr>
          <w:p w14:paraId="24350ED6" w14:textId="77777777" w:rsidR="00D053CA" w:rsidRPr="00D053CA" w:rsidRDefault="00D053CA" w:rsidP="00AA4BBB">
            <w:pPr>
              <w:jc w:val="center"/>
              <w:rPr>
                <w:rFonts w:cs="Arial"/>
                <w:b/>
                <w:bCs/>
                <w:sz w:val="18"/>
                <w:szCs w:val="18"/>
              </w:rPr>
            </w:pPr>
            <w:r w:rsidRPr="00D053CA">
              <w:rPr>
                <w:rFonts w:cs="Arial"/>
                <w:b/>
                <w:bCs/>
                <w:sz w:val="18"/>
                <w:szCs w:val="18"/>
              </w:rPr>
              <w:t>485.976.067.792</w:t>
            </w:r>
          </w:p>
        </w:tc>
      </w:tr>
      <w:tr w:rsidR="00D053CA" w:rsidRPr="00D053CA" w14:paraId="1D0E0084" w14:textId="77777777" w:rsidTr="00AA4BBB">
        <w:tc>
          <w:tcPr>
            <w:tcW w:w="0" w:type="auto"/>
            <w:vMerge/>
            <w:vAlign w:val="center"/>
            <w:hideMark/>
          </w:tcPr>
          <w:p w14:paraId="300CA609"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704A7498" w14:textId="77777777" w:rsidR="00D053CA" w:rsidRPr="00D053CA" w:rsidRDefault="00D053CA" w:rsidP="00AA4BBB">
            <w:pPr>
              <w:jc w:val="center"/>
              <w:rPr>
                <w:rFonts w:cs="Arial"/>
                <w:sz w:val="18"/>
                <w:szCs w:val="18"/>
              </w:rPr>
            </w:pPr>
            <w:r w:rsidRPr="00D053CA">
              <w:rPr>
                <w:rFonts w:cs="Arial"/>
                <w:sz w:val="18"/>
                <w:szCs w:val="18"/>
              </w:rPr>
              <w:t>128.790.000.000</w:t>
            </w:r>
          </w:p>
        </w:tc>
        <w:tc>
          <w:tcPr>
            <w:tcW w:w="0" w:type="auto"/>
            <w:tcMar>
              <w:top w:w="30" w:type="dxa"/>
              <w:left w:w="45" w:type="dxa"/>
              <w:bottom w:w="30" w:type="dxa"/>
              <w:right w:w="45" w:type="dxa"/>
            </w:tcMar>
            <w:vAlign w:val="center"/>
            <w:hideMark/>
          </w:tcPr>
          <w:p w14:paraId="7367D670" w14:textId="77777777" w:rsidR="00D053CA" w:rsidRPr="00D053CA" w:rsidRDefault="00D053CA" w:rsidP="00AA4BBB">
            <w:pPr>
              <w:jc w:val="center"/>
              <w:rPr>
                <w:rFonts w:cs="Arial"/>
                <w:sz w:val="18"/>
                <w:szCs w:val="18"/>
              </w:rPr>
            </w:pPr>
            <w:r w:rsidRPr="00D053CA">
              <w:rPr>
                <w:rFonts w:cs="Arial"/>
                <w:sz w:val="18"/>
                <w:szCs w:val="18"/>
              </w:rPr>
              <w:t>109.773.786.408</w:t>
            </w:r>
          </w:p>
        </w:tc>
        <w:tc>
          <w:tcPr>
            <w:tcW w:w="0" w:type="auto"/>
            <w:tcMar>
              <w:top w:w="30" w:type="dxa"/>
              <w:left w:w="45" w:type="dxa"/>
              <w:bottom w:w="30" w:type="dxa"/>
              <w:right w:w="45" w:type="dxa"/>
            </w:tcMar>
            <w:vAlign w:val="center"/>
            <w:hideMark/>
          </w:tcPr>
          <w:p w14:paraId="719A8431" w14:textId="77777777" w:rsidR="00D053CA" w:rsidRPr="00D053CA" w:rsidRDefault="00D053CA" w:rsidP="00AA4BBB">
            <w:pPr>
              <w:jc w:val="center"/>
              <w:rPr>
                <w:rFonts w:cs="Arial"/>
                <w:sz w:val="18"/>
                <w:szCs w:val="18"/>
              </w:rPr>
            </w:pPr>
            <w:r w:rsidRPr="00D053CA">
              <w:rPr>
                <w:rFonts w:cs="Arial"/>
                <w:sz w:val="18"/>
                <w:szCs w:val="18"/>
              </w:rPr>
              <w:t>124.362.333.867</w:t>
            </w:r>
          </w:p>
        </w:tc>
        <w:tc>
          <w:tcPr>
            <w:tcW w:w="0" w:type="auto"/>
            <w:tcMar>
              <w:top w:w="30" w:type="dxa"/>
              <w:left w:w="45" w:type="dxa"/>
              <w:bottom w:w="30" w:type="dxa"/>
              <w:right w:w="45" w:type="dxa"/>
            </w:tcMar>
            <w:vAlign w:val="center"/>
            <w:hideMark/>
          </w:tcPr>
          <w:p w14:paraId="4FCE2F3B" w14:textId="77777777" w:rsidR="00D053CA" w:rsidRPr="00D053CA" w:rsidRDefault="00D053CA" w:rsidP="00AA4BBB">
            <w:pPr>
              <w:jc w:val="center"/>
              <w:rPr>
                <w:rFonts w:cs="Arial"/>
                <w:sz w:val="18"/>
                <w:szCs w:val="18"/>
              </w:rPr>
            </w:pPr>
            <w:r w:rsidRPr="00D053CA">
              <w:rPr>
                <w:rFonts w:cs="Arial"/>
                <w:sz w:val="18"/>
                <w:szCs w:val="18"/>
              </w:rPr>
              <w:t>123.049.947.517</w:t>
            </w:r>
          </w:p>
        </w:tc>
        <w:tc>
          <w:tcPr>
            <w:tcW w:w="0" w:type="auto"/>
            <w:vMerge/>
            <w:vAlign w:val="center"/>
            <w:hideMark/>
          </w:tcPr>
          <w:p w14:paraId="33F6C5C6" w14:textId="77777777" w:rsidR="00D053CA" w:rsidRPr="00D053CA" w:rsidRDefault="00D053CA" w:rsidP="00AA4BBB">
            <w:pPr>
              <w:rPr>
                <w:rFonts w:cs="Arial"/>
                <w:b/>
                <w:bCs/>
                <w:sz w:val="18"/>
                <w:szCs w:val="18"/>
              </w:rPr>
            </w:pPr>
          </w:p>
        </w:tc>
      </w:tr>
      <w:tr w:rsidR="00D053CA" w:rsidRPr="00D053CA" w14:paraId="72FE0505" w14:textId="77777777" w:rsidTr="00AA4BBB">
        <w:tc>
          <w:tcPr>
            <w:tcW w:w="0" w:type="auto"/>
            <w:gridSpan w:val="6"/>
            <w:shd w:val="clear" w:color="auto" w:fill="C00000"/>
            <w:tcMar>
              <w:top w:w="30" w:type="dxa"/>
              <w:left w:w="45" w:type="dxa"/>
              <w:bottom w:w="30" w:type="dxa"/>
              <w:right w:w="45" w:type="dxa"/>
            </w:tcMar>
            <w:vAlign w:val="center"/>
            <w:hideMark/>
          </w:tcPr>
          <w:p w14:paraId="3D369BA6" w14:textId="77777777" w:rsidR="00D053CA" w:rsidRPr="00D053CA" w:rsidRDefault="00D053CA" w:rsidP="00AA4BBB">
            <w:pPr>
              <w:jc w:val="center"/>
              <w:rPr>
                <w:rFonts w:cs="Arial"/>
                <w:b/>
                <w:bCs/>
                <w:sz w:val="18"/>
                <w:szCs w:val="18"/>
              </w:rPr>
            </w:pPr>
            <w:r w:rsidRPr="00D053CA">
              <w:rPr>
                <w:rFonts w:cs="Arial"/>
                <w:b/>
                <w:bCs/>
                <w:color w:val="FFFFFF" w:themeColor="background1"/>
                <w:sz w:val="18"/>
                <w:szCs w:val="18"/>
              </w:rPr>
              <w:t>Planeación</w:t>
            </w:r>
          </w:p>
        </w:tc>
      </w:tr>
      <w:tr w:rsidR="00D053CA" w:rsidRPr="00D053CA" w14:paraId="552174A7" w14:textId="77777777" w:rsidTr="00AA4BBB">
        <w:tc>
          <w:tcPr>
            <w:tcW w:w="0" w:type="auto"/>
            <w:vMerge w:val="restart"/>
            <w:tcMar>
              <w:top w:w="30" w:type="dxa"/>
              <w:left w:w="45" w:type="dxa"/>
              <w:bottom w:w="30" w:type="dxa"/>
              <w:right w:w="45" w:type="dxa"/>
            </w:tcMar>
            <w:vAlign w:val="center"/>
            <w:hideMark/>
          </w:tcPr>
          <w:p w14:paraId="1613893B" w14:textId="77777777" w:rsidR="00D053CA" w:rsidRPr="00D053CA" w:rsidRDefault="00D053CA" w:rsidP="00AA4BBB">
            <w:pPr>
              <w:rPr>
                <w:rFonts w:cs="Arial"/>
                <w:sz w:val="18"/>
                <w:szCs w:val="18"/>
              </w:rPr>
            </w:pPr>
            <w:r w:rsidRPr="00D053CA">
              <w:rPr>
                <w:rFonts w:cs="Arial"/>
                <w:sz w:val="18"/>
                <w:szCs w:val="18"/>
              </w:rPr>
              <w:t>Implementar el 100% de las apuestas y acciones del Plan Institucional de Participación Ciudadana de la SDP garantizando la inclusión de los enfoques diferenciales la innovación la pedagogía la transparencia la rendición de cuentas permanente la incidencia y la co-construcción con la ciudadanía.</w:t>
            </w:r>
          </w:p>
        </w:tc>
        <w:tc>
          <w:tcPr>
            <w:tcW w:w="0" w:type="auto"/>
            <w:tcMar>
              <w:top w:w="30" w:type="dxa"/>
              <w:left w:w="45" w:type="dxa"/>
              <w:bottom w:w="30" w:type="dxa"/>
              <w:right w:w="45" w:type="dxa"/>
            </w:tcMar>
            <w:vAlign w:val="center"/>
            <w:hideMark/>
          </w:tcPr>
          <w:p w14:paraId="06844C04" w14:textId="77777777" w:rsidR="00D053CA" w:rsidRPr="00D053CA" w:rsidRDefault="00D053CA" w:rsidP="00AA4BBB">
            <w:pPr>
              <w:jc w:val="center"/>
              <w:rPr>
                <w:rFonts w:cs="Arial"/>
                <w:sz w:val="18"/>
                <w:szCs w:val="18"/>
              </w:rPr>
            </w:pPr>
            <w:r w:rsidRPr="00D053CA">
              <w:rPr>
                <w:rFonts w:cs="Arial"/>
                <w:sz w:val="18"/>
                <w:szCs w:val="18"/>
              </w:rPr>
              <w:t>0,25</w:t>
            </w:r>
          </w:p>
        </w:tc>
        <w:tc>
          <w:tcPr>
            <w:tcW w:w="0" w:type="auto"/>
            <w:tcMar>
              <w:top w:w="30" w:type="dxa"/>
              <w:left w:w="45" w:type="dxa"/>
              <w:bottom w:w="30" w:type="dxa"/>
              <w:right w:w="45" w:type="dxa"/>
            </w:tcMar>
            <w:vAlign w:val="center"/>
            <w:hideMark/>
          </w:tcPr>
          <w:p w14:paraId="1C64F60B" w14:textId="77777777" w:rsidR="00D053CA" w:rsidRPr="00D053CA" w:rsidRDefault="00D053CA" w:rsidP="00AA4BBB">
            <w:pPr>
              <w:jc w:val="center"/>
              <w:rPr>
                <w:rFonts w:cs="Arial"/>
                <w:sz w:val="18"/>
                <w:szCs w:val="18"/>
              </w:rPr>
            </w:pPr>
            <w:r w:rsidRPr="00D053CA">
              <w:rPr>
                <w:rFonts w:cs="Arial"/>
                <w:sz w:val="18"/>
                <w:szCs w:val="18"/>
              </w:rPr>
              <w:t>0,25</w:t>
            </w:r>
          </w:p>
        </w:tc>
        <w:tc>
          <w:tcPr>
            <w:tcW w:w="0" w:type="auto"/>
            <w:tcMar>
              <w:top w:w="30" w:type="dxa"/>
              <w:left w:w="45" w:type="dxa"/>
              <w:bottom w:w="30" w:type="dxa"/>
              <w:right w:w="45" w:type="dxa"/>
            </w:tcMar>
            <w:vAlign w:val="center"/>
            <w:hideMark/>
          </w:tcPr>
          <w:p w14:paraId="683FCD80" w14:textId="77777777" w:rsidR="00D053CA" w:rsidRPr="00D053CA" w:rsidRDefault="00D053CA" w:rsidP="00AA4BBB">
            <w:pPr>
              <w:jc w:val="center"/>
              <w:rPr>
                <w:rFonts w:cs="Arial"/>
                <w:sz w:val="18"/>
                <w:szCs w:val="18"/>
              </w:rPr>
            </w:pPr>
            <w:r w:rsidRPr="00D053CA">
              <w:rPr>
                <w:rFonts w:cs="Arial"/>
                <w:sz w:val="18"/>
                <w:szCs w:val="18"/>
              </w:rPr>
              <w:t>0,30</w:t>
            </w:r>
          </w:p>
        </w:tc>
        <w:tc>
          <w:tcPr>
            <w:tcW w:w="0" w:type="auto"/>
            <w:tcMar>
              <w:top w:w="30" w:type="dxa"/>
              <w:left w:w="45" w:type="dxa"/>
              <w:bottom w:w="30" w:type="dxa"/>
              <w:right w:w="45" w:type="dxa"/>
            </w:tcMar>
            <w:vAlign w:val="center"/>
            <w:hideMark/>
          </w:tcPr>
          <w:p w14:paraId="72BB889B" w14:textId="77777777" w:rsidR="00D053CA" w:rsidRPr="00D053CA" w:rsidRDefault="00D053CA" w:rsidP="00AA4BBB">
            <w:pPr>
              <w:jc w:val="center"/>
              <w:rPr>
                <w:rFonts w:cs="Arial"/>
                <w:sz w:val="18"/>
                <w:szCs w:val="18"/>
              </w:rPr>
            </w:pPr>
            <w:r w:rsidRPr="00D053CA">
              <w:rPr>
                <w:rFonts w:cs="Arial"/>
                <w:sz w:val="18"/>
                <w:szCs w:val="18"/>
              </w:rPr>
              <w:t>0,20</w:t>
            </w:r>
          </w:p>
        </w:tc>
        <w:tc>
          <w:tcPr>
            <w:tcW w:w="0" w:type="auto"/>
            <w:vMerge w:val="restart"/>
            <w:tcMar>
              <w:top w:w="30" w:type="dxa"/>
              <w:left w:w="45" w:type="dxa"/>
              <w:bottom w:w="30" w:type="dxa"/>
              <w:right w:w="45" w:type="dxa"/>
            </w:tcMar>
            <w:vAlign w:val="center"/>
            <w:hideMark/>
          </w:tcPr>
          <w:p w14:paraId="1F748BBC" w14:textId="77777777" w:rsidR="00D053CA" w:rsidRPr="00D053CA" w:rsidRDefault="00D053CA" w:rsidP="00AA4BBB">
            <w:pPr>
              <w:jc w:val="center"/>
              <w:rPr>
                <w:rFonts w:cs="Arial"/>
                <w:b/>
                <w:bCs/>
                <w:sz w:val="18"/>
                <w:szCs w:val="18"/>
              </w:rPr>
            </w:pPr>
            <w:r w:rsidRPr="00D053CA">
              <w:rPr>
                <w:rFonts w:cs="Arial"/>
                <w:b/>
                <w:bCs/>
                <w:sz w:val="18"/>
                <w:szCs w:val="18"/>
              </w:rPr>
              <w:t>9.355.746.198</w:t>
            </w:r>
          </w:p>
        </w:tc>
      </w:tr>
      <w:tr w:rsidR="00D053CA" w:rsidRPr="00D053CA" w14:paraId="5F6E2290" w14:textId="77777777" w:rsidTr="00AA4BBB">
        <w:tc>
          <w:tcPr>
            <w:tcW w:w="0" w:type="auto"/>
            <w:vMerge/>
            <w:vAlign w:val="center"/>
            <w:hideMark/>
          </w:tcPr>
          <w:p w14:paraId="7F84FDD6"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2C0AEC69" w14:textId="77777777" w:rsidR="00D053CA" w:rsidRPr="00D053CA" w:rsidRDefault="00D053CA" w:rsidP="00AA4BBB">
            <w:pPr>
              <w:jc w:val="center"/>
              <w:rPr>
                <w:rFonts w:cs="Arial"/>
                <w:sz w:val="18"/>
                <w:szCs w:val="18"/>
              </w:rPr>
            </w:pPr>
            <w:r w:rsidRPr="00D053CA">
              <w:rPr>
                <w:rFonts w:cs="Arial"/>
                <w:sz w:val="18"/>
                <w:szCs w:val="18"/>
              </w:rPr>
              <w:t>2.488.000.000</w:t>
            </w:r>
          </w:p>
        </w:tc>
        <w:tc>
          <w:tcPr>
            <w:tcW w:w="0" w:type="auto"/>
            <w:tcMar>
              <w:top w:w="30" w:type="dxa"/>
              <w:left w:w="45" w:type="dxa"/>
              <w:bottom w:w="30" w:type="dxa"/>
              <w:right w:w="45" w:type="dxa"/>
            </w:tcMar>
            <w:vAlign w:val="center"/>
            <w:hideMark/>
          </w:tcPr>
          <w:p w14:paraId="3A1C40C0" w14:textId="77777777" w:rsidR="00D053CA" w:rsidRPr="00D053CA" w:rsidRDefault="00D053CA" w:rsidP="00AA4BBB">
            <w:pPr>
              <w:jc w:val="center"/>
              <w:rPr>
                <w:rFonts w:cs="Arial"/>
                <w:sz w:val="18"/>
                <w:szCs w:val="18"/>
              </w:rPr>
            </w:pPr>
            <w:r w:rsidRPr="00D053CA">
              <w:rPr>
                <w:rFonts w:cs="Arial"/>
                <w:sz w:val="18"/>
                <w:szCs w:val="18"/>
              </w:rPr>
              <w:t>2.536.893.204</w:t>
            </w:r>
          </w:p>
        </w:tc>
        <w:tc>
          <w:tcPr>
            <w:tcW w:w="0" w:type="auto"/>
            <w:tcMar>
              <w:top w:w="30" w:type="dxa"/>
              <w:left w:w="45" w:type="dxa"/>
              <w:bottom w:w="30" w:type="dxa"/>
              <w:right w:w="45" w:type="dxa"/>
            </w:tcMar>
            <w:vAlign w:val="center"/>
            <w:hideMark/>
          </w:tcPr>
          <w:p w14:paraId="68ECDFF6" w14:textId="77777777" w:rsidR="00D053CA" w:rsidRPr="00D053CA" w:rsidRDefault="00D053CA" w:rsidP="00AA4BBB">
            <w:pPr>
              <w:jc w:val="center"/>
              <w:rPr>
                <w:rFonts w:cs="Arial"/>
                <w:sz w:val="18"/>
                <w:szCs w:val="18"/>
              </w:rPr>
            </w:pPr>
            <w:r w:rsidRPr="00D053CA">
              <w:rPr>
                <w:rFonts w:cs="Arial"/>
                <w:sz w:val="18"/>
                <w:szCs w:val="18"/>
              </w:rPr>
              <w:t>2.590.253.558</w:t>
            </w:r>
          </w:p>
        </w:tc>
        <w:tc>
          <w:tcPr>
            <w:tcW w:w="0" w:type="auto"/>
            <w:tcMar>
              <w:top w:w="30" w:type="dxa"/>
              <w:left w:w="45" w:type="dxa"/>
              <w:bottom w:w="30" w:type="dxa"/>
              <w:right w:w="45" w:type="dxa"/>
            </w:tcMar>
            <w:vAlign w:val="center"/>
            <w:hideMark/>
          </w:tcPr>
          <w:p w14:paraId="6258D4E1" w14:textId="77777777" w:rsidR="00D053CA" w:rsidRPr="00D053CA" w:rsidRDefault="00D053CA" w:rsidP="00AA4BBB">
            <w:pPr>
              <w:jc w:val="center"/>
              <w:rPr>
                <w:rFonts w:cs="Arial"/>
                <w:sz w:val="18"/>
                <w:szCs w:val="18"/>
              </w:rPr>
            </w:pPr>
            <w:r w:rsidRPr="00D053CA">
              <w:rPr>
                <w:rFonts w:cs="Arial"/>
                <w:sz w:val="18"/>
                <w:szCs w:val="18"/>
              </w:rPr>
              <w:t>1.740.599.436</w:t>
            </w:r>
          </w:p>
        </w:tc>
        <w:tc>
          <w:tcPr>
            <w:tcW w:w="0" w:type="auto"/>
            <w:vMerge/>
            <w:vAlign w:val="center"/>
            <w:hideMark/>
          </w:tcPr>
          <w:p w14:paraId="04EBA6E4" w14:textId="77777777" w:rsidR="00D053CA" w:rsidRPr="00D053CA" w:rsidRDefault="00D053CA" w:rsidP="00AA4BBB">
            <w:pPr>
              <w:rPr>
                <w:rFonts w:cs="Arial"/>
                <w:b/>
                <w:bCs/>
                <w:sz w:val="18"/>
                <w:szCs w:val="18"/>
              </w:rPr>
            </w:pPr>
          </w:p>
        </w:tc>
      </w:tr>
      <w:tr w:rsidR="00D053CA" w:rsidRPr="00D053CA" w14:paraId="34B02030" w14:textId="77777777" w:rsidTr="00AA4BBB">
        <w:tc>
          <w:tcPr>
            <w:tcW w:w="0" w:type="auto"/>
            <w:vMerge w:val="restart"/>
            <w:tcMar>
              <w:top w:w="30" w:type="dxa"/>
              <w:left w:w="45" w:type="dxa"/>
              <w:bottom w:w="30" w:type="dxa"/>
              <w:right w:w="45" w:type="dxa"/>
            </w:tcMar>
            <w:vAlign w:val="center"/>
            <w:hideMark/>
          </w:tcPr>
          <w:p w14:paraId="1F30CED3" w14:textId="77777777" w:rsidR="00D053CA" w:rsidRPr="00D053CA" w:rsidRDefault="00D053CA" w:rsidP="00AA4BBB">
            <w:pPr>
              <w:rPr>
                <w:rFonts w:cs="Arial"/>
                <w:sz w:val="18"/>
                <w:szCs w:val="18"/>
              </w:rPr>
            </w:pPr>
            <w:r w:rsidRPr="00D053CA">
              <w:rPr>
                <w:rFonts w:cs="Arial"/>
                <w:sz w:val="18"/>
                <w:szCs w:val="18"/>
              </w:rPr>
              <w:t>Realizar tres ciclos deliberativos contemplando mecanismos de la Democracia Deliberativa en temas estratégicos de ciudad que utilicen el sorteo para la selección de sus miembros y aseguren la representación descriptiva de la población.</w:t>
            </w:r>
          </w:p>
        </w:tc>
        <w:tc>
          <w:tcPr>
            <w:tcW w:w="0" w:type="auto"/>
            <w:tcMar>
              <w:top w:w="30" w:type="dxa"/>
              <w:left w:w="45" w:type="dxa"/>
              <w:bottom w:w="30" w:type="dxa"/>
              <w:right w:w="45" w:type="dxa"/>
            </w:tcMar>
            <w:vAlign w:val="center"/>
            <w:hideMark/>
          </w:tcPr>
          <w:p w14:paraId="2E7B2655" w14:textId="019F8010" w:rsidR="00D053CA" w:rsidRPr="00D053CA" w:rsidRDefault="00F80612" w:rsidP="00AA4BBB">
            <w:pPr>
              <w:jc w:val="center"/>
              <w:rPr>
                <w:rFonts w:cs="Arial"/>
                <w:sz w:val="18"/>
                <w:szCs w:val="18"/>
              </w:rPr>
            </w:pPr>
            <w:r>
              <w:rPr>
                <w:rFonts w:cs="Arial"/>
                <w:sz w:val="18"/>
                <w:szCs w:val="18"/>
              </w:rPr>
              <w:t>0,5</w:t>
            </w:r>
          </w:p>
        </w:tc>
        <w:tc>
          <w:tcPr>
            <w:tcW w:w="0" w:type="auto"/>
            <w:tcMar>
              <w:top w:w="30" w:type="dxa"/>
              <w:left w:w="45" w:type="dxa"/>
              <w:bottom w:w="30" w:type="dxa"/>
              <w:right w:w="45" w:type="dxa"/>
            </w:tcMar>
            <w:vAlign w:val="center"/>
            <w:hideMark/>
          </w:tcPr>
          <w:p w14:paraId="457A4EC4" w14:textId="16296150" w:rsidR="00D053CA" w:rsidRPr="00D053CA" w:rsidRDefault="00F80612" w:rsidP="00AA4BBB">
            <w:pPr>
              <w:jc w:val="center"/>
              <w:rPr>
                <w:rFonts w:cs="Arial"/>
                <w:sz w:val="18"/>
                <w:szCs w:val="18"/>
              </w:rPr>
            </w:pPr>
            <w:r>
              <w:rPr>
                <w:rFonts w:cs="Arial"/>
                <w:sz w:val="18"/>
                <w:szCs w:val="18"/>
              </w:rPr>
              <w:t>1</w:t>
            </w:r>
          </w:p>
        </w:tc>
        <w:tc>
          <w:tcPr>
            <w:tcW w:w="0" w:type="auto"/>
            <w:tcMar>
              <w:top w:w="30" w:type="dxa"/>
              <w:left w:w="45" w:type="dxa"/>
              <w:bottom w:w="30" w:type="dxa"/>
              <w:right w:w="45" w:type="dxa"/>
            </w:tcMar>
            <w:vAlign w:val="center"/>
            <w:hideMark/>
          </w:tcPr>
          <w:p w14:paraId="002C7E6A"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45FA4761" w14:textId="68ABB5DB" w:rsidR="00D053CA" w:rsidRPr="00D053CA" w:rsidRDefault="00F80612" w:rsidP="00AA4BBB">
            <w:pPr>
              <w:jc w:val="center"/>
              <w:rPr>
                <w:rFonts w:cs="Arial"/>
                <w:sz w:val="18"/>
                <w:szCs w:val="18"/>
              </w:rPr>
            </w:pPr>
            <w:r>
              <w:rPr>
                <w:rFonts w:cs="Arial"/>
                <w:sz w:val="18"/>
                <w:szCs w:val="18"/>
              </w:rPr>
              <w:t>0,5</w:t>
            </w:r>
          </w:p>
        </w:tc>
        <w:tc>
          <w:tcPr>
            <w:tcW w:w="0" w:type="auto"/>
            <w:vMerge w:val="restart"/>
            <w:tcMar>
              <w:top w:w="30" w:type="dxa"/>
              <w:left w:w="45" w:type="dxa"/>
              <w:bottom w:w="30" w:type="dxa"/>
              <w:right w:w="45" w:type="dxa"/>
            </w:tcMar>
            <w:vAlign w:val="center"/>
            <w:hideMark/>
          </w:tcPr>
          <w:p w14:paraId="2D9127C9" w14:textId="77777777" w:rsidR="00D053CA" w:rsidRPr="00D053CA" w:rsidRDefault="00D053CA" w:rsidP="00AA4BBB">
            <w:pPr>
              <w:jc w:val="center"/>
              <w:rPr>
                <w:rFonts w:cs="Arial"/>
                <w:b/>
                <w:bCs/>
                <w:sz w:val="18"/>
                <w:szCs w:val="18"/>
              </w:rPr>
            </w:pPr>
            <w:r w:rsidRPr="00D053CA">
              <w:rPr>
                <w:rFonts w:cs="Arial"/>
                <w:b/>
                <w:bCs/>
                <w:sz w:val="18"/>
                <w:szCs w:val="18"/>
              </w:rPr>
              <w:t>1.435.520.263</w:t>
            </w:r>
          </w:p>
        </w:tc>
      </w:tr>
      <w:tr w:rsidR="00D053CA" w:rsidRPr="00D053CA" w14:paraId="5373E938" w14:textId="77777777" w:rsidTr="00AA4BBB">
        <w:tc>
          <w:tcPr>
            <w:tcW w:w="0" w:type="auto"/>
            <w:vMerge/>
            <w:vAlign w:val="center"/>
            <w:hideMark/>
          </w:tcPr>
          <w:p w14:paraId="63CFA6EE" w14:textId="77777777" w:rsidR="00D053CA" w:rsidRPr="00D053CA" w:rsidRDefault="00D053CA" w:rsidP="00AA4BBB">
            <w:pPr>
              <w:rPr>
                <w:rFonts w:cs="Arial"/>
                <w:sz w:val="18"/>
                <w:szCs w:val="18"/>
              </w:rPr>
            </w:pPr>
          </w:p>
        </w:tc>
        <w:tc>
          <w:tcPr>
            <w:tcW w:w="0" w:type="auto"/>
            <w:tcMar>
              <w:top w:w="30" w:type="dxa"/>
              <w:left w:w="45" w:type="dxa"/>
              <w:bottom w:w="30" w:type="dxa"/>
              <w:right w:w="45" w:type="dxa"/>
            </w:tcMar>
            <w:vAlign w:val="center"/>
            <w:hideMark/>
          </w:tcPr>
          <w:p w14:paraId="3043DBF8" w14:textId="77777777" w:rsidR="00D053CA" w:rsidRPr="00D053CA" w:rsidRDefault="00D053CA" w:rsidP="00AA4BBB">
            <w:pPr>
              <w:jc w:val="center"/>
              <w:rPr>
                <w:rFonts w:cs="Arial"/>
                <w:sz w:val="18"/>
                <w:szCs w:val="18"/>
              </w:rPr>
            </w:pPr>
            <w:r w:rsidRPr="00D053CA">
              <w:rPr>
                <w:rFonts w:cs="Arial"/>
                <w:sz w:val="18"/>
                <w:szCs w:val="18"/>
              </w:rPr>
              <w:t>250.000.000</w:t>
            </w:r>
          </w:p>
        </w:tc>
        <w:tc>
          <w:tcPr>
            <w:tcW w:w="0" w:type="auto"/>
            <w:tcMar>
              <w:top w:w="30" w:type="dxa"/>
              <w:left w:w="45" w:type="dxa"/>
              <w:bottom w:w="30" w:type="dxa"/>
              <w:right w:w="45" w:type="dxa"/>
            </w:tcMar>
            <w:vAlign w:val="center"/>
            <w:hideMark/>
          </w:tcPr>
          <w:p w14:paraId="365A74F6" w14:textId="77777777" w:rsidR="00D053CA" w:rsidRPr="00D053CA" w:rsidRDefault="00D053CA" w:rsidP="00AA4BBB">
            <w:pPr>
              <w:jc w:val="center"/>
              <w:rPr>
                <w:rFonts w:cs="Arial"/>
                <w:sz w:val="18"/>
                <w:szCs w:val="18"/>
              </w:rPr>
            </w:pPr>
            <w:r w:rsidRPr="00D053CA">
              <w:rPr>
                <w:rFonts w:cs="Arial"/>
                <w:sz w:val="18"/>
                <w:szCs w:val="18"/>
              </w:rPr>
              <w:t>485.436.893</w:t>
            </w:r>
          </w:p>
        </w:tc>
        <w:tc>
          <w:tcPr>
            <w:tcW w:w="0" w:type="auto"/>
            <w:tcMar>
              <w:top w:w="30" w:type="dxa"/>
              <w:left w:w="45" w:type="dxa"/>
              <w:bottom w:w="30" w:type="dxa"/>
              <w:right w:w="45" w:type="dxa"/>
            </w:tcMar>
            <w:vAlign w:val="center"/>
            <w:hideMark/>
          </w:tcPr>
          <w:p w14:paraId="4745E03A" w14:textId="77777777" w:rsidR="00D053CA" w:rsidRPr="00D053CA" w:rsidRDefault="00D053CA" w:rsidP="00AA4BBB">
            <w:pPr>
              <w:jc w:val="center"/>
              <w:rPr>
                <w:rFonts w:cs="Arial"/>
                <w:sz w:val="18"/>
                <w:szCs w:val="18"/>
              </w:rPr>
            </w:pPr>
            <w:r w:rsidRPr="00D053CA">
              <w:rPr>
                <w:rFonts w:cs="Arial"/>
                <w:sz w:val="18"/>
                <w:szCs w:val="18"/>
              </w:rPr>
              <w:t>471.297.955</w:t>
            </w:r>
          </w:p>
        </w:tc>
        <w:tc>
          <w:tcPr>
            <w:tcW w:w="0" w:type="auto"/>
            <w:tcMar>
              <w:top w:w="30" w:type="dxa"/>
              <w:left w:w="45" w:type="dxa"/>
              <w:bottom w:w="30" w:type="dxa"/>
              <w:right w:w="45" w:type="dxa"/>
            </w:tcMar>
            <w:vAlign w:val="center"/>
            <w:hideMark/>
          </w:tcPr>
          <w:p w14:paraId="5EB7E942" w14:textId="77777777" w:rsidR="00D053CA" w:rsidRPr="00D053CA" w:rsidRDefault="00D053CA" w:rsidP="00AA4BBB">
            <w:pPr>
              <w:jc w:val="center"/>
              <w:rPr>
                <w:rFonts w:cs="Arial"/>
                <w:sz w:val="18"/>
                <w:szCs w:val="18"/>
              </w:rPr>
            </w:pPr>
            <w:r w:rsidRPr="00D053CA">
              <w:rPr>
                <w:rFonts w:cs="Arial"/>
                <w:sz w:val="18"/>
                <w:szCs w:val="18"/>
              </w:rPr>
              <w:t>228.785.415</w:t>
            </w:r>
          </w:p>
        </w:tc>
        <w:tc>
          <w:tcPr>
            <w:tcW w:w="0" w:type="auto"/>
            <w:vMerge/>
            <w:vAlign w:val="center"/>
            <w:hideMark/>
          </w:tcPr>
          <w:p w14:paraId="507C8129" w14:textId="77777777" w:rsidR="00D053CA" w:rsidRPr="00D053CA" w:rsidRDefault="00D053CA" w:rsidP="00AA4BBB">
            <w:pPr>
              <w:rPr>
                <w:rFonts w:cs="Arial"/>
                <w:b/>
                <w:bCs/>
                <w:sz w:val="18"/>
                <w:szCs w:val="18"/>
              </w:rPr>
            </w:pPr>
          </w:p>
        </w:tc>
      </w:tr>
      <w:tr w:rsidR="00D053CA" w:rsidRPr="00D053CA" w14:paraId="0BCC53CE" w14:textId="77777777" w:rsidTr="00AA4BBB">
        <w:tc>
          <w:tcPr>
            <w:tcW w:w="0" w:type="auto"/>
            <w:gridSpan w:val="6"/>
            <w:shd w:val="clear" w:color="auto" w:fill="C00000"/>
            <w:tcMar>
              <w:top w:w="30" w:type="dxa"/>
              <w:left w:w="45" w:type="dxa"/>
              <w:bottom w:w="30" w:type="dxa"/>
              <w:right w:w="45" w:type="dxa"/>
            </w:tcMar>
            <w:vAlign w:val="center"/>
            <w:hideMark/>
          </w:tcPr>
          <w:p w14:paraId="20C6F5B1" w14:textId="77777777" w:rsidR="00D053CA" w:rsidRPr="00D053CA" w:rsidRDefault="00D053CA" w:rsidP="00AA4BBB">
            <w:pPr>
              <w:jc w:val="center"/>
              <w:rPr>
                <w:rFonts w:cs="Arial"/>
                <w:b/>
                <w:bCs/>
                <w:sz w:val="18"/>
                <w:szCs w:val="18"/>
              </w:rPr>
            </w:pPr>
            <w:r w:rsidRPr="00D053CA">
              <w:rPr>
                <w:rFonts w:cs="Arial"/>
                <w:b/>
                <w:bCs/>
                <w:color w:val="FFFFFF" w:themeColor="background1"/>
                <w:sz w:val="18"/>
                <w:szCs w:val="18"/>
              </w:rPr>
              <w:t>Salud</w:t>
            </w:r>
          </w:p>
        </w:tc>
      </w:tr>
      <w:tr w:rsidR="00D053CA" w:rsidRPr="00D053CA" w14:paraId="0F666532" w14:textId="77777777" w:rsidTr="00AA4BBB">
        <w:tc>
          <w:tcPr>
            <w:tcW w:w="0" w:type="auto"/>
            <w:vMerge w:val="restart"/>
            <w:tcMar>
              <w:top w:w="30" w:type="dxa"/>
              <w:left w:w="45" w:type="dxa"/>
              <w:bottom w:w="30" w:type="dxa"/>
              <w:right w:w="45" w:type="dxa"/>
            </w:tcMar>
            <w:vAlign w:val="center"/>
            <w:hideMark/>
          </w:tcPr>
          <w:p w14:paraId="38B7CAC5" w14:textId="77777777" w:rsidR="00D053CA" w:rsidRPr="00D053CA" w:rsidRDefault="00D053CA" w:rsidP="00AA4BBB">
            <w:pPr>
              <w:rPr>
                <w:rFonts w:cs="Arial"/>
                <w:sz w:val="18"/>
                <w:szCs w:val="18"/>
              </w:rPr>
            </w:pPr>
            <w:r w:rsidRPr="00D053CA">
              <w:rPr>
                <w:rFonts w:cs="Arial"/>
                <w:sz w:val="18"/>
                <w:szCs w:val="18"/>
              </w:rPr>
              <w:t>Implementar el Modelo de relacionamiento integral con la ciudadanía para promover los accesos a los servicios de salud.</w:t>
            </w:r>
          </w:p>
        </w:tc>
        <w:tc>
          <w:tcPr>
            <w:tcW w:w="0" w:type="auto"/>
            <w:tcMar>
              <w:top w:w="30" w:type="dxa"/>
              <w:left w:w="45" w:type="dxa"/>
              <w:bottom w:w="30" w:type="dxa"/>
              <w:right w:w="45" w:type="dxa"/>
            </w:tcMar>
            <w:vAlign w:val="center"/>
            <w:hideMark/>
          </w:tcPr>
          <w:p w14:paraId="7DEAC599"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32AB7D36"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77EF598E"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tcMar>
              <w:top w:w="30" w:type="dxa"/>
              <w:left w:w="45" w:type="dxa"/>
              <w:bottom w:w="30" w:type="dxa"/>
              <w:right w:w="45" w:type="dxa"/>
            </w:tcMar>
            <w:vAlign w:val="center"/>
            <w:hideMark/>
          </w:tcPr>
          <w:p w14:paraId="344B8DBB" w14:textId="77777777" w:rsidR="00D053CA" w:rsidRPr="00D053CA" w:rsidRDefault="00D053CA" w:rsidP="00AA4BBB">
            <w:pPr>
              <w:jc w:val="center"/>
              <w:rPr>
                <w:rFonts w:cs="Arial"/>
                <w:sz w:val="18"/>
                <w:szCs w:val="18"/>
              </w:rPr>
            </w:pPr>
            <w:r w:rsidRPr="00D053CA">
              <w:rPr>
                <w:rFonts w:cs="Arial"/>
                <w:sz w:val="18"/>
                <w:szCs w:val="18"/>
              </w:rPr>
              <w:t>1</w:t>
            </w:r>
          </w:p>
        </w:tc>
        <w:tc>
          <w:tcPr>
            <w:tcW w:w="0" w:type="auto"/>
            <w:vMerge w:val="restart"/>
            <w:tcMar>
              <w:top w:w="30" w:type="dxa"/>
              <w:left w:w="45" w:type="dxa"/>
              <w:bottom w:w="30" w:type="dxa"/>
              <w:right w:w="45" w:type="dxa"/>
            </w:tcMar>
            <w:vAlign w:val="center"/>
            <w:hideMark/>
          </w:tcPr>
          <w:p w14:paraId="5188FD33" w14:textId="77777777" w:rsidR="00D053CA" w:rsidRPr="00D053CA" w:rsidRDefault="00D053CA" w:rsidP="00AA4BBB">
            <w:pPr>
              <w:jc w:val="center"/>
              <w:rPr>
                <w:rFonts w:cs="Arial"/>
                <w:b/>
                <w:bCs/>
                <w:sz w:val="18"/>
                <w:szCs w:val="18"/>
              </w:rPr>
            </w:pPr>
            <w:r w:rsidRPr="00D053CA">
              <w:rPr>
                <w:rFonts w:cs="Arial"/>
                <w:b/>
                <w:bCs/>
                <w:sz w:val="18"/>
                <w:szCs w:val="18"/>
              </w:rPr>
              <w:t>19.267.244.590</w:t>
            </w:r>
          </w:p>
        </w:tc>
      </w:tr>
      <w:tr w:rsidR="00D053CA" w:rsidRPr="00D053CA" w14:paraId="76C2638C" w14:textId="77777777" w:rsidTr="00AA4BBB">
        <w:tc>
          <w:tcPr>
            <w:tcW w:w="0" w:type="auto"/>
            <w:vMerge/>
            <w:tcBorders>
              <w:bottom w:val="double" w:sz="4" w:space="0" w:color="C00000"/>
            </w:tcBorders>
            <w:vAlign w:val="center"/>
            <w:hideMark/>
          </w:tcPr>
          <w:p w14:paraId="6644F692" w14:textId="77777777" w:rsidR="00D053CA" w:rsidRPr="00D053CA" w:rsidRDefault="00D053CA" w:rsidP="00AA4BBB">
            <w:pPr>
              <w:rPr>
                <w:rFonts w:cs="Arial"/>
                <w:sz w:val="18"/>
                <w:szCs w:val="18"/>
              </w:rPr>
            </w:pPr>
          </w:p>
        </w:tc>
        <w:tc>
          <w:tcPr>
            <w:tcW w:w="0" w:type="auto"/>
            <w:tcBorders>
              <w:bottom w:val="double" w:sz="4" w:space="0" w:color="C00000"/>
            </w:tcBorders>
            <w:tcMar>
              <w:top w:w="30" w:type="dxa"/>
              <w:left w:w="45" w:type="dxa"/>
              <w:bottom w:w="30" w:type="dxa"/>
              <w:right w:w="45" w:type="dxa"/>
            </w:tcMar>
            <w:vAlign w:val="center"/>
            <w:hideMark/>
          </w:tcPr>
          <w:p w14:paraId="7EB41CD9" w14:textId="77777777" w:rsidR="00D053CA" w:rsidRPr="00D053CA" w:rsidRDefault="00D053CA" w:rsidP="00AA4BBB">
            <w:pPr>
              <w:jc w:val="center"/>
              <w:rPr>
                <w:rFonts w:cs="Arial"/>
                <w:sz w:val="18"/>
                <w:szCs w:val="18"/>
              </w:rPr>
            </w:pPr>
            <w:r w:rsidRPr="00D053CA">
              <w:rPr>
                <w:rFonts w:cs="Arial"/>
                <w:sz w:val="18"/>
                <w:szCs w:val="18"/>
              </w:rPr>
              <w:t>1.696.571.105</w:t>
            </w:r>
          </w:p>
        </w:tc>
        <w:tc>
          <w:tcPr>
            <w:tcW w:w="0" w:type="auto"/>
            <w:tcBorders>
              <w:bottom w:val="double" w:sz="4" w:space="0" w:color="C00000"/>
            </w:tcBorders>
            <w:tcMar>
              <w:top w:w="30" w:type="dxa"/>
              <w:left w:w="45" w:type="dxa"/>
              <w:bottom w:w="30" w:type="dxa"/>
              <w:right w:w="45" w:type="dxa"/>
            </w:tcMar>
            <w:vAlign w:val="center"/>
            <w:hideMark/>
          </w:tcPr>
          <w:p w14:paraId="5EC39A8E" w14:textId="77777777" w:rsidR="00D053CA" w:rsidRPr="00D053CA" w:rsidRDefault="00D053CA" w:rsidP="00AA4BBB">
            <w:pPr>
              <w:jc w:val="center"/>
              <w:rPr>
                <w:rFonts w:cs="Arial"/>
                <w:sz w:val="18"/>
                <w:szCs w:val="18"/>
              </w:rPr>
            </w:pPr>
            <w:r w:rsidRPr="00D053CA">
              <w:rPr>
                <w:rFonts w:cs="Arial"/>
                <w:sz w:val="18"/>
                <w:szCs w:val="18"/>
              </w:rPr>
              <w:t>5.792.666.992</w:t>
            </w:r>
          </w:p>
        </w:tc>
        <w:tc>
          <w:tcPr>
            <w:tcW w:w="0" w:type="auto"/>
            <w:tcBorders>
              <w:bottom w:val="double" w:sz="4" w:space="0" w:color="C00000"/>
            </w:tcBorders>
            <w:tcMar>
              <w:top w:w="30" w:type="dxa"/>
              <w:left w:w="45" w:type="dxa"/>
              <w:bottom w:w="30" w:type="dxa"/>
              <w:right w:w="45" w:type="dxa"/>
            </w:tcMar>
            <w:vAlign w:val="center"/>
            <w:hideMark/>
          </w:tcPr>
          <w:p w14:paraId="110D1ED1" w14:textId="77777777" w:rsidR="00D053CA" w:rsidRPr="00D053CA" w:rsidRDefault="00D053CA" w:rsidP="00AA4BBB">
            <w:pPr>
              <w:jc w:val="center"/>
              <w:rPr>
                <w:rFonts w:cs="Arial"/>
                <w:sz w:val="18"/>
                <w:szCs w:val="18"/>
              </w:rPr>
            </w:pPr>
            <w:r w:rsidRPr="00D053CA">
              <w:rPr>
                <w:rFonts w:cs="Arial"/>
                <w:sz w:val="18"/>
                <w:szCs w:val="18"/>
              </w:rPr>
              <w:t>6.672.532.291</w:t>
            </w:r>
          </w:p>
        </w:tc>
        <w:tc>
          <w:tcPr>
            <w:tcW w:w="0" w:type="auto"/>
            <w:tcBorders>
              <w:bottom w:val="double" w:sz="4" w:space="0" w:color="C00000"/>
            </w:tcBorders>
            <w:tcMar>
              <w:top w:w="30" w:type="dxa"/>
              <w:left w:w="45" w:type="dxa"/>
              <w:bottom w:w="30" w:type="dxa"/>
              <w:right w:w="45" w:type="dxa"/>
            </w:tcMar>
            <w:vAlign w:val="center"/>
            <w:hideMark/>
          </w:tcPr>
          <w:p w14:paraId="3F63FA9D" w14:textId="77777777" w:rsidR="00D053CA" w:rsidRPr="00D053CA" w:rsidRDefault="00D053CA" w:rsidP="00AA4BBB">
            <w:pPr>
              <w:jc w:val="center"/>
              <w:rPr>
                <w:rFonts w:cs="Arial"/>
                <w:sz w:val="18"/>
                <w:szCs w:val="18"/>
              </w:rPr>
            </w:pPr>
            <w:r w:rsidRPr="00D053CA">
              <w:rPr>
                <w:rFonts w:cs="Arial"/>
                <w:sz w:val="18"/>
                <w:szCs w:val="18"/>
              </w:rPr>
              <w:t>5.105.474.202</w:t>
            </w:r>
          </w:p>
        </w:tc>
        <w:tc>
          <w:tcPr>
            <w:tcW w:w="0" w:type="auto"/>
            <w:vMerge/>
            <w:tcBorders>
              <w:bottom w:val="double" w:sz="4" w:space="0" w:color="C00000"/>
            </w:tcBorders>
            <w:vAlign w:val="center"/>
            <w:hideMark/>
          </w:tcPr>
          <w:p w14:paraId="799225D5" w14:textId="77777777" w:rsidR="00D053CA" w:rsidRPr="00D053CA" w:rsidRDefault="00D053CA" w:rsidP="00AA4BBB">
            <w:pPr>
              <w:rPr>
                <w:rFonts w:cs="Arial"/>
                <w:b/>
                <w:bCs/>
                <w:sz w:val="18"/>
                <w:szCs w:val="18"/>
              </w:rPr>
            </w:pPr>
          </w:p>
        </w:tc>
      </w:tr>
    </w:tbl>
    <w:p w14:paraId="034EB896" w14:textId="77777777" w:rsidR="00EF1D5F" w:rsidRDefault="00EF1D5F" w:rsidP="004554F9">
      <w:pPr>
        <w:pStyle w:val="figuratitulo"/>
        <w:rPr>
          <w:highlight w:val="white"/>
        </w:rPr>
      </w:pPr>
    </w:p>
    <w:p w14:paraId="2840B50B" w14:textId="77777777" w:rsidR="00EF1D5F" w:rsidRPr="00B944E8" w:rsidRDefault="00EF1D5F" w:rsidP="004554F9">
      <w:pPr>
        <w:pStyle w:val="figuratitulo"/>
        <w:rPr>
          <w:highlight w:val="white"/>
        </w:rPr>
      </w:pPr>
    </w:p>
    <w:p w14:paraId="556E360B" w14:textId="77777777" w:rsidR="00EF1D5F" w:rsidRDefault="00EF1D5F" w:rsidP="008459DF">
      <w:pPr>
        <w:pBdr>
          <w:top w:val="nil"/>
          <w:left w:val="nil"/>
          <w:bottom w:val="nil"/>
          <w:right w:val="nil"/>
          <w:between w:val="nil"/>
        </w:pBdr>
        <w:spacing w:line="220" w:lineRule="auto"/>
        <w:jc w:val="center"/>
      </w:pPr>
    </w:p>
    <w:p w14:paraId="1C77C8A2" w14:textId="77777777" w:rsidR="00856F66" w:rsidRDefault="00A41BF7">
      <w:r>
        <w:br w:type="page"/>
      </w:r>
      <w:r w:rsidR="00856F66">
        <w:rPr>
          <w:noProof/>
        </w:rPr>
        <w:lastRenderedPageBreak/>
        <w:drawing>
          <wp:anchor distT="0" distB="0" distL="114300" distR="114300" simplePos="0" relativeHeight="251795456" behindDoc="1" locked="0" layoutInCell="1" allowOverlap="1" wp14:anchorId="0DABC6E6" wp14:editId="56FF7AE9">
            <wp:simplePos x="0" y="0"/>
            <wp:positionH relativeFrom="margin">
              <wp:posOffset>-952206</wp:posOffset>
            </wp:positionH>
            <wp:positionV relativeFrom="margin">
              <wp:posOffset>-1494155</wp:posOffset>
            </wp:positionV>
            <wp:extent cx="7810500" cy="10115296"/>
            <wp:effectExtent l="0" t="0" r="0" b="0"/>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70">
                      <a:extLst>
                        <a:ext uri="{28A0092B-C50C-407E-A947-70E740481C1C}">
                          <a14:useLocalDpi xmlns:a14="http://schemas.microsoft.com/office/drawing/2010/main" val="0"/>
                        </a:ext>
                      </a:extLst>
                    </a:blip>
                    <a:stretch>
                      <a:fillRect/>
                    </a:stretch>
                  </pic:blipFill>
                  <pic:spPr>
                    <a:xfrm>
                      <a:off x="0" y="0"/>
                      <a:ext cx="7810500" cy="10115296"/>
                    </a:xfrm>
                    <a:prstGeom prst="rect">
                      <a:avLst/>
                    </a:prstGeom>
                  </pic:spPr>
                </pic:pic>
              </a:graphicData>
            </a:graphic>
            <wp14:sizeRelH relativeFrom="page">
              <wp14:pctWidth>0</wp14:pctWidth>
            </wp14:sizeRelH>
            <wp14:sizeRelV relativeFrom="page">
              <wp14:pctHeight>0</wp14:pctHeight>
            </wp14:sizeRelV>
          </wp:anchor>
        </w:drawing>
      </w:r>
      <w:r w:rsidR="00856F66">
        <w:br w:type="page"/>
      </w:r>
    </w:p>
    <w:p w14:paraId="3A58A1E1" w14:textId="14573576" w:rsidR="00856F66" w:rsidRDefault="00674E7F">
      <w:r>
        <w:rPr>
          <w:noProof/>
        </w:rPr>
        <w:lastRenderedPageBreak/>
        <w:drawing>
          <wp:anchor distT="0" distB="0" distL="114300" distR="114300" simplePos="0" relativeHeight="251796480" behindDoc="0" locked="0" layoutInCell="1" allowOverlap="1" wp14:anchorId="42853ABE" wp14:editId="70AAA1C4">
            <wp:simplePos x="0" y="0"/>
            <wp:positionH relativeFrom="margin">
              <wp:posOffset>-635</wp:posOffset>
            </wp:positionH>
            <wp:positionV relativeFrom="paragraph">
              <wp:posOffset>-1435100</wp:posOffset>
            </wp:positionV>
            <wp:extent cx="5932170" cy="2240915"/>
            <wp:effectExtent l="0" t="0" r="0" b="6985"/>
            <wp:wrapNone/>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7">
                      <a:extLst>
                        <a:ext uri="{28A0092B-C50C-407E-A947-70E740481C1C}">
                          <a14:useLocalDpi xmlns:a14="http://schemas.microsoft.com/office/drawing/2010/main" val="0"/>
                        </a:ext>
                      </a:extLst>
                    </a:blip>
                    <a:stretch>
                      <a:fillRect/>
                    </a:stretch>
                  </pic:blipFill>
                  <pic:spPr>
                    <a:xfrm>
                      <a:off x="0" y="0"/>
                      <a:ext cx="5932170" cy="2240915"/>
                    </a:xfrm>
                    <a:prstGeom prst="rect">
                      <a:avLst/>
                    </a:prstGeom>
                  </pic:spPr>
                </pic:pic>
              </a:graphicData>
            </a:graphic>
            <wp14:sizeRelH relativeFrom="page">
              <wp14:pctWidth>0</wp14:pctWidth>
            </wp14:sizeRelH>
            <wp14:sizeRelV relativeFrom="page">
              <wp14:pctHeight>0</wp14:pctHeight>
            </wp14:sizeRelV>
          </wp:anchor>
        </w:drawing>
      </w:r>
    </w:p>
    <w:p w14:paraId="754702F6" w14:textId="5DDE0E14" w:rsidR="00856F66" w:rsidRDefault="00674E7F">
      <w:r>
        <w:br/>
      </w:r>
    </w:p>
    <w:p w14:paraId="4049897C" w14:textId="5D0CDB5B" w:rsidR="00856F66" w:rsidRDefault="00674E7F" w:rsidP="006B77AA">
      <w:pPr>
        <w:pStyle w:val="titulodocumento"/>
      </w:pPr>
      <w:r>
        <w:br/>
      </w:r>
    </w:p>
    <w:p w14:paraId="602C2619" w14:textId="0B53882D" w:rsidR="00856F66" w:rsidRDefault="00674E7F" w:rsidP="00674E7F">
      <w:pPr>
        <w:pStyle w:val="titulodocumento"/>
        <w:outlineLvl w:val="0"/>
        <w:rPr>
          <w:lang w:eastAsia="en-US"/>
        </w:rPr>
      </w:pPr>
      <w:bookmarkStart w:id="461" w:name="_Toc165169808"/>
      <w:r>
        <w:rPr>
          <w:lang w:eastAsia="en-US"/>
        </w:rPr>
        <w:t xml:space="preserve">IV. </w:t>
      </w:r>
      <w:r w:rsidR="00856F66" w:rsidRPr="00674E7F">
        <w:rPr>
          <w:lang w:eastAsia="en-US"/>
        </w:rPr>
        <w:t>Metas Estratégicas</w:t>
      </w:r>
      <w:r>
        <w:rPr>
          <w:lang w:eastAsia="en-US"/>
        </w:rPr>
        <w:t xml:space="preserve"> y de Producto</w:t>
      </w:r>
      <w:bookmarkEnd w:id="461"/>
    </w:p>
    <w:p w14:paraId="5A87B644" w14:textId="77777777" w:rsidR="00674E7F" w:rsidRPr="00674E7F" w:rsidRDefault="00674E7F" w:rsidP="00674E7F">
      <w:pPr>
        <w:pStyle w:val="titulodocumento"/>
        <w:rPr>
          <w:lang w:eastAsia="en-US"/>
        </w:rPr>
      </w:pPr>
    </w:p>
    <w:p w14:paraId="18BE74EF" w14:textId="14282572" w:rsidR="00856F66" w:rsidRDefault="00674E7F" w:rsidP="00674E7F">
      <w:pPr>
        <w:pStyle w:val="NIVEL2PDD"/>
      </w:pPr>
      <w:bookmarkStart w:id="462" w:name="_Toc165169809"/>
      <w:r>
        <w:t>Metas Estratégicas</w:t>
      </w:r>
      <w:bookmarkEnd w:id="462"/>
    </w:p>
    <w:tbl>
      <w:tblPr>
        <w:tblW w:w="5000" w:type="pct"/>
        <w:tblCellMar>
          <w:left w:w="70" w:type="dxa"/>
          <w:right w:w="70" w:type="dxa"/>
        </w:tblCellMar>
        <w:tblLook w:val="04A0" w:firstRow="1" w:lastRow="0" w:firstColumn="1" w:lastColumn="0" w:noHBand="0" w:noVBand="1"/>
      </w:tblPr>
      <w:tblGrid>
        <w:gridCol w:w="1607"/>
        <w:gridCol w:w="1460"/>
        <w:gridCol w:w="640"/>
        <w:gridCol w:w="597"/>
        <w:gridCol w:w="762"/>
        <w:gridCol w:w="1073"/>
        <w:gridCol w:w="1073"/>
        <w:gridCol w:w="1073"/>
        <w:gridCol w:w="1075"/>
      </w:tblGrid>
      <w:tr w:rsidR="00856F66" w:rsidRPr="008411D9" w14:paraId="48D2F1B9" w14:textId="77777777" w:rsidTr="003B32F3">
        <w:trPr>
          <w:cantSplit/>
          <w:trHeight w:val="888"/>
          <w:tblHeader/>
        </w:trPr>
        <w:tc>
          <w:tcPr>
            <w:tcW w:w="5000" w:type="pct"/>
            <w:gridSpan w:val="9"/>
            <w:tcBorders>
              <w:bottom w:val="double" w:sz="4" w:space="0" w:color="C00000"/>
            </w:tcBorders>
            <w:shd w:val="clear" w:color="000000" w:fill="C00000"/>
            <w:vAlign w:val="center"/>
            <w:hideMark/>
          </w:tcPr>
          <w:p w14:paraId="5D98C539" w14:textId="77777777" w:rsidR="00856F66" w:rsidRPr="000E13B6" w:rsidRDefault="00856F66" w:rsidP="000E13B6">
            <w:pPr>
              <w:spacing w:line="240" w:lineRule="auto"/>
              <w:jc w:val="center"/>
              <w:rPr>
                <w:b/>
                <w:bCs/>
                <w:color w:val="FFFFFF"/>
                <w:sz w:val="28"/>
                <w:szCs w:val="28"/>
                <w:lang w:eastAsia="es-CO"/>
              </w:rPr>
            </w:pPr>
            <w:r w:rsidRPr="000E13B6">
              <w:rPr>
                <w:b/>
                <w:bCs/>
                <w:color w:val="FFFFFF" w:themeColor="background1"/>
                <w:sz w:val="28"/>
                <w:szCs w:val="28"/>
                <w:lang w:eastAsia="es-CO"/>
              </w:rPr>
              <w:t>Objetivo 1 - Bogotá avanza en seguridad</w:t>
            </w:r>
          </w:p>
        </w:tc>
      </w:tr>
      <w:tr w:rsidR="00856F66" w:rsidRPr="008411D9" w14:paraId="0A2329F3" w14:textId="77777777" w:rsidTr="006B77AA">
        <w:trPr>
          <w:cantSplit/>
          <w:trHeight w:val="888"/>
          <w:tblHeader/>
        </w:trPr>
        <w:tc>
          <w:tcPr>
            <w:tcW w:w="859" w:type="pct"/>
            <w:tcBorders>
              <w:top w:val="double" w:sz="4" w:space="0" w:color="C00000"/>
              <w:bottom w:val="double" w:sz="4" w:space="0" w:color="C00000"/>
              <w:right w:val="double" w:sz="4" w:space="0" w:color="C00000"/>
            </w:tcBorders>
            <w:shd w:val="clear" w:color="000000" w:fill="D0D0D0"/>
            <w:vAlign w:val="center"/>
            <w:hideMark/>
          </w:tcPr>
          <w:p w14:paraId="5F903420" w14:textId="77777777" w:rsidR="00856F66" w:rsidRPr="00F1782D" w:rsidRDefault="00856F66" w:rsidP="000E13B6">
            <w:pPr>
              <w:spacing w:line="240" w:lineRule="auto"/>
              <w:jc w:val="right"/>
              <w:rPr>
                <w:b/>
                <w:bCs/>
                <w:color w:val="000000"/>
                <w:sz w:val="18"/>
                <w:szCs w:val="18"/>
                <w:lang w:eastAsia="es-CO"/>
              </w:rPr>
            </w:pPr>
            <w:r w:rsidRPr="00F1782D">
              <w:rPr>
                <w:b/>
                <w:bCs/>
                <w:color w:val="000000"/>
                <w:sz w:val="18"/>
                <w:szCs w:val="18"/>
                <w:lang w:eastAsia="es-CO"/>
              </w:rPr>
              <w:t>Nombre Indicador</w:t>
            </w:r>
          </w:p>
        </w:tc>
        <w:tc>
          <w:tcPr>
            <w:tcW w:w="780"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3A2C9B5F" w14:textId="63313505" w:rsidR="00856F66" w:rsidRPr="00F1782D" w:rsidRDefault="00856F66" w:rsidP="003B32F3">
            <w:pPr>
              <w:spacing w:line="240" w:lineRule="auto"/>
              <w:rPr>
                <w:b/>
                <w:bCs/>
                <w:color w:val="000000"/>
                <w:sz w:val="18"/>
                <w:szCs w:val="18"/>
                <w:lang w:eastAsia="es-CO"/>
              </w:rPr>
            </w:pPr>
            <w:r w:rsidRPr="00F1782D">
              <w:rPr>
                <w:b/>
                <w:bCs/>
                <w:color w:val="000000"/>
                <w:sz w:val="18"/>
                <w:szCs w:val="18"/>
                <w:lang w:eastAsia="es-CO"/>
              </w:rPr>
              <w:t>Fuente línea base</w:t>
            </w:r>
          </w:p>
        </w:tc>
        <w:tc>
          <w:tcPr>
            <w:tcW w:w="342"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5C516CFE" w14:textId="77777777"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Tipo</w:t>
            </w:r>
          </w:p>
        </w:tc>
        <w:tc>
          <w:tcPr>
            <w:tcW w:w="319"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3ACF322D" w14:textId="77777777"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Año línea base</w:t>
            </w:r>
          </w:p>
        </w:tc>
        <w:tc>
          <w:tcPr>
            <w:tcW w:w="407"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14DC611C" w14:textId="77777777" w:rsidR="00674E7F" w:rsidRDefault="00856F66" w:rsidP="000E13B6">
            <w:pPr>
              <w:spacing w:line="240" w:lineRule="auto"/>
              <w:jc w:val="center"/>
              <w:rPr>
                <w:b/>
                <w:bCs/>
                <w:color w:val="000000"/>
                <w:sz w:val="18"/>
                <w:szCs w:val="18"/>
                <w:lang w:eastAsia="es-CO"/>
              </w:rPr>
            </w:pPr>
            <w:r w:rsidRPr="00F1782D">
              <w:rPr>
                <w:b/>
                <w:bCs/>
                <w:color w:val="000000"/>
                <w:sz w:val="18"/>
                <w:szCs w:val="18"/>
                <w:lang w:eastAsia="es-CO"/>
              </w:rPr>
              <w:t>Valor</w:t>
            </w:r>
          </w:p>
          <w:p w14:paraId="39C4C363" w14:textId="5DDA2578"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línea base</w:t>
            </w:r>
          </w:p>
        </w:tc>
        <w:tc>
          <w:tcPr>
            <w:tcW w:w="57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C887B0A" w14:textId="77777777"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Meta proyectada 2024</w:t>
            </w:r>
          </w:p>
        </w:tc>
        <w:tc>
          <w:tcPr>
            <w:tcW w:w="57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2AE512D0" w14:textId="77777777"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Meta proyectada 2025</w:t>
            </w:r>
          </w:p>
        </w:tc>
        <w:tc>
          <w:tcPr>
            <w:tcW w:w="57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310F89C8" w14:textId="77777777"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Meta proyectada 2026</w:t>
            </w:r>
          </w:p>
        </w:tc>
        <w:tc>
          <w:tcPr>
            <w:tcW w:w="573" w:type="pct"/>
            <w:tcBorders>
              <w:top w:val="double" w:sz="4" w:space="0" w:color="C00000"/>
              <w:left w:val="double" w:sz="4" w:space="0" w:color="C00000"/>
              <w:bottom w:val="double" w:sz="4" w:space="0" w:color="C00000"/>
            </w:tcBorders>
            <w:shd w:val="clear" w:color="000000" w:fill="D0D0D0"/>
            <w:vAlign w:val="center"/>
            <w:hideMark/>
          </w:tcPr>
          <w:p w14:paraId="3C259DCA" w14:textId="77777777" w:rsidR="00856F66" w:rsidRPr="00F1782D" w:rsidRDefault="00856F66" w:rsidP="000E13B6">
            <w:pPr>
              <w:spacing w:line="240" w:lineRule="auto"/>
              <w:jc w:val="center"/>
              <w:rPr>
                <w:b/>
                <w:bCs/>
                <w:color w:val="000000"/>
                <w:sz w:val="18"/>
                <w:szCs w:val="18"/>
                <w:lang w:eastAsia="es-CO"/>
              </w:rPr>
            </w:pPr>
            <w:r w:rsidRPr="00F1782D">
              <w:rPr>
                <w:b/>
                <w:bCs/>
                <w:color w:val="000000"/>
                <w:sz w:val="18"/>
                <w:szCs w:val="18"/>
                <w:lang w:eastAsia="es-CO"/>
              </w:rPr>
              <w:t>Meta proyectada 2027</w:t>
            </w:r>
          </w:p>
        </w:tc>
      </w:tr>
      <w:tr w:rsidR="00856F66" w:rsidRPr="008411D9" w14:paraId="249733B9"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020D0169"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Tasa de homicidios por 100.000 habitantes</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7FBBA1D"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F1FC162"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04A84BA"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5D288EB"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13,6</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DB85CC"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12,0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A8C88F"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11,0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E2313E6"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10,0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22BF6BCC"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8,0</w:t>
            </w:r>
          </w:p>
        </w:tc>
      </w:tr>
      <w:tr w:rsidR="00856F66" w:rsidRPr="008411D9" w14:paraId="06F9E3C0"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57A8060A"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Número de registros por hurto común</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3FC928F"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B8F6B7C"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1B77B1"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0CBC70C"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183.389</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49FFA0A"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178.804</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4833F0"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174.219</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4FD6405"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169.634</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07F2C19A"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165.050</w:t>
            </w:r>
          </w:p>
        </w:tc>
      </w:tr>
      <w:tr w:rsidR="00856F66" w:rsidRPr="008411D9" w14:paraId="2A5A018C"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3BA2F612"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Número de Denuncias por Extorsión</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5C6E8A7"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AD83FE2"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517ACA1"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4642C6"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1.731</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A7C9F2A"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1.688</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9F2E433"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1.645</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6295F7A"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1.602</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0C40BB31"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1.558</w:t>
            </w:r>
          </w:p>
        </w:tc>
      </w:tr>
      <w:tr w:rsidR="00856F66" w:rsidRPr="008411D9" w14:paraId="54CDD0B5"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59FA1AEB"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Registros de lesiones personales</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AE79903"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1E5FAA8"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ECDCE87"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8790688"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19.415</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5FC620E"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18.930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E4A73FA"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18.445</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94FFCD5"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17.960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6CA36E5D"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17.474</w:t>
            </w:r>
          </w:p>
        </w:tc>
      </w:tr>
      <w:tr w:rsidR="00856F66" w:rsidRPr="008411D9" w14:paraId="3CA22F2F"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76CC9162"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Homicidios con víctima mujer</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0F25071"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B04D200"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2F90066"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5911DF3"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89</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B36C567"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82</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F3FB6E5"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75</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A5824B0"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68</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5284684D"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62</w:t>
            </w:r>
          </w:p>
        </w:tc>
      </w:tr>
      <w:tr w:rsidR="00856F66" w:rsidRPr="008411D9" w14:paraId="4A9CFC02"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34F8F66A"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lastRenderedPageBreak/>
              <w:t>Registros de hurtos a personas en Transmilenio</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E122044"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86CAFCA"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CA09F1D"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905075B"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10.749</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0F81696"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10.480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8873AE1"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10.211</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6EAA109"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9.942</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7230864C"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9.674</w:t>
            </w:r>
          </w:p>
        </w:tc>
      </w:tr>
      <w:tr w:rsidR="00856F66" w:rsidRPr="008411D9" w14:paraId="4319DC5D"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037CAFDF"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Mujeres víctimas de lesiones personales</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173BB00"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Sistema de Información Estadístico Delictivo Contravencional y Operativo - SIEDCO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FD9E9A9"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5E5B922"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8FC24CA"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8.225</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C1C589D"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8.019</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68042D8"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7.813</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1914112"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7.607</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0C7A18E6"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7.403</w:t>
            </w:r>
          </w:p>
        </w:tc>
      </w:tr>
      <w:tr w:rsidR="00856F66" w:rsidRPr="008411D9" w14:paraId="58A80F92"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5227A716"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Porcentaje de mujeres que consideran que TransMilenio es inseguro o muy inseguro</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641E5E3"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Encuesta de percepción y victimización de Bogotá - CCB</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91D08B6"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9E40064"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AEFC0BD"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71,0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AC1E648"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68,0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BAC26E9"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65,0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65D6872"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63,0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287CD946"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60,0</w:t>
            </w:r>
          </w:p>
        </w:tc>
      </w:tr>
      <w:tr w:rsidR="00856F66" w:rsidRPr="008411D9" w14:paraId="4CE068CF"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426A3645"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Porcentaje de personas que considera que la inseguridad ha aumentado</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FB0D3EC"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Encuesta de percepción y victimización de Bogotá - CCB</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DBF034A"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3EDFFC7"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C7A6397"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76,0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E4B59B8"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71,0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BBDB4B8"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66,0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7CADE9E"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61,0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6CCB4344"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56,0</w:t>
            </w:r>
          </w:p>
        </w:tc>
      </w:tr>
      <w:tr w:rsidR="00856F66" w:rsidRPr="008411D9" w14:paraId="033EF773"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5821B69F"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Porcentaje de personas que consideran que el barrio en el que habitan es seguro</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067E168"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Encuesta de percepción y victimización de Bogotá - CCB</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C3F1EFC"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C9478F9"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6F1B09D"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40,0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1114DCE"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41,0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FE29859"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42,0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2FB773C"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43,0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5419F7A9"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44,0</w:t>
            </w:r>
          </w:p>
        </w:tc>
      </w:tr>
      <w:tr w:rsidR="00856F66" w:rsidRPr="008411D9" w14:paraId="49057316" w14:textId="77777777" w:rsidTr="006B77AA">
        <w:trPr>
          <w:cantSplit/>
          <w:trHeight w:val="1248"/>
        </w:trPr>
        <w:tc>
          <w:tcPr>
            <w:tcW w:w="859" w:type="pct"/>
            <w:tcBorders>
              <w:top w:val="double" w:sz="4" w:space="0" w:color="C00000"/>
              <w:bottom w:val="double" w:sz="4" w:space="0" w:color="C00000"/>
              <w:right w:val="double" w:sz="4" w:space="0" w:color="C00000"/>
            </w:tcBorders>
            <w:shd w:val="clear" w:color="auto" w:fill="auto"/>
            <w:vAlign w:val="center"/>
            <w:hideMark/>
          </w:tcPr>
          <w:p w14:paraId="21A79D38" w14:textId="77777777" w:rsidR="00856F66" w:rsidRPr="00F1782D" w:rsidRDefault="00856F66" w:rsidP="000E13B6">
            <w:pPr>
              <w:spacing w:line="240" w:lineRule="auto"/>
              <w:jc w:val="right"/>
              <w:rPr>
                <w:color w:val="000000"/>
                <w:sz w:val="18"/>
                <w:szCs w:val="18"/>
                <w:lang w:eastAsia="es-CO"/>
              </w:rPr>
            </w:pPr>
            <w:r w:rsidRPr="00F1782D">
              <w:rPr>
                <w:color w:val="000000"/>
                <w:sz w:val="18"/>
                <w:szCs w:val="18"/>
                <w:lang w:eastAsia="es-CO"/>
              </w:rPr>
              <w:t>Porcentaje de personas que consideran que en Bogotá las relaciones se dan en el marco de Convivencia y Cultura de Paz</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64727CB" w14:textId="77777777" w:rsidR="00856F66" w:rsidRPr="00F1782D" w:rsidRDefault="00856F66" w:rsidP="003B32F3">
            <w:pPr>
              <w:spacing w:line="240" w:lineRule="auto"/>
              <w:rPr>
                <w:color w:val="000000"/>
                <w:sz w:val="18"/>
                <w:szCs w:val="18"/>
                <w:lang w:eastAsia="es-CO"/>
              </w:rPr>
            </w:pPr>
            <w:r w:rsidRPr="00F1782D">
              <w:rPr>
                <w:color w:val="000000"/>
                <w:sz w:val="18"/>
                <w:szCs w:val="18"/>
                <w:lang w:eastAsia="es-CO"/>
              </w:rPr>
              <w:t>EBC - Encuesta de Indicadores de Cultura Ciudadana y garantía de derechos</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2CE54EF"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Bienal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09D4BE3" w14:textId="77777777" w:rsidR="00856F66" w:rsidRPr="00F1782D" w:rsidRDefault="00856F66" w:rsidP="000E13B6">
            <w:pPr>
              <w:spacing w:line="240" w:lineRule="auto"/>
              <w:jc w:val="center"/>
              <w:rPr>
                <w:color w:val="000000"/>
                <w:sz w:val="18"/>
                <w:szCs w:val="18"/>
                <w:lang w:eastAsia="es-CO"/>
              </w:rPr>
            </w:pPr>
            <w:r w:rsidRPr="00F1782D">
              <w:rPr>
                <w:color w:val="000000"/>
                <w:sz w:val="18"/>
                <w:szCs w:val="18"/>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D750EFE"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43,7</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ECD03B6" w14:textId="77777777" w:rsidR="00856F66" w:rsidRPr="00F1782D" w:rsidRDefault="00856F66" w:rsidP="003B32F3">
            <w:pPr>
              <w:spacing w:line="240" w:lineRule="auto"/>
              <w:jc w:val="right"/>
              <w:rPr>
                <w:color w:val="000000"/>
                <w:sz w:val="18"/>
                <w:szCs w:val="18"/>
                <w:lang w:eastAsia="es-CO"/>
              </w:rPr>
            </w:pP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A142400"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46,7</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1B5E765" w14:textId="77777777" w:rsidR="00856F66" w:rsidRPr="00F1782D" w:rsidRDefault="00856F66" w:rsidP="003B32F3">
            <w:pPr>
              <w:spacing w:line="240" w:lineRule="auto"/>
              <w:jc w:val="right"/>
              <w:rPr>
                <w:color w:val="000000"/>
                <w:sz w:val="18"/>
                <w:szCs w:val="18"/>
                <w:lang w:eastAsia="es-CO"/>
              </w:rPr>
            </w:pP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2A7AEDE7" w14:textId="77777777" w:rsidR="00856F66" w:rsidRPr="00F1782D" w:rsidRDefault="00856F66" w:rsidP="003B32F3">
            <w:pPr>
              <w:spacing w:line="240" w:lineRule="auto"/>
              <w:jc w:val="right"/>
              <w:rPr>
                <w:color w:val="000000"/>
                <w:sz w:val="18"/>
                <w:szCs w:val="18"/>
                <w:lang w:eastAsia="es-CO"/>
              </w:rPr>
            </w:pPr>
            <w:r w:rsidRPr="00F1782D">
              <w:rPr>
                <w:color w:val="000000"/>
                <w:sz w:val="18"/>
                <w:szCs w:val="18"/>
                <w:lang w:eastAsia="es-CO"/>
              </w:rPr>
              <w:t>49,7</w:t>
            </w:r>
          </w:p>
        </w:tc>
      </w:tr>
      <w:tr w:rsidR="00856F66" w:rsidRPr="008411D9" w14:paraId="5C3D6EFF" w14:textId="77777777" w:rsidTr="006B77AA">
        <w:trPr>
          <w:cantSplit/>
          <w:trHeight w:val="2172"/>
        </w:trPr>
        <w:tc>
          <w:tcPr>
            <w:tcW w:w="859" w:type="pct"/>
            <w:tcBorders>
              <w:top w:val="double" w:sz="4" w:space="0" w:color="C00000"/>
              <w:bottom w:val="double" w:sz="4" w:space="0" w:color="C00000"/>
              <w:right w:val="double" w:sz="4" w:space="0" w:color="C00000"/>
            </w:tcBorders>
            <w:shd w:val="clear" w:color="auto" w:fill="auto"/>
            <w:vAlign w:val="center"/>
            <w:hideMark/>
          </w:tcPr>
          <w:p w14:paraId="711CE75C" w14:textId="77777777" w:rsidR="00856F66" w:rsidRPr="00F1782D" w:rsidRDefault="00856F66" w:rsidP="000E13B6">
            <w:pPr>
              <w:spacing w:line="240" w:lineRule="auto"/>
              <w:jc w:val="right"/>
              <w:rPr>
                <w:color w:val="000000"/>
                <w:sz w:val="16"/>
                <w:szCs w:val="16"/>
                <w:lang w:eastAsia="es-CO"/>
              </w:rPr>
            </w:pPr>
            <w:r w:rsidRPr="00F1782D">
              <w:rPr>
                <w:color w:val="000000"/>
                <w:sz w:val="16"/>
                <w:szCs w:val="16"/>
                <w:lang w:eastAsia="es-CO"/>
              </w:rPr>
              <w:t>Porcentaje de mujeres víctimas de violencias que reciben atención sociojurídica y psicosocial especializada de los casos remitidos por los equipos de atención de la Secretaría Distrital de la Mujer</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CE4A27D" w14:textId="77777777" w:rsidR="00856F66" w:rsidRPr="00F1782D" w:rsidRDefault="00856F66" w:rsidP="003B32F3">
            <w:pPr>
              <w:spacing w:line="240" w:lineRule="auto"/>
              <w:rPr>
                <w:color w:val="000000"/>
                <w:sz w:val="16"/>
                <w:szCs w:val="16"/>
                <w:lang w:eastAsia="es-CO"/>
              </w:rPr>
            </w:pPr>
            <w:r w:rsidRPr="00F1782D">
              <w:rPr>
                <w:color w:val="000000"/>
                <w:sz w:val="16"/>
                <w:szCs w:val="16"/>
                <w:lang w:eastAsia="es-CO"/>
              </w:rPr>
              <w:t>Sistema de Información Misional - Simisional, para Línea Púrpura Distrital, Móvil Mujer y atención en el entorno hospitalario</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A3A8F2B"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39344E7"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3C73B6B"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90,0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D3F481F"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92,0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FBE9557"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95,0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D7420C4"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97,0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6B19EA46"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100,0</w:t>
            </w:r>
          </w:p>
        </w:tc>
      </w:tr>
      <w:tr w:rsidR="00856F66" w:rsidRPr="008411D9" w14:paraId="489CC78D" w14:textId="77777777" w:rsidTr="006B77AA">
        <w:trPr>
          <w:cantSplit/>
          <w:trHeight w:val="1536"/>
        </w:trPr>
        <w:tc>
          <w:tcPr>
            <w:tcW w:w="859" w:type="pct"/>
            <w:tcBorders>
              <w:top w:val="double" w:sz="4" w:space="0" w:color="C00000"/>
              <w:bottom w:val="double" w:sz="4" w:space="0" w:color="C00000"/>
              <w:right w:val="double" w:sz="4" w:space="0" w:color="C00000"/>
            </w:tcBorders>
            <w:shd w:val="clear" w:color="auto" w:fill="auto"/>
            <w:vAlign w:val="center"/>
            <w:hideMark/>
          </w:tcPr>
          <w:p w14:paraId="3BD8184F" w14:textId="77777777" w:rsidR="00856F66" w:rsidRPr="00F1782D" w:rsidRDefault="00856F66" w:rsidP="000E13B6">
            <w:pPr>
              <w:spacing w:line="240" w:lineRule="auto"/>
              <w:jc w:val="right"/>
              <w:rPr>
                <w:color w:val="000000"/>
                <w:sz w:val="16"/>
                <w:szCs w:val="16"/>
                <w:lang w:eastAsia="es-CO"/>
              </w:rPr>
            </w:pPr>
            <w:r w:rsidRPr="00F1782D">
              <w:rPr>
                <w:color w:val="000000"/>
                <w:sz w:val="16"/>
                <w:szCs w:val="16"/>
                <w:lang w:eastAsia="es-CO"/>
              </w:rPr>
              <w:lastRenderedPageBreak/>
              <w:t>Porcentaje de personas que consideran que en Bogotá ha habido un aumento en la Equidad de Género y Eliminación del Machismo</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C296936" w14:textId="77777777" w:rsidR="00856F66" w:rsidRPr="00F1782D" w:rsidRDefault="00856F66" w:rsidP="003B32F3">
            <w:pPr>
              <w:spacing w:line="240" w:lineRule="auto"/>
              <w:rPr>
                <w:color w:val="000000"/>
                <w:sz w:val="16"/>
                <w:szCs w:val="16"/>
                <w:lang w:eastAsia="es-CO"/>
              </w:rPr>
            </w:pPr>
            <w:r w:rsidRPr="00F1782D">
              <w:rPr>
                <w:color w:val="000000"/>
                <w:sz w:val="16"/>
                <w:szCs w:val="16"/>
                <w:lang w:eastAsia="es-CO"/>
              </w:rPr>
              <w:t>EBC - Encuesta de Indicadores de Cultura Ciudadana y garantía de derechos</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BB626A5"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Bienal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5F53C50"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C17C7FF"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54,8</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7602994" w14:textId="77777777" w:rsidR="00856F66" w:rsidRPr="00F1782D" w:rsidRDefault="00856F66" w:rsidP="003B32F3">
            <w:pPr>
              <w:spacing w:line="240" w:lineRule="auto"/>
              <w:jc w:val="right"/>
              <w:rPr>
                <w:color w:val="000000"/>
                <w:sz w:val="16"/>
                <w:szCs w:val="16"/>
                <w:lang w:eastAsia="es-CO"/>
              </w:rPr>
            </w:pP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F27BF20"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57,8</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2DBF67C" w14:textId="77777777" w:rsidR="00856F66" w:rsidRPr="00F1782D" w:rsidRDefault="00856F66" w:rsidP="003B32F3">
            <w:pPr>
              <w:spacing w:line="240" w:lineRule="auto"/>
              <w:jc w:val="right"/>
              <w:rPr>
                <w:color w:val="000000"/>
                <w:sz w:val="16"/>
                <w:szCs w:val="16"/>
                <w:lang w:eastAsia="es-CO"/>
              </w:rPr>
            </w:pP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4B8BADF1"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60,8</w:t>
            </w:r>
          </w:p>
        </w:tc>
      </w:tr>
      <w:tr w:rsidR="00856F66" w:rsidRPr="008411D9" w14:paraId="250EDF15"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41A04443" w14:textId="77777777" w:rsidR="00856F66" w:rsidRPr="00F1782D" w:rsidRDefault="00856F66" w:rsidP="000E13B6">
            <w:pPr>
              <w:spacing w:line="240" w:lineRule="auto"/>
              <w:jc w:val="right"/>
              <w:rPr>
                <w:color w:val="000000"/>
                <w:sz w:val="16"/>
                <w:szCs w:val="16"/>
                <w:lang w:eastAsia="es-CO"/>
              </w:rPr>
            </w:pPr>
            <w:r w:rsidRPr="00F1782D">
              <w:rPr>
                <w:color w:val="000000"/>
                <w:sz w:val="16"/>
                <w:szCs w:val="16"/>
                <w:lang w:eastAsia="es-CO"/>
              </w:rPr>
              <w:t>Porcentaje de personas víctimas de delitos que presentan denuncia</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C67A897" w14:textId="77777777" w:rsidR="00856F66" w:rsidRPr="00F1782D" w:rsidRDefault="00856F66" w:rsidP="003B32F3">
            <w:pPr>
              <w:spacing w:line="240" w:lineRule="auto"/>
              <w:rPr>
                <w:color w:val="000000"/>
                <w:sz w:val="16"/>
                <w:szCs w:val="16"/>
                <w:lang w:eastAsia="es-CO"/>
              </w:rPr>
            </w:pPr>
            <w:r w:rsidRPr="00F1782D">
              <w:rPr>
                <w:color w:val="000000"/>
                <w:sz w:val="16"/>
                <w:szCs w:val="16"/>
                <w:lang w:eastAsia="es-CO"/>
              </w:rPr>
              <w:t>Encuesta de percepción y victimización de Bogotá - CCB</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FBB720F"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513950D"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B49C0E7"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55,0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77A4C10"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56,0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9C4DC19"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57,0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03CA690"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58,0</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71CEC956"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59,0</w:t>
            </w:r>
          </w:p>
        </w:tc>
      </w:tr>
      <w:tr w:rsidR="00856F66" w:rsidRPr="008411D9" w14:paraId="4A0064AB"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4690DF67" w14:textId="77777777" w:rsidR="00856F66" w:rsidRPr="00F1782D" w:rsidRDefault="00856F66" w:rsidP="000E13B6">
            <w:pPr>
              <w:spacing w:line="240" w:lineRule="auto"/>
              <w:jc w:val="right"/>
              <w:rPr>
                <w:color w:val="000000"/>
                <w:sz w:val="16"/>
                <w:szCs w:val="16"/>
                <w:lang w:eastAsia="es-CO"/>
              </w:rPr>
            </w:pPr>
            <w:r w:rsidRPr="00F1782D">
              <w:rPr>
                <w:color w:val="000000"/>
                <w:sz w:val="16"/>
                <w:szCs w:val="16"/>
                <w:lang w:eastAsia="es-CO"/>
              </w:rPr>
              <w:t>Fatalidades en siniestros viales por año</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ED743CA" w14:textId="77777777" w:rsidR="00856F66" w:rsidRPr="00F1782D" w:rsidRDefault="00856F66" w:rsidP="003B32F3">
            <w:pPr>
              <w:spacing w:line="240" w:lineRule="auto"/>
              <w:rPr>
                <w:color w:val="000000"/>
                <w:sz w:val="16"/>
                <w:szCs w:val="16"/>
                <w:lang w:eastAsia="es-CO"/>
              </w:rPr>
            </w:pPr>
            <w:r w:rsidRPr="00F1782D">
              <w:rPr>
                <w:color w:val="000000"/>
                <w:sz w:val="16"/>
                <w:szCs w:val="16"/>
                <w:lang w:eastAsia="es-CO"/>
              </w:rPr>
              <w:t>Sistema de Información Geográfico de Accidentes de Tránsito - SIGAT</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3508043"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255690D"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1ABE1FA"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544</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090DE2"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524</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8667DAE"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504</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EF04951"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484</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03395862"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462</w:t>
            </w:r>
          </w:p>
        </w:tc>
      </w:tr>
      <w:tr w:rsidR="00856F66" w:rsidRPr="008411D9" w14:paraId="2C7720A7" w14:textId="77777777" w:rsidTr="006B77AA">
        <w:trPr>
          <w:cantSplit/>
          <w:trHeight w:val="936"/>
        </w:trPr>
        <w:tc>
          <w:tcPr>
            <w:tcW w:w="859" w:type="pct"/>
            <w:tcBorders>
              <w:top w:val="double" w:sz="4" w:space="0" w:color="C00000"/>
              <w:bottom w:val="double" w:sz="4" w:space="0" w:color="C00000"/>
              <w:right w:val="double" w:sz="4" w:space="0" w:color="C00000"/>
            </w:tcBorders>
            <w:shd w:val="clear" w:color="auto" w:fill="auto"/>
            <w:vAlign w:val="center"/>
            <w:hideMark/>
          </w:tcPr>
          <w:p w14:paraId="0C22CF64" w14:textId="77777777" w:rsidR="00856F66" w:rsidRPr="00F1782D" w:rsidRDefault="00856F66" w:rsidP="000E13B6">
            <w:pPr>
              <w:spacing w:line="240" w:lineRule="auto"/>
              <w:jc w:val="right"/>
              <w:rPr>
                <w:color w:val="000000"/>
                <w:sz w:val="16"/>
                <w:szCs w:val="16"/>
                <w:lang w:eastAsia="es-CO"/>
              </w:rPr>
            </w:pPr>
            <w:r w:rsidRPr="00F1782D">
              <w:rPr>
                <w:color w:val="000000"/>
                <w:sz w:val="16"/>
                <w:szCs w:val="16"/>
                <w:lang w:eastAsia="es-CO"/>
              </w:rPr>
              <w:t>Porcentaje de evasión medido en el componente troncal</w:t>
            </w:r>
          </w:p>
        </w:tc>
        <w:tc>
          <w:tcPr>
            <w:tcW w:w="78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E7ADC96" w14:textId="77777777" w:rsidR="00856F66" w:rsidRPr="00F1782D" w:rsidRDefault="00856F66" w:rsidP="003B32F3">
            <w:pPr>
              <w:spacing w:line="240" w:lineRule="auto"/>
              <w:rPr>
                <w:color w:val="000000"/>
                <w:sz w:val="16"/>
                <w:szCs w:val="16"/>
                <w:lang w:eastAsia="es-CO"/>
              </w:rPr>
            </w:pPr>
            <w:r w:rsidRPr="00F1782D">
              <w:rPr>
                <w:color w:val="000000"/>
                <w:sz w:val="16"/>
                <w:szCs w:val="16"/>
                <w:lang w:eastAsia="es-CO"/>
              </w:rPr>
              <w:t>Dirección Técnica de Seguridad TRANSMILENIO S.A.</w:t>
            </w:r>
          </w:p>
        </w:tc>
        <w:tc>
          <w:tcPr>
            <w:tcW w:w="34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A6D353E"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Anual</w:t>
            </w:r>
          </w:p>
        </w:tc>
        <w:tc>
          <w:tcPr>
            <w:tcW w:w="3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AA061B2" w14:textId="77777777" w:rsidR="00856F66" w:rsidRPr="00F1782D" w:rsidRDefault="00856F66" w:rsidP="000E13B6">
            <w:pPr>
              <w:spacing w:line="240" w:lineRule="auto"/>
              <w:jc w:val="center"/>
              <w:rPr>
                <w:color w:val="000000"/>
                <w:sz w:val="16"/>
                <w:szCs w:val="16"/>
                <w:lang w:eastAsia="es-CO"/>
              </w:rPr>
            </w:pPr>
            <w:r w:rsidRPr="00F1782D">
              <w:rPr>
                <w:color w:val="000000"/>
                <w:sz w:val="16"/>
                <w:szCs w:val="16"/>
                <w:lang w:eastAsia="es-CO"/>
              </w:rPr>
              <w:t>2023</w:t>
            </w:r>
          </w:p>
        </w:tc>
        <w:tc>
          <w:tcPr>
            <w:tcW w:w="40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5D098CB"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15,3</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E828740"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15,3</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08B847C"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15,0</w:t>
            </w:r>
          </w:p>
        </w:tc>
        <w:tc>
          <w:tcPr>
            <w:tcW w:w="5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366419F"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14,3</w:t>
            </w:r>
          </w:p>
        </w:tc>
        <w:tc>
          <w:tcPr>
            <w:tcW w:w="573" w:type="pct"/>
            <w:tcBorders>
              <w:top w:val="double" w:sz="4" w:space="0" w:color="C00000"/>
              <w:left w:val="double" w:sz="4" w:space="0" w:color="C00000"/>
              <w:bottom w:val="double" w:sz="4" w:space="0" w:color="C00000"/>
            </w:tcBorders>
            <w:shd w:val="clear" w:color="auto" w:fill="auto"/>
            <w:noWrap/>
            <w:vAlign w:val="center"/>
            <w:hideMark/>
          </w:tcPr>
          <w:p w14:paraId="24F0298F" w14:textId="77777777" w:rsidR="00856F66" w:rsidRPr="00F1782D" w:rsidRDefault="00856F66" w:rsidP="003B32F3">
            <w:pPr>
              <w:spacing w:line="240" w:lineRule="auto"/>
              <w:jc w:val="right"/>
              <w:rPr>
                <w:color w:val="000000"/>
                <w:sz w:val="16"/>
                <w:szCs w:val="16"/>
                <w:lang w:eastAsia="es-CO"/>
              </w:rPr>
            </w:pPr>
            <w:r w:rsidRPr="00F1782D">
              <w:rPr>
                <w:color w:val="000000"/>
                <w:sz w:val="16"/>
                <w:szCs w:val="16"/>
                <w:lang w:eastAsia="es-CO"/>
              </w:rPr>
              <w:t>13,0</w:t>
            </w:r>
          </w:p>
        </w:tc>
      </w:tr>
    </w:tbl>
    <w:p w14:paraId="712C6801" w14:textId="77777777" w:rsidR="00856F66" w:rsidRDefault="00856F66"/>
    <w:tbl>
      <w:tblPr>
        <w:tblW w:w="5000" w:type="pct"/>
        <w:tblCellMar>
          <w:left w:w="70" w:type="dxa"/>
          <w:right w:w="70" w:type="dxa"/>
        </w:tblCellMar>
        <w:tblLook w:val="04A0" w:firstRow="1" w:lastRow="0" w:firstColumn="1" w:lastColumn="0" w:noHBand="0" w:noVBand="1"/>
      </w:tblPr>
      <w:tblGrid>
        <w:gridCol w:w="2111"/>
        <w:gridCol w:w="1683"/>
        <w:gridCol w:w="623"/>
        <w:gridCol w:w="973"/>
        <w:gridCol w:w="721"/>
        <w:gridCol w:w="812"/>
        <w:gridCol w:w="814"/>
        <w:gridCol w:w="814"/>
        <w:gridCol w:w="809"/>
      </w:tblGrid>
      <w:tr w:rsidR="00856F66" w:rsidRPr="008411D9" w14:paraId="1BB22AC6" w14:textId="77777777" w:rsidTr="003B32F3">
        <w:trPr>
          <w:cantSplit/>
          <w:trHeight w:val="888"/>
          <w:tblHeader/>
        </w:trPr>
        <w:tc>
          <w:tcPr>
            <w:tcW w:w="5000" w:type="pct"/>
            <w:gridSpan w:val="9"/>
            <w:tcBorders>
              <w:bottom w:val="double" w:sz="4" w:space="0" w:color="C00000"/>
            </w:tcBorders>
            <w:shd w:val="clear" w:color="000000" w:fill="C00000"/>
            <w:vAlign w:val="center"/>
            <w:hideMark/>
          </w:tcPr>
          <w:p w14:paraId="4F9ED730" w14:textId="77777777" w:rsidR="00856F66" w:rsidRPr="00C30A4A" w:rsidRDefault="00856F66" w:rsidP="008411D9">
            <w:pPr>
              <w:spacing w:line="240" w:lineRule="auto"/>
              <w:jc w:val="center"/>
              <w:rPr>
                <w:b/>
                <w:bCs/>
                <w:color w:val="FFFFFF"/>
                <w:sz w:val="28"/>
                <w:szCs w:val="28"/>
                <w:lang w:eastAsia="es-CO"/>
              </w:rPr>
            </w:pPr>
            <w:r w:rsidRPr="00C30A4A">
              <w:rPr>
                <w:b/>
                <w:bCs/>
                <w:color w:val="FFFFFF"/>
                <w:sz w:val="28"/>
                <w:szCs w:val="28"/>
                <w:lang w:eastAsia="es-CO"/>
              </w:rPr>
              <w:t>Objetivo 2 - Bogotá confía en su bien-estar</w:t>
            </w:r>
          </w:p>
        </w:tc>
      </w:tr>
      <w:tr w:rsidR="00856F66" w:rsidRPr="008411D9" w14:paraId="7E3B3F53" w14:textId="77777777" w:rsidTr="00674E7F">
        <w:trPr>
          <w:cantSplit/>
          <w:trHeight w:val="888"/>
          <w:tblHeader/>
        </w:trPr>
        <w:tc>
          <w:tcPr>
            <w:tcW w:w="1127" w:type="pct"/>
            <w:tcBorders>
              <w:top w:val="double" w:sz="4" w:space="0" w:color="C00000"/>
              <w:bottom w:val="double" w:sz="4" w:space="0" w:color="C00000"/>
              <w:right w:val="double" w:sz="4" w:space="0" w:color="C00000"/>
            </w:tcBorders>
            <w:shd w:val="clear" w:color="000000" w:fill="D0D0D0"/>
            <w:vAlign w:val="center"/>
            <w:hideMark/>
          </w:tcPr>
          <w:p w14:paraId="1D1FBBB5"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Nombre Indicador</w:t>
            </w:r>
          </w:p>
        </w:tc>
        <w:tc>
          <w:tcPr>
            <w:tcW w:w="899"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6570D70F" w14:textId="4E9C309D"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Fuente línea base</w:t>
            </w:r>
          </w:p>
        </w:tc>
        <w:tc>
          <w:tcPr>
            <w:tcW w:w="33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34F73F27"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Tipo</w:t>
            </w:r>
          </w:p>
        </w:tc>
        <w:tc>
          <w:tcPr>
            <w:tcW w:w="520"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0C3E99CE"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Año línea base</w:t>
            </w:r>
          </w:p>
        </w:tc>
        <w:tc>
          <w:tcPr>
            <w:tcW w:w="385"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589F371F" w14:textId="5901E913"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Valor línea base</w:t>
            </w:r>
          </w:p>
        </w:tc>
        <w:tc>
          <w:tcPr>
            <w:tcW w:w="434"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6F127E72"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2024</w:t>
            </w:r>
          </w:p>
        </w:tc>
        <w:tc>
          <w:tcPr>
            <w:tcW w:w="435"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3389C19E"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2025</w:t>
            </w:r>
          </w:p>
        </w:tc>
        <w:tc>
          <w:tcPr>
            <w:tcW w:w="435"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6D59AF2"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2026</w:t>
            </w:r>
          </w:p>
        </w:tc>
        <w:tc>
          <w:tcPr>
            <w:tcW w:w="434" w:type="pct"/>
            <w:tcBorders>
              <w:top w:val="double" w:sz="4" w:space="0" w:color="C00000"/>
              <w:left w:val="double" w:sz="4" w:space="0" w:color="C00000"/>
              <w:bottom w:val="double" w:sz="4" w:space="0" w:color="C00000"/>
            </w:tcBorders>
            <w:shd w:val="clear" w:color="000000" w:fill="D0D0D0"/>
            <w:vAlign w:val="center"/>
            <w:hideMark/>
          </w:tcPr>
          <w:p w14:paraId="0BA619DF"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2027</w:t>
            </w:r>
          </w:p>
        </w:tc>
      </w:tr>
      <w:tr w:rsidR="00856F66" w:rsidRPr="008411D9" w14:paraId="5040D2DB" w14:textId="77777777" w:rsidTr="00674E7F">
        <w:trPr>
          <w:cantSplit/>
          <w:trHeight w:val="900"/>
        </w:trPr>
        <w:tc>
          <w:tcPr>
            <w:tcW w:w="1127" w:type="pct"/>
            <w:tcBorders>
              <w:top w:val="double" w:sz="4" w:space="0" w:color="C00000"/>
              <w:bottom w:val="double" w:sz="4" w:space="0" w:color="C00000"/>
              <w:right w:val="double" w:sz="4" w:space="0" w:color="C00000"/>
            </w:tcBorders>
            <w:shd w:val="clear" w:color="auto" w:fill="auto"/>
            <w:vAlign w:val="center"/>
            <w:hideMark/>
          </w:tcPr>
          <w:p w14:paraId="41F93FA6" w14:textId="77777777" w:rsidR="00856F66" w:rsidRPr="00F1782D" w:rsidRDefault="00856F66" w:rsidP="008411D9">
            <w:pPr>
              <w:spacing w:line="240" w:lineRule="auto"/>
              <w:rPr>
                <w:color w:val="000000"/>
                <w:sz w:val="16"/>
                <w:szCs w:val="16"/>
                <w:lang w:eastAsia="es-CO"/>
              </w:rPr>
            </w:pPr>
            <w:r w:rsidRPr="00F1782D">
              <w:rPr>
                <w:color w:val="000000"/>
                <w:sz w:val="16"/>
                <w:szCs w:val="16"/>
                <w:lang w:eastAsia="es-CO"/>
              </w:rPr>
              <w:t>Incidencia de pobreza monetaria (Porcentaje de personas)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120B9DBF" w14:textId="77777777" w:rsidR="00856F66" w:rsidRPr="00F1782D" w:rsidRDefault="00856F66" w:rsidP="008411D9">
            <w:pPr>
              <w:spacing w:line="240" w:lineRule="auto"/>
              <w:rPr>
                <w:color w:val="000000"/>
                <w:sz w:val="16"/>
                <w:szCs w:val="16"/>
                <w:lang w:eastAsia="es-CO"/>
              </w:rPr>
            </w:pPr>
            <w:r w:rsidRPr="00F1782D">
              <w:rPr>
                <w:color w:val="000000"/>
                <w:sz w:val="16"/>
                <w:szCs w:val="16"/>
                <w:lang w:eastAsia="es-CO"/>
              </w:rPr>
              <w:t>DANE - Gran Encuesta Integrada de Hogares</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2AF6514" w14:textId="77777777" w:rsidR="00856F66" w:rsidRPr="00F1782D" w:rsidRDefault="00856F66" w:rsidP="008411D9">
            <w:pPr>
              <w:spacing w:line="240" w:lineRule="auto"/>
              <w:rPr>
                <w:color w:val="000000"/>
                <w:sz w:val="16"/>
                <w:szCs w:val="16"/>
                <w:lang w:eastAsia="es-CO"/>
              </w:rPr>
            </w:pPr>
            <w:r w:rsidRPr="00F1782D">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DC58F0C"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F0DB6F2"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28,2</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C3037DB"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26,9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0DBB383"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26,9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782723E"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26,0</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4265A391"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24,9</w:t>
            </w:r>
          </w:p>
        </w:tc>
      </w:tr>
      <w:tr w:rsidR="00856F66" w:rsidRPr="008411D9" w14:paraId="7C6D2293" w14:textId="77777777" w:rsidTr="00674E7F">
        <w:trPr>
          <w:cantSplit/>
          <w:trHeight w:val="900"/>
        </w:trPr>
        <w:tc>
          <w:tcPr>
            <w:tcW w:w="1127" w:type="pct"/>
            <w:tcBorders>
              <w:top w:val="double" w:sz="4" w:space="0" w:color="C00000"/>
              <w:bottom w:val="double" w:sz="4" w:space="0" w:color="C00000"/>
              <w:right w:val="double" w:sz="4" w:space="0" w:color="C00000"/>
            </w:tcBorders>
            <w:shd w:val="clear" w:color="auto" w:fill="auto"/>
            <w:vAlign w:val="center"/>
            <w:hideMark/>
          </w:tcPr>
          <w:p w14:paraId="61E60BF3" w14:textId="77777777" w:rsidR="00856F66" w:rsidRPr="00F1782D" w:rsidRDefault="00856F66" w:rsidP="008411D9">
            <w:pPr>
              <w:spacing w:line="240" w:lineRule="auto"/>
              <w:rPr>
                <w:color w:val="000000"/>
                <w:sz w:val="16"/>
                <w:szCs w:val="16"/>
                <w:lang w:eastAsia="es-CO"/>
              </w:rPr>
            </w:pPr>
            <w:r w:rsidRPr="00F1782D">
              <w:rPr>
                <w:color w:val="000000"/>
                <w:sz w:val="16"/>
                <w:szCs w:val="16"/>
                <w:lang w:eastAsia="es-CO"/>
              </w:rPr>
              <w:t>Incidencia de pobreza multidimensional (Porcentaje de personas)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16554CC" w14:textId="77777777" w:rsidR="00856F66" w:rsidRPr="00F1782D" w:rsidRDefault="00856F66" w:rsidP="008411D9">
            <w:pPr>
              <w:spacing w:line="240" w:lineRule="auto"/>
              <w:rPr>
                <w:color w:val="000000"/>
                <w:sz w:val="16"/>
                <w:szCs w:val="16"/>
                <w:lang w:eastAsia="es-CO"/>
              </w:rPr>
            </w:pPr>
            <w:r w:rsidRPr="00F1782D">
              <w:rPr>
                <w:color w:val="000000"/>
                <w:sz w:val="16"/>
                <w:szCs w:val="16"/>
                <w:lang w:eastAsia="es-CO"/>
              </w:rPr>
              <w:t>DANE - Encuesta de Calidad de Vida</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773090D" w14:textId="77777777" w:rsidR="00856F66" w:rsidRPr="00F1782D" w:rsidRDefault="00856F66" w:rsidP="008411D9">
            <w:pPr>
              <w:spacing w:line="240" w:lineRule="auto"/>
              <w:rPr>
                <w:color w:val="000000"/>
                <w:sz w:val="16"/>
                <w:szCs w:val="16"/>
                <w:lang w:eastAsia="es-CO"/>
              </w:rPr>
            </w:pPr>
            <w:r w:rsidRPr="00F1782D">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32F03A0"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DAAEB0A" w14:textId="77777777" w:rsidR="00856F66" w:rsidRPr="00F1782D" w:rsidRDefault="00856F66" w:rsidP="008411D9">
            <w:pPr>
              <w:spacing w:line="240" w:lineRule="auto"/>
              <w:jc w:val="right"/>
              <w:rPr>
                <w:sz w:val="16"/>
                <w:szCs w:val="16"/>
                <w:lang w:eastAsia="es-CO"/>
              </w:rPr>
            </w:pPr>
            <w:r w:rsidRPr="00F1782D">
              <w:rPr>
                <w:sz w:val="16"/>
                <w:szCs w:val="16"/>
                <w:lang w:eastAsia="es-CO"/>
              </w:rPr>
              <w:t>3,6</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107B746"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2,5</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00ECDB4"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2,0</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2F61AA1"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1,8</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56685AB8" w14:textId="77777777" w:rsidR="00856F66" w:rsidRPr="00F1782D" w:rsidRDefault="00856F66" w:rsidP="008411D9">
            <w:pPr>
              <w:spacing w:line="240" w:lineRule="auto"/>
              <w:jc w:val="right"/>
              <w:rPr>
                <w:color w:val="000000"/>
                <w:sz w:val="16"/>
                <w:szCs w:val="16"/>
                <w:lang w:eastAsia="es-CO"/>
              </w:rPr>
            </w:pPr>
            <w:r w:rsidRPr="00F1782D">
              <w:rPr>
                <w:color w:val="000000"/>
                <w:sz w:val="16"/>
                <w:szCs w:val="16"/>
                <w:lang w:eastAsia="es-CO"/>
              </w:rPr>
              <w:t>2,0</w:t>
            </w:r>
          </w:p>
        </w:tc>
      </w:tr>
      <w:tr w:rsidR="00856F66" w:rsidRPr="008411D9" w14:paraId="0B774D07" w14:textId="77777777" w:rsidTr="00674E7F">
        <w:trPr>
          <w:cantSplit/>
          <w:trHeight w:val="900"/>
        </w:trPr>
        <w:tc>
          <w:tcPr>
            <w:tcW w:w="1127" w:type="pct"/>
            <w:tcBorders>
              <w:top w:val="double" w:sz="4" w:space="0" w:color="C00000"/>
              <w:bottom w:val="double" w:sz="4" w:space="0" w:color="C00000"/>
              <w:right w:val="double" w:sz="4" w:space="0" w:color="C00000"/>
            </w:tcBorders>
            <w:shd w:val="clear" w:color="auto" w:fill="auto"/>
            <w:vAlign w:val="center"/>
            <w:hideMark/>
          </w:tcPr>
          <w:p w14:paraId="01D46A8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gasto en ciudad de los hogares pobres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D0759B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DANE - Encuesta de Calidad de Vida</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E0A974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75B6E8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9AC90D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58,6</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C3DEA8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58,1</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E5B86D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58,1</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502C8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57,6</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36CA56F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57,1</w:t>
            </w:r>
          </w:p>
        </w:tc>
      </w:tr>
      <w:tr w:rsidR="00856F66" w:rsidRPr="008411D9" w14:paraId="0F6BE8A3" w14:textId="77777777" w:rsidTr="00674E7F">
        <w:trPr>
          <w:cantSplit/>
          <w:trHeight w:val="900"/>
        </w:trPr>
        <w:tc>
          <w:tcPr>
            <w:tcW w:w="1127" w:type="pct"/>
            <w:tcBorders>
              <w:top w:val="double" w:sz="4" w:space="0" w:color="C00000"/>
              <w:bottom w:val="double" w:sz="4" w:space="0" w:color="C00000"/>
              <w:right w:val="double" w:sz="4" w:space="0" w:color="C00000"/>
            </w:tcBorders>
            <w:shd w:val="clear" w:color="auto" w:fill="auto"/>
            <w:vAlign w:val="center"/>
            <w:hideMark/>
          </w:tcPr>
          <w:p w14:paraId="7AD2AC5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lastRenderedPageBreak/>
              <w:t>Número de hogares beneficiarios del Subsidio Distrital de Vivienda</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F2AFC5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del Hábitat</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F1F9B5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A97AE6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2020 -2023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097B2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19600</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EC7798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5150</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58E773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12872</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57FD83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14994</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1497678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17984</w:t>
            </w:r>
          </w:p>
        </w:tc>
      </w:tr>
      <w:tr w:rsidR="00856F66" w:rsidRPr="008411D9" w14:paraId="48B6531E" w14:textId="77777777" w:rsidTr="00674E7F">
        <w:trPr>
          <w:cantSplit/>
          <w:trHeight w:val="1560"/>
        </w:trPr>
        <w:tc>
          <w:tcPr>
            <w:tcW w:w="1127" w:type="pct"/>
            <w:tcBorders>
              <w:top w:val="double" w:sz="4" w:space="0" w:color="C00000"/>
              <w:bottom w:val="double" w:sz="4" w:space="0" w:color="C00000"/>
              <w:right w:val="double" w:sz="4" w:space="0" w:color="C00000"/>
            </w:tcBorders>
            <w:shd w:val="clear" w:color="auto" w:fill="auto"/>
            <w:vAlign w:val="center"/>
            <w:hideMark/>
          </w:tcPr>
          <w:p w14:paraId="39C85DF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personas atendidas en las rutas de atención para la prevención de vulneraciones de los derechos humanos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6CA127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Gobierno</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133467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723C21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1D8B07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0F57D4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4D2BB7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36DCAE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160E96A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r>
      <w:tr w:rsidR="00856F66" w:rsidRPr="008411D9" w14:paraId="0FD89B3A" w14:textId="77777777" w:rsidTr="00674E7F">
        <w:trPr>
          <w:cantSplit/>
          <w:trHeight w:val="2304"/>
        </w:trPr>
        <w:tc>
          <w:tcPr>
            <w:tcW w:w="1127" w:type="pct"/>
            <w:tcBorders>
              <w:top w:val="double" w:sz="4" w:space="0" w:color="C00000"/>
              <w:bottom w:val="double" w:sz="4" w:space="0" w:color="C00000"/>
              <w:right w:val="double" w:sz="4" w:space="0" w:color="C00000"/>
            </w:tcBorders>
            <w:shd w:val="clear" w:color="auto" w:fill="auto"/>
            <w:vAlign w:val="center"/>
            <w:hideMark/>
          </w:tcPr>
          <w:p w14:paraId="159F868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personas que participan en proyectos, actividades o campañas orientadas a la promoción del arte, la cultura y el patrimonio, y/o a la promoción de la recreación y el deporte en los barrios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3F9DB9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EBC - Encuesta de Indicadores de Cultura Ciudadana y garantía de derechos</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369055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EFDE4B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D3D319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16,9</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FA3CB7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9C15FC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18,9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A8372E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0FDC41E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20,9</w:t>
            </w:r>
          </w:p>
        </w:tc>
      </w:tr>
      <w:tr w:rsidR="00856F66" w:rsidRPr="008411D9" w14:paraId="0D3B1B74" w14:textId="77777777" w:rsidTr="00674E7F">
        <w:trPr>
          <w:cantSplit/>
          <w:trHeight w:val="1968"/>
        </w:trPr>
        <w:tc>
          <w:tcPr>
            <w:tcW w:w="1127" w:type="pct"/>
            <w:tcBorders>
              <w:top w:val="double" w:sz="4" w:space="0" w:color="C00000"/>
              <w:bottom w:val="double" w:sz="4" w:space="0" w:color="C00000"/>
              <w:right w:val="double" w:sz="4" w:space="0" w:color="C00000"/>
            </w:tcBorders>
            <w:shd w:val="clear" w:color="auto" w:fill="auto"/>
            <w:vAlign w:val="center"/>
            <w:hideMark/>
          </w:tcPr>
          <w:p w14:paraId="03C7B9E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personas de 13 años y más que actualmente se benefician a través del uso de parques y/o equipamientos culturales, recreativos y deportivos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034288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EBC - Encuesta de Prácticas Artísticas, Culturales, Creativas y patrimoniales</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C040A8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213BE9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A82BA5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46,9</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43434A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1D51E0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48,9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7EE865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44A51C4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50,9</w:t>
            </w:r>
          </w:p>
        </w:tc>
      </w:tr>
      <w:tr w:rsidR="00856F66" w:rsidRPr="008411D9" w14:paraId="1894C49D" w14:textId="77777777" w:rsidTr="00674E7F">
        <w:trPr>
          <w:cantSplit/>
          <w:trHeight w:val="900"/>
        </w:trPr>
        <w:tc>
          <w:tcPr>
            <w:tcW w:w="1127" w:type="pct"/>
            <w:tcBorders>
              <w:top w:val="double" w:sz="4" w:space="0" w:color="C00000"/>
              <w:bottom w:val="double" w:sz="4" w:space="0" w:color="C00000"/>
              <w:right w:val="double" w:sz="4" w:space="0" w:color="C00000"/>
            </w:tcBorders>
            <w:shd w:val="clear" w:color="auto" w:fill="auto"/>
            <w:vAlign w:val="center"/>
            <w:hideMark/>
          </w:tcPr>
          <w:p w14:paraId="2F98D91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personas que realizan actividad física</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15CCA6F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EBC - Encuesta de Prácticas Deportivas y Calidad de Vida</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72EFFC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116E37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620F6D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44,7</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9AB63B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47,7</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F1C23E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599AA3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50,7</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53239EE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w:t>
            </w:r>
          </w:p>
        </w:tc>
      </w:tr>
      <w:tr w:rsidR="00856F66" w:rsidRPr="008411D9" w14:paraId="6EF29967" w14:textId="77777777" w:rsidTr="00674E7F">
        <w:trPr>
          <w:cantSplit/>
          <w:trHeight w:val="1164"/>
        </w:trPr>
        <w:tc>
          <w:tcPr>
            <w:tcW w:w="1127" w:type="pct"/>
            <w:tcBorders>
              <w:top w:val="double" w:sz="4" w:space="0" w:color="C00000"/>
              <w:bottom w:val="double" w:sz="4" w:space="0" w:color="C00000"/>
              <w:right w:val="double" w:sz="4" w:space="0" w:color="C00000"/>
            </w:tcBorders>
            <w:shd w:val="clear" w:color="auto" w:fill="auto"/>
            <w:vAlign w:val="center"/>
            <w:hideMark/>
          </w:tcPr>
          <w:p w14:paraId="1E477EB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Razón de mortalidad materna por 100.000 nacidos vivos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7D44D5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DANE / Sistema de Estadísticas Vitales Secretaría Distrital de Salud</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6A7611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E4567F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7B1F45B" w14:textId="77777777" w:rsidR="00856F66" w:rsidRPr="00A21FE1" w:rsidRDefault="00856F66" w:rsidP="008411D9">
            <w:pPr>
              <w:spacing w:line="240" w:lineRule="auto"/>
              <w:jc w:val="right"/>
              <w:rPr>
                <w:sz w:val="16"/>
                <w:szCs w:val="16"/>
                <w:lang w:eastAsia="es-CO"/>
              </w:rPr>
            </w:pPr>
            <w:r w:rsidRPr="00A21FE1">
              <w:rPr>
                <w:sz w:val="16"/>
                <w:szCs w:val="16"/>
                <w:lang w:eastAsia="es-CO"/>
              </w:rPr>
              <w:t>38,6</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0F7EC1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36,9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228646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35,9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2A0928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34,8</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1522B12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29,5</w:t>
            </w:r>
          </w:p>
        </w:tc>
      </w:tr>
      <w:tr w:rsidR="00856F66" w:rsidRPr="008411D9" w14:paraId="355ACCD9" w14:textId="77777777" w:rsidTr="00674E7F">
        <w:trPr>
          <w:cantSplit/>
          <w:trHeight w:val="1056"/>
        </w:trPr>
        <w:tc>
          <w:tcPr>
            <w:tcW w:w="1127" w:type="pct"/>
            <w:tcBorders>
              <w:top w:val="double" w:sz="4" w:space="0" w:color="C00000"/>
              <w:bottom w:val="double" w:sz="4" w:space="0" w:color="C00000"/>
              <w:right w:val="double" w:sz="4" w:space="0" w:color="C00000"/>
            </w:tcBorders>
            <w:shd w:val="clear" w:color="auto" w:fill="auto"/>
            <w:vAlign w:val="center"/>
            <w:hideMark/>
          </w:tcPr>
          <w:p w14:paraId="6BF3F0C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Tasa de mortalidad por suicidio por 100.000</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8685BD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DANE / Instituto Nacional de Medicina Legal y Ciencias Forenses</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698B38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B2B38A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2019</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4282705" w14:textId="77777777" w:rsidR="00856F66" w:rsidRPr="00A21FE1" w:rsidRDefault="00856F66" w:rsidP="008411D9">
            <w:pPr>
              <w:spacing w:line="240" w:lineRule="auto"/>
              <w:jc w:val="right"/>
              <w:rPr>
                <w:sz w:val="16"/>
                <w:szCs w:val="16"/>
                <w:lang w:eastAsia="es-CO"/>
              </w:rPr>
            </w:pPr>
            <w:r w:rsidRPr="00A21FE1">
              <w:rPr>
                <w:sz w:val="16"/>
                <w:szCs w:val="16"/>
                <w:lang w:eastAsia="es-CO"/>
              </w:rPr>
              <w:t>5,5</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36DBCF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5,5</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3F6200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5,5</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437620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5,5</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6BB90DF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5,5</w:t>
            </w:r>
          </w:p>
        </w:tc>
      </w:tr>
      <w:tr w:rsidR="00856F66" w:rsidRPr="008411D9" w14:paraId="3CB4BB00" w14:textId="77777777" w:rsidTr="00674E7F">
        <w:trPr>
          <w:cantSplit/>
          <w:trHeight w:val="1236"/>
        </w:trPr>
        <w:tc>
          <w:tcPr>
            <w:tcW w:w="1127" w:type="pct"/>
            <w:tcBorders>
              <w:top w:val="double" w:sz="4" w:space="0" w:color="C00000"/>
              <w:bottom w:val="double" w:sz="4" w:space="0" w:color="C00000"/>
              <w:right w:val="double" w:sz="4" w:space="0" w:color="C00000"/>
            </w:tcBorders>
            <w:shd w:val="clear" w:color="auto" w:fill="auto"/>
            <w:vAlign w:val="center"/>
            <w:hideMark/>
          </w:tcPr>
          <w:p w14:paraId="7771792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lastRenderedPageBreak/>
              <w:t>Tasa de mortalidad infantil por 1.000 nacidos vivos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7426CB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DANE / Sistema de Estadísticas Vitales Secretaría Distrital de Salud</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A52944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D0E7CA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FD0A985" w14:textId="77777777" w:rsidR="00856F66" w:rsidRPr="00A21FE1" w:rsidRDefault="00856F66" w:rsidP="008411D9">
            <w:pPr>
              <w:spacing w:line="240" w:lineRule="auto"/>
              <w:jc w:val="right"/>
              <w:rPr>
                <w:sz w:val="16"/>
                <w:szCs w:val="16"/>
                <w:lang w:eastAsia="es-CO"/>
              </w:rPr>
            </w:pPr>
            <w:r w:rsidRPr="00A21FE1">
              <w:rPr>
                <w:sz w:val="16"/>
                <w:szCs w:val="16"/>
                <w:lang w:eastAsia="es-CO"/>
              </w:rPr>
              <w:t>9,10</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3043C8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8,99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4926EB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8,99</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0AD54D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8,99</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549D96F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8,99</w:t>
            </w:r>
          </w:p>
        </w:tc>
      </w:tr>
      <w:tr w:rsidR="00856F66" w:rsidRPr="008411D9" w14:paraId="5A1EF4A6" w14:textId="77777777" w:rsidTr="00674E7F">
        <w:trPr>
          <w:cantSplit/>
          <w:trHeight w:val="1344"/>
        </w:trPr>
        <w:tc>
          <w:tcPr>
            <w:tcW w:w="1127" w:type="pct"/>
            <w:tcBorders>
              <w:top w:val="double" w:sz="4" w:space="0" w:color="C00000"/>
              <w:bottom w:val="double" w:sz="4" w:space="0" w:color="C00000"/>
              <w:right w:val="double" w:sz="4" w:space="0" w:color="C00000"/>
            </w:tcBorders>
            <w:shd w:val="clear" w:color="auto" w:fill="auto"/>
            <w:vAlign w:val="center"/>
            <w:hideMark/>
          </w:tcPr>
          <w:p w14:paraId="7C76B6D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Tasa de mortalidad prematura por enfermedades crónicas no transmisibles con edades de 30 a 70 años por 100.000 habitantes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151D0D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DANE / Sistema de Estadísticas Vitales Secretaría Distrital de Salud</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AC4B31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716AEF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C42926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128,7</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0F6F8A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125</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DAE990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125</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E308FE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125</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380CB23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&lt; 125</w:t>
            </w:r>
          </w:p>
        </w:tc>
      </w:tr>
      <w:tr w:rsidR="00856F66" w:rsidRPr="008411D9" w14:paraId="54981C4E" w14:textId="77777777" w:rsidTr="00674E7F">
        <w:trPr>
          <w:cantSplit/>
          <w:trHeight w:val="1032"/>
        </w:trPr>
        <w:tc>
          <w:tcPr>
            <w:tcW w:w="1127" w:type="pct"/>
            <w:tcBorders>
              <w:top w:val="double" w:sz="4" w:space="0" w:color="C00000"/>
              <w:bottom w:val="double" w:sz="4" w:space="0" w:color="C00000"/>
              <w:right w:val="double" w:sz="4" w:space="0" w:color="C00000"/>
            </w:tcBorders>
            <w:shd w:val="clear" w:color="auto" w:fill="auto"/>
            <w:vAlign w:val="center"/>
            <w:hideMark/>
          </w:tcPr>
          <w:p w14:paraId="709C755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personas con experiencia buena o muy buena en la atención en salud</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D4F9B0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Encuesta de servicio a la ciudadanía - Secretaría Distrital de Salud</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1FB030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5B0192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C2DA4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78,1</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13D4E4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78,1</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7EFF9B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79,1</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C4CB79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79,1</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662C828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80,2</w:t>
            </w:r>
          </w:p>
        </w:tc>
      </w:tr>
      <w:tr w:rsidR="00856F66" w:rsidRPr="008411D9" w14:paraId="306953C2" w14:textId="77777777" w:rsidTr="00674E7F">
        <w:trPr>
          <w:cantSplit/>
          <w:trHeight w:val="5064"/>
        </w:trPr>
        <w:tc>
          <w:tcPr>
            <w:tcW w:w="1127" w:type="pct"/>
            <w:tcBorders>
              <w:top w:val="double" w:sz="4" w:space="0" w:color="C00000"/>
              <w:bottom w:val="double" w:sz="4" w:space="0" w:color="C00000"/>
              <w:right w:val="double" w:sz="4" w:space="0" w:color="C00000"/>
            </w:tcBorders>
            <w:shd w:val="clear" w:color="auto" w:fill="auto"/>
            <w:vAlign w:val="center"/>
            <w:hideMark/>
          </w:tcPr>
          <w:p w14:paraId="6A82BD11" w14:textId="77777777" w:rsidR="00856F66" w:rsidRPr="008411D9" w:rsidRDefault="00856F66" w:rsidP="008411D9">
            <w:pPr>
              <w:spacing w:line="240" w:lineRule="auto"/>
              <w:rPr>
                <w:color w:val="000000"/>
                <w:sz w:val="20"/>
                <w:szCs w:val="20"/>
                <w:lang w:eastAsia="es-CO"/>
              </w:rPr>
            </w:pPr>
            <w:r w:rsidRPr="008411D9">
              <w:rPr>
                <w:color w:val="000000"/>
                <w:sz w:val="20"/>
                <w:szCs w:val="20"/>
                <w:lang w:eastAsia="es-CO"/>
              </w:rPr>
              <w:lastRenderedPageBreak/>
              <w:t>Cascada de atención en VIH: Porcentaje de personas que viven con VIH, conocen su diagnóstico, tienen acceso a tratamiento y alcanzan cargas virales indetectables</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49C221F" w14:textId="77777777" w:rsidR="00856F66" w:rsidRPr="008411D9" w:rsidRDefault="00856F66" w:rsidP="008411D9">
            <w:pPr>
              <w:spacing w:line="240" w:lineRule="auto"/>
              <w:rPr>
                <w:color w:val="000000"/>
                <w:sz w:val="20"/>
                <w:szCs w:val="20"/>
                <w:lang w:eastAsia="es-CO"/>
              </w:rPr>
            </w:pPr>
            <w:r w:rsidRPr="008411D9">
              <w:rPr>
                <w:color w:val="000000"/>
                <w:sz w:val="20"/>
                <w:szCs w:val="20"/>
                <w:lang w:eastAsia="es-CO"/>
              </w:rPr>
              <w:t>Informe Cuenta de Alto Costo Colombia 2022 - Secretaría Distrital de Salud</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4D5DD25" w14:textId="77777777" w:rsidR="00856F66" w:rsidRPr="008411D9" w:rsidRDefault="00856F66" w:rsidP="008411D9">
            <w:pPr>
              <w:spacing w:line="240" w:lineRule="auto"/>
              <w:rPr>
                <w:color w:val="000000"/>
                <w:sz w:val="20"/>
                <w:szCs w:val="20"/>
                <w:lang w:eastAsia="es-CO"/>
              </w:rPr>
            </w:pPr>
            <w:r w:rsidRPr="008411D9">
              <w:rPr>
                <w:color w:val="000000"/>
                <w:sz w:val="20"/>
                <w:szCs w:val="20"/>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B91C521"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2021</w:t>
            </w:r>
          </w:p>
        </w:tc>
        <w:tc>
          <w:tcPr>
            <w:tcW w:w="385"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2448A63" w14:textId="77777777" w:rsidR="00856F66" w:rsidRPr="008411D9" w:rsidRDefault="00856F66" w:rsidP="008411D9">
            <w:pPr>
              <w:spacing w:line="240" w:lineRule="auto"/>
              <w:rPr>
                <w:color w:val="000000"/>
                <w:sz w:val="16"/>
                <w:szCs w:val="16"/>
                <w:lang w:eastAsia="es-CO"/>
              </w:rPr>
            </w:pPr>
            <w:r w:rsidRPr="008411D9">
              <w:rPr>
                <w:color w:val="000000"/>
                <w:sz w:val="16"/>
                <w:szCs w:val="16"/>
                <w:lang w:eastAsia="es-CO"/>
              </w:rPr>
              <w:t>Porcentaje de personas que viven con VIH y conocen su diagnóstico:  78,8%.</w:t>
            </w:r>
            <w:r w:rsidRPr="008411D9">
              <w:rPr>
                <w:color w:val="000000"/>
                <w:sz w:val="16"/>
                <w:szCs w:val="16"/>
                <w:lang w:eastAsia="es-CO"/>
              </w:rPr>
              <w:br/>
              <w:t>Porcentaje de personas que viven con VIH conocen su diagnóstico y tienen acceso a tratamiento: 89,2%.</w:t>
            </w:r>
            <w:r w:rsidRPr="008411D9">
              <w:rPr>
                <w:color w:val="000000"/>
                <w:sz w:val="16"/>
                <w:szCs w:val="16"/>
                <w:lang w:eastAsia="es-CO"/>
              </w:rPr>
              <w:br/>
              <w:t>Porcentaje de personas que viven con VIH conocen su diagnóstico y tienen acceso a tratamiento y alcanzan cargas virales indetectables: 90,9%.</w:t>
            </w:r>
          </w:p>
        </w:tc>
        <w:tc>
          <w:tcPr>
            <w:tcW w:w="43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A7DB422" w14:textId="77777777" w:rsidR="00856F66" w:rsidRPr="008411D9" w:rsidRDefault="00856F66" w:rsidP="008411D9">
            <w:pPr>
              <w:spacing w:line="240" w:lineRule="auto"/>
              <w:jc w:val="right"/>
              <w:rPr>
                <w:color w:val="000000"/>
                <w:sz w:val="16"/>
                <w:szCs w:val="16"/>
                <w:lang w:eastAsia="es-CO"/>
              </w:rPr>
            </w:pPr>
            <w:r w:rsidRPr="008411D9">
              <w:rPr>
                <w:color w:val="000000"/>
                <w:sz w:val="16"/>
                <w:szCs w:val="16"/>
                <w:lang w:eastAsia="es-CO"/>
              </w:rPr>
              <w:t>El 84% de la población que vive con VIH conoce su diagnóstico, el 90,5% de estos tienen acceso al tratamiento y de estas últimas el 90,8% alcanzan cargas virales indetectables</w:t>
            </w:r>
          </w:p>
        </w:tc>
        <w:tc>
          <w:tcPr>
            <w:tcW w:w="435"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37450BA" w14:textId="77777777" w:rsidR="00856F66" w:rsidRPr="008411D9" w:rsidRDefault="00856F66" w:rsidP="008411D9">
            <w:pPr>
              <w:spacing w:line="240" w:lineRule="auto"/>
              <w:jc w:val="right"/>
              <w:rPr>
                <w:color w:val="000000"/>
                <w:sz w:val="16"/>
                <w:szCs w:val="16"/>
                <w:lang w:eastAsia="es-CO"/>
              </w:rPr>
            </w:pPr>
            <w:r w:rsidRPr="008411D9">
              <w:rPr>
                <w:color w:val="000000"/>
                <w:sz w:val="16"/>
                <w:szCs w:val="16"/>
                <w:lang w:eastAsia="es-CO"/>
              </w:rPr>
              <w:t>El 86% de la población que vive con VIH conoce su diagnóstico, el 91,0% de estos tienen acceso al tratamiento y de estas últimas el 91,1% alcanzan cargas virales indetectables</w:t>
            </w:r>
          </w:p>
        </w:tc>
        <w:tc>
          <w:tcPr>
            <w:tcW w:w="435"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04990EA" w14:textId="77777777" w:rsidR="00856F66" w:rsidRPr="008411D9" w:rsidRDefault="00856F66" w:rsidP="008411D9">
            <w:pPr>
              <w:spacing w:line="240" w:lineRule="auto"/>
              <w:jc w:val="right"/>
              <w:rPr>
                <w:color w:val="000000"/>
                <w:sz w:val="16"/>
                <w:szCs w:val="16"/>
                <w:lang w:eastAsia="es-CO"/>
              </w:rPr>
            </w:pPr>
            <w:r w:rsidRPr="008411D9">
              <w:rPr>
                <w:color w:val="000000"/>
                <w:sz w:val="16"/>
                <w:szCs w:val="16"/>
                <w:lang w:eastAsia="es-CO"/>
              </w:rPr>
              <w:t>El 88% de la población que vive con VIH conoce su diagnóstico, el 91,5% de estos tienen acceso al tratamiento y de estas últimas el 91,4% alcanzan cargas virales indetectables</w:t>
            </w:r>
          </w:p>
        </w:tc>
        <w:tc>
          <w:tcPr>
            <w:tcW w:w="434" w:type="pct"/>
            <w:tcBorders>
              <w:top w:val="double" w:sz="4" w:space="0" w:color="C00000"/>
              <w:left w:val="double" w:sz="4" w:space="0" w:color="C00000"/>
              <w:bottom w:val="double" w:sz="4" w:space="0" w:color="C00000"/>
            </w:tcBorders>
            <w:shd w:val="clear" w:color="auto" w:fill="auto"/>
            <w:vAlign w:val="center"/>
            <w:hideMark/>
          </w:tcPr>
          <w:p w14:paraId="41493454" w14:textId="77777777" w:rsidR="00856F66" w:rsidRPr="008411D9" w:rsidRDefault="00856F66" w:rsidP="008411D9">
            <w:pPr>
              <w:spacing w:line="240" w:lineRule="auto"/>
              <w:jc w:val="right"/>
              <w:rPr>
                <w:color w:val="000000"/>
                <w:sz w:val="16"/>
                <w:szCs w:val="16"/>
                <w:lang w:eastAsia="es-CO"/>
              </w:rPr>
            </w:pPr>
            <w:r w:rsidRPr="008411D9">
              <w:rPr>
                <w:color w:val="000000"/>
                <w:sz w:val="16"/>
                <w:szCs w:val="16"/>
                <w:lang w:eastAsia="es-CO"/>
              </w:rPr>
              <w:t>El 91% de la población que vive con VIH conoce su diagnóstico, el 92% de estos tienen acceso al tratamiento y de estas últimas el 92% alcanzan cargas virales indetectables</w:t>
            </w:r>
          </w:p>
        </w:tc>
      </w:tr>
      <w:tr w:rsidR="00856F66" w:rsidRPr="008411D9" w14:paraId="1C567D1D" w14:textId="77777777" w:rsidTr="00674E7F">
        <w:trPr>
          <w:cantSplit/>
          <w:trHeight w:val="900"/>
        </w:trPr>
        <w:tc>
          <w:tcPr>
            <w:tcW w:w="1127" w:type="pct"/>
            <w:tcBorders>
              <w:top w:val="double" w:sz="4" w:space="0" w:color="C00000"/>
              <w:bottom w:val="double" w:sz="4" w:space="0" w:color="C00000"/>
              <w:right w:val="double" w:sz="4" w:space="0" w:color="C00000"/>
            </w:tcBorders>
            <w:shd w:val="clear" w:color="auto" w:fill="auto"/>
            <w:vAlign w:val="center"/>
            <w:hideMark/>
          </w:tcPr>
          <w:p w14:paraId="53BEF9C4" w14:textId="77777777" w:rsidR="00856F66" w:rsidRPr="008411D9" w:rsidRDefault="00856F66" w:rsidP="008411D9">
            <w:pPr>
              <w:spacing w:line="240" w:lineRule="auto"/>
              <w:rPr>
                <w:color w:val="000000"/>
                <w:sz w:val="20"/>
                <w:szCs w:val="20"/>
                <w:lang w:eastAsia="es-CO"/>
              </w:rPr>
            </w:pPr>
            <w:r w:rsidRPr="008411D9">
              <w:rPr>
                <w:color w:val="000000"/>
                <w:sz w:val="20"/>
                <w:szCs w:val="20"/>
                <w:lang w:eastAsia="es-CO"/>
              </w:rPr>
              <w:t>Porcentaje de Incidencia en inseguridad alimentaria severa</w:t>
            </w:r>
          </w:p>
        </w:tc>
        <w:tc>
          <w:tcPr>
            <w:tcW w:w="899"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080A832" w14:textId="77777777" w:rsidR="00856F66" w:rsidRPr="008411D9" w:rsidRDefault="00856F66" w:rsidP="008411D9">
            <w:pPr>
              <w:spacing w:line="240" w:lineRule="auto"/>
              <w:rPr>
                <w:color w:val="000000"/>
                <w:sz w:val="20"/>
                <w:szCs w:val="20"/>
                <w:lang w:eastAsia="es-CO"/>
              </w:rPr>
            </w:pPr>
            <w:r w:rsidRPr="008411D9">
              <w:rPr>
                <w:color w:val="000000"/>
                <w:sz w:val="20"/>
                <w:szCs w:val="20"/>
                <w:lang w:eastAsia="es-CO"/>
              </w:rPr>
              <w:t>DANE - Escala de Experiencia de Seguridad Alimentaria FIES</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2C177C1" w14:textId="77777777" w:rsidR="00856F66" w:rsidRPr="008411D9" w:rsidRDefault="00856F66" w:rsidP="008411D9">
            <w:pPr>
              <w:spacing w:line="240" w:lineRule="auto"/>
              <w:rPr>
                <w:color w:val="000000"/>
                <w:sz w:val="20"/>
                <w:szCs w:val="20"/>
                <w:lang w:eastAsia="es-CO"/>
              </w:rPr>
            </w:pPr>
            <w:r w:rsidRPr="008411D9">
              <w:rPr>
                <w:color w:val="000000"/>
                <w:sz w:val="20"/>
                <w:szCs w:val="20"/>
                <w:lang w:eastAsia="es-CO"/>
              </w:rPr>
              <w:t>Anual</w:t>
            </w:r>
          </w:p>
        </w:tc>
        <w:tc>
          <w:tcPr>
            <w:tcW w:w="52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31C0F0B"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2023</w:t>
            </w:r>
          </w:p>
        </w:tc>
        <w:tc>
          <w:tcPr>
            <w:tcW w:w="38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679CA00"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3,8</w:t>
            </w:r>
          </w:p>
        </w:tc>
        <w:tc>
          <w:tcPr>
            <w:tcW w:w="43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94733E5"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3,6</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B9EC67D"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3,0</w:t>
            </w:r>
          </w:p>
        </w:tc>
        <w:tc>
          <w:tcPr>
            <w:tcW w:w="43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5316B45"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2,5</w:t>
            </w:r>
          </w:p>
        </w:tc>
        <w:tc>
          <w:tcPr>
            <w:tcW w:w="434" w:type="pct"/>
            <w:tcBorders>
              <w:top w:val="double" w:sz="4" w:space="0" w:color="C00000"/>
              <w:left w:val="double" w:sz="4" w:space="0" w:color="C00000"/>
              <w:bottom w:val="double" w:sz="4" w:space="0" w:color="C00000"/>
            </w:tcBorders>
            <w:shd w:val="clear" w:color="auto" w:fill="auto"/>
            <w:noWrap/>
            <w:vAlign w:val="center"/>
            <w:hideMark/>
          </w:tcPr>
          <w:p w14:paraId="63ED294E" w14:textId="77777777" w:rsidR="00856F66" w:rsidRPr="008411D9" w:rsidRDefault="00856F66" w:rsidP="008411D9">
            <w:pPr>
              <w:spacing w:line="240" w:lineRule="auto"/>
              <w:jc w:val="right"/>
              <w:rPr>
                <w:color w:val="000000"/>
                <w:sz w:val="20"/>
                <w:szCs w:val="20"/>
                <w:lang w:eastAsia="es-CO"/>
              </w:rPr>
            </w:pPr>
            <w:r w:rsidRPr="008411D9">
              <w:rPr>
                <w:color w:val="000000"/>
                <w:sz w:val="20"/>
                <w:szCs w:val="20"/>
                <w:lang w:eastAsia="es-CO"/>
              </w:rPr>
              <w:t>2,2</w:t>
            </w:r>
          </w:p>
        </w:tc>
      </w:tr>
    </w:tbl>
    <w:p w14:paraId="3D0A8AF7" w14:textId="77777777" w:rsidR="00856F66" w:rsidRDefault="00856F66"/>
    <w:p w14:paraId="5881FFDE" w14:textId="77777777" w:rsidR="00856F66" w:rsidRDefault="00856F66"/>
    <w:p w14:paraId="0E41D532" w14:textId="77777777" w:rsidR="00856F66" w:rsidRDefault="00856F66"/>
    <w:tbl>
      <w:tblPr>
        <w:tblW w:w="5000" w:type="pct"/>
        <w:tblCellMar>
          <w:left w:w="70" w:type="dxa"/>
          <w:right w:w="70" w:type="dxa"/>
        </w:tblCellMar>
        <w:tblLook w:val="04A0" w:firstRow="1" w:lastRow="0" w:firstColumn="1" w:lastColumn="0" w:noHBand="0" w:noVBand="1"/>
      </w:tblPr>
      <w:tblGrid>
        <w:gridCol w:w="1836"/>
        <w:gridCol w:w="1412"/>
        <w:gridCol w:w="895"/>
        <w:gridCol w:w="617"/>
        <w:gridCol w:w="1074"/>
        <w:gridCol w:w="879"/>
        <w:gridCol w:w="864"/>
        <w:gridCol w:w="887"/>
        <w:gridCol w:w="896"/>
      </w:tblGrid>
      <w:tr w:rsidR="00856F66" w:rsidRPr="008411D9" w14:paraId="2AE88A44" w14:textId="77777777" w:rsidTr="00C30A4A">
        <w:trPr>
          <w:cantSplit/>
          <w:trHeight w:val="888"/>
          <w:tblHeader/>
        </w:trPr>
        <w:tc>
          <w:tcPr>
            <w:tcW w:w="5000" w:type="pct"/>
            <w:gridSpan w:val="9"/>
            <w:tcBorders>
              <w:bottom w:val="double" w:sz="4" w:space="0" w:color="C00000"/>
            </w:tcBorders>
            <w:shd w:val="clear" w:color="000000" w:fill="C00000"/>
            <w:vAlign w:val="center"/>
            <w:hideMark/>
          </w:tcPr>
          <w:p w14:paraId="0E9CA813" w14:textId="77777777" w:rsidR="00856F66" w:rsidRPr="00C30A4A" w:rsidRDefault="00856F66" w:rsidP="008411D9">
            <w:pPr>
              <w:spacing w:line="240" w:lineRule="auto"/>
              <w:jc w:val="center"/>
              <w:rPr>
                <w:b/>
                <w:bCs/>
                <w:color w:val="FFFFFF" w:themeColor="background1"/>
                <w:sz w:val="28"/>
                <w:szCs w:val="28"/>
                <w:lang w:eastAsia="es-CO"/>
              </w:rPr>
            </w:pPr>
            <w:r w:rsidRPr="00C30A4A">
              <w:rPr>
                <w:b/>
                <w:bCs/>
                <w:color w:val="FFFFFF" w:themeColor="background1"/>
                <w:sz w:val="28"/>
                <w:szCs w:val="28"/>
                <w:lang w:eastAsia="es-CO"/>
              </w:rPr>
              <w:t>Objetivo 3 - Bogotá confía en su potencial</w:t>
            </w:r>
          </w:p>
        </w:tc>
      </w:tr>
      <w:tr w:rsidR="00856F66" w:rsidRPr="008411D9" w14:paraId="7F6449CA" w14:textId="77777777" w:rsidTr="00635304">
        <w:trPr>
          <w:cantSplit/>
          <w:trHeight w:val="888"/>
          <w:tblHeader/>
        </w:trPr>
        <w:tc>
          <w:tcPr>
            <w:tcW w:w="999" w:type="pct"/>
            <w:tcBorders>
              <w:top w:val="double" w:sz="4" w:space="0" w:color="C00000"/>
              <w:bottom w:val="double" w:sz="4" w:space="0" w:color="C00000"/>
              <w:right w:val="double" w:sz="4" w:space="0" w:color="C00000"/>
            </w:tcBorders>
            <w:shd w:val="clear" w:color="000000" w:fill="D0D0D0"/>
            <w:vAlign w:val="center"/>
            <w:hideMark/>
          </w:tcPr>
          <w:p w14:paraId="360D105F"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Nombre Indicador</w:t>
            </w:r>
          </w:p>
        </w:tc>
        <w:tc>
          <w:tcPr>
            <w:tcW w:w="772"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2E39D2CC" w14:textId="2CA9DD45"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Fuente</w:t>
            </w:r>
            <w:r w:rsidR="00635304">
              <w:rPr>
                <w:b/>
                <w:bCs/>
                <w:color w:val="000000"/>
                <w:sz w:val="20"/>
                <w:szCs w:val="20"/>
                <w:lang w:eastAsia="es-CO"/>
              </w:rPr>
              <w:t xml:space="preserve"> </w:t>
            </w:r>
            <w:r w:rsidRPr="008411D9">
              <w:rPr>
                <w:b/>
                <w:bCs/>
                <w:color w:val="000000"/>
                <w:sz w:val="20"/>
                <w:szCs w:val="20"/>
                <w:lang w:eastAsia="es-CO"/>
              </w:rPr>
              <w:t>línea base</w:t>
            </w:r>
          </w:p>
        </w:tc>
        <w:tc>
          <w:tcPr>
            <w:tcW w:w="425"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7B589E1E"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Tipo</w:t>
            </w:r>
          </w:p>
        </w:tc>
        <w:tc>
          <w:tcPr>
            <w:tcW w:w="347"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11B6E614"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Año línea base</w:t>
            </w:r>
          </w:p>
        </w:tc>
        <w:tc>
          <w:tcPr>
            <w:tcW w:w="574"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30A54670" w14:textId="60840E58"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Valor línea base</w:t>
            </w:r>
          </w:p>
        </w:tc>
        <w:tc>
          <w:tcPr>
            <w:tcW w:w="470"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F8C00DE"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2024</w:t>
            </w:r>
          </w:p>
        </w:tc>
        <w:tc>
          <w:tcPr>
            <w:tcW w:w="462"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90A17BE"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2025</w:t>
            </w:r>
          </w:p>
        </w:tc>
        <w:tc>
          <w:tcPr>
            <w:tcW w:w="474"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233DBEB9"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2026</w:t>
            </w:r>
          </w:p>
        </w:tc>
        <w:tc>
          <w:tcPr>
            <w:tcW w:w="479" w:type="pct"/>
            <w:tcBorders>
              <w:top w:val="double" w:sz="4" w:space="0" w:color="C00000"/>
              <w:left w:val="double" w:sz="4" w:space="0" w:color="C00000"/>
              <w:bottom w:val="double" w:sz="4" w:space="0" w:color="C00000"/>
            </w:tcBorders>
            <w:shd w:val="clear" w:color="000000" w:fill="D0D0D0"/>
            <w:vAlign w:val="center"/>
            <w:hideMark/>
          </w:tcPr>
          <w:p w14:paraId="12CA8BDD"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2027</w:t>
            </w:r>
          </w:p>
        </w:tc>
      </w:tr>
      <w:tr w:rsidR="00856F66" w:rsidRPr="008411D9" w14:paraId="08EF140D"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456FC68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Número de cupos nuevos para la atención integral a la primera infancia </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C20753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Sistema Integrado de Matrícula - SIMAT</w:t>
            </w:r>
          </w:p>
        </w:tc>
        <w:tc>
          <w:tcPr>
            <w:tcW w:w="42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43DE46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570DF79" w14:textId="77777777" w:rsidR="00856F66" w:rsidRPr="00A21FE1" w:rsidRDefault="00856F66" w:rsidP="008411D9">
            <w:pPr>
              <w:spacing w:line="240" w:lineRule="auto"/>
              <w:jc w:val="right"/>
              <w:rPr>
                <w:color w:val="1F1F1F"/>
                <w:sz w:val="16"/>
                <w:szCs w:val="16"/>
                <w:lang w:eastAsia="es-CO"/>
              </w:rPr>
            </w:pPr>
            <w:r w:rsidRPr="00A21FE1">
              <w:rPr>
                <w:color w:val="1F1F1F"/>
                <w:sz w:val="16"/>
                <w:szCs w:val="16"/>
                <w:lang w:eastAsia="es-CO"/>
              </w:rPr>
              <w:t>No Aplica</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639EF7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No Aplica</w:t>
            </w:r>
          </w:p>
        </w:tc>
        <w:tc>
          <w:tcPr>
            <w:tcW w:w="470" w:type="pct"/>
            <w:tcBorders>
              <w:top w:val="double" w:sz="4" w:space="0" w:color="C00000"/>
              <w:left w:val="double" w:sz="4" w:space="0" w:color="C00000"/>
              <w:bottom w:val="double" w:sz="4" w:space="0" w:color="C00000"/>
              <w:right w:val="double" w:sz="4" w:space="0" w:color="C00000"/>
            </w:tcBorders>
            <w:shd w:val="clear" w:color="000000" w:fill="FFFFFF"/>
            <w:noWrap/>
            <w:vAlign w:val="center"/>
            <w:hideMark/>
          </w:tcPr>
          <w:p w14:paraId="47A3644B" w14:textId="77777777" w:rsidR="00856F66" w:rsidRPr="00A21FE1" w:rsidRDefault="00856F66" w:rsidP="008411D9">
            <w:pPr>
              <w:spacing w:line="240" w:lineRule="auto"/>
              <w:jc w:val="right"/>
              <w:rPr>
                <w:color w:val="1F1F1F"/>
                <w:sz w:val="16"/>
                <w:szCs w:val="16"/>
                <w:lang w:eastAsia="es-CO"/>
              </w:rPr>
            </w:pPr>
            <w:r w:rsidRPr="00A21FE1">
              <w:rPr>
                <w:color w:val="1F1F1F"/>
                <w:sz w:val="16"/>
                <w:szCs w:val="16"/>
                <w:lang w:eastAsia="es-CO"/>
              </w:rPr>
              <w:t>0</w:t>
            </w:r>
          </w:p>
        </w:tc>
        <w:tc>
          <w:tcPr>
            <w:tcW w:w="462" w:type="pct"/>
            <w:tcBorders>
              <w:top w:val="double" w:sz="4" w:space="0" w:color="C00000"/>
              <w:left w:val="double" w:sz="4" w:space="0" w:color="C00000"/>
              <w:bottom w:val="double" w:sz="4" w:space="0" w:color="C00000"/>
              <w:right w:val="double" w:sz="4" w:space="0" w:color="C00000"/>
            </w:tcBorders>
            <w:shd w:val="clear" w:color="000000" w:fill="FFFFFF"/>
            <w:vAlign w:val="center"/>
            <w:hideMark/>
          </w:tcPr>
          <w:p w14:paraId="624B6B7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10.000 </w:t>
            </w:r>
          </w:p>
        </w:tc>
        <w:tc>
          <w:tcPr>
            <w:tcW w:w="474" w:type="pct"/>
            <w:tcBorders>
              <w:top w:val="double" w:sz="4" w:space="0" w:color="C00000"/>
              <w:left w:val="double" w:sz="4" w:space="0" w:color="C00000"/>
              <w:bottom w:val="double" w:sz="4" w:space="0" w:color="C00000"/>
              <w:right w:val="double" w:sz="4" w:space="0" w:color="C00000"/>
            </w:tcBorders>
            <w:shd w:val="clear" w:color="000000" w:fill="FFFFFF"/>
            <w:vAlign w:val="center"/>
            <w:hideMark/>
          </w:tcPr>
          <w:p w14:paraId="02665C0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10.000 </w:t>
            </w:r>
          </w:p>
        </w:tc>
        <w:tc>
          <w:tcPr>
            <w:tcW w:w="479" w:type="pct"/>
            <w:tcBorders>
              <w:top w:val="double" w:sz="4" w:space="0" w:color="C00000"/>
              <w:left w:val="double" w:sz="4" w:space="0" w:color="C00000"/>
              <w:bottom w:val="double" w:sz="4" w:space="0" w:color="C00000"/>
            </w:tcBorders>
            <w:shd w:val="clear" w:color="000000" w:fill="FFFFFF"/>
            <w:vAlign w:val="center"/>
            <w:hideMark/>
          </w:tcPr>
          <w:p w14:paraId="2BE4F09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10.000 </w:t>
            </w:r>
          </w:p>
        </w:tc>
      </w:tr>
      <w:tr w:rsidR="00856F66" w:rsidRPr="008411D9" w14:paraId="76D7506D"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56E0E18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estudiantes que se encuentran en nivel bajo en el Índice de Clima Escolar</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C38073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de Educación del Distrito - Dirección de Evaluación de la Educación</w:t>
            </w:r>
          </w:p>
        </w:tc>
        <w:tc>
          <w:tcPr>
            <w:tcW w:w="425" w:type="pct"/>
            <w:tcBorders>
              <w:top w:val="double" w:sz="4" w:space="0" w:color="C00000"/>
              <w:left w:val="double" w:sz="4" w:space="0" w:color="C00000"/>
              <w:bottom w:val="double" w:sz="4" w:space="0" w:color="C00000"/>
              <w:right w:val="double" w:sz="4" w:space="0" w:color="C00000"/>
            </w:tcBorders>
            <w:shd w:val="clear" w:color="000000" w:fill="FFFFFF"/>
            <w:noWrap/>
            <w:vAlign w:val="center"/>
            <w:hideMark/>
          </w:tcPr>
          <w:p w14:paraId="5C791A99" w14:textId="77777777" w:rsidR="00856F66" w:rsidRPr="00A21FE1" w:rsidRDefault="00856F66" w:rsidP="008411D9">
            <w:pPr>
              <w:spacing w:line="240" w:lineRule="auto"/>
              <w:rPr>
                <w:color w:val="1F1F1F"/>
                <w:sz w:val="16"/>
                <w:szCs w:val="16"/>
                <w:lang w:eastAsia="es-CO"/>
              </w:rPr>
            </w:pPr>
            <w:r w:rsidRPr="00A21FE1">
              <w:rPr>
                <w:color w:val="1F1F1F"/>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CFE4F1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2019</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32C708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23,0</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AE5E91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19,4</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12B454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15,8</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40EC58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10,4</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65BBF5F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8,0</w:t>
            </w:r>
          </w:p>
        </w:tc>
      </w:tr>
      <w:tr w:rsidR="00856F66" w:rsidRPr="008411D9" w14:paraId="250363BD"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3D356E0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evaluados que evidencian Nivel 3 o 4 en lectura crítica en las pruebas Saber 11</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5CB6CF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ICFES - Secretaría de Educación del Distrito</w:t>
            </w:r>
          </w:p>
        </w:tc>
        <w:tc>
          <w:tcPr>
            <w:tcW w:w="425" w:type="pct"/>
            <w:tcBorders>
              <w:top w:val="double" w:sz="4" w:space="0" w:color="C00000"/>
              <w:left w:val="double" w:sz="4" w:space="0" w:color="C00000"/>
              <w:bottom w:val="double" w:sz="4" w:space="0" w:color="C00000"/>
              <w:right w:val="double" w:sz="4" w:space="0" w:color="C00000"/>
            </w:tcBorders>
            <w:shd w:val="clear" w:color="000000" w:fill="FFFFFF"/>
            <w:noWrap/>
            <w:vAlign w:val="center"/>
            <w:hideMark/>
          </w:tcPr>
          <w:p w14:paraId="282133AD" w14:textId="77777777" w:rsidR="00856F66" w:rsidRPr="00A21FE1" w:rsidRDefault="00856F66" w:rsidP="008411D9">
            <w:pPr>
              <w:spacing w:line="240" w:lineRule="auto"/>
              <w:rPr>
                <w:color w:val="1F1F1F"/>
                <w:sz w:val="16"/>
                <w:szCs w:val="16"/>
                <w:lang w:eastAsia="es-CO"/>
              </w:rPr>
            </w:pPr>
            <w:r w:rsidRPr="00A21FE1">
              <w:rPr>
                <w:color w:val="1F1F1F"/>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CC840C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96AC0D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67,0</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F7556D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70,0</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3925D2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72,0</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10CD7E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76,0</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74C42D1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80,0</w:t>
            </w:r>
          </w:p>
        </w:tc>
      </w:tr>
      <w:tr w:rsidR="00856F66" w:rsidRPr="008411D9" w14:paraId="551E3E99"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0E16181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evaluados que evidencian Nivel 3 o 4 en matemáticas en las pruebas Saber 11</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0A7CAD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ICFES - Secretaría de Educación del Distrito</w:t>
            </w:r>
          </w:p>
        </w:tc>
        <w:tc>
          <w:tcPr>
            <w:tcW w:w="425" w:type="pct"/>
            <w:tcBorders>
              <w:top w:val="double" w:sz="4" w:space="0" w:color="C00000"/>
              <w:left w:val="double" w:sz="4" w:space="0" w:color="C00000"/>
              <w:bottom w:val="double" w:sz="4" w:space="0" w:color="C00000"/>
              <w:right w:val="double" w:sz="4" w:space="0" w:color="C00000"/>
            </w:tcBorders>
            <w:shd w:val="clear" w:color="000000" w:fill="FFFFFF"/>
            <w:noWrap/>
            <w:vAlign w:val="center"/>
            <w:hideMark/>
          </w:tcPr>
          <w:p w14:paraId="401D0CFE" w14:textId="77777777" w:rsidR="00856F66" w:rsidRPr="00A21FE1" w:rsidRDefault="00856F66" w:rsidP="008411D9">
            <w:pPr>
              <w:spacing w:line="240" w:lineRule="auto"/>
              <w:rPr>
                <w:color w:val="1F1F1F"/>
                <w:sz w:val="16"/>
                <w:szCs w:val="16"/>
                <w:lang w:eastAsia="es-CO"/>
              </w:rPr>
            </w:pPr>
            <w:r w:rsidRPr="00A21FE1">
              <w:rPr>
                <w:color w:val="1F1F1F"/>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5884E4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92FF59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57,0</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ECE4F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60,0</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E17B18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62,0</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E02D99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66,0</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4E635E1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70,0</w:t>
            </w:r>
          </w:p>
        </w:tc>
      </w:tr>
      <w:tr w:rsidR="00856F66" w:rsidRPr="008411D9" w14:paraId="7FF91018"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0454590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evaluados que presentan resultados de aprendizaje en los niveles B1 o superior de inglés en las pruebas Saber 11</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2E885D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ICFES - Secretaría de Educación del Distrito</w:t>
            </w:r>
          </w:p>
        </w:tc>
        <w:tc>
          <w:tcPr>
            <w:tcW w:w="425" w:type="pct"/>
            <w:tcBorders>
              <w:top w:val="double" w:sz="4" w:space="0" w:color="C00000"/>
              <w:left w:val="double" w:sz="4" w:space="0" w:color="C00000"/>
              <w:bottom w:val="double" w:sz="4" w:space="0" w:color="C00000"/>
              <w:right w:val="double" w:sz="4" w:space="0" w:color="C00000"/>
            </w:tcBorders>
            <w:shd w:val="clear" w:color="000000" w:fill="FFFFFF"/>
            <w:noWrap/>
            <w:vAlign w:val="center"/>
            <w:hideMark/>
          </w:tcPr>
          <w:p w14:paraId="1D642FBA" w14:textId="77777777" w:rsidR="00856F66" w:rsidRPr="00A21FE1" w:rsidRDefault="00856F66" w:rsidP="008411D9">
            <w:pPr>
              <w:spacing w:line="240" w:lineRule="auto"/>
              <w:rPr>
                <w:color w:val="1F1F1F"/>
                <w:sz w:val="16"/>
                <w:szCs w:val="16"/>
                <w:lang w:eastAsia="es-CO"/>
              </w:rPr>
            </w:pPr>
            <w:r w:rsidRPr="00A21FE1">
              <w:rPr>
                <w:color w:val="1F1F1F"/>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787AE2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B305E1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9,0</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995747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14,2</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5A2AFB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19,4</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D3C8E5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27,2</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072DB80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35,0</w:t>
            </w:r>
          </w:p>
        </w:tc>
      </w:tr>
      <w:tr w:rsidR="00856F66" w:rsidRPr="008411D9" w14:paraId="1DD4F5A8"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10EB741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Tasa de graduación acumulada (Porcentaje)</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3D1442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Sistema Integrado de Matrícula - SIMAT</w:t>
            </w:r>
          </w:p>
        </w:tc>
        <w:tc>
          <w:tcPr>
            <w:tcW w:w="42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E2FCBE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AAD566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6D9456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77,1</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849386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80,0</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C06483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82,0</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0C928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86,0</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755D781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90,0</w:t>
            </w:r>
          </w:p>
        </w:tc>
      </w:tr>
      <w:tr w:rsidR="00856F66" w:rsidRPr="008411D9" w14:paraId="7A2CE6CB"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0DE0E5B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Tasa de tránsito inmediato a educación posmedia (Porcentaje)</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7D902A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SIMAT - SNIES - SIET</w:t>
            </w:r>
          </w:p>
        </w:tc>
        <w:tc>
          <w:tcPr>
            <w:tcW w:w="42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B47BFD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96BE7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416D48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64,0</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E2D53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65,0</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B19967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66,8</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AE08C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68,1</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62949BE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70,0</w:t>
            </w:r>
          </w:p>
        </w:tc>
      </w:tr>
      <w:tr w:rsidR="00856F66" w:rsidRPr="008411D9" w14:paraId="041AA4DB"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279EF4B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Certificaciones en formación para el trabajo y/o competencias en habilidades laborales específicas</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181E7A1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Desarrollo Económico</w:t>
            </w:r>
          </w:p>
        </w:tc>
        <w:tc>
          <w:tcPr>
            <w:tcW w:w="42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43E1F3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Acumulada</w:t>
            </w:r>
          </w:p>
        </w:tc>
        <w:tc>
          <w:tcPr>
            <w:tcW w:w="34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E3F710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2020 -2023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2E08F7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36.873 </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BEC5AE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5.728 </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567991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28.328 </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26822E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48.328 </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700ED55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62.500 </w:t>
            </w:r>
          </w:p>
        </w:tc>
      </w:tr>
      <w:tr w:rsidR="00856F66" w:rsidRPr="008411D9" w14:paraId="61EAFA9E"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0D33058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Colocaciones en el mercado laboral</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968E19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Desarrollo Económico</w:t>
            </w:r>
          </w:p>
        </w:tc>
        <w:tc>
          <w:tcPr>
            <w:tcW w:w="42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7A24E5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Acumulada</w:t>
            </w:r>
          </w:p>
        </w:tc>
        <w:tc>
          <w:tcPr>
            <w:tcW w:w="347"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8A54C2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86681F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151.703 </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95348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22.515 </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A0DF22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57.697 </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410398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100.169 </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2D7AFA8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125.000 </w:t>
            </w:r>
          </w:p>
        </w:tc>
      </w:tr>
      <w:tr w:rsidR="00856F66" w:rsidRPr="008411D9" w14:paraId="3F4CA8DF" w14:textId="77777777" w:rsidTr="00635304">
        <w:trPr>
          <w:cantSplit/>
          <w:trHeight w:val="852"/>
        </w:trPr>
        <w:tc>
          <w:tcPr>
            <w:tcW w:w="999" w:type="pct"/>
            <w:tcBorders>
              <w:top w:val="double" w:sz="4" w:space="0" w:color="C00000"/>
              <w:bottom w:val="double" w:sz="4" w:space="0" w:color="C00000"/>
              <w:right w:val="double" w:sz="4" w:space="0" w:color="C00000"/>
            </w:tcBorders>
            <w:shd w:val="clear" w:color="auto" w:fill="auto"/>
            <w:vAlign w:val="center"/>
            <w:hideMark/>
          </w:tcPr>
          <w:p w14:paraId="0E9D61D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Empresas que incrementan su nivel de productividad</w:t>
            </w:r>
          </w:p>
        </w:tc>
        <w:tc>
          <w:tcPr>
            <w:tcW w:w="772"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6BFDBF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Desarrollo Económico</w:t>
            </w:r>
          </w:p>
        </w:tc>
        <w:tc>
          <w:tcPr>
            <w:tcW w:w="42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966383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Acumulada</w:t>
            </w:r>
          </w:p>
        </w:tc>
        <w:tc>
          <w:tcPr>
            <w:tcW w:w="34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186A91B" w14:textId="77777777" w:rsidR="00856F66" w:rsidRPr="00A21FE1" w:rsidRDefault="00856F66" w:rsidP="008411D9">
            <w:pPr>
              <w:spacing w:line="240" w:lineRule="auto"/>
              <w:jc w:val="right"/>
              <w:rPr>
                <w:color w:val="1F1F1F"/>
                <w:sz w:val="16"/>
                <w:szCs w:val="16"/>
                <w:lang w:eastAsia="es-CO"/>
              </w:rPr>
            </w:pPr>
            <w:r w:rsidRPr="00A21FE1">
              <w:rPr>
                <w:color w:val="1F1F1F"/>
                <w:sz w:val="16"/>
                <w:szCs w:val="16"/>
                <w:lang w:eastAsia="es-CO"/>
              </w:rPr>
              <w:t>No Aplica</w:t>
            </w:r>
          </w:p>
        </w:tc>
        <w:tc>
          <w:tcPr>
            <w:tcW w:w="5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61273E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No Aplica </w:t>
            </w:r>
          </w:p>
        </w:tc>
        <w:tc>
          <w:tcPr>
            <w:tcW w:w="47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CF66CD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25 </w:t>
            </w:r>
          </w:p>
        </w:tc>
        <w:tc>
          <w:tcPr>
            <w:tcW w:w="462"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4BB60B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500 </w:t>
            </w:r>
          </w:p>
        </w:tc>
        <w:tc>
          <w:tcPr>
            <w:tcW w:w="474"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379D45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900 </w:t>
            </w:r>
          </w:p>
        </w:tc>
        <w:tc>
          <w:tcPr>
            <w:tcW w:w="479" w:type="pct"/>
            <w:tcBorders>
              <w:top w:val="double" w:sz="4" w:space="0" w:color="C00000"/>
              <w:left w:val="double" w:sz="4" w:space="0" w:color="C00000"/>
              <w:bottom w:val="double" w:sz="4" w:space="0" w:color="C00000"/>
            </w:tcBorders>
            <w:shd w:val="clear" w:color="auto" w:fill="auto"/>
            <w:noWrap/>
            <w:vAlign w:val="center"/>
            <w:hideMark/>
          </w:tcPr>
          <w:p w14:paraId="43D436F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1.053 </w:t>
            </w:r>
          </w:p>
        </w:tc>
      </w:tr>
    </w:tbl>
    <w:p w14:paraId="7AF74D5F" w14:textId="77777777" w:rsidR="00856F66" w:rsidRDefault="00856F66"/>
    <w:tbl>
      <w:tblPr>
        <w:tblW w:w="5000" w:type="pct"/>
        <w:tblLayout w:type="fixed"/>
        <w:tblCellMar>
          <w:left w:w="70" w:type="dxa"/>
          <w:right w:w="70" w:type="dxa"/>
        </w:tblCellMar>
        <w:tblLook w:val="04A0" w:firstRow="1" w:lastRow="0" w:firstColumn="1" w:lastColumn="0" w:noHBand="0" w:noVBand="1"/>
      </w:tblPr>
      <w:tblGrid>
        <w:gridCol w:w="1849"/>
        <w:gridCol w:w="1434"/>
        <w:gridCol w:w="823"/>
        <w:gridCol w:w="623"/>
        <w:gridCol w:w="1058"/>
        <w:gridCol w:w="885"/>
        <w:gridCol w:w="888"/>
        <w:gridCol w:w="894"/>
        <w:gridCol w:w="896"/>
      </w:tblGrid>
      <w:tr w:rsidR="00856F66" w:rsidRPr="008411D9" w14:paraId="124FBB5A" w14:textId="77777777" w:rsidTr="00635304">
        <w:trPr>
          <w:cantSplit/>
          <w:trHeight w:val="888"/>
          <w:tblHeader/>
        </w:trPr>
        <w:tc>
          <w:tcPr>
            <w:tcW w:w="5000" w:type="pct"/>
            <w:gridSpan w:val="9"/>
            <w:tcBorders>
              <w:top w:val="single" w:sz="4" w:space="0" w:color="auto"/>
              <w:left w:val="single" w:sz="4" w:space="0" w:color="auto"/>
              <w:bottom w:val="double" w:sz="4" w:space="0" w:color="C00000"/>
              <w:right w:val="single" w:sz="4" w:space="0" w:color="auto"/>
            </w:tcBorders>
            <w:shd w:val="clear" w:color="000000" w:fill="C00000"/>
            <w:vAlign w:val="center"/>
            <w:hideMark/>
          </w:tcPr>
          <w:p w14:paraId="7C6037F5" w14:textId="77777777" w:rsidR="00856F66" w:rsidRPr="00C30A4A" w:rsidRDefault="00856F66" w:rsidP="008411D9">
            <w:pPr>
              <w:spacing w:line="240" w:lineRule="auto"/>
              <w:jc w:val="center"/>
              <w:rPr>
                <w:b/>
                <w:bCs/>
                <w:color w:val="FFFFFF"/>
                <w:sz w:val="28"/>
                <w:szCs w:val="28"/>
                <w:lang w:eastAsia="es-CO"/>
              </w:rPr>
            </w:pPr>
            <w:r w:rsidRPr="00C30A4A">
              <w:rPr>
                <w:b/>
                <w:bCs/>
                <w:color w:val="FFFFFF" w:themeColor="background1"/>
                <w:sz w:val="28"/>
                <w:szCs w:val="28"/>
                <w:lang w:eastAsia="es-CO"/>
              </w:rPr>
              <w:lastRenderedPageBreak/>
              <w:t>Objetivo 4 - Bogotá ordena su territorio y avanza en su acción climática</w:t>
            </w:r>
          </w:p>
        </w:tc>
      </w:tr>
      <w:tr w:rsidR="00856F66" w:rsidRPr="008411D9" w14:paraId="788E52D6" w14:textId="77777777" w:rsidTr="00635304">
        <w:trPr>
          <w:cantSplit/>
          <w:trHeight w:val="888"/>
          <w:tblHeader/>
        </w:trPr>
        <w:tc>
          <w:tcPr>
            <w:tcW w:w="989" w:type="pct"/>
            <w:tcBorders>
              <w:top w:val="double" w:sz="4" w:space="0" w:color="C00000"/>
              <w:left w:val="single" w:sz="4" w:space="0" w:color="auto"/>
              <w:bottom w:val="double" w:sz="4" w:space="0" w:color="C00000"/>
              <w:right w:val="double" w:sz="4" w:space="0" w:color="C00000"/>
            </w:tcBorders>
            <w:shd w:val="clear" w:color="000000" w:fill="D0D0D0"/>
            <w:vAlign w:val="center"/>
            <w:hideMark/>
          </w:tcPr>
          <w:p w14:paraId="17D31D3A"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Nombre Indicador</w:t>
            </w:r>
          </w:p>
        </w:tc>
        <w:tc>
          <w:tcPr>
            <w:tcW w:w="767"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1914F005"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Fuente de línea base</w:t>
            </w:r>
          </w:p>
        </w:tc>
        <w:tc>
          <w:tcPr>
            <w:tcW w:w="440"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5348C143" w14:textId="77777777" w:rsidR="00856F66" w:rsidRPr="008411D9" w:rsidRDefault="00856F66" w:rsidP="008411D9">
            <w:pPr>
              <w:spacing w:line="240" w:lineRule="auto"/>
              <w:rPr>
                <w:b/>
                <w:bCs/>
                <w:color w:val="000000"/>
                <w:sz w:val="20"/>
                <w:szCs w:val="20"/>
                <w:lang w:eastAsia="es-CO"/>
              </w:rPr>
            </w:pPr>
            <w:r w:rsidRPr="008411D9">
              <w:rPr>
                <w:b/>
                <w:bCs/>
                <w:color w:val="000000"/>
                <w:sz w:val="20"/>
                <w:szCs w:val="20"/>
                <w:lang w:eastAsia="es-CO"/>
              </w:rPr>
              <w:t>Tipo</w:t>
            </w:r>
          </w:p>
        </w:tc>
        <w:tc>
          <w:tcPr>
            <w:tcW w:w="33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292B1230"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Año línea base</w:t>
            </w:r>
          </w:p>
        </w:tc>
        <w:tc>
          <w:tcPr>
            <w:tcW w:w="566"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74659606"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Valor de la línea base</w:t>
            </w:r>
          </w:p>
        </w:tc>
        <w:tc>
          <w:tcPr>
            <w:tcW w:w="47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7839552B"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2024</w:t>
            </w:r>
          </w:p>
        </w:tc>
        <w:tc>
          <w:tcPr>
            <w:tcW w:w="475"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A854F87"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2025</w:t>
            </w:r>
          </w:p>
        </w:tc>
        <w:tc>
          <w:tcPr>
            <w:tcW w:w="478"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7748C016"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2026</w:t>
            </w:r>
          </w:p>
        </w:tc>
        <w:tc>
          <w:tcPr>
            <w:tcW w:w="480" w:type="pct"/>
            <w:tcBorders>
              <w:top w:val="double" w:sz="4" w:space="0" w:color="C00000"/>
              <w:left w:val="double" w:sz="4" w:space="0" w:color="C00000"/>
              <w:bottom w:val="double" w:sz="4" w:space="0" w:color="C00000"/>
              <w:right w:val="single" w:sz="4" w:space="0" w:color="auto"/>
            </w:tcBorders>
            <w:shd w:val="clear" w:color="000000" w:fill="D0D0D0"/>
            <w:vAlign w:val="center"/>
            <w:hideMark/>
          </w:tcPr>
          <w:p w14:paraId="3CFE0839" w14:textId="77777777" w:rsidR="00856F66" w:rsidRPr="008411D9" w:rsidRDefault="00856F66" w:rsidP="008411D9">
            <w:pPr>
              <w:spacing w:line="240" w:lineRule="auto"/>
              <w:jc w:val="right"/>
              <w:rPr>
                <w:b/>
                <w:bCs/>
                <w:color w:val="000000"/>
                <w:sz w:val="20"/>
                <w:szCs w:val="20"/>
                <w:lang w:eastAsia="es-CO"/>
              </w:rPr>
            </w:pPr>
            <w:r w:rsidRPr="008411D9">
              <w:rPr>
                <w:b/>
                <w:bCs/>
                <w:color w:val="000000"/>
                <w:sz w:val="20"/>
                <w:szCs w:val="20"/>
                <w:lang w:eastAsia="es-CO"/>
              </w:rPr>
              <w:t>Meta proyectada 2027</w:t>
            </w:r>
          </w:p>
        </w:tc>
      </w:tr>
      <w:tr w:rsidR="00856F66" w:rsidRPr="008411D9" w14:paraId="765C945E"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070CDDA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viajes en modos sostenibles en un día típico de los hogares de Bogotá</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13A0C1C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Encuesta de Movilidad 2023</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9362B1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E209FC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49E372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69,6</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4B6FDA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70,2</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B2CEC3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70,6</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56FEFC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71,1</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424F46D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74,0</w:t>
            </w:r>
          </w:p>
        </w:tc>
      </w:tr>
      <w:tr w:rsidR="00856F66" w:rsidRPr="008411D9" w14:paraId="304345A8"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58B4CF2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avance de la PLMB Tramo I</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B7D33CA" w14:textId="15937F94"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Sistema de Seguimiento al </w:t>
            </w:r>
            <w:r w:rsidR="00A87961">
              <w:rPr>
                <w:color w:val="000000"/>
                <w:sz w:val="16"/>
                <w:szCs w:val="16"/>
                <w:lang w:eastAsia="es-CO"/>
              </w:rPr>
              <w:t>Plan Distrital de Desarrollo</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D388D9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D9BF4E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3100EA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29,0</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0FCFF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46,2</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BA9739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69,6</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EC471A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90,6</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1148C89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99,7</w:t>
            </w:r>
          </w:p>
        </w:tc>
      </w:tr>
      <w:tr w:rsidR="00856F66" w:rsidRPr="008411D9" w14:paraId="4287EE01"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1FD415D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Kilómetros de troncales en operación del sistema de transporte público</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656FB2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Instituto de Desarrollo Urbano</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1EEC2E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FB8757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27FCDD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114</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C09A3E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114</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8E2929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114</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71F70D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114</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2C39DAB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143</w:t>
            </w:r>
          </w:p>
        </w:tc>
      </w:tr>
      <w:tr w:rsidR="00856F66" w:rsidRPr="008411D9" w14:paraId="7FF7AC9B" w14:textId="77777777" w:rsidTr="00635304">
        <w:trPr>
          <w:cantSplit/>
          <w:trHeight w:val="111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73C2623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Número de hectáreas netas de suelo viabilizadas para el desarrollo de proyectos estratégicos de ciudad, que aportan al desarrollo de Bogotá</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33DFD1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Planeación</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C234EF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199645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2020 -2023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4AB9C9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1.150 </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6A3739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254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79587A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782 </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E81BC7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621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42277D1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143 </w:t>
            </w:r>
          </w:p>
        </w:tc>
      </w:tr>
      <w:tr w:rsidR="00856F66" w:rsidRPr="008411D9" w14:paraId="746C153A"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5BA5A5C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Número de cables construidos</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CD68E1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Instituto de Desarrollo Urbano</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E16531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Acumulada</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97F471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2D7291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350ABE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8E0890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8F4A00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0BAC84B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w:t>
            </w:r>
          </w:p>
        </w:tc>
      </w:tr>
      <w:tr w:rsidR="00856F66" w:rsidRPr="008411D9" w14:paraId="34D75C85"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71774D7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Número de viviendas VIS y VIP en Bogotá promovidas para su iniciación</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8E4217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del Hábitat</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2E43AC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Acumulada</w:t>
            </w:r>
          </w:p>
        </w:tc>
        <w:tc>
          <w:tcPr>
            <w:tcW w:w="333"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8AFC3C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2020 -2023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9F5865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68.467 </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B2EF57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5.000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38AE15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30.000 </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1F3B90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65.000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3E0DDCA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80.000 </w:t>
            </w:r>
          </w:p>
        </w:tc>
      </w:tr>
      <w:tr w:rsidR="00856F66" w:rsidRPr="008411D9" w14:paraId="1AF9FF03"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4505305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Concentración de PM10 (promedio ponderado en microgramos sobre m3)</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31C1AC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Ambiente</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83CEFD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4CA863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88AD34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36,2</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0D81DB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35,5</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DF9B86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34,8</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024DC2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34,0</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711DB01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33,3</w:t>
            </w:r>
          </w:p>
        </w:tc>
      </w:tr>
      <w:tr w:rsidR="00856F66" w:rsidRPr="008411D9" w14:paraId="420C35CA"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03B8CBA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Concentración de PM2,5 (promedio ponderado en microgramos sobre m3)</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36A0DB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Ambiente</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69D71A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11E391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81C36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17,8</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0325DA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17,4</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73E8BB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17,1</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5835F2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16,7</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7BE602F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16,4</w:t>
            </w:r>
          </w:p>
        </w:tc>
      </w:tr>
      <w:tr w:rsidR="00856F66" w:rsidRPr="008411D9" w14:paraId="3753EBA8" w14:textId="77777777" w:rsidTr="00635304">
        <w:trPr>
          <w:cantSplit/>
          <w:trHeight w:val="1188"/>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697856A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Número toneladas de emisiones de Gases de Efecto Invernadero (millones de toneladas de CO2 equivalente)</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8A04CE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Inventario de emisiones y absorciones de gases de efecto invernadero (GEI)</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8B43C9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5868AC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2027</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5861D0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14,4</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51371C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11,4</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5FFAA0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11,2</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C2B32E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10,6</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004D7A2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10,1</w:t>
            </w:r>
          </w:p>
        </w:tc>
      </w:tr>
      <w:tr w:rsidR="00856F66" w:rsidRPr="008411D9" w14:paraId="1E932FD9"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29845C6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Kilogramos de carbono acumulados en las especies forestales del Distrito Capital</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5DACC5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Jardín Botánico de Bogotá</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5DEF4E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566626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3DA593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198.000 </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A9CA11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199.000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5DCC59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202.000 </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1955B0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205.000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79D2946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207.900 </w:t>
            </w:r>
          </w:p>
        </w:tc>
      </w:tr>
      <w:tr w:rsidR="00856F66" w:rsidRPr="008411D9" w14:paraId="7DCF0C30"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0F9F4CC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lastRenderedPageBreak/>
              <w:t>Número de hectáreas de ecosistemas conservadas</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D5264C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Secretaria Distrital de Ambiente</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CF146B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Acumulada</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F32B04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2024</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6A1467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   </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418552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250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487E65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750 </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C9BF59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750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062969D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250 </w:t>
            </w:r>
          </w:p>
        </w:tc>
      </w:tr>
      <w:tr w:rsidR="00856F66" w:rsidRPr="008411D9" w14:paraId="223370C8"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0B13838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Metros cuadrados de espacio público efectivo por habitante</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6A98FB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Observatorio de Espacio Público</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1FAFF6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524D46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0F65AC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4,79</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6053D77"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213C87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4,98</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BFF171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142673C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5,17</w:t>
            </w:r>
          </w:p>
        </w:tc>
      </w:tr>
      <w:tr w:rsidR="00856F66" w:rsidRPr="008411D9" w14:paraId="5C08FC9B" w14:textId="77777777" w:rsidTr="00635304">
        <w:trPr>
          <w:cantSplit/>
          <w:trHeight w:val="1248"/>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2A7A6EF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puntos de monitoreo con Índice de Calidad del Agua (ICA) en categoría regular, aceptable o buena</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5FED59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 Ambiente</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C53D02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6643B2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E3E5E1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35,9</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9ABD1F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35,9</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FA40E5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39,1</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3C6C5E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39,1</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6BA2B50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45,0</w:t>
            </w:r>
          </w:p>
        </w:tc>
      </w:tr>
      <w:tr w:rsidR="00856F66" w:rsidRPr="008411D9" w14:paraId="4B221A7A" w14:textId="77777777" w:rsidTr="00635304">
        <w:trPr>
          <w:cantSplit/>
          <w:trHeight w:val="1284"/>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5FCF9F6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Toneladas de residuos (promedio día) que se disponen en el Parque de Innovación Doña Juana</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B22E4C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Unidad Administrativa Especial de Servicios Públicos</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4AF35C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0AFEA5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7BCEE0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6.000 </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604831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6.000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6270A6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6.000 </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2C7494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xml:space="preserve">          5.600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3253925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4.800 </w:t>
            </w:r>
          </w:p>
        </w:tc>
      </w:tr>
      <w:tr w:rsidR="00856F66" w:rsidRPr="00A21FE1" w14:paraId="2ED2BC29" w14:textId="77777777" w:rsidTr="00635304">
        <w:trPr>
          <w:cantSplit/>
          <w:trHeight w:val="87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765EA95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Índice de pérdidas por suscriptor facturado (m3/mes no facturados por usuario)</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289435F8"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Empresa de Acueducto y Alcantarillado de Bogotá</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E7353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8F0B1A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4DC427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6,40</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0EF81B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6,38</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4F135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6,36</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7A567E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6,34</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0F90532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6,32</w:t>
            </w:r>
          </w:p>
        </w:tc>
      </w:tr>
      <w:tr w:rsidR="00856F66" w:rsidRPr="00A21FE1" w14:paraId="18DEDD1C" w14:textId="77777777" w:rsidTr="00635304">
        <w:trPr>
          <w:cantSplit/>
          <w:trHeight w:val="1596"/>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6589453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Número de hogares rurales con cobertura, calidad y continuidad de la prestación de los Servicios Públicos domiciliarios y TIC mejorada</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E30298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Distrital del Hábitat</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B66A9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333"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923624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No Aplica</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D7DB50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No Aplica</w:t>
            </w:r>
          </w:p>
        </w:tc>
        <w:tc>
          <w:tcPr>
            <w:tcW w:w="473"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4A969DB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Mantener en 2.000 </w:t>
            </w:r>
          </w:p>
        </w:tc>
        <w:tc>
          <w:tcPr>
            <w:tcW w:w="475"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F2D5CF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Mantener en 2.000 </w:t>
            </w:r>
          </w:p>
        </w:tc>
        <w:tc>
          <w:tcPr>
            <w:tcW w:w="478"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A53F6E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Mantener en 2.000 </w:t>
            </w:r>
          </w:p>
        </w:tc>
        <w:tc>
          <w:tcPr>
            <w:tcW w:w="480" w:type="pct"/>
            <w:tcBorders>
              <w:top w:val="double" w:sz="4" w:space="0" w:color="C00000"/>
              <w:left w:val="double" w:sz="4" w:space="0" w:color="C00000"/>
              <w:bottom w:val="double" w:sz="4" w:space="0" w:color="C00000"/>
              <w:right w:val="single" w:sz="4" w:space="0" w:color="auto"/>
            </w:tcBorders>
            <w:shd w:val="clear" w:color="auto" w:fill="auto"/>
            <w:vAlign w:val="center"/>
            <w:hideMark/>
          </w:tcPr>
          <w:p w14:paraId="6234A65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 xml:space="preserve"> Mantener en 2.000 </w:t>
            </w:r>
          </w:p>
        </w:tc>
      </w:tr>
      <w:tr w:rsidR="00856F66" w:rsidRPr="00A21FE1" w14:paraId="22EA51AB" w14:textId="77777777" w:rsidTr="00635304">
        <w:trPr>
          <w:cantSplit/>
          <w:trHeight w:val="1212"/>
        </w:trPr>
        <w:tc>
          <w:tcPr>
            <w:tcW w:w="989" w:type="pct"/>
            <w:tcBorders>
              <w:top w:val="double" w:sz="4" w:space="0" w:color="C00000"/>
              <w:left w:val="single" w:sz="4" w:space="0" w:color="auto"/>
              <w:bottom w:val="double" w:sz="4" w:space="0" w:color="C00000"/>
              <w:right w:val="double" w:sz="4" w:space="0" w:color="C00000"/>
            </w:tcBorders>
            <w:shd w:val="clear" w:color="auto" w:fill="auto"/>
            <w:vAlign w:val="center"/>
            <w:hideMark/>
          </w:tcPr>
          <w:p w14:paraId="38D52BC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Índice de reconocimiento de los patrimonios integrados (Porcentaje)</w:t>
            </w:r>
          </w:p>
        </w:tc>
        <w:tc>
          <w:tcPr>
            <w:tcW w:w="767"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4FE2CE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EBC - Encuesta de Prácticas Artísticas, Culturales, Creativas y patrimoniales</w:t>
            </w:r>
          </w:p>
        </w:tc>
        <w:tc>
          <w:tcPr>
            <w:tcW w:w="440"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60D035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33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C46ED2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66"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804363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47</w:t>
            </w:r>
          </w:p>
        </w:tc>
        <w:tc>
          <w:tcPr>
            <w:tcW w:w="47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4A01E3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75"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DB4F09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50</w:t>
            </w:r>
          </w:p>
        </w:tc>
        <w:tc>
          <w:tcPr>
            <w:tcW w:w="47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17E8FF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80" w:type="pct"/>
            <w:tcBorders>
              <w:top w:val="double" w:sz="4" w:space="0" w:color="C00000"/>
              <w:left w:val="double" w:sz="4" w:space="0" w:color="C00000"/>
              <w:bottom w:val="double" w:sz="4" w:space="0" w:color="C00000"/>
              <w:right w:val="single" w:sz="4" w:space="0" w:color="auto"/>
            </w:tcBorders>
            <w:shd w:val="clear" w:color="auto" w:fill="auto"/>
            <w:noWrap/>
            <w:vAlign w:val="center"/>
            <w:hideMark/>
          </w:tcPr>
          <w:p w14:paraId="3F650E8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53</w:t>
            </w:r>
          </w:p>
        </w:tc>
      </w:tr>
    </w:tbl>
    <w:p w14:paraId="124BC8B1" w14:textId="77777777" w:rsidR="00856F66" w:rsidRPr="00A21FE1" w:rsidRDefault="00856F66">
      <w:pPr>
        <w:rPr>
          <w:sz w:val="16"/>
          <w:szCs w:val="16"/>
        </w:rPr>
      </w:pPr>
    </w:p>
    <w:p w14:paraId="005EF14A" w14:textId="77777777" w:rsidR="00856F66" w:rsidRPr="00A21FE1" w:rsidRDefault="00856F66">
      <w:pPr>
        <w:rPr>
          <w:sz w:val="16"/>
          <w:szCs w:val="16"/>
        </w:rPr>
      </w:pPr>
      <w:r w:rsidRPr="00A21FE1">
        <w:rPr>
          <w:sz w:val="16"/>
          <w:szCs w:val="16"/>
        </w:rPr>
        <w:br w:type="page"/>
      </w:r>
    </w:p>
    <w:p w14:paraId="555B6632" w14:textId="77777777" w:rsidR="00856F66" w:rsidRPr="00A21FE1" w:rsidRDefault="00856F66">
      <w:pPr>
        <w:rPr>
          <w:sz w:val="16"/>
          <w:szCs w:val="16"/>
        </w:rPr>
      </w:pPr>
    </w:p>
    <w:tbl>
      <w:tblPr>
        <w:tblW w:w="5000" w:type="pct"/>
        <w:tblCellMar>
          <w:left w:w="70" w:type="dxa"/>
          <w:right w:w="70" w:type="dxa"/>
        </w:tblCellMar>
        <w:tblLook w:val="04A0" w:firstRow="1" w:lastRow="0" w:firstColumn="1" w:lastColumn="0" w:noHBand="0" w:noVBand="1"/>
      </w:tblPr>
      <w:tblGrid>
        <w:gridCol w:w="2113"/>
        <w:gridCol w:w="1692"/>
        <w:gridCol w:w="784"/>
        <w:gridCol w:w="474"/>
        <w:gridCol w:w="1007"/>
        <w:gridCol w:w="822"/>
        <w:gridCol w:w="822"/>
        <w:gridCol w:w="822"/>
        <w:gridCol w:w="824"/>
      </w:tblGrid>
      <w:tr w:rsidR="00856F66" w:rsidRPr="00A21FE1" w14:paraId="0E2504D9" w14:textId="77777777" w:rsidTr="00C30A4A">
        <w:trPr>
          <w:cantSplit/>
          <w:trHeight w:val="888"/>
          <w:tblHeader/>
        </w:trPr>
        <w:tc>
          <w:tcPr>
            <w:tcW w:w="5000" w:type="pct"/>
            <w:gridSpan w:val="9"/>
            <w:tcBorders>
              <w:bottom w:val="double" w:sz="4" w:space="0" w:color="C00000"/>
            </w:tcBorders>
            <w:shd w:val="clear" w:color="000000" w:fill="C00000"/>
            <w:vAlign w:val="center"/>
            <w:hideMark/>
          </w:tcPr>
          <w:p w14:paraId="2E6C5C7D" w14:textId="77777777" w:rsidR="00856F66" w:rsidRPr="00FA555F" w:rsidRDefault="00856F66" w:rsidP="008411D9">
            <w:pPr>
              <w:spacing w:line="240" w:lineRule="auto"/>
              <w:jc w:val="center"/>
              <w:rPr>
                <w:b/>
                <w:bCs/>
                <w:color w:val="FFFFFF"/>
                <w:sz w:val="28"/>
                <w:szCs w:val="28"/>
                <w:lang w:eastAsia="es-CO"/>
              </w:rPr>
            </w:pPr>
            <w:r w:rsidRPr="00FA555F">
              <w:rPr>
                <w:b/>
                <w:bCs/>
                <w:color w:val="FFFFFF"/>
                <w:sz w:val="28"/>
                <w:szCs w:val="28"/>
                <w:lang w:eastAsia="es-CO"/>
              </w:rPr>
              <w:t>Objetivo 5 - Bogotá confía en su gobierno</w:t>
            </w:r>
          </w:p>
        </w:tc>
      </w:tr>
      <w:tr w:rsidR="00856F66" w:rsidRPr="00A21FE1" w14:paraId="21A13E62" w14:textId="77777777" w:rsidTr="00C30A4A">
        <w:trPr>
          <w:cantSplit/>
          <w:trHeight w:val="888"/>
          <w:tblHeader/>
        </w:trPr>
        <w:tc>
          <w:tcPr>
            <w:tcW w:w="1129" w:type="pct"/>
            <w:tcBorders>
              <w:top w:val="double" w:sz="4" w:space="0" w:color="C00000"/>
              <w:bottom w:val="double" w:sz="4" w:space="0" w:color="C00000"/>
              <w:right w:val="double" w:sz="4" w:space="0" w:color="C00000"/>
            </w:tcBorders>
            <w:shd w:val="clear" w:color="000000" w:fill="D0D0D0"/>
            <w:vAlign w:val="center"/>
            <w:hideMark/>
          </w:tcPr>
          <w:p w14:paraId="3D37BFB7" w14:textId="77777777" w:rsidR="00856F66" w:rsidRPr="00A21FE1" w:rsidRDefault="00856F66" w:rsidP="008411D9">
            <w:pPr>
              <w:spacing w:line="240" w:lineRule="auto"/>
              <w:rPr>
                <w:b/>
                <w:bCs/>
                <w:color w:val="000000"/>
                <w:sz w:val="16"/>
                <w:szCs w:val="16"/>
                <w:lang w:eastAsia="es-CO"/>
              </w:rPr>
            </w:pPr>
            <w:r w:rsidRPr="00A21FE1">
              <w:rPr>
                <w:b/>
                <w:bCs/>
                <w:color w:val="000000"/>
                <w:sz w:val="16"/>
                <w:szCs w:val="16"/>
                <w:lang w:eastAsia="es-CO"/>
              </w:rPr>
              <w:t>Nombre Indicador</w:t>
            </w:r>
          </w:p>
        </w:tc>
        <w:tc>
          <w:tcPr>
            <w:tcW w:w="904"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1EC2A2E1" w14:textId="090126EB" w:rsidR="00856F66" w:rsidRPr="00A21FE1" w:rsidRDefault="00856F66" w:rsidP="008411D9">
            <w:pPr>
              <w:spacing w:line="240" w:lineRule="auto"/>
              <w:rPr>
                <w:b/>
                <w:bCs/>
                <w:color w:val="000000"/>
                <w:sz w:val="16"/>
                <w:szCs w:val="16"/>
                <w:lang w:eastAsia="es-CO"/>
              </w:rPr>
            </w:pPr>
            <w:r w:rsidRPr="00A21FE1">
              <w:rPr>
                <w:b/>
                <w:bCs/>
                <w:color w:val="000000"/>
                <w:sz w:val="16"/>
                <w:szCs w:val="16"/>
                <w:lang w:eastAsia="es-CO"/>
              </w:rPr>
              <w:t>Fuente línea base</w:t>
            </w:r>
          </w:p>
        </w:tc>
        <w:tc>
          <w:tcPr>
            <w:tcW w:w="419"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2BEF4B96" w14:textId="77777777" w:rsidR="00856F66" w:rsidRPr="00A21FE1" w:rsidRDefault="00856F66" w:rsidP="008411D9">
            <w:pPr>
              <w:spacing w:line="240" w:lineRule="auto"/>
              <w:rPr>
                <w:b/>
                <w:bCs/>
                <w:color w:val="000000"/>
                <w:sz w:val="16"/>
                <w:szCs w:val="16"/>
                <w:lang w:eastAsia="es-CO"/>
              </w:rPr>
            </w:pPr>
            <w:r w:rsidRPr="00A21FE1">
              <w:rPr>
                <w:b/>
                <w:bCs/>
                <w:color w:val="000000"/>
                <w:sz w:val="16"/>
                <w:szCs w:val="16"/>
                <w:lang w:eastAsia="es-CO"/>
              </w:rPr>
              <w:t>Tipo</w:t>
            </w:r>
          </w:p>
        </w:tc>
        <w:tc>
          <w:tcPr>
            <w:tcW w:w="253"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163375AA" w14:textId="77777777" w:rsidR="00856F66" w:rsidRPr="00A21FE1" w:rsidRDefault="00856F66" w:rsidP="008411D9">
            <w:pPr>
              <w:spacing w:line="240" w:lineRule="auto"/>
              <w:jc w:val="right"/>
              <w:rPr>
                <w:b/>
                <w:bCs/>
                <w:color w:val="000000"/>
                <w:sz w:val="16"/>
                <w:szCs w:val="16"/>
                <w:lang w:eastAsia="es-CO"/>
              </w:rPr>
            </w:pPr>
            <w:r w:rsidRPr="00A21FE1">
              <w:rPr>
                <w:b/>
                <w:bCs/>
                <w:color w:val="000000"/>
                <w:sz w:val="16"/>
                <w:szCs w:val="16"/>
                <w:lang w:eastAsia="es-CO"/>
              </w:rPr>
              <w:t>Año línea base</w:t>
            </w:r>
          </w:p>
        </w:tc>
        <w:tc>
          <w:tcPr>
            <w:tcW w:w="538"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F35A8C3" w14:textId="0C3EC5BD" w:rsidR="00856F66" w:rsidRPr="00A21FE1" w:rsidRDefault="00856F66" w:rsidP="008411D9">
            <w:pPr>
              <w:spacing w:line="240" w:lineRule="auto"/>
              <w:jc w:val="right"/>
              <w:rPr>
                <w:b/>
                <w:bCs/>
                <w:color w:val="000000"/>
                <w:sz w:val="16"/>
                <w:szCs w:val="16"/>
                <w:lang w:eastAsia="es-CO"/>
              </w:rPr>
            </w:pPr>
            <w:r w:rsidRPr="00A21FE1">
              <w:rPr>
                <w:b/>
                <w:bCs/>
                <w:color w:val="000000"/>
                <w:sz w:val="16"/>
                <w:szCs w:val="16"/>
                <w:lang w:eastAsia="es-CO"/>
              </w:rPr>
              <w:t>Valor línea base</w:t>
            </w:r>
          </w:p>
        </w:tc>
        <w:tc>
          <w:tcPr>
            <w:tcW w:w="439"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58982EE9" w14:textId="77777777" w:rsidR="00856F66" w:rsidRPr="00A21FE1" w:rsidRDefault="00856F66" w:rsidP="008411D9">
            <w:pPr>
              <w:spacing w:line="240" w:lineRule="auto"/>
              <w:jc w:val="right"/>
              <w:rPr>
                <w:b/>
                <w:bCs/>
                <w:color w:val="000000"/>
                <w:sz w:val="16"/>
                <w:szCs w:val="16"/>
                <w:lang w:eastAsia="es-CO"/>
              </w:rPr>
            </w:pPr>
            <w:r w:rsidRPr="00A21FE1">
              <w:rPr>
                <w:b/>
                <w:bCs/>
                <w:color w:val="000000"/>
                <w:sz w:val="16"/>
                <w:szCs w:val="16"/>
                <w:lang w:eastAsia="es-CO"/>
              </w:rPr>
              <w:t>Meta proyectada 2024</w:t>
            </w:r>
          </w:p>
        </w:tc>
        <w:tc>
          <w:tcPr>
            <w:tcW w:w="439"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614C73F7" w14:textId="77777777" w:rsidR="00856F66" w:rsidRPr="00A21FE1" w:rsidRDefault="00856F66" w:rsidP="008411D9">
            <w:pPr>
              <w:spacing w:line="240" w:lineRule="auto"/>
              <w:jc w:val="right"/>
              <w:rPr>
                <w:b/>
                <w:bCs/>
                <w:color w:val="000000"/>
                <w:sz w:val="16"/>
                <w:szCs w:val="16"/>
                <w:lang w:eastAsia="es-CO"/>
              </w:rPr>
            </w:pPr>
            <w:r w:rsidRPr="00A21FE1">
              <w:rPr>
                <w:b/>
                <w:bCs/>
                <w:color w:val="000000"/>
                <w:sz w:val="16"/>
                <w:szCs w:val="16"/>
                <w:lang w:eastAsia="es-CO"/>
              </w:rPr>
              <w:t>Meta proyectada 2025</w:t>
            </w:r>
          </w:p>
        </w:tc>
        <w:tc>
          <w:tcPr>
            <w:tcW w:w="439" w:type="pct"/>
            <w:tcBorders>
              <w:top w:val="double" w:sz="4" w:space="0" w:color="C00000"/>
              <w:left w:val="double" w:sz="4" w:space="0" w:color="C00000"/>
              <w:bottom w:val="double" w:sz="4" w:space="0" w:color="C00000"/>
              <w:right w:val="double" w:sz="4" w:space="0" w:color="C00000"/>
            </w:tcBorders>
            <w:shd w:val="clear" w:color="000000" w:fill="D0D0D0"/>
            <w:vAlign w:val="center"/>
            <w:hideMark/>
          </w:tcPr>
          <w:p w14:paraId="4D09A3F8" w14:textId="77777777" w:rsidR="00856F66" w:rsidRPr="00A21FE1" w:rsidRDefault="00856F66" w:rsidP="008411D9">
            <w:pPr>
              <w:spacing w:line="240" w:lineRule="auto"/>
              <w:jc w:val="right"/>
              <w:rPr>
                <w:b/>
                <w:bCs/>
                <w:color w:val="000000"/>
                <w:sz w:val="16"/>
                <w:szCs w:val="16"/>
                <w:lang w:eastAsia="es-CO"/>
              </w:rPr>
            </w:pPr>
            <w:r w:rsidRPr="00A21FE1">
              <w:rPr>
                <w:b/>
                <w:bCs/>
                <w:color w:val="000000"/>
                <w:sz w:val="16"/>
                <w:szCs w:val="16"/>
                <w:lang w:eastAsia="es-CO"/>
              </w:rPr>
              <w:t>Meta proyectada 2026</w:t>
            </w:r>
          </w:p>
        </w:tc>
        <w:tc>
          <w:tcPr>
            <w:tcW w:w="439" w:type="pct"/>
            <w:tcBorders>
              <w:top w:val="double" w:sz="4" w:space="0" w:color="C00000"/>
              <w:left w:val="double" w:sz="4" w:space="0" w:color="C00000"/>
              <w:bottom w:val="double" w:sz="4" w:space="0" w:color="C00000"/>
            </w:tcBorders>
            <w:shd w:val="clear" w:color="000000" w:fill="D0D0D0"/>
            <w:vAlign w:val="center"/>
            <w:hideMark/>
          </w:tcPr>
          <w:p w14:paraId="05E447C0" w14:textId="77777777" w:rsidR="00856F66" w:rsidRPr="00A21FE1" w:rsidRDefault="00856F66" w:rsidP="008411D9">
            <w:pPr>
              <w:spacing w:line="240" w:lineRule="auto"/>
              <w:jc w:val="right"/>
              <w:rPr>
                <w:b/>
                <w:bCs/>
                <w:color w:val="000000"/>
                <w:sz w:val="16"/>
                <w:szCs w:val="16"/>
                <w:lang w:eastAsia="es-CO"/>
              </w:rPr>
            </w:pPr>
            <w:r w:rsidRPr="00A21FE1">
              <w:rPr>
                <w:b/>
                <w:bCs/>
                <w:color w:val="000000"/>
                <w:sz w:val="16"/>
                <w:szCs w:val="16"/>
                <w:lang w:eastAsia="es-CO"/>
              </w:rPr>
              <w:t>Meta proyectada 2027</w:t>
            </w:r>
          </w:p>
        </w:tc>
      </w:tr>
      <w:tr w:rsidR="00856F66" w:rsidRPr="00A21FE1" w14:paraId="0ABC7922" w14:textId="77777777" w:rsidTr="00C30A4A">
        <w:trPr>
          <w:cantSplit/>
          <w:trHeight w:val="1236"/>
        </w:trPr>
        <w:tc>
          <w:tcPr>
            <w:tcW w:w="1129" w:type="pct"/>
            <w:tcBorders>
              <w:top w:val="double" w:sz="4" w:space="0" w:color="C00000"/>
              <w:bottom w:val="double" w:sz="4" w:space="0" w:color="C00000"/>
              <w:right w:val="double" w:sz="4" w:space="0" w:color="C00000"/>
            </w:tcBorders>
            <w:shd w:val="clear" w:color="auto" w:fill="auto"/>
            <w:vAlign w:val="center"/>
            <w:hideMark/>
          </w:tcPr>
          <w:p w14:paraId="41E300D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Porcentaje de personas que se sienten orgullosas de vivir en Bogotá</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CA3ACF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EBC - Encuesta de Indicadores de Cultura Ciudadana y garantía de derechos</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E2E70E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6AEB94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06541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52,6</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5D425B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6B8660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55,6</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B2FE8D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78059F4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60,0</w:t>
            </w:r>
          </w:p>
        </w:tc>
      </w:tr>
      <w:tr w:rsidR="00856F66" w:rsidRPr="00A21FE1" w14:paraId="3790468B"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7B7FB715" w14:textId="77777777" w:rsidR="00856F66" w:rsidRPr="00A21FE1" w:rsidRDefault="00856F66" w:rsidP="008411D9">
            <w:pPr>
              <w:spacing w:line="240" w:lineRule="auto"/>
              <w:rPr>
                <w:sz w:val="16"/>
                <w:szCs w:val="16"/>
                <w:lang w:eastAsia="es-CO"/>
              </w:rPr>
            </w:pPr>
            <w:r w:rsidRPr="00A21FE1">
              <w:rPr>
                <w:sz w:val="16"/>
                <w:szCs w:val="16"/>
                <w:lang w:eastAsia="es-CO"/>
              </w:rPr>
              <w:t>Índice de Gestión Pública Distrital (Puntos)</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D9FA77F" w14:textId="77777777" w:rsidR="00856F66" w:rsidRPr="00A21FE1" w:rsidRDefault="00856F66" w:rsidP="008411D9">
            <w:pPr>
              <w:spacing w:line="240" w:lineRule="auto"/>
              <w:rPr>
                <w:sz w:val="16"/>
                <w:szCs w:val="16"/>
                <w:lang w:eastAsia="es-CO"/>
              </w:rPr>
            </w:pPr>
            <w:r w:rsidRPr="00A21FE1">
              <w:rPr>
                <w:sz w:val="16"/>
                <w:szCs w:val="16"/>
                <w:lang w:eastAsia="es-CO"/>
              </w:rPr>
              <w:t>Secretaría General</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0E9B18B" w14:textId="77777777" w:rsidR="00856F66" w:rsidRPr="00A21FE1" w:rsidRDefault="00856F66" w:rsidP="008411D9">
            <w:pPr>
              <w:spacing w:line="240" w:lineRule="auto"/>
              <w:rPr>
                <w:sz w:val="16"/>
                <w:szCs w:val="16"/>
                <w:lang w:eastAsia="es-CO"/>
              </w:rPr>
            </w:pPr>
            <w:r w:rsidRPr="00A21FE1">
              <w:rPr>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04CE575" w14:textId="77777777" w:rsidR="00856F66" w:rsidRPr="00A21FE1" w:rsidRDefault="00856F66" w:rsidP="008411D9">
            <w:pPr>
              <w:spacing w:line="240" w:lineRule="auto"/>
              <w:jc w:val="right"/>
              <w:rPr>
                <w:sz w:val="16"/>
                <w:szCs w:val="16"/>
                <w:lang w:eastAsia="es-CO"/>
              </w:rPr>
            </w:pPr>
            <w:r w:rsidRPr="00A21FE1">
              <w:rPr>
                <w:sz w:val="16"/>
                <w:szCs w:val="16"/>
                <w:lang w:eastAsia="es-CO"/>
              </w:rPr>
              <w:t>2022</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10B89AD" w14:textId="77777777" w:rsidR="00856F66" w:rsidRPr="00A21FE1" w:rsidRDefault="00856F66" w:rsidP="008411D9">
            <w:pPr>
              <w:spacing w:line="240" w:lineRule="auto"/>
              <w:jc w:val="right"/>
              <w:rPr>
                <w:sz w:val="16"/>
                <w:szCs w:val="16"/>
                <w:lang w:eastAsia="es-CO"/>
              </w:rPr>
            </w:pPr>
            <w:r w:rsidRPr="00A21FE1">
              <w:rPr>
                <w:sz w:val="16"/>
                <w:szCs w:val="16"/>
                <w:lang w:eastAsia="es-CO"/>
              </w:rPr>
              <w:t>88,5</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2AD9954" w14:textId="77777777" w:rsidR="00856F66" w:rsidRPr="00A21FE1" w:rsidRDefault="00856F66" w:rsidP="008411D9">
            <w:pPr>
              <w:spacing w:line="240" w:lineRule="auto"/>
              <w:jc w:val="right"/>
              <w:rPr>
                <w:sz w:val="16"/>
                <w:szCs w:val="16"/>
                <w:lang w:eastAsia="es-CO"/>
              </w:rPr>
            </w:pPr>
            <w:r w:rsidRPr="00A21FE1">
              <w:rPr>
                <w:sz w:val="16"/>
                <w:szCs w:val="16"/>
                <w:lang w:eastAsia="es-CO"/>
              </w:rPr>
              <w:t>89,0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8DFD913" w14:textId="77777777" w:rsidR="00856F66" w:rsidRPr="00A21FE1" w:rsidRDefault="00856F66" w:rsidP="008411D9">
            <w:pPr>
              <w:spacing w:line="240" w:lineRule="auto"/>
              <w:jc w:val="right"/>
              <w:rPr>
                <w:sz w:val="16"/>
                <w:szCs w:val="16"/>
                <w:lang w:eastAsia="es-CO"/>
              </w:rPr>
            </w:pPr>
            <w:r w:rsidRPr="00A21FE1">
              <w:rPr>
                <w:sz w:val="16"/>
                <w:szCs w:val="16"/>
                <w:lang w:eastAsia="es-CO"/>
              </w:rPr>
              <w:t>89,5</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E97722A" w14:textId="77777777" w:rsidR="00856F66" w:rsidRPr="00A21FE1" w:rsidRDefault="00856F66" w:rsidP="008411D9">
            <w:pPr>
              <w:spacing w:line="240" w:lineRule="auto"/>
              <w:jc w:val="right"/>
              <w:rPr>
                <w:sz w:val="16"/>
                <w:szCs w:val="16"/>
                <w:lang w:eastAsia="es-CO"/>
              </w:rPr>
            </w:pPr>
            <w:r w:rsidRPr="00A21FE1">
              <w:rPr>
                <w:sz w:val="16"/>
                <w:szCs w:val="16"/>
                <w:lang w:eastAsia="es-CO"/>
              </w:rPr>
              <w:t>90,5</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03037AF2" w14:textId="77777777" w:rsidR="00856F66" w:rsidRPr="00A21FE1" w:rsidRDefault="00856F66" w:rsidP="008411D9">
            <w:pPr>
              <w:spacing w:line="240" w:lineRule="auto"/>
              <w:jc w:val="right"/>
              <w:rPr>
                <w:sz w:val="16"/>
                <w:szCs w:val="16"/>
                <w:lang w:eastAsia="es-CO"/>
              </w:rPr>
            </w:pPr>
            <w:r w:rsidRPr="00A21FE1">
              <w:rPr>
                <w:sz w:val="16"/>
                <w:szCs w:val="16"/>
                <w:lang w:eastAsia="es-CO"/>
              </w:rPr>
              <w:t>91,5</w:t>
            </w:r>
          </w:p>
        </w:tc>
      </w:tr>
      <w:tr w:rsidR="00856F66" w:rsidRPr="00A21FE1" w14:paraId="11A3AE8E"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34EF17E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Índice de calidad del servicio brindado en las entidades distritales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3755F8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Secretaría General</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DF5B2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BB879C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F23966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77,6</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34D336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78,2</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3BA9FC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78,8</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9919F6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79,4</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229D8FD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85,0</w:t>
            </w:r>
          </w:p>
        </w:tc>
      </w:tr>
      <w:tr w:rsidR="00856F66" w:rsidRPr="00A21FE1" w14:paraId="2FA7FF62"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4F6C3EB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Evasión del Impuesto de Vehículos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6AE2CF3"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Dirección de Impuestos Distritales</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2FF2A8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20FB5D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FBEE9E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13,0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A20B1D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12,3</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3544EC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11,5</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45F7D9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10,8</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7E62CEE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10,0</w:t>
            </w:r>
          </w:p>
        </w:tc>
      </w:tr>
      <w:tr w:rsidR="00856F66" w:rsidRPr="00A21FE1" w14:paraId="025C2CB4"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5AFD247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Evasión del Impuesto de Industria y Comercio ICA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3C6E0A6F" w14:textId="77777777" w:rsidR="00856F66" w:rsidRPr="00A21FE1" w:rsidRDefault="00856F66" w:rsidP="008411D9">
            <w:pPr>
              <w:spacing w:line="240" w:lineRule="auto"/>
              <w:rPr>
                <w:sz w:val="16"/>
                <w:szCs w:val="16"/>
                <w:lang w:eastAsia="es-CO"/>
              </w:rPr>
            </w:pPr>
            <w:r w:rsidRPr="00A21FE1">
              <w:rPr>
                <w:sz w:val="16"/>
                <w:szCs w:val="16"/>
                <w:lang w:eastAsia="es-CO"/>
              </w:rPr>
              <w:t>Dirección de Estadísticas y Estudios Fiscales</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493062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7612C5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5EDE0D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1D7619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19,7</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EC87EC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19,2</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CB481B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18,7</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53E1393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18,2</w:t>
            </w:r>
          </w:p>
        </w:tc>
      </w:tr>
      <w:tr w:rsidR="00856F66" w:rsidRPr="00A21FE1" w14:paraId="60DB4A84"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252B9A5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Evasión del Impuesto Predial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14CC776A"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Dirección de Impuestos Distritales</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30DE16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68CA8E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D3844C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16,0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2B3E3E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15,0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A3C068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14,0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BD3B740"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13,0</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5429C0E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12,0</w:t>
            </w:r>
          </w:p>
        </w:tc>
      </w:tr>
      <w:tr w:rsidR="00856F66" w:rsidRPr="00A21FE1" w14:paraId="54F74312"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57C6A4E9"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Índice de Desarrollo del Servicio Civil Distrital</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AB15B4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Departamento Administrativo del Servicio Civil Distrital</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106B9F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17E04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1034D6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69,7</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6BD060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70,7</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C9C97A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72,0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E71C82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73,0</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5E17DFF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74,0</w:t>
            </w:r>
          </w:p>
        </w:tc>
      </w:tr>
      <w:tr w:rsidR="00856F66" w:rsidRPr="00A21FE1" w14:paraId="3E97F067"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2CD4E28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Índice de Gobierno Digital</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7E04335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Índice de Gobierno Digital (MinTic)</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232243E"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A5026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D5A769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89,0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283BC9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91,0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2E7E3B9"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92,0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5180062"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94,0</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04D370B8"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95,0</w:t>
            </w:r>
          </w:p>
        </w:tc>
      </w:tr>
      <w:tr w:rsidR="00856F66" w:rsidRPr="00A21FE1" w14:paraId="143F9F6F" w14:textId="77777777" w:rsidTr="00C30A4A">
        <w:trPr>
          <w:cantSplit/>
          <w:trHeight w:val="1680"/>
        </w:trPr>
        <w:tc>
          <w:tcPr>
            <w:tcW w:w="1129" w:type="pct"/>
            <w:tcBorders>
              <w:top w:val="double" w:sz="4" w:space="0" w:color="C00000"/>
              <w:bottom w:val="double" w:sz="4" w:space="0" w:color="C00000"/>
              <w:right w:val="double" w:sz="4" w:space="0" w:color="C00000"/>
            </w:tcBorders>
            <w:shd w:val="clear" w:color="auto" w:fill="auto"/>
            <w:vAlign w:val="center"/>
            <w:hideMark/>
          </w:tcPr>
          <w:p w14:paraId="65EE63A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Hogares con conexión a internet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0572CFE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DANE - Encuesta de Tecnologías de la Información y las Comunicaciones en Hogares (ENTIC Hogares)</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209E5B2F"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61CEF7D"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2022</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F1C914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79,4</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5FF6A2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80,0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0297331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82,0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D8F5DD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85,0</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0010815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85,0</w:t>
            </w:r>
          </w:p>
        </w:tc>
      </w:tr>
      <w:tr w:rsidR="00856F66" w:rsidRPr="00A21FE1" w14:paraId="60F8B69B"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67D4263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lastRenderedPageBreak/>
              <w:t>Índice de Innovación Pública</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0CAD8A6"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Veeduría Distrital</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0E649AD"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Bienal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DA51E8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2901E97"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45,0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DF27E12"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DB2BB6"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53,3</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4528E7A4"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 </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4D4B689A"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59,2</w:t>
            </w:r>
          </w:p>
        </w:tc>
      </w:tr>
      <w:tr w:rsidR="00856F66" w:rsidRPr="00A21FE1" w14:paraId="1C259E91" w14:textId="77777777" w:rsidTr="00C30A4A">
        <w:trPr>
          <w:cantSplit/>
          <w:trHeight w:val="972"/>
        </w:trPr>
        <w:tc>
          <w:tcPr>
            <w:tcW w:w="1129" w:type="pct"/>
            <w:tcBorders>
              <w:top w:val="double" w:sz="4" w:space="0" w:color="C00000"/>
              <w:bottom w:val="double" w:sz="4" w:space="0" w:color="C00000"/>
              <w:right w:val="double" w:sz="4" w:space="0" w:color="C00000"/>
            </w:tcBorders>
            <w:shd w:val="clear" w:color="auto" w:fill="auto"/>
            <w:vAlign w:val="center"/>
            <w:hideMark/>
          </w:tcPr>
          <w:p w14:paraId="40825045"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Nivel de éxito procesal en el Distrito Capital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624E397C"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Reporte del Sistema de Información SIPROJ</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E0042C1"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B0DD7D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D1EBC3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83,0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F271A5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83,0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3A295FF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83,0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053EFC1"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83,0</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0F21BB93"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84,0</w:t>
            </w:r>
          </w:p>
        </w:tc>
      </w:tr>
      <w:tr w:rsidR="00856F66" w:rsidRPr="00A21FE1" w14:paraId="3286F55D" w14:textId="77777777" w:rsidTr="00C30A4A">
        <w:trPr>
          <w:cantSplit/>
          <w:trHeight w:val="1392"/>
        </w:trPr>
        <w:tc>
          <w:tcPr>
            <w:tcW w:w="1129" w:type="pct"/>
            <w:tcBorders>
              <w:top w:val="double" w:sz="4" w:space="0" w:color="C00000"/>
              <w:bottom w:val="double" w:sz="4" w:space="0" w:color="C00000"/>
              <w:right w:val="double" w:sz="4" w:space="0" w:color="C00000"/>
            </w:tcBorders>
            <w:shd w:val="clear" w:color="auto" w:fill="auto"/>
            <w:vAlign w:val="center"/>
            <w:hideMark/>
          </w:tcPr>
          <w:p w14:paraId="6A40E1F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Participación Ciudadana Incidente en proyectos de actos administrativos en el Distrito Capital (Porcentaje)</w:t>
            </w:r>
          </w:p>
        </w:tc>
        <w:tc>
          <w:tcPr>
            <w:tcW w:w="904" w:type="pct"/>
            <w:tcBorders>
              <w:top w:val="double" w:sz="4" w:space="0" w:color="C00000"/>
              <w:left w:val="double" w:sz="4" w:space="0" w:color="C00000"/>
              <w:bottom w:val="double" w:sz="4" w:space="0" w:color="C00000"/>
              <w:right w:val="double" w:sz="4" w:space="0" w:color="C00000"/>
            </w:tcBorders>
            <w:shd w:val="clear" w:color="auto" w:fill="auto"/>
            <w:vAlign w:val="center"/>
            <w:hideMark/>
          </w:tcPr>
          <w:p w14:paraId="5628960B"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Reporte del Sistema de LegalBog Participa</w:t>
            </w:r>
          </w:p>
        </w:tc>
        <w:tc>
          <w:tcPr>
            <w:tcW w:w="41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6E110660" w14:textId="77777777" w:rsidR="00856F66" w:rsidRPr="00A21FE1" w:rsidRDefault="00856F66" w:rsidP="008411D9">
            <w:pPr>
              <w:spacing w:line="240" w:lineRule="auto"/>
              <w:rPr>
                <w:color w:val="000000"/>
                <w:sz w:val="16"/>
                <w:szCs w:val="16"/>
                <w:lang w:eastAsia="es-CO"/>
              </w:rPr>
            </w:pPr>
            <w:r w:rsidRPr="00A21FE1">
              <w:rPr>
                <w:color w:val="000000"/>
                <w:sz w:val="16"/>
                <w:szCs w:val="16"/>
                <w:lang w:eastAsia="es-CO"/>
              </w:rPr>
              <w:t>Anual</w:t>
            </w:r>
          </w:p>
        </w:tc>
        <w:tc>
          <w:tcPr>
            <w:tcW w:w="253"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1E2E7DAC"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2023</w:t>
            </w:r>
          </w:p>
        </w:tc>
        <w:tc>
          <w:tcPr>
            <w:tcW w:w="538"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897FF6E"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28</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A2F17E4"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30</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7BB48C9F"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35</w:t>
            </w:r>
          </w:p>
        </w:tc>
        <w:tc>
          <w:tcPr>
            <w:tcW w:w="439" w:type="pct"/>
            <w:tcBorders>
              <w:top w:val="double" w:sz="4" w:space="0" w:color="C00000"/>
              <w:left w:val="double" w:sz="4" w:space="0" w:color="C00000"/>
              <w:bottom w:val="double" w:sz="4" w:space="0" w:color="C00000"/>
              <w:right w:val="double" w:sz="4" w:space="0" w:color="C00000"/>
            </w:tcBorders>
            <w:shd w:val="clear" w:color="auto" w:fill="auto"/>
            <w:noWrap/>
            <w:vAlign w:val="center"/>
            <w:hideMark/>
          </w:tcPr>
          <w:p w14:paraId="5883A745"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40</w:t>
            </w:r>
          </w:p>
        </w:tc>
        <w:tc>
          <w:tcPr>
            <w:tcW w:w="439" w:type="pct"/>
            <w:tcBorders>
              <w:top w:val="double" w:sz="4" w:space="0" w:color="C00000"/>
              <w:left w:val="double" w:sz="4" w:space="0" w:color="C00000"/>
              <w:bottom w:val="double" w:sz="4" w:space="0" w:color="C00000"/>
            </w:tcBorders>
            <w:shd w:val="clear" w:color="auto" w:fill="auto"/>
            <w:noWrap/>
            <w:vAlign w:val="center"/>
            <w:hideMark/>
          </w:tcPr>
          <w:p w14:paraId="4DB4F77B" w14:textId="77777777" w:rsidR="00856F66" w:rsidRPr="00A21FE1" w:rsidRDefault="00856F66" w:rsidP="008411D9">
            <w:pPr>
              <w:spacing w:line="240" w:lineRule="auto"/>
              <w:jc w:val="right"/>
              <w:rPr>
                <w:color w:val="000000"/>
                <w:sz w:val="16"/>
                <w:szCs w:val="16"/>
                <w:lang w:eastAsia="es-CO"/>
              </w:rPr>
            </w:pPr>
            <w:r w:rsidRPr="00A21FE1">
              <w:rPr>
                <w:color w:val="000000"/>
                <w:sz w:val="16"/>
                <w:szCs w:val="16"/>
                <w:lang w:eastAsia="es-CO"/>
              </w:rPr>
              <w:t>43</w:t>
            </w:r>
          </w:p>
        </w:tc>
      </w:tr>
    </w:tbl>
    <w:p w14:paraId="7E7FB5CA" w14:textId="77777777" w:rsidR="00856F66" w:rsidRDefault="00856F66"/>
    <w:p w14:paraId="6B2E7F90" w14:textId="3E76407E" w:rsidR="00856F66" w:rsidRDefault="00856F66" w:rsidP="00FA4F64">
      <w:pPr>
        <w:tabs>
          <w:tab w:val="left" w:pos="2484"/>
        </w:tabs>
        <w:jc w:val="left"/>
      </w:pPr>
      <w:r>
        <w:br w:type="page"/>
      </w:r>
    </w:p>
    <w:p w14:paraId="47165F4A" w14:textId="77777777" w:rsidR="00856F66" w:rsidRPr="00E31657" w:rsidRDefault="00856F66" w:rsidP="003725FA">
      <w:pPr>
        <w:pStyle w:val="titulodocumento"/>
        <w:rPr>
          <w:lang w:val="es-ES_tradnl"/>
        </w:rPr>
      </w:pPr>
      <w:r w:rsidRPr="00E31657">
        <w:rPr>
          <w:noProof/>
          <w:lang w:val="es-ES_tradnl"/>
        </w:rPr>
        <w:lastRenderedPageBreak/>
        <w:drawing>
          <wp:anchor distT="0" distB="0" distL="114300" distR="114300" simplePos="0" relativeHeight="251798528" behindDoc="0" locked="0" layoutInCell="1" allowOverlap="1" wp14:anchorId="093CDC28" wp14:editId="7ED6941D">
            <wp:simplePos x="0" y="0"/>
            <wp:positionH relativeFrom="column">
              <wp:posOffset>346</wp:posOffset>
            </wp:positionH>
            <wp:positionV relativeFrom="paragraph">
              <wp:posOffset>-1620520</wp:posOffset>
            </wp:positionV>
            <wp:extent cx="6235124" cy="2355273"/>
            <wp:effectExtent l="0" t="0" r="635" b="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71">
                      <a:extLst>
                        <a:ext uri="{28A0092B-C50C-407E-A947-70E740481C1C}">
                          <a14:useLocalDpi xmlns:a14="http://schemas.microsoft.com/office/drawing/2010/main" val="0"/>
                        </a:ext>
                      </a:extLst>
                    </a:blip>
                    <a:stretch>
                      <a:fillRect/>
                    </a:stretch>
                  </pic:blipFill>
                  <pic:spPr>
                    <a:xfrm>
                      <a:off x="0" y="0"/>
                      <a:ext cx="6255088" cy="2362814"/>
                    </a:xfrm>
                    <a:prstGeom prst="rect">
                      <a:avLst/>
                    </a:prstGeom>
                  </pic:spPr>
                </pic:pic>
              </a:graphicData>
            </a:graphic>
            <wp14:sizeRelH relativeFrom="page">
              <wp14:pctWidth>0</wp14:pctWidth>
            </wp14:sizeRelH>
            <wp14:sizeRelV relativeFrom="page">
              <wp14:pctHeight>0</wp14:pctHeight>
            </wp14:sizeRelV>
          </wp:anchor>
        </w:drawing>
      </w:r>
    </w:p>
    <w:p w14:paraId="4052706D" w14:textId="77777777" w:rsidR="00856F66" w:rsidRPr="00E31657" w:rsidRDefault="00856F66" w:rsidP="003725FA">
      <w:pPr>
        <w:pStyle w:val="titulodocumento"/>
        <w:rPr>
          <w:lang w:val="es-ES_tradnl"/>
        </w:rPr>
      </w:pPr>
    </w:p>
    <w:p w14:paraId="35AFD792" w14:textId="77777777" w:rsidR="00856F66" w:rsidRPr="00E31657" w:rsidRDefault="00856F66" w:rsidP="003725FA">
      <w:pPr>
        <w:pStyle w:val="titulodocumento"/>
        <w:rPr>
          <w:rFonts w:eastAsiaTheme="minorHAnsi" w:cstheme="minorBidi"/>
          <w:color w:val="auto"/>
          <w:spacing w:val="0"/>
          <w:kern w:val="0"/>
          <w:sz w:val="16"/>
          <w:szCs w:val="16"/>
          <w:lang w:val="es-ES_tradnl" w:eastAsia="en-US"/>
        </w:rPr>
      </w:pPr>
      <w:r w:rsidRPr="00E31657">
        <w:rPr>
          <w:rFonts w:eastAsiaTheme="minorHAnsi" w:cstheme="minorBidi"/>
          <w:color w:val="auto"/>
          <w:spacing w:val="0"/>
          <w:kern w:val="0"/>
          <w:sz w:val="16"/>
          <w:szCs w:val="16"/>
          <w:lang w:val="es-ES_tradnl" w:eastAsia="en-US"/>
        </w:rPr>
        <w:t xml:space="preserve"> </w:t>
      </w:r>
    </w:p>
    <w:p w14:paraId="35EDCAF1" w14:textId="77777777" w:rsidR="00856F66" w:rsidRPr="00E31657" w:rsidRDefault="00856F66" w:rsidP="00892228">
      <w:pPr>
        <w:pStyle w:val="NIVEL2PDD"/>
        <w:rPr>
          <w:sz w:val="16"/>
          <w:szCs w:val="16"/>
        </w:rPr>
      </w:pPr>
      <w:bookmarkStart w:id="463" w:name="_Toc165169810"/>
      <w:r w:rsidRPr="00E31657">
        <w:t>Metas de Producto</w:t>
      </w:r>
      <w:bookmarkEnd w:id="463"/>
    </w:p>
    <w:tbl>
      <w:tblPr>
        <w:tblW w:w="4949" w:type="pct"/>
        <w:tblLayout w:type="fixed"/>
        <w:tblCellMar>
          <w:left w:w="0" w:type="dxa"/>
          <w:right w:w="0" w:type="dxa"/>
        </w:tblCellMar>
        <w:tblLook w:val="04A0" w:firstRow="1" w:lastRow="0" w:firstColumn="1" w:lastColumn="0" w:noHBand="0" w:noVBand="1"/>
      </w:tblPr>
      <w:tblGrid>
        <w:gridCol w:w="1689"/>
        <w:gridCol w:w="567"/>
        <w:gridCol w:w="1130"/>
        <w:gridCol w:w="1160"/>
        <w:gridCol w:w="1153"/>
        <w:gridCol w:w="1184"/>
        <w:gridCol w:w="1201"/>
        <w:gridCol w:w="1164"/>
        <w:gridCol w:w="17"/>
      </w:tblGrid>
      <w:tr w:rsidR="00856F66" w:rsidRPr="00E31657" w14:paraId="25D77378" w14:textId="77777777" w:rsidTr="008C71EB">
        <w:trPr>
          <w:trHeight w:val="20"/>
        </w:trPr>
        <w:tc>
          <w:tcPr>
            <w:tcW w:w="5000" w:type="pct"/>
            <w:gridSpan w:val="9"/>
            <w:tcBorders>
              <w:bottom w:val="double" w:sz="4" w:space="0" w:color="C00000"/>
            </w:tcBorders>
            <w:tcMar>
              <w:top w:w="30" w:type="dxa"/>
              <w:left w:w="45" w:type="dxa"/>
              <w:bottom w:w="30" w:type="dxa"/>
              <w:right w:w="45" w:type="dxa"/>
            </w:tcMar>
            <w:vAlign w:val="center"/>
            <w:hideMark/>
          </w:tcPr>
          <w:p w14:paraId="7E8F3D4A" w14:textId="77777777" w:rsidR="00856F66" w:rsidRPr="00E31657" w:rsidRDefault="00856F66" w:rsidP="00F35453">
            <w:pPr>
              <w:jc w:val="center"/>
              <w:rPr>
                <w:rFonts w:cs="Arial"/>
                <w:lang w:val="es-ES_tradnl" w:eastAsia="es-MX"/>
              </w:rPr>
            </w:pPr>
            <w:r w:rsidRPr="00E31657">
              <w:rPr>
                <w:rFonts w:cs="Arial"/>
                <w:b/>
                <w:bCs/>
                <w:color w:val="C00000"/>
                <w:lang w:val="es-ES_tradnl" w:eastAsia="es-MX"/>
              </w:rPr>
              <w:t>Programa 1.</w:t>
            </w:r>
            <w:r w:rsidRPr="00E31657">
              <w:rPr>
                <w:rFonts w:cs="Arial"/>
                <w:color w:val="C00000"/>
                <w:lang w:val="es-ES_tradnl" w:eastAsia="es-MX"/>
              </w:rPr>
              <w:t xml:space="preserve"> </w:t>
            </w:r>
            <w:r w:rsidRPr="00E31657">
              <w:rPr>
                <w:rFonts w:cs="Arial"/>
                <w:lang w:val="es-ES_tradnl" w:eastAsia="es-MX"/>
              </w:rPr>
              <w:t xml:space="preserve">Diálogo social y cultura ciudadana para la convivencia </w:t>
            </w:r>
          </w:p>
          <w:p w14:paraId="582F337F" w14:textId="77777777" w:rsidR="00856F66" w:rsidRPr="00E31657" w:rsidRDefault="00856F66" w:rsidP="00F35453">
            <w:pPr>
              <w:jc w:val="center"/>
              <w:rPr>
                <w:rFonts w:cs="Arial"/>
                <w:szCs w:val="22"/>
                <w:lang w:val="es-ES_tradnl" w:eastAsia="es-MX"/>
              </w:rPr>
            </w:pPr>
            <w:r w:rsidRPr="00E31657">
              <w:rPr>
                <w:rFonts w:cs="Arial"/>
                <w:lang w:val="es-ES_tradnl" w:eastAsia="es-MX"/>
              </w:rPr>
              <w:t>pacífica y la recuperación de la confianza</w:t>
            </w:r>
          </w:p>
        </w:tc>
      </w:tr>
      <w:tr w:rsidR="00856F66" w:rsidRPr="00E31657" w14:paraId="692F74DE"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55757E63" w14:textId="77777777" w:rsidR="00856F66" w:rsidRPr="00DE3C42" w:rsidRDefault="00856F66" w:rsidP="00DE3C42">
            <w:pPr>
              <w:pStyle w:val="Ttulo"/>
              <w:jc w:val="center"/>
              <w:rPr>
                <w:rFonts w:ascii="Candara" w:eastAsia="Times New Roman" w:hAnsi="Candara"/>
                <w:b/>
                <w:bCs/>
                <w:sz w:val="24"/>
                <w:szCs w:val="24"/>
                <w:lang w:eastAsia="es-MX"/>
              </w:rPr>
            </w:pPr>
            <w:r w:rsidRPr="00DE3C42">
              <w:rPr>
                <w:rFonts w:ascii="Candara" w:eastAsia="Times New Roman" w:hAnsi="Candara"/>
                <w:b/>
                <w:bCs/>
                <w:color w:val="FFFFFF" w:themeColor="background1"/>
                <w:sz w:val="24"/>
                <w:szCs w:val="24"/>
                <w:lang w:val="es-ES_tradnl" w:eastAsia="es-MX"/>
              </w:rPr>
              <w:t>Sector / Metas</w:t>
            </w:r>
          </w:p>
        </w:tc>
        <w:tc>
          <w:tcPr>
            <w:tcW w:w="4079" w:type="pct"/>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177E73DC" w14:textId="77777777" w:rsidR="00856F66" w:rsidRPr="00E31657" w:rsidRDefault="00856F66" w:rsidP="00DE3C42">
            <w:pPr>
              <w:pStyle w:val="Ttulo"/>
              <w:jc w:val="center"/>
              <w:rPr>
                <w:rFonts w:eastAsia="Times New Roman"/>
                <w:lang w:val="es-ES_tradnl" w:eastAsia="es-MX"/>
              </w:rPr>
            </w:pPr>
            <w:r w:rsidRPr="00DE3C42">
              <w:rPr>
                <w:rFonts w:ascii="Candara" w:eastAsia="Times New Roman" w:hAnsi="Candara"/>
                <w:b/>
                <w:bCs/>
                <w:color w:val="FFFFFF" w:themeColor="background1"/>
                <w:sz w:val="24"/>
                <w:szCs w:val="24"/>
                <w:lang w:val="es-ES_tradnl" w:eastAsia="es-MX"/>
              </w:rPr>
              <w:t xml:space="preserve">Magnitudes e Inversión </w:t>
            </w:r>
            <w:r w:rsidRPr="00DE3C42">
              <w:rPr>
                <w:rFonts w:ascii="Candara" w:eastAsia="Times New Roman" w:hAnsi="Candara"/>
                <w:b/>
                <w:bCs/>
                <w:color w:val="FFFFFF" w:themeColor="background1"/>
                <w:sz w:val="24"/>
                <w:szCs w:val="24"/>
                <w:lang w:val="es-ES_tradnl" w:eastAsia="es-MX"/>
              </w:rPr>
              <w:br/>
              <w:t>(Precios Constantes 2024)</w:t>
            </w:r>
          </w:p>
        </w:tc>
      </w:tr>
      <w:tr w:rsidR="00856F66" w:rsidRPr="00E31657" w14:paraId="5B28B80A"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5CA36075" w14:textId="77777777" w:rsidR="00856F66" w:rsidRPr="00E31657" w:rsidRDefault="00856F66" w:rsidP="00F35453">
            <w:pPr>
              <w:rPr>
                <w:rFonts w:cs="Arial"/>
                <w:b/>
                <w:bCs/>
                <w:color w:val="FFFFFF"/>
                <w:sz w:val="16"/>
                <w:szCs w:val="16"/>
                <w:lang w:val="es-ES_tradnl" w:eastAsia="es-MX"/>
              </w:rPr>
            </w:pPr>
          </w:p>
        </w:tc>
        <w:tc>
          <w:tcPr>
            <w:tcW w:w="306"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2B8535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610"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4627E4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26"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193812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622"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2CE7C6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639"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688317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648"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1DEC61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628" w:type="pct"/>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5A612080"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B02A4A2" w14:textId="77777777" w:rsidTr="008C71EB">
        <w:trPr>
          <w:trHeight w:val="469"/>
        </w:trPr>
        <w:tc>
          <w:tcPr>
            <w:tcW w:w="5000" w:type="pct"/>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4292F26" w14:textId="77777777" w:rsidR="00856F66" w:rsidRPr="00E31657" w:rsidRDefault="00856F66" w:rsidP="00DE3C42">
            <w:pPr>
              <w:pStyle w:val="Ttulo"/>
              <w:jc w:val="center"/>
              <w:rPr>
                <w:rFonts w:eastAsia="Times New Roman"/>
                <w:lang w:val="es-ES_tradnl" w:eastAsia="es-MX"/>
              </w:rPr>
            </w:pPr>
            <w:r w:rsidRPr="00DE3C42">
              <w:rPr>
                <w:rFonts w:ascii="Candara" w:eastAsia="Times New Roman" w:hAnsi="Candara"/>
                <w:b/>
                <w:bCs/>
                <w:color w:val="FFFFFF" w:themeColor="background1"/>
                <w:sz w:val="24"/>
                <w:szCs w:val="24"/>
                <w:lang w:val="es-ES_tradnl" w:eastAsia="es-MX"/>
              </w:rPr>
              <w:t>Cultura recreación y deporte</w:t>
            </w:r>
          </w:p>
        </w:tc>
      </w:tr>
      <w:tr w:rsidR="00856F66" w:rsidRPr="00E31657" w14:paraId="213E0320"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72E745"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Implementar 8 estrategias de cultura ciudadana que promuevan la convivencia la eliminación del machismo y de la discriminación los hábitos saludables la salud mental la cultura ambiental y la movilidad sostenible en Bogotá.</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1F04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090CC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Fuente propia Observatorio de Cultura</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3C57B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FD88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71517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4EAB9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61A125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24.143.362.873</w:t>
            </w:r>
          </w:p>
        </w:tc>
      </w:tr>
      <w:tr w:rsidR="00856F66" w:rsidRPr="00E31657" w14:paraId="66178707"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630A9799"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2866B288"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06DBDF1B"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0ABE2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5.972.590.000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2E234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5.334.378.641</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0D3D3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6.419.975.493</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F1D3E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6.416.418.740</w:t>
            </w:r>
          </w:p>
        </w:tc>
        <w:tc>
          <w:tcPr>
            <w:tcW w:w="628" w:type="pct"/>
            <w:vMerge/>
            <w:tcBorders>
              <w:top w:val="double" w:sz="4" w:space="0" w:color="C00000"/>
              <w:left w:val="double" w:sz="4" w:space="0" w:color="C00000"/>
              <w:bottom w:val="double" w:sz="4" w:space="0" w:color="C00000"/>
            </w:tcBorders>
            <w:vAlign w:val="center"/>
            <w:hideMark/>
          </w:tcPr>
          <w:p w14:paraId="525A1D01" w14:textId="77777777" w:rsidR="00856F66" w:rsidRPr="00E31657" w:rsidRDefault="00856F66" w:rsidP="00F35453">
            <w:pPr>
              <w:rPr>
                <w:rFonts w:cs="Arial"/>
                <w:b/>
                <w:bCs/>
                <w:sz w:val="16"/>
                <w:szCs w:val="16"/>
                <w:lang w:val="es-ES_tradnl" w:eastAsia="es-MX"/>
              </w:rPr>
            </w:pPr>
          </w:p>
        </w:tc>
      </w:tr>
      <w:tr w:rsidR="00856F66" w:rsidRPr="00E31657" w14:paraId="51690947"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A40550"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Realizar 120 investigaciones encuestas y mediciones que permitan consolidar una herramienta de medición de ciudad y cultura para articular a Bogotá con otros centros de pensamiento de Iberoamérica.</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6CAB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101</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0A73B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Fuente propia registro de investigaciones encuestas sondeos y operativos en campo realizados por el observatorio de cultura ciudadana</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06D87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BAA95D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43E9D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6EE3E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B29E5F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12.815.952.726</w:t>
            </w:r>
          </w:p>
        </w:tc>
      </w:tr>
      <w:tr w:rsidR="00856F66" w:rsidRPr="00E31657" w14:paraId="7530B0AF"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4595D7FD"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208BCDAB"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2E5DDAE9"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A3E28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2.986.295.000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737271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3.413.352.427</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E4995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3.145.035.347</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DA961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3.271.269.951</w:t>
            </w:r>
          </w:p>
        </w:tc>
        <w:tc>
          <w:tcPr>
            <w:tcW w:w="628" w:type="pct"/>
            <w:vMerge/>
            <w:tcBorders>
              <w:top w:val="double" w:sz="4" w:space="0" w:color="C00000"/>
              <w:left w:val="double" w:sz="4" w:space="0" w:color="C00000"/>
              <w:bottom w:val="double" w:sz="4" w:space="0" w:color="C00000"/>
            </w:tcBorders>
            <w:vAlign w:val="center"/>
            <w:hideMark/>
          </w:tcPr>
          <w:p w14:paraId="19BCA5C8" w14:textId="77777777" w:rsidR="00856F66" w:rsidRPr="00E31657" w:rsidRDefault="00856F66" w:rsidP="00F35453">
            <w:pPr>
              <w:rPr>
                <w:rFonts w:cs="Arial"/>
                <w:b/>
                <w:bCs/>
                <w:sz w:val="16"/>
                <w:szCs w:val="16"/>
                <w:lang w:val="es-ES_tradnl" w:eastAsia="es-MX"/>
              </w:rPr>
            </w:pPr>
          </w:p>
        </w:tc>
      </w:tr>
      <w:tr w:rsidR="00856F66" w:rsidRPr="00E31657" w14:paraId="4A446348"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7F73144"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 xml:space="preserve">Vincular a 10.000 personas en acciones pedagógicas y de apropiación que fortalezcan la identidad cultural el </w:t>
            </w:r>
            <w:r w:rsidRPr="00E31657">
              <w:rPr>
                <w:rFonts w:cs="Arial"/>
                <w:sz w:val="16"/>
                <w:szCs w:val="16"/>
                <w:lang w:val="es-ES_tradnl" w:eastAsia="es-MX"/>
              </w:rPr>
              <w:lastRenderedPageBreak/>
              <w:t>respeto por las instituciones la confianza y el orgullo por la ciudad</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29FC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5983</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B982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 xml:space="preserve">Fuente propia inscripciones a la escuela de </w:t>
            </w:r>
            <w:r w:rsidRPr="00E31657">
              <w:rPr>
                <w:rFonts w:cs="Arial"/>
                <w:sz w:val="16"/>
                <w:szCs w:val="16"/>
                <w:lang w:val="es-ES_tradnl" w:eastAsia="es-MX"/>
              </w:rPr>
              <w:lastRenderedPageBreak/>
              <w:t>multiplicadores virtual y presencial</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BF42A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2.500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6CEC4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2.500</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B0C03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2.500</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CC1F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6CF503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9.469.671.608</w:t>
            </w:r>
          </w:p>
        </w:tc>
      </w:tr>
      <w:tr w:rsidR="00856F66" w:rsidRPr="00E31657" w14:paraId="4A8636FF"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3CA1A82F"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20BDE38D"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2FCF4ED9"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109E4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2.986.295.000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9482D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1.921.025.243</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6BB69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2.332.344.236</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49767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2.230.007.129</w:t>
            </w:r>
          </w:p>
        </w:tc>
        <w:tc>
          <w:tcPr>
            <w:tcW w:w="628" w:type="pct"/>
            <w:vMerge/>
            <w:tcBorders>
              <w:top w:val="double" w:sz="4" w:space="0" w:color="C00000"/>
              <w:left w:val="double" w:sz="4" w:space="0" w:color="C00000"/>
              <w:bottom w:val="double" w:sz="4" w:space="0" w:color="C00000"/>
            </w:tcBorders>
            <w:vAlign w:val="center"/>
            <w:hideMark/>
          </w:tcPr>
          <w:p w14:paraId="23533789" w14:textId="77777777" w:rsidR="00856F66" w:rsidRPr="00E31657" w:rsidRDefault="00856F66" w:rsidP="00F35453">
            <w:pPr>
              <w:rPr>
                <w:rFonts w:cs="Arial"/>
                <w:b/>
                <w:bCs/>
                <w:sz w:val="16"/>
                <w:szCs w:val="16"/>
                <w:lang w:val="es-ES_tradnl" w:eastAsia="es-MX"/>
              </w:rPr>
            </w:pPr>
          </w:p>
        </w:tc>
      </w:tr>
      <w:tr w:rsidR="00856F66" w:rsidRPr="00E31657" w14:paraId="7202CA3E" w14:textId="77777777" w:rsidTr="008C71EB">
        <w:trPr>
          <w:trHeight w:val="20"/>
        </w:trPr>
        <w:tc>
          <w:tcPr>
            <w:tcW w:w="5000" w:type="pct"/>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9F89F45" w14:textId="77777777" w:rsidR="00856F66" w:rsidRPr="00E31657" w:rsidRDefault="00856F66" w:rsidP="00DE3C42">
            <w:pPr>
              <w:pStyle w:val="Ttulo"/>
              <w:jc w:val="center"/>
              <w:rPr>
                <w:lang w:val="es-ES_tradnl"/>
              </w:rPr>
            </w:pPr>
            <w:r w:rsidRPr="00DE3C42">
              <w:rPr>
                <w:rFonts w:ascii="Candara" w:eastAsia="Times New Roman" w:hAnsi="Candara"/>
                <w:b/>
                <w:bCs/>
                <w:color w:val="FFFFFF" w:themeColor="background1"/>
                <w:sz w:val="24"/>
                <w:szCs w:val="24"/>
                <w:lang w:val="es-ES_tradnl" w:eastAsia="es-MX"/>
              </w:rPr>
              <w:t>Gobierno</w:t>
            </w:r>
          </w:p>
        </w:tc>
      </w:tr>
      <w:tr w:rsidR="00856F66" w:rsidRPr="00E31657" w14:paraId="5B2D2EA1"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15A4DB"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Fortalecer un (1) programa de atención integral en el marco del diálogo social a situaciones de convivencia y conflictividad social en Bogotá.</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625AF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48CE3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 SDG</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1BB99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0,10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ABDD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0,25</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4E02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0,25</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D4936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0,40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82694F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36.921.454.190</w:t>
            </w:r>
          </w:p>
        </w:tc>
      </w:tr>
      <w:tr w:rsidR="00856F66" w:rsidRPr="00E31657" w14:paraId="081F47B7"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6F62B618"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38F0AE3B"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0458DC7D"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0F4CB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3.799.000.000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FF409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11.650.485.437</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5D52C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11.405.410.501</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3D23B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10.066.558.253</w:t>
            </w:r>
          </w:p>
        </w:tc>
        <w:tc>
          <w:tcPr>
            <w:tcW w:w="628" w:type="pct"/>
            <w:vMerge/>
            <w:tcBorders>
              <w:top w:val="double" w:sz="4" w:space="0" w:color="C00000"/>
              <w:left w:val="double" w:sz="4" w:space="0" w:color="C00000"/>
              <w:bottom w:val="double" w:sz="4" w:space="0" w:color="C00000"/>
            </w:tcBorders>
            <w:vAlign w:val="center"/>
            <w:hideMark/>
          </w:tcPr>
          <w:p w14:paraId="6B8FD65B" w14:textId="77777777" w:rsidR="00856F66" w:rsidRPr="00E31657" w:rsidRDefault="00856F66" w:rsidP="00F35453">
            <w:pPr>
              <w:rPr>
                <w:rFonts w:cs="Arial"/>
                <w:b/>
                <w:bCs/>
                <w:sz w:val="16"/>
                <w:szCs w:val="16"/>
                <w:lang w:val="es-ES_tradnl" w:eastAsia="es-MX"/>
              </w:rPr>
            </w:pPr>
          </w:p>
        </w:tc>
      </w:tr>
      <w:tr w:rsidR="00856F66" w:rsidRPr="00E31657" w14:paraId="3F46E7BE"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0EE543"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Fortalecer un (1) programa para el fomento de la cultura ciudadana la convivencia y la prevención de las violencias asociadas al fútbol</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7E148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E5788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 SDG</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4E6AF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0,10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6AC3A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0,25</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E188E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0,25</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4EFE7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0,40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383B86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3.319.526.524</w:t>
            </w:r>
          </w:p>
        </w:tc>
      </w:tr>
      <w:tr w:rsidR="00856F66" w:rsidRPr="00E31657" w14:paraId="24DFB38B"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1E353C11"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7B4E1C0F"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7E975B04"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8B942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380.000.000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BE6A3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970.873.786</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FD8A9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980.299.745</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BB593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988.352.992</w:t>
            </w:r>
          </w:p>
        </w:tc>
        <w:tc>
          <w:tcPr>
            <w:tcW w:w="628" w:type="pct"/>
            <w:vMerge/>
            <w:tcBorders>
              <w:top w:val="double" w:sz="4" w:space="0" w:color="C00000"/>
              <w:left w:val="double" w:sz="4" w:space="0" w:color="C00000"/>
              <w:bottom w:val="double" w:sz="4" w:space="0" w:color="C00000"/>
            </w:tcBorders>
            <w:vAlign w:val="center"/>
            <w:hideMark/>
          </w:tcPr>
          <w:p w14:paraId="165A64F4" w14:textId="77777777" w:rsidR="00856F66" w:rsidRPr="00E31657" w:rsidRDefault="00856F66" w:rsidP="00F35453">
            <w:pPr>
              <w:rPr>
                <w:rFonts w:cs="Arial"/>
                <w:b/>
                <w:bCs/>
                <w:sz w:val="16"/>
                <w:szCs w:val="16"/>
                <w:lang w:val="es-ES_tradnl" w:eastAsia="es-MX"/>
              </w:rPr>
            </w:pPr>
          </w:p>
        </w:tc>
      </w:tr>
      <w:tr w:rsidR="00856F66" w:rsidRPr="00E31657" w14:paraId="03A5C154"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F7993D"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Proferir 1.608.200 fallos de fondo en primera instancia de los expedientes de policía por comportamientos contrarios a la convivencia en el marco del Código Nacional de Seguridad y Convivencia Ciudadana</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BE866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 xml:space="preserve">1.205.463 </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374E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Aplicativo ARCO</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C77A3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A9788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263.780</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81FBB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544.016</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A223B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750.404</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041494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141.465.014.165</w:t>
            </w:r>
          </w:p>
        </w:tc>
      </w:tr>
      <w:tr w:rsidR="00856F66" w:rsidRPr="00E31657" w14:paraId="5C38D69A"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08F66965"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7035EBCE"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5FA42CCE"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57B52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1.489.589.423</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CC61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28.291.514.589</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CE9D0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43.041.239.803</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6BCC3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68.642.670.350</w:t>
            </w:r>
          </w:p>
        </w:tc>
        <w:tc>
          <w:tcPr>
            <w:tcW w:w="628" w:type="pct"/>
            <w:vMerge/>
            <w:tcBorders>
              <w:top w:val="double" w:sz="4" w:space="0" w:color="C00000"/>
              <w:left w:val="double" w:sz="4" w:space="0" w:color="C00000"/>
              <w:bottom w:val="double" w:sz="4" w:space="0" w:color="C00000"/>
            </w:tcBorders>
            <w:vAlign w:val="center"/>
            <w:hideMark/>
          </w:tcPr>
          <w:p w14:paraId="35857727" w14:textId="77777777" w:rsidR="00856F66" w:rsidRPr="00E31657" w:rsidRDefault="00856F66" w:rsidP="00F35453">
            <w:pPr>
              <w:rPr>
                <w:rFonts w:cs="Arial"/>
                <w:b/>
                <w:bCs/>
                <w:sz w:val="16"/>
                <w:szCs w:val="16"/>
                <w:lang w:val="es-ES_tradnl" w:eastAsia="es-MX"/>
              </w:rPr>
            </w:pPr>
          </w:p>
        </w:tc>
      </w:tr>
      <w:tr w:rsidR="00856F66" w:rsidRPr="00E31657" w14:paraId="57C17022" w14:textId="77777777" w:rsidTr="008C71EB">
        <w:trPr>
          <w:trHeight w:val="20"/>
        </w:trPr>
        <w:tc>
          <w:tcPr>
            <w:tcW w:w="5000" w:type="pct"/>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B8DBE12" w14:textId="77777777" w:rsidR="00856F66" w:rsidRPr="00DE3C42" w:rsidRDefault="00856F66" w:rsidP="00DE3C42">
            <w:pPr>
              <w:pStyle w:val="Ttulo"/>
              <w:jc w:val="center"/>
              <w:rPr>
                <w:rFonts w:ascii="Candara" w:eastAsia="Times New Roman" w:hAnsi="Candara"/>
                <w:b/>
                <w:bCs/>
                <w:color w:val="FFFFFF" w:themeColor="background1"/>
                <w:sz w:val="24"/>
                <w:szCs w:val="24"/>
                <w:lang w:val="es-ES_tradnl" w:eastAsia="es-MX"/>
              </w:rPr>
            </w:pPr>
            <w:r w:rsidRPr="00DE3C42">
              <w:rPr>
                <w:rFonts w:ascii="Candara" w:eastAsia="Times New Roman" w:hAnsi="Candara"/>
                <w:b/>
                <w:bCs/>
                <w:color w:val="FFFFFF" w:themeColor="background1"/>
                <w:sz w:val="24"/>
                <w:szCs w:val="24"/>
                <w:lang w:val="es-ES_tradnl" w:eastAsia="es-MX"/>
              </w:rPr>
              <w:t>Seguridad convivencia y justicia</w:t>
            </w:r>
          </w:p>
        </w:tc>
      </w:tr>
      <w:tr w:rsidR="00856F66" w:rsidRPr="00E31657" w14:paraId="1F1760C7"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F7C003"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Desarrollar el Sistema Distrital de aplicación del Código Nacional de Seguridad y Convivencia Ciudadana</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8E100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08B2D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C15F4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70449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300</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031D2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300</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816C8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450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72C71D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14.523.633.010</w:t>
            </w:r>
          </w:p>
        </w:tc>
      </w:tr>
      <w:tr w:rsidR="00856F66" w:rsidRPr="00E31657" w14:paraId="20B5A97D"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5EE883D0"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1915B462"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70B5C3B4"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21C1C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2.125.056.000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13029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4.147.270.874</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5685B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4.132.717.504</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55705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4.118.588.632</w:t>
            </w:r>
          </w:p>
        </w:tc>
        <w:tc>
          <w:tcPr>
            <w:tcW w:w="628" w:type="pct"/>
            <w:vMerge/>
            <w:tcBorders>
              <w:top w:val="double" w:sz="4" w:space="0" w:color="C00000"/>
              <w:left w:val="double" w:sz="4" w:space="0" w:color="C00000"/>
              <w:bottom w:val="double" w:sz="4" w:space="0" w:color="C00000"/>
            </w:tcBorders>
            <w:vAlign w:val="center"/>
            <w:hideMark/>
          </w:tcPr>
          <w:p w14:paraId="60C28002" w14:textId="77777777" w:rsidR="00856F66" w:rsidRPr="00E31657" w:rsidRDefault="00856F66" w:rsidP="00F35453">
            <w:pPr>
              <w:rPr>
                <w:rFonts w:cs="Arial"/>
                <w:b/>
                <w:bCs/>
                <w:sz w:val="16"/>
                <w:szCs w:val="16"/>
                <w:lang w:val="es-ES_tradnl" w:eastAsia="es-MX"/>
              </w:rPr>
            </w:pPr>
          </w:p>
        </w:tc>
      </w:tr>
      <w:tr w:rsidR="00856F66" w:rsidRPr="00E31657" w14:paraId="636F96C1"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33F54D"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Implementar un (1) plan para la prevención y mitigación de factores de riesgo que favorecen la ocurrencia de violencias y delitos contra poblaciones vulnerables</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56837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FDFC5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SDG</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C6717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FBD6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6A22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ADC21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8FB802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51.496.485.208</w:t>
            </w:r>
          </w:p>
        </w:tc>
      </w:tr>
      <w:tr w:rsidR="00856F66" w:rsidRPr="00E31657" w14:paraId="508BDC66"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4AF75470" w14:textId="77777777" w:rsidR="00856F66" w:rsidRPr="00E31657" w:rsidRDefault="00856F66" w:rsidP="00D00932">
            <w:pPr>
              <w:jc w:val="right"/>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0D6F1CDD"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7AB30B65"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C91BF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8.625.688.000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430A1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14.106.279.612</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E68D5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14.282.339.523</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C80D0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14.482.178.074</w:t>
            </w:r>
          </w:p>
        </w:tc>
        <w:tc>
          <w:tcPr>
            <w:tcW w:w="628" w:type="pct"/>
            <w:vMerge/>
            <w:tcBorders>
              <w:top w:val="double" w:sz="4" w:space="0" w:color="C00000"/>
              <w:left w:val="double" w:sz="4" w:space="0" w:color="C00000"/>
              <w:bottom w:val="double" w:sz="4" w:space="0" w:color="C00000"/>
            </w:tcBorders>
            <w:vAlign w:val="center"/>
            <w:hideMark/>
          </w:tcPr>
          <w:p w14:paraId="5DA9A781" w14:textId="77777777" w:rsidR="00856F66" w:rsidRPr="00E31657" w:rsidRDefault="00856F66" w:rsidP="00F35453">
            <w:pPr>
              <w:rPr>
                <w:rFonts w:cs="Arial"/>
                <w:b/>
                <w:bCs/>
                <w:sz w:val="16"/>
                <w:szCs w:val="16"/>
                <w:lang w:val="es-ES_tradnl" w:eastAsia="es-MX"/>
              </w:rPr>
            </w:pPr>
          </w:p>
        </w:tc>
      </w:tr>
      <w:tr w:rsidR="00856F66" w:rsidRPr="00E31657" w14:paraId="2F18FFC7" w14:textId="77777777" w:rsidTr="00F974BB">
        <w:trPr>
          <w:gridAfter w:val="1"/>
          <w:wAfter w:w="9" w:type="pct"/>
          <w:trHeight w:val="20"/>
        </w:trPr>
        <w:tc>
          <w:tcPr>
            <w:tcW w:w="912"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931B69"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 xml:space="preserve">Incrementar los espacios transformados </w:t>
            </w:r>
            <w:r w:rsidRPr="00E31657">
              <w:rPr>
                <w:rFonts w:cs="Arial"/>
                <w:sz w:val="16"/>
                <w:szCs w:val="16"/>
                <w:lang w:val="es-ES_tradnl" w:eastAsia="es-MX"/>
              </w:rPr>
              <w:lastRenderedPageBreak/>
              <w:t>conjuntamente con las instituciones de seguridad justicia gobierno distrital sector privado y ciudadanía</w:t>
            </w:r>
          </w:p>
        </w:tc>
        <w:tc>
          <w:tcPr>
            <w:tcW w:w="30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8F434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50%</w:t>
            </w:r>
            <w:r w:rsidRPr="00E31657">
              <w:rPr>
                <w:rFonts w:cs="Arial"/>
                <w:sz w:val="16"/>
                <w:szCs w:val="16"/>
                <w:lang w:val="es-ES_tradnl" w:eastAsia="es-MX"/>
              </w:rPr>
              <w:br/>
              <w:t>(2023)</w:t>
            </w:r>
          </w:p>
        </w:tc>
        <w:tc>
          <w:tcPr>
            <w:tcW w:w="61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14636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36BFF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0,50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6E194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0,70</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CC9BE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0,90</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84F4A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628"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6AABCC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76.828.474.322</w:t>
            </w:r>
          </w:p>
        </w:tc>
      </w:tr>
      <w:tr w:rsidR="00856F66" w:rsidRPr="00E31657" w14:paraId="62A828D4" w14:textId="77777777" w:rsidTr="00F974BB">
        <w:trPr>
          <w:gridAfter w:val="1"/>
          <w:wAfter w:w="9" w:type="pct"/>
          <w:trHeight w:val="20"/>
        </w:trPr>
        <w:tc>
          <w:tcPr>
            <w:tcW w:w="912" w:type="pct"/>
            <w:vMerge/>
            <w:tcBorders>
              <w:top w:val="double" w:sz="4" w:space="0" w:color="C00000"/>
              <w:bottom w:val="double" w:sz="4" w:space="0" w:color="C00000"/>
              <w:right w:val="double" w:sz="4" w:space="0" w:color="C00000"/>
            </w:tcBorders>
            <w:vAlign w:val="center"/>
            <w:hideMark/>
          </w:tcPr>
          <w:p w14:paraId="6D1934D4" w14:textId="77777777" w:rsidR="00856F66" w:rsidRPr="00E31657" w:rsidRDefault="00856F66" w:rsidP="00F35453">
            <w:pPr>
              <w:rPr>
                <w:rFonts w:cs="Arial"/>
                <w:sz w:val="16"/>
                <w:szCs w:val="16"/>
                <w:lang w:val="es-ES_tradnl" w:eastAsia="es-MX"/>
              </w:rPr>
            </w:pPr>
          </w:p>
        </w:tc>
        <w:tc>
          <w:tcPr>
            <w:tcW w:w="306" w:type="pct"/>
            <w:vMerge/>
            <w:tcBorders>
              <w:top w:val="double" w:sz="4" w:space="0" w:color="C00000"/>
              <w:left w:val="double" w:sz="4" w:space="0" w:color="C00000"/>
              <w:bottom w:val="double" w:sz="4" w:space="0" w:color="C00000"/>
              <w:right w:val="double" w:sz="4" w:space="0" w:color="C00000"/>
            </w:tcBorders>
            <w:vAlign w:val="center"/>
            <w:hideMark/>
          </w:tcPr>
          <w:p w14:paraId="7B0CAA6A" w14:textId="77777777" w:rsidR="00856F66" w:rsidRPr="00E31657" w:rsidRDefault="00856F66" w:rsidP="00F35453">
            <w:pPr>
              <w:rPr>
                <w:rFonts w:cs="Arial"/>
                <w:sz w:val="16"/>
                <w:szCs w:val="16"/>
                <w:lang w:val="es-ES_tradnl" w:eastAsia="es-MX"/>
              </w:rPr>
            </w:pPr>
          </w:p>
        </w:tc>
        <w:tc>
          <w:tcPr>
            <w:tcW w:w="610" w:type="pct"/>
            <w:vMerge/>
            <w:tcBorders>
              <w:top w:val="double" w:sz="4" w:space="0" w:color="C00000"/>
              <w:left w:val="double" w:sz="4" w:space="0" w:color="C00000"/>
              <w:bottom w:val="double" w:sz="4" w:space="0" w:color="C00000"/>
              <w:right w:val="double" w:sz="4" w:space="0" w:color="C00000"/>
            </w:tcBorders>
            <w:vAlign w:val="center"/>
            <w:hideMark/>
          </w:tcPr>
          <w:p w14:paraId="2FF29906" w14:textId="77777777" w:rsidR="00856F66" w:rsidRPr="00E31657" w:rsidRDefault="00856F66" w:rsidP="00F35453">
            <w:pPr>
              <w:rPr>
                <w:rFonts w:cs="Arial"/>
                <w:sz w:val="16"/>
                <w:szCs w:val="16"/>
                <w:lang w:val="es-ES_tradnl" w:eastAsia="es-MX"/>
              </w:rPr>
            </w:pPr>
          </w:p>
        </w:tc>
        <w:tc>
          <w:tcPr>
            <w:tcW w:w="626"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E5400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16.989.784.000</w:t>
            </w:r>
          </w:p>
        </w:tc>
        <w:tc>
          <w:tcPr>
            <w:tcW w:w="62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D696B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19.372.436.893</w:t>
            </w:r>
          </w:p>
        </w:tc>
        <w:tc>
          <w:tcPr>
            <w:tcW w:w="63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602D6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20.388.497.502</w:t>
            </w:r>
          </w:p>
        </w:tc>
        <w:tc>
          <w:tcPr>
            <w:tcW w:w="64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BB13E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20.077.755.926</w:t>
            </w:r>
          </w:p>
        </w:tc>
        <w:tc>
          <w:tcPr>
            <w:tcW w:w="628" w:type="pct"/>
            <w:vMerge/>
            <w:tcBorders>
              <w:top w:val="double" w:sz="4" w:space="0" w:color="C00000"/>
              <w:left w:val="double" w:sz="4" w:space="0" w:color="C00000"/>
              <w:bottom w:val="double" w:sz="4" w:space="0" w:color="C00000"/>
            </w:tcBorders>
            <w:vAlign w:val="center"/>
            <w:hideMark/>
          </w:tcPr>
          <w:p w14:paraId="03F82B77" w14:textId="77777777" w:rsidR="00856F66" w:rsidRPr="00E31657" w:rsidRDefault="00856F66" w:rsidP="00F35453">
            <w:pPr>
              <w:rPr>
                <w:rFonts w:cs="Arial"/>
                <w:b/>
                <w:bCs/>
                <w:sz w:val="16"/>
                <w:szCs w:val="16"/>
                <w:lang w:val="es-ES_tradnl" w:eastAsia="es-MX"/>
              </w:rPr>
            </w:pPr>
          </w:p>
        </w:tc>
      </w:tr>
    </w:tbl>
    <w:p w14:paraId="03D2D366" w14:textId="77777777" w:rsidR="00856F66" w:rsidRDefault="00856F66">
      <w:pPr>
        <w:rPr>
          <w:sz w:val="16"/>
          <w:szCs w:val="16"/>
          <w:lang w:val="es-ES_tradnl"/>
        </w:rPr>
      </w:pPr>
    </w:p>
    <w:p w14:paraId="30753965" w14:textId="77777777" w:rsidR="00856F66" w:rsidRDefault="00856F66">
      <w:pPr>
        <w:rPr>
          <w:sz w:val="16"/>
          <w:szCs w:val="16"/>
          <w:lang w:val="es-ES_tradnl"/>
        </w:rPr>
      </w:pPr>
    </w:p>
    <w:tbl>
      <w:tblPr>
        <w:tblW w:w="5000" w:type="pct"/>
        <w:tblCellMar>
          <w:left w:w="0" w:type="dxa"/>
          <w:right w:w="0" w:type="dxa"/>
        </w:tblCellMar>
        <w:tblLook w:val="04A0" w:firstRow="1" w:lastRow="0" w:firstColumn="1" w:lastColumn="0" w:noHBand="0" w:noVBand="1"/>
      </w:tblPr>
      <w:tblGrid>
        <w:gridCol w:w="1804"/>
        <w:gridCol w:w="517"/>
        <w:gridCol w:w="10"/>
        <w:gridCol w:w="555"/>
        <w:gridCol w:w="462"/>
        <w:gridCol w:w="593"/>
        <w:gridCol w:w="156"/>
        <w:gridCol w:w="946"/>
        <w:gridCol w:w="385"/>
        <w:gridCol w:w="644"/>
        <w:gridCol w:w="683"/>
        <w:gridCol w:w="412"/>
        <w:gridCol w:w="888"/>
        <w:gridCol w:w="199"/>
        <w:gridCol w:w="1106"/>
      </w:tblGrid>
      <w:tr w:rsidR="00856F66" w:rsidRPr="00E31657" w14:paraId="3A93176A" w14:textId="77777777" w:rsidTr="00040CFF">
        <w:trPr>
          <w:trHeight w:val="315"/>
        </w:trPr>
        <w:tc>
          <w:tcPr>
            <w:tcW w:w="5000" w:type="pct"/>
            <w:gridSpan w:val="15"/>
            <w:tcBorders>
              <w:bottom w:val="double" w:sz="4" w:space="0" w:color="C00000"/>
            </w:tcBorders>
            <w:tcMar>
              <w:top w:w="30" w:type="dxa"/>
              <w:left w:w="45" w:type="dxa"/>
              <w:bottom w:w="30" w:type="dxa"/>
              <w:right w:w="45" w:type="dxa"/>
            </w:tcMar>
            <w:vAlign w:val="center"/>
            <w:hideMark/>
          </w:tcPr>
          <w:p w14:paraId="1C27B68E" w14:textId="77777777" w:rsidR="00856F66" w:rsidRPr="00DE3C42" w:rsidRDefault="00856F66" w:rsidP="00DE3C42">
            <w:pPr>
              <w:pStyle w:val="Ttulo"/>
              <w:jc w:val="center"/>
              <w:rPr>
                <w:rFonts w:ascii="Candara" w:eastAsia="Times New Roman" w:hAnsi="Candara"/>
                <w:b/>
                <w:bCs/>
                <w:sz w:val="24"/>
                <w:szCs w:val="24"/>
                <w:lang w:val="es-ES_tradnl" w:eastAsia="es-MX"/>
              </w:rPr>
            </w:pPr>
            <w:r w:rsidRPr="006E34FC">
              <w:rPr>
                <w:rFonts w:ascii="Candara" w:eastAsia="Times New Roman" w:hAnsi="Candara"/>
                <w:b/>
                <w:bCs/>
                <w:color w:val="C00000"/>
                <w:sz w:val="22"/>
                <w:szCs w:val="22"/>
                <w:lang w:val="es-ES_tradnl" w:eastAsia="es-MX"/>
              </w:rPr>
              <w:t>Programa 2.</w:t>
            </w:r>
            <w:r w:rsidRPr="006E34FC">
              <w:rPr>
                <w:rFonts w:ascii="Candara" w:eastAsia="Times New Roman" w:hAnsi="Candara"/>
                <w:bCs/>
                <w:color w:val="C00000"/>
                <w:sz w:val="22"/>
                <w:szCs w:val="22"/>
                <w:lang w:val="es-ES_tradnl" w:eastAsia="es-MX"/>
              </w:rPr>
              <w:t xml:space="preserve"> </w:t>
            </w:r>
            <w:r w:rsidRPr="006E34FC">
              <w:rPr>
                <w:rFonts w:ascii="Candara" w:eastAsia="Times New Roman" w:hAnsi="Candara"/>
                <w:bCs/>
                <w:sz w:val="22"/>
                <w:szCs w:val="22"/>
                <w:lang w:val="es-ES_tradnl" w:eastAsia="es-MX"/>
              </w:rPr>
              <w:t>Cero tolerancia a las violencias contra las mujeres y basadas en género</w:t>
            </w:r>
          </w:p>
        </w:tc>
      </w:tr>
      <w:tr w:rsidR="00856F66" w:rsidRPr="00E31657" w14:paraId="06425475" w14:textId="77777777" w:rsidTr="00F974BB">
        <w:trPr>
          <w:trHeight w:val="765"/>
        </w:trPr>
        <w:tc>
          <w:tcPr>
            <w:tcW w:w="1354" w:type="pct"/>
            <w:gridSpan w:val="3"/>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37F60F55" w14:textId="15B7CA46" w:rsidR="00856F66" w:rsidRPr="00E31657" w:rsidRDefault="00DE3C42" w:rsidP="00DE3C42">
            <w:pPr>
              <w:pStyle w:val="Ttulo"/>
              <w:jc w:val="center"/>
              <w:rPr>
                <w:lang w:val="es-ES_tradnl"/>
              </w:rPr>
            </w:pPr>
            <w:r w:rsidRPr="00DE3C42">
              <w:rPr>
                <w:rFonts w:ascii="Candara" w:eastAsia="Times New Roman" w:hAnsi="Candara"/>
                <w:b/>
                <w:bCs/>
                <w:color w:val="FFFFFF" w:themeColor="background1"/>
                <w:sz w:val="24"/>
                <w:szCs w:val="24"/>
                <w:lang w:val="es-ES_tradnl" w:eastAsia="es-MX"/>
              </w:rPr>
              <w:t>Sector / Metas</w:t>
            </w:r>
          </w:p>
        </w:tc>
        <w:tc>
          <w:tcPr>
            <w:tcW w:w="3646" w:type="pct"/>
            <w:gridSpan w:val="12"/>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75B6F0D7" w14:textId="77777777" w:rsidR="00856F66" w:rsidRPr="00E31657" w:rsidRDefault="00856F66" w:rsidP="00DE3C42">
            <w:pPr>
              <w:pStyle w:val="Ttulo"/>
              <w:jc w:val="center"/>
              <w:rPr>
                <w:lang w:val="es-ES_tradnl"/>
              </w:rPr>
            </w:pPr>
            <w:r w:rsidRPr="00DE3C42">
              <w:rPr>
                <w:rFonts w:ascii="Candara" w:eastAsia="Times New Roman" w:hAnsi="Candara"/>
                <w:b/>
                <w:bCs/>
                <w:color w:val="FFFFFF" w:themeColor="background1"/>
                <w:sz w:val="24"/>
                <w:szCs w:val="24"/>
                <w:lang w:val="es-ES_tradnl" w:eastAsia="es-MX"/>
              </w:rPr>
              <w:t xml:space="preserve">Magnitudes e Inversión </w:t>
            </w:r>
            <w:r w:rsidRPr="00DE3C42">
              <w:rPr>
                <w:rFonts w:ascii="Candara" w:eastAsia="Times New Roman" w:hAnsi="Candara"/>
                <w:b/>
                <w:bCs/>
                <w:color w:val="FFFFFF" w:themeColor="background1"/>
                <w:sz w:val="24"/>
                <w:szCs w:val="24"/>
                <w:lang w:val="es-ES_tradnl" w:eastAsia="es-MX"/>
              </w:rPr>
              <w:br/>
              <w:t>(Precios Constantes 2024)</w:t>
            </w:r>
          </w:p>
        </w:tc>
      </w:tr>
      <w:tr w:rsidR="00856F66" w:rsidRPr="00E31657" w14:paraId="595C4702" w14:textId="77777777" w:rsidTr="00F974BB">
        <w:trPr>
          <w:trHeight w:val="315"/>
        </w:trPr>
        <w:tc>
          <w:tcPr>
            <w:tcW w:w="1354" w:type="pct"/>
            <w:gridSpan w:val="3"/>
            <w:vMerge/>
            <w:tcBorders>
              <w:top w:val="double" w:sz="4" w:space="0" w:color="C00000"/>
              <w:bottom w:val="double" w:sz="4" w:space="0" w:color="C00000"/>
              <w:right w:val="double" w:sz="4" w:space="0" w:color="C00000"/>
            </w:tcBorders>
            <w:vAlign w:val="center"/>
            <w:hideMark/>
          </w:tcPr>
          <w:p w14:paraId="39AEB2CB" w14:textId="77777777" w:rsidR="00856F66" w:rsidRPr="00E31657" w:rsidRDefault="00856F66" w:rsidP="00F35453">
            <w:pPr>
              <w:rPr>
                <w:rFonts w:cs="Arial"/>
                <w:b/>
                <w:bCs/>
                <w:color w:val="FFFFFF"/>
                <w:sz w:val="16"/>
                <w:szCs w:val="16"/>
                <w:lang w:val="es-ES_tradnl" w:eastAsia="es-MX"/>
              </w:rPr>
            </w:pPr>
          </w:p>
        </w:tc>
        <w:tc>
          <w:tcPr>
            <w:tcW w:w="592"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E0DE89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336"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6A1CB30"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53"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7FCEFE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516"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D8BD69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549"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8B54E9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545"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E9556A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555" w:type="pct"/>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222AA72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25B6D5FD" w14:textId="77777777" w:rsidTr="00040CFF">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41CF384" w14:textId="77777777" w:rsidR="00856F66" w:rsidRPr="00E31657" w:rsidRDefault="00856F66" w:rsidP="00DE3C42">
            <w:pPr>
              <w:pStyle w:val="Ttulo"/>
              <w:jc w:val="center"/>
              <w:rPr>
                <w:lang w:val="es-ES_tradnl"/>
              </w:rPr>
            </w:pPr>
            <w:r w:rsidRPr="00DE3C42">
              <w:rPr>
                <w:rFonts w:ascii="Candara" w:eastAsia="Times New Roman" w:hAnsi="Candara"/>
                <w:b/>
                <w:bCs/>
                <w:color w:val="FFFFFF" w:themeColor="background1"/>
                <w:sz w:val="24"/>
                <w:szCs w:val="24"/>
                <w:lang w:val="es-ES_tradnl" w:eastAsia="es-MX"/>
              </w:rPr>
              <w:t>Mujer</w:t>
            </w:r>
          </w:p>
        </w:tc>
      </w:tr>
      <w:tr w:rsidR="00856F66" w:rsidRPr="00E31657" w14:paraId="4C478CC7" w14:textId="77777777" w:rsidTr="00F974BB">
        <w:trPr>
          <w:trHeight w:val="315"/>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3C05E0"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t>Asegurar que el 100% de los casos de representación jurídica ejercida por la SDMUJER que requieran servicios de psicología forense y acompañamiento psicosocial accedan a los mismos</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BA60B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0.54</w:t>
            </w:r>
            <w:r w:rsidRPr="00E31657">
              <w:rPr>
                <w:rFonts w:cs="Arial"/>
                <w:sz w:val="16"/>
                <w:szCs w:val="16"/>
                <w:lang w:val="es-ES_tradnl" w:eastAsia="es-MX"/>
              </w:rPr>
              <w:br/>
              <w:t>(2023)</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1CBC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SDMujer</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849F8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0,5</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E9C7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8BEDB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2B0E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BC8AAA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20.526.119.197</w:t>
            </w:r>
          </w:p>
        </w:tc>
      </w:tr>
      <w:tr w:rsidR="00856F66" w:rsidRPr="00E31657" w14:paraId="5E0849A4" w14:textId="77777777" w:rsidTr="00F974BB">
        <w:trPr>
          <w:trHeight w:val="315"/>
        </w:trPr>
        <w:tc>
          <w:tcPr>
            <w:tcW w:w="1354" w:type="pct"/>
            <w:gridSpan w:val="3"/>
            <w:vMerge/>
            <w:tcBorders>
              <w:top w:val="double" w:sz="4" w:space="0" w:color="C00000"/>
              <w:bottom w:val="double" w:sz="4" w:space="0" w:color="C00000"/>
              <w:right w:val="double" w:sz="4" w:space="0" w:color="C00000"/>
            </w:tcBorders>
            <w:vAlign w:val="center"/>
            <w:hideMark/>
          </w:tcPr>
          <w:p w14:paraId="6FF08C66" w14:textId="77777777" w:rsidR="00856F66" w:rsidRPr="00E31657" w:rsidRDefault="00856F66" w:rsidP="008C71EB">
            <w:pPr>
              <w:jc w:val="right"/>
              <w:rPr>
                <w:rFonts w:cs="Arial"/>
                <w:sz w:val="16"/>
                <w:szCs w:val="16"/>
                <w:lang w:val="es-ES_tradnl" w:eastAsia="es-MX"/>
              </w:rPr>
            </w:pPr>
          </w:p>
        </w:tc>
        <w:tc>
          <w:tcPr>
            <w:tcW w:w="592" w:type="pct"/>
            <w:gridSpan w:val="2"/>
            <w:vMerge/>
            <w:tcBorders>
              <w:top w:val="double" w:sz="4" w:space="0" w:color="C00000"/>
              <w:left w:val="double" w:sz="4" w:space="0" w:color="C00000"/>
              <w:bottom w:val="double" w:sz="4" w:space="0" w:color="C00000"/>
              <w:right w:val="double" w:sz="4" w:space="0" w:color="C00000"/>
            </w:tcBorders>
            <w:vAlign w:val="center"/>
            <w:hideMark/>
          </w:tcPr>
          <w:p w14:paraId="7A472AA6"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bottom w:val="double" w:sz="4" w:space="0" w:color="C00000"/>
              <w:right w:val="double" w:sz="4" w:space="0" w:color="C00000"/>
            </w:tcBorders>
            <w:vAlign w:val="center"/>
            <w:hideMark/>
          </w:tcPr>
          <w:p w14:paraId="173C1D6A"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412FC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4.781.149.223</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D25E3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5.082.872.233</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76946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5.255.591.192</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27A3C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5.406.506.548</w:t>
            </w:r>
          </w:p>
        </w:tc>
        <w:tc>
          <w:tcPr>
            <w:tcW w:w="555" w:type="pct"/>
            <w:vMerge/>
            <w:tcBorders>
              <w:top w:val="double" w:sz="4" w:space="0" w:color="C00000"/>
              <w:left w:val="double" w:sz="4" w:space="0" w:color="C00000"/>
              <w:bottom w:val="double" w:sz="4" w:space="0" w:color="C00000"/>
            </w:tcBorders>
            <w:vAlign w:val="center"/>
            <w:hideMark/>
          </w:tcPr>
          <w:p w14:paraId="27C224BE" w14:textId="77777777" w:rsidR="00856F66" w:rsidRPr="00E31657" w:rsidRDefault="00856F66" w:rsidP="00F35453">
            <w:pPr>
              <w:rPr>
                <w:rFonts w:cs="Arial"/>
                <w:b/>
                <w:bCs/>
                <w:sz w:val="16"/>
                <w:szCs w:val="16"/>
                <w:lang w:val="es-ES_tradnl" w:eastAsia="es-MX"/>
              </w:rPr>
            </w:pPr>
          </w:p>
        </w:tc>
      </w:tr>
      <w:tr w:rsidR="00856F66" w:rsidRPr="00E31657" w14:paraId="7E2C483C" w14:textId="77777777" w:rsidTr="00F974BB">
        <w:trPr>
          <w:trHeight w:val="315"/>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FDF064"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t>Aumentar a (22) espacios interinstitucionales los servicios jurídicos y psicosociales dirigidos a mujeres víctimas de violencia fortaleciendo el modelo de ruta integral y la oferta de acompañamiento psico jurídico en los Centros de Atención de Fiscalía y URIs</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FC28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w:t>
            </w:r>
            <w:r w:rsidRPr="00E31657">
              <w:rPr>
                <w:rFonts w:cs="Arial"/>
                <w:sz w:val="16"/>
                <w:szCs w:val="16"/>
                <w:lang w:val="es-ES_tradnl" w:eastAsia="es-MX"/>
              </w:rPr>
              <w:br/>
              <w:t>(2023)</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98B6E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SDMujer</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ADFA2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62D7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FFA1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EA88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F73F28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23.676.639.818</w:t>
            </w:r>
          </w:p>
        </w:tc>
      </w:tr>
      <w:tr w:rsidR="00856F66" w:rsidRPr="00E31657" w14:paraId="27F52666" w14:textId="77777777" w:rsidTr="00F974BB">
        <w:trPr>
          <w:trHeight w:val="315"/>
        </w:trPr>
        <w:tc>
          <w:tcPr>
            <w:tcW w:w="1354" w:type="pct"/>
            <w:gridSpan w:val="3"/>
            <w:vMerge/>
            <w:tcBorders>
              <w:top w:val="double" w:sz="4" w:space="0" w:color="C00000"/>
              <w:bottom w:val="double" w:sz="4" w:space="0" w:color="C00000"/>
              <w:right w:val="double" w:sz="4" w:space="0" w:color="C00000"/>
            </w:tcBorders>
            <w:vAlign w:val="center"/>
            <w:hideMark/>
          </w:tcPr>
          <w:p w14:paraId="03DC172B" w14:textId="77777777" w:rsidR="00856F66" w:rsidRPr="00E31657" w:rsidRDefault="00856F66" w:rsidP="008C71EB">
            <w:pPr>
              <w:jc w:val="right"/>
              <w:rPr>
                <w:rFonts w:cs="Arial"/>
                <w:sz w:val="16"/>
                <w:szCs w:val="16"/>
                <w:lang w:val="es-ES_tradnl" w:eastAsia="es-MX"/>
              </w:rPr>
            </w:pPr>
          </w:p>
        </w:tc>
        <w:tc>
          <w:tcPr>
            <w:tcW w:w="592" w:type="pct"/>
            <w:gridSpan w:val="2"/>
            <w:vMerge/>
            <w:tcBorders>
              <w:top w:val="double" w:sz="4" w:space="0" w:color="C00000"/>
              <w:left w:val="double" w:sz="4" w:space="0" w:color="C00000"/>
              <w:bottom w:val="double" w:sz="4" w:space="0" w:color="C00000"/>
              <w:right w:val="double" w:sz="4" w:space="0" w:color="C00000"/>
            </w:tcBorders>
            <w:vAlign w:val="center"/>
            <w:hideMark/>
          </w:tcPr>
          <w:p w14:paraId="2D71795B"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bottom w:val="double" w:sz="4" w:space="0" w:color="C00000"/>
              <w:right w:val="double" w:sz="4" w:space="0" w:color="C00000"/>
            </w:tcBorders>
            <w:vAlign w:val="center"/>
            <w:hideMark/>
          </w:tcPr>
          <w:p w14:paraId="75495C64"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6A5B5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5.515.000.034</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3F11E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5.863.034.017</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9F1AC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6.062.263.328</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D2CC9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6.236.342.438</w:t>
            </w:r>
          </w:p>
        </w:tc>
        <w:tc>
          <w:tcPr>
            <w:tcW w:w="555" w:type="pct"/>
            <w:vMerge/>
            <w:tcBorders>
              <w:top w:val="double" w:sz="4" w:space="0" w:color="C00000"/>
              <w:left w:val="double" w:sz="4" w:space="0" w:color="C00000"/>
              <w:bottom w:val="double" w:sz="4" w:space="0" w:color="C00000"/>
            </w:tcBorders>
            <w:vAlign w:val="center"/>
            <w:hideMark/>
          </w:tcPr>
          <w:p w14:paraId="0B005CCF" w14:textId="77777777" w:rsidR="00856F66" w:rsidRPr="00E31657" w:rsidRDefault="00856F66" w:rsidP="00F35453">
            <w:pPr>
              <w:rPr>
                <w:rFonts w:cs="Arial"/>
                <w:b/>
                <w:bCs/>
                <w:sz w:val="16"/>
                <w:szCs w:val="16"/>
                <w:lang w:val="es-ES_tradnl" w:eastAsia="es-MX"/>
              </w:rPr>
            </w:pPr>
          </w:p>
        </w:tc>
      </w:tr>
      <w:tr w:rsidR="00856F66" w:rsidRPr="00E31657" w14:paraId="642E501A" w14:textId="77777777" w:rsidTr="00F974BB">
        <w:trPr>
          <w:trHeight w:val="423"/>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CEEF8D"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t>Aumentar a 2 unidades de operación la estrategia Casa de Todas, una sede física y una móvil</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C8953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104FA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SDMujer</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CC4B6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76704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BF6D2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CA4A1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C88B90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9.260.621.219</w:t>
            </w:r>
          </w:p>
        </w:tc>
      </w:tr>
      <w:tr w:rsidR="00856F66" w:rsidRPr="00E31657" w14:paraId="53023AF1" w14:textId="77777777" w:rsidTr="00F974BB">
        <w:trPr>
          <w:trHeight w:val="25"/>
        </w:trPr>
        <w:tc>
          <w:tcPr>
            <w:tcW w:w="1354" w:type="pct"/>
            <w:gridSpan w:val="3"/>
            <w:vMerge/>
            <w:tcBorders>
              <w:top w:val="double" w:sz="4" w:space="0" w:color="C00000"/>
              <w:bottom w:val="double" w:sz="4" w:space="0" w:color="C00000"/>
              <w:right w:val="double" w:sz="4" w:space="0" w:color="C00000"/>
            </w:tcBorders>
            <w:vAlign w:val="center"/>
            <w:hideMark/>
          </w:tcPr>
          <w:p w14:paraId="5FC3CF22" w14:textId="77777777" w:rsidR="00856F66" w:rsidRPr="00E31657" w:rsidRDefault="00856F66" w:rsidP="008C71EB">
            <w:pPr>
              <w:jc w:val="right"/>
              <w:rPr>
                <w:rFonts w:cs="Arial"/>
                <w:sz w:val="16"/>
                <w:szCs w:val="16"/>
                <w:lang w:val="es-ES_tradnl" w:eastAsia="es-MX"/>
              </w:rPr>
            </w:pPr>
          </w:p>
        </w:tc>
        <w:tc>
          <w:tcPr>
            <w:tcW w:w="592" w:type="pct"/>
            <w:gridSpan w:val="2"/>
            <w:vMerge/>
            <w:tcBorders>
              <w:top w:val="double" w:sz="4" w:space="0" w:color="C00000"/>
              <w:left w:val="double" w:sz="4" w:space="0" w:color="C00000"/>
              <w:bottom w:val="double" w:sz="4" w:space="0" w:color="C00000"/>
              <w:right w:val="double" w:sz="4" w:space="0" w:color="C00000"/>
            </w:tcBorders>
            <w:vAlign w:val="center"/>
            <w:hideMark/>
          </w:tcPr>
          <w:p w14:paraId="75EE3572"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bottom w:val="double" w:sz="4" w:space="0" w:color="C00000"/>
              <w:right w:val="double" w:sz="4" w:space="0" w:color="C00000"/>
            </w:tcBorders>
            <w:vAlign w:val="center"/>
            <w:hideMark/>
          </w:tcPr>
          <w:p w14:paraId="4E855E69"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83AFB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2.157.076.626</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F8196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2.293.202.821</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F45BD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2.371.127.189</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7326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2.439.214.582</w:t>
            </w:r>
          </w:p>
        </w:tc>
        <w:tc>
          <w:tcPr>
            <w:tcW w:w="555" w:type="pct"/>
            <w:vMerge/>
            <w:tcBorders>
              <w:top w:val="double" w:sz="4" w:space="0" w:color="C00000"/>
              <w:left w:val="double" w:sz="4" w:space="0" w:color="C00000"/>
              <w:bottom w:val="double" w:sz="4" w:space="0" w:color="C00000"/>
            </w:tcBorders>
            <w:vAlign w:val="center"/>
            <w:hideMark/>
          </w:tcPr>
          <w:p w14:paraId="4488E692" w14:textId="77777777" w:rsidR="00856F66" w:rsidRPr="00E31657" w:rsidRDefault="00856F66" w:rsidP="00F35453">
            <w:pPr>
              <w:rPr>
                <w:rFonts w:cs="Arial"/>
                <w:b/>
                <w:bCs/>
                <w:sz w:val="16"/>
                <w:szCs w:val="16"/>
                <w:lang w:val="es-ES_tradnl" w:eastAsia="es-MX"/>
              </w:rPr>
            </w:pPr>
          </w:p>
        </w:tc>
      </w:tr>
      <w:tr w:rsidR="00856F66" w:rsidRPr="00E31657" w14:paraId="6DDAC97B" w14:textId="77777777" w:rsidTr="00F974BB">
        <w:trPr>
          <w:trHeight w:val="690"/>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9C0978"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t>Garantizar la prestación de servicios socio jurídicos y psicosociales especializados al 100% de las mujeres víctimas de violencia remitidas a través de las estrategias Línea Púrpura, Agencia Mujer, sistema de alertas tempranas y hospitales, entre otros.</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23F2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292A4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SDMujer</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47DAC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A00CC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17395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005D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4FECBB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69.693.334.947</w:t>
            </w:r>
          </w:p>
        </w:tc>
      </w:tr>
      <w:tr w:rsidR="00856F66" w:rsidRPr="00E31657" w14:paraId="2F98D8FF" w14:textId="77777777" w:rsidTr="00F974BB">
        <w:trPr>
          <w:trHeight w:val="545"/>
        </w:trPr>
        <w:tc>
          <w:tcPr>
            <w:tcW w:w="1354" w:type="pct"/>
            <w:gridSpan w:val="3"/>
            <w:vMerge/>
            <w:tcBorders>
              <w:top w:val="double" w:sz="4" w:space="0" w:color="C00000"/>
              <w:bottom w:val="double" w:sz="4" w:space="0" w:color="C00000"/>
              <w:right w:val="double" w:sz="4" w:space="0" w:color="C00000"/>
            </w:tcBorders>
            <w:vAlign w:val="center"/>
            <w:hideMark/>
          </w:tcPr>
          <w:p w14:paraId="7D7059F5" w14:textId="77777777" w:rsidR="00856F66" w:rsidRPr="00E31657" w:rsidRDefault="00856F66" w:rsidP="008C71EB">
            <w:pPr>
              <w:jc w:val="right"/>
              <w:rPr>
                <w:rFonts w:cs="Arial"/>
                <w:sz w:val="16"/>
                <w:szCs w:val="16"/>
                <w:lang w:val="es-ES_tradnl" w:eastAsia="es-MX"/>
              </w:rPr>
            </w:pPr>
          </w:p>
        </w:tc>
        <w:tc>
          <w:tcPr>
            <w:tcW w:w="592" w:type="pct"/>
            <w:gridSpan w:val="2"/>
            <w:vMerge/>
            <w:tcBorders>
              <w:top w:val="double" w:sz="4" w:space="0" w:color="C00000"/>
              <w:left w:val="double" w:sz="4" w:space="0" w:color="C00000"/>
              <w:bottom w:val="double" w:sz="4" w:space="0" w:color="C00000"/>
              <w:right w:val="double" w:sz="4" w:space="0" w:color="C00000"/>
            </w:tcBorders>
            <w:vAlign w:val="center"/>
            <w:hideMark/>
          </w:tcPr>
          <w:p w14:paraId="5A3809F5"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bottom w:val="double" w:sz="4" w:space="0" w:color="C00000"/>
              <w:right w:val="double" w:sz="4" w:space="0" w:color="C00000"/>
            </w:tcBorders>
            <w:vAlign w:val="center"/>
            <w:hideMark/>
          </w:tcPr>
          <w:p w14:paraId="32E2E2E2"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26BAA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16.233.669.456</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D2E47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17.258.124.325</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92AC1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17.844.565.443</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E12E6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18.356.975.723</w:t>
            </w:r>
          </w:p>
        </w:tc>
        <w:tc>
          <w:tcPr>
            <w:tcW w:w="555" w:type="pct"/>
            <w:vMerge/>
            <w:tcBorders>
              <w:top w:val="double" w:sz="4" w:space="0" w:color="C00000"/>
              <w:left w:val="double" w:sz="4" w:space="0" w:color="C00000"/>
              <w:bottom w:val="double" w:sz="4" w:space="0" w:color="C00000"/>
            </w:tcBorders>
            <w:vAlign w:val="center"/>
            <w:hideMark/>
          </w:tcPr>
          <w:p w14:paraId="74BDC76F" w14:textId="77777777" w:rsidR="00856F66" w:rsidRPr="00E31657" w:rsidRDefault="00856F66" w:rsidP="00F35453">
            <w:pPr>
              <w:rPr>
                <w:rFonts w:cs="Arial"/>
                <w:b/>
                <w:bCs/>
                <w:sz w:val="16"/>
                <w:szCs w:val="16"/>
                <w:lang w:val="es-ES_tradnl" w:eastAsia="es-MX"/>
              </w:rPr>
            </w:pPr>
          </w:p>
        </w:tc>
      </w:tr>
      <w:tr w:rsidR="00856F66" w:rsidRPr="00E31657" w14:paraId="0FA82FEE" w14:textId="77777777" w:rsidTr="00F974BB">
        <w:trPr>
          <w:trHeight w:val="690"/>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C9893A"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lastRenderedPageBreak/>
              <w:t>Implementar 1 modelo integral para garantizar los derechos humanos de las mujeres construyendo entornos seguros e incuyentes en transporte y espacio público.</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A240B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98E99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SDMujer</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4558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0,5</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5119D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0,7</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59ECE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0,8</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E24DF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0D67DE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14.320.548.277</w:t>
            </w:r>
          </w:p>
        </w:tc>
      </w:tr>
      <w:tr w:rsidR="00856F66" w:rsidRPr="00E31657" w14:paraId="60DEAB53" w14:textId="77777777" w:rsidTr="00F974BB">
        <w:trPr>
          <w:trHeight w:val="158"/>
        </w:trPr>
        <w:tc>
          <w:tcPr>
            <w:tcW w:w="1354" w:type="pct"/>
            <w:gridSpan w:val="3"/>
            <w:vMerge/>
            <w:tcBorders>
              <w:top w:val="double" w:sz="4" w:space="0" w:color="C00000"/>
              <w:bottom w:val="double" w:sz="4" w:space="0" w:color="C00000"/>
              <w:right w:val="double" w:sz="4" w:space="0" w:color="C00000"/>
            </w:tcBorders>
            <w:vAlign w:val="center"/>
            <w:hideMark/>
          </w:tcPr>
          <w:p w14:paraId="4243755C" w14:textId="77777777" w:rsidR="00856F66" w:rsidRPr="00E31657" w:rsidRDefault="00856F66" w:rsidP="008C71EB">
            <w:pPr>
              <w:jc w:val="right"/>
              <w:rPr>
                <w:rFonts w:cs="Arial"/>
                <w:sz w:val="16"/>
                <w:szCs w:val="16"/>
                <w:lang w:val="es-ES_tradnl" w:eastAsia="es-MX"/>
              </w:rPr>
            </w:pPr>
          </w:p>
        </w:tc>
        <w:tc>
          <w:tcPr>
            <w:tcW w:w="592" w:type="pct"/>
            <w:gridSpan w:val="2"/>
            <w:vMerge/>
            <w:tcBorders>
              <w:top w:val="double" w:sz="4" w:space="0" w:color="C00000"/>
              <w:left w:val="double" w:sz="4" w:space="0" w:color="C00000"/>
              <w:bottom w:val="double" w:sz="4" w:space="0" w:color="C00000"/>
              <w:right w:val="double" w:sz="4" w:space="0" w:color="C00000"/>
            </w:tcBorders>
            <w:vAlign w:val="center"/>
            <w:hideMark/>
          </w:tcPr>
          <w:p w14:paraId="30FA113B"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bottom w:val="double" w:sz="4" w:space="0" w:color="C00000"/>
              <w:right w:val="double" w:sz="4" w:space="0" w:color="C00000"/>
            </w:tcBorders>
            <w:vAlign w:val="center"/>
            <w:hideMark/>
          </w:tcPr>
          <w:p w14:paraId="0473D0DD"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206C4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3.335.685.505</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E5B56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3.546.189.930</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6D2EA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3.666.691.529</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A458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3.771.981.313</w:t>
            </w:r>
          </w:p>
        </w:tc>
        <w:tc>
          <w:tcPr>
            <w:tcW w:w="555" w:type="pct"/>
            <w:vMerge/>
            <w:tcBorders>
              <w:top w:val="double" w:sz="4" w:space="0" w:color="C00000"/>
              <w:left w:val="double" w:sz="4" w:space="0" w:color="C00000"/>
              <w:bottom w:val="double" w:sz="4" w:space="0" w:color="C00000"/>
            </w:tcBorders>
            <w:vAlign w:val="center"/>
            <w:hideMark/>
          </w:tcPr>
          <w:p w14:paraId="4DF23B6D" w14:textId="77777777" w:rsidR="00856F66" w:rsidRPr="00E31657" w:rsidRDefault="00856F66" w:rsidP="00F35453">
            <w:pPr>
              <w:rPr>
                <w:rFonts w:cs="Arial"/>
                <w:b/>
                <w:bCs/>
                <w:sz w:val="16"/>
                <w:szCs w:val="16"/>
                <w:lang w:val="es-ES_tradnl" w:eastAsia="es-MX"/>
              </w:rPr>
            </w:pPr>
          </w:p>
        </w:tc>
      </w:tr>
      <w:tr w:rsidR="00856F66" w:rsidRPr="00E31657" w14:paraId="53619322" w14:textId="77777777" w:rsidTr="00F974BB">
        <w:trPr>
          <w:trHeight w:val="690"/>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5F6A1D"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t>Implementar en 6 Casas Refugio los servicios con enfoque diferencial brindando atención a mujeres víctimas de violencia y sus sistemas familiares dependientes entre otras incluyendo una casa para mujeres de la ruralidad y campesinas y un modelo intermedio</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76C80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E3B6A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SDMujer</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E36B9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A3D69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6C9BC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9FEB5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3154E1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57.186.722.785</w:t>
            </w:r>
          </w:p>
        </w:tc>
      </w:tr>
      <w:tr w:rsidR="00856F66" w:rsidRPr="00E31657" w14:paraId="752AABAE" w14:textId="77777777" w:rsidTr="00F974BB">
        <w:trPr>
          <w:trHeight w:val="690"/>
        </w:trPr>
        <w:tc>
          <w:tcPr>
            <w:tcW w:w="1354" w:type="pct"/>
            <w:gridSpan w:val="3"/>
            <w:vMerge/>
            <w:tcBorders>
              <w:top w:val="double" w:sz="4" w:space="0" w:color="C00000"/>
              <w:bottom w:val="double" w:sz="4" w:space="0" w:color="C00000"/>
              <w:right w:val="double" w:sz="4" w:space="0" w:color="C00000"/>
            </w:tcBorders>
            <w:vAlign w:val="center"/>
            <w:hideMark/>
          </w:tcPr>
          <w:p w14:paraId="615663D4" w14:textId="77777777" w:rsidR="00856F66" w:rsidRPr="00E31657" w:rsidRDefault="00856F66" w:rsidP="008C71EB">
            <w:pPr>
              <w:jc w:val="right"/>
              <w:rPr>
                <w:rFonts w:cs="Arial"/>
                <w:sz w:val="16"/>
                <w:szCs w:val="16"/>
                <w:lang w:val="es-ES_tradnl" w:eastAsia="es-MX"/>
              </w:rPr>
            </w:pPr>
          </w:p>
        </w:tc>
        <w:tc>
          <w:tcPr>
            <w:tcW w:w="592" w:type="pct"/>
            <w:gridSpan w:val="2"/>
            <w:vMerge/>
            <w:tcBorders>
              <w:top w:val="double" w:sz="4" w:space="0" w:color="C00000"/>
              <w:left w:val="double" w:sz="4" w:space="0" w:color="C00000"/>
              <w:bottom w:val="double" w:sz="4" w:space="0" w:color="C00000"/>
              <w:right w:val="double" w:sz="4" w:space="0" w:color="C00000"/>
            </w:tcBorders>
            <w:vAlign w:val="center"/>
            <w:hideMark/>
          </w:tcPr>
          <w:p w14:paraId="4A40AC1C"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bottom w:val="double" w:sz="4" w:space="0" w:color="C00000"/>
              <w:right w:val="double" w:sz="4" w:space="0" w:color="C00000"/>
            </w:tcBorders>
            <w:vAlign w:val="center"/>
            <w:hideMark/>
          </w:tcPr>
          <w:p w14:paraId="2E177DD2"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42BE5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13.320.504.116</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8D4D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14.161.118.453</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D3A01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14.642.321.507</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B123F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15.062.778.709</w:t>
            </w:r>
          </w:p>
        </w:tc>
        <w:tc>
          <w:tcPr>
            <w:tcW w:w="555" w:type="pct"/>
            <w:vMerge/>
            <w:tcBorders>
              <w:top w:val="double" w:sz="4" w:space="0" w:color="C00000"/>
              <w:left w:val="double" w:sz="4" w:space="0" w:color="C00000"/>
              <w:bottom w:val="double" w:sz="4" w:space="0" w:color="C00000"/>
            </w:tcBorders>
            <w:vAlign w:val="center"/>
            <w:hideMark/>
          </w:tcPr>
          <w:p w14:paraId="0FBD8882" w14:textId="77777777" w:rsidR="00856F66" w:rsidRPr="00E31657" w:rsidRDefault="00856F66" w:rsidP="00F35453">
            <w:pPr>
              <w:rPr>
                <w:rFonts w:cs="Arial"/>
                <w:b/>
                <w:bCs/>
                <w:sz w:val="16"/>
                <w:szCs w:val="16"/>
                <w:lang w:val="es-ES_tradnl" w:eastAsia="es-MX"/>
              </w:rPr>
            </w:pPr>
          </w:p>
        </w:tc>
      </w:tr>
      <w:tr w:rsidR="00856F66" w:rsidRPr="00E31657" w14:paraId="56D795BD" w14:textId="77777777" w:rsidTr="00985E3D">
        <w:trPr>
          <w:trHeight w:val="357"/>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10924DB" w14:textId="77777777" w:rsidR="00856F66" w:rsidRPr="00E31657" w:rsidRDefault="00856F66" w:rsidP="00DE3C42">
            <w:pPr>
              <w:pStyle w:val="Ttulo"/>
              <w:jc w:val="center"/>
              <w:rPr>
                <w:lang w:val="es-ES_tradnl"/>
              </w:rPr>
            </w:pPr>
            <w:r w:rsidRPr="00DE3C42">
              <w:rPr>
                <w:rFonts w:ascii="Candara" w:eastAsia="Times New Roman" w:hAnsi="Candara"/>
                <w:b/>
                <w:bCs/>
                <w:color w:val="FFFFFF" w:themeColor="background1"/>
                <w:sz w:val="24"/>
                <w:szCs w:val="24"/>
                <w:lang w:val="es-ES_tradnl" w:eastAsia="es-MX"/>
              </w:rPr>
              <w:t>Salud</w:t>
            </w:r>
          </w:p>
        </w:tc>
      </w:tr>
      <w:tr w:rsidR="00856F66" w:rsidRPr="00E31657" w14:paraId="02886E2C" w14:textId="77777777" w:rsidTr="00F974BB">
        <w:trPr>
          <w:trHeight w:val="510"/>
        </w:trPr>
        <w:tc>
          <w:tcPr>
            <w:tcW w:w="1354" w:type="pct"/>
            <w:gridSpan w:val="3"/>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79845A2" w14:textId="77777777" w:rsidR="00856F66" w:rsidRPr="00E31657" w:rsidRDefault="00856F66" w:rsidP="008C71EB">
            <w:pPr>
              <w:jc w:val="right"/>
              <w:rPr>
                <w:rFonts w:cs="Arial"/>
                <w:sz w:val="16"/>
                <w:szCs w:val="16"/>
                <w:lang w:val="es-ES_tradnl" w:eastAsia="es-MX"/>
              </w:rPr>
            </w:pPr>
            <w:r w:rsidRPr="00E31657">
              <w:rPr>
                <w:rFonts w:cs="Arial"/>
                <w:sz w:val="16"/>
                <w:szCs w:val="16"/>
                <w:lang w:val="es-ES_tradnl" w:eastAsia="es-MX"/>
              </w:rPr>
              <w:t>Lograr el 100% de implementación de las acciones para la prevención y atención de la violencia intrafamiliar el maltrato infantil y la violencia sexual.</w:t>
            </w:r>
          </w:p>
        </w:tc>
        <w:tc>
          <w:tcPr>
            <w:tcW w:w="592"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B4323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336"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F7441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w:t>
            </w:r>
          </w:p>
        </w:tc>
        <w:tc>
          <w:tcPr>
            <w:tcW w:w="553"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FB231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16"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B7DAD7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49"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74FAC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4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C5C65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55"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F57B35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2.638.065.529</w:t>
            </w:r>
          </w:p>
        </w:tc>
      </w:tr>
      <w:tr w:rsidR="00856F66" w:rsidRPr="00E31657" w14:paraId="415E1988" w14:textId="77777777" w:rsidTr="00DE3C42">
        <w:trPr>
          <w:trHeight w:val="315"/>
        </w:trPr>
        <w:tc>
          <w:tcPr>
            <w:tcW w:w="1354" w:type="pct"/>
            <w:gridSpan w:val="3"/>
            <w:vMerge/>
            <w:tcBorders>
              <w:top w:val="double" w:sz="4" w:space="0" w:color="C00000"/>
              <w:right w:val="double" w:sz="4" w:space="0" w:color="C00000"/>
            </w:tcBorders>
            <w:vAlign w:val="center"/>
            <w:hideMark/>
          </w:tcPr>
          <w:p w14:paraId="46F745BB" w14:textId="77777777" w:rsidR="00856F66" w:rsidRPr="00E31657" w:rsidRDefault="00856F66" w:rsidP="00F35453">
            <w:pPr>
              <w:rPr>
                <w:rFonts w:cs="Arial"/>
                <w:sz w:val="16"/>
                <w:szCs w:val="16"/>
                <w:lang w:val="es-ES_tradnl" w:eastAsia="es-MX"/>
              </w:rPr>
            </w:pPr>
          </w:p>
        </w:tc>
        <w:tc>
          <w:tcPr>
            <w:tcW w:w="592" w:type="pct"/>
            <w:gridSpan w:val="2"/>
            <w:vMerge/>
            <w:tcBorders>
              <w:top w:val="double" w:sz="4" w:space="0" w:color="C00000"/>
              <w:left w:val="double" w:sz="4" w:space="0" w:color="C00000"/>
              <w:right w:val="double" w:sz="4" w:space="0" w:color="C00000"/>
            </w:tcBorders>
            <w:vAlign w:val="center"/>
            <w:hideMark/>
          </w:tcPr>
          <w:p w14:paraId="173AF62C" w14:textId="77777777" w:rsidR="00856F66" w:rsidRPr="00E31657" w:rsidRDefault="00856F66" w:rsidP="00F35453">
            <w:pPr>
              <w:rPr>
                <w:rFonts w:cs="Arial"/>
                <w:sz w:val="16"/>
                <w:szCs w:val="16"/>
                <w:lang w:val="es-ES_tradnl" w:eastAsia="es-MX"/>
              </w:rPr>
            </w:pPr>
          </w:p>
        </w:tc>
        <w:tc>
          <w:tcPr>
            <w:tcW w:w="336" w:type="pct"/>
            <w:vMerge/>
            <w:tcBorders>
              <w:top w:val="double" w:sz="4" w:space="0" w:color="C00000"/>
              <w:left w:val="double" w:sz="4" w:space="0" w:color="C00000"/>
              <w:right w:val="double" w:sz="4" w:space="0" w:color="C00000"/>
            </w:tcBorders>
            <w:vAlign w:val="center"/>
            <w:hideMark/>
          </w:tcPr>
          <w:p w14:paraId="4C02BB4B" w14:textId="77777777" w:rsidR="00856F66" w:rsidRPr="00E31657" w:rsidRDefault="00856F66" w:rsidP="00F35453">
            <w:pPr>
              <w:rPr>
                <w:rFonts w:cs="Arial"/>
                <w:sz w:val="16"/>
                <w:szCs w:val="16"/>
                <w:lang w:val="es-ES_tradnl" w:eastAsia="es-MX"/>
              </w:rPr>
            </w:pPr>
          </w:p>
        </w:tc>
        <w:tc>
          <w:tcPr>
            <w:tcW w:w="553" w:type="pct"/>
            <w:gridSpan w:val="2"/>
            <w:tcBorders>
              <w:top w:val="double" w:sz="4" w:space="0" w:color="C00000"/>
              <w:left w:val="double" w:sz="4" w:space="0" w:color="C00000"/>
              <w:right w:val="double" w:sz="4" w:space="0" w:color="C00000"/>
            </w:tcBorders>
            <w:tcMar>
              <w:top w:w="30" w:type="dxa"/>
              <w:left w:w="45" w:type="dxa"/>
              <w:bottom w:w="30" w:type="dxa"/>
              <w:right w:w="45" w:type="dxa"/>
            </w:tcMar>
            <w:vAlign w:val="center"/>
            <w:hideMark/>
          </w:tcPr>
          <w:p w14:paraId="1FD806C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50.169.000</w:t>
            </w:r>
          </w:p>
        </w:tc>
        <w:tc>
          <w:tcPr>
            <w:tcW w:w="516" w:type="pct"/>
            <w:gridSpan w:val="2"/>
            <w:tcBorders>
              <w:top w:val="double" w:sz="4" w:space="0" w:color="C00000"/>
              <w:left w:val="double" w:sz="4" w:space="0" w:color="C00000"/>
              <w:right w:val="double" w:sz="4" w:space="0" w:color="C00000"/>
            </w:tcBorders>
            <w:tcMar>
              <w:top w:w="30" w:type="dxa"/>
              <w:left w:w="45" w:type="dxa"/>
              <w:bottom w:w="30" w:type="dxa"/>
              <w:right w:w="45" w:type="dxa"/>
            </w:tcMar>
            <w:vAlign w:val="center"/>
            <w:hideMark/>
          </w:tcPr>
          <w:p w14:paraId="3D882A8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888.252.427</w:t>
            </w:r>
          </w:p>
        </w:tc>
        <w:tc>
          <w:tcPr>
            <w:tcW w:w="549" w:type="pct"/>
            <w:gridSpan w:val="2"/>
            <w:tcBorders>
              <w:top w:val="double" w:sz="4" w:space="0" w:color="C00000"/>
              <w:left w:val="double" w:sz="4" w:space="0" w:color="C00000"/>
              <w:right w:val="double" w:sz="4" w:space="0" w:color="C00000"/>
            </w:tcBorders>
            <w:tcMar>
              <w:top w:w="30" w:type="dxa"/>
              <w:left w:w="45" w:type="dxa"/>
              <w:bottom w:w="30" w:type="dxa"/>
              <w:right w:w="45" w:type="dxa"/>
            </w:tcMar>
            <w:vAlign w:val="center"/>
            <w:hideMark/>
          </w:tcPr>
          <w:p w14:paraId="2BD34B2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862.380.997</w:t>
            </w:r>
          </w:p>
        </w:tc>
        <w:tc>
          <w:tcPr>
            <w:tcW w:w="545" w:type="pct"/>
            <w:gridSpan w:val="2"/>
            <w:tcBorders>
              <w:top w:val="double" w:sz="4" w:space="0" w:color="C00000"/>
              <w:left w:val="double" w:sz="4" w:space="0" w:color="C00000"/>
              <w:right w:val="double" w:sz="4" w:space="0" w:color="C00000"/>
            </w:tcBorders>
            <w:tcMar>
              <w:top w:w="30" w:type="dxa"/>
              <w:left w:w="45" w:type="dxa"/>
              <w:bottom w:w="30" w:type="dxa"/>
              <w:right w:w="45" w:type="dxa"/>
            </w:tcMar>
            <w:vAlign w:val="center"/>
            <w:hideMark/>
          </w:tcPr>
          <w:p w14:paraId="63F75B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837.263.104</w:t>
            </w:r>
          </w:p>
        </w:tc>
        <w:tc>
          <w:tcPr>
            <w:tcW w:w="555" w:type="pct"/>
            <w:vMerge/>
            <w:tcBorders>
              <w:top w:val="double" w:sz="4" w:space="0" w:color="C00000"/>
              <w:left w:val="double" w:sz="4" w:space="0" w:color="C00000"/>
            </w:tcBorders>
            <w:vAlign w:val="center"/>
            <w:hideMark/>
          </w:tcPr>
          <w:p w14:paraId="238BB2FB" w14:textId="77777777" w:rsidR="00856F66" w:rsidRPr="00E31657" w:rsidRDefault="00856F66" w:rsidP="00F35453">
            <w:pPr>
              <w:rPr>
                <w:rFonts w:cs="Arial"/>
                <w:b/>
                <w:bCs/>
                <w:sz w:val="16"/>
                <w:szCs w:val="16"/>
                <w:lang w:val="es-ES_tradnl" w:eastAsia="es-MX"/>
              </w:rPr>
            </w:pPr>
          </w:p>
        </w:tc>
      </w:tr>
      <w:tr w:rsidR="00856F66" w:rsidRPr="00E31657" w14:paraId="5CF33C70" w14:textId="77777777" w:rsidTr="00DE3C42">
        <w:trPr>
          <w:trHeight w:val="315"/>
        </w:trPr>
        <w:tc>
          <w:tcPr>
            <w:tcW w:w="5000" w:type="pct"/>
            <w:gridSpan w:val="15"/>
            <w:tcMar>
              <w:top w:w="30" w:type="dxa"/>
              <w:left w:w="45" w:type="dxa"/>
              <w:bottom w:w="30" w:type="dxa"/>
              <w:right w:w="45" w:type="dxa"/>
            </w:tcMar>
            <w:vAlign w:val="center"/>
            <w:hideMark/>
          </w:tcPr>
          <w:p w14:paraId="004495C4" w14:textId="62322764" w:rsidR="00DE3C42" w:rsidRDefault="00DE3C42" w:rsidP="00DE3C42">
            <w:pPr>
              <w:pStyle w:val="Ttulo"/>
              <w:jc w:val="center"/>
              <w:rPr>
                <w:rFonts w:ascii="Candara" w:eastAsia="Times New Roman" w:hAnsi="Candara"/>
                <w:color w:val="C00000"/>
                <w:sz w:val="24"/>
                <w:szCs w:val="24"/>
                <w:lang w:val="es-ES_tradnl" w:eastAsia="es-MX"/>
              </w:rPr>
            </w:pPr>
          </w:p>
          <w:p w14:paraId="391E0118" w14:textId="77777777" w:rsidR="00DE3C42" w:rsidRPr="00DE3C42" w:rsidRDefault="00DE3C42" w:rsidP="00DE3C42">
            <w:pPr>
              <w:rPr>
                <w:lang w:val="es-ES_tradnl" w:eastAsia="es-MX"/>
              </w:rPr>
            </w:pPr>
          </w:p>
          <w:p w14:paraId="520641C9" w14:textId="78D0E094" w:rsidR="00856F66" w:rsidRPr="006E34FC" w:rsidRDefault="00856F66" w:rsidP="00DE3C42">
            <w:pPr>
              <w:pStyle w:val="Ttulo"/>
              <w:jc w:val="center"/>
              <w:rPr>
                <w:rFonts w:ascii="Candara" w:eastAsia="Times New Roman" w:hAnsi="Candara"/>
                <w:b/>
                <w:bCs/>
                <w:sz w:val="22"/>
                <w:szCs w:val="22"/>
                <w:lang w:val="es-ES_tradnl" w:eastAsia="es-MX"/>
              </w:rPr>
            </w:pPr>
            <w:r w:rsidRPr="006E34FC">
              <w:rPr>
                <w:rFonts w:ascii="Candara" w:eastAsia="Times New Roman" w:hAnsi="Candara"/>
                <w:b/>
                <w:bCs/>
                <w:color w:val="C00000"/>
                <w:sz w:val="22"/>
                <w:szCs w:val="22"/>
                <w:lang w:val="es-ES_tradnl" w:eastAsia="es-MX"/>
              </w:rPr>
              <w:t>Programa 3.</w:t>
            </w:r>
            <w:r w:rsidRPr="006E34FC">
              <w:rPr>
                <w:rFonts w:ascii="Candara" w:eastAsia="Times New Roman" w:hAnsi="Candara"/>
                <w:color w:val="C00000"/>
                <w:sz w:val="22"/>
                <w:szCs w:val="22"/>
                <w:lang w:val="es-ES_tradnl" w:eastAsia="es-MX"/>
              </w:rPr>
              <w:t xml:space="preserve"> </w:t>
            </w:r>
            <w:r w:rsidRPr="006E34FC">
              <w:rPr>
                <w:rFonts w:ascii="Candara" w:eastAsia="Times New Roman" w:hAnsi="Candara"/>
                <w:bCs/>
                <w:sz w:val="22"/>
                <w:szCs w:val="22"/>
                <w:lang w:val="es-ES_tradnl" w:eastAsia="es-MX"/>
              </w:rPr>
              <w:t>Desmantelamiento de estructuras criminales</w:t>
            </w:r>
          </w:p>
          <w:p w14:paraId="55168B84" w14:textId="77777777" w:rsidR="00856F66" w:rsidRPr="00E31657" w:rsidRDefault="00856F66" w:rsidP="00DE3C42">
            <w:pPr>
              <w:pStyle w:val="Ttulo"/>
              <w:jc w:val="center"/>
              <w:rPr>
                <w:rFonts w:eastAsia="Times New Roman"/>
                <w:lang w:val="es-ES_tradnl" w:eastAsia="es-MX"/>
              </w:rPr>
            </w:pPr>
            <w:r w:rsidRPr="006E34FC">
              <w:rPr>
                <w:rFonts w:ascii="Candara" w:eastAsia="Times New Roman" w:hAnsi="Candara"/>
                <w:bCs/>
                <w:sz w:val="22"/>
                <w:szCs w:val="22"/>
                <w:lang w:val="es-ES_tradnl" w:eastAsia="es-MX"/>
              </w:rPr>
              <w:t>y delincuenciales con mejores capacidades y activos tecnológicos</w:t>
            </w:r>
          </w:p>
        </w:tc>
      </w:tr>
      <w:tr w:rsidR="00856F66" w:rsidRPr="00E31657" w14:paraId="64DC1289" w14:textId="77777777" w:rsidTr="00DE3C42">
        <w:trPr>
          <w:trHeight w:val="315"/>
        </w:trPr>
        <w:tc>
          <w:tcPr>
            <w:tcW w:w="1033" w:type="pct"/>
            <w:vMerge w:val="restart"/>
            <w:tcBorders>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7A628DB2" w14:textId="7E123557" w:rsidR="00856F66" w:rsidRPr="00E31657" w:rsidRDefault="00DE3C42" w:rsidP="00DE3C42">
            <w:pPr>
              <w:pStyle w:val="Ttulo"/>
              <w:jc w:val="center"/>
              <w:rPr>
                <w:rFonts w:eastAsia="Times New Roman"/>
                <w:lang w:val="es-ES_tradnl" w:eastAsia="es-MX"/>
              </w:rPr>
            </w:pPr>
            <w:r w:rsidRPr="00DE3C42">
              <w:rPr>
                <w:rFonts w:ascii="Candara" w:eastAsia="Times New Roman" w:hAnsi="Candara"/>
                <w:b/>
                <w:bCs/>
                <w:color w:val="FFFFFF" w:themeColor="background1"/>
                <w:sz w:val="24"/>
                <w:szCs w:val="24"/>
                <w:lang w:val="es-ES_tradnl" w:eastAsia="es-MX"/>
              </w:rPr>
              <w:t xml:space="preserve">Sector / </w:t>
            </w:r>
            <w:r>
              <w:rPr>
                <w:rFonts w:ascii="Candara" w:eastAsia="Times New Roman" w:hAnsi="Candara"/>
                <w:b/>
                <w:bCs/>
                <w:color w:val="FFFFFF" w:themeColor="background1"/>
                <w:sz w:val="24"/>
                <w:szCs w:val="24"/>
                <w:lang w:val="es-ES_tradnl" w:eastAsia="es-MX"/>
              </w:rPr>
              <w:br/>
            </w:r>
            <w:r w:rsidRPr="00DE3C42">
              <w:rPr>
                <w:rFonts w:ascii="Candara" w:eastAsia="Times New Roman" w:hAnsi="Candara"/>
                <w:b/>
                <w:bCs/>
                <w:color w:val="FFFFFF" w:themeColor="background1"/>
                <w:sz w:val="24"/>
                <w:szCs w:val="24"/>
                <w:lang w:val="es-ES_tradnl" w:eastAsia="es-MX"/>
              </w:rPr>
              <w:t>Metas</w:t>
            </w:r>
          </w:p>
        </w:tc>
        <w:tc>
          <w:tcPr>
            <w:tcW w:w="3967" w:type="pct"/>
            <w:gridSpan w:val="14"/>
            <w:tcBorders>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31E2CCEB" w14:textId="77777777" w:rsidR="00856F66" w:rsidRPr="00E31657" w:rsidRDefault="00856F66" w:rsidP="00DE3C42">
            <w:pPr>
              <w:pStyle w:val="Ttulo"/>
              <w:jc w:val="center"/>
              <w:rPr>
                <w:rFonts w:eastAsia="Times New Roman"/>
                <w:lang w:val="es-ES_tradnl" w:eastAsia="es-MX"/>
              </w:rPr>
            </w:pPr>
            <w:r w:rsidRPr="00DE3C42">
              <w:rPr>
                <w:rFonts w:ascii="Candara" w:eastAsia="Times New Roman" w:hAnsi="Candara"/>
                <w:b/>
                <w:bCs/>
                <w:color w:val="FFFFFF" w:themeColor="background1"/>
                <w:sz w:val="24"/>
                <w:szCs w:val="24"/>
                <w:lang w:val="es-ES_tradnl" w:eastAsia="es-MX"/>
              </w:rPr>
              <w:t xml:space="preserve">Magnitudes e Inversión </w:t>
            </w:r>
            <w:r w:rsidRPr="00DE3C42">
              <w:rPr>
                <w:rFonts w:ascii="Candara" w:eastAsia="Times New Roman" w:hAnsi="Candara"/>
                <w:b/>
                <w:bCs/>
                <w:color w:val="FFFFFF" w:themeColor="background1"/>
                <w:sz w:val="24"/>
                <w:szCs w:val="24"/>
                <w:lang w:val="es-ES_tradnl" w:eastAsia="es-MX"/>
              </w:rPr>
              <w:br/>
              <w:t>(Precios Constantes 2024)</w:t>
            </w:r>
          </w:p>
        </w:tc>
      </w:tr>
      <w:tr w:rsidR="00856F66" w:rsidRPr="00E31657" w14:paraId="2AA21EE0" w14:textId="77777777" w:rsidTr="00F974BB">
        <w:trPr>
          <w:trHeight w:val="315"/>
        </w:trPr>
        <w:tc>
          <w:tcPr>
            <w:tcW w:w="1033" w:type="pct"/>
            <w:vMerge/>
            <w:tcBorders>
              <w:top w:val="double" w:sz="4" w:space="0" w:color="C00000"/>
              <w:bottom w:val="double" w:sz="4" w:space="0" w:color="C00000"/>
              <w:right w:val="double" w:sz="4" w:space="0" w:color="C00000"/>
            </w:tcBorders>
            <w:vAlign w:val="center"/>
            <w:hideMark/>
          </w:tcPr>
          <w:p w14:paraId="69BFF054" w14:textId="77777777" w:rsidR="00856F66" w:rsidRPr="00E31657" w:rsidRDefault="00856F66" w:rsidP="00F35453">
            <w:pPr>
              <w:rPr>
                <w:rFonts w:cs="Arial"/>
                <w:b/>
                <w:bCs/>
                <w:color w:val="FFFFFF"/>
                <w:sz w:val="16"/>
                <w:szCs w:val="16"/>
                <w:lang w:val="es-ES_tradnl" w:eastAsia="es-MX"/>
              </w:rPr>
            </w:pPr>
          </w:p>
        </w:tc>
        <w:tc>
          <w:tcPr>
            <w:tcW w:w="315"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373A93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336"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72EC57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76" w:type="pct"/>
            <w:gridSpan w:val="3"/>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285A726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668"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0E46D4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665"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46421B8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652" w:type="pct"/>
            <w:gridSpan w:val="2"/>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127143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655" w:type="pct"/>
            <w:gridSpan w:val="2"/>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033F335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65896A19" w14:textId="77777777" w:rsidTr="008D0308">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88731AC" w14:textId="77777777" w:rsidR="00856F66" w:rsidRPr="00DE3C42" w:rsidRDefault="00856F66" w:rsidP="00DE3C42">
            <w:pPr>
              <w:pStyle w:val="Ttulo"/>
              <w:jc w:val="center"/>
              <w:rPr>
                <w:rFonts w:ascii="Candara" w:eastAsia="Times New Roman" w:hAnsi="Candara"/>
                <w:b/>
                <w:bCs/>
                <w:color w:val="FFFFFF" w:themeColor="background1"/>
                <w:sz w:val="24"/>
                <w:szCs w:val="24"/>
                <w:lang w:val="es-ES_tradnl" w:eastAsia="es-MX"/>
              </w:rPr>
            </w:pPr>
            <w:r w:rsidRPr="00DE3C42">
              <w:rPr>
                <w:rFonts w:ascii="Candara" w:eastAsia="Times New Roman" w:hAnsi="Candara"/>
                <w:b/>
                <w:bCs/>
                <w:color w:val="FFFFFF" w:themeColor="background1"/>
                <w:sz w:val="24"/>
                <w:szCs w:val="24"/>
                <w:lang w:val="es-ES_tradnl" w:eastAsia="es-MX"/>
              </w:rPr>
              <w:t>Seguridad convivencia y justicia</w:t>
            </w:r>
          </w:p>
        </w:tc>
      </w:tr>
      <w:tr w:rsidR="00856F66" w:rsidRPr="00E31657" w14:paraId="0479F021" w14:textId="77777777" w:rsidTr="00F974BB">
        <w:trPr>
          <w:trHeight w:val="315"/>
        </w:trPr>
        <w:tc>
          <w:tcPr>
            <w:tcW w:w="1033"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B84062" w14:textId="77777777" w:rsidR="00856F66" w:rsidRPr="00E31657" w:rsidRDefault="00856F66" w:rsidP="00F35453">
            <w:pPr>
              <w:rPr>
                <w:rFonts w:cs="Arial"/>
                <w:sz w:val="16"/>
                <w:szCs w:val="16"/>
                <w:lang w:val="es-ES_tradnl" w:eastAsia="es-MX"/>
              </w:rPr>
            </w:pPr>
            <w:r w:rsidRPr="00E31657">
              <w:rPr>
                <w:rFonts w:cs="Arial"/>
                <w:sz w:val="16"/>
                <w:szCs w:val="16"/>
                <w:lang w:val="es-ES_tradnl" w:eastAsia="es-MX"/>
              </w:rPr>
              <w:t>Aplicar un (1) modelo de fortalecimiento a las capacidades operativas de vigilancia policial funciones militares y otras de apoyo a la seguridad la convivencia y la justicia.</w:t>
            </w:r>
          </w:p>
        </w:tc>
        <w:tc>
          <w:tcPr>
            <w:tcW w:w="315"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8AE0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336"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DCBD8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5EC79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1BE1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40%</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B4DEB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D0B68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655" w:type="pct"/>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4F70B5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606.918.715.764</w:t>
            </w:r>
          </w:p>
        </w:tc>
      </w:tr>
      <w:tr w:rsidR="00856F66" w:rsidRPr="00E31657" w14:paraId="4A04B90C" w14:textId="77777777" w:rsidTr="00F974BB">
        <w:trPr>
          <w:trHeight w:val="510"/>
        </w:trPr>
        <w:tc>
          <w:tcPr>
            <w:tcW w:w="1033" w:type="pct"/>
            <w:vMerge/>
            <w:tcBorders>
              <w:top w:val="double" w:sz="4" w:space="0" w:color="C00000"/>
              <w:bottom w:val="double" w:sz="4" w:space="0" w:color="C00000"/>
              <w:right w:val="double" w:sz="4" w:space="0" w:color="C00000"/>
            </w:tcBorders>
            <w:vAlign w:val="center"/>
            <w:hideMark/>
          </w:tcPr>
          <w:p w14:paraId="54FDE353" w14:textId="77777777" w:rsidR="00856F66" w:rsidRPr="00E31657" w:rsidRDefault="00856F66" w:rsidP="00F35453">
            <w:pPr>
              <w:rPr>
                <w:rFonts w:cs="Arial"/>
                <w:sz w:val="16"/>
                <w:szCs w:val="16"/>
                <w:lang w:val="es-ES_tradnl" w:eastAsia="es-MX"/>
              </w:rPr>
            </w:pPr>
          </w:p>
        </w:tc>
        <w:tc>
          <w:tcPr>
            <w:tcW w:w="315" w:type="pct"/>
            <w:vMerge/>
            <w:tcBorders>
              <w:top w:val="double" w:sz="4" w:space="0" w:color="C00000"/>
              <w:left w:val="double" w:sz="4" w:space="0" w:color="C00000"/>
              <w:bottom w:val="double" w:sz="4" w:space="0" w:color="C00000"/>
              <w:right w:val="double" w:sz="4" w:space="0" w:color="C00000"/>
            </w:tcBorders>
            <w:vAlign w:val="center"/>
            <w:hideMark/>
          </w:tcPr>
          <w:p w14:paraId="2B06CFFB" w14:textId="77777777" w:rsidR="00856F66" w:rsidRPr="00E31657" w:rsidRDefault="00856F66" w:rsidP="00F35453">
            <w:pPr>
              <w:rPr>
                <w:rFonts w:cs="Arial"/>
                <w:sz w:val="16"/>
                <w:szCs w:val="16"/>
                <w:lang w:val="es-ES_tradnl" w:eastAsia="es-MX"/>
              </w:rPr>
            </w:pPr>
          </w:p>
        </w:tc>
        <w:tc>
          <w:tcPr>
            <w:tcW w:w="336" w:type="pct"/>
            <w:gridSpan w:val="2"/>
            <w:vMerge/>
            <w:tcBorders>
              <w:top w:val="double" w:sz="4" w:space="0" w:color="C00000"/>
              <w:left w:val="double" w:sz="4" w:space="0" w:color="C00000"/>
              <w:bottom w:val="double" w:sz="4" w:space="0" w:color="C00000"/>
              <w:right w:val="double" w:sz="4" w:space="0" w:color="C00000"/>
            </w:tcBorders>
            <w:vAlign w:val="center"/>
            <w:hideMark/>
          </w:tcPr>
          <w:p w14:paraId="3F658815" w14:textId="77777777" w:rsidR="00856F66" w:rsidRPr="00E31657" w:rsidRDefault="00856F66" w:rsidP="00F35453">
            <w:pPr>
              <w:rPr>
                <w:rFonts w:cs="Arial"/>
                <w:sz w:val="16"/>
                <w:szCs w:val="16"/>
                <w:lang w:val="es-ES_tradnl" w:eastAsia="es-MX"/>
              </w:rPr>
            </w:pP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22547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127.163.205.000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0E191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161.960.292.233</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E651D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155.146.094.825</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DF6D7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162.649.123.706</w:t>
            </w:r>
          </w:p>
        </w:tc>
        <w:tc>
          <w:tcPr>
            <w:tcW w:w="655" w:type="pct"/>
            <w:gridSpan w:val="2"/>
            <w:vMerge/>
            <w:tcBorders>
              <w:top w:val="double" w:sz="4" w:space="0" w:color="C00000"/>
              <w:left w:val="double" w:sz="4" w:space="0" w:color="C00000"/>
              <w:bottom w:val="double" w:sz="4" w:space="0" w:color="C00000"/>
            </w:tcBorders>
            <w:vAlign w:val="center"/>
            <w:hideMark/>
          </w:tcPr>
          <w:p w14:paraId="30766B72" w14:textId="77777777" w:rsidR="00856F66" w:rsidRPr="00E31657" w:rsidRDefault="00856F66" w:rsidP="00F35453">
            <w:pPr>
              <w:rPr>
                <w:rFonts w:cs="Arial"/>
                <w:b/>
                <w:bCs/>
                <w:sz w:val="16"/>
                <w:szCs w:val="16"/>
                <w:lang w:val="es-ES_tradnl" w:eastAsia="es-MX"/>
              </w:rPr>
            </w:pPr>
          </w:p>
        </w:tc>
      </w:tr>
      <w:tr w:rsidR="00856F66" w:rsidRPr="00E31657" w14:paraId="0F7D97E0" w14:textId="77777777" w:rsidTr="00F974BB">
        <w:trPr>
          <w:trHeight w:val="510"/>
        </w:trPr>
        <w:tc>
          <w:tcPr>
            <w:tcW w:w="1033"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3BE9E3" w14:textId="77777777" w:rsidR="00856F66" w:rsidRPr="00E31657" w:rsidRDefault="00856F66" w:rsidP="00F35453">
            <w:pPr>
              <w:rPr>
                <w:rFonts w:cs="Arial"/>
                <w:sz w:val="16"/>
                <w:szCs w:val="16"/>
                <w:lang w:val="es-ES_tradnl" w:eastAsia="es-MX"/>
              </w:rPr>
            </w:pPr>
            <w:r w:rsidRPr="00E31657">
              <w:rPr>
                <w:rFonts w:cs="Arial"/>
                <w:sz w:val="16"/>
                <w:szCs w:val="16"/>
                <w:lang w:val="es-ES_tradnl" w:eastAsia="es-MX"/>
              </w:rPr>
              <w:t>Desarrollar un plan de modernización del C4 para mejorar la respuesta distrital a la demanda de servicios de los ciudadanos.</w:t>
            </w:r>
          </w:p>
        </w:tc>
        <w:tc>
          <w:tcPr>
            <w:tcW w:w="315"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886B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w:t>
            </w:r>
            <w:r w:rsidRPr="00E31657">
              <w:rPr>
                <w:rFonts w:cs="Arial"/>
                <w:sz w:val="16"/>
                <w:szCs w:val="16"/>
                <w:lang w:val="es-ES_tradnl" w:eastAsia="es-MX"/>
              </w:rPr>
              <w:br/>
              <w:t>(2023)</w:t>
            </w:r>
          </w:p>
        </w:tc>
        <w:tc>
          <w:tcPr>
            <w:tcW w:w="336"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9E617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0EC35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68ACA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47%</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B490E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74%</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26FE7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655" w:type="pct"/>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DFE4A8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723.954.432.383</w:t>
            </w:r>
          </w:p>
        </w:tc>
      </w:tr>
      <w:tr w:rsidR="00856F66" w:rsidRPr="00E31657" w14:paraId="03BB4636" w14:textId="77777777" w:rsidTr="00F974BB">
        <w:trPr>
          <w:trHeight w:val="510"/>
        </w:trPr>
        <w:tc>
          <w:tcPr>
            <w:tcW w:w="1033" w:type="pct"/>
            <w:vMerge/>
            <w:tcBorders>
              <w:top w:val="double" w:sz="4" w:space="0" w:color="C00000"/>
              <w:bottom w:val="double" w:sz="4" w:space="0" w:color="C00000"/>
              <w:right w:val="double" w:sz="4" w:space="0" w:color="C00000"/>
            </w:tcBorders>
            <w:vAlign w:val="center"/>
            <w:hideMark/>
          </w:tcPr>
          <w:p w14:paraId="603831C2" w14:textId="77777777" w:rsidR="00856F66" w:rsidRPr="00E31657" w:rsidRDefault="00856F66" w:rsidP="00F35453">
            <w:pPr>
              <w:rPr>
                <w:rFonts w:cs="Arial"/>
                <w:sz w:val="16"/>
                <w:szCs w:val="16"/>
                <w:lang w:val="es-ES_tradnl" w:eastAsia="es-MX"/>
              </w:rPr>
            </w:pPr>
          </w:p>
        </w:tc>
        <w:tc>
          <w:tcPr>
            <w:tcW w:w="315" w:type="pct"/>
            <w:vMerge/>
            <w:tcBorders>
              <w:top w:val="double" w:sz="4" w:space="0" w:color="C00000"/>
              <w:left w:val="double" w:sz="4" w:space="0" w:color="C00000"/>
              <w:bottom w:val="double" w:sz="4" w:space="0" w:color="C00000"/>
              <w:right w:val="double" w:sz="4" w:space="0" w:color="C00000"/>
            </w:tcBorders>
            <w:vAlign w:val="center"/>
            <w:hideMark/>
          </w:tcPr>
          <w:p w14:paraId="66D9C0F5" w14:textId="77777777" w:rsidR="00856F66" w:rsidRPr="00E31657" w:rsidRDefault="00856F66" w:rsidP="00F35453">
            <w:pPr>
              <w:rPr>
                <w:rFonts w:cs="Arial"/>
                <w:sz w:val="16"/>
                <w:szCs w:val="16"/>
                <w:lang w:val="es-ES_tradnl" w:eastAsia="es-MX"/>
              </w:rPr>
            </w:pPr>
          </w:p>
        </w:tc>
        <w:tc>
          <w:tcPr>
            <w:tcW w:w="336" w:type="pct"/>
            <w:gridSpan w:val="2"/>
            <w:vMerge/>
            <w:tcBorders>
              <w:top w:val="double" w:sz="4" w:space="0" w:color="C00000"/>
              <w:left w:val="double" w:sz="4" w:space="0" w:color="C00000"/>
              <w:bottom w:val="double" w:sz="4" w:space="0" w:color="C00000"/>
              <w:right w:val="double" w:sz="4" w:space="0" w:color="C00000"/>
            </w:tcBorders>
            <w:vAlign w:val="center"/>
            <w:hideMark/>
          </w:tcPr>
          <w:p w14:paraId="4ACC5CE8" w14:textId="77777777" w:rsidR="00856F66" w:rsidRPr="00E31657" w:rsidRDefault="00856F66" w:rsidP="00F35453">
            <w:pPr>
              <w:rPr>
                <w:rFonts w:cs="Arial"/>
                <w:sz w:val="16"/>
                <w:szCs w:val="16"/>
                <w:lang w:val="es-ES_tradnl" w:eastAsia="es-MX"/>
              </w:rPr>
            </w:pP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150B5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147.438.470.000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6016D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204.824.300.971</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5A007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194.309.048.921</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D0A97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177.382.612.492</w:t>
            </w:r>
          </w:p>
        </w:tc>
        <w:tc>
          <w:tcPr>
            <w:tcW w:w="655" w:type="pct"/>
            <w:gridSpan w:val="2"/>
            <w:vMerge/>
            <w:tcBorders>
              <w:top w:val="double" w:sz="4" w:space="0" w:color="C00000"/>
              <w:left w:val="double" w:sz="4" w:space="0" w:color="C00000"/>
              <w:bottom w:val="double" w:sz="4" w:space="0" w:color="C00000"/>
            </w:tcBorders>
            <w:vAlign w:val="center"/>
            <w:hideMark/>
          </w:tcPr>
          <w:p w14:paraId="7B0180E8" w14:textId="77777777" w:rsidR="00856F66" w:rsidRPr="00E31657" w:rsidRDefault="00856F66" w:rsidP="00F35453">
            <w:pPr>
              <w:rPr>
                <w:rFonts w:cs="Arial"/>
                <w:b/>
                <w:bCs/>
                <w:sz w:val="16"/>
                <w:szCs w:val="16"/>
                <w:lang w:val="es-ES_tradnl" w:eastAsia="es-MX"/>
              </w:rPr>
            </w:pPr>
          </w:p>
        </w:tc>
      </w:tr>
      <w:tr w:rsidR="00856F66" w:rsidRPr="00E31657" w14:paraId="3BB23C8D" w14:textId="77777777" w:rsidTr="00F974BB">
        <w:trPr>
          <w:trHeight w:val="510"/>
        </w:trPr>
        <w:tc>
          <w:tcPr>
            <w:tcW w:w="1033"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8137E5" w14:textId="77777777" w:rsidR="00856F66" w:rsidRPr="00E31657" w:rsidRDefault="00856F66" w:rsidP="00F35453">
            <w:pPr>
              <w:rPr>
                <w:rFonts w:cs="Arial"/>
                <w:sz w:val="16"/>
                <w:szCs w:val="16"/>
                <w:lang w:val="es-ES_tradnl" w:eastAsia="es-MX"/>
              </w:rPr>
            </w:pPr>
            <w:r w:rsidRPr="00E31657">
              <w:rPr>
                <w:rFonts w:cs="Arial"/>
                <w:sz w:val="16"/>
                <w:szCs w:val="16"/>
                <w:lang w:val="es-ES_tradnl" w:eastAsia="es-MX"/>
              </w:rPr>
              <w:t>Estructurar y desarrollar las instancias de gobernanza necesarias para el diseño y ejecución del Plan de Seguridad Integral ante la Región Metropolitana</w:t>
            </w:r>
          </w:p>
        </w:tc>
        <w:tc>
          <w:tcPr>
            <w:tcW w:w="315"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4A21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336"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F27A7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5115E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C1FD4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40%</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1DAB9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4D696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655" w:type="pct"/>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8D12CD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8.812.172.980</w:t>
            </w:r>
          </w:p>
        </w:tc>
      </w:tr>
      <w:tr w:rsidR="00856F66" w:rsidRPr="00E31657" w14:paraId="62597759" w14:textId="77777777" w:rsidTr="00F974BB">
        <w:trPr>
          <w:trHeight w:val="510"/>
        </w:trPr>
        <w:tc>
          <w:tcPr>
            <w:tcW w:w="1033" w:type="pct"/>
            <w:vMerge/>
            <w:tcBorders>
              <w:top w:val="double" w:sz="4" w:space="0" w:color="C00000"/>
              <w:bottom w:val="double" w:sz="4" w:space="0" w:color="C00000"/>
              <w:right w:val="double" w:sz="4" w:space="0" w:color="C00000"/>
            </w:tcBorders>
            <w:vAlign w:val="center"/>
            <w:hideMark/>
          </w:tcPr>
          <w:p w14:paraId="3FC9BE25" w14:textId="77777777" w:rsidR="00856F66" w:rsidRPr="00E31657" w:rsidRDefault="00856F66" w:rsidP="00F35453">
            <w:pPr>
              <w:rPr>
                <w:rFonts w:cs="Arial"/>
                <w:sz w:val="16"/>
                <w:szCs w:val="16"/>
                <w:lang w:val="es-ES_tradnl" w:eastAsia="es-MX"/>
              </w:rPr>
            </w:pPr>
          </w:p>
        </w:tc>
        <w:tc>
          <w:tcPr>
            <w:tcW w:w="315" w:type="pct"/>
            <w:vMerge/>
            <w:tcBorders>
              <w:top w:val="double" w:sz="4" w:space="0" w:color="C00000"/>
              <w:left w:val="double" w:sz="4" w:space="0" w:color="C00000"/>
              <w:bottom w:val="double" w:sz="4" w:space="0" w:color="C00000"/>
              <w:right w:val="double" w:sz="4" w:space="0" w:color="C00000"/>
            </w:tcBorders>
            <w:vAlign w:val="center"/>
            <w:hideMark/>
          </w:tcPr>
          <w:p w14:paraId="399071E0" w14:textId="77777777" w:rsidR="00856F66" w:rsidRPr="00E31657" w:rsidRDefault="00856F66" w:rsidP="00F35453">
            <w:pPr>
              <w:rPr>
                <w:rFonts w:cs="Arial"/>
                <w:sz w:val="16"/>
                <w:szCs w:val="16"/>
                <w:lang w:val="es-ES_tradnl" w:eastAsia="es-MX"/>
              </w:rPr>
            </w:pPr>
          </w:p>
        </w:tc>
        <w:tc>
          <w:tcPr>
            <w:tcW w:w="336" w:type="pct"/>
            <w:gridSpan w:val="2"/>
            <w:vMerge/>
            <w:tcBorders>
              <w:top w:val="double" w:sz="4" w:space="0" w:color="C00000"/>
              <w:left w:val="double" w:sz="4" w:space="0" w:color="C00000"/>
              <w:bottom w:val="double" w:sz="4" w:space="0" w:color="C00000"/>
              <w:right w:val="double" w:sz="4" w:space="0" w:color="C00000"/>
            </w:tcBorders>
            <w:vAlign w:val="center"/>
            <w:hideMark/>
          </w:tcPr>
          <w:p w14:paraId="756D6F72" w14:textId="77777777" w:rsidR="00856F66" w:rsidRPr="00E31657" w:rsidRDefault="00856F66" w:rsidP="00F35453">
            <w:pPr>
              <w:rPr>
                <w:rFonts w:cs="Arial"/>
                <w:sz w:val="16"/>
                <w:szCs w:val="16"/>
                <w:lang w:val="es-ES_tradnl" w:eastAsia="es-MX"/>
              </w:rPr>
            </w:pP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5956C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2.211.674.000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6325E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2.157.992.233</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EB2C4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2.199.895.372</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35A75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2.242.611.375</w:t>
            </w:r>
          </w:p>
        </w:tc>
        <w:tc>
          <w:tcPr>
            <w:tcW w:w="655" w:type="pct"/>
            <w:gridSpan w:val="2"/>
            <w:vMerge/>
            <w:tcBorders>
              <w:top w:val="double" w:sz="4" w:space="0" w:color="C00000"/>
              <w:left w:val="double" w:sz="4" w:space="0" w:color="C00000"/>
              <w:bottom w:val="double" w:sz="4" w:space="0" w:color="C00000"/>
            </w:tcBorders>
            <w:vAlign w:val="center"/>
            <w:hideMark/>
          </w:tcPr>
          <w:p w14:paraId="1460D85F" w14:textId="77777777" w:rsidR="00856F66" w:rsidRPr="00E31657" w:rsidRDefault="00856F66" w:rsidP="00F35453">
            <w:pPr>
              <w:rPr>
                <w:rFonts w:cs="Arial"/>
                <w:b/>
                <w:bCs/>
                <w:sz w:val="16"/>
                <w:szCs w:val="16"/>
                <w:lang w:val="es-ES_tradnl" w:eastAsia="es-MX"/>
              </w:rPr>
            </w:pPr>
          </w:p>
        </w:tc>
      </w:tr>
      <w:tr w:rsidR="00856F66" w:rsidRPr="00E31657" w14:paraId="27B2E474" w14:textId="77777777" w:rsidTr="00F974BB">
        <w:trPr>
          <w:trHeight w:val="510"/>
        </w:trPr>
        <w:tc>
          <w:tcPr>
            <w:tcW w:w="1033"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446C13" w14:textId="77777777" w:rsidR="00856F66" w:rsidRPr="00E31657" w:rsidRDefault="00856F66" w:rsidP="00F35453">
            <w:pPr>
              <w:rPr>
                <w:rFonts w:cs="Arial"/>
                <w:sz w:val="16"/>
                <w:szCs w:val="16"/>
                <w:lang w:val="es-ES_tradnl" w:eastAsia="es-MX"/>
              </w:rPr>
            </w:pPr>
            <w:r w:rsidRPr="00E31657">
              <w:rPr>
                <w:rFonts w:cs="Arial"/>
                <w:sz w:val="16"/>
                <w:szCs w:val="16"/>
                <w:lang w:val="es-ES_tradnl" w:eastAsia="es-MX"/>
              </w:rPr>
              <w:t>Implementar acciones conjuntas de intervención en áreas identificadas como críticas por la presencia de estructuras criminales</w:t>
            </w:r>
          </w:p>
        </w:tc>
        <w:tc>
          <w:tcPr>
            <w:tcW w:w="315"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F2C71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81</w:t>
            </w:r>
            <w:r w:rsidRPr="00E31657">
              <w:rPr>
                <w:rFonts w:cs="Arial"/>
                <w:sz w:val="16"/>
                <w:szCs w:val="16"/>
                <w:lang w:val="es-ES_tradnl" w:eastAsia="es-MX"/>
              </w:rPr>
              <w:br/>
              <w:t>(2020-2023)</w:t>
            </w:r>
          </w:p>
        </w:tc>
        <w:tc>
          <w:tcPr>
            <w:tcW w:w="336" w:type="pct"/>
            <w:gridSpan w:val="2"/>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CD25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1575E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589A0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1A9F9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6A418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w:t>
            </w:r>
          </w:p>
        </w:tc>
        <w:tc>
          <w:tcPr>
            <w:tcW w:w="655" w:type="pct"/>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46166D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30.823.547.920</w:t>
            </w:r>
          </w:p>
        </w:tc>
      </w:tr>
      <w:tr w:rsidR="00856F66" w:rsidRPr="00E31657" w14:paraId="715B43BB" w14:textId="77777777" w:rsidTr="007A1A2D">
        <w:trPr>
          <w:trHeight w:val="510"/>
        </w:trPr>
        <w:tc>
          <w:tcPr>
            <w:tcW w:w="1033" w:type="pct"/>
            <w:vMerge/>
            <w:tcBorders>
              <w:top w:val="double" w:sz="4" w:space="0" w:color="C00000"/>
              <w:bottom w:val="double" w:sz="4" w:space="0" w:color="C00000"/>
              <w:right w:val="double" w:sz="4" w:space="0" w:color="C00000"/>
            </w:tcBorders>
            <w:vAlign w:val="center"/>
            <w:hideMark/>
          </w:tcPr>
          <w:p w14:paraId="14F2FF46" w14:textId="77777777" w:rsidR="00856F66" w:rsidRPr="00E31657" w:rsidRDefault="00856F66" w:rsidP="00F35453">
            <w:pPr>
              <w:rPr>
                <w:rFonts w:cs="Arial"/>
                <w:sz w:val="16"/>
                <w:szCs w:val="16"/>
                <w:lang w:val="es-ES_tradnl" w:eastAsia="es-MX"/>
              </w:rPr>
            </w:pPr>
          </w:p>
        </w:tc>
        <w:tc>
          <w:tcPr>
            <w:tcW w:w="315" w:type="pct"/>
            <w:vMerge/>
            <w:tcBorders>
              <w:top w:val="double" w:sz="4" w:space="0" w:color="C00000"/>
              <w:left w:val="double" w:sz="4" w:space="0" w:color="C00000"/>
              <w:bottom w:val="double" w:sz="4" w:space="0" w:color="C00000"/>
              <w:right w:val="double" w:sz="4" w:space="0" w:color="C00000"/>
            </w:tcBorders>
            <w:vAlign w:val="center"/>
            <w:hideMark/>
          </w:tcPr>
          <w:p w14:paraId="4937DEB2" w14:textId="77777777" w:rsidR="00856F66" w:rsidRPr="00E31657" w:rsidRDefault="00856F66" w:rsidP="00F35453">
            <w:pPr>
              <w:rPr>
                <w:rFonts w:cs="Arial"/>
                <w:sz w:val="16"/>
                <w:szCs w:val="16"/>
                <w:lang w:val="es-ES_tradnl" w:eastAsia="es-MX"/>
              </w:rPr>
            </w:pPr>
          </w:p>
        </w:tc>
        <w:tc>
          <w:tcPr>
            <w:tcW w:w="336" w:type="pct"/>
            <w:gridSpan w:val="2"/>
            <w:vMerge/>
            <w:tcBorders>
              <w:top w:val="double" w:sz="4" w:space="0" w:color="C00000"/>
              <w:left w:val="double" w:sz="4" w:space="0" w:color="C00000"/>
              <w:bottom w:val="double" w:sz="4" w:space="0" w:color="C00000"/>
              <w:right w:val="double" w:sz="4" w:space="0" w:color="C00000"/>
            </w:tcBorders>
            <w:vAlign w:val="center"/>
            <w:hideMark/>
          </w:tcPr>
          <w:p w14:paraId="7F672A54" w14:textId="77777777" w:rsidR="00856F66" w:rsidRPr="00E31657" w:rsidRDefault="00856F66" w:rsidP="00F35453">
            <w:pPr>
              <w:rPr>
                <w:rFonts w:cs="Arial"/>
                <w:sz w:val="16"/>
                <w:szCs w:val="16"/>
                <w:lang w:val="es-ES_tradnl" w:eastAsia="es-MX"/>
              </w:rPr>
            </w:pPr>
          </w:p>
        </w:tc>
        <w:tc>
          <w:tcPr>
            <w:tcW w:w="676" w:type="pct"/>
            <w:gridSpan w:val="3"/>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CFC64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1.937.686.000</w:t>
            </w:r>
          </w:p>
        </w:tc>
        <w:tc>
          <w:tcPr>
            <w:tcW w:w="668"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F6BC6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8.709.037.864</w:t>
            </w:r>
          </w:p>
        </w:tc>
        <w:tc>
          <w:tcPr>
            <w:tcW w:w="665"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A6AC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9.794.338.769</w:t>
            </w:r>
          </w:p>
        </w:tc>
        <w:tc>
          <w:tcPr>
            <w:tcW w:w="652" w:type="pct"/>
            <w:gridSpan w:val="2"/>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258F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10.382.485.287</w:t>
            </w:r>
          </w:p>
        </w:tc>
        <w:tc>
          <w:tcPr>
            <w:tcW w:w="655" w:type="pct"/>
            <w:gridSpan w:val="2"/>
            <w:vMerge/>
            <w:tcBorders>
              <w:top w:val="double" w:sz="4" w:space="0" w:color="C00000"/>
              <w:left w:val="double" w:sz="4" w:space="0" w:color="C00000"/>
              <w:bottom w:val="double" w:sz="4" w:space="0" w:color="C00000"/>
            </w:tcBorders>
            <w:vAlign w:val="center"/>
            <w:hideMark/>
          </w:tcPr>
          <w:p w14:paraId="64F3A058" w14:textId="77777777" w:rsidR="00856F66" w:rsidRPr="00E31657" w:rsidRDefault="00856F66" w:rsidP="00F35453">
            <w:pPr>
              <w:rPr>
                <w:rFonts w:cs="Arial"/>
                <w:b/>
                <w:bCs/>
                <w:sz w:val="16"/>
                <w:szCs w:val="16"/>
                <w:lang w:val="es-ES_tradnl" w:eastAsia="es-MX"/>
              </w:rPr>
            </w:pPr>
          </w:p>
        </w:tc>
      </w:tr>
    </w:tbl>
    <w:p w14:paraId="55424F20" w14:textId="77777777" w:rsidR="00856F66" w:rsidRPr="00E31657" w:rsidRDefault="00856F66">
      <w:pPr>
        <w:rPr>
          <w:sz w:val="16"/>
          <w:szCs w:val="16"/>
          <w:lang w:val="es-ES_tradnl"/>
        </w:rPr>
      </w:pPr>
    </w:p>
    <w:p w14:paraId="1563DB04" w14:textId="77777777" w:rsidR="00856F66" w:rsidRPr="00E31657" w:rsidRDefault="00856F66">
      <w:pPr>
        <w:rPr>
          <w:sz w:val="16"/>
          <w:szCs w:val="16"/>
          <w:lang w:val="es-ES_tradnl"/>
        </w:rPr>
      </w:pPr>
    </w:p>
    <w:tbl>
      <w:tblPr>
        <w:tblW w:w="5000" w:type="pct"/>
        <w:tblCellMar>
          <w:left w:w="0" w:type="dxa"/>
          <w:right w:w="0" w:type="dxa"/>
        </w:tblCellMar>
        <w:tblLook w:val="04A0" w:firstRow="1" w:lastRow="0" w:firstColumn="1" w:lastColumn="0" w:noHBand="0" w:noVBand="1"/>
      </w:tblPr>
      <w:tblGrid>
        <w:gridCol w:w="2277"/>
        <w:gridCol w:w="612"/>
        <w:gridCol w:w="694"/>
        <w:gridCol w:w="1161"/>
        <w:gridCol w:w="1113"/>
        <w:gridCol w:w="1190"/>
        <w:gridCol w:w="1125"/>
        <w:gridCol w:w="1188"/>
      </w:tblGrid>
      <w:tr w:rsidR="00856F66" w:rsidRPr="00E31657" w14:paraId="5099D42F" w14:textId="77777777" w:rsidTr="008D0308">
        <w:trPr>
          <w:trHeight w:val="315"/>
        </w:trPr>
        <w:tc>
          <w:tcPr>
            <w:tcW w:w="5000" w:type="pct"/>
            <w:gridSpan w:val="8"/>
            <w:tcBorders>
              <w:bottom w:val="double" w:sz="4" w:space="0" w:color="C00000"/>
            </w:tcBorders>
            <w:tcMar>
              <w:top w:w="30" w:type="dxa"/>
              <w:left w:w="45" w:type="dxa"/>
              <w:bottom w:w="30" w:type="dxa"/>
              <w:right w:w="45" w:type="dxa"/>
            </w:tcMar>
            <w:vAlign w:val="center"/>
            <w:hideMark/>
          </w:tcPr>
          <w:p w14:paraId="32D5D6AF" w14:textId="77777777" w:rsidR="00856F66" w:rsidRPr="007A1A2D" w:rsidRDefault="00856F66" w:rsidP="007A1A2D">
            <w:pPr>
              <w:pStyle w:val="Ttulo"/>
              <w:jc w:val="center"/>
              <w:rPr>
                <w:rFonts w:ascii="Candara" w:eastAsia="Times New Roman" w:hAnsi="Candara"/>
                <w:sz w:val="24"/>
                <w:szCs w:val="24"/>
                <w:lang w:val="es-ES_tradnl" w:eastAsia="es-MX"/>
              </w:rPr>
            </w:pPr>
            <w:r w:rsidRPr="006E34FC">
              <w:rPr>
                <w:rFonts w:ascii="Candara" w:eastAsia="Times New Roman" w:hAnsi="Candara"/>
                <w:b/>
                <w:bCs/>
                <w:color w:val="C00000"/>
                <w:sz w:val="22"/>
                <w:szCs w:val="22"/>
                <w:lang w:val="es-ES_tradnl" w:eastAsia="es-MX"/>
              </w:rPr>
              <w:t>Programa 4.</w:t>
            </w:r>
            <w:r w:rsidRPr="006E34FC">
              <w:rPr>
                <w:rFonts w:ascii="Candara" w:eastAsia="Times New Roman" w:hAnsi="Candara"/>
                <w:color w:val="C00000"/>
                <w:sz w:val="22"/>
                <w:szCs w:val="22"/>
                <w:lang w:val="es-ES_tradnl" w:eastAsia="es-MX"/>
              </w:rPr>
              <w:t xml:space="preserve"> </w:t>
            </w:r>
            <w:r w:rsidRPr="006E34FC">
              <w:rPr>
                <w:rFonts w:ascii="Candara" w:eastAsia="Times New Roman" w:hAnsi="Candara"/>
                <w:bCs/>
                <w:sz w:val="22"/>
                <w:szCs w:val="22"/>
                <w:lang w:val="es-ES_tradnl" w:eastAsia="es-MX"/>
              </w:rPr>
              <w:t>Servicios centrados en la justicia</w:t>
            </w:r>
          </w:p>
        </w:tc>
      </w:tr>
      <w:tr w:rsidR="00856F66" w:rsidRPr="00E31657" w14:paraId="212EBA2D" w14:textId="77777777" w:rsidTr="00302085">
        <w:trPr>
          <w:trHeight w:val="703"/>
        </w:trPr>
        <w:tc>
          <w:tcPr>
            <w:tcW w:w="1280" w:type="pct"/>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386DFC65" w14:textId="27A75BA2" w:rsidR="00856F66" w:rsidRPr="00E31657" w:rsidRDefault="00DE3C42" w:rsidP="00DE3C42">
            <w:pPr>
              <w:pStyle w:val="Ttulo"/>
              <w:jc w:val="center"/>
              <w:rPr>
                <w:rFonts w:eastAsia="Times New Roman"/>
                <w:color w:val="FFFFFF"/>
                <w:lang w:val="es-ES_tradnl" w:eastAsia="es-MX"/>
              </w:rPr>
            </w:pPr>
            <w:r w:rsidRPr="00DE3C42">
              <w:rPr>
                <w:rFonts w:ascii="Candara" w:eastAsia="Times New Roman" w:hAnsi="Candara"/>
                <w:b/>
                <w:bCs/>
                <w:color w:val="FFFFFF" w:themeColor="background1"/>
                <w:sz w:val="24"/>
                <w:szCs w:val="24"/>
                <w:lang w:val="es-ES_tradnl" w:eastAsia="es-MX"/>
              </w:rPr>
              <w:t xml:space="preserve">Sector / </w:t>
            </w:r>
            <w:r>
              <w:rPr>
                <w:rFonts w:ascii="Candara" w:eastAsia="Times New Roman" w:hAnsi="Candara"/>
                <w:b/>
                <w:bCs/>
                <w:color w:val="FFFFFF" w:themeColor="background1"/>
                <w:sz w:val="24"/>
                <w:szCs w:val="24"/>
                <w:lang w:val="es-ES_tradnl" w:eastAsia="es-MX"/>
              </w:rPr>
              <w:br/>
            </w:r>
            <w:r w:rsidRPr="00DE3C42">
              <w:rPr>
                <w:rFonts w:ascii="Candara" w:eastAsia="Times New Roman" w:hAnsi="Candara"/>
                <w:b/>
                <w:bCs/>
                <w:color w:val="FFFFFF" w:themeColor="background1"/>
                <w:sz w:val="24"/>
                <w:szCs w:val="24"/>
                <w:lang w:val="es-ES_tradnl" w:eastAsia="es-MX"/>
              </w:rPr>
              <w:t>Metas</w:t>
            </w:r>
          </w:p>
        </w:tc>
        <w:tc>
          <w:tcPr>
            <w:tcW w:w="3720" w:type="pct"/>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6E78890D" w14:textId="77777777" w:rsidR="00856F66" w:rsidRPr="00E31657" w:rsidRDefault="00856F66" w:rsidP="007A1A2D">
            <w:pPr>
              <w:pStyle w:val="Ttulo"/>
              <w:jc w:val="center"/>
              <w:rPr>
                <w:rFonts w:eastAsia="Times New Roman"/>
                <w:color w:val="FFFFFF"/>
                <w:lang w:val="es-ES_tradnl" w:eastAsia="es-MX"/>
              </w:rPr>
            </w:pPr>
            <w:r w:rsidRPr="007A1A2D">
              <w:rPr>
                <w:rFonts w:ascii="Candara" w:eastAsia="Times New Roman" w:hAnsi="Candara"/>
                <w:b/>
                <w:bCs/>
                <w:color w:val="FFFFFF" w:themeColor="background1"/>
                <w:sz w:val="24"/>
                <w:szCs w:val="24"/>
                <w:lang w:val="es-ES_tradnl" w:eastAsia="es-MX"/>
              </w:rPr>
              <w:t xml:space="preserve">Magnitudes e Inversión </w:t>
            </w:r>
            <w:r w:rsidRPr="007A1A2D">
              <w:rPr>
                <w:rFonts w:ascii="Candara" w:eastAsia="Times New Roman" w:hAnsi="Candara"/>
                <w:b/>
                <w:bCs/>
                <w:color w:val="FFFFFF" w:themeColor="background1"/>
                <w:sz w:val="24"/>
                <w:szCs w:val="24"/>
                <w:lang w:val="es-ES_tradnl" w:eastAsia="es-MX"/>
              </w:rPr>
              <w:br/>
              <w:t>(Precios Constantes 2024)</w:t>
            </w:r>
          </w:p>
        </w:tc>
      </w:tr>
      <w:tr w:rsidR="00856F66" w:rsidRPr="00E31657" w14:paraId="086B06A2" w14:textId="77777777" w:rsidTr="00302085">
        <w:trPr>
          <w:trHeight w:val="315"/>
        </w:trPr>
        <w:tc>
          <w:tcPr>
            <w:tcW w:w="1280" w:type="pct"/>
            <w:vMerge/>
            <w:tcBorders>
              <w:top w:val="double" w:sz="4" w:space="0" w:color="C00000"/>
              <w:bottom w:val="double" w:sz="4" w:space="0" w:color="C00000"/>
              <w:right w:val="double" w:sz="4" w:space="0" w:color="C00000"/>
            </w:tcBorders>
            <w:vAlign w:val="center"/>
            <w:hideMark/>
          </w:tcPr>
          <w:p w14:paraId="18A90CF8" w14:textId="77777777" w:rsidR="00856F66" w:rsidRPr="00E31657" w:rsidRDefault="00856F66" w:rsidP="00F35453">
            <w:pPr>
              <w:rPr>
                <w:rFonts w:cs="Arial"/>
                <w:b/>
                <w:bCs/>
                <w:color w:val="FFFFFF"/>
                <w:sz w:val="16"/>
                <w:szCs w:val="16"/>
                <w:lang w:val="es-ES_tradnl" w:eastAsia="es-MX"/>
              </w:rPr>
            </w:pPr>
          </w:p>
        </w:tc>
        <w:tc>
          <w:tcPr>
            <w:tcW w:w="390"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2863378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434"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156CB3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82"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9BE5F7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558"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760F5F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597"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DC9618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564"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1AFF6A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596" w:type="pct"/>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4696208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DDAB309" w14:textId="77777777" w:rsidTr="008D0308">
        <w:trPr>
          <w:trHeight w:val="315"/>
        </w:trPr>
        <w:tc>
          <w:tcPr>
            <w:tcW w:w="5000" w:type="pct"/>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CEA26AF"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Integración social</w:t>
            </w:r>
          </w:p>
        </w:tc>
      </w:tr>
      <w:tr w:rsidR="00856F66" w:rsidRPr="00E31657" w14:paraId="431897F4" w14:textId="77777777" w:rsidTr="00302085">
        <w:trPr>
          <w:trHeight w:val="315"/>
        </w:trPr>
        <w:tc>
          <w:tcPr>
            <w:tcW w:w="1280"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13213C" w14:textId="77777777" w:rsidR="00856F66" w:rsidRPr="00E31657" w:rsidRDefault="00856F66" w:rsidP="00302085">
            <w:pPr>
              <w:jc w:val="right"/>
              <w:rPr>
                <w:rFonts w:cs="Arial"/>
                <w:sz w:val="16"/>
                <w:szCs w:val="16"/>
                <w:lang w:val="es-ES_tradnl" w:eastAsia="es-MX"/>
              </w:rPr>
            </w:pPr>
            <w:r w:rsidRPr="00E31657">
              <w:rPr>
                <w:rFonts w:cs="Arial"/>
                <w:sz w:val="16"/>
                <w:szCs w:val="16"/>
                <w:lang w:val="es-ES_tradnl" w:eastAsia="es-MX"/>
              </w:rPr>
              <w:t>Llegar a 67 equipos interdisciplinarios para las Comisarías de Familia en Bogotá de acuerdo con la ley 2126 de 2021</w:t>
            </w:r>
          </w:p>
        </w:tc>
        <w:tc>
          <w:tcPr>
            <w:tcW w:w="39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EEC0C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51</w:t>
            </w:r>
            <w:r w:rsidRPr="00E31657">
              <w:rPr>
                <w:rFonts w:cs="Arial"/>
                <w:sz w:val="16"/>
                <w:szCs w:val="16"/>
                <w:lang w:val="es-ES_tradnl" w:eastAsia="es-MX"/>
              </w:rPr>
              <w:br/>
              <w:t>(2023)</w:t>
            </w:r>
          </w:p>
        </w:tc>
        <w:tc>
          <w:tcPr>
            <w:tcW w:w="434"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66852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Includata - Secretaría de Integración Social</w:t>
            </w: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0F3AE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51</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5394E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57</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84F5E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62</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D991F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67</w:t>
            </w:r>
          </w:p>
        </w:tc>
        <w:tc>
          <w:tcPr>
            <w:tcW w:w="596"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4C20A7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61.558.516.818</w:t>
            </w:r>
          </w:p>
        </w:tc>
      </w:tr>
      <w:tr w:rsidR="00856F66" w:rsidRPr="00E31657" w14:paraId="35410B93" w14:textId="77777777" w:rsidTr="00302085">
        <w:trPr>
          <w:trHeight w:val="315"/>
        </w:trPr>
        <w:tc>
          <w:tcPr>
            <w:tcW w:w="1280" w:type="pct"/>
            <w:vMerge/>
            <w:tcBorders>
              <w:top w:val="double" w:sz="4" w:space="0" w:color="C00000"/>
              <w:bottom w:val="double" w:sz="4" w:space="0" w:color="C00000"/>
              <w:right w:val="double" w:sz="4" w:space="0" w:color="C00000"/>
            </w:tcBorders>
            <w:vAlign w:val="center"/>
            <w:hideMark/>
          </w:tcPr>
          <w:p w14:paraId="218A36DF" w14:textId="77777777" w:rsidR="00856F66" w:rsidRPr="00E31657" w:rsidRDefault="00856F66" w:rsidP="00302085">
            <w:pPr>
              <w:jc w:val="right"/>
              <w:rPr>
                <w:rFonts w:cs="Arial"/>
                <w:sz w:val="16"/>
                <w:szCs w:val="16"/>
                <w:lang w:val="es-ES_tradnl" w:eastAsia="es-MX"/>
              </w:rPr>
            </w:pPr>
          </w:p>
        </w:tc>
        <w:tc>
          <w:tcPr>
            <w:tcW w:w="390" w:type="pct"/>
            <w:vMerge/>
            <w:tcBorders>
              <w:top w:val="double" w:sz="4" w:space="0" w:color="C00000"/>
              <w:left w:val="double" w:sz="4" w:space="0" w:color="C00000"/>
              <w:bottom w:val="double" w:sz="4" w:space="0" w:color="C00000"/>
              <w:right w:val="double" w:sz="4" w:space="0" w:color="C00000"/>
            </w:tcBorders>
            <w:vAlign w:val="center"/>
            <w:hideMark/>
          </w:tcPr>
          <w:p w14:paraId="4E67CA93" w14:textId="77777777" w:rsidR="00856F66" w:rsidRPr="00E31657" w:rsidRDefault="00856F66" w:rsidP="00F35453">
            <w:pPr>
              <w:rPr>
                <w:rFonts w:cs="Arial"/>
                <w:sz w:val="16"/>
                <w:szCs w:val="16"/>
                <w:lang w:val="es-ES_tradnl" w:eastAsia="es-MX"/>
              </w:rPr>
            </w:pPr>
          </w:p>
        </w:tc>
        <w:tc>
          <w:tcPr>
            <w:tcW w:w="434" w:type="pct"/>
            <w:vMerge/>
            <w:tcBorders>
              <w:top w:val="double" w:sz="4" w:space="0" w:color="C00000"/>
              <w:left w:val="double" w:sz="4" w:space="0" w:color="C00000"/>
              <w:bottom w:val="double" w:sz="4" w:space="0" w:color="C00000"/>
              <w:right w:val="double" w:sz="4" w:space="0" w:color="C00000"/>
            </w:tcBorders>
            <w:vAlign w:val="center"/>
            <w:hideMark/>
          </w:tcPr>
          <w:p w14:paraId="7ED340C4" w14:textId="77777777" w:rsidR="00856F66" w:rsidRPr="00E31657" w:rsidRDefault="00856F66" w:rsidP="00F35453">
            <w:pPr>
              <w:rPr>
                <w:rFonts w:cs="Arial"/>
                <w:sz w:val="16"/>
                <w:szCs w:val="16"/>
                <w:lang w:val="es-ES_tradnl" w:eastAsia="es-MX"/>
              </w:rPr>
            </w:pP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68977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14.741.000.000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87783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15.129.126.214</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1C84F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15.733.810.915</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26CD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15.954.579.689</w:t>
            </w:r>
          </w:p>
        </w:tc>
        <w:tc>
          <w:tcPr>
            <w:tcW w:w="596" w:type="pct"/>
            <w:vMerge/>
            <w:tcBorders>
              <w:top w:val="double" w:sz="4" w:space="0" w:color="C00000"/>
              <w:left w:val="double" w:sz="4" w:space="0" w:color="C00000"/>
              <w:bottom w:val="double" w:sz="4" w:space="0" w:color="C00000"/>
            </w:tcBorders>
            <w:vAlign w:val="center"/>
            <w:hideMark/>
          </w:tcPr>
          <w:p w14:paraId="0C946DB2" w14:textId="77777777" w:rsidR="00856F66" w:rsidRPr="00E31657" w:rsidRDefault="00856F66" w:rsidP="00F35453">
            <w:pPr>
              <w:rPr>
                <w:rFonts w:cs="Arial"/>
                <w:b/>
                <w:bCs/>
                <w:sz w:val="16"/>
                <w:szCs w:val="16"/>
                <w:lang w:val="es-ES_tradnl" w:eastAsia="es-MX"/>
              </w:rPr>
            </w:pPr>
          </w:p>
        </w:tc>
      </w:tr>
      <w:tr w:rsidR="00856F66" w:rsidRPr="00E31657" w14:paraId="2B4D7F3F" w14:textId="77777777" w:rsidTr="00302085">
        <w:trPr>
          <w:trHeight w:val="315"/>
        </w:trPr>
        <w:tc>
          <w:tcPr>
            <w:tcW w:w="5000" w:type="pct"/>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B65CBF0"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Seguridad convivencia y justicia</w:t>
            </w:r>
          </w:p>
        </w:tc>
      </w:tr>
      <w:tr w:rsidR="00856F66" w:rsidRPr="00E31657" w14:paraId="4B5CBCF8" w14:textId="77777777" w:rsidTr="00302085">
        <w:trPr>
          <w:trHeight w:val="315"/>
        </w:trPr>
        <w:tc>
          <w:tcPr>
            <w:tcW w:w="1280"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174B2F" w14:textId="77777777" w:rsidR="00856F66" w:rsidRPr="00E31657" w:rsidRDefault="00856F66" w:rsidP="00302085">
            <w:pPr>
              <w:jc w:val="right"/>
              <w:rPr>
                <w:rFonts w:cs="Arial"/>
                <w:sz w:val="16"/>
                <w:szCs w:val="16"/>
                <w:lang w:val="es-ES_tradnl" w:eastAsia="es-MX"/>
              </w:rPr>
            </w:pPr>
            <w:r w:rsidRPr="00E31657">
              <w:rPr>
                <w:rFonts w:cs="Arial"/>
                <w:sz w:val="16"/>
                <w:szCs w:val="16"/>
                <w:lang w:val="es-ES_tradnl" w:eastAsia="es-MX"/>
              </w:rPr>
              <w:t>Ampliar en 2 equipamientos para la atención de las personas privadas de la libertad</w:t>
            </w:r>
          </w:p>
        </w:tc>
        <w:tc>
          <w:tcPr>
            <w:tcW w:w="39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AC25D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4"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35565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3D42C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36E48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E986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CE42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596"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8CA7E5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268.984.154.075</w:t>
            </w:r>
          </w:p>
        </w:tc>
      </w:tr>
      <w:tr w:rsidR="00856F66" w:rsidRPr="00E31657" w14:paraId="336D5ED6" w14:textId="77777777" w:rsidTr="00302085">
        <w:trPr>
          <w:trHeight w:val="315"/>
        </w:trPr>
        <w:tc>
          <w:tcPr>
            <w:tcW w:w="1280" w:type="pct"/>
            <w:vMerge/>
            <w:tcBorders>
              <w:top w:val="double" w:sz="4" w:space="0" w:color="C00000"/>
              <w:bottom w:val="double" w:sz="4" w:space="0" w:color="C00000"/>
              <w:right w:val="double" w:sz="4" w:space="0" w:color="C00000"/>
            </w:tcBorders>
            <w:vAlign w:val="center"/>
            <w:hideMark/>
          </w:tcPr>
          <w:p w14:paraId="3FCA643D" w14:textId="77777777" w:rsidR="00856F66" w:rsidRPr="00E31657" w:rsidRDefault="00856F66" w:rsidP="00302085">
            <w:pPr>
              <w:jc w:val="right"/>
              <w:rPr>
                <w:rFonts w:cs="Arial"/>
                <w:sz w:val="16"/>
                <w:szCs w:val="16"/>
                <w:lang w:val="es-ES_tradnl" w:eastAsia="es-MX"/>
              </w:rPr>
            </w:pPr>
          </w:p>
        </w:tc>
        <w:tc>
          <w:tcPr>
            <w:tcW w:w="390" w:type="pct"/>
            <w:vMerge/>
            <w:tcBorders>
              <w:top w:val="double" w:sz="4" w:space="0" w:color="C00000"/>
              <w:left w:val="double" w:sz="4" w:space="0" w:color="C00000"/>
              <w:bottom w:val="double" w:sz="4" w:space="0" w:color="C00000"/>
              <w:right w:val="double" w:sz="4" w:space="0" w:color="C00000"/>
            </w:tcBorders>
            <w:vAlign w:val="center"/>
            <w:hideMark/>
          </w:tcPr>
          <w:p w14:paraId="52745273" w14:textId="77777777" w:rsidR="00856F66" w:rsidRPr="00E31657" w:rsidRDefault="00856F66" w:rsidP="00F35453">
            <w:pPr>
              <w:rPr>
                <w:rFonts w:cs="Arial"/>
                <w:sz w:val="16"/>
                <w:szCs w:val="16"/>
                <w:lang w:val="es-ES_tradnl" w:eastAsia="es-MX"/>
              </w:rPr>
            </w:pPr>
          </w:p>
        </w:tc>
        <w:tc>
          <w:tcPr>
            <w:tcW w:w="434" w:type="pct"/>
            <w:vMerge/>
            <w:tcBorders>
              <w:top w:val="double" w:sz="4" w:space="0" w:color="C00000"/>
              <w:left w:val="double" w:sz="4" w:space="0" w:color="C00000"/>
              <w:bottom w:val="double" w:sz="4" w:space="0" w:color="C00000"/>
              <w:right w:val="double" w:sz="4" w:space="0" w:color="C00000"/>
            </w:tcBorders>
            <w:vAlign w:val="center"/>
            <w:hideMark/>
          </w:tcPr>
          <w:p w14:paraId="538BDAE5" w14:textId="77777777" w:rsidR="00856F66" w:rsidRPr="00E31657" w:rsidRDefault="00856F66" w:rsidP="00F35453">
            <w:pPr>
              <w:rPr>
                <w:rFonts w:cs="Arial"/>
                <w:sz w:val="16"/>
                <w:szCs w:val="16"/>
                <w:lang w:val="es-ES_tradnl" w:eastAsia="es-MX"/>
              </w:rPr>
            </w:pP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596A3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24.990.000.000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4CB6D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58.252.427.184</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0E4CE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108.869.827.505</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A9708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76.871.899.386</w:t>
            </w:r>
          </w:p>
        </w:tc>
        <w:tc>
          <w:tcPr>
            <w:tcW w:w="596" w:type="pct"/>
            <w:vMerge/>
            <w:tcBorders>
              <w:top w:val="double" w:sz="4" w:space="0" w:color="C00000"/>
              <w:left w:val="double" w:sz="4" w:space="0" w:color="C00000"/>
              <w:bottom w:val="double" w:sz="4" w:space="0" w:color="C00000"/>
            </w:tcBorders>
            <w:vAlign w:val="center"/>
            <w:hideMark/>
          </w:tcPr>
          <w:p w14:paraId="384E6B0B" w14:textId="77777777" w:rsidR="00856F66" w:rsidRPr="00E31657" w:rsidRDefault="00856F66" w:rsidP="00F35453">
            <w:pPr>
              <w:rPr>
                <w:rFonts w:cs="Arial"/>
                <w:b/>
                <w:bCs/>
                <w:sz w:val="16"/>
                <w:szCs w:val="16"/>
                <w:lang w:val="es-ES_tradnl" w:eastAsia="es-MX"/>
              </w:rPr>
            </w:pPr>
          </w:p>
        </w:tc>
      </w:tr>
      <w:tr w:rsidR="00856F66" w:rsidRPr="00E31657" w14:paraId="1E73DAD1" w14:textId="77777777" w:rsidTr="00302085">
        <w:trPr>
          <w:trHeight w:val="315"/>
        </w:trPr>
        <w:tc>
          <w:tcPr>
            <w:tcW w:w="1280"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DC096B" w14:textId="77777777" w:rsidR="00856F66" w:rsidRPr="00E31657" w:rsidRDefault="00856F66" w:rsidP="00302085">
            <w:pPr>
              <w:jc w:val="right"/>
              <w:rPr>
                <w:rFonts w:cs="Arial"/>
                <w:sz w:val="16"/>
                <w:szCs w:val="16"/>
                <w:lang w:val="es-ES_tradnl" w:eastAsia="es-MX"/>
              </w:rPr>
            </w:pPr>
            <w:r w:rsidRPr="00E31657">
              <w:rPr>
                <w:rFonts w:cs="Arial"/>
                <w:sz w:val="16"/>
                <w:szCs w:val="16"/>
                <w:lang w:val="es-ES_tradnl" w:eastAsia="es-MX"/>
              </w:rPr>
              <w:t xml:space="preserve">Ampliar en 7 equipamientos la oferta de servicios de acceso a la justicia y convivencia </w:t>
            </w:r>
          </w:p>
        </w:tc>
        <w:tc>
          <w:tcPr>
            <w:tcW w:w="39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6200E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4"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C945C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86D56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B5E93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C00B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7648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596"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1D0B31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183.792.342.003</w:t>
            </w:r>
          </w:p>
        </w:tc>
      </w:tr>
      <w:tr w:rsidR="00856F66" w:rsidRPr="00E31657" w14:paraId="28855896" w14:textId="77777777" w:rsidTr="00302085">
        <w:trPr>
          <w:trHeight w:val="315"/>
        </w:trPr>
        <w:tc>
          <w:tcPr>
            <w:tcW w:w="1280" w:type="pct"/>
            <w:vMerge/>
            <w:tcBorders>
              <w:top w:val="double" w:sz="4" w:space="0" w:color="C00000"/>
              <w:bottom w:val="double" w:sz="4" w:space="0" w:color="C00000"/>
              <w:right w:val="double" w:sz="4" w:space="0" w:color="C00000"/>
            </w:tcBorders>
            <w:vAlign w:val="center"/>
            <w:hideMark/>
          </w:tcPr>
          <w:p w14:paraId="5D9E4CC1" w14:textId="77777777" w:rsidR="00856F66" w:rsidRPr="00E31657" w:rsidRDefault="00856F66" w:rsidP="00302085">
            <w:pPr>
              <w:jc w:val="right"/>
              <w:rPr>
                <w:rFonts w:cs="Arial"/>
                <w:sz w:val="16"/>
                <w:szCs w:val="16"/>
                <w:lang w:val="es-ES_tradnl" w:eastAsia="es-MX"/>
              </w:rPr>
            </w:pPr>
          </w:p>
        </w:tc>
        <w:tc>
          <w:tcPr>
            <w:tcW w:w="390" w:type="pct"/>
            <w:vMerge/>
            <w:tcBorders>
              <w:top w:val="double" w:sz="4" w:space="0" w:color="C00000"/>
              <w:left w:val="double" w:sz="4" w:space="0" w:color="C00000"/>
              <w:bottom w:val="double" w:sz="4" w:space="0" w:color="C00000"/>
              <w:right w:val="double" w:sz="4" w:space="0" w:color="C00000"/>
            </w:tcBorders>
            <w:vAlign w:val="center"/>
            <w:hideMark/>
          </w:tcPr>
          <w:p w14:paraId="1CF3773C" w14:textId="77777777" w:rsidR="00856F66" w:rsidRPr="00E31657" w:rsidRDefault="00856F66" w:rsidP="00F35453">
            <w:pPr>
              <w:rPr>
                <w:rFonts w:cs="Arial"/>
                <w:sz w:val="16"/>
                <w:szCs w:val="16"/>
                <w:lang w:val="es-ES_tradnl" w:eastAsia="es-MX"/>
              </w:rPr>
            </w:pPr>
          </w:p>
        </w:tc>
        <w:tc>
          <w:tcPr>
            <w:tcW w:w="434" w:type="pct"/>
            <w:vMerge/>
            <w:tcBorders>
              <w:top w:val="double" w:sz="4" w:space="0" w:color="C00000"/>
              <w:left w:val="double" w:sz="4" w:space="0" w:color="C00000"/>
              <w:bottom w:val="double" w:sz="4" w:space="0" w:color="C00000"/>
              <w:right w:val="double" w:sz="4" w:space="0" w:color="C00000"/>
            </w:tcBorders>
            <w:vAlign w:val="center"/>
            <w:hideMark/>
          </w:tcPr>
          <w:p w14:paraId="4331FA96" w14:textId="77777777" w:rsidR="00856F66" w:rsidRPr="00E31657" w:rsidRDefault="00856F66" w:rsidP="00F35453">
            <w:pPr>
              <w:rPr>
                <w:rFonts w:cs="Arial"/>
                <w:sz w:val="16"/>
                <w:szCs w:val="16"/>
                <w:lang w:val="es-ES_tradnl" w:eastAsia="es-MX"/>
              </w:rPr>
            </w:pP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6712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39BEF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32.432.038.835</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5F5FB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76.334.244.509</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E70D5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75.026.058.659</w:t>
            </w:r>
          </w:p>
        </w:tc>
        <w:tc>
          <w:tcPr>
            <w:tcW w:w="596" w:type="pct"/>
            <w:vMerge/>
            <w:tcBorders>
              <w:top w:val="double" w:sz="4" w:space="0" w:color="C00000"/>
              <w:left w:val="double" w:sz="4" w:space="0" w:color="C00000"/>
              <w:bottom w:val="double" w:sz="4" w:space="0" w:color="C00000"/>
            </w:tcBorders>
            <w:vAlign w:val="center"/>
            <w:hideMark/>
          </w:tcPr>
          <w:p w14:paraId="1DF704F1" w14:textId="77777777" w:rsidR="00856F66" w:rsidRPr="00E31657" w:rsidRDefault="00856F66" w:rsidP="00F35453">
            <w:pPr>
              <w:rPr>
                <w:rFonts w:cs="Arial"/>
                <w:b/>
                <w:bCs/>
                <w:sz w:val="16"/>
                <w:szCs w:val="16"/>
                <w:lang w:val="es-ES_tradnl" w:eastAsia="es-MX"/>
              </w:rPr>
            </w:pPr>
          </w:p>
        </w:tc>
      </w:tr>
      <w:tr w:rsidR="00856F66" w:rsidRPr="00E31657" w14:paraId="72D1A92C" w14:textId="77777777" w:rsidTr="00302085">
        <w:trPr>
          <w:trHeight w:val="315"/>
        </w:trPr>
        <w:tc>
          <w:tcPr>
            <w:tcW w:w="1280"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A42D77" w14:textId="77777777" w:rsidR="00856F66" w:rsidRPr="00E31657" w:rsidRDefault="00856F66" w:rsidP="00302085">
            <w:pPr>
              <w:jc w:val="right"/>
              <w:rPr>
                <w:rFonts w:cs="Arial"/>
                <w:sz w:val="16"/>
                <w:szCs w:val="16"/>
                <w:lang w:val="es-ES_tradnl" w:eastAsia="es-MX"/>
              </w:rPr>
            </w:pPr>
            <w:r w:rsidRPr="00E31657">
              <w:rPr>
                <w:rFonts w:cs="Arial"/>
                <w:sz w:val="16"/>
                <w:szCs w:val="16"/>
                <w:lang w:val="es-ES_tradnl" w:eastAsia="es-MX"/>
              </w:rPr>
              <w:t>Estructurar el Sistema Distrital de Justicia para articular servicios funcionales de acceso a la justicia</w:t>
            </w:r>
          </w:p>
        </w:tc>
        <w:tc>
          <w:tcPr>
            <w:tcW w:w="39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70DFD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81%</w:t>
            </w:r>
            <w:r w:rsidRPr="00E31657">
              <w:rPr>
                <w:rFonts w:cs="Arial"/>
                <w:sz w:val="16"/>
                <w:szCs w:val="16"/>
                <w:lang w:val="es-ES_tradnl" w:eastAsia="es-MX"/>
              </w:rPr>
              <w:br/>
              <w:t>(2023)</w:t>
            </w:r>
          </w:p>
        </w:tc>
        <w:tc>
          <w:tcPr>
            <w:tcW w:w="434"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47D1A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430D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81%</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72371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89%</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B75E3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89%</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A74CE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96"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B3E5F10"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65.423.796.716</w:t>
            </w:r>
          </w:p>
        </w:tc>
      </w:tr>
      <w:tr w:rsidR="00856F66" w:rsidRPr="00E31657" w14:paraId="44D310BB" w14:textId="77777777" w:rsidTr="00302085">
        <w:trPr>
          <w:trHeight w:val="540"/>
        </w:trPr>
        <w:tc>
          <w:tcPr>
            <w:tcW w:w="1280" w:type="pct"/>
            <w:vMerge/>
            <w:tcBorders>
              <w:top w:val="double" w:sz="4" w:space="0" w:color="C00000"/>
              <w:bottom w:val="double" w:sz="4" w:space="0" w:color="C00000"/>
              <w:right w:val="double" w:sz="4" w:space="0" w:color="C00000"/>
            </w:tcBorders>
            <w:vAlign w:val="center"/>
            <w:hideMark/>
          </w:tcPr>
          <w:p w14:paraId="7053FE4F" w14:textId="77777777" w:rsidR="00856F66" w:rsidRPr="00E31657" w:rsidRDefault="00856F66" w:rsidP="00302085">
            <w:pPr>
              <w:jc w:val="right"/>
              <w:rPr>
                <w:rFonts w:cs="Arial"/>
                <w:sz w:val="16"/>
                <w:szCs w:val="16"/>
                <w:lang w:val="es-ES_tradnl" w:eastAsia="es-MX"/>
              </w:rPr>
            </w:pPr>
          </w:p>
        </w:tc>
        <w:tc>
          <w:tcPr>
            <w:tcW w:w="390" w:type="pct"/>
            <w:vMerge/>
            <w:tcBorders>
              <w:top w:val="double" w:sz="4" w:space="0" w:color="C00000"/>
              <w:left w:val="double" w:sz="4" w:space="0" w:color="C00000"/>
              <w:bottom w:val="double" w:sz="4" w:space="0" w:color="C00000"/>
              <w:right w:val="double" w:sz="4" w:space="0" w:color="C00000"/>
            </w:tcBorders>
            <w:vAlign w:val="center"/>
            <w:hideMark/>
          </w:tcPr>
          <w:p w14:paraId="61500A51" w14:textId="77777777" w:rsidR="00856F66" w:rsidRPr="00E31657" w:rsidRDefault="00856F66" w:rsidP="00F35453">
            <w:pPr>
              <w:rPr>
                <w:rFonts w:cs="Arial"/>
                <w:sz w:val="16"/>
                <w:szCs w:val="16"/>
                <w:lang w:val="es-ES_tradnl" w:eastAsia="es-MX"/>
              </w:rPr>
            </w:pPr>
          </w:p>
        </w:tc>
        <w:tc>
          <w:tcPr>
            <w:tcW w:w="434" w:type="pct"/>
            <w:vMerge/>
            <w:tcBorders>
              <w:top w:val="double" w:sz="4" w:space="0" w:color="C00000"/>
              <w:left w:val="double" w:sz="4" w:space="0" w:color="C00000"/>
              <w:bottom w:val="double" w:sz="4" w:space="0" w:color="C00000"/>
              <w:right w:val="double" w:sz="4" w:space="0" w:color="C00000"/>
            </w:tcBorders>
            <w:vAlign w:val="center"/>
            <w:hideMark/>
          </w:tcPr>
          <w:p w14:paraId="56A8BBBD" w14:textId="77777777" w:rsidR="00856F66" w:rsidRPr="00E31657" w:rsidRDefault="00856F66" w:rsidP="00F35453">
            <w:pPr>
              <w:rPr>
                <w:rFonts w:cs="Arial"/>
                <w:sz w:val="16"/>
                <w:szCs w:val="16"/>
                <w:lang w:val="es-ES_tradnl" w:eastAsia="es-MX"/>
              </w:rPr>
            </w:pP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37143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16.796.216.000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0FFB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16.299.636.893</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3884F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16.334.780.846</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52616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15.993.162.977</w:t>
            </w:r>
          </w:p>
        </w:tc>
        <w:tc>
          <w:tcPr>
            <w:tcW w:w="596" w:type="pct"/>
            <w:vMerge/>
            <w:tcBorders>
              <w:top w:val="double" w:sz="4" w:space="0" w:color="C00000"/>
              <w:left w:val="double" w:sz="4" w:space="0" w:color="C00000"/>
              <w:bottom w:val="double" w:sz="4" w:space="0" w:color="C00000"/>
            </w:tcBorders>
            <w:vAlign w:val="center"/>
            <w:hideMark/>
          </w:tcPr>
          <w:p w14:paraId="6870A767" w14:textId="77777777" w:rsidR="00856F66" w:rsidRPr="00E31657" w:rsidRDefault="00856F66" w:rsidP="00F35453">
            <w:pPr>
              <w:rPr>
                <w:rFonts w:cs="Arial"/>
                <w:b/>
                <w:bCs/>
                <w:sz w:val="16"/>
                <w:szCs w:val="16"/>
                <w:lang w:val="es-ES_tradnl" w:eastAsia="es-MX"/>
              </w:rPr>
            </w:pPr>
          </w:p>
        </w:tc>
      </w:tr>
      <w:tr w:rsidR="00856F66" w:rsidRPr="00E31657" w14:paraId="21D7ED96" w14:textId="77777777" w:rsidTr="00302085">
        <w:trPr>
          <w:trHeight w:val="540"/>
        </w:trPr>
        <w:tc>
          <w:tcPr>
            <w:tcW w:w="1280"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35A881" w14:textId="77777777" w:rsidR="00856F66" w:rsidRPr="00E31657" w:rsidRDefault="00856F66" w:rsidP="00302085">
            <w:pPr>
              <w:jc w:val="right"/>
              <w:rPr>
                <w:rFonts w:cs="Arial"/>
                <w:sz w:val="16"/>
                <w:szCs w:val="16"/>
                <w:lang w:val="es-ES_tradnl" w:eastAsia="es-MX"/>
              </w:rPr>
            </w:pPr>
            <w:r w:rsidRPr="00E31657">
              <w:rPr>
                <w:rFonts w:cs="Arial"/>
                <w:sz w:val="16"/>
                <w:szCs w:val="16"/>
                <w:lang w:val="es-ES_tradnl" w:eastAsia="es-MX"/>
              </w:rPr>
              <w:t>Implementar (1) un plan de atención y descongestión carcelaria que incluya la implementación de mecanismos de justicia restaurativa atención integral a PPL y atención a la población pospenada</w:t>
            </w:r>
          </w:p>
        </w:tc>
        <w:tc>
          <w:tcPr>
            <w:tcW w:w="39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8E3D2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4"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CC9E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D6D6A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F6487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40%</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460D9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841A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96"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00B701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265.833.600.024</w:t>
            </w:r>
          </w:p>
        </w:tc>
      </w:tr>
      <w:tr w:rsidR="00856F66" w:rsidRPr="00E31657" w14:paraId="35C2C7B9" w14:textId="77777777" w:rsidTr="00302085">
        <w:trPr>
          <w:trHeight w:val="315"/>
        </w:trPr>
        <w:tc>
          <w:tcPr>
            <w:tcW w:w="1280" w:type="pct"/>
            <w:vMerge/>
            <w:tcBorders>
              <w:top w:val="double" w:sz="4" w:space="0" w:color="C00000"/>
              <w:bottom w:val="double" w:sz="4" w:space="0" w:color="C00000"/>
              <w:right w:val="double" w:sz="4" w:space="0" w:color="C00000"/>
            </w:tcBorders>
            <w:vAlign w:val="center"/>
            <w:hideMark/>
          </w:tcPr>
          <w:p w14:paraId="73C2550D" w14:textId="77777777" w:rsidR="00856F66" w:rsidRPr="00E31657" w:rsidRDefault="00856F66" w:rsidP="00302085">
            <w:pPr>
              <w:jc w:val="right"/>
              <w:rPr>
                <w:rFonts w:cs="Arial"/>
                <w:sz w:val="16"/>
                <w:szCs w:val="16"/>
                <w:lang w:val="es-ES_tradnl" w:eastAsia="es-MX"/>
              </w:rPr>
            </w:pPr>
          </w:p>
        </w:tc>
        <w:tc>
          <w:tcPr>
            <w:tcW w:w="390" w:type="pct"/>
            <w:vMerge/>
            <w:tcBorders>
              <w:top w:val="double" w:sz="4" w:space="0" w:color="C00000"/>
              <w:left w:val="double" w:sz="4" w:space="0" w:color="C00000"/>
              <w:bottom w:val="double" w:sz="4" w:space="0" w:color="C00000"/>
              <w:right w:val="double" w:sz="4" w:space="0" w:color="C00000"/>
            </w:tcBorders>
            <w:vAlign w:val="center"/>
            <w:hideMark/>
          </w:tcPr>
          <w:p w14:paraId="0145D175" w14:textId="77777777" w:rsidR="00856F66" w:rsidRPr="00E31657" w:rsidRDefault="00856F66" w:rsidP="00F35453">
            <w:pPr>
              <w:rPr>
                <w:rFonts w:cs="Arial"/>
                <w:sz w:val="16"/>
                <w:szCs w:val="16"/>
                <w:lang w:val="es-ES_tradnl" w:eastAsia="es-MX"/>
              </w:rPr>
            </w:pPr>
          </w:p>
        </w:tc>
        <w:tc>
          <w:tcPr>
            <w:tcW w:w="434" w:type="pct"/>
            <w:vMerge/>
            <w:tcBorders>
              <w:top w:val="double" w:sz="4" w:space="0" w:color="C00000"/>
              <w:left w:val="double" w:sz="4" w:space="0" w:color="C00000"/>
              <w:bottom w:val="double" w:sz="4" w:space="0" w:color="C00000"/>
              <w:right w:val="double" w:sz="4" w:space="0" w:color="C00000"/>
            </w:tcBorders>
            <w:vAlign w:val="center"/>
            <w:hideMark/>
          </w:tcPr>
          <w:p w14:paraId="6E81212F" w14:textId="77777777" w:rsidR="00856F66" w:rsidRPr="00E31657" w:rsidRDefault="00856F66" w:rsidP="00F35453">
            <w:pPr>
              <w:rPr>
                <w:rFonts w:cs="Arial"/>
                <w:sz w:val="16"/>
                <w:szCs w:val="16"/>
                <w:lang w:val="es-ES_tradnl" w:eastAsia="es-MX"/>
              </w:rPr>
            </w:pP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E3044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11.720.000.000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290FD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73.687.490.291</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52379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85.072.002.074</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2AD54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95.354.107.659</w:t>
            </w:r>
          </w:p>
        </w:tc>
        <w:tc>
          <w:tcPr>
            <w:tcW w:w="596" w:type="pct"/>
            <w:vMerge/>
            <w:tcBorders>
              <w:top w:val="double" w:sz="4" w:space="0" w:color="C00000"/>
              <w:left w:val="double" w:sz="4" w:space="0" w:color="C00000"/>
              <w:bottom w:val="double" w:sz="4" w:space="0" w:color="C00000"/>
            </w:tcBorders>
            <w:vAlign w:val="center"/>
            <w:hideMark/>
          </w:tcPr>
          <w:p w14:paraId="1B44B43A" w14:textId="77777777" w:rsidR="00856F66" w:rsidRPr="00E31657" w:rsidRDefault="00856F66" w:rsidP="00F35453">
            <w:pPr>
              <w:rPr>
                <w:rFonts w:cs="Arial"/>
                <w:b/>
                <w:bCs/>
                <w:sz w:val="16"/>
                <w:szCs w:val="16"/>
                <w:lang w:val="es-ES_tradnl" w:eastAsia="es-MX"/>
              </w:rPr>
            </w:pPr>
          </w:p>
        </w:tc>
      </w:tr>
      <w:tr w:rsidR="00856F66" w:rsidRPr="00E31657" w14:paraId="748C449A" w14:textId="77777777" w:rsidTr="00302085">
        <w:trPr>
          <w:trHeight w:val="315"/>
        </w:trPr>
        <w:tc>
          <w:tcPr>
            <w:tcW w:w="1280"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74D5F5" w14:textId="77777777" w:rsidR="00856F66" w:rsidRPr="00E31657" w:rsidRDefault="00856F66" w:rsidP="00302085">
            <w:pPr>
              <w:jc w:val="right"/>
              <w:rPr>
                <w:rFonts w:cs="Arial"/>
                <w:sz w:val="16"/>
                <w:szCs w:val="16"/>
                <w:lang w:val="es-ES_tradnl" w:eastAsia="es-MX"/>
              </w:rPr>
            </w:pPr>
            <w:r w:rsidRPr="00E31657">
              <w:rPr>
                <w:rFonts w:cs="Arial"/>
                <w:sz w:val="16"/>
                <w:szCs w:val="16"/>
                <w:lang w:val="es-ES_tradnl" w:eastAsia="es-MX"/>
              </w:rPr>
              <w:t>Implementar una estrategia para la ampliación de capacidades del Programa Distrital de Justicia Juvenil Restaurativa a través de la atención de personas víctimas, ofensores y redes.</w:t>
            </w:r>
          </w:p>
        </w:tc>
        <w:tc>
          <w:tcPr>
            <w:tcW w:w="390"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40D1F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6893</w:t>
            </w:r>
            <w:r w:rsidRPr="00E31657">
              <w:rPr>
                <w:rFonts w:cs="Arial"/>
                <w:sz w:val="16"/>
                <w:szCs w:val="16"/>
                <w:lang w:val="es-ES_tradnl" w:eastAsia="es-MX"/>
              </w:rPr>
              <w:br/>
              <w:t>(2020-2023)</w:t>
            </w:r>
          </w:p>
        </w:tc>
        <w:tc>
          <w:tcPr>
            <w:tcW w:w="434"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C5141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A11C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2.300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BC6E8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3.200</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E8861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3.250</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6DB70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3.300</w:t>
            </w:r>
          </w:p>
        </w:tc>
        <w:tc>
          <w:tcPr>
            <w:tcW w:w="596"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E12DBE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77.306.143.438</w:t>
            </w:r>
          </w:p>
        </w:tc>
      </w:tr>
      <w:tr w:rsidR="00856F66" w:rsidRPr="00E31657" w14:paraId="5FFC0A18" w14:textId="77777777" w:rsidTr="00302085">
        <w:trPr>
          <w:trHeight w:val="315"/>
        </w:trPr>
        <w:tc>
          <w:tcPr>
            <w:tcW w:w="1280" w:type="pct"/>
            <w:vMerge/>
            <w:tcBorders>
              <w:top w:val="double" w:sz="4" w:space="0" w:color="C00000"/>
              <w:bottom w:val="double" w:sz="4" w:space="0" w:color="C00000"/>
              <w:right w:val="double" w:sz="4" w:space="0" w:color="C00000"/>
            </w:tcBorders>
            <w:vAlign w:val="center"/>
            <w:hideMark/>
          </w:tcPr>
          <w:p w14:paraId="4430AD8C" w14:textId="77777777" w:rsidR="00856F66" w:rsidRPr="00E31657" w:rsidRDefault="00856F66" w:rsidP="00F35453">
            <w:pPr>
              <w:rPr>
                <w:rFonts w:cs="Arial"/>
                <w:sz w:val="16"/>
                <w:szCs w:val="16"/>
                <w:lang w:val="es-ES_tradnl" w:eastAsia="es-MX"/>
              </w:rPr>
            </w:pPr>
          </w:p>
        </w:tc>
        <w:tc>
          <w:tcPr>
            <w:tcW w:w="390" w:type="pct"/>
            <w:vMerge/>
            <w:tcBorders>
              <w:top w:val="double" w:sz="4" w:space="0" w:color="C00000"/>
              <w:left w:val="double" w:sz="4" w:space="0" w:color="C00000"/>
              <w:bottom w:val="double" w:sz="4" w:space="0" w:color="C00000"/>
              <w:right w:val="double" w:sz="4" w:space="0" w:color="C00000"/>
            </w:tcBorders>
            <w:vAlign w:val="center"/>
            <w:hideMark/>
          </w:tcPr>
          <w:p w14:paraId="1A7EB964" w14:textId="77777777" w:rsidR="00856F66" w:rsidRPr="00E31657" w:rsidRDefault="00856F66" w:rsidP="00F35453">
            <w:pPr>
              <w:rPr>
                <w:rFonts w:cs="Arial"/>
                <w:sz w:val="16"/>
                <w:szCs w:val="16"/>
                <w:lang w:val="es-ES_tradnl" w:eastAsia="es-MX"/>
              </w:rPr>
            </w:pPr>
          </w:p>
        </w:tc>
        <w:tc>
          <w:tcPr>
            <w:tcW w:w="434" w:type="pct"/>
            <w:vMerge/>
            <w:tcBorders>
              <w:top w:val="double" w:sz="4" w:space="0" w:color="C00000"/>
              <w:left w:val="double" w:sz="4" w:space="0" w:color="C00000"/>
              <w:bottom w:val="double" w:sz="4" w:space="0" w:color="C00000"/>
              <w:right w:val="double" w:sz="4" w:space="0" w:color="C00000"/>
            </w:tcBorders>
            <w:vAlign w:val="center"/>
            <w:hideMark/>
          </w:tcPr>
          <w:p w14:paraId="0A9AE987" w14:textId="77777777" w:rsidR="00856F66" w:rsidRPr="00E31657" w:rsidRDefault="00856F66" w:rsidP="00F35453">
            <w:pPr>
              <w:rPr>
                <w:rFonts w:cs="Arial"/>
                <w:sz w:val="16"/>
                <w:szCs w:val="16"/>
                <w:lang w:val="es-ES_tradnl" w:eastAsia="es-MX"/>
              </w:rPr>
            </w:pPr>
          </w:p>
        </w:tc>
        <w:tc>
          <w:tcPr>
            <w:tcW w:w="582"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FD9C5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4.200.000.000</w:t>
            </w:r>
          </w:p>
        </w:tc>
        <w:tc>
          <w:tcPr>
            <w:tcW w:w="558"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6457B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24.250.766.019</w:t>
            </w:r>
          </w:p>
        </w:tc>
        <w:tc>
          <w:tcPr>
            <w:tcW w:w="597"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86606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24.368.932.039</w:t>
            </w:r>
          </w:p>
        </w:tc>
        <w:tc>
          <w:tcPr>
            <w:tcW w:w="56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2CFD2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24.486.445.379</w:t>
            </w:r>
          </w:p>
        </w:tc>
        <w:tc>
          <w:tcPr>
            <w:tcW w:w="596" w:type="pct"/>
            <w:vMerge/>
            <w:tcBorders>
              <w:top w:val="double" w:sz="4" w:space="0" w:color="C00000"/>
              <w:left w:val="double" w:sz="4" w:space="0" w:color="C00000"/>
              <w:bottom w:val="double" w:sz="4" w:space="0" w:color="C00000"/>
            </w:tcBorders>
            <w:vAlign w:val="center"/>
            <w:hideMark/>
          </w:tcPr>
          <w:p w14:paraId="11F786D3" w14:textId="77777777" w:rsidR="00856F66" w:rsidRPr="00E31657" w:rsidRDefault="00856F66" w:rsidP="00F35453">
            <w:pPr>
              <w:rPr>
                <w:rFonts w:cs="Arial"/>
                <w:b/>
                <w:bCs/>
                <w:sz w:val="16"/>
                <w:szCs w:val="16"/>
                <w:lang w:val="es-ES_tradnl" w:eastAsia="es-MX"/>
              </w:rPr>
            </w:pPr>
          </w:p>
        </w:tc>
      </w:tr>
    </w:tbl>
    <w:p w14:paraId="631C1275" w14:textId="77777777" w:rsidR="00856F66" w:rsidRPr="00E31657" w:rsidRDefault="00856F66">
      <w:pPr>
        <w:rPr>
          <w:sz w:val="16"/>
          <w:szCs w:val="16"/>
          <w:lang w:val="es-ES_tradnl"/>
        </w:rPr>
      </w:pPr>
    </w:p>
    <w:p w14:paraId="1A76B017" w14:textId="77777777" w:rsidR="00856F66" w:rsidRPr="00E31657" w:rsidRDefault="00856F66">
      <w:pPr>
        <w:rPr>
          <w:sz w:val="16"/>
          <w:szCs w:val="16"/>
          <w:lang w:val="es-ES_tradnl"/>
        </w:rPr>
      </w:pPr>
    </w:p>
    <w:tbl>
      <w:tblPr>
        <w:tblW w:w="10065" w:type="dxa"/>
        <w:jc w:val="center"/>
        <w:tblLayout w:type="fixed"/>
        <w:tblCellMar>
          <w:left w:w="0" w:type="dxa"/>
          <w:right w:w="0" w:type="dxa"/>
        </w:tblCellMar>
        <w:tblLook w:val="04A0" w:firstRow="1" w:lastRow="0" w:firstColumn="1" w:lastColumn="0" w:noHBand="0" w:noVBand="1"/>
      </w:tblPr>
      <w:tblGrid>
        <w:gridCol w:w="1864"/>
        <w:gridCol w:w="797"/>
        <w:gridCol w:w="1353"/>
        <w:gridCol w:w="1209"/>
        <w:gridCol w:w="1191"/>
        <w:gridCol w:w="1155"/>
        <w:gridCol w:w="1209"/>
        <w:gridCol w:w="597"/>
        <w:gridCol w:w="548"/>
        <w:gridCol w:w="49"/>
        <w:gridCol w:w="93"/>
      </w:tblGrid>
      <w:tr w:rsidR="00856F66" w:rsidRPr="00E31657" w14:paraId="0CA57E2F" w14:textId="77777777" w:rsidTr="007475AB">
        <w:trPr>
          <w:gridAfter w:val="3"/>
          <w:wAfter w:w="690" w:type="dxa"/>
          <w:trHeight w:val="20"/>
          <w:jc w:val="center"/>
        </w:trPr>
        <w:tc>
          <w:tcPr>
            <w:tcW w:w="9375" w:type="dxa"/>
            <w:gridSpan w:val="8"/>
            <w:tcBorders>
              <w:bottom w:val="double" w:sz="4" w:space="0" w:color="C00000"/>
            </w:tcBorders>
            <w:tcMar>
              <w:top w:w="30" w:type="dxa"/>
              <w:left w:w="45" w:type="dxa"/>
              <w:bottom w:w="30" w:type="dxa"/>
              <w:right w:w="45" w:type="dxa"/>
            </w:tcMar>
            <w:vAlign w:val="center"/>
            <w:hideMark/>
          </w:tcPr>
          <w:p w14:paraId="564E15C1" w14:textId="77777777" w:rsidR="00856F66" w:rsidRPr="006E34FC" w:rsidRDefault="00856F66" w:rsidP="007A1A2D">
            <w:pPr>
              <w:pStyle w:val="Ttulo"/>
              <w:ind w:right="-266"/>
              <w:jc w:val="center"/>
              <w:rPr>
                <w:rFonts w:ascii="Candara" w:hAnsi="Candara"/>
                <w:color w:val="C00000"/>
                <w:sz w:val="22"/>
                <w:szCs w:val="22"/>
                <w:lang w:val="es-ES_tradnl"/>
              </w:rPr>
            </w:pPr>
            <w:r w:rsidRPr="006E34FC">
              <w:rPr>
                <w:rFonts w:ascii="Candara" w:hAnsi="Candara"/>
                <w:b/>
                <w:bCs/>
                <w:color w:val="C00000"/>
                <w:sz w:val="22"/>
                <w:szCs w:val="22"/>
                <w:lang w:val="es-ES_tradnl"/>
              </w:rPr>
              <w:t>Programa 5.</w:t>
            </w:r>
            <w:r w:rsidRPr="006E34FC">
              <w:rPr>
                <w:rFonts w:ascii="Candara" w:hAnsi="Candara"/>
                <w:color w:val="C00000"/>
                <w:sz w:val="22"/>
                <w:szCs w:val="22"/>
                <w:lang w:val="es-ES_tradnl"/>
              </w:rPr>
              <w:t xml:space="preserve"> </w:t>
            </w:r>
            <w:r w:rsidRPr="006E34FC">
              <w:rPr>
                <w:rFonts w:ascii="Candara" w:hAnsi="Candara"/>
                <w:bCs/>
                <w:sz w:val="22"/>
                <w:szCs w:val="22"/>
                <w:lang w:val="es-ES_tradnl"/>
              </w:rPr>
              <w:t>Espacio público seguro e inclusivo</w:t>
            </w:r>
          </w:p>
        </w:tc>
      </w:tr>
      <w:tr w:rsidR="00856F66" w:rsidRPr="00E31657" w14:paraId="175BFD3A"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43E68839"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Sectaor / Metas</w:t>
            </w:r>
          </w:p>
        </w:tc>
        <w:tc>
          <w:tcPr>
            <w:tcW w:w="8108" w:type="dxa"/>
            <w:gridSpan w:val="9"/>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7E04C08E"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 xml:space="preserve">Magnitudes e Inversión </w:t>
            </w:r>
            <w:r w:rsidRPr="007A1A2D">
              <w:rPr>
                <w:rFonts w:ascii="Candara" w:eastAsia="Times New Roman" w:hAnsi="Candara"/>
                <w:b/>
                <w:bCs/>
                <w:color w:val="FFFFFF" w:themeColor="background1"/>
                <w:sz w:val="24"/>
                <w:szCs w:val="24"/>
                <w:lang w:val="es-ES_tradnl" w:eastAsia="es-MX"/>
              </w:rPr>
              <w:br/>
              <w:t>(Precios Constantes 2024)</w:t>
            </w:r>
          </w:p>
        </w:tc>
      </w:tr>
      <w:tr w:rsidR="00856F66" w:rsidRPr="00E31657" w14:paraId="52863EDF"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3F0E5471" w14:textId="77777777" w:rsidR="00856F66" w:rsidRPr="00E31657" w:rsidRDefault="00856F66" w:rsidP="00F35453">
            <w:pPr>
              <w:rPr>
                <w:rFonts w:cs="Arial"/>
                <w:b/>
                <w:bCs/>
                <w:color w:val="FFFFFF"/>
                <w:sz w:val="16"/>
                <w:szCs w:val="16"/>
                <w:lang w:val="es-ES_tradnl" w:eastAsia="es-MX"/>
              </w:rPr>
            </w:pPr>
          </w:p>
        </w:tc>
        <w:tc>
          <w:tcPr>
            <w:tcW w:w="797" w:type="dxa"/>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23CA39A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1353" w:type="dxa"/>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2011D9B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1209" w:type="dxa"/>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7DAF1F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1191" w:type="dxa"/>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58257F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1155" w:type="dxa"/>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4749B0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1209" w:type="dxa"/>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86B692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1194" w:type="dxa"/>
            <w:gridSpan w:val="3"/>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1BACE2D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2B0F9D4" w14:textId="77777777" w:rsidTr="007475AB">
        <w:trPr>
          <w:gridAfter w:val="1"/>
          <w:wAfter w:w="93" w:type="dxa"/>
          <w:trHeight w:val="20"/>
          <w:jc w:val="center"/>
        </w:trPr>
        <w:tc>
          <w:tcPr>
            <w:tcW w:w="9972"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326CDC7"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Cultura recreación y deporte</w:t>
            </w:r>
          </w:p>
        </w:tc>
      </w:tr>
      <w:tr w:rsidR="00856F66" w:rsidRPr="00E31657" w14:paraId="0A637C0D"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6CE5C6"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Administrar 146 parques y escenarios del sistema de Espacio Público Peatonal y para el Encuentro.</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B7D0C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D0BA5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Segplan</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8A16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7B72F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F5591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146</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66F95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146</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078EE8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724.795.988.789</w:t>
            </w:r>
          </w:p>
        </w:tc>
      </w:tr>
      <w:tr w:rsidR="00856F66" w:rsidRPr="00E31657" w14:paraId="12652EE6"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259AAB62"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39AD8BF8"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51DF79DE"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530C2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193.713.000.000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05C0C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150.485.436.893</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C099B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166.410.220.567</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D6912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214.187.331.328</w:t>
            </w:r>
          </w:p>
        </w:tc>
        <w:tc>
          <w:tcPr>
            <w:tcW w:w="1194" w:type="dxa"/>
            <w:gridSpan w:val="3"/>
            <w:vMerge/>
            <w:tcBorders>
              <w:top w:val="double" w:sz="4" w:space="0" w:color="C00000"/>
              <w:left w:val="double" w:sz="4" w:space="0" w:color="C00000"/>
              <w:bottom w:val="double" w:sz="4" w:space="0" w:color="C00000"/>
            </w:tcBorders>
            <w:vAlign w:val="center"/>
            <w:hideMark/>
          </w:tcPr>
          <w:p w14:paraId="428C1096" w14:textId="77777777" w:rsidR="00856F66" w:rsidRPr="00E31657" w:rsidRDefault="00856F66" w:rsidP="00F35453">
            <w:pPr>
              <w:rPr>
                <w:rFonts w:cs="Arial"/>
                <w:b/>
                <w:bCs/>
                <w:sz w:val="16"/>
                <w:szCs w:val="16"/>
                <w:lang w:val="es-ES_tradnl" w:eastAsia="es-MX"/>
              </w:rPr>
            </w:pPr>
          </w:p>
        </w:tc>
      </w:tr>
      <w:tr w:rsidR="00856F66" w:rsidRPr="00E31657" w14:paraId="53DC0618"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EC4FBC7"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Desarrollar 5.000 intervenciones y actividades artísticas y culturales que promuevan la interrelación de la ciudadanía con el espacio público como un lugar de encuentro convivencia pacífica y transformación social.</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FBF36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3876</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B5CF1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Segplan -Pandora 2023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D7B94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EC54B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7A4AC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1.400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794199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1.500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7A5EF5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112.808.099.370</w:t>
            </w:r>
          </w:p>
        </w:tc>
      </w:tr>
      <w:tr w:rsidR="00856F66" w:rsidRPr="00E31657" w14:paraId="08CE27B4"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3AE29B9D"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2278A829"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09D7E35F"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3A690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28.000.000.000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DB661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28.155.339.806</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E85D9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28.466.396.456</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5A5C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28.186.363.108</w:t>
            </w:r>
          </w:p>
        </w:tc>
        <w:tc>
          <w:tcPr>
            <w:tcW w:w="1194" w:type="dxa"/>
            <w:gridSpan w:val="3"/>
            <w:vMerge/>
            <w:tcBorders>
              <w:top w:val="double" w:sz="4" w:space="0" w:color="C00000"/>
              <w:left w:val="double" w:sz="4" w:space="0" w:color="C00000"/>
              <w:bottom w:val="double" w:sz="4" w:space="0" w:color="C00000"/>
            </w:tcBorders>
            <w:vAlign w:val="center"/>
            <w:hideMark/>
          </w:tcPr>
          <w:p w14:paraId="7288E535" w14:textId="77777777" w:rsidR="00856F66" w:rsidRPr="00E31657" w:rsidRDefault="00856F66" w:rsidP="00F35453">
            <w:pPr>
              <w:rPr>
                <w:rFonts w:cs="Arial"/>
                <w:b/>
                <w:bCs/>
                <w:sz w:val="16"/>
                <w:szCs w:val="16"/>
                <w:lang w:val="es-ES_tradnl" w:eastAsia="es-MX"/>
              </w:rPr>
            </w:pPr>
          </w:p>
        </w:tc>
      </w:tr>
      <w:tr w:rsidR="00856F66" w:rsidRPr="00E31657" w14:paraId="25786EE2"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7D5EB32"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lastRenderedPageBreak/>
              <w:t>Intervenir 10 espacios patrimoniales en el marco de los componentes de la Estructura Integradora de los Patrimonios mediante acciones de recuperación y mantenimiento para generar lugares de encuentro de la ciudadanía.</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ACCFF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B2A7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Registros administrativos de los planes operativos anuales de seguimiento a metas</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E2B74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9CEA2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CF436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5924C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EE4AAC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41.939.676.635</w:t>
            </w:r>
          </w:p>
        </w:tc>
      </w:tr>
      <w:tr w:rsidR="00856F66" w:rsidRPr="00E31657" w14:paraId="64857E08"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18429ECF"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4ED32259"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14D97E2F"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CAA05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5.650.172.429</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7656E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7.146.340.311</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F12E1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16.267.809.157</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82157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12.875.354.738</w:t>
            </w:r>
          </w:p>
        </w:tc>
        <w:tc>
          <w:tcPr>
            <w:tcW w:w="1194" w:type="dxa"/>
            <w:gridSpan w:val="3"/>
            <w:vMerge/>
            <w:tcBorders>
              <w:top w:val="double" w:sz="4" w:space="0" w:color="C00000"/>
              <w:left w:val="double" w:sz="4" w:space="0" w:color="C00000"/>
              <w:bottom w:val="double" w:sz="4" w:space="0" w:color="C00000"/>
            </w:tcBorders>
            <w:vAlign w:val="center"/>
            <w:hideMark/>
          </w:tcPr>
          <w:p w14:paraId="307DC89A" w14:textId="77777777" w:rsidR="00856F66" w:rsidRPr="00E31657" w:rsidRDefault="00856F66" w:rsidP="00F35453">
            <w:pPr>
              <w:rPr>
                <w:rFonts w:cs="Arial"/>
                <w:b/>
                <w:bCs/>
                <w:sz w:val="16"/>
                <w:szCs w:val="16"/>
                <w:lang w:val="es-ES_tradnl" w:eastAsia="es-MX"/>
              </w:rPr>
            </w:pPr>
          </w:p>
        </w:tc>
      </w:tr>
      <w:tr w:rsidR="00856F66" w:rsidRPr="00E31657" w14:paraId="03126D5B" w14:textId="77777777" w:rsidTr="007475AB">
        <w:trPr>
          <w:gridAfter w:val="1"/>
          <w:wAfter w:w="93" w:type="dxa"/>
          <w:trHeight w:val="20"/>
          <w:jc w:val="center"/>
        </w:trPr>
        <w:tc>
          <w:tcPr>
            <w:tcW w:w="9972"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040DAAF"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Desarrollo económico</w:t>
            </w:r>
          </w:p>
        </w:tc>
      </w:tr>
      <w:tr w:rsidR="00856F66" w:rsidRPr="00E31657" w14:paraId="69E71266"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F9E03F"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Intervenir 16 zonas de aglomeración de venta informal para contribuir a la organización del espacio público en la ciudad.</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1CC6D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0479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IPES</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C2601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ECC39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18806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01BAC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366CD8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50.414.290.389</w:t>
            </w:r>
          </w:p>
        </w:tc>
      </w:tr>
      <w:tr w:rsidR="00856F66" w:rsidRPr="00E31657" w14:paraId="64471D08"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60B9BDE7"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50B72181"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1C8D42DC"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4AA2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6.922.000.000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39916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13.786.407.767</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8C84E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14.529.173.343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D41D6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15.176.709.279</w:t>
            </w:r>
          </w:p>
        </w:tc>
        <w:tc>
          <w:tcPr>
            <w:tcW w:w="1194" w:type="dxa"/>
            <w:gridSpan w:val="3"/>
            <w:vMerge/>
            <w:tcBorders>
              <w:top w:val="double" w:sz="4" w:space="0" w:color="C00000"/>
              <w:left w:val="double" w:sz="4" w:space="0" w:color="C00000"/>
              <w:bottom w:val="double" w:sz="4" w:space="0" w:color="C00000"/>
            </w:tcBorders>
            <w:vAlign w:val="center"/>
            <w:hideMark/>
          </w:tcPr>
          <w:p w14:paraId="20793085" w14:textId="77777777" w:rsidR="00856F66" w:rsidRPr="00E31657" w:rsidRDefault="00856F66" w:rsidP="00F35453">
            <w:pPr>
              <w:rPr>
                <w:rFonts w:cs="Arial"/>
                <w:b/>
                <w:bCs/>
                <w:sz w:val="16"/>
                <w:szCs w:val="16"/>
                <w:lang w:val="es-ES_tradnl" w:eastAsia="es-MX"/>
              </w:rPr>
            </w:pPr>
          </w:p>
        </w:tc>
      </w:tr>
      <w:tr w:rsidR="00856F66" w:rsidRPr="00E31657" w14:paraId="647B6FDC" w14:textId="77777777" w:rsidTr="007475AB">
        <w:trPr>
          <w:gridAfter w:val="1"/>
          <w:wAfter w:w="93" w:type="dxa"/>
          <w:trHeight w:val="20"/>
          <w:jc w:val="center"/>
        </w:trPr>
        <w:tc>
          <w:tcPr>
            <w:tcW w:w="9972"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7319706"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Gobierno</w:t>
            </w:r>
          </w:p>
        </w:tc>
      </w:tr>
      <w:tr w:rsidR="00856F66" w:rsidRPr="00E31657" w14:paraId="7903AC6F"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7F2AFA"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Desarrollar 1 estrategia para aumentar la oferta cualitativa y cuantitativa de espacio público para el uso goce y disfrute ciudadano con enfoque diferencial género y poblacional</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A0B3C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1DB5F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 DADEP</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DB2C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38046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0E32F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C6337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1B1B1E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87.175.959.366</w:t>
            </w:r>
          </w:p>
        </w:tc>
      </w:tr>
      <w:tr w:rsidR="00856F66" w:rsidRPr="00E31657" w14:paraId="58A37696"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1CFB0846"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65793946"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76971615"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3713C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9.150.000.000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FF4FC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31.092.233.010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A54B6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30.186.633.990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49B54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16.747.092.366</w:t>
            </w:r>
          </w:p>
        </w:tc>
        <w:tc>
          <w:tcPr>
            <w:tcW w:w="1194" w:type="dxa"/>
            <w:gridSpan w:val="3"/>
            <w:vMerge/>
            <w:tcBorders>
              <w:top w:val="double" w:sz="4" w:space="0" w:color="C00000"/>
              <w:left w:val="double" w:sz="4" w:space="0" w:color="C00000"/>
              <w:bottom w:val="double" w:sz="4" w:space="0" w:color="C00000"/>
            </w:tcBorders>
            <w:vAlign w:val="center"/>
            <w:hideMark/>
          </w:tcPr>
          <w:p w14:paraId="7FBB89D4" w14:textId="77777777" w:rsidR="00856F66" w:rsidRPr="00E31657" w:rsidRDefault="00856F66" w:rsidP="00F35453">
            <w:pPr>
              <w:rPr>
                <w:rFonts w:cs="Arial"/>
                <w:b/>
                <w:bCs/>
                <w:sz w:val="16"/>
                <w:szCs w:val="16"/>
                <w:lang w:val="es-ES_tradnl" w:eastAsia="es-MX"/>
              </w:rPr>
            </w:pPr>
          </w:p>
        </w:tc>
      </w:tr>
      <w:tr w:rsidR="00856F66" w:rsidRPr="00E31657" w14:paraId="152041DF"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0939FA"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Impulsar 15 proyectos de bienestar con enfoque de género poblacional y diferencial en espacios públicos.</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01EB5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AF03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 DADEP</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2493F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4C68E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6061E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98661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191100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5.725.109.382</w:t>
            </w:r>
          </w:p>
        </w:tc>
      </w:tr>
      <w:tr w:rsidR="00856F66" w:rsidRPr="00E31657" w14:paraId="1048DB78"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118BC861"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3A92E5D7"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30883037"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AE6FE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800.000.000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085E3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1.941.747.573</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1347B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1.885.191.818</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B2E1E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1.098.169.991</w:t>
            </w:r>
          </w:p>
        </w:tc>
        <w:tc>
          <w:tcPr>
            <w:tcW w:w="1194" w:type="dxa"/>
            <w:gridSpan w:val="3"/>
            <w:vMerge/>
            <w:tcBorders>
              <w:top w:val="double" w:sz="4" w:space="0" w:color="C00000"/>
              <w:left w:val="double" w:sz="4" w:space="0" w:color="C00000"/>
              <w:bottom w:val="double" w:sz="4" w:space="0" w:color="C00000"/>
            </w:tcBorders>
            <w:vAlign w:val="center"/>
            <w:hideMark/>
          </w:tcPr>
          <w:p w14:paraId="0990BA54" w14:textId="77777777" w:rsidR="00856F66" w:rsidRPr="00E31657" w:rsidRDefault="00856F66" w:rsidP="00F35453">
            <w:pPr>
              <w:rPr>
                <w:rFonts w:cs="Arial"/>
                <w:b/>
                <w:bCs/>
                <w:sz w:val="16"/>
                <w:szCs w:val="16"/>
                <w:lang w:val="es-ES_tradnl" w:eastAsia="es-MX"/>
              </w:rPr>
            </w:pPr>
          </w:p>
        </w:tc>
      </w:tr>
      <w:tr w:rsidR="00856F66" w:rsidRPr="00E31657" w14:paraId="2064A52C"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1851D9"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Ofertar 35 bienes fiscales del distrito capital para enajenación</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08E81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BBC62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DADEP</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AD378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3932A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5A0CD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EAC31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EE2DDD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2.845.750.219</w:t>
            </w:r>
          </w:p>
        </w:tc>
      </w:tr>
      <w:tr w:rsidR="00856F66" w:rsidRPr="00E31657" w14:paraId="4AD81D62"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50214154"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26D42422"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337B066B"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B1F71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300.000.000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60D4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873.786.408</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B2932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848.336.318</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C499E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823.627.493</w:t>
            </w:r>
          </w:p>
        </w:tc>
        <w:tc>
          <w:tcPr>
            <w:tcW w:w="1194" w:type="dxa"/>
            <w:gridSpan w:val="3"/>
            <w:vMerge/>
            <w:tcBorders>
              <w:top w:val="double" w:sz="4" w:space="0" w:color="C00000"/>
              <w:left w:val="double" w:sz="4" w:space="0" w:color="C00000"/>
              <w:bottom w:val="double" w:sz="4" w:space="0" w:color="C00000"/>
            </w:tcBorders>
            <w:vAlign w:val="center"/>
            <w:hideMark/>
          </w:tcPr>
          <w:p w14:paraId="5E5054F5" w14:textId="77777777" w:rsidR="00856F66" w:rsidRPr="00E31657" w:rsidRDefault="00856F66" w:rsidP="00F35453">
            <w:pPr>
              <w:rPr>
                <w:rFonts w:cs="Arial"/>
                <w:b/>
                <w:bCs/>
                <w:sz w:val="16"/>
                <w:szCs w:val="16"/>
                <w:lang w:val="es-ES_tradnl" w:eastAsia="es-MX"/>
              </w:rPr>
            </w:pPr>
          </w:p>
        </w:tc>
      </w:tr>
      <w:tr w:rsidR="00856F66" w:rsidRPr="00E31657" w14:paraId="134A87CD"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FEC2565"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Realizar 20 ejercicios demostrativos de apropiación de predios públicos por medio de procesos formativos y acciones concretas en sitios críticos impulsando la participación ciudadana para fortalecer el cuidado la rehabilitación y la sostenibilidad del Espacio Público.</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638A0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B21AE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 DADEP</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C0231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0FB7C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09EF2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28D5A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A98643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9.527.427.253</w:t>
            </w:r>
          </w:p>
        </w:tc>
      </w:tr>
      <w:tr w:rsidR="00856F66" w:rsidRPr="00E31657" w14:paraId="528FDC05"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2D487ED1"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5135EC5F"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1CB9C730"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1B4BA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3185D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3.398.058.252</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E7F92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3.299.085.682</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4DE63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1.830.283.319</w:t>
            </w:r>
          </w:p>
        </w:tc>
        <w:tc>
          <w:tcPr>
            <w:tcW w:w="1194" w:type="dxa"/>
            <w:gridSpan w:val="3"/>
            <w:vMerge/>
            <w:tcBorders>
              <w:top w:val="double" w:sz="4" w:space="0" w:color="C00000"/>
              <w:left w:val="double" w:sz="4" w:space="0" w:color="C00000"/>
              <w:bottom w:val="double" w:sz="4" w:space="0" w:color="C00000"/>
            </w:tcBorders>
            <w:vAlign w:val="center"/>
            <w:hideMark/>
          </w:tcPr>
          <w:p w14:paraId="1B84D945" w14:textId="77777777" w:rsidR="00856F66" w:rsidRPr="00E31657" w:rsidRDefault="00856F66" w:rsidP="00F35453">
            <w:pPr>
              <w:rPr>
                <w:rFonts w:cs="Arial"/>
                <w:b/>
                <w:bCs/>
                <w:sz w:val="16"/>
                <w:szCs w:val="16"/>
                <w:lang w:val="es-ES_tradnl" w:eastAsia="es-MX"/>
              </w:rPr>
            </w:pPr>
          </w:p>
        </w:tc>
      </w:tr>
      <w:tr w:rsidR="00856F66" w:rsidRPr="00E31657" w14:paraId="219C3F27" w14:textId="77777777" w:rsidTr="007475AB">
        <w:trPr>
          <w:gridAfter w:val="2"/>
          <w:wAfter w:w="142" w:type="dxa"/>
          <w:trHeight w:val="20"/>
          <w:jc w:val="center"/>
        </w:trPr>
        <w:tc>
          <w:tcPr>
            <w:tcW w:w="9923" w:type="dxa"/>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3F88F3E"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lastRenderedPageBreak/>
              <w:t>Hábitat</w:t>
            </w:r>
          </w:p>
        </w:tc>
      </w:tr>
      <w:tr w:rsidR="00856F66" w:rsidRPr="00E31657" w14:paraId="6BD1BDE1"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2F77F0"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Construir 3 Ha de espacio público en los territorios priorizados para Mejoramiento Integral de Barrios con el fin de promover espacios seguros</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18F19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8,1</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F887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CVP- Dirección de Mejoramiento de Barrios</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813CF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0,15</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0CD0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0,76</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A5F4B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1,14</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AAE78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0,96</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580087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103.314.521.829</w:t>
            </w:r>
          </w:p>
        </w:tc>
      </w:tr>
      <w:tr w:rsidR="00856F66" w:rsidRPr="00E31657" w14:paraId="3892ACF2"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686E5C38"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6CD4B75E"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378B87FC"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ECABA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16.159.608.525</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8329F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24.194.174.757</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ED0CF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35.234.235.083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16663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27.726.503.463</w:t>
            </w:r>
          </w:p>
        </w:tc>
        <w:tc>
          <w:tcPr>
            <w:tcW w:w="1194" w:type="dxa"/>
            <w:gridSpan w:val="3"/>
            <w:vMerge/>
            <w:tcBorders>
              <w:top w:val="double" w:sz="4" w:space="0" w:color="C00000"/>
              <w:left w:val="double" w:sz="4" w:space="0" w:color="C00000"/>
              <w:bottom w:val="double" w:sz="4" w:space="0" w:color="C00000"/>
            </w:tcBorders>
            <w:vAlign w:val="center"/>
            <w:hideMark/>
          </w:tcPr>
          <w:p w14:paraId="7D5B7489" w14:textId="77777777" w:rsidR="00856F66" w:rsidRPr="00E31657" w:rsidRDefault="00856F66" w:rsidP="00F35453">
            <w:pPr>
              <w:rPr>
                <w:rFonts w:cs="Arial"/>
                <w:b/>
                <w:bCs/>
                <w:sz w:val="16"/>
                <w:szCs w:val="16"/>
                <w:lang w:val="es-ES_tradnl" w:eastAsia="es-MX"/>
              </w:rPr>
            </w:pPr>
          </w:p>
        </w:tc>
      </w:tr>
      <w:tr w:rsidR="00856F66" w:rsidRPr="00E31657" w14:paraId="7EEA5805"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019F72"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Intervenir 18 polígonos de intervención integral de espacio público y revitalización para la promoción de espacios públicos seguros.</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4EC8F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80324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14938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0,90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6C401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2,70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E3860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7,20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9A767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7,20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FBE9F1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200.876.074.709</w:t>
            </w:r>
          </w:p>
        </w:tc>
      </w:tr>
      <w:tr w:rsidR="00856F66" w:rsidRPr="00E31657" w14:paraId="6062CFCD"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7F3FC534"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4C7D52CD"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7EDE6680"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0F292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5.466.000.000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AA58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64.229.126.214</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23E47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74.083.325.478</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0119F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57.097.623.017</w:t>
            </w:r>
          </w:p>
        </w:tc>
        <w:tc>
          <w:tcPr>
            <w:tcW w:w="1194" w:type="dxa"/>
            <w:gridSpan w:val="3"/>
            <w:vMerge/>
            <w:tcBorders>
              <w:top w:val="double" w:sz="4" w:space="0" w:color="C00000"/>
              <w:left w:val="double" w:sz="4" w:space="0" w:color="C00000"/>
              <w:bottom w:val="double" w:sz="4" w:space="0" w:color="C00000"/>
            </w:tcBorders>
            <w:vAlign w:val="center"/>
            <w:hideMark/>
          </w:tcPr>
          <w:p w14:paraId="284E56C0" w14:textId="77777777" w:rsidR="00856F66" w:rsidRPr="00E31657" w:rsidRDefault="00856F66" w:rsidP="00F35453">
            <w:pPr>
              <w:rPr>
                <w:rFonts w:cs="Arial"/>
                <w:b/>
                <w:bCs/>
                <w:sz w:val="16"/>
                <w:szCs w:val="16"/>
                <w:lang w:val="es-ES_tradnl" w:eastAsia="es-MX"/>
              </w:rPr>
            </w:pPr>
          </w:p>
        </w:tc>
      </w:tr>
      <w:tr w:rsidR="00856F66" w:rsidRPr="00E31657" w14:paraId="0850D857"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CAD353"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Realizar el 100% de las actividades para garantizar la prestación del servicio de alumbrado público</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19E78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D4E23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INFORME MENSUAL DE SUPERVISIÓN Y CONTROL DE ALUMBRADO PÚBLICO (propia)</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AF82C1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BFE7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0E3F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AF69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376315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112.989.552.285</w:t>
            </w:r>
          </w:p>
        </w:tc>
      </w:tr>
      <w:tr w:rsidR="00856F66" w:rsidRPr="00E31657" w14:paraId="7FC25DBB"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20883861"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24E7B29D"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67BBEE8D"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BB75E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12.500.000.000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A81C1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35.417.475.728</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4A055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44.066.830.050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BB4E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21.005.246.507</w:t>
            </w:r>
          </w:p>
        </w:tc>
        <w:tc>
          <w:tcPr>
            <w:tcW w:w="1194" w:type="dxa"/>
            <w:gridSpan w:val="3"/>
            <w:vMerge/>
            <w:tcBorders>
              <w:top w:val="double" w:sz="4" w:space="0" w:color="C00000"/>
              <w:left w:val="double" w:sz="4" w:space="0" w:color="C00000"/>
              <w:bottom w:val="double" w:sz="4" w:space="0" w:color="C00000"/>
            </w:tcBorders>
            <w:vAlign w:val="center"/>
            <w:hideMark/>
          </w:tcPr>
          <w:p w14:paraId="5BAFBBBE" w14:textId="77777777" w:rsidR="00856F66" w:rsidRPr="00E31657" w:rsidRDefault="00856F66" w:rsidP="00F35453">
            <w:pPr>
              <w:rPr>
                <w:rFonts w:cs="Arial"/>
                <w:b/>
                <w:bCs/>
                <w:sz w:val="16"/>
                <w:szCs w:val="16"/>
                <w:lang w:val="es-ES_tradnl" w:eastAsia="es-MX"/>
              </w:rPr>
            </w:pPr>
          </w:p>
        </w:tc>
      </w:tr>
      <w:tr w:rsidR="00856F66" w:rsidRPr="00E31657" w14:paraId="07D7304A"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92DCD9"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Reducir 100 puntos de arrojo clandestino de residuo sólidos, pasando de 700 a 600 puntos.</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2F4B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700</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7E78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 xml:space="preserve">Sistema de Información para la Gestión y Operación del Servicio Público de Aseo de Bogotá </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D1C82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F914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670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88EF0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4694B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600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4C5158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222.880.590.033</w:t>
            </w:r>
          </w:p>
        </w:tc>
      </w:tr>
      <w:tr w:rsidR="00856F66" w:rsidRPr="00E31657" w14:paraId="62C9305E"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6564375C"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50ACB244"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0C3FBF7C"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A1B74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70.664.740.146</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01510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57.000.000.000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8F17E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51.004.807.239</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95750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44.211.042.648</w:t>
            </w:r>
          </w:p>
        </w:tc>
        <w:tc>
          <w:tcPr>
            <w:tcW w:w="1194" w:type="dxa"/>
            <w:gridSpan w:val="3"/>
            <w:vMerge/>
            <w:tcBorders>
              <w:top w:val="double" w:sz="4" w:space="0" w:color="C00000"/>
              <w:left w:val="double" w:sz="4" w:space="0" w:color="C00000"/>
              <w:bottom w:val="double" w:sz="4" w:space="0" w:color="C00000"/>
            </w:tcBorders>
            <w:vAlign w:val="center"/>
            <w:hideMark/>
          </w:tcPr>
          <w:p w14:paraId="48B85607" w14:textId="77777777" w:rsidR="00856F66" w:rsidRPr="00E31657" w:rsidRDefault="00856F66" w:rsidP="00F35453">
            <w:pPr>
              <w:rPr>
                <w:rFonts w:cs="Arial"/>
                <w:b/>
                <w:bCs/>
                <w:sz w:val="16"/>
                <w:szCs w:val="16"/>
                <w:lang w:val="es-ES_tradnl" w:eastAsia="es-MX"/>
              </w:rPr>
            </w:pPr>
          </w:p>
        </w:tc>
      </w:tr>
      <w:tr w:rsidR="00856F66" w:rsidRPr="00E31657" w14:paraId="60BEA653" w14:textId="77777777" w:rsidTr="007475AB">
        <w:trPr>
          <w:gridAfter w:val="1"/>
          <w:wAfter w:w="93" w:type="dxa"/>
          <w:trHeight w:val="20"/>
          <w:jc w:val="center"/>
        </w:trPr>
        <w:tc>
          <w:tcPr>
            <w:tcW w:w="9972"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B518094"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Movilidad</w:t>
            </w:r>
          </w:p>
        </w:tc>
      </w:tr>
      <w:tr w:rsidR="00856F66" w:rsidRPr="00E31657" w14:paraId="04990E5B"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FFA1F6"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Conservar 1.120.000 m2 de la red de infraestructura peatonal</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F50B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1405155</w:t>
            </w:r>
            <w:r w:rsidRPr="00E31657">
              <w:rPr>
                <w:rFonts w:cs="Arial"/>
                <w:sz w:val="16"/>
                <w:szCs w:val="16"/>
                <w:lang w:val="es-ES_tradnl" w:eastAsia="es-MX"/>
              </w:rPr>
              <w:br/>
              <w:t>UMV 127.491,00</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D06CC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IDU 2023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E94E8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16.853</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767B2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387.023</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5EF5B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362.603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05149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353.521</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6F3DE0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277.405.623.020</w:t>
            </w:r>
          </w:p>
        </w:tc>
      </w:tr>
      <w:tr w:rsidR="00856F66" w:rsidRPr="00E31657" w14:paraId="096978D6"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7EC876DF"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6B854398"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727EFE59"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F09E5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17.238.000.000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F7026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87.493.203.883</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2466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88.509.755.868</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84410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84.164.663.269</w:t>
            </w:r>
          </w:p>
        </w:tc>
        <w:tc>
          <w:tcPr>
            <w:tcW w:w="1194" w:type="dxa"/>
            <w:gridSpan w:val="3"/>
            <w:vMerge/>
            <w:tcBorders>
              <w:top w:val="double" w:sz="4" w:space="0" w:color="C00000"/>
              <w:left w:val="double" w:sz="4" w:space="0" w:color="C00000"/>
              <w:bottom w:val="double" w:sz="4" w:space="0" w:color="C00000"/>
            </w:tcBorders>
            <w:vAlign w:val="center"/>
            <w:hideMark/>
          </w:tcPr>
          <w:p w14:paraId="4FBFBAAE" w14:textId="77777777" w:rsidR="00856F66" w:rsidRPr="00E31657" w:rsidRDefault="00856F66" w:rsidP="00F35453">
            <w:pPr>
              <w:rPr>
                <w:rFonts w:cs="Arial"/>
                <w:b/>
                <w:bCs/>
                <w:sz w:val="16"/>
                <w:szCs w:val="16"/>
                <w:lang w:val="es-ES_tradnl" w:eastAsia="es-MX"/>
              </w:rPr>
            </w:pPr>
          </w:p>
        </w:tc>
      </w:tr>
      <w:tr w:rsidR="00856F66" w:rsidRPr="00E31657" w14:paraId="6E1CCA90"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4D5221"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Conservar 126 enlaces de la red de espacio público para la movilidad multimodal (pasos peatonales seguros ciclopuentes)</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754922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122</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77DE0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IDU 2023</w:t>
            </w:r>
            <w:r w:rsidRPr="00E31657">
              <w:rPr>
                <w:rFonts w:cs="Arial"/>
                <w:sz w:val="16"/>
                <w:szCs w:val="16"/>
                <w:lang w:val="es-ES_tradnl" w:eastAsia="es-MX"/>
              </w:rPr>
              <w:br/>
              <w:t>SEGPLAN 31/12/2023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8D6F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026EC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38</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61B3B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42</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378B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46</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4FD226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104.231.587.096</w:t>
            </w:r>
          </w:p>
        </w:tc>
      </w:tr>
      <w:tr w:rsidR="00856F66" w:rsidRPr="00E31657" w14:paraId="50CC68D6"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6193E2A8"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016B3A0D"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099EB13C"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01FA3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10.999.000.000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E9679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29.250.485.437</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37C5E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31.104.722.406</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AF765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32.877.379.254</w:t>
            </w:r>
          </w:p>
        </w:tc>
        <w:tc>
          <w:tcPr>
            <w:tcW w:w="1194" w:type="dxa"/>
            <w:gridSpan w:val="3"/>
            <w:vMerge/>
            <w:tcBorders>
              <w:top w:val="double" w:sz="4" w:space="0" w:color="C00000"/>
              <w:left w:val="double" w:sz="4" w:space="0" w:color="C00000"/>
              <w:bottom w:val="double" w:sz="4" w:space="0" w:color="C00000"/>
            </w:tcBorders>
            <w:vAlign w:val="center"/>
            <w:hideMark/>
          </w:tcPr>
          <w:p w14:paraId="675C08D9" w14:textId="77777777" w:rsidR="00856F66" w:rsidRPr="00E31657" w:rsidRDefault="00856F66" w:rsidP="00F35453">
            <w:pPr>
              <w:rPr>
                <w:rFonts w:cs="Arial"/>
                <w:b/>
                <w:bCs/>
                <w:sz w:val="16"/>
                <w:szCs w:val="16"/>
                <w:lang w:val="es-ES_tradnl" w:eastAsia="es-MX"/>
              </w:rPr>
            </w:pPr>
          </w:p>
        </w:tc>
      </w:tr>
      <w:tr w:rsidR="00856F66" w:rsidRPr="00E31657" w14:paraId="21BB2F73"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DECB2F"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Construir 417.460 m2 de Espacio Público</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25A41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777659</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13D96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IDU 2023</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88D56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100.189</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6EDF9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133.588</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83F57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96.016</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6D127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87.667</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569AA6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457.904.781.257</w:t>
            </w:r>
          </w:p>
        </w:tc>
      </w:tr>
      <w:tr w:rsidR="00856F66" w:rsidRPr="00E31657" w14:paraId="7C2ACD86"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25181630"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2817E6E3"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380155D4"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4664C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260.167.000.000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9614E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82.063.106.796</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AD4C4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59.692.713.734</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54B9A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55.981.960.728</w:t>
            </w:r>
          </w:p>
        </w:tc>
        <w:tc>
          <w:tcPr>
            <w:tcW w:w="1194" w:type="dxa"/>
            <w:gridSpan w:val="3"/>
            <w:vMerge/>
            <w:tcBorders>
              <w:top w:val="double" w:sz="4" w:space="0" w:color="C00000"/>
              <w:left w:val="double" w:sz="4" w:space="0" w:color="C00000"/>
              <w:bottom w:val="double" w:sz="4" w:space="0" w:color="C00000"/>
            </w:tcBorders>
            <w:vAlign w:val="center"/>
            <w:hideMark/>
          </w:tcPr>
          <w:p w14:paraId="55641948" w14:textId="77777777" w:rsidR="00856F66" w:rsidRPr="00E31657" w:rsidRDefault="00856F66" w:rsidP="00F35453">
            <w:pPr>
              <w:rPr>
                <w:rFonts w:cs="Arial"/>
                <w:b/>
                <w:bCs/>
                <w:sz w:val="16"/>
                <w:szCs w:val="16"/>
                <w:lang w:val="es-ES_tradnl" w:eastAsia="es-MX"/>
              </w:rPr>
            </w:pPr>
          </w:p>
        </w:tc>
      </w:tr>
      <w:tr w:rsidR="00856F66" w:rsidRPr="00E31657" w14:paraId="66926621" w14:textId="77777777" w:rsidTr="007475AB">
        <w:trPr>
          <w:trHeight w:val="20"/>
          <w:jc w:val="center"/>
        </w:trPr>
        <w:tc>
          <w:tcPr>
            <w:tcW w:w="10065" w:type="dxa"/>
            <w:gridSpan w:val="11"/>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11B7CE0"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Seguridad convivencia y justicia</w:t>
            </w:r>
          </w:p>
        </w:tc>
      </w:tr>
      <w:tr w:rsidR="00856F66" w:rsidRPr="00E31657" w14:paraId="12461624"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64E824"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 xml:space="preserve">Implementar el modelo integrado para la gestión </w:t>
            </w:r>
            <w:r w:rsidRPr="00E31657">
              <w:rPr>
                <w:rFonts w:cs="Arial"/>
                <w:sz w:val="16"/>
                <w:szCs w:val="16"/>
                <w:lang w:val="es-ES_tradnl" w:eastAsia="es-MX"/>
              </w:rPr>
              <w:lastRenderedPageBreak/>
              <w:t xml:space="preserve">de la convivencia y seguridad en los territorios </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2A72F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269</w:t>
            </w:r>
            <w:r w:rsidRPr="00E31657">
              <w:rPr>
                <w:rFonts w:cs="Arial"/>
                <w:sz w:val="16"/>
                <w:szCs w:val="16"/>
                <w:lang w:val="es-ES_tradnl" w:eastAsia="es-MX"/>
              </w:rPr>
              <w:br/>
              <w:t>(2023)</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8A197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SDSCJ</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FEF37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269,00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CF204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309,00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1539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356,00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47EB7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500,00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D207C1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26.694.824.850</w:t>
            </w:r>
          </w:p>
        </w:tc>
      </w:tr>
      <w:tr w:rsidR="00856F66" w:rsidRPr="00E31657" w14:paraId="1E3DA9DA"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25CC2026" w14:textId="77777777" w:rsidR="00856F66" w:rsidRPr="00E31657" w:rsidRDefault="00856F66" w:rsidP="00D00932">
            <w:pPr>
              <w:jc w:val="right"/>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22FA06B5"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6CE00A5E"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FAB65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17.263.320.000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3189D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3.300.970.874</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82927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3.110.566.500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3AAFE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3.019.967.476</w:t>
            </w:r>
          </w:p>
        </w:tc>
        <w:tc>
          <w:tcPr>
            <w:tcW w:w="1194" w:type="dxa"/>
            <w:gridSpan w:val="3"/>
            <w:vMerge/>
            <w:tcBorders>
              <w:top w:val="double" w:sz="4" w:space="0" w:color="C00000"/>
              <w:left w:val="double" w:sz="4" w:space="0" w:color="C00000"/>
              <w:bottom w:val="double" w:sz="4" w:space="0" w:color="C00000"/>
            </w:tcBorders>
            <w:vAlign w:val="center"/>
            <w:hideMark/>
          </w:tcPr>
          <w:p w14:paraId="7B7A4F35" w14:textId="77777777" w:rsidR="00856F66" w:rsidRPr="00E31657" w:rsidRDefault="00856F66" w:rsidP="00F35453">
            <w:pPr>
              <w:rPr>
                <w:rFonts w:cs="Arial"/>
                <w:b/>
                <w:bCs/>
                <w:sz w:val="16"/>
                <w:szCs w:val="16"/>
                <w:lang w:val="es-ES_tradnl" w:eastAsia="es-MX"/>
              </w:rPr>
            </w:pPr>
          </w:p>
        </w:tc>
      </w:tr>
      <w:tr w:rsidR="00856F66" w:rsidRPr="00E31657" w14:paraId="318A4E0C" w14:textId="77777777" w:rsidTr="007475AB">
        <w:trPr>
          <w:gridAfter w:val="1"/>
          <w:wAfter w:w="93" w:type="dxa"/>
          <w:trHeight w:val="20"/>
          <w:jc w:val="center"/>
        </w:trPr>
        <w:tc>
          <w:tcPr>
            <w:tcW w:w="186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A9E4F1" w14:textId="77777777" w:rsidR="00856F66" w:rsidRPr="00E31657" w:rsidRDefault="00856F66" w:rsidP="00D00932">
            <w:pPr>
              <w:jc w:val="right"/>
              <w:rPr>
                <w:rFonts w:cs="Arial"/>
                <w:sz w:val="16"/>
                <w:szCs w:val="16"/>
                <w:lang w:val="es-ES_tradnl" w:eastAsia="es-MX"/>
              </w:rPr>
            </w:pPr>
            <w:r w:rsidRPr="00E31657">
              <w:rPr>
                <w:rFonts w:cs="Arial"/>
                <w:sz w:val="16"/>
                <w:szCs w:val="16"/>
                <w:lang w:val="es-ES_tradnl" w:eastAsia="es-MX"/>
              </w:rPr>
              <w:t>Incrementar en 2.000 efectivos el pie de fuerza policial de la MEBOG con base en un acuerdo de cooperación Gobierno Nacional - Distrito Capital.</w:t>
            </w:r>
          </w:p>
        </w:tc>
        <w:tc>
          <w:tcPr>
            <w:tcW w:w="797"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C0B5B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1353" w:type="dxa"/>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A08D25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7B87F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1CC9F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500</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7C75B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BC289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w:t>
            </w:r>
          </w:p>
        </w:tc>
        <w:tc>
          <w:tcPr>
            <w:tcW w:w="1194" w:type="dxa"/>
            <w:gridSpan w:val="3"/>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26F43D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321.018.208.868</w:t>
            </w:r>
          </w:p>
        </w:tc>
      </w:tr>
      <w:tr w:rsidR="00856F66" w:rsidRPr="00E31657" w14:paraId="5DAD842B" w14:textId="77777777" w:rsidTr="007475AB">
        <w:trPr>
          <w:gridAfter w:val="1"/>
          <w:wAfter w:w="93" w:type="dxa"/>
          <w:trHeight w:val="20"/>
          <w:jc w:val="center"/>
        </w:trPr>
        <w:tc>
          <w:tcPr>
            <w:tcW w:w="1864" w:type="dxa"/>
            <w:vMerge/>
            <w:tcBorders>
              <w:top w:val="double" w:sz="4" w:space="0" w:color="C00000"/>
              <w:bottom w:val="double" w:sz="4" w:space="0" w:color="C00000"/>
              <w:right w:val="double" w:sz="4" w:space="0" w:color="C00000"/>
            </w:tcBorders>
            <w:vAlign w:val="center"/>
            <w:hideMark/>
          </w:tcPr>
          <w:p w14:paraId="21E0EC04" w14:textId="77777777" w:rsidR="00856F66" w:rsidRPr="00E31657" w:rsidRDefault="00856F66" w:rsidP="00F35453">
            <w:pPr>
              <w:rPr>
                <w:rFonts w:cs="Arial"/>
                <w:sz w:val="16"/>
                <w:szCs w:val="16"/>
                <w:lang w:val="es-ES_tradnl" w:eastAsia="es-MX"/>
              </w:rPr>
            </w:pPr>
          </w:p>
        </w:tc>
        <w:tc>
          <w:tcPr>
            <w:tcW w:w="797" w:type="dxa"/>
            <w:vMerge/>
            <w:tcBorders>
              <w:top w:val="double" w:sz="4" w:space="0" w:color="C00000"/>
              <w:left w:val="double" w:sz="4" w:space="0" w:color="C00000"/>
              <w:bottom w:val="double" w:sz="4" w:space="0" w:color="C00000"/>
              <w:right w:val="double" w:sz="4" w:space="0" w:color="C00000"/>
            </w:tcBorders>
            <w:vAlign w:val="center"/>
            <w:hideMark/>
          </w:tcPr>
          <w:p w14:paraId="4CCB1E22" w14:textId="77777777" w:rsidR="00856F66" w:rsidRPr="00E31657" w:rsidRDefault="00856F66" w:rsidP="00F35453">
            <w:pPr>
              <w:rPr>
                <w:rFonts w:cs="Arial"/>
                <w:sz w:val="16"/>
                <w:szCs w:val="16"/>
                <w:lang w:val="es-ES_tradnl" w:eastAsia="es-MX"/>
              </w:rPr>
            </w:pPr>
          </w:p>
        </w:tc>
        <w:tc>
          <w:tcPr>
            <w:tcW w:w="1353" w:type="dxa"/>
            <w:vMerge/>
            <w:tcBorders>
              <w:top w:val="double" w:sz="4" w:space="0" w:color="C00000"/>
              <w:left w:val="double" w:sz="4" w:space="0" w:color="C00000"/>
              <w:bottom w:val="double" w:sz="4" w:space="0" w:color="C00000"/>
              <w:right w:val="double" w:sz="4" w:space="0" w:color="C00000"/>
            </w:tcBorders>
            <w:vAlign w:val="center"/>
            <w:hideMark/>
          </w:tcPr>
          <w:p w14:paraId="274FDF89" w14:textId="77777777" w:rsidR="00856F66" w:rsidRPr="00E31657" w:rsidRDefault="00856F66" w:rsidP="00F35453">
            <w:pPr>
              <w:rPr>
                <w:rFonts w:cs="Arial"/>
                <w:sz w:val="16"/>
                <w:szCs w:val="16"/>
                <w:lang w:val="es-ES_tradnl" w:eastAsia="es-MX"/>
              </w:rPr>
            </w:pP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3F54C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1191"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A501A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46.963.367.961</w:t>
            </w:r>
          </w:p>
        </w:tc>
        <w:tc>
          <w:tcPr>
            <w:tcW w:w="1155"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3C706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88.008.801.961</w:t>
            </w:r>
          </w:p>
        </w:tc>
        <w:tc>
          <w:tcPr>
            <w:tcW w:w="1209" w:type="dxa"/>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B1F7D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186.046.038.947</w:t>
            </w:r>
          </w:p>
        </w:tc>
        <w:tc>
          <w:tcPr>
            <w:tcW w:w="1194" w:type="dxa"/>
            <w:gridSpan w:val="3"/>
            <w:vMerge/>
            <w:tcBorders>
              <w:top w:val="double" w:sz="4" w:space="0" w:color="C00000"/>
              <w:left w:val="double" w:sz="4" w:space="0" w:color="C00000"/>
              <w:bottom w:val="double" w:sz="4" w:space="0" w:color="C00000"/>
            </w:tcBorders>
            <w:vAlign w:val="center"/>
            <w:hideMark/>
          </w:tcPr>
          <w:p w14:paraId="7E7EB332" w14:textId="77777777" w:rsidR="00856F66" w:rsidRPr="00E31657" w:rsidRDefault="00856F66" w:rsidP="00F35453">
            <w:pPr>
              <w:rPr>
                <w:rFonts w:cs="Arial"/>
                <w:b/>
                <w:bCs/>
                <w:sz w:val="16"/>
                <w:szCs w:val="16"/>
                <w:lang w:val="es-ES_tradnl" w:eastAsia="es-MX"/>
              </w:rPr>
            </w:pPr>
          </w:p>
        </w:tc>
      </w:tr>
    </w:tbl>
    <w:p w14:paraId="64B43AF6" w14:textId="77777777" w:rsidR="00856F66" w:rsidRPr="00E31657" w:rsidRDefault="00856F66">
      <w:pPr>
        <w:rPr>
          <w:sz w:val="16"/>
          <w:szCs w:val="16"/>
          <w:lang w:val="es-ES_tradnl"/>
        </w:rPr>
      </w:pPr>
    </w:p>
    <w:tbl>
      <w:tblPr>
        <w:tblW w:w="10207" w:type="dxa"/>
        <w:tblInd w:w="-709" w:type="dxa"/>
        <w:tblCellMar>
          <w:left w:w="0" w:type="dxa"/>
          <w:right w:w="0" w:type="dxa"/>
        </w:tblCellMar>
        <w:tblLook w:val="04A0" w:firstRow="1" w:lastRow="0" w:firstColumn="1" w:lastColumn="0" w:noHBand="0" w:noVBand="1"/>
      </w:tblPr>
      <w:tblGrid>
        <w:gridCol w:w="2302"/>
        <w:gridCol w:w="774"/>
        <w:gridCol w:w="662"/>
        <w:gridCol w:w="1226"/>
        <w:gridCol w:w="1111"/>
        <w:gridCol w:w="1169"/>
        <w:gridCol w:w="1150"/>
        <w:gridCol w:w="1813"/>
      </w:tblGrid>
      <w:tr w:rsidR="00856F66" w:rsidRPr="007A1A2D" w14:paraId="4C431C11" w14:textId="77777777" w:rsidTr="007A1A2D">
        <w:trPr>
          <w:trHeight w:val="315"/>
        </w:trPr>
        <w:tc>
          <w:tcPr>
            <w:tcW w:w="10207" w:type="dxa"/>
            <w:gridSpan w:val="8"/>
            <w:tcBorders>
              <w:bottom w:val="double" w:sz="4" w:space="0" w:color="C00000"/>
            </w:tcBorders>
            <w:tcMar>
              <w:top w:w="30" w:type="dxa"/>
              <w:left w:w="45" w:type="dxa"/>
              <w:bottom w:w="30" w:type="dxa"/>
              <w:right w:w="45" w:type="dxa"/>
            </w:tcMar>
            <w:vAlign w:val="center"/>
            <w:hideMark/>
          </w:tcPr>
          <w:p w14:paraId="527975D9" w14:textId="77777777" w:rsidR="006E34FC" w:rsidRPr="006E34FC" w:rsidRDefault="006E34FC" w:rsidP="007A1A2D">
            <w:pPr>
              <w:pStyle w:val="Ttulo"/>
              <w:jc w:val="center"/>
              <w:rPr>
                <w:rFonts w:ascii="Candara" w:hAnsi="Candara"/>
                <w:color w:val="C00000"/>
                <w:sz w:val="22"/>
                <w:szCs w:val="22"/>
                <w:lang w:val="es-ES_tradnl"/>
              </w:rPr>
            </w:pPr>
          </w:p>
          <w:p w14:paraId="1FBA61B5" w14:textId="73745F50" w:rsidR="00856F66" w:rsidRPr="007A1A2D" w:rsidRDefault="00856F66" w:rsidP="007A1A2D">
            <w:pPr>
              <w:pStyle w:val="Ttulo"/>
              <w:jc w:val="center"/>
              <w:rPr>
                <w:rFonts w:ascii="Candara" w:hAnsi="Candara"/>
                <w:sz w:val="24"/>
                <w:szCs w:val="24"/>
                <w:lang w:val="es-ES_tradnl"/>
              </w:rPr>
            </w:pPr>
            <w:r w:rsidRPr="006E34FC">
              <w:rPr>
                <w:rFonts w:ascii="Candara" w:hAnsi="Candara"/>
                <w:b/>
                <w:bCs/>
                <w:color w:val="C00000"/>
                <w:sz w:val="22"/>
                <w:szCs w:val="22"/>
                <w:lang w:val="es-ES_tradnl"/>
              </w:rPr>
              <w:t>Programa 6.</w:t>
            </w:r>
            <w:r w:rsidRPr="006E34FC">
              <w:rPr>
                <w:rFonts w:ascii="Candara" w:hAnsi="Candara"/>
                <w:color w:val="C00000"/>
                <w:sz w:val="22"/>
                <w:szCs w:val="22"/>
                <w:lang w:val="es-ES_tradnl"/>
              </w:rPr>
              <w:t xml:space="preserve"> </w:t>
            </w:r>
            <w:r w:rsidRPr="006E34FC">
              <w:rPr>
                <w:rFonts w:ascii="Candara" w:hAnsi="Candara"/>
                <w:sz w:val="22"/>
                <w:szCs w:val="22"/>
                <w:lang w:val="es-ES_tradnl"/>
              </w:rPr>
              <w:t>Movilidad segura e inclusiva</w:t>
            </w:r>
          </w:p>
        </w:tc>
      </w:tr>
      <w:tr w:rsidR="00856F66" w:rsidRPr="00E31657" w14:paraId="65E524CA" w14:textId="77777777" w:rsidTr="007A1A2D">
        <w:trPr>
          <w:trHeight w:val="664"/>
        </w:trPr>
        <w:tc>
          <w:tcPr>
            <w:tcW w:w="2302" w:type="dxa"/>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4598A4AC"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Sector / Metas</w:t>
            </w:r>
          </w:p>
        </w:tc>
        <w:tc>
          <w:tcPr>
            <w:tcW w:w="7905" w:type="dxa"/>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0BF234ED"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 xml:space="preserve">Magnitudes e Inversión </w:t>
            </w:r>
            <w:r w:rsidRPr="007A1A2D">
              <w:rPr>
                <w:rFonts w:ascii="Candara" w:eastAsia="Times New Roman" w:hAnsi="Candara"/>
                <w:b/>
                <w:bCs/>
                <w:color w:val="FFFFFF" w:themeColor="background1"/>
                <w:sz w:val="24"/>
                <w:szCs w:val="24"/>
                <w:lang w:val="es-ES_tradnl" w:eastAsia="es-MX"/>
              </w:rPr>
              <w:br/>
              <w:t>(Precios Constantes 2024)</w:t>
            </w:r>
          </w:p>
        </w:tc>
      </w:tr>
      <w:tr w:rsidR="00856F66" w:rsidRPr="00E31657" w14:paraId="4A8851EE" w14:textId="77777777" w:rsidTr="007A1A2D">
        <w:trPr>
          <w:trHeight w:val="315"/>
        </w:trPr>
        <w:tc>
          <w:tcPr>
            <w:tcW w:w="2302" w:type="dxa"/>
            <w:vMerge/>
            <w:tcBorders>
              <w:top w:val="double" w:sz="4" w:space="0" w:color="C00000"/>
              <w:bottom w:val="double" w:sz="4" w:space="0" w:color="C00000"/>
              <w:right w:val="double" w:sz="4" w:space="0" w:color="C00000"/>
            </w:tcBorders>
            <w:shd w:val="clear" w:color="auto" w:fill="C00000"/>
            <w:vAlign w:val="center"/>
            <w:hideMark/>
          </w:tcPr>
          <w:p w14:paraId="22C1382B" w14:textId="77777777" w:rsidR="00856F66" w:rsidRPr="00E31657" w:rsidRDefault="00856F66" w:rsidP="007475AB">
            <w:pPr>
              <w:pStyle w:val="Ttulo"/>
              <w:rPr>
                <w:rFonts w:eastAsia="Times New Roman"/>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9949AD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505266A"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19F711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4CC2959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FF17C9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4E45E30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1813" w:type="dxa"/>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6A228D0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45955A9F" w14:textId="77777777" w:rsidTr="007A1A2D">
        <w:trPr>
          <w:trHeight w:val="315"/>
        </w:trPr>
        <w:tc>
          <w:tcPr>
            <w:tcW w:w="10207" w:type="dxa"/>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ABBE6E2" w14:textId="1FF86DDD" w:rsidR="00856F66" w:rsidRPr="00E31657" w:rsidRDefault="007A1A2D"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Movilidad</w:t>
            </w:r>
          </w:p>
        </w:tc>
      </w:tr>
      <w:tr w:rsidR="00856F66" w:rsidRPr="00E31657" w14:paraId="1834A6F9" w14:textId="77777777" w:rsidTr="007A1A2D">
        <w:trPr>
          <w:trHeight w:val="315"/>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C25C88"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Alcanzar 460.000 estudiantes beneficiadas y beneficiados en el programa de Niños y Niñas Primero - NNP</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648DE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339467</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A5594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Registros Administrativos SDM</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5E914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65.300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F8D34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118.450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CED78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133.272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3077B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142.978</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46CACF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60.167.455.508</w:t>
            </w:r>
          </w:p>
        </w:tc>
      </w:tr>
      <w:tr w:rsidR="00856F66" w:rsidRPr="00E31657" w14:paraId="4F8ED810" w14:textId="77777777" w:rsidTr="007A1A2D">
        <w:trPr>
          <w:trHeight w:val="315"/>
        </w:trPr>
        <w:tc>
          <w:tcPr>
            <w:tcW w:w="2302" w:type="dxa"/>
            <w:vMerge/>
            <w:tcBorders>
              <w:top w:val="double" w:sz="4" w:space="0" w:color="C00000"/>
              <w:bottom w:val="double" w:sz="4" w:space="0" w:color="C00000"/>
              <w:right w:val="double" w:sz="4" w:space="0" w:color="C00000"/>
            </w:tcBorders>
            <w:vAlign w:val="center"/>
            <w:hideMark/>
          </w:tcPr>
          <w:p w14:paraId="36F6621E"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51EF390"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F72ACE9"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60391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4.965.000.000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7A138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18.353.398.058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4BC7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18.410.783.297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2059F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18.438.274.153</w:t>
            </w:r>
          </w:p>
        </w:tc>
        <w:tc>
          <w:tcPr>
            <w:tcW w:w="1813" w:type="dxa"/>
            <w:vMerge/>
            <w:tcBorders>
              <w:top w:val="double" w:sz="4" w:space="0" w:color="C00000"/>
              <w:left w:val="double" w:sz="4" w:space="0" w:color="C00000"/>
              <w:bottom w:val="double" w:sz="4" w:space="0" w:color="C00000"/>
            </w:tcBorders>
            <w:vAlign w:val="center"/>
            <w:hideMark/>
          </w:tcPr>
          <w:p w14:paraId="73278E66" w14:textId="77777777" w:rsidR="00856F66" w:rsidRPr="00E31657" w:rsidRDefault="00856F66" w:rsidP="00F35453">
            <w:pPr>
              <w:rPr>
                <w:rFonts w:cs="Arial"/>
                <w:b/>
                <w:bCs/>
                <w:sz w:val="16"/>
                <w:szCs w:val="16"/>
                <w:lang w:val="es-ES_tradnl" w:eastAsia="es-MX"/>
              </w:rPr>
            </w:pPr>
          </w:p>
        </w:tc>
      </w:tr>
      <w:tr w:rsidR="00856F66" w:rsidRPr="00E31657" w14:paraId="3CB6C010" w14:textId="77777777" w:rsidTr="007A1A2D">
        <w:trPr>
          <w:trHeight w:val="315"/>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03C524"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Diseñar e implementar el 100% del plan sectorial de cultura ciudadana comunicación y pedagogía cívica que propicien transformaciones voluntarias y corresponsables en el sistema de movilidad.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AEBC1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717E5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07AE5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B8DD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14A9C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C1C35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7705D4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123.811.050.611</w:t>
            </w:r>
          </w:p>
        </w:tc>
      </w:tr>
      <w:tr w:rsidR="00856F66" w:rsidRPr="00E31657" w14:paraId="27FB7BF1" w14:textId="77777777" w:rsidTr="007A1A2D">
        <w:trPr>
          <w:trHeight w:val="315"/>
        </w:trPr>
        <w:tc>
          <w:tcPr>
            <w:tcW w:w="2302" w:type="dxa"/>
            <w:vMerge/>
            <w:tcBorders>
              <w:top w:val="double" w:sz="4" w:space="0" w:color="C00000"/>
              <w:bottom w:val="double" w:sz="4" w:space="0" w:color="C00000"/>
              <w:right w:val="double" w:sz="4" w:space="0" w:color="C00000"/>
            </w:tcBorders>
            <w:vAlign w:val="center"/>
            <w:hideMark/>
          </w:tcPr>
          <w:p w14:paraId="49F2EECB"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7BFB871"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1138098"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39343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3.463.000.000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95ED0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37.793.203.883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B278A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42.979.545.669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CBCCC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39.575.301.059</w:t>
            </w:r>
          </w:p>
        </w:tc>
        <w:tc>
          <w:tcPr>
            <w:tcW w:w="1813" w:type="dxa"/>
            <w:vMerge/>
            <w:tcBorders>
              <w:top w:val="double" w:sz="4" w:space="0" w:color="C00000"/>
              <w:left w:val="double" w:sz="4" w:space="0" w:color="C00000"/>
              <w:bottom w:val="double" w:sz="4" w:space="0" w:color="C00000"/>
            </w:tcBorders>
            <w:vAlign w:val="center"/>
            <w:hideMark/>
          </w:tcPr>
          <w:p w14:paraId="017CB369" w14:textId="77777777" w:rsidR="00856F66" w:rsidRPr="00E31657" w:rsidRDefault="00856F66" w:rsidP="00F35453">
            <w:pPr>
              <w:rPr>
                <w:rFonts w:cs="Arial"/>
                <w:b/>
                <w:bCs/>
                <w:sz w:val="16"/>
                <w:szCs w:val="16"/>
                <w:lang w:val="es-ES_tradnl" w:eastAsia="es-MX"/>
              </w:rPr>
            </w:pPr>
          </w:p>
        </w:tc>
      </w:tr>
      <w:tr w:rsidR="00856F66" w:rsidRPr="00E31657" w14:paraId="6E1D3E0A" w14:textId="77777777" w:rsidTr="007A1A2D">
        <w:trPr>
          <w:trHeight w:val="315"/>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CE9A40"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Diseñar e implementar un plan interinstitucional para la seguridad integral del Sistema de Transporte Público en Bogotá encaminado a mitigar los fenómenos que afectan la seguridad y convivencia en el SITP.</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007C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B33F4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8FC8D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0,05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1964A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0,35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3664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0,65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A958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EBC051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376.824.667.154</w:t>
            </w:r>
          </w:p>
        </w:tc>
      </w:tr>
      <w:tr w:rsidR="00856F66" w:rsidRPr="00E31657" w14:paraId="6B45CC4E" w14:textId="77777777" w:rsidTr="007A1A2D">
        <w:trPr>
          <w:trHeight w:val="315"/>
        </w:trPr>
        <w:tc>
          <w:tcPr>
            <w:tcW w:w="2302" w:type="dxa"/>
            <w:vMerge/>
            <w:tcBorders>
              <w:top w:val="double" w:sz="4" w:space="0" w:color="C00000"/>
              <w:bottom w:val="double" w:sz="4" w:space="0" w:color="C00000"/>
              <w:right w:val="double" w:sz="4" w:space="0" w:color="C00000"/>
            </w:tcBorders>
            <w:vAlign w:val="center"/>
            <w:hideMark/>
          </w:tcPr>
          <w:p w14:paraId="72E20648"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417F3B6"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5ED7B31"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9BB3C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80.295.000.000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4BF2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64.372.815.534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AB3D2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118.580.450.561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552C5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113.576.401.059</w:t>
            </w:r>
          </w:p>
        </w:tc>
        <w:tc>
          <w:tcPr>
            <w:tcW w:w="1813" w:type="dxa"/>
            <w:vMerge/>
            <w:tcBorders>
              <w:top w:val="double" w:sz="4" w:space="0" w:color="C00000"/>
              <w:left w:val="double" w:sz="4" w:space="0" w:color="C00000"/>
              <w:bottom w:val="double" w:sz="4" w:space="0" w:color="C00000"/>
            </w:tcBorders>
            <w:vAlign w:val="center"/>
            <w:hideMark/>
          </w:tcPr>
          <w:p w14:paraId="40933ADB" w14:textId="77777777" w:rsidR="00856F66" w:rsidRPr="00E31657" w:rsidRDefault="00856F66" w:rsidP="00F35453">
            <w:pPr>
              <w:rPr>
                <w:rFonts w:cs="Arial"/>
                <w:b/>
                <w:bCs/>
                <w:sz w:val="16"/>
                <w:szCs w:val="16"/>
                <w:lang w:val="es-ES_tradnl" w:eastAsia="es-MX"/>
              </w:rPr>
            </w:pPr>
          </w:p>
        </w:tc>
      </w:tr>
      <w:tr w:rsidR="00856F66" w:rsidRPr="00E31657" w14:paraId="0382BF2B" w14:textId="77777777" w:rsidTr="007A1A2D">
        <w:trPr>
          <w:trHeight w:val="900"/>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BBC9FD"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 xml:space="preserve">Implementar el 100% de las acciones de prevención y control requeridas en portales y </w:t>
            </w:r>
            <w:r w:rsidRPr="00E31657">
              <w:rPr>
                <w:rFonts w:cs="Arial"/>
                <w:sz w:val="16"/>
                <w:szCs w:val="16"/>
                <w:lang w:val="es-ES_tradnl" w:eastAsia="es-MX"/>
              </w:rPr>
              <w:lastRenderedPageBreak/>
              <w:t>estaciones del Componente Troncal del Sistema Integrado de Transporte Público de Bogotá así como en la infraestructura que ingrese a operar en el cuatrienio con el fin de mitigar el fenómeno de la evasión.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40E04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E8D6E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88AD2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67F0E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91ED8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51B6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2DC966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190.382.877.611</w:t>
            </w:r>
          </w:p>
        </w:tc>
      </w:tr>
      <w:tr w:rsidR="00856F66" w:rsidRPr="00E31657" w14:paraId="18A7A8F2" w14:textId="77777777" w:rsidTr="007A1A2D">
        <w:trPr>
          <w:trHeight w:val="900"/>
        </w:trPr>
        <w:tc>
          <w:tcPr>
            <w:tcW w:w="2302" w:type="dxa"/>
            <w:vMerge/>
            <w:tcBorders>
              <w:top w:val="double" w:sz="4" w:space="0" w:color="C00000"/>
              <w:bottom w:val="double" w:sz="4" w:space="0" w:color="C00000"/>
              <w:right w:val="double" w:sz="4" w:space="0" w:color="C00000"/>
            </w:tcBorders>
            <w:vAlign w:val="center"/>
            <w:hideMark/>
          </w:tcPr>
          <w:p w14:paraId="49EC8E9E"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3280D81"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29AD9FF"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A9ADB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64.089.000.000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7AAB3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28.446.601.942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07240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50.440.192.290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FD0C6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47.407.083.379</w:t>
            </w:r>
          </w:p>
        </w:tc>
        <w:tc>
          <w:tcPr>
            <w:tcW w:w="1813" w:type="dxa"/>
            <w:vMerge/>
            <w:tcBorders>
              <w:top w:val="double" w:sz="4" w:space="0" w:color="C00000"/>
              <w:left w:val="double" w:sz="4" w:space="0" w:color="C00000"/>
              <w:bottom w:val="double" w:sz="4" w:space="0" w:color="C00000"/>
            </w:tcBorders>
            <w:vAlign w:val="center"/>
            <w:hideMark/>
          </w:tcPr>
          <w:p w14:paraId="28D1EE17" w14:textId="77777777" w:rsidR="00856F66" w:rsidRPr="00E31657" w:rsidRDefault="00856F66" w:rsidP="00F35453">
            <w:pPr>
              <w:rPr>
                <w:rFonts w:cs="Arial"/>
                <w:b/>
                <w:bCs/>
                <w:sz w:val="16"/>
                <w:szCs w:val="16"/>
                <w:lang w:val="es-ES_tradnl" w:eastAsia="es-MX"/>
              </w:rPr>
            </w:pPr>
          </w:p>
        </w:tc>
      </w:tr>
      <w:tr w:rsidR="00856F66" w:rsidRPr="00E31657" w14:paraId="4BE5599D" w14:textId="77777777" w:rsidTr="007A1A2D">
        <w:trPr>
          <w:trHeight w:val="540"/>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09156A"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Implementar un plan enfocado a la prevención y atención de violencias basadas en género y al acoso sexual callejero, reconociendo las experiencias de la ciudadanía del sistema de Transporte Público.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878AF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EB823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F0742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A561F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AC6AD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8ABA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116346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7.999.773.045</w:t>
            </w:r>
          </w:p>
        </w:tc>
      </w:tr>
      <w:tr w:rsidR="00856F66" w:rsidRPr="00E31657" w14:paraId="15FCD999" w14:textId="77777777" w:rsidTr="007A1A2D">
        <w:trPr>
          <w:trHeight w:val="540"/>
        </w:trPr>
        <w:tc>
          <w:tcPr>
            <w:tcW w:w="2302" w:type="dxa"/>
            <w:vMerge/>
            <w:tcBorders>
              <w:top w:val="double" w:sz="4" w:space="0" w:color="C00000"/>
              <w:bottom w:val="double" w:sz="4" w:space="0" w:color="C00000"/>
              <w:right w:val="double" w:sz="4" w:space="0" w:color="C00000"/>
            </w:tcBorders>
            <w:vAlign w:val="center"/>
            <w:hideMark/>
          </w:tcPr>
          <w:p w14:paraId="38ABC217"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041BA6F"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499F223"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EB234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B5FAB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61269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2.000.188.519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122C7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1.999.584.526</w:t>
            </w:r>
          </w:p>
        </w:tc>
        <w:tc>
          <w:tcPr>
            <w:tcW w:w="1813" w:type="dxa"/>
            <w:vMerge/>
            <w:tcBorders>
              <w:top w:val="double" w:sz="4" w:space="0" w:color="C00000"/>
              <w:left w:val="double" w:sz="4" w:space="0" w:color="C00000"/>
              <w:bottom w:val="double" w:sz="4" w:space="0" w:color="C00000"/>
            </w:tcBorders>
            <w:vAlign w:val="center"/>
            <w:hideMark/>
          </w:tcPr>
          <w:p w14:paraId="293FF73E" w14:textId="77777777" w:rsidR="00856F66" w:rsidRPr="00E31657" w:rsidRDefault="00856F66" w:rsidP="00F35453">
            <w:pPr>
              <w:rPr>
                <w:rFonts w:cs="Arial"/>
                <w:b/>
                <w:bCs/>
                <w:sz w:val="16"/>
                <w:szCs w:val="16"/>
                <w:lang w:val="es-ES_tradnl" w:eastAsia="es-MX"/>
              </w:rPr>
            </w:pPr>
          </w:p>
        </w:tc>
      </w:tr>
      <w:tr w:rsidR="00856F66" w:rsidRPr="00E31657" w14:paraId="19D91C7B" w14:textId="77777777" w:rsidTr="007A1A2D">
        <w:trPr>
          <w:trHeight w:val="540"/>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346E6B"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Intervenir 10 zonas críticas en evasión en el Componente Zonal del Sistema Integrado de Transporte Público de Bogotá través de acciones de prevención y control.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7CBC5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5120C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644D3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F2EA4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139C6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652FF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4ED977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74.427.800.502</w:t>
            </w:r>
          </w:p>
        </w:tc>
      </w:tr>
      <w:tr w:rsidR="00856F66" w:rsidRPr="00E31657" w14:paraId="10C9286C" w14:textId="77777777" w:rsidTr="007A1A2D">
        <w:trPr>
          <w:trHeight w:val="540"/>
        </w:trPr>
        <w:tc>
          <w:tcPr>
            <w:tcW w:w="2302" w:type="dxa"/>
            <w:vMerge/>
            <w:tcBorders>
              <w:top w:val="double" w:sz="4" w:space="0" w:color="C00000"/>
              <w:bottom w:val="double" w:sz="4" w:space="0" w:color="C00000"/>
              <w:right w:val="double" w:sz="4" w:space="0" w:color="C00000"/>
            </w:tcBorders>
            <w:vAlign w:val="center"/>
            <w:hideMark/>
          </w:tcPr>
          <w:p w14:paraId="39266982"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1AA7D5E"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4982A28"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96246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4.017.000.000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FFAE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14.846.601.942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E3D1D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30.964.275.615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F4F2A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24.599.922.945</w:t>
            </w:r>
          </w:p>
        </w:tc>
        <w:tc>
          <w:tcPr>
            <w:tcW w:w="1813" w:type="dxa"/>
            <w:vMerge/>
            <w:tcBorders>
              <w:top w:val="double" w:sz="4" w:space="0" w:color="C00000"/>
              <w:left w:val="double" w:sz="4" w:space="0" w:color="C00000"/>
              <w:bottom w:val="double" w:sz="4" w:space="0" w:color="C00000"/>
            </w:tcBorders>
            <w:vAlign w:val="center"/>
            <w:hideMark/>
          </w:tcPr>
          <w:p w14:paraId="070CCAB5" w14:textId="77777777" w:rsidR="00856F66" w:rsidRPr="00E31657" w:rsidRDefault="00856F66" w:rsidP="00F35453">
            <w:pPr>
              <w:rPr>
                <w:rFonts w:cs="Arial"/>
                <w:b/>
                <w:bCs/>
                <w:sz w:val="16"/>
                <w:szCs w:val="16"/>
                <w:lang w:val="es-ES_tradnl" w:eastAsia="es-MX"/>
              </w:rPr>
            </w:pPr>
          </w:p>
        </w:tc>
      </w:tr>
      <w:tr w:rsidR="00856F66" w:rsidRPr="00E31657" w14:paraId="197C98F9" w14:textId="77777777" w:rsidTr="007A1A2D">
        <w:trPr>
          <w:trHeight w:val="540"/>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206039"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Realizar 300.000 intervenciones para mejorar las condiciones de movilidad en los corredores y puntos estratégicos de la ciudad Región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182BE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 (2023)</w:t>
            </w:r>
            <w:r w:rsidRPr="00E31657">
              <w:rPr>
                <w:rFonts w:cs="Arial"/>
                <w:sz w:val="16"/>
                <w:szCs w:val="16"/>
                <w:lang w:val="es-ES_tradnl" w:eastAsia="es-MX"/>
              </w:rPr>
              <w:br/>
              <w:t>(en cuatrienio pasado fueron 229.300)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58CB1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Registros Administrativos del Sector</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73A4C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41.306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84DF9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83.440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83D09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87.627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E63E8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87.627</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1FA46D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537.570.367.931</w:t>
            </w:r>
          </w:p>
        </w:tc>
      </w:tr>
      <w:tr w:rsidR="00856F66" w:rsidRPr="00E31657" w14:paraId="2B8B44A1" w14:textId="77777777" w:rsidTr="007A1A2D">
        <w:trPr>
          <w:trHeight w:val="540"/>
        </w:trPr>
        <w:tc>
          <w:tcPr>
            <w:tcW w:w="2302" w:type="dxa"/>
            <w:vMerge/>
            <w:tcBorders>
              <w:top w:val="double" w:sz="4" w:space="0" w:color="C00000"/>
              <w:bottom w:val="double" w:sz="4" w:space="0" w:color="C00000"/>
              <w:right w:val="double" w:sz="4" w:space="0" w:color="C00000"/>
            </w:tcBorders>
            <w:vAlign w:val="center"/>
            <w:hideMark/>
          </w:tcPr>
          <w:p w14:paraId="5C054D64"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276D35D"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3976F0D"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8C1E8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144.994.000.000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7B6AC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123.157.281.553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BCDA7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136.315.392.591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15F69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133.103.693.786</w:t>
            </w:r>
          </w:p>
        </w:tc>
        <w:tc>
          <w:tcPr>
            <w:tcW w:w="1813" w:type="dxa"/>
            <w:vMerge/>
            <w:tcBorders>
              <w:top w:val="double" w:sz="4" w:space="0" w:color="C00000"/>
              <w:left w:val="double" w:sz="4" w:space="0" w:color="C00000"/>
              <w:bottom w:val="double" w:sz="4" w:space="0" w:color="C00000"/>
            </w:tcBorders>
            <w:vAlign w:val="center"/>
            <w:hideMark/>
          </w:tcPr>
          <w:p w14:paraId="13A13C19" w14:textId="77777777" w:rsidR="00856F66" w:rsidRPr="00E31657" w:rsidRDefault="00856F66" w:rsidP="00F35453">
            <w:pPr>
              <w:rPr>
                <w:rFonts w:cs="Arial"/>
                <w:b/>
                <w:bCs/>
                <w:sz w:val="16"/>
                <w:szCs w:val="16"/>
                <w:lang w:val="es-ES_tradnl" w:eastAsia="es-MX"/>
              </w:rPr>
            </w:pPr>
          </w:p>
        </w:tc>
      </w:tr>
      <w:tr w:rsidR="00856F66" w:rsidRPr="00E31657" w14:paraId="69345AE0" w14:textId="77777777" w:rsidTr="007A1A2D">
        <w:trPr>
          <w:trHeight w:val="540"/>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D49B26"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Realizar 35.000 intervenciones en el espacio público para la movilidad enfocadas en la mejora de la seguridad vial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50BF4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 (2023)</w:t>
            </w:r>
            <w:r w:rsidRPr="00E31657">
              <w:rPr>
                <w:rFonts w:cs="Arial"/>
                <w:sz w:val="16"/>
                <w:szCs w:val="16"/>
                <w:lang w:val="es-ES_tradnl" w:eastAsia="es-MX"/>
              </w:rPr>
              <w:br/>
              <w:t>(en cuatrienio pasado fueron 33.000)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7C78CD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Registros Administrativos del Sector</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720F5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C30ED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1C20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2026E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13.500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3817A0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470.721.069.144</w:t>
            </w:r>
          </w:p>
        </w:tc>
      </w:tr>
      <w:tr w:rsidR="00856F66" w:rsidRPr="00E31657" w14:paraId="1062CBB7" w14:textId="77777777" w:rsidTr="007A1A2D">
        <w:trPr>
          <w:trHeight w:val="540"/>
        </w:trPr>
        <w:tc>
          <w:tcPr>
            <w:tcW w:w="2302" w:type="dxa"/>
            <w:vMerge/>
            <w:tcBorders>
              <w:top w:val="double" w:sz="4" w:space="0" w:color="C00000"/>
              <w:bottom w:val="double" w:sz="4" w:space="0" w:color="C00000"/>
              <w:right w:val="double" w:sz="4" w:space="0" w:color="C00000"/>
            </w:tcBorders>
            <w:vAlign w:val="center"/>
            <w:hideMark/>
          </w:tcPr>
          <w:p w14:paraId="188F43E1" w14:textId="77777777" w:rsidR="00856F66" w:rsidRPr="00E31657" w:rsidRDefault="00856F66" w:rsidP="006668B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B2BD5EB"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BBA87A3"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F26E4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118.786.000.000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7E640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114.414.563.107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CF40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119.586.200.396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F2C22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117.934.305.641</w:t>
            </w:r>
          </w:p>
        </w:tc>
        <w:tc>
          <w:tcPr>
            <w:tcW w:w="1813" w:type="dxa"/>
            <w:vMerge/>
            <w:tcBorders>
              <w:top w:val="double" w:sz="4" w:space="0" w:color="C00000"/>
              <w:left w:val="double" w:sz="4" w:space="0" w:color="C00000"/>
              <w:bottom w:val="double" w:sz="4" w:space="0" w:color="C00000"/>
            </w:tcBorders>
            <w:vAlign w:val="center"/>
            <w:hideMark/>
          </w:tcPr>
          <w:p w14:paraId="2C108248" w14:textId="77777777" w:rsidR="00856F66" w:rsidRPr="00E31657" w:rsidRDefault="00856F66" w:rsidP="00F35453">
            <w:pPr>
              <w:rPr>
                <w:rFonts w:cs="Arial"/>
                <w:b/>
                <w:bCs/>
                <w:sz w:val="16"/>
                <w:szCs w:val="16"/>
                <w:lang w:val="es-ES_tradnl" w:eastAsia="es-MX"/>
              </w:rPr>
            </w:pPr>
          </w:p>
        </w:tc>
      </w:tr>
      <w:tr w:rsidR="00856F66" w:rsidRPr="00E31657" w14:paraId="04EA3E31" w14:textId="77777777" w:rsidTr="007A1A2D">
        <w:trPr>
          <w:trHeight w:val="315"/>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2DF0DD"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Recuperar 30.000 m2 de metros cuadrados de espacio público para una movilidad más segura y accesible</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7E2FC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5130000</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FB581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SDM</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6FDED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C4F8E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8DC07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1D43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10.000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DA3831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11.526.276.445</w:t>
            </w:r>
          </w:p>
        </w:tc>
      </w:tr>
      <w:tr w:rsidR="00856F66" w:rsidRPr="00E31657" w14:paraId="60937DCE" w14:textId="77777777" w:rsidTr="007A1A2D">
        <w:trPr>
          <w:trHeight w:val="540"/>
        </w:trPr>
        <w:tc>
          <w:tcPr>
            <w:tcW w:w="2302" w:type="dxa"/>
            <w:vMerge/>
            <w:tcBorders>
              <w:top w:val="double" w:sz="4" w:space="0" w:color="C00000"/>
              <w:bottom w:val="double" w:sz="4" w:space="0" w:color="C00000"/>
              <w:right w:val="double" w:sz="4" w:space="0" w:color="C00000"/>
            </w:tcBorders>
            <w:vAlign w:val="center"/>
            <w:hideMark/>
          </w:tcPr>
          <w:p w14:paraId="29609E51"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AA64BF5"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8BD0198"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F30D5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3.903.000.000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53BCB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2.330.097.087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7C7B5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2.639.268.546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94D34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2.653.910.812</w:t>
            </w:r>
          </w:p>
        </w:tc>
        <w:tc>
          <w:tcPr>
            <w:tcW w:w="1813" w:type="dxa"/>
            <w:vMerge/>
            <w:tcBorders>
              <w:top w:val="double" w:sz="4" w:space="0" w:color="C00000"/>
              <w:left w:val="double" w:sz="4" w:space="0" w:color="C00000"/>
              <w:bottom w:val="double" w:sz="4" w:space="0" w:color="C00000"/>
            </w:tcBorders>
            <w:vAlign w:val="center"/>
            <w:hideMark/>
          </w:tcPr>
          <w:p w14:paraId="19796139" w14:textId="77777777" w:rsidR="00856F66" w:rsidRPr="00E31657" w:rsidRDefault="00856F66" w:rsidP="00F35453">
            <w:pPr>
              <w:rPr>
                <w:rFonts w:cs="Arial"/>
                <w:b/>
                <w:bCs/>
                <w:sz w:val="16"/>
                <w:szCs w:val="16"/>
                <w:lang w:val="es-ES_tradnl" w:eastAsia="es-MX"/>
              </w:rPr>
            </w:pPr>
          </w:p>
        </w:tc>
      </w:tr>
      <w:tr w:rsidR="00856F66" w:rsidRPr="00E31657" w14:paraId="724371F2" w14:textId="77777777" w:rsidTr="007A1A2D">
        <w:trPr>
          <w:trHeight w:val="405"/>
        </w:trPr>
        <w:tc>
          <w:tcPr>
            <w:tcW w:w="10207" w:type="dxa"/>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54E2739"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Salud</w:t>
            </w:r>
          </w:p>
        </w:tc>
      </w:tr>
      <w:tr w:rsidR="00856F66" w:rsidRPr="00E31657" w14:paraId="0D4B78EA" w14:textId="77777777" w:rsidTr="007A1A2D">
        <w:trPr>
          <w:trHeight w:val="600"/>
        </w:trPr>
        <w:tc>
          <w:tcPr>
            <w:tcW w:w="2302"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77529E" w14:textId="77777777" w:rsidR="00856F66" w:rsidRPr="00E31657" w:rsidRDefault="00856F66" w:rsidP="006668B4">
            <w:pPr>
              <w:jc w:val="right"/>
              <w:rPr>
                <w:rFonts w:cs="Arial"/>
                <w:sz w:val="16"/>
                <w:szCs w:val="16"/>
                <w:lang w:val="es-ES_tradnl" w:eastAsia="es-MX"/>
              </w:rPr>
            </w:pPr>
            <w:r w:rsidRPr="00E31657">
              <w:rPr>
                <w:rFonts w:cs="Arial"/>
                <w:sz w:val="16"/>
                <w:szCs w:val="16"/>
                <w:lang w:val="es-ES_tradnl" w:eastAsia="es-MX"/>
              </w:rPr>
              <w:t xml:space="preserve">Implementar 100% de acciones del plan distrital de seguridad vial a cargo del sector salud para la promoción de comportamientos de cuidado reducción del </w:t>
            </w:r>
            <w:r w:rsidRPr="00E31657">
              <w:rPr>
                <w:rFonts w:cs="Arial"/>
                <w:sz w:val="16"/>
                <w:szCs w:val="16"/>
                <w:lang w:val="es-ES_tradnl" w:eastAsia="es-MX"/>
              </w:rPr>
              <w:lastRenderedPageBreak/>
              <w:t>riesgo de perder vidas y sufrir lesiones graves en las vías.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A93B1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4B891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Propia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D7EF2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FDBDC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A66274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FD9A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813"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B1059A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1.434.305.677</w:t>
            </w:r>
          </w:p>
        </w:tc>
      </w:tr>
      <w:tr w:rsidR="00856F66" w:rsidRPr="00E31657" w14:paraId="3C1E3C8B" w14:textId="77777777" w:rsidTr="007A1A2D">
        <w:trPr>
          <w:trHeight w:val="600"/>
        </w:trPr>
        <w:tc>
          <w:tcPr>
            <w:tcW w:w="2302" w:type="dxa"/>
            <w:vMerge/>
            <w:tcBorders>
              <w:top w:val="double" w:sz="4" w:space="0" w:color="C00000"/>
              <w:bottom w:val="double" w:sz="4" w:space="0" w:color="C00000"/>
              <w:right w:val="double" w:sz="4" w:space="0" w:color="C00000"/>
            </w:tcBorders>
            <w:vAlign w:val="center"/>
            <w:hideMark/>
          </w:tcPr>
          <w:p w14:paraId="236A736A"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5DA6B25"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74D48C6"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EDC81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2122D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485.436.893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429D2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471.297.955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947F9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457.570.830</w:t>
            </w:r>
          </w:p>
        </w:tc>
        <w:tc>
          <w:tcPr>
            <w:tcW w:w="1813" w:type="dxa"/>
            <w:vMerge/>
            <w:tcBorders>
              <w:top w:val="double" w:sz="4" w:space="0" w:color="C00000"/>
              <w:left w:val="double" w:sz="4" w:space="0" w:color="C00000"/>
              <w:bottom w:val="double" w:sz="4" w:space="0" w:color="C00000"/>
            </w:tcBorders>
            <w:vAlign w:val="center"/>
            <w:hideMark/>
          </w:tcPr>
          <w:p w14:paraId="66F0BA0C" w14:textId="77777777" w:rsidR="00856F66" w:rsidRPr="00E31657" w:rsidRDefault="00856F66" w:rsidP="00F35453">
            <w:pPr>
              <w:rPr>
                <w:rFonts w:cs="Arial"/>
                <w:b/>
                <w:bCs/>
                <w:sz w:val="16"/>
                <w:szCs w:val="16"/>
                <w:lang w:val="es-ES_tradnl" w:eastAsia="es-MX"/>
              </w:rPr>
            </w:pPr>
          </w:p>
        </w:tc>
      </w:tr>
    </w:tbl>
    <w:p w14:paraId="6F0586B2" w14:textId="77777777" w:rsidR="00856F66" w:rsidRPr="00E31657" w:rsidRDefault="00856F66">
      <w:pPr>
        <w:rPr>
          <w:sz w:val="16"/>
          <w:szCs w:val="16"/>
          <w:lang w:val="es-ES_tradnl"/>
        </w:rPr>
      </w:pPr>
    </w:p>
    <w:p w14:paraId="31B702AF" w14:textId="77777777" w:rsidR="00856F66" w:rsidRPr="00E31657" w:rsidRDefault="00856F66">
      <w:pPr>
        <w:rPr>
          <w:sz w:val="16"/>
          <w:szCs w:val="16"/>
          <w:lang w:val="es-ES_tradnl"/>
        </w:rPr>
      </w:pPr>
    </w:p>
    <w:tbl>
      <w:tblPr>
        <w:tblW w:w="5774" w:type="pct"/>
        <w:jc w:val="center"/>
        <w:tblCellMar>
          <w:left w:w="0" w:type="dxa"/>
          <w:right w:w="0" w:type="dxa"/>
        </w:tblCellMar>
        <w:tblLook w:val="04A0" w:firstRow="1" w:lastRow="0" w:firstColumn="1" w:lastColumn="0" w:noHBand="0" w:noVBand="1"/>
      </w:tblPr>
      <w:tblGrid>
        <w:gridCol w:w="2308"/>
        <w:gridCol w:w="703"/>
        <w:gridCol w:w="1036"/>
        <w:gridCol w:w="1262"/>
        <w:gridCol w:w="1254"/>
        <w:gridCol w:w="1254"/>
        <w:gridCol w:w="1282"/>
        <w:gridCol w:w="1461"/>
        <w:gridCol w:w="249"/>
      </w:tblGrid>
      <w:tr w:rsidR="00856F66" w:rsidRPr="00E31657" w14:paraId="68708B7F" w14:textId="77777777" w:rsidTr="00985E3D">
        <w:trPr>
          <w:trHeight w:val="20"/>
          <w:jc w:val="center"/>
        </w:trPr>
        <w:tc>
          <w:tcPr>
            <w:tcW w:w="5000" w:type="pct"/>
            <w:gridSpan w:val="9"/>
            <w:tcBorders>
              <w:bottom w:val="double" w:sz="4" w:space="0" w:color="ED7D31" w:themeColor="accent2"/>
            </w:tcBorders>
            <w:tcMar>
              <w:top w:w="30" w:type="dxa"/>
              <w:left w:w="45" w:type="dxa"/>
              <w:bottom w:w="30" w:type="dxa"/>
              <w:right w:w="45" w:type="dxa"/>
            </w:tcMar>
            <w:vAlign w:val="center"/>
            <w:hideMark/>
          </w:tcPr>
          <w:p w14:paraId="54EECE63" w14:textId="77777777" w:rsidR="00856F66" w:rsidRPr="007A1A2D" w:rsidRDefault="00856F66" w:rsidP="007A1A2D">
            <w:pPr>
              <w:pStyle w:val="Ttulo"/>
              <w:jc w:val="center"/>
              <w:rPr>
                <w:rFonts w:ascii="Candara" w:eastAsia="Times New Roman" w:hAnsi="Candara"/>
                <w:color w:val="C00000"/>
                <w:sz w:val="24"/>
                <w:szCs w:val="24"/>
                <w:lang w:val="es-ES_tradnl" w:eastAsia="es-MX"/>
              </w:rPr>
            </w:pPr>
            <w:r w:rsidRPr="006E34FC">
              <w:rPr>
                <w:rFonts w:ascii="Candara" w:eastAsia="Times New Roman" w:hAnsi="Candara"/>
                <w:b/>
                <w:bCs/>
                <w:color w:val="C00000"/>
                <w:sz w:val="22"/>
                <w:szCs w:val="22"/>
                <w:lang w:val="es-ES_tradnl" w:eastAsia="es-MX"/>
              </w:rPr>
              <w:t>Programa 7.</w:t>
            </w:r>
            <w:r w:rsidRPr="006E34FC">
              <w:rPr>
                <w:rFonts w:ascii="Candara" w:eastAsia="Times New Roman" w:hAnsi="Candara"/>
                <w:color w:val="C00000"/>
                <w:sz w:val="22"/>
                <w:szCs w:val="22"/>
                <w:lang w:val="es-ES_tradnl" w:eastAsia="es-MX"/>
              </w:rPr>
              <w:t xml:space="preserve"> </w:t>
            </w:r>
            <w:r w:rsidRPr="006E34FC">
              <w:rPr>
                <w:rFonts w:ascii="Candara" w:eastAsia="Times New Roman" w:hAnsi="Candara"/>
                <w:bCs/>
                <w:sz w:val="22"/>
                <w:szCs w:val="22"/>
                <w:lang w:val="es-ES_tradnl" w:eastAsia="es-MX"/>
              </w:rPr>
              <w:t>Bogotá, una ciudad con menos Pobreza</w:t>
            </w:r>
          </w:p>
        </w:tc>
      </w:tr>
      <w:tr w:rsidR="00856F66" w:rsidRPr="00E31657" w14:paraId="345A9809" w14:textId="77777777" w:rsidTr="00985E3D">
        <w:trPr>
          <w:trHeight w:val="20"/>
          <w:jc w:val="center"/>
        </w:trPr>
        <w:tc>
          <w:tcPr>
            <w:tcW w:w="1068" w:type="pct"/>
            <w:vMerge w:val="restart"/>
            <w:tcBorders>
              <w:top w:val="double" w:sz="4" w:space="0" w:color="ED7D31" w:themeColor="accent2"/>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40A477AE"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Sector / metas</w:t>
            </w:r>
          </w:p>
        </w:tc>
        <w:tc>
          <w:tcPr>
            <w:tcW w:w="3932" w:type="pct"/>
            <w:gridSpan w:val="8"/>
            <w:tcBorders>
              <w:top w:val="double" w:sz="4" w:space="0" w:color="ED7D31" w:themeColor="accent2"/>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00902150" w14:textId="77777777" w:rsidR="00856F66" w:rsidRPr="00A80D64" w:rsidRDefault="00856F66" w:rsidP="007A1A2D">
            <w:pPr>
              <w:pStyle w:val="Ttulo"/>
              <w:jc w:val="center"/>
              <w:rPr>
                <w:rFonts w:ascii="Candara" w:hAnsi="Candara"/>
                <w:sz w:val="24"/>
                <w:szCs w:val="24"/>
                <w:lang w:val="es-ES_tradnl"/>
              </w:rPr>
            </w:pPr>
            <w:r w:rsidRPr="007A1A2D">
              <w:rPr>
                <w:rFonts w:ascii="Candara" w:eastAsia="Times New Roman" w:hAnsi="Candara"/>
                <w:b/>
                <w:bCs/>
                <w:color w:val="FFFFFF" w:themeColor="background1"/>
                <w:sz w:val="24"/>
                <w:szCs w:val="24"/>
                <w:lang w:val="es-ES_tradnl" w:eastAsia="es-MX"/>
              </w:rPr>
              <w:t xml:space="preserve">Magnitudes e inversión </w:t>
            </w:r>
            <w:r w:rsidRPr="007A1A2D">
              <w:rPr>
                <w:rFonts w:ascii="Candara" w:eastAsia="Times New Roman" w:hAnsi="Candara"/>
                <w:b/>
                <w:bCs/>
                <w:color w:val="FFFFFF" w:themeColor="background1"/>
                <w:sz w:val="24"/>
                <w:szCs w:val="24"/>
                <w:lang w:val="es-ES_tradnl" w:eastAsia="es-MX"/>
              </w:rPr>
              <w:br/>
              <w:t>(precios constantes 2024)</w:t>
            </w:r>
          </w:p>
        </w:tc>
      </w:tr>
      <w:tr w:rsidR="00856F66" w:rsidRPr="00E31657" w14:paraId="5BD162F7" w14:textId="77777777" w:rsidTr="00985E3D">
        <w:trPr>
          <w:trHeight w:val="20"/>
          <w:jc w:val="center"/>
        </w:trPr>
        <w:tc>
          <w:tcPr>
            <w:tcW w:w="1068" w:type="pct"/>
            <w:vMerge/>
            <w:tcBorders>
              <w:top w:val="double" w:sz="4" w:space="0" w:color="C00000"/>
              <w:bottom w:val="double" w:sz="4" w:space="0" w:color="C00000"/>
              <w:right w:val="double" w:sz="4" w:space="0" w:color="C00000"/>
            </w:tcBorders>
            <w:vAlign w:val="center"/>
            <w:hideMark/>
          </w:tcPr>
          <w:p w14:paraId="12875DED" w14:textId="77777777" w:rsidR="00856F66" w:rsidRPr="00E31657" w:rsidRDefault="00856F66" w:rsidP="00B95135">
            <w:pPr>
              <w:jc w:val="right"/>
              <w:rPr>
                <w:rFonts w:cs="Arial"/>
                <w:b/>
                <w:bCs/>
                <w:color w:val="FFFFFF"/>
                <w:sz w:val="16"/>
                <w:szCs w:val="16"/>
                <w:lang w:val="es-ES_tradnl" w:eastAsia="es-MX"/>
              </w:rPr>
            </w:pPr>
          </w:p>
        </w:tc>
        <w:tc>
          <w:tcPr>
            <w:tcW w:w="325"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E2B051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479"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36FC14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84"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1558DC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580"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A2D5A8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580"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8F7708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593"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7A4790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791" w:type="pct"/>
            <w:gridSpan w:val="2"/>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4BC4E6A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327C97C8" w14:textId="77777777" w:rsidTr="00985E3D">
        <w:trPr>
          <w:trHeight w:val="20"/>
          <w:jc w:val="center"/>
        </w:trPr>
        <w:tc>
          <w:tcPr>
            <w:tcW w:w="5000" w:type="pct"/>
            <w:gridSpan w:val="9"/>
            <w:tcBorders>
              <w:top w:val="double" w:sz="4" w:space="0" w:color="C00000"/>
              <w:bottom w:val="double" w:sz="4" w:space="0" w:color="ED7D31" w:themeColor="accent2"/>
            </w:tcBorders>
            <w:shd w:val="clear" w:color="auto" w:fill="C00000"/>
            <w:tcMar>
              <w:top w:w="30" w:type="dxa"/>
              <w:left w:w="45" w:type="dxa"/>
              <w:bottom w:w="30" w:type="dxa"/>
              <w:right w:w="45" w:type="dxa"/>
            </w:tcMar>
            <w:vAlign w:val="center"/>
            <w:hideMark/>
          </w:tcPr>
          <w:p w14:paraId="0ACE96D1"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Hábitat</w:t>
            </w:r>
          </w:p>
        </w:tc>
      </w:tr>
      <w:tr w:rsidR="00856F66" w:rsidRPr="00E31657" w14:paraId="793AA76F" w14:textId="77777777" w:rsidTr="00985E3D">
        <w:trPr>
          <w:trHeight w:val="20"/>
          <w:jc w:val="center"/>
        </w:trPr>
        <w:tc>
          <w:tcPr>
            <w:tcW w:w="1068" w:type="pct"/>
            <w:vMerge w:val="restart"/>
            <w:tcBorders>
              <w:top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70D7B4E9"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Asignar 51.000 subsidios para adquisición de vivienda nueva arrendamiento social y mejoramiento en los diferentes programas de la SDHT.</w:t>
            </w:r>
          </w:p>
        </w:tc>
        <w:tc>
          <w:tcPr>
            <w:tcW w:w="325"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E44460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11028</w:t>
            </w:r>
            <w:r w:rsidRPr="00E31657">
              <w:rPr>
                <w:rFonts w:cs="Arial"/>
                <w:sz w:val="16"/>
                <w:szCs w:val="16"/>
                <w:lang w:val="es-ES_tradnl" w:eastAsia="es-MX"/>
              </w:rPr>
              <w:br/>
              <w:t>(2023)</w:t>
            </w:r>
          </w:p>
        </w:tc>
        <w:tc>
          <w:tcPr>
            <w:tcW w:w="479"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3C3E7BD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SDHT (Segplan)</w:t>
            </w: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4421BB0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5.150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D10BFC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12.872</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669B078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14.994</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647C504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17.984</w:t>
            </w:r>
          </w:p>
        </w:tc>
        <w:tc>
          <w:tcPr>
            <w:tcW w:w="791" w:type="pct"/>
            <w:gridSpan w:val="2"/>
            <w:vMerge w:val="restart"/>
            <w:tcBorders>
              <w:top w:val="double" w:sz="4" w:space="0" w:color="ED7D31" w:themeColor="accent2"/>
              <w:left w:val="double" w:sz="4" w:space="0" w:color="ED7D31" w:themeColor="accent2"/>
              <w:bottom w:val="double" w:sz="4" w:space="0" w:color="ED7D31" w:themeColor="accent2"/>
            </w:tcBorders>
            <w:tcMar>
              <w:top w:w="30" w:type="dxa"/>
              <w:left w:w="45" w:type="dxa"/>
              <w:bottom w:w="30" w:type="dxa"/>
              <w:right w:w="45" w:type="dxa"/>
            </w:tcMar>
            <w:vAlign w:val="center"/>
            <w:hideMark/>
          </w:tcPr>
          <w:p w14:paraId="1021BC1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844.724.427.577</w:t>
            </w:r>
          </w:p>
        </w:tc>
      </w:tr>
      <w:tr w:rsidR="00856F66" w:rsidRPr="00E31657" w14:paraId="1A449DBD" w14:textId="77777777" w:rsidTr="00985E3D">
        <w:trPr>
          <w:trHeight w:val="20"/>
          <w:jc w:val="center"/>
        </w:trPr>
        <w:tc>
          <w:tcPr>
            <w:tcW w:w="1068" w:type="pct"/>
            <w:vMerge/>
            <w:tcBorders>
              <w:top w:val="double" w:sz="4" w:space="0" w:color="ED7D31" w:themeColor="accent2"/>
              <w:bottom w:val="double" w:sz="4" w:space="0" w:color="ED7D31" w:themeColor="accent2"/>
              <w:right w:val="double" w:sz="4" w:space="0" w:color="ED7D31" w:themeColor="accent2"/>
            </w:tcBorders>
            <w:vAlign w:val="center"/>
            <w:hideMark/>
          </w:tcPr>
          <w:p w14:paraId="5A3633AD" w14:textId="77777777" w:rsidR="00856F66" w:rsidRPr="00E31657" w:rsidRDefault="00856F66" w:rsidP="00B95135">
            <w:pPr>
              <w:jc w:val="right"/>
              <w:rPr>
                <w:rFonts w:cs="Arial"/>
                <w:sz w:val="16"/>
                <w:szCs w:val="16"/>
                <w:lang w:val="es-ES_tradnl" w:eastAsia="es-MX"/>
              </w:rPr>
            </w:pPr>
          </w:p>
        </w:tc>
        <w:tc>
          <w:tcPr>
            <w:tcW w:w="325"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6C69527B" w14:textId="77777777" w:rsidR="00856F66" w:rsidRPr="00E31657" w:rsidRDefault="00856F66" w:rsidP="00F35453">
            <w:pPr>
              <w:rPr>
                <w:rFonts w:cs="Arial"/>
                <w:sz w:val="16"/>
                <w:szCs w:val="16"/>
                <w:lang w:val="es-ES_tradnl" w:eastAsia="es-MX"/>
              </w:rPr>
            </w:pPr>
          </w:p>
        </w:tc>
        <w:tc>
          <w:tcPr>
            <w:tcW w:w="479"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1F8E2256" w14:textId="77777777" w:rsidR="00856F66" w:rsidRPr="00E31657" w:rsidRDefault="00856F66" w:rsidP="00F35453">
            <w:pPr>
              <w:rPr>
                <w:rFonts w:cs="Arial"/>
                <w:sz w:val="16"/>
                <w:szCs w:val="16"/>
                <w:lang w:val="es-ES_tradnl" w:eastAsia="es-MX"/>
              </w:rPr>
            </w:pP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2AC7F53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43.969.780.533</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4170CC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204.512.621.359</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35136C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240.260.156.471</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2DAF7B5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355.981.869.213</w:t>
            </w:r>
          </w:p>
        </w:tc>
        <w:tc>
          <w:tcPr>
            <w:tcW w:w="791" w:type="pct"/>
            <w:gridSpan w:val="2"/>
            <w:vMerge/>
            <w:tcBorders>
              <w:top w:val="double" w:sz="4" w:space="0" w:color="ED7D31" w:themeColor="accent2"/>
              <w:left w:val="double" w:sz="4" w:space="0" w:color="ED7D31" w:themeColor="accent2"/>
              <w:bottom w:val="double" w:sz="4" w:space="0" w:color="ED7D31" w:themeColor="accent2"/>
            </w:tcBorders>
            <w:vAlign w:val="center"/>
            <w:hideMark/>
          </w:tcPr>
          <w:p w14:paraId="401C570E" w14:textId="77777777" w:rsidR="00856F66" w:rsidRPr="00E31657" w:rsidRDefault="00856F66" w:rsidP="00F35453">
            <w:pPr>
              <w:rPr>
                <w:rFonts w:cs="Arial"/>
                <w:b/>
                <w:bCs/>
                <w:sz w:val="16"/>
                <w:szCs w:val="16"/>
                <w:lang w:val="es-ES_tradnl" w:eastAsia="es-MX"/>
              </w:rPr>
            </w:pPr>
          </w:p>
        </w:tc>
      </w:tr>
      <w:tr w:rsidR="00856F66" w:rsidRPr="00E31657" w14:paraId="5C5B24B1" w14:textId="77777777" w:rsidTr="00985E3D">
        <w:trPr>
          <w:trHeight w:val="20"/>
          <w:jc w:val="center"/>
        </w:trPr>
        <w:tc>
          <w:tcPr>
            <w:tcW w:w="1068" w:type="pct"/>
            <w:vMerge w:val="restart"/>
            <w:tcBorders>
              <w:top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564137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Ejecutar 8.000 mejoramientos de vivienda rural y urbana para familias en condiciones vulnerabilidad</w:t>
            </w:r>
          </w:p>
        </w:tc>
        <w:tc>
          <w:tcPr>
            <w:tcW w:w="325"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7B4C3BE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 xml:space="preserve">3580 </w:t>
            </w:r>
            <w:r w:rsidRPr="00E31657">
              <w:rPr>
                <w:rFonts w:cs="Arial"/>
                <w:sz w:val="16"/>
                <w:szCs w:val="16"/>
                <w:lang w:val="es-ES_tradnl" w:eastAsia="es-MX"/>
              </w:rPr>
              <w:br/>
              <w:t>(3140 urbano y 440 rurales)</w:t>
            </w:r>
            <w:r w:rsidRPr="00E31657">
              <w:rPr>
                <w:rFonts w:cs="Arial"/>
                <w:sz w:val="16"/>
                <w:szCs w:val="16"/>
                <w:lang w:val="es-ES_tradnl" w:eastAsia="es-MX"/>
              </w:rPr>
              <w:br/>
              <w:t>(2023)</w:t>
            </w:r>
          </w:p>
        </w:tc>
        <w:tc>
          <w:tcPr>
            <w:tcW w:w="479"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36A2440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br/>
            </w:r>
            <w:r w:rsidRPr="00E31657">
              <w:rPr>
                <w:rFonts w:cs="Arial"/>
                <w:sz w:val="16"/>
                <w:szCs w:val="16"/>
                <w:lang w:val="es-ES_tradnl" w:eastAsia="es-MX"/>
              </w:rPr>
              <w:br/>
            </w:r>
            <w:r w:rsidRPr="00E31657">
              <w:rPr>
                <w:rFonts w:cs="Arial"/>
                <w:sz w:val="16"/>
                <w:szCs w:val="16"/>
                <w:lang w:val="es-ES_tradnl" w:eastAsia="es-MX"/>
              </w:rPr>
              <w:br/>
            </w:r>
            <w:r w:rsidRPr="00E31657">
              <w:rPr>
                <w:rFonts w:cs="Arial"/>
                <w:sz w:val="16"/>
                <w:szCs w:val="16"/>
                <w:lang w:val="es-ES_tradnl" w:eastAsia="es-MX"/>
              </w:rPr>
              <w:br/>
              <w:t>SDHT (Segplan)</w:t>
            </w: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0A180B1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76F6A8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2.421</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68573ED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2.532</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7613CBD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2.407</w:t>
            </w:r>
          </w:p>
        </w:tc>
        <w:tc>
          <w:tcPr>
            <w:tcW w:w="791" w:type="pct"/>
            <w:gridSpan w:val="2"/>
            <w:vMerge w:val="restart"/>
            <w:tcBorders>
              <w:top w:val="double" w:sz="4" w:space="0" w:color="ED7D31" w:themeColor="accent2"/>
              <w:left w:val="double" w:sz="4" w:space="0" w:color="ED7D31" w:themeColor="accent2"/>
              <w:bottom w:val="double" w:sz="4" w:space="0" w:color="ED7D31" w:themeColor="accent2"/>
            </w:tcBorders>
            <w:tcMar>
              <w:top w:w="30" w:type="dxa"/>
              <w:left w:w="45" w:type="dxa"/>
              <w:bottom w:w="30" w:type="dxa"/>
              <w:right w:w="45" w:type="dxa"/>
            </w:tcMar>
            <w:vAlign w:val="center"/>
            <w:hideMark/>
          </w:tcPr>
          <w:p w14:paraId="707F3D2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68.214.534.153</w:t>
            </w:r>
          </w:p>
        </w:tc>
      </w:tr>
      <w:tr w:rsidR="00856F66" w:rsidRPr="00E31657" w14:paraId="6F2B0929" w14:textId="77777777" w:rsidTr="00985E3D">
        <w:trPr>
          <w:trHeight w:val="20"/>
          <w:jc w:val="center"/>
        </w:trPr>
        <w:tc>
          <w:tcPr>
            <w:tcW w:w="1068" w:type="pct"/>
            <w:vMerge/>
            <w:tcBorders>
              <w:top w:val="double" w:sz="4" w:space="0" w:color="ED7D31" w:themeColor="accent2"/>
              <w:bottom w:val="double" w:sz="4" w:space="0" w:color="ED7D31" w:themeColor="accent2"/>
              <w:right w:val="double" w:sz="4" w:space="0" w:color="ED7D31" w:themeColor="accent2"/>
            </w:tcBorders>
            <w:vAlign w:val="center"/>
            <w:hideMark/>
          </w:tcPr>
          <w:p w14:paraId="2F9B7471" w14:textId="77777777" w:rsidR="00856F66" w:rsidRPr="00E31657" w:rsidRDefault="00856F66" w:rsidP="00B95135">
            <w:pPr>
              <w:jc w:val="right"/>
              <w:rPr>
                <w:rFonts w:cs="Arial"/>
                <w:sz w:val="16"/>
                <w:szCs w:val="16"/>
                <w:lang w:val="es-ES_tradnl" w:eastAsia="es-MX"/>
              </w:rPr>
            </w:pPr>
          </w:p>
        </w:tc>
        <w:tc>
          <w:tcPr>
            <w:tcW w:w="325"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79CEDA3B" w14:textId="77777777" w:rsidR="00856F66" w:rsidRPr="00E31657" w:rsidRDefault="00856F66" w:rsidP="00F35453">
            <w:pPr>
              <w:rPr>
                <w:rFonts w:cs="Arial"/>
                <w:sz w:val="16"/>
                <w:szCs w:val="16"/>
                <w:lang w:val="es-ES_tradnl" w:eastAsia="es-MX"/>
              </w:rPr>
            </w:pPr>
          </w:p>
        </w:tc>
        <w:tc>
          <w:tcPr>
            <w:tcW w:w="479"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0F96F8B5" w14:textId="77777777" w:rsidR="00856F66" w:rsidRPr="00E31657" w:rsidRDefault="00856F66" w:rsidP="00F35453">
            <w:pPr>
              <w:rPr>
                <w:rFonts w:cs="Arial"/>
                <w:sz w:val="16"/>
                <w:szCs w:val="16"/>
                <w:lang w:val="es-ES_tradnl" w:eastAsia="es-MX"/>
              </w:rPr>
            </w:pP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2DCFE13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25.393.000.000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AFED97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13.933.037.796</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3DE85F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14.239.340.058</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6B1F09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14.649.156.299</w:t>
            </w:r>
          </w:p>
        </w:tc>
        <w:tc>
          <w:tcPr>
            <w:tcW w:w="791" w:type="pct"/>
            <w:gridSpan w:val="2"/>
            <w:vMerge/>
            <w:tcBorders>
              <w:top w:val="double" w:sz="4" w:space="0" w:color="ED7D31" w:themeColor="accent2"/>
              <w:left w:val="double" w:sz="4" w:space="0" w:color="ED7D31" w:themeColor="accent2"/>
              <w:bottom w:val="double" w:sz="4" w:space="0" w:color="ED7D31" w:themeColor="accent2"/>
            </w:tcBorders>
            <w:vAlign w:val="center"/>
            <w:hideMark/>
          </w:tcPr>
          <w:p w14:paraId="43675B6C" w14:textId="77777777" w:rsidR="00856F66" w:rsidRPr="00E31657" w:rsidRDefault="00856F66" w:rsidP="00F35453">
            <w:pPr>
              <w:rPr>
                <w:rFonts w:cs="Arial"/>
                <w:b/>
                <w:bCs/>
                <w:sz w:val="16"/>
                <w:szCs w:val="16"/>
                <w:lang w:val="es-ES_tradnl" w:eastAsia="es-MX"/>
              </w:rPr>
            </w:pPr>
          </w:p>
        </w:tc>
      </w:tr>
      <w:tr w:rsidR="00856F66" w:rsidRPr="00E31657" w14:paraId="49B91845" w14:textId="77777777" w:rsidTr="00985E3D">
        <w:trPr>
          <w:trHeight w:val="20"/>
          <w:jc w:val="center"/>
        </w:trPr>
        <w:tc>
          <w:tcPr>
            <w:tcW w:w="1068" w:type="pct"/>
            <w:vMerge w:val="restart"/>
            <w:tcBorders>
              <w:top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610B5C4F"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Mejorar Integralmente o reforzar 4.000 viviendas </w:t>
            </w:r>
          </w:p>
        </w:tc>
        <w:tc>
          <w:tcPr>
            <w:tcW w:w="325"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0BE12AA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1065</w:t>
            </w:r>
            <w:r w:rsidRPr="00E31657">
              <w:rPr>
                <w:rFonts w:cs="Arial"/>
                <w:sz w:val="16"/>
                <w:szCs w:val="16"/>
                <w:lang w:val="es-ES_tradnl" w:eastAsia="es-MX"/>
              </w:rPr>
              <w:br/>
              <w:t>(2023)</w:t>
            </w:r>
          </w:p>
        </w:tc>
        <w:tc>
          <w:tcPr>
            <w:tcW w:w="479"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82D137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CVP- Dirección de Mejoramiento de Vivienda</w:t>
            </w: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4519AA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9A7806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880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09F64AB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1.100</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489DDB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1.910</w:t>
            </w:r>
          </w:p>
        </w:tc>
        <w:tc>
          <w:tcPr>
            <w:tcW w:w="791" w:type="pct"/>
            <w:gridSpan w:val="2"/>
            <w:vMerge w:val="restart"/>
            <w:tcBorders>
              <w:top w:val="double" w:sz="4" w:space="0" w:color="ED7D31" w:themeColor="accent2"/>
              <w:left w:val="double" w:sz="4" w:space="0" w:color="ED7D31" w:themeColor="accent2"/>
              <w:bottom w:val="double" w:sz="4" w:space="0" w:color="ED7D31" w:themeColor="accent2"/>
            </w:tcBorders>
            <w:tcMar>
              <w:top w:w="30" w:type="dxa"/>
              <w:left w:w="45" w:type="dxa"/>
              <w:bottom w:w="30" w:type="dxa"/>
              <w:right w:w="45" w:type="dxa"/>
            </w:tcMar>
            <w:vAlign w:val="center"/>
            <w:hideMark/>
          </w:tcPr>
          <w:p w14:paraId="6AEE0EC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37.575.252.467</w:t>
            </w:r>
          </w:p>
        </w:tc>
      </w:tr>
      <w:tr w:rsidR="00856F66" w:rsidRPr="00E31657" w14:paraId="4D2D694D" w14:textId="77777777" w:rsidTr="00985E3D">
        <w:trPr>
          <w:trHeight w:val="20"/>
          <w:jc w:val="center"/>
        </w:trPr>
        <w:tc>
          <w:tcPr>
            <w:tcW w:w="1068" w:type="pct"/>
            <w:vMerge/>
            <w:tcBorders>
              <w:top w:val="double" w:sz="4" w:space="0" w:color="ED7D31" w:themeColor="accent2"/>
              <w:bottom w:val="double" w:sz="4" w:space="0" w:color="ED7D31" w:themeColor="accent2"/>
              <w:right w:val="double" w:sz="4" w:space="0" w:color="ED7D31" w:themeColor="accent2"/>
            </w:tcBorders>
            <w:vAlign w:val="center"/>
            <w:hideMark/>
          </w:tcPr>
          <w:p w14:paraId="5CE4E934" w14:textId="77777777" w:rsidR="00856F66" w:rsidRPr="00E31657" w:rsidRDefault="00856F66" w:rsidP="00B95135">
            <w:pPr>
              <w:jc w:val="right"/>
              <w:rPr>
                <w:rFonts w:cs="Arial"/>
                <w:sz w:val="16"/>
                <w:szCs w:val="16"/>
                <w:lang w:val="es-ES_tradnl" w:eastAsia="es-MX"/>
              </w:rPr>
            </w:pPr>
          </w:p>
        </w:tc>
        <w:tc>
          <w:tcPr>
            <w:tcW w:w="325"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54D35D6F" w14:textId="77777777" w:rsidR="00856F66" w:rsidRPr="00E31657" w:rsidRDefault="00856F66" w:rsidP="00F35453">
            <w:pPr>
              <w:rPr>
                <w:rFonts w:cs="Arial"/>
                <w:sz w:val="16"/>
                <w:szCs w:val="16"/>
                <w:lang w:val="es-ES_tradnl" w:eastAsia="es-MX"/>
              </w:rPr>
            </w:pPr>
          </w:p>
        </w:tc>
        <w:tc>
          <w:tcPr>
            <w:tcW w:w="479"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4BB45A98" w14:textId="77777777" w:rsidR="00856F66" w:rsidRPr="00E31657" w:rsidRDefault="00856F66" w:rsidP="00F35453">
            <w:pPr>
              <w:rPr>
                <w:rFonts w:cs="Arial"/>
                <w:sz w:val="16"/>
                <w:szCs w:val="16"/>
                <w:lang w:val="es-ES_tradnl" w:eastAsia="es-MX"/>
              </w:rPr>
            </w:pP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610448F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6.400.460.320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7C6F299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11.341.454.369</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4F9AFF6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13.763.901.404</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084547A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6.069.436.373</w:t>
            </w:r>
          </w:p>
        </w:tc>
        <w:tc>
          <w:tcPr>
            <w:tcW w:w="791" w:type="pct"/>
            <w:gridSpan w:val="2"/>
            <w:vMerge/>
            <w:tcBorders>
              <w:top w:val="double" w:sz="4" w:space="0" w:color="ED7D31" w:themeColor="accent2"/>
              <w:left w:val="double" w:sz="4" w:space="0" w:color="ED7D31" w:themeColor="accent2"/>
              <w:bottom w:val="double" w:sz="4" w:space="0" w:color="ED7D31" w:themeColor="accent2"/>
            </w:tcBorders>
            <w:vAlign w:val="center"/>
            <w:hideMark/>
          </w:tcPr>
          <w:p w14:paraId="64DB53DE" w14:textId="77777777" w:rsidR="00856F66" w:rsidRPr="00E31657" w:rsidRDefault="00856F66" w:rsidP="00F35453">
            <w:pPr>
              <w:rPr>
                <w:rFonts w:cs="Arial"/>
                <w:b/>
                <w:bCs/>
                <w:sz w:val="16"/>
                <w:szCs w:val="16"/>
                <w:lang w:val="es-ES_tradnl" w:eastAsia="es-MX"/>
              </w:rPr>
            </w:pPr>
          </w:p>
        </w:tc>
      </w:tr>
      <w:tr w:rsidR="00856F66" w:rsidRPr="00E31657" w14:paraId="0B6A1CC2" w14:textId="77777777" w:rsidTr="00985E3D">
        <w:trPr>
          <w:gridAfter w:val="1"/>
          <w:wAfter w:w="115" w:type="pct"/>
          <w:trHeight w:val="20"/>
          <w:jc w:val="center"/>
        </w:trPr>
        <w:tc>
          <w:tcPr>
            <w:tcW w:w="4885" w:type="pct"/>
            <w:gridSpan w:val="8"/>
            <w:tcBorders>
              <w:top w:val="double" w:sz="4" w:space="0" w:color="ED7D31" w:themeColor="accent2"/>
              <w:bottom w:val="double" w:sz="4" w:space="0" w:color="ED7D31" w:themeColor="accent2"/>
            </w:tcBorders>
            <w:shd w:val="clear" w:color="auto" w:fill="C00000"/>
            <w:tcMar>
              <w:top w:w="30" w:type="dxa"/>
              <w:left w:w="45" w:type="dxa"/>
              <w:bottom w:w="30" w:type="dxa"/>
              <w:right w:w="45" w:type="dxa"/>
            </w:tcMar>
            <w:vAlign w:val="center"/>
            <w:hideMark/>
          </w:tcPr>
          <w:p w14:paraId="622DA043"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Integración social</w:t>
            </w:r>
          </w:p>
        </w:tc>
      </w:tr>
      <w:tr w:rsidR="00856F66" w:rsidRPr="00E31657" w14:paraId="7893A7C1" w14:textId="77777777" w:rsidTr="00985E3D">
        <w:trPr>
          <w:trHeight w:val="20"/>
          <w:jc w:val="center"/>
        </w:trPr>
        <w:tc>
          <w:tcPr>
            <w:tcW w:w="1068" w:type="pct"/>
            <w:vMerge w:val="restart"/>
            <w:tcBorders>
              <w:top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00DDFFF8"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Atender 1.300.000 personas mediante transferencias monetarias (condicionadas y no condicionadas)</w:t>
            </w:r>
          </w:p>
        </w:tc>
        <w:tc>
          <w:tcPr>
            <w:tcW w:w="325"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FB1772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1300000</w:t>
            </w:r>
            <w:r w:rsidRPr="00E31657">
              <w:rPr>
                <w:rFonts w:cs="Arial"/>
                <w:sz w:val="16"/>
                <w:szCs w:val="16"/>
                <w:lang w:val="es-ES_tradnl" w:eastAsia="es-MX"/>
              </w:rPr>
              <w:br/>
              <w:t>(2023)</w:t>
            </w:r>
          </w:p>
        </w:tc>
        <w:tc>
          <w:tcPr>
            <w:tcW w:w="479" w:type="pct"/>
            <w:vMerge w:val="restar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3634030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Reporte de Personas Únicas Atendidas - PUA. Secretaría de Integración Social</w:t>
            </w: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046436C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1.300.000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395211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1.300.000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5B244CA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1.300.000</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A9E34F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1.300.000</w:t>
            </w:r>
          </w:p>
        </w:tc>
        <w:tc>
          <w:tcPr>
            <w:tcW w:w="791" w:type="pct"/>
            <w:gridSpan w:val="2"/>
            <w:vMerge w:val="restart"/>
            <w:tcBorders>
              <w:top w:val="double" w:sz="4" w:space="0" w:color="ED7D31" w:themeColor="accent2"/>
              <w:left w:val="double" w:sz="4" w:space="0" w:color="ED7D31" w:themeColor="accent2"/>
              <w:bottom w:val="double" w:sz="4" w:space="0" w:color="ED7D31" w:themeColor="accent2"/>
            </w:tcBorders>
            <w:tcMar>
              <w:top w:w="30" w:type="dxa"/>
              <w:left w:w="45" w:type="dxa"/>
              <w:bottom w:w="30" w:type="dxa"/>
              <w:right w:w="45" w:type="dxa"/>
            </w:tcMar>
            <w:vAlign w:val="center"/>
            <w:hideMark/>
          </w:tcPr>
          <w:p w14:paraId="42635A80"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1.968.089.604.095</w:t>
            </w:r>
          </w:p>
        </w:tc>
      </w:tr>
      <w:tr w:rsidR="00856F66" w:rsidRPr="00E31657" w14:paraId="50DEC2EA" w14:textId="77777777" w:rsidTr="00985E3D">
        <w:trPr>
          <w:trHeight w:val="20"/>
          <w:jc w:val="center"/>
        </w:trPr>
        <w:tc>
          <w:tcPr>
            <w:tcW w:w="1068" w:type="pct"/>
            <w:vMerge/>
            <w:tcBorders>
              <w:top w:val="double" w:sz="4" w:space="0" w:color="ED7D31" w:themeColor="accent2"/>
              <w:bottom w:val="double" w:sz="4" w:space="0" w:color="ED7D31" w:themeColor="accent2"/>
              <w:right w:val="double" w:sz="4" w:space="0" w:color="ED7D31" w:themeColor="accent2"/>
            </w:tcBorders>
            <w:vAlign w:val="center"/>
            <w:hideMark/>
          </w:tcPr>
          <w:p w14:paraId="53978D59" w14:textId="77777777" w:rsidR="00856F66" w:rsidRPr="00E31657" w:rsidRDefault="00856F66" w:rsidP="00B95135">
            <w:pPr>
              <w:jc w:val="right"/>
              <w:rPr>
                <w:rFonts w:cs="Arial"/>
                <w:sz w:val="16"/>
                <w:szCs w:val="16"/>
                <w:lang w:val="es-ES_tradnl" w:eastAsia="es-MX"/>
              </w:rPr>
            </w:pPr>
          </w:p>
        </w:tc>
        <w:tc>
          <w:tcPr>
            <w:tcW w:w="325"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78168172" w14:textId="77777777" w:rsidR="00856F66" w:rsidRPr="00E31657" w:rsidRDefault="00856F66" w:rsidP="00F35453">
            <w:pPr>
              <w:rPr>
                <w:rFonts w:cs="Arial"/>
                <w:sz w:val="16"/>
                <w:szCs w:val="16"/>
                <w:lang w:val="es-ES_tradnl" w:eastAsia="es-MX"/>
              </w:rPr>
            </w:pPr>
          </w:p>
        </w:tc>
        <w:tc>
          <w:tcPr>
            <w:tcW w:w="479" w:type="pct"/>
            <w:vMerge/>
            <w:tcBorders>
              <w:top w:val="double" w:sz="4" w:space="0" w:color="ED7D31" w:themeColor="accent2"/>
              <w:left w:val="double" w:sz="4" w:space="0" w:color="ED7D31" w:themeColor="accent2"/>
              <w:bottom w:val="double" w:sz="4" w:space="0" w:color="ED7D31" w:themeColor="accent2"/>
              <w:right w:val="double" w:sz="4" w:space="0" w:color="ED7D31" w:themeColor="accent2"/>
            </w:tcBorders>
            <w:vAlign w:val="center"/>
            <w:hideMark/>
          </w:tcPr>
          <w:p w14:paraId="1270E4C2" w14:textId="77777777" w:rsidR="00856F66" w:rsidRPr="00E31657" w:rsidRDefault="00856F66" w:rsidP="00F35453">
            <w:pPr>
              <w:rPr>
                <w:rFonts w:cs="Arial"/>
                <w:sz w:val="16"/>
                <w:szCs w:val="16"/>
                <w:lang w:val="es-ES_tradnl" w:eastAsia="es-MX"/>
              </w:rPr>
            </w:pPr>
          </w:p>
        </w:tc>
        <w:tc>
          <w:tcPr>
            <w:tcW w:w="584"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004A12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471.282.000.000</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1CA6EAE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483.681.553.398</w:t>
            </w:r>
          </w:p>
        </w:tc>
        <w:tc>
          <w:tcPr>
            <w:tcW w:w="580"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4A8E46F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503.037.986.615</w:t>
            </w:r>
          </w:p>
        </w:tc>
        <w:tc>
          <w:tcPr>
            <w:tcW w:w="593" w:type="pct"/>
            <w:tcBorders>
              <w:top w:val="double" w:sz="4" w:space="0" w:color="ED7D31" w:themeColor="accent2"/>
              <w:left w:val="double" w:sz="4" w:space="0" w:color="ED7D31" w:themeColor="accent2"/>
              <w:bottom w:val="double" w:sz="4" w:space="0" w:color="ED7D31" w:themeColor="accent2"/>
              <w:right w:val="double" w:sz="4" w:space="0" w:color="ED7D31" w:themeColor="accent2"/>
            </w:tcBorders>
            <w:tcMar>
              <w:top w:w="30" w:type="dxa"/>
              <w:left w:w="45" w:type="dxa"/>
              <w:bottom w:w="30" w:type="dxa"/>
              <w:right w:w="45" w:type="dxa"/>
            </w:tcMar>
            <w:vAlign w:val="center"/>
            <w:hideMark/>
          </w:tcPr>
          <w:p w14:paraId="4F44F0D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510.088.064.082</w:t>
            </w:r>
          </w:p>
        </w:tc>
        <w:tc>
          <w:tcPr>
            <w:tcW w:w="791" w:type="pct"/>
            <w:gridSpan w:val="2"/>
            <w:vMerge/>
            <w:tcBorders>
              <w:top w:val="double" w:sz="4" w:space="0" w:color="ED7D31" w:themeColor="accent2"/>
              <w:left w:val="double" w:sz="4" w:space="0" w:color="ED7D31" w:themeColor="accent2"/>
              <w:bottom w:val="double" w:sz="4" w:space="0" w:color="ED7D31" w:themeColor="accent2"/>
            </w:tcBorders>
            <w:vAlign w:val="center"/>
            <w:hideMark/>
          </w:tcPr>
          <w:p w14:paraId="22D7EE54" w14:textId="77777777" w:rsidR="00856F66" w:rsidRPr="00E31657" w:rsidRDefault="00856F66" w:rsidP="00F35453">
            <w:pPr>
              <w:rPr>
                <w:rFonts w:cs="Arial"/>
                <w:b/>
                <w:bCs/>
                <w:sz w:val="16"/>
                <w:szCs w:val="16"/>
                <w:lang w:val="es-ES_tradnl" w:eastAsia="es-MX"/>
              </w:rPr>
            </w:pPr>
          </w:p>
        </w:tc>
      </w:tr>
      <w:tr w:rsidR="00856F66" w:rsidRPr="00E31657" w14:paraId="2FC9EA1D" w14:textId="77777777" w:rsidTr="00985E3D">
        <w:trPr>
          <w:trHeight w:val="20"/>
          <w:jc w:val="center"/>
        </w:trPr>
        <w:tc>
          <w:tcPr>
            <w:tcW w:w="1068" w:type="pct"/>
            <w:vMerge w:val="restart"/>
            <w:tcBorders>
              <w:top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0CE85FE8"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Beneficiar 40.000 jóvenes con transferencias monetarias condicionadas con enfoque diferencial y de género en el marco de una ruta de inclusión productiva.</w:t>
            </w:r>
          </w:p>
        </w:tc>
        <w:tc>
          <w:tcPr>
            <w:tcW w:w="325" w:type="pct"/>
            <w:vMerge w:val="restart"/>
            <w:tcBorders>
              <w:top w:val="double" w:sz="4" w:space="0" w:color="ED7D31" w:themeColor="accent2"/>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49B3F30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28000</w:t>
            </w:r>
            <w:r w:rsidRPr="00E31657">
              <w:rPr>
                <w:rFonts w:cs="Arial"/>
                <w:sz w:val="16"/>
                <w:szCs w:val="16"/>
                <w:lang w:val="es-ES_tradnl" w:eastAsia="es-MX"/>
              </w:rPr>
              <w:br/>
              <w:t>(2023)</w:t>
            </w:r>
          </w:p>
        </w:tc>
        <w:tc>
          <w:tcPr>
            <w:tcW w:w="479" w:type="pct"/>
            <w:vMerge w:val="restart"/>
            <w:tcBorders>
              <w:top w:val="double" w:sz="4" w:space="0" w:color="ED7D31" w:themeColor="accent2"/>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177FA37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Reporte de Personas Únicas Atendidas - PUA. Secretaría de Integración Social</w:t>
            </w:r>
          </w:p>
        </w:tc>
        <w:tc>
          <w:tcPr>
            <w:tcW w:w="584" w:type="pct"/>
            <w:tcBorders>
              <w:top w:val="double" w:sz="4" w:space="0" w:color="ED7D31" w:themeColor="accent2"/>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16AF0E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w:t>
            </w:r>
          </w:p>
        </w:tc>
        <w:tc>
          <w:tcPr>
            <w:tcW w:w="580" w:type="pct"/>
            <w:tcBorders>
              <w:top w:val="double" w:sz="4" w:space="0" w:color="ED7D31" w:themeColor="accent2"/>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54CA6C8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17.000</w:t>
            </w:r>
          </w:p>
        </w:tc>
        <w:tc>
          <w:tcPr>
            <w:tcW w:w="580" w:type="pct"/>
            <w:tcBorders>
              <w:top w:val="double" w:sz="4" w:space="0" w:color="ED7D31" w:themeColor="accent2"/>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74B16E1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12.000</w:t>
            </w:r>
          </w:p>
        </w:tc>
        <w:tc>
          <w:tcPr>
            <w:tcW w:w="593" w:type="pct"/>
            <w:tcBorders>
              <w:top w:val="double" w:sz="4" w:space="0" w:color="ED7D31" w:themeColor="accent2"/>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55D8A73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9.000</w:t>
            </w:r>
          </w:p>
        </w:tc>
        <w:tc>
          <w:tcPr>
            <w:tcW w:w="791" w:type="pct"/>
            <w:gridSpan w:val="2"/>
            <w:vMerge w:val="restart"/>
            <w:tcBorders>
              <w:top w:val="double" w:sz="4" w:space="0" w:color="ED7D31" w:themeColor="accent2"/>
              <w:left w:val="double" w:sz="4" w:space="0" w:color="ED7D31" w:themeColor="accent2"/>
              <w:bottom w:val="double" w:sz="4" w:space="0" w:color="C00000"/>
            </w:tcBorders>
            <w:tcMar>
              <w:top w:w="30" w:type="dxa"/>
              <w:left w:w="45" w:type="dxa"/>
              <w:bottom w:w="30" w:type="dxa"/>
              <w:right w:w="45" w:type="dxa"/>
            </w:tcMar>
            <w:vAlign w:val="center"/>
            <w:hideMark/>
          </w:tcPr>
          <w:p w14:paraId="7394D55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12.527.561.687</w:t>
            </w:r>
          </w:p>
        </w:tc>
      </w:tr>
      <w:tr w:rsidR="00856F66" w:rsidRPr="00E31657" w14:paraId="06A8BB61" w14:textId="77777777" w:rsidTr="00985E3D">
        <w:trPr>
          <w:trHeight w:val="20"/>
          <w:jc w:val="center"/>
        </w:trPr>
        <w:tc>
          <w:tcPr>
            <w:tcW w:w="1068" w:type="pct"/>
            <w:vMerge/>
            <w:tcBorders>
              <w:top w:val="double" w:sz="4" w:space="0" w:color="C00000"/>
              <w:bottom w:val="double" w:sz="4" w:space="0" w:color="C00000"/>
              <w:right w:val="double" w:sz="4" w:space="0" w:color="ED7D31" w:themeColor="accent2"/>
            </w:tcBorders>
            <w:vAlign w:val="center"/>
            <w:hideMark/>
          </w:tcPr>
          <w:p w14:paraId="70271D4B" w14:textId="77777777" w:rsidR="00856F66" w:rsidRPr="00E31657" w:rsidRDefault="00856F66" w:rsidP="00B95135">
            <w:pPr>
              <w:jc w:val="right"/>
              <w:rPr>
                <w:rFonts w:cs="Arial"/>
                <w:sz w:val="16"/>
                <w:szCs w:val="16"/>
                <w:lang w:val="es-ES_tradnl" w:eastAsia="es-MX"/>
              </w:rPr>
            </w:pPr>
          </w:p>
        </w:tc>
        <w:tc>
          <w:tcPr>
            <w:tcW w:w="325" w:type="pct"/>
            <w:vMerge/>
            <w:tcBorders>
              <w:top w:val="double" w:sz="4" w:space="0" w:color="C00000"/>
              <w:left w:val="double" w:sz="4" w:space="0" w:color="ED7D31" w:themeColor="accent2"/>
              <w:bottom w:val="double" w:sz="4" w:space="0" w:color="C00000"/>
              <w:right w:val="double" w:sz="4" w:space="0" w:color="ED7D31" w:themeColor="accent2"/>
            </w:tcBorders>
            <w:vAlign w:val="center"/>
            <w:hideMark/>
          </w:tcPr>
          <w:p w14:paraId="279BC062" w14:textId="77777777" w:rsidR="00856F66" w:rsidRPr="00E31657" w:rsidRDefault="00856F66" w:rsidP="00F35453">
            <w:pPr>
              <w:rPr>
                <w:rFonts w:cs="Arial"/>
                <w:sz w:val="16"/>
                <w:szCs w:val="16"/>
                <w:lang w:val="es-ES_tradnl" w:eastAsia="es-MX"/>
              </w:rPr>
            </w:pPr>
          </w:p>
        </w:tc>
        <w:tc>
          <w:tcPr>
            <w:tcW w:w="479" w:type="pct"/>
            <w:vMerge/>
            <w:tcBorders>
              <w:top w:val="double" w:sz="4" w:space="0" w:color="C00000"/>
              <w:left w:val="double" w:sz="4" w:space="0" w:color="ED7D31" w:themeColor="accent2"/>
              <w:bottom w:val="double" w:sz="4" w:space="0" w:color="C00000"/>
              <w:right w:val="double" w:sz="4" w:space="0" w:color="ED7D31" w:themeColor="accent2"/>
            </w:tcBorders>
            <w:vAlign w:val="center"/>
            <w:hideMark/>
          </w:tcPr>
          <w:p w14:paraId="1D302614" w14:textId="77777777" w:rsidR="00856F66" w:rsidRPr="00E31657" w:rsidRDefault="00856F66" w:rsidP="00F35453">
            <w:pPr>
              <w:rPr>
                <w:rFonts w:cs="Arial"/>
                <w:sz w:val="16"/>
                <w:szCs w:val="16"/>
                <w:lang w:val="es-ES_tradnl" w:eastAsia="es-MX"/>
              </w:rPr>
            </w:pPr>
          </w:p>
        </w:tc>
        <w:tc>
          <w:tcPr>
            <w:tcW w:w="584" w:type="pct"/>
            <w:tcBorders>
              <w:top w:val="double" w:sz="4" w:space="0" w:color="C00000"/>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5B3182C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3.000.000.000</w:t>
            </w:r>
          </w:p>
        </w:tc>
        <w:tc>
          <w:tcPr>
            <w:tcW w:w="580" w:type="pct"/>
            <w:tcBorders>
              <w:top w:val="double" w:sz="4" w:space="0" w:color="C00000"/>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1572673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3.078.640.777</w:t>
            </w:r>
          </w:p>
        </w:tc>
        <w:tc>
          <w:tcPr>
            <w:tcW w:w="580" w:type="pct"/>
            <w:tcBorders>
              <w:top w:val="double" w:sz="4" w:space="0" w:color="C00000"/>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60EE131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3.201.998.303</w:t>
            </w:r>
          </w:p>
        </w:tc>
        <w:tc>
          <w:tcPr>
            <w:tcW w:w="593" w:type="pct"/>
            <w:tcBorders>
              <w:top w:val="double" w:sz="4" w:space="0" w:color="C00000"/>
              <w:left w:val="double" w:sz="4" w:space="0" w:color="ED7D31" w:themeColor="accent2"/>
              <w:bottom w:val="double" w:sz="4" w:space="0" w:color="C00000"/>
              <w:right w:val="double" w:sz="4" w:space="0" w:color="ED7D31" w:themeColor="accent2"/>
            </w:tcBorders>
            <w:tcMar>
              <w:top w:w="30" w:type="dxa"/>
              <w:left w:w="45" w:type="dxa"/>
              <w:bottom w:w="30" w:type="dxa"/>
              <w:right w:w="45" w:type="dxa"/>
            </w:tcMar>
            <w:vAlign w:val="center"/>
            <w:hideMark/>
          </w:tcPr>
          <w:p w14:paraId="285FA4C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3.246.922.607</w:t>
            </w:r>
          </w:p>
        </w:tc>
        <w:tc>
          <w:tcPr>
            <w:tcW w:w="791" w:type="pct"/>
            <w:gridSpan w:val="2"/>
            <w:vMerge/>
            <w:tcBorders>
              <w:top w:val="double" w:sz="4" w:space="0" w:color="C00000"/>
              <w:left w:val="double" w:sz="4" w:space="0" w:color="ED7D31" w:themeColor="accent2"/>
              <w:bottom w:val="double" w:sz="4" w:space="0" w:color="C00000"/>
            </w:tcBorders>
            <w:vAlign w:val="center"/>
            <w:hideMark/>
          </w:tcPr>
          <w:p w14:paraId="784192C6" w14:textId="77777777" w:rsidR="00856F66" w:rsidRPr="00E31657" w:rsidRDefault="00856F66" w:rsidP="00F35453">
            <w:pPr>
              <w:rPr>
                <w:rFonts w:cs="Arial"/>
                <w:b/>
                <w:bCs/>
                <w:sz w:val="16"/>
                <w:szCs w:val="16"/>
                <w:lang w:val="es-ES_tradnl" w:eastAsia="es-MX"/>
              </w:rPr>
            </w:pPr>
          </w:p>
        </w:tc>
      </w:tr>
    </w:tbl>
    <w:p w14:paraId="12293F0C" w14:textId="77777777" w:rsidR="00856F66" w:rsidRPr="00E31657" w:rsidRDefault="00856F66">
      <w:pPr>
        <w:rPr>
          <w:sz w:val="16"/>
          <w:szCs w:val="16"/>
          <w:lang w:val="es-ES_tradnl"/>
        </w:rPr>
      </w:pPr>
    </w:p>
    <w:p w14:paraId="53647BC9" w14:textId="77777777" w:rsidR="00856F66" w:rsidRPr="00E31657" w:rsidRDefault="00856F66">
      <w:pPr>
        <w:rPr>
          <w:sz w:val="16"/>
          <w:szCs w:val="16"/>
          <w:lang w:val="es-ES_tradnl"/>
        </w:rPr>
      </w:pPr>
    </w:p>
    <w:p w14:paraId="50EDB259" w14:textId="77777777" w:rsidR="00856F66" w:rsidRDefault="00856F66">
      <w:pPr>
        <w:rPr>
          <w:sz w:val="16"/>
          <w:szCs w:val="16"/>
          <w:lang w:val="es-ES_tradnl"/>
        </w:rPr>
      </w:pPr>
    </w:p>
    <w:tbl>
      <w:tblPr>
        <w:tblW w:w="10348" w:type="dxa"/>
        <w:tblInd w:w="-709" w:type="dxa"/>
        <w:tblCellMar>
          <w:left w:w="0" w:type="dxa"/>
          <w:right w:w="0" w:type="dxa"/>
        </w:tblCellMar>
        <w:tblLook w:val="04A0" w:firstRow="1" w:lastRow="0" w:firstColumn="1" w:lastColumn="0" w:noHBand="0" w:noVBand="1"/>
      </w:tblPr>
      <w:tblGrid>
        <w:gridCol w:w="2124"/>
        <w:gridCol w:w="802"/>
        <w:gridCol w:w="729"/>
        <w:gridCol w:w="1235"/>
        <w:gridCol w:w="1159"/>
        <w:gridCol w:w="1175"/>
        <w:gridCol w:w="1154"/>
        <w:gridCol w:w="1970"/>
      </w:tblGrid>
      <w:tr w:rsidR="00856F66" w:rsidRPr="00E31657" w14:paraId="0E053F4A" w14:textId="77777777" w:rsidTr="00156332">
        <w:trPr>
          <w:trHeight w:val="315"/>
        </w:trPr>
        <w:tc>
          <w:tcPr>
            <w:tcW w:w="10348" w:type="dxa"/>
            <w:gridSpan w:val="8"/>
            <w:tcBorders>
              <w:bottom w:val="double" w:sz="4" w:space="0" w:color="C00000"/>
            </w:tcBorders>
            <w:tcMar>
              <w:top w:w="30" w:type="dxa"/>
              <w:left w:w="45" w:type="dxa"/>
              <w:bottom w:w="30" w:type="dxa"/>
              <w:right w:w="45" w:type="dxa"/>
            </w:tcMar>
            <w:vAlign w:val="center"/>
            <w:hideMark/>
          </w:tcPr>
          <w:p w14:paraId="2D00AD4D" w14:textId="77777777" w:rsidR="00856F66" w:rsidRPr="00E31657" w:rsidRDefault="00856F66" w:rsidP="00F35453">
            <w:pPr>
              <w:jc w:val="center"/>
              <w:rPr>
                <w:rFonts w:cs="Arial"/>
                <w:b/>
                <w:bCs/>
                <w:sz w:val="16"/>
                <w:szCs w:val="16"/>
                <w:lang w:val="es-ES_tradnl" w:eastAsia="es-MX"/>
              </w:rPr>
            </w:pPr>
            <w:r w:rsidRPr="00E31657">
              <w:rPr>
                <w:rFonts w:cs="Arial"/>
                <w:b/>
                <w:bCs/>
                <w:color w:val="C00000"/>
                <w:lang w:val="es-ES_tradnl" w:eastAsia="es-MX"/>
              </w:rPr>
              <w:lastRenderedPageBreak/>
              <w:t xml:space="preserve">Programa 8. </w:t>
            </w:r>
            <w:r w:rsidRPr="00E31657">
              <w:rPr>
                <w:rFonts w:cs="Arial"/>
                <w:lang w:val="es-ES_tradnl" w:eastAsia="es-MX"/>
              </w:rPr>
              <w:t>Erradicación del hambre en Bogotá</w:t>
            </w:r>
          </w:p>
        </w:tc>
      </w:tr>
      <w:tr w:rsidR="00856F66" w:rsidRPr="00E31657" w14:paraId="00104282" w14:textId="77777777" w:rsidTr="00156332">
        <w:trPr>
          <w:trHeight w:val="315"/>
        </w:trPr>
        <w:tc>
          <w:tcPr>
            <w:tcW w:w="2124" w:type="dxa"/>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7A59A4F7" w14:textId="3DE6C008" w:rsidR="00856F66" w:rsidRPr="00014AEC" w:rsidRDefault="00856F66" w:rsidP="007A1A2D">
            <w:pPr>
              <w:pStyle w:val="Ttulo"/>
              <w:jc w:val="center"/>
            </w:pPr>
            <w:r w:rsidRPr="007A1A2D">
              <w:rPr>
                <w:rFonts w:ascii="Candara" w:eastAsia="Times New Roman" w:hAnsi="Candara"/>
                <w:b/>
                <w:bCs/>
                <w:color w:val="FFFFFF" w:themeColor="background1"/>
                <w:sz w:val="24"/>
                <w:szCs w:val="24"/>
                <w:lang w:val="es-ES_tradnl" w:eastAsia="es-MX"/>
              </w:rPr>
              <w:t xml:space="preserve">Sector / </w:t>
            </w:r>
            <w:r w:rsidR="007A1A2D">
              <w:rPr>
                <w:rFonts w:ascii="Candara" w:eastAsia="Times New Roman" w:hAnsi="Candara"/>
                <w:b/>
                <w:bCs/>
                <w:color w:val="FFFFFF" w:themeColor="background1"/>
                <w:sz w:val="24"/>
                <w:szCs w:val="24"/>
                <w:lang w:val="es-ES_tradnl" w:eastAsia="es-MX"/>
              </w:rPr>
              <w:br/>
            </w:r>
            <w:r w:rsidRPr="007A1A2D">
              <w:rPr>
                <w:rFonts w:ascii="Candara" w:eastAsia="Times New Roman" w:hAnsi="Candara"/>
                <w:b/>
                <w:bCs/>
                <w:color w:val="FFFFFF" w:themeColor="background1"/>
                <w:sz w:val="24"/>
                <w:szCs w:val="24"/>
                <w:lang w:val="es-ES_tradnl" w:eastAsia="es-MX"/>
              </w:rPr>
              <w:t>Metas</w:t>
            </w:r>
          </w:p>
        </w:tc>
        <w:tc>
          <w:tcPr>
            <w:tcW w:w="8224" w:type="dxa"/>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5C1A8294" w14:textId="77777777" w:rsidR="00856F66" w:rsidRPr="00A80D64" w:rsidRDefault="00856F66" w:rsidP="00014AEC">
            <w:pPr>
              <w:jc w:val="center"/>
              <w:rPr>
                <w:b/>
                <w:bCs/>
              </w:rPr>
            </w:pPr>
            <w:r w:rsidRPr="00A80D64">
              <w:rPr>
                <w:b/>
                <w:bCs/>
                <w:color w:val="FFFFFF" w:themeColor="background1"/>
              </w:rPr>
              <w:t xml:space="preserve">Magnitudes e Inversión </w:t>
            </w:r>
            <w:r w:rsidRPr="00A80D64">
              <w:rPr>
                <w:b/>
                <w:bCs/>
                <w:color w:val="FFFFFF" w:themeColor="background1"/>
              </w:rPr>
              <w:br/>
              <w:t>(Precios Constantes 2024)</w:t>
            </w:r>
          </w:p>
        </w:tc>
      </w:tr>
      <w:tr w:rsidR="00856F66" w:rsidRPr="00E31657" w14:paraId="182D2CD2" w14:textId="77777777" w:rsidTr="00156332">
        <w:trPr>
          <w:trHeight w:val="315"/>
        </w:trPr>
        <w:tc>
          <w:tcPr>
            <w:tcW w:w="2124" w:type="dxa"/>
            <w:vMerge/>
            <w:tcBorders>
              <w:top w:val="double" w:sz="4" w:space="0" w:color="C00000"/>
              <w:bottom w:val="double" w:sz="4" w:space="0" w:color="C00000"/>
              <w:right w:val="double" w:sz="4" w:space="0" w:color="C00000"/>
            </w:tcBorders>
            <w:shd w:val="clear" w:color="auto" w:fill="C00000"/>
            <w:vAlign w:val="center"/>
            <w:hideMark/>
          </w:tcPr>
          <w:p w14:paraId="0AD4276F" w14:textId="77777777" w:rsidR="00856F66" w:rsidRPr="00E31657" w:rsidRDefault="00856F66" w:rsidP="00014AEC">
            <w:pPr>
              <w:jc w:val="center"/>
              <w:rPr>
                <w:rFonts w:cs="Arial"/>
                <w:b/>
                <w:bCs/>
                <w:color w:val="FFFFFF"/>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7F97544"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8146BB8"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275341A"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55C8AF4"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A4B7B31"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CC1D22D"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2027</w:t>
            </w:r>
          </w:p>
        </w:tc>
        <w:tc>
          <w:tcPr>
            <w:tcW w:w="1970" w:type="dxa"/>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32A8FE36" w14:textId="77777777" w:rsidR="00856F66" w:rsidRPr="00E31657" w:rsidRDefault="00856F66" w:rsidP="00014AEC">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3182BC44" w14:textId="77777777" w:rsidTr="00156332">
        <w:trPr>
          <w:trHeight w:val="315"/>
        </w:trPr>
        <w:tc>
          <w:tcPr>
            <w:tcW w:w="10348" w:type="dxa"/>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81D278B" w14:textId="77777777" w:rsidR="00856F66" w:rsidRPr="00014AEC" w:rsidRDefault="00856F66" w:rsidP="007A1A2D">
            <w:pPr>
              <w:pStyle w:val="Ttulo"/>
              <w:jc w:val="center"/>
            </w:pPr>
            <w:r w:rsidRPr="007A1A2D">
              <w:rPr>
                <w:rFonts w:ascii="Candara" w:eastAsia="Times New Roman" w:hAnsi="Candara"/>
                <w:b/>
                <w:bCs/>
                <w:color w:val="FFFFFF" w:themeColor="background1"/>
                <w:sz w:val="24"/>
                <w:szCs w:val="24"/>
                <w:lang w:val="es-ES_tradnl" w:eastAsia="es-MX"/>
              </w:rPr>
              <w:t>Desarrollo económico</w:t>
            </w:r>
          </w:p>
        </w:tc>
      </w:tr>
      <w:tr w:rsidR="00856F66" w:rsidRPr="00E31657" w14:paraId="1E14A1A6" w14:textId="77777777" w:rsidTr="00156332">
        <w:trPr>
          <w:trHeight w:val="315"/>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7D3C17"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Fortalecer técnica y/o comercialmente a 5.000 actores del Sistema de Abastecimiento y Distribución de Alimentos por una Bogotá con menos pobreza y menos hambre.</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7731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6573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BF1BA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Subdirección de Abastecimiento Alimentario</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95CC9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D76AD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1.641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29AE3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1.641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0D491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1.361</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1BA2B1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14.940.702.111</w:t>
            </w:r>
          </w:p>
        </w:tc>
      </w:tr>
      <w:tr w:rsidR="00856F66" w:rsidRPr="00E31657" w14:paraId="6B1A15EA" w14:textId="77777777" w:rsidTr="00156332">
        <w:trPr>
          <w:trHeight w:val="315"/>
        </w:trPr>
        <w:tc>
          <w:tcPr>
            <w:tcW w:w="2124" w:type="dxa"/>
            <w:vMerge/>
            <w:tcBorders>
              <w:top w:val="double" w:sz="4" w:space="0" w:color="C00000"/>
              <w:bottom w:val="double" w:sz="4" w:space="0" w:color="C00000"/>
              <w:right w:val="double" w:sz="4" w:space="0" w:color="C00000"/>
            </w:tcBorders>
            <w:vAlign w:val="center"/>
            <w:hideMark/>
          </w:tcPr>
          <w:p w14:paraId="188A13EE" w14:textId="77777777" w:rsidR="00856F66" w:rsidRPr="00E31657" w:rsidRDefault="00856F66" w:rsidP="00B95135">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42B54E6"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D64C151"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58F80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3.388.466.439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2FCF7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4.399.438.925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37584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4.271.299.927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43922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2.881.496.819</w:t>
            </w:r>
          </w:p>
        </w:tc>
        <w:tc>
          <w:tcPr>
            <w:tcW w:w="1970" w:type="dxa"/>
            <w:vMerge/>
            <w:tcBorders>
              <w:top w:val="double" w:sz="4" w:space="0" w:color="C00000"/>
              <w:left w:val="double" w:sz="4" w:space="0" w:color="C00000"/>
              <w:bottom w:val="double" w:sz="4" w:space="0" w:color="C00000"/>
            </w:tcBorders>
            <w:vAlign w:val="center"/>
            <w:hideMark/>
          </w:tcPr>
          <w:p w14:paraId="234A0E7A" w14:textId="77777777" w:rsidR="00856F66" w:rsidRPr="00E31657" w:rsidRDefault="00856F66" w:rsidP="00F35453">
            <w:pPr>
              <w:rPr>
                <w:rFonts w:cs="Arial"/>
                <w:b/>
                <w:bCs/>
                <w:sz w:val="16"/>
                <w:szCs w:val="16"/>
                <w:lang w:val="es-ES_tradnl" w:eastAsia="es-MX"/>
              </w:rPr>
            </w:pPr>
          </w:p>
        </w:tc>
      </w:tr>
      <w:tr w:rsidR="00856F66" w:rsidRPr="00E31657" w14:paraId="7C76C05A" w14:textId="77777777" w:rsidTr="00156332">
        <w:trPr>
          <w:trHeight w:val="315"/>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C7A9A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Generar 35.000 espacios individuales de comercialización directa para pequeños productores/as a través de Mercados Campesinos en sus diferentes modalidades en el marco de Bogotá Rural – Bogotá Región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C4E2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31197</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230F9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Subdirección de Abastecimiento Alimentario</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1A996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7CEEE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10.170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E6A50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10.170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5600D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10.160</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36A34C1"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11.477.902.548</w:t>
            </w:r>
          </w:p>
        </w:tc>
      </w:tr>
      <w:tr w:rsidR="00856F66" w:rsidRPr="00E31657" w14:paraId="2950700B" w14:textId="77777777" w:rsidTr="00156332">
        <w:trPr>
          <w:trHeight w:val="315"/>
        </w:trPr>
        <w:tc>
          <w:tcPr>
            <w:tcW w:w="2124" w:type="dxa"/>
            <w:vMerge/>
            <w:tcBorders>
              <w:top w:val="double" w:sz="4" w:space="0" w:color="C00000"/>
              <w:bottom w:val="double" w:sz="4" w:space="0" w:color="C00000"/>
              <w:right w:val="double" w:sz="4" w:space="0" w:color="C00000"/>
            </w:tcBorders>
            <w:vAlign w:val="center"/>
            <w:hideMark/>
          </w:tcPr>
          <w:p w14:paraId="72BE40A4" w14:textId="77777777" w:rsidR="00856F66" w:rsidRPr="00E31657" w:rsidRDefault="00856F66" w:rsidP="00B95135">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7C2CED7"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785B9F0"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3B0FF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2.859.609.655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E15B0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2.959.092.926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6D76D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2.872.905.754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747CB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2.786.294.213</w:t>
            </w:r>
          </w:p>
        </w:tc>
        <w:tc>
          <w:tcPr>
            <w:tcW w:w="1970" w:type="dxa"/>
            <w:vMerge/>
            <w:tcBorders>
              <w:top w:val="double" w:sz="4" w:space="0" w:color="C00000"/>
              <w:left w:val="double" w:sz="4" w:space="0" w:color="C00000"/>
              <w:bottom w:val="double" w:sz="4" w:space="0" w:color="C00000"/>
            </w:tcBorders>
            <w:vAlign w:val="center"/>
            <w:hideMark/>
          </w:tcPr>
          <w:p w14:paraId="2DE0EF7E" w14:textId="77777777" w:rsidR="00856F66" w:rsidRPr="00E31657" w:rsidRDefault="00856F66" w:rsidP="00F35453">
            <w:pPr>
              <w:rPr>
                <w:rFonts w:cs="Arial"/>
                <w:b/>
                <w:bCs/>
                <w:sz w:val="16"/>
                <w:szCs w:val="16"/>
                <w:lang w:val="es-ES_tradnl" w:eastAsia="es-MX"/>
              </w:rPr>
            </w:pPr>
          </w:p>
        </w:tc>
      </w:tr>
      <w:tr w:rsidR="00856F66" w:rsidRPr="00E31657" w14:paraId="14524D72" w14:textId="77777777" w:rsidTr="00156332">
        <w:trPr>
          <w:trHeight w:val="315"/>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E7237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Intervenir 7 Plazas Distritales de Mercado para el turismo y el fortalecimiento económico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48ABC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F1D9F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IPES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42A95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66A68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0F468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12BAA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58FAFA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2.276.401.517</w:t>
            </w:r>
          </w:p>
        </w:tc>
      </w:tr>
      <w:tr w:rsidR="00856F66" w:rsidRPr="00E31657" w14:paraId="70E240A5" w14:textId="77777777" w:rsidTr="00156332">
        <w:trPr>
          <w:trHeight w:val="315"/>
        </w:trPr>
        <w:tc>
          <w:tcPr>
            <w:tcW w:w="2124" w:type="dxa"/>
            <w:vMerge/>
            <w:tcBorders>
              <w:top w:val="double" w:sz="4" w:space="0" w:color="C00000"/>
              <w:bottom w:val="double" w:sz="4" w:space="0" w:color="C00000"/>
              <w:right w:val="double" w:sz="4" w:space="0" w:color="C00000"/>
            </w:tcBorders>
            <w:vAlign w:val="center"/>
            <w:hideMark/>
          </w:tcPr>
          <w:p w14:paraId="3471D599" w14:textId="77777777" w:rsidR="00856F66" w:rsidRPr="00E31657" w:rsidRDefault="00856F66" w:rsidP="00B95135">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E1C177E"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6BDE622"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328A6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F397E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582.524.272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16A17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706.946.932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3DA02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786.930.313</w:t>
            </w:r>
          </w:p>
        </w:tc>
        <w:tc>
          <w:tcPr>
            <w:tcW w:w="1970" w:type="dxa"/>
            <w:vMerge/>
            <w:tcBorders>
              <w:top w:val="double" w:sz="4" w:space="0" w:color="C00000"/>
              <w:left w:val="double" w:sz="4" w:space="0" w:color="C00000"/>
              <w:bottom w:val="double" w:sz="4" w:space="0" w:color="C00000"/>
            </w:tcBorders>
            <w:vAlign w:val="center"/>
            <w:hideMark/>
          </w:tcPr>
          <w:p w14:paraId="553517E3" w14:textId="77777777" w:rsidR="00856F66" w:rsidRPr="00E31657" w:rsidRDefault="00856F66" w:rsidP="00F35453">
            <w:pPr>
              <w:rPr>
                <w:rFonts w:cs="Arial"/>
                <w:b/>
                <w:bCs/>
                <w:sz w:val="16"/>
                <w:szCs w:val="16"/>
                <w:lang w:val="es-ES_tradnl" w:eastAsia="es-MX"/>
              </w:rPr>
            </w:pPr>
          </w:p>
        </w:tc>
      </w:tr>
      <w:tr w:rsidR="00856F66" w:rsidRPr="00E31657" w14:paraId="3098FDA1" w14:textId="77777777" w:rsidTr="00156332">
        <w:trPr>
          <w:trHeight w:val="540"/>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D6EA5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Intervenir la infraestructura de 17 Plazas Distritales de Mercado en Mantenimiento Embellecimiento y/o reforzamiento estructural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E8AA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DDFDF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IPES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65EBB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0FA6D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8143B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100F8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D2FDF5D"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38.114.624.055</w:t>
            </w:r>
          </w:p>
        </w:tc>
      </w:tr>
      <w:tr w:rsidR="00856F66" w:rsidRPr="00E31657" w14:paraId="38FA8385" w14:textId="77777777" w:rsidTr="00156332">
        <w:trPr>
          <w:trHeight w:val="540"/>
        </w:trPr>
        <w:tc>
          <w:tcPr>
            <w:tcW w:w="2124" w:type="dxa"/>
            <w:vMerge/>
            <w:tcBorders>
              <w:top w:val="double" w:sz="4" w:space="0" w:color="C00000"/>
              <w:bottom w:val="double" w:sz="4" w:space="0" w:color="C00000"/>
              <w:right w:val="double" w:sz="4" w:space="0" w:color="C00000"/>
            </w:tcBorders>
            <w:vAlign w:val="center"/>
            <w:hideMark/>
          </w:tcPr>
          <w:p w14:paraId="7846D34A" w14:textId="77777777" w:rsidR="00856F66" w:rsidRPr="00E31657" w:rsidRDefault="00856F66" w:rsidP="00B95135">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024BADD"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C21893A"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9A40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11.400.000.000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B6A95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8.203.883.495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8A2BC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9.771.137.713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BEDA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8.739.602.847</w:t>
            </w:r>
          </w:p>
        </w:tc>
        <w:tc>
          <w:tcPr>
            <w:tcW w:w="1970" w:type="dxa"/>
            <w:vMerge/>
            <w:tcBorders>
              <w:top w:val="double" w:sz="4" w:space="0" w:color="C00000"/>
              <w:left w:val="double" w:sz="4" w:space="0" w:color="C00000"/>
              <w:bottom w:val="double" w:sz="4" w:space="0" w:color="C00000"/>
            </w:tcBorders>
            <w:vAlign w:val="center"/>
            <w:hideMark/>
          </w:tcPr>
          <w:p w14:paraId="76CD31C0" w14:textId="77777777" w:rsidR="00856F66" w:rsidRPr="00E31657" w:rsidRDefault="00856F66" w:rsidP="00F35453">
            <w:pPr>
              <w:rPr>
                <w:rFonts w:cs="Arial"/>
                <w:b/>
                <w:bCs/>
                <w:sz w:val="16"/>
                <w:szCs w:val="16"/>
                <w:lang w:val="es-ES_tradnl" w:eastAsia="es-MX"/>
              </w:rPr>
            </w:pPr>
          </w:p>
        </w:tc>
      </w:tr>
      <w:tr w:rsidR="00856F66" w:rsidRPr="00E31657" w14:paraId="60B351D4" w14:textId="77777777" w:rsidTr="00156332">
        <w:trPr>
          <w:trHeight w:val="315"/>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94470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Realizar 2 acciones permanentes para la operatividad de las plazas distritales de mercado.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75BCD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DA9A7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IPES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6576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70318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29452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4F216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2C1D27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79.146.182.352</w:t>
            </w:r>
          </w:p>
        </w:tc>
      </w:tr>
      <w:tr w:rsidR="00856F66" w:rsidRPr="00E31657" w14:paraId="24981C9D" w14:textId="77777777" w:rsidTr="00156332">
        <w:trPr>
          <w:trHeight w:val="315"/>
        </w:trPr>
        <w:tc>
          <w:tcPr>
            <w:tcW w:w="2124" w:type="dxa"/>
            <w:vMerge/>
            <w:tcBorders>
              <w:top w:val="double" w:sz="4" w:space="0" w:color="C00000"/>
              <w:bottom w:val="double" w:sz="4" w:space="0" w:color="C00000"/>
              <w:right w:val="double" w:sz="4" w:space="0" w:color="C00000"/>
            </w:tcBorders>
            <w:vAlign w:val="center"/>
            <w:hideMark/>
          </w:tcPr>
          <w:p w14:paraId="5A5719DE" w14:textId="77777777" w:rsidR="00856F66" w:rsidRPr="00E31657" w:rsidRDefault="00856F66" w:rsidP="00B95135">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A88410C"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8345CAD"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D4213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15.439.076.554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0B99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20.194.174.757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15E88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20.348.482.456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86B9C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23.164.448.584</w:t>
            </w:r>
          </w:p>
        </w:tc>
        <w:tc>
          <w:tcPr>
            <w:tcW w:w="1970" w:type="dxa"/>
            <w:vMerge/>
            <w:tcBorders>
              <w:top w:val="double" w:sz="4" w:space="0" w:color="C00000"/>
              <w:left w:val="double" w:sz="4" w:space="0" w:color="C00000"/>
              <w:bottom w:val="double" w:sz="4" w:space="0" w:color="C00000"/>
            </w:tcBorders>
            <w:vAlign w:val="center"/>
            <w:hideMark/>
          </w:tcPr>
          <w:p w14:paraId="0E927B7D" w14:textId="77777777" w:rsidR="00856F66" w:rsidRPr="00E31657" w:rsidRDefault="00856F66" w:rsidP="00F35453">
            <w:pPr>
              <w:rPr>
                <w:rFonts w:cs="Arial"/>
                <w:b/>
                <w:bCs/>
                <w:sz w:val="16"/>
                <w:szCs w:val="16"/>
                <w:lang w:val="es-ES_tradnl" w:eastAsia="es-MX"/>
              </w:rPr>
            </w:pPr>
          </w:p>
        </w:tc>
      </w:tr>
      <w:tr w:rsidR="00856F66" w:rsidRPr="00E31657" w14:paraId="480492F6" w14:textId="77777777" w:rsidTr="00156332">
        <w:trPr>
          <w:trHeight w:val="315"/>
        </w:trPr>
        <w:tc>
          <w:tcPr>
            <w:tcW w:w="10348" w:type="dxa"/>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A8E8155"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Integración social</w:t>
            </w:r>
          </w:p>
        </w:tc>
      </w:tr>
      <w:tr w:rsidR="00856F66" w:rsidRPr="00E31657" w14:paraId="1719A814" w14:textId="77777777" w:rsidTr="00156332">
        <w:trPr>
          <w:trHeight w:val="510"/>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86D595"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Aumentar de 115 a 140 los comedores comunitarios para contribuir la disminución de la inseguridad alimentaria y nutricional en Bogotá</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BCBCC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115</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A1E2E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8A608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A6061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4576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7CDCF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140</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D91A2A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326.791.090.966</w:t>
            </w:r>
          </w:p>
        </w:tc>
      </w:tr>
      <w:tr w:rsidR="00856F66" w:rsidRPr="00E31657" w14:paraId="1E4B1934" w14:textId="77777777" w:rsidTr="00156332">
        <w:trPr>
          <w:trHeight w:val="510"/>
        </w:trPr>
        <w:tc>
          <w:tcPr>
            <w:tcW w:w="2124" w:type="dxa"/>
            <w:vMerge/>
            <w:tcBorders>
              <w:top w:val="double" w:sz="4" w:space="0" w:color="C00000"/>
              <w:bottom w:val="double" w:sz="4" w:space="0" w:color="C00000"/>
              <w:right w:val="double" w:sz="4" w:space="0" w:color="C00000"/>
            </w:tcBorders>
            <w:vAlign w:val="center"/>
            <w:hideMark/>
          </w:tcPr>
          <w:p w14:paraId="4E51BEB6" w14:textId="77777777" w:rsidR="00856F66" w:rsidRPr="00E31657" w:rsidRDefault="00856F66" w:rsidP="00B95135">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10E35D8"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9345E43"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10EC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78.254.000.000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3CCC5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80.312.621.359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7938F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83.527.193.892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8A6CF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84.697.275.715</w:t>
            </w:r>
          </w:p>
        </w:tc>
        <w:tc>
          <w:tcPr>
            <w:tcW w:w="1970" w:type="dxa"/>
            <w:vMerge/>
            <w:tcBorders>
              <w:top w:val="double" w:sz="4" w:space="0" w:color="C00000"/>
              <w:left w:val="double" w:sz="4" w:space="0" w:color="C00000"/>
              <w:bottom w:val="double" w:sz="4" w:space="0" w:color="C00000"/>
            </w:tcBorders>
            <w:vAlign w:val="center"/>
            <w:hideMark/>
          </w:tcPr>
          <w:p w14:paraId="5683EDEA" w14:textId="77777777" w:rsidR="00856F66" w:rsidRPr="00E31657" w:rsidRDefault="00856F66" w:rsidP="00F35453">
            <w:pPr>
              <w:rPr>
                <w:rFonts w:cs="Arial"/>
                <w:b/>
                <w:bCs/>
                <w:sz w:val="16"/>
                <w:szCs w:val="16"/>
                <w:lang w:val="es-ES_tradnl" w:eastAsia="es-MX"/>
              </w:rPr>
            </w:pPr>
          </w:p>
        </w:tc>
      </w:tr>
      <w:tr w:rsidR="00856F66" w:rsidRPr="00E31657" w14:paraId="4CCDB120" w14:textId="77777777" w:rsidTr="00156332">
        <w:trPr>
          <w:trHeight w:val="510"/>
        </w:trPr>
        <w:tc>
          <w:tcPr>
            <w:tcW w:w="2124" w:type="dxa"/>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12A8A5"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Entregar en el cuatrienio 77 millones de raciones de comida en los servicios sociales en el marco de la estrategia Bogotá Sin Hambre 2.0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DCAA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45000000</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7620A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CE860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F85D3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1DA47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3AF84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22.000.000</w:t>
            </w:r>
          </w:p>
        </w:tc>
        <w:tc>
          <w:tcPr>
            <w:tcW w:w="1970" w:type="dxa"/>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3541C48"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854.182.657.780</w:t>
            </w:r>
          </w:p>
        </w:tc>
      </w:tr>
      <w:tr w:rsidR="00856F66" w:rsidRPr="00E31657" w14:paraId="666097B6" w14:textId="77777777" w:rsidTr="00156332">
        <w:trPr>
          <w:trHeight w:val="510"/>
        </w:trPr>
        <w:tc>
          <w:tcPr>
            <w:tcW w:w="2124" w:type="dxa"/>
            <w:vMerge/>
            <w:tcBorders>
              <w:top w:val="double" w:sz="4" w:space="0" w:color="C00000"/>
              <w:bottom w:val="double" w:sz="4" w:space="0" w:color="C00000"/>
              <w:right w:val="double" w:sz="4" w:space="0" w:color="C00000"/>
            </w:tcBorders>
            <w:vAlign w:val="center"/>
            <w:hideMark/>
          </w:tcPr>
          <w:p w14:paraId="0A10F099"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6EACB23" w14:textId="77777777" w:rsidR="00856F66" w:rsidRPr="00E31657" w:rsidRDefault="00856F66" w:rsidP="00F35453">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87FE857" w14:textId="77777777" w:rsidR="00856F66" w:rsidRPr="00E31657" w:rsidRDefault="00856F66" w:rsidP="00F35453">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01174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204.544.000.000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E748E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209.926.213.592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E38EC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218.325.949.665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E9DE4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221.386.494.522</w:t>
            </w:r>
          </w:p>
        </w:tc>
        <w:tc>
          <w:tcPr>
            <w:tcW w:w="1970" w:type="dxa"/>
            <w:vMerge/>
            <w:tcBorders>
              <w:top w:val="double" w:sz="4" w:space="0" w:color="C00000"/>
              <w:left w:val="double" w:sz="4" w:space="0" w:color="C00000"/>
              <w:bottom w:val="double" w:sz="4" w:space="0" w:color="C00000"/>
            </w:tcBorders>
            <w:vAlign w:val="center"/>
            <w:hideMark/>
          </w:tcPr>
          <w:p w14:paraId="78015681" w14:textId="77777777" w:rsidR="00856F66" w:rsidRPr="00E31657" w:rsidRDefault="00856F66" w:rsidP="00F35453">
            <w:pPr>
              <w:rPr>
                <w:rFonts w:cs="Arial"/>
                <w:b/>
                <w:bCs/>
                <w:sz w:val="16"/>
                <w:szCs w:val="16"/>
                <w:lang w:val="es-ES_tradnl" w:eastAsia="es-MX"/>
              </w:rPr>
            </w:pPr>
          </w:p>
        </w:tc>
      </w:tr>
    </w:tbl>
    <w:p w14:paraId="22A8FCE8" w14:textId="77777777" w:rsidR="00856F66" w:rsidRDefault="00856F66">
      <w:pPr>
        <w:rPr>
          <w:sz w:val="16"/>
          <w:szCs w:val="16"/>
          <w:lang w:val="es-ES_tradnl"/>
        </w:rPr>
      </w:pPr>
    </w:p>
    <w:tbl>
      <w:tblPr>
        <w:tblW w:w="10348" w:type="dxa"/>
        <w:tblInd w:w="-709"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412"/>
        <w:gridCol w:w="555"/>
        <w:gridCol w:w="882"/>
        <w:gridCol w:w="1144"/>
        <w:gridCol w:w="1121"/>
        <w:gridCol w:w="1125"/>
        <w:gridCol w:w="1124"/>
        <w:gridCol w:w="1985"/>
      </w:tblGrid>
      <w:tr w:rsidR="00856F66" w:rsidRPr="00E31657" w14:paraId="66B7A34F" w14:textId="77777777" w:rsidTr="00156332">
        <w:trPr>
          <w:trHeight w:val="315"/>
        </w:trPr>
        <w:tc>
          <w:tcPr>
            <w:tcW w:w="10348" w:type="dxa"/>
            <w:gridSpan w:val="8"/>
            <w:tcMar>
              <w:top w:w="30" w:type="dxa"/>
              <w:left w:w="45" w:type="dxa"/>
              <w:bottom w:w="30" w:type="dxa"/>
              <w:right w:w="45" w:type="dxa"/>
            </w:tcMar>
            <w:vAlign w:val="center"/>
            <w:hideMark/>
          </w:tcPr>
          <w:p w14:paraId="3138AFA9" w14:textId="77777777" w:rsidR="00856F66" w:rsidRPr="00E31657" w:rsidRDefault="00856F66" w:rsidP="00F35453">
            <w:pPr>
              <w:jc w:val="center"/>
              <w:rPr>
                <w:rFonts w:cs="Arial"/>
                <w:b/>
                <w:bCs/>
                <w:sz w:val="16"/>
                <w:szCs w:val="16"/>
                <w:lang w:val="es-ES_tradnl" w:eastAsia="es-MX"/>
              </w:rPr>
            </w:pPr>
            <w:r w:rsidRPr="00E31657">
              <w:rPr>
                <w:rFonts w:cs="Arial"/>
                <w:b/>
                <w:bCs/>
                <w:color w:val="C00000"/>
                <w:lang w:val="es-ES_tradnl" w:eastAsia="es-MX"/>
              </w:rPr>
              <w:t xml:space="preserve">Programa 9. </w:t>
            </w:r>
            <w:r w:rsidRPr="00E31657">
              <w:rPr>
                <w:rFonts w:cs="Arial"/>
                <w:lang w:val="es-ES_tradnl" w:eastAsia="es-MX"/>
              </w:rPr>
              <w:t>Reducción de formas extremas de exclusión</w:t>
            </w:r>
          </w:p>
        </w:tc>
      </w:tr>
      <w:tr w:rsidR="00856F66" w:rsidRPr="00E31657" w14:paraId="2E55EE81" w14:textId="77777777" w:rsidTr="00156332">
        <w:trPr>
          <w:trHeight w:val="315"/>
        </w:trPr>
        <w:tc>
          <w:tcPr>
            <w:tcW w:w="2412" w:type="dxa"/>
            <w:vMerge w:val="restart"/>
            <w:shd w:val="clear" w:color="auto" w:fill="C00000"/>
            <w:tcMar>
              <w:top w:w="30" w:type="dxa"/>
              <w:left w:w="45" w:type="dxa"/>
              <w:bottom w:w="30" w:type="dxa"/>
              <w:right w:w="45" w:type="dxa"/>
            </w:tcMar>
            <w:vAlign w:val="center"/>
            <w:hideMark/>
          </w:tcPr>
          <w:p w14:paraId="2E010164"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Sector / Metas</w:t>
            </w:r>
          </w:p>
        </w:tc>
        <w:tc>
          <w:tcPr>
            <w:tcW w:w="7936" w:type="dxa"/>
            <w:gridSpan w:val="7"/>
            <w:shd w:val="clear" w:color="auto" w:fill="C00000"/>
            <w:tcMar>
              <w:top w:w="30" w:type="dxa"/>
              <w:left w:w="45" w:type="dxa"/>
              <w:bottom w:w="30" w:type="dxa"/>
              <w:right w:w="45" w:type="dxa"/>
            </w:tcMar>
            <w:vAlign w:val="center"/>
            <w:hideMark/>
          </w:tcPr>
          <w:p w14:paraId="779F1E2F"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 xml:space="preserve">Magnitudes e Inversión </w:t>
            </w:r>
            <w:r w:rsidRPr="007A1A2D">
              <w:rPr>
                <w:rFonts w:ascii="Candara" w:eastAsia="Times New Roman" w:hAnsi="Candara"/>
                <w:b/>
                <w:bCs/>
                <w:color w:val="FFFFFF" w:themeColor="background1"/>
                <w:sz w:val="24"/>
                <w:szCs w:val="24"/>
                <w:lang w:val="es-ES_tradnl" w:eastAsia="es-MX"/>
              </w:rPr>
              <w:br/>
              <w:t>(Precios Constantes 2024)</w:t>
            </w:r>
          </w:p>
        </w:tc>
      </w:tr>
      <w:tr w:rsidR="00856F66" w:rsidRPr="00E31657" w14:paraId="56265E21" w14:textId="77777777" w:rsidTr="00156332">
        <w:trPr>
          <w:trHeight w:val="315"/>
        </w:trPr>
        <w:tc>
          <w:tcPr>
            <w:tcW w:w="2412" w:type="dxa"/>
            <w:vMerge/>
            <w:shd w:val="clear" w:color="auto" w:fill="C00000"/>
            <w:vAlign w:val="center"/>
            <w:hideMark/>
          </w:tcPr>
          <w:p w14:paraId="31ABA767" w14:textId="77777777" w:rsidR="00856F66" w:rsidRPr="00E31657" w:rsidRDefault="00856F66" w:rsidP="00F35453">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2141DA6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7664A64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0E4B5A6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7BD87AE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3AF1084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4BD7638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1985" w:type="dxa"/>
            <w:shd w:val="clear" w:color="auto" w:fill="D9D9D9"/>
            <w:tcMar>
              <w:top w:w="30" w:type="dxa"/>
              <w:left w:w="45" w:type="dxa"/>
              <w:bottom w:w="30" w:type="dxa"/>
              <w:right w:w="45" w:type="dxa"/>
            </w:tcMar>
            <w:vAlign w:val="center"/>
            <w:hideMark/>
          </w:tcPr>
          <w:p w14:paraId="21124D2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30BAE7A0" w14:textId="77777777" w:rsidTr="00156332">
        <w:trPr>
          <w:trHeight w:val="315"/>
        </w:trPr>
        <w:tc>
          <w:tcPr>
            <w:tcW w:w="10348" w:type="dxa"/>
            <w:gridSpan w:val="8"/>
            <w:shd w:val="clear" w:color="auto" w:fill="C00000"/>
            <w:tcMar>
              <w:top w:w="30" w:type="dxa"/>
              <w:left w:w="45" w:type="dxa"/>
              <w:bottom w:w="30" w:type="dxa"/>
              <w:right w:w="45" w:type="dxa"/>
            </w:tcMar>
            <w:vAlign w:val="center"/>
            <w:hideMark/>
          </w:tcPr>
          <w:p w14:paraId="18F60217"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Integración social</w:t>
            </w:r>
          </w:p>
        </w:tc>
      </w:tr>
      <w:tr w:rsidR="00856F66" w:rsidRPr="00E31657" w14:paraId="6A76291F" w14:textId="77777777" w:rsidTr="00156332">
        <w:trPr>
          <w:trHeight w:val="690"/>
        </w:trPr>
        <w:tc>
          <w:tcPr>
            <w:tcW w:w="2412" w:type="dxa"/>
            <w:vMerge w:val="restart"/>
            <w:tcMar>
              <w:top w:w="30" w:type="dxa"/>
              <w:left w:w="45" w:type="dxa"/>
              <w:bottom w:w="30" w:type="dxa"/>
              <w:right w:w="45" w:type="dxa"/>
            </w:tcMar>
            <w:vAlign w:val="center"/>
            <w:hideMark/>
          </w:tcPr>
          <w:p w14:paraId="0D54B29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Atender 5.588 niñas niños adolescentes y jóvenes en situación de vida en calle en riesgo de habitarla en dinámicas de calle y en fragilidad social en los procesos de protección y atención integral del modelo pedagógico del IDIPRON.</w:t>
            </w:r>
          </w:p>
        </w:tc>
        <w:tc>
          <w:tcPr>
            <w:tcW w:w="0" w:type="auto"/>
            <w:vMerge w:val="restart"/>
            <w:tcMar>
              <w:top w:w="30" w:type="dxa"/>
              <w:left w:w="45" w:type="dxa"/>
              <w:bottom w:w="30" w:type="dxa"/>
              <w:right w:w="45" w:type="dxa"/>
            </w:tcMar>
            <w:vAlign w:val="center"/>
            <w:hideMark/>
          </w:tcPr>
          <w:p w14:paraId="055490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5588</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184197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Sistema de Información Misional IDIPRON -SIMI-2023</w:t>
            </w:r>
          </w:p>
        </w:tc>
        <w:tc>
          <w:tcPr>
            <w:tcW w:w="0" w:type="auto"/>
            <w:tcMar>
              <w:top w:w="30" w:type="dxa"/>
              <w:left w:w="45" w:type="dxa"/>
              <w:bottom w:w="30" w:type="dxa"/>
              <w:right w:w="45" w:type="dxa"/>
            </w:tcMar>
            <w:vAlign w:val="center"/>
            <w:hideMark/>
          </w:tcPr>
          <w:p w14:paraId="276B3C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5.588</w:t>
            </w:r>
          </w:p>
        </w:tc>
        <w:tc>
          <w:tcPr>
            <w:tcW w:w="0" w:type="auto"/>
            <w:tcMar>
              <w:top w:w="30" w:type="dxa"/>
              <w:left w:w="45" w:type="dxa"/>
              <w:bottom w:w="30" w:type="dxa"/>
              <w:right w:w="45" w:type="dxa"/>
            </w:tcMar>
            <w:vAlign w:val="center"/>
            <w:hideMark/>
          </w:tcPr>
          <w:p w14:paraId="580EC77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5.588</w:t>
            </w:r>
          </w:p>
        </w:tc>
        <w:tc>
          <w:tcPr>
            <w:tcW w:w="0" w:type="auto"/>
            <w:tcMar>
              <w:top w:w="30" w:type="dxa"/>
              <w:left w:w="45" w:type="dxa"/>
              <w:bottom w:w="30" w:type="dxa"/>
              <w:right w:w="45" w:type="dxa"/>
            </w:tcMar>
            <w:vAlign w:val="center"/>
            <w:hideMark/>
          </w:tcPr>
          <w:p w14:paraId="4A0704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5.588</w:t>
            </w:r>
          </w:p>
        </w:tc>
        <w:tc>
          <w:tcPr>
            <w:tcW w:w="0" w:type="auto"/>
            <w:tcMar>
              <w:top w:w="30" w:type="dxa"/>
              <w:left w:w="45" w:type="dxa"/>
              <w:bottom w:w="30" w:type="dxa"/>
              <w:right w:w="45" w:type="dxa"/>
            </w:tcMar>
            <w:vAlign w:val="center"/>
            <w:hideMark/>
          </w:tcPr>
          <w:p w14:paraId="0A3584E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5.588</w:t>
            </w:r>
          </w:p>
        </w:tc>
        <w:tc>
          <w:tcPr>
            <w:tcW w:w="1985" w:type="dxa"/>
            <w:vMerge w:val="restart"/>
            <w:tcMar>
              <w:top w:w="30" w:type="dxa"/>
              <w:left w:w="45" w:type="dxa"/>
              <w:bottom w:w="30" w:type="dxa"/>
              <w:right w:w="45" w:type="dxa"/>
            </w:tcMar>
            <w:vAlign w:val="center"/>
            <w:hideMark/>
          </w:tcPr>
          <w:p w14:paraId="42379C5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110.856.225.302</w:t>
            </w:r>
          </w:p>
        </w:tc>
      </w:tr>
      <w:tr w:rsidR="00856F66" w:rsidRPr="00E31657" w14:paraId="2A748551" w14:textId="77777777" w:rsidTr="00156332">
        <w:trPr>
          <w:trHeight w:val="690"/>
        </w:trPr>
        <w:tc>
          <w:tcPr>
            <w:tcW w:w="2412" w:type="dxa"/>
            <w:vMerge/>
            <w:vAlign w:val="center"/>
            <w:hideMark/>
          </w:tcPr>
          <w:p w14:paraId="521470D6" w14:textId="77777777" w:rsidR="00856F66" w:rsidRPr="00E31657" w:rsidRDefault="00856F66" w:rsidP="00B95135">
            <w:pPr>
              <w:jc w:val="right"/>
              <w:rPr>
                <w:rFonts w:cs="Arial"/>
                <w:sz w:val="16"/>
                <w:szCs w:val="16"/>
                <w:lang w:val="es-ES_tradnl" w:eastAsia="es-MX"/>
              </w:rPr>
            </w:pPr>
          </w:p>
        </w:tc>
        <w:tc>
          <w:tcPr>
            <w:tcW w:w="0" w:type="auto"/>
            <w:vMerge/>
            <w:vAlign w:val="center"/>
            <w:hideMark/>
          </w:tcPr>
          <w:p w14:paraId="7539B521" w14:textId="77777777" w:rsidR="00856F66" w:rsidRPr="00E31657" w:rsidRDefault="00856F66" w:rsidP="00F35453">
            <w:pPr>
              <w:rPr>
                <w:rFonts w:cs="Arial"/>
                <w:sz w:val="16"/>
                <w:szCs w:val="16"/>
                <w:lang w:val="es-ES_tradnl" w:eastAsia="es-MX"/>
              </w:rPr>
            </w:pPr>
          </w:p>
        </w:tc>
        <w:tc>
          <w:tcPr>
            <w:tcW w:w="0" w:type="auto"/>
            <w:vMerge/>
            <w:vAlign w:val="center"/>
            <w:hideMark/>
          </w:tcPr>
          <w:p w14:paraId="41E6A8B3" w14:textId="77777777" w:rsidR="00856F66" w:rsidRPr="00E31657" w:rsidRDefault="00856F66" w:rsidP="00F35453">
            <w:pPr>
              <w:rPr>
                <w:rFonts w:cs="Arial"/>
                <w:sz w:val="16"/>
                <w:szCs w:val="16"/>
                <w:lang w:val="es-ES_tradnl" w:eastAsia="es-MX"/>
              </w:rPr>
            </w:pPr>
          </w:p>
        </w:tc>
        <w:tc>
          <w:tcPr>
            <w:tcW w:w="0" w:type="auto"/>
            <w:tcMar>
              <w:top w:w="30" w:type="dxa"/>
              <w:left w:w="45" w:type="dxa"/>
              <w:bottom w:w="30" w:type="dxa"/>
              <w:right w:w="45" w:type="dxa"/>
            </w:tcMar>
            <w:vAlign w:val="center"/>
            <w:hideMark/>
          </w:tcPr>
          <w:p w14:paraId="48E2C2A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25.778.000.000</w:t>
            </w:r>
          </w:p>
        </w:tc>
        <w:tc>
          <w:tcPr>
            <w:tcW w:w="0" w:type="auto"/>
            <w:tcMar>
              <w:top w:w="30" w:type="dxa"/>
              <w:left w:w="45" w:type="dxa"/>
              <w:bottom w:w="30" w:type="dxa"/>
              <w:right w:w="45" w:type="dxa"/>
            </w:tcMar>
            <w:vAlign w:val="center"/>
            <w:hideMark/>
          </w:tcPr>
          <w:p w14:paraId="3E52628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27.350.485.437</w:t>
            </w:r>
          </w:p>
        </w:tc>
        <w:tc>
          <w:tcPr>
            <w:tcW w:w="0" w:type="auto"/>
            <w:tcMar>
              <w:top w:w="30" w:type="dxa"/>
              <w:left w:w="45" w:type="dxa"/>
              <w:bottom w:w="30" w:type="dxa"/>
              <w:right w:w="45" w:type="dxa"/>
            </w:tcMar>
            <w:vAlign w:val="center"/>
            <w:hideMark/>
          </w:tcPr>
          <w:p w14:paraId="799A910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28.864.171.929</w:t>
            </w:r>
          </w:p>
        </w:tc>
        <w:tc>
          <w:tcPr>
            <w:tcW w:w="0" w:type="auto"/>
            <w:tcMar>
              <w:top w:w="30" w:type="dxa"/>
              <w:left w:w="45" w:type="dxa"/>
              <w:bottom w:w="30" w:type="dxa"/>
              <w:right w:w="45" w:type="dxa"/>
            </w:tcMar>
            <w:vAlign w:val="center"/>
            <w:hideMark/>
          </w:tcPr>
          <w:p w14:paraId="39BBD93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28.863.567.936</w:t>
            </w:r>
          </w:p>
        </w:tc>
        <w:tc>
          <w:tcPr>
            <w:tcW w:w="1985" w:type="dxa"/>
            <w:vMerge/>
            <w:vAlign w:val="center"/>
            <w:hideMark/>
          </w:tcPr>
          <w:p w14:paraId="768A15D5" w14:textId="77777777" w:rsidR="00856F66" w:rsidRPr="00E31657" w:rsidRDefault="00856F66" w:rsidP="00F35453">
            <w:pPr>
              <w:rPr>
                <w:rFonts w:cs="Arial"/>
                <w:b/>
                <w:bCs/>
                <w:sz w:val="16"/>
                <w:szCs w:val="16"/>
                <w:lang w:val="es-ES_tradnl" w:eastAsia="es-MX"/>
              </w:rPr>
            </w:pPr>
          </w:p>
        </w:tc>
      </w:tr>
      <w:tr w:rsidR="00856F66" w:rsidRPr="00E31657" w14:paraId="5E17C2E9" w14:textId="77777777" w:rsidTr="00156332">
        <w:trPr>
          <w:trHeight w:val="690"/>
        </w:trPr>
        <w:tc>
          <w:tcPr>
            <w:tcW w:w="2412" w:type="dxa"/>
            <w:vMerge w:val="restart"/>
            <w:tcMar>
              <w:top w:w="30" w:type="dxa"/>
              <w:left w:w="45" w:type="dxa"/>
              <w:bottom w:w="30" w:type="dxa"/>
              <w:right w:w="45" w:type="dxa"/>
            </w:tcMar>
            <w:vAlign w:val="center"/>
            <w:hideMark/>
          </w:tcPr>
          <w:p w14:paraId="532B2E7F"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Beneficiar a 2.480 adolescentes y jóvenes participantes del modelo pedagógico a estrategias de desarrollo de capacidades y generación de oportunidades para su inclusión socioeconómica..</w:t>
            </w:r>
          </w:p>
        </w:tc>
        <w:tc>
          <w:tcPr>
            <w:tcW w:w="0" w:type="auto"/>
            <w:vMerge w:val="restart"/>
            <w:tcMar>
              <w:top w:w="30" w:type="dxa"/>
              <w:left w:w="45" w:type="dxa"/>
              <w:bottom w:w="30" w:type="dxa"/>
              <w:right w:w="45" w:type="dxa"/>
            </w:tcMar>
            <w:vAlign w:val="center"/>
            <w:hideMark/>
          </w:tcPr>
          <w:p w14:paraId="3AA38F3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2FB9D2A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Sistema de Información Misional IDIPRON -SIMI-2023</w:t>
            </w:r>
          </w:p>
        </w:tc>
        <w:tc>
          <w:tcPr>
            <w:tcW w:w="0" w:type="auto"/>
            <w:tcMar>
              <w:top w:w="30" w:type="dxa"/>
              <w:left w:w="45" w:type="dxa"/>
              <w:bottom w:w="30" w:type="dxa"/>
              <w:right w:w="45" w:type="dxa"/>
            </w:tcMar>
            <w:vAlign w:val="center"/>
            <w:hideMark/>
          </w:tcPr>
          <w:p w14:paraId="06D20CF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2.480</w:t>
            </w:r>
          </w:p>
        </w:tc>
        <w:tc>
          <w:tcPr>
            <w:tcW w:w="0" w:type="auto"/>
            <w:tcMar>
              <w:top w:w="30" w:type="dxa"/>
              <w:left w:w="45" w:type="dxa"/>
              <w:bottom w:w="30" w:type="dxa"/>
              <w:right w:w="45" w:type="dxa"/>
            </w:tcMar>
            <w:vAlign w:val="center"/>
            <w:hideMark/>
          </w:tcPr>
          <w:p w14:paraId="4347DBC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2.480</w:t>
            </w:r>
          </w:p>
        </w:tc>
        <w:tc>
          <w:tcPr>
            <w:tcW w:w="0" w:type="auto"/>
            <w:tcMar>
              <w:top w:w="30" w:type="dxa"/>
              <w:left w:w="45" w:type="dxa"/>
              <w:bottom w:w="30" w:type="dxa"/>
              <w:right w:w="45" w:type="dxa"/>
            </w:tcMar>
            <w:vAlign w:val="center"/>
            <w:hideMark/>
          </w:tcPr>
          <w:p w14:paraId="36C689A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2.480</w:t>
            </w:r>
          </w:p>
        </w:tc>
        <w:tc>
          <w:tcPr>
            <w:tcW w:w="0" w:type="auto"/>
            <w:tcMar>
              <w:top w:w="30" w:type="dxa"/>
              <w:left w:w="45" w:type="dxa"/>
              <w:bottom w:w="30" w:type="dxa"/>
              <w:right w:w="45" w:type="dxa"/>
            </w:tcMar>
            <w:vAlign w:val="center"/>
            <w:hideMark/>
          </w:tcPr>
          <w:p w14:paraId="799AAB6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2.480</w:t>
            </w:r>
          </w:p>
        </w:tc>
        <w:tc>
          <w:tcPr>
            <w:tcW w:w="1985" w:type="dxa"/>
            <w:vMerge w:val="restart"/>
            <w:tcMar>
              <w:top w:w="30" w:type="dxa"/>
              <w:left w:w="45" w:type="dxa"/>
              <w:bottom w:w="30" w:type="dxa"/>
              <w:right w:w="45" w:type="dxa"/>
            </w:tcMar>
            <w:vAlign w:val="center"/>
            <w:hideMark/>
          </w:tcPr>
          <w:p w14:paraId="3DAE2D9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132.239.820.608</w:t>
            </w:r>
          </w:p>
        </w:tc>
      </w:tr>
      <w:tr w:rsidR="00856F66" w:rsidRPr="00E31657" w14:paraId="65457819" w14:textId="77777777" w:rsidTr="00156332">
        <w:trPr>
          <w:trHeight w:val="690"/>
        </w:trPr>
        <w:tc>
          <w:tcPr>
            <w:tcW w:w="2412" w:type="dxa"/>
            <w:vMerge/>
            <w:vAlign w:val="center"/>
            <w:hideMark/>
          </w:tcPr>
          <w:p w14:paraId="509D424E" w14:textId="77777777" w:rsidR="00856F66" w:rsidRPr="00E31657" w:rsidRDefault="00856F66" w:rsidP="00B95135">
            <w:pPr>
              <w:jc w:val="right"/>
              <w:rPr>
                <w:rFonts w:cs="Arial"/>
                <w:sz w:val="16"/>
                <w:szCs w:val="16"/>
                <w:lang w:val="es-ES_tradnl" w:eastAsia="es-MX"/>
              </w:rPr>
            </w:pPr>
          </w:p>
        </w:tc>
        <w:tc>
          <w:tcPr>
            <w:tcW w:w="0" w:type="auto"/>
            <w:vMerge/>
            <w:vAlign w:val="center"/>
            <w:hideMark/>
          </w:tcPr>
          <w:p w14:paraId="3C058620" w14:textId="77777777" w:rsidR="00856F66" w:rsidRPr="00E31657" w:rsidRDefault="00856F66" w:rsidP="00F35453">
            <w:pPr>
              <w:rPr>
                <w:rFonts w:cs="Arial"/>
                <w:sz w:val="16"/>
                <w:szCs w:val="16"/>
                <w:lang w:val="es-ES_tradnl" w:eastAsia="es-MX"/>
              </w:rPr>
            </w:pPr>
          </w:p>
        </w:tc>
        <w:tc>
          <w:tcPr>
            <w:tcW w:w="0" w:type="auto"/>
            <w:vMerge/>
            <w:vAlign w:val="center"/>
            <w:hideMark/>
          </w:tcPr>
          <w:p w14:paraId="3AF740A8" w14:textId="77777777" w:rsidR="00856F66" w:rsidRPr="00E31657" w:rsidRDefault="00856F66" w:rsidP="00F35453">
            <w:pPr>
              <w:rPr>
                <w:rFonts w:cs="Arial"/>
                <w:sz w:val="16"/>
                <w:szCs w:val="16"/>
                <w:lang w:val="es-ES_tradnl" w:eastAsia="es-MX"/>
              </w:rPr>
            </w:pPr>
          </w:p>
        </w:tc>
        <w:tc>
          <w:tcPr>
            <w:tcW w:w="0" w:type="auto"/>
            <w:tcMar>
              <w:top w:w="30" w:type="dxa"/>
              <w:left w:w="45" w:type="dxa"/>
              <w:bottom w:w="30" w:type="dxa"/>
              <w:right w:w="45" w:type="dxa"/>
            </w:tcMar>
            <w:vAlign w:val="center"/>
            <w:hideMark/>
          </w:tcPr>
          <w:p w14:paraId="3A784E5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32.639.000.000</w:t>
            </w:r>
          </w:p>
        </w:tc>
        <w:tc>
          <w:tcPr>
            <w:tcW w:w="0" w:type="auto"/>
            <w:tcMar>
              <w:top w:w="30" w:type="dxa"/>
              <w:left w:w="45" w:type="dxa"/>
              <w:bottom w:w="30" w:type="dxa"/>
              <w:right w:w="45" w:type="dxa"/>
            </w:tcMar>
            <w:vAlign w:val="center"/>
            <w:hideMark/>
          </w:tcPr>
          <w:p w14:paraId="34631DC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32.379.611.650</w:t>
            </w:r>
          </w:p>
        </w:tc>
        <w:tc>
          <w:tcPr>
            <w:tcW w:w="0" w:type="auto"/>
            <w:tcMar>
              <w:top w:w="30" w:type="dxa"/>
              <w:left w:w="45" w:type="dxa"/>
              <w:bottom w:w="30" w:type="dxa"/>
              <w:right w:w="45" w:type="dxa"/>
            </w:tcMar>
            <w:vAlign w:val="center"/>
            <w:hideMark/>
          </w:tcPr>
          <w:p w14:paraId="5979320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33.255.726.270</w:t>
            </w:r>
          </w:p>
        </w:tc>
        <w:tc>
          <w:tcPr>
            <w:tcW w:w="0" w:type="auto"/>
            <w:tcMar>
              <w:top w:w="30" w:type="dxa"/>
              <w:left w:w="45" w:type="dxa"/>
              <w:bottom w:w="30" w:type="dxa"/>
              <w:right w:w="45" w:type="dxa"/>
            </w:tcMar>
            <w:vAlign w:val="center"/>
            <w:hideMark/>
          </w:tcPr>
          <w:p w14:paraId="19812A3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33.965.482.687</w:t>
            </w:r>
          </w:p>
        </w:tc>
        <w:tc>
          <w:tcPr>
            <w:tcW w:w="1985" w:type="dxa"/>
            <w:vMerge/>
            <w:vAlign w:val="center"/>
            <w:hideMark/>
          </w:tcPr>
          <w:p w14:paraId="0B3E04A9" w14:textId="77777777" w:rsidR="00856F66" w:rsidRPr="00E31657" w:rsidRDefault="00856F66" w:rsidP="00F35453">
            <w:pPr>
              <w:rPr>
                <w:rFonts w:cs="Arial"/>
                <w:b/>
                <w:bCs/>
                <w:sz w:val="16"/>
                <w:szCs w:val="16"/>
                <w:lang w:val="es-ES_tradnl" w:eastAsia="es-MX"/>
              </w:rPr>
            </w:pPr>
          </w:p>
        </w:tc>
      </w:tr>
      <w:tr w:rsidR="00856F66" w:rsidRPr="00E31657" w14:paraId="3125773F" w14:textId="77777777" w:rsidTr="00156332">
        <w:trPr>
          <w:trHeight w:val="690"/>
        </w:trPr>
        <w:tc>
          <w:tcPr>
            <w:tcW w:w="2412" w:type="dxa"/>
            <w:vMerge w:val="restart"/>
            <w:tcMar>
              <w:top w:w="30" w:type="dxa"/>
              <w:left w:w="45" w:type="dxa"/>
              <w:bottom w:w="30" w:type="dxa"/>
              <w:right w:w="45" w:type="dxa"/>
            </w:tcMar>
            <w:vAlign w:val="center"/>
            <w:hideMark/>
          </w:tcPr>
          <w:p w14:paraId="351D3378"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una (1) estrategia de abordaje territorial para beneficiar a personas migrantes o personas en situaciones de emergencias sociales sanitarias naturales antrópicas y de vulnerabilidad inminente.</w:t>
            </w:r>
          </w:p>
        </w:tc>
        <w:tc>
          <w:tcPr>
            <w:tcW w:w="0" w:type="auto"/>
            <w:vMerge w:val="restart"/>
            <w:tcMar>
              <w:top w:w="30" w:type="dxa"/>
              <w:left w:w="45" w:type="dxa"/>
              <w:bottom w:w="30" w:type="dxa"/>
              <w:right w:w="45" w:type="dxa"/>
            </w:tcMar>
            <w:vAlign w:val="center"/>
            <w:hideMark/>
          </w:tcPr>
          <w:p w14:paraId="3C4C5B0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584C427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0" w:type="auto"/>
            <w:tcMar>
              <w:top w:w="30" w:type="dxa"/>
              <w:left w:w="45" w:type="dxa"/>
              <w:bottom w:w="30" w:type="dxa"/>
              <w:right w:w="45" w:type="dxa"/>
            </w:tcMar>
            <w:vAlign w:val="center"/>
            <w:hideMark/>
          </w:tcPr>
          <w:p w14:paraId="009E371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w:t>
            </w:r>
          </w:p>
        </w:tc>
        <w:tc>
          <w:tcPr>
            <w:tcW w:w="0" w:type="auto"/>
            <w:tcMar>
              <w:top w:w="30" w:type="dxa"/>
              <w:left w:w="45" w:type="dxa"/>
              <w:bottom w:w="30" w:type="dxa"/>
              <w:right w:w="45" w:type="dxa"/>
            </w:tcMar>
            <w:vAlign w:val="center"/>
            <w:hideMark/>
          </w:tcPr>
          <w:p w14:paraId="50B4CDE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w:t>
            </w:r>
          </w:p>
        </w:tc>
        <w:tc>
          <w:tcPr>
            <w:tcW w:w="0" w:type="auto"/>
            <w:tcMar>
              <w:top w:w="30" w:type="dxa"/>
              <w:left w:w="45" w:type="dxa"/>
              <w:bottom w:w="30" w:type="dxa"/>
              <w:right w:w="45" w:type="dxa"/>
            </w:tcMar>
            <w:vAlign w:val="center"/>
            <w:hideMark/>
          </w:tcPr>
          <w:p w14:paraId="434C724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66CA200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w:t>
            </w:r>
          </w:p>
        </w:tc>
        <w:tc>
          <w:tcPr>
            <w:tcW w:w="1985" w:type="dxa"/>
            <w:vMerge w:val="restart"/>
            <w:tcMar>
              <w:top w:w="30" w:type="dxa"/>
              <w:left w:w="45" w:type="dxa"/>
              <w:bottom w:w="30" w:type="dxa"/>
              <w:right w:w="45" w:type="dxa"/>
            </w:tcMar>
            <w:vAlign w:val="center"/>
            <w:hideMark/>
          </w:tcPr>
          <w:p w14:paraId="733AC85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43.881.795.285</w:t>
            </w:r>
          </w:p>
        </w:tc>
      </w:tr>
      <w:tr w:rsidR="00856F66" w:rsidRPr="00E31657" w14:paraId="316956D6" w14:textId="77777777" w:rsidTr="00156332">
        <w:trPr>
          <w:trHeight w:val="690"/>
        </w:trPr>
        <w:tc>
          <w:tcPr>
            <w:tcW w:w="2412" w:type="dxa"/>
            <w:vMerge/>
            <w:vAlign w:val="center"/>
            <w:hideMark/>
          </w:tcPr>
          <w:p w14:paraId="055C6F40" w14:textId="77777777" w:rsidR="00856F66" w:rsidRPr="00E31657" w:rsidRDefault="00856F66" w:rsidP="00B95135">
            <w:pPr>
              <w:jc w:val="right"/>
              <w:rPr>
                <w:rFonts w:cs="Arial"/>
                <w:sz w:val="16"/>
                <w:szCs w:val="16"/>
                <w:lang w:val="es-ES_tradnl" w:eastAsia="es-MX"/>
              </w:rPr>
            </w:pPr>
          </w:p>
        </w:tc>
        <w:tc>
          <w:tcPr>
            <w:tcW w:w="0" w:type="auto"/>
            <w:vMerge/>
            <w:vAlign w:val="center"/>
            <w:hideMark/>
          </w:tcPr>
          <w:p w14:paraId="4624A90A" w14:textId="77777777" w:rsidR="00856F66" w:rsidRPr="00E31657" w:rsidRDefault="00856F66" w:rsidP="00F35453">
            <w:pPr>
              <w:rPr>
                <w:rFonts w:cs="Arial"/>
                <w:sz w:val="16"/>
                <w:szCs w:val="16"/>
                <w:lang w:val="es-ES_tradnl" w:eastAsia="es-MX"/>
              </w:rPr>
            </w:pPr>
          </w:p>
        </w:tc>
        <w:tc>
          <w:tcPr>
            <w:tcW w:w="0" w:type="auto"/>
            <w:vMerge/>
            <w:vAlign w:val="center"/>
            <w:hideMark/>
          </w:tcPr>
          <w:p w14:paraId="0775C6B8" w14:textId="77777777" w:rsidR="00856F66" w:rsidRPr="00E31657" w:rsidRDefault="00856F66" w:rsidP="00F35453">
            <w:pPr>
              <w:rPr>
                <w:rFonts w:cs="Arial"/>
                <w:sz w:val="16"/>
                <w:szCs w:val="16"/>
                <w:lang w:val="es-ES_tradnl" w:eastAsia="es-MX"/>
              </w:rPr>
            </w:pPr>
          </w:p>
        </w:tc>
        <w:tc>
          <w:tcPr>
            <w:tcW w:w="0" w:type="auto"/>
            <w:tcMar>
              <w:top w:w="30" w:type="dxa"/>
              <w:left w:w="45" w:type="dxa"/>
              <w:bottom w:w="30" w:type="dxa"/>
              <w:right w:w="45" w:type="dxa"/>
            </w:tcMar>
            <w:vAlign w:val="center"/>
            <w:hideMark/>
          </w:tcPr>
          <w:p w14:paraId="4C552B6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10.508.000.000</w:t>
            </w:r>
          </w:p>
        </w:tc>
        <w:tc>
          <w:tcPr>
            <w:tcW w:w="0" w:type="auto"/>
            <w:tcMar>
              <w:top w:w="30" w:type="dxa"/>
              <w:left w:w="45" w:type="dxa"/>
              <w:bottom w:w="30" w:type="dxa"/>
              <w:right w:w="45" w:type="dxa"/>
            </w:tcMar>
            <w:vAlign w:val="center"/>
            <w:hideMark/>
          </w:tcPr>
          <w:p w14:paraId="7A6EEED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10.784.466.019</w:t>
            </w:r>
          </w:p>
        </w:tc>
        <w:tc>
          <w:tcPr>
            <w:tcW w:w="0" w:type="auto"/>
            <w:tcMar>
              <w:top w:w="30" w:type="dxa"/>
              <w:left w:w="45" w:type="dxa"/>
              <w:bottom w:w="30" w:type="dxa"/>
              <w:right w:w="45" w:type="dxa"/>
            </w:tcMar>
            <w:vAlign w:val="center"/>
            <w:hideMark/>
          </w:tcPr>
          <w:p w14:paraId="0CCDF24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11.215.948.723</w:t>
            </w:r>
          </w:p>
        </w:tc>
        <w:tc>
          <w:tcPr>
            <w:tcW w:w="0" w:type="auto"/>
            <w:tcMar>
              <w:top w:w="30" w:type="dxa"/>
              <w:left w:w="45" w:type="dxa"/>
              <w:bottom w:w="30" w:type="dxa"/>
              <w:right w:w="45" w:type="dxa"/>
            </w:tcMar>
            <w:vAlign w:val="center"/>
            <w:hideMark/>
          </w:tcPr>
          <w:p w14:paraId="53D4093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11.373.380.542</w:t>
            </w:r>
          </w:p>
        </w:tc>
        <w:tc>
          <w:tcPr>
            <w:tcW w:w="1985" w:type="dxa"/>
            <w:vMerge/>
            <w:vAlign w:val="center"/>
            <w:hideMark/>
          </w:tcPr>
          <w:p w14:paraId="0872A67A" w14:textId="77777777" w:rsidR="00856F66" w:rsidRPr="00E31657" w:rsidRDefault="00856F66" w:rsidP="00F35453">
            <w:pPr>
              <w:rPr>
                <w:rFonts w:cs="Arial"/>
                <w:b/>
                <w:bCs/>
                <w:sz w:val="16"/>
                <w:szCs w:val="16"/>
                <w:lang w:val="es-ES_tradnl" w:eastAsia="es-MX"/>
              </w:rPr>
            </w:pPr>
          </w:p>
        </w:tc>
      </w:tr>
      <w:tr w:rsidR="00856F66" w:rsidRPr="00E31657" w14:paraId="22817815" w14:textId="77777777" w:rsidTr="00156332">
        <w:trPr>
          <w:trHeight w:val="690"/>
        </w:trPr>
        <w:tc>
          <w:tcPr>
            <w:tcW w:w="2412" w:type="dxa"/>
            <w:vMerge w:val="restart"/>
            <w:tcMar>
              <w:top w:w="30" w:type="dxa"/>
              <w:left w:w="45" w:type="dxa"/>
              <w:bottom w:w="30" w:type="dxa"/>
              <w:right w:w="45" w:type="dxa"/>
            </w:tcMar>
            <w:vAlign w:val="center"/>
            <w:hideMark/>
          </w:tcPr>
          <w:p w14:paraId="31351248" w14:textId="45EC2266"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Implementar una (1) estrategia para ofertar los servicios sociales a la población que vive en residencias tipo </w:t>
            </w:r>
            <w:r w:rsidR="00751FF5">
              <w:rPr>
                <w:rFonts w:cs="Arial"/>
                <w:sz w:val="16"/>
                <w:szCs w:val="16"/>
                <w:lang w:val="es-ES_tradnl" w:eastAsia="es-MX"/>
              </w:rPr>
              <w:t>pagadiarios</w:t>
            </w:r>
            <w:r w:rsidRPr="00E31657">
              <w:rPr>
                <w:rFonts w:cs="Arial"/>
                <w:sz w:val="16"/>
                <w:szCs w:val="16"/>
                <w:lang w:val="es-ES_tradnl" w:eastAsia="es-MX"/>
              </w:rPr>
              <w:t xml:space="preserve"> en situación de pobreza y pobreza extrema según el instrumento definido.</w:t>
            </w:r>
          </w:p>
        </w:tc>
        <w:tc>
          <w:tcPr>
            <w:tcW w:w="0" w:type="auto"/>
            <w:vMerge w:val="restart"/>
            <w:tcMar>
              <w:top w:w="30" w:type="dxa"/>
              <w:left w:w="45" w:type="dxa"/>
              <w:bottom w:w="30" w:type="dxa"/>
              <w:right w:w="45" w:type="dxa"/>
            </w:tcMar>
            <w:vAlign w:val="center"/>
            <w:hideMark/>
          </w:tcPr>
          <w:p w14:paraId="5C0B130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2FE58FD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14CD047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1830909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1A27980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7C00B7C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1985" w:type="dxa"/>
            <w:vMerge w:val="restart"/>
            <w:tcMar>
              <w:top w:w="30" w:type="dxa"/>
              <w:left w:w="45" w:type="dxa"/>
              <w:bottom w:w="30" w:type="dxa"/>
              <w:right w:w="45" w:type="dxa"/>
            </w:tcMar>
            <w:vAlign w:val="center"/>
            <w:hideMark/>
          </w:tcPr>
          <w:p w14:paraId="42967E8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10.222.832.323</w:t>
            </w:r>
          </w:p>
        </w:tc>
      </w:tr>
      <w:tr w:rsidR="00856F66" w:rsidRPr="00E31657" w14:paraId="39CD8C54" w14:textId="77777777" w:rsidTr="00156332">
        <w:trPr>
          <w:trHeight w:val="690"/>
        </w:trPr>
        <w:tc>
          <w:tcPr>
            <w:tcW w:w="2412" w:type="dxa"/>
            <w:vMerge/>
            <w:vAlign w:val="center"/>
            <w:hideMark/>
          </w:tcPr>
          <w:p w14:paraId="5BE89272" w14:textId="77777777" w:rsidR="00856F66" w:rsidRPr="00E31657" w:rsidRDefault="00856F66" w:rsidP="00B95135">
            <w:pPr>
              <w:jc w:val="right"/>
              <w:rPr>
                <w:rFonts w:cs="Arial"/>
                <w:sz w:val="16"/>
                <w:szCs w:val="16"/>
                <w:lang w:val="es-ES_tradnl" w:eastAsia="es-MX"/>
              </w:rPr>
            </w:pPr>
          </w:p>
        </w:tc>
        <w:tc>
          <w:tcPr>
            <w:tcW w:w="0" w:type="auto"/>
            <w:vMerge/>
            <w:vAlign w:val="center"/>
            <w:hideMark/>
          </w:tcPr>
          <w:p w14:paraId="044710EF" w14:textId="77777777" w:rsidR="00856F66" w:rsidRPr="00E31657" w:rsidRDefault="00856F66" w:rsidP="00F35453">
            <w:pPr>
              <w:rPr>
                <w:rFonts w:cs="Arial"/>
                <w:sz w:val="16"/>
                <w:szCs w:val="16"/>
                <w:lang w:val="es-ES_tradnl" w:eastAsia="es-MX"/>
              </w:rPr>
            </w:pPr>
          </w:p>
        </w:tc>
        <w:tc>
          <w:tcPr>
            <w:tcW w:w="0" w:type="auto"/>
            <w:vMerge/>
            <w:vAlign w:val="center"/>
            <w:hideMark/>
          </w:tcPr>
          <w:p w14:paraId="35615B6B" w14:textId="77777777" w:rsidR="00856F66" w:rsidRPr="00E31657" w:rsidRDefault="00856F66" w:rsidP="00F35453">
            <w:pPr>
              <w:rPr>
                <w:rFonts w:cs="Arial"/>
                <w:sz w:val="16"/>
                <w:szCs w:val="16"/>
                <w:lang w:val="es-ES_tradnl" w:eastAsia="es-MX"/>
              </w:rPr>
            </w:pPr>
          </w:p>
        </w:tc>
        <w:tc>
          <w:tcPr>
            <w:tcW w:w="0" w:type="auto"/>
            <w:tcMar>
              <w:top w:w="30" w:type="dxa"/>
              <w:left w:w="45" w:type="dxa"/>
              <w:bottom w:w="30" w:type="dxa"/>
              <w:right w:w="45" w:type="dxa"/>
            </w:tcMar>
            <w:vAlign w:val="center"/>
            <w:hideMark/>
          </w:tcPr>
          <w:p w14:paraId="72FCF35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2.448.000.000</w:t>
            </w:r>
          </w:p>
        </w:tc>
        <w:tc>
          <w:tcPr>
            <w:tcW w:w="0" w:type="auto"/>
            <w:tcMar>
              <w:top w:w="30" w:type="dxa"/>
              <w:left w:w="45" w:type="dxa"/>
              <w:bottom w:w="30" w:type="dxa"/>
              <w:right w:w="45" w:type="dxa"/>
            </w:tcMar>
            <w:vAlign w:val="center"/>
            <w:hideMark/>
          </w:tcPr>
          <w:p w14:paraId="6D10E1F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2.512.621.359</w:t>
            </w:r>
          </w:p>
        </w:tc>
        <w:tc>
          <w:tcPr>
            <w:tcW w:w="0" w:type="auto"/>
            <w:tcMar>
              <w:top w:w="30" w:type="dxa"/>
              <w:left w:w="45" w:type="dxa"/>
              <w:bottom w:w="30" w:type="dxa"/>
              <w:right w:w="45" w:type="dxa"/>
            </w:tcMar>
            <w:vAlign w:val="center"/>
            <w:hideMark/>
          </w:tcPr>
          <w:p w14:paraId="3BB8CC5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2.612.875.860</w:t>
            </w:r>
          </w:p>
        </w:tc>
        <w:tc>
          <w:tcPr>
            <w:tcW w:w="0" w:type="auto"/>
            <w:tcMar>
              <w:top w:w="30" w:type="dxa"/>
              <w:left w:w="45" w:type="dxa"/>
              <w:bottom w:w="30" w:type="dxa"/>
              <w:right w:w="45" w:type="dxa"/>
            </w:tcMar>
            <w:vAlign w:val="center"/>
            <w:hideMark/>
          </w:tcPr>
          <w:p w14:paraId="3B8508B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2.649.335.104</w:t>
            </w:r>
          </w:p>
        </w:tc>
        <w:tc>
          <w:tcPr>
            <w:tcW w:w="1985" w:type="dxa"/>
            <w:vMerge/>
            <w:vAlign w:val="center"/>
            <w:hideMark/>
          </w:tcPr>
          <w:p w14:paraId="79AB4045" w14:textId="77777777" w:rsidR="00856F66" w:rsidRPr="00E31657" w:rsidRDefault="00856F66" w:rsidP="00F35453">
            <w:pPr>
              <w:rPr>
                <w:rFonts w:cs="Arial"/>
                <w:b/>
                <w:bCs/>
                <w:sz w:val="16"/>
                <w:szCs w:val="16"/>
                <w:lang w:val="es-ES_tradnl" w:eastAsia="es-MX"/>
              </w:rPr>
            </w:pPr>
          </w:p>
        </w:tc>
      </w:tr>
      <w:tr w:rsidR="00856F66" w:rsidRPr="00E31657" w14:paraId="6F0B71C1" w14:textId="77777777" w:rsidTr="00156332">
        <w:trPr>
          <w:trHeight w:val="690"/>
        </w:trPr>
        <w:tc>
          <w:tcPr>
            <w:tcW w:w="2412" w:type="dxa"/>
            <w:vMerge w:val="restart"/>
            <w:tcMar>
              <w:top w:w="30" w:type="dxa"/>
              <w:left w:w="45" w:type="dxa"/>
              <w:bottom w:w="30" w:type="dxa"/>
              <w:right w:w="45" w:type="dxa"/>
            </w:tcMar>
            <w:vAlign w:val="center"/>
            <w:hideMark/>
          </w:tcPr>
          <w:p w14:paraId="1D8D56B2"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Vincular 3.400 personas habitantes de calle en servicios sociales de permanencia</w:t>
            </w:r>
          </w:p>
        </w:tc>
        <w:tc>
          <w:tcPr>
            <w:tcW w:w="0" w:type="auto"/>
            <w:vMerge w:val="restart"/>
            <w:tcMar>
              <w:top w:w="30" w:type="dxa"/>
              <w:left w:w="45" w:type="dxa"/>
              <w:bottom w:w="30" w:type="dxa"/>
              <w:right w:w="45" w:type="dxa"/>
            </w:tcMar>
            <w:vAlign w:val="center"/>
            <w:hideMark/>
          </w:tcPr>
          <w:p w14:paraId="5243BEE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2200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0BFEC43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SIRBE-SDIS</w:t>
            </w:r>
          </w:p>
        </w:tc>
        <w:tc>
          <w:tcPr>
            <w:tcW w:w="0" w:type="auto"/>
            <w:tcMar>
              <w:top w:w="30" w:type="dxa"/>
              <w:left w:w="45" w:type="dxa"/>
              <w:bottom w:w="30" w:type="dxa"/>
              <w:right w:w="45" w:type="dxa"/>
            </w:tcMar>
            <w:vAlign w:val="center"/>
            <w:hideMark/>
          </w:tcPr>
          <w:p w14:paraId="47BB0D5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2.570</w:t>
            </w:r>
          </w:p>
        </w:tc>
        <w:tc>
          <w:tcPr>
            <w:tcW w:w="0" w:type="auto"/>
            <w:tcMar>
              <w:top w:w="30" w:type="dxa"/>
              <w:left w:w="45" w:type="dxa"/>
              <w:bottom w:w="30" w:type="dxa"/>
              <w:right w:w="45" w:type="dxa"/>
            </w:tcMar>
            <w:vAlign w:val="center"/>
            <w:hideMark/>
          </w:tcPr>
          <w:p w14:paraId="6DFC5AE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3.000</w:t>
            </w:r>
          </w:p>
        </w:tc>
        <w:tc>
          <w:tcPr>
            <w:tcW w:w="0" w:type="auto"/>
            <w:tcMar>
              <w:top w:w="30" w:type="dxa"/>
              <w:left w:w="45" w:type="dxa"/>
              <w:bottom w:w="30" w:type="dxa"/>
              <w:right w:w="45" w:type="dxa"/>
            </w:tcMar>
            <w:vAlign w:val="center"/>
            <w:hideMark/>
          </w:tcPr>
          <w:p w14:paraId="05388A5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3.280</w:t>
            </w:r>
          </w:p>
        </w:tc>
        <w:tc>
          <w:tcPr>
            <w:tcW w:w="0" w:type="auto"/>
            <w:tcMar>
              <w:top w:w="30" w:type="dxa"/>
              <w:left w:w="45" w:type="dxa"/>
              <w:bottom w:w="30" w:type="dxa"/>
              <w:right w:w="45" w:type="dxa"/>
            </w:tcMar>
            <w:vAlign w:val="center"/>
            <w:hideMark/>
          </w:tcPr>
          <w:p w14:paraId="6520027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3.400</w:t>
            </w:r>
          </w:p>
        </w:tc>
        <w:tc>
          <w:tcPr>
            <w:tcW w:w="1985" w:type="dxa"/>
            <w:vMerge w:val="restart"/>
            <w:tcMar>
              <w:top w:w="30" w:type="dxa"/>
              <w:left w:w="45" w:type="dxa"/>
              <w:bottom w:w="30" w:type="dxa"/>
              <w:right w:w="45" w:type="dxa"/>
            </w:tcMar>
            <w:vAlign w:val="center"/>
            <w:hideMark/>
          </w:tcPr>
          <w:p w14:paraId="180ABD4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280.999.820.819</w:t>
            </w:r>
          </w:p>
        </w:tc>
      </w:tr>
      <w:tr w:rsidR="00856F66" w:rsidRPr="00E31657" w14:paraId="17E96748" w14:textId="77777777" w:rsidTr="00156332">
        <w:trPr>
          <w:trHeight w:val="690"/>
        </w:trPr>
        <w:tc>
          <w:tcPr>
            <w:tcW w:w="2412" w:type="dxa"/>
            <w:vMerge/>
            <w:vAlign w:val="center"/>
            <w:hideMark/>
          </w:tcPr>
          <w:p w14:paraId="2517DEB8" w14:textId="77777777" w:rsidR="00856F66" w:rsidRPr="00E31657" w:rsidRDefault="00856F66" w:rsidP="00F35453">
            <w:pPr>
              <w:rPr>
                <w:rFonts w:cs="Arial"/>
                <w:sz w:val="16"/>
                <w:szCs w:val="16"/>
                <w:lang w:val="es-ES_tradnl" w:eastAsia="es-MX"/>
              </w:rPr>
            </w:pPr>
          </w:p>
        </w:tc>
        <w:tc>
          <w:tcPr>
            <w:tcW w:w="0" w:type="auto"/>
            <w:vMerge/>
            <w:vAlign w:val="center"/>
            <w:hideMark/>
          </w:tcPr>
          <w:p w14:paraId="1FC7F803" w14:textId="77777777" w:rsidR="00856F66" w:rsidRPr="00E31657" w:rsidRDefault="00856F66" w:rsidP="00F35453">
            <w:pPr>
              <w:rPr>
                <w:rFonts w:cs="Arial"/>
                <w:sz w:val="16"/>
                <w:szCs w:val="16"/>
                <w:lang w:val="es-ES_tradnl" w:eastAsia="es-MX"/>
              </w:rPr>
            </w:pPr>
          </w:p>
        </w:tc>
        <w:tc>
          <w:tcPr>
            <w:tcW w:w="0" w:type="auto"/>
            <w:vMerge/>
            <w:vAlign w:val="center"/>
            <w:hideMark/>
          </w:tcPr>
          <w:p w14:paraId="55824349" w14:textId="77777777" w:rsidR="00856F66" w:rsidRPr="00E31657" w:rsidRDefault="00856F66" w:rsidP="00F35453">
            <w:pPr>
              <w:rPr>
                <w:rFonts w:cs="Arial"/>
                <w:sz w:val="16"/>
                <w:szCs w:val="16"/>
                <w:lang w:val="es-ES_tradnl" w:eastAsia="es-MX"/>
              </w:rPr>
            </w:pPr>
          </w:p>
        </w:tc>
        <w:tc>
          <w:tcPr>
            <w:tcW w:w="0" w:type="auto"/>
            <w:tcMar>
              <w:top w:w="30" w:type="dxa"/>
              <w:left w:w="45" w:type="dxa"/>
              <w:bottom w:w="30" w:type="dxa"/>
              <w:right w:w="45" w:type="dxa"/>
            </w:tcMar>
            <w:vAlign w:val="center"/>
            <w:hideMark/>
          </w:tcPr>
          <w:p w14:paraId="015C2A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71.852.000.000</w:t>
            </w:r>
          </w:p>
        </w:tc>
        <w:tc>
          <w:tcPr>
            <w:tcW w:w="0" w:type="auto"/>
            <w:tcMar>
              <w:top w:w="30" w:type="dxa"/>
              <w:left w:w="45" w:type="dxa"/>
              <w:bottom w:w="30" w:type="dxa"/>
              <w:right w:w="45" w:type="dxa"/>
            </w:tcMar>
            <w:vAlign w:val="center"/>
            <w:hideMark/>
          </w:tcPr>
          <w:p w14:paraId="47CBC8D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67.584.466.019</w:t>
            </w:r>
          </w:p>
        </w:tc>
        <w:tc>
          <w:tcPr>
            <w:tcW w:w="0" w:type="auto"/>
            <w:tcMar>
              <w:top w:w="30" w:type="dxa"/>
              <w:left w:w="45" w:type="dxa"/>
              <w:bottom w:w="30" w:type="dxa"/>
              <w:right w:w="45" w:type="dxa"/>
            </w:tcMar>
            <w:vAlign w:val="center"/>
            <w:hideMark/>
          </w:tcPr>
          <w:p w14:paraId="6FE479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70.289.376.944</w:t>
            </w:r>
          </w:p>
        </w:tc>
        <w:tc>
          <w:tcPr>
            <w:tcW w:w="0" w:type="auto"/>
            <w:tcMar>
              <w:top w:w="30" w:type="dxa"/>
              <w:left w:w="45" w:type="dxa"/>
              <w:bottom w:w="30" w:type="dxa"/>
              <w:right w:w="45" w:type="dxa"/>
            </w:tcMar>
            <w:vAlign w:val="center"/>
            <w:hideMark/>
          </w:tcPr>
          <w:p w14:paraId="2B0AC5C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71.273.977.855</w:t>
            </w:r>
          </w:p>
        </w:tc>
        <w:tc>
          <w:tcPr>
            <w:tcW w:w="1985" w:type="dxa"/>
            <w:vMerge/>
            <w:vAlign w:val="center"/>
            <w:hideMark/>
          </w:tcPr>
          <w:p w14:paraId="5752A0A3" w14:textId="77777777" w:rsidR="00856F66" w:rsidRPr="00E31657" w:rsidRDefault="00856F66" w:rsidP="00F35453">
            <w:pPr>
              <w:rPr>
                <w:rFonts w:cs="Arial"/>
                <w:b/>
                <w:bCs/>
                <w:sz w:val="16"/>
                <w:szCs w:val="16"/>
                <w:lang w:val="es-ES_tradnl" w:eastAsia="es-MX"/>
              </w:rPr>
            </w:pPr>
          </w:p>
        </w:tc>
      </w:tr>
    </w:tbl>
    <w:p w14:paraId="5AD56DAF" w14:textId="77777777" w:rsidR="00856F66" w:rsidRPr="00E31657" w:rsidRDefault="00856F66">
      <w:pPr>
        <w:rPr>
          <w:sz w:val="16"/>
          <w:szCs w:val="16"/>
          <w:lang w:val="es-ES_tradnl"/>
        </w:rPr>
      </w:pPr>
    </w:p>
    <w:tbl>
      <w:tblPr>
        <w:tblW w:w="5774" w:type="pct"/>
        <w:tblInd w:w="-567" w:type="dxa"/>
        <w:tblBorders>
          <w:bottom w:val="double" w:sz="4" w:space="0" w:color="C00000"/>
          <w:insideH w:val="double" w:sz="4" w:space="0" w:color="C00000"/>
          <w:insideV w:val="double" w:sz="4" w:space="0" w:color="C00000"/>
        </w:tblBorders>
        <w:tblLayout w:type="fixed"/>
        <w:tblCellMar>
          <w:left w:w="0" w:type="dxa"/>
          <w:right w:w="0" w:type="dxa"/>
        </w:tblCellMar>
        <w:tblLook w:val="04A0" w:firstRow="1" w:lastRow="0" w:firstColumn="1" w:lastColumn="0" w:noHBand="0" w:noVBand="1"/>
      </w:tblPr>
      <w:tblGrid>
        <w:gridCol w:w="2290"/>
        <w:gridCol w:w="673"/>
        <w:gridCol w:w="940"/>
        <w:gridCol w:w="1260"/>
        <w:gridCol w:w="1260"/>
        <w:gridCol w:w="1260"/>
        <w:gridCol w:w="1260"/>
        <w:gridCol w:w="1866"/>
      </w:tblGrid>
      <w:tr w:rsidR="00856F66" w:rsidRPr="00E31657" w14:paraId="7D11FA52" w14:textId="77777777" w:rsidTr="00156332">
        <w:trPr>
          <w:trHeight w:val="315"/>
        </w:trPr>
        <w:tc>
          <w:tcPr>
            <w:tcW w:w="5000" w:type="pct"/>
            <w:gridSpan w:val="8"/>
            <w:tcMar>
              <w:top w:w="30" w:type="dxa"/>
              <w:left w:w="45" w:type="dxa"/>
              <w:bottom w:w="30" w:type="dxa"/>
              <w:right w:w="45" w:type="dxa"/>
            </w:tcMar>
            <w:vAlign w:val="center"/>
            <w:hideMark/>
          </w:tcPr>
          <w:p w14:paraId="48DDB913" w14:textId="77777777" w:rsidR="00856F66" w:rsidRPr="00E31657" w:rsidRDefault="00856F66" w:rsidP="00F35453">
            <w:pPr>
              <w:jc w:val="center"/>
              <w:rPr>
                <w:rFonts w:cs="Arial"/>
                <w:b/>
                <w:bCs/>
                <w:sz w:val="16"/>
                <w:szCs w:val="16"/>
                <w:lang w:val="es-ES_tradnl" w:eastAsia="es-MX"/>
              </w:rPr>
            </w:pPr>
            <w:r w:rsidRPr="00E31657">
              <w:rPr>
                <w:rFonts w:cs="Arial"/>
                <w:b/>
                <w:bCs/>
                <w:color w:val="C00000"/>
                <w:lang w:val="es-ES_tradnl" w:eastAsia="es-MX"/>
              </w:rPr>
              <w:t xml:space="preserve">Programa 10. </w:t>
            </w:r>
            <w:r w:rsidRPr="00E31657">
              <w:rPr>
                <w:rFonts w:cs="Arial"/>
                <w:lang w:val="es-ES_tradnl" w:eastAsia="es-MX"/>
              </w:rPr>
              <w:t>Salud Pública Integrada e Integral</w:t>
            </w:r>
          </w:p>
        </w:tc>
      </w:tr>
      <w:tr w:rsidR="00856F66" w:rsidRPr="00E31657" w14:paraId="6020A456" w14:textId="77777777" w:rsidTr="00156332">
        <w:trPr>
          <w:trHeight w:val="315"/>
        </w:trPr>
        <w:tc>
          <w:tcPr>
            <w:tcW w:w="1059" w:type="pct"/>
            <w:vMerge w:val="restart"/>
            <w:shd w:val="clear" w:color="auto" w:fill="C00000"/>
            <w:tcMar>
              <w:top w:w="30" w:type="dxa"/>
              <w:left w:w="45" w:type="dxa"/>
              <w:bottom w:w="30" w:type="dxa"/>
              <w:right w:w="45" w:type="dxa"/>
            </w:tcMar>
            <w:vAlign w:val="center"/>
            <w:hideMark/>
          </w:tcPr>
          <w:p w14:paraId="35BD15A0"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Sector / Metas</w:t>
            </w:r>
          </w:p>
        </w:tc>
        <w:tc>
          <w:tcPr>
            <w:tcW w:w="3941" w:type="pct"/>
            <w:gridSpan w:val="7"/>
            <w:shd w:val="clear" w:color="auto" w:fill="C00000"/>
            <w:tcMar>
              <w:top w:w="30" w:type="dxa"/>
              <w:left w:w="45" w:type="dxa"/>
              <w:bottom w:w="30" w:type="dxa"/>
              <w:right w:w="45" w:type="dxa"/>
            </w:tcMar>
            <w:vAlign w:val="center"/>
            <w:hideMark/>
          </w:tcPr>
          <w:p w14:paraId="31F35C17" w14:textId="77777777" w:rsidR="00856F66" w:rsidRPr="00E31657" w:rsidRDefault="00856F66" w:rsidP="007A1A2D">
            <w:pPr>
              <w:pStyle w:val="Ttulo"/>
              <w:jc w:val="center"/>
              <w:rPr>
                <w:lang w:val="es-ES_tradnl"/>
              </w:rPr>
            </w:pPr>
            <w:r w:rsidRPr="007A1A2D">
              <w:rPr>
                <w:rFonts w:ascii="Candara" w:eastAsia="Times New Roman" w:hAnsi="Candara"/>
                <w:b/>
                <w:bCs/>
                <w:color w:val="FFFFFF" w:themeColor="background1"/>
                <w:sz w:val="24"/>
                <w:szCs w:val="24"/>
                <w:lang w:val="es-ES_tradnl" w:eastAsia="es-MX"/>
              </w:rPr>
              <w:t xml:space="preserve">Magnitudes e Inversión </w:t>
            </w:r>
            <w:r w:rsidRPr="007A1A2D">
              <w:rPr>
                <w:rFonts w:ascii="Candara" w:eastAsia="Times New Roman" w:hAnsi="Candara"/>
                <w:b/>
                <w:bCs/>
                <w:color w:val="FFFFFF" w:themeColor="background1"/>
                <w:sz w:val="24"/>
                <w:szCs w:val="24"/>
                <w:lang w:val="es-ES_tradnl" w:eastAsia="es-MX"/>
              </w:rPr>
              <w:br/>
              <w:t>(Precios Constantes 2024)</w:t>
            </w:r>
          </w:p>
        </w:tc>
      </w:tr>
      <w:tr w:rsidR="00856F66" w:rsidRPr="00E31657" w14:paraId="1E954B1C" w14:textId="77777777" w:rsidTr="00156332">
        <w:trPr>
          <w:trHeight w:val="315"/>
        </w:trPr>
        <w:tc>
          <w:tcPr>
            <w:tcW w:w="1059" w:type="pct"/>
            <w:vMerge/>
            <w:shd w:val="clear" w:color="auto" w:fill="C00000"/>
            <w:vAlign w:val="center"/>
            <w:hideMark/>
          </w:tcPr>
          <w:p w14:paraId="5F4D6A1B" w14:textId="77777777" w:rsidR="00856F66" w:rsidRPr="00E31657" w:rsidRDefault="00856F66" w:rsidP="00F35453">
            <w:pPr>
              <w:rPr>
                <w:rFonts w:cs="Arial"/>
                <w:b/>
                <w:bCs/>
                <w:color w:val="FFFFFF"/>
                <w:sz w:val="16"/>
                <w:szCs w:val="16"/>
                <w:lang w:val="es-ES_tradnl" w:eastAsia="es-MX"/>
              </w:rPr>
            </w:pPr>
          </w:p>
        </w:tc>
        <w:tc>
          <w:tcPr>
            <w:tcW w:w="311" w:type="pct"/>
            <w:shd w:val="clear" w:color="auto" w:fill="D9D9D9"/>
            <w:tcMar>
              <w:top w:w="30" w:type="dxa"/>
              <w:left w:w="45" w:type="dxa"/>
              <w:bottom w:w="30" w:type="dxa"/>
              <w:right w:w="45" w:type="dxa"/>
            </w:tcMar>
            <w:vAlign w:val="center"/>
            <w:hideMark/>
          </w:tcPr>
          <w:p w14:paraId="37EC791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435" w:type="pct"/>
            <w:shd w:val="clear" w:color="auto" w:fill="D9D9D9"/>
            <w:tcMar>
              <w:top w:w="30" w:type="dxa"/>
              <w:left w:w="45" w:type="dxa"/>
              <w:bottom w:w="30" w:type="dxa"/>
              <w:right w:w="45" w:type="dxa"/>
            </w:tcMar>
            <w:vAlign w:val="center"/>
            <w:hideMark/>
          </w:tcPr>
          <w:p w14:paraId="05EEDED9"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83" w:type="pct"/>
            <w:shd w:val="clear" w:color="auto" w:fill="D9D9D9"/>
            <w:tcMar>
              <w:top w:w="30" w:type="dxa"/>
              <w:left w:w="45" w:type="dxa"/>
              <w:bottom w:w="30" w:type="dxa"/>
              <w:right w:w="45" w:type="dxa"/>
            </w:tcMar>
            <w:vAlign w:val="center"/>
            <w:hideMark/>
          </w:tcPr>
          <w:p w14:paraId="37E7DCB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2024</w:t>
            </w:r>
          </w:p>
        </w:tc>
        <w:tc>
          <w:tcPr>
            <w:tcW w:w="583" w:type="pct"/>
            <w:shd w:val="clear" w:color="auto" w:fill="D9D9D9"/>
            <w:tcMar>
              <w:top w:w="30" w:type="dxa"/>
              <w:left w:w="45" w:type="dxa"/>
              <w:bottom w:w="30" w:type="dxa"/>
              <w:right w:w="45" w:type="dxa"/>
            </w:tcMar>
            <w:vAlign w:val="center"/>
            <w:hideMark/>
          </w:tcPr>
          <w:p w14:paraId="550BF11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2025</w:t>
            </w:r>
          </w:p>
        </w:tc>
        <w:tc>
          <w:tcPr>
            <w:tcW w:w="583" w:type="pct"/>
            <w:shd w:val="clear" w:color="auto" w:fill="D9D9D9"/>
            <w:tcMar>
              <w:top w:w="30" w:type="dxa"/>
              <w:left w:w="45" w:type="dxa"/>
              <w:bottom w:w="30" w:type="dxa"/>
              <w:right w:w="45" w:type="dxa"/>
            </w:tcMar>
            <w:vAlign w:val="center"/>
            <w:hideMark/>
          </w:tcPr>
          <w:p w14:paraId="462CBC3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2026</w:t>
            </w:r>
          </w:p>
        </w:tc>
        <w:tc>
          <w:tcPr>
            <w:tcW w:w="583" w:type="pct"/>
            <w:shd w:val="clear" w:color="auto" w:fill="D9D9D9"/>
            <w:tcMar>
              <w:top w:w="30" w:type="dxa"/>
              <w:left w:w="45" w:type="dxa"/>
              <w:bottom w:w="30" w:type="dxa"/>
              <w:right w:w="45" w:type="dxa"/>
            </w:tcMar>
            <w:vAlign w:val="center"/>
            <w:hideMark/>
          </w:tcPr>
          <w:p w14:paraId="3D3CB6E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2027</w:t>
            </w:r>
          </w:p>
        </w:tc>
        <w:tc>
          <w:tcPr>
            <w:tcW w:w="861" w:type="pct"/>
            <w:shd w:val="clear" w:color="auto" w:fill="D9D9D9"/>
            <w:tcMar>
              <w:top w:w="30" w:type="dxa"/>
              <w:left w:w="45" w:type="dxa"/>
              <w:bottom w:w="30" w:type="dxa"/>
              <w:right w:w="45" w:type="dxa"/>
            </w:tcMar>
            <w:vAlign w:val="center"/>
            <w:hideMark/>
          </w:tcPr>
          <w:p w14:paraId="5D40EB7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23C69B81" w14:textId="77777777" w:rsidTr="00156332">
        <w:trPr>
          <w:trHeight w:val="315"/>
        </w:trPr>
        <w:tc>
          <w:tcPr>
            <w:tcW w:w="5000" w:type="pct"/>
            <w:gridSpan w:val="8"/>
            <w:shd w:val="clear" w:color="auto" w:fill="C00000"/>
            <w:tcMar>
              <w:top w:w="30" w:type="dxa"/>
              <w:left w:w="45" w:type="dxa"/>
              <w:bottom w:w="30" w:type="dxa"/>
              <w:right w:w="45" w:type="dxa"/>
            </w:tcMar>
            <w:vAlign w:val="center"/>
            <w:hideMark/>
          </w:tcPr>
          <w:p w14:paraId="606F2AB7" w14:textId="77777777" w:rsidR="00856F66" w:rsidRPr="00E31657" w:rsidRDefault="00856F66" w:rsidP="007A1A2D">
            <w:pPr>
              <w:pStyle w:val="Ttulo"/>
              <w:jc w:val="center"/>
              <w:rPr>
                <w:rFonts w:eastAsia="Times New Roman"/>
                <w:lang w:val="es-ES_tradnl" w:eastAsia="es-MX"/>
              </w:rPr>
            </w:pPr>
            <w:r w:rsidRPr="007A1A2D">
              <w:rPr>
                <w:rFonts w:ascii="Candara" w:eastAsia="Times New Roman" w:hAnsi="Candara"/>
                <w:b/>
                <w:bCs/>
                <w:color w:val="FFFFFF" w:themeColor="background1"/>
                <w:sz w:val="24"/>
                <w:szCs w:val="24"/>
                <w:lang w:val="es-ES_tradnl" w:eastAsia="es-MX"/>
              </w:rPr>
              <w:t>Salud</w:t>
            </w:r>
          </w:p>
        </w:tc>
      </w:tr>
      <w:tr w:rsidR="00856F66" w:rsidRPr="00E31657" w14:paraId="3DD20E6C" w14:textId="77777777" w:rsidTr="00156332">
        <w:trPr>
          <w:trHeight w:val="315"/>
        </w:trPr>
        <w:tc>
          <w:tcPr>
            <w:tcW w:w="1059" w:type="pct"/>
            <w:vMerge w:val="restart"/>
            <w:tcMar>
              <w:top w:w="30" w:type="dxa"/>
              <w:left w:w="45" w:type="dxa"/>
              <w:bottom w:w="30" w:type="dxa"/>
              <w:right w:w="45" w:type="dxa"/>
            </w:tcMar>
            <w:vAlign w:val="center"/>
            <w:hideMark/>
          </w:tcPr>
          <w:p w14:paraId="1548625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Definir implementar y poner en funcionamiento una instancia de gobernanza y gobernabilidad en salud pública y Atención Primaria Social que intervenga los determinantes sociales de inequidades en salud en el territorio.</w:t>
            </w:r>
          </w:p>
        </w:tc>
        <w:tc>
          <w:tcPr>
            <w:tcW w:w="311" w:type="pct"/>
            <w:vMerge w:val="restart"/>
            <w:tcMar>
              <w:top w:w="30" w:type="dxa"/>
              <w:left w:w="45" w:type="dxa"/>
              <w:bottom w:w="30" w:type="dxa"/>
              <w:right w:w="45" w:type="dxa"/>
            </w:tcMar>
            <w:vAlign w:val="center"/>
            <w:hideMark/>
          </w:tcPr>
          <w:p w14:paraId="14F2034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2374291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3A59F61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284348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38531FC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67F7967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861" w:type="pct"/>
            <w:vMerge w:val="restart"/>
            <w:tcMar>
              <w:top w:w="30" w:type="dxa"/>
              <w:left w:w="45" w:type="dxa"/>
              <w:bottom w:w="30" w:type="dxa"/>
              <w:right w:w="45" w:type="dxa"/>
            </w:tcMar>
            <w:vAlign w:val="center"/>
            <w:hideMark/>
          </w:tcPr>
          <w:p w14:paraId="20537C3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853.583.406</w:t>
            </w:r>
          </w:p>
        </w:tc>
      </w:tr>
      <w:tr w:rsidR="00856F66" w:rsidRPr="00E31657" w14:paraId="45483698" w14:textId="77777777" w:rsidTr="00156332">
        <w:trPr>
          <w:trHeight w:val="315"/>
        </w:trPr>
        <w:tc>
          <w:tcPr>
            <w:tcW w:w="1059" w:type="pct"/>
            <w:vMerge/>
            <w:vAlign w:val="center"/>
            <w:hideMark/>
          </w:tcPr>
          <w:p w14:paraId="3E800C0B"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515ACE6C" w14:textId="77777777" w:rsidR="00856F66" w:rsidRPr="00E31657" w:rsidRDefault="00856F66" w:rsidP="00F35453">
            <w:pPr>
              <w:rPr>
                <w:rFonts w:cs="Arial"/>
                <w:sz w:val="16"/>
                <w:szCs w:val="16"/>
                <w:lang w:val="es-ES_tradnl" w:eastAsia="es-MX"/>
              </w:rPr>
            </w:pPr>
          </w:p>
        </w:tc>
        <w:tc>
          <w:tcPr>
            <w:tcW w:w="435" w:type="pct"/>
            <w:vMerge/>
            <w:vAlign w:val="center"/>
            <w:hideMark/>
          </w:tcPr>
          <w:p w14:paraId="23ADE991"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61E61B7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5.000.000</w:t>
            </w:r>
          </w:p>
        </w:tc>
        <w:tc>
          <w:tcPr>
            <w:tcW w:w="583" w:type="pct"/>
            <w:tcMar>
              <w:top w:w="30" w:type="dxa"/>
              <w:left w:w="45" w:type="dxa"/>
              <w:bottom w:w="30" w:type="dxa"/>
              <w:right w:w="45" w:type="dxa"/>
            </w:tcMar>
            <w:vAlign w:val="center"/>
            <w:hideMark/>
          </w:tcPr>
          <w:p w14:paraId="53B8A27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291.262.136</w:t>
            </w:r>
          </w:p>
        </w:tc>
        <w:tc>
          <w:tcPr>
            <w:tcW w:w="583" w:type="pct"/>
            <w:tcMar>
              <w:top w:w="30" w:type="dxa"/>
              <w:left w:w="45" w:type="dxa"/>
              <w:bottom w:w="30" w:type="dxa"/>
              <w:right w:w="45" w:type="dxa"/>
            </w:tcMar>
            <w:vAlign w:val="center"/>
            <w:hideMark/>
          </w:tcPr>
          <w:p w14:paraId="6D3E4B5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282.778.773</w:t>
            </w:r>
          </w:p>
        </w:tc>
        <w:tc>
          <w:tcPr>
            <w:tcW w:w="583" w:type="pct"/>
            <w:tcMar>
              <w:top w:w="30" w:type="dxa"/>
              <w:left w:w="45" w:type="dxa"/>
              <w:bottom w:w="30" w:type="dxa"/>
              <w:right w:w="45" w:type="dxa"/>
            </w:tcMar>
            <w:vAlign w:val="center"/>
            <w:hideMark/>
          </w:tcPr>
          <w:p w14:paraId="09DDD9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274.542.498</w:t>
            </w:r>
          </w:p>
        </w:tc>
        <w:tc>
          <w:tcPr>
            <w:tcW w:w="861" w:type="pct"/>
            <w:vMerge/>
            <w:vAlign w:val="center"/>
            <w:hideMark/>
          </w:tcPr>
          <w:p w14:paraId="1EFC0493" w14:textId="77777777" w:rsidR="00856F66" w:rsidRPr="00E31657" w:rsidRDefault="00856F66" w:rsidP="00F35453">
            <w:pPr>
              <w:rPr>
                <w:rFonts w:cs="Arial"/>
                <w:b/>
                <w:bCs/>
                <w:sz w:val="16"/>
                <w:szCs w:val="16"/>
                <w:lang w:val="es-ES_tradnl" w:eastAsia="es-MX"/>
              </w:rPr>
            </w:pPr>
          </w:p>
        </w:tc>
      </w:tr>
      <w:tr w:rsidR="00856F66" w:rsidRPr="00E31657" w14:paraId="110D15A9" w14:textId="77777777" w:rsidTr="00156332">
        <w:trPr>
          <w:trHeight w:val="315"/>
        </w:trPr>
        <w:tc>
          <w:tcPr>
            <w:tcW w:w="1059" w:type="pct"/>
            <w:vMerge w:val="restart"/>
            <w:tcMar>
              <w:top w:w="30" w:type="dxa"/>
              <w:left w:w="45" w:type="dxa"/>
              <w:bottom w:w="30" w:type="dxa"/>
              <w:right w:w="45" w:type="dxa"/>
            </w:tcMar>
            <w:vAlign w:val="center"/>
            <w:hideMark/>
          </w:tcPr>
          <w:p w14:paraId="7E63521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Desarrollar el 100% de las intervenciones en las líneas estratégicas del plan de acción de la primera infancia para el fortalecimiento de la atención integral e integrada desde el nacimiento y durante la primera infancia.</w:t>
            </w:r>
          </w:p>
        </w:tc>
        <w:tc>
          <w:tcPr>
            <w:tcW w:w="311" w:type="pct"/>
            <w:vMerge w:val="restart"/>
            <w:tcMar>
              <w:top w:w="30" w:type="dxa"/>
              <w:left w:w="45" w:type="dxa"/>
              <w:bottom w:w="30" w:type="dxa"/>
              <w:right w:w="45" w:type="dxa"/>
            </w:tcMar>
            <w:vAlign w:val="center"/>
            <w:hideMark/>
          </w:tcPr>
          <w:p w14:paraId="4351134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185D32E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4A75C26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22AF82A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234BC2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7C2207F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40978D1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30.220.900.329</w:t>
            </w:r>
          </w:p>
        </w:tc>
      </w:tr>
      <w:tr w:rsidR="00856F66" w:rsidRPr="00E31657" w14:paraId="46EBAE95" w14:textId="77777777" w:rsidTr="00156332">
        <w:trPr>
          <w:trHeight w:val="315"/>
        </w:trPr>
        <w:tc>
          <w:tcPr>
            <w:tcW w:w="1059" w:type="pct"/>
            <w:vMerge/>
            <w:vAlign w:val="center"/>
            <w:hideMark/>
          </w:tcPr>
          <w:p w14:paraId="3E04A77F"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539A8854" w14:textId="77777777" w:rsidR="00856F66" w:rsidRPr="00E31657" w:rsidRDefault="00856F66" w:rsidP="00F35453">
            <w:pPr>
              <w:rPr>
                <w:rFonts w:cs="Arial"/>
                <w:sz w:val="16"/>
                <w:szCs w:val="16"/>
                <w:lang w:val="es-ES_tradnl" w:eastAsia="es-MX"/>
              </w:rPr>
            </w:pPr>
          </w:p>
        </w:tc>
        <w:tc>
          <w:tcPr>
            <w:tcW w:w="435" w:type="pct"/>
            <w:vMerge/>
            <w:vAlign w:val="center"/>
            <w:hideMark/>
          </w:tcPr>
          <w:p w14:paraId="6A6CEC82"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6FBA29F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3.894.649.516</w:t>
            </w:r>
          </w:p>
        </w:tc>
        <w:tc>
          <w:tcPr>
            <w:tcW w:w="583" w:type="pct"/>
            <w:tcMar>
              <w:top w:w="30" w:type="dxa"/>
              <w:left w:w="45" w:type="dxa"/>
              <w:bottom w:w="30" w:type="dxa"/>
              <w:right w:w="45" w:type="dxa"/>
            </w:tcMar>
            <w:vAlign w:val="center"/>
            <w:hideMark/>
          </w:tcPr>
          <w:p w14:paraId="53E7DFE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8.290.464.236</w:t>
            </w:r>
          </w:p>
        </w:tc>
        <w:tc>
          <w:tcPr>
            <w:tcW w:w="583" w:type="pct"/>
            <w:tcMar>
              <w:top w:w="30" w:type="dxa"/>
              <w:left w:w="45" w:type="dxa"/>
              <w:bottom w:w="30" w:type="dxa"/>
              <w:right w:w="45" w:type="dxa"/>
            </w:tcMar>
            <w:vAlign w:val="center"/>
            <w:hideMark/>
          </w:tcPr>
          <w:p w14:paraId="0185D41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9.624.581.437</w:t>
            </w:r>
          </w:p>
        </w:tc>
        <w:tc>
          <w:tcPr>
            <w:tcW w:w="583" w:type="pct"/>
            <w:tcMar>
              <w:top w:w="30" w:type="dxa"/>
              <w:left w:w="45" w:type="dxa"/>
              <w:bottom w:w="30" w:type="dxa"/>
              <w:right w:w="45" w:type="dxa"/>
            </w:tcMar>
            <w:vAlign w:val="center"/>
            <w:hideMark/>
          </w:tcPr>
          <w:p w14:paraId="06259BF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8.411.205.140</w:t>
            </w:r>
          </w:p>
        </w:tc>
        <w:tc>
          <w:tcPr>
            <w:tcW w:w="861" w:type="pct"/>
            <w:vMerge/>
            <w:vAlign w:val="center"/>
            <w:hideMark/>
          </w:tcPr>
          <w:p w14:paraId="6BDE36DD" w14:textId="77777777" w:rsidR="00856F66" w:rsidRPr="00E31657" w:rsidRDefault="00856F66" w:rsidP="00F35453">
            <w:pPr>
              <w:rPr>
                <w:rFonts w:cs="Arial"/>
                <w:b/>
                <w:bCs/>
                <w:sz w:val="16"/>
                <w:szCs w:val="16"/>
                <w:lang w:val="es-ES_tradnl" w:eastAsia="es-MX"/>
              </w:rPr>
            </w:pPr>
          </w:p>
        </w:tc>
      </w:tr>
      <w:tr w:rsidR="00856F66" w:rsidRPr="00E31657" w14:paraId="782986C1" w14:textId="77777777" w:rsidTr="00156332">
        <w:trPr>
          <w:trHeight w:val="315"/>
        </w:trPr>
        <w:tc>
          <w:tcPr>
            <w:tcW w:w="1059" w:type="pct"/>
            <w:vMerge w:val="restart"/>
            <w:tcMar>
              <w:top w:w="30" w:type="dxa"/>
              <w:left w:w="45" w:type="dxa"/>
              <w:bottom w:w="30" w:type="dxa"/>
              <w:right w:w="45" w:type="dxa"/>
            </w:tcMar>
            <w:vAlign w:val="center"/>
            <w:hideMark/>
          </w:tcPr>
          <w:p w14:paraId="5A95731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Desarrollar el 100% de las intervenciones en las líneas estratégicas del plan de acción para reducir la morbilidad y mortalidad materno- perinatal.</w:t>
            </w:r>
          </w:p>
        </w:tc>
        <w:tc>
          <w:tcPr>
            <w:tcW w:w="311" w:type="pct"/>
            <w:vMerge w:val="restart"/>
            <w:tcMar>
              <w:top w:w="30" w:type="dxa"/>
              <w:left w:w="45" w:type="dxa"/>
              <w:bottom w:w="30" w:type="dxa"/>
              <w:right w:w="45" w:type="dxa"/>
            </w:tcMar>
            <w:vAlign w:val="center"/>
            <w:hideMark/>
          </w:tcPr>
          <w:p w14:paraId="326D98A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3185B08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70D138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256DA4B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7A546CC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13DDCA8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3EAFC51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52.399.938.348</w:t>
            </w:r>
          </w:p>
        </w:tc>
      </w:tr>
      <w:tr w:rsidR="00856F66" w:rsidRPr="00E31657" w14:paraId="6831DAE4" w14:textId="77777777" w:rsidTr="00156332">
        <w:trPr>
          <w:trHeight w:val="315"/>
        </w:trPr>
        <w:tc>
          <w:tcPr>
            <w:tcW w:w="1059" w:type="pct"/>
            <w:vMerge/>
            <w:vAlign w:val="center"/>
            <w:hideMark/>
          </w:tcPr>
          <w:p w14:paraId="6C23942B"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2BF831C7" w14:textId="77777777" w:rsidR="00856F66" w:rsidRPr="00E31657" w:rsidRDefault="00856F66" w:rsidP="00F35453">
            <w:pPr>
              <w:rPr>
                <w:rFonts w:cs="Arial"/>
                <w:sz w:val="16"/>
                <w:szCs w:val="16"/>
                <w:lang w:val="es-ES_tradnl" w:eastAsia="es-MX"/>
              </w:rPr>
            </w:pPr>
          </w:p>
        </w:tc>
        <w:tc>
          <w:tcPr>
            <w:tcW w:w="435" w:type="pct"/>
            <w:vMerge/>
            <w:vAlign w:val="center"/>
            <w:hideMark/>
          </w:tcPr>
          <w:p w14:paraId="6B9A7861"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2009205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9.381.400.000</w:t>
            </w:r>
          </w:p>
        </w:tc>
        <w:tc>
          <w:tcPr>
            <w:tcW w:w="583" w:type="pct"/>
            <w:tcMar>
              <w:top w:w="30" w:type="dxa"/>
              <w:left w:w="45" w:type="dxa"/>
              <w:bottom w:w="30" w:type="dxa"/>
              <w:right w:w="45" w:type="dxa"/>
            </w:tcMar>
            <w:vAlign w:val="center"/>
            <w:hideMark/>
          </w:tcPr>
          <w:p w14:paraId="19299FA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15.434.968.725</w:t>
            </w:r>
          </w:p>
        </w:tc>
        <w:tc>
          <w:tcPr>
            <w:tcW w:w="583" w:type="pct"/>
            <w:tcMar>
              <w:top w:w="30" w:type="dxa"/>
              <w:left w:w="45" w:type="dxa"/>
              <w:bottom w:w="30" w:type="dxa"/>
              <w:right w:w="45" w:type="dxa"/>
            </w:tcMar>
            <w:vAlign w:val="center"/>
            <w:hideMark/>
          </w:tcPr>
          <w:p w14:paraId="6CDF073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14.650.972.423</w:t>
            </w:r>
          </w:p>
        </w:tc>
        <w:tc>
          <w:tcPr>
            <w:tcW w:w="583" w:type="pct"/>
            <w:tcMar>
              <w:top w:w="30" w:type="dxa"/>
              <w:left w:w="45" w:type="dxa"/>
              <w:bottom w:w="30" w:type="dxa"/>
              <w:right w:w="45" w:type="dxa"/>
            </w:tcMar>
            <w:vAlign w:val="center"/>
            <w:hideMark/>
          </w:tcPr>
          <w:p w14:paraId="432577C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12.932.597.199</w:t>
            </w:r>
          </w:p>
        </w:tc>
        <w:tc>
          <w:tcPr>
            <w:tcW w:w="861" w:type="pct"/>
            <w:vMerge/>
            <w:vAlign w:val="center"/>
            <w:hideMark/>
          </w:tcPr>
          <w:p w14:paraId="0F70747F" w14:textId="77777777" w:rsidR="00856F66" w:rsidRPr="00E31657" w:rsidRDefault="00856F66" w:rsidP="00F35453">
            <w:pPr>
              <w:rPr>
                <w:rFonts w:cs="Arial"/>
                <w:b/>
                <w:bCs/>
                <w:sz w:val="16"/>
                <w:szCs w:val="16"/>
                <w:lang w:val="es-ES_tradnl" w:eastAsia="es-MX"/>
              </w:rPr>
            </w:pPr>
          </w:p>
        </w:tc>
      </w:tr>
      <w:tr w:rsidR="00856F66" w:rsidRPr="00E31657" w14:paraId="7B323E2A" w14:textId="77777777" w:rsidTr="00156332">
        <w:trPr>
          <w:trHeight w:val="315"/>
        </w:trPr>
        <w:tc>
          <w:tcPr>
            <w:tcW w:w="1059" w:type="pct"/>
            <w:vMerge w:val="restart"/>
            <w:tcMar>
              <w:top w:w="30" w:type="dxa"/>
              <w:left w:w="45" w:type="dxa"/>
              <w:bottom w:w="30" w:type="dxa"/>
              <w:right w:w="45" w:type="dxa"/>
            </w:tcMar>
            <w:vAlign w:val="center"/>
            <w:hideMark/>
          </w:tcPr>
          <w:p w14:paraId="5BA743D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Gestionar e implementar el plan integral de respuesta para la desvinculación del trabajo infantil del 100% de los niños niñas y adolescentes (NNA) identificados desde el sector salud.</w:t>
            </w:r>
          </w:p>
        </w:tc>
        <w:tc>
          <w:tcPr>
            <w:tcW w:w="311" w:type="pct"/>
            <w:vMerge w:val="restart"/>
            <w:tcMar>
              <w:top w:w="30" w:type="dxa"/>
              <w:left w:w="45" w:type="dxa"/>
              <w:bottom w:w="30" w:type="dxa"/>
              <w:right w:w="45" w:type="dxa"/>
            </w:tcMar>
            <w:vAlign w:val="center"/>
            <w:hideMark/>
          </w:tcPr>
          <w:p w14:paraId="3AE2F9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2774% (12.484 NNA Identificados en el año 2023).</w:t>
            </w:r>
          </w:p>
        </w:tc>
        <w:tc>
          <w:tcPr>
            <w:tcW w:w="435" w:type="pct"/>
            <w:vMerge w:val="restart"/>
            <w:tcMar>
              <w:top w:w="30" w:type="dxa"/>
              <w:left w:w="45" w:type="dxa"/>
              <w:bottom w:w="30" w:type="dxa"/>
              <w:right w:w="45" w:type="dxa"/>
            </w:tcMar>
            <w:vAlign w:val="center"/>
            <w:hideMark/>
          </w:tcPr>
          <w:p w14:paraId="307884E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Reporte proyecto 7828 act. 15.2 SEGPLAN 2023</w:t>
            </w:r>
          </w:p>
        </w:tc>
        <w:tc>
          <w:tcPr>
            <w:tcW w:w="583" w:type="pct"/>
            <w:tcMar>
              <w:top w:w="30" w:type="dxa"/>
              <w:left w:w="45" w:type="dxa"/>
              <w:bottom w:w="30" w:type="dxa"/>
              <w:right w:w="45" w:type="dxa"/>
            </w:tcMar>
            <w:vAlign w:val="center"/>
            <w:hideMark/>
          </w:tcPr>
          <w:p w14:paraId="1A8F08A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7C4ACE3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5CD724D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4AD6A4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4BD310A4"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30.479.587.093</w:t>
            </w:r>
          </w:p>
        </w:tc>
      </w:tr>
      <w:tr w:rsidR="00856F66" w:rsidRPr="00E31657" w14:paraId="178CE225" w14:textId="77777777" w:rsidTr="00156332">
        <w:trPr>
          <w:trHeight w:val="315"/>
        </w:trPr>
        <w:tc>
          <w:tcPr>
            <w:tcW w:w="1059" w:type="pct"/>
            <w:vMerge/>
            <w:vAlign w:val="center"/>
            <w:hideMark/>
          </w:tcPr>
          <w:p w14:paraId="5187C240"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6033E7CA" w14:textId="77777777" w:rsidR="00856F66" w:rsidRPr="00E31657" w:rsidRDefault="00856F66" w:rsidP="00F35453">
            <w:pPr>
              <w:rPr>
                <w:rFonts w:cs="Arial"/>
                <w:sz w:val="16"/>
                <w:szCs w:val="16"/>
                <w:lang w:val="es-ES_tradnl" w:eastAsia="es-MX"/>
              </w:rPr>
            </w:pPr>
          </w:p>
        </w:tc>
        <w:tc>
          <w:tcPr>
            <w:tcW w:w="435" w:type="pct"/>
            <w:vMerge/>
            <w:vAlign w:val="center"/>
            <w:hideMark/>
          </w:tcPr>
          <w:p w14:paraId="425028B8"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1836E9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5.000.000.000</w:t>
            </w:r>
          </w:p>
        </w:tc>
        <w:tc>
          <w:tcPr>
            <w:tcW w:w="583" w:type="pct"/>
            <w:tcMar>
              <w:top w:w="30" w:type="dxa"/>
              <w:left w:w="45" w:type="dxa"/>
              <w:bottom w:w="30" w:type="dxa"/>
              <w:right w:w="45" w:type="dxa"/>
            </w:tcMar>
            <w:vAlign w:val="center"/>
            <w:hideMark/>
          </w:tcPr>
          <w:p w14:paraId="0DB2022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8.046.849.210</w:t>
            </w:r>
          </w:p>
        </w:tc>
        <w:tc>
          <w:tcPr>
            <w:tcW w:w="583" w:type="pct"/>
            <w:tcMar>
              <w:top w:w="30" w:type="dxa"/>
              <w:left w:w="45" w:type="dxa"/>
              <w:bottom w:w="30" w:type="dxa"/>
              <w:right w:w="45" w:type="dxa"/>
            </w:tcMar>
            <w:vAlign w:val="center"/>
            <w:hideMark/>
          </w:tcPr>
          <w:p w14:paraId="0108793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9.471.344.433</w:t>
            </w:r>
          </w:p>
        </w:tc>
        <w:tc>
          <w:tcPr>
            <w:tcW w:w="583" w:type="pct"/>
            <w:tcMar>
              <w:top w:w="30" w:type="dxa"/>
              <w:left w:w="45" w:type="dxa"/>
              <w:bottom w:w="30" w:type="dxa"/>
              <w:right w:w="45" w:type="dxa"/>
            </w:tcMar>
            <w:vAlign w:val="center"/>
            <w:hideMark/>
          </w:tcPr>
          <w:p w14:paraId="3D1FFD6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7.961.393.451</w:t>
            </w:r>
          </w:p>
        </w:tc>
        <w:tc>
          <w:tcPr>
            <w:tcW w:w="861" w:type="pct"/>
            <w:vMerge/>
            <w:vAlign w:val="center"/>
            <w:hideMark/>
          </w:tcPr>
          <w:p w14:paraId="0F49A6B3" w14:textId="77777777" w:rsidR="00856F66" w:rsidRPr="00E31657" w:rsidRDefault="00856F66" w:rsidP="00F35453">
            <w:pPr>
              <w:rPr>
                <w:rFonts w:cs="Arial"/>
                <w:b/>
                <w:bCs/>
                <w:sz w:val="16"/>
                <w:szCs w:val="16"/>
                <w:lang w:val="es-ES_tradnl" w:eastAsia="es-MX"/>
              </w:rPr>
            </w:pPr>
          </w:p>
        </w:tc>
      </w:tr>
      <w:tr w:rsidR="00856F66" w:rsidRPr="00E31657" w14:paraId="059D0E31" w14:textId="77777777" w:rsidTr="00156332">
        <w:trPr>
          <w:trHeight w:val="1260"/>
        </w:trPr>
        <w:tc>
          <w:tcPr>
            <w:tcW w:w="1059" w:type="pct"/>
            <w:vMerge w:val="restart"/>
            <w:tcMar>
              <w:top w:w="30" w:type="dxa"/>
              <w:left w:w="45" w:type="dxa"/>
              <w:bottom w:w="30" w:type="dxa"/>
              <w:right w:w="45" w:type="dxa"/>
            </w:tcMar>
            <w:vAlign w:val="center"/>
            <w:hideMark/>
          </w:tcPr>
          <w:p w14:paraId="12CC5300"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lastRenderedPageBreak/>
              <w:t>Implementación del 75% del plan estratégico y operativo distrital en los nodos y actividades priorizadas a cargo del sector en el Plan estratégico y operativo distrital para el abordaje integral de la población expuesta y/o afectada por condiciones crónicas no transmisibles en los 7 nodos sectoriales e intersectoriales para la promoción mantenimiento de la salud y gestión integral de riesgo relacionado con las condiciones crónicas no transmisibles por el momento de curso vida.</w:t>
            </w:r>
          </w:p>
        </w:tc>
        <w:tc>
          <w:tcPr>
            <w:tcW w:w="311" w:type="pct"/>
            <w:vMerge w:val="restart"/>
            <w:tcMar>
              <w:top w:w="30" w:type="dxa"/>
              <w:left w:w="45" w:type="dxa"/>
              <w:bottom w:w="30" w:type="dxa"/>
              <w:right w:w="45" w:type="dxa"/>
            </w:tcMar>
            <w:vAlign w:val="center"/>
            <w:hideMark/>
          </w:tcPr>
          <w:p w14:paraId="4398EB4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23,3%</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5C862F0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Año 2023 preliminar SEGPLAN. Matriz de Seguimiento del Plan Estratégico y Operativo para el Abordaje Integral de la Población Expuesta y/o Afectada por Condiciones Crónicas en Bogotá (2020-2030)</w:t>
            </w:r>
          </w:p>
        </w:tc>
        <w:tc>
          <w:tcPr>
            <w:tcW w:w="583" w:type="pct"/>
            <w:tcMar>
              <w:top w:w="30" w:type="dxa"/>
              <w:left w:w="45" w:type="dxa"/>
              <w:bottom w:w="30" w:type="dxa"/>
              <w:right w:w="45" w:type="dxa"/>
            </w:tcMar>
            <w:vAlign w:val="center"/>
            <w:hideMark/>
          </w:tcPr>
          <w:p w14:paraId="22C6D0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30%</w:t>
            </w:r>
          </w:p>
        </w:tc>
        <w:tc>
          <w:tcPr>
            <w:tcW w:w="583" w:type="pct"/>
            <w:tcMar>
              <w:top w:w="30" w:type="dxa"/>
              <w:left w:w="45" w:type="dxa"/>
              <w:bottom w:w="30" w:type="dxa"/>
              <w:right w:w="45" w:type="dxa"/>
            </w:tcMar>
            <w:vAlign w:val="center"/>
            <w:hideMark/>
          </w:tcPr>
          <w:p w14:paraId="402CFD6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w:t>
            </w:r>
          </w:p>
        </w:tc>
        <w:tc>
          <w:tcPr>
            <w:tcW w:w="583" w:type="pct"/>
            <w:tcMar>
              <w:top w:w="30" w:type="dxa"/>
              <w:left w:w="45" w:type="dxa"/>
              <w:bottom w:w="30" w:type="dxa"/>
              <w:right w:w="45" w:type="dxa"/>
            </w:tcMar>
            <w:vAlign w:val="center"/>
            <w:hideMark/>
          </w:tcPr>
          <w:p w14:paraId="190234F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60%</w:t>
            </w:r>
          </w:p>
        </w:tc>
        <w:tc>
          <w:tcPr>
            <w:tcW w:w="583" w:type="pct"/>
            <w:tcMar>
              <w:top w:w="30" w:type="dxa"/>
              <w:left w:w="45" w:type="dxa"/>
              <w:bottom w:w="30" w:type="dxa"/>
              <w:right w:w="45" w:type="dxa"/>
            </w:tcMar>
            <w:vAlign w:val="center"/>
            <w:hideMark/>
          </w:tcPr>
          <w:p w14:paraId="04B65AF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75%</w:t>
            </w:r>
          </w:p>
        </w:tc>
        <w:tc>
          <w:tcPr>
            <w:tcW w:w="861" w:type="pct"/>
            <w:vMerge w:val="restart"/>
            <w:tcMar>
              <w:top w:w="30" w:type="dxa"/>
              <w:left w:w="45" w:type="dxa"/>
              <w:bottom w:w="30" w:type="dxa"/>
              <w:right w:w="45" w:type="dxa"/>
            </w:tcMar>
            <w:vAlign w:val="center"/>
            <w:hideMark/>
          </w:tcPr>
          <w:p w14:paraId="62CDA0C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54.154.710.292</w:t>
            </w:r>
          </w:p>
        </w:tc>
      </w:tr>
      <w:tr w:rsidR="00856F66" w:rsidRPr="00E31657" w14:paraId="6EF8E86B" w14:textId="77777777" w:rsidTr="00156332">
        <w:trPr>
          <w:trHeight w:val="1035"/>
        </w:trPr>
        <w:tc>
          <w:tcPr>
            <w:tcW w:w="1059" w:type="pct"/>
            <w:vMerge/>
            <w:vAlign w:val="center"/>
            <w:hideMark/>
          </w:tcPr>
          <w:p w14:paraId="75362DDD"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3A8A5CBD" w14:textId="77777777" w:rsidR="00856F66" w:rsidRPr="00E31657" w:rsidRDefault="00856F66" w:rsidP="00F35453">
            <w:pPr>
              <w:rPr>
                <w:rFonts w:cs="Arial"/>
                <w:sz w:val="16"/>
                <w:szCs w:val="16"/>
                <w:lang w:val="es-ES_tradnl" w:eastAsia="es-MX"/>
              </w:rPr>
            </w:pPr>
          </w:p>
        </w:tc>
        <w:tc>
          <w:tcPr>
            <w:tcW w:w="435" w:type="pct"/>
            <w:vMerge/>
            <w:vAlign w:val="center"/>
            <w:hideMark/>
          </w:tcPr>
          <w:p w14:paraId="69149666"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55DABBC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7.208.864.081</w:t>
            </w:r>
          </w:p>
        </w:tc>
        <w:tc>
          <w:tcPr>
            <w:tcW w:w="583" w:type="pct"/>
            <w:tcMar>
              <w:top w:w="30" w:type="dxa"/>
              <w:left w:w="45" w:type="dxa"/>
              <w:bottom w:w="30" w:type="dxa"/>
              <w:right w:w="45" w:type="dxa"/>
            </w:tcMar>
            <w:vAlign w:val="center"/>
            <w:hideMark/>
          </w:tcPr>
          <w:p w14:paraId="4363346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12.995.601.400</w:t>
            </w:r>
          </w:p>
        </w:tc>
        <w:tc>
          <w:tcPr>
            <w:tcW w:w="583" w:type="pct"/>
            <w:tcMar>
              <w:top w:w="30" w:type="dxa"/>
              <w:left w:w="45" w:type="dxa"/>
              <w:bottom w:w="30" w:type="dxa"/>
              <w:right w:w="45" w:type="dxa"/>
            </w:tcMar>
            <w:vAlign w:val="center"/>
            <w:hideMark/>
          </w:tcPr>
          <w:p w14:paraId="4FDF706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18.437.334.297</w:t>
            </w:r>
          </w:p>
        </w:tc>
        <w:tc>
          <w:tcPr>
            <w:tcW w:w="583" w:type="pct"/>
            <w:tcMar>
              <w:top w:w="30" w:type="dxa"/>
              <w:left w:w="45" w:type="dxa"/>
              <w:bottom w:w="30" w:type="dxa"/>
              <w:right w:w="45" w:type="dxa"/>
            </w:tcMar>
            <w:vAlign w:val="center"/>
            <w:hideMark/>
          </w:tcPr>
          <w:p w14:paraId="49E8C0D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15.512.910.514</w:t>
            </w:r>
          </w:p>
        </w:tc>
        <w:tc>
          <w:tcPr>
            <w:tcW w:w="861" w:type="pct"/>
            <w:vMerge/>
            <w:vAlign w:val="center"/>
            <w:hideMark/>
          </w:tcPr>
          <w:p w14:paraId="013BD221" w14:textId="77777777" w:rsidR="00856F66" w:rsidRPr="00E31657" w:rsidRDefault="00856F66" w:rsidP="00F35453">
            <w:pPr>
              <w:rPr>
                <w:rFonts w:cs="Arial"/>
                <w:b/>
                <w:bCs/>
                <w:sz w:val="16"/>
                <w:szCs w:val="16"/>
                <w:lang w:val="es-ES_tradnl" w:eastAsia="es-MX"/>
              </w:rPr>
            </w:pPr>
          </w:p>
        </w:tc>
      </w:tr>
      <w:tr w:rsidR="00856F66" w:rsidRPr="00E31657" w14:paraId="0AEFDB41" w14:textId="77777777" w:rsidTr="00156332">
        <w:trPr>
          <w:trHeight w:val="930"/>
        </w:trPr>
        <w:tc>
          <w:tcPr>
            <w:tcW w:w="1059" w:type="pct"/>
            <w:vMerge w:val="restart"/>
            <w:tcMar>
              <w:top w:w="30" w:type="dxa"/>
              <w:left w:w="45" w:type="dxa"/>
              <w:bottom w:w="30" w:type="dxa"/>
              <w:right w:w="45" w:type="dxa"/>
            </w:tcMar>
            <w:vAlign w:val="center"/>
            <w:hideMark/>
          </w:tcPr>
          <w:p w14:paraId="5DF9460F"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el 100% de las acciones del plan de acción de la estrategia intersectorial para la prevención del consumo de sustancias psicoactivas y la reducción de riesgos y daños en la población usuaria.</w:t>
            </w:r>
          </w:p>
        </w:tc>
        <w:tc>
          <w:tcPr>
            <w:tcW w:w="311" w:type="pct"/>
            <w:vMerge w:val="restart"/>
            <w:tcMar>
              <w:top w:w="30" w:type="dxa"/>
              <w:left w:w="45" w:type="dxa"/>
              <w:bottom w:w="30" w:type="dxa"/>
              <w:right w:w="45" w:type="dxa"/>
            </w:tcMar>
            <w:vAlign w:val="center"/>
            <w:hideMark/>
          </w:tcPr>
          <w:p w14:paraId="3F01962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3AE919F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1B954E5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9EAB83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CA91B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0E844BF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0463FD0F"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30.370.085.965</w:t>
            </w:r>
          </w:p>
        </w:tc>
      </w:tr>
      <w:tr w:rsidR="00856F66" w:rsidRPr="00E31657" w14:paraId="0BD5AA21" w14:textId="77777777" w:rsidTr="00156332">
        <w:trPr>
          <w:trHeight w:val="315"/>
        </w:trPr>
        <w:tc>
          <w:tcPr>
            <w:tcW w:w="1059" w:type="pct"/>
            <w:vMerge/>
            <w:vAlign w:val="center"/>
            <w:hideMark/>
          </w:tcPr>
          <w:p w14:paraId="2EBB05EF"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57DF79F0" w14:textId="77777777" w:rsidR="00856F66" w:rsidRPr="00E31657" w:rsidRDefault="00856F66" w:rsidP="00F35453">
            <w:pPr>
              <w:rPr>
                <w:rFonts w:cs="Arial"/>
                <w:sz w:val="16"/>
                <w:szCs w:val="16"/>
                <w:lang w:val="es-ES_tradnl" w:eastAsia="es-MX"/>
              </w:rPr>
            </w:pPr>
          </w:p>
        </w:tc>
        <w:tc>
          <w:tcPr>
            <w:tcW w:w="435" w:type="pct"/>
            <w:vMerge/>
            <w:vAlign w:val="center"/>
            <w:hideMark/>
          </w:tcPr>
          <w:p w14:paraId="3355DD68"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001BA3D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5.956.698.000</w:t>
            </w:r>
          </w:p>
        </w:tc>
        <w:tc>
          <w:tcPr>
            <w:tcW w:w="583" w:type="pct"/>
            <w:tcMar>
              <w:top w:w="30" w:type="dxa"/>
              <w:left w:w="45" w:type="dxa"/>
              <w:bottom w:w="30" w:type="dxa"/>
              <w:right w:w="45" w:type="dxa"/>
            </w:tcMar>
            <w:vAlign w:val="center"/>
            <w:hideMark/>
          </w:tcPr>
          <w:p w14:paraId="3F6A414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5.783.201.942</w:t>
            </w:r>
          </w:p>
        </w:tc>
        <w:tc>
          <w:tcPr>
            <w:tcW w:w="583" w:type="pct"/>
            <w:tcMar>
              <w:top w:w="30" w:type="dxa"/>
              <w:left w:w="45" w:type="dxa"/>
              <w:bottom w:w="30" w:type="dxa"/>
              <w:right w:w="45" w:type="dxa"/>
            </w:tcMar>
            <w:vAlign w:val="center"/>
            <w:hideMark/>
          </w:tcPr>
          <w:p w14:paraId="6A56510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9.452.754.485</w:t>
            </w:r>
          </w:p>
        </w:tc>
        <w:tc>
          <w:tcPr>
            <w:tcW w:w="583" w:type="pct"/>
            <w:tcMar>
              <w:top w:w="30" w:type="dxa"/>
              <w:left w:w="45" w:type="dxa"/>
              <w:bottom w:w="30" w:type="dxa"/>
              <w:right w:w="45" w:type="dxa"/>
            </w:tcMar>
            <w:vAlign w:val="center"/>
            <w:hideMark/>
          </w:tcPr>
          <w:p w14:paraId="0C6E54E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9.177.431.539</w:t>
            </w:r>
          </w:p>
        </w:tc>
        <w:tc>
          <w:tcPr>
            <w:tcW w:w="861" w:type="pct"/>
            <w:vMerge/>
            <w:vAlign w:val="center"/>
            <w:hideMark/>
          </w:tcPr>
          <w:p w14:paraId="7FBCDF76" w14:textId="77777777" w:rsidR="00856F66" w:rsidRPr="00E31657" w:rsidRDefault="00856F66" w:rsidP="00F35453">
            <w:pPr>
              <w:rPr>
                <w:rFonts w:cs="Arial"/>
                <w:b/>
                <w:bCs/>
                <w:sz w:val="16"/>
                <w:szCs w:val="16"/>
                <w:lang w:val="es-ES_tradnl" w:eastAsia="es-MX"/>
              </w:rPr>
            </w:pPr>
          </w:p>
        </w:tc>
      </w:tr>
      <w:tr w:rsidR="00856F66" w:rsidRPr="00E31657" w14:paraId="153775C7" w14:textId="77777777" w:rsidTr="00156332">
        <w:trPr>
          <w:trHeight w:val="315"/>
        </w:trPr>
        <w:tc>
          <w:tcPr>
            <w:tcW w:w="1059" w:type="pct"/>
            <w:vMerge w:val="restart"/>
            <w:tcMar>
              <w:top w:w="30" w:type="dxa"/>
              <w:left w:w="45" w:type="dxa"/>
              <w:bottom w:w="30" w:type="dxa"/>
              <w:right w:w="45" w:type="dxa"/>
            </w:tcMar>
            <w:vAlign w:val="center"/>
            <w:hideMark/>
          </w:tcPr>
          <w:p w14:paraId="1EEC7BFF"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el 100% del plan de acción del comité de Fast Track Cities que permita cumplir los compromisos de la declaración de Sevilla suscrita por Bogotá. D.C.</w:t>
            </w:r>
          </w:p>
        </w:tc>
        <w:tc>
          <w:tcPr>
            <w:tcW w:w="311" w:type="pct"/>
            <w:vMerge w:val="restart"/>
            <w:tcMar>
              <w:top w:w="30" w:type="dxa"/>
              <w:left w:w="45" w:type="dxa"/>
              <w:bottom w:w="30" w:type="dxa"/>
              <w:right w:w="45" w:type="dxa"/>
            </w:tcMar>
            <w:vAlign w:val="center"/>
            <w:hideMark/>
          </w:tcPr>
          <w:p w14:paraId="715DAE7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31FAFA5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0463109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677F0A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0FCF286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194ECD6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7F2A4F7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7.969.950.579</w:t>
            </w:r>
          </w:p>
        </w:tc>
      </w:tr>
      <w:tr w:rsidR="00856F66" w:rsidRPr="00E31657" w14:paraId="3A32C418" w14:textId="77777777" w:rsidTr="00156332">
        <w:trPr>
          <w:trHeight w:val="315"/>
        </w:trPr>
        <w:tc>
          <w:tcPr>
            <w:tcW w:w="1059" w:type="pct"/>
            <w:vMerge/>
            <w:vAlign w:val="center"/>
            <w:hideMark/>
          </w:tcPr>
          <w:p w14:paraId="0BAE1C5A"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31825FFE" w14:textId="77777777" w:rsidR="00856F66" w:rsidRPr="00E31657" w:rsidRDefault="00856F66" w:rsidP="00F35453">
            <w:pPr>
              <w:rPr>
                <w:rFonts w:cs="Arial"/>
                <w:sz w:val="16"/>
                <w:szCs w:val="16"/>
                <w:lang w:val="es-ES_tradnl" w:eastAsia="es-MX"/>
              </w:rPr>
            </w:pPr>
          </w:p>
        </w:tc>
        <w:tc>
          <w:tcPr>
            <w:tcW w:w="435" w:type="pct"/>
            <w:vMerge/>
            <w:vAlign w:val="center"/>
            <w:hideMark/>
          </w:tcPr>
          <w:p w14:paraId="71A96F0F"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0C167FD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1.866.470.000</w:t>
            </w:r>
          </w:p>
        </w:tc>
        <w:tc>
          <w:tcPr>
            <w:tcW w:w="583" w:type="pct"/>
            <w:tcMar>
              <w:top w:w="30" w:type="dxa"/>
              <w:left w:w="45" w:type="dxa"/>
              <w:bottom w:w="30" w:type="dxa"/>
              <w:right w:w="45" w:type="dxa"/>
            </w:tcMar>
            <w:vAlign w:val="center"/>
            <w:hideMark/>
          </w:tcPr>
          <w:p w14:paraId="563362C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1.812.106.796</w:t>
            </w:r>
          </w:p>
        </w:tc>
        <w:tc>
          <w:tcPr>
            <w:tcW w:w="583" w:type="pct"/>
            <w:tcMar>
              <w:top w:w="30" w:type="dxa"/>
              <w:left w:w="45" w:type="dxa"/>
              <w:bottom w:w="30" w:type="dxa"/>
              <w:right w:w="45" w:type="dxa"/>
            </w:tcMar>
            <w:vAlign w:val="center"/>
            <w:hideMark/>
          </w:tcPr>
          <w:p w14:paraId="0C622A7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2.177.396.550</w:t>
            </w:r>
          </w:p>
        </w:tc>
        <w:tc>
          <w:tcPr>
            <w:tcW w:w="583" w:type="pct"/>
            <w:tcMar>
              <w:top w:w="30" w:type="dxa"/>
              <w:left w:w="45" w:type="dxa"/>
              <w:bottom w:w="30" w:type="dxa"/>
              <w:right w:w="45" w:type="dxa"/>
            </w:tcMar>
            <w:vAlign w:val="center"/>
            <w:hideMark/>
          </w:tcPr>
          <w:p w14:paraId="2D02ED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2.113.977.233</w:t>
            </w:r>
          </w:p>
        </w:tc>
        <w:tc>
          <w:tcPr>
            <w:tcW w:w="861" w:type="pct"/>
            <w:vMerge/>
            <w:vAlign w:val="center"/>
            <w:hideMark/>
          </w:tcPr>
          <w:p w14:paraId="6470106B" w14:textId="77777777" w:rsidR="00856F66" w:rsidRPr="00E31657" w:rsidRDefault="00856F66" w:rsidP="00F35453">
            <w:pPr>
              <w:rPr>
                <w:rFonts w:cs="Arial"/>
                <w:b/>
                <w:bCs/>
                <w:sz w:val="16"/>
                <w:szCs w:val="16"/>
                <w:lang w:val="es-ES_tradnl" w:eastAsia="es-MX"/>
              </w:rPr>
            </w:pPr>
          </w:p>
        </w:tc>
      </w:tr>
      <w:tr w:rsidR="00856F66" w:rsidRPr="00E31657" w14:paraId="6E7EF5D6" w14:textId="77777777" w:rsidTr="00156332">
        <w:trPr>
          <w:trHeight w:val="690"/>
        </w:trPr>
        <w:tc>
          <w:tcPr>
            <w:tcW w:w="1059" w:type="pct"/>
            <w:vMerge w:val="restart"/>
            <w:tcMar>
              <w:top w:w="30" w:type="dxa"/>
              <w:left w:w="45" w:type="dxa"/>
              <w:bottom w:w="30" w:type="dxa"/>
              <w:right w:w="45" w:type="dxa"/>
            </w:tcMar>
            <w:vAlign w:val="center"/>
            <w:hideMark/>
          </w:tcPr>
          <w:p w14:paraId="4899A3C9"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el 100% el plan de prevención y atención a la conducta suicida en Bogotá D.C.</w:t>
            </w:r>
          </w:p>
        </w:tc>
        <w:tc>
          <w:tcPr>
            <w:tcW w:w="311" w:type="pct"/>
            <w:vMerge w:val="restart"/>
            <w:tcMar>
              <w:top w:w="30" w:type="dxa"/>
              <w:left w:w="45" w:type="dxa"/>
              <w:bottom w:w="30" w:type="dxa"/>
              <w:right w:w="45" w:type="dxa"/>
            </w:tcMar>
            <w:vAlign w:val="center"/>
            <w:hideMark/>
          </w:tcPr>
          <w:p w14:paraId="492D326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65F3983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4D229CE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3E9B1C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77567FD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C73B67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0E2CF9FC"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129.353.712.258</w:t>
            </w:r>
          </w:p>
        </w:tc>
      </w:tr>
      <w:tr w:rsidR="00856F66" w:rsidRPr="00E31657" w14:paraId="218672CF" w14:textId="77777777" w:rsidTr="00156332">
        <w:trPr>
          <w:trHeight w:val="690"/>
        </w:trPr>
        <w:tc>
          <w:tcPr>
            <w:tcW w:w="1059" w:type="pct"/>
            <w:vMerge/>
            <w:vAlign w:val="center"/>
            <w:hideMark/>
          </w:tcPr>
          <w:p w14:paraId="17AA02EA"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703E7B55" w14:textId="77777777" w:rsidR="00856F66" w:rsidRPr="00E31657" w:rsidRDefault="00856F66" w:rsidP="00F35453">
            <w:pPr>
              <w:rPr>
                <w:rFonts w:cs="Arial"/>
                <w:sz w:val="16"/>
                <w:szCs w:val="16"/>
                <w:lang w:val="es-ES_tradnl" w:eastAsia="es-MX"/>
              </w:rPr>
            </w:pPr>
          </w:p>
        </w:tc>
        <w:tc>
          <w:tcPr>
            <w:tcW w:w="435" w:type="pct"/>
            <w:vMerge/>
            <w:vAlign w:val="center"/>
            <w:hideMark/>
          </w:tcPr>
          <w:p w14:paraId="280E7227"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4D3E08D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16.277.628.000</w:t>
            </w:r>
          </w:p>
        </w:tc>
        <w:tc>
          <w:tcPr>
            <w:tcW w:w="583" w:type="pct"/>
            <w:tcMar>
              <w:top w:w="30" w:type="dxa"/>
              <w:left w:w="45" w:type="dxa"/>
              <w:bottom w:w="30" w:type="dxa"/>
              <w:right w:w="45" w:type="dxa"/>
            </w:tcMar>
            <w:vAlign w:val="center"/>
            <w:hideMark/>
          </w:tcPr>
          <w:p w14:paraId="5FE56B8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35.844.686.083</w:t>
            </w:r>
          </w:p>
        </w:tc>
        <w:tc>
          <w:tcPr>
            <w:tcW w:w="583" w:type="pct"/>
            <w:tcMar>
              <w:top w:w="30" w:type="dxa"/>
              <w:left w:w="45" w:type="dxa"/>
              <w:bottom w:w="30" w:type="dxa"/>
              <w:right w:w="45" w:type="dxa"/>
            </w:tcMar>
            <w:vAlign w:val="center"/>
            <w:hideMark/>
          </w:tcPr>
          <w:p w14:paraId="7F5A206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40.498.333.187</w:t>
            </w:r>
          </w:p>
        </w:tc>
        <w:tc>
          <w:tcPr>
            <w:tcW w:w="583" w:type="pct"/>
            <w:tcMar>
              <w:top w:w="30" w:type="dxa"/>
              <w:left w:w="45" w:type="dxa"/>
              <w:bottom w:w="30" w:type="dxa"/>
              <w:right w:w="45" w:type="dxa"/>
            </w:tcMar>
            <w:vAlign w:val="center"/>
            <w:hideMark/>
          </w:tcPr>
          <w:p w14:paraId="3F9B23B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36.733.064.988</w:t>
            </w:r>
          </w:p>
        </w:tc>
        <w:tc>
          <w:tcPr>
            <w:tcW w:w="861" w:type="pct"/>
            <w:vMerge/>
            <w:vAlign w:val="center"/>
            <w:hideMark/>
          </w:tcPr>
          <w:p w14:paraId="3DB69BDE" w14:textId="77777777" w:rsidR="00856F66" w:rsidRPr="00E31657" w:rsidRDefault="00856F66" w:rsidP="00F35453">
            <w:pPr>
              <w:rPr>
                <w:rFonts w:cs="Arial"/>
                <w:b/>
                <w:bCs/>
                <w:sz w:val="16"/>
                <w:szCs w:val="16"/>
                <w:lang w:val="es-ES_tradnl" w:eastAsia="es-MX"/>
              </w:rPr>
            </w:pPr>
          </w:p>
        </w:tc>
      </w:tr>
      <w:tr w:rsidR="00856F66" w:rsidRPr="00E31657" w14:paraId="76D8B876" w14:textId="77777777" w:rsidTr="00156332">
        <w:trPr>
          <w:trHeight w:val="690"/>
        </w:trPr>
        <w:tc>
          <w:tcPr>
            <w:tcW w:w="1059" w:type="pct"/>
            <w:vMerge w:val="restart"/>
            <w:tcMar>
              <w:top w:w="30" w:type="dxa"/>
              <w:left w:w="45" w:type="dxa"/>
              <w:bottom w:w="30" w:type="dxa"/>
              <w:right w:w="45" w:type="dxa"/>
            </w:tcMar>
            <w:vAlign w:val="center"/>
            <w:hideMark/>
          </w:tcPr>
          <w:p w14:paraId="3DEF3CE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Implementar en 100% el Plan de Acción de transformación digital del sector salud que permitan desarrollar la puesta en marcha de un sistema de información interoperable sectorial e intersectorial para la operación </w:t>
            </w:r>
            <w:r w:rsidRPr="00E31657">
              <w:rPr>
                <w:rFonts w:cs="Arial"/>
                <w:sz w:val="16"/>
                <w:szCs w:val="16"/>
                <w:lang w:val="es-ES_tradnl" w:eastAsia="es-MX"/>
              </w:rPr>
              <w:lastRenderedPageBreak/>
              <w:t>monitoreo y divulgación de resultados de la Atención Primaria Social en pro del bienestar de la población de Bogotá D.C.</w:t>
            </w:r>
          </w:p>
        </w:tc>
        <w:tc>
          <w:tcPr>
            <w:tcW w:w="311" w:type="pct"/>
            <w:vMerge w:val="restart"/>
            <w:tcMar>
              <w:top w:w="30" w:type="dxa"/>
              <w:left w:w="45" w:type="dxa"/>
              <w:bottom w:w="30" w:type="dxa"/>
              <w:right w:w="45" w:type="dxa"/>
            </w:tcMar>
            <w:vAlign w:val="center"/>
            <w:hideMark/>
          </w:tcPr>
          <w:p w14:paraId="1E002B4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lastRenderedPageBreak/>
              <w:t>0</w:t>
            </w:r>
          </w:p>
        </w:tc>
        <w:tc>
          <w:tcPr>
            <w:tcW w:w="435" w:type="pct"/>
            <w:vMerge w:val="restart"/>
            <w:tcMar>
              <w:top w:w="30" w:type="dxa"/>
              <w:left w:w="45" w:type="dxa"/>
              <w:bottom w:w="30" w:type="dxa"/>
              <w:right w:w="45" w:type="dxa"/>
            </w:tcMar>
            <w:vAlign w:val="center"/>
            <w:hideMark/>
          </w:tcPr>
          <w:p w14:paraId="0788457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11DCB7F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5B89AC1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B9B946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2A99B1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652FD3A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33.714.054.610</w:t>
            </w:r>
          </w:p>
        </w:tc>
      </w:tr>
      <w:tr w:rsidR="00856F66" w:rsidRPr="00E31657" w14:paraId="2770463B" w14:textId="77777777" w:rsidTr="00156332">
        <w:trPr>
          <w:trHeight w:val="690"/>
        </w:trPr>
        <w:tc>
          <w:tcPr>
            <w:tcW w:w="1059" w:type="pct"/>
            <w:vMerge/>
            <w:vAlign w:val="center"/>
            <w:hideMark/>
          </w:tcPr>
          <w:p w14:paraId="7329898A"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1B8E6AF2" w14:textId="77777777" w:rsidR="00856F66" w:rsidRPr="00E31657" w:rsidRDefault="00856F66" w:rsidP="00F35453">
            <w:pPr>
              <w:rPr>
                <w:rFonts w:cs="Arial"/>
                <w:sz w:val="16"/>
                <w:szCs w:val="16"/>
                <w:lang w:val="es-ES_tradnl" w:eastAsia="es-MX"/>
              </w:rPr>
            </w:pPr>
          </w:p>
        </w:tc>
        <w:tc>
          <w:tcPr>
            <w:tcW w:w="435" w:type="pct"/>
            <w:vMerge/>
            <w:vAlign w:val="center"/>
            <w:hideMark/>
          </w:tcPr>
          <w:p w14:paraId="41A98A79"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2032258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9.045.000.000</w:t>
            </w:r>
          </w:p>
        </w:tc>
        <w:tc>
          <w:tcPr>
            <w:tcW w:w="583" w:type="pct"/>
            <w:tcMar>
              <w:top w:w="30" w:type="dxa"/>
              <w:left w:w="45" w:type="dxa"/>
              <w:bottom w:w="30" w:type="dxa"/>
              <w:right w:w="45" w:type="dxa"/>
            </w:tcMar>
            <w:vAlign w:val="center"/>
            <w:hideMark/>
          </w:tcPr>
          <w:p w14:paraId="3ED5FF7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14.704.854.369</w:t>
            </w:r>
          </w:p>
        </w:tc>
        <w:tc>
          <w:tcPr>
            <w:tcW w:w="583" w:type="pct"/>
            <w:tcMar>
              <w:top w:w="30" w:type="dxa"/>
              <w:left w:w="45" w:type="dxa"/>
              <w:bottom w:w="30" w:type="dxa"/>
              <w:right w:w="45" w:type="dxa"/>
            </w:tcMar>
            <w:vAlign w:val="center"/>
            <w:hideMark/>
          </w:tcPr>
          <w:p w14:paraId="32B628C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7.641.570.710</w:t>
            </w:r>
          </w:p>
        </w:tc>
        <w:tc>
          <w:tcPr>
            <w:tcW w:w="583" w:type="pct"/>
            <w:tcMar>
              <w:top w:w="30" w:type="dxa"/>
              <w:left w:w="45" w:type="dxa"/>
              <w:bottom w:w="30" w:type="dxa"/>
              <w:right w:w="45" w:type="dxa"/>
            </w:tcMar>
            <w:vAlign w:val="center"/>
            <w:hideMark/>
          </w:tcPr>
          <w:p w14:paraId="1147757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2.322.629.531</w:t>
            </w:r>
          </w:p>
        </w:tc>
        <w:tc>
          <w:tcPr>
            <w:tcW w:w="861" w:type="pct"/>
            <w:vMerge/>
            <w:vAlign w:val="center"/>
            <w:hideMark/>
          </w:tcPr>
          <w:p w14:paraId="7D725D3F" w14:textId="77777777" w:rsidR="00856F66" w:rsidRPr="00E31657" w:rsidRDefault="00856F66" w:rsidP="00F35453">
            <w:pPr>
              <w:rPr>
                <w:rFonts w:cs="Arial"/>
                <w:b/>
                <w:bCs/>
                <w:sz w:val="16"/>
                <w:szCs w:val="16"/>
                <w:lang w:val="es-ES_tradnl" w:eastAsia="es-MX"/>
              </w:rPr>
            </w:pPr>
          </w:p>
        </w:tc>
      </w:tr>
      <w:tr w:rsidR="00856F66" w:rsidRPr="00E31657" w14:paraId="0B19A4E0" w14:textId="77777777" w:rsidTr="00156332">
        <w:trPr>
          <w:trHeight w:val="690"/>
        </w:trPr>
        <w:tc>
          <w:tcPr>
            <w:tcW w:w="1059" w:type="pct"/>
            <w:vMerge w:val="restart"/>
            <w:tcMar>
              <w:top w:w="30" w:type="dxa"/>
              <w:left w:w="45" w:type="dxa"/>
              <w:bottom w:w="30" w:type="dxa"/>
              <w:right w:w="45" w:type="dxa"/>
            </w:tcMar>
            <w:vAlign w:val="center"/>
            <w:hideMark/>
          </w:tcPr>
          <w:p w14:paraId="19430127"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una red intersectorial y comunitaria de salud ambiental por localidad.</w:t>
            </w:r>
          </w:p>
        </w:tc>
        <w:tc>
          <w:tcPr>
            <w:tcW w:w="311" w:type="pct"/>
            <w:vMerge w:val="restart"/>
            <w:tcMar>
              <w:top w:w="30" w:type="dxa"/>
              <w:left w:w="45" w:type="dxa"/>
              <w:bottom w:w="30" w:type="dxa"/>
              <w:right w:w="45" w:type="dxa"/>
            </w:tcMar>
            <w:vAlign w:val="center"/>
            <w:hideMark/>
          </w:tcPr>
          <w:p w14:paraId="3A90061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424680C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25C7967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83" w:type="pct"/>
            <w:tcMar>
              <w:top w:w="30" w:type="dxa"/>
              <w:left w:w="45" w:type="dxa"/>
              <w:bottom w:w="30" w:type="dxa"/>
              <w:right w:w="45" w:type="dxa"/>
            </w:tcMar>
            <w:vAlign w:val="center"/>
            <w:hideMark/>
          </w:tcPr>
          <w:p w14:paraId="74E3CE8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6276406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6D9237F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861" w:type="pct"/>
            <w:vMerge w:val="restart"/>
            <w:tcMar>
              <w:top w:w="30" w:type="dxa"/>
              <w:left w:w="45" w:type="dxa"/>
              <w:bottom w:w="30" w:type="dxa"/>
              <w:right w:w="45" w:type="dxa"/>
            </w:tcMar>
            <w:vAlign w:val="center"/>
            <w:hideMark/>
          </w:tcPr>
          <w:p w14:paraId="1D7ACD10"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268.619.552.141</w:t>
            </w:r>
          </w:p>
        </w:tc>
      </w:tr>
      <w:tr w:rsidR="00856F66" w:rsidRPr="00E31657" w14:paraId="7B2788DD" w14:textId="77777777" w:rsidTr="00156332">
        <w:trPr>
          <w:trHeight w:val="690"/>
        </w:trPr>
        <w:tc>
          <w:tcPr>
            <w:tcW w:w="1059" w:type="pct"/>
            <w:vMerge/>
            <w:vAlign w:val="center"/>
            <w:hideMark/>
          </w:tcPr>
          <w:p w14:paraId="71D6D27B"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59559FDC" w14:textId="77777777" w:rsidR="00856F66" w:rsidRPr="00E31657" w:rsidRDefault="00856F66" w:rsidP="00F35453">
            <w:pPr>
              <w:rPr>
                <w:rFonts w:cs="Arial"/>
                <w:sz w:val="16"/>
                <w:szCs w:val="16"/>
                <w:lang w:val="es-ES_tradnl" w:eastAsia="es-MX"/>
              </w:rPr>
            </w:pPr>
          </w:p>
        </w:tc>
        <w:tc>
          <w:tcPr>
            <w:tcW w:w="435" w:type="pct"/>
            <w:vMerge/>
            <w:vAlign w:val="center"/>
            <w:hideMark/>
          </w:tcPr>
          <w:p w14:paraId="44E29968"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4424067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43.965.900.263</w:t>
            </w:r>
          </w:p>
        </w:tc>
        <w:tc>
          <w:tcPr>
            <w:tcW w:w="583" w:type="pct"/>
            <w:tcMar>
              <w:top w:w="30" w:type="dxa"/>
              <w:left w:w="45" w:type="dxa"/>
              <w:bottom w:w="30" w:type="dxa"/>
              <w:right w:w="45" w:type="dxa"/>
            </w:tcMar>
            <w:vAlign w:val="center"/>
            <w:hideMark/>
          </w:tcPr>
          <w:p w14:paraId="3519F6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73.166.702.457</w:t>
            </w:r>
          </w:p>
        </w:tc>
        <w:tc>
          <w:tcPr>
            <w:tcW w:w="583" w:type="pct"/>
            <w:tcMar>
              <w:top w:w="30" w:type="dxa"/>
              <w:left w:w="45" w:type="dxa"/>
              <w:bottom w:w="30" w:type="dxa"/>
              <w:right w:w="45" w:type="dxa"/>
            </w:tcMar>
            <w:vAlign w:val="center"/>
            <w:hideMark/>
          </w:tcPr>
          <w:p w14:paraId="4006E7F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80.928.138.966</w:t>
            </w:r>
          </w:p>
        </w:tc>
        <w:tc>
          <w:tcPr>
            <w:tcW w:w="583" w:type="pct"/>
            <w:tcMar>
              <w:top w:w="30" w:type="dxa"/>
              <w:left w:w="45" w:type="dxa"/>
              <w:bottom w:w="30" w:type="dxa"/>
              <w:right w:w="45" w:type="dxa"/>
            </w:tcMar>
            <w:vAlign w:val="center"/>
            <w:hideMark/>
          </w:tcPr>
          <w:p w14:paraId="63FE5FC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70.558.810.455</w:t>
            </w:r>
          </w:p>
        </w:tc>
        <w:tc>
          <w:tcPr>
            <w:tcW w:w="861" w:type="pct"/>
            <w:vMerge/>
            <w:vAlign w:val="center"/>
            <w:hideMark/>
          </w:tcPr>
          <w:p w14:paraId="30AD15BC" w14:textId="77777777" w:rsidR="00856F66" w:rsidRPr="00E31657" w:rsidRDefault="00856F66" w:rsidP="00F35453">
            <w:pPr>
              <w:rPr>
                <w:rFonts w:cs="Arial"/>
                <w:b/>
                <w:bCs/>
                <w:sz w:val="16"/>
                <w:szCs w:val="16"/>
                <w:lang w:val="es-ES_tradnl" w:eastAsia="es-MX"/>
              </w:rPr>
            </w:pPr>
          </w:p>
        </w:tc>
      </w:tr>
      <w:tr w:rsidR="00856F66" w:rsidRPr="00E31657" w14:paraId="2EBF225D" w14:textId="77777777" w:rsidTr="00156332">
        <w:trPr>
          <w:trHeight w:val="690"/>
        </w:trPr>
        <w:tc>
          <w:tcPr>
            <w:tcW w:w="1059" w:type="pct"/>
            <w:vMerge w:val="restart"/>
            <w:tcMar>
              <w:top w:w="30" w:type="dxa"/>
              <w:left w:w="45" w:type="dxa"/>
              <w:bottom w:w="30" w:type="dxa"/>
              <w:right w:w="45" w:type="dxa"/>
            </w:tcMar>
            <w:vAlign w:val="center"/>
            <w:hideMark/>
          </w:tcPr>
          <w:p w14:paraId="36BA6FA3"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y evaluar 4 líneas de acción de gobernanza y gobernabilidad para el fortalecimiento de la intersectorialidad la gestión de las políticas planes y/o programas y la participación social que afecten positivamente los determinantes en salud en clave de Atención Primaria Social.</w:t>
            </w:r>
          </w:p>
        </w:tc>
        <w:tc>
          <w:tcPr>
            <w:tcW w:w="311" w:type="pct"/>
            <w:vMerge w:val="restart"/>
            <w:tcMar>
              <w:top w:w="30" w:type="dxa"/>
              <w:left w:w="45" w:type="dxa"/>
              <w:bottom w:w="30" w:type="dxa"/>
              <w:right w:w="45" w:type="dxa"/>
            </w:tcMar>
            <w:vAlign w:val="center"/>
            <w:hideMark/>
          </w:tcPr>
          <w:p w14:paraId="295982AE"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69F7051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448BC9F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w:t>
            </w:r>
          </w:p>
        </w:tc>
        <w:tc>
          <w:tcPr>
            <w:tcW w:w="583" w:type="pct"/>
            <w:tcMar>
              <w:top w:w="30" w:type="dxa"/>
              <w:left w:w="45" w:type="dxa"/>
              <w:bottom w:w="30" w:type="dxa"/>
              <w:right w:w="45" w:type="dxa"/>
            </w:tcMar>
            <w:vAlign w:val="center"/>
            <w:hideMark/>
          </w:tcPr>
          <w:p w14:paraId="41D06E9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583" w:type="pct"/>
            <w:tcMar>
              <w:top w:w="30" w:type="dxa"/>
              <w:left w:w="45" w:type="dxa"/>
              <w:bottom w:w="30" w:type="dxa"/>
              <w:right w:w="45" w:type="dxa"/>
            </w:tcMar>
            <w:vAlign w:val="center"/>
            <w:hideMark/>
          </w:tcPr>
          <w:p w14:paraId="74303AF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w:t>
            </w:r>
          </w:p>
        </w:tc>
        <w:tc>
          <w:tcPr>
            <w:tcW w:w="583" w:type="pct"/>
            <w:tcMar>
              <w:top w:w="30" w:type="dxa"/>
              <w:left w:w="45" w:type="dxa"/>
              <w:bottom w:w="30" w:type="dxa"/>
              <w:right w:w="45" w:type="dxa"/>
            </w:tcMar>
            <w:vAlign w:val="center"/>
            <w:hideMark/>
          </w:tcPr>
          <w:p w14:paraId="7954512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w:t>
            </w:r>
          </w:p>
        </w:tc>
        <w:tc>
          <w:tcPr>
            <w:tcW w:w="861" w:type="pct"/>
            <w:vMerge w:val="restart"/>
            <w:tcMar>
              <w:top w:w="30" w:type="dxa"/>
              <w:left w:w="45" w:type="dxa"/>
              <w:bottom w:w="30" w:type="dxa"/>
              <w:right w:w="45" w:type="dxa"/>
            </w:tcMar>
            <w:vAlign w:val="center"/>
            <w:hideMark/>
          </w:tcPr>
          <w:p w14:paraId="32BA4393"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261.979.092.383</w:t>
            </w:r>
          </w:p>
        </w:tc>
      </w:tr>
      <w:tr w:rsidR="00856F66" w:rsidRPr="00E31657" w14:paraId="066B204A" w14:textId="77777777" w:rsidTr="00156332">
        <w:trPr>
          <w:trHeight w:val="690"/>
        </w:trPr>
        <w:tc>
          <w:tcPr>
            <w:tcW w:w="1059" w:type="pct"/>
            <w:vMerge/>
            <w:vAlign w:val="center"/>
            <w:hideMark/>
          </w:tcPr>
          <w:p w14:paraId="759619F5"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1A6EB37C" w14:textId="77777777" w:rsidR="00856F66" w:rsidRPr="00E31657" w:rsidRDefault="00856F66" w:rsidP="00F35453">
            <w:pPr>
              <w:rPr>
                <w:rFonts w:cs="Arial"/>
                <w:sz w:val="16"/>
                <w:szCs w:val="16"/>
                <w:lang w:val="es-ES_tradnl" w:eastAsia="es-MX"/>
              </w:rPr>
            </w:pPr>
          </w:p>
        </w:tc>
        <w:tc>
          <w:tcPr>
            <w:tcW w:w="435" w:type="pct"/>
            <w:vMerge/>
            <w:vAlign w:val="center"/>
            <w:hideMark/>
          </w:tcPr>
          <w:p w14:paraId="23E849AE"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215F637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65.874.690.861</w:t>
            </w:r>
          </w:p>
        </w:tc>
        <w:tc>
          <w:tcPr>
            <w:tcW w:w="583" w:type="pct"/>
            <w:tcMar>
              <w:top w:w="30" w:type="dxa"/>
              <w:left w:w="45" w:type="dxa"/>
              <w:bottom w:w="30" w:type="dxa"/>
              <w:right w:w="45" w:type="dxa"/>
            </w:tcMar>
            <w:vAlign w:val="center"/>
            <w:hideMark/>
          </w:tcPr>
          <w:p w14:paraId="6376A79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56.763.388.334</w:t>
            </w:r>
          </w:p>
        </w:tc>
        <w:tc>
          <w:tcPr>
            <w:tcW w:w="583" w:type="pct"/>
            <w:tcMar>
              <w:top w:w="30" w:type="dxa"/>
              <w:left w:w="45" w:type="dxa"/>
              <w:bottom w:w="30" w:type="dxa"/>
              <w:right w:w="45" w:type="dxa"/>
            </w:tcMar>
            <w:vAlign w:val="center"/>
            <w:hideMark/>
          </w:tcPr>
          <w:p w14:paraId="5A09096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70.990.966.323</w:t>
            </w:r>
          </w:p>
        </w:tc>
        <w:tc>
          <w:tcPr>
            <w:tcW w:w="583" w:type="pct"/>
            <w:tcMar>
              <w:top w:w="30" w:type="dxa"/>
              <w:left w:w="45" w:type="dxa"/>
              <w:bottom w:w="30" w:type="dxa"/>
              <w:right w:w="45" w:type="dxa"/>
            </w:tcMar>
            <w:vAlign w:val="center"/>
            <w:hideMark/>
          </w:tcPr>
          <w:p w14:paraId="27BA865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68.350.046.865</w:t>
            </w:r>
          </w:p>
        </w:tc>
        <w:tc>
          <w:tcPr>
            <w:tcW w:w="861" w:type="pct"/>
            <w:vMerge/>
            <w:vAlign w:val="center"/>
            <w:hideMark/>
          </w:tcPr>
          <w:p w14:paraId="39BF995C" w14:textId="77777777" w:rsidR="00856F66" w:rsidRPr="00E31657" w:rsidRDefault="00856F66" w:rsidP="00F35453">
            <w:pPr>
              <w:rPr>
                <w:rFonts w:cs="Arial"/>
                <w:b/>
                <w:bCs/>
                <w:sz w:val="16"/>
                <w:szCs w:val="16"/>
                <w:lang w:val="es-ES_tradnl" w:eastAsia="es-MX"/>
              </w:rPr>
            </w:pPr>
          </w:p>
        </w:tc>
      </w:tr>
      <w:tr w:rsidR="00856F66" w:rsidRPr="00E31657" w14:paraId="2F41FD43" w14:textId="77777777" w:rsidTr="00156332">
        <w:trPr>
          <w:trHeight w:val="990"/>
        </w:trPr>
        <w:tc>
          <w:tcPr>
            <w:tcW w:w="1059" w:type="pct"/>
            <w:vMerge w:val="restart"/>
            <w:tcMar>
              <w:top w:w="30" w:type="dxa"/>
              <w:left w:w="45" w:type="dxa"/>
              <w:bottom w:w="30" w:type="dxa"/>
              <w:right w:w="45" w:type="dxa"/>
            </w:tcMar>
            <w:vAlign w:val="center"/>
            <w:hideMark/>
          </w:tcPr>
          <w:p w14:paraId="56C25D65"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Mantener el 100% de la acreditación del Laboratorio de Salud Pública como referente técnico a nivel distrital y nacional junto con la operación del laboratorio de alta contención biológica BSL3</w:t>
            </w:r>
          </w:p>
        </w:tc>
        <w:tc>
          <w:tcPr>
            <w:tcW w:w="311" w:type="pct"/>
            <w:vMerge w:val="restart"/>
            <w:tcMar>
              <w:top w:w="30" w:type="dxa"/>
              <w:left w:w="45" w:type="dxa"/>
              <w:bottom w:w="30" w:type="dxa"/>
              <w:right w:w="45" w:type="dxa"/>
            </w:tcMar>
            <w:vAlign w:val="center"/>
            <w:hideMark/>
          </w:tcPr>
          <w:p w14:paraId="7985D37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 (47 metodologías acreditadas)</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1E0E6C0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Sistema de información Laboratorio de Salud Pública</w:t>
            </w:r>
            <w:r w:rsidRPr="00E31657">
              <w:rPr>
                <w:rFonts w:cs="Arial"/>
                <w:sz w:val="16"/>
                <w:szCs w:val="16"/>
                <w:lang w:val="es-ES_tradnl" w:eastAsia="es-MX"/>
              </w:rPr>
              <w:br/>
              <w:t>Sistema de gestión de calidad del Laboratorio de salud pública</w:t>
            </w:r>
          </w:p>
        </w:tc>
        <w:tc>
          <w:tcPr>
            <w:tcW w:w="583" w:type="pct"/>
            <w:tcMar>
              <w:top w:w="30" w:type="dxa"/>
              <w:left w:w="45" w:type="dxa"/>
              <w:bottom w:w="30" w:type="dxa"/>
              <w:right w:w="45" w:type="dxa"/>
            </w:tcMar>
            <w:vAlign w:val="center"/>
            <w:hideMark/>
          </w:tcPr>
          <w:p w14:paraId="2A52FC5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CA69C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2EE0C55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0000508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271D6F42"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53.656.977.188</w:t>
            </w:r>
          </w:p>
        </w:tc>
      </w:tr>
      <w:tr w:rsidR="00856F66" w:rsidRPr="00E31657" w14:paraId="3C065DE0" w14:textId="77777777" w:rsidTr="00156332">
        <w:trPr>
          <w:trHeight w:val="990"/>
        </w:trPr>
        <w:tc>
          <w:tcPr>
            <w:tcW w:w="1059" w:type="pct"/>
            <w:vMerge/>
            <w:vAlign w:val="center"/>
            <w:hideMark/>
          </w:tcPr>
          <w:p w14:paraId="119DC324"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6C5400B6" w14:textId="77777777" w:rsidR="00856F66" w:rsidRPr="00E31657" w:rsidRDefault="00856F66" w:rsidP="00F35453">
            <w:pPr>
              <w:rPr>
                <w:rFonts w:cs="Arial"/>
                <w:sz w:val="16"/>
                <w:szCs w:val="16"/>
                <w:lang w:val="es-ES_tradnl" w:eastAsia="es-MX"/>
              </w:rPr>
            </w:pPr>
          </w:p>
        </w:tc>
        <w:tc>
          <w:tcPr>
            <w:tcW w:w="435" w:type="pct"/>
            <w:vMerge/>
            <w:vAlign w:val="center"/>
            <w:hideMark/>
          </w:tcPr>
          <w:p w14:paraId="6DAC2EA4"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0186326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17.453.215.000</w:t>
            </w:r>
          </w:p>
        </w:tc>
        <w:tc>
          <w:tcPr>
            <w:tcW w:w="583" w:type="pct"/>
            <w:tcMar>
              <w:top w:w="30" w:type="dxa"/>
              <w:left w:w="45" w:type="dxa"/>
              <w:bottom w:w="30" w:type="dxa"/>
              <w:right w:w="45" w:type="dxa"/>
            </w:tcMar>
            <w:vAlign w:val="center"/>
            <w:hideMark/>
          </w:tcPr>
          <w:p w14:paraId="144877C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12.426.339.029</w:t>
            </w:r>
          </w:p>
        </w:tc>
        <w:tc>
          <w:tcPr>
            <w:tcW w:w="583" w:type="pct"/>
            <w:tcMar>
              <w:top w:w="30" w:type="dxa"/>
              <w:left w:w="45" w:type="dxa"/>
              <w:bottom w:w="30" w:type="dxa"/>
              <w:right w:w="45" w:type="dxa"/>
            </w:tcMar>
            <w:vAlign w:val="center"/>
            <w:hideMark/>
          </w:tcPr>
          <w:p w14:paraId="3B26F4E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12.064.406.824</w:t>
            </w:r>
          </w:p>
        </w:tc>
        <w:tc>
          <w:tcPr>
            <w:tcW w:w="583" w:type="pct"/>
            <w:tcMar>
              <w:top w:w="30" w:type="dxa"/>
              <w:left w:w="45" w:type="dxa"/>
              <w:bottom w:w="30" w:type="dxa"/>
              <w:right w:w="45" w:type="dxa"/>
            </w:tcMar>
            <w:vAlign w:val="center"/>
            <w:hideMark/>
          </w:tcPr>
          <w:p w14:paraId="608DA2A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11.713.016.334</w:t>
            </w:r>
          </w:p>
        </w:tc>
        <w:tc>
          <w:tcPr>
            <w:tcW w:w="861" w:type="pct"/>
            <w:vMerge/>
            <w:vAlign w:val="center"/>
            <w:hideMark/>
          </w:tcPr>
          <w:p w14:paraId="34A5143E" w14:textId="77777777" w:rsidR="00856F66" w:rsidRPr="00E31657" w:rsidRDefault="00856F66" w:rsidP="00F35453">
            <w:pPr>
              <w:rPr>
                <w:rFonts w:cs="Arial"/>
                <w:b/>
                <w:bCs/>
                <w:sz w:val="16"/>
                <w:szCs w:val="16"/>
                <w:lang w:val="es-ES_tradnl" w:eastAsia="es-MX"/>
              </w:rPr>
            </w:pPr>
          </w:p>
        </w:tc>
      </w:tr>
      <w:tr w:rsidR="00856F66" w:rsidRPr="00E31657" w14:paraId="25C1AF88" w14:textId="77777777" w:rsidTr="00156332">
        <w:trPr>
          <w:trHeight w:val="990"/>
        </w:trPr>
        <w:tc>
          <w:tcPr>
            <w:tcW w:w="1059" w:type="pct"/>
            <w:vMerge w:val="restart"/>
            <w:tcMar>
              <w:top w:w="30" w:type="dxa"/>
              <w:left w:w="45" w:type="dxa"/>
              <w:bottom w:w="30" w:type="dxa"/>
              <w:right w:w="45" w:type="dxa"/>
            </w:tcMar>
            <w:vAlign w:val="center"/>
            <w:hideMark/>
          </w:tcPr>
          <w:p w14:paraId="5B4C1B90"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Mantener el 100% de la operación de la red de vigilancia y la gestión del riesgo en salud pública en Bogotá D.C.</w:t>
            </w:r>
          </w:p>
        </w:tc>
        <w:tc>
          <w:tcPr>
            <w:tcW w:w="311" w:type="pct"/>
            <w:vMerge w:val="restart"/>
            <w:tcMar>
              <w:top w:w="30" w:type="dxa"/>
              <w:left w:w="45" w:type="dxa"/>
              <w:bottom w:w="30" w:type="dxa"/>
              <w:right w:w="45" w:type="dxa"/>
            </w:tcMar>
            <w:vAlign w:val="center"/>
            <w:hideMark/>
          </w:tcPr>
          <w:p w14:paraId="11CA3E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 en mantenimiento sin dato en integración de los subsistemas.</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16C111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Subsistemas de vigilancia en Salud publica Distrital (componente epidemiológico) de la subdirección de Vigilancia en salud pública</w:t>
            </w:r>
          </w:p>
        </w:tc>
        <w:tc>
          <w:tcPr>
            <w:tcW w:w="583" w:type="pct"/>
            <w:tcMar>
              <w:top w:w="30" w:type="dxa"/>
              <w:left w:w="45" w:type="dxa"/>
              <w:bottom w:w="30" w:type="dxa"/>
              <w:right w:w="45" w:type="dxa"/>
            </w:tcMar>
            <w:vAlign w:val="center"/>
            <w:hideMark/>
          </w:tcPr>
          <w:p w14:paraId="07B725F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1838483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236B3B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583" w:type="pct"/>
            <w:tcMar>
              <w:top w:w="30" w:type="dxa"/>
              <w:left w:w="45" w:type="dxa"/>
              <w:bottom w:w="30" w:type="dxa"/>
              <w:right w:w="45" w:type="dxa"/>
            </w:tcMar>
            <w:vAlign w:val="center"/>
            <w:hideMark/>
          </w:tcPr>
          <w:p w14:paraId="4798DECD"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100%</w:t>
            </w:r>
          </w:p>
        </w:tc>
        <w:tc>
          <w:tcPr>
            <w:tcW w:w="861" w:type="pct"/>
            <w:vMerge w:val="restart"/>
            <w:tcMar>
              <w:top w:w="30" w:type="dxa"/>
              <w:left w:w="45" w:type="dxa"/>
              <w:bottom w:w="30" w:type="dxa"/>
              <w:right w:w="45" w:type="dxa"/>
            </w:tcMar>
            <w:vAlign w:val="center"/>
            <w:hideMark/>
          </w:tcPr>
          <w:p w14:paraId="4EA83337"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155.808.937.308</w:t>
            </w:r>
          </w:p>
        </w:tc>
      </w:tr>
      <w:tr w:rsidR="00856F66" w:rsidRPr="00E31657" w14:paraId="10345DF9" w14:textId="77777777" w:rsidTr="00156332">
        <w:trPr>
          <w:trHeight w:val="990"/>
        </w:trPr>
        <w:tc>
          <w:tcPr>
            <w:tcW w:w="1059" w:type="pct"/>
            <w:vMerge/>
            <w:vAlign w:val="center"/>
            <w:hideMark/>
          </w:tcPr>
          <w:p w14:paraId="1277B320"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151F8761" w14:textId="77777777" w:rsidR="00856F66" w:rsidRPr="00E31657" w:rsidRDefault="00856F66" w:rsidP="00F35453">
            <w:pPr>
              <w:rPr>
                <w:rFonts w:cs="Arial"/>
                <w:sz w:val="16"/>
                <w:szCs w:val="16"/>
                <w:lang w:val="es-ES_tradnl" w:eastAsia="es-MX"/>
              </w:rPr>
            </w:pPr>
          </w:p>
        </w:tc>
        <w:tc>
          <w:tcPr>
            <w:tcW w:w="435" w:type="pct"/>
            <w:vMerge/>
            <w:vAlign w:val="center"/>
            <w:hideMark/>
          </w:tcPr>
          <w:p w14:paraId="759942EA"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13A9116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23.745.623.000</w:t>
            </w:r>
          </w:p>
        </w:tc>
        <w:tc>
          <w:tcPr>
            <w:tcW w:w="583" w:type="pct"/>
            <w:tcMar>
              <w:top w:w="30" w:type="dxa"/>
              <w:left w:w="45" w:type="dxa"/>
              <w:bottom w:w="30" w:type="dxa"/>
              <w:right w:w="45" w:type="dxa"/>
            </w:tcMar>
            <w:vAlign w:val="center"/>
            <w:hideMark/>
          </w:tcPr>
          <w:p w14:paraId="580E7DB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46.454.400.216</w:t>
            </w:r>
          </w:p>
        </w:tc>
        <w:tc>
          <w:tcPr>
            <w:tcW w:w="583" w:type="pct"/>
            <w:tcMar>
              <w:top w:w="30" w:type="dxa"/>
              <w:left w:w="45" w:type="dxa"/>
              <w:bottom w:w="30" w:type="dxa"/>
              <w:right w:w="45" w:type="dxa"/>
            </w:tcMar>
            <w:vAlign w:val="center"/>
            <w:hideMark/>
          </w:tcPr>
          <w:p w14:paraId="3EF94CF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47.502.337.791</w:t>
            </w:r>
          </w:p>
        </w:tc>
        <w:tc>
          <w:tcPr>
            <w:tcW w:w="583" w:type="pct"/>
            <w:tcMar>
              <w:top w:w="30" w:type="dxa"/>
              <w:left w:w="45" w:type="dxa"/>
              <w:bottom w:w="30" w:type="dxa"/>
              <w:right w:w="45" w:type="dxa"/>
            </w:tcMar>
            <w:vAlign w:val="center"/>
            <w:hideMark/>
          </w:tcPr>
          <w:p w14:paraId="7D09784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38.106.576.302</w:t>
            </w:r>
          </w:p>
        </w:tc>
        <w:tc>
          <w:tcPr>
            <w:tcW w:w="861" w:type="pct"/>
            <w:vMerge/>
            <w:vAlign w:val="center"/>
            <w:hideMark/>
          </w:tcPr>
          <w:p w14:paraId="6F57A3D0" w14:textId="77777777" w:rsidR="00856F66" w:rsidRPr="00E31657" w:rsidRDefault="00856F66" w:rsidP="00F35453">
            <w:pPr>
              <w:rPr>
                <w:rFonts w:cs="Arial"/>
                <w:b/>
                <w:bCs/>
                <w:sz w:val="16"/>
                <w:szCs w:val="16"/>
                <w:lang w:val="es-ES_tradnl" w:eastAsia="es-MX"/>
              </w:rPr>
            </w:pPr>
          </w:p>
        </w:tc>
      </w:tr>
      <w:tr w:rsidR="00856F66" w:rsidRPr="00E31657" w14:paraId="492CB5C0" w14:textId="77777777" w:rsidTr="00156332">
        <w:trPr>
          <w:trHeight w:val="690"/>
        </w:trPr>
        <w:tc>
          <w:tcPr>
            <w:tcW w:w="1059" w:type="pct"/>
            <w:vMerge w:val="restart"/>
            <w:tcMar>
              <w:top w:w="30" w:type="dxa"/>
              <w:left w:w="45" w:type="dxa"/>
              <w:bottom w:w="30" w:type="dxa"/>
              <w:right w:w="45" w:type="dxa"/>
            </w:tcMar>
            <w:vAlign w:val="center"/>
            <w:hideMark/>
          </w:tcPr>
          <w:p w14:paraId="4405D33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lastRenderedPageBreak/>
              <w:t>Reducir a menos de 130 x 100 mil habitantes la tasa de incidencia de morbilidad por eventos inmunoprevenibles.</w:t>
            </w:r>
          </w:p>
        </w:tc>
        <w:tc>
          <w:tcPr>
            <w:tcW w:w="311" w:type="pct"/>
            <w:vMerge w:val="restart"/>
            <w:tcMar>
              <w:top w:w="30" w:type="dxa"/>
              <w:left w:w="45" w:type="dxa"/>
              <w:bottom w:w="30" w:type="dxa"/>
              <w:right w:w="45" w:type="dxa"/>
            </w:tcMar>
            <w:vAlign w:val="center"/>
            <w:hideMark/>
          </w:tcPr>
          <w:p w14:paraId="2E8533A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 x 100.000 habitantes</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471AA65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Sivigila Año 2019 Datos finales</w:t>
            </w:r>
          </w:p>
        </w:tc>
        <w:tc>
          <w:tcPr>
            <w:tcW w:w="583" w:type="pct"/>
            <w:tcMar>
              <w:top w:w="30" w:type="dxa"/>
              <w:left w:w="45" w:type="dxa"/>
              <w:bottom w:w="30" w:type="dxa"/>
              <w:right w:w="45" w:type="dxa"/>
            </w:tcMar>
            <w:vAlign w:val="center"/>
            <w:hideMark/>
          </w:tcPr>
          <w:p w14:paraId="646C454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tasa de incidencia de morbilidad por eventos inmunoprevenibles. menor a 130 x 100 mil habitantes.</w:t>
            </w:r>
          </w:p>
        </w:tc>
        <w:tc>
          <w:tcPr>
            <w:tcW w:w="583" w:type="pct"/>
            <w:tcMar>
              <w:top w:w="30" w:type="dxa"/>
              <w:left w:w="45" w:type="dxa"/>
              <w:bottom w:w="30" w:type="dxa"/>
              <w:right w:w="45" w:type="dxa"/>
            </w:tcMar>
            <w:vAlign w:val="center"/>
            <w:hideMark/>
          </w:tcPr>
          <w:p w14:paraId="28AB71D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tasa de incidencia de morbilidad por eventos inmunoprevenibles. menor a 130 x 100 mil habitantes.</w:t>
            </w:r>
          </w:p>
        </w:tc>
        <w:tc>
          <w:tcPr>
            <w:tcW w:w="583" w:type="pct"/>
            <w:tcMar>
              <w:top w:w="30" w:type="dxa"/>
              <w:left w:w="45" w:type="dxa"/>
              <w:bottom w:w="30" w:type="dxa"/>
              <w:right w:w="45" w:type="dxa"/>
            </w:tcMar>
            <w:vAlign w:val="center"/>
            <w:hideMark/>
          </w:tcPr>
          <w:p w14:paraId="543A266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tasa de incidencia de morbilidad por eventos inmunoprevenibles. menor a 130 x 100 mil habitantes.</w:t>
            </w:r>
          </w:p>
        </w:tc>
        <w:tc>
          <w:tcPr>
            <w:tcW w:w="583" w:type="pct"/>
            <w:tcMar>
              <w:top w:w="30" w:type="dxa"/>
              <w:left w:w="45" w:type="dxa"/>
              <w:bottom w:w="30" w:type="dxa"/>
              <w:right w:w="45" w:type="dxa"/>
            </w:tcMar>
            <w:vAlign w:val="center"/>
            <w:hideMark/>
          </w:tcPr>
          <w:p w14:paraId="55E0488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tasa de incidencia de morbilidad por eventos inmunoprevenibles. menor a 130 x 100 mil habitantes.</w:t>
            </w:r>
          </w:p>
        </w:tc>
        <w:tc>
          <w:tcPr>
            <w:tcW w:w="861" w:type="pct"/>
            <w:vMerge w:val="restart"/>
            <w:tcMar>
              <w:top w:w="30" w:type="dxa"/>
              <w:left w:w="45" w:type="dxa"/>
              <w:bottom w:w="30" w:type="dxa"/>
              <w:right w:w="45" w:type="dxa"/>
            </w:tcMar>
            <w:vAlign w:val="center"/>
            <w:hideMark/>
          </w:tcPr>
          <w:p w14:paraId="184C7B8E"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77.310.251.183</w:t>
            </w:r>
          </w:p>
        </w:tc>
      </w:tr>
      <w:tr w:rsidR="00856F66" w:rsidRPr="00E31657" w14:paraId="328778BA" w14:textId="77777777" w:rsidTr="00156332">
        <w:trPr>
          <w:trHeight w:val="690"/>
        </w:trPr>
        <w:tc>
          <w:tcPr>
            <w:tcW w:w="1059" w:type="pct"/>
            <w:vMerge/>
            <w:vAlign w:val="center"/>
            <w:hideMark/>
          </w:tcPr>
          <w:p w14:paraId="5345654F"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284C6A62" w14:textId="77777777" w:rsidR="00856F66" w:rsidRPr="00E31657" w:rsidRDefault="00856F66" w:rsidP="00F35453">
            <w:pPr>
              <w:rPr>
                <w:rFonts w:cs="Arial"/>
                <w:sz w:val="16"/>
                <w:szCs w:val="16"/>
                <w:lang w:val="es-ES_tradnl" w:eastAsia="es-MX"/>
              </w:rPr>
            </w:pPr>
          </w:p>
        </w:tc>
        <w:tc>
          <w:tcPr>
            <w:tcW w:w="435" w:type="pct"/>
            <w:vMerge/>
            <w:vAlign w:val="center"/>
            <w:hideMark/>
          </w:tcPr>
          <w:p w14:paraId="1699ED8C"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2A3AD35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16.015.242.000</w:t>
            </w:r>
          </w:p>
        </w:tc>
        <w:tc>
          <w:tcPr>
            <w:tcW w:w="583" w:type="pct"/>
            <w:tcMar>
              <w:top w:w="30" w:type="dxa"/>
              <w:left w:w="45" w:type="dxa"/>
              <w:bottom w:w="30" w:type="dxa"/>
              <w:right w:w="45" w:type="dxa"/>
            </w:tcMar>
            <w:vAlign w:val="center"/>
            <w:hideMark/>
          </w:tcPr>
          <w:p w14:paraId="2DC9EB3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20.131.067.961</w:t>
            </w:r>
          </w:p>
        </w:tc>
        <w:tc>
          <w:tcPr>
            <w:tcW w:w="583" w:type="pct"/>
            <w:tcMar>
              <w:top w:w="30" w:type="dxa"/>
              <w:left w:w="45" w:type="dxa"/>
              <w:bottom w:w="30" w:type="dxa"/>
              <w:right w:w="45" w:type="dxa"/>
            </w:tcMar>
            <w:vAlign w:val="center"/>
            <w:hideMark/>
          </w:tcPr>
          <w:p w14:paraId="3651BBE7"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21.552.455.462</w:t>
            </w:r>
          </w:p>
        </w:tc>
        <w:tc>
          <w:tcPr>
            <w:tcW w:w="583" w:type="pct"/>
            <w:tcMar>
              <w:top w:w="30" w:type="dxa"/>
              <w:left w:w="45" w:type="dxa"/>
              <w:bottom w:w="30" w:type="dxa"/>
              <w:right w:w="45" w:type="dxa"/>
            </w:tcMar>
            <w:vAlign w:val="center"/>
            <w:hideMark/>
          </w:tcPr>
          <w:p w14:paraId="78A270B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19.611.485.760</w:t>
            </w:r>
          </w:p>
        </w:tc>
        <w:tc>
          <w:tcPr>
            <w:tcW w:w="861" w:type="pct"/>
            <w:vMerge/>
            <w:vAlign w:val="center"/>
            <w:hideMark/>
          </w:tcPr>
          <w:p w14:paraId="0ACB40F4" w14:textId="77777777" w:rsidR="00856F66" w:rsidRPr="00E31657" w:rsidRDefault="00856F66" w:rsidP="00F35453">
            <w:pPr>
              <w:rPr>
                <w:rFonts w:cs="Arial"/>
                <w:b/>
                <w:bCs/>
                <w:sz w:val="16"/>
                <w:szCs w:val="16"/>
                <w:lang w:val="es-ES_tradnl" w:eastAsia="es-MX"/>
              </w:rPr>
            </w:pPr>
          </w:p>
        </w:tc>
      </w:tr>
      <w:tr w:rsidR="00856F66" w:rsidRPr="00E31657" w14:paraId="78043F0F" w14:textId="77777777" w:rsidTr="00156332">
        <w:trPr>
          <w:trHeight w:val="690"/>
        </w:trPr>
        <w:tc>
          <w:tcPr>
            <w:tcW w:w="1059" w:type="pct"/>
            <w:vMerge w:val="restart"/>
            <w:tcMar>
              <w:top w:w="30" w:type="dxa"/>
              <w:left w:w="45" w:type="dxa"/>
              <w:bottom w:w="30" w:type="dxa"/>
              <w:right w:w="45" w:type="dxa"/>
            </w:tcMar>
            <w:vAlign w:val="center"/>
            <w:hideMark/>
          </w:tcPr>
          <w:p w14:paraId="122F583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Reducir al 12% la proporción de riesgo por desnutrición aguda en menores de 5 años.</w:t>
            </w:r>
          </w:p>
        </w:tc>
        <w:tc>
          <w:tcPr>
            <w:tcW w:w="311" w:type="pct"/>
            <w:vMerge w:val="restart"/>
            <w:tcMar>
              <w:top w:w="30" w:type="dxa"/>
              <w:left w:w="45" w:type="dxa"/>
              <w:bottom w:w="30" w:type="dxa"/>
              <w:right w:w="45" w:type="dxa"/>
            </w:tcMar>
            <w:vAlign w:val="center"/>
            <w:hideMark/>
          </w:tcPr>
          <w:p w14:paraId="3D588F0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12,7%</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0974A15F" w14:textId="01601BE0" w:rsidR="00856F66" w:rsidRPr="00E31657" w:rsidRDefault="000064A0" w:rsidP="00F35453">
            <w:pPr>
              <w:jc w:val="center"/>
              <w:rPr>
                <w:rFonts w:cs="Arial"/>
                <w:sz w:val="16"/>
                <w:szCs w:val="16"/>
                <w:lang w:val="es-ES_tradnl" w:eastAsia="es-MX"/>
              </w:rPr>
            </w:pPr>
            <w:r w:rsidRPr="00E31657">
              <w:rPr>
                <w:rFonts w:cs="Arial"/>
                <w:sz w:val="16"/>
                <w:szCs w:val="16"/>
                <w:lang w:val="es-ES_tradnl" w:eastAsia="es-MX"/>
              </w:rPr>
              <w:t>Sistema</w:t>
            </w:r>
            <w:r w:rsidR="00856F66" w:rsidRPr="00E31657">
              <w:rPr>
                <w:rFonts w:cs="Arial"/>
                <w:sz w:val="16"/>
                <w:szCs w:val="16"/>
                <w:lang w:val="es-ES_tradnl" w:eastAsia="es-MX"/>
              </w:rPr>
              <w:t xml:space="preserve"> de Vigilancia Alimentario y Nutricional - SISVAN</w:t>
            </w:r>
          </w:p>
        </w:tc>
        <w:tc>
          <w:tcPr>
            <w:tcW w:w="583" w:type="pct"/>
            <w:tcMar>
              <w:top w:w="30" w:type="dxa"/>
              <w:left w:w="45" w:type="dxa"/>
              <w:bottom w:w="30" w:type="dxa"/>
              <w:right w:w="45" w:type="dxa"/>
            </w:tcMar>
            <w:vAlign w:val="center"/>
            <w:hideMark/>
          </w:tcPr>
          <w:p w14:paraId="5A5F5D1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w:t>
            </w:r>
          </w:p>
        </w:tc>
        <w:tc>
          <w:tcPr>
            <w:tcW w:w="583" w:type="pct"/>
            <w:tcMar>
              <w:top w:w="30" w:type="dxa"/>
              <w:left w:w="45" w:type="dxa"/>
              <w:bottom w:w="30" w:type="dxa"/>
              <w:right w:w="45" w:type="dxa"/>
            </w:tcMar>
            <w:vAlign w:val="center"/>
            <w:hideMark/>
          </w:tcPr>
          <w:p w14:paraId="1783930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w:t>
            </w:r>
          </w:p>
        </w:tc>
        <w:tc>
          <w:tcPr>
            <w:tcW w:w="583" w:type="pct"/>
            <w:tcMar>
              <w:top w:w="30" w:type="dxa"/>
              <w:left w:w="45" w:type="dxa"/>
              <w:bottom w:w="30" w:type="dxa"/>
              <w:right w:w="45" w:type="dxa"/>
            </w:tcMar>
            <w:vAlign w:val="center"/>
            <w:hideMark/>
          </w:tcPr>
          <w:p w14:paraId="2DAB37B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9%</w:t>
            </w:r>
          </w:p>
        </w:tc>
        <w:tc>
          <w:tcPr>
            <w:tcW w:w="583" w:type="pct"/>
            <w:tcMar>
              <w:top w:w="30" w:type="dxa"/>
              <w:left w:w="45" w:type="dxa"/>
              <w:bottom w:w="30" w:type="dxa"/>
              <w:right w:w="45" w:type="dxa"/>
            </w:tcMar>
            <w:vAlign w:val="center"/>
            <w:hideMark/>
          </w:tcPr>
          <w:p w14:paraId="1C84998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12%</w:t>
            </w:r>
          </w:p>
        </w:tc>
        <w:tc>
          <w:tcPr>
            <w:tcW w:w="861" w:type="pct"/>
            <w:vMerge w:val="restart"/>
            <w:tcMar>
              <w:top w:w="30" w:type="dxa"/>
              <w:left w:w="45" w:type="dxa"/>
              <w:bottom w:w="30" w:type="dxa"/>
              <w:right w:w="45" w:type="dxa"/>
            </w:tcMar>
            <w:vAlign w:val="center"/>
            <w:hideMark/>
          </w:tcPr>
          <w:p w14:paraId="2603BA06"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48.515.292.144</w:t>
            </w:r>
          </w:p>
        </w:tc>
      </w:tr>
      <w:tr w:rsidR="00856F66" w:rsidRPr="00E31657" w14:paraId="6153923D" w14:textId="77777777" w:rsidTr="00156332">
        <w:trPr>
          <w:trHeight w:val="690"/>
        </w:trPr>
        <w:tc>
          <w:tcPr>
            <w:tcW w:w="1059" w:type="pct"/>
            <w:vMerge/>
            <w:vAlign w:val="center"/>
            <w:hideMark/>
          </w:tcPr>
          <w:p w14:paraId="55F41C35"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10EAFD8A" w14:textId="77777777" w:rsidR="00856F66" w:rsidRPr="00E31657" w:rsidRDefault="00856F66" w:rsidP="00F35453">
            <w:pPr>
              <w:rPr>
                <w:rFonts w:cs="Arial"/>
                <w:sz w:val="16"/>
                <w:szCs w:val="16"/>
                <w:lang w:val="es-ES_tradnl" w:eastAsia="es-MX"/>
              </w:rPr>
            </w:pPr>
          </w:p>
        </w:tc>
        <w:tc>
          <w:tcPr>
            <w:tcW w:w="435" w:type="pct"/>
            <w:vMerge/>
            <w:vAlign w:val="center"/>
            <w:hideMark/>
          </w:tcPr>
          <w:p w14:paraId="220D5A45"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754CD95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5.426.926.000</w:t>
            </w:r>
          </w:p>
        </w:tc>
        <w:tc>
          <w:tcPr>
            <w:tcW w:w="583" w:type="pct"/>
            <w:tcMar>
              <w:top w:w="30" w:type="dxa"/>
              <w:left w:w="45" w:type="dxa"/>
              <w:bottom w:w="30" w:type="dxa"/>
              <w:right w:w="45" w:type="dxa"/>
            </w:tcMar>
            <w:vAlign w:val="center"/>
            <w:hideMark/>
          </w:tcPr>
          <w:p w14:paraId="2039C08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14.789.364.794</w:t>
            </w:r>
          </w:p>
        </w:tc>
        <w:tc>
          <w:tcPr>
            <w:tcW w:w="583" w:type="pct"/>
            <w:tcMar>
              <w:top w:w="30" w:type="dxa"/>
              <w:left w:w="45" w:type="dxa"/>
              <w:bottom w:w="30" w:type="dxa"/>
              <w:right w:w="45" w:type="dxa"/>
            </w:tcMar>
            <w:vAlign w:val="center"/>
            <w:hideMark/>
          </w:tcPr>
          <w:p w14:paraId="629B0B2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14.358.606.596</w:t>
            </w:r>
          </w:p>
        </w:tc>
        <w:tc>
          <w:tcPr>
            <w:tcW w:w="583" w:type="pct"/>
            <w:tcMar>
              <w:top w:w="30" w:type="dxa"/>
              <w:left w:w="45" w:type="dxa"/>
              <w:bottom w:w="30" w:type="dxa"/>
              <w:right w:w="45" w:type="dxa"/>
            </w:tcMar>
            <w:vAlign w:val="center"/>
            <w:hideMark/>
          </w:tcPr>
          <w:p w14:paraId="71088FEA"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13.940.394.754</w:t>
            </w:r>
          </w:p>
        </w:tc>
        <w:tc>
          <w:tcPr>
            <w:tcW w:w="861" w:type="pct"/>
            <w:vMerge/>
            <w:vAlign w:val="center"/>
            <w:hideMark/>
          </w:tcPr>
          <w:p w14:paraId="70860AA7" w14:textId="77777777" w:rsidR="00856F66" w:rsidRPr="00E31657" w:rsidRDefault="00856F66" w:rsidP="00F35453">
            <w:pPr>
              <w:rPr>
                <w:rFonts w:cs="Arial"/>
                <w:b/>
                <w:bCs/>
                <w:sz w:val="16"/>
                <w:szCs w:val="16"/>
                <w:lang w:val="es-ES_tradnl" w:eastAsia="es-MX"/>
              </w:rPr>
            </w:pPr>
          </w:p>
        </w:tc>
      </w:tr>
      <w:tr w:rsidR="00856F66" w:rsidRPr="00E31657" w14:paraId="3B22DFC9" w14:textId="77777777" w:rsidTr="00156332">
        <w:trPr>
          <w:trHeight w:val="690"/>
        </w:trPr>
        <w:tc>
          <w:tcPr>
            <w:tcW w:w="1059" w:type="pct"/>
            <w:vMerge w:val="restart"/>
            <w:tcMar>
              <w:top w:w="30" w:type="dxa"/>
              <w:left w:w="45" w:type="dxa"/>
              <w:bottom w:w="30" w:type="dxa"/>
              <w:right w:w="45" w:type="dxa"/>
            </w:tcMar>
            <w:vAlign w:val="center"/>
            <w:hideMark/>
          </w:tcPr>
          <w:p w14:paraId="5E1E2BD0"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Reducir al 35.4% la proporción de malnutrición en la población de 5 a 17 años.</w:t>
            </w:r>
          </w:p>
        </w:tc>
        <w:tc>
          <w:tcPr>
            <w:tcW w:w="311" w:type="pct"/>
            <w:vMerge w:val="restart"/>
            <w:tcMar>
              <w:top w:w="30" w:type="dxa"/>
              <w:left w:w="45" w:type="dxa"/>
              <w:bottom w:w="30" w:type="dxa"/>
              <w:right w:w="45" w:type="dxa"/>
            </w:tcMar>
            <w:vAlign w:val="center"/>
            <w:hideMark/>
          </w:tcPr>
          <w:p w14:paraId="4683BBDB"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37,4%</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46CA8C9C" w14:textId="069AE252" w:rsidR="00856F66" w:rsidRPr="00E31657" w:rsidRDefault="000064A0" w:rsidP="00F35453">
            <w:pPr>
              <w:jc w:val="center"/>
              <w:rPr>
                <w:rFonts w:cs="Arial"/>
                <w:sz w:val="16"/>
                <w:szCs w:val="16"/>
                <w:lang w:val="es-ES_tradnl" w:eastAsia="es-MX"/>
              </w:rPr>
            </w:pPr>
            <w:r w:rsidRPr="00E31657">
              <w:rPr>
                <w:rFonts w:cs="Arial"/>
                <w:sz w:val="16"/>
                <w:szCs w:val="16"/>
                <w:lang w:val="es-ES_tradnl" w:eastAsia="es-MX"/>
              </w:rPr>
              <w:t>Sistema</w:t>
            </w:r>
            <w:r w:rsidR="00856F66" w:rsidRPr="00E31657">
              <w:rPr>
                <w:rFonts w:cs="Arial"/>
                <w:sz w:val="16"/>
                <w:szCs w:val="16"/>
                <w:lang w:val="es-ES_tradnl" w:eastAsia="es-MX"/>
              </w:rPr>
              <w:t xml:space="preserve"> de Vigilancia Alimentario y Nutricional - SISVAN</w:t>
            </w:r>
          </w:p>
        </w:tc>
        <w:tc>
          <w:tcPr>
            <w:tcW w:w="583" w:type="pct"/>
            <w:tcMar>
              <w:top w:w="30" w:type="dxa"/>
              <w:left w:w="45" w:type="dxa"/>
              <w:bottom w:w="30" w:type="dxa"/>
              <w:right w:w="45" w:type="dxa"/>
            </w:tcMar>
            <w:vAlign w:val="center"/>
            <w:hideMark/>
          </w:tcPr>
          <w:p w14:paraId="6381248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500</w:t>
            </w:r>
          </w:p>
        </w:tc>
        <w:tc>
          <w:tcPr>
            <w:tcW w:w="583" w:type="pct"/>
            <w:tcMar>
              <w:top w:w="30" w:type="dxa"/>
              <w:left w:w="45" w:type="dxa"/>
              <w:bottom w:w="30" w:type="dxa"/>
              <w:right w:w="45" w:type="dxa"/>
            </w:tcMar>
            <w:vAlign w:val="center"/>
            <w:hideMark/>
          </w:tcPr>
          <w:p w14:paraId="6C62F913"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1.500</w:t>
            </w:r>
          </w:p>
        </w:tc>
        <w:tc>
          <w:tcPr>
            <w:tcW w:w="583" w:type="pct"/>
            <w:tcMar>
              <w:top w:w="30" w:type="dxa"/>
              <w:left w:w="45" w:type="dxa"/>
              <w:bottom w:w="30" w:type="dxa"/>
              <w:right w:w="45" w:type="dxa"/>
            </w:tcMar>
            <w:vAlign w:val="center"/>
            <w:hideMark/>
          </w:tcPr>
          <w:p w14:paraId="2BFA4A49"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2.500</w:t>
            </w:r>
          </w:p>
        </w:tc>
        <w:tc>
          <w:tcPr>
            <w:tcW w:w="583" w:type="pct"/>
            <w:tcMar>
              <w:top w:w="30" w:type="dxa"/>
              <w:left w:w="45" w:type="dxa"/>
              <w:bottom w:w="30" w:type="dxa"/>
              <w:right w:w="45" w:type="dxa"/>
            </w:tcMar>
            <w:vAlign w:val="center"/>
            <w:hideMark/>
          </w:tcPr>
          <w:p w14:paraId="3C009A14"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3.540</w:t>
            </w:r>
          </w:p>
        </w:tc>
        <w:tc>
          <w:tcPr>
            <w:tcW w:w="861" w:type="pct"/>
            <w:vMerge w:val="restart"/>
            <w:tcMar>
              <w:top w:w="30" w:type="dxa"/>
              <w:left w:w="45" w:type="dxa"/>
              <w:bottom w:w="30" w:type="dxa"/>
              <w:right w:w="45" w:type="dxa"/>
            </w:tcMar>
            <w:vAlign w:val="center"/>
            <w:hideMark/>
          </w:tcPr>
          <w:p w14:paraId="7E23B6A5"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25.750.650.563</w:t>
            </w:r>
          </w:p>
        </w:tc>
      </w:tr>
      <w:tr w:rsidR="00856F66" w:rsidRPr="00E31657" w14:paraId="42BF3508" w14:textId="77777777" w:rsidTr="00156332">
        <w:trPr>
          <w:trHeight w:val="690"/>
        </w:trPr>
        <w:tc>
          <w:tcPr>
            <w:tcW w:w="1059" w:type="pct"/>
            <w:vMerge/>
            <w:vAlign w:val="center"/>
            <w:hideMark/>
          </w:tcPr>
          <w:p w14:paraId="43F007FF" w14:textId="77777777" w:rsidR="00856F66" w:rsidRPr="00E31657" w:rsidRDefault="00856F66" w:rsidP="00B95135">
            <w:pPr>
              <w:jc w:val="right"/>
              <w:rPr>
                <w:rFonts w:cs="Arial"/>
                <w:sz w:val="16"/>
                <w:szCs w:val="16"/>
                <w:lang w:val="es-ES_tradnl" w:eastAsia="es-MX"/>
              </w:rPr>
            </w:pPr>
          </w:p>
        </w:tc>
        <w:tc>
          <w:tcPr>
            <w:tcW w:w="311" w:type="pct"/>
            <w:vMerge/>
            <w:vAlign w:val="center"/>
            <w:hideMark/>
          </w:tcPr>
          <w:p w14:paraId="6A6FA3A4" w14:textId="77777777" w:rsidR="00856F66" w:rsidRPr="00E31657" w:rsidRDefault="00856F66" w:rsidP="00F35453">
            <w:pPr>
              <w:rPr>
                <w:rFonts w:cs="Arial"/>
                <w:sz w:val="16"/>
                <w:szCs w:val="16"/>
                <w:lang w:val="es-ES_tradnl" w:eastAsia="es-MX"/>
              </w:rPr>
            </w:pPr>
          </w:p>
        </w:tc>
        <w:tc>
          <w:tcPr>
            <w:tcW w:w="435" w:type="pct"/>
            <w:vMerge/>
            <w:vAlign w:val="center"/>
            <w:hideMark/>
          </w:tcPr>
          <w:p w14:paraId="57E5BAE5"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233FC7B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4.633.181.140</w:t>
            </w:r>
          </w:p>
        </w:tc>
        <w:tc>
          <w:tcPr>
            <w:tcW w:w="583" w:type="pct"/>
            <w:tcMar>
              <w:top w:w="30" w:type="dxa"/>
              <w:left w:w="45" w:type="dxa"/>
              <w:bottom w:w="30" w:type="dxa"/>
              <w:right w:w="45" w:type="dxa"/>
            </w:tcMar>
            <w:vAlign w:val="center"/>
            <w:hideMark/>
          </w:tcPr>
          <w:p w14:paraId="60DEBB1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6.610.582.524</w:t>
            </w:r>
          </w:p>
        </w:tc>
        <w:tc>
          <w:tcPr>
            <w:tcW w:w="583" w:type="pct"/>
            <w:tcMar>
              <w:top w:w="30" w:type="dxa"/>
              <w:left w:w="45" w:type="dxa"/>
              <w:bottom w:w="30" w:type="dxa"/>
              <w:right w:w="45" w:type="dxa"/>
            </w:tcMar>
            <w:vAlign w:val="center"/>
            <w:hideMark/>
          </w:tcPr>
          <w:p w14:paraId="5BBC068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7.360.637.195</w:t>
            </w:r>
          </w:p>
        </w:tc>
        <w:tc>
          <w:tcPr>
            <w:tcW w:w="583" w:type="pct"/>
            <w:tcMar>
              <w:top w:w="30" w:type="dxa"/>
              <w:left w:w="45" w:type="dxa"/>
              <w:bottom w:w="30" w:type="dxa"/>
              <w:right w:w="45" w:type="dxa"/>
            </w:tcMar>
            <w:vAlign w:val="center"/>
            <w:hideMark/>
          </w:tcPr>
          <w:p w14:paraId="5752F9C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7.146.249.704</w:t>
            </w:r>
          </w:p>
        </w:tc>
        <w:tc>
          <w:tcPr>
            <w:tcW w:w="861" w:type="pct"/>
            <w:vMerge/>
            <w:vAlign w:val="center"/>
            <w:hideMark/>
          </w:tcPr>
          <w:p w14:paraId="254427FF" w14:textId="77777777" w:rsidR="00856F66" w:rsidRPr="00E31657" w:rsidRDefault="00856F66" w:rsidP="00F35453">
            <w:pPr>
              <w:rPr>
                <w:rFonts w:cs="Arial"/>
                <w:b/>
                <w:bCs/>
                <w:sz w:val="16"/>
                <w:szCs w:val="16"/>
                <w:lang w:val="es-ES_tradnl" w:eastAsia="es-MX"/>
              </w:rPr>
            </w:pPr>
          </w:p>
        </w:tc>
      </w:tr>
      <w:tr w:rsidR="00856F66" w:rsidRPr="00E31657" w14:paraId="18B61E5D" w14:textId="77777777" w:rsidTr="00156332">
        <w:trPr>
          <w:trHeight w:val="690"/>
        </w:trPr>
        <w:tc>
          <w:tcPr>
            <w:tcW w:w="1059" w:type="pct"/>
            <w:vMerge w:val="restart"/>
            <w:tcMar>
              <w:top w:w="30" w:type="dxa"/>
              <w:left w:w="45" w:type="dxa"/>
              <w:bottom w:w="30" w:type="dxa"/>
              <w:right w:w="45" w:type="dxa"/>
            </w:tcMar>
            <w:vAlign w:val="center"/>
            <w:hideMark/>
          </w:tcPr>
          <w:p w14:paraId="3C62541D"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Vincular el 100% de las personas identificadas por el sector salud con enfoque diferencial y por momentos de curso de vida género orientaciones e identidades diversas y por condiciones o situaciones a las acciones individuales colectivas y poblacionales de la oferta de salud.</w:t>
            </w:r>
          </w:p>
        </w:tc>
        <w:tc>
          <w:tcPr>
            <w:tcW w:w="311" w:type="pct"/>
            <w:vMerge w:val="restart"/>
            <w:tcMar>
              <w:top w:w="30" w:type="dxa"/>
              <w:left w:w="45" w:type="dxa"/>
              <w:bottom w:w="30" w:type="dxa"/>
              <w:right w:w="45" w:type="dxa"/>
            </w:tcMar>
            <w:vAlign w:val="center"/>
            <w:hideMark/>
          </w:tcPr>
          <w:p w14:paraId="2341BF11"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2C4BC38C"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N/A</w:t>
            </w:r>
          </w:p>
        </w:tc>
        <w:tc>
          <w:tcPr>
            <w:tcW w:w="583" w:type="pct"/>
            <w:tcMar>
              <w:top w:w="30" w:type="dxa"/>
              <w:left w:w="45" w:type="dxa"/>
              <w:bottom w:w="30" w:type="dxa"/>
              <w:right w:w="45" w:type="dxa"/>
            </w:tcMar>
            <w:vAlign w:val="center"/>
            <w:hideMark/>
          </w:tcPr>
          <w:p w14:paraId="7199999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0</w:t>
            </w:r>
          </w:p>
        </w:tc>
        <w:tc>
          <w:tcPr>
            <w:tcW w:w="583" w:type="pct"/>
            <w:tcMar>
              <w:top w:w="30" w:type="dxa"/>
              <w:left w:w="45" w:type="dxa"/>
              <w:bottom w:w="30" w:type="dxa"/>
              <w:right w:w="45" w:type="dxa"/>
            </w:tcMar>
            <w:vAlign w:val="center"/>
            <w:hideMark/>
          </w:tcPr>
          <w:p w14:paraId="2CA522FF"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563C69E0"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583" w:type="pct"/>
            <w:tcMar>
              <w:top w:w="30" w:type="dxa"/>
              <w:left w:w="45" w:type="dxa"/>
              <w:bottom w:w="30" w:type="dxa"/>
              <w:right w:w="45" w:type="dxa"/>
            </w:tcMar>
            <w:vAlign w:val="center"/>
            <w:hideMark/>
          </w:tcPr>
          <w:p w14:paraId="66B69D0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w:t>
            </w:r>
          </w:p>
        </w:tc>
        <w:tc>
          <w:tcPr>
            <w:tcW w:w="861" w:type="pct"/>
            <w:vMerge w:val="restart"/>
            <w:tcMar>
              <w:top w:w="30" w:type="dxa"/>
              <w:left w:w="45" w:type="dxa"/>
              <w:bottom w:w="30" w:type="dxa"/>
              <w:right w:w="45" w:type="dxa"/>
            </w:tcMar>
            <w:vAlign w:val="center"/>
            <w:hideMark/>
          </w:tcPr>
          <w:p w14:paraId="06B2E98B" w14:textId="77777777" w:rsidR="00856F66" w:rsidRPr="00E31657" w:rsidRDefault="00856F66" w:rsidP="00F35453">
            <w:pPr>
              <w:jc w:val="center"/>
              <w:rPr>
                <w:rFonts w:cs="Arial"/>
                <w:b/>
                <w:bCs/>
                <w:sz w:val="16"/>
                <w:szCs w:val="16"/>
                <w:lang w:val="es-ES_tradnl" w:eastAsia="es-MX"/>
              </w:rPr>
            </w:pPr>
            <w:r w:rsidRPr="00E31657">
              <w:rPr>
                <w:rFonts w:cs="Arial"/>
                <w:b/>
                <w:bCs/>
                <w:sz w:val="16"/>
                <w:szCs w:val="16"/>
                <w:lang w:val="es-ES_tradnl" w:eastAsia="es-MX"/>
              </w:rPr>
              <w:t>80.777.760.181</w:t>
            </w:r>
          </w:p>
        </w:tc>
      </w:tr>
      <w:tr w:rsidR="00856F66" w:rsidRPr="00E31657" w14:paraId="689BCC8F" w14:textId="77777777" w:rsidTr="00156332">
        <w:trPr>
          <w:trHeight w:val="690"/>
        </w:trPr>
        <w:tc>
          <w:tcPr>
            <w:tcW w:w="1059" w:type="pct"/>
            <w:vMerge/>
            <w:vAlign w:val="center"/>
            <w:hideMark/>
          </w:tcPr>
          <w:p w14:paraId="1DB7975A" w14:textId="77777777" w:rsidR="00856F66" w:rsidRPr="00E31657" w:rsidRDefault="00856F66" w:rsidP="00F35453">
            <w:pPr>
              <w:rPr>
                <w:rFonts w:cs="Arial"/>
                <w:sz w:val="16"/>
                <w:szCs w:val="16"/>
                <w:lang w:val="es-ES_tradnl" w:eastAsia="es-MX"/>
              </w:rPr>
            </w:pPr>
          </w:p>
        </w:tc>
        <w:tc>
          <w:tcPr>
            <w:tcW w:w="311" w:type="pct"/>
            <w:vMerge/>
            <w:vAlign w:val="center"/>
            <w:hideMark/>
          </w:tcPr>
          <w:p w14:paraId="273608B3" w14:textId="77777777" w:rsidR="00856F66" w:rsidRPr="00E31657" w:rsidRDefault="00856F66" w:rsidP="00F35453">
            <w:pPr>
              <w:rPr>
                <w:rFonts w:cs="Arial"/>
                <w:sz w:val="16"/>
                <w:szCs w:val="16"/>
                <w:lang w:val="es-ES_tradnl" w:eastAsia="es-MX"/>
              </w:rPr>
            </w:pPr>
          </w:p>
        </w:tc>
        <w:tc>
          <w:tcPr>
            <w:tcW w:w="435" w:type="pct"/>
            <w:vMerge/>
            <w:vAlign w:val="center"/>
            <w:hideMark/>
          </w:tcPr>
          <w:p w14:paraId="5EF88CEC" w14:textId="77777777" w:rsidR="00856F66" w:rsidRPr="00E31657" w:rsidRDefault="00856F66" w:rsidP="00F35453">
            <w:pPr>
              <w:rPr>
                <w:rFonts w:cs="Arial"/>
                <w:sz w:val="16"/>
                <w:szCs w:val="16"/>
                <w:lang w:val="es-ES_tradnl" w:eastAsia="es-MX"/>
              </w:rPr>
            </w:pPr>
          </w:p>
        </w:tc>
        <w:tc>
          <w:tcPr>
            <w:tcW w:w="583" w:type="pct"/>
            <w:tcMar>
              <w:top w:w="30" w:type="dxa"/>
              <w:left w:w="45" w:type="dxa"/>
              <w:bottom w:w="30" w:type="dxa"/>
              <w:right w:w="45" w:type="dxa"/>
            </w:tcMar>
            <w:vAlign w:val="center"/>
            <w:hideMark/>
          </w:tcPr>
          <w:p w14:paraId="00432808"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16.876.675.000</w:t>
            </w:r>
          </w:p>
        </w:tc>
        <w:tc>
          <w:tcPr>
            <w:tcW w:w="583" w:type="pct"/>
            <w:tcMar>
              <w:top w:w="30" w:type="dxa"/>
              <w:left w:w="45" w:type="dxa"/>
              <w:bottom w:w="30" w:type="dxa"/>
              <w:right w:w="45" w:type="dxa"/>
            </w:tcMar>
            <w:vAlign w:val="center"/>
            <w:hideMark/>
          </w:tcPr>
          <w:p w14:paraId="2B637CC5"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19.302.849.157</w:t>
            </w:r>
          </w:p>
        </w:tc>
        <w:tc>
          <w:tcPr>
            <w:tcW w:w="583" w:type="pct"/>
            <w:tcMar>
              <w:top w:w="30" w:type="dxa"/>
              <w:left w:w="45" w:type="dxa"/>
              <w:bottom w:w="30" w:type="dxa"/>
              <w:right w:w="45" w:type="dxa"/>
            </w:tcMar>
            <w:vAlign w:val="center"/>
            <w:hideMark/>
          </w:tcPr>
          <w:p w14:paraId="22B65E72"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24.564.353.300</w:t>
            </w:r>
          </w:p>
        </w:tc>
        <w:tc>
          <w:tcPr>
            <w:tcW w:w="583" w:type="pct"/>
            <w:tcMar>
              <w:top w:w="30" w:type="dxa"/>
              <w:left w:w="45" w:type="dxa"/>
              <w:bottom w:w="30" w:type="dxa"/>
              <w:right w:w="45" w:type="dxa"/>
            </w:tcMar>
            <w:vAlign w:val="center"/>
            <w:hideMark/>
          </w:tcPr>
          <w:p w14:paraId="49520B36" w14:textId="77777777" w:rsidR="00856F66" w:rsidRPr="00E31657" w:rsidRDefault="00856F66" w:rsidP="00F35453">
            <w:pPr>
              <w:jc w:val="center"/>
              <w:rPr>
                <w:rFonts w:cs="Arial"/>
                <w:sz w:val="16"/>
                <w:szCs w:val="16"/>
                <w:lang w:val="es-ES_tradnl" w:eastAsia="es-MX"/>
              </w:rPr>
            </w:pPr>
            <w:r w:rsidRPr="00E31657">
              <w:rPr>
                <w:rFonts w:cs="Arial"/>
                <w:sz w:val="16"/>
                <w:szCs w:val="16"/>
                <w:lang w:val="es-ES_tradnl" w:eastAsia="es-MX"/>
              </w:rPr>
              <w:t>20.033.882.724</w:t>
            </w:r>
          </w:p>
        </w:tc>
        <w:tc>
          <w:tcPr>
            <w:tcW w:w="861" w:type="pct"/>
            <w:vMerge/>
            <w:vAlign w:val="center"/>
            <w:hideMark/>
          </w:tcPr>
          <w:p w14:paraId="6B85019D" w14:textId="77777777" w:rsidR="00856F66" w:rsidRPr="00E31657" w:rsidRDefault="00856F66" w:rsidP="00F35453">
            <w:pPr>
              <w:rPr>
                <w:rFonts w:cs="Arial"/>
                <w:b/>
                <w:bCs/>
                <w:sz w:val="16"/>
                <w:szCs w:val="16"/>
                <w:lang w:val="es-ES_tradnl" w:eastAsia="es-MX"/>
              </w:rPr>
            </w:pPr>
          </w:p>
        </w:tc>
      </w:tr>
    </w:tbl>
    <w:p w14:paraId="3C0372C6" w14:textId="77777777" w:rsidR="00856F66" w:rsidRPr="00E31657" w:rsidRDefault="00856F66">
      <w:pPr>
        <w:rPr>
          <w:sz w:val="16"/>
          <w:szCs w:val="16"/>
          <w:lang w:val="es-ES_tradnl"/>
        </w:rPr>
      </w:pPr>
    </w:p>
    <w:p w14:paraId="6B56F430" w14:textId="77777777" w:rsidR="00856F66" w:rsidRDefault="00856F66">
      <w:pPr>
        <w:rPr>
          <w:sz w:val="16"/>
          <w:szCs w:val="16"/>
          <w:lang w:val="es-ES_tradnl"/>
        </w:rPr>
      </w:pPr>
    </w:p>
    <w:p w14:paraId="01E2C29D" w14:textId="77777777" w:rsidR="00856F66" w:rsidRDefault="00856F66">
      <w:pPr>
        <w:rPr>
          <w:sz w:val="16"/>
          <w:szCs w:val="16"/>
          <w:lang w:val="es-ES_tradnl"/>
        </w:rPr>
      </w:pPr>
    </w:p>
    <w:p w14:paraId="7350A72C" w14:textId="77777777" w:rsidR="00856F66" w:rsidRPr="00E31657" w:rsidRDefault="00856F66">
      <w:pPr>
        <w:rPr>
          <w:sz w:val="16"/>
          <w:szCs w:val="16"/>
          <w:lang w:val="es-ES_tradnl"/>
        </w:rPr>
      </w:pPr>
    </w:p>
    <w:p w14:paraId="6617BD3B" w14:textId="77777777" w:rsidR="006E34FC" w:rsidRDefault="006E34FC">
      <w:r>
        <w:br w:type="page"/>
      </w:r>
    </w:p>
    <w:tbl>
      <w:tblPr>
        <w:tblW w:w="5614" w:type="pct"/>
        <w:tblInd w:w="-426"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715"/>
        <w:gridCol w:w="728"/>
        <w:gridCol w:w="1098"/>
        <w:gridCol w:w="1280"/>
        <w:gridCol w:w="1230"/>
        <w:gridCol w:w="1261"/>
        <w:gridCol w:w="1301"/>
        <w:gridCol w:w="1896"/>
      </w:tblGrid>
      <w:tr w:rsidR="00856F66" w:rsidRPr="00E31657" w14:paraId="053E7546" w14:textId="77777777" w:rsidTr="00156332">
        <w:trPr>
          <w:trHeight w:val="315"/>
        </w:trPr>
        <w:tc>
          <w:tcPr>
            <w:tcW w:w="5000" w:type="pct"/>
            <w:gridSpan w:val="8"/>
            <w:tcBorders>
              <w:top w:val="nil"/>
              <w:bottom w:val="nil"/>
            </w:tcBorders>
            <w:tcMar>
              <w:top w:w="30" w:type="dxa"/>
              <w:left w:w="45" w:type="dxa"/>
              <w:bottom w:w="30" w:type="dxa"/>
              <w:right w:w="45" w:type="dxa"/>
            </w:tcMar>
            <w:vAlign w:val="center"/>
            <w:hideMark/>
          </w:tcPr>
          <w:p w14:paraId="782A2E48" w14:textId="79E87685" w:rsidR="00856F66" w:rsidRPr="00E31657" w:rsidRDefault="00856F66" w:rsidP="00B24742">
            <w:pPr>
              <w:jc w:val="center"/>
              <w:rPr>
                <w:rFonts w:cs="Arial"/>
                <w:b/>
                <w:bCs/>
                <w:sz w:val="16"/>
                <w:szCs w:val="16"/>
                <w:lang w:val="es-ES_tradnl" w:eastAsia="es-MX"/>
              </w:rPr>
            </w:pPr>
            <w:r w:rsidRPr="00E31657">
              <w:rPr>
                <w:rFonts w:cs="Arial"/>
                <w:b/>
                <w:bCs/>
                <w:color w:val="C00000"/>
                <w:lang w:val="es-ES_tradnl" w:eastAsia="es-MX"/>
              </w:rPr>
              <w:lastRenderedPageBreak/>
              <w:t xml:space="preserve">Programa 11. </w:t>
            </w:r>
            <w:r w:rsidRPr="00E31657">
              <w:rPr>
                <w:rFonts w:cs="Arial"/>
                <w:lang w:val="es-ES_tradnl" w:eastAsia="es-MX"/>
              </w:rPr>
              <w:t>Salud con calidad y en el territorio</w:t>
            </w:r>
          </w:p>
        </w:tc>
      </w:tr>
      <w:tr w:rsidR="00856F66" w:rsidRPr="00E31657" w14:paraId="66A9A947" w14:textId="77777777" w:rsidTr="00156332">
        <w:trPr>
          <w:trHeight w:val="315"/>
        </w:trPr>
        <w:tc>
          <w:tcPr>
            <w:tcW w:w="829" w:type="pct"/>
            <w:vMerge w:val="restart"/>
            <w:tcBorders>
              <w:top w:val="nil"/>
            </w:tcBorders>
            <w:shd w:val="clear" w:color="auto" w:fill="C00000"/>
            <w:tcMar>
              <w:top w:w="30" w:type="dxa"/>
              <w:left w:w="45" w:type="dxa"/>
              <w:bottom w:w="30" w:type="dxa"/>
              <w:right w:w="45" w:type="dxa"/>
            </w:tcMar>
            <w:vAlign w:val="center"/>
            <w:hideMark/>
          </w:tcPr>
          <w:p w14:paraId="4825AE4F"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Sector / Metas</w:t>
            </w:r>
          </w:p>
        </w:tc>
        <w:tc>
          <w:tcPr>
            <w:tcW w:w="4171" w:type="pct"/>
            <w:gridSpan w:val="7"/>
            <w:tcBorders>
              <w:top w:val="nil"/>
            </w:tcBorders>
            <w:shd w:val="clear" w:color="auto" w:fill="C00000"/>
            <w:tcMar>
              <w:top w:w="30" w:type="dxa"/>
              <w:left w:w="45" w:type="dxa"/>
              <w:bottom w:w="30" w:type="dxa"/>
              <w:right w:w="45" w:type="dxa"/>
            </w:tcMar>
            <w:vAlign w:val="center"/>
            <w:hideMark/>
          </w:tcPr>
          <w:p w14:paraId="689CE929" w14:textId="77777777" w:rsidR="00856F66" w:rsidRPr="00E31657" w:rsidRDefault="00856F66" w:rsidP="000064A0">
            <w:pPr>
              <w:pStyle w:val="Ttulo"/>
              <w:jc w:val="center"/>
              <w:rPr>
                <w:lang w:val="es-ES_tradnl"/>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06114C6B" w14:textId="77777777" w:rsidTr="00156332">
        <w:trPr>
          <w:trHeight w:val="315"/>
        </w:trPr>
        <w:tc>
          <w:tcPr>
            <w:tcW w:w="829" w:type="pct"/>
            <w:vMerge/>
            <w:shd w:val="clear" w:color="auto" w:fill="C00000"/>
            <w:vAlign w:val="center"/>
            <w:hideMark/>
          </w:tcPr>
          <w:p w14:paraId="15CFEB67" w14:textId="77777777" w:rsidR="00856F66" w:rsidRPr="00E31657" w:rsidRDefault="00856F66" w:rsidP="00B24742">
            <w:pPr>
              <w:rPr>
                <w:rFonts w:cs="Arial"/>
                <w:b/>
                <w:bCs/>
                <w:color w:val="FFFFFF"/>
                <w:sz w:val="16"/>
                <w:szCs w:val="16"/>
                <w:lang w:val="es-ES_tradnl" w:eastAsia="es-MX"/>
              </w:rPr>
            </w:pPr>
          </w:p>
        </w:tc>
        <w:tc>
          <w:tcPr>
            <w:tcW w:w="359" w:type="pct"/>
            <w:shd w:val="clear" w:color="auto" w:fill="D9D9D9"/>
            <w:tcMar>
              <w:top w:w="30" w:type="dxa"/>
              <w:left w:w="45" w:type="dxa"/>
              <w:bottom w:w="30" w:type="dxa"/>
              <w:right w:w="45" w:type="dxa"/>
            </w:tcMar>
            <w:vAlign w:val="center"/>
            <w:hideMark/>
          </w:tcPr>
          <w:p w14:paraId="6486836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535" w:type="pct"/>
            <w:shd w:val="clear" w:color="auto" w:fill="D9D9D9"/>
            <w:tcMar>
              <w:top w:w="30" w:type="dxa"/>
              <w:left w:w="45" w:type="dxa"/>
              <w:bottom w:w="30" w:type="dxa"/>
              <w:right w:w="45" w:type="dxa"/>
            </w:tcMar>
            <w:vAlign w:val="center"/>
            <w:hideMark/>
          </w:tcPr>
          <w:p w14:paraId="176B7D4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08" w:type="pct"/>
            <w:shd w:val="clear" w:color="auto" w:fill="D9D9D9"/>
            <w:tcMar>
              <w:top w:w="30" w:type="dxa"/>
              <w:left w:w="45" w:type="dxa"/>
              <w:bottom w:w="30" w:type="dxa"/>
              <w:right w:w="45" w:type="dxa"/>
            </w:tcMar>
            <w:vAlign w:val="center"/>
            <w:hideMark/>
          </w:tcPr>
          <w:p w14:paraId="11B1E07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587" w:type="pct"/>
            <w:shd w:val="clear" w:color="auto" w:fill="D9D9D9"/>
            <w:tcMar>
              <w:top w:w="30" w:type="dxa"/>
              <w:left w:w="45" w:type="dxa"/>
              <w:bottom w:w="30" w:type="dxa"/>
              <w:right w:w="45" w:type="dxa"/>
            </w:tcMar>
            <w:vAlign w:val="center"/>
            <w:hideMark/>
          </w:tcPr>
          <w:p w14:paraId="6FFDF12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596" w:type="pct"/>
            <w:shd w:val="clear" w:color="auto" w:fill="D9D9D9"/>
            <w:tcMar>
              <w:top w:w="30" w:type="dxa"/>
              <w:left w:w="45" w:type="dxa"/>
              <w:bottom w:w="30" w:type="dxa"/>
              <w:right w:w="45" w:type="dxa"/>
            </w:tcMar>
            <w:vAlign w:val="center"/>
            <w:hideMark/>
          </w:tcPr>
          <w:p w14:paraId="7C18510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561" w:type="pct"/>
            <w:shd w:val="clear" w:color="auto" w:fill="D9D9D9"/>
            <w:tcMar>
              <w:top w:w="30" w:type="dxa"/>
              <w:left w:w="45" w:type="dxa"/>
              <w:bottom w:w="30" w:type="dxa"/>
              <w:right w:w="45" w:type="dxa"/>
            </w:tcMar>
            <w:vAlign w:val="center"/>
            <w:hideMark/>
          </w:tcPr>
          <w:p w14:paraId="4BE99C3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925" w:type="pct"/>
            <w:shd w:val="clear" w:color="auto" w:fill="D9D9D9"/>
            <w:tcMar>
              <w:top w:w="30" w:type="dxa"/>
              <w:left w:w="45" w:type="dxa"/>
              <w:bottom w:w="30" w:type="dxa"/>
              <w:right w:w="45" w:type="dxa"/>
            </w:tcMar>
            <w:vAlign w:val="center"/>
            <w:hideMark/>
          </w:tcPr>
          <w:p w14:paraId="5C1AAAA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59BDA92" w14:textId="77777777" w:rsidTr="00156332">
        <w:trPr>
          <w:trHeight w:val="315"/>
        </w:trPr>
        <w:tc>
          <w:tcPr>
            <w:tcW w:w="5000" w:type="pct"/>
            <w:gridSpan w:val="8"/>
            <w:shd w:val="clear" w:color="auto" w:fill="C00000"/>
            <w:tcMar>
              <w:top w:w="30" w:type="dxa"/>
              <w:left w:w="45" w:type="dxa"/>
              <w:bottom w:w="30" w:type="dxa"/>
              <w:right w:w="45" w:type="dxa"/>
            </w:tcMar>
            <w:vAlign w:val="center"/>
            <w:hideMark/>
          </w:tcPr>
          <w:p w14:paraId="60AD5B7E"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Salud</w:t>
            </w:r>
          </w:p>
        </w:tc>
      </w:tr>
      <w:tr w:rsidR="00856F66" w:rsidRPr="00E31657" w14:paraId="6443B869" w14:textId="77777777" w:rsidTr="00156332">
        <w:trPr>
          <w:trHeight w:val="960"/>
        </w:trPr>
        <w:tc>
          <w:tcPr>
            <w:tcW w:w="829" w:type="pct"/>
            <w:vMerge w:val="restart"/>
            <w:tcMar>
              <w:top w:w="30" w:type="dxa"/>
              <w:left w:w="45" w:type="dxa"/>
              <w:bottom w:w="30" w:type="dxa"/>
              <w:right w:w="45" w:type="dxa"/>
            </w:tcMar>
            <w:vAlign w:val="center"/>
            <w:hideMark/>
          </w:tcPr>
          <w:p w14:paraId="771CFF28"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Avanzar en el 100% del cronograma establecido para la producción y generación de biológicos (envasado y llenado) en Bogotá D.C para contribuir a la soberanía sanitaria.</w:t>
            </w:r>
          </w:p>
        </w:tc>
        <w:tc>
          <w:tcPr>
            <w:tcW w:w="359" w:type="pct"/>
            <w:vMerge w:val="restart"/>
            <w:tcMar>
              <w:top w:w="30" w:type="dxa"/>
              <w:left w:w="45" w:type="dxa"/>
              <w:bottom w:w="30" w:type="dxa"/>
              <w:right w:w="45" w:type="dxa"/>
            </w:tcMar>
            <w:vAlign w:val="center"/>
            <w:hideMark/>
          </w:tcPr>
          <w:p w14:paraId="2E75A5E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 (empresa creada)</w:t>
            </w:r>
            <w:r w:rsidRPr="00E31657">
              <w:rPr>
                <w:rFonts w:cs="Arial"/>
                <w:sz w:val="16"/>
                <w:szCs w:val="16"/>
                <w:lang w:val="es-ES_tradnl" w:eastAsia="es-MX"/>
              </w:rPr>
              <w:br/>
              <w:t>(2023)</w:t>
            </w:r>
          </w:p>
        </w:tc>
        <w:tc>
          <w:tcPr>
            <w:tcW w:w="535" w:type="pct"/>
            <w:vMerge w:val="restart"/>
            <w:tcMar>
              <w:top w:w="30" w:type="dxa"/>
              <w:left w:w="45" w:type="dxa"/>
              <w:bottom w:w="30" w:type="dxa"/>
              <w:right w:w="45" w:type="dxa"/>
            </w:tcMar>
            <w:vAlign w:val="center"/>
            <w:hideMark/>
          </w:tcPr>
          <w:p w14:paraId="726B73C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DIAGNÓSTICO RÁPIDO</w:t>
            </w:r>
            <w:r w:rsidRPr="00E31657">
              <w:rPr>
                <w:rFonts w:cs="Arial"/>
                <w:sz w:val="16"/>
                <w:szCs w:val="16"/>
                <w:lang w:val="es-ES_tradnl" w:eastAsia="es-MX"/>
              </w:rPr>
              <w:br/>
              <w:t>SOBRE SUMINISTRO DE</w:t>
            </w:r>
            <w:r w:rsidRPr="00E31657">
              <w:rPr>
                <w:rFonts w:cs="Arial"/>
                <w:sz w:val="16"/>
                <w:szCs w:val="16"/>
                <w:lang w:val="es-ES_tradnl" w:eastAsia="es-MX"/>
              </w:rPr>
              <w:br/>
              <w:t>VACUNAS PARA LA</w:t>
            </w:r>
            <w:r w:rsidRPr="00E31657">
              <w:rPr>
                <w:rFonts w:cs="Arial"/>
                <w:sz w:val="16"/>
                <w:szCs w:val="16"/>
                <w:lang w:val="es-ES_tradnl" w:eastAsia="es-MX"/>
              </w:rPr>
              <w:br/>
              <w:t>REGIÓN DE AMÉRICA</w:t>
            </w:r>
            <w:r w:rsidRPr="00E31657">
              <w:rPr>
                <w:rFonts w:cs="Arial"/>
                <w:sz w:val="16"/>
                <w:szCs w:val="16"/>
                <w:lang w:val="es-ES_tradnl" w:eastAsia="es-MX"/>
              </w:rPr>
              <w:br/>
              <w:t>LATINA Y EL CARIBE - BID</w:t>
            </w:r>
          </w:p>
        </w:tc>
        <w:tc>
          <w:tcPr>
            <w:tcW w:w="608" w:type="pct"/>
            <w:tcMar>
              <w:top w:w="30" w:type="dxa"/>
              <w:left w:w="45" w:type="dxa"/>
              <w:bottom w:w="30" w:type="dxa"/>
              <w:right w:w="45" w:type="dxa"/>
            </w:tcMar>
            <w:vAlign w:val="center"/>
            <w:hideMark/>
          </w:tcPr>
          <w:p w14:paraId="1F465F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587" w:type="pct"/>
            <w:tcMar>
              <w:top w:w="30" w:type="dxa"/>
              <w:left w:w="45" w:type="dxa"/>
              <w:bottom w:w="30" w:type="dxa"/>
              <w:right w:w="45" w:type="dxa"/>
            </w:tcMar>
            <w:vAlign w:val="center"/>
            <w:hideMark/>
          </w:tcPr>
          <w:p w14:paraId="69C039A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w:t>
            </w:r>
          </w:p>
        </w:tc>
        <w:tc>
          <w:tcPr>
            <w:tcW w:w="596" w:type="pct"/>
            <w:tcMar>
              <w:top w:w="30" w:type="dxa"/>
              <w:left w:w="45" w:type="dxa"/>
              <w:bottom w:w="30" w:type="dxa"/>
              <w:right w:w="45" w:type="dxa"/>
            </w:tcMar>
            <w:vAlign w:val="center"/>
            <w:hideMark/>
          </w:tcPr>
          <w:p w14:paraId="0E7129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561" w:type="pct"/>
            <w:tcMar>
              <w:top w:w="30" w:type="dxa"/>
              <w:left w:w="45" w:type="dxa"/>
              <w:bottom w:w="30" w:type="dxa"/>
              <w:right w:w="45" w:type="dxa"/>
            </w:tcMar>
            <w:vAlign w:val="center"/>
            <w:hideMark/>
          </w:tcPr>
          <w:p w14:paraId="265D0DF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925" w:type="pct"/>
            <w:vMerge w:val="restart"/>
            <w:tcMar>
              <w:top w:w="30" w:type="dxa"/>
              <w:left w:w="45" w:type="dxa"/>
              <w:bottom w:w="30" w:type="dxa"/>
              <w:right w:w="45" w:type="dxa"/>
            </w:tcMar>
            <w:vAlign w:val="center"/>
            <w:hideMark/>
          </w:tcPr>
          <w:p w14:paraId="5AED7F9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347.281.698.808</w:t>
            </w:r>
          </w:p>
        </w:tc>
      </w:tr>
      <w:tr w:rsidR="00856F66" w:rsidRPr="00E31657" w14:paraId="701EE5D5" w14:textId="77777777" w:rsidTr="00156332">
        <w:trPr>
          <w:trHeight w:val="660"/>
        </w:trPr>
        <w:tc>
          <w:tcPr>
            <w:tcW w:w="829" w:type="pct"/>
            <w:vMerge/>
            <w:vAlign w:val="center"/>
            <w:hideMark/>
          </w:tcPr>
          <w:p w14:paraId="15069313" w14:textId="77777777" w:rsidR="00856F66" w:rsidRPr="00E31657" w:rsidRDefault="00856F66" w:rsidP="00B95135">
            <w:pPr>
              <w:jc w:val="right"/>
              <w:rPr>
                <w:rFonts w:cs="Arial"/>
                <w:sz w:val="16"/>
                <w:szCs w:val="16"/>
                <w:lang w:val="es-ES_tradnl" w:eastAsia="es-MX"/>
              </w:rPr>
            </w:pPr>
          </w:p>
        </w:tc>
        <w:tc>
          <w:tcPr>
            <w:tcW w:w="359" w:type="pct"/>
            <w:vMerge/>
            <w:vAlign w:val="center"/>
            <w:hideMark/>
          </w:tcPr>
          <w:p w14:paraId="38450E34" w14:textId="77777777" w:rsidR="00856F66" w:rsidRPr="00E31657" w:rsidRDefault="00856F66" w:rsidP="00B24742">
            <w:pPr>
              <w:rPr>
                <w:rFonts w:cs="Arial"/>
                <w:sz w:val="16"/>
                <w:szCs w:val="16"/>
                <w:lang w:val="es-ES_tradnl" w:eastAsia="es-MX"/>
              </w:rPr>
            </w:pPr>
          </w:p>
        </w:tc>
        <w:tc>
          <w:tcPr>
            <w:tcW w:w="535" w:type="pct"/>
            <w:vMerge/>
            <w:vAlign w:val="center"/>
            <w:hideMark/>
          </w:tcPr>
          <w:p w14:paraId="4C3EB39C" w14:textId="77777777" w:rsidR="00856F66" w:rsidRPr="00E31657" w:rsidRDefault="00856F66" w:rsidP="00B24742">
            <w:pPr>
              <w:rPr>
                <w:rFonts w:cs="Arial"/>
                <w:sz w:val="16"/>
                <w:szCs w:val="16"/>
                <w:lang w:val="es-ES_tradnl" w:eastAsia="es-MX"/>
              </w:rPr>
            </w:pPr>
          </w:p>
        </w:tc>
        <w:tc>
          <w:tcPr>
            <w:tcW w:w="608" w:type="pct"/>
            <w:tcMar>
              <w:top w:w="30" w:type="dxa"/>
              <w:left w:w="45" w:type="dxa"/>
              <w:bottom w:w="30" w:type="dxa"/>
              <w:right w:w="45" w:type="dxa"/>
            </w:tcMar>
            <w:vAlign w:val="center"/>
            <w:hideMark/>
          </w:tcPr>
          <w:p w14:paraId="1C7D55E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68.482.671.000</w:t>
            </w:r>
          </w:p>
        </w:tc>
        <w:tc>
          <w:tcPr>
            <w:tcW w:w="587" w:type="pct"/>
            <w:tcMar>
              <w:top w:w="30" w:type="dxa"/>
              <w:left w:w="45" w:type="dxa"/>
              <w:bottom w:w="30" w:type="dxa"/>
              <w:right w:w="45" w:type="dxa"/>
            </w:tcMar>
            <w:vAlign w:val="center"/>
            <w:hideMark/>
          </w:tcPr>
          <w:p w14:paraId="0F54ED1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125.671.658.567</w:t>
            </w:r>
          </w:p>
        </w:tc>
        <w:tc>
          <w:tcPr>
            <w:tcW w:w="596" w:type="pct"/>
            <w:tcMar>
              <w:top w:w="30" w:type="dxa"/>
              <w:left w:w="45" w:type="dxa"/>
              <w:bottom w:w="30" w:type="dxa"/>
              <w:right w:w="45" w:type="dxa"/>
            </w:tcMar>
            <w:vAlign w:val="center"/>
            <w:hideMark/>
          </w:tcPr>
          <w:p w14:paraId="481835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148.334.444.053</w:t>
            </w:r>
          </w:p>
        </w:tc>
        <w:tc>
          <w:tcPr>
            <w:tcW w:w="561" w:type="pct"/>
            <w:tcMar>
              <w:top w:w="30" w:type="dxa"/>
              <w:left w:w="45" w:type="dxa"/>
              <w:bottom w:w="30" w:type="dxa"/>
              <w:right w:w="45" w:type="dxa"/>
            </w:tcMar>
            <w:vAlign w:val="center"/>
            <w:hideMark/>
          </w:tcPr>
          <w:p w14:paraId="63DC12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4.792.925.188</w:t>
            </w:r>
          </w:p>
        </w:tc>
        <w:tc>
          <w:tcPr>
            <w:tcW w:w="925" w:type="pct"/>
            <w:vMerge/>
            <w:vAlign w:val="center"/>
            <w:hideMark/>
          </w:tcPr>
          <w:p w14:paraId="0CB75404" w14:textId="77777777" w:rsidR="00856F66" w:rsidRPr="00E31657" w:rsidRDefault="00856F66" w:rsidP="00B24742">
            <w:pPr>
              <w:rPr>
                <w:rFonts w:cs="Arial"/>
                <w:b/>
                <w:bCs/>
                <w:sz w:val="16"/>
                <w:szCs w:val="16"/>
                <w:lang w:val="es-ES_tradnl" w:eastAsia="es-MX"/>
              </w:rPr>
            </w:pPr>
          </w:p>
        </w:tc>
      </w:tr>
      <w:tr w:rsidR="00856F66" w:rsidRPr="00E31657" w14:paraId="3EA1EE9B" w14:textId="77777777" w:rsidTr="00156332">
        <w:trPr>
          <w:trHeight w:val="660"/>
        </w:trPr>
        <w:tc>
          <w:tcPr>
            <w:tcW w:w="829" w:type="pct"/>
            <w:vMerge w:val="restart"/>
            <w:tcMar>
              <w:top w:w="30" w:type="dxa"/>
              <w:left w:w="45" w:type="dxa"/>
              <w:bottom w:w="30" w:type="dxa"/>
              <w:right w:w="45" w:type="dxa"/>
            </w:tcMar>
            <w:vAlign w:val="center"/>
            <w:hideMark/>
          </w:tcPr>
          <w:p w14:paraId="6C64080C"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Dar respuesta oportuna como mínimo al 90% de las alertas emergencias enfermedades emergentes y reemergentes notificadas con impacto en salud pública. dentro de las primeras 24 horas.</w:t>
            </w:r>
          </w:p>
        </w:tc>
        <w:tc>
          <w:tcPr>
            <w:tcW w:w="359" w:type="pct"/>
            <w:vMerge w:val="restart"/>
            <w:tcMar>
              <w:top w:w="30" w:type="dxa"/>
              <w:left w:w="45" w:type="dxa"/>
              <w:bottom w:w="30" w:type="dxa"/>
              <w:right w:w="45" w:type="dxa"/>
            </w:tcMar>
            <w:vAlign w:val="center"/>
            <w:hideMark/>
          </w:tcPr>
          <w:p w14:paraId="5495B5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r w:rsidRPr="00E31657">
              <w:rPr>
                <w:rFonts w:cs="Arial"/>
                <w:sz w:val="16"/>
                <w:szCs w:val="16"/>
                <w:lang w:val="es-ES_tradnl" w:eastAsia="es-MX"/>
              </w:rPr>
              <w:br/>
              <w:t>(2023)</w:t>
            </w:r>
          </w:p>
        </w:tc>
        <w:tc>
          <w:tcPr>
            <w:tcW w:w="535" w:type="pct"/>
            <w:vMerge w:val="restart"/>
            <w:tcMar>
              <w:top w:w="30" w:type="dxa"/>
              <w:left w:w="45" w:type="dxa"/>
              <w:bottom w:w="30" w:type="dxa"/>
              <w:right w:w="45" w:type="dxa"/>
            </w:tcMar>
            <w:vAlign w:val="center"/>
            <w:hideMark/>
          </w:tcPr>
          <w:p w14:paraId="0E5988C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Base de Urgencias y Emergencias en Salud Pública</w:t>
            </w:r>
          </w:p>
        </w:tc>
        <w:tc>
          <w:tcPr>
            <w:tcW w:w="608" w:type="pct"/>
            <w:tcMar>
              <w:top w:w="30" w:type="dxa"/>
              <w:left w:w="45" w:type="dxa"/>
              <w:bottom w:w="30" w:type="dxa"/>
              <w:right w:w="45" w:type="dxa"/>
            </w:tcMar>
            <w:vAlign w:val="center"/>
            <w:hideMark/>
          </w:tcPr>
          <w:p w14:paraId="1BE0A4B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p>
        </w:tc>
        <w:tc>
          <w:tcPr>
            <w:tcW w:w="587" w:type="pct"/>
            <w:tcMar>
              <w:top w:w="30" w:type="dxa"/>
              <w:left w:w="45" w:type="dxa"/>
              <w:bottom w:w="30" w:type="dxa"/>
              <w:right w:w="45" w:type="dxa"/>
            </w:tcMar>
            <w:vAlign w:val="center"/>
            <w:hideMark/>
          </w:tcPr>
          <w:p w14:paraId="141BCE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p>
        </w:tc>
        <w:tc>
          <w:tcPr>
            <w:tcW w:w="596" w:type="pct"/>
            <w:tcMar>
              <w:top w:w="30" w:type="dxa"/>
              <w:left w:w="45" w:type="dxa"/>
              <w:bottom w:w="30" w:type="dxa"/>
              <w:right w:w="45" w:type="dxa"/>
            </w:tcMar>
            <w:vAlign w:val="center"/>
            <w:hideMark/>
          </w:tcPr>
          <w:p w14:paraId="09C7622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p>
        </w:tc>
        <w:tc>
          <w:tcPr>
            <w:tcW w:w="561" w:type="pct"/>
            <w:tcMar>
              <w:top w:w="30" w:type="dxa"/>
              <w:left w:w="45" w:type="dxa"/>
              <w:bottom w:w="30" w:type="dxa"/>
              <w:right w:w="45" w:type="dxa"/>
            </w:tcMar>
            <w:vAlign w:val="center"/>
            <w:hideMark/>
          </w:tcPr>
          <w:p w14:paraId="410D52C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p>
        </w:tc>
        <w:tc>
          <w:tcPr>
            <w:tcW w:w="925" w:type="pct"/>
            <w:vMerge w:val="restart"/>
            <w:tcMar>
              <w:top w:w="30" w:type="dxa"/>
              <w:left w:w="45" w:type="dxa"/>
              <w:bottom w:w="30" w:type="dxa"/>
              <w:right w:w="45" w:type="dxa"/>
            </w:tcMar>
            <w:vAlign w:val="center"/>
            <w:hideMark/>
          </w:tcPr>
          <w:p w14:paraId="372C6EC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11.135.380.648</w:t>
            </w:r>
          </w:p>
        </w:tc>
      </w:tr>
      <w:tr w:rsidR="00856F66" w:rsidRPr="00E31657" w14:paraId="61EC8FC6" w14:textId="77777777" w:rsidTr="00156332">
        <w:trPr>
          <w:trHeight w:val="660"/>
        </w:trPr>
        <w:tc>
          <w:tcPr>
            <w:tcW w:w="829" w:type="pct"/>
            <w:vMerge/>
            <w:vAlign w:val="center"/>
            <w:hideMark/>
          </w:tcPr>
          <w:p w14:paraId="654B79E3" w14:textId="77777777" w:rsidR="00856F66" w:rsidRPr="00E31657" w:rsidRDefault="00856F66" w:rsidP="00B95135">
            <w:pPr>
              <w:jc w:val="right"/>
              <w:rPr>
                <w:rFonts w:cs="Arial"/>
                <w:sz w:val="16"/>
                <w:szCs w:val="16"/>
                <w:lang w:val="es-ES_tradnl" w:eastAsia="es-MX"/>
              </w:rPr>
            </w:pPr>
          </w:p>
        </w:tc>
        <w:tc>
          <w:tcPr>
            <w:tcW w:w="359" w:type="pct"/>
            <w:vMerge/>
            <w:vAlign w:val="center"/>
            <w:hideMark/>
          </w:tcPr>
          <w:p w14:paraId="1B8FE18B" w14:textId="77777777" w:rsidR="00856F66" w:rsidRPr="00E31657" w:rsidRDefault="00856F66" w:rsidP="00B24742">
            <w:pPr>
              <w:rPr>
                <w:rFonts w:cs="Arial"/>
                <w:sz w:val="16"/>
                <w:szCs w:val="16"/>
                <w:lang w:val="es-ES_tradnl" w:eastAsia="es-MX"/>
              </w:rPr>
            </w:pPr>
          </w:p>
        </w:tc>
        <w:tc>
          <w:tcPr>
            <w:tcW w:w="535" w:type="pct"/>
            <w:vMerge/>
            <w:vAlign w:val="center"/>
            <w:hideMark/>
          </w:tcPr>
          <w:p w14:paraId="79CC506F" w14:textId="77777777" w:rsidR="00856F66" w:rsidRPr="00E31657" w:rsidRDefault="00856F66" w:rsidP="00B24742">
            <w:pPr>
              <w:rPr>
                <w:rFonts w:cs="Arial"/>
                <w:sz w:val="16"/>
                <w:szCs w:val="16"/>
                <w:lang w:val="es-ES_tradnl" w:eastAsia="es-MX"/>
              </w:rPr>
            </w:pPr>
          </w:p>
        </w:tc>
        <w:tc>
          <w:tcPr>
            <w:tcW w:w="608" w:type="pct"/>
            <w:tcMar>
              <w:top w:w="30" w:type="dxa"/>
              <w:left w:w="45" w:type="dxa"/>
              <w:bottom w:w="30" w:type="dxa"/>
              <w:right w:w="45" w:type="dxa"/>
            </w:tcMar>
            <w:vAlign w:val="center"/>
            <w:hideMark/>
          </w:tcPr>
          <w:p w14:paraId="2E36A2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500.000.000</w:t>
            </w:r>
          </w:p>
        </w:tc>
        <w:tc>
          <w:tcPr>
            <w:tcW w:w="587" w:type="pct"/>
            <w:tcMar>
              <w:top w:w="30" w:type="dxa"/>
              <w:left w:w="45" w:type="dxa"/>
              <w:bottom w:w="30" w:type="dxa"/>
              <w:right w:w="45" w:type="dxa"/>
            </w:tcMar>
            <w:vAlign w:val="center"/>
            <w:hideMark/>
          </w:tcPr>
          <w:p w14:paraId="00FED2B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3.425.900.237</w:t>
            </w:r>
          </w:p>
        </w:tc>
        <w:tc>
          <w:tcPr>
            <w:tcW w:w="596" w:type="pct"/>
            <w:tcMar>
              <w:top w:w="30" w:type="dxa"/>
              <w:left w:w="45" w:type="dxa"/>
              <w:bottom w:w="30" w:type="dxa"/>
              <w:right w:w="45" w:type="dxa"/>
            </w:tcMar>
            <w:vAlign w:val="center"/>
            <w:hideMark/>
          </w:tcPr>
          <w:p w14:paraId="4AE6EB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3.542.586.189</w:t>
            </w:r>
          </w:p>
        </w:tc>
        <w:tc>
          <w:tcPr>
            <w:tcW w:w="561" w:type="pct"/>
            <w:tcMar>
              <w:top w:w="30" w:type="dxa"/>
              <w:left w:w="45" w:type="dxa"/>
              <w:bottom w:w="30" w:type="dxa"/>
              <w:right w:w="45" w:type="dxa"/>
            </w:tcMar>
            <w:vAlign w:val="center"/>
            <w:hideMark/>
          </w:tcPr>
          <w:p w14:paraId="17DFEE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3.666.894.222</w:t>
            </w:r>
          </w:p>
        </w:tc>
        <w:tc>
          <w:tcPr>
            <w:tcW w:w="925" w:type="pct"/>
            <w:vMerge/>
            <w:vAlign w:val="center"/>
            <w:hideMark/>
          </w:tcPr>
          <w:p w14:paraId="04C703E1" w14:textId="77777777" w:rsidR="00856F66" w:rsidRPr="00E31657" w:rsidRDefault="00856F66" w:rsidP="00B24742">
            <w:pPr>
              <w:rPr>
                <w:rFonts w:cs="Arial"/>
                <w:b/>
                <w:bCs/>
                <w:sz w:val="16"/>
                <w:szCs w:val="16"/>
                <w:lang w:val="es-ES_tradnl" w:eastAsia="es-MX"/>
              </w:rPr>
            </w:pPr>
          </w:p>
        </w:tc>
      </w:tr>
      <w:tr w:rsidR="00856F66" w:rsidRPr="00E31657" w14:paraId="4A3B73C8" w14:textId="77777777" w:rsidTr="00156332">
        <w:trPr>
          <w:trHeight w:val="480"/>
        </w:trPr>
        <w:tc>
          <w:tcPr>
            <w:tcW w:w="829" w:type="pct"/>
            <w:vMerge w:val="restart"/>
            <w:tcMar>
              <w:top w:w="30" w:type="dxa"/>
              <w:left w:w="45" w:type="dxa"/>
              <w:bottom w:w="30" w:type="dxa"/>
              <w:right w:w="45" w:type="dxa"/>
            </w:tcMar>
            <w:vAlign w:val="center"/>
            <w:hideMark/>
          </w:tcPr>
          <w:p w14:paraId="4B54923E"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Diseñar implementar y evaluar el Modelo de Salud para la población de Bogotá D.C.</w:t>
            </w:r>
          </w:p>
        </w:tc>
        <w:tc>
          <w:tcPr>
            <w:tcW w:w="359" w:type="pct"/>
            <w:vMerge w:val="restart"/>
            <w:tcMar>
              <w:top w:w="30" w:type="dxa"/>
              <w:left w:w="45" w:type="dxa"/>
              <w:bottom w:w="30" w:type="dxa"/>
              <w:right w:w="45" w:type="dxa"/>
            </w:tcMar>
            <w:vAlign w:val="center"/>
            <w:hideMark/>
          </w:tcPr>
          <w:p w14:paraId="067B434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535" w:type="pct"/>
            <w:vMerge w:val="restart"/>
            <w:tcMar>
              <w:top w:w="30" w:type="dxa"/>
              <w:left w:w="45" w:type="dxa"/>
              <w:bottom w:w="30" w:type="dxa"/>
              <w:right w:w="45" w:type="dxa"/>
            </w:tcMar>
            <w:vAlign w:val="center"/>
            <w:hideMark/>
          </w:tcPr>
          <w:p w14:paraId="41D073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Salu-Data</w:t>
            </w:r>
          </w:p>
        </w:tc>
        <w:tc>
          <w:tcPr>
            <w:tcW w:w="608" w:type="pct"/>
            <w:tcMar>
              <w:top w:w="30" w:type="dxa"/>
              <w:left w:w="45" w:type="dxa"/>
              <w:bottom w:w="30" w:type="dxa"/>
              <w:right w:w="45" w:type="dxa"/>
            </w:tcMar>
            <w:vAlign w:val="center"/>
            <w:hideMark/>
          </w:tcPr>
          <w:p w14:paraId="74E704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w:t>
            </w:r>
          </w:p>
        </w:tc>
        <w:tc>
          <w:tcPr>
            <w:tcW w:w="587" w:type="pct"/>
            <w:tcMar>
              <w:top w:w="30" w:type="dxa"/>
              <w:left w:w="45" w:type="dxa"/>
              <w:bottom w:w="30" w:type="dxa"/>
              <w:right w:w="45" w:type="dxa"/>
            </w:tcMar>
            <w:vAlign w:val="center"/>
            <w:hideMark/>
          </w:tcPr>
          <w:p w14:paraId="5DA033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596" w:type="pct"/>
            <w:tcMar>
              <w:top w:w="30" w:type="dxa"/>
              <w:left w:w="45" w:type="dxa"/>
              <w:bottom w:w="30" w:type="dxa"/>
              <w:right w:w="45" w:type="dxa"/>
            </w:tcMar>
            <w:vAlign w:val="center"/>
            <w:hideMark/>
          </w:tcPr>
          <w:p w14:paraId="65F74B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561" w:type="pct"/>
            <w:tcMar>
              <w:top w:w="30" w:type="dxa"/>
              <w:left w:w="45" w:type="dxa"/>
              <w:bottom w:w="30" w:type="dxa"/>
              <w:right w:w="45" w:type="dxa"/>
            </w:tcMar>
            <w:vAlign w:val="center"/>
            <w:hideMark/>
          </w:tcPr>
          <w:p w14:paraId="5B1DF7D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925" w:type="pct"/>
            <w:vMerge w:val="restart"/>
            <w:tcMar>
              <w:top w:w="30" w:type="dxa"/>
              <w:left w:w="45" w:type="dxa"/>
              <w:bottom w:w="30" w:type="dxa"/>
              <w:right w:w="45" w:type="dxa"/>
            </w:tcMar>
            <w:vAlign w:val="center"/>
            <w:hideMark/>
          </w:tcPr>
          <w:p w14:paraId="27BAF45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715.394.735.433</w:t>
            </w:r>
          </w:p>
        </w:tc>
      </w:tr>
      <w:tr w:rsidR="00856F66" w:rsidRPr="00E31657" w14:paraId="53BEA9C5" w14:textId="77777777" w:rsidTr="00156332">
        <w:trPr>
          <w:trHeight w:val="480"/>
        </w:trPr>
        <w:tc>
          <w:tcPr>
            <w:tcW w:w="829" w:type="pct"/>
            <w:vMerge/>
            <w:vAlign w:val="center"/>
            <w:hideMark/>
          </w:tcPr>
          <w:p w14:paraId="65D5ADE0" w14:textId="77777777" w:rsidR="00856F66" w:rsidRPr="00E31657" w:rsidRDefault="00856F66" w:rsidP="00B95135">
            <w:pPr>
              <w:jc w:val="right"/>
              <w:rPr>
                <w:rFonts w:cs="Arial"/>
                <w:sz w:val="16"/>
                <w:szCs w:val="16"/>
                <w:lang w:val="es-ES_tradnl" w:eastAsia="es-MX"/>
              </w:rPr>
            </w:pPr>
          </w:p>
        </w:tc>
        <w:tc>
          <w:tcPr>
            <w:tcW w:w="359" w:type="pct"/>
            <w:vMerge/>
            <w:vAlign w:val="center"/>
            <w:hideMark/>
          </w:tcPr>
          <w:p w14:paraId="517C4BA2" w14:textId="77777777" w:rsidR="00856F66" w:rsidRPr="00E31657" w:rsidRDefault="00856F66" w:rsidP="00B24742">
            <w:pPr>
              <w:rPr>
                <w:rFonts w:cs="Arial"/>
                <w:sz w:val="16"/>
                <w:szCs w:val="16"/>
                <w:lang w:val="es-ES_tradnl" w:eastAsia="es-MX"/>
              </w:rPr>
            </w:pPr>
          </w:p>
        </w:tc>
        <w:tc>
          <w:tcPr>
            <w:tcW w:w="535" w:type="pct"/>
            <w:vMerge/>
            <w:vAlign w:val="center"/>
            <w:hideMark/>
          </w:tcPr>
          <w:p w14:paraId="286E56DA" w14:textId="77777777" w:rsidR="00856F66" w:rsidRPr="00E31657" w:rsidRDefault="00856F66" w:rsidP="00B24742">
            <w:pPr>
              <w:rPr>
                <w:rFonts w:cs="Arial"/>
                <w:sz w:val="16"/>
                <w:szCs w:val="16"/>
                <w:lang w:val="es-ES_tradnl" w:eastAsia="es-MX"/>
              </w:rPr>
            </w:pPr>
          </w:p>
        </w:tc>
        <w:tc>
          <w:tcPr>
            <w:tcW w:w="608" w:type="pct"/>
            <w:tcMar>
              <w:top w:w="30" w:type="dxa"/>
              <w:left w:w="45" w:type="dxa"/>
              <w:bottom w:w="30" w:type="dxa"/>
              <w:right w:w="45" w:type="dxa"/>
            </w:tcMar>
            <w:vAlign w:val="center"/>
            <w:hideMark/>
          </w:tcPr>
          <w:p w14:paraId="2C06AA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286.029.657.678</w:t>
            </w:r>
          </w:p>
        </w:tc>
        <w:tc>
          <w:tcPr>
            <w:tcW w:w="587" w:type="pct"/>
            <w:tcMar>
              <w:top w:w="30" w:type="dxa"/>
              <w:left w:w="45" w:type="dxa"/>
              <w:bottom w:w="30" w:type="dxa"/>
              <w:right w:w="45" w:type="dxa"/>
            </w:tcMar>
            <w:vAlign w:val="center"/>
            <w:hideMark/>
          </w:tcPr>
          <w:p w14:paraId="16BD8CC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176.299.381.600</w:t>
            </w:r>
          </w:p>
        </w:tc>
        <w:tc>
          <w:tcPr>
            <w:tcW w:w="596" w:type="pct"/>
            <w:tcMar>
              <w:top w:w="30" w:type="dxa"/>
              <w:left w:w="45" w:type="dxa"/>
              <w:bottom w:w="30" w:type="dxa"/>
              <w:right w:w="45" w:type="dxa"/>
            </w:tcMar>
            <w:vAlign w:val="center"/>
            <w:hideMark/>
          </w:tcPr>
          <w:p w14:paraId="00CD6A2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149.481.519.042</w:t>
            </w:r>
          </w:p>
        </w:tc>
        <w:tc>
          <w:tcPr>
            <w:tcW w:w="561" w:type="pct"/>
            <w:tcMar>
              <w:top w:w="30" w:type="dxa"/>
              <w:left w:w="45" w:type="dxa"/>
              <w:bottom w:w="30" w:type="dxa"/>
              <w:right w:w="45" w:type="dxa"/>
            </w:tcMar>
            <w:vAlign w:val="center"/>
            <w:hideMark/>
          </w:tcPr>
          <w:p w14:paraId="636D5F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103.584.177.113</w:t>
            </w:r>
          </w:p>
        </w:tc>
        <w:tc>
          <w:tcPr>
            <w:tcW w:w="925" w:type="pct"/>
            <w:vMerge/>
            <w:vAlign w:val="center"/>
            <w:hideMark/>
          </w:tcPr>
          <w:p w14:paraId="75FBB0E8" w14:textId="77777777" w:rsidR="00856F66" w:rsidRPr="00E31657" w:rsidRDefault="00856F66" w:rsidP="00B24742">
            <w:pPr>
              <w:rPr>
                <w:rFonts w:cs="Arial"/>
                <w:b/>
                <w:bCs/>
                <w:sz w:val="16"/>
                <w:szCs w:val="16"/>
                <w:lang w:val="es-ES_tradnl" w:eastAsia="es-MX"/>
              </w:rPr>
            </w:pPr>
          </w:p>
        </w:tc>
      </w:tr>
      <w:tr w:rsidR="00856F66" w:rsidRPr="00E31657" w14:paraId="033F2D72" w14:textId="77777777" w:rsidTr="00156332">
        <w:trPr>
          <w:trHeight w:val="480"/>
        </w:trPr>
        <w:tc>
          <w:tcPr>
            <w:tcW w:w="829" w:type="pct"/>
            <w:vMerge w:val="restart"/>
            <w:tcMar>
              <w:top w:w="30" w:type="dxa"/>
              <w:left w:w="45" w:type="dxa"/>
              <w:bottom w:w="30" w:type="dxa"/>
              <w:right w:w="45" w:type="dxa"/>
            </w:tcMar>
            <w:vAlign w:val="center"/>
            <w:hideMark/>
          </w:tcPr>
          <w:p w14:paraId="5483BD3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3 mecanismos para disminuir las barreras de acceso para la prestación de los servicios de salud.</w:t>
            </w:r>
          </w:p>
        </w:tc>
        <w:tc>
          <w:tcPr>
            <w:tcW w:w="359" w:type="pct"/>
            <w:vMerge w:val="restart"/>
            <w:tcMar>
              <w:top w:w="30" w:type="dxa"/>
              <w:left w:w="45" w:type="dxa"/>
              <w:bottom w:w="30" w:type="dxa"/>
              <w:right w:w="45" w:type="dxa"/>
            </w:tcMar>
            <w:vAlign w:val="center"/>
            <w:hideMark/>
          </w:tcPr>
          <w:p w14:paraId="5CFEA7D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535" w:type="pct"/>
            <w:vMerge w:val="restart"/>
            <w:tcMar>
              <w:top w:w="30" w:type="dxa"/>
              <w:left w:w="45" w:type="dxa"/>
              <w:bottom w:w="30" w:type="dxa"/>
              <w:right w:w="45" w:type="dxa"/>
            </w:tcMar>
            <w:vAlign w:val="center"/>
            <w:hideMark/>
          </w:tcPr>
          <w:p w14:paraId="307AD5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Problemáticas de acceso a servicios de salud. 2023</w:t>
            </w:r>
          </w:p>
        </w:tc>
        <w:tc>
          <w:tcPr>
            <w:tcW w:w="608" w:type="pct"/>
            <w:tcMar>
              <w:top w:w="30" w:type="dxa"/>
              <w:left w:w="45" w:type="dxa"/>
              <w:bottom w:w="30" w:type="dxa"/>
              <w:right w:w="45" w:type="dxa"/>
            </w:tcMar>
            <w:vAlign w:val="center"/>
            <w:hideMark/>
          </w:tcPr>
          <w:p w14:paraId="734B3E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587" w:type="pct"/>
            <w:tcMar>
              <w:top w:w="30" w:type="dxa"/>
              <w:left w:w="45" w:type="dxa"/>
              <w:bottom w:w="30" w:type="dxa"/>
              <w:right w:w="45" w:type="dxa"/>
            </w:tcMar>
            <w:vAlign w:val="center"/>
            <w:hideMark/>
          </w:tcPr>
          <w:p w14:paraId="289CBC2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596" w:type="pct"/>
            <w:tcMar>
              <w:top w:w="30" w:type="dxa"/>
              <w:left w:w="45" w:type="dxa"/>
              <w:bottom w:w="30" w:type="dxa"/>
              <w:right w:w="45" w:type="dxa"/>
            </w:tcMar>
            <w:vAlign w:val="center"/>
            <w:hideMark/>
          </w:tcPr>
          <w:p w14:paraId="1FEC12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561" w:type="pct"/>
            <w:tcMar>
              <w:top w:w="30" w:type="dxa"/>
              <w:left w:w="45" w:type="dxa"/>
              <w:bottom w:w="30" w:type="dxa"/>
              <w:right w:w="45" w:type="dxa"/>
            </w:tcMar>
            <w:vAlign w:val="center"/>
            <w:hideMark/>
          </w:tcPr>
          <w:p w14:paraId="3E88877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925" w:type="pct"/>
            <w:vMerge w:val="restart"/>
            <w:tcMar>
              <w:top w:w="30" w:type="dxa"/>
              <w:left w:w="45" w:type="dxa"/>
              <w:bottom w:w="30" w:type="dxa"/>
              <w:right w:w="45" w:type="dxa"/>
            </w:tcMar>
            <w:vAlign w:val="center"/>
            <w:hideMark/>
          </w:tcPr>
          <w:p w14:paraId="16C0F33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58.462.090.021</w:t>
            </w:r>
          </w:p>
        </w:tc>
      </w:tr>
      <w:tr w:rsidR="00856F66" w:rsidRPr="00E31657" w14:paraId="21F5636A" w14:textId="77777777" w:rsidTr="00156332">
        <w:trPr>
          <w:trHeight w:val="480"/>
        </w:trPr>
        <w:tc>
          <w:tcPr>
            <w:tcW w:w="829" w:type="pct"/>
            <w:vMerge/>
            <w:vAlign w:val="center"/>
            <w:hideMark/>
          </w:tcPr>
          <w:p w14:paraId="29BF2530" w14:textId="77777777" w:rsidR="00856F66" w:rsidRPr="00E31657" w:rsidRDefault="00856F66" w:rsidP="00B95135">
            <w:pPr>
              <w:jc w:val="right"/>
              <w:rPr>
                <w:rFonts w:cs="Arial"/>
                <w:sz w:val="16"/>
                <w:szCs w:val="16"/>
                <w:lang w:val="es-ES_tradnl" w:eastAsia="es-MX"/>
              </w:rPr>
            </w:pPr>
          </w:p>
        </w:tc>
        <w:tc>
          <w:tcPr>
            <w:tcW w:w="359" w:type="pct"/>
            <w:vMerge/>
            <w:vAlign w:val="center"/>
            <w:hideMark/>
          </w:tcPr>
          <w:p w14:paraId="250273D0" w14:textId="77777777" w:rsidR="00856F66" w:rsidRPr="00E31657" w:rsidRDefault="00856F66" w:rsidP="00B24742">
            <w:pPr>
              <w:rPr>
                <w:rFonts w:cs="Arial"/>
                <w:sz w:val="16"/>
                <w:szCs w:val="16"/>
                <w:lang w:val="es-ES_tradnl" w:eastAsia="es-MX"/>
              </w:rPr>
            </w:pPr>
          </w:p>
        </w:tc>
        <w:tc>
          <w:tcPr>
            <w:tcW w:w="535" w:type="pct"/>
            <w:vMerge/>
            <w:vAlign w:val="center"/>
            <w:hideMark/>
          </w:tcPr>
          <w:p w14:paraId="6A21C714" w14:textId="77777777" w:rsidR="00856F66" w:rsidRPr="00E31657" w:rsidRDefault="00856F66" w:rsidP="00B24742">
            <w:pPr>
              <w:rPr>
                <w:rFonts w:cs="Arial"/>
                <w:sz w:val="16"/>
                <w:szCs w:val="16"/>
                <w:lang w:val="es-ES_tradnl" w:eastAsia="es-MX"/>
              </w:rPr>
            </w:pPr>
          </w:p>
        </w:tc>
        <w:tc>
          <w:tcPr>
            <w:tcW w:w="608" w:type="pct"/>
            <w:tcMar>
              <w:top w:w="30" w:type="dxa"/>
              <w:left w:w="45" w:type="dxa"/>
              <w:bottom w:w="30" w:type="dxa"/>
              <w:right w:w="45" w:type="dxa"/>
            </w:tcMar>
            <w:vAlign w:val="center"/>
            <w:hideMark/>
          </w:tcPr>
          <w:p w14:paraId="2CDF464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10.130.000.000</w:t>
            </w:r>
          </w:p>
        </w:tc>
        <w:tc>
          <w:tcPr>
            <w:tcW w:w="587" w:type="pct"/>
            <w:tcMar>
              <w:top w:w="30" w:type="dxa"/>
              <w:left w:w="45" w:type="dxa"/>
              <w:bottom w:w="30" w:type="dxa"/>
              <w:right w:w="45" w:type="dxa"/>
            </w:tcMar>
            <w:vAlign w:val="center"/>
            <w:hideMark/>
          </w:tcPr>
          <w:p w14:paraId="0C97B68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17.693.380.153</w:t>
            </w:r>
          </w:p>
        </w:tc>
        <w:tc>
          <w:tcPr>
            <w:tcW w:w="596" w:type="pct"/>
            <w:tcMar>
              <w:top w:w="30" w:type="dxa"/>
              <w:left w:w="45" w:type="dxa"/>
              <w:bottom w:w="30" w:type="dxa"/>
              <w:right w:w="45" w:type="dxa"/>
            </w:tcMar>
            <w:vAlign w:val="center"/>
            <w:hideMark/>
          </w:tcPr>
          <w:p w14:paraId="334173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18.573.868.475</w:t>
            </w:r>
          </w:p>
        </w:tc>
        <w:tc>
          <w:tcPr>
            <w:tcW w:w="561" w:type="pct"/>
            <w:tcMar>
              <w:top w:w="30" w:type="dxa"/>
              <w:left w:w="45" w:type="dxa"/>
              <w:bottom w:w="30" w:type="dxa"/>
              <w:right w:w="45" w:type="dxa"/>
            </w:tcMar>
            <w:vAlign w:val="center"/>
            <w:hideMark/>
          </w:tcPr>
          <w:p w14:paraId="70EDE49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12.064.841.393</w:t>
            </w:r>
          </w:p>
        </w:tc>
        <w:tc>
          <w:tcPr>
            <w:tcW w:w="925" w:type="pct"/>
            <w:vMerge/>
            <w:vAlign w:val="center"/>
            <w:hideMark/>
          </w:tcPr>
          <w:p w14:paraId="71674600" w14:textId="77777777" w:rsidR="00856F66" w:rsidRPr="00E31657" w:rsidRDefault="00856F66" w:rsidP="00B24742">
            <w:pPr>
              <w:rPr>
                <w:rFonts w:cs="Arial"/>
                <w:b/>
                <w:bCs/>
                <w:sz w:val="16"/>
                <w:szCs w:val="16"/>
                <w:lang w:val="es-ES_tradnl" w:eastAsia="es-MX"/>
              </w:rPr>
            </w:pPr>
          </w:p>
        </w:tc>
      </w:tr>
      <w:tr w:rsidR="00856F66" w:rsidRPr="00E31657" w14:paraId="3CE6B930" w14:textId="77777777" w:rsidTr="00156332">
        <w:trPr>
          <w:trHeight w:val="480"/>
        </w:trPr>
        <w:tc>
          <w:tcPr>
            <w:tcW w:w="829" w:type="pct"/>
            <w:vMerge w:val="restart"/>
            <w:tcMar>
              <w:top w:w="30" w:type="dxa"/>
              <w:left w:w="45" w:type="dxa"/>
              <w:bottom w:w="30" w:type="dxa"/>
              <w:right w:w="45" w:type="dxa"/>
            </w:tcMar>
            <w:vAlign w:val="center"/>
            <w:hideMark/>
          </w:tcPr>
          <w:p w14:paraId="5DF3A542"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Total Mantener la cobertura del 100% del aseguramiento de la población al SGSSS en el Distrito Capital.</w:t>
            </w:r>
          </w:p>
        </w:tc>
        <w:tc>
          <w:tcPr>
            <w:tcW w:w="359" w:type="pct"/>
            <w:vMerge w:val="restart"/>
            <w:tcMar>
              <w:top w:w="30" w:type="dxa"/>
              <w:left w:w="45" w:type="dxa"/>
              <w:bottom w:w="30" w:type="dxa"/>
              <w:right w:w="45" w:type="dxa"/>
            </w:tcMar>
            <w:vAlign w:val="center"/>
            <w:hideMark/>
          </w:tcPr>
          <w:p w14:paraId="29B35D7E" w14:textId="77777777" w:rsidR="00856F66" w:rsidRDefault="00F6255D" w:rsidP="00F6255D">
            <w:pPr>
              <w:jc w:val="center"/>
              <w:rPr>
                <w:rFonts w:cs="Arial"/>
                <w:sz w:val="16"/>
                <w:szCs w:val="16"/>
                <w:lang w:val="es-ES_tradnl" w:eastAsia="es-MX"/>
              </w:rPr>
            </w:pPr>
            <w:r>
              <w:rPr>
                <w:rFonts w:cs="Arial"/>
                <w:sz w:val="16"/>
                <w:szCs w:val="16"/>
                <w:lang w:val="es-ES_tradnl" w:eastAsia="es-MX"/>
              </w:rPr>
              <w:t>100%</w:t>
            </w:r>
          </w:p>
          <w:p w14:paraId="6717C751" w14:textId="033009AC" w:rsidR="00F6255D" w:rsidRPr="00E31657" w:rsidRDefault="00F6255D" w:rsidP="00F6255D">
            <w:pPr>
              <w:jc w:val="center"/>
              <w:rPr>
                <w:rFonts w:cs="Arial"/>
                <w:sz w:val="16"/>
                <w:szCs w:val="16"/>
                <w:lang w:val="es-ES_tradnl" w:eastAsia="es-MX"/>
              </w:rPr>
            </w:pPr>
            <w:r>
              <w:rPr>
                <w:rFonts w:cs="Arial"/>
                <w:sz w:val="16"/>
                <w:szCs w:val="16"/>
                <w:lang w:val="es-ES_tradnl" w:eastAsia="es-MX"/>
              </w:rPr>
              <w:t>(2023)</w:t>
            </w:r>
          </w:p>
        </w:tc>
        <w:tc>
          <w:tcPr>
            <w:tcW w:w="535" w:type="pct"/>
            <w:vMerge w:val="restart"/>
            <w:tcMar>
              <w:top w:w="30" w:type="dxa"/>
              <w:left w:w="45" w:type="dxa"/>
              <w:bottom w:w="30" w:type="dxa"/>
              <w:right w:w="45" w:type="dxa"/>
            </w:tcMar>
            <w:vAlign w:val="center"/>
            <w:hideMark/>
          </w:tcPr>
          <w:p w14:paraId="16464F50" w14:textId="6DA65F1C" w:rsidR="00856F66" w:rsidRPr="00E31657" w:rsidRDefault="00751AC3" w:rsidP="00751AC3">
            <w:pPr>
              <w:jc w:val="center"/>
              <w:rPr>
                <w:sz w:val="16"/>
                <w:szCs w:val="16"/>
                <w:lang w:val="es-ES_tradnl" w:eastAsia="es-MX"/>
              </w:rPr>
            </w:pPr>
            <w:r w:rsidRPr="00751AC3">
              <w:rPr>
                <w:sz w:val="16"/>
                <w:szCs w:val="16"/>
                <w:lang w:val="es-ES_tradnl" w:eastAsia="es-MX"/>
              </w:rPr>
              <w:t xml:space="preserve">Subsidiado BDUA - ADRES corte a 31 de enero de 2024. * Contributivo BDUA - ADRES corte a 31 de </w:t>
            </w:r>
            <w:r w:rsidRPr="00751AC3">
              <w:rPr>
                <w:sz w:val="16"/>
                <w:szCs w:val="16"/>
                <w:lang w:val="es-ES_tradnl" w:eastAsia="es-MX"/>
              </w:rPr>
              <w:lastRenderedPageBreak/>
              <w:t>enero de 2024. * Base de datos SISBÉN certificada DNP vigente a 31 de enero de 2024 * Proyección censo DANE actualización post Covid-19. * DANE-SDP Encuesta Multipropósito 2021.</w:t>
            </w:r>
          </w:p>
        </w:tc>
        <w:tc>
          <w:tcPr>
            <w:tcW w:w="608" w:type="pct"/>
            <w:tcMar>
              <w:top w:w="30" w:type="dxa"/>
              <w:left w:w="45" w:type="dxa"/>
              <w:bottom w:w="30" w:type="dxa"/>
              <w:right w:w="45" w:type="dxa"/>
            </w:tcMar>
            <w:vAlign w:val="center"/>
            <w:hideMark/>
          </w:tcPr>
          <w:p w14:paraId="225D5E38" w14:textId="2FC4CAB3" w:rsidR="00856F66" w:rsidRPr="00E31657" w:rsidRDefault="00F6255D" w:rsidP="00F6255D">
            <w:pPr>
              <w:jc w:val="center"/>
              <w:rPr>
                <w:sz w:val="16"/>
                <w:szCs w:val="16"/>
                <w:lang w:val="es-ES_tradnl" w:eastAsia="es-MX"/>
              </w:rPr>
            </w:pPr>
            <w:r>
              <w:rPr>
                <w:sz w:val="16"/>
                <w:szCs w:val="16"/>
                <w:lang w:val="es-ES_tradnl" w:eastAsia="es-MX"/>
              </w:rPr>
              <w:lastRenderedPageBreak/>
              <w:t>100%</w:t>
            </w:r>
          </w:p>
        </w:tc>
        <w:tc>
          <w:tcPr>
            <w:tcW w:w="587" w:type="pct"/>
            <w:tcMar>
              <w:top w:w="30" w:type="dxa"/>
              <w:left w:w="45" w:type="dxa"/>
              <w:bottom w:w="30" w:type="dxa"/>
              <w:right w:w="45" w:type="dxa"/>
            </w:tcMar>
            <w:vAlign w:val="center"/>
            <w:hideMark/>
          </w:tcPr>
          <w:p w14:paraId="72F45FFC" w14:textId="358E76BB" w:rsidR="00856F66" w:rsidRPr="00E31657" w:rsidRDefault="00F6255D" w:rsidP="00F6255D">
            <w:pPr>
              <w:jc w:val="center"/>
              <w:rPr>
                <w:sz w:val="16"/>
                <w:szCs w:val="16"/>
                <w:lang w:val="es-ES_tradnl" w:eastAsia="es-MX"/>
              </w:rPr>
            </w:pPr>
            <w:r>
              <w:rPr>
                <w:sz w:val="16"/>
                <w:szCs w:val="16"/>
                <w:lang w:val="es-ES_tradnl" w:eastAsia="es-MX"/>
              </w:rPr>
              <w:t>100%</w:t>
            </w:r>
          </w:p>
        </w:tc>
        <w:tc>
          <w:tcPr>
            <w:tcW w:w="596" w:type="pct"/>
            <w:tcMar>
              <w:top w:w="30" w:type="dxa"/>
              <w:left w:w="45" w:type="dxa"/>
              <w:bottom w:w="30" w:type="dxa"/>
              <w:right w:w="45" w:type="dxa"/>
            </w:tcMar>
            <w:vAlign w:val="center"/>
            <w:hideMark/>
          </w:tcPr>
          <w:p w14:paraId="241337FE" w14:textId="21253E63" w:rsidR="00856F66" w:rsidRPr="00E31657" w:rsidRDefault="00F6255D" w:rsidP="00F6255D">
            <w:pPr>
              <w:jc w:val="center"/>
              <w:rPr>
                <w:sz w:val="16"/>
                <w:szCs w:val="16"/>
                <w:lang w:val="es-ES_tradnl" w:eastAsia="es-MX"/>
              </w:rPr>
            </w:pPr>
            <w:r>
              <w:rPr>
                <w:sz w:val="16"/>
                <w:szCs w:val="16"/>
                <w:lang w:val="es-ES_tradnl" w:eastAsia="es-MX"/>
              </w:rPr>
              <w:t>100%</w:t>
            </w:r>
          </w:p>
        </w:tc>
        <w:tc>
          <w:tcPr>
            <w:tcW w:w="561" w:type="pct"/>
            <w:tcMar>
              <w:top w:w="30" w:type="dxa"/>
              <w:left w:w="45" w:type="dxa"/>
              <w:bottom w:w="30" w:type="dxa"/>
              <w:right w:w="45" w:type="dxa"/>
            </w:tcMar>
            <w:vAlign w:val="center"/>
            <w:hideMark/>
          </w:tcPr>
          <w:p w14:paraId="1057BF0D" w14:textId="466100A4" w:rsidR="00856F66" w:rsidRPr="00E31657" w:rsidRDefault="00F6255D" w:rsidP="00F6255D">
            <w:pPr>
              <w:jc w:val="center"/>
              <w:rPr>
                <w:sz w:val="16"/>
                <w:szCs w:val="16"/>
                <w:lang w:val="es-ES_tradnl" w:eastAsia="es-MX"/>
              </w:rPr>
            </w:pPr>
            <w:r>
              <w:rPr>
                <w:sz w:val="16"/>
                <w:szCs w:val="16"/>
                <w:lang w:val="es-ES_tradnl" w:eastAsia="es-MX"/>
              </w:rPr>
              <w:t>100%</w:t>
            </w:r>
          </w:p>
        </w:tc>
        <w:tc>
          <w:tcPr>
            <w:tcW w:w="925" w:type="pct"/>
            <w:vMerge w:val="restart"/>
            <w:tcMar>
              <w:top w:w="30" w:type="dxa"/>
              <w:left w:w="45" w:type="dxa"/>
              <w:bottom w:w="30" w:type="dxa"/>
              <w:right w:w="45" w:type="dxa"/>
            </w:tcMar>
            <w:vAlign w:val="center"/>
            <w:hideMark/>
          </w:tcPr>
          <w:p w14:paraId="11491CE8" w14:textId="659BADA3" w:rsidR="00856F66" w:rsidRPr="00E31657" w:rsidRDefault="00751AC3" w:rsidP="00B24742">
            <w:pPr>
              <w:jc w:val="center"/>
              <w:rPr>
                <w:rFonts w:cs="Arial"/>
                <w:b/>
                <w:bCs/>
                <w:sz w:val="16"/>
                <w:szCs w:val="16"/>
                <w:lang w:val="es-ES_tradnl" w:eastAsia="es-MX"/>
              </w:rPr>
            </w:pPr>
            <w:r>
              <w:rPr>
                <w:rFonts w:cs="Arial"/>
                <w:b/>
                <w:bCs/>
                <w:sz w:val="16"/>
                <w:szCs w:val="16"/>
                <w:lang w:val="es-ES_tradnl" w:eastAsia="es-MX"/>
              </w:rPr>
              <w:t>12.747.989.095.849</w:t>
            </w:r>
          </w:p>
        </w:tc>
      </w:tr>
      <w:tr w:rsidR="00856F66" w:rsidRPr="00E31657" w14:paraId="5D3F2D0B" w14:textId="77777777" w:rsidTr="00751AC3">
        <w:trPr>
          <w:trHeight w:val="480"/>
        </w:trPr>
        <w:tc>
          <w:tcPr>
            <w:tcW w:w="829" w:type="pct"/>
            <w:vMerge/>
            <w:vAlign w:val="center"/>
            <w:hideMark/>
          </w:tcPr>
          <w:p w14:paraId="7A5B3628" w14:textId="77777777" w:rsidR="00856F66" w:rsidRPr="00E31657" w:rsidRDefault="00856F66" w:rsidP="00B95135">
            <w:pPr>
              <w:jc w:val="right"/>
              <w:rPr>
                <w:rFonts w:cs="Arial"/>
                <w:sz w:val="16"/>
                <w:szCs w:val="16"/>
                <w:lang w:val="es-ES_tradnl" w:eastAsia="es-MX"/>
              </w:rPr>
            </w:pPr>
          </w:p>
        </w:tc>
        <w:tc>
          <w:tcPr>
            <w:tcW w:w="359" w:type="pct"/>
            <w:vMerge/>
            <w:vAlign w:val="center"/>
            <w:hideMark/>
          </w:tcPr>
          <w:p w14:paraId="1839A6ED" w14:textId="77777777" w:rsidR="00856F66" w:rsidRPr="00E31657" w:rsidRDefault="00856F66" w:rsidP="00B24742">
            <w:pPr>
              <w:rPr>
                <w:rFonts w:cs="Arial"/>
                <w:sz w:val="16"/>
                <w:szCs w:val="16"/>
                <w:lang w:val="es-ES_tradnl" w:eastAsia="es-MX"/>
              </w:rPr>
            </w:pPr>
          </w:p>
        </w:tc>
        <w:tc>
          <w:tcPr>
            <w:tcW w:w="535" w:type="pct"/>
            <w:vMerge/>
            <w:vAlign w:val="center"/>
            <w:hideMark/>
          </w:tcPr>
          <w:p w14:paraId="76C59874" w14:textId="77777777" w:rsidR="00856F66" w:rsidRPr="00E31657" w:rsidRDefault="00856F66" w:rsidP="00B24742">
            <w:pPr>
              <w:rPr>
                <w:sz w:val="16"/>
                <w:szCs w:val="16"/>
                <w:lang w:val="es-ES_tradnl" w:eastAsia="es-MX"/>
              </w:rPr>
            </w:pPr>
          </w:p>
        </w:tc>
        <w:tc>
          <w:tcPr>
            <w:tcW w:w="608" w:type="pct"/>
            <w:tcMar>
              <w:top w:w="30" w:type="dxa"/>
              <w:left w:w="45" w:type="dxa"/>
              <w:bottom w:w="30" w:type="dxa"/>
              <w:right w:w="45" w:type="dxa"/>
            </w:tcMar>
            <w:vAlign w:val="center"/>
          </w:tcPr>
          <w:p w14:paraId="1576897D" w14:textId="0E6A238F" w:rsidR="00856F66" w:rsidRPr="00751AC3" w:rsidRDefault="00751AC3" w:rsidP="00F6255D">
            <w:pPr>
              <w:jc w:val="center"/>
              <w:rPr>
                <w:rFonts w:cs="Arial"/>
                <w:sz w:val="16"/>
                <w:szCs w:val="16"/>
                <w:lang w:val="es-ES_tradnl" w:eastAsia="es-MX"/>
              </w:rPr>
            </w:pPr>
            <w:r>
              <w:rPr>
                <w:rFonts w:cs="Arial"/>
                <w:sz w:val="16"/>
                <w:szCs w:val="16"/>
                <w:lang w:val="es-ES_tradnl" w:eastAsia="es-MX"/>
              </w:rPr>
              <w:t>3.133.278.290.546</w:t>
            </w:r>
          </w:p>
        </w:tc>
        <w:tc>
          <w:tcPr>
            <w:tcW w:w="587" w:type="pct"/>
            <w:tcMar>
              <w:top w:w="30" w:type="dxa"/>
              <w:left w:w="45" w:type="dxa"/>
              <w:bottom w:w="30" w:type="dxa"/>
              <w:right w:w="45" w:type="dxa"/>
            </w:tcMar>
            <w:vAlign w:val="center"/>
          </w:tcPr>
          <w:p w14:paraId="7F8530E3" w14:textId="228EDD93" w:rsidR="00856F66" w:rsidRPr="00E31657" w:rsidRDefault="00751AC3" w:rsidP="00F6255D">
            <w:pPr>
              <w:jc w:val="center"/>
              <w:rPr>
                <w:sz w:val="16"/>
                <w:szCs w:val="16"/>
                <w:lang w:val="es-ES_tradnl" w:eastAsia="es-MX"/>
              </w:rPr>
            </w:pPr>
            <w:r>
              <w:rPr>
                <w:sz w:val="16"/>
                <w:szCs w:val="16"/>
                <w:lang w:val="es-ES_tradnl" w:eastAsia="es-MX"/>
              </w:rPr>
              <w:t>3.179.752.745.155</w:t>
            </w:r>
          </w:p>
        </w:tc>
        <w:tc>
          <w:tcPr>
            <w:tcW w:w="596" w:type="pct"/>
            <w:tcMar>
              <w:top w:w="30" w:type="dxa"/>
              <w:left w:w="45" w:type="dxa"/>
              <w:bottom w:w="30" w:type="dxa"/>
              <w:right w:w="45" w:type="dxa"/>
            </w:tcMar>
            <w:vAlign w:val="center"/>
          </w:tcPr>
          <w:p w14:paraId="33B16250" w14:textId="395E77D0" w:rsidR="00856F66" w:rsidRPr="00E31657" w:rsidRDefault="00751AC3" w:rsidP="00F6255D">
            <w:pPr>
              <w:jc w:val="center"/>
              <w:rPr>
                <w:sz w:val="16"/>
                <w:szCs w:val="16"/>
                <w:lang w:val="es-ES_tradnl" w:eastAsia="es-MX"/>
              </w:rPr>
            </w:pPr>
            <w:r>
              <w:rPr>
                <w:sz w:val="16"/>
                <w:szCs w:val="16"/>
                <w:lang w:val="es-ES_tradnl" w:eastAsia="es-MX"/>
              </w:rPr>
              <w:t>3.179.143.779.508</w:t>
            </w:r>
          </w:p>
        </w:tc>
        <w:tc>
          <w:tcPr>
            <w:tcW w:w="561" w:type="pct"/>
            <w:tcMar>
              <w:top w:w="30" w:type="dxa"/>
              <w:left w:w="45" w:type="dxa"/>
              <w:bottom w:w="30" w:type="dxa"/>
              <w:right w:w="45" w:type="dxa"/>
            </w:tcMar>
            <w:vAlign w:val="center"/>
          </w:tcPr>
          <w:p w14:paraId="371555A1" w14:textId="41877755" w:rsidR="00856F66" w:rsidRPr="00E31657" w:rsidRDefault="00751AC3" w:rsidP="00F6255D">
            <w:pPr>
              <w:jc w:val="center"/>
              <w:rPr>
                <w:sz w:val="16"/>
                <w:szCs w:val="16"/>
                <w:lang w:val="es-ES_tradnl" w:eastAsia="es-MX"/>
              </w:rPr>
            </w:pPr>
            <w:r>
              <w:rPr>
                <w:sz w:val="16"/>
                <w:szCs w:val="16"/>
                <w:lang w:val="es-ES_tradnl" w:eastAsia="es-MX"/>
              </w:rPr>
              <w:t>3.255.814.280.640</w:t>
            </w:r>
          </w:p>
        </w:tc>
        <w:tc>
          <w:tcPr>
            <w:tcW w:w="925" w:type="pct"/>
            <w:vMerge/>
            <w:vAlign w:val="center"/>
            <w:hideMark/>
          </w:tcPr>
          <w:p w14:paraId="4882CEAA" w14:textId="77777777" w:rsidR="00856F66" w:rsidRPr="00E31657" w:rsidRDefault="00856F66" w:rsidP="00B24742">
            <w:pPr>
              <w:rPr>
                <w:rFonts w:cs="Arial"/>
                <w:b/>
                <w:bCs/>
                <w:sz w:val="16"/>
                <w:szCs w:val="16"/>
                <w:lang w:val="es-ES_tradnl" w:eastAsia="es-MX"/>
              </w:rPr>
            </w:pPr>
          </w:p>
        </w:tc>
      </w:tr>
      <w:tr w:rsidR="00856F66" w:rsidRPr="00E31657" w14:paraId="357A3A41" w14:textId="77777777" w:rsidTr="00156332">
        <w:trPr>
          <w:trHeight w:val="990"/>
        </w:trPr>
        <w:tc>
          <w:tcPr>
            <w:tcW w:w="829" w:type="pct"/>
            <w:vMerge w:val="restart"/>
            <w:tcMar>
              <w:top w:w="30" w:type="dxa"/>
              <w:left w:w="45" w:type="dxa"/>
              <w:bottom w:w="30" w:type="dxa"/>
              <w:right w:w="45" w:type="dxa"/>
            </w:tcMar>
            <w:vAlign w:val="center"/>
            <w:hideMark/>
          </w:tcPr>
          <w:p w14:paraId="5BAFDE4E"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Mantener la respuesta al 100% en la gestión del riesgo frente a emergencias y desastres y enfermedades emergentes y reemergentes a través del fortalecimiento de capacidades en lo relacionado con el conocimiento reducción y respuesta en el Distrito Capital en articulación con el Sistema Distrital y Nacional de Gestión del Riesgo de Desastres</w:t>
            </w:r>
          </w:p>
        </w:tc>
        <w:tc>
          <w:tcPr>
            <w:tcW w:w="359" w:type="pct"/>
            <w:vMerge w:val="restart"/>
            <w:tcMar>
              <w:top w:w="30" w:type="dxa"/>
              <w:left w:w="45" w:type="dxa"/>
              <w:bottom w:w="30" w:type="dxa"/>
              <w:right w:w="45" w:type="dxa"/>
            </w:tcMar>
            <w:vAlign w:val="center"/>
            <w:hideMark/>
          </w:tcPr>
          <w:p w14:paraId="04F031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535" w:type="pct"/>
            <w:vMerge w:val="restart"/>
            <w:tcMar>
              <w:top w:w="30" w:type="dxa"/>
              <w:left w:w="45" w:type="dxa"/>
              <w:bottom w:w="30" w:type="dxa"/>
              <w:right w:w="45" w:type="dxa"/>
            </w:tcMar>
            <w:vAlign w:val="center"/>
            <w:hideMark/>
          </w:tcPr>
          <w:p w14:paraId="0DB9FCE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*Base de datos de actividades Subdirección de Gestión de Riego en Emergencias y Desastres</w:t>
            </w:r>
            <w:r w:rsidRPr="00E31657">
              <w:rPr>
                <w:rFonts w:cs="Arial"/>
                <w:sz w:val="16"/>
                <w:szCs w:val="16"/>
                <w:lang w:val="es-ES_tradnl" w:eastAsia="es-MX"/>
              </w:rPr>
              <w:br/>
              <w:t>*Base de datos de urgencias y emergencias en Salud Pública</w:t>
            </w:r>
          </w:p>
        </w:tc>
        <w:tc>
          <w:tcPr>
            <w:tcW w:w="608" w:type="pct"/>
            <w:tcMar>
              <w:top w:w="30" w:type="dxa"/>
              <w:left w:w="45" w:type="dxa"/>
              <w:bottom w:w="30" w:type="dxa"/>
              <w:right w:w="45" w:type="dxa"/>
            </w:tcMar>
            <w:vAlign w:val="center"/>
            <w:hideMark/>
          </w:tcPr>
          <w:p w14:paraId="3328869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87" w:type="pct"/>
            <w:tcMar>
              <w:top w:w="30" w:type="dxa"/>
              <w:left w:w="45" w:type="dxa"/>
              <w:bottom w:w="30" w:type="dxa"/>
              <w:right w:w="45" w:type="dxa"/>
            </w:tcMar>
            <w:vAlign w:val="center"/>
            <w:hideMark/>
          </w:tcPr>
          <w:p w14:paraId="34BFD9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96" w:type="pct"/>
            <w:tcMar>
              <w:top w:w="30" w:type="dxa"/>
              <w:left w:w="45" w:type="dxa"/>
              <w:bottom w:w="30" w:type="dxa"/>
              <w:right w:w="45" w:type="dxa"/>
            </w:tcMar>
            <w:vAlign w:val="center"/>
            <w:hideMark/>
          </w:tcPr>
          <w:p w14:paraId="3F01EF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61" w:type="pct"/>
            <w:tcMar>
              <w:top w:w="30" w:type="dxa"/>
              <w:left w:w="45" w:type="dxa"/>
              <w:bottom w:w="30" w:type="dxa"/>
              <w:right w:w="45" w:type="dxa"/>
            </w:tcMar>
            <w:vAlign w:val="center"/>
            <w:hideMark/>
          </w:tcPr>
          <w:p w14:paraId="4845E0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925" w:type="pct"/>
            <w:vMerge w:val="restart"/>
            <w:tcMar>
              <w:top w:w="30" w:type="dxa"/>
              <w:left w:w="45" w:type="dxa"/>
              <w:bottom w:w="30" w:type="dxa"/>
              <w:right w:w="45" w:type="dxa"/>
            </w:tcMar>
            <w:vAlign w:val="center"/>
            <w:hideMark/>
          </w:tcPr>
          <w:p w14:paraId="3BBF505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6.158.136.897</w:t>
            </w:r>
          </w:p>
        </w:tc>
      </w:tr>
      <w:tr w:rsidR="00856F66" w:rsidRPr="00E31657" w14:paraId="7EF9B099" w14:textId="77777777" w:rsidTr="00156332">
        <w:trPr>
          <w:trHeight w:val="990"/>
        </w:trPr>
        <w:tc>
          <w:tcPr>
            <w:tcW w:w="829" w:type="pct"/>
            <w:vMerge/>
            <w:vAlign w:val="center"/>
            <w:hideMark/>
          </w:tcPr>
          <w:p w14:paraId="2D1993E0" w14:textId="77777777" w:rsidR="00856F66" w:rsidRPr="00E31657" w:rsidRDefault="00856F66" w:rsidP="00B95135">
            <w:pPr>
              <w:jc w:val="right"/>
              <w:rPr>
                <w:rFonts w:cs="Arial"/>
                <w:sz w:val="16"/>
                <w:szCs w:val="16"/>
                <w:lang w:val="es-ES_tradnl" w:eastAsia="es-MX"/>
              </w:rPr>
            </w:pPr>
          </w:p>
        </w:tc>
        <w:tc>
          <w:tcPr>
            <w:tcW w:w="359" w:type="pct"/>
            <w:vMerge/>
            <w:vAlign w:val="center"/>
            <w:hideMark/>
          </w:tcPr>
          <w:p w14:paraId="494ABE0F" w14:textId="77777777" w:rsidR="00856F66" w:rsidRPr="00E31657" w:rsidRDefault="00856F66" w:rsidP="00B24742">
            <w:pPr>
              <w:rPr>
                <w:rFonts w:cs="Arial"/>
                <w:sz w:val="16"/>
                <w:szCs w:val="16"/>
                <w:lang w:val="es-ES_tradnl" w:eastAsia="es-MX"/>
              </w:rPr>
            </w:pPr>
          </w:p>
        </w:tc>
        <w:tc>
          <w:tcPr>
            <w:tcW w:w="535" w:type="pct"/>
            <w:vMerge/>
            <w:vAlign w:val="center"/>
            <w:hideMark/>
          </w:tcPr>
          <w:p w14:paraId="536A1C71" w14:textId="77777777" w:rsidR="00856F66" w:rsidRPr="00E31657" w:rsidRDefault="00856F66" w:rsidP="00B24742">
            <w:pPr>
              <w:rPr>
                <w:rFonts w:cs="Arial"/>
                <w:sz w:val="16"/>
                <w:szCs w:val="16"/>
                <w:lang w:val="es-ES_tradnl" w:eastAsia="es-MX"/>
              </w:rPr>
            </w:pPr>
          </w:p>
        </w:tc>
        <w:tc>
          <w:tcPr>
            <w:tcW w:w="608" w:type="pct"/>
            <w:tcMar>
              <w:top w:w="30" w:type="dxa"/>
              <w:left w:w="45" w:type="dxa"/>
              <w:bottom w:w="30" w:type="dxa"/>
              <w:right w:w="45" w:type="dxa"/>
            </w:tcMar>
            <w:vAlign w:val="center"/>
            <w:hideMark/>
          </w:tcPr>
          <w:p w14:paraId="28D1F0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81.069.000</w:t>
            </w:r>
          </w:p>
        </w:tc>
        <w:tc>
          <w:tcPr>
            <w:tcW w:w="587" w:type="pct"/>
            <w:tcMar>
              <w:top w:w="30" w:type="dxa"/>
              <w:left w:w="45" w:type="dxa"/>
              <w:bottom w:w="30" w:type="dxa"/>
              <w:right w:w="45" w:type="dxa"/>
            </w:tcMar>
            <w:vAlign w:val="center"/>
            <w:hideMark/>
          </w:tcPr>
          <w:p w14:paraId="190308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78.707.767</w:t>
            </w:r>
          </w:p>
        </w:tc>
        <w:tc>
          <w:tcPr>
            <w:tcW w:w="596" w:type="pct"/>
            <w:tcMar>
              <w:top w:w="30" w:type="dxa"/>
              <w:left w:w="45" w:type="dxa"/>
              <w:bottom w:w="30" w:type="dxa"/>
              <w:right w:w="45" w:type="dxa"/>
            </w:tcMar>
            <w:vAlign w:val="center"/>
            <w:hideMark/>
          </w:tcPr>
          <w:p w14:paraId="245BC0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2.904.203.035</w:t>
            </w:r>
          </w:p>
        </w:tc>
        <w:tc>
          <w:tcPr>
            <w:tcW w:w="561" w:type="pct"/>
            <w:tcMar>
              <w:top w:w="30" w:type="dxa"/>
              <w:left w:w="45" w:type="dxa"/>
              <w:bottom w:w="30" w:type="dxa"/>
              <w:right w:w="45" w:type="dxa"/>
            </w:tcMar>
            <w:vAlign w:val="center"/>
            <w:hideMark/>
          </w:tcPr>
          <w:p w14:paraId="6EEEA8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3.094.157.095</w:t>
            </w:r>
          </w:p>
        </w:tc>
        <w:tc>
          <w:tcPr>
            <w:tcW w:w="925" w:type="pct"/>
            <w:vMerge/>
            <w:vAlign w:val="center"/>
            <w:hideMark/>
          </w:tcPr>
          <w:p w14:paraId="54B35611" w14:textId="77777777" w:rsidR="00856F66" w:rsidRPr="00E31657" w:rsidRDefault="00856F66" w:rsidP="00B24742">
            <w:pPr>
              <w:rPr>
                <w:rFonts w:cs="Arial"/>
                <w:b/>
                <w:bCs/>
                <w:sz w:val="16"/>
                <w:szCs w:val="16"/>
                <w:lang w:val="es-ES_tradnl" w:eastAsia="es-MX"/>
              </w:rPr>
            </w:pPr>
          </w:p>
        </w:tc>
      </w:tr>
      <w:tr w:rsidR="00856F66" w:rsidRPr="00E31657" w14:paraId="78EF5457" w14:textId="77777777" w:rsidTr="00156332">
        <w:trPr>
          <w:trHeight w:val="660"/>
        </w:trPr>
        <w:tc>
          <w:tcPr>
            <w:tcW w:w="829" w:type="pct"/>
            <w:vMerge w:val="restart"/>
            <w:tcMar>
              <w:top w:w="30" w:type="dxa"/>
              <w:left w:w="45" w:type="dxa"/>
              <w:bottom w:w="30" w:type="dxa"/>
              <w:right w:w="45" w:type="dxa"/>
            </w:tcMar>
            <w:vAlign w:val="center"/>
            <w:hideMark/>
          </w:tcPr>
          <w:p w14:paraId="4BF8E96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Mantener la respuesta en el 100% del Centro Regulador de Urgencias ante la gestión a los incidentes relacionados con las urgencias emergencias y desastres en salud en Bogotá D.C.</w:t>
            </w:r>
          </w:p>
        </w:tc>
        <w:tc>
          <w:tcPr>
            <w:tcW w:w="359" w:type="pct"/>
            <w:vMerge w:val="restart"/>
            <w:tcMar>
              <w:top w:w="30" w:type="dxa"/>
              <w:left w:w="45" w:type="dxa"/>
              <w:bottom w:w="30" w:type="dxa"/>
              <w:right w:w="45" w:type="dxa"/>
            </w:tcMar>
            <w:vAlign w:val="center"/>
            <w:hideMark/>
          </w:tcPr>
          <w:p w14:paraId="271EC5C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100% </w:t>
            </w:r>
            <w:r w:rsidRPr="00E31657">
              <w:rPr>
                <w:rFonts w:cs="Arial"/>
                <w:sz w:val="16"/>
                <w:szCs w:val="16"/>
                <w:lang w:val="es-ES_tradnl" w:eastAsia="es-MX"/>
              </w:rPr>
              <w:br/>
              <w:t>(626.134)</w:t>
            </w:r>
            <w:r w:rsidRPr="00E31657">
              <w:rPr>
                <w:rFonts w:cs="Arial"/>
                <w:sz w:val="16"/>
                <w:szCs w:val="16"/>
                <w:lang w:val="es-ES_tradnl" w:eastAsia="es-MX"/>
              </w:rPr>
              <w:br/>
              <w:t>(2023)</w:t>
            </w:r>
          </w:p>
        </w:tc>
        <w:tc>
          <w:tcPr>
            <w:tcW w:w="535" w:type="pct"/>
            <w:vMerge w:val="restart"/>
            <w:tcMar>
              <w:top w:w="30" w:type="dxa"/>
              <w:left w:w="45" w:type="dxa"/>
              <w:bottom w:w="30" w:type="dxa"/>
              <w:right w:w="45" w:type="dxa"/>
            </w:tcMar>
            <w:vAlign w:val="center"/>
            <w:hideMark/>
          </w:tcPr>
          <w:p w14:paraId="6296F17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Herramienta tecnológica Premier One plantilla 72 2023</w:t>
            </w:r>
          </w:p>
        </w:tc>
        <w:tc>
          <w:tcPr>
            <w:tcW w:w="608" w:type="pct"/>
            <w:tcMar>
              <w:top w:w="30" w:type="dxa"/>
              <w:left w:w="45" w:type="dxa"/>
              <w:bottom w:w="30" w:type="dxa"/>
              <w:right w:w="45" w:type="dxa"/>
            </w:tcMar>
            <w:vAlign w:val="center"/>
            <w:hideMark/>
          </w:tcPr>
          <w:p w14:paraId="53BAFB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87" w:type="pct"/>
            <w:tcMar>
              <w:top w:w="30" w:type="dxa"/>
              <w:left w:w="45" w:type="dxa"/>
              <w:bottom w:w="30" w:type="dxa"/>
              <w:right w:w="45" w:type="dxa"/>
            </w:tcMar>
            <w:vAlign w:val="center"/>
            <w:hideMark/>
          </w:tcPr>
          <w:p w14:paraId="4758456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96" w:type="pct"/>
            <w:tcMar>
              <w:top w:w="30" w:type="dxa"/>
              <w:left w:w="45" w:type="dxa"/>
              <w:bottom w:w="30" w:type="dxa"/>
              <w:right w:w="45" w:type="dxa"/>
            </w:tcMar>
            <w:vAlign w:val="center"/>
            <w:hideMark/>
          </w:tcPr>
          <w:p w14:paraId="206B155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61" w:type="pct"/>
            <w:tcMar>
              <w:top w:w="30" w:type="dxa"/>
              <w:left w:w="45" w:type="dxa"/>
              <w:bottom w:w="30" w:type="dxa"/>
              <w:right w:w="45" w:type="dxa"/>
            </w:tcMar>
            <w:vAlign w:val="center"/>
            <w:hideMark/>
          </w:tcPr>
          <w:p w14:paraId="471DDE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925" w:type="pct"/>
            <w:vMerge w:val="restart"/>
            <w:tcMar>
              <w:top w:w="30" w:type="dxa"/>
              <w:left w:w="45" w:type="dxa"/>
              <w:bottom w:w="30" w:type="dxa"/>
              <w:right w:w="45" w:type="dxa"/>
            </w:tcMar>
            <w:vAlign w:val="center"/>
            <w:hideMark/>
          </w:tcPr>
          <w:p w14:paraId="5FF2994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201.470.561.468</w:t>
            </w:r>
          </w:p>
        </w:tc>
      </w:tr>
      <w:tr w:rsidR="00856F66" w:rsidRPr="00E31657" w14:paraId="296BC7A3" w14:textId="77777777" w:rsidTr="00156332">
        <w:trPr>
          <w:trHeight w:val="660"/>
        </w:trPr>
        <w:tc>
          <w:tcPr>
            <w:tcW w:w="829" w:type="pct"/>
            <w:vMerge/>
            <w:tcBorders>
              <w:bottom w:val="double" w:sz="4" w:space="0" w:color="C00000"/>
            </w:tcBorders>
            <w:vAlign w:val="center"/>
            <w:hideMark/>
          </w:tcPr>
          <w:p w14:paraId="1083911C" w14:textId="77777777" w:rsidR="00856F66" w:rsidRPr="00E31657" w:rsidRDefault="00856F66" w:rsidP="00B24742">
            <w:pPr>
              <w:rPr>
                <w:rFonts w:cs="Arial"/>
                <w:sz w:val="16"/>
                <w:szCs w:val="16"/>
                <w:lang w:val="es-ES_tradnl" w:eastAsia="es-MX"/>
              </w:rPr>
            </w:pPr>
          </w:p>
        </w:tc>
        <w:tc>
          <w:tcPr>
            <w:tcW w:w="359" w:type="pct"/>
            <w:vMerge/>
            <w:tcBorders>
              <w:bottom w:val="double" w:sz="4" w:space="0" w:color="C00000"/>
            </w:tcBorders>
            <w:vAlign w:val="center"/>
            <w:hideMark/>
          </w:tcPr>
          <w:p w14:paraId="22628A42" w14:textId="77777777" w:rsidR="00856F66" w:rsidRPr="00E31657" w:rsidRDefault="00856F66" w:rsidP="00B24742">
            <w:pPr>
              <w:rPr>
                <w:rFonts w:cs="Arial"/>
                <w:sz w:val="16"/>
                <w:szCs w:val="16"/>
                <w:lang w:val="es-ES_tradnl" w:eastAsia="es-MX"/>
              </w:rPr>
            </w:pPr>
          </w:p>
        </w:tc>
        <w:tc>
          <w:tcPr>
            <w:tcW w:w="535" w:type="pct"/>
            <w:vMerge/>
            <w:tcBorders>
              <w:bottom w:val="double" w:sz="4" w:space="0" w:color="C00000"/>
            </w:tcBorders>
            <w:vAlign w:val="center"/>
            <w:hideMark/>
          </w:tcPr>
          <w:p w14:paraId="395ECA76" w14:textId="77777777" w:rsidR="00856F66" w:rsidRPr="00E31657" w:rsidRDefault="00856F66" w:rsidP="00B24742">
            <w:pPr>
              <w:rPr>
                <w:rFonts w:cs="Arial"/>
                <w:sz w:val="16"/>
                <w:szCs w:val="16"/>
                <w:lang w:val="es-ES_tradnl" w:eastAsia="es-MX"/>
              </w:rPr>
            </w:pPr>
          </w:p>
        </w:tc>
        <w:tc>
          <w:tcPr>
            <w:tcW w:w="608" w:type="pct"/>
            <w:tcBorders>
              <w:bottom w:val="double" w:sz="4" w:space="0" w:color="C00000"/>
            </w:tcBorders>
            <w:tcMar>
              <w:top w:w="30" w:type="dxa"/>
              <w:left w:w="45" w:type="dxa"/>
              <w:bottom w:w="30" w:type="dxa"/>
              <w:right w:w="45" w:type="dxa"/>
            </w:tcMar>
            <w:vAlign w:val="center"/>
            <w:hideMark/>
          </w:tcPr>
          <w:p w14:paraId="0489EB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52.437.931.000</w:t>
            </w:r>
          </w:p>
        </w:tc>
        <w:tc>
          <w:tcPr>
            <w:tcW w:w="587" w:type="pct"/>
            <w:tcBorders>
              <w:bottom w:val="double" w:sz="4" w:space="0" w:color="C00000"/>
            </w:tcBorders>
            <w:tcMar>
              <w:top w:w="30" w:type="dxa"/>
              <w:left w:w="45" w:type="dxa"/>
              <w:bottom w:w="30" w:type="dxa"/>
              <w:right w:w="45" w:type="dxa"/>
            </w:tcMar>
            <w:vAlign w:val="center"/>
            <w:hideMark/>
          </w:tcPr>
          <w:p w14:paraId="3A1AB2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39.343.768.641</w:t>
            </w:r>
          </w:p>
        </w:tc>
        <w:tc>
          <w:tcPr>
            <w:tcW w:w="596" w:type="pct"/>
            <w:tcBorders>
              <w:bottom w:val="double" w:sz="4" w:space="0" w:color="C00000"/>
            </w:tcBorders>
            <w:tcMar>
              <w:top w:w="30" w:type="dxa"/>
              <w:left w:w="45" w:type="dxa"/>
              <w:bottom w:w="30" w:type="dxa"/>
              <w:right w:w="45" w:type="dxa"/>
            </w:tcMar>
            <w:vAlign w:val="center"/>
            <w:hideMark/>
          </w:tcPr>
          <w:p w14:paraId="2D3098E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62.321.392.156</w:t>
            </w:r>
          </w:p>
        </w:tc>
        <w:tc>
          <w:tcPr>
            <w:tcW w:w="561" w:type="pct"/>
            <w:tcBorders>
              <w:bottom w:val="double" w:sz="4" w:space="0" w:color="C00000"/>
            </w:tcBorders>
            <w:tcMar>
              <w:top w:w="30" w:type="dxa"/>
              <w:left w:w="45" w:type="dxa"/>
              <w:bottom w:w="30" w:type="dxa"/>
              <w:right w:w="45" w:type="dxa"/>
            </w:tcMar>
            <w:vAlign w:val="center"/>
            <w:hideMark/>
          </w:tcPr>
          <w:p w14:paraId="3C665B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47.367.469.672</w:t>
            </w:r>
          </w:p>
        </w:tc>
        <w:tc>
          <w:tcPr>
            <w:tcW w:w="925" w:type="pct"/>
            <w:vMerge/>
            <w:tcBorders>
              <w:bottom w:val="double" w:sz="4" w:space="0" w:color="C00000"/>
            </w:tcBorders>
            <w:vAlign w:val="center"/>
            <w:hideMark/>
          </w:tcPr>
          <w:p w14:paraId="3DC42928" w14:textId="77777777" w:rsidR="00856F66" w:rsidRPr="00E31657" w:rsidRDefault="00856F66" w:rsidP="00B24742">
            <w:pPr>
              <w:rPr>
                <w:rFonts w:cs="Arial"/>
                <w:b/>
                <w:bCs/>
                <w:sz w:val="16"/>
                <w:szCs w:val="16"/>
                <w:lang w:val="es-ES_tradnl" w:eastAsia="es-MX"/>
              </w:rPr>
            </w:pPr>
          </w:p>
        </w:tc>
      </w:tr>
    </w:tbl>
    <w:p w14:paraId="4F2B7D81" w14:textId="527A9B73" w:rsidR="000064A0" w:rsidRDefault="000064A0">
      <w:pPr>
        <w:rPr>
          <w:sz w:val="16"/>
          <w:szCs w:val="16"/>
          <w:lang w:val="es-ES_tradnl"/>
        </w:rPr>
      </w:pPr>
    </w:p>
    <w:p w14:paraId="44AA5F99" w14:textId="77777777" w:rsidR="000064A0" w:rsidRPr="00E31657" w:rsidRDefault="000064A0">
      <w:pPr>
        <w:rPr>
          <w:sz w:val="16"/>
          <w:szCs w:val="16"/>
          <w:lang w:val="es-ES_tradnl"/>
        </w:rPr>
      </w:pPr>
    </w:p>
    <w:tbl>
      <w:tblPr>
        <w:tblW w:w="5000"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480"/>
        <w:gridCol w:w="577"/>
        <w:gridCol w:w="1092"/>
        <w:gridCol w:w="1199"/>
        <w:gridCol w:w="1304"/>
        <w:gridCol w:w="1210"/>
        <w:gridCol w:w="1206"/>
        <w:gridCol w:w="1292"/>
      </w:tblGrid>
      <w:tr w:rsidR="00856F66" w:rsidRPr="00E31657" w14:paraId="6977D822" w14:textId="77777777" w:rsidTr="00F974BB">
        <w:trPr>
          <w:trHeight w:val="315"/>
        </w:trPr>
        <w:tc>
          <w:tcPr>
            <w:tcW w:w="5000" w:type="pct"/>
            <w:gridSpan w:val="8"/>
            <w:tcMar>
              <w:top w:w="30" w:type="dxa"/>
              <w:left w:w="45" w:type="dxa"/>
              <w:bottom w:w="30" w:type="dxa"/>
              <w:right w:w="45" w:type="dxa"/>
            </w:tcMar>
            <w:vAlign w:val="center"/>
            <w:hideMark/>
          </w:tcPr>
          <w:p w14:paraId="19EE63D0" w14:textId="77777777" w:rsidR="00856F66" w:rsidRPr="00E31657" w:rsidRDefault="00856F66" w:rsidP="00B24742">
            <w:pPr>
              <w:jc w:val="center"/>
              <w:rPr>
                <w:rFonts w:cs="Arial"/>
                <w:b/>
                <w:bCs/>
                <w:sz w:val="16"/>
                <w:szCs w:val="16"/>
                <w:lang w:val="es-ES_tradnl" w:eastAsia="es-MX"/>
              </w:rPr>
            </w:pPr>
            <w:r w:rsidRPr="00E31657">
              <w:rPr>
                <w:rFonts w:cs="Arial"/>
                <w:b/>
                <w:bCs/>
                <w:color w:val="C00000"/>
                <w:lang w:val="es-ES_tradnl" w:eastAsia="es-MX"/>
              </w:rPr>
              <w:t xml:space="preserve">Programa 12. </w:t>
            </w:r>
            <w:r w:rsidRPr="00E31657">
              <w:rPr>
                <w:rFonts w:cs="Arial"/>
                <w:lang w:val="es-ES_tradnl" w:eastAsia="es-MX"/>
              </w:rPr>
              <w:t>Bogotá cuida a su gente</w:t>
            </w:r>
          </w:p>
        </w:tc>
      </w:tr>
      <w:tr w:rsidR="00856F66" w:rsidRPr="00E31657" w14:paraId="4352FF79" w14:textId="77777777" w:rsidTr="00F974BB">
        <w:trPr>
          <w:trHeight w:val="315"/>
        </w:trPr>
        <w:tc>
          <w:tcPr>
            <w:tcW w:w="899" w:type="pct"/>
            <w:vMerge w:val="restart"/>
            <w:shd w:val="clear" w:color="auto" w:fill="C00000"/>
            <w:tcMar>
              <w:top w:w="30" w:type="dxa"/>
              <w:left w:w="45" w:type="dxa"/>
              <w:bottom w:w="30" w:type="dxa"/>
              <w:right w:w="45" w:type="dxa"/>
            </w:tcMar>
            <w:vAlign w:val="center"/>
            <w:hideMark/>
          </w:tcPr>
          <w:p w14:paraId="35AB8BAF" w14:textId="57223BBC"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 xml:space="preserve">Sector / </w:t>
            </w:r>
            <w:r w:rsidR="000064A0">
              <w:rPr>
                <w:rFonts w:ascii="Candara" w:eastAsia="Times New Roman" w:hAnsi="Candara"/>
                <w:b/>
                <w:bCs/>
                <w:color w:val="FFFFFF" w:themeColor="background1"/>
                <w:sz w:val="24"/>
                <w:szCs w:val="24"/>
                <w:lang w:val="es-ES_tradnl" w:eastAsia="es-MX"/>
              </w:rPr>
              <w:br/>
            </w:r>
            <w:r w:rsidRPr="000064A0">
              <w:rPr>
                <w:rFonts w:ascii="Candara" w:eastAsia="Times New Roman" w:hAnsi="Candara"/>
                <w:b/>
                <w:bCs/>
                <w:color w:val="FFFFFF" w:themeColor="background1"/>
                <w:sz w:val="24"/>
                <w:szCs w:val="24"/>
                <w:lang w:val="es-ES_tradnl" w:eastAsia="es-MX"/>
              </w:rPr>
              <w:t>Metas</w:t>
            </w:r>
          </w:p>
        </w:tc>
        <w:tc>
          <w:tcPr>
            <w:tcW w:w="4101" w:type="pct"/>
            <w:gridSpan w:val="7"/>
            <w:shd w:val="clear" w:color="auto" w:fill="C00000"/>
            <w:tcMar>
              <w:top w:w="30" w:type="dxa"/>
              <w:left w:w="45" w:type="dxa"/>
              <w:bottom w:w="30" w:type="dxa"/>
              <w:right w:w="45" w:type="dxa"/>
            </w:tcMar>
            <w:vAlign w:val="center"/>
            <w:hideMark/>
          </w:tcPr>
          <w:p w14:paraId="111A91AB"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15799688" w14:textId="77777777" w:rsidTr="00F974BB">
        <w:trPr>
          <w:trHeight w:val="315"/>
        </w:trPr>
        <w:tc>
          <w:tcPr>
            <w:tcW w:w="899" w:type="pct"/>
            <w:vMerge/>
            <w:vAlign w:val="center"/>
            <w:hideMark/>
          </w:tcPr>
          <w:p w14:paraId="621FA131" w14:textId="77777777" w:rsidR="00856F66" w:rsidRPr="00E31657" w:rsidRDefault="00856F66" w:rsidP="00B24742">
            <w:pPr>
              <w:rPr>
                <w:rFonts w:cs="Arial"/>
                <w:b/>
                <w:bCs/>
                <w:color w:val="FFFFFF"/>
                <w:sz w:val="16"/>
                <w:szCs w:val="16"/>
                <w:lang w:val="es-ES_tradnl" w:eastAsia="es-MX"/>
              </w:rPr>
            </w:pPr>
          </w:p>
        </w:tc>
        <w:tc>
          <w:tcPr>
            <w:tcW w:w="295" w:type="pct"/>
            <w:shd w:val="clear" w:color="auto" w:fill="D9D9D9"/>
            <w:tcMar>
              <w:top w:w="30" w:type="dxa"/>
              <w:left w:w="45" w:type="dxa"/>
              <w:bottom w:w="30" w:type="dxa"/>
              <w:right w:w="45" w:type="dxa"/>
            </w:tcMar>
            <w:vAlign w:val="center"/>
            <w:hideMark/>
          </w:tcPr>
          <w:p w14:paraId="7277C5A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692" w:type="pct"/>
            <w:shd w:val="clear" w:color="auto" w:fill="D9D9D9"/>
            <w:tcMar>
              <w:top w:w="30" w:type="dxa"/>
              <w:left w:w="45" w:type="dxa"/>
              <w:bottom w:w="30" w:type="dxa"/>
              <w:right w:w="45" w:type="dxa"/>
            </w:tcMar>
            <w:vAlign w:val="center"/>
            <w:hideMark/>
          </w:tcPr>
          <w:p w14:paraId="77E6138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01" w:type="pct"/>
            <w:shd w:val="clear" w:color="auto" w:fill="D9D9D9"/>
            <w:tcMar>
              <w:top w:w="30" w:type="dxa"/>
              <w:left w:w="45" w:type="dxa"/>
              <w:bottom w:w="30" w:type="dxa"/>
              <w:right w:w="45" w:type="dxa"/>
            </w:tcMar>
            <w:vAlign w:val="center"/>
            <w:hideMark/>
          </w:tcPr>
          <w:p w14:paraId="5088BC2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654" w:type="pct"/>
            <w:shd w:val="clear" w:color="auto" w:fill="D9D9D9"/>
            <w:tcMar>
              <w:top w:w="30" w:type="dxa"/>
              <w:left w:w="45" w:type="dxa"/>
              <w:bottom w:w="30" w:type="dxa"/>
              <w:right w:w="45" w:type="dxa"/>
            </w:tcMar>
            <w:vAlign w:val="center"/>
            <w:hideMark/>
          </w:tcPr>
          <w:p w14:paraId="28A6D30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607" w:type="pct"/>
            <w:shd w:val="clear" w:color="auto" w:fill="D9D9D9"/>
            <w:tcMar>
              <w:top w:w="30" w:type="dxa"/>
              <w:left w:w="45" w:type="dxa"/>
              <w:bottom w:w="30" w:type="dxa"/>
              <w:right w:w="45" w:type="dxa"/>
            </w:tcMar>
            <w:vAlign w:val="center"/>
            <w:hideMark/>
          </w:tcPr>
          <w:p w14:paraId="22F96EA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605" w:type="pct"/>
            <w:shd w:val="clear" w:color="auto" w:fill="D9D9D9"/>
            <w:tcMar>
              <w:top w:w="30" w:type="dxa"/>
              <w:left w:w="45" w:type="dxa"/>
              <w:bottom w:w="30" w:type="dxa"/>
              <w:right w:w="45" w:type="dxa"/>
            </w:tcMar>
            <w:vAlign w:val="center"/>
            <w:hideMark/>
          </w:tcPr>
          <w:p w14:paraId="5616093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648" w:type="pct"/>
            <w:shd w:val="clear" w:color="auto" w:fill="D9D9D9"/>
            <w:tcMar>
              <w:top w:w="30" w:type="dxa"/>
              <w:left w:w="45" w:type="dxa"/>
              <w:bottom w:w="30" w:type="dxa"/>
              <w:right w:w="45" w:type="dxa"/>
            </w:tcMar>
            <w:vAlign w:val="center"/>
            <w:hideMark/>
          </w:tcPr>
          <w:p w14:paraId="266BED4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69069DC8"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7490908E"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Educación</w:t>
            </w:r>
          </w:p>
        </w:tc>
      </w:tr>
      <w:tr w:rsidR="00856F66" w:rsidRPr="00E31657" w14:paraId="04B12E25" w14:textId="77777777" w:rsidTr="00F974BB">
        <w:trPr>
          <w:trHeight w:val="315"/>
        </w:trPr>
        <w:tc>
          <w:tcPr>
            <w:tcW w:w="899" w:type="pct"/>
            <w:vMerge w:val="restart"/>
            <w:tcMar>
              <w:top w:w="30" w:type="dxa"/>
              <w:left w:w="45" w:type="dxa"/>
              <w:bottom w:w="30" w:type="dxa"/>
              <w:right w:w="45" w:type="dxa"/>
            </w:tcMar>
            <w:vAlign w:val="center"/>
            <w:hideMark/>
          </w:tcPr>
          <w:p w14:paraId="3DDFE7C9"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en el 100 % de colegios oficiales un programa de bienestar escolar integral de acuerdo con criterios de focalización definidos</w:t>
            </w:r>
          </w:p>
        </w:tc>
        <w:tc>
          <w:tcPr>
            <w:tcW w:w="295" w:type="pct"/>
            <w:vMerge w:val="restart"/>
            <w:tcMar>
              <w:top w:w="30" w:type="dxa"/>
              <w:left w:w="45" w:type="dxa"/>
              <w:bottom w:w="30" w:type="dxa"/>
              <w:right w:w="45" w:type="dxa"/>
            </w:tcMar>
            <w:vAlign w:val="center"/>
            <w:hideMark/>
          </w:tcPr>
          <w:p w14:paraId="51CBD3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92" w:type="pct"/>
            <w:vMerge w:val="restart"/>
            <w:tcMar>
              <w:top w:w="30" w:type="dxa"/>
              <w:left w:w="45" w:type="dxa"/>
              <w:bottom w:w="30" w:type="dxa"/>
              <w:right w:w="45" w:type="dxa"/>
            </w:tcMar>
            <w:vAlign w:val="center"/>
            <w:hideMark/>
          </w:tcPr>
          <w:p w14:paraId="13817C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w:t>
            </w:r>
          </w:p>
        </w:tc>
        <w:tc>
          <w:tcPr>
            <w:tcW w:w="601" w:type="pct"/>
            <w:tcMar>
              <w:top w:w="30" w:type="dxa"/>
              <w:left w:w="45" w:type="dxa"/>
              <w:bottom w:w="30" w:type="dxa"/>
              <w:right w:w="45" w:type="dxa"/>
            </w:tcMar>
            <w:vAlign w:val="center"/>
            <w:hideMark/>
          </w:tcPr>
          <w:p w14:paraId="69981E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54" w:type="pct"/>
            <w:tcMar>
              <w:top w:w="30" w:type="dxa"/>
              <w:left w:w="45" w:type="dxa"/>
              <w:bottom w:w="30" w:type="dxa"/>
              <w:right w:w="45" w:type="dxa"/>
            </w:tcMar>
            <w:vAlign w:val="center"/>
            <w:hideMark/>
          </w:tcPr>
          <w:p w14:paraId="0BD092E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7" w:type="pct"/>
            <w:tcMar>
              <w:top w:w="30" w:type="dxa"/>
              <w:left w:w="45" w:type="dxa"/>
              <w:bottom w:w="30" w:type="dxa"/>
              <w:right w:w="45" w:type="dxa"/>
            </w:tcMar>
            <w:vAlign w:val="center"/>
            <w:hideMark/>
          </w:tcPr>
          <w:p w14:paraId="5BA04A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5" w:type="pct"/>
            <w:tcMar>
              <w:top w:w="30" w:type="dxa"/>
              <w:left w:w="45" w:type="dxa"/>
              <w:bottom w:w="30" w:type="dxa"/>
              <w:right w:w="45" w:type="dxa"/>
            </w:tcMar>
            <w:vAlign w:val="center"/>
            <w:hideMark/>
          </w:tcPr>
          <w:p w14:paraId="2F4CC0F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48" w:type="pct"/>
            <w:vMerge w:val="restart"/>
            <w:tcMar>
              <w:top w:w="30" w:type="dxa"/>
              <w:left w:w="45" w:type="dxa"/>
              <w:bottom w:w="30" w:type="dxa"/>
              <w:right w:w="45" w:type="dxa"/>
            </w:tcMar>
            <w:vAlign w:val="center"/>
            <w:hideMark/>
          </w:tcPr>
          <w:p w14:paraId="2E94273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3.925.487.392.095</w:t>
            </w:r>
          </w:p>
        </w:tc>
      </w:tr>
      <w:tr w:rsidR="00856F66" w:rsidRPr="00E31657" w14:paraId="4DE63200" w14:textId="77777777" w:rsidTr="00F974BB">
        <w:trPr>
          <w:trHeight w:val="315"/>
        </w:trPr>
        <w:tc>
          <w:tcPr>
            <w:tcW w:w="899" w:type="pct"/>
            <w:vMerge/>
            <w:vAlign w:val="center"/>
            <w:hideMark/>
          </w:tcPr>
          <w:p w14:paraId="1C43E7A8"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41AE3EE" w14:textId="77777777" w:rsidR="00856F66" w:rsidRPr="00E31657" w:rsidRDefault="00856F66" w:rsidP="00B24742">
            <w:pPr>
              <w:rPr>
                <w:rFonts w:cs="Arial"/>
                <w:sz w:val="16"/>
                <w:szCs w:val="16"/>
                <w:lang w:val="es-ES_tradnl" w:eastAsia="es-MX"/>
              </w:rPr>
            </w:pPr>
          </w:p>
        </w:tc>
        <w:tc>
          <w:tcPr>
            <w:tcW w:w="692" w:type="pct"/>
            <w:vMerge/>
            <w:vAlign w:val="center"/>
            <w:hideMark/>
          </w:tcPr>
          <w:p w14:paraId="46A721BD"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14C628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928.815.901.276</w:t>
            </w:r>
          </w:p>
        </w:tc>
        <w:tc>
          <w:tcPr>
            <w:tcW w:w="654" w:type="pct"/>
            <w:tcMar>
              <w:top w:w="30" w:type="dxa"/>
              <w:left w:w="45" w:type="dxa"/>
              <w:bottom w:w="30" w:type="dxa"/>
              <w:right w:w="45" w:type="dxa"/>
            </w:tcMar>
            <w:vAlign w:val="center"/>
            <w:hideMark/>
          </w:tcPr>
          <w:p w14:paraId="1104E73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1.000.346.992.861</w:t>
            </w:r>
          </w:p>
        </w:tc>
        <w:tc>
          <w:tcPr>
            <w:tcW w:w="607" w:type="pct"/>
            <w:tcMar>
              <w:top w:w="30" w:type="dxa"/>
              <w:left w:w="45" w:type="dxa"/>
              <w:bottom w:w="30" w:type="dxa"/>
              <w:right w:w="45" w:type="dxa"/>
            </w:tcMar>
            <w:vAlign w:val="center"/>
            <w:hideMark/>
          </w:tcPr>
          <w:p w14:paraId="0428042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998.893.729.334</w:t>
            </w:r>
          </w:p>
        </w:tc>
        <w:tc>
          <w:tcPr>
            <w:tcW w:w="605" w:type="pct"/>
            <w:tcMar>
              <w:top w:w="30" w:type="dxa"/>
              <w:left w:w="45" w:type="dxa"/>
              <w:bottom w:w="30" w:type="dxa"/>
              <w:right w:w="45" w:type="dxa"/>
            </w:tcMar>
            <w:vAlign w:val="center"/>
            <w:hideMark/>
          </w:tcPr>
          <w:p w14:paraId="0E3307D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997.430.768.625</w:t>
            </w:r>
          </w:p>
        </w:tc>
        <w:tc>
          <w:tcPr>
            <w:tcW w:w="648" w:type="pct"/>
            <w:vMerge/>
            <w:vAlign w:val="center"/>
            <w:hideMark/>
          </w:tcPr>
          <w:p w14:paraId="56C13A4B" w14:textId="77777777" w:rsidR="00856F66" w:rsidRPr="00E31657" w:rsidRDefault="00856F66" w:rsidP="00B24742">
            <w:pPr>
              <w:rPr>
                <w:rFonts w:cs="Arial"/>
                <w:b/>
                <w:bCs/>
                <w:sz w:val="16"/>
                <w:szCs w:val="16"/>
                <w:lang w:val="es-ES_tradnl" w:eastAsia="es-MX"/>
              </w:rPr>
            </w:pPr>
          </w:p>
        </w:tc>
      </w:tr>
      <w:tr w:rsidR="00856F66" w:rsidRPr="00E31657" w14:paraId="058380FF" w14:textId="77777777" w:rsidTr="00F974BB">
        <w:trPr>
          <w:trHeight w:val="315"/>
        </w:trPr>
        <w:tc>
          <w:tcPr>
            <w:tcW w:w="899" w:type="pct"/>
            <w:vMerge w:val="restart"/>
            <w:tcMar>
              <w:top w:w="30" w:type="dxa"/>
              <w:left w:w="45" w:type="dxa"/>
              <w:bottom w:w="30" w:type="dxa"/>
              <w:right w:w="45" w:type="dxa"/>
            </w:tcMar>
            <w:vAlign w:val="center"/>
            <w:hideMark/>
          </w:tcPr>
          <w:p w14:paraId="13191347"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Adoptar en las 20 localidades el Sistema Distrital de Derechos Humanos en el marco de las acciones de la política pública Integral de Derechos Humanos Lucha contra la Trata de Personas y Población Migrante Internacional.</w:t>
            </w:r>
          </w:p>
        </w:tc>
        <w:tc>
          <w:tcPr>
            <w:tcW w:w="295" w:type="pct"/>
            <w:vMerge w:val="restart"/>
            <w:tcMar>
              <w:top w:w="30" w:type="dxa"/>
              <w:left w:w="45" w:type="dxa"/>
              <w:bottom w:w="30" w:type="dxa"/>
              <w:right w:w="45" w:type="dxa"/>
            </w:tcMar>
            <w:vAlign w:val="center"/>
            <w:hideMark/>
          </w:tcPr>
          <w:p w14:paraId="4405462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1960812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Número de acciones de territorialización local del sistema distrital de Derechos Humanos - SDG</w:t>
            </w:r>
          </w:p>
        </w:tc>
        <w:tc>
          <w:tcPr>
            <w:tcW w:w="601" w:type="pct"/>
            <w:tcMar>
              <w:top w:w="30" w:type="dxa"/>
              <w:left w:w="45" w:type="dxa"/>
              <w:bottom w:w="30" w:type="dxa"/>
              <w:right w:w="45" w:type="dxa"/>
            </w:tcMar>
            <w:vAlign w:val="center"/>
            <w:hideMark/>
          </w:tcPr>
          <w:p w14:paraId="2647D0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54" w:type="pct"/>
            <w:tcMar>
              <w:top w:w="30" w:type="dxa"/>
              <w:left w:w="45" w:type="dxa"/>
              <w:bottom w:w="30" w:type="dxa"/>
              <w:right w:w="45" w:type="dxa"/>
            </w:tcMar>
            <w:vAlign w:val="center"/>
            <w:hideMark/>
          </w:tcPr>
          <w:p w14:paraId="2C19403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07" w:type="pct"/>
            <w:tcMar>
              <w:top w:w="30" w:type="dxa"/>
              <w:left w:w="45" w:type="dxa"/>
              <w:bottom w:w="30" w:type="dxa"/>
              <w:right w:w="45" w:type="dxa"/>
            </w:tcMar>
            <w:vAlign w:val="center"/>
            <w:hideMark/>
          </w:tcPr>
          <w:p w14:paraId="5FC23DC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05" w:type="pct"/>
            <w:tcMar>
              <w:top w:w="30" w:type="dxa"/>
              <w:left w:w="45" w:type="dxa"/>
              <w:bottom w:w="30" w:type="dxa"/>
              <w:right w:w="45" w:type="dxa"/>
            </w:tcMar>
            <w:vAlign w:val="center"/>
            <w:hideMark/>
          </w:tcPr>
          <w:p w14:paraId="39C8B8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48" w:type="pct"/>
            <w:vMerge w:val="restart"/>
            <w:tcMar>
              <w:top w:w="30" w:type="dxa"/>
              <w:left w:w="45" w:type="dxa"/>
              <w:bottom w:w="30" w:type="dxa"/>
              <w:right w:w="45" w:type="dxa"/>
            </w:tcMar>
            <w:vAlign w:val="center"/>
            <w:hideMark/>
          </w:tcPr>
          <w:p w14:paraId="6449FD3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10.392.907.881</w:t>
            </w:r>
          </w:p>
        </w:tc>
      </w:tr>
      <w:tr w:rsidR="00856F66" w:rsidRPr="00E31657" w14:paraId="42A14DFA" w14:textId="77777777" w:rsidTr="00F974BB">
        <w:trPr>
          <w:trHeight w:val="315"/>
        </w:trPr>
        <w:tc>
          <w:tcPr>
            <w:tcW w:w="899" w:type="pct"/>
            <w:vMerge/>
            <w:vAlign w:val="center"/>
            <w:hideMark/>
          </w:tcPr>
          <w:p w14:paraId="20F86698"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4849248" w14:textId="77777777" w:rsidR="00856F66" w:rsidRPr="00E31657" w:rsidRDefault="00856F66" w:rsidP="00B24742">
            <w:pPr>
              <w:rPr>
                <w:rFonts w:cs="Arial"/>
                <w:sz w:val="16"/>
                <w:szCs w:val="16"/>
                <w:lang w:val="es-ES_tradnl" w:eastAsia="es-MX"/>
              </w:rPr>
            </w:pPr>
          </w:p>
        </w:tc>
        <w:tc>
          <w:tcPr>
            <w:tcW w:w="692" w:type="pct"/>
            <w:vMerge/>
            <w:vAlign w:val="center"/>
            <w:hideMark/>
          </w:tcPr>
          <w:p w14:paraId="1CECD5C9"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44D23CC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1.150.000.000</w:t>
            </w:r>
          </w:p>
        </w:tc>
        <w:tc>
          <w:tcPr>
            <w:tcW w:w="654" w:type="pct"/>
            <w:tcMar>
              <w:top w:w="30" w:type="dxa"/>
              <w:left w:w="45" w:type="dxa"/>
              <w:bottom w:w="30" w:type="dxa"/>
              <w:right w:w="45" w:type="dxa"/>
            </w:tcMar>
            <w:vAlign w:val="center"/>
            <w:hideMark/>
          </w:tcPr>
          <w:p w14:paraId="5072D0C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2.669.902.913</w:t>
            </w:r>
          </w:p>
        </w:tc>
        <w:tc>
          <w:tcPr>
            <w:tcW w:w="607" w:type="pct"/>
            <w:tcMar>
              <w:top w:w="30" w:type="dxa"/>
              <w:left w:w="45" w:type="dxa"/>
              <w:bottom w:w="30" w:type="dxa"/>
              <w:right w:w="45" w:type="dxa"/>
            </w:tcMar>
            <w:vAlign w:val="center"/>
            <w:hideMark/>
          </w:tcPr>
          <w:p w14:paraId="5FC009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2.592.138.750</w:t>
            </w:r>
          </w:p>
        </w:tc>
        <w:tc>
          <w:tcPr>
            <w:tcW w:w="605" w:type="pct"/>
            <w:tcMar>
              <w:top w:w="30" w:type="dxa"/>
              <w:left w:w="45" w:type="dxa"/>
              <w:bottom w:w="30" w:type="dxa"/>
              <w:right w:w="45" w:type="dxa"/>
            </w:tcMar>
            <w:vAlign w:val="center"/>
            <w:hideMark/>
          </w:tcPr>
          <w:p w14:paraId="65274E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3.980.866.218</w:t>
            </w:r>
          </w:p>
        </w:tc>
        <w:tc>
          <w:tcPr>
            <w:tcW w:w="648" w:type="pct"/>
            <w:vMerge/>
            <w:vAlign w:val="center"/>
            <w:hideMark/>
          </w:tcPr>
          <w:p w14:paraId="2FF0C423" w14:textId="77777777" w:rsidR="00856F66" w:rsidRPr="00E31657" w:rsidRDefault="00856F66" w:rsidP="00B24742">
            <w:pPr>
              <w:rPr>
                <w:rFonts w:cs="Arial"/>
                <w:b/>
                <w:bCs/>
                <w:sz w:val="16"/>
                <w:szCs w:val="16"/>
                <w:lang w:val="es-ES_tradnl" w:eastAsia="es-MX"/>
              </w:rPr>
            </w:pPr>
          </w:p>
        </w:tc>
      </w:tr>
      <w:tr w:rsidR="00856F66" w:rsidRPr="00E31657" w14:paraId="783F330B" w14:textId="77777777" w:rsidTr="00F974BB">
        <w:trPr>
          <w:trHeight w:val="315"/>
        </w:trPr>
        <w:tc>
          <w:tcPr>
            <w:tcW w:w="899" w:type="pct"/>
            <w:vMerge w:val="restart"/>
            <w:tcMar>
              <w:top w:w="30" w:type="dxa"/>
              <w:left w:w="45" w:type="dxa"/>
              <w:bottom w:w="30" w:type="dxa"/>
              <w:right w:w="45" w:type="dxa"/>
            </w:tcMar>
            <w:vAlign w:val="center"/>
            <w:hideMark/>
          </w:tcPr>
          <w:p w14:paraId="413952CD"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Beneficiar a 500 personas a través de la ejecución de proyectos de cooperación con el sector religioso en el marco de la estrategia entornos inspiradores </w:t>
            </w:r>
          </w:p>
        </w:tc>
        <w:tc>
          <w:tcPr>
            <w:tcW w:w="295" w:type="pct"/>
            <w:vMerge w:val="restart"/>
            <w:tcMar>
              <w:top w:w="30" w:type="dxa"/>
              <w:left w:w="45" w:type="dxa"/>
              <w:bottom w:w="30" w:type="dxa"/>
              <w:right w:w="45" w:type="dxa"/>
            </w:tcMar>
            <w:vAlign w:val="center"/>
            <w:hideMark/>
          </w:tcPr>
          <w:p w14:paraId="4F2A5A4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92" w:type="pct"/>
            <w:vMerge w:val="restart"/>
            <w:tcMar>
              <w:top w:w="30" w:type="dxa"/>
              <w:left w:w="45" w:type="dxa"/>
              <w:bottom w:w="30" w:type="dxa"/>
              <w:right w:w="45" w:type="dxa"/>
            </w:tcMar>
            <w:vAlign w:val="center"/>
            <w:hideMark/>
          </w:tcPr>
          <w:p w14:paraId="26D69E3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Gobierno</w:t>
            </w:r>
          </w:p>
        </w:tc>
        <w:tc>
          <w:tcPr>
            <w:tcW w:w="601" w:type="pct"/>
            <w:tcMar>
              <w:top w:w="30" w:type="dxa"/>
              <w:left w:w="45" w:type="dxa"/>
              <w:bottom w:w="30" w:type="dxa"/>
              <w:right w:w="45" w:type="dxa"/>
            </w:tcMar>
            <w:vAlign w:val="center"/>
            <w:hideMark/>
          </w:tcPr>
          <w:p w14:paraId="1280ECA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54" w:type="pct"/>
            <w:tcMar>
              <w:top w:w="30" w:type="dxa"/>
              <w:left w:w="45" w:type="dxa"/>
              <w:bottom w:w="30" w:type="dxa"/>
              <w:right w:w="45" w:type="dxa"/>
            </w:tcMar>
            <w:vAlign w:val="center"/>
            <w:hideMark/>
          </w:tcPr>
          <w:p w14:paraId="770313A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w:t>
            </w:r>
          </w:p>
        </w:tc>
        <w:tc>
          <w:tcPr>
            <w:tcW w:w="607" w:type="pct"/>
            <w:tcMar>
              <w:top w:w="30" w:type="dxa"/>
              <w:left w:w="45" w:type="dxa"/>
              <w:bottom w:w="30" w:type="dxa"/>
              <w:right w:w="45" w:type="dxa"/>
            </w:tcMar>
            <w:vAlign w:val="center"/>
            <w:hideMark/>
          </w:tcPr>
          <w:p w14:paraId="4C1725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w:t>
            </w:r>
          </w:p>
        </w:tc>
        <w:tc>
          <w:tcPr>
            <w:tcW w:w="605" w:type="pct"/>
            <w:tcMar>
              <w:top w:w="30" w:type="dxa"/>
              <w:left w:w="45" w:type="dxa"/>
              <w:bottom w:w="30" w:type="dxa"/>
              <w:right w:w="45" w:type="dxa"/>
            </w:tcMar>
            <w:vAlign w:val="center"/>
            <w:hideMark/>
          </w:tcPr>
          <w:p w14:paraId="2EF51C9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w:t>
            </w:r>
          </w:p>
        </w:tc>
        <w:tc>
          <w:tcPr>
            <w:tcW w:w="648" w:type="pct"/>
            <w:vMerge w:val="restart"/>
            <w:tcMar>
              <w:top w:w="30" w:type="dxa"/>
              <w:left w:w="45" w:type="dxa"/>
              <w:bottom w:w="30" w:type="dxa"/>
              <w:right w:w="45" w:type="dxa"/>
            </w:tcMar>
            <w:vAlign w:val="center"/>
            <w:hideMark/>
          </w:tcPr>
          <w:p w14:paraId="0C56C7E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378.534.620</w:t>
            </w:r>
          </w:p>
        </w:tc>
      </w:tr>
      <w:tr w:rsidR="00856F66" w:rsidRPr="00E31657" w14:paraId="39F3A5A4" w14:textId="77777777" w:rsidTr="00F974BB">
        <w:trPr>
          <w:trHeight w:val="315"/>
        </w:trPr>
        <w:tc>
          <w:tcPr>
            <w:tcW w:w="899" w:type="pct"/>
            <w:vMerge/>
            <w:vAlign w:val="center"/>
            <w:hideMark/>
          </w:tcPr>
          <w:p w14:paraId="2B961632"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37DE56E7" w14:textId="77777777" w:rsidR="00856F66" w:rsidRPr="00E31657" w:rsidRDefault="00856F66" w:rsidP="00B24742">
            <w:pPr>
              <w:rPr>
                <w:rFonts w:cs="Arial"/>
                <w:sz w:val="16"/>
                <w:szCs w:val="16"/>
                <w:lang w:val="es-ES_tradnl" w:eastAsia="es-MX"/>
              </w:rPr>
            </w:pPr>
          </w:p>
        </w:tc>
        <w:tc>
          <w:tcPr>
            <w:tcW w:w="692" w:type="pct"/>
            <w:vMerge/>
            <w:vAlign w:val="center"/>
            <w:hideMark/>
          </w:tcPr>
          <w:p w14:paraId="67B8B47B"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3F0C7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54" w:type="pct"/>
            <w:tcMar>
              <w:top w:w="30" w:type="dxa"/>
              <w:left w:w="45" w:type="dxa"/>
              <w:bottom w:w="30" w:type="dxa"/>
              <w:right w:w="45" w:type="dxa"/>
            </w:tcMar>
            <w:vAlign w:val="center"/>
            <w:hideMark/>
          </w:tcPr>
          <w:p w14:paraId="371C74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145.631.068</w:t>
            </w:r>
          </w:p>
        </w:tc>
        <w:tc>
          <w:tcPr>
            <w:tcW w:w="607" w:type="pct"/>
            <w:tcMar>
              <w:top w:w="30" w:type="dxa"/>
              <w:left w:w="45" w:type="dxa"/>
              <w:bottom w:w="30" w:type="dxa"/>
              <w:right w:w="45" w:type="dxa"/>
            </w:tcMar>
            <w:vAlign w:val="center"/>
            <w:hideMark/>
          </w:tcPr>
          <w:p w14:paraId="599D04F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141.389.386</w:t>
            </w:r>
          </w:p>
        </w:tc>
        <w:tc>
          <w:tcPr>
            <w:tcW w:w="605" w:type="pct"/>
            <w:tcMar>
              <w:top w:w="30" w:type="dxa"/>
              <w:left w:w="45" w:type="dxa"/>
              <w:bottom w:w="30" w:type="dxa"/>
              <w:right w:w="45" w:type="dxa"/>
            </w:tcMar>
            <w:vAlign w:val="center"/>
            <w:hideMark/>
          </w:tcPr>
          <w:p w14:paraId="77D372C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91.514.166</w:t>
            </w:r>
          </w:p>
        </w:tc>
        <w:tc>
          <w:tcPr>
            <w:tcW w:w="648" w:type="pct"/>
            <w:vMerge/>
            <w:vAlign w:val="center"/>
            <w:hideMark/>
          </w:tcPr>
          <w:p w14:paraId="05E84033" w14:textId="77777777" w:rsidR="00856F66" w:rsidRPr="00E31657" w:rsidRDefault="00856F66" w:rsidP="00B24742">
            <w:pPr>
              <w:rPr>
                <w:rFonts w:cs="Arial"/>
                <w:b/>
                <w:bCs/>
                <w:sz w:val="16"/>
                <w:szCs w:val="16"/>
                <w:lang w:val="es-ES_tradnl" w:eastAsia="es-MX"/>
              </w:rPr>
            </w:pPr>
          </w:p>
        </w:tc>
      </w:tr>
      <w:tr w:rsidR="00856F66" w:rsidRPr="00E31657" w14:paraId="3C4DBDAA" w14:textId="77777777" w:rsidTr="00F974BB">
        <w:trPr>
          <w:trHeight w:val="315"/>
        </w:trPr>
        <w:tc>
          <w:tcPr>
            <w:tcW w:w="899" w:type="pct"/>
            <w:vMerge w:val="restart"/>
            <w:tcMar>
              <w:top w:w="30" w:type="dxa"/>
              <w:left w:w="45" w:type="dxa"/>
              <w:bottom w:w="30" w:type="dxa"/>
              <w:right w:w="45" w:type="dxa"/>
            </w:tcMar>
            <w:vAlign w:val="center"/>
            <w:hideMark/>
          </w:tcPr>
          <w:p w14:paraId="5326587F"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Desarrollar una (1) estrategia para promover la implementación del enfoque diferencial étnico y el desarrollo de procesos de gestión de conocimiento sobre los grupos étnicos en la ciudad como medidas para </w:t>
            </w:r>
            <w:r w:rsidRPr="00E31657">
              <w:rPr>
                <w:rFonts w:cs="Arial"/>
                <w:sz w:val="16"/>
                <w:szCs w:val="16"/>
                <w:lang w:val="es-ES_tradnl" w:eastAsia="es-MX"/>
              </w:rPr>
              <w:lastRenderedPageBreak/>
              <w:t>combatir el racismo y la discriminación con un enfoque de género transversal.</w:t>
            </w:r>
          </w:p>
        </w:tc>
        <w:tc>
          <w:tcPr>
            <w:tcW w:w="295" w:type="pct"/>
            <w:vMerge w:val="restart"/>
            <w:tcMar>
              <w:top w:w="30" w:type="dxa"/>
              <w:left w:w="45" w:type="dxa"/>
              <w:bottom w:w="30" w:type="dxa"/>
              <w:right w:w="45" w:type="dxa"/>
            </w:tcMar>
            <w:vAlign w:val="center"/>
            <w:hideMark/>
          </w:tcPr>
          <w:p w14:paraId="011DEAC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N/A</w:t>
            </w:r>
          </w:p>
        </w:tc>
        <w:tc>
          <w:tcPr>
            <w:tcW w:w="692" w:type="pct"/>
            <w:vMerge w:val="restart"/>
            <w:tcMar>
              <w:top w:w="30" w:type="dxa"/>
              <w:left w:w="45" w:type="dxa"/>
              <w:bottom w:w="30" w:type="dxa"/>
              <w:right w:w="45" w:type="dxa"/>
            </w:tcMar>
            <w:vAlign w:val="center"/>
            <w:hideMark/>
          </w:tcPr>
          <w:p w14:paraId="73C400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Registros Administrativos de los servicios de sensibilización y formación brindados en los Espacios de Atención Diferenciada. (2023)</w:t>
            </w:r>
          </w:p>
        </w:tc>
        <w:tc>
          <w:tcPr>
            <w:tcW w:w="601" w:type="pct"/>
            <w:tcMar>
              <w:top w:w="30" w:type="dxa"/>
              <w:left w:w="45" w:type="dxa"/>
              <w:bottom w:w="30" w:type="dxa"/>
              <w:right w:w="45" w:type="dxa"/>
            </w:tcMar>
            <w:vAlign w:val="center"/>
            <w:hideMark/>
          </w:tcPr>
          <w:p w14:paraId="4154EB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0.10</w:t>
            </w:r>
          </w:p>
        </w:tc>
        <w:tc>
          <w:tcPr>
            <w:tcW w:w="654" w:type="pct"/>
            <w:tcMar>
              <w:top w:w="30" w:type="dxa"/>
              <w:left w:w="45" w:type="dxa"/>
              <w:bottom w:w="30" w:type="dxa"/>
              <w:right w:w="45" w:type="dxa"/>
            </w:tcMar>
            <w:vAlign w:val="center"/>
            <w:hideMark/>
          </w:tcPr>
          <w:p w14:paraId="71E2068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607" w:type="pct"/>
            <w:tcMar>
              <w:top w:w="30" w:type="dxa"/>
              <w:left w:w="45" w:type="dxa"/>
              <w:bottom w:w="30" w:type="dxa"/>
              <w:right w:w="45" w:type="dxa"/>
            </w:tcMar>
            <w:vAlign w:val="center"/>
            <w:hideMark/>
          </w:tcPr>
          <w:p w14:paraId="0720D86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605" w:type="pct"/>
            <w:tcMar>
              <w:top w:w="30" w:type="dxa"/>
              <w:left w:w="45" w:type="dxa"/>
              <w:bottom w:w="30" w:type="dxa"/>
              <w:right w:w="45" w:type="dxa"/>
            </w:tcMar>
            <w:vAlign w:val="center"/>
            <w:hideMark/>
          </w:tcPr>
          <w:p w14:paraId="121B01B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0.40</w:t>
            </w:r>
          </w:p>
        </w:tc>
        <w:tc>
          <w:tcPr>
            <w:tcW w:w="648" w:type="pct"/>
            <w:vMerge w:val="restart"/>
            <w:tcMar>
              <w:top w:w="30" w:type="dxa"/>
              <w:left w:w="45" w:type="dxa"/>
              <w:bottom w:w="30" w:type="dxa"/>
              <w:right w:w="45" w:type="dxa"/>
            </w:tcMar>
            <w:vAlign w:val="center"/>
            <w:hideMark/>
          </w:tcPr>
          <w:p w14:paraId="311CE36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7.102.811.132</w:t>
            </w:r>
          </w:p>
        </w:tc>
      </w:tr>
      <w:tr w:rsidR="00856F66" w:rsidRPr="00E31657" w14:paraId="001B1EA3" w14:textId="77777777" w:rsidTr="00F974BB">
        <w:trPr>
          <w:trHeight w:val="315"/>
        </w:trPr>
        <w:tc>
          <w:tcPr>
            <w:tcW w:w="899" w:type="pct"/>
            <w:vMerge/>
            <w:vAlign w:val="center"/>
            <w:hideMark/>
          </w:tcPr>
          <w:p w14:paraId="0D720046"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698124EA" w14:textId="77777777" w:rsidR="00856F66" w:rsidRPr="00E31657" w:rsidRDefault="00856F66" w:rsidP="00B24742">
            <w:pPr>
              <w:rPr>
                <w:rFonts w:cs="Arial"/>
                <w:sz w:val="16"/>
                <w:szCs w:val="16"/>
                <w:lang w:val="es-ES_tradnl" w:eastAsia="es-MX"/>
              </w:rPr>
            </w:pPr>
          </w:p>
        </w:tc>
        <w:tc>
          <w:tcPr>
            <w:tcW w:w="692" w:type="pct"/>
            <w:vMerge/>
            <w:vAlign w:val="center"/>
            <w:hideMark/>
          </w:tcPr>
          <w:p w14:paraId="1A721AA6"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26750C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500.000.000</w:t>
            </w:r>
          </w:p>
        </w:tc>
        <w:tc>
          <w:tcPr>
            <w:tcW w:w="654" w:type="pct"/>
            <w:tcMar>
              <w:top w:w="30" w:type="dxa"/>
              <w:left w:w="45" w:type="dxa"/>
              <w:bottom w:w="30" w:type="dxa"/>
              <w:right w:w="45" w:type="dxa"/>
            </w:tcMar>
            <w:vAlign w:val="center"/>
            <w:hideMark/>
          </w:tcPr>
          <w:p w14:paraId="736E4FB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2.233.009.709</w:t>
            </w:r>
          </w:p>
        </w:tc>
        <w:tc>
          <w:tcPr>
            <w:tcW w:w="607" w:type="pct"/>
            <w:tcMar>
              <w:top w:w="30" w:type="dxa"/>
              <w:left w:w="45" w:type="dxa"/>
              <w:bottom w:w="30" w:type="dxa"/>
              <w:right w:w="45" w:type="dxa"/>
            </w:tcMar>
            <w:vAlign w:val="center"/>
            <w:hideMark/>
          </w:tcPr>
          <w:p w14:paraId="69F3F9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2.356.489.773</w:t>
            </w:r>
          </w:p>
        </w:tc>
        <w:tc>
          <w:tcPr>
            <w:tcW w:w="605" w:type="pct"/>
            <w:tcMar>
              <w:top w:w="30" w:type="dxa"/>
              <w:left w:w="45" w:type="dxa"/>
              <w:bottom w:w="30" w:type="dxa"/>
              <w:right w:w="45" w:type="dxa"/>
            </w:tcMar>
            <w:vAlign w:val="center"/>
            <w:hideMark/>
          </w:tcPr>
          <w:p w14:paraId="4FA6CAD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2.013.311.651</w:t>
            </w:r>
          </w:p>
        </w:tc>
        <w:tc>
          <w:tcPr>
            <w:tcW w:w="648" w:type="pct"/>
            <w:vMerge/>
            <w:vAlign w:val="center"/>
            <w:hideMark/>
          </w:tcPr>
          <w:p w14:paraId="4CC0160F" w14:textId="77777777" w:rsidR="00856F66" w:rsidRPr="00E31657" w:rsidRDefault="00856F66" w:rsidP="00B24742">
            <w:pPr>
              <w:rPr>
                <w:rFonts w:cs="Arial"/>
                <w:b/>
                <w:bCs/>
                <w:sz w:val="16"/>
                <w:szCs w:val="16"/>
                <w:lang w:val="es-ES_tradnl" w:eastAsia="es-MX"/>
              </w:rPr>
            </w:pPr>
          </w:p>
        </w:tc>
      </w:tr>
      <w:tr w:rsidR="00856F66" w:rsidRPr="00E31657" w14:paraId="63FC653C" w14:textId="77777777" w:rsidTr="00F974BB">
        <w:trPr>
          <w:trHeight w:val="315"/>
        </w:trPr>
        <w:tc>
          <w:tcPr>
            <w:tcW w:w="899" w:type="pct"/>
            <w:vMerge w:val="restart"/>
            <w:tcMar>
              <w:top w:w="30" w:type="dxa"/>
              <w:left w:w="45" w:type="dxa"/>
              <w:bottom w:w="30" w:type="dxa"/>
              <w:right w:w="45" w:type="dxa"/>
            </w:tcMar>
            <w:vAlign w:val="center"/>
            <w:hideMark/>
          </w:tcPr>
          <w:p w14:paraId="2B72F6E2"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Ejecutar 14 iniciativas que garanticen el ejercicio de las libertades fundamentales de religión culto y conciencia en el marco de la política pública existente</w:t>
            </w:r>
          </w:p>
        </w:tc>
        <w:tc>
          <w:tcPr>
            <w:tcW w:w="295" w:type="pct"/>
            <w:vMerge w:val="restart"/>
            <w:tcMar>
              <w:top w:w="30" w:type="dxa"/>
              <w:left w:w="45" w:type="dxa"/>
              <w:bottom w:w="30" w:type="dxa"/>
              <w:right w:w="45" w:type="dxa"/>
            </w:tcMar>
            <w:vAlign w:val="center"/>
            <w:hideMark/>
          </w:tcPr>
          <w:p w14:paraId="747601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92" w:type="pct"/>
            <w:vMerge w:val="restart"/>
            <w:tcMar>
              <w:top w:w="30" w:type="dxa"/>
              <w:left w:w="45" w:type="dxa"/>
              <w:bottom w:w="30" w:type="dxa"/>
              <w:right w:w="45" w:type="dxa"/>
            </w:tcMar>
            <w:vAlign w:val="center"/>
            <w:hideMark/>
          </w:tcPr>
          <w:p w14:paraId="6E1B42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Gobierno</w:t>
            </w:r>
          </w:p>
        </w:tc>
        <w:tc>
          <w:tcPr>
            <w:tcW w:w="601" w:type="pct"/>
            <w:tcMar>
              <w:top w:w="30" w:type="dxa"/>
              <w:left w:w="45" w:type="dxa"/>
              <w:bottom w:w="30" w:type="dxa"/>
              <w:right w:w="45" w:type="dxa"/>
            </w:tcMar>
            <w:vAlign w:val="center"/>
            <w:hideMark/>
          </w:tcPr>
          <w:p w14:paraId="26CB719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w:t>
            </w:r>
          </w:p>
        </w:tc>
        <w:tc>
          <w:tcPr>
            <w:tcW w:w="654" w:type="pct"/>
            <w:tcMar>
              <w:top w:w="30" w:type="dxa"/>
              <w:left w:w="45" w:type="dxa"/>
              <w:bottom w:w="30" w:type="dxa"/>
              <w:right w:w="45" w:type="dxa"/>
            </w:tcMar>
            <w:vAlign w:val="center"/>
            <w:hideMark/>
          </w:tcPr>
          <w:p w14:paraId="65D1A4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w:t>
            </w:r>
          </w:p>
        </w:tc>
        <w:tc>
          <w:tcPr>
            <w:tcW w:w="607" w:type="pct"/>
            <w:tcMar>
              <w:top w:w="30" w:type="dxa"/>
              <w:left w:w="45" w:type="dxa"/>
              <w:bottom w:w="30" w:type="dxa"/>
              <w:right w:w="45" w:type="dxa"/>
            </w:tcMar>
            <w:vAlign w:val="center"/>
            <w:hideMark/>
          </w:tcPr>
          <w:p w14:paraId="3693D83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w:t>
            </w:r>
          </w:p>
        </w:tc>
        <w:tc>
          <w:tcPr>
            <w:tcW w:w="605" w:type="pct"/>
            <w:tcMar>
              <w:top w:w="30" w:type="dxa"/>
              <w:left w:w="45" w:type="dxa"/>
              <w:bottom w:w="30" w:type="dxa"/>
              <w:right w:w="45" w:type="dxa"/>
            </w:tcMar>
            <w:vAlign w:val="center"/>
            <w:hideMark/>
          </w:tcPr>
          <w:p w14:paraId="60D9B01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w:t>
            </w:r>
          </w:p>
        </w:tc>
        <w:tc>
          <w:tcPr>
            <w:tcW w:w="648" w:type="pct"/>
            <w:vMerge w:val="restart"/>
            <w:tcMar>
              <w:top w:w="30" w:type="dxa"/>
              <w:left w:w="45" w:type="dxa"/>
              <w:bottom w:w="30" w:type="dxa"/>
              <w:right w:w="45" w:type="dxa"/>
            </w:tcMar>
            <w:vAlign w:val="center"/>
            <w:hideMark/>
          </w:tcPr>
          <w:p w14:paraId="1A44FF2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4.247.050.307</w:t>
            </w:r>
          </w:p>
        </w:tc>
      </w:tr>
      <w:tr w:rsidR="00856F66" w:rsidRPr="00E31657" w14:paraId="0A642C58" w14:textId="77777777" w:rsidTr="00F974BB">
        <w:trPr>
          <w:trHeight w:val="315"/>
        </w:trPr>
        <w:tc>
          <w:tcPr>
            <w:tcW w:w="899" w:type="pct"/>
            <w:vMerge/>
            <w:vAlign w:val="center"/>
            <w:hideMark/>
          </w:tcPr>
          <w:p w14:paraId="64C49D3D"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65D12352" w14:textId="77777777" w:rsidR="00856F66" w:rsidRPr="00E31657" w:rsidRDefault="00856F66" w:rsidP="00B24742">
            <w:pPr>
              <w:rPr>
                <w:rFonts w:cs="Arial"/>
                <w:sz w:val="16"/>
                <w:szCs w:val="16"/>
                <w:lang w:val="es-ES_tradnl" w:eastAsia="es-MX"/>
              </w:rPr>
            </w:pPr>
          </w:p>
        </w:tc>
        <w:tc>
          <w:tcPr>
            <w:tcW w:w="692" w:type="pct"/>
            <w:vMerge/>
            <w:vAlign w:val="center"/>
            <w:hideMark/>
          </w:tcPr>
          <w:p w14:paraId="2344EBCA"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261666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683.000.000</w:t>
            </w:r>
          </w:p>
        </w:tc>
        <w:tc>
          <w:tcPr>
            <w:tcW w:w="654" w:type="pct"/>
            <w:tcMar>
              <w:top w:w="30" w:type="dxa"/>
              <w:left w:w="45" w:type="dxa"/>
              <w:bottom w:w="30" w:type="dxa"/>
              <w:right w:w="45" w:type="dxa"/>
            </w:tcMar>
            <w:vAlign w:val="center"/>
            <w:hideMark/>
          </w:tcPr>
          <w:p w14:paraId="4468CB3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1.223.300.971</w:t>
            </w:r>
          </w:p>
        </w:tc>
        <w:tc>
          <w:tcPr>
            <w:tcW w:w="607" w:type="pct"/>
            <w:tcMar>
              <w:top w:w="30" w:type="dxa"/>
              <w:left w:w="45" w:type="dxa"/>
              <w:bottom w:w="30" w:type="dxa"/>
              <w:right w:w="45" w:type="dxa"/>
            </w:tcMar>
            <w:vAlign w:val="center"/>
            <w:hideMark/>
          </w:tcPr>
          <w:p w14:paraId="034A072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1.187.670.846</w:t>
            </w:r>
          </w:p>
        </w:tc>
        <w:tc>
          <w:tcPr>
            <w:tcW w:w="605" w:type="pct"/>
            <w:tcMar>
              <w:top w:w="30" w:type="dxa"/>
              <w:left w:w="45" w:type="dxa"/>
              <w:bottom w:w="30" w:type="dxa"/>
              <w:right w:w="45" w:type="dxa"/>
            </w:tcMar>
            <w:vAlign w:val="center"/>
            <w:hideMark/>
          </w:tcPr>
          <w:p w14:paraId="4A023AA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1.153.078.491</w:t>
            </w:r>
          </w:p>
        </w:tc>
        <w:tc>
          <w:tcPr>
            <w:tcW w:w="648" w:type="pct"/>
            <w:vMerge/>
            <w:vAlign w:val="center"/>
            <w:hideMark/>
          </w:tcPr>
          <w:p w14:paraId="529071A2" w14:textId="77777777" w:rsidR="00856F66" w:rsidRPr="00E31657" w:rsidRDefault="00856F66" w:rsidP="00B24742">
            <w:pPr>
              <w:rPr>
                <w:rFonts w:cs="Arial"/>
                <w:b/>
                <w:bCs/>
                <w:sz w:val="16"/>
                <w:szCs w:val="16"/>
                <w:lang w:val="es-ES_tradnl" w:eastAsia="es-MX"/>
              </w:rPr>
            </w:pPr>
          </w:p>
        </w:tc>
      </w:tr>
      <w:tr w:rsidR="00856F66" w:rsidRPr="00E31657" w14:paraId="4956C56F" w14:textId="77777777" w:rsidTr="00F974BB">
        <w:trPr>
          <w:trHeight w:val="315"/>
        </w:trPr>
        <w:tc>
          <w:tcPr>
            <w:tcW w:w="899" w:type="pct"/>
            <w:vMerge w:val="restart"/>
            <w:tcMar>
              <w:top w:w="30" w:type="dxa"/>
              <w:left w:w="45" w:type="dxa"/>
              <w:bottom w:w="30" w:type="dxa"/>
              <w:right w:w="45" w:type="dxa"/>
            </w:tcMar>
            <w:vAlign w:val="center"/>
            <w:hideMark/>
          </w:tcPr>
          <w:p w14:paraId="4005F34D" w14:textId="58225208"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el 100% de los productos a cargo del Secretaría Distrital de Gobierno consignados en los planes de acción de las Políticas Públicas para los pueblos y comunidades Indígenas y su capítulo Muisca Rrom Negros Afrocolombianos y su capítulo Palenquero y Raizales para el periodo 2024-202</w:t>
            </w:r>
            <w:r w:rsidR="0061728F">
              <w:rPr>
                <w:rFonts w:cs="Arial"/>
                <w:sz w:val="16"/>
                <w:szCs w:val="16"/>
                <w:lang w:val="es-ES_tradnl" w:eastAsia="es-MX"/>
              </w:rPr>
              <w:t>7</w:t>
            </w:r>
          </w:p>
        </w:tc>
        <w:tc>
          <w:tcPr>
            <w:tcW w:w="295" w:type="pct"/>
            <w:vMerge w:val="restart"/>
            <w:tcMar>
              <w:top w:w="30" w:type="dxa"/>
              <w:left w:w="45" w:type="dxa"/>
              <w:bottom w:w="30" w:type="dxa"/>
              <w:right w:w="45" w:type="dxa"/>
            </w:tcMar>
            <w:vAlign w:val="center"/>
            <w:hideMark/>
          </w:tcPr>
          <w:p w14:paraId="3F53A7D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85</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0759C4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Acciones afirmativas ejecutadas a satisfacción por la Dirección de Asuntos Étnicos (2023)</w:t>
            </w:r>
          </w:p>
        </w:tc>
        <w:tc>
          <w:tcPr>
            <w:tcW w:w="601" w:type="pct"/>
            <w:tcMar>
              <w:top w:w="30" w:type="dxa"/>
              <w:left w:w="45" w:type="dxa"/>
              <w:bottom w:w="30" w:type="dxa"/>
              <w:right w:w="45" w:type="dxa"/>
            </w:tcMar>
            <w:vAlign w:val="center"/>
            <w:hideMark/>
          </w:tcPr>
          <w:p w14:paraId="19D0AE9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54" w:type="pct"/>
            <w:tcMar>
              <w:top w:w="30" w:type="dxa"/>
              <w:left w:w="45" w:type="dxa"/>
              <w:bottom w:w="30" w:type="dxa"/>
              <w:right w:w="45" w:type="dxa"/>
            </w:tcMar>
            <w:vAlign w:val="center"/>
            <w:hideMark/>
          </w:tcPr>
          <w:p w14:paraId="75C5898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7" w:type="pct"/>
            <w:tcMar>
              <w:top w:w="30" w:type="dxa"/>
              <w:left w:w="45" w:type="dxa"/>
              <w:bottom w:w="30" w:type="dxa"/>
              <w:right w:w="45" w:type="dxa"/>
            </w:tcMar>
            <w:vAlign w:val="center"/>
            <w:hideMark/>
          </w:tcPr>
          <w:p w14:paraId="363ACBC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5" w:type="pct"/>
            <w:tcMar>
              <w:top w:w="30" w:type="dxa"/>
              <w:left w:w="45" w:type="dxa"/>
              <w:bottom w:w="30" w:type="dxa"/>
              <w:right w:w="45" w:type="dxa"/>
            </w:tcMar>
            <w:vAlign w:val="center"/>
            <w:hideMark/>
          </w:tcPr>
          <w:p w14:paraId="08A763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48" w:type="pct"/>
            <w:vMerge w:val="restart"/>
            <w:tcMar>
              <w:top w:w="30" w:type="dxa"/>
              <w:left w:w="45" w:type="dxa"/>
              <w:bottom w:w="30" w:type="dxa"/>
              <w:right w:w="45" w:type="dxa"/>
            </w:tcMar>
            <w:vAlign w:val="center"/>
            <w:hideMark/>
          </w:tcPr>
          <w:p w14:paraId="189C904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7.014.459.147</w:t>
            </w:r>
          </w:p>
        </w:tc>
      </w:tr>
      <w:tr w:rsidR="00856F66" w:rsidRPr="00E31657" w14:paraId="5B3C882F" w14:textId="77777777" w:rsidTr="00F974BB">
        <w:trPr>
          <w:trHeight w:val="315"/>
        </w:trPr>
        <w:tc>
          <w:tcPr>
            <w:tcW w:w="899" w:type="pct"/>
            <w:vMerge/>
            <w:vAlign w:val="center"/>
            <w:hideMark/>
          </w:tcPr>
          <w:p w14:paraId="20E11987"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69D2096" w14:textId="77777777" w:rsidR="00856F66" w:rsidRPr="00E31657" w:rsidRDefault="00856F66" w:rsidP="00B24742">
            <w:pPr>
              <w:rPr>
                <w:rFonts w:cs="Arial"/>
                <w:sz w:val="16"/>
                <w:szCs w:val="16"/>
                <w:lang w:val="es-ES_tradnl" w:eastAsia="es-MX"/>
              </w:rPr>
            </w:pPr>
          </w:p>
        </w:tc>
        <w:tc>
          <w:tcPr>
            <w:tcW w:w="692" w:type="pct"/>
            <w:vMerge/>
            <w:vAlign w:val="center"/>
            <w:hideMark/>
          </w:tcPr>
          <w:p w14:paraId="04F824D0"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EA8FF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700.000.000</w:t>
            </w:r>
          </w:p>
        </w:tc>
        <w:tc>
          <w:tcPr>
            <w:tcW w:w="654" w:type="pct"/>
            <w:tcMar>
              <w:top w:w="30" w:type="dxa"/>
              <w:left w:w="45" w:type="dxa"/>
              <w:bottom w:w="30" w:type="dxa"/>
              <w:right w:w="45" w:type="dxa"/>
            </w:tcMar>
            <w:vAlign w:val="center"/>
            <w:hideMark/>
          </w:tcPr>
          <w:p w14:paraId="744C83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2.135.922.330</w:t>
            </w:r>
          </w:p>
        </w:tc>
        <w:tc>
          <w:tcPr>
            <w:tcW w:w="607" w:type="pct"/>
            <w:tcMar>
              <w:top w:w="30" w:type="dxa"/>
              <w:left w:w="45" w:type="dxa"/>
              <w:bottom w:w="30" w:type="dxa"/>
              <w:right w:w="45" w:type="dxa"/>
            </w:tcMar>
            <w:vAlign w:val="center"/>
            <w:hideMark/>
          </w:tcPr>
          <w:p w14:paraId="3661F03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2.073.711.000</w:t>
            </w:r>
          </w:p>
        </w:tc>
        <w:tc>
          <w:tcPr>
            <w:tcW w:w="605" w:type="pct"/>
            <w:tcMar>
              <w:top w:w="30" w:type="dxa"/>
              <w:left w:w="45" w:type="dxa"/>
              <w:bottom w:w="30" w:type="dxa"/>
              <w:right w:w="45" w:type="dxa"/>
            </w:tcMar>
            <w:vAlign w:val="center"/>
            <w:hideMark/>
          </w:tcPr>
          <w:p w14:paraId="6649EB5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2.104.825.817</w:t>
            </w:r>
          </w:p>
        </w:tc>
        <w:tc>
          <w:tcPr>
            <w:tcW w:w="648" w:type="pct"/>
            <w:vMerge/>
            <w:vAlign w:val="center"/>
            <w:hideMark/>
          </w:tcPr>
          <w:p w14:paraId="3CD53AC6" w14:textId="77777777" w:rsidR="00856F66" w:rsidRPr="00E31657" w:rsidRDefault="00856F66" w:rsidP="00B24742">
            <w:pPr>
              <w:rPr>
                <w:rFonts w:cs="Arial"/>
                <w:b/>
                <w:bCs/>
                <w:sz w:val="16"/>
                <w:szCs w:val="16"/>
                <w:lang w:val="es-ES_tradnl" w:eastAsia="es-MX"/>
              </w:rPr>
            </w:pPr>
          </w:p>
        </w:tc>
      </w:tr>
      <w:tr w:rsidR="00856F66" w:rsidRPr="00E31657" w14:paraId="4F0AE576" w14:textId="77777777" w:rsidTr="00F974BB">
        <w:trPr>
          <w:trHeight w:val="315"/>
        </w:trPr>
        <w:tc>
          <w:tcPr>
            <w:tcW w:w="899" w:type="pct"/>
            <w:vMerge w:val="restart"/>
            <w:tcMar>
              <w:top w:w="30" w:type="dxa"/>
              <w:left w:w="45" w:type="dxa"/>
              <w:bottom w:w="30" w:type="dxa"/>
              <w:right w:w="45" w:type="dxa"/>
            </w:tcMar>
            <w:vAlign w:val="center"/>
            <w:hideMark/>
          </w:tcPr>
          <w:p w14:paraId="3C414D23"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Prestar 40.000 atenciones con enfoque diferencial y de género a las personas que soliciten los servicios brindados en los espacios de atención apropiación cultural y reconocimiento de procesos organizativos de los grupos étnicos en Bogotá.</w:t>
            </w:r>
          </w:p>
        </w:tc>
        <w:tc>
          <w:tcPr>
            <w:tcW w:w="295" w:type="pct"/>
            <w:vMerge w:val="restart"/>
            <w:tcMar>
              <w:top w:w="30" w:type="dxa"/>
              <w:left w:w="45" w:type="dxa"/>
              <w:bottom w:w="30" w:type="dxa"/>
              <w:right w:w="45" w:type="dxa"/>
            </w:tcMar>
            <w:vAlign w:val="center"/>
            <w:hideMark/>
          </w:tcPr>
          <w:p w14:paraId="30391E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7547</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1A4BF04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Registros Administrativos de las atenciones brindadas en los Espacios de Atención Diferenciada. (2023)</w:t>
            </w:r>
          </w:p>
        </w:tc>
        <w:tc>
          <w:tcPr>
            <w:tcW w:w="601" w:type="pct"/>
            <w:tcMar>
              <w:top w:w="30" w:type="dxa"/>
              <w:left w:w="45" w:type="dxa"/>
              <w:bottom w:w="30" w:type="dxa"/>
              <w:right w:w="45" w:type="dxa"/>
            </w:tcMar>
            <w:vAlign w:val="center"/>
            <w:hideMark/>
          </w:tcPr>
          <w:p w14:paraId="6E4D7CC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5.000</w:t>
            </w:r>
          </w:p>
        </w:tc>
        <w:tc>
          <w:tcPr>
            <w:tcW w:w="654" w:type="pct"/>
            <w:tcMar>
              <w:top w:w="30" w:type="dxa"/>
              <w:left w:w="45" w:type="dxa"/>
              <w:bottom w:w="30" w:type="dxa"/>
              <w:right w:w="45" w:type="dxa"/>
            </w:tcMar>
            <w:vAlign w:val="center"/>
            <w:hideMark/>
          </w:tcPr>
          <w:p w14:paraId="2DB8C5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12.000</w:t>
            </w:r>
          </w:p>
        </w:tc>
        <w:tc>
          <w:tcPr>
            <w:tcW w:w="607" w:type="pct"/>
            <w:tcMar>
              <w:top w:w="30" w:type="dxa"/>
              <w:left w:w="45" w:type="dxa"/>
              <w:bottom w:w="30" w:type="dxa"/>
              <w:right w:w="45" w:type="dxa"/>
            </w:tcMar>
            <w:vAlign w:val="center"/>
            <w:hideMark/>
          </w:tcPr>
          <w:p w14:paraId="248ACA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12.000</w:t>
            </w:r>
          </w:p>
        </w:tc>
        <w:tc>
          <w:tcPr>
            <w:tcW w:w="605" w:type="pct"/>
            <w:tcMar>
              <w:top w:w="30" w:type="dxa"/>
              <w:left w:w="45" w:type="dxa"/>
              <w:bottom w:w="30" w:type="dxa"/>
              <w:right w:w="45" w:type="dxa"/>
            </w:tcMar>
            <w:vAlign w:val="center"/>
            <w:hideMark/>
          </w:tcPr>
          <w:p w14:paraId="7B87AB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11.000</w:t>
            </w:r>
          </w:p>
        </w:tc>
        <w:tc>
          <w:tcPr>
            <w:tcW w:w="648" w:type="pct"/>
            <w:vMerge w:val="restart"/>
            <w:tcMar>
              <w:top w:w="30" w:type="dxa"/>
              <w:left w:w="45" w:type="dxa"/>
              <w:bottom w:w="30" w:type="dxa"/>
              <w:right w:w="45" w:type="dxa"/>
            </w:tcMar>
            <w:vAlign w:val="center"/>
            <w:hideMark/>
          </w:tcPr>
          <w:p w14:paraId="1EC38D2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9.685.834.065</w:t>
            </w:r>
          </w:p>
        </w:tc>
      </w:tr>
      <w:tr w:rsidR="00856F66" w:rsidRPr="00E31657" w14:paraId="74842C88" w14:textId="77777777" w:rsidTr="00F974BB">
        <w:trPr>
          <w:trHeight w:val="315"/>
        </w:trPr>
        <w:tc>
          <w:tcPr>
            <w:tcW w:w="899" w:type="pct"/>
            <w:vMerge/>
            <w:vAlign w:val="center"/>
            <w:hideMark/>
          </w:tcPr>
          <w:p w14:paraId="7011C6F7"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50AEF88" w14:textId="77777777" w:rsidR="00856F66" w:rsidRPr="00E31657" w:rsidRDefault="00856F66" w:rsidP="00B24742">
            <w:pPr>
              <w:rPr>
                <w:rFonts w:cs="Arial"/>
                <w:sz w:val="16"/>
                <w:szCs w:val="16"/>
                <w:lang w:val="es-ES_tradnl" w:eastAsia="es-MX"/>
              </w:rPr>
            </w:pPr>
          </w:p>
        </w:tc>
        <w:tc>
          <w:tcPr>
            <w:tcW w:w="692" w:type="pct"/>
            <w:vMerge/>
            <w:vAlign w:val="center"/>
            <w:hideMark/>
          </w:tcPr>
          <w:p w14:paraId="3F9433B6"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39097F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1.200.000.000</w:t>
            </w:r>
          </w:p>
        </w:tc>
        <w:tc>
          <w:tcPr>
            <w:tcW w:w="654" w:type="pct"/>
            <w:tcMar>
              <w:top w:w="30" w:type="dxa"/>
              <w:left w:w="45" w:type="dxa"/>
              <w:bottom w:w="30" w:type="dxa"/>
              <w:right w:w="45" w:type="dxa"/>
            </w:tcMar>
            <w:vAlign w:val="center"/>
            <w:hideMark/>
          </w:tcPr>
          <w:p w14:paraId="4D22F08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2.912.621.359</w:t>
            </w:r>
          </w:p>
        </w:tc>
        <w:tc>
          <w:tcPr>
            <w:tcW w:w="607" w:type="pct"/>
            <w:tcMar>
              <w:top w:w="30" w:type="dxa"/>
              <w:left w:w="45" w:type="dxa"/>
              <w:bottom w:w="30" w:type="dxa"/>
              <w:right w:w="45" w:type="dxa"/>
            </w:tcMar>
            <w:vAlign w:val="center"/>
            <w:hideMark/>
          </w:tcPr>
          <w:p w14:paraId="5072CA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2.827.787.727</w:t>
            </w:r>
          </w:p>
        </w:tc>
        <w:tc>
          <w:tcPr>
            <w:tcW w:w="605" w:type="pct"/>
            <w:tcMar>
              <w:top w:w="30" w:type="dxa"/>
              <w:left w:w="45" w:type="dxa"/>
              <w:bottom w:w="30" w:type="dxa"/>
              <w:right w:w="45" w:type="dxa"/>
            </w:tcMar>
            <w:vAlign w:val="center"/>
            <w:hideMark/>
          </w:tcPr>
          <w:p w14:paraId="5EC03DD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2.745.424.978</w:t>
            </w:r>
          </w:p>
        </w:tc>
        <w:tc>
          <w:tcPr>
            <w:tcW w:w="648" w:type="pct"/>
            <w:vMerge/>
            <w:vAlign w:val="center"/>
            <w:hideMark/>
          </w:tcPr>
          <w:p w14:paraId="1010EDEC" w14:textId="77777777" w:rsidR="00856F66" w:rsidRPr="00E31657" w:rsidRDefault="00856F66" w:rsidP="00B24742">
            <w:pPr>
              <w:rPr>
                <w:rFonts w:cs="Arial"/>
                <w:b/>
                <w:bCs/>
                <w:sz w:val="16"/>
                <w:szCs w:val="16"/>
                <w:lang w:val="es-ES_tradnl" w:eastAsia="es-MX"/>
              </w:rPr>
            </w:pPr>
          </w:p>
        </w:tc>
      </w:tr>
      <w:tr w:rsidR="00856F66" w:rsidRPr="00E31657" w14:paraId="4B9461F5"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0DAD4749"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Integración social</w:t>
            </w:r>
          </w:p>
        </w:tc>
      </w:tr>
      <w:tr w:rsidR="00856F66" w:rsidRPr="00E31657" w14:paraId="29F0CBD6" w14:textId="77777777" w:rsidTr="00F974BB">
        <w:trPr>
          <w:trHeight w:val="315"/>
        </w:trPr>
        <w:tc>
          <w:tcPr>
            <w:tcW w:w="899" w:type="pct"/>
            <w:vMerge w:val="restart"/>
            <w:tcMar>
              <w:top w:w="30" w:type="dxa"/>
              <w:left w:w="45" w:type="dxa"/>
              <w:bottom w:w="30" w:type="dxa"/>
              <w:right w:w="45" w:type="dxa"/>
            </w:tcMar>
            <w:vAlign w:val="center"/>
            <w:hideMark/>
          </w:tcPr>
          <w:p w14:paraId="167ED4D0"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Adaptar 10 servicios sociales y estrategias de integración social priorizadas para la atención diferencial y la inclusión de personas LGTBIQ+ en articulación con el Sistema Distrital de Cuidado.</w:t>
            </w:r>
          </w:p>
        </w:tc>
        <w:tc>
          <w:tcPr>
            <w:tcW w:w="295" w:type="pct"/>
            <w:vMerge w:val="restart"/>
            <w:tcMar>
              <w:top w:w="30" w:type="dxa"/>
              <w:left w:w="45" w:type="dxa"/>
              <w:bottom w:w="30" w:type="dxa"/>
              <w:right w:w="45" w:type="dxa"/>
            </w:tcMar>
            <w:vAlign w:val="center"/>
            <w:hideMark/>
          </w:tcPr>
          <w:p w14:paraId="1AB6FD1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92" w:type="pct"/>
            <w:vMerge w:val="restart"/>
            <w:tcMar>
              <w:top w:w="30" w:type="dxa"/>
              <w:left w:w="45" w:type="dxa"/>
              <w:bottom w:w="30" w:type="dxa"/>
              <w:right w:w="45" w:type="dxa"/>
            </w:tcMar>
            <w:vAlign w:val="center"/>
            <w:hideMark/>
          </w:tcPr>
          <w:p w14:paraId="79191B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01" w:type="pct"/>
            <w:tcMar>
              <w:top w:w="30" w:type="dxa"/>
              <w:left w:w="45" w:type="dxa"/>
              <w:bottom w:w="30" w:type="dxa"/>
              <w:right w:w="45" w:type="dxa"/>
            </w:tcMar>
            <w:vAlign w:val="center"/>
            <w:hideMark/>
          </w:tcPr>
          <w:p w14:paraId="533923A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54" w:type="pct"/>
            <w:tcMar>
              <w:top w:w="30" w:type="dxa"/>
              <w:left w:w="45" w:type="dxa"/>
              <w:bottom w:w="30" w:type="dxa"/>
              <w:right w:w="45" w:type="dxa"/>
            </w:tcMar>
            <w:vAlign w:val="center"/>
            <w:hideMark/>
          </w:tcPr>
          <w:p w14:paraId="521A81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607" w:type="pct"/>
            <w:tcMar>
              <w:top w:w="30" w:type="dxa"/>
              <w:left w:w="45" w:type="dxa"/>
              <w:bottom w:w="30" w:type="dxa"/>
              <w:right w:w="45" w:type="dxa"/>
            </w:tcMar>
            <w:vAlign w:val="center"/>
            <w:hideMark/>
          </w:tcPr>
          <w:p w14:paraId="5DE4542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w:t>
            </w:r>
          </w:p>
        </w:tc>
        <w:tc>
          <w:tcPr>
            <w:tcW w:w="605" w:type="pct"/>
            <w:tcMar>
              <w:top w:w="30" w:type="dxa"/>
              <w:left w:w="45" w:type="dxa"/>
              <w:bottom w:w="30" w:type="dxa"/>
              <w:right w:w="45" w:type="dxa"/>
            </w:tcMar>
            <w:vAlign w:val="center"/>
            <w:hideMark/>
          </w:tcPr>
          <w:p w14:paraId="1B7CDA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648" w:type="pct"/>
            <w:vMerge w:val="restart"/>
            <w:tcMar>
              <w:top w:w="30" w:type="dxa"/>
              <w:left w:w="45" w:type="dxa"/>
              <w:bottom w:w="30" w:type="dxa"/>
              <w:right w:w="45" w:type="dxa"/>
            </w:tcMar>
            <w:vAlign w:val="center"/>
            <w:hideMark/>
          </w:tcPr>
          <w:p w14:paraId="1FDADA2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18.311.855.930</w:t>
            </w:r>
          </w:p>
        </w:tc>
      </w:tr>
      <w:tr w:rsidR="00856F66" w:rsidRPr="00E31657" w14:paraId="4051F7F1" w14:textId="77777777" w:rsidTr="00F974BB">
        <w:trPr>
          <w:trHeight w:val="315"/>
        </w:trPr>
        <w:tc>
          <w:tcPr>
            <w:tcW w:w="899" w:type="pct"/>
            <w:vMerge/>
            <w:vAlign w:val="center"/>
            <w:hideMark/>
          </w:tcPr>
          <w:p w14:paraId="15C8A244"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4D05D628" w14:textId="77777777" w:rsidR="00856F66" w:rsidRPr="00E31657" w:rsidRDefault="00856F66" w:rsidP="00B24742">
            <w:pPr>
              <w:rPr>
                <w:rFonts w:cs="Arial"/>
                <w:sz w:val="16"/>
                <w:szCs w:val="16"/>
                <w:lang w:val="es-ES_tradnl" w:eastAsia="es-MX"/>
              </w:rPr>
            </w:pPr>
          </w:p>
        </w:tc>
        <w:tc>
          <w:tcPr>
            <w:tcW w:w="692" w:type="pct"/>
            <w:vMerge/>
            <w:vAlign w:val="center"/>
            <w:hideMark/>
          </w:tcPr>
          <w:p w14:paraId="73F592FF"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2F15320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4.385.000.000</w:t>
            </w:r>
          </w:p>
        </w:tc>
        <w:tc>
          <w:tcPr>
            <w:tcW w:w="654" w:type="pct"/>
            <w:tcMar>
              <w:top w:w="30" w:type="dxa"/>
              <w:left w:w="45" w:type="dxa"/>
              <w:bottom w:w="30" w:type="dxa"/>
              <w:right w:w="45" w:type="dxa"/>
            </w:tcMar>
            <w:vAlign w:val="center"/>
            <w:hideMark/>
          </w:tcPr>
          <w:p w14:paraId="5B2C23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4.500.000.000</w:t>
            </w:r>
          </w:p>
        </w:tc>
        <w:tc>
          <w:tcPr>
            <w:tcW w:w="607" w:type="pct"/>
            <w:tcMar>
              <w:top w:w="30" w:type="dxa"/>
              <w:left w:w="45" w:type="dxa"/>
              <w:bottom w:w="30" w:type="dxa"/>
              <w:right w:w="45" w:type="dxa"/>
            </w:tcMar>
            <w:vAlign w:val="center"/>
            <w:hideMark/>
          </w:tcPr>
          <w:p w14:paraId="47592A3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4.680.931.285</w:t>
            </w:r>
          </w:p>
        </w:tc>
        <w:tc>
          <w:tcPr>
            <w:tcW w:w="605" w:type="pct"/>
            <w:tcMar>
              <w:top w:w="30" w:type="dxa"/>
              <w:left w:w="45" w:type="dxa"/>
              <w:bottom w:w="30" w:type="dxa"/>
              <w:right w:w="45" w:type="dxa"/>
            </w:tcMar>
            <w:vAlign w:val="center"/>
            <w:hideMark/>
          </w:tcPr>
          <w:p w14:paraId="42B4D98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4.745.924.645</w:t>
            </w:r>
          </w:p>
        </w:tc>
        <w:tc>
          <w:tcPr>
            <w:tcW w:w="648" w:type="pct"/>
            <w:vMerge/>
            <w:vAlign w:val="center"/>
            <w:hideMark/>
          </w:tcPr>
          <w:p w14:paraId="2F0A7C5E" w14:textId="77777777" w:rsidR="00856F66" w:rsidRPr="00E31657" w:rsidRDefault="00856F66" w:rsidP="00B24742">
            <w:pPr>
              <w:rPr>
                <w:rFonts w:cs="Arial"/>
                <w:b/>
                <w:bCs/>
                <w:sz w:val="16"/>
                <w:szCs w:val="16"/>
                <w:lang w:val="es-ES_tradnl" w:eastAsia="es-MX"/>
              </w:rPr>
            </w:pPr>
          </w:p>
        </w:tc>
      </w:tr>
      <w:tr w:rsidR="00856F66" w:rsidRPr="00E31657" w14:paraId="38E01AD9" w14:textId="77777777" w:rsidTr="00F974BB">
        <w:trPr>
          <w:trHeight w:val="315"/>
        </w:trPr>
        <w:tc>
          <w:tcPr>
            <w:tcW w:w="899" w:type="pct"/>
            <w:vMerge w:val="restart"/>
            <w:tcMar>
              <w:top w:w="30" w:type="dxa"/>
              <w:left w:w="45" w:type="dxa"/>
              <w:bottom w:w="30" w:type="dxa"/>
              <w:right w:w="45" w:type="dxa"/>
            </w:tcMar>
            <w:vAlign w:val="center"/>
            <w:hideMark/>
          </w:tcPr>
          <w:p w14:paraId="23A1B191"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Adaptar 15 servicios sociales y estrategias de integración social priorizadas para la atención diferencial y la inclusión de personas con discapacidad considerando también el enfoque étnico en articulación con el Sistema Distrital de Cuidado.</w:t>
            </w:r>
          </w:p>
        </w:tc>
        <w:tc>
          <w:tcPr>
            <w:tcW w:w="295" w:type="pct"/>
            <w:vMerge w:val="restart"/>
            <w:tcMar>
              <w:top w:w="30" w:type="dxa"/>
              <w:left w:w="45" w:type="dxa"/>
              <w:bottom w:w="30" w:type="dxa"/>
              <w:right w:w="45" w:type="dxa"/>
            </w:tcMar>
            <w:vAlign w:val="center"/>
            <w:hideMark/>
          </w:tcPr>
          <w:p w14:paraId="0D25D96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92" w:type="pct"/>
            <w:vMerge w:val="restart"/>
            <w:tcMar>
              <w:top w:w="30" w:type="dxa"/>
              <w:left w:w="45" w:type="dxa"/>
              <w:bottom w:w="30" w:type="dxa"/>
              <w:right w:w="45" w:type="dxa"/>
            </w:tcMar>
            <w:vAlign w:val="center"/>
            <w:hideMark/>
          </w:tcPr>
          <w:p w14:paraId="0012E4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01" w:type="pct"/>
            <w:tcMar>
              <w:top w:w="30" w:type="dxa"/>
              <w:left w:w="45" w:type="dxa"/>
              <w:bottom w:w="30" w:type="dxa"/>
              <w:right w:w="45" w:type="dxa"/>
            </w:tcMar>
            <w:vAlign w:val="center"/>
            <w:hideMark/>
          </w:tcPr>
          <w:p w14:paraId="6FD8655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54" w:type="pct"/>
            <w:tcMar>
              <w:top w:w="30" w:type="dxa"/>
              <w:left w:w="45" w:type="dxa"/>
              <w:bottom w:w="30" w:type="dxa"/>
              <w:right w:w="45" w:type="dxa"/>
            </w:tcMar>
            <w:vAlign w:val="center"/>
            <w:hideMark/>
          </w:tcPr>
          <w:p w14:paraId="5BB3ED4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607" w:type="pct"/>
            <w:tcMar>
              <w:top w:w="30" w:type="dxa"/>
              <w:left w:w="45" w:type="dxa"/>
              <w:bottom w:w="30" w:type="dxa"/>
              <w:right w:w="45" w:type="dxa"/>
            </w:tcMar>
            <w:vAlign w:val="center"/>
            <w:hideMark/>
          </w:tcPr>
          <w:p w14:paraId="20A2B96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605" w:type="pct"/>
            <w:tcMar>
              <w:top w:w="30" w:type="dxa"/>
              <w:left w:w="45" w:type="dxa"/>
              <w:bottom w:w="30" w:type="dxa"/>
              <w:right w:w="45" w:type="dxa"/>
            </w:tcMar>
            <w:vAlign w:val="center"/>
            <w:hideMark/>
          </w:tcPr>
          <w:p w14:paraId="1DAF5A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648" w:type="pct"/>
            <w:vMerge w:val="restart"/>
            <w:tcMar>
              <w:top w:w="30" w:type="dxa"/>
              <w:left w:w="45" w:type="dxa"/>
              <w:bottom w:w="30" w:type="dxa"/>
              <w:right w:w="45" w:type="dxa"/>
            </w:tcMar>
            <w:vAlign w:val="center"/>
            <w:hideMark/>
          </w:tcPr>
          <w:p w14:paraId="6B30595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1.721.167.249</w:t>
            </w:r>
          </w:p>
        </w:tc>
      </w:tr>
      <w:tr w:rsidR="00856F66" w:rsidRPr="00E31657" w14:paraId="23D010FD" w14:textId="77777777" w:rsidTr="00F974BB">
        <w:trPr>
          <w:trHeight w:val="315"/>
        </w:trPr>
        <w:tc>
          <w:tcPr>
            <w:tcW w:w="899" w:type="pct"/>
            <w:vMerge/>
            <w:vAlign w:val="center"/>
            <w:hideMark/>
          </w:tcPr>
          <w:p w14:paraId="0872D22C"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37F5A592" w14:textId="77777777" w:rsidR="00856F66" w:rsidRPr="00E31657" w:rsidRDefault="00856F66" w:rsidP="00B24742">
            <w:pPr>
              <w:rPr>
                <w:rFonts w:cs="Arial"/>
                <w:sz w:val="16"/>
                <w:szCs w:val="16"/>
                <w:lang w:val="es-ES_tradnl" w:eastAsia="es-MX"/>
              </w:rPr>
            </w:pPr>
          </w:p>
        </w:tc>
        <w:tc>
          <w:tcPr>
            <w:tcW w:w="692" w:type="pct"/>
            <w:vMerge/>
            <w:vAlign w:val="center"/>
            <w:hideMark/>
          </w:tcPr>
          <w:p w14:paraId="65DDA5BB"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032BF3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412.000.000</w:t>
            </w:r>
          </w:p>
        </w:tc>
        <w:tc>
          <w:tcPr>
            <w:tcW w:w="654" w:type="pct"/>
            <w:tcMar>
              <w:top w:w="30" w:type="dxa"/>
              <w:left w:w="45" w:type="dxa"/>
              <w:bottom w:w="30" w:type="dxa"/>
              <w:right w:w="45" w:type="dxa"/>
            </w:tcMar>
            <w:vAlign w:val="center"/>
            <w:hideMark/>
          </w:tcPr>
          <w:p w14:paraId="4816B28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423.300.971</w:t>
            </w:r>
          </w:p>
        </w:tc>
        <w:tc>
          <w:tcPr>
            <w:tcW w:w="607" w:type="pct"/>
            <w:tcMar>
              <w:top w:w="30" w:type="dxa"/>
              <w:left w:w="45" w:type="dxa"/>
              <w:bottom w:w="30" w:type="dxa"/>
              <w:right w:w="45" w:type="dxa"/>
            </w:tcMar>
            <w:vAlign w:val="center"/>
            <w:hideMark/>
          </w:tcPr>
          <w:p w14:paraId="29CAAE5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440.192.290</w:t>
            </w:r>
          </w:p>
        </w:tc>
        <w:tc>
          <w:tcPr>
            <w:tcW w:w="605" w:type="pct"/>
            <w:tcMar>
              <w:top w:w="30" w:type="dxa"/>
              <w:left w:w="45" w:type="dxa"/>
              <w:bottom w:w="30" w:type="dxa"/>
              <w:right w:w="45" w:type="dxa"/>
            </w:tcMar>
            <w:vAlign w:val="center"/>
            <w:hideMark/>
          </w:tcPr>
          <w:p w14:paraId="5F9043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445.673.988</w:t>
            </w:r>
          </w:p>
        </w:tc>
        <w:tc>
          <w:tcPr>
            <w:tcW w:w="648" w:type="pct"/>
            <w:vMerge/>
            <w:vAlign w:val="center"/>
            <w:hideMark/>
          </w:tcPr>
          <w:p w14:paraId="3C6C5A46" w14:textId="77777777" w:rsidR="00856F66" w:rsidRPr="00E31657" w:rsidRDefault="00856F66" w:rsidP="00B24742">
            <w:pPr>
              <w:rPr>
                <w:rFonts w:cs="Arial"/>
                <w:b/>
                <w:bCs/>
                <w:sz w:val="16"/>
                <w:szCs w:val="16"/>
                <w:lang w:val="es-ES_tradnl" w:eastAsia="es-MX"/>
              </w:rPr>
            </w:pPr>
          </w:p>
        </w:tc>
      </w:tr>
      <w:tr w:rsidR="00856F66" w:rsidRPr="00E31657" w14:paraId="24589693" w14:textId="77777777" w:rsidTr="00F974BB">
        <w:trPr>
          <w:trHeight w:val="315"/>
        </w:trPr>
        <w:tc>
          <w:tcPr>
            <w:tcW w:w="899" w:type="pct"/>
            <w:vMerge w:val="restart"/>
            <w:tcMar>
              <w:top w:w="30" w:type="dxa"/>
              <w:left w:w="45" w:type="dxa"/>
              <w:bottom w:w="30" w:type="dxa"/>
              <w:right w:w="45" w:type="dxa"/>
            </w:tcMar>
            <w:vAlign w:val="center"/>
            <w:hideMark/>
          </w:tcPr>
          <w:p w14:paraId="0028806C"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Atender a 150.000 jóvenes en los servicios sociales en unidades operativas y estrategias de inclusión social y productiva. </w:t>
            </w:r>
          </w:p>
        </w:tc>
        <w:tc>
          <w:tcPr>
            <w:tcW w:w="295" w:type="pct"/>
            <w:vMerge w:val="restart"/>
            <w:tcMar>
              <w:top w:w="30" w:type="dxa"/>
              <w:left w:w="45" w:type="dxa"/>
              <w:bottom w:w="30" w:type="dxa"/>
              <w:right w:w="45" w:type="dxa"/>
            </w:tcMar>
            <w:vAlign w:val="center"/>
            <w:hideMark/>
          </w:tcPr>
          <w:p w14:paraId="2CD35FC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150000</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440E96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601" w:type="pct"/>
            <w:tcMar>
              <w:top w:w="30" w:type="dxa"/>
              <w:left w:w="45" w:type="dxa"/>
              <w:bottom w:w="30" w:type="dxa"/>
              <w:right w:w="45" w:type="dxa"/>
            </w:tcMar>
            <w:vAlign w:val="center"/>
            <w:hideMark/>
          </w:tcPr>
          <w:p w14:paraId="7EBD58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15.000</w:t>
            </w:r>
          </w:p>
        </w:tc>
        <w:tc>
          <w:tcPr>
            <w:tcW w:w="654" w:type="pct"/>
            <w:tcMar>
              <w:top w:w="30" w:type="dxa"/>
              <w:left w:w="45" w:type="dxa"/>
              <w:bottom w:w="30" w:type="dxa"/>
              <w:right w:w="45" w:type="dxa"/>
            </w:tcMar>
            <w:vAlign w:val="center"/>
            <w:hideMark/>
          </w:tcPr>
          <w:p w14:paraId="40F608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50.000</w:t>
            </w:r>
          </w:p>
        </w:tc>
        <w:tc>
          <w:tcPr>
            <w:tcW w:w="607" w:type="pct"/>
            <w:tcMar>
              <w:top w:w="30" w:type="dxa"/>
              <w:left w:w="45" w:type="dxa"/>
              <w:bottom w:w="30" w:type="dxa"/>
              <w:right w:w="45" w:type="dxa"/>
            </w:tcMar>
            <w:vAlign w:val="center"/>
            <w:hideMark/>
          </w:tcPr>
          <w:p w14:paraId="39ADBA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50.000</w:t>
            </w:r>
          </w:p>
        </w:tc>
        <w:tc>
          <w:tcPr>
            <w:tcW w:w="605" w:type="pct"/>
            <w:tcMar>
              <w:top w:w="30" w:type="dxa"/>
              <w:left w:w="45" w:type="dxa"/>
              <w:bottom w:w="30" w:type="dxa"/>
              <w:right w:w="45" w:type="dxa"/>
            </w:tcMar>
            <w:vAlign w:val="center"/>
            <w:hideMark/>
          </w:tcPr>
          <w:p w14:paraId="58EAD4F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35.000</w:t>
            </w:r>
          </w:p>
        </w:tc>
        <w:tc>
          <w:tcPr>
            <w:tcW w:w="648" w:type="pct"/>
            <w:vMerge w:val="restart"/>
            <w:tcMar>
              <w:top w:w="30" w:type="dxa"/>
              <w:left w:w="45" w:type="dxa"/>
              <w:bottom w:w="30" w:type="dxa"/>
              <w:right w:w="45" w:type="dxa"/>
            </w:tcMar>
            <w:vAlign w:val="center"/>
            <w:hideMark/>
          </w:tcPr>
          <w:p w14:paraId="43F836B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27.636.860.521</w:t>
            </w:r>
          </w:p>
        </w:tc>
      </w:tr>
      <w:tr w:rsidR="00856F66" w:rsidRPr="00E31657" w14:paraId="6F9AF29F" w14:textId="77777777" w:rsidTr="00F974BB">
        <w:trPr>
          <w:trHeight w:val="315"/>
        </w:trPr>
        <w:tc>
          <w:tcPr>
            <w:tcW w:w="899" w:type="pct"/>
            <w:vMerge/>
            <w:vAlign w:val="center"/>
            <w:hideMark/>
          </w:tcPr>
          <w:p w14:paraId="75955BCB"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DEF6524" w14:textId="77777777" w:rsidR="00856F66" w:rsidRPr="00E31657" w:rsidRDefault="00856F66" w:rsidP="00B24742">
            <w:pPr>
              <w:rPr>
                <w:rFonts w:cs="Arial"/>
                <w:sz w:val="16"/>
                <w:szCs w:val="16"/>
                <w:lang w:val="es-ES_tradnl" w:eastAsia="es-MX"/>
              </w:rPr>
            </w:pPr>
          </w:p>
        </w:tc>
        <w:tc>
          <w:tcPr>
            <w:tcW w:w="692" w:type="pct"/>
            <w:vMerge/>
            <w:vAlign w:val="center"/>
            <w:hideMark/>
          </w:tcPr>
          <w:p w14:paraId="64081395"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24E41E9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6.618.000.000</w:t>
            </w:r>
          </w:p>
        </w:tc>
        <w:tc>
          <w:tcPr>
            <w:tcW w:w="654" w:type="pct"/>
            <w:tcMar>
              <w:top w:w="30" w:type="dxa"/>
              <w:left w:w="45" w:type="dxa"/>
              <w:bottom w:w="30" w:type="dxa"/>
              <w:right w:w="45" w:type="dxa"/>
            </w:tcMar>
            <w:vAlign w:val="center"/>
            <w:hideMark/>
          </w:tcPr>
          <w:p w14:paraId="5E752F3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6.792.233.010</w:t>
            </w:r>
          </w:p>
        </w:tc>
        <w:tc>
          <w:tcPr>
            <w:tcW w:w="607" w:type="pct"/>
            <w:tcMar>
              <w:top w:w="30" w:type="dxa"/>
              <w:left w:w="45" w:type="dxa"/>
              <w:bottom w:w="30" w:type="dxa"/>
              <w:right w:w="45" w:type="dxa"/>
            </w:tcMar>
            <w:vAlign w:val="center"/>
            <w:hideMark/>
          </w:tcPr>
          <w:p w14:paraId="50A10D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7.063.813.743</w:t>
            </w:r>
          </w:p>
        </w:tc>
        <w:tc>
          <w:tcPr>
            <w:tcW w:w="605" w:type="pct"/>
            <w:tcMar>
              <w:top w:w="30" w:type="dxa"/>
              <w:left w:w="45" w:type="dxa"/>
              <w:bottom w:w="30" w:type="dxa"/>
              <w:right w:w="45" w:type="dxa"/>
            </w:tcMar>
            <w:vAlign w:val="center"/>
            <w:hideMark/>
          </w:tcPr>
          <w:p w14:paraId="4D937E6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7.162.813.768</w:t>
            </w:r>
          </w:p>
        </w:tc>
        <w:tc>
          <w:tcPr>
            <w:tcW w:w="648" w:type="pct"/>
            <w:vMerge/>
            <w:vAlign w:val="center"/>
            <w:hideMark/>
          </w:tcPr>
          <w:p w14:paraId="2E64E466" w14:textId="77777777" w:rsidR="00856F66" w:rsidRPr="00E31657" w:rsidRDefault="00856F66" w:rsidP="00B24742">
            <w:pPr>
              <w:rPr>
                <w:rFonts w:cs="Arial"/>
                <w:b/>
                <w:bCs/>
                <w:sz w:val="16"/>
                <w:szCs w:val="16"/>
                <w:lang w:val="es-ES_tradnl" w:eastAsia="es-MX"/>
              </w:rPr>
            </w:pPr>
          </w:p>
        </w:tc>
      </w:tr>
      <w:tr w:rsidR="00856F66" w:rsidRPr="00E31657" w14:paraId="43170051" w14:textId="77777777" w:rsidTr="00F974BB">
        <w:trPr>
          <w:trHeight w:val="315"/>
        </w:trPr>
        <w:tc>
          <w:tcPr>
            <w:tcW w:w="899" w:type="pct"/>
            <w:vMerge w:val="restart"/>
            <w:tcMar>
              <w:top w:w="30" w:type="dxa"/>
              <w:left w:w="45" w:type="dxa"/>
              <w:bottom w:w="30" w:type="dxa"/>
              <w:right w:w="45" w:type="dxa"/>
            </w:tcMar>
            <w:vAlign w:val="center"/>
            <w:hideMark/>
          </w:tcPr>
          <w:p w14:paraId="265AA83D"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Atender a 161.000 personas mayores en los servicios sociales con transferencias servicios en unidades operativas y extramurales</w:t>
            </w:r>
          </w:p>
        </w:tc>
        <w:tc>
          <w:tcPr>
            <w:tcW w:w="295" w:type="pct"/>
            <w:vMerge w:val="restart"/>
            <w:tcMar>
              <w:top w:w="30" w:type="dxa"/>
              <w:left w:w="45" w:type="dxa"/>
              <w:bottom w:w="30" w:type="dxa"/>
              <w:right w:w="45" w:type="dxa"/>
            </w:tcMar>
            <w:vAlign w:val="center"/>
            <w:hideMark/>
          </w:tcPr>
          <w:p w14:paraId="7EF4E3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153734</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13DAFA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601" w:type="pct"/>
            <w:tcMar>
              <w:top w:w="30" w:type="dxa"/>
              <w:left w:w="45" w:type="dxa"/>
              <w:bottom w:w="30" w:type="dxa"/>
              <w:right w:w="45" w:type="dxa"/>
            </w:tcMar>
            <w:vAlign w:val="center"/>
            <w:hideMark/>
          </w:tcPr>
          <w:p w14:paraId="52C4788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112.567</w:t>
            </w:r>
          </w:p>
        </w:tc>
        <w:tc>
          <w:tcPr>
            <w:tcW w:w="654" w:type="pct"/>
            <w:tcMar>
              <w:top w:w="30" w:type="dxa"/>
              <w:left w:w="45" w:type="dxa"/>
              <w:bottom w:w="30" w:type="dxa"/>
              <w:right w:w="45" w:type="dxa"/>
            </w:tcMar>
            <w:vAlign w:val="center"/>
            <w:hideMark/>
          </w:tcPr>
          <w:p w14:paraId="56501D8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125.164</w:t>
            </w:r>
          </w:p>
        </w:tc>
        <w:tc>
          <w:tcPr>
            <w:tcW w:w="607" w:type="pct"/>
            <w:tcMar>
              <w:top w:w="30" w:type="dxa"/>
              <w:left w:w="45" w:type="dxa"/>
              <w:bottom w:w="30" w:type="dxa"/>
              <w:right w:w="45" w:type="dxa"/>
            </w:tcMar>
            <w:vAlign w:val="center"/>
            <w:hideMark/>
          </w:tcPr>
          <w:p w14:paraId="5A8A43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138.615</w:t>
            </w:r>
          </w:p>
        </w:tc>
        <w:tc>
          <w:tcPr>
            <w:tcW w:w="605" w:type="pct"/>
            <w:tcMar>
              <w:top w:w="30" w:type="dxa"/>
              <w:left w:w="45" w:type="dxa"/>
              <w:bottom w:w="30" w:type="dxa"/>
              <w:right w:w="45" w:type="dxa"/>
            </w:tcMar>
            <w:vAlign w:val="center"/>
            <w:hideMark/>
          </w:tcPr>
          <w:p w14:paraId="053FDB7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161.000</w:t>
            </w:r>
          </w:p>
        </w:tc>
        <w:tc>
          <w:tcPr>
            <w:tcW w:w="648" w:type="pct"/>
            <w:vMerge w:val="restart"/>
            <w:tcMar>
              <w:top w:w="30" w:type="dxa"/>
              <w:left w:w="45" w:type="dxa"/>
              <w:bottom w:w="30" w:type="dxa"/>
              <w:right w:w="45" w:type="dxa"/>
            </w:tcMar>
            <w:vAlign w:val="center"/>
            <w:hideMark/>
          </w:tcPr>
          <w:p w14:paraId="7DD3D81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1.011.657.716.250</w:t>
            </w:r>
          </w:p>
        </w:tc>
      </w:tr>
      <w:tr w:rsidR="00856F66" w:rsidRPr="00E31657" w14:paraId="39FF7671" w14:textId="77777777" w:rsidTr="00F974BB">
        <w:trPr>
          <w:trHeight w:val="315"/>
        </w:trPr>
        <w:tc>
          <w:tcPr>
            <w:tcW w:w="899" w:type="pct"/>
            <w:vMerge/>
            <w:vAlign w:val="center"/>
            <w:hideMark/>
          </w:tcPr>
          <w:p w14:paraId="6474025C"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518B6294" w14:textId="77777777" w:rsidR="00856F66" w:rsidRPr="00E31657" w:rsidRDefault="00856F66" w:rsidP="00B24742">
            <w:pPr>
              <w:rPr>
                <w:rFonts w:cs="Arial"/>
                <w:sz w:val="16"/>
                <w:szCs w:val="16"/>
                <w:lang w:val="es-ES_tradnl" w:eastAsia="es-MX"/>
              </w:rPr>
            </w:pPr>
          </w:p>
        </w:tc>
        <w:tc>
          <w:tcPr>
            <w:tcW w:w="692" w:type="pct"/>
            <w:vMerge/>
            <w:vAlign w:val="center"/>
            <w:hideMark/>
          </w:tcPr>
          <w:p w14:paraId="6B51BBD4"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99F9BB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259.415.000.000</w:t>
            </w:r>
          </w:p>
        </w:tc>
        <w:tc>
          <w:tcPr>
            <w:tcW w:w="654" w:type="pct"/>
            <w:tcMar>
              <w:top w:w="30" w:type="dxa"/>
              <w:left w:w="45" w:type="dxa"/>
              <w:bottom w:w="30" w:type="dxa"/>
              <w:right w:w="45" w:type="dxa"/>
            </w:tcMar>
            <w:vAlign w:val="center"/>
            <w:hideMark/>
          </w:tcPr>
          <w:p w14:paraId="3B25A4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243.081.553.398</w:t>
            </w:r>
          </w:p>
        </w:tc>
        <w:tc>
          <w:tcPr>
            <w:tcW w:w="607" w:type="pct"/>
            <w:tcMar>
              <w:top w:w="30" w:type="dxa"/>
              <w:left w:w="45" w:type="dxa"/>
              <w:bottom w:w="30" w:type="dxa"/>
              <w:right w:w="45" w:type="dxa"/>
            </w:tcMar>
            <w:vAlign w:val="center"/>
            <w:hideMark/>
          </w:tcPr>
          <w:p w14:paraId="2E1D22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252.808.935.809</w:t>
            </w:r>
          </w:p>
        </w:tc>
        <w:tc>
          <w:tcPr>
            <w:tcW w:w="605" w:type="pct"/>
            <w:tcMar>
              <w:top w:w="30" w:type="dxa"/>
              <w:left w:w="45" w:type="dxa"/>
              <w:bottom w:w="30" w:type="dxa"/>
              <w:right w:w="45" w:type="dxa"/>
            </w:tcMar>
            <w:vAlign w:val="center"/>
            <w:hideMark/>
          </w:tcPr>
          <w:p w14:paraId="2EC50E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256.352.227.043</w:t>
            </w:r>
          </w:p>
        </w:tc>
        <w:tc>
          <w:tcPr>
            <w:tcW w:w="648" w:type="pct"/>
            <w:vMerge/>
            <w:vAlign w:val="center"/>
            <w:hideMark/>
          </w:tcPr>
          <w:p w14:paraId="58C5DEC1" w14:textId="77777777" w:rsidR="00856F66" w:rsidRPr="00E31657" w:rsidRDefault="00856F66" w:rsidP="00B24742">
            <w:pPr>
              <w:rPr>
                <w:rFonts w:cs="Arial"/>
                <w:b/>
                <w:bCs/>
                <w:sz w:val="16"/>
                <w:szCs w:val="16"/>
                <w:lang w:val="es-ES_tradnl" w:eastAsia="es-MX"/>
              </w:rPr>
            </w:pPr>
          </w:p>
        </w:tc>
      </w:tr>
      <w:tr w:rsidR="00856F66" w:rsidRPr="00E31657" w14:paraId="329EBD60" w14:textId="77777777" w:rsidTr="00F974BB">
        <w:trPr>
          <w:trHeight w:val="315"/>
        </w:trPr>
        <w:tc>
          <w:tcPr>
            <w:tcW w:w="899" w:type="pct"/>
            <w:vMerge w:val="restart"/>
            <w:tcMar>
              <w:top w:w="30" w:type="dxa"/>
              <w:left w:w="45" w:type="dxa"/>
              <w:bottom w:w="30" w:type="dxa"/>
              <w:right w:w="45" w:type="dxa"/>
            </w:tcMar>
            <w:vAlign w:val="center"/>
            <w:hideMark/>
          </w:tcPr>
          <w:p w14:paraId="186FAF36"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Atender a 8.600 personas con discapacidad sus familias y sus personas cuidadoras a través de servicios sociales estrategias y acciones </w:t>
            </w:r>
            <w:r w:rsidRPr="00E31657">
              <w:rPr>
                <w:rFonts w:cs="Arial"/>
                <w:sz w:val="16"/>
                <w:szCs w:val="16"/>
                <w:lang w:val="es-ES_tradnl" w:eastAsia="es-MX"/>
              </w:rPr>
              <w:lastRenderedPageBreak/>
              <w:t>transversales que favorezcan su inclusión social y productiva.</w:t>
            </w:r>
          </w:p>
        </w:tc>
        <w:tc>
          <w:tcPr>
            <w:tcW w:w="295" w:type="pct"/>
            <w:vMerge w:val="restart"/>
            <w:tcMar>
              <w:top w:w="30" w:type="dxa"/>
              <w:left w:w="45" w:type="dxa"/>
              <w:bottom w:w="30" w:type="dxa"/>
              <w:right w:w="45" w:type="dxa"/>
            </w:tcMar>
            <w:vAlign w:val="center"/>
            <w:hideMark/>
          </w:tcPr>
          <w:p w14:paraId="0FA15C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6588</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3C58D3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601" w:type="pct"/>
            <w:tcMar>
              <w:top w:w="30" w:type="dxa"/>
              <w:left w:w="45" w:type="dxa"/>
              <w:bottom w:w="30" w:type="dxa"/>
              <w:right w:w="45" w:type="dxa"/>
            </w:tcMar>
            <w:vAlign w:val="center"/>
            <w:hideMark/>
          </w:tcPr>
          <w:p w14:paraId="36C0649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6.700</w:t>
            </w:r>
          </w:p>
        </w:tc>
        <w:tc>
          <w:tcPr>
            <w:tcW w:w="654" w:type="pct"/>
            <w:tcMar>
              <w:top w:w="30" w:type="dxa"/>
              <w:left w:w="45" w:type="dxa"/>
              <w:bottom w:w="30" w:type="dxa"/>
              <w:right w:w="45" w:type="dxa"/>
            </w:tcMar>
            <w:vAlign w:val="center"/>
            <w:hideMark/>
          </w:tcPr>
          <w:p w14:paraId="0DDEACC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7.000</w:t>
            </w:r>
          </w:p>
        </w:tc>
        <w:tc>
          <w:tcPr>
            <w:tcW w:w="607" w:type="pct"/>
            <w:tcMar>
              <w:top w:w="30" w:type="dxa"/>
              <w:left w:w="45" w:type="dxa"/>
              <w:bottom w:w="30" w:type="dxa"/>
              <w:right w:w="45" w:type="dxa"/>
            </w:tcMar>
            <w:vAlign w:val="center"/>
            <w:hideMark/>
          </w:tcPr>
          <w:p w14:paraId="3297E8B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7.700</w:t>
            </w:r>
          </w:p>
        </w:tc>
        <w:tc>
          <w:tcPr>
            <w:tcW w:w="605" w:type="pct"/>
            <w:tcMar>
              <w:top w:w="30" w:type="dxa"/>
              <w:left w:w="45" w:type="dxa"/>
              <w:bottom w:w="30" w:type="dxa"/>
              <w:right w:w="45" w:type="dxa"/>
            </w:tcMar>
            <w:vAlign w:val="center"/>
            <w:hideMark/>
          </w:tcPr>
          <w:p w14:paraId="08C6E5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8.600</w:t>
            </w:r>
          </w:p>
        </w:tc>
        <w:tc>
          <w:tcPr>
            <w:tcW w:w="648" w:type="pct"/>
            <w:vMerge w:val="restart"/>
            <w:tcMar>
              <w:top w:w="30" w:type="dxa"/>
              <w:left w:w="45" w:type="dxa"/>
              <w:bottom w:w="30" w:type="dxa"/>
              <w:right w:w="45" w:type="dxa"/>
            </w:tcMar>
            <w:vAlign w:val="center"/>
            <w:hideMark/>
          </w:tcPr>
          <w:p w14:paraId="5165349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319.650.497.323</w:t>
            </w:r>
          </w:p>
        </w:tc>
      </w:tr>
      <w:tr w:rsidR="00856F66" w:rsidRPr="00E31657" w14:paraId="575B63F5" w14:textId="77777777" w:rsidTr="00F974BB">
        <w:trPr>
          <w:trHeight w:val="315"/>
        </w:trPr>
        <w:tc>
          <w:tcPr>
            <w:tcW w:w="899" w:type="pct"/>
            <w:vMerge/>
            <w:vAlign w:val="center"/>
            <w:hideMark/>
          </w:tcPr>
          <w:p w14:paraId="0ED3DAC7"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07CC208" w14:textId="77777777" w:rsidR="00856F66" w:rsidRPr="00E31657" w:rsidRDefault="00856F66" w:rsidP="00B24742">
            <w:pPr>
              <w:rPr>
                <w:rFonts w:cs="Arial"/>
                <w:sz w:val="16"/>
                <w:szCs w:val="16"/>
                <w:lang w:val="es-ES_tradnl" w:eastAsia="es-MX"/>
              </w:rPr>
            </w:pPr>
          </w:p>
        </w:tc>
        <w:tc>
          <w:tcPr>
            <w:tcW w:w="692" w:type="pct"/>
            <w:vMerge/>
            <w:vAlign w:val="center"/>
            <w:hideMark/>
          </w:tcPr>
          <w:p w14:paraId="7D2CA084"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416F2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76.544.000.000</w:t>
            </w:r>
          </w:p>
        </w:tc>
        <w:tc>
          <w:tcPr>
            <w:tcW w:w="654" w:type="pct"/>
            <w:tcMar>
              <w:top w:w="30" w:type="dxa"/>
              <w:left w:w="45" w:type="dxa"/>
              <w:bottom w:w="30" w:type="dxa"/>
              <w:right w:w="45" w:type="dxa"/>
            </w:tcMar>
            <w:vAlign w:val="center"/>
            <w:hideMark/>
          </w:tcPr>
          <w:p w14:paraId="6F6786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78.558.252.427</w:t>
            </w:r>
          </w:p>
        </w:tc>
        <w:tc>
          <w:tcPr>
            <w:tcW w:w="607" w:type="pct"/>
            <w:tcMar>
              <w:top w:w="30" w:type="dxa"/>
              <w:left w:w="45" w:type="dxa"/>
              <w:bottom w:w="30" w:type="dxa"/>
              <w:right w:w="45" w:type="dxa"/>
            </w:tcMar>
            <w:vAlign w:val="center"/>
            <w:hideMark/>
          </w:tcPr>
          <w:p w14:paraId="719324D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81.701.385.616</w:t>
            </w:r>
          </w:p>
        </w:tc>
        <w:tc>
          <w:tcPr>
            <w:tcW w:w="605" w:type="pct"/>
            <w:tcMar>
              <w:top w:w="30" w:type="dxa"/>
              <w:left w:w="45" w:type="dxa"/>
              <w:bottom w:w="30" w:type="dxa"/>
              <w:right w:w="45" w:type="dxa"/>
            </w:tcMar>
            <w:vAlign w:val="center"/>
            <w:hideMark/>
          </w:tcPr>
          <w:p w14:paraId="34F94A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82.846.859.280</w:t>
            </w:r>
          </w:p>
        </w:tc>
        <w:tc>
          <w:tcPr>
            <w:tcW w:w="648" w:type="pct"/>
            <w:vMerge/>
            <w:vAlign w:val="center"/>
            <w:hideMark/>
          </w:tcPr>
          <w:p w14:paraId="5AB7C708" w14:textId="77777777" w:rsidR="00856F66" w:rsidRPr="00E31657" w:rsidRDefault="00856F66" w:rsidP="00B24742">
            <w:pPr>
              <w:rPr>
                <w:rFonts w:cs="Arial"/>
                <w:b/>
                <w:bCs/>
                <w:sz w:val="16"/>
                <w:szCs w:val="16"/>
                <w:lang w:val="es-ES_tradnl" w:eastAsia="es-MX"/>
              </w:rPr>
            </w:pPr>
          </w:p>
        </w:tc>
      </w:tr>
      <w:tr w:rsidR="00856F66" w:rsidRPr="00E31657" w14:paraId="0239C695" w14:textId="77777777" w:rsidTr="00F974BB">
        <w:trPr>
          <w:trHeight w:val="315"/>
        </w:trPr>
        <w:tc>
          <w:tcPr>
            <w:tcW w:w="899" w:type="pct"/>
            <w:vMerge w:val="restart"/>
            <w:tcMar>
              <w:top w:w="30" w:type="dxa"/>
              <w:left w:w="45" w:type="dxa"/>
              <w:bottom w:w="30" w:type="dxa"/>
              <w:right w:w="45" w:type="dxa"/>
            </w:tcMar>
            <w:vAlign w:val="center"/>
            <w:hideMark/>
          </w:tcPr>
          <w:p w14:paraId="681696F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Beneficiar 15.000 jóvenes a través de la oferta de servicios del Sistema Distrital de Cuidado.</w:t>
            </w:r>
          </w:p>
        </w:tc>
        <w:tc>
          <w:tcPr>
            <w:tcW w:w="295" w:type="pct"/>
            <w:vMerge w:val="restart"/>
            <w:tcMar>
              <w:top w:w="30" w:type="dxa"/>
              <w:left w:w="45" w:type="dxa"/>
              <w:bottom w:w="30" w:type="dxa"/>
              <w:right w:w="45" w:type="dxa"/>
            </w:tcMar>
            <w:vAlign w:val="center"/>
            <w:hideMark/>
          </w:tcPr>
          <w:p w14:paraId="45AAE10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10740</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47873B6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Reporte de Personas Únicas Atendidas - PUA. Secretaría de Integración Social</w:t>
            </w:r>
          </w:p>
        </w:tc>
        <w:tc>
          <w:tcPr>
            <w:tcW w:w="601" w:type="pct"/>
            <w:tcMar>
              <w:top w:w="30" w:type="dxa"/>
              <w:left w:w="45" w:type="dxa"/>
              <w:bottom w:w="30" w:type="dxa"/>
              <w:right w:w="45" w:type="dxa"/>
            </w:tcMar>
            <w:vAlign w:val="center"/>
            <w:hideMark/>
          </w:tcPr>
          <w:p w14:paraId="29FDEBC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10.740</w:t>
            </w:r>
          </w:p>
        </w:tc>
        <w:tc>
          <w:tcPr>
            <w:tcW w:w="654" w:type="pct"/>
            <w:tcMar>
              <w:top w:w="30" w:type="dxa"/>
              <w:left w:w="45" w:type="dxa"/>
              <w:bottom w:w="30" w:type="dxa"/>
              <w:right w:w="45" w:type="dxa"/>
            </w:tcMar>
            <w:vAlign w:val="center"/>
            <w:hideMark/>
          </w:tcPr>
          <w:p w14:paraId="0D4B0E9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12.000</w:t>
            </w:r>
          </w:p>
        </w:tc>
        <w:tc>
          <w:tcPr>
            <w:tcW w:w="607" w:type="pct"/>
            <w:tcMar>
              <w:top w:w="30" w:type="dxa"/>
              <w:left w:w="45" w:type="dxa"/>
              <w:bottom w:w="30" w:type="dxa"/>
              <w:right w:w="45" w:type="dxa"/>
            </w:tcMar>
            <w:vAlign w:val="center"/>
            <w:hideMark/>
          </w:tcPr>
          <w:p w14:paraId="137B231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14.000</w:t>
            </w:r>
          </w:p>
        </w:tc>
        <w:tc>
          <w:tcPr>
            <w:tcW w:w="605" w:type="pct"/>
            <w:tcMar>
              <w:top w:w="30" w:type="dxa"/>
              <w:left w:w="45" w:type="dxa"/>
              <w:bottom w:w="30" w:type="dxa"/>
              <w:right w:w="45" w:type="dxa"/>
            </w:tcMar>
            <w:vAlign w:val="center"/>
            <w:hideMark/>
          </w:tcPr>
          <w:p w14:paraId="75FD6B8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15.000</w:t>
            </w:r>
          </w:p>
        </w:tc>
        <w:tc>
          <w:tcPr>
            <w:tcW w:w="648" w:type="pct"/>
            <w:vMerge w:val="restart"/>
            <w:tcMar>
              <w:top w:w="30" w:type="dxa"/>
              <w:left w:w="45" w:type="dxa"/>
              <w:bottom w:w="30" w:type="dxa"/>
              <w:right w:w="45" w:type="dxa"/>
            </w:tcMar>
            <w:vAlign w:val="center"/>
            <w:hideMark/>
          </w:tcPr>
          <w:p w14:paraId="16136C9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1.253.124.888</w:t>
            </w:r>
          </w:p>
        </w:tc>
      </w:tr>
      <w:tr w:rsidR="00856F66" w:rsidRPr="00E31657" w14:paraId="55D6DDAA" w14:textId="77777777" w:rsidTr="00F974BB">
        <w:trPr>
          <w:trHeight w:val="315"/>
        </w:trPr>
        <w:tc>
          <w:tcPr>
            <w:tcW w:w="899" w:type="pct"/>
            <w:vMerge/>
            <w:vAlign w:val="center"/>
            <w:hideMark/>
          </w:tcPr>
          <w:p w14:paraId="7D8400EA"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4C241974" w14:textId="77777777" w:rsidR="00856F66" w:rsidRPr="00E31657" w:rsidRDefault="00856F66" w:rsidP="00B24742">
            <w:pPr>
              <w:rPr>
                <w:rFonts w:cs="Arial"/>
                <w:sz w:val="16"/>
                <w:szCs w:val="16"/>
                <w:lang w:val="es-ES_tradnl" w:eastAsia="es-MX"/>
              </w:rPr>
            </w:pPr>
          </w:p>
        </w:tc>
        <w:tc>
          <w:tcPr>
            <w:tcW w:w="692" w:type="pct"/>
            <w:vMerge/>
            <w:vAlign w:val="center"/>
            <w:hideMark/>
          </w:tcPr>
          <w:p w14:paraId="1FF15F12"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09D8E6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300.000.000</w:t>
            </w:r>
          </w:p>
        </w:tc>
        <w:tc>
          <w:tcPr>
            <w:tcW w:w="654" w:type="pct"/>
            <w:tcMar>
              <w:top w:w="30" w:type="dxa"/>
              <w:left w:w="45" w:type="dxa"/>
              <w:bottom w:w="30" w:type="dxa"/>
              <w:right w:w="45" w:type="dxa"/>
            </w:tcMar>
            <w:vAlign w:val="center"/>
            <w:hideMark/>
          </w:tcPr>
          <w:p w14:paraId="611134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307.766.990</w:t>
            </w:r>
          </w:p>
        </w:tc>
        <w:tc>
          <w:tcPr>
            <w:tcW w:w="607" w:type="pct"/>
            <w:tcMar>
              <w:top w:w="30" w:type="dxa"/>
              <w:left w:w="45" w:type="dxa"/>
              <w:bottom w:w="30" w:type="dxa"/>
              <w:right w:w="45" w:type="dxa"/>
            </w:tcMar>
            <w:vAlign w:val="center"/>
            <w:hideMark/>
          </w:tcPr>
          <w:p w14:paraId="6C13CE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320.482.609</w:t>
            </w:r>
          </w:p>
        </w:tc>
        <w:tc>
          <w:tcPr>
            <w:tcW w:w="605" w:type="pct"/>
            <w:tcMar>
              <w:top w:w="30" w:type="dxa"/>
              <w:left w:w="45" w:type="dxa"/>
              <w:bottom w:w="30" w:type="dxa"/>
              <w:right w:w="45" w:type="dxa"/>
            </w:tcMar>
            <w:vAlign w:val="center"/>
            <w:hideMark/>
          </w:tcPr>
          <w:p w14:paraId="4EEA91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324.875.289</w:t>
            </w:r>
          </w:p>
        </w:tc>
        <w:tc>
          <w:tcPr>
            <w:tcW w:w="648" w:type="pct"/>
            <w:vMerge/>
            <w:vAlign w:val="center"/>
            <w:hideMark/>
          </w:tcPr>
          <w:p w14:paraId="17EF63DD" w14:textId="77777777" w:rsidR="00856F66" w:rsidRPr="00E31657" w:rsidRDefault="00856F66" w:rsidP="00B24742">
            <w:pPr>
              <w:rPr>
                <w:rFonts w:cs="Arial"/>
                <w:b/>
                <w:bCs/>
                <w:sz w:val="16"/>
                <w:szCs w:val="16"/>
                <w:lang w:val="es-ES_tradnl" w:eastAsia="es-MX"/>
              </w:rPr>
            </w:pPr>
          </w:p>
        </w:tc>
      </w:tr>
      <w:tr w:rsidR="00856F66" w:rsidRPr="00E31657" w14:paraId="515EFC88" w14:textId="77777777" w:rsidTr="00F974BB">
        <w:trPr>
          <w:trHeight w:val="315"/>
        </w:trPr>
        <w:tc>
          <w:tcPr>
            <w:tcW w:w="899" w:type="pct"/>
            <w:vMerge w:val="restart"/>
            <w:tcMar>
              <w:top w:w="30" w:type="dxa"/>
              <w:left w:w="45" w:type="dxa"/>
              <w:bottom w:w="30" w:type="dxa"/>
              <w:right w:w="45" w:type="dxa"/>
            </w:tcMar>
            <w:vAlign w:val="center"/>
            <w:hideMark/>
          </w:tcPr>
          <w:p w14:paraId="2F02AE6E"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Coordinar un Plan Distrital de prevención de violencias dirigido a las personas que estén en riesgo sean o hayan sido víctimas de violencia en el contexto familiar y violencia sexual.</w:t>
            </w:r>
          </w:p>
        </w:tc>
        <w:tc>
          <w:tcPr>
            <w:tcW w:w="295" w:type="pct"/>
            <w:vMerge w:val="restart"/>
            <w:tcMar>
              <w:top w:w="30" w:type="dxa"/>
              <w:left w:w="45" w:type="dxa"/>
              <w:bottom w:w="30" w:type="dxa"/>
              <w:right w:w="45" w:type="dxa"/>
            </w:tcMar>
            <w:vAlign w:val="center"/>
            <w:hideMark/>
          </w:tcPr>
          <w:p w14:paraId="14EA8C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92" w:type="pct"/>
            <w:vMerge w:val="restart"/>
            <w:tcMar>
              <w:top w:w="30" w:type="dxa"/>
              <w:left w:w="45" w:type="dxa"/>
              <w:bottom w:w="30" w:type="dxa"/>
              <w:right w:w="45" w:type="dxa"/>
            </w:tcMar>
            <w:vAlign w:val="center"/>
            <w:hideMark/>
          </w:tcPr>
          <w:p w14:paraId="051BE7F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01" w:type="pct"/>
            <w:tcMar>
              <w:top w:w="30" w:type="dxa"/>
              <w:left w:w="45" w:type="dxa"/>
              <w:bottom w:w="30" w:type="dxa"/>
              <w:right w:w="45" w:type="dxa"/>
            </w:tcMar>
            <w:vAlign w:val="center"/>
            <w:hideMark/>
          </w:tcPr>
          <w:p w14:paraId="1A9F62D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54" w:type="pct"/>
            <w:tcMar>
              <w:top w:w="30" w:type="dxa"/>
              <w:left w:w="45" w:type="dxa"/>
              <w:bottom w:w="30" w:type="dxa"/>
              <w:right w:w="45" w:type="dxa"/>
            </w:tcMar>
            <w:vAlign w:val="center"/>
            <w:hideMark/>
          </w:tcPr>
          <w:p w14:paraId="6F9FF06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7" w:type="pct"/>
            <w:tcMar>
              <w:top w:w="30" w:type="dxa"/>
              <w:left w:w="45" w:type="dxa"/>
              <w:bottom w:w="30" w:type="dxa"/>
              <w:right w:w="45" w:type="dxa"/>
            </w:tcMar>
            <w:vAlign w:val="center"/>
            <w:hideMark/>
          </w:tcPr>
          <w:p w14:paraId="65D77E6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5" w:type="pct"/>
            <w:tcMar>
              <w:top w:w="30" w:type="dxa"/>
              <w:left w:w="45" w:type="dxa"/>
              <w:bottom w:w="30" w:type="dxa"/>
              <w:right w:w="45" w:type="dxa"/>
            </w:tcMar>
            <w:vAlign w:val="center"/>
            <w:hideMark/>
          </w:tcPr>
          <w:p w14:paraId="171847F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48" w:type="pct"/>
            <w:vMerge w:val="restart"/>
            <w:tcMar>
              <w:top w:w="30" w:type="dxa"/>
              <w:left w:w="45" w:type="dxa"/>
              <w:bottom w:w="30" w:type="dxa"/>
              <w:right w:w="45" w:type="dxa"/>
            </w:tcMar>
            <w:vAlign w:val="center"/>
            <w:hideMark/>
          </w:tcPr>
          <w:p w14:paraId="198D00A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24.054.148.584</w:t>
            </w:r>
          </w:p>
        </w:tc>
      </w:tr>
      <w:tr w:rsidR="00856F66" w:rsidRPr="00E31657" w14:paraId="27A6A2FF" w14:textId="77777777" w:rsidTr="00F974BB">
        <w:trPr>
          <w:trHeight w:val="315"/>
        </w:trPr>
        <w:tc>
          <w:tcPr>
            <w:tcW w:w="899" w:type="pct"/>
            <w:vMerge/>
            <w:vAlign w:val="center"/>
            <w:hideMark/>
          </w:tcPr>
          <w:p w14:paraId="440ABC88"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6AEF800D" w14:textId="77777777" w:rsidR="00856F66" w:rsidRPr="00E31657" w:rsidRDefault="00856F66" w:rsidP="00B24742">
            <w:pPr>
              <w:rPr>
                <w:rFonts w:cs="Arial"/>
                <w:sz w:val="16"/>
                <w:szCs w:val="16"/>
                <w:lang w:val="es-ES_tradnl" w:eastAsia="es-MX"/>
              </w:rPr>
            </w:pPr>
          </w:p>
        </w:tc>
        <w:tc>
          <w:tcPr>
            <w:tcW w:w="692" w:type="pct"/>
            <w:vMerge/>
            <w:vAlign w:val="center"/>
            <w:hideMark/>
          </w:tcPr>
          <w:p w14:paraId="011059FA"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6B588AF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5.760.000.000</w:t>
            </w:r>
          </w:p>
        </w:tc>
        <w:tc>
          <w:tcPr>
            <w:tcW w:w="654" w:type="pct"/>
            <w:tcMar>
              <w:top w:w="30" w:type="dxa"/>
              <w:left w:w="45" w:type="dxa"/>
              <w:bottom w:w="30" w:type="dxa"/>
              <w:right w:w="45" w:type="dxa"/>
            </w:tcMar>
            <w:vAlign w:val="center"/>
            <w:hideMark/>
          </w:tcPr>
          <w:p w14:paraId="3ED8C4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5.911.650.485</w:t>
            </w:r>
          </w:p>
        </w:tc>
        <w:tc>
          <w:tcPr>
            <w:tcW w:w="607" w:type="pct"/>
            <w:tcMar>
              <w:top w:w="30" w:type="dxa"/>
              <w:left w:w="45" w:type="dxa"/>
              <w:bottom w:w="30" w:type="dxa"/>
              <w:right w:w="45" w:type="dxa"/>
            </w:tcMar>
            <w:vAlign w:val="center"/>
            <w:hideMark/>
          </w:tcPr>
          <w:p w14:paraId="1CE82E0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6.148.553.115</w:t>
            </w:r>
          </w:p>
        </w:tc>
        <w:tc>
          <w:tcPr>
            <w:tcW w:w="605" w:type="pct"/>
            <w:tcMar>
              <w:top w:w="30" w:type="dxa"/>
              <w:left w:w="45" w:type="dxa"/>
              <w:bottom w:w="30" w:type="dxa"/>
              <w:right w:w="45" w:type="dxa"/>
            </w:tcMar>
            <w:vAlign w:val="center"/>
            <w:hideMark/>
          </w:tcPr>
          <w:p w14:paraId="123AA3C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6.233.944.984</w:t>
            </w:r>
          </w:p>
        </w:tc>
        <w:tc>
          <w:tcPr>
            <w:tcW w:w="648" w:type="pct"/>
            <w:vMerge/>
            <w:vAlign w:val="center"/>
            <w:hideMark/>
          </w:tcPr>
          <w:p w14:paraId="6EAAC078" w14:textId="77777777" w:rsidR="00856F66" w:rsidRPr="00E31657" w:rsidRDefault="00856F66" w:rsidP="00B24742">
            <w:pPr>
              <w:rPr>
                <w:rFonts w:cs="Arial"/>
                <w:b/>
                <w:bCs/>
                <w:sz w:val="16"/>
                <w:szCs w:val="16"/>
                <w:lang w:val="es-ES_tradnl" w:eastAsia="es-MX"/>
              </w:rPr>
            </w:pPr>
          </w:p>
        </w:tc>
      </w:tr>
      <w:tr w:rsidR="00856F66" w:rsidRPr="00E31657" w14:paraId="420CCDDC" w14:textId="77777777" w:rsidTr="00F974BB">
        <w:trPr>
          <w:trHeight w:val="315"/>
        </w:trPr>
        <w:tc>
          <w:tcPr>
            <w:tcW w:w="899" w:type="pct"/>
            <w:vMerge w:val="restart"/>
            <w:tcMar>
              <w:top w:w="30" w:type="dxa"/>
              <w:left w:w="45" w:type="dxa"/>
              <w:bottom w:w="30" w:type="dxa"/>
              <w:right w:w="45" w:type="dxa"/>
            </w:tcMar>
            <w:vAlign w:val="center"/>
            <w:hideMark/>
          </w:tcPr>
          <w:p w14:paraId="3EC7DD97"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Operar 20 Casas de Juventud en las localidades del Distrito</w:t>
            </w:r>
          </w:p>
        </w:tc>
        <w:tc>
          <w:tcPr>
            <w:tcW w:w="295" w:type="pct"/>
            <w:vMerge w:val="restart"/>
            <w:tcMar>
              <w:top w:w="30" w:type="dxa"/>
              <w:left w:w="45" w:type="dxa"/>
              <w:bottom w:w="30" w:type="dxa"/>
              <w:right w:w="45" w:type="dxa"/>
            </w:tcMar>
            <w:vAlign w:val="center"/>
            <w:hideMark/>
          </w:tcPr>
          <w:p w14:paraId="148CB23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749E937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601" w:type="pct"/>
            <w:tcMar>
              <w:top w:w="30" w:type="dxa"/>
              <w:left w:w="45" w:type="dxa"/>
              <w:bottom w:w="30" w:type="dxa"/>
              <w:right w:w="45" w:type="dxa"/>
            </w:tcMar>
            <w:vAlign w:val="center"/>
            <w:hideMark/>
          </w:tcPr>
          <w:p w14:paraId="028C3D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w:t>
            </w:r>
          </w:p>
        </w:tc>
        <w:tc>
          <w:tcPr>
            <w:tcW w:w="654" w:type="pct"/>
            <w:tcMar>
              <w:top w:w="30" w:type="dxa"/>
              <w:left w:w="45" w:type="dxa"/>
              <w:bottom w:w="30" w:type="dxa"/>
              <w:right w:w="45" w:type="dxa"/>
            </w:tcMar>
            <w:vAlign w:val="center"/>
            <w:hideMark/>
          </w:tcPr>
          <w:p w14:paraId="59111ED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607" w:type="pct"/>
            <w:tcMar>
              <w:top w:w="30" w:type="dxa"/>
              <w:left w:w="45" w:type="dxa"/>
              <w:bottom w:w="30" w:type="dxa"/>
              <w:right w:w="45" w:type="dxa"/>
            </w:tcMar>
            <w:vAlign w:val="center"/>
            <w:hideMark/>
          </w:tcPr>
          <w:p w14:paraId="00D8AC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w:t>
            </w:r>
          </w:p>
        </w:tc>
        <w:tc>
          <w:tcPr>
            <w:tcW w:w="605" w:type="pct"/>
            <w:tcMar>
              <w:top w:w="30" w:type="dxa"/>
              <w:left w:w="45" w:type="dxa"/>
              <w:bottom w:w="30" w:type="dxa"/>
              <w:right w:w="45" w:type="dxa"/>
            </w:tcMar>
            <w:vAlign w:val="center"/>
            <w:hideMark/>
          </w:tcPr>
          <w:p w14:paraId="134D0A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48" w:type="pct"/>
            <w:vMerge w:val="restart"/>
            <w:tcMar>
              <w:top w:w="30" w:type="dxa"/>
              <w:left w:w="45" w:type="dxa"/>
              <w:bottom w:w="30" w:type="dxa"/>
              <w:right w:w="45" w:type="dxa"/>
            </w:tcMar>
            <w:vAlign w:val="center"/>
            <w:hideMark/>
          </w:tcPr>
          <w:p w14:paraId="0D9C58F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14.293.616.540</w:t>
            </w:r>
          </w:p>
        </w:tc>
      </w:tr>
      <w:tr w:rsidR="00856F66" w:rsidRPr="00E31657" w14:paraId="2CD79521" w14:textId="77777777" w:rsidTr="00F974BB">
        <w:trPr>
          <w:trHeight w:val="315"/>
        </w:trPr>
        <w:tc>
          <w:tcPr>
            <w:tcW w:w="899" w:type="pct"/>
            <w:vMerge/>
            <w:vAlign w:val="center"/>
            <w:hideMark/>
          </w:tcPr>
          <w:p w14:paraId="00424AE1"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0A3F3C5C" w14:textId="77777777" w:rsidR="00856F66" w:rsidRPr="00E31657" w:rsidRDefault="00856F66" w:rsidP="00B24742">
            <w:pPr>
              <w:rPr>
                <w:rFonts w:cs="Arial"/>
                <w:sz w:val="16"/>
                <w:szCs w:val="16"/>
                <w:lang w:val="es-ES_tradnl" w:eastAsia="es-MX"/>
              </w:rPr>
            </w:pPr>
          </w:p>
        </w:tc>
        <w:tc>
          <w:tcPr>
            <w:tcW w:w="692" w:type="pct"/>
            <w:vMerge/>
            <w:vAlign w:val="center"/>
            <w:hideMark/>
          </w:tcPr>
          <w:p w14:paraId="36FB45C1"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60AFC5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3.423.000.000</w:t>
            </w:r>
          </w:p>
        </w:tc>
        <w:tc>
          <w:tcPr>
            <w:tcW w:w="654" w:type="pct"/>
            <w:tcMar>
              <w:top w:w="30" w:type="dxa"/>
              <w:left w:w="45" w:type="dxa"/>
              <w:bottom w:w="30" w:type="dxa"/>
              <w:right w:w="45" w:type="dxa"/>
            </w:tcMar>
            <w:vAlign w:val="center"/>
            <w:hideMark/>
          </w:tcPr>
          <w:p w14:paraId="5226C33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3.512.621.359</w:t>
            </w:r>
          </w:p>
        </w:tc>
        <w:tc>
          <w:tcPr>
            <w:tcW w:w="607" w:type="pct"/>
            <w:tcMar>
              <w:top w:w="30" w:type="dxa"/>
              <w:left w:w="45" w:type="dxa"/>
              <w:bottom w:w="30" w:type="dxa"/>
              <w:right w:w="45" w:type="dxa"/>
            </w:tcMar>
            <w:vAlign w:val="center"/>
            <w:hideMark/>
          </w:tcPr>
          <w:p w14:paraId="341BB96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3.653.501.744</w:t>
            </w:r>
          </w:p>
        </w:tc>
        <w:tc>
          <w:tcPr>
            <w:tcW w:w="605" w:type="pct"/>
            <w:tcMar>
              <w:top w:w="30" w:type="dxa"/>
              <w:left w:w="45" w:type="dxa"/>
              <w:bottom w:w="30" w:type="dxa"/>
              <w:right w:w="45" w:type="dxa"/>
            </w:tcMar>
            <w:vAlign w:val="center"/>
            <w:hideMark/>
          </w:tcPr>
          <w:p w14:paraId="26A43C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3.704.493.437</w:t>
            </w:r>
          </w:p>
        </w:tc>
        <w:tc>
          <w:tcPr>
            <w:tcW w:w="648" w:type="pct"/>
            <w:vMerge/>
            <w:vAlign w:val="center"/>
            <w:hideMark/>
          </w:tcPr>
          <w:p w14:paraId="05A52DB8" w14:textId="77777777" w:rsidR="00856F66" w:rsidRPr="00E31657" w:rsidRDefault="00856F66" w:rsidP="00B24742">
            <w:pPr>
              <w:rPr>
                <w:rFonts w:cs="Arial"/>
                <w:b/>
                <w:bCs/>
                <w:sz w:val="16"/>
                <w:szCs w:val="16"/>
                <w:lang w:val="es-ES_tradnl" w:eastAsia="es-MX"/>
              </w:rPr>
            </w:pPr>
          </w:p>
        </w:tc>
      </w:tr>
      <w:tr w:rsidR="00856F66" w:rsidRPr="00E31657" w14:paraId="1E85ED21"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6580F00C"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Mujer</w:t>
            </w:r>
          </w:p>
        </w:tc>
      </w:tr>
      <w:tr w:rsidR="00856F66" w:rsidRPr="00E31657" w14:paraId="0D1AE6D2" w14:textId="77777777" w:rsidTr="00F974BB">
        <w:trPr>
          <w:trHeight w:val="540"/>
        </w:trPr>
        <w:tc>
          <w:tcPr>
            <w:tcW w:w="899" w:type="pct"/>
            <w:vMerge w:val="restart"/>
            <w:tcMar>
              <w:top w:w="30" w:type="dxa"/>
              <w:left w:w="45" w:type="dxa"/>
              <w:bottom w:w="30" w:type="dxa"/>
              <w:right w:w="45" w:type="dxa"/>
            </w:tcMar>
            <w:vAlign w:val="center"/>
            <w:hideMark/>
          </w:tcPr>
          <w:p w14:paraId="12E6CCA1"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Alcanzar 31 manzanas de cuidado en operación fortaleciendo los servicios actuales e implementando nuevas estrategias lideradas por la SDMujer en el marco del Sistema Distrital de Cuidado.</w:t>
            </w:r>
          </w:p>
        </w:tc>
        <w:tc>
          <w:tcPr>
            <w:tcW w:w="295" w:type="pct"/>
            <w:vMerge w:val="restart"/>
            <w:tcMar>
              <w:top w:w="30" w:type="dxa"/>
              <w:left w:w="45" w:type="dxa"/>
              <w:bottom w:w="30" w:type="dxa"/>
              <w:right w:w="45" w:type="dxa"/>
            </w:tcMar>
            <w:vAlign w:val="center"/>
            <w:hideMark/>
          </w:tcPr>
          <w:p w14:paraId="3B44F4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w:t>
            </w:r>
            <w:r w:rsidRPr="00E31657">
              <w:rPr>
                <w:rFonts w:cs="Arial"/>
                <w:sz w:val="16"/>
                <w:szCs w:val="16"/>
                <w:lang w:val="es-ES_tradnl" w:eastAsia="es-MX"/>
              </w:rPr>
              <w:br/>
              <w:t>(SEM 1-2024)</w:t>
            </w:r>
          </w:p>
        </w:tc>
        <w:tc>
          <w:tcPr>
            <w:tcW w:w="692" w:type="pct"/>
            <w:vMerge w:val="restart"/>
            <w:tcMar>
              <w:top w:w="30" w:type="dxa"/>
              <w:left w:w="45" w:type="dxa"/>
              <w:bottom w:w="30" w:type="dxa"/>
              <w:right w:w="45" w:type="dxa"/>
            </w:tcMar>
            <w:vAlign w:val="center"/>
            <w:hideMark/>
          </w:tcPr>
          <w:p w14:paraId="5F6320A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SEGPLAN</w:t>
            </w:r>
          </w:p>
        </w:tc>
        <w:tc>
          <w:tcPr>
            <w:tcW w:w="601" w:type="pct"/>
            <w:tcMar>
              <w:top w:w="30" w:type="dxa"/>
              <w:left w:w="45" w:type="dxa"/>
              <w:bottom w:w="30" w:type="dxa"/>
              <w:right w:w="45" w:type="dxa"/>
            </w:tcMar>
            <w:vAlign w:val="center"/>
            <w:hideMark/>
          </w:tcPr>
          <w:p w14:paraId="78E8223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654" w:type="pct"/>
            <w:tcMar>
              <w:top w:w="30" w:type="dxa"/>
              <w:left w:w="45" w:type="dxa"/>
              <w:bottom w:w="30" w:type="dxa"/>
              <w:right w:w="45" w:type="dxa"/>
            </w:tcMar>
            <w:vAlign w:val="center"/>
            <w:hideMark/>
          </w:tcPr>
          <w:p w14:paraId="7C76AF9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w:t>
            </w:r>
          </w:p>
        </w:tc>
        <w:tc>
          <w:tcPr>
            <w:tcW w:w="607" w:type="pct"/>
            <w:tcMar>
              <w:top w:w="30" w:type="dxa"/>
              <w:left w:w="45" w:type="dxa"/>
              <w:bottom w:w="30" w:type="dxa"/>
              <w:right w:w="45" w:type="dxa"/>
            </w:tcMar>
            <w:vAlign w:val="center"/>
            <w:hideMark/>
          </w:tcPr>
          <w:p w14:paraId="703B12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w:t>
            </w:r>
          </w:p>
        </w:tc>
        <w:tc>
          <w:tcPr>
            <w:tcW w:w="605" w:type="pct"/>
            <w:tcMar>
              <w:top w:w="30" w:type="dxa"/>
              <w:left w:w="45" w:type="dxa"/>
              <w:bottom w:w="30" w:type="dxa"/>
              <w:right w:w="45" w:type="dxa"/>
            </w:tcMar>
            <w:vAlign w:val="center"/>
            <w:hideMark/>
          </w:tcPr>
          <w:p w14:paraId="25412F2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w:t>
            </w:r>
          </w:p>
        </w:tc>
        <w:tc>
          <w:tcPr>
            <w:tcW w:w="648" w:type="pct"/>
            <w:vMerge w:val="restart"/>
            <w:tcMar>
              <w:top w:w="30" w:type="dxa"/>
              <w:left w:w="45" w:type="dxa"/>
              <w:bottom w:w="30" w:type="dxa"/>
              <w:right w:w="45" w:type="dxa"/>
            </w:tcMar>
            <w:vAlign w:val="center"/>
            <w:hideMark/>
          </w:tcPr>
          <w:p w14:paraId="50BA109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38.188.128.738</w:t>
            </w:r>
          </w:p>
        </w:tc>
      </w:tr>
      <w:tr w:rsidR="00856F66" w:rsidRPr="00E31657" w14:paraId="6E71C7DD" w14:textId="77777777" w:rsidTr="00F974BB">
        <w:trPr>
          <w:trHeight w:val="540"/>
        </w:trPr>
        <w:tc>
          <w:tcPr>
            <w:tcW w:w="899" w:type="pct"/>
            <w:vMerge/>
            <w:vAlign w:val="center"/>
            <w:hideMark/>
          </w:tcPr>
          <w:p w14:paraId="5C15ACBA"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46903C61" w14:textId="77777777" w:rsidR="00856F66" w:rsidRPr="00E31657" w:rsidRDefault="00856F66" w:rsidP="00B24742">
            <w:pPr>
              <w:rPr>
                <w:rFonts w:cs="Arial"/>
                <w:sz w:val="16"/>
                <w:szCs w:val="16"/>
                <w:lang w:val="es-ES_tradnl" w:eastAsia="es-MX"/>
              </w:rPr>
            </w:pPr>
          </w:p>
        </w:tc>
        <w:tc>
          <w:tcPr>
            <w:tcW w:w="692" w:type="pct"/>
            <w:vMerge/>
            <w:vAlign w:val="center"/>
            <w:hideMark/>
          </w:tcPr>
          <w:p w14:paraId="266922CA"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2A6879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8.895.161.346</w:t>
            </w:r>
          </w:p>
        </w:tc>
        <w:tc>
          <w:tcPr>
            <w:tcW w:w="654" w:type="pct"/>
            <w:tcMar>
              <w:top w:w="30" w:type="dxa"/>
              <w:left w:w="45" w:type="dxa"/>
              <w:bottom w:w="30" w:type="dxa"/>
              <w:right w:w="45" w:type="dxa"/>
            </w:tcMar>
            <w:vAlign w:val="center"/>
            <w:hideMark/>
          </w:tcPr>
          <w:p w14:paraId="04FC718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9.456.506.480</w:t>
            </w:r>
          </w:p>
        </w:tc>
        <w:tc>
          <w:tcPr>
            <w:tcW w:w="607" w:type="pct"/>
            <w:tcMar>
              <w:top w:w="30" w:type="dxa"/>
              <w:left w:w="45" w:type="dxa"/>
              <w:bottom w:w="30" w:type="dxa"/>
              <w:right w:w="45" w:type="dxa"/>
            </w:tcMar>
            <w:vAlign w:val="center"/>
            <w:hideMark/>
          </w:tcPr>
          <w:p w14:paraId="639B65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9.777.844.079</w:t>
            </w:r>
          </w:p>
        </w:tc>
        <w:tc>
          <w:tcPr>
            <w:tcW w:w="605" w:type="pct"/>
            <w:tcMar>
              <w:top w:w="30" w:type="dxa"/>
              <w:left w:w="45" w:type="dxa"/>
              <w:bottom w:w="30" w:type="dxa"/>
              <w:right w:w="45" w:type="dxa"/>
            </w:tcMar>
            <w:vAlign w:val="center"/>
            <w:hideMark/>
          </w:tcPr>
          <w:p w14:paraId="5B9AD1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10.058.616.834</w:t>
            </w:r>
          </w:p>
        </w:tc>
        <w:tc>
          <w:tcPr>
            <w:tcW w:w="648" w:type="pct"/>
            <w:vMerge/>
            <w:vAlign w:val="center"/>
            <w:hideMark/>
          </w:tcPr>
          <w:p w14:paraId="5D645DDD" w14:textId="77777777" w:rsidR="00856F66" w:rsidRPr="00E31657" w:rsidRDefault="00856F66" w:rsidP="00B24742">
            <w:pPr>
              <w:rPr>
                <w:rFonts w:cs="Arial"/>
                <w:b/>
                <w:bCs/>
                <w:sz w:val="16"/>
                <w:szCs w:val="16"/>
                <w:lang w:val="es-ES_tradnl" w:eastAsia="es-MX"/>
              </w:rPr>
            </w:pPr>
          </w:p>
        </w:tc>
      </w:tr>
      <w:tr w:rsidR="00856F66" w:rsidRPr="00E31657" w14:paraId="7443CDD9" w14:textId="77777777" w:rsidTr="00F974BB">
        <w:trPr>
          <w:trHeight w:val="540"/>
        </w:trPr>
        <w:tc>
          <w:tcPr>
            <w:tcW w:w="899" w:type="pct"/>
            <w:vMerge w:val="restart"/>
            <w:tcMar>
              <w:top w:w="30" w:type="dxa"/>
              <w:left w:w="45" w:type="dxa"/>
              <w:bottom w:w="30" w:type="dxa"/>
              <w:right w:w="45" w:type="dxa"/>
            </w:tcMar>
            <w:vAlign w:val="center"/>
            <w:hideMark/>
          </w:tcPr>
          <w:p w14:paraId="1E0D6EA9"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Consolidar 1 estrategia de transformación cultural orientada al cambio comportamental que posibilite la redistribución de los trabajos de cuidado la </w:t>
            </w:r>
            <w:r w:rsidRPr="00E31657">
              <w:rPr>
                <w:rFonts w:cs="Arial"/>
                <w:sz w:val="16"/>
                <w:szCs w:val="16"/>
                <w:lang w:val="es-ES_tradnl" w:eastAsia="es-MX"/>
              </w:rPr>
              <w:lastRenderedPageBreak/>
              <w:t>prevención de las violencias contra las mujeres y la transformación de imaginarios discriminatorios que limitan el ejercicio de sus derechos.</w:t>
            </w:r>
          </w:p>
        </w:tc>
        <w:tc>
          <w:tcPr>
            <w:tcW w:w="295" w:type="pct"/>
            <w:vMerge w:val="restart"/>
            <w:tcMar>
              <w:top w:w="30" w:type="dxa"/>
              <w:left w:w="45" w:type="dxa"/>
              <w:bottom w:w="30" w:type="dxa"/>
              <w:right w:w="45" w:type="dxa"/>
            </w:tcMar>
            <w:vAlign w:val="center"/>
            <w:hideMark/>
          </w:tcPr>
          <w:p w14:paraId="045B09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0</w:t>
            </w:r>
          </w:p>
        </w:tc>
        <w:tc>
          <w:tcPr>
            <w:tcW w:w="692" w:type="pct"/>
            <w:vMerge w:val="restart"/>
            <w:tcMar>
              <w:top w:w="30" w:type="dxa"/>
              <w:left w:w="45" w:type="dxa"/>
              <w:bottom w:w="30" w:type="dxa"/>
              <w:right w:w="45" w:type="dxa"/>
            </w:tcMar>
            <w:vAlign w:val="center"/>
            <w:hideMark/>
          </w:tcPr>
          <w:p w14:paraId="337B33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SDMujer</w:t>
            </w:r>
          </w:p>
        </w:tc>
        <w:tc>
          <w:tcPr>
            <w:tcW w:w="601" w:type="pct"/>
            <w:tcMar>
              <w:top w:w="30" w:type="dxa"/>
              <w:left w:w="45" w:type="dxa"/>
              <w:bottom w:w="30" w:type="dxa"/>
              <w:right w:w="45" w:type="dxa"/>
            </w:tcMar>
            <w:vAlign w:val="center"/>
            <w:hideMark/>
          </w:tcPr>
          <w:p w14:paraId="187291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w:t>
            </w:r>
          </w:p>
        </w:tc>
        <w:tc>
          <w:tcPr>
            <w:tcW w:w="654" w:type="pct"/>
            <w:tcMar>
              <w:top w:w="30" w:type="dxa"/>
              <w:left w:w="45" w:type="dxa"/>
              <w:bottom w:w="30" w:type="dxa"/>
              <w:right w:w="45" w:type="dxa"/>
            </w:tcMar>
            <w:vAlign w:val="center"/>
            <w:hideMark/>
          </w:tcPr>
          <w:p w14:paraId="7E32C53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w:t>
            </w:r>
          </w:p>
        </w:tc>
        <w:tc>
          <w:tcPr>
            <w:tcW w:w="607" w:type="pct"/>
            <w:tcMar>
              <w:top w:w="30" w:type="dxa"/>
              <w:left w:w="45" w:type="dxa"/>
              <w:bottom w:w="30" w:type="dxa"/>
              <w:right w:w="45" w:type="dxa"/>
            </w:tcMar>
            <w:vAlign w:val="center"/>
            <w:hideMark/>
          </w:tcPr>
          <w:p w14:paraId="7CC4724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0.35</w:t>
            </w:r>
          </w:p>
        </w:tc>
        <w:tc>
          <w:tcPr>
            <w:tcW w:w="605" w:type="pct"/>
            <w:tcMar>
              <w:top w:w="30" w:type="dxa"/>
              <w:left w:w="45" w:type="dxa"/>
              <w:bottom w:w="30" w:type="dxa"/>
              <w:right w:w="45" w:type="dxa"/>
            </w:tcMar>
            <w:vAlign w:val="center"/>
            <w:hideMark/>
          </w:tcPr>
          <w:p w14:paraId="1760B03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648" w:type="pct"/>
            <w:vMerge w:val="restart"/>
            <w:tcMar>
              <w:top w:w="30" w:type="dxa"/>
              <w:left w:w="45" w:type="dxa"/>
              <w:bottom w:w="30" w:type="dxa"/>
              <w:right w:w="45" w:type="dxa"/>
            </w:tcMar>
            <w:vAlign w:val="center"/>
            <w:hideMark/>
          </w:tcPr>
          <w:p w14:paraId="7353E34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11.647.379.265</w:t>
            </w:r>
          </w:p>
        </w:tc>
      </w:tr>
      <w:tr w:rsidR="00856F66" w:rsidRPr="00E31657" w14:paraId="46B05914" w14:textId="77777777" w:rsidTr="00F974BB">
        <w:trPr>
          <w:trHeight w:val="540"/>
        </w:trPr>
        <w:tc>
          <w:tcPr>
            <w:tcW w:w="899" w:type="pct"/>
            <w:vMerge/>
            <w:vAlign w:val="center"/>
            <w:hideMark/>
          </w:tcPr>
          <w:p w14:paraId="683CE5C1"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03471AEC" w14:textId="77777777" w:rsidR="00856F66" w:rsidRPr="00E31657" w:rsidRDefault="00856F66" w:rsidP="00B24742">
            <w:pPr>
              <w:rPr>
                <w:rFonts w:cs="Arial"/>
                <w:sz w:val="16"/>
                <w:szCs w:val="16"/>
                <w:lang w:val="es-ES_tradnl" w:eastAsia="es-MX"/>
              </w:rPr>
            </w:pPr>
          </w:p>
        </w:tc>
        <w:tc>
          <w:tcPr>
            <w:tcW w:w="692" w:type="pct"/>
            <w:vMerge/>
            <w:vAlign w:val="center"/>
            <w:hideMark/>
          </w:tcPr>
          <w:p w14:paraId="59E0823C"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14F121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2.713.024.211</w:t>
            </w:r>
          </w:p>
        </w:tc>
        <w:tc>
          <w:tcPr>
            <w:tcW w:w="654" w:type="pct"/>
            <w:tcMar>
              <w:top w:w="30" w:type="dxa"/>
              <w:left w:w="45" w:type="dxa"/>
              <w:bottom w:w="30" w:type="dxa"/>
              <w:right w:w="45" w:type="dxa"/>
            </w:tcMar>
            <w:vAlign w:val="center"/>
            <w:hideMark/>
          </w:tcPr>
          <w:p w14:paraId="01B126B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2.884.234.476</w:t>
            </w:r>
          </w:p>
        </w:tc>
        <w:tc>
          <w:tcPr>
            <w:tcW w:w="607" w:type="pct"/>
            <w:tcMar>
              <w:top w:w="30" w:type="dxa"/>
              <w:left w:w="45" w:type="dxa"/>
              <w:bottom w:w="30" w:type="dxa"/>
              <w:right w:w="45" w:type="dxa"/>
            </w:tcMar>
            <w:vAlign w:val="center"/>
            <w:hideMark/>
          </w:tcPr>
          <w:p w14:paraId="0426615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2.982.242.444</w:t>
            </w:r>
          </w:p>
        </w:tc>
        <w:tc>
          <w:tcPr>
            <w:tcW w:w="605" w:type="pct"/>
            <w:tcMar>
              <w:top w:w="30" w:type="dxa"/>
              <w:left w:w="45" w:type="dxa"/>
              <w:bottom w:w="30" w:type="dxa"/>
              <w:right w:w="45" w:type="dxa"/>
            </w:tcMar>
            <w:vAlign w:val="center"/>
            <w:hideMark/>
          </w:tcPr>
          <w:p w14:paraId="4F70346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3.067.878.134</w:t>
            </w:r>
          </w:p>
        </w:tc>
        <w:tc>
          <w:tcPr>
            <w:tcW w:w="648" w:type="pct"/>
            <w:vMerge/>
            <w:vAlign w:val="center"/>
            <w:hideMark/>
          </w:tcPr>
          <w:p w14:paraId="1E97F575" w14:textId="77777777" w:rsidR="00856F66" w:rsidRPr="00E31657" w:rsidRDefault="00856F66" w:rsidP="00B24742">
            <w:pPr>
              <w:rPr>
                <w:rFonts w:cs="Arial"/>
                <w:b/>
                <w:bCs/>
                <w:sz w:val="16"/>
                <w:szCs w:val="16"/>
                <w:lang w:val="es-ES_tradnl" w:eastAsia="es-MX"/>
              </w:rPr>
            </w:pPr>
          </w:p>
        </w:tc>
      </w:tr>
      <w:tr w:rsidR="00856F66" w:rsidRPr="00E31657" w14:paraId="1B62A984" w14:textId="77777777" w:rsidTr="00F974BB">
        <w:trPr>
          <w:trHeight w:val="540"/>
        </w:trPr>
        <w:tc>
          <w:tcPr>
            <w:tcW w:w="899" w:type="pct"/>
            <w:vMerge w:val="restart"/>
            <w:tcMar>
              <w:top w:w="30" w:type="dxa"/>
              <w:left w:w="45" w:type="dxa"/>
              <w:bottom w:w="30" w:type="dxa"/>
              <w:right w:w="45" w:type="dxa"/>
            </w:tcMar>
            <w:vAlign w:val="center"/>
            <w:hideMark/>
          </w:tcPr>
          <w:p w14:paraId="76562A5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Consolidar 1 estrategia de transversalización de la PPMYEG con actores territoriales para la disminución de las brechas de género</w:t>
            </w:r>
          </w:p>
        </w:tc>
        <w:tc>
          <w:tcPr>
            <w:tcW w:w="295" w:type="pct"/>
            <w:vMerge w:val="restart"/>
            <w:tcMar>
              <w:top w:w="30" w:type="dxa"/>
              <w:left w:w="45" w:type="dxa"/>
              <w:bottom w:w="30" w:type="dxa"/>
              <w:right w:w="45" w:type="dxa"/>
            </w:tcMar>
            <w:vAlign w:val="center"/>
            <w:hideMark/>
          </w:tcPr>
          <w:p w14:paraId="62A3D9F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92" w:type="pct"/>
            <w:vMerge w:val="restart"/>
            <w:tcMar>
              <w:top w:w="30" w:type="dxa"/>
              <w:left w:w="45" w:type="dxa"/>
              <w:bottom w:w="30" w:type="dxa"/>
              <w:right w:w="45" w:type="dxa"/>
            </w:tcMar>
            <w:vAlign w:val="center"/>
            <w:hideMark/>
          </w:tcPr>
          <w:p w14:paraId="42ED008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SDMujer</w:t>
            </w:r>
          </w:p>
        </w:tc>
        <w:tc>
          <w:tcPr>
            <w:tcW w:w="601" w:type="pct"/>
            <w:tcMar>
              <w:top w:w="30" w:type="dxa"/>
              <w:left w:w="45" w:type="dxa"/>
              <w:bottom w:w="30" w:type="dxa"/>
              <w:right w:w="45" w:type="dxa"/>
            </w:tcMar>
            <w:vAlign w:val="center"/>
            <w:hideMark/>
          </w:tcPr>
          <w:p w14:paraId="193A8FF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54" w:type="pct"/>
            <w:tcMar>
              <w:top w:w="30" w:type="dxa"/>
              <w:left w:w="45" w:type="dxa"/>
              <w:bottom w:w="30" w:type="dxa"/>
              <w:right w:w="45" w:type="dxa"/>
            </w:tcMar>
            <w:vAlign w:val="center"/>
            <w:hideMark/>
          </w:tcPr>
          <w:p w14:paraId="76B2BF4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07" w:type="pct"/>
            <w:tcMar>
              <w:top w:w="30" w:type="dxa"/>
              <w:left w:w="45" w:type="dxa"/>
              <w:bottom w:w="30" w:type="dxa"/>
              <w:right w:w="45" w:type="dxa"/>
            </w:tcMar>
            <w:vAlign w:val="center"/>
            <w:hideMark/>
          </w:tcPr>
          <w:p w14:paraId="426166A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05" w:type="pct"/>
            <w:tcMar>
              <w:top w:w="30" w:type="dxa"/>
              <w:left w:w="45" w:type="dxa"/>
              <w:bottom w:w="30" w:type="dxa"/>
              <w:right w:w="45" w:type="dxa"/>
            </w:tcMar>
            <w:vAlign w:val="center"/>
            <w:hideMark/>
          </w:tcPr>
          <w:p w14:paraId="2DACF12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48" w:type="pct"/>
            <w:vMerge w:val="restart"/>
            <w:tcMar>
              <w:top w:w="30" w:type="dxa"/>
              <w:left w:w="45" w:type="dxa"/>
              <w:bottom w:w="30" w:type="dxa"/>
              <w:right w:w="45" w:type="dxa"/>
            </w:tcMar>
            <w:vAlign w:val="center"/>
            <w:hideMark/>
          </w:tcPr>
          <w:p w14:paraId="5EAC847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4.391.634.805</w:t>
            </w:r>
          </w:p>
        </w:tc>
      </w:tr>
      <w:tr w:rsidR="00856F66" w:rsidRPr="00E31657" w14:paraId="634C9E9F" w14:textId="77777777" w:rsidTr="00F974BB">
        <w:trPr>
          <w:trHeight w:val="540"/>
        </w:trPr>
        <w:tc>
          <w:tcPr>
            <w:tcW w:w="899" w:type="pct"/>
            <w:vMerge/>
            <w:vAlign w:val="center"/>
            <w:hideMark/>
          </w:tcPr>
          <w:p w14:paraId="330DF017"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38C0729B" w14:textId="77777777" w:rsidR="00856F66" w:rsidRPr="00E31657" w:rsidRDefault="00856F66" w:rsidP="00B24742">
            <w:pPr>
              <w:rPr>
                <w:rFonts w:cs="Arial"/>
                <w:sz w:val="16"/>
                <w:szCs w:val="16"/>
                <w:lang w:val="es-ES_tradnl" w:eastAsia="es-MX"/>
              </w:rPr>
            </w:pPr>
          </w:p>
        </w:tc>
        <w:tc>
          <w:tcPr>
            <w:tcW w:w="692" w:type="pct"/>
            <w:vMerge/>
            <w:vAlign w:val="center"/>
            <w:hideMark/>
          </w:tcPr>
          <w:p w14:paraId="49F96C64"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00C008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1.022.943.555</w:t>
            </w:r>
          </w:p>
        </w:tc>
        <w:tc>
          <w:tcPr>
            <w:tcW w:w="654" w:type="pct"/>
            <w:tcMar>
              <w:top w:w="30" w:type="dxa"/>
              <w:left w:w="45" w:type="dxa"/>
              <w:bottom w:w="30" w:type="dxa"/>
              <w:right w:w="45" w:type="dxa"/>
            </w:tcMar>
            <w:vAlign w:val="center"/>
            <w:hideMark/>
          </w:tcPr>
          <w:p w14:paraId="62049E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1.087.498.245</w:t>
            </w:r>
          </w:p>
        </w:tc>
        <w:tc>
          <w:tcPr>
            <w:tcW w:w="607" w:type="pct"/>
            <w:tcMar>
              <w:top w:w="30" w:type="dxa"/>
              <w:left w:w="45" w:type="dxa"/>
              <w:bottom w:w="30" w:type="dxa"/>
              <w:right w:w="45" w:type="dxa"/>
            </w:tcMar>
            <w:vAlign w:val="center"/>
            <w:hideMark/>
          </w:tcPr>
          <w:p w14:paraId="6646224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1.124.452.069</w:t>
            </w:r>
          </w:p>
        </w:tc>
        <w:tc>
          <w:tcPr>
            <w:tcW w:w="605" w:type="pct"/>
            <w:tcMar>
              <w:top w:w="30" w:type="dxa"/>
              <w:left w:w="45" w:type="dxa"/>
              <w:bottom w:w="30" w:type="dxa"/>
              <w:right w:w="45" w:type="dxa"/>
            </w:tcMar>
            <w:vAlign w:val="center"/>
            <w:hideMark/>
          </w:tcPr>
          <w:p w14:paraId="2B9E3E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1.156.740.936</w:t>
            </w:r>
          </w:p>
        </w:tc>
        <w:tc>
          <w:tcPr>
            <w:tcW w:w="648" w:type="pct"/>
            <w:vMerge/>
            <w:vAlign w:val="center"/>
            <w:hideMark/>
          </w:tcPr>
          <w:p w14:paraId="70D98191" w14:textId="77777777" w:rsidR="00856F66" w:rsidRPr="00E31657" w:rsidRDefault="00856F66" w:rsidP="00B24742">
            <w:pPr>
              <w:rPr>
                <w:rFonts w:cs="Arial"/>
                <w:b/>
                <w:bCs/>
                <w:sz w:val="16"/>
                <w:szCs w:val="16"/>
                <w:lang w:val="es-ES_tradnl" w:eastAsia="es-MX"/>
              </w:rPr>
            </w:pPr>
          </w:p>
        </w:tc>
      </w:tr>
      <w:tr w:rsidR="00856F66" w:rsidRPr="00E31657" w14:paraId="6E018CDC" w14:textId="77777777" w:rsidTr="00F974BB">
        <w:trPr>
          <w:trHeight w:val="540"/>
        </w:trPr>
        <w:tc>
          <w:tcPr>
            <w:tcW w:w="899" w:type="pct"/>
            <w:vMerge w:val="restart"/>
            <w:tcMar>
              <w:top w:w="30" w:type="dxa"/>
              <w:left w:w="45" w:type="dxa"/>
              <w:bottom w:w="30" w:type="dxa"/>
              <w:right w:w="45" w:type="dxa"/>
            </w:tcMar>
            <w:vAlign w:val="center"/>
            <w:hideMark/>
          </w:tcPr>
          <w:p w14:paraId="0D6E18D9"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Desarrollar 1 estrategia de comunicaciones con énfasis en promoción de derechos de las mujeres prevención de violencias en su contra y transformación cultural con enfoque de género que permita impulsar y posicionar las acciones actividades y programas de la SDMujer en los ámbitos internacional nacional distrital local y barrial</w:t>
            </w:r>
          </w:p>
        </w:tc>
        <w:tc>
          <w:tcPr>
            <w:tcW w:w="295" w:type="pct"/>
            <w:vMerge w:val="restart"/>
            <w:tcMar>
              <w:top w:w="30" w:type="dxa"/>
              <w:left w:w="45" w:type="dxa"/>
              <w:bottom w:w="30" w:type="dxa"/>
              <w:right w:w="45" w:type="dxa"/>
            </w:tcMar>
            <w:vAlign w:val="center"/>
            <w:hideMark/>
          </w:tcPr>
          <w:p w14:paraId="53BC039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92" w:type="pct"/>
            <w:vMerge w:val="restart"/>
            <w:tcMar>
              <w:top w:w="30" w:type="dxa"/>
              <w:left w:w="45" w:type="dxa"/>
              <w:bottom w:w="30" w:type="dxa"/>
              <w:right w:w="45" w:type="dxa"/>
            </w:tcMar>
            <w:vAlign w:val="center"/>
            <w:hideMark/>
          </w:tcPr>
          <w:p w14:paraId="6EE197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SDMujer</w:t>
            </w:r>
          </w:p>
        </w:tc>
        <w:tc>
          <w:tcPr>
            <w:tcW w:w="601" w:type="pct"/>
            <w:tcMar>
              <w:top w:w="30" w:type="dxa"/>
              <w:left w:w="45" w:type="dxa"/>
              <w:bottom w:w="30" w:type="dxa"/>
              <w:right w:w="45" w:type="dxa"/>
            </w:tcMar>
            <w:vAlign w:val="center"/>
            <w:hideMark/>
          </w:tcPr>
          <w:p w14:paraId="5F6FDBC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w:t>
            </w:r>
          </w:p>
        </w:tc>
        <w:tc>
          <w:tcPr>
            <w:tcW w:w="654" w:type="pct"/>
            <w:tcMar>
              <w:top w:w="30" w:type="dxa"/>
              <w:left w:w="45" w:type="dxa"/>
              <w:bottom w:w="30" w:type="dxa"/>
              <w:right w:w="45" w:type="dxa"/>
            </w:tcMar>
            <w:vAlign w:val="center"/>
            <w:hideMark/>
          </w:tcPr>
          <w:p w14:paraId="6150296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w:t>
            </w:r>
          </w:p>
        </w:tc>
        <w:tc>
          <w:tcPr>
            <w:tcW w:w="607" w:type="pct"/>
            <w:tcMar>
              <w:top w:w="30" w:type="dxa"/>
              <w:left w:w="45" w:type="dxa"/>
              <w:bottom w:w="30" w:type="dxa"/>
              <w:right w:w="45" w:type="dxa"/>
            </w:tcMar>
            <w:vAlign w:val="center"/>
            <w:hideMark/>
          </w:tcPr>
          <w:p w14:paraId="5B513DC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605" w:type="pct"/>
            <w:tcMar>
              <w:top w:w="30" w:type="dxa"/>
              <w:left w:w="45" w:type="dxa"/>
              <w:bottom w:w="30" w:type="dxa"/>
              <w:right w:w="45" w:type="dxa"/>
            </w:tcMar>
            <w:vAlign w:val="center"/>
            <w:hideMark/>
          </w:tcPr>
          <w:p w14:paraId="56BB70E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648" w:type="pct"/>
            <w:vMerge w:val="restart"/>
            <w:tcMar>
              <w:top w:w="30" w:type="dxa"/>
              <w:left w:w="45" w:type="dxa"/>
              <w:bottom w:w="30" w:type="dxa"/>
              <w:right w:w="45" w:type="dxa"/>
            </w:tcMar>
            <w:vAlign w:val="center"/>
            <w:hideMark/>
          </w:tcPr>
          <w:p w14:paraId="6FE6380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9.547.032.184</w:t>
            </w:r>
          </w:p>
        </w:tc>
      </w:tr>
      <w:tr w:rsidR="00856F66" w:rsidRPr="00E31657" w14:paraId="7F27178D" w14:textId="77777777" w:rsidTr="00F974BB">
        <w:trPr>
          <w:trHeight w:val="540"/>
        </w:trPr>
        <w:tc>
          <w:tcPr>
            <w:tcW w:w="899" w:type="pct"/>
            <w:vMerge/>
            <w:vAlign w:val="center"/>
            <w:hideMark/>
          </w:tcPr>
          <w:p w14:paraId="4C85C60A"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430B39AF" w14:textId="77777777" w:rsidR="00856F66" w:rsidRPr="00E31657" w:rsidRDefault="00856F66" w:rsidP="00B24742">
            <w:pPr>
              <w:rPr>
                <w:rFonts w:cs="Arial"/>
                <w:sz w:val="16"/>
                <w:szCs w:val="16"/>
                <w:lang w:val="es-ES_tradnl" w:eastAsia="es-MX"/>
              </w:rPr>
            </w:pPr>
          </w:p>
        </w:tc>
        <w:tc>
          <w:tcPr>
            <w:tcW w:w="692" w:type="pct"/>
            <w:vMerge/>
            <w:vAlign w:val="center"/>
            <w:hideMark/>
          </w:tcPr>
          <w:p w14:paraId="20B0D66D"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B1EE3F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2.223.790.336</w:t>
            </w:r>
          </w:p>
        </w:tc>
        <w:tc>
          <w:tcPr>
            <w:tcW w:w="654" w:type="pct"/>
            <w:tcMar>
              <w:top w:w="30" w:type="dxa"/>
              <w:left w:w="45" w:type="dxa"/>
              <w:bottom w:w="30" w:type="dxa"/>
              <w:right w:w="45" w:type="dxa"/>
            </w:tcMar>
            <w:vAlign w:val="center"/>
            <w:hideMark/>
          </w:tcPr>
          <w:p w14:paraId="2B1D83A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2.364.126.619</w:t>
            </w:r>
          </w:p>
        </w:tc>
        <w:tc>
          <w:tcPr>
            <w:tcW w:w="607" w:type="pct"/>
            <w:tcMar>
              <w:top w:w="30" w:type="dxa"/>
              <w:left w:w="45" w:type="dxa"/>
              <w:bottom w:w="30" w:type="dxa"/>
              <w:right w:w="45" w:type="dxa"/>
            </w:tcMar>
            <w:vAlign w:val="center"/>
            <w:hideMark/>
          </w:tcPr>
          <w:p w14:paraId="26508B9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2.444.461.020</w:t>
            </w:r>
          </w:p>
        </w:tc>
        <w:tc>
          <w:tcPr>
            <w:tcW w:w="605" w:type="pct"/>
            <w:tcMar>
              <w:top w:w="30" w:type="dxa"/>
              <w:left w:w="45" w:type="dxa"/>
              <w:bottom w:w="30" w:type="dxa"/>
              <w:right w:w="45" w:type="dxa"/>
            </w:tcMar>
            <w:vAlign w:val="center"/>
            <w:hideMark/>
          </w:tcPr>
          <w:p w14:paraId="7B07E5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2.514.654.209</w:t>
            </w:r>
          </w:p>
        </w:tc>
        <w:tc>
          <w:tcPr>
            <w:tcW w:w="648" w:type="pct"/>
            <w:vMerge/>
            <w:vAlign w:val="center"/>
            <w:hideMark/>
          </w:tcPr>
          <w:p w14:paraId="78F236A4" w14:textId="77777777" w:rsidR="00856F66" w:rsidRPr="00E31657" w:rsidRDefault="00856F66" w:rsidP="00B24742">
            <w:pPr>
              <w:rPr>
                <w:rFonts w:cs="Arial"/>
                <w:b/>
                <w:bCs/>
                <w:sz w:val="16"/>
                <w:szCs w:val="16"/>
                <w:lang w:val="es-ES_tradnl" w:eastAsia="es-MX"/>
              </w:rPr>
            </w:pPr>
          </w:p>
        </w:tc>
      </w:tr>
      <w:tr w:rsidR="00856F66" w:rsidRPr="00E31657" w14:paraId="6EEC0823" w14:textId="77777777" w:rsidTr="00F974BB">
        <w:trPr>
          <w:trHeight w:val="540"/>
        </w:trPr>
        <w:tc>
          <w:tcPr>
            <w:tcW w:w="899" w:type="pct"/>
            <w:vMerge w:val="restart"/>
            <w:tcMar>
              <w:top w:w="30" w:type="dxa"/>
              <w:left w:w="45" w:type="dxa"/>
              <w:bottom w:w="30" w:type="dxa"/>
              <w:right w:w="45" w:type="dxa"/>
            </w:tcMar>
            <w:vAlign w:val="center"/>
            <w:hideMark/>
          </w:tcPr>
          <w:p w14:paraId="19BF84AB"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 xml:space="preserve">Desarrollar 4 estrategias de empoderamiento para fomentar capacidades liderazgos participación incidencia política y transformación de imaginarios culturales que reproducen los estereotipos de género en los </w:t>
            </w:r>
            <w:r w:rsidRPr="00E31657">
              <w:rPr>
                <w:rFonts w:cs="Arial"/>
                <w:sz w:val="16"/>
                <w:szCs w:val="16"/>
                <w:lang w:val="es-ES_tradnl" w:eastAsia="es-MX"/>
              </w:rPr>
              <w:lastRenderedPageBreak/>
              <w:t>territorios urbanos y rurales</w:t>
            </w:r>
          </w:p>
        </w:tc>
        <w:tc>
          <w:tcPr>
            <w:tcW w:w="295" w:type="pct"/>
            <w:vMerge w:val="restart"/>
            <w:tcMar>
              <w:top w:w="30" w:type="dxa"/>
              <w:left w:w="45" w:type="dxa"/>
              <w:bottom w:w="30" w:type="dxa"/>
              <w:right w:w="45" w:type="dxa"/>
            </w:tcMar>
            <w:vAlign w:val="center"/>
            <w:hideMark/>
          </w:tcPr>
          <w:p w14:paraId="6351651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0</w:t>
            </w:r>
          </w:p>
        </w:tc>
        <w:tc>
          <w:tcPr>
            <w:tcW w:w="692" w:type="pct"/>
            <w:vMerge w:val="restart"/>
            <w:tcMar>
              <w:top w:w="30" w:type="dxa"/>
              <w:left w:w="45" w:type="dxa"/>
              <w:bottom w:w="30" w:type="dxa"/>
              <w:right w:w="45" w:type="dxa"/>
            </w:tcMar>
            <w:vAlign w:val="center"/>
            <w:hideMark/>
          </w:tcPr>
          <w:p w14:paraId="44A117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SDMujer</w:t>
            </w:r>
          </w:p>
        </w:tc>
        <w:tc>
          <w:tcPr>
            <w:tcW w:w="601" w:type="pct"/>
            <w:tcMar>
              <w:top w:w="30" w:type="dxa"/>
              <w:left w:w="45" w:type="dxa"/>
              <w:bottom w:w="30" w:type="dxa"/>
              <w:right w:w="45" w:type="dxa"/>
            </w:tcMar>
            <w:vAlign w:val="center"/>
            <w:hideMark/>
          </w:tcPr>
          <w:p w14:paraId="7307B1E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54" w:type="pct"/>
            <w:tcMar>
              <w:top w:w="30" w:type="dxa"/>
              <w:left w:w="45" w:type="dxa"/>
              <w:bottom w:w="30" w:type="dxa"/>
              <w:right w:w="45" w:type="dxa"/>
            </w:tcMar>
            <w:vAlign w:val="center"/>
            <w:hideMark/>
          </w:tcPr>
          <w:p w14:paraId="094199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07" w:type="pct"/>
            <w:tcMar>
              <w:top w:w="30" w:type="dxa"/>
              <w:left w:w="45" w:type="dxa"/>
              <w:bottom w:w="30" w:type="dxa"/>
              <w:right w:w="45" w:type="dxa"/>
            </w:tcMar>
            <w:vAlign w:val="center"/>
            <w:hideMark/>
          </w:tcPr>
          <w:p w14:paraId="34A9C9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05" w:type="pct"/>
            <w:tcMar>
              <w:top w:w="30" w:type="dxa"/>
              <w:left w:w="45" w:type="dxa"/>
              <w:bottom w:w="30" w:type="dxa"/>
              <w:right w:w="45" w:type="dxa"/>
            </w:tcMar>
            <w:vAlign w:val="center"/>
            <w:hideMark/>
          </w:tcPr>
          <w:p w14:paraId="709652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48" w:type="pct"/>
            <w:vMerge w:val="restart"/>
            <w:tcMar>
              <w:top w:w="30" w:type="dxa"/>
              <w:left w:w="45" w:type="dxa"/>
              <w:bottom w:w="30" w:type="dxa"/>
              <w:right w:w="45" w:type="dxa"/>
            </w:tcMar>
            <w:vAlign w:val="center"/>
            <w:hideMark/>
          </w:tcPr>
          <w:p w14:paraId="51E8E6D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8.401.388.322</w:t>
            </w:r>
          </w:p>
        </w:tc>
      </w:tr>
      <w:tr w:rsidR="00856F66" w:rsidRPr="00E31657" w14:paraId="6AAE90DE" w14:textId="77777777" w:rsidTr="00F974BB">
        <w:trPr>
          <w:trHeight w:val="540"/>
        </w:trPr>
        <w:tc>
          <w:tcPr>
            <w:tcW w:w="899" w:type="pct"/>
            <w:vMerge/>
            <w:vAlign w:val="center"/>
            <w:hideMark/>
          </w:tcPr>
          <w:p w14:paraId="70011E99"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75FFC565" w14:textId="77777777" w:rsidR="00856F66" w:rsidRPr="00E31657" w:rsidRDefault="00856F66" w:rsidP="00B24742">
            <w:pPr>
              <w:rPr>
                <w:rFonts w:cs="Arial"/>
                <w:sz w:val="16"/>
                <w:szCs w:val="16"/>
                <w:lang w:val="es-ES_tradnl" w:eastAsia="es-MX"/>
              </w:rPr>
            </w:pPr>
          </w:p>
        </w:tc>
        <w:tc>
          <w:tcPr>
            <w:tcW w:w="692" w:type="pct"/>
            <w:vMerge/>
            <w:vAlign w:val="center"/>
            <w:hideMark/>
          </w:tcPr>
          <w:p w14:paraId="7044B098"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1637AF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1.956.935.496</w:t>
            </w:r>
          </w:p>
        </w:tc>
        <w:tc>
          <w:tcPr>
            <w:tcW w:w="654" w:type="pct"/>
            <w:tcMar>
              <w:top w:w="30" w:type="dxa"/>
              <w:left w:w="45" w:type="dxa"/>
              <w:bottom w:w="30" w:type="dxa"/>
              <w:right w:w="45" w:type="dxa"/>
            </w:tcMar>
            <w:vAlign w:val="center"/>
            <w:hideMark/>
          </w:tcPr>
          <w:p w14:paraId="7159896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2.080.431.425</w:t>
            </w:r>
          </w:p>
        </w:tc>
        <w:tc>
          <w:tcPr>
            <w:tcW w:w="607" w:type="pct"/>
            <w:tcMar>
              <w:top w:w="30" w:type="dxa"/>
              <w:left w:w="45" w:type="dxa"/>
              <w:bottom w:w="30" w:type="dxa"/>
              <w:right w:w="45" w:type="dxa"/>
            </w:tcMar>
            <w:vAlign w:val="center"/>
            <w:hideMark/>
          </w:tcPr>
          <w:p w14:paraId="12FA27E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2.151.125.697</w:t>
            </w:r>
          </w:p>
        </w:tc>
        <w:tc>
          <w:tcPr>
            <w:tcW w:w="605" w:type="pct"/>
            <w:tcMar>
              <w:top w:w="30" w:type="dxa"/>
              <w:left w:w="45" w:type="dxa"/>
              <w:bottom w:w="30" w:type="dxa"/>
              <w:right w:w="45" w:type="dxa"/>
            </w:tcMar>
            <w:vAlign w:val="center"/>
            <w:hideMark/>
          </w:tcPr>
          <w:p w14:paraId="21DA05A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2.212.895.704</w:t>
            </w:r>
          </w:p>
        </w:tc>
        <w:tc>
          <w:tcPr>
            <w:tcW w:w="648" w:type="pct"/>
            <w:vMerge/>
            <w:vAlign w:val="center"/>
            <w:hideMark/>
          </w:tcPr>
          <w:p w14:paraId="44181370" w14:textId="77777777" w:rsidR="00856F66" w:rsidRPr="00E31657" w:rsidRDefault="00856F66" w:rsidP="00B24742">
            <w:pPr>
              <w:rPr>
                <w:rFonts w:cs="Arial"/>
                <w:b/>
                <w:bCs/>
                <w:sz w:val="16"/>
                <w:szCs w:val="16"/>
                <w:lang w:val="es-ES_tradnl" w:eastAsia="es-MX"/>
              </w:rPr>
            </w:pPr>
          </w:p>
        </w:tc>
      </w:tr>
      <w:tr w:rsidR="00856F66" w:rsidRPr="00E31657" w14:paraId="3E30EA2F" w14:textId="77777777" w:rsidTr="00F974BB">
        <w:trPr>
          <w:trHeight w:val="540"/>
        </w:trPr>
        <w:tc>
          <w:tcPr>
            <w:tcW w:w="899" w:type="pct"/>
            <w:vMerge w:val="restart"/>
            <w:tcMar>
              <w:top w:w="30" w:type="dxa"/>
              <w:left w:w="45" w:type="dxa"/>
              <w:bottom w:w="30" w:type="dxa"/>
              <w:right w:w="45" w:type="dxa"/>
            </w:tcMar>
            <w:vAlign w:val="center"/>
            <w:hideMark/>
          </w:tcPr>
          <w:p w14:paraId="45F8850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Mantener operando el modelo de Casas de igualdad de oportunidades para las mujeres en las 20 localidades fortaleciendo la atención en los territorios urbanos y rurales.</w:t>
            </w:r>
          </w:p>
        </w:tc>
        <w:tc>
          <w:tcPr>
            <w:tcW w:w="295" w:type="pct"/>
            <w:vMerge w:val="restart"/>
            <w:tcMar>
              <w:top w:w="30" w:type="dxa"/>
              <w:left w:w="45" w:type="dxa"/>
              <w:bottom w:w="30" w:type="dxa"/>
              <w:right w:w="45" w:type="dxa"/>
            </w:tcMar>
            <w:vAlign w:val="center"/>
            <w:hideMark/>
          </w:tcPr>
          <w:p w14:paraId="6A14BC2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388317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SEGPLAN</w:t>
            </w:r>
          </w:p>
        </w:tc>
        <w:tc>
          <w:tcPr>
            <w:tcW w:w="601" w:type="pct"/>
            <w:tcMar>
              <w:top w:w="30" w:type="dxa"/>
              <w:left w:w="45" w:type="dxa"/>
              <w:bottom w:w="30" w:type="dxa"/>
              <w:right w:w="45" w:type="dxa"/>
            </w:tcMar>
            <w:vAlign w:val="center"/>
            <w:hideMark/>
          </w:tcPr>
          <w:p w14:paraId="181A591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54" w:type="pct"/>
            <w:tcMar>
              <w:top w:w="30" w:type="dxa"/>
              <w:left w:w="45" w:type="dxa"/>
              <w:bottom w:w="30" w:type="dxa"/>
              <w:right w:w="45" w:type="dxa"/>
            </w:tcMar>
            <w:vAlign w:val="center"/>
            <w:hideMark/>
          </w:tcPr>
          <w:p w14:paraId="45D807D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07" w:type="pct"/>
            <w:tcMar>
              <w:top w:w="30" w:type="dxa"/>
              <w:left w:w="45" w:type="dxa"/>
              <w:bottom w:w="30" w:type="dxa"/>
              <w:right w:w="45" w:type="dxa"/>
            </w:tcMar>
            <w:vAlign w:val="center"/>
            <w:hideMark/>
          </w:tcPr>
          <w:p w14:paraId="0BB0B5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05" w:type="pct"/>
            <w:tcMar>
              <w:top w:w="30" w:type="dxa"/>
              <w:left w:w="45" w:type="dxa"/>
              <w:bottom w:w="30" w:type="dxa"/>
              <w:right w:w="45" w:type="dxa"/>
            </w:tcMar>
            <w:vAlign w:val="center"/>
            <w:hideMark/>
          </w:tcPr>
          <w:p w14:paraId="153250F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648" w:type="pct"/>
            <w:vMerge w:val="restart"/>
            <w:tcMar>
              <w:top w:w="30" w:type="dxa"/>
              <w:left w:w="45" w:type="dxa"/>
              <w:bottom w:w="30" w:type="dxa"/>
              <w:right w:w="45" w:type="dxa"/>
            </w:tcMar>
            <w:vAlign w:val="center"/>
            <w:hideMark/>
          </w:tcPr>
          <w:p w14:paraId="4658228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46.780.457.704</w:t>
            </w:r>
          </w:p>
        </w:tc>
      </w:tr>
      <w:tr w:rsidR="00856F66" w:rsidRPr="00E31657" w14:paraId="472CE896" w14:textId="77777777" w:rsidTr="00F974BB">
        <w:trPr>
          <w:trHeight w:val="540"/>
        </w:trPr>
        <w:tc>
          <w:tcPr>
            <w:tcW w:w="899" w:type="pct"/>
            <w:vMerge/>
            <w:vAlign w:val="center"/>
            <w:hideMark/>
          </w:tcPr>
          <w:p w14:paraId="7594EACE"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6D00E9F4" w14:textId="77777777" w:rsidR="00856F66" w:rsidRPr="00E31657" w:rsidRDefault="00856F66" w:rsidP="00B24742">
            <w:pPr>
              <w:rPr>
                <w:rFonts w:cs="Arial"/>
                <w:sz w:val="16"/>
                <w:szCs w:val="16"/>
                <w:lang w:val="es-ES_tradnl" w:eastAsia="es-MX"/>
              </w:rPr>
            </w:pPr>
          </w:p>
        </w:tc>
        <w:tc>
          <w:tcPr>
            <w:tcW w:w="692" w:type="pct"/>
            <w:vMerge/>
            <w:vAlign w:val="center"/>
            <w:hideMark/>
          </w:tcPr>
          <w:p w14:paraId="571C1F10"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6CE098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10.896.572.649</w:t>
            </w:r>
          </w:p>
        </w:tc>
        <w:tc>
          <w:tcPr>
            <w:tcW w:w="654" w:type="pct"/>
            <w:tcMar>
              <w:top w:w="30" w:type="dxa"/>
              <w:left w:w="45" w:type="dxa"/>
              <w:bottom w:w="30" w:type="dxa"/>
              <w:right w:w="45" w:type="dxa"/>
            </w:tcMar>
            <w:vAlign w:val="center"/>
            <w:hideMark/>
          </w:tcPr>
          <w:p w14:paraId="7F486C9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11.584.220.437</w:t>
            </w:r>
          </w:p>
        </w:tc>
        <w:tc>
          <w:tcPr>
            <w:tcW w:w="607" w:type="pct"/>
            <w:tcMar>
              <w:top w:w="30" w:type="dxa"/>
              <w:left w:w="45" w:type="dxa"/>
              <w:bottom w:w="30" w:type="dxa"/>
              <w:right w:w="45" w:type="dxa"/>
            </w:tcMar>
            <w:vAlign w:val="center"/>
            <w:hideMark/>
          </w:tcPr>
          <w:p w14:paraId="187A35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11.977.858.996</w:t>
            </w:r>
          </w:p>
        </w:tc>
        <w:tc>
          <w:tcPr>
            <w:tcW w:w="605" w:type="pct"/>
            <w:tcMar>
              <w:top w:w="30" w:type="dxa"/>
              <w:left w:w="45" w:type="dxa"/>
              <w:bottom w:w="30" w:type="dxa"/>
              <w:right w:w="45" w:type="dxa"/>
            </w:tcMar>
            <w:vAlign w:val="center"/>
            <w:hideMark/>
          </w:tcPr>
          <w:p w14:paraId="23587BE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12.321.805.622</w:t>
            </w:r>
          </w:p>
        </w:tc>
        <w:tc>
          <w:tcPr>
            <w:tcW w:w="648" w:type="pct"/>
            <w:vMerge/>
            <w:vAlign w:val="center"/>
            <w:hideMark/>
          </w:tcPr>
          <w:p w14:paraId="14958570" w14:textId="77777777" w:rsidR="00856F66" w:rsidRPr="00E31657" w:rsidRDefault="00856F66" w:rsidP="00B24742">
            <w:pPr>
              <w:rPr>
                <w:rFonts w:cs="Arial"/>
                <w:b/>
                <w:bCs/>
                <w:sz w:val="16"/>
                <w:szCs w:val="16"/>
                <w:lang w:val="es-ES_tradnl" w:eastAsia="es-MX"/>
              </w:rPr>
            </w:pPr>
          </w:p>
        </w:tc>
      </w:tr>
      <w:tr w:rsidR="00856F66" w:rsidRPr="00E31657" w14:paraId="4BDFF66F" w14:textId="77777777" w:rsidTr="00F974BB">
        <w:trPr>
          <w:trHeight w:val="540"/>
        </w:trPr>
        <w:tc>
          <w:tcPr>
            <w:tcW w:w="899" w:type="pct"/>
            <w:vMerge w:val="restart"/>
            <w:tcMar>
              <w:top w:w="30" w:type="dxa"/>
              <w:left w:w="45" w:type="dxa"/>
              <w:bottom w:w="30" w:type="dxa"/>
              <w:right w:w="45" w:type="dxa"/>
            </w:tcMar>
            <w:vAlign w:val="center"/>
            <w:hideMark/>
          </w:tcPr>
          <w:p w14:paraId="20E3A699"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Vincular a 9000 mujeres en estrategias de empoderamiento Social y político que aportan a la promoción y garantía de sus derechos.</w:t>
            </w:r>
          </w:p>
        </w:tc>
        <w:tc>
          <w:tcPr>
            <w:tcW w:w="295" w:type="pct"/>
            <w:vMerge w:val="restart"/>
            <w:tcMar>
              <w:top w:w="30" w:type="dxa"/>
              <w:left w:w="45" w:type="dxa"/>
              <w:bottom w:w="30" w:type="dxa"/>
              <w:right w:w="45" w:type="dxa"/>
            </w:tcMar>
            <w:vAlign w:val="center"/>
            <w:hideMark/>
          </w:tcPr>
          <w:p w14:paraId="587B08D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92" w:type="pct"/>
            <w:vMerge w:val="restart"/>
            <w:tcMar>
              <w:top w:w="30" w:type="dxa"/>
              <w:left w:w="45" w:type="dxa"/>
              <w:bottom w:w="30" w:type="dxa"/>
              <w:right w:w="45" w:type="dxa"/>
            </w:tcMar>
            <w:vAlign w:val="center"/>
            <w:hideMark/>
          </w:tcPr>
          <w:p w14:paraId="030EB7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SDMujer</w:t>
            </w:r>
          </w:p>
        </w:tc>
        <w:tc>
          <w:tcPr>
            <w:tcW w:w="601" w:type="pct"/>
            <w:tcMar>
              <w:top w:w="30" w:type="dxa"/>
              <w:left w:w="45" w:type="dxa"/>
              <w:bottom w:w="30" w:type="dxa"/>
              <w:right w:w="45" w:type="dxa"/>
            </w:tcMar>
            <w:vAlign w:val="center"/>
            <w:hideMark/>
          </w:tcPr>
          <w:p w14:paraId="66A79D0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654" w:type="pct"/>
            <w:tcMar>
              <w:top w:w="30" w:type="dxa"/>
              <w:left w:w="45" w:type="dxa"/>
              <w:bottom w:w="30" w:type="dxa"/>
              <w:right w:w="45" w:type="dxa"/>
            </w:tcMar>
            <w:vAlign w:val="center"/>
            <w:hideMark/>
          </w:tcPr>
          <w:p w14:paraId="474064A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3.000</w:t>
            </w:r>
          </w:p>
        </w:tc>
        <w:tc>
          <w:tcPr>
            <w:tcW w:w="607" w:type="pct"/>
            <w:tcMar>
              <w:top w:w="30" w:type="dxa"/>
              <w:left w:w="45" w:type="dxa"/>
              <w:bottom w:w="30" w:type="dxa"/>
              <w:right w:w="45" w:type="dxa"/>
            </w:tcMar>
            <w:vAlign w:val="center"/>
            <w:hideMark/>
          </w:tcPr>
          <w:p w14:paraId="0C6200E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3.000</w:t>
            </w:r>
          </w:p>
        </w:tc>
        <w:tc>
          <w:tcPr>
            <w:tcW w:w="605" w:type="pct"/>
            <w:tcMar>
              <w:top w:w="30" w:type="dxa"/>
              <w:left w:w="45" w:type="dxa"/>
              <w:bottom w:w="30" w:type="dxa"/>
              <w:right w:w="45" w:type="dxa"/>
            </w:tcMar>
            <w:vAlign w:val="center"/>
            <w:hideMark/>
          </w:tcPr>
          <w:p w14:paraId="26C8AA0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648" w:type="pct"/>
            <w:vMerge w:val="restart"/>
            <w:tcMar>
              <w:top w:w="30" w:type="dxa"/>
              <w:left w:w="45" w:type="dxa"/>
              <w:bottom w:w="30" w:type="dxa"/>
              <w:right w:w="45" w:type="dxa"/>
            </w:tcMar>
            <w:vAlign w:val="center"/>
            <w:hideMark/>
          </w:tcPr>
          <w:p w14:paraId="7B2EC24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8.019.507.035</w:t>
            </w:r>
          </w:p>
        </w:tc>
      </w:tr>
      <w:tr w:rsidR="00856F66" w:rsidRPr="00E31657" w14:paraId="7F988CF7" w14:textId="77777777" w:rsidTr="00F974BB">
        <w:trPr>
          <w:trHeight w:val="540"/>
        </w:trPr>
        <w:tc>
          <w:tcPr>
            <w:tcW w:w="899" w:type="pct"/>
            <w:vMerge/>
            <w:vAlign w:val="center"/>
            <w:hideMark/>
          </w:tcPr>
          <w:p w14:paraId="69FDD5AA"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49FAD6B0" w14:textId="77777777" w:rsidR="00856F66" w:rsidRPr="00E31657" w:rsidRDefault="00856F66" w:rsidP="00B24742">
            <w:pPr>
              <w:rPr>
                <w:rFonts w:cs="Arial"/>
                <w:sz w:val="16"/>
                <w:szCs w:val="16"/>
                <w:lang w:val="es-ES_tradnl" w:eastAsia="es-MX"/>
              </w:rPr>
            </w:pPr>
          </w:p>
        </w:tc>
        <w:tc>
          <w:tcPr>
            <w:tcW w:w="692" w:type="pct"/>
            <w:vMerge/>
            <w:vAlign w:val="center"/>
            <w:hideMark/>
          </w:tcPr>
          <w:p w14:paraId="370B0869"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3D4E82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1.867.983.883</w:t>
            </w:r>
          </w:p>
        </w:tc>
        <w:tc>
          <w:tcPr>
            <w:tcW w:w="654" w:type="pct"/>
            <w:tcMar>
              <w:top w:w="30" w:type="dxa"/>
              <w:left w:w="45" w:type="dxa"/>
              <w:bottom w:w="30" w:type="dxa"/>
              <w:right w:w="45" w:type="dxa"/>
            </w:tcMar>
            <w:vAlign w:val="center"/>
            <w:hideMark/>
          </w:tcPr>
          <w:p w14:paraId="07E7D6D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1.985.866.360</w:t>
            </w:r>
          </w:p>
        </w:tc>
        <w:tc>
          <w:tcPr>
            <w:tcW w:w="607" w:type="pct"/>
            <w:tcMar>
              <w:top w:w="30" w:type="dxa"/>
              <w:left w:w="45" w:type="dxa"/>
              <w:bottom w:w="30" w:type="dxa"/>
              <w:right w:w="45" w:type="dxa"/>
            </w:tcMar>
            <w:vAlign w:val="center"/>
            <w:hideMark/>
          </w:tcPr>
          <w:p w14:paraId="642A178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2.053.347.256</w:t>
            </w:r>
          </w:p>
        </w:tc>
        <w:tc>
          <w:tcPr>
            <w:tcW w:w="605" w:type="pct"/>
            <w:tcMar>
              <w:top w:w="30" w:type="dxa"/>
              <w:left w:w="45" w:type="dxa"/>
              <w:bottom w:w="30" w:type="dxa"/>
              <w:right w:w="45" w:type="dxa"/>
            </w:tcMar>
            <w:vAlign w:val="center"/>
            <w:hideMark/>
          </w:tcPr>
          <w:p w14:paraId="3DD46D1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2.112.309.536</w:t>
            </w:r>
          </w:p>
        </w:tc>
        <w:tc>
          <w:tcPr>
            <w:tcW w:w="648" w:type="pct"/>
            <w:vMerge/>
            <w:vAlign w:val="center"/>
            <w:hideMark/>
          </w:tcPr>
          <w:p w14:paraId="19698178" w14:textId="77777777" w:rsidR="00856F66" w:rsidRPr="00E31657" w:rsidRDefault="00856F66" w:rsidP="00B24742">
            <w:pPr>
              <w:rPr>
                <w:rFonts w:cs="Arial"/>
                <w:b/>
                <w:bCs/>
                <w:sz w:val="16"/>
                <w:szCs w:val="16"/>
                <w:lang w:val="es-ES_tradnl" w:eastAsia="es-MX"/>
              </w:rPr>
            </w:pPr>
          </w:p>
        </w:tc>
      </w:tr>
      <w:tr w:rsidR="00856F66" w:rsidRPr="00E31657" w14:paraId="2ABEC7D9" w14:textId="77777777" w:rsidTr="00F974BB">
        <w:trPr>
          <w:trHeight w:val="313"/>
        </w:trPr>
        <w:tc>
          <w:tcPr>
            <w:tcW w:w="5000" w:type="pct"/>
            <w:gridSpan w:val="8"/>
            <w:shd w:val="clear" w:color="auto" w:fill="C00000"/>
            <w:tcMar>
              <w:top w:w="30" w:type="dxa"/>
              <w:left w:w="45" w:type="dxa"/>
              <w:bottom w:w="30" w:type="dxa"/>
              <w:right w:w="45" w:type="dxa"/>
            </w:tcMar>
            <w:vAlign w:val="center"/>
            <w:hideMark/>
          </w:tcPr>
          <w:p w14:paraId="1A64DEA9"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Planeación</w:t>
            </w:r>
          </w:p>
        </w:tc>
      </w:tr>
      <w:tr w:rsidR="00856F66" w:rsidRPr="00E31657" w14:paraId="264F6D60" w14:textId="77777777" w:rsidTr="00F974BB">
        <w:trPr>
          <w:trHeight w:val="540"/>
        </w:trPr>
        <w:tc>
          <w:tcPr>
            <w:tcW w:w="899" w:type="pct"/>
            <w:vMerge w:val="restart"/>
            <w:tcMar>
              <w:top w:w="30" w:type="dxa"/>
              <w:left w:w="45" w:type="dxa"/>
              <w:bottom w:w="30" w:type="dxa"/>
              <w:right w:w="45" w:type="dxa"/>
            </w:tcMar>
            <w:vAlign w:val="center"/>
            <w:hideMark/>
          </w:tcPr>
          <w:p w14:paraId="74058A20"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cuatro (4) componentes de la ruta para el cambio cultural en pro de la inclusión y no discriminación de la población LGBTI en Bogotá.</w:t>
            </w:r>
          </w:p>
        </w:tc>
        <w:tc>
          <w:tcPr>
            <w:tcW w:w="295" w:type="pct"/>
            <w:vMerge w:val="restart"/>
            <w:tcMar>
              <w:top w:w="30" w:type="dxa"/>
              <w:left w:w="45" w:type="dxa"/>
              <w:bottom w:w="30" w:type="dxa"/>
              <w:right w:w="45" w:type="dxa"/>
            </w:tcMar>
            <w:vAlign w:val="center"/>
            <w:hideMark/>
          </w:tcPr>
          <w:p w14:paraId="1390D39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692" w:type="pct"/>
            <w:vMerge w:val="restart"/>
            <w:tcMar>
              <w:top w:w="30" w:type="dxa"/>
              <w:left w:w="45" w:type="dxa"/>
              <w:bottom w:w="30" w:type="dxa"/>
              <w:right w:w="45" w:type="dxa"/>
            </w:tcMar>
            <w:vAlign w:val="center"/>
            <w:hideMark/>
          </w:tcPr>
          <w:p w14:paraId="36129D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Subsecretaría de Políticas Públicas y Planeación Social y Económica (SDP)</w:t>
            </w:r>
          </w:p>
        </w:tc>
        <w:tc>
          <w:tcPr>
            <w:tcW w:w="601" w:type="pct"/>
            <w:tcMar>
              <w:top w:w="30" w:type="dxa"/>
              <w:left w:w="45" w:type="dxa"/>
              <w:bottom w:w="30" w:type="dxa"/>
              <w:right w:w="45" w:type="dxa"/>
            </w:tcMar>
            <w:vAlign w:val="center"/>
            <w:hideMark/>
          </w:tcPr>
          <w:p w14:paraId="031EE6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54" w:type="pct"/>
            <w:tcMar>
              <w:top w:w="30" w:type="dxa"/>
              <w:left w:w="45" w:type="dxa"/>
              <w:bottom w:w="30" w:type="dxa"/>
              <w:right w:w="45" w:type="dxa"/>
            </w:tcMar>
            <w:vAlign w:val="center"/>
            <w:hideMark/>
          </w:tcPr>
          <w:p w14:paraId="537C43A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07" w:type="pct"/>
            <w:tcMar>
              <w:top w:w="30" w:type="dxa"/>
              <w:left w:w="45" w:type="dxa"/>
              <w:bottom w:w="30" w:type="dxa"/>
              <w:right w:w="45" w:type="dxa"/>
            </w:tcMar>
            <w:vAlign w:val="center"/>
            <w:hideMark/>
          </w:tcPr>
          <w:p w14:paraId="613CA1D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05" w:type="pct"/>
            <w:tcMar>
              <w:top w:w="30" w:type="dxa"/>
              <w:left w:w="45" w:type="dxa"/>
              <w:bottom w:w="30" w:type="dxa"/>
              <w:right w:w="45" w:type="dxa"/>
            </w:tcMar>
            <w:vAlign w:val="center"/>
            <w:hideMark/>
          </w:tcPr>
          <w:p w14:paraId="6E1947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648" w:type="pct"/>
            <w:vMerge w:val="restart"/>
            <w:tcMar>
              <w:top w:w="30" w:type="dxa"/>
              <w:left w:w="45" w:type="dxa"/>
              <w:bottom w:w="30" w:type="dxa"/>
              <w:right w:w="45" w:type="dxa"/>
            </w:tcMar>
            <w:vAlign w:val="center"/>
            <w:hideMark/>
          </w:tcPr>
          <w:p w14:paraId="5AD4871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3.749.711.320</w:t>
            </w:r>
          </w:p>
        </w:tc>
      </w:tr>
      <w:tr w:rsidR="00856F66" w:rsidRPr="00E31657" w14:paraId="3B6C04D0" w14:textId="77777777" w:rsidTr="00F974BB">
        <w:trPr>
          <w:trHeight w:val="540"/>
        </w:trPr>
        <w:tc>
          <w:tcPr>
            <w:tcW w:w="899" w:type="pct"/>
            <w:vMerge/>
            <w:vAlign w:val="center"/>
            <w:hideMark/>
          </w:tcPr>
          <w:p w14:paraId="5023C48E" w14:textId="77777777" w:rsidR="00856F66" w:rsidRPr="00E31657" w:rsidRDefault="00856F66" w:rsidP="00B95135">
            <w:pPr>
              <w:jc w:val="right"/>
              <w:rPr>
                <w:rFonts w:cs="Arial"/>
                <w:sz w:val="16"/>
                <w:szCs w:val="16"/>
                <w:lang w:val="es-ES_tradnl" w:eastAsia="es-MX"/>
              </w:rPr>
            </w:pPr>
          </w:p>
        </w:tc>
        <w:tc>
          <w:tcPr>
            <w:tcW w:w="295" w:type="pct"/>
            <w:vMerge/>
            <w:vAlign w:val="center"/>
            <w:hideMark/>
          </w:tcPr>
          <w:p w14:paraId="07385CC6" w14:textId="77777777" w:rsidR="00856F66" w:rsidRPr="00E31657" w:rsidRDefault="00856F66" w:rsidP="00B24742">
            <w:pPr>
              <w:rPr>
                <w:rFonts w:cs="Arial"/>
                <w:sz w:val="16"/>
                <w:szCs w:val="16"/>
                <w:lang w:val="es-ES_tradnl" w:eastAsia="es-MX"/>
              </w:rPr>
            </w:pPr>
          </w:p>
        </w:tc>
        <w:tc>
          <w:tcPr>
            <w:tcW w:w="692" w:type="pct"/>
            <w:vMerge/>
            <w:vAlign w:val="center"/>
            <w:hideMark/>
          </w:tcPr>
          <w:p w14:paraId="184BBB99"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2C68A1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931.284.337</w:t>
            </w:r>
          </w:p>
        </w:tc>
        <w:tc>
          <w:tcPr>
            <w:tcW w:w="654" w:type="pct"/>
            <w:tcMar>
              <w:top w:w="30" w:type="dxa"/>
              <w:left w:w="45" w:type="dxa"/>
              <w:bottom w:w="30" w:type="dxa"/>
              <w:right w:w="45" w:type="dxa"/>
            </w:tcMar>
            <w:vAlign w:val="center"/>
            <w:hideMark/>
          </w:tcPr>
          <w:p w14:paraId="4511C29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714.733.379</w:t>
            </w:r>
          </w:p>
        </w:tc>
        <w:tc>
          <w:tcPr>
            <w:tcW w:w="607" w:type="pct"/>
            <w:tcMar>
              <w:top w:w="30" w:type="dxa"/>
              <w:left w:w="45" w:type="dxa"/>
              <w:bottom w:w="30" w:type="dxa"/>
              <w:right w:w="45" w:type="dxa"/>
            </w:tcMar>
            <w:vAlign w:val="center"/>
            <w:hideMark/>
          </w:tcPr>
          <w:p w14:paraId="556359D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944.822.701</w:t>
            </w:r>
          </w:p>
        </w:tc>
        <w:tc>
          <w:tcPr>
            <w:tcW w:w="605" w:type="pct"/>
            <w:tcMar>
              <w:top w:w="30" w:type="dxa"/>
              <w:left w:w="45" w:type="dxa"/>
              <w:bottom w:w="30" w:type="dxa"/>
              <w:right w:w="45" w:type="dxa"/>
            </w:tcMar>
            <w:vAlign w:val="center"/>
            <w:hideMark/>
          </w:tcPr>
          <w:p w14:paraId="5F7AB3B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1.158.870.904</w:t>
            </w:r>
          </w:p>
        </w:tc>
        <w:tc>
          <w:tcPr>
            <w:tcW w:w="648" w:type="pct"/>
            <w:vMerge/>
            <w:vAlign w:val="center"/>
            <w:hideMark/>
          </w:tcPr>
          <w:p w14:paraId="014E7F08" w14:textId="77777777" w:rsidR="00856F66" w:rsidRPr="00E31657" w:rsidRDefault="00856F66" w:rsidP="00B24742">
            <w:pPr>
              <w:rPr>
                <w:rFonts w:cs="Arial"/>
                <w:b/>
                <w:bCs/>
                <w:sz w:val="16"/>
                <w:szCs w:val="16"/>
                <w:lang w:val="es-ES_tradnl" w:eastAsia="es-MX"/>
              </w:rPr>
            </w:pPr>
          </w:p>
        </w:tc>
      </w:tr>
      <w:tr w:rsidR="00856F66" w:rsidRPr="00E31657" w14:paraId="7512E155" w14:textId="77777777" w:rsidTr="00F974BB">
        <w:trPr>
          <w:trHeight w:val="540"/>
        </w:trPr>
        <w:tc>
          <w:tcPr>
            <w:tcW w:w="899" w:type="pct"/>
            <w:vMerge w:val="restart"/>
            <w:tcMar>
              <w:top w:w="30" w:type="dxa"/>
              <w:left w:w="45" w:type="dxa"/>
              <w:bottom w:w="30" w:type="dxa"/>
              <w:right w:w="45" w:type="dxa"/>
            </w:tcMar>
            <w:vAlign w:val="center"/>
            <w:hideMark/>
          </w:tcPr>
          <w:p w14:paraId="3A016E2A" w14:textId="77777777" w:rsidR="00856F66" w:rsidRPr="00E31657" w:rsidRDefault="00856F66" w:rsidP="00B95135">
            <w:pPr>
              <w:jc w:val="right"/>
              <w:rPr>
                <w:rFonts w:cs="Arial"/>
                <w:sz w:val="16"/>
                <w:szCs w:val="16"/>
                <w:lang w:val="es-ES_tradnl" w:eastAsia="es-MX"/>
              </w:rPr>
            </w:pPr>
            <w:r w:rsidRPr="00E31657">
              <w:rPr>
                <w:rFonts w:cs="Arial"/>
                <w:sz w:val="16"/>
                <w:szCs w:val="16"/>
                <w:lang w:val="es-ES_tradnl" w:eastAsia="es-MX"/>
              </w:rPr>
              <w:t>Implementar un (1) modelo de seguimiento y rectoría para las políticas públicas en materia de población vulnerable y desarrollo rural a cargo de la SDP.</w:t>
            </w:r>
          </w:p>
        </w:tc>
        <w:tc>
          <w:tcPr>
            <w:tcW w:w="295" w:type="pct"/>
            <w:vMerge w:val="restart"/>
            <w:tcMar>
              <w:top w:w="30" w:type="dxa"/>
              <w:left w:w="45" w:type="dxa"/>
              <w:bottom w:w="30" w:type="dxa"/>
              <w:right w:w="45" w:type="dxa"/>
            </w:tcMar>
            <w:vAlign w:val="center"/>
            <w:hideMark/>
          </w:tcPr>
          <w:p w14:paraId="63EC14F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92" w:type="pct"/>
            <w:vMerge w:val="restart"/>
            <w:tcMar>
              <w:top w:w="30" w:type="dxa"/>
              <w:left w:w="45" w:type="dxa"/>
              <w:bottom w:w="30" w:type="dxa"/>
              <w:right w:w="45" w:type="dxa"/>
            </w:tcMar>
            <w:vAlign w:val="center"/>
            <w:hideMark/>
          </w:tcPr>
          <w:p w14:paraId="72ECAA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01" w:type="pct"/>
            <w:tcMar>
              <w:top w:w="30" w:type="dxa"/>
              <w:left w:w="45" w:type="dxa"/>
              <w:bottom w:w="30" w:type="dxa"/>
              <w:right w:w="45" w:type="dxa"/>
            </w:tcMar>
            <w:vAlign w:val="center"/>
            <w:hideMark/>
          </w:tcPr>
          <w:p w14:paraId="7C505D7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54" w:type="pct"/>
            <w:tcMar>
              <w:top w:w="30" w:type="dxa"/>
              <w:left w:w="45" w:type="dxa"/>
              <w:bottom w:w="30" w:type="dxa"/>
              <w:right w:w="45" w:type="dxa"/>
            </w:tcMar>
            <w:vAlign w:val="center"/>
            <w:hideMark/>
          </w:tcPr>
          <w:p w14:paraId="321E9A8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607" w:type="pct"/>
            <w:tcMar>
              <w:top w:w="30" w:type="dxa"/>
              <w:left w:w="45" w:type="dxa"/>
              <w:bottom w:w="30" w:type="dxa"/>
              <w:right w:w="45" w:type="dxa"/>
            </w:tcMar>
            <w:vAlign w:val="center"/>
            <w:hideMark/>
          </w:tcPr>
          <w:p w14:paraId="5B1B60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605" w:type="pct"/>
            <w:tcMar>
              <w:top w:w="30" w:type="dxa"/>
              <w:left w:w="45" w:type="dxa"/>
              <w:bottom w:w="30" w:type="dxa"/>
              <w:right w:w="45" w:type="dxa"/>
            </w:tcMar>
            <w:vAlign w:val="center"/>
            <w:hideMark/>
          </w:tcPr>
          <w:p w14:paraId="445D429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648" w:type="pct"/>
            <w:vMerge w:val="restart"/>
            <w:tcMar>
              <w:top w:w="30" w:type="dxa"/>
              <w:left w:w="45" w:type="dxa"/>
              <w:bottom w:w="30" w:type="dxa"/>
              <w:right w:w="45" w:type="dxa"/>
            </w:tcMar>
            <w:vAlign w:val="center"/>
            <w:hideMark/>
          </w:tcPr>
          <w:p w14:paraId="48D02B1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10.823.373.968</w:t>
            </w:r>
          </w:p>
        </w:tc>
      </w:tr>
      <w:tr w:rsidR="00856F66" w:rsidRPr="00E31657" w14:paraId="3E71CBB0" w14:textId="77777777" w:rsidTr="00F974BB">
        <w:trPr>
          <w:trHeight w:val="540"/>
        </w:trPr>
        <w:tc>
          <w:tcPr>
            <w:tcW w:w="899" w:type="pct"/>
            <w:vMerge/>
            <w:vAlign w:val="center"/>
            <w:hideMark/>
          </w:tcPr>
          <w:p w14:paraId="705B65FF" w14:textId="77777777" w:rsidR="00856F66" w:rsidRPr="00E31657" w:rsidRDefault="00856F66" w:rsidP="00B24742">
            <w:pPr>
              <w:rPr>
                <w:rFonts w:cs="Arial"/>
                <w:sz w:val="16"/>
                <w:szCs w:val="16"/>
                <w:lang w:val="es-ES_tradnl" w:eastAsia="es-MX"/>
              </w:rPr>
            </w:pPr>
          </w:p>
        </w:tc>
        <w:tc>
          <w:tcPr>
            <w:tcW w:w="295" w:type="pct"/>
            <w:vMerge/>
            <w:vAlign w:val="center"/>
            <w:hideMark/>
          </w:tcPr>
          <w:p w14:paraId="7D64EC08" w14:textId="77777777" w:rsidR="00856F66" w:rsidRPr="00E31657" w:rsidRDefault="00856F66" w:rsidP="00B24742">
            <w:pPr>
              <w:rPr>
                <w:rFonts w:cs="Arial"/>
                <w:sz w:val="16"/>
                <w:szCs w:val="16"/>
                <w:lang w:val="es-ES_tradnl" w:eastAsia="es-MX"/>
              </w:rPr>
            </w:pPr>
          </w:p>
        </w:tc>
        <w:tc>
          <w:tcPr>
            <w:tcW w:w="692" w:type="pct"/>
            <w:vMerge/>
            <w:vAlign w:val="center"/>
            <w:hideMark/>
          </w:tcPr>
          <w:p w14:paraId="23BFED9D" w14:textId="77777777" w:rsidR="00856F66" w:rsidRPr="00E31657" w:rsidRDefault="00856F66" w:rsidP="00B24742">
            <w:pPr>
              <w:rPr>
                <w:rFonts w:cs="Arial"/>
                <w:sz w:val="16"/>
                <w:szCs w:val="16"/>
                <w:lang w:val="es-ES_tradnl" w:eastAsia="es-MX"/>
              </w:rPr>
            </w:pPr>
          </w:p>
        </w:tc>
        <w:tc>
          <w:tcPr>
            <w:tcW w:w="601" w:type="pct"/>
            <w:tcMar>
              <w:top w:w="30" w:type="dxa"/>
              <w:left w:w="45" w:type="dxa"/>
              <w:bottom w:w="30" w:type="dxa"/>
              <w:right w:w="45" w:type="dxa"/>
            </w:tcMar>
            <w:vAlign w:val="center"/>
            <w:hideMark/>
          </w:tcPr>
          <w:p w14:paraId="150B59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2.882.852.377</w:t>
            </w:r>
          </w:p>
        </w:tc>
        <w:tc>
          <w:tcPr>
            <w:tcW w:w="654" w:type="pct"/>
            <w:tcMar>
              <w:top w:w="30" w:type="dxa"/>
              <w:left w:w="45" w:type="dxa"/>
              <w:bottom w:w="30" w:type="dxa"/>
              <w:right w:w="45" w:type="dxa"/>
            </w:tcMar>
            <w:vAlign w:val="center"/>
            <w:hideMark/>
          </w:tcPr>
          <w:p w14:paraId="6F758FE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2.252.906.437</w:t>
            </w:r>
          </w:p>
        </w:tc>
        <w:tc>
          <w:tcPr>
            <w:tcW w:w="607" w:type="pct"/>
            <w:tcMar>
              <w:top w:w="30" w:type="dxa"/>
              <w:left w:w="45" w:type="dxa"/>
              <w:bottom w:w="30" w:type="dxa"/>
              <w:right w:w="45" w:type="dxa"/>
            </w:tcMar>
            <w:vAlign w:val="center"/>
            <w:hideMark/>
          </w:tcPr>
          <w:p w14:paraId="0C1EECF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2.671.579.096</w:t>
            </w:r>
          </w:p>
        </w:tc>
        <w:tc>
          <w:tcPr>
            <w:tcW w:w="605" w:type="pct"/>
            <w:tcMar>
              <w:top w:w="30" w:type="dxa"/>
              <w:left w:w="45" w:type="dxa"/>
              <w:bottom w:w="30" w:type="dxa"/>
              <w:right w:w="45" w:type="dxa"/>
            </w:tcMar>
            <w:vAlign w:val="center"/>
            <w:hideMark/>
          </w:tcPr>
          <w:p w14:paraId="197645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3.016.036.058</w:t>
            </w:r>
          </w:p>
        </w:tc>
        <w:tc>
          <w:tcPr>
            <w:tcW w:w="648" w:type="pct"/>
            <w:vMerge/>
            <w:vAlign w:val="center"/>
            <w:hideMark/>
          </w:tcPr>
          <w:p w14:paraId="69535F09" w14:textId="77777777" w:rsidR="00856F66" w:rsidRPr="00E31657" w:rsidRDefault="00856F66" w:rsidP="00B24742">
            <w:pPr>
              <w:rPr>
                <w:rFonts w:cs="Arial"/>
                <w:b/>
                <w:bCs/>
                <w:sz w:val="16"/>
                <w:szCs w:val="16"/>
                <w:lang w:val="es-ES_tradnl" w:eastAsia="es-MX"/>
              </w:rPr>
            </w:pPr>
          </w:p>
        </w:tc>
      </w:tr>
    </w:tbl>
    <w:p w14:paraId="2E9FFC99" w14:textId="77777777" w:rsidR="00856F66" w:rsidRDefault="00856F66">
      <w:pPr>
        <w:rPr>
          <w:sz w:val="16"/>
          <w:szCs w:val="16"/>
          <w:lang w:val="es-ES_tradnl"/>
        </w:rPr>
      </w:pPr>
    </w:p>
    <w:p w14:paraId="41E189D4" w14:textId="77777777" w:rsidR="00856F66" w:rsidRPr="00E31657" w:rsidRDefault="00856F66">
      <w:pPr>
        <w:rPr>
          <w:sz w:val="16"/>
          <w:szCs w:val="16"/>
          <w:lang w:val="es-ES_tradnl"/>
        </w:rPr>
      </w:pPr>
    </w:p>
    <w:tbl>
      <w:tblPr>
        <w:tblW w:w="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166"/>
        <w:gridCol w:w="655"/>
        <w:gridCol w:w="1050"/>
        <w:gridCol w:w="1086"/>
        <w:gridCol w:w="1095"/>
        <w:gridCol w:w="1114"/>
        <w:gridCol w:w="1093"/>
        <w:gridCol w:w="1101"/>
      </w:tblGrid>
      <w:tr w:rsidR="00856F66" w:rsidRPr="00E31657" w14:paraId="0CC8BD78" w14:textId="77777777" w:rsidTr="00F974BB">
        <w:trPr>
          <w:trHeight w:val="315"/>
        </w:trPr>
        <w:tc>
          <w:tcPr>
            <w:tcW w:w="0" w:type="auto"/>
            <w:gridSpan w:val="8"/>
            <w:tcMar>
              <w:top w:w="30" w:type="dxa"/>
              <w:left w:w="45" w:type="dxa"/>
              <w:bottom w:w="30" w:type="dxa"/>
              <w:right w:w="45" w:type="dxa"/>
            </w:tcMar>
            <w:vAlign w:val="center"/>
            <w:hideMark/>
          </w:tcPr>
          <w:p w14:paraId="047161FC" w14:textId="77777777" w:rsidR="00856F66" w:rsidRPr="00E31657" w:rsidRDefault="00856F66" w:rsidP="00B24742">
            <w:pPr>
              <w:jc w:val="center"/>
              <w:rPr>
                <w:rFonts w:cs="Arial"/>
                <w:b/>
                <w:bCs/>
                <w:sz w:val="16"/>
                <w:szCs w:val="16"/>
                <w:lang w:val="es-ES_tradnl" w:eastAsia="es-MX"/>
              </w:rPr>
            </w:pPr>
            <w:r w:rsidRPr="00E31657">
              <w:rPr>
                <w:rFonts w:cs="Arial"/>
                <w:b/>
                <w:bCs/>
                <w:color w:val="C00000"/>
                <w:lang w:val="es-ES_tradnl" w:eastAsia="es-MX"/>
              </w:rPr>
              <w:t xml:space="preserve">Programa 13. </w:t>
            </w:r>
            <w:r w:rsidRPr="00E31657">
              <w:rPr>
                <w:rFonts w:cs="Arial"/>
                <w:lang w:val="es-ES_tradnl" w:eastAsia="es-MX"/>
              </w:rPr>
              <w:t>Bogotá, un territorio de paz y reconciliación en donde todos puedan volver a empezar</w:t>
            </w:r>
          </w:p>
        </w:tc>
      </w:tr>
      <w:tr w:rsidR="00856F66" w:rsidRPr="00E31657" w14:paraId="2B3EE944" w14:textId="77777777" w:rsidTr="00F974BB">
        <w:trPr>
          <w:trHeight w:val="315"/>
        </w:trPr>
        <w:tc>
          <w:tcPr>
            <w:tcW w:w="0" w:type="auto"/>
            <w:vMerge w:val="restart"/>
            <w:shd w:val="clear" w:color="auto" w:fill="C00000"/>
            <w:tcMar>
              <w:top w:w="30" w:type="dxa"/>
              <w:left w:w="45" w:type="dxa"/>
              <w:bottom w:w="30" w:type="dxa"/>
              <w:right w:w="45" w:type="dxa"/>
            </w:tcMar>
            <w:vAlign w:val="center"/>
            <w:hideMark/>
          </w:tcPr>
          <w:p w14:paraId="0C194B8F"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417471CF" w14:textId="77777777" w:rsidR="00856F66" w:rsidRPr="00E31657" w:rsidRDefault="00856F66" w:rsidP="000064A0">
            <w:pPr>
              <w:pStyle w:val="Ttulo"/>
              <w:jc w:val="center"/>
              <w:rPr>
                <w:lang w:val="es-ES_tradnl"/>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5F26F7F8" w14:textId="77777777" w:rsidTr="00F974BB">
        <w:trPr>
          <w:trHeight w:val="315"/>
        </w:trPr>
        <w:tc>
          <w:tcPr>
            <w:tcW w:w="0" w:type="auto"/>
            <w:vMerge/>
            <w:shd w:val="clear" w:color="auto" w:fill="C00000"/>
            <w:vAlign w:val="center"/>
            <w:hideMark/>
          </w:tcPr>
          <w:p w14:paraId="2787B217" w14:textId="77777777" w:rsidR="00856F66" w:rsidRPr="00E31657" w:rsidRDefault="00856F66" w:rsidP="00B2474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1BC7F4C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Línea de Base </w:t>
            </w:r>
            <w:r w:rsidRPr="00E31657">
              <w:rPr>
                <w:rFonts w:cs="Arial"/>
                <w:b/>
                <w:bCs/>
                <w:sz w:val="16"/>
                <w:szCs w:val="16"/>
                <w:lang w:val="es-ES_tradnl" w:eastAsia="es-MX"/>
              </w:rPr>
              <w:lastRenderedPageBreak/>
              <w:t>/</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6106104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lastRenderedPageBreak/>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40ABE83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1DF826B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53F26F8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16ACA21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77D2703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2B47EDEE"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7503BBC8" w14:textId="77777777" w:rsidR="00856F66" w:rsidRPr="00E31657" w:rsidRDefault="00856F66" w:rsidP="000064A0">
            <w:pPr>
              <w:pStyle w:val="Ttulo"/>
              <w:jc w:val="center"/>
              <w:rPr>
                <w:lang w:val="es-ES_tradnl"/>
              </w:rPr>
            </w:pPr>
            <w:r w:rsidRPr="000064A0">
              <w:rPr>
                <w:rFonts w:ascii="Candara" w:eastAsia="Times New Roman" w:hAnsi="Candara"/>
                <w:b/>
                <w:bCs/>
                <w:color w:val="FFFFFF" w:themeColor="background1"/>
                <w:sz w:val="24"/>
                <w:szCs w:val="24"/>
                <w:lang w:val="es-ES_tradnl" w:eastAsia="es-MX"/>
              </w:rPr>
              <w:t>Gestión pública</w:t>
            </w:r>
          </w:p>
        </w:tc>
      </w:tr>
      <w:tr w:rsidR="00856F66" w:rsidRPr="00E31657" w14:paraId="17E59010" w14:textId="77777777" w:rsidTr="00F974BB">
        <w:trPr>
          <w:trHeight w:val="720"/>
        </w:trPr>
        <w:tc>
          <w:tcPr>
            <w:tcW w:w="0" w:type="auto"/>
            <w:vMerge w:val="restart"/>
            <w:tcMar>
              <w:top w:w="30" w:type="dxa"/>
              <w:left w:w="45" w:type="dxa"/>
              <w:bottom w:w="30" w:type="dxa"/>
              <w:right w:w="45" w:type="dxa"/>
            </w:tcMar>
            <w:vAlign w:val="center"/>
            <w:hideMark/>
          </w:tcPr>
          <w:p w14:paraId="017F8A1F"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Consolidar 1 modelo de integración de servicios institucionales a nivel territorial para las víctimas del conflicto orientado a la reparación integral y a la superación de su condición de vulnerabilidad conforme a las competencias del Distrito.</w:t>
            </w:r>
          </w:p>
        </w:tc>
        <w:tc>
          <w:tcPr>
            <w:tcW w:w="0" w:type="auto"/>
            <w:vMerge w:val="restart"/>
            <w:tcMar>
              <w:top w:w="30" w:type="dxa"/>
              <w:left w:w="45" w:type="dxa"/>
              <w:bottom w:w="30" w:type="dxa"/>
              <w:right w:w="45" w:type="dxa"/>
            </w:tcMar>
            <w:vAlign w:val="center"/>
            <w:hideMark/>
          </w:tcPr>
          <w:p w14:paraId="14E285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5132035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06B64DB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1ACF933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284F478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w:t>
            </w:r>
          </w:p>
        </w:tc>
        <w:tc>
          <w:tcPr>
            <w:tcW w:w="0" w:type="auto"/>
            <w:tcMar>
              <w:top w:w="30" w:type="dxa"/>
              <w:left w:w="45" w:type="dxa"/>
              <w:bottom w:w="30" w:type="dxa"/>
              <w:right w:w="45" w:type="dxa"/>
            </w:tcMar>
            <w:vAlign w:val="center"/>
            <w:hideMark/>
          </w:tcPr>
          <w:p w14:paraId="0477AF6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w:t>
            </w:r>
          </w:p>
        </w:tc>
        <w:tc>
          <w:tcPr>
            <w:tcW w:w="0" w:type="auto"/>
            <w:vMerge w:val="restart"/>
            <w:tcMar>
              <w:top w:w="30" w:type="dxa"/>
              <w:left w:w="45" w:type="dxa"/>
              <w:bottom w:w="30" w:type="dxa"/>
              <w:right w:w="45" w:type="dxa"/>
            </w:tcMar>
            <w:vAlign w:val="center"/>
            <w:hideMark/>
          </w:tcPr>
          <w:p w14:paraId="7E90E67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2.332.280.298</w:t>
            </w:r>
          </w:p>
        </w:tc>
      </w:tr>
      <w:tr w:rsidR="00856F66" w:rsidRPr="00E31657" w14:paraId="40515C57" w14:textId="77777777" w:rsidTr="00F974BB">
        <w:trPr>
          <w:trHeight w:val="720"/>
        </w:trPr>
        <w:tc>
          <w:tcPr>
            <w:tcW w:w="0" w:type="auto"/>
            <w:vMerge/>
            <w:vAlign w:val="center"/>
            <w:hideMark/>
          </w:tcPr>
          <w:p w14:paraId="5CD477F9" w14:textId="77777777" w:rsidR="00856F66" w:rsidRPr="00E31657" w:rsidRDefault="00856F66" w:rsidP="00C3771A">
            <w:pPr>
              <w:jc w:val="right"/>
              <w:rPr>
                <w:rFonts w:cs="Arial"/>
                <w:sz w:val="16"/>
                <w:szCs w:val="16"/>
                <w:lang w:val="es-ES_tradnl" w:eastAsia="es-MX"/>
              </w:rPr>
            </w:pPr>
          </w:p>
        </w:tc>
        <w:tc>
          <w:tcPr>
            <w:tcW w:w="0" w:type="auto"/>
            <w:vMerge/>
            <w:vAlign w:val="center"/>
            <w:hideMark/>
          </w:tcPr>
          <w:p w14:paraId="5E0B7435" w14:textId="77777777" w:rsidR="00856F66" w:rsidRPr="00E31657" w:rsidRDefault="00856F66" w:rsidP="00B24742">
            <w:pPr>
              <w:rPr>
                <w:rFonts w:cs="Arial"/>
                <w:sz w:val="16"/>
                <w:szCs w:val="16"/>
                <w:lang w:val="es-ES_tradnl" w:eastAsia="es-MX"/>
              </w:rPr>
            </w:pPr>
          </w:p>
        </w:tc>
        <w:tc>
          <w:tcPr>
            <w:tcW w:w="0" w:type="auto"/>
            <w:vMerge/>
            <w:vAlign w:val="center"/>
            <w:hideMark/>
          </w:tcPr>
          <w:p w14:paraId="7875EC8B"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5F0081C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480.868.637</w:t>
            </w:r>
          </w:p>
        </w:tc>
        <w:tc>
          <w:tcPr>
            <w:tcW w:w="0" w:type="auto"/>
            <w:tcMar>
              <w:top w:w="30" w:type="dxa"/>
              <w:left w:w="45" w:type="dxa"/>
              <w:bottom w:w="30" w:type="dxa"/>
              <w:right w:w="45" w:type="dxa"/>
            </w:tcMar>
            <w:vAlign w:val="center"/>
            <w:hideMark/>
          </w:tcPr>
          <w:p w14:paraId="317FEE7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673.607.458</w:t>
            </w:r>
          </w:p>
        </w:tc>
        <w:tc>
          <w:tcPr>
            <w:tcW w:w="0" w:type="auto"/>
            <w:tcMar>
              <w:top w:w="30" w:type="dxa"/>
              <w:left w:w="45" w:type="dxa"/>
              <w:bottom w:w="30" w:type="dxa"/>
              <w:right w:w="45" w:type="dxa"/>
            </w:tcMar>
            <w:vAlign w:val="center"/>
            <w:hideMark/>
          </w:tcPr>
          <w:p w14:paraId="13EB002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620.731.158</w:t>
            </w:r>
          </w:p>
        </w:tc>
        <w:tc>
          <w:tcPr>
            <w:tcW w:w="0" w:type="auto"/>
            <w:tcMar>
              <w:top w:w="30" w:type="dxa"/>
              <w:left w:w="45" w:type="dxa"/>
              <w:bottom w:w="30" w:type="dxa"/>
              <w:right w:w="45" w:type="dxa"/>
            </w:tcMar>
            <w:vAlign w:val="center"/>
            <w:hideMark/>
          </w:tcPr>
          <w:p w14:paraId="39728EB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557.073.044</w:t>
            </w:r>
          </w:p>
        </w:tc>
        <w:tc>
          <w:tcPr>
            <w:tcW w:w="0" w:type="auto"/>
            <w:vMerge/>
            <w:vAlign w:val="center"/>
            <w:hideMark/>
          </w:tcPr>
          <w:p w14:paraId="7ADB0B67" w14:textId="77777777" w:rsidR="00856F66" w:rsidRPr="00E31657" w:rsidRDefault="00856F66" w:rsidP="00B24742">
            <w:pPr>
              <w:rPr>
                <w:rFonts w:cs="Arial"/>
                <w:b/>
                <w:bCs/>
                <w:sz w:val="16"/>
                <w:szCs w:val="16"/>
                <w:lang w:val="es-ES_tradnl" w:eastAsia="es-MX"/>
              </w:rPr>
            </w:pPr>
          </w:p>
        </w:tc>
      </w:tr>
      <w:tr w:rsidR="00856F66" w:rsidRPr="00E31657" w14:paraId="41E90517" w14:textId="77777777" w:rsidTr="00F974BB">
        <w:trPr>
          <w:trHeight w:val="720"/>
        </w:trPr>
        <w:tc>
          <w:tcPr>
            <w:tcW w:w="0" w:type="auto"/>
            <w:vMerge w:val="restart"/>
            <w:tcMar>
              <w:top w:w="30" w:type="dxa"/>
              <w:left w:w="45" w:type="dxa"/>
              <w:bottom w:w="30" w:type="dxa"/>
              <w:right w:w="45" w:type="dxa"/>
            </w:tcMar>
            <w:vAlign w:val="center"/>
            <w:hideMark/>
          </w:tcPr>
          <w:p w14:paraId="0C503B11"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Desarrollar 81 procesos de investigación memoria y verdad como aporte a la reconciliación en Bogotá.</w:t>
            </w:r>
          </w:p>
        </w:tc>
        <w:tc>
          <w:tcPr>
            <w:tcW w:w="0" w:type="auto"/>
            <w:vMerge w:val="restart"/>
            <w:tcMar>
              <w:top w:w="30" w:type="dxa"/>
              <w:left w:w="45" w:type="dxa"/>
              <w:bottom w:w="30" w:type="dxa"/>
              <w:right w:w="45" w:type="dxa"/>
            </w:tcMar>
            <w:vAlign w:val="center"/>
            <w:hideMark/>
          </w:tcPr>
          <w:p w14:paraId="7CF6BD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20C7952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SGRAL</w:t>
            </w:r>
          </w:p>
        </w:tc>
        <w:tc>
          <w:tcPr>
            <w:tcW w:w="0" w:type="auto"/>
            <w:tcMar>
              <w:top w:w="30" w:type="dxa"/>
              <w:left w:w="45" w:type="dxa"/>
              <w:bottom w:w="30" w:type="dxa"/>
              <w:right w:w="45" w:type="dxa"/>
            </w:tcMar>
            <w:vAlign w:val="center"/>
            <w:hideMark/>
          </w:tcPr>
          <w:p w14:paraId="23B0A1C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4A3A144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31288CE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7BB1909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w:t>
            </w:r>
          </w:p>
        </w:tc>
        <w:tc>
          <w:tcPr>
            <w:tcW w:w="0" w:type="auto"/>
            <w:vMerge w:val="restart"/>
            <w:tcMar>
              <w:top w:w="30" w:type="dxa"/>
              <w:left w:w="45" w:type="dxa"/>
              <w:bottom w:w="30" w:type="dxa"/>
              <w:right w:w="45" w:type="dxa"/>
            </w:tcMar>
            <w:vAlign w:val="center"/>
            <w:hideMark/>
          </w:tcPr>
          <w:p w14:paraId="6603FC0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8.052.448.723</w:t>
            </w:r>
          </w:p>
        </w:tc>
      </w:tr>
      <w:tr w:rsidR="00856F66" w:rsidRPr="00E31657" w14:paraId="17A2B36D" w14:textId="77777777" w:rsidTr="00F974BB">
        <w:trPr>
          <w:trHeight w:val="720"/>
        </w:trPr>
        <w:tc>
          <w:tcPr>
            <w:tcW w:w="0" w:type="auto"/>
            <w:vMerge/>
            <w:vAlign w:val="center"/>
            <w:hideMark/>
          </w:tcPr>
          <w:p w14:paraId="23752E0E" w14:textId="77777777" w:rsidR="00856F66" w:rsidRPr="00E31657" w:rsidRDefault="00856F66" w:rsidP="00C3771A">
            <w:pPr>
              <w:jc w:val="right"/>
              <w:rPr>
                <w:rFonts w:cs="Arial"/>
                <w:sz w:val="16"/>
                <w:szCs w:val="16"/>
                <w:lang w:val="es-ES_tradnl" w:eastAsia="es-MX"/>
              </w:rPr>
            </w:pPr>
          </w:p>
        </w:tc>
        <w:tc>
          <w:tcPr>
            <w:tcW w:w="0" w:type="auto"/>
            <w:vMerge/>
            <w:vAlign w:val="center"/>
            <w:hideMark/>
          </w:tcPr>
          <w:p w14:paraId="61749BBC" w14:textId="77777777" w:rsidR="00856F66" w:rsidRPr="00E31657" w:rsidRDefault="00856F66" w:rsidP="00B24742">
            <w:pPr>
              <w:rPr>
                <w:rFonts w:cs="Arial"/>
                <w:sz w:val="16"/>
                <w:szCs w:val="16"/>
                <w:lang w:val="es-ES_tradnl" w:eastAsia="es-MX"/>
              </w:rPr>
            </w:pPr>
          </w:p>
        </w:tc>
        <w:tc>
          <w:tcPr>
            <w:tcW w:w="0" w:type="auto"/>
            <w:vMerge/>
            <w:vAlign w:val="center"/>
            <w:hideMark/>
          </w:tcPr>
          <w:p w14:paraId="51877488"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548E5B3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1.496.577.246</w:t>
            </w:r>
          </w:p>
        </w:tc>
        <w:tc>
          <w:tcPr>
            <w:tcW w:w="0" w:type="auto"/>
            <w:tcMar>
              <w:top w:w="30" w:type="dxa"/>
              <w:left w:w="45" w:type="dxa"/>
              <w:bottom w:w="30" w:type="dxa"/>
              <w:right w:w="45" w:type="dxa"/>
            </w:tcMar>
            <w:vAlign w:val="center"/>
            <w:hideMark/>
          </w:tcPr>
          <w:p w14:paraId="744D8C8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2.043.375.864</w:t>
            </w:r>
          </w:p>
        </w:tc>
        <w:tc>
          <w:tcPr>
            <w:tcW w:w="0" w:type="auto"/>
            <w:tcMar>
              <w:top w:w="30" w:type="dxa"/>
              <w:left w:w="45" w:type="dxa"/>
              <w:bottom w:w="30" w:type="dxa"/>
              <w:right w:w="45" w:type="dxa"/>
            </w:tcMar>
            <w:vAlign w:val="center"/>
            <w:hideMark/>
          </w:tcPr>
          <w:p w14:paraId="5E15823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2.256.247.807</w:t>
            </w:r>
          </w:p>
        </w:tc>
        <w:tc>
          <w:tcPr>
            <w:tcW w:w="0" w:type="auto"/>
            <w:tcMar>
              <w:top w:w="30" w:type="dxa"/>
              <w:left w:w="45" w:type="dxa"/>
              <w:bottom w:w="30" w:type="dxa"/>
              <w:right w:w="45" w:type="dxa"/>
            </w:tcMar>
            <w:vAlign w:val="center"/>
            <w:hideMark/>
          </w:tcPr>
          <w:p w14:paraId="7A3264F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2.256.247.807</w:t>
            </w:r>
          </w:p>
        </w:tc>
        <w:tc>
          <w:tcPr>
            <w:tcW w:w="0" w:type="auto"/>
            <w:vMerge/>
            <w:vAlign w:val="center"/>
            <w:hideMark/>
          </w:tcPr>
          <w:p w14:paraId="7A57DC13" w14:textId="77777777" w:rsidR="00856F66" w:rsidRPr="00E31657" w:rsidRDefault="00856F66" w:rsidP="00B24742">
            <w:pPr>
              <w:rPr>
                <w:rFonts w:cs="Arial"/>
                <w:b/>
                <w:bCs/>
                <w:sz w:val="16"/>
                <w:szCs w:val="16"/>
                <w:lang w:val="es-ES_tradnl" w:eastAsia="es-MX"/>
              </w:rPr>
            </w:pPr>
          </w:p>
        </w:tc>
      </w:tr>
      <w:tr w:rsidR="00856F66" w:rsidRPr="00E31657" w14:paraId="7F2C435D" w14:textId="77777777" w:rsidTr="00F974BB">
        <w:trPr>
          <w:trHeight w:val="720"/>
        </w:trPr>
        <w:tc>
          <w:tcPr>
            <w:tcW w:w="0" w:type="auto"/>
            <w:vMerge w:val="restart"/>
            <w:tcMar>
              <w:top w:w="30" w:type="dxa"/>
              <w:left w:w="45" w:type="dxa"/>
              <w:bottom w:w="30" w:type="dxa"/>
              <w:right w:w="45" w:type="dxa"/>
            </w:tcMar>
            <w:vAlign w:val="center"/>
            <w:hideMark/>
          </w:tcPr>
          <w:p w14:paraId="57CA0D13"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Implementar 1 ruta distrital en alianza con el sector privado para la inclusión laboral y sostenibilidad económica de personas en proceso de reincorporación reintegración personas que hayan culminado la ruta de reintegración o comparecientes ante la JEP</w:t>
            </w:r>
          </w:p>
        </w:tc>
        <w:tc>
          <w:tcPr>
            <w:tcW w:w="0" w:type="auto"/>
            <w:vMerge w:val="restart"/>
            <w:tcMar>
              <w:top w:w="30" w:type="dxa"/>
              <w:left w:w="45" w:type="dxa"/>
              <w:bottom w:w="30" w:type="dxa"/>
              <w:right w:w="45" w:type="dxa"/>
            </w:tcMar>
            <w:vAlign w:val="center"/>
            <w:hideMark/>
          </w:tcPr>
          <w:p w14:paraId="7D647F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1385A7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096ADB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0" w:type="auto"/>
            <w:tcMar>
              <w:top w:w="30" w:type="dxa"/>
              <w:left w:w="45" w:type="dxa"/>
              <w:bottom w:w="30" w:type="dxa"/>
              <w:right w:w="45" w:type="dxa"/>
            </w:tcMar>
            <w:vAlign w:val="center"/>
            <w:hideMark/>
          </w:tcPr>
          <w:p w14:paraId="63844C5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0" w:type="auto"/>
            <w:tcMar>
              <w:top w:w="30" w:type="dxa"/>
              <w:left w:w="45" w:type="dxa"/>
              <w:bottom w:w="30" w:type="dxa"/>
              <w:right w:w="45" w:type="dxa"/>
            </w:tcMar>
            <w:vAlign w:val="center"/>
            <w:hideMark/>
          </w:tcPr>
          <w:p w14:paraId="6570C03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318B542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0" w:type="auto"/>
            <w:vMerge w:val="restart"/>
            <w:tcMar>
              <w:top w:w="30" w:type="dxa"/>
              <w:left w:w="45" w:type="dxa"/>
              <w:bottom w:w="30" w:type="dxa"/>
              <w:right w:w="45" w:type="dxa"/>
            </w:tcMar>
            <w:vAlign w:val="center"/>
            <w:hideMark/>
          </w:tcPr>
          <w:p w14:paraId="49272E6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790.355.198</w:t>
            </w:r>
          </w:p>
        </w:tc>
      </w:tr>
      <w:tr w:rsidR="00856F66" w:rsidRPr="00E31657" w14:paraId="30D066CA" w14:textId="77777777" w:rsidTr="00F974BB">
        <w:trPr>
          <w:trHeight w:val="720"/>
        </w:trPr>
        <w:tc>
          <w:tcPr>
            <w:tcW w:w="0" w:type="auto"/>
            <w:vMerge/>
            <w:vAlign w:val="center"/>
            <w:hideMark/>
          </w:tcPr>
          <w:p w14:paraId="60214317" w14:textId="77777777" w:rsidR="00856F66" w:rsidRPr="00E31657" w:rsidRDefault="00856F66" w:rsidP="00C3771A">
            <w:pPr>
              <w:jc w:val="right"/>
              <w:rPr>
                <w:rFonts w:cs="Arial"/>
                <w:sz w:val="16"/>
                <w:szCs w:val="16"/>
                <w:lang w:val="es-ES_tradnl" w:eastAsia="es-MX"/>
              </w:rPr>
            </w:pPr>
          </w:p>
        </w:tc>
        <w:tc>
          <w:tcPr>
            <w:tcW w:w="0" w:type="auto"/>
            <w:vMerge/>
            <w:vAlign w:val="center"/>
            <w:hideMark/>
          </w:tcPr>
          <w:p w14:paraId="7717B061" w14:textId="77777777" w:rsidR="00856F66" w:rsidRPr="00E31657" w:rsidRDefault="00856F66" w:rsidP="00B24742">
            <w:pPr>
              <w:rPr>
                <w:rFonts w:cs="Arial"/>
                <w:sz w:val="16"/>
                <w:szCs w:val="16"/>
                <w:lang w:val="es-ES_tradnl" w:eastAsia="es-MX"/>
              </w:rPr>
            </w:pPr>
          </w:p>
        </w:tc>
        <w:tc>
          <w:tcPr>
            <w:tcW w:w="0" w:type="auto"/>
            <w:vMerge/>
            <w:vAlign w:val="center"/>
            <w:hideMark/>
          </w:tcPr>
          <w:p w14:paraId="62D67013"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579666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164.563.933</w:t>
            </w:r>
          </w:p>
        </w:tc>
        <w:tc>
          <w:tcPr>
            <w:tcW w:w="0" w:type="auto"/>
            <w:tcMar>
              <w:top w:w="30" w:type="dxa"/>
              <w:left w:w="45" w:type="dxa"/>
              <w:bottom w:w="30" w:type="dxa"/>
              <w:right w:w="45" w:type="dxa"/>
            </w:tcMar>
            <w:vAlign w:val="center"/>
            <w:hideMark/>
          </w:tcPr>
          <w:p w14:paraId="3FD55F0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207.158.021</w:t>
            </w:r>
          </w:p>
        </w:tc>
        <w:tc>
          <w:tcPr>
            <w:tcW w:w="0" w:type="auto"/>
            <w:tcMar>
              <w:top w:w="30" w:type="dxa"/>
              <w:left w:w="45" w:type="dxa"/>
              <w:bottom w:w="30" w:type="dxa"/>
              <w:right w:w="45" w:type="dxa"/>
            </w:tcMar>
            <w:vAlign w:val="center"/>
            <w:hideMark/>
          </w:tcPr>
          <w:p w14:paraId="77AA8D3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209.321.564</w:t>
            </w:r>
          </w:p>
        </w:tc>
        <w:tc>
          <w:tcPr>
            <w:tcW w:w="0" w:type="auto"/>
            <w:tcMar>
              <w:top w:w="30" w:type="dxa"/>
              <w:left w:w="45" w:type="dxa"/>
              <w:bottom w:w="30" w:type="dxa"/>
              <w:right w:w="45" w:type="dxa"/>
            </w:tcMar>
            <w:vAlign w:val="center"/>
            <w:hideMark/>
          </w:tcPr>
          <w:p w14:paraId="64F9623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209.311.680</w:t>
            </w:r>
          </w:p>
        </w:tc>
        <w:tc>
          <w:tcPr>
            <w:tcW w:w="0" w:type="auto"/>
            <w:vMerge/>
            <w:vAlign w:val="center"/>
            <w:hideMark/>
          </w:tcPr>
          <w:p w14:paraId="4E3A620D" w14:textId="77777777" w:rsidR="00856F66" w:rsidRPr="00E31657" w:rsidRDefault="00856F66" w:rsidP="00B24742">
            <w:pPr>
              <w:rPr>
                <w:rFonts w:cs="Arial"/>
                <w:b/>
                <w:bCs/>
                <w:sz w:val="16"/>
                <w:szCs w:val="16"/>
                <w:lang w:val="es-ES_tradnl" w:eastAsia="es-MX"/>
              </w:rPr>
            </w:pPr>
          </w:p>
        </w:tc>
      </w:tr>
      <w:tr w:rsidR="00856F66" w:rsidRPr="00E31657" w14:paraId="05E0466E" w14:textId="77777777" w:rsidTr="00F974BB">
        <w:trPr>
          <w:trHeight w:val="720"/>
        </w:trPr>
        <w:tc>
          <w:tcPr>
            <w:tcW w:w="0" w:type="auto"/>
            <w:vMerge w:val="restart"/>
            <w:tcMar>
              <w:top w:w="30" w:type="dxa"/>
              <w:left w:w="45" w:type="dxa"/>
              <w:bottom w:w="30" w:type="dxa"/>
              <w:right w:w="45" w:type="dxa"/>
            </w:tcMar>
            <w:vAlign w:val="center"/>
            <w:hideMark/>
          </w:tcPr>
          <w:p w14:paraId="46041399"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Implementar 20 procesos pedagógicos que contribuyan al cumplimiento de los objetivos del Sistema Integral de Verdad Justicia Reparación y No Repetición.</w:t>
            </w:r>
          </w:p>
        </w:tc>
        <w:tc>
          <w:tcPr>
            <w:tcW w:w="0" w:type="auto"/>
            <w:vMerge w:val="restart"/>
            <w:tcMar>
              <w:top w:w="30" w:type="dxa"/>
              <w:left w:w="45" w:type="dxa"/>
              <w:bottom w:w="30" w:type="dxa"/>
              <w:right w:w="45" w:type="dxa"/>
            </w:tcMar>
            <w:vAlign w:val="center"/>
            <w:hideMark/>
          </w:tcPr>
          <w:p w14:paraId="2570A1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6CF4AD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019E805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tcMar>
              <w:top w:w="30" w:type="dxa"/>
              <w:left w:w="45" w:type="dxa"/>
              <w:bottom w:w="30" w:type="dxa"/>
              <w:right w:w="45" w:type="dxa"/>
            </w:tcMar>
            <w:vAlign w:val="center"/>
            <w:hideMark/>
          </w:tcPr>
          <w:p w14:paraId="38AF713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0" w:type="auto"/>
            <w:tcMar>
              <w:top w:w="30" w:type="dxa"/>
              <w:left w:w="45" w:type="dxa"/>
              <w:bottom w:w="30" w:type="dxa"/>
              <w:right w:w="45" w:type="dxa"/>
            </w:tcMar>
            <w:vAlign w:val="center"/>
            <w:hideMark/>
          </w:tcPr>
          <w:p w14:paraId="3D960C8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0" w:type="auto"/>
            <w:tcMar>
              <w:top w:w="30" w:type="dxa"/>
              <w:left w:w="45" w:type="dxa"/>
              <w:bottom w:w="30" w:type="dxa"/>
              <w:right w:w="45" w:type="dxa"/>
            </w:tcMar>
            <w:vAlign w:val="center"/>
            <w:hideMark/>
          </w:tcPr>
          <w:p w14:paraId="406AED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w:t>
            </w:r>
          </w:p>
        </w:tc>
        <w:tc>
          <w:tcPr>
            <w:tcW w:w="0" w:type="auto"/>
            <w:vMerge w:val="restart"/>
            <w:tcMar>
              <w:top w:w="30" w:type="dxa"/>
              <w:left w:w="45" w:type="dxa"/>
              <w:bottom w:w="30" w:type="dxa"/>
              <w:right w:w="45" w:type="dxa"/>
            </w:tcMar>
            <w:vAlign w:val="center"/>
            <w:hideMark/>
          </w:tcPr>
          <w:p w14:paraId="611BE2F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16.805.344.008</w:t>
            </w:r>
          </w:p>
        </w:tc>
      </w:tr>
      <w:tr w:rsidR="00856F66" w:rsidRPr="00E31657" w14:paraId="3DCD4F72" w14:textId="77777777" w:rsidTr="00F974BB">
        <w:trPr>
          <w:trHeight w:val="720"/>
        </w:trPr>
        <w:tc>
          <w:tcPr>
            <w:tcW w:w="0" w:type="auto"/>
            <w:vMerge/>
            <w:vAlign w:val="center"/>
            <w:hideMark/>
          </w:tcPr>
          <w:p w14:paraId="07FA8BC2" w14:textId="77777777" w:rsidR="00856F66" w:rsidRPr="00E31657" w:rsidRDefault="00856F66" w:rsidP="00C3771A">
            <w:pPr>
              <w:jc w:val="right"/>
              <w:rPr>
                <w:rFonts w:cs="Arial"/>
                <w:sz w:val="16"/>
                <w:szCs w:val="16"/>
                <w:lang w:val="es-ES_tradnl" w:eastAsia="es-MX"/>
              </w:rPr>
            </w:pPr>
          </w:p>
        </w:tc>
        <w:tc>
          <w:tcPr>
            <w:tcW w:w="0" w:type="auto"/>
            <w:vMerge/>
            <w:vAlign w:val="center"/>
            <w:hideMark/>
          </w:tcPr>
          <w:p w14:paraId="31D041E2" w14:textId="77777777" w:rsidR="00856F66" w:rsidRPr="00E31657" w:rsidRDefault="00856F66" w:rsidP="00B24742">
            <w:pPr>
              <w:rPr>
                <w:rFonts w:cs="Arial"/>
                <w:sz w:val="16"/>
                <w:szCs w:val="16"/>
                <w:lang w:val="es-ES_tradnl" w:eastAsia="es-MX"/>
              </w:rPr>
            </w:pPr>
          </w:p>
        </w:tc>
        <w:tc>
          <w:tcPr>
            <w:tcW w:w="0" w:type="auto"/>
            <w:vMerge/>
            <w:vAlign w:val="center"/>
            <w:hideMark/>
          </w:tcPr>
          <w:p w14:paraId="1D7C3B9E"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4207DE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4.072.968.606</w:t>
            </w:r>
          </w:p>
        </w:tc>
        <w:tc>
          <w:tcPr>
            <w:tcW w:w="0" w:type="auto"/>
            <w:tcMar>
              <w:top w:w="30" w:type="dxa"/>
              <w:left w:w="45" w:type="dxa"/>
              <w:bottom w:w="30" w:type="dxa"/>
              <w:right w:w="45" w:type="dxa"/>
            </w:tcMar>
            <w:vAlign w:val="center"/>
            <w:hideMark/>
          </w:tcPr>
          <w:p w14:paraId="43005C0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3.968.952.245</w:t>
            </w:r>
          </w:p>
        </w:tc>
        <w:tc>
          <w:tcPr>
            <w:tcW w:w="0" w:type="auto"/>
            <w:tcMar>
              <w:top w:w="30" w:type="dxa"/>
              <w:left w:w="45" w:type="dxa"/>
              <w:bottom w:w="30" w:type="dxa"/>
              <w:right w:w="45" w:type="dxa"/>
            </w:tcMar>
            <w:vAlign w:val="center"/>
            <w:hideMark/>
          </w:tcPr>
          <w:p w14:paraId="7FD847C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4.381.711.579</w:t>
            </w:r>
          </w:p>
        </w:tc>
        <w:tc>
          <w:tcPr>
            <w:tcW w:w="0" w:type="auto"/>
            <w:tcMar>
              <w:top w:w="30" w:type="dxa"/>
              <w:left w:w="45" w:type="dxa"/>
              <w:bottom w:w="30" w:type="dxa"/>
              <w:right w:w="45" w:type="dxa"/>
            </w:tcMar>
            <w:vAlign w:val="center"/>
            <w:hideMark/>
          </w:tcPr>
          <w:p w14:paraId="274643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4.381.711.578</w:t>
            </w:r>
          </w:p>
        </w:tc>
        <w:tc>
          <w:tcPr>
            <w:tcW w:w="0" w:type="auto"/>
            <w:vMerge/>
            <w:vAlign w:val="center"/>
            <w:hideMark/>
          </w:tcPr>
          <w:p w14:paraId="4DA13DD1" w14:textId="77777777" w:rsidR="00856F66" w:rsidRPr="00E31657" w:rsidRDefault="00856F66" w:rsidP="00B24742">
            <w:pPr>
              <w:rPr>
                <w:rFonts w:cs="Arial"/>
                <w:b/>
                <w:bCs/>
                <w:sz w:val="16"/>
                <w:szCs w:val="16"/>
                <w:lang w:val="es-ES_tradnl" w:eastAsia="es-MX"/>
              </w:rPr>
            </w:pPr>
          </w:p>
        </w:tc>
      </w:tr>
      <w:tr w:rsidR="00856F66" w:rsidRPr="00E31657" w14:paraId="7791A587" w14:textId="77777777" w:rsidTr="00F974BB">
        <w:trPr>
          <w:trHeight w:val="720"/>
        </w:trPr>
        <w:tc>
          <w:tcPr>
            <w:tcW w:w="0" w:type="auto"/>
            <w:vMerge w:val="restart"/>
            <w:tcMar>
              <w:top w:w="30" w:type="dxa"/>
              <w:left w:w="45" w:type="dxa"/>
              <w:bottom w:w="30" w:type="dxa"/>
              <w:right w:w="45" w:type="dxa"/>
            </w:tcMar>
            <w:vAlign w:val="center"/>
            <w:hideMark/>
          </w:tcPr>
          <w:p w14:paraId="086D9E10"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Implementar al 100% las medidas de atención y asistencia a víctimas conforme a la competencia del Distrito.</w:t>
            </w:r>
          </w:p>
        </w:tc>
        <w:tc>
          <w:tcPr>
            <w:tcW w:w="0" w:type="auto"/>
            <w:vMerge w:val="restart"/>
            <w:tcMar>
              <w:top w:w="30" w:type="dxa"/>
              <w:left w:w="45" w:type="dxa"/>
              <w:bottom w:w="30" w:type="dxa"/>
              <w:right w:w="45" w:type="dxa"/>
            </w:tcMar>
            <w:vAlign w:val="center"/>
            <w:hideMark/>
          </w:tcPr>
          <w:p w14:paraId="7055708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18CAC5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5F5A39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2B91AFF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F18AE5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40E3F8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04B38F6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97.697.522.774</w:t>
            </w:r>
          </w:p>
        </w:tc>
      </w:tr>
      <w:tr w:rsidR="00856F66" w:rsidRPr="00E31657" w14:paraId="6527AD25" w14:textId="77777777" w:rsidTr="00F974BB">
        <w:trPr>
          <w:trHeight w:val="720"/>
        </w:trPr>
        <w:tc>
          <w:tcPr>
            <w:tcW w:w="0" w:type="auto"/>
            <w:vMerge/>
            <w:vAlign w:val="center"/>
            <w:hideMark/>
          </w:tcPr>
          <w:p w14:paraId="29882BF2" w14:textId="77777777" w:rsidR="00856F66" w:rsidRPr="00E31657" w:rsidRDefault="00856F66" w:rsidP="00B24742">
            <w:pPr>
              <w:rPr>
                <w:rFonts w:cs="Arial"/>
                <w:sz w:val="16"/>
                <w:szCs w:val="16"/>
                <w:lang w:val="es-ES_tradnl" w:eastAsia="es-MX"/>
              </w:rPr>
            </w:pPr>
          </w:p>
        </w:tc>
        <w:tc>
          <w:tcPr>
            <w:tcW w:w="0" w:type="auto"/>
            <w:vMerge/>
            <w:vAlign w:val="center"/>
            <w:hideMark/>
          </w:tcPr>
          <w:p w14:paraId="680ABF26" w14:textId="77777777" w:rsidR="00856F66" w:rsidRPr="00E31657" w:rsidRDefault="00856F66" w:rsidP="00B24742">
            <w:pPr>
              <w:rPr>
                <w:rFonts w:cs="Arial"/>
                <w:sz w:val="16"/>
                <w:szCs w:val="16"/>
                <w:lang w:val="es-ES_tradnl" w:eastAsia="es-MX"/>
              </w:rPr>
            </w:pPr>
          </w:p>
        </w:tc>
        <w:tc>
          <w:tcPr>
            <w:tcW w:w="0" w:type="auto"/>
            <w:vMerge/>
            <w:vAlign w:val="center"/>
            <w:hideMark/>
          </w:tcPr>
          <w:p w14:paraId="7F5405A5"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556979E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20.702.902.322</w:t>
            </w:r>
          </w:p>
        </w:tc>
        <w:tc>
          <w:tcPr>
            <w:tcW w:w="0" w:type="auto"/>
            <w:tcMar>
              <w:top w:w="30" w:type="dxa"/>
              <w:left w:w="45" w:type="dxa"/>
              <w:bottom w:w="30" w:type="dxa"/>
              <w:right w:w="45" w:type="dxa"/>
            </w:tcMar>
            <w:vAlign w:val="center"/>
            <w:hideMark/>
          </w:tcPr>
          <w:p w14:paraId="4A76B9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23.998.203.233</w:t>
            </w:r>
          </w:p>
        </w:tc>
        <w:tc>
          <w:tcPr>
            <w:tcW w:w="0" w:type="auto"/>
            <w:tcMar>
              <w:top w:w="30" w:type="dxa"/>
              <w:left w:w="45" w:type="dxa"/>
              <w:bottom w:w="30" w:type="dxa"/>
              <w:right w:w="45" w:type="dxa"/>
            </w:tcMar>
            <w:vAlign w:val="center"/>
            <w:hideMark/>
          </w:tcPr>
          <w:p w14:paraId="47C7DAF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26.498.254.367</w:t>
            </w:r>
          </w:p>
        </w:tc>
        <w:tc>
          <w:tcPr>
            <w:tcW w:w="0" w:type="auto"/>
            <w:tcMar>
              <w:top w:w="30" w:type="dxa"/>
              <w:left w:w="45" w:type="dxa"/>
              <w:bottom w:w="30" w:type="dxa"/>
              <w:right w:w="45" w:type="dxa"/>
            </w:tcMar>
            <w:vAlign w:val="center"/>
            <w:hideMark/>
          </w:tcPr>
          <w:p w14:paraId="5927369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26.498.162.852</w:t>
            </w:r>
          </w:p>
        </w:tc>
        <w:tc>
          <w:tcPr>
            <w:tcW w:w="0" w:type="auto"/>
            <w:vMerge/>
            <w:vAlign w:val="center"/>
            <w:hideMark/>
          </w:tcPr>
          <w:p w14:paraId="50659C3D" w14:textId="77777777" w:rsidR="00856F66" w:rsidRPr="00E31657" w:rsidRDefault="00856F66" w:rsidP="00B24742">
            <w:pPr>
              <w:rPr>
                <w:rFonts w:cs="Arial"/>
                <w:b/>
                <w:bCs/>
                <w:sz w:val="16"/>
                <w:szCs w:val="16"/>
                <w:lang w:val="es-ES_tradnl" w:eastAsia="es-MX"/>
              </w:rPr>
            </w:pPr>
          </w:p>
        </w:tc>
      </w:tr>
      <w:tr w:rsidR="00856F66" w:rsidRPr="00E31657" w14:paraId="78086647" w14:textId="77777777" w:rsidTr="00F974BB">
        <w:trPr>
          <w:trHeight w:val="313"/>
        </w:trPr>
        <w:tc>
          <w:tcPr>
            <w:tcW w:w="0" w:type="auto"/>
            <w:gridSpan w:val="8"/>
            <w:shd w:val="clear" w:color="auto" w:fill="C00000"/>
            <w:tcMar>
              <w:top w:w="30" w:type="dxa"/>
              <w:left w:w="45" w:type="dxa"/>
              <w:bottom w:w="30" w:type="dxa"/>
              <w:right w:w="45" w:type="dxa"/>
            </w:tcMar>
            <w:vAlign w:val="center"/>
            <w:hideMark/>
          </w:tcPr>
          <w:p w14:paraId="3E2A4E3E"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Gobierno</w:t>
            </w:r>
          </w:p>
        </w:tc>
      </w:tr>
      <w:tr w:rsidR="00856F66" w:rsidRPr="00E31657" w14:paraId="103379D2" w14:textId="77777777" w:rsidTr="00F974BB">
        <w:trPr>
          <w:trHeight w:val="720"/>
        </w:trPr>
        <w:tc>
          <w:tcPr>
            <w:tcW w:w="0" w:type="auto"/>
            <w:vMerge w:val="restart"/>
            <w:tcMar>
              <w:top w:w="30" w:type="dxa"/>
              <w:left w:w="45" w:type="dxa"/>
              <w:bottom w:w="30" w:type="dxa"/>
              <w:right w:w="45" w:type="dxa"/>
            </w:tcMar>
            <w:vAlign w:val="center"/>
            <w:hideMark/>
          </w:tcPr>
          <w:p w14:paraId="7548B61D"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 xml:space="preserve">Atender el 100% de las personas que ingresan a las rutas </w:t>
            </w:r>
            <w:r w:rsidRPr="00E31657">
              <w:rPr>
                <w:rFonts w:cs="Arial"/>
                <w:sz w:val="16"/>
                <w:szCs w:val="16"/>
                <w:lang w:val="es-ES_tradnl" w:eastAsia="es-MX"/>
              </w:rPr>
              <w:lastRenderedPageBreak/>
              <w:t>prevención de vulneraciones de los derechos humanos de mujeres personas de los sectores sociales LGBTI víctimas de trata de personas víctimas de abuso de autoridad defensores y defensoras de derechos humanos población en proceso de reintegración o reincorporación y a la atención de derechos fundamentales de religión culto y conciencia.</w:t>
            </w:r>
          </w:p>
        </w:tc>
        <w:tc>
          <w:tcPr>
            <w:tcW w:w="0" w:type="auto"/>
            <w:vMerge w:val="restart"/>
            <w:tcMar>
              <w:top w:w="30" w:type="dxa"/>
              <w:left w:w="45" w:type="dxa"/>
              <w:bottom w:w="30" w:type="dxa"/>
              <w:right w:w="45" w:type="dxa"/>
            </w:tcMar>
            <w:vAlign w:val="center"/>
            <w:hideMark/>
          </w:tcPr>
          <w:p w14:paraId="017F6E5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100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10B910E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SDG</w:t>
            </w:r>
          </w:p>
        </w:tc>
        <w:tc>
          <w:tcPr>
            <w:tcW w:w="0" w:type="auto"/>
            <w:tcMar>
              <w:top w:w="30" w:type="dxa"/>
              <w:left w:w="45" w:type="dxa"/>
              <w:bottom w:w="30" w:type="dxa"/>
              <w:right w:w="45" w:type="dxa"/>
            </w:tcMar>
            <w:vAlign w:val="center"/>
            <w:hideMark/>
          </w:tcPr>
          <w:p w14:paraId="26C9DC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291893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2EF19D0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621BE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5784796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7.963.878.535</w:t>
            </w:r>
          </w:p>
        </w:tc>
      </w:tr>
      <w:tr w:rsidR="00856F66" w:rsidRPr="00E31657" w14:paraId="329A79BC" w14:textId="77777777" w:rsidTr="00F974BB">
        <w:trPr>
          <w:trHeight w:val="720"/>
        </w:trPr>
        <w:tc>
          <w:tcPr>
            <w:tcW w:w="0" w:type="auto"/>
            <w:vMerge/>
            <w:vAlign w:val="center"/>
            <w:hideMark/>
          </w:tcPr>
          <w:p w14:paraId="21D52B08" w14:textId="77777777" w:rsidR="00856F66" w:rsidRPr="00E31657" w:rsidRDefault="00856F66" w:rsidP="00C3771A">
            <w:pPr>
              <w:jc w:val="right"/>
              <w:rPr>
                <w:rFonts w:cs="Arial"/>
                <w:sz w:val="16"/>
                <w:szCs w:val="16"/>
                <w:lang w:val="es-ES_tradnl" w:eastAsia="es-MX"/>
              </w:rPr>
            </w:pPr>
          </w:p>
        </w:tc>
        <w:tc>
          <w:tcPr>
            <w:tcW w:w="0" w:type="auto"/>
            <w:vMerge/>
            <w:vAlign w:val="center"/>
            <w:hideMark/>
          </w:tcPr>
          <w:p w14:paraId="09E09F29" w14:textId="77777777" w:rsidR="00856F66" w:rsidRPr="00E31657" w:rsidRDefault="00856F66" w:rsidP="00B24742">
            <w:pPr>
              <w:rPr>
                <w:rFonts w:cs="Arial"/>
                <w:sz w:val="16"/>
                <w:szCs w:val="16"/>
                <w:lang w:val="es-ES_tradnl" w:eastAsia="es-MX"/>
              </w:rPr>
            </w:pPr>
          </w:p>
        </w:tc>
        <w:tc>
          <w:tcPr>
            <w:tcW w:w="0" w:type="auto"/>
            <w:vMerge/>
            <w:vAlign w:val="center"/>
            <w:hideMark/>
          </w:tcPr>
          <w:p w14:paraId="0946A5CA"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7652EB3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1.300.000.000</w:t>
            </w:r>
          </w:p>
        </w:tc>
        <w:tc>
          <w:tcPr>
            <w:tcW w:w="0" w:type="auto"/>
            <w:tcMar>
              <w:top w:w="30" w:type="dxa"/>
              <w:left w:w="45" w:type="dxa"/>
              <w:bottom w:w="30" w:type="dxa"/>
              <w:right w:w="45" w:type="dxa"/>
            </w:tcMar>
            <w:vAlign w:val="center"/>
            <w:hideMark/>
          </w:tcPr>
          <w:p w14:paraId="66162C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1.941.747.573</w:t>
            </w:r>
          </w:p>
        </w:tc>
        <w:tc>
          <w:tcPr>
            <w:tcW w:w="0" w:type="auto"/>
            <w:tcMar>
              <w:top w:w="30" w:type="dxa"/>
              <w:left w:w="45" w:type="dxa"/>
              <w:bottom w:w="30" w:type="dxa"/>
              <w:right w:w="45" w:type="dxa"/>
            </w:tcMar>
            <w:vAlign w:val="center"/>
            <w:hideMark/>
          </w:tcPr>
          <w:p w14:paraId="7BAD08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1.885.191.818</w:t>
            </w:r>
          </w:p>
        </w:tc>
        <w:tc>
          <w:tcPr>
            <w:tcW w:w="0" w:type="auto"/>
            <w:tcMar>
              <w:top w:w="30" w:type="dxa"/>
              <w:left w:w="45" w:type="dxa"/>
              <w:bottom w:w="30" w:type="dxa"/>
              <w:right w:w="45" w:type="dxa"/>
            </w:tcMar>
            <w:vAlign w:val="center"/>
            <w:hideMark/>
          </w:tcPr>
          <w:p w14:paraId="383150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2.836.939.144</w:t>
            </w:r>
          </w:p>
        </w:tc>
        <w:tc>
          <w:tcPr>
            <w:tcW w:w="0" w:type="auto"/>
            <w:vMerge/>
            <w:vAlign w:val="center"/>
            <w:hideMark/>
          </w:tcPr>
          <w:p w14:paraId="56EBE419" w14:textId="77777777" w:rsidR="00856F66" w:rsidRPr="00E31657" w:rsidRDefault="00856F66" w:rsidP="00B24742">
            <w:pPr>
              <w:rPr>
                <w:rFonts w:cs="Arial"/>
                <w:b/>
                <w:bCs/>
                <w:sz w:val="16"/>
                <w:szCs w:val="16"/>
                <w:lang w:val="es-ES_tradnl" w:eastAsia="es-MX"/>
              </w:rPr>
            </w:pPr>
          </w:p>
        </w:tc>
      </w:tr>
      <w:tr w:rsidR="00856F66" w:rsidRPr="00E31657" w14:paraId="55F4B137" w14:textId="77777777" w:rsidTr="00F974BB">
        <w:trPr>
          <w:trHeight w:val="720"/>
        </w:trPr>
        <w:tc>
          <w:tcPr>
            <w:tcW w:w="0" w:type="auto"/>
            <w:vMerge w:val="restart"/>
            <w:tcMar>
              <w:top w:w="30" w:type="dxa"/>
              <w:left w:w="45" w:type="dxa"/>
              <w:bottom w:w="30" w:type="dxa"/>
              <w:right w:w="45" w:type="dxa"/>
            </w:tcMar>
            <w:vAlign w:val="center"/>
            <w:hideMark/>
          </w:tcPr>
          <w:p w14:paraId="6B3CF54A"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Formar 16.000 personas en el programa de educación en derechos humanos para la paz reconciliación y promoción integral de derechos humanos conocimiento de las artes y los saberes populares.</w:t>
            </w:r>
          </w:p>
        </w:tc>
        <w:tc>
          <w:tcPr>
            <w:tcW w:w="0" w:type="auto"/>
            <w:vMerge w:val="restart"/>
            <w:tcMar>
              <w:top w:w="30" w:type="dxa"/>
              <w:left w:w="45" w:type="dxa"/>
              <w:bottom w:w="30" w:type="dxa"/>
              <w:right w:w="45" w:type="dxa"/>
            </w:tcMar>
            <w:vAlign w:val="center"/>
            <w:hideMark/>
          </w:tcPr>
          <w:p w14:paraId="1C9B09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16942</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02C74EE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Registros de formaciones sobre DD.HH. 2020-2023 </w:t>
            </w:r>
            <w:r w:rsidRPr="00E31657">
              <w:rPr>
                <w:rFonts w:cs="Arial"/>
                <w:sz w:val="16"/>
                <w:szCs w:val="16"/>
                <w:lang w:val="es-ES_tradnl" w:eastAsia="es-MX"/>
              </w:rPr>
              <w:br/>
              <w:t>SDG</w:t>
            </w:r>
          </w:p>
        </w:tc>
        <w:tc>
          <w:tcPr>
            <w:tcW w:w="0" w:type="auto"/>
            <w:tcMar>
              <w:top w:w="30" w:type="dxa"/>
              <w:left w:w="45" w:type="dxa"/>
              <w:bottom w:w="30" w:type="dxa"/>
              <w:right w:w="45" w:type="dxa"/>
            </w:tcMar>
            <w:vAlign w:val="center"/>
            <w:hideMark/>
          </w:tcPr>
          <w:p w14:paraId="332A0B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0" w:type="auto"/>
            <w:tcMar>
              <w:top w:w="30" w:type="dxa"/>
              <w:left w:w="45" w:type="dxa"/>
              <w:bottom w:w="30" w:type="dxa"/>
              <w:right w:w="45" w:type="dxa"/>
            </w:tcMar>
            <w:vAlign w:val="center"/>
            <w:hideMark/>
          </w:tcPr>
          <w:p w14:paraId="6F06CC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7.000</w:t>
            </w:r>
          </w:p>
        </w:tc>
        <w:tc>
          <w:tcPr>
            <w:tcW w:w="0" w:type="auto"/>
            <w:tcMar>
              <w:top w:w="30" w:type="dxa"/>
              <w:left w:w="45" w:type="dxa"/>
              <w:bottom w:w="30" w:type="dxa"/>
              <w:right w:w="45" w:type="dxa"/>
            </w:tcMar>
            <w:vAlign w:val="center"/>
            <w:hideMark/>
          </w:tcPr>
          <w:p w14:paraId="72DFDCB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3.500</w:t>
            </w:r>
          </w:p>
        </w:tc>
        <w:tc>
          <w:tcPr>
            <w:tcW w:w="0" w:type="auto"/>
            <w:tcMar>
              <w:top w:w="30" w:type="dxa"/>
              <w:left w:w="45" w:type="dxa"/>
              <w:bottom w:w="30" w:type="dxa"/>
              <w:right w:w="45" w:type="dxa"/>
            </w:tcMar>
            <w:vAlign w:val="center"/>
            <w:hideMark/>
          </w:tcPr>
          <w:p w14:paraId="1122EAF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3.500</w:t>
            </w:r>
          </w:p>
        </w:tc>
        <w:tc>
          <w:tcPr>
            <w:tcW w:w="0" w:type="auto"/>
            <w:vMerge w:val="restart"/>
            <w:tcMar>
              <w:top w:w="30" w:type="dxa"/>
              <w:left w:w="45" w:type="dxa"/>
              <w:bottom w:w="30" w:type="dxa"/>
              <w:right w:w="45" w:type="dxa"/>
            </w:tcMar>
            <w:vAlign w:val="center"/>
            <w:hideMark/>
          </w:tcPr>
          <w:p w14:paraId="039DC0A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4.822.865.546</w:t>
            </w:r>
          </w:p>
        </w:tc>
      </w:tr>
      <w:tr w:rsidR="00856F66" w:rsidRPr="00E31657" w14:paraId="43804B71" w14:textId="77777777" w:rsidTr="00F974BB">
        <w:trPr>
          <w:trHeight w:val="720"/>
        </w:trPr>
        <w:tc>
          <w:tcPr>
            <w:tcW w:w="0" w:type="auto"/>
            <w:vMerge/>
            <w:vAlign w:val="center"/>
            <w:hideMark/>
          </w:tcPr>
          <w:p w14:paraId="273F7010" w14:textId="77777777" w:rsidR="00856F66" w:rsidRPr="00E31657" w:rsidRDefault="00856F66" w:rsidP="00B24742">
            <w:pPr>
              <w:rPr>
                <w:rFonts w:cs="Arial"/>
                <w:sz w:val="16"/>
                <w:szCs w:val="16"/>
                <w:lang w:val="es-ES_tradnl" w:eastAsia="es-MX"/>
              </w:rPr>
            </w:pPr>
          </w:p>
        </w:tc>
        <w:tc>
          <w:tcPr>
            <w:tcW w:w="0" w:type="auto"/>
            <w:vMerge/>
            <w:vAlign w:val="center"/>
            <w:hideMark/>
          </w:tcPr>
          <w:p w14:paraId="47BACA90" w14:textId="77777777" w:rsidR="00856F66" w:rsidRPr="00E31657" w:rsidRDefault="00856F66" w:rsidP="00B24742">
            <w:pPr>
              <w:rPr>
                <w:rFonts w:cs="Arial"/>
                <w:sz w:val="16"/>
                <w:szCs w:val="16"/>
                <w:lang w:val="es-ES_tradnl" w:eastAsia="es-MX"/>
              </w:rPr>
            </w:pPr>
          </w:p>
        </w:tc>
        <w:tc>
          <w:tcPr>
            <w:tcW w:w="0" w:type="auto"/>
            <w:vMerge/>
            <w:vAlign w:val="center"/>
            <w:hideMark/>
          </w:tcPr>
          <w:p w14:paraId="63F9CB5B"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00FB42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200.000.000</w:t>
            </w:r>
          </w:p>
        </w:tc>
        <w:tc>
          <w:tcPr>
            <w:tcW w:w="0" w:type="auto"/>
            <w:tcMar>
              <w:top w:w="30" w:type="dxa"/>
              <w:left w:w="45" w:type="dxa"/>
              <w:bottom w:w="30" w:type="dxa"/>
              <w:right w:w="45" w:type="dxa"/>
            </w:tcMar>
            <w:vAlign w:val="center"/>
            <w:hideMark/>
          </w:tcPr>
          <w:p w14:paraId="42244D7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1.650.485.437</w:t>
            </w:r>
          </w:p>
        </w:tc>
        <w:tc>
          <w:tcPr>
            <w:tcW w:w="0" w:type="auto"/>
            <w:tcMar>
              <w:top w:w="30" w:type="dxa"/>
              <w:left w:w="45" w:type="dxa"/>
              <w:bottom w:w="30" w:type="dxa"/>
              <w:right w:w="45" w:type="dxa"/>
            </w:tcMar>
            <w:vAlign w:val="center"/>
            <w:hideMark/>
          </w:tcPr>
          <w:p w14:paraId="05BDB7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1.508.153.455</w:t>
            </w:r>
          </w:p>
        </w:tc>
        <w:tc>
          <w:tcPr>
            <w:tcW w:w="0" w:type="auto"/>
            <w:tcMar>
              <w:top w:w="30" w:type="dxa"/>
              <w:left w:w="45" w:type="dxa"/>
              <w:bottom w:w="30" w:type="dxa"/>
              <w:right w:w="45" w:type="dxa"/>
            </w:tcMar>
            <w:vAlign w:val="center"/>
            <w:hideMark/>
          </w:tcPr>
          <w:p w14:paraId="5A31236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1.464.226.655</w:t>
            </w:r>
          </w:p>
        </w:tc>
        <w:tc>
          <w:tcPr>
            <w:tcW w:w="0" w:type="auto"/>
            <w:vMerge/>
            <w:vAlign w:val="center"/>
            <w:hideMark/>
          </w:tcPr>
          <w:p w14:paraId="2A275F50" w14:textId="77777777" w:rsidR="00856F66" w:rsidRPr="00E31657" w:rsidRDefault="00856F66" w:rsidP="00B24742">
            <w:pPr>
              <w:rPr>
                <w:rFonts w:cs="Arial"/>
                <w:b/>
                <w:bCs/>
                <w:sz w:val="16"/>
                <w:szCs w:val="16"/>
                <w:lang w:val="es-ES_tradnl" w:eastAsia="es-MX"/>
              </w:rPr>
            </w:pPr>
          </w:p>
        </w:tc>
      </w:tr>
      <w:tr w:rsidR="00856F66" w:rsidRPr="00E31657" w14:paraId="0B3DD95A" w14:textId="77777777" w:rsidTr="00F974BB">
        <w:trPr>
          <w:trHeight w:val="394"/>
        </w:trPr>
        <w:tc>
          <w:tcPr>
            <w:tcW w:w="0" w:type="auto"/>
            <w:gridSpan w:val="8"/>
            <w:shd w:val="clear" w:color="auto" w:fill="C00000"/>
            <w:tcMar>
              <w:top w:w="30" w:type="dxa"/>
              <w:left w:w="45" w:type="dxa"/>
              <w:bottom w:w="30" w:type="dxa"/>
              <w:right w:w="45" w:type="dxa"/>
            </w:tcMar>
            <w:vAlign w:val="center"/>
            <w:hideMark/>
          </w:tcPr>
          <w:p w14:paraId="2BDAFD8D"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Salud</w:t>
            </w:r>
          </w:p>
        </w:tc>
      </w:tr>
      <w:tr w:rsidR="00856F66" w:rsidRPr="00E31657" w14:paraId="4BA8F881" w14:textId="77777777" w:rsidTr="00F974BB">
        <w:trPr>
          <w:trHeight w:val="1080"/>
        </w:trPr>
        <w:tc>
          <w:tcPr>
            <w:tcW w:w="0" w:type="auto"/>
            <w:vMerge w:val="restart"/>
            <w:tcMar>
              <w:top w:w="30" w:type="dxa"/>
              <w:left w:w="45" w:type="dxa"/>
              <w:bottom w:w="30" w:type="dxa"/>
              <w:right w:w="45" w:type="dxa"/>
            </w:tcMar>
            <w:vAlign w:val="center"/>
            <w:hideMark/>
          </w:tcPr>
          <w:p w14:paraId="5EC7FDFA" w14:textId="77777777" w:rsidR="00856F66" w:rsidRPr="00E31657" w:rsidRDefault="00856F66" w:rsidP="00C3771A">
            <w:pPr>
              <w:jc w:val="right"/>
              <w:rPr>
                <w:rFonts w:cs="Arial"/>
                <w:sz w:val="16"/>
                <w:szCs w:val="16"/>
                <w:lang w:val="es-ES_tradnl" w:eastAsia="es-MX"/>
              </w:rPr>
            </w:pPr>
            <w:r w:rsidRPr="00E31657">
              <w:rPr>
                <w:rFonts w:cs="Arial"/>
                <w:sz w:val="16"/>
                <w:szCs w:val="16"/>
                <w:lang w:val="es-ES_tradnl" w:eastAsia="es-MX"/>
              </w:rPr>
              <w:t>Garantizar el acceso a 17.280 personas víctimas del conflicto armado a las medidas de rehabilitación establecidas en la Ley 1448 de 2011 a través del desarrollo del componente de atención psicosocial del PAPSIVI y de sus estrategias diferenciales.</w:t>
            </w:r>
          </w:p>
        </w:tc>
        <w:tc>
          <w:tcPr>
            <w:tcW w:w="0" w:type="auto"/>
            <w:vMerge w:val="restart"/>
            <w:tcMar>
              <w:top w:w="30" w:type="dxa"/>
              <w:left w:w="45" w:type="dxa"/>
              <w:bottom w:w="30" w:type="dxa"/>
              <w:right w:w="45" w:type="dxa"/>
            </w:tcMar>
            <w:vAlign w:val="center"/>
            <w:hideMark/>
          </w:tcPr>
          <w:p w14:paraId="3967471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14.400 personas víctimas del conflicto </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4A1E62EB" w14:textId="3DAAAE50"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Meta </w:t>
            </w:r>
            <w:r w:rsidR="00A87961">
              <w:rPr>
                <w:rFonts w:cs="Arial"/>
                <w:sz w:val="16"/>
                <w:szCs w:val="16"/>
                <w:lang w:val="es-ES_tradnl" w:eastAsia="es-MX"/>
              </w:rPr>
              <w:t>Plan Distrital de Desarrollo</w:t>
            </w:r>
            <w:r w:rsidRPr="00E31657">
              <w:rPr>
                <w:rFonts w:cs="Arial"/>
                <w:sz w:val="16"/>
                <w:szCs w:val="16"/>
                <w:lang w:val="es-ES_tradnl" w:eastAsia="es-MX"/>
              </w:rPr>
              <w:t xml:space="preserve"> - Bogotá 2020 - 2024. Proyecto de Inversión 7832. SEGPLAN</w:t>
            </w:r>
          </w:p>
        </w:tc>
        <w:tc>
          <w:tcPr>
            <w:tcW w:w="0" w:type="auto"/>
            <w:tcMar>
              <w:top w:w="30" w:type="dxa"/>
              <w:left w:w="45" w:type="dxa"/>
              <w:bottom w:w="30" w:type="dxa"/>
              <w:right w:w="45" w:type="dxa"/>
            </w:tcMar>
            <w:vAlign w:val="center"/>
            <w:hideMark/>
          </w:tcPr>
          <w:p w14:paraId="0AC5A1F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14.400</w:t>
            </w:r>
          </w:p>
        </w:tc>
        <w:tc>
          <w:tcPr>
            <w:tcW w:w="0" w:type="auto"/>
            <w:tcMar>
              <w:top w:w="30" w:type="dxa"/>
              <w:left w:w="45" w:type="dxa"/>
              <w:bottom w:w="30" w:type="dxa"/>
              <w:right w:w="45" w:type="dxa"/>
            </w:tcMar>
            <w:vAlign w:val="center"/>
            <w:hideMark/>
          </w:tcPr>
          <w:p w14:paraId="5AE4783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15.280</w:t>
            </w:r>
          </w:p>
        </w:tc>
        <w:tc>
          <w:tcPr>
            <w:tcW w:w="0" w:type="auto"/>
            <w:tcMar>
              <w:top w:w="30" w:type="dxa"/>
              <w:left w:w="45" w:type="dxa"/>
              <w:bottom w:w="30" w:type="dxa"/>
              <w:right w:w="45" w:type="dxa"/>
            </w:tcMar>
            <w:vAlign w:val="center"/>
            <w:hideMark/>
          </w:tcPr>
          <w:p w14:paraId="09E3F7B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16.280</w:t>
            </w:r>
          </w:p>
        </w:tc>
        <w:tc>
          <w:tcPr>
            <w:tcW w:w="0" w:type="auto"/>
            <w:tcMar>
              <w:top w:w="30" w:type="dxa"/>
              <w:left w:w="45" w:type="dxa"/>
              <w:bottom w:w="30" w:type="dxa"/>
              <w:right w:w="45" w:type="dxa"/>
            </w:tcMar>
            <w:vAlign w:val="center"/>
            <w:hideMark/>
          </w:tcPr>
          <w:p w14:paraId="09A33AB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17.280</w:t>
            </w:r>
          </w:p>
        </w:tc>
        <w:tc>
          <w:tcPr>
            <w:tcW w:w="0" w:type="auto"/>
            <w:vMerge w:val="restart"/>
            <w:tcMar>
              <w:top w:w="30" w:type="dxa"/>
              <w:left w:w="45" w:type="dxa"/>
              <w:bottom w:w="30" w:type="dxa"/>
              <w:right w:w="45" w:type="dxa"/>
            </w:tcMar>
            <w:vAlign w:val="center"/>
            <w:hideMark/>
          </w:tcPr>
          <w:p w14:paraId="5610556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41.154.438.547</w:t>
            </w:r>
          </w:p>
        </w:tc>
      </w:tr>
      <w:tr w:rsidR="00856F66" w:rsidRPr="00E31657" w14:paraId="430ACB3B" w14:textId="77777777" w:rsidTr="00F974BB">
        <w:trPr>
          <w:trHeight w:val="1080"/>
        </w:trPr>
        <w:tc>
          <w:tcPr>
            <w:tcW w:w="0" w:type="auto"/>
            <w:vMerge/>
            <w:vAlign w:val="center"/>
            <w:hideMark/>
          </w:tcPr>
          <w:p w14:paraId="2C524D86" w14:textId="77777777" w:rsidR="00856F66" w:rsidRPr="00E31657" w:rsidRDefault="00856F66" w:rsidP="00B24742">
            <w:pPr>
              <w:rPr>
                <w:rFonts w:cs="Arial"/>
                <w:sz w:val="16"/>
                <w:szCs w:val="16"/>
                <w:lang w:val="es-ES_tradnl" w:eastAsia="es-MX"/>
              </w:rPr>
            </w:pPr>
          </w:p>
        </w:tc>
        <w:tc>
          <w:tcPr>
            <w:tcW w:w="0" w:type="auto"/>
            <w:vMerge/>
            <w:vAlign w:val="center"/>
            <w:hideMark/>
          </w:tcPr>
          <w:p w14:paraId="6C74CD4B" w14:textId="77777777" w:rsidR="00856F66" w:rsidRPr="00E31657" w:rsidRDefault="00856F66" w:rsidP="00B24742">
            <w:pPr>
              <w:rPr>
                <w:rFonts w:cs="Arial"/>
                <w:sz w:val="16"/>
                <w:szCs w:val="16"/>
                <w:lang w:val="es-ES_tradnl" w:eastAsia="es-MX"/>
              </w:rPr>
            </w:pPr>
          </w:p>
        </w:tc>
        <w:tc>
          <w:tcPr>
            <w:tcW w:w="0" w:type="auto"/>
            <w:vMerge/>
            <w:vAlign w:val="center"/>
            <w:hideMark/>
          </w:tcPr>
          <w:p w14:paraId="57F49840"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5D81BF9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5.718.500.000</w:t>
            </w:r>
          </w:p>
        </w:tc>
        <w:tc>
          <w:tcPr>
            <w:tcW w:w="0" w:type="auto"/>
            <w:tcMar>
              <w:top w:w="30" w:type="dxa"/>
              <w:left w:w="45" w:type="dxa"/>
              <w:bottom w:w="30" w:type="dxa"/>
              <w:right w:w="45" w:type="dxa"/>
            </w:tcMar>
            <w:vAlign w:val="center"/>
            <w:hideMark/>
          </w:tcPr>
          <w:p w14:paraId="559F023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10.376.106.796</w:t>
            </w:r>
          </w:p>
        </w:tc>
        <w:tc>
          <w:tcPr>
            <w:tcW w:w="0" w:type="auto"/>
            <w:tcMar>
              <w:top w:w="30" w:type="dxa"/>
              <w:left w:w="45" w:type="dxa"/>
              <w:bottom w:w="30" w:type="dxa"/>
              <w:right w:w="45" w:type="dxa"/>
            </w:tcMar>
            <w:vAlign w:val="center"/>
            <w:hideMark/>
          </w:tcPr>
          <w:p w14:paraId="5025622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12.118.134.603</w:t>
            </w:r>
          </w:p>
        </w:tc>
        <w:tc>
          <w:tcPr>
            <w:tcW w:w="0" w:type="auto"/>
            <w:tcMar>
              <w:top w:w="30" w:type="dxa"/>
              <w:left w:w="45" w:type="dxa"/>
              <w:bottom w:w="30" w:type="dxa"/>
              <w:right w:w="45" w:type="dxa"/>
            </w:tcMar>
            <w:vAlign w:val="center"/>
            <w:hideMark/>
          </w:tcPr>
          <w:p w14:paraId="45327DE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12.941.697.149</w:t>
            </w:r>
          </w:p>
        </w:tc>
        <w:tc>
          <w:tcPr>
            <w:tcW w:w="0" w:type="auto"/>
            <w:vMerge/>
            <w:vAlign w:val="center"/>
            <w:hideMark/>
          </w:tcPr>
          <w:p w14:paraId="3D13FE2D" w14:textId="77777777" w:rsidR="00856F66" w:rsidRPr="00E31657" w:rsidRDefault="00856F66" w:rsidP="00B24742">
            <w:pPr>
              <w:rPr>
                <w:rFonts w:cs="Arial"/>
                <w:b/>
                <w:bCs/>
                <w:sz w:val="16"/>
                <w:szCs w:val="16"/>
                <w:lang w:val="es-ES_tradnl" w:eastAsia="es-MX"/>
              </w:rPr>
            </w:pPr>
          </w:p>
        </w:tc>
      </w:tr>
    </w:tbl>
    <w:p w14:paraId="102369D5" w14:textId="77777777" w:rsidR="00856F66" w:rsidRPr="00E31657" w:rsidRDefault="00856F66">
      <w:pPr>
        <w:rPr>
          <w:sz w:val="16"/>
          <w:szCs w:val="16"/>
          <w:lang w:val="es-ES_tradnl"/>
        </w:rPr>
      </w:pPr>
    </w:p>
    <w:p w14:paraId="399FCA39" w14:textId="77777777" w:rsidR="00856F66" w:rsidRDefault="00856F66">
      <w:pPr>
        <w:rPr>
          <w:sz w:val="16"/>
          <w:szCs w:val="16"/>
          <w:lang w:val="es-ES_tradnl"/>
        </w:rPr>
      </w:pPr>
    </w:p>
    <w:tbl>
      <w:tblPr>
        <w:tblW w:w="9360" w:type="dxa"/>
        <w:tblCellMar>
          <w:left w:w="0" w:type="dxa"/>
          <w:right w:w="0" w:type="dxa"/>
        </w:tblCellMar>
        <w:tblLook w:val="04A0" w:firstRow="1" w:lastRow="0" w:firstColumn="1" w:lastColumn="0" w:noHBand="0" w:noVBand="1"/>
      </w:tblPr>
      <w:tblGrid>
        <w:gridCol w:w="1656"/>
        <w:gridCol w:w="843"/>
        <w:gridCol w:w="1002"/>
        <w:gridCol w:w="1132"/>
        <w:gridCol w:w="1150"/>
        <w:gridCol w:w="1195"/>
        <w:gridCol w:w="1197"/>
        <w:gridCol w:w="1185"/>
      </w:tblGrid>
      <w:tr w:rsidR="00856F66" w:rsidRPr="00E31657" w14:paraId="17D7D3DC" w14:textId="77777777" w:rsidTr="006E34FC">
        <w:trPr>
          <w:trHeight w:val="315"/>
        </w:trPr>
        <w:tc>
          <w:tcPr>
            <w:tcW w:w="0" w:type="auto"/>
            <w:gridSpan w:val="8"/>
            <w:tcBorders>
              <w:bottom w:val="double" w:sz="4" w:space="0" w:color="C00000"/>
            </w:tcBorders>
            <w:tcMar>
              <w:top w:w="30" w:type="dxa"/>
              <w:left w:w="45" w:type="dxa"/>
              <w:bottom w:w="30" w:type="dxa"/>
              <w:right w:w="45" w:type="dxa"/>
            </w:tcMar>
            <w:vAlign w:val="center"/>
            <w:hideMark/>
          </w:tcPr>
          <w:p w14:paraId="1126C81E" w14:textId="77777777" w:rsidR="00856F66" w:rsidRPr="00E31657" w:rsidRDefault="00856F66" w:rsidP="00B24742">
            <w:pPr>
              <w:jc w:val="center"/>
              <w:rPr>
                <w:rFonts w:cs="Arial"/>
                <w:b/>
                <w:bCs/>
                <w:sz w:val="16"/>
                <w:szCs w:val="16"/>
                <w:lang w:val="es-ES_tradnl" w:eastAsia="es-MX"/>
              </w:rPr>
            </w:pPr>
            <w:r w:rsidRPr="00E31657">
              <w:rPr>
                <w:rFonts w:cs="Arial"/>
                <w:b/>
                <w:bCs/>
                <w:color w:val="C00000"/>
                <w:lang w:val="es-ES_tradnl" w:eastAsia="es-MX"/>
              </w:rPr>
              <w:t xml:space="preserve">Programa 14. </w:t>
            </w:r>
            <w:r w:rsidRPr="00E31657">
              <w:rPr>
                <w:rFonts w:cs="Arial"/>
                <w:lang w:val="es-ES_tradnl" w:eastAsia="es-MX"/>
              </w:rPr>
              <w:t>Bogotá deportiva, recreativa, artística, patrimonial e intercultural</w:t>
            </w:r>
          </w:p>
        </w:tc>
      </w:tr>
      <w:tr w:rsidR="00856F66" w:rsidRPr="00E31657" w14:paraId="4E303DD5" w14:textId="77777777" w:rsidTr="006E34FC">
        <w:trPr>
          <w:trHeight w:val="315"/>
        </w:trPr>
        <w:tc>
          <w:tcPr>
            <w:tcW w:w="0" w:type="auto"/>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4DE751CC" w14:textId="49DEF154"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 xml:space="preserve">Sector / </w:t>
            </w:r>
            <w:r w:rsidR="000064A0">
              <w:rPr>
                <w:rFonts w:ascii="Candara" w:eastAsia="Times New Roman" w:hAnsi="Candara"/>
                <w:b/>
                <w:bCs/>
                <w:color w:val="FFFFFF" w:themeColor="background1"/>
                <w:sz w:val="24"/>
                <w:szCs w:val="24"/>
                <w:lang w:val="es-ES_tradnl" w:eastAsia="es-MX"/>
              </w:rPr>
              <w:br/>
            </w:r>
            <w:r w:rsidRPr="000064A0">
              <w:rPr>
                <w:rFonts w:ascii="Candara" w:eastAsia="Times New Roman" w:hAnsi="Candara"/>
                <w:b/>
                <w:bCs/>
                <w:color w:val="FFFFFF" w:themeColor="background1"/>
                <w:sz w:val="24"/>
                <w:szCs w:val="24"/>
                <w:lang w:val="es-ES_tradnl" w:eastAsia="es-MX"/>
              </w:rPr>
              <w:t>Metas</w:t>
            </w:r>
          </w:p>
        </w:tc>
        <w:tc>
          <w:tcPr>
            <w:tcW w:w="0" w:type="auto"/>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3E39E5C3"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7BC8A2C7" w14:textId="77777777" w:rsidTr="006E34FC">
        <w:trPr>
          <w:trHeight w:val="315"/>
        </w:trPr>
        <w:tc>
          <w:tcPr>
            <w:tcW w:w="0" w:type="auto"/>
            <w:vMerge/>
            <w:tcBorders>
              <w:top w:val="double" w:sz="4" w:space="0" w:color="C00000"/>
              <w:bottom w:val="double" w:sz="4" w:space="0" w:color="C00000"/>
              <w:right w:val="double" w:sz="4" w:space="0" w:color="C00000"/>
            </w:tcBorders>
            <w:shd w:val="clear" w:color="auto" w:fill="C00000"/>
            <w:vAlign w:val="center"/>
            <w:hideMark/>
          </w:tcPr>
          <w:p w14:paraId="2BC105F9" w14:textId="77777777" w:rsidR="00856F66" w:rsidRPr="00E31657" w:rsidRDefault="00856F66" w:rsidP="00B24742">
            <w:pPr>
              <w:rPr>
                <w:rFonts w:cs="Arial"/>
                <w:b/>
                <w:bCs/>
                <w:color w:val="FFFFFF"/>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270EE30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1280E3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8B4F2F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0DA026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69A83B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0BC68C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570BD3C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3F56AB6" w14:textId="77777777" w:rsidTr="006E34FC">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B19B303" w14:textId="77777777" w:rsidR="00856F66" w:rsidRPr="000064A0" w:rsidRDefault="00856F66" w:rsidP="000064A0">
            <w:pPr>
              <w:pStyle w:val="Ttulo"/>
              <w:jc w:val="center"/>
              <w:rPr>
                <w:rFonts w:ascii="Candara" w:eastAsia="Times New Roman" w:hAnsi="Candara"/>
                <w:b/>
                <w:bCs/>
                <w:color w:val="FFFFFF" w:themeColor="background1"/>
                <w:sz w:val="24"/>
                <w:szCs w:val="24"/>
                <w:lang w:val="es-ES_tradnl" w:eastAsia="es-MX"/>
              </w:rPr>
            </w:pPr>
            <w:r w:rsidRPr="000064A0">
              <w:rPr>
                <w:rFonts w:ascii="Candara" w:eastAsia="Times New Roman" w:hAnsi="Candara"/>
                <w:b/>
                <w:bCs/>
                <w:color w:val="FFFFFF" w:themeColor="background1"/>
                <w:sz w:val="24"/>
                <w:szCs w:val="24"/>
                <w:lang w:val="es-ES_tradnl" w:eastAsia="es-MX"/>
              </w:rPr>
              <w:t>Cultura recreación y deporte</w:t>
            </w:r>
          </w:p>
        </w:tc>
      </w:tr>
      <w:tr w:rsidR="00856F66" w:rsidRPr="00E31657" w14:paraId="628F3090"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0B7BD1"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t xml:space="preserve">Alcanzar 18.000.000 visitas a las bibliotecas espacios de lectura y </w:t>
            </w:r>
            <w:r w:rsidRPr="00E31657">
              <w:rPr>
                <w:rFonts w:cs="Arial"/>
                <w:sz w:val="16"/>
                <w:szCs w:val="16"/>
                <w:lang w:val="es-ES_tradnl" w:eastAsia="es-MX"/>
              </w:rPr>
              <w:lastRenderedPageBreak/>
              <w:t>espacios alternativos de interacción con lectura y escritura creativa y crítica.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99E78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16.899.938</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530CF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Sistema de Bibliotecas </w:t>
            </w:r>
            <w:r w:rsidRPr="00E31657">
              <w:rPr>
                <w:rFonts w:cs="Arial"/>
                <w:sz w:val="16"/>
                <w:szCs w:val="16"/>
                <w:lang w:val="es-ES_tradnl" w:eastAsia="es-MX"/>
              </w:rPr>
              <w:lastRenderedPageBreak/>
              <w:t>de Bogotá (DLB)</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25360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4.500.000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974D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9019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34B1E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4.500.000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09A828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234.832.634.083</w:t>
            </w:r>
          </w:p>
        </w:tc>
      </w:tr>
      <w:tr w:rsidR="00856F66" w:rsidRPr="00E31657" w14:paraId="64665C33"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2A47003F" w14:textId="77777777" w:rsidR="00856F66" w:rsidRPr="00E31657" w:rsidRDefault="00856F66" w:rsidP="005B6FB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0E13500"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ABAF8BF"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E596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72.963.389.000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D031E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52.329.797.087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16F9C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54.383.931.568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7839C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55.155.516.428</w:t>
            </w:r>
          </w:p>
        </w:tc>
        <w:tc>
          <w:tcPr>
            <w:tcW w:w="0" w:type="auto"/>
            <w:vMerge/>
            <w:tcBorders>
              <w:top w:val="double" w:sz="4" w:space="0" w:color="C00000"/>
              <w:left w:val="double" w:sz="4" w:space="0" w:color="C00000"/>
              <w:bottom w:val="double" w:sz="4" w:space="0" w:color="C00000"/>
            </w:tcBorders>
            <w:vAlign w:val="center"/>
            <w:hideMark/>
          </w:tcPr>
          <w:p w14:paraId="644C7661" w14:textId="77777777" w:rsidR="00856F66" w:rsidRPr="00E31657" w:rsidRDefault="00856F66" w:rsidP="00B24742">
            <w:pPr>
              <w:rPr>
                <w:rFonts w:cs="Arial"/>
                <w:b/>
                <w:bCs/>
                <w:sz w:val="16"/>
                <w:szCs w:val="16"/>
                <w:lang w:val="es-ES_tradnl" w:eastAsia="es-MX"/>
              </w:rPr>
            </w:pPr>
          </w:p>
        </w:tc>
      </w:tr>
      <w:tr w:rsidR="00856F66" w:rsidRPr="00E31657" w14:paraId="34FBF70F"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EBFF1F"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t>Desarrollar 4 estrategias orientadas a promover la salud y bienestar en entornos cotidianos desde las prácticas artísticas las prácticas de movimiento la actividad física y los cambios culturales y de comportamiento.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A7260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698A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Subsecretaría de Cultura Ciudadana </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7EF079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0380B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6E3AF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D9A01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BDFD50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25.948.995.034</w:t>
            </w:r>
          </w:p>
        </w:tc>
      </w:tr>
      <w:tr w:rsidR="00856F66" w:rsidRPr="00E31657" w14:paraId="2295C24C"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4141D6E9" w14:textId="77777777" w:rsidR="00856F66" w:rsidRPr="00E31657" w:rsidRDefault="00856F66" w:rsidP="005B6FB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5DE8808"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5155727"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BD282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6.147.000.000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B9D70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5.965.058.252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7AFB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6.506.014.045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0AE8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7.330.922.736</w:t>
            </w:r>
          </w:p>
        </w:tc>
        <w:tc>
          <w:tcPr>
            <w:tcW w:w="0" w:type="auto"/>
            <w:vMerge/>
            <w:tcBorders>
              <w:top w:val="double" w:sz="4" w:space="0" w:color="C00000"/>
              <w:left w:val="double" w:sz="4" w:space="0" w:color="C00000"/>
              <w:bottom w:val="double" w:sz="4" w:space="0" w:color="C00000"/>
            </w:tcBorders>
            <w:vAlign w:val="center"/>
            <w:hideMark/>
          </w:tcPr>
          <w:p w14:paraId="238AE591" w14:textId="77777777" w:rsidR="00856F66" w:rsidRPr="00E31657" w:rsidRDefault="00856F66" w:rsidP="00B24742">
            <w:pPr>
              <w:rPr>
                <w:rFonts w:cs="Arial"/>
                <w:b/>
                <w:bCs/>
                <w:sz w:val="16"/>
                <w:szCs w:val="16"/>
                <w:lang w:val="es-ES_tradnl" w:eastAsia="es-MX"/>
              </w:rPr>
            </w:pPr>
          </w:p>
        </w:tc>
      </w:tr>
      <w:tr w:rsidR="00856F66" w:rsidRPr="00E31657" w14:paraId="4B4DE7F6"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4B902F"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t>Desarrollar 8.925 actividades para la promoción fortalecimiento y desarrollo de las prácticas artísticas culturales y patrimoniales como un medio para el ejercicio de los derechos culturales y el desarrollo humano con alcance zonal distrital y regional.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E74C3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17653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63BE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Segplan Pandora 2023 y Registros administrativos de los planes operativos anuales de seguimiento a metas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8E7E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9E63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2.436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4F95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2.611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1DCB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2.510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619EAB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121.770.848.034</w:t>
            </w:r>
          </w:p>
        </w:tc>
      </w:tr>
      <w:tr w:rsidR="00856F66" w:rsidRPr="00E31657" w14:paraId="67292956"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06C8A9C7"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B25EFDD"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96FD071"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9C731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31.206.640.000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F907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29.759.355.340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9771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31.276.377.604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EEBF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29.528.475.090</w:t>
            </w:r>
          </w:p>
        </w:tc>
        <w:tc>
          <w:tcPr>
            <w:tcW w:w="0" w:type="auto"/>
            <w:vMerge/>
            <w:tcBorders>
              <w:top w:val="double" w:sz="4" w:space="0" w:color="C00000"/>
              <w:left w:val="double" w:sz="4" w:space="0" w:color="C00000"/>
              <w:bottom w:val="double" w:sz="4" w:space="0" w:color="C00000"/>
            </w:tcBorders>
            <w:vAlign w:val="center"/>
            <w:hideMark/>
          </w:tcPr>
          <w:p w14:paraId="07230FFE" w14:textId="77777777" w:rsidR="00856F66" w:rsidRPr="00E31657" w:rsidRDefault="00856F66" w:rsidP="00B24742">
            <w:pPr>
              <w:rPr>
                <w:rFonts w:cs="Arial"/>
                <w:b/>
                <w:bCs/>
                <w:sz w:val="16"/>
                <w:szCs w:val="16"/>
                <w:lang w:val="es-ES_tradnl" w:eastAsia="es-MX"/>
              </w:rPr>
            </w:pPr>
          </w:p>
        </w:tc>
      </w:tr>
      <w:tr w:rsidR="00856F66" w:rsidRPr="00E31657" w14:paraId="79DCEB1B"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23AC93"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t>Entregar 400 Beneficios Económicos Periódicos (BEPS) a creadores o gestores culturales que devenguen menos del salario mínimo legal vigente en Bogotá.</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A03F3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859</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A539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Resoluciones de Reconocimiento de beneficios Colpensiones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8AAA6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B7DC8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93055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41021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134</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4F9451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18.546.593.683</w:t>
            </w:r>
          </w:p>
        </w:tc>
      </w:tr>
      <w:tr w:rsidR="00856F66" w:rsidRPr="00E31657" w14:paraId="618209C1"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2B3463E5" w14:textId="77777777" w:rsidR="00856F66" w:rsidRPr="00E31657" w:rsidRDefault="00856F66" w:rsidP="005B6FB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3E9100D"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F197D9D"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F4E76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3.357.825.000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5DF5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4.859.853.144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93468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5.128.289.553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0606C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5.200.625.986</w:t>
            </w:r>
          </w:p>
        </w:tc>
        <w:tc>
          <w:tcPr>
            <w:tcW w:w="0" w:type="auto"/>
            <w:vMerge/>
            <w:tcBorders>
              <w:top w:val="double" w:sz="4" w:space="0" w:color="C00000"/>
              <w:left w:val="double" w:sz="4" w:space="0" w:color="C00000"/>
              <w:bottom w:val="double" w:sz="4" w:space="0" w:color="C00000"/>
            </w:tcBorders>
            <w:vAlign w:val="center"/>
            <w:hideMark/>
          </w:tcPr>
          <w:p w14:paraId="373E063C" w14:textId="77777777" w:rsidR="00856F66" w:rsidRPr="00E31657" w:rsidRDefault="00856F66" w:rsidP="00B24742">
            <w:pPr>
              <w:rPr>
                <w:rFonts w:cs="Arial"/>
                <w:b/>
                <w:bCs/>
                <w:sz w:val="16"/>
                <w:szCs w:val="16"/>
                <w:lang w:val="es-ES_tradnl" w:eastAsia="es-MX"/>
              </w:rPr>
            </w:pPr>
          </w:p>
        </w:tc>
      </w:tr>
      <w:tr w:rsidR="00856F66" w:rsidRPr="00E31657" w14:paraId="3DD40E52"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BD28C6"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t>Entregar 9.702 estímulos reconocimientos apoyos incentivos y alianzas estratégicas en el marco de los distintos programas de fomento.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D210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12.042</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DCEA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Sistema de Convocatorias (SICON)</w:t>
            </w:r>
            <w:r w:rsidRPr="00E31657">
              <w:rPr>
                <w:rFonts w:cs="Arial"/>
                <w:sz w:val="16"/>
                <w:szCs w:val="16"/>
                <w:lang w:val="es-ES_tradnl" w:eastAsia="es-MX"/>
              </w:rPr>
              <w:br/>
              <w:t>SEGPLAN</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2DC32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1.550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A420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2.694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84B78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2.743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8267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2.715</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AD30E2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155.313.518.746</w:t>
            </w:r>
          </w:p>
        </w:tc>
      </w:tr>
      <w:tr w:rsidR="00856F66" w:rsidRPr="00E31657" w14:paraId="454273A9"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0B363356" w14:textId="77777777" w:rsidR="00856F66" w:rsidRPr="00E31657" w:rsidRDefault="00856F66" w:rsidP="005B6FB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95C3206"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0F7EA78"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EAD2B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51.374.126.000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A277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36.174.249.515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C196E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35.477.122.250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C76BF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32.288.020.981</w:t>
            </w:r>
          </w:p>
        </w:tc>
        <w:tc>
          <w:tcPr>
            <w:tcW w:w="0" w:type="auto"/>
            <w:vMerge/>
            <w:tcBorders>
              <w:top w:val="double" w:sz="4" w:space="0" w:color="C00000"/>
              <w:left w:val="double" w:sz="4" w:space="0" w:color="C00000"/>
              <w:bottom w:val="double" w:sz="4" w:space="0" w:color="C00000"/>
            </w:tcBorders>
            <w:vAlign w:val="center"/>
            <w:hideMark/>
          </w:tcPr>
          <w:p w14:paraId="7986D912" w14:textId="77777777" w:rsidR="00856F66" w:rsidRPr="00E31657" w:rsidRDefault="00856F66" w:rsidP="00B24742">
            <w:pPr>
              <w:rPr>
                <w:rFonts w:cs="Arial"/>
                <w:b/>
                <w:bCs/>
                <w:sz w:val="16"/>
                <w:szCs w:val="16"/>
                <w:lang w:val="es-ES_tradnl" w:eastAsia="es-MX"/>
              </w:rPr>
            </w:pPr>
          </w:p>
        </w:tc>
      </w:tr>
      <w:tr w:rsidR="00856F66" w:rsidRPr="00E31657" w14:paraId="002042D7"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5BF86F"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lastRenderedPageBreak/>
              <w:t>Generar 100 contenidos y creaciones artísticas a través del uso de herramientas digitales y contenidos multiplataforma para la apropiación y uso de la cultura digital el ejercicio de los derechos el desarrollo humano y la promoción de la industria creativa y cultural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566C3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82C5D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ED6C2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59F4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FFC35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F4AA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C478E0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10.823.765.954</w:t>
            </w:r>
          </w:p>
        </w:tc>
      </w:tr>
      <w:tr w:rsidR="00856F66" w:rsidRPr="00E31657" w14:paraId="32CAB139"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70B0F098" w14:textId="77777777" w:rsidR="00856F66" w:rsidRPr="00E31657" w:rsidRDefault="00856F66" w:rsidP="005B6FB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F0AE3CA"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FD1AC40"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C9F4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B0307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2.815.533.981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40CE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3.130.361.014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3838B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2.977.870.960</w:t>
            </w:r>
          </w:p>
        </w:tc>
        <w:tc>
          <w:tcPr>
            <w:tcW w:w="0" w:type="auto"/>
            <w:vMerge/>
            <w:tcBorders>
              <w:top w:val="double" w:sz="4" w:space="0" w:color="C00000"/>
              <w:left w:val="double" w:sz="4" w:space="0" w:color="C00000"/>
              <w:bottom w:val="double" w:sz="4" w:space="0" w:color="C00000"/>
            </w:tcBorders>
            <w:vAlign w:val="center"/>
            <w:hideMark/>
          </w:tcPr>
          <w:p w14:paraId="05E4BA46" w14:textId="77777777" w:rsidR="00856F66" w:rsidRPr="00E31657" w:rsidRDefault="00856F66" w:rsidP="00B24742">
            <w:pPr>
              <w:rPr>
                <w:rFonts w:cs="Arial"/>
                <w:b/>
                <w:bCs/>
                <w:sz w:val="16"/>
                <w:szCs w:val="16"/>
                <w:lang w:val="es-ES_tradnl" w:eastAsia="es-MX"/>
              </w:rPr>
            </w:pPr>
          </w:p>
        </w:tc>
      </w:tr>
      <w:tr w:rsidR="00856F66" w:rsidRPr="00E31657" w14:paraId="747729A6"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FDAE7A" w14:textId="77777777" w:rsidR="00856F66" w:rsidRPr="00E31657" w:rsidRDefault="00856F66" w:rsidP="005B6FB2">
            <w:pPr>
              <w:jc w:val="right"/>
              <w:rPr>
                <w:rFonts w:cs="Arial"/>
                <w:sz w:val="16"/>
                <w:szCs w:val="16"/>
                <w:lang w:val="es-ES_tradnl" w:eastAsia="es-MX"/>
              </w:rPr>
            </w:pPr>
            <w:r w:rsidRPr="00E31657">
              <w:rPr>
                <w:rFonts w:cs="Arial"/>
                <w:sz w:val="16"/>
                <w:szCs w:val="16"/>
                <w:lang w:val="es-ES_tradnl" w:eastAsia="es-MX"/>
              </w:rPr>
              <w:t>Implementar 18 planes de acción que promuevan el reconocimiento apropiación intercambio e innovación en las prácticas artísticas culturales y patrimoniales de grupos étnicos etarios y sectores sociales promoviendo la multiculturalidad desde los distintos enfoques.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1B3E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465A4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023B0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9F17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636C7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4458A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90A1FE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16.099.948.385</w:t>
            </w:r>
          </w:p>
        </w:tc>
      </w:tr>
      <w:tr w:rsidR="00856F66" w:rsidRPr="00E31657" w14:paraId="7F528809"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1A85C523"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8E87EB3"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A51483C"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4CE9E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2.118.304.000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B6476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5.038.256.311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DDA69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4.777.975.304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4BB6F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4.165.412.770</w:t>
            </w:r>
          </w:p>
        </w:tc>
        <w:tc>
          <w:tcPr>
            <w:tcW w:w="0" w:type="auto"/>
            <w:vMerge/>
            <w:tcBorders>
              <w:top w:val="double" w:sz="4" w:space="0" w:color="C00000"/>
              <w:left w:val="double" w:sz="4" w:space="0" w:color="C00000"/>
              <w:bottom w:val="double" w:sz="4" w:space="0" w:color="C00000"/>
            </w:tcBorders>
            <w:vAlign w:val="center"/>
            <w:hideMark/>
          </w:tcPr>
          <w:p w14:paraId="60B79EC3" w14:textId="77777777" w:rsidR="00856F66" w:rsidRPr="00E31657" w:rsidRDefault="00856F66" w:rsidP="00B24742">
            <w:pPr>
              <w:rPr>
                <w:rFonts w:cs="Arial"/>
                <w:b/>
                <w:bCs/>
                <w:sz w:val="16"/>
                <w:szCs w:val="16"/>
                <w:lang w:val="es-ES_tradnl" w:eastAsia="es-MX"/>
              </w:rPr>
            </w:pPr>
          </w:p>
        </w:tc>
      </w:tr>
      <w:tr w:rsidR="00856F66" w:rsidRPr="00E31657" w14:paraId="4229EBB9"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39C260" w14:textId="77777777" w:rsidR="00856F66" w:rsidRPr="00E31657" w:rsidRDefault="00856F66" w:rsidP="005B6FB2">
            <w:pPr>
              <w:jc w:val="center"/>
              <w:rPr>
                <w:rFonts w:cs="Arial"/>
                <w:sz w:val="16"/>
                <w:szCs w:val="16"/>
                <w:lang w:val="es-ES_tradnl" w:eastAsia="es-MX"/>
              </w:rPr>
            </w:pPr>
            <w:r w:rsidRPr="00E31657">
              <w:rPr>
                <w:rFonts w:cs="Arial"/>
                <w:sz w:val="16"/>
                <w:szCs w:val="16"/>
                <w:lang w:val="es-ES_tradnl" w:eastAsia="es-MX"/>
              </w:rPr>
              <w:t>Implementar 4 asistencias técnicas para el reconocimiento y salvaguardia de manifestaciones del patrimonio cultural inmaterial de Bogotá.</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E28F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9AA07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Registros administrativos de los planes operativos anuales de seguimiento a metas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09B770" w14:textId="5E80F96A" w:rsidR="00856F66" w:rsidRPr="00E31657" w:rsidRDefault="00CB66AD" w:rsidP="00B24742">
            <w:pPr>
              <w:jc w:val="center"/>
              <w:rPr>
                <w:rFonts w:cs="Arial"/>
                <w:sz w:val="16"/>
                <w:szCs w:val="16"/>
                <w:lang w:val="es-ES_tradnl" w:eastAsia="es-MX"/>
              </w:rPr>
            </w:pPr>
            <w:r>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CF19DA" w14:textId="6A1ADA0C" w:rsidR="00856F66" w:rsidRPr="00E31657" w:rsidRDefault="00CB66AD" w:rsidP="00B24742">
            <w:pPr>
              <w:jc w:val="center"/>
              <w:rPr>
                <w:rFonts w:cs="Arial"/>
                <w:sz w:val="16"/>
                <w:szCs w:val="16"/>
                <w:lang w:val="es-ES_tradnl" w:eastAsia="es-MX"/>
              </w:rPr>
            </w:pPr>
            <w:r>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1FBC0D" w14:textId="6517826E" w:rsidR="00856F66" w:rsidRPr="00E31657" w:rsidRDefault="00CB66AD" w:rsidP="00B24742">
            <w:pPr>
              <w:jc w:val="center"/>
              <w:rPr>
                <w:rFonts w:cs="Arial"/>
                <w:sz w:val="16"/>
                <w:szCs w:val="16"/>
                <w:lang w:val="es-ES_tradnl" w:eastAsia="es-MX"/>
              </w:rPr>
            </w:pPr>
            <w:r>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7E22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7F6CD2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4.794.555.234</w:t>
            </w:r>
          </w:p>
        </w:tc>
      </w:tr>
      <w:tr w:rsidR="00856F66" w:rsidRPr="00E31657" w14:paraId="21CF8690"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5D44F0C5" w14:textId="77777777" w:rsidR="00856F66" w:rsidRPr="00E31657" w:rsidRDefault="00856F66" w:rsidP="005B6FB2">
            <w:pPr>
              <w:jc w:val="cente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8D5AA3B"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7F06C27"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7202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933.305.352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D271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1.242.718.447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51489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1.298.897.163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5A12D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1.319.634.273</w:t>
            </w:r>
          </w:p>
        </w:tc>
        <w:tc>
          <w:tcPr>
            <w:tcW w:w="0" w:type="auto"/>
            <w:vMerge/>
            <w:tcBorders>
              <w:top w:val="double" w:sz="4" w:space="0" w:color="C00000"/>
              <w:left w:val="double" w:sz="4" w:space="0" w:color="C00000"/>
              <w:bottom w:val="double" w:sz="4" w:space="0" w:color="C00000"/>
            </w:tcBorders>
            <w:vAlign w:val="center"/>
            <w:hideMark/>
          </w:tcPr>
          <w:p w14:paraId="409150A4" w14:textId="77777777" w:rsidR="00856F66" w:rsidRPr="00E31657" w:rsidRDefault="00856F66" w:rsidP="00B24742">
            <w:pPr>
              <w:rPr>
                <w:rFonts w:cs="Arial"/>
                <w:b/>
                <w:bCs/>
                <w:sz w:val="16"/>
                <w:szCs w:val="16"/>
                <w:lang w:val="es-ES_tradnl" w:eastAsia="es-MX"/>
              </w:rPr>
            </w:pPr>
          </w:p>
        </w:tc>
      </w:tr>
      <w:tr w:rsidR="00856F66" w:rsidRPr="00E31657" w14:paraId="2EC4F5D0"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69F3C4" w14:textId="77777777" w:rsidR="00856F66" w:rsidRPr="00E31657" w:rsidRDefault="00856F66" w:rsidP="005B6FB2">
            <w:pPr>
              <w:jc w:val="center"/>
              <w:rPr>
                <w:rFonts w:cs="Arial"/>
                <w:sz w:val="16"/>
                <w:szCs w:val="16"/>
                <w:lang w:val="es-ES_tradnl" w:eastAsia="es-MX"/>
              </w:rPr>
            </w:pPr>
            <w:r w:rsidRPr="00E31657">
              <w:rPr>
                <w:rFonts w:cs="Arial"/>
                <w:sz w:val="16"/>
                <w:szCs w:val="16"/>
                <w:lang w:val="es-ES_tradnl" w:eastAsia="es-MX"/>
              </w:rPr>
              <w:t>Implementar 52 programas de recreación deporte nuevas tendencias de actividad fisica y los eSports.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B97B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C57F6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IDRD</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B6631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0387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77CA8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A1E4E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ED64FE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560.390.295.630</w:t>
            </w:r>
          </w:p>
        </w:tc>
      </w:tr>
      <w:tr w:rsidR="00856F66" w:rsidRPr="00E31657" w14:paraId="7EF0885B"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551707C0" w14:textId="77777777" w:rsidR="00856F66" w:rsidRPr="00E31657" w:rsidRDefault="00856F66" w:rsidP="005B6FB2">
            <w:pPr>
              <w:jc w:val="cente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F912CC2"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F6F10C7"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E3775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151.166.586.245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65FE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130.054.757.282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D9A4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138.670.468.470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8B2B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140.498.483.633</w:t>
            </w:r>
          </w:p>
        </w:tc>
        <w:tc>
          <w:tcPr>
            <w:tcW w:w="0" w:type="auto"/>
            <w:vMerge/>
            <w:tcBorders>
              <w:top w:val="double" w:sz="4" w:space="0" w:color="C00000"/>
              <w:left w:val="double" w:sz="4" w:space="0" w:color="C00000"/>
              <w:bottom w:val="double" w:sz="4" w:space="0" w:color="C00000"/>
            </w:tcBorders>
            <w:vAlign w:val="center"/>
            <w:hideMark/>
          </w:tcPr>
          <w:p w14:paraId="700B5CB5" w14:textId="77777777" w:rsidR="00856F66" w:rsidRPr="00E31657" w:rsidRDefault="00856F66" w:rsidP="00B24742">
            <w:pPr>
              <w:rPr>
                <w:rFonts w:cs="Arial"/>
                <w:b/>
                <w:bCs/>
                <w:sz w:val="16"/>
                <w:szCs w:val="16"/>
                <w:lang w:val="es-ES_tradnl" w:eastAsia="es-MX"/>
              </w:rPr>
            </w:pPr>
          </w:p>
        </w:tc>
      </w:tr>
      <w:tr w:rsidR="00856F66" w:rsidRPr="00E31657" w14:paraId="2A3E1F83"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AC0DF5" w14:textId="77777777" w:rsidR="00856F66" w:rsidRPr="00E31657" w:rsidRDefault="00856F66" w:rsidP="005B6FB2">
            <w:pPr>
              <w:jc w:val="center"/>
              <w:rPr>
                <w:rFonts w:cs="Arial"/>
                <w:sz w:val="16"/>
                <w:szCs w:val="16"/>
                <w:lang w:val="es-ES_tradnl" w:eastAsia="es-MX"/>
              </w:rPr>
            </w:pPr>
            <w:r w:rsidRPr="00E31657">
              <w:rPr>
                <w:rFonts w:cs="Arial"/>
                <w:sz w:val="16"/>
                <w:szCs w:val="16"/>
                <w:lang w:val="es-ES_tradnl" w:eastAsia="es-MX"/>
              </w:rPr>
              <w:t xml:space="preserve">Promover 366 laboratorios barriales de innovación social y </w:t>
            </w:r>
            <w:r w:rsidRPr="00E31657">
              <w:rPr>
                <w:rFonts w:cs="Arial"/>
                <w:sz w:val="16"/>
                <w:szCs w:val="16"/>
                <w:lang w:val="es-ES_tradnl" w:eastAsia="es-MX"/>
              </w:rPr>
              <w:lastRenderedPageBreak/>
              <w:t>espacios de transformación cultural a partir de pactos que reconozcan la memoria la cultura la recreación y el deporte barrial la valoración social de estas prácticas la cualificación de la participación incidente y el sentido de identidad de ciudad.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A056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209F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935CF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6278C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C0263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87B1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9B61B3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90.779.799.379</w:t>
            </w:r>
          </w:p>
        </w:tc>
      </w:tr>
      <w:tr w:rsidR="00856F66" w:rsidRPr="00E31657" w14:paraId="79C626E7"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2C4BAFF8" w14:textId="77777777" w:rsidR="00856F66" w:rsidRPr="00E31657" w:rsidRDefault="00856F66" w:rsidP="005B6FB2">
            <w:pPr>
              <w:jc w:val="cente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EAA8C97"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FE07258"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8F6C9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18.601.540.300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46AA4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20.887.948.544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FF97E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25.422.727.873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732EA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25.867.582.662</w:t>
            </w:r>
          </w:p>
        </w:tc>
        <w:tc>
          <w:tcPr>
            <w:tcW w:w="0" w:type="auto"/>
            <w:vMerge/>
            <w:tcBorders>
              <w:top w:val="double" w:sz="4" w:space="0" w:color="C00000"/>
              <w:left w:val="double" w:sz="4" w:space="0" w:color="C00000"/>
              <w:bottom w:val="double" w:sz="4" w:space="0" w:color="C00000"/>
            </w:tcBorders>
            <w:vAlign w:val="center"/>
            <w:hideMark/>
          </w:tcPr>
          <w:p w14:paraId="1BD29C62" w14:textId="77777777" w:rsidR="00856F66" w:rsidRPr="00E31657" w:rsidRDefault="00856F66" w:rsidP="00B24742">
            <w:pPr>
              <w:rPr>
                <w:rFonts w:cs="Arial"/>
                <w:b/>
                <w:bCs/>
                <w:sz w:val="16"/>
                <w:szCs w:val="16"/>
                <w:lang w:val="es-ES_tradnl" w:eastAsia="es-MX"/>
              </w:rPr>
            </w:pPr>
          </w:p>
        </w:tc>
      </w:tr>
      <w:tr w:rsidR="00856F66" w:rsidRPr="00E31657" w14:paraId="30AB90B3" w14:textId="77777777" w:rsidTr="006E34FC">
        <w:trPr>
          <w:trHeight w:val="87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CF5AD0" w14:textId="77777777" w:rsidR="00856F66" w:rsidRPr="00E31657" w:rsidRDefault="00856F66" w:rsidP="005B6FB2">
            <w:pPr>
              <w:jc w:val="center"/>
              <w:rPr>
                <w:rFonts w:cs="Arial"/>
                <w:sz w:val="16"/>
                <w:szCs w:val="16"/>
                <w:lang w:val="es-ES_tradnl" w:eastAsia="es-MX"/>
              </w:rPr>
            </w:pPr>
            <w:r w:rsidRPr="00E31657">
              <w:rPr>
                <w:rFonts w:cs="Arial"/>
                <w:sz w:val="16"/>
                <w:szCs w:val="16"/>
                <w:lang w:val="es-ES_tradnl" w:eastAsia="es-MX"/>
              </w:rPr>
              <w:t>Realizar 1.500 actividades culturales y artísticas en barrios y veredas de Bogotá D.C. orientadas a fortalecer "al barrio" como lugar de encuentro y creación.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DBB0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4863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1AC778" w14:textId="77777777" w:rsidR="00856F66" w:rsidRPr="00E31657" w:rsidRDefault="00856F66" w:rsidP="00B24742">
            <w:pPr>
              <w:spacing w:after="240"/>
              <w:jc w:val="center"/>
              <w:rPr>
                <w:rFonts w:cs="Arial"/>
                <w:sz w:val="16"/>
                <w:szCs w:val="16"/>
                <w:lang w:val="es-ES_tradnl" w:eastAsia="es-MX"/>
              </w:rPr>
            </w:pPr>
            <w:r w:rsidRPr="00E31657">
              <w:rPr>
                <w:rFonts w:cs="Arial"/>
                <w:sz w:val="16"/>
                <w:szCs w:val="16"/>
                <w:lang w:val="es-ES_tradnl" w:eastAsia="es-MX"/>
              </w:rPr>
              <w:t>Segplan -Pandora 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63315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69B6C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95725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4F639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DAC93B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55.505.592.089</w:t>
            </w:r>
          </w:p>
        </w:tc>
      </w:tr>
      <w:tr w:rsidR="00856F66" w:rsidRPr="00E31657" w14:paraId="10E5881C" w14:textId="77777777" w:rsidTr="006E34FC">
        <w:trPr>
          <w:trHeight w:val="870"/>
        </w:trPr>
        <w:tc>
          <w:tcPr>
            <w:tcW w:w="0" w:type="auto"/>
            <w:vMerge/>
            <w:tcBorders>
              <w:top w:val="double" w:sz="4" w:space="0" w:color="C00000"/>
              <w:bottom w:val="double" w:sz="4" w:space="0" w:color="C00000"/>
              <w:right w:val="double" w:sz="4" w:space="0" w:color="C00000"/>
            </w:tcBorders>
            <w:vAlign w:val="center"/>
            <w:hideMark/>
          </w:tcPr>
          <w:p w14:paraId="40DAE5DD"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8B12A06"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FA600BF" w14:textId="77777777" w:rsidR="00856F66" w:rsidRPr="00E31657" w:rsidRDefault="00856F66" w:rsidP="00B2474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776D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13.637.627.000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B7CB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13.825.456.311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0CDA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14.146.934.678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1DAA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13.895.574.100</w:t>
            </w:r>
          </w:p>
        </w:tc>
        <w:tc>
          <w:tcPr>
            <w:tcW w:w="0" w:type="auto"/>
            <w:vMerge/>
            <w:tcBorders>
              <w:top w:val="double" w:sz="4" w:space="0" w:color="C00000"/>
              <w:left w:val="double" w:sz="4" w:space="0" w:color="C00000"/>
              <w:bottom w:val="double" w:sz="4" w:space="0" w:color="C00000"/>
            </w:tcBorders>
            <w:vAlign w:val="center"/>
            <w:hideMark/>
          </w:tcPr>
          <w:p w14:paraId="39230E3A" w14:textId="77777777" w:rsidR="00856F66" w:rsidRPr="00E31657" w:rsidRDefault="00856F66" w:rsidP="00B24742">
            <w:pPr>
              <w:rPr>
                <w:rFonts w:cs="Arial"/>
                <w:b/>
                <w:bCs/>
                <w:sz w:val="16"/>
                <w:szCs w:val="16"/>
                <w:lang w:val="es-ES_tradnl" w:eastAsia="es-MX"/>
              </w:rPr>
            </w:pPr>
          </w:p>
        </w:tc>
      </w:tr>
    </w:tbl>
    <w:p w14:paraId="50A3671F" w14:textId="77777777" w:rsidR="00856F66" w:rsidRPr="00E31657" w:rsidRDefault="00856F66">
      <w:pPr>
        <w:rPr>
          <w:sz w:val="16"/>
          <w:szCs w:val="16"/>
          <w:lang w:val="es-ES_tradnl"/>
        </w:rPr>
      </w:pPr>
    </w:p>
    <w:p w14:paraId="27B7FF02" w14:textId="77777777" w:rsidR="00856F66" w:rsidRDefault="00856F66">
      <w:pPr>
        <w:rPr>
          <w:sz w:val="16"/>
          <w:szCs w:val="16"/>
          <w:lang w:val="es-ES_tradnl"/>
        </w:rPr>
      </w:pPr>
    </w:p>
    <w:tbl>
      <w:tblPr>
        <w:tblW w:w="5000"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356"/>
        <w:gridCol w:w="879"/>
        <w:gridCol w:w="792"/>
        <w:gridCol w:w="1039"/>
        <w:gridCol w:w="1088"/>
        <w:gridCol w:w="1097"/>
        <w:gridCol w:w="1041"/>
        <w:gridCol w:w="1068"/>
      </w:tblGrid>
      <w:tr w:rsidR="00856F66" w:rsidRPr="00E31657" w14:paraId="06359BE1" w14:textId="77777777" w:rsidTr="00F974BB">
        <w:trPr>
          <w:trHeight w:val="315"/>
        </w:trPr>
        <w:tc>
          <w:tcPr>
            <w:tcW w:w="5000" w:type="pct"/>
            <w:gridSpan w:val="8"/>
            <w:tcMar>
              <w:top w:w="30" w:type="dxa"/>
              <w:left w:w="45" w:type="dxa"/>
              <w:bottom w:w="30" w:type="dxa"/>
              <w:right w:w="45" w:type="dxa"/>
            </w:tcMar>
            <w:vAlign w:val="center"/>
            <w:hideMark/>
          </w:tcPr>
          <w:p w14:paraId="0F4286AF" w14:textId="77777777" w:rsidR="00856F66" w:rsidRPr="00E31657" w:rsidRDefault="00856F66" w:rsidP="00B24742">
            <w:pPr>
              <w:jc w:val="center"/>
              <w:rPr>
                <w:rFonts w:cs="Arial"/>
                <w:b/>
                <w:bCs/>
                <w:sz w:val="16"/>
                <w:szCs w:val="16"/>
                <w:lang w:val="es-ES_tradnl" w:eastAsia="es-MX"/>
              </w:rPr>
            </w:pPr>
            <w:r w:rsidRPr="00E31657">
              <w:rPr>
                <w:rFonts w:cs="Arial"/>
                <w:b/>
                <w:bCs/>
                <w:color w:val="C00000"/>
                <w:lang w:val="es-ES_tradnl" w:eastAsia="es-MX"/>
              </w:rPr>
              <w:t xml:space="preserve">Programa 15. </w:t>
            </w:r>
            <w:r w:rsidRPr="00E31657">
              <w:rPr>
                <w:rFonts w:cs="Arial"/>
                <w:lang w:val="es-ES_tradnl" w:eastAsia="es-MX"/>
              </w:rPr>
              <w:t>Bogotá protege todas las formas de vida</w:t>
            </w:r>
          </w:p>
        </w:tc>
      </w:tr>
      <w:tr w:rsidR="00856F66" w:rsidRPr="00E31657" w14:paraId="6259DD15" w14:textId="77777777" w:rsidTr="00ED49FA">
        <w:trPr>
          <w:trHeight w:val="315"/>
        </w:trPr>
        <w:tc>
          <w:tcPr>
            <w:tcW w:w="1259" w:type="pct"/>
            <w:vMerge w:val="restart"/>
            <w:shd w:val="clear" w:color="auto" w:fill="C00000"/>
            <w:tcMar>
              <w:top w:w="30" w:type="dxa"/>
              <w:left w:w="45" w:type="dxa"/>
              <w:bottom w:w="30" w:type="dxa"/>
              <w:right w:w="45" w:type="dxa"/>
            </w:tcMar>
            <w:vAlign w:val="center"/>
            <w:hideMark/>
          </w:tcPr>
          <w:p w14:paraId="51A9B1F9"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Sector / Metas</w:t>
            </w:r>
          </w:p>
        </w:tc>
        <w:tc>
          <w:tcPr>
            <w:tcW w:w="3741" w:type="pct"/>
            <w:gridSpan w:val="7"/>
            <w:shd w:val="clear" w:color="auto" w:fill="C00000"/>
            <w:tcMar>
              <w:top w:w="30" w:type="dxa"/>
              <w:left w:w="45" w:type="dxa"/>
              <w:bottom w:w="30" w:type="dxa"/>
              <w:right w:w="45" w:type="dxa"/>
            </w:tcMar>
            <w:vAlign w:val="center"/>
            <w:hideMark/>
          </w:tcPr>
          <w:p w14:paraId="761D6FE0" w14:textId="77777777" w:rsidR="00856F66" w:rsidRPr="00E31657" w:rsidRDefault="00856F66" w:rsidP="000064A0">
            <w:pPr>
              <w:pStyle w:val="Ttulo"/>
              <w:jc w:val="center"/>
              <w:rPr>
                <w:lang w:val="es-ES_tradnl"/>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5F97D732" w14:textId="77777777" w:rsidTr="00ED49FA">
        <w:trPr>
          <w:trHeight w:val="315"/>
        </w:trPr>
        <w:tc>
          <w:tcPr>
            <w:tcW w:w="1259" w:type="pct"/>
            <w:vMerge/>
            <w:shd w:val="clear" w:color="auto" w:fill="C00000"/>
            <w:vAlign w:val="center"/>
            <w:hideMark/>
          </w:tcPr>
          <w:p w14:paraId="2C836072" w14:textId="77777777" w:rsidR="00856F66" w:rsidRPr="00E31657" w:rsidRDefault="00856F66" w:rsidP="00B24742">
            <w:pPr>
              <w:rPr>
                <w:rFonts w:cs="Arial"/>
                <w:b/>
                <w:bCs/>
                <w:color w:val="FFFFFF"/>
                <w:sz w:val="16"/>
                <w:szCs w:val="16"/>
                <w:lang w:val="es-ES_tradnl" w:eastAsia="es-MX"/>
              </w:rPr>
            </w:pPr>
          </w:p>
        </w:tc>
        <w:tc>
          <w:tcPr>
            <w:tcW w:w="470" w:type="pct"/>
            <w:shd w:val="clear" w:color="auto" w:fill="D9D9D9"/>
            <w:tcMar>
              <w:top w:w="30" w:type="dxa"/>
              <w:left w:w="45" w:type="dxa"/>
              <w:bottom w:w="30" w:type="dxa"/>
              <w:right w:w="45" w:type="dxa"/>
            </w:tcMar>
            <w:vAlign w:val="center"/>
            <w:hideMark/>
          </w:tcPr>
          <w:p w14:paraId="4717CBE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423" w:type="pct"/>
            <w:shd w:val="clear" w:color="auto" w:fill="D9D9D9"/>
            <w:tcMar>
              <w:top w:w="30" w:type="dxa"/>
              <w:left w:w="45" w:type="dxa"/>
              <w:bottom w:w="30" w:type="dxa"/>
              <w:right w:w="45" w:type="dxa"/>
            </w:tcMar>
            <w:vAlign w:val="center"/>
            <w:hideMark/>
          </w:tcPr>
          <w:p w14:paraId="76F5681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55" w:type="pct"/>
            <w:shd w:val="clear" w:color="auto" w:fill="D9D9D9"/>
            <w:tcMar>
              <w:top w:w="30" w:type="dxa"/>
              <w:left w:w="45" w:type="dxa"/>
              <w:bottom w:w="30" w:type="dxa"/>
              <w:right w:w="45" w:type="dxa"/>
            </w:tcMar>
            <w:vAlign w:val="center"/>
            <w:hideMark/>
          </w:tcPr>
          <w:p w14:paraId="3FA7A6D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581" w:type="pct"/>
            <w:shd w:val="clear" w:color="auto" w:fill="D9D9D9"/>
            <w:tcMar>
              <w:top w:w="30" w:type="dxa"/>
              <w:left w:w="45" w:type="dxa"/>
              <w:bottom w:w="30" w:type="dxa"/>
              <w:right w:w="45" w:type="dxa"/>
            </w:tcMar>
            <w:vAlign w:val="center"/>
            <w:hideMark/>
          </w:tcPr>
          <w:p w14:paraId="1DB7F6B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586" w:type="pct"/>
            <w:shd w:val="clear" w:color="auto" w:fill="D9D9D9"/>
            <w:tcMar>
              <w:top w:w="30" w:type="dxa"/>
              <w:left w:w="45" w:type="dxa"/>
              <w:bottom w:w="30" w:type="dxa"/>
              <w:right w:w="45" w:type="dxa"/>
            </w:tcMar>
            <w:vAlign w:val="center"/>
            <w:hideMark/>
          </w:tcPr>
          <w:p w14:paraId="3581CE2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556" w:type="pct"/>
            <w:shd w:val="clear" w:color="auto" w:fill="D9D9D9"/>
            <w:tcMar>
              <w:top w:w="30" w:type="dxa"/>
              <w:left w:w="45" w:type="dxa"/>
              <w:bottom w:w="30" w:type="dxa"/>
              <w:right w:w="45" w:type="dxa"/>
            </w:tcMar>
            <w:vAlign w:val="center"/>
            <w:hideMark/>
          </w:tcPr>
          <w:p w14:paraId="4FCECD6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571" w:type="pct"/>
            <w:shd w:val="clear" w:color="auto" w:fill="D9D9D9"/>
            <w:tcMar>
              <w:top w:w="30" w:type="dxa"/>
              <w:left w:w="45" w:type="dxa"/>
              <w:bottom w:w="30" w:type="dxa"/>
              <w:right w:w="45" w:type="dxa"/>
            </w:tcMar>
            <w:vAlign w:val="center"/>
            <w:hideMark/>
          </w:tcPr>
          <w:p w14:paraId="4BAA4EA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BB52E06"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5F278F66"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Ambiente</w:t>
            </w:r>
          </w:p>
        </w:tc>
      </w:tr>
      <w:tr w:rsidR="00856F66" w:rsidRPr="00E31657" w14:paraId="653905F1" w14:textId="77777777" w:rsidTr="00ED49FA">
        <w:trPr>
          <w:trHeight w:val="720"/>
        </w:trPr>
        <w:tc>
          <w:tcPr>
            <w:tcW w:w="1259" w:type="pct"/>
            <w:vMerge w:val="restart"/>
            <w:tcMar>
              <w:top w:w="30" w:type="dxa"/>
              <w:left w:w="45" w:type="dxa"/>
              <w:bottom w:w="30" w:type="dxa"/>
              <w:right w:w="45" w:type="dxa"/>
            </w:tcMar>
            <w:vAlign w:val="center"/>
            <w:hideMark/>
          </w:tcPr>
          <w:p w14:paraId="40B35A38"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Atender 19.500 animales en condición de presunto maltrato incluidos especies de granja no convencionales en el Distrito Capital.</w:t>
            </w:r>
          </w:p>
        </w:tc>
        <w:tc>
          <w:tcPr>
            <w:tcW w:w="470" w:type="pct"/>
            <w:vMerge w:val="restart"/>
            <w:tcMar>
              <w:top w:w="30" w:type="dxa"/>
              <w:left w:w="45" w:type="dxa"/>
              <w:bottom w:w="30" w:type="dxa"/>
              <w:right w:w="45" w:type="dxa"/>
            </w:tcMar>
            <w:vAlign w:val="center"/>
            <w:hideMark/>
          </w:tcPr>
          <w:p w14:paraId="3B98FF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4164</w:t>
            </w:r>
            <w:r w:rsidRPr="00E31657">
              <w:rPr>
                <w:rFonts w:cs="Arial"/>
                <w:sz w:val="16"/>
                <w:szCs w:val="16"/>
                <w:lang w:val="es-ES_tradnl" w:eastAsia="es-MX"/>
              </w:rPr>
              <w:br/>
              <w:t>(2023)</w:t>
            </w:r>
          </w:p>
        </w:tc>
        <w:tc>
          <w:tcPr>
            <w:tcW w:w="423" w:type="pct"/>
            <w:vMerge w:val="restart"/>
            <w:tcMar>
              <w:top w:w="30" w:type="dxa"/>
              <w:left w:w="45" w:type="dxa"/>
              <w:bottom w:w="30" w:type="dxa"/>
              <w:right w:w="45" w:type="dxa"/>
            </w:tcMar>
            <w:vAlign w:val="center"/>
            <w:hideMark/>
          </w:tcPr>
          <w:p w14:paraId="778D72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086936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3.000</w:t>
            </w:r>
          </w:p>
        </w:tc>
        <w:tc>
          <w:tcPr>
            <w:tcW w:w="581" w:type="pct"/>
            <w:tcMar>
              <w:top w:w="30" w:type="dxa"/>
              <w:left w:w="45" w:type="dxa"/>
              <w:bottom w:w="30" w:type="dxa"/>
              <w:right w:w="45" w:type="dxa"/>
            </w:tcMar>
            <w:vAlign w:val="center"/>
            <w:hideMark/>
          </w:tcPr>
          <w:p w14:paraId="475B8DF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5.900</w:t>
            </w:r>
          </w:p>
        </w:tc>
        <w:tc>
          <w:tcPr>
            <w:tcW w:w="586" w:type="pct"/>
            <w:tcMar>
              <w:top w:w="30" w:type="dxa"/>
              <w:left w:w="45" w:type="dxa"/>
              <w:bottom w:w="30" w:type="dxa"/>
              <w:right w:w="45" w:type="dxa"/>
            </w:tcMar>
            <w:vAlign w:val="center"/>
            <w:hideMark/>
          </w:tcPr>
          <w:p w14:paraId="1E61CD3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5.800</w:t>
            </w:r>
          </w:p>
        </w:tc>
        <w:tc>
          <w:tcPr>
            <w:tcW w:w="556" w:type="pct"/>
            <w:tcMar>
              <w:top w:w="30" w:type="dxa"/>
              <w:left w:w="45" w:type="dxa"/>
              <w:bottom w:w="30" w:type="dxa"/>
              <w:right w:w="45" w:type="dxa"/>
            </w:tcMar>
            <w:vAlign w:val="center"/>
            <w:hideMark/>
          </w:tcPr>
          <w:p w14:paraId="290A8F5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4.800</w:t>
            </w:r>
          </w:p>
        </w:tc>
        <w:tc>
          <w:tcPr>
            <w:tcW w:w="571" w:type="pct"/>
            <w:vMerge w:val="restart"/>
            <w:tcMar>
              <w:top w:w="30" w:type="dxa"/>
              <w:left w:w="45" w:type="dxa"/>
              <w:bottom w:w="30" w:type="dxa"/>
              <w:right w:w="45" w:type="dxa"/>
            </w:tcMar>
            <w:vAlign w:val="center"/>
            <w:hideMark/>
          </w:tcPr>
          <w:p w14:paraId="15291C8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3.012.138.624</w:t>
            </w:r>
          </w:p>
        </w:tc>
      </w:tr>
      <w:tr w:rsidR="00856F66" w:rsidRPr="00E31657" w14:paraId="2A68DD5C" w14:textId="77777777" w:rsidTr="00ED49FA">
        <w:trPr>
          <w:trHeight w:val="720"/>
        </w:trPr>
        <w:tc>
          <w:tcPr>
            <w:tcW w:w="1259" w:type="pct"/>
            <w:vMerge/>
            <w:vAlign w:val="center"/>
            <w:hideMark/>
          </w:tcPr>
          <w:p w14:paraId="57A5DBA5" w14:textId="77777777" w:rsidR="00856F66" w:rsidRPr="00E31657" w:rsidRDefault="00856F66" w:rsidP="00D028D8">
            <w:pPr>
              <w:jc w:val="right"/>
              <w:rPr>
                <w:rFonts w:cs="Arial"/>
                <w:sz w:val="16"/>
                <w:szCs w:val="16"/>
                <w:lang w:val="es-ES_tradnl" w:eastAsia="es-MX"/>
              </w:rPr>
            </w:pPr>
          </w:p>
        </w:tc>
        <w:tc>
          <w:tcPr>
            <w:tcW w:w="470" w:type="pct"/>
            <w:vMerge/>
            <w:vAlign w:val="center"/>
            <w:hideMark/>
          </w:tcPr>
          <w:p w14:paraId="10E834C4" w14:textId="77777777" w:rsidR="00856F66" w:rsidRPr="00E31657" w:rsidRDefault="00856F66" w:rsidP="00B24742">
            <w:pPr>
              <w:rPr>
                <w:rFonts w:cs="Arial"/>
                <w:sz w:val="16"/>
                <w:szCs w:val="16"/>
                <w:lang w:val="es-ES_tradnl" w:eastAsia="es-MX"/>
              </w:rPr>
            </w:pPr>
          </w:p>
        </w:tc>
        <w:tc>
          <w:tcPr>
            <w:tcW w:w="423" w:type="pct"/>
            <w:vMerge/>
            <w:vAlign w:val="center"/>
            <w:hideMark/>
          </w:tcPr>
          <w:p w14:paraId="373D054A"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3B00C9A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486.145.286</w:t>
            </w:r>
          </w:p>
        </w:tc>
        <w:tc>
          <w:tcPr>
            <w:tcW w:w="581" w:type="pct"/>
            <w:tcMar>
              <w:top w:w="30" w:type="dxa"/>
              <w:left w:w="45" w:type="dxa"/>
              <w:bottom w:w="30" w:type="dxa"/>
              <w:right w:w="45" w:type="dxa"/>
            </w:tcMar>
            <w:vAlign w:val="center"/>
            <w:hideMark/>
          </w:tcPr>
          <w:p w14:paraId="28455A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928.238.573</w:t>
            </w:r>
          </w:p>
        </w:tc>
        <w:tc>
          <w:tcPr>
            <w:tcW w:w="586" w:type="pct"/>
            <w:tcMar>
              <w:top w:w="30" w:type="dxa"/>
              <w:left w:w="45" w:type="dxa"/>
              <w:bottom w:w="30" w:type="dxa"/>
              <w:right w:w="45" w:type="dxa"/>
            </w:tcMar>
            <w:vAlign w:val="center"/>
            <w:hideMark/>
          </w:tcPr>
          <w:p w14:paraId="07A1148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885.927.879</w:t>
            </w:r>
          </w:p>
        </w:tc>
        <w:tc>
          <w:tcPr>
            <w:tcW w:w="556" w:type="pct"/>
            <w:tcMar>
              <w:top w:w="30" w:type="dxa"/>
              <w:left w:w="45" w:type="dxa"/>
              <w:bottom w:w="30" w:type="dxa"/>
              <w:right w:w="45" w:type="dxa"/>
            </w:tcMar>
            <w:vAlign w:val="center"/>
            <w:hideMark/>
          </w:tcPr>
          <w:p w14:paraId="499DC1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711.826.886</w:t>
            </w:r>
          </w:p>
        </w:tc>
        <w:tc>
          <w:tcPr>
            <w:tcW w:w="571" w:type="pct"/>
            <w:vMerge/>
            <w:vAlign w:val="center"/>
            <w:hideMark/>
          </w:tcPr>
          <w:p w14:paraId="441D12D9" w14:textId="77777777" w:rsidR="00856F66" w:rsidRPr="00E31657" w:rsidRDefault="00856F66" w:rsidP="00B24742">
            <w:pPr>
              <w:rPr>
                <w:rFonts w:cs="Arial"/>
                <w:b/>
                <w:bCs/>
                <w:sz w:val="16"/>
                <w:szCs w:val="16"/>
                <w:lang w:val="es-ES_tradnl" w:eastAsia="es-MX"/>
              </w:rPr>
            </w:pPr>
          </w:p>
        </w:tc>
      </w:tr>
      <w:tr w:rsidR="00856F66" w:rsidRPr="00E31657" w14:paraId="1BA2B7C8" w14:textId="77777777" w:rsidTr="00ED49FA">
        <w:trPr>
          <w:trHeight w:val="720"/>
        </w:trPr>
        <w:tc>
          <w:tcPr>
            <w:tcW w:w="1259" w:type="pct"/>
            <w:vMerge w:val="restart"/>
            <w:tcMar>
              <w:top w:w="30" w:type="dxa"/>
              <w:left w:w="45" w:type="dxa"/>
              <w:bottom w:w="30" w:type="dxa"/>
              <w:right w:w="45" w:type="dxa"/>
            </w:tcMar>
            <w:vAlign w:val="center"/>
            <w:hideMark/>
          </w:tcPr>
          <w:p w14:paraId="1400D3B0"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Atender 46.800 animales en los programas de atención integral de la fauna doméstica del Distrito Capital</w:t>
            </w:r>
          </w:p>
        </w:tc>
        <w:tc>
          <w:tcPr>
            <w:tcW w:w="470" w:type="pct"/>
            <w:vMerge w:val="restart"/>
            <w:tcMar>
              <w:top w:w="30" w:type="dxa"/>
              <w:left w:w="45" w:type="dxa"/>
              <w:bottom w:w="30" w:type="dxa"/>
              <w:right w:w="45" w:type="dxa"/>
            </w:tcMar>
            <w:vAlign w:val="center"/>
            <w:hideMark/>
          </w:tcPr>
          <w:p w14:paraId="7EC5C26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5840</w:t>
            </w:r>
            <w:r w:rsidRPr="00E31657">
              <w:rPr>
                <w:rFonts w:cs="Arial"/>
                <w:sz w:val="16"/>
                <w:szCs w:val="16"/>
                <w:lang w:val="es-ES_tradnl" w:eastAsia="es-MX"/>
              </w:rPr>
              <w:br/>
              <w:t>(2023)</w:t>
            </w:r>
          </w:p>
        </w:tc>
        <w:tc>
          <w:tcPr>
            <w:tcW w:w="423" w:type="pct"/>
            <w:vMerge w:val="restart"/>
            <w:tcMar>
              <w:top w:w="30" w:type="dxa"/>
              <w:left w:w="45" w:type="dxa"/>
              <w:bottom w:w="30" w:type="dxa"/>
              <w:right w:w="45" w:type="dxa"/>
            </w:tcMar>
            <w:vAlign w:val="center"/>
            <w:hideMark/>
          </w:tcPr>
          <w:p w14:paraId="03C0D8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18386E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6.000</w:t>
            </w:r>
          </w:p>
        </w:tc>
        <w:tc>
          <w:tcPr>
            <w:tcW w:w="581" w:type="pct"/>
            <w:tcMar>
              <w:top w:w="30" w:type="dxa"/>
              <w:left w:w="45" w:type="dxa"/>
              <w:bottom w:w="30" w:type="dxa"/>
              <w:right w:w="45" w:type="dxa"/>
            </w:tcMar>
            <w:vAlign w:val="center"/>
            <w:hideMark/>
          </w:tcPr>
          <w:p w14:paraId="47F3153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13.000</w:t>
            </w:r>
          </w:p>
        </w:tc>
        <w:tc>
          <w:tcPr>
            <w:tcW w:w="586" w:type="pct"/>
            <w:tcMar>
              <w:top w:w="30" w:type="dxa"/>
              <w:left w:w="45" w:type="dxa"/>
              <w:bottom w:w="30" w:type="dxa"/>
              <w:right w:w="45" w:type="dxa"/>
            </w:tcMar>
            <w:vAlign w:val="center"/>
            <w:hideMark/>
          </w:tcPr>
          <w:p w14:paraId="538293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13.900</w:t>
            </w:r>
          </w:p>
        </w:tc>
        <w:tc>
          <w:tcPr>
            <w:tcW w:w="556" w:type="pct"/>
            <w:tcMar>
              <w:top w:w="30" w:type="dxa"/>
              <w:left w:w="45" w:type="dxa"/>
              <w:bottom w:w="30" w:type="dxa"/>
              <w:right w:w="45" w:type="dxa"/>
            </w:tcMar>
            <w:vAlign w:val="center"/>
            <w:hideMark/>
          </w:tcPr>
          <w:p w14:paraId="5365A85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13.900</w:t>
            </w:r>
          </w:p>
        </w:tc>
        <w:tc>
          <w:tcPr>
            <w:tcW w:w="571" w:type="pct"/>
            <w:vMerge w:val="restart"/>
            <w:tcMar>
              <w:top w:w="30" w:type="dxa"/>
              <w:left w:w="45" w:type="dxa"/>
              <w:bottom w:w="30" w:type="dxa"/>
              <w:right w:w="45" w:type="dxa"/>
            </w:tcMar>
            <w:vAlign w:val="center"/>
            <w:hideMark/>
          </w:tcPr>
          <w:p w14:paraId="7DF7847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26.565.361.807</w:t>
            </w:r>
          </w:p>
        </w:tc>
      </w:tr>
      <w:tr w:rsidR="00856F66" w:rsidRPr="00E31657" w14:paraId="317B1640" w14:textId="77777777" w:rsidTr="00ED49FA">
        <w:trPr>
          <w:trHeight w:val="720"/>
        </w:trPr>
        <w:tc>
          <w:tcPr>
            <w:tcW w:w="1259" w:type="pct"/>
            <w:vMerge/>
            <w:vAlign w:val="center"/>
            <w:hideMark/>
          </w:tcPr>
          <w:p w14:paraId="4C713D9C" w14:textId="77777777" w:rsidR="00856F66" w:rsidRPr="00E31657" w:rsidRDefault="00856F66" w:rsidP="00D028D8">
            <w:pPr>
              <w:jc w:val="right"/>
              <w:rPr>
                <w:rFonts w:cs="Arial"/>
                <w:sz w:val="16"/>
                <w:szCs w:val="16"/>
                <w:lang w:val="es-ES_tradnl" w:eastAsia="es-MX"/>
              </w:rPr>
            </w:pPr>
          </w:p>
        </w:tc>
        <w:tc>
          <w:tcPr>
            <w:tcW w:w="470" w:type="pct"/>
            <w:vMerge/>
            <w:vAlign w:val="center"/>
            <w:hideMark/>
          </w:tcPr>
          <w:p w14:paraId="2F556E3A" w14:textId="77777777" w:rsidR="00856F66" w:rsidRPr="00E31657" w:rsidRDefault="00856F66" w:rsidP="00B24742">
            <w:pPr>
              <w:rPr>
                <w:rFonts w:cs="Arial"/>
                <w:sz w:val="16"/>
                <w:szCs w:val="16"/>
                <w:lang w:val="es-ES_tradnl" w:eastAsia="es-MX"/>
              </w:rPr>
            </w:pPr>
          </w:p>
        </w:tc>
        <w:tc>
          <w:tcPr>
            <w:tcW w:w="423" w:type="pct"/>
            <w:vMerge/>
            <w:vAlign w:val="center"/>
            <w:hideMark/>
          </w:tcPr>
          <w:p w14:paraId="7B7277C4"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71698C1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3.504.212.699</w:t>
            </w:r>
          </w:p>
        </w:tc>
        <w:tc>
          <w:tcPr>
            <w:tcW w:w="581" w:type="pct"/>
            <w:tcMar>
              <w:top w:w="30" w:type="dxa"/>
              <w:left w:w="45" w:type="dxa"/>
              <w:bottom w:w="30" w:type="dxa"/>
              <w:right w:w="45" w:type="dxa"/>
            </w:tcMar>
            <w:vAlign w:val="center"/>
            <w:hideMark/>
          </w:tcPr>
          <w:p w14:paraId="7930522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7.546.140.125</w:t>
            </w:r>
          </w:p>
        </w:tc>
        <w:tc>
          <w:tcPr>
            <w:tcW w:w="586" w:type="pct"/>
            <w:tcMar>
              <w:top w:w="30" w:type="dxa"/>
              <w:left w:w="45" w:type="dxa"/>
              <w:bottom w:w="30" w:type="dxa"/>
              <w:right w:w="45" w:type="dxa"/>
            </w:tcMar>
            <w:vAlign w:val="center"/>
            <w:hideMark/>
          </w:tcPr>
          <w:p w14:paraId="4DCC8F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7.833.558.457</w:t>
            </w:r>
          </w:p>
        </w:tc>
        <w:tc>
          <w:tcPr>
            <w:tcW w:w="556" w:type="pct"/>
            <w:tcMar>
              <w:top w:w="30" w:type="dxa"/>
              <w:left w:w="45" w:type="dxa"/>
              <w:bottom w:w="30" w:type="dxa"/>
              <w:right w:w="45" w:type="dxa"/>
            </w:tcMar>
            <w:vAlign w:val="center"/>
            <w:hideMark/>
          </w:tcPr>
          <w:p w14:paraId="3BA988D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7.681.450.526</w:t>
            </w:r>
          </w:p>
        </w:tc>
        <w:tc>
          <w:tcPr>
            <w:tcW w:w="571" w:type="pct"/>
            <w:vMerge/>
            <w:vAlign w:val="center"/>
            <w:hideMark/>
          </w:tcPr>
          <w:p w14:paraId="71F3CFE2" w14:textId="77777777" w:rsidR="00856F66" w:rsidRPr="00E31657" w:rsidRDefault="00856F66" w:rsidP="00B24742">
            <w:pPr>
              <w:rPr>
                <w:rFonts w:cs="Arial"/>
                <w:b/>
                <w:bCs/>
                <w:sz w:val="16"/>
                <w:szCs w:val="16"/>
                <w:lang w:val="es-ES_tradnl" w:eastAsia="es-MX"/>
              </w:rPr>
            </w:pPr>
          </w:p>
        </w:tc>
      </w:tr>
      <w:tr w:rsidR="00BD11A4" w:rsidRPr="00E31657" w14:paraId="575DB4F0" w14:textId="77777777" w:rsidTr="00ED49FA">
        <w:trPr>
          <w:trHeight w:val="720"/>
        </w:trPr>
        <w:tc>
          <w:tcPr>
            <w:tcW w:w="1259" w:type="pct"/>
            <w:vMerge w:val="restart"/>
            <w:tcMar>
              <w:top w:w="30" w:type="dxa"/>
              <w:left w:w="45" w:type="dxa"/>
              <w:bottom w:w="30" w:type="dxa"/>
              <w:right w:w="45" w:type="dxa"/>
            </w:tcMar>
            <w:vAlign w:val="center"/>
            <w:hideMark/>
          </w:tcPr>
          <w:p w14:paraId="54C383A6" w14:textId="77777777" w:rsidR="00BD11A4" w:rsidRPr="00F50DB2" w:rsidRDefault="00BD11A4" w:rsidP="00BD11A4">
            <w:pPr>
              <w:jc w:val="right"/>
              <w:rPr>
                <w:rFonts w:cs="Arial"/>
                <w:sz w:val="16"/>
                <w:szCs w:val="16"/>
                <w:lang w:val="es-ES_tradnl" w:eastAsia="es-MX"/>
              </w:rPr>
            </w:pPr>
            <w:r w:rsidRPr="00F50DB2">
              <w:rPr>
                <w:rFonts w:cs="Arial"/>
                <w:sz w:val="16"/>
                <w:szCs w:val="16"/>
                <w:lang w:val="es-ES_tradnl" w:eastAsia="es-MX"/>
              </w:rPr>
              <w:lastRenderedPageBreak/>
              <w:t>Esterilizar 300.000 perros y</w:t>
            </w:r>
          </w:p>
          <w:p w14:paraId="6B9E5018" w14:textId="77777777" w:rsidR="00BD11A4" w:rsidRPr="00F50DB2" w:rsidRDefault="00BD11A4" w:rsidP="00BD11A4">
            <w:pPr>
              <w:jc w:val="right"/>
              <w:rPr>
                <w:rFonts w:cs="Arial"/>
                <w:sz w:val="16"/>
                <w:szCs w:val="16"/>
                <w:lang w:val="es-ES_tradnl" w:eastAsia="es-MX"/>
              </w:rPr>
            </w:pPr>
            <w:r w:rsidRPr="00F50DB2">
              <w:rPr>
                <w:rFonts w:cs="Arial"/>
                <w:sz w:val="16"/>
                <w:szCs w:val="16"/>
                <w:lang w:val="es-ES_tradnl" w:eastAsia="es-MX"/>
              </w:rPr>
              <w:t>gatos en el Distrito, a través de</w:t>
            </w:r>
          </w:p>
          <w:p w14:paraId="5A11668C" w14:textId="33738BED" w:rsidR="00BD11A4" w:rsidRPr="00E31657" w:rsidRDefault="00BD11A4" w:rsidP="00BD11A4">
            <w:pPr>
              <w:jc w:val="right"/>
              <w:rPr>
                <w:rFonts w:cs="Arial"/>
                <w:sz w:val="16"/>
                <w:szCs w:val="16"/>
                <w:lang w:val="es-ES_tradnl" w:eastAsia="es-MX"/>
              </w:rPr>
            </w:pPr>
            <w:r w:rsidRPr="00F50DB2">
              <w:rPr>
                <w:rFonts w:cs="Arial"/>
                <w:sz w:val="16"/>
                <w:szCs w:val="16"/>
                <w:lang w:val="es-ES_tradnl" w:eastAsia="es-MX"/>
              </w:rPr>
              <w:t>alianzas y una gestión eficiente.</w:t>
            </w:r>
            <w:r w:rsidRPr="00E31657">
              <w:rPr>
                <w:rFonts w:cs="Arial"/>
                <w:sz w:val="16"/>
                <w:szCs w:val="16"/>
                <w:lang w:val="es-ES_tradnl" w:eastAsia="es-MX"/>
              </w:rPr>
              <w:t>.</w:t>
            </w:r>
          </w:p>
        </w:tc>
        <w:tc>
          <w:tcPr>
            <w:tcW w:w="470" w:type="pct"/>
            <w:vMerge w:val="restart"/>
            <w:tcMar>
              <w:top w:w="30" w:type="dxa"/>
              <w:left w:w="45" w:type="dxa"/>
              <w:bottom w:w="30" w:type="dxa"/>
              <w:right w:w="45" w:type="dxa"/>
            </w:tcMar>
            <w:vAlign w:val="center"/>
            <w:hideMark/>
          </w:tcPr>
          <w:p w14:paraId="6897E5C5" w14:textId="77777777" w:rsidR="00BD11A4" w:rsidRPr="00E31657" w:rsidRDefault="00BD11A4" w:rsidP="00BD11A4">
            <w:pPr>
              <w:jc w:val="center"/>
              <w:rPr>
                <w:rFonts w:cs="Arial"/>
                <w:sz w:val="16"/>
                <w:szCs w:val="16"/>
                <w:lang w:val="es-ES_tradnl" w:eastAsia="es-MX"/>
              </w:rPr>
            </w:pPr>
            <w:r w:rsidRPr="00E31657">
              <w:rPr>
                <w:rFonts w:cs="Arial"/>
                <w:sz w:val="16"/>
                <w:szCs w:val="16"/>
                <w:lang w:val="es-ES_tradnl" w:eastAsia="es-MX"/>
              </w:rPr>
              <w:t>36066</w:t>
            </w:r>
            <w:r w:rsidRPr="00E31657">
              <w:rPr>
                <w:rFonts w:cs="Arial"/>
                <w:sz w:val="16"/>
                <w:szCs w:val="16"/>
                <w:lang w:val="es-ES_tradnl" w:eastAsia="es-MX"/>
              </w:rPr>
              <w:br/>
              <w:t>(2023)</w:t>
            </w:r>
          </w:p>
        </w:tc>
        <w:tc>
          <w:tcPr>
            <w:tcW w:w="423" w:type="pct"/>
            <w:vMerge w:val="restart"/>
            <w:tcMar>
              <w:top w:w="30" w:type="dxa"/>
              <w:left w:w="45" w:type="dxa"/>
              <w:bottom w:w="30" w:type="dxa"/>
              <w:right w:w="45" w:type="dxa"/>
            </w:tcMar>
            <w:vAlign w:val="center"/>
            <w:hideMark/>
          </w:tcPr>
          <w:p w14:paraId="26569966" w14:textId="77777777" w:rsidR="00BD11A4" w:rsidRPr="00E31657" w:rsidRDefault="00BD11A4" w:rsidP="00BD11A4">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6347A7EF" w14:textId="09E699AF" w:rsidR="00BD11A4" w:rsidRPr="00BD11A4" w:rsidRDefault="00BD11A4" w:rsidP="00BD11A4">
            <w:pPr>
              <w:jc w:val="center"/>
              <w:rPr>
                <w:rFonts w:cs="Arial"/>
                <w:sz w:val="16"/>
                <w:szCs w:val="16"/>
                <w:lang w:val="es-ES_tradnl" w:eastAsia="es-MX"/>
              </w:rPr>
            </w:pPr>
            <w:r w:rsidRPr="00BD11A4">
              <w:rPr>
                <w:rFonts w:cs="Arial"/>
                <w:sz w:val="16"/>
                <w:szCs w:val="16"/>
              </w:rPr>
              <w:t>30.000</w:t>
            </w:r>
          </w:p>
        </w:tc>
        <w:tc>
          <w:tcPr>
            <w:tcW w:w="581" w:type="pct"/>
            <w:tcMar>
              <w:top w:w="30" w:type="dxa"/>
              <w:left w:w="45" w:type="dxa"/>
              <w:bottom w:w="30" w:type="dxa"/>
              <w:right w:w="45" w:type="dxa"/>
            </w:tcMar>
            <w:vAlign w:val="center"/>
            <w:hideMark/>
          </w:tcPr>
          <w:p w14:paraId="4F025969" w14:textId="6A7B28DE" w:rsidR="00BD11A4" w:rsidRPr="00BD11A4" w:rsidRDefault="00BD11A4" w:rsidP="00BD11A4">
            <w:pPr>
              <w:jc w:val="center"/>
              <w:rPr>
                <w:rFonts w:cs="Arial"/>
                <w:sz w:val="16"/>
                <w:szCs w:val="16"/>
                <w:lang w:val="es-ES_tradnl" w:eastAsia="es-MX"/>
              </w:rPr>
            </w:pPr>
            <w:r w:rsidRPr="00BD11A4">
              <w:rPr>
                <w:rFonts w:cs="Arial"/>
                <w:sz w:val="16"/>
                <w:szCs w:val="16"/>
              </w:rPr>
              <w:t>90.000</w:t>
            </w:r>
          </w:p>
        </w:tc>
        <w:tc>
          <w:tcPr>
            <w:tcW w:w="586" w:type="pct"/>
            <w:tcMar>
              <w:top w:w="30" w:type="dxa"/>
              <w:left w:w="45" w:type="dxa"/>
              <w:bottom w:w="30" w:type="dxa"/>
              <w:right w:w="45" w:type="dxa"/>
            </w:tcMar>
            <w:vAlign w:val="center"/>
            <w:hideMark/>
          </w:tcPr>
          <w:p w14:paraId="282CE5F7" w14:textId="36886D4D" w:rsidR="00BD11A4" w:rsidRPr="00BD11A4" w:rsidRDefault="00BD11A4" w:rsidP="00BD11A4">
            <w:pPr>
              <w:jc w:val="center"/>
              <w:rPr>
                <w:rFonts w:cs="Arial"/>
                <w:sz w:val="16"/>
                <w:szCs w:val="16"/>
                <w:lang w:val="es-ES_tradnl" w:eastAsia="es-MX"/>
              </w:rPr>
            </w:pPr>
            <w:r w:rsidRPr="00BD11A4">
              <w:rPr>
                <w:rFonts w:cs="Arial"/>
                <w:sz w:val="16"/>
                <w:szCs w:val="16"/>
              </w:rPr>
              <w:t>90.000</w:t>
            </w:r>
          </w:p>
        </w:tc>
        <w:tc>
          <w:tcPr>
            <w:tcW w:w="556" w:type="pct"/>
            <w:tcMar>
              <w:top w:w="30" w:type="dxa"/>
              <w:left w:w="45" w:type="dxa"/>
              <w:bottom w:w="30" w:type="dxa"/>
              <w:right w:w="45" w:type="dxa"/>
            </w:tcMar>
            <w:vAlign w:val="center"/>
            <w:hideMark/>
          </w:tcPr>
          <w:p w14:paraId="5D7EFFE2" w14:textId="6E170BD2" w:rsidR="00BD11A4" w:rsidRPr="00BD11A4" w:rsidRDefault="00BD11A4" w:rsidP="00BD11A4">
            <w:pPr>
              <w:jc w:val="center"/>
              <w:rPr>
                <w:rFonts w:cs="Arial"/>
                <w:sz w:val="16"/>
                <w:szCs w:val="16"/>
                <w:lang w:val="es-ES_tradnl" w:eastAsia="es-MX"/>
              </w:rPr>
            </w:pPr>
            <w:r w:rsidRPr="00BD11A4">
              <w:rPr>
                <w:rFonts w:cs="Arial"/>
                <w:sz w:val="16"/>
                <w:szCs w:val="16"/>
              </w:rPr>
              <w:t>90.000</w:t>
            </w:r>
          </w:p>
        </w:tc>
        <w:tc>
          <w:tcPr>
            <w:tcW w:w="571" w:type="pct"/>
            <w:vMerge w:val="restart"/>
            <w:tcMar>
              <w:top w:w="30" w:type="dxa"/>
              <w:left w:w="45" w:type="dxa"/>
              <w:bottom w:w="30" w:type="dxa"/>
              <w:right w:w="45" w:type="dxa"/>
            </w:tcMar>
            <w:vAlign w:val="center"/>
            <w:hideMark/>
          </w:tcPr>
          <w:p w14:paraId="6C2B620E" w14:textId="77777777" w:rsidR="00BD11A4" w:rsidRPr="00E31657" w:rsidRDefault="00BD11A4" w:rsidP="00BD11A4">
            <w:pPr>
              <w:jc w:val="center"/>
              <w:rPr>
                <w:rFonts w:cs="Arial"/>
                <w:b/>
                <w:bCs/>
                <w:sz w:val="16"/>
                <w:szCs w:val="16"/>
                <w:lang w:val="es-ES_tradnl" w:eastAsia="es-MX"/>
              </w:rPr>
            </w:pPr>
            <w:r w:rsidRPr="00E31657">
              <w:rPr>
                <w:rFonts w:cs="Arial"/>
                <w:b/>
                <w:bCs/>
                <w:sz w:val="16"/>
                <w:szCs w:val="16"/>
                <w:lang w:val="es-ES_tradnl" w:eastAsia="es-MX"/>
              </w:rPr>
              <w:t>47.826.901.041</w:t>
            </w:r>
          </w:p>
        </w:tc>
      </w:tr>
      <w:tr w:rsidR="00856F66" w:rsidRPr="00E31657" w14:paraId="4C414811" w14:textId="77777777" w:rsidTr="00ED49FA">
        <w:trPr>
          <w:trHeight w:val="720"/>
        </w:trPr>
        <w:tc>
          <w:tcPr>
            <w:tcW w:w="1259" w:type="pct"/>
            <w:vMerge/>
            <w:vAlign w:val="center"/>
            <w:hideMark/>
          </w:tcPr>
          <w:p w14:paraId="40F32CC9" w14:textId="77777777" w:rsidR="00856F66" w:rsidRPr="00E31657" w:rsidRDefault="00856F66" w:rsidP="00D028D8">
            <w:pPr>
              <w:jc w:val="right"/>
              <w:rPr>
                <w:rFonts w:cs="Arial"/>
                <w:sz w:val="16"/>
                <w:szCs w:val="16"/>
                <w:lang w:val="es-ES_tradnl" w:eastAsia="es-MX"/>
              </w:rPr>
            </w:pPr>
          </w:p>
        </w:tc>
        <w:tc>
          <w:tcPr>
            <w:tcW w:w="470" w:type="pct"/>
            <w:vMerge/>
            <w:vAlign w:val="center"/>
            <w:hideMark/>
          </w:tcPr>
          <w:p w14:paraId="4C09ED71" w14:textId="77777777" w:rsidR="00856F66" w:rsidRPr="00E31657" w:rsidRDefault="00856F66" w:rsidP="00B24742">
            <w:pPr>
              <w:rPr>
                <w:rFonts w:cs="Arial"/>
                <w:sz w:val="16"/>
                <w:szCs w:val="16"/>
                <w:lang w:val="es-ES_tradnl" w:eastAsia="es-MX"/>
              </w:rPr>
            </w:pPr>
          </w:p>
        </w:tc>
        <w:tc>
          <w:tcPr>
            <w:tcW w:w="423" w:type="pct"/>
            <w:vMerge/>
            <w:vAlign w:val="center"/>
            <w:hideMark/>
          </w:tcPr>
          <w:p w14:paraId="33E6DA66"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3A5546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4.780.490.775</w:t>
            </w:r>
          </w:p>
        </w:tc>
        <w:tc>
          <w:tcPr>
            <w:tcW w:w="581" w:type="pct"/>
            <w:tcMar>
              <w:top w:w="30" w:type="dxa"/>
              <w:left w:w="45" w:type="dxa"/>
              <w:bottom w:w="30" w:type="dxa"/>
              <w:right w:w="45" w:type="dxa"/>
            </w:tcMar>
            <w:vAlign w:val="center"/>
            <w:hideMark/>
          </w:tcPr>
          <w:p w14:paraId="747BDFD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14.064.622.425</w:t>
            </w:r>
          </w:p>
        </w:tc>
        <w:tc>
          <w:tcPr>
            <w:tcW w:w="586" w:type="pct"/>
            <w:tcMar>
              <w:top w:w="30" w:type="dxa"/>
              <w:left w:w="45" w:type="dxa"/>
              <w:bottom w:w="30" w:type="dxa"/>
              <w:right w:w="45" w:type="dxa"/>
            </w:tcMar>
            <w:vAlign w:val="center"/>
            <w:hideMark/>
          </w:tcPr>
          <w:p w14:paraId="4F4670C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14.365.663.585</w:t>
            </w:r>
          </w:p>
        </w:tc>
        <w:tc>
          <w:tcPr>
            <w:tcW w:w="556" w:type="pct"/>
            <w:tcMar>
              <w:top w:w="30" w:type="dxa"/>
              <w:left w:w="45" w:type="dxa"/>
              <w:bottom w:w="30" w:type="dxa"/>
              <w:right w:w="45" w:type="dxa"/>
            </w:tcMar>
            <w:vAlign w:val="center"/>
            <w:hideMark/>
          </w:tcPr>
          <w:p w14:paraId="5C6154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14.616.124.256</w:t>
            </w:r>
          </w:p>
        </w:tc>
        <w:tc>
          <w:tcPr>
            <w:tcW w:w="571" w:type="pct"/>
            <w:vMerge/>
            <w:vAlign w:val="center"/>
            <w:hideMark/>
          </w:tcPr>
          <w:p w14:paraId="1D046271" w14:textId="77777777" w:rsidR="00856F66" w:rsidRPr="00E31657" w:rsidRDefault="00856F66" w:rsidP="00B24742">
            <w:pPr>
              <w:rPr>
                <w:rFonts w:cs="Arial"/>
                <w:b/>
                <w:bCs/>
                <w:sz w:val="16"/>
                <w:szCs w:val="16"/>
                <w:lang w:val="es-ES_tradnl" w:eastAsia="es-MX"/>
              </w:rPr>
            </w:pPr>
          </w:p>
        </w:tc>
      </w:tr>
      <w:tr w:rsidR="00856F66" w:rsidRPr="00E31657" w14:paraId="3E055ACA" w14:textId="77777777" w:rsidTr="00ED49FA">
        <w:trPr>
          <w:trHeight w:val="720"/>
        </w:trPr>
        <w:tc>
          <w:tcPr>
            <w:tcW w:w="1259" w:type="pct"/>
            <w:vMerge w:val="restart"/>
            <w:tcMar>
              <w:top w:w="30" w:type="dxa"/>
              <w:left w:w="45" w:type="dxa"/>
              <w:bottom w:w="30" w:type="dxa"/>
              <w:right w:w="45" w:type="dxa"/>
            </w:tcMar>
            <w:vAlign w:val="center"/>
            <w:hideMark/>
          </w:tcPr>
          <w:p w14:paraId="7F7684CC"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Implementar dos (2) programas de atención a especies sinantrópicas orientados a la atención médica veterinaria y control poblacional humanitario para palomas de plaza (Columba Livia y a la atención y rehabilitación de enjambres de abejas (Apis melífera)</w:t>
            </w:r>
          </w:p>
        </w:tc>
        <w:tc>
          <w:tcPr>
            <w:tcW w:w="470" w:type="pct"/>
            <w:vMerge w:val="restart"/>
            <w:tcMar>
              <w:top w:w="30" w:type="dxa"/>
              <w:left w:w="45" w:type="dxa"/>
              <w:bottom w:w="30" w:type="dxa"/>
              <w:right w:w="45" w:type="dxa"/>
            </w:tcMar>
            <w:vAlign w:val="center"/>
            <w:hideMark/>
          </w:tcPr>
          <w:p w14:paraId="00D171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23" w:type="pct"/>
            <w:vMerge w:val="restart"/>
            <w:tcMar>
              <w:top w:w="30" w:type="dxa"/>
              <w:left w:w="45" w:type="dxa"/>
              <w:bottom w:w="30" w:type="dxa"/>
              <w:right w:w="45" w:type="dxa"/>
            </w:tcMar>
            <w:vAlign w:val="center"/>
            <w:hideMark/>
          </w:tcPr>
          <w:p w14:paraId="7DEA218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1A15789D" w14:textId="604AA53F" w:rsidR="00856F66" w:rsidRPr="00E31657" w:rsidRDefault="00F4649B" w:rsidP="00B24742">
            <w:pPr>
              <w:jc w:val="center"/>
              <w:rPr>
                <w:rFonts w:cs="Arial"/>
                <w:sz w:val="16"/>
                <w:szCs w:val="16"/>
                <w:lang w:val="es-ES_tradnl" w:eastAsia="es-MX"/>
              </w:rPr>
            </w:pPr>
            <w:r>
              <w:rPr>
                <w:rFonts w:cs="Arial"/>
                <w:sz w:val="16"/>
                <w:szCs w:val="16"/>
                <w:lang w:val="es-ES_tradnl" w:eastAsia="es-MX"/>
              </w:rPr>
              <w:t>10%</w:t>
            </w:r>
          </w:p>
        </w:tc>
        <w:tc>
          <w:tcPr>
            <w:tcW w:w="581" w:type="pct"/>
            <w:tcMar>
              <w:top w:w="30" w:type="dxa"/>
              <w:left w:w="45" w:type="dxa"/>
              <w:bottom w:w="30" w:type="dxa"/>
              <w:right w:w="45" w:type="dxa"/>
            </w:tcMar>
            <w:vAlign w:val="center"/>
            <w:hideMark/>
          </w:tcPr>
          <w:p w14:paraId="44C0D702" w14:textId="2B9C0270" w:rsidR="00856F66" w:rsidRPr="00E31657" w:rsidRDefault="00F4649B" w:rsidP="00B24742">
            <w:pPr>
              <w:jc w:val="center"/>
              <w:rPr>
                <w:rFonts w:cs="Arial"/>
                <w:sz w:val="16"/>
                <w:szCs w:val="16"/>
                <w:lang w:val="es-ES_tradnl" w:eastAsia="es-MX"/>
              </w:rPr>
            </w:pPr>
            <w:r>
              <w:rPr>
                <w:rFonts w:cs="Arial"/>
                <w:sz w:val="16"/>
                <w:szCs w:val="16"/>
                <w:lang w:val="es-ES_tradnl" w:eastAsia="es-MX"/>
              </w:rPr>
              <w:t>3</w:t>
            </w:r>
            <w:r w:rsidR="00856F66" w:rsidRPr="00E31657">
              <w:rPr>
                <w:rFonts w:cs="Arial"/>
                <w:sz w:val="16"/>
                <w:szCs w:val="16"/>
                <w:lang w:val="es-ES_tradnl" w:eastAsia="es-MX"/>
              </w:rPr>
              <w:t>0</w:t>
            </w:r>
            <w:r>
              <w:rPr>
                <w:rFonts w:cs="Arial"/>
                <w:sz w:val="16"/>
                <w:szCs w:val="16"/>
                <w:lang w:val="es-ES_tradnl" w:eastAsia="es-MX"/>
              </w:rPr>
              <w:t>%</w:t>
            </w:r>
          </w:p>
        </w:tc>
        <w:tc>
          <w:tcPr>
            <w:tcW w:w="586" w:type="pct"/>
            <w:tcMar>
              <w:top w:w="30" w:type="dxa"/>
              <w:left w:w="45" w:type="dxa"/>
              <w:bottom w:w="30" w:type="dxa"/>
              <w:right w:w="45" w:type="dxa"/>
            </w:tcMar>
            <w:vAlign w:val="center"/>
            <w:hideMark/>
          </w:tcPr>
          <w:p w14:paraId="35053581" w14:textId="6D56BAE6" w:rsidR="00856F66" w:rsidRPr="00E31657" w:rsidRDefault="00F4649B" w:rsidP="00B24742">
            <w:pPr>
              <w:jc w:val="center"/>
              <w:rPr>
                <w:rFonts w:cs="Arial"/>
                <w:sz w:val="16"/>
                <w:szCs w:val="16"/>
                <w:lang w:val="es-ES_tradnl" w:eastAsia="es-MX"/>
              </w:rPr>
            </w:pPr>
            <w:r>
              <w:rPr>
                <w:rFonts w:cs="Arial"/>
                <w:sz w:val="16"/>
                <w:szCs w:val="16"/>
                <w:lang w:val="es-ES_tradnl" w:eastAsia="es-MX"/>
              </w:rPr>
              <w:t>30%</w:t>
            </w:r>
          </w:p>
        </w:tc>
        <w:tc>
          <w:tcPr>
            <w:tcW w:w="556" w:type="pct"/>
            <w:tcMar>
              <w:top w:w="30" w:type="dxa"/>
              <w:left w:w="45" w:type="dxa"/>
              <w:bottom w:w="30" w:type="dxa"/>
              <w:right w:w="45" w:type="dxa"/>
            </w:tcMar>
            <w:vAlign w:val="center"/>
            <w:hideMark/>
          </w:tcPr>
          <w:p w14:paraId="23E25E2C" w14:textId="77168DBB" w:rsidR="00856F66" w:rsidRPr="00E31657" w:rsidRDefault="00F4649B" w:rsidP="00B24742">
            <w:pPr>
              <w:jc w:val="center"/>
              <w:rPr>
                <w:rFonts w:cs="Arial"/>
                <w:sz w:val="16"/>
                <w:szCs w:val="16"/>
                <w:lang w:val="es-ES_tradnl" w:eastAsia="es-MX"/>
              </w:rPr>
            </w:pPr>
            <w:r>
              <w:rPr>
                <w:rFonts w:cs="Arial"/>
                <w:sz w:val="16"/>
                <w:szCs w:val="16"/>
                <w:lang w:val="es-ES_tradnl" w:eastAsia="es-MX"/>
              </w:rPr>
              <w:t>30%</w:t>
            </w:r>
          </w:p>
        </w:tc>
        <w:tc>
          <w:tcPr>
            <w:tcW w:w="571" w:type="pct"/>
            <w:vMerge w:val="restart"/>
            <w:tcMar>
              <w:top w:w="30" w:type="dxa"/>
              <w:left w:w="45" w:type="dxa"/>
              <w:bottom w:w="30" w:type="dxa"/>
              <w:right w:w="45" w:type="dxa"/>
            </w:tcMar>
            <w:vAlign w:val="center"/>
            <w:hideMark/>
          </w:tcPr>
          <w:p w14:paraId="3E437C5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1.245.940.340</w:t>
            </w:r>
          </w:p>
        </w:tc>
      </w:tr>
      <w:tr w:rsidR="00856F66" w:rsidRPr="00E31657" w14:paraId="523CE026" w14:textId="77777777" w:rsidTr="00ED49FA">
        <w:trPr>
          <w:trHeight w:val="720"/>
        </w:trPr>
        <w:tc>
          <w:tcPr>
            <w:tcW w:w="1259" w:type="pct"/>
            <w:vMerge/>
            <w:vAlign w:val="center"/>
            <w:hideMark/>
          </w:tcPr>
          <w:p w14:paraId="6E78BAAA" w14:textId="77777777" w:rsidR="00856F66" w:rsidRPr="00E31657" w:rsidRDefault="00856F66" w:rsidP="00D028D8">
            <w:pPr>
              <w:jc w:val="right"/>
              <w:rPr>
                <w:rFonts w:cs="Arial"/>
                <w:sz w:val="16"/>
                <w:szCs w:val="16"/>
                <w:lang w:val="es-ES_tradnl" w:eastAsia="es-MX"/>
              </w:rPr>
            </w:pPr>
          </w:p>
        </w:tc>
        <w:tc>
          <w:tcPr>
            <w:tcW w:w="470" w:type="pct"/>
            <w:vMerge/>
            <w:vAlign w:val="center"/>
            <w:hideMark/>
          </w:tcPr>
          <w:p w14:paraId="289E104F" w14:textId="77777777" w:rsidR="00856F66" w:rsidRPr="00E31657" w:rsidRDefault="00856F66" w:rsidP="00B24742">
            <w:pPr>
              <w:rPr>
                <w:rFonts w:cs="Arial"/>
                <w:sz w:val="16"/>
                <w:szCs w:val="16"/>
                <w:lang w:val="es-ES_tradnl" w:eastAsia="es-MX"/>
              </w:rPr>
            </w:pPr>
          </w:p>
        </w:tc>
        <w:tc>
          <w:tcPr>
            <w:tcW w:w="423" w:type="pct"/>
            <w:vMerge/>
            <w:vAlign w:val="center"/>
            <w:hideMark/>
          </w:tcPr>
          <w:p w14:paraId="52E4669D"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1F416C8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130.968.420</w:t>
            </w:r>
          </w:p>
        </w:tc>
        <w:tc>
          <w:tcPr>
            <w:tcW w:w="581" w:type="pct"/>
            <w:tcMar>
              <w:top w:w="30" w:type="dxa"/>
              <w:left w:w="45" w:type="dxa"/>
              <w:bottom w:w="30" w:type="dxa"/>
              <w:right w:w="45" w:type="dxa"/>
            </w:tcMar>
            <w:vAlign w:val="center"/>
            <w:hideMark/>
          </w:tcPr>
          <w:p w14:paraId="2BEE3D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381.461.417</w:t>
            </w:r>
          </w:p>
        </w:tc>
        <w:tc>
          <w:tcPr>
            <w:tcW w:w="586" w:type="pct"/>
            <w:tcMar>
              <w:top w:w="30" w:type="dxa"/>
              <w:left w:w="45" w:type="dxa"/>
              <w:bottom w:w="30" w:type="dxa"/>
              <w:right w:w="45" w:type="dxa"/>
            </w:tcMar>
            <w:vAlign w:val="center"/>
            <w:hideMark/>
          </w:tcPr>
          <w:p w14:paraId="6DA9282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493.801.189</w:t>
            </w:r>
          </w:p>
        </w:tc>
        <w:tc>
          <w:tcPr>
            <w:tcW w:w="556" w:type="pct"/>
            <w:tcMar>
              <w:top w:w="30" w:type="dxa"/>
              <w:left w:w="45" w:type="dxa"/>
              <w:bottom w:w="30" w:type="dxa"/>
              <w:right w:w="45" w:type="dxa"/>
            </w:tcMar>
            <w:vAlign w:val="center"/>
            <w:hideMark/>
          </w:tcPr>
          <w:p w14:paraId="0D75AF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239.709.314</w:t>
            </w:r>
          </w:p>
        </w:tc>
        <w:tc>
          <w:tcPr>
            <w:tcW w:w="571" w:type="pct"/>
            <w:vMerge/>
            <w:vAlign w:val="center"/>
            <w:hideMark/>
          </w:tcPr>
          <w:p w14:paraId="76E1DF35" w14:textId="77777777" w:rsidR="00856F66" w:rsidRPr="00E31657" w:rsidRDefault="00856F66" w:rsidP="00B24742">
            <w:pPr>
              <w:rPr>
                <w:rFonts w:cs="Arial"/>
                <w:b/>
                <w:bCs/>
                <w:sz w:val="16"/>
                <w:szCs w:val="16"/>
                <w:lang w:val="es-ES_tradnl" w:eastAsia="es-MX"/>
              </w:rPr>
            </w:pPr>
          </w:p>
        </w:tc>
      </w:tr>
      <w:tr w:rsidR="00856F66" w:rsidRPr="00E31657" w14:paraId="53AD88C0" w14:textId="77777777" w:rsidTr="00ED49FA">
        <w:trPr>
          <w:trHeight w:val="720"/>
        </w:trPr>
        <w:tc>
          <w:tcPr>
            <w:tcW w:w="1259" w:type="pct"/>
            <w:vMerge w:val="restart"/>
            <w:tcMar>
              <w:top w:w="30" w:type="dxa"/>
              <w:left w:w="45" w:type="dxa"/>
              <w:bottom w:w="30" w:type="dxa"/>
              <w:right w:w="45" w:type="dxa"/>
            </w:tcMar>
            <w:vAlign w:val="center"/>
            <w:hideMark/>
          </w:tcPr>
          <w:p w14:paraId="0470013A"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Realizar 360 procesos de participación ciudadana y movilización social para la protección y el bienestar animal.</w:t>
            </w:r>
          </w:p>
        </w:tc>
        <w:tc>
          <w:tcPr>
            <w:tcW w:w="470" w:type="pct"/>
            <w:vMerge w:val="restart"/>
            <w:tcMar>
              <w:top w:w="30" w:type="dxa"/>
              <w:left w:w="45" w:type="dxa"/>
              <w:bottom w:w="30" w:type="dxa"/>
              <w:right w:w="45" w:type="dxa"/>
            </w:tcMar>
            <w:vAlign w:val="center"/>
            <w:hideMark/>
          </w:tcPr>
          <w:p w14:paraId="57EBC55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23" w:type="pct"/>
            <w:vMerge w:val="restart"/>
            <w:tcMar>
              <w:top w:w="30" w:type="dxa"/>
              <w:left w:w="45" w:type="dxa"/>
              <w:bottom w:w="30" w:type="dxa"/>
              <w:right w:w="45" w:type="dxa"/>
            </w:tcMar>
            <w:vAlign w:val="center"/>
            <w:hideMark/>
          </w:tcPr>
          <w:p w14:paraId="0AFF82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074EF8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581" w:type="pct"/>
            <w:tcMar>
              <w:top w:w="30" w:type="dxa"/>
              <w:left w:w="45" w:type="dxa"/>
              <w:bottom w:w="30" w:type="dxa"/>
              <w:right w:w="45" w:type="dxa"/>
            </w:tcMar>
            <w:vAlign w:val="center"/>
            <w:hideMark/>
          </w:tcPr>
          <w:p w14:paraId="7B955D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125</w:t>
            </w:r>
          </w:p>
        </w:tc>
        <w:tc>
          <w:tcPr>
            <w:tcW w:w="586" w:type="pct"/>
            <w:tcMar>
              <w:top w:w="30" w:type="dxa"/>
              <w:left w:w="45" w:type="dxa"/>
              <w:bottom w:w="30" w:type="dxa"/>
              <w:right w:w="45" w:type="dxa"/>
            </w:tcMar>
            <w:vAlign w:val="center"/>
            <w:hideMark/>
          </w:tcPr>
          <w:p w14:paraId="2C378DD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125</w:t>
            </w:r>
          </w:p>
        </w:tc>
        <w:tc>
          <w:tcPr>
            <w:tcW w:w="556" w:type="pct"/>
            <w:tcMar>
              <w:top w:w="30" w:type="dxa"/>
              <w:left w:w="45" w:type="dxa"/>
              <w:bottom w:w="30" w:type="dxa"/>
              <w:right w:w="45" w:type="dxa"/>
            </w:tcMar>
            <w:vAlign w:val="center"/>
            <w:hideMark/>
          </w:tcPr>
          <w:p w14:paraId="6A4847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571" w:type="pct"/>
            <w:vMerge w:val="restart"/>
            <w:tcMar>
              <w:top w:w="30" w:type="dxa"/>
              <w:left w:w="45" w:type="dxa"/>
              <w:bottom w:w="30" w:type="dxa"/>
              <w:right w:w="45" w:type="dxa"/>
            </w:tcMar>
            <w:vAlign w:val="center"/>
            <w:hideMark/>
          </w:tcPr>
          <w:p w14:paraId="71FEB68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3.157.256.062</w:t>
            </w:r>
          </w:p>
        </w:tc>
      </w:tr>
      <w:tr w:rsidR="00856F66" w:rsidRPr="00E31657" w14:paraId="66550CCD" w14:textId="77777777" w:rsidTr="00ED49FA">
        <w:trPr>
          <w:trHeight w:val="720"/>
        </w:trPr>
        <w:tc>
          <w:tcPr>
            <w:tcW w:w="1259" w:type="pct"/>
            <w:vMerge/>
            <w:vAlign w:val="center"/>
            <w:hideMark/>
          </w:tcPr>
          <w:p w14:paraId="436405A4" w14:textId="77777777" w:rsidR="00856F66" w:rsidRPr="00E31657" w:rsidRDefault="00856F66" w:rsidP="00D028D8">
            <w:pPr>
              <w:jc w:val="right"/>
              <w:rPr>
                <w:rFonts w:cs="Arial"/>
                <w:sz w:val="16"/>
                <w:szCs w:val="16"/>
                <w:lang w:val="es-ES_tradnl" w:eastAsia="es-MX"/>
              </w:rPr>
            </w:pPr>
          </w:p>
        </w:tc>
        <w:tc>
          <w:tcPr>
            <w:tcW w:w="470" w:type="pct"/>
            <w:vMerge/>
            <w:vAlign w:val="center"/>
            <w:hideMark/>
          </w:tcPr>
          <w:p w14:paraId="6F3940E3" w14:textId="77777777" w:rsidR="00856F66" w:rsidRPr="00E31657" w:rsidRDefault="00856F66" w:rsidP="00B24742">
            <w:pPr>
              <w:rPr>
                <w:rFonts w:cs="Arial"/>
                <w:sz w:val="16"/>
                <w:szCs w:val="16"/>
                <w:lang w:val="es-ES_tradnl" w:eastAsia="es-MX"/>
              </w:rPr>
            </w:pPr>
          </w:p>
        </w:tc>
        <w:tc>
          <w:tcPr>
            <w:tcW w:w="423" w:type="pct"/>
            <w:vMerge/>
            <w:vAlign w:val="center"/>
            <w:hideMark/>
          </w:tcPr>
          <w:p w14:paraId="027B3C47"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4CC4345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551.367.918</w:t>
            </w:r>
          </w:p>
        </w:tc>
        <w:tc>
          <w:tcPr>
            <w:tcW w:w="581" w:type="pct"/>
            <w:tcMar>
              <w:top w:w="30" w:type="dxa"/>
              <w:left w:w="45" w:type="dxa"/>
              <w:bottom w:w="30" w:type="dxa"/>
              <w:right w:w="45" w:type="dxa"/>
            </w:tcMar>
            <w:vAlign w:val="center"/>
            <w:hideMark/>
          </w:tcPr>
          <w:p w14:paraId="1E1942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973.529.939</w:t>
            </w:r>
          </w:p>
        </w:tc>
        <w:tc>
          <w:tcPr>
            <w:tcW w:w="586" w:type="pct"/>
            <w:tcMar>
              <w:top w:w="30" w:type="dxa"/>
              <w:left w:w="45" w:type="dxa"/>
              <w:bottom w:w="30" w:type="dxa"/>
              <w:right w:w="45" w:type="dxa"/>
            </w:tcMar>
            <w:vAlign w:val="center"/>
            <w:hideMark/>
          </w:tcPr>
          <w:p w14:paraId="4A0F952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945.174.698</w:t>
            </w:r>
          </w:p>
        </w:tc>
        <w:tc>
          <w:tcPr>
            <w:tcW w:w="556" w:type="pct"/>
            <w:tcMar>
              <w:top w:w="30" w:type="dxa"/>
              <w:left w:w="45" w:type="dxa"/>
              <w:bottom w:w="30" w:type="dxa"/>
              <w:right w:w="45" w:type="dxa"/>
            </w:tcMar>
            <w:vAlign w:val="center"/>
            <w:hideMark/>
          </w:tcPr>
          <w:p w14:paraId="52D8BA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687.183.507</w:t>
            </w:r>
          </w:p>
        </w:tc>
        <w:tc>
          <w:tcPr>
            <w:tcW w:w="571" w:type="pct"/>
            <w:vMerge/>
            <w:vAlign w:val="center"/>
            <w:hideMark/>
          </w:tcPr>
          <w:p w14:paraId="5F76A998" w14:textId="77777777" w:rsidR="00856F66" w:rsidRPr="00E31657" w:rsidRDefault="00856F66" w:rsidP="00B24742">
            <w:pPr>
              <w:rPr>
                <w:rFonts w:cs="Arial"/>
                <w:b/>
                <w:bCs/>
                <w:sz w:val="16"/>
                <w:szCs w:val="16"/>
                <w:lang w:val="es-ES_tradnl" w:eastAsia="es-MX"/>
              </w:rPr>
            </w:pPr>
          </w:p>
        </w:tc>
      </w:tr>
      <w:tr w:rsidR="00856F66" w:rsidRPr="00E31657" w14:paraId="4FAC7EAD" w14:textId="77777777" w:rsidTr="00ED49FA">
        <w:trPr>
          <w:trHeight w:val="720"/>
        </w:trPr>
        <w:tc>
          <w:tcPr>
            <w:tcW w:w="1259" w:type="pct"/>
            <w:vMerge w:val="restart"/>
            <w:tcMar>
              <w:top w:w="30" w:type="dxa"/>
              <w:left w:w="45" w:type="dxa"/>
              <w:bottom w:w="30" w:type="dxa"/>
              <w:right w:w="45" w:type="dxa"/>
            </w:tcMar>
            <w:vAlign w:val="center"/>
            <w:hideMark/>
          </w:tcPr>
          <w:p w14:paraId="67D8F37B"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Realizar a 370 prestadores de servicios para y con animales acciones de inspección y vigilancia en temas de protección y bienestar animal.</w:t>
            </w:r>
          </w:p>
        </w:tc>
        <w:tc>
          <w:tcPr>
            <w:tcW w:w="470" w:type="pct"/>
            <w:vMerge w:val="restart"/>
            <w:tcMar>
              <w:top w:w="30" w:type="dxa"/>
              <w:left w:w="45" w:type="dxa"/>
              <w:bottom w:w="30" w:type="dxa"/>
              <w:right w:w="45" w:type="dxa"/>
            </w:tcMar>
            <w:vAlign w:val="center"/>
            <w:hideMark/>
          </w:tcPr>
          <w:p w14:paraId="09019BD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23" w:type="pct"/>
            <w:vMerge w:val="restart"/>
            <w:tcMar>
              <w:top w:w="30" w:type="dxa"/>
              <w:left w:w="45" w:type="dxa"/>
              <w:bottom w:w="30" w:type="dxa"/>
              <w:right w:w="45" w:type="dxa"/>
            </w:tcMar>
            <w:vAlign w:val="center"/>
            <w:hideMark/>
          </w:tcPr>
          <w:p w14:paraId="1DC344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671A012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581" w:type="pct"/>
            <w:tcMar>
              <w:top w:w="30" w:type="dxa"/>
              <w:left w:w="45" w:type="dxa"/>
              <w:bottom w:w="30" w:type="dxa"/>
              <w:right w:w="45" w:type="dxa"/>
            </w:tcMar>
            <w:vAlign w:val="center"/>
            <w:hideMark/>
          </w:tcPr>
          <w:p w14:paraId="6BAB1A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w:t>
            </w:r>
          </w:p>
        </w:tc>
        <w:tc>
          <w:tcPr>
            <w:tcW w:w="586" w:type="pct"/>
            <w:tcMar>
              <w:top w:w="30" w:type="dxa"/>
              <w:left w:w="45" w:type="dxa"/>
              <w:bottom w:w="30" w:type="dxa"/>
              <w:right w:w="45" w:type="dxa"/>
            </w:tcMar>
            <w:vAlign w:val="center"/>
            <w:hideMark/>
          </w:tcPr>
          <w:p w14:paraId="1E235D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w:t>
            </w:r>
          </w:p>
        </w:tc>
        <w:tc>
          <w:tcPr>
            <w:tcW w:w="556" w:type="pct"/>
            <w:tcMar>
              <w:top w:w="30" w:type="dxa"/>
              <w:left w:w="45" w:type="dxa"/>
              <w:bottom w:w="30" w:type="dxa"/>
              <w:right w:w="45" w:type="dxa"/>
            </w:tcMar>
            <w:vAlign w:val="center"/>
            <w:hideMark/>
          </w:tcPr>
          <w:p w14:paraId="4DCB18C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w:t>
            </w:r>
          </w:p>
        </w:tc>
        <w:tc>
          <w:tcPr>
            <w:tcW w:w="571" w:type="pct"/>
            <w:vMerge w:val="restart"/>
            <w:tcMar>
              <w:top w:w="30" w:type="dxa"/>
              <w:left w:w="45" w:type="dxa"/>
              <w:bottom w:w="30" w:type="dxa"/>
              <w:right w:w="45" w:type="dxa"/>
            </w:tcMar>
            <w:vAlign w:val="center"/>
            <w:hideMark/>
          </w:tcPr>
          <w:p w14:paraId="0382E58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3.180.751.402</w:t>
            </w:r>
          </w:p>
        </w:tc>
      </w:tr>
      <w:tr w:rsidR="00856F66" w:rsidRPr="00E31657" w14:paraId="51AD3BF6" w14:textId="77777777" w:rsidTr="00ED49FA">
        <w:trPr>
          <w:trHeight w:val="720"/>
        </w:trPr>
        <w:tc>
          <w:tcPr>
            <w:tcW w:w="1259" w:type="pct"/>
            <w:vMerge/>
            <w:vAlign w:val="center"/>
            <w:hideMark/>
          </w:tcPr>
          <w:p w14:paraId="27849EBF" w14:textId="77777777" w:rsidR="00856F66" w:rsidRPr="00E31657" w:rsidRDefault="00856F66" w:rsidP="00D028D8">
            <w:pPr>
              <w:jc w:val="right"/>
              <w:rPr>
                <w:rFonts w:cs="Arial"/>
                <w:sz w:val="16"/>
                <w:szCs w:val="16"/>
                <w:lang w:val="es-ES_tradnl" w:eastAsia="es-MX"/>
              </w:rPr>
            </w:pPr>
          </w:p>
        </w:tc>
        <w:tc>
          <w:tcPr>
            <w:tcW w:w="470" w:type="pct"/>
            <w:vMerge/>
            <w:vAlign w:val="center"/>
            <w:hideMark/>
          </w:tcPr>
          <w:p w14:paraId="25CACE72" w14:textId="77777777" w:rsidR="00856F66" w:rsidRPr="00E31657" w:rsidRDefault="00856F66" w:rsidP="00B24742">
            <w:pPr>
              <w:rPr>
                <w:rFonts w:cs="Arial"/>
                <w:sz w:val="16"/>
                <w:szCs w:val="16"/>
                <w:lang w:val="es-ES_tradnl" w:eastAsia="es-MX"/>
              </w:rPr>
            </w:pPr>
          </w:p>
        </w:tc>
        <w:tc>
          <w:tcPr>
            <w:tcW w:w="423" w:type="pct"/>
            <w:vMerge/>
            <w:vAlign w:val="center"/>
            <w:hideMark/>
          </w:tcPr>
          <w:p w14:paraId="705EA2B5"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7994FB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555.485.030</w:t>
            </w:r>
          </w:p>
        </w:tc>
        <w:tc>
          <w:tcPr>
            <w:tcW w:w="581" w:type="pct"/>
            <w:tcMar>
              <w:top w:w="30" w:type="dxa"/>
              <w:left w:w="45" w:type="dxa"/>
              <w:bottom w:w="30" w:type="dxa"/>
              <w:right w:w="45" w:type="dxa"/>
            </w:tcMar>
            <w:vAlign w:val="center"/>
            <w:hideMark/>
          </w:tcPr>
          <w:p w14:paraId="6390BA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971.815.592</w:t>
            </w:r>
          </w:p>
        </w:tc>
        <w:tc>
          <w:tcPr>
            <w:tcW w:w="586" w:type="pct"/>
            <w:tcMar>
              <w:top w:w="30" w:type="dxa"/>
              <w:left w:w="45" w:type="dxa"/>
              <w:bottom w:w="30" w:type="dxa"/>
              <w:right w:w="45" w:type="dxa"/>
            </w:tcMar>
            <w:vAlign w:val="center"/>
            <w:hideMark/>
          </w:tcPr>
          <w:p w14:paraId="424B505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943.510.284</w:t>
            </w:r>
          </w:p>
        </w:tc>
        <w:tc>
          <w:tcPr>
            <w:tcW w:w="556" w:type="pct"/>
            <w:tcMar>
              <w:top w:w="30" w:type="dxa"/>
              <w:left w:w="45" w:type="dxa"/>
              <w:bottom w:w="30" w:type="dxa"/>
              <w:right w:w="45" w:type="dxa"/>
            </w:tcMar>
            <w:vAlign w:val="center"/>
            <w:hideMark/>
          </w:tcPr>
          <w:p w14:paraId="5E55F4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709.940.496</w:t>
            </w:r>
          </w:p>
        </w:tc>
        <w:tc>
          <w:tcPr>
            <w:tcW w:w="571" w:type="pct"/>
            <w:vMerge/>
            <w:vAlign w:val="center"/>
            <w:hideMark/>
          </w:tcPr>
          <w:p w14:paraId="228E8C68" w14:textId="77777777" w:rsidR="00856F66" w:rsidRPr="00E31657" w:rsidRDefault="00856F66" w:rsidP="00B24742">
            <w:pPr>
              <w:rPr>
                <w:rFonts w:cs="Arial"/>
                <w:b/>
                <w:bCs/>
                <w:sz w:val="16"/>
                <w:szCs w:val="16"/>
                <w:lang w:val="es-ES_tradnl" w:eastAsia="es-MX"/>
              </w:rPr>
            </w:pPr>
          </w:p>
        </w:tc>
      </w:tr>
      <w:tr w:rsidR="00856F66" w:rsidRPr="00E31657" w14:paraId="0C4899D3" w14:textId="77777777" w:rsidTr="00ED49FA">
        <w:trPr>
          <w:trHeight w:val="720"/>
        </w:trPr>
        <w:tc>
          <w:tcPr>
            <w:tcW w:w="1259" w:type="pct"/>
            <w:vMerge w:val="restart"/>
            <w:tcMar>
              <w:top w:w="30" w:type="dxa"/>
              <w:left w:w="45" w:type="dxa"/>
              <w:bottom w:w="30" w:type="dxa"/>
              <w:right w:w="45" w:type="dxa"/>
            </w:tcMar>
            <w:vAlign w:val="center"/>
            <w:hideMark/>
          </w:tcPr>
          <w:p w14:paraId="7DE21F76"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Vincular 32.000 personas a las acciones de educación en protección y bienestar animal para promover la convivencia interespecie y la transformación cultural en el relacionamiento humano-animal.</w:t>
            </w:r>
          </w:p>
        </w:tc>
        <w:tc>
          <w:tcPr>
            <w:tcW w:w="470" w:type="pct"/>
            <w:vMerge w:val="restart"/>
            <w:tcMar>
              <w:top w:w="30" w:type="dxa"/>
              <w:left w:w="45" w:type="dxa"/>
              <w:bottom w:w="30" w:type="dxa"/>
              <w:right w:w="45" w:type="dxa"/>
            </w:tcMar>
            <w:vAlign w:val="center"/>
            <w:hideMark/>
          </w:tcPr>
          <w:p w14:paraId="66DDDC9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2100</w:t>
            </w:r>
            <w:r w:rsidRPr="00E31657">
              <w:rPr>
                <w:rFonts w:cs="Arial"/>
                <w:sz w:val="16"/>
                <w:szCs w:val="16"/>
                <w:lang w:val="es-ES_tradnl" w:eastAsia="es-MX"/>
              </w:rPr>
              <w:br/>
              <w:t>(2023)</w:t>
            </w:r>
          </w:p>
        </w:tc>
        <w:tc>
          <w:tcPr>
            <w:tcW w:w="423" w:type="pct"/>
            <w:vMerge w:val="restart"/>
            <w:tcMar>
              <w:top w:w="30" w:type="dxa"/>
              <w:left w:w="45" w:type="dxa"/>
              <w:bottom w:w="30" w:type="dxa"/>
              <w:right w:w="45" w:type="dxa"/>
            </w:tcMar>
            <w:vAlign w:val="center"/>
            <w:hideMark/>
          </w:tcPr>
          <w:p w14:paraId="6863735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IDPYBA</w:t>
            </w:r>
          </w:p>
        </w:tc>
        <w:tc>
          <w:tcPr>
            <w:tcW w:w="555" w:type="pct"/>
            <w:tcMar>
              <w:top w:w="30" w:type="dxa"/>
              <w:left w:w="45" w:type="dxa"/>
              <w:bottom w:w="30" w:type="dxa"/>
              <w:right w:w="45" w:type="dxa"/>
            </w:tcMar>
            <w:vAlign w:val="center"/>
            <w:hideMark/>
          </w:tcPr>
          <w:p w14:paraId="4A4C30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581" w:type="pct"/>
            <w:tcMar>
              <w:top w:w="30" w:type="dxa"/>
              <w:left w:w="45" w:type="dxa"/>
              <w:bottom w:w="30" w:type="dxa"/>
              <w:right w:w="45" w:type="dxa"/>
            </w:tcMar>
            <w:vAlign w:val="center"/>
            <w:hideMark/>
          </w:tcPr>
          <w:p w14:paraId="67E91B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12.000</w:t>
            </w:r>
          </w:p>
        </w:tc>
        <w:tc>
          <w:tcPr>
            <w:tcW w:w="586" w:type="pct"/>
            <w:tcMar>
              <w:top w:w="30" w:type="dxa"/>
              <w:left w:w="45" w:type="dxa"/>
              <w:bottom w:w="30" w:type="dxa"/>
              <w:right w:w="45" w:type="dxa"/>
            </w:tcMar>
            <w:vAlign w:val="center"/>
            <w:hideMark/>
          </w:tcPr>
          <w:p w14:paraId="74DABA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12.000</w:t>
            </w:r>
          </w:p>
        </w:tc>
        <w:tc>
          <w:tcPr>
            <w:tcW w:w="556" w:type="pct"/>
            <w:tcMar>
              <w:top w:w="30" w:type="dxa"/>
              <w:left w:w="45" w:type="dxa"/>
              <w:bottom w:w="30" w:type="dxa"/>
              <w:right w:w="45" w:type="dxa"/>
            </w:tcMar>
            <w:vAlign w:val="center"/>
            <w:hideMark/>
          </w:tcPr>
          <w:p w14:paraId="0631458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6.000</w:t>
            </w:r>
          </w:p>
        </w:tc>
        <w:tc>
          <w:tcPr>
            <w:tcW w:w="571" w:type="pct"/>
            <w:vMerge w:val="restart"/>
            <w:tcMar>
              <w:top w:w="30" w:type="dxa"/>
              <w:left w:w="45" w:type="dxa"/>
              <w:bottom w:w="30" w:type="dxa"/>
              <w:right w:w="45" w:type="dxa"/>
            </w:tcMar>
            <w:vAlign w:val="center"/>
            <w:hideMark/>
          </w:tcPr>
          <w:p w14:paraId="2B44DFC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3.684.817.042</w:t>
            </w:r>
          </w:p>
        </w:tc>
      </w:tr>
      <w:tr w:rsidR="00856F66" w:rsidRPr="00E31657" w14:paraId="3FCE2FC4" w14:textId="77777777" w:rsidTr="00ED49FA">
        <w:trPr>
          <w:trHeight w:val="720"/>
        </w:trPr>
        <w:tc>
          <w:tcPr>
            <w:tcW w:w="1259" w:type="pct"/>
            <w:vMerge/>
            <w:vAlign w:val="center"/>
            <w:hideMark/>
          </w:tcPr>
          <w:p w14:paraId="5841FBA8" w14:textId="77777777" w:rsidR="00856F66" w:rsidRPr="00E31657" w:rsidRDefault="00856F66" w:rsidP="00B24742">
            <w:pPr>
              <w:rPr>
                <w:rFonts w:cs="Arial"/>
                <w:sz w:val="16"/>
                <w:szCs w:val="16"/>
                <w:lang w:val="es-ES_tradnl" w:eastAsia="es-MX"/>
              </w:rPr>
            </w:pPr>
          </w:p>
        </w:tc>
        <w:tc>
          <w:tcPr>
            <w:tcW w:w="470" w:type="pct"/>
            <w:vMerge/>
            <w:vAlign w:val="center"/>
            <w:hideMark/>
          </w:tcPr>
          <w:p w14:paraId="76604B39" w14:textId="77777777" w:rsidR="00856F66" w:rsidRPr="00E31657" w:rsidRDefault="00856F66" w:rsidP="00B24742">
            <w:pPr>
              <w:rPr>
                <w:rFonts w:cs="Arial"/>
                <w:sz w:val="16"/>
                <w:szCs w:val="16"/>
                <w:lang w:val="es-ES_tradnl" w:eastAsia="es-MX"/>
              </w:rPr>
            </w:pPr>
          </w:p>
        </w:tc>
        <w:tc>
          <w:tcPr>
            <w:tcW w:w="423" w:type="pct"/>
            <w:vMerge/>
            <w:vAlign w:val="center"/>
            <w:hideMark/>
          </w:tcPr>
          <w:p w14:paraId="6732B8D3" w14:textId="77777777" w:rsidR="00856F66" w:rsidRPr="00E31657" w:rsidRDefault="00856F66" w:rsidP="00B24742">
            <w:pPr>
              <w:rPr>
                <w:rFonts w:cs="Arial"/>
                <w:sz w:val="16"/>
                <w:szCs w:val="16"/>
                <w:lang w:val="es-ES_tradnl" w:eastAsia="es-MX"/>
              </w:rPr>
            </w:pPr>
          </w:p>
        </w:tc>
        <w:tc>
          <w:tcPr>
            <w:tcW w:w="555" w:type="pct"/>
            <w:tcMar>
              <w:top w:w="30" w:type="dxa"/>
              <w:left w:w="45" w:type="dxa"/>
              <w:bottom w:w="30" w:type="dxa"/>
              <w:right w:w="45" w:type="dxa"/>
            </w:tcMar>
            <w:vAlign w:val="center"/>
            <w:hideMark/>
          </w:tcPr>
          <w:p w14:paraId="1FE95EE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643.894.585</w:t>
            </w:r>
          </w:p>
        </w:tc>
        <w:tc>
          <w:tcPr>
            <w:tcW w:w="581" w:type="pct"/>
            <w:tcMar>
              <w:top w:w="30" w:type="dxa"/>
              <w:left w:w="45" w:type="dxa"/>
              <w:bottom w:w="30" w:type="dxa"/>
              <w:right w:w="45" w:type="dxa"/>
            </w:tcMar>
            <w:vAlign w:val="center"/>
            <w:hideMark/>
          </w:tcPr>
          <w:p w14:paraId="56E9AA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1.104.649.680</w:t>
            </w:r>
          </w:p>
        </w:tc>
        <w:tc>
          <w:tcPr>
            <w:tcW w:w="586" w:type="pct"/>
            <w:tcMar>
              <w:top w:w="30" w:type="dxa"/>
              <w:left w:w="45" w:type="dxa"/>
              <w:bottom w:w="30" w:type="dxa"/>
              <w:right w:w="45" w:type="dxa"/>
            </w:tcMar>
            <w:vAlign w:val="center"/>
            <w:hideMark/>
          </w:tcPr>
          <w:p w14:paraId="5D4330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1.072.475.417</w:t>
            </w:r>
          </w:p>
        </w:tc>
        <w:tc>
          <w:tcPr>
            <w:tcW w:w="556" w:type="pct"/>
            <w:tcMar>
              <w:top w:w="30" w:type="dxa"/>
              <w:left w:w="45" w:type="dxa"/>
              <w:bottom w:w="30" w:type="dxa"/>
              <w:right w:w="45" w:type="dxa"/>
            </w:tcMar>
            <w:vAlign w:val="center"/>
            <w:hideMark/>
          </w:tcPr>
          <w:p w14:paraId="75B464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863.797.360</w:t>
            </w:r>
          </w:p>
        </w:tc>
        <w:tc>
          <w:tcPr>
            <w:tcW w:w="571" w:type="pct"/>
            <w:vMerge/>
            <w:vAlign w:val="center"/>
            <w:hideMark/>
          </w:tcPr>
          <w:p w14:paraId="24933E6A" w14:textId="77777777" w:rsidR="00856F66" w:rsidRPr="00E31657" w:rsidRDefault="00856F66" w:rsidP="00B24742">
            <w:pPr>
              <w:rPr>
                <w:rFonts w:cs="Arial"/>
                <w:b/>
                <w:bCs/>
                <w:sz w:val="16"/>
                <w:szCs w:val="16"/>
                <w:lang w:val="es-ES_tradnl" w:eastAsia="es-MX"/>
              </w:rPr>
            </w:pPr>
          </w:p>
        </w:tc>
      </w:tr>
    </w:tbl>
    <w:p w14:paraId="7F38EC80" w14:textId="7B1032C4" w:rsidR="000064A0" w:rsidRDefault="000064A0">
      <w:pPr>
        <w:rPr>
          <w:sz w:val="16"/>
          <w:szCs w:val="16"/>
          <w:lang w:val="es-ES_tradnl"/>
        </w:rPr>
      </w:pPr>
    </w:p>
    <w:p w14:paraId="7AB0E16B" w14:textId="77777777" w:rsidR="000064A0" w:rsidRPr="00E31657" w:rsidRDefault="000064A0">
      <w:pPr>
        <w:rPr>
          <w:sz w:val="16"/>
          <w:szCs w:val="16"/>
          <w:lang w:val="es-ES_tradnl"/>
        </w:rPr>
      </w:pPr>
    </w:p>
    <w:tbl>
      <w:tblPr>
        <w:tblW w:w="5000"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162"/>
        <w:gridCol w:w="632"/>
        <w:gridCol w:w="799"/>
        <w:gridCol w:w="1366"/>
        <w:gridCol w:w="1381"/>
        <w:gridCol w:w="1300"/>
        <w:gridCol w:w="1349"/>
        <w:gridCol w:w="1371"/>
      </w:tblGrid>
      <w:tr w:rsidR="00856F66" w:rsidRPr="00E31657" w14:paraId="7675EC99" w14:textId="77777777" w:rsidTr="00ED49FA">
        <w:trPr>
          <w:trHeight w:val="315"/>
        </w:trPr>
        <w:tc>
          <w:tcPr>
            <w:tcW w:w="5000" w:type="pct"/>
            <w:gridSpan w:val="8"/>
            <w:tcMar>
              <w:top w:w="30" w:type="dxa"/>
              <w:left w:w="45" w:type="dxa"/>
              <w:bottom w:w="30" w:type="dxa"/>
              <w:right w:w="45" w:type="dxa"/>
            </w:tcMar>
            <w:vAlign w:val="center"/>
            <w:hideMark/>
          </w:tcPr>
          <w:p w14:paraId="1839A4DA" w14:textId="77777777" w:rsidR="00856F66" w:rsidRPr="00ED49FA" w:rsidRDefault="00856F66" w:rsidP="00B24742">
            <w:pPr>
              <w:jc w:val="center"/>
              <w:rPr>
                <w:rFonts w:cs="Arial"/>
                <w:b/>
                <w:bCs/>
                <w:szCs w:val="22"/>
                <w:lang w:val="es-ES_tradnl" w:eastAsia="es-MX"/>
              </w:rPr>
            </w:pPr>
            <w:r w:rsidRPr="00ED49FA">
              <w:rPr>
                <w:rFonts w:cs="Arial"/>
                <w:b/>
                <w:bCs/>
                <w:color w:val="C00000"/>
                <w:szCs w:val="22"/>
                <w:lang w:val="es-ES_tradnl" w:eastAsia="es-MX"/>
              </w:rPr>
              <w:t xml:space="preserve">Programa 16. </w:t>
            </w:r>
            <w:r w:rsidRPr="00ED49FA">
              <w:rPr>
                <w:rFonts w:cs="Arial"/>
                <w:szCs w:val="22"/>
                <w:lang w:val="es-ES_tradnl" w:eastAsia="es-MX"/>
              </w:rPr>
              <w:t>La educación como eje del potencial humano</w:t>
            </w:r>
          </w:p>
        </w:tc>
      </w:tr>
      <w:tr w:rsidR="00856F66" w:rsidRPr="00E31657" w14:paraId="54B2D868" w14:textId="77777777" w:rsidTr="00ED49FA">
        <w:trPr>
          <w:trHeight w:val="583"/>
        </w:trPr>
        <w:tc>
          <w:tcPr>
            <w:tcW w:w="642" w:type="pct"/>
            <w:vMerge w:val="restart"/>
            <w:shd w:val="clear" w:color="auto" w:fill="C00000"/>
            <w:tcMar>
              <w:top w:w="30" w:type="dxa"/>
              <w:left w:w="45" w:type="dxa"/>
              <w:bottom w:w="30" w:type="dxa"/>
              <w:right w:w="45" w:type="dxa"/>
            </w:tcMar>
            <w:vAlign w:val="center"/>
            <w:hideMark/>
          </w:tcPr>
          <w:p w14:paraId="2502ACA2" w14:textId="77777777" w:rsidR="00856F66" w:rsidRPr="00E31657" w:rsidRDefault="00856F66" w:rsidP="000064A0">
            <w:pPr>
              <w:pStyle w:val="Ttulo"/>
              <w:jc w:val="center"/>
              <w:rPr>
                <w:lang w:val="es-ES_tradnl"/>
              </w:rPr>
            </w:pPr>
            <w:r w:rsidRPr="000064A0">
              <w:rPr>
                <w:rFonts w:ascii="Candara" w:eastAsia="Times New Roman" w:hAnsi="Candara"/>
                <w:b/>
                <w:bCs/>
                <w:color w:val="FFFFFF" w:themeColor="background1"/>
                <w:sz w:val="24"/>
                <w:szCs w:val="24"/>
                <w:lang w:val="es-ES_tradnl" w:eastAsia="es-MX"/>
              </w:rPr>
              <w:t>Sector / Metas</w:t>
            </w:r>
          </w:p>
        </w:tc>
        <w:tc>
          <w:tcPr>
            <w:tcW w:w="4358" w:type="pct"/>
            <w:gridSpan w:val="7"/>
            <w:shd w:val="clear" w:color="auto" w:fill="C00000"/>
            <w:tcMar>
              <w:top w:w="30" w:type="dxa"/>
              <w:left w:w="45" w:type="dxa"/>
              <w:bottom w:w="30" w:type="dxa"/>
              <w:right w:w="45" w:type="dxa"/>
            </w:tcMar>
            <w:vAlign w:val="center"/>
            <w:hideMark/>
          </w:tcPr>
          <w:p w14:paraId="72A590D9" w14:textId="77777777" w:rsidR="00856F66" w:rsidRPr="000064A0" w:rsidRDefault="00856F66" w:rsidP="000064A0">
            <w:pPr>
              <w:pStyle w:val="Ttulo"/>
              <w:jc w:val="center"/>
              <w:rPr>
                <w:rFonts w:ascii="Candara" w:eastAsia="Times New Roman" w:hAnsi="Candara"/>
                <w:b/>
                <w:bCs/>
                <w:color w:val="FFFFFF" w:themeColor="background1"/>
                <w:sz w:val="24"/>
                <w:szCs w:val="24"/>
                <w:lang w:val="es-ES_tradnl" w:eastAsia="es-MX"/>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6ADD23C5" w14:textId="77777777" w:rsidTr="00ED49FA">
        <w:trPr>
          <w:trHeight w:val="637"/>
        </w:trPr>
        <w:tc>
          <w:tcPr>
            <w:tcW w:w="642" w:type="pct"/>
            <w:vMerge/>
            <w:shd w:val="clear" w:color="auto" w:fill="C00000"/>
            <w:vAlign w:val="center"/>
            <w:hideMark/>
          </w:tcPr>
          <w:p w14:paraId="6C24E61F" w14:textId="77777777" w:rsidR="00856F66" w:rsidRPr="00E31657" w:rsidRDefault="00856F66" w:rsidP="00B24742">
            <w:pPr>
              <w:rPr>
                <w:rFonts w:cs="Arial"/>
                <w:b/>
                <w:bCs/>
                <w:color w:val="FFFFFF"/>
                <w:sz w:val="16"/>
                <w:szCs w:val="16"/>
                <w:lang w:val="es-ES_tradnl" w:eastAsia="es-MX"/>
              </w:rPr>
            </w:pPr>
          </w:p>
        </w:tc>
        <w:tc>
          <w:tcPr>
            <w:tcW w:w="189" w:type="pct"/>
            <w:shd w:val="clear" w:color="auto" w:fill="D9D9D9"/>
            <w:tcMar>
              <w:top w:w="30" w:type="dxa"/>
              <w:left w:w="45" w:type="dxa"/>
              <w:bottom w:w="30" w:type="dxa"/>
              <w:right w:w="45" w:type="dxa"/>
            </w:tcMar>
            <w:vAlign w:val="center"/>
            <w:hideMark/>
          </w:tcPr>
          <w:p w14:paraId="5E9D130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448" w:type="pct"/>
            <w:shd w:val="clear" w:color="auto" w:fill="D9D9D9"/>
            <w:tcMar>
              <w:top w:w="30" w:type="dxa"/>
              <w:left w:w="45" w:type="dxa"/>
              <w:bottom w:w="30" w:type="dxa"/>
              <w:right w:w="45" w:type="dxa"/>
            </w:tcMar>
            <w:vAlign w:val="center"/>
            <w:hideMark/>
          </w:tcPr>
          <w:p w14:paraId="4AEF860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751" w:type="pct"/>
            <w:shd w:val="clear" w:color="auto" w:fill="D9D9D9"/>
            <w:tcMar>
              <w:top w:w="30" w:type="dxa"/>
              <w:left w:w="45" w:type="dxa"/>
              <w:bottom w:w="30" w:type="dxa"/>
              <w:right w:w="45" w:type="dxa"/>
            </w:tcMar>
            <w:vAlign w:val="center"/>
            <w:hideMark/>
          </w:tcPr>
          <w:p w14:paraId="61F6756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759" w:type="pct"/>
            <w:shd w:val="clear" w:color="auto" w:fill="D9D9D9"/>
            <w:tcMar>
              <w:top w:w="30" w:type="dxa"/>
              <w:left w:w="45" w:type="dxa"/>
              <w:bottom w:w="30" w:type="dxa"/>
              <w:right w:w="45" w:type="dxa"/>
            </w:tcMar>
            <w:vAlign w:val="center"/>
            <w:hideMark/>
          </w:tcPr>
          <w:p w14:paraId="470260E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716" w:type="pct"/>
            <w:shd w:val="clear" w:color="auto" w:fill="D9D9D9"/>
            <w:tcMar>
              <w:top w:w="30" w:type="dxa"/>
              <w:left w:w="45" w:type="dxa"/>
              <w:bottom w:w="30" w:type="dxa"/>
              <w:right w:w="45" w:type="dxa"/>
            </w:tcMar>
            <w:vAlign w:val="center"/>
            <w:hideMark/>
          </w:tcPr>
          <w:p w14:paraId="414C8D7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742" w:type="pct"/>
            <w:shd w:val="clear" w:color="auto" w:fill="D9D9D9"/>
            <w:tcMar>
              <w:top w:w="30" w:type="dxa"/>
              <w:left w:w="45" w:type="dxa"/>
              <w:bottom w:w="30" w:type="dxa"/>
              <w:right w:w="45" w:type="dxa"/>
            </w:tcMar>
            <w:vAlign w:val="center"/>
            <w:hideMark/>
          </w:tcPr>
          <w:p w14:paraId="30DC826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754" w:type="pct"/>
            <w:shd w:val="clear" w:color="auto" w:fill="D9D9D9"/>
            <w:tcMar>
              <w:top w:w="30" w:type="dxa"/>
              <w:left w:w="45" w:type="dxa"/>
              <w:bottom w:w="30" w:type="dxa"/>
              <w:right w:w="45" w:type="dxa"/>
            </w:tcMar>
            <w:vAlign w:val="center"/>
            <w:hideMark/>
          </w:tcPr>
          <w:p w14:paraId="168441C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FC10F87" w14:textId="77777777" w:rsidTr="00ED49FA">
        <w:trPr>
          <w:trHeight w:val="315"/>
        </w:trPr>
        <w:tc>
          <w:tcPr>
            <w:tcW w:w="5000" w:type="pct"/>
            <w:gridSpan w:val="8"/>
            <w:shd w:val="clear" w:color="auto" w:fill="C00000"/>
            <w:tcMar>
              <w:top w:w="30" w:type="dxa"/>
              <w:left w:w="45" w:type="dxa"/>
              <w:bottom w:w="30" w:type="dxa"/>
              <w:right w:w="45" w:type="dxa"/>
            </w:tcMar>
            <w:vAlign w:val="center"/>
            <w:hideMark/>
          </w:tcPr>
          <w:p w14:paraId="40B235A7" w14:textId="77777777" w:rsidR="00856F66" w:rsidRPr="000064A0" w:rsidRDefault="00856F66" w:rsidP="000064A0">
            <w:pPr>
              <w:pStyle w:val="Ttulo"/>
              <w:jc w:val="center"/>
              <w:rPr>
                <w:rFonts w:ascii="Candara" w:eastAsia="Times New Roman" w:hAnsi="Candara"/>
                <w:b/>
                <w:bCs/>
                <w:color w:val="FFFFFF" w:themeColor="background1"/>
                <w:sz w:val="24"/>
                <w:szCs w:val="24"/>
                <w:lang w:val="es-ES_tradnl" w:eastAsia="es-MX"/>
              </w:rPr>
            </w:pPr>
            <w:r w:rsidRPr="000064A0">
              <w:rPr>
                <w:rFonts w:ascii="Candara" w:eastAsia="Times New Roman" w:hAnsi="Candara"/>
                <w:b/>
                <w:bCs/>
                <w:color w:val="FFFFFF" w:themeColor="background1"/>
                <w:sz w:val="24"/>
                <w:szCs w:val="24"/>
                <w:lang w:val="es-ES_tradnl" w:eastAsia="es-MX"/>
              </w:rPr>
              <w:t>Cultura recreación y deporte</w:t>
            </w:r>
          </w:p>
        </w:tc>
      </w:tr>
      <w:tr w:rsidR="00856F66" w:rsidRPr="00E31657" w14:paraId="34D23231" w14:textId="77777777" w:rsidTr="00ED49FA">
        <w:trPr>
          <w:trHeight w:val="315"/>
        </w:trPr>
        <w:tc>
          <w:tcPr>
            <w:tcW w:w="642" w:type="pct"/>
            <w:vMerge w:val="restart"/>
            <w:tcMar>
              <w:top w:w="30" w:type="dxa"/>
              <w:left w:w="45" w:type="dxa"/>
              <w:bottom w:w="30" w:type="dxa"/>
              <w:right w:w="45" w:type="dxa"/>
            </w:tcMar>
            <w:vAlign w:val="center"/>
            <w:hideMark/>
          </w:tcPr>
          <w:p w14:paraId="7C7D68EF"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lastRenderedPageBreak/>
              <w:t>Beneficiar 189.809 personas a partir de la primera infancia y a lo largo de la vida en procesos de formación y exploración cultural artística patrimonial recreativa y deportiva en particular en espacios cercanos y entornos comunitarios</w:t>
            </w:r>
          </w:p>
        </w:tc>
        <w:tc>
          <w:tcPr>
            <w:tcW w:w="189" w:type="pct"/>
            <w:vMerge w:val="restart"/>
            <w:tcMar>
              <w:top w:w="30" w:type="dxa"/>
              <w:left w:w="45" w:type="dxa"/>
              <w:bottom w:w="30" w:type="dxa"/>
              <w:right w:w="45" w:type="dxa"/>
            </w:tcMar>
            <w:vAlign w:val="center"/>
            <w:hideMark/>
          </w:tcPr>
          <w:p w14:paraId="722F902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136.247</w:t>
            </w:r>
            <w:r w:rsidRPr="00E31657">
              <w:rPr>
                <w:rFonts w:cs="Arial"/>
                <w:sz w:val="16"/>
                <w:szCs w:val="16"/>
                <w:lang w:val="es-ES_tradnl" w:eastAsia="es-MX"/>
              </w:rPr>
              <w:br/>
              <w:t>(2023)</w:t>
            </w:r>
          </w:p>
        </w:tc>
        <w:tc>
          <w:tcPr>
            <w:tcW w:w="448" w:type="pct"/>
            <w:vMerge w:val="restart"/>
            <w:tcMar>
              <w:top w:w="30" w:type="dxa"/>
              <w:left w:w="45" w:type="dxa"/>
              <w:bottom w:w="30" w:type="dxa"/>
              <w:right w:w="45" w:type="dxa"/>
            </w:tcMar>
            <w:vAlign w:val="center"/>
            <w:hideMark/>
          </w:tcPr>
          <w:p w14:paraId="25BB428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SEGPLAN / Registros administrativos de los planes operativos anuales de seguimiento a metas</w:t>
            </w:r>
          </w:p>
        </w:tc>
        <w:tc>
          <w:tcPr>
            <w:tcW w:w="751" w:type="pct"/>
            <w:tcMar>
              <w:top w:w="30" w:type="dxa"/>
              <w:left w:w="45" w:type="dxa"/>
              <w:bottom w:w="30" w:type="dxa"/>
              <w:right w:w="45" w:type="dxa"/>
            </w:tcMar>
            <w:vAlign w:val="center"/>
            <w:hideMark/>
          </w:tcPr>
          <w:p w14:paraId="1BF4EF3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23.533</w:t>
            </w:r>
          </w:p>
        </w:tc>
        <w:tc>
          <w:tcPr>
            <w:tcW w:w="759" w:type="pct"/>
            <w:tcMar>
              <w:top w:w="30" w:type="dxa"/>
              <w:left w:w="45" w:type="dxa"/>
              <w:bottom w:w="30" w:type="dxa"/>
              <w:right w:w="45" w:type="dxa"/>
            </w:tcMar>
            <w:vAlign w:val="center"/>
            <w:hideMark/>
          </w:tcPr>
          <w:p w14:paraId="1E8A029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51.638</w:t>
            </w:r>
          </w:p>
        </w:tc>
        <w:tc>
          <w:tcPr>
            <w:tcW w:w="716" w:type="pct"/>
            <w:tcMar>
              <w:top w:w="30" w:type="dxa"/>
              <w:left w:w="45" w:type="dxa"/>
              <w:bottom w:w="30" w:type="dxa"/>
              <w:right w:w="45" w:type="dxa"/>
            </w:tcMar>
            <w:vAlign w:val="center"/>
            <w:hideMark/>
          </w:tcPr>
          <w:p w14:paraId="2F9182F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56.404</w:t>
            </w:r>
          </w:p>
        </w:tc>
        <w:tc>
          <w:tcPr>
            <w:tcW w:w="742" w:type="pct"/>
            <w:tcMar>
              <w:top w:w="30" w:type="dxa"/>
              <w:left w:w="45" w:type="dxa"/>
              <w:bottom w:w="30" w:type="dxa"/>
              <w:right w:w="45" w:type="dxa"/>
            </w:tcMar>
            <w:vAlign w:val="center"/>
            <w:hideMark/>
          </w:tcPr>
          <w:p w14:paraId="7C5A151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58.234</w:t>
            </w:r>
          </w:p>
        </w:tc>
        <w:tc>
          <w:tcPr>
            <w:tcW w:w="754" w:type="pct"/>
            <w:vMerge w:val="restart"/>
            <w:tcMar>
              <w:top w:w="30" w:type="dxa"/>
              <w:left w:w="45" w:type="dxa"/>
              <w:bottom w:w="30" w:type="dxa"/>
              <w:right w:w="45" w:type="dxa"/>
            </w:tcMar>
            <w:vAlign w:val="center"/>
            <w:hideMark/>
          </w:tcPr>
          <w:p w14:paraId="26E831F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188.536.194.515</w:t>
            </w:r>
          </w:p>
        </w:tc>
      </w:tr>
      <w:tr w:rsidR="00856F66" w:rsidRPr="00E31657" w14:paraId="49ED715A" w14:textId="77777777" w:rsidTr="00ED49FA">
        <w:trPr>
          <w:trHeight w:val="315"/>
        </w:trPr>
        <w:tc>
          <w:tcPr>
            <w:tcW w:w="642" w:type="pct"/>
            <w:vMerge/>
            <w:vAlign w:val="center"/>
            <w:hideMark/>
          </w:tcPr>
          <w:p w14:paraId="7EDC4AA1"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6427F19B" w14:textId="77777777" w:rsidR="00856F66" w:rsidRPr="00E31657" w:rsidRDefault="00856F66" w:rsidP="00B24742">
            <w:pPr>
              <w:rPr>
                <w:rFonts w:cs="Arial"/>
                <w:sz w:val="16"/>
                <w:szCs w:val="16"/>
                <w:lang w:val="es-ES_tradnl" w:eastAsia="es-MX"/>
              </w:rPr>
            </w:pPr>
          </w:p>
        </w:tc>
        <w:tc>
          <w:tcPr>
            <w:tcW w:w="448" w:type="pct"/>
            <w:vMerge/>
            <w:vAlign w:val="center"/>
            <w:hideMark/>
          </w:tcPr>
          <w:p w14:paraId="6B6CAF88"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4396E7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43.588.215.000</w:t>
            </w:r>
          </w:p>
        </w:tc>
        <w:tc>
          <w:tcPr>
            <w:tcW w:w="759" w:type="pct"/>
            <w:tcMar>
              <w:top w:w="30" w:type="dxa"/>
              <w:left w:w="45" w:type="dxa"/>
              <w:bottom w:w="30" w:type="dxa"/>
              <w:right w:w="45" w:type="dxa"/>
            </w:tcMar>
            <w:vAlign w:val="center"/>
            <w:hideMark/>
          </w:tcPr>
          <w:p w14:paraId="0F418CD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47.267.984.466</w:t>
            </w:r>
          </w:p>
        </w:tc>
        <w:tc>
          <w:tcPr>
            <w:tcW w:w="716" w:type="pct"/>
            <w:tcMar>
              <w:top w:w="30" w:type="dxa"/>
              <w:left w:w="45" w:type="dxa"/>
              <w:bottom w:w="30" w:type="dxa"/>
              <w:right w:w="45" w:type="dxa"/>
            </w:tcMar>
            <w:vAlign w:val="center"/>
            <w:hideMark/>
          </w:tcPr>
          <w:p w14:paraId="60C5F80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48.806.263.550</w:t>
            </w:r>
          </w:p>
        </w:tc>
        <w:tc>
          <w:tcPr>
            <w:tcW w:w="742" w:type="pct"/>
            <w:tcMar>
              <w:top w:w="30" w:type="dxa"/>
              <w:left w:w="45" w:type="dxa"/>
              <w:bottom w:w="30" w:type="dxa"/>
              <w:right w:w="45" w:type="dxa"/>
            </w:tcMar>
            <w:vAlign w:val="center"/>
            <w:hideMark/>
          </w:tcPr>
          <w:p w14:paraId="25C8835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48.873.731.499</w:t>
            </w:r>
          </w:p>
        </w:tc>
        <w:tc>
          <w:tcPr>
            <w:tcW w:w="754" w:type="pct"/>
            <w:vMerge/>
            <w:vAlign w:val="center"/>
            <w:hideMark/>
          </w:tcPr>
          <w:p w14:paraId="1863DBA1" w14:textId="77777777" w:rsidR="00856F66" w:rsidRPr="00E31657" w:rsidRDefault="00856F66" w:rsidP="00B24742">
            <w:pPr>
              <w:rPr>
                <w:rFonts w:cs="Arial"/>
                <w:b/>
                <w:bCs/>
                <w:sz w:val="16"/>
                <w:szCs w:val="16"/>
                <w:lang w:val="es-ES_tradnl" w:eastAsia="es-MX"/>
              </w:rPr>
            </w:pPr>
          </w:p>
        </w:tc>
      </w:tr>
      <w:tr w:rsidR="00856F66" w:rsidRPr="00E31657" w14:paraId="10EDB239" w14:textId="77777777" w:rsidTr="00ED49FA">
        <w:trPr>
          <w:trHeight w:val="750"/>
        </w:trPr>
        <w:tc>
          <w:tcPr>
            <w:tcW w:w="642" w:type="pct"/>
            <w:vMerge w:val="restart"/>
            <w:tcMar>
              <w:top w:w="30" w:type="dxa"/>
              <w:left w:w="45" w:type="dxa"/>
              <w:bottom w:w="30" w:type="dxa"/>
              <w:right w:w="45" w:type="dxa"/>
            </w:tcMar>
            <w:vAlign w:val="center"/>
            <w:hideMark/>
          </w:tcPr>
          <w:p w14:paraId="35225693"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Beneficiar 3.300 personas en acciones de convergencia digital mediante procesos de formación y alfabetización digital creación de contenidos fomento de ciudadanías digitales crecimiento económico acceso a empleo digno e internacionalización en Bogotá.</w:t>
            </w:r>
          </w:p>
        </w:tc>
        <w:tc>
          <w:tcPr>
            <w:tcW w:w="189" w:type="pct"/>
            <w:vMerge w:val="restart"/>
            <w:tcMar>
              <w:top w:w="30" w:type="dxa"/>
              <w:left w:w="45" w:type="dxa"/>
              <w:bottom w:w="30" w:type="dxa"/>
              <w:right w:w="45" w:type="dxa"/>
            </w:tcMar>
            <w:vAlign w:val="center"/>
            <w:hideMark/>
          </w:tcPr>
          <w:p w14:paraId="016006D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448" w:type="pct"/>
            <w:vMerge w:val="restart"/>
            <w:tcMar>
              <w:top w:w="30" w:type="dxa"/>
              <w:left w:w="45" w:type="dxa"/>
              <w:bottom w:w="30" w:type="dxa"/>
              <w:right w:w="45" w:type="dxa"/>
            </w:tcMar>
            <w:vAlign w:val="center"/>
            <w:hideMark/>
          </w:tcPr>
          <w:p w14:paraId="5BF249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751" w:type="pct"/>
            <w:tcMar>
              <w:top w:w="30" w:type="dxa"/>
              <w:left w:w="45" w:type="dxa"/>
              <w:bottom w:w="30" w:type="dxa"/>
              <w:right w:w="45" w:type="dxa"/>
            </w:tcMar>
            <w:vAlign w:val="center"/>
            <w:hideMark/>
          </w:tcPr>
          <w:p w14:paraId="78F5023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w:t>
            </w:r>
          </w:p>
        </w:tc>
        <w:tc>
          <w:tcPr>
            <w:tcW w:w="759" w:type="pct"/>
            <w:tcMar>
              <w:top w:w="30" w:type="dxa"/>
              <w:left w:w="45" w:type="dxa"/>
              <w:bottom w:w="30" w:type="dxa"/>
              <w:right w:w="45" w:type="dxa"/>
            </w:tcMar>
            <w:vAlign w:val="center"/>
            <w:hideMark/>
          </w:tcPr>
          <w:p w14:paraId="6A6231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716" w:type="pct"/>
            <w:tcMar>
              <w:top w:w="30" w:type="dxa"/>
              <w:left w:w="45" w:type="dxa"/>
              <w:bottom w:w="30" w:type="dxa"/>
              <w:right w:w="45" w:type="dxa"/>
            </w:tcMar>
            <w:vAlign w:val="center"/>
            <w:hideMark/>
          </w:tcPr>
          <w:p w14:paraId="54054C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1.100</w:t>
            </w:r>
          </w:p>
        </w:tc>
        <w:tc>
          <w:tcPr>
            <w:tcW w:w="742" w:type="pct"/>
            <w:tcMar>
              <w:top w:w="30" w:type="dxa"/>
              <w:left w:w="45" w:type="dxa"/>
              <w:bottom w:w="30" w:type="dxa"/>
              <w:right w:w="45" w:type="dxa"/>
            </w:tcMar>
            <w:vAlign w:val="center"/>
            <w:hideMark/>
          </w:tcPr>
          <w:p w14:paraId="6A4D5F0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754" w:type="pct"/>
            <w:vMerge w:val="restart"/>
            <w:tcMar>
              <w:top w:w="30" w:type="dxa"/>
              <w:left w:w="45" w:type="dxa"/>
              <w:bottom w:w="30" w:type="dxa"/>
              <w:right w:w="45" w:type="dxa"/>
            </w:tcMar>
            <w:vAlign w:val="center"/>
            <w:hideMark/>
          </w:tcPr>
          <w:p w14:paraId="35441BD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23.273.128.134</w:t>
            </w:r>
          </w:p>
        </w:tc>
      </w:tr>
      <w:tr w:rsidR="00856F66" w:rsidRPr="00E31657" w14:paraId="1247B6AA" w14:textId="77777777" w:rsidTr="00ED49FA">
        <w:trPr>
          <w:trHeight w:val="750"/>
        </w:trPr>
        <w:tc>
          <w:tcPr>
            <w:tcW w:w="642" w:type="pct"/>
            <w:vMerge/>
            <w:vAlign w:val="center"/>
            <w:hideMark/>
          </w:tcPr>
          <w:p w14:paraId="09DAEC62"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2EAB1D81" w14:textId="77777777" w:rsidR="00856F66" w:rsidRPr="00E31657" w:rsidRDefault="00856F66" w:rsidP="00B24742">
            <w:pPr>
              <w:rPr>
                <w:rFonts w:cs="Arial"/>
                <w:sz w:val="16"/>
                <w:szCs w:val="16"/>
                <w:lang w:val="es-ES_tradnl" w:eastAsia="es-MX"/>
              </w:rPr>
            </w:pPr>
          </w:p>
        </w:tc>
        <w:tc>
          <w:tcPr>
            <w:tcW w:w="448" w:type="pct"/>
            <w:vMerge/>
            <w:vAlign w:val="center"/>
            <w:hideMark/>
          </w:tcPr>
          <w:p w14:paraId="7597B6A6"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584707D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1.164.256.000</w:t>
            </w:r>
          </w:p>
        </w:tc>
        <w:tc>
          <w:tcPr>
            <w:tcW w:w="759" w:type="pct"/>
            <w:tcMar>
              <w:top w:w="30" w:type="dxa"/>
              <w:left w:w="45" w:type="dxa"/>
              <w:bottom w:w="30" w:type="dxa"/>
              <w:right w:w="45" w:type="dxa"/>
            </w:tcMar>
            <w:vAlign w:val="center"/>
            <w:hideMark/>
          </w:tcPr>
          <w:p w14:paraId="3805E2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5.939.805.825</w:t>
            </w:r>
          </w:p>
        </w:tc>
        <w:tc>
          <w:tcPr>
            <w:tcW w:w="716" w:type="pct"/>
            <w:tcMar>
              <w:top w:w="30" w:type="dxa"/>
              <w:left w:w="45" w:type="dxa"/>
              <w:bottom w:w="30" w:type="dxa"/>
              <w:right w:w="45" w:type="dxa"/>
            </w:tcMar>
            <w:vAlign w:val="center"/>
            <w:hideMark/>
          </w:tcPr>
          <w:p w14:paraId="54D80F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8.668.341.974</w:t>
            </w:r>
          </w:p>
        </w:tc>
        <w:tc>
          <w:tcPr>
            <w:tcW w:w="742" w:type="pct"/>
            <w:tcMar>
              <w:top w:w="30" w:type="dxa"/>
              <w:left w:w="45" w:type="dxa"/>
              <w:bottom w:w="30" w:type="dxa"/>
              <w:right w:w="45" w:type="dxa"/>
            </w:tcMar>
            <w:vAlign w:val="center"/>
            <w:hideMark/>
          </w:tcPr>
          <w:p w14:paraId="7FCEED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7.500.724.335</w:t>
            </w:r>
          </w:p>
        </w:tc>
        <w:tc>
          <w:tcPr>
            <w:tcW w:w="754" w:type="pct"/>
            <w:vMerge/>
            <w:vAlign w:val="center"/>
            <w:hideMark/>
          </w:tcPr>
          <w:p w14:paraId="40798DF5" w14:textId="77777777" w:rsidR="00856F66" w:rsidRPr="00E31657" w:rsidRDefault="00856F66" w:rsidP="00B24742">
            <w:pPr>
              <w:rPr>
                <w:rFonts w:cs="Arial"/>
                <w:b/>
                <w:bCs/>
                <w:sz w:val="16"/>
                <w:szCs w:val="16"/>
                <w:lang w:val="es-ES_tradnl" w:eastAsia="es-MX"/>
              </w:rPr>
            </w:pPr>
          </w:p>
        </w:tc>
      </w:tr>
      <w:tr w:rsidR="00856F66" w:rsidRPr="00E31657" w14:paraId="0C2080D0" w14:textId="77777777" w:rsidTr="00ED49FA">
        <w:trPr>
          <w:trHeight w:val="315"/>
        </w:trPr>
        <w:tc>
          <w:tcPr>
            <w:tcW w:w="642" w:type="pct"/>
            <w:vMerge w:val="restart"/>
            <w:tcMar>
              <w:top w:w="30" w:type="dxa"/>
              <w:left w:w="45" w:type="dxa"/>
              <w:bottom w:w="30" w:type="dxa"/>
              <w:right w:w="45" w:type="dxa"/>
            </w:tcMar>
            <w:vAlign w:val="center"/>
            <w:hideMark/>
          </w:tcPr>
          <w:p w14:paraId="6437563F"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Beneficiar a 294.585 niños niñas adolescentes y jóvenes en educación inicial básica y media a través de procesos de </w:t>
            </w:r>
            <w:r w:rsidRPr="00E31657">
              <w:rPr>
                <w:rFonts w:cs="Arial"/>
                <w:sz w:val="16"/>
                <w:szCs w:val="16"/>
                <w:lang w:val="es-ES_tradnl" w:eastAsia="es-MX"/>
              </w:rPr>
              <w:lastRenderedPageBreak/>
              <w:t>formación digital cultural artística patrimonial deportiva y cultura ciudadana.</w:t>
            </w:r>
          </w:p>
        </w:tc>
        <w:tc>
          <w:tcPr>
            <w:tcW w:w="189" w:type="pct"/>
            <w:vMerge w:val="restart"/>
            <w:tcMar>
              <w:top w:w="30" w:type="dxa"/>
              <w:left w:w="45" w:type="dxa"/>
              <w:bottom w:w="30" w:type="dxa"/>
              <w:right w:w="45" w:type="dxa"/>
            </w:tcMar>
            <w:vAlign w:val="center"/>
            <w:hideMark/>
          </w:tcPr>
          <w:p w14:paraId="39F49B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290.079</w:t>
            </w:r>
            <w:r w:rsidRPr="00E31657">
              <w:rPr>
                <w:rFonts w:cs="Arial"/>
                <w:sz w:val="16"/>
                <w:szCs w:val="16"/>
                <w:lang w:val="es-ES_tradnl" w:eastAsia="es-MX"/>
              </w:rPr>
              <w:br/>
              <w:t>(2023)</w:t>
            </w:r>
          </w:p>
        </w:tc>
        <w:tc>
          <w:tcPr>
            <w:tcW w:w="448" w:type="pct"/>
            <w:vMerge w:val="restart"/>
            <w:tcMar>
              <w:top w:w="30" w:type="dxa"/>
              <w:left w:w="45" w:type="dxa"/>
              <w:bottom w:w="30" w:type="dxa"/>
              <w:right w:w="45" w:type="dxa"/>
            </w:tcMar>
            <w:vAlign w:val="center"/>
            <w:hideMark/>
          </w:tcPr>
          <w:p w14:paraId="77FCB8E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SEGPLAN / Registros administrativos de los planes operativos anuales de </w:t>
            </w:r>
            <w:r w:rsidRPr="00E31657">
              <w:rPr>
                <w:rFonts w:cs="Arial"/>
                <w:sz w:val="16"/>
                <w:szCs w:val="16"/>
                <w:lang w:val="es-ES_tradnl" w:eastAsia="es-MX"/>
              </w:rPr>
              <w:lastRenderedPageBreak/>
              <w:t>seguimiento a metas</w:t>
            </w:r>
          </w:p>
        </w:tc>
        <w:tc>
          <w:tcPr>
            <w:tcW w:w="751" w:type="pct"/>
            <w:tcMar>
              <w:top w:w="30" w:type="dxa"/>
              <w:left w:w="45" w:type="dxa"/>
              <w:bottom w:w="30" w:type="dxa"/>
              <w:right w:w="45" w:type="dxa"/>
            </w:tcMar>
            <w:vAlign w:val="center"/>
            <w:hideMark/>
          </w:tcPr>
          <w:p w14:paraId="354EA19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63.916</w:t>
            </w:r>
          </w:p>
        </w:tc>
        <w:tc>
          <w:tcPr>
            <w:tcW w:w="759" w:type="pct"/>
            <w:tcMar>
              <w:top w:w="30" w:type="dxa"/>
              <w:left w:w="45" w:type="dxa"/>
              <w:bottom w:w="30" w:type="dxa"/>
              <w:right w:w="45" w:type="dxa"/>
            </w:tcMar>
            <w:vAlign w:val="center"/>
            <w:hideMark/>
          </w:tcPr>
          <w:p w14:paraId="24998A0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74.592</w:t>
            </w:r>
          </w:p>
        </w:tc>
        <w:tc>
          <w:tcPr>
            <w:tcW w:w="716" w:type="pct"/>
            <w:tcMar>
              <w:top w:w="30" w:type="dxa"/>
              <w:left w:w="45" w:type="dxa"/>
              <w:bottom w:w="30" w:type="dxa"/>
              <w:right w:w="45" w:type="dxa"/>
            </w:tcMar>
            <w:vAlign w:val="center"/>
            <w:hideMark/>
          </w:tcPr>
          <w:p w14:paraId="314FF6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76.878</w:t>
            </w:r>
          </w:p>
        </w:tc>
        <w:tc>
          <w:tcPr>
            <w:tcW w:w="742" w:type="pct"/>
            <w:tcMar>
              <w:top w:w="30" w:type="dxa"/>
              <w:left w:w="45" w:type="dxa"/>
              <w:bottom w:w="30" w:type="dxa"/>
              <w:right w:w="45" w:type="dxa"/>
            </w:tcMar>
            <w:vAlign w:val="center"/>
            <w:hideMark/>
          </w:tcPr>
          <w:p w14:paraId="63B6E1B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79.199</w:t>
            </w:r>
          </w:p>
        </w:tc>
        <w:tc>
          <w:tcPr>
            <w:tcW w:w="754" w:type="pct"/>
            <w:vMerge w:val="restart"/>
            <w:tcMar>
              <w:top w:w="30" w:type="dxa"/>
              <w:left w:w="45" w:type="dxa"/>
              <w:bottom w:w="30" w:type="dxa"/>
              <w:right w:w="45" w:type="dxa"/>
            </w:tcMar>
            <w:vAlign w:val="center"/>
            <w:hideMark/>
          </w:tcPr>
          <w:p w14:paraId="79FD793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220.317.592.206</w:t>
            </w:r>
          </w:p>
        </w:tc>
      </w:tr>
      <w:tr w:rsidR="00856F66" w:rsidRPr="00E31657" w14:paraId="5FC69E2A" w14:textId="77777777" w:rsidTr="00ED49FA">
        <w:trPr>
          <w:trHeight w:val="315"/>
        </w:trPr>
        <w:tc>
          <w:tcPr>
            <w:tcW w:w="642" w:type="pct"/>
            <w:vMerge/>
            <w:vAlign w:val="center"/>
            <w:hideMark/>
          </w:tcPr>
          <w:p w14:paraId="55FA5DD7" w14:textId="77777777" w:rsidR="00856F66" w:rsidRPr="00E31657" w:rsidRDefault="00856F66" w:rsidP="00B24742">
            <w:pPr>
              <w:rPr>
                <w:rFonts w:cs="Arial"/>
                <w:sz w:val="16"/>
                <w:szCs w:val="16"/>
                <w:lang w:val="es-ES_tradnl" w:eastAsia="es-MX"/>
              </w:rPr>
            </w:pPr>
          </w:p>
        </w:tc>
        <w:tc>
          <w:tcPr>
            <w:tcW w:w="189" w:type="pct"/>
            <w:vMerge/>
            <w:vAlign w:val="center"/>
            <w:hideMark/>
          </w:tcPr>
          <w:p w14:paraId="00EED661" w14:textId="77777777" w:rsidR="00856F66" w:rsidRPr="00E31657" w:rsidRDefault="00856F66" w:rsidP="00B24742">
            <w:pPr>
              <w:rPr>
                <w:rFonts w:cs="Arial"/>
                <w:sz w:val="16"/>
                <w:szCs w:val="16"/>
                <w:lang w:val="es-ES_tradnl" w:eastAsia="es-MX"/>
              </w:rPr>
            </w:pPr>
          </w:p>
        </w:tc>
        <w:tc>
          <w:tcPr>
            <w:tcW w:w="448" w:type="pct"/>
            <w:vMerge/>
            <w:vAlign w:val="center"/>
            <w:hideMark/>
          </w:tcPr>
          <w:p w14:paraId="65A2EF79"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36C9E38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52.889.466.000</w:t>
            </w:r>
          </w:p>
        </w:tc>
        <w:tc>
          <w:tcPr>
            <w:tcW w:w="759" w:type="pct"/>
            <w:tcMar>
              <w:top w:w="30" w:type="dxa"/>
              <w:left w:w="45" w:type="dxa"/>
              <w:bottom w:w="30" w:type="dxa"/>
              <w:right w:w="45" w:type="dxa"/>
            </w:tcMar>
            <w:vAlign w:val="center"/>
            <w:hideMark/>
          </w:tcPr>
          <w:p w14:paraId="7A2B81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55.401.978.641</w:t>
            </w:r>
          </w:p>
        </w:tc>
        <w:tc>
          <w:tcPr>
            <w:tcW w:w="716" w:type="pct"/>
            <w:tcMar>
              <w:top w:w="30" w:type="dxa"/>
              <w:left w:w="45" w:type="dxa"/>
              <w:bottom w:w="30" w:type="dxa"/>
              <w:right w:w="45" w:type="dxa"/>
            </w:tcMar>
            <w:vAlign w:val="center"/>
            <w:hideMark/>
          </w:tcPr>
          <w:p w14:paraId="7210E6F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55.748.897.163</w:t>
            </w:r>
          </w:p>
        </w:tc>
        <w:tc>
          <w:tcPr>
            <w:tcW w:w="742" w:type="pct"/>
            <w:tcMar>
              <w:top w:w="30" w:type="dxa"/>
              <w:left w:w="45" w:type="dxa"/>
              <w:bottom w:w="30" w:type="dxa"/>
              <w:right w:w="45" w:type="dxa"/>
            </w:tcMar>
            <w:vAlign w:val="center"/>
            <w:hideMark/>
          </w:tcPr>
          <w:p w14:paraId="0D79B71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56.277.250.402</w:t>
            </w:r>
          </w:p>
        </w:tc>
        <w:tc>
          <w:tcPr>
            <w:tcW w:w="754" w:type="pct"/>
            <w:vMerge/>
            <w:vAlign w:val="center"/>
            <w:hideMark/>
          </w:tcPr>
          <w:p w14:paraId="11720F6E" w14:textId="77777777" w:rsidR="00856F66" w:rsidRPr="00E31657" w:rsidRDefault="00856F66" w:rsidP="00B24742">
            <w:pPr>
              <w:rPr>
                <w:rFonts w:cs="Arial"/>
                <w:b/>
                <w:bCs/>
                <w:sz w:val="16"/>
                <w:szCs w:val="16"/>
                <w:lang w:val="es-ES_tradnl" w:eastAsia="es-MX"/>
              </w:rPr>
            </w:pPr>
          </w:p>
        </w:tc>
      </w:tr>
      <w:tr w:rsidR="00856F66" w:rsidRPr="00E31657" w14:paraId="0299330C" w14:textId="77777777" w:rsidTr="00ED49FA">
        <w:trPr>
          <w:trHeight w:val="315"/>
        </w:trPr>
        <w:tc>
          <w:tcPr>
            <w:tcW w:w="5000" w:type="pct"/>
            <w:gridSpan w:val="8"/>
            <w:shd w:val="clear" w:color="auto" w:fill="C00000"/>
            <w:tcMar>
              <w:top w:w="30" w:type="dxa"/>
              <w:left w:w="45" w:type="dxa"/>
              <w:bottom w:w="30" w:type="dxa"/>
              <w:right w:w="45" w:type="dxa"/>
            </w:tcMar>
            <w:vAlign w:val="center"/>
            <w:hideMark/>
          </w:tcPr>
          <w:p w14:paraId="61AE9BBB"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Educación</w:t>
            </w:r>
          </w:p>
        </w:tc>
      </w:tr>
      <w:tr w:rsidR="00856F66" w:rsidRPr="00E31657" w14:paraId="2984B1E0" w14:textId="77777777" w:rsidTr="00ED49FA">
        <w:trPr>
          <w:trHeight w:val="315"/>
        </w:trPr>
        <w:tc>
          <w:tcPr>
            <w:tcW w:w="642" w:type="pct"/>
            <w:vMerge w:val="restart"/>
            <w:tcMar>
              <w:top w:w="30" w:type="dxa"/>
              <w:left w:w="45" w:type="dxa"/>
              <w:bottom w:w="30" w:type="dxa"/>
              <w:right w:w="45" w:type="dxa"/>
            </w:tcMar>
            <w:vAlign w:val="center"/>
            <w:hideMark/>
          </w:tcPr>
          <w:p w14:paraId="4A480C3B"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Aumentar a 90% las y los estudiantes de colegios oficiales del distrito que completan su trayectoria educativa de bachillerato</w:t>
            </w:r>
          </w:p>
        </w:tc>
        <w:tc>
          <w:tcPr>
            <w:tcW w:w="189" w:type="pct"/>
            <w:vMerge w:val="restart"/>
            <w:tcMar>
              <w:top w:w="30" w:type="dxa"/>
              <w:left w:w="45" w:type="dxa"/>
              <w:bottom w:w="30" w:type="dxa"/>
              <w:right w:w="45" w:type="dxa"/>
            </w:tcMar>
            <w:vAlign w:val="center"/>
            <w:hideMark/>
          </w:tcPr>
          <w:p w14:paraId="490A08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77%</w:t>
            </w:r>
            <w:r w:rsidRPr="00E31657">
              <w:rPr>
                <w:rFonts w:cs="Arial"/>
                <w:sz w:val="16"/>
                <w:szCs w:val="16"/>
                <w:lang w:val="es-ES_tradnl" w:eastAsia="es-MX"/>
              </w:rPr>
              <w:br/>
              <w:t>(2020)</w:t>
            </w:r>
          </w:p>
        </w:tc>
        <w:tc>
          <w:tcPr>
            <w:tcW w:w="448" w:type="pct"/>
            <w:vMerge w:val="restart"/>
            <w:tcMar>
              <w:top w:w="30" w:type="dxa"/>
              <w:left w:w="45" w:type="dxa"/>
              <w:bottom w:w="30" w:type="dxa"/>
              <w:right w:w="45" w:type="dxa"/>
            </w:tcMar>
            <w:vAlign w:val="center"/>
            <w:hideMark/>
          </w:tcPr>
          <w:p w14:paraId="20E5C80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CON BASE EN SIMAT</w:t>
            </w:r>
          </w:p>
        </w:tc>
        <w:tc>
          <w:tcPr>
            <w:tcW w:w="751" w:type="pct"/>
            <w:tcMar>
              <w:top w:w="30" w:type="dxa"/>
              <w:left w:w="45" w:type="dxa"/>
              <w:bottom w:w="30" w:type="dxa"/>
              <w:right w:w="45" w:type="dxa"/>
            </w:tcMar>
            <w:vAlign w:val="center"/>
            <w:hideMark/>
          </w:tcPr>
          <w:p w14:paraId="2A3794A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w:t>
            </w:r>
          </w:p>
        </w:tc>
        <w:tc>
          <w:tcPr>
            <w:tcW w:w="759" w:type="pct"/>
            <w:tcMar>
              <w:top w:w="30" w:type="dxa"/>
              <w:left w:w="45" w:type="dxa"/>
              <w:bottom w:w="30" w:type="dxa"/>
              <w:right w:w="45" w:type="dxa"/>
            </w:tcMar>
            <w:vAlign w:val="center"/>
            <w:hideMark/>
          </w:tcPr>
          <w:p w14:paraId="314F8C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82%</w:t>
            </w:r>
          </w:p>
        </w:tc>
        <w:tc>
          <w:tcPr>
            <w:tcW w:w="716" w:type="pct"/>
            <w:tcMar>
              <w:top w:w="30" w:type="dxa"/>
              <w:left w:w="45" w:type="dxa"/>
              <w:bottom w:w="30" w:type="dxa"/>
              <w:right w:w="45" w:type="dxa"/>
            </w:tcMar>
            <w:vAlign w:val="center"/>
            <w:hideMark/>
          </w:tcPr>
          <w:p w14:paraId="53CA70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86%</w:t>
            </w:r>
          </w:p>
        </w:tc>
        <w:tc>
          <w:tcPr>
            <w:tcW w:w="742" w:type="pct"/>
            <w:tcMar>
              <w:top w:w="30" w:type="dxa"/>
              <w:left w:w="45" w:type="dxa"/>
              <w:bottom w:w="30" w:type="dxa"/>
              <w:right w:w="45" w:type="dxa"/>
            </w:tcMar>
            <w:vAlign w:val="center"/>
            <w:hideMark/>
          </w:tcPr>
          <w:p w14:paraId="184FE48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p>
        </w:tc>
        <w:tc>
          <w:tcPr>
            <w:tcW w:w="754" w:type="pct"/>
            <w:vMerge w:val="restart"/>
            <w:tcMar>
              <w:top w:w="30" w:type="dxa"/>
              <w:left w:w="45" w:type="dxa"/>
              <w:bottom w:w="30" w:type="dxa"/>
              <w:right w:w="45" w:type="dxa"/>
            </w:tcMar>
            <w:vAlign w:val="center"/>
            <w:hideMark/>
          </w:tcPr>
          <w:p w14:paraId="4BFFA5B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119.289.768.289</w:t>
            </w:r>
          </w:p>
        </w:tc>
      </w:tr>
      <w:tr w:rsidR="00856F66" w:rsidRPr="00E31657" w14:paraId="7D49BFFD" w14:textId="77777777" w:rsidTr="00ED49FA">
        <w:trPr>
          <w:trHeight w:val="315"/>
        </w:trPr>
        <w:tc>
          <w:tcPr>
            <w:tcW w:w="642" w:type="pct"/>
            <w:vMerge/>
            <w:vAlign w:val="center"/>
            <w:hideMark/>
          </w:tcPr>
          <w:p w14:paraId="62A89CCA"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7993D6FB" w14:textId="77777777" w:rsidR="00856F66" w:rsidRPr="00E31657" w:rsidRDefault="00856F66" w:rsidP="00B24742">
            <w:pPr>
              <w:rPr>
                <w:rFonts w:cs="Arial"/>
                <w:sz w:val="16"/>
                <w:szCs w:val="16"/>
                <w:lang w:val="es-ES_tradnl" w:eastAsia="es-MX"/>
              </w:rPr>
            </w:pPr>
          </w:p>
        </w:tc>
        <w:tc>
          <w:tcPr>
            <w:tcW w:w="448" w:type="pct"/>
            <w:vMerge/>
            <w:vAlign w:val="center"/>
            <w:hideMark/>
          </w:tcPr>
          <w:p w14:paraId="37AB6713"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459E228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22.748.898.443</w:t>
            </w:r>
          </w:p>
        </w:tc>
        <w:tc>
          <w:tcPr>
            <w:tcW w:w="759" w:type="pct"/>
            <w:tcMar>
              <w:top w:w="30" w:type="dxa"/>
              <w:left w:w="45" w:type="dxa"/>
              <w:bottom w:w="30" w:type="dxa"/>
              <w:right w:w="45" w:type="dxa"/>
            </w:tcMar>
            <w:vAlign w:val="center"/>
            <w:hideMark/>
          </w:tcPr>
          <w:p w14:paraId="5E9FCB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32.609.441.976</w:t>
            </w:r>
          </w:p>
        </w:tc>
        <w:tc>
          <w:tcPr>
            <w:tcW w:w="716" w:type="pct"/>
            <w:tcMar>
              <w:top w:w="30" w:type="dxa"/>
              <w:left w:w="45" w:type="dxa"/>
              <w:bottom w:w="30" w:type="dxa"/>
              <w:right w:w="45" w:type="dxa"/>
            </w:tcMar>
            <w:vAlign w:val="center"/>
            <w:hideMark/>
          </w:tcPr>
          <w:p w14:paraId="334BA6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33.653.106.067</w:t>
            </w:r>
          </w:p>
        </w:tc>
        <w:tc>
          <w:tcPr>
            <w:tcW w:w="742" w:type="pct"/>
            <w:tcMar>
              <w:top w:w="30" w:type="dxa"/>
              <w:left w:w="45" w:type="dxa"/>
              <w:bottom w:w="30" w:type="dxa"/>
              <w:right w:w="45" w:type="dxa"/>
            </w:tcMar>
            <w:vAlign w:val="center"/>
            <w:hideMark/>
          </w:tcPr>
          <w:p w14:paraId="782E4D4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30.278.321.803</w:t>
            </w:r>
          </w:p>
        </w:tc>
        <w:tc>
          <w:tcPr>
            <w:tcW w:w="754" w:type="pct"/>
            <w:vMerge/>
            <w:vAlign w:val="center"/>
            <w:hideMark/>
          </w:tcPr>
          <w:p w14:paraId="2357E06F" w14:textId="77777777" w:rsidR="00856F66" w:rsidRPr="00E31657" w:rsidRDefault="00856F66" w:rsidP="00B24742">
            <w:pPr>
              <w:rPr>
                <w:rFonts w:cs="Arial"/>
                <w:b/>
                <w:bCs/>
                <w:sz w:val="16"/>
                <w:szCs w:val="16"/>
                <w:lang w:val="es-ES_tradnl" w:eastAsia="es-MX"/>
              </w:rPr>
            </w:pPr>
          </w:p>
        </w:tc>
      </w:tr>
      <w:tr w:rsidR="00856F66" w:rsidRPr="00E31657" w14:paraId="1080CC47" w14:textId="77777777" w:rsidTr="00ED49FA">
        <w:trPr>
          <w:trHeight w:val="315"/>
        </w:trPr>
        <w:tc>
          <w:tcPr>
            <w:tcW w:w="642" w:type="pct"/>
            <w:vMerge w:val="restart"/>
            <w:tcMar>
              <w:top w:w="30" w:type="dxa"/>
              <w:left w:w="45" w:type="dxa"/>
              <w:bottom w:w="30" w:type="dxa"/>
              <w:right w:w="45" w:type="dxa"/>
            </w:tcMar>
            <w:vAlign w:val="center"/>
            <w:hideMark/>
          </w:tcPr>
          <w:p w14:paraId="1157398F"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Aumentar al 70% las y los estudiantes de colegios oficiales que se ubican en los niveles 3 o 4 en matemáticas en las pruebas Saber 11. </w:t>
            </w:r>
          </w:p>
        </w:tc>
        <w:tc>
          <w:tcPr>
            <w:tcW w:w="189" w:type="pct"/>
            <w:vMerge w:val="restart"/>
            <w:tcMar>
              <w:top w:w="30" w:type="dxa"/>
              <w:left w:w="45" w:type="dxa"/>
              <w:bottom w:w="30" w:type="dxa"/>
              <w:right w:w="45" w:type="dxa"/>
            </w:tcMar>
            <w:vAlign w:val="center"/>
            <w:hideMark/>
          </w:tcPr>
          <w:p w14:paraId="5A47E5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57,%</w:t>
            </w:r>
            <w:r w:rsidRPr="00E31657">
              <w:rPr>
                <w:rFonts w:cs="Arial"/>
                <w:sz w:val="16"/>
                <w:szCs w:val="16"/>
                <w:lang w:val="es-ES_tradnl" w:eastAsia="es-MX"/>
              </w:rPr>
              <w:br/>
              <w:t>(2023)</w:t>
            </w:r>
          </w:p>
        </w:tc>
        <w:tc>
          <w:tcPr>
            <w:tcW w:w="448" w:type="pct"/>
            <w:vMerge w:val="restart"/>
            <w:tcMar>
              <w:top w:w="30" w:type="dxa"/>
              <w:left w:w="45" w:type="dxa"/>
              <w:bottom w:w="30" w:type="dxa"/>
              <w:right w:w="45" w:type="dxa"/>
            </w:tcMar>
            <w:vAlign w:val="center"/>
            <w:hideMark/>
          </w:tcPr>
          <w:p w14:paraId="132D4BE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CON BASE EN ICFES</w:t>
            </w:r>
          </w:p>
        </w:tc>
        <w:tc>
          <w:tcPr>
            <w:tcW w:w="751" w:type="pct"/>
            <w:tcMar>
              <w:top w:w="30" w:type="dxa"/>
              <w:left w:w="45" w:type="dxa"/>
              <w:bottom w:w="30" w:type="dxa"/>
              <w:right w:w="45" w:type="dxa"/>
            </w:tcMar>
            <w:vAlign w:val="center"/>
            <w:hideMark/>
          </w:tcPr>
          <w:p w14:paraId="4BC674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57%</w:t>
            </w:r>
          </w:p>
        </w:tc>
        <w:tc>
          <w:tcPr>
            <w:tcW w:w="759" w:type="pct"/>
            <w:tcMar>
              <w:top w:w="30" w:type="dxa"/>
              <w:left w:w="45" w:type="dxa"/>
              <w:bottom w:w="30" w:type="dxa"/>
              <w:right w:w="45" w:type="dxa"/>
            </w:tcMar>
            <w:vAlign w:val="center"/>
            <w:hideMark/>
          </w:tcPr>
          <w:p w14:paraId="175DFB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58%</w:t>
            </w:r>
          </w:p>
        </w:tc>
        <w:tc>
          <w:tcPr>
            <w:tcW w:w="716" w:type="pct"/>
            <w:tcMar>
              <w:top w:w="30" w:type="dxa"/>
              <w:left w:w="45" w:type="dxa"/>
              <w:bottom w:w="30" w:type="dxa"/>
              <w:right w:w="45" w:type="dxa"/>
            </w:tcMar>
            <w:vAlign w:val="center"/>
            <w:hideMark/>
          </w:tcPr>
          <w:p w14:paraId="0B851D0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w:t>
            </w:r>
          </w:p>
        </w:tc>
        <w:tc>
          <w:tcPr>
            <w:tcW w:w="742" w:type="pct"/>
            <w:tcMar>
              <w:top w:w="30" w:type="dxa"/>
              <w:left w:w="45" w:type="dxa"/>
              <w:bottom w:w="30" w:type="dxa"/>
              <w:right w:w="45" w:type="dxa"/>
            </w:tcMar>
            <w:vAlign w:val="center"/>
            <w:hideMark/>
          </w:tcPr>
          <w:p w14:paraId="0CB6BD9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w:t>
            </w:r>
          </w:p>
        </w:tc>
        <w:tc>
          <w:tcPr>
            <w:tcW w:w="754" w:type="pct"/>
            <w:vMerge w:val="restart"/>
            <w:tcMar>
              <w:top w:w="30" w:type="dxa"/>
              <w:left w:w="45" w:type="dxa"/>
              <w:bottom w:w="30" w:type="dxa"/>
              <w:right w:w="45" w:type="dxa"/>
            </w:tcMar>
            <w:vAlign w:val="center"/>
            <w:hideMark/>
          </w:tcPr>
          <w:p w14:paraId="5993A72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76.549.443.969</w:t>
            </w:r>
          </w:p>
        </w:tc>
      </w:tr>
      <w:tr w:rsidR="00856F66" w:rsidRPr="00E31657" w14:paraId="670D0912" w14:textId="77777777" w:rsidTr="00ED49FA">
        <w:trPr>
          <w:trHeight w:val="315"/>
        </w:trPr>
        <w:tc>
          <w:tcPr>
            <w:tcW w:w="642" w:type="pct"/>
            <w:vMerge/>
            <w:vAlign w:val="center"/>
            <w:hideMark/>
          </w:tcPr>
          <w:p w14:paraId="3829875A"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2C3A4D15" w14:textId="77777777" w:rsidR="00856F66" w:rsidRPr="00E31657" w:rsidRDefault="00856F66" w:rsidP="00B24742">
            <w:pPr>
              <w:rPr>
                <w:rFonts w:cs="Arial"/>
                <w:sz w:val="16"/>
                <w:szCs w:val="16"/>
                <w:lang w:val="es-ES_tradnl" w:eastAsia="es-MX"/>
              </w:rPr>
            </w:pPr>
          </w:p>
        </w:tc>
        <w:tc>
          <w:tcPr>
            <w:tcW w:w="448" w:type="pct"/>
            <w:vMerge/>
            <w:vAlign w:val="center"/>
            <w:hideMark/>
          </w:tcPr>
          <w:p w14:paraId="53ABD9BF"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02CD5A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759" w:type="pct"/>
            <w:tcMar>
              <w:top w:w="30" w:type="dxa"/>
              <w:left w:w="45" w:type="dxa"/>
              <w:bottom w:w="30" w:type="dxa"/>
              <w:right w:w="45" w:type="dxa"/>
            </w:tcMar>
            <w:vAlign w:val="center"/>
            <w:hideMark/>
          </w:tcPr>
          <w:p w14:paraId="1B0DA3E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28.002.594.475</w:t>
            </w:r>
          </w:p>
        </w:tc>
        <w:tc>
          <w:tcPr>
            <w:tcW w:w="716" w:type="pct"/>
            <w:tcMar>
              <w:top w:w="30" w:type="dxa"/>
              <w:left w:w="45" w:type="dxa"/>
              <w:bottom w:w="30" w:type="dxa"/>
              <w:right w:w="45" w:type="dxa"/>
            </w:tcMar>
            <w:vAlign w:val="center"/>
            <w:hideMark/>
          </w:tcPr>
          <w:p w14:paraId="755662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25.632.829.762</w:t>
            </w:r>
          </w:p>
        </w:tc>
        <w:tc>
          <w:tcPr>
            <w:tcW w:w="742" w:type="pct"/>
            <w:tcMar>
              <w:top w:w="30" w:type="dxa"/>
              <w:left w:w="45" w:type="dxa"/>
              <w:bottom w:w="30" w:type="dxa"/>
              <w:right w:w="45" w:type="dxa"/>
            </w:tcMar>
            <w:vAlign w:val="center"/>
            <w:hideMark/>
          </w:tcPr>
          <w:p w14:paraId="0E199A6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22.914.019.733</w:t>
            </w:r>
          </w:p>
        </w:tc>
        <w:tc>
          <w:tcPr>
            <w:tcW w:w="754" w:type="pct"/>
            <w:vMerge/>
            <w:vAlign w:val="center"/>
            <w:hideMark/>
          </w:tcPr>
          <w:p w14:paraId="07446CC2" w14:textId="77777777" w:rsidR="00856F66" w:rsidRPr="00E31657" w:rsidRDefault="00856F66" w:rsidP="00B24742">
            <w:pPr>
              <w:rPr>
                <w:rFonts w:cs="Arial"/>
                <w:b/>
                <w:bCs/>
                <w:sz w:val="16"/>
                <w:szCs w:val="16"/>
                <w:lang w:val="es-ES_tradnl" w:eastAsia="es-MX"/>
              </w:rPr>
            </w:pPr>
          </w:p>
        </w:tc>
      </w:tr>
      <w:tr w:rsidR="00856F66" w:rsidRPr="00E31657" w14:paraId="1E5AB6C8" w14:textId="77777777" w:rsidTr="00ED49FA">
        <w:trPr>
          <w:trHeight w:val="315"/>
        </w:trPr>
        <w:tc>
          <w:tcPr>
            <w:tcW w:w="642" w:type="pct"/>
            <w:vMerge w:val="restart"/>
            <w:tcMar>
              <w:top w:w="30" w:type="dxa"/>
              <w:left w:w="45" w:type="dxa"/>
              <w:bottom w:w="30" w:type="dxa"/>
              <w:right w:w="45" w:type="dxa"/>
            </w:tcMar>
            <w:vAlign w:val="center"/>
            <w:hideMark/>
          </w:tcPr>
          <w:p w14:paraId="7A21D306"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Aumentar al 80% las y los estudiantes de colegios oficiales que se ubican en los niveles 3 o 4 en lectura crítica en las pruebas Saber 11. </w:t>
            </w:r>
          </w:p>
        </w:tc>
        <w:tc>
          <w:tcPr>
            <w:tcW w:w="189" w:type="pct"/>
            <w:vMerge w:val="restart"/>
            <w:tcMar>
              <w:top w:w="30" w:type="dxa"/>
              <w:left w:w="45" w:type="dxa"/>
              <w:bottom w:w="30" w:type="dxa"/>
              <w:right w:w="45" w:type="dxa"/>
            </w:tcMar>
            <w:vAlign w:val="center"/>
            <w:hideMark/>
          </w:tcPr>
          <w:p w14:paraId="7EA985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w:t>
            </w:r>
            <w:r w:rsidRPr="00E31657">
              <w:rPr>
                <w:rFonts w:cs="Arial"/>
                <w:sz w:val="16"/>
                <w:szCs w:val="16"/>
                <w:lang w:val="es-ES_tradnl" w:eastAsia="es-MX"/>
              </w:rPr>
              <w:br/>
              <w:t>(2023)</w:t>
            </w:r>
          </w:p>
        </w:tc>
        <w:tc>
          <w:tcPr>
            <w:tcW w:w="448" w:type="pct"/>
            <w:vMerge w:val="restart"/>
            <w:tcMar>
              <w:top w:w="30" w:type="dxa"/>
              <w:left w:w="45" w:type="dxa"/>
              <w:bottom w:w="30" w:type="dxa"/>
              <w:right w:w="45" w:type="dxa"/>
            </w:tcMar>
            <w:vAlign w:val="center"/>
            <w:hideMark/>
          </w:tcPr>
          <w:p w14:paraId="4862A8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CON BASE EN ICFES</w:t>
            </w:r>
          </w:p>
        </w:tc>
        <w:tc>
          <w:tcPr>
            <w:tcW w:w="751" w:type="pct"/>
            <w:tcMar>
              <w:top w:w="30" w:type="dxa"/>
              <w:left w:w="45" w:type="dxa"/>
              <w:bottom w:w="30" w:type="dxa"/>
              <w:right w:w="45" w:type="dxa"/>
            </w:tcMar>
            <w:vAlign w:val="center"/>
            <w:hideMark/>
          </w:tcPr>
          <w:p w14:paraId="0BEBFF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w:t>
            </w:r>
          </w:p>
        </w:tc>
        <w:tc>
          <w:tcPr>
            <w:tcW w:w="759" w:type="pct"/>
            <w:tcMar>
              <w:top w:w="30" w:type="dxa"/>
              <w:left w:w="45" w:type="dxa"/>
              <w:bottom w:w="30" w:type="dxa"/>
              <w:right w:w="45" w:type="dxa"/>
            </w:tcMar>
            <w:vAlign w:val="center"/>
            <w:hideMark/>
          </w:tcPr>
          <w:p w14:paraId="77A3A7E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69%</w:t>
            </w:r>
          </w:p>
        </w:tc>
        <w:tc>
          <w:tcPr>
            <w:tcW w:w="716" w:type="pct"/>
            <w:tcMar>
              <w:top w:w="30" w:type="dxa"/>
              <w:left w:w="45" w:type="dxa"/>
              <w:bottom w:w="30" w:type="dxa"/>
              <w:right w:w="45" w:type="dxa"/>
            </w:tcMar>
            <w:vAlign w:val="center"/>
            <w:hideMark/>
          </w:tcPr>
          <w:p w14:paraId="5C6C31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73%</w:t>
            </w:r>
          </w:p>
        </w:tc>
        <w:tc>
          <w:tcPr>
            <w:tcW w:w="742" w:type="pct"/>
            <w:tcMar>
              <w:top w:w="30" w:type="dxa"/>
              <w:left w:w="45" w:type="dxa"/>
              <w:bottom w:w="30" w:type="dxa"/>
              <w:right w:w="45" w:type="dxa"/>
            </w:tcMar>
            <w:vAlign w:val="center"/>
            <w:hideMark/>
          </w:tcPr>
          <w:p w14:paraId="3DB91E6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754" w:type="pct"/>
            <w:vMerge w:val="restart"/>
            <w:tcMar>
              <w:top w:w="30" w:type="dxa"/>
              <w:left w:w="45" w:type="dxa"/>
              <w:bottom w:w="30" w:type="dxa"/>
              <w:right w:w="45" w:type="dxa"/>
            </w:tcMar>
            <w:vAlign w:val="center"/>
            <w:hideMark/>
          </w:tcPr>
          <w:p w14:paraId="01CFDCE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94.530.817.133</w:t>
            </w:r>
          </w:p>
        </w:tc>
      </w:tr>
      <w:tr w:rsidR="00856F66" w:rsidRPr="00E31657" w14:paraId="2F6F988D" w14:textId="77777777" w:rsidTr="00ED49FA">
        <w:trPr>
          <w:trHeight w:val="315"/>
        </w:trPr>
        <w:tc>
          <w:tcPr>
            <w:tcW w:w="642" w:type="pct"/>
            <w:vMerge/>
            <w:vAlign w:val="center"/>
            <w:hideMark/>
          </w:tcPr>
          <w:p w14:paraId="1922CBDC"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66F3800D" w14:textId="77777777" w:rsidR="00856F66" w:rsidRPr="00E31657" w:rsidRDefault="00856F66" w:rsidP="00B24742">
            <w:pPr>
              <w:rPr>
                <w:rFonts w:cs="Arial"/>
                <w:sz w:val="16"/>
                <w:szCs w:val="16"/>
                <w:lang w:val="es-ES_tradnl" w:eastAsia="es-MX"/>
              </w:rPr>
            </w:pPr>
          </w:p>
        </w:tc>
        <w:tc>
          <w:tcPr>
            <w:tcW w:w="448" w:type="pct"/>
            <w:vMerge/>
            <w:vAlign w:val="center"/>
            <w:hideMark/>
          </w:tcPr>
          <w:p w14:paraId="2684575A"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3E17EF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24.580.936.211</w:t>
            </w:r>
          </w:p>
        </w:tc>
        <w:tc>
          <w:tcPr>
            <w:tcW w:w="759" w:type="pct"/>
            <w:tcMar>
              <w:top w:w="30" w:type="dxa"/>
              <w:left w:w="45" w:type="dxa"/>
              <w:bottom w:w="30" w:type="dxa"/>
              <w:right w:w="45" w:type="dxa"/>
            </w:tcMar>
            <w:vAlign w:val="center"/>
            <w:hideMark/>
          </w:tcPr>
          <w:p w14:paraId="37468A3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25.117.244.310</w:t>
            </w:r>
          </w:p>
        </w:tc>
        <w:tc>
          <w:tcPr>
            <w:tcW w:w="716" w:type="pct"/>
            <w:tcMar>
              <w:top w:w="30" w:type="dxa"/>
              <w:left w:w="45" w:type="dxa"/>
              <w:bottom w:w="30" w:type="dxa"/>
              <w:right w:w="45" w:type="dxa"/>
            </w:tcMar>
            <w:vAlign w:val="center"/>
            <w:hideMark/>
          </w:tcPr>
          <w:p w14:paraId="283057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23.146.174.517</w:t>
            </w:r>
          </w:p>
        </w:tc>
        <w:tc>
          <w:tcPr>
            <w:tcW w:w="742" w:type="pct"/>
            <w:tcMar>
              <w:top w:w="30" w:type="dxa"/>
              <w:left w:w="45" w:type="dxa"/>
              <w:bottom w:w="30" w:type="dxa"/>
              <w:right w:w="45" w:type="dxa"/>
            </w:tcMar>
            <w:vAlign w:val="center"/>
            <w:hideMark/>
          </w:tcPr>
          <w:p w14:paraId="619DE56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21.686.462.095</w:t>
            </w:r>
          </w:p>
        </w:tc>
        <w:tc>
          <w:tcPr>
            <w:tcW w:w="754" w:type="pct"/>
            <w:vMerge/>
            <w:vAlign w:val="center"/>
            <w:hideMark/>
          </w:tcPr>
          <w:p w14:paraId="017638D9" w14:textId="77777777" w:rsidR="00856F66" w:rsidRPr="00E31657" w:rsidRDefault="00856F66" w:rsidP="00B24742">
            <w:pPr>
              <w:rPr>
                <w:rFonts w:cs="Arial"/>
                <w:b/>
                <w:bCs/>
                <w:sz w:val="16"/>
                <w:szCs w:val="16"/>
                <w:lang w:val="es-ES_tradnl" w:eastAsia="es-MX"/>
              </w:rPr>
            </w:pPr>
          </w:p>
        </w:tc>
      </w:tr>
      <w:tr w:rsidR="00856F66" w:rsidRPr="00E31657" w14:paraId="0971D690" w14:textId="77777777" w:rsidTr="00ED49FA">
        <w:trPr>
          <w:trHeight w:val="315"/>
        </w:trPr>
        <w:tc>
          <w:tcPr>
            <w:tcW w:w="642" w:type="pct"/>
            <w:vMerge w:val="restart"/>
            <w:tcMar>
              <w:top w:w="30" w:type="dxa"/>
              <w:left w:w="45" w:type="dxa"/>
              <w:bottom w:w="30" w:type="dxa"/>
              <w:right w:w="45" w:type="dxa"/>
            </w:tcMar>
            <w:vAlign w:val="center"/>
            <w:hideMark/>
          </w:tcPr>
          <w:p w14:paraId="673C2A25"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Aumentar en 30.000 cupos para niñas y niños de 0 a 5 años con servicios de atención integral </w:t>
            </w:r>
          </w:p>
        </w:tc>
        <w:tc>
          <w:tcPr>
            <w:tcW w:w="189" w:type="pct"/>
            <w:vMerge w:val="restart"/>
            <w:tcMar>
              <w:top w:w="30" w:type="dxa"/>
              <w:left w:w="45" w:type="dxa"/>
              <w:bottom w:w="30" w:type="dxa"/>
              <w:right w:w="45" w:type="dxa"/>
            </w:tcMar>
            <w:vAlign w:val="center"/>
            <w:hideMark/>
          </w:tcPr>
          <w:p w14:paraId="0A29B96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448" w:type="pct"/>
            <w:vMerge w:val="restart"/>
            <w:tcMar>
              <w:top w:w="30" w:type="dxa"/>
              <w:left w:w="45" w:type="dxa"/>
              <w:bottom w:w="30" w:type="dxa"/>
              <w:right w:w="45" w:type="dxa"/>
            </w:tcMar>
            <w:vAlign w:val="center"/>
            <w:hideMark/>
          </w:tcPr>
          <w:p w14:paraId="7DB977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SDIS ICBF</w:t>
            </w:r>
          </w:p>
        </w:tc>
        <w:tc>
          <w:tcPr>
            <w:tcW w:w="751" w:type="pct"/>
            <w:tcMar>
              <w:top w:w="30" w:type="dxa"/>
              <w:left w:w="45" w:type="dxa"/>
              <w:bottom w:w="30" w:type="dxa"/>
              <w:right w:w="45" w:type="dxa"/>
            </w:tcMar>
            <w:vAlign w:val="center"/>
            <w:hideMark/>
          </w:tcPr>
          <w:p w14:paraId="4F2F60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1.040</w:t>
            </w:r>
          </w:p>
        </w:tc>
        <w:tc>
          <w:tcPr>
            <w:tcW w:w="759" w:type="pct"/>
            <w:tcMar>
              <w:top w:w="30" w:type="dxa"/>
              <w:left w:w="45" w:type="dxa"/>
              <w:bottom w:w="30" w:type="dxa"/>
              <w:right w:w="45" w:type="dxa"/>
            </w:tcMar>
            <w:vAlign w:val="center"/>
            <w:hideMark/>
          </w:tcPr>
          <w:p w14:paraId="67A69DF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4.960</w:t>
            </w:r>
          </w:p>
        </w:tc>
        <w:tc>
          <w:tcPr>
            <w:tcW w:w="716" w:type="pct"/>
            <w:tcMar>
              <w:top w:w="30" w:type="dxa"/>
              <w:left w:w="45" w:type="dxa"/>
              <w:bottom w:w="30" w:type="dxa"/>
              <w:right w:w="45" w:type="dxa"/>
            </w:tcMar>
            <w:vAlign w:val="center"/>
            <w:hideMark/>
          </w:tcPr>
          <w:p w14:paraId="7E080C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8.380</w:t>
            </w:r>
          </w:p>
        </w:tc>
        <w:tc>
          <w:tcPr>
            <w:tcW w:w="742" w:type="pct"/>
            <w:tcMar>
              <w:top w:w="30" w:type="dxa"/>
              <w:left w:w="45" w:type="dxa"/>
              <w:bottom w:w="30" w:type="dxa"/>
              <w:right w:w="45" w:type="dxa"/>
            </w:tcMar>
            <w:vAlign w:val="center"/>
            <w:hideMark/>
          </w:tcPr>
          <w:p w14:paraId="15C3A6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7.620</w:t>
            </w:r>
          </w:p>
        </w:tc>
        <w:tc>
          <w:tcPr>
            <w:tcW w:w="754" w:type="pct"/>
            <w:vMerge w:val="restart"/>
            <w:tcMar>
              <w:top w:w="30" w:type="dxa"/>
              <w:left w:w="45" w:type="dxa"/>
              <w:bottom w:w="30" w:type="dxa"/>
              <w:right w:w="45" w:type="dxa"/>
            </w:tcMar>
            <w:vAlign w:val="center"/>
            <w:hideMark/>
          </w:tcPr>
          <w:p w14:paraId="0DC9955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483.879.558.390</w:t>
            </w:r>
          </w:p>
        </w:tc>
      </w:tr>
      <w:tr w:rsidR="00856F66" w:rsidRPr="00E31657" w14:paraId="3151C7A6" w14:textId="77777777" w:rsidTr="00ED49FA">
        <w:trPr>
          <w:trHeight w:val="315"/>
        </w:trPr>
        <w:tc>
          <w:tcPr>
            <w:tcW w:w="642" w:type="pct"/>
            <w:vMerge/>
            <w:vAlign w:val="center"/>
            <w:hideMark/>
          </w:tcPr>
          <w:p w14:paraId="6F410423"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2C48AAE7" w14:textId="77777777" w:rsidR="00856F66" w:rsidRPr="00E31657" w:rsidRDefault="00856F66" w:rsidP="00B24742">
            <w:pPr>
              <w:rPr>
                <w:rFonts w:cs="Arial"/>
                <w:sz w:val="16"/>
                <w:szCs w:val="16"/>
                <w:lang w:val="es-ES_tradnl" w:eastAsia="es-MX"/>
              </w:rPr>
            </w:pPr>
          </w:p>
        </w:tc>
        <w:tc>
          <w:tcPr>
            <w:tcW w:w="448" w:type="pct"/>
            <w:vMerge/>
            <w:vAlign w:val="center"/>
            <w:hideMark/>
          </w:tcPr>
          <w:p w14:paraId="7AD120E1"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43E744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32.884.507.548</w:t>
            </w:r>
          </w:p>
        </w:tc>
        <w:tc>
          <w:tcPr>
            <w:tcW w:w="759" w:type="pct"/>
            <w:tcMar>
              <w:top w:w="30" w:type="dxa"/>
              <w:left w:w="45" w:type="dxa"/>
              <w:bottom w:w="30" w:type="dxa"/>
              <w:right w:w="45" w:type="dxa"/>
            </w:tcMar>
            <w:vAlign w:val="center"/>
            <w:hideMark/>
          </w:tcPr>
          <w:p w14:paraId="1A2BCC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88.042.817.249</w:t>
            </w:r>
          </w:p>
        </w:tc>
        <w:tc>
          <w:tcPr>
            <w:tcW w:w="716" w:type="pct"/>
            <w:tcMar>
              <w:top w:w="30" w:type="dxa"/>
              <w:left w:w="45" w:type="dxa"/>
              <w:bottom w:w="30" w:type="dxa"/>
              <w:right w:w="45" w:type="dxa"/>
            </w:tcMar>
            <w:vAlign w:val="center"/>
            <w:hideMark/>
          </w:tcPr>
          <w:p w14:paraId="1D56A8D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122.476.261.440</w:t>
            </w:r>
          </w:p>
        </w:tc>
        <w:tc>
          <w:tcPr>
            <w:tcW w:w="742" w:type="pct"/>
            <w:tcMar>
              <w:top w:w="30" w:type="dxa"/>
              <w:left w:w="45" w:type="dxa"/>
              <w:bottom w:w="30" w:type="dxa"/>
              <w:right w:w="45" w:type="dxa"/>
            </w:tcMar>
            <w:vAlign w:val="center"/>
            <w:hideMark/>
          </w:tcPr>
          <w:p w14:paraId="209709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240.475.972.153</w:t>
            </w:r>
          </w:p>
        </w:tc>
        <w:tc>
          <w:tcPr>
            <w:tcW w:w="754" w:type="pct"/>
            <w:vMerge/>
            <w:vAlign w:val="center"/>
            <w:hideMark/>
          </w:tcPr>
          <w:p w14:paraId="5D4EC112" w14:textId="77777777" w:rsidR="00856F66" w:rsidRPr="00E31657" w:rsidRDefault="00856F66" w:rsidP="00B24742">
            <w:pPr>
              <w:rPr>
                <w:rFonts w:cs="Arial"/>
                <w:b/>
                <w:bCs/>
                <w:sz w:val="16"/>
                <w:szCs w:val="16"/>
                <w:lang w:val="es-ES_tradnl" w:eastAsia="es-MX"/>
              </w:rPr>
            </w:pPr>
          </w:p>
        </w:tc>
      </w:tr>
      <w:tr w:rsidR="00856F66" w:rsidRPr="00E31657" w14:paraId="47B1F4B0" w14:textId="77777777" w:rsidTr="00ED49FA">
        <w:trPr>
          <w:trHeight w:val="315"/>
        </w:trPr>
        <w:tc>
          <w:tcPr>
            <w:tcW w:w="642" w:type="pct"/>
            <w:vMerge w:val="restart"/>
            <w:tcMar>
              <w:top w:w="30" w:type="dxa"/>
              <w:left w:w="45" w:type="dxa"/>
              <w:bottom w:w="30" w:type="dxa"/>
              <w:right w:w="45" w:type="dxa"/>
            </w:tcMar>
            <w:vAlign w:val="center"/>
            <w:hideMark/>
          </w:tcPr>
          <w:p w14:paraId="29650BAA"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lastRenderedPageBreak/>
              <w:t>Beneficiar a 100% docentes directivas docentes y otras personas de la comunidad educativa con un programa de bienestar integral</w:t>
            </w:r>
          </w:p>
        </w:tc>
        <w:tc>
          <w:tcPr>
            <w:tcW w:w="189" w:type="pct"/>
            <w:vMerge w:val="restart"/>
            <w:tcMar>
              <w:top w:w="30" w:type="dxa"/>
              <w:left w:w="45" w:type="dxa"/>
              <w:bottom w:w="30" w:type="dxa"/>
              <w:right w:w="45" w:type="dxa"/>
            </w:tcMar>
            <w:vAlign w:val="center"/>
            <w:hideMark/>
          </w:tcPr>
          <w:p w14:paraId="247D42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448" w:type="pct"/>
            <w:vMerge w:val="restart"/>
            <w:tcMar>
              <w:top w:w="30" w:type="dxa"/>
              <w:left w:w="45" w:type="dxa"/>
              <w:bottom w:w="30" w:type="dxa"/>
              <w:right w:w="45" w:type="dxa"/>
            </w:tcMar>
            <w:vAlign w:val="center"/>
            <w:hideMark/>
          </w:tcPr>
          <w:p w14:paraId="747AE4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w:t>
            </w:r>
          </w:p>
        </w:tc>
        <w:tc>
          <w:tcPr>
            <w:tcW w:w="751" w:type="pct"/>
            <w:tcMar>
              <w:top w:w="30" w:type="dxa"/>
              <w:left w:w="45" w:type="dxa"/>
              <w:bottom w:w="30" w:type="dxa"/>
              <w:right w:w="45" w:type="dxa"/>
            </w:tcMar>
            <w:vAlign w:val="center"/>
            <w:hideMark/>
          </w:tcPr>
          <w:p w14:paraId="29997EF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9" w:type="pct"/>
            <w:tcMar>
              <w:top w:w="30" w:type="dxa"/>
              <w:left w:w="45" w:type="dxa"/>
              <w:bottom w:w="30" w:type="dxa"/>
              <w:right w:w="45" w:type="dxa"/>
            </w:tcMar>
            <w:vAlign w:val="center"/>
            <w:hideMark/>
          </w:tcPr>
          <w:p w14:paraId="00A896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16" w:type="pct"/>
            <w:tcMar>
              <w:top w:w="30" w:type="dxa"/>
              <w:left w:w="45" w:type="dxa"/>
              <w:bottom w:w="30" w:type="dxa"/>
              <w:right w:w="45" w:type="dxa"/>
            </w:tcMar>
            <w:vAlign w:val="center"/>
            <w:hideMark/>
          </w:tcPr>
          <w:p w14:paraId="5E9280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42" w:type="pct"/>
            <w:tcMar>
              <w:top w:w="30" w:type="dxa"/>
              <w:left w:w="45" w:type="dxa"/>
              <w:bottom w:w="30" w:type="dxa"/>
              <w:right w:w="45" w:type="dxa"/>
            </w:tcMar>
            <w:vAlign w:val="center"/>
            <w:hideMark/>
          </w:tcPr>
          <w:p w14:paraId="356B503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4" w:type="pct"/>
            <w:vMerge w:val="restart"/>
            <w:tcMar>
              <w:top w:w="30" w:type="dxa"/>
              <w:left w:w="45" w:type="dxa"/>
              <w:bottom w:w="30" w:type="dxa"/>
              <w:right w:w="45" w:type="dxa"/>
            </w:tcMar>
            <w:vAlign w:val="center"/>
            <w:hideMark/>
          </w:tcPr>
          <w:p w14:paraId="70F0246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115.453.586.213</w:t>
            </w:r>
          </w:p>
        </w:tc>
      </w:tr>
      <w:tr w:rsidR="00856F66" w:rsidRPr="00E31657" w14:paraId="2D859C9B" w14:textId="77777777" w:rsidTr="00ED49FA">
        <w:trPr>
          <w:trHeight w:val="315"/>
        </w:trPr>
        <w:tc>
          <w:tcPr>
            <w:tcW w:w="642" w:type="pct"/>
            <w:vMerge/>
            <w:vAlign w:val="center"/>
            <w:hideMark/>
          </w:tcPr>
          <w:p w14:paraId="1104D949"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021074BA" w14:textId="77777777" w:rsidR="00856F66" w:rsidRPr="00E31657" w:rsidRDefault="00856F66" w:rsidP="00B24742">
            <w:pPr>
              <w:rPr>
                <w:rFonts w:cs="Arial"/>
                <w:sz w:val="16"/>
                <w:szCs w:val="16"/>
                <w:lang w:val="es-ES_tradnl" w:eastAsia="es-MX"/>
              </w:rPr>
            </w:pPr>
          </w:p>
        </w:tc>
        <w:tc>
          <w:tcPr>
            <w:tcW w:w="448" w:type="pct"/>
            <w:vMerge/>
            <w:vAlign w:val="center"/>
            <w:hideMark/>
          </w:tcPr>
          <w:p w14:paraId="4C5AC7AE"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51AB3C5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31.662.798.268</w:t>
            </w:r>
          </w:p>
        </w:tc>
        <w:tc>
          <w:tcPr>
            <w:tcW w:w="759" w:type="pct"/>
            <w:tcMar>
              <w:top w:w="30" w:type="dxa"/>
              <w:left w:w="45" w:type="dxa"/>
              <w:bottom w:w="30" w:type="dxa"/>
              <w:right w:w="45" w:type="dxa"/>
            </w:tcMar>
            <w:vAlign w:val="center"/>
            <w:hideMark/>
          </w:tcPr>
          <w:p w14:paraId="31360C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28.091.631.691</w:t>
            </w:r>
          </w:p>
        </w:tc>
        <w:tc>
          <w:tcPr>
            <w:tcW w:w="716" w:type="pct"/>
            <w:tcMar>
              <w:top w:w="30" w:type="dxa"/>
              <w:left w:w="45" w:type="dxa"/>
              <w:bottom w:w="30" w:type="dxa"/>
              <w:right w:w="45" w:type="dxa"/>
            </w:tcMar>
            <w:vAlign w:val="center"/>
            <w:hideMark/>
          </w:tcPr>
          <w:p w14:paraId="017834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27.794.738.683</w:t>
            </w:r>
          </w:p>
        </w:tc>
        <w:tc>
          <w:tcPr>
            <w:tcW w:w="742" w:type="pct"/>
            <w:tcMar>
              <w:top w:w="30" w:type="dxa"/>
              <w:left w:w="45" w:type="dxa"/>
              <w:bottom w:w="30" w:type="dxa"/>
              <w:right w:w="45" w:type="dxa"/>
            </w:tcMar>
            <w:vAlign w:val="center"/>
            <w:hideMark/>
          </w:tcPr>
          <w:p w14:paraId="7B7553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27.904.417.571</w:t>
            </w:r>
          </w:p>
        </w:tc>
        <w:tc>
          <w:tcPr>
            <w:tcW w:w="754" w:type="pct"/>
            <w:vMerge/>
            <w:vAlign w:val="center"/>
            <w:hideMark/>
          </w:tcPr>
          <w:p w14:paraId="5F1E6E98" w14:textId="77777777" w:rsidR="00856F66" w:rsidRPr="00E31657" w:rsidRDefault="00856F66" w:rsidP="00B24742">
            <w:pPr>
              <w:rPr>
                <w:rFonts w:cs="Arial"/>
                <w:b/>
                <w:bCs/>
                <w:sz w:val="16"/>
                <w:szCs w:val="16"/>
                <w:lang w:val="es-ES_tradnl" w:eastAsia="es-MX"/>
              </w:rPr>
            </w:pPr>
          </w:p>
        </w:tc>
      </w:tr>
      <w:tr w:rsidR="00856F66" w:rsidRPr="00E31657" w14:paraId="328CDA7C" w14:textId="77777777" w:rsidTr="00ED49FA">
        <w:trPr>
          <w:trHeight w:val="315"/>
        </w:trPr>
        <w:tc>
          <w:tcPr>
            <w:tcW w:w="642" w:type="pct"/>
            <w:vMerge w:val="restart"/>
            <w:tcMar>
              <w:top w:w="30" w:type="dxa"/>
              <w:left w:w="45" w:type="dxa"/>
              <w:bottom w:w="30" w:type="dxa"/>
              <w:right w:w="45" w:type="dxa"/>
            </w:tcMar>
            <w:vAlign w:val="center"/>
            <w:hideMark/>
          </w:tcPr>
          <w:p w14:paraId="79D5A28C"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Beneficiar a 447560 estudiantes de colegios oficiales con estrategias de ampliación de tiempo escolar </w:t>
            </w:r>
          </w:p>
        </w:tc>
        <w:tc>
          <w:tcPr>
            <w:tcW w:w="189" w:type="pct"/>
            <w:vMerge w:val="restart"/>
            <w:tcMar>
              <w:top w:w="30" w:type="dxa"/>
              <w:left w:w="45" w:type="dxa"/>
              <w:bottom w:w="30" w:type="dxa"/>
              <w:right w:w="45" w:type="dxa"/>
            </w:tcMar>
            <w:vAlign w:val="center"/>
            <w:hideMark/>
          </w:tcPr>
          <w:p w14:paraId="13C9D69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392865</w:t>
            </w:r>
            <w:r w:rsidRPr="00E31657">
              <w:rPr>
                <w:rFonts w:cs="Arial"/>
                <w:sz w:val="16"/>
                <w:szCs w:val="16"/>
                <w:lang w:val="es-ES_tradnl" w:eastAsia="es-MX"/>
              </w:rPr>
              <w:br/>
              <w:t>(2023)</w:t>
            </w:r>
          </w:p>
        </w:tc>
        <w:tc>
          <w:tcPr>
            <w:tcW w:w="448" w:type="pct"/>
            <w:vMerge w:val="restart"/>
            <w:tcMar>
              <w:top w:w="30" w:type="dxa"/>
              <w:left w:w="45" w:type="dxa"/>
              <w:bottom w:w="30" w:type="dxa"/>
              <w:right w:w="45" w:type="dxa"/>
            </w:tcMar>
            <w:vAlign w:val="center"/>
            <w:hideMark/>
          </w:tcPr>
          <w:p w14:paraId="413915F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w:t>
            </w:r>
          </w:p>
        </w:tc>
        <w:tc>
          <w:tcPr>
            <w:tcW w:w="751" w:type="pct"/>
            <w:tcMar>
              <w:top w:w="30" w:type="dxa"/>
              <w:left w:w="45" w:type="dxa"/>
              <w:bottom w:w="30" w:type="dxa"/>
              <w:right w:w="45" w:type="dxa"/>
            </w:tcMar>
            <w:vAlign w:val="center"/>
            <w:hideMark/>
          </w:tcPr>
          <w:p w14:paraId="460CCC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404.852</w:t>
            </w:r>
          </w:p>
        </w:tc>
        <w:tc>
          <w:tcPr>
            <w:tcW w:w="759" w:type="pct"/>
            <w:tcMar>
              <w:top w:w="30" w:type="dxa"/>
              <w:left w:w="45" w:type="dxa"/>
              <w:bottom w:w="30" w:type="dxa"/>
              <w:right w:w="45" w:type="dxa"/>
            </w:tcMar>
            <w:vAlign w:val="center"/>
            <w:hideMark/>
          </w:tcPr>
          <w:p w14:paraId="73FF92D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417.752</w:t>
            </w:r>
          </w:p>
        </w:tc>
        <w:tc>
          <w:tcPr>
            <w:tcW w:w="716" w:type="pct"/>
            <w:tcMar>
              <w:top w:w="30" w:type="dxa"/>
              <w:left w:w="45" w:type="dxa"/>
              <w:bottom w:w="30" w:type="dxa"/>
              <w:right w:w="45" w:type="dxa"/>
            </w:tcMar>
            <w:vAlign w:val="center"/>
            <w:hideMark/>
          </w:tcPr>
          <w:p w14:paraId="2EB1D4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433.332</w:t>
            </w:r>
          </w:p>
        </w:tc>
        <w:tc>
          <w:tcPr>
            <w:tcW w:w="742" w:type="pct"/>
            <w:tcMar>
              <w:top w:w="30" w:type="dxa"/>
              <w:left w:w="45" w:type="dxa"/>
              <w:bottom w:w="30" w:type="dxa"/>
              <w:right w:w="45" w:type="dxa"/>
            </w:tcMar>
            <w:vAlign w:val="center"/>
            <w:hideMark/>
          </w:tcPr>
          <w:p w14:paraId="772C065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447.560</w:t>
            </w:r>
          </w:p>
        </w:tc>
        <w:tc>
          <w:tcPr>
            <w:tcW w:w="754" w:type="pct"/>
            <w:vMerge w:val="restart"/>
            <w:tcMar>
              <w:top w:w="30" w:type="dxa"/>
              <w:left w:w="45" w:type="dxa"/>
              <w:bottom w:w="30" w:type="dxa"/>
              <w:right w:w="45" w:type="dxa"/>
            </w:tcMar>
            <w:vAlign w:val="center"/>
            <w:hideMark/>
          </w:tcPr>
          <w:p w14:paraId="6EFB1CC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220.134.243.169</w:t>
            </w:r>
          </w:p>
        </w:tc>
      </w:tr>
      <w:tr w:rsidR="00856F66" w:rsidRPr="00E31657" w14:paraId="32DE3D33" w14:textId="77777777" w:rsidTr="00ED49FA">
        <w:trPr>
          <w:trHeight w:val="510"/>
        </w:trPr>
        <w:tc>
          <w:tcPr>
            <w:tcW w:w="642" w:type="pct"/>
            <w:vMerge/>
            <w:vAlign w:val="center"/>
            <w:hideMark/>
          </w:tcPr>
          <w:p w14:paraId="60A6A42E"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73F57072" w14:textId="77777777" w:rsidR="00856F66" w:rsidRPr="00E31657" w:rsidRDefault="00856F66" w:rsidP="00B24742">
            <w:pPr>
              <w:rPr>
                <w:rFonts w:cs="Arial"/>
                <w:sz w:val="16"/>
                <w:szCs w:val="16"/>
                <w:lang w:val="es-ES_tradnl" w:eastAsia="es-MX"/>
              </w:rPr>
            </w:pPr>
          </w:p>
        </w:tc>
        <w:tc>
          <w:tcPr>
            <w:tcW w:w="448" w:type="pct"/>
            <w:vMerge/>
            <w:vAlign w:val="center"/>
            <w:hideMark/>
          </w:tcPr>
          <w:p w14:paraId="29E7A94C"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3756810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35.874.008.235</w:t>
            </w:r>
          </w:p>
        </w:tc>
        <w:tc>
          <w:tcPr>
            <w:tcW w:w="759" w:type="pct"/>
            <w:tcMar>
              <w:top w:w="30" w:type="dxa"/>
              <w:left w:w="45" w:type="dxa"/>
              <w:bottom w:w="30" w:type="dxa"/>
              <w:right w:w="45" w:type="dxa"/>
            </w:tcMar>
            <w:vAlign w:val="center"/>
            <w:hideMark/>
          </w:tcPr>
          <w:p w14:paraId="0CA0E1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55.090.608.620</w:t>
            </w:r>
          </w:p>
        </w:tc>
        <w:tc>
          <w:tcPr>
            <w:tcW w:w="716" w:type="pct"/>
            <w:tcMar>
              <w:top w:w="30" w:type="dxa"/>
              <w:left w:w="45" w:type="dxa"/>
              <w:bottom w:w="30" w:type="dxa"/>
              <w:right w:w="45" w:type="dxa"/>
            </w:tcMar>
            <w:vAlign w:val="center"/>
            <w:hideMark/>
          </w:tcPr>
          <w:p w14:paraId="12E984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61.420.878.541</w:t>
            </w:r>
          </w:p>
        </w:tc>
        <w:tc>
          <w:tcPr>
            <w:tcW w:w="742" w:type="pct"/>
            <w:tcMar>
              <w:top w:w="30" w:type="dxa"/>
              <w:left w:w="45" w:type="dxa"/>
              <w:bottom w:w="30" w:type="dxa"/>
              <w:right w:w="45" w:type="dxa"/>
            </w:tcMar>
            <w:vAlign w:val="center"/>
            <w:hideMark/>
          </w:tcPr>
          <w:p w14:paraId="239D856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67.748.747.773</w:t>
            </w:r>
          </w:p>
        </w:tc>
        <w:tc>
          <w:tcPr>
            <w:tcW w:w="754" w:type="pct"/>
            <w:vMerge/>
            <w:vAlign w:val="center"/>
            <w:hideMark/>
          </w:tcPr>
          <w:p w14:paraId="6D13FD03" w14:textId="77777777" w:rsidR="00856F66" w:rsidRPr="00E31657" w:rsidRDefault="00856F66" w:rsidP="00B24742">
            <w:pPr>
              <w:rPr>
                <w:rFonts w:cs="Arial"/>
                <w:b/>
                <w:bCs/>
                <w:sz w:val="16"/>
                <w:szCs w:val="16"/>
                <w:lang w:val="es-ES_tradnl" w:eastAsia="es-MX"/>
              </w:rPr>
            </w:pPr>
          </w:p>
        </w:tc>
      </w:tr>
      <w:tr w:rsidR="00856F66" w:rsidRPr="00E31657" w14:paraId="151276A7" w14:textId="77777777" w:rsidTr="00ED49FA">
        <w:trPr>
          <w:trHeight w:val="510"/>
        </w:trPr>
        <w:tc>
          <w:tcPr>
            <w:tcW w:w="642" w:type="pct"/>
            <w:vMerge w:val="restart"/>
            <w:tcMar>
              <w:top w:w="30" w:type="dxa"/>
              <w:left w:w="45" w:type="dxa"/>
              <w:bottom w:w="30" w:type="dxa"/>
              <w:right w:w="45" w:type="dxa"/>
            </w:tcMar>
            <w:vAlign w:val="center"/>
            <w:hideMark/>
          </w:tcPr>
          <w:p w14:paraId="12DE9097"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Diseñar e implementar un sistema de aseguramiento de la calidad para la atención a la primera infancia de los prestadores públicos y privados en el marco de la atención integral</w:t>
            </w:r>
          </w:p>
        </w:tc>
        <w:tc>
          <w:tcPr>
            <w:tcW w:w="189" w:type="pct"/>
            <w:vMerge w:val="restart"/>
            <w:tcMar>
              <w:top w:w="30" w:type="dxa"/>
              <w:left w:w="45" w:type="dxa"/>
              <w:bottom w:w="30" w:type="dxa"/>
              <w:right w:w="45" w:type="dxa"/>
            </w:tcMar>
            <w:vAlign w:val="center"/>
            <w:hideMark/>
          </w:tcPr>
          <w:p w14:paraId="7F5DBA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48" w:type="pct"/>
            <w:vMerge w:val="restart"/>
            <w:tcMar>
              <w:top w:w="30" w:type="dxa"/>
              <w:left w:w="45" w:type="dxa"/>
              <w:bottom w:w="30" w:type="dxa"/>
              <w:right w:w="45" w:type="dxa"/>
            </w:tcMar>
            <w:vAlign w:val="center"/>
            <w:hideMark/>
          </w:tcPr>
          <w:p w14:paraId="49BA9CE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SDIS</w:t>
            </w:r>
          </w:p>
        </w:tc>
        <w:tc>
          <w:tcPr>
            <w:tcW w:w="751" w:type="pct"/>
            <w:tcMar>
              <w:top w:w="30" w:type="dxa"/>
              <w:left w:w="45" w:type="dxa"/>
              <w:bottom w:w="30" w:type="dxa"/>
              <w:right w:w="45" w:type="dxa"/>
            </w:tcMar>
            <w:vAlign w:val="center"/>
            <w:hideMark/>
          </w:tcPr>
          <w:p w14:paraId="1722B2D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0,15</w:t>
            </w:r>
          </w:p>
        </w:tc>
        <w:tc>
          <w:tcPr>
            <w:tcW w:w="759" w:type="pct"/>
            <w:tcMar>
              <w:top w:w="30" w:type="dxa"/>
              <w:left w:w="45" w:type="dxa"/>
              <w:bottom w:w="30" w:type="dxa"/>
              <w:right w:w="45" w:type="dxa"/>
            </w:tcMar>
            <w:vAlign w:val="center"/>
            <w:hideMark/>
          </w:tcPr>
          <w:p w14:paraId="2934E42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0,80</w:t>
            </w:r>
          </w:p>
        </w:tc>
        <w:tc>
          <w:tcPr>
            <w:tcW w:w="716" w:type="pct"/>
            <w:tcMar>
              <w:top w:w="30" w:type="dxa"/>
              <w:left w:w="45" w:type="dxa"/>
              <w:bottom w:w="30" w:type="dxa"/>
              <w:right w:w="45" w:type="dxa"/>
            </w:tcMar>
            <w:vAlign w:val="center"/>
            <w:hideMark/>
          </w:tcPr>
          <w:p w14:paraId="6D20E5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42" w:type="pct"/>
            <w:tcMar>
              <w:top w:w="30" w:type="dxa"/>
              <w:left w:w="45" w:type="dxa"/>
              <w:bottom w:w="30" w:type="dxa"/>
              <w:right w:w="45" w:type="dxa"/>
            </w:tcMar>
            <w:vAlign w:val="center"/>
            <w:hideMark/>
          </w:tcPr>
          <w:p w14:paraId="220BE1A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0,00</w:t>
            </w:r>
          </w:p>
        </w:tc>
        <w:tc>
          <w:tcPr>
            <w:tcW w:w="754" w:type="pct"/>
            <w:vMerge w:val="restart"/>
            <w:tcMar>
              <w:top w:w="30" w:type="dxa"/>
              <w:left w:w="45" w:type="dxa"/>
              <w:bottom w:w="30" w:type="dxa"/>
              <w:right w:w="45" w:type="dxa"/>
            </w:tcMar>
            <w:vAlign w:val="center"/>
            <w:hideMark/>
          </w:tcPr>
          <w:p w14:paraId="3CDD690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31.175.557.178</w:t>
            </w:r>
          </w:p>
        </w:tc>
      </w:tr>
      <w:tr w:rsidR="00856F66" w:rsidRPr="00E31657" w14:paraId="6148C5DF" w14:textId="77777777" w:rsidTr="00ED49FA">
        <w:trPr>
          <w:trHeight w:val="510"/>
        </w:trPr>
        <w:tc>
          <w:tcPr>
            <w:tcW w:w="642" w:type="pct"/>
            <w:vMerge/>
            <w:vAlign w:val="center"/>
            <w:hideMark/>
          </w:tcPr>
          <w:p w14:paraId="005EA0FD"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4952C5DA" w14:textId="77777777" w:rsidR="00856F66" w:rsidRPr="00E31657" w:rsidRDefault="00856F66" w:rsidP="00B24742">
            <w:pPr>
              <w:rPr>
                <w:rFonts w:cs="Arial"/>
                <w:sz w:val="16"/>
                <w:szCs w:val="16"/>
                <w:lang w:val="es-ES_tradnl" w:eastAsia="es-MX"/>
              </w:rPr>
            </w:pPr>
          </w:p>
        </w:tc>
        <w:tc>
          <w:tcPr>
            <w:tcW w:w="448" w:type="pct"/>
            <w:vMerge/>
            <w:vAlign w:val="center"/>
            <w:hideMark/>
          </w:tcPr>
          <w:p w14:paraId="077D2207"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668F22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759" w:type="pct"/>
            <w:tcMar>
              <w:top w:w="30" w:type="dxa"/>
              <w:left w:w="45" w:type="dxa"/>
              <w:bottom w:w="30" w:type="dxa"/>
              <w:right w:w="45" w:type="dxa"/>
            </w:tcMar>
            <w:vAlign w:val="center"/>
            <w:hideMark/>
          </w:tcPr>
          <w:p w14:paraId="1C30949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10.617.149.915</w:t>
            </w:r>
          </w:p>
        </w:tc>
        <w:tc>
          <w:tcPr>
            <w:tcW w:w="716" w:type="pct"/>
            <w:tcMar>
              <w:top w:w="30" w:type="dxa"/>
              <w:left w:w="45" w:type="dxa"/>
              <w:bottom w:w="30" w:type="dxa"/>
              <w:right w:w="45" w:type="dxa"/>
            </w:tcMar>
            <w:vAlign w:val="center"/>
            <w:hideMark/>
          </w:tcPr>
          <w:p w14:paraId="0EC23D3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9.875.762.736</w:t>
            </w:r>
          </w:p>
        </w:tc>
        <w:tc>
          <w:tcPr>
            <w:tcW w:w="742" w:type="pct"/>
            <w:tcMar>
              <w:top w:w="30" w:type="dxa"/>
              <w:left w:w="45" w:type="dxa"/>
              <w:bottom w:w="30" w:type="dxa"/>
              <w:right w:w="45" w:type="dxa"/>
            </w:tcMar>
            <w:vAlign w:val="center"/>
            <w:hideMark/>
          </w:tcPr>
          <w:p w14:paraId="4CB3AD0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10.682.644.527</w:t>
            </w:r>
          </w:p>
        </w:tc>
        <w:tc>
          <w:tcPr>
            <w:tcW w:w="754" w:type="pct"/>
            <w:vMerge/>
            <w:vAlign w:val="center"/>
            <w:hideMark/>
          </w:tcPr>
          <w:p w14:paraId="24014F37" w14:textId="77777777" w:rsidR="00856F66" w:rsidRPr="00E31657" w:rsidRDefault="00856F66" w:rsidP="00B24742">
            <w:pPr>
              <w:rPr>
                <w:rFonts w:cs="Arial"/>
                <w:b/>
                <w:bCs/>
                <w:sz w:val="16"/>
                <w:szCs w:val="16"/>
                <w:lang w:val="es-ES_tradnl" w:eastAsia="es-MX"/>
              </w:rPr>
            </w:pPr>
          </w:p>
        </w:tc>
      </w:tr>
      <w:tr w:rsidR="00856F66" w:rsidRPr="00E31657" w14:paraId="4FBDDBA7" w14:textId="77777777" w:rsidTr="00ED49FA">
        <w:trPr>
          <w:trHeight w:val="510"/>
        </w:trPr>
        <w:tc>
          <w:tcPr>
            <w:tcW w:w="642" w:type="pct"/>
            <w:vMerge w:val="restart"/>
            <w:tcMar>
              <w:top w:w="30" w:type="dxa"/>
              <w:left w:w="45" w:type="dxa"/>
              <w:bottom w:w="30" w:type="dxa"/>
              <w:right w:w="45" w:type="dxa"/>
            </w:tcMar>
            <w:vAlign w:val="center"/>
            <w:hideMark/>
          </w:tcPr>
          <w:p w14:paraId="3FDBF47F"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Disminuir 15 puntos porcentuales en la proporción de estudiantes que se encuentran en el nivel bajo del Índice de Clima Escolar</w:t>
            </w:r>
          </w:p>
        </w:tc>
        <w:tc>
          <w:tcPr>
            <w:tcW w:w="189" w:type="pct"/>
            <w:vMerge w:val="restart"/>
            <w:tcMar>
              <w:top w:w="30" w:type="dxa"/>
              <w:left w:w="45" w:type="dxa"/>
              <w:bottom w:w="30" w:type="dxa"/>
              <w:right w:w="45" w:type="dxa"/>
            </w:tcMar>
            <w:vAlign w:val="center"/>
            <w:hideMark/>
          </w:tcPr>
          <w:p w14:paraId="743F88F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w:t>
            </w:r>
            <w:r w:rsidRPr="00E31657">
              <w:rPr>
                <w:rFonts w:cs="Arial"/>
                <w:sz w:val="16"/>
                <w:szCs w:val="16"/>
                <w:lang w:val="es-ES_tradnl" w:eastAsia="es-MX"/>
              </w:rPr>
              <w:br/>
              <w:t>(2019)</w:t>
            </w:r>
          </w:p>
        </w:tc>
        <w:tc>
          <w:tcPr>
            <w:tcW w:w="448" w:type="pct"/>
            <w:vMerge w:val="restart"/>
            <w:tcMar>
              <w:top w:w="30" w:type="dxa"/>
              <w:left w:w="45" w:type="dxa"/>
              <w:bottom w:w="30" w:type="dxa"/>
              <w:right w:w="45" w:type="dxa"/>
            </w:tcMar>
            <w:vAlign w:val="center"/>
            <w:hideMark/>
          </w:tcPr>
          <w:p w14:paraId="4476945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w:t>
            </w:r>
          </w:p>
        </w:tc>
        <w:tc>
          <w:tcPr>
            <w:tcW w:w="751" w:type="pct"/>
            <w:tcMar>
              <w:top w:w="30" w:type="dxa"/>
              <w:left w:w="45" w:type="dxa"/>
              <w:bottom w:w="30" w:type="dxa"/>
              <w:right w:w="45" w:type="dxa"/>
            </w:tcMar>
            <w:vAlign w:val="center"/>
            <w:hideMark/>
          </w:tcPr>
          <w:p w14:paraId="1424DBF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w:t>
            </w:r>
          </w:p>
        </w:tc>
        <w:tc>
          <w:tcPr>
            <w:tcW w:w="759" w:type="pct"/>
            <w:tcMar>
              <w:top w:w="30" w:type="dxa"/>
              <w:left w:w="45" w:type="dxa"/>
              <w:bottom w:w="30" w:type="dxa"/>
              <w:right w:w="45" w:type="dxa"/>
            </w:tcMar>
            <w:vAlign w:val="center"/>
            <w:hideMark/>
          </w:tcPr>
          <w:p w14:paraId="651671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716" w:type="pct"/>
            <w:tcMar>
              <w:top w:w="30" w:type="dxa"/>
              <w:left w:w="45" w:type="dxa"/>
              <w:bottom w:w="30" w:type="dxa"/>
              <w:right w:w="45" w:type="dxa"/>
            </w:tcMar>
            <w:vAlign w:val="center"/>
            <w:hideMark/>
          </w:tcPr>
          <w:p w14:paraId="2906C0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742" w:type="pct"/>
            <w:tcMar>
              <w:top w:w="30" w:type="dxa"/>
              <w:left w:w="45" w:type="dxa"/>
              <w:bottom w:w="30" w:type="dxa"/>
              <w:right w:w="45" w:type="dxa"/>
            </w:tcMar>
            <w:vAlign w:val="center"/>
            <w:hideMark/>
          </w:tcPr>
          <w:p w14:paraId="030DAA1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w:t>
            </w:r>
          </w:p>
        </w:tc>
        <w:tc>
          <w:tcPr>
            <w:tcW w:w="754" w:type="pct"/>
            <w:vMerge w:val="restart"/>
            <w:tcMar>
              <w:top w:w="30" w:type="dxa"/>
              <w:left w:w="45" w:type="dxa"/>
              <w:bottom w:w="30" w:type="dxa"/>
              <w:right w:w="45" w:type="dxa"/>
            </w:tcMar>
            <w:vAlign w:val="center"/>
            <w:hideMark/>
          </w:tcPr>
          <w:p w14:paraId="3E43F29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190.134.040.297</w:t>
            </w:r>
          </w:p>
        </w:tc>
      </w:tr>
      <w:tr w:rsidR="00856F66" w:rsidRPr="00E31657" w14:paraId="2B10E200" w14:textId="77777777" w:rsidTr="00ED49FA">
        <w:trPr>
          <w:trHeight w:val="510"/>
        </w:trPr>
        <w:tc>
          <w:tcPr>
            <w:tcW w:w="642" w:type="pct"/>
            <w:vMerge/>
            <w:vAlign w:val="center"/>
            <w:hideMark/>
          </w:tcPr>
          <w:p w14:paraId="41A075E0"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43D6F4E8" w14:textId="77777777" w:rsidR="00856F66" w:rsidRPr="00E31657" w:rsidRDefault="00856F66" w:rsidP="00B24742">
            <w:pPr>
              <w:rPr>
                <w:rFonts w:cs="Arial"/>
                <w:sz w:val="16"/>
                <w:szCs w:val="16"/>
                <w:lang w:val="es-ES_tradnl" w:eastAsia="es-MX"/>
              </w:rPr>
            </w:pPr>
          </w:p>
        </w:tc>
        <w:tc>
          <w:tcPr>
            <w:tcW w:w="448" w:type="pct"/>
            <w:vMerge/>
            <w:vAlign w:val="center"/>
            <w:hideMark/>
          </w:tcPr>
          <w:p w14:paraId="287E3CA7"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0DE99A6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30.807.590.810</w:t>
            </w:r>
          </w:p>
        </w:tc>
        <w:tc>
          <w:tcPr>
            <w:tcW w:w="759" w:type="pct"/>
            <w:tcMar>
              <w:top w:w="30" w:type="dxa"/>
              <w:left w:w="45" w:type="dxa"/>
              <w:bottom w:w="30" w:type="dxa"/>
              <w:right w:w="45" w:type="dxa"/>
            </w:tcMar>
            <w:vAlign w:val="center"/>
            <w:hideMark/>
          </w:tcPr>
          <w:p w14:paraId="55D4283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52.695.493.870</w:t>
            </w:r>
          </w:p>
        </w:tc>
        <w:tc>
          <w:tcPr>
            <w:tcW w:w="716" w:type="pct"/>
            <w:tcMar>
              <w:top w:w="30" w:type="dxa"/>
              <w:left w:w="45" w:type="dxa"/>
              <w:bottom w:w="30" w:type="dxa"/>
              <w:right w:w="45" w:type="dxa"/>
            </w:tcMar>
            <w:vAlign w:val="center"/>
            <w:hideMark/>
          </w:tcPr>
          <w:p w14:paraId="4716DF6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52.671.641.113</w:t>
            </w:r>
          </w:p>
        </w:tc>
        <w:tc>
          <w:tcPr>
            <w:tcW w:w="742" w:type="pct"/>
            <w:tcMar>
              <w:top w:w="30" w:type="dxa"/>
              <w:left w:w="45" w:type="dxa"/>
              <w:bottom w:w="30" w:type="dxa"/>
              <w:right w:w="45" w:type="dxa"/>
            </w:tcMar>
            <w:vAlign w:val="center"/>
            <w:hideMark/>
          </w:tcPr>
          <w:p w14:paraId="5385591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53.959.314.504</w:t>
            </w:r>
          </w:p>
        </w:tc>
        <w:tc>
          <w:tcPr>
            <w:tcW w:w="754" w:type="pct"/>
            <w:vMerge/>
            <w:vAlign w:val="center"/>
            <w:hideMark/>
          </w:tcPr>
          <w:p w14:paraId="3DB6DB89" w14:textId="77777777" w:rsidR="00856F66" w:rsidRPr="00E31657" w:rsidRDefault="00856F66" w:rsidP="00B24742">
            <w:pPr>
              <w:rPr>
                <w:rFonts w:cs="Arial"/>
                <w:b/>
                <w:bCs/>
                <w:sz w:val="16"/>
                <w:szCs w:val="16"/>
                <w:lang w:val="es-ES_tradnl" w:eastAsia="es-MX"/>
              </w:rPr>
            </w:pPr>
          </w:p>
        </w:tc>
      </w:tr>
      <w:tr w:rsidR="00856F66" w:rsidRPr="00E31657" w14:paraId="7B87B024" w14:textId="77777777" w:rsidTr="00ED49FA">
        <w:trPr>
          <w:trHeight w:val="510"/>
        </w:trPr>
        <w:tc>
          <w:tcPr>
            <w:tcW w:w="642" w:type="pct"/>
            <w:vMerge w:val="restart"/>
            <w:tcMar>
              <w:top w:w="30" w:type="dxa"/>
              <w:left w:w="45" w:type="dxa"/>
              <w:bottom w:w="30" w:type="dxa"/>
              <w:right w:w="45" w:type="dxa"/>
            </w:tcMar>
            <w:vAlign w:val="center"/>
            <w:hideMark/>
          </w:tcPr>
          <w:p w14:paraId="41BADB90"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Garantizar que el 100% de las y los estudiantes reciben el </w:t>
            </w:r>
            <w:r w:rsidRPr="00E31657">
              <w:rPr>
                <w:rFonts w:cs="Arial"/>
                <w:sz w:val="16"/>
                <w:szCs w:val="16"/>
                <w:lang w:val="es-ES_tradnl" w:eastAsia="es-MX"/>
              </w:rPr>
              <w:lastRenderedPageBreak/>
              <w:t>servicio educativo oportunamente</w:t>
            </w:r>
          </w:p>
        </w:tc>
        <w:tc>
          <w:tcPr>
            <w:tcW w:w="189" w:type="pct"/>
            <w:vMerge w:val="restart"/>
            <w:tcMar>
              <w:top w:w="30" w:type="dxa"/>
              <w:left w:w="45" w:type="dxa"/>
              <w:bottom w:w="30" w:type="dxa"/>
              <w:right w:w="45" w:type="dxa"/>
            </w:tcMar>
            <w:vAlign w:val="center"/>
            <w:hideMark/>
          </w:tcPr>
          <w:p w14:paraId="3885FAA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N/A</w:t>
            </w:r>
          </w:p>
        </w:tc>
        <w:tc>
          <w:tcPr>
            <w:tcW w:w="448" w:type="pct"/>
            <w:vMerge w:val="restart"/>
            <w:tcMar>
              <w:top w:w="30" w:type="dxa"/>
              <w:left w:w="45" w:type="dxa"/>
              <w:bottom w:w="30" w:type="dxa"/>
              <w:right w:w="45" w:type="dxa"/>
            </w:tcMar>
            <w:vAlign w:val="center"/>
            <w:hideMark/>
          </w:tcPr>
          <w:p w14:paraId="06EEB71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CON BASE EN SIMAT</w:t>
            </w:r>
          </w:p>
        </w:tc>
        <w:tc>
          <w:tcPr>
            <w:tcW w:w="751" w:type="pct"/>
            <w:tcMar>
              <w:top w:w="30" w:type="dxa"/>
              <w:left w:w="45" w:type="dxa"/>
              <w:bottom w:w="30" w:type="dxa"/>
              <w:right w:w="45" w:type="dxa"/>
            </w:tcMar>
            <w:vAlign w:val="center"/>
            <w:hideMark/>
          </w:tcPr>
          <w:p w14:paraId="0EF375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9" w:type="pct"/>
            <w:tcMar>
              <w:top w:w="30" w:type="dxa"/>
              <w:left w:w="45" w:type="dxa"/>
              <w:bottom w:w="30" w:type="dxa"/>
              <w:right w:w="45" w:type="dxa"/>
            </w:tcMar>
            <w:vAlign w:val="center"/>
            <w:hideMark/>
          </w:tcPr>
          <w:p w14:paraId="2CE04E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16" w:type="pct"/>
            <w:tcMar>
              <w:top w:w="30" w:type="dxa"/>
              <w:left w:w="45" w:type="dxa"/>
              <w:bottom w:w="30" w:type="dxa"/>
              <w:right w:w="45" w:type="dxa"/>
            </w:tcMar>
            <w:vAlign w:val="center"/>
            <w:hideMark/>
          </w:tcPr>
          <w:p w14:paraId="3436E9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42" w:type="pct"/>
            <w:tcMar>
              <w:top w:w="30" w:type="dxa"/>
              <w:left w:w="45" w:type="dxa"/>
              <w:bottom w:w="30" w:type="dxa"/>
              <w:right w:w="45" w:type="dxa"/>
            </w:tcMar>
            <w:vAlign w:val="center"/>
            <w:hideMark/>
          </w:tcPr>
          <w:p w14:paraId="39A3563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4" w:type="pct"/>
            <w:vMerge w:val="restart"/>
            <w:tcMar>
              <w:top w:w="30" w:type="dxa"/>
              <w:left w:w="45" w:type="dxa"/>
              <w:bottom w:w="30" w:type="dxa"/>
              <w:right w:w="45" w:type="dxa"/>
            </w:tcMar>
            <w:vAlign w:val="center"/>
            <w:hideMark/>
          </w:tcPr>
          <w:p w14:paraId="4A2EABF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18.430.033.518.790</w:t>
            </w:r>
          </w:p>
        </w:tc>
      </w:tr>
      <w:tr w:rsidR="00856F66" w:rsidRPr="00E31657" w14:paraId="3DA3BCA2" w14:textId="77777777" w:rsidTr="00ED49FA">
        <w:trPr>
          <w:trHeight w:val="510"/>
        </w:trPr>
        <w:tc>
          <w:tcPr>
            <w:tcW w:w="642" w:type="pct"/>
            <w:vMerge/>
            <w:vAlign w:val="center"/>
            <w:hideMark/>
          </w:tcPr>
          <w:p w14:paraId="1F7D42A0"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2371BD2F" w14:textId="77777777" w:rsidR="00856F66" w:rsidRPr="00E31657" w:rsidRDefault="00856F66" w:rsidP="00B24742">
            <w:pPr>
              <w:rPr>
                <w:rFonts w:cs="Arial"/>
                <w:sz w:val="16"/>
                <w:szCs w:val="16"/>
                <w:lang w:val="es-ES_tradnl" w:eastAsia="es-MX"/>
              </w:rPr>
            </w:pPr>
          </w:p>
        </w:tc>
        <w:tc>
          <w:tcPr>
            <w:tcW w:w="448" w:type="pct"/>
            <w:vMerge/>
            <w:vAlign w:val="center"/>
            <w:hideMark/>
          </w:tcPr>
          <w:p w14:paraId="5D736B5F"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2FEAF7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4.285.365.948.330</w:t>
            </w:r>
          </w:p>
        </w:tc>
        <w:tc>
          <w:tcPr>
            <w:tcW w:w="759" w:type="pct"/>
            <w:tcMar>
              <w:top w:w="30" w:type="dxa"/>
              <w:left w:w="45" w:type="dxa"/>
              <w:bottom w:w="30" w:type="dxa"/>
              <w:right w:w="45" w:type="dxa"/>
            </w:tcMar>
            <w:vAlign w:val="center"/>
            <w:hideMark/>
          </w:tcPr>
          <w:p w14:paraId="641E0C0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4.435.980.824.654</w:t>
            </w:r>
          </w:p>
        </w:tc>
        <w:tc>
          <w:tcPr>
            <w:tcW w:w="716" w:type="pct"/>
            <w:tcMar>
              <w:top w:w="30" w:type="dxa"/>
              <w:left w:w="45" w:type="dxa"/>
              <w:bottom w:w="30" w:type="dxa"/>
              <w:right w:w="45" w:type="dxa"/>
            </w:tcMar>
            <w:vAlign w:val="center"/>
            <w:hideMark/>
          </w:tcPr>
          <w:p w14:paraId="6FBF63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4.741.878.130.287</w:t>
            </w:r>
          </w:p>
        </w:tc>
        <w:tc>
          <w:tcPr>
            <w:tcW w:w="742" w:type="pct"/>
            <w:tcMar>
              <w:top w:w="30" w:type="dxa"/>
              <w:left w:w="45" w:type="dxa"/>
              <w:bottom w:w="30" w:type="dxa"/>
              <w:right w:w="45" w:type="dxa"/>
            </w:tcMar>
            <w:vAlign w:val="center"/>
            <w:hideMark/>
          </w:tcPr>
          <w:p w14:paraId="1C607B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4.966.808.615.518</w:t>
            </w:r>
          </w:p>
        </w:tc>
        <w:tc>
          <w:tcPr>
            <w:tcW w:w="754" w:type="pct"/>
            <w:vMerge/>
            <w:vAlign w:val="center"/>
            <w:hideMark/>
          </w:tcPr>
          <w:p w14:paraId="3C73B2EB" w14:textId="77777777" w:rsidR="00856F66" w:rsidRPr="00E31657" w:rsidRDefault="00856F66" w:rsidP="00B24742">
            <w:pPr>
              <w:rPr>
                <w:rFonts w:cs="Arial"/>
                <w:b/>
                <w:bCs/>
                <w:sz w:val="16"/>
                <w:szCs w:val="16"/>
                <w:lang w:val="es-ES_tradnl" w:eastAsia="es-MX"/>
              </w:rPr>
            </w:pPr>
          </w:p>
        </w:tc>
      </w:tr>
      <w:tr w:rsidR="00856F66" w:rsidRPr="00E31657" w14:paraId="215AFB14" w14:textId="77777777" w:rsidTr="00ED49FA">
        <w:trPr>
          <w:trHeight w:val="510"/>
        </w:trPr>
        <w:tc>
          <w:tcPr>
            <w:tcW w:w="642" w:type="pct"/>
            <w:vMerge w:val="restart"/>
            <w:tcMar>
              <w:top w:w="30" w:type="dxa"/>
              <w:left w:w="45" w:type="dxa"/>
              <w:bottom w:w="30" w:type="dxa"/>
              <w:right w:w="45" w:type="dxa"/>
            </w:tcMar>
            <w:vAlign w:val="center"/>
            <w:hideMark/>
          </w:tcPr>
          <w:p w14:paraId="4D8875D5"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Intervenir 92 entornos escolares con mayores complejidades de acuerdo con el Indice de Priorización de Entornos Escolares</w:t>
            </w:r>
          </w:p>
        </w:tc>
        <w:tc>
          <w:tcPr>
            <w:tcW w:w="189" w:type="pct"/>
            <w:vMerge w:val="restart"/>
            <w:tcMar>
              <w:top w:w="30" w:type="dxa"/>
              <w:left w:w="45" w:type="dxa"/>
              <w:bottom w:w="30" w:type="dxa"/>
              <w:right w:w="45" w:type="dxa"/>
            </w:tcMar>
            <w:vAlign w:val="center"/>
            <w:hideMark/>
          </w:tcPr>
          <w:p w14:paraId="071D443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448" w:type="pct"/>
            <w:vMerge w:val="restart"/>
            <w:tcMar>
              <w:top w:w="30" w:type="dxa"/>
              <w:left w:w="45" w:type="dxa"/>
              <w:bottom w:w="30" w:type="dxa"/>
              <w:right w:w="45" w:type="dxa"/>
            </w:tcMar>
            <w:vAlign w:val="center"/>
            <w:hideMark/>
          </w:tcPr>
          <w:p w14:paraId="08CE078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w:t>
            </w:r>
          </w:p>
        </w:tc>
        <w:tc>
          <w:tcPr>
            <w:tcW w:w="751" w:type="pct"/>
            <w:tcMar>
              <w:top w:w="30" w:type="dxa"/>
              <w:left w:w="45" w:type="dxa"/>
              <w:bottom w:w="30" w:type="dxa"/>
              <w:right w:w="45" w:type="dxa"/>
            </w:tcMar>
            <w:vAlign w:val="center"/>
            <w:hideMark/>
          </w:tcPr>
          <w:p w14:paraId="6302DB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w:t>
            </w:r>
          </w:p>
        </w:tc>
        <w:tc>
          <w:tcPr>
            <w:tcW w:w="759" w:type="pct"/>
            <w:tcMar>
              <w:top w:w="30" w:type="dxa"/>
              <w:left w:w="45" w:type="dxa"/>
              <w:bottom w:w="30" w:type="dxa"/>
              <w:right w:w="45" w:type="dxa"/>
            </w:tcMar>
            <w:vAlign w:val="center"/>
            <w:hideMark/>
          </w:tcPr>
          <w:p w14:paraId="7FB6E5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w:t>
            </w:r>
          </w:p>
        </w:tc>
        <w:tc>
          <w:tcPr>
            <w:tcW w:w="716" w:type="pct"/>
            <w:tcMar>
              <w:top w:w="30" w:type="dxa"/>
              <w:left w:w="45" w:type="dxa"/>
              <w:bottom w:w="30" w:type="dxa"/>
              <w:right w:w="45" w:type="dxa"/>
            </w:tcMar>
            <w:vAlign w:val="center"/>
            <w:hideMark/>
          </w:tcPr>
          <w:p w14:paraId="268473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742" w:type="pct"/>
            <w:tcMar>
              <w:top w:w="30" w:type="dxa"/>
              <w:left w:w="45" w:type="dxa"/>
              <w:bottom w:w="30" w:type="dxa"/>
              <w:right w:w="45" w:type="dxa"/>
            </w:tcMar>
            <w:vAlign w:val="center"/>
            <w:hideMark/>
          </w:tcPr>
          <w:p w14:paraId="424E08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w:t>
            </w:r>
          </w:p>
        </w:tc>
        <w:tc>
          <w:tcPr>
            <w:tcW w:w="754" w:type="pct"/>
            <w:vMerge w:val="restart"/>
            <w:tcMar>
              <w:top w:w="30" w:type="dxa"/>
              <w:left w:w="45" w:type="dxa"/>
              <w:bottom w:w="30" w:type="dxa"/>
              <w:right w:w="45" w:type="dxa"/>
            </w:tcMar>
            <w:vAlign w:val="center"/>
            <w:hideMark/>
          </w:tcPr>
          <w:p w14:paraId="46A41F8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32.786.601.769</w:t>
            </w:r>
          </w:p>
        </w:tc>
      </w:tr>
      <w:tr w:rsidR="00856F66" w:rsidRPr="00E31657" w14:paraId="31A11179" w14:textId="77777777" w:rsidTr="00ED49FA">
        <w:trPr>
          <w:trHeight w:val="510"/>
        </w:trPr>
        <w:tc>
          <w:tcPr>
            <w:tcW w:w="642" w:type="pct"/>
            <w:vMerge/>
            <w:vAlign w:val="center"/>
            <w:hideMark/>
          </w:tcPr>
          <w:p w14:paraId="3A5EF11A"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67544D2E" w14:textId="77777777" w:rsidR="00856F66" w:rsidRPr="00E31657" w:rsidRDefault="00856F66" w:rsidP="00B24742">
            <w:pPr>
              <w:rPr>
                <w:rFonts w:cs="Arial"/>
                <w:sz w:val="16"/>
                <w:szCs w:val="16"/>
                <w:lang w:val="es-ES_tradnl" w:eastAsia="es-MX"/>
              </w:rPr>
            </w:pPr>
          </w:p>
        </w:tc>
        <w:tc>
          <w:tcPr>
            <w:tcW w:w="448" w:type="pct"/>
            <w:vMerge/>
            <w:vAlign w:val="center"/>
            <w:hideMark/>
          </w:tcPr>
          <w:p w14:paraId="2821DCA4"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361A4DE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8.690.727.620</w:t>
            </w:r>
          </w:p>
        </w:tc>
        <w:tc>
          <w:tcPr>
            <w:tcW w:w="759" w:type="pct"/>
            <w:tcMar>
              <w:top w:w="30" w:type="dxa"/>
              <w:left w:w="45" w:type="dxa"/>
              <w:bottom w:w="30" w:type="dxa"/>
              <w:right w:w="45" w:type="dxa"/>
            </w:tcMar>
            <w:vAlign w:val="center"/>
            <w:hideMark/>
          </w:tcPr>
          <w:p w14:paraId="2A2A83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8.758.702.661</w:t>
            </w:r>
          </w:p>
        </w:tc>
        <w:tc>
          <w:tcPr>
            <w:tcW w:w="716" w:type="pct"/>
            <w:tcMar>
              <w:top w:w="30" w:type="dxa"/>
              <w:left w:w="45" w:type="dxa"/>
              <w:bottom w:w="30" w:type="dxa"/>
              <w:right w:w="45" w:type="dxa"/>
            </w:tcMar>
            <w:vAlign w:val="center"/>
            <w:hideMark/>
          </w:tcPr>
          <w:p w14:paraId="3C020DB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7.697.392.637</w:t>
            </w:r>
          </w:p>
        </w:tc>
        <w:tc>
          <w:tcPr>
            <w:tcW w:w="742" w:type="pct"/>
            <w:tcMar>
              <w:top w:w="30" w:type="dxa"/>
              <w:left w:w="45" w:type="dxa"/>
              <w:bottom w:w="30" w:type="dxa"/>
              <w:right w:w="45" w:type="dxa"/>
            </w:tcMar>
            <w:vAlign w:val="center"/>
            <w:hideMark/>
          </w:tcPr>
          <w:p w14:paraId="35D5537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7.639.778.851</w:t>
            </w:r>
          </w:p>
        </w:tc>
        <w:tc>
          <w:tcPr>
            <w:tcW w:w="754" w:type="pct"/>
            <w:vMerge/>
            <w:vAlign w:val="center"/>
            <w:hideMark/>
          </w:tcPr>
          <w:p w14:paraId="53EFCD3A" w14:textId="77777777" w:rsidR="00856F66" w:rsidRPr="00E31657" w:rsidRDefault="00856F66" w:rsidP="00B24742">
            <w:pPr>
              <w:rPr>
                <w:rFonts w:cs="Arial"/>
                <w:b/>
                <w:bCs/>
                <w:sz w:val="16"/>
                <w:szCs w:val="16"/>
                <w:lang w:val="es-ES_tradnl" w:eastAsia="es-MX"/>
              </w:rPr>
            </w:pPr>
          </w:p>
        </w:tc>
      </w:tr>
      <w:tr w:rsidR="00856F66" w:rsidRPr="00E31657" w14:paraId="593A277E" w14:textId="77777777" w:rsidTr="00ED49FA">
        <w:trPr>
          <w:trHeight w:val="510"/>
        </w:trPr>
        <w:tc>
          <w:tcPr>
            <w:tcW w:w="642" w:type="pct"/>
            <w:vMerge w:val="restart"/>
            <w:tcMar>
              <w:top w:w="30" w:type="dxa"/>
              <w:left w:w="45" w:type="dxa"/>
              <w:bottom w:w="30" w:type="dxa"/>
              <w:right w:w="45" w:type="dxa"/>
            </w:tcMar>
            <w:vAlign w:val="center"/>
            <w:hideMark/>
          </w:tcPr>
          <w:p w14:paraId="0B281BE9"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Lograr que el 100% de los colegios oficiales aumenten al menos 1 punto en su resultado global de pruebas Saber 11 respecto a su resultado en 2023</w:t>
            </w:r>
          </w:p>
        </w:tc>
        <w:tc>
          <w:tcPr>
            <w:tcW w:w="189" w:type="pct"/>
            <w:vMerge w:val="restart"/>
            <w:tcMar>
              <w:top w:w="30" w:type="dxa"/>
              <w:left w:w="45" w:type="dxa"/>
              <w:bottom w:w="30" w:type="dxa"/>
              <w:right w:w="45" w:type="dxa"/>
            </w:tcMar>
            <w:vAlign w:val="center"/>
            <w:hideMark/>
          </w:tcPr>
          <w:p w14:paraId="1CC382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448" w:type="pct"/>
            <w:vMerge w:val="restart"/>
            <w:tcMar>
              <w:top w:w="30" w:type="dxa"/>
              <w:left w:w="45" w:type="dxa"/>
              <w:bottom w:w="30" w:type="dxa"/>
              <w:right w:w="45" w:type="dxa"/>
            </w:tcMar>
            <w:vAlign w:val="center"/>
            <w:hideMark/>
          </w:tcPr>
          <w:p w14:paraId="13600BD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CON BASE EN ICFES</w:t>
            </w:r>
          </w:p>
        </w:tc>
        <w:tc>
          <w:tcPr>
            <w:tcW w:w="751" w:type="pct"/>
            <w:tcMar>
              <w:top w:w="30" w:type="dxa"/>
              <w:left w:w="45" w:type="dxa"/>
              <w:bottom w:w="30" w:type="dxa"/>
              <w:right w:w="45" w:type="dxa"/>
            </w:tcMar>
            <w:vAlign w:val="center"/>
            <w:hideMark/>
          </w:tcPr>
          <w:p w14:paraId="66B384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w:t>
            </w:r>
          </w:p>
        </w:tc>
        <w:tc>
          <w:tcPr>
            <w:tcW w:w="759" w:type="pct"/>
            <w:tcMar>
              <w:top w:w="30" w:type="dxa"/>
              <w:left w:w="45" w:type="dxa"/>
              <w:bottom w:w="30" w:type="dxa"/>
              <w:right w:w="45" w:type="dxa"/>
            </w:tcMar>
            <w:vAlign w:val="center"/>
            <w:hideMark/>
          </w:tcPr>
          <w:p w14:paraId="0FF6FDC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75%</w:t>
            </w:r>
          </w:p>
        </w:tc>
        <w:tc>
          <w:tcPr>
            <w:tcW w:w="716" w:type="pct"/>
            <w:tcMar>
              <w:top w:w="30" w:type="dxa"/>
              <w:left w:w="45" w:type="dxa"/>
              <w:bottom w:w="30" w:type="dxa"/>
              <w:right w:w="45" w:type="dxa"/>
            </w:tcMar>
            <w:vAlign w:val="center"/>
            <w:hideMark/>
          </w:tcPr>
          <w:p w14:paraId="117295F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85%</w:t>
            </w:r>
          </w:p>
        </w:tc>
        <w:tc>
          <w:tcPr>
            <w:tcW w:w="742" w:type="pct"/>
            <w:tcMar>
              <w:top w:w="30" w:type="dxa"/>
              <w:left w:w="45" w:type="dxa"/>
              <w:bottom w:w="30" w:type="dxa"/>
              <w:right w:w="45" w:type="dxa"/>
            </w:tcMar>
            <w:vAlign w:val="center"/>
            <w:hideMark/>
          </w:tcPr>
          <w:p w14:paraId="73EFA9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4" w:type="pct"/>
            <w:vMerge w:val="restart"/>
            <w:tcMar>
              <w:top w:w="30" w:type="dxa"/>
              <w:left w:w="45" w:type="dxa"/>
              <w:bottom w:w="30" w:type="dxa"/>
              <w:right w:w="45" w:type="dxa"/>
            </w:tcMar>
            <w:vAlign w:val="center"/>
            <w:hideMark/>
          </w:tcPr>
          <w:p w14:paraId="4C4A4B5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235.014.269.656</w:t>
            </w:r>
          </w:p>
        </w:tc>
      </w:tr>
      <w:tr w:rsidR="00856F66" w:rsidRPr="00E31657" w14:paraId="61309EAB" w14:textId="77777777" w:rsidTr="00ED49FA">
        <w:trPr>
          <w:trHeight w:val="510"/>
        </w:trPr>
        <w:tc>
          <w:tcPr>
            <w:tcW w:w="642" w:type="pct"/>
            <w:vMerge/>
            <w:vAlign w:val="center"/>
            <w:hideMark/>
          </w:tcPr>
          <w:p w14:paraId="2709FE84"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4575DD74" w14:textId="77777777" w:rsidR="00856F66" w:rsidRPr="00E31657" w:rsidRDefault="00856F66" w:rsidP="00B24742">
            <w:pPr>
              <w:rPr>
                <w:rFonts w:cs="Arial"/>
                <w:sz w:val="16"/>
                <w:szCs w:val="16"/>
                <w:lang w:val="es-ES_tradnl" w:eastAsia="es-MX"/>
              </w:rPr>
            </w:pPr>
          </w:p>
        </w:tc>
        <w:tc>
          <w:tcPr>
            <w:tcW w:w="448" w:type="pct"/>
            <w:vMerge/>
            <w:vAlign w:val="center"/>
            <w:hideMark/>
          </w:tcPr>
          <w:p w14:paraId="55BD7A44"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610855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54.859.235.363</w:t>
            </w:r>
          </w:p>
        </w:tc>
        <w:tc>
          <w:tcPr>
            <w:tcW w:w="759" w:type="pct"/>
            <w:tcMar>
              <w:top w:w="30" w:type="dxa"/>
              <w:left w:w="45" w:type="dxa"/>
              <w:bottom w:w="30" w:type="dxa"/>
              <w:right w:w="45" w:type="dxa"/>
            </w:tcMar>
            <w:vAlign w:val="center"/>
            <w:hideMark/>
          </w:tcPr>
          <w:p w14:paraId="17BF1E9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60.537.899.617</w:t>
            </w:r>
          </w:p>
        </w:tc>
        <w:tc>
          <w:tcPr>
            <w:tcW w:w="716" w:type="pct"/>
            <w:tcMar>
              <w:top w:w="30" w:type="dxa"/>
              <w:left w:w="45" w:type="dxa"/>
              <w:bottom w:w="30" w:type="dxa"/>
              <w:right w:w="45" w:type="dxa"/>
            </w:tcMar>
            <w:vAlign w:val="center"/>
            <w:hideMark/>
          </w:tcPr>
          <w:p w14:paraId="1A051F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59.018.791.394</w:t>
            </w:r>
          </w:p>
        </w:tc>
        <w:tc>
          <w:tcPr>
            <w:tcW w:w="742" w:type="pct"/>
            <w:tcMar>
              <w:top w:w="30" w:type="dxa"/>
              <w:left w:w="45" w:type="dxa"/>
              <w:bottom w:w="30" w:type="dxa"/>
              <w:right w:w="45" w:type="dxa"/>
            </w:tcMar>
            <w:vAlign w:val="center"/>
            <w:hideMark/>
          </w:tcPr>
          <w:p w14:paraId="51968ED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60.598.343.282</w:t>
            </w:r>
          </w:p>
        </w:tc>
        <w:tc>
          <w:tcPr>
            <w:tcW w:w="754" w:type="pct"/>
            <w:vMerge/>
            <w:vAlign w:val="center"/>
            <w:hideMark/>
          </w:tcPr>
          <w:p w14:paraId="17F305C2" w14:textId="77777777" w:rsidR="00856F66" w:rsidRPr="00E31657" w:rsidRDefault="00856F66" w:rsidP="00B24742">
            <w:pPr>
              <w:rPr>
                <w:rFonts w:cs="Arial"/>
                <w:b/>
                <w:bCs/>
                <w:sz w:val="16"/>
                <w:szCs w:val="16"/>
                <w:lang w:val="es-ES_tradnl" w:eastAsia="es-MX"/>
              </w:rPr>
            </w:pPr>
          </w:p>
        </w:tc>
      </w:tr>
      <w:tr w:rsidR="00856F66" w:rsidRPr="00E31657" w14:paraId="71642EC8" w14:textId="77777777" w:rsidTr="00ED49FA">
        <w:trPr>
          <w:trHeight w:val="510"/>
        </w:trPr>
        <w:tc>
          <w:tcPr>
            <w:tcW w:w="642" w:type="pct"/>
            <w:vMerge w:val="restart"/>
            <w:tcMar>
              <w:top w:w="30" w:type="dxa"/>
              <w:left w:w="45" w:type="dxa"/>
              <w:bottom w:w="30" w:type="dxa"/>
              <w:right w:w="45" w:type="dxa"/>
            </w:tcMar>
            <w:vAlign w:val="center"/>
            <w:hideMark/>
          </w:tcPr>
          <w:p w14:paraId="2143F2FE"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Ofrecer 32.000 cupos en las estrategias de acceso y permanencia en la educación posmedia.</w:t>
            </w:r>
          </w:p>
        </w:tc>
        <w:tc>
          <w:tcPr>
            <w:tcW w:w="189" w:type="pct"/>
            <w:vMerge w:val="restart"/>
            <w:tcMar>
              <w:top w:w="30" w:type="dxa"/>
              <w:left w:w="45" w:type="dxa"/>
              <w:bottom w:w="30" w:type="dxa"/>
              <w:right w:w="45" w:type="dxa"/>
            </w:tcMar>
            <w:vAlign w:val="center"/>
            <w:hideMark/>
          </w:tcPr>
          <w:p w14:paraId="46CDD13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448" w:type="pct"/>
            <w:vMerge w:val="restart"/>
            <w:tcMar>
              <w:top w:w="30" w:type="dxa"/>
              <w:left w:w="45" w:type="dxa"/>
              <w:bottom w:w="30" w:type="dxa"/>
              <w:right w:w="45" w:type="dxa"/>
            </w:tcMar>
            <w:vAlign w:val="center"/>
            <w:hideMark/>
          </w:tcPr>
          <w:p w14:paraId="60DF13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SIMAT SNIES SIET del MEN. SENA</w:t>
            </w:r>
          </w:p>
        </w:tc>
        <w:tc>
          <w:tcPr>
            <w:tcW w:w="751" w:type="pct"/>
            <w:tcMar>
              <w:top w:w="30" w:type="dxa"/>
              <w:left w:w="45" w:type="dxa"/>
              <w:bottom w:w="30" w:type="dxa"/>
              <w:right w:w="45" w:type="dxa"/>
            </w:tcMar>
            <w:vAlign w:val="center"/>
            <w:hideMark/>
          </w:tcPr>
          <w:p w14:paraId="68F25EE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2.700</w:t>
            </w:r>
          </w:p>
        </w:tc>
        <w:tc>
          <w:tcPr>
            <w:tcW w:w="759" w:type="pct"/>
            <w:tcMar>
              <w:top w:w="30" w:type="dxa"/>
              <w:left w:w="45" w:type="dxa"/>
              <w:bottom w:w="30" w:type="dxa"/>
              <w:right w:w="45" w:type="dxa"/>
            </w:tcMar>
            <w:vAlign w:val="center"/>
            <w:hideMark/>
          </w:tcPr>
          <w:p w14:paraId="352FD0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5.950</w:t>
            </w:r>
          </w:p>
        </w:tc>
        <w:tc>
          <w:tcPr>
            <w:tcW w:w="716" w:type="pct"/>
            <w:tcMar>
              <w:top w:w="30" w:type="dxa"/>
              <w:left w:w="45" w:type="dxa"/>
              <w:bottom w:w="30" w:type="dxa"/>
              <w:right w:w="45" w:type="dxa"/>
            </w:tcMar>
            <w:vAlign w:val="center"/>
            <w:hideMark/>
          </w:tcPr>
          <w:p w14:paraId="065555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7.450</w:t>
            </w:r>
          </w:p>
        </w:tc>
        <w:tc>
          <w:tcPr>
            <w:tcW w:w="742" w:type="pct"/>
            <w:tcMar>
              <w:top w:w="30" w:type="dxa"/>
              <w:left w:w="45" w:type="dxa"/>
              <w:bottom w:w="30" w:type="dxa"/>
              <w:right w:w="45" w:type="dxa"/>
            </w:tcMar>
            <w:vAlign w:val="center"/>
            <w:hideMark/>
          </w:tcPr>
          <w:p w14:paraId="12D06E8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15.900</w:t>
            </w:r>
          </w:p>
        </w:tc>
        <w:tc>
          <w:tcPr>
            <w:tcW w:w="754" w:type="pct"/>
            <w:vMerge w:val="restart"/>
            <w:tcMar>
              <w:top w:w="30" w:type="dxa"/>
              <w:left w:w="45" w:type="dxa"/>
              <w:bottom w:w="30" w:type="dxa"/>
              <w:right w:w="45" w:type="dxa"/>
            </w:tcMar>
            <w:vAlign w:val="center"/>
            <w:hideMark/>
          </w:tcPr>
          <w:p w14:paraId="612C090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1.724.194.421.171</w:t>
            </w:r>
          </w:p>
        </w:tc>
      </w:tr>
      <w:tr w:rsidR="00856F66" w:rsidRPr="00E31657" w14:paraId="1B15A0A4" w14:textId="77777777" w:rsidTr="00ED49FA">
        <w:trPr>
          <w:trHeight w:val="510"/>
        </w:trPr>
        <w:tc>
          <w:tcPr>
            <w:tcW w:w="642" w:type="pct"/>
            <w:vMerge/>
            <w:vAlign w:val="center"/>
            <w:hideMark/>
          </w:tcPr>
          <w:p w14:paraId="2B63A08D"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2812F84C" w14:textId="77777777" w:rsidR="00856F66" w:rsidRPr="00E31657" w:rsidRDefault="00856F66" w:rsidP="00B24742">
            <w:pPr>
              <w:rPr>
                <w:rFonts w:cs="Arial"/>
                <w:sz w:val="16"/>
                <w:szCs w:val="16"/>
                <w:lang w:val="es-ES_tradnl" w:eastAsia="es-MX"/>
              </w:rPr>
            </w:pPr>
          </w:p>
        </w:tc>
        <w:tc>
          <w:tcPr>
            <w:tcW w:w="448" w:type="pct"/>
            <w:vMerge/>
            <w:vAlign w:val="center"/>
            <w:hideMark/>
          </w:tcPr>
          <w:p w14:paraId="7ACC427D"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091FAF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469.232.395.793</w:t>
            </w:r>
          </w:p>
        </w:tc>
        <w:tc>
          <w:tcPr>
            <w:tcW w:w="759" w:type="pct"/>
            <w:tcMar>
              <w:top w:w="30" w:type="dxa"/>
              <w:left w:w="45" w:type="dxa"/>
              <w:bottom w:w="30" w:type="dxa"/>
              <w:right w:w="45" w:type="dxa"/>
            </w:tcMar>
            <w:vAlign w:val="center"/>
            <w:hideMark/>
          </w:tcPr>
          <w:p w14:paraId="1F8FE4E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454.198.475.939</w:t>
            </w:r>
          </w:p>
        </w:tc>
        <w:tc>
          <w:tcPr>
            <w:tcW w:w="716" w:type="pct"/>
            <w:tcMar>
              <w:top w:w="30" w:type="dxa"/>
              <w:left w:w="45" w:type="dxa"/>
              <w:bottom w:w="30" w:type="dxa"/>
              <w:right w:w="45" w:type="dxa"/>
            </w:tcMar>
            <w:vAlign w:val="center"/>
            <w:hideMark/>
          </w:tcPr>
          <w:p w14:paraId="6E4D5B6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461.128.939.472</w:t>
            </w:r>
          </w:p>
        </w:tc>
        <w:tc>
          <w:tcPr>
            <w:tcW w:w="742" w:type="pct"/>
            <w:tcMar>
              <w:top w:w="30" w:type="dxa"/>
              <w:left w:w="45" w:type="dxa"/>
              <w:bottom w:w="30" w:type="dxa"/>
              <w:right w:w="45" w:type="dxa"/>
            </w:tcMar>
            <w:vAlign w:val="center"/>
            <w:hideMark/>
          </w:tcPr>
          <w:p w14:paraId="28B8E8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339.634.609.967</w:t>
            </w:r>
          </w:p>
        </w:tc>
        <w:tc>
          <w:tcPr>
            <w:tcW w:w="754" w:type="pct"/>
            <w:vMerge/>
            <w:vAlign w:val="center"/>
            <w:hideMark/>
          </w:tcPr>
          <w:p w14:paraId="58ADB56B" w14:textId="77777777" w:rsidR="00856F66" w:rsidRPr="00E31657" w:rsidRDefault="00856F66" w:rsidP="00B24742">
            <w:pPr>
              <w:rPr>
                <w:rFonts w:cs="Arial"/>
                <w:b/>
                <w:bCs/>
                <w:sz w:val="16"/>
                <w:szCs w:val="16"/>
                <w:lang w:val="es-ES_tradnl" w:eastAsia="es-MX"/>
              </w:rPr>
            </w:pPr>
          </w:p>
        </w:tc>
      </w:tr>
      <w:tr w:rsidR="00856F66" w:rsidRPr="00E31657" w14:paraId="5A01950D" w14:textId="77777777" w:rsidTr="00ED49FA">
        <w:trPr>
          <w:trHeight w:val="510"/>
        </w:trPr>
        <w:tc>
          <w:tcPr>
            <w:tcW w:w="642" w:type="pct"/>
            <w:vMerge w:val="restart"/>
            <w:tcMar>
              <w:top w:w="30" w:type="dxa"/>
              <w:left w:w="45" w:type="dxa"/>
              <w:bottom w:w="30" w:type="dxa"/>
              <w:right w:w="45" w:type="dxa"/>
            </w:tcMar>
            <w:vAlign w:val="center"/>
            <w:hideMark/>
          </w:tcPr>
          <w:p w14:paraId="27C07418"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 xml:space="preserve">Realizar 20 investigaciones que aporten al cierre de brechas educativas desde diferentes perspectivas epistémicas y metodológicas que incluyan investigaciones aplicadas en el marco de una </w:t>
            </w:r>
            <w:r w:rsidRPr="00E31657">
              <w:rPr>
                <w:rFonts w:cs="Arial"/>
                <w:sz w:val="16"/>
                <w:szCs w:val="16"/>
                <w:lang w:val="es-ES_tradnl" w:eastAsia="es-MX"/>
              </w:rPr>
              <w:lastRenderedPageBreak/>
              <w:t>educación de calidad que fortalece los aprendizajes.</w:t>
            </w:r>
          </w:p>
        </w:tc>
        <w:tc>
          <w:tcPr>
            <w:tcW w:w="189" w:type="pct"/>
            <w:vMerge w:val="restart"/>
            <w:tcMar>
              <w:top w:w="30" w:type="dxa"/>
              <w:left w:w="45" w:type="dxa"/>
              <w:bottom w:w="30" w:type="dxa"/>
              <w:right w:w="45" w:type="dxa"/>
            </w:tcMar>
            <w:vAlign w:val="center"/>
            <w:hideMark/>
          </w:tcPr>
          <w:p w14:paraId="1D327F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N/A</w:t>
            </w:r>
          </w:p>
        </w:tc>
        <w:tc>
          <w:tcPr>
            <w:tcW w:w="448" w:type="pct"/>
            <w:vMerge w:val="restart"/>
            <w:tcMar>
              <w:top w:w="30" w:type="dxa"/>
              <w:left w:w="45" w:type="dxa"/>
              <w:bottom w:w="30" w:type="dxa"/>
              <w:right w:w="45" w:type="dxa"/>
            </w:tcMar>
            <w:vAlign w:val="center"/>
            <w:hideMark/>
          </w:tcPr>
          <w:p w14:paraId="3548C5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IDEP</w:t>
            </w:r>
          </w:p>
        </w:tc>
        <w:tc>
          <w:tcPr>
            <w:tcW w:w="751" w:type="pct"/>
            <w:tcMar>
              <w:top w:w="30" w:type="dxa"/>
              <w:left w:w="45" w:type="dxa"/>
              <w:bottom w:w="30" w:type="dxa"/>
              <w:right w:w="45" w:type="dxa"/>
            </w:tcMar>
            <w:vAlign w:val="center"/>
            <w:hideMark/>
          </w:tcPr>
          <w:p w14:paraId="43DAB22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759" w:type="pct"/>
            <w:tcMar>
              <w:top w:w="30" w:type="dxa"/>
              <w:left w:w="45" w:type="dxa"/>
              <w:bottom w:w="30" w:type="dxa"/>
              <w:right w:w="45" w:type="dxa"/>
            </w:tcMar>
            <w:vAlign w:val="center"/>
            <w:hideMark/>
          </w:tcPr>
          <w:p w14:paraId="37F175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716" w:type="pct"/>
            <w:tcMar>
              <w:top w:w="30" w:type="dxa"/>
              <w:left w:w="45" w:type="dxa"/>
              <w:bottom w:w="30" w:type="dxa"/>
              <w:right w:w="45" w:type="dxa"/>
            </w:tcMar>
            <w:vAlign w:val="center"/>
            <w:hideMark/>
          </w:tcPr>
          <w:p w14:paraId="452F1EB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w:t>
            </w:r>
          </w:p>
        </w:tc>
        <w:tc>
          <w:tcPr>
            <w:tcW w:w="742" w:type="pct"/>
            <w:tcMar>
              <w:top w:w="30" w:type="dxa"/>
              <w:left w:w="45" w:type="dxa"/>
              <w:bottom w:w="30" w:type="dxa"/>
              <w:right w:w="45" w:type="dxa"/>
            </w:tcMar>
            <w:vAlign w:val="center"/>
            <w:hideMark/>
          </w:tcPr>
          <w:p w14:paraId="3BB913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754" w:type="pct"/>
            <w:vMerge w:val="restart"/>
            <w:tcMar>
              <w:top w:w="30" w:type="dxa"/>
              <w:left w:w="45" w:type="dxa"/>
              <w:bottom w:w="30" w:type="dxa"/>
              <w:right w:w="45" w:type="dxa"/>
            </w:tcMar>
            <w:vAlign w:val="center"/>
            <w:hideMark/>
          </w:tcPr>
          <w:p w14:paraId="462D7C2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20.937.790.576</w:t>
            </w:r>
          </w:p>
        </w:tc>
      </w:tr>
      <w:tr w:rsidR="00856F66" w:rsidRPr="00E31657" w14:paraId="3108A815" w14:textId="77777777" w:rsidTr="00ED49FA">
        <w:trPr>
          <w:trHeight w:val="510"/>
        </w:trPr>
        <w:tc>
          <w:tcPr>
            <w:tcW w:w="642" w:type="pct"/>
            <w:vMerge/>
            <w:vAlign w:val="center"/>
            <w:hideMark/>
          </w:tcPr>
          <w:p w14:paraId="09BFF13D" w14:textId="77777777" w:rsidR="00856F66" w:rsidRPr="00E31657" w:rsidRDefault="00856F66" w:rsidP="00B24742">
            <w:pPr>
              <w:rPr>
                <w:rFonts w:cs="Arial"/>
                <w:sz w:val="16"/>
                <w:szCs w:val="16"/>
                <w:lang w:val="es-ES_tradnl" w:eastAsia="es-MX"/>
              </w:rPr>
            </w:pPr>
          </w:p>
        </w:tc>
        <w:tc>
          <w:tcPr>
            <w:tcW w:w="189" w:type="pct"/>
            <w:vMerge/>
            <w:vAlign w:val="center"/>
            <w:hideMark/>
          </w:tcPr>
          <w:p w14:paraId="239658A6" w14:textId="77777777" w:rsidR="00856F66" w:rsidRPr="00E31657" w:rsidRDefault="00856F66" w:rsidP="00B24742">
            <w:pPr>
              <w:rPr>
                <w:rFonts w:cs="Arial"/>
                <w:sz w:val="16"/>
                <w:szCs w:val="16"/>
                <w:lang w:val="es-ES_tradnl" w:eastAsia="es-MX"/>
              </w:rPr>
            </w:pPr>
          </w:p>
        </w:tc>
        <w:tc>
          <w:tcPr>
            <w:tcW w:w="448" w:type="pct"/>
            <w:vMerge/>
            <w:vAlign w:val="center"/>
            <w:hideMark/>
          </w:tcPr>
          <w:p w14:paraId="59D3A794"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27D0B95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5.119.558.789</w:t>
            </w:r>
          </w:p>
        </w:tc>
        <w:tc>
          <w:tcPr>
            <w:tcW w:w="759" w:type="pct"/>
            <w:tcMar>
              <w:top w:w="30" w:type="dxa"/>
              <w:left w:w="45" w:type="dxa"/>
              <w:bottom w:w="30" w:type="dxa"/>
              <w:right w:w="45" w:type="dxa"/>
            </w:tcMar>
            <w:vAlign w:val="center"/>
            <w:hideMark/>
          </w:tcPr>
          <w:p w14:paraId="0D636A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5.272.743.929</w:t>
            </w:r>
          </w:p>
        </w:tc>
        <w:tc>
          <w:tcPr>
            <w:tcW w:w="716" w:type="pct"/>
            <w:tcMar>
              <w:top w:w="30" w:type="dxa"/>
              <w:left w:w="45" w:type="dxa"/>
              <w:bottom w:w="30" w:type="dxa"/>
              <w:right w:w="45" w:type="dxa"/>
            </w:tcMar>
            <w:vAlign w:val="center"/>
            <w:hideMark/>
          </w:tcPr>
          <w:p w14:paraId="39F371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5.272.743.929</w:t>
            </w:r>
          </w:p>
        </w:tc>
        <w:tc>
          <w:tcPr>
            <w:tcW w:w="742" w:type="pct"/>
            <w:tcMar>
              <w:top w:w="30" w:type="dxa"/>
              <w:left w:w="45" w:type="dxa"/>
              <w:bottom w:w="30" w:type="dxa"/>
              <w:right w:w="45" w:type="dxa"/>
            </w:tcMar>
            <w:vAlign w:val="center"/>
            <w:hideMark/>
          </w:tcPr>
          <w:p w14:paraId="4B5F02E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5.272.743.929</w:t>
            </w:r>
          </w:p>
        </w:tc>
        <w:tc>
          <w:tcPr>
            <w:tcW w:w="754" w:type="pct"/>
            <w:vMerge/>
            <w:vAlign w:val="center"/>
            <w:hideMark/>
          </w:tcPr>
          <w:p w14:paraId="16FE3374" w14:textId="77777777" w:rsidR="00856F66" w:rsidRPr="00E31657" w:rsidRDefault="00856F66" w:rsidP="00B24742">
            <w:pPr>
              <w:rPr>
                <w:rFonts w:cs="Arial"/>
                <w:b/>
                <w:bCs/>
                <w:sz w:val="16"/>
                <w:szCs w:val="16"/>
                <w:lang w:val="es-ES_tradnl" w:eastAsia="es-MX"/>
              </w:rPr>
            </w:pPr>
          </w:p>
        </w:tc>
      </w:tr>
      <w:tr w:rsidR="00856F66" w:rsidRPr="00E31657" w14:paraId="092F7434" w14:textId="77777777" w:rsidTr="00ED49FA">
        <w:trPr>
          <w:trHeight w:val="331"/>
        </w:trPr>
        <w:tc>
          <w:tcPr>
            <w:tcW w:w="5000" w:type="pct"/>
            <w:gridSpan w:val="8"/>
            <w:shd w:val="clear" w:color="auto" w:fill="C00000"/>
            <w:tcMar>
              <w:top w:w="30" w:type="dxa"/>
              <w:left w:w="45" w:type="dxa"/>
              <w:bottom w:w="30" w:type="dxa"/>
              <w:right w:w="45" w:type="dxa"/>
            </w:tcMar>
            <w:vAlign w:val="center"/>
            <w:hideMark/>
          </w:tcPr>
          <w:p w14:paraId="3424F749"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Integración social</w:t>
            </w:r>
          </w:p>
        </w:tc>
      </w:tr>
      <w:tr w:rsidR="00856F66" w:rsidRPr="00E31657" w14:paraId="18D21495" w14:textId="77777777" w:rsidTr="00ED49FA">
        <w:trPr>
          <w:trHeight w:val="510"/>
        </w:trPr>
        <w:tc>
          <w:tcPr>
            <w:tcW w:w="642" w:type="pct"/>
            <w:vMerge w:val="restart"/>
            <w:tcMar>
              <w:top w:w="30" w:type="dxa"/>
              <w:left w:w="45" w:type="dxa"/>
              <w:bottom w:w="30" w:type="dxa"/>
              <w:right w:w="45" w:type="dxa"/>
            </w:tcMar>
            <w:vAlign w:val="center"/>
            <w:hideMark/>
          </w:tcPr>
          <w:p w14:paraId="7C89A9B5"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Aumentar en 30.000 el número de niñas y niños de 0 a 5 años con servicios en el marco de la atención integral.</w:t>
            </w:r>
          </w:p>
        </w:tc>
        <w:tc>
          <w:tcPr>
            <w:tcW w:w="189" w:type="pct"/>
            <w:vMerge w:val="restart"/>
            <w:tcMar>
              <w:top w:w="30" w:type="dxa"/>
              <w:left w:w="45" w:type="dxa"/>
              <w:bottom w:w="30" w:type="dxa"/>
              <w:right w:w="45" w:type="dxa"/>
            </w:tcMar>
            <w:vAlign w:val="center"/>
            <w:hideMark/>
          </w:tcPr>
          <w:p w14:paraId="484075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48" w:type="pct"/>
            <w:vMerge w:val="restart"/>
            <w:tcMar>
              <w:top w:w="30" w:type="dxa"/>
              <w:left w:w="45" w:type="dxa"/>
              <w:bottom w:w="30" w:type="dxa"/>
              <w:right w:w="45" w:type="dxa"/>
            </w:tcMar>
            <w:vAlign w:val="center"/>
            <w:hideMark/>
          </w:tcPr>
          <w:p w14:paraId="6BDAF7F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SDIS ICBF</w:t>
            </w:r>
          </w:p>
        </w:tc>
        <w:tc>
          <w:tcPr>
            <w:tcW w:w="751" w:type="pct"/>
            <w:tcMar>
              <w:top w:w="30" w:type="dxa"/>
              <w:left w:w="45" w:type="dxa"/>
              <w:bottom w:w="30" w:type="dxa"/>
              <w:right w:w="45" w:type="dxa"/>
            </w:tcMar>
            <w:vAlign w:val="center"/>
            <w:hideMark/>
          </w:tcPr>
          <w:p w14:paraId="4A678B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759" w:type="pct"/>
            <w:tcMar>
              <w:top w:w="30" w:type="dxa"/>
              <w:left w:w="45" w:type="dxa"/>
              <w:bottom w:w="30" w:type="dxa"/>
              <w:right w:w="45" w:type="dxa"/>
            </w:tcMar>
            <w:vAlign w:val="center"/>
            <w:hideMark/>
          </w:tcPr>
          <w:p w14:paraId="015821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2.133</w:t>
            </w:r>
          </w:p>
        </w:tc>
        <w:tc>
          <w:tcPr>
            <w:tcW w:w="716" w:type="pct"/>
            <w:tcMar>
              <w:top w:w="30" w:type="dxa"/>
              <w:left w:w="45" w:type="dxa"/>
              <w:bottom w:w="30" w:type="dxa"/>
              <w:right w:w="45" w:type="dxa"/>
            </w:tcMar>
            <w:vAlign w:val="center"/>
            <w:hideMark/>
          </w:tcPr>
          <w:p w14:paraId="2D13AA9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3.200</w:t>
            </w:r>
          </w:p>
        </w:tc>
        <w:tc>
          <w:tcPr>
            <w:tcW w:w="742" w:type="pct"/>
            <w:tcMar>
              <w:top w:w="30" w:type="dxa"/>
              <w:left w:w="45" w:type="dxa"/>
              <w:bottom w:w="30" w:type="dxa"/>
              <w:right w:w="45" w:type="dxa"/>
            </w:tcMar>
            <w:vAlign w:val="center"/>
            <w:hideMark/>
          </w:tcPr>
          <w:p w14:paraId="6684A6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2.667</w:t>
            </w:r>
          </w:p>
        </w:tc>
        <w:tc>
          <w:tcPr>
            <w:tcW w:w="754" w:type="pct"/>
            <w:vMerge w:val="restart"/>
            <w:tcMar>
              <w:top w:w="30" w:type="dxa"/>
              <w:left w:w="45" w:type="dxa"/>
              <w:bottom w:w="30" w:type="dxa"/>
              <w:right w:w="45" w:type="dxa"/>
            </w:tcMar>
            <w:vAlign w:val="center"/>
            <w:hideMark/>
          </w:tcPr>
          <w:p w14:paraId="09EE5F7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951.855.785.106</w:t>
            </w:r>
          </w:p>
        </w:tc>
      </w:tr>
      <w:tr w:rsidR="00856F66" w:rsidRPr="00E31657" w14:paraId="2A7FD4D8" w14:textId="77777777" w:rsidTr="00ED49FA">
        <w:trPr>
          <w:trHeight w:val="510"/>
        </w:trPr>
        <w:tc>
          <w:tcPr>
            <w:tcW w:w="642" w:type="pct"/>
            <w:vMerge/>
            <w:vAlign w:val="center"/>
            <w:hideMark/>
          </w:tcPr>
          <w:p w14:paraId="4E6C4742"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2AF6927C" w14:textId="77777777" w:rsidR="00856F66" w:rsidRPr="00E31657" w:rsidRDefault="00856F66" w:rsidP="00B24742">
            <w:pPr>
              <w:rPr>
                <w:rFonts w:cs="Arial"/>
                <w:sz w:val="16"/>
                <w:szCs w:val="16"/>
                <w:lang w:val="es-ES_tradnl" w:eastAsia="es-MX"/>
              </w:rPr>
            </w:pPr>
          </w:p>
        </w:tc>
        <w:tc>
          <w:tcPr>
            <w:tcW w:w="448" w:type="pct"/>
            <w:vMerge/>
            <w:vAlign w:val="center"/>
            <w:hideMark/>
          </w:tcPr>
          <w:p w14:paraId="505E5AEA"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4ED2A1D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227.933.000.000</w:t>
            </w:r>
          </w:p>
        </w:tc>
        <w:tc>
          <w:tcPr>
            <w:tcW w:w="759" w:type="pct"/>
            <w:tcMar>
              <w:top w:w="30" w:type="dxa"/>
              <w:left w:w="45" w:type="dxa"/>
              <w:bottom w:w="30" w:type="dxa"/>
              <w:right w:w="45" w:type="dxa"/>
            </w:tcMar>
            <w:vAlign w:val="center"/>
            <w:hideMark/>
          </w:tcPr>
          <w:p w14:paraId="019899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233.930.097.087</w:t>
            </w:r>
          </w:p>
        </w:tc>
        <w:tc>
          <w:tcPr>
            <w:tcW w:w="716" w:type="pct"/>
            <w:tcMar>
              <w:top w:w="30" w:type="dxa"/>
              <w:left w:w="45" w:type="dxa"/>
              <w:bottom w:w="30" w:type="dxa"/>
              <w:right w:w="45" w:type="dxa"/>
            </w:tcMar>
            <w:vAlign w:val="center"/>
            <w:hideMark/>
          </w:tcPr>
          <w:p w14:paraId="56529EE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243.291.544.915</w:t>
            </w:r>
          </w:p>
        </w:tc>
        <w:tc>
          <w:tcPr>
            <w:tcW w:w="742" w:type="pct"/>
            <w:tcMar>
              <w:top w:w="30" w:type="dxa"/>
              <w:left w:w="45" w:type="dxa"/>
              <w:bottom w:w="30" w:type="dxa"/>
              <w:right w:w="45" w:type="dxa"/>
            </w:tcMar>
            <w:vAlign w:val="center"/>
            <w:hideMark/>
          </w:tcPr>
          <w:p w14:paraId="3AA7D16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246.701.143.103</w:t>
            </w:r>
          </w:p>
        </w:tc>
        <w:tc>
          <w:tcPr>
            <w:tcW w:w="754" w:type="pct"/>
            <w:vMerge/>
            <w:vAlign w:val="center"/>
            <w:hideMark/>
          </w:tcPr>
          <w:p w14:paraId="531A140B" w14:textId="77777777" w:rsidR="00856F66" w:rsidRPr="00E31657" w:rsidRDefault="00856F66" w:rsidP="00B24742">
            <w:pPr>
              <w:rPr>
                <w:rFonts w:cs="Arial"/>
                <w:b/>
                <w:bCs/>
                <w:sz w:val="16"/>
                <w:szCs w:val="16"/>
                <w:lang w:val="es-ES_tradnl" w:eastAsia="es-MX"/>
              </w:rPr>
            </w:pPr>
          </w:p>
        </w:tc>
      </w:tr>
      <w:tr w:rsidR="00856F66" w:rsidRPr="00E31657" w14:paraId="07605417" w14:textId="77777777" w:rsidTr="00ED49FA">
        <w:trPr>
          <w:trHeight w:val="510"/>
        </w:trPr>
        <w:tc>
          <w:tcPr>
            <w:tcW w:w="642" w:type="pct"/>
            <w:vMerge w:val="restart"/>
            <w:tcMar>
              <w:top w:w="30" w:type="dxa"/>
              <w:left w:w="45" w:type="dxa"/>
              <w:bottom w:w="30" w:type="dxa"/>
              <w:right w:w="45" w:type="dxa"/>
            </w:tcMar>
            <w:vAlign w:val="center"/>
            <w:hideMark/>
          </w:tcPr>
          <w:p w14:paraId="05153D10"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Contar con dos (2) Centros Abrazar para la atención de niñas niños y adolescentes provenientes de flujos migratorios mixtos en situación de riesgo de vulneración de derechos y sus familias</w:t>
            </w:r>
          </w:p>
        </w:tc>
        <w:tc>
          <w:tcPr>
            <w:tcW w:w="189" w:type="pct"/>
            <w:vMerge w:val="restart"/>
            <w:tcMar>
              <w:top w:w="30" w:type="dxa"/>
              <w:left w:w="45" w:type="dxa"/>
              <w:bottom w:w="30" w:type="dxa"/>
              <w:right w:w="45" w:type="dxa"/>
            </w:tcMar>
            <w:vAlign w:val="center"/>
            <w:hideMark/>
          </w:tcPr>
          <w:p w14:paraId="1AD4331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448" w:type="pct"/>
            <w:vMerge w:val="restart"/>
            <w:tcMar>
              <w:top w:w="30" w:type="dxa"/>
              <w:left w:w="45" w:type="dxa"/>
              <w:bottom w:w="30" w:type="dxa"/>
              <w:right w:w="45" w:type="dxa"/>
            </w:tcMar>
            <w:vAlign w:val="center"/>
            <w:hideMark/>
          </w:tcPr>
          <w:p w14:paraId="59B85CC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751" w:type="pct"/>
            <w:tcMar>
              <w:top w:w="30" w:type="dxa"/>
              <w:left w:w="45" w:type="dxa"/>
              <w:bottom w:w="30" w:type="dxa"/>
              <w:right w:w="45" w:type="dxa"/>
            </w:tcMar>
            <w:vAlign w:val="center"/>
            <w:hideMark/>
          </w:tcPr>
          <w:p w14:paraId="10CD432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759" w:type="pct"/>
            <w:tcMar>
              <w:top w:w="30" w:type="dxa"/>
              <w:left w:w="45" w:type="dxa"/>
              <w:bottom w:w="30" w:type="dxa"/>
              <w:right w:w="45" w:type="dxa"/>
            </w:tcMar>
            <w:vAlign w:val="center"/>
            <w:hideMark/>
          </w:tcPr>
          <w:p w14:paraId="2D96BDE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716" w:type="pct"/>
            <w:tcMar>
              <w:top w:w="30" w:type="dxa"/>
              <w:left w:w="45" w:type="dxa"/>
              <w:bottom w:w="30" w:type="dxa"/>
              <w:right w:w="45" w:type="dxa"/>
            </w:tcMar>
            <w:vAlign w:val="center"/>
            <w:hideMark/>
          </w:tcPr>
          <w:p w14:paraId="0AFF6B3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742" w:type="pct"/>
            <w:tcMar>
              <w:top w:w="30" w:type="dxa"/>
              <w:left w:w="45" w:type="dxa"/>
              <w:bottom w:w="30" w:type="dxa"/>
              <w:right w:w="45" w:type="dxa"/>
            </w:tcMar>
            <w:vAlign w:val="center"/>
            <w:hideMark/>
          </w:tcPr>
          <w:p w14:paraId="03C09D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754" w:type="pct"/>
            <w:vMerge w:val="restart"/>
            <w:tcMar>
              <w:top w:w="30" w:type="dxa"/>
              <w:left w:w="45" w:type="dxa"/>
              <w:bottom w:w="30" w:type="dxa"/>
              <w:right w:w="45" w:type="dxa"/>
            </w:tcMar>
            <w:vAlign w:val="center"/>
            <w:hideMark/>
          </w:tcPr>
          <w:p w14:paraId="0F67421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6.568.489.907</w:t>
            </w:r>
          </w:p>
        </w:tc>
      </w:tr>
      <w:tr w:rsidR="00856F66" w:rsidRPr="00E31657" w14:paraId="2F9A5385" w14:textId="77777777" w:rsidTr="00ED49FA">
        <w:trPr>
          <w:trHeight w:val="510"/>
        </w:trPr>
        <w:tc>
          <w:tcPr>
            <w:tcW w:w="642" w:type="pct"/>
            <w:vMerge/>
            <w:vAlign w:val="center"/>
            <w:hideMark/>
          </w:tcPr>
          <w:p w14:paraId="1586AC02"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6A817E4C" w14:textId="77777777" w:rsidR="00856F66" w:rsidRPr="00E31657" w:rsidRDefault="00856F66" w:rsidP="00B24742">
            <w:pPr>
              <w:rPr>
                <w:rFonts w:cs="Arial"/>
                <w:sz w:val="16"/>
                <w:szCs w:val="16"/>
                <w:lang w:val="es-ES_tradnl" w:eastAsia="es-MX"/>
              </w:rPr>
            </w:pPr>
          </w:p>
        </w:tc>
        <w:tc>
          <w:tcPr>
            <w:tcW w:w="448" w:type="pct"/>
            <w:vMerge/>
            <w:vAlign w:val="center"/>
            <w:hideMark/>
          </w:tcPr>
          <w:p w14:paraId="04D724F2"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4CB10AA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1.573.000.000</w:t>
            </w:r>
          </w:p>
        </w:tc>
        <w:tc>
          <w:tcPr>
            <w:tcW w:w="759" w:type="pct"/>
            <w:tcMar>
              <w:top w:w="30" w:type="dxa"/>
              <w:left w:w="45" w:type="dxa"/>
              <w:bottom w:w="30" w:type="dxa"/>
              <w:right w:w="45" w:type="dxa"/>
            </w:tcMar>
            <w:vAlign w:val="center"/>
            <w:hideMark/>
          </w:tcPr>
          <w:p w14:paraId="3EF20E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1.614.563.107</w:t>
            </w:r>
          </w:p>
        </w:tc>
        <w:tc>
          <w:tcPr>
            <w:tcW w:w="716" w:type="pct"/>
            <w:tcMar>
              <w:top w:w="30" w:type="dxa"/>
              <w:left w:w="45" w:type="dxa"/>
              <w:bottom w:w="30" w:type="dxa"/>
              <w:right w:w="45" w:type="dxa"/>
            </w:tcMar>
            <w:vAlign w:val="center"/>
            <w:hideMark/>
          </w:tcPr>
          <w:p w14:paraId="671B2F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1.678.763.314</w:t>
            </w:r>
          </w:p>
        </w:tc>
        <w:tc>
          <w:tcPr>
            <w:tcW w:w="742" w:type="pct"/>
            <w:tcMar>
              <w:top w:w="30" w:type="dxa"/>
              <w:left w:w="45" w:type="dxa"/>
              <w:bottom w:w="30" w:type="dxa"/>
              <w:right w:w="45" w:type="dxa"/>
            </w:tcMar>
            <w:vAlign w:val="center"/>
            <w:hideMark/>
          </w:tcPr>
          <w:p w14:paraId="18F972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1.702.163.486</w:t>
            </w:r>
          </w:p>
        </w:tc>
        <w:tc>
          <w:tcPr>
            <w:tcW w:w="754" w:type="pct"/>
            <w:vMerge/>
            <w:vAlign w:val="center"/>
            <w:hideMark/>
          </w:tcPr>
          <w:p w14:paraId="34AB6DA6" w14:textId="77777777" w:rsidR="00856F66" w:rsidRPr="00E31657" w:rsidRDefault="00856F66" w:rsidP="00B24742">
            <w:pPr>
              <w:rPr>
                <w:rFonts w:cs="Arial"/>
                <w:b/>
                <w:bCs/>
                <w:sz w:val="16"/>
                <w:szCs w:val="16"/>
                <w:lang w:val="es-ES_tradnl" w:eastAsia="es-MX"/>
              </w:rPr>
            </w:pPr>
          </w:p>
        </w:tc>
      </w:tr>
      <w:tr w:rsidR="00856F66" w:rsidRPr="00E31657" w14:paraId="6C78E41E" w14:textId="77777777" w:rsidTr="00ED49FA">
        <w:trPr>
          <w:trHeight w:val="510"/>
        </w:trPr>
        <w:tc>
          <w:tcPr>
            <w:tcW w:w="642" w:type="pct"/>
            <w:vMerge w:val="restart"/>
            <w:tcMar>
              <w:top w:w="30" w:type="dxa"/>
              <w:left w:w="45" w:type="dxa"/>
              <w:bottom w:w="30" w:type="dxa"/>
              <w:right w:w="45" w:type="dxa"/>
            </w:tcMar>
            <w:vAlign w:val="center"/>
            <w:hideMark/>
          </w:tcPr>
          <w:p w14:paraId="4E82E377"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Implementar un (1) sistema de aseguramiento de la calidad para la atención a la primera infancia de prestadores públicos y privados en el marco de la atención integral.</w:t>
            </w:r>
          </w:p>
        </w:tc>
        <w:tc>
          <w:tcPr>
            <w:tcW w:w="189" w:type="pct"/>
            <w:vMerge w:val="restart"/>
            <w:tcMar>
              <w:top w:w="30" w:type="dxa"/>
              <w:left w:w="45" w:type="dxa"/>
              <w:bottom w:w="30" w:type="dxa"/>
              <w:right w:w="45" w:type="dxa"/>
            </w:tcMar>
            <w:vAlign w:val="center"/>
            <w:hideMark/>
          </w:tcPr>
          <w:p w14:paraId="0E5D376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48" w:type="pct"/>
            <w:vMerge w:val="restart"/>
            <w:tcMar>
              <w:top w:w="30" w:type="dxa"/>
              <w:left w:w="45" w:type="dxa"/>
              <w:bottom w:w="30" w:type="dxa"/>
              <w:right w:w="45" w:type="dxa"/>
            </w:tcMar>
            <w:vAlign w:val="center"/>
            <w:hideMark/>
          </w:tcPr>
          <w:p w14:paraId="2922545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751" w:type="pct"/>
            <w:tcMar>
              <w:top w:w="30" w:type="dxa"/>
              <w:left w:w="45" w:type="dxa"/>
              <w:bottom w:w="30" w:type="dxa"/>
              <w:right w:w="45" w:type="dxa"/>
            </w:tcMar>
            <w:vAlign w:val="center"/>
            <w:hideMark/>
          </w:tcPr>
          <w:p w14:paraId="250A47C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759" w:type="pct"/>
            <w:tcMar>
              <w:top w:w="30" w:type="dxa"/>
              <w:left w:w="45" w:type="dxa"/>
              <w:bottom w:w="30" w:type="dxa"/>
              <w:right w:w="45" w:type="dxa"/>
            </w:tcMar>
            <w:vAlign w:val="center"/>
            <w:hideMark/>
          </w:tcPr>
          <w:p w14:paraId="166F68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0,50</w:t>
            </w:r>
          </w:p>
        </w:tc>
        <w:tc>
          <w:tcPr>
            <w:tcW w:w="716" w:type="pct"/>
            <w:tcMar>
              <w:top w:w="30" w:type="dxa"/>
              <w:left w:w="45" w:type="dxa"/>
              <w:bottom w:w="30" w:type="dxa"/>
              <w:right w:w="45" w:type="dxa"/>
            </w:tcMar>
            <w:vAlign w:val="center"/>
            <w:hideMark/>
          </w:tcPr>
          <w:p w14:paraId="4B13F7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0,75</w:t>
            </w:r>
          </w:p>
        </w:tc>
        <w:tc>
          <w:tcPr>
            <w:tcW w:w="742" w:type="pct"/>
            <w:tcMar>
              <w:top w:w="30" w:type="dxa"/>
              <w:left w:w="45" w:type="dxa"/>
              <w:bottom w:w="30" w:type="dxa"/>
              <w:right w:w="45" w:type="dxa"/>
            </w:tcMar>
            <w:vAlign w:val="center"/>
            <w:hideMark/>
          </w:tcPr>
          <w:p w14:paraId="580FCB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4" w:type="pct"/>
            <w:vMerge w:val="restart"/>
            <w:tcMar>
              <w:top w:w="30" w:type="dxa"/>
              <w:left w:w="45" w:type="dxa"/>
              <w:bottom w:w="30" w:type="dxa"/>
              <w:right w:w="45" w:type="dxa"/>
            </w:tcMar>
            <w:vAlign w:val="center"/>
            <w:hideMark/>
          </w:tcPr>
          <w:p w14:paraId="70EDC3A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4.175.844.744</w:t>
            </w:r>
          </w:p>
        </w:tc>
      </w:tr>
      <w:tr w:rsidR="00856F66" w:rsidRPr="00E31657" w14:paraId="1409A41E" w14:textId="77777777" w:rsidTr="00ED49FA">
        <w:trPr>
          <w:trHeight w:val="510"/>
        </w:trPr>
        <w:tc>
          <w:tcPr>
            <w:tcW w:w="642" w:type="pct"/>
            <w:vMerge/>
            <w:vAlign w:val="center"/>
            <w:hideMark/>
          </w:tcPr>
          <w:p w14:paraId="74D4411D"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0DD2FD3C" w14:textId="77777777" w:rsidR="00856F66" w:rsidRPr="00E31657" w:rsidRDefault="00856F66" w:rsidP="00B24742">
            <w:pPr>
              <w:rPr>
                <w:rFonts w:cs="Arial"/>
                <w:sz w:val="16"/>
                <w:szCs w:val="16"/>
                <w:lang w:val="es-ES_tradnl" w:eastAsia="es-MX"/>
              </w:rPr>
            </w:pPr>
          </w:p>
        </w:tc>
        <w:tc>
          <w:tcPr>
            <w:tcW w:w="448" w:type="pct"/>
            <w:vMerge/>
            <w:vAlign w:val="center"/>
            <w:hideMark/>
          </w:tcPr>
          <w:p w14:paraId="72499879"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0C6B443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1.000.000.000</w:t>
            </w:r>
          </w:p>
        </w:tc>
        <w:tc>
          <w:tcPr>
            <w:tcW w:w="759" w:type="pct"/>
            <w:tcMar>
              <w:top w:w="30" w:type="dxa"/>
              <w:left w:w="45" w:type="dxa"/>
              <w:bottom w:w="30" w:type="dxa"/>
              <w:right w:w="45" w:type="dxa"/>
            </w:tcMar>
            <w:vAlign w:val="center"/>
            <w:hideMark/>
          </w:tcPr>
          <w:p w14:paraId="0A246E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1.026.213.592</w:t>
            </w:r>
          </w:p>
        </w:tc>
        <w:tc>
          <w:tcPr>
            <w:tcW w:w="716" w:type="pct"/>
            <w:tcMar>
              <w:top w:w="30" w:type="dxa"/>
              <w:left w:w="45" w:type="dxa"/>
              <w:bottom w:w="30" w:type="dxa"/>
              <w:right w:w="45" w:type="dxa"/>
            </w:tcMar>
            <w:vAlign w:val="center"/>
            <w:hideMark/>
          </w:tcPr>
          <w:p w14:paraId="32B429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1.067.018.569</w:t>
            </w:r>
          </w:p>
        </w:tc>
        <w:tc>
          <w:tcPr>
            <w:tcW w:w="742" w:type="pct"/>
            <w:tcMar>
              <w:top w:w="30" w:type="dxa"/>
              <w:left w:w="45" w:type="dxa"/>
              <w:bottom w:w="30" w:type="dxa"/>
              <w:right w:w="45" w:type="dxa"/>
            </w:tcMar>
            <w:vAlign w:val="center"/>
            <w:hideMark/>
          </w:tcPr>
          <w:p w14:paraId="44B60EC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1.082.612.583</w:t>
            </w:r>
          </w:p>
        </w:tc>
        <w:tc>
          <w:tcPr>
            <w:tcW w:w="754" w:type="pct"/>
            <w:vMerge/>
            <w:vAlign w:val="center"/>
            <w:hideMark/>
          </w:tcPr>
          <w:p w14:paraId="17618A77" w14:textId="77777777" w:rsidR="00856F66" w:rsidRPr="00E31657" w:rsidRDefault="00856F66" w:rsidP="00B24742">
            <w:pPr>
              <w:rPr>
                <w:rFonts w:cs="Arial"/>
                <w:b/>
                <w:bCs/>
                <w:sz w:val="16"/>
                <w:szCs w:val="16"/>
                <w:lang w:val="es-ES_tradnl" w:eastAsia="es-MX"/>
              </w:rPr>
            </w:pPr>
          </w:p>
        </w:tc>
      </w:tr>
      <w:tr w:rsidR="00856F66" w:rsidRPr="00E31657" w14:paraId="0B2ADD39" w14:textId="77777777" w:rsidTr="00ED49FA">
        <w:trPr>
          <w:trHeight w:val="510"/>
        </w:trPr>
        <w:tc>
          <w:tcPr>
            <w:tcW w:w="642" w:type="pct"/>
            <w:vMerge w:val="restart"/>
            <w:tcMar>
              <w:top w:w="30" w:type="dxa"/>
              <w:left w:w="45" w:type="dxa"/>
              <w:bottom w:w="30" w:type="dxa"/>
              <w:right w:w="45" w:type="dxa"/>
            </w:tcMar>
            <w:vAlign w:val="center"/>
            <w:hideMark/>
          </w:tcPr>
          <w:p w14:paraId="50E9BECE"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Implementar un (1) sistema de seguimiento niño a niño y niña a niña para la atención integral a la primera infancia</w:t>
            </w:r>
          </w:p>
        </w:tc>
        <w:tc>
          <w:tcPr>
            <w:tcW w:w="189" w:type="pct"/>
            <w:vMerge w:val="restart"/>
            <w:tcMar>
              <w:top w:w="30" w:type="dxa"/>
              <w:left w:w="45" w:type="dxa"/>
              <w:bottom w:w="30" w:type="dxa"/>
              <w:right w:w="45" w:type="dxa"/>
            </w:tcMar>
            <w:vAlign w:val="center"/>
            <w:hideMark/>
          </w:tcPr>
          <w:p w14:paraId="3249CF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48" w:type="pct"/>
            <w:vMerge w:val="restart"/>
            <w:tcMar>
              <w:top w:w="30" w:type="dxa"/>
              <w:left w:w="45" w:type="dxa"/>
              <w:bottom w:w="30" w:type="dxa"/>
              <w:right w:w="45" w:type="dxa"/>
            </w:tcMar>
            <w:vAlign w:val="center"/>
            <w:hideMark/>
          </w:tcPr>
          <w:p w14:paraId="54AE674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751" w:type="pct"/>
            <w:tcMar>
              <w:top w:w="30" w:type="dxa"/>
              <w:left w:w="45" w:type="dxa"/>
              <w:bottom w:w="30" w:type="dxa"/>
              <w:right w:w="45" w:type="dxa"/>
            </w:tcMar>
            <w:vAlign w:val="center"/>
            <w:hideMark/>
          </w:tcPr>
          <w:p w14:paraId="41BD76F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759" w:type="pct"/>
            <w:tcMar>
              <w:top w:w="30" w:type="dxa"/>
              <w:left w:w="45" w:type="dxa"/>
              <w:bottom w:w="30" w:type="dxa"/>
              <w:right w:w="45" w:type="dxa"/>
            </w:tcMar>
            <w:vAlign w:val="center"/>
            <w:hideMark/>
          </w:tcPr>
          <w:p w14:paraId="1C8AEA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0,50</w:t>
            </w:r>
          </w:p>
        </w:tc>
        <w:tc>
          <w:tcPr>
            <w:tcW w:w="716" w:type="pct"/>
            <w:tcMar>
              <w:top w:w="30" w:type="dxa"/>
              <w:left w:w="45" w:type="dxa"/>
              <w:bottom w:w="30" w:type="dxa"/>
              <w:right w:w="45" w:type="dxa"/>
            </w:tcMar>
            <w:vAlign w:val="center"/>
            <w:hideMark/>
          </w:tcPr>
          <w:p w14:paraId="185EB6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0,75</w:t>
            </w:r>
          </w:p>
        </w:tc>
        <w:tc>
          <w:tcPr>
            <w:tcW w:w="742" w:type="pct"/>
            <w:tcMar>
              <w:top w:w="30" w:type="dxa"/>
              <w:left w:w="45" w:type="dxa"/>
              <w:bottom w:w="30" w:type="dxa"/>
              <w:right w:w="45" w:type="dxa"/>
            </w:tcMar>
            <w:vAlign w:val="center"/>
            <w:hideMark/>
          </w:tcPr>
          <w:p w14:paraId="0485980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4" w:type="pct"/>
            <w:vMerge w:val="restart"/>
            <w:tcMar>
              <w:top w:w="30" w:type="dxa"/>
              <w:left w:w="45" w:type="dxa"/>
              <w:bottom w:w="30" w:type="dxa"/>
              <w:right w:w="45" w:type="dxa"/>
            </w:tcMar>
            <w:vAlign w:val="center"/>
            <w:hideMark/>
          </w:tcPr>
          <w:p w14:paraId="1425DA0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4.175.844.744</w:t>
            </w:r>
          </w:p>
        </w:tc>
      </w:tr>
      <w:tr w:rsidR="00856F66" w:rsidRPr="00E31657" w14:paraId="5113D877" w14:textId="77777777" w:rsidTr="00ED49FA">
        <w:trPr>
          <w:trHeight w:val="510"/>
        </w:trPr>
        <w:tc>
          <w:tcPr>
            <w:tcW w:w="642" w:type="pct"/>
            <w:vMerge/>
            <w:vAlign w:val="center"/>
            <w:hideMark/>
          </w:tcPr>
          <w:p w14:paraId="0675858A" w14:textId="77777777" w:rsidR="00856F66" w:rsidRPr="00E31657" w:rsidRDefault="00856F66" w:rsidP="00D028D8">
            <w:pPr>
              <w:jc w:val="right"/>
              <w:rPr>
                <w:rFonts w:cs="Arial"/>
                <w:sz w:val="16"/>
                <w:szCs w:val="16"/>
                <w:lang w:val="es-ES_tradnl" w:eastAsia="es-MX"/>
              </w:rPr>
            </w:pPr>
          </w:p>
        </w:tc>
        <w:tc>
          <w:tcPr>
            <w:tcW w:w="189" w:type="pct"/>
            <w:vMerge/>
            <w:vAlign w:val="center"/>
            <w:hideMark/>
          </w:tcPr>
          <w:p w14:paraId="6590AA97" w14:textId="77777777" w:rsidR="00856F66" w:rsidRPr="00E31657" w:rsidRDefault="00856F66" w:rsidP="00B24742">
            <w:pPr>
              <w:rPr>
                <w:rFonts w:cs="Arial"/>
                <w:sz w:val="16"/>
                <w:szCs w:val="16"/>
                <w:lang w:val="es-ES_tradnl" w:eastAsia="es-MX"/>
              </w:rPr>
            </w:pPr>
          </w:p>
        </w:tc>
        <w:tc>
          <w:tcPr>
            <w:tcW w:w="448" w:type="pct"/>
            <w:vMerge/>
            <w:vAlign w:val="center"/>
            <w:hideMark/>
          </w:tcPr>
          <w:p w14:paraId="79ED4A2E"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1F43B3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1.000.000.000</w:t>
            </w:r>
          </w:p>
        </w:tc>
        <w:tc>
          <w:tcPr>
            <w:tcW w:w="759" w:type="pct"/>
            <w:tcMar>
              <w:top w:w="30" w:type="dxa"/>
              <w:left w:w="45" w:type="dxa"/>
              <w:bottom w:w="30" w:type="dxa"/>
              <w:right w:w="45" w:type="dxa"/>
            </w:tcMar>
            <w:vAlign w:val="center"/>
            <w:hideMark/>
          </w:tcPr>
          <w:p w14:paraId="033913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1.026.213.592</w:t>
            </w:r>
          </w:p>
        </w:tc>
        <w:tc>
          <w:tcPr>
            <w:tcW w:w="716" w:type="pct"/>
            <w:tcMar>
              <w:top w:w="30" w:type="dxa"/>
              <w:left w:w="45" w:type="dxa"/>
              <w:bottom w:w="30" w:type="dxa"/>
              <w:right w:w="45" w:type="dxa"/>
            </w:tcMar>
            <w:vAlign w:val="center"/>
            <w:hideMark/>
          </w:tcPr>
          <w:p w14:paraId="3F9E9F5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1.067.018.569</w:t>
            </w:r>
          </w:p>
        </w:tc>
        <w:tc>
          <w:tcPr>
            <w:tcW w:w="742" w:type="pct"/>
            <w:tcMar>
              <w:top w:w="30" w:type="dxa"/>
              <w:left w:w="45" w:type="dxa"/>
              <w:bottom w:w="30" w:type="dxa"/>
              <w:right w:w="45" w:type="dxa"/>
            </w:tcMar>
            <w:vAlign w:val="center"/>
            <w:hideMark/>
          </w:tcPr>
          <w:p w14:paraId="4352BC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1.082.612.583</w:t>
            </w:r>
          </w:p>
        </w:tc>
        <w:tc>
          <w:tcPr>
            <w:tcW w:w="754" w:type="pct"/>
            <w:vMerge/>
            <w:vAlign w:val="center"/>
            <w:hideMark/>
          </w:tcPr>
          <w:p w14:paraId="580BA05C" w14:textId="77777777" w:rsidR="00856F66" w:rsidRPr="00E31657" w:rsidRDefault="00856F66" w:rsidP="00B24742">
            <w:pPr>
              <w:rPr>
                <w:rFonts w:cs="Arial"/>
                <w:b/>
                <w:bCs/>
                <w:sz w:val="16"/>
                <w:szCs w:val="16"/>
                <w:lang w:val="es-ES_tradnl" w:eastAsia="es-MX"/>
              </w:rPr>
            </w:pPr>
          </w:p>
        </w:tc>
      </w:tr>
      <w:tr w:rsidR="00856F66" w:rsidRPr="00E31657" w14:paraId="3BBB0181" w14:textId="77777777" w:rsidTr="00ED49FA">
        <w:trPr>
          <w:trHeight w:val="315"/>
        </w:trPr>
        <w:tc>
          <w:tcPr>
            <w:tcW w:w="642" w:type="pct"/>
            <w:vMerge w:val="restart"/>
            <w:tcMar>
              <w:top w:w="30" w:type="dxa"/>
              <w:left w:w="45" w:type="dxa"/>
              <w:bottom w:w="30" w:type="dxa"/>
              <w:right w:w="45" w:type="dxa"/>
            </w:tcMar>
            <w:vAlign w:val="center"/>
            <w:hideMark/>
          </w:tcPr>
          <w:p w14:paraId="01642E6B" w14:textId="77777777" w:rsidR="00856F66" w:rsidRPr="00E31657" w:rsidRDefault="00856F66" w:rsidP="00D028D8">
            <w:pPr>
              <w:jc w:val="right"/>
              <w:rPr>
                <w:rFonts w:cs="Arial"/>
                <w:sz w:val="16"/>
                <w:szCs w:val="16"/>
                <w:lang w:val="es-ES_tradnl" w:eastAsia="es-MX"/>
              </w:rPr>
            </w:pPr>
            <w:r w:rsidRPr="00E31657">
              <w:rPr>
                <w:rFonts w:cs="Arial"/>
                <w:sz w:val="16"/>
                <w:szCs w:val="16"/>
                <w:lang w:val="es-ES_tradnl" w:eastAsia="es-MX"/>
              </w:rPr>
              <w:t>Implementar una (1) estrategia para la promoción de derechos prevención y atención de violencia y abuso sexual en niñas niños y adolescentes</w:t>
            </w:r>
          </w:p>
        </w:tc>
        <w:tc>
          <w:tcPr>
            <w:tcW w:w="189" w:type="pct"/>
            <w:vMerge w:val="restart"/>
            <w:tcMar>
              <w:top w:w="30" w:type="dxa"/>
              <w:left w:w="45" w:type="dxa"/>
              <w:bottom w:w="30" w:type="dxa"/>
              <w:right w:w="45" w:type="dxa"/>
            </w:tcMar>
            <w:vAlign w:val="center"/>
            <w:hideMark/>
          </w:tcPr>
          <w:p w14:paraId="7B55628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448" w:type="pct"/>
            <w:vMerge w:val="restart"/>
            <w:tcMar>
              <w:top w:w="30" w:type="dxa"/>
              <w:left w:w="45" w:type="dxa"/>
              <w:bottom w:w="30" w:type="dxa"/>
              <w:right w:w="45" w:type="dxa"/>
            </w:tcMar>
            <w:vAlign w:val="center"/>
            <w:hideMark/>
          </w:tcPr>
          <w:p w14:paraId="15B20D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751" w:type="pct"/>
            <w:tcMar>
              <w:top w:w="30" w:type="dxa"/>
              <w:left w:w="45" w:type="dxa"/>
              <w:bottom w:w="30" w:type="dxa"/>
              <w:right w:w="45" w:type="dxa"/>
            </w:tcMar>
            <w:vAlign w:val="center"/>
            <w:hideMark/>
          </w:tcPr>
          <w:p w14:paraId="6AB4CE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0,25</w:t>
            </w:r>
          </w:p>
        </w:tc>
        <w:tc>
          <w:tcPr>
            <w:tcW w:w="759" w:type="pct"/>
            <w:tcMar>
              <w:top w:w="30" w:type="dxa"/>
              <w:left w:w="45" w:type="dxa"/>
              <w:bottom w:w="30" w:type="dxa"/>
              <w:right w:w="45" w:type="dxa"/>
            </w:tcMar>
            <w:vAlign w:val="center"/>
            <w:hideMark/>
          </w:tcPr>
          <w:p w14:paraId="3560708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0,50</w:t>
            </w:r>
          </w:p>
        </w:tc>
        <w:tc>
          <w:tcPr>
            <w:tcW w:w="716" w:type="pct"/>
            <w:tcMar>
              <w:top w:w="30" w:type="dxa"/>
              <w:left w:w="45" w:type="dxa"/>
              <w:bottom w:w="30" w:type="dxa"/>
              <w:right w:w="45" w:type="dxa"/>
            </w:tcMar>
            <w:vAlign w:val="center"/>
            <w:hideMark/>
          </w:tcPr>
          <w:p w14:paraId="4FC9128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0,75</w:t>
            </w:r>
          </w:p>
        </w:tc>
        <w:tc>
          <w:tcPr>
            <w:tcW w:w="742" w:type="pct"/>
            <w:tcMar>
              <w:top w:w="30" w:type="dxa"/>
              <w:left w:w="45" w:type="dxa"/>
              <w:bottom w:w="30" w:type="dxa"/>
              <w:right w:w="45" w:type="dxa"/>
            </w:tcMar>
            <w:vAlign w:val="center"/>
            <w:hideMark/>
          </w:tcPr>
          <w:p w14:paraId="6FD9979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754" w:type="pct"/>
            <w:vMerge w:val="restart"/>
            <w:tcMar>
              <w:top w:w="30" w:type="dxa"/>
              <w:left w:w="45" w:type="dxa"/>
              <w:bottom w:w="30" w:type="dxa"/>
              <w:right w:w="45" w:type="dxa"/>
            </w:tcMar>
            <w:vAlign w:val="center"/>
            <w:hideMark/>
          </w:tcPr>
          <w:p w14:paraId="0998888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1.603.678.291</w:t>
            </w:r>
          </w:p>
        </w:tc>
      </w:tr>
      <w:tr w:rsidR="00856F66" w:rsidRPr="00E31657" w14:paraId="5EE8D0C3" w14:textId="77777777" w:rsidTr="00ED49FA">
        <w:trPr>
          <w:trHeight w:val="315"/>
        </w:trPr>
        <w:tc>
          <w:tcPr>
            <w:tcW w:w="642" w:type="pct"/>
            <w:vMerge/>
            <w:vAlign w:val="center"/>
            <w:hideMark/>
          </w:tcPr>
          <w:p w14:paraId="103596DF" w14:textId="77777777" w:rsidR="00856F66" w:rsidRPr="00E31657" w:rsidRDefault="00856F66" w:rsidP="00B24742">
            <w:pPr>
              <w:rPr>
                <w:rFonts w:cs="Arial"/>
                <w:sz w:val="16"/>
                <w:szCs w:val="16"/>
                <w:lang w:val="es-ES_tradnl" w:eastAsia="es-MX"/>
              </w:rPr>
            </w:pPr>
          </w:p>
        </w:tc>
        <w:tc>
          <w:tcPr>
            <w:tcW w:w="189" w:type="pct"/>
            <w:vMerge/>
            <w:vAlign w:val="center"/>
            <w:hideMark/>
          </w:tcPr>
          <w:p w14:paraId="72E996CA" w14:textId="77777777" w:rsidR="00856F66" w:rsidRPr="00E31657" w:rsidRDefault="00856F66" w:rsidP="00B24742">
            <w:pPr>
              <w:rPr>
                <w:rFonts w:cs="Arial"/>
                <w:sz w:val="16"/>
                <w:szCs w:val="16"/>
                <w:lang w:val="es-ES_tradnl" w:eastAsia="es-MX"/>
              </w:rPr>
            </w:pPr>
          </w:p>
        </w:tc>
        <w:tc>
          <w:tcPr>
            <w:tcW w:w="448" w:type="pct"/>
            <w:vMerge/>
            <w:vAlign w:val="center"/>
            <w:hideMark/>
          </w:tcPr>
          <w:p w14:paraId="064AC2EA" w14:textId="77777777" w:rsidR="00856F66" w:rsidRPr="00E31657" w:rsidRDefault="00856F66" w:rsidP="00B24742">
            <w:pPr>
              <w:rPr>
                <w:rFonts w:cs="Arial"/>
                <w:sz w:val="16"/>
                <w:szCs w:val="16"/>
                <w:lang w:val="es-ES_tradnl" w:eastAsia="es-MX"/>
              </w:rPr>
            </w:pPr>
          </w:p>
        </w:tc>
        <w:tc>
          <w:tcPr>
            <w:tcW w:w="751" w:type="pct"/>
            <w:tcMar>
              <w:top w:w="30" w:type="dxa"/>
              <w:left w:w="45" w:type="dxa"/>
              <w:bottom w:w="30" w:type="dxa"/>
              <w:right w:w="45" w:type="dxa"/>
            </w:tcMar>
            <w:vAlign w:val="center"/>
            <w:hideMark/>
          </w:tcPr>
          <w:p w14:paraId="7D2444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384.000.000</w:t>
            </w:r>
          </w:p>
        </w:tc>
        <w:tc>
          <w:tcPr>
            <w:tcW w:w="759" w:type="pct"/>
            <w:tcMar>
              <w:top w:w="30" w:type="dxa"/>
              <w:left w:w="45" w:type="dxa"/>
              <w:bottom w:w="30" w:type="dxa"/>
              <w:right w:w="45" w:type="dxa"/>
            </w:tcMar>
            <w:vAlign w:val="center"/>
            <w:hideMark/>
          </w:tcPr>
          <w:p w14:paraId="7363E25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394.174.757</w:t>
            </w:r>
          </w:p>
        </w:tc>
        <w:tc>
          <w:tcPr>
            <w:tcW w:w="716" w:type="pct"/>
            <w:tcMar>
              <w:top w:w="30" w:type="dxa"/>
              <w:left w:w="45" w:type="dxa"/>
              <w:bottom w:w="30" w:type="dxa"/>
              <w:right w:w="45" w:type="dxa"/>
            </w:tcMar>
            <w:vAlign w:val="center"/>
            <w:hideMark/>
          </w:tcPr>
          <w:p w14:paraId="59F03F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410.029.220</w:t>
            </w:r>
          </w:p>
        </w:tc>
        <w:tc>
          <w:tcPr>
            <w:tcW w:w="742" w:type="pct"/>
            <w:tcMar>
              <w:top w:w="30" w:type="dxa"/>
              <w:left w:w="45" w:type="dxa"/>
              <w:bottom w:w="30" w:type="dxa"/>
              <w:right w:w="45" w:type="dxa"/>
            </w:tcMar>
            <w:vAlign w:val="center"/>
            <w:hideMark/>
          </w:tcPr>
          <w:p w14:paraId="70C624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415.474.313</w:t>
            </w:r>
          </w:p>
        </w:tc>
        <w:tc>
          <w:tcPr>
            <w:tcW w:w="754" w:type="pct"/>
            <w:vMerge/>
            <w:vAlign w:val="center"/>
            <w:hideMark/>
          </w:tcPr>
          <w:p w14:paraId="7C62371A" w14:textId="77777777" w:rsidR="00856F66" w:rsidRPr="00E31657" w:rsidRDefault="00856F66" w:rsidP="00B24742">
            <w:pPr>
              <w:rPr>
                <w:rFonts w:cs="Arial"/>
                <w:b/>
                <w:bCs/>
                <w:sz w:val="16"/>
                <w:szCs w:val="16"/>
                <w:lang w:val="es-ES_tradnl" w:eastAsia="es-MX"/>
              </w:rPr>
            </w:pPr>
          </w:p>
        </w:tc>
      </w:tr>
    </w:tbl>
    <w:p w14:paraId="4CB07632" w14:textId="77777777" w:rsidR="00856F66" w:rsidRPr="00E31657" w:rsidRDefault="00856F66">
      <w:pPr>
        <w:rPr>
          <w:sz w:val="16"/>
          <w:szCs w:val="16"/>
          <w:lang w:val="es-ES_tradnl"/>
        </w:rPr>
      </w:pPr>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178"/>
        <w:gridCol w:w="592"/>
        <w:gridCol w:w="1138"/>
        <w:gridCol w:w="1091"/>
        <w:gridCol w:w="1082"/>
        <w:gridCol w:w="1070"/>
        <w:gridCol w:w="1122"/>
        <w:gridCol w:w="1087"/>
      </w:tblGrid>
      <w:tr w:rsidR="00856F66" w:rsidRPr="00E31657" w14:paraId="008CFA9F" w14:textId="77777777" w:rsidTr="00F974BB">
        <w:trPr>
          <w:trHeight w:val="315"/>
        </w:trPr>
        <w:tc>
          <w:tcPr>
            <w:tcW w:w="0" w:type="auto"/>
            <w:gridSpan w:val="8"/>
            <w:tcBorders>
              <w:top w:val="nil"/>
              <w:bottom w:val="double" w:sz="4" w:space="0" w:color="C00000"/>
            </w:tcBorders>
            <w:tcMar>
              <w:top w:w="30" w:type="dxa"/>
              <w:left w:w="45" w:type="dxa"/>
              <w:bottom w:w="30" w:type="dxa"/>
              <w:right w:w="45" w:type="dxa"/>
            </w:tcMar>
            <w:vAlign w:val="center"/>
            <w:hideMark/>
          </w:tcPr>
          <w:p w14:paraId="28B345E4" w14:textId="77777777" w:rsidR="00856F66" w:rsidRPr="00E31657" w:rsidRDefault="00856F66" w:rsidP="00B24742">
            <w:pPr>
              <w:jc w:val="center"/>
              <w:rPr>
                <w:rFonts w:cs="Arial"/>
                <w:b/>
                <w:bCs/>
                <w:sz w:val="16"/>
                <w:szCs w:val="16"/>
                <w:lang w:val="es-ES_tradnl" w:eastAsia="es-MX"/>
              </w:rPr>
            </w:pPr>
            <w:r w:rsidRPr="00E31657">
              <w:rPr>
                <w:rFonts w:cs="Arial"/>
                <w:b/>
                <w:bCs/>
                <w:color w:val="C00000"/>
                <w:lang w:val="es-ES_tradnl" w:eastAsia="es-MX"/>
              </w:rPr>
              <w:t xml:space="preserve">Programa 17. </w:t>
            </w:r>
            <w:r w:rsidRPr="00E31657">
              <w:rPr>
                <w:rFonts w:cs="Arial"/>
                <w:lang w:val="es-ES_tradnl" w:eastAsia="es-MX"/>
              </w:rPr>
              <w:t>Formación para el trabajo y acceso a oportunidades educativas</w:t>
            </w:r>
          </w:p>
        </w:tc>
      </w:tr>
      <w:tr w:rsidR="00856F66" w:rsidRPr="00E31657" w14:paraId="4B303234" w14:textId="77777777" w:rsidTr="00F974BB">
        <w:trPr>
          <w:trHeight w:val="315"/>
        </w:trPr>
        <w:tc>
          <w:tcPr>
            <w:tcW w:w="0" w:type="auto"/>
            <w:vMerge w:val="restart"/>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B77617B"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Sector / Metas</w:t>
            </w:r>
          </w:p>
        </w:tc>
        <w:tc>
          <w:tcPr>
            <w:tcW w:w="0" w:type="auto"/>
            <w:gridSpan w:val="7"/>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DE37C9B" w14:textId="77777777" w:rsidR="00856F66" w:rsidRPr="00E31657" w:rsidRDefault="00856F66" w:rsidP="000064A0">
            <w:pPr>
              <w:pStyle w:val="Ttulo"/>
              <w:jc w:val="center"/>
              <w:rPr>
                <w:lang w:val="es-ES_tradnl"/>
              </w:rPr>
            </w:pPr>
            <w:r w:rsidRPr="000064A0">
              <w:rPr>
                <w:rFonts w:ascii="Candara" w:eastAsia="Times New Roman" w:hAnsi="Candara"/>
                <w:b/>
                <w:bCs/>
                <w:color w:val="FFFFFF" w:themeColor="background1"/>
                <w:sz w:val="24"/>
                <w:szCs w:val="24"/>
                <w:lang w:val="es-ES_tradnl" w:eastAsia="es-MX"/>
              </w:rPr>
              <w:t xml:space="preserve">Magnitudes e Inversión </w:t>
            </w:r>
            <w:r w:rsidRPr="000064A0">
              <w:rPr>
                <w:rFonts w:ascii="Candara" w:eastAsia="Times New Roman" w:hAnsi="Candara"/>
                <w:b/>
                <w:bCs/>
                <w:color w:val="FFFFFF" w:themeColor="background1"/>
                <w:sz w:val="24"/>
                <w:szCs w:val="24"/>
                <w:lang w:val="es-ES_tradnl" w:eastAsia="es-MX"/>
              </w:rPr>
              <w:br/>
              <w:t>(Precios Constantes 2024)</w:t>
            </w:r>
          </w:p>
        </w:tc>
      </w:tr>
      <w:tr w:rsidR="00856F66" w:rsidRPr="00E31657" w14:paraId="646EC29A" w14:textId="77777777" w:rsidTr="00F974BB">
        <w:trPr>
          <w:trHeight w:val="315"/>
        </w:trPr>
        <w:tc>
          <w:tcPr>
            <w:tcW w:w="0" w:type="auto"/>
            <w:vMerge/>
            <w:tcBorders>
              <w:top w:val="double" w:sz="4" w:space="0" w:color="C00000"/>
              <w:bottom w:val="double" w:sz="4" w:space="0" w:color="C00000"/>
            </w:tcBorders>
            <w:shd w:val="clear" w:color="auto" w:fill="C00000"/>
            <w:vAlign w:val="center"/>
            <w:hideMark/>
          </w:tcPr>
          <w:p w14:paraId="1302E450" w14:textId="77777777" w:rsidR="00856F66" w:rsidRPr="00E31657" w:rsidRDefault="00856F66" w:rsidP="00B24742">
            <w:pPr>
              <w:rPr>
                <w:rFonts w:cs="Arial"/>
                <w:b/>
                <w:bCs/>
                <w:color w:val="FFFFFF"/>
                <w:sz w:val="16"/>
                <w:szCs w:val="16"/>
                <w:lang w:val="es-ES_tradnl" w:eastAsia="es-MX"/>
              </w:rPr>
            </w:pP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70FD885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9650D3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4B897B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78A17C8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66325B1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34DCA54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0FBD18D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2A823C99"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82C6743" w14:textId="77777777" w:rsidR="00856F66" w:rsidRPr="00E31657" w:rsidRDefault="00856F66" w:rsidP="000064A0">
            <w:pPr>
              <w:pStyle w:val="Ttulo"/>
              <w:jc w:val="center"/>
              <w:rPr>
                <w:rFonts w:eastAsia="Times New Roman"/>
                <w:lang w:val="es-ES_tradnl" w:eastAsia="es-MX"/>
              </w:rPr>
            </w:pPr>
            <w:r w:rsidRPr="000064A0">
              <w:rPr>
                <w:rFonts w:ascii="Candara" w:eastAsia="Times New Roman" w:hAnsi="Candara"/>
                <w:b/>
                <w:bCs/>
                <w:color w:val="FFFFFF" w:themeColor="background1"/>
                <w:sz w:val="24"/>
                <w:szCs w:val="24"/>
                <w:lang w:val="es-ES_tradnl" w:eastAsia="es-MX"/>
              </w:rPr>
              <w:t>Educación</w:t>
            </w:r>
          </w:p>
        </w:tc>
      </w:tr>
      <w:tr w:rsidR="00856F66" w:rsidRPr="00E31657" w14:paraId="194E383D"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15B8974" w14:textId="77777777" w:rsidR="00856F66" w:rsidRPr="00E31657" w:rsidRDefault="00856F66" w:rsidP="0011494B">
            <w:pPr>
              <w:jc w:val="right"/>
              <w:rPr>
                <w:rFonts w:cs="Arial"/>
                <w:sz w:val="16"/>
                <w:szCs w:val="16"/>
                <w:lang w:val="es-ES_tradnl" w:eastAsia="es-MX"/>
              </w:rPr>
            </w:pPr>
            <w:r w:rsidRPr="00E31657">
              <w:rPr>
                <w:rFonts w:cs="Arial"/>
                <w:sz w:val="16"/>
                <w:szCs w:val="16"/>
                <w:lang w:val="es-ES_tradnl" w:eastAsia="es-MX"/>
              </w:rPr>
              <w:t>Aumentar en 1.500 la oferta de cupos en programas altamente demandados y pertinentes que respondan a las expectativas y proyectos de vida de las y los bogotanos en el marco de su autonomía universitaria.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FB519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19105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UNIVERSIDAD DISTRITAL</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381D1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65839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1ADFD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AE059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BCCC27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133.210.255.777</w:t>
            </w:r>
          </w:p>
        </w:tc>
      </w:tr>
      <w:tr w:rsidR="00856F66" w:rsidRPr="00E31657" w14:paraId="4281115E" w14:textId="77777777" w:rsidTr="00F974BB">
        <w:trPr>
          <w:trHeight w:val="540"/>
        </w:trPr>
        <w:tc>
          <w:tcPr>
            <w:tcW w:w="0" w:type="auto"/>
            <w:vMerge/>
            <w:tcBorders>
              <w:top w:val="double" w:sz="4" w:space="0" w:color="C00000"/>
              <w:bottom w:val="double" w:sz="4" w:space="0" w:color="C00000"/>
            </w:tcBorders>
            <w:vAlign w:val="center"/>
            <w:hideMark/>
          </w:tcPr>
          <w:p w14:paraId="68D0352E" w14:textId="77777777" w:rsidR="00856F66" w:rsidRPr="00E31657" w:rsidRDefault="00856F66" w:rsidP="0011494B">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6950852"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E6CE6C3"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2DDB0C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31.832.203.307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DD4093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32.997.702.235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A72D9B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33.829.722.159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3177E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34.550.628.076</w:t>
            </w:r>
          </w:p>
        </w:tc>
        <w:tc>
          <w:tcPr>
            <w:tcW w:w="0" w:type="auto"/>
            <w:vMerge/>
            <w:tcBorders>
              <w:top w:val="double" w:sz="4" w:space="0" w:color="C00000"/>
              <w:bottom w:val="double" w:sz="4" w:space="0" w:color="C00000"/>
            </w:tcBorders>
            <w:vAlign w:val="center"/>
            <w:hideMark/>
          </w:tcPr>
          <w:p w14:paraId="575DBF4F" w14:textId="77777777" w:rsidR="00856F66" w:rsidRPr="00E31657" w:rsidRDefault="00856F66" w:rsidP="00B24742">
            <w:pPr>
              <w:rPr>
                <w:rFonts w:cs="Arial"/>
                <w:b/>
                <w:bCs/>
                <w:sz w:val="16"/>
                <w:szCs w:val="16"/>
                <w:lang w:val="es-ES_tradnl" w:eastAsia="es-MX"/>
              </w:rPr>
            </w:pPr>
          </w:p>
        </w:tc>
      </w:tr>
      <w:tr w:rsidR="00856F66" w:rsidRPr="00E31657" w14:paraId="7346A545"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C840A8D" w14:textId="77777777" w:rsidR="00856F66" w:rsidRPr="00E31657" w:rsidRDefault="00856F66" w:rsidP="0011494B">
            <w:pPr>
              <w:jc w:val="right"/>
              <w:rPr>
                <w:rFonts w:cs="Arial"/>
                <w:sz w:val="16"/>
                <w:szCs w:val="16"/>
                <w:lang w:val="es-ES_tradnl" w:eastAsia="es-MX"/>
              </w:rPr>
            </w:pPr>
            <w:r w:rsidRPr="00E31657">
              <w:rPr>
                <w:rFonts w:cs="Arial"/>
                <w:sz w:val="16"/>
                <w:szCs w:val="16"/>
                <w:lang w:val="es-ES_tradnl" w:eastAsia="es-MX"/>
              </w:rPr>
              <w:t>Ofrecer 20.000 cupos de formación posmedia en cursos cortos orientados a jóvenes con potencial</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095C76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D0F57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ATENEA</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09962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76ACF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7A64C3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1C7C6F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9.500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828761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82.146.130.097</w:t>
            </w:r>
          </w:p>
        </w:tc>
      </w:tr>
      <w:tr w:rsidR="00856F66" w:rsidRPr="00E31657" w14:paraId="50FD8C98" w14:textId="77777777" w:rsidTr="00F974BB">
        <w:trPr>
          <w:trHeight w:val="315"/>
        </w:trPr>
        <w:tc>
          <w:tcPr>
            <w:tcW w:w="0" w:type="auto"/>
            <w:vMerge/>
            <w:tcBorders>
              <w:top w:val="double" w:sz="4" w:space="0" w:color="C00000"/>
              <w:bottom w:val="double" w:sz="4" w:space="0" w:color="C00000"/>
            </w:tcBorders>
            <w:vAlign w:val="center"/>
            <w:hideMark/>
          </w:tcPr>
          <w:p w14:paraId="783F4E43"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FAA4678"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25E3340"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2E0E6E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6.000.000.000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90819A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12.502.829.126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6CC98F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24.636.116.505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2154D9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39.007.184.466</w:t>
            </w:r>
          </w:p>
        </w:tc>
        <w:tc>
          <w:tcPr>
            <w:tcW w:w="0" w:type="auto"/>
            <w:vMerge/>
            <w:tcBorders>
              <w:top w:val="double" w:sz="4" w:space="0" w:color="C00000"/>
              <w:bottom w:val="double" w:sz="4" w:space="0" w:color="C00000"/>
            </w:tcBorders>
            <w:vAlign w:val="center"/>
            <w:hideMark/>
          </w:tcPr>
          <w:p w14:paraId="264F730D" w14:textId="77777777" w:rsidR="00856F66" w:rsidRPr="00E31657" w:rsidRDefault="00856F66" w:rsidP="00B24742">
            <w:pPr>
              <w:rPr>
                <w:rFonts w:cs="Arial"/>
                <w:b/>
                <w:bCs/>
                <w:sz w:val="16"/>
                <w:szCs w:val="16"/>
                <w:lang w:val="es-ES_tradnl" w:eastAsia="es-MX"/>
              </w:rPr>
            </w:pPr>
          </w:p>
        </w:tc>
      </w:tr>
      <w:tr w:rsidR="00856F66" w:rsidRPr="00E31657" w14:paraId="7BBA411A"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A077903" w14:textId="77777777" w:rsidR="00856F66" w:rsidRPr="00E31657" w:rsidRDefault="00856F66" w:rsidP="0011494B">
            <w:pPr>
              <w:pStyle w:val="Ttulo"/>
              <w:jc w:val="center"/>
              <w:rPr>
                <w:rFonts w:eastAsia="Times New Roman"/>
                <w:lang w:val="es-ES_tradnl" w:eastAsia="es-MX"/>
              </w:rPr>
            </w:pPr>
            <w:r w:rsidRPr="0011494B">
              <w:rPr>
                <w:rFonts w:ascii="Candara" w:eastAsia="Times New Roman" w:hAnsi="Candara"/>
                <w:b/>
                <w:bCs/>
                <w:color w:val="FFFFFF" w:themeColor="background1"/>
                <w:sz w:val="24"/>
                <w:szCs w:val="24"/>
                <w:lang w:val="es-ES_tradnl" w:eastAsia="es-MX"/>
              </w:rPr>
              <w:t>Mujer</w:t>
            </w:r>
          </w:p>
        </w:tc>
      </w:tr>
      <w:tr w:rsidR="00856F66" w:rsidRPr="00E31657" w14:paraId="358DB995"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3607A8E" w14:textId="77777777" w:rsidR="00856F66" w:rsidRPr="00E31657" w:rsidRDefault="00856F66" w:rsidP="0011494B">
            <w:pPr>
              <w:jc w:val="right"/>
              <w:rPr>
                <w:rFonts w:cs="Arial"/>
                <w:sz w:val="16"/>
                <w:szCs w:val="16"/>
                <w:lang w:val="es-ES_tradnl" w:eastAsia="es-MX"/>
              </w:rPr>
            </w:pPr>
            <w:r w:rsidRPr="00E31657">
              <w:rPr>
                <w:rFonts w:cs="Arial"/>
                <w:sz w:val="16"/>
                <w:szCs w:val="16"/>
                <w:lang w:val="es-ES_tradnl" w:eastAsia="es-MX"/>
              </w:rPr>
              <w:t>Formar 27.000 mujeres en habilidades digitales a través de los Centros de Inclusión Digital - CID.</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74A7A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20.601</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F37E2E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OMEG - SDMujer</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E080C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5E136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BF76E2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E49DCA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7.900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2A3EB7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8.592.328.966</w:t>
            </w:r>
          </w:p>
        </w:tc>
      </w:tr>
      <w:tr w:rsidR="00856F66" w:rsidRPr="00E31657" w14:paraId="53725DEE" w14:textId="77777777" w:rsidTr="00F974BB">
        <w:trPr>
          <w:trHeight w:val="315"/>
        </w:trPr>
        <w:tc>
          <w:tcPr>
            <w:tcW w:w="0" w:type="auto"/>
            <w:vMerge/>
            <w:tcBorders>
              <w:top w:val="double" w:sz="4" w:space="0" w:color="C00000"/>
              <w:bottom w:val="double" w:sz="4" w:space="0" w:color="C00000"/>
            </w:tcBorders>
            <w:vAlign w:val="center"/>
            <w:hideMark/>
          </w:tcPr>
          <w:p w14:paraId="19155230"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1FEB2BC"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31BB217"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88BBD0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2.001.411.303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3DF70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2.127.713.958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DEC408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2.200.014.918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B75882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2.263.188.787</w:t>
            </w:r>
          </w:p>
        </w:tc>
        <w:tc>
          <w:tcPr>
            <w:tcW w:w="0" w:type="auto"/>
            <w:vMerge/>
            <w:tcBorders>
              <w:top w:val="double" w:sz="4" w:space="0" w:color="C00000"/>
              <w:bottom w:val="double" w:sz="4" w:space="0" w:color="C00000"/>
            </w:tcBorders>
            <w:vAlign w:val="center"/>
            <w:hideMark/>
          </w:tcPr>
          <w:p w14:paraId="46F58168" w14:textId="77777777" w:rsidR="00856F66" w:rsidRPr="00E31657" w:rsidRDefault="00856F66" w:rsidP="00B24742">
            <w:pPr>
              <w:rPr>
                <w:rFonts w:cs="Arial"/>
                <w:b/>
                <w:bCs/>
                <w:sz w:val="16"/>
                <w:szCs w:val="16"/>
                <w:lang w:val="es-ES_tradnl" w:eastAsia="es-MX"/>
              </w:rPr>
            </w:pPr>
          </w:p>
        </w:tc>
      </w:tr>
    </w:tbl>
    <w:p w14:paraId="658A438F" w14:textId="77777777" w:rsidR="00856F66" w:rsidRPr="00E31657" w:rsidRDefault="00856F66">
      <w:pPr>
        <w:rPr>
          <w:sz w:val="16"/>
          <w:szCs w:val="16"/>
          <w:lang w:val="es-ES_tradnl"/>
        </w:rPr>
      </w:pPr>
    </w:p>
    <w:p w14:paraId="4ED6A848" w14:textId="77777777" w:rsidR="00856F66" w:rsidRPr="00E31657" w:rsidRDefault="00856F66">
      <w:pPr>
        <w:rPr>
          <w:sz w:val="16"/>
          <w:szCs w:val="16"/>
          <w:lang w:val="es-ES_tradnl"/>
        </w:rPr>
      </w:pPr>
    </w:p>
    <w:tbl>
      <w:tblPr>
        <w:tblW w:w="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110"/>
        <w:gridCol w:w="568"/>
        <w:gridCol w:w="1264"/>
        <w:gridCol w:w="1131"/>
        <w:gridCol w:w="1064"/>
        <w:gridCol w:w="1055"/>
        <w:gridCol w:w="1067"/>
        <w:gridCol w:w="1101"/>
      </w:tblGrid>
      <w:tr w:rsidR="00856F66" w:rsidRPr="00E31657" w14:paraId="2EEEB767" w14:textId="77777777" w:rsidTr="00F974BB">
        <w:trPr>
          <w:trHeight w:val="315"/>
        </w:trPr>
        <w:tc>
          <w:tcPr>
            <w:tcW w:w="0" w:type="auto"/>
            <w:gridSpan w:val="8"/>
            <w:tcMar>
              <w:top w:w="30" w:type="dxa"/>
              <w:left w:w="45" w:type="dxa"/>
              <w:bottom w:w="30" w:type="dxa"/>
              <w:right w:w="45" w:type="dxa"/>
            </w:tcMar>
            <w:vAlign w:val="center"/>
            <w:hideMark/>
          </w:tcPr>
          <w:p w14:paraId="1C02B537" w14:textId="77777777" w:rsidR="00856F66" w:rsidRPr="00E31657" w:rsidRDefault="00856F66" w:rsidP="00B24742">
            <w:pPr>
              <w:jc w:val="center"/>
              <w:rPr>
                <w:rFonts w:cs="Arial"/>
                <w:b/>
                <w:bCs/>
                <w:lang w:val="es-ES_tradnl" w:eastAsia="es-MX"/>
              </w:rPr>
            </w:pPr>
            <w:r w:rsidRPr="00E31657">
              <w:rPr>
                <w:rFonts w:cs="Arial"/>
                <w:b/>
                <w:bCs/>
                <w:color w:val="C00000"/>
                <w:lang w:val="es-ES_tradnl" w:eastAsia="es-MX"/>
              </w:rPr>
              <w:t xml:space="preserve">Programa 18. </w:t>
            </w:r>
            <w:r w:rsidRPr="00E31657">
              <w:rPr>
                <w:rFonts w:cs="Arial"/>
                <w:lang w:val="es-ES_tradnl" w:eastAsia="es-MX"/>
              </w:rPr>
              <w:t>Ciencia, tecnología e innovación-CTel para desarrollar nuestro potencial y promover el de nuestros vecinos regionales</w:t>
            </w:r>
          </w:p>
        </w:tc>
      </w:tr>
      <w:tr w:rsidR="00856F66" w:rsidRPr="00E31657" w14:paraId="285DCD45" w14:textId="77777777" w:rsidTr="00F974BB">
        <w:trPr>
          <w:trHeight w:val="315"/>
        </w:trPr>
        <w:tc>
          <w:tcPr>
            <w:tcW w:w="0" w:type="auto"/>
            <w:vMerge w:val="restart"/>
            <w:shd w:val="clear" w:color="auto" w:fill="C00000"/>
            <w:tcMar>
              <w:top w:w="30" w:type="dxa"/>
              <w:left w:w="45" w:type="dxa"/>
              <w:bottom w:w="30" w:type="dxa"/>
              <w:right w:w="45" w:type="dxa"/>
            </w:tcMar>
            <w:vAlign w:val="center"/>
            <w:hideMark/>
          </w:tcPr>
          <w:p w14:paraId="16FEBBA5" w14:textId="77777777" w:rsidR="00856F66" w:rsidRPr="00E31657" w:rsidRDefault="00856F66" w:rsidP="0011494B">
            <w:pPr>
              <w:pStyle w:val="Ttulo"/>
              <w:jc w:val="center"/>
              <w:rPr>
                <w:rFonts w:eastAsia="Times New Roman"/>
                <w:lang w:val="es-ES_tradnl" w:eastAsia="es-MX"/>
              </w:rPr>
            </w:pPr>
            <w:r w:rsidRPr="0011494B">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45715885" w14:textId="77777777" w:rsidR="00856F66" w:rsidRPr="00E31657" w:rsidRDefault="00856F66" w:rsidP="0011494B">
            <w:pPr>
              <w:pStyle w:val="Ttulo"/>
              <w:jc w:val="center"/>
              <w:rPr>
                <w:lang w:val="es-ES_tradnl"/>
              </w:rPr>
            </w:pPr>
            <w:r w:rsidRPr="0011494B">
              <w:rPr>
                <w:rFonts w:ascii="Candara" w:eastAsia="Times New Roman" w:hAnsi="Candara"/>
                <w:b/>
                <w:bCs/>
                <w:color w:val="FFFFFF" w:themeColor="background1"/>
                <w:sz w:val="24"/>
                <w:szCs w:val="24"/>
                <w:lang w:val="es-ES_tradnl" w:eastAsia="es-MX"/>
              </w:rPr>
              <w:t xml:space="preserve">Magnitudes e Inversión </w:t>
            </w:r>
            <w:r w:rsidRPr="0011494B">
              <w:rPr>
                <w:rFonts w:ascii="Candara" w:eastAsia="Times New Roman" w:hAnsi="Candara"/>
                <w:b/>
                <w:bCs/>
                <w:color w:val="FFFFFF" w:themeColor="background1"/>
                <w:sz w:val="24"/>
                <w:szCs w:val="24"/>
                <w:lang w:val="es-ES_tradnl" w:eastAsia="es-MX"/>
              </w:rPr>
              <w:br/>
              <w:t>(Precios Constantes 2024)</w:t>
            </w:r>
          </w:p>
        </w:tc>
      </w:tr>
      <w:tr w:rsidR="00856F66" w:rsidRPr="00E31657" w14:paraId="58F5AF67" w14:textId="77777777" w:rsidTr="00F974BB">
        <w:trPr>
          <w:trHeight w:val="315"/>
        </w:trPr>
        <w:tc>
          <w:tcPr>
            <w:tcW w:w="0" w:type="auto"/>
            <w:vMerge/>
            <w:shd w:val="clear" w:color="auto" w:fill="C00000"/>
            <w:vAlign w:val="center"/>
            <w:hideMark/>
          </w:tcPr>
          <w:p w14:paraId="31989993" w14:textId="77777777" w:rsidR="00856F66" w:rsidRPr="00E31657" w:rsidRDefault="00856F66" w:rsidP="00B2474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4648572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60440FD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2E2180E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565BF6A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2112A72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63A47E3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388B743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58E67A7"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6456EB51" w14:textId="77777777" w:rsidR="00856F66" w:rsidRPr="00E31657" w:rsidRDefault="00856F66" w:rsidP="0011494B">
            <w:pPr>
              <w:pStyle w:val="Ttulo"/>
              <w:jc w:val="center"/>
              <w:rPr>
                <w:lang w:val="es-ES_tradnl"/>
              </w:rPr>
            </w:pPr>
            <w:r w:rsidRPr="0011494B">
              <w:rPr>
                <w:rFonts w:ascii="Candara" w:eastAsia="Times New Roman" w:hAnsi="Candara"/>
                <w:b/>
                <w:bCs/>
                <w:color w:val="FFFFFF" w:themeColor="background1"/>
                <w:sz w:val="24"/>
                <w:szCs w:val="24"/>
                <w:lang w:val="es-ES_tradnl" w:eastAsia="es-MX"/>
              </w:rPr>
              <w:t>Ambiente</w:t>
            </w:r>
          </w:p>
        </w:tc>
      </w:tr>
      <w:tr w:rsidR="00856F66" w:rsidRPr="00E31657" w14:paraId="450B4424" w14:textId="77777777" w:rsidTr="00F974BB">
        <w:trPr>
          <w:trHeight w:val="540"/>
        </w:trPr>
        <w:tc>
          <w:tcPr>
            <w:tcW w:w="0" w:type="auto"/>
            <w:vMerge w:val="restart"/>
            <w:tcMar>
              <w:top w:w="30" w:type="dxa"/>
              <w:left w:w="45" w:type="dxa"/>
              <w:bottom w:w="30" w:type="dxa"/>
              <w:right w:w="45" w:type="dxa"/>
            </w:tcMar>
            <w:vAlign w:val="center"/>
            <w:hideMark/>
          </w:tcPr>
          <w:p w14:paraId="732B5AB7"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t>Generar 163 productos de investigación desarrollo e innovación para fortalecer al Jardín Botánico José Celestino Mutis como Centro de Investigación.</w:t>
            </w:r>
          </w:p>
        </w:tc>
        <w:tc>
          <w:tcPr>
            <w:tcW w:w="0" w:type="auto"/>
            <w:vMerge w:val="restart"/>
            <w:tcMar>
              <w:top w:w="30" w:type="dxa"/>
              <w:left w:w="45" w:type="dxa"/>
              <w:bottom w:w="30" w:type="dxa"/>
              <w:right w:w="45" w:type="dxa"/>
            </w:tcMar>
            <w:vAlign w:val="center"/>
            <w:hideMark/>
          </w:tcPr>
          <w:p w14:paraId="614411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146</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0B6B87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Jardín Botánico José Celestino Mutis - JBB</w:t>
            </w:r>
          </w:p>
        </w:tc>
        <w:tc>
          <w:tcPr>
            <w:tcW w:w="0" w:type="auto"/>
            <w:tcMar>
              <w:top w:w="30" w:type="dxa"/>
              <w:left w:w="45" w:type="dxa"/>
              <w:bottom w:w="30" w:type="dxa"/>
              <w:right w:w="45" w:type="dxa"/>
            </w:tcMar>
            <w:vAlign w:val="center"/>
            <w:hideMark/>
          </w:tcPr>
          <w:p w14:paraId="373C91F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w:t>
            </w:r>
          </w:p>
        </w:tc>
        <w:tc>
          <w:tcPr>
            <w:tcW w:w="0" w:type="auto"/>
            <w:tcMar>
              <w:top w:w="30" w:type="dxa"/>
              <w:left w:w="45" w:type="dxa"/>
              <w:bottom w:w="30" w:type="dxa"/>
              <w:right w:w="45" w:type="dxa"/>
            </w:tcMar>
            <w:vAlign w:val="center"/>
            <w:hideMark/>
          </w:tcPr>
          <w:p w14:paraId="29B8140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w:t>
            </w:r>
          </w:p>
        </w:tc>
        <w:tc>
          <w:tcPr>
            <w:tcW w:w="0" w:type="auto"/>
            <w:tcMar>
              <w:top w:w="30" w:type="dxa"/>
              <w:left w:w="45" w:type="dxa"/>
              <w:bottom w:w="30" w:type="dxa"/>
              <w:right w:w="45" w:type="dxa"/>
            </w:tcMar>
            <w:vAlign w:val="center"/>
            <w:hideMark/>
          </w:tcPr>
          <w:p w14:paraId="15E561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w:t>
            </w:r>
          </w:p>
        </w:tc>
        <w:tc>
          <w:tcPr>
            <w:tcW w:w="0" w:type="auto"/>
            <w:tcMar>
              <w:top w:w="30" w:type="dxa"/>
              <w:left w:w="45" w:type="dxa"/>
              <w:bottom w:w="30" w:type="dxa"/>
              <w:right w:w="45" w:type="dxa"/>
            </w:tcMar>
            <w:vAlign w:val="center"/>
            <w:hideMark/>
          </w:tcPr>
          <w:p w14:paraId="1BD2C4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w:t>
            </w:r>
          </w:p>
        </w:tc>
        <w:tc>
          <w:tcPr>
            <w:tcW w:w="0" w:type="auto"/>
            <w:vMerge w:val="restart"/>
            <w:tcMar>
              <w:top w:w="30" w:type="dxa"/>
              <w:left w:w="45" w:type="dxa"/>
              <w:bottom w:w="30" w:type="dxa"/>
              <w:right w:w="45" w:type="dxa"/>
            </w:tcMar>
            <w:vAlign w:val="center"/>
            <w:hideMark/>
          </w:tcPr>
          <w:p w14:paraId="7FC85FA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22.674.423.671</w:t>
            </w:r>
          </w:p>
        </w:tc>
      </w:tr>
      <w:tr w:rsidR="00856F66" w:rsidRPr="00E31657" w14:paraId="1D59884A" w14:textId="77777777" w:rsidTr="00F974BB">
        <w:trPr>
          <w:trHeight w:val="540"/>
        </w:trPr>
        <w:tc>
          <w:tcPr>
            <w:tcW w:w="0" w:type="auto"/>
            <w:vMerge/>
            <w:vAlign w:val="center"/>
            <w:hideMark/>
          </w:tcPr>
          <w:p w14:paraId="5C420041" w14:textId="77777777" w:rsidR="00856F66" w:rsidRPr="00E31657" w:rsidRDefault="00856F66" w:rsidP="00B24742">
            <w:pPr>
              <w:rPr>
                <w:rFonts w:cs="Arial"/>
                <w:sz w:val="16"/>
                <w:szCs w:val="16"/>
                <w:lang w:val="es-ES_tradnl" w:eastAsia="es-MX"/>
              </w:rPr>
            </w:pPr>
          </w:p>
        </w:tc>
        <w:tc>
          <w:tcPr>
            <w:tcW w:w="0" w:type="auto"/>
            <w:vMerge/>
            <w:vAlign w:val="center"/>
            <w:hideMark/>
          </w:tcPr>
          <w:p w14:paraId="6B109C05" w14:textId="77777777" w:rsidR="00856F66" w:rsidRPr="00E31657" w:rsidRDefault="00856F66" w:rsidP="00B24742">
            <w:pPr>
              <w:rPr>
                <w:rFonts w:cs="Arial"/>
                <w:sz w:val="16"/>
                <w:szCs w:val="16"/>
                <w:lang w:val="es-ES_tradnl" w:eastAsia="es-MX"/>
              </w:rPr>
            </w:pPr>
          </w:p>
        </w:tc>
        <w:tc>
          <w:tcPr>
            <w:tcW w:w="0" w:type="auto"/>
            <w:vMerge/>
            <w:vAlign w:val="center"/>
            <w:hideMark/>
          </w:tcPr>
          <w:p w14:paraId="773E66EC"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FFF56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2.621.953.000</w:t>
            </w:r>
          </w:p>
        </w:tc>
        <w:tc>
          <w:tcPr>
            <w:tcW w:w="0" w:type="auto"/>
            <w:tcMar>
              <w:top w:w="30" w:type="dxa"/>
              <w:left w:w="45" w:type="dxa"/>
              <w:bottom w:w="30" w:type="dxa"/>
              <w:right w:w="45" w:type="dxa"/>
            </w:tcMar>
            <w:vAlign w:val="center"/>
            <w:hideMark/>
          </w:tcPr>
          <w:p w14:paraId="71A0CD2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6.780.750.042</w:t>
            </w:r>
          </w:p>
        </w:tc>
        <w:tc>
          <w:tcPr>
            <w:tcW w:w="0" w:type="auto"/>
            <w:tcMar>
              <w:top w:w="30" w:type="dxa"/>
              <w:left w:w="45" w:type="dxa"/>
              <w:bottom w:w="30" w:type="dxa"/>
              <w:right w:w="45" w:type="dxa"/>
            </w:tcMar>
            <w:vAlign w:val="center"/>
            <w:hideMark/>
          </w:tcPr>
          <w:p w14:paraId="40EC3B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6.780.750.041</w:t>
            </w:r>
          </w:p>
        </w:tc>
        <w:tc>
          <w:tcPr>
            <w:tcW w:w="0" w:type="auto"/>
            <w:tcMar>
              <w:top w:w="30" w:type="dxa"/>
              <w:left w:w="45" w:type="dxa"/>
              <w:bottom w:w="30" w:type="dxa"/>
              <w:right w:w="45" w:type="dxa"/>
            </w:tcMar>
            <w:vAlign w:val="center"/>
            <w:hideMark/>
          </w:tcPr>
          <w:p w14:paraId="41BA06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6.490.970.588</w:t>
            </w:r>
          </w:p>
        </w:tc>
        <w:tc>
          <w:tcPr>
            <w:tcW w:w="0" w:type="auto"/>
            <w:vMerge/>
            <w:vAlign w:val="center"/>
            <w:hideMark/>
          </w:tcPr>
          <w:p w14:paraId="18A8C350" w14:textId="77777777" w:rsidR="00856F66" w:rsidRPr="00E31657" w:rsidRDefault="00856F66" w:rsidP="00B24742">
            <w:pPr>
              <w:rPr>
                <w:rFonts w:cs="Arial"/>
                <w:b/>
                <w:bCs/>
                <w:sz w:val="16"/>
                <w:szCs w:val="16"/>
                <w:lang w:val="es-ES_tradnl" w:eastAsia="es-MX"/>
              </w:rPr>
            </w:pPr>
          </w:p>
        </w:tc>
      </w:tr>
      <w:tr w:rsidR="00856F66" w:rsidRPr="00E31657" w14:paraId="1AE6FD22" w14:textId="77777777" w:rsidTr="00F974BB">
        <w:trPr>
          <w:trHeight w:val="367"/>
        </w:trPr>
        <w:tc>
          <w:tcPr>
            <w:tcW w:w="0" w:type="auto"/>
            <w:gridSpan w:val="8"/>
            <w:shd w:val="clear" w:color="auto" w:fill="C00000"/>
            <w:tcMar>
              <w:top w:w="30" w:type="dxa"/>
              <w:left w:w="45" w:type="dxa"/>
              <w:bottom w:w="30" w:type="dxa"/>
              <w:right w:w="45" w:type="dxa"/>
            </w:tcMar>
            <w:vAlign w:val="center"/>
            <w:hideMark/>
          </w:tcPr>
          <w:p w14:paraId="0ECE4984" w14:textId="77777777" w:rsidR="00856F66" w:rsidRPr="00E31657" w:rsidRDefault="00856F66" w:rsidP="0011494B">
            <w:pPr>
              <w:pStyle w:val="Ttulo"/>
              <w:jc w:val="center"/>
              <w:rPr>
                <w:rFonts w:eastAsia="Times New Roman"/>
                <w:lang w:val="es-ES_tradnl" w:eastAsia="es-MX"/>
              </w:rPr>
            </w:pPr>
            <w:r w:rsidRPr="0011494B">
              <w:rPr>
                <w:rFonts w:ascii="Candara" w:eastAsia="Times New Roman" w:hAnsi="Candara"/>
                <w:b/>
                <w:bCs/>
                <w:color w:val="FFFFFF" w:themeColor="background1"/>
                <w:sz w:val="24"/>
                <w:szCs w:val="24"/>
                <w:lang w:val="es-ES_tradnl" w:eastAsia="es-MX"/>
              </w:rPr>
              <w:t>Desarrollo económico</w:t>
            </w:r>
          </w:p>
        </w:tc>
      </w:tr>
      <w:tr w:rsidR="00856F66" w:rsidRPr="00E31657" w14:paraId="2B3655E0" w14:textId="77777777" w:rsidTr="00F974BB">
        <w:trPr>
          <w:trHeight w:val="540"/>
        </w:trPr>
        <w:tc>
          <w:tcPr>
            <w:tcW w:w="0" w:type="auto"/>
            <w:vMerge w:val="restart"/>
            <w:tcMar>
              <w:top w:w="30" w:type="dxa"/>
              <w:left w:w="45" w:type="dxa"/>
              <w:bottom w:w="30" w:type="dxa"/>
              <w:right w:w="45" w:type="dxa"/>
            </w:tcMar>
            <w:vAlign w:val="center"/>
            <w:hideMark/>
          </w:tcPr>
          <w:p w14:paraId="2A89D353"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t>Apoyar la construcción de un (1) Edificio Sede del Campus de Ciencia Tecnología e Innovación de Bogotá</w:t>
            </w:r>
          </w:p>
        </w:tc>
        <w:tc>
          <w:tcPr>
            <w:tcW w:w="0" w:type="auto"/>
            <w:vMerge w:val="restart"/>
            <w:tcMar>
              <w:top w:w="30" w:type="dxa"/>
              <w:left w:w="45" w:type="dxa"/>
              <w:bottom w:w="30" w:type="dxa"/>
              <w:right w:w="45" w:type="dxa"/>
            </w:tcMar>
            <w:vAlign w:val="center"/>
            <w:hideMark/>
          </w:tcPr>
          <w:p w14:paraId="047CE6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469264D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Desarrollo Económico - Dirección de Competitividad Bogotá Región</w:t>
            </w:r>
          </w:p>
        </w:tc>
        <w:tc>
          <w:tcPr>
            <w:tcW w:w="0" w:type="auto"/>
            <w:tcMar>
              <w:top w:w="30" w:type="dxa"/>
              <w:left w:w="45" w:type="dxa"/>
              <w:bottom w:w="30" w:type="dxa"/>
              <w:right w:w="45" w:type="dxa"/>
            </w:tcMar>
            <w:vAlign w:val="center"/>
            <w:hideMark/>
          </w:tcPr>
          <w:p w14:paraId="7932E64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w:t>
            </w:r>
          </w:p>
        </w:tc>
        <w:tc>
          <w:tcPr>
            <w:tcW w:w="0" w:type="auto"/>
            <w:tcMar>
              <w:top w:w="30" w:type="dxa"/>
              <w:left w:w="45" w:type="dxa"/>
              <w:bottom w:w="30" w:type="dxa"/>
              <w:right w:w="45" w:type="dxa"/>
            </w:tcMar>
            <w:vAlign w:val="center"/>
            <w:hideMark/>
          </w:tcPr>
          <w:p w14:paraId="30B8A2F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36506C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w:t>
            </w:r>
          </w:p>
        </w:tc>
        <w:tc>
          <w:tcPr>
            <w:tcW w:w="0" w:type="auto"/>
            <w:tcMar>
              <w:top w:w="30" w:type="dxa"/>
              <w:left w:w="45" w:type="dxa"/>
              <w:bottom w:w="30" w:type="dxa"/>
              <w:right w:w="45" w:type="dxa"/>
            </w:tcMar>
            <w:vAlign w:val="center"/>
            <w:hideMark/>
          </w:tcPr>
          <w:p w14:paraId="46592F8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w:t>
            </w:r>
          </w:p>
        </w:tc>
        <w:tc>
          <w:tcPr>
            <w:tcW w:w="0" w:type="auto"/>
            <w:vMerge w:val="restart"/>
            <w:tcMar>
              <w:top w:w="30" w:type="dxa"/>
              <w:left w:w="45" w:type="dxa"/>
              <w:bottom w:w="30" w:type="dxa"/>
              <w:right w:w="45" w:type="dxa"/>
            </w:tcMar>
            <w:vAlign w:val="center"/>
            <w:hideMark/>
          </w:tcPr>
          <w:p w14:paraId="66822E4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48.040.423.711</w:t>
            </w:r>
          </w:p>
        </w:tc>
      </w:tr>
      <w:tr w:rsidR="00856F66" w:rsidRPr="00E31657" w14:paraId="1C4C3E39" w14:textId="77777777" w:rsidTr="00F974BB">
        <w:trPr>
          <w:trHeight w:val="540"/>
        </w:trPr>
        <w:tc>
          <w:tcPr>
            <w:tcW w:w="0" w:type="auto"/>
            <w:vMerge/>
            <w:vAlign w:val="center"/>
            <w:hideMark/>
          </w:tcPr>
          <w:p w14:paraId="5E89446C" w14:textId="77777777" w:rsidR="00856F66" w:rsidRPr="00E31657" w:rsidRDefault="00856F66" w:rsidP="00676983">
            <w:pPr>
              <w:jc w:val="right"/>
              <w:rPr>
                <w:rFonts w:cs="Arial"/>
                <w:sz w:val="16"/>
                <w:szCs w:val="16"/>
                <w:lang w:val="es-ES_tradnl" w:eastAsia="es-MX"/>
              </w:rPr>
            </w:pPr>
          </w:p>
        </w:tc>
        <w:tc>
          <w:tcPr>
            <w:tcW w:w="0" w:type="auto"/>
            <w:vMerge/>
            <w:vAlign w:val="center"/>
            <w:hideMark/>
          </w:tcPr>
          <w:p w14:paraId="5312B91A" w14:textId="77777777" w:rsidR="00856F66" w:rsidRPr="00E31657" w:rsidRDefault="00856F66" w:rsidP="00B24742">
            <w:pPr>
              <w:rPr>
                <w:rFonts w:cs="Arial"/>
                <w:sz w:val="16"/>
                <w:szCs w:val="16"/>
                <w:lang w:val="es-ES_tradnl" w:eastAsia="es-MX"/>
              </w:rPr>
            </w:pPr>
          </w:p>
        </w:tc>
        <w:tc>
          <w:tcPr>
            <w:tcW w:w="0" w:type="auto"/>
            <w:vMerge/>
            <w:vAlign w:val="center"/>
            <w:hideMark/>
          </w:tcPr>
          <w:p w14:paraId="1053FA6F"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00BB1B9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14.619.690.120</w:t>
            </w:r>
          </w:p>
        </w:tc>
        <w:tc>
          <w:tcPr>
            <w:tcW w:w="0" w:type="auto"/>
            <w:tcMar>
              <w:top w:w="30" w:type="dxa"/>
              <w:left w:w="45" w:type="dxa"/>
              <w:bottom w:w="30" w:type="dxa"/>
              <w:right w:w="45" w:type="dxa"/>
            </w:tcMar>
            <w:vAlign w:val="center"/>
            <w:hideMark/>
          </w:tcPr>
          <w:p w14:paraId="251E2A3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12.356.849.124</w:t>
            </w:r>
          </w:p>
        </w:tc>
        <w:tc>
          <w:tcPr>
            <w:tcW w:w="0" w:type="auto"/>
            <w:tcMar>
              <w:top w:w="30" w:type="dxa"/>
              <w:left w:w="45" w:type="dxa"/>
              <w:bottom w:w="30" w:type="dxa"/>
              <w:right w:w="45" w:type="dxa"/>
            </w:tcMar>
            <w:vAlign w:val="center"/>
            <w:hideMark/>
          </w:tcPr>
          <w:p w14:paraId="1146B9A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11.446.884.721</w:t>
            </w:r>
          </w:p>
        </w:tc>
        <w:tc>
          <w:tcPr>
            <w:tcW w:w="0" w:type="auto"/>
            <w:tcMar>
              <w:top w:w="30" w:type="dxa"/>
              <w:left w:w="45" w:type="dxa"/>
              <w:bottom w:w="30" w:type="dxa"/>
              <w:right w:w="45" w:type="dxa"/>
            </w:tcMar>
            <w:vAlign w:val="center"/>
            <w:hideMark/>
          </w:tcPr>
          <w:p w14:paraId="614D25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9.616.999.747</w:t>
            </w:r>
          </w:p>
        </w:tc>
        <w:tc>
          <w:tcPr>
            <w:tcW w:w="0" w:type="auto"/>
            <w:vMerge/>
            <w:vAlign w:val="center"/>
            <w:hideMark/>
          </w:tcPr>
          <w:p w14:paraId="67936310" w14:textId="77777777" w:rsidR="00856F66" w:rsidRPr="00E31657" w:rsidRDefault="00856F66" w:rsidP="00B24742">
            <w:pPr>
              <w:rPr>
                <w:rFonts w:cs="Arial"/>
                <w:b/>
                <w:bCs/>
                <w:sz w:val="16"/>
                <w:szCs w:val="16"/>
                <w:lang w:val="es-ES_tradnl" w:eastAsia="es-MX"/>
              </w:rPr>
            </w:pPr>
          </w:p>
        </w:tc>
      </w:tr>
      <w:tr w:rsidR="00856F66" w:rsidRPr="00E31657" w14:paraId="6AECD83C" w14:textId="77777777" w:rsidTr="00F974BB">
        <w:trPr>
          <w:trHeight w:val="540"/>
        </w:trPr>
        <w:tc>
          <w:tcPr>
            <w:tcW w:w="0" w:type="auto"/>
            <w:vMerge w:val="restart"/>
            <w:tcMar>
              <w:top w:w="30" w:type="dxa"/>
              <w:left w:w="45" w:type="dxa"/>
              <w:bottom w:w="30" w:type="dxa"/>
              <w:right w:w="45" w:type="dxa"/>
            </w:tcMar>
            <w:vAlign w:val="center"/>
            <w:hideMark/>
          </w:tcPr>
          <w:p w14:paraId="33FBC947"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t>Diseñar pilotear e implementar al menos uno (1) de los servicios definidos en el Modelo de Negocio del Campus de Ciencia Tecnología e Innovación de Bogotá</w:t>
            </w:r>
          </w:p>
        </w:tc>
        <w:tc>
          <w:tcPr>
            <w:tcW w:w="0" w:type="auto"/>
            <w:vMerge w:val="restart"/>
            <w:tcMar>
              <w:top w:w="30" w:type="dxa"/>
              <w:left w:w="45" w:type="dxa"/>
              <w:bottom w:w="30" w:type="dxa"/>
              <w:right w:w="45" w:type="dxa"/>
            </w:tcMar>
            <w:vAlign w:val="center"/>
            <w:hideMark/>
          </w:tcPr>
          <w:p w14:paraId="5D6587F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1B1D69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525F16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24E797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639EDE2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60BD6B5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5DCBB50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5.278.258.369</w:t>
            </w:r>
          </w:p>
        </w:tc>
      </w:tr>
      <w:tr w:rsidR="00856F66" w:rsidRPr="00E31657" w14:paraId="5DB61F15" w14:textId="77777777" w:rsidTr="00F974BB">
        <w:trPr>
          <w:trHeight w:val="540"/>
        </w:trPr>
        <w:tc>
          <w:tcPr>
            <w:tcW w:w="0" w:type="auto"/>
            <w:vMerge/>
            <w:vAlign w:val="center"/>
            <w:hideMark/>
          </w:tcPr>
          <w:p w14:paraId="1B3057F5" w14:textId="77777777" w:rsidR="00856F66" w:rsidRPr="00E31657" w:rsidRDefault="00856F66" w:rsidP="00676983">
            <w:pPr>
              <w:jc w:val="right"/>
              <w:rPr>
                <w:rFonts w:cs="Arial"/>
                <w:sz w:val="16"/>
                <w:szCs w:val="16"/>
                <w:lang w:val="es-ES_tradnl" w:eastAsia="es-MX"/>
              </w:rPr>
            </w:pPr>
          </w:p>
        </w:tc>
        <w:tc>
          <w:tcPr>
            <w:tcW w:w="0" w:type="auto"/>
            <w:vMerge/>
            <w:vAlign w:val="center"/>
            <w:hideMark/>
          </w:tcPr>
          <w:p w14:paraId="28AB03AF" w14:textId="77777777" w:rsidR="00856F66" w:rsidRPr="00E31657" w:rsidRDefault="00856F66" w:rsidP="00B24742">
            <w:pPr>
              <w:rPr>
                <w:rFonts w:cs="Arial"/>
                <w:sz w:val="16"/>
                <w:szCs w:val="16"/>
                <w:lang w:val="es-ES_tradnl" w:eastAsia="es-MX"/>
              </w:rPr>
            </w:pPr>
          </w:p>
        </w:tc>
        <w:tc>
          <w:tcPr>
            <w:tcW w:w="0" w:type="auto"/>
            <w:vMerge/>
            <w:vAlign w:val="center"/>
            <w:hideMark/>
          </w:tcPr>
          <w:p w14:paraId="43B91476"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E52BC1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1.558.574.834</w:t>
            </w:r>
          </w:p>
        </w:tc>
        <w:tc>
          <w:tcPr>
            <w:tcW w:w="0" w:type="auto"/>
            <w:tcMar>
              <w:top w:w="30" w:type="dxa"/>
              <w:left w:w="45" w:type="dxa"/>
              <w:bottom w:w="30" w:type="dxa"/>
              <w:right w:w="45" w:type="dxa"/>
            </w:tcMar>
            <w:vAlign w:val="center"/>
            <w:hideMark/>
          </w:tcPr>
          <w:p w14:paraId="3705EA2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1.487.868.045</w:t>
            </w:r>
          </w:p>
        </w:tc>
        <w:tc>
          <w:tcPr>
            <w:tcW w:w="0" w:type="auto"/>
            <w:tcMar>
              <w:top w:w="30" w:type="dxa"/>
              <w:left w:w="45" w:type="dxa"/>
              <w:bottom w:w="30" w:type="dxa"/>
              <w:right w:w="45" w:type="dxa"/>
            </w:tcMar>
            <w:vAlign w:val="center"/>
            <w:hideMark/>
          </w:tcPr>
          <w:p w14:paraId="78F414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874.456.100</w:t>
            </w:r>
          </w:p>
        </w:tc>
        <w:tc>
          <w:tcPr>
            <w:tcW w:w="0" w:type="auto"/>
            <w:tcMar>
              <w:top w:w="30" w:type="dxa"/>
              <w:left w:w="45" w:type="dxa"/>
              <w:bottom w:w="30" w:type="dxa"/>
              <w:right w:w="45" w:type="dxa"/>
            </w:tcMar>
            <w:vAlign w:val="center"/>
            <w:hideMark/>
          </w:tcPr>
          <w:p w14:paraId="46BA16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1.357.359.390</w:t>
            </w:r>
          </w:p>
        </w:tc>
        <w:tc>
          <w:tcPr>
            <w:tcW w:w="0" w:type="auto"/>
            <w:vMerge/>
            <w:vAlign w:val="center"/>
            <w:hideMark/>
          </w:tcPr>
          <w:p w14:paraId="6BEF7DB3" w14:textId="77777777" w:rsidR="00856F66" w:rsidRPr="00E31657" w:rsidRDefault="00856F66" w:rsidP="00B24742">
            <w:pPr>
              <w:rPr>
                <w:rFonts w:cs="Arial"/>
                <w:b/>
                <w:bCs/>
                <w:sz w:val="16"/>
                <w:szCs w:val="16"/>
                <w:lang w:val="es-ES_tradnl" w:eastAsia="es-MX"/>
              </w:rPr>
            </w:pPr>
          </w:p>
        </w:tc>
      </w:tr>
      <w:tr w:rsidR="00856F66" w:rsidRPr="00E31657" w14:paraId="05C81F0E" w14:textId="77777777" w:rsidTr="00F974BB">
        <w:trPr>
          <w:trHeight w:val="540"/>
        </w:trPr>
        <w:tc>
          <w:tcPr>
            <w:tcW w:w="0" w:type="auto"/>
            <w:vMerge w:val="restart"/>
            <w:tcMar>
              <w:top w:w="30" w:type="dxa"/>
              <w:left w:w="45" w:type="dxa"/>
              <w:bottom w:w="30" w:type="dxa"/>
              <w:right w:w="45" w:type="dxa"/>
            </w:tcMar>
            <w:vAlign w:val="center"/>
            <w:hideMark/>
          </w:tcPr>
          <w:p w14:paraId="2ED34790"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t>Realizar 10 productos que aporten a mantener la certificación de Bogotá como Destino Turístico Inteligente</w:t>
            </w:r>
          </w:p>
        </w:tc>
        <w:tc>
          <w:tcPr>
            <w:tcW w:w="0" w:type="auto"/>
            <w:vMerge w:val="restart"/>
            <w:tcMar>
              <w:top w:w="30" w:type="dxa"/>
              <w:left w:w="45" w:type="dxa"/>
              <w:bottom w:w="30" w:type="dxa"/>
              <w:right w:w="45" w:type="dxa"/>
            </w:tcMar>
            <w:vAlign w:val="center"/>
            <w:hideMark/>
          </w:tcPr>
          <w:p w14:paraId="7A6D3E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4C0275A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Presupuesto de Inversión</w:t>
            </w:r>
          </w:p>
        </w:tc>
        <w:tc>
          <w:tcPr>
            <w:tcW w:w="0" w:type="auto"/>
            <w:tcMar>
              <w:top w:w="30" w:type="dxa"/>
              <w:left w:w="45" w:type="dxa"/>
              <w:bottom w:w="30" w:type="dxa"/>
              <w:right w:w="45" w:type="dxa"/>
            </w:tcMar>
            <w:vAlign w:val="center"/>
            <w:hideMark/>
          </w:tcPr>
          <w:p w14:paraId="156895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tcMar>
              <w:top w:w="30" w:type="dxa"/>
              <w:left w:w="45" w:type="dxa"/>
              <w:bottom w:w="30" w:type="dxa"/>
              <w:right w:w="45" w:type="dxa"/>
            </w:tcMar>
            <w:vAlign w:val="center"/>
            <w:hideMark/>
          </w:tcPr>
          <w:p w14:paraId="6847EFA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tcMar>
              <w:top w:w="30" w:type="dxa"/>
              <w:left w:w="45" w:type="dxa"/>
              <w:bottom w:w="30" w:type="dxa"/>
              <w:right w:w="45" w:type="dxa"/>
            </w:tcMar>
            <w:vAlign w:val="center"/>
            <w:hideMark/>
          </w:tcPr>
          <w:p w14:paraId="2AC0CD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tcMar>
              <w:top w:w="30" w:type="dxa"/>
              <w:left w:w="45" w:type="dxa"/>
              <w:bottom w:w="30" w:type="dxa"/>
              <w:right w:w="45" w:type="dxa"/>
            </w:tcMar>
            <w:vAlign w:val="center"/>
            <w:hideMark/>
          </w:tcPr>
          <w:p w14:paraId="419D60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vMerge w:val="restart"/>
            <w:tcMar>
              <w:top w:w="30" w:type="dxa"/>
              <w:left w:w="45" w:type="dxa"/>
              <w:bottom w:w="30" w:type="dxa"/>
              <w:right w:w="45" w:type="dxa"/>
            </w:tcMar>
            <w:vAlign w:val="center"/>
            <w:hideMark/>
          </w:tcPr>
          <w:p w14:paraId="4D926F6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9.486.670.047</w:t>
            </w:r>
          </w:p>
        </w:tc>
      </w:tr>
      <w:tr w:rsidR="00856F66" w:rsidRPr="00E31657" w14:paraId="0508F66D" w14:textId="77777777" w:rsidTr="00F974BB">
        <w:trPr>
          <w:trHeight w:val="540"/>
        </w:trPr>
        <w:tc>
          <w:tcPr>
            <w:tcW w:w="0" w:type="auto"/>
            <w:vMerge/>
            <w:vAlign w:val="center"/>
            <w:hideMark/>
          </w:tcPr>
          <w:p w14:paraId="695C19C0" w14:textId="77777777" w:rsidR="00856F66" w:rsidRPr="00E31657" w:rsidRDefault="00856F66" w:rsidP="00B24742">
            <w:pPr>
              <w:rPr>
                <w:rFonts w:cs="Arial"/>
                <w:sz w:val="16"/>
                <w:szCs w:val="16"/>
                <w:lang w:val="es-ES_tradnl" w:eastAsia="es-MX"/>
              </w:rPr>
            </w:pPr>
          </w:p>
        </w:tc>
        <w:tc>
          <w:tcPr>
            <w:tcW w:w="0" w:type="auto"/>
            <w:vMerge/>
            <w:vAlign w:val="center"/>
            <w:hideMark/>
          </w:tcPr>
          <w:p w14:paraId="0D54C766" w14:textId="77777777" w:rsidR="00856F66" w:rsidRPr="00E31657" w:rsidRDefault="00856F66" w:rsidP="00B24742">
            <w:pPr>
              <w:rPr>
                <w:rFonts w:cs="Arial"/>
                <w:sz w:val="16"/>
                <w:szCs w:val="16"/>
                <w:lang w:val="es-ES_tradnl" w:eastAsia="es-MX"/>
              </w:rPr>
            </w:pPr>
          </w:p>
        </w:tc>
        <w:tc>
          <w:tcPr>
            <w:tcW w:w="0" w:type="auto"/>
            <w:vMerge/>
            <w:vAlign w:val="center"/>
            <w:hideMark/>
          </w:tcPr>
          <w:p w14:paraId="08725612"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55CA4F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1.500.000.000</w:t>
            </w:r>
          </w:p>
        </w:tc>
        <w:tc>
          <w:tcPr>
            <w:tcW w:w="0" w:type="auto"/>
            <w:tcMar>
              <w:top w:w="30" w:type="dxa"/>
              <w:left w:w="45" w:type="dxa"/>
              <w:bottom w:w="30" w:type="dxa"/>
              <w:right w:w="45" w:type="dxa"/>
            </w:tcMar>
            <w:vAlign w:val="center"/>
            <w:hideMark/>
          </w:tcPr>
          <w:p w14:paraId="6E325D7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2.427.184.466</w:t>
            </w:r>
          </w:p>
        </w:tc>
        <w:tc>
          <w:tcPr>
            <w:tcW w:w="0" w:type="auto"/>
            <w:tcMar>
              <w:top w:w="30" w:type="dxa"/>
              <w:left w:w="45" w:type="dxa"/>
              <w:bottom w:w="30" w:type="dxa"/>
              <w:right w:w="45" w:type="dxa"/>
            </w:tcMar>
            <w:vAlign w:val="center"/>
            <w:hideMark/>
          </w:tcPr>
          <w:p w14:paraId="1D37A89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2.356.489.773</w:t>
            </w:r>
          </w:p>
        </w:tc>
        <w:tc>
          <w:tcPr>
            <w:tcW w:w="0" w:type="auto"/>
            <w:tcMar>
              <w:top w:w="30" w:type="dxa"/>
              <w:left w:w="45" w:type="dxa"/>
              <w:bottom w:w="30" w:type="dxa"/>
              <w:right w:w="45" w:type="dxa"/>
            </w:tcMar>
            <w:vAlign w:val="center"/>
            <w:hideMark/>
          </w:tcPr>
          <w:p w14:paraId="7B4BA2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3.202.995.808</w:t>
            </w:r>
          </w:p>
        </w:tc>
        <w:tc>
          <w:tcPr>
            <w:tcW w:w="0" w:type="auto"/>
            <w:vMerge/>
            <w:vAlign w:val="center"/>
            <w:hideMark/>
          </w:tcPr>
          <w:p w14:paraId="1FA48181" w14:textId="77777777" w:rsidR="00856F66" w:rsidRPr="00E31657" w:rsidRDefault="00856F66" w:rsidP="00B24742">
            <w:pPr>
              <w:rPr>
                <w:rFonts w:cs="Arial"/>
                <w:b/>
                <w:bCs/>
                <w:sz w:val="16"/>
                <w:szCs w:val="16"/>
                <w:lang w:val="es-ES_tradnl" w:eastAsia="es-MX"/>
              </w:rPr>
            </w:pPr>
          </w:p>
        </w:tc>
      </w:tr>
      <w:tr w:rsidR="00856F66" w:rsidRPr="00E31657" w14:paraId="60C12840" w14:textId="77777777" w:rsidTr="00F974BB">
        <w:trPr>
          <w:trHeight w:val="358"/>
        </w:trPr>
        <w:tc>
          <w:tcPr>
            <w:tcW w:w="0" w:type="auto"/>
            <w:gridSpan w:val="8"/>
            <w:shd w:val="clear" w:color="auto" w:fill="C00000"/>
            <w:tcMar>
              <w:top w:w="30" w:type="dxa"/>
              <w:left w:w="45" w:type="dxa"/>
              <w:bottom w:w="30" w:type="dxa"/>
              <w:right w:w="45" w:type="dxa"/>
            </w:tcMar>
            <w:vAlign w:val="center"/>
            <w:hideMark/>
          </w:tcPr>
          <w:p w14:paraId="43E26ECB" w14:textId="77777777" w:rsidR="00856F66" w:rsidRPr="00E31657" w:rsidRDefault="00856F66" w:rsidP="0011494B">
            <w:pPr>
              <w:pStyle w:val="Ttulo"/>
              <w:jc w:val="center"/>
              <w:rPr>
                <w:rFonts w:eastAsia="Times New Roman"/>
                <w:lang w:val="es-ES_tradnl" w:eastAsia="es-MX"/>
              </w:rPr>
            </w:pPr>
            <w:r w:rsidRPr="0011494B">
              <w:rPr>
                <w:rFonts w:ascii="Candara" w:eastAsia="Times New Roman" w:hAnsi="Candara"/>
                <w:b/>
                <w:bCs/>
                <w:color w:val="FFFFFF" w:themeColor="background1"/>
                <w:sz w:val="24"/>
                <w:szCs w:val="24"/>
                <w:lang w:val="es-ES_tradnl" w:eastAsia="es-MX"/>
              </w:rPr>
              <w:t>Educación</w:t>
            </w:r>
          </w:p>
        </w:tc>
      </w:tr>
      <w:tr w:rsidR="00856F66" w:rsidRPr="00E31657" w14:paraId="19E058AB" w14:textId="77777777" w:rsidTr="00F974BB">
        <w:trPr>
          <w:trHeight w:val="780"/>
        </w:trPr>
        <w:tc>
          <w:tcPr>
            <w:tcW w:w="0" w:type="auto"/>
            <w:vMerge w:val="restart"/>
            <w:tcMar>
              <w:top w:w="30" w:type="dxa"/>
              <w:left w:w="45" w:type="dxa"/>
              <w:bottom w:w="30" w:type="dxa"/>
              <w:right w:w="45" w:type="dxa"/>
            </w:tcMar>
            <w:vAlign w:val="center"/>
            <w:hideMark/>
          </w:tcPr>
          <w:p w14:paraId="6D321C87"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lastRenderedPageBreak/>
              <w:t>Realizar 5 convocatorias de Ciencia tecnología e innovación para promover investigación de sectores priorizados</w:t>
            </w:r>
          </w:p>
        </w:tc>
        <w:tc>
          <w:tcPr>
            <w:tcW w:w="0" w:type="auto"/>
            <w:vMerge w:val="restart"/>
            <w:tcMar>
              <w:top w:w="30" w:type="dxa"/>
              <w:left w:w="45" w:type="dxa"/>
              <w:bottom w:w="30" w:type="dxa"/>
              <w:right w:w="45" w:type="dxa"/>
            </w:tcMar>
            <w:vAlign w:val="center"/>
            <w:hideMark/>
          </w:tcPr>
          <w:p w14:paraId="367D5BD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0239C1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Observatorio Colombiano de Ciencia y Tecnología - OCTI</w:t>
            </w:r>
          </w:p>
        </w:tc>
        <w:tc>
          <w:tcPr>
            <w:tcW w:w="0" w:type="auto"/>
            <w:tcMar>
              <w:top w:w="30" w:type="dxa"/>
              <w:left w:w="45" w:type="dxa"/>
              <w:bottom w:w="30" w:type="dxa"/>
              <w:right w:w="45" w:type="dxa"/>
            </w:tcMar>
            <w:vAlign w:val="center"/>
            <w:hideMark/>
          </w:tcPr>
          <w:p w14:paraId="7CB920D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652D42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146C79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2074643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vMerge w:val="restart"/>
            <w:tcMar>
              <w:top w:w="30" w:type="dxa"/>
              <w:left w:w="45" w:type="dxa"/>
              <w:bottom w:w="30" w:type="dxa"/>
              <w:right w:w="45" w:type="dxa"/>
            </w:tcMar>
            <w:vAlign w:val="center"/>
            <w:hideMark/>
          </w:tcPr>
          <w:p w14:paraId="2C35754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28.359.573.558</w:t>
            </w:r>
          </w:p>
        </w:tc>
      </w:tr>
      <w:tr w:rsidR="00856F66" w:rsidRPr="00E31657" w14:paraId="21DD889E" w14:textId="77777777" w:rsidTr="00F974BB">
        <w:trPr>
          <w:trHeight w:val="780"/>
        </w:trPr>
        <w:tc>
          <w:tcPr>
            <w:tcW w:w="0" w:type="auto"/>
            <w:vMerge/>
            <w:vAlign w:val="center"/>
            <w:hideMark/>
          </w:tcPr>
          <w:p w14:paraId="4EB65CFB" w14:textId="77777777" w:rsidR="00856F66" w:rsidRPr="00E31657" w:rsidRDefault="00856F66" w:rsidP="00B24742">
            <w:pPr>
              <w:rPr>
                <w:rFonts w:cs="Arial"/>
                <w:sz w:val="16"/>
                <w:szCs w:val="16"/>
                <w:lang w:val="es-ES_tradnl" w:eastAsia="es-MX"/>
              </w:rPr>
            </w:pPr>
          </w:p>
        </w:tc>
        <w:tc>
          <w:tcPr>
            <w:tcW w:w="0" w:type="auto"/>
            <w:vMerge/>
            <w:vAlign w:val="center"/>
            <w:hideMark/>
          </w:tcPr>
          <w:p w14:paraId="4519E040" w14:textId="77777777" w:rsidR="00856F66" w:rsidRPr="00E31657" w:rsidRDefault="00856F66" w:rsidP="00B24742">
            <w:pPr>
              <w:rPr>
                <w:rFonts w:cs="Arial"/>
                <w:sz w:val="16"/>
                <w:szCs w:val="16"/>
                <w:lang w:val="es-ES_tradnl" w:eastAsia="es-MX"/>
              </w:rPr>
            </w:pPr>
          </w:p>
        </w:tc>
        <w:tc>
          <w:tcPr>
            <w:tcW w:w="0" w:type="auto"/>
            <w:vMerge/>
            <w:vAlign w:val="center"/>
            <w:hideMark/>
          </w:tcPr>
          <w:p w14:paraId="0CBCD3A4"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430FEC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3.986.000.915</w:t>
            </w:r>
          </w:p>
        </w:tc>
        <w:tc>
          <w:tcPr>
            <w:tcW w:w="0" w:type="auto"/>
            <w:tcMar>
              <w:top w:w="30" w:type="dxa"/>
              <w:left w:w="45" w:type="dxa"/>
              <w:bottom w:w="30" w:type="dxa"/>
              <w:right w:w="45" w:type="dxa"/>
            </w:tcMar>
            <w:vAlign w:val="center"/>
            <w:hideMark/>
          </w:tcPr>
          <w:p w14:paraId="54F5C3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7.739.807.602</w:t>
            </w:r>
          </w:p>
        </w:tc>
        <w:tc>
          <w:tcPr>
            <w:tcW w:w="0" w:type="auto"/>
            <w:tcMar>
              <w:top w:w="30" w:type="dxa"/>
              <w:left w:w="45" w:type="dxa"/>
              <w:bottom w:w="30" w:type="dxa"/>
              <w:right w:w="45" w:type="dxa"/>
            </w:tcMar>
            <w:vAlign w:val="center"/>
            <w:hideMark/>
          </w:tcPr>
          <w:p w14:paraId="734EEFF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7.514.376.313</w:t>
            </w:r>
          </w:p>
        </w:tc>
        <w:tc>
          <w:tcPr>
            <w:tcW w:w="0" w:type="auto"/>
            <w:tcMar>
              <w:top w:w="30" w:type="dxa"/>
              <w:left w:w="45" w:type="dxa"/>
              <w:bottom w:w="30" w:type="dxa"/>
              <w:right w:w="45" w:type="dxa"/>
            </w:tcMar>
            <w:vAlign w:val="center"/>
            <w:hideMark/>
          </w:tcPr>
          <w:p w14:paraId="3657DE0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9.119.388.728</w:t>
            </w:r>
          </w:p>
        </w:tc>
        <w:tc>
          <w:tcPr>
            <w:tcW w:w="0" w:type="auto"/>
            <w:vMerge/>
            <w:vAlign w:val="center"/>
            <w:hideMark/>
          </w:tcPr>
          <w:p w14:paraId="63ED4E31" w14:textId="77777777" w:rsidR="00856F66" w:rsidRPr="00E31657" w:rsidRDefault="00856F66" w:rsidP="00B24742">
            <w:pPr>
              <w:rPr>
                <w:rFonts w:cs="Arial"/>
                <w:b/>
                <w:bCs/>
                <w:sz w:val="16"/>
                <w:szCs w:val="16"/>
                <w:lang w:val="es-ES_tradnl" w:eastAsia="es-MX"/>
              </w:rPr>
            </w:pPr>
          </w:p>
        </w:tc>
      </w:tr>
      <w:tr w:rsidR="00856F66" w:rsidRPr="00E31657" w14:paraId="7AD78137" w14:textId="77777777" w:rsidTr="00F974BB">
        <w:trPr>
          <w:trHeight w:val="322"/>
        </w:trPr>
        <w:tc>
          <w:tcPr>
            <w:tcW w:w="0" w:type="auto"/>
            <w:gridSpan w:val="8"/>
            <w:shd w:val="clear" w:color="auto" w:fill="C00000"/>
            <w:tcMar>
              <w:top w:w="30" w:type="dxa"/>
              <w:left w:w="45" w:type="dxa"/>
              <w:bottom w:w="30" w:type="dxa"/>
              <w:right w:w="45" w:type="dxa"/>
            </w:tcMar>
            <w:vAlign w:val="center"/>
            <w:hideMark/>
          </w:tcPr>
          <w:p w14:paraId="4ACECE92" w14:textId="77777777" w:rsidR="00856F66" w:rsidRPr="00E31657" w:rsidRDefault="00856F66" w:rsidP="0011494B">
            <w:pPr>
              <w:pStyle w:val="Ttulo"/>
              <w:jc w:val="center"/>
              <w:rPr>
                <w:lang w:val="es-ES_tradnl"/>
              </w:rPr>
            </w:pPr>
            <w:r w:rsidRPr="0011494B">
              <w:rPr>
                <w:rFonts w:ascii="Candara" w:eastAsia="Times New Roman" w:hAnsi="Candara"/>
                <w:b/>
                <w:bCs/>
                <w:color w:val="FFFFFF" w:themeColor="background1"/>
                <w:sz w:val="24"/>
                <w:szCs w:val="24"/>
                <w:lang w:val="es-ES_tradnl" w:eastAsia="es-MX"/>
              </w:rPr>
              <w:t>Mujer</w:t>
            </w:r>
          </w:p>
        </w:tc>
      </w:tr>
      <w:tr w:rsidR="00856F66" w:rsidRPr="00E31657" w14:paraId="276E682E" w14:textId="77777777" w:rsidTr="00F974BB">
        <w:trPr>
          <w:trHeight w:val="870"/>
        </w:trPr>
        <w:tc>
          <w:tcPr>
            <w:tcW w:w="0" w:type="auto"/>
            <w:vMerge w:val="restart"/>
            <w:tcMar>
              <w:top w:w="30" w:type="dxa"/>
              <w:left w:w="45" w:type="dxa"/>
              <w:bottom w:w="30" w:type="dxa"/>
              <w:right w:w="45" w:type="dxa"/>
            </w:tcMar>
            <w:vAlign w:val="center"/>
            <w:hideMark/>
          </w:tcPr>
          <w:p w14:paraId="38851471"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t>Mantener en 16 la producción de estudios y/o investigaciones del Observatorio de Mujeres y Equidad de Género - OMEG que den cuenta de la situación de derechos de las mujeres con datos diversificados para la toma de decisiones.</w:t>
            </w:r>
          </w:p>
        </w:tc>
        <w:tc>
          <w:tcPr>
            <w:tcW w:w="0" w:type="auto"/>
            <w:vMerge w:val="restart"/>
            <w:tcMar>
              <w:top w:w="30" w:type="dxa"/>
              <w:left w:w="45" w:type="dxa"/>
              <w:bottom w:w="30" w:type="dxa"/>
              <w:right w:w="45" w:type="dxa"/>
            </w:tcMar>
            <w:vAlign w:val="center"/>
            <w:hideMark/>
          </w:tcPr>
          <w:p w14:paraId="646DF7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69BB3D7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OMEG-SDMujer</w:t>
            </w:r>
          </w:p>
        </w:tc>
        <w:tc>
          <w:tcPr>
            <w:tcW w:w="0" w:type="auto"/>
            <w:tcMar>
              <w:top w:w="30" w:type="dxa"/>
              <w:left w:w="45" w:type="dxa"/>
              <w:bottom w:w="30" w:type="dxa"/>
              <w:right w:w="45" w:type="dxa"/>
            </w:tcMar>
            <w:vAlign w:val="center"/>
            <w:hideMark/>
          </w:tcPr>
          <w:p w14:paraId="4F32B32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tcMar>
              <w:top w:w="30" w:type="dxa"/>
              <w:left w:w="45" w:type="dxa"/>
              <w:bottom w:w="30" w:type="dxa"/>
              <w:right w:w="45" w:type="dxa"/>
            </w:tcMar>
            <w:vAlign w:val="center"/>
            <w:hideMark/>
          </w:tcPr>
          <w:p w14:paraId="671002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tcMar>
              <w:top w:w="30" w:type="dxa"/>
              <w:left w:w="45" w:type="dxa"/>
              <w:bottom w:w="30" w:type="dxa"/>
              <w:right w:w="45" w:type="dxa"/>
            </w:tcMar>
            <w:vAlign w:val="center"/>
            <w:hideMark/>
          </w:tcPr>
          <w:p w14:paraId="6C2BF5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w:t>
            </w:r>
          </w:p>
        </w:tc>
        <w:tc>
          <w:tcPr>
            <w:tcW w:w="0" w:type="auto"/>
            <w:tcMar>
              <w:top w:w="30" w:type="dxa"/>
              <w:left w:w="45" w:type="dxa"/>
              <w:bottom w:w="30" w:type="dxa"/>
              <w:right w:w="45" w:type="dxa"/>
            </w:tcMar>
            <w:vAlign w:val="center"/>
            <w:hideMark/>
          </w:tcPr>
          <w:p w14:paraId="6D6E94D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w:t>
            </w:r>
          </w:p>
        </w:tc>
        <w:tc>
          <w:tcPr>
            <w:tcW w:w="0" w:type="auto"/>
            <w:vMerge w:val="restart"/>
            <w:tcMar>
              <w:top w:w="30" w:type="dxa"/>
              <w:left w:w="45" w:type="dxa"/>
              <w:bottom w:w="30" w:type="dxa"/>
              <w:right w:w="45" w:type="dxa"/>
            </w:tcMar>
            <w:vAlign w:val="center"/>
            <w:hideMark/>
          </w:tcPr>
          <w:p w14:paraId="4650DE5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14.796.945.183</w:t>
            </w:r>
          </w:p>
        </w:tc>
      </w:tr>
      <w:tr w:rsidR="00856F66" w:rsidRPr="00E31657" w14:paraId="3EE27E55" w14:textId="77777777" w:rsidTr="00F974BB">
        <w:trPr>
          <w:trHeight w:val="870"/>
        </w:trPr>
        <w:tc>
          <w:tcPr>
            <w:tcW w:w="0" w:type="auto"/>
            <w:vMerge/>
            <w:vAlign w:val="center"/>
            <w:hideMark/>
          </w:tcPr>
          <w:p w14:paraId="519F6581" w14:textId="77777777" w:rsidR="00856F66" w:rsidRPr="00E31657" w:rsidRDefault="00856F66" w:rsidP="00B24742">
            <w:pPr>
              <w:rPr>
                <w:rFonts w:cs="Arial"/>
                <w:sz w:val="16"/>
                <w:szCs w:val="16"/>
                <w:lang w:val="es-ES_tradnl" w:eastAsia="es-MX"/>
              </w:rPr>
            </w:pPr>
          </w:p>
        </w:tc>
        <w:tc>
          <w:tcPr>
            <w:tcW w:w="0" w:type="auto"/>
            <w:vMerge/>
            <w:vAlign w:val="center"/>
            <w:hideMark/>
          </w:tcPr>
          <w:p w14:paraId="6B05F9ED" w14:textId="77777777" w:rsidR="00856F66" w:rsidRPr="00E31657" w:rsidRDefault="00856F66" w:rsidP="00B24742">
            <w:pPr>
              <w:rPr>
                <w:rFonts w:cs="Arial"/>
                <w:sz w:val="16"/>
                <w:szCs w:val="16"/>
                <w:lang w:val="es-ES_tradnl" w:eastAsia="es-MX"/>
              </w:rPr>
            </w:pPr>
          </w:p>
        </w:tc>
        <w:tc>
          <w:tcPr>
            <w:tcW w:w="0" w:type="auto"/>
            <w:vMerge/>
            <w:vAlign w:val="center"/>
            <w:hideMark/>
          </w:tcPr>
          <w:p w14:paraId="5F51E0CC"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6329DA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3.446.652.643</w:t>
            </w:r>
          </w:p>
        </w:tc>
        <w:tc>
          <w:tcPr>
            <w:tcW w:w="0" w:type="auto"/>
            <w:tcMar>
              <w:top w:w="30" w:type="dxa"/>
              <w:left w:w="45" w:type="dxa"/>
              <w:bottom w:w="30" w:type="dxa"/>
              <w:right w:w="45" w:type="dxa"/>
            </w:tcMar>
            <w:vAlign w:val="center"/>
            <w:hideMark/>
          </w:tcPr>
          <w:p w14:paraId="57C0E11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3.664.159.849</w:t>
            </w:r>
          </w:p>
        </w:tc>
        <w:tc>
          <w:tcPr>
            <w:tcW w:w="0" w:type="auto"/>
            <w:tcMar>
              <w:top w:w="30" w:type="dxa"/>
              <w:left w:w="45" w:type="dxa"/>
              <w:bottom w:w="30" w:type="dxa"/>
              <w:right w:w="45" w:type="dxa"/>
            </w:tcMar>
            <w:vAlign w:val="center"/>
            <w:hideMark/>
          </w:tcPr>
          <w:p w14:paraId="1D87CFC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3.788.670.134</w:t>
            </w:r>
          </w:p>
        </w:tc>
        <w:tc>
          <w:tcPr>
            <w:tcW w:w="0" w:type="auto"/>
            <w:tcMar>
              <w:top w:w="30" w:type="dxa"/>
              <w:left w:w="45" w:type="dxa"/>
              <w:bottom w:w="30" w:type="dxa"/>
              <w:right w:w="45" w:type="dxa"/>
            </w:tcMar>
            <w:vAlign w:val="center"/>
            <w:hideMark/>
          </w:tcPr>
          <w:p w14:paraId="7E3BB7E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3.897.462.557</w:t>
            </w:r>
          </w:p>
        </w:tc>
        <w:tc>
          <w:tcPr>
            <w:tcW w:w="0" w:type="auto"/>
            <w:vMerge/>
            <w:vAlign w:val="center"/>
            <w:hideMark/>
          </w:tcPr>
          <w:p w14:paraId="540AD6E2" w14:textId="77777777" w:rsidR="00856F66" w:rsidRPr="00E31657" w:rsidRDefault="00856F66" w:rsidP="00B24742">
            <w:pPr>
              <w:rPr>
                <w:rFonts w:cs="Arial"/>
                <w:b/>
                <w:bCs/>
                <w:sz w:val="16"/>
                <w:szCs w:val="16"/>
                <w:lang w:val="es-ES_tradnl" w:eastAsia="es-MX"/>
              </w:rPr>
            </w:pPr>
          </w:p>
        </w:tc>
      </w:tr>
      <w:tr w:rsidR="00856F66" w:rsidRPr="00E31657" w14:paraId="595367D9"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121561BE" w14:textId="77777777" w:rsidR="00856F66" w:rsidRPr="00E31657" w:rsidRDefault="00856F66" w:rsidP="0011494B">
            <w:pPr>
              <w:pStyle w:val="Ttulo"/>
              <w:jc w:val="center"/>
              <w:rPr>
                <w:rFonts w:eastAsia="Times New Roman"/>
                <w:lang w:val="es-ES_tradnl" w:eastAsia="es-MX"/>
              </w:rPr>
            </w:pPr>
            <w:r w:rsidRPr="0011494B">
              <w:rPr>
                <w:rFonts w:ascii="Candara" w:eastAsia="Times New Roman" w:hAnsi="Candara"/>
                <w:b/>
                <w:bCs/>
                <w:color w:val="FFFFFF" w:themeColor="background1"/>
                <w:sz w:val="24"/>
                <w:szCs w:val="24"/>
                <w:lang w:val="es-ES_tradnl" w:eastAsia="es-MX"/>
              </w:rPr>
              <w:t>Salud</w:t>
            </w:r>
          </w:p>
        </w:tc>
      </w:tr>
      <w:tr w:rsidR="00856F66" w:rsidRPr="00E31657" w14:paraId="71BC04CF" w14:textId="77777777" w:rsidTr="00F974BB">
        <w:trPr>
          <w:trHeight w:val="750"/>
        </w:trPr>
        <w:tc>
          <w:tcPr>
            <w:tcW w:w="0" w:type="auto"/>
            <w:vMerge w:val="restart"/>
            <w:tcMar>
              <w:top w:w="30" w:type="dxa"/>
              <w:left w:w="45" w:type="dxa"/>
              <w:bottom w:w="30" w:type="dxa"/>
              <w:right w:w="45" w:type="dxa"/>
            </w:tcMar>
            <w:vAlign w:val="center"/>
            <w:hideMark/>
          </w:tcPr>
          <w:p w14:paraId="6FC3E804" w14:textId="77777777" w:rsidR="00856F66" w:rsidRPr="00E31657" w:rsidRDefault="00856F66" w:rsidP="00676983">
            <w:pPr>
              <w:jc w:val="right"/>
              <w:rPr>
                <w:rFonts w:cs="Arial"/>
                <w:sz w:val="16"/>
                <w:szCs w:val="16"/>
                <w:lang w:val="es-ES_tradnl" w:eastAsia="es-MX"/>
              </w:rPr>
            </w:pPr>
            <w:r w:rsidRPr="00E31657">
              <w:rPr>
                <w:rFonts w:cs="Arial"/>
                <w:sz w:val="16"/>
                <w:szCs w:val="16"/>
                <w:lang w:val="es-ES_tradnl" w:eastAsia="es-MX"/>
              </w:rPr>
              <w:t>Implementar el 100% del plan de fortalecimiento del ecosistema de CTeI para la salud a fin de contribuir a la generación y la apropiación social de nuevo conocimiento para la toma de decisiones relacionadas con las problemáticas relevantes en salud pública de Bogotá.</w:t>
            </w:r>
          </w:p>
        </w:tc>
        <w:tc>
          <w:tcPr>
            <w:tcW w:w="0" w:type="auto"/>
            <w:vMerge w:val="restart"/>
            <w:tcMar>
              <w:top w:w="30" w:type="dxa"/>
              <w:left w:w="45" w:type="dxa"/>
              <w:bottom w:w="30" w:type="dxa"/>
              <w:right w:w="45" w:type="dxa"/>
            </w:tcMar>
            <w:vAlign w:val="center"/>
            <w:hideMark/>
          </w:tcPr>
          <w:p w14:paraId="49A8C8C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6B2B66B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Subsecretaria de Planeacion sectorial (Grupo gestión del conocimiento CDEIS) IDCBIS Salud pública año 2023</w:t>
            </w:r>
          </w:p>
        </w:tc>
        <w:tc>
          <w:tcPr>
            <w:tcW w:w="0" w:type="auto"/>
            <w:tcMar>
              <w:top w:w="30" w:type="dxa"/>
              <w:left w:w="45" w:type="dxa"/>
              <w:bottom w:w="30" w:type="dxa"/>
              <w:right w:w="45" w:type="dxa"/>
            </w:tcMar>
            <w:vAlign w:val="center"/>
            <w:hideMark/>
          </w:tcPr>
          <w:p w14:paraId="7B104DF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3B8B4A9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69B9E2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1B2E03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4F4DAB9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78.669.362.502</w:t>
            </w:r>
          </w:p>
        </w:tc>
      </w:tr>
      <w:tr w:rsidR="00856F66" w:rsidRPr="00E31657" w14:paraId="2CA8A8E0" w14:textId="77777777" w:rsidTr="00F974BB">
        <w:trPr>
          <w:trHeight w:val="750"/>
        </w:trPr>
        <w:tc>
          <w:tcPr>
            <w:tcW w:w="0" w:type="auto"/>
            <w:vMerge/>
            <w:vAlign w:val="center"/>
            <w:hideMark/>
          </w:tcPr>
          <w:p w14:paraId="5511744E" w14:textId="77777777" w:rsidR="00856F66" w:rsidRPr="00E31657" w:rsidRDefault="00856F66" w:rsidP="00B24742">
            <w:pPr>
              <w:rPr>
                <w:rFonts w:cs="Arial"/>
                <w:sz w:val="16"/>
                <w:szCs w:val="16"/>
                <w:lang w:val="es-ES_tradnl" w:eastAsia="es-MX"/>
              </w:rPr>
            </w:pPr>
          </w:p>
        </w:tc>
        <w:tc>
          <w:tcPr>
            <w:tcW w:w="0" w:type="auto"/>
            <w:vMerge/>
            <w:vAlign w:val="center"/>
            <w:hideMark/>
          </w:tcPr>
          <w:p w14:paraId="19A7BEF6" w14:textId="77777777" w:rsidR="00856F66" w:rsidRPr="00E31657" w:rsidRDefault="00856F66" w:rsidP="00B24742">
            <w:pPr>
              <w:rPr>
                <w:rFonts w:cs="Arial"/>
                <w:sz w:val="16"/>
                <w:szCs w:val="16"/>
                <w:lang w:val="es-ES_tradnl" w:eastAsia="es-MX"/>
              </w:rPr>
            </w:pPr>
          </w:p>
        </w:tc>
        <w:tc>
          <w:tcPr>
            <w:tcW w:w="0" w:type="auto"/>
            <w:vMerge/>
            <w:vAlign w:val="center"/>
            <w:hideMark/>
          </w:tcPr>
          <w:p w14:paraId="5355A90D"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18432EB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10.497.000.000</w:t>
            </w:r>
          </w:p>
        </w:tc>
        <w:tc>
          <w:tcPr>
            <w:tcW w:w="0" w:type="auto"/>
            <w:tcMar>
              <w:top w:w="30" w:type="dxa"/>
              <w:left w:w="45" w:type="dxa"/>
              <w:bottom w:w="30" w:type="dxa"/>
              <w:right w:w="45" w:type="dxa"/>
            </w:tcMar>
            <w:vAlign w:val="center"/>
            <w:hideMark/>
          </w:tcPr>
          <w:p w14:paraId="6463F7E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20.411.568.473</w:t>
            </w:r>
          </w:p>
        </w:tc>
        <w:tc>
          <w:tcPr>
            <w:tcW w:w="0" w:type="auto"/>
            <w:tcMar>
              <w:top w:w="30" w:type="dxa"/>
              <w:left w:w="45" w:type="dxa"/>
              <w:bottom w:w="30" w:type="dxa"/>
              <w:right w:w="45" w:type="dxa"/>
            </w:tcMar>
            <w:vAlign w:val="center"/>
            <w:hideMark/>
          </w:tcPr>
          <w:p w14:paraId="6A2A0F1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25.252.282.377</w:t>
            </w:r>
          </w:p>
        </w:tc>
        <w:tc>
          <w:tcPr>
            <w:tcW w:w="0" w:type="auto"/>
            <w:tcMar>
              <w:top w:w="30" w:type="dxa"/>
              <w:left w:w="45" w:type="dxa"/>
              <w:bottom w:w="30" w:type="dxa"/>
              <w:right w:w="45" w:type="dxa"/>
            </w:tcMar>
            <w:vAlign w:val="center"/>
            <w:hideMark/>
          </w:tcPr>
          <w:p w14:paraId="6A91CB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22.508.511.652</w:t>
            </w:r>
          </w:p>
        </w:tc>
        <w:tc>
          <w:tcPr>
            <w:tcW w:w="0" w:type="auto"/>
            <w:vMerge/>
            <w:vAlign w:val="center"/>
            <w:hideMark/>
          </w:tcPr>
          <w:p w14:paraId="7640BD3C" w14:textId="77777777" w:rsidR="00856F66" w:rsidRPr="00E31657" w:rsidRDefault="00856F66" w:rsidP="00B24742">
            <w:pPr>
              <w:rPr>
                <w:rFonts w:cs="Arial"/>
                <w:b/>
                <w:bCs/>
                <w:sz w:val="16"/>
                <w:szCs w:val="16"/>
                <w:lang w:val="es-ES_tradnl" w:eastAsia="es-MX"/>
              </w:rPr>
            </w:pPr>
          </w:p>
        </w:tc>
      </w:tr>
    </w:tbl>
    <w:p w14:paraId="5D635970" w14:textId="77777777" w:rsidR="00856F66" w:rsidRDefault="00856F66">
      <w:pPr>
        <w:rPr>
          <w:sz w:val="16"/>
          <w:szCs w:val="16"/>
          <w:lang w:val="es-ES_tradnl"/>
        </w:rPr>
      </w:pPr>
    </w:p>
    <w:p w14:paraId="02DD9BD9" w14:textId="77777777" w:rsidR="00156332" w:rsidRPr="00E31657" w:rsidRDefault="00156332">
      <w:pPr>
        <w:rPr>
          <w:sz w:val="16"/>
          <w:szCs w:val="16"/>
          <w:lang w:val="es-ES_tradnl"/>
        </w:rPr>
      </w:pPr>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814"/>
        <w:gridCol w:w="569"/>
        <w:gridCol w:w="1387"/>
        <w:gridCol w:w="1126"/>
        <w:gridCol w:w="1120"/>
        <w:gridCol w:w="1132"/>
        <w:gridCol w:w="1130"/>
        <w:gridCol w:w="1082"/>
      </w:tblGrid>
      <w:tr w:rsidR="00856F66" w:rsidRPr="00E31657" w14:paraId="241F18AB" w14:textId="77777777" w:rsidTr="00F974BB">
        <w:trPr>
          <w:trHeight w:val="315"/>
        </w:trPr>
        <w:tc>
          <w:tcPr>
            <w:tcW w:w="0" w:type="auto"/>
            <w:gridSpan w:val="8"/>
            <w:tcBorders>
              <w:top w:val="nil"/>
              <w:bottom w:val="double" w:sz="4" w:space="0" w:color="C00000"/>
            </w:tcBorders>
            <w:tcMar>
              <w:top w:w="30" w:type="dxa"/>
              <w:left w:w="45" w:type="dxa"/>
              <w:bottom w:w="30" w:type="dxa"/>
              <w:right w:w="45" w:type="dxa"/>
            </w:tcMar>
            <w:vAlign w:val="center"/>
            <w:hideMark/>
          </w:tcPr>
          <w:p w14:paraId="76EAADEB" w14:textId="77777777" w:rsidR="00856F66" w:rsidRPr="00F974BB" w:rsidRDefault="00856F66" w:rsidP="00B24742">
            <w:pPr>
              <w:jc w:val="center"/>
              <w:rPr>
                <w:rFonts w:cs="Arial"/>
                <w:b/>
                <w:bCs/>
                <w:lang w:val="es-ES_tradnl" w:eastAsia="es-MX"/>
              </w:rPr>
            </w:pPr>
            <w:r w:rsidRPr="00F974BB">
              <w:rPr>
                <w:rFonts w:cs="Arial"/>
                <w:b/>
                <w:bCs/>
                <w:color w:val="C00000"/>
                <w:lang w:val="es-ES_tradnl" w:eastAsia="es-MX"/>
              </w:rPr>
              <w:t xml:space="preserve">Programa 19. </w:t>
            </w:r>
            <w:r w:rsidRPr="00F974BB">
              <w:rPr>
                <w:rFonts w:cs="Arial"/>
                <w:lang w:val="es-ES_tradnl" w:eastAsia="es-MX"/>
              </w:rPr>
              <w:t>Desarrollo empresarial, productividad y empleo</w:t>
            </w:r>
          </w:p>
        </w:tc>
      </w:tr>
      <w:tr w:rsidR="00856F66" w:rsidRPr="00E31657" w14:paraId="2F5CA643" w14:textId="77777777" w:rsidTr="00F974BB">
        <w:trPr>
          <w:trHeight w:val="315"/>
        </w:trPr>
        <w:tc>
          <w:tcPr>
            <w:tcW w:w="0" w:type="auto"/>
            <w:vMerge w:val="restart"/>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8021B2E" w14:textId="77777777" w:rsidR="00856F66" w:rsidRPr="00E31657" w:rsidRDefault="00856F66" w:rsidP="0011494B">
            <w:pPr>
              <w:pStyle w:val="Ttulo"/>
              <w:jc w:val="center"/>
              <w:rPr>
                <w:rFonts w:eastAsia="Times New Roman"/>
                <w:lang w:val="es-ES_tradnl" w:eastAsia="es-MX"/>
              </w:rPr>
            </w:pPr>
            <w:r w:rsidRPr="0011494B">
              <w:rPr>
                <w:rFonts w:ascii="Candara" w:eastAsia="Times New Roman" w:hAnsi="Candara"/>
                <w:b/>
                <w:bCs/>
                <w:color w:val="FFFFFF" w:themeColor="background1"/>
                <w:sz w:val="24"/>
                <w:szCs w:val="24"/>
                <w:lang w:val="es-ES_tradnl" w:eastAsia="es-MX"/>
              </w:rPr>
              <w:t>Sector / Metas</w:t>
            </w:r>
          </w:p>
        </w:tc>
        <w:tc>
          <w:tcPr>
            <w:tcW w:w="0" w:type="auto"/>
            <w:gridSpan w:val="7"/>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3D9A35A" w14:textId="77777777" w:rsidR="00856F66" w:rsidRPr="00E31657" w:rsidRDefault="00856F66" w:rsidP="0011494B">
            <w:pPr>
              <w:pStyle w:val="Ttulo"/>
              <w:jc w:val="center"/>
              <w:rPr>
                <w:lang w:val="es-ES_tradnl"/>
              </w:rPr>
            </w:pPr>
            <w:r w:rsidRPr="0011494B">
              <w:rPr>
                <w:rFonts w:ascii="Candara" w:eastAsia="Times New Roman" w:hAnsi="Candara"/>
                <w:b/>
                <w:bCs/>
                <w:color w:val="FFFFFF" w:themeColor="background1"/>
                <w:sz w:val="24"/>
                <w:szCs w:val="24"/>
                <w:lang w:val="es-ES_tradnl" w:eastAsia="es-MX"/>
              </w:rPr>
              <w:t xml:space="preserve">Magnitudes e Inversión </w:t>
            </w:r>
            <w:r w:rsidRPr="0011494B">
              <w:rPr>
                <w:rFonts w:ascii="Candara" w:eastAsia="Times New Roman" w:hAnsi="Candara"/>
                <w:b/>
                <w:bCs/>
                <w:color w:val="FFFFFF" w:themeColor="background1"/>
                <w:sz w:val="24"/>
                <w:szCs w:val="24"/>
                <w:lang w:val="es-ES_tradnl" w:eastAsia="es-MX"/>
              </w:rPr>
              <w:br/>
              <w:t>(Precios Constantes 2024)</w:t>
            </w:r>
          </w:p>
        </w:tc>
      </w:tr>
      <w:tr w:rsidR="00856F66" w:rsidRPr="00E31657" w14:paraId="2697C759" w14:textId="77777777" w:rsidTr="00F974BB">
        <w:trPr>
          <w:trHeight w:val="315"/>
        </w:trPr>
        <w:tc>
          <w:tcPr>
            <w:tcW w:w="0" w:type="auto"/>
            <w:vMerge/>
            <w:tcBorders>
              <w:top w:val="double" w:sz="4" w:space="0" w:color="C00000"/>
              <w:bottom w:val="double" w:sz="4" w:space="0" w:color="C00000"/>
            </w:tcBorders>
            <w:shd w:val="clear" w:color="auto" w:fill="C00000"/>
            <w:vAlign w:val="center"/>
            <w:hideMark/>
          </w:tcPr>
          <w:p w14:paraId="106327C4" w14:textId="77777777" w:rsidR="00856F66" w:rsidRPr="00E31657" w:rsidRDefault="00856F66" w:rsidP="00B24742">
            <w:pPr>
              <w:rPr>
                <w:rFonts w:cs="Arial"/>
                <w:b/>
                <w:bCs/>
                <w:color w:val="FFFFFF"/>
                <w:sz w:val="16"/>
                <w:szCs w:val="16"/>
                <w:lang w:val="es-ES_tradnl" w:eastAsia="es-MX"/>
              </w:rPr>
            </w:pP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6F9525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65D96A3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60CB9A5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7DEBD7F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5BC8DD9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3E9F95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020F78B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29042439"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7C76F43" w14:textId="77777777" w:rsidR="00856F66" w:rsidRPr="0011494B" w:rsidRDefault="00856F66" w:rsidP="0011494B">
            <w:pPr>
              <w:pStyle w:val="Ttulo"/>
              <w:jc w:val="center"/>
              <w:rPr>
                <w:rFonts w:ascii="Candara" w:eastAsia="Times New Roman" w:hAnsi="Candara"/>
                <w:b/>
                <w:bCs/>
                <w:color w:val="FFFFFF" w:themeColor="background1"/>
                <w:sz w:val="24"/>
                <w:szCs w:val="24"/>
                <w:lang w:val="es-ES_tradnl" w:eastAsia="es-MX"/>
              </w:rPr>
            </w:pPr>
            <w:r w:rsidRPr="0011494B">
              <w:rPr>
                <w:rFonts w:ascii="Candara" w:eastAsia="Times New Roman" w:hAnsi="Candara"/>
                <w:b/>
                <w:bCs/>
                <w:color w:val="FFFFFF" w:themeColor="background1"/>
                <w:sz w:val="24"/>
                <w:szCs w:val="24"/>
                <w:lang w:val="es-ES_tradnl" w:eastAsia="es-MX"/>
              </w:rPr>
              <w:t>Cultura recreación y deporte</w:t>
            </w:r>
          </w:p>
        </w:tc>
      </w:tr>
      <w:tr w:rsidR="00856F66" w:rsidRPr="00E31657" w14:paraId="453181DC"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EEE721B"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Implementar 3 componentes de la economía del deporte la recreación y la actividad física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C9C2FA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EDCFC3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SEGPLAN</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EC404E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0FCB3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975E4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AD200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56F2D8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4.420.158.869</w:t>
            </w:r>
          </w:p>
        </w:tc>
      </w:tr>
      <w:tr w:rsidR="00856F66" w:rsidRPr="00E31657" w14:paraId="3B011048" w14:textId="77777777" w:rsidTr="00F974BB">
        <w:trPr>
          <w:trHeight w:val="840"/>
        </w:trPr>
        <w:tc>
          <w:tcPr>
            <w:tcW w:w="0" w:type="auto"/>
            <w:vMerge/>
            <w:tcBorders>
              <w:top w:val="double" w:sz="4" w:space="0" w:color="C00000"/>
              <w:bottom w:val="double" w:sz="4" w:space="0" w:color="C00000"/>
            </w:tcBorders>
            <w:vAlign w:val="center"/>
            <w:hideMark/>
          </w:tcPr>
          <w:p w14:paraId="174FA03A"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4C29999"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88B7C32"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A28361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1.220.000.000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3AF3B5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970.873.786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4833FA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1.131.115.091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A2EEB5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1.098.169.991</w:t>
            </w:r>
          </w:p>
        </w:tc>
        <w:tc>
          <w:tcPr>
            <w:tcW w:w="0" w:type="auto"/>
            <w:vMerge/>
            <w:tcBorders>
              <w:top w:val="double" w:sz="4" w:space="0" w:color="C00000"/>
              <w:bottom w:val="double" w:sz="4" w:space="0" w:color="C00000"/>
            </w:tcBorders>
            <w:vAlign w:val="center"/>
            <w:hideMark/>
          </w:tcPr>
          <w:p w14:paraId="1506A553" w14:textId="77777777" w:rsidR="00856F66" w:rsidRPr="00E31657" w:rsidRDefault="00856F66" w:rsidP="00B24742">
            <w:pPr>
              <w:rPr>
                <w:rFonts w:cs="Arial"/>
                <w:b/>
                <w:bCs/>
                <w:sz w:val="16"/>
                <w:szCs w:val="16"/>
                <w:lang w:val="es-ES_tradnl" w:eastAsia="es-MX"/>
              </w:rPr>
            </w:pPr>
          </w:p>
        </w:tc>
      </w:tr>
      <w:tr w:rsidR="00856F66" w:rsidRPr="00E31657" w14:paraId="03139EA1"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2DA7DAA"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lastRenderedPageBreak/>
              <w:t>Desarrollo económico</w:t>
            </w:r>
          </w:p>
        </w:tc>
      </w:tr>
      <w:tr w:rsidR="00856F66" w:rsidRPr="00E31657" w14:paraId="1ACE84D8"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2B93EFD"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 xml:space="preserve">Adquisición de un Visit Center el cual incluirá un Centro de Atención al Visitante (CAV) para el fortalecimiento institucional. </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7B221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7C5387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IDT</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414CB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CC85C8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D91B3B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9A8D1D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C880FA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23.559.431.587</w:t>
            </w:r>
          </w:p>
        </w:tc>
      </w:tr>
      <w:tr w:rsidR="00856F66" w:rsidRPr="00E31657" w14:paraId="623C1CE2" w14:textId="77777777" w:rsidTr="00F974BB">
        <w:trPr>
          <w:trHeight w:val="315"/>
        </w:trPr>
        <w:tc>
          <w:tcPr>
            <w:tcW w:w="0" w:type="auto"/>
            <w:vMerge/>
            <w:tcBorders>
              <w:top w:val="double" w:sz="4" w:space="0" w:color="C00000"/>
              <w:bottom w:val="double" w:sz="4" w:space="0" w:color="C00000"/>
            </w:tcBorders>
            <w:vAlign w:val="center"/>
            <w:hideMark/>
          </w:tcPr>
          <w:p w14:paraId="7FCB04E4"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A87A866"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154176A"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213067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1.000.000.000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EECC0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6.796.116.505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B9285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7.069.469.319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F12D1B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8.693.845.764</w:t>
            </w:r>
          </w:p>
        </w:tc>
        <w:tc>
          <w:tcPr>
            <w:tcW w:w="0" w:type="auto"/>
            <w:vMerge/>
            <w:tcBorders>
              <w:top w:val="double" w:sz="4" w:space="0" w:color="C00000"/>
              <w:bottom w:val="double" w:sz="4" w:space="0" w:color="C00000"/>
            </w:tcBorders>
            <w:vAlign w:val="center"/>
            <w:hideMark/>
          </w:tcPr>
          <w:p w14:paraId="20045BA2" w14:textId="77777777" w:rsidR="00856F66" w:rsidRPr="00E31657" w:rsidRDefault="00856F66" w:rsidP="00B24742">
            <w:pPr>
              <w:rPr>
                <w:rFonts w:cs="Arial"/>
                <w:b/>
                <w:bCs/>
                <w:sz w:val="16"/>
                <w:szCs w:val="16"/>
                <w:lang w:val="es-ES_tradnl" w:eastAsia="es-MX"/>
              </w:rPr>
            </w:pPr>
          </w:p>
        </w:tc>
      </w:tr>
      <w:tr w:rsidR="00856F66" w:rsidRPr="00E31657" w14:paraId="76F88AF9"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72CEB6F"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Apoyar 600 empresas en sus procesos de internacionalización</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150D94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306</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5ACCF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Desarrollo Económico - Dirección de Competitividad Bogotá Región</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1944B9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1247E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01019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4BC0A1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CDC356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13.003.153.191</w:t>
            </w:r>
          </w:p>
        </w:tc>
      </w:tr>
      <w:tr w:rsidR="00856F66" w:rsidRPr="00E31657" w14:paraId="4386B5DD" w14:textId="77777777" w:rsidTr="00F974BB">
        <w:trPr>
          <w:trHeight w:val="315"/>
        </w:trPr>
        <w:tc>
          <w:tcPr>
            <w:tcW w:w="0" w:type="auto"/>
            <w:vMerge/>
            <w:tcBorders>
              <w:top w:val="double" w:sz="4" w:space="0" w:color="C00000"/>
              <w:bottom w:val="double" w:sz="4" w:space="0" w:color="C00000"/>
            </w:tcBorders>
            <w:vAlign w:val="center"/>
            <w:hideMark/>
          </w:tcPr>
          <w:p w14:paraId="37F87043"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50F79347"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44D9FBEF"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9A2E4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2.320.898.755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91D4E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3.456.230.996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448B1D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3.895.834.633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3DAC8C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3.330.188.807</w:t>
            </w:r>
          </w:p>
        </w:tc>
        <w:tc>
          <w:tcPr>
            <w:tcW w:w="0" w:type="auto"/>
            <w:vMerge/>
            <w:tcBorders>
              <w:top w:val="double" w:sz="4" w:space="0" w:color="C00000"/>
              <w:bottom w:val="double" w:sz="4" w:space="0" w:color="C00000"/>
            </w:tcBorders>
            <w:vAlign w:val="center"/>
            <w:hideMark/>
          </w:tcPr>
          <w:p w14:paraId="1B55BED5" w14:textId="77777777" w:rsidR="00856F66" w:rsidRPr="00E31657" w:rsidRDefault="00856F66" w:rsidP="00B24742">
            <w:pPr>
              <w:rPr>
                <w:rFonts w:cs="Arial"/>
                <w:b/>
                <w:bCs/>
                <w:sz w:val="16"/>
                <w:szCs w:val="16"/>
                <w:lang w:val="es-ES_tradnl" w:eastAsia="es-MX"/>
              </w:rPr>
            </w:pPr>
          </w:p>
        </w:tc>
      </w:tr>
      <w:tr w:rsidR="00856F66" w:rsidRPr="00E31657" w14:paraId="61510B66"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1FBB9E0"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Apoyar la realización de 8 eventos estratégicos para el posicionamiento internacional del tejido empresarial de Bogotá D.C.</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116910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9C5A9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Proyecto de Inversión 7906 - PPD-2020-2024- SEGPLAN (vigencia 2023)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F13FB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C9ABB8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71874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0419DE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053FE5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6.121.036.940</w:t>
            </w:r>
          </w:p>
        </w:tc>
      </w:tr>
      <w:tr w:rsidR="00856F66" w:rsidRPr="00E31657" w14:paraId="3D252FC1" w14:textId="77777777" w:rsidTr="00F974BB">
        <w:trPr>
          <w:trHeight w:val="315"/>
        </w:trPr>
        <w:tc>
          <w:tcPr>
            <w:tcW w:w="0" w:type="auto"/>
            <w:vMerge/>
            <w:tcBorders>
              <w:top w:val="double" w:sz="4" w:space="0" w:color="C00000"/>
              <w:bottom w:val="double" w:sz="4" w:space="0" w:color="C00000"/>
            </w:tcBorders>
            <w:vAlign w:val="center"/>
            <w:hideMark/>
          </w:tcPr>
          <w:p w14:paraId="7D2F2E54"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6114A66"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05FE487"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9CECEB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688.019.342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DDDC4E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2.386.328.416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FD7E4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2.154.712.330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86501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891.976.852</w:t>
            </w:r>
          </w:p>
        </w:tc>
        <w:tc>
          <w:tcPr>
            <w:tcW w:w="0" w:type="auto"/>
            <w:vMerge/>
            <w:tcBorders>
              <w:top w:val="double" w:sz="4" w:space="0" w:color="C00000"/>
              <w:bottom w:val="double" w:sz="4" w:space="0" w:color="C00000"/>
            </w:tcBorders>
            <w:vAlign w:val="center"/>
            <w:hideMark/>
          </w:tcPr>
          <w:p w14:paraId="75EDC180" w14:textId="77777777" w:rsidR="00856F66" w:rsidRPr="00E31657" w:rsidRDefault="00856F66" w:rsidP="00B24742">
            <w:pPr>
              <w:rPr>
                <w:rFonts w:cs="Arial"/>
                <w:b/>
                <w:bCs/>
                <w:sz w:val="16"/>
                <w:szCs w:val="16"/>
                <w:lang w:val="es-ES_tradnl" w:eastAsia="es-MX"/>
              </w:rPr>
            </w:pPr>
          </w:p>
        </w:tc>
      </w:tr>
      <w:tr w:rsidR="00856F66" w:rsidRPr="00E31657" w14:paraId="3B7EE9B5"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6A5DA73"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Aumentar el nivel de productividad para 1053 empresas mediante el desarrollo de alianzas estratégicas que conlleven al desarrollo de capacidades para la gestión de procesos de aceleración y sofisticación</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3BA57B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EC44E4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BFB5C6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5156D4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20E39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6AE7B2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281</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EB7C7F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10.577.785.006</w:t>
            </w:r>
          </w:p>
        </w:tc>
      </w:tr>
      <w:tr w:rsidR="00856F66" w:rsidRPr="00E31657" w14:paraId="63B6B118" w14:textId="77777777" w:rsidTr="00F974BB">
        <w:trPr>
          <w:trHeight w:val="315"/>
        </w:trPr>
        <w:tc>
          <w:tcPr>
            <w:tcW w:w="0" w:type="auto"/>
            <w:vMerge/>
            <w:tcBorders>
              <w:top w:val="double" w:sz="4" w:space="0" w:color="C00000"/>
              <w:bottom w:val="double" w:sz="4" w:space="0" w:color="C00000"/>
            </w:tcBorders>
            <w:vAlign w:val="center"/>
            <w:hideMark/>
          </w:tcPr>
          <w:p w14:paraId="0ED88738"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3C8273E"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50963C54"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E9555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1.647.636.253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1F675A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3.282.791.988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70CDCE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3.139.825.176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383D4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2.507.531.588</w:t>
            </w:r>
          </w:p>
        </w:tc>
        <w:tc>
          <w:tcPr>
            <w:tcW w:w="0" w:type="auto"/>
            <w:vMerge/>
            <w:tcBorders>
              <w:top w:val="double" w:sz="4" w:space="0" w:color="C00000"/>
              <w:bottom w:val="double" w:sz="4" w:space="0" w:color="C00000"/>
            </w:tcBorders>
            <w:vAlign w:val="center"/>
            <w:hideMark/>
          </w:tcPr>
          <w:p w14:paraId="138B57DF" w14:textId="77777777" w:rsidR="00856F66" w:rsidRPr="00E31657" w:rsidRDefault="00856F66" w:rsidP="00B24742">
            <w:pPr>
              <w:rPr>
                <w:rFonts w:cs="Arial"/>
                <w:b/>
                <w:bCs/>
                <w:sz w:val="16"/>
                <w:szCs w:val="16"/>
                <w:lang w:val="es-ES_tradnl" w:eastAsia="es-MX"/>
              </w:rPr>
            </w:pPr>
          </w:p>
        </w:tc>
      </w:tr>
      <w:tr w:rsidR="00856F66" w:rsidRPr="00E31657" w14:paraId="6F103D66"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2B4D090"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Desarrollar 60 experiencias turísticas competitivas en Bogotá Región</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DB225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64C6C6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Presupuesto de Inversión</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CE7AF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F3C9E1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389F4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E7027C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FB35D5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12.365.275.371</w:t>
            </w:r>
          </w:p>
        </w:tc>
      </w:tr>
      <w:tr w:rsidR="00856F66" w:rsidRPr="00E31657" w14:paraId="47E7C98B" w14:textId="77777777" w:rsidTr="00F974BB">
        <w:trPr>
          <w:trHeight w:val="315"/>
        </w:trPr>
        <w:tc>
          <w:tcPr>
            <w:tcW w:w="0" w:type="auto"/>
            <w:vMerge/>
            <w:tcBorders>
              <w:top w:val="double" w:sz="4" w:space="0" w:color="C00000"/>
              <w:bottom w:val="double" w:sz="4" w:space="0" w:color="C00000"/>
            </w:tcBorders>
            <w:vAlign w:val="center"/>
            <w:hideMark/>
          </w:tcPr>
          <w:p w14:paraId="5D1062BF"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58A91A6B"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A675D53"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A742CE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2.380.000.000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5EBFF3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3.106.796.117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9AA1A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3.025.732.868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DC670C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3.852.746.386</w:t>
            </w:r>
          </w:p>
        </w:tc>
        <w:tc>
          <w:tcPr>
            <w:tcW w:w="0" w:type="auto"/>
            <w:vMerge/>
            <w:tcBorders>
              <w:top w:val="double" w:sz="4" w:space="0" w:color="C00000"/>
              <w:bottom w:val="double" w:sz="4" w:space="0" w:color="C00000"/>
            </w:tcBorders>
            <w:vAlign w:val="center"/>
            <w:hideMark/>
          </w:tcPr>
          <w:p w14:paraId="10E1F7B0" w14:textId="77777777" w:rsidR="00856F66" w:rsidRPr="00E31657" w:rsidRDefault="00856F66" w:rsidP="00B24742">
            <w:pPr>
              <w:rPr>
                <w:rFonts w:cs="Arial"/>
                <w:b/>
                <w:bCs/>
                <w:sz w:val="16"/>
                <w:szCs w:val="16"/>
                <w:lang w:val="es-ES_tradnl" w:eastAsia="es-MX"/>
              </w:rPr>
            </w:pPr>
          </w:p>
        </w:tc>
      </w:tr>
      <w:tr w:rsidR="00856F66" w:rsidRPr="00E31657" w14:paraId="55364EA5"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22BB297"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Formar 12.300 personas en habilidades blandas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16EFD3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20953</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9F4B67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Secretaria Distrital de Desarrollo Económico-Dirección de Desarrollo Empresarial y Empleo</w:t>
            </w:r>
            <w:r w:rsidRPr="00E31657">
              <w:rPr>
                <w:rFonts w:cs="Arial"/>
                <w:sz w:val="16"/>
                <w:szCs w:val="16"/>
                <w:lang w:val="es-ES_tradnl" w:eastAsia="es-MX"/>
              </w:rPr>
              <w:br/>
            </w:r>
            <w:r w:rsidRPr="00E31657">
              <w:rPr>
                <w:rFonts w:cs="Arial"/>
                <w:sz w:val="16"/>
                <w:szCs w:val="16"/>
                <w:lang w:val="es-ES_tradnl" w:eastAsia="es-MX"/>
              </w:rPr>
              <w:br/>
              <w:t>Instituto para la Economía Social-Subdirección de Formación Y Empleabilidad</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C09CA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2.083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EA0F3B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2.751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FB2C2B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3.634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7E5D8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3.832</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7A5F86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8.227.504.800</w:t>
            </w:r>
          </w:p>
        </w:tc>
      </w:tr>
      <w:tr w:rsidR="00856F66" w:rsidRPr="00E31657" w14:paraId="1F83A786" w14:textId="77777777" w:rsidTr="00F974BB">
        <w:trPr>
          <w:trHeight w:val="315"/>
        </w:trPr>
        <w:tc>
          <w:tcPr>
            <w:tcW w:w="0" w:type="auto"/>
            <w:vMerge/>
            <w:tcBorders>
              <w:top w:val="double" w:sz="4" w:space="0" w:color="C00000"/>
              <w:bottom w:val="double" w:sz="4" w:space="0" w:color="C00000"/>
            </w:tcBorders>
            <w:vAlign w:val="center"/>
            <w:hideMark/>
          </w:tcPr>
          <w:p w14:paraId="1F73ECA1"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D49AA6A"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4E1B7AC0"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F40F4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504.295.000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9E59B0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2.338.738.058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87831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2.617.856.330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613E2A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2.766.615.413</w:t>
            </w:r>
          </w:p>
        </w:tc>
        <w:tc>
          <w:tcPr>
            <w:tcW w:w="0" w:type="auto"/>
            <w:vMerge/>
            <w:tcBorders>
              <w:top w:val="double" w:sz="4" w:space="0" w:color="C00000"/>
              <w:bottom w:val="double" w:sz="4" w:space="0" w:color="C00000"/>
            </w:tcBorders>
            <w:vAlign w:val="center"/>
            <w:hideMark/>
          </w:tcPr>
          <w:p w14:paraId="43EABDE4" w14:textId="77777777" w:rsidR="00856F66" w:rsidRPr="00E31657" w:rsidRDefault="00856F66" w:rsidP="00B24742">
            <w:pPr>
              <w:rPr>
                <w:rFonts w:cs="Arial"/>
                <w:b/>
                <w:bCs/>
                <w:sz w:val="16"/>
                <w:szCs w:val="16"/>
                <w:lang w:val="es-ES_tradnl" w:eastAsia="es-MX"/>
              </w:rPr>
            </w:pPr>
          </w:p>
        </w:tc>
      </w:tr>
      <w:tr w:rsidR="00856F66" w:rsidRPr="00E31657" w14:paraId="17CC79DB"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8BE9566"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 xml:space="preserve">Fortalecer 3.500 empresas del tejido empresarial </w:t>
            </w:r>
            <w:r w:rsidRPr="00E31657">
              <w:rPr>
                <w:rFonts w:cs="Arial"/>
                <w:sz w:val="16"/>
                <w:szCs w:val="16"/>
                <w:lang w:val="es-ES_tradnl" w:eastAsia="es-MX"/>
              </w:rPr>
              <w:lastRenderedPageBreak/>
              <w:t>de la ciudad con temas de capacidades empresariales y desarrollo tecnológico</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2763C1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3337</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CEC875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Proyecto de Inversión 7847 - PPD-</w:t>
            </w:r>
            <w:r w:rsidRPr="00E31657">
              <w:rPr>
                <w:rFonts w:cs="Arial"/>
                <w:sz w:val="16"/>
                <w:szCs w:val="16"/>
                <w:lang w:val="es-ES_tradnl" w:eastAsia="es-MX"/>
              </w:rPr>
              <w:lastRenderedPageBreak/>
              <w:t>2020-2024- SEGPLAN</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90FE8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280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245E2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DFE41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1.135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E1637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933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56110C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21.176.840.763</w:t>
            </w:r>
          </w:p>
        </w:tc>
      </w:tr>
      <w:tr w:rsidR="00856F66" w:rsidRPr="00E31657" w14:paraId="581CBA51" w14:textId="77777777" w:rsidTr="00F974BB">
        <w:trPr>
          <w:trHeight w:val="540"/>
        </w:trPr>
        <w:tc>
          <w:tcPr>
            <w:tcW w:w="0" w:type="auto"/>
            <w:vMerge/>
            <w:tcBorders>
              <w:top w:val="double" w:sz="4" w:space="0" w:color="C00000"/>
              <w:bottom w:val="double" w:sz="4" w:space="0" w:color="C00000"/>
            </w:tcBorders>
            <w:vAlign w:val="center"/>
            <w:hideMark/>
          </w:tcPr>
          <w:p w14:paraId="1A6B93D0"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C125074"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55A54D54"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1946B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3.461.901.076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5EDF5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6.508.290.939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502732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6.225.636.148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A0878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4.981.012.599</w:t>
            </w:r>
          </w:p>
        </w:tc>
        <w:tc>
          <w:tcPr>
            <w:tcW w:w="0" w:type="auto"/>
            <w:vMerge/>
            <w:tcBorders>
              <w:top w:val="double" w:sz="4" w:space="0" w:color="C00000"/>
              <w:bottom w:val="double" w:sz="4" w:space="0" w:color="C00000"/>
            </w:tcBorders>
            <w:vAlign w:val="center"/>
            <w:hideMark/>
          </w:tcPr>
          <w:p w14:paraId="02001470" w14:textId="77777777" w:rsidR="00856F66" w:rsidRPr="00E31657" w:rsidRDefault="00856F66" w:rsidP="00B24742">
            <w:pPr>
              <w:rPr>
                <w:rFonts w:cs="Arial"/>
                <w:b/>
                <w:bCs/>
                <w:sz w:val="16"/>
                <w:szCs w:val="16"/>
                <w:lang w:val="es-ES_tradnl" w:eastAsia="es-MX"/>
              </w:rPr>
            </w:pPr>
          </w:p>
        </w:tc>
      </w:tr>
      <w:tr w:rsidR="00856F66" w:rsidRPr="00E31657" w14:paraId="18632B7F"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124A705"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Generar acciones para el acceso a mecanismos de financiación para 2.000 empresas y/o unidades productivas con el fin de impulsar su productividad.</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628436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199</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1ADD4E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Cálculos propios SDDE sobre datos reportados en los diagnósticos realizados en la intervención de la Dirección de Competitividad.</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4CD74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9007F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325A69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648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674732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533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C717A0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26.733.792.039</w:t>
            </w:r>
          </w:p>
        </w:tc>
      </w:tr>
      <w:tr w:rsidR="00856F66" w:rsidRPr="00E31657" w14:paraId="76AC4B3C" w14:textId="77777777" w:rsidTr="00F974BB">
        <w:trPr>
          <w:trHeight w:val="540"/>
        </w:trPr>
        <w:tc>
          <w:tcPr>
            <w:tcW w:w="0" w:type="auto"/>
            <w:vMerge/>
            <w:tcBorders>
              <w:top w:val="double" w:sz="4" w:space="0" w:color="C00000"/>
              <w:bottom w:val="double" w:sz="4" w:space="0" w:color="C00000"/>
            </w:tcBorders>
            <w:vAlign w:val="center"/>
            <w:hideMark/>
          </w:tcPr>
          <w:p w14:paraId="2F886F85"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02B06A1"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DAA02A4"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E3411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3.970.687.611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E862BD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8.301.936.143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C4C0F6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7.940.383.735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CF79C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6.520.784.551</w:t>
            </w:r>
          </w:p>
        </w:tc>
        <w:tc>
          <w:tcPr>
            <w:tcW w:w="0" w:type="auto"/>
            <w:vMerge/>
            <w:tcBorders>
              <w:top w:val="double" w:sz="4" w:space="0" w:color="C00000"/>
              <w:bottom w:val="double" w:sz="4" w:space="0" w:color="C00000"/>
            </w:tcBorders>
            <w:vAlign w:val="center"/>
            <w:hideMark/>
          </w:tcPr>
          <w:p w14:paraId="7238589C" w14:textId="77777777" w:rsidR="00856F66" w:rsidRPr="00E31657" w:rsidRDefault="00856F66" w:rsidP="00B24742">
            <w:pPr>
              <w:rPr>
                <w:rFonts w:cs="Arial"/>
                <w:b/>
                <w:bCs/>
                <w:sz w:val="16"/>
                <w:szCs w:val="16"/>
                <w:lang w:val="es-ES_tradnl" w:eastAsia="es-MX"/>
              </w:rPr>
            </w:pPr>
          </w:p>
        </w:tc>
      </w:tr>
      <w:tr w:rsidR="00856F66" w:rsidRPr="00E31657" w14:paraId="33D3EE53"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ACF32A9"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Implementar esquemas de producción en horarios no convencionales para al menos 200 empresas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9D74C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3A23C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2049A8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5A852F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584344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BD6AAD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564B72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12.864.873.655</w:t>
            </w:r>
          </w:p>
        </w:tc>
      </w:tr>
      <w:tr w:rsidR="00856F66" w:rsidRPr="00E31657" w14:paraId="457C21A8" w14:textId="77777777" w:rsidTr="00F974BB">
        <w:trPr>
          <w:trHeight w:val="540"/>
        </w:trPr>
        <w:tc>
          <w:tcPr>
            <w:tcW w:w="0" w:type="auto"/>
            <w:vMerge/>
            <w:tcBorders>
              <w:top w:val="double" w:sz="4" w:space="0" w:color="C00000"/>
              <w:bottom w:val="double" w:sz="4" w:space="0" w:color="C00000"/>
            </w:tcBorders>
            <w:vAlign w:val="center"/>
            <w:hideMark/>
          </w:tcPr>
          <w:p w14:paraId="646AA9D0"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B016B39"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07B61AB"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85EAF9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2.003.881.930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38419B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3.992.584.850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DDB48B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3.818.706.295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0824A8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3.049.700.580</w:t>
            </w:r>
          </w:p>
        </w:tc>
        <w:tc>
          <w:tcPr>
            <w:tcW w:w="0" w:type="auto"/>
            <w:vMerge/>
            <w:tcBorders>
              <w:top w:val="double" w:sz="4" w:space="0" w:color="C00000"/>
              <w:bottom w:val="double" w:sz="4" w:space="0" w:color="C00000"/>
            </w:tcBorders>
            <w:vAlign w:val="center"/>
            <w:hideMark/>
          </w:tcPr>
          <w:p w14:paraId="71723585" w14:textId="77777777" w:rsidR="00856F66" w:rsidRPr="00E31657" w:rsidRDefault="00856F66" w:rsidP="00B24742">
            <w:pPr>
              <w:rPr>
                <w:rFonts w:cs="Arial"/>
                <w:b/>
                <w:bCs/>
                <w:sz w:val="16"/>
                <w:szCs w:val="16"/>
                <w:lang w:val="es-ES_tradnl" w:eastAsia="es-MX"/>
              </w:rPr>
            </w:pPr>
          </w:p>
        </w:tc>
      </w:tr>
      <w:tr w:rsidR="00856F66" w:rsidRPr="00E31657" w14:paraId="32B8CB2B"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6240B10"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Impulsar el desarrollo de 300 proyectos del sector turismo que contribuyan al desarrollo social y económico de la ciudad de Bogotá</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FC947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148</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7BFEF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Presupuesto de Inversión</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9529A7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0FDD40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4BCCF5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A6BF8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B17FFB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11.888.469.033</w:t>
            </w:r>
          </w:p>
        </w:tc>
      </w:tr>
      <w:tr w:rsidR="00856F66" w:rsidRPr="00E31657" w14:paraId="24F666B6" w14:textId="77777777" w:rsidTr="00F974BB">
        <w:trPr>
          <w:trHeight w:val="540"/>
        </w:trPr>
        <w:tc>
          <w:tcPr>
            <w:tcW w:w="0" w:type="auto"/>
            <w:vMerge/>
            <w:tcBorders>
              <w:top w:val="double" w:sz="4" w:space="0" w:color="C00000"/>
              <w:bottom w:val="double" w:sz="4" w:space="0" w:color="C00000"/>
            </w:tcBorders>
            <w:vAlign w:val="center"/>
            <w:hideMark/>
          </w:tcPr>
          <w:p w14:paraId="76570E5A"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4CE9BD1"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53C63FE"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8D4AA3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1.928.145.000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191E60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3.300.970.874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53183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3.299.085.682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79C846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3.360.267.478</w:t>
            </w:r>
          </w:p>
        </w:tc>
        <w:tc>
          <w:tcPr>
            <w:tcW w:w="0" w:type="auto"/>
            <w:vMerge/>
            <w:tcBorders>
              <w:top w:val="double" w:sz="4" w:space="0" w:color="C00000"/>
              <w:bottom w:val="double" w:sz="4" w:space="0" w:color="C00000"/>
            </w:tcBorders>
            <w:vAlign w:val="center"/>
            <w:hideMark/>
          </w:tcPr>
          <w:p w14:paraId="4A9082CA" w14:textId="77777777" w:rsidR="00856F66" w:rsidRPr="00E31657" w:rsidRDefault="00856F66" w:rsidP="00B24742">
            <w:pPr>
              <w:rPr>
                <w:rFonts w:cs="Arial"/>
                <w:b/>
                <w:bCs/>
                <w:sz w:val="16"/>
                <w:szCs w:val="16"/>
                <w:lang w:val="es-ES_tradnl" w:eastAsia="es-MX"/>
              </w:rPr>
            </w:pPr>
          </w:p>
        </w:tc>
      </w:tr>
      <w:tr w:rsidR="00856F66" w:rsidRPr="00E31657" w14:paraId="27208329"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BCF1A1A"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Lograr 125.000 colocaciones en el mercado laboral</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32923F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151703</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C54E6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Secretaria Distrital de Desarrollo Económico-Dirección de Desarrollo Empresarial y Empleo</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01083A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18.500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49775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31.955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1942A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36.303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C33AC3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38.242</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5638CE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173.336.108.811</w:t>
            </w:r>
          </w:p>
        </w:tc>
      </w:tr>
      <w:tr w:rsidR="00856F66" w:rsidRPr="00E31657" w14:paraId="403E5F44" w14:textId="77777777" w:rsidTr="00F974BB">
        <w:trPr>
          <w:trHeight w:val="540"/>
        </w:trPr>
        <w:tc>
          <w:tcPr>
            <w:tcW w:w="0" w:type="auto"/>
            <w:vMerge/>
            <w:tcBorders>
              <w:top w:val="double" w:sz="4" w:space="0" w:color="C00000"/>
              <w:bottom w:val="double" w:sz="4" w:space="0" w:color="C00000"/>
            </w:tcBorders>
            <w:vAlign w:val="center"/>
            <w:hideMark/>
          </w:tcPr>
          <w:p w14:paraId="25547332" w14:textId="77777777" w:rsidR="00856F66" w:rsidRPr="00E31657" w:rsidRDefault="00856F66" w:rsidP="003D7A4D">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3D3FA97"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64139E3"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F569AC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29.849.275.000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87D5C1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43.963.547.670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C4228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49.028.482.882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11220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50.494.803.258</w:t>
            </w:r>
          </w:p>
        </w:tc>
        <w:tc>
          <w:tcPr>
            <w:tcW w:w="0" w:type="auto"/>
            <w:vMerge/>
            <w:tcBorders>
              <w:top w:val="double" w:sz="4" w:space="0" w:color="C00000"/>
              <w:bottom w:val="double" w:sz="4" w:space="0" w:color="C00000"/>
            </w:tcBorders>
            <w:vAlign w:val="center"/>
            <w:hideMark/>
          </w:tcPr>
          <w:p w14:paraId="2F67E80F" w14:textId="77777777" w:rsidR="00856F66" w:rsidRPr="00E31657" w:rsidRDefault="00856F66" w:rsidP="00B24742">
            <w:pPr>
              <w:rPr>
                <w:rFonts w:cs="Arial"/>
                <w:b/>
                <w:bCs/>
                <w:sz w:val="16"/>
                <w:szCs w:val="16"/>
                <w:lang w:val="es-ES_tradnl" w:eastAsia="es-MX"/>
              </w:rPr>
            </w:pPr>
          </w:p>
        </w:tc>
      </w:tr>
      <w:tr w:rsidR="00856F66" w:rsidRPr="00E31657" w14:paraId="6F12D566" w14:textId="77777777" w:rsidTr="00F974BB">
        <w:trPr>
          <w:trHeight w:val="75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3D9948D"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Lograr 62.500 certificaciones en formación para el trabajo y/o competencias en habilidades laborales específicas de acuerdo con la dinámica del mercado laboral y las necesidades para el cierre de brechas de talento humano</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D24A31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36873</w:t>
            </w:r>
            <w:r w:rsidRPr="00E31657">
              <w:rPr>
                <w:rFonts w:cs="Arial"/>
                <w:sz w:val="16"/>
                <w:szCs w:val="16"/>
                <w:lang w:val="es-ES_tradnl" w:eastAsia="es-MX"/>
              </w:rPr>
              <w:br/>
              <w:t>(2023)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1926AB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Secretaria Distrital de Desarrollo Económico-Dirección de Desarrollo Empresarial y Empleo</w:t>
            </w:r>
            <w:r w:rsidRPr="00E31657">
              <w:rPr>
                <w:rFonts w:cs="Arial"/>
                <w:sz w:val="16"/>
                <w:szCs w:val="16"/>
                <w:lang w:val="es-ES_tradnl" w:eastAsia="es-MX"/>
              </w:rPr>
              <w:br/>
            </w:r>
            <w:r w:rsidRPr="00E31657">
              <w:rPr>
                <w:rFonts w:cs="Arial"/>
                <w:sz w:val="16"/>
                <w:szCs w:val="16"/>
                <w:lang w:val="es-ES_tradnl" w:eastAsia="es-MX"/>
              </w:rPr>
              <w:br/>
              <w:t>Instituto para la economía Social-subdirección de Formación Y Empleabilidad</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915173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6.910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9289B4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17.129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5D9EE2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18.788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4911AB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19.673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DBAB73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85.725.850.841</w:t>
            </w:r>
          </w:p>
        </w:tc>
      </w:tr>
      <w:tr w:rsidR="00856F66" w:rsidRPr="00E31657" w14:paraId="33FBDD39" w14:textId="77777777" w:rsidTr="00F974BB">
        <w:trPr>
          <w:trHeight w:val="750"/>
        </w:trPr>
        <w:tc>
          <w:tcPr>
            <w:tcW w:w="0" w:type="auto"/>
            <w:vMerge/>
            <w:tcBorders>
              <w:top w:val="double" w:sz="4" w:space="0" w:color="C00000"/>
              <w:bottom w:val="double" w:sz="4" w:space="0" w:color="C00000"/>
            </w:tcBorders>
            <w:vAlign w:val="center"/>
            <w:hideMark/>
          </w:tcPr>
          <w:p w14:paraId="40919AE6"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CF03250"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5C6E8DA"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ADFB9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1.993.795.001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3CD06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25.580.002.136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B7927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28.390.632.086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1DAEED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29.761.421.618</w:t>
            </w:r>
          </w:p>
        </w:tc>
        <w:tc>
          <w:tcPr>
            <w:tcW w:w="0" w:type="auto"/>
            <w:vMerge/>
            <w:tcBorders>
              <w:top w:val="double" w:sz="4" w:space="0" w:color="C00000"/>
              <w:bottom w:val="double" w:sz="4" w:space="0" w:color="C00000"/>
            </w:tcBorders>
            <w:vAlign w:val="center"/>
            <w:hideMark/>
          </w:tcPr>
          <w:p w14:paraId="270989E5" w14:textId="77777777" w:rsidR="00856F66" w:rsidRPr="00E31657" w:rsidRDefault="00856F66" w:rsidP="00B24742">
            <w:pPr>
              <w:rPr>
                <w:rFonts w:cs="Arial"/>
                <w:b/>
                <w:bCs/>
                <w:sz w:val="16"/>
                <w:szCs w:val="16"/>
                <w:lang w:val="es-ES_tradnl" w:eastAsia="es-MX"/>
              </w:rPr>
            </w:pPr>
          </w:p>
        </w:tc>
      </w:tr>
      <w:tr w:rsidR="00856F66" w:rsidRPr="00E31657" w14:paraId="1C7DCD42" w14:textId="77777777" w:rsidTr="00F974BB">
        <w:trPr>
          <w:trHeight w:val="8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062B50A" w14:textId="77777777" w:rsidR="00856F66" w:rsidRPr="00E31657" w:rsidRDefault="00856F66" w:rsidP="003D7A4D">
            <w:pPr>
              <w:jc w:val="right"/>
              <w:rPr>
                <w:rFonts w:cs="Arial"/>
                <w:sz w:val="16"/>
                <w:szCs w:val="16"/>
                <w:lang w:val="es-ES_tradnl" w:eastAsia="es-MX"/>
              </w:rPr>
            </w:pPr>
            <w:r w:rsidRPr="00E31657">
              <w:rPr>
                <w:rFonts w:cs="Arial"/>
                <w:sz w:val="16"/>
                <w:szCs w:val="16"/>
                <w:lang w:val="es-ES_tradnl" w:eastAsia="es-MX"/>
              </w:rPr>
              <w:t xml:space="preserve">Vincular 1.200 empresas en procesos de conexión a mercados locales </w:t>
            </w:r>
            <w:r w:rsidRPr="00E31657">
              <w:rPr>
                <w:rFonts w:cs="Arial"/>
                <w:sz w:val="16"/>
                <w:szCs w:val="16"/>
                <w:lang w:val="es-ES_tradnl" w:eastAsia="es-MX"/>
              </w:rPr>
              <w:lastRenderedPageBreak/>
              <w:t>regionales nacionales o internacionales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5C818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86488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Secretaría Distrital de Desarrollo Económico - Dirección </w:t>
            </w:r>
            <w:r w:rsidRPr="00E31657">
              <w:rPr>
                <w:rFonts w:cs="Arial"/>
                <w:sz w:val="16"/>
                <w:szCs w:val="16"/>
                <w:lang w:val="es-ES_tradnl" w:eastAsia="es-MX"/>
              </w:rPr>
              <w:lastRenderedPageBreak/>
              <w:t>de Competitividad Bogotá Región</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3E353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96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30B72E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943924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04ECA5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9B62A3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10.006.012.843</w:t>
            </w:r>
          </w:p>
        </w:tc>
      </w:tr>
      <w:tr w:rsidR="00856F66" w:rsidRPr="00E31657" w14:paraId="588D14C0" w14:textId="77777777" w:rsidTr="00156332">
        <w:trPr>
          <w:trHeight w:val="1193"/>
        </w:trPr>
        <w:tc>
          <w:tcPr>
            <w:tcW w:w="0" w:type="auto"/>
            <w:vMerge/>
            <w:tcBorders>
              <w:top w:val="double" w:sz="4" w:space="0" w:color="C00000"/>
              <w:bottom w:val="double" w:sz="4" w:space="0" w:color="C00000"/>
            </w:tcBorders>
            <w:vAlign w:val="center"/>
            <w:hideMark/>
          </w:tcPr>
          <w:p w14:paraId="21381194"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7F0721DE"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4FAB5050" w14:textId="77777777" w:rsidR="00856F66" w:rsidRPr="00E31657" w:rsidRDefault="00856F66" w:rsidP="00B2474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A34E0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1.558.574.834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9A507E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3.105.343.773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B2E4C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2.970.104.896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A2BE5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2.371.989.340</w:t>
            </w:r>
          </w:p>
        </w:tc>
        <w:tc>
          <w:tcPr>
            <w:tcW w:w="0" w:type="auto"/>
            <w:vMerge/>
            <w:tcBorders>
              <w:top w:val="double" w:sz="4" w:space="0" w:color="C00000"/>
              <w:bottom w:val="double" w:sz="4" w:space="0" w:color="C00000"/>
            </w:tcBorders>
            <w:vAlign w:val="center"/>
            <w:hideMark/>
          </w:tcPr>
          <w:p w14:paraId="7115488C" w14:textId="77777777" w:rsidR="00856F66" w:rsidRPr="00E31657" w:rsidRDefault="00856F66" w:rsidP="00B24742">
            <w:pPr>
              <w:rPr>
                <w:rFonts w:cs="Arial"/>
                <w:b/>
                <w:bCs/>
                <w:sz w:val="16"/>
                <w:szCs w:val="16"/>
                <w:lang w:val="es-ES_tradnl" w:eastAsia="es-MX"/>
              </w:rPr>
            </w:pPr>
          </w:p>
        </w:tc>
      </w:tr>
    </w:tbl>
    <w:p w14:paraId="3761E730" w14:textId="77777777" w:rsidR="00856F66" w:rsidRPr="00E31657" w:rsidRDefault="00856F66">
      <w:pPr>
        <w:rPr>
          <w:sz w:val="16"/>
          <w:szCs w:val="16"/>
          <w:lang w:val="es-ES_tradnl"/>
        </w:rPr>
      </w:pPr>
    </w:p>
    <w:p w14:paraId="2CA8AF49" w14:textId="77777777" w:rsidR="00856F66" w:rsidRPr="00E31657" w:rsidRDefault="00856F66">
      <w:pPr>
        <w:rPr>
          <w:sz w:val="16"/>
          <w:szCs w:val="16"/>
          <w:lang w:val="es-ES_tradnl"/>
        </w:rPr>
      </w:pPr>
    </w:p>
    <w:tbl>
      <w:tblPr>
        <w:tblW w:w="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202"/>
        <w:gridCol w:w="760"/>
        <w:gridCol w:w="951"/>
        <w:gridCol w:w="1097"/>
        <w:gridCol w:w="1061"/>
        <w:gridCol w:w="1091"/>
        <w:gridCol w:w="1095"/>
        <w:gridCol w:w="1103"/>
      </w:tblGrid>
      <w:tr w:rsidR="00856F66" w:rsidRPr="00E31657" w14:paraId="20ED174F" w14:textId="77777777" w:rsidTr="00F974BB">
        <w:trPr>
          <w:trHeight w:val="315"/>
        </w:trPr>
        <w:tc>
          <w:tcPr>
            <w:tcW w:w="0" w:type="auto"/>
            <w:gridSpan w:val="8"/>
            <w:tcMar>
              <w:top w:w="30" w:type="dxa"/>
              <w:left w:w="45" w:type="dxa"/>
              <w:bottom w:w="30" w:type="dxa"/>
              <w:right w:w="45" w:type="dxa"/>
            </w:tcMar>
            <w:vAlign w:val="center"/>
            <w:hideMark/>
          </w:tcPr>
          <w:p w14:paraId="5E593FAF" w14:textId="77777777" w:rsidR="00856F66" w:rsidRPr="00E31657" w:rsidRDefault="00856F66" w:rsidP="00481E0A">
            <w:pPr>
              <w:jc w:val="center"/>
              <w:rPr>
                <w:rFonts w:cs="Arial"/>
                <w:b/>
                <w:bCs/>
                <w:lang w:val="es-ES_tradnl" w:eastAsia="es-MX"/>
              </w:rPr>
            </w:pPr>
            <w:r w:rsidRPr="00E31657">
              <w:rPr>
                <w:rFonts w:cs="Arial"/>
                <w:b/>
                <w:bCs/>
                <w:color w:val="C00000"/>
                <w:lang w:val="es-ES_tradnl" w:eastAsia="es-MX"/>
              </w:rPr>
              <w:t xml:space="preserve">Programa 20. </w:t>
            </w:r>
            <w:r w:rsidRPr="00ED49FA">
              <w:rPr>
                <w:rFonts w:cs="Arial"/>
                <w:lang w:val="es-ES_tradnl" w:eastAsia="es-MX"/>
              </w:rPr>
              <w:t>Promoción del emprendimiento formal, equitativo e incluyente</w:t>
            </w:r>
          </w:p>
        </w:tc>
      </w:tr>
      <w:tr w:rsidR="00856F66" w:rsidRPr="00E31657" w14:paraId="548C64AF" w14:textId="77777777" w:rsidTr="00F974BB">
        <w:trPr>
          <w:trHeight w:val="315"/>
        </w:trPr>
        <w:tc>
          <w:tcPr>
            <w:tcW w:w="0" w:type="auto"/>
            <w:vMerge w:val="restart"/>
            <w:shd w:val="clear" w:color="auto" w:fill="C00000"/>
            <w:tcMar>
              <w:top w:w="30" w:type="dxa"/>
              <w:left w:w="45" w:type="dxa"/>
              <w:bottom w:w="30" w:type="dxa"/>
              <w:right w:w="45" w:type="dxa"/>
            </w:tcMar>
            <w:vAlign w:val="center"/>
            <w:hideMark/>
          </w:tcPr>
          <w:p w14:paraId="42A3F968"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27A3DE1A"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 xml:space="preserve">Magnitudes e Inversión </w:t>
            </w:r>
            <w:r w:rsidRPr="00F007CD">
              <w:rPr>
                <w:rFonts w:ascii="Candara" w:eastAsia="Times New Roman" w:hAnsi="Candara"/>
                <w:b/>
                <w:bCs/>
                <w:color w:val="FFFFFF" w:themeColor="background1"/>
                <w:sz w:val="24"/>
                <w:szCs w:val="24"/>
                <w:lang w:val="es-ES_tradnl" w:eastAsia="es-MX"/>
              </w:rPr>
              <w:br/>
              <w:t>(Precios Constantes 2024)</w:t>
            </w:r>
          </w:p>
        </w:tc>
      </w:tr>
      <w:tr w:rsidR="00856F66" w:rsidRPr="00E31657" w14:paraId="4C7774C2" w14:textId="77777777" w:rsidTr="00F974BB">
        <w:trPr>
          <w:trHeight w:val="315"/>
        </w:trPr>
        <w:tc>
          <w:tcPr>
            <w:tcW w:w="0" w:type="auto"/>
            <w:vMerge/>
            <w:shd w:val="clear" w:color="auto" w:fill="C00000"/>
            <w:vAlign w:val="center"/>
            <w:hideMark/>
          </w:tcPr>
          <w:p w14:paraId="28FF743A" w14:textId="77777777" w:rsidR="00856F66" w:rsidRPr="00E31657" w:rsidRDefault="00856F66" w:rsidP="00481E0A">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6B1AA910"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78D4BC67"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144CA359"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5B233E69"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721E1B02"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07FF05E7"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5D92313A"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72BD7B8"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1DC70587"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Cultura recreación y deporte</w:t>
            </w:r>
          </w:p>
        </w:tc>
      </w:tr>
      <w:tr w:rsidR="00856F66" w:rsidRPr="00E31657" w14:paraId="63A41B80" w14:textId="77777777" w:rsidTr="00F974BB">
        <w:trPr>
          <w:trHeight w:val="315"/>
        </w:trPr>
        <w:tc>
          <w:tcPr>
            <w:tcW w:w="0" w:type="auto"/>
            <w:vMerge w:val="restart"/>
            <w:tcMar>
              <w:top w:w="30" w:type="dxa"/>
              <w:left w:w="45" w:type="dxa"/>
              <w:bottom w:w="30" w:type="dxa"/>
              <w:right w:w="45" w:type="dxa"/>
            </w:tcMar>
            <w:vAlign w:val="center"/>
            <w:hideMark/>
          </w:tcPr>
          <w:p w14:paraId="67FF9937"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Activar 12 Distritos Creativos para creación de valor y riqueza de las organizaciones y agentes culturales y creativos así como la resignificación del imaginario colectivo del entorno.</w:t>
            </w:r>
          </w:p>
        </w:tc>
        <w:tc>
          <w:tcPr>
            <w:tcW w:w="0" w:type="auto"/>
            <w:vMerge w:val="restart"/>
            <w:tcMar>
              <w:top w:w="30" w:type="dxa"/>
              <w:left w:w="45" w:type="dxa"/>
              <w:bottom w:w="30" w:type="dxa"/>
              <w:right w:w="45" w:type="dxa"/>
            </w:tcMar>
            <w:vAlign w:val="center"/>
            <w:hideMark/>
          </w:tcPr>
          <w:p w14:paraId="53A5B80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1792F29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Plan de Acción de la Política Pública de Economía Cultural y Creativa</w:t>
            </w:r>
          </w:p>
        </w:tc>
        <w:tc>
          <w:tcPr>
            <w:tcW w:w="0" w:type="auto"/>
            <w:tcMar>
              <w:top w:w="30" w:type="dxa"/>
              <w:left w:w="45" w:type="dxa"/>
              <w:bottom w:w="30" w:type="dxa"/>
              <w:right w:w="45" w:type="dxa"/>
            </w:tcMar>
            <w:vAlign w:val="center"/>
            <w:hideMark/>
          </w:tcPr>
          <w:p w14:paraId="7B70535A"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8</w:t>
            </w:r>
          </w:p>
        </w:tc>
        <w:tc>
          <w:tcPr>
            <w:tcW w:w="0" w:type="auto"/>
            <w:tcMar>
              <w:top w:w="30" w:type="dxa"/>
              <w:left w:w="45" w:type="dxa"/>
              <w:bottom w:w="30" w:type="dxa"/>
              <w:right w:w="45" w:type="dxa"/>
            </w:tcMar>
            <w:vAlign w:val="center"/>
            <w:hideMark/>
          </w:tcPr>
          <w:p w14:paraId="1F3AAA1E"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289D15A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11</w:t>
            </w:r>
          </w:p>
        </w:tc>
        <w:tc>
          <w:tcPr>
            <w:tcW w:w="0" w:type="auto"/>
            <w:tcMar>
              <w:top w:w="30" w:type="dxa"/>
              <w:left w:w="45" w:type="dxa"/>
              <w:bottom w:w="30" w:type="dxa"/>
              <w:right w:w="45" w:type="dxa"/>
            </w:tcMar>
            <w:vAlign w:val="center"/>
            <w:hideMark/>
          </w:tcPr>
          <w:p w14:paraId="2D541F2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12</w:t>
            </w:r>
          </w:p>
        </w:tc>
        <w:tc>
          <w:tcPr>
            <w:tcW w:w="0" w:type="auto"/>
            <w:vMerge w:val="restart"/>
            <w:tcMar>
              <w:top w:w="30" w:type="dxa"/>
              <w:left w:w="45" w:type="dxa"/>
              <w:bottom w:w="30" w:type="dxa"/>
              <w:right w:w="45" w:type="dxa"/>
            </w:tcMar>
            <w:vAlign w:val="center"/>
            <w:hideMark/>
          </w:tcPr>
          <w:p w14:paraId="0F3AF3B5"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14.854.448.266</w:t>
            </w:r>
          </w:p>
        </w:tc>
      </w:tr>
      <w:tr w:rsidR="00856F66" w:rsidRPr="00E31657" w14:paraId="1633BF92" w14:textId="77777777" w:rsidTr="00F974BB">
        <w:trPr>
          <w:trHeight w:val="315"/>
        </w:trPr>
        <w:tc>
          <w:tcPr>
            <w:tcW w:w="0" w:type="auto"/>
            <w:vMerge/>
            <w:vAlign w:val="center"/>
            <w:hideMark/>
          </w:tcPr>
          <w:p w14:paraId="29BFF8E9"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44BCBC57" w14:textId="77777777" w:rsidR="00856F66" w:rsidRPr="00E31657" w:rsidRDefault="00856F66" w:rsidP="00481E0A">
            <w:pPr>
              <w:rPr>
                <w:rFonts w:cs="Arial"/>
                <w:sz w:val="16"/>
                <w:szCs w:val="16"/>
                <w:lang w:val="es-ES_tradnl" w:eastAsia="es-MX"/>
              </w:rPr>
            </w:pPr>
          </w:p>
        </w:tc>
        <w:tc>
          <w:tcPr>
            <w:tcW w:w="0" w:type="auto"/>
            <w:vMerge/>
            <w:vAlign w:val="center"/>
            <w:hideMark/>
          </w:tcPr>
          <w:p w14:paraId="17922A34"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5D69C32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5.840.119.000</w:t>
            </w:r>
          </w:p>
        </w:tc>
        <w:tc>
          <w:tcPr>
            <w:tcW w:w="0" w:type="auto"/>
            <w:tcMar>
              <w:top w:w="30" w:type="dxa"/>
              <w:left w:w="45" w:type="dxa"/>
              <w:bottom w:w="30" w:type="dxa"/>
              <w:right w:w="45" w:type="dxa"/>
            </w:tcMar>
            <w:vAlign w:val="center"/>
            <w:hideMark/>
          </w:tcPr>
          <w:p w14:paraId="3D700309"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3.086.868.259</w:t>
            </w:r>
          </w:p>
        </w:tc>
        <w:tc>
          <w:tcPr>
            <w:tcW w:w="0" w:type="auto"/>
            <w:tcMar>
              <w:top w:w="30" w:type="dxa"/>
              <w:left w:w="45" w:type="dxa"/>
              <w:bottom w:w="30" w:type="dxa"/>
              <w:right w:w="45" w:type="dxa"/>
            </w:tcMar>
            <w:vAlign w:val="center"/>
            <w:hideMark/>
          </w:tcPr>
          <w:p w14:paraId="0D314AA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2.993.181.588</w:t>
            </w:r>
          </w:p>
        </w:tc>
        <w:tc>
          <w:tcPr>
            <w:tcW w:w="0" w:type="auto"/>
            <w:tcMar>
              <w:top w:w="30" w:type="dxa"/>
              <w:left w:w="45" w:type="dxa"/>
              <w:bottom w:w="30" w:type="dxa"/>
              <w:right w:w="45" w:type="dxa"/>
            </w:tcMar>
            <w:vAlign w:val="center"/>
            <w:hideMark/>
          </w:tcPr>
          <w:p w14:paraId="370904F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2.934.279.418</w:t>
            </w:r>
          </w:p>
        </w:tc>
        <w:tc>
          <w:tcPr>
            <w:tcW w:w="0" w:type="auto"/>
            <w:vMerge/>
            <w:vAlign w:val="center"/>
            <w:hideMark/>
          </w:tcPr>
          <w:p w14:paraId="700F4E17" w14:textId="77777777" w:rsidR="00856F66" w:rsidRPr="00E31657" w:rsidRDefault="00856F66" w:rsidP="00481E0A">
            <w:pPr>
              <w:rPr>
                <w:rFonts w:cs="Arial"/>
                <w:b/>
                <w:bCs/>
                <w:sz w:val="16"/>
                <w:szCs w:val="16"/>
                <w:lang w:val="es-ES_tradnl" w:eastAsia="es-MX"/>
              </w:rPr>
            </w:pPr>
          </w:p>
        </w:tc>
      </w:tr>
      <w:tr w:rsidR="00856F66" w:rsidRPr="00E31657" w14:paraId="6E36373F" w14:textId="77777777" w:rsidTr="00F974BB">
        <w:trPr>
          <w:trHeight w:val="315"/>
        </w:trPr>
        <w:tc>
          <w:tcPr>
            <w:tcW w:w="0" w:type="auto"/>
            <w:vMerge w:val="restart"/>
            <w:tcMar>
              <w:top w:w="30" w:type="dxa"/>
              <w:left w:w="45" w:type="dxa"/>
              <w:bottom w:w="30" w:type="dxa"/>
              <w:right w:w="45" w:type="dxa"/>
            </w:tcMar>
            <w:vAlign w:val="center"/>
            <w:hideMark/>
          </w:tcPr>
          <w:p w14:paraId="5A48F737"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 xml:space="preserve">Implementar 20 proyectos de jornadas 24 horas para generar un entorno propicio y seguro para el fortalecimiento del ecosistema cultural y creativo de la ciudad. </w:t>
            </w:r>
          </w:p>
        </w:tc>
        <w:tc>
          <w:tcPr>
            <w:tcW w:w="0" w:type="auto"/>
            <w:vMerge w:val="restart"/>
            <w:tcMar>
              <w:top w:w="30" w:type="dxa"/>
              <w:left w:w="45" w:type="dxa"/>
              <w:bottom w:w="30" w:type="dxa"/>
              <w:right w:w="45" w:type="dxa"/>
            </w:tcMar>
            <w:vAlign w:val="center"/>
            <w:hideMark/>
          </w:tcPr>
          <w:p w14:paraId="3C40D52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1E3DAFF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F93F05E"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w:t>
            </w:r>
          </w:p>
        </w:tc>
        <w:tc>
          <w:tcPr>
            <w:tcW w:w="0" w:type="auto"/>
            <w:tcMar>
              <w:top w:w="30" w:type="dxa"/>
              <w:left w:w="45" w:type="dxa"/>
              <w:bottom w:w="30" w:type="dxa"/>
              <w:right w:w="45" w:type="dxa"/>
            </w:tcMar>
            <w:vAlign w:val="center"/>
            <w:hideMark/>
          </w:tcPr>
          <w:p w14:paraId="29791FFD"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w:t>
            </w:r>
          </w:p>
        </w:tc>
        <w:tc>
          <w:tcPr>
            <w:tcW w:w="0" w:type="auto"/>
            <w:tcMar>
              <w:top w:w="30" w:type="dxa"/>
              <w:left w:w="45" w:type="dxa"/>
              <w:bottom w:w="30" w:type="dxa"/>
              <w:right w:w="45" w:type="dxa"/>
            </w:tcMar>
            <w:vAlign w:val="center"/>
            <w:hideMark/>
          </w:tcPr>
          <w:p w14:paraId="26CCFE9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w:t>
            </w:r>
          </w:p>
        </w:tc>
        <w:tc>
          <w:tcPr>
            <w:tcW w:w="0" w:type="auto"/>
            <w:tcMar>
              <w:top w:w="30" w:type="dxa"/>
              <w:left w:w="45" w:type="dxa"/>
              <w:bottom w:w="30" w:type="dxa"/>
              <w:right w:w="45" w:type="dxa"/>
            </w:tcMar>
            <w:vAlign w:val="center"/>
            <w:hideMark/>
          </w:tcPr>
          <w:p w14:paraId="214F738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w:t>
            </w:r>
          </w:p>
        </w:tc>
        <w:tc>
          <w:tcPr>
            <w:tcW w:w="0" w:type="auto"/>
            <w:vMerge w:val="restart"/>
            <w:tcMar>
              <w:top w:w="30" w:type="dxa"/>
              <w:left w:w="45" w:type="dxa"/>
              <w:bottom w:w="30" w:type="dxa"/>
              <w:right w:w="45" w:type="dxa"/>
            </w:tcMar>
            <w:vAlign w:val="center"/>
            <w:hideMark/>
          </w:tcPr>
          <w:p w14:paraId="000F838C"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3.941.671.591</w:t>
            </w:r>
          </w:p>
        </w:tc>
      </w:tr>
      <w:tr w:rsidR="00856F66" w:rsidRPr="00E31657" w14:paraId="76D56037" w14:textId="77777777" w:rsidTr="00F974BB">
        <w:trPr>
          <w:trHeight w:val="315"/>
        </w:trPr>
        <w:tc>
          <w:tcPr>
            <w:tcW w:w="0" w:type="auto"/>
            <w:vMerge/>
            <w:vAlign w:val="center"/>
            <w:hideMark/>
          </w:tcPr>
          <w:p w14:paraId="30F25E3B"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5D15C5BD" w14:textId="77777777" w:rsidR="00856F66" w:rsidRPr="00E31657" w:rsidRDefault="00856F66" w:rsidP="00481E0A">
            <w:pPr>
              <w:rPr>
                <w:rFonts w:cs="Arial"/>
                <w:sz w:val="16"/>
                <w:szCs w:val="16"/>
                <w:lang w:val="es-ES_tradnl" w:eastAsia="es-MX"/>
              </w:rPr>
            </w:pPr>
          </w:p>
        </w:tc>
        <w:tc>
          <w:tcPr>
            <w:tcW w:w="0" w:type="auto"/>
            <w:vMerge/>
            <w:vAlign w:val="center"/>
            <w:hideMark/>
          </w:tcPr>
          <w:p w14:paraId="274FC85E"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3AC6766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1.174.671.000</w:t>
            </w:r>
          </w:p>
        </w:tc>
        <w:tc>
          <w:tcPr>
            <w:tcW w:w="0" w:type="auto"/>
            <w:tcMar>
              <w:top w:w="30" w:type="dxa"/>
              <w:left w:w="45" w:type="dxa"/>
              <w:bottom w:w="30" w:type="dxa"/>
              <w:right w:w="45" w:type="dxa"/>
            </w:tcMar>
            <w:vAlign w:val="center"/>
            <w:hideMark/>
          </w:tcPr>
          <w:p w14:paraId="6AB9D08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957.588.350</w:t>
            </w:r>
          </w:p>
        </w:tc>
        <w:tc>
          <w:tcPr>
            <w:tcW w:w="0" w:type="auto"/>
            <w:tcMar>
              <w:top w:w="30" w:type="dxa"/>
              <w:left w:w="45" w:type="dxa"/>
              <w:bottom w:w="30" w:type="dxa"/>
              <w:right w:w="45" w:type="dxa"/>
            </w:tcMar>
            <w:vAlign w:val="center"/>
            <w:hideMark/>
          </w:tcPr>
          <w:p w14:paraId="75815C8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918.076.162</w:t>
            </w:r>
          </w:p>
        </w:tc>
        <w:tc>
          <w:tcPr>
            <w:tcW w:w="0" w:type="auto"/>
            <w:tcMar>
              <w:top w:w="30" w:type="dxa"/>
              <w:left w:w="45" w:type="dxa"/>
              <w:bottom w:w="30" w:type="dxa"/>
              <w:right w:w="45" w:type="dxa"/>
            </w:tcMar>
            <w:vAlign w:val="center"/>
            <w:hideMark/>
          </w:tcPr>
          <w:p w14:paraId="7EC680B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891.336.079</w:t>
            </w:r>
          </w:p>
        </w:tc>
        <w:tc>
          <w:tcPr>
            <w:tcW w:w="0" w:type="auto"/>
            <w:vMerge/>
            <w:vAlign w:val="center"/>
            <w:hideMark/>
          </w:tcPr>
          <w:p w14:paraId="204449F1" w14:textId="77777777" w:rsidR="00856F66" w:rsidRPr="00E31657" w:rsidRDefault="00856F66" w:rsidP="00481E0A">
            <w:pPr>
              <w:rPr>
                <w:rFonts w:cs="Arial"/>
                <w:b/>
                <w:bCs/>
                <w:sz w:val="16"/>
                <w:szCs w:val="16"/>
                <w:lang w:val="es-ES_tradnl" w:eastAsia="es-MX"/>
              </w:rPr>
            </w:pPr>
          </w:p>
        </w:tc>
      </w:tr>
      <w:tr w:rsidR="00856F66" w:rsidRPr="00E31657" w14:paraId="43E338C0" w14:textId="77777777" w:rsidTr="00F974BB">
        <w:trPr>
          <w:trHeight w:val="315"/>
        </w:trPr>
        <w:tc>
          <w:tcPr>
            <w:tcW w:w="0" w:type="auto"/>
            <w:vMerge w:val="restart"/>
            <w:tcMar>
              <w:top w:w="30" w:type="dxa"/>
              <w:left w:w="45" w:type="dxa"/>
              <w:bottom w:w="30" w:type="dxa"/>
              <w:right w:w="45" w:type="dxa"/>
            </w:tcMar>
            <w:vAlign w:val="center"/>
            <w:hideMark/>
          </w:tcPr>
          <w:p w14:paraId="72D90AA0"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Vincular a 3.275 agentes personas artesanas colectivos emprendimientos y organizaciones de las industrias culturales y creativas en los eslabones de la cadena de valor promoviendo la sostenibilidad del ecosistema creativo en Bogotá.</w:t>
            </w:r>
          </w:p>
        </w:tc>
        <w:tc>
          <w:tcPr>
            <w:tcW w:w="0" w:type="auto"/>
            <w:vMerge w:val="restart"/>
            <w:tcMar>
              <w:top w:w="30" w:type="dxa"/>
              <w:left w:w="45" w:type="dxa"/>
              <w:bottom w:w="30" w:type="dxa"/>
              <w:right w:w="45" w:type="dxa"/>
            </w:tcMar>
            <w:vAlign w:val="center"/>
            <w:hideMark/>
          </w:tcPr>
          <w:p w14:paraId="0B7984A7"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2322</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4FE2BD2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Sistema de Información Pandora 2023</w:t>
            </w:r>
          </w:p>
        </w:tc>
        <w:tc>
          <w:tcPr>
            <w:tcW w:w="0" w:type="auto"/>
            <w:tcMar>
              <w:top w:w="30" w:type="dxa"/>
              <w:left w:w="45" w:type="dxa"/>
              <w:bottom w:w="30" w:type="dxa"/>
              <w:right w:w="45" w:type="dxa"/>
            </w:tcMar>
            <w:vAlign w:val="center"/>
            <w:hideMark/>
          </w:tcPr>
          <w:p w14:paraId="487E793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493</w:t>
            </w:r>
          </w:p>
        </w:tc>
        <w:tc>
          <w:tcPr>
            <w:tcW w:w="0" w:type="auto"/>
            <w:tcMar>
              <w:top w:w="30" w:type="dxa"/>
              <w:left w:w="45" w:type="dxa"/>
              <w:bottom w:w="30" w:type="dxa"/>
              <w:right w:w="45" w:type="dxa"/>
            </w:tcMar>
            <w:vAlign w:val="center"/>
            <w:hideMark/>
          </w:tcPr>
          <w:p w14:paraId="36FE530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878</w:t>
            </w:r>
          </w:p>
        </w:tc>
        <w:tc>
          <w:tcPr>
            <w:tcW w:w="0" w:type="auto"/>
            <w:tcMar>
              <w:top w:w="30" w:type="dxa"/>
              <w:left w:w="45" w:type="dxa"/>
              <w:bottom w:w="30" w:type="dxa"/>
              <w:right w:w="45" w:type="dxa"/>
            </w:tcMar>
            <w:vAlign w:val="center"/>
            <w:hideMark/>
          </w:tcPr>
          <w:p w14:paraId="55C532E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927</w:t>
            </w:r>
          </w:p>
        </w:tc>
        <w:tc>
          <w:tcPr>
            <w:tcW w:w="0" w:type="auto"/>
            <w:tcMar>
              <w:top w:w="30" w:type="dxa"/>
              <w:left w:w="45" w:type="dxa"/>
              <w:bottom w:w="30" w:type="dxa"/>
              <w:right w:w="45" w:type="dxa"/>
            </w:tcMar>
            <w:vAlign w:val="center"/>
            <w:hideMark/>
          </w:tcPr>
          <w:p w14:paraId="093D9FB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977</w:t>
            </w:r>
          </w:p>
        </w:tc>
        <w:tc>
          <w:tcPr>
            <w:tcW w:w="0" w:type="auto"/>
            <w:vMerge w:val="restart"/>
            <w:tcMar>
              <w:top w:w="30" w:type="dxa"/>
              <w:left w:w="45" w:type="dxa"/>
              <w:bottom w:w="30" w:type="dxa"/>
              <w:right w:w="45" w:type="dxa"/>
            </w:tcMar>
            <w:vAlign w:val="center"/>
            <w:hideMark/>
          </w:tcPr>
          <w:p w14:paraId="1C249E8D"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35.307.833.415</w:t>
            </w:r>
          </w:p>
        </w:tc>
      </w:tr>
      <w:tr w:rsidR="00856F66" w:rsidRPr="00E31657" w14:paraId="4877C3AE" w14:textId="77777777" w:rsidTr="00F974BB">
        <w:trPr>
          <w:trHeight w:val="315"/>
        </w:trPr>
        <w:tc>
          <w:tcPr>
            <w:tcW w:w="0" w:type="auto"/>
            <w:vMerge/>
            <w:vAlign w:val="center"/>
            <w:hideMark/>
          </w:tcPr>
          <w:p w14:paraId="7F04FA0F" w14:textId="77777777" w:rsidR="00856F66" w:rsidRPr="00E31657" w:rsidRDefault="00856F66" w:rsidP="00481E0A">
            <w:pPr>
              <w:rPr>
                <w:rFonts w:cs="Arial"/>
                <w:sz w:val="16"/>
                <w:szCs w:val="16"/>
                <w:lang w:val="es-ES_tradnl" w:eastAsia="es-MX"/>
              </w:rPr>
            </w:pPr>
          </w:p>
        </w:tc>
        <w:tc>
          <w:tcPr>
            <w:tcW w:w="0" w:type="auto"/>
            <w:vMerge/>
            <w:vAlign w:val="center"/>
            <w:hideMark/>
          </w:tcPr>
          <w:p w14:paraId="7CFA0942" w14:textId="77777777" w:rsidR="00856F66" w:rsidRPr="00E31657" w:rsidRDefault="00856F66" w:rsidP="00481E0A">
            <w:pPr>
              <w:rPr>
                <w:rFonts w:cs="Arial"/>
                <w:sz w:val="16"/>
                <w:szCs w:val="16"/>
                <w:lang w:val="es-ES_tradnl" w:eastAsia="es-MX"/>
              </w:rPr>
            </w:pPr>
          </w:p>
        </w:tc>
        <w:tc>
          <w:tcPr>
            <w:tcW w:w="0" w:type="auto"/>
            <w:vMerge/>
            <w:vAlign w:val="center"/>
            <w:hideMark/>
          </w:tcPr>
          <w:p w14:paraId="1F4213E7"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4502403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6.292.070.000</w:t>
            </w:r>
          </w:p>
        </w:tc>
        <w:tc>
          <w:tcPr>
            <w:tcW w:w="0" w:type="auto"/>
            <w:tcMar>
              <w:top w:w="30" w:type="dxa"/>
              <w:left w:w="45" w:type="dxa"/>
              <w:bottom w:w="30" w:type="dxa"/>
              <w:right w:w="45" w:type="dxa"/>
            </w:tcMar>
            <w:vAlign w:val="center"/>
            <w:hideMark/>
          </w:tcPr>
          <w:p w14:paraId="02653EEB"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8.556.256.311</w:t>
            </w:r>
          </w:p>
        </w:tc>
        <w:tc>
          <w:tcPr>
            <w:tcW w:w="0" w:type="auto"/>
            <w:tcMar>
              <w:top w:w="30" w:type="dxa"/>
              <w:left w:w="45" w:type="dxa"/>
              <w:bottom w:w="30" w:type="dxa"/>
              <w:right w:w="45" w:type="dxa"/>
            </w:tcMar>
            <w:vAlign w:val="center"/>
            <w:hideMark/>
          </w:tcPr>
          <w:p w14:paraId="012B69C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10.100.475.068</w:t>
            </w:r>
          </w:p>
        </w:tc>
        <w:tc>
          <w:tcPr>
            <w:tcW w:w="0" w:type="auto"/>
            <w:tcMar>
              <w:top w:w="30" w:type="dxa"/>
              <w:left w:w="45" w:type="dxa"/>
              <w:bottom w:w="30" w:type="dxa"/>
              <w:right w:w="45" w:type="dxa"/>
            </w:tcMar>
            <w:vAlign w:val="center"/>
            <w:hideMark/>
          </w:tcPr>
          <w:p w14:paraId="7986D2A9"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10.359.032.036</w:t>
            </w:r>
          </w:p>
        </w:tc>
        <w:tc>
          <w:tcPr>
            <w:tcW w:w="0" w:type="auto"/>
            <w:vMerge/>
            <w:vAlign w:val="center"/>
            <w:hideMark/>
          </w:tcPr>
          <w:p w14:paraId="444C9187" w14:textId="77777777" w:rsidR="00856F66" w:rsidRPr="00E31657" w:rsidRDefault="00856F66" w:rsidP="00481E0A">
            <w:pPr>
              <w:rPr>
                <w:rFonts w:cs="Arial"/>
                <w:b/>
                <w:bCs/>
                <w:sz w:val="16"/>
                <w:szCs w:val="16"/>
                <w:lang w:val="es-ES_tradnl" w:eastAsia="es-MX"/>
              </w:rPr>
            </w:pPr>
          </w:p>
        </w:tc>
      </w:tr>
      <w:tr w:rsidR="00856F66" w:rsidRPr="00E31657" w14:paraId="0E378EB3"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359AC9AC"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Desarrollo económico</w:t>
            </w:r>
          </w:p>
        </w:tc>
      </w:tr>
      <w:tr w:rsidR="00856F66" w:rsidRPr="00E31657" w14:paraId="6F0EEE33" w14:textId="77777777" w:rsidTr="00F974BB">
        <w:trPr>
          <w:trHeight w:val="315"/>
        </w:trPr>
        <w:tc>
          <w:tcPr>
            <w:tcW w:w="0" w:type="auto"/>
            <w:vMerge w:val="restart"/>
            <w:tcMar>
              <w:top w:w="30" w:type="dxa"/>
              <w:left w:w="45" w:type="dxa"/>
              <w:bottom w:w="30" w:type="dxa"/>
              <w:right w:w="45" w:type="dxa"/>
            </w:tcMar>
            <w:vAlign w:val="center"/>
            <w:hideMark/>
          </w:tcPr>
          <w:p w14:paraId="046A19E2"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Apoyar financieramente a 36.000 negocios locales con el fin de contribuir a su fortalecimiento sostenibilidad y crecimiento</w:t>
            </w:r>
          </w:p>
        </w:tc>
        <w:tc>
          <w:tcPr>
            <w:tcW w:w="0" w:type="auto"/>
            <w:vMerge w:val="restart"/>
            <w:tcMar>
              <w:top w:w="30" w:type="dxa"/>
              <w:left w:w="45" w:type="dxa"/>
              <w:bottom w:w="30" w:type="dxa"/>
              <w:right w:w="45" w:type="dxa"/>
            </w:tcMar>
            <w:vAlign w:val="center"/>
            <w:hideMark/>
          </w:tcPr>
          <w:p w14:paraId="756FB70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40639</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59CEB0F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SUIM-SEGPLAN</w:t>
            </w:r>
          </w:p>
        </w:tc>
        <w:tc>
          <w:tcPr>
            <w:tcW w:w="0" w:type="auto"/>
            <w:tcMar>
              <w:top w:w="30" w:type="dxa"/>
              <w:left w:w="45" w:type="dxa"/>
              <w:bottom w:w="30" w:type="dxa"/>
              <w:right w:w="45" w:type="dxa"/>
            </w:tcMar>
            <w:vAlign w:val="center"/>
            <w:hideMark/>
          </w:tcPr>
          <w:p w14:paraId="69689B2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8.523</w:t>
            </w:r>
          </w:p>
        </w:tc>
        <w:tc>
          <w:tcPr>
            <w:tcW w:w="0" w:type="auto"/>
            <w:tcMar>
              <w:top w:w="30" w:type="dxa"/>
              <w:left w:w="45" w:type="dxa"/>
              <w:bottom w:w="30" w:type="dxa"/>
              <w:right w:w="45" w:type="dxa"/>
            </w:tcMar>
            <w:vAlign w:val="center"/>
            <w:hideMark/>
          </w:tcPr>
          <w:p w14:paraId="6D15C8D7"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8.202</w:t>
            </w:r>
          </w:p>
        </w:tc>
        <w:tc>
          <w:tcPr>
            <w:tcW w:w="0" w:type="auto"/>
            <w:tcMar>
              <w:top w:w="30" w:type="dxa"/>
              <w:left w:w="45" w:type="dxa"/>
              <w:bottom w:w="30" w:type="dxa"/>
              <w:right w:w="45" w:type="dxa"/>
            </w:tcMar>
            <w:vAlign w:val="center"/>
            <w:hideMark/>
          </w:tcPr>
          <w:p w14:paraId="77C6C27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9.623</w:t>
            </w:r>
          </w:p>
        </w:tc>
        <w:tc>
          <w:tcPr>
            <w:tcW w:w="0" w:type="auto"/>
            <w:tcMar>
              <w:top w:w="30" w:type="dxa"/>
              <w:left w:w="45" w:type="dxa"/>
              <w:bottom w:w="30" w:type="dxa"/>
              <w:right w:w="45" w:type="dxa"/>
            </w:tcMar>
            <w:vAlign w:val="center"/>
            <w:hideMark/>
          </w:tcPr>
          <w:p w14:paraId="1F1FFBE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9.652</w:t>
            </w:r>
          </w:p>
        </w:tc>
        <w:tc>
          <w:tcPr>
            <w:tcW w:w="0" w:type="auto"/>
            <w:vMerge w:val="restart"/>
            <w:tcMar>
              <w:top w:w="30" w:type="dxa"/>
              <w:left w:w="45" w:type="dxa"/>
              <w:bottom w:w="30" w:type="dxa"/>
              <w:right w:w="45" w:type="dxa"/>
            </w:tcMar>
            <w:vAlign w:val="center"/>
            <w:hideMark/>
          </w:tcPr>
          <w:p w14:paraId="29103D5D"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86.884.180.595</w:t>
            </w:r>
          </w:p>
        </w:tc>
      </w:tr>
      <w:tr w:rsidR="00856F66" w:rsidRPr="00E31657" w14:paraId="54C159C0" w14:textId="77777777" w:rsidTr="00F974BB">
        <w:trPr>
          <w:trHeight w:val="570"/>
        </w:trPr>
        <w:tc>
          <w:tcPr>
            <w:tcW w:w="0" w:type="auto"/>
            <w:vMerge/>
            <w:vAlign w:val="center"/>
            <w:hideMark/>
          </w:tcPr>
          <w:p w14:paraId="2AD51D6E"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4CD6C506" w14:textId="77777777" w:rsidR="00856F66" w:rsidRPr="00E31657" w:rsidRDefault="00856F66" w:rsidP="00481E0A">
            <w:pPr>
              <w:rPr>
                <w:rFonts w:cs="Arial"/>
                <w:sz w:val="16"/>
                <w:szCs w:val="16"/>
                <w:lang w:val="es-ES_tradnl" w:eastAsia="es-MX"/>
              </w:rPr>
            </w:pPr>
          </w:p>
        </w:tc>
        <w:tc>
          <w:tcPr>
            <w:tcW w:w="0" w:type="auto"/>
            <w:vMerge/>
            <w:vAlign w:val="center"/>
            <w:hideMark/>
          </w:tcPr>
          <w:p w14:paraId="66515CA1"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5A5B8A7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19.970.432.863</w:t>
            </w:r>
          </w:p>
        </w:tc>
        <w:tc>
          <w:tcPr>
            <w:tcW w:w="0" w:type="auto"/>
            <w:tcMar>
              <w:top w:w="30" w:type="dxa"/>
              <w:left w:w="45" w:type="dxa"/>
              <w:bottom w:w="30" w:type="dxa"/>
              <w:right w:w="45" w:type="dxa"/>
            </w:tcMar>
            <w:vAlign w:val="center"/>
            <w:hideMark/>
          </w:tcPr>
          <w:p w14:paraId="04DAF7DB"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20.373.351.359</w:t>
            </w:r>
          </w:p>
        </w:tc>
        <w:tc>
          <w:tcPr>
            <w:tcW w:w="0" w:type="auto"/>
            <w:tcMar>
              <w:top w:w="30" w:type="dxa"/>
              <w:left w:w="45" w:type="dxa"/>
              <w:bottom w:w="30" w:type="dxa"/>
              <w:right w:w="45" w:type="dxa"/>
            </w:tcMar>
            <w:vAlign w:val="center"/>
            <w:hideMark/>
          </w:tcPr>
          <w:p w14:paraId="5F63482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22.720.516.458</w:t>
            </w:r>
          </w:p>
        </w:tc>
        <w:tc>
          <w:tcPr>
            <w:tcW w:w="0" w:type="auto"/>
            <w:tcMar>
              <w:top w:w="30" w:type="dxa"/>
              <w:left w:w="45" w:type="dxa"/>
              <w:bottom w:w="30" w:type="dxa"/>
              <w:right w:w="45" w:type="dxa"/>
            </w:tcMar>
            <w:vAlign w:val="center"/>
            <w:hideMark/>
          </w:tcPr>
          <w:p w14:paraId="7ED2DCF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23.819.879.915</w:t>
            </w:r>
          </w:p>
        </w:tc>
        <w:tc>
          <w:tcPr>
            <w:tcW w:w="0" w:type="auto"/>
            <w:vMerge/>
            <w:vAlign w:val="center"/>
            <w:hideMark/>
          </w:tcPr>
          <w:p w14:paraId="7A742521" w14:textId="77777777" w:rsidR="00856F66" w:rsidRPr="00E31657" w:rsidRDefault="00856F66" w:rsidP="00481E0A">
            <w:pPr>
              <w:rPr>
                <w:rFonts w:cs="Arial"/>
                <w:b/>
                <w:bCs/>
                <w:sz w:val="16"/>
                <w:szCs w:val="16"/>
                <w:lang w:val="es-ES_tradnl" w:eastAsia="es-MX"/>
              </w:rPr>
            </w:pPr>
          </w:p>
        </w:tc>
      </w:tr>
      <w:tr w:rsidR="00856F66" w:rsidRPr="00E31657" w14:paraId="77081C6F" w14:textId="77777777" w:rsidTr="00F974BB">
        <w:trPr>
          <w:trHeight w:val="570"/>
        </w:trPr>
        <w:tc>
          <w:tcPr>
            <w:tcW w:w="0" w:type="auto"/>
            <w:vMerge w:val="restart"/>
            <w:tcMar>
              <w:top w:w="30" w:type="dxa"/>
              <w:left w:w="45" w:type="dxa"/>
              <w:bottom w:w="30" w:type="dxa"/>
              <w:right w:w="45" w:type="dxa"/>
            </w:tcMar>
            <w:vAlign w:val="center"/>
            <w:hideMark/>
          </w:tcPr>
          <w:p w14:paraId="189CF0D8"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lastRenderedPageBreak/>
              <w:t>Atender al menos 2.000 personas con alternativas de aprovechamiento económico del espacio público incluyendo también las relacionadas al sistema de transporte de la ciudad.</w:t>
            </w:r>
          </w:p>
        </w:tc>
        <w:tc>
          <w:tcPr>
            <w:tcW w:w="0" w:type="auto"/>
            <w:vMerge w:val="restart"/>
            <w:tcMar>
              <w:top w:w="30" w:type="dxa"/>
              <w:left w:w="45" w:type="dxa"/>
              <w:bottom w:w="30" w:type="dxa"/>
              <w:right w:w="45" w:type="dxa"/>
            </w:tcMar>
            <w:vAlign w:val="center"/>
            <w:hideMark/>
          </w:tcPr>
          <w:p w14:paraId="57D05CFE"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 xml:space="preserve">1100 Fuente PMR IPES </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6F8C63E6"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IPES</w:t>
            </w:r>
          </w:p>
        </w:tc>
        <w:tc>
          <w:tcPr>
            <w:tcW w:w="0" w:type="auto"/>
            <w:tcMar>
              <w:top w:w="30" w:type="dxa"/>
              <w:left w:w="45" w:type="dxa"/>
              <w:bottom w:w="30" w:type="dxa"/>
              <w:right w:w="45" w:type="dxa"/>
            </w:tcMar>
            <w:vAlign w:val="center"/>
            <w:hideMark/>
          </w:tcPr>
          <w:p w14:paraId="77E1506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200</w:t>
            </w:r>
          </w:p>
        </w:tc>
        <w:tc>
          <w:tcPr>
            <w:tcW w:w="0" w:type="auto"/>
            <w:tcMar>
              <w:top w:w="30" w:type="dxa"/>
              <w:left w:w="45" w:type="dxa"/>
              <w:bottom w:w="30" w:type="dxa"/>
              <w:right w:w="45" w:type="dxa"/>
            </w:tcMar>
            <w:vAlign w:val="center"/>
            <w:hideMark/>
          </w:tcPr>
          <w:p w14:paraId="19D6AEAE"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500</w:t>
            </w:r>
          </w:p>
        </w:tc>
        <w:tc>
          <w:tcPr>
            <w:tcW w:w="0" w:type="auto"/>
            <w:tcMar>
              <w:top w:w="30" w:type="dxa"/>
              <w:left w:w="45" w:type="dxa"/>
              <w:bottom w:w="30" w:type="dxa"/>
              <w:right w:w="45" w:type="dxa"/>
            </w:tcMar>
            <w:vAlign w:val="center"/>
            <w:hideMark/>
          </w:tcPr>
          <w:p w14:paraId="5BF7F74A"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600</w:t>
            </w:r>
          </w:p>
        </w:tc>
        <w:tc>
          <w:tcPr>
            <w:tcW w:w="0" w:type="auto"/>
            <w:tcMar>
              <w:top w:w="30" w:type="dxa"/>
              <w:left w:w="45" w:type="dxa"/>
              <w:bottom w:w="30" w:type="dxa"/>
              <w:right w:w="45" w:type="dxa"/>
            </w:tcMar>
            <w:vAlign w:val="center"/>
            <w:hideMark/>
          </w:tcPr>
          <w:p w14:paraId="52D6C6E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700</w:t>
            </w:r>
          </w:p>
        </w:tc>
        <w:tc>
          <w:tcPr>
            <w:tcW w:w="0" w:type="auto"/>
            <w:vMerge w:val="restart"/>
            <w:tcMar>
              <w:top w:w="30" w:type="dxa"/>
              <w:left w:w="45" w:type="dxa"/>
              <w:bottom w:w="30" w:type="dxa"/>
              <w:right w:w="45" w:type="dxa"/>
            </w:tcMar>
            <w:vAlign w:val="center"/>
            <w:hideMark/>
          </w:tcPr>
          <w:p w14:paraId="149A1AF0"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16.634.907.424</w:t>
            </w:r>
          </w:p>
        </w:tc>
      </w:tr>
      <w:tr w:rsidR="00856F66" w:rsidRPr="00E31657" w14:paraId="12638B2F" w14:textId="77777777" w:rsidTr="00F974BB">
        <w:trPr>
          <w:trHeight w:val="570"/>
        </w:trPr>
        <w:tc>
          <w:tcPr>
            <w:tcW w:w="0" w:type="auto"/>
            <w:vMerge/>
            <w:vAlign w:val="center"/>
            <w:hideMark/>
          </w:tcPr>
          <w:p w14:paraId="0D37D7D2"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325F52C1" w14:textId="77777777" w:rsidR="00856F66" w:rsidRPr="00E31657" w:rsidRDefault="00856F66" w:rsidP="00481E0A">
            <w:pPr>
              <w:rPr>
                <w:rFonts w:cs="Arial"/>
                <w:sz w:val="16"/>
                <w:szCs w:val="16"/>
                <w:lang w:val="es-ES_tradnl" w:eastAsia="es-MX"/>
              </w:rPr>
            </w:pPr>
          </w:p>
        </w:tc>
        <w:tc>
          <w:tcPr>
            <w:tcW w:w="0" w:type="auto"/>
            <w:vMerge/>
            <w:vAlign w:val="center"/>
            <w:hideMark/>
          </w:tcPr>
          <w:p w14:paraId="0DF68A30"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461FFF4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5.517.190.079</w:t>
            </w:r>
          </w:p>
        </w:tc>
        <w:tc>
          <w:tcPr>
            <w:tcW w:w="0" w:type="auto"/>
            <w:tcMar>
              <w:top w:w="30" w:type="dxa"/>
              <w:left w:w="45" w:type="dxa"/>
              <w:bottom w:w="30" w:type="dxa"/>
              <w:right w:w="45" w:type="dxa"/>
            </w:tcMar>
            <w:vAlign w:val="center"/>
            <w:hideMark/>
          </w:tcPr>
          <w:p w14:paraId="5490DDD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3.689.320.388</w:t>
            </w:r>
          </w:p>
        </w:tc>
        <w:tc>
          <w:tcPr>
            <w:tcW w:w="0" w:type="auto"/>
            <w:tcMar>
              <w:top w:w="30" w:type="dxa"/>
              <w:left w:w="45" w:type="dxa"/>
              <w:bottom w:w="30" w:type="dxa"/>
              <w:right w:w="45" w:type="dxa"/>
            </w:tcMar>
            <w:vAlign w:val="center"/>
            <w:hideMark/>
          </w:tcPr>
          <w:p w14:paraId="549C8BC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2.922.047.318</w:t>
            </w:r>
          </w:p>
        </w:tc>
        <w:tc>
          <w:tcPr>
            <w:tcW w:w="0" w:type="auto"/>
            <w:tcMar>
              <w:top w:w="30" w:type="dxa"/>
              <w:left w:w="45" w:type="dxa"/>
              <w:bottom w:w="30" w:type="dxa"/>
              <w:right w:w="45" w:type="dxa"/>
            </w:tcMar>
            <w:vAlign w:val="center"/>
            <w:hideMark/>
          </w:tcPr>
          <w:p w14:paraId="14AA397E"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4.506.349.638</w:t>
            </w:r>
          </w:p>
        </w:tc>
        <w:tc>
          <w:tcPr>
            <w:tcW w:w="0" w:type="auto"/>
            <w:vMerge/>
            <w:vAlign w:val="center"/>
            <w:hideMark/>
          </w:tcPr>
          <w:p w14:paraId="616C4A19" w14:textId="77777777" w:rsidR="00856F66" w:rsidRPr="00E31657" w:rsidRDefault="00856F66" w:rsidP="00481E0A">
            <w:pPr>
              <w:rPr>
                <w:rFonts w:cs="Arial"/>
                <w:b/>
                <w:bCs/>
                <w:sz w:val="16"/>
                <w:szCs w:val="16"/>
                <w:lang w:val="es-ES_tradnl" w:eastAsia="es-MX"/>
              </w:rPr>
            </w:pPr>
          </w:p>
        </w:tc>
      </w:tr>
      <w:tr w:rsidR="00856F66" w:rsidRPr="00E31657" w14:paraId="2421CD14" w14:textId="77777777" w:rsidTr="00F974BB">
        <w:trPr>
          <w:trHeight w:val="570"/>
        </w:trPr>
        <w:tc>
          <w:tcPr>
            <w:tcW w:w="0" w:type="auto"/>
            <w:vMerge w:val="restart"/>
            <w:tcMar>
              <w:top w:w="30" w:type="dxa"/>
              <w:left w:w="45" w:type="dxa"/>
              <w:bottom w:w="30" w:type="dxa"/>
              <w:right w:w="45" w:type="dxa"/>
            </w:tcMar>
            <w:vAlign w:val="center"/>
            <w:hideMark/>
          </w:tcPr>
          <w:p w14:paraId="0FDF4559"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Desarrollar 6.500 conexiones para promover la intermediación empresarial de los negocios locales en los mercados</w:t>
            </w:r>
          </w:p>
        </w:tc>
        <w:tc>
          <w:tcPr>
            <w:tcW w:w="0" w:type="auto"/>
            <w:vMerge w:val="restart"/>
            <w:tcMar>
              <w:top w:w="30" w:type="dxa"/>
              <w:left w:w="45" w:type="dxa"/>
              <w:bottom w:w="30" w:type="dxa"/>
              <w:right w:w="45" w:type="dxa"/>
            </w:tcMar>
            <w:vAlign w:val="center"/>
            <w:hideMark/>
          </w:tcPr>
          <w:p w14:paraId="03740E7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4080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165AFE36"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SUIM</w:t>
            </w:r>
          </w:p>
        </w:tc>
        <w:tc>
          <w:tcPr>
            <w:tcW w:w="0" w:type="auto"/>
            <w:tcMar>
              <w:top w:w="30" w:type="dxa"/>
              <w:left w:w="45" w:type="dxa"/>
              <w:bottom w:w="30" w:type="dxa"/>
              <w:right w:w="45" w:type="dxa"/>
            </w:tcMar>
            <w:vAlign w:val="center"/>
            <w:hideMark/>
          </w:tcPr>
          <w:p w14:paraId="3BD72C7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2.080</w:t>
            </w:r>
          </w:p>
        </w:tc>
        <w:tc>
          <w:tcPr>
            <w:tcW w:w="0" w:type="auto"/>
            <w:tcMar>
              <w:top w:w="30" w:type="dxa"/>
              <w:left w:w="45" w:type="dxa"/>
              <w:bottom w:w="30" w:type="dxa"/>
              <w:right w:w="45" w:type="dxa"/>
            </w:tcMar>
            <w:vAlign w:val="center"/>
            <w:hideMark/>
          </w:tcPr>
          <w:p w14:paraId="48D0C83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1.244</w:t>
            </w:r>
          </w:p>
        </w:tc>
        <w:tc>
          <w:tcPr>
            <w:tcW w:w="0" w:type="auto"/>
            <w:tcMar>
              <w:top w:w="30" w:type="dxa"/>
              <w:left w:w="45" w:type="dxa"/>
              <w:bottom w:w="30" w:type="dxa"/>
              <w:right w:w="45" w:type="dxa"/>
            </w:tcMar>
            <w:vAlign w:val="center"/>
            <w:hideMark/>
          </w:tcPr>
          <w:p w14:paraId="0C9CAAD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1.524</w:t>
            </w:r>
          </w:p>
        </w:tc>
        <w:tc>
          <w:tcPr>
            <w:tcW w:w="0" w:type="auto"/>
            <w:tcMar>
              <w:top w:w="30" w:type="dxa"/>
              <w:left w:w="45" w:type="dxa"/>
              <w:bottom w:w="30" w:type="dxa"/>
              <w:right w:w="45" w:type="dxa"/>
            </w:tcMar>
            <w:vAlign w:val="center"/>
            <w:hideMark/>
          </w:tcPr>
          <w:p w14:paraId="7151AB1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1.652</w:t>
            </w:r>
          </w:p>
        </w:tc>
        <w:tc>
          <w:tcPr>
            <w:tcW w:w="0" w:type="auto"/>
            <w:vMerge w:val="restart"/>
            <w:tcMar>
              <w:top w:w="30" w:type="dxa"/>
              <w:left w:w="45" w:type="dxa"/>
              <w:bottom w:w="30" w:type="dxa"/>
              <w:right w:w="45" w:type="dxa"/>
            </w:tcMar>
            <w:vAlign w:val="center"/>
            <w:hideMark/>
          </w:tcPr>
          <w:p w14:paraId="651CFCF9"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21.496.715.982</w:t>
            </w:r>
          </w:p>
        </w:tc>
      </w:tr>
      <w:tr w:rsidR="00856F66" w:rsidRPr="00E31657" w14:paraId="6618484F" w14:textId="77777777" w:rsidTr="00F974BB">
        <w:trPr>
          <w:trHeight w:val="570"/>
        </w:trPr>
        <w:tc>
          <w:tcPr>
            <w:tcW w:w="0" w:type="auto"/>
            <w:vMerge/>
            <w:vAlign w:val="center"/>
            <w:hideMark/>
          </w:tcPr>
          <w:p w14:paraId="3FC52BF7"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0A348950" w14:textId="77777777" w:rsidR="00856F66" w:rsidRPr="00E31657" w:rsidRDefault="00856F66" w:rsidP="00481E0A">
            <w:pPr>
              <w:rPr>
                <w:rFonts w:cs="Arial"/>
                <w:sz w:val="16"/>
                <w:szCs w:val="16"/>
                <w:lang w:val="es-ES_tradnl" w:eastAsia="es-MX"/>
              </w:rPr>
            </w:pPr>
          </w:p>
        </w:tc>
        <w:tc>
          <w:tcPr>
            <w:tcW w:w="0" w:type="auto"/>
            <w:vMerge/>
            <w:vAlign w:val="center"/>
            <w:hideMark/>
          </w:tcPr>
          <w:p w14:paraId="1C8468BA"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1EB276E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3.887.835.000</w:t>
            </w:r>
          </w:p>
        </w:tc>
        <w:tc>
          <w:tcPr>
            <w:tcW w:w="0" w:type="auto"/>
            <w:tcMar>
              <w:top w:w="30" w:type="dxa"/>
              <w:left w:w="45" w:type="dxa"/>
              <w:bottom w:w="30" w:type="dxa"/>
              <w:right w:w="45" w:type="dxa"/>
            </w:tcMar>
            <w:vAlign w:val="center"/>
            <w:hideMark/>
          </w:tcPr>
          <w:p w14:paraId="3F88FCE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5.361.408.252</w:t>
            </w:r>
          </w:p>
        </w:tc>
        <w:tc>
          <w:tcPr>
            <w:tcW w:w="0" w:type="auto"/>
            <w:tcMar>
              <w:top w:w="30" w:type="dxa"/>
              <w:left w:w="45" w:type="dxa"/>
              <w:bottom w:w="30" w:type="dxa"/>
              <w:right w:w="45" w:type="dxa"/>
            </w:tcMar>
            <w:vAlign w:val="center"/>
            <w:hideMark/>
          </w:tcPr>
          <w:p w14:paraId="055BC4A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5.979.083.278</w:t>
            </w:r>
          </w:p>
        </w:tc>
        <w:tc>
          <w:tcPr>
            <w:tcW w:w="0" w:type="auto"/>
            <w:tcMar>
              <w:top w:w="30" w:type="dxa"/>
              <w:left w:w="45" w:type="dxa"/>
              <w:bottom w:w="30" w:type="dxa"/>
              <w:right w:w="45" w:type="dxa"/>
            </w:tcMar>
            <w:vAlign w:val="center"/>
            <w:hideMark/>
          </w:tcPr>
          <w:p w14:paraId="2C92EE4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6.268.389.451</w:t>
            </w:r>
          </w:p>
        </w:tc>
        <w:tc>
          <w:tcPr>
            <w:tcW w:w="0" w:type="auto"/>
            <w:vMerge/>
            <w:vAlign w:val="center"/>
            <w:hideMark/>
          </w:tcPr>
          <w:p w14:paraId="1BCB6CC3" w14:textId="77777777" w:rsidR="00856F66" w:rsidRPr="00E31657" w:rsidRDefault="00856F66" w:rsidP="00481E0A">
            <w:pPr>
              <w:rPr>
                <w:rFonts w:cs="Arial"/>
                <w:b/>
                <w:bCs/>
                <w:sz w:val="16"/>
                <w:szCs w:val="16"/>
                <w:lang w:val="es-ES_tradnl" w:eastAsia="es-MX"/>
              </w:rPr>
            </w:pPr>
          </w:p>
        </w:tc>
      </w:tr>
      <w:tr w:rsidR="00856F66" w:rsidRPr="00E31657" w14:paraId="79196E21" w14:textId="77777777" w:rsidTr="00F974BB">
        <w:trPr>
          <w:trHeight w:val="570"/>
        </w:trPr>
        <w:tc>
          <w:tcPr>
            <w:tcW w:w="0" w:type="auto"/>
            <w:vMerge w:val="restart"/>
            <w:tcMar>
              <w:top w:w="30" w:type="dxa"/>
              <w:left w:w="45" w:type="dxa"/>
              <w:bottom w:w="30" w:type="dxa"/>
              <w:right w:w="45" w:type="dxa"/>
            </w:tcMar>
            <w:vAlign w:val="center"/>
            <w:hideMark/>
          </w:tcPr>
          <w:p w14:paraId="4C9AE5E0"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Ejecutar 10 productos definidos en el plan de acción de la "Política Pública Distrital de Vendedoras y Vendedores Informales" establecidos para el cuatrienio</w:t>
            </w:r>
          </w:p>
        </w:tc>
        <w:tc>
          <w:tcPr>
            <w:tcW w:w="0" w:type="auto"/>
            <w:vMerge w:val="restart"/>
            <w:tcMar>
              <w:top w:w="30" w:type="dxa"/>
              <w:left w:w="45" w:type="dxa"/>
              <w:bottom w:w="30" w:type="dxa"/>
              <w:right w:w="45" w:type="dxa"/>
            </w:tcMar>
            <w:vAlign w:val="center"/>
            <w:hideMark/>
          </w:tcPr>
          <w:p w14:paraId="6D71A0C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45% con respecto a los productos del IPES</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3B3213C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IPES</w:t>
            </w:r>
          </w:p>
        </w:tc>
        <w:tc>
          <w:tcPr>
            <w:tcW w:w="0" w:type="auto"/>
            <w:tcMar>
              <w:top w:w="30" w:type="dxa"/>
              <w:left w:w="45" w:type="dxa"/>
              <w:bottom w:w="30" w:type="dxa"/>
              <w:right w:w="45" w:type="dxa"/>
            </w:tcMar>
            <w:vAlign w:val="center"/>
            <w:hideMark/>
          </w:tcPr>
          <w:p w14:paraId="0B2D0A77"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59F73CEA"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7CE8B3F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064E396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w:t>
            </w:r>
          </w:p>
        </w:tc>
        <w:tc>
          <w:tcPr>
            <w:tcW w:w="0" w:type="auto"/>
            <w:vMerge w:val="restart"/>
            <w:tcMar>
              <w:top w:w="30" w:type="dxa"/>
              <w:left w:w="45" w:type="dxa"/>
              <w:bottom w:w="30" w:type="dxa"/>
              <w:right w:w="45" w:type="dxa"/>
            </w:tcMar>
            <w:vAlign w:val="center"/>
            <w:hideMark/>
          </w:tcPr>
          <w:p w14:paraId="01FD9A69"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37.823.589.057</w:t>
            </w:r>
          </w:p>
        </w:tc>
      </w:tr>
      <w:tr w:rsidR="00856F66" w:rsidRPr="00E31657" w14:paraId="19BD2A1A" w14:textId="77777777" w:rsidTr="00F974BB">
        <w:trPr>
          <w:trHeight w:val="570"/>
        </w:trPr>
        <w:tc>
          <w:tcPr>
            <w:tcW w:w="0" w:type="auto"/>
            <w:vMerge/>
            <w:vAlign w:val="center"/>
            <w:hideMark/>
          </w:tcPr>
          <w:p w14:paraId="5FA2ECD6" w14:textId="77777777" w:rsidR="00856F66" w:rsidRPr="00E31657" w:rsidRDefault="00856F66" w:rsidP="00481E0A">
            <w:pPr>
              <w:rPr>
                <w:rFonts w:cs="Arial"/>
                <w:sz w:val="16"/>
                <w:szCs w:val="16"/>
                <w:lang w:val="es-ES_tradnl" w:eastAsia="es-MX"/>
              </w:rPr>
            </w:pPr>
          </w:p>
        </w:tc>
        <w:tc>
          <w:tcPr>
            <w:tcW w:w="0" w:type="auto"/>
            <w:vMerge/>
            <w:vAlign w:val="center"/>
            <w:hideMark/>
          </w:tcPr>
          <w:p w14:paraId="0864C076" w14:textId="77777777" w:rsidR="00856F66" w:rsidRPr="00E31657" w:rsidRDefault="00856F66" w:rsidP="00481E0A">
            <w:pPr>
              <w:rPr>
                <w:rFonts w:cs="Arial"/>
                <w:sz w:val="16"/>
                <w:szCs w:val="16"/>
                <w:lang w:val="es-ES_tradnl" w:eastAsia="es-MX"/>
              </w:rPr>
            </w:pPr>
          </w:p>
        </w:tc>
        <w:tc>
          <w:tcPr>
            <w:tcW w:w="0" w:type="auto"/>
            <w:vMerge/>
            <w:vAlign w:val="center"/>
            <w:hideMark/>
          </w:tcPr>
          <w:p w14:paraId="1C3825DE"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3111759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1.000.000.000</w:t>
            </w:r>
          </w:p>
        </w:tc>
        <w:tc>
          <w:tcPr>
            <w:tcW w:w="0" w:type="auto"/>
            <w:tcMar>
              <w:top w:w="30" w:type="dxa"/>
              <w:left w:w="45" w:type="dxa"/>
              <w:bottom w:w="30" w:type="dxa"/>
              <w:right w:w="45" w:type="dxa"/>
            </w:tcMar>
            <w:vAlign w:val="center"/>
            <w:hideMark/>
          </w:tcPr>
          <w:p w14:paraId="05D7ECD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9.902.912.621</w:t>
            </w:r>
          </w:p>
        </w:tc>
        <w:tc>
          <w:tcPr>
            <w:tcW w:w="0" w:type="auto"/>
            <w:tcMar>
              <w:top w:w="30" w:type="dxa"/>
              <w:left w:w="45" w:type="dxa"/>
              <w:bottom w:w="30" w:type="dxa"/>
              <w:right w:w="45" w:type="dxa"/>
            </w:tcMar>
            <w:vAlign w:val="center"/>
            <w:hideMark/>
          </w:tcPr>
          <w:p w14:paraId="47A560D9"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14.200.207.371</w:t>
            </w:r>
          </w:p>
        </w:tc>
        <w:tc>
          <w:tcPr>
            <w:tcW w:w="0" w:type="auto"/>
            <w:tcMar>
              <w:top w:w="30" w:type="dxa"/>
              <w:left w:w="45" w:type="dxa"/>
              <w:bottom w:w="30" w:type="dxa"/>
              <w:right w:w="45" w:type="dxa"/>
            </w:tcMar>
            <w:vAlign w:val="center"/>
            <w:hideMark/>
          </w:tcPr>
          <w:p w14:paraId="2E814AE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12.720.469.065</w:t>
            </w:r>
          </w:p>
        </w:tc>
        <w:tc>
          <w:tcPr>
            <w:tcW w:w="0" w:type="auto"/>
            <w:vMerge/>
            <w:vAlign w:val="center"/>
            <w:hideMark/>
          </w:tcPr>
          <w:p w14:paraId="3122A914" w14:textId="77777777" w:rsidR="00856F66" w:rsidRPr="00E31657" w:rsidRDefault="00856F66" w:rsidP="00481E0A">
            <w:pPr>
              <w:rPr>
                <w:rFonts w:cs="Arial"/>
                <w:b/>
                <w:bCs/>
                <w:sz w:val="16"/>
                <w:szCs w:val="16"/>
                <w:lang w:val="es-ES_tradnl" w:eastAsia="es-MX"/>
              </w:rPr>
            </w:pPr>
          </w:p>
        </w:tc>
      </w:tr>
      <w:tr w:rsidR="00856F66" w:rsidRPr="00E31657" w14:paraId="78906CEC" w14:textId="77777777" w:rsidTr="00F974BB">
        <w:trPr>
          <w:trHeight w:val="570"/>
        </w:trPr>
        <w:tc>
          <w:tcPr>
            <w:tcW w:w="0" w:type="auto"/>
            <w:vMerge w:val="restart"/>
            <w:tcMar>
              <w:top w:w="30" w:type="dxa"/>
              <w:left w:w="45" w:type="dxa"/>
              <w:bottom w:w="30" w:type="dxa"/>
              <w:right w:w="45" w:type="dxa"/>
            </w:tcMar>
            <w:vAlign w:val="center"/>
            <w:hideMark/>
          </w:tcPr>
          <w:p w14:paraId="0904E604"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Fortalecer 58.200 negocios locales de la ciudad a través de formación y asistencia técnica especializada.</w:t>
            </w:r>
          </w:p>
        </w:tc>
        <w:tc>
          <w:tcPr>
            <w:tcW w:w="0" w:type="auto"/>
            <w:vMerge w:val="restart"/>
            <w:tcMar>
              <w:top w:w="30" w:type="dxa"/>
              <w:left w:w="45" w:type="dxa"/>
              <w:bottom w:w="30" w:type="dxa"/>
              <w:right w:w="45" w:type="dxa"/>
            </w:tcMar>
            <w:vAlign w:val="center"/>
            <w:hideMark/>
          </w:tcPr>
          <w:p w14:paraId="1BF8CE4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73396</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330DE3FD"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 xml:space="preserve">SUIM-SEGPLAN </w:t>
            </w:r>
            <w:r w:rsidRPr="00E31657">
              <w:rPr>
                <w:rFonts w:cs="Arial"/>
                <w:sz w:val="16"/>
                <w:szCs w:val="16"/>
                <w:lang w:val="es-ES_tradnl" w:eastAsia="es-MX"/>
              </w:rPr>
              <w:br/>
            </w:r>
            <w:r w:rsidRPr="00E31657">
              <w:rPr>
                <w:rFonts w:cs="Arial"/>
                <w:sz w:val="16"/>
                <w:szCs w:val="16"/>
                <w:lang w:val="es-ES_tradnl" w:eastAsia="es-MX"/>
              </w:rPr>
              <w:br/>
              <w:t>Herramienta Misional Hemi</w:t>
            </w:r>
          </w:p>
        </w:tc>
        <w:tc>
          <w:tcPr>
            <w:tcW w:w="0" w:type="auto"/>
            <w:tcMar>
              <w:top w:w="30" w:type="dxa"/>
              <w:left w:w="45" w:type="dxa"/>
              <w:bottom w:w="30" w:type="dxa"/>
              <w:right w:w="45" w:type="dxa"/>
            </w:tcMar>
            <w:vAlign w:val="center"/>
            <w:hideMark/>
          </w:tcPr>
          <w:p w14:paraId="36F0403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4.925</w:t>
            </w:r>
          </w:p>
        </w:tc>
        <w:tc>
          <w:tcPr>
            <w:tcW w:w="0" w:type="auto"/>
            <w:tcMar>
              <w:top w:w="30" w:type="dxa"/>
              <w:left w:w="45" w:type="dxa"/>
              <w:bottom w:w="30" w:type="dxa"/>
              <w:right w:w="45" w:type="dxa"/>
            </w:tcMar>
            <w:vAlign w:val="center"/>
            <w:hideMark/>
          </w:tcPr>
          <w:p w14:paraId="39DC7FFB"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14.523</w:t>
            </w:r>
          </w:p>
        </w:tc>
        <w:tc>
          <w:tcPr>
            <w:tcW w:w="0" w:type="auto"/>
            <w:tcMar>
              <w:top w:w="30" w:type="dxa"/>
              <w:left w:w="45" w:type="dxa"/>
              <w:bottom w:w="30" w:type="dxa"/>
              <w:right w:w="45" w:type="dxa"/>
            </w:tcMar>
            <w:vAlign w:val="center"/>
            <w:hideMark/>
          </w:tcPr>
          <w:p w14:paraId="5B269FA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18.822</w:t>
            </w:r>
          </w:p>
        </w:tc>
        <w:tc>
          <w:tcPr>
            <w:tcW w:w="0" w:type="auto"/>
            <w:tcMar>
              <w:top w:w="30" w:type="dxa"/>
              <w:left w:w="45" w:type="dxa"/>
              <w:bottom w:w="30" w:type="dxa"/>
              <w:right w:w="45" w:type="dxa"/>
            </w:tcMar>
            <w:vAlign w:val="center"/>
            <w:hideMark/>
          </w:tcPr>
          <w:p w14:paraId="73C74026"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19.930</w:t>
            </w:r>
          </w:p>
        </w:tc>
        <w:tc>
          <w:tcPr>
            <w:tcW w:w="0" w:type="auto"/>
            <w:vMerge w:val="restart"/>
            <w:tcMar>
              <w:top w:w="30" w:type="dxa"/>
              <w:left w:w="45" w:type="dxa"/>
              <w:bottom w:w="30" w:type="dxa"/>
              <w:right w:w="45" w:type="dxa"/>
            </w:tcMar>
            <w:vAlign w:val="center"/>
            <w:hideMark/>
          </w:tcPr>
          <w:p w14:paraId="3DF4EF63"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54.813.982.212</w:t>
            </w:r>
          </w:p>
        </w:tc>
      </w:tr>
      <w:tr w:rsidR="00856F66" w:rsidRPr="00E31657" w14:paraId="211CA24A" w14:textId="77777777" w:rsidTr="00F974BB">
        <w:trPr>
          <w:trHeight w:val="570"/>
        </w:trPr>
        <w:tc>
          <w:tcPr>
            <w:tcW w:w="0" w:type="auto"/>
            <w:vMerge/>
            <w:vAlign w:val="center"/>
            <w:hideMark/>
          </w:tcPr>
          <w:p w14:paraId="57AF9045"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053E8EB2" w14:textId="77777777" w:rsidR="00856F66" w:rsidRPr="00E31657" w:rsidRDefault="00856F66" w:rsidP="00481E0A">
            <w:pPr>
              <w:rPr>
                <w:rFonts w:cs="Arial"/>
                <w:sz w:val="16"/>
                <w:szCs w:val="16"/>
                <w:lang w:val="es-ES_tradnl" w:eastAsia="es-MX"/>
              </w:rPr>
            </w:pPr>
          </w:p>
        </w:tc>
        <w:tc>
          <w:tcPr>
            <w:tcW w:w="0" w:type="auto"/>
            <w:vMerge/>
            <w:vAlign w:val="center"/>
            <w:hideMark/>
          </w:tcPr>
          <w:p w14:paraId="4BF4FE28"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10C726EA"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10.123.900.137</w:t>
            </w:r>
          </w:p>
        </w:tc>
        <w:tc>
          <w:tcPr>
            <w:tcW w:w="0" w:type="auto"/>
            <w:tcMar>
              <w:top w:w="30" w:type="dxa"/>
              <w:left w:w="45" w:type="dxa"/>
              <w:bottom w:w="30" w:type="dxa"/>
              <w:right w:w="45" w:type="dxa"/>
            </w:tcMar>
            <w:vAlign w:val="center"/>
            <w:hideMark/>
          </w:tcPr>
          <w:p w14:paraId="432CA57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13.542.670.971</w:t>
            </w:r>
          </w:p>
        </w:tc>
        <w:tc>
          <w:tcPr>
            <w:tcW w:w="0" w:type="auto"/>
            <w:tcMar>
              <w:top w:w="30" w:type="dxa"/>
              <w:left w:w="45" w:type="dxa"/>
              <w:bottom w:w="30" w:type="dxa"/>
              <w:right w:w="45" w:type="dxa"/>
            </w:tcMar>
            <w:vAlign w:val="center"/>
            <w:hideMark/>
          </w:tcPr>
          <w:p w14:paraId="22D3B00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15.133.434.622</w:t>
            </w:r>
          </w:p>
        </w:tc>
        <w:tc>
          <w:tcPr>
            <w:tcW w:w="0" w:type="auto"/>
            <w:tcMar>
              <w:top w:w="30" w:type="dxa"/>
              <w:left w:w="45" w:type="dxa"/>
              <w:bottom w:w="30" w:type="dxa"/>
              <w:right w:w="45" w:type="dxa"/>
            </w:tcMar>
            <w:vAlign w:val="center"/>
            <w:hideMark/>
          </w:tcPr>
          <w:p w14:paraId="2E13C29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16.013.976.483</w:t>
            </w:r>
          </w:p>
        </w:tc>
        <w:tc>
          <w:tcPr>
            <w:tcW w:w="0" w:type="auto"/>
            <w:vMerge/>
            <w:vAlign w:val="center"/>
            <w:hideMark/>
          </w:tcPr>
          <w:p w14:paraId="471C3B52" w14:textId="77777777" w:rsidR="00856F66" w:rsidRPr="00E31657" w:rsidRDefault="00856F66" w:rsidP="00481E0A">
            <w:pPr>
              <w:rPr>
                <w:rFonts w:cs="Arial"/>
                <w:b/>
                <w:bCs/>
                <w:sz w:val="16"/>
                <w:szCs w:val="16"/>
                <w:lang w:val="es-ES_tradnl" w:eastAsia="es-MX"/>
              </w:rPr>
            </w:pPr>
          </w:p>
        </w:tc>
      </w:tr>
      <w:tr w:rsidR="00856F66" w:rsidRPr="00E31657" w14:paraId="2DDFFB80" w14:textId="77777777" w:rsidTr="00F974BB">
        <w:trPr>
          <w:trHeight w:val="1110"/>
        </w:trPr>
        <w:tc>
          <w:tcPr>
            <w:tcW w:w="0" w:type="auto"/>
            <w:vMerge w:val="restart"/>
            <w:tcMar>
              <w:top w:w="30" w:type="dxa"/>
              <w:left w:w="45" w:type="dxa"/>
              <w:bottom w:w="30" w:type="dxa"/>
              <w:right w:w="45" w:type="dxa"/>
            </w:tcMar>
            <w:vAlign w:val="center"/>
            <w:hideMark/>
          </w:tcPr>
          <w:p w14:paraId="628AC121"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Fortalecer 800 Unidades Prediales Productivas en el marco de la diversidad económica de la Bogotá Rural y su campesinado incluyendo aquellas que hacen parte de la Zona de Usos Sostenible dentro de la Estructura Ecológica Principal que se acuerden entre las autoridades ambientales con las comunidades (Fallo Cerros Orientales según lo establecido en la Resolución 1766/2021 entre otras.).</w:t>
            </w:r>
          </w:p>
        </w:tc>
        <w:tc>
          <w:tcPr>
            <w:tcW w:w="0" w:type="auto"/>
            <w:vMerge w:val="restart"/>
            <w:tcMar>
              <w:top w:w="30" w:type="dxa"/>
              <w:left w:w="45" w:type="dxa"/>
              <w:bottom w:w="30" w:type="dxa"/>
              <w:right w:w="45" w:type="dxa"/>
            </w:tcMar>
            <w:vAlign w:val="center"/>
            <w:hideMark/>
          </w:tcPr>
          <w:p w14:paraId="001FFD7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750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664A5B1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 xml:space="preserve">SDDE proyecto de inversión 7845 </w:t>
            </w:r>
          </w:p>
        </w:tc>
        <w:tc>
          <w:tcPr>
            <w:tcW w:w="0" w:type="auto"/>
            <w:tcMar>
              <w:top w:w="30" w:type="dxa"/>
              <w:left w:w="45" w:type="dxa"/>
              <w:bottom w:w="30" w:type="dxa"/>
              <w:right w:w="45" w:type="dxa"/>
            </w:tcMar>
            <w:vAlign w:val="center"/>
            <w:hideMark/>
          </w:tcPr>
          <w:p w14:paraId="4D969F43"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70</w:t>
            </w:r>
          </w:p>
        </w:tc>
        <w:tc>
          <w:tcPr>
            <w:tcW w:w="0" w:type="auto"/>
            <w:tcMar>
              <w:top w:w="30" w:type="dxa"/>
              <w:left w:w="45" w:type="dxa"/>
              <w:bottom w:w="30" w:type="dxa"/>
              <w:right w:w="45" w:type="dxa"/>
            </w:tcMar>
            <w:vAlign w:val="center"/>
            <w:hideMark/>
          </w:tcPr>
          <w:p w14:paraId="26689DE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w:t>
            </w:r>
          </w:p>
        </w:tc>
        <w:tc>
          <w:tcPr>
            <w:tcW w:w="0" w:type="auto"/>
            <w:tcMar>
              <w:top w:w="30" w:type="dxa"/>
              <w:left w:w="45" w:type="dxa"/>
              <w:bottom w:w="30" w:type="dxa"/>
              <w:right w:w="45" w:type="dxa"/>
            </w:tcMar>
            <w:vAlign w:val="center"/>
            <w:hideMark/>
          </w:tcPr>
          <w:p w14:paraId="167DF16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w:t>
            </w:r>
          </w:p>
        </w:tc>
        <w:tc>
          <w:tcPr>
            <w:tcW w:w="0" w:type="auto"/>
            <w:tcMar>
              <w:top w:w="30" w:type="dxa"/>
              <w:left w:w="45" w:type="dxa"/>
              <w:bottom w:w="30" w:type="dxa"/>
              <w:right w:w="45" w:type="dxa"/>
            </w:tcMar>
            <w:vAlign w:val="center"/>
            <w:hideMark/>
          </w:tcPr>
          <w:p w14:paraId="78A37B8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130</w:t>
            </w:r>
          </w:p>
        </w:tc>
        <w:tc>
          <w:tcPr>
            <w:tcW w:w="0" w:type="auto"/>
            <w:vMerge w:val="restart"/>
            <w:tcMar>
              <w:top w:w="30" w:type="dxa"/>
              <w:left w:w="45" w:type="dxa"/>
              <w:bottom w:w="30" w:type="dxa"/>
              <w:right w:w="45" w:type="dxa"/>
            </w:tcMar>
            <w:vAlign w:val="center"/>
            <w:hideMark/>
          </w:tcPr>
          <w:p w14:paraId="32C7965B"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13.213.086.333</w:t>
            </w:r>
          </w:p>
        </w:tc>
      </w:tr>
      <w:tr w:rsidR="00856F66" w:rsidRPr="00E31657" w14:paraId="5AB4CAC8" w14:textId="77777777" w:rsidTr="00F974BB">
        <w:trPr>
          <w:trHeight w:val="1110"/>
        </w:trPr>
        <w:tc>
          <w:tcPr>
            <w:tcW w:w="0" w:type="auto"/>
            <w:vMerge/>
            <w:vAlign w:val="center"/>
            <w:hideMark/>
          </w:tcPr>
          <w:p w14:paraId="04C01A32"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58B9A895" w14:textId="77777777" w:rsidR="00856F66" w:rsidRPr="00E31657" w:rsidRDefault="00856F66" w:rsidP="00481E0A">
            <w:pPr>
              <w:rPr>
                <w:rFonts w:cs="Arial"/>
                <w:sz w:val="16"/>
                <w:szCs w:val="16"/>
                <w:lang w:val="es-ES_tradnl" w:eastAsia="es-MX"/>
              </w:rPr>
            </w:pPr>
          </w:p>
        </w:tc>
        <w:tc>
          <w:tcPr>
            <w:tcW w:w="0" w:type="auto"/>
            <w:vMerge/>
            <w:vAlign w:val="center"/>
            <w:hideMark/>
          </w:tcPr>
          <w:p w14:paraId="658553B6"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46E9696C"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2.178.181.000</w:t>
            </w:r>
          </w:p>
        </w:tc>
        <w:tc>
          <w:tcPr>
            <w:tcW w:w="0" w:type="auto"/>
            <w:tcMar>
              <w:top w:w="30" w:type="dxa"/>
              <w:left w:w="45" w:type="dxa"/>
              <w:bottom w:w="30" w:type="dxa"/>
              <w:right w:w="45" w:type="dxa"/>
            </w:tcMar>
            <w:vAlign w:val="center"/>
            <w:hideMark/>
          </w:tcPr>
          <w:p w14:paraId="037E3B3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4.660.194.175</w:t>
            </w:r>
          </w:p>
        </w:tc>
        <w:tc>
          <w:tcPr>
            <w:tcW w:w="0" w:type="auto"/>
            <w:tcMar>
              <w:top w:w="30" w:type="dxa"/>
              <w:left w:w="45" w:type="dxa"/>
              <w:bottom w:w="30" w:type="dxa"/>
              <w:right w:w="45" w:type="dxa"/>
            </w:tcMar>
            <w:vAlign w:val="center"/>
            <w:hideMark/>
          </w:tcPr>
          <w:p w14:paraId="1CB169F2"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4.524.460.364</w:t>
            </w:r>
          </w:p>
        </w:tc>
        <w:tc>
          <w:tcPr>
            <w:tcW w:w="0" w:type="auto"/>
            <w:tcMar>
              <w:top w:w="30" w:type="dxa"/>
              <w:left w:w="45" w:type="dxa"/>
              <w:bottom w:w="30" w:type="dxa"/>
              <w:right w:w="45" w:type="dxa"/>
            </w:tcMar>
            <w:vAlign w:val="center"/>
            <w:hideMark/>
          </w:tcPr>
          <w:p w14:paraId="5D3A23A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1.850.250.795</w:t>
            </w:r>
          </w:p>
        </w:tc>
        <w:tc>
          <w:tcPr>
            <w:tcW w:w="0" w:type="auto"/>
            <w:vMerge/>
            <w:vAlign w:val="center"/>
            <w:hideMark/>
          </w:tcPr>
          <w:p w14:paraId="1A76CD75" w14:textId="77777777" w:rsidR="00856F66" w:rsidRPr="00E31657" w:rsidRDefault="00856F66" w:rsidP="00481E0A">
            <w:pPr>
              <w:rPr>
                <w:rFonts w:cs="Arial"/>
                <w:b/>
                <w:bCs/>
                <w:sz w:val="16"/>
                <w:szCs w:val="16"/>
                <w:lang w:val="es-ES_tradnl" w:eastAsia="es-MX"/>
              </w:rPr>
            </w:pPr>
          </w:p>
        </w:tc>
      </w:tr>
      <w:tr w:rsidR="00856F66" w:rsidRPr="00E31657" w14:paraId="79F3D850" w14:textId="77777777" w:rsidTr="00F974BB">
        <w:trPr>
          <w:trHeight w:val="810"/>
        </w:trPr>
        <w:tc>
          <w:tcPr>
            <w:tcW w:w="0" w:type="auto"/>
            <w:vMerge w:val="restart"/>
            <w:tcMar>
              <w:top w:w="30" w:type="dxa"/>
              <w:left w:w="45" w:type="dxa"/>
              <w:bottom w:w="30" w:type="dxa"/>
              <w:right w:w="45" w:type="dxa"/>
            </w:tcMar>
            <w:vAlign w:val="center"/>
            <w:hideMark/>
          </w:tcPr>
          <w:p w14:paraId="64D44D38"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 xml:space="preserve">Impactar al menos a 1.100.000 personas y/o actores de la cadena de valor del sector a través de la realización y ejecución de diferentes acciones de marketing 360 que permitan el posicionamiento y consolidación de Bogotá como destino </w:t>
            </w:r>
            <w:r w:rsidRPr="00E31657">
              <w:rPr>
                <w:rFonts w:cs="Arial"/>
                <w:sz w:val="16"/>
                <w:szCs w:val="16"/>
                <w:lang w:val="es-ES_tradnl" w:eastAsia="es-MX"/>
              </w:rPr>
              <w:lastRenderedPageBreak/>
              <w:t>turístico a nivel regional nacional e internacional</w:t>
            </w:r>
          </w:p>
        </w:tc>
        <w:tc>
          <w:tcPr>
            <w:tcW w:w="0" w:type="auto"/>
            <w:vMerge w:val="restart"/>
            <w:tcMar>
              <w:top w:w="30" w:type="dxa"/>
              <w:left w:w="45" w:type="dxa"/>
              <w:bottom w:w="30" w:type="dxa"/>
              <w:right w:w="45" w:type="dxa"/>
            </w:tcMar>
            <w:vAlign w:val="center"/>
            <w:hideMark/>
          </w:tcPr>
          <w:p w14:paraId="3FA35322"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lastRenderedPageBreak/>
              <w:t>1924267</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77B9078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Presupuesto de Inversión</w:t>
            </w:r>
          </w:p>
        </w:tc>
        <w:tc>
          <w:tcPr>
            <w:tcW w:w="0" w:type="auto"/>
            <w:tcMar>
              <w:top w:w="30" w:type="dxa"/>
              <w:left w:w="45" w:type="dxa"/>
              <w:bottom w:w="30" w:type="dxa"/>
              <w:right w:w="45" w:type="dxa"/>
            </w:tcMar>
            <w:vAlign w:val="center"/>
            <w:hideMark/>
          </w:tcPr>
          <w:p w14:paraId="1061DCFF"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200.000</w:t>
            </w:r>
          </w:p>
        </w:tc>
        <w:tc>
          <w:tcPr>
            <w:tcW w:w="0" w:type="auto"/>
            <w:tcMar>
              <w:top w:w="30" w:type="dxa"/>
              <w:left w:w="45" w:type="dxa"/>
              <w:bottom w:w="30" w:type="dxa"/>
              <w:right w:w="45" w:type="dxa"/>
            </w:tcMar>
            <w:vAlign w:val="center"/>
            <w:hideMark/>
          </w:tcPr>
          <w:p w14:paraId="1567E34E"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300.000</w:t>
            </w:r>
          </w:p>
        </w:tc>
        <w:tc>
          <w:tcPr>
            <w:tcW w:w="0" w:type="auto"/>
            <w:tcMar>
              <w:top w:w="30" w:type="dxa"/>
              <w:left w:w="45" w:type="dxa"/>
              <w:bottom w:w="30" w:type="dxa"/>
              <w:right w:w="45" w:type="dxa"/>
            </w:tcMar>
            <w:vAlign w:val="center"/>
            <w:hideMark/>
          </w:tcPr>
          <w:p w14:paraId="4D87D172"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300.000</w:t>
            </w:r>
          </w:p>
        </w:tc>
        <w:tc>
          <w:tcPr>
            <w:tcW w:w="0" w:type="auto"/>
            <w:tcMar>
              <w:top w:w="30" w:type="dxa"/>
              <w:left w:w="45" w:type="dxa"/>
              <w:bottom w:w="30" w:type="dxa"/>
              <w:right w:w="45" w:type="dxa"/>
            </w:tcMar>
            <w:vAlign w:val="center"/>
            <w:hideMark/>
          </w:tcPr>
          <w:p w14:paraId="6E7ADF66"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300.000</w:t>
            </w:r>
          </w:p>
        </w:tc>
        <w:tc>
          <w:tcPr>
            <w:tcW w:w="0" w:type="auto"/>
            <w:vMerge w:val="restart"/>
            <w:tcMar>
              <w:top w:w="30" w:type="dxa"/>
              <w:left w:w="45" w:type="dxa"/>
              <w:bottom w:w="30" w:type="dxa"/>
              <w:right w:w="45" w:type="dxa"/>
            </w:tcMar>
            <w:vAlign w:val="center"/>
            <w:hideMark/>
          </w:tcPr>
          <w:p w14:paraId="7AD935DA"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12.373.454.198</w:t>
            </w:r>
          </w:p>
        </w:tc>
      </w:tr>
      <w:tr w:rsidR="00856F66" w:rsidRPr="00E31657" w14:paraId="12C9D5CB" w14:textId="77777777" w:rsidTr="00F974BB">
        <w:trPr>
          <w:trHeight w:val="810"/>
        </w:trPr>
        <w:tc>
          <w:tcPr>
            <w:tcW w:w="0" w:type="auto"/>
            <w:vMerge/>
            <w:vAlign w:val="center"/>
            <w:hideMark/>
          </w:tcPr>
          <w:p w14:paraId="1ABE7977"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18467C36" w14:textId="77777777" w:rsidR="00856F66" w:rsidRPr="00E31657" w:rsidRDefault="00856F66" w:rsidP="00481E0A">
            <w:pPr>
              <w:rPr>
                <w:rFonts w:cs="Arial"/>
                <w:sz w:val="16"/>
                <w:szCs w:val="16"/>
                <w:lang w:val="es-ES_tradnl" w:eastAsia="es-MX"/>
              </w:rPr>
            </w:pPr>
          </w:p>
        </w:tc>
        <w:tc>
          <w:tcPr>
            <w:tcW w:w="0" w:type="auto"/>
            <w:vMerge/>
            <w:vAlign w:val="center"/>
            <w:hideMark/>
          </w:tcPr>
          <w:p w14:paraId="6317DD03"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25869B2D"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2.555.000.000</w:t>
            </w:r>
          </w:p>
        </w:tc>
        <w:tc>
          <w:tcPr>
            <w:tcW w:w="0" w:type="auto"/>
            <w:tcMar>
              <w:top w:w="30" w:type="dxa"/>
              <w:left w:w="45" w:type="dxa"/>
              <w:bottom w:w="30" w:type="dxa"/>
              <w:right w:w="45" w:type="dxa"/>
            </w:tcMar>
            <w:vAlign w:val="center"/>
            <w:hideMark/>
          </w:tcPr>
          <w:p w14:paraId="37FBD41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3.009.708.738</w:t>
            </w:r>
          </w:p>
        </w:tc>
        <w:tc>
          <w:tcPr>
            <w:tcW w:w="0" w:type="auto"/>
            <w:tcMar>
              <w:top w:w="30" w:type="dxa"/>
              <w:left w:w="45" w:type="dxa"/>
              <w:bottom w:w="30" w:type="dxa"/>
              <w:right w:w="45" w:type="dxa"/>
            </w:tcMar>
            <w:vAlign w:val="center"/>
            <w:hideMark/>
          </w:tcPr>
          <w:p w14:paraId="5303EF16"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2.988.029.032</w:t>
            </w:r>
          </w:p>
        </w:tc>
        <w:tc>
          <w:tcPr>
            <w:tcW w:w="0" w:type="auto"/>
            <w:tcMar>
              <w:top w:w="30" w:type="dxa"/>
              <w:left w:w="45" w:type="dxa"/>
              <w:bottom w:w="30" w:type="dxa"/>
              <w:right w:w="45" w:type="dxa"/>
            </w:tcMar>
            <w:vAlign w:val="center"/>
            <w:hideMark/>
          </w:tcPr>
          <w:p w14:paraId="58F80771"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3.820.716.428</w:t>
            </w:r>
          </w:p>
        </w:tc>
        <w:tc>
          <w:tcPr>
            <w:tcW w:w="0" w:type="auto"/>
            <w:vMerge/>
            <w:vAlign w:val="center"/>
            <w:hideMark/>
          </w:tcPr>
          <w:p w14:paraId="3E425BD5" w14:textId="77777777" w:rsidR="00856F66" w:rsidRPr="00E31657" w:rsidRDefault="00856F66" w:rsidP="00481E0A">
            <w:pPr>
              <w:rPr>
                <w:rFonts w:cs="Arial"/>
                <w:b/>
                <w:bCs/>
                <w:sz w:val="16"/>
                <w:szCs w:val="16"/>
                <w:lang w:val="es-ES_tradnl" w:eastAsia="es-MX"/>
              </w:rPr>
            </w:pPr>
          </w:p>
        </w:tc>
      </w:tr>
      <w:tr w:rsidR="00856F66" w:rsidRPr="00E31657" w14:paraId="621ED9DF" w14:textId="77777777" w:rsidTr="00F974BB">
        <w:trPr>
          <w:trHeight w:val="570"/>
        </w:trPr>
        <w:tc>
          <w:tcPr>
            <w:tcW w:w="0" w:type="auto"/>
            <w:vMerge w:val="restart"/>
            <w:tcMar>
              <w:top w:w="30" w:type="dxa"/>
              <w:left w:w="45" w:type="dxa"/>
              <w:bottom w:w="30" w:type="dxa"/>
              <w:right w:w="45" w:type="dxa"/>
            </w:tcMar>
            <w:vAlign w:val="center"/>
            <w:hideMark/>
          </w:tcPr>
          <w:p w14:paraId="641B974C"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Vincular 500 unidades productivas y/o emprendimientos rurales a mecanismos de inclusión financiera</w:t>
            </w:r>
          </w:p>
        </w:tc>
        <w:tc>
          <w:tcPr>
            <w:tcW w:w="0" w:type="auto"/>
            <w:vMerge w:val="restart"/>
            <w:tcMar>
              <w:top w:w="30" w:type="dxa"/>
              <w:left w:w="45" w:type="dxa"/>
              <w:bottom w:w="30" w:type="dxa"/>
              <w:right w:w="45" w:type="dxa"/>
            </w:tcMar>
            <w:vAlign w:val="center"/>
            <w:hideMark/>
          </w:tcPr>
          <w:p w14:paraId="1188348D"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3154B4F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19AEC32B"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w:t>
            </w:r>
          </w:p>
        </w:tc>
        <w:tc>
          <w:tcPr>
            <w:tcW w:w="0" w:type="auto"/>
            <w:tcMar>
              <w:top w:w="30" w:type="dxa"/>
              <w:left w:w="45" w:type="dxa"/>
              <w:bottom w:w="30" w:type="dxa"/>
              <w:right w:w="45" w:type="dxa"/>
            </w:tcMar>
            <w:vAlign w:val="center"/>
            <w:hideMark/>
          </w:tcPr>
          <w:p w14:paraId="608209E2"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180</w:t>
            </w:r>
          </w:p>
        </w:tc>
        <w:tc>
          <w:tcPr>
            <w:tcW w:w="0" w:type="auto"/>
            <w:tcMar>
              <w:top w:w="30" w:type="dxa"/>
              <w:left w:w="45" w:type="dxa"/>
              <w:bottom w:w="30" w:type="dxa"/>
              <w:right w:w="45" w:type="dxa"/>
            </w:tcMar>
            <w:vAlign w:val="center"/>
            <w:hideMark/>
          </w:tcPr>
          <w:p w14:paraId="77C204F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180</w:t>
            </w:r>
          </w:p>
        </w:tc>
        <w:tc>
          <w:tcPr>
            <w:tcW w:w="0" w:type="auto"/>
            <w:tcMar>
              <w:top w:w="30" w:type="dxa"/>
              <w:left w:w="45" w:type="dxa"/>
              <w:bottom w:w="30" w:type="dxa"/>
              <w:right w:w="45" w:type="dxa"/>
            </w:tcMar>
            <w:vAlign w:val="center"/>
            <w:hideMark/>
          </w:tcPr>
          <w:p w14:paraId="69450D62"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110</w:t>
            </w:r>
          </w:p>
        </w:tc>
        <w:tc>
          <w:tcPr>
            <w:tcW w:w="0" w:type="auto"/>
            <w:vMerge w:val="restart"/>
            <w:tcMar>
              <w:top w:w="30" w:type="dxa"/>
              <w:left w:w="45" w:type="dxa"/>
              <w:bottom w:w="30" w:type="dxa"/>
              <w:right w:w="45" w:type="dxa"/>
            </w:tcMar>
            <w:vAlign w:val="center"/>
            <w:hideMark/>
          </w:tcPr>
          <w:p w14:paraId="191F557A"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4.368.207.338</w:t>
            </w:r>
          </w:p>
        </w:tc>
      </w:tr>
      <w:tr w:rsidR="00856F66" w:rsidRPr="00E31657" w14:paraId="75911DBE" w14:textId="77777777" w:rsidTr="00F974BB">
        <w:trPr>
          <w:trHeight w:val="570"/>
        </w:trPr>
        <w:tc>
          <w:tcPr>
            <w:tcW w:w="0" w:type="auto"/>
            <w:vMerge/>
            <w:vAlign w:val="center"/>
            <w:hideMark/>
          </w:tcPr>
          <w:p w14:paraId="549934D3" w14:textId="77777777" w:rsidR="00856F66" w:rsidRPr="00E31657" w:rsidRDefault="00856F66" w:rsidP="00481E0A">
            <w:pPr>
              <w:rPr>
                <w:rFonts w:cs="Arial"/>
                <w:sz w:val="16"/>
                <w:szCs w:val="16"/>
                <w:lang w:val="es-ES_tradnl" w:eastAsia="es-MX"/>
              </w:rPr>
            </w:pPr>
          </w:p>
        </w:tc>
        <w:tc>
          <w:tcPr>
            <w:tcW w:w="0" w:type="auto"/>
            <w:vMerge/>
            <w:vAlign w:val="center"/>
            <w:hideMark/>
          </w:tcPr>
          <w:p w14:paraId="148C6350" w14:textId="77777777" w:rsidR="00856F66" w:rsidRPr="00E31657" w:rsidRDefault="00856F66" w:rsidP="00481E0A">
            <w:pPr>
              <w:rPr>
                <w:rFonts w:cs="Arial"/>
                <w:sz w:val="16"/>
                <w:szCs w:val="16"/>
                <w:lang w:val="es-ES_tradnl" w:eastAsia="es-MX"/>
              </w:rPr>
            </w:pPr>
          </w:p>
        </w:tc>
        <w:tc>
          <w:tcPr>
            <w:tcW w:w="0" w:type="auto"/>
            <w:vMerge/>
            <w:vAlign w:val="center"/>
            <w:hideMark/>
          </w:tcPr>
          <w:p w14:paraId="68CAB3AD"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435BD5DB"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300.000.000</w:t>
            </w:r>
          </w:p>
        </w:tc>
        <w:tc>
          <w:tcPr>
            <w:tcW w:w="0" w:type="auto"/>
            <w:tcMar>
              <w:top w:w="30" w:type="dxa"/>
              <w:left w:w="45" w:type="dxa"/>
              <w:bottom w:w="30" w:type="dxa"/>
              <w:right w:w="45" w:type="dxa"/>
            </w:tcMar>
            <w:vAlign w:val="center"/>
            <w:hideMark/>
          </w:tcPr>
          <w:p w14:paraId="3527FC8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1.553.398.058</w:t>
            </w:r>
          </w:p>
        </w:tc>
        <w:tc>
          <w:tcPr>
            <w:tcW w:w="0" w:type="auto"/>
            <w:tcMar>
              <w:top w:w="30" w:type="dxa"/>
              <w:left w:w="45" w:type="dxa"/>
              <w:bottom w:w="30" w:type="dxa"/>
              <w:right w:w="45" w:type="dxa"/>
            </w:tcMar>
            <w:vAlign w:val="center"/>
            <w:hideMark/>
          </w:tcPr>
          <w:p w14:paraId="5A0F122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1.508.153.455</w:t>
            </w:r>
          </w:p>
        </w:tc>
        <w:tc>
          <w:tcPr>
            <w:tcW w:w="0" w:type="auto"/>
            <w:tcMar>
              <w:top w:w="30" w:type="dxa"/>
              <w:left w:w="45" w:type="dxa"/>
              <w:bottom w:w="30" w:type="dxa"/>
              <w:right w:w="45" w:type="dxa"/>
            </w:tcMar>
            <w:vAlign w:val="center"/>
            <w:hideMark/>
          </w:tcPr>
          <w:p w14:paraId="0F37E62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1.006.655.825</w:t>
            </w:r>
          </w:p>
        </w:tc>
        <w:tc>
          <w:tcPr>
            <w:tcW w:w="0" w:type="auto"/>
            <w:vMerge/>
            <w:vAlign w:val="center"/>
            <w:hideMark/>
          </w:tcPr>
          <w:p w14:paraId="6E84BE9A" w14:textId="77777777" w:rsidR="00856F66" w:rsidRPr="00E31657" w:rsidRDefault="00856F66" w:rsidP="00481E0A">
            <w:pPr>
              <w:rPr>
                <w:rFonts w:cs="Arial"/>
                <w:b/>
                <w:bCs/>
                <w:sz w:val="16"/>
                <w:szCs w:val="16"/>
                <w:lang w:val="es-ES_tradnl" w:eastAsia="es-MX"/>
              </w:rPr>
            </w:pPr>
          </w:p>
        </w:tc>
      </w:tr>
      <w:tr w:rsidR="00856F66" w:rsidRPr="00E31657" w14:paraId="32A0DD69"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5B2EEF58"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Mujer</w:t>
            </w:r>
          </w:p>
        </w:tc>
      </w:tr>
      <w:tr w:rsidR="00856F66" w:rsidRPr="00E31657" w14:paraId="37C8718E" w14:textId="77777777" w:rsidTr="00F974BB">
        <w:trPr>
          <w:trHeight w:val="315"/>
        </w:trPr>
        <w:tc>
          <w:tcPr>
            <w:tcW w:w="0" w:type="auto"/>
            <w:vMerge w:val="restart"/>
            <w:tcMar>
              <w:top w:w="30" w:type="dxa"/>
              <w:left w:w="45" w:type="dxa"/>
              <w:bottom w:w="30" w:type="dxa"/>
              <w:right w:w="45" w:type="dxa"/>
            </w:tcMar>
            <w:vAlign w:val="center"/>
            <w:hideMark/>
          </w:tcPr>
          <w:p w14:paraId="605AC1D6" w14:textId="77777777" w:rsidR="00856F66" w:rsidRPr="00E31657" w:rsidRDefault="00856F66" w:rsidP="00481E0A">
            <w:pPr>
              <w:rPr>
                <w:rFonts w:cs="Arial"/>
                <w:sz w:val="16"/>
                <w:szCs w:val="16"/>
                <w:lang w:val="es-ES_tradnl" w:eastAsia="es-MX"/>
              </w:rPr>
            </w:pPr>
            <w:r w:rsidRPr="00E31657">
              <w:rPr>
                <w:rFonts w:cs="Arial"/>
                <w:sz w:val="16"/>
                <w:szCs w:val="16"/>
                <w:lang w:val="es-ES_tradnl" w:eastAsia="es-MX"/>
              </w:rPr>
              <w:t>Cualificar 9000 mujeres en herramientas para la autonomía económica</w:t>
            </w:r>
          </w:p>
        </w:tc>
        <w:tc>
          <w:tcPr>
            <w:tcW w:w="0" w:type="auto"/>
            <w:vMerge w:val="restart"/>
            <w:tcMar>
              <w:top w:w="30" w:type="dxa"/>
              <w:left w:w="45" w:type="dxa"/>
              <w:bottom w:w="30" w:type="dxa"/>
              <w:right w:w="45" w:type="dxa"/>
            </w:tcMar>
            <w:vAlign w:val="center"/>
            <w:hideMark/>
          </w:tcPr>
          <w:p w14:paraId="14CB0D8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4CD2C54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SDMujer</w:t>
            </w:r>
          </w:p>
        </w:tc>
        <w:tc>
          <w:tcPr>
            <w:tcW w:w="0" w:type="auto"/>
            <w:tcMar>
              <w:top w:w="30" w:type="dxa"/>
              <w:left w:w="45" w:type="dxa"/>
              <w:bottom w:w="30" w:type="dxa"/>
              <w:right w:w="45" w:type="dxa"/>
            </w:tcMar>
            <w:vAlign w:val="center"/>
            <w:hideMark/>
          </w:tcPr>
          <w:p w14:paraId="4CE697A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1.000</w:t>
            </w:r>
          </w:p>
        </w:tc>
        <w:tc>
          <w:tcPr>
            <w:tcW w:w="0" w:type="auto"/>
            <w:tcMar>
              <w:top w:w="30" w:type="dxa"/>
              <w:left w:w="45" w:type="dxa"/>
              <w:bottom w:w="30" w:type="dxa"/>
              <w:right w:w="45" w:type="dxa"/>
            </w:tcMar>
            <w:vAlign w:val="center"/>
            <w:hideMark/>
          </w:tcPr>
          <w:p w14:paraId="45547BE5"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3.000</w:t>
            </w:r>
          </w:p>
        </w:tc>
        <w:tc>
          <w:tcPr>
            <w:tcW w:w="0" w:type="auto"/>
            <w:tcMar>
              <w:top w:w="30" w:type="dxa"/>
              <w:left w:w="45" w:type="dxa"/>
              <w:bottom w:w="30" w:type="dxa"/>
              <w:right w:w="45" w:type="dxa"/>
            </w:tcMar>
            <w:vAlign w:val="center"/>
            <w:hideMark/>
          </w:tcPr>
          <w:p w14:paraId="5521C9B2"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3.000</w:t>
            </w:r>
          </w:p>
        </w:tc>
        <w:tc>
          <w:tcPr>
            <w:tcW w:w="0" w:type="auto"/>
            <w:tcMar>
              <w:top w:w="30" w:type="dxa"/>
              <w:left w:w="45" w:type="dxa"/>
              <w:bottom w:w="30" w:type="dxa"/>
              <w:right w:w="45" w:type="dxa"/>
            </w:tcMar>
            <w:vAlign w:val="center"/>
            <w:hideMark/>
          </w:tcPr>
          <w:p w14:paraId="0C4392C6"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2.000</w:t>
            </w:r>
          </w:p>
        </w:tc>
        <w:tc>
          <w:tcPr>
            <w:tcW w:w="0" w:type="auto"/>
            <w:vMerge w:val="restart"/>
            <w:tcMar>
              <w:top w:w="30" w:type="dxa"/>
              <w:left w:w="45" w:type="dxa"/>
              <w:bottom w:w="30" w:type="dxa"/>
              <w:right w:w="45" w:type="dxa"/>
            </w:tcMar>
            <w:vAlign w:val="center"/>
            <w:hideMark/>
          </w:tcPr>
          <w:p w14:paraId="176278FE" w14:textId="77777777" w:rsidR="00856F66" w:rsidRPr="00E31657" w:rsidRDefault="00856F66" w:rsidP="00481E0A">
            <w:pPr>
              <w:jc w:val="center"/>
              <w:rPr>
                <w:rFonts w:cs="Arial"/>
                <w:b/>
                <w:bCs/>
                <w:sz w:val="16"/>
                <w:szCs w:val="16"/>
                <w:lang w:val="es-ES_tradnl" w:eastAsia="es-MX"/>
              </w:rPr>
            </w:pPr>
            <w:r w:rsidRPr="00E31657">
              <w:rPr>
                <w:rFonts w:cs="Arial"/>
                <w:b/>
                <w:bCs/>
                <w:sz w:val="16"/>
                <w:szCs w:val="16"/>
                <w:lang w:val="es-ES_tradnl" w:eastAsia="es-MX"/>
              </w:rPr>
              <w:t>6.396.511.564</w:t>
            </w:r>
          </w:p>
        </w:tc>
      </w:tr>
      <w:tr w:rsidR="00856F66" w:rsidRPr="00E31657" w14:paraId="25896FA5" w14:textId="77777777" w:rsidTr="00F974BB">
        <w:trPr>
          <w:trHeight w:val="315"/>
        </w:trPr>
        <w:tc>
          <w:tcPr>
            <w:tcW w:w="0" w:type="auto"/>
            <w:vMerge/>
            <w:vAlign w:val="center"/>
            <w:hideMark/>
          </w:tcPr>
          <w:p w14:paraId="1FB920CA" w14:textId="77777777" w:rsidR="00856F66" w:rsidRPr="00E31657" w:rsidRDefault="00856F66" w:rsidP="00481E0A">
            <w:pPr>
              <w:rPr>
                <w:rFonts w:cs="Arial"/>
                <w:sz w:val="16"/>
                <w:szCs w:val="16"/>
                <w:lang w:val="es-ES_tradnl" w:eastAsia="es-MX"/>
              </w:rPr>
            </w:pPr>
          </w:p>
        </w:tc>
        <w:tc>
          <w:tcPr>
            <w:tcW w:w="0" w:type="auto"/>
            <w:vMerge/>
            <w:vAlign w:val="center"/>
            <w:hideMark/>
          </w:tcPr>
          <w:p w14:paraId="1C2BB4CF" w14:textId="77777777" w:rsidR="00856F66" w:rsidRPr="00E31657" w:rsidRDefault="00856F66" w:rsidP="00481E0A">
            <w:pPr>
              <w:rPr>
                <w:rFonts w:cs="Arial"/>
                <w:sz w:val="16"/>
                <w:szCs w:val="16"/>
                <w:lang w:val="es-ES_tradnl" w:eastAsia="es-MX"/>
              </w:rPr>
            </w:pPr>
          </w:p>
        </w:tc>
        <w:tc>
          <w:tcPr>
            <w:tcW w:w="0" w:type="auto"/>
            <w:vMerge/>
            <w:vAlign w:val="center"/>
            <w:hideMark/>
          </w:tcPr>
          <w:p w14:paraId="53C4315B" w14:textId="77777777" w:rsidR="00856F66" w:rsidRPr="00E31657" w:rsidRDefault="00856F66" w:rsidP="00481E0A">
            <w:pPr>
              <w:rPr>
                <w:rFonts w:cs="Arial"/>
                <w:sz w:val="16"/>
                <w:szCs w:val="16"/>
                <w:lang w:val="es-ES_tradnl" w:eastAsia="es-MX"/>
              </w:rPr>
            </w:pPr>
          </w:p>
        </w:tc>
        <w:tc>
          <w:tcPr>
            <w:tcW w:w="0" w:type="auto"/>
            <w:tcMar>
              <w:top w:w="30" w:type="dxa"/>
              <w:left w:w="45" w:type="dxa"/>
              <w:bottom w:w="30" w:type="dxa"/>
              <w:right w:w="45" w:type="dxa"/>
            </w:tcMar>
            <w:vAlign w:val="center"/>
            <w:hideMark/>
          </w:tcPr>
          <w:p w14:paraId="28A646D4"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1.489.939.525</w:t>
            </w:r>
          </w:p>
        </w:tc>
        <w:tc>
          <w:tcPr>
            <w:tcW w:w="0" w:type="auto"/>
            <w:tcMar>
              <w:top w:w="30" w:type="dxa"/>
              <w:left w:w="45" w:type="dxa"/>
              <w:bottom w:w="30" w:type="dxa"/>
              <w:right w:w="45" w:type="dxa"/>
            </w:tcMar>
            <w:vAlign w:val="center"/>
            <w:hideMark/>
          </w:tcPr>
          <w:p w14:paraId="0DF7F38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1.583.964.835</w:t>
            </w:r>
          </w:p>
        </w:tc>
        <w:tc>
          <w:tcPr>
            <w:tcW w:w="0" w:type="auto"/>
            <w:tcMar>
              <w:top w:w="30" w:type="dxa"/>
              <w:left w:w="45" w:type="dxa"/>
              <w:bottom w:w="30" w:type="dxa"/>
              <w:right w:w="45" w:type="dxa"/>
            </w:tcMar>
            <w:vAlign w:val="center"/>
            <w:hideMark/>
          </w:tcPr>
          <w:p w14:paraId="7C466AF0"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1.637.788.883</w:t>
            </w:r>
          </w:p>
        </w:tc>
        <w:tc>
          <w:tcPr>
            <w:tcW w:w="0" w:type="auto"/>
            <w:tcMar>
              <w:top w:w="30" w:type="dxa"/>
              <w:left w:w="45" w:type="dxa"/>
              <w:bottom w:w="30" w:type="dxa"/>
              <w:right w:w="45" w:type="dxa"/>
            </w:tcMar>
            <w:vAlign w:val="center"/>
            <w:hideMark/>
          </w:tcPr>
          <w:p w14:paraId="348184C8" w14:textId="77777777" w:rsidR="00856F66" w:rsidRPr="00E31657" w:rsidRDefault="00856F66" w:rsidP="00481E0A">
            <w:pPr>
              <w:jc w:val="center"/>
              <w:rPr>
                <w:rFonts w:cs="Arial"/>
                <w:sz w:val="16"/>
                <w:szCs w:val="16"/>
                <w:lang w:val="es-ES_tradnl" w:eastAsia="es-MX"/>
              </w:rPr>
            </w:pPr>
            <w:r w:rsidRPr="00E31657">
              <w:rPr>
                <w:rFonts w:cs="Arial"/>
                <w:sz w:val="16"/>
                <w:szCs w:val="16"/>
                <w:lang w:val="es-ES_tradnl" w:eastAsia="es-MX"/>
              </w:rPr>
              <w:t>1.684.818.321</w:t>
            </w:r>
          </w:p>
        </w:tc>
        <w:tc>
          <w:tcPr>
            <w:tcW w:w="0" w:type="auto"/>
            <w:vMerge/>
            <w:vAlign w:val="center"/>
            <w:hideMark/>
          </w:tcPr>
          <w:p w14:paraId="67CFAF6A" w14:textId="77777777" w:rsidR="00856F66" w:rsidRPr="00E31657" w:rsidRDefault="00856F66" w:rsidP="00481E0A">
            <w:pPr>
              <w:rPr>
                <w:rFonts w:cs="Arial"/>
                <w:b/>
                <w:bCs/>
                <w:sz w:val="16"/>
                <w:szCs w:val="16"/>
                <w:lang w:val="es-ES_tradnl" w:eastAsia="es-MX"/>
              </w:rPr>
            </w:pPr>
          </w:p>
        </w:tc>
      </w:tr>
    </w:tbl>
    <w:p w14:paraId="248CC344" w14:textId="77777777" w:rsidR="00856F66" w:rsidRPr="00E31657" w:rsidRDefault="00856F66">
      <w:pPr>
        <w:rPr>
          <w:sz w:val="16"/>
          <w:szCs w:val="16"/>
          <w:lang w:val="es-ES_tradnl"/>
        </w:rPr>
      </w:pPr>
    </w:p>
    <w:p w14:paraId="1CC57D66" w14:textId="77777777" w:rsidR="00856F66" w:rsidRPr="00E31657" w:rsidRDefault="00856F66">
      <w:pPr>
        <w:rPr>
          <w:sz w:val="16"/>
          <w:szCs w:val="16"/>
          <w:lang w:val="es-ES_tradnl"/>
        </w:rPr>
      </w:pPr>
    </w:p>
    <w:p w14:paraId="5F686B39" w14:textId="77777777" w:rsidR="00856F66" w:rsidRPr="00E31657" w:rsidRDefault="00856F66">
      <w:pPr>
        <w:rPr>
          <w:sz w:val="16"/>
          <w:szCs w:val="16"/>
          <w:lang w:val="es-ES_tradnl"/>
        </w:rPr>
      </w:pPr>
    </w:p>
    <w:p w14:paraId="43E65A40" w14:textId="77777777" w:rsidR="00856F66" w:rsidRPr="00E31657" w:rsidRDefault="00856F66">
      <w:pPr>
        <w:rPr>
          <w:sz w:val="16"/>
          <w:szCs w:val="16"/>
          <w:lang w:val="es-ES_tradnl"/>
        </w:rPr>
      </w:pPr>
    </w:p>
    <w:p w14:paraId="17C27F6F" w14:textId="77777777" w:rsidR="00ED49FA" w:rsidRDefault="00ED49FA">
      <w:r>
        <w:br w:type="page"/>
      </w:r>
    </w:p>
    <w:tbl>
      <w:tblPr>
        <w:tblW w:w="936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3413"/>
        <w:gridCol w:w="606"/>
        <w:gridCol w:w="646"/>
        <w:gridCol w:w="939"/>
        <w:gridCol w:w="928"/>
        <w:gridCol w:w="900"/>
        <w:gridCol w:w="907"/>
        <w:gridCol w:w="1021"/>
      </w:tblGrid>
      <w:tr w:rsidR="00856F66" w:rsidRPr="00E31657" w14:paraId="4C4946AB" w14:textId="77777777" w:rsidTr="00ED49FA">
        <w:trPr>
          <w:trHeight w:val="315"/>
        </w:trPr>
        <w:tc>
          <w:tcPr>
            <w:tcW w:w="0" w:type="auto"/>
            <w:gridSpan w:val="8"/>
            <w:tcMar>
              <w:top w:w="30" w:type="dxa"/>
              <w:left w:w="45" w:type="dxa"/>
              <w:bottom w:w="30" w:type="dxa"/>
              <w:right w:w="45" w:type="dxa"/>
            </w:tcMar>
            <w:vAlign w:val="center"/>
            <w:hideMark/>
          </w:tcPr>
          <w:p w14:paraId="77211C58" w14:textId="6EA70046" w:rsidR="00856F66" w:rsidRPr="00E31657" w:rsidRDefault="00856F66" w:rsidP="00B24742">
            <w:pPr>
              <w:jc w:val="center"/>
              <w:rPr>
                <w:rFonts w:cs="Arial"/>
                <w:b/>
                <w:bCs/>
                <w:lang w:val="es-ES_tradnl" w:eastAsia="es-MX"/>
              </w:rPr>
            </w:pPr>
            <w:r w:rsidRPr="00E31657">
              <w:rPr>
                <w:rFonts w:cs="Arial"/>
                <w:b/>
                <w:bCs/>
                <w:color w:val="C00000"/>
                <w:lang w:val="es-ES_tradnl" w:eastAsia="es-MX"/>
              </w:rPr>
              <w:lastRenderedPageBreak/>
              <w:t xml:space="preserve">Programa 21. </w:t>
            </w:r>
            <w:r w:rsidRPr="00E31657">
              <w:rPr>
                <w:rFonts w:cs="Arial"/>
                <w:lang w:val="es-ES_tradnl" w:eastAsia="es-MX"/>
              </w:rPr>
              <w:t>Bogotá Ciudad Portuaria</w:t>
            </w:r>
          </w:p>
        </w:tc>
      </w:tr>
      <w:tr w:rsidR="00856F66" w:rsidRPr="00E31657" w14:paraId="79547E43" w14:textId="77777777" w:rsidTr="00ED49FA">
        <w:trPr>
          <w:trHeight w:val="315"/>
        </w:trPr>
        <w:tc>
          <w:tcPr>
            <w:tcW w:w="0" w:type="auto"/>
            <w:vMerge w:val="restart"/>
            <w:shd w:val="clear" w:color="auto" w:fill="C00000"/>
            <w:tcMar>
              <w:top w:w="30" w:type="dxa"/>
              <w:left w:w="45" w:type="dxa"/>
              <w:bottom w:w="30" w:type="dxa"/>
              <w:right w:w="45" w:type="dxa"/>
            </w:tcMar>
            <w:vAlign w:val="center"/>
            <w:hideMark/>
          </w:tcPr>
          <w:p w14:paraId="3228DAC6" w14:textId="77777777" w:rsidR="00856F66" w:rsidRPr="00E31657" w:rsidRDefault="00856F66" w:rsidP="00F007CD">
            <w:pPr>
              <w:pStyle w:val="Ttulo"/>
              <w:jc w:val="center"/>
              <w:rPr>
                <w:lang w:val="es-ES_tradnl"/>
              </w:rPr>
            </w:pPr>
            <w:r w:rsidRPr="00F007CD">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645DB0CC"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 xml:space="preserve">Magnitudes e Inversión </w:t>
            </w:r>
            <w:r w:rsidRPr="00F007CD">
              <w:rPr>
                <w:rFonts w:ascii="Candara" w:eastAsia="Times New Roman" w:hAnsi="Candara"/>
                <w:b/>
                <w:bCs/>
                <w:color w:val="FFFFFF" w:themeColor="background1"/>
                <w:sz w:val="24"/>
                <w:szCs w:val="24"/>
                <w:lang w:val="es-ES_tradnl" w:eastAsia="es-MX"/>
              </w:rPr>
              <w:br/>
              <w:t>(Precios Constantes 2024)</w:t>
            </w:r>
          </w:p>
        </w:tc>
      </w:tr>
      <w:tr w:rsidR="00856F66" w:rsidRPr="00E31657" w14:paraId="2ED45411" w14:textId="77777777" w:rsidTr="00ED49FA">
        <w:trPr>
          <w:trHeight w:val="315"/>
        </w:trPr>
        <w:tc>
          <w:tcPr>
            <w:tcW w:w="0" w:type="auto"/>
            <w:vMerge/>
            <w:shd w:val="clear" w:color="auto" w:fill="C00000"/>
            <w:vAlign w:val="center"/>
            <w:hideMark/>
          </w:tcPr>
          <w:p w14:paraId="397CCFB8" w14:textId="77777777" w:rsidR="00856F66" w:rsidRPr="00E31657" w:rsidRDefault="00856F66" w:rsidP="00B2474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0439979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30795C3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3AD3741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5D193C1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2C2439B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04C7142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645BBFA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6B1BF1C7" w14:textId="77777777" w:rsidTr="00ED49FA">
        <w:trPr>
          <w:trHeight w:val="315"/>
        </w:trPr>
        <w:tc>
          <w:tcPr>
            <w:tcW w:w="0" w:type="auto"/>
            <w:gridSpan w:val="8"/>
            <w:shd w:val="clear" w:color="auto" w:fill="C00000"/>
            <w:tcMar>
              <w:top w:w="30" w:type="dxa"/>
              <w:left w:w="45" w:type="dxa"/>
              <w:bottom w:w="30" w:type="dxa"/>
              <w:right w:w="45" w:type="dxa"/>
            </w:tcMar>
            <w:vAlign w:val="center"/>
            <w:hideMark/>
          </w:tcPr>
          <w:p w14:paraId="22A9E752"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Desarrollo económico</w:t>
            </w:r>
          </w:p>
        </w:tc>
      </w:tr>
      <w:tr w:rsidR="00856F66" w:rsidRPr="00E31657" w14:paraId="7A4E128C" w14:textId="77777777" w:rsidTr="00ED49FA">
        <w:trPr>
          <w:trHeight w:val="1290"/>
        </w:trPr>
        <w:tc>
          <w:tcPr>
            <w:tcW w:w="0" w:type="auto"/>
            <w:vMerge w:val="restart"/>
            <w:tcMar>
              <w:top w:w="30" w:type="dxa"/>
              <w:left w:w="45" w:type="dxa"/>
              <w:bottom w:w="30" w:type="dxa"/>
              <w:right w:w="45" w:type="dxa"/>
            </w:tcMar>
            <w:vAlign w:val="center"/>
            <w:hideMark/>
          </w:tcPr>
          <w:p w14:paraId="2A1759F4"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Desarrollar una estrategia para incrementar la competitividad del Distrito portuario de Bogotá</w:t>
            </w:r>
          </w:p>
        </w:tc>
        <w:tc>
          <w:tcPr>
            <w:tcW w:w="0" w:type="auto"/>
            <w:vMerge w:val="restart"/>
            <w:tcMar>
              <w:top w:w="30" w:type="dxa"/>
              <w:left w:w="45" w:type="dxa"/>
              <w:bottom w:w="30" w:type="dxa"/>
              <w:right w:w="45" w:type="dxa"/>
            </w:tcMar>
            <w:vAlign w:val="center"/>
            <w:hideMark/>
          </w:tcPr>
          <w:p w14:paraId="5CE2A67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7E188E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SDP</w:t>
            </w:r>
          </w:p>
        </w:tc>
        <w:tc>
          <w:tcPr>
            <w:tcW w:w="0" w:type="auto"/>
            <w:tcMar>
              <w:top w:w="30" w:type="dxa"/>
              <w:left w:w="45" w:type="dxa"/>
              <w:bottom w:w="30" w:type="dxa"/>
              <w:right w:w="45" w:type="dxa"/>
            </w:tcMar>
            <w:vAlign w:val="center"/>
            <w:hideMark/>
          </w:tcPr>
          <w:p w14:paraId="0F218BF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0,80</w:t>
            </w:r>
          </w:p>
        </w:tc>
        <w:tc>
          <w:tcPr>
            <w:tcW w:w="0" w:type="auto"/>
            <w:tcMar>
              <w:top w:w="30" w:type="dxa"/>
              <w:left w:w="45" w:type="dxa"/>
              <w:bottom w:w="30" w:type="dxa"/>
              <w:right w:w="45" w:type="dxa"/>
            </w:tcMar>
            <w:vAlign w:val="center"/>
            <w:hideMark/>
          </w:tcPr>
          <w:p w14:paraId="15036D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0,33</w:t>
            </w:r>
          </w:p>
        </w:tc>
        <w:tc>
          <w:tcPr>
            <w:tcW w:w="0" w:type="auto"/>
            <w:tcMar>
              <w:top w:w="30" w:type="dxa"/>
              <w:left w:w="45" w:type="dxa"/>
              <w:bottom w:w="30" w:type="dxa"/>
              <w:right w:w="45" w:type="dxa"/>
            </w:tcMar>
            <w:vAlign w:val="center"/>
            <w:hideMark/>
          </w:tcPr>
          <w:p w14:paraId="3F8701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0,32</w:t>
            </w:r>
          </w:p>
        </w:tc>
        <w:tc>
          <w:tcPr>
            <w:tcW w:w="0" w:type="auto"/>
            <w:tcMar>
              <w:top w:w="30" w:type="dxa"/>
              <w:left w:w="45" w:type="dxa"/>
              <w:bottom w:w="30" w:type="dxa"/>
              <w:right w:w="45" w:type="dxa"/>
            </w:tcMar>
            <w:vAlign w:val="center"/>
            <w:hideMark/>
          </w:tcPr>
          <w:p w14:paraId="395AAD0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0,27</w:t>
            </w:r>
          </w:p>
        </w:tc>
        <w:tc>
          <w:tcPr>
            <w:tcW w:w="0" w:type="auto"/>
            <w:vMerge w:val="restart"/>
            <w:tcMar>
              <w:top w:w="30" w:type="dxa"/>
              <w:left w:w="45" w:type="dxa"/>
              <w:bottom w:w="30" w:type="dxa"/>
              <w:right w:w="45" w:type="dxa"/>
            </w:tcMar>
            <w:vAlign w:val="center"/>
            <w:hideMark/>
          </w:tcPr>
          <w:p w14:paraId="66AC47D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2.382.384.010</w:t>
            </w:r>
          </w:p>
        </w:tc>
      </w:tr>
      <w:tr w:rsidR="00856F66" w:rsidRPr="00E31657" w14:paraId="032C7475" w14:textId="77777777" w:rsidTr="00ED49FA">
        <w:trPr>
          <w:trHeight w:val="660"/>
        </w:trPr>
        <w:tc>
          <w:tcPr>
            <w:tcW w:w="0" w:type="auto"/>
            <w:vMerge/>
            <w:vAlign w:val="center"/>
            <w:hideMark/>
          </w:tcPr>
          <w:p w14:paraId="202A6B37"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165FD541" w14:textId="77777777" w:rsidR="00856F66" w:rsidRPr="00E31657" w:rsidRDefault="00856F66" w:rsidP="00B24742">
            <w:pPr>
              <w:rPr>
                <w:rFonts w:cs="Arial"/>
                <w:sz w:val="16"/>
                <w:szCs w:val="16"/>
                <w:lang w:val="es-ES_tradnl" w:eastAsia="es-MX"/>
              </w:rPr>
            </w:pPr>
          </w:p>
        </w:tc>
        <w:tc>
          <w:tcPr>
            <w:tcW w:w="0" w:type="auto"/>
            <w:vMerge/>
            <w:vAlign w:val="center"/>
            <w:hideMark/>
          </w:tcPr>
          <w:p w14:paraId="7584E1E5"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05DB12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371.089.246</w:t>
            </w:r>
          </w:p>
        </w:tc>
        <w:tc>
          <w:tcPr>
            <w:tcW w:w="0" w:type="auto"/>
            <w:tcMar>
              <w:top w:w="30" w:type="dxa"/>
              <w:left w:w="45" w:type="dxa"/>
              <w:bottom w:w="30" w:type="dxa"/>
              <w:right w:w="45" w:type="dxa"/>
            </w:tcMar>
            <w:vAlign w:val="center"/>
            <w:hideMark/>
          </w:tcPr>
          <w:p w14:paraId="406AC2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739.367.565</w:t>
            </w:r>
          </w:p>
        </w:tc>
        <w:tc>
          <w:tcPr>
            <w:tcW w:w="0" w:type="auto"/>
            <w:tcMar>
              <w:top w:w="30" w:type="dxa"/>
              <w:left w:w="45" w:type="dxa"/>
              <w:bottom w:w="30" w:type="dxa"/>
              <w:right w:w="45" w:type="dxa"/>
            </w:tcMar>
            <w:vAlign w:val="center"/>
            <w:hideMark/>
          </w:tcPr>
          <w:p w14:paraId="5AC548B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707.167.832</w:t>
            </w:r>
          </w:p>
        </w:tc>
        <w:tc>
          <w:tcPr>
            <w:tcW w:w="0" w:type="auto"/>
            <w:tcMar>
              <w:top w:w="30" w:type="dxa"/>
              <w:left w:w="45" w:type="dxa"/>
              <w:bottom w:w="30" w:type="dxa"/>
              <w:right w:w="45" w:type="dxa"/>
            </w:tcMar>
            <w:vAlign w:val="center"/>
            <w:hideMark/>
          </w:tcPr>
          <w:p w14:paraId="5D8301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564.759.367</w:t>
            </w:r>
          </w:p>
        </w:tc>
        <w:tc>
          <w:tcPr>
            <w:tcW w:w="0" w:type="auto"/>
            <w:vMerge/>
            <w:vAlign w:val="center"/>
            <w:hideMark/>
          </w:tcPr>
          <w:p w14:paraId="05D2CDC3" w14:textId="77777777" w:rsidR="00856F66" w:rsidRPr="00E31657" w:rsidRDefault="00856F66" w:rsidP="00B24742">
            <w:pPr>
              <w:rPr>
                <w:rFonts w:cs="Arial"/>
                <w:b/>
                <w:bCs/>
                <w:sz w:val="16"/>
                <w:szCs w:val="16"/>
                <w:lang w:val="es-ES_tradnl" w:eastAsia="es-MX"/>
              </w:rPr>
            </w:pPr>
          </w:p>
        </w:tc>
      </w:tr>
      <w:tr w:rsidR="00856F66" w:rsidRPr="00E31657" w14:paraId="5C80ACAD" w14:textId="77777777" w:rsidTr="00ED49FA">
        <w:trPr>
          <w:trHeight w:val="660"/>
        </w:trPr>
        <w:tc>
          <w:tcPr>
            <w:tcW w:w="0" w:type="auto"/>
            <w:vMerge w:val="restart"/>
            <w:tcMar>
              <w:top w:w="30" w:type="dxa"/>
              <w:left w:w="45" w:type="dxa"/>
              <w:bottom w:w="30" w:type="dxa"/>
              <w:right w:w="45" w:type="dxa"/>
            </w:tcMar>
            <w:vAlign w:val="center"/>
            <w:hideMark/>
          </w:tcPr>
          <w:p w14:paraId="5B7C4BF9"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Implementar una (1) estrategia de Mercadeo que permita posicionar a Bogotá como plataforma turística nacional e internacional</w:t>
            </w:r>
          </w:p>
        </w:tc>
        <w:tc>
          <w:tcPr>
            <w:tcW w:w="0" w:type="auto"/>
            <w:vMerge w:val="restart"/>
            <w:tcMar>
              <w:top w:w="30" w:type="dxa"/>
              <w:left w:w="45" w:type="dxa"/>
              <w:bottom w:w="30" w:type="dxa"/>
              <w:right w:w="45" w:type="dxa"/>
            </w:tcMar>
            <w:vAlign w:val="center"/>
            <w:hideMark/>
          </w:tcPr>
          <w:p w14:paraId="4A7B746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7D2CDE2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Propia</w:t>
            </w:r>
          </w:p>
        </w:tc>
        <w:tc>
          <w:tcPr>
            <w:tcW w:w="0" w:type="auto"/>
            <w:tcMar>
              <w:top w:w="30" w:type="dxa"/>
              <w:left w:w="45" w:type="dxa"/>
              <w:bottom w:w="30" w:type="dxa"/>
              <w:right w:w="45" w:type="dxa"/>
            </w:tcMar>
            <w:vAlign w:val="center"/>
            <w:hideMark/>
          </w:tcPr>
          <w:p w14:paraId="3D5305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350D04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4F738A9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1E9934C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768B63C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1.896.522.874</w:t>
            </w:r>
          </w:p>
        </w:tc>
      </w:tr>
      <w:tr w:rsidR="00856F66" w:rsidRPr="00E31657" w14:paraId="1279A6E1" w14:textId="77777777" w:rsidTr="00ED49FA">
        <w:trPr>
          <w:trHeight w:val="660"/>
        </w:trPr>
        <w:tc>
          <w:tcPr>
            <w:tcW w:w="0" w:type="auto"/>
            <w:vMerge/>
            <w:vAlign w:val="center"/>
            <w:hideMark/>
          </w:tcPr>
          <w:p w14:paraId="4F6D56C4" w14:textId="77777777" w:rsidR="00856F66" w:rsidRPr="00E31657" w:rsidRDefault="00856F66" w:rsidP="00AC00C2">
            <w:pPr>
              <w:jc w:val="right"/>
              <w:rPr>
                <w:rFonts w:cs="Arial"/>
                <w:sz w:val="16"/>
                <w:szCs w:val="16"/>
                <w:lang w:val="es-ES_tradnl" w:eastAsia="es-MX"/>
              </w:rPr>
            </w:pPr>
          </w:p>
        </w:tc>
        <w:tc>
          <w:tcPr>
            <w:tcW w:w="0" w:type="auto"/>
            <w:vMerge/>
            <w:vAlign w:val="center"/>
            <w:hideMark/>
          </w:tcPr>
          <w:p w14:paraId="30A688F4" w14:textId="77777777" w:rsidR="00856F66" w:rsidRPr="00E31657" w:rsidRDefault="00856F66" w:rsidP="00B24742">
            <w:pPr>
              <w:rPr>
                <w:rFonts w:cs="Arial"/>
                <w:sz w:val="16"/>
                <w:szCs w:val="16"/>
                <w:lang w:val="es-ES_tradnl" w:eastAsia="es-MX"/>
              </w:rPr>
            </w:pPr>
          </w:p>
        </w:tc>
        <w:tc>
          <w:tcPr>
            <w:tcW w:w="0" w:type="auto"/>
            <w:vMerge/>
            <w:vAlign w:val="center"/>
            <w:hideMark/>
          </w:tcPr>
          <w:p w14:paraId="7FE0B3C1"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6A5CFF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250.000.000</w:t>
            </w:r>
          </w:p>
        </w:tc>
        <w:tc>
          <w:tcPr>
            <w:tcW w:w="0" w:type="auto"/>
            <w:tcMar>
              <w:top w:w="30" w:type="dxa"/>
              <w:left w:w="45" w:type="dxa"/>
              <w:bottom w:w="30" w:type="dxa"/>
              <w:right w:w="45" w:type="dxa"/>
            </w:tcMar>
            <w:vAlign w:val="center"/>
            <w:hideMark/>
          </w:tcPr>
          <w:p w14:paraId="0CBE074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485.436.893</w:t>
            </w:r>
          </w:p>
        </w:tc>
        <w:tc>
          <w:tcPr>
            <w:tcW w:w="0" w:type="auto"/>
            <w:tcMar>
              <w:top w:w="30" w:type="dxa"/>
              <w:left w:w="45" w:type="dxa"/>
              <w:bottom w:w="30" w:type="dxa"/>
              <w:right w:w="45" w:type="dxa"/>
            </w:tcMar>
            <w:vAlign w:val="center"/>
            <w:hideMark/>
          </w:tcPr>
          <w:p w14:paraId="7129FCD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589.122.443</w:t>
            </w:r>
          </w:p>
        </w:tc>
        <w:tc>
          <w:tcPr>
            <w:tcW w:w="0" w:type="auto"/>
            <w:tcMar>
              <w:top w:w="30" w:type="dxa"/>
              <w:left w:w="45" w:type="dxa"/>
              <w:bottom w:w="30" w:type="dxa"/>
              <w:right w:w="45" w:type="dxa"/>
            </w:tcMar>
            <w:vAlign w:val="center"/>
            <w:hideMark/>
          </w:tcPr>
          <w:p w14:paraId="72D6B4D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571.963.537</w:t>
            </w:r>
          </w:p>
        </w:tc>
        <w:tc>
          <w:tcPr>
            <w:tcW w:w="0" w:type="auto"/>
            <w:vMerge/>
            <w:vAlign w:val="center"/>
            <w:hideMark/>
          </w:tcPr>
          <w:p w14:paraId="31E3FD50" w14:textId="77777777" w:rsidR="00856F66" w:rsidRPr="00E31657" w:rsidRDefault="00856F66" w:rsidP="00B24742">
            <w:pPr>
              <w:rPr>
                <w:rFonts w:cs="Arial"/>
                <w:b/>
                <w:bCs/>
                <w:sz w:val="16"/>
                <w:szCs w:val="16"/>
                <w:lang w:val="es-ES_tradnl" w:eastAsia="es-MX"/>
              </w:rPr>
            </w:pPr>
          </w:p>
        </w:tc>
      </w:tr>
      <w:tr w:rsidR="00856F66" w:rsidRPr="00E31657" w14:paraId="4627D41E" w14:textId="77777777" w:rsidTr="00ED49FA">
        <w:trPr>
          <w:trHeight w:val="660"/>
        </w:trPr>
        <w:tc>
          <w:tcPr>
            <w:tcW w:w="0" w:type="auto"/>
            <w:vMerge w:val="restart"/>
            <w:tcMar>
              <w:top w:w="30" w:type="dxa"/>
              <w:left w:w="45" w:type="dxa"/>
              <w:bottom w:w="30" w:type="dxa"/>
              <w:right w:w="45" w:type="dxa"/>
            </w:tcMar>
            <w:vAlign w:val="center"/>
            <w:hideMark/>
          </w:tcPr>
          <w:p w14:paraId="6003BDC8"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Vincular 100 Prestadores de Servicio Turístico en procesos de formación y/o sensibilización en apropiación de ciudad en el marco del programa" Bogotá Ciudad Portuaria</w:t>
            </w:r>
          </w:p>
        </w:tc>
        <w:tc>
          <w:tcPr>
            <w:tcW w:w="0" w:type="auto"/>
            <w:vMerge w:val="restart"/>
            <w:tcMar>
              <w:top w:w="30" w:type="dxa"/>
              <w:left w:w="45" w:type="dxa"/>
              <w:bottom w:w="30" w:type="dxa"/>
              <w:right w:w="45" w:type="dxa"/>
            </w:tcMar>
            <w:vAlign w:val="center"/>
            <w:hideMark/>
          </w:tcPr>
          <w:p w14:paraId="0A949CC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024ECF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Propia</w:t>
            </w:r>
          </w:p>
        </w:tc>
        <w:tc>
          <w:tcPr>
            <w:tcW w:w="0" w:type="auto"/>
            <w:tcMar>
              <w:top w:w="30" w:type="dxa"/>
              <w:left w:w="45" w:type="dxa"/>
              <w:bottom w:w="30" w:type="dxa"/>
              <w:right w:w="45" w:type="dxa"/>
            </w:tcMar>
            <w:vAlign w:val="center"/>
            <w:hideMark/>
          </w:tcPr>
          <w:p w14:paraId="2476EE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0" w:type="auto"/>
            <w:tcMar>
              <w:top w:w="30" w:type="dxa"/>
              <w:left w:w="45" w:type="dxa"/>
              <w:bottom w:w="30" w:type="dxa"/>
              <w:right w:w="45" w:type="dxa"/>
            </w:tcMar>
            <w:vAlign w:val="center"/>
            <w:hideMark/>
          </w:tcPr>
          <w:p w14:paraId="0196F71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0" w:type="auto"/>
            <w:tcMar>
              <w:top w:w="30" w:type="dxa"/>
              <w:left w:w="45" w:type="dxa"/>
              <w:bottom w:w="30" w:type="dxa"/>
              <w:right w:w="45" w:type="dxa"/>
            </w:tcMar>
            <w:vAlign w:val="center"/>
            <w:hideMark/>
          </w:tcPr>
          <w:p w14:paraId="1792D9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0" w:type="auto"/>
            <w:tcMar>
              <w:top w:w="30" w:type="dxa"/>
              <w:left w:w="45" w:type="dxa"/>
              <w:bottom w:w="30" w:type="dxa"/>
              <w:right w:w="45" w:type="dxa"/>
            </w:tcMar>
            <w:vAlign w:val="center"/>
            <w:hideMark/>
          </w:tcPr>
          <w:p w14:paraId="77A410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w:t>
            </w:r>
          </w:p>
        </w:tc>
        <w:tc>
          <w:tcPr>
            <w:tcW w:w="0" w:type="auto"/>
            <w:vMerge w:val="restart"/>
            <w:tcMar>
              <w:top w:w="30" w:type="dxa"/>
              <w:left w:w="45" w:type="dxa"/>
              <w:bottom w:w="30" w:type="dxa"/>
              <w:right w:w="45" w:type="dxa"/>
            </w:tcMar>
            <w:vAlign w:val="center"/>
            <w:hideMark/>
          </w:tcPr>
          <w:p w14:paraId="6C13942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472.191.453</w:t>
            </w:r>
          </w:p>
        </w:tc>
      </w:tr>
      <w:tr w:rsidR="00856F66" w:rsidRPr="00E31657" w14:paraId="0D5D73D5" w14:textId="77777777" w:rsidTr="00ED49FA">
        <w:trPr>
          <w:trHeight w:val="660"/>
        </w:trPr>
        <w:tc>
          <w:tcPr>
            <w:tcW w:w="0" w:type="auto"/>
            <w:vMerge/>
            <w:vAlign w:val="center"/>
            <w:hideMark/>
          </w:tcPr>
          <w:p w14:paraId="01015A0B" w14:textId="77777777" w:rsidR="00856F66" w:rsidRPr="00E31657" w:rsidRDefault="00856F66" w:rsidP="00B24742">
            <w:pPr>
              <w:rPr>
                <w:rFonts w:cs="Arial"/>
                <w:sz w:val="16"/>
                <w:szCs w:val="16"/>
                <w:lang w:val="es-ES_tradnl" w:eastAsia="es-MX"/>
              </w:rPr>
            </w:pPr>
          </w:p>
        </w:tc>
        <w:tc>
          <w:tcPr>
            <w:tcW w:w="0" w:type="auto"/>
            <w:vMerge/>
            <w:vAlign w:val="center"/>
            <w:hideMark/>
          </w:tcPr>
          <w:p w14:paraId="2BE814FD" w14:textId="77777777" w:rsidR="00856F66" w:rsidRPr="00E31657" w:rsidRDefault="00856F66" w:rsidP="00B24742">
            <w:pPr>
              <w:rPr>
                <w:rFonts w:cs="Arial"/>
                <w:sz w:val="16"/>
                <w:szCs w:val="16"/>
                <w:lang w:val="es-ES_tradnl" w:eastAsia="es-MX"/>
              </w:rPr>
            </w:pPr>
          </w:p>
        </w:tc>
        <w:tc>
          <w:tcPr>
            <w:tcW w:w="0" w:type="auto"/>
            <w:vMerge/>
            <w:vAlign w:val="center"/>
            <w:hideMark/>
          </w:tcPr>
          <w:p w14:paraId="017A0236"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40B3777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50.000.000</w:t>
            </w:r>
          </w:p>
        </w:tc>
        <w:tc>
          <w:tcPr>
            <w:tcW w:w="0" w:type="auto"/>
            <w:tcMar>
              <w:top w:w="30" w:type="dxa"/>
              <w:left w:w="45" w:type="dxa"/>
              <w:bottom w:w="30" w:type="dxa"/>
              <w:right w:w="45" w:type="dxa"/>
            </w:tcMar>
            <w:vAlign w:val="center"/>
            <w:hideMark/>
          </w:tcPr>
          <w:p w14:paraId="3FFC02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97.087.379</w:t>
            </w:r>
          </w:p>
        </w:tc>
        <w:tc>
          <w:tcPr>
            <w:tcW w:w="0" w:type="auto"/>
            <w:tcMar>
              <w:top w:w="30" w:type="dxa"/>
              <w:left w:w="45" w:type="dxa"/>
              <w:bottom w:w="30" w:type="dxa"/>
              <w:right w:w="45" w:type="dxa"/>
            </w:tcMar>
            <w:vAlign w:val="center"/>
            <w:hideMark/>
          </w:tcPr>
          <w:p w14:paraId="4206BD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164.954.284</w:t>
            </w:r>
          </w:p>
        </w:tc>
        <w:tc>
          <w:tcPr>
            <w:tcW w:w="0" w:type="auto"/>
            <w:tcMar>
              <w:top w:w="30" w:type="dxa"/>
              <w:left w:w="45" w:type="dxa"/>
              <w:bottom w:w="30" w:type="dxa"/>
              <w:right w:w="45" w:type="dxa"/>
            </w:tcMar>
            <w:vAlign w:val="center"/>
            <w:hideMark/>
          </w:tcPr>
          <w:p w14:paraId="178FF46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160.149.790</w:t>
            </w:r>
          </w:p>
        </w:tc>
        <w:tc>
          <w:tcPr>
            <w:tcW w:w="0" w:type="auto"/>
            <w:vMerge/>
            <w:vAlign w:val="center"/>
            <w:hideMark/>
          </w:tcPr>
          <w:p w14:paraId="08A06C0A" w14:textId="77777777" w:rsidR="00856F66" w:rsidRPr="00E31657" w:rsidRDefault="00856F66" w:rsidP="00B24742">
            <w:pPr>
              <w:rPr>
                <w:rFonts w:cs="Arial"/>
                <w:b/>
                <w:bCs/>
                <w:sz w:val="16"/>
                <w:szCs w:val="16"/>
                <w:lang w:val="es-ES_tradnl" w:eastAsia="es-MX"/>
              </w:rPr>
            </w:pPr>
          </w:p>
        </w:tc>
      </w:tr>
      <w:tr w:rsidR="00856F66" w:rsidRPr="00E31657" w14:paraId="647084F8" w14:textId="77777777" w:rsidTr="00ED49FA">
        <w:trPr>
          <w:trHeight w:val="295"/>
        </w:trPr>
        <w:tc>
          <w:tcPr>
            <w:tcW w:w="0" w:type="auto"/>
            <w:gridSpan w:val="8"/>
            <w:shd w:val="clear" w:color="auto" w:fill="C00000"/>
            <w:tcMar>
              <w:top w:w="30" w:type="dxa"/>
              <w:left w:w="45" w:type="dxa"/>
              <w:bottom w:w="30" w:type="dxa"/>
              <w:right w:w="45" w:type="dxa"/>
            </w:tcMar>
            <w:vAlign w:val="center"/>
            <w:hideMark/>
          </w:tcPr>
          <w:p w14:paraId="55316EB2"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Planeación</w:t>
            </w:r>
          </w:p>
        </w:tc>
      </w:tr>
      <w:tr w:rsidR="00856F66" w:rsidRPr="00E31657" w14:paraId="4A47F963" w14:textId="77777777" w:rsidTr="00ED49FA">
        <w:trPr>
          <w:trHeight w:val="660"/>
        </w:trPr>
        <w:tc>
          <w:tcPr>
            <w:tcW w:w="0" w:type="auto"/>
            <w:vMerge w:val="restart"/>
            <w:tcMar>
              <w:top w:w="30" w:type="dxa"/>
              <w:left w:w="45" w:type="dxa"/>
              <w:bottom w:w="30" w:type="dxa"/>
              <w:right w:w="45" w:type="dxa"/>
            </w:tcMar>
            <w:vAlign w:val="center"/>
            <w:hideMark/>
          </w:tcPr>
          <w:p w14:paraId="4BAA03EC"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Desarrollar un (1) modelo de gobernanza colaborativa y multinivel en el marco de la Actuación Urbana Integral Distrito Aeroportuario para su implementación y posicionamiento de Bogotá como una ciudad portuaria.</w:t>
            </w:r>
          </w:p>
        </w:tc>
        <w:tc>
          <w:tcPr>
            <w:tcW w:w="0" w:type="auto"/>
            <w:vMerge w:val="restart"/>
            <w:tcMar>
              <w:top w:w="30" w:type="dxa"/>
              <w:left w:w="45" w:type="dxa"/>
              <w:bottom w:w="30" w:type="dxa"/>
              <w:right w:w="45" w:type="dxa"/>
            </w:tcMar>
            <w:vAlign w:val="center"/>
            <w:hideMark/>
          </w:tcPr>
          <w:p w14:paraId="546548C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4CA6D90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7E0EBB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0,10</w:t>
            </w:r>
          </w:p>
        </w:tc>
        <w:tc>
          <w:tcPr>
            <w:tcW w:w="0" w:type="auto"/>
            <w:tcMar>
              <w:top w:w="30" w:type="dxa"/>
              <w:left w:w="45" w:type="dxa"/>
              <w:bottom w:w="30" w:type="dxa"/>
              <w:right w:w="45" w:type="dxa"/>
            </w:tcMar>
            <w:vAlign w:val="center"/>
            <w:hideMark/>
          </w:tcPr>
          <w:p w14:paraId="4ABF7CD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0" w:type="auto"/>
            <w:tcMar>
              <w:top w:w="30" w:type="dxa"/>
              <w:left w:w="45" w:type="dxa"/>
              <w:bottom w:w="30" w:type="dxa"/>
              <w:right w:w="45" w:type="dxa"/>
            </w:tcMar>
            <w:vAlign w:val="center"/>
            <w:hideMark/>
          </w:tcPr>
          <w:p w14:paraId="2F25D2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0" w:type="auto"/>
            <w:tcMar>
              <w:top w:w="30" w:type="dxa"/>
              <w:left w:w="45" w:type="dxa"/>
              <w:bottom w:w="30" w:type="dxa"/>
              <w:right w:w="45" w:type="dxa"/>
            </w:tcMar>
            <w:vAlign w:val="center"/>
            <w:hideMark/>
          </w:tcPr>
          <w:p w14:paraId="590187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0" w:type="auto"/>
            <w:vMerge w:val="restart"/>
            <w:tcMar>
              <w:top w:w="30" w:type="dxa"/>
              <w:left w:w="45" w:type="dxa"/>
              <w:bottom w:w="30" w:type="dxa"/>
              <w:right w:w="45" w:type="dxa"/>
            </w:tcMar>
            <w:vAlign w:val="center"/>
            <w:hideMark/>
          </w:tcPr>
          <w:p w14:paraId="2AB058B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1.905.047.871</w:t>
            </w:r>
          </w:p>
        </w:tc>
      </w:tr>
      <w:tr w:rsidR="00856F66" w:rsidRPr="00E31657" w14:paraId="27849D57" w14:textId="77777777" w:rsidTr="00ED49FA">
        <w:trPr>
          <w:trHeight w:val="750"/>
        </w:trPr>
        <w:tc>
          <w:tcPr>
            <w:tcW w:w="0" w:type="auto"/>
            <w:vMerge/>
            <w:vAlign w:val="center"/>
            <w:hideMark/>
          </w:tcPr>
          <w:p w14:paraId="46371871" w14:textId="77777777" w:rsidR="00856F66" w:rsidRPr="00E31657" w:rsidRDefault="00856F66" w:rsidP="00B24742">
            <w:pPr>
              <w:rPr>
                <w:rFonts w:cs="Arial"/>
                <w:sz w:val="16"/>
                <w:szCs w:val="16"/>
                <w:lang w:val="es-ES_tradnl" w:eastAsia="es-MX"/>
              </w:rPr>
            </w:pPr>
          </w:p>
        </w:tc>
        <w:tc>
          <w:tcPr>
            <w:tcW w:w="0" w:type="auto"/>
            <w:vMerge/>
            <w:vAlign w:val="center"/>
            <w:hideMark/>
          </w:tcPr>
          <w:p w14:paraId="4AB179D9" w14:textId="77777777" w:rsidR="00856F66" w:rsidRPr="00E31657" w:rsidRDefault="00856F66" w:rsidP="00B24742">
            <w:pPr>
              <w:rPr>
                <w:rFonts w:cs="Arial"/>
                <w:sz w:val="16"/>
                <w:szCs w:val="16"/>
                <w:lang w:val="es-ES_tradnl" w:eastAsia="es-MX"/>
              </w:rPr>
            </w:pPr>
          </w:p>
        </w:tc>
        <w:tc>
          <w:tcPr>
            <w:tcW w:w="0" w:type="auto"/>
            <w:vMerge/>
            <w:vAlign w:val="center"/>
            <w:hideMark/>
          </w:tcPr>
          <w:p w14:paraId="159C48A9"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79C32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338.455.227</w:t>
            </w:r>
          </w:p>
        </w:tc>
        <w:tc>
          <w:tcPr>
            <w:tcW w:w="0" w:type="auto"/>
            <w:tcMar>
              <w:top w:w="30" w:type="dxa"/>
              <w:left w:w="45" w:type="dxa"/>
              <w:bottom w:w="30" w:type="dxa"/>
              <w:right w:w="45" w:type="dxa"/>
            </w:tcMar>
            <w:vAlign w:val="center"/>
            <w:hideMark/>
          </w:tcPr>
          <w:p w14:paraId="2E3D6CF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542.475.403</w:t>
            </w:r>
          </w:p>
        </w:tc>
        <w:tc>
          <w:tcPr>
            <w:tcW w:w="0" w:type="auto"/>
            <w:tcMar>
              <w:top w:w="30" w:type="dxa"/>
              <w:left w:w="45" w:type="dxa"/>
              <w:bottom w:w="30" w:type="dxa"/>
              <w:right w:w="45" w:type="dxa"/>
            </w:tcMar>
            <w:vAlign w:val="center"/>
            <w:hideMark/>
          </w:tcPr>
          <w:p w14:paraId="058B302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511.686.685</w:t>
            </w:r>
          </w:p>
        </w:tc>
        <w:tc>
          <w:tcPr>
            <w:tcW w:w="0" w:type="auto"/>
            <w:tcMar>
              <w:top w:w="30" w:type="dxa"/>
              <w:left w:w="45" w:type="dxa"/>
              <w:bottom w:w="30" w:type="dxa"/>
              <w:right w:w="45" w:type="dxa"/>
            </w:tcMar>
            <w:vAlign w:val="center"/>
            <w:hideMark/>
          </w:tcPr>
          <w:p w14:paraId="47C326E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512.430.556</w:t>
            </w:r>
          </w:p>
        </w:tc>
        <w:tc>
          <w:tcPr>
            <w:tcW w:w="0" w:type="auto"/>
            <w:vMerge/>
            <w:vAlign w:val="center"/>
            <w:hideMark/>
          </w:tcPr>
          <w:p w14:paraId="24B74FFF" w14:textId="77777777" w:rsidR="00856F66" w:rsidRPr="00E31657" w:rsidRDefault="00856F66" w:rsidP="00B24742">
            <w:pPr>
              <w:rPr>
                <w:rFonts w:cs="Arial"/>
                <w:b/>
                <w:bCs/>
                <w:sz w:val="16"/>
                <w:szCs w:val="16"/>
                <w:lang w:val="es-ES_tradnl" w:eastAsia="es-MX"/>
              </w:rPr>
            </w:pPr>
          </w:p>
        </w:tc>
      </w:tr>
    </w:tbl>
    <w:p w14:paraId="2594D2D2" w14:textId="77777777" w:rsidR="00856F66" w:rsidRPr="00E31657" w:rsidRDefault="00856F66">
      <w:pPr>
        <w:rPr>
          <w:sz w:val="16"/>
          <w:szCs w:val="16"/>
          <w:lang w:val="es-ES_tradnl"/>
        </w:rPr>
      </w:pPr>
    </w:p>
    <w:p w14:paraId="784257F1" w14:textId="77777777" w:rsidR="00F007CD" w:rsidRPr="00E31657" w:rsidRDefault="00F007CD">
      <w:pPr>
        <w:rPr>
          <w:sz w:val="16"/>
          <w:szCs w:val="16"/>
          <w:lang w:val="es-ES_tradnl"/>
        </w:rPr>
      </w:pPr>
    </w:p>
    <w:p w14:paraId="566B7D92" w14:textId="77777777" w:rsidR="00856F66" w:rsidRPr="00E31657" w:rsidRDefault="00856F66">
      <w:pPr>
        <w:rPr>
          <w:sz w:val="16"/>
          <w:szCs w:val="16"/>
          <w:lang w:val="es-ES_tradnl"/>
        </w:rPr>
      </w:pPr>
    </w:p>
    <w:p w14:paraId="421E0B43" w14:textId="77777777" w:rsidR="00ED49FA" w:rsidRDefault="00ED49FA">
      <w:r>
        <w:br w:type="page"/>
      </w:r>
    </w:p>
    <w:tbl>
      <w:tblPr>
        <w:tblW w:w="5000"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401"/>
        <w:gridCol w:w="547"/>
        <w:gridCol w:w="723"/>
        <w:gridCol w:w="1140"/>
        <w:gridCol w:w="1140"/>
        <w:gridCol w:w="1099"/>
        <w:gridCol w:w="1170"/>
        <w:gridCol w:w="1140"/>
      </w:tblGrid>
      <w:tr w:rsidR="00856F66" w:rsidRPr="00E31657" w14:paraId="18FC0A8F" w14:textId="77777777" w:rsidTr="00ED49FA">
        <w:trPr>
          <w:trHeight w:val="315"/>
        </w:trPr>
        <w:tc>
          <w:tcPr>
            <w:tcW w:w="5000" w:type="pct"/>
            <w:gridSpan w:val="8"/>
            <w:tcMar>
              <w:top w:w="30" w:type="dxa"/>
              <w:left w:w="45" w:type="dxa"/>
              <w:bottom w:w="30" w:type="dxa"/>
              <w:right w:w="45" w:type="dxa"/>
            </w:tcMar>
            <w:vAlign w:val="center"/>
            <w:hideMark/>
          </w:tcPr>
          <w:p w14:paraId="74BD308A" w14:textId="34BC97F3" w:rsidR="00856F66" w:rsidRPr="00E31657" w:rsidRDefault="00856F66" w:rsidP="00B24742">
            <w:pPr>
              <w:jc w:val="center"/>
              <w:rPr>
                <w:rFonts w:cs="Arial"/>
                <w:b/>
                <w:bCs/>
                <w:lang w:val="es-ES_tradnl" w:eastAsia="es-MX"/>
              </w:rPr>
            </w:pPr>
            <w:r w:rsidRPr="00E31657">
              <w:rPr>
                <w:rFonts w:cs="Arial"/>
                <w:b/>
                <w:bCs/>
                <w:color w:val="C00000"/>
                <w:lang w:val="es-ES_tradnl" w:eastAsia="es-MX"/>
              </w:rPr>
              <w:lastRenderedPageBreak/>
              <w:t xml:space="preserve">Programa 22. </w:t>
            </w:r>
            <w:r w:rsidRPr="00E31657">
              <w:rPr>
                <w:rFonts w:cs="Arial"/>
                <w:lang w:val="es-ES_tradnl" w:eastAsia="es-MX"/>
              </w:rPr>
              <w:t>Bogotá, una ciudad de puertas abiertas al mundo</w:t>
            </w:r>
          </w:p>
        </w:tc>
      </w:tr>
      <w:tr w:rsidR="00856F66" w:rsidRPr="00E31657" w14:paraId="5B42B7A4" w14:textId="77777777" w:rsidTr="00ED49FA">
        <w:trPr>
          <w:trHeight w:val="315"/>
        </w:trPr>
        <w:tc>
          <w:tcPr>
            <w:tcW w:w="1283" w:type="pct"/>
            <w:vMerge w:val="restart"/>
            <w:shd w:val="clear" w:color="auto" w:fill="C00000"/>
            <w:tcMar>
              <w:top w:w="30" w:type="dxa"/>
              <w:left w:w="45" w:type="dxa"/>
              <w:bottom w:w="30" w:type="dxa"/>
              <w:right w:w="45" w:type="dxa"/>
            </w:tcMar>
            <w:vAlign w:val="center"/>
            <w:hideMark/>
          </w:tcPr>
          <w:p w14:paraId="182DBD22" w14:textId="77777777" w:rsidR="00856F66" w:rsidRPr="00E31657" w:rsidRDefault="00856F66" w:rsidP="00F007CD">
            <w:pPr>
              <w:pStyle w:val="Ttulo"/>
              <w:jc w:val="center"/>
              <w:rPr>
                <w:lang w:val="es-ES_tradnl"/>
              </w:rPr>
            </w:pPr>
            <w:r w:rsidRPr="00F007CD">
              <w:rPr>
                <w:rFonts w:ascii="Candara" w:eastAsia="Times New Roman" w:hAnsi="Candara"/>
                <w:b/>
                <w:bCs/>
                <w:color w:val="FFFFFF" w:themeColor="background1"/>
                <w:sz w:val="24"/>
                <w:szCs w:val="24"/>
                <w:lang w:val="es-ES_tradnl" w:eastAsia="es-MX"/>
              </w:rPr>
              <w:t>Sector / Metas</w:t>
            </w:r>
          </w:p>
        </w:tc>
        <w:tc>
          <w:tcPr>
            <w:tcW w:w="3717" w:type="pct"/>
            <w:gridSpan w:val="7"/>
            <w:shd w:val="clear" w:color="auto" w:fill="C00000"/>
            <w:tcMar>
              <w:top w:w="30" w:type="dxa"/>
              <w:left w:w="45" w:type="dxa"/>
              <w:bottom w:w="30" w:type="dxa"/>
              <w:right w:w="45" w:type="dxa"/>
            </w:tcMar>
            <w:vAlign w:val="center"/>
            <w:hideMark/>
          </w:tcPr>
          <w:p w14:paraId="2DBD8922"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 xml:space="preserve">Magnitudes e Inversión </w:t>
            </w:r>
            <w:r w:rsidRPr="00F007CD">
              <w:rPr>
                <w:rFonts w:ascii="Candara" w:eastAsia="Times New Roman" w:hAnsi="Candara"/>
                <w:b/>
                <w:bCs/>
                <w:color w:val="FFFFFF" w:themeColor="background1"/>
                <w:sz w:val="24"/>
                <w:szCs w:val="24"/>
                <w:lang w:val="es-ES_tradnl" w:eastAsia="es-MX"/>
              </w:rPr>
              <w:br/>
              <w:t>(Precios Constantes 2024)</w:t>
            </w:r>
          </w:p>
        </w:tc>
      </w:tr>
      <w:tr w:rsidR="00856F66" w:rsidRPr="00E31657" w14:paraId="5D8B9A28" w14:textId="77777777" w:rsidTr="00ED49FA">
        <w:trPr>
          <w:trHeight w:val="315"/>
        </w:trPr>
        <w:tc>
          <w:tcPr>
            <w:tcW w:w="1283" w:type="pct"/>
            <w:vMerge/>
            <w:shd w:val="clear" w:color="auto" w:fill="C00000"/>
            <w:vAlign w:val="center"/>
            <w:hideMark/>
          </w:tcPr>
          <w:p w14:paraId="298BE3B3" w14:textId="77777777" w:rsidR="00856F66" w:rsidRPr="00E31657" w:rsidRDefault="00856F66" w:rsidP="00B24742">
            <w:pPr>
              <w:rPr>
                <w:rFonts w:cs="Arial"/>
                <w:b/>
                <w:bCs/>
                <w:color w:val="FFFFFF"/>
                <w:sz w:val="16"/>
                <w:szCs w:val="16"/>
                <w:lang w:val="es-ES_tradnl" w:eastAsia="es-MX"/>
              </w:rPr>
            </w:pPr>
          </w:p>
        </w:tc>
        <w:tc>
          <w:tcPr>
            <w:tcW w:w="292" w:type="pct"/>
            <w:shd w:val="clear" w:color="auto" w:fill="D9D9D9"/>
            <w:tcMar>
              <w:top w:w="30" w:type="dxa"/>
              <w:left w:w="45" w:type="dxa"/>
              <w:bottom w:w="30" w:type="dxa"/>
              <w:right w:w="45" w:type="dxa"/>
            </w:tcMar>
            <w:vAlign w:val="center"/>
            <w:hideMark/>
          </w:tcPr>
          <w:p w14:paraId="76AB0AB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386" w:type="pct"/>
            <w:shd w:val="clear" w:color="auto" w:fill="D9D9D9"/>
            <w:tcMar>
              <w:top w:w="30" w:type="dxa"/>
              <w:left w:w="45" w:type="dxa"/>
              <w:bottom w:w="30" w:type="dxa"/>
              <w:right w:w="45" w:type="dxa"/>
            </w:tcMar>
            <w:vAlign w:val="center"/>
            <w:hideMark/>
          </w:tcPr>
          <w:p w14:paraId="1AC5F8C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09" w:type="pct"/>
            <w:shd w:val="clear" w:color="auto" w:fill="D9D9D9"/>
            <w:tcMar>
              <w:top w:w="30" w:type="dxa"/>
              <w:left w:w="45" w:type="dxa"/>
              <w:bottom w:w="30" w:type="dxa"/>
              <w:right w:w="45" w:type="dxa"/>
            </w:tcMar>
            <w:vAlign w:val="center"/>
            <w:hideMark/>
          </w:tcPr>
          <w:p w14:paraId="37E5A11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609" w:type="pct"/>
            <w:shd w:val="clear" w:color="auto" w:fill="D9D9D9"/>
            <w:tcMar>
              <w:top w:w="30" w:type="dxa"/>
              <w:left w:w="45" w:type="dxa"/>
              <w:bottom w:w="30" w:type="dxa"/>
              <w:right w:w="45" w:type="dxa"/>
            </w:tcMar>
            <w:vAlign w:val="center"/>
            <w:hideMark/>
          </w:tcPr>
          <w:p w14:paraId="7F60DA8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587" w:type="pct"/>
            <w:shd w:val="clear" w:color="auto" w:fill="D9D9D9"/>
            <w:tcMar>
              <w:top w:w="30" w:type="dxa"/>
              <w:left w:w="45" w:type="dxa"/>
              <w:bottom w:w="30" w:type="dxa"/>
              <w:right w:w="45" w:type="dxa"/>
            </w:tcMar>
            <w:vAlign w:val="center"/>
            <w:hideMark/>
          </w:tcPr>
          <w:p w14:paraId="41AD10B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625" w:type="pct"/>
            <w:shd w:val="clear" w:color="auto" w:fill="D9D9D9"/>
            <w:tcMar>
              <w:top w:w="30" w:type="dxa"/>
              <w:left w:w="45" w:type="dxa"/>
              <w:bottom w:w="30" w:type="dxa"/>
              <w:right w:w="45" w:type="dxa"/>
            </w:tcMar>
            <w:vAlign w:val="center"/>
            <w:hideMark/>
          </w:tcPr>
          <w:p w14:paraId="2768017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609" w:type="pct"/>
            <w:shd w:val="clear" w:color="auto" w:fill="D9D9D9"/>
            <w:tcMar>
              <w:top w:w="30" w:type="dxa"/>
              <w:left w:w="45" w:type="dxa"/>
              <w:bottom w:w="30" w:type="dxa"/>
              <w:right w:w="45" w:type="dxa"/>
            </w:tcMar>
            <w:vAlign w:val="center"/>
            <w:hideMark/>
          </w:tcPr>
          <w:p w14:paraId="5C0C43A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2848798E" w14:textId="77777777" w:rsidTr="00ED49FA">
        <w:trPr>
          <w:trHeight w:val="315"/>
        </w:trPr>
        <w:tc>
          <w:tcPr>
            <w:tcW w:w="5000" w:type="pct"/>
            <w:gridSpan w:val="8"/>
            <w:shd w:val="clear" w:color="auto" w:fill="C00000"/>
            <w:tcMar>
              <w:top w:w="30" w:type="dxa"/>
              <w:left w:w="45" w:type="dxa"/>
              <w:bottom w:w="30" w:type="dxa"/>
              <w:right w:w="45" w:type="dxa"/>
            </w:tcMar>
            <w:vAlign w:val="center"/>
            <w:hideMark/>
          </w:tcPr>
          <w:p w14:paraId="4FA5D77B" w14:textId="77777777" w:rsidR="00856F66" w:rsidRPr="00F007CD" w:rsidRDefault="00856F66" w:rsidP="00F007CD">
            <w:pPr>
              <w:pStyle w:val="Ttulo"/>
              <w:jc w:val="center"/>
              <w:rPr>
                <w:rFonts w:ascii="Candara" w:eastAsia="Times New Roman" w:hAnsi="Candara"/>
                <w:b/>
                <w:bCs/>
                <w:color w:val="FFFFFF" w:themeColor="background1"/>
                <w:sz w:val="24"/>
                <w:szCs w:val="24"/>
                <w:lang w:val="es-ES_tradnl" w:eastAsia="es-MX"/>
              </w:rPr>
            </w:pPr>
            <w:r w:rsidRPr="00F007CD">
              <w:rPr>
                <w:rFonts w:ascii="Candara" w:eastAsia="Times New Roman" w:hAnsi="Candara"/>
                <w:b/>
                <w:bCs/>
                <w:color w:val="FFFFFF" w:themeColor="background1"/>
                <w:sz w:val="24"/>
                <w:szCs w:val="24"/>
                <w:lang w:val="es-ES_tradnl" w:eastAsia="es-MX"/>
              </w:rPr>
              <w:t>Cultura recreación y deporte</w:t>
            </w:r>
          </w:p>
        </w:tc>
      </w:tr>
      <w:tr w:rsidR="00856F66" w:rsidRPr="00E31657" w14:paraId="07B85404" w14:textId="77777777" w:rsidTr="00ED49FA">
        <w:trPr>
          <w:trHeight w:val="315"/>
        </w:trPr>
        <w:tc>
          <w:tcPr>
            <w:tcW w:w="1283" w:type="pct"/>
            <w:vMerge w:val="restart"/>
            <w:tcMar>
              <w:top w:w="30" w:type="dxa"/>
              <w:left w:w="45" w:type="dxa"/>
              <w:bottom w:w="30" w:type="dxa"/>
              <w:right w:w="45" w:type="dxa"/>
            </w:tcMar>
            <w:vAlign w:val="center"/>
            <w:hideMark/>
          </w:tcPr>
          <w:p w14:paraId="7F6BF754"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Propiciar 76 espacios estratégicos de carácter internacional a nivel bilateral y multilateral que promuevan la cooperación internacional y la internacionalización del sector cultura recreación y deporte; tales como eventos e hitos de ciudad redes de ciudades plataformas mercados y encuentros entre otros que proyecten a Bogotá en el hemisferio como una capital global atractiva y sostenible.</w:t>
            </w:r>
          </w:p>
        </w:tc>
        <w:tc>
          <w:tcPr>
            <w:tcW w:w="292" w:type="pct"/>
            <w:vMerge w:val="restart"/>
            <w:tcMar>
              <w:top w:w="30" w:type="dxa"/>
              <w:left w:w="45" w:type="dxa"/>
              <w:bottom w:w="30" w:type="dxa"/>
              <w:right w:w="45" w:type="dxa"/>
            </w:tcMar>
            <w:vAlign w:val="center"/>
            <w:hideMark/>
          </w:tcPr>
          <w:p w14:paraId="6BFC3A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386" w:type="pct"/>
            <w:vMerge w:val="restart"/>
            <w:tcMar>
              <w:top w:w="30" w:type="dxa"/>
              <w:left w:w="45" w:type="dxa"/>
              <w:bottom w:w="30" w:type="dxa"/>
              <w:right w:w="45" w:type="dxa"/>
            </w:tcMar>
            <w:vAlign w:val="center"/>
            <w:hideMark/>
          </w:tcPr>
          <w:p w14:paraId="466DF8E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09" w:type="pct"/>
            <w:tcMar>
              <w:top w:w="30" w:type="dxa"/>
              <w:left w:w="45" w:type="dxa"/>
              <w:bottom w:w="30" w:type="dxa"/>
              <w:right w:w="45" w:type="dxa"/>
            </w:tcMar>
            <w:vAlign w:val="center"/>
            <w:hideMark/>
          </w:tcPr>
          <w:p w14:paraId="03F2AF8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w:t>
            </w:r>
          </w:p>
        </w:tc>
        <w:tc>
          <w:tcPr>
            <w:tcW w:w="609" w:type="pct"/>
            <w:tcMar>
              <w:top w:w="30" w:type="dxa"/>
              <w:left w:w="45" w:type="dxa"/>
              <w:bottom w:w="30" w:type="dxa"/>
              <w:right w:w="45" w:type="dxa"/>
            </w:tcMar>
            <w:vAlign w:val="center"/>
            <w:hideMark/>
          </w:tcPr>
          <w:p w14:paraId="1044A05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w:t>
            </w:r>
          </w:p>
        </w:tc>
        <w:tc>
          <w:tcPr>
            <w:tcW w:w="587" w:type="pct"/>
            <w:tcMar>
              <w:top w:w="30" w:type="dxa"/>
              <w:left w:w="45" w:type="dxa"/>
              <w:bottom w:w="30" w:type="dxa"/>
              <w:right w:w="45" w:type="dxa"/>
            </w:tcMar>
            <w:vAlign w:val="center"/>
            <w:hideMark/>
          </w:tcPr>
          <w:p w14:paraId="33C707D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w:t>
            </w:r>
          </w:p>
        </w:tc>
        <w:tc>
          <w:tcPr>
            <w:tcW w:w="625" w:type="pct"/>
            <w:tcMar>
              <w:top w:w="30" w:type="dxa"/>
              <w:left w:w="45" w:type="dxa"/>
              <w:bottom w:w="30" w:type="dxa"/>
              <w:right w:w="45" w:type="dxa"/>
            </w:tcMar>
            <w:vAlign w:val="center"/>
            <w:hideMark/>
          </w:tcPr>
          <w:p w14:paraId="758470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w:t>
            </w:r>
          </w:p>
        </w:tc>
        <w:tc>
          <w:tcPr>
            <w:tcW w:w="609" w:type="pct"/>
            <w:vMerge w:val="restart"/>
            <w:tcMar>
              <w:top w:w="30" w:type="dxa"/>
              <w:left w:w="45" w:type="dxa"/>
              <w:bottom w:w="30" w:type="dxa"/>
              <w:right w:w="45" w:type="dxa"/>
            </w:tcMar>
            <w:vAlign w:val="center"/>
            <w:hideMark/>
          </w:tcPr>
          <w:p w14:paraId="74D76E8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57.940.678.913</w:t>
            </w:r>
          </w:p>
        </w:tc>
      </w:tr>
      <w:tr w:rsidR="00856F66" w:rsidRPr="00E31657" w14:paraId="578D1E9B" w14:textId="77777777" w:rsidTr="00ED49FA">
        <w:trPr>
          <w:trHeight w:val="315"/>
        </w:trPr>
        <w:tc>
          <w:tcPr>
            <w:tcW w:w="1283" w:type="pct"/>
            <w:vMerge/>
            <w:vAlign w:val="center"/>
            <w:hideMark/>
          </w:tcPr>
          <w:p w14:paraId="457BD3A0" w14:textId="77777777" w:rsidR="00856F66" w:rsidRPr="00E31657" w:rsidRDefault="00856F66" w:rsidP="00B24742">
            <w:pPr>
              <w:rPr>
                <w:rFonts w:cs="Arial"/>
                <w:sz w:val="16"/>
                <w:szCs w:val="16"/>
                <w:lang w:val="es-ES_tradnl" w:eastAsia="es-MX"/>
              </w:rPr>
            </w:pPr>
          </w:p>
        </w:tc>
        <w:tc>
          <w:tcPr>
            <w:tcW w:w="292" w:type="pct"/>
            <w:vMerge/>
            <w:vAlign w:val="center"/>
            <w:hideMark/>
          </w:tcPr>
          <w:p w14:paraId="3A72877A" w14:textId="77777777" w:rsidR="00856F66" w:rsidRPr="00E31657" w:rsidRDefault="00856F66" w:rsidP="00B24742">
            <w:pPr>
              <w:rPr>
                <w:rFonts w:cs="Arial"/>
                <w:sz w:val="16"/>
                <w:szCs w:val="16"/>
                <w:lang w:val="es-ES_tradnl" w:eastAsia="es-MX"/>
              </w:rPr>
            </w:pPr>
          </w:p>
        </w:tc>
        <w:tc>
          <w:tcPr>
            <w:tcW w:w="386" w:type="pct"/>
            <w:vMerge/>
            <w:vAlign w:val="center"/>
            <w:hideMark/>
          </w:tcPr>
          <w:p w14:paraId="56C431CE" w14:textId="77777777" w:rsidR="00856F66" w:rsidRPr="00E31657" w:rsidRDefault="00856F66" w:rsidP="00B24742">
            <w:pPr>
              <w:rPr>
                <w:rFonts w:cs="Arial"/>
                <w:sz w:val="16"/>
                <w:szCs w:val="16"/>
                <w:lang w:val="es-ES_tradnl" w:eastAsia="es-MX"/>
              </w:rPr>
            </w:pPr>
          </w:p>
        </w:tc>
        <w:tc>
          <w:tcPr>
            <w:tcW w:w="609" w:type="pct"/>
            <w:tcMar>
              <w:top w:w="30" w:type="dxa"/>
              <w:left w:w="45" w:type="dxa"/>
              <w:bottom w:w="30" w:type="dxa"/>
              <w:right w:w="45" w:type="dxa"/>
            </w:tcMar>
            <w:vAlign w:val="center"/>
            <w:hideMark/>
          </w:tcPr>
          <w:p w14:paraId="3FB787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4.076.000.000</w:t>
            </w:r>
          </w:p>
        </w:tc>
        <w:tc>
          <w:tcPr>
            <w:tcW w:w="609" w:type="pct"/>
            <w:tcMar>
              <w:top w:w="30" w:type="dxa"/>
              <w:left w:w="45" w:type="dxa"/>
              <w:bottom w:w="30" w:type="dxa"/>
              <w:right w:w="45" w:type="dxa"/>
            </w:tcMar>
            <w:vAlign w:val="center"/>
            <w:hideMark/>
          </w:tcPr>
          <w:p w14:paraId="7ED7EC4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17.890.327.857</w:t>
            </w:r>
          </w:p>
        </w:tc>
        <w:tc>
          <w:tcPr>
            <w:tcW w:w="587" w:type="pct"/>
            <w:tcMar>
              <w:top w:w="30" w:type="dxa"/>
              <w:left w:w="45" w:type="dxa"/>
              <w:bottom w:w="30" w:type="dxa"/>
              <w:right w:w="45" w:type="dxa"/>
            </w:tcMar>
            <w:vAlign w:val="center"/>
            <w:hideMark/>
          </w:tcPr>
          <w:p w14:paraId="3C9091F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15.719.150.394</w:t>
            </w:r>
          </w:p>
        </w:tc>
        <w:tc>
          <w:tcPr>
            <w:tcW w:w="625" w:type="pct"/>
            <w:tcMar>
              <w:top w:w="30" w:type="dxa"/>
              <w:left w:w="45" w:type="dxa"/>
              <w:bottom w:w="30" w:type="dxa"/>
              <w:right w:w="45" w:type="dxa"/>
            </w:tcMar>
            <w:vAlign w:val="center"/>
            <w:hideMark/>
          </w:tcPr>
          <w:p w14:paraId="113CD53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20.255.200.662</w:t>
            </w:r>
          </w:p>
        </w:tc>
        <w:tc>
          <w:tcPr>
            <w:tcW w:w="609" w:type="pct"/>
            <w:vMerge/>
            <w:vAlign w:val="center"/>
            <w:hideMark/>
          </w:tcPr>
          <w:p w14:paraId="65CBD3E6" w14:textId="77777777" w:rsidR="00856F66" w:rsidRPr="00E31657" w:rsidRDefault="00856F66" w:rsidP="00B24742">
            <w:pPr>
              <w:rPr>
                <w:rFonts w:cs="Arial"/>
                <w:b/>
                <w:bCs/>
                <w:sz w:val="16"/>
                <w:szCs w:val="16"/>
                <w:lang w:val="es-ES_tradnl" w:eastAsia="es-MX"/>
              </w:rPr>
            </w:pPr>
          </w:p>
        </w:tc>
      </w:tr>
      <w:tr w:rsidR="00856F66" w:rsidRPr="00E31657" w14:paraId="2388196A" w14:textId="77777777" w:rsidTr="00ED49FA">
        <w:trPr>
          <w:trHeight w:val="315"/>
        </w:trPr>
        <w:tc>
          <w:tcPr>
            <w:tcW w:w="5000" w:type="pct"/>
            <w:gridSpan w:val="8"/>
            <w:shd w:val="clear" w:color="auto" w:fill="C00000"/>
            <w:tcMar>
              <w:top w:w="30" w:type="dxa"/>
              <w:left w:w="45" w:type="dxa"/>
              <w:bottom w:w="30" w:type="dxa"/>
              <w:right w:w="45" w:type="dxa"/>
            </w:tcMar>
            <w:vAlign w:val="center"/>
            <w:hideMark/>
          </w:tcPr>
          <w:p w14:paraId="5BDC0A68" w14:textId="77777777" w:rsidR="00856F66" w:rsidRPr="00E31657" w:rsidRDefault="00856F66" w:rsidP="00F007CD">
            <w:pPr>
              <w:pStyle w:val="Ttulo"/>
              <w:jc w:val="center"/>
              <w:rPr>
                <w:lang w:val="es-ES_tradnl"/>
              </w:rPr>
            </w:pPr>
            <w:r w:rsidRPr="00F007CD">
              <w:rPr>
                <w:rFonts w:ascii="Candara" w:eastAsia="Times New Roman" w:hAnsi="Candara"/>
                <w:b/>
                <w:bCs/>
                <w:color w:val="FFFFFF" w:themeColor="background1"/>
                <w:sz w:val="24"/>
                <w:szCs w:val="24"/>
                <w:lang w:val="es-ES_tradnl" w:eastAsia="es-MX"/>
              </w:rPr>
              <w:t>Educación</w:t>
            </w:r>
          </w:p>
        </w:tc>
      </w:tr>
      <w:tr w:rsidR="00856F66" w:rsidRPr="00E31657" w14:paraId="3844730D" w14:textId="77777777" w:rsidTr="00ED49FA">
        <w:trPr>
          <w:trHeight w:val="540"/>
        </w:trPr>
        <w:tc>
          <w:tcPr>
            <w:tcW w:w="1283" w:type="pct"/>
            <w:vMerge w:val="restart"/>
            <w:tcMar>
              <w:top w:w="30" w:type="dxa"/>
              <w:left w:w="45" w:type="dxa"/>
              <w:bottom w:w="30" w:type="dxa"/>
              <w:right w:w="45" w:type="dxa"/>
            </w:tcMar>
            <w:vAlign w:val="center"/>
            <w:hideMark/>
          </w:tcPr>
          <w:p w14:paraId="3743C4FC"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Aumentar al 35% las y los estudiantes de colegios oficiales que se ubican en el nivel B1 o superior de inglés en las pruebas Saber 11.</w:t>
            </w:r>
          </w:p>
        </w:tc>
        <w:tc>
          <w:tcPr>
            <w:tcW w:w="292" w:type="pct"/>
            <w:vMerge w:val="restart"/>
            <w:tcMar>
              <w:top w:w="30" w:type="dxa"/>
              <w:left w:w="45" w:type="dxa"/>
              <w:bottom w:w="30" w:type="dxa"/>
              <w:right w:w="45" w:type="dxa"/>
            </w:tcMar>
            <w:vAlign w:val="center"/>
            <w:hideMark/>
          </w:tcPr>
          <w:p w14:paraId="3DE8CA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w:t>
            </w:r>
            <w:r w:rsidRPr="00E31657">
              <w:rPr>
                <w:rFonts w:cs="Arial"/>
                <w:sz w:val="16"/>
                <w:szCs w:val="16"/>
                <w:lang w:val="es-ES_tradnl" w:eastAsia="es-MX"/>
              </w:rPr>
              <w:br/>
              <w:t>(2023)</w:t>
            </w:r>
          </w:p>
        </w:tc>
        <w:tc>
          <w:tcPr>
            <w:tcW w:w="386" w:type="pct"/>
            <w:vMerge w:val="restart"/>
            <w:tcMar>
              <w:top w:w="30" w:type="dxa"/>
              <w:left w:w="45" w:type="dxa"/>
              <w:bottom w:w="30" w:type="dxa"/>
              <w:right w:w="45" w:type="dxa"/>
            </w:tcMar>
            <w:vAlign w:val="center"/>
            <w:hideMark/>
          </w:tcPr>
          <w:p w14:paraId="26A760C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SED CON BASE EN ICFES</w:t>
            </w:r>
          </w:p>
        </w:tc>
        <w:tc>
          <w:tcPr>
            <w:tcW w:w="609" w:type="pct"/>
            <w:tcMar>
              <w:top w:w="30" w:type="dxa"/>
              <w:left w:w="45" w:type="dxa"/>
              <w:bottom w:w="30" w:type="dxa"/>
              <w:right w:w="45" w:type="dxa"/>
            </w:tcMar>
            <w:vAlign w:val="center"/>
            <w:hideMark/>
          </w:tcPr>
          <w:p w14:paraId="7E3928E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609" w:type="pct"/>
            <w:tcMar>
              <w:top w:w="30" w:type="dxa"/>
              <w:left w:w="45" w:type="dxa"/>
              <w:bottom w:w="30" w:type="dxa"/>
              <w:right w:w="45" w:type="dxa"/>
            </w:tcMar>
            <w:vAlign w:val="center"/>
            <w:hideMark/>
          </w:tcPr>
          <w:p w14:paraId="71E237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13,00%</w:t>
            </w:r>
          </w:p>
        </w:tc>
        <w:tc>
          <w:tcPr>
            <w:tcW w:w="587" w:type="pct"/>
            <w:tcMar>
              <w:top w:w="30" w:type="dxa"/>
              <w:left w:w="45" w:type="dxa"/>
              <w:bottom w:w="30" w:type="dxa"/>
              <w:right w:w="45" w:type="dxa"/>
            </w:tcMar>
            <w:vAlign w:val="center"/>
            <w:hideMark/>
          </w:tcPr>
          <w:p w14:paraId="0E7700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625" w:type="pct"/>
            <w:tcMar>
              <w:top w:w="30" w:type="dxa"/>
              <w:left w:w="45" w:type="dxa"/>
              <w:bottom w:w="30" w:type="dxa"/>
              <w:right w:w="45" w:type="dxa"/>
            </w:tcMar>
            <w:vAlign w:val="center"/>
            <w:hideMark/>
          </w:tcPr>
          <w:p w14:paraId="066DB04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35,00%</w:t>
            </w:r>
          </w:p>
        </w:tc>
        <w:tc>
          <w:tcPr>
            <w:tcW w:w="609" w:type="pct"/>
            <w:vMerge w:val="restart"/>
            <w:tcMar>
              <w:top w:w="30" w:type="dxa"/>
              <w:left w:w="45" w:type="dxa"/>
              <w:bottom w:w="30" w:type="dxa"/>
              <w:right w:w="45" w:type="dxa"/>
            </w:tcMar>
            <w:vAlign w:val="center"/>
            <w:hideMark/>
          </w:tcPr>
          <w:p w14:paraId="3910100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35.213.034.914</w:t>
            </w:r>
          </w:p>
        </w:tc>
      </w:tr>
      <w:tr w:rsidR="00856F66" w:rsidRPr="00E31657" w14:paraId="011BC79D" w14:textId="77777777" w:rsidTr="00ED49FA">
        <w:trPr>
          <w:trHeight w:val="315"/>
        </w:trPr>
        <w:tc>
          <w:tcPr>
            <w:tcW w:w="1283" w:type="pct"/>
            <w:vMerge/>
            <w:vAlign w:val="center"/>
            <w:hideMark/>
          </w:tcPr>
          <w:p w14:paraId="34FE99A2" w14:textId="77777777" w:rsidR="00856F66" w:rsidRPr="00E31657" w:rsidRDefault="00856F66" w:rsidP="00B24742">
            <w:pPr>
              <w:rPr>
                <w:rFonts w:cs="Arial"/>
                <w:sz w:val="16"/>
                <w:szCs w:val="16"/>
                <w:lang w:val="es-ES_tradnl" w:eastAsia="es-MX"/>
              </w:rPr>
            </w:pPr>
          </w:p>
        </w:tc>
        <w:tc>
          <w:tcPr>
            <w:tcW w:w="292" w:type="pct"/>
            <w:vMerge/>
            <w:vAlign w:val="center"/>
            <w:hideMark/>
          </w:tcPr>
          <w:p w14:paraId="2658A283" w14:textId="77777777" w:rsidR="00856F66" w:rsidRPr="00E31657" w:rsidRDefault="00856F66" w:rsidP="00B24742">
            <w:pPr>
              <w:rPr>
                <w:rFonts w:cs="Arial"/>
                <w:sz w:val="16"/>
                <w:szCs w:val="16"/>
                <w:lang w:val="es-ES_tradnl" w:eastAsia="es-MX"/>
              </w:rPr>
            </w:pPr>
          </w:p>
        </w:tc>
        <w:tc>
          <w:tcPr>
            <w:tcW w:w="386" w:type="pct"/>
            <w:vMerge/>
            <w:vAlign w:val="center"/>
            <w:hideMark/>
          </w:tcPr>
          <w:p w14:paraId="315F3A15" w14:textId="77777777" w:rsidR="00856F66" w:rsidRPr="00E31657" w:rsidRDefault="00856F66" w:rsidP="00B24742">
            <w:pPr>
              <w:rPr>
                <w:rFonts w:cs="Arial"/>
                <w:sz w:val="16"/>
                <w:szCs w:val="16"/>
                <w:lang w:val="es-ES_tradnl" w:eastAsia="es-MX"/>
              </w:rPr>
            </w:pPr>
          </w:p>
        </w:tc>
        <w:tc>
          <w:tcPr>
            <w:tcW w:w="609" w:type="pct"/>
            <w:tcMar>
              <w:top w:w="30" w:type="dxa"/>
              <w:left w:w="45" w:type="dxa"/>
              <w:bottom w:w="30" w:type="dxa"/>
              <w:right w:w="45" w:type="dxa"/>
            </w:tcMar>
            <w:vAlign w:val="center"/>
            <w:hideMark/>
          </w:tcPr>
          <w:p w14:paraId="2D43FDD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5.672.915.366</w:t>
            </w:r>
          </w:p>
        </w:tc>
        <w:tc>
          <w:tcPr>
            <w:tcW w:w="609" w:type="pct"/>
            <w:tcMar>
              <w:top w:w="30" w:type="dxa"/>
              <w:left w:w="45" w:type="dxa"/>
              <w:bottom w:w="30" w:type="dxa"/>
              <w:right w:w="45" w:type="dxa"/>
            </w:tcMar>
            <w:vAlign w:val="center"/>
            <w:hideMark/>
          </w:tcPr>
          <w:p w14:paraId="246DDC2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10.351.992.667</w:t>
            </w:r>
          </w:p>
        </w:tc>
        <w:tc>
          <w:tcPr>
            <w:tcW w:w="587" w:type="pct"/>
            <w:tcMar>
              <w:top w:w="30" w:type="dxa"/>
              <w:left w:w="45" w:type="dxa"/>
              <w:bottom w:w="30" w:type="dxa"/>
              <w:right w:w="45" w:type="dxa"/>
            </w:tcMar>
            <w:vAlign w:val="center"/>
            <w:hideMark/>
          </w:tcPr>
          <w:p w14:paraId="25A37C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9.720.831.612</w:t>
            </w:r>
          </w:p>
        </w:tc>
        <w:tc>
          <w:tcPr>
            <w:tcW w:w="625" w:type="pct"/>
            <w:tcMar>
              <w:top w:w="30" w:type="dxa"/>
              <w:left w:w="45" w:type="dxa"/>
              <w:bottom w:w="30" w:type="dxa"/>
              <w:right w:w="45" w:type="dxa"/>
            </w:tcMar>
            <w:vAlign w:val="center"/>
            <w:hideMark/>
          </w:tcPr>
          <w:p w14:paraId="0BF53DD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9.467.295.270</w:t>
            </w:r>
          </w:p>
        </w:tc>
        <w:tc>
          <w:tcPr>
            <w:tcW w:w="609" w:type="pct"/>
            <w:vMerge/>
            <w:vAlign w:val="center"/>
            <w:hideMark/>
          </w:tcPr>
          <w:p w14:paraId="5A516EFD" w14:textId="77777777" w:rsidR="00856F66" w:rsidRPr="00E31657" w:rsidRDefault="00856F66" w:rsidP="00B24742">
            <w:pPr>
              <w:rPr>
                <w:rFonts w:cs="Arial"/>
                <w:b/>
                <w:bCs/>
                <w:sz w:val="16"/>
                <w:szCs w:val="16"/>
                <w:lang w:val="es-ES_tradnl" w:eastAsia="es-MX"/>
              </w:rPr>
            </w:pPr>
          </w:p>
        </w:tc>
      </w:tr>
      <w:tr w:rsidR="00856F66" w:rsidRPr="00E31657" w14:paraId="33DEAA66" w14:textId="77777777" w:rsidTr="00ED49FA">
        <w:trPr>
          <w:trHeight w:val="315"/>
        </w:trPr>
        <w:tc>
          <w:tcPr>
            <w:tcW w:w="5000" w:type="pct"/>
            <w:gridSpan w:val="8"/>
            <w:shd w:val="clear" w:color="auto" w:fill="C00000"/>
            <w:tcMar>
              <w:top w:w="30" w:type="dxa"/>
              <w:left w:w="45" w:type="dxa"/>
              <w:bottom w:w="30" w:type="dxa"/>
              <w:right w:w="45" w:type="dxa"/>
            </w:tcMar>
            <w:vAlign w:val="center"/>
            <w:hideMark/>
          </w:tcPr>
          <w:p w14:paraId="21C59480"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Gestión pública</w:t>
            </w:r>
          </w:p>
        </w:tc>
      </w:tr>
      <w:tr w:rsidR="00856F66" w:rsidRPr="00E31657" w14:paraId="173E312D" w14:textId="77777777" w:rsidTr="00ED49FA">
        <w:trPr>
          <w:trHeight w:val="315"/>
        </w:trPr>
        <w:tc>
          <w:tcPr>
            <w:tcW w:w="1283" w:type="pct"/>
            <w:vMerge w:val="restart"/>
            <w:tcMar>
              <w:top w:w="30" w:type="dxa"/>
              <w:left w:w="45" w:type="dxa"/>
              <w:bottom w:w="30" w:type="dxa"/>
              <w:right w:w="45" w:type="dxa"/>
            </w:tcMar>
            <w:vAlign w:val="center"/>
            <w:hideMark/>
          </w:tcPr>
          <w:p w14:paraId="003BDD5E"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Implementar 1 Esquema de Gobernanza Internacional en el Distrito</w:t>
            </w:r>
          </w:p>
        </w:tc>
        <w:tc>
          <w:tcPr>
            <w:tcW w:w="292" w:type="pct"/>
            <w:vMerge w:val="restart"/>
            <w:tcMar>
              <w:top w:w="30" w:type="dxa"/>
              <w:left w:w="45" w:type="dxa"/>
              <w:bottom w:w="30" w:type="dxa"/>
              <w:right w:w="45" w:type="dxa"/>
            </w:tcMar>
            <w:vAlign w:val="center"/>
            <w:hideMark/>
          </w:tcPr>
          <w:p w14:paraId="13A813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386" w:type="pct"/>
            <w:vMerge w:val="restart"/>
            <w:tcMar>
              <w:top w:w="30" w:type="dxa"/>
              <w:left w:w="45" w:type="dxa"/>
              <w:bottom w:w="30" w:type="dxa"/>
              <w:right w:w="45" w:type="dxa"/>
            </w:tcMar>
            <w:vAlign w:val="center"/>
            <w:hideMark/>
          </w:tcPr>
          <w:p w14:paraId="320EC3A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09" w:type="pct"/>
            <w:tcMar>
              <w:top w:w="30" w:type="dxa"/>
              <w:left w:w="45" w:type="dxa"/>
              <w:bottom w:w="30" w:type="dxa"/>
              <w:right w:w="45" w:type="dxa"/>
            </w:tcMar>
            <w:vAlign w:val="center"/>
            <w:hideMark/>
          </w:tcPr>
          <w:p w14:paraId="7B752E0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609" w:type="pct"/>
            <w:tcMar>
              <w:top w:w="30" w:type="dxa"/>
              <w:left w:w="45" w:type="dxa"/>
              <w:bottom w:w="30" w:type="dxa"/>
              <w:right w:w="45" w:type="dxa"/>
            </w:tcMar>
            <w:vAlign w:val="center"/>
            <w:hideMark/>
          </w:tcPr>
          <w:p w14:paraId="5974F3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587" w:type="pct"/>
            <w:tcMar>
              <w:top w:w="30" w:type="dxa"/>
              <w:left w:w="45" w:type="dxa"/>
              <w:bottom w:w="30" w:type="dxa"/>
              <w:right w:w="45" w:type="dxa"/>
            </w:tcMar>
            <w:vAlign w:val="center"/>
            <w:hideMark/>
          </w:tcPr>
          <w:p w14:paraId="76A4DD8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625" w:type="pct"/>
            <w:tcMar>
              <w:top w:w="30" w:type="dxa"/>
              <w:left w:w="45" w:type="dxa"/>
              <w:bottom w:w="30" w:type="dxa"/>
              <w:right w:w="45" w:type="dxa"/>
            </w:tcMar>
            <w:vAlign w:val="center"/>
            <w:hideMark/>
          </w:tcPr>
          <w:p w14:paraId="2DD45B5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609" w:type="pct"/>
            <w:vMerge w:val="restart"/>
            <w:tcMar>
              <w:top w:w="30" w:type="dxa"/>
              <w:left w:w="45" w:type="dxa"/>
              <w:bottom w:w="30" w:type="dxa"/>
              <w:right w:w="45" w:type="dxa"/>
            </w:tcMar>
            <w:vAlign w:val="center"/>
            <w:hideMark/>
          </w:tcPr>
          <w:p w14:paraId="46C1E36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7.707.109.633</w:t>
            </w:r>
          </w:p>
        </w:tc>
      </w:tr>
      <w:tr w:rsidR="00856F66" w:rsidRPr="00E31657" w14:paraId="6743045E" w14:textId="77777777" w:rsidTr="00ED49FA">
        <w:trPr>
          <w:trHeight w:val="315"/>
        </w:trPr>
        <w:tc>
          <w:tcPr>
            <w:tcW w:w="1283" w:type="pct"/>
            <w:vMerge/>
            <w:vAlign w:val="center"/>
            <w:hideMark/>
          </w:tcPr>
          <w:p w14:paraId="47F152C1" w14:textId="77777777" w:rsidR="00856F66" w:rsidRPr="00E31657" w:rsidRDefault="00856F66" w:rsidP="00AC00C2">
            <w:pPr>
              <w:jc w:val="right"/>
              <w:rPr>
                <w:rFonts w:cs="Arial"/>
                <w:sz w:val="16"/>
                <w:szCs w:val="16"/>
                <w:lang w:val="es-ES_tradnl" w:eastAsia="es-MX"/>
              </w:rPr>
            </w:pPr>
          </w:p>
        </w:tc>
        <w:tc>
          <w:tcPr>
            <w:tcW w:w="292" w:type="pct"/>
            <w:vMerge/>
            <w:vAlign w:val="center"/>
            <w:hideMark/>
          </w:tcPr>
          <w:p w14:paraId="100093ED" w14:textId="77777777" w:rsidR="00856F66" w:rsidRPr="00E31657" w:rsidRDefault="00856F66" w:rsidP="00B24742">
            <w:pPr>
              <w:rPr>
                <w:rFonts w:cs="Arial"/>
                <w:sz w:val="16"/>
                <w:szCs w:val="16"/>
                <w:lang w:val="es-ES_tradnl" w:eastAsia="es-MX"/>
              </w:rPr>
            </w:pPr>
          </w:p>
        </w:tc>
        <w:tc>
          <w:tcPr>
            <w:tcW w:w="386" w:type="pct"/>
            <w:vMerge/>
            <w:vAlign w:val="center"/>
            <w:hideMark/>
          </w:tcPr>
          <w:p w14:paraId="0137AE76" w14:textId="77777777" w:rsidR="00856F66" w:rsidRPr="00E31657" w:rsidRDefault="00856F66" w:rsidP="00B24742">
            <w:pPr>
              <w:rPr>
                <w:rFonts w:cs="Arial"/>
                <w:sz w:val="16"/>
                <w:szCs w:val="16"/>
                <w:lang w:val="es-ES_tradnl" w:eastAsia="es-MX"/>
              </w:rPr>
            </w:pPr>
          </w:p>
        </w:tc>
        <w:tc>
          <w:tcPr>
            <w:tcW w:w="609" w:type="pct"/>
            <w:tcMar>
              <w:top w:w="30" w:type="dxa"/>
              <w:left w:w="45" w:type="dxa"/>
              <w:bottom w:w="30" w:type="dxa"/>
              <w:right w:w="45" w:type="dxa"/>
            </w:tcMar>
            <w:vAlign w:val="center"/>
            <w:hideMark/>
          </w:tcPr>
          <w:p w14:paraId="502CA3A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1.224.043.992</w:t>
            </w:r>
          </w:p>
        </w:tc>
        <w:tc>
          <w:tcPr>
            <w:tcW w:w="609" w:type="pct"/>
            <w:tcMar>
              <w:top w:w="30" w:type="dxa"/>
              <w:left w:w="45" w:type="dxa"/>
              <w:bottom w:w="30" w:type="dxa"/>
              <w:right w:w="45" w:type="dxa"/>
            </w:tcMar>
            <w:vAlign w:val="center"/>
            <w:hideMark/>
          </w:tcPr>
          <w:p w14:paraId="5B8F461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1.888.835.236</w:t>
            </w:r>
          </w:p>
        </w:tc>
        <w:tc>
          <w:tcPr>
            <w:tcW w:w="587" w:type="pct"/>
            <w:tcMar>
              <w:top w:w="30" w:type="dxa"/>
              <w:left w:w="45" w:type="dxa"/>
              <w:bottom w:w="30" w:type="dxa"/>
              <w:right w:w="45" w:type="dxa"/>
            </w:tcMar>
            <w:vAlign w:val="center"/>
            <w:hideMark/>
          </w:tcPr>
          <w:p w14:paraId="2281A2E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2.221.341.473</w:t>
            </w:r>
          </w:p>
        </w:tc>
        <w:tc>
          <w:tcPr>
            <w:tcW w:w="625" w:type="pct"/>
            <w:tcMar>
              <w:top w:w="30" w:type="dxa"/>
              <w:left w:w="45" w:type="dxa"/>
              <w:bottom w:w="30" w:type="dxa"/>
              <w:right w:w="45" w:type="dxa"/>
            </w:tcMar>
            <w:vAlign w:val="center"/>
            <w:hideMark/>
          </w:tcPr>
          <w:p w14:paraId="625410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2.372.888.932</w:t>
            </w:r>
          </w:p>
        </w:tc>
        <w:tc>
          <w:tcPr>
            <w:tcW w:w="609" w:type="pct"/>
            <w:vMerge/>
            <w:vAlign w:val="center"/>
            <w:hideMark/>
          </w:tcPr>
          <w:p w14:paraId="4DFC6888" w14:textId="77777777" w:rsidR="00856F66" w:rsidRPr="00E31657" w:rsidRDefault="00856F66" w:rsidP="00B24742">
            <w:pPr>
              <w:rPr>
                <w:rFonts w:cs="Arial"/>
                <w:b/>
                <w:bCs/>
                <w:sz w:val="16"/>
                <w:szCs w:val="16"/>
                <w:lang w:val="es-ES_tradnl" w:eastAsia="es-MX"/>
              </w:rPr>
            </w:pPr>
          </w:p>
        </w:tc>
      </w:tr>
      <w:tr w:rsidR="00856F66" w:rsidRPr="00E31657" w14:paraId="60009079" w14:textId="77777777" w:rsidTr="00ED49FA">
        <w:trPr>
          <w:trHeight w:val="1290"/>
        </w:trPr>
        <w:tc>
          <w:tcPr>
            <w:tcW w:w="1283" w:type="pct"/>
            <w:vMerge w:val="restart"/>
            <w:tcMar>
              <w:top w:w="30" w:type="dxa"/>
              <w:left w:w="45" w:type="dxa"/>
              <w:bottom w:w="30" w:type="dxa"/>
              <w:right w:w="45" w:type="dxa"/>
            </w:tcMar>
            <w:vAlign w:val="center"/>
            <w:hideMark/>
          </w:tcPr>
          <w:p w14:paraId="110B779F" w14:textId="77777777" w:rsidR="00856F66" w:rsidRPr="00E31657" w:rsidRDefault="00856F66" w:rsidP="00AC00C2">
            <w:pPr>
              <w:jc w:val="right"/>
              <w:rPr>
                <w:rFonts w:cs="Arial"/>
                <w:sz w:val="16"/>
                <w:szCs w:val="16"/>
                <w:lang w:val="es-ES_tradnl" w:eastAsia="es-MX"/>
              </w:rPr>
            </w:pPr>
            <w:r w:rsidRPr="00E31657">
              <w:rPr>
                <w:rFonts w:cs="Arial"/>
                <w:sz w:val="16"/>
                <w:szCs w:val="16"/>
                <w:lang w:val="es-ES_tradnl" w:eastAsia="es-MX"/>
              </w:rPr>
              <w:t>Participar en 50 instrumentos estratégicos de cooperación internacional tales como redes hermanamientos convenios memorandos de entendimiento cartas de intención y otros similares a nivel bilateral y multilateral con el objetivo de fomentar la cooperación internacional y la internacionalización de la ciudad.</w:t>
            </w:r>
          </w:p>
        </w:tc>
        <w:tc>
          <w:tcPr>
            <w:tcW w:w="292" w:type="pct"/>
            <w:vMerge w:val="restart"/>
            <w:tcMar>
              <w:top w:w="30" w:type="dxa"/>
              <w:left w:w="45" w:type="dxa"/>
              <w:bottom w:w="30" w:type="dxa"/>
              <w:right w:w="45" w:type="dxa"/>
            </w:tcMar>
            <w:vAlign w:val="center"/>
            <w:hideMark/>
          </w:tcPr>
          <w:p w14:paraId="7FF8D0B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w:t>
            </w:r>
            <w:r w:rsidRPr="00E31657">
              <w:rPr>
                <w:rFonts w:cs="Arial"/>
                <w:sz w:val="16"/>
                <w:szCs w:val="16"/>
                <w:lang w:val="es-ES_tradnl" w:eastAsia="es-MX"/>
              </w:rPr>
              <w:br/>
              <w:t>(2023)</w:t>
            </w:r>
          </w:p>
        </w:tc>
        <w:tc>
          <w:tcPr>
            <w:tcW w:w="386" w:type="pct"/>
            <w:vMerge w:val="restart"/>
            <w:tcMar>
              <w:top w:w="30" w:type="dxa"/>
              <w:left w:w="45" w:type="dxa"/>
              <w:bottom w:w="30" w:type="dxa"/>
              <w:right w:w="45" w:type="dxa"/>
            </w:tcMar>
            <w:vAlign w:val="center"/>
            <w:hideMark/>
          </w:tcPr>
          <w:p w14:paraId="076B36E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Sistema de Información Consejería Distrital de Relaciones Internacionales</w:t>
            </w:r>
          </w:p>
        </w:tc>
        <w:tc>
          <w:tcPr>
            <w:tcW w:w="609" w:type="pct"/>
            <w:tcMar>
              <w:top w:w="30" w:type="dxa"/>
              <w:left w:w="45" w:type="dxa"/>
              <w:bottom w:w="30" w:type="dxa"/>
              <w:right w:w="45" w:type="dxa"/>
            </w:tcMar>
            <w:vAlign w:val="center"/>
            <w:hideMark/>
          </w:tcPr>
          <w:p w14:paraId="3724EC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w:t>
            </w:r>
          </w:p>
        </w:tc>
        <w:tc>
          <w:tcPr>
            <w:tcW w:w="609" w:type="pct"/>
            <w:tcMar>
              <w:top w:w="30" w:type="dxa"/>
              <w:left w:w="45" w:type="dxa"/>
              <w:bottom w:w="30" w:type="dxa"/>
              <w:right w:w="45" w:type="dxa"/>
            </w:tcMar>
            <w:vAlign w:val="center"/>
            <w:hideMark/>
          </w:tcPr>
          <w:p w14:paraId="1E9B05C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w:t>
            </w:r>
          </w:p>
        </w:tc>
        <w:tc>
          <w:tcPr>
            <w:tcW w:w="587" w:type="pct"/>
            <w:tcMar>
              <w:top w:w="30" w:type="dxa"/>
              <w:left w:w="45" w:type="dxa"/>
              <w:bottom w:w="30" w:type="dxa"/>
              <w:right w:w="45" w:type="dxa"/>
            </w:tcMar>
            <w:vAlign w:val="center"/>
            <w:hideMark/>
          </w:tcPr>
          <w:p w14:paraId="3C3A359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w:t>
            </w:r>
          </w:p>
        </w:tc>
        <w:tc>
          <w:tcPr>
            <w:tcW w:w="625" w:type="pct"/>
            <w:tcMar>
              <w:top w:w="30" w:type="dxa"/>
              <w:left w:w="45" w:type="dxa"/>
              <w:bottom w:w="30" w:type="dxa"/>
              <w:right w:w="45" w:type="dxa"/>
            </w:tcMar>
            <w:vAlign w:val="center"/>
            <w:hideMark/>
          </w:tcPr>
          <w:p w14:paraId="202754A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609" w:type="pct"/>
            <w:vMerge w:val="restart"/>
            <w:tcMar>
              <w:top w:w="30" w:type="dxa"/>
              <w:left w:w="45" w:type="dxa"/>
              <w:bottom w:w="30" w:type="dxa"/>
              <w:right w:w="45" w:type="dxa"/>
            </w:tcMar>
            <w:vAlign w:val="center"/>
            <w:hideMark/>
          </w:tcPr>
          <w:p w14:paraId="1FE6456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2.473.737.321</w:t>
            </w:r>
          </w:p>
        </w:tc>
      </w:tr>
      <w:tr w:rsidR="00856F66" w:rsidRPr="00E31657" w14:paraId="6CD2EAD3" w14:textId="77777777" w:rsidTr="00ED49FA">
        <w:trPr>
          <w:trHeight w:val="900"/>
        </w:trPr>
        <w:tc>
          <w:tcPr>
            <w:tcW w:w="1283" w:type="pct"/>
            <w:vMerge/>
            <w:vAlign w:val="center"/>
            <w:hideMark/>
          </w:tcPr>
          <w:p w14:paraId="10B363ED" w14:textId="77777777" w:rsidR="00856F66" w:rsidRPr="00E31657" w:rsidRDefault="00856F66" w:rsidP="00B24742">
            <w:pPr>
              <w:rPr>
                <w:rFonts w:cs="Arial"/>
                <w:sz w:val="16"/>
                <w:szCs w:val="16"/>
                <w:lang w:val="es-ES_tradnl" w:eastAsia="es-MX"/>
              </w:rPr>
            </w:pPr>
          </w:p>
        </w:tc>
        <w:tc>
          <w:tcPr>
            <w:tcW w:w="292" w:type="pct"/>
            <w:vMerge/>
            <w:vAlign w:val="center"/>
            <w:hideMark/>
          </w:tcPr>
          <w:p w14:paraId="4D0D3923" w14:textId="77777777" w:rsidR="00856F66" w:rsidRPr="00E31657" w:rsidRDefault="00856F66" w:rsidP="00B24742">
            <w:pPr>
              <w:rPr>
                <w:rFonts w:cs="Arial"/>
                <w:sz w:val="16"/>
                <w:szCs w:val="16"/>
                <w:lang w:val="es-ES_tradnl" w:eastAsia="es-MX"/>
              </w:rPr>
            </w:pPr>
          </w:p>
        </w:tc>
        <w:tc>
          <w:tcPr>
            <w:tcW w:w="386" w:type="pct"/>
            <w:vMerge/>
            <w:vAlign w:val="center"/>
            <w:hideMark/>
          </w:tcPr>
          <w:p w14:paraId="0F55DCD8" w14:textId="77777777" w:rsidR="00856F66" w:rsidRPr="00E31657" w:rsidRDefault="00856F66" w:rsidP="00B24742">
            <w:pPr>
              <w:rPr>
                <w:rFonts w:cs="Arial"/>
                <w:sz w:val="16"/>
                <w:szCs w:val="16"/>
                <w:lang w:val="es-ES_tradnl" w:eastAsia="es-MX"/>
              </w:rPr>
            </w:pPr>
          </w:p>
        </w:tc>
        <w:tc>
          <w:tcPr>
            <w:tcW w:w="609" w:type="pct"/>
            <w:tcMar>
              <w:top w:w="30" w:type="dxa"/>
              <w:left w:w="45" w:type="dxa"/>
              <w:bottom w:w="30" w:type="dxa"/>
              <w:right w:w="45" w:type="dxa"/>
            </w:tcMar>
            <w:vAlign w:val="center"/>
            <w:hideMark/>
          </w:tcPr>
          <w:p w14:paraId="6C05F7D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453.971.815</w:t>
            </w:r>
          </w:p>
        </w:tc>
        <w:tc>
          <w:tcPr>
            <w:tcW w:w="609" w:type="pct"/>
            <w:tcMar>
              <w:top w:w="30" w:type="dxa"/>
              <w:left w:w="45" w:type="dxa"/>
              <w:bottom w:w="30" w:type="dxa"/>
              <w:right w:w="45" w:type="dxa"/>
            </w:tcMar>
            <w:vAlign w:val="center"/>
            <w:hideMark/>
          </w:tcPr>
          <w:p w14:paraId="3C0329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629.533.404</w:t>
            </w:r>
          </w:p>
        </w:tc>
        <w:tc>
          <w:tcPr>
            <w:tcW w:w="587" w:type="pct"/>
            <w:tcMar>
              <w:top w:w="30" w:type="dxa"/>
              <w:left w:w="45" w:type="dxa"/>
              <w:bottom w:w="30" w:type="dxa"/>
              <w:right w:w="45" w:type="dxa"/>
            </w:tcMar>
            <w:vAlign w:val="center"/>
            <w:hideMark/>
          </w:tcPr>
          <w:p w14:paraId="604B18D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695.116.051</w:t>
            </w:r>
          </w:p>
        </w:tc>
        <w:tc>
          <w:tcPr>
            <w:tcW w:w="625" w:type="pct"/>
            <w:tcMar>
              <w:top w:w="30" w:type="dxa"/>
              <w:left w:w="45" w:type="dxa"/>
              <w:bottom w:w="30" w:type="dxa"/>
              <w:right w:w="45" w:type="dxa"/>
            </w:tcMar>
            <w:vAlign w:val="center"/>
            <w:hideMark/>
          </w:tcPr>
          <w:p w14:paraId="3C03C0C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695.116.051</w:t>
            </w:r>
          </w:p>
        </w:tc>
        <w:tc>
          <w:tcPr>
            <w:tcW w:w="609" w:type="pct"/>
            <w:vMerge/>
            <w:vAlign w:val="center"/>
            <w:hideMark/>
          </w:tcPr>
          <w:p w14:paraId="77074444" w14:textId="77777777" w:rsidR="00856F66" w:rsidRPr="00E31657" w:rsidRDefault="00856F66" w:rsidP="00B24742">
            <w:pPr>
              <w:rPr>
                <w:rFonts w:cs="Arial"/>
                <w:b/>
                <w:bCs/>
                <w:sz w:val="16"/>
                <w:szCs w:val="16"/>
                <w:lang w:val="es-ES_tradnl" w:eastAsia="es-MX"/>
              </w:rPr>
            </w:pPr>
          </w:p>
        </w:tc>
      </w:tr>
    </w:tbl>
    <w:p w14:paraId="72877FE2" w14:textId="77777777" w:rsidR="00856F66" w:rsidRDefault="00856F66">
      <w:pPr>
        <w:rPr>
          <w:sz w:val="16"/>
          <w:szCs w:val="16"/>
          <w:lang w:val="es-ES_tradnl"/>
        </w:rPr>
      </w:pPr>
    </w:p>
    <w:p w14:paraId="5341FC35" w14:textId="71505306" w:rsidR="00856F66" w:rsidRDefault="00856F66">
      <w:pPr>
        <w:rPr>
          <w:sz w:val="16"/>
          <w:szCs w:val="16"/>
          <w:lang w:val="es-ES_tradnl"/>
        </w:rPr>
      </w:pPr>
    </w:p>
    <w:tbl>
      <w:tblPr>
        <w:tblW w:w="5000" w:type="pct"/>
        <w:jc w:val="center"/>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492"/>
        <w:gridCol w:w="610"/>
        <w:gridCol w:w="541"/>
        <w:gridCol w:w="482"/>
        <w:gridCol w:w="606"/>
        <w:gridCol w:w="606"/>
        <w:gridCol w:w="570"/>
        <w:gridCol w:w="570"/>
        <w:gridCol w:w="552"/>
        <w:gridCol w:w="552"/>
        <w:gridCol w:w="574"/>
        <w:gridCol w:w="574"/>
        <w:gridCol w:w="524"/>
        <w:gridCol w:w="1107"/>
      </w:tblGrid>
      <w:tr w:rsidR="00856F66" w:rsidRPr="00E31657" w14:paraId="241EE86C" w14:textId="77777777" w:rsidTr="00F974BB">
        <w:trPr>
          <w:trHeight w:val="315"/>
          <w:jc w:val="center"/>
        </w:trPr>
        <w:tc>
          <w:tcPr>
            <w:tcW w:w="5000" w:type="pct"/>
            <w:gridSpan w:val="14"/>
            <w:tcBorders>
              <w:top w:val="nil"/>
            </w:tcBorders>
            <w:tcMar>
              <w:top w:w="30" w:type="dxa"/>
              <w:left w:w="45" w:type="dxa"/>
              <w:bottom w:w="30" w:type="dxa"/>
              <w:right w:w="45" w:type="dxa"/>
            </w:tcMar>
            <w:vAlign w:val="center"/>
            <w:hideMark/>
          </w:tcPr>
          <w:p w14:paraId="257567E1" w14:textId="77777777" w:rsidR="00856F66" w:rsidRPr="00E31657" w:rsidRDefault="00856F66" w:rsidP="00B24742">
            <w:pPr>
              <w:jc w:val="center"/>
              <w:rPr>
                <w:rFonts w:cs="Arial"/>
                <w:sz w:val="16"/>
                <w:szCs w:val="16"/>
                <w:lang w:val="es-ES_tradnl" w:eastAsia="es-MX"/>
              </w:rPr>
            </w:pPr>
            <w:r w:rsidRPr="00E31657">
              <w:rPr>
                <w:rFonts w:cs="Arial"/>
                <w:b/>
                <w:bCs/>
                <w:color w:val="C00000"/>
                <w:lang w:val="es-ES_tradnl" w:eastAsia="es-MX"/>
              </w:rPr>
              <w:lastRenderedPageBreak/>
              <w:t>Programa 23.</w:t>
            </w:r>
            <w:r w:rsidRPr="00E31657">
              <w:rPr>
                <w:rFonts w:cs="Arial"/>
                <w:color w:val="C00000"/>
                <w:lang w:val="es-ES_tradnl" w:eastAsia="es-MX"/>
              </w:rPr>
              <w:t xml:space="preserve"> </w:t>
            </w:r>
            <w:r w:rsidRPr="00E31657">
              <w:rPr>
                <w:rFonts w:cs="Arial"/>
                <w:lang w:val="es-ES_tradnl" w:eastAsia="es-MX"/>
              </w:rPr>
              <w:t>Ordenamiento territorial sostenible, equilibrado y participativo</w:t>
            </w:r>
          </w:p>
        </w:tc>
      </w:tr>
      <w:tr w:rsidR="00856F66" w:rsidRPr="00E31657" w14:paraId="66E783F2" w14:textId="77777777" w:rsidTr="00ED49FA">
        <w:trPr>
          <w:trHeight w:val="315"/>
          <w:jc w:val="center"/>
        </w:trPr>
        <w:tc>
          <w:tcPr>
            <w:tcW w:w="1123" w:type="pct"/>
            <w:gridSpan w:val="2"/>
            <w:vMerge w:val="restart"/>
            <w:tcBorders>
              <w:top w:val="double" w:sz="4" w:space="0" w:color="C00000"/>
            </w:tcBorders>
            <w:shd w:val="clear" w:color="auto" w:fill="C00000"/>
            <w:tcMar>
              <w:top w:w="30" w:type="dxa"/>
              <w:left w:w="45" w:type="dxa"/>
              <w:bottom w:w="30" w:type="dxa"/>
              <w:right w:w="45" w:type="dxa"/>
            </w:tcMar>
            <w:vAlign w:val="center"/>
            <w:hideMark/>
          </w:tcPr>
          <w:p w14:paraId="50C74E3A" w14:textId="77777777" w:rsidR="00856F66" w:rsidRPr="00E31657" w:rsidRDefault="00856F66" w:rsidP="00F007CD">
            <w:pPr>
              <w:pStyle w:val="Ttulo"/>
              <w:jc w:val="center"/>
              <w:rPr>
                <w:lang w:val="es-ES_tradnl"/>
              </w:rPr>
            </w:pPr>
            <w:r w:rsidRPr="00F007CD">
              <w:rPr>
                <w:rFonts w:ascii="Candara" w:eastAsia="Times New Roman" w:hAnsi="Candara"/>
                <w:b/>
                <w:bCs/>
                <w:color w:val="FFFFFF" w:themeColor="background1"/>
                <w:sz w:val="24"/>
                <w:szCs w:val="24"/>
                <w:lang w:val="es-ES_tradnl" w:eastAsia="es-MX"/>
              </w:rPr>
              <w:t>Sector / Metas</w:t>
            </w:r>
          </w:p>
        </w:tc>
        <w:tc>
          <w:tcPr>
            <w:tcW w:w="3877" w:type="pct"/>
            <w:gridSpan w:val="12"/>
            <w:tcBorders>
              <w:top w:val="double" w:sz="4" w:space="0" w:color="C00000"/>
            </w:tcBorders>
            <w:shd w:val="clear" w:color="auto" w:fill="C00000"/>
            <w:tcMar>
              <w:top w:w="30" w:type="dxa"/>
              <w:left w:w="45" w:type="dxa"/>
              <w:bottom w:w="30" w:type="dxa"/>
              <w:right w:w="45" w:type="dxa"/>
            </w:tcMar>
            <w:vAlign w:val="center"/>
            <w:hideMark/>
          </w:tcPr>
          <w:p w14:paraId="0910DC7E" w14:textId="77777777" w:rsidR="00856F66" w:rsidRPr="00E31657" w:rsidRDefault="00856F66" w:rsidP="00F007CD">
            <w:pPr>
              <w:pStyle w:val="Ttulo"/>
              <w:jc w:val="center"/>
              <w:rPr>
                <w:lang w:val="es-ES_tradnl"/>
              </w:rPr>
            </w:pPr>
            <w:r w:rsidRPr="00F007CD">
              <w:rPr>
                <w:rFonts w:ascii="Candara" w:eastAsia="Times New Roman" w:hAnsi="Candara"/>
                <w:b/>
                <w:bCs/>
                <w:color w:val="FFFFFF" w:themeColor="background1"/>
                <w:sz w:val="24"/>
                <w:szCs w:val="24"/>
                <w:lang w:val="es-ES_tradnl" w:eastAsia="es-MX"/>
              </w:rPr>
              <w:t xml:space="preserve">Magnitudes e Inversión </w:t>
            </w:r>
            <w:r w:rsidRPr="00F007CD">
              <w:rPr>
                <w:rFonts w:ascii="Candara" w:eastAsia="Times New Roman" w:hAnsi="Candara"/>
                <w:b/>
                <w:bCs/>
                <w:color w:val="FFFFFF" w:themeColor="background1"/>
                <w:sz w:val="24"/>
                <w:szCs w:val="24"/>
                <w:lang w:val="es-ES_tradnl" w:eastAsia="es-MX"/>
              </w:rPr>
              <w:br/>
              <w:t>(Precios Constantes 2024)</w:t>
            </w:r>
          </w:p>
        </w:tc>
      </w:tr>
      <w:tr w:rsidR="00856F66" w:rsidRPr="00E31657" w14:paraId="1F6E3C57" w14:textId="77777777" w:rsidTr="00ED49FA">
        <w:trPr>
          <w:trHeight w:val="315"/>
          <w:jc w:val="center"/>
        </w:trPr>
        <w:tc>
          <w:tcPr>
            <w:tcW w:w="1123" w:type="pct"/>
            <w:gridSpan w:val="2"/>
            <w:vMerge/>
            <w:tcBorders>
              <w:top w:val="double" w:sz="4" w:space="0" w:color="C00000"/>
            </w:tcBorders>
            <w:shd w:val="clear" w:color="auto" w:fill="C00000"/>
            <w:vAlign w:val="center"/>
            <w:hideMark/>
          </w:tcPr>
          <w:p w14:paraId="5ABDC144" w14:textId="77777777" w:rsidR="00856F66" w:rsidRPr="00E31657" w:rsidRDefault="00856F66" w:rsidP="00B24742">
            <w:pPr>
              <w:rPr>
                <w:rFonts w:cs="Arial"/>
                <w:b/>
                <w:bCs/>
                <w:color w:val="FFFFFF"/>
                <w:sz w:val="16"/>
                <w:szCs w:val="16"/>
                <w:lang w:val="es-ES_tradnl" w:eastAsia="es-MX"/>
              </w:rPr>
            </w:pPr>
          </w:p>
        </w:tc>
        <w:tc>
          <w:tcPr>
            <w:tcW w:w="289" w:type="pct"/>
            <w:tcBorders>
              <w:top w:val="double" w:sz="4" w:space="0" w:color="C00000"/>
            </w:tcBorders>
            <w:shd w:val="clear" w:color="auto" w:fill="D9D9D9"/>
            <w:tcMar>
              <w:top w:w="30" w:type="dxa"/>
              <w:left w:w="45" w:type="dxa"/>
              <w:bottom w:w="30" w:type="dxa"/>
              <w:right w:w="45" w:type="dxa"/>
            </w:tcMar>
            <w:vAlign w:val="center"/>
            <w:hideMark/>
          </w:tcPr>
          <w:p w14:paraId="3CAC2C3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581" w:type="pct"/>
            <w:gridSpan w:val="2"/>
            <w:tcBorders>
              <w:top w:val="double" w:sz="4" w:space="0" w:color="C00000"/>
            </w:tcBorders>
            <w:shd w:val="clear" w:color="auto" w:fill="D9D9D9"/>
            <w:tcMar>
              <w:top w:w="30" w:type="dxa"/>
              <w:left w:w="45" w:type="dxa"/>
              <w:bottom w:w="30" w:type="dxa"/>
              <w:right w:w="45" w:type="dxa"/>
            </w:tcMar>
            <w:vAlign w:val="center"/>
            <w:hideMark/>
          </w:tcPr>
          <w:p w14:paraId="3428092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28" w:type="pct"/>
            <w:gridSpan w:val="2"/>
            <w:tcBorders>
              <w:top w:val="double" w:sz="4" w:space="0" w:color="C00000"/>
            </w:tcBorders>
            <w:shd w:val="clear" w:color="auto" w:fill="D9D9D9"/>
            <w:tcMar>
              <w:top w:w="30" w:type="dxa"/>
              <w:left w:w="45" w:type="dxa"/>
              <w:bottom w:w="30" w:type="dxa"/>
              <w:right w:w="45" w:type="dxa"/>
            </w:tcMar>
            <w:vAlign w:val="center"/>
            <w:hideMark/>
          </w:tcPr>
          <w:p w14:paraId="7EF3DD3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599" w:type="pct"/>
            <w:gridSpan w:val="2"/>
            <w:tcBorders>
              <w:top w:val="double" w:sz="4" w:space="0" w:color="C00000"/>
            </w:tcBorders>
            <w:shd w:val="clear" w:color="auto" w:fill="D9D9D9"/>
            <w:tcMar>
              <w:top w:w="30" w:type="dxa"/>
              <w:left w:w="45" w:type="dxa"/>
              <w:bottom w:w="30" w:type="dxa"/>
              <w:right w:w="45" w:type="dxa"/>
            </w:tcMar>
            <w:vAlign w:val="center"/>
            <w:hideMark/>
          </w:tcPr>
          <w:p w14:paraId="6C7B05E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601" w:type="pct"/>
            <w:gridSpan w:val="2"/>
            <w:tcBorders>
              <w:top w:val="double" w:sz="4" w:space="0" w:color="C00000"/>
            </w:tcBorders>
            <w:shd w:val="clear" w:color="auto" w:fill="D9D9D9"/>
            <w:tcMar>
              <w:top w:w="30" w:type="dxa"/>
              <w:left w:w="45" w:type="dxa"/>
              <w:bottom w:w="30" w:type="dxa"/>
              <w:right w:w="45" w:type="dxa"/>
            </w:tcMar>
            <w:vAlign w:val="center"/>
            <w:hideMark/>
          </w:tcPr>
          <w:p w14:paraId="469DAD3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587" w:type="pct"/>
            <w:gridSpan w:val="2"/>
            <w:tcBorders>
              <w:top w:val="double" w:sz="4" w:space="0" w:color="C00000"/>
            </w:tcBorders>
            <w:shd w:val="clear" w:color="auto" w:fill="D9D9D9"/>
            <w:tcMar>
              <w:top w:w="30" w:type="dxa"/>
              <w:left w:w="45" w:type="dxa"/>
              <w:bottom w:w="30" w:type="dxa"/>
              <w:right w:w="45" w:type="dxa"/>
            </w:tcMar>
            <w:vAlign w:val="center"/>
            <w:hideMark/>
          </w:tcPr>
          <w:p w14:paraId="2A0A98B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591" w:type="pct"/>
            <w:tcBorders>
              <w:top w:val="double" w:sz="4" w:space="0" w:color="C00000"/>
            </w:tcBorders>
            <w:shd w:val="clear" w:color="auto" w:fill="D9D9D9"/>
            <w:tcMar>
              <w:top w:w="30" w:type="dxa"/>
              <w:left w:w="45" w:type="dxa"/>
              <w:bottom w:w="30" w:type="dxa"/>
              <w:right w:w="45" w:type="dxa"/>
            </w:tcMar>
            <w:vAlign w:val="center"/>
            <w:hideMark/>
          </w:tcPr>
          <w:p w14:paraId="7391120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1A8CEE14" w14:textId="77777777" w:rsidTr="00F974BB">
        <w:trPr>
          <w:trHeight w:val="315"/>
          <w:jc w:val="center"/>
        </w:trPr>
        <w:tc>
          <w:tcPr>
            <w:tcW w:w="5000" w:type="pct"/>
            <w:gridSpan w:val="14"/>
            <w:tcBorders>
              <w:top w:val="double" w:sz="4" w:space="0" w:color="C00000"/>
            </w:tcBorders>
            <w:shd w:val="clear" w:color="auto" w:fill="C00000"/>
            <w:tcMar>
              <w:top w:w="30" w:type="dxa"/>
              <w:left w:w="45" w:type="dxa"/>
              <w:bottom w:w="30" w:type="dxa"/>
              <w:right w:w="45" w:type="dxa"/>
            </w:tcMar>
            <w:vAlign w:val="center"/>
            <w:hideMark/>
          </w:tcPr>
          <w:p w14:paraId="630D9152" w14:textId="77777777" w:rsidR="00856F66" w:rsidRPr="00E31657" w:rsidRDefault="00856F66" w:rsidP="00F007CD">
            <w:pPr>
              <w:pStyle w:val="Ttulo"/>
              <w:jc w:val="center"/>
              <w:rPr>
                <w:rFonts w:eastAsia="Times New Roman"/>
                <w:lang w:val="es-ES_tradnl" w:eastAsia="es-MX"/>
              </w:rPr>
            </w:pPr>
            <w:r w:rsidRPr="00F007CD">
              <w:rPr>
                <w:rFonts w:ascii="Candara" w:eastAsia="Times New Roman" w:hAnsi="Candara"/>
                <w:b/>
                <w:bCs/>
                <w:color w:val="FFFFFF" w:themeColor="background1"/>
                <w:sz w:val="24"/>
                <w:szCs w:val="24"/>
                <w:lang w:val="es-ES_tradnl" w:eastAsia="es-MX"/>
              </w:rPr>
              <w:t>Ambiente</w:t>
            </w:r>
          </w:p>
        </w:tc>
      </w:tr>
      <w:tr w:rsidR="00856F66" w:rsidRPr="00E31657" w14:paraId="15D7B221" w14:textId="77777777" w:rsidTr="00ED49FA">
        <w:trPr>
          <w:trHeight w:val="315"/>
          <w:jc w:val="center"/>
        </w:trPr>
        <w:tc>
          <w:tcPr>
            <w:tcW w:w="1123" w:type="pct"/>
            <w:gridSpan w:val="2"/>
            <w:vMerge w:val="restart"/>
            <w:tcBorders>
              <w:top w:val="double" w:sz="4" w:space="0" w:color="C00000"/>
            </w:tcBorders>
            <w:tcMar>
              <w:top w:w="30" w:type="dxa"/>
              <w:left w:w="45" w:type="dxa"/>
              <w:bottom w:w="30" w:type="dxa"/>
              <w:right w:w="45" w:type="dxa"/>
            </w:tcMar>
            <w:vAlign w:val="center"/>
            <w:hideMark/>
          </w:tcPr>
          <w:p w14:paraId="2B962F56"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Implementar un (1) programa de Planeación y Gestión del Conocimiento Ambiental.</w:t>
            </w:r>
          </w:p>
        </w:tc>
        <w:tc>
          <w:tcPr>
            <w:tcW w:w="289" w:type="pct"/>
            <w:vMerge w:val="restart"/>
            <w:tcBorders>
              <w:top w:val="double" w:sz="4" w:space="0" w:color="C00000"/>
            </w:tcBorders>
            <w:tcMar>
              <w:top w:w="30" w:type="dxa"/>
              <w:left w:w="45" w:type="dxa"/>
              <w:bottom w:w="30" w:type="dxa"/>
              <w:right w:w="45" w:type="dxa"/>
            </w:tcMar>
            <w:vAlign w:val="center"/>
            <w:hideMark/>
          </w:tcPr>
          <w:p w14:paraId="3BA2C75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581" w:type="pct"/>
            <w:gridSpan w:val="2"/>
            <w:vMerge w:val="restart"/>
            <w:tcBorders>
              <w:top w:val="double" w:sz="4" w:space="0" w:color="C00000"/>
            </w:tcBorders>
            <w:tcMar>
              <w:top w:w="30" w:type="dxa"/>
              <w:left w:w="45" w:type="dxa"/>
              <w:bottom w:w="30" w:type="dxa"/>
              <w:right w:w="45" w:type="dxa"/>
            </w:tcMar>
            <w:vAlign w:val="center"/>
            <w:hideMark/>
          </w:tcPr>
          <w:p w14:paraId="6EC5366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628" w:type="pct"/>
            <w:gridSpan w:val="2"/>
            <w:tcBorders>
              <w:top w:val="double" w:sz="4" w:space="0" w:color="C00000"/>
            </w:tcBorders>
            <w:tcMar>
              <w:top w:w="30" w:type="dxa"/>
              <w:left w:w="45" w:type="dxa"/>
              <w:bottom w:w="30" w:type="dxa"/>
              <w:right w:w="45" w:type="dxa"/>
            </w:tcMar>
            <w:vAlign w:val="center"/>
            <w:hideMark/>
          </w:tcPr>
          <w:p w14:paraId="1EC6092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0,10</w:t>
            </w:r>
          </w:p>
        </w:tc>
        <w:tc>
          <w:tcPr>
            <w:tcW w:w="599" w:type="pct"/>
            <w:gridSpan w:val="2"/>
            <w:tcBorders>
              <w:top w:val="double" w:sz="4" w:space="0" w:color="C00000"/>
            </w:tcBorders>
            <w:tcMar>
              <w:top w:w="30" w:type="dxa"/>
              <w:left w:w="45" w:type="dxa"/>
              <w:bottom w:w="30" w:type="dxa"/>
              <w:right w:w="45" w:type="dxa"/>
            </w:tcMar>
            <w:vAlign w:val="center"/>
            <w:hideMark/>
          </w:tcPr>
          <w:p w14:paraId="2E5A0C4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601" w:type="pct"/>
            <w:gridSpan w:val="2"/>
            <w:tcBorders>
              <w:top w:val="double" w:sz="4" w:space="0" w:color="C00000"/>
            </w:tcBorders>
            <w:tcMar>
              <w:top w:w="30" w:type="dxa"/>
              <w:left w:w="45" w:type="dxa"/>
              <w:bottom w:w="30" w:type="dxa"/>
              <w:right w:w="45" w:type="dxa"/>
            </w:tcMar>
            <w:vAlign w:val="center"/>
            <w:hideMark/>
          </w:tcPr>
          <w:p w14:paraId="4F9634A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587" w:type="pct"/>
            <w:gridSpan w:val="2"/>
            <w:tcBorders>
              <w:top w:val="double" w:sz="4" w:space="0" w:color="C00000"/>
            </w:tcBorders>
            <w:tcMar>
              <w:top w:w="30" w:type="dxa"/>
              <w:left w:w="45" w:type="dxa"/>
              <w:bottom w:w="30" w:type="dxa"/>
              <w:right w:w="45" w:type="dxa"/>
            </w:tcMar>
            <w:vAlign w:val="center"/>
            <w:hideMark/>
          </w:tcPr>
          <w:p w14:paraId="506F70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591" w:type="pct"/>
            <w:vMerge w:val="restart"/>
            <w:tcBorders>
              <w:top w:val="double" w:sz="4" w:space="0" w:color="C00000"/>
            </w:tcBorders>
            <w:tcMar>
              <w:top w:w="30" w:type="dxa"/>
              <w:left w:w="45" w:type="dxa"/>
              <w:bottom w:w="30" w:type="dxa"/>
              <w:right w:w="45" w:type="dxa"/>
            </w:tcMar>
            <w:vAlign w:val="center"/>
            <w:hideMark/>
          </w:tcPr>
          <w:p w14:paraId="5E37983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36.281.332.090</w:t>
            </w:r>
          </w:p>
        </w:tc>
      </w:tr>
      <w:tr w:rsidR="00856F66" w:rsidRPr="00E31657" w14:paraId="78271C33" w14:textId="77777777" w:rsidTr="00ED49FA">
        <w:trPr>
          <w:trHeight w:val="315"/>
          <w:jc w:val="center"/>
        </w:trPr>
        <w:tc>
          <w:tcPr>
            <w:tcW w:w="1123" w:type="pct"/>
            <w:gridSpan w:val="2"/>
            <w:vMerge/>
            <w:tcBorders>
              <w:top w:val="double" w:sz="4" w:space="0" w:color="C00000"/>
            </w:tcBorders>
            <w:vAlign w:val="center"/>
            <w:hideMark/>
          </w:tcPr>
          <w:p w14:paraId="0ED9534A" w14:textId="77777777" w:rsidR="00856F66" w:rsidRPr="00E31657" w:rsidRDefault="00856F66" w:rsidP="00B24742">
            <w:pPr>
              <w:rPr>
                <w:rFonts w:cs="Arial"/>
                <w:sz w:val="16"/>
                <w:szCs w:val="16"/>
                <w:lang w:val="es-ES_tradnl" w:eastAsia="es-MX"/>
              </w:rPr>
            </w:pPr>
          </w:p>
        </w:tc>
        <w:tc>
          <w:tcPr>
            <w:tcW w:w="289" w:type="pct"/>
            <w:vMerge/>
            <w:tcBorders>
              <w:top w:val="double" w:sz="4" w:space="0" w:color="C00000"/>
            </w:tcBorders>
            <w:vAlign w:val="center"/>
            <w:hideMark/>
          </w:tcPr>
          <w:p w14:paraId="425CF34F" w14:textId="77777777" w:rsidR="00856F66" w:rsidRPr="00E31657" w:rsidRDefault="00856F66" w:rsidP="00B24742">
            <w:pPr>
              <w:rPr>
                <w:rFonts w:cs="Arial"/>
                <w:sz w:val="16"/>
                <w:szCs w:val="16"/>
                <w:lang w:val="es-ES_tradnl" w:eastAsia="es-MX"/>
              </w:rPr>
            </w:pPr>
          </w:p>
        </w:tc>
        <w:tc>
          <w:tcPr>
            <w:tcW w:w="581" w:type="pct"/>
            <w:gridSpan w:val="2"/>
            <w:vMerge/>
            <w:tcBorders>
              <w:top w:val="double" w:sz="4" w:space="0" w:color="C00000"/>
            </w:tcBorders>
            <w:vAlign w:val="center"/>
            <w:hideMark/>
          </w:tcPr>
          <w:p w14:paraId="02EEE4BC" w14:textId="77777777" w:rsidR="00856F66" w:rsidRPr="00E31657" w:rsidRDefault="00856F66" w:rsidP="00B24742">
            <w:pPr>
              <w:rPr>
                <w:rFonts w:cs="Arial"/>
                <w:sz w:val="16"/>
                <w:szCs w:val="16"/>
                <w:lang w:val="es-ES_tradnl" w:eastAsia="es-MX"/>
              </w:rPr>
            </w:pPr>
          </w:p>
        </w:tc>
        <w:tc>
          <w:tcPr>
            <w:tcW w:w="628" w:type="pct"/>
            <w:gridSpan w:val="2"/>
            <w:tcBorders>
              <w:top w:val="double" w:sz="4" w:space="0" w:color="C00000"/>
            </w:tcBorders>
            <w:tcMar>
              <w:top w:w="30" w:type="dxa"/>
              <w:left w:w="45" w:type="dxa"/>
              <w:bottom w:w="30" w:type="dxa"/>
              <w:right w:w="45" w:type="dxa"/>
            </w:tcMar>
            <w:vAlign w:val="center"/>
            <w:hideMark/>
          </w:tcPr>
          <w:p w14:paraId="21C9BB4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3.637.867.714</w:t>
            </w:r>
          </w:p>
        </w:tc>
        <w:tc>
          <w:tcPr>
            <w:tcW w:w="599" w:type="pct"/>
            <w:gridSpan w:val="2"/>
            <w:tcBorders>
              <w:top w:val="double" w:sz="4" w:space="0" w:color="C00000"/>
            </w:tcBorders>
            <w:tcMar>
              <w:top w:w="30" w:type="dxa"/>
              <w:left w:w="45" w:type="dxa"/>
              <w:bottom w:w="30" w:type="dxa"/>
              <w:right w:w="45" w:type="dxa"/>
            </w:tcMar>
            <w:vAlign w:val="center"/>
            <w:hideMark/>
          </w:tcPr>
          <w:p w14:paraId="5321F7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11.223.085.546</w:t>
            </w:r>
          </w:p>
        </w:tc>
        <w:tc>
          <w:tcPr>
            <w:tcW w:w="601" w:type="pct"/>
            <w:gridSpan w:val="2"/>
            <w:tcBorders>
              <w:top w:val="double" w:sz="4" w:space="0" w:color="C00000"/>
            </w:tcBorders>
            <w:tcMar>
              <w:top w:w="30" w:type="dxa"/>
              <w:left w:w="45" w:type="dxa"/>
              <w:bottom w:w="30" w:type="dxa"/>
              <w:right w:w="45" w:type="dxa"/>
            </w:tcMar>
            <w:vAlign w:val="center"/>
            <w:hideMark/>
          </w:tcPr>
          <w:p w14:paraId="5927556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10.896.199.559</w:t>
            </w:r>
          </w:p>
        </w:tc>
        <w:tc>
          <w:tcPr>
            <w:tcW w:w="587" w:type="pct"/>
            <w:gridSpan w:val="2"/>
            <w:tcBorders>
              <w:top w:val="double" w:sz="4" w:space="0" w:color="C00000"/>
            </w:tcBorders>
            <w:tcMar>
              <w:top w:w="30" w:type="dxa"/>
              <w:left w:w="45" w:type="dxa"/>
              <w:bottom w:w="30" w:type="dxa"/>
              <w:right w:w="45" w:type="dxa"/>
            </w:tcMar>
            <w:vAlign w:val="center"/>
            <w:hideMark/>
          </w:tcPr>
          <w:p w14:paraId="55043B0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10.524.179.272</w:t>
            </w:r>
          </w:p>
        </w:tc>
        <w:tc>
          <w:tcPr>
            <w:tcW w:w="591" w:type="pct"/>
            <w:vMerge/>
            <w:tcBorders>
              <w:top w:val="double" w:sz="4" w:space="0" w:color="C00000"/>
            </w:tcBorders>
            <w:vAlign w:val="center"/>
            <w:hideMark/>
          </w:tcPr>
          <w:p w14:paraId="1E59DAAF" w14:textId="77777777" w:rsidR="00856F66" w:rsidRPr="00E31657" w:rsidRDefault="00856F66" w:rsidP="00B24742">
            <w:pPr>
              <w:rPr>
                <w:rFonts w:cs="Arial"/>
                <w:b/>
                <w:bCs/>
                <w:sz w:val="16"/>
                <w:szCs w:val="16"/>
                <w:lang w:val="es-ES_tradnl" w:eastAsia="es-MX"/>
              </w:rPr>
            </w:pPr>
          </w:p>
        </w:tc>
      </w:tr>
      <w:tr w:rsidR="00856F66" w:rsidRPr="00E31657" w14:paraId="1BB7CF3D" w14:textId="77777777" w:rsidTr="00F974BB">
        <w:trPr>
          <w:trHeight w:val="315"/>
          <w:jc w:val="center"/>
        </w:trPr>
        <w:tc>
          <w:tcPr>
            <w:tcW w:w="5000" w:type="pct"/>
            <w:gridSpan w:val="14"/>
            <w:tcBorders>
              <w:top w:val="double" w:sz="4" w:space="0" w:color="C00000"/>
            </w:tcBorders>
            <w:shd w:val="clear" w:color="auto" w:fill="C00000"/>
            <w:tcMar>
              <w:top w:w="30" w:type="dxa"/>
              <w:left w:w="45" w:type="dxa"/>
              <w:bottom w:w="30" w:type="dxa"/>
              <w:right w:w="45" w:type="dxa"/>
            </w:tcMar>
            <w:vAlign w:val="center"/>
            <w:hideMark/>
          </w:tcPr>
          <w:p w14:paraId="0F71CC50"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Hábitat</w:t>
            </w:r>
          </w:p>
        </w:tc>
      </w:tr>
      <w:tr w:rsidR="00856F66" w:rsidRPr="00E31657" w14:paraId="49BAA554" w14:textId="77777777" w:rsidTr="00ED49FA">
        <w:trPr>
          <w:trHeight w:val="540"/>
          <w:jc w:val="center"/>
        </w:trPr>
        <w:tc>
          <w:tcPr>
            <w:tcW w:w="1123" w:type="pct"/>
            <w:gridSpan w:val="2"/>
            <w:vMerge w:val="restart"/>
            <w:tcBorders>
              <w:top w:val="double" w:sz="4" w:space="0" w:color="C00000"/>
            </w:tcBorders>
            <w:tcMar>
              <w:top w:w="30" w:type="dxa"/>
              <w:left w:w="45" w:type="dxa"/>
              <w:bottom w:w="30" w:type="dxa"/>
              <w:right w:w="45" w:type="dxa"/>
            </w:tcMar>
            <w:vAlign w:val="center"/>
            <w:hideMark/>
          </w:tcPr>
          <w:p w14:paraId="75961725"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Gestionar 350 hectáreas de asentamientos de origen informal y barrios legalizados mediante actividades de etapa previa de los trámites de legalización y formalización.</w:t>
            </w:r>
          </w:p>
        </w:tc>
        <w:tc>
          <w:tcPr>
            <w:tcW w:w="289" w:type="pct"/>
            <w:vMerge w:val="restart"/>
            <w:tcBorders>
              <w:top w:val="double" w:sz="4" w:space="0" w:color="C00000"/>
            </w:tcBorders>
            <w:tcMar>
              <w:top w:w="30" w:type="dxa"/>
              <w:left w:w="45" w:type="dxa"/>
              <w:bottom w:w="30" w:type="dxa"/>
              <w:right w:w="45" w:type="dxa"/>
            </w:tcMar>
            <w:vAlign w:val="center"/>
            <w:hideMark/>
          </w:tcPr>
          <w:p w14:paraId="1A02EB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581" w:type="pct"/>
            <w:gridSpan w:val="2"/>
            <w:vMerge w:val="restart"/>
            <w:tcBorders>
              <w:top w:val="double" w:sz="4" w:space="0" w:color="C00000"/>
            </w:tcBorders>
            <w:tcMar>
              <w:top w:w="30" w:type="dxa"/>
              <w:left w:w="45" w:type="dxa"/>
              <w:bottom w:w="30" w:type="dxa"/>
              <w:right w:w="45" w:type="dxa"/>
            </w:tcMar>
            <w:vAlign w:val="center"/>
            <w:hideMark/>
          </w:tcPr>
          <w:p w14:paraId="7D0951A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628" w:type="pct"/>
            <w:gridSpan w:val="2"/>
            <w:tcBorders>
              <w:top w:val="double" w:sz="4" w:space="0" w:color="C00000"/>
            </w:tcBorders>
            <w:tcMar>
              <w:top w:w="30" w:type="dxa"/>
              <w:left w:w="45" w:type="dxa"/>
              <w:bottom w:w="30" w:type="dxa"/>
              <w:right w:w="45" w:type="dxa"/>
            </w:tcMar>
            <w:vAlign w:val="center"/>
            <w:hideMark/>
          </w:tcPr>
          <w:p w14:paraId="698EFA8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599" w:type="pct"/>
            <w:gridSpan w:val="2"/>
            <w:tcBorders>
              <w:top w:val="double" w:sz="4" w:space="0" w:color="C00000"/>
            </w:tcBorders>
            <w:tcMar>
              <w:top w:w="30" w:type="dxa"/>
              <w:left w:w="45" w:type="dxa"/>
              <w:bottom w:w="30" w:type="dxa"/>
              <w:right w:w="45" w:type="dxa"/>
            </w:tcMar>
            <w:vAlign w:val="center"/>
            <w:hideMark/>
          </w:tcPr>
          <w:p w14:paraId="2D2D7B4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w:t>
            </w:r>
          </w:p>
        </w:tc>
        <w:tc>
          <w:tcPr>
            <w:tcW w:w="601" w:type="pct"/>
            <w:gridSpan w:val="2"/>
            <w:tcBorders>
              <w:top w:val="double" w:sz="4" w:space="0" w:color="C00000"/>
            </w:tcBorders>
            <w:tcMar>
              <w:top w:w="30" w:type="dxa"/>
              <w:left w:w="45" w:type="dxa"/>
              <w:bottom w:w="30" w:type="dxa"/>
              <w:right w:w="45" w:type="dxa"/>
            </w:tcMar>
            <w:vAlign w:val="center"/>
            <w:hideMark/>
          </w:tcPr>
          <w:p w14:paraId="44DF777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87" w:type="pct"/>
            <w:gridSpan w:val="2"/>
            <w:tcBorders>
              <w:top w:val="double" w:sz="4" w:space="0" w:color="C00000"/>
            </w:tcBorders>
            <w:tcMar>
              <w:top w:w="30" w:type="dxa"/>
              <w:left w:w="45" w:type="dxa"/>
              <w:bottom w:w="30" w:type="dxa"/>
              <w:right w:w="45" w:type="dxa"/>
            </w:tcMar>
            <w:vAlign w:val="center"/>
            <w:hideMark/>
          </w:tcPr>
          <w:p w14:paraId="4BF7B35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130</w:t>
            </w:r>
          </w:p>
        </w:tc>
        <w:tc>
          <w:tcPr>
            <w:tcW w:w="591" w:type="pct"/>
            <w:vMerge w:val="restart"/>
            <w:tcBorders>
              <w:top w:val="double" w:sz="4" w:space="0" w:color="C00000"/>
            </w:tcBorders>
            <w:tcMar>
              <w:top w:w="30" w:type="dxa"/>
              <w:left w:w="45" w:type="dxa"/>
              <w:bottom w:w="30" w:type="dxa"/>
              <w:right w:w="45" w:type="dxa"/>
            </w:tcMar>
            <w:vAlign w:val="center"/>
            <w:hideMark/>
          </w:tcPr>
          <w:p w14:paraId="78A76AD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23.606.386.667</w:t>
            </w:r>
          </w:p>
        </w:tc>
      </w:tr>
      <w:tr w:rsidR="00856F66" w:rsidRPr="00E31657" w14:paraId="408755CE" w14:textId="77777777" w:rsidTr="00ED49FA">
        <w:trPr>
          <w:trHeight w:val="540"/>
          <w:jc w:val="center"/>
        </w:trPr>
        <w:tc>
          <w:tcPr>
            <w:tcW w:w="1123" w:type="pct"/>
            <w:gridSpan w:val="2"/>
            <w:vMerge/>
            <w:tcBorders>
              <w:top w:val="double" w:sz="4" w:space="0" w:color="C00000"/>
            </w:tcBorders>
            <w:vAlign w:val="center"/>
            <w:hideMark/>
          </w:tcPr>
          <w:p w14:paraId="18655EA9" w14:textId="77777777" w:rsidR="00856F66" w:rsidRPr="00E31657" w:rsidRDefault="00856F66" w:rsidP="00161D97">
            <w:pPr>
              <w:jc w:val="right"/>
              <w:rPr>
                <w:rFonts w:cs="Arial"/>
                <w:sz w:val="16"/>
                <w:szCs w:val="16"/>
                <w:lang w:val="es-ES_tradnl" w:eastAsia="es-MX"/>
              </w:rPr>
            </w:pPr>
          </w:p>
        </w:tc>
        <w:tc>
          <w:tcPr>
            <w:tcW w:w="289" w:type="pct"/>
            <w:vMerge/>
            <w:tcBorders>
              <w:top w:val="double" w:sz="4" w:space="0" w:color="C00000"/>
            </w:tcBorders>
            <w:vAlign w:val="center"/>
            <w:hideMark/>
          </w:tcPr>
          <w:p w14:paraId="03ED3664" w14:textId="77777777" w:rsidR="00856F66" w:rsidRPr="00E31657" w:rsidRDefault="00856F66" w:rsidP="00B24742">
            <w:pPr>
              <w:rPr>
                <w:rFonts w:cs="Arial"/>
                <w:sz w:val="16"/>
                <w:szCs w:val="16"/>
                <w:lang w:val="es-ES_tradnl" w:eastAsia="es-MX"/>
              </w:rPr>
            </w:pPr>
          </w:p>
        </w:tc>
        <w:tc>
          <w:tcPr>
            <w:tcW w:w="581" w:type="pct"/>
            <w:gridSpan w:val="2"/>
            <w:vMerge/>
            <w:tcBorders>
              <w:top w:val="double" w:sz="4" w:space="0" w:color="C00000"/>
            </w:tcBorders>
            <w:vAlign w:val="center"/>
            <w:hideMark/>
          </w:tcPr>
          <w:p w14:paraId="3E4C4842" w14:textId="77777777" w:rsidR="00856F66" w:rsidRPr="00E31657" w:rsidRDefault="00856F66" w:rsidP="00B24742">
            <w:pPr>
              <w:rPr>
                <w:rFonts w:cs="Arial"/>
                <w:sz w:val="16"/>
                <w:szCs w:val="16"/>
                <w:lang w:val="es-ES_tradnl" w:eastAsia="es-MX"/>
              </w:rPr>
            </w:pPr>
          </w:p>
        </w:tc>
        <w:tc>
          <w:tcPr>
            <w:tcW w:w="628" w:type="pct"/>
            <w:gridSpan w:val="2"/>
            <w:tcBorders>
              <w:top w:val="double" w:sz="4" w:space="0" w:color="C00000"/>
            </w:tcBorders>
            <w:tcMar>
              <w:top w:w="30" w:type="dxa"/>
              <w:left w:w="45" w:type="dxa"/>
              <w:bottom w:w="30" w:type="dxa"/>
              <w:right w:w="45" w:type="dxa"/>
            </w:tcMar>
            <w:vAlign w:val="center"/>
            <w:hideMark/>
          </w:tcPr>
          <w:p w14:paraId="0F7CF31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19.929.000.000</w:t>
            </w:r>
          </w:p>
        </w:tc>
        <w:tc>
          <w:tcPr>
            <w:tcW w:w="599" w:type="pct"/>
            <w:gridSpan w:val="2"/>
            <w:tcBorders>
              <w:top w:val="double" w:sz="4" w:space="0" w:color="C00000"/>
            </w:tcBorders>
            <w:tcMar>
              <w:top w:w="30" w:type="dxa"/>
              <w:left w:w="45" w:type="dxa"/>
              <w:bottom w:w="30" w:type="dxa"/>
              <w:right w:w="45" w:type="dxa"/>
            </w:tcMar>
            <w:vAlign w:val="center"/>
            <w:hideMark/>
          </w:tcPr>
          <w:p w14:paraId="47861D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1.488.349.515</w:t>
            </w:r>
          </w:p>
        </w:tc>
        <w:tc>
          <w:tcPr>
            <w:tcW w:w="601" w:type="pct"/>
            <w:gridSpan w:val="2"/>
            <w:tcBorders>
              <w:top w:val="double" w:sz="4" w:space="0" w:color="C00000"/>
            </w:tcBorders>
            <w:tcMar>
              <w:top w:w="30" w:type="dxa"/>
              <w:left w:w="45" w:type="dxa"/>
              <w:bottom w:w="30" w:type="dxa"/>
              <w:right w:w="45" w:type="dxa"/>
            </w:tcMar>
            <w:vAlign w:val="center"/>
            <w:hideMark/>
          </w:tcPr>
          <w:p w14:paraId="7F2E819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786.124.988</w:t>
            </w:r>
          </w:p>
        </w:tc>
        <w:tc>
          <w:tcPr>
            <w:tcW w:w="587" w:type="pct"/>
            <w:gridSpan w:val="2"/>
            <w:tcBorders>
              <w:top w:val="double" w:sz="4" w:space="0" w:color="C00000"/>
            </w:tcBorders>
            <w:tcMar>
              <w:top w:w="30" w:type="dxa"/>
              <w:left w:w="45" w:type="dxa"/>
              <w:bottom w:w="30" w:type="dxa"/>
              <w:right w:w="45" w:type="dxa"/>
            </w:tcMar>
            <w:vAlign w:val="center"/>
            <w:hideMark/>
          </w:tcPr>
          <w:p w14:paraId="362F749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1.402.912.164</w:t>
            </w:r>
          </w:p>
        </w:tc>
        <w:tc>
          <w:tcPr>
            <w:tcW w:w="591" w:type="pct"/>
            <w:vMerge/>
            <w:tcBorders>
              <w:top w:val="double" w:sz="4" w:space="0" w:color="C00000"/>
            </w:tcBorders>
            <w:vAlign w:val="center"/>
            <w:hideMark/>
          </w:tcPr>
          <w:p w14:paraId="5597EDB7" w14:textId="77777777" w:rsidR="00856F66" w:rsidRPr="00E31657" w:rsidRDefault="00856F66" w:rsidP="00B24742">
            <w:pPr>
              <w:rPr>
                <w:rFonts w:cs="Arial"/>
                <w:b/>
                <w:bCs/>
                <w:sz w:val="16"/>
                <w:szCs w:val="16"/>
                <w:lang w:val="es-ES_tradnl" w:eastAsia="es-MX"/>
              </w:rPr>
            </w:pPr>
          </w:p>
        </w:tc>
      </w:tr>
      <w:tr w:rsidR="00856F66" w:rsidRPr="00E31657" w14:paraId="67326251" w14:textId="77777777" w:rsidTr="00ED49FA">
        <w:trPr>
          <w:trHeight w:val="540"/>
          <w:jc w:val="center"/>
        </w:trPr>
        <w:tc>
          <w:tcPr>
            <w:tcW w:w="1123" w:type="pct"/>
            <w:gridSpan w:val="2"/>
            <w:vMerge w:val="restart"/>
            <w:tcBorders>
              <w:top w:val="double" w:sz="4" w:space="0" w:color="C00000"/>
            </w:tcBorders>
            <w:tcMar>
              <w:top w:w="30" w:type="dxa"/>
              <w:left w:w="45" w:type="dxa"/>
              <w:bottom w:w="30" w:type="dxa"/>
              <w:right w:w="45" w:type="dxa"/>
            </w:tcMar>
            <w:vAlign w:val="center"/>
            <w:hideMark/>
          </w:tcPr>
          <w:p w14:paraId="22F38EE3"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Monitorear el 100% de las áreas definidas como susceptibles de ser ocupadas o desarrolladas de manera ilegal o informal.</w:t>
            </w:r>
          </w:p>
        </w:tc>
        <w:tc>
          <w:tcPr>
            <w:tcW w:w="289" w:type="pct"/>
            <w:vMerge w:val="restart"/>
            <w:tcBorders>
              <w:top w:val="double" w:sz="4" w:space="0" w:color="C00000"/>
            </w:tcBorders>
            <w:tcMar>
              <w:top w:w="30" w:type="dxa"/>
              <w:left w:w="45" w:type="dxa"/>
              <w:bottom w:w="30" w:type="dxa"/>
              <w:right w:w="45" w:type="dxa"/>
            </w:tcMar>
            <w:vAlign w:val="center"/>
            <w:hideMark/>
          </w:tcPr>
          <w:p w14:paraId="74BD662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280 </w:t>
            </w:r>
            <w:r w:rsidRPr="00E31657">
              <w:rPr>
                <w:rFonts w:cs="Arial"/>
                <w:sz w:val="16"/>
                <w:szCs w:val="16"/>
                <w:lang w:val="es-ES_tradnl" w:eastAsia="es-MX"/>
              </w:rPr>
              <w:br/>
              <w:t>(2023)</w:t>
            </w:r>
          </w:p>
        </w:tc>
        <w:tc>
          <w:tcPr>
            <w:tcW w:w="581" w:type="pct"/>
            <w:gridSpan w:val="2"/>
            <w:vMerge w:val="restart"/>
            <w:tcBorders>
              <w:top w:val="double" w:sz="4" w:space="0" w:color="C00000"/>
            </w:tcBorders>
            <w:tcMar>
              <w:top w:w="30" w:type="dxa"/>
              <w:left w:w="45" w:type="dxa"/>
              <w:bottom w:w="30" w:type="dxa"/>
              <w:right w:w="45" w:type="dxa"/>
            </w:tcMar>
            <w:vAlign w:val="center"/>
            <w:hideMark/>
          </w:tcPr>
          <w:p w14:paraId="21045E7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SDHT (Segplan)</w:t>
            </w:r>
          </w:p>
        </w:tc>
        <w:tc>
          <w:tcPr>
            <w:tcW w:w="628" w:type="pct"/>
            <w:gridSpan w:val="2"/>
            <w:tcBorders>
              <w:top w:val="double" w:sz="4" w:space="0" w:color="C00000"/>
            </w:tcBorders>
            <w:tcMar>
              <w:top w:w="30" w:type="dxa"/>
              <w:left w:w="45" w:type="dxa"/>
              <w:bottom w:w="30" w:type="dxa"/>
              <w:right w:w="45" w:type="dxa"/>
            </w:tcMar>
            <w:vAlign w:val="center"/>
            <w:hideMark/>
          </w:tcPr>
          <w:p w14:paraId="3FA846D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99" w:type="pct"/>
            <w:gridSpan w:val="2"/>
            <w:tcBorders>
              <w:top w:val="double" w:sz="4" w:space="0" w:color="C00000"/>
            </w:tcBorders>
            <w:tcMar>
              <w:top w:w="30" w:type="dxa"/>
              <w:left w:w="45" w:type="dxa"/>
              <w:bottom w:w="30" w:type="dxa"/>
              <w:right w:w="45" w:type="dxa"/>
            </w:tcMar>
            <w:vAlign w:val="center"/>
            <w:hideMark/>
          </w:tcPr>
          <w:p w14:paraId="35B31A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1" w:type="pct"/>
            <w:gridSpan w:val="2"/>
            <w:tcBorders>
              <w:top w:val="double" w:sz="4" w:space="0" w:color="C00000"/>
            </w:tcBorders>
            <w:tcMar>
              <w:top w:w="30" w:type="dxa"/>
              <w:left w:w="45" w:type="dxa"/>
              <w:bottom w:w="30" w:type="dxa"/>
              <w:right w:w="45" w:type="dxa"/>
            </w:tcMar>
            <w:vAlign w:val="center"/>
            <w:hideMark/>
          </w:tcPr>
          <w:p w14:paraId="33130D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87" w:type="pct"/>
            <w:gridSpan w:val="2"/>
            <w:tcBorders>
              <w:top w:val="double" w:sz="4" w:space="0" w:color="C00000"/>
            </w:tcBorders>
            <w:tcMar>
              <w:top w:w="30" w:type="dxa"/>
              <w:left w:w="45" w:type="dxa"/>
              <w:bottom w:w="30" w:type="dxa"/>
              <w:right w:w="45" w:type="dxa"/>
            </w:tcMar>
            <w:vAlign w:val="center"/>
            <w:hideMark/>
          </w:tcPr>
          <w:p w14:paraId="7CFAD41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91" w:type="pct"/>
            <w:vMerge w:val="restart"/>
            <w:tcBorders>
              <w:top w:val="double" w:sz="4" w:space="0" w:color="C00000"/>
            </w:tcBorders>
            <w:tcMar>
              <w:top w:w="30" w:type="dxa"/>
              <w:left w:w="45" w:type="dxa"/>
              <w:bottom w:w="30" w:type="dxa"/>
              <w:right w:w="45" w:type="dxa"/>
            </w:tcMar>
            <w:vAlign w:val="center"/>
            <w:hideMark/>
          </w:tcPr>
          <w:p w14:paraId="3DA7BE0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41.422.913.828</w:t>
            </w:r>
          </w:p>
        </w:tc>
      </w:tr>
      <w:tr w:rsidR="00856F66" w:rsidRPr="00E31657" w14:paraId="72FFE490" w14:textId="77777777" w:rsidTr="00ED49FA">
        <w:trPr>
          <w:trHeight w:val="540"/>
          <w:jc w:val="center"/>
        </w:trPr>
        <w:tc>
          <w:tcPr>
            <w:tcW w:w="1123" w:type="pct"/>
            <w:gridSpan w:val="2"/>
            <w:vMerge/>
            <w:tcBorders>
              <w:top w:val="double" w:sz="4" w:space="0" w:color="C00000"/>
            </w:tcBorders>
            <w:vAlign w:val="center"/>
            <w:hideMark/>
          </w:tcPr>
          <w:p w14:paraId="12F2B1B8" w14:textId="77777777" w:rsidR="00856F66" w:rsidRPr="00E31657" w:rsidRDefault="00856F66" w:rsidP="00B24742">
            <w:pPr>
              <w:rPr>
                <w:rFonts w:cs="Arial"/>
                <w:sz w:val="16"/>
                <w:szCs w:val="16"/>
                <w:lang w:val="es-ES_tradnl" w:eastAsia="es-MX"/>
              </w:rPr>
            </w:pPr>
          </w:p>
        </w:tc>
        <w:tc>
          <w:tcPr>
            <w:tcW w:w="289" w:type="pct"/>
            <w:vMerge/>
            <w:tcBorders>
              <w:top w:val="double" w:sz="4" w:space="0" w:color="C00000"/>
            </w:tcBorders>
            <w:vAlign w:val="center"/>
            <w:hideMark/>
          </w:tcPr>
          <w:p w14:paraId="03988FBA" w14:textId="77777777" w:rsidR="00856F66" w:rsidRPr="00E31657" w:rsidRDefault="00856F66" w:rsidP="00B24742">
            <w:pPr>
              <w:rPr>
                <w:rFonts w:cs="Arial"/>
                <w:sz w:val="16"/>
                <w:szCs w:val="16"/>
                <w:lang w:val="es-ES_tradnl" w:eastAsia="es-MX"/>
              </w:rPr>
            </w:pPr>
          </w:p>
        </w:tc>
        <w:tc>
          <w:tcPr>
            <w:tcW w:w="581" w:type="pct"/>
            <w:gridSpan w:val="2"/>
            <w:vMerge/>
            <w:tcBorders>
              <w:top w:val="double" w:sz="4" w:space="0" w:color="C00000"/>
            </w:tcBorders>
            <w:vAlign w:val="center"/>
            <w:hideMark/>
          </w:tcPr>
          <w:p w14:paraId="0ECE88AC" w14:textId="77777777" w:rsidR="00856F66" w:rsidRPr="00E31657" w:rsidRDefault="00856F66" w:rsidP="00B24742">
            <w:pPr>
              <w:rPr>
                <w:rFonts w:cs="Arial"/>
                <w:sz w:val="16"/>
                <w:szCs w:val="16"/>
                <w:lang w:val="es-ES_tradnl" w:eastAsia="es-MX"/>
              </w:rPr>
            </w:pPr>
          </w:p>
        </w:tc>
        <w:tc>
          <w:tcPr>
            <w:tcW w:w="628" w:type="pct"/>
            <w:gridSpan w:val="2"/>
            <w:tcBorders>
              <w:top w:val="double" w:sz="4" w:space="0" w:color="C00000"/>
            </w:tcBorders>
            <w:tcMar>
              <w:top w:w="30" w:type="dxa"/>
              <w:left w:w="45" w:type="dxa"/>
              <w:bottom w:w="30" w:type="dxa"/>
              <w:right w:w="45" w:type="dxa"/>
            </w:tcMar>
            <w:vAlign w:val="center"/>
            <w:hideMark/>
          </w:tcPr>
          <w:p w14:paraId="245DE7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6.854.000.000</w:t>
            </w:r>
          </w:p>
        </w:tc>
        <w:tc>
          <w:tcPr>
            <w:tcW w:w="599" w:type="pct"/>
            <w:gridSpan w:val="2"/>
            <w:tcBorders>
              <w:top w:val="double" w:sz="4" w:space="0" w:color="C00000"/>
            </w:tcBorders>
            <w:tcMar>
              <w:top w:w="30" w:type="dxa"/>
              <w:left w:w="45" w:type="dxa"/>
              <w:bottom w:w="30" w:type="dxa"/>
              <w:right w:w="45" w:type="dxa"/>
            </w:tcMar>
            <w:vAlign w:val="center"/>
            <w:hideMark/>
          </w:tcPr>
          <w:p w14:paraId="418722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14.169.902.913</w:t>
            </w:r>
          </w:p>
        </w:tc>
        <w:tc>
          <w:tcPr>
            <w:tcW w:w="601" w:type="pct"/>
            <w:gridSpan w:val="2"/>
            <w:tcBorders>
              <w:top w:val="double" w:sz="4" w:space="0" w:color="C00000"/>
            </w:tcBorders>
            <w:tcMar>
              <w:top w:w="30" w:type="dxa"/>
              <w:left w:w="45" w:type="dxa"/>
              <w:bottom w:w="30" w:type="dxa"/>
              <w:right w:w="45" w:type="dxa"/>
            </w:tcMar>
            <w:vAlign w:val="center"/>
            <w:hideMark/>
          </w:tcPr>
          <w:p w14:paraId="784230E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9.788.858.516</w:t>
            </w:r>
          </w:p>
        </w:tc>
        <w:tc>
          <w:tcPr>
            <w:tcW w:w="587" w:type="pct"/>
            <w:gridSpan w:val="2"/>
            <w:tcBorders>
              <w:top w:val="double" w:sz="4" w:space="0" w:color="C00000"/>
            </w:tcBorders>
            <w:tcMar>
              <w:top w:w="30" w:type="dxa"/>
              <w:left w:w="45" w:type="dxa"/>
              <w:bottom w:w="30" w:type="dxa"/>
              <w:right w:w="45" w:type="dxa"/>
            </w:tcMar>
            <w:vAlign w:val="center"/>
            <w:hideMark/>
          </w:tcPr>
          <w:p w14:paraId="1E5C04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10.610.152.399</w:t>
            </w:r>
          </w:p>
        </w:tc>
        <w:tc>
          <w:tcPr>
            <w:tcW w:w="591" w:type="pct"/>
            <w:vMerge/>
            <w:tcBorders>
              <w:top w:val="double" w:sz="4" w:space="0" w:color="C00000"/>
            </w:tcBorders>
            <w:vAlign w:val="center"/>
            <w:hideMark/>
          </w:tcPr>
          <w:p w14:paraId="4B2203FD" w14:textId="77777777" w:rsidR="00856F66" w:rsidRPr="00E31657" w:rsidRDefault="00856F66" w:rsidP="00B24742">
            <w:pPr>
              <w:rPr>
                <w:rFonts w:cs="Arial"/>
                <w:b/>
                <w:bCs/>
                <w:sz w:val="16"/>
                <w:szCs w:val="16"/>
                <w:lang w:val="es-ES_tradnl" w:eastAsia="es-MX"/>
              </w:rPr>
            </w:pPr>
          </w:p>
        </w:tc>
      </w:tr>
      <w:tr w:rsidR="00856F66" w:rsidRPr="00E31657" w14:paraId="687F3D60" w14:textId="77777777" w:rsidTr="00F974BB">
        <w:trPr>
          <w:trHeight w:val="331"/>
          <w:jc w:val="center"/>
        </w:trPr>
        <w:tc>
          <w:tcPr>
            <w:tcW w:w="5000" w:type="pct"/>
            <w:gridSpan w:val="14"/>
            <w:tcBorders>
              <w:top w:val="double" w:sz="4" w:space="0" w:color="C00000"/>
            </w:tcBorders>
            <w:shd w:val="clear" w:color="auto" w:fill="C00000"/>
            <w:tcMar>
              <w:top w:w="30" w:type="dxa"/>
              <w:left w:w="45" w:type="dxa"/>
              <w:bottom w:w="30" w:type="dxa"/>
              <w:right w:w="45" w:type="dxa"/>
            </w:tcMar>
            <w:vAlign w:val="center"/>
            <w:hideMark/>
          </w:tcPr>
          <w:p w14:paraId="5DF0587B"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191CE780" w14:textId="77777777" w:rsidTr="00ED49FA">
        <w:trPr>
          <w:trHeight w:val="1050"/>
          <w:jc w:val="center"/>
        </w:trPr>
        <w:tc>
          <w:tcPr>
            <w:tcW w:w="1123" w:type="pct"/>
            <w:gridSpan w:val="2"/>
            <w:vMerge w:val="restart"/>
            <w:tcBorders>
              <w:top w:val="double" w:sz="4" w:space="0" w:color="C00000"/>
            </w:tcBorders>
            <w:tcMar>
              <w:top w:w="30" w:type="dxa"/>
              <w:left w:w="45" w:type="dxa"/>
              <w:bottom w:w="30" w:type="dxa"/>
              <w:right w:w="45" w:type="dxa"/>
            </w:tcMar>
            <w:vAlign w:val="center"/>
            <w:hideMark/>
          </w:tcPr>
          <w:p w14:paraId="74626BC8"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Desarrollar un (1) modelo de gobernanza colaborativa y multinivel que favorezca el cumplimiento de órdenes judiciales asociadas al ordenamiento territorial del suelo rural y de las franjas urbano-rurales de la ciudad en armonía con lo dispuesto en instrumentos normativos como el Plan de Ordenamiento Territorial Unidades de Planeamiento Local y Planes de Manejo específicos para áreas como la Franja de Adecuación de los Cerros Orientales de Bogotá.</w:t>
            </w:r>
          </w:p>
        </w:tc>
        <w:tc>
          <w:tcPr>
            <w:tcW w:w="289" w:type="pct"/>
            <w:vMerge w:val="restart"/>
            <w:tcBorders>
              <w:top w:val="double" w:sz="4" w:space="0" w:color="C00000"/>
            </w:tcBorders>
            <w:tcMar>
              <w:top w:w="30" w:type="dxa"/>
              <w:left w:w="45" w:type="dxa"/>
              <w:bottom w:w="30" w:type="dxa"/>
              <w:right w:w="45" w:type="dxa"/>
            </w:tcMar>
            <w:vAlign w:val="center"/>
            <w:hideMark/>
          </w:tcPr>
          <w:p w14:paraId="7ECDC4A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r w:rsidRPr="00E31657">
              <w:rPr>
                <w:rFonts w:cs="Arial"/>
                <w:sz w:val="16"/>
                <w:szCs w:val="16"/>
                <w:lang w:val="es-ES_tradnl" w:eastAsia="es-MX"/>
              </w:rPr>
              <w:br/>
              <w:t>(2024)</w:t>
            </w:r>
          </w:p>
        </w:tc>
        <w:tc>
          <w:tcPr>
            <w:tcW w:w="581" w:type="pct"/>
            <w:gridSpan w:val="2"/>
            <w:vMerge w:val="restart"/>
            <w:tcBorders>
              <w:top w:val="double" w:sz="4" w:space="0" w:color="C00000"/>
            </w:tcBorders>
            <w:tcMar>
              <w:top w:w="30" w:type="dxa"/>
              <w:left w:w="45" w:type="dxa"/>
              <w:bottom w:w="30" w:type="dxa"/>
              <w:right w:w="45" w:type="dxa"/>
            </w:tcMar>
            <w:vAlign w:val="center"/>
            <w:hideMark/>
          </w:tcPr>
          <w:p w14:paraId="36FF05C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SDP </w:t>
            </w:r>
          </w:p>
        </w:tc>
        <w:tc>
          <w:tcPr>
            <w:tcW w:w="628" w:type="pct"/>
            <w:gridSpan w:val="2"/>
            <w:tcBorders>
              <w:top w:val="double" w:sz="4" w:space="0" w:color="C00000"/>
            </w:tcBorders>
            <w:tcMar>
              <w:top w:w="30" w:type="dxa"/>
              <w:left w:w="45" w:type="dxa"/>
              <w:bottom w:w="30" w:type="dxa"/>
              <w:right w:w="45" w:type="dxa"/>
            </w:tcMar>
            <w:vAlign w:val="center"/>
            <w:hideMark/>
          </w:tcPr>
          <w:p w14:paraId="708D708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0,10</w:t>
            </w:r>
          </w:p>
        </w:tc>
        <w:tc>
          <w:tcPr>
            <w:tcW w:w="599" w:type="pct"/>
            <w:gridSpan w:val="2"/>
            <w:tcBorders>
              <w:top w:val="double" w:sz="4" w:space="0" w:color="C00000"/>
            </w:tcBorders>
            <w:tcMar>
              <w:top w:w="30" w:type="dxa"/>
              <w:left w:w="45" w:type="dxa"/>
              <w:bottom w:w="30" w:type="dxa"/>
              <w:right w:w="45" w:type="dxa"/>
            </w:tcMar>
            <w:vAlign w:val="center"/>
            <w:hideMark/>
          </w:tcPr>
          <w:p w14:paraId="7D2368B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601" w:type="pct"/>
            <w:gridSpan w:val="2"/>
            <w:tcBorders>
              <w:top w:val="double" w:sz="4" w:space="0" w:color="C00000"/>
            </w:tcBorders>
            <w:tcMar>
              <w:top w:w="30" w:type="dxa"/>
              <w:left w:w="45" w:type="dxa"/>
              <w:bottom w:w="30" w:type="dxa"/>
              <w:right w:w="45" w:type="dxa"/>
            </w:tcMar>
            <w:vAlign w:val="center"/>
            <w:hideMark/>
          </w:tcPr>
          <w:p w14:paraId="527669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587" w:type="pct"/>
            <w:gridSpan w:val="2"/>
            <w:tcBorders>
              <w:top w:val="double" w:sz="4" w:space="0" w:color="C00000"/>
            </w:tcBorders>
            <w:tcMar>
              <w:top w:w="30" w:type="dxa"/>
              <w:left w:w="45" w:type="dxa"/>
              <w:bottom w:w="30" w:type="dxa"/>
              <w:right w:w="45" w:type="dxa"/>
            </w:tcMar>
            <w:vAlign w:val="center"/>
            <w:hideMark/>
          </w:tcPr>
          <w:p w14:paraId="23AA5B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0,30</w:t>
            </w:r>
          </w:p>
        </w:tc>
        <w:tc>
          <w:tcPr>
            <w:tcW w:w="591" w:type="pct"/>
            <w:vMerge w:val="restart"/>
            <w:tcBorders>
              <w:top w:val="double" w:sz="4" w:space="0" w:color="C00000"/>
            </w:tcBorders>
            <w:tcMar>
              <w:top w:w="30" w:type="dxa"/>
              <w:left w:w="45" w:type="dxa"/>
              <w:bottom w:w="30" w:type="dxa"/>
              <w:right w:w="45" w:type="dxa"/>
            </w:tcMar>
            <w:vAlign w:val="center"/>
            <w:hideMark/>
          </w:tcPr>
          <w:p w14:paraId="5972831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1.111.326.771</w:t>
            </w:r>
          </w:p>
        </w:tc>
      </w:tr>
      <w:tr w:rsidR="00856F66" w:rsidRPr="00E31657" w14:paraId="70F1E73C" w14:textId="77777777" w:rsidTr="00ED49FA">
        <w:trPr>
          <w:trHeight w:val="1050"/>
          <w:jc w:val="center"/>
        </w:trPr>
        <w:tc>
          <w:tcPr>
            <w:tcW w:w="1123" w:type="pct"/>
            <w:gridSpan w:val="2"/>
            <w:vMerge/>
            <w:tcBorders>
              <w:top w:val="double" w:sz="4" w:space="0" w:color="C00000"/>
            </w:tcBorders>
            <w:vAlign w:val="center"/>
            <w:hideMark/>
          </w:tcPr>
          <w:p w14:paraId="04E9C590" w14:textId="77777777" w:rsidR="00856F66" w:rsidRPr="00E31657" w:rsidRDefault="00856F66" w:rsidP="00161D97">
            <w:pPr>
              <w:jc w:val="right"/>
              <w:rPr>
                <w:rFonts w:cs="Arial"/>
                <w:sz w:val="16"/>
                <w:szCs w:val="16"/>
                <w:lang w:val="es-ES_tradnl" w:eastAsia="es-MX"/>
              </w:rPr>
            </w:pPr>
          </w:p>
        </w:tc>
        <w:tc>
          <w:tcPr>
            <w:tcW w:w="289" w:type="pct"/>
            <w:vMerge/>
            <w:tcBorders>
              <w:top w:val="double" w:sz="4" w:space="0" w:color="C00000"/>
            </w:tcBorders>
            <w:vAlign w:val="center"/>
            <w:hideMark/>
          </w:tcPr>
          <w:p w14:paraId="174CD14C" w14:textId="77777777" w:rsidR="00856F66" w:rsidRPr="00E31657" w:rsidRDefault="00856F66" w:rsidP="00B24742">
            <w:pPr>
              <w:rPr>
                <w:rFonts w:cs="Arial"/>
                <w:sz w:val="16"/>
                <w:szCs w:val="16"/>
                <w:lang w:val="es-ES_tradnl" w:eastAsia="es-MX"/>
              </w:rPr>
            </w:pPr>
          </w:p>
        </w:tc>
        <w:tc>
          <w:tcPr>
            <w:tcW w:w="581" w:type="pct"/>
            <w:gridSpan w:val="2"/>
            <w:vMerge/>
            <w:tcBorders>
              <w:top w:val="double" w:sz="4" w:space="0" w:color="C00000"/>
            </w:tcBorders>
            <w:vAlign w:val="center"/>
            <w:hideMark/>
          </w:tcPr>
          <w:p w14:paraId="79061BFC" w14:textId="77777777" w:rsidR="00856F66" w:rsidRPr="00E31657" w:rsidRDefault="00856F66" w:rsidP="00B24742">
            <w:pPr>
              <w:rPr>
                <w:rFonts w:cs="Arial"/>
                <w:sz w:val="16"/>
                <w:szCs w:val="16"/>
                <w:lang w:val="es-ES_tradnl" w:eastAsia="es-MX"/>
              </w:rPr>
            </w:pPr>
          </w:p>
        </w:tc>
        <w:tc>
          <w:tcPr>
            <w:tcW w:w="628" w:type="pct"/>
            <w:gridSpan w:val="2"/>
            <w:tcBorders>
              <w:top w:val="double" w:sz="4" w:space="0" w:color="C00000"/>
            </w:tcBorders>
            <w:tcMar>
              <w:top w:w="30" w:type="dxa"/>
              <w:left w:w="45" w:type="dxa"/>
              <w:bottom w:w="30" w:type="dxa"/>
              <w:right w:w="45" w:type="dxa"/>
            </w:tcMar>
            <w:vAlign w:val="center"/>
            <w:hideMark/>
          </w:tcPr>
          <w:p w14:paraId="7A6C886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174.284.816</w:t>
            </w:r>
          </w:p>
        </w:tc>
        <w:tc>
          <w:tcPr>
            <w:tcW w:w="599" w:type="pct"/>
            <w:gridSpan w:val="2"/>
            <w:tcBorders>
              <w:top w:val="double" w:sz="4" w:space="0" w:color="C00000"/>
            </w:tcBorders>
            <w:tcMar>
              <w:top w:w="30" w:type="dxa"/>
              <w:left w:w="45" w:type="dxa"/>
              <w:bottom w:w="30" w:type="dxa"/>
              <w:right w:w="45" w:type="dxa"/>
            </w:tcMar>
            <w:vAlign w:val="center"/>
            <w:hideMark/>
          </w:tcPr>
          <w:p w14:paraId="30B9F35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324.134.025</w:t>
            </w:r>
          </w:p>
        </w:tc>
        <w:tc>
          <w:tcPr>
            <w:tcW w:w="601" w:type="pct"/>
            <w:gridSpan w:val="2"/>
            <w:tcBorders>
              <w:top w:val="double" w:sz="4" w:space="0" w:color="C00000"/>
            </w:tcBorders>
            <w:tcMar>
              <w:top w:w="30" w:type="dxa"/>
              <w:left w:w="45" w:type="dxa"/>
              <w:bottom w:w="30" w:type="dxa"/>
              <w:right w:w="45" w:type="dxa"/>
            </w:tcMar>
            <w:vAlign w:val="center"/>
            <w:hideMark/>
          </w:tcPr>
          <w:p w14:paraId="68B950A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306.073.048</w:t>
            </w:r>
          </w:p>
        </w:tc>
        <w:tc>
          <w:tcPr>
            <w:tcW w:w="587" w:type="pct"/>
            <w:gridSpan w:val="2"/>
            <w:tcBorders>
              <w:top w:val="double" w:sz="4" w:space="0" w:color="C00000"/>
            </w:tcBorders>
            <w:tcMar>
              <w:top w:w="30" w:type="dxa"/>
              <w:left w:w="45" w:type="dxa"/>
              <w:bottom w:w="30" w:type="dxa"/>
              <w:right w:w="45" w:type="dxa"/>
            </w:tcMar>
            <w:vAlign w:val="center"/>
            <w:hideMark/>
          </w:tcPr>
          <w:p w14:paraId="285827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306.834.881</w:t>
            </w:r>
          </w:p>
        </w:tc>
        <w:tc>
          <w:tcPr>
            <w:tcW w:w="591" w:type="pct"/>
            <w:vMerge/>
            <w:tcBorders>
              <w:top w:val="double" w:sz="4" w:space="0" w:color="C00000"/>
            </w:tcBorders>
            <w:vAlign w:val="center"/>
            <w:hideMark/>
          </w:tcPr>
          <w:p w14:paraId="58E1FE9E" w14:textId="77777777" w:rsidR="00856F66" w:rsidRPr="00E31657" w:rsidRDefault="00856F66" w:rsidP="00B24742">
            <w:pPr>
              <w:rPr>
                <w:rFonts w:cs="Arial"/>
                <w:b/>
                <w:bCs/>
                <w:sz w:val="16"/>
                <w:szCs w:val="16"/>
                <w:lang w:val="es-ES_tradnl" w:eastAsia="es-MX"/>
              </w:rPr>
            </w:pPr>
          </w:p>
        </w:tc>
      </w:tr>
      <w:tr w:rsidR="00856F66" w:rsidRPr="00E31657" w14:paraId="270970B9" w14:textId="77777777" w:rsidTr="00ED49FA">
        <w:trPr>
          <w:trHeight w:val="540"/>
          <w:jc w:val="center"/>
        </w:trPr>
        <w:tc>
          <w:tcPr>
            <w:tcW w:w="1123" w:type="pct"/>
            <w:gridSpan w:val="2"/>
            <w:vMerge w:val="restart"/>
            <w:tcBorders>
              <w:top w:val="double" w:sz="4" w:space="0" w:color="C00000"/>
            </w:tcBorders>
            <w:tcMar>
              <w:top w:w="30" w:type="dxa"/>
              <w:left w:w="45" w:type="dxa"/>
              <w:bottom w:w="30" w:type="dxa"/>
              <w:right w:w="45" w:type="dxa"/>
            </w:tcMar>
            <w:vAlign w:val="center"/>
            <w:hideMark/>
          </w:tcPr>
          <w:p w14:paraId="0B40E1F6"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lastRenderedPageBreak/>
              <w:t>Elaborar el 100% de las condiciones normativas estudios lineamientos y acciones de coordinación necesarios para la concreción y seguimiento al modelo de ordenamiento territorial.</w:t>
            </w:r>
          </w:p>
        </w:tc>
        <w:tc>
          <w:tcPr>
            <w:tcW w:w="289" w:type="pct"/>
            <w:vMerge w:val="restart"/>
            <w:tcBorders>
              <w:top w:val="double" w:sz="4" w:space="0" w:color="C00000"/>
            </w:tcBorders>
            <w:tcMar>
              <w:top w:w="30" w:type="dxa"/>
              <w:left w:w="45" w:type="dxa"/>
              <w:bottom w:w="30" w:type="dxa"/>
              <w:right w:w="45" w:type="dxa"/>
            </w:tcMar>
            <w:vAlign w:val="center"/>
            <w:hideMark/>
          </w:tcPr>
          <w:p w14:paraId="532942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(2024)</w:t>
            </w:r>
          </w:p>
        </w:tc>
        <w:tc>
          <w:tcPr>
            <w:tcW w:w="581" w:type="pct"/>
            <w:gridSpan w:val="2"/>
            <w:vMerge w:val="restart"/>
            <w:tcBorders>
              <w:top w:val="double" w:sz="4" w:space="0" w:color="C00000"/>
            </w:tcBorders>
            <w:tcMar>
              <w:top w:w="30" w:type="dxa"/>
              <w:left w:w="45" w:type="dxa"/>
              <w:bottom w:w="30" w:type="dxa"/>
              <w:right w:w="45" w:type="dxa"/>
            </w:tcMar>
            <w:vAlign w:val="center"/>
            <w:hideMark/>
          </w:tcPr>
          <w:p w14:paraId="70F87C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PDDUNCSAB 2020 - 2024</w:t>
            </w:r>
          </w:p>
        </w:tc>
        <w:tc>
          <w:tcPr>
            <w:tcW w:w="628" w:type="pct"/>
            <w:gridSpan w:val="2"/>
            <w:tcBorders>
              <w:top w:val="double" w:sz="4" w:space="0" w:color="C00000"/>
            </w:tcBorders>
            <w:tcMar>
              <w:top w:w="30" w:type="dxa"/>
              <w:left w:w="45" w:type="dxa"/>
              <w:bottom w:w="30" w:type="dxa"/>
              <w:right w:w="45" w:type="dxa"/>
            </w:tcMar>
            <w:vAlign w:val="center"/>
            <w:hideMark/>
          </w:tcPr>
          <w:p w14:paraId="07BABF6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99" w:type="pct"/>
            <w:gridSpan w:val="2"/>
            <w:tcBorders>
              <w:top w:val="double" w:sz="4" w:space="0" w:color="C00000"/>
            </w:tcBorders>
            <w:tcMar>
              <w:top w:w="30" w:type="dxa"/>
              <w:left w:w="45" w:type="dxa"/>
              <w:bottom w:w="30" w:type="dxa"/>
              <w:right w:w="45" w:type="dxa"/>
            </w:tcMar>
            <w:vAlign w:val="center"/>
            <w:hideMark/>
          </w:tcPr>
          <w:p w14:paraId="224EC3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601" w:type="pct"/>
            <w:gridSpan w:val="2"/>
            <w:tcBorders>
              <w:top w:val="double" w:sz="4" w:space="0" w:color="C00000"/>
            </w:tcBorders>
            <w:tcMar>
              <w:top w:w="30" w:type="dxa"/>
              <w:left w:w="45" w:type="dxa"/>
              <w:bottom w:w="30" w:type="dxa"/>
              <w:right w:w="45" w:type="dxa"/>
            </w:tcMar>
            <w:vAlign w:val="center"/>
            <w:hideMark/>
          </w:tcPr>
          <w:p w14:paraId="42A6D00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87" w:type="pct"/>
            <w:gridSpan w:val="2"/>
            <w:tcBorders>
              <w:top w:val="double" w:sz="4" w:space="0" w:color="C00000"/>
            </w:tcBorders>
            <w:tcMar>
              <w:top w:w="30" w:type="dxa"/>
              <w:left w:w="45" w:type="dxa"/>
              <w:bottom w:w="30" w:type="dxa"/>
              <w:right w:w="45" w:type="dxa"/>
            </w:tcMar>
            <w:vAlign w:val="center"/>
            <w:hideMark/>
          </w:tcPr>
          <w:p w14:paraId="1487E7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591" w:type="pct"/>
            <w:vMerge w:val="restart"/>
            <w:tcBorders>
              <w:top w:val="double" w:sz="4" w:space="0" w:color="C00000"/>
            </w:tcBorders>
            <w:tcMar>
              <w:top w:w="30" w:type="dxa"/>
              <w:left w:w="45" w:type="dxa"/>
              <w:bottom w:w="30" w:type="dxa"/>
              <w:right w:w="45" w:type="dxa"/>
            </w:tcMar>
            <w:vAlign w:val="center"/>
            <w:hideMark/>
          </w:tcPr>
          <w:p w14:paraId="3CC9DBFE"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27.425.654.707</w:t>
            </w:r>
          </w:p>
        </w:tc>
      </w:tr>
      <w:tr w:rsidR="00856F66" w:rsidRPr="00E31657" w14:paraId="1AC3A47C" w14:textId="77777777" w:rsidTr="00ED49FA">
        <w:trPr>
          <w:trHeight w:val="540"/>
          <w:jc w:val="center"/>
        </w:trPr>
        <w:tc>
          <w:tcPr>
            <w:tcW w:w="1123" w:type="pct"/>
            <w:gridSpan w:val="2"/>
            <w:vMerge/>
            <w:tcBorders>
              <w:top w:val="double" w:sz="4" w:space="0" w:color="C00000"/>
            </w:tcBorders>
            <w:vAlign w:val="center"/>
            <w:hideMark/>
          </w:tcPr>
          <w:p w14:paraId="30362DB1" w14:textId="77777777" w:rsidR="00856F66" w:rsidRPr="00E31657" w:rsidRDefault="00856F66" w:rsidP="00161D97">
            <w:pPr>
              <w:jc w:val="right"/>
              <w:rPr>
                <w:rFonts w:cs="Arial"/>
                <w:sz w:val="16"/>
                <w:szCs w:val="16"/>
                <w:lang w:val="es-ES_tradnl" w:eastAsia="es-MX"/>
              </w:rPr>
            </w:pPr>
          </w:p>
        </w:tc>
        <w:tc>
          <w:tcPr>
            <w:tcW w:w="289" w:type="pct"/>
            <w:vMerge/>
            <w:tcBorders>
              <w:top w:val="double" w:sz="4" w:space="0" w:color="C00000"/>
            </w:tcBorders>
            <w:vAlign w:val="center"/>
            <w:hideMark/>
          </w:tcPr>
          <w:p w14:paraId="2983B9E4" w14:textId="77777777" w:rsidR="00856F66" w:rsidRPr="00E31657" w:rsidRDefault="00856F66" w:rsidP="00B24742">
            <w:pPr>
              <w:rPr>
                <w:rFonts w:cs="Arial"/>
                <w:sz w:val="16"/>
                <w:szCs w:val="16"/>
                <w:lang w:val="es-ES_tradnl" w:eastAsia="es-MX"/>
              </w:rPr>
            </w:pPr>
          </w:p>
        </w:tc>
        <w:tc>
          <w:tcPr>
            <w:tcW w:w="581" w:type="pct"/>
            <w:gridSpan w:val="2"/>
            <w:vMerge/>
            <w:tcBorders>
              <w:top w:val="double" w:sz="4" w:space="0" w:color="C00000"/>
            </w:tcBorders>
            <w:vAlign w:val="center"/>
            <w:hideMark/>
          </w:tcPr>
          <w:p w14:paraId="3D7F2A75" w14:textId="77777777" w:rsidR="00856F66" w:rsidRPr="00E31657" w:rsidRDefault="00856F66" w:rsidP="00B24742">
            <w:pPr>
              <w:rPr>
                <w:rFonts w:cs="Arial"/>
                <w:sz w:val="16"/>
                <w:szCs w:val="16"/>
                <w:lang w:val="es-ES_tradnl" w:eastAsia="es-MX"/>
              </w:rPr>
            </w:pPr>
          </w:p>
        </w:tc>
        <w:tc>
          <w:tcPr>
            <w:tcW w:w="628" w:type="pct"/>
            <w:gridSpan w:val="2"/>
            <w:tcBorders>
              <w:top w:val="double" w:sz="4" w:space="0" w:color="C00000"/>
            </w:tcBorders>
            <w:tcMar>
              <w:top w:w="30" w:type="dxa"/>
              <w:left w:w="45" w:type="dxa"/>
              <w:bottom w:w="30" w:type="dxa"/>
              <w:right w:w="45" w:type="dxa"/>
            </w:tcMar>
            <w:vAlign w:val="center"/>
            <w:hideMark/>
          </w:tcPr>
          <w:p w14:paraId="528CA1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6.777.742.848</w:t>
            </w:r>
          </w:p>
        </w:tc>
        <w:tc>
          <w:tcPr>
            <w:tcW w:w="599" w:type="pct"/>
            <w:gridSpan w:val="2"/>
            <w:tcBorders>
              <w:top w:val="double" w:sz="4" w:space="0" w:color="C00000"/>
            </w:tcBorders>
            <w:tcMar>
              <w:top w:w="30" w:type="dxa"/>
              <w:left w:w="45" w:type="dxa"/>
              <w:bottom w:w="30" w:type="dxa"/>
              <w:right w:w="45" w:type="dxa"/>
            </w:tcMar>
            <w:vAlign w:val="center"/>
            <w:hideMark/>
          </w:tcPr>
          <w:p w14:paraId="780B1B5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6.540.821.142</w:t>
            </w:r>
          </w:p>
        </w:tc>
        <w:tc>
          <w:tcPr>
            <w:tcW w:w="601" w:type="pct"/>
            <w:gridSpan w:val="2"/>
            <w:tcBorders>
              <w:top w:val="double" w:sz="4" w:space="0" w:color="C00000"/>
            </w:tcBorders>
            <w:tcMar>
              <w:top w:w="30" w:type="dxa"/>
              <w:left w:w="45" w:type="dxa"/>
              <w:bottom w:w="30" w:type="dxa"/>
              <w:right w:w="45" w:type="dxa"/>
            </w:tcMar>
            <w:vAlign w:val="center"/>
            <w:hideMark/>
          </w:tcPr>
          <w:p w14:paraId="5D245AC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6.986.450.016</w:t>
            </w:r>
          </w:p>
        </w:tc>
        <w:tc>
          <w:tcPr>
            <w:tcW w:w="587" w:type="pct"/>
            <w:gridSpan w:val="2"/>
            <w:tcBorders>
              <w:top w:val="double" w:sz="4" w:space="0" w:color="C00000"/>
            </w:tcBorders>
            <w:tcMar>
              <w:top w:w="30" w:type="dxa"/>
              <w:left w:w="45" w:type="dxa"/>
              <w:bottom w:w="30" w:type="dxa"/>
              <w:right w:w="45" w:type="dxa"/>
            </w:tcMar>
            <w:vAlign w:val="center"/>
            <w:hideMark/>
          </w:tcPr>
          <w:p w14:paraId="56BB687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7.120.640.701</w:t>
            </w:r>
          </w:p>
        </w:tc>
        <w:tc>
          <w:tcPr>
            <w:tcW w:w="591" w:type="pct"/>
            <w:vMerge/>
            <w:tcBorders>
              <w:top w:val="double" w:sz="4" w:space="0" w:color="C00000"/>
            </w:tcBorders>
            <w:vAlign w:val="center"/>
            <w:hideMark/>
          </w:tcPr>
          <w:p w14:paraId="6EA3BE2D" w14:textId="77777777" w:rsidR="00856F66" w:rsidRPr="00E31657" w:rsidRDefault="00856F66" w:rsidP="00B24742">
            <w:pPr>
              <w:rPr>
                <w:rFonts w:cs="Arial"/>
                <w:b/>
                <w:bCs/>
                <w:sz w:val="16"/>
                <w:szCs w:val="16"/>
                <w:lang w:val="es-ES_tradnl" w:eastAsia="es-MX"/>
              </w:rPr>
            </w:pPr>
          </w:p>
        </w:tc>
      </w:tr>
      <w:tr w:rsidR="00856F66" w:rsidRPr="00E31657" w14:paraId="621B0FD8" w14:textId="77777777" w:rsidTr="00ED49FA">
        <w:trPr>
          <w:trHeight w:val="690"/>
          <w:jc w:val="center"/>
        </w:trPr>
        <w:tc>
          <w:tcPr>
            <w:tcW w:w="1123" w:type="pct"/>
            <w:gridSpan w:val="2"/>
            <w:vMerge w:val="restart"/>
            <w:tcBorders>
              <w:top w:val="double" w:sz="4" w:space="0" w:color="C00000"/>
            </w:tcBorders>
            <w:tcMar>
              <w:top w:w="30" w:type="dxa"/>
              <w:left w:w="45" w:type="dxa"/>
              <w:bottom w:w="30" w:type="dxa"/>
              <w:right w:w="45" w:type="dxa"/>
            </w:tcMar>
            <w:vAlign w:val="center"/>
            <w:hideMark/>
          </w:tcPr>
          <w:p w14:paraId="5E89DE52"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Viabilizar 1800 hectáreas para el desarrollo de proyectos en la ciudad desde los componentes de la estructura ecológica principal movilidad espacio público revitalización sistema del cuidado vivienda servicios urbanos empleo y productividad que aporten al desarrollo de Bogotá.</w:t>
            </w:r>
          </w:p>
        </w:tc>
        <w:tc>
          <w:tcPr>
            <w:tcW w:w="289" w:type="pct"/>
            <w:vMerge w:val="restart"/>
            <w:tcBorders>
              <w:top w:val="double" w:sz="4" w:space="0" w:color="C00000"/>
            </w:tcBorders>
            <w:tcMar>
              <w:top w:w="30" w:type="dxa"/>
              <w:left w:w="45" w:type="dxa"/>
              <w:bottom w:w="30" w:type="dxa"/>
              <w:right w:w="45" w:type="dxa"/>
            </w:tcMar>
            <w:vAlign w:val="center"/>
            <w:hideMark/>
          </w:tcPr>
          <w:p w14:paraId="6A22CF3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1150,71</w:t>
            </w:r>
            <w:r w:rsidRPr="00E31657">
              <w:rPr>
                <w:rFonts w:cs="Arial"/>
                <w:sz w:val="16"/>
                <w:szCs w:val="16"/>
                <w:lang w:val="es-ES_tradnl" w:eastAsia="es-MX"/>
              </w:rPr>
              <w:br/>
              <w:t>(2024)</w:t>
            </w:r>
          </w:p>
        </w:tc>
        <w:tc>
          <w:tcPr>
            <w:tcW w:w="581" w:type="pct"/>
            <w:gridSpan w:val="2"/>
            <w:vMerge w:val="restart"/>
            <w:tcBorders>
              <w:top w:val="double" w:sz="4" w:space="0" w:color="C00000"/>
            </w:tcBorders>
            <w:tcMar>
              <w:top w:w="30" w:type="dxa"/>
              <w:left w:w="45" w:type="dxa"/>
              <w:bottom w:w="30" w:type="dxa"/>
              <w:right w:w="45" w:type="dxa"/>
            </w:tcMar>
            <w:vAlign w:val="center"/>
            <w:hideMark/>
          </w:tcPr>
          <w:p w14:paraId="54758D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PDDUNCSAB </w:t>
            </w:r>
          </w:p>
        </w:tc>
        <w:tc>
          <w:tcPr>
            <w:tcW w:w="628" w:type="pct"/>
            <w:gridSpan w:val="2"/>
            <w:tcBorders>
              <w:top w:val="double" w:sz="4" w:space="0" w:color="C00000"/>
            </w:tcBorders>
            <w:tcMar>
              <w:top w:w="30" w:type="dxa"/>
              <w:left w:w="45" w:type="dxa"/>
              <w:bottom w:w="30" w:type="dxa"/>
              <w:right w:w="45" w:type="dxa"/>
            </w:tcMar>
            <w:vAlign w:val="center"/>
            <w:hideMark/>
          </w:tcPr>
          <w:p w14:paraId="3CC0BF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254</w:t>
            </w:r>
          </w:p>
        </w:tc>
        <w:tc>
          <w:tcPr>
            <w:tcW w:w="599" w:type="pct"/>
            <w:gridSpan w:val="2"/>
            <w:tcBorders>
              <w:top w:val="double" w:sz="4" w:space="0" w:color="C00000"/>
            </w:tcBorders>
            <w:tcMar>
              <w:top w:w="30" w:type="dxa"/>
              <w:left w:w="45" w:type="dxa"/>
              <w:bottom w:w="30" w:type="dxa"/>
              <w:right w:w="45" w:type="dxa"/>
            </w:tcMar>
            <w:vAlign w:val="center"/>
            <w:hideMark/>
          </w:tcPr>
          <w:p w14:paraId="496F72F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781</w:t>
            </w:r>
          </w:p>
        </w:tc>
        <w:tc>
          <w:tcPr>
            <w:tcW w:w="601" w:type="pct"/>
            <w:gridSpan w:val="2"/>
            <w:tcBorders>
              <w:top w:val="double" w:sz="4" w:space="0" w:color="C00000"/>
            </w:tcBorders>
            <w:tcMar>
              <w:top w:w="30" w:type="dxa"/>
              <w:left w:w="45" w:type="dxa"/>
              <w:bottom w:w="30" w:type="dxa"/>
              <w:right w:w="45" w:type="dxa"/>
            </w:tcMar>
            <w:vAlign w:val="center"/>
            <w:hideMark/>
          </w:tcPr>
          <w:p w14:paraId="5399CAD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621</w:t>
            </w:r>
          </w:p>
        </w:tc>
        <w:tc>
          <w:tcPr>
            <w:tcW w:w="587" w:type="pct"/>
            <w:gridSpan w:val="2"/>
            <w:tcBorders>
              <w:top w:val="double" w:sz="4" w:space="0" w:color="C00000"/>
            </w:tcBorders>
            <w:tcMar>
              <w:top w:w="30" w:type="dxa"/>
              <w:left w:w="45" w:type="dxa"/>
              <w:bottom w:w="30" w:type="dxa"/>
              <w:right w:w="45" w:type="dxa"/>
            </w:tcMar>
            <w:vAlign w:val="center"/>
            <w:hideMark/>
          </w:tcPr>
          <w:p w14:paraId="4E06750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143</w:t>
            </w:r>
          </w:p>
        </w:tc>
        <w:tc>
          <w:tcPr>
            <w:tcW w:w="591" w:type="pct"/>
            <w:vMerge w:val="restart"/>
            <w:tcBorders>
              <w:top w:val="double" w:sz="4" w:space="0" w:color="C00000"/>
            </w:tcBorders>
            <w:tcMar>
              <w:top w:w="30" w:type="dxa"/>
              <w:left w:w="45" w:type="dxa"/>
              <w:bottom w:w="30" w:type="dxa"/>
              <w:right w:w="45" w:type="dxa"/>
            </w:tcMar>
            <w:vAlign w:val="center"/>
            <w:hideMark/>
          </w:tcPr>
          <w:p w14:paraId="68C4D48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31.158.106.458</w:t>
            </w:r>
          </w:p>
        </w:tc>
      </w:tr>
      <w:tr w:rsidR="00856F66" w:rsidRPr="00E31657" w14:paraId="4EC149FB" w14:textId="77777777" w:rsidTr="00ED49FA">
        <w:trPr>
          <w:trHeight w:val="690"/>
          <w:jc w:val="center"/>
        </w:trPr>
        <w:tc>
          <w:tcPr>
            <w:tcW w:w="1123" w:type="pct"/>
            <w:gridSpan w:val="2"/>
            <w:vMerge/>
            <w:tcBorders>
              <w:top w:val="double" w:sz="4" w:space="0" w:color="C00000"/>
            </w:tcBorders>
            <w:vAlign w:val="center"/>
            <w:hideMark/>
          </w:tcPr>
          <w:p w14:paraId="433BBD84" w14:textId="77777777" w:rsidR="00856F66" w:rsidRPr="00E31657" w:rsidRDefault="00856F66" w:rsidP="00B24742">
            <w:pPr>
              <w:rPr>
                <w:rFonts w:cs="Arial"/>
                <w:sz w:val="16"/>
                <w:szCs w:val="16"/>
                <w:lang w:val="es-ES_tradnl" w:eastAsia="es-MX"/>
              </w:rPr>
            </w:pPr>
          </w:p>
        </w:tc>
        <w:tc>
          <w:tcPr>
            <w:tcW w:w="289" w:type="pct"/>
            <w:vMerge/>
            <w:tcBorders>
              <w:top w:val="double" w:sz="4" w:space="0" w:color="C00000"/>
            </w:tcBorders>
            <w:vAlign w:val="center"/>
            <w:hideMark/>
          </w:tcPr>
          <w:p w14:paraId="65E247F1" w14:textId="77777777" w:rsidR="00856F66" w:rsidRPr="00E31657" w:rsidRDefault="00856F66" w:rsidP="00B24742">
            <w:pPr>
              <w:rPr>
                <w:rFonts w:cs="Arial"/>
                <w:sz w:val="16"/>
                <w:szCs w:val="16"/>
                <w:lang w:val="es-ES_tradnl" w:eastAsia="es-MX"/>
              </w:rPr>
            </w:pPr>
          </w:p>
        </w:tc>
        <w:tc>
          <w:tcPr>
            <w:tcW w:w="581" w:type="pct"/>
            <w:gridSpan w:val="2"/>
            <w:vMerge/>
            <w:tcBorders>
              <w:top w:val="double" w:sz="4" w:space="0" w:color="C00000"/>
            </w:tcBorders>
            <w:vAlign w:val="center"/>
            <w:hideMark/>
          </w:tcPr>
          <w:p w14:paraId="34EEE455" w14:textId="77777777" w:rsidR="00856F66" w:rsidRPr="00E31657" w:rsidRDefault="00856F66" w:rsidP="00B24742">
            <w:pPr>
              <w:rPr>
                <w:rFonts w:cs="Arial"/>
                <w:sz w:val="16"/>
                <w:szCs w:val="16"/>
                <w:lang w:val="es-ES_tradnl" w:eastAsia="es-MX"/>
              </w:rPr>
            </w:pPr>
          </w:p>
        </w:tc>
        <w:tc>
          <w:tcPr>
            <w:tcW w:w="628" w:type="pct"/>
            <w:gridSpan w:val="2"/>
            <w:tcBorders>
              <w:top w:val="double" w:sz="4" w:space="0" w:color="C00000"/>
            </w:tcBorders>
            <w:tcMar>
              <w:top w:w="30" w:type="dxa"/>
              <w:left w:w="45" w:type="dxa"/>
              <w:bottom w:w="30" w:type="dxa"/>
              <w:right w:w="45" w:type="dxa"/>
            </w:tcMar>
            <w:vAlign w:val="center"/>
            <w:hideMark/>
          </w:tcPr>
          <w:p w14:paraId="4BBA6D6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8.109.517.109</w:t>
            </w:r>
          </w:p>
        </w:tc>
        <w:tc>
          <w:tcPr>
            <w:tcW w:w="599" w:type="pct"/>
            <w:gridSpan w:val="2"/>
            <w:tcBorders>
              <w:top w:val="double" w:sz="4" w:space="0" w:color="C00000"/>
            </w:tcBorders>
            <w:tcMar>
              <w:top w:w="30" w:type="dxa"/>
              <w:left w:w="45" w:type="dxa"/>
              <w:bottom w:w="30" w:type="dxa"/>
              <w:right w:w="45" w:type="dxa"/>
            </w:tcMar>
            <w:vAlign w:val="center"/>
            <w:hideMark/>
          </w:tcPr>
          <w:p w14:paraId="4A0461D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7.992.569.429</w:t>
            </w:r>
          </w:p>
        </w:tc>
        <w:tc>
          <w:tcPr>
            <w:tcW w:w="601" w:type="pct"/>
            <w:gridSpan w:val="2"/>
            <w:tcBorders>
              <w:top w:val="double" w:sz="4" w:space="0" w:color="C00000"/>
            </w:tcBorders>
            <w:tcMar>
              <w:top w:w="30" w:type="dxa"/>
              <w:left w:w="45" w:type="dxa"/>
              <w:bottom w:w="30" w:type="dxa"/>
              <w:right w:w="45" w:type="dxa"/>
            </w:tcMar>
            <w:vAlign w:val="center"/>
            <w:hideMark/>
          </w:tcPr>
          <w:p w14:paraId="252B13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7.595.922.214</w:t>
            </w:r>
          </w:p>
        </w:tc>
        <w:tc>
          <w:tcPr>
            <w:tcW w:w="587" w:type="pct"/>
            <w:gridSpan w:val="2"/>
            <w:tcBorders>
              <w:top w:val="double" w:sz="4" w:space="0" w:color="C00000"/>
            </w:tcBorders>
            <w:tcMar>
              <w:top w:w="30" w:type="dxa"/>
              <w:left w:w="45" w:type="dxa"/>
              <w:bottom w:w="30" w:type="dxa"/>
              <w:right w:w="45" w:type="dxa"/>
            </w:tcMar>
            <w:vAlign w:val="center"/>
            <w:hideMark/>
          </w:tcPr>
          <w:p w14:paraId="0094587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7.460.097.706</w:t>
            </w:r>
          </w:p>
        </w:tc>
        <w:tc>
          <w:tcPr>
            <w:tcW w:w="591" w:type="pct"/>
            <w:vMerge/>
            <w:tcBorders>
              <w:top w:val="double" w:sz="4" w:space="0" w:color="C00000"/>
            </w:tcBorders>
            <w:vAlign w:val="center"/>
            <w:hideMark/>
          </w:tcPr>
          <w:p w14:paraId="5613C033" w14:textId="77777777" w:rsidR="00856F66" w:rsidRPr="00E31657" w:rsidRDefault="00856F66" w:rsidP="00B24742">
            <w:pPr>
              <w:rPr>
                <w:rFonts w:cs="Arial"/>
                <w:b/>
                <w:bCs/>
                <w:sz w:val="16"/>
                <w:szCs w:val="16"/>
                <w:lang w:val="es-ES_tradnl" w:eastAsia="es-MX"/>
              </w:rPr>
            </w:pPr>
          </w:p>
        </w:tc>
      </w:tr>
      <w:tr w:rsidR="00856F66" w:rsidRPr="00E31657" w14:paraId="3DFEF3FC" w14:textId="77777777" w:rsidTr="00F974BB">
        <w:tblPrEx>
          <w:jc w:val="left"/>
          <w:tblBorders>
            <w:bottom w:val="none" w:sz="0" w:space="0" w:color="auto"/>
          </w:tblBorders>
        </w:tblPrEx>
        <w:trPr>
          <w:trHeight w:val="315"/>
        </w:trPr>
        <w:tc>
          <w:tcPr>
            <w:tcW w:w="0" w:type="auto"/>
            <w:gridSpan w:val="14"/>
            <w:tcBorders>
              <w:top w:val="double" w:sz="4" w:space="0" w:color="C00000"/>
              <w:bottom w:val="double" w:sz="4" w:space="0" w:color="C00000"/>
            </w:tcBorders>
            <w:tcMar>
              <w:top w:w="30" w:type="dxa"/>
              <w:left w:w="45" w:type="dxa"/>
              <w:bottom w:w="30" w:type="dxa"/>
              <w:right w:w="45" w:type="dxa"/>
            </w:tcMar>
            <w:vAlign w:val="center"/>
            <w:hideMark/>
          </w:tcPr>
          <w:p w14:paraId="6840053D" w14:textId="77777777" w:rsidR="00856F66" w:rsidRDefault="00856F66" w:rsidP="00B24742">
            <w:pPr>
              <w:jc w:val="center"/>
              <w:rPr>
                <w:rFonts w:cs="Arial"/>
                <w:b/>
                <w:bCs/>
                <w:color w:val="C00000"/>
                <w:lang w:val="es-ES_tradnl" w:eastAsia="es-MX"/>
              </w:rPr>
            </w:pPr>
          </w:p>
          <w:p w14:paraId="7B15D3F1" w14:textId="77777777" w:rsidR="00856F66" w:rsidRDefault="00856F66" w:rsidP="00B24742">
            <w:pPr>
              <w:jc w:val="center"/>
              <w:rPr>
                <w:rFonts w:cs="Arial"/>
                <w:b/>
                <w:bCs/>
                <w:color w:val="C00000"/>
                <w:lang w:val="es-ES_tradnl" w:eastAsia="es-MX"/>
              </w:rPr>
            </w:pPr>
          </w:p>
          <w:p w14:paraId="0F70BC24" w14:textId="77777777" w:rsidR="00856F66" w:rsidRDefault="00856F66" w:rsidP="00B24742">
            <w:pPr>
              <w:jc w:val="center"/>
              <w:rPr>
                <w:rFonts w:cs="Arial"/>
                <w:b/>
                <w:bCs/>
                <w:color w:val="C00000"/>
                <w:lang w:val="es-ES_tradnl" w:eastAsia="es-MX"/>
              </w:rPr>
            </w:pPr>
          </w:p>
          <w:p w14:paraId="72EE60A8" w14:textId="77777777" w:rsidR="00856F66" w:rsidRPr="00E31657" w:rsidRDefault="00856F66" w:rsidP="00B24742">
            <w:pPr>
              <w:jc w:val="center"/>
              <w:rPr>
                <w:rFonts w:cs="Arial"/>
                <w:color w:val="C00000"/>
                <w:lang w:val="es-ES_tradnl" w:eastAsia="es-MX"/>
              </w:rPr>
            </w:pPr>
            <w:r w:rsidRPr="00E31657">
              <w:rPr>
                <w:rFonts w:cs="Arial"/>
                <w:b/>
                <w:bCs/>
                <w:color w:val="C00000"/>
                <w:lang w:val="es-ES_tradnl" w:eastAsia="es-MX"/>
              </w:rPr>
              <w:t>Programa 24.</w:t>
            </w:r>
            <w:r w:rsidRPr="00E31657">
              <w:rPr>
                <w:rFonts w:cs="Arial"/>
                <w:color w:val="C00000"/>
                <w:lang w:val="es-ES_tradnl" w:eastAsia="es-MX"/>
              </w:rPr>
              <w:t xml:space="preserve"> </w:t>
            </w:r>
            <w:r w:rsidRPr="00E31657">
              <w:rPr>
                <w:rFonts w:cs="Arial"/>
                <w:color w:val="000000" w:themeColor="text1"/>
                <w:lang w:val="es-ES_tradnl" w:eastAsia="es-MX"/>
              </w:rPr>
              <w:t>Revitalización y renovación urbana y rural con inclusión</w:t>
            </w:r>
          </w:p>
        </w:tc>
      </w:tr>
      <w:tr w:rsidR="00856F66" w:rsidRPr="00E31657" w14:paraId="0C0A9D60" w14:textId="77777777" w:rsidTr="00F974BB">
        <w:tblPrEx>
          <w:jc w:val="left"/>
          <w:tblBorders>
            <w:bottom w:val="none" w:sz="0" w:space="0" w:color="auto"/>
          </w:tblBorders>
        </w:tblPrEx>
        <w:trPr>
          <w:trHeight w:val="315"/>
        </w:trPr>
        <w:tc>
          <w:tcPr>
            <w:tcW w:w="0" w:type="auto"/>
            <w:vMerge w:val="restart"/>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8E2D433"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Sector / Metas</w:t>
            </w:r>
          </w:p>
        </w:tc>
        <w:tc>
          <w:tcPr>
            <w:tcW w:w="0" w:type="auto"/>
            <w:gridSpan w:val="13"/>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0F39793"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4C8DFB14" w14:textId="77777777" w:rsidTr="00F974BB">
        <w:tblPrEx>
          <w:jc w:val="left"/>
          <w:tblBorders>
            <w:bottom w:val="none" w:sz="0" w:space="0" w:color="auto"/>
          </w:tblBorders>
        </w:tblPrEx>
        <w:trPr>
          <w:trHeight w:val="315"/>
        </w:trPr>
        <w:tc>
          <w:tcPr>
            <w:tcW w:w="0" w:type="auto"/>
            <w:vMerge/>
            <w:tcBorders>
              <w:top w:val="double" w:sz="4" w:space="0" w:color="C00000"/>
              <w:bottom w:val="double" w:sz="4" w:space="0" w:color="C00000"/>
            </w:tcBorders>
            <w:shd w:val="clear" w:color="auto" w:fill="C00000"/>
            <w:vAlign w:val="center"/>
            <w:hideMark/>
          </w:tcPr>
          <w:p w14:paraId="0E441D7B" w14:textId="77777777" w:rsidR="00856F66" w:rsidRPr="00E31657" w:rsidRDefault="00856F66" w:rsidP="00B24742">
            <w:pPr>
              <w:rPr>
                <w:rFonts w:cs="Arial"/>
                <w:b/>
                <w:bCs/>
                <w:color w:val="FFFFFF"/>
                <w:sz w:val="16"/>
                <w:szCs w:val="16"/>
                <w:lang w:val="es-ES_tradnl" w:eastAsia="es-MX"/>
              </w:rPr>
            </w:pP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662BB49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35BC454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12BA534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111A14F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30A28AA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66AE742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DABA2B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FC2E398" w14:textId="77777777" w:rsidTr="00F974BB">
        <w:tblPrEx>
          <w:jc w:val="left"/>
          <w:tblBorders>
            <w:bottom w:val="none" w:sz="0" w:space="0" w:color="auto"/>
          </w:tblBorders>
        </w:tblPrEx>
        <w:trPr>
          <w:trHeight w:val="315"/>
        </w:trPr>
        <w:tc>
          <w:tcPr>
            <w:tcW w:w="0" w:type="auto"/>
            <w:gridSpan w:val="14"/>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DE61BBB" w14:textId="77777777" w:rsidR="00856F66" w:rsidRPr="00EF34C0" w:rsidRDefault="00856F66" w:rsidP="00EF34C0">
            <w:pPr>
              <w:pStyle w:val="Ttulo"/>
              <w:jc w:val="center"/>
              <w:rPr>
                <w:rFonts w:ascii="Candara" w:eastAsia="Times New Roman" w:hAnsi="Candara"/>
                <w:b/>
                <w:bCs/>
                <w:color w:val="FFFFFF" w:themeColor="background1"/>
                <w:sz w:val="24"/>
                <w:szCs w:val="24"/>
                <w:lang w:val="es-ES_tradnl" w:eastAsia="es-MX"/>
              </w:rPr>
            </w:pPr>
            <w:r w:rsidRPr="00EF34C0">
              <w:rPr>
                <w:rFonts w:ascii="Candara" w:eastAsia="Times New Roman" w:hAnsi="Candara"/>
                <w:b/>
                <w:bCs/>
                <w:color w:val="FFFFFF" w:themeColor="background1"/>
                <w:sz w:val="24"/>
                <w:szCs w:val="24"/>
                <w:lang w:val="es-ES_tradnl" w:eastAsia="es-MX"/>
              </w:rPr>
              <w:t>Cultura recreación y deporte</w:t>
            </w:r>
          </w:p>
        </w:tc>
      </w:tr>
      <w:tr w:rsidR="00856F66" w:rsidRPr="00E31657" w14:paraId="5D1F8FCF" w14:textId="77777777" w:rsidTr="00F974BB">
        <w:tblPrEx>
          <w:jc w:val="left"/>
          <w:tblBorders>
            <w:bottom w:val="none" w:sz="0" w:space="0" w:color="auto"/>
          </w:tblBorders>
        </w:tblPrEx>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2A2386D"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Adecuar y sostener 51 equipamientos culturales propiciando espacios de encuentro para los procesos de innovación de las comunidades y el ejercicio de los derechos culturales de la ciudadanía.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45B915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42</w:t>
            </w:r>
            <w:r w:rsidRPr="00E31657">
              <w:rPr>
                <w:rFonts w:cs="Arial"/>
                <w:sz w:val="16"/>
                <w:szCs w:val="16"/>
                <w:lang w:val="es-ES_tradnl" w:eastAsia="es-MX"/>
              </w:rPr>
              <w:br/>
              <w:t>(2023)</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7E314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Registros administrativos Oficina de Planeación SCRD</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D910D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0B6257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6C74E0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48</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709EEB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317A4F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215.446.915.944</w:t>
            </w:r>
          </w:p>
        </w:tc>
      </w:tr>
      <w:tr w:rsidR="00856F66" w:rsidRPr="00E31657" w14:paraId="713CE48D" w14:textId="77777777" w:rsidTr="00F974BB">
        <w:tblPrEx>
          <w:jc w:val="left"/>
          <w:tblBorders>
            <w:bottom w:val="none" w:sz="0" w:space="0" w:color="auto"/>
          </w:tblBorders>
        </w:tblPrEx>
        <w:trPr>
          <w:trHeight w:val="315"/>
        </w:trPr>
        <w:tc>
          <w:tcPr>
            <w:tcW w:w="0" w:type="auto"/>
            <w:vMerge/>
            <w:tcBorders>
              <w:top w:val="double" w:sz="4" w:space="0" w:color="C00000"/>
              <w:bottom w:val="double" w:sz="4" w:space="0" w:color="C00000"/>
            </w:tcBorders>
            <w:vAlign w:val="center"/>
            <w:hideMark/>
          </w:tcPr>
          <w:p w14:paraId="1EDCE55F"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B5839F1"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22B39085"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DBBFA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65.355.733.690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F76DC1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53.502.774.148</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DE52E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50.037.421.747</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C27531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46.550.986.360</w:t>
            </w:r>
          </w:p>
        </w:tc>
        <w:tc>
          <w:tcPr>
            <w:tcW w:w="0" w:type="auto"/>
            <w:gridSpan w:val="2"/>
            <w:vMerge/>
            <w:tcBorders>
              <w:top w:val="double" w:sz="4" w:space="0" w:color="C00000"/>
              <w:bottom w:val="double" w:sz="4" w:space="0" w:color="C00000"/>
            </w:tcBorders>
            <w:vAlign w:val="center"/>
            <w:hideMark/>
          </w:tcPr>
          <w:p w14:paraId="4BAAC463" w14:textId="77777777" w:rsidR="00856F66" w:rsidRPr="00E31657" w:rsidRDefault="00856F66" w:rsidP="00B24742">
            <w:pPr>
              <w:rPr>
                <w:rFonts w:cs="Arial"/>
                <w:b/>
                <w:bCs/>
                <w:sz w:val="16"/>
                <w:szCs w:val="16"/>
                <w:lang w:val="es-ES_tradnl" w:eastAsia="es-MX"/>
              </w:rPr>
            </w:pPr>
          </w:p>
        </w:tc>
      </w:tr>
      <w:tr w:rsidR="00856F66" w:rsidRPr="00E31657" w14:paraId="19D862D5" w14:textId="77777777" w:rsidTr="00F974BB">
        <w:tblPrEx>
          <w:jc w:val="left"/>
          <w:tblBorders>
            <w:bottom w:val="none" w:sz="0" w:space="0" w:color="auto"/>
          </w:tblBorders>
        </w:tblPrEx>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818E637"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 xml:space="preserve">Apoyar 30 iniciativas de mejoramiento de equipamientos culturales del Distrito </w:t>
            </w:r>
            <w:r w:rsidRPr="00E31657">
              <w:rPr>
                <w:rFonts w:cs="Arial"/>
                <w:sz w:val="16"/>
                <w:szCs w:val="16"/>
                <w:lang w:val="es-ES_tradnl" w:eastAsia="es-MX"/>
              </w:rPr>
              <w:lastRenderedPageBreak/>
              <w:t>Capital con recursos provenientes de la contribución parafiscal para el fortalecimeinto de las artes escénicas (LEP).</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E44A2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17</w:t>
            </w:r>
            <w:r w:rsidRPr="00E31657">
              <w:rPr>
                <w:rFonts w:cs="Arial"/>
                <w:sz w:val="16"/>
                <w:szCs w:val="16"/>
                <w:lang w:val="es-ES_tradnl" w:eastAsia="es-MX"/>
              </w:rPr>
              <w:br/>
              <w:t>(2020-2023)</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A1BC0A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 xml:space="preserve">Actas del Comité distrital de la contribución </w:t>
            </w:r>
            <w:r w:rsidRPr="00E31657">
              <w:rPr>
                <w:rFonts w:cs="Arial"/>
                <w:sz w:val="16"/>
                <w:szCs w:val="16"/>
                <w:lang w:val="es-ES_tradnl" w:eastAsia="es-MX"/>
              </w:rPr>
              <w:lastRenderedPageBreak/>
              <w:t>parafiscal de los espectáculos públicos de las artes escénicas</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5BA95B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6</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20E7F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13EFCB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870D0F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B0C81B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15.197.169.374</w:t>
            </w:r>
          </w:p>
        </w:tc>
      </w:tr>
      <w:tr w:rsidR="00856F66" w:rsidRPr="00E31657" w14:paraId="256C5263" w14:textId="77777777" w:rsidTr="00F974BB">
        <w:tblPrEx>
          <w:jc w:val="left"/>
          <w:tblBorders>
            <w:bottom w:val="none" w:sz="0" w:space="0" w:color="auto"/>
          </w:tblBorders>
        </w:tblPrEx>
        <w:trPr>
          <w:trHeight w:val="315"/>
        </w:trPr>
        <w:tc>
          <w:tcPr>
            <w:tcW w:w="0" w:type="auto"/>
            <w:vMerge/>
            <w:tcBorders>
              <w:top w:val="double" w:sz="4" w:space="0" w:color="C00000"/>
              <w:bottom w:val="double" w:sz="4" w:space="0" w:color="C00000"/>
            </w:tcBorders>
            <w:vAlign w:val="center"/>
            <w:hideMark/>
          </w:tcPr>
          <w:p w14:paraId="1D543EB4"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43F63125"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56C8234B"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6FEDF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3.474.000.000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AD875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3.682.524.272</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D17CE7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3.903.289.660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55811A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4.137.355.442</w:t>
            </w:r>
          </w:p>
        </w:tc>
        <w:tc>
          <w:tcPr>
            <w:tcW w:w="0" w:type="auto"/>
            <w:gridSpan w:val="2"/>
            <w:vMerge/>
            <w:tcBorders>
              <w:top w:val="double" w:sz="4" w:space="0" w:color="C00000"/>
              <w:bottom w:val="double" w:sz="4" w:space="0" w:color="C00000"/>
            </w:tcBorders>
            <w:vAlign w:val="center"/>
            <w:hideMark/>
          </w:tcPr>
          <w:p w14:paraId="1EAB1C60" w14:textId="77777777" w:rsidR="00856F66" w:rsidRPr="00E31657" w:rsidRDefault="00856F66" w:rsidP="00B24742">
            <w:pPr>
              <w:rPr>
                <w:rFonts w:cs="Arial"/>
                <w:b/>
                <w:bCs/>
                <w:sz w:val="16"/>
                <w:szCs w:val="16"/>
                <w:lang w:val="es-ES_tradnl" w:eastAsia="es-MX"/>
              </w:rPr>
            </w:pPr>
          </w:p>
        </w:tc>
      </w:tr>
      <w:tr w:rsidR="00856F66" w:rsidRPr="00E31657" w14:paraId="4AC18240" w14:textId="77777777" w:rsidTr="00F974BB">
        <w:tblPrEx>
          <w:jc w:val="left"/>
          <w:tblBorders>
            <w:bottom w:val="none" w:sz="0" w:space="0" w:color="auto"/>
          </w:tblBorders>
        </w:tblPrEx>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7A16CB1"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Construir y/o adecuar 47 parques y/o equipamientos recreativos y deportivos propiciando espacios de encuentro para las comunidades.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6D39C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w:t>
            </w:r>
            <w:r w:rsidRPr="00E31657">
              <w:rPr>
                <w:rFonts w:cs="Arial"/>
                <w:sz w:val="16"/>
                <w:szCs w:val="16"/>
                <w:lang w:val="es-ES_tradnl" w:eastAsia="es-MX"/>
              </w:rPr>
              <w:br/>
              <w:t>(2023)</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F19E2C0" w14:textId="77777777" w:rsidR="00856F66" w:rsidRPr="00E31657" w:rsidRDefault="00856F66" w:rsidP="00B24742">
            <w:pPr>
              <w:spacing w:after="240"/>
              <w:jc w:val="center"/>
              <w:rPr>
                <w:rFonts w:cs="Arial"/>
                <w:sz w:val="16"/>
                <w:szCs w:val="16"/>
                <w:lang w:val="es-ES_tradnl" w:eastAsia="es-MX"/>
              </w:rPr>
            </w:pPr>
            <w:r w:rsidRPr="00E31657">
              <w:rPr>
                <w:rFonts w:cs="Arial"/>
                <w:sz w:val="16"/>
                <w:szCs w:val="16"/>
                <w:lang w:val="es-ES_tradnl" w:eastAsia="es-MX"/>
              </w:rPr>
              <w:t>SEGPLAN</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F1CB92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7BF768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D6944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A65F26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41167A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213.363.307.306</w:t>
            </w:r>
          </w:p>
        </w:tc>
      </w:tr>
      <w:tr w:rsidR="00856F66" w:rsidRPr="00E31657" w14:paraId="1CD1BE82" w14:textId="77777777" w:rsidTr="00F974BB">
        <w:tblPrEx>
          <w:jc w:val="left"/>
          <w:tblBorders>
            <w:bottom w:val="none" w:sz="0" w:space="0" w:color="auto"/>
          </w:tblBorders>
        </w:tblPrEx>
        <w:trPr>
          <w:trHeight w:val="315"/>
        </w:trPr>
        <w:tc>
          <w:tcPr>
            <w:tcW w:w="0" w:type="auto"/>
            <w:vMerge/>
            <w:tcBorders>
              <w:top w:val="double" w:sz="4" w:space="0" w:color="C00000"/>
              <w:bottom w:val="double" w:sz="4" w:space="0" w:color="C00000"/>
            </w:tcBorders>
            <w:vAlign w:val="center"/>
            <w:hideMark/>
          </w:tcPr>
          <w:p w14:paraId="7CAEA744"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5353C99F"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506AC495"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B04709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16.678.846.000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45FBF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87.378.640.777</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844394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68.282.915.449</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7C55FCF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41.022.905.081</w:t>
            </w:r>
          </w:p>
        </w:tc>
        <w:tc>
          <w:tcPr>
            <w:tcW w:w="0" w:type="auto"/>
            <w:gridSpan w:val="2"/>
            <w:vMerge/>
            <w:tcBorders>
              <w:top w:val="double" w:sz="4" w:space="0" w:color="C00000"/>
              <w:bottom w:val="double" w:sz="4" w:space="0" w:color="C00000"/>
            </w:tcBorders>
            <w:vAlign w:val="center"/>
            <w:hideMark/>
          </w:tcPr>
          <w:p w14:paraId="09D71F20" w14:textId="77777777" w:rsidR="00856F66" w:rsidRPr="00E31657" w:rsidRDefault="00856F66" w:rsidP="00B24742">
            <w:pPr>
              <w:rPr>
                <w:rFonts w:cs="Arial"/>
                <w:b/>
                <w:bCs/>
                <w:sz w:val="16"/>
                <w:szCs w:val="16"/>
                <w:lang w:val="es-ES_tradnl" w:eastAsia="es-MX"/>
              </w:rPr>
            </w:pPr>
          </w:p>
        </w:tc>
      </w:tr>
      <w:tr w:rsidR="00856F66" w:rsidRPr="00E31657" w14:paraId="4731348D" w14:textId="77777777" w:rsidTr="00F974BB">
        <w:tblPrEx>
          <w:jc w:val="left"/>
          <w:tblBorders>
            <w:bottom w:val="none" w:sz="0" w:space="0" w:color="auto"/>
          </w:tblBorders>
        </w:tblPrEx>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5863753"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Desarrollar 5 instrumentos de planeación y gestión orientados a la protección conservación y sostenibilidad del patrimonio natural inmaterial material arqueológico y paleontológico de Bogotá D.C.</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9054A8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r w:rsidRPr="00E31657">
              <w:rPr>
                <w:rFonts w:cs="Arial"/>
                <w:sz w:val="16"/>
                <w:szCs w:val="16"/>
                <w:lang w:val="es-ES_tradnl" w:eastAsia="es-MX"/>
              </w:rPr>
              <w:br/>
              <w:t>(2023)</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B094C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Registros administrativos de los planes operativos anuales de seguimiento a metas</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EC3DA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A9733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5A2155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61AB3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95AB07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18.129.878.110</w:t>
            </w:r>
          </w:p>
        </w:tc>
      </w:tr>
      <w:tr w:rsidR="00856F66" w:rsidRPr="00E31657" w14:paraId="667728E8" w14:textId="77777777" w:rsidTr="00F974BB">
        <w:tblPrEx>
          <w:jc w:val="left"/>
          <w:tblBorders>
            <w:bottom w:val="none" w:sz="0" w:space="0" w:color="auto"/>
          </w:tblBorders>
        </w:tblPrEx>
        <w:trPr>
          <w:trHeight w:val="315"/>
        </w:trPr>
        <w:tc>
          <w:tcPr>
            <w:tcW w:w="0" w:type="auto"/>
            <w:vMerge/>
            <w:tcBorders>
              <w:top w:val="double" w:sz="4" w:space="0" w:color="C00000"/>
              <w:bottom w:val="double" w:sz="4" w:space="0" w:color="C00000"/>
            </w:tcBorders>
            <w:vAlign w:val="center"/>
            <w:hideMark/>
          </w:tcPr>
          <w:p w14:paraId="45B9E535"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79AEFE2"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5DF16B78"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1B4C78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3.734.000.000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F57D70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4.721.359.223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7E0A5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4.933.169.950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02C5D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4.741.348.937</w:t>
            </w:r>
          </w:p>
        </w:tc>
        <w:tc>
          <w:tcPr>
            <w:tcW w:w="0" w:type="auto"/>
            <w:gridSpan w:val="2"/>
            <w:vMerge/>
            <w:tcBorders>
              <w:top w:val="double" w:sz="4" w:space="0" w:color="C00000"/>
              <w:bottom w:val="double" w:sz="4" w:space="0" w:color="C00000"/>
            </w:tcBorders>
            <w:vAlign w:val="center"/>
            <w:hideMark/>
          </w:tcPr>
          <w:p w14:paraId="110ACD6A" w14:textId="77777777" w:rsidR="00856F66" w:rsidRPr="00E31657" w:rsidRDefault="00856F66" w:rsidP="00B24742">
            <w:pPr>
              <w:rPr>
                <w:rFonts w:cs="Arial"/>
                <w:b/>
                <w:bCs/>
                <w:sz w:val="16"/>
                <w:szCs w:val="16"/>
                <w:lang w:val="es-ES_tradnl" w:eastAsia="es-MX"/>
              </w:rPr>
            </w:pPr>
          </w:p>
        </w:tc>
      </w:tr>
      <w:tr w:rsidR="00856F66" w:rsidRPr="00E31657" w14:paraId="62AD7995" w14:textId="77777777" w:rsidTr="00F974BB">
        <w:tblPrEx>
          <w:jc w:val="left"/>
          <w:tblBorders>
            <w:bottom w:val="none" w:sz="0" w:space="0" w:color="auto"/>
          </w:tblBorders>
        </w:tblPrEx>
        <w:trPr>
          <w:trHeight w:val="51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4693E7A"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Entregar un Distrito Creativo en el Bronx construido y en funcionamiento para la revitalización del centro de la ciudad.</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48E7A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90DCCA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Reporte SEGPLAN y reporte de obra de la concesión con RENOBO</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17204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E14520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0,4</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C9AD4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ACA4D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0,2</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E06B72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37.962.277.197</w:t>
            </w:r>
          </w:p>
        </w:tc>
      </w:tr>
      <w:tr w:rsidR="00856F66" w:rsidRPr="00E31657" w14:paraId="11D3B253" w14:textId="77777777" w:rsidTr="00F974BB">
        <w:tblPrEx>
          <w:jc w:val="left"/>
          <w:tblBorders>
            <w:bottom w:val="none" w:sz="0" w:space="0" w:color="auto"/>
          </w:tblBorders>
        </w:tblPrEx>
        <w:trPr>
          <w:trHeight w:val="510"/>
        </w:trPr>
        <w:tc>
          <w:tcPr>
            <w:tcW w:w="0" w:type="auto"/>
            <w:vMerge/>
            <w:tcBorders>
              <w:top w:val="double" w:sz="4" w:space="0" w:color="C00000"/>
              <w:bottom w:val="double" w:sz="4" w:space="0" w:color="C00000"/>
            </w:tcBorders>
            <w:vAlign w:val="center"/>
            <w:hideMark/>
          </w:tcPr>
          <w:p w14:paraId="341E334E"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5A2F994"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584D45C2"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779F6A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6.051.000.000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CF809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17.381.896.117</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2956E3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9.425.959.091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9B194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5.103.421.989</w:t>
            </w:r>
          </w:p>
        </w:tc>
        <w:tc>
          <w:tcPr>
            <w:tcW w:w="0" w:type="auto"/>
            <w:gridSpan w:val="2"/>
            <w:vMerge/>
            <w:tcBorders>
              <w:top w:val="double" w:sz="4" w:space="0" w:color="C00000"/>
              <w:bottom w:val="double" w:sz="4" w:space="0" w:color="C00000"/>
            </w:tcBorders>
            <w:vAlign w:val="center"/>
            <w:hideMark/>
          </w:tcPr>
          <w:p w14:paraId="0C8CD4FD" w14:textId="77777777" w:rsidR="00856F66" w:rsidRPr="00E31657" w:rsidRDefault="00856F66" w:rsidP="00B24742">
            <w:pPr>
              <w:rPr>
                <w:rFonts w:cs="Arial"/>
                <w:b/>
                <w:bCs/>
                <w:sz w:val="16"/>
                <w:szCs w:val="16"/>
                <w:lang w:val="es-ES_tradnl" w:eastAsia="es-MX"/>
              </w:rPr>
            </w:pPr>
          </w:p>
        </w:tc>
      </w:tr>
      <w:tr w:rsidR="00856F66" w:rsidRPr="00E31657" w14:paraId="7BF06A24" w14:textId="77777777" w:rsidTr="00F974BB">
        <w:tblPrEx>
          <w:jc w:val="left"/>
          <w:tblBorders>
            <w:bottom w:val="none" w:sz="0" w:space="0" w:color="auto"/>
          </w:tblBorders>
        </w:tblPrEx>
        <w:trPr>
          <w:trHeight w:val="60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16CC76A"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Realizar 7.000 asistencias técnicas para la protección del patrimonio cultural material de la ciudad en el marco de las estrategias relacionadas con la Estructura Integradora de los Patrimonios.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52AD5E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75C885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3E8126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915EEB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974271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80C8F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4DD617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11.008.521.727</w:t>
            </w:r>
          </w:p>
        </w:tc>
      </w:tr>
      <w:tr w:rsidR="00856F66" w:rsidRPr="00E31657" w14:paraId="1067491B" w14:textId="77777777" w:rsidTr="00F974BB">
        <w:tblPrEx>
          <w:jc w:val="left"/>
          <w:tblBorders>
            <w:bottom w:val="none" w:sz="0" w:space="0" w:color="auto"/>
          </w:tblBorders>
        </w:tblPrEx>
        <w:trPr>
          <w:trHeight w:val="600"/>
        </w:trPr>
        <w:tc>
          <w:tcPr>
            <w:tcW w:w="0" w:type="auto"/>
            <w:vMerge/>
            <w:tcBorders>
              <w:top w:val="double" w:sz="4" w:space="0" w:color="C00000"/>
              <w:bottom w:val="double" w:sz="4" w:space="0" w:color="C00000"/>
            </w:tcBorders>
            <w:vAlign w:val="center"/>
            <w:hideMark/>
          </w:tcPr>
          <w:p w14:paraId="5124E076"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EC3F29A"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0E3EA85C"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4CD7D8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2.723.000.000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A5689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2.657.281.553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4F52A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2.800.452.446</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C5FD03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2.827.787.727</w:t>
            </w:r>
          </w:p>
        </w:tc>
        <w:tc>
          <w:tcPr>
            <w:tcW w:w="0" w:type="auto"/>
            <w:gridSpan w:val="2"/>
            <w:vMerge/>
            <w:tcBorders>
              <w:top w:val="double" w:sz="4" w:space="0" w:color="C00000"/>
              <w:bottom w:val="double" w:sz="4" w:space="0" w:color="C00000"/>
            </w:tcBorders>
            <w:vAlign w:val="center"/>
            <w:hideMark/>
          </w:tcPr>
          <w:p w14:paraId="62C3E64F" w14:textId="77777777" w:rsidR="00856F66" w:rsidRPr="00E31657" w:rsidRDefault="00856F66" w:rsidP="00B24742">
            <w:pPr>
              <w:rPr>
                <w:rFonts w:cs="Arial"/>
                <w:b/>
                <w:bCs/>
                <w:sz w:val="16"/>
                <w:szCs w:val="16"/>
                <w:lang w:val="es-ES_tradnl" w:eastAsia="es-MX"/>
              </w:rPr>
            </w:pPr>
          </w:p>
        </w:tc>
      </w:tr>
      <w:tr w:rsidR="00856F66" w:rsidRPr="00E31657" w14:paraId="07CEDBD0" w14:textId="77777777" w:rsidTr="00F974BB">
        <w:tblPrEx>
          <w:jc w:val="left"/>
          <w:tblBorders>
            <w:bottom w:val="none" w:sz="0" w:space="0" w:color="auto"/>
          </w:tblBorders>
        </w:tblPrEx>
        <w:trPr>
          <w:trHeight w:val="315"/>
        </w:trPr>
        <w:tc>
          <w:tcPr>
            <w:tcW w:w="0" w:type="auto"/>
            <w:gridSpan w:val="14"/>
            <w:tcBorders>
              <w:top w:val="double" w:sz="4" w:space="0" w:color="C00000"/>
              <w:bottom w:val="double" w:sz="4" w:space="0" w:color="C00000"/>
            </w:tcBorders>
            <w:shd w:val="clear" w:color="auto" w:fill="C00000"/>
            <w:tcMar>
              <w:top w:w="30" w:type="dxa"/>
              <w:left w:w="45" w:type="dxa"/>
              <w:bottom w:w="30" w:type="dxa"/>
              <w:right w:w="45" w:type="dxa"/>
            </w:tcMar>
            <w:vAlign w:val="bottom"/>
            <w:hideMark/>
          </w:tcPr>
          <w:p w14:paraId="656C5391"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Hábitat</w:t>
            </w:r>
          </w:p>
        </w:tc>
      </w:tr>
      <w:tr w:rsidR="00856F66" w:rsidRPr="00E31657" w14:paraId="321F8508" w14:textId="77777777" w:rsidTr="00F974BB">
        <w:tblPrEx>
          <w:jc w:val="left"/>
          <w:tblBorders>
            <w:bottom w:val="none" w:sz="0" w:space="0" w:color="auto"/>
          </w:tblBorders>
        </w:tblPrEx>
        <w:trPr>
          <w:trHeight w:val="81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25D370E3"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lastRenderedPageBreak/>
              <w:t>Diseñar e implementar 4 estrategias que promuevan la participación ciudadana en la revitalización y resiliencia de espacios urbanos y rurales a través de la gobernanza colaborativa la gestión e innovación social para un hábitat incluyente.</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B9E826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w:t>
            </w:r>
            <w:r w:rsidRPr="00E31657">
              <w:rPr>
                <w:rFonts w:cs="Arial"/>
                <w:sz w:val="16"/>
                <w:szCs w:val="16"/>
                <w:lang w:val="es-ES_tradnl" w:eastAsia="es-MX"/>
              </w:rPr>
              <w:br/>
              <w:t>(2023)</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AFD0C9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SDHT (Segplan)</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8D8198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55722E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AE21A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F276D1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690F54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16.060.318.339</w:t>
            </w:r>
          </w:p>
        </w:tc>
      </w:tr>
      <w:tr w:rsidR="00856F66" w:rsidRPr="00E31657" w14:paraId="5FCC689C" w14:textId="77777777" w:rsidTr="00F974BB">
        <w:tblPrEx>
          <w:jc w:val="left"/>
          <w:tblBorders>
            <w:bottom w:val="none" w:sz="0" w:space="0" w:color="auto"/>
          </w:tblBorders>
        </w:tblPrEx>
        <w:trPr>
          <w:trHeight w:val="810"/>
        </w:trPr>
        <w:tc>
          <w:tcPr>
            <w:tcW w:w="0" w:type="auto"/>
            <w:vMerge/>
            <w:tcBorders>
              <w:top w:val="double" w:sz="4" w:space="0" w:color="C00000"/>
              <w:bottom w:val="double" w:sz="4" w:space="0" w:color="C00000"/>
            </w:tcBorders>
            <w:vAlign w:val="center"/>
            <w:hideMark/>
          </w:tcPr>
          <w:p w14:paraId="7E3F59B2"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5F61010A"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2771D4BF"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4FB5D6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3.814.000.000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A3A42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3.595.145.631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81DE5E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4.504.665.850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E08D78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4.146.506.859</w:t>
            </w:r>
          </w:p>
        </w:tc>
        <w:tc>
          <w:tcPr>
            <w:tcW w:w="0" w:type="auto"/>
            <w:gridSpan w:val="2"/>
            <w:vMerge/>
            <w:tcBorders>
              <w:top w:val="double" w:sz="4" w:space="0" w:color="C00000"/>
              <w:bottom w:val="double" w:sz="4" w:space="0" w:color="C00000"/>
            </w:tcBorders>
            <w:vAlign w:val="center"/>
            <w:hideMark/>
          </w:tcPr>
          <w:p w14:paraId="64425539" w14:textId="77777777" w:rsidR="00856F66" w:rsidRPr="00E31657" w:rsidRDefault="00856F66" w:rsidP="00B24742">
            <w:pPr>
              <w:rPr>
                <w:rFonts w:cs="Arial"/>
                <w:b/>
                <w:bCs/>
                <w:sz w:val="16"/>
                <w:szCs w:val="16"/>
                <w:lang w:val="es-ES_tradnl" w:eastAsia="es-MX"/>
              </w:rPr>
            </w:pPr>
          </w:p>
        </w:tc>
      </w:tr>
      <w:tr w:rsidR="00856F66" w:rsidRPr="00E31657" w14:paraId="1DFD3888" w14:textId="77777777" w:rsidTr="00F974BB">
        <w:tblPrEx>
          <w:jc w:val="left"/>
          <w:tblBorders>
            <w:bottom w:val="none" w:sz="0" w:space="0" w:color="auto"/>
          </w:tblBorders>
        </w:tblPrEx>
        <w:trPr>
          <w:trHeight w:val="81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FD62102"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Ejecutar 3 proyectos de equipamientos a través del programa de infraestructura urbana.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4BD18A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1,96 (m2 de equipamientos por habitante 2022)</w:t>
            </w:r>
            <w:r w:rsidRPr="00E31657">
              <w:rPr>
                <w:rFonts w:cs="Arial"/>
                <w:sz w:val="16"/>
                <w:szCs w:val="16"/>
                <w:lang w:val="es-ES_tradnl" w:eastAsia="es-MX"/>
              </w:rPr>
              <w:br/>
              <w:t>(2022)</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566963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DTS PSCSS tabla 8</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B9E22A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CA577D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2F2DB3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9D035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3B0BADB"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197.196.887.601</w:t>
            </w:r>
          </w:p>
        </w:tc>
      </w:tr>
      <w:tr w:rsidR="00856F66" w:rsidRPr="00E31657" w14:paraId="7A4CF4BA" w14:textId="77777777" w:rsidTr="00F974BB">
        <w:tblPrEx>
          <w:jc w:val="left"/>
          <w:tblBorders>
            <w:bottom w:val="none" w:sz="0" w:space="0" w:color="auto"/>
          </w:tblBorders>
        </w:tblPrEx>
        <w:trPr>
          <w:trHeight w:val="810"/>
        </w:trPr>
        <w:tc>
          <w:tcPr>
            <w:tcW w:w="0" w:type="auto"/>
            <w:vMerge/>
            <w:tcBorders>
              <w:top w:val="double" w:sz="4" w:space="0" w:color="C00000"/>
              <w:bottom w:val="double" w:sz="4" w:space="0" w:color="C00000"/>
            </w:tcBorders>
            <w:vAlign w:val="center"/>
            <w:hideMark/>
          </w:tcPr>
          <w:p w14:paraId="166E6C23"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5372D12"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50C8C169"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0B0C9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138.070.000.000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941B78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59.126.887.601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92A1D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FADC8C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vMerge/>
            <w:tcBorders>
              <w:top w:val="double" w:sz="4" w:space="0" w:color="C00000"/>
              <w:bottom w:val="double" w:sz="4" w:space="0" w:color="C00000"/>
            </w:tcBorders>
            <w:vAlign w:val="center"/>
            <w:hideMark/>
          </w:tcPr>
          <w:p w14:paraId="78FC18B6" w14:textId="77777777" w:rsidR="00856F66" w:rsidRPr="00E31657" w:rsidRDefault="00856F66" w:rsidP="00B24742">
            <w:pPr>
              <w:rPr>
                <w:rFonts w:cs="Arial"/>
                <w:b/>
                <w:bCs/>
                <w:sz w:val="16"/>
                <w:szCs w:val="16"/>
                <w:lang w:val="es-ES_tradnl" w:eastAsia="es-MX"/>
              </w:rPr>
            </w:pPr>
          </w:p>
        </w:tc>
      </w:tr>
      <w:tr w:rsidR="00856F66" w:rsidRPr="00E31657" w14:paraId="7A5B289B" w14:textId="77777777" w:rsidTr="00F974BB">
        <w:tblPrEx>
          <w:jc w:val="left"/>
          <w:tblBorders>
            <w:bottom w:val="none" w:sz="0" w:space="0" w:color="auto"/>
          </w:tblBorders>
        </w:tblPrEx>
        <w:trPr>
          <w:trHeight w:val="81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5557216"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Estructurar 10 proyectos de renovación y/o desarrollo urbano.</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A06B33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252.915 hogares con déficit habitacional (9%). D</w:t>
            </w:r>
            <w:r>
              <w:rPr>
                <w:rFonts w:cs="Arial"/>
                <w:sz w:val="16"/>
                <w:szCs w:val="16"/>
                <w:lang w:val="es-ES_tradnl" w:eastAsia="es-MX"/>
              </w:rPr>
              <w:t>e</w:t>
            </w:r>
            <w:r w:rsidRPr="00E31657">
              <w:rPr>
                <w:rFonts w:cs="Arial"/>
                <w:sz w:val="16"/>
                <w:szCs w:val="16"/>
                <w:lang w:val="es-ES_tradnl" w:eastAsia="es-MX"/>
              </w:rPr>
              <w:t xml:space="preserve">ficit Cuantitativo (29.774 hogares) </w:t>
            </w:r>
            <w:r w:rsidRPr="00E31657">
              <w:rPr>
                <w:rFonts w:cs="Arial"/>
                <w:sz w:val="16"/>
                <w:szCs w:val="16"/>
                <w:lang w:val="es-ES_tradnl" w:eastAsia="es-MX"/>
              </w:rPr>
              <w:br/>
              <w:t>Déficit Cualitativo (223.141 hogares)</w:t>
            </w:r>
            <w:r w:rsidRPr="00E31657">
              <w:rPr>
                <w:rFonts w:cs="Arial"/>
                <w:sz w:val="16"/>
                <w:szCs w:val="16"/>
                <w:lang w:val="es-ES_tradnl" w:eastAsia="es-MX"/>
              </w:rPr>
              <w:br/>
            </w:r>
            <w:r w:rsidRPr="00E31657">
              <w:rPr>
                <w:rFonts w:cs="Arial"/>
                <w:sz w:val="16"/>
                <w:szCs w:val="16"/>
                <w:lang w:val="es-ES_tradnl" w:eastAsia="es-MX"/>
              </w:rPr>
              <w:br/>
              <w:t xml:space="preserve">1 Actuación </w:t>
            </w:r>
            <w:r w:rsidRPr="00E31657">
              <w:rPr>
                <w:rFonts w:cs="Arial"/>
                <w:sz w:val="16"/>
                <w:szCs w:val="16"/>
                <w:lang w:val="es-ES_tradnl" w:eastAsia="es-MX"/>
              </w:rPr>
              <w:lastRenderedPageBreak/>
              <w:t>Estratégica formulada</w:t>
            </w:r>
            <w:r w:rsidRPr="00E31657">
              <w:rPr>
                <w:rFonts w:cs="Arial"/>
                <w:sz w:val="16"/>
                <w:szCs w:val="16"/>
                <w:lang w:val="es-ES_tradnl" w:eastAsia="es-MX"/>
              </w:rPr>
              <w:br/>
            </w:r>
            <w:r w:rsidRPr="00E31657">
              <w:rPr>
                <w:rFonts w:cs="Arial"/>
                <w:sz w:val="16"/>
                <w:szCs w:val="16"/>
                <w:lang w:val="es-ES_tradnl" w:eastAsia="es-MX"/>
              </w:rPr>
              <w:br/>
              <w:t>(2021)</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E1573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lastRenderedPageBreak/>
              <w:t>SDP (EMB 2021) - DANE</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7ECD8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435BC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C87D4F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201BC6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7A5AFE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151.845.094.347</w:t>
            </w:r>
          </w:p>
        </w:tc>
      </w:tr>
      <w:tr w:rsidR="00856F66" w:rsidRPr="00E31657" w14:paraId="47E29C17" w14:textId="77777777" w:rsidTr="00F974BB">
        <w:tblPrEx>
          <w:jc w:val="left"/>
          <w:tblBorders>
            <w:bottom w:val="none" w:sz="0" w:space="0" w:color="auto"/>
          </w:tblBorders>
        </w:tblPrEx>
        <w:trPr>
          <w:trHeight w:val="810"/>
        </w:trPr>
        <w:tc>
          <w:tcPr>
            <w:tcW w:w="0" w:type="auto"/>
            <w:vMerge/>
            <w:tcBorders>
              <w:top w:val="double" w:sz="4" w:space="0" w:color="C00000"/>
              <w:bottom w:val="double" w:sz="4" w:space="0" w:color="C00000"/>
            </w:tcBorders>
            <w:vAlign w:val="center"/>
            <w:hideMark/>
          </w:tcPr>
          <w:p w14:paraId="1631B8C6"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C8A3E27"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2E7F16D1"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C9B0FB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22.226.600.000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3B5C2E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51.428.646.380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F0219D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41.983.598.831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7EA525D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36.206.249.136</w:t>
            </w:r>
          </w:p>
        </w:tc>
        <w:tc>
          <w:tcPr>
            <w:tcW w:w="0" w:type="auto"/>
            <w:gridSpan w:val="2"/>
            <w:vMerge/>
            <w:tcBorders>
              <w:top w:val="double" w:sz="4" w:space="0" w:color="C00000"/>
              <w:bottom w:val="double" w:sz="4" w:space="0" w:color="C00000"/>
            </w:tcBorders>
            <w:vAlign w:val="center"/>
            <w:hideMark/>
          </w:tcPr>
          <w:p w14:paraId="20AA7F4E" w14:textId="77777777" w:rsidR="00856F66" w:rsidRPr="00E31657" w:rsidRDefault="00856F66" w:rsidP="00B24742">
            <w:pPr>
              <w:rPr>
                <w:rFonts w:cs="Arial"/>
                <w:b/>
                <w:bCs/>
                <w:sz w:val="16"/>
                <w:szCs w:val="16"/>
                <w:lang w:val="es-ES_tradnl" w:eastAsia="es-MX"/>
              </w:rPr>
            </w:pPr>
          </w:p>
        </w:tc>
      </w:tr>
      <w:tr w:rsidR="00856F66" w:rsidRPr="00E31657" w14:paraId="468C7F41" w14:textId="77777777" w:rsidTr="00F974BB">
        <w:tblPrEx>
          <w:jc w:val="left"/>
          <w:tblBorders>
            <w:bottom w:val="none" w:sz="0" w:space="0" w:color="auto"/>
          </w:tblBorders>
        </w:tblPrEx>
        <w:trPr>
          <w:trHeight w:val="81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B8B0681"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Intervenir 1800 Hectáreas a través de los Planes de Intervención para el Mejoramiento Integral del Hábitat (PIMI-Hábitat).</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F856F2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D0557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0F0FB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7E5BD0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367</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3905E6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668</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48342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725</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A9FFBD2"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66.580.977.118</w:t>
            </w:r>
          </w:p>
        </w:tc>
      </w:tr>
      <w:tr w:rsidR="00856F66" w:rsidRPr="00E31657" w14:paraId="4B1901E7" w14:textId="77777777" w:rsidTr="00F974BB">
        <w:tblPrEx>
          <w:jc w:val="left"/>
          <w:tblBorders>
            <w:bottom w:val="none" w:sz="0" w:space="0" w:color="auto"/>
          </w:tblBorders>
        </w:tblPrEx>
        <w:trPr>
          <w:trHeight w:val="810"/>
        </w:trPr>
        <w:tc>
          <w:tcPr>
            <w:tcW w:w="0" w:type="auto"/>
            <w:vMerge/>
            <w:tcBorders>
              <w:top w:val="double" w:sz="4" w:space="0" w:color="C00000"/>
              <w:bottom w:val="double" w:sz="4" w:space="0" w:color="C00000"/>
            </w:tcBorders>
            <w:vAlign w:val="center"/>
            <w:hideMark/>
          </w:tcPr>
          <w:p w14:paraId="16FAC3E5" w14:textId="77777777" w:rsidR="00856F66" w:rsidRPr="00E31657" w:rsidRDefault="00856F66" w:rsidP="00161D97">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D39F585"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238CB42D"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7E8F96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19.929.000.000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6FB533E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9.466.019.417</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594B0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28.720.897.351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448110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8.465.060.349</w:t>
            </w:r>
          </w:p>
        </w:tc>
        <w:tc>
          <w:tcPr>
            <w:tcW w:w="0" w:type="auto"/>
            <w:gridSpan w:val="2"/>
            <w:vMerge/>
            <w:tcBorders>
              <w:top w:val="double" w:sz="4" w:space="0" w:color="C00000"/>
              <w:bottom w:val="double" w:sz="4" w:space="0" w:color="C00000"/>
            </w:tcBorders>
            <w:vAlign w:val="center"/>
            <w:hideMark/>
          </w:tcPr>
          <w:p w14:paraId="5BC2613B" w14:textId="77777777" w:rsidR="00856F66" w:rsidRPr="00E31657" w:rsidRDefault="00856F66" w:rsidP="00B24742">
            <w:pPr>
              <w:rPr>
                <w:rFonts w:cs="Arial"/>
                <w:b/>
                <w:bCs/>
                <w:sz w:val="16"/>
                <w:szCs w:val="16"/>
                <w:lang w:val="es-ES_tradnl" w:eastAsia="es-MX"/>
              </w:rPr>
            </w:pPr>
          </w:p>
        </w:tc>
      </w:tr>
      <w:tr w:rsidR="00856F66" w:rsidRPr="00E31657" w14:paraId="61398169" w14:textId="77777777" w:rsidTr="00F974BB">
        <w:tblPrEx>
          <w:jc w:val="left"/>
          <w:tblBorders>
            <w:bottom w:val="none" w:sz="0" w:space="0" w:color="auto"/>
          </w:tblBorders>
        </w:tblPrEx>
        <w:trPr>
          <w:trHeight w:val="81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96AE339" w14:textId="77777777" w:rsidR="00856F66" w:rsidRPr="00E31657" w:rsidRDefault="00856F66" w:rsidP="00161D97">
            <w:pPr>
              <w:jc w:val="right"/>
              <w:rPr>
                <w:rFonts w:cs="Arial"/>
                <w:sz w:val="16"/>
                <w:szCs w:val="16"/>
                <w:lang w:val="es-ES_tradnl" w:eastAsia="es-MX"/>
              </w:rPr>
            </w:pPr>
            <w:r w:rsidRPr="00E31657">
              <w:rPr>
                <w:rFonts w:cs="Arial"/>
                <w:sz w:val="16"/>
                <w:szCs w:val="16"/>
                <w:lang w:val="es-ES_tradnl" w:eastAsia="es-MX"/>
              </w:rPr>
              <w:t>Intervenir 2 polígonos priorizados de intervención integral de revitalización y mejoramiento de barrios que promuevan la renaturalización y la adaptación al cambio climático</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49BAF3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39CA81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3BE96A8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04A86D4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4C75D5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F8E4D0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12CDD7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266.025.369.121</w:t>
            </w:r>
          </w:p>
        </w:tc>
      </w:tr>
      <w:tr w:rsidR="00856F66" w:rsidRPr="00E31657" w14:paraId="69779912" w14:textId="77777777" w:rsidTr="00F974BB">
        <w:tblPrEx>
          <w:jc w:val="left"/>
          <w:tblBorders>
            <w:bottom w:val="none" w:sz="0" w:space="0" w:color="auto"/>
          </w:tblBorders>
        </w:tblPrEx>
        <w:trPr>
          <w:trHeight w:val="810"/>
        </w:trPr>
        <w:tc>
          <w:tcPr>
            <w:tcW w:w="0" w:type="auto"/>
            <w:vMerge/>
            <w:tcBorders>
              <w:top w:val="double" w:sz="4" w:space="0" w:color="C00000"/>
              <w:bottom w:val="double" w:sz="4" w:space="0" w:color="C00000"/>
            </w:tcBorders>
            <w:vAlign w:val="center"/>
            <w:hideMark/>
          </w:tcPr>
          <w:p w14:paraId="76268F27" w14:textId="77777777" w:rsidR="00856F66" w:rsidRPr="00E31657" w:rsidRDefault="00856F66" w:rsidP="00B2474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404ECE98" w14:textId="77777777" w:rsidR="00856F66" w:rsidRPr="00E31657" w:rsidRDefault="00856F66" w:rsidP="00B24742">
            <w:pPr>
              <w:rPr>
                <w:rFonts w:cs="Arial"/>
                <w:sz w:val="16"/>
                <w:szCs w:val="16"/>
                <w:lang w:val="es-ES_tradnl" w:eastAsia="es-MX"/>
              </w:rPr>
            </w:pPr>
          </w:p>
        </w:tc>
        <w:tc>
          <w:tcPr>
            <w:tcW w:w="0" w:type="auto"/>
            <w:gridSpan w:val="2"/>
            <w:vMerge/>
            <w:tcBorders>
              <w:top w:val="double" w:sz="4" w:space="0" w:color="C00000"/>
              <w:bottom w:val="double" w:sz="4" w:space="0" w:color="C00000"/>
            </w:tcBorders>
            <w:vAlign w:val="center"/>
            <w:hideMark/>
          </w:tcPr>
          <w:p w14:paraId="2A5867C6" w14:textId="77777777" w:rsidR="00856F66" w:rsidRPr="00E31657" w:rsidRDefault="00856F66" w:rsidP="00B24742">
            <w:pPr>
              <w:rPr>
                <w:rFonts w:cs="Arial"/>
                <w:sz w:val="16"/>
                <w:szCs w:val="16"/>
                <w:lang w:val="es-ES_tradnl" w:eastAsia="es-MX"/>
              </w:rPr>
            </w:pP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1C91E6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18.812.000.000</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2444B8F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127.716.504.854</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7B785D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69.766.236.215</w:t>
            </w:r>
          </w:p>
        </w:tc>
        <w:tc>
          <w:tcPr>
            <w:tcW w:w="0" w:type="auto"/>
            <w:gridSpan w:val="2"/>
            <w:tcBorders>
              <w:top w:val="double" w:sz="4" w:space="0" w:color="C00000"/>
              <w:bottom w:val="double" w:sz="4" w:space="0" w:color="C00000"/>
            </w:tcBorders>
            <w:tcMar>
              <w:top w:w="30" w:type="dxa"/>
              <w:left w:w="45" w:type="dxa"/>
              <w:bottom w:w="30" w:type="dxa"/>
              <w:right w:w="45" w:type="dxa"/>
            </w:tcMar>
            <w:vAlign w:val="center"/>
            <w:hideMark/>
          </w:tcPr>
          <w:p w14:paraId="53A8EBA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49.730.628.053</w:t>
            </w:r>
          </w:p>
        </w:tc>
        <w:tc>
          <w:tcPr>
            <w:tcW w:w="0" w:type="auto"/>
            <w:gridSpan w:val="2"/>
            <w:vMerge/>
            <w:tcBorders>
              <w:top w:val="double" w:sz="4" w:space="0" w:color="C00000"/>
              <w:bottom w:val="double" w:sz="4" w:space="0" w:color="C00000"/>
            </w:tcBorders>
            <w:vAlign w:val="center"/>
            <w:hideMark/>
          </w:tcPr>
          <w:p w14:paraId="1265E10E" w14:textId="77777777" w:rsidR="00856F66" w:rsidRPr="00E31657" w:rsidRDefault="00856F66" w:rsidP="00B24742">
            <w:pPr>
              <w:rPr>
                <w:rFonts w:cs="Arial"/>
                <w:b/>
                <w:bCs/>
                <w:sz w:val="16"/>
                <w:szCs w:val="16"/>
                <w:lang w:val="es-ES_tradnl" w:eastAsia="es-MX"/>
              </w:rPr>
            </w:pPr>
          </w:p>
        </w:tc>
      </w:tr>
    </w:tbl>
    <w:p w14:paraId="2C383037" w14:textId="77777777" w:rsidR="00856F66" w:rsidRPr="00E31657" w:rsidRDefault="00856F66">
      <w:pPr>
        <w:rPr>
          <w:sz w:val="16"/>
          <w:szCs w:val="16"/>
          <w:lang w:val="es-ES_tradnl"/>
        </w:rPr>
      </w:pPr>
    </w:p>
    <w:p w14:paraId="029E7E4F" w14:textId="301D4BF0" w:rsidR="00856F66" w:rsidRDefault="00856F66">
      <w:pPr>
        <w:rPr>
          <w:sz w:val="16"/>
          <w:szCs w:val="16"/>
          <w:lang w:val="es-ES_tradnl"/>
        </w:rPr>
      </w:pPr>
    </w:p>
    <w:tbl>
      <w:tblPr>
        <w:tblW w:w="936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629"/>
        <w:gridCol w:w="608"/>
        <w:gridCol w:w="1335"/>
        <w:gridCol w:w="1127"/>
        <w:gridCol w:w="1144"/>
        <w:gridCol w:w="1157"/>
        <w:gridCol w:w="1206"/>
        <w:gridCol w:w="1154"/>
      </w:tblGrid>
      <w:tr w:rsidR="00856F66" w:rsidRPr="00E31657" w14:paraId="594E4F94" w14:textId="77777777" w:rsidTr="00ED49FA">
        <w:trPr>
          <w:trHeight w:val="315"/>
        </w:trPr>
        <w:tc>
          <w:tcPr>
            <w:tcW w:w="0" w:type="auto"/>
            <w:gridSpan w:val="8"/>
            <w:tcMar>
              <w:top w:w="30" w:type="dxa"/>
              <w:left w:w="45" w:type="dxa"/>
              <w:bottom w:w="30" w:type="dxa"/>
              <w:right w:w="45" w:type="dxa"/>
            </w:tcMar>
            <w:vAlign w:val="center"/>
            <w:hideMark/>
          </w:tcPr>
          <w:p w14:paraId="649C3FF4" w14:textId="77777777" w:rsidR="00856F66" w:rsidRPr="00F974BB" w:rsidRDefault="00856F66" w:rsidP="00B24742">
            <w:pPr>
              <w:jc w:val="center"/>
              <w:rPr>
                <w:rFonts w:cs="Arial"/>
                <w:b/>
                <w:bCs/>
                <w:lang w:val="es-ES_tradnl" w:eastAsia="es-MX"/>
              </w:rPr>
            </w:pPr>
            <w:r w:rsidRPr="00F974BB">
              <w:rPr>
                <w:rFonts w:cs="Arial"/>
                <w:b/>
                <w:bCs/>
                <w:color w:val="C00000"/>
                <w:lang w:val="es-ES_tradnl" w:eastAsia="es-MX"/>
              </w:rPr>
              <w:t xml:space="preserve">Programa 25. </w:t>
            </w:r>
            <w:r w:rsidRPr="00F974BB">
              <w:rPr>
                <w:rFonts w:cs="Arial"/>
                <w:lang w:val="es-ES_tradnl" w:eastAsia="es-MX"/>
              </w:rPr>
              <w:t>Aumento de la resiliencia al cambio climático y reducción de la vulnerabilidad</w:t>
            </w:r>
          </w:p>
        </w:tc>
      </w:tr>
      <w:tr w:rsidR="00856F66" w:rsidRPr="00E31657" w14:paraId="3DF69CAE" w14:textId="77777777" w:rsidTr="00ED49FA">
        <w:trPr>
          <w:trHeight w:val="315"/>
        </w:trPr>
        <w:tc>
          <w:tcPr>
            <w:tcW w:w="0" w:type="auto"/>
            <w:vMerge w:val="restart"/>
            <w:shd w:val="clear" w:color="auto" w:fill="C00000"/>
            <w:tcMar>
              <w:top w:w="30" w:type="dxa"/>
              <w:left w:w="45" w:type="dxa"/>
              <w:bottom w:w="30" w:type="dxa"/>
              <w:right w:w="45" w:type="dxa"/>
            </w:tcMar>
            <w:vAlign w:val="center"/>
            <w:hideMark/>
          </w:tcPr>
          <w:p w14:paraId="2C4FB5BC"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08FBC664"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47010755" w14:textId="77777777" w:rsidTr="00ED49FA">
        <w:trPr>
          <w:trHeight w:val="315"/>
        </w:trPr>
        <w:tc>
          <w:tcPr>
            <w:tcW w:w="0" w:type="auto"/>
            <w:vMerge/>
            <w:shd w:val="clear" w:color="auto" w:fill="C00000"/>
            <w:vAlign w:val="center"/>
            <w:hideMark/>
          </w:tcPr>
          <w:p w14:paraId="38E59B73" w14:textId="77777777" w:rsidR="00856F66" w:rsidRPr="00E31657" w:rsidRDefault="00856F66" w:rsidP="00B2474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5B89554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3E988D9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7D7C675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2895691F"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06EE8F20"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08F56F5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4ABCC5E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C9FCB45" w14:textId="77777777" w:rsidTr="00ED49FA">
        <w:trPr>
          <w:trHeight w:val="315"/>
        </w:trPr>
        <w:tc>
          <w:tcPr>
            <w:tcW w:w="0" w:type="auto"/>
            <w:gridSpan w:val="8"/>
            <w:shd w:val="clear" w:color="auto" w:fill="C00000"/>
            <w:tcMar>
              <w:top w:w="30" w:type="dxa"/>
              <w:left w:w="45" w:type="dxa"/>
              <w:bottom w:w="30" w:type="dxa"/>
              <w:right w:w="45" w:type="dxa"/>
            </w:tcMar>
            <w:vAlign w:val="center"/>
            <w:hideMark/>
          </w:tcPr>
          <w:p w14:paraId="0D832E9C"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Ambiente</w:t>
            </w:r>
          </w:p>
        </w:tc>
      </w:tr>
      <w:tr w:rsidR="00856F66" w:rsidRPr="00E31657" w14:paraId="0F3D414A" w14:textId="77777777" w:rsidTr="00ED49FA">
        <w:trPr>
          <w:trHeight w:val="315"/>
        </w:trPr>
        <w:tc>
          <w:tcPr>
            <w:tcW w:w="0" w:type="auto"/>
            <w:vMerge w:val="restart"/>
            <w:tcMar>
              <w:top w:w="30" w:type="dxa"/>
              <w:left w:w="45" w:type="dxa"/>
              <w:bottom w:w="30" w:type="dxa"/>
              <w:right w:w="45" w:type="dxa"/>
            </w:tcMar>
            <w:vAlign w:val="center"/>
            <w:hideMark/>
          </w:tcPr>
          <w:p w14:paraId="1946038A"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Asistir técnicamente 25.000 huertas urbanas en procesos de agricultura urbana.</w:t>
            </w:r>
          </w:p>
        </w:tc>
        <w:tc>
          <w:tcPr>
            <w:tcW w:w="0" w:type="auto"/>
            <w:vMerge w:val="restart"/>
            <w:tcMar>
              <w:top w:w="30" w:type="dxa"/>
              <w:left w:w="45" w:type="dxa"/>
              <w:bottom w:w="30" w:type="dxa"/>
              <w:right w:w="45" w:type="dxa"/>
            </w:tcMar>
            <w:vAlign w:val="center"/>
            <w:hideMark/>
          </w:tcPr>
          <w:p w14:paraId="2E0287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18074</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320771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Jardín Botánico José Celestino Mutis</w:t>
            </w:r>
          </w:p>
        </w:tc>
        <w:tc>
          <w:tcPr>
            <w:tcW w:w="0" w:type="auto"/>
            <w:tcMar>
              <w:top w:w="30" w:type="dxa"/>
              <w:left w:w="45" w:type="dxa"/>
              <w:bottom w:w="30" w:type="dxa"/>
              <w:right w:w="45" w:type="dxa"/>
            </w:tcMar>
            <w:vAlign w:val="center"/>
            <w:hideMark/>
          </w:tcPr>
          <w:p w14:paraId="6290AA2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0" w:type="auto"/>
            <w:tcMar>
              <w:top w:w="30" w:type="dxa"/>
              <w:left w:w="45" w:type="dxa"/>
              <w:bottom w:w="30" w:type="dxa"/>
              <w:right w:w="45" w:type="dxa"/>
            </w:tcMar>
            <w:vAlign w:val="center"/>
            <w:hideMark/>
          </w:tcPr>
          <w:p w14:paraId="62DC3DF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8.000</w:t>
            </w:r>
          </w:p>
        </w:tc>
        <w:tc>
          <w:tcPr>
            <w:tcW w:w="0" w:type="auto"/>
            <w:tcMar>
              <w:top w:w="30" w:type="dxa"/>
              <w:left w:w="45" w:type="dxa"/>
              <w:bottom w:w="30" w:type="dxa"/>
              <w:right w:w="45" w:type="dxa"/>
            </w:tcMar>
            <w:vAlign w:val="center"/>
            <w:hideMark/>
          </w:tcPr>
          <w:p w14:paraId="3642BF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8.000</w:t>
            </w:r>
          </w:p>
        </w:tc>
        <w:tc>
          <w:tcPr>
            <w:tcW w:w="0" w:type="auto"/>
            <w:tcMar>
              <w:top w:w="30" w:type="dxa"/>
              <w:left w:w="45" w:type="dxa"/>
              <w:bottom w:w="30" w:type="dxa"/>
              <w:right w:w="45" w:type="dxa"/>
            </w:tcMar>
            <w:vAlign w:val="center"/>
            <w:hideMark/>
          </w:tcPr>
          <w:p w14:paraId="39BEE1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8.000</w:t>
            </w:r>
          </w:p>
        </w:tc>
        <w:tc>
          <w:tcPr>
            <w:tcW w:w="0" w:type="auto"/>
            <w:vMerge w:val="restart"/>
            <w:tcMar>
              <w:top w:w="30" w:type="dxa"/>
              <w:left w:w="45" w:type="dxa"/>
              <w:bottom w:w="30" w:type="dxa"/>
              <w:right w:w="45" w:type="dxa"/>
            </w:tcMar>
            <w:vAlign w:val="center"/>
            <w:hideMark/>
          </w:tcPr>
          <w:p w14:paraId="6AD52D7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15.433.275.211</w:t>
            </w:r>
          </w:p>
        </w:tc>
      </w:tr>
      <w:tr w:rsidR="00856F66" w:rsidRPr="00E31657" w14:paraId="705CB7CB" w14:textId="77777777" w:rsidTr="00ED49FA">
        <w:trPr>
          <w:trHeight w:val="315"/>
        </w:trPr>
        <w:tc>
          <w:tcPr>
            <w:tcW w:w="0" w:type="auto"/>
            <w:vMerge/>
            <w:vAlign w:val="center"/>
            <w:hideMark/>
          </w:tcPr>
          <w:p w14:paraId="3BFE6376"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293A8CD2" w14:textId="77777777" w:rsidR="00856F66" w:rsidRPr="00E31657" w:rsidRDefault="00856F66" w:rsidP="00B24742">
            <w:pPr>
              <w:rPr>
                <w:rFonts w:cs="Arial"/>
                <w:sz w:val="16"/>
                <w:szCs w:val="16"/>
                <w:lang w:val="es-ES_tradnl" w:eastAsia="es-MX"/>
              </w:rPr>
            </w:pPr>
          </w:p>
        </w:tc>
        <w:tc>
          <w:tcPr>
            <w:tcW w:w="0" w:type="auto"/>
            <w:vMerge/>
            <w:vAlign w:val="center"/>
            <w:hideMark/>
          </w:tcPr>
          <w:p w14:paraId="46391DCB"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1838D5D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1.925.000.000</w:t>
            </w:r>
          </w:p>
        </w:tc>
        <w:tc>
          <w:tcPr>
            <w:tcW w:w="0" w:type="auto"/>
            <w:tcMar>
              <w:top w:w="30" w:type="dxa"/>
              <w:left w:w="45" w:type="dxa"/>
              <w:bottom w:w="30" w:type="dxa"/>
              <w:right w:w="45" w:type="dxa"/>
            </w:tcMar>
            <w:vAlign w:val="center"/>
            <w:hideMark/>
          </w:tcPr>
          <w:p w14:paraId="5770F59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4.636.490.722</w:t>
            </w:r>
          </w:p>
        </w:tc>
        <w:tc>
          <w:tcPr>
            <w:tcW w:w="0" w:type="auto"/>
            <w:tcMar>
              <w:top w:w="30" w:type="dxa"/>
              <w:left w:w="45" w:type="dxa"/>
              <w:bottom w:w="30" w:type="dxa"/>
              <w:right w:w="45" w:type="dxa"/>
            </w:tcMar>
            <w:vAlign w:val="center"/>
            <w:hideMark/>
          </w:tcPr>
          <w:p w14:paraId="238B9E0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4.501.447.302</w:t>
            </w:r>
          </w:p>
        </w:tc>
        <w:tc>
          <w:tcPr>
            <w:tcW w:w="0" w:type="auto"/>
            <w:tcMar>
              <w:top w:w="30" w:type="dxa"/>
              <w:left w:w="45" w:type="dxa"/>
              <w:bottom w:w="30" w:type="dxa"/>
              <w:right w:w="45" w:type="dxa"/>
            </w:tcMar>
            <w:vAlign w:val="center"/>
            <w:hideMark/>
          </w:tcPr>
          <w:p w14:paraId="3E3AD83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4.370.337.187</w:t>
            </w:r>
          </w:p>
        </w:tc>
        <w:tc>
          <w:tcPr>
            <w:tcW w:w="0" w:type="auto"/>
            <w:vMerge/>
            <w:vAlign w:val="center"/>
            <w:hideMark/>
          </w:tcPr>
          <w:p w14:paraId="7284EBF3" w14:textId="77777777" w:rsidR="00856F66" w:rsidRPr="00E31657" w:rsidRDefault="00856F66" w:rsidP="00B24742">
            <w:pPr>
              <w:rPr>
                <w:rFonts w:cs="Arial"/>
                <w:b/>
                <w:bCs/>
                <w:sz w:val="16"/>
                <w:szCs w:val="16"/>
                <w:lang w:val="es-ES_tradnl" w:eastAsia="es-MX"/>
              </w:rPr>
            </w:pPr>
          </w:p>
        </w:tc>
      </w:tr>
      <w:tr w:rsidR="00856F66" w:rsidRPr="00E31657" w14:paraId="0DA93A27" w14:textId="77777777" w:rsidTr="00ED49FA">
        <w:trPr>
          <w:trHeight w:val="315"/>
        </w:trPr>
        <w:tc>
          <w:tcPr>
            <w:tcW w:w="0" w:type="auto"/>
            <w:vMerge w:val="restart"/>
            <w:tcMar>
              <w:top w:w="30" w:type="dxa"/>
              <w:left w:w="45" w:type="dxa"/>
              <w:bottom w:w="30" w:type="dxa"/>
              <w:right w:w="45" w:type="dxa"/>
            </w:tcMar>
            <w:vAlign w:val="center"/>
            <w:hideMark/>
          </w:tcPr>
          <w:p w14:paraId="3003E3F4"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Conservar 2.000 hectáreas de la Estructura Ecológica Principal del D.C.</w:t>
            </w:r>
          </w:p>
        </w:tc>
        <w:tc>
          <w:tcPr>
            <w:tcW w:w="0" w:type="auto"/>
            <w:vMerge w:val="restart"/>
            <w:tcMar>
              <w:top w:w="30" w:type="dxa"/>
              <w:left w:w="45" w:type="dxa"/>
              <w:bottom w:w="30" w:type="dxa"/>
              <w:right w:w="45" w:type="dxa"/>
            </w:tcMar>
            <w:vAlign w:val="center"/>
            <w:hideMark/>
          </w:tcPr>
          <w:p w14:paraId="204CCF3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3DB59CE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7B5178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90</w:t>
            </w:r>
          </w:p>
        </w:tc>
        <w:tc>
          <w:tcPr>
            <w:tcW w:w="0" w:type="auto"/>
            <w:tcMar>
              <w:top w:w="30" w:type="dxa"/>
              <w:left w:w="45" w:type="dxa"/>
              <w:bottom w:w="30" w:type="dxa"/>
              <w:right w:w="45" w:type="dxa"/>
            </w:tcMar>
            <w:vAlign w:val="center"/>
            <w:hideMark/>
          </w:tcPr>
          <w:p w14:paraId="7F7A498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760</w:t>
            </w:r>
          </w:p>
        </w:tc>
        <w:tc>
          <w:tcPr>
            <w:tcW w:w="0" w:type="auto"/>
            <w:tcMar>
              <w:top w:w="30" w:type="dxa"/>
              <w:left w:w="45" w:type="dxa"/>
              <w:bottom w:w="30" w:type="dxa"/>
              <w:right w:w="45" w:type="dxa"/>
            </w:tcMar>
            <w:vAlign w:val="center"/>
            <w:hideMark/>
          </w:tcPr>
          <w:p w14:paraId="11639B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705</w:t>
            </w:r>
          </w:p>
        </w:tc>
        <w:tc>
          <w:tcPr>
            <w:tcW w:w="0" w:type="auto"/>
            <w:tcMar>
              <w:top w:w="30" w:type="dxa"/>
              <w:left w:w="45" w:type="dxa"/>
              <w:bottom w:w="30" w:type="dxa"/>
              <w:right w:w="45" w:type="dxa"/>
            </w:tcMar>
            <w:vAlign w:val="center"/>
            <w:hideMark/>
          </w:tcPr>
          <w:p w14:paraId="354142C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445</w:t>
            </w:r>
          </w:p>
        </w:tc>
        <w:tc>
          <w:tcPr>
            <w:tcW w:w="0" w:type="auto"/>
            <w:vMerge w:val="restart"/>
            <w:tcMar>
              <w:top w:w="30" w:type="dxa"/>
              <w:left w:w="45" w:type="dxa"/>
              <w:bottom w:w="30" w:type="dxa"/>
              <w:right w:w="45" w:type="dxa"/>
            </w:tcMar>
            <w:vAlign w:val="center"/>
            <w:hideMark/>
          </w:tcPr>
          <w:p w14:paraId="23ABB77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80.975.478.538</w:t>
            </w:r>
          </w:p>
        </w:tc>
      </w:tr>
      <w:tr w:rsidR="00856F66" w:rsidRPr="00E31657" w14:paraId="3E47C4F1" w14:textId="77777777" w:rsidTr="00ED49FA">
        <w:trPr>
          <w:trHeight w:val="315"/>
        </w:trPr>
        <w:tc>
          <w:tcPr>
            <w:tcW w:w="0" w:type="auto"/>
            <w:vMerge/>
            <w:vAlign w:val="center"/>
            <w:hideMark/>
          </w:tcPr>
          <w:p w14:paraId="3028A450"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2234691B" w14:textId="77777777" w:rsidR="00856F66" w:rsidRPr="00E31657" w:rsidRDefault="00856F66" w:rsidP="00B24742">
            <w:pPr>
              <w:rPr>
                <w:rFonts w:cs="Arial"/>
                <w:sz w:val="16"/>
                <w:szCs w:val="16"/>
                <w:lang w:val="es-ES_tradnl" w:eastAsia="es-MX"/>
              </w:rPr>
            </w:pPr>
          </w:p>
        </w:tc>
        <w:tc>
          <w:tcPr>
            <w:tcW w:w="0" w:type="auto"/>
            <w:vMerge/>
            <w:vAlign w:val="center"/>
            <w:hideMark/>
          </w:tcPr>
          <w:p w14:paraId="4FB0F4B1"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52A819D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32.331.950.780</w:t>
            </w:r>
          </w:p>
        </w:tc>
        <w:tc>
          <w:tcPr>
            <w:tcW w:w="0" w:type="auto"/>
            <w:tcMar>
              <w:top w:w="30" w:type="dxa"/>
              <w:left w:w="45" w:type="dxa"/>
              <w:bottom w:w="30" w:type="dxa"/>
              <w:right w:w="45" w:type="dxa"/>
            </w:tcMar>
            <w:vAlign w:val="center"/>
            <w:hideMark/>
          </w:tcPr>
          <w:p w14:paraId="15F545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14.353.642.490</w:t>
            </w:r>
          </w:p>
        </w:tc>
        <w:tc>
          <w:tcPr>
            <w:tcW w:w="0" w:type="auto"/>
            <w:tcMar>
              <w:top w:w="30" w:type="dxa"/>
              <w:left w:w="45" w:type="dxa"/>
              <w:bottom w:w="30" w:type="dxa"/>
              <w:right w:w="45" w:type="dxa"/>
            </w:tcMar>
            <w:vAlign w:val="center"/>
            <w:hideMark/>
          </w:tcPr>
          <w:p w14:paraId="7D6E556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23.249.475.945</w:t>
            </w:r>
          </w:p>
        </w:tc>
        <w:tc>
          <w:tcPr>
            <w:tcW w:w="0" w:type="auto"/>
            <w:tcMar>
              <w:top w:w="30" w:type="dxa"/>
              <w:left w:w="45" w:type="dxa"/>
              <w:bottom w:w="30" w:type="dxa"/>
              <w:right w:w="45" w:type="dxa"/>
            </w:tcMar>
            <w:vAlign w:val="center"/>
            <w:hideMark/>
          </w:tcPr>
          <w:p w14:paraId="0CD04B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11.040.409.323</w:t>
            </w:r>
          </w:p>
        </w:tc>
        <w:tc>
          <w:tcPr>
            <w:tcW w:w="0" w:type="auto"/>
            <w:vMerge/>
            <w:vAlign w:val="center"/>
            <w:hideMark/>
          </w:tcPr>
          <w:p w14:paraId="2DDE2540" w14:textId="77777777" w:rsidR="00856F66" w:rsidRPr="00E31657" w:rsidRDefault="00856F66" w:rsidP="00B24742">
            <w:pPr>
              <w:rPr>
                <w:rFonts w:cs="Arial"/>
                <w:b/>
                <w:bCs/>
                <w:sz w:val="16"/>
                <w:szCs w:val="16"/>
                <w:lang w:val="es-ES_tradnl" w:eastAsia="es-MX"/>
              </w:rPr>
            </w:pPr>
          </w:p>
        </w:tc>
      </w:tr>
      <w:tr w:rsidR="00856F66" w:rsidRPr="00E31657" w14:paraId="2FB78CD8" w14:textId="77777777" w:rsidTr="00ED49FA">
        <w:trPr>
          <w:trHeight w:val="315"/>
        </w:trPr>
        <w:tc>
          <w:tcPr>
            <w:tcW w:w="0" w:type="auto"/>
            <w:vMerge w:val="restart"/>
            <w:tcMar>
              <w:top w:w="30" w:type="dxa"/>
              <w:left w:w="45" w:type="dxa"/>
              <w:bottom w:w="30" w:type="dxa"/>
              <w:right w:w="45" w:type="dxa"/>
            </w:tcMar>
            <w:vAlign w:val="center"/>
            <w:hideMark/>
          </w:tcPr>
          <w:p w14:paraId="625B3055"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Consolidar 5 bosques urbanos como aporte al mejoramiento de coberturas vegetales.</w:t>
            </w:r>
          </w:p>
        </w:tc>
        <w:tc>
          <w:tcPr>
            <w:tcW w:w="0" w:type="auto"/>
            <w:vMerge w:val="restart"/>
            <w:tcMar>
              <w:top w:w="30" w:type="dxa"/>
              <w:left w:w="45" w:type="dxa"/>
              <w:bottom w:w="30" w:type="dxa"/>
              <w:right w:w="45" w:type="dxa"/>
            </w:tcMar>
            <w:vAlign w:val="center"/>
            <w:hideMark/>
          </w:tcPr>
          <w:p w14:paraId="5F5A24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2035BF2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SIGAU</w:t>
            </w:r>
          </w:p>
        </w:tc>
        <w:tc>
          <w:tcPr>
            <w:tcW w:w="0" w:type="auto"/>
            <w:tcMar>
              <w:top w:w="30" w:type="dxa"/>
              <w:left w:w="45" w:type="dxa"/>
              <w:bottom w:w="30" w:type="dxa"/>
              <w:right w:w="45" w:type="dxa"/>
            </w:tcMar>
            <w:vAlign w:val="center"/>
            <w:hideMark/>
          </w:tcPr>
          <w:p w14:paraId="48F3E1F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4F2F7D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6BF5D06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50490F3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w:t>
            </w:r>
          </w:p>
        </w:tc>
        <w:tc>
          <w:tcPr>
            <w:tcW w:w="0" w:type="auto"/>
            <w:vMerge w:val="restart"/>
            <w:tcMar>
              <w:top w:w="30" w:type="dxa"/>
              <w:left w:w="45" w:type="dxa"/>
              <w:bottom w:w="30" w:type="dxa"/>
              <w:right w:w="45" w:type="dxa"/>
            </w:tcMar>
            <w:vAlign w:val="center"/>
            <w:hideMark/>
          </w:tcPr>
          <w:p w14:paraId="1DD92D9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9.785.145.124</w:t>
            </w:r>
          </w:p>
        </w:tc>
      </w:tr>
      <w:tr w:rsidR="00856F66" w:rsidRPr="00E31657" w14:paraId="26CE0D55" w14:textId="77777777" w:rsidTr="00ED49FA">
        <w:trPr>
          <w:trHeight w:val="315"/>
        </w:trPr>
        <w:tc>
          <w:tcPr>
            <w:tcW w:w="0" w:type="auto"/>
            <w:vMerge/>
            <w:vAlign w:val="center"/>
            <w:hideMark/>
          </w:tcPr>
          <w:p w14:paraId="2FA305C6"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1C214576" w14:textId="77777777" w:rsidR="00856F66" w:rsidRPr="00E31657" w:rsidRDefault="00856F66" w:rsidP="00B24742">
            <w:pPr>
              <w:rPr>
                <w:rFonts w:cs="Arial"/>
                <w:sz w:val="16"/>
                <w:szCs w:val="16"/>
                <w:lang w:val="es-ES_tradnl" w:eastAsia="es-MX"/>
              </w:rPr>
            </w:pPr>
          </w:p>
        </w:tc>
        <w:tc>
          <w:tcPr>
            <w:tcW w:w="0" w:type="auto"/>
            <w:vMerge/>
            <w:vAlign w:val="center"/>
            <w:hideMark/>
          </w:tcPr>
          <w:p w14:paraId="4372931D"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1D8291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350.000.000</w:t>
            </w:r>
          </w:p>
        </w:tc>
        <w:tc>
          <w:tcPr>
            <w:tcW w:w="0" w:type="auto"/>
            <w:tcMar>
              <w:top w:w="30" w:type="dxa"/>
              <w:left w:w="45" w:type="dxa"/>
              <w:bottom w:w="30" w:type="dxa"/>
              <w:right w:w="45" w:type="dxa"/>
            </w:tcMar>
            <w:vAlign w:val="center"/>
            <w:hideMark/>
          </w:tcPr>
          <w:p w14:paraId="3520769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2.434.339.282</w:t>
            </w:r>
          </w:p>
        </w:tc>
        <w:tc>
          <w:tcPr>
            <w:tcW w:w="0" w:type="auto"/>
            <w:tcMar>
              <w:top w:w="30" w:type="dxa"/>
              <w:left w:w="45" w:type="dxa"/>
              <w:bottom w:w="30" w:type="dxa"/>
              <w:right w:w="45" w:type="dxa"/>
            </w:tcMar>
            <w:vAlign w:val="center"/>
            <w:hideMark/>
          </w:tcPr>
          <w:p w14:paraId="397312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3.676.124.046</w:t>
            </w:r>
          </w:p>
        </w:tc>
        <w:tc>
          <w:tcPr>
            <w:tcW w:w="0" w:type="auto"/>
            <w:tcMar>
              <w:top w:w="30" w:type="dxa"/>
              <w:left w:w="45" w:type="dxa"/>
              <w:bottom w:w="30" w:type="dxa"/>
              <w:right w:w="45" w:type="dxa"/>
            </w:tcMar>
            <w:vAlign w:val="center"/>
            <w:hideMark/>
          </w:tcPr>
          <w:p w14:paraId="0E91960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3.324.681.797</w:t>
            </w:r>
          </w:p>
        </w:tc>
        <w:tc>
          <w:tcPr>
            <w:tcW w:w="0" w:type="auto"/>
            <w:vMerge/>
            <w:vAlign w:val="center"/>
            <w:hideMark/>
          </w:tcPr>
          <w:p w14:paraId="02342DCF" w14:textId="77777777" w:rsidR="00856F66" w:rsidRPr="00E31657" w:rsidRDefault="00856F66" w:rsidP="00B24742">
            <w:pPr>
              <w:rPr>
                <w:rFonts w:cs="Arial"/>
                <w:b/>
                <w:bCs/>
                <w:sz w:val="16"/>
                <w:szCs w:val="16"/>
                <w:lang w:val="es-ES_tradnl" w:eastAsia="es-MX"/>
              </w:rPr>
            </w:pPr>
          </w:p>
        </w:tc>
      </w:tr>
      <w:tr w:rsidR="00856F66" w:rsidRPr="00E31657" w14:paraId="686D99E9" w14:textId="77777777" w:rsidTr="00ED49FA">
        <w:trPr>
          <w:trHeight w:val="315"/>
        </w:trPr>
        <w:tc>
          <w:tcPr>
            <w:tcW w:w="0" w:type="auto"/>
            <w:vMerge w:val="restart"/>
            <w:tcMar>
              <w:top w:w="30" w:type="dxa"/>
              <w:left w:w="45" w:type="dxa"/>
              <w:bottom w:w="30" w:type="dxa"/>
              <w:right w:w="45" w:type="dxa"/>
            </w:tcMar>
            <w:vAlign w:val="center"/>
            <w:hideMark/>
          </w:tcPr>
          <w:p w14:paraId="49E23306"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Desarrollar una (1) estrategia de renovación urbana verde con coberturas vegetales biodiversas.</w:t>
            </w:r>
          </w:p>
        </w:tc>
        <w:tc>
          <w:tcPr>
            <w:tcW w:w="0" w:type="auto"/>
            <w:vMerge w:val="restart"/>
            <w:tcMar>
              <w:top w:w="30" w:type="dxa"/>
              <w:left w:w="45" w:type="dxa"/>
              <w:bottom w:w="30" w:type="dxa"/>
              <w:right w:w="45" w:type="dxa"/>
            </w:tcMar>
            <w:vAlign w:val="center"/>
            <w:hideMark/>
          </w:tcPr>
          <w:p w14:paraId="05CC400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07C208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Jardín Botánico José Celestino Mutis</w:t>
            </w:r>
          </w:p>
        </w:tc>
        <w:tc>
          <w:tcPr>
            <w:tcW w:w="0" w:type="auto"/>
            <w:tcMar>
              <w:top w:w="30" w:type="dxa"/>
              <w:left w:w="45" w:type="dxa"/>
              <w:bottom w:w="30" w:type="dxa"/>
              <w:right w:w="45" w:type="dxa"/>
            </w:tcMar>
            <w:vAlign w:val="center"/>
            <w:hideMark/>
          </w:tcPr>
          <w:p w14:paraId="39CD88F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w:t>
            </w:r>
          </w:p>
        </w:tc>
        <w:tc>
          <w:tcPr>
            <w:tcW w:w="0" w:type="auto"/>
            <w:tcMar>
              <w:top w:w="30" w:type="dxa"/>
              <w:left w:w="45" w:type="dxa"/>
              <w:bottom w:w="30" w:type="dxa"/>
              <w:right w:w="45" w:type="dxa"/>
            </w:tcMar>
            <w:vAlign w:val="center"/>
            <w:hideMark/>
          </w:tcPr>
          <w:p w14:paraId="1D0C63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7F5F0F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40</w:t>
            </w:r>
          </w:p>
        </w:tc>
        <w:tc>
          <w:tcPr>
            <w:tcW w:w="0" w:type="auto"/>
            <w:tcMar>
              <w:top w:w="30" w:type="dxa"/>
              <w:left w:w="45" w:type="dxa"/>
              <w:bottom w:w="30" w:type="dxa"/>
              <w:right w:w="45" w:type="dxa"/>
            </w:tcMar>
            <w:vAlign w:val="center"/>
            <w:hideMark/>
          </w:tcPr>
          <w:p w14:paraId="7CE112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w:t>
            </w:r>
          </w:p>
        </w:tc>
        <w:tc>
          <w:tcPr>
            <w:tcW w:w="0" w:type="auto"/>
            <w:vMerge w:val="restart"/>
            <w:tcMar>
              <w:top w:w="30" w:type="dxa"/>
              <w:left w:w="45" w:type="dxa"/>
              <w:bottom w:w="30" w:type="dxa"/>
              <w:right w:w="45" w:type="dxa"/>
            </w:tcMar>
            <w:vAlign w:val="center"/>
            <w:hideMark/>
          </w:tcPr>
          <w:p w14:paraId="6189397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15.606.984.529</w:t>
            </w:r>
          </w:p>
        </w:tc>
      </w:tr>
      <w:tr w:rsidR="00856F66" w:rsidRPr="00E31657" w14:paraId="293CE6CF" w14:textId="77777777" w:rsidTr="00ED49FA">
        <w:trPr>
          <w:trHeight w:val="315"/>
        </w:trPr>
        <w:tc>
          <w:tcPr>
            <w:tcW w:w="0" w:type="auto"/>
            <w:vMerge/>
            <w:vAlign w:val="center"/>
            <w:hideMark/>
          </w:tcPr>
          <w:p w14:paraId="4FB67522"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25B86C00" w14:textId="77777777" w:rsidR="00856F66" w:rsidRPr="00E31657" w:rsidRDefault="00856F66" w:rsidP="00B24742">
            <w:pPr>
              <w:rPr>
                <w:rFonts w:cs="Arial"/>
                <w:sz w:val="16"/>
                <w:szCs w:val="16"/>
                <w:lang w:val="es-ES_tradnl" w:eastAsia="es-MX"/>
              </w:rPr>
            </w:pPr>
          </w:p>
        </w:tc>
        <w:tc>
          <w:tcPr>
            <w:tcW w:w="0" w:type="auto"/>
            <w:vMerge/>
            <w:vAlign w:val="center"/>
            <w:hideMark/>
          </w:tcPr>
          <w:p w14:paraId="2F13FCE4"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CD975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1.288.792.474</w:t>
            </w:r>
          </w:p>
        </w:tc>
        <w:tc>
          <w:tcPr>
            <w:tcW w:w="0" w:type="auto"/>
            <w:tcMar>
              <w:top w:w="30" w:type="dxa"/>
              <w:left w:w="45" w:type="dxa"/>
              <w:bottom w:w="30" w:type="dxa"/>
              <w:right w:w="45" w:type="dxa"/>
            </w:tcMar>
            <w:vAlign w:val="center"/>
            <w:hideMark/>
          </w:tcPr>
          <w:p w14:paraId="2D8AB01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4.458.484.537</w:t>
            </w:r>
          </w:p>
        </w:tc>
        <w:tc>
          <w:tcPr>
            <w:tcW w:w="0" w:type="auto"/>
            <w:tcMar>
              <w:top w:w="30" w:type="dxa"/>
              <w:left w:w="45" w:type="dxa"/>
              <w:bottom w:w="30" w:type="dxa"/>
              <w:right w:w="45" w:type="dxa"/>
            </w:tcMar>
            <w:vAlign w:val="center"/>
            <w:hideMark/>
          </w:tcPr>
          <w:p w14:paraId="3C924D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4.328.625.764</w:t>
            </w:r>
          </w:p>
        </w:tc>
        <w:tc>
          <w:tcPr>
            <w:tcW w:w="0" w:type="auto"/>
            <w:tcMar>
              <w:top w:w="30" w:type="dxa"/>
              <w:left w:w="45" w:type="dxa"/>
              <w:bottom w:w="30" w:type="dxa"/>
              <w:right w:w="45" w:type="dxa"/>
            </w:tcMar>
            <w:vAlign w:val="center"/>
            <w:hideMark/>
          </w:tcPr>
          <w:p w14:paraId="53AB7E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5.531.081.754</w:t>
            </w:r>
          </w:p>
        </w:tc>
        <w:tc>
          <w:tcPr>
            <w:tcW w:w="0" w:type="auto"/>
            <w:vMerge/>
            <w:vAlign w:val="center"/>
            <w:hideMark/>
          </w:tcPr>
          <w:p w14:paraId="751B0933" w14:textId="77777777" w:rsidR="00856F66" w:rsidRPr="00E31657" w:rsidRDefault="00856F66" w:rsidP="00B24742">
            <w:pPr>
              <w:rPr>
                <w:rFonts w:cs="Arial"/>
                <w:b/>
                <w:bCs/>
                <w:sz w:val="16"/>
                <w:szCs w:val="16"/>
                <w:lang w:val="es-ES_tradnl" w:eastAsia="es-MX"/>
              </w:rPr>
            </w:pPr>
          </w:p>
        </w:tc>
      </w:tr>
      <w:tr w:rsidR="00856F66" w:rsidRPr="00E31657" w14:paraId="47D6996D" w14:textId="77777777" w:rsidTr="00ED49FA">
        <w:trPr>
          <w:trHeight w:val="315"/>
        </w:trPr>
        <w:tc>
          <w:tcPr>
            <w:tcW w:w="0" w:type="auto"/>
            <w:vMerge w:val="restart"/>
            <w:tcMar>
              <w:top w:w="30" w:type="dxa"/>
              <w:left w:w="45" w:type="dxa"/>
              <w:bottom w:w="30" w:type="dxa"/>
              <w:right w:w="45" w:type="dxa"/>
            </w:tcMar>
            <w:vAlign w:val="center"/>
            <w:hideMark/>
          </w:tcPr>
          <w:p w14:paraId="206F61A7"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Gestionar las 32 áreas protegidas del orden distrital</w:t>
            </w:r>
          </w:p>
        </w:tc>
        <w:tc>
          <w:tcPr>
            <w:tcW w:w="0" w:type="auto"/>
            <w:vMerge w:val="restart"/>
            <w:tcMar>
              <w:top w:w="30" w:type="dxa"/>
              <w:left w:w="45" w:type="dxa"/>
              <w:bottom w:w="30" w:type="dxa"/>
              <w:right w:w="45" w:type="dxa"/>
            </w:tcMar>
            <w:vAlign w:val="center"/>
            <w:hideMark/>
          </w:tcPr>
          <w:p w14:paraId="6C01FDF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2378AC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67788E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w:t>
            </w:r>
          </w:p>
        </w:tc>
        <w:tc>
          <w:tcPr>
            <w:tcW w:w="0" w:type="auto"/>
            <w:tcMar>
              <w:top w:w="30" w:type="dxa"/>
              <w:left w:w="45" w:type="dxa"/>
              <w:bottom w:w="30" w:type="dxa"/>
              <w:right w:w="45" w:type="dxa"/>
            </w:tcMar>
            <w:vAlign w:val="center"/>
            <w:hideMark/>
          </w:tcPr>
          <w:p w14:paraId="16EE59A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w:t>
            </w:r>
          </w:p>
        </w:tc>
        <w:tc>
          <w:tcPr>
            <w:tcW w:w="0" w:type="auto"/>
            <w:tcMar>
              <w:top w:w="30" w:type="dxa"/>
              <w:left w:w="45" w:type="dxa"/>
              <w:bottom w:w="30" w:type="dxa"/>
              <w:right w:w="45" w:type="dxa"/>
            </w:tcMar>
            <w:vAlign w:val="center"/>
            <w:hideMark/>
          </w:tcPr>
          <w:p w14:paraId="50F1EF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w:t>
            </w:r>
          </w:p>
        </w:tc>
        <w:tc>
          <w:tcPr>
            <w:tcW w:w="0" w:type="auto"/>
            <w:tcMar>
              <w:top w:w="30" w:type="dxa"/>
              <w:left w:w="45" w:type="dxa"/>
              <w:bottom w:w="30" w:type="dxa"/>
              <w:right w:w="45" w:type="dxa"/>
            </w:tcMar>
            <w:vAlign w:val="center"/>
            <w:hideMark/>
          </w:tcPr>
          <w:p w14:paraId="6C7906F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32</w:t>
            </w:r>
          </w:p>
        </w:tc>
        <w:tc>
          <w:tcPr>
            <w:tcW w:w="0" w:type="auto"/>
            <w:vMerge w:val="restart"/>
            <w:tcMar>
              <w:top w:w="30" w:type="dxa"/>
              <w:left w:w="45" w:type="dxa"/>
              <w:bottom w:w="30" w:type="dxa"/>
              <w:right w:w="45" w:type="dxa"/>
            </w:tcMar>
            <w:vAlign w:val="center"/>
            <w:hideMark/>
          </w:tcPr>
          <w:p w14:paraId="7A0C604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115.485.300.111</w:t>
            </w:r>
          </w:p>
        </w:tc>
      </w:tr>
      <w:tr w:rsidR="00856F66" w:rsidRPr="00E31657" w14:paraId="3A5C85F4" w14:textId="77777777" w:rsidTr="00ED49FA">
        <w:trPr>
          <w:trHeight w:val="315"/>
        </w:trPr>
        <w:tc>
          <w:tcPr>
            <w:tcW w:w="0" w:type="auto"/>
            <w:vMerge/>
            <w:vAlign w:val="center"/>
            <w:hideMark/>
          </w:tcPr>
          <w:p w14:paraId="0EC8BA66"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45A39FB0" w14:textId="77777777" w:rsidR="00856F66" w:rsidRPr="00E31657" w:rsidRDefault="00856F66" w:rsidP="00B24742">
            <w:pPr>
              <w:rPr>
                <w:rFonts w:cs="Arial"/>
                <w:sz w:val="16"/>
                <w:szCs w:val="16"/>
                <w:lang w:val="es-ES_tradnl" w:eastAsia="es-MX"/>
              </w:rPr>
            </w:pPr>
          </w:p>
        </w:tc>
        <w:tc>
          <w:tcPr>
            <w:tcW w:w="0" w:type="auto"/>
            <w:vMerge/>
            <w:vAlign w:val="center"/>
            <w:hideMark/>
          </w:tcPr>
          <w:p w14:paraId="31320B77"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67EE96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39.313.015.319</w:t>
            </w:r>
          </w:p>
        </w:tc>
        <w:tc>
          <w:tcPr>
            <w:tcW w:w="0" w:type="auto"/>
            <w:tcMar>
              <w:top w:w="30" w:type="dxa"/>
              <w:left w:w="45" w:type="dxa"/>
              <w:bottom w:w="30" w:type="dxa"/>
              <w:right w:w="45" w:type="dxa"/>
            </w:tcMar>
            <w:vAlign w:val="center"/>
            <w:hideMark/>
          </w:tcPr>
          <w:p w14:paraId="471502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24.704.455.668</w:t>
            </w:r>
          </w:p>
        </w:tc>
        <w:tc>
          <w:tcPr>
            <w:tcW w:w="0" w:type="auto"/>
            <w:tcMar>
              <w:top w:w="30" w:type="dxa"/>
              <w:left w:w="45" w:type="dxa"/>
              <w:bottom w:w="30" w:type="dxa"/>
              <w:right w:w="45" w:type="dxa"/>
            </w:tcMar>
            <w:vAlign w:val="center"/>
            <w:hideMark/>
          </w:tcPr>
          <w:p w14:paraId="0C150B3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25.511.438.601</w:t>
            </w:r>
          </w:p>
        </w:tc>
        <w:tc>
          <w:tcPr>
            <w:tcW w:w="0" w:type="auto"/>
            <w:tcMar>
              <w:top w:w="30" w:type="dxa"/>
              <w:left w:w="45" w:type="dxa"/>
              <w:bottom w:w="30" w:type="dxa"/>
              <w:right w:w="45" w:type="dxa"/>
            </w:tcMar>
            <w:vAlign w:val="center"/>
            <w:hideMark/>
          </w:tcPr>
          <w:p w14:paraId="1E5CA27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25.956.390.523</w:t>
            </w:r>
          </w:p>
        </w:tc>
        <w:tc>
          <w:tcPr>
            <w:tcW w:w="0" w:type="auto"/>
            <w:vMerge/>
            <w:vAlign w:val="center"/>
            <w:hideMark/>
          </w:tcPr>
          <w:p w14:paraId="62D256E5" w14:textId="77777777" w:rsidR="00856F66" w:rsidRPr="00E31657" w:rsidRDefault="00856F66" w:rsidP="00B24742">
            <w:pPr>
              <w:rPr>
                <w:rFonts w:cs="Arial"/>
                <w:b/>
                <w:bCs/>
                <w:sz w:val="16"/>
                <w:szCs w:val="16"/>
                <w:lang w:val="es-ES_tradnl" w:eastAsia="es-MX"/>
              </w:rPr>
            </w:pPr>
          </w:p>
        </w:tc>
      </w:tr>
      <w:tr w:rsidR="00856F66" w:rsidRPr="00E31657" w14:paraId="2E626CD5" w14:textId="77777777" w:rsidTr="00ED49FA">
        <w:trPr>
          <w:trHeight w:val="315"/>
        </w:trPr>
        <w:tc>
          <w:tcPr>
            <w:tcW w:w="0" w:type="auto"/>
            <w:vMerge w:val="restart"/>
            <w:tcMar>
              <w:top w:w="30" w:type="dxa"/>
              <w:left w:w="45" w:type="dxa"/>
              <w:bottom w:w="30" w:type="dxa"/>
              <w:right w:w="45" w:type="dxa"/>
            </w:tcMar>
            <w:vAlign w:val="center"/>
            <w:hideMark/>
          </w:tcPr>
          <w:p w14:paraId="0A8BB7A9"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Incorporar en 1.700 proyectos los criterios de ecourbanismo producción y consumo sostenible.</w:t>
            </w:r>
          </w:p>
        </w:tc>
        <w:tc>
          <w:tcPr>
            <w:tcW w:w="0" w:type="auto"/>
            <w:vMerge w:val="restart"/>
            <w:tcMar>
              <w:top w:w="30" w:type="dxa"/>
              <w:left w:w="45" w:type="dxa"/>
              <w:bottom w:w="30" w:type="dxa"/>
              <w:right w:w="45" w:type="dxa"/>
            </w:tcMar>
            <w:vAlign w:val="center"/>
            <w:hideMark/>
          </w:tcPr>
          <w:p w14:paraId="2D1195F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363</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16B2770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578D02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198</w:t>
            </w:r>
          </w:p>
        </w:tc>
        <w:tc>
          <w:tcPr>
            <w:tcW w:w="0" w:type="auto"/>
            <w:tcMar>
              <w:top w:w="30" w:type="dxa"/>
              <w:left w:w="45" w:type="dxa"/>
              <w:bottom w:w="30" w:type="dxa"/>
              <w:right w:w="45" w:type="dxa"/>
            </w:tcMar>
            <w:vAlign w:val="center"/>
            <w:hideMark/>
          </w:tcPr>
          <w:p w14:paraId="57ABF3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435</w:t>
            </w:r>
          </w:p>
        </w:tc>
        <w:tc>
          <w:tcPr>
            <w:tcW w:w="0" w:type="auto"/>
            <w:tcMar>
              <w:top w:w="30" w:type="dxa"/>
              <w:left w:w="45" w:type="dxa"/>
              <w:bottom w:w="30" w:type="dxa"/>
              <w:right w:w="45" w:type="dxa"/>
            </w:tcMar>
            <w:vAlign w:val="center"/>
            <w:hideMark/>
          </w:tcPr>
          <w:p w14:paraId="7AA185A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435</w:t>
            </w:r>
          </w:p>
        </w:tc>
        <w:tc>
          <w:tcPr>
            <w:tcW w:w="0" w:type="auto"/>
            <w:tcMar>
              <w:top w:w="30" w:type="dxa"/>
              <w:left w:w="45" w:type="dxa"/>
              <w:bottom w:w="30" w:type="dxa"/>
              <w:right w:w="45" w:type="dxa"/>
            </w:tcMar>
            <w:vAlign w:val="center"/>
            <w:hideMark/>
          </w:tcPr>
          <w:p w14:paraId="2190FF6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632</w:t>
            </w:r>
          </w:p>
        </w:tc>
        <w:tc>
          <w:tcPr>
            <w:tcW w:w="0" w:type="auto"/>
            <w:vMerge w:val="restart"/>
            <w:tcMar>
              <w:top w:w="30" w:type="dxa"/>
              <w:left w:w="45" w:type="dxa"/>
              <w:bottom w:w="30" w:type="dxa"/>
              <w:right w:w="45" w:type="dxa"/>
            </w:tcMar>
            <w:vAlign w:val="center"/>
            <w:hideMark/>
          </w:tcPr>
          <w:p w14:paraId="52A21091"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25.094.324.228</w:t>
            </w:r>
          </w:p>
        </w:tc>
      </w:tr>
      <w:tr w:rsidR="00856F66" w:rsidRPr="00E31657" w14:paraId="64D451D8" w14:textId="77777777" w:rsidTr="00ED49FA">
        <w:trPr>
          <w:trHeight w:val="315"/>
        </w:trPr>
        <w:tc>
          <w:tcPr>
            <w:tcW w:w="0" w:type="auto"/>
            <w:vMerge/>
            <w:vAlign w:val="center"/>
            <w:hideMark/>
          </w:tcPr>
          <w:p w14:paraId="10F5FF46"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484ED661" w14:textId="77777777" w:rsidR="00856F66" w:rsidRPr="00E31657" w:rsidRDefault="00856F66" w:rsidP="00B24742">
            <w:pPr>
              <w:rPr>
                <w:rFonts w:cs="Arial"/>
                <w:sz w:val="16"/>
                <w:szCs w:val="16"/>
                <w:lang w:val="es-ES_tradnl" w:eastAsia="es-MX"/>
              </w:rPr>
            </w:pPr>
          </w:p>
        </w:tc>
        <w:tc>
          <w:tcPr>
            <w:tcW w:w="0" w:type="auto"/>
            <w:vMerge/>
            <w:vAlign w:val="center"/>
            <w:hideMark/>
          </w:tcPr>
          <w:p w14:paraId="138318B0"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756DC6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7.910.043.229</w:t>
            </w:r>
          </w:p>
        </w:tc>
        <w:tc>
          <w:tcPr>
            <w:tcW w:w="0" w:type="auto"/>
            <w:tcMar>
              <w:top w:w="30" w:type="dxa"/>
              <w:left w:w="45" w:type="dxa"/>
              <w:bottom w:w="30" w:type="dxa"/>
              <w:right w:w="45" w:type="dxa"/>
            </w:tcMar>
            <w:vAlign w:val="center"/>
            <w:hideMark/>
          </w:tcPr>
          <w:p w14:paraId="4A52F5D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5.355.857.608</w:t>
            </w:r>
          </w:p>
        </w:tc>
        <w:tc>
          <w:tcPr>
            <w:tcW w:w="0" w:type="auto"/>
            <w:tcMar>
              <w:top w:w="30" w:type="dxa"/>
              <w:left w:w="45" w:type="dxa"/>
              <w:bottom w:w="30" w:type="dxa"/>
              <w:right w:w="45" w:type="dxa"/>
            </w:tcMar>
            <w:vAlign w:val="center"/>
            <w:hideMark/>
          </w:tcPr>
          <w:p w14:paraId="6BAD6A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5.719.847.931</w:t>
            </w:r>
          </w:p>
        </w:tc>
        <w:tc>
          <w:tcPr>
            <w:tcW w:w="0" w:type="auto"/>
            <w:tcMar>
              <w:top w:w="30" w:type="dxa"/>
              <w:left w:w="45" w:type="dxa"/>
              <w:bottom w:w="30" w:type="dxa"/>
              <w:right w:w="45" w:type="dxa"/>
            </w:tcMar>
            <w:vAlign w:val="center"/>
            <w:hideMark/>
          </w:tcPr>
          <w:p w14:paraId="76D322B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6.108.575.460</w:t>
            </w:r>
          </w:p>
        </w:tc>
        <w:tc>
          <w:tcPr>
            <w:tcW w:w="0" w:type="auto"/>
            <w:vMerge/>
            <w:vAlign w:val="center"/>
            <w:hideMark/>
          </w:tcPr>
          <w:p w14:paraId="1CE6FF14" w14:textId="77777777" w:rsidR="00856F66" w:rsidRPr="00E31657" w:rsidRDefault="00856F66" w:rsidP="00B24742">
            <w:pPr>
              <w:rPr>
                <w:rFonts w:cs="Arial"/>
                <w:b/>
                <w:bCs/>
                <w:sz w:val="16"/>
                <w:szCs w:val="16"/>
                <w:lang w:val="es-ES_tradnl" w:eastAsia="es-MX"/>
              </w:rPr>
            </w:pPr>
          </w:p>
        </w:tc>
      </w:tr>
      <w:tr w:rsidR="00856F66" w:rsidRPr="00E31657" w14:paraId="749B63E4" w14:textId="77777777" w:rsidTr="00ED49FA">
        <w:trPr>
          <w:trHeight w:val="315"/>
        </w:trPr>
        <w:tc>
          <w:tcPr>
            <w:tcW w:w="0" w:type="auto"/>
            <w:vMerge w:val="restart"/>
            <w:tcMar>
              <w:top w:w="30" w:type="dxa"/>
              <w:left w:w="45" w:type="dxa"/>
              <w:bottom w:w="30" w:type="dxa"/>
              <w:right w:w="45" w:type="dxa"/>
            </w:tcMar>
            <w:vAlign w:val="center"/>
            <w:hideMark/>
          </w:tcPr>
          <w:p w14:paraId="4054B26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Intervenir 2.500 hectáreas de conectores ecosistémicos para aumentar la conectividad de los elementos de la Estructura Ecológica Principal</w:t>
            </w:r>
          </w:p>
        </w:tc>
        <w:tc>
          <w:tcPr>
            <w:tcW w:w="0" w:type="auto"/>
            <w:vMerge w:val="restart"/>
            <w:tcMar>
              <w:top w:w="30" w:type="dxa"/>
              <w:left w:w="45" w:type="dxa"/>
              <w:bottom w:w="30" w:type="dxa"/>
              <w:right w:w="45" w:type="dxa"/>
            </w:tcMar>
            <w:vAlign w:val="center"/>
            <w:hideMark/>
          </w:tcPr>
          <w:p w14:paraId="0C4DA2B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19690DC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6E4201A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w:t>
            </w:r>
          </w:p>
        </w:tc>
        <w:tc>
          <w:tcPr>
            <w:tcW w:w="0" w:type="auto"/>
            <w:tcMar>
              <w:top w:w="30" w:type="dxa"/>
              <w:left w:w="45" w:type="dxa"/>
              <w:bottom w:w="30" w:type="dxa"/>
              <w:right w:w="45" w:type="dxa"/>
            </w:tcMar>
            <w:vAlign w:val="center"/>
            <w:hideMark/>
          </w:tcPr>
          <w:p w14:paraId="754546C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470</w:t>
            </w:r>
          </w:p>
        </w:tc>
        <w:tc>
          <w:tcPr>
            <w:tcW w:w="0" w:type="auto"/>
            <w:tcMar>
              <w:top w:w="30" w:type="dxa"/>
              <w:left w:w="45" w:type="dxa"/>
              <w:bottom w:w="30" w:type="dxa"/>
              <w:right w:w="45" w:type="dxa"/>
            </w:tcMar>
            <w:vAlign w:val="center"/>
            <w:hideMark/>
          </w:tcPr>
          <w:p w14:paraId="7DB8BFE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1.000</w:t>
            </w:r>
          </w:p>
        </w:tc>
        <w:tc>
          <w:tcPr>
            <w:tcW w:w="0" w:type="auto"/>
            <w:tcMar>
              <w:top w:w="30" w:type="dxa"/>
              <w:left w:w="45" w:type="dxa"/>
              <w:bottom w:w="30" w:type="dxa"/>
              <w:right w:w="45" w:type="dxa"/>
            </w:tcMar>
            <w:vAlign w:val="center"/>
            <w:hideMark/>
          </w:tcPr>
          <w:p w14:paraId="33A777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1.010</w:t>
            </w:r>
          </w:p>
        </w:tc>
        <w:tc>
          <w:tcPr>
            <w:tcW w:w="0" w:type="auto"/>
            <w:vMerge w:val="restart"/>
            <w:tcMar>
              <w:top w:w="30" w:type="dxa"/>
              <w:left w:w="45" w:type="dxa"/>
              <w:bottom w:w="30" w:type="dxa"/>
              <w:right w:w="45" w:type="dxa"/>
            </w:tcMar>
            <w:vAlign w:val="center"/>
            <w:hideMark/>
          </w:tcPr>
          <w:p w14:paraId="3AAC0728"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10.681.147.625</w:t>
            </w:r>
          </w:p>
        </w:tc>
      </w:tr>
      <w:tr w:rsidR="00856F66" w:rsidRPr="00E31657" w14:paraId="2452ADE3" w14:textId="77777777" w:rsidTr="00ED49FA">
        <w:trPr>
          <w:trHeight w:val="315"/>
        </w:trPr>
        <w:tc>
          <w:tcPr>
            <w:tcW w:w="0" w:type="auto"/>
            <w:vMerge/>
            <w:vAlign w:val="center"/>
            <w:hideMark/>
          </w:tcPr>
          <w:p w14:paraId="08542448"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1F009AC7" w14:textId="77777777" w:rsidR="00856F66" w:rsidRPr="00E31657" w:rsidRDefault="00856F66" w:rsidP="00B24742">
            <w:pPr>
              <w:rPr>
                <w:rFonts w:cs="Arial"/>
                <w:sz w:val="16"/>
                <w:szCs w:val="16"/>
                <w:lang w:val="es-ES_tradnl" w:eastAsia="es-MX"/>
              </w:rPr>
            </w:pPr>
          </w:p>
        </w:tc>
        <w:tc>
          <w:tcPr>
            <w:tcW w:w="0" w:type="auto"/>
            <w:vMerge/>
            <w:vAlign w:val="center"/>
            <w:hideMark/>
          </w:tcPr>
          <w:p w14:paraId="753E75BE"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7837F5B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3.711.839.346</w:t>
            </w:r>
          </w:p>
        </w:tc>
        <w:tc>
          <w:tcPr>
            <w:tcW w:w="0" w:type="auto"/>
            <w:tcMar>
              <w:top w:w="30" w:type="dxa"/>
              <w:left w:w="45" w:type="dxa"/>
              <w:bottom w:w="30" w:type="dxa"/>
              <w:right w:w="45" w:type="dxa"/>
            </w:tcMar>
            <w:vAlign w:val="center"/>
            <w:hideMark/>
          </w:tcPr>
          <w:p w14:paraId="15DADC9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2.842.099.709</w:t>
            </w:r>
          </w:p>
        </w:tc>
        <w:tc>
          <w:tcPr>
            <w:tcW w:w="0" w:type="auto"/>
            <w:tcMar>
              <w:top w:w="30" w:type="dxa"/>
              <w:left w:w="45" w:type="dxa"/>
              <w:bottom w:w="30" w:type="dxa"/>
              <w:right w:w="45" w:type="dxa"/>
            </w:tcMar>
            <w:vAlign w:val="center"/>
            <w:hideMark/>
          </w:tcPr>
          <w:p w14:paraId="084CE4E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2.003.013.846</w:t>
            </w:r>
          </w:p>
        </w:tc>
        <w:tc>
          <w:tcPr>
            <w:tcW w:w="0" w:type="auto"/>
            <w:tcMar>
              <w:top w:w="30" w:type="dxa"/>
              <w:left w:w="45" w:type="dxa"/>
              <w:bottom w:w="30" w:type="dxa"/>
              <w:right w:w="45" w:type="dxa"/>
            </w:tcMar>
            <w:vAlign w:val="center"/>
            <w:hideMark/>
          </w:tcPr>
          <w:p w14:paraId="08F6EC5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2.124.194.725</w:t>
            </w:r>
          </w:p>
        </w:tc>
        <w:tc>
          <w:tcPr>
            <w:tcW w:w="0" w:type="auto"/>
            <w:vMerge/>
            <w:vAlign w:val="center"/>
            <w:hideMark/>
          </w:tcPr>
          <w:p w14:paraId="03D52E02" w14:textId="77777777" w:rsidR="00856F66" w:rsidRPr="00E31657" w:rsidRDefault="00856F66" w:rsidP="00B24742">
            <w:pPr>
              <w:rPr>
                <w:rFonts w:cs="Arial"/>
                <w:b/>
                <w:bCs/>
                <w:sz w:val="16"/>
                <w:szCs w:val="16"/>
                <w:lang w:val="es-ES_tradnl" w:eastAsia="es-MX"/>
              </w:rPr>
            </w:pPr>
          </w:p>
        </w:tc>
      </w:tr>
      <w:tr w:rsidR="00856F66" w:rsidRPr="00E31657" w14:paraId="0CEAD381" w14:textId="77777777" w:rsidTr="00ED49FA">
        <w:trPr>
          <w:trHeight w:val="315"/>
        </w:trPr>
        <w:tc>
          <w:tcPr>
            <w:tcW w:w="0" w:type="auto"/>
            <w:vMerge w:val="restart"/>
            <w:tcMar>
              <w:top w:w="30" w:type="dxa"/>
              <w:left w:w="45" w:type="dxa"/>
              <w:bottom w:w="30" w:type="dxa"/>
              <w:right w:w="45" w:type="dxa"/>
            </w:tcMar>
            <w:vAlign w:val="center"/>
            <w:hideMark/>
          </w:tcPr>
          <w:p w14:paraId="12E5A8E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Lograr setecientas ochenta (780) hectáreas en proceso de restauración ecológica</w:t>
            </w:r>
          </w:p>
        </w:tc>
        <w:tc>
          <w:tcPr>
            <w:tcW w:w="0" w:type="auto"/>
            <w:vMerge w:val="restart"/>
            <w:tcMar>
              <w:top w:w="30" w:type="dxa"/>
              <w:left w:w="45" w:type="dxa"/>
              <w:bottom w:w="30" w:type="dxa"/>
              <w:right w:w="45" w:type="dxa"/>
            </w:tcMar>
            <w:vAlign w:val="center"/>
            <w:hideMark/>
          </w:tcPr>
          <w:p w14:paraId="0F8E15D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58E8A41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6FEC993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55</w:t>
            </w:r>
          </w:p>
        </w:tc>
        <w:tc>
          <w:tcPr>
            <w:tcW w:w="0" w:type="auto"/>
            <w:tcMar>
              <w:top w:w="30" w:type="dxa"/>
              <w:left w:w="45" w:type="dxa"/>
              <w:bottom w:w="30" w:type="dxa"/>
              <w:right w:w="45" w:type="dxa"/>
            </w:tcMar>
            <w:vAlign w:val="center"/>
            <w:hideMark/>
          </w:tcPr>
          <w:p w14:paraId="62BDD08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722</w:t>
            </w:r>
          </w:p>
        </w:tc>
        <w:tc>
          <w:tcPr>
            <w:tcW w:w="0" w:type="auto"/>
            <w:tcMar>
              <w:top w:w="30" w:type="dxa"/>
              <w:left w:w="45" w:type="dxa"/>
              <w:bottom w:w="30" w:type="dxa"/>
              <w:right w:w="45" w:type="dxa"/>
            </w:tcMar>
            <w:vAlign w:val="center"/>
            <w:hideMark/>
          </w:tcPr>
          <w:p w14:paraId="26F5C24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725</w:t>
            </w:r>
          </w:p>
        </w:tc>
        <w:tc>
          <w:tcPr>
            <w:tcW w:w="0" w:type="auto"/>
            <w:tcMar>
              <w:top w:w="30" w:type="dxa"/>
              <w:left w:w="45" w:type="dxa"/>
              <w:bottom w:w="30" w:type="dxa"/>
              <w:right w:w="45" w:type="dxa"/>
            </w:tcMar>
            <w:vAlign w:val="center"/>
            <w:hideMark/>
          </w:tcPr>
          <w:p w14:paraId="3D2A111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780</w:t>
            </w:r>
          </w:p>
        </w:tc>
        <w:tc>
          <w:tcPr>
            <w:tcW w:w="0" w:type="auto"/>
            <w:vMerge w:val="restart"/>
            <w:tcMar>
              <w:top w:w="30" w:type="dxa"/>
              <w:left w:w="45" w:type="dxa"/>
              <w:bottom w:w="30" w:type="dxa"/>
              <w:right w:w="45" w:type="dxa"/>
            </w:tcMar>
            <w:vAlign w:val="center"/>
            <w:hideMark/>
          </w:tcPr>
          <w:p w14:paraId="11DE017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10.681.147.625</w:t>
            </w:r>
          </w:p>
        </w:tc>
      </w:tr>
      <w:tr w:rsidR="00856F66" w:rsidRPr="00E31657" w14:paraId="62642ECE" w14:textId="77777777" w:rsidTr="00ED49FA">
        <w:trPr>
          <w:trHeight w:val="315"/>
        </w:trPr>
        <w:tc>
          <w:tcPr>
            <w:tcW w:w="0" w:type="auto"/>
            <w:vMerge/>
            <w:vAlign w:val="center"/>
            <w:hideMark/>
          </w:tcPr>
          <w:p w14:paraId="27C0A1DB"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240E058F" w14:textId="77777777" w:rsidR="00856F66" w:rsidRPr="00E31657" w:rsidRDefault="00856F66" w:rsidP="00B24742">
            <w:pPr>
              <w:rPr>
                <w:rFonts w:cs="Arial"/>
                <w:sz w:val="16"/>
                <w:szCs w:val="16"/>
                <w:lang w:val="es-ES_tradnl" w:eastAsia="es-MX"/>
              </w:rPr>
            </w:pPr>
          </w:p>
        </w:tc>
        <w:tc>
          <w:tcPr>
            <w:tcW w:w="0" w:type="auto"/>
            <w:vMerge/>
            <w:vAlign w:val="center"/>
            <w:hideMark/>
          </w:tcPr>
          <w:p w14:paraId="48F7FEDD"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6CF93BC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3.711.839.346</w:t>
            </w:r>
          </w:p>
        </w:tc>
        <w:tc>
          <w:tcPr>
            <w:tcW w:w="0" w:type="auto"/>
            <w:tcMar>
              <w:top w:w="30" w:type="dxa"/>
              <w:left w:w="45" w:type="dxa"/>
              <w:bottom w:w="30" w:type="dxa"/>
              <w:right w:w="45" w:type="dxa"/>
            </w:tcMar>
            <w:vAlign w:val="center"/>
            <w:hideMark/>
          </w:tcPr>
          <w:p w14:paraId="3078074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2.842.099.709</w:t>
            </w:r>
          </w:p>
        </w:tc>
        <w:tc>
          <w:tcPr>
            <w:tcW w:w="0" w:type="auto"/>
            <w:tcMar>
              <w:top w:w="30" w:type="dxa"/>
              <w:left w:w="45" w:type="dxa"/>
              <w:bottom w:w="30" w:type="dxa"/>
              <w:right w:w="45" w:type="dxa"/>
            </w:tcMar>
            <w:vAlign w:val="center"/>
            <w:hideMark/>
          </w:tcPr>
          <w:p w14:paraId="07BD21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2.003.013.846</w:t>
            </w:r>
          </w:p>
        </w:tc>
        <w:tc>
          <w:tcPr>
            <w:tcW w:w="0" w:type="auto"/>
            <w:tcMar>
              <w:top w:w="30" w:type="dxa"/>
              <w:left w:w="45" w:type="dxa"/>
              <w:bottom w:w="30" w:type="dxa"/>
              <w:right w:w="45" w:type="dxa"/>
            </w:tcMar>
            <w:vAlign w:val="center"/>
            <w:hideMark/>
          </w:tcPr>
          <w:p w14:paraId="7DB99BC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2.124.194.725</w:t>
            </w:r>
          </w:p>
        </w:tc>
        <w:tc>
          <w:tcPr>
            <w:tcW w:w="0" w:type="auto"/>
            <w:vMerge/>
            <w:vAlign w:val="center"/>
            <w:hideMark/>
          </w:tcPr>
          <w:p w14:paraId="549B3C46" w14:textId="77777777" w:rsidR="00856F66" w:rsidRPr="00E31657" w:rsidRDefault="00856F66" w:rsidP="00B24742">
            <w:pPr>
              <w:rPr>
                <w:rFonts w:cs="Arial"/>
                <w:b/>
                <w:bCs/>
                <w:sz w:val="16"/>
                <w:szCs w:val="16"/>
                <w:lang w:val="es-ES_tradnl" w:eastAsia="es-MX"/>
              </w:rPr>
            </w:pPr>
          </w:p>
        </w:tc>
      </w:tr>
      <w:tr w:rsidR="00856F66" w:rsidRPr="00E31657" w14:paraId="14EA4653" w14:textId="77777777" w:rsidTr="00ED49FA">
        <w:trPr>
          <w:trHeight w:val="315"/>
        </w:trPr>
        <w:tc>
          <w:tcPr>
            <w:tcW w:w="0" w:type="auto"/>
            <w:vMerge w:val="restart"/>
            <w:tcMar>
              <w:top w:w="30" w:type="dxa"/>
              <w:left w:w="45" w:type="dxa"/>
              <w:bottom w:w="30" w:type="dxa"/>
              <w:right w:w="45" w:type="dxa"/>
            </w:tcMar>
            <w:vAlign w:val="center"/>
            <w:hideMark/>
          </w:tcPr>
          <w:p w14:paraId="38648BD3"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Mantener 200.000 metros cuadrados de jardinería</w:t>
            </w:r>
          </w:p>
        </w:tc>
        <w:tc>
          <w:tcPr>
            <w:tcW w:w="0" w:type="auto"/>
            <w:vMerge w:val="restart"/>
            <w:tcMar>
              <w:top w:w="30" w:type="dxa"/>
              <w:left w:w="45" w:type="dxa"/>
              <w:bottom w:w="30" w:type="dxa"/>
              <w:right w:w="45" w:type="dxa"/>
            </w:tcMar>
            <w:vAlign w:val="center"/>
            <w:hideMark/>
          </w:tcPr>
          <w:p w14:paraId="0454E2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139000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477713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Jardín Botánico José Celestino Mutis</w:t>
            </w:r>
          </w:p>
        </w:tc>
        <w:tc>
          <w:tcPr>
            <w:tcW w:w="0" w:type="auto"/>
            <w:tcMar>
              <w:top w:w="30" w:type="dxa"/>
              <w:left w:w="45" w:type="dxa"/>
              <w:bottom w:w="30" w:type="dxa"/>
              <w:right w:w="45" w:type="dxa"/>
            </w:tcMar>
            <w:vAlign w:val="center"/>
            <w:hideMark/>
          </w:tcPr>
          <w:p w14:paraId="3E276BD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140.000,000</w:t>
            </w:r>
          </w:p>
        </w:tc>
        <w:tc>
          <w:tcPr>
            <w:tcW w:w="0" w:type="auto"/>
            <w:tcMar>
              <w:top w:w="30" w:type="dxa"/>
              <w:left w:w="45" w:type="dxa"/>
              <w:bottom w:w="30" w:type="dxa"/>
              <w:right w:w="45" w:type="dxa"/>
            </w:tcMar>
            <w:vAlign w:val="center"/>
            <w:hideMark/>
          </w:tcPr>
          <w:p w14:paraId="096187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160.000,000</w:t>
            </w:r>
          </w:p>
        </w:tc>
        <w:tc>
          <w:tcPr>
            <w:tcW w:w="0" w:type="auto"/>
            <w:tcMar>
              <w:top w:w="30" w:type="dxa"/>
              <w:left w:w="45" w:type="dxa"/>
              <w:bottom w:w="30" w:type="dxa"/>
              <w:right w:w="45" w:type="dxa"/>
            </w:tcMar>
            <w:vAlign w:val="center"/>
            <w:hideMark/>
          </w:tcPr>
          <w:p w14:paraId="7D9721C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180.000,000</w:t>
            </w:r>
          </w:p>
        </w:tc>
        <w:tc>
          <w:tcPr>
            <w:tcW w:w="0" w:type="auto"/>
            <w:tcMar>
              <w:top w:w="30" w:type="dxa"/>
              <w:left w:w="45" w:type="dxa"/>
              <w:bottom w:w="30" w:type="dxa"/>
              <w:right w:w="45" w:type="dxa"/>
            </w:tcMar>
            <w:vAlign w:val="center"/>
            <w:hideMark/>
          </w:tcPr>
          <w:p w14:paraId="29F7633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200.000,000</w:t>
            </w:r>
          </w:p>
        </w:tc>
        <w:tc>
          <w:tcPr>
            <w:tcW w:w="0" w:type="auto"/>
            <w:vMerge w:val="restart"/>
            <w:tcMar>
              <w:top w:w="30" w:type="dxa"/>
              <w:left w:w="45" w:type="dxa"/>
              <w:bottom w:w="30" w:type="dxa"/>
              <w:right w:w="45" w:type="dxa"/>
            </w:tcMar>
            <w:vAlign w:val="center"/>
            <w:hideMark/>
          </w:tcPr>
          <w:p w14:paraId="12A667D6"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10.554.005.143</w:t>
            </w:r>
          </w:p>
        </w:tc>
      </w:tr>
      <w:tr w:rsidR="00856F66" w:rsidRPr="00E31657" w14:paraId="7B161077" w14:textId="77777777" w:rsidTr="00ED49FA">
        <w:trPr>
          <w:trHeight w:val="315"/>
        </w:trPr>
        <w:tc>
          <w:tcPr>
            <w:tcW w:w="0" w:type="auto"/>
            <w:vMerge/>
            <w:vAlign w:val="center"/>
            <w:hideMark/>
          </w:tcPr>
          <w:p w14:paraId="7A989FDC"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4C39C696" w14:textId="77777777" w:rsidR="00856F66" w:rsidRPr="00E31657" w:rsidRDefault="00856F66" w:rsidP="00B24742">
            <w:pPr>
              <w:rPr>
                <w:rFonts w:cs="Arial"/>
                <w:sz w:val="16"/>
                <w:szCs w:val="16"/>
                <w:lang w:val="es-ES_tradnl" w:eastAsia="es-MX"/>
              </w:rPr>
            </w:pPr>
          </w:p>
        </w:tc>
        <w:tc>
          <w:tcPr>
            <w:tcW w:w="0" w:type="auto"/>
            <w:vMerge/>
            <w:vAlign w:val="center"/>
            <w:hideMark/>
          </w:tcPr>
          <w:p w14:paraId="5F845882"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734462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1.500.000.000</w:t>
            </w:r>
          </w:p>
        </w:tc>
        <w:tc>
          <w:tcPr>
            <w:tcW w:w="0" w:type="auto"/>
            <w:tcMar>
              <w:top w:w="30" w:type="dxa"/>
              <w:left w:w="45" w:type="dxa"/>
              <w:bottom w:w="30" w:type="dxa"/>
              <w:right w:w="45" w:type="dxa"/>
            </w:tcMar>
            <w:vAlign w:val="center"/>
            <w:hideMark/>
          </w:tcPr>
          <w:p w14:paraId="217AD2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2.155.890.693</w:t>
            </w:r>
          </w:p>
        </w:tc>
        <w:tc>
          <w:tcPr>
            <w:tcW w:w="0" w:type="auto"/>
            <w:tcMar>
              <w:top w:w="30" w:type="dxa"/>
              <w:left w:w="45" w:type="dxa"/>
              <w:bottom w:w="30" w:type="dxa"/>
              <w:right w:w="45" w:type="dxa"/>
            </w:tcMar>
            <w:vAlign w:val="center"/>
            <w:hideMark/>
          </w:tcPr>
          <w:p w14:paraId="7FE0AB5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3.035.695.554</w:t>
            </w:r>
          </w:p>
        </w:tc>
        <w:tc>
          <w:tcPr>
            <w:tcW w:w="0" w:type="auto"/>
            <w:tcMar>
              <w:top w:w="30" w:type="dxa"/>
              <w:left w:w="45" w:type="dxa"/>
              <w:bottom w:w="30" w:type="dxa"/>
              <w:right w:w="45" w:type="dxa"/>
            </w:tcMar>
            <w:vAlign w:val="center"/>
            <w:hideMark/>
          </w:tcPr>
          <w:p w14:paraId="691A8E2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3.862.418.896</w:t>
            </w:r>
          </w:p>
        </w:tc>
        <w:tc>
          <w:tcPr>
            <w:tcW w:w="0" w:type="auto"/>
            <w:vMerge/>
            <w:vAlign w:val="center"/>
            <w:hideMark/>
          </w:tcPr>
          <w:p w14:paraId="3ACD8FE5" w14:textId="77777777" w:rsidR="00856F66" w:rsidRPr="00E31657" w:rsidRDefault="00856F66" w:rsidP="00B24742">
            <w:pPr>
              <w:rPr>
                <w:rFonts w:cs="Arial"/>
                <w:b/>
                <w:bCs/>
                <w:sz w:val="16"/>
                <w:szCs w:val="16"/>
                <w:lang w:val="es-ES_tradnl" w:eastAsia="es-MX"/>
              </w:rPr>
            </w:pPr>
          </w:p>
        </w:tc>
      </w:tr>
      <w:tr w:rsidR="00856F66" w:rsidRPr="00E31657" w14:paraId="72BFD974" w14:textId="77777777" w:rsidTr="00ED49FA">
        <w:trPr>
          <w:trHeight w:val="315"/>
        </w:trPr>
        <w:tc>
          <w:tcPr>
            <w:tcW w:w="0" w:type="auto"/>
            <w:vMerge w:val="restart"/>
            <w:tcMar>
              <w:top w:w="30" w:type="dxa"/>
              <w:left w:w="45" w:type="dxa"/>
              <w:bottom w:w="30" w:type="dxa"/>
              <w:right w:w="45" w:type="dxa"/>
            </w:tcMar>
            <w:vAlign w:val="center"/>
            <w:hideMark/>
          </w:tcPr>
          <w:p w14:paraId="1882A1FD"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Mantener 500.000 árboles en zona urbana y rural en el Distrito Capital</w:t>
            </w:r>
          </w:p>
        </w:tc>
        <w:tc>
          <w:tcPr>
            <w:tcW w:w="0" w:type="auto"/>
            <w:vMerge w:val="restart"/>
            <w:tcMar>
              <w:top w:w="30" w:type="dxa"/>
              <w:left w:w="45" w:type="dxa"/>
              <w:bottom w:w="30" w:type="dxa"/>
              <w:right w:w="45" w:type="dxa"/>
            </w:tcMar>
            <w:vAlign w:val="center"/>
            <w:hideMark/>
          </w:tcPr>
          <w:p w14:paraId="668D2B0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393145</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50B83CE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Jardín Botánico José Celestino Mutis</w:t>
            </w:r>
          </w:p>
        </w:tc>
        <w:tc>
          <w:tcPr>
            <w:tcW w:w="0" w:type="auto"/>
            <w:tcMar>
              <w:top w:w="30" w:type="dxa"/>
              <w:left w:w="45" w:type="dxa"/>
              <w:bottom w:w="30" w:type="dxa"/>
              <w:right w:w="45" w:type="dxa"/>
            </w:tcMar>
            <w:vAlign w:val="center"/>
            <w:hideMark/>
          </w:tcPr>
          <w:p w14:paraId="47062F55" w14:textId="0381DF75" w:rsidR="00856F66" w:rsidRPr="00E31657" w:rsidRDefault="00015E35" w:rsidP="00B24742">
            <w:pPr>
              <w:jc w:val="center"/>
              <w:rPr>
                <w:rFonts w:cs="Arial"/>
                <w:sz w:val="16"/>
                <w:szCs w:val="16"/>
                <w:lang w:val="es-ES_tradnl" w:eastAsia="es-MX"/>
              </w:rPr>
            </w:pPr>
            <w:r>
              <w:rPr>
                <w:rFonts w:cs="Arial"/>
                <w:sz w:val="16"/>
                <w:szCs w:val="16"/>
                <w:lang w:val="es-ES_tradnl" w:eastAsia="es-MX"/>
              </w:rPr>
              <w:t>300.000</w:t>
            </w:r>
          </w:p>
        </w:tc>
        <w:tc>
          <w:tcPr>
            <w:tcW w:w="0" w:type="auto"/>
            <w:tcMar>
              <w:top w:w="30" w:type="dxa"/>
              <w:left w:w="45" w:type="dxa"/>
              <w:bottom w:w="30" w:type="dxa"/>
              <w:right w:w="45" w:type="dxa"/>
            </w:tcMar>
            <w:vAlign w:val="center"/>
            <w:hideMark/>
          </w:tcPr>
          <w:p w14:paraId="5352A48C" w14:textId="669133BC" w:rsidR="00856F66" w:rsidRPr="00E31657" w:rsidRDefault="00015E35" w:rsidP="00B24742">
            <w:pPr>
              <w:jc w:val="center"/>
              <w:rPr>
                <w:rFonts w:cs="Arial"/>
                <w:sz w:val="16"/>
                <w:szCs w:val="16"/>
                <w:lang w:val="es-ES_tradnl" w:eastAsia="es-MX"/>
              </w:rPr>
            </w:pPr>
            <w:r>
              <w:rPr>
                <w:rFonts w:cs="Arial"/>
                <w:sz w:val="16"/>
                <w:szCs w:val="16"/>
                <w:lang w:val="es-ES_tradnl" w:eastAsia="es-MX"/>
              </w:rPr>
              <w:t>380.000</w:t>
            </w:r>
          </w:p>
        </w:tc>
        <w:tc>
          <w:tcPr>
            <w:tcW w:w="0" w:type="auto"/>
            <w:tcMar>
              <w:top w:w="30" w:type="dxa"/>
              <w:left w:w="45" w:type="dxa"/>
              <w:bottom w:w="30" w:type="dxa"/>
              <w:right w:w="45" w:type="dxa"/>
            </w:tcMar>
            <w:vAlign w:val="center"/>
            <w:hideMark/>
          </w:tcPr>
          <w:p w14:paraId="247F7271" w14:textId="461882E2" w:rsidR="00856F66" w:rsidRPr="00E31657" w:rsidRDefault="00015E35" w:rsidP="00B24742">
            <w:pPr>
              <w:jc w:val="center"/>
              <w:rPr>
                <w:rFonts w:cs="Arial"/>
                <w:sz w:val="16"/>
                <w:szCs w:val="16"/>
                <w:lang w:val="es-ES_tradnl" w:eastAsia="es-MX"/>
              </w:rPr>
            </w:pPr>
            <w:r>
              <w:rPr>
                <w:rFonts w:cs="Arial"/>
                <w:sz w:val="16"/>
                <w:szCs w:val="16"/>
                <w:lang w:val="es-ES_tradnl" w:eastAsia="es-MX"/>
              </w:rPr>
              <w:t>420.000</w:t>
            </w:r>
          </w:p>
        </w:tc>
        <w:tc>
          <w:tcPr>
            <w:tcW w:w="0" w:type="auto"/>
            <w:tcMar>
              <w:top w:w="30" w:type="dxa"/>
              <w:left w:w="45" w:type="dxa"/>
              <w:bottom w:w="30" w:type="dxa"/>
              <w:right w:w="45" w:type="dxa"/>
            </w:tcMar>
            <w:vAlign w:val="center"/>
            <w:hideMark/>
          </w:tcPr>
          <w:p w14:paraId="48561BE3" w14:textId="577909ED" w:rsidR="00856F66" w:rsidRPr="00E31657" w:rsidRDefault="00015E35" w:rsidP="00B24742">
            <w:pPr>
              <w:jc w:val="center"/>
              <w:rPr>
                <w:rFonts w:cs="Arial"/>
                <w:sz w:val="16"/>
                <w:szCs w:val="16"/>
                <w:lang w:val="es-ES_tradnl" w:eastAsia="es-MX"/>
              </w:rPr>
            </w:pPr>
            <w:r>
              <w:rPr>
                <w:rFonts w:cs="Arial"/>
                <w:sz w:val="16"/>
                <w:szCs w:val="16"/>
                <w:lang w:val="es-ES_tradnl" w:eastAsia="es-MX"/>
              </w:rPr>
              <w:t>500.000</w:t>
            </w:r>
          </w:p>
        </w:tc>
        <w:tc>
          <w:tcPr>
            <w:tcW w:w="0" w:type="auto"/>
            <w:vMerge w:val="restart"/>
            <w:tcMar>
              <w:top w:w="30" w:type="dxa"/>
              <w:left w:w="45" w:type="dxa"/>
              <w:bottom w:w="30" w:type="dxa"/>
              <w:right w:w="45" w:type="dxa"/>
            </w:tcMar>
            <w:vAlign w:val="center"/>
            <w:hideMark/>
          </w:tcPr>
          <w:p w14:paraId="2A78AE34"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53.437.410.701</w:t>
            </w:r>
          </w:p>
        </w:tc>
      </w:tr>
      <w:tr w:rsidR="00856F66" w:rsidRPr="00E31657" w14:paraId="1E6B42D4" w14:textId="77777777" w:rsidTr="00ED49FA">
        <w:trPr>
          <w:trHeight w:val="315"/>
        </w:trPr>
        <w:tc>
          <w:tcPr>
            <w:tcW w:w="0" w:type="auto"/>
            <w:vMerge/>
            <w:vAlign w:val="center"/>
            <w:hideMark/>
          </w:tcPr>
          <w:p w14:paraId="45062BCE"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18CB50A2" w14:textId="77777777" w:rsidR="00856F66" w:rsidRPr="00E31657" w:rsidRDefault="00856F66" w:rsidP="00B24742">
            <w:pPr>
              <w:rPr>
                <w:rFonts w:cs="Arial"/>
                <w:sz w:val="16"/>
                <w:szCs w:val="16"/>
                <w:lang w:val="es-ES_tradnl" w:eastAsia="es-MX"/>
              </w:rPr>
            </w:pPr>
          </w:p>
        </w:tc>
        <w:tc>
          <w:tcPr>
            <w:tcW w:w="0" w:type="auto"/>
            <w:vMerge/>
            <w:vAlign w:val="center"/>
            <w:hideMark/>
          </w:tcPr>
          <w:p w14:paraId="4AE125AD"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3A6F3AF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4.400.000.000</w:t>
            </w:r>
          </w:p>
        </w:tc>
        <w:tc>
          <w:tcPr>
            <w:tcW w:w="0" w:type="auto"/>
            <w:tcMar>
              <w:top w:w="30" w:type="dxa"/>
              <w:left w:w="45" w:type="dxa"/>
              <w:bottom w:w="30" w:type="dxa"/>
              <w:right w:w="45" w:type="dxa"/>
            </w:tcMar>
            <w:vAlign w:val="center"/>
            <w:hideMark/>
          </w:tcPr>
          <w:p w14:paraId="5836A6E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14.927.786.039</w:t>
            </w:r>
          </w:p>
        </w:tc>
        <w:tc>
          <w:tcPr>
            <w:tcW w:w="0" w:type="auto"/>
            <w:tcMar>
              <w:top w:w="30" w:type="dxa"/>
              <w:left w:w="45" w:type="dxa"/>
              <w:bottom w:w="30" w:type="dxa"/>
              <w:right w:w="45" w:type="dxa"/>
            </w:tcMar>
            <w:vAlign w:val="center"/>
            <w:hideMark/>
          </w:tcPr>
          <w:p w14:paraId="43AE694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16.378.187.972</w:t>
            </w:r>
          </w:p>
        </w:tc>
        <w:tc>
          <w:tcPr>
            <w:tcW w:w="0" w:type="auto"/>
            <w:tcMar>
              <w:top w:w="30" w:type="dxa"/>
              <w:left w:w="45" w:type="dxa"/>
              <w:bottom w:w="30" w:type="dxa"/>
              <w:right w:w="45" w:type="dxa"/>
            </w:tcMar>
            <w:vAlign w:val="center"/>
            <w:hideMark/>
          </w:tcPr>
          <w:p w14:paraId="15089AF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17.731.436.690</w:t>
            </w:r>
          </w:p>
        </w:tc>
        <w:tc>
          <w:tcPr>
            <w:tcW w:w="0" w:type="auto"/>
            <w:vMerge/>
            <w:vAlign w:val="center"/>
            <w:hideMark/>
          </w:tcPr>
          <w:p w14:paraId="062D99A0" w14:textId="77777777" w:rsidR="00856F66" w:rsidRPr="00E31657" w:rsidRDefault="00856F66" w:rsidP="00B24742">
            <w:pPr>
              <w:rPr>
                <w:rFonts w:cs="Arial"/>
                <w:b/>
                <w:bCs/>
                <w:sz w:val="16"/>
                <w:szCs w:val="16"/>
                <w:lang w:val="es-ES_tradnl" w:eastAsia="es-MX"/>
              </w:rPr>
            </w:pPr>
          </w:p>
        </w:tc>
      </w:tr>
      <w:tr w:rsidR="00856F66" w:rsidRPr="00E31657" w14:paraId="3DBAAF4C" w14:textId="77777777" w:rsidTr="00ED49FA">
        <w:trPr>
          <w:trHeight w:val="450"/>
        </w:trPr>
        <w:tc>
          <w:tcPr>
            <w:tcW w:w="0" w:type="auto"/>
            <w:vMerge w:val="restart"/>
            <w:tcMar>
              <w:top w:w="30" w:type="dxa"/>
              <w:left w:w="45" w:type="dxa"/>
              <w:bottom w:w="30" w:type="dxa"/>
              <w:right w:w="45" w:type="dxa"/>
            </w:tcMar>
            <w:vAlign w:val="center"/>
            <w:hideMark/>
          </w:tcPr>
          <w:p w14:paraId="13EF7F3B"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Realizar 1.182 procesos de participación ciudadana para la mitigación de las situaciones ambientales conflictivas y para la gestión del riesgo de desastres</w:t>
            </w:r>
          </w:p>
        </w:tc>
        <w:tc>
          <w:tcPr>
            <w:tcW w:w="0" w:type="auto"/>
            <w:vMerge w:val="restart"/>
            <w:tcMar>
              <w:top w:w="30" w:type="dxa"/>
              <w:left w:w="45" w:type="dxa"/>
              <w:bottom w:w="30" w:type="dxa"/>
              <w:right w:w="45" w:type="dxa"/>
            </w:tcMar>
            <w:vAlign w:val="center"/>
            <w:hideMark/>
          </w:tcPr>
          <w:p w14:paraId="65F0C77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6120C9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41D42A8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176</w:t>
            </w:r>
          </w:p>
        </w:tc>
        <w:tc>
          <w:tcPr>
            <w:tcW w:w="0" w:type="auto"/>
            <w:tcMar>
              <w:top w:w="30" w:type="dxa"/>
              <w:left w:w="45" w:type="dxa"/>
              <w:bottom w:w="30" w:type="dxa"/>
              <w:right w:w="45" w:type="dxa"/>
            </w:tcMar>
            <w:vAlign w:val="center"/>
            <w:hideMark/>
          </w:tcPr>
          <w:p w14:paraId="03707E4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383</w:t>
            </w:r>
          </w:p>
        </w:tc>
        <w:tc>
          <w:tcPr>
            <w:tcW w:w="0" w:type="auto"/>
            <w:tcMar>
              <w:top w:w="30" w:type="dxa"/>
              <w:left w:w="45" w:type="dxa"/>
              <w:bottom w:w="30" w:type="dxa"/>
              <w:right w:w="45" w:type="dxa"/>
            </w:tcMar>
            <w:vAlign w:val="center"/>
            <w:hideMark/>
          </w:tcPr>
          <w:p w14:paraId="0DA9E9C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381</w:t>
            </w:r>
          </w:p>
        </w:tc>
        <w:tc>
          <w:tcPr>
            <w:tcW w:w="0" w:type="auto"/>
            <w:tcMar>
              <w:top w:w="30" w:type="dxa"/>
              <w:left w:w="45" w:type="dxa"/>
              <w:bottom w:w="30" w:type="dxa"/>
              <w:right w:w="45" w:type="dxa"/>
            </w:tcMar>
            <w:vAlign w:val="center"/>
            <w:hideMark/>
          </w:tcPr>
          <w:p w14:paraId="4A7930C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242</w:t>
            </w:r>
          </w:p>
        </w:tc>
        <w:tc>
          <w:tcPr>
            <w:tcW w:w="0" w:type="auto"/>
            <w:vMerge w:val="restart"/>
            <w:tcMar>
              <w:top w:w="30" w:type="dxa"/>
              <w:left w:w="45" w:type="dxa"/>
              <w:bottom w:w="30" w:type="dxa"/>
              <w:right w:w="45" w:type="dxa"/>
            </w:tcMar>
            <w:vAlign w:val="center"/>
            <w:hideMark/>
          </w:tcPr>
          <w:p w14:paraId="265248AC"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20.961.094.258</w:t>
            </w:r>
          </w:p>
        </w:tc>
      </w:tr>
      <w:tr w:rsidR="00856F66" w:rsidRPr="00E31657" w14:paraId="03C0A2DB" w14:textId="77777777" w:rsidTr="00ED49FA">
        <w:trPr>
          <w:trHeight w:val="450"/>
        </w:trPr>
        <w:tc>
          <w:tcPr>
            <w:tcW w:w="0" w:type="auto"/>
            <w:vMerge/>
            <w:vAlign w:val="center"/>
            <w:hideMark/>
          </w:tcPr>
          <w:p w14:paraId="3DE3D505" w14:textId="77777777" w:rsidR="00856F66" w:rsidRPr="00E31657" w:rsidRDefault="00856F66" w:rsidP="00B24742">
            <w:pPr>
              <w:rPr>
                <w:rFonts w:cs="Arial"/>
                <w:sz w:val="16"/>
                <w:szCs w:val="16"/>
                <w:lang w:val="es-ES_tradnl" w:eastAsia="es-MX"/>
              </w:rPr>
            </w:pPr>
          </w:p>
        </w:tc>
        <w:tc>
          <w:tcPr>
            <w:tcW w:w="0" w:type="auto"/>
            <w:vMerge/>
            <w:vAlign w:val="center"/>
            <w:hideMark/>
          </w:tcPr>
          <w:p w14:paraId="686FF58F" w14:textId="77777777" w:rsidR="00856F66" w:rsidRPr="00E31657" w:rsidRDefault="00856F66" w:rsidP="00B24742">
            <w:pPr>
              <w:rPr>
                <w:rFonts w:cs="Arial"/>
                <w:sz w:val="16"/>
                <w:szCs w:val="16"/>
                <w:lang w:val="es-ES_tradnl" w:eastAsia="es-MX"/>
              </w:rPr>
            </w:pPr>
          </w:p>
        </w:tc>
        <w:tc>
          <w:tcPr>
            <w:tcW w:w="0" w:type="auto"/>
            <w:vMerge/>
            <w:vAlign w:val="center"/>
            <w:hideMark/>
          </w:tcPr>
          <w:p w14:paraId="2A2C5980"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0272423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2.270.292.053</w:t>
            </w:r>
          </w:p>
        </w:tc>
        <w:tc>
          <w:tcPr>
            <w:tcW w:w="0" w:type="auto"/>
            <w:tcMar>
              <w:top w:w="30" w:type="dxa"/>
              <w:left w:w="45" w:type="dxa"/>
              <w:bottom w:w="30" w:type="dxa"/>
              <w:right w:w="45" w:type="dxa"/>
            </w:tcMar>
            <w:vAlign w:val="center"/>
            <w:hideMark/>
          </w:tcPr>
          <w:p w14:paraId="7463131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5.954.656.519</w:t>
            </w:r>
          </w:p>
        </w:tc>
        <w:tc>
          <w:tcPr>
            <w:tcW w:w="0" w:type="auto"/>
            <w:tcMar>
              <w:top w:w="30" w:type="dxa"/>
              <w:left w:w="45" w:type="dxa"/>
              <w:bottom w:w="30" w:type="dxa"/>
              <w:right w:w="45" w:type="dxa"/>
            </w:tcMar>
            <w:vAlign w:val="center"/>
            <w:hideMark/>
          </w:tcPr>
          <w:p w14:paraId="17E054C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5.942.347.410</w:t>
            </w:r>
          </w:p>
        </w:tc>
        <w:tc>
          <w:tcPr>
            <w:tcW w:w="0" w:type="auto"/>
            <w:tcMar>
              <w:top w:w="30" w:type="dxa"/>
              <w:left w:w="45" w:type="dxa"/>
              <w:bottom w:w="30" w:type="dxa"/>
              <w:right w:w="45" w:type="dxa"/>
            </w:tcMar>
            <w:vAlign w:val="center"/>
            <w:hideMark/>
          </w:tcPr>
          <w:p w14:paraId="1420B3E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6.793.798.276</w:t>
            </w:r>
          </w:p>
        </w:tc>
        <w:tc>
          <w:tcPr>
            <w:tcW w:w="0" w:type="auto"/>
            <w:vMerge/>
            <w:vAlign w:val="center"/>
            <w:hideMark/>
          </w:tcPr>
          <w:p w14:paraId="45A27072" w14:textId="77777777" w:rsidR="00856F66" w:rsidRPr="00E31657" w:rsidRDefault="00856F66" w:rsidP="00B24742">
            <w:pPr>
              <w:rPr>
                <w:rFonts w:cs="Arial"/>
                <w:b/>
                <w:bCs/>
                <w:sz w:val="16"/>
                <w:szCs w:val="16"/>
                <w:lang w:val="es-ES_tradnl" w:eastAsia="es-MX"/>
              </w:rPr>
            </w:pPr>
          </w:p>
        </w:tc>
      </w:tr>
      <w:tr w:rsidR="00856F66" w:rsidRPr="00E31657" w14:paraId="5C7C063B" w14:textId="77777777" w:rsidTr="00ED49FA">
        <w:trPr>
          <w:trHeight w:val="450"/>
        </w:trPr>
        <w:tc>
          <w:tcPr>
            <w:tcW w:w="0" w:type="auto"/>
            <w:vMerge w:val="restart"/>
            <w:tcMar>
              <w:top w:w="30" w:type="dxa"/>
              <w:left w:w="45" w:type="dxa"/>
              <w:bottom w:w="30" w:type="dxa"/>
              <w:right w:w="45" w:type="dxa"/>
            </w:tcMar>
            <w:vAlign w:val="center"/>
            <w:hideMark/>
          </w:tcPr>
          <w:p w14:paraId="10344C15"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lastRenderedPageBreak/>
              <w:t>Vincular 2.302.200 personas en acciones de educación ambiental para la conservación de la biodiversidad y la gestión de riesgos de desastres</w:t>
            </w:r>
          </w:p>
        </w:tc>
        <w:tc>
          <w:tcPr>
            <w:tcW w:w="0" w:type="auto"/>
            <w:vMerge w:val="restart"/>
            <w:tcMar>
              <w:top w:w="30" w:type="dxa"/>
              <w:left w:w="45" w:type="dxa"/>
              <w:bottom w:w="30" w:type="dxa"/>
              <w:right w:w="45" w:type="dxa"/>
            </w:tcMar>
            <w:vAlign w:val="center"/>
            <w:hideMark/>
          </w:tcPr>
          <w:p w14:paraId="41576EA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435575</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523D299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Mar>
              <w:top w:w="30" w:type="dxa"/>
              <w:left w:w="45" w:type="dxa"/>
              <w:bottom w:w="30" w:type="dxa"/>
              <w:right w:w="45" w:type="dxa"/>
            </w:tcMar>
            <w:vAlign w:val="center"/>
            <w:hideMark/>
          </w:tcPr>
          <w:p w14:paraId="0F71DB7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236.525</w:t>
            </w:r>
          </w:p>
        </w:tc>
        <w:tc>
          <w:tcPr>
            <w:tcW w:w="0" w:type="auto"/>
            <w:tcMar>
              <w:top w:w="30" w:type="dxa"/>
              <w:left w:w="45" w:type="dxa"/>
              <w:bottom w:w="30" w:type="dxa"/>
              <w:right w:w="45" w:type="dxa"/>
            </w:tcMar>
            <w:vAlign w:val="center"/>
            <w:hideMark/>
          </w:tcPr>
          <w:p w14:paraId="1DFDAB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818.050</w:t>
            </w:r>
          </w:p>
        </w:tc>
        <w:tc>
          <w:tcPr>
            <w:tcW w:w="0" w:type="auto"/>
            <w:tcMar>
              <w:top w:w="30" w:type="dxa"/>
              <w:left w:w="45" w:type="dxa"/>
              <w:bottom w:w="30" w:type="dxa"/>
              <w:right w:w="45" w:type="dxa"/>
            </w:tcMar>
            <w:vAlign w:val="center"/>
            <w:hideMark/>
          </w:tcPr>
          <w:p w14:paraId="27B06D0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823.050</w:t>
            </w:r>
          </w:p>
        </w:tc>
        <w:tc>
          <w:tcPr>
            <w:tcW w:w="0" w:type="auto"/>
            <w:tcMar>
              <w:top w:w="30" w:type="dxa"/>
              <w:left w:w="45" w:type="dxa"/>
              <w:bottom w:w="30" w:type="dxa"/>
              <w:right w:w="45" w:type="dxa"/>
            </w:tcMar>
            <w:vAlign w:val="center"/>
            <w:hideMark/>
          </w:tcPr>
          <w:p w14:paraId="3652B90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424.575</w:t>
            </w:r>
          </w:p>
        </w:tc>
        <w:tc>
          <w:tcPr>
            <w:tcW w:w="0" w:type="auto"/>
            <w:vMerge w:val="restart"/>
            <w:tcMar>
              <w:top w:w="30" w:type="dxa"/>
              <w:left w:w="45" w:type="dxa"/>
              <w:bottom w:w="30" w:type="dxa"/>
              <w:right w:w="45" w:type="dxa"/>
            </w:tcMar>
            <w:vAlign w:val="center"/>
            <w:hideMark/>
          </w:tcPr>
          <w:p w14:paraId="1E91DA9A"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34.664.556.495</w:t>
            </w:r>
          </w:p>
        </w:tc>
      </w:tr>
      <w:tr w:rsidR="00856F66" w:rsidRPr="00E31657" w14:paraId="3E8123E9" w14:textId="77777777" w:rsidTr="00ED49FA">
        <w:trPr>
          <w:trHeight w:val="450"/>
        </w:trPr>
        <w:tc>
          <w:tcPr>
            <w:tcW w:w="0" w:type="auto"/>
            <w:vMerge/>
            <w:vAlign w:val="center"/>
            <w:hideMark/>
          </w:tcPr>
          <w:p w14:paraId="1D07FFCB" w14:textId="77777777" w:rsidR="00856F66" w:rsidRPr="00E31657" w:rsidRDefault="00856F66" w:rsidP="00B24742">
            <w:pPr>
              <w:rPr>
                <w:rFonts w:cs="Arial"/>
                <w:sz w:val="16"/>
                <w:szCs w:val="16"/>
                <w:lang w:val="es-ES_tradnl" w:eastAsia="es-MX"/>
              </w:rPr>
            </w:pPr>
          </w:p>
        </w:tc>
        <w:tc>
          <w:tcPr>
            <w:tcW w:w="0" w:type="auto"/>
            <w:vMerge/>
            <w:vAlign w:val="center"/>
            <w:hideMark/>
          </w:tcPr>
          <w:p w14:paraId="56ECD9F9" w14:textId="77777777" w:rsidR="00856F66" w:rsidRPr="00E31657" w:rsidRDefault="00856F66" w:rsidP="00B24742">
            <w:pPr>
              <w:rPr>
                <w:rFonts w:cs="Arial"/>
                <w:sz w:val="16"/>
                <w:szCs w:val="16"/>
                <w:lang w:val="es-ES_tradnl" w:eastAsia="es-MX"/>
              </w:rPr>
            </w:pPr>
          </w:p>
        </w:tc>
        <w:tc>
          <w:tcPr>
            <w:tcW w:w="0" w:type="auto"/>
            <w:vMerge/>
            <w:vAlign w:val="center"/>
            <w:hideMark/>
          </w:tcPr>
          <w:p w14:paraId="57730D62"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73D53FF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4.715.201.414</w:t>
            </w:r>
          </w:p>
        </w:tc>
        <w:tc>
          <w:tcPr>
            <w:tcW w:w="0" w:type="auto"/>
            <w:tcMar>
              <w:top w:w="30" w:type="dxa"/>
              <w:left w:w="45" w:type="dxa"/>
              <w:bottom w:w="30" w:type="dxa"/>
              <w:right w:w="45" w:type="dxa"/>
            </w:tcMar>
            <w:vAlign w:val="center"/>
            <w:hideMark/>
          </w:tcPr>
          <w:p w14:paraId="5703DEF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9.304.337.625</w:t>
            </w:r>
          </w:p>
        </w:tc>
        <w:tc>
          <w:tcPr>
            <w:tcW w:w="0" w:type="auto"/>
            <w:tcMar>
              <w:top w:w="30" w:type="dxa"/>
              <w:left w:w="45" w:type="dxa"/>
              <w:bottom w:w="30" w:type="dxa"/>
              <w:right w:w="45" w:type="dxa"/>
            </w:tcMar>
            <w:vAlign w:val="center"/>
            <w:hideMark/>
          </w:tcPr>
          <w:p w14:paraId="4A8E7E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9.372.838.648</w:t>
            </w:r>
          </w:p>
        </w:tc>
        <w:tc>
          <w:tcPr>
            <w:tcW w:w="0" w:type="auto"/>
            <w:tcMar>
              <w:top w:w="30" w:type="dxa"/>
              <w:left w:w="45" w:type="dxa"/>
              <w:bottom w:w="30" w:type="dxa"/>
              <w:right w:w="45" w:type="dxa"/>
            </w:tcMar>
            <w:vAlign w:val="center"/>
            <w:hideMark/>
          </w:tcPr>
          <w:p w14:paraId="578F58F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11.272.178.808</w:t>
            </w:r>
          </w:p>
        </w:tc>
        <w:tc>
          <w:tcPr>
            <w:tcW w:w="0" w:type="auto"/>
            <w:vMerge/>
            <w:vAlign w:val="center"/>
            <w:hideMark/>
          </w:tcPr>
          <w:p w14:paraId="3155AAAB" w14:textId="77777777" w:rsidR="00856F66" w:rsidRPr="00E31657" w:rsidRDefault="00856F66" w:rsidP="00B24742">
            <w:pPr>
              <w:rPr>
                <w:rFonts w:cs="Arial"/>
                <w:b/>
                <w:bCs/>
                <w:sz w:val="16"/>
                <w:szCs w:val="16"/>
                <w:lang w:val="es-ES_tradnl" w:eastAsia="es-MX"/>
              </w:rPr>
            </w:pPr>
          </w:p>
        </w:tc>
      </w:tr>
      <w:tr w:rsidR="00856F66" w:rsidRPr="00E31657" w14:paraId="16D0781F" w14:textId="77777777" w:rsidTr="00ED49FA">
        <w:trPr>
          <w:trHeight w:val="315"/>
        </w:trPr>
        <w:tc>
          <w:tcPr>
            <w:tcW w:w="0" w:type="auto"/>
            <w:gridSpan w:val="8"/>
            <w:shd w:val="clear" w:color="auto" w:fill="C00000"/>
            <w:tcMar>
              <w:top w:w="30" w:type="dxa"/>
              <w:left w:w="45" w:type="dxa"/>
              <w:bottom w:w="30" w:type="dxa"/>
              <w:right w:w="45" w:type="dxa"/>
            </w:tcMar>
            <w:vAlign w:val="center"/>
            <w:hideMark/>
          </w:tcPr>
          <w:p w14:paraId="7B4B678D"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Hábitat</w:t>
            </w:r>
          </w:p>
        </w:tc>
      </w:tr>
      <w:tr w:rsidR="00856F66" w:rsidRPr="00E31657" w14:paraId="4F152910" w14:textId="77777777" w:rsidTr="00ED49FA">
        <w:trPr>
          <w:trHeight w:val="660"/>
        </w:trPr>
        <w:tc>
          <w:tcPr>
            <w:tcW w:w="0" w:type="auto"/>
            <w:vMerge w:val="restart"/>
            <w:tcMar>
              <w:top w:w="30" w:type="dxa"/>
              <w:left w:w="45" w:type="dxa"/>
              <w:bottom w:w="30" w:type="dxa"/>
              <w:right w:w="45" w:type="dxa"/>
            </w:tcMar>
            <w:vAlign w:val="center"/>
            <w:hideMark/>
          </w:tcPr>
          <w:p w14:paraId="569D0651"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2.800 Hectáreas adquiridas adecuadas recuperadas o restauradas de humedales quebradas ríos y cuencas abastecedoras en el área de cobertura de la EAAB</w:t>
            </w:r>
          </w:p>
        </w:tc>
        <w:tc>
          <w:tcPr>
            <w:tcW w:w="0" w:type="auto"/>
            <w:vMerge w:val="restart"/>
            <w:tcMar>
              <w:top w:w="30" w:type="dxa"/>
              <w:left w:w="45" w:type="dxa"/>
              <w:bottom w:w="30" w:type="dxa"/>
              <w:right w:w="45" w:type="dxa"/>
            </w:tcMar>
            <w:vAlign w:val="center"/>
            <w:hideMark/>
          </w:tcPr>
          <w:p w14:paraId="61082F1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12033AC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20F2D1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196</w:t>
            </w:r>
          </w:p>
        </w:tc>
        <w:tc>
          <w:tcPr>
            <w:tcW w:w="0" w:type="auto"/>
            <w:tcMar>
              <w:top w:w="30" w:type="dxa"/>
              <w:left w:w="45" w:type="dxa"/>
              <w:bottom w:w="30" w:type="dxa"/>
              <w:right w:w="45" w:type="dxa"/>
            </w:tcMar>
            <w:vAlign w:val="center"/>
            <w:hideMark/>
          </w:tcPr>
          <w:p w14:paraId="1E632E4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954</w:t>
            </w:r>
          </w:p>
        </w:tc>
        <w:tc>
          <w:tcPr>
            <w:tcW w:w="0" w:type="auto"/>
            <w:tcMar>
              <w:top w:w="30" w:type="dxa"/>
              <w:left w:w="45" w:type="dxa"/>
              <w:bottom w:w="30" w:type="dxa"/>
              <w:right w:w="45" w:type="dxa"/>
            </w:tcMar>
            <w:vAlign w:val="center"/>
            <w:hideMark/>
          </w:tcPr>
          <w:p w14:paraId="5DF2E50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726</w:t>
            </w:r>
          </w:p>
        </w:tc>
        <w:tc>
          <w:tcPr>
            <w:tcW w:w="0" w:type="auto"/>
            <w:tcMar>
              <w:top w:w="30" w:type="dxa"/>
              <w:left w:w="45" w:type="dxa"/>
              <w:bottom w:w="30" w:type="dxa"/>
              <w:right w:w="45" w:type="dxa"/>
            </w:tcMar>
            <w:vAlign w:val="center"/>
            <w:hideMark/>
          </w:tcPr>
          <w:p w14:paraId="4A49473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924</w:t>
            </w:r>
          </w:p>
        </w:tc>
        <w:tc>
          <w:tcPr>
            <w:tcW w:w="0" w:type="auto"/>
            <w:vMerge w:val="restart"/>
            <w:tcMar>
              <w:top w:w="30" w:type="dxa"/>
              <w:left w:w="45" w:type="dxa"/>
              <w:bottom w:w="30" w:type="dxa"/>
              <w:right w:w="45" w:type="dxa"/>
            </w:tcMar>
            <w:vAlign w:val="center"/>
            <w:hideMark/>
          </w:tcPr>
          <w:p w14:paraId="783CC9C3"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161.245.776.095</w:t>
            </w:r>
          </w:p>
        </w:tc>
      </w:tr>
      <w:tr w:rsidR="00856F66" w:rsidRPr="00E31657" w14:paraId="60ED77DD" w14:textId="77777777" w:rsidTr="00ED49FA">
        <w:trPr>
          <w:trHeight w:val="660"/>
        </w:trPr>
        <w:tc>
          <w:tcPr>
            <w:tcW w:w="0" w:type="auto"/>
            <w:vMerge/>
            <w:vAlign w:val="center"/>
            <w:hideMark/>
          </w:tcPr>
          <w:p w14:paraId="79D521F3"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00847100" w14:textId="77777777" w:rsidR="00856F66" w:rsidRPr="00E31657" w:rsidRDefault="00856F66" w:rsidP="00B24742">
            <w:pPr>
              <w:rPr>
                <w:rFonts w:cs="Arial"/>
                <w:sz w:val="16"/>
                <w:szCs w:val="16"/>
                <w:lang w:val="es-ES_tradnl" w:eastAsia="es-MX"/>
              </w:rPr>
            </w:pPr>
          </w:p>
        </w:tc>
        <w:tc>
          <w:tcPr>
            <w:tcW w:w="0" w:type="auto"/>
            <w:vMerge/>
            <w:vAlign w:val="center"/>
            <w:hideMark/>
          </w:tcPr>
          <w:p w14:paraId="73EFBB14"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4EE8E3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96.251.237.090</w:t>
            </w:r>
          </w:p>
        </w:tc>
        <w:tc>
          <w:tcPr>
            <w:tcW w:w="0" w:type="auto"/>
            <w:tcMar>
              <w:top w:w="30" w:type="dxa"/>
              <w:left w:w="45" w:type="dxa"/>
              <w:bottom w:w="30" w:type="dxa"/>
              <w:right w:w="45" w:type="dxa"/>
            </w:tcMar>
            <w:vAlign w:val="center"/>
            <w:hideMark/>
          </w:tcPr>
          <w:p w14:paraId="5765021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33.350.296.162</w:t>
            </w:r>
          </w:p>
        </w:tc>
        <w:tc>
          <w:tcPr>
            <w:tcW w:w="0" w:type="auto"/>
            <w:tcMar>
              <w:top w:w="30" w:type="dxa"/>
              <w:left w:w="45" w:type="dxa"/>
              <w:bottom w:w="30" w:type="dxa"/>
              <w:right w:w="45" w:type="dxa"/>
            </w:tcMar>
            <w:vAlign w:val="center"/>
            <w:hideMark/>
          </w:tcPr>
          <w:p w14:paraId="590D6B7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25.294.918.450</w:t>
            </w:r>
          </w:p>
        </w:tc>
        <w:tc>
          <w:tcPr>
            <w:tcW w:w="0" w:type="auto"/>
            <w:tcMar>
              <w:top w:w="30" w:type="dxa"/>
              <w:left w:w="45" w:type="dxa"/>
              <w:bottom w:w="30" w:type="dxa"/>
              <w:right w:w="45" w:type="dxa"/>
            </w:tcMar>
            <w:vAlign w:val="center"/>
            <w:hideMark/>
          </w:tcPr>
          <w:p w14:paraId="72E0A8E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6.349.324.392</w:t>
            </w:r>
          </w:p>
        </w:tc>
        <w:tc>
          <w:tcPr>
            <w:tcW w:w="0" w:type="auto"/>
            <w:vMerge/>
            <w:vAlign w:val="center"/>
            <w:hideMark/>
          </w:tcPr>
          <w:p w14:paraId="2FBC2BEA" w14:textId="77777777" w:rsidR="00856F66" w:rsidRPr="00E31657" w:rsidRDefault="00856F66" w:rsidP="00B24742">
            <w:pPr>
              <w:rPr>
                <w:rFonts w:cs="Arial"/>
                <w:b/>
                <w:bCs/>
                <w:sz w:val="16"/>
                <w:szCs w:val="16"/>
                <w:lang w:val="es-ES_tradnl" w:eastAsia="es-MX"/>
              </w:rPr>
            </w:pPr>
          </w:p>
        </w:tc>
      </w:tr>
      <w:tr w:rsidR="00856F66" w:rsidRPr="00E31657" w14:paraId="02F83B08" w14:textId="77777777" w:rsidTr="00ED49FA">
        <w:trPr>
          <w:trHeight w:val="660"/>
        </w:trPr>
        <w:tc>
          <w:tcPr>
            <w:tcW w:w="0" w:type="auto"/>
            <w:vMerge w:val="restart"/>
            <w:tcMar>
              <w:top w:w="30" w:type="dxa"/>
              <w:left w:w="45" w:type="dxa"/>
              <w:bottom w:w="30" w:type="dxa"/>
              <w:right w:w="45" w:type="dxa"/>
            </w:tcMar>
            <w:vAlign w:val="center"/>
            <w:hideMark/>
          </w:tcPr>
          <w:p w14:paraId="111C3A8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Construir una infraestructura píloto para deshidratado y/o incineración de 48 ton/día de biosólidos de la PTAR salitre para ser gestionados con enfoque de circularidad</w:t>
            </w:r>
          </w:p>
        </w:tc>
        <w:tc>
          <w:tcPr>
            <w:tcW w:w="0" w:type="auto"/>
            <w:vMerge w:val="restart"/>
            <w:tcMar>
              <w:top w:w="30" w:type="dxa"/>
              <w:left w:w="45" w:type="dxa"/>
              <w:bottom w:w="30" w:type="dxa"/>
              <w:right w:w="45" w:type="dxa"/>
            </w:tcMar>
            <w:vAlign w:val="center"/>
            <w:hideMark/>
          </w:tcPr>
          <w:p w14:paraId="02FEB77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00D2442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1D8E3F4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751F4C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4CC0E82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1F97257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0485256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16.414.370.246</w:t>
            </w:r>
          </w:p>
        </w:tc>
      </w:tr>
      <w:tr w:rsidR="00856F66" w:rsidRPr="00E31657" w14:paraId="5A1A1A78" w14:textId="77777777" w:rsidTr="00ED49FA">
        <w:trPr>
          <w:trHeight w:val="660"/>
        </w:trPr>
        <w:tc>
          <w:tcPr>
            <w:tcW w:w="0" w:type="auto"/>
            <w:vMerge/>
            <w:vAlign w:val="center"/>
            <w:hideMark/>
          </w:tcPr>
          <w:p w14:paraId="07FD633F"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1ED52A5A" w14:textId="77777777" w:rsidR="00856F66" w:rsidRPr="00E31657" w:rsidRDefault="00856F66" w:rsidP="00B24742">
            <w:pPr>
              <w:rPr>
                <w:rFonts w:cs="Arial"/>
                <w:sz w:val="16"/>
                <w:szCs w:val="16"/>
                <w:lang w:val="es-ES_tradnl" w:eastAsia="es-MX"/>
              </w:rPr>
            </w:pPr>
          </w:p>
        </w:tc>
        <w:tc>
          <w:tcPr>
            <w:tcW w:w="0" w:type="auto"/>
            <w:vMerge/>
            <w:vAlign w:val="center"/>
            <w:hideMark/>
          </w:tcPr>
          <w:p w14:paraId="72C68D95"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4632885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BA5A0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107.426.550</w:t>
            </w:r>
          </w:p>
        </w:tc>
        <w:tc>
          <w:tcPr>
            <w:tcW w:w="0" w:type="auto"/>
            <w:tcMar>
              <w:top w:w="30" w:type="dxa"/>
              <w:left w:w="45" w:type="dxa"/>
              <w:bottom w:w="30" w:type="dxa"/>
              <w:right w:w="45" w:type="dxa"/>
            </w:tcMar>
            <w:vAlign w:val="center"/>
            <w:hideMark/>
          </w:tcPr>
          <w:p w14:paraId="3C0213B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16.306.943.696</w:t>
            </w:r>
          </w:p>
        </w:tc>
        <w:tc>
          <w:tcPr>
            <w:tcW w:w="0" w:type="auto"/>
            <w:tcMar>
              <w:top w:w="30" w:type="dxa"/>
              <w:left w:w="45" w:type="dxa"/>
              <w:bottom w:w="30" w:type="dxa"/>
              <w:right w:w="45" w:type="dxa"/>
            </w:tcMar>
            <w:vAlign w:val="center"/>
            <w:hideMark/>
          </w:tcPr>
          <w:p w14:paraId="36BA2F9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ign w:val="center"/>
            <w:hideMark/>
          </w:tcPr>
          <w:p w14:paraId="1FC16A5C" w14:textId="77777777" w:rsidR="00856F66" w:rsidRPr="00E31657" w:rsidRDefault="00856F66" w:rsidP="00B24742">
            <w:pPr>
              <w:rPr>
                <w:rFonts w:cs="Arial"/>
                <w:b/>
                <w:bCs/>
                <w:sz w:val="16"/>
                <w:szCs w:val="16"/>
                <w:lang w:val="es-ES_tradnl" w:eastAsia="es-MX"/>
              </w:rPr>
            </w:pPr>
          </w:p>
        </w:tc>
      </w:tr>
      <w:tr w:rsidR="00856F66" w:rsidRPr="00E31657" w14:paraId="7E804A01" w14:textId="77777777" w:rsidTr="00ED49FA">
        <w:trPr>
          <w:trHeight w:val="660"/>
        </w:trPr>
        <w:tc>
          <w:tcPr>
            <w:tcW w:w="0" w:type="auto"/>
            <w:vMerge w:val="restart"/>
            <w:tcMar>
              <w:top w:w="30" w:type="dxa"/>
              <w:left w:w="45" w:type="dxa"/>
              <w:bottom w:w="30" w:type="dxa"/>
              <w:right w:w="45" w:type="dxa"/>
            </w:tcMar>
            <w:vAlign w:val="center"/>
            <w:hideMark/>
          </w:tcPr>
          <w:p w14:paraId="36765FA3"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Implementar la primera etapa del proyecto para la construcción de la Planta de Tratamiento de Aguas Residuales- PTAR Canoas.</w:t>
            </w:r>
          </w:p>
        </w:tc>
        <w:tc>
          <w:tcPr>
            <w:tcW w:w="0" w:type="auto"/>
            <w:vMerge w:val="restart"/>
            <w:tcMar>
              <w:top w:w="30" w:type="dxa"/>
              <w:left w:w="45" w:type="dxa"/>
              <w:bottom w:w="30" w:type="dxa"/>
              <w:right w:w="45" w:type="dxa"/>
            </w:tcMar>
            <w:vAlign w:val="center"/>
            <w:hideMark/>
          </w:tcPr>
          <w:p w14:paraId="763FB53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051830B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0C118A4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7F2058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3ACA05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7343A3F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04F678A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552.771.600.000</w:t>
            </w:r>
          </w:p>
        </w:tc>
      </w:tr>
      <w:tr w:rsidR="00856F66" w:rsidRPr="00E31657" w14:paraId="5DBBF73F" w14:textId="77777777" w:rsidTr="00ED49FA">
        <w:trPr>
          <w:trHeight w:val="660"/>
        </w:trPr>
        <w:tc>
          <w:tcPr>
            <w:tcW w:w="0" w:type="auto"/>
            <w:vMerge/>
            <w:vAlign w:val="center"/>
            <w:hideMark/>
          </w:tcPr>
          <w:p w14:paraId="1AA3FB4E"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1FECAB64" w14:textId="77777777" w:rsidR="00856F66" w:rsidRPr="00E31657" w:rsidRDefault="00856F66" w:rsidP="00B24742">
            <w:pPr>
              <w:rPr>
                <w:rFonts w:cs="Arial"/>
                <w:sz w:val="16"/>
                <w:szCs w:val="16"/>
                <w:lang w:val="es-ES_tradnl" w:eastAsia="es-MX"/>
              </w:rPr>
            </w:pPr>
          </w:p>
        </w:tc>
        <w:tc>
          <w:tcPr>
            <w:tcW w:w="0" w:type="auto"/>
            <w:vMerge/>
            <w:vAlign w:val="center"/>
            <w:hideMark/>
          </w:tcPr>
          <w:p w14:paraId="5577DCD1"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725F0E5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43B55C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F9DCB8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38.906.540.000</w:t>
            </w:r>
          </w:p>
        </w:tc>
        <w:tc>
          <w:tcPr>
            <w:tcW w:w="0" w:type="auto"/>
            <w:tcMar>
              <w:top w:w="30" w:type="dxa"/>
              <w:left w:w="45" w:type="dxa"/>
              <w:bottom w:w="30" w:type="dxa"/>
              <w:right w:w="45" w:type="dxa"/>
            </w:tcMar>
            <w:vAlign w:val="center"/>
            <w:hideMark/>
          </w:tcPr>
          <w:p w14:paraId="039658E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513.865.060.000</w:t>
            </w:r>
          </w:p>
        </w:tc>
        <w:tc>
          <w:tcPr>
            <w:tcW w:w="0" w:type="auto"/>
            <w:vMerge/>
            <w:vAlign w:val="center"/>
            <w:hideMark/>
          </w:tcPr>
          <w:p w14:paraId="39DC9138" w14:textId="77777777" w:rsidR="00856F66" w:rsidRPr="00E31657" w:rsidRDefault="00856F66" w:rsidP="00B24742">
            <w:pPr>
              <w:rPr>
                <w:rFonts w:cs="Arial"/>
                <w:b/>
                <w:bCs/>
                <w:sz w:val="16"/>
                <w:szCs w:val="16"/>
                <w:lang w:val="es-ES_tradnl" w:eastAsia="es-MX"/>
              </w:rPr>
            </w:pPr>
          </w:p>
        </w:tc>
      </w:tr>
      <w:tr w:rsidR="00856F66" w:rsidRPr="00E31657" w14:paraId="65917EF2" w14:textId="77777777" w:rsidTr="00ED49FA">
        <w:trPr>
          <w:trHeight w:val="660"/>
        </w:trPr>
        <w:tc>
          <w:tcPr>
            <w:tcW w:w="0" w:type="auto"/>
            <w:vMerge w:val="restart"/>
            <w:tcMar>
              <w:top w:w="30" w:type="dxa"/>
              <w:left w:w="45" w:type="dxa"/>
              <w:bottom w:w="30" w:type="dxa"/>
              <w:right w:w="45" w:type="dxa"/>
            </w:tcMar>
            <w:vAlign w:val="center"/>
            <w:hideMark/>
          </w:tcPr>
          <w:p w14:paraId="0F0906EE"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Implementar un modelo de gestión integral de residuos sólidos en la prestación del servicio público de aseo que privilegie la economía circular.</w:t>
            </w:r>
          </w:p>
        </w:tc>
        <w:tc>
          <w:tcPr>
            <w:tcW w:w="0" w:type="auto"/>
            <w:vMerge w:val="restart"/>
            <w:tcMar>
              <w:top w:w="30" w:type="dxa"/>
              <w:left w:w="45" w:type="dxa"/>
              <w:bottom w:w="30" w:type="dxa"/>
              <w:right w:w="45" w:type="dxa"/>
            </w:tcMar>
            <w:vAlign w:val="center"/>
            <w:hideMark/>
          </w:tcPr>
          <w:p w14:paraId="685B802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1950FC2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52E6AB7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764D477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4</w:t>
            </w:r>
          </w:p>
        </w:tc>
        <w:tc>
          <w:tcPr>
            <w:tcW w:w="0" w:type="auto"/>
            <w:tcMar>
              <w:top w:w="30" w:type="dxa"/>
              <w:left w:w="45" w:type="dxa"/>
              <w:bottom w:w="30" w:type="dxa"/>
              <w:right w:w="45" w:type="dxa"/>
            </w:tcMar>
            <w:vAlign w:val="center"/>
            <w:hideMark/>
          </w:tcPr>
          <w:p w14:paraId="0DBB08B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5B49BA0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36729A2D"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88.942.271.892</w:t>
            </w:r>
          </w:p>
        </w:tc>
      </w:tr>
      <w:tr w:rsidR="00856F66" w:rsidRPr="00E31657" w14:paraId="70946E81" w14:textId="77777777" w:rsidTr="00ED49FA">
        <w:trPr>
          <w:trHeight w:val="660"/>
        </w:trPr>
        <w:tc>
          <w:tcPr>
            <w:tcW w:w="0" w:type="auto"/>
            <w:vMerge/>
            <w:vAlign w:val="center"/>
            <w:hideMark/>
          </w:tcPr>
          <w:p w14:paraId="19BFF883"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74AD70F5" w14:textId="77777777" w:rsidR="00856F66" w:rsidRPr="00E31657" w:rsidRDefault="00856F66" w:rsidP="00B24742">
            <w:pPr>
              <w:rPr>
                <w:rFonts w:cs="Arial"/>
                <w:sz w:val="16"/>
                <w:szCs w:val="16"/>
                <w:lang w:val="es-ES_tradnl" w:eastAsia="es-MX"/>
              </w:rPr>
            </w:pPr>
          </w:p>
        </w:tc>
        <w:tc>
          <w:tcPr>
            <w:tcW w:w="0" w:type="auto"/>
            <w:vMerge/>
            <w:vAlign w:val="center"/>
            <w:hideMark/>
          </w:tcPr>
          <w:p w14:paraId="3CD37020"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16813EB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6.694.000.000</w:t>
            </w:r>
          </w:p>
        </w:tc>
        <w:tc>
          <w:tcPr>
            <w:tcW w:w="0" w:type="auto"/>
            <w:tcMar>
              <w:top w:w="30" w:type="dxa"/>
              <w:left w:w="45" w:type="dxa"/>
              <w:bottom w:w="30" w:type="dxa"/>
              <w:right w:w="45" w:type="dxa"/>
            </w:tcMar>
            <w:vAlign w:val="center"/>
            <w:hideMark/>
          </w:tcPr>
          <w:p w14:paraId="774EAF3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14.000.000.000</w:t>
            </w:r>
          </w:p>
        </w:tc>
        <w:tc>
          <w:tcPr>
            <w:tcW w:w="0" w:type="auto"/>
            <w:tcMar>
              <w:top w:w="30" w:type="dxa"/>
              <w:left w:w="45" w:type="dxa"/>
              <w:bottom w:w="30" w:type="dxa"/>
              <w:right w:w="45" w:type="dxa"/>
            </w:tcMar>
            <w:vAlign w:val="center"/>
            <w:hideMark/>
          </w:tcPr>
          <w:p w14:paraId="20A4C38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34.239.777.547</w:t>
            </w:r>
          </w:p>
        </w:tc>
        <w:tc>
          <w:tcPr>
            <w:tcW w:w="0" w:type="auto"/>
            <w:tcMar>
              <w:top w:w="30" w:type="dxa"/>
              <w:left w:w="45" w:type="dxa"/>
              <w:bottom w:w="30" w:type="dxa"/>
              <w:right w:w="45" w:type="dxa"/>
            </w:tcMar>
            <w:vAlign w:val="center"/>
            <w:hideMark/>
          </w:tcPr>
          <w:p w14:paraId="6BEEA15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34.008.494.345</w:t>
            </w:r>
          </w:p>
        </w:tc>
        <w:tc>
          <w:tcPr>
            <w:tcW w:w="0" w:type="auto"/>
            <w:vMerge/>
            <w:vAlign w:val="center"/>
            <w:hideMark/>
          </w:tcPr>
          <w:p w14:paraId="3CB1158C" w14:textId="77777777" w:rsidR="00856F66" w:rsidRPr="00E31657" w:rsidRDefault="00856F66" w:rsidP="00B24742">
            <w:pPr>
              <w:rPr>
                <w:rFonts w:cs="Arial"/>
                <w:b/>
                <w:bCs/>
                <w:sz w:val="16"/>
                <w:szCs w:val="16"/>
                <w:lang w:val="es-ES_tradnl" w:eastAsia="es-MX"/>
              </w:rPr>
            </w:pPr>
          </w:p>
        </w:tc>
      </w:tr>
      <w:tr w:rsidR="00856F66" w:rsidRPr="00E31657" w14:paraId="0E6B0B0D" w14:textId="77777777" w:rsidTr="00ED49FA">
        <w:trPr>
          <w:trHeight w:val="660"/>
        </w:trPr>
        <w:tc>
          <w:tcPr>
            <w:tcW w:w="0" w:type="auto"/>
            <w:vMerge w:val="restart"/>
            <w:tcMar>
              <w:top w:w="30" w:type="dxa"/>
              <w:left w:w="45" w:type="dxa"/>
              <w:bottom w:w="30" w:type="dxa"/>
              <w:right w:w="45" w:type="dxa"/>
            </w:tcMar>
            <w:vAlign w:val="center"/>
            <w:hideMark/>
          </w:tcPr>
          <w:p w14:paraId="0960321E"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Mantener el 100% de la disposición final de los residuos sólidos que ingresan al Parque de Innovación Doña Juana PIDJ.</w:t>
            </w:r>
          </w:p>
        </w:tc>
        <w:tc>
          <w:tcPr>
            <w:tcW w:w="0" w:type="auto"/>
            <w:vMerge w:val="restart"/>
            <w:tcMar>
              <w:top w:w="30" w:type="dxa"/>
              <w:left w:w="45" w:type="dxa"/>
              <w:bottom w:w="30" w:type="dxa"/>
              <w:right w:w="45" w:type="dxa"/>
            </w:tcMar>
            <w:vAlign w:val="center"/>
            <w:hideMark/>
          </w:tcPr>
          <w:p w14:paraId="4A6F681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2EF80C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INFORME DE INTERVENTORIA</w:t>
            </w:r>
          </w:p>
        </w:tc>
        <w:tc>
          <w:tcPr>
            <w:tcW w:w="0" w:type="auto"/>
            <w:tcMar>
              <w:top w:w="30" w:type="dxa"/>
              <w:left w:w="45" w:type="dxa"/>
              <w:bottom w:w="30" w:type="dxa"/>
              <w:right w:w="45" w:type="dxa"/>
            </w:tcMar>
            <w:vAlign w:val="center"/>
            <w:hideMark/>
          </w:tcPr>
          <w:p w14:paraId="7CFF7B3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7025E91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796C96A2"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55DBBF5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6A4905A9"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80.134.705.088</w:t>
            </w:r>
          </w:p>
        </w:tc>
      </w:tr>
      <w:tr w:rsidR="00856F66" w:rsidRPr="00E31657" w14:paraId="28B5AD45" w14:textId="77777777" w:rsidTr="00ED49FA">
        <w:trPr>
          <w:trHeight w:val="660"/>
        </w:trPr>
        <w:tc>
          <w:tcPr>
            <w:tcW w:w="0" w:type="auto"/>
            <w:vMerge/>
            <w:vAlign w:val="center"/>
            <w:hideMark/>
          </w:tcPr>
          <w:p w14:paraId="3B939F5B" w14:textId="77777777" w:rsidR="00856F66" w:rsidRPr="00E31657" w:rsidRDefault="00856F66" w:rsidP="00705802">
            <w:pPr>
              <w:jc w:val="right"/>
              <w:rPr>
                <w:rFonts w:cs="Arial"/>
                <w:sz w:val="16"/>
                <w:szCs w:val="16"/>
                <w:lang w:val="es-ES_tradnl" w:eastAsia="es-MX"/>
              </w:rPr>
            </w:pPr>
          </w:p>
        </w:tc>
        <w:tc>
          <w:tcPr>
            <w:tcW w:w="0" w:type="auto"/>
            <w:vMerge/>
            <w:vAlign w:val="center"/>
            <w:hideMark/>
          </w:tcPr>
          <w:p w14:paraId="2955314A" w14:textId="77777777" w:rsidR="00856F66" w:rsidRPr="00E31657" w:rsidRDefault="00856F66" w:rsidP="00B24742">
            <w:pPr>
              <w:rPr>
                <w:rFonts w:cs="Arial"/>
                <w:sz w:val="16"/>
                <w:szCs w:val="16"/>
                <w:lang w:val="es-ES_tradnl" w:eastAsia="es-MX"/>
              </w:rPr>
            </w:pPr>
          </w:p>
        </w:tc>
        <w:tc>
          <w:tcPr>
            <w:tcW w:w="0" w:type="auto"/>
            <w:vMerge/>
            <w:vAlign w:val="center"/>
            <w:hideMark/>
          </w:tcPr>
          <w:p w14:paraId="4450A572"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64E7DDC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35.081.000.000</w:t>
            </w:r>
          </w:p>
        </w:tc>
        <w:tc>
          <w:tcPr>
            <w:tcW w:w="0" w:type="auto"/>
            <w:tcMar>
              <w:top w:w="30" w:type="dxa"/>
              <w:left w:w="45" w:type="dxa"/>
              <w:bottom w:w="30" w:type="dxa"/>
              <w:right w:w="45" w:type="dxa"/>
            </w:tcMar>
            <w:vAlign w:val="center"/>
            <w:hideMark/>
          </w:tcPr>
          <w:p w14:paraId="2E34138E"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15.048.543.689</w:t>
            </w:r>
          </w:p>
        </w:tc>
        <w:tc>
          <w:tcPr>
            <w:tcW w:w="0" w:type="auto"/>
            <w:tcMar>
              <w:top w:w="30" w:type="dxa"/>
              <w:left w:w="45" w:type="dxa"/>
              <w:bottom w:w="30" w:type="dxa"/>
              <w:right w:w="45" w:type="dxa"/>
            </w:tcMar>
            <w:vAlign w:val="center"/>
            <w:hideMark/>
          </w:tcPr>
          <w:p w14:paraId="1EDEF68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15.001.413.894</w:t>
            </w:r>
          </w:p>
        </w:tc>
        <w:tc>
          <w:tcPr>
            <w:tcW w:w="0" w:type="auto"/>
            <w:tcMar>
              <w:top w:w="30" w:type="dxa"/>
              <w:left w:w="45" w:type="dxa"/>
              <w:bottom w:w="30" w:type="dxa"/>
              <w:right w:w="45" w:type="dxa"/>
            </w:tcMar>
            <w:vAlign w:val="center"/>
            <w:hideMark/>
          </w:tcPr>
          <w:p w14:paraId="6AA40E2D"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15.003.747.505</w:t>
            </w:r>
          </w:p>
        </w:tc>
        <w:tc>
          <w:tcPr>
            <w:tcW w:w="0" w:type="auto"/>
            <w:vMerge/>
            <w:vAlign w:val="center"/>
            <w:hideMark/>
          </w:tcPr>
          <w:p w14:paraId="32C0C797" w14:textId="77777777" w:rsidR="00856F66" w:rsidRPr="00E31657" w:rsidRDefault="00856F66" w:rsidP="00B24742">
            <w:pPr>
              <w:rPr>
                <w:rFonts w:cs="Arial"/>
                <w:b/>
                <w:bCs/>
                <w:sz w:val="16"/>
                <w:szCs w:val="16"/>
                <w:lang w:val="es-ES_tradnl" w:eastAsia="es-MX"/>
              </w:rPr>
            </w:pPr>
          </w:p>
        </w:tc>
      </w:tr>
      <w:tr w:rsidR="00856F66" w:rsidRPr="00E31657" w14:paraId="3881299B" w14:textId="77777777" w:rsidTr="00ED49FA">
        <w:trPr>
          <w:trHeight w:val="660"/>
        </w:trPr>
        <w:tc>
          <w:tcPr>
            <w:tcW w:w="0" w:type="auto"/>
            <w:vMerge w:val="restart"/>
            <w:tcMar>
              <w:top w:w="30" w:type="dxa"/>
              <w:left w:w="45" w:type="dxa"/>
              <w:bottom w:w="30" w:type="dxa"/>
              <w:right w:w="45" w:type="dxa"/>
            </w:tcMar>
            <w:vAlign w:val="center"/>
            <w:hideMark/>
          </w:tcPr>
          <w:p w14:paraId="5CC4F97F"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lastRenderedPageBreak/>
              <w:t xml:space="preserve">Realizar el acompañamiento al 100% de las organizaciones de recicladores que lo requieran y cumplan con la normativa vigente para promover su fortalecimiento. </w:t>
            </w:r>
          </w:p>
        </w:tc>
        <w:tc>
          <w:tcPr>
            <w:tcW w:w="0" w:type="auto"/>
            <w:vMerge w:val="restart"/>
            <w:tcMar>
              <w:top w:w="30" w:type="dxa"/>
              <w:left w:w="45" w:type="dxa"/>
              <w:bottom w:w="30" w:type="dxa"/>
              <w:right w:w="45" w:type="dxa"/>
            </w:tcMar>
            <w:vAlign w:val="center"/>
            <w:hideMark/>
          </w:tcPr>
          <w:p w14:paraId="0BA457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201</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3AB505F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Inventario Subdirección de aprovechamiento</w:t>
            </w:r>
          </w:p>
        </w:tc>
        <w:tc>
          <w:tcPr>
            <w:tcW w:w="0" w:type="auto"/>
            <w:tcMar>
              <w:top w:w="30" w:type="dxa"/>
              <w:left w:w="45" w:type="dxa"/>
              <w:bottom w:w="30" w:type="dxa"/>
              <w:right w:w="45" w:type="dxa"/>
            </w:tcMar>
            <w:vAlign w:val="center"/>
            <w:hideMark/>
          </w:tcPr>
          <w:p w14:paraId="4DB310BA"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69957F4B"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27414447"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DE51E1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29BFA747"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68.775.229.007</w:t>
            </w:r>
          </w:p>
        </w:tc>
      </w:tr>
      <w:tr w:rsidR="00856F66" w:rsidRPr="00E31657" w14:paraId="6E7B91E3" w14:textId="77777777" w:rsidTr="00ED49FA">
        <w:trPr>
          <w:trHeight w:val="660"/>
        </w:trPr>
        <w:tc>
          <w:tcPr>
            <w:tcW w:w="0" w:type="auto"/>
            <w:vMerge/>
            <w:vAlign w:val="center"/>
            <w:hideMark/>
          </w:tcPr>
          <w:p w14:paraId="4E25FED7" w14:textId="77777777" w:rsidR="00856F66" w:rsidRPr="00E31657" w:rsidRDefault="00856F66" w:rsidP="00B24742">
            <w:pPr>
              <w:rPr>
                <w:rFonts w:cs="Arial"/>
                <w:sz w:val="16"/>
                <w:szCs w:val="16"/>
                <w:lang w:val="es-ES_tradnl" w:eastAsia="es-MX"/>
              </w:rPr>
            </w:pPr>
          </w:p>
        </w:tc>
        <w:tc>
          <w:tcPr>
            <w:tcW w:w="0" w:type="auto"/>
            <w:vMerge/>
            <w:vAlign w:val="center"/>
            <w:hideMark/>
          </w:tcPr>
          <w:p w14:paraId="22AE6EA6" w14:textId="77777777" w:rsidR="00856F66" w:rsidRPr="00E31657" w:rsidRDefault="00856F66" w:rsidP="00B24742">
            <w:pPr>
              <w:rPr>
                <w:rFonts w:cs="Arial"/>
                <w:sz w:val="16"/>
                <w:szCs w:val="16"/>
                <w:lang w:val="es-ES_tradnl" w:eastAsia="es-MX"/>
              </w:rPr>
            </w:pPr>
          </w:p>
        </w:tc>
        <w:tc>
          <w:tcPr>
            <w:tcW w:w="0" w:type="auto"/>
            <w:vMerge/>
            <w:vAlign w:val="center"/>
            <w:hideMark/>
          </w:tcPr>
          <w:p w14:paraId="18D7A967"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248A98C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33.921.000.000</w:t>
            </w:r>
          </w:p>
        </w:tc>
        <w:tc>
          <w:tcPr>
            <w:tcW w:w="0" w:type="auto"/>
            <w:tcMar>
              <w:top w:w="30" w:type="dxa"/>
              <w:left w:w="45" w:type="dxa"/>
              <w:bottom w:w="30" w:type="dxa"/>
              <w:right w:w="45" w:type="dxa"/>
            </w:tcMar>
            <w:vAlign w:val="center"/>
            <w:hideMark/>
          </w:tcPr>
          <w:p w14:paraId="7412F0C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8.800.000.000</w:t>
            </w:r>
          </w:p>
        </w:tc>
        <w:tc>
          <w:tcPr>
            <w:tcW w:w="0" w:type="auto"/>
            <w:tcMar>
              <w:top w:w="30" w:type="dxa"/>
              <w:left w:w="45" w:type="dxa"/>
              <w:bottom w:w="30" w:type="dxa"/>
              <w:right w:w="45" w:type="dxa"/>
            </w:tcMar>
            <w:vAlign w:val="center"/>
            <w:hideMark/>
          </w:tcPr>
          <w:p w14:paraId="15AB621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14.651.380.903</w:t>
            </w:r>
          </w:p>
        </w:tc>
        <w:tc>
          <w:tcPr>
            <w:tcW w:w="0" w:type="auto"/>
            <w:tcMar>
              <w:top w:w="30" w:type="dxa"/>
              <w:left w:w="45" w:type="dxa"/>
              <w:bottom w:w="30" w:type="dxa"/>
              <w:right w:w="45" w:type="dxa"/>
            </w:tcMar>
            <w:vAlign w:val="center"/>
            <w:hideMark/>
          </w:tcPr>
          <w:p w14:paraId="6ADE48D8"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11.402.848.104</w:t>
            </w:r>
          </w:p>
        </w:tc>
        <w:tc>
          <w:tcPr>
            <w:tcW w:w="0" w:type="auto"/>
            <w:vMerge/>
            <w:vAlign w:val="center"/>
            <w:hideMark/>
          </w:tcPr>
          <w:p w14:paraId="6C9D6D6B" w14:textId="77777777" w:rsidR="00856F66" w:rsidRPr="00E31657" w:rsidRDefault="00856F66" w:rsidP="00B24742">
            <w:pPr>
              <w:rPr>
                <w:rFonts w:cs="Arial"/>
                <w:b/>
                <w:bCs/>
                <w:sz w:val="16"/>
                <w:szCs w:val="16"/>
                <w:lang w:val="es-ES_tradnl" w:eastAsia="es-MX"/>
              </w:rPr>
            </w:pPr>
          </w:p>
        </w:tc>
      </w:tr>
      <w:tr w:rsidR="00856F66" w:rsidRPr="00E31657" w14:paraId="1B555C5B" w14:textId="77777777" w:rsidTr="00ED49FA">
        <w:trPr>
          <w:trHeight w:val="315"/>
        </w:trPr>
        <w:tc>
          <w:tcPr>
            <w:tcW w:w="0" w:type="auto"/>
            <w:gridSpan w:val="8"/>
            <w:shd w:val="clear" w:color="auto" w:fill="C00000"/>
            <w:tcMar>
              <w:top w:w="30" w:type="dxa"/>
              <w:left w:w="45" w:type="dxa"/>
              <w:bottom w:w="30" w:type="dxa"/>
              <w:right w:w="45" w:type="dxa"/>
            </w:tcMar>
            <w:vAlign w:val="center"/>
            <w:hideMark/>
          </w:tcPr>
          <w:p w14:paraId="1598A096"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Seguridad convivencia y justicia</w:t>
            </w:r>
          </w:p>
        </w:tc>
      </w:tr>
      <w:tr w:rsidR="00856F66" w:rsidRPr="00E31657" w14:paraId="1D92020D" w14:textId="77777777" w:rsidTr="00ED49FA">
        <w:trPr>
          <w:trHeight w:val="660"/>
        </w:trPr>
        <w:tc>
          <w:tcPr>
            <w:tcW w:w="0" w:type="auto"/>
            <w:vMerge w:val="restart"/>
            <w:tcMar>
              <w:top w:w="30" w:type="dxa"/>
              <w:left w:w="45" w:type="dxa"/>
              <w:bottom w:w="30" w:type="dxa"/>
              <w:right w:w="45" w:type="dxa"/>
            </w:tcMar>
            <w:vAlign w:val="center"/>
            <w:hideMark/>
          </w:tcPr>
          <w:p w14:paraId="34C4DBF0"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Implementar un programa para mejorar la respuesta en la atención a emergencias del Cuerpo Oficial de Bomberos de Bogotá apalancada en redes de conocimiento prevención del riesgo y cobertura en la ciudad y su entorno</w:t>
            </w:r>
          </w:p>
        </w:tc>
        <w:tc>
          <w:tcPr>
            <w:tcW w:w="0" w:type="auto"/>
            <w:vMerge w:val="restart"/>
            <w:tcMar>
              <w:top w:w="30" w:type="dxa"/>
              <w:left w:w="45" w:type="dxa"/>
              <w:bottom w:w="30" w:type="dxa"/>
              <w:right w:w="45" w:type="dxa"/>
            </w:tcMar>
            <w:vAlign w:val="center"/>
            <w:hideMark/>
          </w:tcPr>
          <w:p w14:paraId="7F364799"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6065A860"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6F94504"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3D971A3"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7E9431F"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6AC0CBFC"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015E6695" w14:textId="77777777" w:rsidR="00856F66" w:rsidRPr="00E31657" w:rsidRDefault="00856F66" w:rsidP="00B24742">
            <w:pPr>
              <w:jc w:val="center"/>
              <w:rPr>
                <w:rFonts w:cs="Arial"/>
                <w:b/>
                <w:bCs/>
                <w:sz w:val="16"/>
                <w:szCs w:val="16"/>
                <w:lang w:val="es-ES_tradnl" w:eastAsia="es-MX"/>
              </w:rPr>
            </w:pPr>
            <w:r w:rsidRPr="00E31657">
              <w:rPr>
                <w:rFonts w:cs="Arial"/>
                <w:b/>
                <w:bCs/>
                <w:sz w:val="16"/>
                <w:szCs w:val="16"/>
                <w:lang w:val="es-ES_tradnl" w:eastAsia="es-MX"/>
              </w:rPr>
              <w:t>247.718.721.818</w:t>
            </w:r>
          </w:p>
        </w:tc>
      </w:tr>
      <w:tr w:rsidR="00856F66" w:rsidRPr="00E31657" w14:paraId="1DF77F0E" w14:textId="77777777" w:rsidTr="00ED49FA">
        <w:trPr>
          <w:trHeight w:val="660"/>
        </w:trPr>
        <w:tc>
          <w:tcPr>
            <w:tcW w:w="0" w:type="auto"/>
            <w:vMerge/>
            <w:vAlign w:val="center"/>
            <w:hideMark/>
          </w:tcPr>
          <w:p w14:paraId="05656EBD" w14:textId="77777777" w:rsidR="00856F66" w:rsidRPr="00E31657" w:rsidRDefault="00856F66" w:rsidP="00B24742">
            <w:pPr>
              <w:rPr>
                <w:rFonts w:cs="Arial"/>
                <w:sz w:val="16"/>
                <w:szCs w:val="16"/>
                <w:lang w:val="es-ES_tradnl" w:eastAsia="es-MX"/>
              </w:rPr>
            </w:pPr>
          </w:p>
        </w:tc>
        <w:tc>
          <w:tcPr>
            <w:tcW w:w="0" w:type="auto"/>
            <w:vMerge/>
            <w:vAlign w:val="center"/>
            <w:hideMark/>
          </w:tcPr>
          <w:p w14:paraId="1F56089D" w14:textId="77777777" w:rsidR="00856F66" w:rsidRPr="00E31657" w:rsidRDefault="00856F66" w:rsidP="00B24742">
            <w:pPr>
              <w:rPr>
                <w:rFonts w:cs="Arial"/>
                <w:sz w:val="16"/>
                <w:szCs w:val="16"/>
                <w:lang w:val="es-ES_tradnl" w:eastAsia="es-MX"/>
              </w:rPr>
            </w:pPr>
          </w:p>
        </w:tc>
        <w:tc>
          <w:tcPr>
            <w:tcW w:w="0" w:type="auto"/>
            <w:vMerge/>
            <w:vAlign w:val="center"/>
            <w:hideMark/>
          </w:tcPr>
          <w:p w14:paraId="429536DB" w14:textId="77777777" w:rsidR="00856F66" w:rsidRPr="00E31657" w:rsidRDefault="00856F66" w:rsidP="00B24742">
            <w:pPr>
              <w:rPr>
                <w:rFonts w:cs="Arial"/>
                <w:sz w:val="16"/>
                <w:szCs w:val="16"/>
                <w:lang w:val="es-ES_tradnl" w:eastAsia="es-MX"/>
              </w:rPr>
            </w:pPr>
          </w:p>
        </w:tc>
        <w:tc>
          <w:tcPr>
            <w:tcW w:w="0" w:type="auto"/>
            <w:tcMar>
              <w:top w:w="30" w:type="dxa"/>
              <w:left w:w="45" w:type="dxa"/>
              <w:bottom w:w="30" w:type="dxa"/>
              <w:right w:w="45" w:type="dxa"/>
            </w:tcMar>
            <w:vAlign w:val="center"/>
            <w:hideMark/>
          </w:tcPr>
          <w:p w14:paraId="71663A2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34.213.600.000</w:t>
            </w:r>
          </w:p>
        </w:tc>
        <w:tc>
          <w:tcPr>
            <w:tcW w:w="0" w:type="auto"/>
            <w:tcMar>
              <w:top w:w="30" w:type="dxa"/>
              <w:left w:w="45" w:type="dxa"/>
              <w:bottom w:w="30" w:type="dxa"/>
              <w:right w:w="45" w:type="dxa"/>
            </w:tcMar>
            <w:vAlign w:val="center"/>
            <w:hideMark/>
          </w:tcPr>
          <w:p w14:paraId="79D1AA01"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71.168.369.903</w:t>
            </w:r>
          </w:p>
        </w:tc>
        <w:tc>
          <w:tcPr>
            <w:tcW w:w="0" w:type="auto"/>
            <w:tcMar>
              <w:top w:w="30" w:type="dxa"/>
              <w:left w:w="45" w:type="dxa"/>
              <w:bottom w:w="30" w:type="dxa"/>
              <w:right w:w="45" w:type="dxa"/>
            </w:tcMar>
            <w:vAlign w:val="center"/>
            <w:hideMark/>
          </w:tcPr>
          <w:p w14:paraId="7B73DF45"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71.168.344.802</w:t>
            </w:r>
          </w:p>
        </w:tc>
        <w:tc>
          <w:tcPr>
            <w:tcW w:w="0" w:type="auto"/>
            <w:tcMar>
              <w:top w:w="30" w:type="dxa"/>
              <w:left w:w="45" w:type="dxa"/>
              <w:bottom w:w="30" w:type="dxa"/>
              <w:right w:w="45" w:type="dxa"/>
            </w:tcMar>
            <w:vAlign w:val="center"/>
            <w:hideMark/>
          </w:tcPr>
          <w:p w14:paraId="27496476" w14:textId="77777777" w:rsidR="00856F66" w:rsidRPr="00E31657" w:rsidRDefault="00856F66" w:rsidP="00B24742">
            <w:pPr>
              <w:jc w:val="center"/>
              <w:rPr>
                <w:rFonts w:cs="Arial"/>
                <w:sz w:val="16"/>
                <w:szCs w:val="16"/>
                <w:lang w:val="es-ES_tradnl" w:eastAsia="es-MX"/>
              </w:rPr>
            </w:pPr>
            <w:r w:rsidRPr="00E31657">
              <w:rPr>
                <w:rFonts w:cs="Arial"/>
                <w:sz w:val="16"/>
                <w:szCs w:val="16"/>
                <w:lang w:val="es-ES_tradnl" w:eastAsia="es-MX"/>
              </w:rPr>
              <w:t>71.168.407.114</w:t>
            </w:r>
          </w:p>
        </w:tc>
        <w:tc>
          <w:tcPr>
            <w:tcW w:w="0" w:type="auto"/>
            <w:vMerge/>
            <w:vAlign w:val="center"/>
            <w:hideMark/>
          </w:tcPr>
          <w:p w14:paraId="459FC93A" w14:textId="77777777" w:rsidR="00856F66" w:rsidRPr="00E31657" w:rsidRDefault="00856F66" w:rsidP="00B24742">
            <w:pPr>
              <w:rPr>
                <w:rFonts w:cs="Arial"/>
                <w:b/>
                <w:bCs/>
                <w:sz w:val="16"/>
                <w:szCs w:val="16"/>
                <w:lang w:val="es-ES_tradnl" w:eastAsia="es-MX"/>
              </w:rPr>
            </w:pPr>
          </w:p>
        </w:tc>
      </w:tr>
    </w:tbl>
    <w:p w14:paraId="3AD1EC6A" w14:textId="77777777" w:rsidR="00856F66" w:rsidRDefault="00856F66">
      <w:pPr>
        <w:rPr>
          <w:sz w:val="16"/>
          <w:szCs w:val="16"/>
          <w:lang w:val="es-ES_tradnl"/>
        </w:rPr>
      </w:pPr>
    </w:p>
    <w:p w14:paraId="5170EC87" w14:textId="77777777" w:rsidR="00ED49FA" w:rsidRPr="00E31657" w:rsidRDefault="00ED49FA">
      <w:pPr>
        <w:rPr>
          <w:sz w:val="16"/>
          <w:szCs w:val="16"/>
          <w:lang w:val="es-ES_tradnl"/>
        </w:rPr>
      </w:pPr>
    </w:p>
    <w:tbl>
      <w:tblPr>
        <w:tblW w:w="9360" w:type="dxa"/>
        <w:tblCellMar>
          <w:left w:w="0" w:type="dxa"/>
          <w:right w:w="0" w:type="dxa"/>
        </w:tblCellMar>
        <w:tblLook w:val="04A0" w:firstRow="1" w:lastRow="0" w:firstColumn="1" w:lastColumn="0" w:noHBand="0" w:noVBand="1"/>
      </w:tblPr>
      <w:tblGrid>
        <w:gridCol w:w="1478"/>
        <w:gridCol w:w="775"/>
        <w:gridCol w:w="861"/>
        <w:gridCol w:w="1304"/>
        <w:gridCol w:w="1224"/>
        <w:gridCol w:w="1232"/>
        <w:gridCol w:w="1192"/>
        <w:gridCol w:w="1294"/>
      </w:tblGrid>
      <w:tr w:rsidR="00856F66" w:rsidRPr="00E31657" w14:paraId="60766C38" w14:textId="77777777" w:rsidTr="00ED49FA">
        <w:trPr>
          <w:trHeight w:val="315"/>
        </w:trPr>
        <w:tc>
          <w:tcPr>
            <w:tcW w:w="0" w:type="auto"/>
            <w:gridSpan w:val="8"/>
            <w:tcBorders>
              <w:bottom w:val="double" w:sz="4" w:space="0" w:color="C00000"/>
            </w:tcBorders>
            <w:tcMar>
              <w:top w:w="30" w:type="dxa"/>
              <w:left w:w="45" w:type="dxa"/>
              <w:bottom w:w="30" w:type="dxa"/>
              <w:right w:w="45" w:type="dxa"/>
            </w:tcMar>
            <w:vAlign w:val="center"/>
            <w:hideMark/>
          </w:tcPr>
          <w:p w14:paraId="4482940C"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t xml:space="preserve">Programa 26. </w:t>
            </w:r>
            <w:r w:rsidRPr="00E31657">
              <w:rPr>
                <w:rFonts w:cs="Arial"/>
                <w:lang w:val="es-ES_tradnl" w:eastAsia="es-MX"/>
              </w:rPr>
              <w:t>Movilidad Sostenible</w:t>
            </w:r>
          </w:p>
        </w:tc>
      </w:tr>
      <w:tr w:rsidR="00856F66" w:rsidRPr="00E31657" w14:paraId="008A9C13" w14:textId="77777777" w:rsidTr="00ED49FA">
        <w:trPr>
          <w:trHeight w:val="315"/>
        </w:trPr>
        <w:tc>
          <w:tcPr>
            <w:tcW w:w="0" w:type="auto"/>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3A2294B5"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0" w:type="auto"/>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5BAFC0F7"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79A9235D" w14:textId="77777777" w:rsidTr="00ED49FA">
        <w:trPr>
          <w:trHeight w:val="315"/>
        </w:trPr>
        <w:tc>
          <w:tcPr>
            <w:tcW w:w="0" w:type="auto"/>
            <w:vMerge/>
            <w:tcBorders>
              <w:top w:val="double" w:sz="4" w:space="0" w:color="C00000"/>
              <w:bottom w:val="double" w:sz="4" w:space="0" w:color="C00000"/>
              <w:right w:val="double" w:sz="4" w:space="0" w:color="C00000"/>
            </w:tcBorders>
            <w:shd w:val="clear" w:color="auto" w:fill="C00000"/>
            <w:vAlign w:val="center"/>
            <w:hideMark/>
          </w:tcPr>
          <w:p w14:paraId="60923E4C" w14:textId="77777777" w:rsidR="00856F66" w:rsidRPr="00E31657" w:rsidRDefault="00856F66" w:rsidP="00AE6E22">
            <w:pPr>
              <w:rPr>
                <w:rFonts w:cs="Arial"/>
                <w:b/>
                <w:bCs/>
                <w:color w:val="FFFFFF"/>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56CC8B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95C26D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7F4BA9B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4BB1C5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939F78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FD93D3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7C0F7FD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3C5D8EA" w14:textId="77777777" w:rsidTr="00ED49FA">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8BE9E25"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Movilidad</w:t>
            </w:r>
          </w:p>
        </w:tc>
      </w:tr>
      <w:tr w:rsidR="00856F66" w:rsidRPr="00E31657" w14:paraId="5EC0B56E"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1F834B"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Alcanzar 143 kms en operación de troncales de sistema de transporte público masivo (29 kms nuevos)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FC988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114,40</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7378E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Inventario de malla via 2023 -IDU</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F259A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6597A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76FE6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0A025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707BBE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940.565.568.762</w:t>
            </w:r>
          </w:p>
        </w:tc>
      </w:tr>
      <w:tr w:rsidR="00856F66" w:rsidRPr="00E31657" w14:paraId="5EB4C679"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21FD2A5C"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84EC66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11DC24B"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B39A8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41.291.000.000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3BFA5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488.265.048.544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00D3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296.012.819.304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B9BA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114.996.700.914</w:t>
            </w:r>
          </w:p>
        </w:tc>
        <w:tc>
          <w:tcPr>
            <w:tcW w:w="0" w:type="auto"/>
            <w:vMerge/>
            <w:tcBorders>
              <w:top w:val="double" w:sz="4" w:space="0" w:color="C00000"/>
              <w:left w:val="double" w:sz="4" w:space="0" w:color="C00000"/>
              <w:bottom w:val="double" w:sz="4" w:space="0" w:color="C00000"/>
            </w:tcBorders>
            <w:vAlign w:val="center"/>
            <w:hideMark/>
          </w:tcPr>
          <w:p w14:paraId="003A7C07" w14:textId="77777777" w:rsidR="00856F66" w:rsidRPr="00E31657" w:rsidRDefault="00856F66" w:rsidP="00AE6E22">
            <w:pPr>
              <w:rPr>
                <w:rFonts w:cs="Arial"/>
                <w:b/>
                <w:bCs/>
                <w:sz w:val="16"/>
                <w:szCs w:val="16"/>
                <w:lang w:val="es-ES_tradnl" w:eastAsia="es-MX"/>
              </w:rPr>
            </w:pPr>
          </w:p>
        </w:tc>
      </w:tr>
      <w:tr w:rsidR="00856F66" w:rsidRPr="00E31657" w14:paraId="18B8812D"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2EF70F"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 xml:space="preserve">Alcanzar 23 Kilómetros contratados de troncales de sistema de transporte público masivo con perspectiva de integración regional en </w:t>
            </w:r>
            <w:r w:rsidRPr="00E31657">
              <w:rPr>
                <w:rFonts w:cs="Arial"/>
                <w:sz w:val="16"/>
                <w:szCs w:val="16"/>
                <w:lang w:val="es-ES_tradnl" w:eastAsia="es-MX"/>
              </w:rPr>
              <w:lastRenderedPageBreak/>
              <w:t>aquellos corredores con influencia en la ciudad-región.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C8E0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50D7D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760B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A3517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7A00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64A68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755FC2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2.525.825.131.973</w:t>
            </w:r>
          </w:p>
        </w:tc>
      </w:tr>
      <w:tr w:rsidR="00856F66" w:rsidRPr="00E31657" w14:paraId="42431A47"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7940569D"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447B8E0"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E8C3C5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F2F28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515.818.000.000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4FE0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767.705.825.243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55B1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800.740.880.385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74E9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441.560.426.346</w:t>
            </w:r>
          </w:p>
        </w:tc>
        <w:tc>
          <w:tcPr>
            <w:tcW w:w="0" w:type="auto"/>
            <w:vMerge/>
            <w:tcBorders>
              <w:top w:val="double" w:sz="4" w:space="0" w:color="C00000"/>
              <w:left w:val="double" w:sz="4" w:space="0" w:color="C00000"/>
              <w:bottom w:val="double" w:sz="4" w:space="0" w:color="C00000"/>
            </w:tcBorders>
            <w:vAlign w:val="center"/>
            <w:hideMark/>
          </w:tcPr>
          <w:p w14:paraId="6834879A" w14:textId="77777777" w:rsidR="00856F66" w:rsidRPr="00E31657" w:rsidRDefault="00856F66" w:rsidP="00AE6E22">
            <w:pPr>
              <w:rPr>
                <w:rFonts w:cs="Arial"/>
                <w:b/>
                <w:bCs/>
                <w:sz w:val="16"/>
                <w:szCs w:val="16"/>
                <w:lang w:val="es-ES_tradnl" w:eastAsia="es-MX"/>
              </w:rPr>
            </w:pPr>
          </w:p>
        </w:tc>
      </w:tr>
      <w:tr w:rsidR="00856F66" w:rsidRPr="00E31657" w14:paraId="71B62F53"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53EEE3"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Alcanzar 46 enlaces vehiculares.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002C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C42A2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SEGPLAN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9257B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3CB64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2928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138D8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B29127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352.166.767.917</w:t>
            </w:r>
          </w:p>
        </w:tc>
      </w:tr>
      <w:tr w:rsidR="00856F66" w:rsidRPr="00E31657" w14:paraId="52245F8A"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75428A18"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4B8C02B"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EB0F86F"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37606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105.178.000.000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799A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43.306.796.117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2111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118.666.226.789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A574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85.015.745.012</w:t>
            </w:r>
          </w:p>
        </w:tc>
        <w:tc>
          <w:tcPr>
            <w:tcW w:w="0" w:type="auto"/>
            <w:vMerge/>
            <w:tcBorders>
              <w:top w:val="double" w:sz="4" w:space="0" w:color="C00000"/>
              <w:left w:val="double" w:sz="4" w:space="0" w:color="C00000"/>
              <w:bottom w:val="double" w:sz="4" w:space="0" w:color="C00000"/>
            </w:tcBorders>
            <w:vAlign w:val="center"/>
            <w:hideMark/>
          </w:tcPr>
          <w:p w14:paraId="666BD702" w14:textId="77777777" w:rsidR="00856F66" w:rsidRPr="00E31657" w:rsidRDefault="00856F66" w:rsidP="00AE6E22">
            <w:pPr>
              <w:rPr>
                <w:rFonts w:cs="Arial"/>
                <w:b/>
                <w:bCs/>
                <w:sz w:val="16"/>
                <w:szCs w:val="16"/>
                <w:lang w:val="es-ES_tradnl" w:eastAsia="es-MX"/>
              </w:rPr>
            </w:pPr>
          </w:p>
        </w:tc>
      </w:tr>
      <w:tr w:rsidR="00856F66" w:rsidRPr="00E31657" w14:paraId="306811EC"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720115"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Alcanzar el 16% del ciclo de vida del proyecto Línea 2 del Metro (L2MB), correspondiente al inicio del contrato de concesión, la interventoría, PMO e inicio de contratación cambiar por ejecución.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A055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F165D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DB9F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8A66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88279D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8A562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618CC7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416.050.852.592</w:t>
            </w:r>
          </w:p>
        </w:tc>
      </w:tr>
      <w:tr w:rsidR="00856F66" w:rsidRPr="00E31657" w14:paraId="77DBD1ED"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238462C7"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8CE302E"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91B1DEB"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5785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AD5E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1CBF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E826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416.050.852.592</w:t>
            </w:r>
          </w:p>
        </w:tc>
        <w:tc>
          <w:tcPr>
            <w:tcW w:w="0" w:type="auto"/>
            <w:vMerge/>
            <w:tcBorders>
              <w:top w:val="double" w:sz="4" w:space="0" w:color="C00000"/>
              <w:left w:val="double" w:sz="4" w:space="0" w:color="C00000"/>
              <w:bottom w:val="double" w:sz="4" w:space="0" w:color="C00000"/>
            </w:tcBorders>
            <w:vAlign w:val="center"/>
            <w:hideMark/>
          </w:tcPr>
          <w:p w14:paraId="5823FE33" w14:textId="77777777" w:rsidR="00856F66" w:rsidRPr="00E31657" w:rsidRDefault="00856F66" w:rsidP="00AE6E22">
            <w:pPr>
              <w:rPr>
                <w:rFonts w:cs="Arial"/>
                <w:b/>
                <w:bCs/>
                <w:sz w:val="16"/>
                <w:szCs w:val="16"/>
                <w:lang w:val="es-ES_tradnl" w:eastAsia="es-MX"/>
              </w:rPr>
            </w:pPr>
          </w:p>
        </w:tc>
      </w:tr>
      <w:tr w:rsidR="00856F66" w:rsidRPr="00E31657" w14:paraId="7E68ABBD"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711646A"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Conservar 135 kilometros lineales de la red de cicloinfraestructura.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45FEF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190 Kilometros lineales (69,51 idu)</w:t>
            </w:r>
            <w:r w:rsidRPr="00E31657">
              <w:rPr>
                <w:rFonts w:cs="Arial"/>
                <w:sz w:val="16"/>
                <w:szCs w:val="16"/>
                <w:lang w:val="es-ES_tradnl" w:eastAsia="es-MX"/>
              </w:rPr>
              <w:br/>
              <w:t>UMV: 85,47</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5316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Dic 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80212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8371E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B5D4B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ADEE2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7965C8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156.852.540.448</w:t>
            </w:r>
          </w:p>
        </w:tc>
      </w:tr>
      <w:tr w:rsidR="00856F66" w:rsidRPr="00E31657" w14:paraId="2E1DACCF"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109165CD"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4FB31EE"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3B743BD"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AE80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10.358.000.000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735D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51.100.000.000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C845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46.256.009.049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1B63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49.138.531.399</w:t>
            </w:r>
          </w:p>
        </w:tc>
        <w:tc>
          <w:tcPr>
            <w:tcW w:w="0" w:type="auto"/>
            <w:vMerge/>
            <w:tcBorders>
              <w:top w:val="double" w:sz="4" w:space="0" w:color="C00000"/>
              <w:left w:val="double" w:sz="4" w:space="0" w:color="C00000"/>
              <w:bottom w:val="double" w:sz="4" w:space="0" w:color="C00000"/>
            </w:tcBorders>
            <w:vAlign w:val="center"/>
            <w:hideMark/>
          </w:tcPr>
          <w:p w14:paraId="2CCF773A" w14:textId="77777777" w:rsidR="00856F66" w:rsidRPr="00E31657" w:rsidRDefault="00856F66" w:rsidP="00AE6E22">
            <w:pPr>
              <w:rPr>
                <w:rFonts w:cs="Arial"/>
                <w:b/>
                <w:bCs/>
                <w:sz w:val="16"/>
                <w:szCs w:val="16"/>
                <w:lang w:val="es-ES_tradnl" w:eastAsia="es-MX"/>
              </w:rPr>
            </w:pPr>
          </w:p>
        </w:tc>
      </w:tr>
      <w:tr w:rsidR="00856F66" w:rsidRPr="00E31657" w14:paraId="0CB2FF18"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7B58A4"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Conservar 2.915 kilometros-carril de la red vial.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0464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1204,04 </w:t>
            </w:r>
            <w:r w:rsidRPr="00E31657">
              <w:rPr>
                <w:rFonts w:cs="Arial"/>
                <w:sz w:val="16"/>
                <w:szCs w:val="16"/>
                <w:lang w:val="es-ES_tradnl" w:eastAsia="es-MX"/>
              </w:rPr>
              <w:br/>
              <w:t>UMV: 1.610,47</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8E2D3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Dic 2023</w:t>
            </w:r>
            <w:r w:rsidRPr="00E31657">
              <w:rPr>
                <w:rFonts w:cs="Arial"/>
                <w:sz w:val="16"/>
                <w:szCs w:val="16"/>
                <w:lang w:val="es-ES_tradnl" w:eastAsia="es-MX"/>
              </w:rPr>
              <w:br/>
              <w:t>SEGPLAN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69CC6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D29B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B4A22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875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BD57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1.068</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7D1F50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2.128.243.642.897</w:t>
            </w:r>
          </w:p>
        </w:tc>
      </w:tr>
      <w:tr w:rsidR="00856F66" w:rsidRPr="00E31657" w14:paraId="33312A3C"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49F0E980"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A3AACAA"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7FED570"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4F28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345.036.000.000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C4C47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614.776.699.029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B241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643.857.102.460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83F86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524.573.841.408</w:t>
            </w:r>
          </w:p>
        </w:tc>
        <w:tc>
          <w:tcPr>
            <w:tcW w:w="0" w:type="auto"/>
            <w:vMerge/>
            <w:tcBorders>
              <w:top w:val="double" w:sz="4" w:space="0" w:color="C00000"/>
              <w:left w:val="double" w:sz="4" w:space="0" w:color="C00000"/>
              <w:bottom w:val="double" w:sz="4" w:space="0" w:color="C00000"/>
            </w:tcBorders>
            <w:vAlign w:val="center"/>
            <w:hideMark/>
          </w:tcPr>
          <w:p w14:paraId="16DCE45B" w14:textId="77777777" w:rsidR="00856F66" w:rsidRPr="00E31657" w:rsidRDefault="00856F66" w:rsidP="00AE6E22">
            <w:pPr>
              <w:rPr>
                <w:rFonts w:cs="Arial"/>
                <w:b/>
                <w:bCs/>
                <w:sz w:val="16"/>
                <w:szCs w:val="16"/>
                <w:lang w:val="es-ES_tradnl" w:eastAsia="es-MX"/>
              </w:rPr>
            </w:pPr>
          </w:p>
        </w:tc>
      </w:tr>
      <w:tr w:rsidR="00856F66" w:rsidRPr="00E31657" w14:paraId="606D68CB"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2E1BF7"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Construir 59 kilómetros lineales de la red de cicloinfraestructura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F36FE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40,1</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17D77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Dic 2023</w:t>
            </w:r>
            <w:r w:rsidRPr="00E31657">
              <w:rPr>
                <w:rFonts w:cs="Arial"/>
                <w:sz w:val="16"/>
                <w:szCs w:val="16"/>
                <w:lang w:val="es-ES_tradnl" w:eastAsia="es-MX"/>
              </w:rPr>
              <w:br/>
              <w:t>SEGPLAN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B1D87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C943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2B88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13AF4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A378EC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293.358.922.962</w:t>
            </w:r>
          </w:p>
        </w:tc>
      </w:tr>
      <w:tr w:rsidR="00856F66" w:rsidRPr="00E31657" w14:paraId="6CB9F496"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605A214A"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CBC0326"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3D1BEE4"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9514D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12.593.000.000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4E02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26.488.349.515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B76D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112.073.711.000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E7A48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142.203.862.447</w:t>
            </w:r>
          </w:p>
        </w:tc>
        <w:tc>
          <w:tcPr>
            <w:tcW w:w="0" w:type="auto"/>
            <w:vMerge/>
            <w:tcBorders>
              <w:top w:val="double" w:sz="4" w:space="0" w:color="C00000"/>
              <w:left w:val="double" w:sz="4" w:space="0" w:color="C00000"/>
              <w:bottom w:val="double" w:sz="4" w:space="0" w:color="C00000"/>
            </w:tcBorders>
            <w:vAlign w:val="center"/>
            <w:hideMark/>
          </w:tcPr>
          <w:p w14:paraId="799F3B7C" w14:textId="77777777" w:rsidR="00856F66" w:rsidRPr="00E31657" w:rsidRDefault="00856F66" w:rsidP="00AE6E22">
            <w:pPr>
              <w:rPr>
                <w:rFonts w:cs="Arial"/>
                <w:b/>
                <w:bCs/>
                <w:sz w:val="16"/>
                <w:szCs w:val="16"/>
                <w:lang w:val="es-ES_tradnl" w:eastAsia="es-MX"/>
              </w:rPr>
            </w:pPr>
          </w:p>
        </w:tc>
      </w:tr>
      <w:tr w:rsidR="00856F66" w:rsidRPr="00E31657" w14:paraId="26499E8C"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E9181A"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Construir 80 Km/carril de malla vial en la ciudad.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4E6F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129,19</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238A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IDU</w:t>
            </w:r>
            <w:r w:rsidRPr="00E31657">
              <w:rPr>
                <w:rFonts w:cs="Arial"/>
                <w:sz w:val="16"/>
                <w:szCs w:val="16"/>
                <w:lang w:val="es-ES_tradnl" w:eastAsia="es-MX"/>
              </w:rPr>
              <w:br/>
              <w:t>Reporte PDD Dic 2023</w:t>
            </w:r>
            <w:r w:rsidRPr="00E31657">
              <w:rPr>
                <w:rFonts w:cs="Arial"/>
                <w:sz w:val="16"/>
                <w:szCs w:val="16"/>
                <w:lang w:val="es-ES_tradnl" w:eastAsia="es-MX"/>
              </w:rPr>
              <w:br/>
              <w:t>SEGPLAN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76BD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48039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BDA32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27C71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90E57C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1.767.966.317.733</w:t>
            </w:r>
          </w:p>
        </w:tc>
      </w:tr>
      <w:tr w:rsidR="00856F66" w:rsidRPr="00E31657" w14:paraId="45D6DAC2"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71541801"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229D294"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980471D"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350B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1.447.051.000.000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F725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156.248.543.689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750F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109.115.845.037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D683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55.550.929.006</w:t>
            </w:r>
          </w:p>
        </w:tc>
        <w:tc>
          <w:tcPr>
            <w:tcW w:w="0" w:type="auto"/>
            <w:vMerge/>
            <w:tcBorders>
              <w:top w:val="double" w:sz="4" w:space="0" w:color="C00000"/>
              <w:left w:val="double" w:sz="4" w:space="0" w:color="C00000"/>
              <w:bottom w:val="double" w:sz="4" w:space="0" w:color="C00000"/>
            </w:tcBorders>
            <w:vAlign w:val="center"/>
            <w:hideMark/>
          </w:tcPr>
          <w:p w14:paraId="2F82BE9A" w14:textId="77777777" w:rsidR="00856F66" w:rsidRPr="00E31657" w:rsidRDefault="00856F66" w:rsidP="00AE6E22">
            <w:pPr>
              <w:rPr>
                <w:rFonts w:cs="Arial"/>
                <w:b/>
                <w:bCs/>
                <w:sz w:val="16"/>
                <w:szCs w:val="16"/>
                <w:lang w:val="es-ES_tradnl" w:eastAsia="es-MX"/>
              </w:rPr>
            </w:pPr>
          </w:p>
        </w:tc>
      </w:tr>
      <w:tr w:rsidR="00856F66" w:rsidRPr="00E31657" w14:paraId="3170EF09"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9322E2"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lastRenderedPageBreak/>
              <w:t xml:space="preserve">Contratar 1 línea de cable </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AE33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EF62C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AE378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95F75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3E734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D997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698DD5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488.262.884.005</w:t>
            </w:r>
          </w:p>
        </w:tc>
      </w:tr>
      <w:tr w:rsidR="00856F66" w:rsidRPr="00E31657" w14:paraId="516F06FB"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548EF33A"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B15D270"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F36C869"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B347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31.350.000.000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B98E9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237.330.097.087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9F508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174.821.378.075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E03A0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44.761.408.842</w:t>
            </w:r>
          </w:p>
        </w:tc>
        <w:tc>
          <w:tcPr>
            <w:tcW w:w="0" w:type="auto"/>
            <w:vMerge/>
            <w:tcBorders>
              <w:top w:val="double" w:sz="4" w:space="0" w:color="C00000"/>
              <w:left w:val="double" w:sz="4" w:space="0" w:color="C00000"/>
              <w:bottom w:val="double" w:sz="4" w:space="0" w:color="C00000"/>
            </w:tcBorders>
            <w:vAlign w:val="center"/>
            <w:hideMark/>
          </w:tcPr>
          <w:p w14:paraId="13201915" w14:textId="77777777" w:rsidR="00856F66" w:rsidRPr="00E31657" w:rsidRDefault="00856F66" w:rsidP="00AE6E22">
            <w:pPr>
              <w:rPr>
                <w:rFonts w:cs="Arial"/>
                <w:b/>
                <w:bCs/>
                <w:sz w:val="16"/>
                <w:szCs w:val="16"/>
                <w:lang w:val="es-ES_tradnl" w:eastAsia="es-MX"/>
              </w:rPr>
            </w:pPr>
          </w:p>
        </w:tc>
      </w:tr>
      <w:tr w:rsidR="00856F66" w:rsidRPr="00E31657" w14:paraId="221ECDC6"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6BA88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Contratar 50 Km/carrill de malla vial en la ciudad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2DC2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95FD7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28DE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E2FC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0E6C2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584D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292504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1.824.398.942.282</w:t>
            </w:r>
          </w:p>
        </w:tc>
      </w:tr>
      <w:tr w:rsidR="00856F66" w:rsidRPr="00E31657" w14:paraId="438B63BB"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12C8E2D3"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FB26D7A"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B1EBD55"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5241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18.989.000.000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FB3C3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6F014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622.276.369.121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90FFD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1.183.133.573.161</w:t>
            </w:r>
          </w:p>
        </w:tc>
        <w:tc>
          <w:tcPr>
            <w:tcW w:w="0" w:type="auto"/>
            <w:vMerge/>
            <w:tcBorders>
              <w:top w:val="double" w:sz="4" w:space="0" w:color="C00000"/>
              <w:left w:val="double" w:sz="4" w:space="0" w:color="C00000"/>
              <w:bottom w:val="double" w:sz="4" w:space="0" w:color="C00000"/>
            </w:tcBorders>
            <w:vAlign w:val="center"/>
            <w:hideMark/>
          </w:tcPr>
          <w:p w14:paraId="7CB4EA3F" w14:textId="77777777" w:rsidR="00856F66" w:rsidRPr="00E31657" w:rsidRDefault="00856F66" w:rsidP="00AE6E22">
            <w:pPr>
              <w:rPr>
                <w:rFonts w:cs="Arial"/>
                <w:b/>
                <w:bCs/>
                <w:sz w:val="16"/>
                <w:szCs w:val="16"/>
                <w:lang w:val="es-ES_tradnl" w:eastAsia="es-MX"/>
              </w:rPr>
            </w:pPr>
          </w:p>
        </w:tc>
      </w:tr>
      <w:tr w:rsidR="00856F66" w:rsidRPr="00E31657" w14:paraId="2E0C10D4"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7DC5B0"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Desarrollar al menos 1 Proyecto de Desarrollo Urbanístico y/o Proyecto de Renovación Urbana para la Movilidad Sostenible (PRUMS) y/o Complejo de Integración Modal (CIM) de la red de transporte público.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15D9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360D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A7AF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FA803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159BA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00BE8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199A2E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20.971.871.291</w:t>
            </w:r>
          </w:p>
        </w:tc>
      </w:tr>
      <w:tr w:rsidR="00856F66" w:rsidRPr="00E31657" w14:paraId="4FD4C8A2"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1FEE5E5F"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6A735AF"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7C345E1"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5C914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3DD7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79EA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19.842.586.483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1FA9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1.129.284.808</w:t>
            </w:r>
          </w:p>
        </w:tc>
        <w:tc>
          <w:tcPr>
            <w:tcW w:w="0" w:type="auto"/>
            <w:vMerge/>
            <w:tcBorders>
              <w:top w:val="double" w:sz="4" w:space="0" w:color="C00000"/>
              <w:left w:val="double" w:sz="4" w:space="0" w:color="C00000"/>
              <w:bottom w:val="double" w:sz="4" w:space="0" w:color="C00000"/>
            </w:tcBorders>
            <w:vAlign w:val="center"/>
            <w:hideMark/>
          </w:tcPr>
          <w:p w14:paraId="0BBC3F4B" w14:textId="77777777" w:rsidR="00856F66" w:rsidRPr="00E31657" w:rsidRDefault="00856F66" w:rsidP="00AE6E22">
            <w:pPr>
              <w:rPr>
                <w:rFonts w:cs="Arial"/>
                <w:b/>
                <w:bCs/>
                <w:sz w:val="16"/>
                <w:szCs w:val="16"/>
                <w:lang w:val="es-ES_tradnl" w:eastAsia="es-MX"/>
              </w:rPr>
            </w:pPr>
          </w:p>
        </w:tc>
      </w:tr>
      <w:tr w:rsidR="00856F66" w:rsidRPr="00E31657" w14:paraId="67012F04"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21C505"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Diseñar y contratar el 100% de la construcción de la estación central del Sistema TransMilenio.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90264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1A88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E815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7F25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C2CE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7213D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57079E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98.835.299.210</w:t>
            </w:r>
          </w:p>
        </w:tc>
      </w:tr>
      <w:tr w:rsidR="00856F66" w:rsidRPr="00E31657" w14:paraId="56BF77AA"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33758AB7"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F57554A"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46FC450"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CAEF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40C1B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53C7E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295EB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98.835.299.210</w:t>
            </w:r>
          </w:p>
        </w:tc>
        <w:tc>
          <w:tcPr>
            <w:tcW w:w="0" w:type="auto"/>
            <w:vMerge/>
            <w:tcBorders>
              <w:top w:val="double" w:sz="4" w:space="0" w:color="C00000"/>
              <w:left w:val="double" w:sz="4" w:space="0" w:color="C00000"/>
              <w:bottom w:val="double" w:sz="4" w:space="0" w:color="C00000"/>
            </w:tcBorders>
            <w:vAlign w:val="center"/>
            <w:hideMark/>
          </w:tcPr>
          <w:p w14:paraId="4C223105" w14:textId="77777777" w:rsidR="00856F66" w:rsidRPr="00E31657" w:rsidRDefault="00856F66" w:rsidP="00AE6E22">
            <w:pPr>
              <w:rPr>
                <w:rFonts w:cs="Arial"/>
                <w:b/>
                <w:bCs/>
                <w:sz w:val="16"/>
                <w:szCs w:val="16"/>
                <w:lang w:val="es-ES_tradnl" w:eastAsia="es-MX"/>
              </w:rPr>
            </w:pPr>
          </w:p>
        </w:tc>
      </w:tr>
      <w:tr w:rsidR="00856F66" w:rsidRPr="00E31657" w14:paraId="56E73EDD"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5E8F5A"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Ejecutar 100% de las acciones para el mantenimiento y mejoramiento de las estaciones del Sistema Integrado de Transporte Público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AE13F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409AE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83AE9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CEB27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A0B1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C49A8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468789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239.313.443.381</w:t>
            </w:r>
          </w:p>
        </w:tc>
      </w:tr>
      <w:tr w:rsidR="00856F66" w:rsidRPr="00E31657" w14:paraId="12AE8542"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00638C1A"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6027B2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83AE8AD"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FCF97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58.335.000.000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FB423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84.305.825.243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2894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53.658.214.723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CA15E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43.014.403.415</w:t>
            </w:r>
          </w:p>
        </w:tc>
        <w:tc>
          <w:tcPr>
            <w:tcW w:w="0" w:type="auto"/>
            <w:vMerge/>
            <w:tcBorders>
              <w:top w:val="double" w:sz="4" w:space="0" w:color="C00000"/>
              <w:left w:val="double" w:sz="4" w:space="0" w:color="C00000"/>
              <w:bottom w:val="double" w:sz="4" w:space="0" w:color="C00000"/>
            </w:tcBorders>
            <w:vAlign w:val="center"/>
            <w:hideMark/>
          </w:tcPr>
          <w:p w14:paraId="2DB84EA9" w14:textId="77777777" w:rsidR="00856F66" w:rsidRPr="00E31657" w:rsidRDefault="00856F66" w:rsidP="00AE6E22">
            <w:pPr>
              <w:rPr>
                <w:rFonts w:cs="Arial"/>
                <w:b/>
                <w:bCs/>
                <w:sz w:val="16"/>
                <w:szCs w:val="16"/>
                <w:lang w:val="es-ES_tradnl" w:eastAsia="es-MX"/>
              </w:rPr>
            </w:pPr>
          </w:p>
        </w:tc>
      </w:tr>
      <w:tr w:rsidR="00856F66" w:rsidRPr="00E31657" w14:paraId="234EEA03"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3B02FA"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Ejecutar 3 intervenciones en la infraestructura física existente del componente troncal orientadas a optimizar la operación y mejorar la calidad del servicio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EE0E0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9D213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114DA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DC920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DADD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6A92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074939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5.713.649.689</w:t>
            </w:r>
          </w:p>
        </w:tc>
      </w:tr>
      <w:tr w:rsidR="00856F66" w:rsidRPr="00E31657" w14:paraId="13ABCF92"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25744CF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9BA157E"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2D77A95"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8691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7781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5.316.504.854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AA4D8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139.504.195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6D53B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165.640.640</w:t>
            </w:r>
          </w:p>
        </w:tc>
        <w:tc>
          <w:tcPr>
            <w:tcW w:w="0" w:type="auto"/>
            <w:vMerge/>
            <w:tcBorders>
              <w:top w:val="double" w:sz="4" w:space="0" w:color="C00000"/>
              <w:left w:val="double" w:sz="4" w:space="0" w:color="C00000"/>
              <w:bottom w:val="double" w:sz="4" w:space="0" w:color="C00000"/>
            </w:tcBorders>
            <w:vAlign w:val="center"/>
            <w:hideMark/>
          </w:tcPr>
          <w:p w14:paraId="5031703E" w14:textId="77777777" w:rsidR="00856F66" w:rsidRPr="00E31657" w:rsidRDefault="00856F66" w:rsidP="00AE6E22">
            <w:pPr>
              <w:rPr>
                <w:rFonts w:cs="Arial"/>
                <w:b/>
                <w:bCs/>
                <w:sz w:val="16"/>
                <w:szCs w:val="16"/>
                <w:lang w:val="es-ES_tradnl" w:eastAsia="es-MX"/>
              </w:rPr>
            </w:pPr>
          </w:p>
        </w:tc>
      </w:tr>
      <w:tr w:rsidR="00856F66" w:rsidRPr="00E31657" w14:paraId="72E81FA8"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46CDB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 xml:space="preserve">Ejecutar el 100% de las actividades de planeación gestión y control del Sistema Integrado de </w:t>
            </w:r>
            <w:r w:rsidRPr="00E31657">
              <w:rPr>
                <w:rFonts w:cs="Arial"/>
                <w:sz w:val="16"/>
                <w:szCs w:val="16"/>
                <w:lang w:val="es-ES_tradnl" w:eastAsia="es-MX"/>
              </w:rPr>
              <w:lastRenderedPageBreak/>
              <w:t>Transporte Público de Bogotá.</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4F79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03FC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F842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0921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F474B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2610F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86557D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506.274.564.969</w:t>
            </w:r>
          </w:p>
        </w:tc>
      </w:tr>
      <w:tr w:rsidR="00856F66" w:rsidRPr="00E31657" w14:paraId="23015FC4"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4E136B96"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A134790"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0AD32A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7C4A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128.765.000.000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333B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81.374.757.282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6B8FD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150.391.177.302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7B372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145.743.630.385</w:t>
            </w:r>
          </w:p>
        </w:tc>
        <w:tc>
          <w:tcPr>
            <w:tcW w:w="0" w:type="auto"/>
            <w:vMerge/>
            <w:tcBorders>
              <w:top w:val="double" w:sz="4" w:space="0" w:color="C00000"/>
              <w:left w:val="double" w:sz="4" w:space="0" w:color="C00000"/>
              <w:bottom w:val="double" w:sz="4" w:space="0" w:color="C00000"/>
            </w:tcBorders>
            <w:vAlign w:val="center"/>
            <w:hideMark/>
          </w:tcPr>
          <w:p w14:paraId="2500992F" w14:textId="77777777" w:rsidR="00856F66" w:rsidRPr="00E31657" w:rsidRDefault="00856F66" w:rsidP="00AE6E22">
            <w:pPr>
              <w:rPr>
                <w:rFonts w:cs="Arial"/>
                <w:b/>
                <w:bCs/>
                <w:sz w:val="16"/>
                <w:szCs w:val="16"/>
                <w:lang w:val="es-ES_tradnl" w:eastAsia="es-MX"/>
              </w:rPr>
            </w:pPr>
          </w:p>
        </w:tc>
      </w:tr>
      <w:tr w:rsidR="00856F66" w:rsidRPr="00E31657" w14:paraId="0A220A05"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C3A4D1"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Estructurar el 100% del Sistema Interoperable de Recaudo para los Sistemas de transporte público masivo disponibles de la ciudad con los componentes tecnológicos asociados.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96AB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4816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9060F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E4744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4E1A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4FA57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28A992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140.843.695.718</w:t>
            </w:r>
          </w:p>
        </w:tc>
      </w:tr>
      <w:tr w:rsidR="00856F66" w:rsidRPr="00E31657" w14:paraId="2AB31681"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56E712AB"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9C41471"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2512996"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B547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41.533.000.000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762BD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22.382.524.272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7C4D5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39.667.263.644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B0D19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37.260.907.802</w:t>
            </w:r>
          </w:p>
        </w:tc>
        <w:tc>
          <w:tcPr>
            <w:tcW w:w="0" w:type="auto"/>
            <w:vMerge/>
            <w:tcBorders>
              <w:top w:val="double" w:sz="4" w:space="0" w:color="C00000"/>
              <w:left w:val="double" w:sz="4" w:space="0" w:color="C00000"/>
              <w:bottom w:val="double" w:sz="4" w:space="0" w:color="C00000"/>
            </w:tcBorders>
            <w:vAlign w:val="center"/>
            <w:hideMark/>
          </w:tcPr>
          <w:p w14:paraId="40662C02" w14:textId="77777777" w:rsidR="00856F66" w:rsidRPr="00E31657" w:rsidRDefault="00856F66" w:rsidP="00AE6E22">
            <w:pPr>
              <w:rPr>
                <w:rFonts w:cs="Arial"/>
                <w:b/>
                <w:bCs/>
                <w:sz w:val="16"/>
                <w:szCs w:val="16"/>
                <w:lang w:val="es-ES_tradnl" w:eastAsia="es-MX"/>
              </w:rPr>
            </w:pPr>
          </w:p>
        </w:tc>
      </w:tr>
      <w:tr w:rsidR="00856F66" w:rsidRPr="00E31657" w14:paraId="08DE94E3"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731B2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Estructurar proyectos viales correspondientes a 270 km carril de malla vial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E625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32BFC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F46BA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D35D4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AF5F8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F101A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EDA543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13.339.955.908</w:t>
            </w:r>
          </w:p>
        </w:tc>
      </w:tr>
      <w:tr w:rsidR="00856F66" w:rsidRPr="00E31657" w14:paraId="0251167C"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5E026B15"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DD2DB53"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D34B8B3"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9E71B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7C2B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7.475.728.155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9AE1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3.393.345.273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BD10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2.470.882.480</w:t>
            </w:r>
          </w:p>
        </w:tc>
        <w:tc>
          <w:tcPr>
            <w:tcW w:w="0" w:type="auto"/>
            <w:vMerge/>
            <w:tcBorders>
              <w:top w:val="double" w:sz="4" w:space="0" w:color="C00000"/>
              <w:left w:val="double" w:sz="4" w:space="0" w:color="C00000"/>
              <w:bottom w:val="double" w:sz="4" w:space="0" w:color="C00000"/>
            </w:tcBorders>
            <w:vAlign w:val="center"/>
            <w:hideMark/>
          </w:tcPr>
          <w:p w14:paraId="6D1CBB7A" w14:textId="77777777" w:rsidR="00856F66" w:rsidRPr="00E31657" w:rsidRDefault="00856F66" w:rsidP="00AE6E22">
            <w:pPr>
              <w:rPr>
                <w:rFonts w:cs="Arial"/>
                <w:b/>
                <w:bCs/>
                <w:sz w:val="16"/>
                <w:szCs w:val="16"/>
                <w:lang w:val="es-ES_tradnl" w:eastAsia="es-MX"/>
              </w:rPr>
            </w:pPr>
          </w:p>
        </w:tc>
      </w:tr>
      <w:tr w:rsidR="00856F66" w:rsidRPr="00E31657" w14:paraId="429A928D"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D83A88"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Estructurar una línea de cable (estudios y diseños Fase I)</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4A690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ACC2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B483F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36976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5A547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567D0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AB37BA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9.858.534.620</w:t>
            </w:r>
          </w:p>
        </w:tc>
      </w:tr>
      <w:tr w:rsidR="00856F66" w:rsidRPr="00E31657" w14:paraId="6CC6122A"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3EF4F481"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654C510"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D18EC9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39981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1.480.000.000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8CF4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8.145.631.068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81A27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141.389.386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43A4A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91.514.166</w:t>
            </w:r>
          </w:p>
        </w:tc>
        <w:tc>
          <w:tcPr>
            <w:tcW w:w="0" w:type="auto"/>
            <w:vMerge/>
            <w:tcBorders>
              <w:top w:val="double" w:sz="4" w:space="0" w:color="C00000"/>
              <w:left w:val="double" w:sz="4" w:space="0" w:color="C00000"/>
              <w:bottom w:val="double" w:sz="4" w:space="0" w:color="C00000"/>
            </w:tcBorders>
            <w:vAlign w:val="center"/>
            <w:hideMark/>
          </w:tcPr>
          <w:p w14:paraId="6C113FB6" w14:textId="77777777" w:rsidR="00856F66" w:rsidRPr="00E31657" w:rsidRDefault="00856F66" w:rsidP="00AE6E22">
            <w:pPr>
              <w:rPr>
                <w:rFonts w:cs="Arial"/>
                <w:b/>
                <w:bCs/>
                <w:sz w:val="16"/>
                <w:szCs w:val="16"/>
                <w:lang w:val="es-ES_tradnl" w:eastAsia="es-MX"/>
              </w:rPr>
            </w:pPr>
          </w:p>
        </w:tc>
      </w:tr>
      <w:tr w:rsidR="00856F66" w:rsidRPr="00E31657" w14:paraId="2CEADB55"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B3C894"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Generar 5.000 nuevos cupos de cicloparqueaderos seguros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2277D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3401</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5CFF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Inventario Red de cicloparqueaderos - SDM</w:t>
            </w:r>
            <w:r w:rsidRPr="00E31657">
              <w:rPr>
                <w:rFonts w:cs="Arial"/>
                <w:sz w:val="16"/>
                <w:szCs w:val="16"/>
                <w:lang w:val="es-ES_tradnl" w:eastAsia="es-MX"/>
              </w:rPr>
              <w:br/>
              <w:t>SEGPLAN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B71D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03AA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BB1EB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95E91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E1CAB7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10.766.162.101</w:t>
            </w:r>
          </w:p>
        </w:tc>
      </w:tr>
      <w:tr w:rsidR="00856F66" w:rsidRPr="00E31657" w14:paraId="3C5E039D"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48ED2352"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C70D9A7"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05AC5D8"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64B1B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1.282.000.000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02361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3.883.495.146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E2A35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3.770.383.637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A132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1.830.283.319</w:t>
            </w:r>
          </w:p>
        </w:tc>
        <w:tc>
          <w:tcPr>
            <w:tcW w:w="0" w:type="auto"/>
            <w:vMerge/>
            <w:tcBorders>
              <w:top w:val="double" w:sz="4" w:space="0" w:color="C00000"/>
              <w:left w:val="double" w:sz="4" w:space="0" w:color="C00000"/>
              <w:bottom w:val="double" w:sz="4" w:space="0" w:color="C00000"/>
            </w:tcBorders>
            <w:vAlign w:val="center"/>
            <w:hideMark/>
          </w:tcPr>
          <w:p w14:paraId="76126FF5" w14:textId="77777777" w:rsidR="00856F66" w:rsidRPr="00E31657" w:rsidRDefault="00856F66" w:rsidP="00AE6E22">
            <w:pPr>
              <w:rPr>
                <w:rFonts w:cs="Arial"/>
                <w:b/>
                <w:bCs/>
                <w:sz w:val="16"/>
                <w:szCs w:val="16"/>
                <w:lang w:val="es-ES_tradnl" w:eastAsia="es-MX"/>
              </w:rPr>
            </w:pPr>
          </w:p>
        </w:tc>
      </w:tr>
      <w:tr w:rsidR="00856F66" w:rsidRPr="00E31657" w14:paraId="1E17FBD5"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BD7061"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Implementar el 23% de la inserción urbana del Regiotram de Occidente.</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78D2A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B6AE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5DFE7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F6FF7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B2ED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405C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1261C4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288.061.535.044</w:t>
            </w:r>
          </w:p>
        </w:tc>
      </w:tr>
      <w:tr w:rsidR="00856F66" w:rsidRPr="00E31657" w14:paraId="2ABC6E2D"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1924CFA8"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43F1921"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3B3CA3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60DD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1.452.000.000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27AC5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78.724.271.845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0BA28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151.972.853.238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6616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55.912.409.962</w:t>
            </w:r>
          </w:p>
        </w:tc>
        <w:tc>
          <w:tcPr>
            <w:tcW w:w="0" w:type="auto"/>
            <w:vMerge/>
            <w:tcBorders>
              <w:top w:val="double" w:sz="4" w:space="0" w:color="C00000"/>
              <w:left w:val="double" w:sz="4" w:space="0" w:color="C00000"/>
              <w:bottom w:val="double" w:sz="4" w:space="0" w:color="C00000"/>
            </w:tcBorders>
            <w:vAlign w:val="center"/>
            <w:hideMark/>
          </w:tcPr>
          <w:p w14:paraId="4F73DB99" w14:textId="77777777" w:rsidR="00856F66" w:rsidRPr="00E31657" w:rsidRDefault="00856F66" w:rsidP="00AE6E22">
            <w:pPr>
              <w:rPr>
                <w:rFonts w:cs="Arial"/>
                <w:b/>
                <w:bCs/>
                <w:sz w:val="16"/>
                <w:szCs w:val="16"/>
                <w:lang w:val="es-ES_tradnl" w:eastAsia="es-MX"/>
              </w:rPr>
            </w:pPr>
          </w:p>
        </w:tc>
      </w:tr>
      <w:tr w:rsidR="00856F66" w:rsidRPr="00E31657" w14:paraId="5A34DA1D"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DB75EA"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Incrementar en 613 los vehículos de cero o bajas emisiones vinculados en el Sistema Integrado de Transporte Público (SITP)</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4743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4903</w:t>
            </w:r>
            <w:r w:rsidRPr="00E31657">
              <w:rPr>
                <w:rFonts w:cs="Arial"/>
                <w:sz w:val="16"/>
                <w:szCs w:val="16"/>
                <w:lang w:val="es-ES_tradnl" w:eastAsia="es-MX"/>
              </w:rPr>
              <w:br/>
              <w:t>(2024)</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E29BF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Registro Distrital Automotor RDA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8700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38205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3D29C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77B8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613,00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1FCCC4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244.895.545.090</w:t>
            </w:r>
          </w:p>
        </w:tc>
      </w:tr>
      <w:tr w:rsidR="00856F66" w:rsidRPr="00E31657" w14:paraId="389D9C01"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38A07815"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F2B9D8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7477DC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B193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6D31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27.210.679.612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06CE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108.842.492.224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2ACAB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108.842.373.255</w:t>
            </w:r>
          </w:p>
        </w:tc>
        <w:tc>
          <w:tcPr>
            <w:tcW w:w="0" w:type="auto"/>
            <w:vMerge/>
            <w:tcBorders>
              <w:top w:val="double" w:sz="4" w:space="0" w:color="C00000"/>
              <w:left w:val="double" w:sz="4" w:space="0" w:color="C00000"/>
              <w:bottom w:val="double" w:sz="4" w:space="0" w:color="C00000"/>
            </w:tcBorders>
            <w:vAlign w:val="center"/>
            <w:hideMark/>
          </w:tcPr>
          <w:p w14:paraId="4BAFF6D8" w14:textId="77777777" w:rsidR="00856F66" w:rsidRPr="00E31657" w:rsidRDefault="00856F66" w:rsidP="00AE6E22">
            <w:pPr>
              <w:rPr>
                <w:rFonts w:cs="Arial"/>
                <w:b/>
                <w:bCs/>
                <w:sz w:val="16"/>
                <w:szCs w:val="16"/>
                <w:lang w:val="es-ES_tradnl" w:eastAsia="es-MX"/>
              </w:rPr>
            </w:pPr>
          </w:p>
        </w:tc>
      </w:tr>
      <w:tr w:rsidR="00856F66" w:rsidRPr="00E31657" w14:paraId="51355561"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769C8C"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 xml:space="preserve">Iniciar la operación de 1 línea de cable </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6053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73B2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95BE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AFFD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8AF1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6739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E042CB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31.485.472.584</w:t>
            </w:r>
          </w:p>
        </w:tc>
      </w:tr>
      <w:tr w:rsidR="00856F66" w:rsidRPr="00E31657" w14:paraId="69EA8BF2"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06195AB6"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5B99DE2"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CEAAF90"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5DCD3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97007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7.766.990.291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F999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6.567.065.699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799C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9.151.416.594</w:t>
            </w:r>
          </w:p>
        </w:tc>
        <w:tc>
          <w:tcPr>
            <w:tcW w:w="0" w:type="auto"/>
            <w:vMerge/>
            <w:tcBorders>
              <w:top w:val="double" w:sz="4" w:space="0" w:color="C00000"/>
              <w:left w:val="double" w:sz="4" w:space="0" w:color="C00000"/>
              <w:bottom w:val="double" w:sz="4" w:space="0" w:color="C00000"/>
            </w:tcBorders>
            <w:vAlign w:val="center"/>
            <w:hideMark/>
          </w:tcPr>
          <w:p w14:paraId="7082EDD2" w14:textId="77777777" w:rsidR="00856F66" w:rsidRPr="00E31657" w:rsidRDefault="00856F66" w:rsidP="00AE6E22">
            <w:pPr>
              <w:rPr>
                <w:rFonts w:cs="Arial"/>
                <w:b/>
                <w:bCs/>
                <w:sz w:val="16"/>
                <w:szCs w:val="16"/>
                <w:lang w:val="es-ES_tradnl" w:eastAsia="es-MX"/>
              </w:rPr>
            </w:pPr>
          </w:p>
        </w:tc>
      </w:tr>
      <w:tr w:rsidR="00856F66" w:rsidRPr="00E31657" w14:paraId="6109A88E"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07AA17"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Intervenir 20 puntos críticos de la malla vial rural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1512C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7DBDF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ECD7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12AF1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D414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2D965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2EE74F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5.691.500.439</w:t>
            </w:r>
          </w:p>
        </w:tc>
      </w:tr>
      <w:tr w:rsidR="00856F66" w:rsidRPr="00E31657" w14:paraId="59B4E42D"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4A94295A"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1032C66"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1CB2290"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F9E28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74245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1.747.572.816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A218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1.696.672.636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7FE3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1.647.254.987</w:t>
            </w:r>
          </w:p>
        </w:tc>
        <w:tc>
          <w:tcPr>
            <w:tcW w:w="0" w:type="auto"/>
            <w:vMerge/>
            <w:tcBorders>
              <w:top w:val="double" w:sz="4" w:space="0" w:color="C00000"/>
              <w:left w:val="double" w:sz="4" w:space="0" w:color="C00000"/>
              <w:bottom w:val="double" w:sz="4" w:space="0" w:color="C00000"/>
            </w:tcBorders>
            <w:vAlign w:val="center"/>
            <w:hideMark/>
          </w:tcPr>
          <w:p w14:paraId="1150896D" w14:textId="77777777" w:rsidR="00856F66" w:rsidRPr="00E31657" w:rsidRDefault="00856F66" w:rsidP="00AE6E22">
            <w:pPr>
              <w:rPr>
                <w:rFonts w:cs="Arial"/>
                <w:b/>
                <w:bCs/>
                <w:sz w:val="16"/>
                <w:szCs w:val="16"/>
                <w:lang w:val="es-ES_tradnl" w:eastAsia="es-MX"/>
              </w:rPr>
            </w:pPr>
          </w:p>
        </w:tc>
      </w:tr>
      <w:tr w:rsidR="00856F66" w:rsidRPr="00E31657" w14:paraId="17F49768"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A27A6D"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Lograr 9.200.000 viajes en modos sostenibles en un día hábil entre semana en Bogotá-Región.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3F668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10195243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4D85C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Encuesta de Movilidad 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125F2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8.727.568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D8A9D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8.777.297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F96F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8.839.459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39867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9.200.000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1E9231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150.983.680.136</w:t>
            </w:r>
          </w:p>
        </w:tc>
      </w:tr>
      <w:tr w:rsidR="00856F66" w:rsidRPr="00E31657" w14:paraId="15765E41"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1D61271B"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32604B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490768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2068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33.472.000.000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596E9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39.002.912.621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F4EC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39.169.573.004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23B89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39.339.194.511</w:t>
            </w:r>
          </w:p>
        </w:tc>
        <w:tc>
          <w:tcPr>
            <w:tcW w:w="0" w:type="auto"/>
            <w:vMerge/>
            <w:tcBorders>
              <w:top w:val="double" w:sz="4" w:space="0" w:color="C00000"/>
              <w:left w:val="double" w:sz="4" w:space="0" w:color="C00000"/>
              <w:bottom w:val="double" w:sz="4" w:space="0" w:color="C00000"/>
            </w:tcBorders>
            <w:vAlign w:val="center"/>
            <w:hideMark/>
          </w:tcPr>
          <w:p w14:paraId="146C2FE7" w14:textId="77777777" w:rsidR="00856F66" w:rsidRPr="00E31657" w:rsidRDefault="00856F66" w:rsidP="00AE6E22">
            <w:pPr>
              <w:rPr>
                <w:rFonts w:cs="Arial"/>
                <w:b/>
                <w:bCs/>
                <w:sz w:val="16"/>
                <w:szCs w:val="16"/>
                <w:lang w:val="es-ES_tradnl" w:eastAsia="es-MX"/>
              </w:rPr>
            </w:pPr>
          </w:p>
        </w:tc>
      </w:tr>
      <w:tr w:rsidR="00856F66" w:rsidRPr="00E31657" w14:paraId="0C4D932B"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0A92F7"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Lograr el 99.70% de la etapa pre-operativa de la Primera Linea del Metro (PLMB)- Tramo 1.</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B5062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B9690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EMB- Plan de Ejecución -DIC-23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FFECBC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DC0E1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69,6%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114A9A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BD085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99,7%</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EF6C76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2.072.653.548.983</w:t>
            </w:r>
          </w:p>
        </w:tc>
      </w:tr>
      <w:tr w:rsidR="00856F66" w:rsidRPr="00E31657" w14:paraId="310A54EA"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17138D4C"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4206AAF"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AA99FC1"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6283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540.597.000.000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5534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544.926.213.592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B932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542.180.224.338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D909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444.950.111.052</w:t>
            </w:r>
          </w:p>
        </w:tc>
        <w:tc>
          <w:tcPr>
            <w:tcW w:w="0" w:type="auto"/>
            <w:vMerge/>
            <w:tcBorders>
              <w:top w:val="double" w:sz="4" w:space="0" w:color="C00000"/>
              <w:left w:val="double" w:sz="4" w:space="0" w:color="C00000"/>
              <w:bottom w:val="double" w:sz="4" w:space="0" w:color="C00000"/>
            </w:tcBorders>
            <w:vAlign w:val="center"/>
            <w:hideMark/>
          </w:tcPr>
          <w:p w14:paraId="0541313B" w14:textId="77777777" w:rsidR="00856F66" w:rsidRPr="00E31657" w:rsidRDefault="00856F66" w:rsidP="00AE6E22">
            <w:pPr>
              <w:rPr>
                <w:rFonts w:cs="Arial"/>
                <w:b/>
                <w:bCs/>
                <w:sz w:val="16"/>
                <w:szCs w:val="16"/>
                <w:lang w:val="es-ES_tradnl" w:eastAsia="es-MX"/>
              </w:rPr>
            </w:pPr>
          </w:p>
        </w:tc>
      </w:tr>
      <w:tr w:rsidR="00856F66" w:rsidRPr="00E31657" w14:paraId="3BE04674"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685C7D"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Lograr el mejoramiento de las condiciones de 600 paraderos del SITP</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2B10C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2D73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A60C0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2869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5E380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981CF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09C010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14.121.537.559</w:t>
            </w:r>
          </w:p>
        </w:tc>
      </w:tr>
      <w:tr w:rsidR="00856F66" w:rsidRPr="00E31657" w14:paraId="118B2B06"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25FBB2F9"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40DC456"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F31F4D3"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8A3DD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836.000.000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7305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3.091.262.136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B603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5.327.552.078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A3A44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4.866.723.344</w:t>
            </w:r>
          </w:p>
        </w:tc>
        <w:tc>
          <w:tcPr>
            <w:tcW w:w="0" w:type="auto"/>
            <w:vMerge/>
            <w:tcBorders>
              <w:top w:val="double" w:sz="4" w:space="0" w:color="C00000"/>
              <w:left w:val="double" w:sz="4" w:space="0" w:color="C00000"/>
              <w:bottom w:val="double" w:sz="4" w:space="0" w:color="C00000"/>
            </w:tcBorders>
            <w:vAlign w:val="center"/>
            <w:hideMark/>
          </w:tcPr>
          <w:p w14:paraId="00E2A2C6" w14:textId="77777777" w:rsidR="00856F66" w:rsidRPr="00E31657" w:rsidRDefault="00856F66" w:rsidP="00AE6E22">
            <w:pPr>
              <w:rPr>
                <w:rFonts w:cs="Arial"/>
                <w:b/>
                <w:bCs/>
                <w:sz w:val="16"/>
                <w:szCs w:val="16"/>
                <w:lang w:val="es-ES_tradnl" w:eastAsia="es-MX"/>
              </w:rPr>
            </w:pPr>
          </w:p>
        </w:tc>
      </w:tr>
      <w:tr w:rsidR="00856F66" w:rsidRPr="00E31657" w14:paraId="320DC8C6"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FE3549"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Mejorar la infraestructura de 5 patios del SITP a través de la puesta en operación de 2 patios y la adecuación física de 3 patios.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4F08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F3AF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ADFBF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3A863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F928D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A0F7E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C53486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12.417.841.476</w:t>
            </w:r>
          </w:p>
        </w:tc>
      </w:tr>
      <w:tr w:rsidR="00856F66" w:rsidRPr="00E31657" w14:paraId="3618BD2F"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55DC2B98"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A8153F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E7FEEB8"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F5F2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969.000.000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6789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10.095.145.631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1F6C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823.828.825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82CC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529.867.021</w:t>
            </w:r>
          </w:p>
        </w:tc>
        <w:tc>
          <w:tcPr>
            <w:tcW w:w="0" w:type="auto"/>
            <w:vMerge/>
            <w:tcBorders>
              <w:top w:val="double" w:sz="4" w:space="0" w:color="C00000"/>
              <w:left w:val="double" w:sz="4" w:space="0" w:color="C00000"/>
              <w:bottom w:val="double" w:sz="4" w:space="0" w:color="C00000"/>
            </w:tcBorders>
            <w:vAlign w:val="center"/>
            <w:hideMark/>
          </w:tcPr>
          <w:p w14:paraId="45D922CC" w14:textId="77777777" w:rsidR="00856F66" w:rsidRPr="00E31657" w:rsidRDefault="00856F66" w:rsidP="00AE6E22">
            <w:pPr>
              <w:rPr>
                <w:rFonts w:cs="Arial"/>
                <w:b/>
                <w:bCs/>
                <w:sz w:val="16"/>
                <w:szCs w:val="16"/>
                <w:lang w:val="es-ES_tradnl" w:eastAsia="es-MX"/>
              </w:rPr>
            </w:pPr>
          </w:p>
        </w:tc>
      </w:tr>
      <w:tr w:rsidR="00856F66" w:rsidRPr="00E31657" w14:paraId="7CFBD0B4"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1E7C14"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Poner en operación el 100% de 28 kms de ciclorrutas y 840.000 m2 de espacio público como parte de troncales nuevas de TransMilenio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8AFA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B7499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9040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1716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D6FAE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645F5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6AA43E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17.038.288.245</w:t>
            </w:r>
          </w:p>
        </w:tc>
      </w:tr>
      <w:tr w:rsidR="00856F66" w:rsidRPr="00E31657" w14:paraId="04A1DEC5"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638276DC" w14:textId="77777777" w:rsidR="00856F66" w:rsidRPr="00E31657" w:rsidRDefault="00856F66" w:rsidP="00705802">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F16BE4D"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68F446C"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40C2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2.437.000.000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7CC9B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2.709.708.738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54777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5.254.972.193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789F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6.636.607.314</w:t>
            </w:r>
          </w:p>
        </w:tc>
        <w:tc>
          <w:tcPr>
            <w:tcW w:w="0" w:type="auto"/>
            <w:vMerge/>
            <w:tcBorders>
              <w:top w:val="double" w:sz="4" w:space="0" w:color="C00000"/>
              <w:left w:val="double" w:sz="4" w:space="0" w:color="C00000"/>
              <w:bottom w:val="double" w:sz="4" w:space="0" w:color="C00000"/>
            </w:tcBorders>
            <w:vAlign w:val="center"/>
            <w:hideMark/>
          </w:tcPr>
          <w:p w14:paraId="1F9A7C5E" w14:textId="77777777" w:rsidR="00856F66" w:rsidRPr="00E31657" w:rsidRDefault="00856F66" w:rsidP="00AE6E22">
            <w:pPr>
              <w:rPr>
                <w:rFonts w:cs="Arial"/>
                <w:b/>
                <w:bCs/>
                <w:sz w:val="16"/>
                <w:szCs w:val="16"/>
                <w:lang w:val="es-ES_tradnl" w:eastAsia="es-MX"/>
              </w:rPr>
            </w:pPr>
          </w:p>
        </w:tc>
      </w:tr>
      <w:tr w:rsidR="00856F66" w:rsidRPr="00E31657" w14:paraId="15FF61E0" w14:textId="77777777" w:rsidTr="00ED49FA">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EBDD05" w14:textId="77777777" w:rsidR="00856F66" w:rsidRPr="00E31657" w:rsidRDefault="00856F66" w:rsidP="00705802">
            <w:pPr>
              <w:jc w:val="right"/>
              <w:rPr>
                <w:rFonts w:cs="Arial"/>
                <w:sz w:val="16"/>
                <w:szCs w:val="16"/>
                <w:lang w:val="es-ES_tradnl" w:eastAsia="es-MX"/>
              </w:rPr>
            </w:pPr>
            <w:r w:rsidRPr="00E31657">
              <w:rPr>
                <w:rFonts w:cs="Arial"/>
                <w:sz w:val="16"/>
                <w:szCs w:val="16"/>
                <w:lang w:val="es-ES_tradnl" w:eastAsia="es-MX"/>
              </w:rPr>
              <w:t xml:space="preserve">Realizar el 100% de las actividades de factibilidad que permitan dar trámite al convenio de cofinanciación con la nación para la expansión del Sistema de transporte público Metroferroviario ajustado a las </w:t>
            </w:r>
            <w:r w:rsidRPr="00E31657">
              <w:rPr>
                <w:rFonts w:cs="Arial"/>
                <w:sz w:val="16"/>
                <w:szCs w:val="16"/>
                <w:lang w:val="es-ES_tradnl" w:eastAsia="es-MX"/>
              </w:rPr>
              <w:lastRenderedPageBreak/>
              <w:t>condiciones de la demanda.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8ADE2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79A07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0DB95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8C1C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13683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97,00%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54B8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4308F8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61.565.171.081</w:t>
            </w:r>
          </w:p>
        </w:tc>
      </w:tr>
      <w:tr w:rsidR="00856F66" w:rsidRPr="00E31657" w14:paraId="4FAAEB3C" w14:textId="77777777" w:rsidTr="00ED49FA">
        <w:trPr>
          <w:trHeight w:val="315"/>
        </w:trPr>
        <w:tc>
          <w:tcPr>
            <w:tcW w:w="0" w:type="auto"/>
            <w:vMerge/>
            <w:tcBorders>
              <w:top w:val="double" w:sz="4" w:space="0" w:color="C00000"/>
              <w:bottom w:val="double" w:sz="4" w:space="0" w:color="C00000"/>
              <w:right w:val="double" w:sz="4" w:space="0" w:color="C00000"/>
            </w:tcBorders>
            <w:vAlign w:val="center"/>
            <w:hideMark/>
          </w:tcPr>
          <w:p w14:paraId="015A7F7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7D85E02"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29B368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78819D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B5558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50.566.019.417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1E65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10.999.151.664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1858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tcBorders>
              <w:top w:val="double" w:sz="4" w:space="0" w:color="C00000"/>
              <w:left w:val="double" w:sz="4" w:space="0" w:color="C00000"/>
              <w:bottom w:val="double" w:sz="4" w:space="0" w:color="C00000"/>
            </w:tcBorders>
            <w:vAlign w:val="center"/>
            <w:hideMark/>
          </w:tcPr>
          <w:p w14:paraId="0A0DD4D7" w14:textId="77777777" w:rsidR="00856F66" w:rsidRPr="00E31657" w:rsidRDefault="00856F66" w:rsidP="00AE6E22">
            <w:pPr>
              <w:rPr>
                <w:rFonts w:cs="Arial"/>
                <w:b/>
                <w:bCs/>
                <w:sz w:val="16"/>
                <w:szCs w:val="16"/>
                <w:lang w:val="es-ES_tradnl" w:eastAsia="es-MX"/>
              </w:rPr>
            </w:pPr>
          </w:p>
        </w:tc>
      </w:tr>
    </w:tbl>
    <w:p w14:paraId="6B0F404D" w14:textId="77777777" w:rsidR="00856F66" w:rsidRPr="00E31657" w:rsidRDefault="00856F66">
      <w:pPr>
        <w:rPr>
          <w:sz w:val="16"/>
          <w:szCs w:val="16"/>
          <w:lang w:val="es-ES_tradnl"/>
        </w:rPr>
      </w:pPr>
    </w:p>
    <w:p w14:paraId="4322AC34" w14:textId="77777777" w:rsidR="00856F66" w:rsidRPr="00E31657" w:rsidRDefault="00856F66">
      <w:pPr>
        <w:rPr>
          <w:sz w:val="16"/>
          <w:szCs w:val="16"/>
          <w:lang w:val="es-ES_tradnl"/>
        </w:rPr>
      </w:pPr>
    </w:p>
    <w:tbl>
      <w:tblPr>
        <w:tblW w:w="5000"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099"/>
        <w:gridCol w:w="517"/>
        <w:gridCol w:w="1234"/>
        <w:gridCol w:w="1095"/>
        <w:gridCol w:w="1084"/>
        <w:gridCol w:w="1120"/>
        <w:gridCol w:w="1099"/>
        <w:gridCol w:w="1112"/>
      </w:tblGrid>
      <w:tr w:rsidR="00856F66" w:rsidRPr="00E31657" w14:paraId="59EE6F43" w14:textId="77777777" w:rsidTr="00F974BB">
        <w:trPr>
          <w:trHeight w:val="315"/>
        </w:trPr>
        <w:tc>
          <w:tcPr>
            <w:tcW w:w="5000" w:type="pct"/>
            <w:gridSpan w:val="8"/>
            <w:vMerge w:val="restart"/>
            <w:tcMar>
              <w:top w:w="30" w:type="dxa"/>
              <w:left w:w="45" w:type="dxa"/>
              <w:bottom w:w="30" w:type="dxa"/>
              <w:right w:w="45" w:type="dxa"/>
            </w:tcMar>
            <w:vAlign w:val="center"/>
            <w:hideMark/>
          </w:tcPr>
          <w:p w14:paraId="25F8EED0" w14:textId="77777777" w:rsidR="00856F66" w:rsidRPr="00E31657" w:rsidRDefault="00856F66" w:rsidP="00AE6E22">
            <w:pPr>
              <w:jc w:val="center"/>
              <w:rPr>
                <w:rFonts w:cs="Arial"/>
                <w:lang w:val="es-ES_tradnl" w:eastAsia="es-MX"/>
              </w:rPr>
            </w:pPr>
            <w:r w:rsidRPr="00E31657">
              <w:rPr>
                <w:rFonts w:cs="Arial"/>
                <w:b/>
                <w:bCs/>
                <w:color w:val="C00000"/>
                <w:lang w:val="es-ES_tradnl" w:eastAsia="es-MX"/>
              </w:rPr>
              <w:t>Programa 27.</w:t>
            </w:r>
            <w:r w:rsidRPr="00E31657">
              <w:rPr>
                <w:rFonts w:cs="Arial"/>
                <w:color w:val="C00000"/>
                <w:lang w:val="es-ES_tradnl" w:eastAsia="es-MX"/>
              </w:rPr>
              <w:t xml:space="preserve"> </w:t>
            </w:r>
            <w:r w:rsidRPr="00E31657">
              <w:rPr>
                <w:rFonts w:cs="Arial"/>
                <w:lang w:val="es-ES_tradnl" w:eastAsia="es-MX"/>
              </w:rPr>
              <w:t>Gestión del riesgo de desastres para un territorio seguro</w:t>
            </w:r>
          </w:p>
        </w:tc>
      </w:tr>
      <w:tr w:rsidR="00856F66" w:rsidRPr="00E31657" w14:paraId="4F787975" w14:textId="77777777" w:rsidTr="00F974BB">
        <w:trPr>
          <w:trHeight w:val="315"/>
        </w:trPr>
        <w:tc>
          <w:tcPr>
            <w:tcW w:w="5000" w:type="pct"/>
            <w:gridSpan w:val="8"/>
            <w:vMerge/>
            <w:vAlign w:val="center"/>
            <w:hideMark/>
          </w:tcPr>
          <w:p w14:paraId="2B2F450B" w14:textId="77777777" w:rsidR="00856F66" w:rsidRPr="00E31657" w:rsidRDefault="00856F66" w:rsidP="00AE6E22">
            <w:pPr>
              <w:rPr>
                <w:rFonts w:cs="Arial"/>
                <w:b/>
                <w:bCs/>
                <w:sz w:val="16"/>
                <w:szCs w:val="16"/>
                <w:lang w:val="es-ES_tradnl" w:eastAsia="es-MX"/>
              </w:rPr>
            </w:pPr>
          </w:p>
        </w:tc>
      </w:tr>
      <w:tr w:rsidR="00856F66" w:rsidRPr="00E31657" w14:paraId="780F8083" w14:textId="77777777" w:rsidTr="00826D72">
        <w:trPr>
          <w:trHeight w:val="315"/>
        </w:trPr>
        <w:tc>
          <w:tcPr>
            <w:tcW w:w="1122" w:type="pct"/>
            <w:vMerge w:val="restart"/>
            <w:shd w:val="clear" w:color="auto" w:fill="C00000"/>
            <w:tcMar>
              <w:top w:w="30" w:type="dxa"/>
              <w:left w:w="45" w:type="dxa"/>
              <w:bottom w:w="30" w:type="dxa"/>
              <w:right w:w="45" w:type="dxa"/>
            </w:tcMar>
            <w:vAlign w:val="center"/>
            <w:hideMark/>
          </w:tcPr>
          <w:p w14:paraId="5BD85BC3"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3878" w:type="pct"/>
            <w:gridSpan w:val="7"/>
            <w:shd w:val="clear" w:color="auto" w:fill="C00000"/>
            <w:tcMar>
              <w:top w:w="30" w:type="dxa"/>
              <w:left w:w="45" w:type="dxa"/>
              <w:bottom w:w="30" w:type="dxa"/>
              <w:right w:w="45" w:type="dxa"/>
            </w:tcMar>
            <w:vAlign w:val="center"/>
            <w:hideMark/>
          </w:tcPr>
          <w:p w14:paraId="16453503"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4C15A5B6" w14:textId="77777777" w:rsidTr="00826D72">
        <w:trPr>
          <w:trHeight w:val="315"/>
        </w:trPr>
        <w:tc>
          <w:tcPr>
            <w:tcW w:w="1122" w:type="pct"/>
            <w:vMerge/>
            <w:shd w:val="clear" w:color="auto" w:fill="C00000"/>
            <w:vAlign w:val="center"/>
            <w:hideMark/>
          </w:tcPr>
          <w:p w14:paraId="05C22C49" w14:textId="77777777" w:rsidR="00856F66" w:rsidRPr="00E31657" w:rsidRDefault="00856F66" w:rsidP="00AE6E22">
            <w:pPr>
              <w:rPr>
                <w:rFonts w:cs="Arial"/>
                <w:b/>
                <w:bCs/>
                <w:color w:val="FFFFFF"/>
                <w:sz w:val="16"/>
                <w:szCs w:val="16"/>
                <w:lang w:val="es-ES_tradnl" w:eastAsia="es-MX"/>
              </w:rPr>
            </w:pPr>
          </w:p>
        </w:tc>
        <w:tc>
          <w:tcPr>
            <w:tcW w:w="276" w:type="pct"/>
            <w:shd w:val="clear" w:color="auto" w:fill="D9D9D9"/>
            <w:tcMar>
              <w:top w:w="30" w:type="dxa"/>
              <w:left w:w="45" w:type="dxa"/>
              <w:bottom w:w="30" w:type="dxa"/>
              <w:right w:w="45" w:type="dxa"/>
            </w:tcMar>
            <w:vAlign w:val="center"/>
            <w:hideMark/>
          </w:tcPr>
          <w:p w14:paraId="0529A86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659" w:type="pct"/>
            <w:shd w:val="clear" w:color="auto" w:fill="D9D9D9"/>
            <w:tcMar>
              <w:top w:w="30" w:type="dxa"/>
              <w:left w:w="45" w:type="dxa"/>
              <w:bottom w:w="30" w:type="dxa"/>
              <w:right w:w="45" w:type="dxa"/>
            </w:tcMar>
            <w:vAlign w:val="center"/>
            <w:hideMark/>
          </w:tcPr>
          <w:p w14:paraId="2A2DBCD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85" w:type="pct"/>
            <w:shd w:val="clear" w:color="auto" w:fill="D9D9D9"/>
            <w:tcMar>
              <w:top w:w="30" w:type="dxa"/>
              <w:left w:w="45" w:type="dxa"/>
              <w:bottom w:w="30" w:type="dxa"/>
              <w:right w:w="45" w:type="dxa"/>
            </w:tcMar>
            <w:vAlign w:val="center"/>
            <w:hideMark/>
          </w:tcPr>
          <w:p w14:paraId="37B1C2D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579" w:type="pct"/>
            <w:shd w:val="clear" w:color="auto" w:fill="D9D9D9"/>
            <w:tcMar>
              <w:top w:w="30" w:type="dxa"/>
              <w:left w:w="45" w:type="dxa"/>
              <w:bottom w:w="30" w:type="dxa"/>
              <w:right w:w="45" w:type="dxa"/>
            </w:tcMar>
            <w:vAlign w:val="center"/>
            <w:hideMark/>
          </w:tcPr>
          <w:p w14:paraId="398CAA4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598" w:type="pct"/>
            <w:shd w:val="clear" w:color="auto" w:fill="D9D9D9"/>
            <w:tcMar>
              <w:top w:w="30" w:type="dxa"/>
              <w:left w:w="45" w:type="dxa"/>
              <w:bottom w:w="30" w:type="dxa"/>
              <w:right w:w="45" w:type="dxa"/>
            </w:tcMar>
            <w:vAlign w:val="center"/>
            <w:hideMark/>
          </w:tcPr>
          <w:p w14:paraId="646DC03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587" w:type="pct"/>
            <w:shd w:val="clear" w:color="auto" w:fill="D9D9D9"/>
            <w:tcMar>
              <w:top w:w="30" w:type="dxa"/>
              <w:left w:w="45" w:type="dxa"/>
              <w:bottom w:w="30" w:type="dxa"/>
              <w:right w:w="45" w:type="dxa"/>
            </w:tcMar>
            <w:vAlign w:val="center"/>
            <w:hideMark/>
          </w:tcPr>
          <w:p w14:paraId="61739D9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593" w:type="pct"/>
            <w:shd w:val="clear" w:color="auto" w:fill="D9D9D9"/>
            <w:tcMar>
              <w:top w:w="30" w:type="dxa"/>
              <w:left w:w="45" w:type="dxa"/>
              <w:bottom w:w="30" w:type="dxa"/>
              <w:right w:w="45" w:type="dxa"/>
            </w:tcMar>
            <w:vAlign w:val="center"/>
            <w:hideMark/>
          </w:tcPr>
          <w:p w14:paraId="2B71E97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40CF516F"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75831526"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Ambiente</w:t>
            </w:r>
          </w:p>
        </w:tc>
      </w:tr>
      <w:tr w:rsidR="00856F66" w:rsidRPr="00E31657" w14:paraId="7F682028" w14:textId="77777777" w:rsidTr="00826D72">
        <w:trPr>
          <w:trHeight w:val="315"/>
        </w:trPr>
        <w:tc>
          <w:tcPr>
            <w:tcW w:w="1122" w:type="pct"/>
            <w:vMerge w:val="restart"/>
            <w:tcMar>
              <w:top w:w="30" w:type="dxa"/>
              <w:left w:w="45" w:type="dxa"/>
              <w:bottom w:w="30" w:type="dxa"/>
              <w:right w:w="45" w:type="dxa"/>
            </w:tcMar>
            <w:vAlign w:val="center"/>
            <w:hideMark/>
          </w:tcPr>
          <w:p w14:paraId="6C73E843"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Atender el 100% de la población afectada por emergencias calamidades o desastres con respuesta integral</w:t>
            </w:r>
          </w:p>
        </w:tc>
        <w:tc>
          <w:tcPr>
            <w:tcW w:w="276" w:type="pct"/>
            <w:vMerge w:val="restart"/>
            <w:tcMar>
              <w:top w:w="30" w:type="dxa"/>
              <w:left w:w="45" w:type="dxa"/>
              <w:bottom w:w="30" w:type="dxa"/>
              <w:right w:w="45" w:type="dxa"/>
            </w:tcMar>
            <w:vAlign w:val="center"/>
            <w:hideMark/>
          </w:tcPr>
          <w:p w14:paraId="35A2437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659" w:type="pct"/>
            <w:vMerge w:val="restart"/>
            <w:tcMar>
              <w:top w:w="30" w:type="dxa"/>
              <w:left w:w="45" w:type="dxa"/>
              <w:bottom w:w="30" w:type="dxa"/>
              <w:right w:w="45" w:type="dxa"/>
            </w:tcMar>
            <w:vAlign w:val="center"/>
            <w:hideMark/>
          </w:tcPr>
          <w:p w14:paraId="2D03AA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IDIGER</w:t>
            </w:r>
          </w:p>
        </w:tc>
        <w:tc>
          <w:tcPr>
            <w:tcW w:w="585" w:type="pct"/>
            <w:tcMar>
              <w:top w:w="30" w:type="dxa"/>
              <w:left w:w="45" w:type="dxa"/>
              <w:bottom w:w="30" w:type="dxa"/>
              <w:right w:w="45" w:type="dxa"/>
            </w:tcMar>
            <w:vAlign w:val="center"/>
            <w:hideMark/>
          </w:tcPr>
          <w:p w14:paraId="00A996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579" w:type="pct"/>
            <w:tcMar>
              <w:top w:w="30" w:type="dxa"/>
              <w:left w:w="45" w:type="dxa"/>
              <w:bottom w:w="30" w:type="dxa"/>
              <w:right w:w="45" w:type="dxa"/>
            </w:tcMar>
            <w:vAlign w:val="center"/>
            <w:hideMark/>
          </w:tcPr>
          <w:p w14:paraId="05084B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598" w:type="pct"/>
            <w:tcMar>
              <w:top w:w="30" w:type="dxa"/>
              <w:left w:w="45" w:type="dxa"/>
              <w:bottom w:w="30" w:type="dxa"/>
              <w:right w:w="45" w:type="dxa"/>
            </w:tcMar>
            <w:vAlign w:val="center"/>
            <w:hideMark/>
          </w:tcPr>
          <w:p w14:paraId="2A3F266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587" w:type="pct"/>
            <w:tcMar>
              <w:top w:w="30" w:type="dxa"/>
              <w:left w:w="45" w:type="dxa"/>
              <w:bottom w:w="30" w:type="dxa"/>
              <w:right w:w="45" w:type="dxa"/>
            </w:tcMar>
            <w:vAlign w:val="center"/>
            <w:hideMark/>
          </w:tcPr>
          <w:p w14:paraId="53B1A5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593" w:type="pct"/>
            <w:vMerge w:val="restart"/>
            <w:tcMar>
              <w:top w:w="30" w:type="dxa"/>
              <w:left w:w="45" w:type="dxa"/>
              <w:bottom w:w="30" w:type="dxa"/>
              <w:right w:w="45" w:type="dxa"/>
            </w:tcMar>
            <w:vAlign w:val="center"/>
            <w:hideMark/>
          </w:tcPr>
          <w:p w14:paraId="612FBCB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7.049.811.042</w:t>
            </w:r>
          </w:p>
        </w:tc>
      </w:tr>
      <w:tr w:rsidR="00856F66" w:rsidRPr="00E31657" w14:paraId="1EF62398" w14:textId="77777777" w:rsidTr="00826D72">
        <w:trPr>
          <w:trHeight w:val="315"/>
        </w:trPr>
        <w:tc>
          <w:tcPr>
            <w:tcW w:w="1122" w:type="pct"/>
            <w:vMerge/>
            <w:vAlign w:val="center"/>
            <w:hideMark/>
          </w:tcPr>
          <w:p w14:paraId="58A690A5" w14:textId="77777777" w:rsidR="00856F66" w:rsidRPr="00E31657" w:rsidRDefault="00856F66" w:rsidP="00B26C9A">
            <w:pPr>
              <w:jc w:val="right"/>
              <w:rPr>
                <w:rFonts w:cs="Arial"/>
                <w:sz w:val="16"/>
                <w:szCs w:val="16"/>
                <w:lang w:val="es-ES_tradnl" w:eastAsia="es-MX"/>
              </w:rPr>
            </w:pPr>
          </w:p>
        </w:tc>
        <w:tc>
          <w:tcPr>
            <w:tcW w:w="276" w:type="pct"/>
            <w:vMerge/>
            <w:vAlign w:val="center"/>
            <w:hideMark/>
          </w:tcPr>
          <w:p w14:paraId="0907FC5C" w14:textId="77777777" w:rsidR="00856F66" w:rsidRPr="00E31657" w:rsidRDefault="00856F66" w:rsidP="00AE6E22">
            <w:pPr>
              <w:rPr>
                <w:rFonts w:cs="Arial"/>
                <w:sz w:val="16"/>
                <w:szCs w:val="16"/>
                <w:lang w:val="es-ES_tradnl" w:eastAsia="es-MX"/>
              </w:rPr>
            </w:pPr>
          </w:p>
        </w:tc>
        <w:tc>
          <w:tcPr>
            <w:tcW w:w="659" w:type="pct"/>
            <w:vMerge/>
            <w:vAlign w:val="center"/>
            <w:hideMark/>
          </w:tcPr>
          <w:p w14:paraId="126916EA" w14:textId="77777777" w:rsidR="00856F66" w:rsidRPr="00E31657" w:rsidRDefault="00856F66" w:rsidP="00AE6E22">
            <w:pPr>
              <w:rPr>
                <w:rFonts w:cs="Arial"/>
                <w:sz w:val="16"/>
                <w:szCs w:val="16"/>
                <w:lang w:val="es-ES_tradnl" w:eastAsia="es-MX"/>
              </w:rPr>
            </w:pPr>
          </w:p>
        </w:tc>
        <w:tc>
          <w:tcPr>
            <w:tcW w:w="585" w:type="pct"/>
            <w:tcMar>
              <w:top w:w="30" w:type="dxa"/>
              <w:left w:w="45" w:type="dxa"/>
              <w:bottom w:w="30" w:type="dxa"/>
              <w:right w:w="45" w:type="dxa"/>
            </w:tcMar>
            <w:vAlign w:val="center"/>
            <w:hideMark/>
          </w:tcPr>
          <w:p w14:paraId="64A0B90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1.000.000.000</w:t>
            </w:r>
          </w:p>
        </w:tc>
        <w:tc>
          <w:tcPr>
            <w:tcW w:w="579" w:type="pct"/>
            <w:tcMar>
              <w:top w:w="30" w:type="dxa"/>
              <w:left w:w="45" w:type="dxa"/>
              <w:bottom w:w="30" w:type="dxa"/>
              <w:right w:w="45" w:type="dxa"/>
            </w:tcMar>
            <w:vAlign w:val="center"/>
            <w:hideMark/>
          </w:tcPr>
          <w:p w14:paraId="04E7B10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2.038.834.951</w:t>
            </w:r>
          </w:p>
        </w:tc>
        <w:tc>
          <w:tcPr>
            <w:tcW w:w="598" w:type="pct"/>
            <w:tcMar>
              <w:top w:w="30" w:type="dxa"/>
              <w:left w:w="45" w:type="dxa"/>
              <w:bottom w:w="30" w:type="dxa"/>
              <w:right w:w="45" w:type="dxa"/>
            </w:tcMar>
            <w:vAlign w:val="center"/>
            <w:hideMark/>
          </w:tcPr>
          <w:p w14:paraId="477EAE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1.979.451.409</w:t>
            </w:r>
          </w:p>
        </w:tc>
        <w:tc>
          <w:tcPr>
            <w:tcW w:w="587" w:type="pct"/>
            <w:tcMar>
              <w:top w:w="30" w:type="dxa"/>
              <w:left w:w="45" w:type="dxa"/>
              <w:bottom w:w="30" w:type="dxa"/>
              <w:right w:w="45" w:type="dxa"/>
            </w:tcMar>
            <w:vAlign w:val="center"/>
            <w:hideMark/>
          </w:tcPr>
          <w:p w14:paraId="61E66E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2.031.524.681</w:t>
            </w:r>
          </w:p>
        </w:tc>
        <w:tc>
          <w:tcPr>
            <w:tcW w:w="593" w:type="pct"/>
            <w:vMerge/>
            <w:vAlign w:val="center"/>
            <w:hideMark/>
          </w:tcPr>
          <w:p w14:paraId="6028F970" w14:textId="77777777" w:rsidR="00856F66" w:rsidRPr="00E31657" w:rsidRDefault="00856F66" w:rsidP="00AE6E22">
            <w:pPr>
              <w:rPr>
                <w:rFonts w:cs="Arial"/>
                <w:b/>
                <w:bCs/>
                <w:sz w:val="16"/>
                <w:szCs w:val="16"/>
                <w:lang w:val="es-ES_tradnl" w:eastAsia="es-MX"/>
              </w:rPr>
            </w:pPr>
          </w:p>
        </w:tc>
      </w:tr>
      <w:tr w:rsidR="00856F66" w:rsidRPr="00E31657" w14:paraId="31D4E26A" w14:textId="77777777" w:rsidTr="00826D72">
        <w:trPr>
          <w:trHeight w:val="315"/>
        </w:trPr>
        <w:tc>
          <w:tcPr>
            <w:tcW w:w="1122" w:type="pct"/>
            <w:vMerge w:val="restart"/>
            <w:tcMar>
              <w:top w:w="30" w:type="dxa"/>
              <w:left w:w="45" w:type="dxa"/>
              <w:bottom w:w="30" w:type="dxa"/>
              <w:right w:w="45" w:type="dxa"/>
            </w:tcMar>
            <w:vAlign w:val="center"/>
            <w:hideMark/>
          </w:tcPr>
          <w:p w14:paraId="63C032E4"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Intervenir 8 Unidades de Planeamiento Local (UPL) con acciones de reducción del riesgo y adaptación al cambio climático.</w:t>
            </w:r>
          </w:p>
        </w:tc>
        <w:tc>
          <w:tcPr>
            <w:tcW w:w="276" w:type="pct"/>
            <w:vMerge w:val="restart"/>
            <w:tcMar>
              <w:top w:w="30" w:type="dxa"/>
              <w:left w:w="45" w:type="dxa"/>
              <w:bottom w:w="30" w:type="dxa"/>
              <w:right w:w="45" w:type="dxa"/>
            </w:tcMar>
            <w:vAlign w:val="center"/>
            <w:hideMark/>
          </w:tcPr>
          <w:p w14:paraId="5F6D49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659" w:type="pct"/>
            <w:vMerge w:val="restart"/>
            <w:tcMar>
              <w:top w:w="30" w:type="dxa"/>
              <w:left w:w="45" w:type="dxa"/>
              <w:bottom w:w="30" w:type="dxa"/>
              <w:right w:w="45" w:type="dxa"/>
            </w:tcMar>
            <w:vAlign w:val="center"/>
            <w:hideMark/>
          </w:tcPr>
          <w:p w14:paraId="7EA099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IDIGER</w:t>
            </w:r>
          </w:p>
        </w:tc>
        <w:tc>
          <w:tcPr>
            <w:tcW w:w="585" w:type="pct"/>
            <w:tcMar>
              <w:top w:w="30" w:type="dxa"/>
              <w:left w:w="45" w:type="dxa"/>
              <w:bottom w:w="30" w:type="dxa"/>
              <w:right w:w="45" w:type="dxa"/>
            </w:tcMar>
            <w:vAlign w:val="center"/>
            <w:hideMark/>
          </w:tcPr>
          <w:p w14:paraId="723C475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79" w:type="pct"/>
            <w:tcMar>
              <w:top w:w="30" w:type="dxa"/>
              <w:left w:w="45" w:type="dxa"/>
              <w:bottom w:w="30" w:type="dxa"/>
              <w:right w:w="45" w:type="dxa"/>
            </w:tcMar>
            <w:vAlign w:val="center"/>
            <w:hideMark/>
          </w:tcPr>
          <w:p w14:paraId="0D88F4E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98" w:type="pct"/>
            <w:tcMar>
              <w:top w:w="30" w:type="dxa"/>
              <w:left w:w="45" w:type="dxa"/>
              <w:bottom w:w="30" w:type="dxa"/>
              <w:right w:w="45" w:type="dxa"/>
            </w:tcMar>
            <w:vAlign w:val="center"/>
            <w:hideMark/>
          </w:tcPr>
          <w:p w14:paraId="5A28DD5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587" w:type="pct"/>
            <w:tcMar>
              <w:top w:w="30" w:type="dxa"/>
              <w:left w:w="45" w:type="dxa"/>
              <w:bottom w:w="30" w:type="dxa"/>
              <w:right w:w="45" w:type="dxa"/>
            </w:tcMar>
            <w:vAlign w:val="center"/>
            <w:hideMark/>
          </w:tcPr>
          <w:p w14:paraId="6CC164F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593" w:type="pct"/>
            <w:vMerge w:val="restart"/>
            <w:tcMar>
              <w:top w:w="30" w:type="dxa"/>
              <w:left w:w="45" w:type="dxa"/>
              <w:bottom w:w="30" w:type="dxa"/>
              <w:right w:w="45" w:type="dxa"/>
            </w:tcMar>
            <w:vAlign w:val="center"/>
            <w:hideMark/>
          </w:tcPr>
          <w:p w14:paraId="524B67A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18.029.555.684</w:t>
            </w:r>
          </w:p>
        </w:tc>
      </w:tr>
      <w:tr w:rsidR="00856F66" w:rsidRPr="00E31657" w14:paraId="0385E027" w14:textId="77777777" w:rsidTr="00826D72">
        <w:trPr>
          <w:trHeight w:val="315"/>
        </w:trPr>
        <w:tc>
          <w:tcPr>
            <w:tcW w:w="1122" w:type="pct"/>
            <w:vMerge/>
            <w:vAlign w:val="center"/>
            <w:hideMark/>
          </w:tcPr>
          <w:p w14:paraId="4EFEC76F" w14:textId="77777777" w:rsidR="00856F66" w:rsidRPr="00E31657" w:rsidRDefault="00856F66" w:rsidP="00B26C9A">
            <w:pPr>
              <w:jc w:val="right"/>
              <w:rPr>
                <w:rFonts w:cs="Arial"/>
                <w:sz w:val="16"/>
                <w:szCs w:val="16"/>
                <w:lang w:val="es-ES_tradnl" w:eastAsia="es-MX"/>
              </w:rPr>
            </w:pPr>
          </w:p>
        </w:tc>
        <w:tc>
          <w:tcPr>
            <w:tcW w:w="276" w:type="pct"/>
            <w:vMerge/>
            <w:vAlign w:val="center"/>
            <w:hideMark/>
          </w:tcPr>
          <w:p w14:paraId="1F35DFBE" w14:textId="77777777" w:rsidR="00856F66" w:rsidRPr="00E31657" w:rsidRDefault="00856F66" w:rsidP="00AE6E22">
            <w:pPr>
              <w:rPr>
                <w:rFonts w:cs="Arial"/>
                <w:sz w:val="16"/>
                <w:szCs w:val="16"/>
                <w:lang w:val="es-ES_tradnl" w:eastAsia="es-MX"/>
              </w:rPr>
            </w:pPr>
          </w:p>
        </w:tc>
        <w:tc>
          <w:tcPr>
            <w:tcW w:w="659" w:type="pct"/>
            <w:vMerge/>
            <w:vAlign w:val="center"/>
            <w:hideMark/>
          </w:tcPr>
          <w:p w14:paraId="70D53D82" w14:textId="77777777" w:rsidR="00856F66" w:rsidRPr="00E31657" w:rsidRDefault="00856F66" w:rsidP="00AE6E22">
            <w:pPr>
              <w:rPr>
                <w:rFonts w:cs="Arial"/>
                <w:sz w:val="16"/>
                <w:szCs w:val="16"/>
                <w:lang w:val="es-ES_tradnl" w:eastAsia="es-MX"/>
              </w:rPr>
            </w:pPr>
          </w:p>
        </w:tc>
        <w:tc>
          <w:tcPr>
            <w:tcW w:w="585" w:type="pct"/>
            <w:tcMar>
              <w:top w:w="30" w:type="dxa"/>
              <w:left w:w="45" w:type="dxa"/>
              <w:bottom w:w="30" w:type="dxa"/>
              <w:right w:w="45" w:type="dxa"/>
            </w:tcMar>
            <w:vAlign w:val="center"/>
            <w:hideMark/>
          </w:tcPr>
          <w:p w14:paraId="3FA59AF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1.811.780.832</w:t>
            </w:r>
          </w:p>
        </w:tc>
        <w:tc>
          <w:tcPr>
            <w:tcW w:w="579" w:type="pct"/>
            <w:tcMar>
              <w:top w:w="30" w:type="dxa"/>
              <w:left w:w="45" w:type="dxa"/>
              <w:bottom w:w="30" w:type="dxa"/>
              <w:right w:w="45" w:type="dxa"/>
            </w:tcMar>
            <w:vAlign w:val="center"/>
            <w:hideMark/>
          </w:tcPr>
          <w:p w14:paraId="4F37B2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4.628.975.044</w:t>
            </w:r>
          </w:p>
        </w:tc>
        <w:tc>
          <w:tcPr>
            <w:tcW w:w="598" w:type="pct"/>
            <w:tcMar>
              <w:top w:w="30" w:type="dxa"/>
              <w:left w:w="45" w:type="dxa"/>
              <w:bottom w:w="30" w:type="dxa"/>
              <w:right w:w="45" w:type="dxa"/>
            </w:tcMar>
            <w:vAlign w:val="center"/>
            <w:hideMark/>
          </w:tcPr>
          <w:p w14:paraId="26B49E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5.392.980.633</w:t>
            </w:r>
          </w:p>
        </w:tc>
        <w:tc>
          <w:tcPr>
            <w:tcW w:w="587" w:type="pct"/>
            <w:tcMar>
              <w:top w:w="30" w:type="dxa"/>
              <w:left w:w="45" w:type="dxa"/>
              <w:bottom w:w="30" w:type="dxa"/>
              <w:right w:w="45" w:type="dxa"/>
            </w:tcMar>
            <w:vAlign w:val="center"/>
            <w:hideMark/>
          </w:tcPr>
          <w:p w14:paraId="7A4052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6.195.819.174</w:t>
            </w:r>
          </w:p>
        </w:tc>
        <w:tc>
          <w:tcPr>
            <w:tcW w:w="593" w:type="pct"/>
            <w:vMerge/>
            <w:vAlign w:val="center"/>
            <w:hideMark/>
          </w:tcPr>
          <w:p w14:paraId="109A1E37" w14:textId="77777777" w:rsidR="00856F66" w:rsidRPr="00E31657" w:rsidRDefault="00856F66" w:rsidP="00AE6E22">
            <w:pPr>
              <w:rPr>
                <w:rFonts w:cs="Arial"/>
                <w:b/>
                <w:bCs/>
                <w:sz w:val="16"/>
                <w:szCs w:val="16"/>
                <w:lang w:val="es-ES_tradnl" w:eastAsia="es-MX"/>
              </w:rPr>
            </w:pPr>
          </w:p>
        </w:tc>
      </w:tr>
      <w:tr w:rsidR="00856F66" w:rsidRPr="00E31657" w14:paraId="0B5E4870" w14:textId="77777777" w:rsidTr="00826D72">
        <w:trPr>
          <w:trHeight w:val="315"/>
        </w:trPr>
        <w:tc>
          <w:tcPr>
            <w:tcW w:w="1122" w:type="pct"/>
            <w:vMerge w:val="restart"/>
            <w:tcMar>
              <w:top w:w="30" w:type="dxa"/>
              <w:left w:w="45" w:type="dxa"/>
              <w:bottom w:w="30" w:type="dxa"/>
              <w:right w:w="45" w:type="dxa"/>
            </w:tcMar>
            <w:vAlign w:val="center"/>
            <w:hideMark/>
          </w:tcPr>
          <w:p w14:paraId="41F4E62D"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Realizar el análisis detallado de amenaza o riesgo en 3.200 hectáreas de acuerdo con los 8 escenarios de riesgo caracterizados en el 2016 para Bogotá</w:t>
            </w:r>
          </w:p>
        </w:tc>
        <w:tc>
          <w:tcPr>
            <w:tcW w:w="276" w:type="pct"/>
            <w:vMerge w:val="restart"/>
            <w:tcMar>
              <w:top w:w="30" w:type="dxa"/>
              <w:left w:w="45" w:type="dxa"/>
              <w:bottom w:w="30" w:type="dxa"/>
              <w:right w:w="45" w:type="dxa"/>
            </w:tcMar>
            <w:vAlign w:val="center"/>
            <w:hideMark/>
          </w:tcPr>
          <w:p w14:paraId="6B2F14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7500</w:t>
            </w:r>
            <w:r w:rsidRPr="00E31657">
              <w:rPr>
                <w:rFonts w:cs="Arial"/>
                <w:sz w:val="16"/>
                <w:szCs w:val="16"/>
                <w:lang w:val="es-ES_tradnl" w:eastAsia="es-MX"/>
              </w:rPr>
              <w:br/>
              <w:t>(2023)</w:t>
            </w:r>
          </w:p>
        </w:tc>
        <w:tc>
          <w:tcPr>
            <w:tcW w:w="659" w:type="pct"/>
            <w:vMerge w:val="restart"/>
            <w:tcMar>
              <w:top w:w="30" w:type="dxa"/>
              <w:left w:w="45" w:type="dxa"/>
              <w:bottom w:w="30" w:type="dxa"/>
              <w:right w:w="45" w:type="dxa"/>
            </w:tcMar>
            <w:vAlign w:val="center"/>
            <w:hideMark/>
          </w:tcPr>
          <w:p w14:paraId="0821306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IDIGER</w:t>
            </w:r>
          </w:p>
        </w:tc>
        <w:tc>
          <w:tcPr>
            <w:tcW w:w="585" w:type="pct"/>
            <w:tcMar>
              <w:top w:w="30" w:type="dxa"/>
              <w:left w:w="45" w:type="dxa"/>
              <w:bottom w:w="30" w:type="dxa"/>
              <w:right w:w="45" w:type="dxa"/>
            </w:tcMar>
            <w:vAlign w:val="center"/>
            <w:hideMark/>
          </w:tcPr>
          <w:p w14:paraId="7C4ADF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w:t>
            </w:r>
          </w:p>
        </w:tc>
        <w:tc>
          <w:tcPr>
            <w:tcW w:w="579" w:type="pct"/>
            <w:tcMar>
              <w:top w:w="30" w:type="dxa"/>
              <w:left w:w="45" w:type="dxa"/>
              <w:bottom w:w="30" w:type="dxa"/>
              <w:right w:w="45" w:type="dxa"/>
            </w:tcMar>
            <w:vAlign w:val="center"/>
            <w:hideMark/>
          </w:tcPr>
          <w:p w14:paraId="5F5AA97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598" w:type="pct"/>
            <w:tcMar>
              <w:top w:w="30" w:type="dxa"/>
              <w:left w:w="45" w:type="dxa"/>
              <w:bottom w:w="30" w:type="dxa"/>
              <w:right w:w="45" w:type="dxa"/>
            </w:tcMar>
            <w:vAlign w:val="center"/>
            <w:hideMark/>
          </w:tcPr>
          <w:p w14:paraId="342434B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w:t>
            </w:r>
          </w:p>
        </w:tc>
        <w:tc>
          <w:tcPr>
            <w:tcW w:w="587" w:type="pct"/>
            <w:tcMar>
              <w:top w:w="30" w:type="dxa"/>
              <w:left w:w="45" w:type="dxa"/>
              <w:bottom w:w="30" w:type="dxa"/>
              <w:right w:w="45" w:type="dxa"/>
            </w:tcMar>
            <w:vAlign w:val="center"/>
            <w:hideMark/>
          </w:tcPr>
          <w:p w14:paraId="6C080FD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1.320</w:t>
            </w:r>
          </w:p>
        </w:tc>
        <w:tc>
          <w:tcPr>
            <w:tcW w:w="593" w:type="pct"/>
            <w:vMerge w:val="restart"/>
            <w:tcMar>
              <w:top w:w="30" w:type="dxa"/>
              <w:left w:w="45" w:type="dxa"/>
              <w:bottom w:w="30" w:type="dxa"/>
              <w:right w:w="45" w:type="dxa"/>
            </w:tcMar>
            <w:vAlign w:val="center"/>
            <w:hideMark/>
          </w:tcPr>
          <w:p w14:paraId="0C53F15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25.148.914.901</w:t>
            </w:r>
          </w:p>
        </w:tc>
      </w:tr>
      <w:tr w:rsidR="00856F66" w:rsidRPr="00E31657" w14:paraId="14893DD8" w14:textId="77777777" w:rsidTr="00826D72">
        <w:trPr>
          <w:trHeight w:val="315"/>
        </w:trPr>
        <w:tc>
          <w:tcPr>
            <w:tcW w:w="1122" w:type="pct"/>
            <w:vMerge/>
            <w:vAlign w:val="center"/>
            <w:hideMark/>
          </w:tcPr>
          <w:p w14:paraId="3B0D9C26" w14:textId="77777777" w:rsidR="00856F66" w:rsidRPr="00E31657" w:rsidRDefault="00856F66" w:rsidP="00B26C9A">
            <w:pPr>
              <w:jc w:val="right"/>
              <w:rPr>
                <w:rFonts w:cs="Arial"/>
                <w:sz w:val="16"/>
                <w:szCs w:val="16"/>
                <w:lang w:val="es-ES_tradnl" w:eastAsia="es-MX"/>
              </w:rPr>
            </w:pPr>
          </w:p>
        </w:tc>
        <w:tc>
          <w:tcPr>
            <w:tcW w:w="276" w:type="pct"/>
            <w:vMerge/>
            <w:vAlign w:val="center"/>
            <w:hideMark/>
          </w:tcPr>
          <w:p w14:paraId="142C1EC5" w14:textId="77777777" w:rsidR="00856F66" w:rsidRPr="00E31657" w:rsidRDefault="00856F66" w:rsidP="00AE6E22">
            <w:pPr>
              <w:rPr>
                <w:rFonts w:cs="Arial"/>
                <w:sz w:val="16"/>
                <w:szCs w:val="16"/>
                <w:lang w:val="es-ES_tradnl" w:eastAsia="es-MX"/>
              </w:rPr>
            </w:pPr>
          </w:p>
        </w:tc>
        <w:tc>
          <w:tcPr>
            <w:tcW w:w="659" w:type="pct"/>
            <w:vMerge/>
            <w:vAlign w:val="center"/>
            <w:hideMark/>
          </w:tcPr>
          <w:p w14:paraId="7BA5318C" w14:textId="77777777" w:rsidR="00856F66" w:rsidRPr="00E31657" w:rsidRDefault="00856F66" w:rsidP="00AE6E22">
            <w:pPr>
              <w:rPr>
                <w:rFonts w:cs="Arial"/>
                <w:sz w:val="16"/>
                <w:szCs w:val="16"/>
                <w:lang w:val="es-ES_tradnl" w:eastAsia="es-MX"/>
              </w:rPr>
            </w:pPr>
          </w:p>
        </w:tc>
        <w:tc>
          <w:tcPr>
            <w:tcW w:w="585" w:type="pct"/>
            <w:tcMar>
              <w:top w:w="30" w:type="dxa"/>
              <w:left w:w="45" w:type="dxa"/>
              <w:bottom w:w="30" w:type="dxa"/>
              <w:right w:w="45" w:type="dxa"/>
            </w:tcMar>
            <w:vAlign w:val="center"/>
            <w:hideMark/>
          </w:tcPr>
          <w:p w14:paraId="0B6ABA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2.900.000.000</w:t>
            </w:r>
          </w:p>
        </w:tc>
        <w:tc>
          <w:tcPr>
            <w:tcW w:w="579" w:type="pct"/>
            <w:tcMar>
              <w:top w:w="30" w:type="dxa"/>
              <w:left w:w="45" w:type="dxa"/>
              <w:bottom w:w="30" w:type="dxa"/>
              <w:right w:w="45" w:type="dxa"/>
            </w:tcMar>
            <w:vAlign w:val="center"/>
            <w:hideMark/>
          </w:tcPr>
          <w:p w14:paraId="188A36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6.448.633.796</w:t>
            </w:r>
          </w:p>
        </w:tc>
        <w:tc>
          <w:tcPr>
            <w:tcW w:w="598" w:type="pct"/>
            <w:tcMar>
              <w:top w:w="30" w:type="dxa"/>
              <w:left w:w="45" w:type="dxa"/>
              <w:bottom w:w="30" w:type="dxa"/>
              <w:right w:w="45" w:type="dxa"/>
            </w:tcMar>
            <w:vAlign w:val="center"/>
            <w:hideMark/>
          </w:tcPr>
          <w:p w14:paraId="095CB0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7.512.971.413</w:t>
            </w:r>
          </w:p>
        </w:tc>
        <w:tc>
          <w:tcPr>
            <w:tcW w:w="587" w:type="pct"/>
            <w:tcMar>
              <w:top w:w="30" w:type="dxa"/>
              <w:left w:w="45" w:type="dxa"/>
              <w:bottom w:w="30" w:type="dxa"/>
              <w:right w:w="45" w:type="dxa"/>
            </w:tcMar>
            <w:vAlign w:val="center"/>
            <w:hideMark/>
          </w:tcPr>
          <w:p w14:paraId="43F649B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8.287.309.692</w:t>
            </w:r>
          </w:p>
        </w:tc>
        <w:tc>
          <w:tcPr>
            <w:tcW w:w="593" w:type="pct"/>
            <w:vMerge/>
            <w:vAlign w:val="center"/>
            <w:hideMark/>
          </w:tcPr>
          <w:p w14:paraId="5A76A448" w14:textId="77777777" w:rsidR="00856F66" w:rsidRPr="00E31657" w:rsidRDefault="00856F66" w:rsidP="00AE6E22">
            <w:pPr>
              <w:rPr>
                <w:rFonts w:cs="Arial"/>
                <w:b/>
                <w:bCs/>
                <w:sz w:val="16"/>
                <w:szCs w:val="16"/>
                <w:lang w:val="es-ES_tradnl" w:eastAsia="es-MX"/>
              </w:rPr>
            </w:pPr>
          </w:p>
        </w:tc>
      </w:tr>
      <w:tr w:rsidR="00856F66" w:rsidRPr="00E31657" w14:paraId="44A3014B" w14:textId="77777777" w:rsidTr="00826D72">
        <w:trPr>
          <w:trHeight w:val="315"/>
        </w:trPr>
        <w:tc>
          <w:tcPr>
            <w:tcW w:w="1122" w:type="pct"/>
            <w:vMerge w:val="restart"/>
            <w:tcMar>
              <w:top w:w="30" w:type="dxa"/>
              <w:left w:w="45" w:type="dxa"/>
              <w:bottom w:w="30" w:type="dxa"/>
              <w:right w:w="45" w:type="dxa"/>
            </w:tcMar>
            <w:vAlign w:val="center"/>
            <w:hideMark/>
          </w:tcPr>
          <w:p w14:paraId="70163938"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Reasentar 100 familias ubicadas en zonas de alto riesgo no mitigable a través de adquisición predial.</w:t>
            </w:r>
          </w:p>
        </w:tc>
        <w:tc>
          <w:tcPr>
            <w:tcW w:w="276" w:type="pct"/>
            <w:vMerge w:val="restart"/>
            <w:tcMar>
              <w:top w:w="30" w:type="dxa"/>
              <w:left w:w="45" w:type="dxa"/>
              <w:bottom w:w="30" w:type="dxa"/>
              <w:right w:w="45" w:type="dxa"/>
            </w:tcMar>
            <w:vAlign w:val="center"/>
            <w:hideMark/>
          </w:tcPr>
          <w:p w14:paraId="1F9E0A9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166</w:t>
            </w:r>
            <w:r w:rsidRPr="00E31657">
              <w:rPr>
                <w:rFonts w:cs="Arial"/>
                <w:sz w:val="16"/>
                <w:szCs w:val="16"/>
                <w:lang w:val="es-ES_tradnl" w:eastAsia="es-MX"/>
              </w:rPr>
              <w:br/>
              <w:t>(2023)</w:t>
            </w:r>
          </w:p>
        </w:tc>
        <w:tc>
          <w:tcPr>
            <w:tcW w:w="659" w:type="pct"/>
            <w:vMerge w:val="restart"/>
            <w:tcMar>
              <w:top w:w="30" w:type="dxa"/>
              <w:left w:w="45" w:type="dxa"/>
              <w:bottom w:w="30" w:type="dxa"/>
              <w:right w:w="45" w:type="dxa"/>
            </w:tcMar>
            <w:vAlign w:val="center"/>
            <w:hideMark/>
          </w:tcPr>
          <w:p w14:paraId="0D07FB7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IDIGER</w:t>
            </w:r>
          </w:p>
        </w:tc>
        <w:tc>
          <w:tcPr>
            <w:tcW w:w="585" w:type="pct"/>
            <w:tcMar>
              <w:top w:w="30" w:type="dxa"/>
              <w:left w:w="45" w:type="dxa"/>
              <w:bottom w:w="30" w:type="dxa"/>
              <w:right w:w="45" w:type="dxa"/>
            </w:tcMar>
            <w:vAlign w:val="center"/>
            <w:hideMark/>
          </w:tcPr>
          <w:p w14:paraId="06471D8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79" w:type="pct"/>
            <w:tcMar>
              <w:top w:w="30" w:type="dxa"/>
              <w:left w:w="45" w:type="dxa"/>
              <w:bottom w:w="30" w:type="dxa"/>
              <w:right w:w="45" w:type="dxa"/>
            </w:tcMar>
            <w:vAlign w:val="center"/>
            <w:hideMark/>
          </w:tcPr>
          <w:p w14:paraId="7144DC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598" w:type="pct"/>
            <w:tcMar>
              <w:top w:w="30" w:type="dxa"/>
              <w:left w:w="45" w:type="dxa"/>
              <w:bottom w:w="30" w:type="dxa"/>
              <w:right w:w="45" w:type="dxa"/>
            </w:tcMar>
            <w:vAlign w:val="center"/>
            <w:hideMark/>
          </w:tcPr>
          <w:p w14:paraId="79D28C6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w:t>
            </w:r>
          </w:p>
        </w:tc>
        <w:tc>
          <w:tcPr>
            <w:tcW w:w="587" w:type="pct"/>
            <w:tcMar>
              <w:top w:w="30" w:type="dxa"/>
              <w:left w:w="45" w:type="dxa"/>
              <w:bottom w:w="30" w:type="dxa"/>
              <w:right w:w="45" w:type="dxa"/>
            </w:tcMar>
            <w:vAlign w:val="center"/>
            <w:hideMark/>
          </w:tcPr>
          <w:p w14:paraId="1D60FD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w:t>
            </w:r>
          </w:p>
        </w:tc>
        <w:tc>
          <w:tcPr>
            <w:tcW w:w="593" w:type="pct"/>
            <w:vMerge w:val="restart"/>
            <w:tcMar>
              <w:top w:w="30" w:type="dxa"/>
              <w:left w:w="45" w:type="dxa"/>
              <w:bottom w:w="30" w:type="dxa"/>
              <w:right w:w="45" w:type="dxa"/>
            </w:tcMar>
            <w:vAlign w:val="center"/>
            <w:hideMark/>
          </w:tcPr>
          <w:p w14:paraId="2CF16B0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26.303.810.888</w:t>
            </w:r>
          </w:p>
        </w:tc>
      </w:tr>
      <w:tr w:rsidR="00856F66" w:rsidRPr="00E31657" w14:paraId="34109D61" w14:textId="77777777" w:rsidTr="00826D72">
        <w:trPr>
          <w:trHeight w:val="315"/>
        </w:trPr>
        <w:tc>
          <w:tcPr>
            <w:tcW w:w="1122" w:type="pct"/>
            <w:vMerge/>
            <w:vAlign w:val="center"/>
            <w:hideMark/>
          </w:tcPr>
          <w:p w14:paraId="3C7584B8" w14:textId="77777777" w:rsidR="00856F66" w:rsidRPr="00E31657" w:rsidRDefault="00856F66" w:rsidP="00AE6E22">
            <w:pPr>
              <w:rPr>
                <w:rFonts w:cs="Arial"/>
                <w:sz w:val="16"/>
                <w:szCs w:val="16"/>
                <w:lang w:val="es-ES_tradnl" w:eastAsia="es-MX"/>
              </w:rPr>
            </w:pPr>
          </w:p>
        </w:tc>
        <w:tc>
          <w:tcPr>
            <w:tcW w:w="276" w:type="pct"/>
            <w:vMerge/>
            <w:vAlign w:val="center"/>
            <w:hideMark/>
          </w:tcPr>
          <w:p w14:paraId="037164F5" w14:textId="77777777" w:rsidR="00856F66" w:rsidRPr="00E31657" w:rsidRDefault="00856F66" w:rsidP="00AE6E22">
            <w:pPr>
              <w:rPr>
                <w:rFonts w:cs="Arial"/>
                <w:sz w:val="16"/>
                <w:szCs w:val="16"/>
                <w:lang w:val="es-ES_tradnl" w:eastAsia="es-MX"/>
              </w:rPr>
            </w:pPr>
          </w:p>
        </w:tc>
        <w:tc>
          <w:tcPr>
            <w:tcW w:w="659" w:type="pct"/>
            <w:vMerge/>
            <w:vAlign w:val="center"/>
            <w:hideMark/>
          </w:tcPr>
          <w:p w14:paraId="303AC3E0" w14:textId="77777777" w:rsidR="00856F66" w:rsidRPr="00E31657" w:rsidRDefault="00856F66" w:rsidP="00AE6E22">
            <w:pPr>
              <w:rPr>
                <w:rFonts w:cs="Arial"/>
                <w:sz w:val="16"/>
                <w:szCs w:val="16"/>
                <w:lang w:val="es-ES_tradnl" w:eastAsia="es-MX"/>
              </w:rPr>
            </w:pPr>
          </w:p>
        </w:tc>
        <w:tc>
          <w:tcPr>
            <w:tcW w:w="585" w:type="pct"/>
            <w:tcMar>
              <w:top w:w="30" w:type="dxa"/>
              <w:left w:w="45" w:type="dxa"/>
              <w:bottom w:w="30" w:type="dxa"/>
              <w:right w:w="45" w:type="dxa"/>
            </w:tcMar>
            <w:vAlign w:val="center"/>
            <w:hideMark/>
          </w:tcPr>
          <w:p w14:paraId="59793D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1.000.000.000</w:t>
            </w:r>
          </w:p>
        </w:tc>
        <w:tc>
          <w:tcPr>
            <w:tcW w:w="579" w:type="pct"/>
            <w:tcMar>
              <w:top w:w="30" w:type="dxa"/>
              <w:left w:w="45" w:type="dxa"/>
              <w:bottom w:w="30" w:type="dxa"/>
              <w:right w:w="45" w:type="dxa"/>
            </w:tcMar>
            <w:vAlign w:val="center"/>
            <w:hideMark/>
          </w:tcPr>
          <w:p w14:paraId="1B27B29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6.789.447.328</w:t>
            </w:r>
          </w:p>
        </w:tc>
        <w:tc>
          <w:tcPr>
            <w:tcW w:w="598" w:type="pct"/>
            <w:tcMar>
              <w:top w:w="30" w:type="dxa"/>
              <w:left w:w="45" w:type="dxa"/>
              <w:bottom w:w="30" w:type="dxa"/>
              <w:right w:w="45" w:type="dxa"/>
            </w:tcMar>
            <w:vAlign w:val="center"/>
            <w:hideMark/>
          </w:tcPr>
          <w:p w14:paraId="5CFA9A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7.910.035.722</w:t>
            </w:r>
          </w:p>
        </w:tc>
        <w:tc>
          <w:tcPr>
            <w:tcW w:w="587" w:type="pct"/>
            <w:tcMar>
              <w:top w:w="30" w:type="dxa"/>
              <w:left w:w="45" w:type="dxa"/>
              <w:bottom w:w="30" w:type="dxa"/>
              <w:right w:w="45" w:type="dxa"/>
            </w:tcMar>
            <w:vAlign w:val="center"/>
            <w:hideMark/>
          </w:tcPr>
          <w:p w14:paraId="1509E0B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10.604.327.839</w:t>
            </w:r>
          </w:p>
        </w:tc>
        <w:tc>
          <w:tcPr>
            <w:tcW w:w="593" w:type="pct"/>
            <w:vMerge/>
            <w:vAlign w:val="center"/>
            <w:hideMark/>
          </w:tcPr>
          <w:p w14:paraId="36FD7224" w14:textId="77777777" w:rsidR="00856F66" w:rsidRPr="00E31657" w:rsidRDefault="00856F66" w:rsidP="00AE6E22">
            <w:pPr>
              <w:rPr>
                <w:rFonts w:cs="Arial"/>
                <w:b/>
                <w:bCs/>
                <w:sz w:val="16"/>
                <w:szCs w:val="16"/>
                <w:lang w:val="es-ES_tradnl" w:eastAsia="es-MX"/>
              </w:rPr>
            </w:pPr>
          </w:p>
        </w:tc>
      </w:tr>
      <w:tr w:rsidR="00856F66" w:rsidRPr="00E31657" w14:paraId="4B97F939"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7C7264F5"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Hábitat</w:t>
            </w:r>
          </w:p>
        </w:tc>
      </w:tr>
      <w:tr w:rsidR="00856F66" w:rsidRPr="00E31657" w14:paraId="50C37BE7" w14:textId="77777777" w:rsidTr="00826D72">
        <w:trPr>
          <w:trHeight w:val="450"/>
        </w:trPr>
        <w:tc>
          <w:tcPr>
            <w:tcW w:w="1122" w:type="pct"/>
            <w:vMerge w:val="restart"/>
            <w:tcMar>
              <w:top w:w="30" w:type="dxa"/>
              <w:left w:w="45" w:type="dxa"/>
              <w:bottom w:w="30" w:type="dxa"/>
              <w:right w:w="45" w:type="dxa"/>
            </w:tcMar>
            <w:vAlign w:val="center"/>
            <w:hideMark/>
          </w:tcPr>
          <w:p w14:paraId="2040E10B"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Expedir 2.000 Actos de Reconocimiento y/o Licencias de construcción de viviendas de estratos 1 y 2 por parte de la Curaduría Pública Social</w:t>
            </w:r>
          </w:p>
        </w:tc>
        <w:tc>
          <w:tcPr>
            <w:tcW w:w="276" w:type="pct"/>
            <w:vMerge w:val="restart"/>
            <w:tcMar>
              <w:top w:w="30" w:type="dxa"/>
              <w:left w:w="45" w:type="dxa"/>
              <w:bottom w:w="30" w:type="dxa"/>
              <w:right w:w="45" w:type="dxa"/>
            </w:tcMar>
            <w:vAlign w:val="center"/>
            <w:hideMark/>
          </w:tcPr>
          <w:p w14:paraId="7406149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1140</w:t>
            </w:r>
            <w:r w:rsidRPr="00E31657">
              <w:rPr>
                <w:rFonts w:cs="Arial"/>
                <w:sz w:val="16"/>
                <w:szCs w:val="16"/>
                <w:lang w:val="es-ES_tradnl" w:eastAsia="es-MX"/>
              </w:rPr>
              <w:br/>
              <w:t>(2023)</w:t>
            </w:r>
          </w:p>
        </w:tc>
        <w:tc>
          <w:tcPr>
            <w:tcW w:w="659" w:type="pct"/>
            <w:vMerge w:val="restart"/>
            <w:tcMar>
              <w:top w:w="30" w:type="dxa"/>
              <w:left w:w="45" w:type="dxa"/>
              <w:bottom w:w="30" w:type="dxa"/>
              <w:right w:w="45" w:type="dxa"/>
            </w:tcMar>
            <w:vAlign w:val="center"/>
            <w:hideMark/>
          </w:tcPr>
          <w:p w14:paraId="285114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CVP- Dirección de Mejoramiento de Vivienda</w:t>
            </w:r>
          </w:p>
        </w:tc>
        <w:tc>
          <w:tcPr>
            <w:tcW w:w="585" w:type="pct"/>
            <w:tcMar>
              <w:top w:w="30" w:type="dxa"/>
              <w:left w:w="45" w:type="dxa"/>
              <w:bottom w:w="30" w:type="dxa"/>
              <w:right w:w="45" w:type="dxa"/>
            </w:tcMar>
            <w:vAlign w:val="center"/>
            <w:hideMark/>
          </w:tcPr>
          <w:p w14:paraId="499A2FB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79" w:type="pct"/>
            <w:tcMar>
              <w:top w:w="30" w:type="dxa"/>
              <w:left w:w="45" w:type="dxa"/>
              <w:bottom w:w="30" w:type="dxa"/>
              <w:right w:w="45" w:type="dxa"/>
            </w:tcMar>
            <w:vAlign w:val="center"/>
            <w:hideMark/>
          </w:tcPr>
          <w:p w14:paraId="3B243EC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w:t>
            </w:r>
          </w:p>
        </w:tc>
        <w:tc>
          <w:tcPr>
            <w:tcW w:w="598" w:type="pct"/>
            <w:tcMar>
              <w:top w:w="30" w:type="dxa"/>
              <w:left w:w="45" w:type="dxa"/>
              <w:bottom w:w="30" w:type="dxa"/>
              <w:right w:w="45" w:type="dxa"/>
            </w:tcMar>
            <w:vAlign w:val="center"/>
            <w:hideMark/>
          </w:tcPr>
          <w:p w14:paraId="7888B8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w:t>
            </w:r>
          </w:p>
        </w:tc>
        <w:tc>
          <w:tcPr>
            <w:tcW w:w="587" w:type="pct"/>
            <w:tcMar>
              <w:top w:w="30" w:type="dxa"/>
              <w:left w:w="45" w:type="dxa"/>
              <w:bottom w:w="30" w:type="dxa"/>
              <w:right w:w="45" w:type="dxa"/>
            </w:tcMar>
            <w:vAlign w:val="center"/>
            <w:hideMark/>
          </w:tcPr>
          <w:p w14:paraId="300D669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93" w:type="pct"/>
            <w:vMerge w:val="restart"/>
            <w:tcMar>
              <w:top w:w="30" w:type="dxa"/>
              <w:left w:w="45" w:type="dxa"/>
              <w:bottom w:w="30" w:type="dxa"/>
              <w:right w:w="45" w:type="dxa"/>
            </w:tcMar>
            <w:vAlign w:val="center"/>
            <w:hideMark/>
          </w:tcPr>
          <w:p w14:paraId="0D249DB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15.718.860.088</w:t>
            </w:r>
          </w:p>
        </w:tc>
      </w:tr>
      <w:tr w:rsidR="00856F66" w:rsidRPr="00E31657" w14:paraId="1476FEBD" w14:textId="77777777" w:rsidTr="00826D72">
        <w:trPr>
          <w:trHeight w:val="450"/>
        </w:trPr>
        <w:tc>
          <w:tcPr>
            <w:tcW w:w="1122" w:type="pct"/>
            <w:vMerge/>
            <w:vAlign w:val="center"/>
            <w:hideMark/>
          </w:tcPr>
          <w:p w14:paraId="76752182" w14:textId="77777777" w:rsidR="00856F66" w:rsidRPr="00E31657" w:rsidRDefault="00856F66" w:rsidP="00B26C9A">
            <w:pPr>
              <w:jc w:val="right"/>
              <w:rPr>
                <w:rFonts w:cs="Arial"/>
                <w:sz w:val="16"/>
                <w:szCs w:val="16"/>
                <w:lang w:val="es-ES_tradnl" w:eastAsia="es-MX"/>
              </w:rPr>
            </w:pPr>
          </w:p>
        </w:tc>
        <w:tc>
          <w:tcPr>
            <w:tcW w:w="276" w:type="pct"/>
            <w:vMerge/>
            <w:vAlign w:val="center"/>
            <w:hideMark/>
          </w:tcPr>
          <w:p w14:paraId="06937B34" w14:textId="77777777" w:rsidR="00856F66" w:rsidRPr="00E31657" w:rsidRDefault="00856F66" w:rsidP="00AE6E22">
            <w:pPr>
              <w:rPr>
                <w:rFonts w:cs="Arial"/>
                <w:sz w:val="16"/>
                <w:szCs w:val="16"/>
                <w:lang w:val="es-ES_tradnl" w:eastAsia="es-MX"/>
              </w:rPr>
            </w:pPr>
          </w:p>
        </w:tc>
        <w:tc>
          <w:tcPr>
            <w:tcW w:w="659" w:type="pct"/>
            <w:vMerge/>
            <w:vAlign w:val="center"/>
            <w:hideMark/>
          </w:tcPr>
          <w:p w14:paraId="62EA40D9" w14:textId="77777777" w:rsidR="00856F66" w:rsidRPr="00E31657" w:rsidRDefault="00856F66" w:rsidP="00AE6E22">
            <w:pPr>
              <w:rPr>
                <w:rFonts w:cs="Arial"/>
                <w:sz w:val="16"/>
                <w:szCs w:val="16"/>
                <w:lang w:val="es-ES_tradnl" w:eastAsia="es-MX"/>
              </w:rPr>
            </w:pPr>
          </w:p>
        </w:tc>
        <w:tc>
          <w:tcPr>
            <w:tcW w:w="585" w:type="pct"/>
            <w:tcMar>
              <w:top w:w="30" w:type="dxa"/>
              <w:left w:w="45" w:type="dxa"/>
              <w:bottom w:w="30" w:type="dxa"/>
              <w:right w:w="45" w:type="dxa"/>
            </w:tcMar>
            <w:vAlign w:val="center"/>
            <w:hideMark/>
          </w:tcPr>
          <w:p w14:paraId="4FC69F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3.164.415.660</w:t>
            </w:r>
          </w:p>
        </w:tc>
        <w:tc>
          <w:tcPr>
            <w:tcW w:w="579" w:type="pct"/>
            <w:tcMar>
              <w:top w:w="30" w:type="dxa"/>
              <w:left w:w="45" w:type="dxa"/>
              <w:bottom w:w="30" w:type="dxa"/>
              <w:right w:w="45" w:type="dxa"/>
            </w:tcMar>
            <w:vAlign w:val="center"/>
            <w:hideMark/>
          </w:tcPr>
          <w:p w14:paraId="11D61D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5.749.736.893</w:t>
            </w:r>
          </w:p>
        </w:tc>
        <w:tc>
          <w:tcPr>
            <w:tcW w:w="598" w:type="pct"/>
            <w:tcMar>
              <w:top w:w="30" w:type="dxa"/>
              <w:left w:w="45" w:type="dxa"/>
              <w:bottom w:w="30" w:type="dxa"/>
              <w:right w:w="45" w:type="dxa"/>
            </w:tcMar>
            <w:vAlign w:val="center"/>
            <w:hideMark/>
          </w:tcPr>
          <w:p w14:paraId="5E2D03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6.202.521.444</w:t>
            </w:r>
          </w:p>
        </w:tc>
        <w:tc>
          <w:tcPr>
            <w:tcW w:w="587" w:type="pct"/>
            <w:tcMar>
              <w:top w:w="30" w:type="dxa"/>
              <w:left w:w="45" w:type="dxa"/>
              <w:bottom w:w="30" w:type="dxa"/>
              <w:right w:w="45" w:type="dxa"/>
            </w:tcMar>
            <w:vAlign w:val="center"/>
            <w:hideMark/>
          </w:tcPr>
          <w:p w14:paraId="7FDEE6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602.186.090</w:t>
            </w:r>
          </w:p>
        </w:tc>
        <w:tc>
          <w:tcPr>
            <w:tcW w:w="593" w:type="pct"/>
            <w:vMerge/>
            <w:vAlign w:val="center"/>
            <w:hideMark/>
          </w:tcPr>
          <w:p w14:paraId="2538F0B4" w14:textId="77777777" w:rsidR="00856F66" w:rsidRPr="00E31657" w:rsidRDefault="00856F66" w:rsidP="00AE6E22">
            <w:pPr>
              <w:rPr>
                <w:rFonts w:cs="Arial"/>
                <w:b/>
                <w:bCs/>
                <w:sz w:val="16"/>
                <w:szCs w:val="16"/>
                <w:lang w:val="es-ES_tradnl" w:eastAsia="es-MX"/>
              </w:rPr>
            </w:pPr>
          </w:p>
        </w:tc>
      </w:tr>
      <w:tr w:rsidR="00856F66" w:rsidRPr="00E31657" w14:paraId="0FB16DDB" w14:textId="77777777" w:rsidTr="00826D72">
        <w:trPr>
          <w:trHeight w:val="450"/>
        </w:trPr>
        <w:tc>
          <w:tcPr>
            <w:tcW w:w="1122" w:type="pct"/>
            <w:vMerge w:val="restart"/>
            <w:tcMar>
              <w:top w:w="30" w:type="dxa"/>
              <w:left w:w="45" w:type="dxa"/>
              <w:bottom w:w="30" w:type="dxa"/>
              <w:right w:w="45" w:type="dxa"/>
            </w:tcMar>
            <w:vAlign w:val="center"/>
            <w:hideMark/>
          </w:tcPr>
          <w:p w14:paraId="341747DE"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Reasentar 2.000 Hogares ubicados en zonas de alto riesgo no mitigable y/o las ordenadas mediante actos administrativos o sentencias judiciales</w:t>
            </w:r>
          </w:p>
        </w:tc>
        <w:tc>
          <w:tcPr>
            <w:tcW w:w="276" w:type="pct"/>
            <w:vMerge w:val="restart"/>
            <w:tcMar>
              <w:top w:w="30" w:type="dxa"/>
              <w:left w:w="45" w:type="dxa"/>
              <w:bottom w:w="30" w:type="dxa"/>
              <w:right w:w="45" w:type="dxa"/>
            </w:tcMar>
            <w:vAlign w:val="center"/>
            <w:hideMark/>
          </w:tcPr>
          <w:p w14:paraId="7C2CD3C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1857</w:t>
            </w:r>
            <w:r w:rsidRPr="00E31657">
              <w:rPr>
                <w:rFonts w:cs="Arial"/>
                <w:sz w:val="16"/>
                <w:szCs w:val="16"/>
                <w:lang w:val="es-ES_tradnl" w:eastAsia="es-MX"/>
              </w:rPr>
              <w:br/>
              <w:t>(2023)</w:t>
            </w:r>
          </w:p>
        </w:tc>
        <w:tc>
          <w:tcPr>
            <w:tcW w:w="659" w:type="pct"/>
            <w:vMerge w:val="restart"/>
            <w:tcMar>
              <w:top w:w="30" w:type="dxa"/>
              <w:left w:w="45" w:type="dxa"/>
              <w:bottom w:w="30" w:type="dxa"/>
              <w:right w:w="45" w:type="dxa"/>
            </w:tcMar>
            <w:vAlign w:val="center"/>
            <w:hideMark/>
          </w:tcPr>
          <w:p w14:paraId="5EC4979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CVP- Dirección de Reasentamientos Segplan </w:t>
            </w:r>
          </w:p>
        </w:tc>
        <w:tc>
          <w:tcPr>
            <w:tcW w:w="585" w:type="pct"/>
            <w:tcMar>
              <w:top w:w="30" w:type="dxa"/>
              <w:left w:w="45" w:type="dxa"/>
              <w:bottom w:w="30" w:type="dxa"/>
              <w:right w:w="45" w:type="dxa"/>
            </w:tcMar>
            <w:vAlign w:val="center"/>
            <w:hideMark/>
          </w:tcPr>
          <w:p w14:paraId="36F834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202</w:t>
            </w:r>
          </w:p>
        </w:tc>
        <w:tc>
          <w:tcPr>
            <w:tcW w:w="579" w:type="pct"/>
            <w:tcMar>
              <w:top w:w="30" w:type="dxa"/>
              <w:left w:w="45" w:type="dxa"/>
              <w:bottom w:w="30" w:type="dxa"/>
              <w:right w:w="45" w:type="dxa"/>
            </w:tcMar>
            <w:vAlign w:val="center"/>
            <w:hideMark/>
          </w:tcPr>
          <w:p w14:paraId="6B0B98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559</w:t>
            </w:r>
          </w:p>
        </w:tc>
        <w:tc>
          <w:tcPr>
            <w:tcW w:w="598" w:type="pct"/>
            <w:tcMar>
              <w:top w:w="30" w:type="dxa"/>
              <w:left w:w="45" w:type="dxa"/>
              <w:bottom w:w="30" w:type="dxa"/>
              <w:right w:w="45" w:type="dxa"/>
            </w:tcMar>
            <w:vAlign w:val="center"/>
            <w:hideMark/>
          </w:tcPr>
          <w:p w14:paraId="36DC3F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572</w:t>
            </w:r>
          </w:p>
        </w:tc>
        <w:tc>
          <w:tcPr>
            <w:tcW w:w="587" w:type="pct"/>
            <w:tcMar>
              <w:top w:w="30" w:type="dxa"/>
              <w:left w:w="45" w:type="dxa"/>
              <w:bottom w:w="30" w:type="dxa"/>
              <w:right w:w="45" w:type="dxa"/>
            </w:tcMar>
            <w:vAlign w:val="center"/>
            <w:hideMark/>
          </w:tcPr>
          <w:p w14:paraId="3A861EE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667</w:t>
            </w:r>
          </w:p>
        </w:tc>
        <w:tc>
          <w:tcPr>
            <w:tcW w:w="593" w:type="pct"/>
            <w:vMerge w:val="restart"/>
            <w:tcMar>
              <w:top w:w="30" w:type="dxa"/>
              <w:left w:w="45" w:type="dxa"/>
              <w:bottom w:w="30" w:type="dxa"/>
              <w:right w:w="45" w:type="dxa"/>
            </w:tcMar>
            <w:vAlign w:val="center"/>
            <w:hideMark/>
          </w:tcPr>
          <w:p w14:paraId="465D988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97.243.474.400</w:t>
            </w:r>
          </w:p>
        </w:tc>
      </w:tr>
      <w:tr w:rsidR="00856F66" w:rsidRPr="00E31657" w14:paraId="08548037" w14:textId="77777777" w:rsidTr="00826D72">
        <w:trPr>
          <w:trHeight w:val="450"/>
        </w:trPr>
        <w:tc>
          <w:tcPr>
            <w:tcW w:w="1122" w:type="pct"/>
            <w:vMerge/>
            <w:vAlign w:val="center"/>
            <w:hideMark/>
          </w:tcPr>
          <w:p w14:paraId="24D012DF" w14:textId="77777777" w:rsidR="00856F66" w:rsidRPr="00E31657" w:rsidRDefault="00856F66" w:rsidP="00AE6E22">
            <w:pPr>
              <w:rPr>
                <w:rFonts w:cs="Arial"/>
                <w:sz w:val="16"/>
                <w:szCs w:val="16"/>
                <w:lang w:val="es-ES_tradnl" w:eastAsia="es-MX"/>
              </w:rPr>
            </w:pPr>
          </w:p>
        </w:tc>
        <w:tc>
          <w:tcPr>
            <w:tcW w:w="276" w:type="pct"/>
            <w:vMerge/>
            <w:vAlign w:val="center"/>
            <w:hideMark/>
          </w:tcPr>
          <w:p w14:paraId="5D70C436" w14:textId="77777777" w:rsidR="00856F66" w:rsidRPr="00E31657" w:rsidRDefault="00856F66" w:rsidP="00AE6E22">
            <w:pPr>
              <w:rPr>
                <w:rFonts w:cs="Arial"/>
                <w:sz w:val="16"/>
                <w:szCs w:val="16"/>
                <w:lang w:val="es-ES_tradnl" w:eastAsia="es-MX"/>
              </w:rPr>
            </w:pPr>
          </w:p>
        </w:tc>
        <w:tc>
          <w:tcPr>
            <w:tcW w:w="659" w:type="pct"/>
            <w:vMerge/>
            <w:vAlign w:val="center"/>
            <w:hideMark/>
          </w:tcPr>
          <w:p w14:paraId="4A24253B" w14:textId="77777777" w:rsidR="00856F66" w:rsidRPr="00E31657" w:rsidRDefault="00856F66" w:rsidP="00AE6E22">
            <w:pPr>
              <w:rPr>
                <w:rFonts w:cs="Arial"/>
                <w:sz w:val="16"/>
                <w:szCs w:val="16"/>
                <w:lang w:val="es-ES_tradnl" w:eastAsia="es-MX"/>
              </w:rPr>
            </w:pPr>
          </w:p>
        </w:tc>
        <w:tc>
          <w:tcPr>
            <w:tcW w:w="585" w:type="pct"/>
            <w:tcMar>
              <w:top w:w="30" w:type="dxa"/>
              <w:left w:w="45" w:type="dxa"/>
              <w:bottom w:w="30" w:type="dxa"/>
              <w:right w:w="45" w:type="dxa"/>
            </w:tcMar>
            <w:vAlign w:val="center"/>
            <w:hideMark/>
          </w:tcPr>
          <w:p w14:paraId="67B52B9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16.814.447.998</w:t>
            </w:r>
          </w:p>
        </w:tc>
        <w:tc>
          <w:tcPr>
            <w:tcW w:w="579" w:type="pct"/>
            <w:tcMar>
              <w:top w:w="30" w:type="dxa"/>
              <w:left w:w="45" w:type="dxa"/>
              <w:bottom w:w="30" w:type="dxa"/>
              <w:right w:w="45" w:type="dxa"/>
            </w:tcMar>
            <w:vAlign w:val="center"/>
            <w:hideMark/>
          </w:tcPr>
          <w:p w14:paraId="2C5519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23.827.106.304</w:t>
            </w:r>
          </w:p>
        </w:tc>
        <w:tc>
          <w:tcPr>
            <w:tcW w:w="598" w:type="pct"/>
            <w:tcMar>
              <w:top w:w="30" w:type="dxa"/>
              <w:left w:w="45" w:type="dxa"/>
              <w:bottom w:w="30" w:type="dxa"/>
              <w:right w:w="45" w:type="dxa"/>
            </w:tcMar>
            <w:vAlign w:val="center"/>
            <w:hideMark/>
          </w:tcPr>
          <w:p w14:paraId="57AF6E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24.885.036.433</w:t>
            </w:r>
          </w:p>
        </w:tc>
        <w:tc>
          <w:tcPr>
            <w:tcW w:w="587" w:type="pct"/>
            <w:tcMar>
              <w:top w:w="30" w:type="dxa"/>
              <w:left w:w="45" w:type="dxa"/>
              <w:bottom w:w="30" w:type="dxa"/>
              <w:right w:w="45" w:type="dxa"/>
            </w:tcMar>
            <w:vAlign w:val="center"/>
            <w:hideMark/>
          </w:tcPr>
          <w:p w14:paraId="0026701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31.716.883.665</w:t>
            </w:r>
          </w:p>
        </w:tc>
        <w:tc>
          <w:tcPr>
            <w:tcW w:w="593" w:type="pct"/>
            <w:vMerge/>
            <w:vAlign w:val="center"/>
            <w:hideMark/>
          </w:tcPr>
          <w:p w14:paraId="5DA7C59A" w14:textId="77777777" w:rsidR="00856F66" w:rsidRPr="00E31657" w:rsidRDefault="00856F66" w:rsidP="00AE6E22">
            <w:pPr>
              <w:rPr>
                <w:rFonts w:cs="Arial"/>
                <w:b/>
                <w:bCs/>
                <w:sz w:val="16"/>
                <w:szCs w:val="16"/>
                <w:lang w:val="es-ES_tradnl" w:eastAsia="es-MX"/>
              </w:rPr>
            </w:pPr>
          </w:p>
        </w:tc>
      </w:tr>
    </w:tbl>
    <w:p w14:paraId="2CC7629F" w14:textId="77777777" w:rsidR="00856F66" w:rsidRPr="00E31657" w:rsidRDefault="00856F66">
      <w:pPr>
        <w:rPr>
          <w:sz w:val="16"/>
          <w:szCs w:val="16"/>
          <w:lang w:val="es-ES_tradnl"/>
        </w:rPr>
      </w:pPr>
    </w:p>
    <w:p w14:paraId="62051C62" w14:textId="77777777" w:rsidR="00856F66" w:rsidRDefault="00856F66">
      <w:pPr>
        <w:rPr>
          <w:sz w:val="16"/>
          <w:szCs w:val="16"/>
          <w:lang w:val="es-ES_tradnl"/>
        </w:rPr>
      </w:pPr>
    </w:p>
    <w:tbl>
      <w:tblPr>
        <w:tblW w:w="9360" w:type="dxa"/>
        <w:tblCellMar>
          <w:left w:w="0" w:type="dxa"/>
          <w:right w:w="0" w:type="dxa"/>
        </w:tblCellMar>
        <w:tblLook w:val="04A0" w:firstRow="1" w:lastRow="0" w:firstColumn="1" w:lastColumn="0" w:noHBand="0" w:noVBand="1"/>
      </w:tblPr>
      <w:tblGrid>
        <w:gridCol w:w="2411"/>
        <w:gridCol w:w="595"/>
        <w:gridCol w:w="789"/>
        <w:gridCol w:w="1087"/>
        <w:gridCol w:w="1085"/>
        <w:gridCol w:w="1128"/>
        <w:gridCol w:w="1149"/>
        <w:gridCol w:w="1116"/>
      </w:tblGrid>
      <w:tr w:rsidR="00856F66" w:rsidRPr="00E31657" w14:paraId="0B0694E4" w14:textId="77777777" w:rsidTr="00826D72">
        <w:trPr>
          <w:trHeight w:val="315"/>
        </w:trPr>
        <w:tc>
          <w:tcPr>
            <w:tcW w:w="0" w:type="auto"/>
            <w:gridSpan w:val="8"/>
            <w:tcBorders>
              <w:bottom w:val="double" w:sz="4" w:space="0" w:color="C00000"/>
            </w:tcBorders>
            <w:tcMar>
              <w:top w:w="30" w:type="dxa"/>
              <w:left w:w="45" w:type="dxa"/>
              <w:bottom w:w="30" w:type="dxa"/>
              <w:right w:w="45" w:type="dxa"/>
            </w:tcMar>
            <w:vAlign w:val="center"/>
            <w:hideMark/>
          </w:tcPr>
          <w:p w14:paraId="2E8A4F07"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t xml:space="preserve">Programa 28. </w:t>
            </w:r>
            <w:r w:rsidRPr="00E31657">
              <w:rPr>
                <w:rFonts w:cs="Arial"/>
                <w:lang w:val="es-ES_tradnl" w:eastAsia="es-MX"/>
              </w:rPr>
              <w:t>Reducción de emisiones y control del deterioro ambiental</w:t>
            </w:r>
          </w:p>
        </w:tc>
      </w:tr>
      <w:tr w:rsidR="00856F66" w:rsidRPr="00E31657" w14:paraId="7305FE58" w14:textId="77777777" w:rsidTr="00826D72">
        <w:trPr>
          <w:trHeight w:val="315"/>
        </w:trPr>
        <w:tc>
          <w:tcPr>
            <w:tcW w:w="0" w:type="auto"/>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168A9E09"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0" w:type="auto"/>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5EDD8361"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5BA7EE5A" w14:textId="77777777" w:rsidTr="00826D72">
        <w:trPr>
          <w:trHeight w:val="315"/>
        </w:trPr>
        <w:tc>
          <w:tcPr>
            <w:tcW w:w="0" w:type="auto"/>
            <w:vMerge/>
            <w:tcBorders>
              <w:top w:val="double" w:sz="4" w:space="0" w:color="C00000"/>
              <w:bottom w:val="double" w:sz="4" w:space="0" w:color="C00000"/>
              <w:right w:val="double" w:sz="4" w:space="0" w:color="C00000"/>
            </w:tcBorders>
            <w:shd w:val="clear" w:color="auto" w:fill="C00000"/>
            <w:vAlign w:val="center"/>
            <w:hideMark/>
          </w:tcPr>
          <w:p w14:paraId="47FB7B91" w14:textId="77777777" w:rsidR="00856F66" w:rsidRPr="00E31657" w:rsidRDefault="00856F66" w:rsidP="00AE6E22">
            <w:pPr>
              <w:rPr>
                <w:rFonts w:cs="Arial"/>
                <w:b/>
                <w:bCs/>
                <w:color w:val="FFFFFF"/>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5C03E6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B27796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469E2F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D345F6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D3C546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E7DA0A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1488B58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6300332B" w14:textId="77777777" w:rsidTr="00826D72">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46FE064"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Ambiente</w:t>
            </w:r>
          </w:p>
        </w:tc>
      </w:tr>
      <w:tr w:rsidR="00856F66" w:rsidRPr="00E31657" w14:paraId="12235CA9" w14:textId="77777777" w:rsidTr="00826D72">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B7E678"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(1) un instrumento financiero para la renovación del parque automotor de los vehículos de transporte de carga (FonCarga).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1148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045A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0A2E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953A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F43C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0,80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7B8DF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A50358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13.484.703.447</w:t>
            </w:r>
          </w:p>
        </w:tc>
      </w:tr>
      <w:tr w:rsidR="00856F66" w:rsidRPr="00E31657" w14:paraId="14289B4B" w14:textId="77777777" w:rsidTr="00826D72">
        <w:trPr>
          <w:trHeight w:val="315"/>
        </w:trPr>
        <w:tc>
          <w:tcPr>
            <w:tcW w:w="0" w:type="auto"/>
            <w:vMerge/>
            <w:tcBorders>
              <w:top w:val="double" w:sz="4" w:space="0" w:color="C00000"/>
              <w:bottom w:val="double" w:sz="4" w:space="0" w:color="C00000"/>
              <w:right w:val="double" w:sz="4" w:space="0" w:color="C00000"/>
            </w:tcBorders>
            <w:vAlign w:val="center"/>
            <w:hideMark/>
          </w:tcPr>
          <w:p w14:paraId="71A66B3A"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86C73E1"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3A6301E"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90BD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BA00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2.427.184.466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AA3690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3.708.029.526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FFE0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5.349.489.455</w:t>
            </w:r>
          </w:p>
        </w:tc>
        <w:tc>
          <w:tcPr>
            <w:tcW w:w="0" w:type="auto"/>
            <w:vMerge/>
            <w:tcBorders>
              <w:top w:val="double" w:sz="4" w:space="0" w:color="C00000"/>
              <w:left w:val="double" w:sz="4" w:space="0" w:color="C00000"/>
              <w:bottom w:val="double" w:sz="4" w:space="0" w:color="C00000"/>
            </w:tcBorders>
            <w:vAlign w:val="center"/>
            <w:hideMark/>
          </w:tcPr>
          <w:p w14:paraId="484B848B" w14:textId="77777777" w:rsidR="00856F66" w:rsidRPr="00E31657" w:rsidRDefault="00856F66" w:rsidP="00AE6E22">
            <w:pPr>
              <w:rPr>
                <w:rFonts w:cs="Arial"/>
                <w:b/>
                <w:bCs/>
                <w:sz w:val="16"/>
                <w:szCs w:val="16"/>
                <w:lang w:val="es-ES_tradnl" w:eastAsia="es-MX"/>
              </w:rPr>
            </w:pPr>
          </w:p>
        </w:tc>
      </w:tr>
      <w:tr w:rsidR="00856F66" w:rsidRPr="00E31657" w14:paraId="1F50971E" w14:textId="77777777" w:rsidTr="00826D72">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DA5B11"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un (1) programa para el control de la Estructura Ecológica Principal.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E49EA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A824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853C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621F2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52EE3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89B14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B6225C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5.643.687.407</w:t>
            </w:r>
          </w:p>
        </w:tc>
      </w:tr>
      <w:tr w:rsidR="00856F66" w:rsidRPr="00E31657" w14:paraId="2BEE8E7F" w14:textId="77777777" w:rsidTr="00826D72">
        <w:trPr>
          <w:trHeight w:val="315"/>
        </w:trPr>
        <w:tc>
          <w:tcPr>
            <w:tcW w:w="0" w:type="auto"/>
            <w:vMerge/>
            <w:tcBorders>
              <w:top w:val="double" w:sz="4" w:space="0" w:color="C00000"/>
              <w:bottom w:val="double" w:sz="4" w:space="0" w:color="C00000"/>
              <w:right w:val="double" w:sz="4" w:space="0" w:color="C00000"/>
            </w:tcBorders>
            <w:vAlign w:val="center"/>
            <w:hideMark/>
          </w:tcPr>
          <w:p w14:paraId="71C2207A"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F64EC92"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DD4677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91420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714.791.000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9FCB0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1.590.352.427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3DCC4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1.684.398.153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D375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1.654.145.827</w:t>
            </w:r>
          </w:p>
        </w:tc>
        <w:tc>
          <w:tcPr>
            <w:tcW w:w="0" w:type="auto"/>
            <w:vMerge/>
            <w:tcBorders>
              <w:top w:val="double" w:sz="4" w:space="0" w:color="C00000"/>
              <w:left w:val="double" w:sz="4" w:space="0" w:color="C00000"/>
              <w:bottom w:val="double" w:sz="4" w:space="0" w:color="C00000"/>
            </w:tcBorders>
            <w:vAlign w:val="center"/>
            <w:hideMark/>
          </w:tcPr>
          <w:p w14:paraId="1C48B258" w14:textId="77777777" w:rsidR="00856F66" w:rsidRPr="00E31657" w:rsidRDefault="00856F66" w:rsidP="00AE6E22">
            <w:pPr>
              <w:rPr>
                <w:rFonts w:cs="Arial"/>
                <w:b/>
                <w:bCs/>
                <w:sz w:val="16"/>
                <w:szCs w:val="16"/>
                <w:lang w:val="es-ES_tradnl" w:eastAsia="es-MX"/>
              </w:rPr>
            </w:pPr>
          </w:p>
        </w:tc>
      </w:tr>
      <w:tr w:rsidR="00856F66" w:rsidRPr="00E31657" w14:paraId="4561545A" w14:textId="77777777" w:rsidTr="00826D72">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DD5E46"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Adelantar 52.200 actuaciones del procedimiento sancionatorio ambiental y del trámite de licenciamiento ambiental.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768F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25610</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7971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0D4DC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6EB22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15.660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B44A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13.962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A721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16.708</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CCD271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72.999.478.669</w:t>
            </w:r>
          </w:p>
        </w:tc>
      </w:tr>
      <w:tr w:rsidR="00856F66" w:rsidRPr="00E31657" w14:paraId="7F247DC2" w14:textId="77777777" w:rsidTr="00826D72">
        <w:trPr>
          <w:trHeight w:val="315"/>
        </w:trPr>
        <w:tc>
          <w:tcPr>
            <w:tcW w:w="0" w:type="auto"/>
            <w:vMerge/>
            <w:tcBorders>
              <w:top w:val="double" w:sz="4" w:space="0" w:color="C00000"/>
              <w:bottom w:val="double" w:sz="4" w:space="0" w:color="C00000"/>
              <w:right w:val="double" w:sz="4" w:space="0" w:color="C00000"/>
            </w:tcBorders>
            <w:vAlign w:val="center"/>
            <w:hideMark/>
          </w:tcPr>
          <w:p w14:paraId="41EDE6F9"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EC2B5F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ECBF14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F489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7.757.395.434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5C7EF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22.161.223.395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7F040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20.479.961.354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ECB1D0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22.600.898.486</w:t>
            </w:r>
          </w:p>
        </w:tc>
        <w:tc>
          <w:tcPr>
            <w:tcW w:w="0" w:type="auto"/>
            <w:vMerge/>
            <w:tcBorders>
              <w:top w:val="double" w:sz="4" w:space="0" w:color="C00000"/>
              <w:left w:val="double" w:sz="4" w:space="0" w:color="C00000"/>
              <w:bottom w:val="double" w:sz="4" w:space="0" w:color="C00000"/>
            </w:tcBorders>
            <w:vAlign w:val="center"/>
            <w:hideMark/>
          </w:tcPr>
          <w:p w14:paraId="1126234A" w14:textId="77777777" w:rsidR="00856F66" w:rsidRPr="00E31657" w:rsidRDefault="00856F66" w:rsidP="00AE6E22">
            <w:pPr>
              <w:rPr>
                <w:rFonts w:cs="Arial"/>
                <w:b/>
                <w:bCs/>
                <w:sz w:val="16"/>
                <w:szCs w:val="16"/>
                <w:lang w:val="es-ES_tradnl" w:eastAsia="es-MX"/>
              </w:rPr>
            </w:pPr>
          </w:p>
        </w:tc>
      </w:tr>
      <w:tr w:rsidR="00856F66" w:rsidRPr="00E31657" w14:paraId="5C9D21B3" w14:textId="77777777" w:rsidTr="00826D72">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F97E4D"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Controlar 25.200 usuarios generadores de residuos especiales peligrosos y de manejo diferenciado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6F2F8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20967</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77E58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1260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1B5C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6.950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A811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7.600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B6477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7.650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2E0294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19.918.247.316</w:t>
            </w:r>
          </w:p>
        </w:tc>
      </w:tr>
      <w:tr w:rsidR="00856F66" w:rsidRPr="00E31657" w14:paraId="77586E81" w14:textId="77777777" w:rsidTr="00826D72">
        <w:trPr>
          <w:trHeight w:val="315"/>
        </w:trPr>
        <w:tc>
          <w:tcPr>
            <w:tcW w:w="0" w:type="auto"/>
            <w:vMerge/>
            <w:tcBorders>
              <w:top w:val="double" w:sz="4" w:space="0" w:color="C00000"/>
              <w:bottom w:val="double" w:sz="4" w:space="0" w:color="C00000"/>
              <w:right w:val="double" w:sz="4" w:space="0" w:color="C00000"/>
            </w:tcBorders>
            <w:vAlign w:val="center"/>
            <w:hideMark/>
          </w:tcPr>
          <w:p w14:paraId="1322A8BF"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3B05D43"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FF69DD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1149E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1.473.628.440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4CB0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6.008.557.282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1853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6.302.106.702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58D3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6.133.954.893</w:t>
            </w:r>
          </w:p>
        </w:tc>
        <w:tc>
          <w:tcPr>
            <w:tcW w:w="0" w:type="auto"/>
            <w:vMerge/>
            <w:tcBorders>
              <w:top w:val="double" w:sz="4" w:space="0" w:color="C00000"/>
              <w:left w:val="double" w:sz="4" w:space="0" w:color="C00000"/>
              <w:bottom w:val="double" w:sz="4" w:space="0" w:color="C00000"/>
            </w:tcBorders>
            <w:vAlign w:val="center"/>
            <w:hideMark/>
          </w:tcPr>
          <w:p w14:paraId="38BAF511" w14:textId="77777777" w:rsidR="00856F66" w:rsidRPr="00E31657" w:rsidRDefault="00856F66" w:rsidP="00AE6E22">
            <w:pPr>
              <w:rPr>
                <w:rFonts w:cs="Arial"/>
                <w:b/>
                <w:bCs/>
                <w:sz w:val="16"/>
                <w:szCs w:val="16"/>
                <w:lang w:val="es-ES_tradnl" w:eastAsia="es-MX"/>
              </w:rPr>
            </w:pPr>
          </w:p>
        </w:tc>
      </w:tr>
      <w:tr w:rsidR="00856F66" w:rsidRPr="00E31657" w14:paraId="1D9FFAD6" w14:textId="77777777" w:rsidTr="00826D72">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944932"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dos (2) Zonas Urbanas por un Mejor Aire</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1C8C0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8372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D3F9A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1D06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9915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E6EED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A66322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1.218.412.704</w:t>
            </w:r>
          </w:p>
        </w:tc>
      </w:tr>
      <w:tr w:rsidR="00856F66" w:rsidRPr="00E31657" w14:paraId="11947D87" w14:textId="77777777" w:rsidTr="00826D72">
        <w:trPr>
          <w:trHeight w:val="315"/>
        </w:trPr>
        <w:tc>
          <w:tcPr>
            <w:tcW w:w="0" w:type="auto"/>
            <w:vMerge/>
            <w:tcBorders>
              <w:top w:val="double" w:sz="4" w:space="0" w:color="C00000"/>
              <w:bottom w:val="double" w:sz="4" w:space="0" w:color="C00000"/>
              <w:right w:val="double" w:sz="4" w:space="0" w:color="C00000"/>
            </w:tcBorders>
            <w:vAlign w:val="center"/>
            <w:hideMark/>
          </w:tcPr>
          <w:p w14:paraId="1D669B57"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46229E8"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4EE5FD4"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DF2A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138.992.143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7B90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356.306.696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A6B73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345.928.831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4295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377.185.033</w:t>
            </w:r>
          </w:p>
        </w:tc>
        <w:tc>
          <w:tcPr>
            <w:tcW w:w="0" w:type="auto"/>
            <w:vMerge/>
            <w:tcBorders>
              <w:top w:val="double" w:sz="4" w:space="0" w:color="C00000"/>
              <w:left w:val="double" w:sz="4" w:space="0" w:color="C00000"/>
              <w:bottom w:val="double" w:sz="4" w:space="0" w:color="C00000"/>
            </w:tcBorders>
            <w:vAlign w:val="center"/>
            <w:hideMark/>
          </w:tcPr>
          <w:p w14:paraId="206303C6" w14:textId="77777777" w:rsidR="00856F66" w:rsidRPr="00E31657" w:rsidRDefault="00856F66" w:rsidP="00AE6E22">
            <w:pPr>
              <w:rPr>
                <w:rFonts w:cs="Arial"/>
                <w:b/>
                <w:bCs/>
                <w:sz w:val="16"/>
                <w:szCs w:val="16"/>
                <w:lang w:val="es-ES_tradnl" w:eastAsia="es-MX"/>
              </w:rPr>
            </w:pPr>
          </w:p>
        </w:tc>
      </w:tr>
      <w:tr w:rsidR="00856F66" w:rsidRPr="00E31657" w14:paraId="368580B7" w14:textId="77777777" w:rsidTr="00826D72">
        <w:trPr>
          <w:trHeight w:val="315"/>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A0592C"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un (1) programa de control y planificación sobre el recurso hídrico y sus factores de impacto en el D.C.</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89982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9E8E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DCBD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B64C76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4267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7C079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B3B8C6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61.495.349.210</w:t>
            </w:r>
          </w:p>
        </w:tc>
      </w:tr>
      <w:tr w:rsidR="00856F66" w:rsidRPr="00E31657" w14:paraId="2FFD7792" w14:textId="77777777" w:rsidTr="00826D72">
        <w:trPr>
          <w:trHeight w:val="660"/>
        </w:trPr>
        <w:tc>
          <w:tcPr>
            <w:tcW w:w="0" w:type="auto"/>
            <w:vMerge/>
            <w:tcBorders>
              <w:top w:val="double" w:sz="4" w:space="0" w:color="C00000"/>
              <w:bottom w:val="double" w:sz="4" w:space="0" w:color="C00000"/>
              <w:right w:val="double" w:sz="4" w:space="0" w:color="C00000"/>
            </w:tcBorders>
            <w:vAlign w:val="center"/>
            <w:hideMark/>
          </w:tcPr>
          <w:p w14:paraId="3AA7C2B9"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0E60FAB"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4F3F28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AB217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6.717.650.100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2FD3E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17.772.786.408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E23B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18.823.783.580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0DFE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18.181.129.122</w:t>
            </w:r>
          </w:p>
        </w:tc>
        <w:tc>
          <w:tcPr>
            <w:tcW w:w="0" w:type="auto"/>
            <w:vMerge/>
            <w:tcBorders>
              <w:top w:val="double" w:sz="4" w:space="0" w:color="C00000"/>
              <w:left w:val="double" w:sz="4" w:space="0" w:color="C00000"/>
              <w:bottom w:val="double" w:sz="4" w:space="0" w:color="C00000"/>
            </w:tcBorders>
            <w:vAlign w:val="center"/>
            <w:hideMark/>
          </w:tcPr>
          <w:p w14:paraId="27F653E6" w14:textId="77777777" w:rsidR="00856F66" w:rsidRPr="00E31657" w:rsidRDefault="00856F66" w:rsidP="00AE6E22">
            <w:pPr>
              <w:rPr>
                <w:rFonts w:cs="Arial"/>
                <w:b/>
                <w:bCs/>
                <w:sz w:val="16"/>
                <w:szCs w:val="16"/>
                <w:lang w:val="es-ES_tradnl" w:eastAsia="es-MX"/>
              </w:rPr>
            </w:pPr>
          </w:p>
        </w:tc>
      </w:tr>
      <w:tr w:rsidR="00856F66" w:rsidRPr="00E31657" w14:paraId="07034CC4" w14:textId="77777777" w:rsidTr="00826D72">
        <w:trPr>
          <w:trHeight w:val="66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E0EDCA"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lastRenderedPageBreak/>
              <w:t>Implementar un (1) programa para el control al aprovechamiento de la flora arbolado urbano y fauna silvestre en Bogotá D.C.</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50F186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F270B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EAFB1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AFB68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FA98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7B5CA8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0,4</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427D42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49.686.112.868</w:t>
            </w:r>
          </w:p>
        </w:tc>
      </w:tr>
      <w:tr w:rsidR="00856F66" w:rsidRPr="00E31657" w14:paraId="562C1095" w14:textId="77777777" w:rsidTr="00826D72">
        <w:trPr>
          <w:trHeight w:val="660"/>
        </w:trPr>
        <w:tc>
          <w:tcPr>
            <w:tcW w:w="0" w:type="auto"/>
            <w:vMerge/>
            <w:tcBorders>
              <w:top w:val="double" w:sz="4" w:space="0" w:color="C00000"/>
              <w:bottom w:val="double" w:sz="4" w:space="0" w:color="C00000"/>
              <w:right w:val="double" w:sz="4" w:space="0" w:color="C00000"/>
            </w:tcBorders>
            <w:vAlign w:val="center"/>
            <w:hideMark/>
          </w:tcPr>
          <w:p w14:paraId="24A4B832"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E3B2A7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ED8B19C"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A225EB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7.918.087.131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99C49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11.639.093.856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D18A55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11.639.093.856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8C8A9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18.489.838.025</w:t>
            </w:r>
          </w:p>
        </w:tc>
        <w:tc>
          <w:tcPr>
            <w:tcW w:w="0" w:type="auto"/>
            <w:vMerge/>
            <w:tcBorders>
              <w:top w:val="double" w:sz="4" w:space="0" w:color="C00000"/>
              <w:left w:val="double" w:sz="4" w:space="0" w:color="C00000"/>
              <w:bottom w:val="double" w:sz="4" w:space="0" w:color="C00000"/>
            </w:tcBorders>
            <w:vAlign w:val="center"/>
            <w:hideMark/>
          </w:tcPr>
          <w:p w14:paraId="7BADD0B1" w14:textId="77777777" w:rsidR="00856F66" w:rsidRPr="00E31657" w:rsidRDefault="00856F66" w:rsidP="00AE6E22">
            <w:pPr>
              <w:rPr>
                <w:rFonts w:cs="Arial"/>
                <w:b/>
                <w:bCs/>
                <w:sz w:val="16"/>
                <w:szCs w:val="16"/>
                <w:lang w:val="es-ES_tradnl" w:eastAsia="es-MX"/>
              </w:rPr>
            </w:pPr>
          </w:p>
        </w:tc>
      </w:tr>
      <w:tr w:rsidR="00856F66" w:rsidRPr="00E31657" w14:paraId="65A53049" w14:textId="77777777" w:rsidTr="00826D72">
        <w:trPr>
          <w:trHeight w:val="66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850EC0"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un (1) programa para el control ambiental en predios en los que se desarrollan o desarrollaron actividades extractivas industriales comerciales y de servicios con potencial afectación al recurso suelo.</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93C7C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64B4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63DE9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5FB49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A05F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6B26C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0BC5F6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34.570.105.034</w:t>
            </w:r>
          </w:p>
        </w:tc>
      </w:tr>
      <w:tr w:rsidR="00856F66" w:rsidRPr="00E31657" w14:paraId="526A8F93" w14:textId="77777777" w:rsidTr="00826D72">
        <w:trPr>
          <w:trHeight w:val="660"/>
        </w:trPr>
        <w:tc>
          <w:tcPr>
            <w:tcW w:w="0" w:type="auto"/>
            <w:vMerge/>
            <w:tcBorders>
              <w:top w:val="double" w:sz="4" w:space="0" w:color="C00000"/>
              <w:bottom w:val="double" w:sz="4" w:space="0" w:color="C00000"/>
              <w:right w:val="double" w:sz="4" w:space="0" w:color="C00000"/>
            </w:tcBorders>
            <w:vAlign w:val="center"/>
            <w:hideMark/>
          </w:tcPr>
          <w:p w14:paraId="0D3A4500"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F75DAB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7550795"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10BC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4.278.633.052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106E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9.948.165.049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60A8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10.348.300.500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3C112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9.995.006.433</w:t>
            </w:r>
          </w:p>
        </w:tc>
        <w:tc>
          <w:tcPr>
            <w:tcW w:w="0" w:type="auto"/>
            <w:vMerge/>
            <w:tcBorders>
              <w:top w:val="double" w:sz="4" w:space="0" w:color="C00000"/>
              <w:left w:val="double" w:sz="4" w:space="0" w:color="C00000"/>
              <w:bottom w:val="double" w:sz="4" w:space="0" w:color="C00000"/>
            </w:tcBorders>
            <w:vAlign w:val="center"/>
            <w:hideMark/>
          </w:tcPr>
          <w:p w14:paraId="746B4608" w14:textId="77777777" w:rsidR="00856F66" w:rsidRPr="00E31657" w:rsidRDefault="00856F66" w:rsidP="00AE6E22">
            <w:pPr>
              <w:rPr>
                <w:rFonts w:cs="Arial"/>
                <w:b/>
                <w:bCs/>
                <w:sz w:val="16"/>
                <w:szCs w:val="16"/>
                <w:lang w:val="es-ES_tradnl" w:eastAsia="es-MX"/>
              </w:rPr>
            </w:pPr>
          </w:p>
        </w:tc>
      </w:tr>
      <w:tr w:rsidR="00856F66" w:rsidRPr="00E31657" w14:paraId="0A7F9E0E" w14:textId="77777777" w:rsidTr="00826D72">
        <w:trPr>
          <w:trHeight w:val="45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12DF2E"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un (1) programa para mejorar la calidad del aire acústica y visual.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08CD5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B95B9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FB8E6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935B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1E22B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27B8D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7EB574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79.367.906.192</w:t>
            </w:r>
          </w:p>
        </w:tc>
      </w:tr>
      <w:tr w:rsidR="00856F66" w:rsidRPr="00E31657" w14:paraId="5906F994" w14:textId="77777777" w:rsidTr="00826D72">
        <w:trPr>
          <w:trHeight w:val="450"/>
        </w:trPr>
        <w:tc>
          <w:tcPr>
            <w:tcW w:w="0" w:type="auto"/>
            <w:vMerge/>
            <w:tcBorders>
              <w:top w:val="double" w:sz="4" w:space="0" w:color="C00000"/>
              <w:bottom w:val="double" w:sz="4" w:space="0" w:color="C00000"/>
              <w:right w:val="double" w:sz="4" w:space="0" w:color="C00000"/>
            </w:tcBorders>
            <w:vAlign w:val="center"/>
            <w:hideMark/>
          </w:tcPr>
          <w:p w14:paraId="5CDF2419"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778C8F1"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FC1BB09"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3141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10.052.745.678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A228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25.634.267.591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E9F3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24.887.638.438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28644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18.793.254.484</w:t>
            </w:r>
          </w:p>
        </w:tc>
        <w:tc>
          <w:tcPr>
            <w:tcW w:w="0" w:type="auto"/>
            <w:vMerge/>
            <w:tcBorders>
              <w:top w:val="double" w:sz="4" w:space="0" w:color="C00000"/>
              <w:left w:val="double" w:sz="4" w:space="0" w:color="C00000"/>
              <w:bottom w:val="double" w:sz="4" w:space="0" w:color="C00000"/>
            </w:tcBorders>
            <w:vAlign w:val="center"/>
            <w:hideMark/>
          </w:tcPr>
          <w:p w14:paraId="0B9B1F28" w14:textId="77777777" w:rsidR="00856F66" w:rsidRPr="00E31657" w:rsidRDefault="00856F66" w:rsidP="00AE6E22">
            <w:pPr>
              <w:rPr>
                <w:rFonts w:cs="Arial"/>
                <w:b/>
                <w:bCs/>
                <w:sz w:val="16"/>
                <w:szCs w:val="16"/>
                <w:lang w:val="es-ES_tradnl" w:eastAsia="es-MX"/>
              </w:rPr>
            </w:pPr>
          </w:p>
        </w:tc>
      </w:tr>
      <w:tr w:rsidR="00856F66" w:rsidRPr="00E31657" w14:paraId="6BBB2115" w14:textId="77777777" w:rsidTr="00826D72">
        <w:trPr>
          <w:trHeight w:val="450"/>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A17782"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Implementar un (1) programa para reducir la vulnerabilidad a riesgos climáticos en las áreas de importancia ambiental estratégica y en la estructura ecológica principal del Distrito Capital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72A0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8EB12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Distrital de Ambiente</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2F34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03E4C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6D69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6823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w:t>
            </w:r>
          </w:p>
        </w:tc>
        <w:tc>
          <w:tcPr>
            <w:tcW w:w="0" w:type="auto"/>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D1FE5A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34.919.505.888</w:t>
            </w:r>
          </w:p>
        </w:tc>
      </w:tr>
      <w:tr w:rsidR="00856F66" w:rsidRPr="00E31657" w14:paraId="26C67F8E" w14:textId="77777777" w:rsidTr="00826D72">
        <w:trPr>
          <w:trHeight w:val="1908"/>
        </w:trPr>
        <w:tc>
          <w:tcPr>
            <w:tcW w:w="0" w:type="auto"/>
            <w:vMerge/>
            <w:tcBorders>
              <w:top w:val="double" w:sz="4" w:space="0" w:color="C00000"/>
              <w:bottom w:val="double" w:sz="4" w:space="0" w:color="C00000"/>
              <w:right w:val="double" w:sz="4" w:space="0" w:color="C00000"/>
            </w:tcBorders>
            <w:vAlign w:val="center"/>
            <w:hideMark/>
          </w:tcPr>
          <w:p w14:paraId="04F1152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FC57EC4"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69CF9DF"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2AC3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7.736.276.451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9E61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11.246.071.456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FE30D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7.449.766.019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A3E7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8.487.391.962</w:t>
            </w:r>
          </w:p>
        </w:tc>
        <w:tc>
          <w:tcPr>
            <w:tcW w:w="0" w:type="auto"/>
            <w:vMerge/>
            <w:tcBorders>
              <w:top w:val="double" w:sz="4" w:space="0" w:color="C00000"/>
              <w:left w:val="double" w:sz="4" w:space="0" w:color="C00000"/>
              <w:bottom w:val="double" w:sz="4" w:space="0" w:color="C00000"/>
            </w:tcBorders>
            <w:vAlign w:val="center"/>
            <w:hideMark/>
          </w:tcPr>
          <w:p w14:paraId="28ECFD84" w14:textId="77777777" w:rsidR="00856F66" w:rsidRPr="00E31657" w:rsidRDefault="00856F66" w:rsidP="00AE6E22">
            <w:pPr>
              <w:rPr>
                <w:rFonts w:cs="Arial"/>
                <w:b/>
                <w:bCs/>
                <w:sz w:val="16"/>
                <w:szCs w:val="16"/>
                <w:lang w:val="es-ES_tradnl" w:eastAsia="es-MX"/>
              </w:rPr>
            </w:pPr>
          </w:p>
        </w:tc>
      </w:tr>
    </w:tbl>
    <w:p w14:paraId="281832D2" w14:textId="77777777" w:rsidR="00856F66" w:rsidRPr="00E31657" w:rsidRDefault="00856F66">
      <w:pPr>
        <w:rPr>
          <w:sz w:val="16"/>
          <w:szCs w:val="16"/>
          <w:lang w:val="es-ES_tradnl"/>
        </w:rPr>
      </w:pPr>
    </w:p>
    <w:p w14:paraId="20A0400D" w14:textId="77777777" w:rsidR="00EF34C0" w:rsidRPr="00E31657" w:rsidRDefault="00EF34C0">
      <w:pPr>
        <w:rPr>
          <w:sz w:val="16"/>
          <w:szCs w:val="16"/>
          <w:lang w:val="es-ES_tradnl"/>
        </w:rPr>
      </w:pPr>
    </w:p>
    <w:tbl>
      <w:tblPr>
        <w:tblW w:w="8838"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689"/>
        <w:gridCol w:w="558"/>
        <w:gridCol w:w="851"/>
        <w:gridCol w:w="1167"/>
        <w:gridCol w:w="1185"/>
        <w:gridCol w:w="1140"/>
        <w:gridCol w:w="1105"/>
        <w:gridCol w:w="1143"/>
      </w:tblGrid>
      <w:tr w:rsidR="00856F66" w:rsidRPr="00E31657" w14:paraId="3A5EE298" w14:textId="77777777" w:rsidTr="00EF34C0">
        <w:trPr>
          <w:trHeight w:val="315"/>
        </w:trPr>
        <w:tc>
          <w:tcPr>
            <w:tcW w:w="0" w:type="auto"/>
            <w:gridSpan w:val="8"/>
            <w:tcMar>
              <w:top w:w="30" w:type="dxa"/>
              <w:left w:w="45" w:type="dxa"/>
              <w:bottom w:w="30" w:type="dxa"/>
              <w:right w:w="45" w:type="dxa"/>
            </w:tcMar>
            <w:vAlign w:val="center"/>
            <w:hideMark/>
          </w:tcPr>
          <w:p w14:paraId="0749EEE8" w14:textId="77777777" w:rsidR="00856F66" w:rsidRPr="00E31657" w:rsidRDefault="00856F66" w:rsidP="00AE6E22">
            <w:pPr>
              <w:jc w:val="center"/>
              <w:rPr>
                <w:rFonts w:cs="Arial"/>
                <w:lang w:val="es-ES_tradnl" w:eastAsia="es-MX"/>
              </w:rPr>
            </w:pPr>
            <w:r w:rsidRPr="00E31657">
              <w:rPr>
                <w:rFonts w:cs="Arial"/>
                <w:b/>
                <w:bCs/>
                <w:color w:val="C00000"/>
                <w:lang w:val="es-ES_tradnl" w:eastAsia="es-MX"/>
              </w:rPr>
              <w:t>Programa 29.</w:t>
            </w:r>
            <w:r w:rsidRPr="00E31657">
              <w:rPr>
                <w:rFonts w:cs="Arial"/>
                <w:color w:val="C00000"/>
                <w:lang w:val="es-ES_tradnl" w:eastAsia="es-MX"/>
              </w:rPr>
              <w:t xml:space="preserve"> </w:t>
            </w:r>
            <w:r w:rsidRPr="00E31657">
              <w:rPr>
                <w:rFonts w:cs="Arial"/>
                <w:lang w:val="es-ES_tradnl" w:eastAsia="es-MX"/>
              </w:rPr>
              <w:t>Servicios públicos inclusivos y sostenibles</w:t>
            </w:r>
          </w:p>
        </w:tc>
      </w:tr>
      <w:tr w:rsidR="00856F66" w:rsidRPr="00E31657" w14:paraId="4742C22D" w14:textId="77777777" w:rsidTr="00EF34C0">
        <w:trPr>
          <w:trHeight w:val="315"/>
        </w:trPr>
        <w:tc>
          <w:tcPr>
            <w:tcW w:w="0" w:type="auto"/>
            <w:vMerge w:val="restart"/>
            <w:shd w:val="clear" w:color="auto" w:fill="C00000"/>
            <w:tcMar>
              <w:top w:w="30" w:type="dxa"/>
              <w:left w:w="45" w:type="dxa"/>
              <w:bottom w:w="30" w:type="dxa"/>
              <w:right w:w="45" w:type="dxa"/>
            </w:tcMar>
            <w:vAlign w:val="center"/>
            <w:hideMark/>
          </w:tcPr>
          <w:p w14:paraId="6527B06A"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3EA7D27C"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239245D6" w14:textId="77777777" w:rsidTr="00EF34C0">
        <w:trPr>
          <w:trHeight w:val="736"/>
        </w:trPr>
        <w:tc>
          <w:tcPr>
            <w:tcW w:w="0" w:type="auto"/>
            <w:vMerge/>
            <w:shd w:val="clear" w:color="auto" w:fill="C00000"/>
            <w:vAlign w:val="center"/>
            <w:hideMark/>
          </w:tcPr>
          <w:p w14:paraId="67201E19" w14:textId="77777777" w:rsidR="00856F66" w:rsidRPr="00E31657" w:rsidRDefault="00856F66" w:rsidP="00AE6E2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562F988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7AFC092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31F8E6C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34BA3BA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678E796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5FD5916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1F37325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A8758A9" w14:textId="77777777" w:rsidTr="00EF34C0">
        <w:trPr>
          <w:trHeight w:val="315"/>
        </w:trPr>
        <w:tc>
          <w:tcPr>
            <w:tcW w:w="0" w:type="auto"/>
            <w:gridSpan w:val="8"/>
            <w:shd w:val="clear" w:color="auto" w:fill="C00000"/>
            <w:tcMar>
              <w:top w:w="30" w:type="dxa"/>
              <w:left w:w="45" w:type="dxa"/>
              <w:bottom w:w="30" w:type="dxa"/>
              <w:right w:w="45" w:type="dxa"/>
            </w:tcMar>
            <w:vAlign w:val="center"/>
            <w:hideMark/>
          </w:tcPr>
          <w:p w14:paraId="3D8DF89C"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Hábitat</w:t>
            </w:r>
          </w:p>
        </w:tc>
      </w:tr>
      <w:tr w:rsidR="00856F66" w:rsidRPr="00E31657" w14:paraId="57E542CE" w14:textId="77777777" w:rsidTr="00EF34C0">
        <w:trPr>
          <w:trHeight w:val="315"/>
        </w:trPr>
        <w:tc>
          <w:tcPr>
            <w:tcW w:w="0" w:type="auto"/>
            <w:vMerge w:val="restart"/>
            <w:tcMar>
              <w:top w:w="30" w:type="dxa"/>
              <w:left w:w="45" w:type="dxa"/>
              <w:bottom w:w="30" w:type="dxa"/>
              <w:right w:w="45" w:type="dxa"/>
            </w:tcMar>
            <w:vAlign w:val="center"/>
            <w:hideMark/>
          </w:tcPr>
          <w:p w14:paraId="0560F2A9"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 xml:space="preserve">Activar 120 proyectos de renovación de infraestructura para la prestación de servicio de acueducto y alcantarillado en Bogotá y la región para garantizar la </w:t>
            </w:r>
            <w:r w:rsidRPr="00E31657">
              <w:rPr>
                <w:rFonts w:cs="Arial"/>
                <w:sz w:val="16"/>
                <w:szCs w:val="16"/>
                <w:lang w:val="es-ES_tradnl" w:eastAsia="es-MX"/>
              </w:rPr>
              <w:lastRenderedPageBreak/>
              <w:t>calidad cobertura y continuidad de los servicios</w:t>
            </w:r>
          </w:p>
        </w:tc>
        <w:tc>
          <w:tcPr>
            <w:tcW w:w="0" w:type="auto"/>
            <w:vMerge w:val="restart"/>
            <w:tcMar>
              <w:top w:w="30" w:type="dxa"/>
              <w:left w:w="45" w:type="dxa"/>
              <w:bottom w:w="30" w:type="dxa"/>
              <w:right w:w="45" w:type="dxa"/>
            </w:tcMar>
            <w:vAlign w:val="center"/>
            <w:hideMark/>
          </w:tcPr>
          <w:p w14:paraId="7349F7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Mar>
              <w:top w:w="30" w:type="dxa"/>
              <w:left w:w="45" w:type="dxa"/>
              <w:bottom w:w="30" w:type="dxa"/>
              <w:right w:w="45" w:type="dxa"/>
            </w:tcMar>
            <w:vAlign w:val="center"/>
            <w:hideMark/>
          </w:tcPr>
          <w:p w14:paraId="77B2E0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24665D0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0" w:type="auto"/>
            <w:tcMar>
              <w:top w:w="30" w:type="dxa"/>
              <w:left w:w="45" w:type="dxa"/>
              <w:bottom w:w="30" w:type="dxa"/>
              <w:right w:w="45" w:type="dxa"/>
            </w:tcMar>
            <w:vAlign w:val="center"/>
            <w:hideMark/>
          </w:tcPr>
          <w:p w14:paraId="060CBA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45</w:t>
            </w:r>
          </w:p>
        </w:tc>
        <w:tc>
          <w:tcPr>
            <w:tcW w:w="0" w:type="auto"/>
            <w:tcMar>
              <w:top w:w="30" w:type="dxa"/>
              <w:left w:w="45" w:type="dxa"/>
              <w:bottom w:w="30" w:type="dxa"/>
              <w:right w:w="45" w:type="dxa"/>
            </w:tcMar>
            <w:vAlign w:val="center"/>
            <w:hideMark/>
          </w:tcPr>
          <w:p w14:paraId="3158C75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w:t>
            </w:r>
          </w:p>
        </w:tc>
        <w:tc>
          <w:tcPr>
            <w:tcW w:w="0" w:type="auto"/>
            <w:tcMar>
              <w:top w:w="30" w:type="dxa"/>
              <w:left w:w="45" w:type="dxa"/>
              <w:bottom w:w="30" w:type="dxa"/>
              <w:right w:w="45" w:type="dxa"/>
            </w:tcMar>
            <w:vAlign w:val="center"/>
            <w:hideMark/>
          </w:tcPr>
          <w:p w14:paraId="35E4CD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w:t>
            </w:r>
          </w:p>
        </w:tc>
        <w:tc>
          <w:tcPr>
            <w:tcW w:w="0" w:type="auto"/>
            <w:vMerge w:val="restart"/>
            <w:tcMar>
              <w:top w:w="30" w:type="dxa"/>
              <w:left w:w="45" w:type="dxa"/>
              <w:bottom w:w="30" w:type="dxa"/>
              <w:right w:w="45" w:type="dxa"/>
            </w:tcMar>
            <w:vAlign w:val="center"/>
            <w:hideMark/>
          </w:tcPr>
          <w:p w14:paraId="259ECB2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925.819.921.354</w:t>
            </w:r>
          </w:p>
        </w:tc>
      </w:tr>
      <w:tr w:rsidR="00856F66" w:rsidRPr="00E31657" w14:paraId="7E6525CC" w14:textId="77777777" w:rsidTr="00EF34C0">
        <w:trPr>
          <w:trHeight w:val="315"/>
        </w:trPr>
        <w:tc>
          <w:tcPr>
            <w:tcW w:w="0" w:type="auto"/>
            <w:vMerge/>
            <w:vAlign w:val="center"/>
            <w:hideMark/>
          </w:tcPr>
          <w:p w14:paraId="1140C14A"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7C43EF4C" w14:textId="77777777" w:rsidR="00856F66" w:rsidRPr="00E31657" w:rsidRDefault="00856F66" w:rsidP="00AE6E22">
            <w:pPr>
              <w:rPr>
                <w:rFonts w:cs="Arial"/>
                <w:sz w:val="16"/>
                <w:szCs w:val="16"/>
                <w:lang w:val="es-ES_tradnl" w:eastAsia="es-MX"/>
              </w:rPr>
            </w:pPr>
          </w:p>
        </w:tc>
        <w:tc>
          <w:tcPr>
            <w:tcW w:w="0" w:type="auto"/>
            <w:vMerge/>
            <w:vAlign w:val="center"/>
            <w:hideMark/>
          </w:tcPr>
          <w:p w14:paraId="55403862"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1BBFF88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329.468.518.190</w:t>
            </w:r>
          </w:p>
        </w:tc>
        <w:tc>
          <w:tcPr>
            <w:tcW w:w="0" w:type="auto"/>
            <w:tcMar>
              <w:top w:w="30" w:type="dxa"/>
              <w:left w:w="45" w:type="dxa"/>
              <w:bottom w:w="30" w:type="dxa"/>
              <w:right w:w="45" w:type="dxa"/>
            </w:tcMar>
            <w:vAlign w:val="center"/>
            <w:hideMark/>
          </w:tcPr>
          <w:p w14:paraId="2EADD5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350.627.870.767</w:t>
            </w:r>
          </w:p>
        </w:tc>
        <w:tc>
          <w:tcPr>
            <w:tcW w:w="0" w:type="auto"/>
            <w:tcMar>
              <w:top w:w="30" w:type="dxa"/>
              <w:left w:w="45" w:type="dxa"/>
              <w:bottom w:w="30" w:type="dxa"/>
              <w:right w:w="45" w:type="dxa"/>
            </w:tcMar>
            <w:vAlign w:val="center"/>
            <w:hideMark/>
          </w:tcPr>
          <w:p w14:paraId="5DF361E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128.773.918.682</w:t>
            </w:r>
          </w:p>
        </w:tc>
        <w:tc>
          <w:tcPr>
            <w:tcW w:w="0" w:type="auto"/>
            <w:tcMar>
              <w:top w:w="30" w:type="dxa"/>
              <w:left w:w="45" w:type="dxa"/>
              <w:bottom w:w="30" w:type="dxa"/>
              <w:right w:w="45" w:type="dxa"/>
            </w:tcMar>
            <w:vAlign w:val="center"/>
            <w:hideMark/>
          </w:tcPr>
          <w:p w14:paraId="5D00694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116.949.613.715</w:t>
            </w:r>
          </w:p>
        </w:tc>
        <w:tc>
          <w:tcPr>
            <w:tcW w:w="0" w:type="auto"/>
            <w:vMerge/>
            <w:vAlign w:val="center"/>
            <w:hideMark/>
          </w:tcPr>
          <w:p w14:paraId="73D2F099" w14:textId="77777777" w:rsidR="00856F66" w:rsidRPr="00E31657" w:rsidRDefault="00856F66" w:rsidP="00AE6E22">
            <w:pPr>
              <w:rPr>
                <w:rFonts w:cs="Arial"/>
                <w:b/>
                <w:bCs/>
                <w:sz w:val="16"/>
                <w:szCs w:val="16"/>
                <w:lang w:val="es-ES_tradnl" w:eastAsia="es-MX"/>
              </w:rPr>
            </w:pPr>
          </w:p>
        </w:tc>
      </w:tr>
      <w:tr w:rsidR="00856F66" w:rsidRPr="00E31657" w14:paraId="5804AD05" w14:textId="77777777" w:rsidTr="00EF34C0">
        <w:trPr>
          <w:trHeight w:val="315"/>
        </w:trPr>
        <w:tc>
          <w:tcPr>
            <w:tcW w:w="0" w:type="auto"/>
            <w:vMerge w:val="restart"/>
            <w:tcMar>
              <w:top w:w="30" w:type="dxa"/>
              <w:left w:w="45" w:type="dxa"/>
              <w:bottom w:w="30" w:type="dxa"/>
              <w:right w:w="45" w:type="dxa"/>
            </w:tcMar>
            <w:vAlign w:val="center"/>
            <w:hideMark/>
          </w:tcPr>
          <w:p w14:paraId="09680C02"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Aumentar en 7.279 espacios la capacidad y la disponibilidad de las Bóvedas Osarios y Cenizarios -BOC de los cementerios propiedad del Distrito para garantizar la prestación del servicio.</w:t>
            </w:r>
          </w:p>
        </w:tc>
        <w:tc>
          <w:tcPr>
            <w:tcW w:w="0" w:type="auto"/>
            <w:vMerge w:val="restart"/>
            <w:tcMar>
              <w:top w:w="30" w:type="dxa"/>
              <w:left w:w="45" w:type="dxa"/>
              <w:bottom w:w="30" w:type="dxa"/>
              <w:right w:w="45" w:type="dxa"/>
            </w:tcMar>
            <w:vAlign w:val="center"/>
            <w:hideMark/>
          </w:tcPr>
          <w:p w14:paraId="77A156C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36460</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038C11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Inventario Subdirección de Alumbrado Público y Servicios Funerarios</w:t>
            </w:r>
          </w:p>
        </w:tc>
        <w:tc>
          <w:tcPr>
            <w:tcW w:w="0" w:type="auto"/>
            <w:tcMar>
              <w:top w:w="30" w:type="dxa"/>
              <w:left w:w="45" w:type="dxa"/>
              <w:bottom w:w="30" w:type="dxa"/>
              <w:right w:w="45" w:type="dxa"/>
            </w:tcMar>
            <w:vAlign w:val="center"/>
            <w:hideMark/>
          </w:tcPr>
          <w:p w14:paraId="2F968D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3DC7D9C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36F9C25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3.639</w:t>
            </w:r>
          </w:p>
        </w:tc>
        <w:tc>
          <w:tcPr>
            <w:tcW w:w="0" w:type="auto"/>
            <w:tcMar>
              <w:top w:w="30" w:type="dxa"/>
              <w:left w:w="45" w:type="dxa"/>
              <w:bottom w:w="30" w:type="dxa"/>
              <w:right w:w="45" w:type="dxa"/>
            </w:tcMar>
            <w:vAlign w:val="center"/>
            <w:hideMark/>
          </w:tcPr>
          <w:p w14:paraId="26A2504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3.640</w:t>
            </w:r>
          </w:p>
        </w:tc>
        <w:tc>
          <w:tcPr>
            <w:tcW w:w="0" w:type="auto"/>
            <w:vMerge w:val="restart"/>
            <w:tcMar>
              <w:top w:w="30" w:type="dxa"/>
              <w:left w:w="45" w:type="dxa"/>
              <w:bottom w:w="30" w:type="dxa"/>
              <w:right w:w="45" w:type="dxa"/>
            </w:tcMar>
            <w:vAlign w:val="center"/>
            <w:hideMark/>
          </w:tcPr>
          <w:p w14:paraId="3BEEECF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14.144.344.093</w:t>
            </w:r>
          </w:p>
        </w:tc>
      </w:tr>
      <w:tr w:rsidR="00856F66" w:rsidRPr="00E31657" w14:paraId="0F3E6819" w14:textId="77777777" w:rsidTr="00EF34C0">
        <w:trPr>
          <w:trHeight w:val="315"/>
        </w:trPr>
        <w:tc>
          <w:tcPr>
            <w:tcW w:w="0" w:type="auto"/>
            <w:vMerge/>
            <w:vAlign w:val="center"/>
            <w:hideMark/>
          </w:tcPr>
          <w:p w14:paraId="466E7FFE"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183111B0" w14:textId="77777777" w:rsidR="00856F66" w:rsidRPr="00E31657" w:rsidRDefault="00856F66" w:rsidP="00AE6E22">
            <w:pPr>
              <w:rPr>
                <w:rFonts w:cs="Arial"/>
                <w:sz w:val="16"/>
                <w:szCs w:val="16"/>
                <w:lang w:val="es-ES_tradnl" w:eastAsia="es-MX"/>
              </w:rPr>
            </w:pPr>
          </w:p>
        </w:tc>
        <w:tc>
          <w:tcPr>
            <w:tcW w:w="0" w:type="auto"/>
            <w:vMerge/>
            <w:vAlign w:val="center"/>
            <w:hideMark/>
          </w:tcPr>
          <w:p w14:paraId="2D803B52"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2B707C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11.144.000.000</w:t>
            </w:r>
          </w:p>
        </w:tc>
        <w:tc>
          <w:tcPr>
            <w:tcW w:w="0" w:type="auto"/>
            <w:tcMar>
              <w:top w:w="30" w:type="dxa"/>
              <w:left w:w="45" w:type="dxa"/>
              <w:bottom w:w="30" w:type="dxa"/>
              <w:right w:w="45" w:type="dxa"/>
            </w:tcMar>
            <w:vAlign w:val="center"/>
            <w:hideMark/>
          </w:tcPr>
          <w:p w14:paraId="1577418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1.000.000.000</w:t>
            </w:r>
          </w:p>
        </w:tc>
        <w:tc>
          <w:tcPr>
            <w:tcW w:w="0" w:type="auto"/>
            <w:tcMar>
              <w:top w:w="30" w:type="dxa"/>
              <w:left w:w="45" w:type="dxa"/>
              <w:bottom w:w="30" w:type="dxa"/>
              <w:right w:w="45" w:type="dxa"/>
            </w:tcMar>
            <w:vAlign w:val="center"/>
            <w:hideMark/>
          </w:tcPr>
          <w:p w14:paraId="1B19FF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1.000.094.260</w:t>
            </w:r>
          </w:p>
        </w:tc>
        <w:tc>
          <w:tcPr>
            <w:tcW w:w="0" w:type="auto"/>
            <w:tcMar>
              <w:top w:w="30" w:type="dxa"/>
              <w:left w:w="45" w:type="dxa"/>
              <w:bottom w:w="30" w:type="dxa"/>
              <w:right w:w="45" w:type="dxa"/>
            </w:tcMar>
            <w:vAlign w:val="center"/>
            <w:hideMark/>
          </w:tcPr>
          <w:p w14:paraId="4F7A56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1.000.249.834</w:t>
            </w:r>
          </w:p>
        </w:tc>
        <w:tc>
          <w:tcPr>
            <w:tcW w:w="0" w:type="auto"/>
            <w:vMerge/>
            <w:vAlign w:val="center"/>
            <w:hideMark/>
          </w:tcPr>
          <w:p w14:paraId="2347A980" w14:textId="77777777" w:rsidR="00856F66" w:rsidRPr="00E31657" w:rsidRDefault="00856F66" w:rsidP="00AE6E22">
            <w:pPr>
              <w:rPr>
                <w:rFonts w:cs="Arial"/>
                <w:b/>
                <w:bCs/>
                <w:sz w:val="16"/>
                <w:szCs w:val="16"/>
                <w:lang w:val="es-ES_tradnl" w:eastAsia="es-MX"/>
              </w:rPr>
            </w:pPr>
          </w:p>
        </w:tc>
      </w:tr>
      <w:tr w:rsidR="00856F66" w:rsidRPr="00E31657" w14:paraId="63AEE0EB" w14:textId="77777777" w:rsidTr="00EF34C0">
        <w:trPr>
          <w:trHeight w:val="315"/>
        </w:trPr>
        <w:tc>
          <w:tcPr>
            <w:tcW w:w="0" w:type="auto"/>
            <w:vMerge w:val="restart"/>
            <w:tcMar>
              <w:top w:w="30" w:type="dxa"/>
              <w:left w:w="45" w:type="dxa"/>
              <w:bottom w:w="30" w:type="dxa"/>
              <w:right w:w="45" w:type="dxa"/>
            </w:tcMar>
            <w:vAlign w:val="center"/>
            <w:hideMark/>
          </w:tcPr>
          <w:p w14:paraId="682C3D54"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Caracterizar 1000 hogares ubicados en Centros Poblados Rurales y ruralidad dispersa con relación a la prestación de servicios públicos domiciliarios</w:t>
            </w:r>
          </w:p>
        </w:tc>
        <w:tc>
          <w:tcPr>
            <w:tcW w:w="0" w:type="auto"/>
            <w:vMerge w:val="restart"/>
            <w:tcMar>
              <w:top w:w="30" w:type="dxa"/>
              <w:left w:w="45" w:type="dxa"/>
              <w:bottom w:w="30" w:type="dxa"/>
              <w:right w:w="45" w:type="dxa"/>
            </w:tcMar>
            <w:vAlign w:val="center"/>
            <w:hideMark/>
          </w:tcPr>
          <w:p w14:paraId="0439AC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33A8681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5EAEAF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6E9EC7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w:t>
            </w:r>
          </w:p>
        </w:tc>
        <w:tc>
          <w:tcPr>
            <w:tcW w:w="0" w:type="auto"/>
            <w:tcMar>
              <w:top w:w="30" w:type="dxa"/>
              <w:left w:w="45" w:type="dxa"/>
              <w:bottom w:w="30" w:type="dxa"/>
              <w:right w:w="45" w:type="dxa"/>
            </w:tcMar>
            <w:vAlign w:val="center"/>
            <w:hideMark/>
          </w:tcPr>
          <w:p w14:paraId="5C48DAE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400</w:t>
            </w:r>
          </w:p>
        </w:tc>
        <w:tc>
          <w:tcPr>
            <w:tcW w:w="0" w:type="auto"/>
            <w:tcMar>
              <w:top w:w="30" w:type="dxa"/>
              <w:left w:w="45" w:type="dxa"/>
              <w:bottom w:w="30" w:type="dxa"/>
              <w:right w:w="45" w:type="dxa"/>
            </w:tcMar>
            <w:vAlign w:val="center"/>
            <w:hideMark/>
          </w:tcPr>
          <w:p w14:paraId="7203B5F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w:t>
            </w:r>
          </w:p>
        </w:tc>
        <w:tc>
          <w:tcPr>
            <w:tcW w:w="0" w:type="auto"/>
            <w:vMerge w:val="restart"/>
            <w:tcMar>
              <w:top w:w="30" w:type="dxa"/>
              <w:left w:w="45" w:type="dxa"/>
              <w:bottom w:w="30" w:type="dxa"/>
              <w:right w:w="45" w:type="dxa"/>
            </w:tcMar>
            <w:vAlign w:val="center"/>
            <w:hideMark/>
          </w:tcPr>
          <w:p w14:paraId="1369FA2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1.285.272.413</w:t>
            </w:r>
          </w:p>
        </w:tc>
      </w:tr>
      <w:tr w:rsidR="00856F66" w:rsidRPr="00E31657" w14:paraId="4F933E88" w14:textId="77777777" w:rsidTr="00EF34C0">
        <w:trPr>
          <w:trHeight w:val="315"/>
        </w:trPr>
        <w:tc>
          <w:tcPr>
            <w:tcW w:w="0" w:type="auto"/>
            <w:vMerge/>
            <w:vAlign w:val="center"/>
            <w:hideMark/>
          </w:tcPr>
          <w:p w14:paraId="46F77209"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1DDE94DE" w14:textId="77777777" w:rsidR="00856F66" w:rsidRPr="00E31657" w:rsidRDefault="00856F66" w:rsidP="00AE6E22">
            <w:pPr>
              <w:rPr>
                <w:rFonts w:cs="Arial"/>
                <w:sz w:val="16"/>
                <w:szCs w:val="16"/>
                <w:lang w:val="es-ES_tradnl" w:eastAsia="es-MX"/>
              </w:rPr>
            </w:pPr>
          </w:p>
        </w:tc>
        <w:tc>
          <w:tcPr>
            <w:tcW w:w="0" w:type="auto"/>
            <w:vMerge/>
            <w:vAlign w:val="center"/>
            <w:hideMark/>
          </w:tcPr>
          <w:p w14:paraId="7F01DB11"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53E13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184.000.000</w:t>
            </w:r>
          </w:p>
        </w:tc>
        <w:tc>
          <w:tcPr>
            <w:tcW w:w="0" w:type="auto"/>
            <w:tcMar>
              <w:top w:w="30" w:type="dxa"/>
              <w:left w:w="45" w:type="dxa"/>
              <w:bottom w:w="30" w:type="dxa"/>
              <w:right w:w="45" w:type="dxa"/>
            </w:tcMar>
            <w:vAlign w:val="center"/>
            <w:hideMark/>
          </w:tcPr>
          <w:p w14:paraId="398DB6E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377.669.903</w:t>
            </w:r>
          </w:p>
        </w:tc>
        <w:tc>
          <w:tcPr>
            <w:tcW w:w="0" w:type="auto"/>
            <w:tcMar>
              <w:top w:w="30" w:type="dxa"/>
              <w:left w:w="45" w:type="dxa"/>
              <w:bottom w:w="30" w:type="dxa"/>
              <w:right w:w="45" w:type="dxa"/>
            </w:tcMar>
            <w:vAlign w:val="center"/>
            <w:hideMark/>
          </w:tcPr>
          <w:p w14:paraId="0CAF2B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367.612.405</w:t>
            </w:r>
          </w:p>
        </w:tc>
        <w:tc>
          <w:tcPr>
            <w:tcW w:w="0" w:type="auto"/>
            <w:tcMar>
              <w:top w:w="30" w:type="dxa"/>
              <w:left w:w="45" w:type="dxa"/>
              <w:bottom w:w="30" w:type="dxa"/>
              <w:right w:w="45" w:type="dxa"/>
            </w:tcMar>
            <w:vAlign w:val="center"/>
            <w:hideMark/>
          </w:tcPr>
          <w:p w14:paraId="3731A21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355.990.105</w:t>
            </w:r>
          </w:p>
        </w:tc>
        <w:tc>
          <w:tcPr>
            <w:tcW w:w="0" w:type="auto"/>
            <w:vMerge/>
            <w:vAlign w:val="center"/>
            <w:hideMark/>
          </w:tcPr>
          <w:p w14:paraId="0624DF32" w14:textId="77777777" w:rsidR="00856F66" w:rsidRPr="00E31657" w:rsidRDefault="00856F66" w:rsidP="00AE6E22">
            <w:pPr>
              <w:rPr>
                <w:rFonts w:cs="Arial"/>
                <w:b/>
                <w:bCs/>
                <w:sz w:val="16"/>
                <w:szCs w:val="16"/>
                <w:lang w:val="es-ES_tradnl" w:eastAsia="es-MX"/>
              </w:rPr>
            </w:pPr>
          </w:p>
        </w:tc>
      </w:tr>
      <w:tr w:rsidR="00856F66" w:rsidRPr="00E31657" w14:paraId="6E12D3F0" w14:textId="77777777" w:rsidTr="00EF34C0">
        <w:trPr>
          <w:trHeight w:val="315"/>
        </w:trPr>
        <w:tc>
          <w:tcPr>
            <w:tcW w:w="0" w:type="auto"/>
            <w:vMerge w:val="restart"/>
            <w:tcMar>
              <w:top w:w="30" w:type="dxa"/>
              <w:left w:w="45" w:type="dxa"/>
              <w:bottom w:w="30" w:type="dxa"/>
              <w:right w:w="45" w:type="dxa"/>
            </w:tcMar>
            <w:vAlign w:val="center"/>
            <w:hideMark/>
          </w:tcPr>
          <w:p w14:paraId="5ED2B82D"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Construir un plan de acción que permita asegurar la expansión del sistema de abastecimiento de agua potable del Distrito Capital y la consolidación del área metropolitana Bogotá - Región para un periodo de crecimiento mínimo de 25 años.</w:t>
            </w:r>
          </w:p>
        </w:tc>
        <w:tc>
          <w:tcPr>
            <w:tcW w:w="0" w:type="auto"/>
            <w:vMerge w:val="restart"/>
            <w:tcMar>
              <w:top w:w="30" w:type="dxa"/>
              <w:left w:w="45" w:type="dxa"/>
              <w:bottom w:w="30" w:type="dxa"/>
              <w:right w:w="45" w:type="dxa"/>
            </w:tcMar>
            <w:vAlign w:val="center"/>
            <w:hideMark/>
          </w:tcPr>
          <w:p w14:paraId="54F08F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2BB2BD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031F514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637EA0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0BDF80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8575B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6A66352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20.000.000.000</w:t>
            </w:r>
          </w:p>
        </w:tc>
      </w:tr>
      <w:tr w:rsidR="00856F66" w:rsidRPr="00E31657" w14:paraId="51E69931" w14:textId="77777777" w:rsidTr="00EF34C0">
        <w:trPr>
          <w:trHeight w:val="315"/>
        </w:trPr>
        <w:tc>
          <w:tcPr>
            <w:tcW w:w="0" w:type="auto"/>
            <w:vMerge/>
            <w:vAlign w:val="center"/>
            <w:hideMark/>
          </w:tcPr>
          <w:p w14:paraId="6359A129"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00888F38" w14:textId="77777777" w:rsidR="00856F66" w:rsidRPr="00E31657" w:rsidRDefault="00856F66" w:rsidP="00AE6E22">
            <w:pPr>
              <w:rPr>
                <w:rFonts w:cs="Arial"/>
                <w:sz w:val="16"/>
                <w:szCs w:val="16"/>
                <w:lang w:val="es-ES_tradnl" w:eastAsia="es-MX"/>
              </w:rPr>
            </w:pPr>
          </w:p>
        </w:tc>
        <w:tc>
          <w:tcPr>
            <w:tcW w:w="0" w:type="auto"/>
            <w:vMerge/>
            <w:vAlign w:val="center"/>
            <w:hideMark/>
          </w:tcPr>
          <w:p w14:paraId="11EB0B59"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11F0B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EF8067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10.000.000.000</w:t>
            </w:r>
          </w:p>
        </w:tc>
        <w:tc>
          <w:tcPr>
            <w:tcW w:w="0" w:type="auto"/>
            <w:tcMar>
              <w:top w:w="30" w:type="dxa"/>
              <w:left w:w="45" w:type="dxa"/>
              <w:bottom w:w="30" w:type="dxa"/>
              <w:right w:w="45" w:type="dxa"/>
            </w:tcMar>
            <w:vAlign w:val="center"/>
            <w:hideMark/>
          </w:tcPr>
          <w:p w14:paraId="2C1DEF4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5.000.000.000</w:t>
            </w:r>
          </w:p>
        </w:tc>
        <w:tc>
          <w:tcPr>
            <w:tcW w:w="0" w:type="auto"/>
            <w:tcMar>
              <w:top w:w="30" w:type="dxa"/>
              <w:left w:w="45" w:type="dxa"/>
              <w:bottom w:w="30" w:type="dxa"/>
              <w:right w:w="45" w:type="dxa"/>
            </w:tcMar>
            <w:vAlign w:val="center"/>
            <w:hideMark/>
          </w:tcPr>
          <w:p w14:paraId="13710F7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5.000.000.000</w:t>
            </w:r>
          </w:p>
        </w:tc>
        <w:tc>
          <w:tcPr>
            <w:tcW w:w="0" w:type="auto"/>
            <w:vMerge/>
            <w:vAlign w:val="center"/>
            <w:hideMark/>
          </w:tcPr>
          <w:p w14:paraId="736A5909" w14:textId="77777777" w:rsidR="00856F66" w:rsidRPr="00E31657" w:rsidRDefault="00856F66" w:rsidP="00AE6E22">
            <w:pPr>
              <w:rPr>
                <w:rFonts w:cs="Arial"/>
                <w:b/>
                <w:bCs/>
                <w:sz w:val="16"/>
                <w:szCs w:val="16"/>
                <w:lang w:val="es-ES_tradnl" w:eastAsia="es-MX"/>
              </w:rPr>
            </w:pPr>
          </w:p>
        </w:tc>
      </w:tr>
      <w:tr w:rsidR="00856F66" w:rsidRPr="00E31657" w14:paraId="3ED26C8A" w14:textId="77777777" w:rsidTr="00EF34C0">
        <w:trPr>
          <w:trHeight w:val="315"/>
        </w:trPr>
        <w:tc>
          <w:tcPr>
            <w:tcW w:w="0" w:type="auto"/>
            <w:vMerge w:val="restart"/>
            <w:tcMar>
              <w:top w:w="30" w:type="dxa"/>
              <w:left w:w="45" w:type="dxa"/>
              <w:bottom w:w="30" w:type="dxa"/>
              <w:right w:w="45" w:type="dxa"/>
            </w:tcMar>
            <w:vAlign w:val="center"/>
            <w:hideMark/>
          </w:tcPr>
          <w:p w14:paraId="168FCE6F"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Desarrollar cinco (5) herramientas para mejorar la prestación eficiente de servicios públicos calidad de vida y la toma de decisiones en el área urbana.</w:t>
            </w:r>
          </w:p>
        </w:tc>
        <w:tc>
          <w:tcPr>
            <w:tcW w:w="0" w:type="auto"/>
            <w:vMerge w:val="restart"/>
            <w:tcMar>
              <w:top w:w="30" w:type="dxa"/>
              <w:left w:w="45" w:type="dxa"/>
              <w:bottom w:w="30" w:type="dxa"/>
              <w:right w:w="45" w:type="dxa"/>
            </w:tcMar>
            <w:vAlign w:val="center"/>
            <w:hideMark/>
          </w:tcPr>
          <w:p w14:paraId="25EF45C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67559C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5A58D1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0,25</w:t>
            </w:r>
          </w:p>
        </w:tc>
        <w:tc>
          <w:tcPr>
            <w:tcW w:w="0" w:type="auto"/>
            <w:tcMar>
              <w:top w:w="30" w:type="dxa"/>
              <w:left w:w="45" w:type="dxa"/>
              <w:bottom w:w="30" w:type="dxa"/>
              <w:right w:w="45" w:type="dxa"/>
            </w:tcMar>
            <w:vAlign w:val="center"/>
            <w:hideMark/>
          </w:tcPr>
          <w:p w14:paraId="1C78F4F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0,75</w:t>
            </w:r>
          </w:p>
        </w:tc>
        <w:tc>
          <w:tcPr>
            <w:tcW w:w="0" w:type="auto"/>
            <w:tcMar>
              <w:top w:w="30" w:type="dxa"/>
              <w:left w:w="45" w:type="dxa"/>
              <w:bottom w:w="30" w:type="dxa"/>
              <w:right w:w="45" w:type="dxa"/>
            </w:tcMar>
            <w:vAlign w:val="center"/>
            <w:hideMark/>
          </w:tcPr>
          <w:p w14:paraId="675A791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w:t>
            </w:r>
          </w:p>
        </w:tc>
        <w:tc>
          <w:tcPr>
            <w:tcW w:w="0" w:type="auto"/>
            <w:tcMar>
              <w:top w:w="30" w:type="dxa"/>
              <w:left w:w="45" w:type="dxa"/>
              <w:bottom w:w="30" w:type="dxa"/>
              <w:right w:w="45" w:type="dxa"/>
            </w:tcMar>
            <w:vAlign w:val="center"/>
            <w:hideMark/>
          </w:tcPr>
          <w:p w14:paraId="14E4BE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w:t>
            </w:r>
          </w:p>
        </w:tc>
        <w:tc>
          <w:tcPr>
            <w:tcW w:w="0" w:type="auto"/>
            <w:vMerge w:val="restart"/>
            <w:tcMar>
              <w:top w:w="30" w:type="dxa"/>
              <w:left w:w="45" w:type="dxa"/>
              <w:bottom w:w="30" w:type="dxa"/>
              <w:right w:w="45" w:type="dxa"/>
            </w:tcMar>
            <w:vAlign w:val="center"/>
            <w:hideMark/>
          </w:tcPr>
          <w:p w14:paraId="266654D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2.775.782.852</w:t>
            </w:r>
          </w:p>
        </w:tc>
      </w:tr>
      <w:tr w:rsidR="00856F66" w:rsidRPr="00E31657" w14:paraId="3F61CD6A" w14:textId="77777777" w:rsidTr="00EF34C0">
        <w:trPr>
          <w:trHeight w:val="315"/>
        </w:trPr>
        <w:tc>
          <w:tcPr>
            <w:tcW w:w="0" w:type="auto"/>
            <w:vMerge/>
            <w:vAlign w:val="center"/>
            <w:hideMark/>
          </w:tcPr>
          <w:p w14:paraId="299AC433"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316598BE" w14:textId="77777777" w:rsidR="00856F66" w:rsidRPr="00E31657" w:rsidRDefault="00856F66" w:rsidP="00AE6E22">
            <w:pPr>
              <w:rPr>
                <w:rFonts w:cs="Arial"/>
                <w:sz w:val="16"/>
                <w:szCs w:val="16"/>
                <w:lang w:val="es-ES_tradnl" w:eastAsia="es-MX"/>
              </w:rPr>
            </w:pPr>
          </w:p>
        </w:tc>
        <w:tc>
          <w:tcPr>
            <w:tcW w:w="0" w:type="auto"/>
            <w:vMerge/>
            <w:vAlign w:val="center"/>
            <w:hideMark/>
          </w:tcPr>
          <w:p w14:paraId="21A17E0D"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B6D881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184.000.000</w:t>
            </w:r>
          </w:p>
        </w:tc>
        <w:tc>
          <w:tcPr>
            <w:tcW w:w="0" w:type="auto"/>
            <w:tcMar>
              <w:top w:w="30" w:type="dxa"/>
              <w:left w:w="45" w:type="dxa"/>
              <w:bottom w:w="30" w:type="dxa"/>
              <w:right w:w="45" w:type="dxa"/>
            </w:tcMar>
            <w:vAlign w:val="center"/>
            <w:hideMark/>
          </w:tcPr>
          <w:p w14:paraId="440A02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950.485.437</w:t>
            </w:r>
          </w:p>
        </w:tc>
        <w:tc>
          <w:tcPr>
            <w:tcW w:w="0" w:type="auto"/>
            <w:tcMar>
              <w:top w:w="30" w:type="dxa"/>
              <w:left w:w="45" w:type="dxa"/>
              <w:bottom w:w="30" w:type="dxa"/>
              <w:right w:w="45" w:type="dxa"/>
            </w:tcMar>
            <w:vAlign w:val="center"/>
            <w:hideMark/>
          </w:tcPr>
          <w:p w14:paraId="4EFF07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832.312.188</w:t>
            </w:r>
          </w:p>
        </w:tc>
        <w:tc>
          <w:tcPr>
            <w:tcW w:w="0" w:type="auto"/>
            <w:tcMar>
              <w:top w:w="30" w:type="dxa"/>
              <w:left w:w="45" w:type="dxa"/>
              <w:bottom w:w="30" w:type="dxa"/>
              <w:right w:w="45" w:type="dxa"/>
            </w:tcMar>
            <w:vAlign w:val="center"/>
            <w:hideMark/>
          </w:tcPr>
          <w:p w14:paraId="28C5BC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808.985.227</w:t>
            </w:r>
          </w:p>
        </w:tc>
        <w:tc>
          <w:tcPr>
            <w:tcW w:w="0" w:type="auto"/>
            <w:vMerge/>
            <w:vAlign w:val="center"/>
            <w:hideMark/>
          </w:tcPr>
          <w:p w14:paraId="44CB1E9A" w14:textId="77777777" w:rsidR="00856F66" w:rsidRPr="00E31657" w:rsidRDefault="00856F66" w:rsidP="00AE6E22">
            <w:pPr>
              <w:rPr>
                <w:rFonts w:cs="Arial"/>
                <w:b/>
                <w:bCs/>
                <w:sz w:val="16"/>
                <w:szCs w:val="16"/>
                <w:lang w:val="es-ES_tradnl" w:eastAsia="es-MX"/>
              </w:rPr>
            </w:pPr>
          </w:p>
        </w:tc>
      </w:tr>
      <w:tr w:rsidR="00856F66" w:rsidRPr="00E31657" w14:paraId="000A316A" w14:textId="77777777" w:rsidTr="00EF34C0">
        <w:trPr>
          <w:trHeight w:val="315"/>
        </w:trPr>
        <w:tc>
          <w:tcPr>
            <w:tcW w:w="0" w:type="auto"/>
            <w:vMerge w:val="restart"/>
            <w:tcMar>
              <w:top w:w="30" w:type="dxa"/>
              <w:left w:w="45" w:type="dxa"/>
              <w:bottom w:w="30" w:type="dxa"/>
              <w:right w:w="45" w:type="dxa"/>
            </w:tcMar>
            <w:vAlign w:val="center"/>
            <w:hideMark/>
          </w:tcPr>
          <w:p w14:paraId="261242B0"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Elaborar un estudio técnico como insumos para la elaboración de un hecho metropolitano.</w:t>
            </w:r>
          </w:p>
        </w:tc>
        <w:tc>
          <w:tcPr>
            <w:tcW w:w="0" w:type="auto"/>
            <w:vMerge w:val="restart"/>
            <w:tcMar>
              <w:top w:w="30" w:type="dxa"/>
              <w:left w:w="45" w:type="dxa"/>
              <w:bottom w:w="30" w:type="dxa"/>
              <w:right w:w="45" w:type="dxa"/>
            </w:tcMar>
            <w:vAlign w:val="center"/>
            <w:hideMark/>
          </w:tcPr>
          <w:p w14:paraId="259511F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62DFC54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DA092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0,10</w:t>
            </w:r>
          </w:p>
        </w:tc>
        <w:tc>
          <w:tcPr>
            <w:tcW w:w="0" w:type="auto"/>
            <w:tcMar>
              <w:top w:w="30" w:type="dxa"/>
              <w:left w:w="45" w:type="dxa"/>
              <w:bottom w:w="30" w:type="dxa"/>
              <w:right w:w="45" w:type="dxa"/>
            </w:tcMar>
            <w:vAlign w:val="center"/>
            <w:hideMark/>
          </w:tcPr>
          <w:p w14:paraId="541E6B0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Mar>
              <w:top w:w="30" w:type="dxa"/>
              <w:left w:w="45" w:type="dxa"/>
              <w:bottom w:w="30" w:type="dxa"/>
              <w:right w:w="45" w:type="dxa"/>
            </w:tcMar>
            <w:vAlign w:val="center"/>
            <w:hideMark/>
          </w:tcPr>
          <w:p w14:paraId="2DFD39B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Mar>
              <w:top w:w="30" w:type="dxa"/>
              <w:left w:w="45" w:type="dxa"/>
              <w:bottom w:w="30" w:type="dxa"/>
              <w:right w:w="45" w:type="dxa"/>
            </w:tcMar>
            <w:vAlign w:val="center"/>
            <w:hideMark/>
          </w:tcPr>
          <w:p w14:paraId="669D29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vMerge w:val="restart"/>
            <w:tcMar>
              <w:top w:w="30" w:type="dxa"/>
              <w:left w:w="45" w:type="dxa"/>
              <w:bottom w:w="30" w:type="dxa"/>
              <w:right w:w="45" w:type="dxa"/>
            </w:tcMar>
            <w:vAlign w:val="center"/>
            <w:hideMark/>
          </w:tcPr>
          <w:p w14:paraId="364B410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4.302.458.133</w:t>
            </w:r>
          </w:p>
        </w:tc>
      </w:tr>
      <w:tr w:rsidR="00856F66" w:rsidRPr="00E31657" w14:paraId="356D779E" w14:textId="77777777" w:rsidTr="00EF34C0">
        <w:trPr>
          <w:trHeight w:val="315"/>
        </w:trPr>
        <w:tc>
          <w:tcPr>
            <w:tcW w:w="0" w:type="auto"/>
            <w:vMerge/>
            <w:vAlign w:val="center"/>
            <w:hideMark/>
          </w:tcPr>
          <w:p w14:paraId="221665C2"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504A8A6F" w14:textId="77777777" w:rsidR="00856F66" w:rsidRPr="00E31657" w:rsidRDefault="00856F66" w:rsidP="00AE6E22">
            <w:pPr>
              <w:rPr>
                <w:rFonts w:cs="Arial"/>
                <w:sz w:val="16"/>
                <w:szCs w:val="16"/>
                <w:lang w:val="es-ES_tradnl" w:eastAsia="es-MX"/>
              </w:rPr>
            </w:pPr>
          </w:p>
        </w:tc>
        <w:tc>
          <w:tcPr>
            <w:tcW w:w="0" w:type="auto"/>
            <w:vMerge/>
            <w:vAlign w:val="center"/>
            <w:hideMark/>
          </w:tcPr>
          <w:p w14:paraId="56ADAC53"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5FB8CA7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184.000.000</w:t>
            </w:r>
          </w:p>
        </w:tc>
        <w:tc>
          <w:tcPr>
            <w:tcW w:w="0" w:type="auto"/>
            <w:tcMar>
              <w:top w:w="30" w:type="dxa"/>
              <w:left w:w="45" w:type="dxa"/>
              <w:bottom w:w="30" w:type="dxa"/>
              <w:right w:w="45" w:type="dxa"/>
            </w:tcMar>
            <w:vAlign w:val="center"/>
            <w:hideMark/>
          </w:tcPr>
          <w:p w14:paraId="4F3CEB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1.413.592.233</w:t>
            </w:r>
          </w:p>
        </w:tc>
        <w:tc>
          <w:tcPr>
            <w:tcW w:w="0" w:type="auto"/>
            <w:tcMar>
              <w:top w:w="30" w:type="dxa"/>
              <w:left w:w="45" w:type="dxa"/>
              <w:bottom w:w="30" w:type="dxa"/>
              <w:right w:w="45" w:type="dxa"/>
            </w:tcMar>
            <w:vAlign w:val="center"/>
            <w:hideMark/>
          </w:tcPr>
          <w:p w14:paraId="6F1758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1.372.419.644</w:t>
            </w:r>
          </w:p>
        </w:tc>
        <w:tc>
          <w:tcPr>
            <w:tcW w:w="0" w:type="auto"/>
            <w:tcMar>
              <w:top w:w="30" w:type="dxa"/>
              <w:left w:w="45" w:type="dxa"/>
              <w:bottom w:w="30" w:type="dxa"/>
              <w:right w:w="45" w:type="dxa"/>
            </w:tcMar>
            <w:vAlign w:val="center"/>
            <w:hideMark/>
          </w:tcPr>
          <w:p w14:paraId="6DB455B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1.332.446.256</w:t>
            </w:r>
          </w:p>
        </w:tc>
        <w:tc>
          <w:tcPr>
            <w:tcW w:w="0" w:type="auto"/>
            <w:vMerge/>
            <w:vAlign w:val="center"/>
            <w:hideMark/>
          </w:tcPr>
          <w:p w14:paraId="3A499F35" w14:textId="77777777" w:rsidR="00856F66" w:rsidRPr="00E31657" w:rsidRDefault="00856F66" w:rsidP="00AE6E22">
            <w:pPr>
              <w:rPr>
                <w:rFonts w:cs="Arial"/>
                <w:b/>
                <w:bCs/>
                <w:sz w:val="16"/>
                <w:szCs w:val="16"/>
                <w:lang w:val="es-ES_tradnl" w:eastAsia="es-MX"/>
              </w:rPr>
            </w:pPr>
          </w:p>
        </w:tc>
      </w:tr>
      <w:tr w:rsidR="00856F66" w:rsidRPr="00E31657" w14:paraId="506F57D8" w14:textId="77777777" w:rsidTr="00EF34C0">
        <w:trPr>
          <w:trHeight w:val="315"/>
        </w:trPr>
        <w:tc>
          <w:tcPr>
            <w:tcW w:w="0" w:type="auto"/>
            <w:vMerge w:val="restart"/>
            <w:tcMar>
              <w:top w:w="30" w:type="dxa"/>
              <w:left w:w="45" w:type="dxa"/>
              <w:bottom w:w="30" w:type="dxa"/>
              <w:right w:w="45" w:type="dxa"/>
            </w:tcMar>
            <w:vAlign w:val="center"/>
            <w:hideMark/>
          </w:tcPr>
          <w:p w14:paraId="4392A730"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Incorporar 145.000 suscriptores en el servicio de alcantarillado sanitario en las áreas de prestación de servicio de la EAAB.</w:t>
            </w:r>
          </w:p>
        </w:tc>
        <w:tc>
          <w:tcPr>
            <w:tcW w:w="0" w:type="auto"/>
            <w:vMerge w:val="restart"/>
            <w:tcMar>
              <w:top w:w="30" w:type="dxa"/>
              <w:left w:w="45" w:type="dxa"/>
              <w:bottom w:w="30" w:type="dxa"/>
              <w:right w:w="45" w:type="dxa"/>
            </w:tcMar>
            <w:vAlign w:val="center"/>
            <w:hideMark/>
          </w:tcPr>
          <w:p w14:paraId="6C24BE8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58ADC5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1D7495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18.891</w:t>
            </w:r>
          </w:p>
        </w:tc>
        <w:tc>
          <w:tcPr>
            <w:tcW w:w="0" w:type="auto"/>
            <w:tcMar>
              <w:top w:w="30" w:type="dxa"/>
              <w:left w:w="45" w:type="dxa"/>
              <w:bottom w:w="30" w:type="dxa"/>
              <w:right w:w="45" w:type="dxa"/>
            </w:tcMar>
            <w:vAlign w:val="center"/>
            <w:hideMark/>
          </w:tcPr>
          <w:p w14:paraId="1C9BB94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62.046</w:t>
            </w:r>
          </w:p>
        </w:tc>
        <w:tc>
          <w:tcPr>
            <w:tcW w:w="0" w:type="auto"/>
            <w:tcMar>
              <w:top w:w="30" w:type="dxa"/>
              <w:left w:w="45" w:type="dxa"/>
              <w:bottom w:w="30" w:type="dxa"/>
              <w:right w:w="45" w:type="dxa"/>
            </w:tcMar>
            <w:vAlign w:val="center"/>
            <w:hideMark/>
          </w:tcPr>
          <w:p w14:paraId="1D203A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27.855</w:t>
            </w:r>
          </w:p>
        </w:tc>
        <w:tc>
          <w:tcPr>
            <w:tcW w:w="0" w:type="auto"/>
            <w:tcMar>
              <w:top w:w="30" w:type="dxa"/>
              <w:left w:w="45" w:type="dxa"/>
              <w:bottom w:w="30" w:type="dxa"/>
              <w:right w:w="45" w:type="dxa"/>
            </w:tcMar>
            <w:vAlign w:val="center"/>
            <w:hideMark/>
          </w:tcPr>
          <w:p w14:paraId="786798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36.208</w:t>
            </w:r>
          </w:p>
        </w:tc>
        <w:tc>
          <w:tcPr>
            <w:tcW w:w="0" w:type="auto"/>
            <w:vMerge w:val="restart"/>
            <w:tcMar>
              <w:top w:w="30" w:type="dxa"/>
              <w:left w:w="45" w:type="dxa"/>
              <w:bottom w:w="30" w:type="dxa"/>
              <w:right w:w="45" w:type="dxa"/>
            </w:tcMar>
            <w:vAlign w:val="center"/>
            <w:hideMark/>
          </w:tcPr>
          <w:p w14:paraId="3950162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248.779.720.471</w:t>
            </w:r>
          </w:p>
        </w:tc>
      </w:tr>
      <w:tr w:rsidR="00856F66" w:rsidRPr="00E31657" w14:paraId="737E9E92" w14:textId="77777777" w:rsidTr="00EF34C0">
        <w:trPr>
          <w:trHeight w:val="315"/>
        </w:trPr>
        <w:tc>
          <w:tcPr>
            <w:tcW w:w="0" w:type="auto"/>
            <w:vMerge/>
            <w:vAlign w:val="center"/>
            <w:hideMark/>
          </w:tcPr>
          <w:p w14:paraId="5A89ECB5"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784AC387" w14:textId="77777777" w:rsidR="00856F66" w:rsidRPr="00E31657" w:rsidRDefault="00856F66" w:rsidP="00AE6E22">
            <w:pPr>
              <w:rPr>
                <w:rFonts w:cs="Arial"/>
                <w:sz w:val="16"/>
                <w:szCs w:val="16"/>
                <w:lang w:val="es-ES_tradnl" w:eastAsia="es-MX"/>
              </w:rPr>
            </w:pPr>
          </w:p>
        </w:tc>
        <w:tc>
          <w:tcPr>
            <w:tcW w:w="0" w:type="auto"/>
            <w:vMerge/>
            <w:vAlign w:val="center"/>
            <w:hideMark/>
          </w:tcPr>
          <w:p w14:paraId="673C01D5"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41F48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80.325.956.928</w:t>
            </w:r>
          </w:p>
        </w:tc>
        <w:tc>
          <w:tcPr>
            <w:tcW w:w="0" w:type="auto"/>
            <w:tcMar>
              <w:top w:w="30" w:type="dxa"/>
              <w:left w:w="45" w:type="dxa"/>
              <w:bottom w:w="30" w:type="dxa"/>
              <w:right w:w="45" w:type="dxa"/>
            </w:tcMar>
            <w:vAlign w:val="center"/>
            <w:hideMark/>
          </w:tcPr>
          <w:p w14:paraId="3F3BCD4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89.359.791.661</w:t>
            </w:r>
          </w:p>
        </w:tc>
        <w:tc>
          <w:tcPr>
            <w:tcW w:w="0" w:type="auto"/>
            <w:tcMar>
              <w:top w:w="30" w:type="dxa"/>
              <w:left w:w="45" w:type="dxa"/>
              <w:bottom w:w="30" w:type="dxa"/>
              <w:right w:w="45" w:type="dxa"/>
            </w:tcMar>
            <w:vAlign w:val="center"/>
            <w:hideMark/>
          </w:tcPr>
          <w:p w14:paraId="743F32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40.117.516.754</w:t>
            </w:r>
          </w:p>
        </w:tc>
        <w:tc>
          <w:tcPr>
            <w:tcW w:w="0" w:type="auto"/>
            <w:tcMar>
              <w:top w:w="30" w:type="dxa"/>
              <w:left w:w="45" w:type="dxa"/>
              <w:bottom w:w="30" w:type="dxa"/>
              <w:right w:w="45" w:type="dxa"/>
            </w:tcMar>
            <w:vAlign w:val="center"/>
            <w:hideMark/>
          </w:tcPr>
          <w:p w14:paraId="377E4F5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38.976.455.128</w:t>
            </w:r>
          </w:p>
        </w:tc>
        <w:tc>
          <w:tcPr>
            <w:tcW w:w="0" w:type="auto"/>
            <w:vMerge/>
            <w:vAlign w:val="center"/>
            <w:hideMark/>
          </w:tcPr>
          <w:p w14:paraId="03B5E0D3" w14:textId="77777777" w:rsidR="00856F66" w:rsidRPr="00E31657" w:rsidRDefault="00856F66" w:rsidP="00AE6E22">
            <w:pPr>
              <w:rPr>
                <w:rFonts w:cs="Arial"/>
                <w:b/>
                <w:bCs/>
                <w:sz w:val="16"/>
                <w:szCs w:val="16"/>
                <w:lang w:val="es-ES_tradnl" w:eastAsia="es-MX"/>
              </w:rPr>
            </w:pPr>
          </w:p>
        </w:tc>
      </w:tr>
      <w:tr w:rsidR="00856F66" w:rsidRPr="00E31657" w14:paraId="16C125EE" w14:textId="77777777" w:rsidTr="00EF34C0">
        <w:trPr>
          <w:trHeight w:val="315"/>
        </w:trPr>
        <w:tc>
          <w:tcPr>
            <w:tcW w:w="0" w:type="auto"/>
            <w:vMerge w:val="restart"/>
            <w:tcMar>
              <w:top w:w="30" w:type="dxa"/>
              <w:left w:w="45" w:type="dxa"/>
              <w:bottom w:w="30" w:type="dxa"/>
              <w:right w:w="45" w:type="dxa"/>
            </w:tcMar>
            <w:vAlign w:val="center"/>
            <w:hideMark/>
          </w:tcPr>
          <w:p w14:paraId="5B962F6A"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Incorporar 150.000 suscriptores en el servicio de acueducto en las áreas de prestación de servicio de la EAAB.</w:t>
            </w:r>
          </w:p>
        </w:tc>
        <w:tc>
          <w:tcPr>
            <w:tcW w:w="0" w:type="auto"/>
            <w:vMerge w:val="restart"/>
            <w:tcMar>
              <w:top w:w="30" w:type="dxa"/>
              <w:left w:w="45" w:type="dxa"/>
              <w:bottom w:w="30" w:type="dxa"/>
              <w:right w:w="45" w:type="dxa"/>
            </w:tcMar>
            <w:vAlign w:val="center"/>
            <w:hideMark/>
          </w:tcPr>
          <w:p w14:paraId="2BA5D0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133899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7D59D93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19.280</w:t>
            </w:r>
          </w:p>
        </w:tc>
        <w:tc>
          <w:tcPr>
            <w:tcW w:w="0" w:type="auto"/>
            <w:tcMar>
              <w:top w:w="30" w:type="dxa"/>
              <w:left w:w="45" w:type="dxa"/>
              <w:bottom w:w="30" w:type="dxa"/>
              <w:right w:w="45" w:type="dxa"/>
            </w:tcMar>
            <w:vAlign w:val="center"/>
            <w:hideMark/>
          </w:tcPr>
          <w:p w14:paraId="7AEF332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54.020</w:t>
            </w:r>
          </w:p>
        </w:tc>
        <w:tc>
          <w:tcPr>
            <w:tcW w:w="0" w:type="auto"/>
            <w:tcMar>
              <w:top w:w="30" w:type="dxa"/>
              <w:left w:w="45" w:type="dxa"/>
              <w:bottom w:w="30" w:type="dxa"/>
              <w:right w:w="45" w:type="dxa"/>
            </w:tcMar>
            <w:vAlign w:val="center"/>
            <w:hideMark/>
          </w:tcPr>
          <w:p w14:paraId="458B2CA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25.080</w:t>
            </w:r>
          </w:p>
        </w:tc>
        <w:tc>
          <w:tcPr>
            <w:tcW w:w="0" w:type="auto"/>
            <w:tcMar>
              <w:top w:w="30" w:type="dxa"/>
              <w:left w:w="45" w:type="dxa"/>
              <w:bottom w:w="30" w:type="dxa"/>
              <w:right w:w="45" w:type="dxa"/>
            </w:tcMar>
            <w:vAlign w:val="center"/>
            <w:hideMark/>
          </w:tcPr>
          <w:p w14:paraId="073DAEE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51.620</w:t>
            </w:r>
          </w:p>
        </w:tc>
        <w:tc>
          <w:tcPr>
            <w:tcW w:w="0" w:type="auto"/>
            <w:vMerge w:val="restart"/>
            <w:tcMar>
              <w:top w:w="30" w:type="dxa"/>
              <w:left w:w="45" w:type="dxa"/>
              <w:bottom w:w="30" w:type="dxa"/>
              <w:right w:w="45" w:type="dxa"/>
            </w:tcMar>
            <w:vAlign w:val="center"/>
            <w:hideMark/>
          </w:tcPr>
          <w:p w14:paraId="646BCDC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252.391.971.682</w:t>
            </w:r>
          </w:p>
        </w:tc>
      </w:tr>
      <w:tr w:rsidR="00856F66" w:rsidRPr="00E31657" w14:paraId="7E97EAD8" w14:textId="77777777" w:rsidTr="00EF34C0">
        <w:trPr>
          <w:trHeight w:val="315"/>
        </w:trPr>
        <w:tc>
          <w:tcPr>
            <w:tcW w:w="0" w:type="auto"/>
            <w:vMerge/>
            <w:vAlign w:val="center"/>
            <w:hideMark/>
          </w:tcPr>
          <w:p w14:paraId="0AD8D383"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3B36F6F9" w14:textId="77777777" w:rsidR="00856F66" w:rsidRPr="00E31657" w:rsidRDefault="00856F66" w:rsidP="00AE6E22">
            <w:pPr>
              <w:rPr>
                <w:rFonts w:cs="Arial"/>
                <w:sz w:val="16"/>
                <w:szCs w:val="16"/>
                <w:lang w:val="es-ES_tradnl" w:eastAsia="es-MX"/>
              </w:rPr>
            </w:pPr>
          </w:p>
        </w:tc>
        <w:tc>
          <w:tcPr>
            <w:tcW w:w="0" w:type="auto"/>
            <w:vMerge/>
            <w:vAlign w:val="center"/>
            <w:hideMark/>
          </w:tcPr>
          <w:p w14:paraId="46AD72A4"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713E2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94.584.679.116</w:t>
            </w:r>
          </w:p>
        </w:tc>
        <w:tc>
          <w:tcPr>
            <w:tcW w:w="0" w:type="auto"/>
            <w:tcMar>
              <w:top w:w="30" w:type="dxa"/>
              <w:left w:w="45" w:type="dxa"/>
              <w:bottom w:w="30" w:type="dxa"/>
              <w:right w:w="45" w:type="dxa"/>
            </w:tcMar>
            <w:vAlign w:val="center"/>
            <w:hideMark/>
          </w:tcPr>
          <w:p w14:paraId="20EB22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89.756.538.782</w:t>
            </w:r>
          </w:p>
        </w:tc>
        <w:tc>
          <w:tcPr>
            <w:tcW w:w="0" w:type="auto"/>
            <w:tcMar>
              <w:top w:w="30" w:type="dxa"/>
              <w:left w:w="45" w:type="dxa"/>
              <w:bottom w:w="30" w:type="dxa"/>
              <w:right w:w="45" w:type="dxa"/>
            </w:tcMar>
            <w:vAlign w:val="center"/>
            <w:hideMark/>
          </w:tcPr>
          <w:p w14:paraId="7789BA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41.671.361.301</w:t>
            </w:r>
          </w:p>
        </w:tc>
        <w:tc>
          <w:tcPr>
            <w:tcW w:w="0" w:type="auto"/>
            <w:tcMar>
              <w:top w:w="30" w:type="dxa"/>
              <w:left w:w="45" w:type="dxa"/>
              <w:bottom w:w="30" w:type="dxa"/>
              <w:right w:w="45" w:type="dxa"/>
            </w:tcMar>
            <w:vAlign w:val="center"/>
            <w:hideMark/>
          </w:tcPr>
          <w:p w14:paraId="79C4071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26.379.392.483</w:t>
            </w:r>
          </w:p>
        </w:tc>
        <w:tc>
          <w:tcPr>
            <w:tcW w:w="0" w:type="auto"/>
            <w:vMerge/>
            <w:vAlign w:val="center"/>
            <w:hideMark/>
          </w:tcPr>
          <w:p w14:paraId="70516B8D" w14:textId="77777777" w:rsidR="00856F66" w:rsidRPr="00E31657" w:rsidRDefault="00856F66" w:rsidP="00AE6E22">
            <w:pPr>
              <w:rPr>
                <w:rFonts w:cs="Arial"/>
                <w:b/>
                <w:bCs/>
                <w:sz w:val="16"/>
                <w:szCs w:val="16"/>
                <w:lang w:val="es-ES_tradnl" w:eastAsia="es-MX"/>
              </w:rPr>
            </w:pPr>
          </w:p>
        </w:tc>
      </w:tr>
      <w:tr w:rsidR="00856F66" w:rsidRPr="00E31657" w14:paraId="66328B71" w14:textId="77777777" w:rsidTr="00EF34C0">
        <w:trPr>
          <w:trHeight w:val="315"/>
        </w:trPr>
        <w:tc>
          <w:tcPr>
            <w:tcW w:w="0" w:type="auto"/>
            <w:vMerge w:val="restart"/>
            <w:tcMar>
              <w:top w:w="30" w:type="dxa"/>
              <w:left w:w="45" w:type="dxa"/>
              <w:bottom w:w="30" w:type="dxa"/>
              <w:right w:w="45" w:type="dxa"/>
            </w:tcMar>
            <w:vAlign w:val="center"/>
            <w:hideMark/>
          </w:tcPr>
          <w:p w14:paraId="25194C98"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Mejorar a 2000 hogares rurales las condiciones de cobertura calidad y continuidad de la prestación de los Servicios Públicos domiciliarios y TIC</w:t>
            </w:r>
          </w:p>
        </w:tc>
        <w:tc>
          <w:tcPr>
            <w:tcW w:w="0" w:type="auto"/>
            <w:vMerge w:val="restart"/>
            <w:tcMar>
              <w:top w:w="30" w:type="dxa"/>
              <w:left w:w="45" w:type="dxa"/>
              <w:bottom w:w="30" w:type="dxa"/>
              <w:right w:w="45" w:type="dxa"/>
            </w:tcMar>
            <w:vAlign w:val="center"/>
            <w:hideMark/>
          </w:tcPr>
          <w:p w14:paraId="569C1A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3DC075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1B58F28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w:t>
            </w:r>
          </w:p>
        </w:tc>
        <w:tc>
          <w:tcPr>
            <w:tcW w:w="0" w:type="auto"/>
            <w:tcMar>
              <w:top w:w="30" w:type="dxa"/>
              <w:left w:w="45" w:type="dxa"/>
              <w:bottom w:w="30" w:type="dxa"/>
              <w:right w:w="45" w:type="dxa"/>
            </w:tcMar>
            <w:vAlign w:val="center"/>
            <w:hideMark/>
          </w:tcPr>
          <w:p w14:paraId="3E5C486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w:t>
            </w:r>
          </w:p>
        </w:tc>
        <w:tc>
          <w:tcPr>
            <w:tcW w:w="0" w:type="auto"/>
            <w:tcMar>
              <w:top w:w="30" w:type="dxa"/>
              <w:left w:w="45" w:type="dxa"/>
              <w:bottom w:w="30" w:type="dxa"/>
              <w:right w:w="45" w:type="dxa"/>
            </w:tcMar>
            <w:vAlign w:val="center"/>
            <w:hideMark/>
          </w:tcPr>
          <w:p w14:paraId="755390A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w:t>
            </w:r>
          </w:p>
        </w:tc>
        <w:tc>
          <w:tcPr>
            <w:tcW w:w="0" w:type="auto"/>
            <w:tcMar>
              <w:top w:w="30" w:type="dxa"/>
              <w:left w:w="45" w:type="dxa"/>
              <w:bottom w:w="30" w:type="dxa"/>
              <w:right w:w="45" w:type="dxa"/>
            </w:tcMar>
            <w:vAlign w:val="center"/>
            <w:hideMark/>
          </w:tcPr>
          <w:p w14:paraId="21E252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w:t>
            </w:r>
          </w:p>
        </w:tc>
        <w:tc>
          <w:tcPr>
            <w:tcW w:w="0" w:type="auto"/>
            <w:vMerge w:val="restart"/>
            <w:tcMar>
              <w:top w:w="30" w:type="dxa"/>
              <w:left w:w="45" w:type="dxa"/>
              <w:bottom w:w="30" w:type="dxa"/>
              <w:right w:w="45" w:type="dxa"/>
            </w:tcMar>
            <w:vAlign w:val="center"/>
            <w:hideMark/>
          </w:tcPr>
          <w:p w14:paraId="0285E86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8.981.435.590</w:t>
            </w:r>
          </w:p>
        </w:tc>
      </w:tr>
      <w:tr w:rsidR="00856F66" w:rsidRPr="00E31657" w14:paraId="1B87C8B1" w14:textId="77777777" w:rsidTr="00EF34C0">
        <w:trPr>
          <w:trHeight w:val="315"/>
        </w:trPr>
        <w:tc>
          <w:tcPr>
            <w:tcW w:w="0" w:type="auto"/>
            <w:vMerge/>
            <w:vAlign w:val="center"/>
            <w:hideMark/>
          </w:tcPr>
          <w:p w14:paraId="3C1C52D5"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25A28BA0" w14:textId="77777777" w:rsidR="00856F66" w:rsidRPr="00E31657" w:rsidRDefault="00856F66" w:rsidP="00AE6E22">
            <w:pPr>
              <w:rPr>
                <w:rFonts w:cs="Arial"/>
                <w:sz w:val="16"/>
                <w:szCs w:val="16"/>
                <w:lang w:val="es-ES_tradnl" w:eastAsia="es-MX"/>
              </w:rPr>
            </w:pPr>
          </w:p>
        </w:tc>
        <w:tc>
          <w:tcPr>
            <w:tcW w:w="0" w:type="auto"/>
            <w:vMerge/>
            <w:vAlign w:val="center"/>
            <w:hideMark/>
          </w:tcPr>
          <w:p w14:paraId="67D32F39"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2BC77D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184.000.000</w:t>
            </w:r>
          </w:p>
        </w:tc>
        <w:tc>
          <w:tcPr>
            <w:tcW w:w="0" w:type="auto"/>
            <w:tcMar>
              <w:top w:w="30" w:type="dxa"/>
              <w:left w:w="45" w:type="dxa"/>
              <w:bottom w:w="30" w:type="dxa"/>
              <w:right w:w="45" w:type="dxa"/>
            </w:tcMar>
            <w:vAlign w:val="center"/>
            <w:hideMark/>
          </w:tcPr>
          <w:p w14:paraId="1F16BDF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3.403.883.495</w:t>
            </w:r>
          </w:p>
        </w:tc>
        <w:tc>
          <w:tcPr>
            <w:tcW w:w="0" w:type="auto"/>
            <w:tcMar>
              <w:top w:w="30" w:type="dxa"/>
              <w:left w:w="45" w:type="dxa"/>
              <w:bottom w:w="30" w:type="dxa"/>
              <w:right w:w="45" w:type="dxa"/>
            </w:tcMar>
            <w:vAlign w:val="center"/>
            <w:hideMark/>
          </w:tcPr>
          <w:p w14:paraId="468261B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2.692.053.916</w:t>
            </w:r>
          </w:p>
        </w:tc>
        <w:tc>
          <w:tcPr>
            <w:tcW w:w="0" w:type="auto"/>
            <w:tcMar>
              <w:top w:w="30" w:type="dxa"/>
              <w:left w:w="45" w:type="dxa"/>
              <w:bottom w:w="30" w:type="dxa"/>
              <w:right w:w="45" w:type="dxa"/>
            </w:tcMar>
            <w:vAlign w:val="center"/>
            <w:hideMark/>
          </w:tcPr>
          <w:p w14:paraId="12EB20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2.701.498.178</w:t>
            </w:r>
          </w:p>
        </w:tc>
        <w:tc>
          <w:tcPr>
            <w:tcW w:w="0" w:type="auto"/>
            <w:vMerge/>
            <w:vAlign w:val="center"/>
            <w:hideMark/>
          </w:tcPr>
          <w:p w14:paraId="61447D4C" w14:textId="77777777" w:rsidR="00856F66" w:rsidRPr="00E31657" w:rsidRDefault="00856F66" w:rsidP="00AE6E22">
            <w:pPr>
              <w:rPr>
                <w:rFonts w:cs="Arial"/>
                <w:b/>
                <w:bCs/>
                <w:sz w:val="16"/>
                <w:szCs w:val="16"/>
                <w:lang w:val="es-ES_tradnl" w:eastAsia="es-MX"/>
              </w:rPr>
            </w:pPr>
          </w:p>
        </w:tc>
      </w:tr>
      <w:tr w:rsidR="00856F66" w:rsidRPr="00E31657" w14:paraId="45BFE817" w14:textId="77777777" w:rsidTr="00EF34C0">
        <w:trPr>
          <w:trHeight w:val="315"/>
        </w:trPr>
        <w:tc>
          <w:tcPr>
            <w:tcW w:w="0" w:type="auto"/>
            <w:vMerge w:val="restart"/>
            <w:tcMar>
              <w:top w:w="30" w:type="dxa"/>
              <w:left w:w="45" w:type="dxa"/>
              <w:bottom w:w="30" w:type="dxa"/>
              <w:right w:w="45" w:type="dxa"/>
            </w:tcMar>
            <w:vAlign w:val="center"/>
            <w:hideMark/>
          </w:tcPr>
          <w:p w14:paraId="432B0059"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Realizar el 100% de las intervenciones menores priorizadas en el Cementerio Central.</w:t>
            </w:r>
          </w:p>
        </w:tc>
        <w:tc>
          <w:tcPr>
            <w:tcW w:w="0" w:type="auto"/>
            <w:vMerge w:val="restart"/>
            <w:tcMar>
              <w:top w:w="30" w:type="dxa"/>
              <w:left w:w="45" w:type="dxa"/>
              <w:bottom w:w="30" w:type="dxa"/>
              <w:right w:w="45" w:type="dxa"/>
            </w:tcMar>
            <w:vAlign w:val="center"/>
            <w:hideMark/>
          </w:tcPr>
          <w:p w14:paraId="63B92C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51E1808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530BEF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BE4F1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6919C0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1BEA03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7B9CB45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15.401.814.581</w:t>
            </w:r>
          </w:p>
        </w:tc>
      </w:tr>
      <w:tr w:rsidR="00856F66" w:rsidRPr="00E31657" w14:paraId="44F15756" w14:textId="77777777" w:rsidTr="00EF34C0">
        <w:trPr>
          <w:trHeight w:val="315"/>
        </w:trPr>
        <w:tc>
          <w:tcPr>
            <w:tcW w:w="0" w:type="auto"/>
            <w:vMerge/>
            <w:vAlign w:val="center"/>
            <w:hideMark/>
          </w:tcPr>
          <w:p w14:paraId="6E379CE2" w14:textId="77777777" w:rsidR="00856F66" w:rsidRPr="00E31657" w:rsidRDefault="00856F66" w:rsidP="00B26C9A">
            <w:pPr>
              <w:jc w:val="right"/>
              <w:rPr>
                <w:rFonts w:cs="Arial"/>
                <w:sz w:val="16"/>
                <w:szCs w:val="16"/>
                <w:lang w:val="es-ES_tradnl" w:eastAsia="es-MX"/>
              </w:rPr>
            </w:pPr>
          </w:p>
        </w:tc>
        <w:tc>
          <w:tcPr>
            <w:tcW w:w="0" w:type="auto"/>
            <w:vMerge/>
            <w:vAlign w:val="center"/>
            <w:hideMark/>
          </w:tcPr>
          <w:p w14:paraId="668A84D5" w14:textId="77777777" w:rsidR="00856F66" w:rsidRPr="00E31657" w:rsidRDefault="00856F66" w:rsidP="00AE6E22">
            <w:pPr>
              <w:rPr>
                <w:rFonts w:cs="Arial"/>
                <w:sz w:val="16"/>
                <w:szCs w:val="16"/>
                <w:lang w:val="es-ES_tradnl" w:eastAsia="es-MX"/>
              </w:rPr>
            </w:pPr>
          </w:p>
        </w:tc>
        <w:tc>
          <w:tcPr>
            <w:tcW w:w="0" w:type="auto"/>
            <w:vMerge/>
            <w:vAlign w:val="center"/>
            <w:hideMark/>
          </w:tcPr>
          <w:p w14:paraId="6B16CD99"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64DA47D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3.646.000.000</w:t>
            </w:r>
          </w:p>
        </w:tc>
        <w:tc>
          <w:tcPr>
            <w:tcW w:w="0" w:type="auto"/>
            <w:tcMar>
              <w:top w:w="30" w:type="dxa"/>
              <w:left w:w="45" w:type="dxa"/>
              <w:bottom w:w="30" w:type="dxa"/>
              <w:right w:w="45" w:type="dxa"/>
            </w:tcMar>
            <w:vAlign w:val="center"/>
            <w:hideMark/>
          </w:tcPr>
          <w:p w14:paraId="2502D4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2.000.000.000</w:t>
            </w:r>
          </w:p>
        </w:tc>
        <w:tc>
          <w:tcPr>
            <w:tcW w:w="0" w:type="auto"/>
            <w:tcMar>
              <w:top w:w="30" w:type="dxa"/>
              <w:left w:w="45" w:type="dxa"/>
              <w:bottom w:w="30" w:type="dxa"/>
              <w:right w:w="45" w:type="dxa"/>
            </w:tcMar>
            <w:vAlign w:val="center"/>
            <w:hideMark/>
          </w:tcPr>
          <w:p w14:paraId="7895909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4.000.377.038</w:t>
            </w:r>
          </w:p>
        </w:tc>
        <w:tc>
          <w:tcPr>
            <w:tcW w:w="0" w:type="auto"/>
            <w:tcMar>
              <w:top w:w="30" w:type="dxa"/>
              <w:left w:w="45" w:type="dxa"/>
              <w:bottom w:w="30" w:type="dxa"/>
              <w:right w:w="45" w:type="dxa"/>
            </w:tcMar>
            <w:vAlign w:val="center"/>
            <w:hideMark/>
          </w:tcPr>
          <w:p w14:paraId="1CD8B59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5.755.437.543</w:t>
            </w:r>
          </w:p>
        </w:tc>
        <w:tc>
          <w:tcPr>
            <w:tcW w:w="0" w:type="auto"/>
            <w:vMerge/>
            <w:vAlign w:val="center"/>
            <w:hideMark/>
          </w:tcPr>
          <w:p w14:paraId="40BA44E2" w14:textId="77777777" w:rsidR="00856F66" w:rsidRPr="00E31657" w:rsidRDefault="00856F66" w:rsidP="00AE6E22">
            <w:pPr>
              <w:rPr>
                <w:rFonts w:cs="Arial"/>
                <w:b/>
                <w:bCs/>
                <w:sz w:val="16"/>
                <w:szCs w:val="16"/>
                <w:lang w:val="es-ES_tradnl" w:eastAsia="es-MX"/>
              </w:rPr>
            </w:pPr>
          </w:p>
        </w:tc>
      </w:tr>
      <w:tr w:rsidR="00856F66" w:rsidRPr="00E31657" w14:paraId="31439DFB" w14:textId="77777777" w:rsidTr="00EF34C0">
        <w:trPr>
          <w:trHeight w:val="315"/>
        </w:trPr>
        <w:tc>
          <w:tcPr>
            <w:tcW w:w="0" w:type="auto"/>
            <w:vMerge w:val="restart"/>
            <w:tcMar>
              <w:top w:w="30" w:type="dxa"/>
              <w:left w:w="45" w:type="dxa"/>
              <w:bottom w:w="30" w:type="dxa"/>
              <w:right w:w="45" w:type="dxa"/>
            </w:tcMar>
            <w:vAlign w:val="center"/>
            <w:hideMark/>
          </w:tcPr>
          <w:p w14:paraId="79B051C9"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Reducir en 50 Kms la longitud de redes de alcantarillado combinado en la ciudad de Bogotá</w:t>
            </w:r>
          </w:p>
        </w:tc>
        <w:tc>
          <w:tcPr>
            <w:tcW w:w="0" w:type="auto"/>
            <w:vMerge w:val="restart"/>
            <w:tcMar>
              <w:top w:w="30" w:type="dxa"/>
              <w:left w:w="45" w:type="dxa"/>
              <w:bottom w:w="30" w:type="dxa"/>
              <w:right w:w="45" w:type="dxa"/>
            </w:tcMar>
            <w:vAlign w:val="center"/>
            <w:hideMark/>
          </w:tcPr>
          <w:p w14:paraId="7C3E7A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03E177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7BB9CA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Mar>
              <w:top w:w="30" w:type="dxa"/>
              <w:left w:w="45" w:type="dxa"/>
              <w:bottom w:w="30" w:type="dxa"/>
              <w:right w:w="45" w:type="dxa"/>
            </w:tcMar>
            <w:vAlign w:val="center"/>
            <w:hideMark/>
          </w:tcPr>
          <w:p w14:paraId="21A5B38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w:t>
            </w:r>
          </w:p>
        </w:tc>
        <w:tc>
          <w:tcPr>
            <w:tcW w:w="0" w:type="auto"/>
            <w:tcMar>
              <w:top w:w="30" w:type="dxa"/>
              <w:left w:w="45" w:type="dxa"/>
              <w:bottom w:w="30" w:type="dxa"/>
              <w:right w:w="45" w:type="dxa"/>
            </w:tcMar>
            <w:vAlign w:val="center"/>
            <w:hideMark/>
          </w:tcPr>
          <w:p w14:paraId="6CE402C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w:t>
            </w:r>
          </w:p>
        </w:tc>
        <w:tc>
          <w:tcPr>
            <w:tcW w:w="0" w:type="auto"/>
            <w:tcMar>
              <w:top w:w="30" w:type="dxa"/>
              <w:left w:w="45" w:type="dxa"/>
              <w:bottom w:w="30" w:type="dxa"/>
              <w:right w:w="45" w:type="dxa"/>
            </w:tcMar>
            <w:vAlign w:val="center"/>
            <w:hideMark/>
          </w:tcPr>
          <w:p w14:paraId="024A64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0" w:type="auto"/>
            <w:vMerge w:val="restart"/>
            <w:tcMar>
              <w:top w:w="30" w:type="dxa"/>
              <w:left w:w="45" w:type="dxa"/>
              <w:bottom w:w="30" w:type="dxa"/>
              <w:right w:w="45" w:type="dxa"/>
            </w:tcMar>
            <w:vAlign w:val="center"/>
            <w:hideMark/>
          </w:tcPr>
          <w:p w14:paraId="7AEB55B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201.733.282.146</w:t>
            </w:r>
          </w:p>
        </w:tc>
      </w:tr>
      <w:tr w:rsidR="00856F66" w:rsidRPr="00E31657" w14:paraId="32C07DE4" w14:textId="77777777" w:rsidTr="00EF34C0">
        <w:trPr>
          <w:trHeight w:val="315"/>
        </w:trPr>
        <w:tc>
          <w:tcPr>
            <w:tcW w:w="0" w:type="auto"/>
            <w:vMerge/>
            <w:vAlign w:val="center"/>
            <w:hideMark/>
          </w:tcPr>
          <w:p w14:paraId="0A106A99" w14:textId="77777777" w:rsidR="00856F66" w:rsidRPr="00E31657" w:rsidRDefault="00856F66" w:rsidP="00AE6E22">
            <w:pPr>
              <w:rPr>
                <w:rFonts w:cs="Arial"/>
                <w:sz w:val="16"/>
                <w:szCs w:val="16"/>
                <w:lang w:val="es-ES_tradnl" w:eastAsia="es-MX"/>
              </w:rPr>
            </w:pPr>
          </w:p>
        </w:tc>
        <w:tc>
          <w:tcPr>
            <w:tcW w:w="0" w:type="auto"/>
            <w:vMerge/>
            <w:vAlign w:val="center"/>
            <w:hideMark/>
          </w:tcPr>
          <w:p w14:paraId="32D61CD7" w14:textId="77777777" w:rsidR="00856F66" w:rsidRPr="00E31657" w:rsidRDefault="00856F66" w:rsidP="00AE6E22">
            <w:pPr>
              <w:rPr>
                <w:rFonts w:cs="Arial"/>
                <w:sz w:val="16"/>
                <w:szCs w:val="16"/>
                <w:lang w:val="es-ES_tradnl" w:eastAsia="es-MX"/>
              </w:rPr>
            </w:pPr>
          </w:p>
        </w:tc>
        <w:tc>
          <w:tcPr>
            <w:tcW w:w="0" w:type="auto"/>
            <w:vMerge/>
            <w:vAlign w:val="center"/>
            <w:hideMark/>
          </w:tcPr>
          <w:p w14:paraId="5B1D32DB"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A34D1B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52.379.937.520</w:t>
            </w:r>
          </w:p>
        </w:tc>
        <w:tc>
          <w:tcPr>
            <w:tcW w:w="0" w:type="auto"/>
            <w:tcMar>
              <w:top w:w="30" w:type="dxa"/>
              <w:left w:w="45" w:type="dxa"/>
              <w:bottom w:w="30" w:type="dxa"/>
              <w:right w:w="45" w:type="dxa"/>
            </w:tcMar>
            <w:vAlign w:val="center"/>
            <w:hideMark/>
          </w:tcPr>
          <w:p w14:paraId="275EA2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74.221.707.009</w:t>
            </w:r>
          </w:p>
        </w:tc>
        <w:tc>
          <w:tcPr>
            <w:tcW w:w="0" w:type="auto"/>
            <w:tcMar>
              <w:top w:w="30" w:type="dxa"/>
              <w:left w:w="45" w:type="dxa"/>
              <w:bottom w:w="30" w:type="dxa"/>
              <w:right w:w="45" w:type="dxa"/>
            </w:tcMar>
            <w:vAlign w:val="center"/>
            <w:hideMark/>
          </w:tcPr>
          <w:p w14:paraId="747C23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54.640.122.542</w:t>
            </w:r>
          </w:p>
        </w:tc>
        <w:tc>
          <w:tcPr>
            <w:tcW w:w="0" w:type="auto"/>
            <w:tcMar>
              <w:top w:w="30" w:type="dxa"/>
              <w:left w:w="45" w:type="dxa"/>
              <w:bottom w:w="30" w:type="dxa"/>
              <w:right w:w="45" w:type="dxa"/>
            </w:tcMar>
            <w:vAlign w:val="center"/>
            <w:hideMark/>
          </w:tcPr>
          <w:p w14:paraId="5963BC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20.491.515.075</w:t>
            </w:r>
          </w:p>
        </w:tc>
        <w:tc>
          <w:tcPr>
            <w:tcW w:w="0" w:type="auto"/>
            <w:vMerge/>
            <w:vAlign w:val="center"/>
            <w:hideMark/>
          </w:tcPr>
          <w:p w14:paraId="624957F7" w14:textId="77777777" w:rsidR="00856F66" w:rsidRPr="00E31657" w:rsidRDefault="00856F66" w:rsidP="00AE6E22">
            <w:pPr>
              <w:rPr>
                <w:rFonts w:cs="Arial"/>
                <w:b/>
                <w:bCs/>
                <w:sz w:val="16"/>
                <w:szCs w:val="16"/>
                <w:lang w:val="es-ES_tradnl" w:eastAsia="es-MX"/>
              </w:rPr>
            </w:pPr>
          </w:p>
        </w:tc>
      </w:tr>
    </w:tbl>
    <w:p w14:paraId="2130B979" w14:textId="41C5B743" w:rsidR="00856F66" w:rsidRDefault="00856F66">
      <w:pPr>
        <w:rPr>
          <w:sz w:val="16"/>
          <w:szCs w:val="16"/>
          <w:lang w:val="es-ES_tradnl"/>
        </w:rPr>
      </w:pPr>
    </w:p>
    <w:p w14:paraId="527411D3" w14:textId="77777777" w:rsidR="00156332" w:rsidRPr="00E31657" w:rsidRDefault="00156332">
      <w:pPr>
        <w:rPr>
          <w:sz w:val="16"/>
          <w:szCs w:val="16"/>
          <w:lang w:val="es-ES_tradnl"/>
        </w:rPr>
      </w:pPr>
    </w:p>
    <w:tbl>
      <w:tblPr>
        <w:tblW w:w="0" w:type="dxa"/>
        <w:tblBorders>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018"/>
        <w:gridCol w:w="599"/>
        <w:gridCol w:w="781"/>
        <w:gridCol w:w="1163"/>
        <w:gridCol w:w="1160"/>
        <w:gridCol w:w="1190"/>
        <w:gridCol w:w="1171"/>
        <w:gridCol w:w="1278"/>
      </w:tblGrid>
      <w:tr w:rsidR="00856F66" w:rsidRPr="00E31657" w14:paraId="195783E5" w14:textId="77777777" w:rsidTr="00F974BB">
        <w:trPr>
          <w:trHeight w:val="315"/>
        </w:trPr>
        <w:tc>
          <w:tcPr>
            <w:tcW w:w="0" w:type="auto"/>
            <w:gridSpan w:val="8"/>
            <w:tcBorders>
              <w:top w:val="nil"/>
              <w:bottom w:val="double" w:sz="4" w:space="0" w:color="C00000"/>
            </w:tcBorders>
            <w:tcMar>
              <w:top w:w="30" w:type="dxa"/>
              <w:left w:w="45" w:type="dxa"/>
              <w:bottom w:w="30" w:type="dxa"/>
              <w:right w:w="45" w:type="dxa"/>
            </w:tcMar>
            <w:vAlign w:val="center"/>
            <w:hideMark/>
          </w:tcPr>
          <w:p w14:paraId="654814EC"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t xml:space="preserve">Programa 30. </w:t>
            </w:r>
            <w:r w:rsidRPr="00E31657">
              <w:rPr>
                <w:rFonts w:cs="Arial"/>
                <w:lang w:val="es-ES_tradnl" w:eastAsia="es-MX"/>
              </w:rPr>
              <w:t>Atención del déficit social para un hábitat digno</w:t>
            </w:r>
          </w:p>
        </w:tc>
      </w:tr>
      <w:tr w:rsidR="00856F66" w:rsidRPr="00E31657" w14:paraId="59AD43FA" w14:textId="77777777" w:rsidTr="00F974BB">
        <w:trPr>
          <w:trHeight w:val="315"/>
        </w:trPr>
        <w:tc>
          <w:tcPr>
            <w:tcW w:w="0" w:type="auto"/>
            <w:vMerge w:val="restart"/>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D6B99B8"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0" w:type="auto"/>
            <w:gridSpan w:val="7"/>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3F50428"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6D53E17B" w14:textId="77777777" w:rsidTr="00F974BB">
        <w:trPr>
          <w:trHeight w:val="315"/>
        </w:trPr>
        <w:tc>
          <w:tcPr>
            <w:tcW w:w="0" w:type="auto"/>
            <w:vMerge/>
            <w:tcBorders>
              <w:top w:val="double" w:sz="4" w:space="0" w:color="C00000"/>
              <w:bottom w:val="double" w:sz="4" w:space="0" w:color="C00000"/>
            </w:tcBorders>
            <w:shd w:val="clear" w:color="auto" w:fill="C00000"/>
            <w:vAlign w:val="center"/>
            <w:hideMark/>
          </w:tcPr>
          <w:p w14:paraId="6715B8AA" w14:textId="77777777" w:rsidR="00856F66" w:rsidRPr="00E31657" w:rsidRDefault="00856F66" w:rsidP="00AE6E22">
            <w:pPr>
              <w:rPr>
                <w:rFonts w:cs="Arial"/>
                <w:b/>
                <w:bCs/>
                <w:color w:val="FFFFFF"/>
                <w:sz w:val="16"/>
                <w:szCs w:val="16"/>
                <w:lang w:val="es-ES_tradnl" w:eastAsia="es-MX"/>
              </w:rPr>
            </w:pP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75A52B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6F23DAB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D8BA7E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01B6278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4167C1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2DA384B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7526D20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402914C4"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5FE199A"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Educación</w:t>
            </w:r>
          </w:p>
        </w:tc>
      </w:tr>
      <w:tr w:rsidR="00856F66" w:rsidRPr="00E31657" w14:paraId="5022BCED"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30E8BA8"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Entregar 12 colegios restituidos y dotados para mejorar la calidad de la oferta educativa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010677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05D82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E58735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24E571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26F7F2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A6C8E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1A2730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322.087.817.586</w:t>
            </w:r>
          </w:p>
        </w:tc>
      </w:tr>
      <w:tr w:rsidR="00856F66" w:rsidRPr="00E31657" w14:paraId="6EA47CBE" w14:textId="77777777" w:rsidTr="00F974BB">
        <w:trPr>
          <w:trHeight w:val="315"/>
        </w:trPr>
        <w:tc>
          <w:tcPr>
            <w:tcW w:w="0" w:type="auto"/>
            <w:vMerge/>
            <w:tcBorders>
              <w:top w:val="double" w:sz="4" w:space="0" w:color="C00000"/>
              <w:bottom w:val="double" w:sz="4" w:space="0" w:color="C00000"/>
            </w:tcBorders>
            <w:vAlign w:val="center"/>
            <w:hideMark/>
          </w:tcPr>
          <w:p w14:paraId="5FB6BD4C"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088EBE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FCF7203"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45596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170.830.475.787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26F7E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92.219.783.064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A475D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45.326.101.948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EE5A3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13.711.456.787</w:t>
            </w:r>
          </w:p>
        </w:tc>
        <w:tc>
          <w:tcPr>
            <w:tcW w:w="0" w:type="auto"/>
            <w:vMerge/>
            <w:tcBorders>
              <w:top w:val="double" w:sz="4" w:space="0" w:color="C00000"/>
              <w:bottom w:val="double" w:sz="4" w:space="0" w:color="C00000"/>
            </w:tcBorders>
            <w:vAlign w:val="center"/>
            <w:hideMark/>
          </w:tcPr>
          <w:p w14:paraId="4AC47AB6" w14:textId="77777777" w:rsidR="00856F66" w:rsidRPr="00E31657" w:rsidRDefault="00856F66" w:rsidP="00AE6E22">
            <w:pPr>
              <w:rPr>
                <w:rFonts w:cs="Arial"/>
                <w:b/>
                <w:bCs/>
                <w:sz w:val="16"/>
                <w:szCs w:val="16"/>
                <w:lang w:val="es-ES_tradnl" w:eastAsia="es-MX"/>
              </w:rPr>
            </w:pPr>
          </w:p>
        </w:tc>
      </w:tr>
      <w:tr w:rsidR="00856F66" w:rsidRPr="00E31657" w14:paraId="032FBF51" w14:textId="77777777" w:rsidTr="00F974BB">
        <w:trPr>
          <w:trHeight w:val="315"/>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752830E"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Entregar 16 colegios nuevos y dotados para ampliar la oferta educativa</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37A77A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408</w:t>
            </w:r>
            <w:r w:rsidRPr="00E31657">
              <w:rPr>
                <w:rFonts w:cs="Arial"/>
                <w:sz w:val="16"/>
                <w:szCs w:val="16"/>
                <w:lang w:val="es-ES_tradnl" w:eastAsia="es-MX"/>
              </w:rPr>
              <w:br/>
              <w:t>(2024)</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C4CBA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SED</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694E3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8F3637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C3CD1E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44E8C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479795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407.667.728.575</w:t>
            </w:r>
          </w:p>
        </w:tc>
      </w:tr>
      <w:tr w:rsidR="00856F66" w:rsidRPr="00E31657" w14:paraId="5B9911C2" w14:textId="77777777" w:rsidTr="00F974BB">
        <w:trPr>
          <w:trHeight w:val="315"/>
        </w:trPr>
        <w:tc>
          <w:tcPr>
            <w:tcW w:w="0" w:type="auto"/>
            <w:vMerge/>
            <w:tcBorders>
              <w:top w:val="double" w:sz="4" w:space="0" w:color="C00000"/>
              <w:bottom w:val="double" w:sz="4" w:space="0" w:color="C00000"/>
            </w:tcBorders>
            <w:vAlign w:val="center"/>
            <w:hideMark/>
          </w:tcPr>
          <w:p w14:paraId="59CB4451"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6608B29D"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76B9240C"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7A8D9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151.882.810.538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3B072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160.611.629.698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31875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81.461.831.552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C6DCF5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13.711.456.787</w:t>
            </w:r>
          </w:p>
        </w:tc>
        <w:tc>
          <w:tcPr>
            <w:tcW w:w="0" w:type="auto"/>
            <w:vMerge/>
            <w:tcBorders>
              <w:top w:val="double" w:sz="4" w:space="0" w:color="C00000"/>
              <w:bottom w:val="double" w:sz="4" w:space="0" w:color="C00000"/>
            </w:tcBorders>
            <w:vAlign w:val="center"/>
            <w:hideMark/>
          </w:tcPr>
          <w:p w14:paraId="7BB7F759" w14:textId="77777777" w:rsidR="00856F66" w:rsidRPr="00E31657" w:rsidRDefault="00856F66" w:rsidP="00AE6E22">
            <w:pPr>
              <w:rPr>
                <w:rFonts w:cs="Arial"/>
                <w:b/>
                <w:bCs/>
                <w:sz w:val="16"/>
                <w:szCs w:val="16"/>
                <w:lang w:val="es-ES_tradnl" w:eastAsia="es-MX"/>
              </w:rPr>
            </w:pPr>
          </w:p>
        </w:tc>
      </w:tr>
      <w:tr w:rsidR="00856F66" w:rsidRPr="00E31657" w14:paraId="4F356D97" w14:textId="77777777" w:rsidTr="00F974BB">
        <w:trPr>
          <w:trHeight w:val="45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A4B2635"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Intervenir 310 sedes educativas y sedes administrativas con acciones de mejoramiento a la infraestructura y/o dotaciones para el aprendizaje</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00573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762</w:t>
            </w:r>
            <w:r w:rsidRPr="00E31657">
              <w:rPr>
                <w:rFonts w:cs="Arial"/>
                <w:sz w:val="16"/>
                <w:szCs w:val="16"/>
                <w:lang w:val="es-ES_tradnl" w:eastAsia="es-MX"/>
              </w:rPr>
              <w:br/>
              <w:t>(2024)</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C3A5FA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SED</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674E50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D8444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98</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63CD4E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6C06BB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105</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EF16ED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570.006.221.220</w:t>
            </w:r>
          </w:p>
        </w:tc>
      </w:tr>
      <w:tr w:rsidR="00856F66" w:rsidRPr="00E31657" w14:paraId="190D59DE" w14:textId="77777777" w:rsidTr="00F974BB">
        <w:trPr>
          <w:trHeight w:val="450"/>
        </w:trPr>
        <w:tc>
          <w:tcPr>
            <w:tcW w:w="0" w:type="auto"/>
            <w:vMerge/>
            <w:tcBorders>
              <w:top w:val="double" w:sz="4" w:space="0" w:color="C00000"/>
              <w:bottom w:val="double" w:sz="4" w:space="0" w:color="C00000"/>
            </w:tcBorders>
            <w:vAlign w:val="center"/>
            <w:hideMark/>
          </w:tcPr>
          <w:p w14:paraId="4FBA2AFF"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4105D1E"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72D111A0"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99E1D2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113.435.953.637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1D0A4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132.175.228.137</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C51109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151.549.535.170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CF56E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172.845.504.276</w:t>
            </w:r>
          </w:p>
        </w:tc>
        <w:tc>
          <w:tcPr>
            <w:tcW w:w="0" w:type="auto"/>
            <w:vMerge/>
            <w:tcBorders>
              <w:top w:val="double" w:sz="4" w:space="0" w:color="C00000"/>
              <w:bottom w:val="double" w:sz="4" w:space="0" w:color="C00000"/>
            </w:tcBorders>
            <w:vAlign w:val="center"/>
            <w:hideMark/>
          </w:tcPr>
          <w:p w14:paraId="5E9F1C4B" w14:textId="77777777" w:rsidR="00856F66" w:rsidRPr="00E31657" w:rsidRDefault="00856F66" w:rsidP="00AE6E22">
            <w:pPr>
              <w:rPr>
                <w:rFonts w:cs="Arial"/>
                <w:b/>
                <w:bCs/>
                <w:sz w:val="16"/>
                <w:szCs w:val="16"/>
                <w:lang w:val="es-ES_tradnl" w:eastAsia="es-MX"/>
              </w:rPr>
            </w:pPr>
          </w:p>
        </w:tc>
      </w:tr>
      <w:tr w:rsidR="00856F66" w:rsidRPr="00E31657" w14:paraId="3ACD35E9"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03D4D5A"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Integración social</w:t>
            </w:r>
          </w:p>
        </w:tc>
      </w:tr>
      <w:tr w:rsidR="00856F66" w:rsidRPr="00E31657" w14:paraId="023A1714"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D99F8AB"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Aumentar en al menos 4 equipamientos la oferta de infraestructura para la prestación de servicios sociales con estándares de calidad</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6E5AD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44AAC0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FB5843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19E3AE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E4577D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A1281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310AFE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31.402.915.373</w:t>
            </w:r>
          </w:p>
        </w:tc>
      </w:tr>
      <w:tr w:rsidR="00856F66" w:rsidRPr="00E31657" w14:paraId="323672BE" w14:textId="77777777" w:rsidTr="00F974BB">
        <w:trPr>
          <w:trHeight w:val="540"/>
        </w:trPr>
        <w:tc>
          <w:tcPr>
            <w:tcW w:w="0" w:type="auto"/>
            <w:vMerge/>
            <w:tcBorders>
              <w:top w:val="double" w:sz="4" w:space="0" w:color="C00000"/>
              <w:bottom w:val="double" w:sz="4" w:space="0" w:color="C00000"/>
            </w:tcBorders>
            <w:vAlign w:val="center"/>
            <w:hideMark/>
          </w:tcPr>
          <w:p w14:paraId="09941709"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14473AA"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A15FE7E"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8D0E5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9.041.000.000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10BD5C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7.226.213.592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E140F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7.515.317.184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2AD88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7.620.384.597</w:t>
            </w:r>
          </w:p>
        </w:tc>
        <w:tc>
          <w:tcPr>
            <w:tcW w:w="0" w:type="auto"/>
            <w:vMerge/>
            <w:tcBorders>
              <w:top w:val="double" w:sz="4" w:space="0" w:color="C00000"/>
              <w:bottom w:val="double" w:sz="4" w:space="0" w:color="C00000"/>
            </w:tcBorders>
            <w:vAlign w:val="center"/>
            <w:hideMark/>
          </w:tcPr>
          <w:p w14:paraId="0652D15C" w14:textId="77777777" w:rsidR="00856F66" w:rsidRPr="00E31657" w:rsidRDefault="00856F66" w:rsidP="00AE6E22">
            <w:pPr>
              <w:rPr>
                <w:rFonts w:cs="Arial"/>
                <w:b/>
                <w:bCs/>
                <w:sz w:val="16"/>
                <w:szCs w:val="16"/>
                <w:lang w:val="es-ES_tradnl" w:eastAsia="es-MX"/>
              </w:rPr>
            </w:pPr>
          </w:p>
        </w:tc>
      </w:tr>
      <w:tr w:rsidR="00856F66" w:rsidRPr="00E31657" w14:paraId="33579A3C"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DDC9EF7"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Realizar 1400 optimizaciones en unidades operativas para la prestación de servicios sociales a través del mantenimiento reforzamiento y adecuación de las infraestructuras.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43CB4F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69B7F5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14272E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D3E27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5489222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BEF63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9CB9D2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204.204.546.327</w:t>
            </w:r>
          </w:p>
        </w:tc>
      </w:tr>
      <w:tr w:rsidR="00856F66" w:rsidRPr="00E31657" w14:paraId="5510846B" w14:textId="77777777" w:rsidTr="00F974BB">
        <w:trPr>
          <w:trHeight w:val="540"/>
        </w:trPr>
        <w:tc>
          <w:tcPr>
            <w:tcW w:w="0" w:type="auto"/>
            <w:vMerge/>
            <w:tcBorders>
              <w:top w:val="double" w:sz="4" w:space="0" w:color="C00000"/>
              <w:bottom w:val="double" w:sz="4" w:space="0" w:color="C00000"/>
            </w:tcBorders>
            <w:vAlign w:val="center"/>
            <w:hideMark/>
          </w:tcPr>
          <w:p w14:paraId="42C4BFD2"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0FFB4D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3CC9052E"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6D8793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49.422.000.000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9AF4C6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49.684.466.019</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514182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52.235.837.496</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EEFD4E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52.862.242.811</w:t>
            </w:r>
          </w:p>
        </w:tc>
        <w:tc>
          <w:tcPr>
            <w:tcW w:w="0" w:type="auto"/>
            <w:vMerge/>
            <w:tcBorders>
              <w:top w:val="double" w:sz="4" w:space="0" w:color="C00000"/>
              <w:bottom w:val="double" w:sz="4" w:space="0" w:color="C00000"/>
            </w:tcBorders>
            <w:vAlign w:val="center"/>
            <w:hideMark/>
          </w:tcPr>
          <w:p w14:paraId="11C887DB" w14:textId="77777777" w:rsidR="00856F66" w:rsidRPr="00E31657" w:rsidRDefault="00856F66" w:rsidP="00AE6E22">
            <w:pPr>
              <w:rPr>
                <w:rFonts w:cs="Arial"/>
                <w:b/>
                <w:bCs/>
                <w:sz w:val="16"/>
                <w:szCs w:val="16"/>
                <w:lang w:val="es-ES_tradnl" w:eastAsia="es-MX"/>
              </w:rPr>
            </w:pPr>
          </w:p>
        </w:tc>
      </w:tr>
      <w:tr w:rsidR="00856F66" w:rsidRPr="00E31657" w14:paraId="39412BE3" w14:textId="77777777" w:rsidTr="00F974BB">
        <w:trPr>
          <w:trHeight w:val="315"/>
        </w:trPr>
        <w:tc>
          <w:tcPr>
            <w:tcW w:w="0" w:type="auto"/>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5B4EEFC"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Salud</w:t>
            </w:r>
          </w:p>
        </w:tc>
      </w:tr>
      <w:tr w:rsidR="00856F66" w:rsidRPr="00E31657" w14:paraId="3468AB7D" w14:textId="77777777" w:rsidTr="00156332">
        <w:trPr>
          <w:trHeight w:val="602"/>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43D8480"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Culminar la construcción de 4 infraestructuras hospitalarias en curso y avanzar en el diseño de 2 infraestructuras en Salud viabilizadas en Bogotá D.C.</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710DE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D383A9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712DB19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102C0C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1AB554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4F4939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35CDD4C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1.075.968.338.784</w:t>
            </w:r>
          </w:p>
        </w:tc>
      </w:tr>
      <w:tr w:rsidR="00856F66" w:rsidRPr="00E31657" w14:paraId="7B8AFFCC" w14:textId="77777777" w:rsidTr="00156332">
        <w:trPr>
          <w:trHeight w:val="1688"/>
        </w:trPr>
        <w:tc>
          <w:tcPr>
            <w:tcW w:w="0" w:type="auto"/>
            <w:vMerge/>
            <w:tcBorders>
              <w:top w:val="double" w:sz="4" w:space="0" w:color="C00000"/>
              <w:bottom w:val="double" w:sz="4" w:space="0" w:color="C00000"/>
            </w:tcBorders>
            <w:vAlign w:val="center"/>
            <w:hideMark/>
          </w:tcPr>
          <w:p w14:paraId="2E87A20B" w14:textId="77777777" w:rsidR="00856F66" w:rsidRPr="00E31657" w:rsidRDefault="00856F66" w:rsidP="00B26C9A">
            <w:pPr>
              <w:jc w:val="right"/>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24604C5A"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1D5DCFB2"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2F59F9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332.581.773.000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13F7C84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192.839.305.224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3CB51F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256.666.837.373</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4A153C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293.880.423.187</w:t>
            </w:r>
          </w:p>
        </w:tc>
        <w:tc>
          <w:tcPr>
            <w:tcW w:w="0" w:type="auto"/>
            <w:vMerge/>
            <w:tcBorders>
              <w:top w:val="double" w:sz="4" w:space="0" w:color="C00000"/>
              <w:bottom w:val="double" w:sz="4" w:space="0" w:color="C00000"/>
            </w:tcBorders>
            <w:vAlign w:val="center"/>
            <w:hideMark/>
          </w:tcPr>
          <w:p w14:paraId="2BD09258" w14:textId="77777777" w:rsidR="00856F66" w:rsidRPr="00E31657" w:rsidRDefault="00856F66" w:rsidP="00AE6E22">
            <w:pPr>
              <w:rPr>
                <w:rFonts w:cs="Arial"/>
                <w:b/>
                <w:bCs/>
                <w:sz w:val="16"/>
                <w:szCs w:val="16"/>
                <w:lang w:val="es-ES_tradnl" w:eastAsia="es-MX"/>
              </w:rPr>
            </w:pPr>
          </w:p>
        </w:tc>
      </w:tr>
      <w:tr w:rsidR="00856F66" w:rsidRPr="00E31657" w14:paraId="4C612A1B" w14:textId="77777777" w:rsidTr="00F974BB">
        <w:trPr>
          <w:trHeight w:val="540"/>
        </w:trPr>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1E844067" w14:textId="77777777" w:rsidR="00856F66" w:rsidRPr="00E31657" w:rsidRDefault="00856F66" w:rsidP="00B26C9A">
            <w:pPr>
              <w:jc w:val="right"/>
              <w:rPr>
                <w:rFonts w:cs="Arial"/>
                <w:sz w:val="16"/>
                <w:szCs w:val="16"/>
                <w:lang w:val="es-ES_tradnl" w:eastAsia="es-MX"/>
              </w:rPr>
            </w:pPr>
            <w:r w:rsidRPr="00E31657">
              <w:rPr>
                <w:rFonts w:cs="Arial"/>
                <w:sz w:val="16"/>
                <w:szCs w:val="16"/>
                <w:lang w:val="es-ES_tradnl" w:eastAsia="es-MX"/>
              </w:rPr>
              <w:t>Mejorar dotar o reponer 100% de las infraestructuras de Unidades de Servicios de Salud viabilizadas.</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52A77C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7E66905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FBD8E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5FFD7E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30A75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634900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Borders>
              <w:top w:val="double" w:sz="4" w:space="0" w:color="C00000"/>
              <w:bottom w:val="double" w:sz="4" w:space="0" w:color="C00000"/>
            </w:tcBorders>
            <w:tcMar>
              <w:top w:w="30" w:type="dxa"/>
              <w:left w:w="45" w:type="dxa"/>
              <w:bottom w:w="30" w:type="dxa"/>
              <w:right w:w="45" w:type="dxa"/>
            </w:tcMar>
            <w:vAlign w:val="center"/>
            <w:hideMark/>
          </w:tcPr>
          <w:p w14:paraId="02AD45F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184.001.093.839</w:t>
            </w:r>
          </w:p>
        </w:tc>
      </w:tr>
      <w:tr w:rsidR="00856F66" w:rsidRPr="00E31657" w14:paraId="5656DDBD" w14:textId="77777777" w:rsidTr="00156332">
        <w:trPr>
          <w:trHeight w:val="1328"/>
        </w:trPr>
        <w:tc>
          <w:tcPr>
            <w:tcW w:w="0" w:type="auto"/>
            <w:vMerge/>
            <w:tcBorders>
              <w:top w:val="double" w:sz="4" w:space="0" w:color="C00000"/>
              <w:bottom w:val="double" w:sz="4" w:space="0" w:color="C00000"/>
            </w:tcBorders>
            <w:vAlign w:val="center"/>
            <w:hideMark/>
          </w:tcPr>
          <w:p w14:paraId="46993BCE"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7F983130"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bottom w:val="double" w:sz="4" w:space="0" w:color="C00000"/>
            </w:tcBorders>
            <w:vAlign w:val="center"/>
            <w:hideMark/>
          </w:tcPr>
          <w:p w14:paraId="0CA3F919" w14:textId="77777777" w:rsidR="00856F66" w:rsidRPr="00E31657" w:rsidRDefault="00856F66" w:rsidP="00AE6E22">
            <w:pPr>
              <w:rPr>
                <w:rFonts w:cs="Arial"/>
                <w:sz w:val="16"/>
                <w:szCs w:val="16"/>
                <w:lang w:val="es-ES_tradnl" w:eastAsia="es-MX"/>
              </w:rPr>
            </w:pP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997F4E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259AD3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94.858.387.401</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3FB48FB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69.408.297.854</w:t>
            </w:r>
          </w:p>
        </w:tc>
        <w:tc>
          <w:tcPr>
            <w:tcW w:w="0" w:type="auto"/>
            <w:tcBorders>
              <w:top w:val="double" w:sz="4" w:space="0" w:color="C00000"/>
              <w:bottom w:val="double" w:sz="4" w:space="0" w:color="C00000"/>
            </w:tcBorders>
            <w:tcMar>
              <w:top w:w="30" w:type="dxa"/>
              <w:left w:w="45" w:type="dxa"/>
              <w:bottom w:w="30" w:type="dxa"/>
              <w:right w:w="45" w:type="dxa"/>
            </w:tcMar>
            <w:vAlign w:val="center"/>
            <w:hideMark/>
          </w:tcPr>
          <w:p w14:paraId="0CF93D7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19.734.408.584</w:t>
            </w:r>
          </w:p>
        </w:tc>
        <w:tc>
          <w:tcPr>
            <w:tcW w:w="0" w:type="auto"/>
            <w:vMerge/>
            <w:tcBorders>
              <w:top w:val="double" w:sz="4" w:space="0" w:color="C00000"/>
              <w:bottom w:val="double" w:sz="4" w:space="0" w:color="C00000"/>
            </w:tcBorders>
            <w:vAlign w:val="center"/>
            <w:hideMark/>
          </w:tcPr>
          <w:p w14:paraId="50B8A320" w14:textId="77777777" w:rsidR="00856F66" w:rsidRPr="00E31657" w:rsidRDefault="00856F66" w:rsidP="00AE6E22">
            <w:pPr>
              <w:rPr>
                <w:rFonts w:cs="Arial"/>
                <w:b/>
                <w:bCs/>
                <w:sz w:val="16"/>
                <w:szCs w:val="16"/>
                <w:lang w:val="es-ES_tradnl" w:eastAsia="es-MX"/>
              </w:rPr>
            </w:pPr>
          </w:p>
        </w:tc>
      </w:tr>
    </w:tbl>
    <w:p w14:paraId="5D8570B4" w14:textId="77777777" w:rsidR="00856F66" w:rsidRDefault="00856F66">
      <w:pPr>
        <w:rPr>
          <w:sz w:val="16"/>
          <w:szCs w:val="16"/>
          <w:lang w:val="es-ES_tradnl"/>
        </w:rPr>
      </w:pPr>
    </w:p>
    <w:p w14:paraId="63418972" w14:textId="77777777" w:rsidR="00856F66" w:rsidRDefault="00856F66">
      <w:pPr>
        <w:rPr>
          <w:sz w:val="16"/>
          <w:szCs w:val="16"/>
          <w:lang w:val="es-ES_tradnl"/>
        </w:rPr>
      </w:pPr>
    </w:p>
    <w:p w14:paraId="6442D55F" w14:textId="77777777" w:rsidR="00856F66" w:rsidRPr="00E31657" w:rsidRDefault="00856F66">
      <w:pPr>
        <w:rPr>
          <w:sz w:val="16"/>
          <w:szCs w:val="16"/>
          <w:lang w:val="es-ES_tradnl"/>
        </w:rPr>
      </w:pPr>
    </w:p>
    <w:tbl>
      <w:tblPr>
        <w:tblW w:w="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683"/>
        <w:gridCol w:w="1280"/>
        <w:gridCol w:w="1065"/>
        <w:gridCol w:w="1063"/>
        <w:gridCol w:w="1064"/>
        <w:gridCol w:w="1038"/>
        <w:gridCol w:w="1058"/>
        <w:gridCol w:w="1109"/>
      </w:tblGrid>
      <w:tr w:rsidR="00856F66" w:rsidRPr="00E31657" w14:paraId="7459E494" w14:textId="77777777" w:rsidTr="00F974BB">
        <w:trPr>
          <w:trHeight w:val="315"/>
        </w:trPr>
        <w:tc>
          <w:tcPr>
            <w:tcW w:w="0" w:type="auto"/>
            <w:gridSpan w:val="8"/>
            <w:tcMar>
              <w:top w:w="30" w:type="dxa"/>
              <w:left w:w="45" w:type="dxa"/>
              <w:bottom w:w="30" w:type="dxa"/>
              <w:right w:w="45" w:type="dxa"/>
            </w:tcMar>
            <w:vAlign w:val="center"/>
            <w:hideMark/>
          </w:tcPr>
          <w:p w14:paraId="73007A1F"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lastRenderedPageBreak/>
              <w:t xml:space="preserve">Programa 31. </w:t>
            </w:r>
            <w:r w:rsidRPr="00E31657">
              <w:rPr>
                <w:rFonts w:cs="Arial"/>
                <w:lang w:val="es-ES_tradnl" w:eastAsia="es-MX"/>
              </w:rPr>
              <w:t>Acceso equitativo de vivienda urbana y rural</w:t>
            </w:r>
          </w:p>
        </w:tc>
      </w:tr>
      <w:tr w:rsidR="00856F66" w:rsidRPr="00E31657" w14:paraId="1F835F97" w14:textId="77777777" w:rsidTr="00F974BB">
        <w:trPr>
          <w:trHeight w:val="315"/>
        </w:trPr>
        <w:tc>
          <w:tcPr>
            <w:tcW w:w="0" w:type="auto"/>
            <w:vMerge w:val="restart"/>
            <w:shd w:val="clear" w:color="auto" w:fill="C00000"/>
            <w:tcMar>
              <w:top w:w="30" w:type="dxa"/>
              <w:left w:w="45" w:type="dxa"/>
              <w:bottom w:w="30" w:type="dxa"/>
              <w:right w:w="45" w:type="dxa"/>
            </w:tcMar>
            <w:vAlign w:val="center"/>
            <w:hideMark/>
          </w:tcPr>
          <w:p w14:paraId="37A30291" w14:textId="7BAF547D"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 xml:space="preserve">Sector / </w:t>
            </w:r>
            <w:r w:rsidR="00EF34C0">
              <w:rPr>
                <w:rFonts w:ascii="Candara" w:eastAsia="Times New Roman" w:hAnsi="Candara"/>
                <w:b/>
                <w:bCs/>
                <w:color w:val="FFFFFF" w:themeColor="background1"/>
                <w:sz w:val="24"/>
                <w:szCs w:val="24"/>
                <w:lang w:val="es-ES_tradnl" w:eastAsia="es-MX"/>
              </w:rPr>
              <w:br/>
            </w:r>
            <w:r w:rsidRPr="00EF34C0">
              <w:rPr>
                <w:rFonts w:ascii="Candara" w:eastAsia="Times New Roman" w:hAnsi="Candara"/>
                <w:b/>
                <w:bCs/>
                <w:color w:val="FFFFFF" w:themeColor="background1"/>
                <w:sz w:val="24"/>
                <w:szCs w:val="24"/>
                <w:lang w:val="es-ES_tradnl" w:eastAsia="es-MX"/>
              </w:rPr>
              <w:t>Metas</w:t>
            </w:r>
          </w:p>
        </w:tc>
        <w:tc>
          <w:tcPr>
            <w:tcW w:w="0" w:type="auto"/>
            <w:gridSpan w:val="7"/>
            <w:shd w:val="clear" w:color="auto" w:fill="C00000"/>
            <w:tcMar>
              <w:top w:w="30" w:type="dxa"/>
              <w:left w:w="45" w:type="dxa"/>
              <w:bottom w:w="30" w:type="dxa"/>
              <w:right w:w="45" w:type="dxa"/>
            </w:tcMar>
            <w:vAlign w:val="center"/>
            <w:hideMark/>
          </w:tcPr>
          <w:p w14:paraId="03A657CF"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2F9FE7BD" w14:textId="77777777" w:rsidTr="00F974BB">
        <w:trPr>
          <w:trHeight w:val="315"/>
        </w:trPr>
        <w:tc>
          <w:tcPr>
            <w:tcW w:w="0" w:type="auto"/>
            <w:vMerge/>
            <w:shd w:val="clear" w:color="auto" w:fill="C00000"/>
            <w:vAlign w:val="center"/>
            <w:hideMark/>
          </w:tcPr>
          <w:p w14:paraId="0DF6F0F6" w14:textId="77777777" w:rsidR="00856F66" w:rsidRPr="00E31657" w:rsidRDefault="00856F66" w:rsidP="00AE6E2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5586BD5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2D19D63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533BFD9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3F7D064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3A671CB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20C4D45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3A14161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615833CC"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248A1BC6"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Hábitat</w:t>
            </w:r>
          </w:p>
        </w:tc>
      </w:tr>
      <w:tr w:rsidR="00856F66" w:rsidRPr="00E31657" w14:paraId="1C043FB0" w14:textId="77777777" w:rsidTr="00F974BB">
        <w:trPr>
          <w:trHeight w:val="315"/>
        </w:trPr>
        <w:tc>
          <w:tcPr>
            <w:tcW w:w="0" w:type="auto"/>
            <w:vMerge w:val="restart"/>
            <w:tcMar>
              <w:top w:w="30" w:type="dxa"/>
              <w:left w:w="45" w:type="dxa"/>
              <w:bottom w:w="30" w:type="dxa"/>
              <w:right w:w="45" w:type="dxa"/>
            </w:tcMar>
            <w:vAlign w:val="center"/>
            <w:hideMark/>
          </w:tcPr>
          <w:p w14:paraId="0FC81425"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Ejecutar 48 Trámites y/o Otros Procedimientos Administrativos en la Herramienta Tecnológica -Ventanilla Única de la Construcción</w:t>
            </w:r>
          </w:p>
        </w:tc>
        <w:tc>
          <w:tcPr>
            <w:tcW w:w="0" w:type="auto"/>
            <w:vMerge w:val="restart"/>
            <w:tcMar>
              <w:top w:w="30" w:type="dxa"/>
              <w:left w:w="45" w:type="dxa"/>
              <w:bottom w:w="30" w:type="dxa"/>
              <w:right w:w="45" w:type="dxa"/>
            </w:tcMar>
            <w:vAlign w:val="center"/>
            <w:hideMark/>
          </w:tcPr>
          <w:p w14:paraId="09B98C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2E55F2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SDHT (VUC)</w:t>
            </w:r>
          </w:p>
        </w:tc>
        <w:tc>
          <w:tcPr>
            <w:tcW w:w="0" w:type="auto"/>
            <w:tcMar>
              <w:top w:w="30" w:type="dxa"/>
              <w:left w:w="45" w:type="dxa"/>
              <w:bottom w:w="30" w:type="dxa"/>
              <w:right w:w="45" w:type="dxa"/>
            </w:tcMar>
            <w:vAlign w:val="center"/>
            <w:hideMark/>
          </w:tcPr>
          <w:p w14:paraId="323A9C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Mar>
              <w:top w:w="30" w:type="dxa"/>
              <w:left w:w="45" w:type="dxa"/>
              <w:bottom w:w="30" w:type="dxa"/>
              <w:right w:w="45" w:type="dxa"/>
            </w:tcMar>
            <w:vAlign w:val="center"/>
            <w:hideMark/>
          </w:tcPr>
          <w:p w14:paraId="0D861C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w:t>
            </w:r>
          </w:p>
        </w:tc>
        <w:tc>
          <w:tcPr>
            <w:tcW w:w="0" w:type="auto"/>
            <w:tcMar>
              <w:top w:w="30" w:type="dxa"/>
              <w:left w:w="45" w:type="dxa"/>
              <w:bottom w:w="30" w:type="dxa"/>
              <w:right w:w="45" w:type="dxa"/>
            </w:tcMar>
            <w:vAlign w:val="center"/>
            <w:hideMark/>
          </w:tcPr>
          <w:p w14:paraId="6D021B8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w:t>
            </w:r>
          </w:p>
        </w:tc>
        <w:tc>
          <w:tcPr>
            <w:tcW w:w="0" w:type="auto"/>
            <w:tcMar>
              <w:top w:w="30" w:type="dxa"/>
              <w:left w:w="45" w:type="dxa"/>
              <w:bottom w:w="30" w:type="dxa"/>
              <w:right w:w="45" w:type="dxa"/>
            </w:tcMar>
            <w:vAlign w:val="center"/>
            <w:hideMark/>
          </w:tcPr>
          <w:p w14:paraId="04E6B6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w:t>
            </w:r>
          </w:p>
        </w:tc>
        <w:tc>
          <w:tcPr>
            <w:tcW w:w="0" w:type="auto"/>
            <w:vMerge w:val="restart"/>
            <w:tcMar>
              <w:top w:w="30" w:type="dxa"/>
              <w:left w:w="45" w:type="dxa"/>
              <w:bottom w:w="30" w:type="dxa"/>
              <w:right w:w="45" w:type="dxa"/>
            </w:tcMar>
            <w:vAlign w:val="center"/>
            <w:hideMark/>
          </w:tcPr>
          <w:p w14:paraId="21F0554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7.765.811.355</w:t>
            </w:r>
          </w:p>
        </w:tc>
      </w:tr>
      <w:tr w:rsidR="00856F66" w:rsidRPr="00E31657" w14:paraId="7FB41C56" w14:textId="77777777" w:rsidTr="009B211D">
        <w:trPr>
          <w:trHeight w:val="1781"/>
        </w:trPr>
        <w:tc>
          <w:tcPr>
            <w:tcW w:w="0" w:type="auto"/>
            <w:vMerge/>
            <w:vAlign w:val="center"/>
            <w:hideMark/>
          </w:tcPr>
          <w:p w14:paraId="6A0C13EF" w14:textId="77777777" w:rsidR="00856F66" w:rsidRPr="00E31657" w:rsidRDefault="00856F66" w:rsidP="00072173">
            <w:pPr>
              <w:jc w:val="right"/>
              <w:rPr>
                <w:rFonts w:cs="Arial"/>
                <w:sz w:val="16"/>
                <w:szCs w:val="16"/>
                <w:lang w:val="es-ES_tradnl" w:eastAsia="es-MX"/>
              </w:rPr>
            </w:pPr>
          </w:p>
        </w:tc>
        <w:tc>
          <w:tcPr>
            <w:tcW w:w="0" w:type="auto"/>
            <w:vMerge/>
            <w:vAlign w:val="center"/>
            <w:hideMark/>
          </w:tcPr>
          <w:p w14:paraId="6C659F39" w14:textId="77777777" w:rsidR="00856F66" w:rsidRPr="00E31657" w:rsidRDefault="00856F66" w:rsidP="00AE6E22">
            <w:pPr>
              <w:rPr>
                <w:rFonts w:cs="Arial"/>
                <w:sz w:val="16"/>
                <w:szCs w:val="16"/>
                <w:lang w:val="es-ES_tradnl" w:eastAsia="es-MX"/>
              </w:rPr>
            </w:pPr>
          </w:p>
        </w:tc>
        <w:tc>
          <w:tcPr>
            <w:tcW w:w="0" w:type="auto"/>
            <w:vMerge/>
            <w:vAlign w:val="center"/>
            <w:hideMark/>
          </w:tcPr>
          <w:p w14:paraId="119A4106"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65BD4BA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972.000.000</w:t>
            </w:r>
          </w:p>
        </w:tc>
        <w:tc>
          <w:tcPr>
            <w:tcW w:w="0" w:type="auto"/>
            <w:tcMar>
              <w:top w:w="30" w:type="dxa"/>
              <w:left w:w="45" w:type="dxa"/>
              <w:bottom w:w="30" w:type="dxa"/>
              <w:right w:w="45" w:type="dxa"/>
            </w:tcMar>
            <w:vAlign w:val="center"/>
            <w:hideMark/>
          </w:tcPr>
          <w:p w14:paraId="2A0B787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2.406.796.117</w:t>
            </w:r>
          </w:p>
        </w:tc>
        <w:tc>
          <w:tcPr>
            <w:tcW w:w="0" w:type="auto"/>
            <w:tcMar>
              <w:top w:w="30" w:type="dxa"/>
              <w:left w:w="45" w:type="dxa"/>
              <w:bottom w:w="30" w:type="dxa"/>
              <w:right w:w="45" w:type="dxa"/>
            </w:tcMar>
            <w:vAlign w:val="center"/>
            <w:hideMark/>
          </w:tcPr>
          <w:p w14:paraId="151A502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2.099.161.090</w:t>
            </w:r>
          </w:p>
        </w:tc>
        <w:tc>
          <w:tcPr>
            <w:tcW w:w="0" w:type="auto"/>
            <w:tcMar>
              <w:top w:w="30" w:type="dxa"/>
              <w:left w:w="45" w:type="dxa"/>
              <w:bottom w:w="30" w:type="dxa"/>
              <w:right w:w="45" w:type="dxa"/>
            </w:tcMar>
            <w:vAlign w:val="center"/>
            <w:hideMark/>
          </w:tcPr>
          <w:p w14:paraId="2D8245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2.287.854.148</w:t>
            </w:r>
          </w:p>
        </w:tc>
        <w:tc>
          <w:tcPr>
            <w:tcW w:w="0" w:type="auto"/>
            <w:vMerge/>
            <w:vAlign w:val="center"/>
            <w:hideMark/>
          </w:tcPr>
          <w:p w14:paraId="79B7152B" w14:textId="77777777" w:rsidR="00856F66" w:rsidRPr="00E31657" w:rsidRDefault="00856F66" w:rsidP="00AE6E22">
            <w:pPr>
              <w:rPr>
                <w:rFonts w:cs="Arial"/>
                <w:b/>
                <w:bCs/>
                <w:sz w:val="16"/>
                <w:szCs w:val="16"/>
                <w:lang w:val="es-ES_tradnl" w:eastAsia="es-MX"/>
              </w:rPr>
            </w:pPr>
          </w:p>
        </w:tc>
      </w:tr>
      <w:tr w:rsidR="00856F66" w:rsidRPr="00E31657" w14:paraId="332A3C6A" w14:textId="77777777" w:rsidTr="00F974BB">
        <w:trPr>
          <w:trHeight w:val="315"/>
        </w:trPr>
        <w:tc>
          <w:tcPr>
            <w:tcW w:w="0" w:type="auto"/>
            <w:vMerge w:val="restart"/>
            <w:tcMar>
              <w:top w:w="30" w:type="dxa"/>
              <w:left w:w="45" w:type="dxa"/>
              <w:bottom w:w="30" w:type="dxa"/>
              <w:right w:w="45" w:type="dxa"/>
            </w:tcMar>
            <w:vAlign w:val="center"/>
            <w:hideMark/>
          </w:tcPr>
          <w:p w14:paraId="3BB00A0D"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Gestionar 90 hectáreas de suelo útil habilitado para la producción de soluciones habitacionales con soportes urbanos adecuados.</w:t>
            </w:r>
          </w:p>
        </w:tc>
        <w:tc>
          <w:tcPr>
            <w:tcW w:w="0" w:type="auto"/>
            <w:vMerge w:val="restart"/>
            <w:tcMar>
              <w:top w:w="30" w:type="dxa"/>
              <w:left w:w="45" w:type="dxa"/>
              <w:bottom w:w="30" w:type="dxa"/>
              <w:right w:w="45" w:type="dxa"/>
            </w:tcMar>
            <w:vAlign w:val="center"/>
            <w:hideMark/>
          </w:tcPr>
          <w:p w14:paraId="6B7E637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118,61</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6ABAEF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SDHT (Segplan)</w:t>
            </w:r>
          </w:p>
        </w:tc>
        <w:tc>
          <w:tcPr>
            <w:tcW w:w="0" w:type="auto"/>
            <w:tcMar>
              <w:top w:w="30" w:type="dxa"/>
              <w:left w:w="45" w:type="dxa"/>
              <w:bottom w:w="30" w:type="dxa"/>
              <w:right w:w="45" w:type="dxa"/>
            </w:tcMar>
            <w:vAlign w:val="center"/>
            <w:hideMark/>
          </w:tcPr>
          <w:p w14:paraId="207474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0" w:type="auto"/>
            <w:tcMar>
              <w:top w:w="30" w:type="dxa"/>
              <w:left w:w="45" w:type="dxa"/>
              <w:bottom w:w="30" w:type="dxa"/>
              <w:right w:w="45" w:type="dxa"/>
            </w:tcMar>
            <w:vAlign w:val="center"/>
            <w:hideMark/>
          </w:tcPr>
          <w:p w14:paraId="2E9D46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6298D3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w:t>
            </w:r>
          </w:p>
        </w:tc>
        <w:tc>
          <w:tcPr>
            <w:tcW w:w="0" w:type="auto"/>
            <w:tcMar>
              <w:top w:w="30" w:type="dxa"/>
              <w:left w:w="45" w:type="dxa"/>
              <w:bottom w:w="30" w:type="dxa"/>
              <w:right w:w="45" w:type="dxa"/>
            </w:tcMar>
            <w:vAlign w:val="center"/>
            <w:hideMark/>
          </w:tcPr>
          <w:p w14:paraId="1BF402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0" w:type="auto"/>
            <w:vMerge w:val="restart"/>
            <w:tcMar>
              <w:top w:w="30" w:type="dxa"/>
              <w:left w:w="45" w:type="dxa"/>
              <w:bottom w:w="30" w:type="dxa"/>
              <w:right w:w="45" w:type="dxa"/>
            </w:tcMar>
            <w:vAlign w:val="center"/>
            <w:hideMark/>
          </w:tcPr>
          <w:p w14:paraId="7B136C2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11.343.506.093</w:t>
            </w:r>
          </w:p>
        </w:tc>
      </w:tr>
      <w:tr w:rsidR="00856F66" w:rsidRPr="00E31657" w14:paraId="7D087F96" w14:textId="77777777" w:rsidTr="009B211D">
        <w:trPr>
          <w:trHeight w:val="1784"/>
        </w:trPr>
        <w:tc>
          <w:tcPr>
            <w:tcW w:w="0" w:type="auto"/>
            <w:vMerge/>
            <w:vAlign w:val="center"/>
            <w:hideMark/>
          </w:tcPr>
          <w:p w14:paraId="765C735D" w14:textId="77777777" w:rsidR="00856F66" w:rsidRPr="00E31657" w:rsidRDefault="00856F66" w:rsidP="00072173">
            <w:pPr>
              <w:jc w:val="right"/>
              <w:rPr>
                <w:rFonts w:cs="Arial"/>
                <w:sz w:val="16"/>
                <w:szCs w:val="16"/>
                <w:lang w:val="es-ES_tradnl" w:eastAsia="es-MX"/>
              </w:rPr>
            </w:pPr>
          </w:p>
        </w:tc>
        <w:tc>
          <w:tcPr>
            <w:tcW w:w="0" w:type="auto"/>
            <w:vMerge/>
            <w:vAlign w:val="center"/>
            <w:hideMark/>
          </w:tcPr>
          <w:p w14:paraId="53C2B437" w14:textId="77777777" w:rsidR="00856F66" w:rsidRPr="00E31657" w:rsidRDefault="00856F66" w:rsidP="00AE6E22">
            <w:pPr>
              <w:rPr>
                <w:rFonts w:cs="Arial"/>
                <w:sz w:val="16"/>
                <w:szCs w:val="16"/>
                <w:lang w:val="es-ES_tradnl" w:eastAsia="es-MX"/>
              </w:rPr>
            </w:pPr>
          </w:p>
        </w:tc>
        <w:tc>
          <w:tcPr>
            <w:tcW w:w="0" w:type="auto"/>
            <w:vMerge/>
            <w:vAlign w:val="center"/>
            <w:hideMark/>
          </w:tcPr>
          <w:p w14:paraId="6F887E84"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626A744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2.266.000.000</w:t>
            </w:r>
          </w:p>
        </w:tc>
        <w:tc>
          <w:tcPr>
            <w:tcW w:w="0" w:type="auto"/>
            <w:tcMar>
              <w:top w:w="30" w:type="dxa"/>
              <w:left w:w="45" w:type="dxa"/>
              <w:bottom w:w="30" w:type="dxa"/>
              <w:right w:w="45" w:type="dxa"/>
            </w:tcMar>
            <w:vAlign w:val="center"/>
            <w:hideMark/>
          </w:tcPr>
          <w:p w14:paraId="28FCB2F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3.631.067.961</w:t>
            </w:r>
          </w:p>
        </w:tc>
        <w:tc>
          <w:tcPr>
            <w:tcW w:w="0" w:type="auto"/>
            <w:tcMar>
              <w:top w:w="30" w:type="dxa"/>
              <w:left w:w="45" w:type="dxa"/>
              <w:bottom w:w="30" w:type="dxa"/>
              <w:right w:w="45" w:type="dxa"/>
            </w:tcMar>
            <w:vAlign w:val="center"/>
            <w:hideMark/>
          </w:tcPr>
          <w:p w14:paraId="016ABDB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2.685.455.745</w:t>
            </w:r>
          </w:p>
        </w:tc>
        <w:tc>
          <w:tcPr>
            <w:tcW w:w="0" w:type="auto"/>
            <w:tcMar>
              <w:top w:w="30" w:type="dxa"/>
              <w:left w:w="45" w:type="dxa"/>
              <w:bottom w:w="30" w:type="dxa"/>
              <w:right w:w="45" w:type="dxa"/>
            </w:tcMar>
            <w:vAlign w:val="center"/>
            <w:hideMark/>
          </w:tcPr>
          <w:p w14:paraId="76FE00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2.760.982.386</w:t>
            </w:r>
          </w:p>
        </w:tc>
        <w:tc>
          <w:tcPr>
            <w:tcW w:w="0" w:type="auto"/>
            <w:vMerge/>
            <w:vAlign w:val="center"/>
            <w:hideMark/>
          </w:tcPr>
          <w:p w14:paraId="095AD776" w14:textId="77777777" w:rsidR="00856F66" w:rsidRPr="00E31657" w:rsidRDefault="00856F66" w:rsidP="00AE6E22">
            <w:pPr>
              <w:rPr>
                <w:rFonts w:cs="Arial"/>
                <w:b/>
                <w:bCs/>
                <w:sz w:val="16"/>
                <w:szCs w:val="16"/>
                <w:lang w:val="es-ES_tradnl" w:eastAsia="es-MX"/>
              </w:rPr>
            </w:pPr>
          </w:p>
        </w:tc>
      </w:tr>
      <w:tr w:rsidR="00856F66" w:rsidRPr="00E31657" w14:paraId="0D9EE521" w14:textId="77777777" w:rsidTr="00F974BB">
        <w:trPr>
          <w:trHeight w:val="315"/>
        </w:trPr>
        <w:tc>
          <w:tcPr>
            <w:tcW w:w="0" w:type="auto"/>
            <w:vMerge w:val="restart"/>
            <w:tcMar>
              <w:top w:w="30" w:type="dxa"/>
              <w:left w:w="45" w:type="dxa"/>
              <w:bottom w:w="30" w:type="dxa"/>
              <w:right w:w="45" w:type="dxa"/>
            </w:tcMar>
            <w:vAlign w:val="center"/>
            <w:hideMark/>
          </w:tcPr>
          <w:p w14:paraId="4A13A6C3"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Mejorar 22.000 M2 de fachadas de vivienda en estratos 1 y 2.</w:t>
            </w:r>
          </w:p>
        </w:tc>
        <w:tc>
          <w:tcPr>
            <w:tcW w:w="0" w:type="auto"/>
            <w:vMerge w:val="restart"/>
            <w:tcMar>
              <w:top w:w="30" w:type="dxa"/>
              <w:left w:w="45" w:type="dxa"/>
              <w:bottom w:w="30" w:type="dxa"/>
              <w:right w:w="45" w:type="dxa"/>
            </w:tcMar>
            <w:vAlign w:val="center"/>
            <w:hideMark/>
          </w:tcPr>
          <w:p w14:paraId="6EF157A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3BBDD4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7C8A48C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1.100</w:t>
            </w:r>
          </w:p>
        </w:tc>
        <w:tc>
          <w:tcPr>
            <w:tcW w:w="0" w:type="auto"/>
            <w:tcMar>
              <w:top w:w="30" w:type="dxa"/>
              <w:left w:w="45" w:type="dxa"/>
              <w:bottom w:w="30" w:type="dxa"/>
              <w:right w:w="45" w:type="dxa"/>
            </w:tcMar>
            <w:vAlign w:val="center"/>
            <w:hideMark/>
          </w:tcPr>
          <w:p w14:paraId="601636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8.800</w:t>
            </w:r>
          </w:p>
        </w:tc>
        <w:tc>
          <w:tcPr>
            <w:tcW w:w="0" w:type="auto"/>
            <w:tcMar>
              <w:top w:w="30" w:type="dxa"/>
              <w:left w:w="45" w:type="dxa"/>
              <w:bottom w:w="30" w:type="dxa"/>
              <w:right w:w="45" w:type="dxa"/>
            </w:tcMar>
            <w:vAlign w:val="center"/>
            <w:hideMark/>
          </w:tcPr>
          <w:p w14:paraId="4F321E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11.000</w:t>
            </w:r>
          </w:p>
        </w:tc>
        <w:tc>
          <w:tcPr>
            <w:tcW w:w="0" w:type="auto"/>
            <w:tcMar>
              <w:top w:w="30" w:type="dxa"/>
              <w:left w:w="45" w:type="dxa"/>
              <w:bottom w:w="30" w:type="dxa"/>
              <w:right w:w="45" w:type="dxa"/>
            </w:tcMar>
            <w:vAlign w:val="center"/>
            <w:hideMark/>
          </w:tcPr>
          <w:p w14:paraId="50C5417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1.100</w:t>
            </w:r>
          </w:p>
        </w:tc>
        <w:tc>
          <w:tcPr>
            <w:tcW w:w="0" w:type="auto"/>
            <w:vMerge w:val="restart"/>
            <w:tcMar>
              <w:top w:w="30" w:type="dxa"/>
              <w:left w:w="45" w:type="dxa"/>
              <w:bottom w:w="30" w:type="dxa"/>
              <w:right w:w="45" w:type="dxa"/>
            </w:tcMar>
            <w:vAlign w:val="center"/>
            <w:hideMark/>
          </w:tcPr>
          <w:p w14:paraId="3A6D493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3.677.147.311</w:t>
            </w:r>
          </w:p>
        </w:tc>
      </w:tr>
      <w:tr w:rsidR="00856F66" w:rsidRPr="00E31657" w14:paraId="1223A0E5" w14:textId="77777777" w:rsidTr="00F974BB">
        <w:trPr>
          <w:trHeight w:val="315"/>
        </w:trPr>
        <w:tc>
          <w:tcPr>
            <w:tcW w:w="0" w:type="auto"/>
            <w:vMerge/>
            <w:vAlign w:val="center"/>
            <w:hideMark/>
          </w:tcPr>
          <w:p w14:paraId="23C8D92A" w14:textId="77777777" w:rsidR="00856F66" w:rsidRPr="00E31657" w:rsidRDefault="00856F66" w:rsidP="00072173">
            <w:pPr>
              <w:jc w:val="right"/>
              <w:rPr>
                <w:rFonts w:cs="Arial"/>
                <w:sz w:val="16"/>
                <w:szCs w:val="16"/>
                <w:lang w:val="es-ES_tradnl" w:eastAsia="es-MX"/>
              </w:rPr>
            </w:pPr>
          </w:p>
        </w:tc>
        <w:tc>
          <w:tcPr>
            <w:tcW w:w="0" w:type="auto"/>
            <w:vMerge/>
            <w:vAlign w:val="center"/>
            <w:hideMark/>
          </w:tcPr>
          <w:p w14:paraId="6B3FE03F" w14:textId="77777777" w:rsidR="00856F66" w:rsidRPr="00E31657" w:rsidRDefault="00856F66" w:rsidP="00AE6E22">
            <w:pPr>
              <w:rPr>
                <w:rFonts w:cs="Arial"/>
                <w:sz w:val="16"/>
                <w:szCs w:val="16"/>
                <w:lang w:val="es-ES_tradnl" w:eastAsia="es-MX"/>
              </w:rPr>
            </w:pPr>
          </w:p>
        </w:tc>
        <w:tc>
          <w:tcPr>
            <w:tcW w:w="0" w:type="auto"/>
            <w:vMerge/>
            <w:vAlign w:val="center"/>
            <w:hideMark/>
          </w:tcPr>
          <w:p w14:paraId="0C8AAF60"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3F76AB4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724.240.601</w:t>
            </w:r>
          </w:p>
        </w:tc>
        <w:tc>
          <w:tcPr>
            <w:tcW w:w="0" w:type="auto"/>
            <w:tcMar>
              <w:top w:w="30" w:type="dxa"/>
              <w:left w:w="45" w:type="dxa"/>
              <w:bottom w:w="30" w:type="dxa"/>
              <w:right w:w="45" w:type="dxa"/>
            </w:tcMar>
            <w:vAlign w:val="center"/>
            <w:hideMark/>
          </w:tcPr>
          <w:p w14:paraId="469670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1.352.384.466</w:t>
            </w:r>
          </w:p>
        </w:tc>
        <w:tc>
          <w:tcPr>
            <w:tcW w:w="0" w:type="auto"/>
            <w:tcMar>
              <w:top w:w="30" w:type="dxa"/>
              <w:left w:w="45" w:type="dxa"/>
              <w:bottom w:w="30" w:type="dxa"/>
              <w:right w:w="45" w:type="dxa"/>
            </w:tcMar>
            <w:vAlign w:val="center"/>
            <w:hideMark/>
          </w:tcPr>
          <w:p w14:paraId="1453B7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1.458.883.024</w:t>
            </w:r>
          </w:p>
        </w:tc>
        <w:tc>
          <w:tcPr>
            <w:tcW w:w="0" w:type="auto"/>
            <w:tcMar>
              <w:top w:w="30" w:type="dxa"/>
              <w:left w:w="45" w:type="dxa"/>
              <w:bottom w:w="30" w:type="dxa"/>
              <w:right w:w="45" w:type="dxa"/>
            </w:tcMar>
            <w:vAlign w:val="center"/>
            <w:hideMark/>
          </w:tcPr>
          <w:p w14:paraId="6ABAFFA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141.639.220</w:t>
            </w:r>
          </w:p>
        </w:tc>
        <w:tc>
          <w:tcPr>
            <w:tcW w:w="0" w:type="auto"/>
            <w:vMerge/>
            <w:vAlign w:val="center"/>
            <w:hideMark/>
          </w:tcPr>
          <w:p w14:paraId="22EDA6C5" w14:textId="77777777" w:rsidR="00856F66" w:rsidRPr="00E31657" w:rsidRDefault="00856F66" w:rsidP="00AE6E22">
            <w:pPr>
              <w:rPr>
                <w:rFonts w:cs="Arial"/>
                <w:b/>
                <w:bCs/>
                <w:sz w:val="16"/>
                <w:szCs w:val="16"/>
                <w:lang w:val="es-ES_tradnl" w:eastAsia="es-MX"/>
              </w:rPr>
            </w:pPr>
          </w:p>
        </w:tc>
      </w:tr>
      <w:tr w:rsidR="00856F66" w:rsidRPr="00E31657" w14:paraId="73BEDD5F" w14:textId="77777777" w:rsidTr="00F974BB">
        <w:trPr>
          <w:trHeight w:val="510"/>
        </w:trPr>
        <w:tc>
          <w:tcPr>
            <w:tcW w:w="0" w:type="auto"/>
            <w:vMerge w:val="restart"/>
            <w:tcMar>
              <w:top w:w="30" w:type="dxa"/>
              <w:left w:w="45" w:type="dxa"/>
              <w:bottom w:w="30" w:type="dxa"/>
              <w:right w:w="45" w:type="dxa"/>
            </w:tcMar>
            <w:vAlign w:val="center"/>
            <w:hideMark/>
          </w:tcPr>
          <w:p w14:paraId="7BE0360C"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Promover 9.000 soluciones habitacionales en el marco del portafolio de vivienda.</w:t>
            </w:r>
          </w:p>
        </w:tc>
        <w:tc>
          <w:tcPr>
            <w:tcW w:w="0" w:type="auto"/>
            <w:vMerge w:val="restart"/>
            <w:tcMar>
              <w:top w:w="30" w:type="dxa"/>
              <w:left w:w="45" w:type="dxa"/>
              <w:bottom w:w="30" w:type="dxa"/>
              <w:right w:w="45" w:type="dxa"/>
            </w:tcMar>
            <w:vAlign w:val="center"/>
            <w:hideMark/>
          </w:tcPr>
          <w:p w14:paraId="638667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252.915 hogares con déficit habitacional (9%). Déficit Cuantitativo (29.774 hogares) </w:t>
            </w:r>
            <w:r w:rsidRPr="00E31657">
              <w:rPr>
                <w:rFonts w:cs="Arial"/>
                <w:sz w:val="16"/>
                <w:szCs w:val="16"/>
                <w:lang w:val="es-ES_tradnl" w:eastAsia="es-MX"/>
              </w:rPr>
              <w:br/>
              <w:t>Déficit Cualitativo (223.141 hogares)</w:t>
            </w:r>
            <w:r w:rsidRPr="00E31657">
              <w:rPr>
                <w:rFonts w:cs="Arial"/>
                <w:sz w:val="16"/>
                <w:szCs w:val="16"/>
                <w:lang w:val="es-ES_tradnl" w:eastAsia="es-MX"/>
              </w:rPr>
              <w:br/>
              <w:t>(2021)</w:t>
            </w:r>
          </w:p>
        </w:tc>
        <w:tc>
          <w:tcPr>
            <w:tcW w:w="0" w:type="auto"/>
            <w:vMerge w:val="restart"/>
            <w:tcMar>
              <w:top w:w="30" w:type="dxa"/>
              <w:left w:w="45" w:type="dxa"/>
              <w:bottom w:w="30" w:type="dxa"/>
              <w:right w:w="45" w:type="dxa"/>
            </w:tcMar>
            <w:vAlign w:val="center"/>
            <w:hideMark/>
          </w:tcPr>
          <w:p w14:paraId="36488C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SDP (EMB 2021) - DANE</w:t>
            </w:r>
          </w:p>
        </w:tc>
        <w:tc>
          <w:tcPr>
            <w:tcW w:w="0" w:type="auto"/>
            <w:tcMar>
              <w:top w:w="30" w:type="dxa"/>
              <w:left w:w="45" w:type="dxa"/>
              <w:bottom w:w="30" w:type="dxa"/>
              <w:right w:w="45" w:type="dxa"/>
            </w:tcMar>
            <w:vAlign w:val="center"/>
            <w:hideMark/>
          </w:tcPr>
          <w:p w14:paraId="1852F9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450</w:t>
            </w:r>
          </w:p>
        </w:tc>
        <w:tc>
          <w:tcPr>
            <w:tcW w:w="0" w:type="auto"/>
            <w:tcMar>
              <w:top w:w="30" w:type="dxa"/>
              <w:left w:w="45" w:type="dxa"/>
              <w:bottom w:w="30" w:type="dxa"/>
              <w:right w:w="45" w:type="dxa"/>
            </w:tcMar>
            <w:vAlign w:val="center"/>
            <w:hideMark/>
          </w:tcPr>
          <w:p w14:paraId="42430CB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3.150</w:t>
            </w:r>
          </w:p>
        </w:tc>
        <w:tc>
          <w:tcPr>
            <w:tcW w:w="0" w:type="auto"/>
            <w:tcMar>
              <w:top w:w="30" w:type="dxa"/>
              <w:left w:w="45" w:type="dxa"/>
              <w:bottom w:w="30" w:type="dxa"/>
              <w:right w:w="45" w:type="dxa"/>
            </w:tcMar>
            <w:vAlign w:val="center"/>
            <w:hideMark/>
          </w:tcPr>
          <w:p w14:paraId="214ABE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3.150</w:t>
            </w:r>
          </w:p>
        </w:tc>
        <w:tc>
          <w:tcPr>
            <w:tcW w:w="0" w:type="auto"/>
            <w:tcMar>
              <w:top w:w="30" w:type="dxa"/>
              <w:left w:w="45" w:type="dxa"/>
              <w:bottom w:w="30" w:type="dxa"/>
              <w:right w:w="45" w:type="dxa"/>
            </w:tcMar>
            <w:vAlign w:val="center"/>
            <w:hideMark/>
          </w:tcPr>
          <w:p w14:paraId="4B685F8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2.250</w:t>
            </w:r>
          </w:p>
        </w:tc>
        <w:tc>
          <w:tcPr>
            <w:tcW w:w="0" w:type="auto"/>
            <w:vMerge w:val="restart"/>
            <w:tcMar>
              <w:top w:w="30" w:type="dxa"/>
              <w:left w:w="45" w:type="dxa"/>
              <w:bottom w:w="30" w:type="dxa"/>
              <w:right w:w="45" w:type="dxa"/>
            </w:tcMar>
            <w:vAlign w:val="center"/>
            <w:hideMark/>
          </w:tcPr>
          <w:p w14:paraId="7E25306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31.839.241.564</w:t>
            </w:r>
          </w:p>
        </w:tc>
      </w:tr>
      <w:tr w:rsidR="00856F66" w:rsidRPr="00E31657" w14:paraId="6BEC49EC" w14:textId="77777777" w:rsidTr="00F974BB">
        <w:trPr>
          <w:trHeight w:val="510"/>
        </w:trPr>
        <w:tc>
          <w:tcPr>
            <w:tcW w:w="0" w:type="auto"/>
            <w:vMerge/>
            <w:vAlign w:val="center"/>
            <w:hideMark/>
          </w:tcPr>
          <w:p w14:paraId="7C3F6C63" w14:textId="77777777" w:rsidR="00856F66" w:rsidRPr="00E31657" w:rsidRDefault="00856F66" w:rsidP="00072173">
            <w:pPr>
              <w:jc w:val="right"/>
              <w:rPr>
                <w:rFonts w:cs="Arial"/>
                <w:sz w:val="16"/>
                <w:szCs w:val="16"/>
                <w:lang w:val="es-ES_tradnl" w:eastAsia="es-MX"/>
              </w:rPr>
            </w:pPr>
          </w:p>
        </w:tc>
        <w:tc>
          <w:tcPr>
            <w:tcW w:w="0" w:type="auto"/>
            <w:vMerge/>
            <w:vAlign w:val="center"/>
            <w:hideMark/>
          </w:tcPr>
          <w:p w14:paraId="282DFAF1" w14:textId="77777777" w:rsidR="00856F66" w:rsidRPr="00E31657" w:rsidRDefault="00856F66" w:rsidP="00AE6E22">
            <w:pPr>
              <w:rPr>
                <w:rFonts w:cs="Arial"/>
                <w:sz w:val="16"/>
                <w:szCs w:val="16"/>
                <w:lang w:val="es-ES_tradnl" w:eastAsia="es-MX"/>
              </w:rPr>
            </w:pPr>
          </w:p>
        </w:tc>
        <w:tc>
          <w:tcPr>
            <w:tcW w:w="0" w:type="auto"/>
            <w:vMerge/>
            <w:vAlign w:val="center"/>
            <w:hideMark/>
          </w:tcPr>
          <w:p w14:paraId="0700B576"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13E35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1.678.400.000</w:t>
            </w:r>
          </w:p>
        </w:tc>
        <w:tc>
          <w:tcPr>
            <w:tcW w:w="0" w:type="auto"/>
            <w:tcMar>
              <w:top w:w="30" w:type="dxa"/>
              <w:left w:w="45" w:type="dxa"/>
              <w:bottom w:w="30" w:type="dxa"/>
              <w:right w:w="45" w:type="dxa"/>
            </w:tcMar>
            <w:vAlign w:val="center"/>
            <w:hideMark/>
          </w:tcPr>
          <w:p w14:paraId="0A93797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11.406.601.942</w:t>
            </w:r>
          </w:p>
        </w:tc>
        <w:tc>
          <w:tcPr>
            <w:tcW w:w="0" w:type="auto"/>
            <w:tcMar>
              <w:top w:w="30" w:type="dxa"/>
              <w:left w:w="45" w:type="dxa"/>
              <w:bottom w:w="30" w:type="dxa"/>
              <w:right w:w="45" w:type="dxa"/>
            </w:tcMar>
            <w:vAlign w:val="center"/>
            <w:hideMark/>
          </w:tcPr>
          <w:p w14:paraId="56A7F49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11.074.370.817</w:t>
            </w:r>
          </w:p>
        </w:tc>
        <w:tc>
          <w:tcPr>
            <w:tcW w:w="0" w:type="auto"/>
            <w:tcMar>
              <w:top w:w="30" w:type="dxa"/>
              <w:left w:w="45" w:type="dxa"/>
              <w:bottom w:w="30" w:type="dxa"/>
              <w:right w:w="45" w:type="dxa"/>
            </w:tcMar>
            <w:vAlign w:val="center"/>
            <w:hideMark/>
          </w:tcPr>
          <w:p w14:paraId="04602D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7.679.868.805</w:t>
            </w:r>
          </w:p>
        </w:tc>
        <w:tc>
          <w:tcPr>
            <w:tcW w:w="0" w:type="auto"/>
            <w:vMerge/>
            <w:vAlign w:val="center"/>
            <w:hideMark/>
          </w:tcPr>
          <w:p w14:paraId="78B25177" w14:textId="77777777" w:rsidR="00856F66" w:rsidRPr="00E31657" w:rsidRDefault="00856F66" w:rsidP="00AE6E22">
            <w:pPr>
              <w:rPr>
                <w:rFonts w:cs="Arial"/>
                <w:b/>
                <w:bCs/>
                <w:sz w:val="16"/>
                <w:szCs w:val="16"/>
                <w:lang w:val="es-ES_tradnl" w:eastAsia="es-MX"/>
              </w:rPr>
            </w:pPr>
          </w:p>
        </w:tc>
      </w:tr>
      <w:tr w:rsidR="00856F66" w:rsidRPr="00E31657" w14:paraId="60808907" w14:textId="77777777" w:rsidTr="00F974BB">
        <w:trPr>
          <w:trHeight w:val="315"/>
        </w:trPr>
        <w:tc>
          <w:tcPr>
            <w:tcW w:w="0" w:type="auto"/>
            <w:vMerge w:val="restart"/>
            <w:tcMar>
              <w:top w:w="30" w:type="dxa"/>
              <w:left w:w="45" w:type="dxa"/>
              <w:bottom w:w="30" w:type="dxa"/>
              <w:right w:w="45" w:type="dxa"/>
            </w:tcMar>
            <w:vAlign w:val="center"/>
            <w:hideMark/>
          </w:tcPr>
          <w:p w14:paraId="62DCE123"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Promover la iniciación de 1.000 unidades de vivienda nueva en estratos 1 y 2.</w:t>
            </w:r>
          </w:p>
        </w:tc>
        <w:tc>
          <w:tcPr>
            <w:tcW w:w="0" w:type="auto"/>
            <w:vMerge w:val="restart"/>
            <w:tcMar>
              <w:top w:w="30" w:type="dxa"/>
              <w:left w:w="45" w:type="dxa"/>
              <w:bottom w:w="30" w:type="dxa"/>
              <w:right w:w="45" w:type="dxa"/>
            </w:tcMar>
            <w:vAlign w:val="center"/>
            <w:hideMark/>
          </w:tcPr>
          <w:p w14:paraId="4EB5E60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3346DDC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40B80F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703043F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w:t>
            </w:r>
          </w:p>
        </w:tc>
        <w:tc>
          <w:tcPr>
            <w:tcW w:w="0" w:type="auto"/>
            <w:tcMar>
              <w:top w:w="30" w:type="dxa"/>
              <w:left w:w="45" w:type="dxa"/>
              <w:bottom w:w="30" w:type="dxa"/>
              <w:right w:w="45" w:type="dxa"/>
            </w:tcMar>
            <w:vAlign w:val="center"/>
            <w:hideMark/>
          </w:tcPr>
          <w:p w14:paraId="06ACDEC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400</w:t>
            </w:r>
          </w:p>
        </w:tc>
        <w:tc>
          <w:tcPr>
            <w:tcW w:w="0" w:type="auto"/>
            <w:tcMar>
              <w:top w:w="30" w:type="dxa"/>
              <w:left w:w="45" w:type="dxa"/>
              <w:bottom w:w="30" w:type="dxa"/>
              <w:right w:w="45" w:type="dxa"/>
            </w:tcMar>
            <w:vAlign w:val="center"/>
            <w:hideMark/>
          </w:tcPr>
          <w:p w14:paraId="30EC70F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w:t>
            </w:r>
          </w:p>
        </w:tc>
        <w:tc>
          <w:tcPr>
            <w:tcW w:w="0" w:type="auto"/>
            <w:vMerge w:val="restart"/>
            <w:tcMar>
              <w:top w:w="30" w:type="dxa"/>
              <w:left w:w="45" w:type="dxa"/>
              <w:bottom w:w="30" w:type="dxa"/>
              <w:right w:w="45" w:type="dxa"/>
            </w:tcMar>
            <w:vAlign w:val="center"/>
            <w:hideMark/>
          </w:tcPr>
          <w:p w14:paraId="79B644F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16.406.808.589</w:t>
            </w:r>
          </w:p>
        </w:tc>
      </w:tr>
      <w:tr w:rsidR="00856F66" w:rsidRPr="00E31657" w14:paraId="1E647E97" w14:textId="77777777" w:rsidTr="00F974BB">
        <w:trPr>
          <w:trHeight w:val="315"/>
        </w:trPr>
        <w:tc>
          <w:tcPr>
            <w:tcW w:w="0" w:type="auto"/>
            <w:vMerge/>
            <w:vAlign w:val="center"/>
            <w:hideMark/>
          </w:tcPr>
          <w:p w14:paraId="3E15AE88" w14:textId="77777777" w:rsidR="00856F66" w:rsidRPr="00E31657" w:rsidRDefault="00856F66" w:rsidP="00072173">
            <w:pPr>
              <w:jc w:val="right"/>
              <w:rPr>
                <w:rFonts w:cs="Arial"/>
                <w:sz w:val="16"/>
                <w:szCs w:val="16"/>
                <w:lang w:val="es-ES_tradnl" w:eastAsia="es-MX"/>
              </w:rPr>
            </w:pPr>
          </w:p>
        </w:tc>
        <w:tc>
          <w:tcPr>
            <w:tcW w:w="0" w:type="auto"/>
            <w:vMerge/>
            <w:vAlign w:val="center"/>
            <w:hideMark/>
          </w:tcPr>
          <w:p w14:paraId="60D55AD7" w14:textId="77777777" w:rsidR="00856F66" w:rsidRPr="00E31657" w:rsidRDefault="00856F66" w:rsidP="00AE6E22">
            <w:pPr>
              <w:rPr>
                <w:rFonts w:cs="Arial"/>
                <w:sz w:val="16"/>
                <w:szCs w:val="16"/>
                <w:lang w:val="es-ES_tradnl" w:eastAsia="es-MX"/>
              </w:rPr>
            </w:pPr>
          </w:p>
        </w:tc>
        <w:tc>
          <w:tcPr>
            <w:tcW w:w="0" w:type="auto"/>
            <w:vMerge/>
            <w:vAlign w:val="center"/>
            <w:hideMark/>
          </w:tcPr>
          <w:p w14:paraId="740AD639"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5EC94D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2.215.089.157</w:t>
            </w:r>
          </w:p>
        </w:tc>
        <w:tc>
          <w:tcPr>
            <w:tcW w:w="0" w:type="auto"/>
            <w:tcMar>
              <w:top w:w="30" w:type="dxa"/>
              <w:left w:w="45" w:type="dxa"/>
              <w:bottom w:w="30" w:type="dxa"/>
              <w:right w:w="45" w:type="dxa"/>
            </w:tcMar>
            <w:vAlign w:val="center"/>
            <w:hideMark/>
          </w:tcPr>
          <w:p w14:paraId="6B9CFD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5.582.524.272</w:t>
            </w:r>
          </w:p>
        </w:tc>
        <w:tc>
          <w:tcPr>
            <w:tcW w:w="0" w:type="auto"/>
            <w:tcMar>
              <w:top w:w="30" w:type="dxa"/>
              <w:left w:w="45" w:type="dxa"/>
              <w:bottom w:w="30" w:type="dxa"/>
              <w:right w:w="45" w:type="dxa"/>
            </w:tcMar>
            <w:vAlign w:val="center"/>
            <w:hideMark/>
          </w:tcPr>
          <w:p w14:paraId="00B0508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4.948.628.523</w:t>
            </w:r>
          </w:p>
        </w:tc>
        <w:tc>
          <w:tcPr>
            <w:tcW w:w="0" w:type="auto"/>
            <w:tcMar>
              <w:top w:w="30" w:type="dxa"/>
              <w:left w:w="45" w:type="dxa"/>
              <w:bottom w:w="30" w:type="dxa"/>
              <w:right w:w="45" w:type="dxa"/>
            </w:tcMar>
            <w:vAlign w:val="center"/>
            <w:hideMark/>
          </w:tcPr>
          <w:p w14:paraId="070EBF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3.660.566.637</w:t>
            </w:r>
          </w:p>
        </w:tc>
        <w:tc>
          <w:tcPr>
            <w:tcW w:w="0" w:type="auto"/>
            <w:vMerge/>
            <w:vAlign w:val="center"/>
            <w:hideMark/>
          </w:tcPr>
          <w:p w14:paraId="5BCB395D" w14:textId="77777777" w:rsidR="00856F66" w:rsidRPr="00E31657" w:rsidRDefault="00856F66" w:rsidP="00AE6E22">
            <w:pPr>
              <w:rPr>
                <w:rFonts w:cs="Arial"/>
                <w:b/>
                <w:bCs/>
                <w:sz w:val="16"/>
                <w:szCs w:val="16"/>
                <w:lang w:val="es-ES_tradnl" w:eastAsia="es-MX"/>
              </w:rPr>
            </w:pPr>
          </w:p>
        </w:tc>
      </w:tr>
      <w:tr w:rsidR="00856F66" w:rsidRPr="00E31657" w14:paraId="73857533" w14:textId="77777777" w:rsidTr="00F974BB">
        <w:trPr>
          <w:trHeight w:val="600"/>
        </w:trPr>
        <w:tc>
          <w:tcPr>
            <w:tcW w:w="0" w:type="auto"/>
            <w:vMerge w:val="restart"/>
            <w:tcMar>
              <w:top w:w="30" w:type="dxa"/>
              <w:left w:w="45" w:type="dxa"/>
              <w:bottom w:w="30" w:type="dxa"/>
              <w:right w:w="45" w:type="dxa"/>
            </w:tcMar>
            <w:vAlign w:val="center"/>
            <w:hideMark/>
          </w:tcPr>
          <w:p w14:paraId="105921E7"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 xml:space="preserve">Promover la iniciación de 80.000 Unidades de </w:t>
            </w:r>
            <w:r w:rsidRPr="00E31657">
              <w:rPr>
                <w:rFonts w:cs="Arial"/>
                <w:sz w:val="16"/>
                <w:szCs w:val="16"/>
                <w:lang w:val="es-ES_tradnl" w:eastAsia="es-MX"/>
              </w:rPr>
              <w:lastRenderedPageBreak/>
              <w:t>Viviendas VIS y VIP en Bogotá.</w:t>
            </w:r>
          </w:p>
        </w:tc>
        <w:tc>
          <w:tcPr>
            <w:tcW w:w="0" w:type="auto"/>
            <w:vMerge w:val="restart"/>
            <w:tcMar>
              <w:top w:w="30" w:type="dxa"/>
              <w:left w:w="45" w:type="dxa"/>
              <w:bottom w:w="30" w:type="dxa"/>
              <w:right w:w="45" w:type="dxa"/>
            </w:tcMar>
            <w:vAlign w:val="center"/>
            <w:hideMark/>
          </w:tcPr>
          <w:p w14:paraId="4676537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68467</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446DC1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SDHT (Segplan)</w:t>
            </w:r>
          </w:p>
        </w:tc>
        <w:tc>
          <w:tcPr>
            <w:tcW w:w="0" w:type="auto"/>
            <w:tcMar>
              <w:top w:w="30" w:type="dxa"/>
              <w:left w:w="45" w:type="dxa"/>
              <w:bottom w:w="30" w:type="dxa"/>
              <w:right w:w="45" w:type="dxa"/>
            </w:tcMar>
            <w:vAlign w:val="center"/>
            <w:hideMark/>
          </w:tcPr>
          <w:p w14:paraId="41A7CBB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tcMar>
              <w:top w:w="30" w:type="dxa"/>
              <w:left w:w="45" w:type="dxa"/>
              <w:bottom w:w="30" w:type="dxa"/>
              <w:right w:w="45" w:type="dxa"/>
            </w:tcMar>
            <w:vAlign w:val="center"/>
            <w:hideMark/>
          </w:tcPr>
          <w:p w14:paraId="5D3FF95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w:t>
            </w:r>
          </w:p>
        </w:tc>
        <w:tc>
          <w:tcPr>
            <w:tcW w:w="0" w:type="auto"/>
            <w:tcMar>
              <w:top w:w="30" w:type="dxa"/>
              <w:left w:w="45" w:type="dxa"/>
              <w:bottom w:w="30" w:type="dxa"/>
              <w:right w:w="45" w:type="dxa"/>
            </w:tcMar>
            <w:vAlign w:val="center"/>
            <w:hideMark/>
          </w:tcPr>
          <w:p w14:paraId="7A4E27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w:t>
            </w:r>
          </w:p>
        </w:tc>
        <w:tc>
          <w:tcPr>
            <w:tcW w:w="0" w:type="auto"/>
            <w:tcMar>
              <w:top w:w="30" w:type="dxa"/>
              <w:left w:w="45" w:type="dxa"/>
              <w:bottom w:w="30" w:type="dxa"/>
              <w:right w:w="45" w:type="dxa"/>
            </w:tcMar>
            <w:vAlign w:val="center"/>
            <w:hideMark/>
          </w:tcPr>
          <w:p w14:paraId="23447A2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30.000</w:t>
            </w:r>
          </w:p>
        </w:tc>
        <w:tc>
          <w:tcPr>
            <w:tcW w:w="0" w:type="auto"/>
            <w:vMerge w:val="restart"/>
            <w:tcMar>
              <w:top w:w="30" w:type="dxa"/>
              <w:left w:w="45" w:type="dxa"/>
              <w:bottom w:w="30" w:type="dxa"/>
              <w:right w:w="45" w:type="dxa"/>
            </w:tcMar>
            <w:vAlign w:val="center"/>
            <w:hideMark/>
          </w:tcPr>
          <w:p w14:paraId="150ECAC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3.848.223.888</w:t>
            </w:r>
          </w:p>
        </w:tc>
      </w:tr>
      <w:tr w:rsidR="00856F66" w:rsidRPr="00E31657" w14:paraId="6434824B" w14:textId="77777777" w:rsidTr="00F974BB">
        <w:trPr>
          <w:trHeight w:val="600"/>
        </w:trPr>
        <w:tc>
          <w:tcPr>
            <w:tcW w:w="0" w:type="auto"/>
            <w:vMerge/>
            <w:vAlign w:val="center"/>
            <w:hideMark/>
          </w:tcPr>
          <w:p w14:paraId="61EE27FA" w14:textId="77777777" w:rsidR="00856F66" w:rsidRPr="00E31657" w:rsidRDefault="00856F66" w:rsidP="00072173">
            <w:pPr>
              <w:jc w:val="right"/>
              <w:rPr>
                <w:rFonts w:cs="Arial"/>
                <w:sz w:val="16"/>
                <w:szCs w:val="16"/>
                <w:lang w:val="es-ES_tradnl" w:eastAsia="es-MX"/>
              </w:rPr>
            </w:pPr>
          </w:p>
        </w:tc>
        <w:tc>
          <w:tcPr>
            <w:tcW w:w="0" w:type="auto"/>
            <w:vMerge/>
            <w:vAlign w:val="center"/>
            <w:hideMark/>
          </w:tcPr>
          <w:p w14:paraId="088084CE" w14:textId="77777777" w:rsidR="00856F66" w:rsidRPr="00E31657" w:rsidRDefault="00856F66" w:rsidP="00AE6E22">
            <w:pPr>
              <w:rPr>
                <w:rFonts w:cs="Arial"/>
                <w:sz w:val="16"/>
                <w:szCs w:val="16"/>
                <w:lang w:val="es-ES_tradnl" w:eastAsia="es-MX"/>
              </w:rPr>
            </w:pPr>
          </w:p>
        </w:tc>
        <w:tc>
          <w:tcPr>
            <w:tcW w:w="0" w:type="auto"/>
            <w:vMerge/>
            <w:vAlign w:val="center"/>
            <w:hideMark/>
          </w:tcPr>
          <w:p w14:paraId="4573844A"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7BA6E03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972.000.000</w:t>
            </w:r>
          </w:p>
        </w:tc>
        <w:tc>
          <w:tcPr>
            <w:tcW w:w="0" w:type="auto"/>
            <w:tcMar>
              <w:top w:w="30" w:type="dxa"/>
              <w:left w:w="45" w:type="dxa"/>
              <w:bottom w:w="30" w:type="dxa"/>
              <w:right w:w="45" w:type="dxa"/>
            </w:tcMar>
            <w:vAlign w:val="center"/>
            <w:hideMark/>
          </w:tcPr>
          <w:p w14:paraId="4BF4E6A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1.043.689.320</w:t>
            </w:r>
          </w:p>
        </w:tc>
        <w:tc>
          <w:tcPr>
            <w:tcW w:w="0" w:type="auto"/>
            <w:tcMar>
              <w:top w:w="30" w:type="dxa"/>
              <w:left w:w="45" w:type="dxa"/>
              <w:bottom w:w="30" w:type="dxa"/>
              <w:right w:w="45" w:type="dxa"/>
            </w:tcMar>
            <w:vAlign w:val="center"/>
            <w:hideMark/>
          </w:tcPr>
          <w:p w14:paraId="0D40E5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642.850.410</w:t>
            </w:r>
          </w:p>
        </w:tc>
        <w:tc>
          <w:tcPr>
            <w:tcW w:w="0" w:type="auto"/>
            <w:tcMar>
              <w:top w:w="30" w:type="dxa"/>
              <w:left w:w="45" w:type="dxa"/>
              <w:bottom w:w="30" w:type="dxa"/>
              <w:right w:w="45" w:type="dxa"/>
            </w:tcMar>
            <w:vAlign w:val="center"/>
            <w:hideMark/>
          </w:tcPr>
          <w:p w14:paraId="0DBE2E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1.189.684.157</w:t>
            </w:r>
          </w:p>
        </w:tc>
        <w:tc>
          <w:tcPr>
            <w:tcW w:w="0" w:type="auto"/>
            <w:vMerge/>
            <w:vAlign w:val="center"/>
            <w:hideMark/>
          </w:tcPr>
          <w:p w14:paraId="5415D260" w14:textId="77777777" w:rsidR="00856F66" w:rsidRPr="00E31657" w:rsidRDefault="00856F66" w:rsidP="00AE6E22">
            <w:pPr>
              <w:rPr>
                <w:rFonts w:cs="Arial"/>
                <w:b/>
                <w:bCs/>
                <w:sz w:val="16"/>
                <w:szCs w:val="16"/>
                <w:lang w:val="es-ES_tradnl" w:eastAsia="es-MX"/>
              </w:rPr>
            </w:pPr>
          </w:p>
        </w:tc>
      </w:tr>
      <w:tr w:rsidR="00856F66" w:rsidRPr="00E31657" w14:paraId="629BE6E3" w14:textId="77777777" w:rsidTr="00F974BB">
        <w:trPr>
          <w:trHeight w:val="315"/>
        </w:trPr>
        <w:tc>
          <w:tcPr>
            <w:tcW w:w="0" w:type="auto"/>
            <w:vMerge w:val="restart"/>
            <w:tcMar>
              <w:top w:w="30" w:type="dxa"/>
              <w:left w:w="45" w:type="dxa"/>
              <w:bottom w:w="30" w:type="dxa"/>
              <w:right w:w="45" w:type="dxa"/>
            </w:tcMar>
            <w:vAlign w:val="center"/>
            <w:hideMark/>
          </w:tcPr>
          <w:p w14:paraId="4D7753C8"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Sanear y titular 3.150 predios de estratos 1 y 2 localizados en barrios de origen informal</w:t>
            </w:r>
          </w:p>
        </w:tc>
        <w:tc>
          <w:tcPr>
            <w:tcW w:w="0" w:type="auto"/>
            <w:vMerge w:val="restart"/>
            <w:tcMar>
              <w:top w:w="30" w:type="dxa"/>
              <w:left w:w="45" w:type="dxa"/>
              <w:bottom w:w="30" w:type="dxa"/>
              <w:right w:w="45" w:type="dxa"/>
            </w:tcMar>
            <w:vAlign w:val="center"/>
            <w:hideMark/>
          </w:tcPr>
          <w:p w14:paraId="75D606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3129</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2EB1593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CVP- Dirección de Urbanización y Titulaciones</w:t>
            </w:r>
          </w:p>
        </w:tc>
        <w:tc>
          <w:tcPr>
            <w:tcW w:w="0" w:type="auto"/>
            <w:tcMar>
              <w:top w:w="30" w:type="dxa"/>
              <w:left w:w="45" w:type="dxa"/>
              <w:bottom w:w="30" w:type="dxa"/>
              <w:right w:w="45" w:type="dxa"/>
            </w:tcMar>
            <w:vAlign w:val="center"/>
            <w:hideMark/>
          </w:tcPr>
          <w:p w14:paraId="64B848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CBE84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w:t>
            </w:r>
          </w:p>
        </w:tc>
        <w:tc>
          <w:tcPr>
            <w:tcW w:w="0" w:type="auto"/>
            <w:tcMar>
              <w:top w:w="30" w:type="dxa"/>
              <w:left w:w="45" w:type="dxa"/>
              <w:bottom w:w="30" w:type="dxa"/>
              <w:right w:w="45" w:type="dxa"/>
            </w:tcMar>
            <w:vAlign w:val="center"/>
            <w:hideMark/>
          </w:tcPr>
          <w:p w14:paraId="03FA00E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1.225</w:t>
            </w:r>
          </w:p>
        </w:tc>
        <w:tc>
          <w:tcPr>
            <w:tcW w:w="0" w:type="auto"/>
            <w:tcMar>
              <w:top w:w="30" w:type="dxa"/>
              <w:left w:w="45" w:type="dxa"/>
              <w:bottom w:w="30" w:type="dxa"/>
              <w:right w:w="45" w:type="dxa"/>
            </w:tcMar>
            <w:vAlign w:val="center"/>
            <w:hideMark/>
          </w:tcPr>
          <w:p w14:paraId="290129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1.025</w:t>
            </w:r>
          </w:p>
        </w:tc>
        <w:tc>
          <w:tcPr>
            <w:tcW w:w="0" w:type="auto"/>
            <w:vMerge w:val="restart"/>
            <w:tcMar>
              <w:top w:w="30" w:type="dxa"/>
              <w:left w:w="45" w:type="dxa"/>
              <w:bottom w:w="30" w:type="dxa"/>
              <w:right w:w="45" w:type="dxa"/>
            </w:tcMar>
            <w:vAlign w:val="center"/>
            <w:hideMark/>
          </w:tcPr>
          <w:p w14:paraId="2C94C6D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19.616.891.032</w:t>
            </w:r>
          </w:p>
        </w:tc>
      </w:tr>
      <w:tr w:rsidR="00856F66" w:rsidRPr="00E31657" w14:paraId="7A13F292" w14:textId="77777777" w:rsidTr="00EF34C0">
        <w:trPr>
          <w:trHeight w:val="1231"/>
        </w:trPr>
        <w:tc>
          <w:tcPr>
            <w:tcW w:w="0" w:type="auto"/>
            <w:vMerge/>
            <w:vAlign w:val="center"/>
            <w:hideMark/>
          </w:tcPr>
          <w:p w14:paraId="11F57DB1" w14:textId="77777777" w:rsidR="00856F66" w:rsidRPr="00E31657" w:rsidRDefault="00856F66" w:rsidP="00AE6E22">
            <w:pPr>
              <w:rPr>
                <w:rFonts w:cs="Arial"/>
                <w:sz w:val="16"/>
                <w:szCs w:val="16"/>
                <w:lang w:val="es-ES_tradnl" w:eastAsia="es-MX"/>
              </w:rPr>
            </w:pPr>
          </w:p>
        </w:tc>
        <w:tc>
          <w:tcPr>
            <w:tcW w:w="0" w:type="auto"/>
            <w:vMerge/>
            <w:vAlign w:val="center"/>
            <w:hideMark/>
          </w:tcPr>
          <w:p w14:paraId="11E3A002" w14:textId="77777777" w:rsidR="00856F66" w:rsidRPr="00E31657" w:rsidRDefault="00856F66" w:rsidP="00AE6E22">
            <w:pPr>
              <w:rPr>
                <w:rFonts w:cs="Arial"/>
                <w:sz w:val="16"/>
                <w:szCs w:val="16"/>
                <w:lang w:val="es-ES_tradnl" w:eastAsia="es-MX"/>
              </w:rPr>
            </w:pPr>
          </w:p>
        </w:tc>
        <w:tc>
          <w:tcPr>
            <w:tcW w:w="0" w:type="auto"/>
            <w:vMerge/>
            <w:vAlign w:val="center"/>
            <w:hideMark/>
          </w:tcPr>
          <w:p w14:paraId="647E22BF"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5607F82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1.476.726.105</w:t>
            </w:r>
          </w:p>
        </w:tc>
        <w:tc>
          <w:tcPr>
            <w:tcW w:w="0" w:type="auto"/>
            <w:tcMar>
              <w:top w:w="30" w:type="dxa"/>
              <w:left w:w="45" w:type="dxa"/>
              <w:bottom w:w="30" w:type="dxa"/>
              <w:right w:w="45" w:type="dxa"/>
            </w:tcMar>
            <w:vAlign w:val="center"/>
            <w:hideMark/>
          </w:tcPr>
          <w:p w14:paraId="0AC849F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5.097.087.379</w:t>
            </w:r>
          </w:p>
        </w:tc>
        <w:tc>
          <w:tcPr>
            <w:tcW w:w="0" w:type="auto"/>
            <w:tcMar>
              <w:top w:w="30" w:type="dxa"/>
              <w:left w:w="45" w:type="dxa"/>
              <w:bottom w:w="30" w:type="dxa"/>
              <w:right w:w="45" w:type="dxa"/>
            </w:tcMar>
            <w:vAlign w:val="center"/>
            <w:hideMark/>
          </w:tcPr>
          <w:p w14:paraId="40CB238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5.891.224.432</w:t>
            </w:r>
          </w:p>
        </w:tc>
        <w:tc>
          <w:tcPr>
            <w:tcW w:w="0" w:type="auto"/>
            <w:tcMar>
              <w:top w:w="30" w:type="dxa"/>
              <w:left w:w="45" w:type="dxa"/>
              <w:bottom w:w="30" w:type="dxa"/>
              <w:right w:w="45" w:type="dxa"/>
            </w:tcMar>
            <w:vAlign w:val="center"/>
            <w:hideMark/>
          </w:tcPr>
          <w:p w14:paraId="4C1E1FB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7.151.853.116</w:t>
            </w:r>
          </w:p>
        </w:tc>
        <w:tc>
          <w:tcPr>
            <w:tcW w:w="0" w:type="auto"/>
            <w:vMerge/>
            <w:vAlign w:val="center"/>
            <w:hideMark/>
          </w:tcPr>
          <w:p w14:paraId="3AB2D7F7" w14:textId="77777777" w:rsidR="00856F66" w:rsidRPr="00E31657" w:rsidRDefault="00856F66" w:rsidP="00AE6E22">
            <w:pPr>
              <w:rPr>
                <w:rFonts w:cs="Arial"/>
                <w:b/>
                <w:bCs/>
                <w:sz w:val="16"/>
                <w:szCs w:val="16"/>
                <w:lang w:val="es-ES_tradnl" w:eastAsia="es-MX"/>
              </w:rPr>
            </w:pPr>
          </w:p>
        </w:tc>
      </w:tr>
    </w:tbl>
    <w:p w14:paraId="6A4DD50E" w14:textId="10492D09" w:rsidR="00856F66" w:rsidRDefault="00856F66">
      <w:pPr>
        <w:rPr>
          <w:sz w:val="16"/>
          <w:szCs w:val="16"/>
          <w:lang w:val="es-ES_tradnl"/>
        </w:rPr>
      </w:pPr>
    </w:p>
    <w:p w14:paraId="11A02180" w14:textId="77777777" w:rsidR="00EF34C0" w:rsidRDefault="00EF34C0">
      <w:pPr>
        <w:rPr>
          <w:sz w:val="16"/>
          <w:szCs w:val="16"/>
          <w:lang w:val="es-ES_tradnl"/>
        </w:rPr>
      </w:pPr>
    </w:p>
    <w:tbl>
      <w:tblPr>
        <w:tblW w:w="5000"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212"/>
        <w:gridCol w:w="787"/>
        <w:gridCol w:w="814"/>
        <w:gridCol w:w="1142"/>
        <w:gridCol w:w="1099"/>
        <w:gridCol w:w="1094"/>
        <w:gridCol w:w="1109"/>
        <w:gridCol w:w="1103"/>
      </w:tblGrid>
      <w:tr w:rsidR="00856F66" w:rsidRPr="00E31657" w14:paraId="0345D5FA" w14:textId="77777777" w:rsidTr="00F974BB">
        <w:trPr>
          <w:trHeight w:val="315"/>
        </w:trPr>
        <w:tc>
          <w:tcPr>
            <w:tcW w:w="5000" w:type="pct"/>
            <w:gridSpan w:val="8"/>
            <w:tcMar>
              <w:top w:w="30" w:type="dxa"/>
              <w:left w:w="45" w:type="dxa"/>
              <w:bottom w:w="30" w:type="dxa"/>
              <w:right w:w="45" w:type="dxa"/>
            </w:tcMar>
            <w:vAlign w:val="center"/>
            <w:hideMark/>
          </w:tcPr>
          <w:p w14:paraId="46F36A67" w14:textId="77777777" w:rsidR="00856F66" w:rsidRPr="00F974BB" w:rsidRDefault="00856F66" w:rsidP="00AE6E22">
            <w:pPr>
              <w:jc w:val="center"/>
              <w:rPr>
                <w:rFonts w:cs="Arial"/>
                <w:b/>
                <w:bCs/>
                <w:lang w:val="es-ES_tradnl" w:eastAsia="es-MX"/>
              </w:rPr>
            </w:pPr>
            <w:r w:rsidRPr="00F974BB">
              <w:rPr>
                <w:rFonts w:cs="Arial"/>
                <w:b/>
                <w:bCs/>
                <w:color w:val="C00000"/>
                <w:lang w:val="es-ES_tradnl" w:eastAsia="es-MX"/>
              </w:rPr>
              <w:t xml:space="preserve">Programa 32. </w:t>
            </w:r>
            <w:r w:rsidRPr="00F974BB">
              <w:rPr>
                <w:rFonts w:cs="Arial"/>
                <w:lang w:val="es-ES_tradnl" w:eastAsia="es-MX"/>
              </w:rPr>
              <w:t>Gobierno abierto, íntegro, transparente y corresponsable</w:t>
            </w:r>
          </w:p>
        </w:tc>
      </w:tr>
      <w:tr w:rsidR="00856F66" w:rsidRPr="00E31657" w14:paraId="645CA7E3" w14:textId="77777777" w:rsidTr="00826D72">
        <w:trPr>
          <w:trHeight w:val="473"/>
        </w:trPr>
        <w:tc>
          <w:tcPr>
            <w:tcW w:w="1182" w:type="pct"/>
            <w:vMerge w:val="restart"/>
            <w:shd w:val="clear" w:color="auto" w:fill="C00000"/>
            <w:tcMar>
              <w:top w:w="30" w:type="dxa"/>
              <w:left w:w="45" w:type="dxa"/>
              <w:bottom w:w="30" w:type="dxa"/>
              <w:right w:w="45" w:type="dxa"/>
            </w:tcMar>
            <w:vAlign w:val="center"/>
            <w:hideMark/>
          </w:tcPr>
          <w:p w14:paraId="292E8228"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Sector / Metas</w:t>
            </w:r>
          </w:p>
        </w:tc>
        <w:tc>
          <w:tcPr>
            <w:tcW w:w="3818" w:type="pct"/>
            <w:gridSpan w:val="7"/>
            <w:shd w:val="clear" w:color="auto" w:fill="C00000"/>
            <w:tcMar>
              <w:top w:w="30" w:type="dxa"/>
              <w:left w:w="45" w:type="dxa"/>
              <w:bottom w:w="30" w:type="dxa"/>
              <w:right w:w="45" w:type="dxa"/>
            </w:tcMar>
            <w:vAlign w:val="center"/>
            <w:hideMark/>
          </w:tcPr>
          <w:p w14:paraId="7844040F" w14:textId="77777777" w:rsidR="00856F66" w:rsidRPr="00EF34C0" w:rsidRDefault="00856F66" w:rsidP="00EF34C0">
            <w:pPr>
              <w:pStyle w:val="Ttulo"/>
              <w:jc w:val="center"/>
              <w:rPr>
                <w:rFonts w:ascii="Candara" w:eastAsia="Times New Roman" w:hAnsi="Candara"/>
                <w:b/>
                <w:bCs/>
                <w:color w:val="FFFFFF" w:themeColor="background1"/>
                <w:sz w:val="24"/>
                <w:szCs w:val="24"/>
                <w:lang w:val="es-ES_tradnl" w:eastAsia="es-MX"/>
              </w:rPr>
            </w:pPr>
            <w:r w:rsidRPr="00EF34C0">
              <w:rPr>
                <w:rFonts w:ascii="Candara" w:eastAsia="Times New Roman" w:hAnsi="Candara"/>
                <w:b/>
                <w:bCs/>
                <w:color w:val="FFFFFF" w:themeColor="background1"/>
                <w:sz w:val="24"/>
                <w:szCs w:val="24"/>
                <w:lang w:val="es-ES_tradnl" w:eastAsia="es-MX"/>
              </w:rPr>
              <w:t xml:space="preserve">Magnitudes e Inversión </w:t>
            </w:r>
            <w:r w:rsidRPr="00EF34C0">
              <w:rPr>
                <w:rFonts w:ascii="Candara" w:eastAsia="Times New Roman" w:hAnsi="Candara"/>
                <w:b/>
                <w:bCs/>
                <w:color w:val="FFFFFF" w:themeColor="background1"/>
                <w:sz w:val="24"/>
                <w:szCs w:val="24"/>
                <w:lang w:val="es-ES_tradnl" w:eastAsia="es-MX"/>
              </w:rPr>
              <w:br/>
              <w:t>(Precios Constantes 2024)</w:t>
            </w:r>
          </w:p>
        </w:tc>
      </w:tr>
      <w:tr w:rsidR="00856F66" w:rsidRPr="00E31657" w14:paraId="11679A2E" w14:textId="77777777" w:rsidTr="00826D72">
        <w:trPr>
          <w:trHeight w:val="315"/>
        </w:trPr>
        <w:tc>
          <w:tcPr>
            <w:tcW w:w="1182" w:type="pct"/>
            <w:vMerge/>
            <w:shd w:val="clear" w:color="auto" w:fill="C00000"/>
            <w:vAlign w:val="center"/>
            <w:hideMark/>
          </w:tcPr>
          <w:p w14:paraId="51A193CB" w14:textId="77777777" w:rsidR="00856F66" w:rsidRPr="00E31657" w:rsidRDefault="00856F66" w:rsidP="00AE6E22">
            <w:pPr>
              <w:rPr>
                <w:rFonts w:cs="Arial"/>
                <w:b/>
                <w:bCs/>
                <w:color w:val="FFFFFF"/>
                <w:sz w:val="16"/>
                <w:szCs w:val="16"/>
                <w:lang w:val="es-ES_tradnl" w:eastAsia="es-MX"/>
              </w:rPr>
            </w:pPr>
          </w:p>
        </w:tc>
        <w:tc>
          <w:tcPr>
            <w:tcW w:w="421" w:type="pct"/>
            <w:shd w:val="clear" w:color="auto" w:fill="D9D9D9"/>
            <w:tcMar>
              <w:top w:w="30" w:type="dxa"/>
              <w:left w:w="45" w:type="dxa"/>
              <w:bottom w:w="30" w:type="dxa"/>
              <w:right w:w="45" w:type="dxa"/>
            </w:tcMar>
            <w:vAlign w:val="center"/>
            <w:hideMark/>
          </w:tcPr>
          <w:p w14:paraId="3EAFB4E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435" w:type="pct"/>
            <w:shd w:val="clear" w:color="auto" w:fill="D9D9D9"/>
            <w:tcMar>
              <w:top w:w="30" w:type="dxa"/>
              <w:left w:w="45" w:type="dxa"/>
              <w:bottom w:w="30" w:type="dxa"/>
              <w:right w:w="45" w:type="dxa"/>
            </w:tcMar>
            <w:vAlign w:val="center"/>
            <w:hideMark/>
          </w:tcPr>
          <w:p w14:paraId="75BBD9C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10" w:type="pct"/>
            <w:shd w:val="clear" w:color="auto" w:fill="D9D9D9"/>
            <w:tcMar>
              <w:top w:w="30" w:type="dxa"/>
              <w:left w:w="45" w:type="dxa"/>
              <w:bottom w:w="30" w:type="dxa"/>
              <w:right w:w="45" w:type="dxa"/>
            </w:tcMar>
            <w:vAlign w:val="center"/>
            <w:hideMark/>
          </w:tcPr>
          <w:p w14:paraId="429FB68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587" w:type="pct"/>
            <w:shd w:val="clear" w:color="auto" w:fill="D9D9D9"/>
            <w:tcMar>
              <w:top w:w="30" w:type="dxa"/>
              <w:left w:w="45" w:type="dxa"/>
              <w:bottom w:w="30" w:type="dxa"/>
              <w:right w:w="45" w:type="dxa"/>
            </w:tcMar>
            <w:vAlign w:val="center"/>
            <w:hideMark/>
          </w:tcPr>
          <w:p w14:paraId="0429910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584" w:type="pct"/>
            <w:shd w:val="clear" w:color="auto" w:fill="D9D9D9"/>
            <w:tcMar>
              <w:top w:w="30" w:type="dxa"/>
              <w:left w:w="45" w:type="dxa"/>
              <w:bottom w:w="30" w:type="dxa"/>
              <w:right w:w="45" w:type="dxa"/>
            </w:tcMar>
            <w:vAlign w:val="center"/>
            <w:hideMark/>
          </w:tcPr>
          <w:p w14:paraId="49ADF11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592" w:type="pct"/>
            <w:shd w:val="clear" w:color="auto" w:fill="D9D9D9"/>
            <w:tcMar>
              <w:top w:w="30" w:type="dxa"/>
              <w:left w:w="45" w:type="dxa"/>
              <w:bottom w:w="30" w:type="dxa"/>
              <w:right w:w="45" w:type="dxa"/>
            </w:tcMar>
            <w:vAlign w:val="center"/>
            <w:hideMark/>
          </w:tcPr>
          <w:p w14:paraId="3107E67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589" w:type="pct"/>
            <w:shd w:val="clear" w:color="auto" w:fill="D9D9D9"/>
            <w:tcMar>
              <w:top w:w="30" w:type="dxa"/>
              <w:left w:w="45" w:type="dxa"/>
              <w:bottom w:w="30" w:type="dxa"/>
              <w:right w:w="45" w:type="dxa"/>
            </w:tcMar>
            <w:vAlign w:val="center"/>
            <w:hideMark/>
          </w:tcPr>
          <w:p w14:paraId="1722140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659E52B0" w14:textId="77777777" w:rsidTr="009B211D">
        <w:trPr>
          <w:trHeight w:val="299"/>
        </w:trPr>
        <w:tc>
          <w:tcPr>
            <w:tcW w:w="5000" w:type="pct"/>
            <w:gridSpan w:val="8"/>
            <w:shd w:val="clear" w:color="auto" w:fill="C00000"/>
            <w:tcMar>
              <w:top w:w="30" w:type="dxa"/>
              <w:left w:w="45" w:type="dxa"/>
              <w:bottom w:w="30" w:type="dxa"/>
              <w:right w:w="45" w:type="dxa"/>
            </w:tcMar>
            <w:vAlign w:val="center"/>
            <w:hideMark/>
          </w:tcPr>
          <w:p w14:paraId="4E928252"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Gestión jurídica</w:t>
            </w:r>
          </w:p>
        </w:tc>
      </w:tr>
      <w:tr w:rsidR="00856F66" w:rsidRPr="00E31657" w14:paraId="66A087C5" w14:textId="77777777" w:rsidTr="00826D72">
        <w:trPr>
          <w:trHeight w:val="315"/>
        </w:trPr>
        <w:tc>
          <w:tcPr>
            <w:tcW w:w="1182" w:type="pct"/>
            <w:vMerge w:val="restart"/>
            <w:tcMar>
              <w:top w:w="30" w:type="dxa"/>
              <w:left w:w="45" w:type="dxa"/>
              <w:bottom w:w="30" w:type="dxa"/>
              <w:right w:w="45" w:type="dxa"/>
            </w:tcMar>
            <w:vAlign w:val="center"/>
            <w:hideMark/>
          </w:tcPr>
          <w:p w14:paraId="05D70E0C"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Ejecutar cuatro (4) programas de inspección vigilancia y control de Entidades Sin Ánimo de Lucro enfocado al fortalecimiento del control social y la gestión del conocimiento</w:t>
            </w:r>
          </w:p>
        </w:tc>
        <w:tc>
          <w:tcPr>
            <w:tcW w:w="421" w:type="pct"/>
            <w:vMerge w:val="restart"/>
            <w:tcMar>
              <w:top w:w="30" w:type="dxa"/>
              <w:left w:w="45" w:type="dxa"/>
              <w:bottom w:w="30" w:type="dxa"/>
              <w:right w:w="45" w:type="dxa"/>
            </w:tcMar>
            <w:vAlign w:val="center"/>
            <w:hideMark/>
          </w:tcPr>
          <w:p w14:paraId="264289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435" w:type="pct"/>
            <w:vMerge w:val="restart"/>
            <w:tcMar>
              <w:top w:w="30" w:type="dxa"/>
              <w:left w:w="45" w:type="dxa"/>
              <w:bottom w:w="30" w:type="dxa"/>
              <w:right w:w="45" w:type="dxa"/>
            </w:tcMar>
            <w:vAlign w:val="center"/>
            <w:hideMark/>
          </w:tcPr>
          <w:p w14:paraId="61981A2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Inspección Vigilancia y Control</w:t>
            </w:r>
          </w:p>
        </w:tc>
        <w:tc>
          <w:tcPr>
            <w:tcW w:w="610" w:type="pct"/>
            <w:tcMar>
              <w:top w:w="30" w:type="dxa"/>
              <w:left w:w="45" w:type="dxa"/>
              <w:bottom w:w="30" w:type="dxa"/>
              <w:right w:w="45" w:type="dxa"/>
            </w:tcMar>
            <w:vAlign w:val="center"/>
            <w:hideMark/>
          </w:tcPr>
          <w:p w14:paraId="232FB2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7" w:type="pct"/>
            <w:tcMar>
              <w:top w:w="30" w:type="dxa"/>
              <w:left w:w="45" w:type="dxa"/>
              <w:bottom w:w="30" w:type="dxa"/>
              <w:right w:w="45" w:type="dxa"/>
            </w:tcMar>
            <w:vAlign w:val="center"/>
            <w:hideMark/>
          </w:tcPr>
          <w:p w14:paraId="77D6B6B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4" w:type="pct"/>
            <w:tcMar>
              <w:top w:w="30" w:type="dxa"/>
              <w:left w:w="45" w:type="dxa"/>
              <w:bottom w:w="30" w:type="dxa"/>
              <w:right w:w="45" w:type="dxa"/>
            </w:tcMar>
            <w:vAlign w:val="center"/>
            <w:hideMark/>
          </w:tcPr>
          <w:p w14:paraId="032C66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92" w:type="pct"/>
            <w:tcMar>
              <w:top w:w="30" w:type="dxa"/>
              <w:left w:w="45" w:type="dxa"/>
              <w:bottom w:w="30" w:type="dxa"/>
              <w:right w:w="45" w:type="dxa"/>
            </w:tcMar>
            <w:vAlign w:val="center"/>
            <w:hideMark/>
          </w:tcPr>
          <w:p w14:paraId="5961EB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vMerge w:val="restart"/>
            <w:tcMar>
              <w:top w:w="30" w:type="dxa"/>
              <w:left w:w="45" w:type="dxa"/>
              <w:bottom w:w="30" w:type="dxa"/>
              <w:right w:w="45" w:type="dxa"/>
            </w:tcMar>
            <w:vAlign w:val="center"/>
            <w:hideMark/>
          </w:tcPr>
          <w:p w14:paraId="1CA4501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2.933.972.451</w:t>
            </w:r>
          </w:p>
        </w:tc>
      </w:tr>
      <w:tr w:rsidR="00856F66" w:rsidRPr="00E31657" w14:paraId="18BF753C" w14:textId="77777777" w:rsidTr="00826D72">
        <w:trPr>
          <w:trHeight w:val="1615"/>
        </w:trPr>
        <w:tc>
          <w:tcPr>
            <w:tcW w:w="1182" w:type="pct"/>
            <w:vMerge/>
            <w:vAlign w:val="center"/>
            <w:hideMark/>
          </w:tcPr>
          <w:p w14:paraId="37858A7A" w14:textId="77777777" w:rsidR="00856F66" w:rsidRPr="00E31657" w:rsidRDefault="00856F66" w:rsidP="00072173">
            <w:pPr>
              <w:jc w:val="right"/>
              <w:rPr>
                <w:rFonts w:cs="Arial"/>
                <w:sz w:val="16"/>
                <w:szCs w:val="16"/>
                <w:lang w:val="es-ES_tradnl" w:eastAsia="es-MX"/>
              </w:rPr>
            </w:pPr>
          </w:p>
        </w:tc>
        <w:tc>
          <w:tcPr>
            <w:tcW w:w="421" w:type="pct"/>
            <w:vMerge/>
            <w:vAlign w:val="center"/>
            <w:hideMark/>
          </w:tcPr>
          <w:p w14:paraId="191E321B" w14:textId="77777777" w:rsidR="00856F66" w:rsidRPr="00E31657" w:rsidRDefault="00856F66" w:rsidP="00AE6E22">
            <w:pPr>
              <w:rPr>
                <w:rFonts w:cs="Arial"/>
                <w:sz w:val="16"/>
                <w:szCs w:val="16"/>
                <w:lang w:val="es-ES_tradnl" w:eastAsia="es-MX"/>
              </w:rPr>
            </w:pPr>
          </w:p>
        </w:tc>
        <w:tc>
          <w:tcPr>
            <w:tcW w:w="435" w:type="pct"/>
            <w:vMerge/>
            <w:vAlign w:val="center"/>
            <w:hideMark/>
          </w:tcPr>
          <w:p w14:paraId="3674E9BC"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3E37A6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182.000.000</w:t>
            </w:r>
          </w:p>
        </w:tc>
        <w:tc>
          <w:tcPr>
            <w:tcW w:w="587" w:type="pct"/>
            <w:tcMar>
              <w:top w:w="30" w:type="dxa"/>
              <w:left w:w="45" w:type="dxa"/>
              <w:bottom w:w="30" w:type="dxa"/>
              <w:right w:w="45" w:type="dxa"/>
            </w:tcMar>
            <w:vAlign w:val="center"/>
            <w:hideMark/>
          </w:tcPr>
          <w:p w14:paraId="77F8178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965.048.544</w:t>
            </w:r>
          </w:p>
        </w:tc>
        <w:tc>
          <w:tcPr>
            <w:tcW w:w="584" w:type="pct"/>
            <w:tcMar>
              <w:top w:w="30" w:type="dxa"/>
              <w:left w:w="45" w:type="dxa"/>
              <w:bottom w:w="30" w:type="dxa"/>
              <w:right w:w="45" w:type="dxa"/>
            </w:tcMar>
            <w:vAlign w:val="center"/>
            <w:hideMark/>
          </w:tcPr>
          <w:p w14:paraId="03ABB33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899.236.497</w:t>
            </w:r>
          </w:p>
        </w:tc>
        <w:tc>
          <w:tcPr>
            <w:tcW w:w="592" w:type="pct"/>
            <w:tcMar>
              <w:top w:w="30" w:type="dxa"/>
              <w:left w:w="45" w:type="dxa"/>
              <w:bottom w:w="30" w:type="dxa"/>
              <w:right w:w="45" w:type="dxa"/>
            </w:tcMar>
            <w:vAlign w:val="center"/>
            <w:hideMark/>
          </w:tcPr>
          <w:p w14:paraId="6D082E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887.687.410</w:t>
            </w:r>
          </w:p>
        </w:tc>
        <w:tc>
          <w:tcPr>
            <w:tcW w:w="589" w:type="pct"/>
            <w:vMerge/>
            <w:vAlign w:val="center"/>
            <w:hideMark/>
          </w:tcPr>
          <w:p w14:paraId="6DF2DAC4" w14:textId="77777777" w:rsidR="00856F66" w:rsidRPr="00E31657" w:rsidRDefault="00856F66" w:rsidP="00AE6E22">
            <w:pPr>
              <w:rPr>
                <w:rFonts w:cs="Arial"/>
                <w:b/>
                <w:bCs/>
                <w:sz w:val="16"/>
                <w:szCs w:val="16"/>
                <w:lang w:val="es-ES_tradnl" w:eastAsia="es-MX"/>
              </w:rPr>
            </w:pPr>
          </w:p>
        </w:tc>
      </w:tr>
      <w:tr w:rsidR="00856F66" w:rsidRPr="00E31657" w14:paraId="64FEA780" w14:textId="77777777" w:rsidTr="00826D72">
        <w:trPr>
          <w:trHeight w:val="315"/>
        </w:trPr>
        <w:tc>
          <w:tcPr>
            <w:tcW w:w="1182" w:type="pct"/>
            <w:vMerge w:val="restart"/>
            <w:tcMar>
              <w:top w:w="30" w:type="dxa"/>
              <w:left w:w="45" w:type="dxa"/>
              <w:bottom w:w="30" w:type="dxa"/>
              <w:right w:w="45" w:type="dxa"/>
            </w:tcMar>
            <w:vAlign w:val="center"/>
            <w:hideMark/>
          </w:tcPr>
          <w:p w14:paraId="04014529"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Ejecutar el 100% de las acciones para el fortalecimiento del Sistema Jurídico Integral Anticorrupción SIJIA (Observatorio Distrital de Contratación y Lucha Anticorrupción-ODCLA y el Modelo de gestión jurídica anticorrupción)</w:t>
            </w:r>
          </w:p>
        </w:tc>
        <w:tc>
          <w:tcPr>
            <w:tcW w:w="421" w:type="pct"/>
            <w:vMerge w:val="restart"/>
            <w:tcMar>
              <w:top w:w="30" w:type="dxa"/>
              <w:left w:w="45" w:type="dxa"/>
              <w:bottom w:w="30" w:type="dxa"/>
              <w:right w:w="45" w:type="dxa"/>
            </w:tcMar>
            <w:vAlign w:val="center"/>
            <w:hideMark/>
          </w:tcPr>
          <w:p w14:paraId="3FC6D88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435" w:type="pct"/>
            <w:vMerge w:val="restart"/>
            <w:tcMar>
              <w:top w:w="30" w:type="dxa"/>
              <w:left w:w="45" w:type="dxa"/>
              <w:bottom w:w="30" w:type="dxa"/>
              <w:right w:w="45" w:type="dxa"/>
            </w:tcMar>
            <w:vAlign w:val="center"/>
            <w:hideMark/>
          </w:tcPr>
          <w:p w14:paraId="4A6CF0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Política Jurídica</w:t>
            </w:r>
          </w:p>
        </w:tc>
        <w:tc>
          <w:tcPr>
            <w:tcW w:w="610" w:type="pct"/>
            <w:tcMar>
              <w:top w:w="30" w:type="dxa"/>
              <w:left w:w="45" w:type="dxa"/>
              <w:bottom w:w="30" w:type="dxa"/>
              <w:right w:w="45" w:type="dxa"/>
            </w:tcMar>
            <w:vAlign w:val="center"/>
            <w:hideMark/>
          </w:tcPr>
          <w:p w14:paraId="504ADA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587" w:type="pct"/>
            <w:tcMar>
              <w:top w:w="30" w:type="dxa"/>
              <w:left w:w="45" w:type="dxa"/>
              <w:bottom w:w="30" w:type="dxa"/>
              <w:right w:w="45" w:type="dxa"/>
            </w:tcMar>
            <w:vAlign w:val="center"/>
            <w:hideMark/>
          </w:tcPr>
          <w:p w14:paraId="629C84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584" w:type="pct"/>
            <w:tcMar>
              <w:top w:w="30" w:type="dxa"/>
              <w:left w:w="45" w:type="dxa"/>
              <w:bottom w:w="30" w:type="dxa"/>
              <w:right w:w="45" w:type="dxa"/>
            </w:tcMar>
            <w:vAlign w:val="center"/>
            <w:hideMark/>
          </w:tcPr>
          <w:p w14:paraId="29A0C4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592" w:type="pct"/>
            <w:tcMar>
              <w:top w:w="30" w:type="dxa"/>
              <w:left w:w="45" w:type="dxa"/>
              <w:bottom w:w="30" w:type="dxa"/>
              <w:right w:w="45" w:type="dxa"/>
            </w:tcMar>
            <w:vAlign w:val="center"/>
            <w:hideMark/>
          </w:tcPr>
          <w:p w14:paraId="1794F8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589" w:type="pct"/>
            <w:vMerge w:val="restart"/>
            <w:tcMar>
              <w:top w:w="30" w:type="dxa"/>
              <w:left w:w="45" w:type="dxa"/>
              <w:bottom w:w="30" w:type="dxa"/>
              <w:right w:w="45" w:type="dxa"/>
            </w:tcMar>
            <w:vAlign w:val="center"/>
            <w:hideMark/>
          </w:tcPr>
          <w:p w14:paraId="48FB1FC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1.047.876.496</w:t>
            </w:r>
          </w:p>
        </w:tc>
      </w:tr>
      <w:tr w:rsidR="00856F66" w:rsidRPr="00E31657" w14:paraId="25BBB1CA" w14:textId="77777777" w:rsidTr="00826D72">
        <w:trPr>
          <w:trHeight w:val="315"/>
        </w:trPr>
        <w:tc>
          <w:tcPr>
            <w:tcW w:w="1182" w:type="pct"/>
            <w:vMerge/>
            <w:vAlign w:val="center"/>
            <w:hideMark/>
          </w:tcPr>
          <w:p w14:paraId="186CB8A9" w14:textId="77777777" w:rsidR="00856F66" w:rsidRPr="00E31657" w:rsidRDefault="00856F66" w:rsidP="00AE6E22">
            <w:pPr>
              <w:rPr>
                <w:rFonts w:cs="Arial"/>
                <w:sz w:val="16"/>
                <w:szCs w:val="16"/>
                <w:lang w:val="es-ES_tradnl" w:eastAsia="es-MX"/>
              </w:rPr>
            </w:pPr>
          </w:p>
        </w:tc>
        <w:tc>
          <w:tcPr>
            <w:tcW w:w="421" w:type="pct"/>
            <w:vMerge/>
            <w:vAlign w:val="center"/>
            <w:hideMark/>
          </w:tcPr>
          <w:p w14:paraId="1DF4F919" w14:textId="77777777" w:rsidR="00856F66" w:rsidRPr="00E31657" w:rsidRDefault="00856F66" w:rsidP="00AE6E22">
            <w:pPr>
              <w:rPr>
                <w:rFonts w:cs="Arial"/>
                <w:sz w:val="16"/>
                <w:szCs w:val="16"/>
                <w:lang w:val="es-ES_tradnl" w:eastAsia="es-MX"/>
              </w:rPr>
            </w:pPr>
          </w:p>
        </w:tc>
        <w:tc>
          <w:tcPr>
            <w:tcW w:w="435" w:type="pct"/>
            <w:vMerge/>
            <w:vAlign w:val="center"/>
            <w:hideMark/>
          </w:tcPr>
          <w:p w14:paraId="5A04F56B"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0B47F2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220.000.000</w:t>
            </w:r>
          </w:p>
        </w:tc>
        <w:tc>
          <w:tcPr>
            <w:tcW w:w="587" w:type="pct"/>
            <w:tcMar>
              <w:top w:w="30" w:type="dxa"/>
              <w:left w:w="45" w:type="dxa"/>
              <w:bottom w:w="30" w:type="dxa"/>
              <w:right w:w="45" w:type="dxa"/>
            </w:tcMar>
            <w:vAlign w:val="center"/>
            <w:hideMark/>
          </w:tcPr>
          <w:p w14:paraId="623674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262.135.922</w:t>
            </w:r>
          </w:p>
        </w:tc>
        <w:tc>
          <w:tcPr>
            <w:tcW w:w="584" w:type="pct"/>
            <w:tcMar>
              <w:top w:w="30" w:type="dxa"/>
              <w:left w:w="45" w:type="dxa"/>
              <w:bottom w:w="30" w:type="dxa"/>
              <w:right w:w="45" w:type="dxa"/>
            </w:tcMar>
            <w:vAlign w:val="center"/>
            <w:hideMark/>
          </w:tcPr>
          <w:p w14:paraId="5E306EE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273.352.814</w:t>
            </w:r>
          </w:p>
        </w:tc>
        <w:tc>
          <w:tcPr>
            <w:tcW w:w="592" w:type="pct"/>
            <w:tcMar>
              <w:top w:w="30" w:type="dxa"/>
              <w:left w:w="45" w:type="dxa"/>
              <w:bottom w:w="30" w:type="dxa"/>
              <w:right w:w="45" w:type="dxa"/>
            </w:tcMar>
            <w:vAlign w:val="center"/>
            <w:hideMark/>
          </w:tcPr>
          <w:p w14:paraId="031B86B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292.387.760</w:t>
            </w:r>
          </w:p>
        </w:tc>
        <w:tc>
          <w:tcPr>
            <w:tcW w:w="589" w:type="pct"/>
            <w:vMerge/>
            <w:vAlign w:val="center"/>
            <w:hideMark/>
          </w:tcPr>
          <w:p w14:paraId="520BB215" w14:textId="77777777" w:rsidR="00856F66" w:rsidRPr="00E31657" w:rsidRDefault="00856F66" w:rsidP="00AE6E22">
            <w:pPr>
              <w:rPr>
                <w:rFonts w:cs="Arial"/>
                <w:b/>
                <w:bCs/>
                <w:sz w:val="16"/>
                <w:szCs w:val="16"/>
                <w:lang w:val="es-ES_tradnl" w:eastAsia="es-MX"/>
              </w:rPr>
            </w:pPr>
          </w:p>
        </w:tc>
      </w:tr>
      <w:tr w:rsidR="00856F66" w:rsidRPr="00E31657" w14:paraId="1ECC9641"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2CA05AEA"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Gestión pública</w:t>
            </w:r>
          </w:p>
        </w:tc>
      </w:tr>
      <w:tr w:rsidR="00856F66" w:rsidRPr="00E31657" w14:paraId="00F2E2B1" w14:textId="77777777" w:rsidTr="00826D72">
        <w:trPr>
          <w:trHeight w:val="630"/>
        </w:trPr>
        <w:tc>
          <w:tcPr>
            <w:tcW w:w="1182" w:type="pct"/>
            <w:vMerge w:val="restart"/>
            <w:tcMar>
              <w:top w:w="30" w:type="dxa"/>
              <w:left w:w="45" w:type="dxa"/>
              <w:bottom w:w="30" w:type="dxa"/>
              <w:right w:w="45" w:type="dxa"/>
            </w:tcMar>
            <w:vAlign w:val="center"/>
            <w:hideMark/>
          </w:tcPr>
          <w:p w14:paraId="29AD0DE3"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 xml:space="preserve">Ejecutar una estrategia de comunicación pública que permita brindar información sobre la oferta de servicios y la gestión de la administración distrital. </w:t>
            </w:r>
          </w:p>
        </w:tc>
        <w:tc>
          <w:tcPr>
            <w:tcW w:w="421" w:type="pct"/>
            <w:vMerge w:val="restart"/>
            <w:tcMar>
              <w:top w:w="30" w:type="dxa"/>
              <w:left w:w="45" w:type="dxa"/>
              <w:bottom w:w="30" w:type="dxa"/>
              <w:right w:w="45" w:type="dxa"/>
            </w:tcMar>
            <w:vAlign w:val="center"/>
            <w:hideMark/>
          </w:tcPr>
          <w:p w14:paraId="6EFA81D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1B5541F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610" w:type="pct"/>
            <w:tcMar>
              <w:top w:w="30" w:type="dxa"/>
              <w:left w:w="45" w:type="dxa"/>
              <w:bottom w:w="30" w:type="dxa"/>
              <w:right w:w="45" w:type="dxa"/>
            </w:tcMar>
            <w:vAlign w:val="center"/>
            <w:hideMark/>
          </w:tcPr>
          <w:p w14:paraId="30D1A26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7" w:type="pct"/>
            <w:tcMar>
              <w:top w:w="30" w:type="dxa"/>
              <w:left w:w="45" w:type="dxa"/>
              <w:bottom w:w="30" w:type="dxa"/>
              <w:right w:w="45" w:type="dxa"/>
            </w:tcMar>
            <w:vAlign w:val="center"/>
            <w:hideMark/>
          </w:tcPr>
          <w:p w14:paraId="754F862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4" w:type="pct"/>
            <w:tcMar>
              <w:top w:w="30" w:type="dxa"/>
              <w:left w:w="45" w:type="dxa"/>
              <w:bottom w:w="30" w:type="dxa"/>
              <w:right w:w="45" w:type="dxa"/>
            </w:tcMar>
            <w:vAlign w:val="center"/>
            <w:hideMark/>
          </w:tcPr>
          <w:p w14:paraId="06D99BD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92" w:type="pct"/>
            <w:tcMar>
              <w:top w:w="30" w:type="dxa"/>
              <w:left w:w="45" w:type="dxa"/>
              <w:bottom w:w="30" w:type="dxa"/>
              <w:right w:w="45" w:type="dxa"/>
            </w:tcMar>
            <w:vAlign w:val="center"/>
            <w:hideMark/>
          </w:tcPr>
          <w:p w14:paraId="653C910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vMerge w:val="restart"/>
            <w:tcMar>
              <w:top w:w="30" w:type="dxa"/>
              <w:left w:w="45" w:type="dxa"/>
              <w:bottom w:w="30" w:type="dxa"/>
              <w:right w:w="45" w:type="dxa"/>
            </w:tcMar>
            <w:vAlign w:val="center"/>
            <w:hideMark/>
          </w:tcPr>
          <w:p w14:paraId="5F95628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86.172.349.323</w:t>
            </w:r>
          </w:p>
        </w:tc>
      </w:tr>
      <w:tr w:rsidR="00856F66" w:rsidRPr="00E31657" w14:paraId="752A79E1" w14:textId="77777777" w:rsidTr="00826D72">
        <w:trPr>
          <w:trHeight w:val="630"/>
        </w:trPr>
        <w:tc>
          <w:tcPr>
            <w:tcW w:w="1182" w:type="pct"/>
            <w:vMerge/>
            <w:vAlign w:val="center"/>
            <w:hideMark/>
          </w:tcPr>
          <w:p w14:paraId="00EF5282" w14:textId="77777777" w:rsidR="00856F66" w:rsidRPr="00E31657" w:rsidRDefault="00856F66" w:rsidP="00072173">
            <w:pPr>
              <w:jc w:val="right"/>
              <w:rPr>
                <w:rFonts w:cs="Arial"/>
                <w:sz w:val="16"/>
                <w:szCs w:val="16"/>
                <w:lang w:val="es-ES_tradnl" w:eastAsia="es-MX"/>
              </w:rPr>
            </w:pPr>
          </w:p>
        </w:tc>
        <w:tc>
          <w:tcPr>
            <w:tcW w:w="421" w:type="pct"/>
            <w:vMerge/>
            <w:vAlign w:val="center"/>
            <w:hideMark/>
          </w:tcPr>
          <w:p w14:paraId="783CED29" w14:textId="77777777" w:rsidR="00856F66" w:rsidRPr="00E31657" w:rsidRDefault="00856F66" w:rsidP="00AE6E22">
            <w:pPr>
              <w:rPr>
                <w:rFonts w:cs="Arial"/>
                <w:sz w:val="16"/>
                <w:szCs w:val="16"/>
                <w:lang w:val="es-ES_tradnl" w:eastAsia="es-MX"/>
              </w:rPr>
            </w:pPr>
          </w:p>
        </w:tc>
        <w:tc>
          <w:tcPr>
            <w:tcW w:w="435" w:type="pct"/>
            <w:vMerge/>
            <w:vAlign w:val="center"/>
            <w:hideMark/>
          </w:tcPr>
          <w:p w14:paraId="5463427A"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7EFA284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20.049.019.687</w:t>
            </w:r>
          </w:p>
        </w:tc>
        <w:tc>
          <w:tcPr>
            <w:tcW w:w="587" w:type="pct"/>
            <w:tcMar>
              <w:top w:w="30" w:type="dxa"/>
              <w:left w:w="45" w:type="dxa"/>
              <w:bottom w:w="30" w:type="dxa"/>
              <w:right w:w="45" w:type="dxa"/>
            </w:tcMar>
            <w:vAlign w:val="center"/>
            <w:hideMark/>
          </w:tcPr>
          <w:p w14:paraId="5DE8CD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20.609.911.848</w:t>
            </w:r>
          </w:p>
        </w:tc>
        <w:tc>
          <w:tcPr>
            <w:tcW w:w="584" w:type="pct"/>
            <w:tcMar>
              <w:top w:w="30" w:type="dxa"/>
              <w:left w:w="45" w:type="dxa"/>
              <w:bottom w:w="30" w:type="dxa"/>
              <w:right w:w="45" w:type="dxa"/>
            </w:tcMar>
            <w:vAlign w:val="center"/>
            <w:hideMark/>
          </w:tcPr>
          <w:p w14:paraId="4724F0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22.756.982.318</w:t>
            </w:r>
          </w:p>
        </w:tc>
        <w:tc>
          <w:tcPr>
            <w:tcW w:w="592" w:type="pct"/>
            <w:tcMar>
              <w:top w:w="30" w:type="dxa"/>
              <w:left w:w="45" w:type="dxa"/>
              <w:bottom w:w="30" w:type="dxa"/>
              <w:right w:w="45" w:type="dxa"/>
            </w:tcMar>
            <w:vAlign w:val="center"/>
            <w:hideMark/>
          </w:tcPr>
          <w:p w14:paraId="6F25913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22.756.435.471</w:t>
            </w:r>
          </w:p>
        </w:tc>
        <w:tc>
          <w:tcPr>
            <w:tcW w:w="589" w:type="pct"/>
            <w:vMerge/>
            <w:vAlign w:val="center"/>
            <w:hideMark/>
          </w:tcPr>
          <w:p w14:paraId="0F4214F3" w14:textId="77777777" w:rsidR="00856F66" w:rsidRPr="00E31657" w:rsidRDefault="00856F66" w:rsidP="00AE6E22">
            <w:pPr>
              <w:rPr>
                <w:rFonts w:cs="Arial"/>
                <w:b/>
                <w:bCs/>
                <w:sz w:val="16"/>
                <w:szCs w:val="16"/>
                <w:lang w:val="es-ES_tradnl" w:eastAsia="es-MX"/>
              </w:rPr>
            </w:pPr>
          </w:p>
        </w:tc>
      </w:tr>
      <w:tr w:rsidR="00856F66" w:rsidRPr="00E31657" w14:paraId="190D882D" w14:textId="77777777" w:rsidTr="00826D72">
        <w:trPr>
          <w:trHeight w:val="630"/>
        </w:trPr>
        <w:tc>
          <w:tcPr>
            <w:tcW w:w="1182" w:type="pct"/>
            <w:vMerge w:val="restart"/>
            <w:tcMar>
              <w:top w:w="30" w:type="dxa"/>
              <w:left w:w="45" w:type="dxa"/>
              <w:bottom w:w="30" w:type="dxa"/>
              <w:right w:w="45" w:type="dxa"/>
            </w:tcMar>
            <w:vAlign w:val="center"/>
            <w:hideMark/>
          </w:tcPr>
          <w:p w14:paraId="79929124"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lastRenderedPageBreak/>
              <w:t>Fortalecer la estrategia de Gobierno Abierto que integre y articule acciones de transparencia, innovación, datos abiertos, colaboración y alianzas con organismos internacionales y nacionales que fomenten confianza y acerquen a la ciudadanía con la Administración.</w:t>
            </w:r>
          </w:p>
        </w:tc>
        <w:tc>
          <w:tcPr>
            <w:tcW w:w="421" w:type="pct"/>
            <w:vMerge w:val="restart"/>
            <w:tcMar>
              <w:top w:w="30" w:type="dxa"/>
              <w:left w:w="45" w:type="dxa"/>
              <w:bottom w:w="30" w:type="dxa"/>
              <w:right w:w="45" w:type="dxa"/>
            </w:tcMar>
            <w:vAlign w:val="center"/>
            <w:hideMark/>
          </w:tcPr>
          <w:p w14:paraId="06D6FB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435" w:type="pct"/>
            <w:vMerge w:val="restart"/>
            <w:tcMar>
              <w:top w:w="30" w:type="dxa"/>
              <w:left w:w="45" w:type="dxa"/>
              <w:bottom w:w="30" w:type="dxa"/>
              <w:right w:w="45" w:type="dxa"/>
            </w:tcMar>
            <w:vAlign w:val="center"/>
            <w:hideMark/>
          </w:tcPr>
          <w:p w14:paraId="006FCDB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610" w:type="pct"/>
            <w:tcMar>
              <w:top w:w="30" w:type="dxa"/>
              <w:left w:w="45" w:type="dxa"/>
              <w:bottom w:w="30" w:type="dxa"/>
              <w:right w:w="45" w:type="dxa"/>
            </w:tcMar>
            <w:vAlign w:val="center"/>
            <w:hideMark/>
          </w:tcPr>
          <w:p w14:paraId="5C3488F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587" w:type="pct"/>
            <w:tcMar>
              <w:top w:w="30" w:type="dxa"/>
              <w:left w:w="45" w:type="dxa"/>
              <w:bottom w:w="30" w:type="dxa"/>
              <w:right w:w="45" w:type="dxa"/>
            </w:tcMar>
            <w:vAlign w:val="center"/>
            <w:hideMark/>
          </w:tcPr>
          <w:p w14:paraId="6676C27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4" w:type="pct"/>
            <w:tcMar>
              <w:top w:w="30" w:type="dxa"/>
              <w:left w:w="45" w:type="dxa"/>
              <w:bottom w:w="30" w:type="dxa"/>
              <w:right w:w="45" w:type="dxa"/>
            </w:tcMar>
            <w:vAlign w:val="center"/>
            <w:hideMark/>
          </w:tcPr>
          <w:p w14:paraId="750E717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92" w:type="pct"/>
            <w:tcMar>
              <w:top w:w="30" w:type="dxa"/>
              <w:left w:w="45" w:type="dxa"/>
              <w:bottom w:w="30" w:type="dxa"/>
              <w:right w:w="45" w:type="dxa"/>
            </w:tcMar>
            <w:vAlign w:val="center"/>
            <w:hideMark/>
          </w:tcPr>
          <w:p w14:paraId="4624E6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589" w:type="pct"/>
            <w:vMerge w:val="restart"/>
            <w:tcMar>
              <w:top w:w="30" w:type="dxa"/>
              <w:left w:w="45" w:type="dxa"/>
              <w:bottom w:w="30" w:type="dxa"/>
              <w:right w:w="45" w:type="dxa"/>
            </w:tcMar>
            <w:vAlign w:val="center"/>
            <w:hideMark/>
          </w:tcPr>
          <w:p w14:paraId="109AADE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4.641.593.431</w:t>
            </w:r>
          </w:p>
        </w:tc>
      </w:tr>
      <w:tr w:rsidR="00856F66" w:rsidRPr="00E31657" w14:paraId="74DA01A2" w14:textId="77777777" w:rsidTr="00826D72">
        <w:trPr>
          <w:trHeight w:val="630"/>
        </w:trPr>
        <w:tc>
          <w:tcPr>
            <w:tcW w:w="1182" w:type="pct"/>
            <w:vMerge/>
            <w:vAlign w:val="center"/>
            <w:hideMark/>
          </w:tcPr>
          <w:p w14:paraId="372DEE5B" w14:textId="77777777" w:rsidR="00856F66" w:rsidRPr="00E31657" w:rsidRDefault="00856F66" w:rsidP="00072173">
            <w:pPr>
              <w:jc w:val="right"/>
              <w:rPr>
                <w:rFonts w:cs="Arial"/>
                <w:sz w:val="16"/>
                <w:szCs w:val="16"/>
                <w:lang w:val="es-ES_tradnl" w:eastAsia="es-MX"/>
              </w:rPr>
            </w:pPr>
          </w:p>
        </w:tc>
        <w:tc>
          <w:tcPr>
            <w:tcW w:w="421" w:type="pct"/>
            <w:vMerge/>
            <w:vAlign w:val="center"/>
            <w:hideMark/>
          </w:tcPr>
          <w:p w14:paraId="781DE1E3" w14:textId="77777777" w:rsidR="00856F66" w:rsidRPr="00E31657" w:rsidRDefault="00856F66" w:rsidP="00AE6E22">
            <w:pPr>
              <w:rPr>
                <w:rFonts w:cs="Arial"/>
                <w:sz w:val="16"/>
                <w:szCs w:val="16"/>
                <w:lang w:val="es-ES_tradnl" w:eastAsia="es-MX"/>
              </w:rPr>
            </w:pPr>
          </w:p>
        </w:tc>
        <w:tc>
          <w:tcPr>
            <w:tcW w:w="435" w:type="pct"/>
            <w:vMerge/>
            <w:vAlign w:val="center"/>
            <w:hideMark/>
          </w:tcPr>
          <w:p w14:paraId="2D6FB096"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30D62C5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757.933.269</w:t>
            </w:r>
          </w:p>
        </w:tc>
        <w:tc>
          <w:tcPr>
            <w:tcW w:w="587" w:type="pct"/>
            <w:tcMar>
              <w:top w:w="30" w:type="dxa"/>
              <w:left w:w="45" w:type="dxa"/>
              <w:bottom w:w="30" w:type="dxa"/>
              <w:right w:w="45" w:type="dxa"/>
            </w:tcMar>
            <w:vAlign w:val="center"/>
            <w:hideMark/>
          </w:tcPr>
          <w:p w14:paraId="23706B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1.200.137.977</w:t>
            </w:r>
          </w:p>
        </w:tc>
        <w:tc>
          <w:tcPr>
            <w:tcW w:w="584" w:type="pct"/>
            <w:tcMar>
              <w:top w:w="30" w:type="dxa"/>
              <w:left w:w="45" w:type="dxa"/>
              <w:bottom w:w="30" w:type="dxa"/>
              <w:right w:w="45" w:type="dxa"/>
            </w:tcMar>
            <w:vAlign w:val="center"/>
            <w:hideMark/>
          </w:tcPr>
          <w:p w14:paraId="2AE997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1.480.142.033</w:t>
            </w:r>
          </w:p>
        </w:tc>
        <w:tc>
          <w:tcPr>
            <w:tcW w:w="592" w:type="pct"/>
            <w:tcMar>
              <w:top w:w="30" w:type="dxa"/>
              <w:left w:w="45" w:type="dxa"/>
              <w:bottom w:w="30" w:type="dxa"/>
              <w:right w:w="45" w:type="dxa"/>
            </w:tcMar>
            <w:vAlign w:val="center"/>
            <w:hideMark/>
          </w:tcPr>
          <w:p w14:paraId="5E69B8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1.203.380.153</w:t>
            </w:r>
          </w:p>
        </w:tc>
        <w:tc>
          <w:tcPr>
            <w:tcW w:w="589" w:type="pct"/>
            <w:vMerge/>
            <w:vAlign w:val="center"/>
            <w:hideMark/>
          </w:tcPr>
          <w:p w14:paraId="18D31504" w14:textId="77777777" w:rsidR="00856F66" w:rsidRPr="00E31657" w:rsidRDefault="00856F66" w:rsidP="00AE6E22">
            <w:pPr>
              <w:rPr>
                <w:rFonts w:cs="Arial"/>
                <w:b/>
                <w:bCs/>
                <w:sz w:val="16"/>
                <w:szCs w:val="16"/>
                <w:lang w:val="es-ES_tradnl" w:eastAsia="es-MX"/>
              </w:rPr>
            </w:pPr>
          </w:p>
        </w:tc>
      </w:tr>
      <w:tr w:rsidR="00856F66" w:rsidRPr="00E31657" w14:paraId="73FE303F" w14:textId="77777777" w:rsidTr="00826D72">
        <w:trPr>
          <w:trHeight w:val="630"/>
        </w:trPr>
        <w:tc>
          <w:tcPr>
            <w:tcW w:w="1182" w:type="pct"/>
            <w:vMerge w:val="restart"/>
            <w:tcMar>
              <w:top w:w="30" w:type="dxa"/>
              <w:left w:w="45" w:type="dxa"/>
              <w:bottom w:w="30" w:type="dxa"/>
              <w:right w:w="45" w:type="dxa"/>
            </w:tcMar>
            <w:vAlign w:val="center"/>
            <w:hideMark/>
          </w:tcPr>
          <w:p w14:paraId="6A7D931E"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Implementar una (1) estrategia de cambio cultural para la integridad, prevención de prácticas irregulares en el Distrito y generación de mecanismos de colaboración para dar mayor transparencia al relacionamiento con los grupos de interés y la ciudadanía.</w:t>
            </w:r>
          </w:p>
        </w:tc>
        <w:tc>
          <w:tcPr>
            <w:tcW w:w="421" w:type="pct"/>
            <w:vMerge w:val="restart"/>
            <w:tcMar>
              <w:top w:w="30" w:type="dxa"/>
              <w:left w:w="45" w:type="dxa"/>
              <w:bottom w:w="30" w:type="dxa"/>
              <w:right w:w="45" w:type="dxa"/>
            </w:tcMar>
            <w:vAlign w:val="center"/>
            <w:hideMark/>
          </w:tcPr>
          <w:p w14:paraId="6E81DC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06E4167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610" w:type="pct"/>
            <w:tcMar>
              <w:top w:w="30" w:type="dxa"/>
              <w:left w:w="45" w:type="dxa"/>
              <w:bottom w:w="30" w:type="dxa"/>
              <w:right w:w="45" w:type="dxa"/>
            </w:tcMar>
            <w:vAlign w:val="center"/>
            <w:hideMark/>
          </w:tcPr>
          <w:p w14:paraId="773DFB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587" w:type="pct"/>
            <w:tcMar>
              <w:top w:w="30" w:type="dxa"/>
              <w:left w:w="45" w:type="dxa"/>
              <w:bottom w:w="30" w:type="dxa"/>
              <w:right w:w="45" w:type="dxa"/>
            </w:tcMar>
            <w:vAlign w:val="center"/>
            <w:hideMark/>
          </w:tcPr>
          <w:p w14:paraId="1FF70EF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4" w:type="pct"/>
            <w:tcMar>
              <w:top w:w="30" w:type="dxa"/>
              <w:left w:w="45" w:type="dxa"/>
              <w:bottom w:w="30" w:type="dxa"/>
              <w:right w:w="45" w:type="dxa"/>
            </w:tcMar>
            <w:vAlign w:val="center"/>
            <w:hideMark/>
          </w:tcPr>
          <w:p w14:paraId="6404E4A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92" w:type="pct"/>
            <w:tcMar>
              <w:top w:w="30" w:type="dxa"/>
              <w:left w:w="45" w:type="dxa"/>
              <w:bottom w:w="30" w:type="dxa"/>
              <w:right w:w="45" w:type="dxa"/>
            </w:tcMar>
            <w:vAlign w:val="center"/>
            <w:hideMark/>
          </w:tcPr>
          <w:p w14:paraId="2AC3CD5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589" w:type="pct"/>
            <w:vMerge w:val="restart"/>
            <w:tcMar>
              <w:top w:w="30" w:type="dxa"/>
              <w:left w:w="45" w:type="dxa"/>
              <w:bottom w:w="30" w:type="dxa"/>
              <w:right w:w="45" w:type="dxa"/>
            </w:tcMar>
            <w:vAlign w:val="center"/>
            <w:hideMark/>
          </w:tcPr>
          <w:p w14:paraId="34A9DFD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8.202.191.610</w:t>
            </w:r>
          </w:p>
        </w:tc>
      </w:tr>
      <w:tr w:rsidR="00856F66" w:rsidRPr="00E31657" w14:paraId="767EAD71" w14:textId="77777777" w:rsidTr="00826D72">
        <w:trPr>
          <w:trHeight w:val="630"/>
        </w:trPr>
        <w:tc>
          <w:tcPr>
            <w:tcW w:w="1182" w:type="pct"/>
            <w:vMerge/>
            <w:vAlign w:val="center"/>
            <w:hideMark/>
          </w:tcPr>
          <w:p w14:paraId="798DD09A" w14:textId="77777777" w:rsidR="00856F66" w:rsidRPr="00E31657" w:rsidRDefault="00856F66" w:rsidP="00072173">
            <w:pPr>
              <w:jc w:val="right"/>
              <w:rPr>
                <w:rFonts w:cs="Arial"/>
                <w:sz w:val="16"/>
                <w:szCs w:val="16"/>
                <w:lang w:val="es-ES_tradnl" w:eastAsia="es-MX"/>
              </w:rPr>
            </w:pPr>
          </w:p>
        </w:tc>
        <w:tc>
          <w:tcPr>
            <w:tcW w:w="421" w:type="pct"/>
            <w:vMerge/>
            <w:vAlign w:val="center"/>
            <w:hideMark/>
          </w:tcPr>
          <w:p w14:paraId="50889D8E" w14:textId="77777777" w:rsidR="00856F66" w:rsidRPr="00E31657" w:rsidRDefault="00856F66" w:rsidP="00AE6E22">
            <w:pPr>
              <w:rPr>
                <w:rFonts w:cs="Arial"/>
                <w:sz w:val="16"/>
                <w:szCs w:val="16"/>
                <w:lang w:val="es-ES_tradnl" w:eastAsia="es-MX"/>
              </w:rPr>
            </w:pPr>
          </w:p>
        </w:tc>
        <w:tc>
          <w:tcPr>
            <w:tcW w:w="435" w:type="pct"/>
            <w:vMerge/>
            <w:vAlign w:val="center"/>
            <w:hideMark/>
          </w:tcPr>
          <w:p w14:paraId="241122EF"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4075F6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1.187.341.839</w:t>
            </w:r>
          </w:p>
        </w:tc>
        <w:tc>
          <w:tcPr>
            <w:tcW w:w="587" w:type="pct"/>
            <w:tcMar>
              <w:top w:w="30" w:type="dxa"/>
              <w:left w:w="45" w:type="dxa"/>
              <w:bottom w:w="30" w:type="dxa"/>
              <w:right w:w="45" w:type="dxa"/>
            </w:tcMar>
            <w:vAlign w:val="center"/>
            <w:hideMark/>
          </w:tcPr>
          <w:p w14:paraId="0872F86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2.235.601.565</w:t>
            </w:r>
          </w:p>
        </w:tc>
        <w:tc>
          <w:tcPr>
            <w:tcW w:w="584" w:type="pct"/>
            <w:tcMar>
              <w:top w:w="30" w:type="dxa"/>
              <w:left w:w="45" w:type="dxa"/>
              <w:bottom w:w="30" w:type="dxa"/>
              <w:right w:w="45" w:type="dxa"/>
            </w:tcMar>
            <w:vAlign w:val="center"/>
            <w:hideMark/>
          </w:tcPr>
          <w:p w14:paraId="3DAFE37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2.318.719.384</w:t>
            </w:r>
          </w:p>
        </w:tc>
        <w:tc>
          <w:tcPr>
            <w:tcW w:w="592" w:type="pct"/>
            <w:tcMar>
              <w:top w:w="30" w:type="dxa"/>
              <w:left w:w="45" w:type="dxa"/>
              <w:bottom w:w="30" w:type="dxa"/>
              <w:right w:w="45" w:type="dxa"/>
            </w:tcMar>
            <w:vAlign w:val="center"/>
            <w:hideMark/>
          </w:tcPr>
          <w:p w14:paraId="1FB5AB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2.460.528.821</w:t>
            </w:r>
          </w:p>
        </w:tc>
        <w:tc>
          <w:tcPr>
            <w:tcW w:w="589" w:type="pct"/>
            <w:vMerge/>
            <w:vAlign w:val="center"/>
            <w:hideMark/>
          </w:tcPr>
          <w:p w14:paraId="178C2546" w14:textId="77777777" w:rsidR="00856F66" w:rsidRPr="00E31657" w:rsidRDefault="00856F66" w:rsidP="00AE6E22">
            <w:pPr>
              <w:rPr>
                <w:rFonts w:cs="Arial"/>
                <w:b/>
                <w:bCs/>
                <w:sz w:val="16"/>
                <w:szCs w:val="16"/>
                <w:lang w:val="es-ES_tradnl" w:eastAsia="es-MX"/>
              </w:rPr>
            </w:pPr>
          </w:p>
        </w:tc>
      </w:tr>
      <w:tr w:rsidR="00856F66" w:rsidRPr="00E31657" w14:paraId="525AE479" w14:textId="77777777" w:rsidTr="00826D72">
        <w:trPr>
          <w:trHeight w:val="630"/>
        </w:trPr>
        <w:tc>
          <w:tcPr>
            <w:tcW w:w="1182" w:type="pct"/>
            <w:vMerge w:val="restart"/>
            <w:tcMar>
              <w:top w:w="30" w:type="dxa"/>
              <w:left w:w="45" w:type="dxa"/>
              <w:bottom w:w="30" w:type="dxa"/>
              <w:right w:w="45" w:type="dxa"/>
            </w:tcMar>
            <w:vAlign w:val="center"/>
            <w:hideMark/>
          </w:tcPr>
          <w:p w14:paraId="74D0BF09" w14:textId="77777777" w:rsidR="00856F66" w:rsidRPr="00E31657" w:rsidRDefault="00856F66" w:rsidP="00072173">
            <w:pPr>
              <w:jc w:val="right"/>
              <w:rPr>
                <w:rFonts w:cs="Arial"/>
                <w:sz w:val="16"/>
                <w:szCs w:val="16"/>
                <w:lang w:val="es-ES_tradnl" w:eastAsia="es-MX"/>
              </w:rPr>
            </w:pPr>
            <w:r w:rsidRPr="00E31657">
              <w:rPr>
                <w:rFonts w:cs="Arial"/>
                <w:sz w:val="16"/>
                <w:szCs w:val="16"/>
                <w:lang w:val="es-ES_tradnl" w:eastAsia="es-MX"/>
              </w:rPr>
              <w:t>Poner en marcha 1 una estrategia de posicionamiento de la memoria investigación histórica y difusión del patrimonio documental orientada a la consulta ciudadana.</w:t>
            </w:r>
          </w:p>
        </w:tc>
        <w:tc>
          <w:tcPr>
            <w:tcW w:w="421" w:type="pct"/>
            <w:vMerge w:val="restart"/>
            <w:tcMar>
              <w:top w:w="30" w:type="dxa"/>
              <w:left w:w="45" w:type="dxa"/>
              <w:bottom w:w="30" w:type="dxa"/>
              <w:right w:w="45" w:type="dxa"/>
            </w:tcMar>
            <w:vAlign w:val="center"/>
            <w:hideMark/>
          </w:tcPr>
          <w:p w14:paraId="073DA7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6343E4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610" w:type="pct"/>
            <w:tcMar>
              <w:top w:w="30" w:type="dxa"/>
              <w:left w:w="45" w:type="dxa"/>
              <w:bottom w:w="30" w:type="dxa"/>
              <w:right w:w="45" w:type="dxa"/>
            </w:tcMar>
            <w:vAlign w:val="center"/>
            <w:hideMark/>
          </w:tcPr>
          <w:p w14:paraId="3E9F43C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7" w:type="pct"/>
            <w:tcMar>
              <w:top w:w="30" w:type="dxa"/>
              <w:left w:w="45" w:type="dxa"/>
              <w:bottom w:w="30" w:type="dxa"/>
              <w:right w:w="45" w:type="dxa"/>
            </w:tcMar>
            <w:vAlign w:val="center"/>
            <w:hideMark/>
          </w:tcPr>
          <w:p w14:paraId="7EF8E2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4" w:type="pct"/>
            <w:tcMar>
              <w:top w:w="30" w:type="dxa"/>
              <w:left w:w="45" w:type="dxa"/>
              <w:bottom w:w="30" w:type="dxa"/>
              <w:right w:w="45" w:type="dxa"/>
            </w:tcMar>
            <w:vAlign w:val="center"/>
            <w:hideMark/>
          </w:tcPr>
          <w:p w14:paraId="2D0D3F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92" w:type="pct"/>
            <w:tcMar>
              <w:top w:w="30" w:type="dxa"/>
              <w:left w:w="45" w:type="dxa"/>
              <w:bottom w:w="30" w:type="dxa"/>
              <w:right w:w="45" w:type="dxa"/>
            </w:tcMar>
            <w:vAlign w:val="center"/>
            <w:hideMark/>
          </w:tcPr>
          <w:p w14:paraId="7058EA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9" w:type="pct"/>
            <w:vMerge w:val="restart"/>
            <w:tcMar>
              <w:top w:w="30" w:type="dxa"/>
              <w:left w:w="45" w:type="dxa"/>
              <w:bottom w:w="30" w:type="dxa"/>
              <w:right w:w="45" w:type="dxa"/>
            </w:tcMar>
            <w:vAlign w:val="center"/>
            <w:hideMark/>
          </w:tcPr>
          <w:p w14:paraId="1E3AD71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21.023.270.144</w:t>
            </w:r>
          </w:p>
        </w:tc>
      </w:tr>
      <w:tr w:rsidR="00856F66" w:rsidRPr="00E31657" w14:paraId="3044F119" w14:textId="77777777" w:rsidTr="00826D72">
        <w:trPr>
          <w:trHeight w:val="630"/>
        </w:trPr>
        <w:tc>
          <w:tcPr>
            <w:tcW w:w="1182" w:type="pct"/>
            <w:vMerge/>
            <w:vAlign w:val="center"/>
            <w:hideMark/>
          </w:tcPr>
          <w:p w14:paraId="03FBE29B" w14:textId="77777777" w:rsidR="00856F66" w:rsidRPr="00E31657" w:rsidRDefault="00856F66" w:rsidP="00AE6E22">
            <w:pPr>
              <w:rPr>
                <w:rFonts w:cs="Arial"/>
                <w:sz w:val="16"/>
                <w:szCs w:val="16"/>
                <w:lang w:val="es-ES_tradnl" w:eastAsia="es-MX"/>
              </w:rPr>
            </w:pPr>
          </w:p>
        </w:tc>
        <w:tc>
          <w:tcPr>
            <w:tcW w:w="421" w:type="pct"/>
            <w:vMerge/>
            <w:vAlign w:val="center"/>
            <w:hideMark/>
          </w:tcPr>
          <w:p w14:paraId="71311651" w14:textId="77777777" w:rsidR="00856F66" w:rsidRPr="00E31657" w:rsidRDefault="00856F66" w:rsidP="00AE6E22">
            <w:pPr>
              <w:rPr>
                <w:rFonts w:cs="Arial"/>
                <w:sz w:val="16"/>
                <w:szCs w:val="16"/>
                <w:lang w:val="es-ES_tradnl" w:eastAsia="es-MX"/>
              </w:rPr>
            </w:pPr>
          </w:p>
        </w:tc>
        <w:tc>
          <w:tcPr>
            <w:tcW w:w="435" w:type="pct"/>
            <w:vMerge/>
            <w:vAlign w:val="center"/>
            <w:hideMark/>
          </w:tcPr>
          <w:p w14:paraId="0332229B"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35664D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1.507.061.830</w:t>
            </w:r>
          </w:p>
        </w:tc>
        <w:tc>
          <w:tcPr>
            <w:tcW w:w="587" w:type="pct"/>
            <w:tcMar>
              <w:top w:w="30" w:type="dxa"/>
              <w:left w:w="45" w:type="dxa"/>
              <w:bottom w:w="30" w:type="dxa"/>
              <w:right w:w="45" w:type="dxa"/>
            </w:tcMar>
            <w:vAlign w:val="center"/>
            <w:hideMark/>
          </w:tcPr>
          <w:p w14:paraId="30B731D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5.920.272.285</w:t>
            </w:r>
          </w:p>
        </w:tc>
        <w:tc>
          <w:tcPr>
            <w:tcW w:w="584" w:type="pct"/>
            <w:tcMar>
              <w:top w:w="30" w:type="dxa"/>
              <w:left w:w="45" w:type="dxa"/>
              <w:bottom w:w="30" w:type="dxa"/>
              <w:right w:w="45" w:type="dxa"/>
            </w:tcMar>
            <w:vAlign w:val="center"/>
            <w:hideMark/>
          </w:tcPr>
          <w:p w14:paraId="7F00D56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6.936.994.697</w:t>
            </w:r>
          </w:p>
        </w:tc>
        <w:tc>
          <w:tcPr>
            <w:tcW w:w="592" w:type="pct"/>
            <w:tcMar>
              <w:top w:w="30" w:type="dxa"/>
              <w:left w:w="45" w:type="dxa"/>
              <w:bottom w:w="30" w:type="dxa"/>
              <w:right w:w="45" w:type="dxa"/>
            </w:tcMar>
            <w:vAlign w:val="center"/>
            <w:hideMark/>
          </w:tcPr>
          <w:p w14:paraId="5E06F2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6.658.941.332</w:t>
            </w:r>
          </w:p>
        </w:tc>
        <w:tc>
          <w:tcPr>
            <w:tcW w:w="589" w:type="pct"/>
            <w:vMerge/>
            <w:vAlign w:val="center"/>
            <w:hideMark/>
          </w:tcPr>
          <w:p w14:paraId="4B87B559" w14:textId="77777777" w:rsidR="00856F66" w:rsidRPr="00E31657" w:rsidRDefault="00856F66" w:rsidP="00AE6E22">
            <w:pPr>
              <w:rPr>
                <w:rFonts w:cs="Arial"/>
                <w:b/>
                <w:bCs/>
                <w:sz w:val="16"/>
                <w:szCs w:val="16"/>
                <w:lang w:val="es-ES_tradnl" w:eastAsia="es-MX"/>
              </w:rPr>
            </w:pPr>
          </w:p>
        </w:tc>
      </w:tr>
      <w:tr w:rsidR="00856F66" w:rsidRPr="00E31657" w14:paraId="7F90FA87"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5FE216C9"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Gobierno</w:t>
            </w:r>
          </w:p>
        </w:tc>
      </w:tr>
      <w:tr w:rsidR="00856F66" w:rsidRPr="00E31657" w14:paraId="7765BD35" w14:textId="77777777" w:rsidTr="00826D72">
        <w:trPr>
          <w:trHeight w:val="480"/>
        </w:trPr>
        <w:tc>
          <w:tcPr>
            <w:tcW w:w="1182" w:type="pct"/>
            <w:vMerge w:val="restart"/>
            <w:tcMar>
              <w:top w:w="30" w:type="dxa"/>
              <w:left w:w="45" w:type="dxa"/>
              <w:bottom w:w="30" w:type="dxa"/>
              <w:right w:w="45" w:type="dxa"/>
            </w:tcMar>
            <w:vAlign w:val="center"/>
            <w:hideMark/>
          </w:tcPr>
          <w:p w14:paraId="77E80141"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t xml:space="preserve">Ejecutar 12 acciones que garanticen atención a la ciudadanía transparencia anticorrupción y acceso a la información en el marco de las políticas públicas existentes. </w:t>
            </w:r>
          </w:p>
        </w:tc>
        <w:tc>
          <w:tcPr>
            <w:tcW w:w="421" w:type="pct"/>
            <w:vMerge w:val="restart"/>
            <w:tcMar>
              <w:top w:w="30" w:type="dxa"/>
              <w:left w:w="45" w:type="dxa"/>
              <w:bottom w:w="30" w:type="dxa"/>
              <w:right w:w="45" w:type="dxa"/>
            </w:tcMar>
            <w:vAlign w:val="center"/>
            <w:hideMark/>
          </w:tcPr>
          <w:p w14:paraId="1A8510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7DD027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610" w:type="pct"/>
            <w:tcMar>
              <w:top w:w="30" w:type="dxa"/>
              <w:left w:w="45" w:type="dxa"/>
              <w:bottom w:w="30" w:type="dxa"/>
              <w:right w:w="45" w:type="dxa"/>
            </w:tcMar>
            <w:vAlign w:val="center"/>
            <w:hideMark/>
          </w:tcPr>
          <w:p w14:paraId="3592DF2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87" w:type="pct"/>
            <w:tcMar>
              <w:top w:w="30" w:type="dxa"/>
              <w:left w:w="45" w:type="dxa"/>
              <w:bottom w:w="30" w:type="dxa"/>
              <w:right w:w="45" w:type="dxa"/>
            </w:tcMar>
            <w:vAlign w:val="center"/>
            <w:hideMark/>
          </w:tcPr>
          <w:p w14:paraId="5E8797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84" w:type="pct"/>
            <w:tcMar>
              <w:top w:w="30" w:type="dxa"/>
              <w:left w:w="45" w:type="dxa"/>
              <w:bottom w:w="30" w:type="dxa"/>
              <w:right w:w="45" w:type="dxa"/>
            </w:tcMar>
            <w:vAlign w:val="center"/>
            <w:hideMark/>
          </w:tcPr>
          <w:p w14:paraId="12C592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92" w:type="pct"/>
            <w:tcMar>
              <w:top w:w="30" w:type="dxa"/>
              <w:left w:w="45" w:type="dxa"/>
              <w:bottom w:w="30" w:type="dxa"/>
              <w:right w:w="45" w:type="dxa"/>
            </w:tcMar>
            <w:vAlign w:val="center"/>
            <w:hideMark/>
          </w:tcPr>
          <w:p w14:paraId="409658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89" w:type="pct"/>
            <w:vMerge w:val="restart"/>
            <w:tcMar>
              <w:top w:w="30" w:type="dxa"/>
              <w:left w:w="45" w:type="dxa"/>
              <w:bottom w:w="30" w:type="dxa"/>
              <w:right w:w="45" w:type="dxa"/>
            </w:tcMar>
            <w:vAlign w:val="center"/>
            <w:hideMark/>
          </w:tcPr>
          <w:p w14:paraId="62D7445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7.761.037.844</w:t>
            </w:r>
          </w:p>
        </w:tc>
      </w:tr>
      <w:tr w:rsidR="00856F66" w:rsidRPr="00E31657" w14:paraId="632B4AAF" w14:textId="77777777" w:rsidTr="00826D72">
        <w:trPr>
          <w:trHeight w:val="480"/>
        </w:trPr>
        <w:tc>
          <w:tcPr>
            <w:tcW w:w="1182" w:type="pct"/>
            <w:vMerge/>
            <w:vAlign w:val="center"/>
            <w:hideMark/>
          </w:tcPr>
          <w:p w14:paraId="151880E9" w14:textId="77777777" w:rsidR="00856F66" w:rsidRPr="00E31657" w:rsidRDefault="00856F66" w:rsidP="00AE6E22">
            <w:pPr>
              <w:rPr>
                <w:rFonts w:cs="Arial"/>
                <w:sz w:val="16"/>
                <w:szCs w:val="16"/>
                <w:lang w:val="es-ES_tradnl" w:eastAsia="es-MX"/>
              </w:rPr>
            </w:pPr>
          </w:p>
        </w:tc>
        <w:tc>
          <w:tcPr>
            <w:tcW w:w="421" w:type="pct"/>
            <w:vMerge/>
            <w:vAlign w:val="center"/>
            <w:hideMark/>
          </w:tcPr>
          <w:p w14:paraId="6816186C" w14:textId="77777777" w:rsidR="00856F66" w:rsidRPr="00E31657" w:rsidRDefault="00856F66" w:rsidP="00AE6E22">
            <w:pPr>
              <w:rPr>
                <w:rFonts w:cs="Arial"/>
                <w:sz w:val="16"/>
                <w:szCs w:val="16"/>
                <w:lang w:val="es-ES_tradnl" w:eastAsia="es-MX"/>
              </w:rPr>
            </w:pPr>
          </w:p>
        </w:tc>
        <w:tc>
          <w:tcPr>
            <w:tcW w:w="435" w:type="pct"/>
            <w:vMerge/>
            <w:vAlign w:val="center"/>
            <w:hideMark/>
          </w:tcPr>
          <w:p w14:paraId="32B3E6C3"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3AA8A68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891.475.902</w:t>
            </w:r>
          </w:p>
        </w:tc>
        <w:tc>
          <w:tcPr>
            <w:tcW w:w="587" w:type="pct"/>
            <w:tcMar>
              <w:top w:w="30" w:type="dxa"/>
              <w:left w:w="45" w:type="dxa"/>
              <w:bottom w:w="30" w:type="dxa"/>
              <w:right w:w="45" w:type="dxa"/>
            </w:tcMar>
            <w:vAlign w:val="center"/>
            <w:hideMark/>
          </w:tcPr>
          <w:p w14:paraId="73093A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2.289.853.981</w:t>
            </w:r>
          </w:p>
        </w:tc>
        <w:tc>
          <w:tcPr>
            <w:tcW w:w="584" w:type="pct"/>
            <w:tcMar>
              <w:top w:w="30" w:type="dxa"/>
              <w:left w:w="45" w:type="dxa"/>
              <w:bottom w:w="30" w:type="dxa"/>
              <w:right w:w="45" w:type="dxa"/>
            </w:tcMar>
            <w:vAlign w:val="center"/>
            <w:hideMark/>
          </w:tcPr>
          <w:p w14:paraId="44216E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2.289.853.981</w:t>
            </w:r>
          </w:p>
        </w:tc>
        <w:tc>
          <w:tcPr>
            <w:tcW w:w="592" w:type="pct"/>
            <w:tcMar>
              <w:top w:w="30" w:type="dxa"/>
              <w:left w:w="45" w:type="dxa"/>
              <w:bottom w:w="30" w:type="dxa"/>
              <w:right w:w="45" w:type="dxa"/>
            </w:tcMar>
            <w:vAlign w:val="center"/>
            <w:hideMark/>
          </w:tcPr>
          <w:p w14:paraId="51AABE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2.289.853.981</w:t>
            </w:r>
          </w:p>
        </w:tc>
        <w:tc>
          <w:tcPr>
            <w:tcW w:w="589" w:type="pct"/>
            <w:vMerge/>
            <w:vAlign w:val="center"/>
            <w:hideMark/>
          </w:tcPr>
          <w:p w14:paraId="1E69FD68" w14:textId="77777777" w:rsidR="00856F66" w:rsidRPr="00E31657" w:rsidRDefault="00856F66" w:rsidP="00AE6E22">
            <w:pPr>
              <w:rPr>
                <w:rFonts w:cs="Arial"/>
                <w:b/>
                <w:bCs/>
                <w:sz w:val="16"/>
                <w:szCs w:val="16"/>
                <w:lang w:val="es-ES_tradnl" w:eastAsia="es-MX"/>
              </w:rPr>
            </w:pPr>
          </w:p>
        </w:tc>
      </w:tr>
      <w:tr w:rsidR="00856F66" w:rsidRPr="00E31657" w14:paraId="4DC2950D"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0EDCF57E" w14:textId="77777777" w:rsidR="00856F66" w:rsidRPr="00E31657" w:rsidRDefault="00856F66" w:rsidP="00EF34C0">
            <w:pPr>
              <w:pStyle w:val="Ttulo"/>
              <w:jc w:val="center"/>
              <w:rPr>
                <w:lang w:val="es-ES_tradnl"/>
              </w:rPr>
            </w:pPr>
            <w:r w:rsidRPr="00EF34C0">
              <w:rPr>
                <w:rFonts w:ascii="Candara" w:eastAsia="Times New Roman" w:hAnsi="Candara"/>
                <w:b/>
                <w:bCs/>
                <w:color w:val="FFFFFF" w:themeColor="background1"/>
                <w:sz w:val="24"/>
                <w:szCs w:val="24"/>
                <w:lang w:val="es-ES_tradnl" w:eastAsia="es-MX"/>
              </w:rPr>
              <w:t>Hábitat</w:t>
            </w:r>
          </w:p>
        </w:tc>
      </w:tr>
      <w:tr w:rsidR="00856F66" w:rsidRPr="00E31657" w14:paraId="6034D41A" w14:textId="77777777" w:rsidTr="00826D72">
        <w:trPr>
          <w:trHeight w:val="510"/>
        </w:trPr>
        <w:tc>
          <w:tcPr>
            <w:tcW w:w="1182" w:type="pct"/>
            <w:vMerge w:val="restart"/>
            <w:tcMar>
              <w:top w:w="30" w:type="dxa"/>
              <w:left w:w="45" w:type="dxa"/>
              <w:bottom w:w="30" w:type="dxa"/>
              <w:right w:w="45" w:type="dxa"/>
            </w:tcMar>
            <w:vAlign w:val="center"/>
            <w:hideMark/>
          </w:tcPr>
          <w:p w14:paraId="3CDCE8FE"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t>Integrar 4 herramientas del sistema de información del sector hábitat que permitan la transparencia y difusión del conocimiento generado</w:t>
            </w:r>
          </w:p>
        </w:tc>
        <w:tc>
          <w:tcPr>
            <w:tcW w:w="421" w:type="pct"/>
            <w:vMerge w:val="restart"/>
            <w:tcMar>
              <w:top w:w="30" w:type="dxa"/>
              <w:left w:w="45" w:type="dxa"/>
              <w:bottom w:w="30" w:type="dxa"/>
              <w:right w:w="45" w:type="dxa"/>
            </w:tcMar>
            <w:vAlign w:val="center"/>
            <w:hideMark/>
          </w:tcPr>
          <w:p w14:paraId="01E326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435" w:type="pct"/>
            <w:vMerge w:val="restart"/>
            <w:tcMar>
              <w:top w:w="30" w:type="dxa"/>
              <w:left w:w="45" w:type="dxa"/>
              <w:bottom w:w="30" w:type="dxa"/>
              <w:right w:w="45" w:type="dxa"/>
            </w:tcMar>
            <w:vAlign w:val="center"/>
            <w:hideMark/>
          </w:tcPr>
          <w:p w14:paraId="0257279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610" w:type="pct"/>
            <w:tcMar>
              <w:top w:w="30" w:type="dxa"/>
              <w:left w:w="45" w:type="dxa"/>
              <w:bottom w:w="30" w:type="dxa"/>
              <w:right w:w="45" w:type="dxa"/>
            </w:tcMar>
            <w:vAlign w:val="center"/>
            <w:hideMark/>
          </w:tcPr>
          <w:p w14:paraId="649743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7" w:type="pct"/>
            <w:tcMar>
              <w:top w:w="30" w:type="dxa"/>
              <w:left w:w="45" w:type="dxa"/>
              <w:bottom w:w="30" w:type="dxa"/>
              <w:right w:w="45" w:type="dxa"/>
            </w:tcMar>
            <w:vAlign w:val="center"/>
            <w:hideMark/>
          </w:tcPr>
          <w:p w14:paraId="19F3F6C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4" w:type="pct"/>
            <w:tcMar>
              <w:top w:w="30" w:type="dxa"/>
              <w:left w:w="45" w:type="dxa"/>
              <w:bottom w:w="30" w:type="dxa"/>
              <w:right w:w="45" w:type="dxa"/>
            </w:tcMar>
            <w:vAlign w:val="center"/>
            <w:hideMark/>
          </w:tcPr>
          <w:p w14:paraId="3F4DFC5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92" w:type="pct"/>
            <w:tcMar>
              <w:top w:w="30" w:type="dxa"/>
              <w:left w:w="45" w:type="dxa"/>
              <w:bottom w:w="30" w:type="dxa"/>
              <w:right w:w="45" w:type="dxa"/>
            </w:tcMar>
            <w:vAlign w:val="center"/>
            <w:hideMark/>
          </w:tcPr>
          <w:p w14:paraId="2DD57D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vMerge w:val="restart"/>
            <w:tcMar>
              <w:top w:w="30" w:type="dxa"/>
              <w:left w:w="45" w:type="dxa"/>
              <w:bottom w:w="30" w:type="dxa"/>
              <w:right w:w="45" w:type="dxa"/>
            </w:tcMar>
            <w:vAlign w:val="center"/>
            <w:hideMark/>
          </w:tcPr>
          <w:p w14:paraId="72451B4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14.068.187.990</w:t>
            </w:r>
          </w:p>
        </w:tc>
      </w:tr>
      <w:tr w:rsidR="00856F66" w:rsidRPr="00E31657" w14:paraId="644F081E" w14:textId="77777777" w:rsidTr="00826D72">
        <w:trPr>
          <w:trHeight w:val="510"/>
        </w:trPr>
        <w:tc>
          <w:tcPr>
            <w:tcW w:w="1182" w:type="pct"/>
            <w:vMerge/>
            <w:vAlign w:val="center"/>
            <w:hideMark/>
          </w:tcPr>
          <w:p w14:paraId="65B9CAC6" w14:textId="77777777" w:rsidR="00856F66" w:rsidRPr="00E31657" w:rsidRDefault="00856F66" w:rsidP="00AE6E22">
            <w:pPr>
              <w:rPr>
                <w:rFonts w:cs="Arial"/>
                <w:sz w:val="16"/>
                <w:szCs w:val="16"/>
                <w:lang w:val="es-ES_tradnl" w:eastAsia="es-MX"/>
              </w:rPr>
            </w:pPr>
          </w:p>
        </w:tc>
        <w:tc>
          <w:tcPr>
            <w:tcW w:w="421" w:type="pct"/>
            <w:vMerge/>
            <w:vAlign w:val="center"/>
            <w:hideMark/>
          </w:tcPr>
          <w:p w14:paraId="23A50C43" w14:textId="77777777" w:rsidR="00856F66" w:rsidRPr="00E31657" w:rsidRDefault="00856F66" w:rsidP="00AE6E22">
            <w:pPr>
              <w:rPr>
                <w:rFonts w:cs="Arial"/>
                <w:sz w:val="16"/>
                <w:szCs w:val="16"/>
                <w:lang w:val="es-ES_tradnl" w:eastAsia="es-MX"/>
              </w:rPr>
            </w:pPr>
          </w:p>
        </w:tc>
        <w:tc>
          <w:tcPr>
            <w:tcW w:w="435" w:type="pct"/>
            <w:vMerge/>
            <w:vAlign w:val="center"/>
            <w:hideMark/>
          </w:tcPr>
          <w:p w14:paraId="0DD42343"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1E59684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854.000.000</w:t>
            </w:r>
          </w:p>
        </w:tc>
        <w:tc>
          <w:tcPr>
            <w:tcW w:w="587" w:type="pct"/>
            <w:tcMar>
              <w:top w:w="30" w:type="dxa"/>
              <w:left w:w="45" w:type="dxa"/>
              <w:bottom w:w="30" w:type="dxa"/>
              <w:right w:w="45" w:type="dxa"/>
            </w:tcMar>
            <w:vAlign w:val="center"/>
            <w:hideMark/>
          </w:tcPr>
          <w:p w14:paraId="67033D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4.854.368.932</w:t>
            </w:r>
          </w:p>
        </w:tc>
        <w:tc>
          <w:tcPr>
            <w:tcW w:w="584" w:type="pct"/>
            <w:tcMar>
              <w:top w:w="30" w:type="dxa"/>
              <w:left w:w="45" w:type="dxa"/>
              <w:bottom w:w="30" w:type="dxa"/>
              <w:right w:w="45" w:type="dxa"/>
            </w:tcMar>
            <w:vAlign w:val="center"/>
            <w:hideMark/>
          </w:tcPr>
          <w:p w14:paraId="024F7E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4.241.681.591</w:t>
            </w:r>
          </w:p>
        </w:tc>
        <w:tc>
          <w:tcPr>
            <w:tcW w:w="592" w:type="pct"/>
            <w:tcMar>
              <w:top w:w="30" w:type="dxa"/>
              <w:left w:w="45" w:type="dxa"/>
              <w:bottom w:w="30" w:type="dxa"/>
              <w:right w:w="45" w:type="dxa"/>
            </w:tcMar>
            <w:vAlign w:val="center"/>
            <w:hideMark/>
          </w:tcPr>
          <w:p w14:paraId="3EAA79D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4.118.137.467</w:t>
            </w:r>
          </w:p>
        </w:tc>
        <w:tc>
          <w:tcPr>
            <w:tcW w:w="589" w:type="pct"/>
            <w:vMerge/>
            <w:vAlign w:val="center"/>
            <w:hideMark/>
          </w:tcPr>
          <w:p w14:paraId="2D1045B5" w14:textId="77777777" w:rsidR="00856F66" w:rsidRPr="00E31657" w:rsidRDefault="00856F66" w:rsidP="00AE6E22">
            <w:pPr>
              <w:rPr>
                <w:rFonts w:cs="Arial"/>
                <w:b/>
                <w:bCs/>
                <w:sz w:val="16"/>
                <w:szCs w:val="16"/>
                <w:lang w:val="es-ES_tradnl" w:eastAsia="es-MX"/>
              </w:rPr>
            </w:pPr>
          </w:p>
        </w:tc>
      </w:tr>
      <w:tr w:rsidR="00856F66" w:rsidRPr="00E31657" w14:paraId="1B0A6FD4"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46F75F29"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Hacienda</w:t>
            </w:r>
          </w:p>
        </w:tc>
      </w:tr>
      <w:tr w:rsidR="00856F66" w:rsidRPr="00E31657" w14:paraId="5A9D385C" w14:textId="77777777" w:rsidTr="00826D72">
        <w:trPr>
          <w:trHeight w:val="510"/>
        </w:trPr>
        <w:tc>
          <w:tcPr>
            <w:tcW w:w="1182" w:type="pct"/>
            <w:vMerge w:val="restart"/>
            <w:tcMar>
              <w:top w:w="30" w:type="dxa"/>
              <w:left w:w="45" w:type="dxa"/>
              <w:bottom w:w="30" w:type="dxa"/>
              <w:right w:w="45" w:type="dxa"/>
            </w:tcMar>
            <w:vAlign w:val="center"/>
            <w:hideMark/>
          </w:tcPr>
          <w:p w14:paraId="7A70D9E0"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t>Automatizar 5 trámites catastrales</w:t>
            </w:r>
          </w:p>
        </w:tc>
        <w:tc>
          <w:tcPr>
            <w:tcW w:w="421" w:type="pct"/>
            <w:vMerge w:val="restart"/>
            <w:tcMar>
              <w:top w:w="30" w:type="dxa"/>
              <w:left w:w="45" w:type="dxa"/>
              <w:bottom w:w="30" w:type="dxa"/>
              <w:right w:w="45" w:type="dxa"/>
            </w:tcMar>
            <w:vAlign w:val="center"/>
            <w:hideMark/>
          </w:tcPr>
          <w:p w14:paraId="566359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3C71C3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UAECD</w:t>
            </w:r>
          </w:p>
        </w:tc>
        <w:tc>
          <w:tcPr>
            <w:tcW w:w="610" w:type="pct"/>
            <w:tcMar>
              <w:top w:w="30" w:type="dxa"/>
              <w:left w:w="45" w:type="dxa"/>
              <w:bottom w:w="30" w:type="dxa"/>
              <w:right w:w="45" w:type="dxa"/>
            </w:tcMar>
            <w:vAlign w:val="center"/>
            <w:hideMark/>
          </w:tcPr>
          <w:p w14:paraId="73778BB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w:t>
            </w:r>
          </w:p>
        </w:tc>
        <w:tc>
          <w:tcPr>
            <w:tcW w:w="587" w:type="pct"/>
            <w:tcMar>
              <w:top w:w="30" w:type="dxa"/>
              <w:left w:w="45" w:type="dxa"/>
              <w:bottom w:w="30" w:type="dxa"/>
              <w:right w:w="45" w:type="dxa"/>
            </w:tcMar>
            <w:vAlign w:val="center"/>
            <w:hideMark/>
          </w:tcPr>
          <w:p w14:paraId="4C387D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w:t>
            </w:r>
          </w:p>
        </w:tc>
        <w:tc>
          <w:tcPr>
            <w:tcW w:w="584" w:type="pct"/>
            <w:tcMar>
              <w:top w:w="30" w:type="dxa"/>
              <w:left w:w="45" w:type="dxa"/>
              <w:bottom w:w="30" w:type="dxa"/>
              <w:right w:w="45" w:type="dxa"/>
            </w:tcMar>
            <w:vAlign w:val="center"/>
            <w:hideMark/>
          </w:tcPr>
          <w:p w14:paraId="2E27AF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592" w:type="pct"/>
            <w:tcMar>
              <w:top w:w="30" w:type="dxa"/>
              <w:left w:w="45" w:type="dxa"/>
              <w:bottom w:w="30" w:type="dxa"/>
              <w:right w:w="45" w:type="dxa"/>
            </w:tcMar>
            <w:vAlign w:val="center"/>
            <w:hideMark/>
          </w:tcPr>
          <w:p w14:paraId="4377F3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5,000</w:t>
            </w:r>
          </w:p>
        </w:tc>
        <w:tc>
          <w:tcPr>
            <w:tcW w:w="589" w:type="pct"/>
            <w:vMerge w:val="restart"/>
            <w:tcMar>
              <w:top w:w="30" w:type="dxa"/>
              <w:left w:w="45" w:type="dxa"/>
              <w:bottom w:w="30" w:type="dxa"/>
              <w:right w:w="45" w:type="dxa"/>
            </w:tcMar>
            <w:vAlign w:val="center"/>
            <w:hideMark/>
          </w:tcPr>
          <w:p w14:paraId="6BD161A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16.441.360.102</w:t>
            </w:r>
          </w:p>
        </w:tc>
      </w:tr>
      <w:tr w:rsidR="00856F66" w:rsidRPr="00E31657" w14:paraId="6CD9EF6C" w14:textId="77777777" w:rsidTr="00826D72">
        <w:trPr>
          <w:trHeight w:val="510"/>
        </w:trPr>
        <w:tc>
          <w:tcPr>
            <w:tcW w:w="1182" w:type="pct"/>
            <w:vMerge/>
            <w:vAlign w:val="center"/>
            <w:hideMark/>
          </w:tcPr>
          <w:p w14:paraId="5C880DD7" w14:textId="77777777" w:rsidR="00856F66" w:rsidRPr="00E31657" w:rsidRDefault="00856F66" w:rsidP="00814C8F">
            <w:pPr>
              <w:jc w:val="right"/>
              <w:rPr>
                <w:rFonts w:cs="Arial"/>
                <w:sz w:val="16"/>
                <w:szCs w:val="16"/>
                <w:lang w:val="es-ES_tradnl" w:eastAsia="es-MX"/>
              </w:rPr>
            </w:pPr>
          </w:p>
        </w:tc>
        <w:tc>
          <w:tcPr>
            <w:tcW w:w="421" w:type="pct"/>
            <w:vMerge/>
            <w:vAlign w:val="center"/>
            <w:hideMark/>
          </w:tcPr>
          <w:p w14:paraId="6A87EAF0" w14:textId="77777777" w:rsidR="00856F66" w:rsidRPr="00E31657" w:rsidRDefault="00856F66" w:rsidP="00AE6E22">
            <w:pPr>
              <w:rPr>
                <w:rFonts w:cs="Arial"/>
                <w:sz w:val="16"/>
                <w:szCs w:val="16"/>
                <w:lang w:val="es-ES_tradnl" w:eastAsia="es-MX"/>
              </w:rPr>
            </w:pPr>
          </w:p>
        </w:tc>
        <w:tc>
          <w:tcPr>
            <w:tcW w:w="435" w:type="pct"/>
            <w:vMerge/>
            <w:vAlign w:val="center"/>
            <w:hideMark/>
          </w:tcPr>
          <w:p w14:paraId="7B4CE05C"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4F482E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300.000.000</w:t>
            </w:r>
          </w:p>
        </w:tc>
        <w:tc>
          <w:tcPr>
            <w:tcW w:w="587" w:type="pct"/>
            <w:tcMar>
              <w:top w:w="30" w:type="dxa"/>
              <w:left w:w="45" w:type="dxa"/>
              <w:bottom w:w="30" w:type="dxa"/>
              <w:right w:w="45" w:type="dxa"/>
            </w:tcMar>
            <w:vAlign w:val="center"/>
            <w:hideMark/>
          </w:tcPr>
          <w:p w14:paraId="1F2108E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5.825.242.718</w:t>
            </w:r>
          </w:p>
        </w:tc>
        <w:tc>
          <w:tcPr>
            <w:tcW w:w="584" w:type="pct"/>
            <w:tcMar>
              <w:top w:w="30" w:type="dxa"/>
              <w:left w:w="45" w:type="dxa"/>
              <w:bottom w:w="30" w:type="dxa"/>
              <w:right w:w="45" w:type="dxa"/>
            </w:tcMar>
            <w:vAlign w:val="center"/>
            <w:hideMark/>
          </w:tcPr>
          <w:p w14:paraId="515F96D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5.269.111.132</w:t>
            </w:r>
          </w:p>
        </w:tc>
        <w:tc>
          <w:tcPr>
            <w:tcW w:w="592" w:type="pct"/>
            <w:tcMar>
              <w:top w:w="30" w:type="dxa"/>
              <w:left w:w="45" w:type="dxa"/>
              <w:bottom w:w="30" w:type="dxa"/>
              <w:right w:w="45" w:type="dxa"/>
            </w:tcMar>
            <w:vAlign w:val="center"/>
            <w:hideMark/>
          </w:tcPr>
          <w:p w14:paraId="5B2A28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5.047.006.251</w:t>
            </w:r>
          </w:p>
        </w:tc>
        <w:tc>
          <w:tcPr>
            <w:tcW w:w="589" w:type="pct"/>
            <w:vMerge/>
            <w:vAlign w:val="center"/>
            <w:hideMark/>
          </w:tcPr>
          <w:p w14:paraId="7B50FBD4" w14:textId="77777777" w:rsidR="00856F66" w:rsidRPr="00E31657" w:rsidRDefault="00856F66" w:rsidP="00AE6E22">
            <w:pPr>
              <w:rPr>
                <w:rFonts w:cs="Arial"/>
                <w:b/>
                <w:bCs/>
                <w:sz w:val="16"/>
                <w:szCs w:val="16"/>
                <w:lang w:val="es-ES_tradnl" w:eastAsia="es-MX"/>
              </w:rPr>
            </w:pPr>
          </w:p>
        </w:tc>
      </w:tr>
      <w:tr w:rsidR="00856F66" w:rsidRPr="00E31657" w14:paraId="0DE84B61" w14:textId="77777777" w:rsidTr="00826D72">
        <w:trPr>
          <w:trHeight w:val="510"/>
        </w:trPr>
        <w:tc>
          <w:tcPr>
            <w:tcW w:w="1182" w:type="pct"/>
            <w:vMerge w:val="restart"/>
            <w:tcMar>
              <w:top w:w="30" w:type="dxa"/>
              <w:left w:w="45" w:type="dxa"/>
              <w:bottom w:w="30" w:type="dxa"/>
              <w:right w:w="45" w:type="dxa"/>
            </w:tcMar>
            <w:vAlign w:val="center"/>
            <w:hideMark/>
          </w:tcPr>
          <w:p w14:paraId="7FC2E25D"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lastRenderedPageBreak/>
              <w:t>Desarrollar el 100% de las acciones para disponer una plataforma tecnológica que integre la información geográfica y catastral de Bogotá</w:t>
            </w:r>
          </w:p>
        </w:tc>
        <w:tc>
          <w:tcPr>
            <w:tcW w:w="421" w:type="pct"/>
            <w:vMerge w:val="restart"/>
            <w:tcMar>
              <w:top w:w="30" w:type="dxa"/>
              <w:left w:w="45" w:type="dxa"/>
              <w:bottom w:w="30" w:type="dxa"/>
              <w:right w:w="45" w:type="dxa"/>
            </w:tcMar>
            <w:vAlign w:val="center"/>
            <w:hideMark/>
          </w:tcPr>
          <w:p w14:paraId="72730B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435" w:type="pct"/>
            <w:vMerge w:val="restart"/>
            <w:tcMar>
              <w:top w:w="30" w:type="dxa"/>
              <w:left w:w="45" w:type="dxa"/>
              <w:bottom w:w="30" w:type="dxa"/>
              <w:right w:w="45" w:type="dxa"/>
            </w:tcMar>
            <w:vAlign w:val="center"/>
            <w:hideMark/>
          </w:tcPr>
          <w:p w14:paraId="4297FD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UAECD</w:t>
            </w:r>
          </w:p>
        </w:tc>
        <w:tc>
          <w:tcPr>
            <w:tcW w:w="610" w:type="pct"/>
            <w:tcMar>
              <w:top w:w="30" w:type="dxa"/>
              <w:left w:w="45" w:type="dxa"/>
              <w:bottom w:w="30" w:type="dxa"/>
              <w:right w:w="45" w:type="dxa"/>
            </w:tcMar>
            <w:vAlign w:val="center"/>
            <w:hideMark/>
          </w:tcPr>
          <w:p w14:paraId="5BE6FA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587" w:type="pct"/>
            <w:tcMar>
              <w:top w:w="30" w:type="dxa"/>
              <w:left w:w="45" w:type="dxa"/>
              <w:bottom w:w="30" w:type="dxa"/>
              <w:right w:w="45" w:type="dxa"/>
            </w:tcMar>
            <w:vAlign w:val="center"/>
            <w:hideMark/>
          </w:tcPr>
          <w:p w14:paraId="4731E42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w:t>
            </w:r>
          </w:p>
        </w:tc>
        <w:tc>
          <w:tcPr>
            <w:tcW w:w="584" w:type="pct"/>
            <w:tcMar>
              <w:top w:w="30" w:type="dxa"/>
              <w:left w:w="45" w:type="dxa"/>
              <w:bottom w:w="30" w:type="dxa"/>
              <w:right w:w="45" w:type="dxa"/>
            </w:tcMar>
            <w:vAlign w:val="center"/>
            <w:hideMark/>
          </w:tcPr>
          <w:p w14:paraId="600B2C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w:t>
            </w:r>
          </w:p>
        </w:tc>
        <w:tc>
          <w:tcPr>
            <w:tcW w:w="592" w:type="pct"/>
            <w:tcMar>
              <w:top w:w="30" w:type="dxa"/>
              <w:left w:w="45" w:type="dxa"/>
              <w:bottom w:w="30" w:type="dxa"/>
              <w:right w:w="45" w:type="dxa"/>
            </w:tcMar>
            <w:vAlign w:val="center"/>
            <w:hideMark/>
          </w:tcPr>
          <w:p w14:paraId="27AB6D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9" w:type="pct"/>
            <w:vMerge w:val="restart"/>
            <w:tcMar>
              <w:top w:w="30" w:type="dxa"/>
              <w:left w:w="45" w:type="dxa"/>
              <w:bottom w:w="30" w:type="dxa"/>
              <w:right w:w="45" w:type="dxa"/>
            </w:tcMar>
            <w:vAlign w:val="center"/>
            <w:hideMark/>
          </w:tcPr>
          <w:p w14:paraId="7696AFE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16.918.971.743</w:t>
            </w:r>
          </w:p>
        </w:tc>
      </w:tr>
      <w:tr w:rsidR="00856F66" w:rsidRPr="00E31657" w14:paraId="6FC85747" w14:textId="77777777" w:rsidTr="00826D72">
        <w:trPr>
          <w:trHeight w:val="510"/>
        </w:trPr>
        <w:tc>
          <w:tcPr>
            <w:tcW w:w="1182" w:type="pct"/>
            <w:vMerge/>
            <w:vAlign w:val="center"/>
            <w:hideMark/>
          </w:tcPr>
          <w:p w14:paraId="23A07CEA" w14:textId="77777777" w:rsidR="00856F66" w:rsidRPr="00E31657" w:rsidRDefault="00856F66" w:rsidP="00814C8F">
            <w:pPr>
              <w:jc w:val="right"/>
              <w:rPr>
                <w:rFonts w:cs="Arial"/>
                <w:sz w:val="16"/>
                <w:szCs w:val="16"/>
                <w:lang w:val="es-ES_tradnl" w:eastAsia="es-MX"/>
              </w:rPr>
            </w:pPr>
          </w:p>
        </w:tc>
        <w:tc>
          <w:tcPr>
            <w:tcW w:w="421" w:type="pct"/>
            <w:vMerge/>
            <w:vAlign w:val="center"/>
            <w:hideMark/>
          </w:tcPr>
          <w:p w14:paraId="5EE4EB15" w14:textId="77777777" w:rsidR="00856F66" w:rsidRPr="00E31657" w:rsidRDefault="00856F66" w:rsidP="00AE6E22">
            <w:pPr>
              <w:rPr>
                <w:rFonts w:cs="Arial"/>
                <w:sz w:val="16"/>
                <w:szCs w:val="16"/>
                <w:lang w:val="es-ES_tradnl" w:eastAsia="es-MX"/>
              </w:rPr>
            </w:pPr>
          </w:p>
        </w:tc>
        <w:tc>
          <w:tcPr>
            <w:tcW w:w="435" w:type="pct"/>
            <w:vMerge/>
            <w:vAlign w:val="center"/>
            <w:hideMark/>
          </w:tcPr>
          <w:p w14:paraId="0F1B68D0"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2990A1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3.468.000.000</w:t>
            </w:r>
          </w:p>
        </w:tc>
        <w:tc>
          <w:tcPr>
            <w:tcW w:w="587" w:type="pct"/>
            <w:tcMar>
              <w:top w:w="30" w:type="dxa"/>
              <w:left w:w="45" w:type="dxa"/>
              <w:bottom w:w="30" w:type="dxa"/>
              <w:right w:w="45" w:type="dxa"/>
            </w:tcMar>
            <w:vAlign w:val="center"/>
            <w:hideMark/>
          </w:tcPr>
          <w:p w14:paraId="2C8D66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4.854.368.932</w:t>
            </w:r>
          </w:p>
        </w:tc>
        <w:tc>
          <w:tcPr>
            <w:tcW w:w="584" w:type="pct"/>
            <w:tcMar>
              <w:top w:w="30" w:type="dxa"/>
              <w:left w:w="45" w:type="dxa"/>
              <w:bottom w:w="30" w:type="dxa"/>
              <w:right w:w="45" w:type="dxa"/>
            </w:tcMar>
            <w:vAlign w:val="center"/>
            <w:hideMark/>
          </w:tcPr>
          <w:p w14:paraId="478F0FE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4.390.611.745</w:t>
            </w:r>
          </w:p>
        </w:tc>
        <w:tc>
          <w:tcPr>
            <w:tcW w:w="592" w:type="pct"/>
            <w:tcMar>
              <w:top w:w="30" w:type="dxa"/>
              <w:left w:w="45" w:type="dxa"/>
              <w:bottom w:w="30" w:type="dxa"/>
              <w:right w:w="45" w:type="dxa"/>
            </w:tcMar>
            <w:vAlign w:val="center"/>
            <w:hideMark/>
          </w:tcPr>
          <w:p w14:paraId="5662CF9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4.205.991.066</w:t>
            </w:r>
          </w:p>
        </w:tc>
        <w:tc>
          <w:tcPr>
            <w:tcW w:w="589" w:type="pct"/>
            <w:vMerge/>
            <w:vAlign w:val="center"/>
            <w:hideMark/>
          </w:tcPr>
          <w:p w14:paraId="27C29B30" w14:textId="77777777" w:rsidR="00856F66" w:rsidRPr="00E31657" w:rsidRDefault="00856F66" w:rsidP="00AE6E22">
            <w:pPr>
              <w:rPr>
                <w:rFonts w:cs="Arial"/>
                <w:b/>
                <w:bCs/>
                <w:sz w:val="16"/>
                <w:szCs w:val="16"/>
                <w:lang w:val="es-ES_tradnl" w:eastAsia="es-MX"/>
              </w:rPr>
            </w:pPr>
          </w:p>
        </w:tc>
      </w:tr>
      <w:tr w:rsidR="00856F66" w:rsidRPr="00E31657" w14:paraId="14B5B855" w14:textId="77777777" w:rsidTr="00826D72">
        <w:trPr>
          <w:trHeight w:val="510"/>
        </w:trPr>
        <w:tc>
          <w:tcPr>
            <w:tcW w:w="1182" w:type="pct"/>
            <w:vMerge w:val="restart"/>
            <w:tcMar>
              <w:top w:w="30" w:type="dxa"/>
              <w:left w:w="45" w:type="dxa"/>
              <w:bottom w:w="30" w:type="dxa"/>
              <w:right w:w="45" w:type="dxa"/>
            </w:tcMar>
            <w:vAlign w:val="center"/>
            <w:hideMark/>
          </w:tcPr>
          <w:p w14:paraId="73C92CA3"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t>Mantener el 100% del censo inmobiliario de Bogotá actualizado</w:t>
            </w:r>
          </w:p>
        </w:tc>
        <w:tc>
          <w:tcPr>
            <w:tcW w:w="421" w:type="pct"/>
            <w:vMerge w:val="restart"/>
            <w:tcMar>
              <w:top w:w="30" w:type="dxa"/>
              <w:left w:w="45" w:type="dxa"/>
              <w:bottom w:w="30" w:type="dxa"/>
              <w:right w:w="45" w:type="dxa"/>
            </w:tcMar>
            <w:vAlign w:val="center"/>
            <w:hideMark/>
          </w:tcPr>
          <w:p w14:paraId="07C24E2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443CAEB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UAECD</w:t>
            </w:r>
          </w:p>
        </w:tc>
        <w:tc>
          <w:tcPr>
            <w:tcW w:w="610" w:type="pct"/>
            <w:tcMar>
              <w:top w:w="30" w:type="dxa"/>
              <w:left w:w="45" w:type="dxa"/>
              <w:bottom w:w="30" w:type="dxa"/>
              <w:right w:w="45" w:type="dxa"/>
            </w:tcMar>
            <w:vAlign w:val="center"/>
            <w:hideMark/>
          </w:tcPr>
          <w:p w14:paraId="6706A0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7" w:type="pct"/>
            <w:tcMar>
              <w:top w:w="30" w:type="dxa"/>
              <w:left w:w="45" w:type="dxa"/>
              <w:bottom w:w="30" w:type="dxa"/>
              <w:right w:w="45" w:type="dxa"/>
            </w:tcMar>
            <w:vAlign w:val="center"/>
            <w:hideMark/>
          </w:tcPr>
          <w:p w14:paraId="044A42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4" w:type="pct"/>
            <w:tcMar>
              <w:top w:w="30" w:type="dxa"/>
              <w:left w:w="45" w:type="dxa"/>
              <w:bottom w:w="30" w:type="dxa"/>
              <w:right w:w="45" w:type="dxa"/>
            </w:tcMar>
            <w:vAlign w:val="center"/>
            <w:hideMark/>
          </w:tcPr>
          <w:p w14:paraId="2FF081F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92" w:type="pct"/>
            <w:tcMar>
              <w:top w:w="30" w:type="dxa"/>
              <w:left w:w="45" w:type="dxa"/>
              <w:bottom w:w="30" w:type="dxa"/>
              <w:right w:w="45" w:type="dxa"/>
            </w:tcMar>
            <w:vAlign w:val="center"/>
            <w:hideMark/>
          </w:tcPr>
          <w:p w14:paraId="38B5D67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9" w:type="pct"/>
            <w:vMerge w:val="restart"/>
            <w:tcMar>
              <w:top w:w="30" w:type="dxa"/>
              <w:left w:w="45" w:type="dxa"/>
              <w:bottom w:w="30" w:type="dxa"/>
              <w:right w:w="45" w:type="dxa"/>
            </w:tcMar>
            <w:vAlign w:val="center"/>
            <w:hideMark/>
          </w:tcPr>
          <w:p w14:paraId="32F24E6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61.656.858.628</w:t>
            </w:r>
          </w:p>
        </w:tc>
      </w:tr>
      <w:tr w:rsidR="00856F66" w:rsidRPr="00E31657" w14:paraId="186E7CBA" w14:textId="77777777" w:rsidTr="00826D72">
        <w:trPr>
          <w:trHeight w:val="510"/>
        </w:trPr>
        <w:tc>
          <w:tcPr>
            <w:tcW w:w="1182" w:type="pct"/>
            <w:vMerge/>
            <w:vAlign w:val="center"/>
            <w:hideMark/>
          </w:tcPr>
          <w:p w14:paraId="1A6D473C" w14:textId="77777777" w:rsidR="00856F66" w:rsidRPr="00E31657" w:rsidRDefault="00856F66" w:rsidP="00AE6E22">
            <w:pPr>
              <w:rPr>
                <w:rFonts w:cs="Arial"/>
                <w:sz w:val="16"/>
                <w:szCs w:val="16"/>
                <w:lang w:val="es-ES_tradnl" w:eastAsia="es-MX"/>
              </w:rPr>
            </w:pPr>
          </w:p>
        </w:tc>
        <w:tc>
          <w:tcPr>
            <w:tcW w:w="421" w:type="pct"/>
            <w:vMerge/>
            <w:vAlign w:val="center"/>
            <w:hideMark/>
          </w:tcPr>
          <w:p w14:paraId="6D527EAB" w14:textId="77777777" w:rsidR="00856F66" w:rsidRPr="00E31657" w:rsidRDefault="00856F66" w:rsidP="00AE6E22">
            <w:pPr>
              <w:rPr>
                <w:rFonts w:cs="Arial"/>
                <w:sz w:val="16"/>
                <w:szCs w:val="16"/>
                <w:lang w:val="es-ES_tradnl" w:eastAsia="es-MX"/>
              </w:rPr>
            </w:pPr>
          </w:p>
        </w:tc>
        <w:tc>
          <w:tcPr>
            <w:tcW w:w="435" w:type="pct"/>
            <w:vMerge/>
            <w:vAlign w:val="center"/>
            <w:hideMark/>
          </w:tcPr>
          <w:p w14:paraId="10D256F7"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705F0A7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34.754.000.000</w:t>
            </w:r>
          </w:p>
        </w:tc>
        <w:tc>
          <w:tcPr>
            <w:tcW w:w="587" w:type="pct"/>
            <w:tcMar>
              <w:top w:w="30" w:type="dxa"/>
              <w:left w:w="45" w:type="dxa"/>
              <w:bottom w:w="30" w:type="dxa"/>
              <w:right w:w="45" w:type="dxa"/>
            </w:tcMar>
            <w:vAlign w:val="center"/>
            <w:hideMark/>
          </w:tcPr>
          <w:p w14:paraId="09221F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9.708.737.864</w:t>
            </w:r>
          </w:p>
        </w:tc>
        <w:tc>
          <w:tcPr>
            <w:tcW w:w="584" w:type="pct"/>
            <w:tcMar>
              <w:top w:w="30" w:type="dxa"/>
              <w:left w:w="45" w:type="dxa"/>
              <w:bottom w:w="30" w:type="dxa"/>
              <w:right w:w="45" w:type="dxa"/>
            </w:tcMar>
            <w:vAlign w:val="center"/>
            <w:hideMark/>
          </w:tcPr>
          <w:p w14:paraId="7D13AD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8.781.223.489</w:t>
            </w:r>
          </w:p>
        </w:tc>
        <w:tc>
          <w:tcPr>
            <w:tcW w:w="592" w:type="pct"/>
            <w:tcMar>
              <w:top w:w="30" w:type="dxa"/>
              <w:left w:w="45" w:type="dxa"/>
              <w:bottom w:w="30" w:type="dxa"/>
              <w:right w:w="45" w:type="dxa"/>
            </w:tcMar>
            <w:vAlign w:val="center"/>
            <w:hideMark/>
          </w:tcPr>
          <w:p w14:paraId="76F726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8.412.897.274</w:t>
            </w:r>
          </w:p>
        </w:tc>
        <w:tc>
          <w:tcPr>
            <w:tcW w:w="589" w:type="pct"/>
            <w:vMerge/>
            <w:vAlign w:val="center"/>
            <w:hideMark/>
          </w:tcPr>
          <w:p w14:paraId="029E92B3" w14:textId="77777777" w:rsidR="00856F66" w:rsidRPr="00E31657" w:rsidRDefault="00856F66" w:rsidP="00AE6E22">
            <w:pPr>
              <w:rPr>
                <w:rFonts w:cs="Arial"/>
                <w:b/>
                <w:bCs/>
                <w:sz w:val="16"/>
                <w:szCs w:val="16"/>
                <w:lang w:val="es-ES_tradnl" w:eastAsia="es-MX"/>
              </w:rPr>
            </w:pPr>
          </w:p>
        </w:tc>
      </w:tr>
      <w:tr w:rsidR="00856F66" w:rsidRPr="00E31657" w14:paraId="41F52307"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61B398AE" w14:textId="77777777" w:rsidR="00856F66" w:rsidRPr="00E31657" w:rsidRDefault="00856F66" w:rsidP="00EF34C0">
            <w:pPr>
              <w:pStyle w:val="Ttulo"/>
              <w:jc w:val="center"/>
              <w:rPr>
                <w:rFonts w:eastAsia="Times New Roman"/>
                <w:lang w:val="es-ES_tradnl" w:eastAsia="es-MX"/>
              </w:rPr>
            </w:pPr>
            <w:r w:rsidRPr="00EF34C0">
              <w:rPr>
                <w:rFonts w:ascii="Candara" w:eastAsia="Times New Roman" w:hAnsi="Candara"/>
                <w:b/>
                <w:bCs/>
                <w:color w:val="FFFFFF" w:themeColor="background1"/>
                <w:sz w:val="24"/>
                <w:szCs w:val="24"/>
                <w:lang w:val="es-ES_tradnl" w:eastAsia="es-MX"/>
              </w:rPr>
              <w:t>Salud</w:t>
            </w:r>
          </w:p>
        </w:tc>
      </w:tr>
      <w:tr w:rsidR="00856F66" w:rsidRPr="00E31657" w14:paraId="725FA21A" w14:textId="77777777" w:rsidTr="00826D72">
        <w:trPr>
          <w:trHeight w:val="480"/>
        </w:trPr>
        <w:tc>
          <w:tcPr>
            <w:tcW w:w="1182" w:type="pct"/>
            <w:vMerge w:val="restart"/>
            <w:tcMar>
              <w:top w:w="30" w:type="dxa"/>
              <w:left w:w="45" w:type="dxa"/>
              <w:bottom w:w="30" w:type="dxa"/>
              <w:right w:w="45" w:type="dxa"/>
            </w:tcMar>
            <w:vAlign w:val="center"/>
            <w:hideMark/>
          </w:tcPr>
          <w:p w14:paraId="744D98E2"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t>Contribuir al 100% en el ejercicio de la transparencia e innovación para el fortalecimiento de las capacidades institucionales del sector</w:t>
            </w:r>
          </w:p>
        </w:tc>
        <w:tc>
          <w:tcPr>
            <w:tcW w:w="421" w:type="pct"/>
            <w:vMerge w:val="restart"/>
            <w:tcMar>
              <w:top w:w="30" w:type="dxa"/>
              <w:left w:w="45" w:type="dxa"/>
              <w:bottom w:w="30" w:type="dxa"/>
              <w:right w:w="45" w:type="dxa"/>
            </w:tcMar>
            <w:vAlign w:val="center"/>
            <w:hideMark/>
          </w:tcPr>
          <w:p w14:paraId="5FEF12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435" w:type="pct"/>
            <w:vMerge w:val="restart"/>
            <w:tcMar>
              <w:top w:w="30" w:type="dxa"/>
              <w:left w:w="45" w:type="dxa"/>
              <w:bottom w:w="30" w:type="dxa"/>
              <w:right w:w="45" w:type="dxa"/>
            </w:tcMar>
            <w:vAlign w:val="center"/>
            <w:hideMark/>
          </w:tcPr>
          <w:p w14:paraId="7193A78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610" w:type="pct"/>
            <w:tcMar>
              <w:top w:w="30" w:type="dxa"/>
              <w:left w:w="45" w:type="dxa"/>
              <w:bottom w:w="30" w:type="dxa"/>
              <w:right w:w="45" w:type="dxa"/>
            </w:tcMar>
            <w:vAlign w:val="center"/>
            <w:hideMark/>
          </w:tcPr>
          <w:p w14:paraId="488ED2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7" w:type="pct"/>
            <w:tcMar>
              <w:top w:w="30" w:type="dxa"/>
              <w:left w:w="45" w:type="dxa"/>
              <w:bottom w:w="30" w:type="dxa"/>
              <w:right w:w="45" w:type="dxa"/>
            </w:tcMar>
            <w:vAlign w:val="center"/>
            <w:hideMark/>
          </w:tcPr>
          <w:p w14:paraId="2A1E938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4" w:type="pct"/>
            <w:tcMar>
              <w:top w:w="30" w:type="dxa"/>
              <w:left w:w="45" w:type="dxa"/>
              <w:bottom w:w="30" w:type="dxa"/>
              <w:right w:w="45" w:type="dxa"/>
            </w:tcMar>
            <w:vAlign w:val="center"/>
            <w:hideMark/>
          </w:tcPr>
          <w:p w14:paraId="720D527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92" w:type="pct"/>
            <w:tcMar>
              <w:top w:w="30" w:type="dxa"/>
              <w:left w:w="45" w:type="dxa"/>
              <w:bottom w:w="30" w:type="dxa"/>
              <w:right w:w="45" w:type="dxa"/>
            </w:tcMar>
            <w:vAlign w:val="center"/>
            <w:hideMark/>
          </w:tcPr>
          <w:p w14:paraId="0422801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9" w:type="pct"/>
            <w:vMerge w:val="restart"/>
            <w:tcMar>
              <w:top w:w="30" w:type="dxa"/>
              <w:left w:w="45" w:type="dxa"/>
              <w:bottom w:w="30" w:type="dxa"/>
              <w:right w:w="45" w:type="dxa"/>
            </w:tcMar>
            <w:vAlign w:val="center"/>
            <w:hideMark/>
          </w:tcPr>
          <w:p w14:paraId="3A97F35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83.644.206.355</w:t>
            </w:r>
          </w:p>
        </w:tc>
      </w:tr>
      <w:tr w:rsidR="00856F66" w:rsidRPr="00E31657" w14:paraId="0F69FE7F" w14:textId="77777777" w:rsidTr="00826D72">
        <w:trPr>
          <w:trHeight w:val="480"/>
        </w:trPr>
        <w:tc>
          <w:tcPr>
            <w:tcW w:w="1182" w:type="pct"/>
            <w:vMerge/>
            <w:vAlign w:val="center"/>
            <w:hideMark/>
          </w:tcPr>
          <w:p w14:paraId="59DABA8D" w14:textId="77777777" w:rsidR="00856F66" w:rsidRPr="00E31657" w:rsidRDefault="00856F66" w:rsidP="00AE6E22">
            <w:pPr>
              <w:rPr>
                <w:rFonts w:cs="Arial"/>
                <w:sz w:val="16"/>
                <w:szCs w:val="16"/>
                <w:lang w:val="es-ES_tradnl" w:eastAsia="es-MX"/>
              </w:rPr>
            </w:pPr>
          </w:p>
        </w:tc>
        <w:tc>
          <w:tcPr>
            <w:tcW w:w="421" w:type="pct"/>
            <w:vMerge/>
            <w:vAlign w:val="center"/>
            <w:hideMark/>
          </w:tcPr>
          <w:p w14:paraId="37339DD9" w14:textId="77777777" w:rsidR="00856F66" w:rsidRPr="00E31657" w:rsidRDefault="00856F66" w:rsidP="00AE6E22">
            <w:pPr>
              <w:rPr>
                <w:rFonts w:cs="Arial"/>
                <w:sz w:val="16"/>
                <w:szCs w:val="16"/>
                <w:lang w:val="es-ES_tradnl" w:eastAsia="es-MX"/>
              </w:rPr>
            </w:pPr>
          </w:p>
        </w:tc>
        <w:tc>
          <w:tcPr>
            <w:tcW w:w="435" w:type="pct"/>
            <w:vMerge/>
            <w:vAlign w:val="center"/>
            <w:hideMark/>
          </w:tcPr>
          <w:p w14:paraId="523B5384"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48FFC5F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12.646.000.000</w:t>
            </w:r>
          </w:p>
        </w:tc>
        <w:tc>
          <w:tcPr>
            <w:tcW w:w="587" w:type="pct"/>
            <w:tcMar>
              <w:top w:w="30" w:type="dxa"/>
              <w:left w:w="45" w:type="dxa"/>
              <w:bottom w:w="30" w:type="dxa"/>
              <w:right w:w="45" w:type="dxa"/>
            </w:tcMar>
            <w:vAlign w:val="center"/>
            <w:hideMark/>
          </w:tcPr>
          <w:p w14:paraId="1759AA5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20.430.185.243</w:t>
            </w:r>
          </w:p>
        </w:tc>
        <w:tc>
          <w:tcPr>
            <w:tcW w:w="584" w:type="pct"/>
            <w:tcMar>
              <w:top w:w="30" w:type="dxa"/>
              <w:left w:w="45" w:type="dxa"/>
              <w:bottom w:w="30" w:type="dxa"/>
              <w:right w:w="45" w:type="dxa"/>
            </w:tcMar>
            <w:vAlign w:val="center"/>
            <w:hideMark/>
          </w:tcPr>
          <w:p w14:paraId="65E85B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34.147.430.436</w:t>
            </w:r>
          </w:p>
        </w:tc>
        <w:tc>
          <w:tcPr>
            <w:tcW w:w="592" w:type="pct"/>
            <w:tcMar>
              <w:top w:w="30" w:type="dxa"/>
              <w:left w:w="45" w:type="dxa"/>
              <w:bottom w:w="30" w:type="dxa"/>
              <w:right w:w="45" w:type="dxa"/>
            </w:tcMar>
            <w:vAlign w:val="center"/>
            <w:hideMark/>
          </w:tcPr>
          <w:p w14:paraId="1E07D7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16.420.590.676</w:t>
            </w:r>
          </w:p>
        </w:tc>
        <w:tc>
          <w:tcPr>
            <w:tcW w:w="589" w:type="pct"/>
            <w:vMerge/>
            <w:vAlign w:val="center"/>
            <w:hideMark/>
          </w:tcPr>
          <w:p w14:paraId="2DF0F168" w14:textId="77777777" w:rsidR="00856F66" w:rsidRPr="00E31657" w:rsidRDefault="00856F66" w:rsidP="00AE6E22">
            <w:pPr>
              <w:rPr>
                <w:rFonts w:cs="Arial"/>
                <w:b/>
                <w:bCs/>
                <w:sz w:val="16"/>
                <w:szCs w:val="16"/>
                <w:lang w:val="es-ES_tradnl" w:eastAsia="es-MX"/>
              </w:rPr>
            </w:pPr>
          </w:p>
        </w:tc>
      </w:tr>
      <w:tr w:rsidR="00856F66" w:rsidRPr="00E31657" w14:paraId="0A0E9FFC" w14:textId="77777777" w:rsidTr="00F974BB">
        <w:trPr>
          <w:trHeight w:val="315"/>
        </w:trPr>
        <w:tc>
          <w:tcPr>
            <w:tcW w:w="5000" w:type="pct"/>
            <w:gridSpan w:val="8"/>
            <w:shd w:val="clear" w:color="auto" w:fill="C00000"/>
            <w:tcMar>
              <w:top w:w="30" w:type="dxa"/>
              <w:left w:w="45" w:type="dxa"/>
              <w:bottom w:w="30" w:type="dxa"/>
              <w:right w:w="45" w:type="dxa"/>
            </w:tcMar>
            <w:vAlign w:val="center"/>
            <w:hideMark/>
          </w:tcPr>
          <w:p w14:paraId="70550E33"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Veeduría</w:t>
            </w:r>
          </w:p>
        </w:tc>
      </w:tr>
      <w:tr w:rsidR="00856F66" w:rsidRPr="00E31657" w14:paraId="3E185EE8" w14:textId="77777777" w:rsidTr="00826D72">
        <w:trPr>
          <w:trHeight w:val="570"/>
        </w:trPr>
        <w:tc>
          <w:tcPr>
            <w:tcW w:w="1182" w:type="pct"/>
            <w:vMerge w:val="restart"/>
            <w:tcMar>
              <w:top w:w="30" w:type="dxa"/>
              <w:left w:w="45" w:type="dxa"/>
              <w:bottom w:w="30" w:type="dxa"/>
              <w:right w:w="45" w:type="dxa"/>
            </w:tcMar>
            <w:vAlign w:val="center"/>
            <w:hideMark/>
          </w:tcPr>
          <w:p w14:paraId="6E1C37EC" w14:textId="77777777" w:rsidR="00856F66" w:rsidRPr="00E31657" w:rsidRDefault="00856F66" w:rsidP="00814C8F">
            <w:pPr>
              <w:jc w:val="right"/>
              <w:rPr>
                <w:rFonts w:cs="Arial"/>
                <w:sz w:val="16"/>
                <w:szCs w:val="16"/>
                <w:lang w:val="es-ES_tradnl" w:eastAsia="es-MX"/>
              </w:rPr>
            </w:pPr>
            <w:r w:rsidRPr="00E31657">
              <w:rPr>
                <w:rFonts w:cs="Arial"/>
                <w:sz w:val="16"/>
                <w:szCs w:val="16"/>
                <w:lang w:val="es-ES_tradnl" w:eastAsia="es-MX"/>
              </w:rPr>
              <w:t>Fortalecer a 4.300 ciudadanas ciudadanos y/o servidoras servidores públicos en control social de la gestión pública promoviendo transparencia y la cultura de denuncia.</w:t>
            </w:r>
          </w:p>
        </w:tc>
        <w:tc>
          <w:tcPr>
            <w:tcW w:w="421" w:type="pct"/>
            <w:vMerge w:val="restart"/>
            <w:tcMar>
              <w:top w:w="30" w:type="dxa"/>
              <w:left w:w="45" w:type="dxa"/>
              <w:bottom w:w="30" w:type="dxa"/>
              <w:right w:w="45" w:type="dxa"/>
            </w:tcMar>
            <w:vAlign w:val="center"/>
            <w:hideMark/>
          </w:tcPr>
          <w:p w14:paraId="4B9A4D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3500</w:t>
            </w:r>
            <w:r w:rsidRPr="00E31657">
              <w:rPr>
                <w:rFonts w:cs="Arial"/>
                <w:sz w:val="16"/>
                <w:szCs w:val="16"/>
                <w:lang w:val="es-ES_tradnl" w:eastAsia="es-MX"/>
              </w:rPr>
              <w:br/>
              <w:t>(2023)</w:t>
            </w:r>
          </w:p>
        </w:tc>
        <w:tc>
          <w:tcPr>
            <w:tcW w:w="435" w:type="pct"/>
            <w:vMerge w:val="restart"/>
            <w:tcMar>
              <w:top w:w="30" w:type="dxa"/>
              <w:left w:w="45" w:type="dxa"/>
              <w:bottom w:w="30" w:type="dxa"/>
              <w:right w:w="45" w:type="dxa"/>
            </w:tcMar>
            <w:vAlign w:val="center"/>
            <w:hideMark/>
          </w:tcPr>
          <w:p w14:paraId="799AF4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Ciudadanía y servidores públicos participantes en los proyectos de inversión 7552 y 7591 de la Veeduría Distrital</w:t>
            </w:r>
          </w:p>
        </w:tc>
        <w:tc>
          <w:tcPr>
            <w:tcW w:w="610" w:type="pct"/>
            <w:tcMar>
              <w:top w:w="30" w:type="dxa"/>
              <w:left w:w="45" w:type="dxa"/>
              <w:bottom w:w="30" w:type="dxa"/>
              <w:right w:w="45" w:type="dxa"/>
            </w:tcMar>
            <w:vAlign w:val="center"/>
            <w:hideMark/>
          </w:tcPr>
          <w:p w14:paraId="48AE07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400</w:t>
            </w:r>
          </w:p>
        </w:tc>
        <w:tc>
          <w:tcPr>
            <w:tcW w:w="587" w:type="pct"/>
            <w:tcMar>
              <w:top w:w="30" w:type="dxa"/>
              <w:left w:w="45" w:type="dxa"/>
              <w:bottom w:w="30" w:type="dxa"/>
              <w:right w:w="45" w:type="dxa"/>
            </w:tcMar>
            <w:vAlign w:val="center"/>
            <w:hideMark/>
          </w:tcPr>
          <w:p w14:paraId="576D5D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1.300</w:t>
            </w:r>
          </w:p>
        </w:tc>
        <w:tc>
          <w:tcPr>
            <w:tcW w:w="584" w:type="pct"/>
            <w:tcMar>
              <w:top w:w="30" w:type="dxa"/>
              <w:left w:w="45" w:type="dxa"/>
              <w:bottom w:w="30" w:type="dxa"/>
              <w:right w:w="45" w:type="dxa"/>
            </w:tcMar>
            <w:vAlign w:val="center"/>
            <w:hideMark/>
          </w:tcPr>
          <w:p w14:paraId="199D23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1.300</w:t>
            </w:r>
          </w:p>
        </w:tc>
        <w:tc>
          <w:tcPr>
            <w:tcW w:w="592" w:type="pct"/>
            <w:tcMar>
              <w:top w:w="30" w:type="dxa"/>
              <w:left w:w="45" w:type="dxa"/>
              <w:bottom w:w="30" w:type="dxa"/>
              <w:right w:w="45" w:type="dxa"/>
            </w:tcMar>
            <w:vAlign w:val="center"/>
            <w:hideMark/>
          </w:tcPr>
          <w:p w14:paraId="3C6111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1.300</w:t>
            </w:r>
          </w:p>
        </w:tc>
        <w:tc>
          <w:tcPr>
            <w:tcW w:w="589" w:type="pct"/>
            <w:vMerge w:val="restart"/>
            <w:tcMar>
              <w:top w:w="30" w:type="dxa"/>
              <w:left w:w="45" w:type="dxa"/>
              <w:bottom w:w="30" w:type="dxa"/>
              <w:right w:w="45" w:type="dxa"/>
            </w:tcMar>
            <w:vAlign w:val="center"/>
            <w:hideMark/>
          </w:tcPr>
          <w:p w14:paraId="72D7064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8.112.149.439</w:t>
            </w:r>
          </w:p>
        </w:tc>
      </w:tr>
      <w:tr w:rsidR="00856F66" w:rsidRPr="00E31657" w14:paraId="431F5467" w14:textId="77777777" w:rsidTr="00826D72">
        <w:trPr>
          <w:trHeight w:val="4464"/>
        </w:trPr>
        <w:tc>
          <w:tcPr>
            <w:tcW w:w="1182" w:type="pct"/>
            <w:vMerge/>
            <w:vAlign w:val="center"/>
            <w:hideMark/>
          </w:tcPr>
          <w:p w14:paraId="47FDBC07" w14:textId="77777777" w:rsidR="00856F66" w:rsidRPr="00E31657" w:rsidRDefault="00856F66" w:rsidP="00AE6E22">
            <w:pPr>
              <w:rPr>
                <w:rFonts w:cs="Arial"/>
                <w:sz w:val="16"/>
                <w:szCs w:val="16"/>
                <w:lang w:val="es-ES_tradnl" w:eastAsia="es-MX"/>
              </w:rPr>
            </w:pPr>
          </w:p>
        </w:tc>
        <w:tc>
          <w:tcPr>
            <w:tcW w:w="421" w:type="pct"/>
            <w:vMerge/>
            <w:vAlign w:val="center"/>
            <w:hideMark/>
          </w:tcPr>
          <w:p w14:paraId="6C2338E6" w14:textId="77777777" w:rsidR="00856F66" w:rsidRPr="00E31657" w:rsidRDefault="00856F66" w:rsidP="00AE6E22">
            <w:pPr>
              <w:rPr>
                <w:rFonts w:cs="Arial"/>
                <w:sz w:val="16"/>
                <w:szCs w:val="16"/>
                <w:lang w:val="es-ES_tradnl" w:eastAsia="es-MX"/>
              </w:rPr>
            </w:pPr>
          </w:p>
        </w:tc>
        <w:tc>
          <w:tcPr>
            <w:tcW w:w="435" w:type="pct"/>
            <w:vMerge/>
            <w:vAlign w:val="center"/>
            <w:hideMark/>
          </w:tcPr>
          <w:p w14:paraId="1E4AC006" w14:textId="77777777" w:rsidR="00856F66" w:rsidRPr="00E31657" w:rsidRDefault="00856F66" w:rsidP="00AE6E22">
            <w:pPr>
              <w:rPr>
                <w:rFonts w:cs="Arial"/>
                <w:sz w:val="16"/>
                <w:szCs w:val="16"/>
                <w:lang w:val="es-ES_tradnl" w:eastAsia="es-MX"/>
              </w:rPr>
            </w:pPr>
          </w:p>
        </w:tc>
        <w:tc>
          <w:tcPr>
            <w:tcW w:w="610" w:type="pct"/>
            <w:tcMar>
              <w:top w:w="30" w:type="dxa"/>
              <w:left w:w="45" w:type="dxa"/>
              <w:bottom w:w="30" w:type="dxa"/>
              <w:right w:w="45" w:type="dxa"/>
            </w:tcMar>
            <w:vAlign w:val="center"/>
            <w:hideMark/>
          </w:tcPr>
          <w:p w14:paraId="34B5726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1.067.375.000</w:t>
            </w:r>
          </w:p>
        </w:tc>
        <w:tc>
          <w:tcPr>
            <w:tcW w:w="587" w:type="pct"/>
            <w:tcMar>
              <w:top w:w="30" w:type="dxa"/>
              <w:left w:w="45" w:type="dxa"/>
              <w:bottom w:w="30" w:type="dxa"/>
              <w:right w:w="45" w:type="dxa"/>
            </w:tcMar>
            <w:vAlign w:val="center"/>
            <w:hideMark/>
          </w:tcPr>
          <w:p w14:paraId="2FF1E9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2.418.001.618</w:t>
            </w:r>
          </w:p>
        </w:tc>
        <w:tc>
          <w:tcPr>
            <w:tcW w:w="584" w:type="pct"/>
            <w:tcMar>
              <w:top w:w="30" w:type="dxa"/>
              <w:left w:w="45" w:type="dxa"/>
              <w:bottom w:w="30" w:type="dxa"/>
              <w:right w:w="45" w:type="dxa"/>
            </w:tcMar>
            <w:vAlign w:val="center"/>
            <w:hideMark/>
          </w:tcPr>
          <w:p w14:paraId="6E8579B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2.347.574.387</w:t>
            </w:r>
          </w:p>
        </w:tc>
        <w:tc>
          <w:tcPr>
            <w:tcW w:w="592" w:type="pct"/>
            <w:tcMar>
              <w:top w:w="30" w:type="dxa"/>
              <w:left w:w="45" w:type="dxa"/>
              <w:bottom w:w="30" w:type="dxa"/>
              <w:right w:w="45" w:type="dxa"/>
            </w:tcMar>
            <w:vAlign w:val="center"/>
            <w:hideMark/>
          </w:tcPr>
          <w:p w14:paraId="119A9EC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2.279.198.434</w:t>
            </w:r>
          </w:p>
        </w:tc>
        <w:tc>
          <w:tcPr>
            <w:tcW w:w="589" w:type="pct"/>
            <w:vMerge/>
            <w:vAlign w:val="center"/>
            <w:hideMark/>
          </w:tcPr>
          <w:p w14:paraId="73CAB8C5" w14:textId="77777777" w:rsidR="00856F66" w:rsidRPr="00E31657" w:rsidRDefault="00856F66" w:rsidP="00AE6E22">
            <w:pPr>
              <w:rPr>
                <w:rFonts w:cs="Arial"/>
                <w:b/>
                <w:bCs/>
                <w:sz w:val="16"/>
                <w:szCs w:val="16"/>
                <w:lang w:val="es-ES_tradnl" w:eastAsia="es-MX"/>
              </w:rPr>
            </w:pPr>
          </w:p>
        </w:tc>
      </w:tr>
    </w:tbl>
    <w:p w14:paraId="23F5D08E" w14:textId="77777777" w:rsidR="00856F66" w:rsidRPr="00E31657" w:rsidRDefault="00856F66">
      <w:pPr>
        <w:rPr>
          <w:sz w:val="16"/>
          <w:szCs w:val="16"/>
          <w:lang w:val="es-ES_tradnl"/>
        </w:rPr>
      </w:pPr>
    </w:p>
    <w:p w14:paraId="7E7B73D0" w14:textId="2F6ADC6F" w:rsidR="00856F66" w:rsidRPr="00E31657" w:rsidRDefault="00826D72" w:rsidP="00826D72">
      <w:pPr>
        <w:spacing w:line="240" w:lineRule="auto"/>
        <w:jc w:val="left"/>
        <w:rPr>
          <w:sz w:val="16"/>
          <w:szCs w:val="16"/>
          <w:lang w:val="es-ES_tradnl"/>
        </w:rPr>
      </w:pPr>
      <w:r>
        <w:rPr>
          <w:sz w:val="16"/>
          <w:szCs w:val="16"/>
          <w:lang w:val="es-ES_tradnl"/>
        </w:rPr>
        <w:br w:type="page"/>
      </w:r>
    </w:p>
    <w:tbl>
      <w:tblPr>
        <w:tblW w:w="5000" w:type="pct"/>
        <w:tblBorders>
          <w:insideH w:val="double" w:sz="4" w:space="0" w:color="C00000"/>
          <w:insideV w:val="double" w:sz="4" w:space="0" w:color="C00000"/>
        </w:tblBorders>
        <w:tblLayout w:type="fixed"/>
        <w:tblCellMar>
          <w:left w:w="0" w:type="dxa"/>
          <w:right w:w="0" w:type="dxa"/>
        </w:tblCellMar>
        <w:tblLook w:val="04A0" w:firstRow="1" w:lastRow="0" w:firstColumn="1" w:lastColumn="0" w:noHBand="0" w:noVBand="1"/>
      </w:tblPr>
      <w:tblGrid>
        <w:gridCol w:w="1255"/>
        <w:gridCol w:w="20"/>
        <w:gridCol w:w="826"/>
        <w:gridCol w:w="47"/>
        <w:gridCol w:w="183"/>
        <w:gridCol w:w="1616"/>
        <w:gridCol w:w="13"/>
        <w:gridCol w:w="79"/>
        <w:gridCol w:w="15"/>
        <w:gridCol w:w="1524"/>
        <w:gridCol w:w="1103"/>
        <w:gridCol w:w="927"/>
        <w:gridCol w:w="846"/>
        <w:gridCol w:w="747"/>
        <w:gridCol w:w="159"/>
      </w:tblGrid>
      <w:tr w:rsidR="00856F66" w:rsidRPr="00E31657" w14:paraId="4874BAA3" w14:textId="77777777" w:rsidTr="00F974BB">
        <w:trPr>
          <w:trHeight w:val="315"/>
        </w:trPr>
        <w:tc>
          <w:tcPr>
            <w:tcW w:w="5000" w:type="pct"/>
            <w:gridSpan w:val="15"/>
            <w:tcBorders>
              <w:top w:val="nil"/>
              <w:bottom w:val="double" w:sz="4" w:space="0" w:color="C00000"/>
            </w:tcBorders>
            <w:tcMar>
              <w:top w:w="30" w:type="dxa"/>
              <w:left w:w="45" w:type="dxa"/>
              <w:bottom w:w="30" w:type="dxa"/>
              <w:right w:w="45" w:type="dxa"/>
            </w:tcMar>
            <w:vAlign w:val="center"/>
            <w:hideMark/>
          </w:tcPr>
          <w:p w14:paraId="6116F2FD"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lastRenderedPageBreak/>
              <w:t xml:space="preserve">Programa 33. </w:t>
            </w:r>
            <w:r w:rsidRPr="00E31657">
              <w:rPr>
                <w:rFonts w:cs="Arial"/>
                <w:lang w:val="es-ES_tradnl" w:eastAsia="es-MX"/>
              </w:rPr>
              <w:t>Fortalecimiento institucional para un gobierno confiable</w:t>
            </w:r>
          </w:p>
        </w:tc>
      </w:tr>
      <w:tr w:rsidR="00856F66" w:rsidRPr="00E31657" w14:paraId="54B8833A" w14:textId="77777777" w:rsidTr="00F974BB">
        <w:trPr>
          <w:trHeight w:val="315"/>
        </w:trPr>
        <w:tc>
          <w:tcPr>
            <w:tcW w:w="671" w:type="pct"/>
            <w:vMerge w:val="restart"/>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128DA2E"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Sector / Metas</w:t>
            </w:r>
          </w:p>
        </w:tc>
        <w:tc>
          <w:tcPr>
            <w:tcW w:w="4329" w:type="pct"/>
            <w:gridSpan w:val="14"/>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746DDD1"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 xml:space="preserve">Magnitudes e Inversión </w:t>
            </w:r>
            <w:r w:rsidRPr="00985E3D">
              <w:rPr>
                <w:rFonts w:ascii="Candara" w:eastAsia="Times New Roman" w:hAnsi="Candara"/>
                <w:b/>
                <w:bCs/>
                <w:color w:val="FFFFFF" w:themeColor="background1"/>
                <w:sz w:val="24"/>
                <w:szCs w:val="24"/>
                <w:lang w:val="es-ES_tradnl" w:eastAsia="es-MX"/>
              </w:rPr>
              <w:br/>
              <w:t>(Precios Constantes 2024)</w:t>
            </w:r>
          </w:p>
        </w:tc>
      </w:tr>
      <w:tr w:rsidR="00856F66" w:rsidRPr="00E31657" w14:paraId="38725825" w14:textId="77777777" w:rsidTr="00F974BB">
        <w:trPr>
          <w:trHeight w:val="315"/>
        </w:trPr>
        <w:tc>
          <w:tcPr>
            <w:tcW w:w="671" w:type="pct"/>
            <w:vMerge/>
            <w:tcBorders>
              <w:top w:val="double" w:sz="4" w:space="0" w:color="C00000"/>
              <w:bottom w:val="double" w:sz="4" w:space="0" w:color="C00000"/>
            </w:tcBorders>
            <w:shd w:val="clear" w:color="auto" w:fill="C00000"/>
            <w:vAlign w:val="center"/>
            <w:hideMark/>
          </w:tcPr>
          <w:p w14:paraId="458F1BEA" w14:textId="77777777" w:rsidR="00856F66" w:rsidRPr="00E31657" w:rsidRDefault="00856F66" w:rsidP="00AE6E22">
            <w:pPr>
              <w:rPr>
                <w:rFonts w:cs="Arial"/>
                <w:b/>
                <w:bCs/>
                <w:color w:val="FFFFFF"/>
                <w:sz w:val="16"/>
                <w:szCs w:val="16"/>
                <w:lang w:val="es-ES_tradnl" w:eastAsia="es-MX"/>
              </w:rPr>
            </w:pPr>
          </w:p>
        </w:tc>
        <w:tc>
          <w:tcPr>
            <w:tcW w:w="575" w:type="pct"/>
            <w:gridSpan w:val="4"/>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1E2EC3A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870" w:type="pct"/>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03151A91" w14:textId="77777777" w:rsidR="00856F66" w:rsidRPr="00E31657" w:rsidRDefault="00856F66" w:rsidP="00A061E6">
            <w:pPr>
              <w:ind w:left="318" w:right="350" w:hanging="318"/>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861" w:type="pct"/>
            <w:gridSpan w:val="3"/>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5BA8DCE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589" w:type="pct"/>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78306F6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495" w:type="pct"/>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752EA43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452" w:type="pct"/>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195E140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487" w:type="pct"/>
            <w:gridSpan w:val="2"/>
            <w:tcBorders>
              <w:top w:val="double" w:sz="4" w:space="0" w:color="C00000"/>
              <w:bottom w:val="double" w:sz="4" w:space="0" w:color="C00000"/>
            </w:tcBorders>
            <w:shd w:val="clear" w:color="auto" w:fill="D9D9D9"/>
            <w:tcMar>
              <w:top w:w="30" w:type="dxa"/>
              <w:left w:w="45" w:type="dxa"/>
              <w:bottom w:w="30" w:type="dxa"/>
              <w:right w:w="45" w:type="dxa"/>
            </w:tcMar>
            <w:vAlign w:val="center"/>
            <w:hideMark/>
          </w:tcPr>
          <w:p w14:paraId="4932AF0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F63F1C4"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15AC55CA"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Ambiente</w:t>
            </w:r>
          </w:p>
        </w:tc>
      </w:tr>
      <w:tr w:rsidR="00856F66" w:rsidRPr="00E31657" w14:paraId="679220C0" w14:textId="77777777" w:rsidTr="00F974BB">
        <w:trPr>
          <w:gridAfter w:val="1"/>
          <w:wAfter w:w="88" w:type="pct"/>
          <w:trHeight w:val="315"/>
        </w:trPr>
        <w:tc>
          <w:tcPr>
            <w:tcW w:w="68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83E9558" w14:textId="77777777" w:rsidR="00856F66" w:rsidRPr="00E31657" w:rsidRDefault="00856F66" w:rsidP="00A061E6">
            <w:pPr>
              <w:jc w:val="right"/>
              <w:rPr>
                <w:rFonts w:cs="Arial"/>
                <w:sz w:val="16"/>
                <w:szCs w:val="16"/>
                <w:lang w:val="es-ES_tradnl" w:eastAsia="es-MX"/>
              </w:rPr>
            </w:pPr>
            <w:r w:rsidRPr="00E31657">
              <w:rPr>
                <w:rFonts w:cs="Arial"/>
                <w:sz w:val="16"/>
                <w:szCs w:val="16"/>
                <w:lang w:val="es-ES_tradnl" w:eastAsia="es-MX"/>
              </w:rPr>
              <w:t>Implementar 3 programas de información ambiental y conocimiento ambiental</w:t>
            </w:r>
          </w:p>
        </w:tc>
        <w:tc>
          <w:tcPr>
            <w:tcW w:w="466"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63F3F9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961"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1C04D95" w14:textId="77777777" w:rsidR="00856F66" w:rsidRPr="00E31657" w:rsidRDefault="00856F66" w:rsidP="00A061E6">
            <w:pPr>
              <w:ind w:left="318" w:right="350" w:hanging="318"/>
              <w:jc w:val="center"/>
              <w:rPr>
                <w:rFonts w:cs="Arial"/>
                <w:sz w:val="16"/>
                <w:szCs w:val="16"/>
                <w:lang w:val="es-ES_tradnl" w:eastAsia="es-MX"/>
              </w:rPr>
            </w:pPr>
            <w:r w:rsidRPr="00E31657">
              <w:rPr>
                <w:rFonts w:cs="Arial"/>
                <w:sz w:val="16"/>
                <w:szCs w:val="16"/>
                <w:lang w:val="es-ES_tradnl" w:eastAsia="es-MX"/>
              </w:rPr>
              <w:t>Secretaría Distrital Ambiental</w:t>
            </w:r>
          </w:p>
        </w:tc>
        <w:tc>
          <w:tcPr>
            <w:tcW w:w="871" w:type="pct"/>
            <w:gridSpan w:val="4"/>
            <w:tcBorders>
              <w:top w:val="double" w:sz="4" w:space="0" w:color="C00000"/>
              <w:bottom w:val="double" w:sz="4" w:space="0" w:color="C00000"/>
            </w:tcBorders>
            <w:tcMar>
              <w:top w:w="30" w:type="dxa"/>
              <w:left w:w="45" w:type="dxa"/>
              <w:bottom w:w="30" w:type="dxa"/>
              <w:right w:w="45" w:type="dxa"/>
            </w:tcMar>
            <w:vAlign w:val="center"/>
            <w:hideMark/>
          </w:tcPr>
          <w:p w14:paraId="696D0E04" w14:textId="413EA11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w:t>
            </w:r>
            <w:r w:rsidR="002261BC">
              <w:rPr>
                <w:rFonts w:cs="Arial"/>
                <w:sz w:val="16"/>
                <w:szCs w:val="16"/>
                <w:lang w:val="es-ES_tradnl" w:eastAsia="es-MX"/>
              </w:rPr>
              <w:t>%</w:t>
            </w:r>
          </w:p>
        </w:tc>
        <w:tc>
          <w:tcPr>
            <w:tcW w:w="586" w:type="pct"/>
            <w:tcBorders>
              <w:top w:val="double" w:sz="4" w:space="0" w:color="C00000"/>
              <w:bottom w:val="double" w:sz="4" w:space="0" w:color="C00000"/>
            </w:tcBorders>
            <w:tcMar>
              <w:top w:w="30" w:type="dxa"/>
              <w:left w:w="45" w:type="dxa"/>
              <w:bottom w:w="30" w:type="dxa"/>
              <w:right w:w="45" w:type="dxa"/>
            </w:tcMar>
            <w:vAlign w:val="center"/>
            <w:hideMark/>
          </w:tcPr>
          <w:p w14:paraId="17BF94D5" w14:textId="1AB6BC62"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w:t>
            </w:r>
            <w:r w:rsidR="002261BC">
              <w:rPr>
                <w:rFonts w:cs="Arial"/>
                <w:sz w:val="16"/>
                <w:szCs w:val="16"/>
                <w:lang w:val="es-ES_tradnl" w:eastAsia="es-MX"/>
              </w:rPr>
              <w:t>%</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BBD8001" w14:textId="6F65CAF3"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w:t>
            </w:r>
            <w:r w:rsidR="002261BC">
              <w:rPr>
                <w:rFonts w:cs="Arial"/>
                <w:sz w:val="16"/>
                <w:szCs w:val="16"/>
                <w:lang w:val="es-ES_tradnl" w:eastAsia="es-MX"/>
              </w:rPr>
              <w:t>%</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1FE46AED" w14:textId="2F27B3D4"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w:t>
            </w:r>
            <w:r w:rsidR="002261BC">
              <w:rPr>
                <w:rFonts w:cs="Arial"/>
                <w:sz w:val="16"/>
                <w:szCs w:val="16"/>
                <w:lang w:val="es-ES_tradnl" w:eastAsia="es-MX"/>
              </w:rPr>
              <w:t>%</w:t>
            </w:r>
          </w:p>
        </w:tc>
        <w:tc>
          <w:tcPr>
            <w:tcW w:w="399"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18E6C14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53.409.613.152</w:t>
            </w:r>
          </w:p>
        </w:tc>
      </w:tr>
      <w:tr w:rsidR="00856F66" w:rsidRPr="00E31657" w14:paraId="1DBDD11F" w14:textId="77777777" w:rsidTr="00F974BB">
        <w:trPr>
          <w:gridAfter w:val="1"/>
          <w:wAfter w:w="88" w:type="pct"/>
          <w:trHeight w:val="315"/>
        </w:trPr>
        <w:tc>
          <w:tcPr>
            <w:tcW w:w="682" w:type="pct"/>
            <w:gridSpan w:val="2"/>
            <w:vMerge/>
            <w:tcBorders>
              <w:top w:val="double" w:sz="4" w:space="0" w:color="C00000"/>
              <w:bottom w:val="double" w:sz="4" w:space="0" w:color="C00000"/>
            </w:tcBorders>
            <w:vAlign w:val="center"/>
            <w:hideMark/>
          </w:tcPr>
          <w:p w14:paraId="6BFF6307" w14:textId="77777777" w:rsidR="00856F66" w:rsidRPr="00E31657" w:rsidRDefault="00856F66" w:rsidP="00A061E6">
            <w:pPr>
              <w:jc w:val="right"/>
              <w:rPr>
                <w:rFonts w:cs="Arial"/>
                <w:sz w:val="16"/>
                <w:szCs w:val="16"/>
                <w:lang w:val="es-ES_tradnl" w:eastAsia="es-MX"/>
              </w:rPr>
            </w:pPr>
          </w:p>
        </w:tc>
        <w:tc>
          <w:tcPr>
            <w:tcW w:w="466" w:type="pct"/>
            <w:gridSpan w:val="2"/>
            <w:vMerge/>
            <w:tcBorders>
              <w:top w:val="double" w:sz="4" w:space="0" w:color="C00000"/>
              <w:bottom w:val="double" w:sz="4" w:space="0" w:color="C00000"/>
            </w:tcBorders>
            <w:vAlign w:val="center"/>
            <w:hideMark/>
          </w:tcPr>
          <w:p w14:paraId="3F86F85B" w14:textId="77777777" w:rsidR="00856F66" w:rsidRPr="00E31657" w:rsidRDefault="00856F66" w:rsidP="00AE6E22">
            <w:pPr>
              <w:rPr>
                <w:rFonts w:cs="Arial"/>
                <w:sz w:val="16"/>
                <w:szCs w:val="16"/>
                <w:lang w:val="es-ES_tradnl" w:eastAsia="es-MX"/>
              </w:rPr>
            </w:pPr>
          </w:p>
        </w:tc>
        <w:tc>
          <w:tcPr>
            <w:tcW w:w="961" w:type="pct"/>
            <w:gridSpan w:val="2"/>
            <w:vMerge/>
            <w:tcBorders>
              <w:top w:val="double" w:sz="4" w:space="0" w:color="C00000"/>
              <w:bottom w:val="double" w:sz="4" w:space="0" w:color="C00000"/>
            </w:tcBorders>
            <w:vAlign w:val="center"/>
            <w:hideMark/>
          </w:tcPr>
          <w:p w14:paraId="37F29BCB" w14:textId="77777777" w:rsidR="00856F66" w:rsidRPr="00E31657" w:rsidRDefault="00856F66" w:rsidP="00A061E6">
            <w:pPr>
              <w:ind w:left="318" w:right="350" w:hanging="318"/>
              <w:rPr>
                <w:rFonts w:cs="Arial"/>
                <w:sz w:val="16"/>
                <w:szCs w:val="16"/>
                <w:lang w:val="es-ES_tradnl" w:eastAsia="es-MX"/>
              </w:rPr>
            </w:pPr>
          </w:p>
        </w:tc>
        <w:tc>
          <w:tcPr>
            <w:tcW w:w="871" w:type="pct"/>
            <w:gridSpan w:val="4"/>
            <w:tcBorders>
              <w:top w:val="double" w:sz="4" w:space="0" w:color="C00000"/>
              <w:bottom w:val="double" w:sz="4" w:space="0" w:color="C00000"/>
            </w:tcBorders>
            <w:tcMar>
              <w:top w:w="30" w:type="dxa"/>
              <w:left w:w="45" w:type="dxa"/>
              <w:bottom w:w="30" w:type="dxa"/>
              <w:right w:w="45" w:type="dxa"/>
            </w:tcMar>
            <w:vAlign w:val="center"/>
            <w:hideMark/>
          </w:tcPr>
          <w:p w14:paraId="714F81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6.182.285.664</w:t>
            </w:r>
          </w:p>
        </w:tc>
        <w:tc>
          <w:tcPr>
            <w:tcW w:w="586" w:type="pct"/>
            <w:tcBorders>
              <w:top w:val="double" w:sz="4" w:space="0" w:color="C00000"/>
              <w:bottom w:val="double" w:sz="4" w:space="0" w:color="C00000"/>
            </w:tcBorders>
            <w:tcMar>
              <w:top w:w="30" w:type="dxa"/>
              <w:left w:w="45" w:type="dxa"/>
              <w:bottom w:w="30" w:type="dxa"/>
              <w:right w:w="45" w:type="dxa"/>
            </w:tcMar>
            <w:vAlign w:val="center"/>
            <w:hideMark/>
          </w:tcPr>
          <w:p w14:paraId="122151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15.538.322.311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33CA6D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15.432.950.816</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68D8AE4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16.256.054.361</w:t>
            </w:r>
          </w:p>
        </w:tc>
        <w:tc>
          <w:tcPr>
            <w:tcW w:w="399" w:type="pct"/>
            <w:vMerge/>
            <w:tcBorders>
              <w:top w:val="double" w:sz="4" w:space="0" w:color="C00000"/>
              <w:bottom w:val="double" w:sz="4" w:space="0" w:color="C00000"/>
            </w:tcBorders>
            <w:vAlign w:val="center"/>
            <w:hideMark/>
          </w:tcPr>
          <w:p w14:paraId="5BA32B37" w14:textId="77777777" w:rsidR="00856F66" w:rsidRPr="00E31657" w:rsidRDefault="00856F66" w:rsidP="00AE6E22">
            <w:pPr>
              <w:rPr>
                <w:rFonts w:cs="Arial"/>
                <w:b/>
                <w:bCs/>
                <w:sz w:val="16"/>
                <w:szCs w:val="16"/>
                <w:lang w:val="es-ES_tradnl" w:eastAsia="es-MX"/>
              </w:rPr>
            </w:pPr>
          </w:p>
        </w:tc>
      </w:tr>
      <w:tr w:rsidR="00856F66" w:rsidRPr="00E31657" w14:paraId="0596E6FF" w14:textId="77777777" w:rsidTr="00F974BB">
        <w:trPr>
          <w:gridAfter w:val="1"/>
          <w:wAfter w:w="88" w:type="pct"/>
          <w:trHeight w:val="315"/>
        </w:trPr>
        <w:tc>
          <w:tcPr>
            <w:tcW w:w="682" w:type="pct"/>
            <w:gridSpan w:val="2"/>
            <w:tcBorders>
              <w:top w:val="double" w:sz="4" w:space="0" w:color="C00000"/>
              <w:bottom w:val="double" w:sz="4" w:space="0" w:color="C00000"/>
            </w:tcBorders>
            <w:tcMar>
              <w:top w:w="30" w:type="dxa"/>
              <w:left w:w="45" w:type="dxa"/>
              <w:bottom w:w="30" w:type="dxa"/>
              <w:right w:w="45" w:type="dxa"/>
            </w:tcMar>
            <w:vAlign w:val="center"/>
            <w:hideMark/>
          </w:tcPr>
          <w:p w14:paraId="160C5A92" w14:textId="77777777" w:rsidR="00856F66" w:rsidRPr="00E31657" w:rsidRDefault="00856F66" w:rsidP="00A061E6">
            <w:pPr>
              <w:jc w:val="right"/>
              <w:rPr>
                <w:rFonts w:cs="Arial"/>
                <w:sz w:val="16"/>
                <w:szCs w:val="16"/>
                <w:lang w:val="es-ES_tradnl" w:eastAsia="es-MX"/>
              </w:rPr>
            </w:pPr>
            <w:r w:rsidRPr="00E31657">
              <w:rPr>
                <w:rFonts w:cs="Arial"/>
                <w:sz w:val="16"/>
                <w:szCs w:val="16"/>
                <w:lang w:val="es-ES_tradnl" w:eastAsia="es-MX"/>
              </w:rPr>
              <w:t>Realizar el 100% de las acciones para el mejoramiento de la capacidad de gestión pública del sector ambiente</w:t>
            </w:r>
          </w:p>
        </w:tc>
        <w:tc>
          <w:tcPr>
            <w:tcW w:w="466" w:type="pct"/>
            <w:gridSpan w:val="2"/>
            <w:tcBorders>
              <w:top w:val="double" w:sz="4" w:space="0" w:color="C00000"/>
              <w:bottom w:val="double" w:sz="4" w:space="0" w:color="C00000"/>
            </w:tcBorders>
            <w:tcMar>
              <w:top w:w="30" w:type="dxa"/>
              <w:left w:w="45" w:type="dxa"/>
              <w:bottom w:w="30" w:type="dxa"/>
              <w:right w:w="45" w:type="dxa"/>
            </w:tcMar>
            <w:vAlign w:val="center"/>
            <w:hideMark/>
          </w:tcPr>
          <w:p w14:paraId="72FB51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961" w:type="pct"/>
            <w:gridSpan w:val="2"/>
            <w:tcBorders>
              <w:top w:val="double" w:sz="4" w:space="0" w:color="C00000"/>
              <w:bottom w:val="double" w:sz="4" w:space="0" w:color="C00000"/>
            </w:tcBorders>
            <w:tcMar>
              <w:top w:w="30" w:type="dxa"/>
              <w:left w:w="45" w:type="dxa"/>
              <w:bottom w:w="30" w:type="dxa"/>
              <w:right w:w="45" w:type="dxa"/>
            </w:tcMar>
            <w:vAlign w:val="center"/>
            <w:hideMark/>
          </w:tcPr>
          <w:p w14:paraId="2E6DD4E0" w14:textId="77777777" w:rsidR="00856F66" w:rsidRPr="00E31657" w:rsidRDefault="00856F66" w:rsidP="00A061E6">
            <w:pPr>
              <w:ind w:left="318" w:right="350" w:hanging="318"/>
              <w:jc w:val="center"/>
              <w:rPr>
                <w:rFonts w:cs="Arial"/>
                <w:sz w:val="16"/>
                <w:szCs w:val="16"/>
                <w:lang w:val="es-ES_tradnl" w:eastAsia="es-MX"/>
              </w:rPr>
            </w:pPr>
            <w:r w:rsidRPr="00E31657">
              <w:rPr>
                <w:rFonts w:cs="Arial"/>
                <w:sz w:val="16"/>
                <w:szCs w:val="16"/>
                <w:lang w:val="es-ES_tradnl" w:eastAsia="es-MX"/>
              </w:rPr>
              <w:t>Secretaría Distrital Ambiental</w:t>
            </w:r>
          </w:p>
        </w:tc>
        <w:tc>
          <w:tcPr>
            <w:tcW w:w="871" w:type="pct"/>
            <w:gridSpan w:val="4"/>
            <w:tcBorders>
              <w:top w:val="double" w:sz="4" w:space="0" w:color="C00000"/>
              <w:bottom w:val="double" w:sz="4" w:space="0" w:color="C00000"/>
            </w:tcBorders>
            <w:tcMar>
              <w:top w:w="30" w:type="dxa"/>
              <w:left w:w="45" w:type="dxa"/>
              <w:bottom w:w="30" w:type="dxa"/>
              <w:right w:w="45" w:type="dxa"/>
            </w:tcMar>
            <w:vAlign w:val="center"/>
            <w:hideMark/>
          </w:tcPr>
          <w:p w14:paraId="468C58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w:t>
            </w:r>
          </w:p>
        </w:tc>
        <w:tc>
          <w:tcPr>
            <w:tcW w:w="586" w:type="pct"/>
            <w:tcBorders>
              <w:top w:val="double" w:sz="4" w:space="0" w:color="C00000"/>
              <w:bottom w:val="double" w:sz="4" w:space="0" w:color="C00000"/>
            </w:tcBorders>
            <w:tcMar>
              <w:top w:w="30" w:type="dxa"/>
              <w:left w:w="45" w:type="dxa"/>
              <w:bottom w:w="30" w:type="dxa"/>
              <w:right w:w="45" w:type="dxa"/>
            </w:tcMar>
            <w:vAlign w:val="center"/>
            <w:hideMark/>
          </w:tcPr>
          <w:p w14:paraId="1135097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3AB862D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32,50%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EB562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32,50%</w:t>
            </w:r>
          </w:p>
        </w:tc>
        <w:tc>
          <w:tcPr>
            <w:tcW w:w="399" w:type="pct"/>
            <w:tcBorders>
              <w:top w:val="double" w:sz="4" w:space="0" w:color="C00000"/>
              <w:bottom w:val="double" w:sz="4" w:space="0" w:color="C00000"/>
            </w:tcBorders>
            <w:tcMar>
              <w:top w:w="30" w:type="dxa"/>
              <w:left w:w="45" w:type="dxa"/>
              <w:bottom w:w="30" w:type="dxa"/>
              <w:right w:w="45" w:type="dxa"/>
            </w:tcMar>
            <w:vAlign w:val="center"/>
            <w:hideMark/>
          </w:tcPr>
          <w:p w14:paraId="1F9DD8E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194.704.089.457</w:t>
            </w:r>
          </w:p>
        </w:tc>
      </w:tr>
      <w:tr w:rsidR="00856F66" w:rsidRPr="00E31657" w14:paraId="0B76BE44" w14:textId="77777777" w:rsidTr="00F974BB">
        <w:trPr>
          <w:trHeight w:val="315"/>
        </w:trPr>
        <w:tc>
          <w:tcPr>
            <w:tcW w:w="2116" w:type="pct"/>
            <w:gridSpan w:val="7"/>
            <w:tcBorders>
              <w:top w:val="double" w:sz="4" w:space="0" w:color="C00000"/>
              <w:bottom w:val="double" w:sz="4" w:space="0" w:color="C00000"/>
            </w:tcBorders>
            <w:vAlign w:val="center"/>
            <w:hideMark/>
          </w:tcPr>
          <w:p w14:paraId="09286648" w14:textId="77777777" w:rsidR="00856F66" w:rsidRPr="00E31657" w:rsidRDefault="00856F66" w:rsidP="00AE6E22">
            <w:pPr>
              <w:rPr>
                <w:rFonts w:cs="Arial"/>
                <w:sz w:val="16"/>
                <w:szCs w:val="16"/>
                <w:lang w:val="es-ES_tradnl" w:eastAsia="es-MX"/>
              </w:rPr>
            </w:pPr>
          </w:p>
        </w:tc>
        <w:tc>
          <w:tcPr>
            <w:tcW w:w="861" w:type="pct"/>
            <w:gridSpan w:val="3"/>
            <w:tcBorders>
              <w:top w:val="double" w:sz="4" w:space="0" w:color="C00000"/>
              <w:bottom w:val="double" w:sz="4" w:space="0" w:color="C00000"/>
            </w:tcBorders>
            <w:tcMar>
              <w:top w:w="30" w:type="dxa"/>
              <w:left w:w="45" w:type="dxa"/>
              <w:bottom w:w="30" w:type="dxa"/>
              <w:right w:w="45" w:type="dxa"/>
            </w:tcMar>
            <w:vAlign w:val="center"/>
            <w:hideMark/>
          </w:tcPr>
          <w:p w14:paraId="6DE8A0F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24.160.816.796</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074D2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54.184.896.653</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6CC2ABF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56.652.180.216</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034CAF6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59.706.195.792</w:t>
            </w:r>
          </w:p>
        </w:tc>
        <w:tc>
          <w:tcPr>
            <w:tcW w:w="487" w:type="pct"/>
            <w:gridSpan w:val="2"/>
            <w:tcBorders>
              <w:top w:val="double" w:sz="4" w:space="0" w:color="C00000"/>
              <w:bottom w:val="double" w:sz="4" w:space="0" w:color="C00000"/>
            </w:tcBorders>
            <w:vAlign w:val="center"/>
            <w:hideMark/>
          </w:tcPr>
          <w:p w14:paraId="2FF2AA29" w14:textId="77777777" w:rsidR="00856F66" w:rsidRPr="00E31657" w:rsidRDefault="00856F66" w:rsidP="00AE6E22">
            <w:pPr>
              <w:rPr>
                <w:rFonts w:cs="Arial"/>
                <w:b/>
                <w:bCs/>
                <w:sz w:val="16"/>
                <w:szCs w:val="16"/>
                <w:lang w:val="es-ES_tradnl" w:eastAsia="es-MX"/>
              </w:rPr>
            </w:pPr>
          </w:p>
        </w:tc>
      </w:tr>
      <w:tr w:rsidR="00856F66" w:rsidRPr="00E31657" w14:paraId="46FF7E63" w14:textId="77777777" w:rsidTr="00F974BB">
        <w:trPr>
          <w:trHeight w:val="349"/>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56DF93D"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Cultura recreación y deporte</w:t>
            </w:r>
          </w:p>
        </w:tc>
      </w:tr>
      <w:tr w:rsidR="00856F66" w:rsidRPr="00E31657" w14:paraId="00A2E3F1" w14:textId="77777777" w:rsidTr="00F974BB">
        <w:trPr>
          <w:trHeight w:val="111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52A08503" w14:textId="77777777" w:rsidR="00856F66" w:rsidRPr="00E31657" w:rsidRDefault="00856F66" w:rsidP="00A061E6">
            <w:pPr>
              <w:jc w:val="right"/>
              <w:rPr>
                <w:rFonts w:cs="Arial"/>
                <w:sz w:val="16"/>
                <w:szCs w:val="16"/>
                <w:lang w:val="es-ES_tradnl" w:eastAsia="es-MX"/>
              </w:rPr>
            </w:pPr>
            <w:r w:rsidRPr="00E31657">
              <w:rPr>
                <w:rFonts w:cs="Arial"/>
                <w:sz w:val="16"/>
                <w:szCs w:val="16"/>
                <w:lang w:val="es-ES_tradnl" w:eastAsia="es-MX"/>
              </w:rPr>
              <w:t xml:space="preserve">Fortalecer la gestión institucional de 6 entidades distritales del sector Cultura Recreación y Deporte con mejor infraestructura recursos físicos tecnológicos y un talento humano más cualificado y consciente de su papel como servidores públicos que favorezca un modelo de relacionamiento </w:t>
            </w:r>
            <w:r w:rsidRPr="00E31657">
              <w:rPr>
                <w:rFonts w:cs="Arial"/>
                <w:sz w:val="16"/>
                <w:szCs w:val="16"/>
                <w:lang w:val="es-ES_tradnl" w:eastAsia="es-MX"/>
              </w:rPr>
              <w:lastRenderedPageBreak/>
              <w:t>integral con la ciudadanía.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31BB7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0</w:t>
            </w:r>
          </w:p>
        </w:tc>
        <w:tc>
          <w:tcPr>
            <w:tcW w:w="1035" w:type="pct"/>
            <w:gridSpan w:val="5"/>
            <w:vMerge w:val="restart"/>
            <w:tcBorders>
              <w:top w:val="double" w:sz="4" w:space="0" w:color="C00000"/>
              <w:bottom w:val="double" w:sz="4" w:space="0" w:color="C00000"/>
            </w:tcBorders>
            <w:tcMar>
              <w:top w:w="30" w:type="dxa"/>
              <w:left w:w="45" w:type="dxa"/>
              <w:bottom w:w="30" w:type="dxa"/>
              <w:right w:w="45" w:type="dxa"/>
            </w:tcMar>
            <w:vAlign w:val="center"/>
            <w:hideMark/>
          </w:tcPr>
          <w:p w14:paraId="0952196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9" w:type="pct"/>
            <w:gridSpan w:val="2"/>
            <w:tcBorders>
              <w:top w:val="double" w:sz="4" w:space="0" w:color="C00000"/>
              <w:bottom w:val="double" w:sz="4" w:space="0" w:color="C00000"/>
            </w:tcBorders>
            <w:tcMar>
              <w:top w:w="30" w:type="dxa"/>
              <w:left w:w="45" w:type="dxa"/>
              <w:bottom w:w="30" w:type="dxa"/>
              <w:right w:w="45" w:type="dxa"/>
            </w:tcMar>
            <w:vAlign w:val="center"/>
            <w:hideMark/>
          </w:tcPr>
          <w:p w14:paraId="2DA611C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570525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7B875AB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12B048B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FE288B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283.148.442.911</w:t>
            </w:r>
          </w:p>
        </w:tc>
      </w:tr>
      <w:tr w:rsidR="00856F66" w:rsidRPr="00E31657" w14:paraId="2067831D" w14:textId="77777777" w:rsidTr="00F974BB">
        <w:trPr>
          <w:trHeight w:val="315"/>
        </w:trPr>
        <w:tc>
          <w:tcPr>
            <w:tcW w:w="671" w:type="pct"/>
            <w:vMerge/>
            <w:tcBorders>
              <w:top w:val="double" w:sz="4" w:space="0" w:color="C00000"/>
              <w:bottom w:val="double" w:sz="4" w:space="0" w:color="C00000"/>
            </w:tcBorders>
            <w:vAlign w:val="center"/>
            <w:hideMark/>
          </w:tcPr>
          <w:p w14:paraId="040F4EC6"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5A4DBA93" w14:textId="77777777" w:rsidR="00856F66" w:rsidRPr="00E31657" w:rsidRDefault="00856F66" w:rsidP="00AE6E22">
            <w:pPr>
              <w:rPr>
                <w:rFonts w:cs="Arial"/>
                <w:sz w:val="16"/>
                <w:szCs w:val="16"/>
                <w:lang w:val="es-ES_tradnl" w:eastAsia="es-MX"/>
              </w:rPr>
            </w:pPr>
          </w:p>
        </w:tc>
        <w:tc>
          <w:tcPr>
            <w:tcW w:w="1035" w:type="pct"/>
            <w:gridSpan w:val="5"/>
            <w:vMerge/>
            <w:tcBorders>
              <w:top w:val="double" w:sz="4" w:space="0" w:color="C00000"/>
              <w:bottom w:val="double" w:sz="4" w:space="0" w:color="C00000"/>
            </w:tcBorders>
            <w:vAlign w:val="center"/>
            <w:hideMark/>
          </w:tcPr>
          <w:p w14:paraId="72FB8B06" w14:textId="77777777" w:rsidR="00856F66" w:rsidRPr="00E31657" w:rsidRDefault="00856F66" w:rsidP="00AE6E22">
            <w:pPr>
              <w:rPr>
                <w:rFonts w:cs="Arial"/>
                <w:sz w:val="16"/>
                <w:szCs w:val="16"/>
                <w:lang w:val="es-ES_tradnl" w:eastAsia="es-MX"/>
              </w:rPr>
            </w:pPr>
          </w:p>
        </w:tc>
        <w:tc>
          <w:tcPr>
            <w:tcW w:w="819" w:type="pct"/>
            <w:gridSpan w:val="2"/>
            <w:tcBorders>
              <w:top w:val="double" w:sz="4" w:space="0" w:color="C00000"/>
              <w:bottom w:val="double" w:sz="4" w:space="0" w:color="C00000"/>
            </w:tcBorders>
            <w:tcMar>
              <w:top w:w="30" w:type="dxa"/>
              <w:left w:w="45" w:type="dxa"/>
              <w:bottom w:w="30" w:type="dxa"/>
              <w:right w:w="45" w:type="dxa"/>
            </w:tcMar>
            <w:vAlign w:val="center"/>
            <w:hideMark/>
          </w:tcPr>
          <w:p w14:paraId="37115C2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77.955.258.523</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009A2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65.740.078.382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7C9FA0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69.711.401.663</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12D43D9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69.741.704.343</w:t>
            </w:r>
          </w:p>
        </w:tc>
        <w:tc>
          <w:tcPr>
            <w:tcW w:w="487" w:type="pct"/>
            <w:gridSpan w:val="2"/>
            <w:vMerge/>
            <w:tcBorders>
              <w:top w:val="double" w:sz="4" w:space="0" w:color="C00000"/>
              <w:bottom w:val="double" w:sz="4" w:space="0" w:color="C00000"/>
            </w:tcBorders>
            <w:vAlign w:val="center"/>
            <w:hideMark/>
          </w:tcPr>
          <w:p w14:paraId="734B0764" w14:textId="77777777" w:rsidR="00856F66" w:rsidRPr="00E31657" w:rsidRDefault="00856F66" w:rsidP="00AE6E22">
            <w:pPr>
              <w:rPr>
                <w:rFonts w:cs="Arial"/>
                <w:b/>
                <w:bCs/>
                <w:sz w:val="16"/>
                <w:szCs w:val="16"/>
                <w:lang w:val="es-ES_tradnl" w:eastAsia="es-MX"/>
              </w:rPr>
            </w:pPr>
          </w:p>
        </w:tc>
      </w:tr>
      <w:tr w:rsidR="00856F66" w:rsidRPr="00E31657" w14:paraId="126AF71C"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E1DA5B5"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Desarrollo económico</w:t>
            </w:r>
          </w:p>
        </w:tc>
      </w:tr>
      <w:tr w:rsidR="00856F66" w:rsidRPr="00E31657" w14:paraId="6A878470"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2C96A54B" w14:textId="77777777" w:rsidR="00856F66" w:rsidRPr="00E31657" w:rsidRDefault="00856F66" w:rsidP="00A061E6">
            <w:pPr>
              <w:jc w:val="right"/>
              <w:rPr>
                <w:rFonts w:cs="Arial"/>
                <w:sz w:val="16"/>
                <w:szCs w:val="16"/>
                <w:lang w:val="es-ES_tradnl" w:eastAsia="es-MX"/>
              </w:rPr>
            </w:pPr>
            <w:r w:rsidRPr="00E31657">
              <w:rPr>
                <w:rFonts w:cs="Arial"/>
                <w:sz w:val="16"/>
                <w:szCs w:val="16"/>
                <w:lang w:val="es-ES_tradnl" w:eastAsia="es-MX"/>
              </w:rPr>
              <w:t>Implementar 1 estrategia para fortalecimiento de la gestión institucional y operativa para el sector desarrollo económico</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A5009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83,2</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5B9AE2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FURAG 2023</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5FED7B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4A4691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260CA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65422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4AA764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171.096.119.422</w:t>
            </w:r>
          </w:p>
        </w:tc>
      </w:tr>
      <w:tr w:rsidR="00856F66" w:rsidRPr="00E31657" w14:paraId="15C80D8E" w14:textId="77777777" w:rsidTr="00F974BB">
        <w:trPr>
          <w:trHeight w:val="315"/>
        </w:trPr>
        <w:tc>
          <w:tcPr>
            <w:tcW w:w="671" w:type="pct"/>
            <w:vMerge/>
            <w:tcBorders>
              <w:top w:val="double" w:sz="4" w:space="0" w:color="C00000"/>
              <w:bottom w:val="double" w:sz="4" w:space="0" w:color="C00000"/>
            </w:tcBorders>
            <w:vAlign w:val="center"/>
            <w:hideMark/>
          </w:tcPr>
          <w:p w14:paraId="6BF09AF2"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08752317"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10CFCF7F"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0F5800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22.162.891.000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E07909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45.362.258.252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43422F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50.649.339.240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5D2B8BE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52.921.630.929</w:t>
            </w:r>
          </w:p>
        </w:tc>
        <w:tc>
          <w:tcPr>
            <w:tcW w:w="487" w:type="pct"/>
            <w:gridSpan w:val="2"/>
            <w:vMerge/>
            <w:tcBorders>
              <w:top w:val="double" w:sz="4" w:space="0" w:color="C00000"/>
              <w:bottom w:val="double" w:sz="4" w:space="0" w:color="C00000"/>
            </w:tcBorders>
            <w:vAlign w:val="center"/>
            <w:hideMark/>
          </w:tcPr>
          <w:p w14:paraId="6AA34CD9" w14:textId="77777777" w:rsidR="00856F66" w:rsidRPr="00E31657" w:rsidRDefault="00856F66" w:rsidP="00AE6E22">
            <w:pPr>
              <w:rPr>
                <w:rFonts w:cs="Arial"/>
                <w:b/>
                <w:bCs/>
                <w:sz w:val="16"/>
                <w:szCs w:val="16"/>
                <w:lang w:val="es-ES_tradnl" w:eastAsia="es-MX"/>
              </w:rPr>
            </w:pPr>
          </w:p>
        </w:tc>
      </w:tr>
      <w:tr w:rsidR="00856F66" w:rsidRPr="00E31657" w14:paraId="038D965F"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6BCC991"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jurídica</w:t>
            </w:r>
          </w:p>
        </w:tc>
      </w:tr>
      <w:tr w:rsidR="00856F66" w:rsidRPr="00E31657" w14:paraId="3B051E3D"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69CE740E"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Diseñar el sistema de compra pública eficiente innovadora y transparente para el Distrito Capital.</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0472A1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352732A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Política Jurídica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3BCF69F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F210A2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518EBFA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0,4</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6C5B22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F45FCE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1.638.383.055</w:t>
            </w:r>
          </w:p>
        </w:tc>
      </w:tr>
      <w:tr w:rsidR="00856F66" w:rsidRPr="00E31657" w14:paraId="39637880" w14:textId="77777777" w:rsidTr="00F974BB">
        <w:trPr>
          <w:trHeight w:val="315"/>
        </w:trPr>
        <w:tc>
          <w:tcPr>
            <w:tcW w:w="671" w:type="pct"/>
            <w:vMerge/>
            <w:tcBorders>
              <w:top w:val="double" w:sz="4" w:space="0" w:color="C00000"/>
              <w:bottom w:val="double" w:sz="4" w:space="0" w:color="C00000"/>
            </w:tcBorders>
            <w:vAlign w:val="center"/>
            <w:hideMark/>
          </w:tcPr>
          <w:p w14:paraId="4E65D3AA"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337601DE"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513264B5"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54E63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7B480C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388.349.515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60B0F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546.705.627</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15AAA9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503.327.913</w:t>
            </w:r>
          </w:p>
        </w:tc>
        <w:tc>
          <w:tcPr>
            <w:tcW w:w="487" w:type="pct"/>
            <w:gridSpan w:val="2"/>
            <w:vMerge/>
            <w:tcBorders>
              <w:top w:val="double" w:sz="4" w:space="0" w:color="C00000"/>
              <w:bottom w:val="double" w:sz="4" w:space="0" w:color="C00000"/>
            </w:tcBorders>
            <w:vAlign w:val="center"/>
            <w:hideMark/>
          </w:tcPr>
          <w:p w14:paraId="4E4EA02B" w14:textId="77777777" w:rsidR="00856F66" w:rsidRPr="00E31657" w:rsidRDefault="00856F66" w:rsidP="00AE6E22">
            <w:pPr>
              <w:rPr>
                <w:rFonts w:cs="Arial"/>
                <w:b/>
                <w:bCs/>
                <w:sz w:val="16"/>
                <w:szCs w:val="16"/>
                <w:lang w:val="es-ES_tradnl" w:eastAsia="es-MX"/>
              </w:rPr>
            </w:pPr>
          </w:p>
        </w:tc>
      </w:tr>
      <w:tr w:rsidR="00856F66" w:rsidRPr="00E31657" w14:paraId="1E0FAF63"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3812890A"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Elaborar 15 decretos reglamentarios uno para cada sector de la administración distrital como parte de una estrategia de mejora normativa en la ciudad</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A20038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793308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Doctrina y Asuntos Normativos</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35CDE6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70693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243E18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512F5A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0B36AA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2.371.458.516</w:t>
            </w:r>
          </w:p>
        </w:tc>
      </w:tr>
      <w:tr w:rsidR="00856F66" w:rsidRPr="00E31657" w14:paraId="4ABEF54B" w14:textId="77777777" w:rsidTr="00F974BB">
        <w:trPr>
          <w:trHeight w:val="315"/>
        </w:trPr>
        <w:tc>
          <w:tcPr>
            <w:tcW w:w="671" w:type="pct"/>
            <w:vMerge/>
            <w:tcBorders>
              <w:top w:val="double" w:sz="4" w:space="0" w:color="C00000"/>
              <w:bottom w:val="double" w:sz="4" w:space="0" w:color="C00000"/>
            </w:tcBorders>
            <w:vAlign w:val="center"/>
            <w:hideMark/>
          </w:tcPr>
          <w:p w14:paraId="5AC82235"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4AD542C4"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726F282D"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D6531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E25C5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728.155.340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A14454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706.946.932</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66B2D5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686.356.245</w:t>
            </w:r>
          </w:p>
        </w:tc>
        <w:tc>
          <w:tcPr>
            <w:tcW w:w="487" w:type="pct"/>
            <w:gridSpan w:val="2"/>
            <w:vMerge/>
            <w:tcBorders>
              <w:top w:val="double" w:sz="4" w:space="0" w:color="C00000"/>
              <w:bottom w:val="double" w:sz="4" w:space="0" w:color="C00000"/>
            </w:tcBorders>
            <w:vAlign w:val="center"/>
            <w:hideMark/>
          </w:tcPr>
          <w:p w14:paraId="75A4B4F4" w14:textId="77777777" w:rsidR="00856F66" w:rsidRPr="00E31657" w:rsidRDefault="00856F66" w:rsidP="00AE6E22">
            <w:pPr>
              <w:rPr>
                <w:rFonts w:cs="Arial"/>
                <w:b/>
                <w:bCs/>
                <w:sz w:val="16"/>
                <w:szCs w:val="16"/>
                <w:lang w:val="es-ES_tradnl" w:eastAsia="es-MX"/>
              </w:rPr>
            </w:pPr>
          </w:p>
        </w:tc>
      </w:tr>
      <w:tr w:rsidR="00856F66" w:rsidRPr="00E31657" w14:paraId="0FDB3D47"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1AD51371"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Estructurar una metodología para fortalecer la gestión disciplinaria en el distrito capital</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B579DA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6B490EE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Asuntos Disciplinarios</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CCE7788" w14:textId="5F932A19"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r w:rsidR="0056551B">
              <w:rPr>
                <w:rFonts w:cs="Arial"/>
                <w:sz w:val="16"/>
                <w:szCs w:val="16"/>
                <w:lang w:val="es-ES_tradnl" w:eastAsia="es-MX"/>
              </w:rPr>
              <w:t>15</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7CC89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CCC7F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1C3152C9" w14:textId="2112F454"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r w:rsidR="0056551B">
              <w:rPr>
                <w:rFonts w:cs="Arial"/>
                <w:sz w:val="16"/>
                <w:szCs w:val="16"/>
                <w:lang w:val="es-ES_tradnl" w:eastAsia="es-MX"/>
              </w:rPr>
              <w:t>25</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B41A17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996.670.587</w:t>
            </w:r>
          </w:p>
        </w:tc>
      </w:tr>
      <w:tr w:rsidR="00856F66" w:rsidRPr="00E31657" w14:paraId="0E4ACE1E" w14:textId="77777777" w:rsidTr="00F974BB">
        <w:trPr>
          <w:trHeight w:val="315"/>
        </w:trPr>
        <w:tc>
          <w:tcPr>
            <w:tcW w:w="671" w:type="pct"/>
            <w:vMerge/>
            <w:tcBorders>
              <w:top w:val="double" w:sz="4" w:space="0" w:color="C00000"/>
              <w:bottom w:val="double" w:sz="4" w:space="0" w:color="C00000"/>
            </w:tcBorders>
            <w:vAlign w:val="center"/>
            <w:hideMark/>
          </w:tcPr>
          <w:p w14:paraId="68CA7C5F"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3B122F77"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43B3B1BC"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5FB65A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180.000.000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71B70A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213.592.233</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627C9C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282.778.773</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0F73971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320.299.581</w:t>
            </w:r>
          </w:p>
        </w:tc>
        <w:tc>
          <w:tcPr>
            <w:tcW w:w="487" w:type="pct"/>
            <w:gridSpan w:val="2"/>
            <w:vMerge/>
            <w:tcBorders>
              <w:top w:val="double" w:sz="4" w:space="0" w:color="C00000"/>
              <w:bottom w:val="double" w:sz="4" w:space="0" w:color="C00000"/>
            </w:tcBorders>
            <w:vAlign w:val="center"/>
            <w:hideMark/>
          </w:tcPr>
          <w:p w14:paraId="60789DCE" w14:textId="77777777" w:rsidR="00856F66" w:rsidRPr="00E31657" w:rsidRDefault="00856F66" w:rsidP="00AE6E22">
            <w:pPr>
              <w:rPr>
                <w:rFonts w:cs="Arial"/>
                <w:b/>
                <w:bCs/>
                <w:sz w:val="16"/>
                <w:szCs w:val="16"/>
                <w:lang w:val="es-ES_tradnl" w:eastAsia="es-MX"/>
              </w:rPr>
            </w:pPr>
          </w:p>
        </w:tc>
      </w:tr>
      <w:tr w:rsidR="00856F66" w:rsidRPr="00E31657" w14:paraId="68C5AD5D"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66D2060D"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Fortalecer en un 100 % las capacidades institucionales de la Secretaría Jurídica Distrital.</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23F00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66052DA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Oficina Asesora de Planeación</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FB4AF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01B1B0A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8D21B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F8094D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2DAA3A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7.711.768.204</w:t>
            </w:r>
          </w:p>
        </w:tc>
      </w:tr>
      <w:tr w:rsidR="00856F66" w:rsidRPr="00E31657" w14:paraId="6A35B240" w14:textId="77777777" w:rsidTr="00F974BB">
        <w:trPr>
          <w:trHeight w:val="315"/>
        </w:trPr>
        <w:tc>
          <w:tcPr>
            <w:tcW w:w="671" w:type="pct"/>
            <w:vMerge/>
            <w:tcBorders>
              <w:top w:val="double" w:sz="4" w:space="0" w:color="C00000"/>
              <w:bottom w:val="double" w:sz="4" w:space="0" w:color="C00000"/>
            </w:tcBorders>
            <w:vAlign w:val="center"/>
            <w:hideMark/>
          </w:tcPr>
          <w:p w14:paraId="0298A540"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35084145"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18BCD6AD"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F8476D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1.442.000.000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7CF5D8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1.990.291.262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944254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2.083.136.959</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36575D8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2.196.339.982</w:t>
            </w:r>
          </w:p>
        </w:tc>
        <w:tc>
          <w:tcPr>
            <w:tcW w:w="487" w:type="pct"/>
            <w:gridSpan w:val="2"/>
            <w:vMerge/>
            <w:tcBorders>
              <w:top w:val="double" w:sz="4" w:space="0" w:color="C00000"/>
              <w:bottom w:val="double" w:sz="4" w:space="0" w:color="C00000"/>
            </w:tcBorders>
            <w:vAlign w:val="center"/>
            <w:hideMark/>
          </w:tcPr>
          <w:p w14:paraId="50ABCF1F" w14:textId="77777777" w:rsidR="00856F66" w:rsidRPr="00E31657" w:rsidRDefault="00856F66" w:rsidP="00AE6E22">
            <w:pPr>
              <w:rPr>
                <w:rFonts w:cs="Arial"/>
                <w:b/>
                <w:bCs/>
                <w:sz w:val="16"/>
                <w:szCs w:val="16"/>
                <w:lang w:val="es-ES_tradnl" w:eastAsia="es-MX"/>
              </w:rPr>
            </w:pPr>
          </w:p>
        </w:tc>
      </w:tr>
      <w:tr w:rsidR="00856F66" w:rsidRPr="00E31657" w14:paraId="1E6D6912"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90420DC"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pública</w:t>
            </w:r>
          </w:p>
        </w:tc>
      </w:tr>
      <w:tr w:rsidR="00856F66" w:rsidRPr="00E31657" w14:paraId="54696BA2"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6664A683"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lastRenderedPageBreak/>
              <w:t>Implementar un (1) servicio de asistencia técnica integral para el mejoramiento de la gestión y el desempeño en la administración distrital orientado a la solución de los retos de ciudad</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E54DAA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585574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1720D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6F6D296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55,000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49D9825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80,000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386B54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100,000</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891976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72.598.963.961</w:t>
            </w:r>
          </w:p>
        </w:tc>
      </w:tr>
      <w:tr w:rsidR="00856F66" w:rsidRPr="00E31657" w14:paraId="6C009271" w14:textId="77777777" w:rsidTr="00F974BB">
        <w:trPr>
          <w:trHeight w:val="315"/>
        </w:trPr>
        <w:tc>
          <w:tcPr>
            <w:tcW w:w="671" w:type="pct"/>
            <w:vMerge/>
            <w:tcBorders>
              <w:top w:val="double" w:sz="4" w:space="0" w:color="C00000"/>
              <w:bottom w:val="double" w:sz="4" w:space="0" w:color="C00000"/>
            </w:tcBorders>
            <w:vAlign w:val="center"/>
            <w:hideMark/>
          </w:tcPr>
          <w:p w14:paraId="6B53084E"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6B728C19"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24758D5A"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4CBC695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11.731.897.399</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73214E6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18.166.221.702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5FC970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17.097.362.768</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DE249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25.603.482.092</w:t>
            </w:r>
          </w:p>
        </w:tc>
        <w:tc>
          <w:tcPr>
            <w:tcW w:w="487" w:type="pct"/>
            <w:gridSpan w:val="2"/>
            <w:vMerge/>
            <w:tcBorders>
              <w:top w:val="double" w:sz="4" w:space="0" w:color="C00000"/>
              <w:bottom w:val="double" w:sz="4" w:space="0" w:color="C00000"/>
            </w:tcBorders>
            <w:vAlign w:val="center"/>
            <w:hideMark/>
          </w:tcPr>
          <w:p w14:paraId="7D3B6E3A" w14:textId="77777777" w:rsidR="00856F66" w:rsidRPr="00E31657" w:rsidRDefault="00856F66" w:rsidP="00AE6E22">
            <w:pPr>
              <w:rPr>
                <w:rFonts w:cs="Arial"/>
                <w:b/>
                <w:bCs/>
                <w:sz w:val="16"/>
                <w:szCs w:val="16"/>
                <w:lang w:val="es-ES_tradnl" w:eastAsia="es-MX"/>
              </w:rPr>
            </w:pPr>
          </w:p>
        </w:tc>
      </w:tr>
      <w:tr w:rsidR="00856F66" w:rsidRPr="00E31657" w14:paraId="089C732E"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CFEDE20"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Gobierno</w:t>
            </w:r>
          </w:p>
        </w:tc>
      </w:tr>
      <w:tr w:rsidR="00856F66" w:rsidRPr="00E31657" w14:paraId="236B5288" w14:textId="77777777" w:rsidTr="00F974BB">
        <w:trPr>
          <w:trHeight w:val="48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74FB616E"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Constituir (3) componentes de fortalecimiento institucional para las Alcaldías Locales y su gestión del desarrollo local desde un enfoque de interseccionalidad</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6AD5C23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 Un Estudio Técnico de Fortalecimiento Institucional Alcaldías Locales – Secretaría Distrital de Gobierno (año 2022)</w:t>
            </w:r>
            <w:r w:rsidRPr="00E31657">
              <w:rPr>
                <w:rFonts w:cs="Arial"/>
                <w:sz w:val="16"/>
                <w:szCs w:val="16"/>
                <w:lang w:val="es-ES_tradnl" w:eastAsia="es-MX"/>
              </w:rPr>
              <w:br/>
              <w:t>2. 9963% de ejecución del Plan de Asistencia Técnica Integral (PAATI 2023)</w:t>
            </w:r>
            <w:r w:rsidRPr="00E31657">
              <w:rPr>
                <w:rFonts w:cs="Arial"/>
                <w:sz w:val="16"/>
                <w:szCs w:val="16"/>
                <w:lang w:val="es-ES_tradnl" w:eastAsia="es-MX"/>
              </w:rPr>
              <w:br/>
              <w:t xml:space="preserve">3. 688 % de avance al 30 de Sept de 2023 en el índice del gestión del Plan de Desarrollo Local del Indice de Gestión </w:t>
            </w:r>
            <w:r w:rsidRPr="00E31657">
              <w:rPr>
                <w:rFonts w:cs="Arial"/>
                <w:sz w:val="16"/>
                <w:szCs w:val="16"/>
                <w:lang w:val="es-ES_tradnl" w:eastAsia="es-MX"/>
              </w:rPr>
              <w:lastRenderedPageBreak/>
              <w:t>Pública Local</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258922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1. Documento "Estudio Técnico de Fortalecimiento Institucional Alcaldías Locales – Secretaría Distrital de Gobierno" - (SDG - Subsecretaría de Gestión Local - Contrato de consultoría No. 1418 de 2021 - EPYCA consultores.</w:t>
            </w:r>
            <w:r w:rsidRPr="00E31657">
              <w:rPr>
                <w:rFonts w:cs="Arial"/>
                <w:sz w:val="16"/>
                <w:szCs w:val="16"/>
                <w:lang w:val="es-ES_tradnl" w:eastAsia="es-MX"/>
              </w:rPr>
              <w:br/>
              <w:t>2. Plan de Acción de Asistencia Técnica Integral - PAATI 2023 (Dirección para la Gestión de Desarrollo Local - año 2023)</w:t>
            </w:r>
            <w:r w:rsidRPr="00E31657">
              <w:rPr>
                <w:rFonts w:cs="Arial"/>
                <w:sz w:val="16"/>
                <w:szCs w:val="16"/>
                <w:lang w:val="es-ES_tradnl" w:eastAsia="es-MX"/>
              </w:rPr>
              <w:br/>
              <w:t xml:space="preserve">3. Índice de Gestión Pública Local - gestión del Plan de Desarrollo Local a 30 de sept de 2023 (Pagina web del Centro de Gobierno Local) </w:t>
            </w:r>
            <w:r w:rsidRPr="00E31657">
              <w:rPr>
                <w:rFonts w:cs="Arial"/>
                <w:sz w:val="16"/>
                <w:szCs w:val="16"/>
                <w:lang w:val="es-ES_tradnl" w:eastAsia="es-MX"/>
              </w:rPr>
              <w:br/>
              <w:t>https://centrogobiernolocal.gobiernobogota.gov.co/datos-locales/gestion-publica-local/indice-de-gestion-publica-local-0</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8F4FD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09B571D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0DC958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0,4</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96128C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0,4</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F65E76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24.614.355.955</w:t>
            </w:r>
          </w:p>
        </w:tc>
      </w:tr>
      <w:tr w:rsidR="00856F66" w:rsidRPr="00E31657" w14:paraId="604B5972" w14:textId="77777777" w:rsidTr="00F974BB">
        <w:trPr>
          <w:trHeight w:val="480"/>
        </w:trPr>
        <w:tc>
          <w:tcPr>
            <w:tcW w:w="671" w:type="pct"/>
            <w:vMerge/>
            <w:tcBorders>
              <w:top w:val="double" w:sz="4" w:space="0" w:color="C00000"/>
              <w:bottom w:val="double" w:sz="4" w:space="0" w:color="C00000"/>
            </w:tcBorders>
            <w:vAlign w:val="center"/>
            <w:hideMark/>
          </w:tcPr>
          <w:p w14:paraId="6749E566"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18F26A86"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26ED62CF"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BF467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1.920.000.000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6A39644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8.830.097.087</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36CA01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5.179.564.521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E9E797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8.684.694.347</w:t>
            </w:r>
          </w:p>
        </w:tc>
        <w:tc>
          <w:tcPr>
            <w:tcW w:w="487" w:type="pct"/>
            <w:gridSpan w:val="2"/>
            <w:vMerge/>
            <w:tcBorders>
              <w:top w:val="double" w:sz="4" w:space="0" w:color="C00000"/>
              <w:bottom w:val="double" w:sz="4" w:space="0" w:color="C00000"/>
            </w:tcBorders>
            <w:vAlign w:val="center"/>
            <w:hideMark/>
          </w:tcPr>
          <w:p w14:paraId="20A7CC0A" w14:textId="77777777" w:rsidR="00856F66" w:rsidRPr="00E31657" w:rsidRDefault="00856F66" w:rsidP="00AE6E22">
            <w:pPr>
              <w:rPr>
                <w:rFonts w:cs="Arial"/>
                <w:b/>
                <w:bCs/>
                <w:sz w:val="16"/>
                <w:szCs w:val="16"/>
                <w:lang w:val="es-ES_tradnl" w:eastAsia="es-MX"/>
              </w:rPr>
            </w:pPr>
          </w:p>
        </w:tc>
      </w:tr>
      <w:tr w:rsidR="00856F66" w:rsidRPr="00E31657" w14:paraId="358CCF08" w14:textId="77777777" w:rsidTr="00F974BB">
        <w:trPr>
          <w:trHeight w:val="48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45B364FF"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Implementar 1 estrategia para fortalecimiento de la gestión institucional y operativa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E366A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58AAE32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PDD 2020 - 2024 / SEGPLAN </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ED841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954D3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630174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DFA86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EF7052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130.578.678.587</w:t>
            </w:r>
          </w:p>
        </w:tc>
      </w:tr>
      <w:tr w:rsidR="00856F66" w:rsidRPr="00E31657" w14:paraId="7DBCF1D9" w14:textId="77777777" w:rsidTr="00F974BB">
        <w:trPr>
          <w:trHeight w:val="480"/>
        </w:trPr>
        <w:tc>
          <w:tcPr>
            <w:tcW w:w="671" w:type="pct"/>
            <w:vMerge/>
            <w:tcBorders>
              <w:top w:val="double" w:sz="4" w:space="0" w:color="C00000"/>
              <w:bottom w:val="double" w:sz="4" w:space="0" w:color="C00000"/>
            </w:tcBorders>
            <w:vAlign w:val="center"/>
            <w:hideMark/>
          </w:tcPr>
          <w:p w14:paraId="75EF2C09"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73795612"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10E7D3AC"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8B02CF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21.609.979.931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09B93A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39.592.865.796</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2003A8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40.562.864.100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DD230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28.812.968.760</w:t>
            </w:r>
          </w:p>
        </w:tc>
        <w:tc>
          <w:tcPr>
            <w:tcW w:w="487" w:type="pct"/>
            <w:gridSpan w:val="2"/>
            <w:vMerge/>
            <w:tcBorders>
              <w:top w:val="double" w:sz="4" w:space="0" w:color="C00000"/>
              <w:bottom w:val="double" w:sz="4" w:space="0" w:color="C00000"/>
            </w:tcBorders>
            <w:vAlign w:val="center"/>
            <w:hideMark/>
          </w:tcPr>
          <w:p w14:paraId="03A8CC94" w14:textId="77777777" w:rsidR="00856F66" w:rsidRPr="00E31657" w:rsidRDefault="00856F66" w:rsidP="00AE6E22">
            <w:pPr>
              <w:rPr>
                <w:rFonts w:cs="Arial"/>
                <w:b/>
                <w:bCs/>
                <w:sz w:val="16"/>
                <w:szCs w:val="16"/>
                <w:lang w:val="es-ES_tradnl" w:eastAsia="es-MX"/>
              </w:rPr>
            </w:pPr>
          </w:p>
        </w:tc>
      </w:tr>
      <w:tr w:rsidR="00856F66" w:rsidRPr="00E31657" w14:paraId="43A14953"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49718DA"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Hábitat</w:t>
            </w:r>
          </w:p>
        </w:tc>
      </w:tr>
      <w:tr w:rsidR="00856F66" w:rsidRPr="00E31657" w14:paraId="59F5B69C" w14:textId="77777777" w:rsidTr="00F974BB">
        <w:trPr>
          <w:trHeight w:val="84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1D86BEBC"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Fortalecer el 100% de la capacidad de gestión de las entidades del Sector Hábitat que promueva la innovación gubernamental la eficiencia administrativa y operativa como generadores de confianza ciudadana (Secretaría de Hábitat CVP Renobo UAESP)</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54FF40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7750D6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32FBA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0914EF1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32447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21D407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E28B00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228.456.702.749</w:t>
            </w:r>
          </w:p>
        </w:tc>
      </w:tr>
      <w:tr w:rsidR="00856F66" w:rsidRPr="00E31657" w14:paraId="06BE6053" w14:textId="77777777" w:rsidTr="00F974BB">
        <w:trPr>
          <w:trHeight w:val="840"/>
        </w:trPr>
        <w:tc>
          <w:tcPr>
            <w:tcW w:w="671" w:type="pct"/>
            <w:vMerge/>
            <w:tcBorders>
              <w:top w:val="double" w:sz="4" w:space="0" w:color="C00000"/>
              <w:bottom w:val="double" w:sz="4" w:space="0" w:color="C00000"/>
            </w:tcBorders>
            <w:vAlign w:val="center"/>
            <w:hideMark/>
          </w:tcPr>
          <w:p w14:paraId="426B761C"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2F9ED82E"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7BD8258A"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E250E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68.464.239.651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5EA095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58.117.027.184</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519336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50.060.370.440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179303F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51.815.065.474</w:t>
            </w:r>
          </w:p>
        </w:tc>
        <w:tc>
          <w:tcPr>
            <w:tcW w:w="487" w:type="pct"/>
            <w:gridSpan w:val="2"/>
            <w:vMerge/>
            <w:tcBorders>
              <w:top w:val="double" w:sz="4" w:space="0" w:color="C00000"/>
              <w:bottom w:val="double" w:sz="4" w:space="0" w:color="C00000"/>
            </w:tcBorders>
            <w:vAlign w:val="center"/>
            <w:hideMark/>
          </w:tcPr>
          <w:p w14:paraId="7E0AFDFA" w14:textId="77777777" w:rsidR="00856F66" w:rsidRPr="00E31657" w:rsidRDefault="00856F66" w:rsidP="00AE6E22">
            <w:pPr>
              <w:rPr>
                <w:rFonts w:cs="Arial"/>
                <w:b/>
                <w:bCs/>
                <w:sz w:val="16"/>
                <w:szCs w:val="16"/>
                <w:lang w:val="es-ES_tradnl" w:eastAsia="es-MX"/>
              </w:rPr>
            </w:pPr>
          </w:p>
        </w:tc>
      </w:tr>
      <w:tr w:rsidR="00856F66" w:rsidRPr="00E31657" w14:paraId="27F12F82" w14:textId="77777777" w:rsidTr="00F974BB">
        <w:trPr>
          <w:trHeight w:val="63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50821769"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Implementar el 100% la estrategia de fortalecimiento de capacidades de gestión de la EAAB que promueva la innovación organizacional la eficiencia administrativa y operativa como generadora de confianza ciudadana.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9C8E70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1B5376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BF2CB4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5C6D258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62468C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7863B9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3A9E63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807.843.659.761</w:t>
            </w:r>
          </w:p>
        </w:tc>
      </w:tr>
      <w:tr w:rsidR="00856F66" w:rsidRPr="00E31657" w14:paraId="3C60C98B" w14:textId="77777777" w:rsidTr="00F974BB">
        <w:trPr>
          <w:trHeight w:val="630"/>
        </w:trPr>
        <w:tc>
          <w:tcPr>
            <w:tcW w:w="671" w:type="pct"/>
            <w:vMerge/>
            <w:tcBorders>
              <w:top w:val="double" w:sz="4" w:space="0" w:color="C00000"/>
              <w:bottom w:val="double" w:sz="4" w:space="0" w:color="C00000"/>
            </w:tcBorders>
            <w:vAlign w:val="center"/>
            <w:hideMark/>
          </w:tcPr>
          <w:p w14:paraId="6AB8672A"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3F5AA766"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13D4D889"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783C97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291.067.846.157</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5D6032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175.521.077.489</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3E43A5D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259.275.683.570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43F00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81.979.052.545</w:t>
            </w:r>
          </w:p>
        </w:tc>
        <w:tc>
          <w:tcPr>
            <w:tcW w:w="487" w:type="pct"/>
            <w:gridSpan w:val="2"/>
            <w:vMerge/>
            <w:tcBorders>
              <w:top w:val="double" w:sz="4" w:space="0" w:color="C00000"/>
              <w:bottom w:val="double" w:sz="4" w:space="0" w:color="C00000"/>
            </w:tcBorders>
            <w:vAlign w:val="center"/>
            <w:hideMark/>
          </w:tcPr>
          <w:p w14:paraId="3FF1DAB9" w14:textId="77777777" w:rsidR="00856F66" w:rsidRPr="00E31657" w:rsidRDefault="00856F66" w:rsidP="00AE6E22">
            <w:pPr>
              <w:rPr>
                <w:rFonts w:cs="Arial"/>
                <w:b/>
                <w:bCs/>
                <w:sz w:val="16"/>
                <w:szCs w:val="16"/>
                <w:lang w:val="es-ES_tradnl" w:eastAsia="es-MX"/>
              </w:rPr>
            </w:pPr>
          </w:p>
        </w:tc>
      </w:tr>
      <w:tr w:rsidR="00856F66" w:rsidRPr="00E31657" w14:paraId="47BDF0BC"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820A745"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Hacienda</w:t>
            </w:r>
          </w:p>
        </w:tc>
      </w:tr>
      <w:tr w:rsidR="00856F66" w:rsidRPr="00E31657" w14:paraId="6A0C8132" w14:textId="77777777" w:rsidTr="00F974BB">
        <w:trPr>
          <w:trHeight w:val="57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5CC94100"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lastRenderedPageBreak/>
              <w:t>Realizar el 100% de las acciones de fortalecimiento tecnológico e institucional orientados a una mejor prestación de los servicios a la ciudadanía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FCF7BA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45C6DF8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9790FA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45B92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381AAC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26598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E875D2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95.701.648.879</w:t>
            </w:r>
          </w:p>
        </w:tc>
      </w:tr>
      <w:tr w:rsidR="00856F66" w:rsidRPr="00E31657" w14:paraId="7C200A86" w14:textId="77777777" w:rsidTr="00F974BB">
        <w:trPr>
          <w:trHeight w:val="570"/>
        </w:trPr>
        <w:tc>
          <w:tcPr>
            <w:tcW w:w="671" w:type="pct"/>
            <w:vMerge/>
            <w:tcBorders>
              <w:top w:val="double" w:sz="4" w:space="0" w:color="C00000"/>
              <w:bottom w:val="double" w:sz="4" w:space="0" w:color="C00000"/>
            </w:tcBorders>
            <w:vAlign w:val="center"/>
            <w:hideMark/>
          </w:tcPr>
          <w:p w14:paraId="7CC53C91"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35B18BF9"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7753AEB0"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06190F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19.725.000.000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A035DD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21.246.601.942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E3338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26.675.464.228</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5E0880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28.054.582.709</w:t>
            </w:r>
          </w:p>
        </w:tc>
        <w:tc>
          <w:tcPr>
            <w:tcW w:w="487" w:type="pct"/>
            <w:gridSpan w:val="2"/>
            <w:vMerge/>
            <w:tcBorders>
              <w:top w:val="double" w:sz="4" w:space="0" w:color="C00000"/>
              <w:bottom w:val="double" w:sz="4" w:space="0" w:color="C00000"/>
            </w:tcBorders>
            <w:vAlign w:val="center"/>
            <w:hideMark/>
          </w:tcPr>
          <w:p w14:paraId="0726F209" w14:textId="77777777" w:rsidR="00856F66" w:rsidRPr="00E31657" w:rsidRDefault="00856F66" w:rsidP="00AE6E22">
            <w:pPr>
              <w:rPr>
                <w:rFonts w:cs="Arial"/>
                <w:b/>
                <w:bCs/>
                <w:sz w:val="16"/>
                <w:szCs w:val="16"/>
                <w:lang w:val="es-ES_tradnl" w:eastAsia="es-MX"/>
              </w:rPr>
            </w:pPr>
          </w:p>
        </w:tc>
      </w:tr>
      <w:tr w:rsidR="00856F66" w:rsidRPr="00E31657" w14:paraId="4F9649B9" w14:textId="77777777" w:rsidTr="00F974BB">
        <w:trPr>
          <w:trHeight w:val="57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7440ACEA"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Realizar el 100% de las acciones de fortalecimiento tecnológico e institucional orientados a una mejor prestación de los servicios a la ciudadanía.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0367F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75B7BAA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UAECD</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48166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35091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4E5C26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D5EC70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806FFF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44.493.421.723</w:t>
            </w:r>
          </w:p>
        </w:tc>
      </w:tr>
      <w:tr w:rsidR="00856F66" w:rsidRPr="00E31657" w14:paraId="57B07822" w14:textId="77777777" w:rsidTr="00F974BB">
        <w:trPr>
          <w:trHeight w:val="570"/>
        </w:trPr>
        <w:tc>
          <w:tcPr>
            <w:tcW w:w="671" w:type="pct"/>
            <w:vMerge/>
            <w:tcBorders>
              <w:top w:val="double" w:sz="4" w:space="0" w:color="C00000"/>
              <w:bottom w:val="double" w:sz="4" w:space="0" w:color="C00000"/>
            </w:tcBorders>
            <w:vAlign w:val="center"/>
            <w:hideMark/>
          </w:tcPr>
          <w:p w14:paraId="53971160"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6582818A"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5AB07A06"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3F4631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9.057.000.000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02F0E4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12.788.349.515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6E80C57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11.567.536.997</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5D2353A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11.080.535.211</w:t>
            </w:r>
          </w:p>
        </w:tc>
        <w:tc>
          <w:tcPr>
            <w:tcW w:w="487" w:type="pct"/>
            <w:gridSpan w:val="2"/>
            <w:vMerge/>
            <w:tcBorders>
              <w:top w:val="double" w:sz="4" w:space="0" w:color="C00000"/>
              <w:bottom w:val="double" w:sz="4" w:space="0" w:color="C00000"/>
            </w:tcBorders>
            <w:vAlign w:val="center"/>
            <w:hideMark/>
          </w:tcPr>
          <w:p w14:paraId="2F4DD350" w14:textId="77777777" w:rsidR="00856F66" w:rsidRPr="00E31657" w:rsidRDefault="00856F66" w:rsidP="00AE6E22">
            <w:pPr>
              <w:rPr>
                <w:rFonts w:cs="Arial"/>
                <w:b/>
                <w:bCs/>
                <w:sz w:val="16"/>
                <w:szCs w:val="16"/>
                <w:lang w:val="es-ES_tradnl" w:eastAsia="es-MX"/>
              </w:rPr>
            </w:pPr>
          </w:p>
        </w:tc>
      </w:tr>
      <w:tr w:rsidR="00856F66" w:rsidRPr="00E31657" w14:paraId="438618AA"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7FD828D"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Integración social</w:t>
            </w:r>
          </w:p>
        </w:tc>
      </w:tr>
      <w:tr w:rsidR="00856F66" w:rsidRPr="00E31657" w14:paraId="6370054E" w14:textId="77777777" w:rsidTr="00F974BB">
        <w:trPr>
          <w:trHeight w:val="57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0A6D0981"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Implementar el 100% de los servicios de soporte misional a la operación del sector Integración Social</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41241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1B7608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A2037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610DC74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68A2BC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61D75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33F6E1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1.882.796.733.722</w:t>
            </w:r>
          </w:p>
        </w:tc>
      </w:tr>
      <w:tr w:rsidR="00856F66" w:rsidRPr="00E31657" w14:paraId="428622DB" w14:textId="77777777" w:rsidTr="00F974BB">
        <w:trPr>
          <w:trHeight w:val="570"/>
        </w:trPr>
        <w:tc>
          <w:tcPr>
            <w:tcW w:w="671" w:type="pct"/>
            <w:vMerge/>
            <w:tcBorders>
              <w:top w:val="double" w:sz="4" w:space="0" w:color="C00000"/>
              <w:bottom w:val="double" w:sz="4" w:space="0" w:color="C00000"/>
            </w:tcBorders>
            <w:vAlign w:val="center"/>
            <w:hideMark/>
          </w:tcPr>
          <w:p w14:paraId="5B887925"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1D9C6B4B"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14CCD079"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0667C9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449.983.173.427</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6C65D0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463.336.893.204</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42EBF4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481.205.580.168</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105BD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488.271.086.923</w:t>
            </w:r>
          </w:p>
        </w:tc>
        <w:tc>
          <w:tcPr>
            <w:tcW w:w="487" w:type="pct"/>
            <w:gridSpan w:val="2"/>
            <w:vMerge/>
            <w:tcBorders>
              <w:top w:val="double" w:sz="4" w:space="0" w:color="C00000"/>
              <w:bottom w:val="double" w:sz="4" w:space="0" w:color="C00000"/>
            </w:tcBorders>
            <w:vAlign w:val="center"/>
            <w:hideMark/>
          </w:tcPr>
          <w:p w14:paraId="0440BC58" w14:textId="77777777" w:rsidR="00856F66" w:rsidRPr="00E31657" w:rsidRDefault="00856F66" w:rsidP="00AE6E22">
            <w:pPr>
              <w:rPr>
                <w:rFonts w:cs="Arial"/>
                <w:b/>
                <w:bCs/>
                <w:sz w:val="16"/>
                <w:szCs w:val="16"/>
                <w:lang w:val="es-ES_tradnl" w:eastAsia="es-MX"/>
              </w:rPr>
            </w:pPr>
          </w:p>
        </w:tc>
      </w:tr>
      <w:tr w:rsidR="00856F66" w:rsidRPr="00E31657" w14:paraId="4EF6FF8C" w14:textId="77777777" w:rsidTr="00F974BB">
        <w:trPr>
          <w:trHeight w:val="57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2EF40FD0"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Realizar 5 diseños de nuevos esquemas de operación para la provisión de los servicios sociales en unidades operativas y extramurales</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640F79C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40BE96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AAA92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2CCDB14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6A16306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04CC4A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C21FD1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1.857.743.531</w:t>
            </w:r>
          </w:p>
        </w:tc>
      </w:tr>
      <w:tr w:rsidR="00856F66" w:rsidRPr="00E31657" w14:paraId="08B5E9CC" w14:textId="77777777" w:rsidTr="00F974BB">
        <w:trPr>
          <w:trHeight w:val="570"/>
        </w:trPr>
        <w:tc>
          <w:tcPr>
            <w:tcW w:w="671" w:type="pct"/>
            <w:vMerge/>
            <w:tcBorders>
              <w:top w:val="double" w:sz="4" w:space="0" w:color="C00000"/>
              <w:bottom w:val="double" w:sz="4" w:space="0" w:color="C00000"/>
            </w:tcBorders>
            <w:vAlign w:val="center"/>
            <w:hideMark/>
          </w:tcPr>
          <w:p w14:paraId="74B66D6E"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1591116B"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79560478"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3F65E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445.000.000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D8835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456.310.680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7D6CBBD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475.068.338</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F6E0AC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481.364.513</w:t>
            </w:r>
          </w:p>
        </w:tc>
        <w:tc>
          <w:tcPr>
            <w:tcW w:w="487" w:type="pct"/>
            <w:gridSpan w:val="2"/>
            <w:vMerge/>
            <w:tcBorders>
              <w:top w:val="double" w:sz="4" w:space="0" w:color="C00000"/>
              <w:bottom w:val="double" w:sz="4" w:space="0" w:color="C00000"/>
            </w:tcBorders>
            <w:vAlign w:val="center"/>
            <w:hideMark/>
          </w:tcPr>
          <w:p w14:paraId="4BA15E92" w14:textId="77777777" w:rsidR="00856F66" w:rsidRPr="00E31657" w:rsidRDefault="00856F66" w:rsidP="00AE6E22">
            <w:pPr>
              <w:rPr>
                <w:rFonts w:cs="Arial"/>
                <w:b/>
                <w:bCs/>
                <w:sz w:val="16"/>
                <w:szCs w:val="16"/>
                <w:lang w:val="es-ES_tradnl" w:eastAsia="es-MX"/>
              </w:rPr>
            </w:pPr>
          </w:p>
        </w:tc>
      </w:tr>
      <w:tr w:rsidR="00856F66" w:rsidRPr="00E31657" w14:paraId="63427385"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5D6FA05" w14:textId="77777777" w:rsidR="00856F66" w:rsidRPr="00E31657" w:rsidRDefault="00856F66" w:rsidP="00985E3D">
            <w:pPr>
              <w:pStyle w:val="Ttulo"/>
              <w:jc w:val="center"/>
              <w:rPr>
                <w:rFonts w:eastAsia="Times New Roman" w:cs="Arial"/>
                <w:b/>
                <w:bCs/>
                <w:sz w:val="16"/>
                <w:szCs w:val="16"/>
                <w:lang w:val="es-ES_tradnl" w:eastAsia="es-MX"/>
              </w:rPr>
            </w:pPr>
            <w:r w:rsidRPr="00985E3D">
              <w:rPr>
                <w:rFonts w:ascii="Candara" w:eastAsia="Times New Roman" w:hAnsi="Candara"/>
                <w:b/>
                <w:bCs/>
                <w:color w:val="FFFFFF" w:themeColor="background1"/>
                <w:sz w:val="24"/>
                <w:szCs w:val="24"/>
                <w:lang w:val="es-ES_tradnl" w:eastAsia="es-MX"/>
              </w:rPr>
              <w:t>Movilidad</w:t>
            </w:r>
          </w:p>
        </w:tc>
      </w:tr>
      <w:tr w:rsidR="00856F66" w:rsidRPr="00E31657" w14:paraId="10D783A1" w14:textId="77777777" w:rsidTr="00F974BB">
        <w:trPr>
          <w:trHeight w:val="42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0756B021"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 xml:space="preserve">Desarrollar el 100% de la estrategia de mejora y sostenibilidad del Modelo </w:t>
            </w:r>
            <w:r w:rsidRPr="00E31657">
              <w:rPr>
                <w:rFonts w:cs="Arial"/>
                <w:sz w:val="16"/>
                <w:szCs w:val="16"/>
                <w:lang w:val="es-ES_tradnl" w:eastAsia="es-MX"/>
              </w:rPr>
              <w:lastRenderedPageBreak/>
              <w:t>Integrado De Planeación y Gestión - Mipg en las entidades del Sector Movilidad</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3AF8A4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20597B2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3D720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0F0A70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E92DBD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0309C7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92879D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1.836.952.177.326</w:t>
            </w:r>
          </w:p>
        </w:tc>
      </w:tr>
      <w:tr w:rsidR="00856F66" w:rsidRPr="00E31657" w14:paraId="4687640F" w14:textId="77777777" w:rsidTr="00F974BB">
        <w:trPr>
          <w:trHeight w:val="420"/>
        </w:trPr>
        <w:tc>
          <w:tcPr>
            <w:tcW w:w="671" w:type="pct"/>
            <w:vMerge/>
            <w:tcBorders>
              <w:top w:val="double" w:sz="4" w:space="0" w:color="C00000"/>
              <w:bottom w:val="double" w:sz="4" w:space="0" w:color="C00000"/>
            </w:tcBorders>
            <w:vAlign w:val="center"/>
            <w:hideMark/>
          </w:tcPr>
          <w:p w14:paraId="36E18364"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047A6D3F"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67BDBC29"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4E86C8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317.899.000.000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39845A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502.288.349.515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53B4933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505.180.507.117</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5181BC9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511.584.320.695</w:t>
            </w:r>
          </w:p>
        </w:tc>
        <w:tc>
          <w:tcPr>
            <w:tcW w:w="487" w:type="pct"/>
            <w:gridSpan w:val="2"/>
            <w:vMerge/>
            <w:tcBorders>
              <w:top w:val="double" w:sz="4" w:space="0" w:color="C00000"/>
              <w:bottom w:val="double" w:sz="4" w:space="0" w:color="C00000"/>
            </w:tcBorders>
            <w:vAlign w:val="center"/>
            <w:hideMark/>
          </w:tcPr>
          <w:p w14:paraId="792CCB7D" w14:textId="77777777" w:rsidR="00856F66" w:rsidRPr="00E31657" w:rsidRDefault="00856F66" w:rsidP="00AE6E22">
            <w:pPr>
              <w:rPr>
                <w:rFonts w:cs="Arial"/>
                <w:b/>
                <w:bCs/>
                <w:sz w:val="16"/>
                <w:szCs w:val="16"/>
                <w:lang w:val="es-ES_tradnl" w:eastAsia="es-MX"/>
              </w:rPr>
            </w:pPr>
          </w:p>
        </w:tc>
      </w:tr>
      <w:tr w:rsidR="00856F66" w:rsidRPr="00E31657" w14:paraId="1F17F9CC"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31671C8"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Mujer</w:t>
            </w:r>
          </w:p>
        </w:tc>
      </w:tr>
      <w:tr w:rsidR="00856F66" w:rsidRPr="00E31657" w14:paraId="348C388F" w14:textId="77777777" w:rsidTr="00F974BB">
        <w:trPr>
          <w:trHeight w:val="75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75D6CF6A"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Articular con los 15 sectores de la Administración Distrital programas y acciones orientadas a mitigar la violencia económica política y comunitaria contra las mujeres aportando al fortalecimiento de su autonomía económica física y social así como al ejercicio pleno de su ciudadanía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CDFFA3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478EC8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SDmujer</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4BA528E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A1EDD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D2D81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5DBCB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1C278E5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10.501.735.403</w:t>
            </w:r>
          </w:p>
        </w:tc>
      </w:tr>
      <w:tr w:rsidR="00856F66" w:rsidRPr="00E31657" w14:paraId="734FD9E9" w14:textId="77777777" w:rsidTr="00F974BB">
        <w:trPr>
          <w:trHeight w:val="750"/>
        </w:trPr>
        <w:tc>
          <w:tcPr>
            <w:tcW w:w="671" w:type="pct"/>
            <w:vMerge/>
            <w:tcBorders>
              <w:top w:val="double" w:sz="4" w:space="0" w:color="C00000"/>
              <w:bottom w:val="double" w:sz="4" w:space="0" w:color="C00000"/>
            </w:tcBorders>
            <w:vAlign w:val="center"/>
            <w:hideMark/>
          </w:tcPr>
          <w:p w14:paraId="02628C16"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19A4DC12"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649B5B3B"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3707DC3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2.446.169.370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3983E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2.600.539.282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42B07B0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2.688.907.121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076D88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2.766.119.630</w:t>
            </w:r>
          </w:p>
        </w:tc>
        <w:tc>
          <w:tcPr>
            <w:tcW w:w="487" w:type="pct"/>
            <w:gridSpan w:val="2"/>
            <w:vMerge/>
            <w:tcBorders>
              <w:top w:val="double" w:sz="4" w:space="0" w:color="C00000"/>
              <w:bottom w:val="double" w:sz="4" w:space="0" w:color="C00000"/>
            </w:tcBorders>
            <w:vAlign w:val="center"/>
            <w:hideMark/>
          </w:tcPr>
          <w:p w14:paraId="101E3E7C" w14:textId="77777777" w:rsidR="00856F66" w:rsidRPr="00E31657" w:rsidRDefault="00856F66" w:rsidP="00AE6E22">
            <w:pPr>
              <w:rPr>
                <w:rFonts w:cs="Arial"/>
                <w:b/>
                <w:bCs/>
                <w:sz w:val="16"/>
                <w:szCs w:val="16"/>
                <w:lang w:val="es-ES_tradnl" w:eastAsia="es-MX"/>
              </w:rPr>
            </w:pPr>
          </w:p>
        </w:tc>
      </w:tr>
      <w:tr w:rsidR="00856F66" w:rsidRPr="00E31657" w14:paraId="6A650406"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5967A8B1"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Lograr al menos 92 puntos del índice de Gestión Pública Distrital</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8BF81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89.85</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65DC52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Secretaria General</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5060881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90.4</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2252A8F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5829AD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91.5</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51EB4AE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92</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AA6570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53.425.192.105</w:t>
            </w:r>
          </w:p>
        </w:tc>
      </w:tr>
      <w:tr w:rsidR="00856F66" w:rsidRPr="00E31657" w14:paraId="79CE4A08" w14:textId="77777777" w:rsidTr="00F974BB">
        <w:trPr>
          <w:trHeight w:val="315"/>
        </w:trPr>
        <w:tc>
          <w:tcPr>
            <w:tcW w:w="671" w:type="pct"/>
            <w:vMerge/>
            <w:tcBorders>
              <w:top w:val="double" w:sz="4" w:space="0" w:color="C00000"/>
              <w:bottom w:val="double" w:sz="4" w:space="0" w:color="C00000"/>
            </w:tcBorders>
            <w:vAlign w:val="center"/>
            <w:hideMark/>
          </w:tcPr>
          <w:p w14:paraId="405856A3"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180079BE"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654B2F49"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061E56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12.444.330.723</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6A9764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13.229.652.565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7E2A88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13.679.203.866</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0BFF4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14.072.004.951</w:t>
            </w:r>
          </w:p>
        </w:tc>
        <w:tc>
          <w:tcPr>
            <w:tcW w:w="487" w:type="pct"/>
            <w:gridSpan w:val="2"/>
            <w:vMerge/>
            <w:tcBorders>
              <w:top w:val="double" w:sz="4" w:space="0" w:color="C00000"/>
              <w:bottom w:val="double" w:sz="4" w:space="0" w:color="C00000"/>
            </w:tcBorders>
            <w:vAlign w:val="center"/>
            <w:hideMark/>
          </w:tcPr>
          <w:p w14:paraId="1F040F5E" w14:textId="77777777" w:rsidR="00856F66" w:rsidRPr="00E31657" w:rsidRDefault="00856F66" w:rsidP="00AE6E22">
            <w:pPr>
              <w:rPr>
                <w:rFonts w:cs="Arial"/>
                <w:b/>
                <w:bCs/>
                <w:sz w:val="16"/>
                <w:szCs w:val="16"/>
                <w:lang w:val="es-ES_tradnl" w:eastAsia="es-MX"/>
              </w:rPr>
            </w:pPr>
          </w:p>
        </w:tc>
      </w:tr>
      <w:tr w:rsidR="00856F66" w:rsidRPr="00E31657" w14:paraId="32205101"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9FB20A5"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1426535E" w14:textId="77777777" w:rsidTr="00F974BB">
        <w:trPr>
          <w:trHeight w:val="66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1CD05EF8"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Consolidar el 100% del modelo de operación de la SDP incorporando acciones estratégicas orientadas a fortalecer el valor público y la confianza ciudadana en el que hacer de la entidad.</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0D80E2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7BA317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Subsecretaría de Gestión Institucional - SDP</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3AC877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78D95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4DB042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DE1082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D02168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26.882.992.952</w:t>
            </w:r>
          </w:p>
        </w:tc>
      </w:tr>
      <w:tr w:rsidR="00856F66" w:rsidRPr="00E31657" w14:paraId="03B20540" w14:textId="77777777" w:rsidTr="00F974BB">
        <w:trPr>
          <w:trHeight w:val="660"/>
        </w:trPr>
        <w:tc>
          <w:tcPr>
            <w:tcW w:w="671" w:type="pct"/>
            <w:vMerge/>
            <w:tcBorders>
              <w:top w:val="double" w:sz="4" w:space="0" w:color="C00000"/>
              <w:bottom w:val="double" w:sz="4" w:space="0" w:color="C00000"/>
            </w:tcBorders>
            <w:vAlign w:val="center"/>
            <w:hideMark/>
          </w:tcPr>
          <w:p w14:paraId="1D590455"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7B07F9C8"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7C0663BD"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1C2D540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7.902.301.080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1FE637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6.415.894.071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6739D56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5.989.992.534</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30BC5A6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6.574.805.267</w:t>
            </w:r>
          </w:p>
        </w:tc>
        <w:tc>
          <w:tcPr>
            <w:tcW w:w="487" w:type="pct"/>
            <w:gridSpan w:val="2"/>
            <w:vMerge/>
            <w:tcBorders>
              <w:top w:val="double" w:sz="4" w:space="0" w:color="C00000"/>
              <w:bottom w:val="double" w:sz="4" w:space="0" w:color="C00000"/>
            </w:tcBorders>
            <w:vAlign w:val="center"/>
            <w:hideMark/>
          </w:tcPr>
          <w:p w14:paraId="44E44183" w14:textId="77777777" w:rsidR="00856F66" w:rsidRPr="00E31657" w:rsidRDefault="00856F66" w:rsidP="00AE6E22">
            <w:pPr>
              <w:rPr>
                <w:rFonts w:cs="Arial"/>
                <w:b/>
                <w:bCs/>
                <w:sz w:val="16"/>
                <w:szCs w:val="16"/>
                <w:lang w:val="es-ES_tradnl" w:eastAsia="es-MX"/>
              </w:rPr>
            </w:pPr>
          </w:p>
        </w:tc>
      </w:tr>
      <w:tr w:rsidR="00856F66" w:rsidRPr="00E31657" w14:paraId="3C032425" w14:textId="77777777" w:rsidTr="00F974BB">
        <w:trPr>
          <w:trHeight w:val="42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5F8026BD"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Desarrollar 4 fases del plan de acción establecido para cumplir los objetivos del ecosistema Distrital de Política Pública.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25B0D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 fases del plan de acción desarrolladas</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0A1771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Subsecretaría de Políticas Públicas y Planeación Social y Económica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4077240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5AE72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076A37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6269341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901255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25.718.507.878</w:t>
            </w:r>
          </w:p>
        </w:tc>
      </w:tr>
      <w:tr w:rsidR="00856F66" w:rsidRPr="00E31657" w14:paraId="4CD6E8C6" w14:textId="77777777" w:rsidTr="00F974BB">
        <w:trPr>
          <w:trHeight w:val="420"/>
        </w:trPr>
        <w:tc>
          <w:tcPr>
            <w:tcW w:w="671" w:type="pct"/>
            <w:vMerge/>
            <w:tcBorders>
              <w:top w:val="double" w:sz="4" w:space="0" w:color="C00000"/>
              <w:bottom w:val="double" w:sz="4" w:space="0" w:color="C00000"/>
            </w:tcBorders>
            <w:vAlign w:val="center"/>
            <w:hideMark/>
          </w:tcPr>
          <w:p w14:paraId="5F8E84AB"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79847D2B"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6AC2CDC9"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4E5D78E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10.123.863.286</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72F40A6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4.791.583.485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174140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5.261.909.072</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3D4DC8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5.541.152.035</w:t>
            </w:r>
          </w:p>
        </w:tc>
        <w:tc>
          <w:tcPr>
            <w:tcW w:w="487" w:type="pct"/>
            <w:gridSpan w:val="2"/>
            <w:vMerge/>
            <w:tcBorders>
              <w:top w:val="double" w:sz="4" w:space="0" w:color="C00000"/>
              <w:bottom w:val="double" w:sz="4" w:space="0" w:color="C00000"/>
            </w:tcBorders>
            <w:vAlign w:val="center"/>
            <w:hideMark/>
          </w:tcPr>
          <w:p w14:paraId="6BFFBBDC" w14:textId="77777777" w:rsidR="00856F66" w:rsidRPr="00E31657" w:rsidRDefault="00856F66" w:rsidP="00AE6E22">
            <w:pPr>
              <w:rPr>
                <w:rFonts w:cs="Arial"/>
                <w:b/>
                <w:bCs/>
                <w:sz w:val="16"/>
                <w:szCs w:val="16"/>
                <w:lang w:val="es-ES_tradnl" w:eastAsia="es-MX"/>
              </w:rPr>
            </w:pPr>
          </w:p>
        </w:tc>
      </w:tr>
      <w:tr w:rsidR="00856F66" w:rsidRPr="00E31657" w14:paraId="6D2A564B" w14:textId="77777777" w:rsidTr="00F974BB">
        <w:trPr>
          <w:trHeight w:val="540"/>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6BACC586"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Implementar 1 Plan de Modernización Tecnológico y Físico de la SDP cuya finalidad sea lograr una administración pública eficiente y adaptada a las necesidades de la ciudadanía bogotana</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E229E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71260D9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Subsecretaría de Gestión Institucional - SDP</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5BE3B22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93605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386E206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3DE734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37F92C6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43.239.450.176</w:t>
            </w:r>
          </w:p>
        </w:tc>
      </w:tr>
      <w:tr w:rsidR="00856F66" w:rsidRPr="00E31657" w14:paraId="1C9203E3" w14:textId="77777777" w:rsidTr="00F974BB">
        <w:trPr>
          <w:trHeight w:val="540"/>
        </w:trPr>
        <w:tc>
          <w:tcPr>
            <w:tcW w:w="671" w:type="pct"/>
            <w:vMerge/>
            <w:tcBorders>
              <w:top w:val="double" w:sz="4" w:space="0" w:color="C00000"/>
              <w:bottom w:val="double" w:sz="4" w:space="0" w:color="C00000"/>
            </w:tcBorders>
            <w:vAlign w:val="center"/>
            <w:hideMark/>
          </w:tcPr>
          <w:p w14:paraId="0C3D6F63"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2BE6F16C"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55C88883"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0929DFF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12.727.698.920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26828A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10.594.785.542</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790B4D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9.647.673.599</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1A033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10.269.292.115</w:t>
            </w:r>
          </w:p>
        </w:tc>
        <w:tc>
          <w:tcPr>
            <w:tcW w:w="487" w:type="pct"/>
            <w:gridSpan w:val="2"/>
            <w:vMerge/>
            <w:tcBorders>
              <w:top w:val="double" w:sz="4" w:space="0" w:color="C00000"/>
              <w:bottom w:val="double" w:sz="4" w:space="0" w:color="C00000"/>
            </w:tcBorders>
            <w:vAlign w:val="center"/>
            <w:hideMark/>
          </w:tcPr>
          <w:p w14:paraId="39E18AAE" w14:textId="77777777" w:rsidR="00856F66" w:rsidRPr="00E31657" w:rsidRDefault="00856F66" w:rsidP="00AE6E22">
            <w:pPr>
              <w:rPr>
                <w:rFonts w:cs="Arial"/>
                <w:b/>
                <w:bCs/>
                <w:sz w:val="16"/>
                <w:szCs w:val="16"/>
                <w:lang w:val="es-ES_tradnl" w:eastAsia="es-MX"/>
              </w:rPr>
            </w:pPr>
          </w:p>
        </w:tc>
      </w:tr>
      <w:tr w:rsidR="00856F66" w:rsidRPr="00E31657" w14:paraId="6656555F" w14:textId="77777777" w:rsidTr="00F974BB">
        <w:trPr>
          <w:trHeight w:val="315"/>
        </w:trPr>
        <w:tc>
          <w:tcPr>
            <w:tcW w:w="5000" w:type="pct"/>
            <w:gridSpan w:val="15"/>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8ABEAAA"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Seguridad convivencia y justicia</w:t>
            </w:r>
          </w:p>
        </w:tc>
      </w:tr>
      <w:tr w:rsidR="00856F66" w:rsidRPr="00E31657" w14:paraId="3DDFAD3C"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191600A5"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Desarrollar un plan para el fortalecimiento de las capacidades institucionales de la UAECOB</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C2379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77F27E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2CFE399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2FF3A6E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3155BD7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41531D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2C9727D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61.929.503.290</w:t>
            </w:r>
          </w:p>
        </w:tc>
      </w:tr>
      <w:tr w:rsidR="00856F66" w:rsidRPr="00E31657" w14:paraId="2D50F53A" w14:textId="77777777" w:rsidTr="00F974BB">
        <w:trPr>
          <w:trHeight w:val="315"/>
        </w:trPr>
        <w:tc>
          <w:tcPr>
            <w:tcW w:w="671" w:type="pct"/>
            <w:vMerge/>
            <w:tcBorders>
              <w:top w:val="double" w:sz="4" w:space="0" w:color="C00000"/>
              <w:bottom w:val="double" w:sz="4" w:space="0" w:color="C00000"/>
            </w:tcBorders>
            <w:vAlign w:val="center"/>
            <w:hideMark/>
          </w:tcPr>
          <w:p w14:paraId="490599A2"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76E3B696"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18E0976C"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B1DD8A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8.553.400.000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30E92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17.792.038.835</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10CC79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17.792.063.342</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0250A8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17.792.001.113</w:t>
            </w:r>
          </w:p>
        </w:tc>
        <w:tc>
          <w:tcPr>
            <w:tcW w:w="487" w:type="pct"/>
            <w:gridSpan w:val="2"/>
            <w:vMerge/>
            <w:tcBorders>
              <w:top w:val="double" w:sz="4" w:space="0" w:color="C00000"/>
              <w:bottom w:val="double" w:sz="4" w:space="0" w:color="C00000"/>
            </w:tcBorders>
            <w:vAlign w:val="center"/>
            <w:hideMark/>
          </w:tcPr>
          <w:p w14:paraId="6B6C1AE7" w14:textId="77777777" w:rsidR="00856F66" w:rsidRPr="00E31657" w:rsidRDefault="00856F66" w:rsidP="00AE6E22">
            <w:pPr>
              <w:rPr>
                <w:rFonts w:cs="Arial"/>
                <w:b/>
                <w:bCs/>
                <w:sz w:val="16"/>
                <w:szCs w:val="16"/>
                <w:lang w:val="es-ES_tradnl" w:eastAsia="es-MX"/>
              </w:rPr>
            </w:pPr>
          </w:p>
        </w:tc>
      </w:tr>
      <w:tr w:rsidR="00856F66" w:rsidRPr="00E31657" w14:paraId="266356E0"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15DC6C71"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 xml:space="preserve">Ejecutar la prestación de servicios de seguridad convivencia y justicia garantizando la operación y gestión de la estructura organizacional </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4438F1A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100% </w:t>
            </w:r>
            <w:r w:rsidRPr="00E31657">
              <w:rPr>
                <w:rFonts w:cs="Arial"/>
                <w:sz w:val="16"/>
                <w:szCs w:val="16"/>
                <w:lang w:val="es-ES_tradnl" w:eastAsia="es-MX"/>
              </w:rPr>
              <w:br/>
              <w:t>(2023)</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579AB1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SDSCJ</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64A169F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1F6BEFF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AE0D3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6E0BC12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53FCDAD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371.237.970.135</w:t>
            </w:r>
          </w:p>
        </w:tc>
      </w:tr>
      <w:tr w:rsidR="00856F66" w:rsidRPr="00E31657" w14:paraId="79234DC8" w14:textId="77777777" w:rsidTr="00F974BB">
        <w:trPr>
          <w:trHeight w:val="315"/>
        </w:trPr>
        <w:tc>
          <w:tcPr>
            <w:tcW w:w="671" w:type="pct"/>
            <w:vMerge/>
            <w:tcBorders>
              <w:top w:val="double" w:sz="4" w:space="0" w:color="C00000"/>
              <w:bottom w:val="double" w:sz="4" w:space="0" w:color="C00000"/>
            </w:tcBorders>
            <w:vAlign w:val="center"/>
            <w:hideMark/>
          </w:tcPr>
          <w:p w14:paraId="4C0885C6" w14:textId="77777777" w:rsidR="00856F66" w:rsidRPr="00E31657" w:rsidRDefault="00856F66" w:rsidP="00387054">
            <w:pPr>
              <w:jc w:val="right"/>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7E00D1D2"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007E5DC7"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0AE051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92.116.427.000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5AADA8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92.180.210.680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53156DA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91.284.770.478</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81D71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95.656.561.978</w:t>
            </w:r>
          </w:p>
        </w:tc>
        <w:tc>
          <w:tcPr>
            <w:tcW w:w="487" w:type="pct"/>
            <w:gridSpan w:val="2"/>
            <w:vMerge/>
            <w:tcBorders>
              <w:top w:val="double" w:sz="4" w:space="0" w:color="C00000"/>
              <w:bottom w:val="double" w:sz="4" w:space="0" w:color="C00000"/>
            </w:tcBorders>
            <w:vAlign w:val="center"/>
            <w:hideMark/>
          </w:tcPr>
          <w:p w14:paraId="1CA17572" w14:textId="77777777" w:rsidR="00856F66" w:rsidRPr="00E31657" w:rsidRDefault="00856F66" w:rsidP="00AE6E22">
            <w:pPr>
              <w:rPr>
                <w:rFonts w:cs="Arial"/>
                <w:b/>
                <w:bCs/>
                <w:sz w:val="16"/>
                <w:szCs w:val="16"/>
                <w:lang w:val="es-ES_tradnl" w:eastAsia="es-MX"/>
              </w:rPr>
            </w:pPr>
          </w:p>
        </w:tc>
      </w:tr>
      <w:tr w:rsidR="00856F66" w:rsidRPr="00E31657" w14:paraId="1A2ED1DE" w14:textId="77777777" w:rsidTr="00F974BB">
        <w:trPr>
          <w:trHeight w:val="315"/>
        </w:trPr>
        <w:tc>
          <w:tcPr>
            <w:tcW w:w="671" w:type="pct"/>
            <w:vMerge w:val="restart"/>
            <w:tcBorders>
              <w:top w:val="double" w:sz="4" w:space="0" w:color="C00000"/>
              <w:bottom w:val="double" w:sz="4" w:space="0" w:color="C00000"/>
            </w:tcBorders>
            <w:tcMar>
              <w:top w:w="30" w:type="dxa"/>
              <w:left w:w="45" w:type="dxa"/>
              <w:bottom w:w="30" w:type="dxa"/>
              <w:right w:w="45" w:type="dxa"/>
            </w:tcMar>
            <w:vAlign w:val="center"/>
            <w:hideMark/>
          </w:tcPr>
          <w:p w14:paraId="5A6BFAC6" w14:textId="77777777" w:rsidR="00856F66" w:rsidRPr="00E31657" w:rsidRDefault="00856F66" w:rsidP="00387054">
            <w:pPr>
              <w:jc w:val="right"/>
              <w:rPr>
                <w:rFonts w:cs="Arial"/>
                <w:sz w:val="16"/>
                <w:szCs w:val="16"/>
                <w:lang w:val="es-ES_tradnl" w:eastAsia="es-MX"/>
              </w:rPr>
            </w:pPr>
            <w:r w:rsidRPr="00E31657">
              <w:rPr>
                <w:rFonts w:cs="Arial"/>
                <w:sz w:val="16"/>
                <w:szCs w:val="16"/>
                <w:lang w:val="es-ES_tradnl" w:eastAsia="es-MX"/>
              </w:rPr>
              <w:t>Fortalecer la Secretaría Distrital de Seguridad Convivencia y Justicia para una gestión más eficiente.</w:t>
            </w:r>
          </w:p>
        </w:tc>
        <w:tc>
          <w:tcPr>
            <w:tcW w:w="452"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7B8067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1043" w:type="pct"/>
            <w:gridSpan w:val="6"/>
            <w:vMerge w:val="restart"/>
            <w:tcBorders>
              <w:top w:val="double" w:sz="4" w:space="0" w:color="C00000"/>
              <w:bottom w:val="double" w:sz="4" w:space="0" w:color="C00000"/>
            </w:tcBorders>
            <w:tcMar>
              <w:top w:w="30" w:type="dxa"/>
              <w:left w:w="45" w:type="dxa"/>
              <w:bottom w:w="30" w:type="dxa"/>
              <w:right w:w="45" w:type="dxa"/>
            </w:tcMar>
            <w:vAlign w:val="center"/>
            <w:hideMark/>
          </w:tcPr>
          <w:p w14:paraId="0809D7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C96F0F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45A6C45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29C80A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7A3C9F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487" w:type="pct"/>
            <w:gridSpan w:val="2"/>
            <w:vMerge w:val="restart"/>
            <w:tcBorders>
              <w:top w:val="double" w:sz="4" w:space="0" w:color="C00000"/>
              <w:bottom w:val="double" w:sz="4" w:space="0" w:color="C00000"/>
            </w:tcBorders>
            <w:tcMar>
              <w:top w:w="30" w:type="dxa"/>
              <w:left w:w="45" w:type="dxa"/>
              <w:bottom w:w="30" w:type="dxa"/>
              <w:right w:w="45" w:type="dxa"/>
            </w:tcMar>
            <w:vAlign w:val="center"/>
            <w:hideMark/>
          </w:tcPr>
          <w:p w14:paraId="02AF4D2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222.906.849.940</w:t>
            </w:r>
          </w:p>
        </w:tc>
      </w:tr>
      <w:tr w:rsidR="00856F66" w:rsidRPr="00E31657" w14:paraId="6A6BFA82" w14:textId="77777777" w:rsidTr="00F974BB">
        <w:trPr>
          <w:trHeight w:val="315"/>
        </w:trPr>
        <w:tc>
          <w:tcPr>
            <w:tcW w:w="671" w:type="pct"/>
            <w:vMerge/>
            <w:tcBorders>
              <w:top w:val="double" w:sz="4" w:space="0" w:color="C00000"/>
              <w:bottom w:val="double" w:sz="4" w:space="0" w:color="C00000"/>
            </w:tcBorders>
            <w:vAlign w:val="center"/>
            <w:hideMark/>
          </w:tcPr>
          <w:p w14:paraId="1135F431" w14:textId="77777777" w:rsidR="00856F66" w:rsidRPr="00E31657" w:rsidRDefault="00856F66" w:rsidP="00AE6E22">
            <w:pPr>
              <w:rPr>
                <w:rFonts w:cs="Arial"/>
                <w:sz w:val="16"/>
                <w:szCs w:val="16"/>
                <w:lang w:val="es-ES_tradnl" w:eastAsia="es-MX"/>
              </w:rPr>
            </w:pPr>
          </w:p>
        </w:tc>
        <w:tc>
          <w:tcPr>
            <w:tcW w:w="452" w:type="pct"/>
            <w:gridSpan w:val="2"/>
            <w:vMerge/>
            <w:tcBorders>
              <w:top w:val="double" w:sz="4" w:space="0" w:color="C00000"/>
              <w:bottom w:val="double" w:sz="4" w:space="0" w:color="C00000"/>
            </w:tcBorders>
            <w:vAlign w:val="center"/>
            <w:hideMark/>
          </w:tcPr>
          <w:p w14:paraId="5DE5AB4E" w14:textId="77777777" w:rsidR="00856F66" w:rsidRPr="00E31657" w:rsidRDefault="00856F66" w:rsidP="00AE6E22">
            <w:pPr>
              <w:rPr>
                <w:rFonts w:cs="Arial"/>
                <w:sz w:val="16"/>
                <w:szCs w:val="16"/>
                <w:lang w:val="es-ES_tradnl" w:eastAsia="es-MX"/>
              </w:rPr>
            </w:pPr>
          </w:p>
        </w:tc>
        <w:tc>
          <w:tcPr>
            <w:tcW w:w="1043" w:type="pct"/>
            <w:gridSpan w:val="6"/>
            <w:vMerge/>
            <w:tcBorders>
              <w:top w:val="double" w:sz="4" w:space="0" w:color="C00000"/>
              <w:bottom w:val="double" w:sz="4" w:space="0" w:color="C00000"/>
            </w:tcBorders>
            <w:vAlign w:val="center"/>
            <w:hideMark/>
          </w:tcPr>
          <w:p w14:paraId="4EE9AF52" w14:textId="77777777" w:rsidR="00856F66" w:rsidRPr="00E31657" w:rsidRDefault="00856F66" w:rsidP="00AE6E22">
            <w:pPr>
              <w:rPr>
                <w:rFonts w:cs="Arial"/>
                <w:sz w:val="16"/>
                <w:szCs w:val="16"/>
                <w:lang w:val="es-ES_tradnl" w:eastAsia="es-MX"/>
              </w:rPr>
            </w:pPr>
          </w:p>
        </w:tc>
        <w:tc>
          <w:tcPr>
            <w:tcW w:w="811" w:type="pct"/>
            <w:tcBorders>
              <w:top w:val="double" w:sz="4" w:space="0" w:color="C00000"/>
              <w:bottom w:val="double" w:sz="4" w:space="0" w:color="C00000"/>
            </w:tcBorders>
            <w:tcMar>
              <w:top w:w="30" w:type="dxa"/>
              <w:left w:w="45" w:type="dxa"/>
              <w:bottom w:w="30" w:type="dxa"/>
              <w:right w:w="45" w:type="dxa"/>
            </w:tcMar>
            <w:vAlign w:val="center"/>
            <w:hideMark/>
          </w:tcPr>
          <w:p w14:paraId="75F7AA6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500.000.000</w:t>
            </w:r>
          </w:p>
        </w:tc>
        <w:tc>
          <w:tcPr>
            <w:tcW w:w="589" w:type="pct"/>
            <w:tcBorders>
              <w:top w:val="double" w:sz="4" w:space="0" w:color="C00000"/>
              <w:bottom w:val="double" w:sz="4" w:space="0" w:color="C00000"/>
            </w:tcBorders>
            <w:tcMar>
              <w:top w:w="30" w:type="dxa"/>
              <w:left w:w="45" w:type="dxa"/>
              <w:bottom w:w="30" w:type="dxa"/>
              <w:right w:w="45" w:type="dxa"/>
            </w:tcMar>
            <w:vAlign w:val="center"/>
            <w:hideMark/>
          </w:tcPr>
          <w:p w14:paraId="395185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44.976.185.437</w:t>
            </w:r>
          </w:p>
        </w:tc>
        <w:tc>
          <w:tcPr>
            <w:tcW w:w="495" w:type="pct"/>
            <w:tcBorders>
              <w:top w:val="double" w:sz="4" w:space="0" w:color="C00000"/>
              <w:bottom w:val="double" w:sz="4" w:space="0" w:color="C00000"/>
            </w:tcBorders>
            <w:tcMar>
              <w:top w:w="30" w:type="dxa"/>
              <w:left w:w="45" w:type="dxa"/>
              <w:bottom w:w="30" w:type="dxa"/>
              <w:right w:w="45" w:type="dxa"/>
            </w:tcMar>
            <w:vAlign w:val="center"/>
            <w:hideMark/>
          </w:tcPr>
          <w:p w14:paraId="077162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82.965.492.506</w:t>
            </w:r>
          </w:p>
        </w:tc>
        <w:tc>
          <w:tcPr>
            <w:tcW w:w="452" w:type="pct"/>
            <w:tcBorders>
              <w:top w:val="double" w:sz="4" w:space="0" w:color="C00000"/>
              <w:bottom w:val="double" w:sz="4" w:space="0" w:color="C00000"/>
            </w:tcBorders>
            <w:tcMar>
              <w:top w:w="30" w:type="dxa"/>
              <w:left w:w="45" w:type="dxa"/>
              <w:bottom w:w="30" w:type="dxa"/>
              <w:right w:w="45" w:type="dxa"/>
            </w:tcMar>
            <w:vAlign w:val="center"/>
            <w:hideMark/>
          </w:tcPr>
          <w:p w14:paraId="23D0639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94.465.171.996</w:t>
            </w:r>
          </w:p>
        </w:tc>
        <w:tc>
          <w:tcPr>
            <w:tcW w:w="487" w:type="pct"/>
            <w:gridSpan w:val="2"/>
            <w:vMerge/>
            <w:tcBorders>
              <w:top w:val="double" w:sz="4" w:space="0" w:color="C00000"/>
              <w:bottom w:val="double" w:sz="4" w:space="0" w:color="C00000"/>
            </w:tcBorders>
            <w:vAlign w:val="center"/>
            <w:hideMark/>
          </w:tcPr>
          <w:p w14:paraId="0C8877E3" w14:textId="77777777" w:rsidR="00856F66" w:rsidRPr="00E31657" w:rsidRDefault="00856F66" w:rsidP="00AE6E22">
            <w:pPr>
              <w:rPr>
                <w:rFonts w:cs="Arial"/>
                <w:b/>
                <w:bCs/>
                <w:sz w:val="16"/>
                <w:szCs w:val="16"/>
                <w:lang w:val="es-ES_tradnl" w:eastAsia="es-MX"/>
              </w:rPr>
            </w:pPr>
          </w:p>
        </w:tc>
      </w:tr>
    </w:tbl>
    <w:p w14:paraId="7D4994B8" w14:textId="77777777" w:rsidR="00856F66" w:rsidRPr="00E31657" w:rsidRDefault="00856F66">
      <w:pPr>
        <w:rPr>
          <w:sz w:val="16"/>
          <w:szCs w:val="16"/>
          <w:lang w:val="es-ES_tradnl"/>
        </w:rPr>
      </w:pPr>
    </w:p>
    <w:tbl>
      <w:tblPr>
        <w:tblW w:w="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376"/>
        <w:gridCol w:w="590"/>
        <w:gridCol w:w="1132"/>
        <w:gridCol w:w="1016"/>
        <w:gridCol w:w="1048"/>
        <w:gridCol w:w="1038"/>
        <w:gridCol w:w="1050"/>
        <w:gridCol w:w="1110"/>
      </w:tblGrid>
      <w:tr w:rsidR="00856F66" w:rsidRPr="00E31657" w14:paraId="18266175" w14:textId="77777777" w:rsidTr="00F974BB">
        <w:trPr>
          <w:trHeight w:val="315"/>
        </w:trPr>
        <w:tc>
          <w:tcPr>
            <w:tcW w:w="0" w:type="auto"/>
            <w:gridSpan w:val="8"/>
            <w:tcMar>
              <w:top w:w="30" w:type="dxa"/>
              <w:left w:w="45" w:type="dxa"/>
              <w:bottom w:w="30" w:type="dxa"/>
              <w:right w:w="45" w:type="dxa"/>
            </w:tcMar>
            <w:vAlign w:val="center"/>
            <w:hideMark/>
          </w:tcPr>
          <w:p w14:paraId="0ADB3FAC" w14:textId="77777777" w:rsidR="00856F66" w:rsidRPr="00E31657" w:rsidRDefault="00856F66" w:rsidP="00AE6E22">
            <w:pPr>
              <w:jc w:val="center"/>
              <w:rPr>
                <w:rFonts w:cs="Arial"/>
                <w:lang w:val="es-ES_tradnl" w:eastAsia="es-MX"/>
              </w:rPr>
            </w:pPr>
            <w:r w:rsidRPr="00E31657">
              <w:rPr>
                <w:rFonts w:cs="Arial"/>
                <w:b/>
                <w:bCs/>
                <w:color w:val="C00000"/>
                <w:lang w:val="es-ES_tradnl" w:eastAsia="es-MX"/>
              </w:rPr>
              <w:t>Programa 34.</w:t>
            </w:r>
            <w:r w:rsidRPr="00E31657">
              <w:rPr>
                <w:rFonts w:cs="Arial"/>
                <w:color w:val="C00000"/>
                <w:lang w:val="es-ES_tradnl" w:eastAsia="es-MX"/>
              </w:rPr>
              <w:t xml:space="preserve"> </w:t>
            </w:r>
            <w:r w:rsidRPr="00E31657">
              <w:rPr>
                <w:rFonts w:cs="Arial"/>
                <w:lang w:val="es-ES_tradnl" w:eastAsia="es-MX"/>
              </w:rPr>
              <w:t>Talento Humano unido por la ciudadanía</w:t>
            </w:r>
          </w:p>
        </w:tc>
      </w:tr>
      <w:tr w:rsidR="00856F66" w:rsidRPr="00E31657" w14:paraId="34320892" w14:textId="77777777" w:rsidTr="00F974BB">
        <w:trPr>
          <w:trHeight w:val="315"/>
        </w:trPr>
        <w:tc>
          <w:tcPr>
            <w:tcW w:w="0" w:type="auto"/>
            <w:vMerge w:val="restart"/>
            <w:shd w:val="clear" w:color="auto" w:fill="C00000"/>
            <w:tcMar>
              <w:top w:w="30" w:type="dxa"/>
              <w:left w:w="45" w:type="dxa"/>
              <w:bottom w:w="30" w:type="dxa"/>
              <w:right w:w="45" w:type="dxa"/>
            </w:tcMar>
            <w:vAlign w:val="center"/>
            <w:hideMark/>
          </w:tcPr>
          <w:p w14:paraId="13759348"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209FF977"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 xml:space="preserve">Magnitudes e Inversión </w:t>
            </w:r>
            <w:r w:rsidRPr="00985E3D">
              <w:rPr>
                <w:rFonts w:ascii="Candara" w:eastAsia="Times New Roman" w:hAnsi="Candara"/>
                <w:b/>
                <w:bCs/>
                <w:color w:val="FFFFFF" w:themeColor="background1"/>
                <w:sz w:val="24"/>
                <w:szCs w:val="24"/>
                <w:lang w:val="es-ES_tradnl" w:eastAsia="es-MX"/>
              </w:rPr>
              <w:br/>
              <w:t>(Precios Constantes 2024)</w:t>
            </w:r>
          </w:p>
        </w:tc>
      </w:tr>
      <w:tr w:rsidR="00856F66" w:rsidRPr="00E31657" w14:paraId="0D3C4595" w14:textId="77777777" w:rsidTr="00F974BB">
        <w:trPr>
          <w:trHeight w:val="315"/>
        </w:trPr>
        <w:tc>
          <w:tcPr>
            <w:tcW w:w="0" w:type="auto"/>
            <w:vMerge/>
            <w:shd w:val="clear" w:color="auto" w:fill="C00000"/>
            <w:vAlign w:val="center"/>
            <w:hideMark/>
          </w:tcPr>
          <w:p w14:paraId="7E7FA7AC" w14:textId="77777777" w:rsidR="00856F66" w:rsidRPr="00E31657" w:rsidRDefault="00856F66" w:rsidP="00AE6E2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02505B2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5FC505A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2477FEB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2A7391C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2EACCE0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3668754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6067E80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0AA32788"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5C462916"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pública</w:t>
            </w:r>
          </w:p>
        </w:tc>
      </w:tr>
      <w:tr w:rsidR="00856F66" w:rsidRPr="00E31657" w14:paraId="57E700C3" w14:textId="77777777" w:rsidTr="00F974BB">
        <w:trPr>
          <w:trHeight w:val="600"/>
        </w:trPr>
        <w:tc>
          <w:tcPr>
            <w:tcW w:w="0" w:type="auto"/>
            <w:vMerge w:val="restart"/>
            <w:tcMar>
              <w:top w:w="30" w:type="dxa"/>
              <w:left w:w="45" w:type="dxa"/>
              <w:bottom w:w="30" w:type="dxa"/>
              <w:right w:w="45" w:type="dxa"/>
            </w:tcMar>
            <w:vAlign w:val="center"/>
            <w:hideMark/>
          </w:tcPr>
          <w:p w14:paraId="30304D85"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 xml:space="preserve">Asistir 46 entidades y organismos distritales para fortalecer la Política de Gestión Estratégica del Talento Humano del Índice de Desempeño Institucional (IDI). </w:t>
            </w:r>
          </w:p>
        </w:tc>
        <w:tc>
          <w:tcPr>
            <w:tcW w:w="0" w:type="auto"/>
            <w:vMerge w:val="restart"/>
            <w:tcMar>
              <w:top w:w="30" w:type="dxa"/>
              <w:left w:w="45" w:type="dxa"/>
              <w:bottom w:w="30" w:type="dxa"/>
              <w:right w:w="45" w:type="dxa"/>
            </w:tcMar>
            <w:vAlign w:val="center"/>
            <w:hideMark/>
          </w:tcPr>
          <w:p w14:paraId="481ABB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448DD76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Departamento Administrativo del Servicio Civil Distrital</w:t>
            </w:r>
          </w:p>
        </w:tc>
        <w:tc>
          <w:tcPr>
            <w:tcW w:w="0" w:type="auto"/>
            <w:tcMar>
              <w:top w:w="30" w:type="dxa"/>
              <w:left w:w="45" w:type="dxa"/>
              <w:bottom w:w="30" w:type="dxa"/>
              <w:right w:w="45" w:type="dxa"/>
            </w:tcMar>
            <w:vAlign w:val="center"/>
            <w:hideMark/>
          </w:tcPr>
          <w:p w14:paraId="108E0F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tcMar>
              <w:top w:w="30" w:type="dxa"/>
              <w:left w:w="45" w:type="dxa"/>
              <w:bottom w:w="30" w:type="dxa"/>
              <w:right w:w="45" w:type="dxa"/>
            </w:tcMar>
            <w:vAlign w:val="center"/>
            <w:hideMark/>
          </w:tcPr>
          <w:p w14:paraId="3505815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w:t>
            </w:r>
          </w:p>
        </w:tc>
        <w:tc>
          <w:tcPr>
            <w:tcW w:w="0" w:type="auto"/>
            <w:tcMar>
              <w:top w:w="30" w:type="dxa"/>
              <w:left w:w="45" w:type="dxa"/>
              <w:bottom w:w="30" w:type="dxa"/>
              <w:right w:w="45" w:type="dxa"/>
            </w:tcMar>
            <w:vAlign w:val="center"/>
            <w:hideMark/>
          </w:tcPr>
          <w:p w14:paraId="2F40A2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w:t>
            </w:r>
          </w:p>
        </w:tc>
        <w:tc>
          <w:tcPr>
            <w:tcW w:w="0" w:type="auto"/>
            <w:tcMar>
              <w:top w:w="30" w:type="dxa"/>
              <w:left w:w="45" w:type="dxa"/>
              <w:bottom w:w="30" w:type="dxa"/>
              <w:right w:w="45" w:type="dxa"/>
            </w:tcMar>
            <w:vAlign w:val="center"/>
            <w:hideMark/>
          </w:tcPr>
          <w:p w14:paraId="5D9B816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46</w:t>
            </w:r>
          </w:p>
        </w:tc>
        <w:tc>
          <w:tcPr>
            <w:tcW w:w="0" w:type="auto"/>
            <w:vMerge w:val="restart"/>
            <w:tcMar>
              <w:top w:w="30" w:type="dxa"/>
              <w:left w:w="45" w:type="dxa"/>
              <w:bottom w:w="30" w:type="dxa"/>
              <w:right w:w="45" w:type="dxa"/>
            </w:tcMar>
            <w:vAlign w:val="center"/>
            <w:hideMark/>
          </w:tcPr>
          <w:p w14:paraId="31C118F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20.083.637.909</w:t>
            </w:r>
          </w:p>
        </w:tc>
      </w:tr>
      <w:tr w:rsidR="00856F66" w:rsidRPr="00E31657" w14:paraId="089EC4CE" w14:textId="77777777" w:rsidTr="00F974BB">
        <w:trPr>
          <w:trHeight w:val="600"/>
        </w:trPr>
        <w:tc>
          <w:tcPr>
            <w:tcW w:w="0" w:type="auto"/>
            <w:vMerge/>
            <w:vAlign w:val="center"/>
            <w:hideMark/>
          </w:tcPr>
          <w:p w14:paraId="5415148D" w14:textId="77777777" w:rsidR="00856F66" w:rsidRPr="00E31657" w:rsidRDefault="00856F66" w:rsidP="00AE6E22">
            <w:pPr>
              <w:rPr>
                <w:rFonts w:cs="Arial"/>
                <w:sz w:val="16"/>
                <w:szCs w:val="16"/>
                <w:lang w:val="es-ES_tradnl" w:eastAsia="es-MX"/>
              </w:rPr>
            </w:pPr>
          </w:p>
        </w:tc>
        <w:tc>
          <w:tcPr>
            <w:tcW w:w="0" w:type="auto"/>
            <w:vMerge/>
            <w:vAlign w:val="center"/>
            <w:hideMark/>
          </w:tcPr>
          <w:p w14:paraId="47C24BA6" w14:textId="77777777" w:rsidR="00856F66" w:rsidRPr="00E31657" w:rsidRDefault="00856F66" w:rsidP="00AE6E22">
            <w:pPr>
              <w:rPr>
                <w:rFonts w:cs="Arial"/>
                <w:sz w:val="16"/>
                <w:szCs w:val="16"/>
                <w:lang w:val="es-ES_tradnl" w:eastAsia="es-MX"/>
              </w:rPr>
            </w:pPr>
          </w:p>
        </w:tc>
        <w:tc>
          <w:tcPr>
            <w:tcW w:w="0" w:type="auto"/>
            <w:vMerge/>
            <w:vAlign w:val="center"/>
            <w:hideMark/>
          </w:tcPr>
          <w:p w14:paraId="03DD04C3"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510C5E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4.186.666.185</w:t>
            </w:r>
          </w:p>
        </w:tc>
        <w:tc>
          <w:tcPr>
            <w:tcW w:w="0" w:type="auto"/>
            <w:tcMar>
              <w:top w:w="30" w:type="dxa"/>
              <w:left w:w="45" w:type="dxa"/>
              <w:bottom w:w="30" w:type="dxa"/>
              <w:right w:w="45" w:type="dxa"/>
            </w:tcMar>
            <w:vAlign w:val="center"/>
            <w:hideMark/>
          </w:tcPr>
          <w:p w14:paraId="628198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4.878.720.486</w:t>
            </w:r>
          </w:p>
        </w:tc>
        <w:tc>
          <w:tcPr>
            <w:tcW w:w="0" w:type="auto"/>
            <w:tcMar>
              <w:top w:w="30" w:type="dxa"/>
              <w:left w:w="45" w:type="dxa"/>
              <w:bottom w:w="30" w:type="dxa"/>
              <w:right w:w="45" w:type="dxa"/>
            </w:tcMar>
            <w:vAlign w:val="center"/>
            <w:hideMark/>
          </w:tcPr>
          <w:p w14:paraId="20D690C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5.770.404.268</w:t>
            </w:r>
          </w:p>
        </w:tc>
        <w:tc>
          <w:tcPr>
            <w:tcW w:w="0" w:type="auto"/>
            <w:tcMar>
              <w:top w:w="30" w:type="dxa"/>
              <w:left w:w="45" w:type="dxa"/>
              <w:bottom w:w="30" w:type="dxa"/>
              <w:right w:w="45" w:type="dxa"/>
            </w:tcMar>
            <w:vAlign w:val="center"/>
            <w:hideMark/>
          </w:tcPr>
          <w:p w14:paraId="627BFF1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5.247.846.969</w:t>
            </w:r>
          </w:p>
        </w:tc>
        <w:tc>
          <w:tcPr>
            <w:tcW w:w="0" w:type="auto"/>
            <w:vMerge/>
            <w:vAlign w:val="center"/>
            <w:hideMark/>
          </w:tcPr>
          <w:p w14:paraId="49F64AC2" w14:textId="77777777" w:rsidR="00856F66" w:rsidRPr="00E31657" w:rsidRDefault="00856F66" w:rsidP="00AE6E22">
            <w:pPr>
              <w:rPr>
                <w:rFonts w:cs="Arial"/>
                <w:b/>
                <w:bCs/>
                <w:sz w:val="16"/>
                <w:szCs w:val="16"/>
                <w:lang w:val="es-ES_tradnl" w:eastAsia="es-MX"/>
              </w:rPr>
            </w:pPr>
          </w:p>
        </w:tc>
      </w:tr>
    </w:tbl>
    <w:p w14:paraId="4DF0BB85" w14:textId="77777777" w:rsidR="00856F66" w:rsidRPr="00E31657" w:rsidRDefault="00856F66">
      <w:pPr>
        <w:rPr>
          <w:sz w:val="16"/>
          <w:szCs w:val="16"/>
          <w:lang w:val="es-ES_tradnl"/>
        </w:rPr>
      </w:pPr>
    </w:p>
    <w:p w14:paraId="37C0AA8A" w14:textId="77777777" w:rsidR="00856F66" w:rsidRPr="00E31657" w:rsidRDefault="00856F66">
      <w:pPr>
        <w:rPr>
          <w:sz w:val="16"/>
          <w:szCs w:val="16"/>
          <w:lang w:val="es-ES_tradnl"/>
        </w:rPr>
      </w:pPr>
    </w:p>
    <w:tbl>
      <w:tblPr>
        <w:tblW w:w="0" w:type="dxa"/>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2212"/>
        <w:gridCol w:w="612"/>
        <w:gridCol w:w="836"/>
        <w:gridCol w:w="1146"/>
        <w:gridCol w:w="1109"/>
        <w:gridCol w:w="1135"/>
        <w:gridCol w:w="1148"/>
        <w:gridCol w:w="1162"/>
      </w:tblGrid>
      <w:tr w:rsidR="00856F66" w:rsidRPr="00E31657" w14:paraId="4B11DD0B" w14:textId="77777777" w:rsidTr="00F974BB">
        <w:trPr>
          <w:trHeight w:val="315"/>
        </w:trPr>
        <w:tc>
          <w:tcPr>
            <w:tcW w:w="0" w:type="auto"/>
            <w:gridSpan w:val="8"/>
            <w:tcMar>
              <w:top w:w="30" w:type="dxa"/>
              <w:left w:w="45" w:type="dxa"/>
              <w:bottom w:w="30" w:type="dxa"/>
              <w:right w:w="45" w:type="dxa"/>
            </w:tcMar>
            <w:vAlign w:val="center"/>
            <w:hideMark/>
          </w:tcPr>
          <w:p w14:paraId="755B4FD0" w14:textId="77777777" w:rsidR="00856F66" w:rsidRPr="00E31657" w:rsidRDefault="00856F66" w:rsidP="00AE6E22">
            <w:pPr>
              <w:jc w:val="center"/>
              <w:rPr>
                <w:rFonts w:cs="Arial"/>
                <w:lang w:val="es-ES_tradnl" w:eastAsia="es-MX"/>
              </w:rPr>
            </w:pPr>
            <w:r w:rsidRPr="00E31657">
              <w:rPr>
                <w:rFonts w:cs="Arial"/>
                <w:b/>
                <w:bCs/>
                <w:color w:val="C00000"/>
                <w:lang w:val="es-ES_tradnl" w:eastAsia="es-MX"/>
              </w:rPr>
              <w:t>Programa 35.</w:t>
            </w:r>
            <w:r w:rsidRPr="00E31657">
              <w:rPr>
                <w:rFonts w:cs="Arial"/>
                <w:color w:val="C00000"/>
                <w:lang w:val="es-ES_tradnl" w:eastAsia="es-MX"/>
              </w:rPr>
              <w:t xml:space="preserve"> </w:t>
            </w:r>
            <w:r w:rsidRPr="00E31657">
              <w:rPr>
                <w:rFonts w:cs="Arial"/>
                <w:lang w:val="es-ES_tradnl" w:eastAsia="es-MX"/>
              </w:rPr>
              <w:t>Bogotá ciudad Inteligente</w:t>
            </w:r>
          </w:p>
        </w:tc>
      </w:tr>
      <w:tr w:rsidR="00856F66" w:rsidRPr="00E31657" w14:paraId="434080C4" w14:textId="77777777" w:rsidTr="00F974BB">
        <w:trPr>
          <w:trHeight w:val="315"/>
        </w:trPr>
        <w:tc>
          <w:tcPr>
            <w:tcW w:w="0" w:type="auto"/>
            <w:vMerge w:val="restart"/>
            <w:shd w:val="clear" w:color="auto" w:fill="C00000"/>
            <w:tcMar>
              <w:top w:w="30" w:type="dxa"/>
              <w:left w:w="45" w:type="dxa"/>
              <w:bottom w:w="30" w:type="dxa"/>
              <w:right w:w="45" w:type="dxa"/>
            </w:tcMar>
            <w:vAlign w:val="center"/>
            <w:hideMark/>
          </w:tcPr>
          <w:p w14:paraId="0759B9DA"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Sector / Metas</w:t>
            </w:r>
          </w:p>
        </w:tc>
        <w:tc>
          <w:tcPr>
            <w:tcW w:w="0" w:type="auto"/>
            <w:gridSpan w:val="7"/>
            <w:shd w:val="clear" w:color="auto" w:fill="C00000"/>
            <w:tcMar>
              <w:top w:w="30" w:type="dxa"/>
              <w:left w:w="45" w:type="dxa"/>
              <w:bottom w:w="30" w:type="dxa"/>
              <w:right w:w="45" w:type="dxa"/>
            </w:tcMar>
            <w:vAlign w:val="center"/>
            <w:hideMark/>
          </w:tcPr>
          <w:p w14:paraId="183BA548"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 xml:space="preserve">Magnitudes e Inversión </w:t>
            </w:r>
            <w:r w:rsidRPr="00985E3D">
              <w:rPr>
                <w:rFonts w:ascii="Candara" w:eastAsia="Times New Roman" w:hAnsi="Candara"/>
                <w:b/>
                <w:bCs/>
                <w:color w:val="FFFFFF" w:themeColor="background1"/>
                <w:sz w:val="24"/>
                <w:szCs w:val="24"/>
                <w:lang w:val="es-ES_tradnl" w:eastAsia="es-MX"/>
              </w:rPr>
              <w:br/>
              <w:t>(Precios Constantes 2024)</w:t>
            </w:r>
          </w:p>
        </w:tc>
      </w:tr>
      <w:tr w:rsidR="00856F66" w:rsidRPr="00E31657" w14:paraId="7881EBD4" w14:textId="77777777" w:rsidTr="00F974BB">
        <w:trPr>
          <w:trHeight w:val="315"/>
        </w:trPr>
        <w:tc>
          <w:tcPr>
            <w:tcW w:w="0" w:type="auto"/>
            <w:vMerge/>
            <w:shd w:val="clear" w:color="auto" w:fill="C00000"/>
            <w:vAlign w:val="center"/>
            <w:hideMark/>
          </w:tcPr>
          <w:p w14:paraId="1C98AF3B" w14:textId="77777777" w:rsidR="00856F66" w:rsidRPr="00E31657" w:rsidRDefault="00856F66" w:rsidP="00AE6E22">
            <w:pPr>
              <w:rPr>
                <w:rFonts w:cs="Arial"/>
                <w:b/>
                <w:bCs/>
                <w:color w:val="FFFFFF"/>
                <w:sz w:val="16"/>
                <w:szCs w:val="16"/>
                <w:lang w:val="es-ES_tradnl" w:eastAsia="es-MX"/>
              </w:rPr>
            </w:pPr>
          </w:p>
        </w:tc>
        <w:tc>
          <w:tcPr>
            <w:tcW w:w="0" w:type="auto"/>
            <w:shd w:val="clear" w:color="auto" w:fill="D9D9D9"/>
            <w:tcMar>
              <w:top w:w="30" w:type="dxa"/>
              <w:left w:w="45" w:type="dxa"/>
              <w:bottom w:w="30" w:type="dxa"/>
              <w:right w:w="45" w:type="dxa"/>
            </w:tcMar>
            <w:vAlign w:val="center"/>
            <w:hideMark/>
          </w:tcPr>
          <w:p w14:paraId="28871D9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shd w:val="clear" w:color="auto" w:fill="D9D9D9"/>
            <w:tcMar>
              <w:top w:w="30" w:type="dxa"/>
              <w:left w:w="45" w:type="dxa"/>
              <w:bottom w:w="30" w:type="dxa"/>
              <w:right w:w="45" w:type="dxa"/>
            </w:tcMar>
            <w:vAlign w:val="center"/>
            <w:hideMark/>
          </w:tcPr>
          <w:p w14:paraId="6287C5D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shd w:val="clear" w:color="auto" w:fill="D9D9D9"/>
            <w:tcMar>
              <w:top w:w="30" w:type="dxa"/>
              <w:left w:w="45" w:type="dxa"/>
              <w:bottom w:w="30" w:type="dxa"/>
              <w:right w:w="45" w:type="dxa"/>
            </w:tcMar>
            <w:vAlign w:val="center"/>
            <w:hideMark/>
          </w:tcPr>
          <w:p w14:paraId="0DBD664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shd w:val="clear" w:color="auto" w:fill="D9D9D9"/>
            <w:tcMar>
              <w:top w:w="30" w:type="dxa"/>
              <w:left w:w="45" w:type="dxa"/>
              <w:bottom w:w="30" w:type="dxa"/>
              <w:right w:w="45" w:type="dxa"/>
            </w:tcMar>
            <w:vAlign w:val="center"/>
            <w:hideMark/>
          </w:tcPr>
          <w:p w14:paraId="3608985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shd w:val="clear" w:color="auto" w:fill="D9D9D9"/>
            <w:tcMar>
              <w:top w:w="30" w:type="dxa"/>
              <w:left w:w="45" w:type="dxa"/>
              <w:bottom w:w="30" w:type="dxa"/>
              <w:right w:w="45" w:type="dxa"/>
            </w:tcMar>
            <w:vAlign w:val="center"/>
            <w:hideMark/>
          </w:tcPr>
          <w:p w14:paraId="02C91B7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shd w:val="clear" w:color="auto" w:fill="D9D9D9"/>
            <w:tcMar>
              <w:top w:w="30" w:type="dxa"/>
              <w:left w:w="45" w:type="dxa"/>
              <w:bottom w:w="30" w:type="dxa"/>
              <w:right w:w="45" w:type="dxa"/>
            </w:tcMar>
            <w:vAlign w:val="center"/>
            <w:hideMark/>
          </w:tcPr>
          <w:p w14:paraId="782EB61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shd w:val="clear" w:color="auto" w:fill="D9D9D9"/>
            <w:tcMar>
              <w:top w:w="30" w:type="dxa"/>
              <w:left w:w="45" w:type="dxa"/>
              <w:bottom w:w="30" w:type="dxa"/>
              <w:right w:w="45" w:type="dxa"/>
            </w:tcMar>
            <w:vAlign w:val="center"/>
            <w:hideMark/>
          </w:tcPr>
          <w:p w14:paraId="330C436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799F1220"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2B410D11" w14:textId="77777777" w:rsidR="00856F66" w:rsidRPr="00985E3D" w:rsidRDefault="00856F66" w:rsidP="00985E3D">
            <w:pPr>
              <w:pStyle w:val="Ttulo"/>
              <w:jc w:val="center"/>
              <w:rPr>
                <w:rFonts w:ascii="Candara" w:eastAsia="Times New Roman" w:hAnsi="Candara"/>
                <w:b/>
                <w:bCs/>
                <w:color w:val="FFFFFF" w:themeColor="background1"/>
                <w:sz w:val="24"/>
                <w:szCs w:val="24"/>
                <w:lang w:val="es-ES_tradnl" w:eastAsia="es-MX"/>
              </w:rPr>
            </w:pPr>
            <w:r w:rsidRPr="00985E3D">
              <w:rPr>
                <w:rFonts w:ascii="Candara" w:eastAsia="Times New Roman" w:hAnsi="Candara"/>
                <w:b/>
                <w:bCs/>
                <w:color w:val="FFFFFF" w:themeColor="background1"/>
                <w:sz w:val="24"/>
                <w:szCs w:val="24"/>
                <w:lang w:val="es-ES_tradnl" w:eastAsia="es-MX"/>
              </w:rPr>
              <w:t>Desarrollo económico</w:t>
            </w:r>
          </w:p>
        </w:tc>
      </w:tr>
      <w:tr w:rsidR="00856F66" w:rsidRPr="00E31657" w14:paraId="16A55785" w14:textId="77777777" w:rsidTr="00F974BB">
        <w:trPr>
          <w:trHeight w:val="315"/>
        </w:trPr>
        <w:tc>
          <w:tcPr>
            <w:tcW w:w="0" w:type="auto"/>
            <w:vMerge w:val="restart"/>
            <w:tcMar>
              <w:top w:w="30" w:type="dxa"/>
              <w:left w:w="45" w:type="dxa"/>
              <w:bottom w:w="30" w:type="dxa"/>
              <w:right w:w="45" w:type="dxa"/>
            </w:tcMar>
            <w:vAlign w:val="center"/>
            <w:hideMark/>
          </w:tcPr>
          <w:p w14:paraId="6687445E"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el 100% del modelo de gestión de la información del sector de desarrollo económico que permita realizar análisis para la toma de decisiones estratégicas</w:t>
            </w:r>
          </w:p>
        </w:tc>
        <w:tc>
          <w:tcPr>
            <w:tcW w:w="0" w:type="auto"/>
            <w:vMerge w:val="restart"/>
            <w:tcMar>
              <w:top w:w="30" w:type="dxa"/>
              <w:left w:w="45" w:type="dxa"/>
              <w:bottom w:w="30" w:type="dxa"/>
              <w:right w:w="45" w:type="dxa"/>
            </w:tcMar>
            <w:vAlign w:val="center"/>
            <w:hideMark/>
          </w:tcPr>
          <w:p w14:paraId="6E56B5F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0F8FD38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Departamento Administrativo de la Función Pública</w:t>
            </w:r>
            <w:r w:rsidRPr="00E31657">
              <w:rPr>
                <w:rFonts w:cs="Arial"/>
                <w:sz w:val="16"/>
                <w:szCs w:val="16"/>
                <w:lang w:val="es-ES_tradnl" w:eastAsia="es-MX"/>
              </w:rPr>
              <w:br/>
              <w:t>Departamento Administrativo del Servicio Civil</w:t>
            </w:r>
          </w:p>
        </w:tc>
        <w:tc>
          <w:tcPr>
            <w:tcW w:w="0" w:type="auto"/>
            <w:tcMar>
              <w:top w:w="30" w:type="dxa"/>
              <w:left w:w="45" w:type="dxa"/>
              <w:bottom w:w="30" w:type="dxa"/>
              <w:right w:w="45" w:type="dxa"/>
            </w:tcMar>
            <w:vAlign w:val="center"/>
            <w:hideMark/>
          </w:tcPr>
          <w:p w14:paraId="1BB35D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16,40%</w:t>
            </w:r>
          </w:p>
        </w:tc>
        <w:tc>
          <w:tcPr>
            <w:tcW w:w="0" w:type="auto"/>
            <w:tcMar>
              <w:top w:w="30" w:type="dxa"/>
              <w:left w:w="45" w:type="dxa"/>
              <w:bottom w:w="30" w:type="dxa"/>
              <w:right w:w="45" w:type="dxa"/>
            </w:tcMar>
            <w:vAlign w:val="center"/>
            <w:hideMark/>
          </w:tcPr>
          <w:p w14:paraId="4B1407F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29,80%</w:t>
            </w:r>
          </w:p>
        </w:tc>
        <w:tc>
          <w:tcPr>
            <w:tcW w:w="0" w:type="auto"/>
            <w:tcMar>
              <w:top w:w="30" w:type="dxa"/>
              <w:left w:w="45" w:type="dxa"/>
              <w:bottom w:w="30" w:type="dxa"/>
              <w:right w:w="45" w:type="dxa"/>
            </w:tcMar>
            <w:vAlign w:val="center"/>
            <w:hideMark/>
          </w:tcPr>
          <w:p w14:paraId="5A81B79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26,90%</w:t>
            </w:r>
          </w:p>
        </w:tc>
        <w:tc>
          <w:tcPr>
            <w:tcW w:w="0" w:type="auto"/>
            <w:tcMar>
              <w:top w:w="30" w:type="dxa"/>
              <w:left w:w="45" w:type="dxa"/>
              <w:bottom w:w="30" w:type="dxa"/>
              <w:right w:w="45" w:type="dxa"/>
            </w:tcMar>
            <w:vAlign w:val="center"/>
            <w:hideMark/>
          </w:tcPr>
          <w:p w14:paraId="3D6CEC2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26,90%</w:t>
            </w:r>
          </w:p>
        </w:tc>
        <w:tc>
          <w:tcPr>
            <w:tcW w:w="0" w:type="auto"/>
            <w:vMerge w:val="restart"/>
            <w:tcMar>
              <w:top w:w="30" w:type="dxa"/>
              <w:left w:w="45" w:type="dxa"/>
              <w:bottom w:w="30" w:type="dxa"/>
              <w:right w:w="45" w:type="dxa"/>
            </w:tcMar>
            <w:vAlign w:val="center"/>
            <w:hideMark/>
          </w:tcPr>
          <w:p w14:paraId="16AD6FC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44.983.189.780</w:t>
            </w:r>
          </w:p>
        </w:tc>
      </w:tr>
      <w:tr w:rsidR="00856F66" w:rsidRPr="00E31657" w14:paraId="56F454C8" w14:textId="77777777" w:rsidTr="00F974BB">
        <w:trPr>
          <w:trHeight w:val="315"/>
        </w:trPr>
        <w:tc>
          <w:tcPr>
            <w:tcW w:w="0" w:type="auto"/>
            <w:vMerge/>
            <w:vAlign w:val="center"/>
            <w:hideMark/>
          </w:tcPr>
          <w:p w14:paraId="601B4E53" w14:textId="77777777" w:rsidR="00856F66" w:rsidRPr="00E31657" w:rsidRDefault="00856F66" w:rsidP="00AE6E22">
            <w:pPr>
              <w:rPr>
                <w:rFonts w:cs="Arial"/>
                <w:sz w:val="16"/>
                <w:szCs w:val="16"/>
                <w:lang w:val="es-ES_tradnl" w:eastAsia="es-MX"/>
              </w:rPr>
            </w:pPr>
          </w:p>
        </w:tc>
        <w:tc>
          <w:tcPr>
            <w:tcW w:w="0" w:type="auto"/>
            <w:vMerge/>
            <w:vAlign w:val="center"/>
            <w:hideMark/>
          </w:tcPr>
          <w:p w14:paraId="1298AB29" w14:textId="77777777" w:rsidR="00856F66" w:rsidRPr="00E31657" w:rsidRDefault="00856F66" w:rsidP="00AE6E22">
            <w:pPr>
              <w:rPr>
                <w:rFonts w:cs="Arial"/>
                <w:sz w:val="16"/>
                <w:szCs w:val="16"/>
                <w:lang w:val="es-ES_tradnl" w:eastAsia="es-MX"/>
              </w:rPr>
            </w:pPr>
          </w:p>
        </w:tc>
        <w:tc>
          <w:tcPr>
            <w:tcW w:w="0" w:type="auto"/>
            <w:vMerge/>
            <w:vAlign w:val="center"/>
            <w:hideMark/>
          </w:tcPr>
          <w:p w14:paraId="05EAF1AE"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214653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9.095.464.000</w:t>
            </w:r>
          </w:p>
        </w:tc>
        <w:tc>
          <w:tcPr>
            <w:tcW w:w="0" w:type="auto"/>
            <w:tcMar>
              <w:top w:w="30" w:type="dxa"/>
              <w:left w:w="45" w:type="dxa"/>
              <w:bottom w:w="30" w:type="dxa"/>
              <w:right w:w="45" w:type="dxa"/>
            </w:tcMar>
            <w:vAlign w:val="center"/>
            <w:hideMark/>
          </w:tcPr>
          <w:p w14:paraId="21EB79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12.524.543.063</w:t>
            </w:r>
          </w:p>
        </w:tc>
        <w:tc>
          <w:tcPr>
            <w:tcW w:w="0" w:type="auto"/>
            <w:tcMar>
              <w:top w:w="30" w:type="dxa"/>
              <w:left w:w="45" w:type="dxa"/>
              <w:bottom w:w="30" w:type="dxa"/>
              <w:right w:w="45" w:type="dxa"/>
            </w:tcMar>
            <w:vAlign w:val="center"/>
            <w:hideMark/>
          </w:tcPr>
          <w:p w14:paraId="61AB790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11.583.369.968</w:t>
            </w:r>
          </w:p>
        </w:tc>
        <w:tc>
          <w:tcPr>
            <w:tcW w:w="0" w:type="auto"/>
            <w:tcMar>
              <w:top w:w="30" w:type="dxa"/>
              <w:left w:w="45" w:type="dxa"/>
              <w:bottom w:w="30" w:type="dxa"/>
              <w:right w:w="45" w:type="dxa"/>
            </w:tcMar>
            <w:vAlign w:val="center"/>
            <w:hideMark/>
          </w:tcPr>
          <w:p w14:paraId="0A4F8C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11.779.812.749</w:t>
            </w:r>
          </w:p>
        </w:tc>
        <w:tc>
          <w:tcPr>
            <w:tcW w:w="0" w:type="auto"/>
            <w:vMerge/>
            <w:vAlign w:val="center"/>
            <w:hideMark/>
          </w:tcPr>
          <w:p w14:paraId="28C2DF11" w14:textId="77777777" w:rsidR="00856F66" w:rsidRPr="00E31657" w:rsidRDefault="00856F66" w:rsidP="00AE6E22">
            <w:pPr>
              <w:rPr>
                <w:rFonts w:cs="Arial"/>
                <w:b/>
                <w:bCs/>
                <w:sz w:val="16"/>
                <w:szCs w:val="16"/>
                <w:lang w:val="es-ES_tradnl" w:eastAsia="es-MX"/>
              </w:rPr>
            </w:pPr>
          </w:p>
        </w:tc>
      </w:tr>
      <w:tr w:rsidR="00856F66" w:rsidRPr="00E31657" w14:paraId="2CFB4689"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7665730A"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jurídica</w:t>
            </w:r>
          </w:p>
        </w:tc>
      </w:tr>
      <w:tr w:rsidR="00856F66" w:rsidRPr="00E31657" w14:paraId="79E4F1F8" w14:textId="77777777" w:rsidTr="00F974BB">
        <w:trPr>
          <w:trHeight w:val="315"/>
        </w:trPr>
        <w:tc>
          <w:tcPr>
            <w:tcW w:w="0" w:type="auto"/>
            <w:vMerge w:val="restart"/>
            <w:tcMar>
              <w:top w:w="30" w:type="dxa"/>
              <w:left w:w="45" w:type="dxa"/>
              <w:bottom w:w="30" w:type="dxa"/>
              <w:right w:w="45" w:type="dxa"/>
            </w:tcMar>
            <w:vAlign w:val="center"/>
            <w:hideMark/>
          </w:tcPr>
          <w:p w14:paraId="3ECDD202"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 xml:space="preserve">Ejecutar un plan para el mantenimiento y optimización de los sistemas de información a </w:t>
            </w:r>
            <w:r w:rsidRPr="00E31657">
              <w:rPr>
                <w:rFonts w:cs="Arial"/>
                <w:sz w:val="16"/>
                <w:szCs w:val="16"/>
                <w:lang w:val="es-ES_tradnl" w:eastAsia="es-MX"/>
              </w:rPr>
              <w:lastRenderedPageBreak/>
              <w:t>cargo de la Secretaría Jurídica Distrital</w:t>
            </w:r>
          </w:p>
        </w:tc>
        <w:tc>
          <w:tcPr>
            <w:tcW w:w="0" w:type="auto"/>
            <w:vMerge w:val="restart"/>
            <w:tcMar>
              <w:top w:w="30" w:type="dxa"/>
              <w:left w:w="45" w:type="dxa"/>
              <w:bottom w:w="30" w:type="dxa"/>
              <w:right w:w="45" w:type="dxa"/>
            </w:tcMar>
            <w:vAlign w:val="center"/>
            <w:hideMark/>
          </w:tcPr>
          <w:p w14:paraId="78FE61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Mar>
              <w:top w:w="30" w:type="dxa"/>
              <w:left w:w="45" w:type="dxa"/>
              <w:bottom w:w="30" w:type="dxa"/>
              <w:right w:w="45" w:type="dxa"/>
            </w:tcMar>
            <w:vAlign w:val="center"/>
            <w:hideMark/>
          </w:tcPr>
          <w:p w14:paraId="51E3F6D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Oficina TIC</w:t>
            </w:r>
          </w:p>
        </w:tc>
        <w:tc>
          <w:tcPr>
            <w:tcW w:w="0" w:type="auto"/>
            <w:tcMar>
              <w:top w:w="30" w:type="dxa"/>
              <w:left w:w="45" w:type="dxa"/>
              <w:bottom w:w="30" w:type="dxa"/>
              <w:right w:w="45" w:type="dxa"/>
            </w:tcMar>
            <w:vAlign w:val="center"/>
            <w:hideMark/>
          </w:tcPr>
          <w:p w14:paraId="3182303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0,15</w:t>
            </w:r>
          </w:p>
        </w:tc>
        <w:tc>
          <w:tcPr>
            <w:tcW w:w="0" w:type="auto"/>
            <w:tcMar>
              <w:top w:w="30" w:type="dxa"/>
              <w:left w:w="45" w:type="dxa"/>
              <w:bottom w:w="30" w:type="dxa"/>
              <w:right w:w="45" w:type="dxa"/>
            </w:tcMar>
            <w:vAlign w:val="center"/>
            <w:hideMark/>
          </w:tcPr>
          <w:p w14:paraId="6A805C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Mar>
              <w:top w:w="30" w:type="dxa"/>
              <w:left w:w="45" w:type="dxa"/>
              <w:bottom w:w="30" w:type="dxa"/>
              <w:right w:w="45" w:type="dxa"/>
            </w:tcMar>
            <w:vAlign w:val="center"/>
            <w:hideMark/>
          </w:tcPr>
          <w:p w14:paraId="59727F5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Mar>
              <w:top w:w="30" w:type="dxa"/>
              <w:left w:w="45" w:type="dxa"/>
              <w:bottom w:w="30" w:type="dxa"/>
              <w:right w:w="45" w:type="dxa"/>
            </w:tcMar>
            <w:vAlign w:val="center"/>
            <w:hideMark/>
          </w:tcPr>
          <w:p w14:paraId="188B63A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0,25</w:t>
            </w:r>
          </w:p>
        </w:tc>
        <w:tc>
          <w:tcPr>
            <w:tcW w:w="0" w:type="auto"/>
            <w:vMerge w:val="restart"/>
            <w:tcMar>
              <w:top w:w="30" w:type="dxa"/>
              <w:left w:w="45" w:type="dxa"/>
              <w:bottom w:w="30" w:type="dxa"/>
              <w:right w:w="45" w:type="dxa"/>
            </w:tcMar>
            <w:vAlign w:val="center"/>
            <w:hideMark/>
          </w:tcPr>
          <w:p w14:paraId="3679CE1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14.198.610.940</w:t>
            </w:r>
          </w:p>
        </w:tc>
      </w:tr>
      <w:tr w:rsidR="00856F66" w:rsidRPr="00E31657" w14:paraId="1C773608" w14:textId="77777777" w:rsidTr="00F974BB">
        <w:trPr>
          <w:trHeight w:val="315"/>
        </w:trPr>
        <w:tc>
          <w:tcPr>
            <w:tcW w:w="0" w:type="auto"/>
            <w:vMerge/>
            <w:vAlign w:val="center"/>
            <w:hideMark/>
          </w:tcPr>
          <w:p w14:paraId="5F23A337" w14:textId="77777777" w:rsidR="00856F66" w:rsidRPr="00E31657" w:rsidRDefault="00856F66" w:rsidP="00AE6E22">
            <w:pPr>
              <w:rPr>
                <w:rFonts w:cs="Arial"/>
                <w:sz w:val="16"/>
                <w:szCs w:val="16"/>
                <w:lang w:val="es-ES_tradnl" w:eastAsia="es-MX"/>
              </w:rPr>
            </w:pPr>
          </w:p>
        </w:tc>
        <w:tc>
          <w:tcPr>
            <w:tcW w:w="0" w:type="auto"/>
            <w:vMerge/>
            <w:vAlign w:val="center"/>
            <w:hideMark/>
          </w:tcPr>
          <w:p w14:paraId="75395303" w14:textId="77777777" w:rsidR="00856F66" w:rsidRPr="00E31657" w:rsidRDefault="00856F66" w:rsidP="00AE6E22">
            <w:pPr>
              <w:rPr>
                <w:rFonts w:cs="Arial"/>
                <w:sz w:val="16"/>
                <w:szCs w:val="16"/>
                <w:lang w:val="es-ES_tradnl" w:eastAsia="es-MX"/>
              </w:rPr>
            </w:pPr>
          </w:p>
        </w:tc>
        <w:tc>
          <w:tcPr>
            <w:tcW w:w="0" w:type="auto"/>
            <w:vMerge/>
            <w:vAlign w:val="center"/>
            <w:hideMark/>
          </w:tcPr>
          <w:p w14:paraId="333298B8"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3719A3C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3.031.000.000</w:t>
            </w:r>
          </w:p>
        </w:tc>
        <w:tc>
          <w:tcPr>
            <w:tcW w:w="0" w:type="auto"/>
            <w:tcMar>
              <w:top w:w="30" w:type="dxa"/>
              <w:left w:w="45" w:type="dxa"/>
              <w:bottom w:w="30" w:type="dxa"/>
              <w:right w:w="45" w:type="dxa"/>
            </w:tcMar>
            <w:vAlign w:val="center"/>
            <w:hideMark/>
          </w:tcPr>
          <w:p w14:paraId="6DAD20C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3.398.058.252</w:t>
            </w:r>
          </w:p>
        </w:tc>
        <w:tc>
          <w:tcPr>
            <w:tcW w:w="0" w:type="auto"/>
            <w:tcMar>
              <w:top w:w="30" w:type="dxa"/>
              <w:left w:w="45" w:type="dxa"/>
              <w:bottom w:w="30" w:type="dxa"/>
              <w:right w:w="45" w:type="dxa"/>
            </w:tcMar>
            <w:vAlign w:val="center"/>
            <w:hideMark/>
          </w:tcPr>
          <w:p w14:paraId="25D0169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3.864.643.227</w:t>
            </w:r>
          </w:p>
        </w:tc>
        <w:tc>
          <w:tcPr>
            <w:tcW w:w="0" w:type="auto"/>
            <w:tcMar>
              <w:top w:w="30" w:type="dxa"/>
              <w:left w:w="45" w:type="dxa"/>
              <w:bottom w:w="30" w:type="dxa"/>
              <w:right w:w="45" w:type="dxa"/>
            </w:tcMar>
            <w:vAlign w:val="center"/>
            <w:hideMark/>
          </w:tcPr>
          <w:p w14:paraId="3AFF68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3.904.909.460</w:t>
            </w:r>
          </w:p>
        </w:tc>
        <w:tc>
          <w:tcPr>
            <w:tcW w:w="0" w:type="auto"/>
            <w:vMerge/>
            <w:vAlign w:val="center"/>
            <w:hideMark/>
          </w:tcPr>
          <w:p w14:paraId="735EF202" w14:textId="77777777" w:rsidR="00856F66" w:rsidRPr="00E31657" w:rsidRDefault="00856F66" w:rsidP="00AE6E22">
            <w:pPr>
              <w:rPr>
                <w:rFonts w:cs="Arial"/>
                <w:b/>
                <w:bCs/>
                <w:sz w:val="16"/>
                <w:szCs w:val="16"/>
                <w:lang w:val="es-ES_tradnl" w:eastAsia="es-MX"/>
              </w:rPr>
            </w:pPr>
          </w:p>
        </w:tc>
      </w:tr>
      <w:tr w:rsidR="00856F66" w:rsidRPr="00E31657" w14:paraId="29444CED"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24609BC3"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pública</w:t>
            </w:r>
          </w:p>
        </w:tc>
      </w:tr>
      <w:tr w:rsidR="00856F66" w:rsidRPr="00E31657" w14:paraId="54A9F6D1" w14:textId="77777777" w:rsidTr="00F974BB">
        <w:trPr>
          <w:trHeight w:val="315"/>
        </w:trPr>
        <w:tc>
          <w:tcPr>
            <w:tcW w:w="0" w:type="auto"/>
            <w:vMerge w:val="restart"/>
            <w:tcMar>
              <w:top w:w="30" w:type="dxa"/>
              <w:left w:w="45" w:type="dxa"/>
              <w:bottom w:w="30" w:type="dxa"/>
              <w:right w:w="45" w:type="dxa"/>
            </w:tcMar>
            <w:vAlign w:val="center"/>
            <w:hideMark/>
          </w:tcPr>
          <w:p w14:paraId="3C47E5B5"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Crear y mantener en operación 1 equipo de Respuesta a Incidentes de Seguridad Digital (CSIRT) de Bogotá para garantizar la protección de datos e información de la ciudadanía</w:t>
            </w:r>
          </w:p>
        </w:tc>
        <w:tc>
          <w:tcPr>
            <w:tcW w:w="0" w:type="auto"/>
            <w:vMerge w:val="restart"/>
            <w:tcMar>
              <w:top w:w="30" w:type="dxa"/>
              <w:left w:w="45" w:type="dxa"/>
              <w:bottom w:w="30" w:type="dxa"/>
              <w:right w:w="45" w:type="dxa"/>
            </w:tcMar>
            <w:vAlign w:val="center"/>
            <w:hideMark/>
          </w:tcPr>
          <w:p w14:paraId="2D4420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29AA4B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052C068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0503C6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7CD0077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53BAC6F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3F705CE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51.888.141.311</w:t>
            </w:r>
          </w:p>
        </w:tc>
      </w:tr>
      <w:tr w:rsidR="00856F66" w:rsidRPr="00E31657" w14:paraId="4D87DFA2" w14:textId="77777777" w:rsidTr="00F974BB">
        <w:trPr>
          <w:trHeight w:val="315"/>
        </w:trPr>
        <w:tc>
          <w:tcPr>
            <w:tcW w:w="0" w:type="auto"/>
            <w:vMerge/>
            <w:vAlign w:val="center"/>
            <w:hideMark/>
          </w:tcPr>
          <w:p w14:paraId="176EA065" w14:textId="77777777" w:rsidR="00856F66" w:rsidRPr="00E31657" w:rsidRDefault="00856F66" w:rsidP="00B77EE8">
            <w:pPr>
              <w:jc w:val="right"/>
              <w:rPr>
                <w:rFonts w:cs="Arial"/>
                <w:sz w:val="16"/>
                <w:szCs w:val="16"/>
                <w:lang w:val="es-ES_tradnl" w:eastAsia="es-MX"/>
              </w:rPr>
            </w:pPr>
          </w:p>
        </w:tc>
        <w:tc>
          <w:tcPr>
            <w:tcW w:w="0" w:type="auto"/>
            <w:vMerge/>
            <w:vAlign w:val="center"/>
            <w:hideMark/>
          </w:tcPr>
          <w:p w14:paraId="0A0C0ED2" w14:textId="77777777" w:rsidR="00856F66" w:rsidRPr="00E31657" w:rsidRDefault="00856F66" w:rsidP="00AE6E22">
            <w:pPr>
              <w:rPr>
                <w:rFonts w:cs="Arial"/>
                <w:sz w:val="16"/>
                <w:szCs w:val="16"/>
                <w:lang w:val="es-ES_tradnl" w:eastAsia="es-MX"/>
              </w:rPr>
            </w:pPr>
          </w:p>
        </w:tc>
        <w:tc>
          <w:tcPr>
            <w:tcW w:w="0" w:type="auto"/>
            <w:vMerge/>
            <w:vAlign w:val="center"/>
            <w:hideMark/>
          </w:tcPr>
          <w:p w14:paraId="0BA156C0"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789A9A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8.445.532.313</w:t>
            </w:r>
          </w:p>
        </w:tc>
        <w:tc>
          <w:tcPr>
            <w:tcW w:w="0" w:type="auto"/>
            <w:tcMar>
              <w:top w:w="30" w:type="dxa"/>
              <w:left w:w="45" w:type="dxa"/>
              <w:bottom w:w="30" w:type="dxa"/>
              <w:right w:w="45" w:type="dxa"/>
            </w:tcMar>
            <w:vAlign w:val="center"/>
            <w:hideMark/>
          </w:tcPr>
          <w:p w14:paraId="073EB5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12.104.693.114</w:t>
            </w:r>
          </w:p>
        </w:tc>
        <w:tc>
          <w:tcPr>
            <w:tcW w:w="0" w:type="auto"/>
            <w:tcMar>
              <w:top w:w="30" w:type="dxa"/>
              <w:left w:w="45" w:type="dxa"/>
              <w:bottom w:w="30" w:type="dxa"/>
              <w:right w:w="45" w:type="dxa"/>
            </w:tcMar>
            <w:vAlign w:val="center"/>
            <w:hideMark/>
          </w:tcPr>
          <w:p w14:paraId="0BB85D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15.401.823.751</w:t>
            </w:r>
          </w:p>
        </w:tc>
        <w:tc>
          <w:tcPr>
            <w:tcW w:w="0" w:type="auto"/>
            <w:tcMar>
              <w:top w:w="30" w:type="dxa"/>
              <w:left w:w="45" w:type="dxa"/>
              <w:bottom w:w="30" w:type="dxa"/>
              <w:right w:w="45" w:type="dxa"/>
            </w:tcMar>
            <w:vAlign w:val="center"/>
            <w:hideMark/>
          </w:tcPr>
          <w:p w14:paraId="3ADC6B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15.936.092.134</w:t>
            </w:r>
          </w:p>
        </w:tc>
        <w:tc>
          <w:tcPr>
            <w:tcW w:w="0" w:type="auto"/>
            <w:vMerge/>
            <w:vAlign w:val="center"/>
            <w:hideMark/>
          </w:tcPr>
          <w:p w14:paraId="3502F543" w14:textId="77777777" w:rsidR="00856F66" w:rsidRPr="00E31657" w:rsidRDefault="00856F66" w:rsidP="00AE6E22">
            <w:pPr>
              <w:rPr>
                <w:rFonts w:cs="Arial"/>
                <w:b/>
                <w:bCs/>
                <w:sz w:val="16"/>
                <w:szCs w:val="16"/>
                <w:lang w:val="es-ES_tradnl" w:eastAsia="es-MX"/>
              </w:rPr>
            </w:pPr>
          </w:p>
        </w:tc>
      </w:tr>
      <w:tr w:rsidR="00856F66" w:rsidRPr="00E31657" w14:paraId="50923143" w14:textId="77777777" w:rsidTr="00F974BB">
        <w:trPr>
          <w:trHeight w:val="315"/>
        </w:trPr>
        <w:tc>
          <w:tcPr>
            <w:tcW w:w="0" w:type="auto"/>
            <w:vMerge w:val="restart"/>
            <w:tcMar>
              <w:top w:w="30" w:type="dxa"/>
              <w:left w:w="45" w:type="dxa"/>
              <w:bottom w:w="30" w:type="dxa"/>
              <w:right w:w="45" w:type="dxa"/>
            </w:tcMar>
            <w:vAlign w:val="center"/>
            <w:hideMark/>
          </w:tcPr>
          <w:p w14:paraId="709B30F3"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1 infraestructura de datos del distrito para mejorar la oferta de servicios distritales a personas hogares y empresas.</w:t>
            </w:r>
          </w:p>
        </w:tc>
        <w:tc>
          <w:tcPr>
            <w:tcW w:w="0" w:type="auto"/>
            <w:vMerge w:val="restart"/>
            <w:tcMar>
              <w:top w:w="30" w:type="dxa"/>
              <w:left w:w="45" w:type="dxa"/>
              <w:bottom w:w="30" w:type="dxa"/>
              <w:right w:w="45" w:type="dxa"/>
            </w:tcMar>
            <w:vAlign w:val="center"/>
            <w:hideMark/>
          </w:tcPr>
          <w:p w14:paraId="0CB1D8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1DBB76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BC089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6473FB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w:t>
            </w:r>
          </w:p>
        </w:tc>
        <w:tc>
          <w:tcPr>
            <w:tcW w:w="0" w:type="auto"/>
            <w:tcMar>
              <w:top w:w="30" w:type="dxa"/>
              <w:left w:w="45" w:type="dxa"/>
              <w:bottom w:w="30" w:type="dxa"/>
              <w:right w:w="45" w:type="dxa"/>
            </w:tcMar>
            <w:vAlign w:val="center"/>
            <w:hideMark/>
          </w:tcPr>
          <w:p w14:paraId="50808E8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75%</w:t>
            </w:r>
          </w:p>
        </w:tc>
        <w:tc>
          <w:tcPr>
            <w:tcW w:w="0" w:type="auto"/>
            <w:tcMar>
              <w:top w:w="30" w:type="dxa"/>
              <w:left w:w="45" w:type="dxa"/>
              <w:bottom w:w="30" w:type="dxa"/>
              <w:right w:w="45" w:type="dxa"/>
            </w:tcMar>
            <w:vAlign w:val="center"/>
            <w:hideMark/>
          </w:tcPr>
          <w:p w14:paraId="6EE807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566A8C3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13.841.226.368</w:t>
            </w:r>
          </w:p>
        </w:tc>
      </w:tr>
      <w:tr w:rsidR="00856F66" w:rsidRPr="00E31657" w14:paraId="2A50A889" w14:textId="77777777" w:rsidTr="00F974BB">
        <w:trPr>
          <w:trHeight w:val="315"/>
        </w:trPr>
        <w:tc>
          <w:tcPr>
            <w:tcW w:w="0" w:type="auto"/>
            <w:vMerge/>
            <w:vAlign w:val="center"/>
            <w:hideMark/>
          </w:tcPr>
          <w:p w14:paraId="1378A6EB" w14:textId="77777777" w:rsidR="00856F66" w:rsidRPr="00E31657" w:rsidRDefault="00856F66" w:rsidP="00B77EE8">
            <w:pPr>
              <w:jc w:val="right"/>
              <w:rPr>
                <w:rFonts w:cs="Arial"/>
                <w:sz w:val="16"/>
                <w:szCs w:val="16"/>
                <w:lang w:val="es-ES_tradnl" w:eastAsia="es-MX"/>
              </w:rPr>
            </w:pPr>
          </w:p>
        </w:tc>
        <w:tc>
          <w:tcPr>
            <w:tcW w:w="0" w:type="auto"/>
            <w:vMerge/>
            <w:vAlign w:val="center"/>
            <w:hideMark/>
          </w:tcPr>
          <w:p w14:paraId="16A8351A" w14:textId="77777777" w:rsidR="00856F66" w:rsidRPr="00E31657" w:rsidRDefault="00856F66" w:rsidP="00AE6E22">
            <w:pPr>
              <w:rPr>
                <w:rFonts w:cs="Arial"/>
                <w:sz w:val="16"/>
                <w:szCs w:val="16"/>
                <w:lang w:val="es-ES_tradnl" w:eastAsia="es-MX"/>
              </w:rPr>
            </w:pPr>
          </w:p>
        </w:tc>
        <w:tc>
          <w:tcPr>
            <w:tcW w:w="0" w:type="auto"/>
            <w:vMerge/>
            <w:vAlign w:val="center"/>
            <w:hideMark/>
          </w:tcPr>
          <w:p w14:paraId="4E09F4F8"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6F07B5B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1.899.493.389</w:t>
            </w:r>
          </w:p>
        </w:tc>
        <w:tc>
          <w:tcPr>
            <w:tcW w:w="0" w:type="auto"/>
            <w:tcMar>
              <w:top w:w="30" w:type="dxa"/>
              <w:left w:w="45" w:type="dxa"/>
              <w:bottom w:w="30" w:type="dxa"/>
              <w:right w:w="45" w:type="dxa"/>
            </w:tcMar>
            <w:vAlign w:val="center"/>
            <w:hideMark/>
          </w:tcPr>
          <w:p w14:paraId="15D335B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3.676.015.155</w:t>
            </w:r>
          </w:p>
        </w:tc>
        <w:tc>
          <w:tcPr>
            <w:tcW w:w="0" w:type="auto"/>
            <w:tcMar>
              <w:top w:w="30" w:type="dxa"/>
              <w:left w:w="45" w:type="dxa"/>
              <w:bottom w:w="30" w:type="dxa"/>
              <w:right w:w="45" w:type="dxa"/>
            </w:tcMar>
            <w:vAlign w:val="center"/>
            <w:hideMark/>
          </w:tcPr>
          <w:p w14:paraId="62BFF6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4.107.802.809</w:t>
            </w:r>
          </w:p>
        </w:tc>
        <w:tc>
          <w:tcPr>
            <w:tcW w:w="0" w:type="auto"/>
            <w:tcMar>
              <w:top w:w="30" w:type="dxa"/>
              <w:left w:w="45" w:type="dxa"/>
              <w:bottom w:w="30" w:type="dxa"/>
              <w:right w:w="45" w:type="dxa"/>
            </w:tcMar>
            <w:vAlign w:val="center"/>
            <w:hideMark/>
          </w:tcPr>
          <w:p w14:paraId="7962A05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4.157.915.014</w:t>
            </w:r>
          </w:p>
        </w:tc>
        <w:tc>
          <w:tcPr>
            <w:tcW w:w="0" w:type="auto"/>
            <w:vMerge/>
            <w:vAlign w:val="center"/>
            <w:hideMark/>
          </w:tcPr>
          <w:p w14:paraId="57AD317F" w14:textId="77777777" w:rsidR="00856F66" w:rsidRPr="00E31657" w:rsidRDefault="00856F66" w:rsidP="00AE6E22">
            <w:pPr>
              <w:rPr>
                <w:rFonts w:cs="Arial"/>
                <w:b/>
                <w:bCs/>
                <w:sz w:val="16"/>
                <w:szCs w:val="16"/>
                <w:lang w:val="es-ES_tradnl" w:eastAsia="es-MX"/>
              </w:rPr>
            </w:pPr>
          </w:p>
        </w:tc>
      </w:tr>
      <w:tr w:rsidR="00856F66" w:rsidRPr="00E31657" w14:paraId="4438C475" w14:textId="77777777" w:rsidTr="00F974BB">
        <w:trPr>
          <w:trHeight w:val="315"/>
        </w:trPr>
        <w:tc>
          <w:tcPr>
            <w:tcW w:w="0" w:type="auto"/>
            <w:vMerge w:val="restart"/>
            <w:tcMar>
              <w:top w:w="30" w:type="dxa"/>
              <w:left w:w="45" w:type="dxa"/>
              <w:bottom w:w="30" w:type="dxa"/>
              <w:right w:w="45" w:type="dxa"/>
            </w:tcMar>
            <w:vAlign w:val="center"/>
            <w:hideMark/>
          </w:tcPr>
          <w:p w14:paraId="735E499D"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en 8 localidades con zonas rurales de Bogotá una solución para el cierre de brecha digital</w:t>
            </w:r>
          </w:p>
        </w:tc>
        <w:tc>
          <w:tcPr>
            <w:tcW w:w="0" w:type="auto"/>
            <w:vMerge w:val="restart"/>
            <w:tcMar>
              <w:top w:w="30" w:type="dxa"/>
              <w:left w:w="45" w:type="dxa"/>
              <w:bottom w:w="30" w:type="dxa"/>
              <w:right w:w="45" w:type="dxa"/>
            </w:tcMar>
            <w:vAlign w:val="center"/>
            <w:hideMark/>
          </w:tcPr>
          <w:p w14:paraId="033AEE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06DF052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34D444F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4E65916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Mar>
              <w:top w:w="30" w:type="dxa"/>
              <w:left w:w="45" w:type="dxa"/>
              <w:bottom w:w="30" w:type="dxa"/>
              <w:right w:w="45" w:type="dxa"/>
            </w:tcMar>
            <w:vAlign w:val="center"/>
            <w:hideMark/>
          </w:tcPr>
          <w:p w14:paraId="29871DE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tcMar>
              <w:top w:w="30" w:type="dxa"/>
              <w:left w:w="45" w:type="dxa"/>
              <w:bottom w:w="30" w:type="dxa"/>
              <w:right w:w="45" w:type="dxa"/>
            </w:tcMar>
            <w:vAlign w:val="center"/>
            <w:hideMark/>
          </w:tcPr>
          <w:p w14:paraId="3F92F90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vMerge w:val="restart"/>
            <w:tcMar>
              <w:top w:w="30" w:type="dxa"/>
              <w:left w:w="45" w:type="dxa"/>
              <w:bottom w:w="30" w:type="dxa"/>
              <w:right w:w="45" w:type="dxa"/>
            </w:tcMar>
            <w:vAlign w:val="center"/>
            <w:hideMark/>
          </w:tcPr>
          <w:p w14:paraId="0468D17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9.374.299.137</w:t>
            </w:r>
          </w:p>
        </w:tc>
      </w:tr>
      <w:tr w:rsidR="00856F66" w:rsidRPr="00E31657" w14:paraId="5E7ABDB6" w14:textId="77777777" w:rsidTr="00F974BB">
        <w:trPr>
          <w:trHeight w:val="315"/>
        </w:trPr>
        <w:tc>
          <w:tcPr>
            <w:tcW w:w="0" w:type="auto"/>
            <w:vMerge/>
            <w:vAlign w:val="center"/>
            <w:hideMark/>
          </w:tcPr>
          <w:p w14:paraId="50D58A81" w14:textId="77777777" w:rsidR="00856F66" w:rsidRPr="00E31657" w:rsidRDefault="00856F66" w:rsidP="00B77EE8">
            <w:pPr>
              <w:jc w:val="right"/>
              <w:rPr>
                <w:rFonts w:cs="Arial"/>
                <w:sz w:val="16"/>
                <w:szCs w:val="16"/>
                <w:lang w:val="es-ES_tradnl" w:eastAsia="es-MX"/>
              </w:rPr>
            </w:pPr>
          </w:p>
        </w:tc>
        <w:tc>
          <w:tcPr>
            <w:tcW w:w="0" w:type="auto"/>
            <w:vMerge/>
            <w:vAlign w:val="center"/>
            <w:hideMark/>
          </w:tcPr>
          <w:p w14:paraId="2B2F5413" w14:textId="77777777" w:rsidR="00856F66" w:rsidRPr="00E31657" w:rsidRDefault="00856F66" w:rsidP="00AE6E22">
            <w:pPr>
              <w:rPr>
                <w:rFonts w:cs="Arial"/>
                <w:sz w:val="16"/>
                <w:szCs w:val="16"/>
                <w:lang w:val="es-ES_tradnl" w:eastAsia="es-MX"/>
              </w:rPr>
            </w:pPr>
          </w:p>
        </w:tc>
        <w:tc>
          <w:tcPr>
            <w:tcW w:w="0" w:type="auto"/>
            <w:vMerge/>
            <w:vAlign w:val="center"/>
            <w:hideMark/>
          </w:tcPr>
          <w:p w14:paraId="51B9353E"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93C6B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1.192.091.522</w:t>
            </w:r>
          </w:p>
        </w:tc>
        <w:tc>
          <w:tcPr>
            <w:tcW w:w="0" w:type="auto"/>
            <w:tcMar>
              <w:top w:w="30" w:type="dxa"/>
              <w:left w:w="45" w:type="dxa"/>
              <w:bottom w:w="30" w:type="dxa"/>
              <w:right w:w="45" w:type="dxa"/>
            </w:tcMar>
            <w:vAlign w:val="center"/>
            <w:hideMark/>
          </w:tcPr>
          <w:p w14:paraId="2DEC88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2.513.036.349</w:t>
            </w:r>
          </w:p>
        </w:tc>
        <w:tc>
          <w:tcPr>
            <w:tcW w:w="0" w:type="auto"/>
            <w:tcMar>
              <w:top w:w="30" w:type="dxa"/>
              <w:left w:w="45" w:type="dxa"/>
              <w:bottom w:w="30" w:type="dxa"/>
              <w:right w:w="45" w:type="dxa"/>
            </w:tcMar>
            <w:vAlign w:val="center"/>
            <w:hideMark/>
          </w:tcPr>
          <w:p w14:paraId="663379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2.814.324.630</w:t>
            </w:r>
          </w:p>
        </w:tc>
        <w:tc>
          <w:tcPr>
            <w:tcW w:w="0" w:type="auto"/>
            <w:tcMar>
              <w:top w:w="30" w:type="dxa"/>
              <w:left w:w="45" w:type="dxa"/>
              <w:bottom w:w="30" w:type="dxa"/>
              <w:right w:w="45" w:type="dxa"/>
            </w:tcMar>
            <w:vAlign w:val="center"/>
            <w:hideMark/>
          </w:tcPr>
          <w:p w14:paraId="5FBF9E6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2.854.846.636</w:t>
            </w:r>
          </w:p>
        </w:tc>
        <w:tc>
          <w:tcPr>
            <w:tcW w:w="0" w:type="auto"/>
            <w:vMerge/>
            <w:vAlign w:val="center"/>
            <w:hideMark/>
          </w:tcPr>
          <w:p w14:paraId="552DF0C6" w14:textId="77777777" w:rsidR="00856F66" w:rsidRPr="00E31657" w:rsidRDefault="00856F66" w:rsidP="00AE6E22">
            <w:pPr>
              <w:rPr>
                <w:rFonts w:cs="Arial"/>
                <w:b/>
                <w:bCs/>
                <w:sz w:val="16"/>
                <w:szCs w:val="16"/>
                <w:lang w:val="es-ES_tradnl" w:eastAsia="es-MX"/>
              </w:rPr>
            </w:pPr>
          </w:p>
        </w:tc>
      </w:tr>
      <w:tr w:rsidR="00856F66" w:rsidRPr="00E31657" w14:paraId="7D662997" w14:textId="77777777" w:rsidTr="00F974BB">
        <w:trPr>
          <w:trHeight w:val="315"/>
        </w:trPr>
        <w:tc>
          <w:tcPr>
            <w:tcW w:w="0" w:type="auto"/>
            <w:vMerge w:val="restart"/>
            <w:tcMar>
              <w:top w:w="30" w:type="dxa"/>
              <w:left w:w="45" w:type="dxa"/>
              <w:bottom w:w="30" w:type="dxa"/>
              <w:right w:w="45" w:type="dxa"/>
            </w:tcMar>
            <w:vAlign w:val="center"/>
            <w:hideMark/>
          </w:tcPr>
          <w:p w14:paraId="25CCCA88"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Poner en funcionamiento 1 portafolio de servicios TIC para la transformación digital en entidades distritales que mejore su eficiencia y la toma de decisiones</w:t>
            </w:r>
          </w:p>
        </w:tc>
        <w:tc>
          <w:tcPr>
            <w:tcW w:w="0" w:type="auto"/>
            <w:vMerge w:val="restart"/>
            <w:tcMar>
              <w:top w:w="30" w:type="dxa"/>
              <w:left w:w="45" w:type="dxa"/>
              <w:bottom w:w="30" w:type="dxa"/>
              <w:right w:w="45" w:type="dxa"/>
            </w:tcMar>
            <w:vAlign w:val="center"/>
            <w:hideMark/>
          </w:tcPr>
          <w:p w14:paraId="3C828D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778CE5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735E24A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w:t>
            </w:r>
          </w:p>
        </w:tc>
        <w:tc>
          <w:tcPr>
            <w:tcW w:w="0" w:type="auto"/>
            <w:tcMar>
              <w:top w:w="30" w:type="dxa"/>
              <w:left w:w="45" w:type="dxa"/>
              <w:bottom w:w="30" w:type="dxa"/>
              <w:right w:w="45" w:type="dxa"/>
            </w:tcMar>
            <w:vAlign w:val="center"/>
            <w:hideMark/>
          </w:tcPr>
          <w:p w14:paraId="7DB09C8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w:t>
            </w:r>
          </w:p>
        </w:tc>
        <w:tc>
          <w:tcPr>
            <w:tcW w:w="0" w:type="auto"/>
            <w:tcMar>
              <w:top w:w="30" w:type="dxa"/>
              <w:left w:w="45" w:type="dxa"/>
              <w:bottom w:w="30" w:type="dxa"/>
              <w:right w:w="45" w:type="dxa"/>
            </w:tcMar>
            <w:vAlign w:val="center"/>
            <w:hideMark/>
          </w:tcPr>
          <w:p w14:paraId="7B7248C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75%</w:t>
            </w:r>
          </w:p>
        </w:tc>
        <w:tc>
          <w:tcPr>
            <w:tcW w:w="0" w:type="auto"/>
            <w:tcMar>
              <w:top w:w="30" w:type="dxa"/>
              <w:left w:w="45" w:type="dxa"/>
              <w:bottom w:w="30" w:type="dxa"/>
              <w:right w:w="45" w:type="dxa"/>
            </w:tcMar>
            <w:vAlign w:val="center"/>
            <w:hideMark/>
          </w:tcPr>
          <w:p w14:paraId="6A5FC5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771F0DE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27.311.406.725</w:t>
            </w:r>
          </w:p>
        </w:tc>
      </w:tr>
      <w:tr w:rsidR="00856F66" w:rsidRPr="00E31657" w14:paraId="52BF972A" w14:textId="77777777" w:rsidTr="00F974BB">
        <w:trPr>
          <w:trHeight w:val="315"/>
        </w:trPr>
        <w:tc>
          <w:tcPr>
            <w:tcW w:w="0" w:type="auto"/>
            <w:vMerge/>
            <w:vAlign w:val="center"/>
            <w:hideMark/>
          </w:tcPr>
          <w:p w14:paraId="535686A8" w14:textId="77777777" w:rsidR="00856F66" w:rsidRPr="00E31657" w:rsidRDefault="00856F66" w:rsidP="00AE6E22">
            <w:pPr>
              <w:rPr>
                <w:rFonts w:cs="Arial"/>
                <w:sz w:val="16"/>
                <w:szCs w:val="16"/>
                <w:lang w:val="es-ES_tradnl" w:eastAsia="es-MX"/>
              </w:rPr>
            </w:pPr>
          </w:p>
        </w:tc>
        <w:tc>
          <w:tcPr>
            <w:tcW w:w="0" w:type="auto"/>
            <w:vMerge/>
            <w:vAlign w:val="center"/>
            <w:hideMark/>
          </w:tcPr>
          <w:p w14:paraId="3978BE29" w14:textId="77777777" w:rsidR="00856F66" w:rsidRPr="00E31657" w:rsidRDefault="00856F66" w:rsidP="00AE6E22">
            <w:pPr>
              <w:rPr>
                <w:rFonts w:cs="Arial"/>
                <w:sz w:val="16"/>
                <w:szCs w:val="16"/>
                <w:lang w:val="es-ES_tradnl" w:eastAsia="es-MX"/>
              </w:rPr>
            </w:pPr>
          </w:p>
        </w:tc>
        <w:tc>
          <w:tcPr>
            <w:tcW w:w="0" w:type="auto"/>
            <w:vMerge/>
            <w:vAlign w:val="center"/>
            <w:hideMark/>
          </w:tcPr>
          <w:p w14:paraId="682410A5"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A9F7D6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5.613.396.399</w:t>
            </w:r>
          </w:p>
        </w:tc>
        <w:tc>
          <w:tcPr>
            <w:tcW w:w="0" w:type="auto"/>
            <w:tcMar>
              <w:top w:w="30" w:type="dxa"/>
              <w:left w:w="45" w:type="dxa"/>
              <w:bottom w:w="30" w:type="dxa"/>
              <w:right w:w="45" w:type="dxa"/>
            </w:tcMar>
            <w:vAlign w:val="center"/>
            <w:hideMark/>
          </w:tcPr>
          <w:p w14:paraId="639AD51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6.538.983.652</w:t>
            </w:r>
          </w:p>
        </w:tc>
        <w:tc>
          <w:tcPr>
            <w:tcW w:w="0" w:type="auto"/>
            <w:tcMar>
              <w:top w:w="30" w:type="dxa"/>
              <w:left w:w="45" w:type="dxa"/>
              <w:bottom w:w="30" w:type="dxa"/>
              <w:right w:w="45" w:type="dxa"/>
            </w:tcMar>
            <w:vAlign w:val="center"/>
            <w:hideMark/>
          </w:tcPr>
          <w:p w14:paraId="45EE038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8.113.966.399</w:t>
            </w:r>
          </w:p>
        </w:tc>
        <w:tc>
          <w:tcPr>
            <w:tcW w:w="0" w:type="auto"/>
            <w:tcMar>
              <w:top w:w="30" w:type="dxa"/>
              <w:left w:w="45" w:type="dxa"/>
              <w:bottom w:w="30" w:type="dxa"/>
              <w:right w:w="45" w:type="dxa"/>
            </w:tcMar>
            <w:vAlign w:val="center"/>
            <w:hideMark/>
          </w:tcPr>
          <w:p w14:paraId="570993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7.045.060.274</w:t>
            </w:r>
          </w:p>
        </w:tc>
        <w:tc>
          <w:tcPr>
            <w:tcW w:w="0" w:type="auto"/>
            <w:vMerge/>
            <w:vAlign w:val="center"/>
            <w:hideMark/>
          </w:tcPr>
          <w:p w14:paraId="2579F52D" w14:textId="77777777" w:rsidR="00856F66" w:rsidRPr="00E31657" w:rsidRDefault="00856F66" w:rsidP="00AE6E22">
            <w:pPr>
              <w:rPr>
                <w:rFonts w:cs="Arial"/>
                <w:b/>
                <w:bCs/>
                <w:sz w:val="16"/>
                <w:szCs w:val="16"/>
                <w:lang w:val="es-ES_tradnl" w:eastAsia="es-MX"/>
              </w:rPr>
            </w:pPr>
          </w:p>
        </w:tc>
      </w:tr>
      <w:tr w:rsidR="00856F66" w:rsidRPr="00E31657" w14:paraId="5BBF1883"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1B16FB9B"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Integración social</w:t>
            </w:r>
          </w:p>
        </w:tc>
      </w:tr>
      <w:tr w:rsidR="00856F66" w:rsidRPr="00E31657" w14:paraId="0BF933BA" w14:textId="77777777" w:rsidTr="00F974BB">
        <w:trPr>
          <w:trHeight w:val="315"/>
        </w:trPr>
        <w:tc>
          <w:tcPr>
            <w:tcW w:w="0" w:type="auto"/>
            <w:vMerge w:val="restart"/>
            <w:tcMar>
              <w:top w:w="30" w:type="dxa"/>
              <w:left w:w="45" w:type="dxa"/>
              <w:bottom w:w="30" w:type="dxa"/>
              <w:right w:w="45" w:type="dxa"/>
            </w:tcMar>
            <w:vAlign w:val="center"/>
            <w:hideMark/>
          </w:tcPr>
          <w:p w14:paraId="4D1C4410"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Reducir a 43% la obsolescencia Tecnológica del Sector Integración Social la cual incluye la actualización de los sistemas de información y equipamiento tecnológico</w:t>
            </w:r>
          </w:p>
        </w:tc>
        <w:tc>
          <w:tcPr>
            <w:tcW w:w="0" w:type="auto"/>
            <w:vMerge w:val="restart"/>
            <w:tcMar>
              <w:top w:w="30" w:type="dxa"/>
              <w:left w:w="45" w:type="dxa"/>
              <w:bottom w:w="30" w:type="dxa"/>
              <w:right w:w="45" w:type="dxa"/>
            </w:tcMar>
            <w:vAlign w:val="center"/>
            <w:hideMark/>
          </w:tcPr>
          <w:p w14:paraId="506BF7E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87</w:t>
            </w:r>
            <w:r w:rsidRPr="00E31657">
              <w:rPr>
                <w:rFonts w:cs="Arial"/>
                <w:sz w:val="16"/>
                <w:szCs w:val="16"/>
                <w:lang w:val="es-ES_tradnl" w:eastAsia="es-MX"/>
              </w:rPr>
              <w:br/>
              <w:t>(2023)</w:t>
            </w:r>
          </w:p>
        </w:tc>
        <w:tc>
          <w:tcPr>
            <w:tcW w:w="0" w:type="auto"/>
            <w:vMerge w:val="restart"/>
            <w:tcMar>
              <w:top w:w="30" w:type="dxa"/>
              <w:left w:w="45" w:type="dxa"/>
              <w:bottom w:w="30" w:type="dxa"/>
              <w:right w:w="45" w:type="dxa"/>
            </w:tcMar>
            <w:vAlign w:val="center"/>
            <w:hideMark/>
          </w:tcPr>
          <w:p w14:paraId="5912F7F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Secretaría de Integración Social</w:t>
            </w:r>
          </w:p>
        </w:tc>
        <w:tc>
          <w:tcPr>
            <w:tcW w:w="0" w:type="auto"/>
            <w:tcMar>
              <w:top w:w="30" w:type="dxa"/>
              <w:left w:w="45" w:type="dxa"/>
              <w:bottom w:w="30" w:type="dxa"/>
              <w:right w:w="45" w:type="dxa"/>
            </w:tcMar>
            <w:vAlign w:val="center"/>
            <w:hideMark/>
          </w:tcPr>
          <w:p w14:paraId="47BFB9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65</w:t>
            </w:r>
          </w:p>
        </w:tc>
        <w:tc>
          <w:tcPr>
            <w:tcW w:w="0" w:type="auto"/>
            <w:tcMar>
              <w:top w:w="30" w:type="dxa"/>
              <w:left w:w="45" w:type="dxa"/>
              <w:bottom w:w="30" w:type="dxa"/>
              <w:right w:w="45" w:type="dxa"/>
            </w:tcMar>
            <w:vAlign w:val="center"/>
            <w:hideMark/>
          </w:tcPr>
          <w:p w14:paraId="2146516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59</w:t>
            </w:r>
          </w:p>
        </w:tc>
        <w:tc>
          <w:tcPr>
            <w:tcW w:w="0" w:type="auto"/>
            <w:tcMar>
              <w:top w:w="30" w:type="dxa"/>
              <w:left w:w="45" w:type="dxa"/>
              <w:bottom w:w="30" w:type="dxa"/>
              <w:right w:w="45" w:type="dxa"/>
            </w:tcMar>
            <w:vAlign w:val="center"/>
            <w:hideMark/>
          </w:tcPr>
          <w:p w14:paraId="21AE5F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47</w:t>
            </w:r>
          </w:p>
        </w:tc>
        <w:tc>
          <w:tcPr>
            <w:tcW w:w="0" w:type="auto"/>
            <w:tcMar>
              <w:top w:w="30" w:type="dxa"/>
              <w:left w:w="45" w:type="dxa"/>
              <w:bottom w:w="30" w:type="dxa"/>
              <w:right w:w="45" w:type="dxa"/>
            </w:tcMar>
            <w:vAlign w:val="center"/>
            <w:hideMark/>
          </w:tcPr>
          <w:p w14:paraId="398210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w:t>
            </w:r>
          </w:p>
        </w:tc>
        <w:tc>
          <w:tcPr>
            <w:tcW w:w="0" w:type="auto"/>
            <w:vMerge w:val="restart"/>
            <w:tcMar>
              <w:top w:w="30" w:type="dxa"/>
              <w:left w:w="45" w:type="dxa"/>
              <w:bottom w:w="30" w:type="dxa"/>
              <w:right w:w="45" w:type="dxa"/>
            </w:tcMar>
            <w:vAlign w:val="center"/>
            <w:hideMark/>
          </w:tcPr>
          <w:p w14:paraId="4DB74C5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172.306.889.476</w:t>
            </w:r>
          </w:p>
        </w:tc>
      </w:tr>
      <w:tr w:rsidR="00856F66" w:rsidRPr="00E31657" w14:paraId="4AC50250" w14:textId="77777777" w:rsidTr="00F974BB">
        <w:trPr>
          <w:trHeight w:val="315"/>
        </w:trPr>
        <w:tc>
          <w:tcPr>
            <w:tcW w:w="0" w:type="auto"/>
            <w:vMerge/>
            <w:vAlign w:val="center"/>
            <w:hideMark/>
          </w:tcPr>
          <w:p w14:paraId="724212ED" w14:textId="77777777" w:rsidR="00856F66" w:rsidRPr="00E31657" w:rsidRDefault="00856F66" w:rsidP="00AE6E22">
            <w:pPr>
              <w:rPr>
                <w:rFonts w:cs="Arial"/>
                <w:sz w:val="16"/>
                <w:szCs w:val="16"/>
                <w:lang w:val="es-ES_tradnl" w:eastAsia="es-MX"/>
              </w:rPr>
            </w:pPr>
          </w:p>
        </w:tc>
        <w:tc>
          <w:tcPr>
            <w:tcW w:w="0" w:type="auto"/>
            <w:vMerge/>
            <w:vAlign w:val="center"/>
            <w:hideMark/>
          </w:tcPr>
          <w:p w14:paraId="6BDCFC51" w14:textId="77777777" w:rsidR="00856F66" w:rsidRPr="00E31657" w:rsidRDefault="00856F66" w:rsidP="00AE6E22">
            <w:pPr>
              <w:rPr>
                <w:rFonts w:cs="Arial"/>
                <w:sz w:val="16"/>
                <w:szCs w:val="16"/>
                <w:lang w:val="es-ES_tradnl" w:eastAsia="es-MX"/>
              </w:rPr>
            </w:pPr>
          </w:p>
        </w:tc>
        <w:tc>
          <w:tcPr>
            <w:tcW w:w="0" w:type="auto"/>
            <w:vMerge/>
            <w:vAlign w:val="center"/>
            <w:hideMark/>
          </w:tcPr>
          <w:p w14:paraId="17C890C3"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4663A8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41.408.000.000</w:t>
            </w:r>
          </w:p>
        </w:tc>
        <w:tc>
          <w:tcPr>
            <w:tcW w:w="0" w:type="auto"/>
            <w:tcMar>
              <w:top w:w="30" w:type="dxa"/>
              <w:left w:w="45" w:type="dxa"/>
              <w:bottom w:w="30" w:type="dxa"/>
              <w:right w:w="45" w:type="dxa"/>
            </w:tcMar>
            <w:vAlign w:val="center"/>
            <w:hideMark/>
          </w:tcPr>
          <w:p w14:paraId="60DFC4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42.244.660.194</w:t>
            </w:r>
          </w:p>
        </w:tc>
        <w:tc>
          <w:tcPr>
            <w:tcW w:w="0" w:type="auto"/>
            <w:tcMar>
              <w:top w:w="30" w:type="dxa"/>
              <w:left w:w="45" w:type="dxa"/>
              <w:bottom w:w="30" w:type="dxa"/>
              <w:right w:w="45" w:type="dxa"/>
            </w:tcMar>
            <w:vAlign w:val="center"/>
            <w:hideMark/>
          </w:tcPr>
          <w:p w14:paraId="0376C81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44.046.564.238</w:t>
            </w:r>
          </w:p>
        </w:tc>
        <w:tc>
          <w:tcPr>
            <w:tcW w:w="0" w:type="auto"/>
            <w:tcMar>
              <w:top w:w="30" w:type="dxa"/>
              <w:left w:w="45" w:type="dxa"/>
              <w:bottom w:w="30" w:type="dxa"/>
              <w:right w:w="45" w:type="dxa"/>
            </w:tcMar>
            <w:vAlign w:val="center"/>
            <w:hideMark/>
          </w:tcPr>
          <w:p w14:paraId="7EE72C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44.607.665.044</w:t>
            </w:r>
          </w:p>
        </w:tc>
        <w:tc>
          <w:tcPr>
            <w:tcW w:w="0" w:type="auto"/>
            <w:vMerge/>
            <w:vAlign w:val="center"/>
            <w:hideMark/>
          </w:tcPr>
          <w:p w14:paraId="059BF2FA" w14:textId="77777777" w:rsidR="00856F66" w:rsidRPr="00E31657" w:rsidRDefault="00856F66" w:rsidP="00AE6E22">
            <w:pPr>
              <w:rPr>
                <w:rFonts w:cs="Arial"/>
                <w:b/>
                <w:bCs/>
                <w:sz w:val="16"/>
                <w:szCs w:val="16"/>
                <w:lang w:val="es-ES_tradnl" w:eastAsia="es-MX"/>
              </w:rPr>
            </w:pPr>
          </w:p>
        </w:tc>
      </w:tr>
      <w:tr w:rsidR="00856F66" w:rsidRPr="00E31657" w14:paraId="493E52C9"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02F69853"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6C494A0A" w14:textId="77777777" w:rsidTr="00F974BB">
        <w:trPr>
          <w:trHeight w:val="315"/>
        </w:trPr>
        <w:tc>
          <w:tcPr>
            <w:tcW w:w="0" w:type="auto"/>
            <w:vMerge w:val="restart"/>
            <w:tcMar>
              <w:top w:w="30" w:type="dxa"/>
              <w:left w:w="45" w:type="dxa"/>
              <w:bottom w:w="30" w:type="dxa"/>
              <w:right w:w="45" w:type="dxa"/>
            </w:tcMar>
            <w:vAlign w:val="center"/>
            <w:hideMark/>
          </w:tcPr>
          <w:p w14:paraId="76FAD06B"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Aplicar 5 instrumentos de captura de información para la toma de decisiones</w:t>
            </w:r>
          </w:p>
        </w:tc>
        <w:tc>
          <w:tcPr>
            <w:tcW w:w="0" w:type="auto"/>
            <w:vMerge w:val="restart"/>
            <w:tcMar>
              <w:top w:w="30" w:type="dxa"/>
              <w:left w:w="45" w:type="dxa"/>
              <w:bottom w:w="30" w:type="dxa"/>
              <w:right w:w="45" w:type="dxa"/>
            </w:tcMar>
            <w:vAlign w:val="center"/>
            <w:hideMark/>
          </w:tcPr>
          <w:p w14:paraId="0F1AA3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 versiones realizadas</w:t>
            </w:r>
            <w:r w:rsidRPr="00E31657">
              <w:rPr>
                <w:rFonts w:cs="Arial"/>
                <w:sz w:val="16"/>
                <w:szCs w:val="16"/>
                <w:lang w:val="es-ES_tradnl" w:eastAsia="es-MX"/>
              </w:rPr>
              <w:br/>
              <w:t>(2011 2014 2017 2021)</w:t>
            </w:r>
          </w:p>
        </w:tc>
        <w:tc>
          <w:tcPr>
            <w:tcW w:w="0" w:type="auto"/>
            <w:vMerge w:val="restart"/>
            <w:tcMar>
              <w:top w:w="30" w:type="dxa"/>
              <w:left w:w="45" w:type="dxa"/>
              <w:bottom w:w="30" w:type="dxa"/>
              <w:right w:w="45" w:type="dxa"/>
            </w:tcMar>
            <w:vAlign w:val="center"/>
            <w:hideMark/>
          </w:tcPr>
          <w:p w14:paraId="0BF34E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de Información y Estadísticas SDP.</w:t>
            </w:r>
          </w:p>
        </w:tc>
        <w:tc>
          <w:tcPr>
            <w:tcW w:w="0" w:type="auto"/>
            <w:tcMar>
              <w:top w:w="30" w:type="dxa"/>
              <w:left w:w="45" w:type="dxa"/>
              <w:bottom w:w="30" w:type="dxa"/>
              <w:right w:w="45" w:type="dxa"/>
            </w:tcMar>
            <w:vAlign w:val="center"/>
            <w:hideMark/>
          </w:tcPr>
          <w:p w14:paraId="100E5A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w:t>
            </w:r>
          </w:p>
        </w:tc>
        <w:tc>
          <w:tcPr>
            <w:tcW w:w="0" w:type="auto"/>
            <w:tcMar>
              <w:top w:w="30" w:type="dxa"/>
              <w:left w:w="45" w:type="dxa"/>
              <w:bottom w:w="30" w:type="dxa"/>
              <w:right w:w="45" w:type="dxa"/>
            </w:tcMar>
            <w:vAlign w:val="center"/>
            <w:hideMark/>
          </w:tcPr>
          <w:p w14:paraId="11BD302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w:t>
            </w:r>
          </w:p>
        </w:tc>
        <w:tc>
          <w:tcPr>
            <w:tcW w:w="0" w:type="auto"/>
            <w:tcMar>
              <w:top w:w="30" w:type="dxa"/>
              <w:left w:w="45" w:type="dxa"/>
              <w:bottom w:w="30" w:type="dxa"/>
              <w:right w:w="45" w:type="dxa"/>
            </w:tcMar>
            <w:vAlign w:val="center"/>
            <w:hideMark/>
          </w:tcPr>
          <w:p w14:paraId="21EC1F6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w:t>
            </w:r>
          </w:p>
        </w:tc>
        <w:tc>
          <w:tcPr>
            <w:tcW w:w="0" w:type="auto"/>
            <w:tcMar>
              <w:top w:w="30" w:type="dxa"/>
              <w:left w:w="45" w:type="dxa"/>
              <w:bottom w:w="30" w:type="dxa"/>
              <w:right w:w="45" w:type="dxa"/>
            </w:tcMar>
            <w:vAlign w:val="center"/>
            <w:hideMark/>
          </w:tcPr>
          <w:p w14:paraId="7A7E96B3" w14:textId="15CFA008" w:rsidR="00856F66" w:rsidRPr="00E31657" w:rsidRDefault="00BA3501" w:rsidP="00AE6E22">
            <w:pPr>
              <w:jc w:val="center"/>
              <w:rPr>
                <w:rFonts w:cs="Arial"/>
                <w:sz w:val="16"/>
                <w:szCs w:val="16"/>
                <w:lang w:val="es-ES_tradnl" w:eastAsia="es-MX"/>
              </w:rPr>
            </w:pPr>
            <w:r>
              <w:rPr>
                <w:rFonts w:cs="Arial"/>
                <w:sz w:val="16"/>
                <w:szCs w:val="16"/>
                <w:lang w:val="es-ES_tradnl" w:eastAsia="es-MX"/>
              </w:rPr>
              <w:t>1</w:t>
            </w:r>
          </w:p>
        </w:tc>
        <w:tc>
          <w:tcPr>
            <w:tcW w:w="0" w:type="auto"/>
            <w:vMerge w:val="restart"/>
            <w:tcMar>
              <w:top w:w="30" w:type="dxa"/>
              <w:left w:w="45" w:type="dxa"/>
              <w:bottom w:w="30" w:type="dxa"/>
              <w:right w:w="45" w:type="dxa"/>
            </w:tcMar>
            <w:vAlign w:val="center"/>
            <w:hideMark/>
          </w:tcPr>
          <w:p w14:paraId="656845C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44.493.421.723</w:t>
            </w:r>
          </w:p>
        </w:tc>
      </w:tr>
      <w:tr w:rsidR="00856F66" w:rsidRPr="00E31657" w14:paraId="6282E3B4" w14:textId="77777777" w:rsidTr="00F974BB">
        <w:trPr>
          <w:trHeight w:val="315"/>
        </w:trPr>
        <w:tc>
          <w:tcPr>
            <w:tcW w:w="0" w:type="auto"/>
            <w:vMerge/>
            <w:vAlign w:val="center"/>
            <w:hideMark/>
          </w:tcPr>
          <w:p w14:paraId="52AA59AB" w14:textId="77777777" w:rsidR="00856F66" w:rsidRPr="00E31657" w:rsidRDefault="00856F66" w:rsidP="00B77EE8">
            <w:pPr>
              <w:jc w:val="right"/>
              <w:rPr>
                <w:rFonts w:cs="Arial"/>
                <w:sz w:val="16"/>
                <w:szCs w:val="16"/>
                <w:lang w:val="es-ES_tradnl" w:eastAsia="es-MX"/>
              </w:rPr>
            </w:pPr>
          </w:p>
        </w:tc>
        <w:tc>
          <w:tcPr>
            <w:tcW w:w="0" w:type="auto"/>
            <w:vMerge/>
            <w:vAlign w:val="center"/>
            <w:hideMark/>
          </w:tcPr>
          <w:p w14:paraId="6C3ECEA8" w14:textId="77777777" w:rsidR="00856F66" w:rsidRPr="00E31657" w:rsidRDefault="00856F66" w:rsidP="00AE6E22">
            <w:pPr>
              <w:rPr>
                <w:rFonts w:cs="Arial"/>
                <w:sz w:val="16"/>
                <w:szCs w:val="16"/>
                <w:lang w:val="es-ES_tradnl" w:eastAsia="es-MX"/>
              </w:rPr>
            </w:pPr>
          </w:p>
        </w:tc>
        <w:tc>
          <w:tcPr>
            <w:tcW w:w="0" w:type="auto"/>
            <w:vMerge/>
            <w:vAlign w:val="center"/>
            <w:hideMark/>
          </w:tcPr>
          <w:p w14:paraId="408B058E"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3061029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9.057.000.000</w:t>
            </w:r>
          </w:p>
        </w:tc>
        <w:tc>
          <w:tcPr>
            <w:tcW w:w="0" w:type="auto"/>
            <w:tcMar>
              <w:top w:w="30" w:type="dxa"/>
              <w:left w:w="45" w:type="dxa"/>
              <w:bottom w:w="30" w:type="dxa"/>
              <w:right w:w="45" w:type="dxa"/>
            </w:tcMar>
            <w:vAlign w:val="center"/>
            <w:hideMark/>
          </w:tcPr>
          <w:p w14:paraId="14ADF55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12.788.349.515</w:t>
            </w:r>
          </w:p>
        </w:tc>
        <w:tc>
          <w:tcPr>
            <w:tcW w:w="0" w:type="auto"/>
            <w:tcMar>
              <w:top w:w="30" w:type="dxa"/>
              <w:left w:w="45" w:type="dxa"/>
              <w:bottom w:w="30" w:type="dxa"/>
              <w:right w:w="45" w:type="dxa"/>
            </w:tcMar>
            <w:vAlign w:val="center"/>
            <w:hideMark/>
          </w:tcPr>
          <w:p w14:paraId="70A9B5D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11.567.536.997</w:t>
            </w:r>
          </w:p>
        </w:tc>
        <w:tc>
          <w:tcPr>
            <w:tcW w:w="0" w:type="auto"/>
            <w:tcMar>
              <w:top w:w="30" w:type="dxa"/>
              <w:left w:w="45" w:type="dxa"/>
              <w:bottom w:w="30" w:type="dxa"/>
              <w:right w:w="45" w:type="dxa"/>
            </w:tcMar>
            <w:vAlign w:val="center"/>
            <w:hideMark/>
          </w:tcPr>
          <w:p w14:paraId="39B1CB8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11.080.535.211</w:t>
            </w:r>
          </w:p>
        </w:tc>
        <w:tc>
          <w:tcPr>
            <w:tcW w:w="0" w:type="auto"/>
            <w:vMerge/>
            <w:vAlign w:val="center"/>
            <w:hideMark/>
          </w:tcPr>
          <w:p w14:paraId="74D9CC63" w14:textId="77777777" w:rsidR="00856F66" w:rsidRPr="00E31657" w:rsidRDefault="00856F66" w:rsidP="00AE6E22">
            <w:pPr>
              <w:rPr>
                <w:rFonts w:cs="Arial"/>
                <w:b/>
                <w:bCs/>
                <w:sz w:val="16"/>
                <w:szCs w:val="16"/>
                <w:lang w:val="es-ES_tradnl" w:eastAsia="es-MX"/>
              </w:rPr>
            </w:pPr>
          </w:p>
        </w:tc>
      </w:tr>
      <w:tr w:rsidR="00856F66" w:rsidRPr="00E31657" w14:paraId="4AF5BF83" w14:textId="77777777" w:rsidTr="00F974BB">
        <w:trPr>
          <w:trHeight w:val="315"/>
        </w:trPr>
        <w:tc>
          <w:tcPr>
            <w:tcW w:w="0" w:type="auto"/>
            <w:vMerge w:val="restart"/>
            <w:tcMar>
              <w:top w:w="30" w:type="dxa"/>
              <w:left w:w="45" w:type="dxa"/>
              <w:bottom w:w="30" w:type="dxa"/>
              <w:right w:w="45" w:type="dxa"/>
            </w:tcMar>
            <w:vAlign w:val="center"/>
            <w:hideMark/>
          </w:tcPr>
          <w:p w14:paraId="52666667"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Consolidar el 100% de la primera fase del sistema de información de planeación distrital.</w:t>
            </w:r>
          </w:p>
        </w:tc>
        <w:tc>
          <w:tcPr>
            <w:tcW w:w="0" w:type="auto"/>
            <w:vMerge w:val="restart"/>
            <w:tcMar>
              <w:top w:w="30" w:type="dxa"/>
              <w:left w:w="45" w:type="dxa"/>
              <w:bottom w:w="30" w:type="dxa"/>
              <w:right w:w="45" w:type="dxa"/>
            </w:tcMar>
            <w:vAlign w:val="center"/>
            <w:hideMark/>
          </w:tcPr>
          <w:p w14:paraId="3D735A7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0D62EB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Subsecretaría de Información SDP.</w:t>
            </w:r>
          </w:p>
        </w:tc>
        <w:tc>
          <w:tcPr>
            <w:tcW w:w="0" w:type="auto"/>
            <w:tcMar>
              <w:top w:w="30" w:type="dxa"/>
              <w:left w:w="45" w:type="dxa"/>
              <w:bottom w:w="30" w:type="dxa"/>
              <w:right w:w="45" w:type="dxa"/>
            </w:tcMar>
            <w:vAlign w:val="center"/>
            <w:hideMark/>
          </w:tcPr>
          <w:p w14:paraId="26E192F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w:t>
            </w:r>
          </w:p>
        </w:tc>
        <w:tc>
          <w:tcPr>
            <w:tcW w:w="0" w:type="auto"/>
            <w:tcMar>
              <w:top w:w="30" w:type="dxa"/>
              <w:left w:w="45" w:type="dxa"/>
              <w:bottom w:w="30" w:type="dxa"/>
              <w:right w:w="45" w:type="dxa"/>
            </w:tcMar>
            <w:vAlign w:val="center"/>
            <w:hideMark/>
          </w:tcPr>
          <w:p w14:paraId="36D0F89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0" w:type="auto"/>
            <w:tcMar>
              <w:top w:w="30" w:type="dxa"/>
              <w:left w:w="45" w:type="dxa"/>
              <w:bottom w:w="30" w:type="dxa"/>
              <w:right w:w="45" w:type="dxa"/>
            </w:tcMar>
            <w:vAlign w:val="center"/>
            <w:hideMark/>
          </w:tcPr>
          <w:p w14:paraId="09DE467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0" w:type="auto"/>
            <w:tcMar>
              <w:top w:w="30" w:type="dxa"/>
              <w:left w:w="45" w:type="dxa"/>
              <w:bottom w:w="30" w:type="dxa"/>
              <w:right w:w="45" w:type="dxa"/>
            </w:tcMar>
            <w:vAlign w:val="center"/>
            <w:hideMark/>
          </w:tcPr>
          <w:p w14:paraId="2F4172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w:t>
            </w:r>
          </w:p>
        </w:tc>
        <w:tc>
          <w:tcPr>
            <w:tcW w:w="0" w:type="auto"/>
            <w:vMerge w:val="restart"/>
            <w:tcMar>
              <w:top w:w="30" w:type="dxa"/>
              <w:left w:w="45" w:type="dxa"/>
              <w:bottom w:w="30" w:type="dxa"/>
              <w:right w:w="45" w:type="dxa"/>
            </w:tcMar>
            <w:vAlign w:val="center"/>
            <w:hideMark/>
          </w:tcPr>
          <w:p w14:paraId="7CC2745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7.065.688.898</w:t>
            </w:r>
          </w:p>
        </w:tc>
      </w:tr>
      <w:tr w:rsidR="00856F66" w:rsidRPr="00E31657" w14:paraId="22BC9887" w14:textId="77777777" w:rsidTr="00F974BB">
        <w:trPr>
          <w:trHeight w:val="315"/>
        </w:trPr>
        <w:tc>
          <w:tcPr>
            <w:tcW w:w="0" w:type="auto"/>
            <w:vMerge/>
            <w:vAlign w:val="center"/>
            <w:hideMark/>
          </w:tcPr>
          <w:p w14:paraId="50C0EE50" w14:textId="77777777" w:rsidR="00856F66" w:rsidRPr="00E31657" w:rsidRDefault="00856F66" w:rsidP="00B77EE8">
            <w:pPr>
              <w:jc w:val="right"/>
              <w:rPr>
                <w:rFonts w:cs="Arial"/>
                <w:sz w:val="16"/>
                <w:szCs w:val="16"/>
                <w:lang w:val="es-ES_tradnl" w:eastAsia="es-MX"/>
              </w:rPr>
            </w:pPr>
          </w:p>
        </w:tc>
        <w:tc>
          <w:tcPr>
            <w:tcW w:w="0" w:type="auto"/>
            <w:vMerge/>
            <w:vAlign w:val="center"/>
            <w:hideMark/>
          </w:tcPr>
          <w:p w14:paraId="14835838" w14:textId="77777777" w:rsidR="00856F66" w:rsidRPr="00E31657" w:rsidRDefault="00856F66" w:rsidP="00AE6E22">
            <w:pPr>
              <w:rPr>
                <w:rFonts w:cs="Arial"/>
                <w:sz w:val="16"/>
                <w:szCs w:val="16"/>
                <w:lang w:val="es-ES_tradnl" w:eastAsia="es-MX"/>
              </w:rPr>
            </w:pPr>
          </w:p>
        </w:tc>
        <w:tc>
          <w:tcPr>
            <w:tcW w:w="0" w:type="auto"/>
            <w:vMerge/>
            <w:vAlign w:val="center"/>
            <w:hideMark/>
          </w:tcPr>
          <w:p w14:paraId="0DDC1811"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F93EE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1.039.374.000</w:t>
            </w:r>
          </w:p>
        </w:tc>
        <w:tc>
          <w:tcPr>
            <w:tcW w:w="0" w:type="auto"/>
            <w:tcMar>
              <w:top w:w="30" w:type="dxa"/>
              <w:left w:w="45" w:type="dxa"/>
              <w:bottom w:w="30" w:type="dxa"/>
              <w:right w:w="45" w:type="dxa"/>
            </w:tcMar>
            <w:vAlign w:val="center"/>
            <w:hideMark/>
          </w:tcPr>
          <w:p w14:paraId="793A82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2.165.048.544</w:t>
            </w:r>
          </w:p>
        </w:tc>
        <w:tc>
          <w:tcPr>
            <w:tcW w:w="0" w:type="auto"/>
            <w:tcMar>
              <w:top w:w="30" w:type="dxa"/>
              <w:left w:w="45" w:type="dxa"/>
              <w:bottom w:w="30" w:type="dxa"/>
              <w:right w:w="45" w:type="dxa"/>
            </w:tcMar>
            <w:vAlign w:val="center"/>
            <w:hideMark/>
          </w:tcPr>
          <w:p w14:paraId="54B6110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2.391.365.821</w:t>
            </w:r>
          </w:p>
        </w:tc>
        <w:tc>
          <w:tcPr>
            <w:tcW w:w="0" w:type="auto"/>
            <w:tcMar>
              <w:top w:w="30" w:type="dxa"/>
              <w:left w:w="45" w:type="dxa"/>
              <w:bottom w:w="30" w:type="dxa"/>
              <w:right w:w="45" w:type="dxa"/>
            </w:tcMar>
            <w:vAlign w:val="center"/>
            <w:hideMark/>
          </w:tcPr>
          <w:p w14:paraId="67B741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1.469.900.533</w:t>
            </w:r>
          </w:p>
        </w:tc>
        <w:tc>
          <w:tcPr>
            <w:tcW w:w="0" w:type="auto"/>
            <w:vMerge/>
            <w:vAlign w:val="center"/>
            <w:hideMark/>
          </w:tcPr>
          <w:p w14:paraId="7C6751DD" w14:textId="77777777" w:rsidR="00856F66" w:rsidRPr="00E31657" w:rsidRDefault="00856F66" w:rsidP="00AE6E22">
            <w:pPr>
              <w:rPr>
                <w:rFonts w:cs="Arial"/>
                <w:b/>
                <w:bCs/>
                <w:sz w:val="16"/>
                <w:szCs w:val="16"/>
                <w:lang w:val="es-ES_tradnl" w:eastAsia="es-MX"/>
              </w:rPr>
            </w:pPr>
          </w:p>
        </w:tc>
      </w:tr>
      <w:tr w:rsidR="00856F66" w:rsidRPr="00E31657" w14:paraId="7FE1893A" w14:textId="77777777" w:rsidTr="00F974BB">
        <w:trPr>
          <w:trHeight w:val="315"/>
        </w:trPr>
        <w:tc>
          <w:tcPr>
            <w:tcW w:w="0" w:type="auto"/>
            <w:vMerge w:val="restart"/>
            <w:tcMar>
              <w:top w:w="30" w:type="dxa"/>
              <w:left w:w="45" w:type="dxa"/>
              <w:bottom w:w="30" w:type="dxa"/>
              <w:right w:w="45" w:type="dxa"/>
            </w:tcMar>
            <w:vAlign w:val="center"/>
            <w:hideMark/>
          </w:tcPr>
          <w:p w14:paraId="383435A8"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el 60% del Plan Estadístico Distrital 2025-2029.</w:t>
            </w:r>
          </w:p>
        </w:tc>
        <w:tc>
          <w:tcPr>
            <w:tcW w:w="0" w:type="auto"/>
            <w:vMerge w:val="restart"/>
            <w:tcMar>
              <w:top w:w="30" w:type="dxa"/>
              <w:left w:w="45" w:type="dxa"/>
              <w:bottom w:w="30" w:type="dxa"/>
              <w:right w:w="45" w:type="dxa"/>
            </w:tcMar>
            <w:vAlign w:val="center"/>
            <w:hideMark/>
          </w:tcPr>
          <w:p w14:paraId="45FB33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51018A3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de Información y Estadísticas SDP.</w:t>
            </w:r>
          </w:p>
        </w:tc>
        <w:tc>
          <w:tcPr>
            <w:tcW w:w="0" w:type="auto"/>
            <w:tcMar>
              <w:top w:w="30" w:type="dxa"/>
              <w:left w:w="45" w:type="dxa"/>
              <w:bottom w:w="30" w:type="dxa"/>
              <w:right w:w="45" w:type="dxa"/>
            </w:tcMar>
            <w:vAlign w:val="center"/>
            <w:hideMark/>
          </w:tcPr>
          <w:p w14:paraId="43202D2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0" w:type="auto"/>
            <w:tcMar>
              <w:top w:w="30" w:type="dxa"/>
              <w:left w:w="45" w:type="dxa"/>
              <w:bottom w:w="30" w:type="dxa"/>
              <w:right w:w="45" w:type="dxa"/>
            </w:tcMar>
            <w:vAlign w:val="center"/>
            <w:hideMark/>
          </w:tcPr>
          <w:p w14:paraId="447134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0" w:type="auto"/>
            <w:tcMar>
              <w:top w:w="30" w:type="dxa"/>
              <w:left w:w="45" w:type="dxa"/>
              <w:bottom w:w="30" w:type="dxa"/>
              <w:right w:w="45" w:type="dxa"/>
            </w:tcMar>
            <w:vAlign w:val="center"/>
            <w:hideMark/>
          </w:tcPr>
          <w:p w14:paraId="460415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0" w:type="auto"/>
            <w:tcMar>
              <w:top w:w="30" w:type="dxa"/>
              <w:left w:w="45" w:type="dxa"/>
              <w:bottom w:w="30" w:type="dxa"/>
              <w:right w:w="45" w:type="dxa"/>
            </w:tcMar>
            <w:vAlign w:val="center"/>
            <w:hideMark/>
          </w:tcPr>
          <w:p w14:paraId="25AF7A7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0" w:type="auto"/>
            <w:vMerge w:val="restart"/>
            <w:tcMar>
              <w:top w:w="30" w:type="dxa"/>
              <w:left w:w="45" w:type="dxa"/>
              <w:bottom w:w="30" w:type="dxa"/>
              <w:right w:w="45" w:type="dxa"/>
            </w:tcMar>
            <w:vAlign w:val="center"/>
            <w:hideMark/>
          </w:tcPr>
          <w:p w14:paraId="57F8D3C8"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2.256.309.993</w:t>
            </w:r>
          </w:p>
        </w:tc>
      </w:tr>
      <w:tr w:rsidR="00856F66" w:rsidRPr="00E31657" w14:paraId="085CCB87" w14:textId="77777777" w:rsidTr="00F974BB">
        <w:trPr>
          <w:trHeight w:val="315"/>
        </w:trPr>
        <w:tc>
          <w:tcPr>
            <w:tcW w:w="0" w:type="auto"/>
            <w:vMerge/>
            <w:vAlign w:val="center"/>
            <w:hideMark/>
          </w:tcPr>
          <w:p w14:paraId="0A5A73A7" w14:textId="77777777" w:rsidR="00856F66" w:rsidRPr="00E31657" w:rsidRDefault="00856F66" w:rsidP="00AE6E22">
            <w:pPr>
              <w:rPr>
                <w:rFonts w:cs="Arial"/>
                <w:sz w:val="16"/>
                <w:szCs w:val="16"/>
                <w:lang w:val="es-ES_tradnl" w:eastAsia="es-MX"/>
              </w:rPr>
            </w:pPr>
          </w:p>
        </w:tc>
        <w:tc>
          <w:tcPr>
            <w:tcW w:w="0" w:type="auto"/>
            <w:vMerge/>
            <w:vAlign w:val="center"/>
            <w:hideMark/>
          </w:tcPr>
          <w:p w14:paraId="4B1391A1" w14:textId="77777777" w:rsidR="00856F66" w:rsidRPr="00E31657" w:rsidRDefault="00856F66" w:rsidP="00AE6E22">
            <w:pPr>
              <w:rPr>
                <w:rFonts w:cs="Arial"/>
                <w:sz w:val="16"/>
                <w:szCs w:val="16"/>
                <w:lang w:val="es-ES_tradnl" w:eastAsia="es-MX"/>
              </w:rPr>
            </w:pPr>
          </w:p>
        </w:tc>
        <w:tc>
          <w:tcPr>
            <w:tcW w:w="0" w:type="auto"/>
            <w:vMerge/>
            <w:vAlign w:val="center"/>
            <w:hideMark/>
          </w:tcPr>
          <w:p w14:paraId="48C69DA9"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069B43E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550.000.000</w:t>
            </w:r>
          </w:p>
        </w:tc>
        <w:tc>
          <w:tcPr>
            <w:tcW w:w="0" w:type="auto"/>
            <w:tcMar>
              <w:top w:w="30" w:type="dxa"/>
              <w:left w:w="45" w:type="dxa"/>
              <w:bottom w:w="30" w:type="dxa"/>
              <w:right w:w="45" w:type="dxa"/>
            </w:tcMar>
            <w:vAlign w:val="center"/>
            <w:hideMark/>
          </w:tcPr>
          <w:p w14:paraId="0D8795E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572.815.534</w:t>
            </w:r>
          </w:p>
        </w:tc>
        <w:tc>
          <w:tcPr>
            <w:tcW w:w="0" w:type="auto"/>
            <w:tcMar>
              <w:top w:w="30" w:type="dxa"/>
              <w:left w:w="45" w:type="dxa"/>
              <w:bottom w:w="30" w:type="dxa"/>
              <w:right w:w="45" w:type="dxa"/>
            </w:tcMar>
            <w:vAlign w:val="center"/>
            <w:hideMark/>
          </w:tcPr>
          <w:p w14:paraId="258FB6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584.409.464</w:t>
            </w:r>
          </w:p>
        </w:tc>
        <w:tc>
          <w:tcPr>
            <w:tcW w:w="0" w:type="auto"/>
            <w:tcMar>
              <w:top w:w="30" w:type="dxa"/>
              <w:left w:w="45" w:type="dxa"/>
              <w:bottom w:w="30" w:type="dxa"/>
              <w:right w:w="45" w:type="dxa"/>
            </w:tcMar>
            <w:vAlign w:val="center"/>
            <w:hideMark/>
          </w:tcPr>
          <w:p w14:paraId="15492FA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549.084.996</w:t>
            </w:r>
          </w:p>
        </w:tc>
        <w:tc>
          <w:tcPr>
            <w:tcW w:w="0" w:type="auto"/>
            <w:vMerge/>
            <w:vAlign w:val="center"/>
            <w:hideMark/>
          </w:tcPr>
          <w:p w14:paraId="33B6D6D7" w14:textId="77777777" w:rsidR="00856F66" w:rsidRPr="00E31657" w:rsidRDefault="00856F66" w:rsidP="00AE6E22">
            <w:pPr>
              <w:rPr>
                <w:rFonts w:cs="Arial"/>
                <w:b/>
                <w:bCs/>
                <w:sz w:val="16"/>
                <w:szCs w:val="16"/>
                <w:lang w:val="es-ES_tradnl" w:eastAsia="es-MX"/>
              </w:rPr>
            </w:pPr>
          </w:p>
        </w:tc>
      </w:tr>
      <w:tr w:rsidR="00856F66" w:rsidRPr="00E31657" w14:paraId="618D1455"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6AF8B037"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Salud</w:t>
            </w:r>
          </w:p>
        </w:tc>
      </w:tr>
      <w:tr w:rsidR="00856F66" w:rsidRPr="00E31657" w14:paraId="5C6A744A" w14:textId="77777777" w:rsidTr="00F974BB">
        <w:trPr>
          <w:trHeight w:val="315"/>
        </w:trPr>
        <w:tc>
          <w:tcPr>
            <w:tcW w:w="0" w:type="auto"/>
            <w:vMerge w:val="restart"/>
            <w:tcMar>
              <w:top w:w="30" w:type="dxa"/>
              <w:left w:w="45" w:type="dxa"/>
              <w:bottom w:w="30" w:type="dxa"/>
              <w:right w:w="45" w:type="dxa"/>
            </w:tcMar>
            <w:vAlign w:val="center"/>
            <w:hideMark/>
          </w:tcPr>
          <w:p w14:paraId="7C51DF83"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la estrategia de arquitectura empresarial y seguridad digital para fortalecer las capacidades institucionales y tecnológicas de información de la SDS</w:t>
            </w:r>
          </w:p>
        </w:tc>
        <w:tc>
          <w:tcPr>
            <w:tcW w:w="0" w:type="auto"/>
            <w:vMerge w:val="restart"/>
            <w:tcMar>
              <w:top w:w="30" w:type="dxa"/>
              <w:left w:w="45" w:type="dxa"/>
              <w:bottom w:w="30" w:type="dxa"/>
              <w:right w:w="45" w:type="dxa"/>
            </w:tcMar>
            <w:vAlign w:val="center"/>
            <w:hideMark/>
          </w:tcPr>
          <w:p w14:paraId="6BF88E3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Mar>
              <w:top w:w="30" w:type="dxa"/>
              <w:left w:w="45" w:type="dxa"/>
              <w:bottom w:w="30" w:type="dxa"/>
              <w:right w:w="45" w:type="dxa"/>
            </w:tcMar>
            <w:vAlign w:val="center"/>
            <w:hideMark/>
          </w:tcPr>
          <w:p w14:paraId="3975987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0" w:type="auto"/>
            <w:tcMar>
              <w:top w:w="30" w:type="dxa"/>
              <w:left w:w="45" w:type="dxa"/>
              <w:bottom w:w="30" w:type="dxa"/>
              <w:right w:w="45" w:type="dxa"/>
            </w:tcMar>
            <w:vAlign w:val="center"/>
            <w:hideMark/>
          </w:tcPr>
          <w:p w14:paraId="6F680DF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5ED72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014255D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Mar>
              <w:top w:w="30" w:type="dxa"/>
              <w:left w:w="45" w:type="dxa"/>
              <w:bottom w:w="30" w:type="dxa"/>
              <w:right w:w="45" w:type="dxa"/>
            </w:tcMar>
            <w:vAlign w:val="center"/>
            <w:hideMark/>
          </w:tcPr>
          <w:p w14:paraId="68E2AC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5B0B528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141.597.812.873</w:t>
            </w:r>
          </w:p>
        </w:tc>
      </w:tr>
      <w:tr w:rsidR="00856F66" w:rsidRPr="00E31657" w14:paraId="0277C54E" w14:textId="77777777" w:rsidTr="00985E3D">
        <w:trPr>
          <w:trHeight w:val="1702"/>
        </w:trPr>
        <w:tc>
          <w:tcPr>
            <w:tcW w:w="0" w:type="auto"/>
            <w:vMerge/>
            <w:vAlign w:val="center"/>
            <w:hideMark/>
          </w:tcPr>
          <w:p w14:paraId="7AFC13E5" w14:textId="77777777" w:rsidR="00856F66" w:rsidRPr="00E31657" w:rsidRDefault="00856F66" w:rsidP="00AE6E22">
            <w:pPr>
              <w:rPr>
                <w:rFonts w:cs="Arial"/>
                <w:sz w:val="16"/>
                <w:szCs w:val="16"/>
                <w:lang w:val="es-ES_tradnl" w:eastAsia="es-MX"/>
              </w:rPr>
            </w:pPr>
          </w:p>
        </w:tc>
        <w:tc>
          <w:tcPr>
            <w:tcW w:w="0" w:type="auto"/>
            <w:vMerge/>
            <w:vAlign w:val="center"/>
            <w:hideMark/>
          </w:tcPr>
          <w:p w14:paraId="3394304D" w14:textId="77777777" w:rsidR="00856F66" w:rsidRPr="00E31657" w:rsidRDefault="00856F66" w:rsidP="00AE6E22">
            <w:pPr>
              <w:rPr>
                <w:rFonts w:cs="Arial"/>
                <w:sz w:val="16"/>
                <w:szCs w:val="16"/>
                <w:lang w:val="es-ES_tradnl" w:eastAsia="es-MX"/>
              </w:rPr>
            </w:pPr>
          </w:p>
        </w:tc>
        <w:tc>
          <w:tcPr>
            <w:tcW w:w="0" w:type="auto"/>
            <w:vMerge/>
            <w:vAlign w:val="center"/>
            <w:hideMark/>
          </w:tcPr>
          <w:p w14:paraId="570DDA67"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98098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24.434.089.000</w:t>
            </w:r>
          </w:p>
        </w:tc>
        <w:tc>
          <w:tcPr>
            <w:tcW w:w="0" w:type="auto"/>
            <w:tcMar>
              <w:top w:w="30" w:type="dxa"/>
              <w:left w:w="45" w:type="dxa"/>
              <w:bottom w:w="30" w:type="dxa"/>
              <w:right w:w="45" w:type="dxa"/>
            </w:tcMar>
            <w:vAlign w:val="center"/>
            <w:hideMark/>
          </w:tcPr>
          <w:p w14:paraId="6574D19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50.157.338.778</w:t>
            </w:r>
          </w:p>
        </w:tc>
        <w:tc>
          <w:tcPr>
            <w:tcW w:w="0" w:type="auto"/>
            <w:tcMar>
              <w:top w:w="30" w:type="dxa"/>
              <w:left w:w="45" w:type="dxa"/>
              <w:bottom w:w="30" w:type="dxa"/>
              <w:right w:w="45" w:type="dxa"/>
            </w:tcMar>
            <w:vAlign w:val="center"/>
            <w:hideMark/>
          </w:tcPr>
          <w:p w14:paraId="4D98708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37.923.746.625</w:t>
            </w:r>
          </w:p>
        </w:tc>
        <w:tc>
          <w:tcPr>
            <w:tcW w:w="0" w:type="auto"/>
            <w:tcMar>
              <w:top w:w="30" w:type="dxa"/>
              <w:left w:w="45" w:type="dxa"/>
              <w:bottom w:w="30" w:type="dxa"/>
              <w:right w:w="45" w:type="dxa"/>
            </w:tcMar>
            <w:vAlign w:val="center"/>
            <w:hideMark/>
          </w:tcPr>
          <w:p w14:paraId="6C20F3F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29.082.638.471</w:t>
            </w:r>
          </w:p>
        </w:tc>
        <w:tc>
          <w:tcPr>
            <w:tcW w:w="0" w:type="auto"/>
            <w:vMerge/>
            <w:vAlign w:val="center"/>
            <w:hideMark/>
          </w:tcPr>
          <w:p w14:paraId="473CCC55" w14:textId="77777777" w:rsidR="00856F66" w:rsidRPr="00E31657" w:rsidRDefault="00856F66" w:rsidP="00AE6E22">
            <w:pPr>
              <w:rPr>
                <w:rFonts w:cs="Arial"/>
                <w:b/>
                <w:bCs/>
                <w:sz w:val="16"/>
                <w:szCs w:val="16"/>
                <w:lang w:val="es-ES_tradnl" w:eastAsia="es-MX"/>
              </w:rPr>
            </w:pPr>
          </w:p>
        </w:tc>
      </w:tr>
      <w:tr w:rsidR="00856F66" w:rsidRPr="00E31657" w14:paraId="68404C3A" w14:textId="77777777" w:rsidTr="00F974BB">
        <w:trPr>
          <w:trHeight w:val="315"/>
        </w:trPr>
        <w:tc>
          <w:tcPr>
            <w:tcW w:w="0" w:type="auto"/>
            <w:gridSpan w:val="8"/>
            <w:shd w:val="clear" w:color="auto" w:fill="C00000"/>
            <w:tcMar>
              <w:top w:w="30" w:type="dxa"/>
              <w:left w:w="45" w:type="dxa"/>
              <w:bottom w:w="30" w:type="dxa"/>
              <w:right w:w="45" w:type="dxa"/>
            </w:tcMar>
            <w:vAlign w:val="center"/>
            <w:hideMark/>
          </w:tcPr>
          <w:p w14:paraId="47D8EE71" w14:textId="77777777" w:rsidR="00856F66" w:rsidRPr="00985E3D" w:rsidRDefault="00856F66" w:rsidP="00985E3D">
            <w:pPr>
              <w:pStyle w:val="Ttulo"/>
              <w:jc w:val="center"/>
              <w:rPr>
                <w:rFonts w:ascii="Candara" w:eastAsia="Times New Roman" w:hAnsi="Candara"/>
                <w:b/>
                <w:bCs/>
                <w:color w:val="FFFFFF" w:themeColor="background1"/>
                <w:sz w:val="24"/>
                <w:szCs w:val="24"/>
                <w:lang w:val="es-ES_tradnl" w:eastAsia="es-MX"/>
              </w:rPr>
            </w:pPr>
            <w:r w:rsidRPr="00985E3D">
              <w:rPr>
                <w:rFonts w:ascii="Candara" w:eastAsia="Times New Roman" w:hAnsi="Candara"/>
                <w:b/>
                <w:bCs/>
                <w:color w:val="FFFFFF" w:themeColor="background1"/>
                <w:sz w:val="24"/>
                <w:szCs w:val="24"/>
                <w:lang w:val="es-ES_tradnl" w:eastAsia="es-MX"/>
              </w:rPr>
              <w:t>Seguridad convivencia y justicia</w:t>
            </w:r>
          </w:p>
        </w:tc>
      </w:tr>
      <w:tr w:rsidR="00856F66" w:rsidRPr="00E31657" w14:paraId="6068FE7D" w14:textId="77777777" w:rsidTr="00F974BB">
        <w:trPr>
          <w:trHeight w:val="720"/>
        </w:trPr>
        <w:tc>
          <w:tcPr>
            <w:tcW w:w="0" w:type="auto"/>
            <w:vMerge w:val="restart"/>
            <w:tcMar>
              <w:top w:w="30" w:type="dxa"/>
              <w:left w:w="45" w:type="dxa"/>
              <w:bottom w:w="30" w:type="dxa"/>
              <w:right w:w="45" w:type="dxa"/>
            </w:tcMar>
            <w:vAlign w:val="center"/>
            <w:hideMark/>
          </w:tcPr>
          <w:p w14:paraId="05B9427D"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un sistema de información integrado interoperable y de gestión del conocimiento para el análisis estratégico y toma de decisión el monitoreo y evaluación de Planes Programas Estrategias y Proyectos desarrollados en el Sector Seguridad Convivencia y Justicia</w:t>
            </w:r>
          </w:p>
        </w:tc>
        <w:tc>
          <w:tcPr>
            <w:tcW w:w="0" w:type="auto"/>
            <w:vMerge w:val="restart"/>
            <w:tcMar>
              <w:top w:w="30" w:type="dxa"/>
              <w:left w:w="45" w:type="dxa"/>
              <w:bottom w:w="30" w:type="dxa"/>
              <w:right w:w="45" w:type="dxa"/>
            </w:tcMar>
            <w:vAlign w:val="center"/>
            <w:hideMark/>
          </w:tcPr>
          <w:p w14:paraId="2F385A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Mar>
              <w:top w:w="30" w:type="dxa"/>
              <w:left w:w="45" w:type="dxa"/>
              <w:bottom w:w="30" w:type="dxa"/>
              <w:right w:w="45" w:type="dxa"/>
            </w:tcMar>
            <w:vAlign w:val="center"/>
            <w:hideMark/>
          </w:tcPr>
          <w:p w14:paraId="1FFD56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Mar>
              <w:top w:w="30" w:type="dxa"/>
              <w:left w:w="45" w:type="dxa"/>
              <w:bottom w:w="30" w:type="dxa"/>
              <w:right w:w="45" w:type="dxa"/>
            </w:tcMar>
            <w:vAlign w:val="center"/>
            <w:hideMark/>
          </w:tcPr>
          <w:p w14:paraId="54EF50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0" w:type="auto"/>
            <w:tcMar>
              <w:top w:w="30" w:type="dxa"/>
              <w:left w:w="45" w:type="dxa"/>
              <w:bottom w:w="30" w:type="dxa"/>
              <w:right w:w="45" w:type="dxa"/>
            </w:tcMar>
            <w:vAlign w:val="center"/>
            <w:hideMark/>
          </w:tcPr>
          <w:p w14:paraId="7BFA69B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w:t>
            </w:r>
          </w:p>
        </w:tc>
        <w:tc>
          <w:tcPr>
            <w:tcW w:w="0" w:type="auto"/>
            <w:tcMar>
              <w:top w:w="30" w:type="dxa"/>
              <w:left w:w="45" w:type="dxa"/>
              <w:bottom w:w="30" w:type="dxa"/>
              <w:right w:w="45" w:type="dxa"/>
            </w:tcMar>
            <w:vAlign w:val="center"/>
            <w:hideMark/>
          </w:tcPr>
          <w:p w14:paraId="50B644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w:t>
            </w:r>
          </w:p>
        </w:tc>
        <w:tc>
          <w:tcPr>
            <w:tcW w:w="0" w:type="auto"/>
            <w:tcMar>
              <w:top w:w="30" w:type="dxa"/>
              <w:left w:w="45" w:type="dxa"/>
              <w:bottom w:w="30" w:type="dxa"/>
              <w:right w:w="45" w:type="dxa"/>
            </w:tcMar>
            <w:vAlign w:val="center"/>
            <w:hideMark/>
          </w:tcPr>
          <w:p w14:paraId="7B665DF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vMerge w:val="restart"/>
            <w:tcMar>
              <w:top w:w="30" w:type="dxa"/>
              <w:left w:w="45" w:type="dxa"/>
              <w:bottom w:w="30" w:type="dxa"/>
              <w:right w:w="45" w:type="dxa"/>
            </w:tcMar>
            <w:vAlign w:val="center"/>
            <w:hideMark/>
          </w:tcPr>
          <w:p w14:paraId="213098F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3.024.411.496</w:t>
            </w:r>
          </w:p>
        </w:tc>
      </w:tr>
      <w:tr w:rsidR="00856F66" w:rsidRPr="00E31657" w14:paraId="253441DB" w14:textId="77777777" w:rsidTr="00985E3D">
        <w:trPr>
          <w:trHeight w:val="2805"/>
        </w:trPr>
        <w:tc>
          <w:tcPr>
            <w:tcW w:w="0" w:type="auto"/>
            <w:vMerge/>
            <w:vAlign w:val="center"/>
            <w:hideMark/>
          </w:tcPr>
          <w:p w14:paraId="36F7FB8B" w14:textId="77777777" w:rsidR="00856F66" w:rsidRPr="00E31657" w:rsidRDefault="00856F66" w:rsidP="00AE6E22">
            <w:pPr>
              <w:rPr>
                <w:rFonts w:cs="Arial"/>
                <w:sz w:val="16"/>
                <w:szCs w:val="16"/>
                <w:lang w:val="es-ES_tradnl" w:eastAsia="es-MX"/>
              </w:rPr>
            </w:pPr>
          </w:p>
        </w:tc>
        <w:tc>
          <w:tcPr>
            <w:tcW w:w="0" w:type="auto"/>
            <w:vMerge/>
            <w:vAlign w:val="center"/>
            <w:hideMark/>
          </w:tcPr>
          <w:p w14:paraId="6279E02E" w14:textId="77777777" w:rsidR="00856F66" w:rsidRPr="00E31657" w:rsidRDefault="00856F66" w:rsidP="00AE6E22">
            <w:pPr>
              <w:rPr>
                <w:rFonts w:cs="Arial"/>
                <w:sz w:val="16"/>
                <w:szCs w:val="16"/>
                <w:lang w:val="es-ES_tradnl" w:eastAsia="es-MX"/>
              </w:rPr>
            </w:pPr>
          </w:p>
        </w:tc>
        <w:tc>
          <w:tcPr>
            <w:tcW w:w="0" w:type="auto"/>
            <w:vMerge/>
            <w:vAlign w:val="center"/>
            <w:hideMark/>
          </w:tcPr>
          <w:p w14:paraId="789A38FF" w14:textId="77777777" w:rsidR="00856F66" w:rsidRPr="00E31657" w:rsidRDefault="00856F66" w:rsidP="00AE6E22">
            <w:pPr>
              <w:rPr>
                <w:rFonts w:cs="Arial"/>
                <w:sz w:val="16"/>
                <w:szCs w:val="16"/>
                <w:lang w:val="es-ES_tradnl" w:eastAsia="es-MX"/>
              </w:rPr>
            </w:pPr>
          </w:p>
        </w:tc>
        <w:tc>
          <w:tcPr>
            <w:tcW w:w="0" w:type="auto"/>
            <w:tcMar>
              <w:top w:w="30" w:type="dxa"/>
              <w:left w:w="45" w:type="dxa"/>
              <w:bottom w:w="30" w:type="dxa"/>
              <w:right w:w="45" w:type="dxa"/>
            </w:tcMar>
            <w:vAlign w:val="center"/>
            <w:hideMark/>
          </w:tcPr>
          <w:p w14:paraId="4F898B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833.474.000</w:t>
            </w:r>
          </w:p>
        </w:tc>
        <w:tc>
          <w:tcPr>
            <w:tcW w:w="0" w:type="auto"/>
            <w:tcMar>
              <w:top w:w="30" w:type="dxa"/>
              <w:left w:w="45" w:type="dxa"/>
              <w:bottom w:w="30" w:type="dxa"/>
              <w:right w:w="45" w:type="dxa"/>
            </w:tcMar>
            <w:vAlign w:val="center"/>
            <w:hideMark/>
          </w:tcPr>
          <w:p w14:paraId="6AAFA6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1.632.478.641</w:t>
            </w:r>
          </w:p>
        </w:tc>
        <w:tc>
          <w:tcPr>
            <w:tcW w:w="0" w:type="auto"/>
            <w:tcMar>
              <w:top w:w="30" w:type="dxa"/>
              <w:left w:w="45" w:type="dxa"/>
              <w:bottom w:w="30" w:type="dxa"/>
              <w:right w:w="45" w:type="dxa"/>
            </w:tcMar>
            <w:vAlign w:val="center"/>
            <w:hideMark/>
          </w:tcPr>
          <w:p w14:paraId="6F8273C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558.458.856</w:t>
            </w:r>
          </w:p>
        </w:tc>
        <w:tc>
          <w:tcPr>
            <w:tcW w:w="0" w:type="auto"/>
            <w:tcMar>
              <w:top w:w="30" w:type="dxa"/>
              <w:left w:w="45" w:type="dxa"/>
              <w:bottom w:w="30" w:type="dxa"/>
              <w:right w:w="45" w:type="dxa"/>
            </w:tcMar>
            <w:vAlign w:val="center"/>
            <w:hideMark/>
          </w:tcPr>
          <w:p w14:paraId="7AA15DF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ign w:val="center"/>
            <w:hideMark/>
          </w:tcPr>
          <w:p w14:paraId="1B9E5BCB" w14:textId="77777777" w:rsidR="00856F66" w:rsidRPr="00E31657" w:rsidRDefault="00856F66" w:rsidP="00AE6E22">
            <w:pPr>
              <w:rPr>
                <w:rFonts w:cs="Arial"/>
                <w:b/>
                <w:bCs/>
                <w:sz w:val="16"/>
                <w:szCs w:val="16"/>
                <w:lang w:val="es-ES_tradnl" w:eastAsia="es-MX"/>
              </w:rPr>
            </w:pPr>
          </w:p>
        </w:tc>
      </w:tr>
    </w:tbl>
    <w:p w14:paraId="60CF307E" w14:textId="77777777" w:rsidR="00856F66" w:rsidRPr="00E31657" w:rsidRDefault="00856F66">
      <w:pPr>
        <w:rPr>
          <w:sz w:val="16"/>
          <w:szCs w:val="16"/>
          <w:lang w:val="es-ES_tradnl"/>
        </w:rPr>
      </w:pPr>
    </w:p>
    <w:p w14:paraId="07844BFC" w14:textId="15CB7E9F" w:rsidR="00856F66" w:rsidRDefault="00856F66">
      <w:pPr>
        <w:rPr>
          <w:sz w:val="16"/>
          <w:szCs w:val="16"/>
          <w:lang w:val="es-ES_tradnl"/>
        </w:rPr>
      </w:pPr>
    </w:p>
    <w:p w14:paraId="3AC55422" w14:textId="720D9206" w:rsidR="00985E3D" w:rsidRDefault="00985E3D">
      <w:pPr>
        <w:rPr>
          <w:sz w:val="16"/>
          <w:szCs w:val="16"/>
          <w:lang w:val="es-ES_tradnl"/>
        </w:rPr>
      </w:pPr>
    </w:p>
    <w:p w14:paraId="1F006530" w14:textId="77777777" w:rsidR="00826D72" w:rsidRDefault="00826D72">
      <w:r>
        <w:br w:type="page"/>
      </w:r>
    </w:p>
    <w:tbl>
      <w:tblPr>
        <w:tblW w:w="5104" w:type="pct"/>
        <w:tblCellMar>
          <w:left w:w="28" w:type="dxa"/>
          <w:right w:w="28" w:type="dxa"/>
        </w:tblCellMar>
        <w:tblLook w:val="04A0" w:firstRow="1" w:lastRow="0" w:firstColumn="1" w:lastColumn="0" w:noHBand="0" w:noVBand="1"/>
      </w:tblPr>
      <w:tblGrid>
        <w:gridCol w:w="2134"/>
        <w:gridCol w:w="558"/>
        <w:gridCol w:w="1275"/>
        <w:gridCol w:w="1106"/>
        <w:gridCol w:w="1061"/>
        <w:gridCol w:w="1059"/>
        <w:gridCol w:w="1106"/>
        <w:gridCol w:w="1091"/>
        <w:gridCol w:w="71"/>
        <w:gridCol w:w="94"/>
      </w:tblGrid>
      <w:tr w:rsidR="00856F66" w:rsidRPr="00E31657" w14:paraId="2442D6F2" w14:textId="77777777" w:rsidTr="00B77EE8">
        <w:trPr>
          <w:gridAfter w:val="2"/>
          <w:wAfter w:w="86" w:type="pct"/>
          <w:trHeight w:val="20"/>
        </w:trPr>
        <w:tc>
          <w:tcPr>
            <w:tcW w:w="4914" w:type="pct"/>
            <w:gridSpan w:val="8"/>
            <w:tcBorders>
              <w:bottom w:val="double" w:sz="4" w:space="0" w:color="C00000"/>
            </w:tcBorders>
            <w:tcMar>
              <w:top w:w="30" w:type="dxa"/>
              <w:left w:w="45" w:type="dxa"/>
              <w:bottom w:w="30" w:type="dxa"/>
              <w:right w:w="45" w:type="dxa"/>
            </w:tcMar>
            <w:vAlign w:val="center"/>
            <w:hideMark/>
          </w:tcPr>
          <w:p w14:paraId="497EE5CD" w14:textId="4249A9B5" w:rsidR="00856F66" w:rsidRPr="00826D72" w:rsidRDefault="00856F66" w:rsidP="00985E3D">
            <w:pPr>
              <w:pStyle w:val="Ttulo"/>
              <w:jc w:val="center"/>
              <w:rPr>
                <w:rFonts w:ascii="Candara" w:eastAsia="Times New Roman" w:hAnsi="Candara"/>
                <w:sz w:val="22"/>
                <w:szCs w:val="22"/>
                <w:lang w:val="es-ES_tradnl" w:eastAsia="es-MX"/>
              </w:rPr>
            </w:pPr>
            <w:r w:rsidRPr="00826D72">
              <w:rPr>
                <w:rFonts w:ascii="Candara" w:eastAsia="Times New Roman" w:hAnsi="Candara"/>
                <w:b/>
                <w:bCs/>
                <w:color w:val="C00000"/>
                <w:sz w:val="22"/>
                <w:szCs w:val="22"/>
                <w:lang w:val="es-ES_tradnl" w:eastAsia="es-MX"/>
              </w:rPr>
              <w:lastRenderedPageBreak/>
              <w:t>Programa 36.</w:t>
            </w:r>
            <w:r w:rsidRPr="00826D72">
              <w:rPr>
                <w:rFonts w:ascii="Candara" w:eastAsia="Times New Roman" w:hAnsi="Candara"/>
                <w:color w:val="C00000"/>
                <w:sz w:val="22"/>
                <w:szCs w:val="22"/>
                <w:lang w:val="es-ES_tradnl" w:eastAsia="es-MX"/>
              </w:rPr>
              <w:t xml:space="preserve"> </w:t>
            </w:r>
            <w:r w:rsidRPr="00826D72">
              <w:rPr>
                <w:rFonts w:ascii="Candara" w:eastAsia="Times New Roman" w:hAnsi="Candara"/>
                <w:bCs/>
                <w:sz w:val="22"/>
                <w:szCs w:val="22"/>
                <w:lang w:val="es-ES_tradnl" w:eastAsia="es-MX"/>
              </w:rPr>
              <w:t>Innovación Pública para la generación de confianza ciudadana</w:t>
            </w:r>
          </w:p>
        </w:tc>
      </w:tr>
      <w:tr w:rsidR="00856F66" w:rsidRPr="00E31657" w14:paraId="4F1BA149"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333CC3DA" w14:textId="77777777" w:rsidR="00856F66" w:rsidRPr="00E31657" w:rsidRDefault="00856F66" w:rsidP="00985E3D">
            <w:pPr>
              <w:pStyle w:val="Ttulo"/>
              <w:jc w:val="center"/>
              <w:rPr>
                <w:rFonts w:eastAsia="Times New Roman"/>
                <w:szCs w:val="24"/>
                <w:lang w:val="es-ES_tradnl" w:eastAsia="es-MX"/>
              </w:rPr>
            </w:pPr>
            <w:r w:rsidRPr="00985E3D">
              <w:rPr>
                <w:rFonts w:ascii="Candara" w:eastAsia="Times New Roman" w:hAnsi="Candara"/>
                <w:b/>
                <w:bCs/>
                <w:color w:val="FFFFFF" w:themeColor="background1"/>
                <w:sz w:val="24"/>
                <w:szCs w:val="24"/>
                <w:lang w:val="es-ES_tradnl" w:eastAsia="es-MX"/>
              </w:rPr>
              <w:t>Sector / Metas</w:t>
            </w:r>
          </w:p>
        </w:tc>
        <w:tc>
          <w:tcPr>
            <w:tcW w:w="3797" w:type="pct"/>
            <w:gridSpan w:val="7"/>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3D32560A"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 xml:space="preserve">Magnitudes e Inversión </w:t>
            </w:r>
            <w:r w:rsidRPr="00985E3D">
              <w:rPr>
                <w:rFonts w:ascii="Candara" w:eastAsia="Times New Roman" w:hAnsi="Candara"/>
                <w:b/>
                <w:bCs/>
                <w:color w:val="FFFFFF" w:themeColor="background1"/>
                <w:sz w:val="24"/>
                <w:szCs w:val="24"/>
                <w:lang w:val="es-ES_tradnl" w:eastAsia="es-MX"/>
              </w:rPr>
              <w:br/>
              <w:t>(Precios Constantes 2024)</w:t>
            </w:r>
          </w:p>
        </w:tc>
      </w:tr>
      <w:tr w:rsidR="00856F66" w:rsidRPr="00E31657" w14:paraId="17F3C50A"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72075DAF" w14:textId="77777777" w:rsidR="00856F66" w:rsidRPr="00E31657" w:rsidRDefault="00856F66" w:rsidP="00AE6E22">
            <w:pPr>
              <w:rPr>
                <w:rFonts w:cs="Arial"/>
                <w:b/>
                <w:bCs/>
                <w:color w:val="FFFFFF"/>
                <w:sz w:val="16"/>
                <w:szCs w:val="16"/>
                <w:lang w:val="es-ES_tradnl" w:eastAsia="es-MX"/>
              </w:rPr>
            </w:pPr>
          </w:p>
        </w:tc>
        <w:tc>
          <w:tcPr>
            <w:tcW w:w="292"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FA1FF8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667"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24D5C38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579"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7BADCD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555"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6B648C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554"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A12774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579" w:type="pct"/>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1776E4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571" w:type="pct"/>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3DCDB70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4EC17F67" w14:textId="77777777" w:rsidTr="00B77EE8">
        <w:trPr>
          <w:gridAfter w:val="2"/>
          <w:wAfter w:w="86" w:type="pct"/>
          <w:trHeight w:val="20"/>
        </w:trPr>
        <w:tc>
          <w:tcPr>
            <w:tcW w:w="4914" w:type="pct"/>
            <w:gridSpan w:val="8"/>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DDAD244"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pública</w:t>
            </w:r>
          </w:p>
        </w:tc>
      </w:tr>
      <w:tr w:rsidR="00856F66" w:rsidRPr="00E31657" w14:paraId="17964A76"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416044"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Consolidar el Laboratorio de innovación Pública de Bogotá iBO como articulador del ecosistema de innovación pública de la ciudad el ecosistema Govtech y como prestador de servicios de innovación pública en el campus CTI.</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1706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5B185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C188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92775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F8757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BFD0B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9B6DF0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1.646.597.700</w:t>
            </w:r>
          </w:p>
        </w:tc>
      </w:tr>
      <w:tr w:rsidR="00856F66" w:rsidRPr="00E31657" w14:paraId="18055D2F"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7BB35892" w14:textId="77777777" w:rsidR="00856F66" w:rsidRPr="00E31657" w:rsidRDefault="00856F66" w:rsidP="00B77EE8">
            <w:pPr>
              <w:jc w:val="right"/>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2A59D2B9"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52F5DC72"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16E81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2D1A82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517.340.210</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2D6B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566.787.633</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76DE8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562.469.858</w:t>
            </w:r>
          </w:p>
        </w:tc>
        <w:tc>
          <w:tcPr>
            <w:tcW w:w="571" w:type="pct"/>
            <w:vMerge/>
            <w:tcBorders>
              <w:top w:val="double" w:sz="4" w:space="0" w:color="C00000"/>
              <w:left w:val="double" w:sz="4" w:space="0" w:color="C00000"/>
              <w:bottom w:val="double" w:sz="4" w:space="0" w:color="C00000"/>
            </w:tcBorders>
            <w:vAlign w:val="center"/>
            <w:hideMark/>
          </w:tcPr>
          <w:p w14:paraId="404451DD" w14:textId="77777777" w:rsidR="00856F66" w:rsidRPr="00E31657" w:rsidRDefault="00856F66" w:rsidP="00AE6E22">
            <w:pPr>
              <w:rPr>
                <w:rFonts w:cs="Arial"/>
                <w:b/>
                <w:bCs/>
                <w:sz w:val="16"/>
                <w:szCs w:val="16"/>
                <w:lang w:val="es-ES_tradnl" w:eastAsia="es-MX"/>
              </w:rPr>
            </w:pPr>
          </w:p>
        </w:tc>
      </w:tr>
      <w:tr w:rsidR="00856F66" w:rsidRPr="00E31657" w14:paraId="0CC7D9CE"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D49C02"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Desarrollar 6 prototipos que den solución a retos prioritarios/estratégicos de ciudad así como de trámites y servicios que busquen mejorar la relación con la ciudadanía.</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771BA9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0FFFB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D290B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065F8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8C637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D08B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080805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3.702.182.964</w:t>
            </w:r>
          </w:p>
        </w:tc>
      </w:tr>
      <w:tr w:rsidR="00856F66" w:rsidRPr="00E31657" w14:paraId="3B94C667"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69FB6BCE" w14:textId="77777777" w:rsidR="00856F66" w:rsidRPr="00E31657" w:rsidRDefault="00856F66" w:rsidP="00B77EE8">
            <w:pPr>
              <w:jc w:val="right"/>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6D63B1F9"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24AF8C21"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9F8C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554.645.552</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CDA310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985.163.223</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997725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1.083.346.215</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0A789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1.079.027.973</w:t>
            </w:r>
          </w:p>
        </w:tc>
        <w:tc>
          <w:tcPr>
            <w:tcW w:w="571" w:type="pct"/>
            <w:vMerge/>
            <w:tcBorders>
              <w:top w:val="double" w:sz="4" w:space="0" w:color="C00000"/>
              <w:left w:val="double" w:sz="4" w:space="0" w:color="C00000"/>
              <w:bottom w:val="double" w:sz="4" w:space="0" w:color="C00000"/>
            </w:tcBorders>
            <w:vAlign w:val="center"/>
            <w:hideMark/>
          </w:tcPr>
          <w:p w14:paraId="36C19598" w14:textId="77777777" w:rsidR="00856F66" w:rsidRPr="00E31657" w:rsidRDefault="00856F66" w:rsidP="00AE6E22">
            <w:pPr>
              <w:rPr>
                <w:rFonts w:cs="Arial"/>
                <w:b/>
                <w:bCs/>
                <w:sz w:val="16"/>
                <w:szCs w:val="16"/>
                <w:lang w:val="es-ES_tradnl" w:eastAsia="es-MX"/>
              </w:rPr>
            </w:pPr>
          </w:p>
        </w:tc>
      </w:tr>
      <w:tr w:rsidR="00856F66" w:rsidRPr="00E31657" w14:paraId="29764C9D"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8C439F"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Desarrollo de capacidades de intraemprendimiento en innovación pública en 15 entidades públicas distritales.</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0AFB5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57E9A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AB915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F3D4F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53DF0C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4AF57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AB76A5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943.123.837</w:t>
            </w:r>
          </w:p>
        </w:tc>
      </w:tr>
      <w:tr w:rsidR="00856F66" w:rsidRPr="00E31657" w14:paraId="270EE781"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3A65FCCD" w14:textId="77777777" w:rsidR="00856F66" w:rsidRPr="00E31657" w:rsidRDefault="00856F66" w:rsidP="00AE6E22">
            <w:pPr>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75A00F2C"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18730EDC"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0DDB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B50A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298.077.408</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554D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324.681.874</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89F9F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320.364.556</w:t>
            </w:r>
          </w:p>
        </w:tc>
        <w:tc>
          <w:tcPr>
            <w:tcW w:w="571" w:type="pct"/>
            <w:vMerge/>
            <w:tcBorders>
              <w:top w:val="double" w:sz="4" w:space="0" w:color="C00000"/>
              <w:left w:val="double" w:sz="4" w:space="0" w:color="C00000"/>
              <w:bottom w:val="double" w:sz="4" w:space="0" w:color="C00000"/>
            </w:tcBorders>
            <w:vAlign w:val="center"/>
            <w:hideMark/>
          </w:tcPr>
          <w:p w14:paraId="22475EDC" w14:textId="77777777" w:rsidR="00856F66" w:rsidRPr="00E31657" w:rsidRDefault="00856F66" w:rsidP="00AE6E22">
            <w:pPr>
              <w:rPr>
                <w:rFonts w:cs="Arial"/>
                <w:b/>
                <w:bCs/>
                <w:sz w:val="16"/>
                <w:szCs w:val="16"/>
                <w:lang w:val="es-ES_tradnl" w:eastAsia="es-MX"/>
              </w:rPr>
            </w:pPr>
          </w:p>
        </w:tc>
      </w:tr>
      <w:tr w:rsidR="00856F66" w:rsidRPr="00E31657" w14:paraId="3D4D49B5" w14:textId="77777777" w:rsidTr="004B3301">
        <w:trPr>
          <w:trHeight w:val="20"/>
        </w:trPr>
        <w:tc>
          <w:tcPr>
            <w:tcW w:w="5000" w:type="pct"/>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1D40194"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Gobierno</w:t>
            </w:r>
          </w:p>
        </w:tc>
      </w:tr>
      <w:tr w:rsidR="00856F66" w:rsidRPr="00E31657" w14:paraId="151E1D28"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116E69"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Fortalecer un (1) laboratorio de innovación pública que promueva el gobierno abierto y la participación ciudadana desde un enfoque de interseccionalidad.</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C591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2199</w:t>
            </w:r>
            <w:r w:rsidRPr="00E31657">
              <w:rPr>
                <w:rFonts w:cs="Arial"/>
                <w:sz w:val="16"/>
                <w:szCs w:val="16"/>
                <w:lang w:val="es-ES_tradnl" w:eastAsia="es-MX"/>
              </w:rPr>
              <w:br/>
              <w:t>(2023)</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784A2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Sistematización y registro oferta Laboratorio de Innovación - SDG</w:t>
            </w:r>
            <w:r w:rsidRPr="00E31657">
              <w:rPr>
                <w:rFonts w:cs="Arial"/>
                <w:sz w:val="16"/>
                <w:szCs w:val="16"/>
                <w:lang w:val="es-ES_tradnl" w:eastAsia="es-MX"/>
              </w:rPr>
              <w:br/>
              <w:t>2023</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C0C5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5A475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0.35</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6F9A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0.75</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7C000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718FFE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9.535.065.324</w:t>
            </w:r>
          </w:p>
        </w:tc>
      </w:tr>
      <w:tr w:rsidR="00856F66" w:rsidRPr="00E31657" w14:paraId="5B610A69"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3F515216" w14:textId="77777777" w:rsidR="00856F66" w:rsidRPr="00E31657" w:rsidRDefault="00856F66" w:rsidP="00B77EE8">
            <w:pPr>
              <w:jc w:val="right"/>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2DC6E591"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4261C1C5"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53711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1.138.000.000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2666F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2.912.621.359</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B498D0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2.922.047.318</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FB49B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2.562.396.646</w:t>
            </w:r>
          </w:p>
        </w:tc>
        <w:tc>
          <w:tcPr>
            <w:tcW w:w="571" w:type="pct"/>
            <w:vMerge/>
            <w:tcBorders>
              <w:top w:val="double" w:sz="4" w:space="0" w:color="C00000"/>
              <w:left w:val="double" w:sz="4" w:space="0" w:color="C00000"/>
              <w:bottom w:val="double" w:sz="4" w:space="0" w:color="C00000"/>
            </w:tcBorders>
            <w:vAlign w:val="center"/>
            <w:hideMark/>
          </w:tcPr>
          <w:p w14:paraId="3EABAEE3" w14:textId="77777777" w:rsidR="00856F66" w:rsidRPr="00E31657" w:rsidRDefault="00856F66" w:rsidP="00AE6E22">
            <w:pPr>
              <w:rPr>
                <w:rFonts w:cs="Arial"/>
                <w:b/>
                <w:bCs/>
                <w:sz w:val="16"/>
                <w:szCs w:val="16"/>
                <w:lang w:val="es-ES_tradnl" w:eastAsia="es-MX"/>
              </w:rPr>
            </w:pPr>
          </w:p>
        </w:tc>
      </w:tr>
      <w:tr w:rsidR="00856F66" w:rsidRPr="00E31657" w14:paraId="6B182001"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4D95714"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Fortalecer un (1) Observatorio de Conflictividad Social y Gobernabilidad con enfoque de derechos humanos género y diferencial.</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EE7A8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w:t>
            </w:r>
            <w:r w:rsidRPr="00E31657">
              <w:rPr>
                <w:rFonts w:cs="Arial"/>
                <w:sz w:val="16"/>
                <w:szCs w:val="16"/>
                <w:lang w:val="es-ES_tradnl" w:eastAsia="es-MX"/>
              </w:rPr>
              <w:br/>
              <w:t>(2023)</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7E0365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Observatorio de conflictividad social y derechos humanos</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F9237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0,14</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6E899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0,22</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A04F7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0,24</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15BFF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0,40</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071DC2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3.596.291.526</w:t>
            </w:r>
          </w:p>
        </w:tc>
      </w:tr>
      <w:tr w:rsidR="00856F66" w:rsidRPr="00E31657" w14:paraId="7C0A8F4D"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1790C405" w14:textId="77777777" w:rsidR="00856F66" w:rsidRPr="00E31657" w:rsidRDefault="00856F66" w:rsidP="00B77EE8">
            <w:pPr>
              <w:jc w:val="right"/>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27BCBED2"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0EF15150"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C9276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550.000.000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FA77B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825.242.718</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D039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848.336.318</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F45FA2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1.372.712.489</w:t>
            </w:r>
          </w:p>
        </w:tc>
        <w:tc>
          <w:tcPr>
            <w:tcW w:w="571" w:type="pct"/>
            <w:vMerge/>
            <w:tcBorders>
              <w:top w:val="double" w:sz="4" w:space="0" w:color="C00000"/>
              <w:left w:val="double" w:sz="4" w:space="0" w:color="C00000"/>
              <w:bottom w:val="double" w:sz="4" w:space="0" w:color="C00000"/>
            </w:tcBorders>
            <w:vAlign w:val="center"/>
            <w:hideMark/>
          </w:tcPr>
          <w:p w14:paraId="7A99DEF0" w14:textId="77777777" w:rsidR="00856F66" w:rsidRPr="00E31657" w:rsidRDefault="00856F66" w:rsidP="00AE6E22">
            <w:pPr>
              <w:rPr>
                <w:rFonts w:cs="Arial"/>
                <w:b/>
                <w:bCs/>
                <w:sz w:val="16"/>
                <w:szCs w:val="16"/>
                <w:lang w:val="es-ES_tradnl" w:eastAsia="es-MX"/>
              </w:rPr>
            </w:pPr>
          </w:p>
        </w:tc>
      </w:tr>
      <w:tr w:rsidR="00856F66" w:rsidRPr="00E31657" w14:paraId="47C8A53B" w14:textId="77777777" w:rsidTr="00B77EE8">
        <w:trPr>
          <w:gridAfter w:val="2"/>
          <w:wAfter w:w="86" w:type="pct"/>
          <w:trHeight w:val="516"/>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C286F64"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 xml:space="preserve">Implementar 100 acciones con un enfoque interseccional en el marco del laboratorio de innovación en la relación </w:t>
            </w:r>
            <w:r w:rsidRPr="00E31657">
              <w:rPr>
                <w:rFonts w:cs="Arial"/>
                <w:sz w:val="16"/>
                <w:szCs w:val="16"/>
                <w:lang w:val="es-ES_tradnl" w:eastAsia="es-MX"/>
              </w:rPr>
              <w:lastRenderedPageBreak/>
              <w:t>gobierno y ciudadanía desarrollando prototipos que recojan retos ciudadanos para ser solucionados de manera colaborativa mejorando la participación incidente en Bogotá.</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4610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02D2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469A3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96DF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0B57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3AE24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A08343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3.201.215.557</w:t>
            </w:r>
          </w:p>
        </w:tc>
      </w:tr>
      <w:tr w:rsidR="00856F66" w:rsidRPr="00E31657" w14:paraId="7B22A248"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7777B48D" w14:textId="77777777" w:rsidR="00856F66" w:rsidRPr="00E31657" w:rsidRDefault="00856F66" w:rsidP="00AE6E22">
            <w:pPr>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4656898C"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00E79150"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EBE48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336.000.000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E40D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1.141.747.573</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BED08D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1.108.492.789</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7961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614.975.195</w:t>
            </w:r>
          </w:p>
        </w:tc>
        <w:tc>
          <w:tcPr>
            <w:tcW w:w="571" w:type="pct"/>
            <w:vMerge/>
            <w:tcBorders>
              <w:top w:val="double" w:sz="4" w:space="0" w:color="C00000"/>
              <w:left w:val="double" w:sz="4" w:space="0" w:color="C00000"/>
              <w:bottom w:val="double" w:sz="4" w:space="0" w:color="C00000"/>
            </w:tcBorders>
            <w:vAlign w:val="center"/>
            <w:hideMark/>
          </w:tcPr>
          <w:p w14:paraId="6EA9976A" w14:textId="77777777" w:rsidR="00856F66" w:rsidRPr="00E31657" w:rsidRDefault="00856F66" w:rsidP="00AE6E22">
            <w:pPr>
              <w:rPr>
                <w:rFonts w:cs="Arial"/>
                <w:b/>
                <w:bCs/>
                <w:sz w:val="16"/>
                <w:szCs w:val="16"/>
                <w:lang w:val="es-ES_tradnl" w:eastAsia="es-MX"/>
              </w:rPr>
            </w:pPr>
          </w:p>
        </w:tc>
      </w:tr>
      <w:tr w:rsidR="00856F66" w:rsidRPr="00E31657" w14:paraId="1A4C5ABD" w14:textId="77777777" w:rsidTr="00B77EE8">
        <w:trPr>
          <w:gridAfter w:val="1"/>
          <w:wAfter w:w="49" w:type="pct"/>
          <w:trHeight w:val="20"/>
        </w:trPr>
        <w:tc>
          <w:tcPr>
            <w:tcW w:w="4951" w:type="pct"/>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AB8B032"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4C2D588D"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41BFC6"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Implementar 5 retos de innovación abierta basados en información estratégica bajo un modelo de gobernanza de datos que fortalezca la toma de decisiones del distrito.</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B671B3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8B28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SDP</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9220F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70788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6FB89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DAD7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187E9BD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3.193.497.272</w:t>
            </w:r>
          </w:p>
        </w:tc>
      </w:tr>
      <w:tr w:rsidR="00856F66" w:rsidRPr="00E31657" w14:paraId="05340543"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02AB0413" w14:textId="77777777" w:rsidR="00856F66" w:rsidRPr="00E31657" w:rsidRDefault="00856F66" w:rsidP="00AE6E22">
            <w:pPr>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75C80120"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14E0199F"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43B00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723.650.000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C47FB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904.854.369</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6375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788.952.776</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8E66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776.040.127</w:t>
            </w:r>
          </w:p>
        </w:tc>
        <w:tc>
          <w:tcPr>
            <w:tcW w:w="571" w:type="pct"/>
            <w:vMerge/>
            <w:tcBorders>
              <w:top w:val="double" w:sz="4" w:space="0" w:color="C00000"/>
              <w:left w:val="double" w:sz="4" w:space="0" w:color="C00000"/>
              <w:bottom w:val="double" w:sz="4" w:space="0" w:color="C00000"/>
            </w:tcBorders>
            <w:vAlign w:val="center"/>
            <w:hideMark/>
          </w:tcPr>
          <w:p w14:paraId="4FEE54B2" w14:textId="77777777" w:rsidR="00856F66" w:rsidRPr="00E31657" w:rsidRDefault="00856F66" w:rsidP="00AE6E22">
            <w:pPr>
              <w:rPr>
                <w:rFonts w:cs="Arial"/>
                <w:b/>
                <w:bCs/>
                <w:sz w:val="16"/>
                <w:szCs w:val="16"/>
                <w:lang w:val="es-ES_tradnl" w:eastAsia="es-MX"/>
              </w:rPr>
            </w:pPr>
          </w:p>
        </w:tc>
      </w:tr>
      <w:tr w:rsidR="00856F66" w:rsidRPr="00E31657" w14:paraId="0B7014D1" w14:textId="77777777" w:rsidTr="00B77EE8">
        <w:trPr>
          <w:gridAfter w:val="1"/>
          <w:wAfter w:w="49" w:type="pct"/>
          <w:trHeight w:val="20"/>
        </w:trPr>
        <w:tc>
          <w:tcPr>
            <w:tcW w:w="4951" w:type="pct"/>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37BA9197"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Veeduría</w:t>
            </w:r>
          </w:p>
        </w:tc>
      </w:tr>
      <w:tr w:rsidR="00856F66" w:rsidRPr="00E31657" w14:paraId="31DCF628" w14:textId="77777777" w:rsidTr="00B77EE8">
        <w:trPr>
          <w:gridAfter w:val="2"/>
          <w:wAfter w:w="86" w:type="pct"/>
          <w:trHeight w:val="20"/>
        </w:trPr>
        <w:tc>
          <w:tcPr>
            <w:tcW w:w="1117" w:type="pct"/>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DB49ED" w14:textId="77777777" w:rsidR="00856F66" w:rsidRPr="00E31657" w:rsidRDefault="00856F66" w:rsidP="00B77EE8">
            <w:pPr>
              <w:jc w:val="right"/>
              <w:rPr>
                <w:rFonts w:cs="Arial"/>
                <w:sz w:val="16"/>
                <w:szCs w:val="16"/>
                <w:lang w:val="es-ES_tradnl" w:eastAsia="es-MX"/>
              </w:rPr>
            </w:pPr>
            <w:r w:rsidRPr="00E31657">
              <w:rPr>
                <w:rFonts w:cs="Arial"/>
                <w:sz w:val="16"/>
                <w:szCs w:val="16"/>
                <w:lang w:val="es-ES_tradnl" w:eastAsia="es-MX"/>
              </w:rPr>
              <w:t>Desarrollar 3 componentes (innovación pública tecnología y fortalecimiento institucional) para mejorar el modelo de control y vigilancia con carácter preventivo en entidades del distrito.</w:t>
            </w:r>
          </w:p>
        </w:tc>
        <w:tc>
          <w:tcPr>
            <w:tcW w:w="292"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AFE53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667" w:type="pct"/>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F81E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C9540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A9907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917419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C3B8E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571" w:type="pct"/>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3CE068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7.627.833.501</w:t>
            </w:r>
          </w:p>
        </w:tc>
      </w:tr>
      <w:tr w:rsidR="00856F66" w:rsidRPr="00E31657" w14:paraId="52E24635" w14:textId="77777777" w:rsidTr="00B77EE8">
        <w:trPr>
          <w:gridAfter w:val="2"/>
          <w:wAfter w:w="86" w:type="pct"/>
          <w:trHeight w:val="20"/>
        </w:trPr>
        <w:tc>
          <w:tcPr>
            <w:tcW w:w="1117" w:type="pct"/>
            <w:vMerge/>
            <w:tcBorders>
              <w:top w:val="double" w:sz="4" w:space="0" w:color="C00000"/>
              <w:bottom w:val="double" w:sz="4" w:space="0" w:color="C00000"/>
              <w:right w:val="double" w:sz="4" w:space="0" w:color="C00000"/>
            </w:tcBorders>
            <w:vAlign w:val="center"/>
            <w:hideMark/>
          </w:tcPr>
          <w:p w14:paraId="04DC2E35" w14:textId="77777777" w:rsidR="00856F66" w:rsidRPr="00E31657" w:rsidRDefault="00856F66" w:rsidP="00AE6E22">
            <w:pPr>
              <w:rPr>
                <w:rFonts w:cs="Arial"/>
                <w:sz w:val="16"/>
                <w:szCs w:val="16"/>
                <w:lang w:val="es-ES_tradnl" w:eastAsia="es-MX"/>
              </w:rPr>
            </w:pPr>
          </w:p>
        </w:tc>
        <w:tc>
          <w:tcPr>
            <w:tcW w:w="292" w:type="pct"/>
            <w:vMerge/>
            <w:tcBorders>
              <w:top w:val="double" w:sz="4" w:space="0" w:color="C00000"/>
              <w:left w:val="double" w:sz="4" w:space="0" w:color="C00000"/>
              <w:bottom w:val="double" w:sz="4" w:space="0" w:color="C00000"/>
              <w:right w:val="double" w:sz="4" w:space="0" w:color="C00000"/>
            </w:tcBorders>
            <w:vAlign w:val="center"/>
            <w:hideMark/>
          </w:tcPr>
          <w:p w14:paraId="0DE55A49" w14:textId="77777777" w:rsidR="00856F66" w:rsidRPr="00E31657" w:rsidRDefault="00856F66" w:rsidP="00AE6E22">
            <w:pPr>
              <w:rPr>
                <w:rFonts w:cs="Arial"/>
                <w:sz w:val="16"/>
                <w:szCs w:val="16"/>
                <w:lang w:val="es-ES_tradnl" w:eastAsia="es-MX"/>
              </w:rPr>
            </w:pPr>
          </w:p>
        </w:tc>
        <w:tc>
          <w:tcPr>
            <w:tcW w:w="667" w:type="pct"/>
            <w:vMerge/>
            <w:tcBorders>
              <w:top w:val="double" w:sz="4" w:space="0" w:color="C00000"/>
              <w:left w:val="double" w:sz="4" w:space="0" w:color="C00000"/>
              <w:bottom w:val="double" w:sz="4" w:space="0" w:color="C00000"/>
              <w:right w:val="double" w:sz="4" w:space="0" w:color="C00000"/>
            </w:tcBorders>
            <w:vAlign w:val="center"/>
            <w:hideMark/>
          </w:tcPr>
          <w:p w14:paraId="32C54A62" w14:textId="77777777" w:rsidR="00856F66" w:rsidRPr="00E31657" w:rsidRDefault="00856F66" w:rsidP="00AE6E22">
            <w:pPr>
              <w:rPr>
                <w:rFonts w:cs="Arial"/>
                <w:sz w:val="16"/>
                <w:szCs w:val="16"/>
                <w:lang w:val="es-ES_tradnl" w:eastAsia="es-MX"/>
              </w:rPr>
            </w:pP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C35D5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1.003.650.000</w:t>
            </w:r>
          </w:p>
        </w:tc>
        <w:tc>
          <w:tcPr>
            <w:tcW w:w="555"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2E1380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2.273.640.777</w:t>
            </w:r>
          </w:p>
        </w:tc>
        <w:tc>
          <w:tcPr>
            <w:tcW w:w="554"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2F92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2.207.418.230</w:t>
            </w:r>
          </w:p>
        </w:tc>
        <w:tc>
          <w:tcPr>
            <w:tcW w:w="579" w:type="pc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06B6B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2.143.124.495</w:t>
            </w:r>
          </w:p>
        </w:tc>
        <w:tc>
          <w:tcPr>
            <w:tcW w:w="571" w:type="pct"/>
            <w:vMerge/>
            <w:tcBorders>
              <w:top w:val="double" w:sz="4" w:space="0" w:color="C00000"/>
              <w:left w:val="double" w:sz="4" w:space="0" w:color="C00000"/>
              <w:bottom w:val="double" w:sz="4" w:space="0" w:color="C00000"/>
            </w:tcBorders>
            <w:vAlign w:val="center"/>
            <w:hideMark/>
          </w:tcPr>
          <w:p w14:paraId="259B5395" w14:textId="77777777" w:rsidR="00856F66" w:rsidRPr="00E31657" w:rsidRDefault="00856F66" w:rsidP="00AE6E22">
            <w:pPr>
              <w:rPr>
                <w:rFonts w:cs="Arial"/>
                <w:b/>
                <w:bCs/>
                <w:sz w:val="16"/>
                <w:szCs w:val="16"/>
                <w:lang w:val="es-ES_tradnl" w:eastAsia="es-MX"/>
              </w:rPr>
            </w:pPr>
          </w:p>
        </w:tc>
      </w:tr>
    </w:tbl>
    <w:p w14:paraId="1C85B97A" w14:textId="77777777" w:rsidR="00856F66" w:rsidRPr="00E31657" w:rsidRDefault="00856F66">
      <w:pPr>
        <w:rPr>
          <w:sz w:val="16"/>
          <w:szCs w:val="16"/>
          <w:lang w:val="es-ES_tradnl"/>
        </w:rPr>
      </w:pPr>
    </w:p>
    <w:p w14:paraId="51294207" w14:textId="77777777" w:rsidR="00856F66" w:rsidRPr="00E31657" w:rsidRDefault="00856F66">
      <w:pPr>
        <w:rPr>
          <w:sz w:val="16"/>
          <w:szCs w:val="16"/>
          <w:lang w:val="es-ES_tradnl"/>
        </w:rPr>
      </w:pPr>
    </w:p>
    <w:tbl>
      <w:tblPr>
        <w:tblW w:w="5054"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595"/>
        <w:gridCol w:w="628"/>
        <w:gridCol w:w="738"/>
        <w:gridCol w:w="1237"/>
        <w:gridCol w:w="1255"/>
        <w:gridCol w:w="1300"/>
        <w:gridCol w:w="1308"/>
        <w:gridCol w:w="1400"/>
      </w:tblGrid>
      <w:tr w:rsidR="00856F66" w:rsidRPr="00E31657" w14:paraId="6FA99BE5" w14:textId="77777777" w:rsidTr="00F974BB">
        <w:trPr>
          <w:trHeight w:val="20"/>
        </w:trPr>
        <w:tc>
          <w:tcPr>
            <w:tcW w:w="5000" w:type="pct"/>
            <w:gridSpan w:val="8"/>
            <w:tcMar>
              <w:top w:w="30" w:type="dxa"/>
              <w:left w:w="45" w:type="dxa"/>
              <w:bottom w:w="30" w:type="dxa"/>
              <w:right w:w="45" w:type="dxa"/>
            </w:tcMar>
            <w:vAlign w:val="center"/>
            <w:hideMark/>
          </w:tcPr>
          <w:p w14:paraId="36D6F60A"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t xml:space="preserve">Programa 37. </w:t>
            </w:r>
            <w:r w:rsidRPr="00E31657">
              <w:rPr>
                <w:rFonts w:cs="Arial"/>
                <w:lang w:val="es-ES_tradnl" w:eastAsia="es-MX"/>
              </w:rPr>
              <w:t>Construyendo confianza con la región</w:t>
            </w:r>
          </w:p>
        </w:tc>
      </w:tr>
      <w:tr w:rsidR="00856F66" w:rsidRPr="00E31657" w14:paraId="42E1CE16" w14:textId="77777777" w:rsidTr="00F974BB">
        <w:trPr>
          <w:trHeight w:val="20"/>
        </w:trPr>
        <w:tc>
          <w:tcPr>
            <w:tcW w:w="843" w:type="pct"/>
            <w:vMerge w:val="restart"/>
            <w:shd w:val="clear" w:color="auto" w:fill="C00000"/>
            <w:tcMar>
              <w:top w:w="30" w:type="dxa"/>
              <w:left w:w="45" w:type="dxa"/>
              <w:bottom w:w="30" w:type="dxa"/>
              <w:right w:w="45" w:type="dxa"/>
            </w:tcMar>
            <w:vAlign w:val="center"/>
            <w:hideMark/>
          </w:tcPr>
          <w:p w14:paraId="58CE9E38" w14:textId="77777777" w:rsidR="00856F66" w:rsidRPr="00E31657" w:rsidRDefault="00856F66" w:rsidP="00AE6E22">
            <w:pPr>
              <w:jc w:val="center"/>
              <w:rPr>
                <w:rFonts w:cs="Arial"/>
                <w:b/>
                <w:bCs/>
                <w:color w:val="FFFFFF"/>
                <w:sz w:val="16"/>
                <w:szCs w:val="16"/>
                <w:lang w:val="es-ES_tradnl" w:eastAsia="es-MX"/>
              </w:rPr>
            </w:pPr>
            <w:r w:rsidRPr="00E31657">
              <w:rPr>
                <w:rFonts w:cs="Arial"/>
                <w:b/>
                <w:bCs/>
                <w:color w:val="FFFFFF"/>
                <w:sz w:val="16"/>
                <w:szCs w:val="16"/>
                <w:lang w:val="es-ES_tradnl" w:eastAsia="es-MX"/>
              </w:rPr>
              <w:t>Sector / Metas</w:t>
            </w:r>
          </w:p>
        </w:tc>
        <w:tc>
          <w:tcPr>
            <w:tcW w:w="4157" w:type="pct"/>
            <w:gridSpan w:val="7"/>
            <w:shd w:val="clear" w:color="auto" w:fill="C00000"/>
            <w:tcMar>
              <w:top w:w="30" w:type="dxa"/>
              <w:left w:w="45" w:type="dxa"/>
              <w:bottom w:w="30" w:type="dxa"/>
              <w:right w:w="45" w:type="dxa"/>
            </w:tcMar>
            <w:vAlign w:val="center"/>
            <w:hideMark/>
          </w:tcPr>
          <w:p w14:paraId="0998B844" w14:textId="77777777" w:rsidR="00856F66" w:rsidRPr="00E31657" w:rsidRDefault="00856F66" w:rsidP="00AE6E22">
            <w:pPr>
              <w:jc w:val="center"/>
              <w:rPr>
                <w:rFonts w:cs="Arial"/>
                <w:b/>
                <w:bCs/>
                <w:color w:val="FFFFFF"/>
                <w:sz w:val="16"/>
                <w:szCs w:val="16"/>
                <w:lang w:val="es-ES_tradnl" w:eastAsia="es-MX"/>
              </w:rPr>
            </w:pPr>
            <w:r w:rsidRPr="00E31657">
              <w:rPr>
                <w:rFonts w:cs="Arial"/>
                <w:b/>
                <w:bCs/>
                <w:color w:val="FFFFFF"/>
                <w:sz w:val="16"/>
                <w:szCs w:val="16"/>
                <w:lang w:val="es-ES_tradnl" w:eastAsia="es-MX"/>
              </w:rPr>
              <w:t xml:space="preserve">Magnitudes e Inversión </w:t>
            </w:r>
            <w:r w:rsidRPr="00E31657">
              <w:rPr>
                <w:rFonts w:cs="Arial"/>
                <w:b/>
                <w:bCs/>
                <w:color w:val="FFFFFF"/>
                <w:sz w:val="16"/>
                <w:szCs w:val="16"/>
                <w:lang w:val="es-ES_tradnl" w:eastAsia="es-MX"/>
              </w:rPr>
              <w:br/>
              <w:t>(Precios Constantes 2024)</w:t>
            </w:r>
          </w:p>
        </w:tc>
      </w:tr>
      <w:tr w:rsidR="00856F66" w:rsidRPr="00E31657" w14:paraId="4EC34CA1" w14:textId="77777777" w:rsidTr="00F974BB">
        <w:trPr>
          <w:trHeight w:val="20"/>
        </w:trPr>
        <w:tc>
          <w:tcPr>
            <w:tcW w:w="843" w:type="pct"/>
            <w:vMerge/>
            <w:shd w:val="clear" w:color="auto" w:fill="C00000"/>
            <w:vAlign w:val="center"/>
            <w:hideMark/>
          </w:tcPr>
          <w:p w14:paraId="6BAC0379" w14:textId="77777777" w:rsidR="00856F66" w:rsidRPr="00E31657" w:rsidRDefault="00856F66" w:rsidP="00AE6E22">
            <w:pPr>
              <w:rPr>
                <w:rFonts w:cs="Arial"/>
                <w:b/>
                <w:bCs/>
                <w:color w:val="FFFFFF"/>
                <w:sz w:val="16"/>
                <w:szCs w:val="16"/>
                <w:lang w:val="es-ES_tradnl" w:eastAsia="es-MX"/>
              </w:rPr>
            </w:pPr>
          </w:p>
        </w:tc>
        <w:tc>
          <w:tcPr>
            <w:tcW w:w="332" w:type="pct"/>
            <w:shd w:val="clear" w:color="auto" w:fill="D9D9D9"/>
            <w:tcMar>
              <w:top w:w="30" w:type="dxa"/>
              <w:left w:w="45" w:type="dxa"/>
              <w:bottom w:w="30" w:type="dxa"/>
              <w:right w:w="45" w:type="dxa"/>
            </w:tcMar>
            <w:vAlign w:val="center"/>
            <w:hideMark/>
          </w:tcPr>
          <w:p w14:paraId="410E1ED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390" w:type="pct"/>
            <w:shd w:val="clear" w:color="auto" w:fill="D9D9D9"/>
            <w:tcMar>
              <w:top w:w="30" w:type="dxa"/>
              <w:left w:w="45" w:type="dxa"/>
              <w:bottom w:w="30" w:type="dxa"/>
              <w:right w:w="45" w:type="dxa"/>
            </w:tcMar>
            <w:vAlign w:val="center"/>
            <w:hideMark/>
          </w:tcPr>
          <w:p w14:paraId="55C2B8F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54" w:type="pct"/>
            <w:shd w:val="clear" w:color="auto" w:fill="D9D9D9"/>
            <w:tcMar>
              <w:top w:w="30" w:type="dxa"/>
              <w:left w:w="45" w:type="dxa"/>
              <w:bottom w:w="30" w:type="dxa"/>
              <w:right w:w="45" w:type="dxa"/>
            </w:tcMar>
            <w:vAlign w:val="center"/>
            <w:hideMark/>
          </w:tcPr>
          <w:p w14:paraId="2A3E837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663" w:type="pct"/>
            <w:shd w:val="clear" w:color="auto" w:fill="D9D9D9"/>
            <w:tcMar>
              <w:top w:w="30" w:type="dxa"/>
              <w:left w:w="45" w:type="dxa"/>
              <w:bottom w:w="30" w:type="dxa"/>
              <w:right w:w="45" w:type="dxa"/>
            </w:tcMar>
            <w:vAlign w:val="center"/>
            <w:hideMark/>
          </w:tcPr>
          <w:p w14:paraId="3B456A3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687" w:type="pct"/>
            <w:shd w:val="clear" w:color="auto" w:fill="D9D9D9"/>
            <w:tcMar>
              <w:top w:w="30" w:type="dxa"/>
              <w:left w:w="45" w:type="dxa"/>
              <w:bottom w:w="30" w:type="dxa"/>
              <w:right w:w="45" w:type="dxa"/>
            </w:tcMar>
            <w:vAlign w:val="center"/>
            <w:hideMark/>
          </w:tcPr>
          <w:p w14:paraId="71092DA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691" w:type="pct"/>
            <w:shd w:val="clear" w:color="auto" w:fill="D9D9D9"/>
            <w:tcMar>
              <w:top w:w="30" w:type="dxa"/>
              <w:left w:w="45" w:type="dxa"/>
              <w:bottom w:w="30" w:type="dxa"/>
              <w:right w:w="45" w:type="dxa"/>
            </w:tcMar>
            <w:vAlign w:val="center"/>
            <w:hideMark/>
          </w:tcPr>
          <w:p w14:paraId="08293FC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740" w:type="pct"/>
            <w:shd w:val="clear" w:color="auto" w:fill="D9D9D9"/>
            <w:tcMar>
              <w:top w:w="30" w:type="dxa"/>
              <w:left w:w="45" w:type="dxa"/>
              <w:bottom w:w="30" w:type="dxa"/>
              <w:right w:w="45" w:type="dxa"/>
            </w:tcMar>
            <w:vAlign w:val="center"/>
            <w:hideMark/>
          </w:tcPr>
          <w:p w14:paraId="3181771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31728B08" w14:textId="77777777" w:rsidTr="00F974BB">
        <w:trPr>
          <w:trHeight w:val="20"/>
        </w:trPr>
        <w:tc>
          <w:tcPr>
            <w:tcW w:w="5000" w:type="pct"/>
            <w:gridSpan w:val="8"/>
            <w:shd w:val="clear" w:color="auto" w:fill="C00000"/>
            <w:tcMar>
              <w:top w:w="30" w:type="dxa"/>
              <w:left w:w="45" w:type="dxa"/>
              <w:bottom w:w="30" w:type="dxa"/>
              <w:right w:w="45" w:type="dxa"/>
            </w:tcMar>
            <w:vAlign w:val="center"/>
            <w:hideMark/>
          </w:tcPr>
          <w:p w14:paraId="355FA610"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728B9273" w14:textId="77777777" w:rsidTr="00F974BB">
        <w:trPr>
          <w:trHeight w:val="20"/>
        </w:trPr>
        <w:tc>
          <w:tcPr>
            <w:tcW w:w="843" w:type="pct"/>
            <w:vMerge w:val="restart"/>
            <w:tcMar>
              <w:top w:w="30" w:type="dxa"/>
              <w:left w:w="45" w:type="dxa"/>
              <w:bottom w:w="30" w:type="dxa"/>
              <w:right w:w="45" w:type="dxa"/>
            </w:tcMar>
            <w:vAlign w:val="center"/>
            <w:hideMark/>
          </w:tcPr>
          <w:p w14:paraId="124C75DF"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Desarrollar el 100% del plan estratégico de coordinación y articulación regional al interior del distrito (sectores y entidades), así como con los diferentes esquemas de asociatividad multinivel (RMBC, RAP-E y ASOCAPITALES).</w:t>
            </w:r>
          </w:p>
        </w:tc>
        <w:tc>
          <w:tcPr>
            <w:tcW w:w="332" w:type="pct"/>
            <w:vMerge w:val="restart"/>
            <w:tcMar>
              <w:top w:w="30" w:type="dxa"/>
              <w:left w:w="45" w:type="dxa"/>
              <w:bottom w:w="30" w:type="dxa"/>
              <w:right w:w="45" w:type="dxa"/>
            </w:tcMar>
            <w:vAlign w:val="center"/>
            <w:hideMark/>
          </w:tcPr>
          <w:p w14:paraId="1A5295D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390" w:type="pct"/>
            <w:vMerge w:val="restart"/>
            <w:tcMar>
              <w:top w:w="30" w:type="dxa"/>
              <w:left w:w="45" w:type="dxa"/>
              <w:bottom w:w="30" w:type="dxa"/>
              <w:right w:w="45" w:type="dxa"/>
            </w:tcMar>
            <w:vAlign w:val="center"/>
            <w:hideMark/>
          </w:tcPr>
          <w:p w14:paraId="6D4A80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654" w:type="pct"/>
            <w:tcMar>
              <w:top w:w="30" w:type="dxa"/>
              <w:left w:w="45" w:type="dxa"/>
              <w:bottom w:w="30" w:type="dxa"/>
              <w:right w:w="45" w:type="dxa"/>
            </w:tcMar>
            <w:vAlign w:val="center"/>
            <w:hideMark/>
          </w:tcPr>
          <w:p w14:paraId="5E3AB3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20,00%</w:t>
            </w:r>
          </w:p>
        </w:tc>
        <w:tc>
          <w:tcPr>
            <w:tcW w:w="663" w:type="pct"/>
            <w:tcMar>
              <w:top w:w="30" w:type="dxa"/>
              <w:left w:w="45" w:type="dxa"/>
              <w:bottom w:w="30" w:type="dxa"/>
              <w:right w:w="45" w:type="dxa"/>
            </w:tcMar>
            <w:vAlign w:val="center"/>
            <w:hideMark/>
          </w:tcPr>
          <w:p w14:paraId="0CF696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50,00%</w:t>
            </w:r>
          </w:p>
        </w:tc>
        <w:tc>
          <w:tcPr>
            <w:tcW w:w="687" w:type="pct"/>
            <w:tcMar>
              <w:top w:w="30" w:type="dxa"/>
              <w:left w:w="45" w:type="dxa"/>
              <w:bottom w:w="30" w:type="dxa"/>
              <w:right w:w="45" w:type="dxa"/>
            </w:tcMar>
            <w:vAlign w:val="center"/>
            <w:hideMark/>
          </w:tcPr>
          <w:p w14:paraId="6B0748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80,00%</w:t>
            </w:r>
          </w:p>
        </w:tc>
        <w:tc>
          <w:tcPr>
            <w:tcW w:w="691" w:type="pct"/>
            <w:tcMar>
              <w:top w:w="30" w:type="dxa"/>
              <w:left w:w="45" w:type="dxa"/>
              <w:bottom w:w="30" w:type="dxa"/>
              <w:right w:w="45" w:type="dxa"/>
            </w:tcMar>
            <w:vAlign w:val="center"/>
            <w:hideMark/>
          </w:tcPr>
          <w:p w14:paraId="1167B0C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740" w:type="pct"/>
            <w:vMerge w:val="restart"/>
            <w:tcMar>
              <w:top w:w="30" w:type="dxa"/>
              <w:left w:w="45" w:type="dxa"/>
              <w:bottom w:w="30" w:type="dxa"/>
              <w:right w:w="45" w:type="dxa"/>
            </w:tcMar>
            <w:vAlign w:val="center"/>
            <w:hideMark/>
          </w:tcPr>
          <w:p w14:paraId="51F6579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6.082.721.992</w:t>
            </w:r>
          </w:p>
        </w:tc>
      </w:tr>
      <w:tr w:rsidR="00856F66" w:rsidRPr="00E31657" w14:paraId="05C0ED3B" w14:textId="77777777" w:rsidTr="00F974BB">
        <w:trPr>
          <w:trHeight w:val="20"/>
        </w:trPr>
        <w:tc>
          <w:tcPr>
            <w:tcW w:w="843" w:type="pct"/>
            <w:vMerge/>
            <w:vAlign w:val="center"/>
            <w:hideMark/>
          </w:tcPr>
          <w:p w14:paraId="6F7E2801" w14:textId="77777777" w:rsidR="00856F66" w:rsidRPr="00E31657" w:rsidRDefault="00856F66" w:rsidP="00AE6E22">
            <w:pPr>
              <w:rPr>
                <w:rFonts w:cs="Arial"/>
                <w:sz w:val="16"/>
                <w:szCs w:val="16"/>
                <w:lang w:val="es-ES_tradnl" w:eastAsia="es-MX"/>
              </w:rPr>
            </w:pPr>
          </w:p>
        </w:tc>
        <w:tc>
          <w:tcPr>
            <w:tcW w:w="332" w:type="pct"/>
            <w:vMerge/>
            <w:vAlign w:val="center"/>
            <w:hideMark/>
          </w:tcPr>
          <w:p w14:paraId="55D1B3A9" w14:textId="77777777" w:rsidR="00856F66" w:rsidRPr="00E31657" w:rsidRDefault="00856F66" w:rsidP="00AE6E22">
            <w:pPr>
              <w:rPr>
                <w:rFonts w:cs="Arial"/>
                <w:sz w:val="16"/>
                <w:szCs w:val="16"/>
                <w:lang w:val="es-ES_tradnl" w:eastAsia="es-MX"/>
              </w:rPr>
            </w:pPr>
          </w:p>
        </w:tc>
        <w:tc>
          <w:tcPr>
            <w:tcW w:w="390" w:type="pct"/>
            <w:vMerge/>
            <w:vAlign w:val="center"/>
            <w:hideMark/>
          </w:tcPr>
          <w:p w14:paraId="68E639A0" w14:textId="77777777" w:rsidR="00856F66" w:rsidRPr="00E31657" w:rsidRDefault="00856F66" w:rsidP="00AE6E22">
            <w:pPr>
              <w:rPr>
                <w:rFonts w:cs="Arial"/>
                <w:sz w:val="16"/>
                <w:szCs w:val="16"/>
                <w:lang w:val="es-ES_tradnl" w:eastAsia="es-MX"/>
              </w:rPr>
            </w:pPr>
          </w:p>
        </w:tc>
        <w:tc>
          <w:tcPr>
            <w:tcW w:w="654" w:type="pct"/>
            <w:tcMar>
              <w:top w:w="30" w:type="dxa"/>
              <w:left w:w="45" w:type="dxa"/>
              <w:bottom w:w="30" w:type="dxa"/>
              <w:right w:w="45" w:type="dxa"/>
            </w:tcMar>
            <w:vAlign w:val="center"/>
            <w:hideMark/>
          </w:tcPr>
          <w:p w14:paraId="633DAA2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902.000.000</w:t>
            </w:r>
          </w:p>
        </w:tc>
        <w:tc>
          <w:tcPr>
            <w:tcW w:w="663" w:type="pct"/>
            <w:tcMar>
              <w:top w:w="30" w:type="dxa"/>
              <w:left w:w="45" w:type="dxa"/>
              <w:bottom w:w="30" w:type="dxa"/>
              <w:right w:w="45" w:type="dxa"/>
            </w:tcMar>
            <w:vAlign w:val="center"/>
            <w:hideMark/>
          </w:tcPr>
          <w:p w14:paraId="4FB5A41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1.914.563.107</w:t>
            </w:r>
          </w:p>
        </w:tc>
        <w:tc>
          <w:tcPr>
            <w:tcW w:w="687" w:type="pct"/>
            <w:tcMar>
              <w:top w:w="30" w:type="dxa"/>
              <w:left w:w="45" w:type="dxa"/>
              <w:bottom w:w="30" w:type="dxa"/>
              <w:right w:w="45" w:type="dxa"/>
            </w:tcMar>
            <w:vAlign w:val="center"/>
            <w:hideMark/>
          </w:tcPr>
          <w:p w14:paraId="0665AF6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1.728.720.897</w:t>
            </w:r>
          </w:p>
        </w:tc>
        <w:tc>
          <w:tcPr>
            <w:tcW w:w="691" w:type="pct"/>
            <w:tcMar>
              <w:top w:w="30" w:type="dxa"/>
              <w:left w:w="45" w:type="dxa"/>
              <w:bottom w:w="30" w:type="dxa"/>
              <w:right w:w="45" w:type="dxa"/>
            </w:tcMar>
            <w:vAlign w:val="center"/>
            <w:hideMark/>
          </w:tcPr>
          <w:p w14:paraId="0605AA4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1.537.437.988</w:t>
            </w:r>
          </w:p>
        </w:tc>
        <w:tc>
          <w:tcPr>
            <w:tcW w:w="740" w:type="pct"/>
            <w:vMerge/>
            <w:vAlign w:val="center"/>
            <w:hideMark/>
          </w:tcPr>
          <w:p w14:paraId="226131D1" w14:textId="77777777" w:rsidR="00856F66" w:rsidRPr="00E31657" w:rsidRDefault="00856F66" w:rsidP="00AE6E22">
            <w:pPr>
              <w:rPr>
                <w:rFonts w:cs="Arial"/>
                <w:b/>
                <w:bCs/>
                <w:sz w:val="16"/>
                <w:szCs w:val="16"/>
                <w:lang w:val="es-ES_tradnl" w:eastAsia="es-MX"/>
              </w:rPr>
            </w:pPr>
          </w:p>
        </w:tc>
      </w:tr>
    </w:tbl>
    <w:p w14:paraId="55599CCA" w14:textId="77777777" w:rsidR="00856F66" w:rsidRPr="00E31657" w:rsidRDefault="00856F66">
      <w:pPr>
        <w:rPr>
          <w:sz w:val="16"/>
          <w:szCs w:val="16"/>
          <w:lang w:val="es-ES_tradnl"/>
        </w:rPr>
      </w:pPr>
    </w:p>
    <w:p w14:paraId="69E0DF9A" w14:textId="77777777" w:rsidR="00856F66" w:rsidRPr="00E31657" w:rsidRDefault="00856F66">
      <w:pPr>
        <w:rPr>
          <w:sz w:val="16"/>
          <w:szCs w:val="16"/>
          <w:lang w:val="es-ES_tradnl"/>
        </w:rPr>
      </w:pPr>
    </w:p>
    <w:p w14:paraId="72EEF833" w14:textId="77777777" w:rsidR="00856F66" w:rsidRPr="00E31657" w:rsidRDefault="00856F66">
      <w:pPr>
        <w:rPr>
          <w:sz w:val="16"/>
          <w:szCs w:val="16"/>
          <w:lang w:val="es-ES_tradnl"/>
        </w:rPr>
      </w:pPr>
    </w:p>
    <w:p w14:paraId="54B4B3E3" w14:textId="77777777" w:rsidR="00856F66" w:rsidRPr="00E31657" w:rsidRDefault="00856F66">
      <w:pPr>
        <w:rPr>
          <w:sz w:val="16"/>
          <w:szCs w:val="16"/>
          <w:lang w:val="es-ES_tradnl"/>
        </w:rPr>
      </w:pPr>
    </w:p>
    <w:tbl>
      <w:tblPr>
        <w:tblW w:w="5062" w:type="pct"/>
        <w:tblBorders>
          <w:bottom w:val="double" w:sz="4" w:space="0" w:color="C00000"/>
          <w:insideH w:val="double" w:sz="4" w:space="0" w:color="C00000"/>
          <w:insideV w:val="double" w:sz="4" w:space="0" w:color="C00000"/>
        </w:tblBorders>
        <w:tblCellMar>
          <w:left w:w="0" w:type="dxa"/>
          <w:right w:w="0" w:type="dxa"/>
        </w:tblCellMar>
        <w:tblLook w:val="04A0" w:firstRow="1" w:lastRow="0" w:firstColumn="1" w:lastColumn="0" w:noHBand="0" w:noVBand="1"/>
      </w:tblPr>
      <w:tblGrid>
        <w:gridCol w:w="1347"/>
        <w:gridCol w:w="1109"/>
        <w:gridCol w:w="1109"/>
        <w:gridCol w:w="1209"/>
        <w:gridCol w:w="1154"/>
        <w:gridCol w:w="1118"/>
        <w:gridCol w:w="1188"/>
        <w:gridCol w:w="1234"/>
        <w:gridCol w:w="8"/>
      </w:tblGrid>
      <w:tr w:rsidR="00856F66" w:rsidRPr="00E31657" w14:paraId="6925DB78" w14:textId="77777777" w:rsidTr="00F974BB">
        <w:trPr>
          <w:trHeight w:val="20"/>
        </w:trPr>
        <w:tc>
          <w:tcPr>
            <w:tcW w:w="5000" w:type="pct"/>
            <w:gridSpan w:val="9"/>
            <w:tcMar>
              <w:top w:w="30" w:type="dxa"/>
              <w:left w:w="45" w:type="dxa"/>
              <w:bottom w:w="30" w:type="dxa"/>
              <w:right w:w="45" w:type="dxa"/>
            </w:tcMar>
            <w:vAlign w:val="center"/>
            <w:hideMark/>
          </w:tcPr>
          <w:p w14:paraId="3365F2F1" w14:textId="77777777" w:rsidR="00856F66" w:rsidRPr="00E31657" w:rsidRDefault="00856F66" w:rsidP="00AE6E22">
            <w:pPr>
              <w:jc w:val="center"/>
              <w:rPr>
                <w:rFonts w:cs="Arial"/>
                <w:b/>
                <w:bCs/>
                <w:lang w:val="es-ES_tradnl" w:eastAsia="es-MX"/>
              </w:rPr>
            </w:pPr>
            <w:r w:rsidRPr="00E31657">
              <w:rPr>
                <w:rFonts w:cs="Arial"/>
                <w:b/>
                <w:bCs/>
                <w:color w:val="C00000"/>
                <w:lang w:val="es-ES_tradnl" w:eastAsia="es-MX"/>
              </w:rPr>
              <w:t xml:space="preserve">Programa 38. </w:t>
            </w:r>
            <w:r w:rsidRPr="00E31657">
              <w:rPr>
                <w:rFonts w:cs="Arial"/>
                <w:lang w:val="es-ES_tradnl" w:eastAsia="es-MX"/>
              </w:rPr>
              <w:t>Gestión eficiente de los ingresos y gastos enfocados en la confianza ciudadana</w:t>
            </w:r>
          </w:p>
        </w:tc>
      </w:tr>
      <w:tr w:rsidR="00856F66" w:rsidRPr="00E31657" w14:paraId="6CE002AF" w14:textId="77777777" w:rsidTr="00F974BB">
        <w:trPr>
          <w:gridAfter w:val="1"/>
          <w:wAfter w:w="4" w:type="pct"/>
          <w:trHeight w:val="20"/>
        </w:trPr>
        <w:tc>
          <w:tcPr>
            <w:tcW w:w="711" w:type="pct"/>
            <w:vMerge w:val="restart"/>
            <w:shd w:val="clear" w:color="auto" w:fill="C00000"/>
            <w:tcMar>
              <w:top w:w="30" w:type="dxa"/>
              <w:left w:w="45" w:type="dxa"/>
              <w:bottom w:w="30" w:type="dxa"/>
              <w:right w:w="45" w:type="dxa"/>
            </w:tcMar>
            <w:vAlign w:val="center"/>
            <w:hideMark/>
          </w:tcPr>
          <w:p w14:paraId="6C617537" w14:textId="7D0E84BE" w:rsidR="00856F66" w:rsidRPr="00E31657" w:rsidRDefault="00856F66" w:rsidP="00985E3D">
            <w:pPr>
              <w:pStyle w:val="Ttulo"/>
              <w:jc w:val="center"/>
              <w:rPr>
                <w:rFonts w:cs="Arial"/>
                <w:b/>
                <w:bCs/>
                <w:color w:val="FFFFFF"/>
                <w:sz w:val="16"/>
                <w:szCs w:val="16"/>
                <w:lang w:val="es-ES_tradnl" w:eastAsia="es-MX"/>
              </w:rPr>
            </w:pPr>
            <w:r w:rsidRPr="00985E3D">
              <w:rPr>
                <w:rFonts w:ascii="Candara" w:eastAsia="Times New Roman" w:hAnsi="Candara"/>
                <w:b/>
                <w:bCs/>
                <w:color w:val="FFFFFF" w:themeColor="background1"/>
                <w:sz w:val="24"/>
                <w:szCs w:val="24"/>
                <w:lang w:val="es-ES_tradnl" w:eastAsia="es-MX"/>
              </w:rPr>
              <w:t xml:space="preserve">Sector / </w:t>
            </w:r>
            <w:r w:rsidR="00985E3D">
              <w:rPr>
                <w:rFonts w:ascii="Candara" w:eastAsia="Times New Roman" w:hAnsi="Candara"/>
                <w:b/>
                <w:bCs/>
                <w:color w:val="FFFFFF" w:themeColor="background1"/>
                <w:sz w:val="24"/>
                <w:szCs w:val="24"/>
                <w:lang w:val="es-ES_tradnl" w:eastAsia="es-MX"/>
              </w:rPr>
              <w:br/>
            </w:r>
            <w:r w:rsidRPr="00985E3D">
              <w:rPr>
                <w:rFonts w:ascii="Candara" w:eastAsia="Times New Roman" w:hAnsi="Candara"/>
                <w:b/>
                <w:bCs/>
                <w:color w:val="FFFFFF" w:themeColor="background1"/>
                <w:sz w:val="24"/>
                <w:szCs w:val="24"/>
                <w:lang w:val="es-ES_tradnl" w:eastAsia="es-MX"/>
              </w:rPr>
              <w:t>Metas</w:t>
            </w:r>
          </w:p>
        </w:tc>
        <w:tc>
          <w:tcPr>
            <w:tcW w:w="4284" w:type="pct"/>
            <w:gridSpan w:val="7"/>
            <w:shd w:val="clear" w:color="auto" w:fill="C00000"/>
            <w:tcMar>
              <w:top w:w="30" w:type="dxa"/>
              <w:left w:w="45" w:type="dxa"/>
              <w:bottom w:w="30" w:type="dxa"/>
              <w:right w:w="45" w:type="dxa"/>
            </w:tcMar>
            <w:vAlign w:val="center"/>
            <w:hideMark/>
          </w:tcPr>
          <w:p w14:paraId="71DAAB06" w14:textId="77777777" w:rsidR="00856F66" w:rsidRPr="00E31657" w:rsidRDefault="00856F66" w:rsidP="00985E3D">
            <w:pPr>
              <w:pStyle w:val="Ttulo"/>
              <w:jc w:val="center"/>
              <w:rPr>
                <w:rFonts w:cs="Arial"/>
                <w:b/>
                <w:bCs/>
                <w:color w:val="FFFFFF"/>
                <w:sz w:val="16"/>
                <w:szCs w:val="16"/>
                <w:lang w:val="es-ES_tradnl" w:eastAsia="es-MX"/>
              </w:rPr>
            </w:pPr>
            <w:r w:rsidRPr="00985E3D">
              <w:rPr>
                <w:rFonts w:ascii="Candara" w:eastAsia="Times New Roman" w:hAnsi="Candara"/>
                <w:b/>
                <w:bCs/>
                <w:color w:val="FFFFFF" w:themeColor="background1"/>
                <w:sz w:val="24"/>
                <w:szCs w:val="24"/>
                <w:lang w:val="es-ES_tradnl" w:eastAsia="es-MX"/>
              </w:rPr>
              <w:t xml:space="preserve">Magnitudes e Inversión </w:t>
            </w:r>
            <w:r w:rsidRPr="00985E3D">
              <w:rPr>
                <w:rFonts w:ascii="Candara" w:eastAsia="Times New Roman" w:hAnsi="Candara"/>
                <w:b/>
                <w:bCs/>
                <w:color w:val="FFFFFF" w:themeColor="background1"/>
                <w:sz w:val="24"/>
                <w:szCs w:val="24"/>
                <w:lang w:val="es-ES_tradnl" w:eastAsia="es-MX"/>
              </w:rPr>
              <w:br/>
              <w:t>(Precios Constantes 2024)</w:t>
            </w:r>
          </w:p>
        </w:tc>
      </w:tr>
      <w:tr w:rsidR="00856F66" w:rsidRPr="00E31657" w14:paraId="508DCEA7" w14:textId="77777777" w:rsidTr="00F974BB">
        <w:trPr>
          <w:gridAfter w:val="1"/>
          <w:wAfter w:w="4" w:type="pct"/>
          <w:trHeight w:val="20"/>
        </w:trPr>
        <w:tc>
          <w:tcPr>
            <w:tcW w:w="711" w:type="pct"/>
            <w:vMerge/>
            <w:shd w:val="clear" w:color="auto" w:fill="C00000"/>
            <w:vAlign w:val="center"/>
            <w:hideMark/>
          </w:tcPr>
          <w:p w14:paraId="68D3D700" w14:textId="77777777" w:rsidR="00856F66" w:rsidRPr="00E31657" w:rsidRDefault="00856F66" w:rsidP="00AE6E22">
            <w:pPr>
              <w:rPr>
                <w:rFonts w:cs="Arial"/>
                <w:b/>
                <w:bCs/>
                <w:color w:val="FFFFFF"/>
                <w:sz w:val="16"/>
                <w:szCs w:val="16"/>
                <w:lang w:val="es-ES_tradnl" w:eastAsia="es-MX"/>
              </w:rPr>
            </w:pPr>
          </w:p>
        </w:tc>
        <w:tc>
          <w:tcPr>
            <w:tcW w:w="585" w:type="pct"/>
            <w:shd w:val="clear" w:color="auto" w:fill="D9D9D9"/>
            <w:tcMar>
              <w:top w:w="30" w:type="dxa"/>
              <w:left w:w="45" w:type="dxa"/>
              <w:bottom w:w="30" w:type="dxa"/>
              <w:right w:w="45" w:type="dxa"/>
            </w:tcMar>
            <w:vAlign w:val="center"/>
            <w:hideMark/>
          </w:tcPr>
          <w:p w14:paraId="21EC1CB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585" w:type="pct"/>
            <w:shd w:val="clear" w:color="auto" w:fill="D9D9D9"/>
            <w:tcMar>
              <w:top w:w="30" w:type="dxa"/>
              <w:left w:w="45" w:type="dxa"/>
              <w:bottom w:w="30" w:type="dxa"/>
              <w:right w:w="45" w:type="dxa"/>
            </w:tcMar>
            <w:vAlign w:val="center"/>
            <w:hideMark/>
          </w:tcPr>
          <w:p w14:paraId="7A15E8F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638" w:type="pct"/>
            <w:shd w:val="clear" w:color="auto" w:fill="D9D9D9"/>
            <w:tcMar>
              <w:top w:w="30" w:type="dxa"/>
              <w:left w:w="45" w:type="dxa"/>
              <w:bottom w:w="30" w:type="dxa"/>
              <w:right w:w="45" w:type="dxa"/>
            </w:tcMar>
            <w:vAlign w:val="center"/>
            <w:hideMark/>
          </w:tcPr>
          <w:p w14:paraId="3597928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609" w:type="pct"/>
            <w:shd w:val="clear" w:color="auto" w:fill="D9D9D9"/>
            <w:tcMar>
              <w:top w:w="30" w:type="dxa"/>
              <w:left w:w="45" w:type="dxa"/>
              <w:bottom w:w="30" w:type="dxa"/>
              <w:right w:w="45" w:type="dxa"/>
            </w:tcMar>
            <w:vAlign w:val="center"/>
            <w:hideMark/>
          </w:tcPr>
          <w:p w14:paraId="12DCA7C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590" w:type="pct"/>
            <w:shd w:val="clear" w:color="auto" w:fill="D9D9D9"/>
            <w:tcMar>
              <w:top w:w="30" w:type="dxa"/>
              <w:left w:w="45" w:type="dxa"/>
              <w:bottom w:w="30" w:type="dxa"/>
              <w:right w:w="45" w:type="dxa"/>
            </w:tcMar>
            <w:vAlign w:val="center"/>
            <w:hideMark/>
          </w:tcPr>
          <w:p w14:paraId="361C236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627" w:type="pct"/>
            <w:shd w:val="clear" w:color="auto" w:fill="D9D9D9"/>
            <w:tcMar>
              <w:top w:w="30" w:type="dxa"/>
              <w:left w:w="45" w:type="dxa"/>
              <w:bottom w:w="30" w:type="dxa"/>
              <w:right w:w="45" w:type="dxa"/>
            </w:tcMar>
            <w:vAlign w:val="center"/>
            <w:hideMark/>
          </w:tcPr>
          <w:p w14:paraId="7086F82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651" w:type="pct"/>
            <w:shd w:val="clear" w:color="auto" w:fill="D9D9D9"/>
            <w:tcMar>
              <w:top w:w="30" w:type="dxa"/>
              <w:left w:w="45" w:type="dxa"/>
              <w:bottom w:w="30" w:type="dxa"/>
              <w:right w:w="45" w:type="dxa"/>
            </w:tcMar>
            <w:vAlign w:val="center"/>
            <w:hideMark/>
          </w:tcPr>
          <w:p w14:paraId="04EB439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39980A83" w14:textId="77777777" w:rsidTr="00F974BB">
        <w:trPr>
          <w:trHeight w:val="20"/>
        </w:trPr>
        <w:tc>
          <w:tcPr>
            <w:tcW w:w="5000" w:type="pct"/>
            <w:gridSpan w:val="9"/>
            <w:shd w:val="clear" w:color="auto" w:fill="C00000"/>
            <w:tcMar>
              <w:top w:w="30" w:type="dxa"/>
              <w:left w:w="45" w:type="dxa"/>
              <w:bottom w:w="30" w:type="dxa"/>
              <w:right w:w="45" w:type="dxa"/>
            </w:tcMar>
            <w:vAlign w:val="center"/>
            <w:hideMark/>
          </w:tcPr>
          <w:p w14:paraId="6B3DB6BB"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Gestión jurídica</w:t>
            </w:r>
          </w:p>
        </w:tc>
      </w:tr>
      <w:tr w:rsidR="00856F66" w:rsidRPr="00E31657" w14:paraId="465A5CD8"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18D810B2"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Generar cuatro (4) estrategias para el fortalecimiento jurídico del Distrito Capital para la prevención del daño antijurídico la participación eficiente en los procesos judiciales y extrajudiciales y la gestión del conocimiento.</w:t>
            </w:r>
          </w:p>
        </w:tc>
        <w:tc>
          <w:tcPr>
            <w:tcW w:w="585" w:type="pct"/>
            <w:vMerge w:val="restart"/>
            <w:tcMar>
              <w:top w:w="30" w:type="dxa"/>
              <w:left w:w="45" w:type="dxa"/>
              <w:bottom w:w="30" w:type="dxa"/>
              <w:right w:w="45" w:type="dxa"/>
            </w:tcMar>
            <w:vAlign w:val="center"/>
            <w:hideMark/>
          </w:tcPr>
          <w:p w14:paraId="34052C9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585" w:type="pct"/>
            <w:vMerge w:val="restart"/>
            <w:tcMar>
              <w:top w:w="30" w:type="dxa"/>
              <w:left w:w="45" w:type="dxa"/>
              <w:bottom w:w="30" w:type="dxa"/>
              <w:right w:w="45" w:type="dxa"/>
            </w:tcMar>
            <w:vAlign w:val="center"/>
            <w:hideMark/>
          </w:tcPr>
          <w:p w14:paraId="458D8CD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Defensa Judicial</w:t>
            </w:r>
          </w:p>
        </w:tc>
        <w:tc>
          <w:tcPr>
            <w:tcW w:w="638" w:type="pct"/>
            <w:tcMar>
              <w:top w:w="30" w:type="dxa"/>
              <w:left w:w="45" w:type="dxa"/>
              <w:bottom w:w="30" w:type="dxa"/>
              <w:right w:w="45" w:type="dxa"/>
            </w:tcMar>
            <w:vAlign w:val="center"/>
            <w:hideMark/>
          </w:tcPr>
          <w:p w14:paraId="62607C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609" w:type="pct"/>
            <w:tcMar>
              <w:top w:w="30" w:type="dxa"/>
              <w:left w:w="45" w:type="dxa"/>
              <w:bottom w:w="30" w:type="dxa"/>
              <w:right w:w="45" w:type="dxa"/>
            </w:tcMar>
            <w:vAlign w:val="center"/>
            <w:hideMark/>
          </w:tcPr>
          <w:p w14:paraId="2A8C92C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90" w:type="pct"/>
            <w:tcMar>
              <w:top w:w="30" w:type="dxa"/>
              <w:left w:w="45" w:type="dxa"/>
              <w:bottom w:w="30" w:type="dxa"/>
              <w:right w:w="45" w:type="dxa"/>
            </w:tcMar>
            <w:vAlign w:val="center"/>
            <w:hideMark/>
          </w:tcPr>
          <w:p w14:paraId="6DE78D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627" w:type="pct"/>
            <w:tcMar>
              <w:top w:w="30" w:type="dxa"/>
              <w:left w:w="45" w:type="dxa"/>
              <w:bottom w:w="30" w:type="dxa"/>
              <w:right w:w="45" w:type="dxa"/>
            </w:tcMar>
            <w:vAlign w:val="center"/>
            <w:hideMark/>
          </w:tcPr>
          <w:p w14:paraId="6735AD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651" w:type="pct"/>
            <w:vMerge w:val="restart"/>
            <w:tcMar>
              <w:top w:w="30" w:type="dxa"/>
              <w:left w:w="45" w:type="dxa"/>
              <w:bottom w:w="30" w:type="dxa"/>
              <w:right w:w="45" w:type="dxa"/>
            </w:tcMar>
            <w:vAlign w:val="center"/>
            <w:hideMark/>
          </w:tcPr>
          <w:p w14:paraId="1156B494"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6.802.521.210</w:t>
            </w:r>
          </w:p>
        </w:tc>
      </w:tr>
      <w:tr w:rsidR="00856F66" w:rsidRPr="00E31657" w14:paraId="76ED8DB3" w14:textId="77777777" w:rsidTr="00F974BB">
        <w:trPr>
          <w:gridAfter w:val="1"/>
          <w:wAfter w:w="4" w:type="pct"/>
          <w:trHeight w:val="20"/>
        </w:trPr>
        <w:tc>
          <w:tcPr>
            <w:tcW w:w="711" w:type="pct"/>
            <w:vMerge/>
            <w:vAlign w:val="center"/>
            <w:hideMark/>
          </w:tcPr>
          <w:p w14:paraId="13A8A476" w14:textId="77777777" w:rsidR="00856F66" w:rsidRPr="00E31657" w:rsidRDefault="00856F66" w:rsidP="00BE4ED4">
            <w:pPr>
              <w:jc w:val="right"/>
              <w:rPr>
                <w:rFonts w:cs="Arial"/>
                <w:sz w:val="16"/>
                <w:szCs w:val="16"/>
                <w:lang w:val="es-ES_tradnl" w:eastAsia="es-MX"/>
              </w:rPr>
            </w:pPr>
          </w:p>
        </w:tc>
        <w:tc>
          <w:tcPr>
            <w:tcW w:w="585" w:type="pct"/>
            <w:vMerge/>
            <w:vAlign w:val="center"/>
            <w:hideMark/>
          </w:tcPr>
          <w:p w14:paraId="47B9FC1D" w14:textId="77777777" w:rsidR="00856F66" w:rsidRPr="00E31657" w:rsidRDefault="00856F66" w:rsidP="00AE6E22">
            <w:pPr>
              <w:rPr>
                <w:rFonts w:cs="Arial"/>
                <w:sz w:val="16"/>
                <w:szCs w:val="16"/>
                <w:lang w:val="es-ES_tradnl" w:eastAsia="es-MX"/>
              </w:rPr>
            </w:pPr>
          </w:p>
        </w:tc>
        <w:tc>
          <w:tcPr>
            <w:tcW w:w="585" w:type="pct"/>
            <w:vMerge/>
            <w:vAlign w:val="center"/>
            <w:hideMark/>
          </w:tcPr>
          <w:p w14:paraId="4509B5AF"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208BC98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1.822.000.000</w:t>
            </w:r>
          </w:p>
        </w:tc>
        <w:tc>
          <w:tcPr>
            <w:tcW w:w="609" w:type="pct"/>
            <w:tcMar>
              <w:top w:w="30" w:type="dxa"/>
              <w:left w:w="45" w:type="dxa"/>
              <w:bottom w:w="30" w:type="dxa"/>
              <w:right w:w="45" w:type="dxa"/>
            </w:tcMar>
            <w:vAlign w:val="center"/>
            <w:hideMark/>
          </w:tcPr>
          <w:p w14:paraId="2DBFEAE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1.456.310.680</w:t>
            </w:r>
          </w:p>
        </w:tc>
        <w:tc>
          <w:tcPr>
            <w:tcW w:w="590" w:type="pct"/>
            <w:tcMar>
              <w:top w:w="30" w:type="dxa"/>
              <w:left w:w="45" w:type="dxa"/>
              <w:bottom w:w="30" w:type="dxa"/>
              <w:right w:w="45" w:type="dxa"/>
            </w:tcMar>
            <w:vAlign w:val="center"/>
            <w:hideMark/>
          </w:tcPr>
          <w:p w14:paraId="36A49BF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1.602.413.046</w:t>
            </w:r>
          </w:p>
        </w:tc>
        <w:tc>
          <w:tcPr>
            <w:tcW w:w="627" w:type="pct"/>
            <w:tcMar>
              <w:top w:w="30" w:type="dxa"/>
              <w:left w:w="45" w:type="dxa"/>
              <w:bottom w:w="30" w:type="dxa"/>
              <w:right w:w="45" w:type="dxa"/>
            </w:tcMar>
            <w:vAlign w:val="center"/>
            <w:hideMark/>
          </w:tcPr>
          <w:p w14:paraId="63FFC44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1.921.797.485</w:t>
            </w:r>
          </w:p>
        </w:tc>
        <w:tc>
          <w:tcPr>
            <w:tcW w:w="651" w:type="pct"/>
            <w:vMerge/>
            <w:vAlign w:val="center"/>
            <w:hideMark/>
          </w:tcPr>
          <w:p w14:paraId="661962BB" w14:textId="77777777" w:rsidR="00856F66" w:rsidRPr="00E31657" w:rsidRDefault="00856F66" w:rsidP="00AE6E22">
            <w:pPr>
              <w:rPr>
                <w:rFonts w:cs="Arial"/>
                <w:b/>
                <w:bCs/>
                <w:sz w:val="16"/>
                <w:szCs w:val="16"/>
                <w:lang w:val="es-ES_tradnl" w:eastAsia="es-MX"/>
              </w:rPr>
            </w:pPr>
          </w:p>
        </w:tc>
      </w:tr>
      <w:tr w:rsidR="00856F66" w:rsidRPr="00E31657" w14:paraId="28C4D0E4"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12621034"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Implementar 4 (cuatro) planes de acompañamiento y asesorías a las Alcaldías Locales en materia de defensa judicial y prevención del daño antijurídico en los procesos judiciales con mayor valor en pretensiones.</w:t>
            </w:r>
          </w:p>
        </w:tc>
        <w:tc>
          <w:tcPr>
            <w:tcW w:w="585" w:type="pct"/>
            <w:vMerge w:val="restart"/>
            <w:tcMar>
              <w:top w:w="30" w:type="dxa"/>
              <w:left w:w="45" w:type="dxa"/>
              <w:bottom w:w="30" w:type="dxa"/>
              <w:right w:w="45" w:type="dxa"/>
            </w:tcMar>
            <w:vAlign w:val="center"/>
            <w:hideMark/>
          </w:tcPr>
          <w:p w14:paraId="57145E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585" w:type="pct"/>
            <w:vMerge w:val="restart"/>
            <w:tcMar>
              <w:top w:w="30" w:type="dxa"/>
              <w:left w:w="45" w:type="dxa"/>
              <w:bottom w:w="30" w:type="dxa"/>
              <w:right w:w="45" w:type="dxa"/>
            </w:tcMar>
            <w:vAlign w:val="center"/>
            <w:hideMark/>
          </w:tcPr>
          <w:p w14:paraId="4370A2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Defensa Judicial</w:t>
            </w:r>
          </w:p>
        </w:tc>
        <w:tc>
          <w:tcPr>
            <w:tcW w:w="638" w:type="pct"/>
            <w:tcMar>
              <w:top w:w="30" w:type="dxa"/>
              <w:left w:w="45" w:type="dxa"/>
              <w:bottom w:w="30" w:type="dxa"/>
              <w:right w:w="45" w:type="dxa"/>
            </w:tcMar>
            <w:vAlign w:val="center"/>
            <w:hideMark/>
          </w:tcPr>
          <w:p w14:paraId="53132B8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609" w:type="pct"/>
            <w:tcMar>
              <w:top w:w="30" w:type="dxa"/>
              <w:left w:w="45" w:type="dxa"/>
              <w:bottom w:w="30" w:type="dxa"/>
              <w:right w:w="45" w:type="dxa"/>
            </w:tcMar>
            <w:vAlign w:val="center"/>
            <w:hideMark/>
          </w:tcPr>
          <w:p w14:paraId="21789E6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590" w:type="pct"/>
            <w:tcMar>
              <w:top w:w="30" w:type="dxa"/>
              <w:left w:w="45" w:type="dxa"/>
              <w:bottom w:w="30" w:type="dxa"/>
              <w:right w:w="45" w:type="dxa"/>
            </w:tcMar>
            <w:vAlign w:val="center"/>
            <w:hideMark/>
          </w:tcPr>
          <w:p w14:paraId="2B6275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627" w:type="pct"/>
            <w:tcMar>
              <w:top w:w="30" w:type="dxa"/>
              <w:left w:w="45" w:type="dxa"/>
              <w:bottom w:w="30" w:type="dxa"/>
              <w:right w:w="45" w:type="dxa"/>
            </w:tcMar>
            <w:vAlign w:val="center"/>
            <w:hideMark/>
          </w:tcPr>
          <w:p w14:paraId="7B48F2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651" w:type="pct"/>
            <w:vMerge w:val="restart"/>
            <w:tcMar>
              <w:top w:w="30" w:type="dxa"/>
              <w:left w:w="45" w:type="dxa"/>
              <w:bottom w:w="30" w:type="dxa"/>
              <w:right w:w="45" w:type="dxa"/>
            </w:tcMar>
            <w:vAlign w:val="center"/>
            <w:hideMark/>
          </w:tcPr>
          <w:p w14:paraId="3880302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1.412.767.553</w:t>
            </w:r>
          </w:p>
        </w:tc>
      </w:tr>
      <w:tr w:rsidR="00856F66" w:rsidRPr="00E31657" w14:paraId="7268E325" w14:textId="77777777" w:rsidTr="00F974BB">
        <w:trPr>
          <w:gridAfter w:val="1"/>
          <w:wAfter w:w="4" w:type="pct"/>
          <w:trHeight w:val="20"/>
        </w:trPr>
        <w:tc>
          <w:tcPr>
            <w:tcW w:w="711" w:type="pct"/>
            <w:vMerge/>
            <w:vAlign w:val="center"/>
            <w:hideMark/>
          </w:tcPr>
          <w:p w14:paraId="218E8A8E" w14:textId="77777777" w:rsidR="00856F66" w:rsidRPr="00E31657" w:rsidRDefault="00856F66" w:rsidP="00AE6E22">
            <w:pPr>
              <w:rPr>
                <w:rFonts w:cs="Arial"/>
                <w:sz w:val="16"/>
                <w:szCs w:val="16"/>
                <w:lang w:val="es-ES_tradnl" w:eastAsia="es-MX"/>
              </w:rPr>
            </w:pPr>
          </w:p>
        </w:tc>
        <w:tc>
          <w:tcPr>
            <w:tcW w:w="585" w:type="pct"/>
            <w:vMerge/>
            <w:vAlign w:val="center"/>
            <w:hideMark/>
          </w:tcPr>
          <w:p w14:paraId="74662740" w14:textId="77777777" w:rsidR="00856F66" w:rsidRPr="00E31657" w:rsidRDefault="00856F66" w:rsidP="00AE6E22">
            <w:pPr>
              <w:rPr>
                <w:rFonts w:cs="Arial"/>
                <w:sz w:val="16"/>
                <w:szCs w:val="16"/>
                <w:lang w:val="es-ES_tradnl" w:eastAsia="es-MX"/>
              </w:rPr>
            </w:pPr>
          </w:p>
        </w:tc>
        <w:tc>
          <w:tcPr>
            <w:tcW w:w="585" w:type="pct"/>
            <w:vMerge/>
            <w:vAlign w:val="center"/>
            <w:hideMark/>
          </w:tcPr>
          <w:p w14:paraId="0DFCAEE6"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31CE6FB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250.000.000</w:t>
            </w:r>
          </w:p>
        </w:tc>
        <w:tc>
          <w:tcPr>
            <w:tcW w:w="609" w:type="pct"/>
            <w:tcMar>
              <w:top w:w="30" w:type="dxa"/>
              <w:left w:w="45" w:type="dxa"/>
              <w:bottom w:w="30" w:type="dxa"/>
              <w:right w:w="45" w:type="dxa"/>
            </w:tcMar>
            <w:vAlign w:val="center"/>
            <w:hideMark/>
          </w:tcPr>
          <w:p w14:paraId="57A0A8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364.077.670</w:t>
            </w:r>
          </w:p>
        </w:tc>
        <w:tc>
          <w:tcPr>
            <w:tcW w:w="590" w:type="pct"/>
            <w:tcMar>
              <w:top w:w="30" w:type="dxa"/>
              <w:left w:w="45" w:type="dxa"/>
              <w:bottom w:w="30" w:type="dxa"/>
              <w:right w:w="45" w:type="dxa"/>
            </w:tcMar>
            <w:vAlign w:val="center"/>
            <w:hideMark/>
          </w:tcPr>
          <w:p w14:paraId="4962B6B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400.603.261</w:t>
            </w:r>
          </w:p>
        </w:tc>
        <w:tc>
          <w:tcPr>
            <w:tcW w:w="627" w:type="pct"/>
            <w:tcMar>
              <w:top w:w="30" w:type="dxa"/>
              <w:left w:w="45" w:type="dxa"/>
              <w:bottom w:w="30" w:type="dxa"/>
              <w:right w:w="45" w:type="dxa"/>
            </w:tcMar>
            <w:vAlign w:val="center"/>
            <w:hideMark/>
          </w:tcPr>
          <w:p w14:paraId="6B08C87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398.086.622</w:t>
            </w:r>
          </w:p>
        </w:tc>
        <w:tc>
          <w:tcPr>
            <w:tcW w:w="651" w:type="pct"/>
            <w:vMerge/>
            <w:vAlign w:val="center"/>
            <w:hideMark/>
          </w:tcPr>
          <w:p w14:paraId="4B00A28D" w14:textId="77777777" w:rsidR="00856F66" w:rsidRPr="00E31657" w:rsidRDefault="00856F66" w:rsidP="00AE6E22">
            <w:pPr>
              <w:rPr>
                <w:rFonts w:cs="Arial"/>
                <w:b/>
                <w:bCs/>
                <w:sz w:val="16"/>
                <w:szCs w:val="16"/>
                <w:lang w:val="es-ES_tradnl" w:eastAsia="es-MX"/>
              </w:rPr>
            </w:pPr>
          </w:p>
        </w:tc>
      </w:tr>
      <w:tr w:rsidR="00856F66" w:rsidRPr="00E31657" w14:paraId="52166A08" w14:textId="77777777" w:rsidTr="00F974BB">
        <w:trPr>
          <w:trHeight w:val="20"/>
        </w:trPr>
        <w:tc>
          <w:tcPr>
            <w:tcW w:w="5000" w:type="pct"/>
            <w:gridSpan w:val="9"/>
            <w:shd w:val="clear" w:color="auto" w:fill="C00000"/>
            <w:tcMar>
              <w:top w:w="30" w:type="dxa"/>
              <w:left w:w="45" w:type="dxa"/>
              <w:bottom w:w="30" w:type="dxa"/>
              <w:right w:w="45" w:type="dxa"/>
            </w:tcMar>
            <w:vAlign w:val="center"/>
            <w:hideMark/>
          </w:tcPr>
          <w:p w14:paraId="3CDF002C"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Hacienda</w:t>
            </w:r>
          </w:p>
        </w:tc>
      </w:tr>
      <w:tr w:rsidR="00856F66" w:rsidRPr="00E31657" w14:paraId="42AF1F43"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40EE8AC6"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Alcanzar 14% de recuperación de cartera tributaria del saldo acumulado al año anterior.</w:t>
            </w:r>
          </w:p>
        </w:tc>
        <w:tc>
          <w:tcPr>
            <w:tcW w:w="585" w:type="pct"/>
            <w:vMerge w:val="restart"/>
            <w:tcMar>
              <w:top w:w="30" w:type="dxa"/>
              <w:left w:w="45" w:type="dxa"/>
              <w:bottom w:w="30" w:type="dxa"/>
              <w:right w:w="45" w:type="dxa"/>
            </w:tcMar>
            <w:vAlign w:val="center"/>
            <w:hideMark/>
          </w:tcPr>
          <w:p w14:paraId="1A4EAD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10% de la cartera recuperada en el 2023 </w:t>
            </w:r>
            <w:r w:rsidRPr="00E31657">
              <w:rPr>
                <w:rFonts w:cs="Arial"/>
                <w:sz w:val="16"/>
                <w:szCs w:val="16"/>
                <w:lang w:val="es-ES_tradnl" w:eastAsia="es-MX"/>
              </w:rPr>
              <w:br/>
              <w:t>(cartera con corte 31.12.2022)</w:t>
            </w:r>
          </w:p>
        </w:tc>
        <w:tc>
          <w:tcPr>
            <w:tcW w:w="585" w:type="pct"/>
            <w:vMerge w:val="restart"/>
            <w:tcMar>
              <w:top w:w="30" w:type="dxa"/>
              <w:left w:w="45" w:type="dxa"/>
              <w:bottom w:w="30" w:type="dxa"/>
              <w:right w:w="45" w:type="dxa"/>
            </w:tcMar>
            <w:vAlign w:val="center"/>
            <w:hideMark/>
          </w:tcPr>
          <w:p w14:paraId="5772B7A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Cobro</w:t>
            </w:r>
          </w:p>
        </w:tc>
        <w:tc>
          <w:tcPr>
            <w:tcW w:w="638" w:type="pct"/>
            <w:tcMar>
              <w:top w:w="30" w:type="dxa"/>
              <w:left w:w="45" w:type="dxa"/>
              <w:bottom w:w="30" w:type="dxa"/>
              <w:right w:w="45" w:type="dxa"/>
            </w:tcMar>
            <w:vAlign w:val="center"/>
            <w:hideMark/>
          </w:tcPr>
          <w:p w14:paraId="66FBA2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12,50%</w:t>
            </w:r>
          </w:p>
        </w:tc>
        <w:tc>
          <w:tcPr>
            <w:tcW w:w="609" w:type="pct"/>
            <w:tcMar>
              <w:top w:w="30" w:type="dxa"/>
              <w:left w:w="45" w:type="dxa"/>
              <w:bottom w:w="30" w:type="dxa"/>
              <w:right w:w="45" w:type="dxa"/>
            </w:tcMar>
            <w:vAlign w:val="center"/>
            <w:hideMark/>
          </w:tcPr>
          <w:p w14:paraId="5E991B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13,00%</w:t>
            </w:r>
          </w:p>
        </w:tc>
        <w:tc>
          <w:tcPr>
            <w:tcW w:w="590" w:type="pct"/>
            <w:tcMar>
              <w:top w:w="30" w:type="dxa"/>
              <w:left w:w="45" w:type="dxa"/>
              <w:bottom w:w="30" w:type="dxa"/>
              <w:right w:w="45" w:type="dxa"/>
            </w:tcMar>
            <w:vAlign w:val="center"/>
            <w:hideMark/>
          </w:tcPr>
          <w:p w14:paraId="32B085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13,50%</w:t>
            </w:r>
          </w:p>
        </w:tc>
        <w:tc>
          <w:tcPr>
            <w:tcW w:w="627" w:type="pct"/>
            <w:tcMar>
              <w:top w:w="30" w:type="dxa"/>
              <w:left w:w="45" w:type="dxa"/>
              <w:bottom w:w="30" w:type="dxa"/>
              <w:right w:w="45" w:type="dxa"/>
            </w:tcMar>
            <w:vAlign w:val="center"/>
            <w:hideMark/>
          </w:tcPr>
          <w:p w14:paraId="390960B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14,00%</w:t>
            </w:r>
          </w:p>
        </w:tc>
        <w:tc>
          <w:tcPr>
            <w:tcW w:w="651" w:type="pct"/>
            <w:vMerge w:val="restart"/>
            <w:tcMar>
              <w:top w:w="30" w:type="dxa"/>
              <w:left w:w="45" w:type="dxa"/>
              <w:bottom w:w="30" w:type="dxa"/>
              <w:right w:w="45" w:type="dxa"/>
            </w:tcMar>
            <w:vAlign w:val="center"/>
            <w:hideMark/>
          </w:tcPr>
          <w:p w14:paraId="37D0072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8.570.692.405</w:t>
            </w:r>
          </w:p>
        </w:tc>
      </w:tr>
      <w:tr w:rsidR="00856F66" w:rsidRPr="00E31657" w14:paraId="00A515CA" w14:textId="77777777" w:rsidTr="00F974BB">
        <w:trPr>
          <w:gridAfter w:val="1"/>
          <w:wAfter w:w="4" w:type="pct"/>
          <w:trHeight w:val="20"/>
        </w:trPr>
        <w:tc>
          <w:tcPr>
            <w:tcW w:w="711" w:type="pct"/>
            <w:vMerge/>
            <w:vAlign w:val="center"/>
            <w:hideMark/>
          </w:tcPr>
          <w:p w14:paraId="534F1ABD" w14:textId="77777777" w:rsidR="00856F66" w:rsidRPr="00E31657" w:rsidRDefault="00856F66" w:rsidP="00BE4ED4">
            <w:pPr>
              <w:jc w:val="right"/>
              <w:rPr>
                <w:rFonts w:cs="Arial"/>
                <w:sz w:val="16"/>
                <w:szCs w:val="16"/>
                <w:lang w:val="es-ES_tradnl" w:eastAsia="es-MX"/>
              </w:rPr>
            </w:pPr>
          </w:p>
        </w:tc>
        <w:tc>
          <w:tcPr>
            <w:tcW w:w="585" w:type="pct"/>
            <w:vMerge/>
            <w:vAlign w:val="center"/>
            <w:hideMark/>
          </w:tcPr>
          <w:p w14:paraId="1CC1B6DA" w14:textId="77777777" w:rsidR="00856F66" w:rsidRPr="00E31657" w:rsidRDefault="00856F66" w:rsidP="00AE6E22">
            <w:pPr>
              <w:rPr>
                <w:rFonts w:cs="Arial"/>
                <w:sz w:val="16"/>
                <w:szCs w:val="16"/>
                <w:lang w:val="es-ES_tradnl" w:eastAsia="es-MX"/>
              </w:rPr>
            </w:pPr>
          </w:p>
        </w:tc>
        <w:tc>
          <w:tcPr>
            <w:tcW w:w="585" w:type="pct"/>
            <w:vMerge/>
            <w:vAlign w:val="center"/>
            <w:hideMark/>
          </w:tcPr>
          <w:p w14:paraId="4E909C24"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1CC2ED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1.000.000.000</w:t>
            </w:r>
          </w:p>
        </w:tc>
        <w:tc>
          <w:tcPr>
            <w:tcW w:w="609" w:type="pct"/>
            <w:tcMar>
              <w:top w:w="30" w:type="dxa"/>
              <w:left w:w="45" w:type="dxa"/>
              <w:bottom w:w="30" w:type="dxa"/>
              <w:right w:w="45" w:type="dxa"/>
            </w:tcMar>
            <w:vAlign w:val="center"/>
            <w:hideMark/>
          </w:tcPr>
          <w:p w14:paraId="7D2B25F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2.912.621.359</w:t>
            </w:r>
          </w:p>
        </w:tc>
        <w:tc>
          <w:tcPr>
            <w:tcW w:w="590" w:type="pct"/>
            <w:tcMar>
              <w:top w:w="30" w:type="dxa"/>
              <w:left w:w="45" w:type="dxa"/>
              <w:bottom w:w="30" w:type="dxa"/>
              <w:right w:w="45" w:type="dxa"/>
            </w:tcMar>
            <w:vAlign w:val="center"/>
            <w:hideMark/>
          </w:tcPr>
          <w:p w14:paraId="7B5DA0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2.827.787.727</w:t>
            </w:r>
          </w:p>
        </w:tc>
        <w:tc>
          <w:tcPr>
            <w:tcW w:w="627" w:type="pct"/>
            <w:tcMar>
              <w:top w:w="30" w:type="dxa"/>
              <w:left w:w="45" w:type="dxa"/>
              <w:bottom w:w="30" w:type="dxa"/>
              <w:right w:w="45" w:type="dxa"/>
            </w:tcMar>
            <w:vAlign w:val="center"/>
            <w:hideMark/>
          </w:tcPr>
          <w:p w14:paraId="51D4A21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1.830.283.319</w:t>
            </w:r>
          </w:p>
        </w:tc>
        <w:tc>
          <w:tcPr>
            <w:tcW w:w="651" w:type="pct"/>
            <w:vMerge/>
            <w:vAlign w:val="center"/>
            <w:hideMark/>
          </w:tcPr>
          <w:p w14:paraId="655B7504" w14:textId="77777777" w:rsidR="00856F66" w:rsidRPr="00E31657" w:rsidRDefault="00856F66" w:rsidP="00AE6E22">
            <w:pPr>
              <w:rPr>
                <w:rFonts w:cs="Arial"/>
                <w:b/>
                <w:bCs/>
                <w:sz w:val="16"/>
                <w:szCs w:val="16"/>
                <w:lang w:val="es-ES_tradnl" w:eastAsia="es-MX"/>
              </w:rPr>
            </w:pPr>
          </w:p>
        </w:tc>
      </w:tr>
      <w:tr w:rsidR="00856F66" w:rsidRPr="00E31657" w14:paraId="09D27DE3"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5841991C"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Cumplir el 100% de la estrategia para el fortalecimiento de la gestión de derechos prestacionales y la política de atención al pensionado</w:t>
            </w:r>
          </w:p>
        </w:tc>
        <w:tc>
          <w:tcPr>
            <w:tcW w:w="585" w:type="pct"/>
            <w:vMerge w:val="restart"/>
            <w:tcMar>
              <w:top w:w="30" w:type="dxa"/>
              <w:left w:w="45" w:type="dxa"/>
              <w:bottom w:w="30" w:type="dxa"/>
              <w:right w:w="45" w:type="dxa"/>
            </w:tcMar>
            <w:vAlign w:val="center"/>
            <w:hideMark/>
          </w:tcPr>
          <w:p w14:paraId="679B9FE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585" w:type="pct"/>
            <w:vMerge w:val="restart"/>
            <w:tcMar>
              <w:top w:w="30" w:type="dxa"/>
              <w:left w:w="45" w:type="dxa"/>
              <w:bottom w:w="30" w:type="dxa"/>
              <w:right w:w="45" w:type="dxa"/>
            </w:tcMar>
            <w:vAlign w:val="center"/>
            <w:hideMark/>
          </w:tcPr>
          <w:p w14:paraId="5851AF2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Plan de acción </w:t>
            </w:r>
          </w:p>
        </w:tc>
        <w:tc>
          <w:tcPr>
            <w:tcW w:w="638" w:type="pct"/>
            <w:tcMar>
              <w:top w:w="30" w:type="dxa"/>
              <w:left w:w="45" w:type="dxa"/>
              <w:bottom w:w="30" w:type="dxa"/>
              <w:right w:w="45" w:type="dxa"/>
            </w:tcMar>
            <w:vAlign w:val="center"/>
            <w:hideMark/>
          </w:tcPr>
          <w:p w14:paraId="50B9C71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w:t>
            </w:r>
          </w:p>
        </w:tc>
        <w:tc>
          <w:tcPr>
            <w:tcW w:w="609" w:type="pct"/>
            <w:tcMar>
              <w:top w:w="30" w:type="dxa"/>
              <w:left w:w="45" w:type="dxa"/>
              <w:bottom w:w="30" w:type="dxa"/>
              <w:right w:w="45" w:type="dxa"/>
            </w:tcMar>
            <w:vAlign w:val="center"/>
            <w:hideMark/>
          </w:tcPr>
          <w:p w14:paraId="02174EE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40,00%</w:t>
            </w:r>
          </w:p>
        </w:tc>
        <w:tc>
          <w:tcPr>
            <w:tcW w:w="590" w:type="pct"/>
            <w:tcMar>
              <w:top w:w="30" w:type="dxa"/>
              <w:left w:w="45" w:type="dxa"/>
              <w:bottom w:w="30" w:type="dxa"/>
              <w:right w:w="45" w:type="dxa"/>
            </w:tcMar>
            <w:vAlign w:val="center"/>
            <w:hideMark/>
          </w:tcPr>
          <w:p w14:paraId="533A47A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70,00%</w:t>
            </w:r>
          </w:p>
        </w:tc>
        <w:tc>
          <w:tcPr>
            <w:tcW w:w="627" w:type="pct"/>
            <w:tcMar>
              <w:top w:w="30" w:type="dxa"/>
              <w:left w:w="45" w:type="dxa"/>
              <w:bottom w:w="30" w:type="dxa"/>
              <w:right w:w="45" w:type="dxa"/>
            </w:tcMar>
            <w:vAlign w:val="center"/>
            <w:hideMark/>
          </w:tcPr>
          <w:p w14:paraId="7DDB04A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651" w:type="pct"/>
            <w:vMerge w:val="restart"/>
            <w:tcMar>
              <w:top w:w="30" w:type="dxa"/>
              <w:left w:w="45" w:type="dxa"/>
              <w:bottom w:w="30" w:type="dxa"/>
              <w:right w:w="45" w:type="dxa"/>
            </w:tcMar>
            <w:vAlign w:val="center"/>
            <w:hideMark/>
          </w:tcPr>
          <w:p w14:paraId="564E02E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24.210.811.797</w:t>
            </w:r>
          </w:p>
        </w:tc>
      </w:tr>
      <w:tr w:rsidR="00856F66" w:rsidRPr="00E31657" w14:paraId="398A1393" w14:textId="77777777" w:rsidTr="00F974BB">
        <w:trPr>
          <w:gridAfter w:val="1"/>
          <w:wAfter w:w="4" w:type="pct"/>
          <w:trHeight w:val="20"/>
        </w:trPr>
        <w:tc>
          <w:tcPr>
            <w:tcW w:w="711" w:type="pct"/>
            <w:vMerge/>
            <w:vAlign w:val="center"/>
            <w:hideMark/>
          </w:tcPr>
          <w:p w14:paraId="6B342DC0" w14:textId="77777777" w:rsidR="00856F66" w:rsidRPr="00E31657" w:rsidRDefault="00856F66" w:rsidP="00BE4ED4">
            <w:pPr>
              <w:jc w:val="right"/>
              <w:rPr>
                <w:rFonts w:cs="Arial"/>
                <w:sz w:val="16"/>
                <w:szCs w:val="16"/>
                <w:lang w:val="es-ES_tradnl" w:eastAsia="es-MX"/>
              </w:rPr>
            </w:pPr>
          </w:p>
        </w:tc>
        <w:tc>
          <w:tcPr>
            <w:tcW w:w="585" w:type="pct"/>
            <w:vMerge/>
            <w:vAlign w:val="center"/>
            <w:hideMark/>
          </w:tcPr>
          <w:p w14:paraId="4BCC191C" w14:textId="77777777" w:rsidR="00856F66" w:rsidRPr="00E31657" w:rsidRDefault="00856F66" w:rsidP="00AE6E22">
            <w:pPr>
              <w:rPr>
                <w:rFonts w:cs="Arial"/>
                <w:sz w:val="16"/>
                <w:szCs w:val="16"/>
                <w:lang w:val="es-ES_tradnl" w:eastAsia="es-MX"/>
              </w:rPr>
            </w:pPr>
          </w:p>
        </w:tc>
        <w:tc>
          <w:tcPr>
            <w:tcW w:w="585" w:type="pct"/>
            <w:vMerge/>
            <w:vAlign w:val="center"/>
            <w:hideMark/>
          </w:tcPr>
          <w:p w14:paraId="6FEC1279"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4E8D9A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5.609.000.000</w:t>
            </w:r>
          </w:p>
        </w:tc>
        <w:tc>
          <w:tcPr>
            <w:tcW w:w="609" w:type="pct"/>
            <w:tcMar>
              <w:top w:w="30" w:type="dxa"/>
              <w:left w:w="45" w:type="dxa"/>
              <w:bottom w:w="30" w:type="dxa"/>
              <w:right w:w="45" w:type="dxa"/>
            </w:tcMar>
            <w:vAlign w:val="center"/>
            <w:hideMark/>
          </w:tcPr>
          <w:p w14:paraId="297A707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6.000.000.000</w:t>
            </w:r>
          </w:p>
        </w:tc>
        <w:tc>
          <w:tcPr>
            <w:tcW w:w="590" w:type="pct"/>
            <w:tcMar>
              <w:top w:w="30" w:type="dxa"/>
              <w:left w:w="45" w:type="dxa"/>
              <w:bottom w:w="30" w:type="dxa"/>
              <w:right w:w="45" w:type="dxa"/>
            </w:tcMar>
            <w:vAlign w:val="center"/>
            <w:hideMark/>
          </w:tcPr>
          <w:p w14:paraId="5938715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6.200.395.890</w:t>
            </w:r>
          </w:p>
        </w:tc>
        <w:tc>
          <w:tcPr>
            <w:tcW w:w="627" w:type="pct"/>
            <w:tcMar>
              <w:top w:w="30" w:type="dxa"/>
              <w:left w:w="45" w:type="dxa"/>
              <w:bottom w:w="30" w:type="dxa"/>
              <w:right w:w="45" w:type="dxa"/>
            </w:tcMar>
            <w:vAlign w:val="center"/>
            <w:hideMark/>
          </w:tcPr>
          <w:p w14:paraId="6560418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6.401.415.907</w:t>
            </w:r>
          </w:p>
        </w:tc>
        <w:tc>
          <w:tcPr>
            <w:tcW w:w="651" w:type="pct"/>
            <w:vMerge/>
            <w:vAlign w:val="center"/>
            <w:hideMark/>
          </w:tcPr>
          <w:p w14:paraId="38C004EF" w14:textId="77777777" w:rsidR="00856F66" w:rsidRPr="00E31657" w:rsidRDefault="00856F66" w:rsidP="00AE6E22">
            <w:pPr>
              <w:rPr>
                <w:rFonts w:cs="Arial"/>
                <w:b/>
                <w:bCs/>
                <w:sz w:val="16"/>
                <w:szCs w:val="16"/>
                <w:lang w:val="es-ES_tradnl" w:eastAsia="es-MX"/>
              </w:rPr>
            </w:pPr>
          </w:p>
        </w:tc>
      </w:tr>
      <w:tr w:rsidR="00856F66" w:rsidRPr="00E31657" w14:paraId="460446EA"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011DC493"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Recaudar $63,78 billones de pesos constantes de 2024 en ingresos tributarios para el período 2024-2027 por recaudo oportuno y gestión antievasión.</w:t>
            </w:r>
          </w:p>
        </w:tc>
        <w:tc>
          <w:tcPr>
            <w:tcW w:w="585" w:type="pct"/>
            <w:vMerge w:val="restart"/>
            <w:tcMar>
              <w:top w:w="30" w:type="dxa"/>
              <w:left w:w="45" w:type="dxa"/>
              <w:bottom w:w="30" w:type="dxa"/>
              <w:right w:w="45" w:type="dxa"/>
            </w:tcMar>
            <w:vAlign w:val="center"/>
            <w:hideMark/>
          </w:tcPr>
          <w:p w14:paraId="6E0AEA8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 xml:space="preserve">$52,49 billones de pesos constantes de 2024 recaudados por ingresos tributarios </w:t>
            </w:r>
            <w:r w:rsidRPr="00E31657">
              <w:rPr>
                <w:rFonts w:cs="Arial"/>
                <w:sz w:val="16"/>
                <w:szCs w:val="16"/>
                <w:lang w:val="es-ES_tradnl" w:eastAsia="es-MX"/>
              </w:rPr>
              <w:br/>
              <w:t>(2020-2023)</w:t>
            </w:r>
          </w:p>
        </w:tc>
        <w:tc>
          <w:tcPr>
            <w:tcW w:w="585" w:type="pct"/>
            <w:vMerge w:val="restart"/>
            <w:tcMar>
              <w:top w:w="30" w:type="dxa"/>
              <w:left w:w="45" w:type="dxa"/>
              <w:bottom w:w="30" w:type="dxa"/>
              <w:right w:w="45" w:type="dxa"/>
            </w:tcMar>
            <w:vAlign w:val="center"/>
            <w:hideMark/>
          </w:tcPr>
          <w:p w14:paraId="33D446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de Impuestos Distritales</w:t>
            </w:r>
          </w:p>
        </w:tc>
        <w:tc>
          <w:tcPr>
            <w:tcW w:w="638" w:type="pct"/>
            <w:tcMar>
              <w:top w:w="30" w:type="dxa"/>
              <w:left w:w="45" w:type="dxa"/>
              <w:bottom w:w="30" w:type="dxa"/>
              <w:right w:w="45" w:type="dxa"/>
            </w:tcMar>
            <w:vAlign w:val="center"/>
            <w:hideMark/>
          </w:tcPr>
          <w:p w14:paraId="71B1466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w:t>
            </w:r>
          </w:p>
        </w:tc>
        <w:tc>
          <w:tcPr>
            <w:tcW w:w="609" w:type="pct"/>
            <w:tcMar>
              <w:top w:w="30" w:type="dxa"/>
              <w:left w:w="45" w:type="dxa"/>
              <w:bottom w:w="30" w:type="dxa"/>
              <w:right w:w="45" w:type="dxa"/>
            </w:tcMar>
            <w:vAlign w:val="center"/>
            <w:hideMark/>
          </w:tcPr>
          <w:p w14:paraId="38E72E5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w:t>
            </w:r>
          </w:p>
        </w:tc>
        <w:tc>
          <w:tcPr>
            <w:tcW w:w="590" w:type="pct"/>
            <w:tcMar>
              <w:top w:w="30" w:type="dxa"/>
              <w:left w:w="45" w:type="dxa"/>
              <w:bottom w:w="30" w:type="dxa"/>
              <w:right w:w="45" w:type="dxa"/>
            </w:tcMar>
            <w:vAlign w:val="center"/>
            <w:hideMark/>
          </w:tcPr>
          <w:p w14:paraId="17E8C3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w:t>
            </w:r>
          </w:p>
        </w:tc>
        <w:tc>
          <w:tcPr>
            <w:tcW w:w="627" w:type="pct"/>
            <w:tcMar>
              <w:top w:w="30" w:type="dxa"/>
              <w:left w:w="45" w:type="dxa"/>
              <w:bottom w:w="30" w:type="dxa"/>
              <w:right w:w="45" w:type="dxa"/>
            </w:tcMar>
            <w:vAlign w:val="center"/>
            <w:hideMark/>
          </w:tcPr>
          <w:p w14:paraId="57936DF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w:t>
            </w:r>
          </w:p>
        </w:tc>
        <w:tc>
          <w:tcPr>
            <w:tcW w:w="651" w:type="pct"/>
            <w:vMerge w:val="restart"/>
            <w:tcMar>
              <w:top w:w="30" w:type="dxa"/>
              <w:left w:w="45" w:type="dxa"/>
              <w:bottom w:w="30" w:type="dxa"/>
              <w:right w:w="45" w:type="dxa"/>
            </w:tcMar>
            <w:vAlign w:val="center"/>
            <w:hideMark/>
          </w:tcPr>
          <w:p w14:paraId="4DEE321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179.751.371.276</w:t>
            </w:r>
          </w:p>
        </w:tc>
      </w:tr>
      <w:tr w:rsidR="00856F66" w:rsidRPr="00E31657" w14:paraId="45C6BDC1" w14:textId="77777777" w:rsidTr="00F974BB">
        <w:trPr>
          <w:gridAfter w:val="1"/>
          <w:wAfter w:w="4" w:type="pct"/>
          <w:trHeight w:val="20"/>
        </w:trPr>
        <w:tc>
          <w:tcPr>
            <w:tcW w:w="711" w:type="pct"/>
            <w:vMerge/>
            <w:vAlign w:val="center"/>
            <w:hideMark/>
          </w:tcPr>
          <w:p w14:paraId="2D215F71" w14:textId="77777777" w:rsidR="00856F66" w:rsidRPr="00E31657" w:rsidRDefault="00856F66" w:rsidP="00AE6E22">
            <w:pPr>
              <w:rPr>
                <w:rFonts w:cs="Arial"/>
                <w:sz w:val="16"/>
                <w:szCs w:val="16"/>
                <w:lang w:val="es-ES_tradnl" w:eastAsia="es-MX"/>
              </w:rPr>
            </w:pPr>
          </w:p>
        </w:tc>
        <w:tc>
          <w:tcPr>
            <w:tcW w:w="585" w:type="pct"/>
            <w:vMerge/>
            <w:vAlign w:val="center"/>
            <w:hideMark/>
          </w:tcPr>
          <w:p w14:paraId="7457431F" w14:textId="77777777" w:rsidR="00856F66" w:rsidRPr="00E31657" w:rsidRDefault="00856F66" w:rsidP="00AE6E22">
            <w:pPr>
              <w:rPr>
                <w:rFonts w:cs="Arial"/>
                <w:sz w:val="16"/>
                <w:szCs w:val="16"/>
                <w:lang w:val="es-ES_tradnl" w:eastAsia="es-MX"/>
              </w:rPr>
            </w:pPr>
          </w:p>
        </w:tc>
        <w:tc>
          <w:tcPr>
            <w:tcW w:w="585" w:type="pct"/>
            <w:vMerge/>
            <w:vAlign w:val="center"/>
            <w:hideMark/>
          </w:tcPr>
          <w:p w14:paraId="52B6EAA1"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4E5411C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18.940.000.000</w:t>
            </w:r>
          </w:p>
        </w:tc>
        <w:tc>
          <w:tcPr>
            <w:tcW w:w="609" w:type="pct"/>
            <w:tcMar>
              <w:top w:w="30" w:type="dxa"/>
              <w:left w:w="45" w:type="dxa"/>
              <w:bottom w:w="30" w:type="dxa"/>
              <w:right w:w="45" w:type="dxa"/>
            </w:tcMar>
            <w:vAlign w:val="center"/>
            <w:hideMark/>
          </w:tcPr>
          <w:p w14:paraId="0A3A0F3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51.773.786.408</w:t>
            </w:r>
          </w:p>
        </w:tc>
        <w:tc>
          <w:tcPr>
            <w:tcW w:w="590" w:type="pct"/>
            <w:tcMar>
              <w:top w:w="30" w:type="dxa"/>
              <w:left w:w="45" w:type="dxa"/>
              <w:bottom w:w="30" w:type="dxa"/>
              <w:right w:w="45" w:type="dxa"/>
            </w:tcMar>
            <w:vAlign w:val="center"/>
            <w:hideMark/>
          </w:tcPr>
          <w:p w14:paraId="7065FB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51.737.204.261</w:t>
            </w:r>
          </w:p>
        </w:tc>
        <w:tc>
          <w:tcPr>
            <w:tcW w:w="627" w:type="pct"/>
            <w:tcMar>
              <w:top w:w="30" w:type="dxa"/>
              <w:left w:w="45" w:type="dxa"/>
              <w:bottom w:w="30" w:type="dxa"/>
              <w:right w:w="45" w:type="dxa"/>
            </w:tcMar>
            <w:vAlign w:val="center"/>
            <w:hideMark/>
          </w:tcPr>
          <w:p w14:paraId="137063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57.300.380.607</w:t>
            </w:r>
          </w:p>
        </w:tc>
        <w:tc>
          <w:tcPr>
            <w:tcW w:w="651" w:type="pct"/>
            <w:vMerge/>
            <w:vAlign w:val="center"/>
            <w:hideMark/>
          </w:tcPr>
          <w:p w14:paraId="599BB6F5" w14:textId="77777777" w:rsidR="00856F66" w:rsidRPr="00E31657" w:rsidRDefault="00856F66" w:rsidP="00AE6E22">
            <w:pPr>
              <w:rPr>
                <w:rFonts w:cs="Arial"/>
                <w:b/>
                <w:bCs/>
                <w:sz w:val="16"/>
                <w:szCs w:val="16"/>
                <w:lang w:val="es-ES_tradnl" w:eastAsia="es-MX"/>
              </w:rPr>
            </w:pPr>
          </w:p>
        </w:tc>
      </w:tr>
      <w:tr w:rsidR="00856F66" w:rsidRPr="00E31657" w14:paraId="31CD9CB6" w14:textId="77777777" w:rsidTr="00F974BB">
        <w:trPr>
          <w:trHeight w:val="20"/>
        </w:trPr>
        <w:tc>
          <w:tcPr>
            <w:tcW w:w="5000" w:type="pct"/>
            <w:gridSpan w:val="9"/>
            <w:shd w:val="clear" w:color="auto" w:fill="C00000"/>
            <w:tcMar>
              <w:top w:w="30" w:type="dxa"/>
              <w:left w:w="45" w:type="dxa"/>
              <w:bottom w:w="30" w:type="dxa"/>
              <w:right w:w="45" w:type="dxa"/>
            </w:tcMar>
            <w:vAlign w:val="center"/>
            <w:hideMark/>
          </w:tcPr>
          <w:p w14:paraId="746A6C67"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3BAA96B5"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3801BE2C"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Implementar 1 modelo de operación y actualización de Registros administrativos para la focalización del gasto de Bogotá</w:t>
            </w:r>
          </w:p>
        </w:tc>
        <w:tc>
          <w:tcPr>
            <w:tcW w:w="585" w:type="pct"/>
            <w:vMerge w:val="restart"/>
            <w:tcMar>
              <w:top w:w="30" w:type="dxa"/>
              <w:left w:w="45" w:type="dxa"/>
              <w:bottom w:w="30" w:type="dxa"/>
              <w:right w:w="45" w:type="dxa"/>
            </w:tcMar>
            <w:vAlign w:val="center"/>
            <w:hideMark/>
          </w:tcPr>
          <w:p w14:paraId="35E95F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 bases actualizadas</w:t>
            </w:r>
            <w:r w:rsidRPr="00E31657">
              <w:rPr>
                <w:rFonts w:cs="Arial"/>
                <w:sz w:val="16"/>
                <w:szCs w:val="16"/>
                <w:lang w:val="es-ES_tradnl" w:eastAsia="es-MX"/>
              </w:rPr>
              <w:br/>
            </w:r>
            <w:r w:rsidRPr="00E31657">
              <w:rPr>
                <w:rFonts w:cs="Arial"/>
                <w:sz w:val="16"/>
                <w:szCs w:val="16"/>
                <w:lang w:val="es-ES_tradnl" w:eastAsia="es-MX"/>
              </w:rPr>
              <w:br/>
              <w:t>1 Base Sisbén</w:t>
            </w:r>
            <w:r w:rsidRPr="00E31657">
              <w:rPr>
                <w:rFonts w:cs="Arial"/>
                <w:sz w:val="16"/>
                <w:szCs w:val="16"/>
                <w:lang w:val="es-ES_tradnl" w:eastAsia="es-MX"/>
              </w:rPr>
              <w:br/>
              <w:t>3.612.357 registros</w:t>
            </w:r>
            <w:r w:rsidRPr="00E31657">
              <w:rPr>
                <w:rFonts w:cs="Arial"/>
                <w:sz w:val="16"/>
                <w:szCs w:val="16"/>
                <w:lang w:val="es-ES_tradnl" w:eastAsia="es-MX"/>
              </w:rPr>
              <w:br/>
              <w:t>(29 ene 2024)</w:t>
            </w:r>
            <w:r w:rsidRPr="00E31657">
              <w:rPr>
                <w:rFonts w:cs="Arial"/>
                <w:sz w:val="16"/>
                <w:szCs w:val="16"/>
                <w:lang w:val="es-ES_tradnl" w:eastAsia="es-MX"/>
              </w:rPr>
              <w:br/>
            </w:r>
            <w:r w:rsidRPr="00E31657">
              <w:rPr>
                <w:rFonts w:cs="Arial"/>
                <w:sz w:val="16"/>
                <w:szCs w:val="16"/>
                <w:lang w:val="es-ES_tradnl" w:eastAsia="es-MX"/>
              </w:rPr>
              <w:br/>
              <w:t>1 Base Maestra de Ingreso Mínimo Garantizado</w:t>
            </w:r>
            <w:r w:rsidRPr="00E31657">
              <w:rPr>
                <w:rFonts w:cs="Arial"/>
                <w:sz w:val="16"/>
                <w:szCs w:val="16"/>
                <w:lang w:val="es-ES_tradnl" w:eastAsia="es-MX"/>
              </w:rPr>
              <w:br/>
              <w:t>3.594.615 personas</w:t>
            </w:r>
            <w:r w:rsidRPr="00E31657">
              <w:rPr>
                <w:rFonts w:cs="Arial"/>
                <w:sz w:val="16"/>
                <w:szCs w:val="16"/>
                <w:lang w:val="es-ES_tradnl" w:eastAsia="es-MX"/>
              </w:rPr>
              <w:br/>
              <w:t>(20 Nov 2023)</w:t>
            </w:r>
            <w:r w:rsidRPr="00E31657">
              <w:rPr>
                <w:rFonts w:cs="Arial"/>
                <w:sz w:val="16"/>
                <w:szCs w:val="16"/>
                <w:lang w:val="es-ES_tradnl" w:eastAsia="es-MX"/>
              </w:rPr>
              <w:br/>
            </w:r>
            <w:r w:rsidRPr="00E31657">
              <w:rPr>
                <w:rFonts w:cs="Arial"/>
                <w:sz w:val="16"/>
                <w:szCs w:val="16"/>
                <w:lang w:val="es-ES_tradnl" w:eastAsia="es-MX"/>
              </w:rPr>
              <w:br/>
              <w:t>1 Base de Estratificación (2023)</w:t>
            </w:r>
          </w:p>
        </w:tc>
        <w:tc>
          <w:tcPr>
            <w:tcW w:w="585" w:type="pct"/>
            <w:vMerge w:val="restart"/>
            <w:tcMar>
              <w:top w:w="30" w:type="dxa"/>
              <w:left w:w="45" w:type="dxa"/>
              <w:bottom w:w="30" w:type="dxa"/>
              <w:right w:w="45" w:type="dxa"/>
            </w:tcMar>
            <w:vAlign w:val="center"/>
            <w:hideMark/>
          </w:tcPr>
          <w:p w14:paraId="5500755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de Registros Sociales SDP.</w:t>
            </w:r>
            <w:r w:rsidRPr="00E31657">
              <w:rPr>
                <w:rFonts w:cs="Arial"/>
                <w:sz w:val="16"/>
                <w:szCs w:val="16"/>
                <w:lang w:val="es-ES_tradnl" w:eastAsia="es-MX"/>
              </w:rPr>
              <w:br/>
            </w:r>
            <w:r w:rsidRPr="00E31657">
              <w:rPr>
                <w:rFonts w:cs="Arial"/>
                <w:sz w:val="16"/>
                <w:szCs w:val="16"/>
                <w:lang w:val="es-ES_tradnl" w:eastAsia="es-MX"/>
              </w:rPr>
              <w:br/>
              <w:t>Dirección de Estratificación SDP</w:t>
            </w:r>
          </w:p>
        </w:tc>
        <w:tc>
          <w:tcPr>
            <w:tcW w:w="638" w:type="pct"/>
            <w:tcMar>
              <w:top w:w="30" w:type="dxa"/>
              <w:left w:w="45" w:type="dxa"/>
              <w:bottom w:w="30" w:type="dxa"/>
              <w:right w:w="45" w:type="dxa"/>
            </w:tcMar>
            <w:vAlign w:val="center"/>
            <w:hideMark/>
          </w:tcPr>
          <w:p w14:paraId="0DA2FA1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609" w:type="pct"/>
            <w:tcMar>
              <w:top w:w="30" w:type="dxa"/>
              <w:left w:w="45" w:type="dxa"/>
              <w:bottom w:w="30" w:type="dxa"/>
              <w:right w:w="45" w:type="dxa"/>
            </w:tcMar>
            <w:vAlign w:val="center"/>
            <w:hideMark/>
          </w:tcPr>
          <w:p w14:paraId="406098D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590" w:type="pct"/>
            <w:tcMar>
              <w:top w:w="30" w:type="dxa"/>
              <w:left w:w="45" w:type="dxa"/>
              <w:bottom w:w="30" w:type="dxa"/>
              <w:right w:w="45" w:type="dxa"/>
            </w:tcMar>
            <w:vAlign w:val="center"/>
            <w:hideMark/>
          </w:tcPr>
          <w:p w14:paraId="54D39C0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w:t>
            </w:r>
          </w:p>
        </w:tc>
        <w:tc>
          <w:tcPr>
            <w:tcW w:w="627" w:type="pct"/>
            <w:tcMar>
              <w:top w:w="30" w:type="dxa"/>
              <w:left w:w="45" w:type="dxa"/>
              <w:bottom w:w="30" w:type="dxa"/>
              <w:right w:w="45" w:type="dxa"/>
            </w:tcMar>
            <w:vAlign w:val="center"/>
            <w:hideMark/>
          </w:tcPr>
          <w:p w14:paraId="5515E6C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w:t>
            </w:r>
          </w:p>
        </w:tc>
        <w:tc>
          <w:tcPr>
            <w:tcW w:w="651" w:type="pct"/>
            <w:vMerge w:val="restart"/>
            <w:tcMar>
              <w:top w:w="30" w:type="dxa"/>
              <w:left w:w="45" w:type="dxa"/>
              <w:bottom w:w="30" w:type="dxa"/>
              <w:right w:w="45" w:type="dxa"/>
            </w:tcMar>
            <w:vAlign w:val="center"/>
            <w:hideMark/>
          </w:tcPr>
          <w:p w14:paraId="444239A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27.564.172.512</w:t>
            </w:r>
          </w:p>
        </w:tc>
      </w:tr>
      <w:tr w:rsidR="00856F66" w:rsidRPr="00E31657" w14:paraId="57014CC2" w14:textId="77777777" w:rsidTr="009B211D">
        <w:trPr>
          <w:gridAfter w:val="1"/>
          <w:wAfter w:w="4" w:type="pct"/>
          <w:trHeight w:val="4756"/>
        </w:trPr>
        <w:tc>
          <w:tcPr>
            <w:tcW w:w="711" w:type="pct"/>
            <w:vMerge/>
            <w:vAlign w:val="center"/>
            <w:hideMark/>
          </w:tcPr>
          <w:p w14:paraId="1A646BD5" w14:textId="77777777" w:rsidR="00856F66" w:rsidRPr="00E31657" w:rsidRDefault="00856F66" w:rsidP="00BE4ED4">
            <w:pPr>
              <w:jc w:val="right"/>
              <w:rPr>
                <w:rFonts w:cs="Arial"/>
                <w:sz w:val="16"/>
                <w:szCs w:val="16"/>
                <w:lang w:val="es-ES_tradnl" w:eastAsia="es-MX"/>
              </w:rPr>
            </w:pPr>
          </w:p>
        </w:tc>
        <w:tc>
          <w:tcPr>
            <w:tcW w:w="585" w:type="pct"/>
            <w:vMerge/>
            <w:vAlign w:val="center"/>
            <w:hideMark/>
          </w:tcPr>
          <w:p w14:paraId="19898833" w14:textId="77777777" w:rsidR="00856F66" w:rsidRPr="00E31657" w:rsidRDefault="00856F66" w:rsidP="00AE6E22">
            <w:pPr>
              <w:rPr>
                <w:rFonts w:cs="Arial"/>
                <w:sz w:val="16"/>
                <w:szCs w:val="16"/>
                <w:lang w:val="es-ES_tradnl" w:eastAsia="es-MX"/>
              </w:rPr>
            </w:pPr>
          </w:p>
        </w:tc>
        <w:tc>
          <w:tcPr>
            <w:tcW w:w="585" w:type="pct"/>
            <w:vMerge/>
            <w:vAlign w:val="center"/>
            <w:hideMark/>
          </w:tcPr>
          <w:p w14:paraId="4C3ABA62"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040D21B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6.681.000.000</w:t>
            </w:r>
          </w:p>
        </w:tc>
        <w:tc>
          <w:tcPr>
            <w:tcW w:w="609" w:type="pct"/>
            <w:tcMar>
              <w:top w:w="30" w:type="dxa"/>
              <w:left w:w="45" w:type="dxa"/>
              <w:bottom w:w="30" w:type="dxa"/>
              <w:right w:w="45" w:type="dxa"/>
            </w:tcMar>
            <w:vAlign w:val="center"/>
            <w:hideMark/>
          </w:tcPr>
          <w:p w14:paraId="06D404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6.864.563.107</w:t>
            </w:r>
          </w:p>
        </w:tc>
        <w:tc>
          <w:tcPr>
            <w:tcW w:w="590" w:type="pct"/>
            <w:tcMar>
              <w:top w:w="30" w:type="dxa"/>
              <w:left w:w="45" w:type="dxa"/>
              <w:bottom w:w="30" w:type="dxa"/>
              <w:right w:w="45" w:type="dxa"/>
            </w:tcMar>
            <w:vAlign w:val="center"/>
            <w:hideMark/>
          </w:tcPr>
          <w:p w14:paraId="0ECB446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7.151.569.422</w:t>
            </w:r>
          </w:p>
        </w:tc>
        <w:tc>
          <w:tcPr>
            <w:tcW w:w="627" w:type="pct"/>
            <w:tcMar>
              <w:top w:w="30" w:type="dxa"/>
              <w:left w:w="45" w:type="dxa"/>
              <w:bottom w:w="30" w:type="dxa"/>
              <w:right w:w="45" w:type="dxa"/>
            </w:tcMar>
            <w:vAlign w:val="center"/>
            <w:hideMark/>
          </w:tcPr>
          <w:p w14:paraId="270C5D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6.867.039.983</w:t>
            </w:r>
          </w:p>
        </w:tc>
        <w:tc>
          <w:tcPr>
            <w:tcW w:w="651" w:type="pct"/>
            <w:vMerge/>
            <w:vAlign w:val="center"/>
            <w:hideMark/>
          </w:tcPr>
          <w:p w14:paraId="2078D7F3" w14:textId="77777777" w:rsidR="00856F66" w:rsidRPr="00E31657" w:rsidRDefault="00856F66" w:rsidP="00AE6E22">
            <w:pPr>
              <w:rPr>
                <w:rFonts w:cs="Arial"/>
                <w:b/>
                <w:bCs/>
                <w:sz w:val="16"/>
                <w:szCs w:val="16"/>
                <w:lang w:val="es-ES_tradnl" w:eastAsia="es-MX"/>
              </w:rPr>
            </w:pPr>
          </w:p>
        </w:tc>
      </w:tr>
      <w:tr w:rsidR="00856F66" w:rsidRPr="00E31657" w14:paraId="43B2E600" w14:textId="77777777" w:rsidTr="00F974BB">
        <w:trPr>
          <w:gridAfter w:val="1"/>
          <w:wAfter w:w="4" w:type="pct"/>
          <w:trHeight w:val="20"/>
        </w:trPr>
        <w:tc>
          <w:tcPr>
            <w:tcW w:w="711" w:type="pct"/>
            <w:vMerge w:val="restart"/>
            <w:tcMar>
              <w:top w:w="30" w:type="dxa"/>
              <w:left w:w="45" w:type="dxa"/>
              <w:bottom w:w="30" w:type="dxa"/>
              <w:right w:w="45" w:type="dxa"/>
            </w:tcMar>
            <w:vAlign w:val="center"/>
            <w:hideMark/>
          </w:tcPr>
          <w:p w14:paraId="67EA9341"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Producir el 100% de los informes estratégicos con información oportuna y de calidad a la ciudad para el análisis del avance de sus planes e inversiones y la toma de decisiones en política pública</w:t>
            </w:r>
          </w:p>
        </w:tc>
        <w:tc>
          <w:tcPr>
            <w:tcW w:w="585" w:type="pct"/>
            <w:vMerge w:val="restart"/>
            <w:tcMar>
              <w:top w:w="30" w:type="dxa"/>
              <w:left w:w="45" w:type="dxa"/>
              <w:bottom w:w="30" w:type="dxa"/>
              <w:right w:w="45" w:type="dxa"/>
            </w:tcMar>
            <w:vAlign w:val="center"/>
            <w:hideMark/>
          </w:tcPr>
          <w:p w14:paraId="2D200A3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585" w:type="pct"/>
            <w:vMerge w:val="restart"/>
            <w:tcMar>
              <w:top w:w="30" w:type="dxa"/>
              <w:left w:w="45" w:type="dxa"/>
              <w:bottom w:w="30" w:type="dxa"/>
              <w:right w:w="45" w:type="dxa"/>
            </w:tcMar>
            <w:vAlign w:val="center"/>
            <w:hideMark/>
          </w:tcPr>
          <w:p w14:paraId="4134C58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638" w:type="pct"/>
            <w:tcMar>
              <w:top w:w="30" w:type="dxa"/>
              <w:left w:w="45" w:type="dxa"/>
              <w:bottom w:w="30" w:type="dxa"/>
              <w:right w:w="45" w:type="dxa"/>
            </w:tcMar>
            <w:vAlign w:val="center"/>
            <w:hideMark/>
          </w:tcPr>
          <w:p w14:paraId="2089EA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609" w:type="pct"/>
            <w:tcMar>
              <w:top w:w="30" w:type="dxa"/>
              <w:left w:w="45" w:type="dxa"/>
              <w:bottom w:w="30" w:type="dxa"/>
              <w:right w:w="45" w:type="dxa"/>
            </w:tcMar>
            <w:vAlign w:val="center"/>
            <w:hideMark/>
          </w:tcPr>
          <w:p w14:paraId="660103B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590" w:type="pct"/>
            <w:tcMar>
              <w:top w:w="30" w:type="dxa"/>
              <w:left w:w="45" w:type="dxa"/>
              <w:bottom w:w="30" w:type="dxa"/>
              <w:right w:w="45" w:type="dxa"/>
            </w:tcMar>
            <w:vAlign w:val="center"/>
            <w:hideMark/>
          </w:tcPr>
          <w:p w14:paraId="4FF7CC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627" w:type="pct"/>
            <w:tcMar>
              <w:top w:w="30" w:type="dxa"/>
              <w:left w:w="45" w:type="dxa"/>
              <w:bottom w:w="30" w:type="dxa"/>
              <w:right w:w="45" w:type="dxa"/>
            </w:tcMar>
            <w:vAlign w:val="center"/>
            <w:hideMark/>
          </w:tcPr>
          <w:p w14:paraId="7066BEB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651" w:type="pct"/>
            <w:vMerge w:val="restart"/>
            <w:tcMar>
              <w:top w:w="30" w:type="dxa"/>
              <w:left w:w="45" w:type="dxa"/>
              <w:bottom w:w="30" w:type="dxa"/>
              <w:right w:w="45" w:type="dxa"/>
            </w:tcMar>
            <w:vAlign w:val="center"/>
            <w:hideMark/>
          </w:tcPr>
          <w:p w14:paraId="30AEF9D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7.547.347.693</w:t>
            </w:r>
          </w:p>
        </w:tc>
      </w:tr>
      <w:tr w:rsidR="00856F66" w:rsidRPr="00E31657" w14:paraId="588D3BA8" w14:textId="77777777" w:rsidTr="009B211D">
        <w:trPr>
          <w:gridAfter w:val="1"/>
          <w:wAfter w:w="4" w:type="pct"/>
          <w:trHeight w:val="3126"/>
        </w:trPr>
        <w:tc>
          <w:tcPr>
            <w:tcW w:w="711" w:type="pct"/>
            <w:vMerge/>
            <w:vAlign w:val="center"/>
            <w:hideMark/>
          </w:tcPr>
          <w:p w14:paraId="412E5961" w14:textId="77777777" w:rsidR="00856F66" w:rsidRPr="00E31657" w:rsidRDefault="00856F66" w:rsidP="00AE6E22">
            <w:pPr>
              <w:rPr>
                <w:rFonts w:cs="Arial"/>
                <w:sz w:val="16"/>
                <w:szCs w:val="16"/>
                <w:lang w:val="es-ES_tradnl" w:eastAsia="es-MX"/>
              </w:rPr>
            </w:pPr>
          </w:p>
        </w:tc>
        <w:tc>
          <w:tcPr>
            <w:tcW w:w="585" w:type="pct"/>
            <w:vMerge/>
            <w:vAlign w:val="center"/>
            <w:hideMark/>
          </w:tcPr>
          <w:p w14:paraId="2A27ADBD" w14:textId="77777777" w:rsidR="00856F66" w:rsidRPr="00E31657" w:rsidRDefault="00856F66" w:rsidP="00AE6E22">
            <w:pPr>
              <w:rPr>
                <w:rFonts w:cs="Arial"/>
                <w:sz w:val="16"/>
                <w:szCs w:val="16"/>
                <w:lang w:val="es-ES_tradnl" w:eastAsia="es-MX"/>
              </w:rPr>
            </w:pPr>
          </w:p>
        </w:tc>
        <w:tc>
          <w:tcPr>
            <w:tcW w:w="585" w:type="pct"/>
            <w:vMerge/>
            <w:vAlign w:val="center"/>
            <w:hideMark/>
          </w:tcPr>
          <w:p w14:paraId="4F40FAC9" w14:textId="77777777" w:rsidR="00856F66" w:rsidRPr="00E31657" w:rsidRDefault="00856F66" w:rsidP="00AE6E22">
            <w:pPr>
              <w:rPr>
                <w:rFonts w:cs="Arial"/>
                <w:sz w:val="16"/>
                <w:szCs w:val="16"/>
                <w:lang w:val="es-ES_tradnl" w:eastAsia="es-MX"/>
              </w:rPr>
            </w:pPr>
          </w:p>
        </w:tc>
        <w:tc>
          <w:tcPr>
            <w:tcW w:w="638" w:type="pct"/>
            <w:tcMar>
              <w:top w:w="30" w:type="dxa"/>
              <w:left w:w="45" w:type="dxa"/>
              <w:bottom w:w="30" w:type="dxa"/>
              <w:right w:w="45" w:type="dxa"/>
            </w:tcMar>
            <w:vAlign w:val="center"/>
            <w:hideMark/>
          </w:tcPr>
          <w:p w14:paraId="0AE1C3A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2.089.000.000</w:t>
            </w:r>
          </w:p>
        </w:tc>
        <w:tc>
          <w:tcPr>
            <w:tcW w:w="609" w:type="pct"/>
            <w:tcMar>
              <w:top w:w="30" w:type="dxa"/>
              <w:left w:w="45" w:type="dxa"/>
              <w:bottom w:w="30" w:type="dxa"/>
              <w:right w:w="45" w:type="dxa"/>
            </w:tcMar>
            <w:vAlign w:val="center"/>
            <w:hideMark/>
          </w:tcPr>
          <w:p w14:paraId="121C38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1.525.242.718</w:t>
            </w:r>
          </w:p>
        </w:tc>
        <w:tc>
          <w:tcPr>
            <w:tcW w:w="590" w:type="pct"/>
            <w:tcMar>
              <w:top w:w="30" w:type="dxa"/>
              <w:left w:w="45" w:type="dxa"/>
              <w:bottom w:w="30" w:type="dxa"/>
              <w:right w:w="45" w:type="dxa"/>
            </w:tcMar>
            <w:vAlign w:val="center"/>
            <w:hideMark/>
          </w:tcPr>
          <w:p w14:paraId="5F9D8A1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1.816.382.317</w:t>
            </w:r>
          </w:p>
        </w:tc>
        <w:tc>
          <w:tcPr>
            <w:tcW w:w="627" w:type="pct"/>
            <w:tcMar>
              <w:top w:w="30" w:type="dxa"/>
              <w:left w:w="45" w:type="dxa"/>
              <w:bottom w:w="30" w:type="dxa"/>
              <w:right w:w="45" w:type="dxa"/>
            </w:tcMar>
            <w:vAlign w:val="center"/>
            <w:hideMark/>
          </w:tcPr>
          <w:p w14:paraId="39C7FE6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2.116.722.658</w:t>
            </w:r>
          </w:p>
        </w:tc>
        <w:tc>
          <w:tcPr>
            <w:tcW w:w="651" w:type="pct"/>
            <w:vMerge/>
            <w:vAlign w:val="center"/>
            <w:hideMark/>
          </w:tcPr>
          <w:p w14:paraId="4878ACE2" w14:textId="77777777" w:rsidR="00856F66" w:rsidRPr="00E31657" w:rsidRDefault="00856F66" w:rsidP="00AE6E22">
            <w:pPr>
              <w:rPr>
                <w:rFonts w:cs="Arial"/>
                <w:b/>
                <w:bCs/>
                <w:sz w:val="16"/>
                <w:szCs w:val="16"/>
                <w:lang w:val="es-ES_tradnl" w:eastAsia="es-MX"/>
              </w:rPr>
            </w:pPr>
          </w:p>
        </w:tc>
      </w:tr>
    </w:tbl>
    <w:p w14:paraId="3D3688E7" w14:textId="77777777" w:rsidR="00856F66" w:rsidRPr="00E31657" w:rsidRDefault="00856F66">
      <w:pPr>
        <w:rPr>
          <w:sz w:val="16"/>
          <w:szCs w:val="16"/>
          <w:lang w:val="es-ES_tradnl"/>
        </w:rPr>
      </w:pPr>
    </w:p>
    <w:p w14:paraId="2A2FD25B" w14:textId="77777777" w:rsidR="00856F66" w:rsidRPr="00E31657" w:rsidRDefault="00856F66">
      <w:pPr>
        <w:rPr>
          <w:sz w:val="16"/>
          <w:szCs w:val="16"/>
          <w:lang w:val="es-ES_tradnl"/>
        </w:rPr>
      </w:pPr>
    </w:p>
    <w:tbl>
      <w:tblPr>
        <w:tblW w:w="10080" w:type="dxa"/>
        <w:jc w:val="center"/>
        <w:tblCellMar>
          <w:left w:w="0" w:type="dxa"/>
          <w:right w:w="0" w:type="dxa"/>
        </w:tblCellMar>
        <w:tblLook w:val="04A0" w:firstRow="1" w:lastRow="0" w:firstColumn="1" w:lastColumn="0" w:noHBand="0" w:noVBand="1"/>
      </w:tblPr>
      <w:tblGrid>
        <w:gridCol w:w="2255"/>
        <w:gridCol w:w="550"/>
        <w:gridCol w:w="1301"/>
        <w:gridCol w:w="1208"/>
        <w:gridCol w:w="1185"/>
        <w:gridCol w:w="1152"/>
        <w:gridCol w:w="1139"/>
        <w:gridCol w:w="597"/>
        <w:gridCol w:w="585"/>
        <w:gridCol w:w="108"/>
      </w:tblGrid>
      <w:tr w:rsidR="00856F66" w:rsidRPr="00E31657" w14:paraId="3102E752" w14:textId="77777777" w:rsidTr="00BE4ED4">
        <w:trPr>
          <w:gridAfter w:val="2"/>
          <w:wAfter w:w="693" w:type="dxa"/>
          <w:trHeight w:val="20"/>
          <w:jc w:val="center"/>
        </w:trPr>
        <w:tc>
          <w:tcPr>
            <w:tcW w:w="0" w:type="auto"/>
            <w:gridSpan w:val="8"/>
            <w:tcBorders>
              <w:bottom w:val="double" w:sz="4" w:space="0" w:color="C00000"/>
            </w:tcBorders>
            <w:tcMar>
              <w:top w:w="30" w:type="dxa"/>
              <w:left w:w="45" w:type="dxa"/>
              <w:bottom w:w="30" w:type="dxa"/>
              <w:right w:w="45" w:type="dxa"/>
            </w:tcMar>
            <w:vAlign w:val="center"/>
            <w:hideMark/>
          </w:tcPr>
          <w:p w14:paraId="78AD7232" w14:textId="66751B8F" w:rsidR="00856F66" w:rsidRPr="00826D72" w:rsidRDefault="00856F66" w:rsidP="00985E3D">
            <w:pPr>
              <w:pStyle w:val="Ttulo"/>
              <w:jc w:val="center"/>
              <w:rPr>
                <w:rFonts w:ascii="Candara" w:eastAsia="Times New Roman" w:hAnsi="Candara"/>
                <w:b/>
                <w:bCs/>
                <w:sz w:val="22"/>
                <w:szCs w:val="22"/>
                <w:lang w:val="es-ES_tradnl" w:eastAsia="es-MX"/>
              </w:rPr>
            </w:pPr>
            <w:r w:rsidRPr="00826D72">
              <w:rPr>
                <w:rFonts w:ascii="Candara" w:eastAsia="Times New Roman" w:hAnsi="Candara"/>
                <w:b/>
                <w:bCs/>
                <w:color w:val="C00000"/>
                <w:sz w:val="22"/>
                <w:szCs w:val="22"/>
                <w:lang w:val="es-ES_tradnl" w:eastAsia="es-MX"/>
              </w:rPr>
              <w:t>Programa 39.</w:t>
            </w:r>
            <w:r w:rsidRPr="00826D72">
              <w:rPr>
                <w:rFonts w:ascii="Candara" w:eastAsia="Times New Roman" w:hAnsi="Candara"/>
                <w:color w:val="C00000"/>
                <w:sz w:val="22"/>
                <w:szCs w:val="22"/>
                <w:lang w:val="es-ES_tradnl" w:eastAsia="es-MX"/>
              </w:rPr>
              <w:t xml:space="preserve"> </w:t>
            </w:r>
            <w:r w:rsidRPr="00826D72">
              <w:rPr>
                <w:rFonts w:ascii="Candara" w:eastAsia="Times New Roman" w:hAnsi="Candara"/>
                <w:bCs/>
                <w:sz w:val="22"/>
                <w:szCs w:val="22"/>
                <w:lang w:val="es-ES_tradnl" w:eastAsia="es-MX"/>
              </w:rPr>
              <w:t>Camino hacia una democracia deliberativa</w:t>
            </w:r>
            <w:r w:rsidR="00985E3D" w:rsidRPr="00826D72">
              <w:rPr>
                <w:rFonts w:ascii="Candara" w:eastAsia="Times New Roman" w:hAnsi="Candara"/>
                <w:bCs/>
                <w:sz w:val="22"/>
                <w:szCs w:val="22"/>
                <w:lang w:val="es-ES_tradnl" w:eastAsia="es-MX"/>
              </w:rPr>
              <w:t xml:space="preserve"> </w:t>
            </w:r>
            <w:r w:rsidRPr="00826D72">
              <w:rPr>
                <w:rFonts w:ascii="Candara" w:eastAsia="Times New Roman" w:hAnsi="Candara"/>
                <w:bCs/>
                <w:sz w:val="22"/>
                <w:szCs w:val="22"/>
                <w:lang w:val="es-ES_tradnl" w:eastAsia="es-MX"/>
              </w:rPr>
              <w:t>con un gobierno cercano a la gente y con participación ciudadana</w:t>
            </w:r>
          </w:p>
        </w:tc>
      </w:tr>
      <w:tr w:rsidR="00856F66" w:rsidRPr="00E31657" w14:paraId="3E593C7D"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shd w:val="clear" w:color="auto" w:fill="C00000"/>
            <w:tcMar>
              <w:top w:w="30" w:type="dxa"/>
              <w:left w:w="45" w:type="dxa"/>
              <w:bottom w:w="30" w:type="dxa"/>
              <w:right w:w="45" w:type="dxa"/>
            </w:tcMar>
            <w:vAlign w:val="center"/>
            <w:hideMark/>
          </w:tcPr>
          <w:p w14:paraId="5770F1B4" w14:textId="77777777" w:rsidR="00856F66" w:rsidRPr="00E31657" w:rsidRDefault="00856F66" w:rsidP="00985E3D">
            <w:pPr>
              <w:pStyle w:val="Ttulo"/>
              <w:jc w:val="center"/>
              <w:rPr>
                <w:rFonts w:eastAsia="Times New Roman"/>
                <w:color w:val="FFFFFF"/>
                <w:lang w:val="es-ES_tradnl" w:eastAsia="es-MX"/>
              </w:rPr>
            </w:pPr>
            <w:r w:rsidRPr="00985E3D">
              <w:rPr>
                <w:rFonts w:ascii="Candara" w:eastAsia="Times New Roman" w:hAnsi="Candara"/>
                <w:b/>
                <w:bCs/>
                <w:color w:val="FFFFFF" w:themeColor="background1"/>
                <w:sz w:val="24"/>
                <w:szCs w:val="24"/>
                <w:lang w:val="es-ES_tradnl" w:eastAsia="es-MX"/>
              </w:rPr>
              <w:t>Sector/ Metas</w:t>
            </w:r>
          </w:p>
        </w:tc>
        <w:tc>
          <w:tcPr>
            <w:tcW w:w="0" w:type="auto"/>
            <w:gridSpan w:val="8"/>
            <w:tcBorders>
              <w:top w:val="double" w:sz="4" w:space="0" w:color="C00000"/>
              <w:left w:val="double" w:sz="4" w:space="0" w:color="C00000"/>
              <w:bottom w:val="double" w:sz="4" w:space="0" w:color="C00000"/>
            </w:tcBorders>
            <w:shd w:val="clear" w:color="auto" w:fill="C00000"/>
            <w:tcMar>
              <w:top w:w="30" w:type="dxa"/>
              <w:left w:w="45" w:type="dxa"/>
              <w:bottom w:w="30" w:type="dxa"/>
              <w:right w:w="45" w:type="dxa"/>
            </w:tcMar>
            <w:vAlign w:val="center"/>
            <w:hideMark/>
          </w:tcPr>
          <w:p w14:paraId="22F57A15" w14:textId="77777777" w:rsidR="00856F66" w:rsidRPr="00E31657" w:rsidRDefault="00856F66" w:rsidP="00985E3D">
            <w:pPr>
              <w:pStyle w:val="Ttulo"/>
              <w:jc w:val="center"/>
              <w:rPr>
                <w:rFonts w:eastAsia="Times New Roman"/>
                <w:color w:val="FFFFFF"/>
                <w:lang w:val="es-ES_tradnl" w:eastAsia="es-MX"/>
              </w:rPr>
            </w:pPr>
            <w:r w:rsidRPr="00985E3D">
              <w:rPr>
                <w:rFonts w:ascii="Candara" w:eastAsia="Times New Roman" w:hAnsi="Candara"/>
                <w:b/>
                <w:bCs/>
                <w:color w:val="FFFFFF" w:themeColor="background1"/>
                <w:sz w:val="24"/>
                <w:szCs w:val="24"/>
                <w:lang w:val="es-ES_tradnl" w:eastAsia="es-MX"/>
              </w:rPr>
              <w:t xml:space="preserve">Magnitudes e Inversión </w:t>
            </w:r>
            <w:r w:rsidRPr="00985E3D">
              <w:rPr>
                <w:rFonts w:ascii="Candara" w:eastAsia="Times New Roman" w:hAnsi="Candara"/>
                <w:b/>
                <w:bCs/>
                <w:color w:val="FFFFFF" w:themeColor="background1"/>
                <w:sz w:val="24"/>
                <w:szCs w:val="24"/>
                <w:lang w:val="es-ES_tradnl" w:eastAsia="es-MX"/>
              </w:rPr>
              <w:br/>
              <w:t>(Precios Constantes 2024)</w:t>
            </w:r>
          </w:p>
        </w:tc>
      </w:tr>
      <w:tr w:rsidR="00856F66" w:rsidRPr="00E31657" w14:paraId="691EA95A"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shd w:val="clear" w:color="auto" w:fill="C00000"/>
            <w:vAlign w:val="center"/>
            <w:hideMark/>
          </w:tcPr>
          <w:p w14:paraId="00725E7B" w14:textId="77777777" w:rsidR="00856F66" w:rsidRPr="00E31657" w:rsidRDefault="00856F66" w:rsidP="00AE6E22">
            <w:pPr>
              <w:rPr>
                <w:rFonts w:cs="Arial"/>
                <w:b/>
                <w:bCs/>
                <w:color w:val="FFFFFF"/>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3E9F4AB5"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Línea de Base /</w:t>
            </w:r>
            <w:r w:rsidRPr="00E31657">
              <w:rPr>
                <w:rFonts w:cs="Arial"/>
                <w:b/>
                <w:bCs/>
                <w:sz w:val="16"/>
                <w:szCs w:val="16"/>
                <w:lang w:val="es-ES_tradnl" w:eastAsia="es-MX"/>
              </w:rPr>
              <w:br/>
              <w:t>(Año)</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0001DA2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 xml:space="preserve">Fuente Línea </w:t>
            </w:r>
            <w:r w:rsidRPr="00E31657">
              <w:rPr>
                <w:rFonts w:cs="Arial"/>
                <w:b/>
                <w:bCs/>
                <w:sz w:val="16"/>
                <w:szCs w:val="16"/>
                <w:lang w:val="es-ES_tradnl" w:eastAsia="es-MX"/>
              </w:rPr>
              <w:br/>
              <w:t>Base</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621B95CF"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2024</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74F1F8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2025</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1178A8D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2026</w:t>
            </w:r>
          </w:p>
        </w:tc>
        <w:tc>
          <w:tcPr>
            <w:tcW w:w="0" w:type="auto"/>
            <w:tcBorders>
              <w:top w:val="double" w:sz="4" w:space="0" w:color="C00000"/>
              <w:left w:val="double" w:sz="4" w:space="0" w:color="C00000"/>
              <w:bottom w:val="double" w:sz="4" w:space="0" w:color="C00000"/>
              <w:right w:val="double" w:sz="4" w:space="0" w:color="C00000"/>
            </w:tcBorders>
            <w:shd w:val="clear" w:color="auto" w:fill="D9D9D9"/>
            <w:tcMar>
              <w:top w:w="30" w:type="dxa"/>
              <w:left w:w="45" w:type="dxa"/>
              <w:bottom w:w="30" w:type="dxa"/>
              <w:right w:w="45" w:type="dxa"/>
            </w:tcMar>
            <w:vAlign w:val="center"/>
            <w:hideMark/>
          </w:tcPr>
          <w:p w14:paraId="5CF278E1"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2027</w:t>
            </w:r>
          </w:p>
        </w:tc>
        <w:tc>
          <w:tcPr>
            <w:tcW w:w="0" w:type="auto"/>
            <w:gridSpan w:val="2"/>
            <w:tcBorders>
              <w:top w:val="double" w:sz="4" w:space="0" w:color="C00000"/>
              <w:left w:val="double" w:sz="4" w:space="0" w:color="C00000"/>
              <w:bottom w:val="double" w:sz="4" w:space="0" w:color="C00000"/>
            </w:tcBorders>
            <w:shd w:val="clear" w:color="auto" w:fill="D9D9D9"/>
            <w:tcMar>
              <w:top w:w="30" w:type="dxa"/>
              <w:left w:w="45" w:type="dxa"/>
              <w:bottom w:w="30" w:type="dxa"/>
              <w:right w:w="45" w:type="dxa"/>
            </w:tcMar>
            <w:vAlign w:val="center"/>
            <w:hideMark/>
          </w:tcPr>
          <w:p w14:paraId="5D1426B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Total Inversión</w:t>
            </w:r>
          </w:p>
        </w:tc>
      </w:tr>
      <w:tr w:rsidR="00856F66" w:rsidRPr="00E31657" w14:paraId="1FB5C3CA" w14:textId="77777777" w:rsidTr="00BE4ED4">
        <w:trPr>
          <w:gridAfter w:val="1"/>
          <w:wAfter w:w="108" w:type="dxa"/>
          <w:trHeight w:val="20"/>
          <w:jc w:val="center"/>
        </w:trPr>
        <w:tc>
          <w:tcPr>
            <w:tcW w:w="0" w:type="auto"/>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5853BE3B"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Gestión jurídica</w:t>
            </w:r>
          </w:p>
        </w:tc>
      </w:tr>
      <w:tr w:rsidR="00856F66" w:rsidRPr="00E31657" w14:paraId="25F50828"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24D482"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 xml:space="preserve">Lograr el 43% de participación ciudadana incidente en los proyectos normativos y de regulación que expida la administración distrital. </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F9349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62D1D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Dirección Distrital de Doctrina y Asuntos Normativos</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F18978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7A8E0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A891C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ECEE8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43</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E86D70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978.600.373</w:t>
            </w:r>
          </w:p>
        </w:tc>
      </w:tr>
      <w:tr w:rsidR="00856F66" w:rsidRPr="00E31657" w14:paraId="3DDD58F1"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4446B8BA"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8299B5F"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F3A899E"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BE40C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C7C59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252.427.184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F5288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301.630.691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1F71C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274.542.498</w:t>
            </w:r>
          </w:p>
        </w:tc>
        <w:tc>
          <w:tcPr>
            <w:tcW w:w="0" w:type="auto"/>
            <w:gridSpan w:val="2"/>
            <w:vMerge/>
            <w:tcBorders>
              <w:top w:val="double" w:sz="4" w:space="0" w:color="C00000"/>
              <w:left w:val="double" w:sz="4" w:space="0" w:color="C00000"/>
              <w:bottom w:val="double" w:sz="4" w:space="0" w:color="C00000"/>
            </w:tcBorders>
            <w:vAlign w:val="center"/>
            <w:hideMark/>
          </w:tcPr>
          <w:p w14:paraId="475C600B" w14:textId="77777777" w:rsidR="00856F66" w:rsidRPr="00E31657" w:rsidRDefault="00856F66" w:rsidP="00AE6E22">
            <w:pPr>
              <w:rPr>
                <w:rFonts w:cs="Arial"/>
                <w:b/>
                <w:bCs/>
                <w:sz w:val="16"/>
                <w:szCs w:val="16"/>
                <w:lang w:val="es-ES_tradnl" w:eastAsia="es-MX"/>
              </w:rPr>
            </w:pPr>
          </w:p>
        </w:tc>
      </w:tr>
      <w:tr w:rsidR="00856F66" w:rsidRPr="00E31657" w14:paraId="65C1BBF4" w14:textId="77777777" w:rsidTr="00BE4ED4">
        <w:trPr>
          <w:gridAfter w:val="1"/>
          <w:wAfter w:w="108" w:type="dxa"/>
          <w:trHeight w:val="20"/>
          <w:jc w:val="center"/>
        </w:trPr>
        <w:tc>
          <w:tcPr>
            <w:tcW w:w="0" w:type="auto"/>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6FA9F24F" w14:textId="77777777" w:rsidR="00856F66" w:rsidRPr="00E31657" w:rsidRDefault="00856F66" w:rsidP="00985E3D">
            <w:pPr>
              <w:pStyle w:val="Ttulo"/>
              <w:jc w:val="center"/>
              <w:rPr>
                <w:lang w:val="es-ES_tradnl"/>
              </w:rPr>
            </w:pPr>
            <w:r w:rsidRPr="00985E3D">
              <w:rPr>
                <w:rFonts w:ascii="Candara" w:eastAsia="Times New Roman" w:hAnsi="Candara"/>
                <w:b/>
                <w:bCs/>
                <w:color w:val="FFFFFF" w:themeColor="background1"/>
                <w:sz w:val="24"/>
                <w:szCs w:val="24"/>
                <w:lang w:val="es-ES_tradnl" w:eastAsia="es-MX"/>
              </w:rPr>
              <w:t>Gestión pública</w:t>
            </w:r>
          </w:p>
        </w:tc>
      </w:tr>
      <w:tr w:rsidR="00856F66" w:rsidRPr="00E31657" w14:paraId="2821DBE4"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4547833"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Crear 1 portal web para el acceso ágil y sencillo a toda la oferta de trámites y servicios del Distrito Capital.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794205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A9349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54862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0,15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BAAC66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18A478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E6749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0,25</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4136BF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6.086.910.829</w:t>
            </w:r>
          </w:p>
        </w:tc>
      </w:tr>
      <w:tr w:rsidR="00856F66" w:rsidRPr="00E31657" w14:paraId="7D94DC7B"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35FD88BB"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A732BA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F5F591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7E9F85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555.835.982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E8D66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1.061.518.692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7715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2.278.362.836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92CD6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2.191.193.318</w:t>
            </w:r>
          </w:p>
        </w:tc>
        <w:tc>
          <w:tcPr>
            <w:tcW w:w="0" w:type="auto"/>
            <w:gridSpan w:val="2"/>
            <w:vMerge/>
            <w:tcBorders>
              <w:top w:val="double" w:sz="4" w:space="0" w:color="C00000"/>
              <w:left w:val="double" w:sz="4" w:space="0" w:color="C00000"/>
              <w:bottom w:val="double" w:sz="4" w:space="0" w:color="C00000"/>
            </w:tcBorders>
            <w:vAlign w:val="center"/>
            <w:hideMark/>
          </w:tcPr>
          <w:p w14:paraId="71DE70A8" w14:textId="77777777" w:rsidR="00856F66" w:rsidRPr="00E31657" w:rsidRDefault="00856F66" w:rsidP="00AE6E22">
            <w:pPr>
              <w:rPr>
                <w:rFonts w:cs="Arial"/>
                <w:b/>
                <w:bCs/>
                <w:sz w:val="16"/>
                <w:szCs w:val="16"/>
                <w:lang w:val="es-ES_tradnl" w:eastAsia="es-MX"/>
              </w:rPr>
            </w:pPr>
          </w:p>
        </w:tc>
      </w:tr>
      <w:tr w:rsidR="00856F66" w:rsidRPr="00E31657" w14:paraId="2A9490F1"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DB59D6"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Fortalecer la capacidad de los 3 canales de atención (presencial virtual y telefónico) para atender orientar y responder a las necesidades de la población con un enfoque diferencial en cada rincón de la Ciudad.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124A0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AE958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0AA61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35B600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80FBD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4A19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3B3FA43"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17.652.270.184</w:t>
            </w:r>
          </w:p>
        </w:tc>
      </w:tr>
      <w:tr w:rsidR="00856F66" w:rsidRPr="00E31657" w14:paraId="5BA8B7EF"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208934A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AB5F95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22B05B9"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7876DD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2.411.188.082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8E81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5.146.776.796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FB25F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5.352.406.321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EC9A6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4.741.898.985</w:t>
            </w:r>
          </w:p>
        </w:tc>
        <w:tc>
          <w:tcPr>
            <w:tcW w:w="0" w:type="auto"/>
            <w:gridSpan w:val="2"/>
            <w:vMerge/>
            <w:tcBorders>
              <w:top w:val="double" w:sz="4" w:space="0" w:color="C00000"/>
              <w:left w:val="double" w:sz="4" w:space="0" w:color="C00000"/>
              <w:bottom w:val="double" w:sz="4" w:space="0" w:color="C00000"/>
            </w:tcBorders>
            <w:vAlign w:val="center"/>
            <w:hideMark/>
          </w:tcPr>
          <w:p w14:paraId="4AEC05D6" w14:textId="77777777" w:rsidR="00856F66" w:rsidRPr="00E31657" w:rsidRDefault="00856F66" w:rsidP="00AE6E22">
            <w:pPr>
              <w:rPr>
                <w:rFonts w:cs="Arial"/>
                <w:b/>
                <w:bCs/>
                <w:sz w:val="16"/>
                <w:szCs w:val="16"/>
                <w:lang w:val="es-ES_tradnl" w:eastAsia="es-MX"/>
              </w:rPr>
            </w:pPr>
          </w:p>
        </w:tc>
      </w:tr>
      <w:tr w:rsidR="00856F66" w:rsidRPr="00E31657" w14:paraId="47A7F9A4" w14:textId="77777777" w:rsidTr="00BE4ED4">
        <w:trPr>
          <w:gridAfter w:val="1"/>
          <w:wAfter w:w="108" w:type="dxa"/>
          <w:trHeight w:val="20"/>
          <w:jc w:val="center"/>
        </w:trPr>
        <w:tc>
          <w:tcPr>
            <w:tcW w:w="0" w:type="auto"/>
            <w:gridSpan w:val="9"/>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72A539D1"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Gobierno</w:t>
            </w:r>
          </w:p>
        </w:tc>
      </w:tr>
      <w:tr w:rsidR="00856F66" w:rsidRPr="00E31657" w14:paraId="2DF13BAB"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220E604"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Constituir cuatro (4) módulos de atención relacionamiento y política con sentido entre la administración distrital las corporaciones de elección popular y la ciudadanía que responda de manera estratégica oportuna efectiva y resolutiva las solicitudes cotidianas normativas y logísticas para la ciudad con un enfoque de interseccionalidad.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24EE5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AD82CA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Proyecto de inversión 7799 (2020 - 2024(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35496D" w14:textId="18D7D063"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4E96C3" w14:textId="72414380" w:rsidR="00856F66" w:rsidRPr="00E31657" w:rsidRDefault="00E673A7" w:rsidP="00AE6E22">
            <w:pPr>
              <w:jc w:val="center"/>
              <w:rPr>
                <w:rFonts w:cs="Arial"/>
                <w:sz w:val="16"/>
                <w:szCs w:val="16"/>
                <w:lang w:val="es-ES_tradnl" w:eastAsia="es-MX"/>
              </w:rPr>
            </w:pPr>
            <w:r>
              <w:rPr>
                <w:rFonts w:cs="Arial"/>
                <w:sz w:val="16"/>
                <w:szCs w:val="16"/>
                <w:lang w:val="es-ES_tradnl" w:eastAsia="es-MX"/>
              </w:rPr>
              <w:t>10</w:t>
            </w:r>
            <w:r w:rsidR="00856F66" w:rsidRPr="00E31657">
              <w:rPr>
                <w:rFonts w:cs="Arial"/>
                <w:sz w:val="16"/>
                <w:szCs w:val="16"/>
                <w:lang w:val="es-ES_tradnl" w:eastAsia="es-MX"/>
              </w:rPr>
              <w:t>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FAB192" w14:textId="3A1C5B55" w:rsidR="00856F66" w:rsidRPr="00E31657" w:rsidRDefault="00E673A7" w:rsidP="00AE6E22">
            <w:pPr>
              <w:jc w:val="center"/>
              <w:rPr>
                <w:rFonts w:cs="Arial"/>
                <w:sz w:val="16"/>
                <w:szCs w:val="16"/>
                <w:lang w:val="es-ES_tradnl" w:eastAsia="es-MX"/>
              </w:rPr>
            </w:pPr>
            <w:r>
              <w:rPr>
                <w:rFonts w:cs="Arial"/>
                <w:sz w:val="16"/>
                <w:szCs w:val="16"/>
                <w:lang w:val="es-ES_tradnl" w:eastAsia="es-MX"/>
              </w:rPr>
              <w:t>100</w:t>
            </w:r>
            <w:r w:rsidR="00856F66" w:rsidRPr="00E31657">
              <w:rPr>
                <w:rFonts w:cs="Arial"/>
                <w:sz w:val="16"/>
                <w:szCs w:val="16"/>
                <w:lang w:val="es-ES_tradnl" w:eastAsia="es-MX"/>
              </w:rPr>
              <w:t>%</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7B1C43" w14:textId="141653A9" w:rsidR="00856F66" w:rsidRPr="00E31657" w:rsidRDefault="00E673A7" w:rsidP="00AE6E22">
            <w:pPr>
              <w:jc w:val="center"/>
              <w:rPr>
                <w:rFonts w:cs="Arial"/>
                <w:sz w:val="16"/>
                <w:szCs w:val="16"/>
                <w:lang w:val="es-ES_tradnl" w:eastAsia="es-MX"/>
              </w:rPr>
            </w:pPr>
            <w:r>
              <w:rPr>
                <w:rFonts w:cs="Arial"/>
                <w:sz w:val="16"/>
                <w:szCs w:val="16"/>
                <w:lang w:val="es-ES_tradnl" w:eastAsia="es-MX"/>
              </w:rPr>
              <w:t>100</w:t>
            </w:r>
            <w:r w:rsidR="00856F66" w:rsidRPr="00E31657">
              <w:rPr>
                <w:rFonts w:cs="Arial"/>
                <w:sz w:val="16"/>
                <w:szCs w:val="16"/>
                <w:lang w:val="es-ES_tradnl" w:eastAsia="es-MX"/>
              </w:rPr>
              <w:t>%</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7F7F14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7.742.364.785</w:t>
            </w:r>
          </w:p>
        </w:tc>
      </w:tr>
      <w:tr w:rsidR="00856F66" w:rsidRPr="00E31657" w14:paraId="62B6A960"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1A8ACC0A"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9C268F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2416A3B"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950A2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172.000.000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B2BD1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2.310.679.612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0D66F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2.808.935.809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B32CC8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2.450.749.364</w:t>
            </w:r>
          </w:p>
        </w:tc>
        <w:tc>
          <w:tcPr>
            <w:tcW w:w="0" w:type="auto"/>
            <w:gridSpan w:val="2"/>
            <w:vMerge/>
            <w:tcBorders>
              <w:top w:val="double" w:sz="4" w:space="0" w:color="C00000"/>
              <w:left w:val="double" w:sz="4" w:space="0" w:color="C00000"/>
              <w:bottom w:val="double" w:sz="4" w:space="0" w:color="C00000"/>
            </w:tcBorders>
            <w:vAlign w:val="center"/>
            <w:hideMark/>
          </w:tcPr>
          <w:p w14:paraId="06DCE12A" w14:textId="77777777" w:rsidR="00856F66" w:rsidRPr="00E31657" w:rsidRDefault="00856F66" w:rsidP="00AE6E22">
            <w:pPr>
              <w:rPr>
                <w:rFonts w:cs="Arial"/>
                <w:b/>
                <w:bCs/>
                <w:sz w:val="16"/>
                <w:szCs w:val="16"/>
                <w:lang w:val="es-ES_tradnl" w:eastAsia="es-MX"/>
              </w:rPr>
            </w:pPr>
          </w:p>
        </w:tc>
      </w:tr>
      <w:tr w:rsidR="00856F66" w:rsidRPr="00E31657" w14:paraId="00359BCC"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8CACA8"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Ejecutar el 100% anual de las acciones que garanticen el cumplimiento de los productos en las Políticas Públicas Distritales a cargo de IDPAC con enfoque de género poblacional y diferencial.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3C8684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A5504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Segplan corte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9E19D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52A9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4AA1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E2869F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F75406E"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5.891.761.013</w:t>
            </w:r>
          </w:p>
        </w:tc>
      </w:tr>
      <w:tr w:rsidR="00856F66" w:rsidRPr="00E31657" w14:paraId="24661B43"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23A6A0E0"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A767AF5"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E57D91A"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309AF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618.400.000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B55AA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2.101.359.223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264AF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2.040.154.586</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AC0B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1.131.847.204</w:t>
            </w:r>
          </w:p>
        </w:tc>
        <w:tc>
          <w:tcPr>
            <w:tcW w:w="0" w:type="auto"/>
            <w:gridSpan w:val="2"/>
            <w:vMerge/>
            <w:tcBorders>
              <w:top w:val="double" w:sz="4" w:space="0" w:color="C00000"/>
              <w:left w:val="double" w:sz="4" w:space="0" w:color="C00000"/>
              <w:bottom w:val="double" w:sz="4" w:space="0" w:color="C00000"/>
            </w:tcBorders>
            <w:vAlign w:val="center"/>
            <w:hideMark/>
          </w:tcPr>
          <w:p w14:paraId="62319D22" w14:textId="77777777" w:rsidR="00856F66" w:rsidRPr="00E31657" w:rsidRDefault="00856F66" w:rsidP="00AE6E22">
            <w:pPr>
              <w:rPr>
                <w:rFonts w:cs="Arial"/>
                <w:b/>
                <w:bCs/>
                <w:sz w:val="16"/>
                <w:szCs w:val="16"/>
                <w:lang w:val="es-ES_tradnl" w:eastAsia="es-MX"/>
              </w:rPr>
            </w:pPr>
          </w:p>
        </w:tc>
      </w:tr>
      <w:tr w:rsidR="00856F66" w:rsidRPr="00E31657" w14:paraId="50DEF223"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30A11E"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Fomentar la participación ciudadana y el ambiente habilitante en la construcción de lo público, en articulación con las Organizaciones de la Sociedad Civil (OSC), Organismos Internacionales, Fondos de Desarrollo Local, entidades Distritales y del orden Nacional, empleando instrumentos técnicos, jurídicos y financieros.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0A1FC8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62826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320A9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155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9CCA31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995C3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542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742A1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311</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B7F61FD"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17.721.014.691</w:t>
            </w:r>
          </w:p>
        </w:tc>
      </w:tr>
      <w:tr w:rsidR="00856F66" w:rsidRPr="00E31657" w14:paraId="1B46F1B9"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13FC10A5"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8173AF2"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E3D27D0"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2D1E7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1.860.000.000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F7B00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6.320.388.350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27BCE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6.136.299.368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85C52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3.404.326.973</w:t>
            </w:r>
          </w:p>
        </w:tc>
        <w:tc>
          <w:tcPr>
            <w:tcW w:w="0" w:type="auto"/>
            <w:gridSpan w:val="2"/>
            <w:vMerge/>
            <w:tcBorders>
              <w:top w:val="double" w:sz="4" w:space="0" w:color="C00000"/>
              <w:left w:val="double" w:sz="4" w:space="0" w:color="C00000"/>
              <w:bottom w:val="double" w:sz="4" w:space="0" w:color="C00000"/>
            </w:tcBorders>
            <w:vAlign w:val="center"/>
            <w:hideMark/>
          </w:tcPr>
          <w:p w14:paraId="66E93298" w14:textId="77777777" w:rsidR="00856F66" w:rsidRPr="00E31657" w:rsidRDefault="00856F66" w:rsidP="00AE6E22">
            <w:pPr>
              <w:rPr>
                <w:rFonts w:cs="Arial"/>
                <w:b/>
                <w:bCs/>
                <w:sz w:val="16"/>
                <w:szCs w:val="16"/>
                <w:lang w:val="es-ES_tradnl" w:eastAsia="es-MX"/>
              </w:rPr>
            </w:pPr>
          </w:p>
        </w:tc>
      </w:tr>
      <w:tr w:rsidR="00856F66" w:rsidRPr="00E31657" w14:paraId="2B2D8850"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BB40D64"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Fortalecer las competencias ciudadanas de 120.000 personas en sus diferencias diversidades y formas organizativas para la participación incidente y la construcción de acuerdos que robustezcan el tejido social incorporando enfoque de género de género diferencial y poblacional.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5727E3C"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93899</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461938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Segplan corte 31/12/2023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E65395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C55D1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3575C6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42.000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98102F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24.000</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55B5089"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20.579.242.867</w:t>
            </w:r>
          </w:p>
        </w:tc>
      </w:tr>
      <w:tr w:rsidR="00856F66" w:rsidRPr="00E31657" w14:paraId="029E71E7"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0CD33829"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E1E413B"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9B94117"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02BB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2.160.000.000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EDE31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7.339.805.825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2D4F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7.126.025.073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C474EE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3.953.411.968</w:t>
            </w:r>
          </w:p>
        </w:tc>
        <w:tc>
          <w:tcPr>
            <w:tcW w:w="0" w:type="auto"/>
            <w:gridSpan w:val="2"/>
            <w:vMerge/>
            <w:tcBorders>
              <w:top w:val="double" w:sz="4" w:space="0" w:color="C00000"/>
              <w:left w:val="double" w:sz="4" w:space="0" w:color="C00000"/>
              <w:bottom w:val="double" w:sz="4" w:space="0" w:color="C00000"/>
            </w:tcBorders>
            <w:vAlign w:val="center"/>
            <w:hideMark/>
          </w:tcPr>
          <w:p w14:paraId="26AAD447" w14:textId="77777777" w:rsidR="00856F66" w:rsidRPr="00E31657" w:rsidRDefault="00856F66" w:rsidP="00AE6E22">
            <w:pPr>
              <w:rPr>
                <w:rFonts w:cs="Arial"/>
                <w:b/>
                <w:bCs/>
                <w:sz w:val="16"/>
                <w:szCs w:val="16"/>
                <w:lang w:val="es-ES_tradnl" w:eastAsia="es-MX"/>
              </w:rPr>
            </w:pPr>
          </w:p>
        </w:tc>
      </w:tr>
      <w:tr w:rsidR="00856F66" w:rsidRPr="00E31657" w14:paraId="1F86845D"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8450AF"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 xml:space="preserve">Implementar 35 iniciativas de producción de información que recojan información y datos diferenciados por sexo edad orientación sexual identidad de </w:t>
            </w:r>
            <w:r w:rsidRPr="00E31657">
              <w:rPr>
                <w:rFonts w:cs="Arial"/>
                <w:sz w:val="16"/>
                <w:szCs w:val="16"/>
                <w:lang w:val="es-ES_tradnl" w:eastAsia="es-MX"/>
              </w:rPr>
              <w:lastRenderedPageBreak/>
              <w:t>género estrato social pertenencia étnico-racial ubicación geográfica discapacidad sobre las dinámicas retos y tendencias de participación incidente y paritaria que aportan datos claves para la ciudadanía y la toma de decisiones en materia de políticas públicas.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618120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lastRenderedPageBreak/>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478A0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A61EC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9F70A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49DEE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F83A2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56DAB60A"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6.055.632.762</w:t>
            </w:r>
          </w:p>
        </w:tc>
      </w:tr>
      <w:tr w:rsidR="00856F66" w:rsidRPr="00E31657" w14:paraId="35EF8503"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06909863"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432D512"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D24FBD6"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DE3AF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635.600.000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885FE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2.159.805.825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0D51D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2.096.898.859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AE43F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1.163.328.077</w:t>
            </w:r>
          </w:p>
        </w:tc>
        <w:tc>
          <w:tcPr>
            <w:tcW w:w="0" w:type="auto"/>
            <w:gridSpan w:val="2"/>
            <w:vMerge/>
            <w:tcBorders>
              <w:top w:val="double" w:sz="4" w:space="0" w:color="C00000"/>
              <w:left w:val="double" w:sz="4" w:space="0" w:color="C00000"/>
              <w:bottom w:val="double" w:sz="4" w:space="0" w:color="C00000"/>
            </w:tcBorders>
            <w:vAlign w:val="center"/>
            <w:hideMark/>
          </w:tcPr>
          <w:p w14:paraId="21723888" w14:textId="77777777" w:rsidR="00856F66" w:rsidRPr="00E31657" w:rsidRDefault="00856F66" w:rsidP="00AE6E22">
            <w:pPr>
              <w:rPr>
                <w:rFonts w:cs="Arial"/>
                <w:b/>
                <w:bCs/>
                <w:sz w:val="16"/>
                <w:szCs w:val="16"/>
                <w:lang w:val="es-ES_tradnl" w:eastAsia="es-MX"/>
              </w:rPr>
            </w:pPr>
          </w:p>
        </w:tc>
      </w:tr>
      <w:tr w:rsidR="00856F66" w:rsidRPr="00E31657" w14:paraId="76FD9759"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0CE8221"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Implementar un (1) modelo de gobernanza democrática que amplíe el alcance de la participación de la ciudadanía organizaciones sociales y comunales de primer segundo y tercer grado en todas las decisiones públicas del gobierno distrital.</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63151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D2DCD4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2A060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0.09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435E2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232DBE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2BC51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0.21</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E3449BC"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59.769.198.537</w:t>
            </w:r>
          </w:p>
        </w:tc>
      </w:tr>
      <w:tr w:rsidR="00856F66" w:rsidRPr="00E31657" w14:paraId="0D60AB57"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79A41A4E"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7920E9C"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9473C48"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E0662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5.679.600.000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BCCC4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21.241.359.223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F48F6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20.622.678.858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2E990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12.225.560.456</w:t>
            </w:r>
          </w:p>
        </w:tc>
        <w:tc>
          <w:tcPr>
            <w:tcW w:w="0" w:type="auto"/>
            <w:gridSpan w:val="2"/>
            <w:vMerge/>
            <w:tcBorders>
              <w:top w:val="double" w:sz="4" w:space="0" w:color="C00000"/>
              <w:left w:val="double" w:sz="4" w:space="0" w:color="C00000"/>
              <w:bottom w:val="double" w:sz="4" w:space="0" w:color="C00000"/>
            </w:tcBorders>
            <w:vAlign w:val="center"/>
            <w:hideMark/>
          </w:tcPr>
          <w:p w14:paraId="13B1218C" w14:textId="77777777" w:rsidR="00856F66" w:rsidRPr="00E31657" w:rsidRDefault="00856F66" w:rsidP="00AE6E22">
            <w:pPr>
              <w:rPr>
                <w:rFonts w:cs="Arial"/>
                <w:b/>
                <w:bCs/>
                <w:sz w:val="16"/>
                <w:szCs w:val="16"/>
                <w:lang w:val="es-ES_tradnl" w:eastAsia="es-MX"/>
              </w:rPr>
            </w:pPr>
          </w:p>
        </w:tc>
      </w:tr>
      <w:tr w:rsidR="00856F66" w:rsidRPr="00E31657" w14:paraId="1F3F0DAC"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99D3EA"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Implementar un (1) plan de fortalecimiento de Consejos de Juventud y los Consejeros Locales y Distritales</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63916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ECDC4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SDG</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6EFC9E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821BBA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27A3A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8BDC576"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34D158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2.381.315.827</w:t>
            </w:r>
          </w:p>
        </w:tc>
      </w:tr>
      <w:tr w:rsidR="00856F66" w:rsidRPr="00E31657" w14:paraId="60BD6C38"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50FC331C"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64198C7"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D8F01CE"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2450AE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DBF722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873.786.408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8ABA7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612.687.341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91FC9C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594.842.079</w:t>
            </w:r>
          </w:p>
        </w:tc>
        <w:tc>
          <w:tcPr>
            <w:tcW w:w="0" w:type="auto"/>
            <w:gridSpan w:val="2"/>
            <w:vMerge/>
            <w:tcBorders>
              <w:top w:val="double" w:sz="4" w:space="0" w:color="C00000"/>
              <w:left w:val="double" w:sz="4" w:space="0" w:color="C00000"/>
              <w:bottom w:val="double" w:sz="4" w:space="0" w:color="C00000"/>
            </w:tcBorders>
            <w:vAlign w:val="center"/>
            <w:hideMark/>
          </w:tcPr>
          <w:p w14:paraId="538CEF19" w14:textId="77777777" w:rsidR="00856F66" w:rsidRPr="00E31657" w:rsidRDefault="00856F66" w:rsidP="00AE6E22">
            <w:pPr>
              <w:rPr>
                <w:rFonts w:cs="Arial"/>
                <w:b/>
                <w:bCs/>
                <w:sz w:val="16"/>
                <w:szCs w:val="16"/>
                <w:lang w:val="es-ES_tradnl" w:eastAsia="es-MX"/>
              </w:rPr>
            </w:pPr>
          </w:p>
        </w:tc>
      </w:tr>
      <w:tr w:rsidR="00856F66" w:rsidRPr="00E31657" w14:paraId="0722631D"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DED8DE3"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Implementar una (1) estrategia de participación ciudadana en las 20 localidades con enfoque de género poblacional y diferencial en el marco de presupuestos participativos Gobierno Abierto de Bogotá.</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D692CB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6E5F80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SDG-SDP-IDPAC</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F68BBD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FFB3A1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F153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0C4F4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40%</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F4A0EB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6.451.649.497</w:t>
            </w:r>
          </w:p>
        </w:tc>
      </w:tr>
      <w:tr w:rsidR="00856F66" w:rsidRPr="00E31657" w14:paraId="5A37B980"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4D40F5AC"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01DB2C8"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E6080B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735DE9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800.000.000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8A8397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1.844.660.194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8B16D8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1.885.191.818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C307E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1.921.797.485</w:t>
            </w:r>
          </w:p>
        </w:tc>
        <w:tc>
          <w:tcPr>
            <w:tcW w:w="0" w:type="auto"/>
            <w:gridSpan w:val="2"/>
            <w:vMerge/>
            <w:tcBorders>
              <w:top w:val="double" w:sz="4" w:space="0" w:color="C00000"/>
              <w:left w:val="double" w:sz="4" w:space="0" w:color="C00000"/>
              <w:bottom w:val="double" w:sz="4" w:space="0" w:color="C00000"/>
            </w:tcBorders>
            <w:vAlign w:val="center"/>
            <w:hideMark/>
          </w:tcPr>
          <w:p w14:paraId="7A13873A" w14:textId="77777777" w:rsidR="00856F66" w:rsidRPr="00E31657" w:rsidRDefault="00856F66" w:rsidP="00AE6E22">
            <w:pPr>
              <w:rPr>
                <w:rFonts w:cs="Arial"/>
                <w:b/>
                <w:bCs/>
                <w:sz w:val="16"/>
                <w:szCs w:val="16"/>
                <w:lang w:val="es-ES_tradnl" w:eastAsia="es-MX"/>
              </w:rPr>
            </w:pPr>
          </w:p>
        </w:tc>
      </w:tr>
      <w:tr w:rsidR="00856F66" w:rsidRPr="00E31657" w14:paraId="75070D4B"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D4400A"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Implementar una (1) metodología conducente a la implementación y seguimiento de convenios solidarios para facilitar el aprovechamiento en bienes fiscales y de carácter comunitario en salones comunales así como en estacionamiento en zonas de cesión con uso de parqueadero de carácter barrial con uso comunitario que no hagan parte de la red de estacionamientos públicos y privados de conexión al sistema de transporte.</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7A97F9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713</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C91D53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Inventario de bienes de uso público diferente al permitido urbanísticamente de acuerdo a información proporcionada por el DADEP entregado 2 de abril de 2024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1AEAD9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46AD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680B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81D24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346DD812"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1.810.211.178</w:t>
            </w:r>
          </w:p>
        </w:tc>
      </w:tr>
      <w:tr w:rsidR="00856F66" w:rsidRPr="00E31657" w14:paraId="054BC98A"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2A95DF86"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52ACD31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B2B417F"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57C6FB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190.000.000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1D5A8E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645.631.068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BC6F7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626.826.280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0D1D1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347.753.831</w:t>
            </w:r>
          </w:p>
        </w:tc>
        <w:tc>
          <w:tcPr>
            <w:tcW w:w="0" w:type="auto"/>
            <w:gridSpan w:val="2"/>
            <w:vMerge/>
            <w:tcBorders>
              <w:top w:val="double" w:sz="4" w:space="0" w:color="C00000"/>
              <w:left w:val="double" w:sz="4" w:space="0" w:color="C00000"/>
              <w:bottom w:val="double" w:sz="4" w:space="0" w:color="C00000"/>
            </w:tcBorders>
            <w:vAlign w:val="center"/>
            <w:hideMark/>
          </w:tcPr>
          <w:p w14:paraId="0622EF87" w14:textId="77777777" w:rsidR="00856F66" w:rsidRPr="00E31657" w:rsidRDefault="00856F66" w:rsidP="00AE6E22">
            <w:pPr>
              <w:rPr>
                <w:rFonts w:cs="Arial"/>
                <w:b/>
                <w:bCs/>
                <w:sz w:val="16"/>
                <w:szCs w:val="16"/>
                <w:lang w:val="es-ES_tradnl" w:eastAsia="es-MX"/>
              </w:rPr>
            </w:pPr>
          </w:p>
        </w:tc>
      </w:tr>
      <w:tr w:rsidR="00856F66" w:rsidRPr="00E31657" w14:paraId="7ED7F199" w14:textId="77777777" w:rsidTr="00BE4ED4">
        <w:trPr>
          <w:trHeight w:val="20"/>
          <w:jc w:val="center"/>
        </w:trPr>
        <w:tc>
          <w:tcPr>
            <w:tcW w:w="10080"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477F6F26"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Hacienda</w:t>
            </w:r>
          </w:p>
        </w:tc>
      </w:tr>
      <w:tr w:rsidR="00856F66" w:rsidRPr="00E31657" w14:paraId="55789BD0"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D5C70E5"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lastRenderedPageBreak/>
              <w:t>Alcanzar 78 puntos en el índice de satisfacción frente a los trámites que presta la Secretaría Distrital de Hacienda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63D3D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67 Puntos</w:t>
            </w:r>
            <w:r w:rsidRPr="00E31657">
              <w:rPr>
                <w:rFonts w:cs="Arial"/>
                <w:sz w:val="16"/>
                <w:szCs w:val="16"/>
                <w:lang w:val="es-ES_tradnl" w:eastAsia="es-MX"/>
              </w:rPr>
              <w:br/>
              <w:t>(2023)</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6C29FF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Encuesta de satisfacción 2023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380B8A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C38AF5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AC74A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404EE4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78</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4C362D6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25.435.957.819</w:t>
            </w:r>
          </w:p>
        </w:tc>
      </w:tr>
      <w:tr w:rsidR="00856F66" w:rsidRPr="00E31657" w14:paraId="617CE563"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0EFE5AC6" w14:textId="77777777" w:rsidR="00856F66" w:rsidRPr="00E31657" w:rsidRDefault="00856F66" w:rsidP="00E77E33">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4EED1A1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90F0573"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050FAD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1.040.000.000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DB42A3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3.594.174.757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3C4D34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10.735.224.809</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0EA2D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10.066.558.253</w:t>
            </w:r>
          </w:p>
        </w:tc>
        <w:tc>
          <w:tcPr>
            <w:tcW w:w="0" w:type="auto"/>
            <w:gridSpan w:val="2"/>
            <w:vMerge/>
            <w:tcBorders>
              <w:top w:val="double" w:sz="4" w:space="0" w:color="C00000"/>
              <w:left w:val="double" w:sz="4" w:space="0" w:color="C00000"/>
              <w:bottom w:val="double" w:sz="4" w:space="0" w:color="C00000"/>
            </w:tcBorders>
            <w:vAlign w:val="center"/>
            <w:hideMark/>
          </w:tcPr>
          <w:p w14:paraId="32D99D86" w14:textId="77777777" w:rsidR="00856F66" w:rsidRPr="00E31657" w:rsidRDefault="00856F66" w:rsidP="00AE6E22">
            <w:pPr>
              <w:rPr>
                <w:rFonts w:cs="Arial"/>
                <w:b/>
                <w:bCs/>
                <w:sz w:val="16"/>
                <w:szCs w:val="16"/>
                <w:lang w:val="es-ES_tradnl" w:eastAsia="es-MX"/>
              </w:rPr>
            </w:pPr>
          </w:p>
        </w:tc>
      </w:tr>
      <w:tr w:rsidR="00856F66" w:rsidRPr="00E31657" w14:paraId="2C1437DF" w14:textId="77777777" w:rsidTr="00BE4ED4">
        <w:trPr>
          <w:trHeight w:val="20"/>
          <w:jc w:val="center"/>
        </w:trPr>
        <w:tc>
          <w:tcPr>
            <w:tcW w:w="10080"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0F78E5CA"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Movilidad</w:t>
            </w:r>
          </w:p>
        </w:tc>
      </w:tr>
      <w:tr w:rsidR="00856F66" w:rsidRPr="00E31657" w14:paraId="0BD3C201"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EB0366A" w14:textId="77777777" w:rsidR="00856F66" w:rsidRPr="00E31657" w:rsidRDefault="00856F66" w:rsidP="00E77E33">
            <w:pPr>
              <w:jc w:val="right"/>
              <w:rPr>
                <w:rFonts w:cs="Arial"/>
                <w:sz w:val="16"/>
                <w:szCs w:val="16"/>
                <w:lang w:val="es-ES_tradnl" w:eastAsia="es-MX"/>
              </w:rPr>
            </w:pPr>
            <w:r w:rsidRPr="00E31657">
              <w:rPr>
                <w:rFonts w:cs="Arial"/>
                <w:sz w:val="16"/>
                <w:szCs w:val="16"/>
                <w:lang w:val="es-ES_tradnl" w:eastAsia="es-MX"/>
              </w:rPr>
              <w:t>Desarrollar el 100% de mejoramiento en la atención, participación ciudadana incidente y formación para la atención integral con enfoques de género, diferencial y territorial, a través de los canales definidos por cada entidades, del Sector Movilidad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924302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5882D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A9F514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FF25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423B9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EF5D1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100,00%</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276293FB"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485.976.067.792</w:t>
            </w:r>
          </w:p>
        </w:tc>
      </w:tr>
      <w:tr w:rsidR="00856F66" w:rsidRPr="00E31657" w14:paraId="420A93CD"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55C64E38"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3B39A7A"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0C3A15E3"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B66579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128.790.000.000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3B298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109.773.786.408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B5DD1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124.362.333.867</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3EE9CA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123.049.947.517</w:t>
            </w:r>
          </w:p>
        </w:tc>
        <w:tc>
          <w:tcPr>
            <w:tcW w:w="0" w:type="auto"/>
            <w:gridSpan w:val="2"/>
            <w:vMerge/>
            <w:tcBorders>
              <w:top w:val="double" w:sz="4" w:space="0" w:color="C00000"/>
              <w:left w:val="double" w:sz="4" w:space="0" w:color="C00000"/>
              <w:bottom w:val="double" w:sz="4" w:space="0" w:color="C00000"/>
            </w:tcBorders>
            <w:vAlign w:val="center"/>
            <w:hideMark/>
          </w:tcPr>
          <w:p w14:paraId="73FCBDCF" w14:textId="77777777" w:rsidR="00856F66" w:rsidRPr="00E31657" w:rsidRDefault="00856F66" w:rsidP="00AE6E22">
            <w:pPr>
              <w:rPr>
                <w:rFonts w:cs="Arial"/>
                <w:b/>
                <w:bCs/>
                <w:sz w:val="16"/>
                <w:szCs w:val="16"/>
                <w:lang w:val="es-ES_tradnl" w:eastAsia="es-MX"/>
              </w:rPr>
            </w:pPr>
          </w:p>
        </w:tc>
      </w:tr>
      <w:tr w:rsidR="00856F66" w:rsidRPr="00E31657" w14:paraId="492DAF8F" w14:textId="77777777" w:rsidTr="00BE4ED4">
        <w:trPr>
          <w:trHeight w:val="20"/>
          <w:jc w:val="center"/>
        </w:trPr>
        <w:tc>
          <w:tcPr>
            <w:tcW w:w="10080"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AD50501"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Planeación</w:t>
            </w:r>
          </w:p>
        </w:tc>
      </w:tr>
      <w:tr w:rsidR="00856F66" w:rsidRPr="00E31657" w14:paraId="316EB99C"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8B4E3A0"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Implementar el 100% de las apuestas y acciones del Plan Institucional de Participación Ciudadana de la SDP garantizando la inclusión de los enfoques diferenciales la innovación la pedagogía la transparencia la rendición de cuentas permanente la incidencia y la co-construcción con la ciudadanía.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E8D79CB"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486469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Oficina de Participación y Diálogo de Ciudad - SDP</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E4E497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65792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BE5B0F9" w14:textId="36112F6A"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0,30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C3183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0,20</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68842AE6"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9.355.746.198</w:t>
            </w:r>
          </w:p>
        </w:tc>
      </w:tr>
      <w:tr w:rsidR="00856F66" w:rsidRPr="00E31657" w14:paraId="4EEF0E58"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7FD35967" w14:textId="77777777" w:rsidR="00856F66" w:rsidRPr="00E31657" w:rsidRDefault="00856F66" w:rsidP="00BE4ED4">
            <w:pPr>
              <w:jc w:val="right"/>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A19CC69"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7AC3CC0E"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783537"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2.488.000.000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9E49D5"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2.536.893.204</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D835BD4" w14:textId="22AFE80F"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2.590.253.558</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36699A0"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1.740.599.436</w:t>
            </w:r>
          </w:p>
        </w:tc>
        <w:tc>
          <w:tcPr>
            <w:tcW w:w="0" w:type="auto"/>
            <w:gridSpan w:val="2"/>
            <w:vMerge/>
            <w:tcBorders>
              <w:top w:val="double" w:sz="4" w:space="0" w:color="C00000"/>
              <w:left w:val="double" w:sz="4" w:space="0" w:color="C00000"/>
              <w:bottom w:val="double" w:sz="4" w:space="0" w:color="C00000"/>
            </w:tcBorders>
            <w:vAlign w:val="center"/>
            <w:hideMark/>
          </w:tcPr>
          <w:p w14:paraId="22205F27" w14:textId="77777777" w:rsidR="00856F66" w:rsidRPr="00E31657" w:rsidRDefault="00856F66" w:rsidP="00AE6E22">
            <w:pPr>
              <w:rPr>
                <w:rFonts w:cs="Arial"/>
                <w:b/>
                <w:bCs/>
                <w:sz w:val="16"/>
                <w:szCs w:val="16"/>
                <w:lang w:val="es-ES_tradnl" w:eastAsia="es-MX"/>
              </w:rPr>
            </w:pPr>
          </w:p>
        </w:tc>
      </w:tr>
      <w:tr w:rsidR="00856F66" w:rsidRPr="00E31657" w14:paraId="73F24156"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4062221"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Realizar tres ciclos deliberativos contemplando mecanismos de la Democracia Deliberativa en temas estratégicos de ciudad que utilicen el sorteo para la selección de sus miembros y aseguren la representación descriptiva de la población.</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A5835DD"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5172C0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SDP</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50048EE" w14:textId="23959464" w:rsidR="00856F66" w:rsidRPr="00E31657" w:rsidRDefault="00580D93" w:rsidP="00AE6E22">
            <w:pPr>
              <w:jc w:val="center"/>
              <w:rPr>
                <w:rFonts w:cs="Arial"/>
                <w:sz w:val="16"/>
                <w:szCs w:val="16"/>
                <w:lang w:val="es-ES_tradnl" w:eastAsia="es-MX"/>
              </w:rPr>
            </w:pPr>
            <w:r>
              <w:rPr>
                <w:rFonts w:cs="Arial"/>
                <w:sz w:val="16"/>
                <w:szCs w:val="16"/>
                <w:lang w:val="es-ES_tradnl" w:eastAsia="es-MX"/>
              </w:rPr>
              <w:t>0,5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36FAA422"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87785B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C529840" w14:textId="020AC152" w:rsidR="00856F66" w:rsidRPr="00E31657" w:rsidRDefault="00580D93" w:rsidP="00AE6E22">
            <w:pPr>
              <w:jc w:val="center"/>
              <w:rPr>
                <w:rFonts w:cs="Arial"/>
                <w:sz w:val="16"/>
                <w:szCs w:val="16"/>
                <w:lang w:val="es-ES_tradnl" w:eastAsia="es-MX"/>
              </w:rPr>
            </w:pPr>
            <w:r>
              <w:rPr>
                <w:rFonts w:cs="Arial"/>
                <w:sz w:val="16"/>
                <w:szCs w:val="16"/>
                <w:lang w:val="es-ES_tradnl" w:eastAsia="es-MX"/>
              </w:rPr>
              <w:t>0,5</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77A79B00"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1.435.520.263</w:t>
            </w:r>
          </w:p>
        </w:tc>
      </w:tr>
      <w:tr w:rsidR="00856F66" w:rsidRPr="00E31657" w14:paraId="0CEAFF87"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2FC187A4"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2E7D5ABF"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1A0F25C2"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2284B2F"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250.000.000</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ED91D6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485.436.893</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A4984EF" w14:textId="36EA64B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471.297.955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17D853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228.785.415</w:t>
            </w:r>
          </w:p>
        </w:tc>
        <w:tc>
          <w:tcPr>
            <w:tcW w:w="0" w:type="auto"/>
            <w:gridSpan w:val="2"/>
            <w:vMerge/>
            <w:tcBorders>
              <w:top w:val="double" w:sz="4" w:space="0" w:color="C00000"/>
              <w:left w:val="double" w:sz="4" w:space="0" w:color="C00000"/>
              <w:bottom w:val="double" w:sz="4" w:space="0" w:color="C00000"/>
            </w:tcBorders>
            <w:vAlign w:val="center"/>
            <w:hideMark/>
          </w:tcPr>
          <w:p w14:paraId="176B5D67" w14:textId="77777777" w:rsidR="00856F66" w:rsidRPr="00E31657" w:rsidRDefault="00856F66" w:rsidP="00AE6E22">
            <w:pPr>
              <w:rPr>
                <w:rFonts w:cs="Arial"/>
                <w:b/>
                <w:bCs/>
                <w:sz w:val="16"/>
                <w:szCs w:val="16"/>
                <w:lang w:val="es-ES_tradnl" w:eastAsia="es-MX"/>
              </w:rPr>
            </w:pPr>
          </w:p>
        </w:tc>
      </w:tr>
      <w:tr w:rsidR="00856F66" w:rsidRPr="00E31657" w14:paraId="3F5B3407" w14:textId="77777777" w:rsidTr="00BE4ED4">
        <w:trPr>
          <w:trHeight w:val="20"/>
          <w:jc w:val="center"/>
        </w:trPr>
        <w:tc>
          <w:tcPr>
            <w:tcW w:w="10080" w:type="dxa"/>
            <w:gridSpan w:val="10"/>
            <w:tcBorders>
              <w:top w:val="double" w:sz="4" w:space="0" w:color="C00000"/>
              <w:bottom w:val="double" w:sz="4" w:space="0" w:color="C00000"/>
            </w:tcBorders>
            <w:shd w:val="clear" w:color="auto" w:fill="C00000"/>
            <w:tcMar>
              <w:top w:w="30" w:type="dxa"/>
              <w:left w:w="45" w:type="dxa"/>
              <w:bottom w:w="30" w:type="dxa"/>
              <w:right w:w="45" w:type="dxa"/>
            </w:tcMar>
            <w:vAlign w:val="center"/>
            <w:hideMark/>
          </w:tcPr>
          <w:p w14:paraId="2E599FFB" w14:textId="77777777" w:rsidR="00856F66" w:rsidRPr="00E31657" w:rsidRDefault="00856F66" w:rsidP="00985E3D">
            <w:pPr>
              <w:pStyle w:val="Ttulo"/>
              <w:jc w:val="center"/>
              <w:rPr>
                <w:rFonts w:eastAsia="Times New Roman"/>
                <w:lang w:val="es-ES_tradnl" w:eastAsia="es-MX"/>
              </w:rPr>
            </w:pPr>
            <w:r w:rsidRPr="00985E3D">
              <w:rPr>
                <w:rFonts w:ascii="Candara" w:eastAsia="Times New Roman" w:hAnsi="Candara"/>
                <w:b/>
                <w:bCs/>
                <w:color w:val="FFFFFF" w:themeColor="background1"/>
                <w:sz w:val="24"/>
                <w:szCs w:val="24"/>
                <w:lang w:val="es-ES_tradnl" w:eastAsia="es-MX"/>
              </w:rPr>
              <w:t>Salud</w:t>
            </w:r>
          </w:p>
        </w:tc>
      </w:tr>
      <w:tr w:rsidR="00856F66" w:rsidRPr="00E31657" w14:paraId="72D30ACF" w14:textId="77777777" w:rsidTr="00BE4ED4">
        <w:trPr>
          <w:gridAfter w:val="1"/>
          <w:wAfter w:w="108" w:type="dxa"/>
          <w:trHeight w:val="20"/>
          <w:jc w:val="center"/>
        </w:trPr>
        <w:tc>
          <w:tcPr>
            <w:tcW w:w="0" w:type="auto"/>
            <w:vMerge w:val="restart"/>
            <w:tcBorders>
              <w:top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8E7D433" w14:textId="77777777" w:rsidR="00856F66" w:rsidRPr="00E31657" w:rsidRDefault="00856F66" w:rsidP="00BE4ED4">
            <w:pPr>
              <w:jc w:val="right"/>
              <w:rPr>
                <w:rFonts w:cs="Arial"/>
                <w:sz w:val="16"/>
                <w:szCs w:val="16"/>
                <w:lang w:val="es-ES_tradnl" w:eastAsia="es-MX"/>
              </w:rPr>
            </w:pPr>
            <w:r w:rsidRPr="00E31657">
              <w:rPr>
                <w:rFonts w:cs="Arial"/>
                <w:sz w:val="16"/>
                <w:szCs w:val="16"/>
                <w:lang w:val="es-ES_tradnl" w:eastAsia="es-MX"/>
              </w:rPr>
              <w:t>Implementar el Modelo de relacionamiento integral con la ciudadanía para promover los accesos a los servicios de salud.</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0C47254"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N/A</w:t>
            </w:r>
          </w:p>
        </w:tc>
        <w:tc>
          <w:tcPr>
            <w:tcW w:w="0" w:type="auto"/>
            <w:vMerge w:val="restart"/>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6B62FD7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Propia</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FA3CA13"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598C2C1E"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71856658"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5B429F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w:t>
            </w:r>
          </w:p>
        </w:tc>
        <w:tc>
          <w:tcPr>
            <w:tcW w:w="0" w:type="auto"/>
            <w:gridSpan w:val="2"/>
            <w:vMerge w:val="restart"/>
            <w:tcBorders>
              <w:top w:val="double" w:sz="4" w:space="0" w:color="C00000"/>
              <w:left w:val="double" w:sz="4" w:space="0" w:color="C00000"/>
              <w:bottom w:val="double" w:sz="4" w:space="0" w:color="C00000"/>
            </w:tcBorders>
            <w:tcMar>
              <w:top w:w="30" w:type="dxa"/>
              <w:left w:w="45" w:type="dxa"/>
              <w:bottom w:w="30" w:type="dxa"/>
              <w:right w:w="45" w:type="dxa"/>
            </w:tcMar>
            <w:vAlign w:val="center"/>
            <w:hideMark/>
          </w:tcPr>
          <w:p w14:paraId="0BB9D2A7" w14:textId="77777777" w:rsidR="00856F66" w:rsidRPr="00E31657" w:rsidRDefault="00856F66" w:rsidP="00AE6E22">
            <w:pPr>
              <w:jc w:val="center"/>
              <w:rPr>
                <w:rFonts w:cs="Arial"/>
                <w:b/>
                <w:bCs/>
                <w:sz w:val="16"/>
                <w:szCs w:val="16"/>
                <w:lang w:val="es-ES_tradnl" w:eastAsia="es-MX"/>
              </w:rPr>
            </w:pPr>
            <w:r w:rsidRPr="00E31657">
              <w:rPr>
                <w:rFonts w:cs="Arial"/>
                <w:b/>
                <w:bCs/>
                <w:sz w:val="16"/>
                <w:szCs w:val="16"/>
                <w:lang w:val="es-ES_tradnl" w:eastAsia="es-MX"/>
              </w:rPr>
              <w:t>19.267.244.590</w:t>
            </w:r>
          </w:p>
        </w:tc>
      </w:tr>
      <w:tr w:rsidR="00856F66" w:rsidRPr="00E31657" w14:paraId="633A9BCA" w14:textId="77777777" w:rsidTr="00BE4ED4">
        <w:trPr>
          <w:gridAfter w:val="1"/>
          <w:wAfter w:w="108" w:type="dxa"/>
          <w:trHeight w:val="20"/>
          <w:jc w:val="center"/>
        </w:trPr>
        <w:tc>
          <w:tcPr>
            <w:tcW w:w="0" w:type="auto"/>
            <w:vMerge/>
            <w:tcBorders>
              <w:top w:val="double" w:sz="4" w:space="0" w:color="C00000"/>
              <w:bottom w:val="double" w:sz="4" w:space="0" w:color="C00000"/>
              <w:right w:val="double" w:sz="4" w:space="0" w:color="C00000"/>
            </w:tcBorders>
            <w:vAlign w:val="center"/>
            <w:hideMark/>
          </w:tcPr>
          <w:p w14:paraId="2552A59B"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6EA7EF44" w14:textId="77777777" w:rsidR="00856F66" w:rsidRPr="00E31657" w:rsidRDefault="00856F66" w:rsidP="00AE6E22">
            <w:pPr>
              <w:rPr>
                <w:rFonts w:cs="Arial"/>
                <w:sz w:val="16"/>
                <w:szCs w:val="16"/>
                <w:lang w:val="es-ES_tradnl" w:eastAsia="es-MX"/>
              </w:rPr>
            </w:pPr>
          </w:p>
        </w:tc>
        <w:tc>
          <w:tcPr>
            <w:tcW w:w="0" w:type="auto"/>
            <w:vMerge/>
            <w:tcBorders>
              <w:top w:val="double" w:sz="4" w:space="0" w:color="C00000"/>
              <w:left w:val="double" w:sz="4" w:space="0" w:color="C00000"/>
              <w:bottom w:val="double" w:sz="4" w:space="0" w:color="C00000"/>
              <w:right w:val="double" w:sz="4" w:space="0" w:color="C00000"/>
            </w:tcBorders>
            <w:vAlign w:val="center"/>
            <w:hideMark/>
          </w:tcPr>
          <w:p w14:paraId="3B92FA3E" w14:textId="77777777" w:rsidR="00856F66" w:rsidRPr="00E31657" w:rsidRDefault="00856F66" w:rsidP="00AE6E22">
            <w:pPr>
              <w:rPr>
                <w:rFonts w:cs="Arial"/>
                <w:sz w:val="16"/>
                <w:szCs w:val="16"/>
                <w:lang w:val="es-ES_tradnl" w:eastAsia="es-MX"/>
              </w:rPr>
            </w:pP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1096DDCA"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1.696.571.105</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06C749E1"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5.792.666.992</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2669F8C2" w14:textId="3C698DA1"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6.672.532.291</w:t>
            </w:r>
          </w:p>
        </w:tc>
        <w:tc>
          <w:tcPr>
            <w:tcW w:w="0" w:type="auto"/>
            <w:tcBorders>
              <w:top w:val="double" w:sz="4" w:space="0" w:color="C00000"/>
              <w:left w:val="double" w:sz="4" w:space="0" w:color="C00000"/>
              <w:bottom w:val="double" w:sz="4" w:space="0" w:color="C00000"/>
              <w:right w:val="double" w:sz="4" w:space="0" w:color="C00000"/>
            </w:tcBorders>
            <w:tcMar>
              <w:top w:w="30" w:type="dxa"/>
              <w:left w:w="45" w:type="dxa"/>
              <w:bottom w:w="30" w:type="dxa"/>
              <w:right w:w="45" w:type="dxa"/>
            </w:tcMar>
            <w:vAlign w:val="center"/>
            <w:hideMark/>
          </w:tcPr>
          <w:p w14:paraId="4A78F0E9" w14:textId="77777777" w:rsidR="00856F66" w:rsidRPr="00E31657" w:rsidRDefault="00856F66" w:rsidP="00AE6E22">
            <w:pPr>
              <w:jc w:val="center"/>
              <w:rPr>
                <w:rFonts w:cs="Arial"/>
                <w:sz w:val="16"/>
                <w:szCs w:val="16"/>
                <w:lang w:val="es-ES_tradnl" w:eastAsia="es-MX"/>
              </w:rPr>
            </w:pPr>
            <w:r w:rsidRPr="00E31657">
              <w:rPr>
                <w:rFonts w:cs="Arial"/>
                <w:sz w:val="16"/>
                <w:szCs w:val="16"/>
                <w:lang w:val="es-ES_tradnl" w:eastAsia="es-MX"/>
              </w:rPr>
              <w:t>5.105.474.202</w:t>
            </w:r>
          </w:p>
        </w:tc>
        <w:tc>
          <w:tcPr>
            <w:tcW w:w="0" w:type="auto"/>
            <w:gridSpan w:val="2"/>
            <w:vMerge/>
            <w:tcBorders>
              <w:top w:val="double" w:sz="4" w:space="0" w:color="C00000"/>
              <w:left w:val="double" w:sz="4" w:space="0" w:color="C00000"/>
              <w:bottom w:val="double" w:sz="4" w:space="0" w:color="C00000"/>
            </w:tcBorders>
            <w:vAlign w:val="center"/>
            <w:hideMark/>
          </w:tcPr>
          <w:p w14:paraId="1CBEEA98" w14:textId="77777777" w:rsidR="00856F66" w:rsidRPr="00E31657" w:rsidRDefault="00856F66" w:rsidP="00AE6E22">
            <w:pPr>
              <w:rPr>
                <w:rFonts w:cs="Arial"/>
                <w:b/>
                <w:bCs/>
                <w:sz w:val="16"/>
                <w:szCs w:val="16"/>
                <w:lang w:val="es-ES_tradnl" w:eastAsia="es-MX"/>
              </w:rPr>
            </w:pPr>
          </w:p>
        </w:tc>
      </w:tr>
    </w:tbl>
    <w:p w14:paraId="5A7774AA" w14:textId="23B21580" w:rsidR="00856F66" w:rsidRPr="00E31657" w:rsidRDefault="00856F66">
      <w:pPr>
        <w:rPr>
          <w:sz w:val="16"/>
          <w:szCs w:val="16"/>
          <w:lang w:val="es-ES_tradnl"/>
        </w:rPr>
      </w:pPr>
    </w:p>
    <w:p w14:paraId="33C38742" w14:textId="77777777" w:rsidR="00856F66" w:rsidRPr="00E31657" w:rsidRDefault="00856F66">
      <w:pPr>
        <w:rPr>
          <w:sz w:val="16"/>
          <w:szCs w:val="16"/>
          <w:lang w:val="es-ES_tradnl"/>
        </w:rPr>
      </w:pPr>
    </w:p>
    <w:p w14:paraId="2FAD37A6" w14:textId="77777777" w:rsidR="001E2590" w:rsidRDefault="001E2590">
      <w:pPr>
        <w:spacing w:line="240" w:lineRule="auto"/>
        <w:jc w:val="left"/>
        <w:rPr>
          <w:sz w:val="16"/>
          <w:szCs w:val="16"/>
          <w:lang w:val="es-ES_tradnl"/>
        </w:rPr>
      </w:pPr>
      <w:r>
        <w:rPr>
          <w:sz w:val="16"/>
          <w:szCs w:val="16"/>
          <w:lang w:val="es-ES_tradnl"/>
        </w:rPr>
        <w:br w:type="page"/>
      </w:r>
    </w:p>
    <w:p w14:paraId="6F28BF39" w14:textId="1C6E2BAD" w:rsidR="00A80D64" w:rsidRDefault="001E2590">
      <w:pPr>
        <w:rPr>
          <w:sz w:val="16"/>
          <w:szCs w:val="16"/>
          <w:lang w:val="es-ES_tradnl"/>
        </w:rPr>
      </w:pPr>
      <w:r>
        <w:rPr>
          <w:noProof/>
        </w:rPr>
        <w:lastRenderedPageBreak/>
        <w:drawing>
          <wp:anchor distT="0" distB="0" distL="114300" distR="114300" simplePos="0" relativeHeight="251885568" behindDoc="0" locked="0" layoutInCell="1" allowOverlap="1" wp14:anchorId="50F3AAD7" wp14:editId="0EED3FDD">
            <wp:simplePos x="0" y="0"/>
            <wp:positionH relativeFrom="page">
              <wp:align>left</wp:align>
            </wp:positionH>
            <wp:positionV relativeFrom="page">
              <wp:align>top</wp:align>
            </wp:positionV>
            <wp:extent cx="7780146" cy="10075984"/>
            <wp:effectExtent l="0" t="0" r="0" b="1905"/>
            <wp:wrapNone/>
            <wp:docPr id="2125498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498869" name="Picture 2125498869"/>
                    <pic:cNvPicPr/>
                  </pic:nvPicPr>
                  <pic:blipFill>
                    <a:blip r:embed="rId172">
                      <a:extLst>
                        <a:ext uri="{28A0092B-C50C-407E-A947-70E740481C1C}">
                          <a14:useLocalDpi xmlns:a14="http://schemas.microsoft.com/office/drawing/2010/main" val="0"/>
                        </a:ext>
                      </a:extLst>
                    </a:blip>
                    <a:stretch>
                      <a:fillRect/>
                    </a:stretch>
                  </pic:blipFill>
                  <pic:spPr>
                    <a:xfrm>
                      <a:off x="0" y="0"/>
                      <a:ext cx="7780146" cy="10075984"/>
                    </a:xfrm>
                    <a:prstGeom prst="rect">
                      <a:avLst/>
                    </a:prstGeom>
                  </pic:spPr>
                </pic:pic>
              </a:graphicData>
            </a:graphic>
            <wp14:sizeRelH relativeFrom="page">
              <wp14:pctWidth>0</wp14:pctWidth>
            </wp14:sizeRelH>
            <wp14:sizeRelV relativeFrom="page">
              <wp14:pctHeight>0</wp14:pctHeight>
            </wp14:sizeRelV>
          </wp:anchor>
        </w:drawing>
      </w:r>
      <w:r w:rsidR="00A80D64">
        <w:rPr>
          <w:sz w:val="16"/>
          <w:szCs w:val="16"/>
          <w:lang w:val="es-ES_tradnl"/>
        </w:rPr>
        <w:br w:type="page"/>
      </w:r>
    </w:p>
    <w:p w14:paraId="59B55887" w14:textId="10AF3F6F" w:rsidR="00A80D64" w:rsidRDefault="002C040A" w:rsidP="00674E7F">
      <w:bookmarkStart w:id="464" w:name="OLE_LINK5"/>
      <w:bookmarkStart w:id="465" w:name="OLE_LINK6"/>
      <w:r>
        <w:rPr>
          <w:noProof/>
        </w:rPr>
        <w:lastRenderedPageBreak/>
        <w:drawing>
          <wp:anchor distT="0" distB="0" distL="114300" distR="114300" simplePos="0" relativeHeight="251855872" behindDoc="0" locked="0" layoutInCell="1" allowOverlap="1" wp14:anchorId="4F6F4669" wp14:editId="01D95164">
            <wp:simplePos x="0" y="0"/>
            <wp:positionH relativeFrom="margin">
              <wp:align>left</wp:align>
            </wp:positionH>
            <wp:positionV relativeFrom="paragraph">
              <wp:posOffset>-1436321</wp:posOffset>
            </wp:positionV>
            <wp:extent cx="5932800" cy="2240504"/>
            <wp:effectExtent l="0" t="0" r="0" b="762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pic:cNvPicPr/>
                  </pic:nvPicPr>
                  <pic:blipFill>
                    <a:blip r:embed="rId173">
                      <a:extLst>
                        <a:ext uri="{28A0092B-C50C-407E-A947-70E740481C1C}">
                          <a14:useLocalDpi xmlns:a14="http://schemas.microsoft.com/office/drawing/2010/main" val="0"/>
                        </a:ext>
                      </a:extLst>
                    </a:blip>
                    <a:stretch>
                      <a:fillRect/>
                    </a:stretch>
                  </pic:blipFill>
                  <pic:spPr>
                    <a:xfrm>
                      <a:off x="0" y="0"/>
                      <a:ext cx="5932800" cy="2240504"/>
                    </a:xfrm>
                    <a:prstGeom prst="rect">
                      <a:avLst/>
                    </a:prstGeom>
                  </pic:spPr>
                </pic:pic>
              </a:graphicData>
            </a:graphic>
            <wp14:sizeRelH relativeFrom="page">
              <wp14:pctWidth>0</wp14:pctWidth>
            </wp14:sizeRelH>
            <wp14:sizeRelV relativeFrom="page">
              <wp14:pctHeight>0</wp14:pctHeight>
            </wp14:sizeRelV>
          </wp:anchor>
        </w:drawing>
      </w:r>
    </w:p>
    <w:p w14:paraId="1D120F95" w14:textId="77777777" w:rsidR="00A80D64" w:rsidRDefault="00A80D64" w:rsidP="00674E7F"/>
    <w:p w14:paraId="408B19D4" w14:textId="77777777" w:rsidR="00711DC2" w:rsidRDefault="00711DC2" w:rsidP="00674E7F">
      <w:pPr>
        <w:rPr>
          <w:rFonts w:cs="Arial"/>
          <w:bCs/>
          <w:spacing w:val="-10"/>
          <w:kern w:val="28"/>
          <w:sz w:val="48"/>
          <w:szCs w:val="36"/>
        </w:rPr>
      </w:pPr>
    </w:p>
    <w:p w14:paraId="45616268" w14:textId="77777777" w:rsidR="00674E7F" w:rsidRDefault="00674E7F" w:rsidP="00674E7F">
      <w:pPr>
        <w:rPr>
          <w:rFonts w:cs="Arial"/>
          <w:bCs/>
          <w:spacing w:val="-10"/>
          <w:kern w:val="28"/>
          <w:sz w:val="48"/>
          <w:szCs w:val="36"/>
        </w:rPr>
      </w:pPr>
    </w:p>
    <w:p w14:paraId="766AEFA5" w14:textId="77777777" w:rsidR="001E2590" w:rsidRDefault="001E2590" w:rsidP="0095112D">
      <w:pPr>
        <w:rPr>
          <w:rFonts w:cs="Arial"/>
          <w:bCs/>
          <w:spacing w:val="-10"/>
          <w:kern w:val="28"/>
          <w:sz w:val="48"/>
          <w:szCs w:val="36"/>
        </w:rPr>
      </w:pPr>
    </w:p>
    <w:p w14:paraId="79407646" w14:textId="54637BEF" w:rsidR="001E2590" w:rsidRDefault="001E2590" w:rsidP="001E2590">
      <w:pPr>
        <w:pStyle w:val="titulodocumento"/>
        <w:outlineLvl w:val="0"/>
        <w:rPr>
          <w:lang w:eastAsia="en-US"/>
        </w:rPr>
      </w:pPr>
      <w:bookmarkStart w:id="466" w:name="_Toc165169811"/>
      <w:r>
        <w:rPr>
          <w:lang w:eastAsia="en-US"/>
        </w:rPr>
        <w:t>V. El Plan y su relación con otros Instrumentos de Planeación</w:t>
      </w:r>
      <w:bookmarkEnd w:id="466"/>
    </w:p>
    <w:p w14:paraId="4E8C5908" w14:textId="77777777" w:rsidR="001E2590" w:rsidRPr="001E2590" w:rsidRDefault="001E2590" w:rsidP="001E2590">
      <w:pPr>
        <w:rPr>
          <w:lang w:eastAsia="en-US"/>
        </w:rPr>
      </w:pPr>
    </w:p>
    <w:p w14:paraId="6B080D40" w14:textId="0F17B1D8" w:rsidR="006B728F" w:rsidRDefault="006B728F" w:rsidP="002C040A">
      <w:pPr>
        <w:pStyle w:val="NIVEL2PDD"/>
      </w:pPr>
      <w:bookmarkStart w:id="467" w:name="_Toc165169812"/>
      <w:bookmarkEnd w:id="464"/>
      <w:bookmarkEnd w:id="465"/>
      <w:r w:rsidRPr="005825EF">
        <w:t>El Plan y el POT</w:t>
      </w:r>
      <w:bookmarkEnd w:id="467"/>
    </w:p>
    <w:p w14:paraId="26281FE3" w14:textId="125FEFF3" w:rsidR="006B728F" w:rsidRDefault="006B728F" w:rsidP="002C040A">
      <w:pPr>
        <w:ind w:left="708"/>
        <w:rPr>
          <w:b/>
          <w:bCs/>
          <w:sz w:val="28"/>
          <w:szCs w:val="32"/>
        </w:rPr>
      </w:pPr>
      <w:r w:rsidRPr="002C040A">
        <w:rPr>
          <w:b/>
          <w:bCs/>
          <w:sz w:val="28"/>
          <w:szCs w:val="32"/>
        </w:rPr>
        <w:t>Articulación del Plan Distrital de Desarrollo 2024-2027 Bogotá Camina Segura</w:t>
      </w:r>
      <w:r w:rsidR="00D55784" w:rsidRPr="002C040A">
        <w:rPr>
          <w:b/>
          <w:bCs/>
          <w:sz w:val="28"/>
          <w:szCs w:val="32"/>
        </w:rPr>
        <w:t xml:space="preserve"> </w:t>
      </w:r>
      <w:r w:rsidRPr="002C040A">
        <w:rPr>
          <w:b/>
          <w:bCs/>
          <w:sz w:val="28"/>
          <w:szCs w:val="32"/>
        </w:rPr>
        <w:t>con el Plan de Ordenamiento Territorial Bogotá Reverdece 2022-2035</w:t>
      </w:r>
    </w:p>
    <w:p w14:paraId="19FD411D" w14:textId="77777777" w:rsidR="002C040A" w:rsidRPr="002C040A" w:rsidRDefault="002C040A" w:rsidP="002C040A">
      <w:pPr>
        <w:ind w:left="708"/>
        <w:rPr>
          <w:b/>
          <w:bCs/>
          <w:sz w:val="28"/>
          <w:szCs w:val="32"/>
        </w:rPr>
      </w:pPr>
    </w:p>
    <w:p w14:paraId="2CF5CC30" w14:textId="77777777" w:rsidR="006B728F" w:rsidRDefault="006B728F" w:rsidP="0045306B">
      <w:pPr>
        <w:rPr>
          <w:lang w:val="es-ES"/>
        </w:rPr>
        <w:sectPr w:rsidR="006B728F" w:rsidSect="00F7078E">
          <w:headerReference w:type="default" r:id="rId174"/>
          <w:footerReference w:type="even" r:id="rId175"/>
          <w:type w:val="continuous"/>
          <w:pgSz w:w="12240" w:h="15840"/>
          <w:pgMar w:top="2262" w:right="1440" w:bottom="1440" w:left="1440" w:header="708" w:footer="708" w:gutter="0"/>
          <w:cols w:space="708"/>
          <w:docGrid w:linePitch="360"/>
        </w:sectPr>
      </w:pPr>
    </w:p>
    <w:p w14:paraId="6CA726D3" w14:textId="4E9A0401" w:rsidR="006B728F" w:rsidRPr="002531F0" w:rsidRDefault="006B728F" w:rsidP="002531F0">
      <w:r w:rsidRPr="002531F0">
        <w:t xml:space="preserve">Actualmente existen mandatos legales del orden nacional y distrital que obligan a los municipios y distritos a coordinar y armonizar sus instrumentos de planeación. </w:t>
      </w:r>
      <w:r w:rsidR="002C040A">
        <w:t>Esta sección tiene como</w:t>
      </w:r>
      <w:r w:rsidRPr="002531F0">
        <w:t xml:space="preserve"> propósito presentar la manera como se articulan las actuaciones previstas para el corto plazo en el Plan de Ordenamiento Territorial “Bogotá Reverdece 2022-2035” con las decisiones y apuestas del </w:t>
      </w:r>
      <w:r>
        <w:t xml:space="preserve">Plan Distrital de Desarrollo </w:t>
      </w:r>
      <w:r w:rsidRPr="002531F0">
        <w:t xml:space="preserve">2024-2027 “Bogotá Camina Segura” y con ello avanzar en el cumplimiento de los propósitos de ambos planes. </w:t>
      </w:r>
    </w:p>
    <w:p w14:paraId="6389613D" w14:textId="77777777" w:rsidR="006B728F" w:rsidRPr="002531F0" w:rsidRDefault="006B728F" w:rsidP="002531F0"/>
    <w:p w14:paraId="28645347" w14:textId="579D0CD0" w:rsidR="006B728F" w:rsidRPr="002531F0" w:rsidRDefault="006B728F" w:rsidP="002531F0">
      <w:r w:rsidRPr="002531F0">
        <w:t>Para demostrar la manera como se articulan los instrumentos de planeación territorial y socioeconómica y c</w:t>
      </w:r>
      <w:r>
        <w:t>ó</w:t>
      </w:r>
      <w:r w:rsidRPr="002531F0">
        <w:t xml:space="preserve">mo se seleccionaron los proyectos del Plan de Ordenamiento Territorial que se incorporan y financiarán a través de los recursos del </w:t>
      </w:r>
      <w:r>
        <w:t xml:space="preserve">Plan Distrital de Desarrollo, </w:t>
      </w:r>
      <w:r w:rsidR="00EA2136">
        <w:t>esta sección</w:t>
      </w:r>
      <w:r w:rsidRPr="002531F0">
        <w:t xml:space="preserve"> desarrolla cinco </w:t>
      </w:r>
      <w:r w:rsidR="00014A44">
        <w:t>apartados</w:t>
      </w:r>
      <w:r w:rsidRPr="002531F0">
        <w:t xml:space="preserve">. Para empezar, se presenta el marco normativo que regula la materia. A continuación, se retoman los objetivos de ambos instrumentos de manera que se evidencien las grandes apuestas de cada uno. Seguidamente se presenta la metodología y </w:t>
      </w:r>
      <w:r w:rsidRPr="002531F0">
        <w:t xml:space="preserve">criterios definidos para la selección de los proyectos que se incluyen en el presente </w:t>
      </w:r>
      <w:r>
        <w:t xml:space="preserve">Plan Distrital de Desarrollo </w:t>
      </w:r>
      <w:r w:rsidRPr="002531F0">
        <w:t xml:space="preserve">y que aportarán al cumplimiento de lo dispuesto en el POT. Posteriormente, se muestra el comportamiento que tiene el cruce de objetivos, programas y metas de ambos planes, así como el resultado de la aplicación de los criterios de selección, con lo que se expone cómo las metas de uno y otro se ven concretadas por el efecto de la articulación. Finalmente, se presentan las principales conclusiones en relación con el aporte que tendrá la implementación del </w:t>
      </w:r>
      <w:r>
        <w:t>Plan Distrital de Desarrollo</w:t>
      </w:r>
      <w:r w:rsidRPr="002531F0">
        <w:t xml:space="preserve"> en la ejecución del Plan de Ordenamiento Territorial.</w:t>
      </w:r>
    </w:p>
    <w:p w14:paraId="2BDB96C6" w14:textId="77777777" w:rsidR="006B728F" w:rsidRPr="002531F0" w:rsidRDefault="006B728F" w:rsidP="002531F0"/>
    <w:p w14:paraId="2233E473" w14:textId="77777777" w:rsidR="006B728F" w:rsidRPr="00D3674C" w:rsidRDefault="006B728F" w:rsidP="00D3674C">
      <w:pPr>
        <w:sectPr w:rsidR="006B728F" w:rsidRPr="00D3674C" w:rsidSect="00F7078E">
          <w:headerReference w:type="default" r:id="rId176"/>
          <w:type w:val="continuous"/>
          <w:pgSz w:w="12240" w:h="15840"/>
          <w:pgMar w:top="2262" w:right="1440" w:bottom="1440" w:left="1440" w:header="709" w:footer="709" w:gutter="0"/>
          <w:cols w:num="2" w:space="567"/>
          <w:docGrid w:linePitch="360"/>
        </w:sectPr>
      </w:pPr>
      <w:r w:rsidRPr="002531F0">
        <w:t xml:space="preserve">Este ejercicio de ponderación, selección y priorización de proyectos POT tiene un carácter especial por tratarse del primer </w:t>
      </w:r>
      <w:r>
        <w:t xml:space="preserve">Plan Distrital de Desarrollo </w:t>
      </w:r>
      <w:r w:rsidRPr="002531F0">
        <w:t xml:space="preserve">que incorporará el contenido programático del Plan de Ordenamiento Territorial, adoptado en la anterior vigencia a través del Decreto Distrital 555 de 2021 pero posterior a la expedición del </w:t>
      </w:r>
      <w:r>
        <w:t xml:space="preserve">Plan Distrital de Desarrollo </w:t>
      </w:r>
      <w:r w:rsidRPr="002531F0">
        <w:t>correspondiente.</w:t>
      </w:r>
    </w:p>
    <w:p w14:paraId="452A404F" w14:textId="77777777" w:rsidR="006B728F" w:rsidRDefault="006B728F" w:rsidP="00D3674C">
      <w:pPr>
        <w:spacing w:line="240" w:lineRule="auto"/>
        <w:jc w:val="left"/>
        <w:rPr>
          <w:rFonts w:cs="Times New Roman (Cuerpo en alfa"/>
          <w:b/>
          <w:spacing w:val="-8"/>
        </w:rPr>
      </w:pPr>
    </w:p>
    <w:p w14:paraId="59EE0F1A" w14:textId="77777777" w:rsidR="00D55784" w:rsidRDefault="00D55784" w:rsidP="00D3674C">
      <w:pPr>
        <w:spacing w:line="240" w:lineRule="auto"/>
        <w:jc w:val="left"/>
        <w:rPr>
          <w:rFonts w:cs="Times New Roman (Cuerpo en alfa"/>
          <w:b/>
          <w:spacing w:val="-8"/>
        </w:rPr>
      </w:pPr>
    </w:p>
    <w:p w14:paraId="7A6CF8B0" w14:textId="77777777" w:rsidR="00D55784" w:rsidRDefault="00D55784" w:rsidP="00D3674C">
      <w:pPr>
        <w:spacing w:line="240" w:lineRule="auto"/>
        <w:jc w:val="left"/>
        <w:rPr>
          <w:rFonts w:cs="Times New Roman (Cuerpo en alfa"/>
          <w:b/>
          <w:spacing w:val="-8"/>
        </w:rPr>
      </w:pPr>
    </w:p>
    <w:p w14:paraId="3BCFE44C" w14:textId="1CC631B0" w:rsidR="00D55784" w:rsidRPr="00D3674C" w:rsidRDefault="00D55784" w:rsidP="00D3674C">
      <w:pPr>
        <w:spacing w:line="240" w:lineRule="auto"/>
        <w:jc w:val="left"/>
        <w:rPr>
          <w:rFonts w:cs="Times New Roman (Cuerpo en alfa"/>
          <w:b/>
          <w:spacing w:val="-8"/>
        </w:rPr>
        <w:sectPr w:rsidR="00D55784" w:rsidRPr="00D3674C" w:rsidSect="00F7078E">
          <w:type w:val="continuous"/>
          <w:pgSz w:w="12240" w:h="15840"/>
          <w:pgMar w:top="2262" w:right="1440" w:bottom="1440" w:left="1440" w:header="709" w:footer="709" w:gutter="0"/>
          <w:cols w:num="2" w:space="567"/>
          <w:docGrid w:linePitch="360"/>
        </w:sectPr>
      </w:pPr>
    </w:p>
    <w:p w14:paraId="11EAC8E9" w14:textId="77777777" w:rsidR="007F1734" w:rsidRDefault="007F1734">
      <w:pPr>
        <w:spacing w:line="240" w:lineRule="auto"/>
        <w:jc w:val="left"/>
        <w:rPr>
          <w:rFonts w:eastAsiaTheme="majorEastAsia" w:cstheme="majorBidi"/>
          <w:b/>
          <w:sz w:val="28"/>
          <w:lang w:eastAsia="en-US"/>
        </w:rPr>
      </w:pPr>
      <w:r>
        <w:br w:type="page"/>
      </w:r>
    </w:p>
    <w:p w14:paraId="31760D41" w14:textId="7BB60BAC" w:rsidR="006B728F" w:rsidRPr="007F1734" w:rsidRDefault="006B728F" w:rsidP="007F1734">
      <w:pPr>
        <w:ind w:firstLine="708"/>
        <w:rPr>
          <w:b/>
          <w:bCs/>
          <w:sz w:val="28"/>
          <w:szCs w:val="32"/>
        </w:rPr>
      </w:pPr>
      <w:r w:rsidRPr="007F1734">
        <w:rPr>
          <w:b/>
          <w:bCs/>
          <w:sz w:val="28"/>
          <w:szCs w:val="32"/>
        </w:rPr>
        <w:lastRenderedPageBreak/>
        <w:t>Marco normativo</w:t>
      </w:r>
    </w:p>
    <w:p w14:paraId="7ACFFD49" w14:textId="77777777" w:rsidR="006B728F" w:rsidRDefault="006B728F" w:rsidP="000F792B">
      <w:pPr>
        <w:rPr>
          <w:lang w:val="es-ES"/>
        </w:rPr>
        <w:sectPr w:rsidR="006B728F" w:rsidSect="00F7078E">
          <w:type w:val="continuous"/>
          <w:pgSz w:w="12240" w:h="15840"/>
          <w:pgMar w:top="2262" w:right="1440" w:bottom="1440" w:left="1440" w:header="709" w:footer="709" w:gutter="0"/>
          <w:cols w:space="708"/>
          <w:docGrid w:linePitch="360"/>
        </w:sectPr>
      </w:pPr>
    </w:p>
    <w:p w14:paraId="1834DF7E" w14:textId="77777777" w:rsidR="006B728F" w:rsidRPr="002531F0" w:rsidRDefault="006B728F" w:rsidP="002531F0">
      <w:r w:rsidRPr="002531F0">
        <w:t>En materia de planeación</w:t>
      </w:r>
      <w:r>
        <w:t>,</w:t>
      </w:r>
      <w:r w:rsidRPr="002531F0">
        <w:t xml:space="preserve"> la legislación colombiana prevé diferentes instrumentos. En la planeación del desarrollo económico, social y de la gestión ambiental de los territorios municipales y distritales los Planes de Desarrollo están llamados a establecer un componente estratégico y un plan de inversiones a mediano y corto plazo. En la planeación físico espacial de los municipios y distritos el Plan de Ordenamiento Territorial está llamado a orientar y administrar el desarrollo físico del territorio y la utilización del suelo. La consecución de los objetivos planteados por la planeación territorial depende estrictamente del cumplimiento de los programas, proyectos y metas p</w:t>
      </w:r>
      <w:r>
        <w:t>ropuestos</w:t>
      </w:r>
      <w:r w:rsidRPr="002531F0">
        <w:t xml:space="preserve"> en el respectivo Plan. </w:t>
      </w:r>
    </w:p>
    <w:p w14:paraId="3F6EB5EC" w14:textId="77777777" w:rsidR="006B728F" w:rsidRPr="002531F0" w:rsidRDefault="006B728F" w:rsidP="002531F0"/>
    <w:p w14:paraId="1545EDB6" w14:textId="77777777" w:rsidR="006B728F" w:rsidRDefault="006B728F" w:rsidP="002531F0">
      <w:r w:rsidRPr="002531F0">
        <w:t>Para garantizar que se genere un desarrollo armónico de todos los elementos del territorio los artículos 18 y 21 de la Ley 388 de 1997 ordenan que exista armonía entre los Planes de Desarrollo y los de Ordenamiento Territorial. Para el efecto, el citado artículo 21 indica que en la definición de programas y proyectos de los primeros se tendrán en cuenta las definiciones de largo y mediano plazo de ocupación del territorio señaladas en los segundos. En desarrollo de esto, el mencionado artículo 18 indica que las actuaciones señaladas en el programa de ejecución del POT se ejecutarán durante el período de la correspondiente administración distrital de acuerdo con lo definido en el correspondiente Plan de Desarrollo, señalando las prioridades, la programación de actividades, las entidades responsables y los recursos respectivos.</w:t>
      </w:r>
    </w:p>
    <w:p w14:paraId="0A696867" w14:textId="77777777" w:rsidR="007F1734" w:rsidRPr="002531F0" w:rsidRDefault="007F1734" w:rsidP="002531F0"/>
    <w:p w14:paraId="36BD23D4" w14:textId="77777777" w:rsidR="006B728F" w:rsidRPr="002531F0" w:rsidRDefault="006B728F" w:rsidP="002531F0">
      <w:r w:rsidRPr="002531F0">
        <w:rPr>
          <w:rStyle w:val="Textoennegrita"/>
        </w:rPr>
        <w:t>Con el objetivo de cumplir con los mencionados mandatos legales el Distrito Capital expidió el Acuerdo Distrital 878 de 2023</w:t>
      </w:r>
      <w:r w:rsidRPr="002531F0">
        <w:t xml:space="preserve"> </w:t>
      </w:r>
      <w:r w:rsidRPr="002531F0">
        <w:rPr>
          <w:i/>
        </w:rPr>
        <w:t>“Por medio del cual se dictan lineamientos para el Sistema Distrital de Planeación, la creación de planes de desarrollo, se garantiza la participación ciudadana en el Distrito Capital y se dictan otras disposiciones”</w:t>
      </w:r>
      <w:r w:rsidRPr="002531F0">
        <w:t xml:space="preserve">. </w:t>
      </w:r>
      <w:r w:rsidRPr="002531F0">
        <w:rPr>
          <w:b/>
          <w:bCs/>
        </w:rPr>
        <w:t xml:space="preserve">Allí se evidencia que el Sistema Distrital de Planeación del Distrito está orientado a la articulación de los diferentes instrumentos de </w:t>
      </w:r>
      <w:r w:rsidRPr="002531F0">
        <w:rPr>
          <w:b/>
          <w:bCs/>
        </w:rPr>
        <w:t>planeación con los que cuenta, en la medida en que se señaló en el artículo 2 que el mencionado Sistema se define como: </w:t>
      </w:r>
      <w:r w:rsidRPr="002531F0">
        <w:rPr>
          <w:i/>
        </w:rPr>
        <w:t>“(...)</w:t>
      </w:r>
      <w:r w:rsidRPr="002531F0">
        <w:t> </w:t>
      </w:r>
      <w:r w:rsidRPr="002531F0">
        <w:rPr>
          <w:i/>
        </w:rPr>
        <w:t>un</w:t>
      </w:r>
      <w:r w:rsidRPr="002531F0">
        <w:t> </w:t>
      </w:r>
      <w:r w:rsidRPr="002531F0">
        <w:rPr>
          <w:i/>
        </w:rPr>
        <w:t>conjunto de principios, normas, procedimientos y actores del ejercicio de la planeación en el Distrito Capital, que posibilita ordenar y articular los distintos instrumentos de planeación en cada una de las fases del ciclo de las políticas y promueve la incidencia de la ciudadanía en la toma de decisiones de la planeación de la ciudad</w:t>
      </w:r>
      <w:r w:rsidRPr="002531F0">
        <w:t>”.</w:t>
      </w:r>
    </w:p>
    <w:p w14:paraId="11144526" w14:textId="77777777" w:rsidR="006B728F" w:rsidRPr="002531F0" w:rsidRDefault="006B728F" w:rsidP="002531F0">
      <w:r w:rsidRPr="002531F0">
        <w:t> </w:t>
      </w:r>
    </w:p>
    <w:p w14:paraId="51AD8112" w14:textId="77777777" w:rsidR="006B728F" w:rsidRPr="002531F0" w:rsidRDefault="006B728F" w:rsidP="002531F0">
      <w:r w:rsidRPr="002531F0">
        <w:rPr>
          <w:rStyle w:val="Textoennegrita"/>
        </w:rPr>
        <w:t>En la misma norma citada se indica que en el marco de lo anterior</w:t>
      </w:r>
      <w:r w:rsidRPr="002531F0">
        <w:t xml:space="preserve"> “</w:t>
      </w:r>
      <w:r w:rsidRPr="002531F0">
        <w:rPr>
          <w:i/>
        </w:rPr>
        <w:t>la formulación, aprobación, implementación, seguimiento y evaluación de los planes de desarrollo distrital y local se realizará de manera integral y articulada con el Sistema Distrital de Planeación</w:t>
      </w:r>
      <w:r w:rsidRPr="002531F0">
        <w:t xml:space="preserve">”. </w:t>
      </w:r>
      <w:r w:rsidRPr="002531F0">
        <w:rPr>
          <w:b/>
          <w:bCs/>
        </w:rPr>
        <w:t xml:space="preserve">Por ello, la ciudad decide en el artículo 4 del Acuerdo señalado que los componentes estratégicos del Sistema Distrital de Planeación son </w:t>
      </w:r>
      <w:r w:rsidRPr="002531F0">
        <w:t>“</w:t>
      </w:r>
      <w:r w:rsidRPr="002531F0">
        <w:rPr>
          <w:i/>
        </w:rPr>
        <w:t xml:space="preserve">1. Las políticas públicas distritales. 2. </w:t>
      </w:r>
      <w:r w:rsidRPr="002531F0">
        <w:rPr>
          <w:i/>
          <w:u w:val="single"/>
        </w:rPr>
        <w:t>El Plan de Ordenamiento Territorial. 3. Los planes de desarrollo distrital y locales</w:t>
      </w:r>
      <w:r w:rsidRPr="002531F0">
        <w:rPr>
          <w:i/>
        </w:rPr>
        <w:t>.”</w:t>
      </w:r>
    </w:p>
    <w:p w14:paraId="083D6735" w14:textId="77777777" w:rsidR="006B728F" w:rsidRPr="002531F0" w:rsidRDefault="006B728F" w:rsidP="002531F0">
      <w:r w:rsidRPr="002531F0">
        <w:t> </w:t>
      </w:r>
    </w:p>
    <w:p w14:paraId="36AD23A9" w14:textId="3518B9F3" w:rsidR="006B728F" w:rsidRPr="002531F0" w:rsidRDefault="006B728F" w:rsidP="002531F0">
      <w:r w:rsidRPr="002531F0">
        <w:t>Claro lo anterior el Acuerdo referido ordena que los elementos señalados, que también son instrumentos de planeación, estén armonizados y coordinados. Para ello, en primer término, el Acuerdo establece en su artículo 5 que la coordinación del Sistema Distrital de Planeación está en cabeza de la Secretaría Distrital de Planeación, quien velará por la articulación de los instrumentos de planeación y componentes estratégicos, tales como: el Plan Plurianual de Inversiones - PPI, el Plan Operativo Anual de Inversiones- POAI, el Plan de Ordenamiento Territorial y los Planes de Acción de las políticas públicas adoptadas por decreto o documentos CONPES D.C, con el fin de planificar el uso de los recursos por vigencia y administración y en general cumplir con los propósitos de los mismos. En segundo término, el parágrafo 1 del artículo 6 ídem establece que: </w:t>
      </w:r>
      <w:r w:rsidRPr="002531F0">
        <w:rPr>
          <w:i/>
        </w:rPr>
        <w:t xml:space="preserve">“La Administración Distrital generará los lineamientos para que la coordinación y articulación entre instrumentos de planeación sea efectiva. De igual forma, consolidará los </w:t>
      </w:r>
      <w:r w:rsidRPr="002531F0">
        <w:rPr>
          <w:i/>
        </w:rPr>
        <w:lastRenderedPageBreak/>
        <w:t>indicadores de ciudad de largo plazo, como herramienta para la articulación de los componentes estratégicos del Sistema”.</w:t>
      </w:r>
    </w:p>
    <w:p w14:paraId="2B3DE835" w14:textId="77777777" w:rsidR="006B728F" w:rsidRDefault="006B728F" w:rsidP="00C05C57">
      <w:pPr>
        <w:pStyle w:val="Ttulo1"/>
        <w:sectPr w:rsidR="006B728F" w:rsidSect="00F7078E">
          <w:type w:val="continuous"/>
          <w:pgSz w:w="12240" w:h="15840"/>
          <w:pgMar w:top="2262" w:right="1440" w:bottom="1440" w:left="1440" w:header="709" w:footer="317" w:gutter="0"/>
          <w:cols w:num="2" w:space="567"/>
          <w:docGrid w:linePitch="360"/>
        </w:sectPr>
      </w:pPr>
      <w:bookmarkStart w:id="468" w:name="_Toc164183463"/>
    </w:p>
    <w:p w14:paraId="0101FC9E" w14:textId="13175D82" w:rsidR="006B728F" w:rsidRDefault="006B728F" w:rsidP="007F1734"/>
    <w:p w14:paraId="4444F830" w14:textId="77777777" w:rsidR="006B728F" w:rsidRDefault="006B728F" w:rsidP="002531F0"/>
    <w:p w14:paraId="24F22B86" w14:textId="77777777" w:rsidR="006B728F" w:rsidRPr="002531F0" w:rsidRDefault="006B728F" w:rsidP="002531F0">
      <w:pPr>
        <w:sectPr w:rsidR="006B728F" w:rsidRPr="002531F0" w:rsidSect="00F7078E">
          <w:type w:val="continuous"/>
          <w:pgSz w:w="12240" w:h="15840"/>
          <w:pgMar w:top="2262" w:right="1440" w:bottom="1440" w:left="1440" w:header="709" w:footer="317" w:gutter="0"/>
          <w:cols w:space="567"/>
          <w:docGrid w:linePitch="360"/>
        </w:sectPr>
      </w:pPr>
    </w:p>
    <w:p w14:paraId="797C69B3" w14:textId="693AD6C6" w:rsidR="006B728F" w:rsidRPr="007F1734" w:rsidRDefault="006B728F" w:rsidP="007F1734">
      <w:pPr>
        <w:ind w:firstLine="708"/>
        <w:rPr>
          <w:b/>
          <w:bCs/>
          <w:sz w:val="24"/>
          <w:szCs w:val="28"/>
        </w:rPr>
      </w:pPr>
      <w:r w:rsidRPr="007F1734">
        <w:rPr>
          <w:b/>
          <w:bCs/>
          <w:sz w:val="28"/>
          <w:szCs w:val="32"/>
        </w:rPr>
        <w:t>Objetivos del POT y del PDD</w:t>
      </w:r>
      <w:bookmarkEnd w:id="468"/>
    </w:p>
    <w:p w14:paraId="74DC238F" w14:textId="77777777" w:rsidR="006B728F" w:rsidRDefault="006B728F" w:rsidP="000F792B">
      <w:pPr>
        <w:sectPr w:rsidR="006B728F" w:rsidSect="00F7078E">
          <w:type w:val="continuous"/>
          <w:pgSz w:w="12240" w:h="15840"/>
          <w:pgMar w:top="2262" w:right="1440" w:bottom="1440" w:left="1440" w:header="709" w:footer="317" w:gutter="0"/>
          <w:cols w:space="708"/>
          <w:docGrid w:linePitch="360"/>
        </w:sectPr>
      </w:pPr>
    </w:p>
    <w:p w14:paraId="3C4D2647" w14:textId="0E4D120D" w:rsidR="006B728F" w:rsidRPr="00777CCC" w:rsidRDefault="006B728F" w:rsidP="00777CCC">
      <w:bookmarkStart w:id="469" w:name="_Toc163718689"/>
      <w:r w:rsidRPr="00777CCC">
        <w:t xml:space="preserve">El Decreto Distrital 555 de 2021 definió una batería de desafíos, políticas, principios y objetivos de largo plazo para el ordenamiento territorial de Bogotá. Estas disposiciones soportan la concepción del Modelo de Ocupación Territorial y orientan los componentes que lo concretan: las estructuras territoriales, la clasificación del </w:t>
      </w:r>
      <w:r w:rsidRPr="00D3674C">
        <w:rPr>
          <w:rFonts w:cs="Times New Roman (Cuerpo en alfa"/>
          <w:spacing w:val="-8"/>
        </w:rPr>
        <w:t>suelo, la estrategia normativa y los elementos de las escalas regional, distrital y local, además del componente programático.</w:t>
      </w:r>
      <w:r w:rsidRPr="00777CCC">
        <w:t xml:space="preserve"> </w:t>
      </w:r>
    </w:p>
    <w:p w14:paraId="76C2390C" w14:textId="7A35A905" w:rsidR="006B728F" w:rsidRPr="00777CCC" w:rsidRDefault="006B728F" w:rsidP="00777CCC"/>
    <w:p w14:paraId="14137799" w14:textId="0EDF9C70" w:rsidR="006B728F" w:rsidRPr="00777CCC" w:rsidRDefault="006B728F" w:rsidP="00777CCC">
      <w:r w:rsidRPr="00777CCC">
        <w:t xml:space="preserve">Los objetivos de largo plazo del POT son siete y se busca alcanzarlos al término del largo plazo </w:t>
      </w:r>
      <w:r w:rsidRPr="00777CCC">
        <w:t>del Plan a través de la implementación de las disposiciones normativas y programáticas. Estos objetivos se dirigen a consolidar una ciudad más equilibrada territorialmente donde se protegen las áreas ambientales, se hace frente a los retos del cambio climático y se promueve la revitalización de la ciudad y la reactivación económica, con el fin de reducir las inequidades en el acceso a la vivienda, a las infraestructuras y a los soportes</w:t>
      </w:r>
      <w:r>
        <w:t xml:space="preserve"> y servicios</w:t>
      </w:r>
      <w:r w:rsidRPr="00777CCC">
        <w:t xml:space="preserve"> públicos, de mejorar la calidad de vida de las personas y de lograr un desarrollo urbano y rural sostenible. Los siete objetivos son</w:t>
      </w:r>
      <w:r>
        <w:t xml:space="preserve"> (</w:t>
      </w:r>
      <w:r w:rsidR="00A21CF9" w:rsidRPr="00A21CF9">
        <w:fldChar w:fldCharType="begin"/>
      </w:r>
      <w:r w:rsidR="00A21CF9" w:rsidRPr="00A21CF9">
        <w:instrText xml:space="preserve"> REF _Ref165157385 \h </w:instrText>
      </w:r>
      <w:r w:rsidR="00A21CF9" w:rsidRPr="00A21CF9">
        <w:fldChar w:fldCharType="separate"/>
      </w:r>
      <w:r w:rsidR="00D01651" w:rsidRPr="00A21CF9">
        <w:rPr>
          <w:color w:val="C00000"/>
          <w:sz w:val="18"/>
          <w:szCs w:val="18"/>
        </w:rPr>
        <w:t xml:space="preserve">Figura </w:t>
      </w:r>
      <w:r w:rsidR="00D01651">
        <w:rPr>
          <w:noProof/>
          <w:color w:val="C00000"/>
          <w:sz w:val="18"/>
        </w:rPr>
        <w:t>19</w:t>
      </w:r>
      <w:r w:rsidR="00A21CF9" w:rsidRPr="00A21CF9">
        <w:fldChar w:fldCharType="end"/>
      </w:r>
      <w:r>
        <w:t>)</w:t>
      </w:r>
      <w:r w:rsidRPr="00777CCC">
        <w:t>:</w:t>
      </w:r>
    </w:p>
    <w:p w14:paraId="49DFF456" w14:textId="77777777" w:rsidR="006B728F" w:rsidRDefault="006B728F" w:rsidP="002B4539">
      <w:pPr>
        <w:pStyle w:val="ffigura"/>
        <w:sectPr w:rsidR="006B728F" w:rsidSect="00F7078E">
          <w:type w:val="continuous"/>
          <w:pgSz w:w="12240" w:h="15840"/>
          <w:pgMar w:top="2262" w:right="1440" w:bottom="1440" w:left="1440" w:header="709" w:footer="317" w:gutter="0"/>
          <w:cols w:num="2" w:space="567"/>
          <w:docGrid w:linePitch="360"/>
        </w:sectPr>
      </w:pPr>
    </w:p>
    <w:bookmarkEnd w:id="469"/>
    <w:p w14:paraId="275E6C3A" w14:textId="23EDCD8B" w:rsidR="006B728F" w:rsidRDefault="006B728F" w:rsidP="00FC76D2">
      <w:pPr>
        <w:pStyle w:val="ffigura"/>
        <w:jc w:val="both"/>
      </w:pPr>
    </w:p>
    <w:p w14:paraId="034ADBBC" w14:textId="1BBABB9A" w:rsidR="006B728F" w:rsidRDefault="006B728F" w:rsidP="008C75A4">
      <w:pPr>
        <w:pStyle w:val="ffigura"/>
      </w:pPr>
    </w:p>
    <w:p w14:paraId="3B0AD446" w14:textId="3605DA90" w:rsidR="00FC76D2" w:rsidRPr="00A21CF9" w:rsidRDefault="00A21CF9" w:rsidP="00A21CF9">
      <w:pPr>
        <w:pStyle w:val="Descripcin"/>
        <w:jc w:val="center"/>
        <w:rPr>
          <w:sz w:val="18"/>
        </w:rPr>
      </w:pPr>
      <w:bookmarkStart w:id="470" w:name="_Ref165157385"/>
      <w:bookmarkStart w:id="471" w:name="_Toc165169995"/>
      <w:r w:rsidRPr="00A21CF9">
        <w:rPr>
          <w:noProof/>
          <w:color w:val="C00000"/>
          <w:sz w:val="18"/>
        </w:rPr>
        <w:drawing>
          <wp:anchor distT="0" distB="0" distL="114300" distR="114300" simplePos="0" relativeHeight="251833344" behindDoc="0" locked="0" layoutInCell="1" allowOverlap="1" wp14:anchorId="48647E10" wp14:editId="0A2C1B90">
            <wp:simplePos x="0" y="0"/>
            <wp:positionH relativeFrom="margin">
              <wp:align>center</wp:align>
            </wp:positionH>
            <wp:positionV relativeFrom="page">
              <wp:posOffset>4960718</wp:posOffset>
            </wp:positionV>
            <wp:extent cx="7086600" cy="1511935"/>
            <wp:effectExtent l="0" t="0" r="0" b="0"/>
            <wp:wrapNone/>
            <wp:docPr id="12073341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7" cstate="print">
                      <a:extLst>
                        <a:ext uri="{28A0092B-C50C-407E-A947-70E740481C1C}">
                          <a14:useLocalDpi xmlns:a14="http://schemas.microsoft.com/office/drawing/2010/main" val="0"/>
                        </a:ext>
                      </a:extLst>
                    </a:blip>
                    <a:srcRect t="-1" b="-10566"/>
                    <a:stretch/>
                  </pic:blipFill>
                  <pic:spPr bwMode="auto">
                    <a:xfrm>
                      <a:off x="0" y="0"/>
                      <a:ext cx="7086600" cy="15119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1CF9">
        <w:rPr>
          <w:color w:val="C00000"/>
          <w:sz w:val="18"/>
        </w:rPr>
        <w:t xml:space="preserve">Figura </w:t>
      </w:r>
      <w:r w:rsidRPr="00A21CF9">
        <w:rPr>
          <w:color w:val="C00000"/>
          <w:sz w:val="18"/>
        </w:rPr>
        <w:fldChar w:fldCharType="begin"/>
      </w:r>
      <w:r w:rsidRPr="00A21CF9">
        <w:rPr>
          <w:color w:val="C00000"/>
          <w:sz w:val="18"/>
        </w:rPr>
        <w:instrText xml:space="preserve"> SEQ Figura \* ARABIC </w:instrText>
      </w:r>
      <w:r w:rsidRPr="00A21CF9">
        <w:rPr>
          <w:color w:val="C00000"/>
          <w:sz w:val="18"/>
        </w:rPr>
        <w:fldChar w:fldCharType="separate"/>
      </w:r>
      <w:r w:rsidR="00D01651">
        <w:rPr>
          <w:noProof/>
          <w:color w:val="C00000"/>
          <w:sz w:val="18"/>
        </w:rPr>
        <w:t>19</w:t>
      </w:r>
      <w:r w:rsidRPr="00A21CF9">
        <w:rPr>
          <w:color w:val="C00000"/>
          <w:sz w:val="18"/>
        </w:rPr>
        <w:fldChar w:fldCharType="end"/>
      </w:r>
      <w:bookmarkEnd w:id="470"/>
      <w:r w:rsidRPr="00A21CF9">
        <w:rPr>
          <w:color w:val="C00000"/>
          <w:sz w:val="18"/>
        </w:rPr>
        <w:t xml:space="preserve">. </w:t>
      </w:r>
      <w:r w:rsidR="006B728F" w:rsidRPr="00A21CF9">
        <w:rPr>
          <w:sz w:val="18"/>
        </w:rPr>
        <w:t>Objetivos del POT Bogotá Reverdece 2022-2035</w:t>
      </w:r>
      <w:bookmarkEnd w:id="471"/>
    </w:p>
    <w:p w14:paraId="1138BE02" w14:textId="305FFF03" w:rsidR="00FC76D2" w:rsidRDefault="00FC76D2" w:rsidP="00FC76D2">
      <w:pPr>
        <w:pStyle w:val="ffigura"/>
      </w:pPr>
    </w:p>
    <w:p w14:paraId="0B1EEDDB" w14:textId="0269B611" w:rsidR="00FC76D2" w:rsidRDefault="00FC76D2" w:rsidP="00FC76D2">
      <w:pPr>
        <w:pStyle w:val="ffigura"/>
      </w:pPr>
    </w:p>
    <w:p w14:paraId="206587A2" w14:textId="77777777" w:rsidR="00FC76D2" w:rsidRDefault="00FC76D2" w:rsidP="00FC76D2">
      <w:pPr>
        <w:pStyle w:val="ffigura"/>
      </w:pPr>
    </w:p>
    <w:p w14:paraId="137BE861" w14:textId="77777777" w:rsidR="00FC76D2" w:rsidRDefault="00FC76D2" w:rsidP="00FC76D2">
      <w:pPr>
        <w:pStyle w:val="ffigura"/>
      </w:pPr>
    </w:p>
    <w:p w14:paraId="5DA8B099" w14:textId="77777777" w:rsidR="00FC76D2" w:rsidRDefault="00FC76D2" w:rsidP="00FC76D2">
      <w:pPr>
        <w:pStyle w:val="ffigura"/>
      </w:pPr>
    </w:p>
    <w:p w14:paraId="2E0D8D9C" w14:textId="6025FC15" w:rsidR="00FC76D2" w:rsidRDefault="00FC76D2" w:rsidP="00FC76D2">
      <w:pPr>
        <w:pStyle w:val="ffigura"/>
      </w:pPr>
    </w:p>
    <w:p w14:paraId="31F0594D" w14:textId="1D02700A" w:rsidR="00FC76D2" w:rsidRDefault="00FC76D2" w:rsidP="00FC76D2">
      <w:pPr>
        <w:pStyle w:val="ffigura"/>
      </w:pPr>
    </w:p>
    <w:p w14:paraId="1ED1A47F" w14:textId="77777777" w:rsidR="00FC76D2" w:rsidRDefault="00FC76D2" w:rsidP="00FC76D2">
      <w:pPr>
        <w:pStyle w:val="ffigura"/>
      </w:pPr>
    </w:p>
    <w:p w14:paraId="5BC657F4" w14:textId="77777777" w:rsidR="00FC76D2" w:rsidRDefault="00FC76D2" w:rsidP="00A21CF9">
      <w:pPr>
        <w:pStyle w:val="ffigura"/>
        <w:jc w:val="both"/>
      </w:pPr>
    </w:p>
    <w:p w14:paraId="37379EC1" w14:textId="4AA6CEB2" w:rsidR="006B728F" w:rsidRDefault="006B728F" w:rsidP="00FC76D2">
      <w:pPr>
        <w:pStyle w:val="ffigura"/>
        <w:rPr>
          <w:b w:val="0"/>
          <w:bCs w:val="0"/>
        </w:rPr>
      </w:pPr>
      <w:r w:rsidRPr="00777CCC">
        <w:t xml:space="preserve">Fuente: </w:t>
      </w:r>
      <w:r w:rsidRPr="00777CCC">
        <w:rPr>
          <w:b w:val="0"/>
          <w:bCs w:val="0"/>
        </w:rPr>
        <w:t>Secretaría Distrital de Planeación (2024).</w:t>
      </w:r>
    </w:p>
    <w:p w14:paraId="799C596C" w14:textId="77777777" w:rsidR="006B728F" w:rsidRDefault="006B728F" w:rsidP="00A57DD8">
      <w:pPr>
        <w:pStyle w:val="ffigura"/>
      </w:pPr>
    </w:p>
    <w:p w14:paraId="7E1F6EDB" w14:textId="77777777" w:rsidR="006B728F" w:rsidRPr="00A57DD8" w:rsidRDefault="006B728F" w:rsidP="00A57DD8">
      <w:pPr>
        <w:pStyle w:val="ffigura"/>
        <w:sectPr w:rsidR="006B728F" w:rsidRPr="00A57DD8" w:rsidSect="00F7078E">
          <w:type w:val="continuous"/>
          <w:pgSz w:w="12240" w:h="15840"/>
          <w:pgMar w:top="2262" w:right="1440" w:bottom="1440" w:left="1440" w:header="709" w:footer="317" w:gutter="0"/>
          <w:cols w:space="708"/>
          <w:docGrid w:linePitch="360"/>
        </w:sectPr>
      </w:pPr>
    </w:p>
    <w:p w14:paraId="16ECB3AF" w14:textId="77777777" w:rsidR="006B728F" w:rsidRPr="00261929" w:rsidRDefault="006B728F" w:rsidP="00CB6AEC">
      <w:pPr>
        <w:pStyle w:val="Prrafodelista"/>
        <w:numPr>
          <w:ilvl w:val="0"/>
          <w:numId w:val="58"/>
        </w:numPr>
        <w:rPr>
          <w:spacing w:val="-6"/>
        </w:rPr>
      </w:pPr>
      <w:r w:rsidRPr="00261929">
        <w:rPr>
          <w:rStyle w:val="Textoennegrita"/>
          <w:spacing w:val="-6"/>
        </w:rPr>
        <w:t>Proteger la estructura ecológica principal y los paisajes bogotanos y generar las condiciones de una relación más armoniosa y sostenible de la ciudad con su entorno rural.</w:t>
      </w:r>
      <w:r w:rsidRPr="00261929">
        <w:rPr>
          <w:spacing w:val="-6"/>
        </w:rPr>
        <w:t xml:space="preserve"> Este objetivo busca proteger y consolidar los elementos de importancia ambiental y paisajística para mejorar las condiciones de los ecosistemas y la calidad de vida de las personas.</w:t>
      </w:r>
    </w:p>
    <w:p w14:paraId="11B5F840" w14:textId="77777777" w:rsidR="006B728F" w:rsidRPr="00261929" w:rsidRDefault="006B728F" w:rsidP="00777CCC">
      <w:pPr>
        <w:rPr>
          <w:spacing w:val="-6"/>
        </w:rPr>
      </w:pPr>
    </w:p>
    <w:p w14:paraId="0D016128" w14:textId="77777777" w:rsidR="006B728F" w:rsidRPr="00261929" w:rsidRDefault="006B728F" w:rsidP="00CB6AEC">
      <w:pPr>
        <w:pStyle w:val="Prrafodelista"/>
        <w:numPr>
          <w:ilvl w:val="0"/>
          <w:numId w:val="58"/>
        </w:numPr>
        <w:rPr>
          <w:spacing w:val="-6"/>
        </w:rPr>
      </w:pPr>
      <w:r w:rsidRPr="00261929">
        <w:rPr>
          <w:rStyle w:val="Textoennegrita"/>
          <w:spacing w:val="-6"/>
        </w:rPr>
        <w:t>Incrementar la capacidad de resiliencia del territorio frente a la ocurrencia de desastres derivados de la variabilidad y del cambio climático.</w:t>
      </w:r>
      <w:r w:rsidRPr="00261929">
        <w:rPr>
          <w:spacing w:val="-6"/>
        </w:rPr>
        <w:t xml:space="preserve"> Este objetivo busca incorporar la gestión del riesgo en el </w:t>
      </w:r>
      <w:r w:rsidRPr="00261929">
        <w:rPr>
          <w:spacing w:val="-6"/>
        </w:rPr>
        <w:t>ordenamiento territorial y la implementación de medidas de adaptación y mitigación.</w:t>
      </w:r>
    </w:p>
    <w:p w14:paraId="08F8EDF6" w14:textId="77777777" w:rsidR="006B728F" w:rsidRPr="00261929" w:rsidRDefault="006B728F" w:rsidP="00777CCC">
      <w:pPr>
        <w:rPr>
          <w:spacing w:val="-6"/>
        </w:rPr>
      </w:pPr>
    </w:p>
    <w:p w14:paraId="50CDB335" w14:textId="77777777" w:rsidR="006B728F" w:rsidRPr="00261929" w:rsidRDefault="006B728F" w:rsidP="00CB6AEC">
      <w:pPr>
        <w:pStyle w:val="Prrafodelista"/>
        <w:numPr>
          <w:ilvl w:val="0"/>
          <w:numId w:val="58"/>
        </w:numPr>
        <w:rPr>
          <w:spacing w:val="-6"/>
        </w:rPr>
      </w:pPr>
      <w:r w:rsidRPr="00261929">
        <w:rPr>
          <w:rStyle w:val="Textoennegrita"/>
          <w:spacing w:val="-6"/>
        </w:rPr>
        <w:t>Mejorar el ambiente urbano y de los asentamientos rurales.</w:t>
      </w:r>
      <w:r w:rsidRPr="00261929">
        <w:rPr>
          <w:spacing w:val="-6"/>
        </w:rPr>
        <w:t xml:space="preserve"> Este objetivo busca mejorar la calidad ambiental de los entornos construidos y habitados en el suelo urbano y rural y con ello reducir los impactos ambientales del desarrollo territorial.</w:t>
      </w:r>
    </w:p>
    <w:p w14:paraId="7E60E4F9" w14:textId="77777777" w:rsidR="006B728F" w:rsidRPr="00261929" w:rsidRDefault="006B728F" w:rsidP="00777CCC">
      <w:pPr>
        <w:rPr>
          <w:spacing w:val="-6"/>
        </w:rPr>
      </w:pPr>
    </w:p>
    <w:p w14:paraId="663D13CC" w14:textId="77777777" w:rsidR="006B728F" w:rsidRPr="00261929" w:rsidRDefault="006B728F" w:rsidP="00CB6AEC">
      <w:pPr>
        <w:pStyle w:val="Prrafodelista"/>
        <w:numPr>
          <w:ilvl w:val="0"/>
          <w:numId w:val="58"/>
        </w:numPr>
        <w:rPr>
          <w:spacing w:val="-6"/>
        </w:rPr>
      </w:pPr>
      <w:r w:rsidRPr="00261929">
        <w:rPr>
          <w:rStyle w:val="Textoennegrita"/>
          <w:spacing w:val="-6"/>
        </w:rPr>
        <w:t>Revitalizar la ciudad a través de intervenciones y proyectos de calidad.</w:t>
      </w:r>
      <w:r w:rsidRPr="00261929">
        <w:rPr>
          <w:spacing w:val="-6"/>
        </w:rPr>
        <w:t xml:space="preserve"> Este objetivo busca revitalizar la ciudad promoviendo el desarrollo de soluciones </w:t>
      </w:r>
      <w:r w:rsidRPr="00261929">
        <w:rPr>
          <w:spacing w:val="-6"/>
        </w:rPr>
        <w:lastRenderedPageBreak/>
        <w:t>habitacionales, la conservación de barrios e inmuebles con valores arquitectónicos, la cualificación de barrios consolidados y asentamientos legalizados y el desarrollo de nuevas piezas de ciudad.</w:t>
      </w:r>
    </w:p>
    <w:p w14:paraId="502D7650" w14:textId="77777777" w:rsidR="006B728F" w:rsidRPr="00261929" w:rsidRDefault="006B728F" w:rsidP="00777CCC">
      <w:pPr>
        <w:rPr>
          <w:spacing w:val="-6"/>
        </w:rPr>
      </w:pPr>
    </w:p>
    <w:p w14:paraId="7B20C8E7" w14:textId="77777777" w:rsidR="006B728F" w:rsidRPr="00261929" w:rsidRDefault="006B728F" w:rsidP="00CB6AEC">
      <w:pPr>
        <w:pStyle w:val="Prrafodelista"/>
        <w:numPr>
          <w:ilvl w:val="0"/>
          <w:numId w:val="58"/>
        </w:numPr>
        <w:rPr>
          <w:rFonts w:cs="Times New Roman (Cuerpo en alfa"/>
          <w:spacing w:val="-6"/>
        </w:rPr>
      </w:pPr>
      <w:r w:rsidRPr="00261929">
        <w:rPr>
          <w:rStyle w:val="Textoennegrita"/>
          <w:rFonts w:cs="Times New Roman (Cuerpo en alfa"/>
          <w:spacing w:val="-6"/>
        </w:rPr>
        <w:t>Promover el dinamismo, la reactivación económica y la creación de empleos.</w:t>
      </w:r>
      <w:r w:rsidRPr="00261929">
        <w:rPr>
          <w:rFonts w:cs="Times New Roman (Cuerpo en alfa"/>
          <w:spacing w:val="-6"/>
        </w:rPr>
        <w:t xml:space="preserve"> Este objetivo busca reactivar la ciudad cualificando las zonas de aglomeración económica y proporcionar los soportes e infraestructuras que respondan a las necesidades de las nuevas actividades productivas, así como las posibilidades para la cohabitación de actividades productivas y residenciales. </w:t>
      </w:r>
    </w:p>
    <w:p w14:paraId="33C85110" w14:textId="77777777" w:rsidR="006B728F" w:rsidRPr="00261929" w:rsidRDefault="006B728F" w:rsidP="00A007C9">
      <w:pPr>
        <w:rPr>
          <w:spacing w:val="-6"/>
        </w:rPr>
      </w:pPr>
    </w:p>
    <w:p w14:paraId="26DA9221" w14:textId="77777777" w:rsidR="006B728F" w:rsidRPr="00261929" w:rsidRDefault="006B728F" w:rsidP="00CB6AEC">
      <w:pPr>
        <w:pStyle w:val="Prrafodelista"/>
        <w:numPr>
          <w:ilvl w:val="0"/>
          <w:numId w:val="58"/>
        </w:numPr>
        <w:rPr>
          <w:spacing w:val="-6"/>
        </w:rPr>
      </w:pPr>
      <w:r w:rsidRPr="005825EF">
        <w:rPr>
          <w:rStyle w:val="Textoennegrita"/>
        </w:rPr>
        <w:t>Reducir los desequilibrios y desigualdades para un territorio más solidario y cuidador.</w:t>
      </w:r>
      <w:r w:rsidRPr="005825EF">
        <w:t xml:space="preserve"> Este objetivo busca reducir la inequidad en el acceso a equipamientos, transporte</w:t>
      </w:r>
      <w:r w:rsidRPr="00261929">
        <w:rPr>
          <w:spacing w:val="-6"/>
        </w:rPr>
        <w:t xml:space="preserve"> y espacio público para proporcionar mejores condiciones de vida y acceso a oportunidades, principalmente en los territorios urbanos y rurales más deficitarios mediante mecanismos de traslados de cargas, proyectos y estrategias de intervención.</w:t>
      </w:r>
    </w:p>
    <w:p w14:paraId="2A24C21F" w14:textId="77777777" w:rsidR="006B728F" w:rsidRPr="00261929" w:rsidRDefault="006B728F" w:rsidP="00777CCC">
      <w:pPr>
        <w:rPr>
          <w:spacing w:val="-6"/>
        </w:rPr>
      </w:pPr>
    </w:p>
    <w:p w14:paraId="5F37F9B3" w14:textId="255929A4" w:rsidR="006B728F" w:rsidRPr="00261929" w:rsidRDefault="006B728F" w:rsidP="00CB6AEC">
      <w:pPr>
        <w:pStyle w:val="Prrafodelista"/>
        <w:numPr>
          <w:ilvl w:val="0"/>
          <w:numId w:val="58"/>
        </w:numPr>
        <w:rPr>
          <w:spacing w:val="-6"/>
        </w:rPr>
      </w:pPr>
      <w:r w:rsidRPr="00261929">
        <w:rPr>
          <w:rStyle w:val="Textoennegrita"/>
          <w:spacing w:val="-6"/>
        </w:rPr>
        <w:t>Alcanzar el Desarrollo Rural Sostenible.</w:t>
      </w:r>
      <w:r w:rsidRPr="00261929">
        <w:rPr>
          <w:spacing w:val="-6"/>
        </w:rPr>
        <w:t xml:space="preserve"> Este objetivo busca poner en valor las formas de vida campesina y generar mayor valor a las prácticas agrícolas, pecuarias y turísticas que se desarrollan en el suelo rural y articularlas a los propósitos de conservación ambiental.</w:t>
      </w:r>
    </w:p>
    <w:p w14:paraId="01732B16" w14:textId="77777777" w:rsidR="006B728F" w:rsidRPr="00261929" w:rsidRDefault="006B728F" w:rsidP="00A007C9">
      <w:pPr>
        <w:pStyle w:val="Prrafodelista"/>
        <w:rPr>
          <w:spacing w:val="-6"/>
        </w:rPr>
      </w:pPr>
    </w:p>
    <w:p w14:paraId="3A48A36A" w14:textId="77777777" w:rsidR="006B728F" w:rsidRPr="00261929" w:rsidRDefault="006B728F" w:rsidP="00A007C9">
      <w:pPr>
        <w:rPr>
          <w:spacing w:val="-6"/>
        </w:rPr>
      </w:pPr>
      <w:r w:rsidRPr="00261929">
        <w:rPr>
          <w:spacing w:val="-6"/>
        </w:rPr>
        <w:t xml:space="preserve">El alcance de los objetivos de largo plazo del Plan de Ordenamiento Territorial es bastante amplio. Su enfoque integral comprende que el rol que tiene el adecuado manejo de los asuntos territoriales y físico espaciales es determinante en el logro de los objetivos sociales y económicos para el bienestar de la población en el Distrito Capital. </w:t>
      </w:r>
    </w:p>
    <w:p w14:paraId="0FB1EABC" w14:textId="77777777" w:rsidR="006B728F" w:rsidRDefault="006B728F" w:rsidP="00A007C9"/>
    <w:p w14:paraId="24CA80F3" w14:textId="77777777" w:rsidR="006B728F" w:rsidRDefault="006B728F" w:rsidP="00A007C9">
      <w:r>
        <w:t xml:space="preserve">Por su parte, el Plan Distrital de Desarrollo 2024-2027 “Bogotá Camina Segura” se estructura en torno a cinco (5) objetivos estratégicos que responden al objetivo general de </w:t>
      </w:r>
      <w:r>
        <w:rPr>
          <w:i/>
        </w:rPr>
        <w:t>mejorar la calidad de vida de las personas garantizándoles una mayor seguridad, inclusión, libertad, igualdad de oportunidades y un acceso más justo a bienes y servicios públicos</w:t>
      </w:r>
      <w:r>
        <w:t xml:space="preserve">, fortaleciendo el tejido social en un marco de construcción de confianza y </w:t>
      </w:r>
      <w:r w:rsidRPr="00A21CF9">
        <w:t>aprovechando</w:t>
      </w:r>
      <w:r>
        <w:t xml:space="preserve"> el potencial de la sociedad y su territorio a partir de un modelo de desarrollo comprometido con la acción climática y la integración regional.</w:t>
      </w:r>
    </w:p>
    <w:p w14:paraId="1AB3C940" w14:textId="77777777" w:rsidR="00A21CF9" w:rsidRDefault="00A21CF9" w:rsidP="00A007C9"/>
    <w:p w14:paraId="777FF8F2" w14:textId="7E3C6228" w:rsidR="00A21CF9" w:rsidRPr="00A21CF9" w:rsidRDefault="00A21CF9" w:rsidP="00A007C9">
      <w:pPr>
        <w:sectPr w:rsidR="00A21CF9" w:rsidRPr="00A21CF9" w:rsidSect="00F7078E">
          <w:type w:val="continuous"/>
          <w:pgSz w:w="12240" w:h="15840"/>
          <w:pgMar w:top="2262" w:right="1440" w:bottom="1440" w:left="1440" w:header="709" w:footer="709" w:gutter="0"/>
          <w:cols w:num="2" w:space="567"/>
          <w:docGrid w:linePitch="360"/>
        </w:sectPr>
      </w:pPr>
      <w:r w:rsidRPr="00A21CF9">
        <w:rPr>
          <w:spacing w:val="-6"/>
        </w:rPr>
        <w:t>La articulación del Plan de Ordenamiento Territorial “Bogotá Reverdece 2022-2035” con el Plan Distrital de Desarrollo 2024-2027 “Bogotá Camina Segura” se hace en primera medida a partir de los programas y metas; no obstante, es posible encontrar coincidencias entre las apuestas de ambos instrumentos. Estas coincidencias se dan principalmente en el propósito común de reducir las inequidades en el acceso de la población a la vivienda, a los servicios sociales y del cuidado, y a las infraestructuras públicas para alcanzar mayor igualdad de oportunidades, calidad de vida y justicia en el acceso a los bienes públicos. Este enfoque compartido es el puente principal que articula ambos instrumentos y facilita la destinación de recursos del uno para la concreción de los objetivos del otro.</w:t>
      </w:r>
    </w:p>
    <w:p w14:paraId="7231E567" w14:textId="77777777" w:rsidR="006B728F" w:rsidRDefault="006B728F" w:rsidP="00962AF0">
      <w:pPr>
        <w:rPr>
          <w:lang w:val="es-ES"/>
        </w:rPr>
      </w:pPr>
      <w:bookmarkStart w:id="472" w:name="_Toc164183464"/>
    </w:p>
    <w:p w14:paraId="7F3A9F1E" w14:textId="77777777" w:rsidR="006B728F" w:rsidRPr="00962AF0" w:rsidRDefault="006B728F" w:rsidP="00962AF0">
      <w:pPr>
        <w:rPr>
          <w:lang w:val="es-ES"/>
        </w:rPr>
      </w:pPr>
    </w:p>
    <w:p w14:paraId="1203EB09" w14:textId="77777777" w:rsidR="00A21CF9" w:rsidRDefault="00A21CF9">
      <w:pPr>
        <w:spacing w:line="240" w:lineRule="auto"/>
        <w:jc w:val="left"/>
        <w:rPr>
          <w:b/>
          <w:bCs/>
          <w:sz w:val="28"/>
          <w:szCs w:val="28"/>
          <w:lang w:val="es-ES"/>
        </w:rPr>
      </w:pPr>
      <w:r>
        <w:rPr>
          <w:b/>
          <w:bCs/>
          <w:sz w:val="28"/>
          <w:szCs w:val="28"/>
          <w:lang w:val="es-ES"/>
        </w:rPr>
        <w:br w:type="page"/>
      </w:r>
    </w:p>
    <w:p w14:paraId="06F74819" w14:textId="235BC0E6" w:rsidR="006B728F" w:rsidRPr="00A21CF9" w:rsidRDefault="006B728F" w:rsidP="00A21CF9">
      <w:pPr>
        <w:ind w:firstLine="708"/>
        <w:rPr>
          <w:b/>
          <w:bCs/>
          <w:sz w:val="28"/>
          <w:szCs w:val="28"/>
          <w:lang w:val="es-ES"/>
        </w:rPr>
      </w:pPr>
      <w:r w:rsidRPr="00A21CF9">
        <w:rPr>
          <w:b/>
          <w:bCs/>
          <w:sz w:val="28"/>
          <w:szCs w:val="28"/>
          <w:lang w:val="es-ES"/>
        </w:rPr>
        <w:lastRenderedPageBreak/>
        <w:t>Metodología para la articulación PDD-POT</w:t>
      </w:r>
      <w:bookmarkEnd w:id="472"/>
    </w:p>
    <w:p w14:paraId="232E9C6A" w14:textId="77777777" w:rsidR="006B728F" w:rsidRDefault="006B728F" w:rsidP="00D963C8">
      <w:pPr>
        <w:rPr>
          <w:lang w:val="es-ES"/>
        </w:rPr>
        <w:sectPr w:rsidR="006B728F" w:rsidSect="00F7078E">
          <w:type w:val="continuous"/>
          <w:pgSz w:w="12240" w:h="15840"/>
          <w:pgMar w:top="2262" w:right="1440" w:bottom="1440" w:left="1440" w:header="709" w:footer="709" w:gutter="0"/>
          <w:cols w:space="708"/>
          <w:docGrid w:linePitch="360"/>
        </w:sectPr>
      </w:pPr>
    </w:p>
    <w:p w14:paraId="4E335038" w14:textId="43BD7D70" w:rsidR="006B728F" w:rsidRDefault="006B728F" w:rsidP="00E31AA4">
      <w:pPr>
        <w:sectPr w:rsidR="006B728F" w:rsidSect="00F7078E">
          <w:type w:val="continuous"/>
          <w:pgSz w:w="12240" w:h="15840"/>
          <w:pgMar w:top="2262" w:right="1440" w:bottom="1440" w:left="1440" w:header="709" w:footer="709" w:gutter="0"/>
          <w:cols w:num="2" w:space="567"/>
          <w:docGrid w:linePitch="360"/>
        </w:sectPr>
      </w:pPr>
      <w:r>
        <w:t xml:space="preserve">Para armonizar los objetivos, programas y proyectos del Plan Distrital de Desarrollo con el Plan de Ordenamiento Territorial se definieron criterios de priorización con sustento territorial. Los criterios sirven como lineamiento para la selección y filtro de los proyectos a desarrollar y financiar en el marco del Plan Distrital de Desarrollo con el fin de que, en cumplimiento del </w:t>
      </w:r>
      <w:r>
        <w:t>marco normativo que regula la materia, se armonicen las previsiones del corto plazo de este plan con lo previsto en el POT. La definición de los criterios tuvo en consideración varios aspectos que se señalan a continuación, todos dirigidos en general a aportar a la concreción del Modelo de Ocupación Territorial</w:t>
      </w:r>
      <w:bookmarkStart w:id="473" w:name="_Toc164183465"/>
      <w:r w:rsidR="00A21CF9">
        <w:t>.</w:t>
      </w:r>
    </w:p>
    <w:p w14:paraId="219959A6" w14:textId="77777777" w:rsidR="006B728F" w:rsidRDefault="006B728F" w:rsidP="00913283">
      <w:pPr>
        <w:sectPr w:rsidR="006B728F" w:rsidSect="00F7078E">
          <w:type w:val="continuous"/>
          <w:pgSz w:w="12240" w:h="15840"/>
          <w:pgMar w:top="2262" w:right="1440" w:bottom="1440" w:left="1440" w:header="709" w:footer="275" w:gutter="0"/>
          <w:cols w:space="567"/>
          <w:docGrid w:linePitch="360"/>
        </w:sectPr>
      </w:pPr>
    </w:p>
    <w:p w14:paraId="0E11EC0D" w14:textId="3B5C6394" w:rsidR="006B728F" w:rsidRPr="006B6F6F" w:rsidRDefault="006B728F" w:rsidP="00A21CF9">
      <w:pPr>
        <w:pStyle w:val="subnumeros"/>
        <w:numPr>
          <w:ilvl w:val="0"/>
          <w:numId w:val="0"/>
        </w:numPr>
        <w:ind w:left="1145" w:hanging="720"/>
        <w:outlineLvl w:val="9"/>
      </w:pPr>
      <w:r w:rsidRPr="00D55784">
        <w:rPr>
          <w:color w:val="C00000"/>
        </w:rPr>
        <w:t xml:space="preserve">Criterio 1: </w:t>
      </w:r>
      <w:r w:rsidRPr="00574B4F">
        <w:t>Concreción del Modelo de Ocupación Territorial del POT</w:t>
      </w:r>
      <w:bookmarkEnd w:id="473"/>
    </w:p>
    <w:p w14:paraId="6099698A" w14:textId="77777777" w:rsidR="006B728F" w:rsidRDefault="006B728F" w:rsidP="00913283">
      <w:pPr>
        <w:rPr>
          <w:lang w:val="es-ES"/>
        </w:rPr>
        <w:sectPr w:rsidR="006B728F" w:rsidSect="00F7078E">
          <w:type w:val="continuous"/>
          <w:pgSz w:w="12240" w:h="15840"/>
          <w:pgMar w:top="2262" w:right="1440" w:bottom="1440" w:left="1440" w:header="709" w:footer="275" w:gutter="0"/>
          <w:cols w:space="567"/>
          <w:docGrid w:linePitch="360"/>
        </w:sectPr>
      </w:pPr>
    </w:p>
    <w:p w14:paraId="7872C386" w14:textId="77777777" w:rsidR="006B728F" w:rsidRDefault="006B728F" w:rsidP="00962AF0">
      <w:r>
        <w:t xml:space="preserve">Este criterio privilegia la concreción del Modelo de Ocupación Territorial del POT. Se busca que los proyectos propuestos para el Plan Distrital de Desarrollo tengan una relación directa con los proyectos estratégicos del Plan de Ordenamiento Territorial pero también que correspondan con las apuestas del corto plazo del Plan. </w:t>
      </w:r>
    </w:p>
    <w:p w14:paraId="65C3D733" w14:textId="77777777" w:rsidR="006B728F" w:rsidRDefault="006B728F" w:rsidP="00962AF0"/>
    <w:p w14:paraId="2523B28B" w14:textId="77777777" w:rsidR="006B728F" w:rsidRDefault="006B728F" w:rsidP="00962AF0">
      <w:r>
        <w:t xml:space="preserve">Se toma como base los elementos regionales del Modelo de Ocupación Territorial señalados en el artículo 7 del Decreto Distrital 555 de 2021 y se priorizan los proyectos estratégicos de integración regional medibles y concretos de cara a la concreción del MOT. La selección del elemento regional se debe a que define intervenciones estratégicas para concretar logros regionales y en la medida en que estos se materialicen, por efecto de la multiescalaridad del Plan, influirán en la concreción de los elementos de las escalas distrital y local del POT. En este sentido, los proyectos a priorizar deben </w:t>
      </w:r>
      <w:r>
        <w:t>aportar a la concreción del elemento regional del Modelo.</w:t>
      </w:r>
    </w:p>
    <w:p w14:paraId="6585515D" w14:textId="77777777" w:rsidR="006B728F" w:rsidRDefault="006B728F" w:rsidP="00962AF0"/>
    <w:p w14:paraId="468F58F1" w14:textId="77777777" w:rsidR="006B728F" w:rsidRDefault="006B728F" w:rsidP="00962AF0">
      <w:r>
        <w:t>Adicional a lo anterior, se considera que los proyectos del PDD deben incluir en su mayoría aquellos previstos para el corto plazo en el contenido programático del POT. Ello por cuanto la ejecución de tales proyectos garantizará que se avance con el cumplimiento de lo planeado para el territorio y que en el corto plazo se comience a evidenciar la concreción del Modelo.</w:t>
      </w:r>
    </w:p>
    <w:p w14:paraId="0453EE92" w14:textId="77777777" w:rsidR="006B728F" w:rsidRDefault="006B728F" w:rsidP="00962AF0"/>
    <w:p w14:paraId="22F4026D" w14:textId="731632A7" w:rsidR="006B728F" w:rsidRDefault="006B728F" w:rsidP="00962AF0">
      <w:r>
        <w:t>En este sentido, los elementos a evaluar en este criterio se resumen así (</w:t>
      </w:r>
      <w:r w:rsidR="00A21CF9" w:rsidRPr="00A21CF9">
        <w:rPr>
          <w:highlight w:val="yellow"/>
        </w:rPr>
        <w:fldChar w:fldCharType="begin"/>
      </w:r>
      <w:r w:rsidR="00A21CF9" w:rsidRPr="00A21CF9">
        <w:instrText xml:space="preserve"> REF _Ref165157808 \h </w:instrText>
      </w:r>
      <w:r w:rsidR="00A21CF9" w:rsidRPr="00A21CF9">
        <w:rPr>
          <w:highlight w:val="yellow"/>
        </w:rPr>
      </w:r>
      <w:r w:rsidR="00A21CF9" w:rsidRPr="00A21CF9">
        <w:rPr>
          <w:highlight w:val="yellow"/>
        </w:rPr>
        <w:fldChar w:fldCharType="separate"/>
      </w:r>
      <w:r w:rsidR="00D01651" w:rsidRPr="00A21CF9">
        <w:rPr>
          <w:color w:val="C00000"/>
          <w:sz w:val="18"/>
          <w:szCs w:val="18"/>
        </w:rPr>
        <w:t xml:space="preserve">Figura </w:t>
      </w:r>
      <w:r w:rsidR="00D01651">
        <w:rPr>
          <w:noProof/>
          <w:color w:val="C00000"/>
          <w:sz w:val="18"/>
        </w:rPr>
        <w:t>20</w:t>
      </w:r>
      <w:r w:rsidR="00A21CF9" w:rsidRPr="00A21CF9">
        <w:rPr>
          <w:highlight w:val="yellow"/>
        </w:rPr>
        <w:fldChar w:fldCharType="end"/>
      </w:r>
      <w:r w:rsidRPr="00A21CF9">
        <w:t>):</w:t>
      </w:r>
    </w:p>
    <w:p w14:paraId="59FB9652" w14:textId="3D0427AA" w:rsidR="006B728F" w:rsidRDefault="006B728F" w:rsidP="00A21CF9">
      <w:pPr>
        <w:pStyle w:val="Prrafodelista"/>
        <w:numPr>
          <w:ilvl w:val="0"/>
          <w:numId w:val="60"/>
        </w:numPr>
        <w:rPr>
          <w:spacing w:val="-6"/>
        </w:rPr>
      </w:pPr>
      <w:r w:rsidRPr="00D55784">
        <w:rPr>
          <w:spacing w:val="-6"/>
        </w:rPr>
        <w:t>Proyectos estratégicos de integración regional que concreten los elementos regionales del MOT señalados en el artículo 7 del Decreto Distrital 555 de 2021.</w:t>
      </w:r>
    </w:p>
    <w:p w14:paraId="44B76280" w14:textId="77777777" w:rsidR="00A21CF9" w:rsidRPr="00A21CF9" w:rsidRDefault="00A21CF9" w:rsidP="00A21CF9">
      <w:pPr>
        <w:ind w:left="360"/>
        <w:rPr>
          <w:spacing w:val="-6"/>
        </w:rPr>
      </w:pPr>
    </w:p>
    <w:p w14:paraId="23C2BA48" w14:textId="6706F254" w:rsidR="006B728F" w:rsidRPr="00D55784" w:rsidRDefault="006B728F" w:rsidP="00A21CF9">
      <w:pPr>
        <w:pStyle w:val="Prrafodelista"/>
        <w:numPr>
          <w:ilvl w:val="0"/>
          <w:numId w:val="60"/>
        </w:numPr>
        <w:rPr>
          <w:spacing w:val="-8"/>
        </w:rPr>
      </w:pPr>
      <w:r w:rsidRPr="00D55784">
        <w:rPr>
          <w:spacing w:val="-8"/>
        </w:rPr>
        <w:t>Proyectos</w:t>
      </w:r>
      <w:r w:rsidR="00D10FD4">
        <w:rPr>
          <w:spacing w:val="-8"/>
        </w:rPr>
        <w:t xml:space="preserve"> </w:t>
      </w:r>
      <w:r w:rsidRPr="00D55784">
        <w:rPr>
          <w:spacing w:val="-8"/>
        </w:rPr>
        <w:t>contemplados principalmente en el corto plazo del contenido programático del POT.</w:t>
      </w:r>
    </w:p>
    <w:p w14:paraId="0071249E" w14:textId="77777777" w:rsidR="006B728F" w:rsidRDefault="006B728F" w:rsidP="00761DA9">
      <w:pPr>
        <w:pStyle w:val="ffigura"/>
        <w:sectPr w:rsidR="006B728F" w:rsidSect="00F7078E">
          <w:type w:val="continuous"/>
          <w:pgSz w:w="12240" w:h="15840"/>
          <w:pgMar w:top="2262" w:right="1440" w:bottom="1440" w:left="1440" w:header="709" w:footer="275" w:gutter="0"/>
          <w:cols w:num="2" w:space="708"/>
          <w:docGrid w:linePitch="360"/>
        </w:sectPr>
      </w:pPr>
      <w:bookmarkStart w:id="474" w:name="_Toc163718691"/>
    </w:p>
    <w:p w14:paraId="4296DE0A" w14:textId="77777777" w:rsidR="006B728F" w:rsidRDefault="006B728F" w:rsidP="00D55784">
      <w:pPr>
        <w:pStyle w:val="ffigura"/>
        <w:jc w:val="both"/>
        <w:rPr>
          <w:b w:val="0"/>
          <w:bCs w:val="0"/>
        </w:rPr>
      </w:pPr>
    </w:p>
    <w:p w14:paraId="0DBAF02A" w14:textId="77777777" w:rsidR="00A21CF9" w:rsidRDefault="00A21CF9">
      <w:pPr>
        <w:spacing w:line="240" w:lineRule="auto"/>
        <w:jc w:val="left"/>
        <w:rPr>
          <w:rFonts w:eastAsiaTheme="minorHAnsi"/>
          <w:sz w:val="18"/>
          <w:szCs w:val="16"/>
          <w:lang w:eastAsia="pt-BR"/>
        </w:rPr>
      </w:pPr>
      <w:r>
        <w:rPr>
          <w:b/>
          <w:bCs/>
        </w:rPr>
        <w:br w:type="page"/>
      </w:r>
    </w:p>
    <w:p w14:paraId="5EB0120A" w14:textId="1DB1961C" w:rsidR="006B728F" w:rsidRPr="00A21CF9" w:rsidRDefault="00A21CF9" w:rsidP="00A21CF9">
      <w:pPr>
        <w:pStyle w:val="Descripcin"/>
        <w:jc w:val="center"/>
        <w:rPr>
          <w:sz w:val="18"/>
        </w:rPr>
      </w:pPr>
      <w:bookmarkStart w:id="475" w:name="_Ref165157808"/>
      <w:bookmarkStart w:id="476" w:name="_Toc165169996"/>
      <w:r w:rsidRPr="00A21CF9">
        <w:rPr>
          <w:color w:val="C00000"/>
          <w:sz w:val="18"/>
        </w:rPr>
        <w:lastRenderedPageBreak/>
        <w:t xml:space="preserve">Figura </w:t>
      </w:r>
      <w:r w:rsidRPr="00A21CF9">
        <w:rPr>
          <w:color w:val="C00000"/>
          <w:sz w:val="18"/>
        </w:rPr>
        <w:fldChar w:fldCharType="begin"/>
      </w:r>
      <w:r w:rsidRPr="00A21CF9">
        <w:rPr>
          <w:color w:val="C00000"/>
          <w:sz w:val="18"/>
        </w:rPr>
        <w:instrText xml:space="preserve"> SEQ Figura \* ARABIC </w:instrText>
      </w:r>
      <w:r w:rsidRPr="00A21CF9">
        <w:rPr>
          <w:color w:val="C00000"/>
          <w:sz w:val="18"/>
        </w:rPr>
        <w:fldChar w:fldCharType="separate"/>
      </w:r>
      <w:r w:rsidR="00D01651">
        <w:rPr>
          <w:noProof/>
          <w:color w:val="C00000"/>
          <w:sz w:val="18"/>
        </w:rPr>
        <w:t>20</w:t>
      </w:r>
      <w:r w:rsidRPr="00A21CF9">
        <w:rPr>
          <w:color w:val="C00000"/>
          <w:sz w:val="18"/>
        </w:rPr>
        <w:fldChar w:fldCharType="end"/>
      </w:r>
      <w:bookmarkEnd w:id="475"/>
      <w:r w:rsidRPr="00A21CF9">
        <w:rPr>
          <w:color w:val="C00000"/>
          <w:sz w:val="18"/>
        </w:rPr>
        <w:t xml:space="preserve">. </w:t>
      </w:r>
      <w:r w:rsidR="006B728F" w:rsidRPr="00A21CF9">
        <w:rPr>
          <w:sz w:val="18"/>
        </w:rPr>
        <w:t>Criterio de concreción del MOT del POT</w:t>
      </w:r>
      <w:bookmarkEnd w:id="474"/>
      <w:bookmarkEnd w:id="476"/>
    </w:p>
    <w:p w14:paraId="3FBBEB42" w14:textId="50154CBA" w:rsidR="00A21CF9" w:rsidRDefault="00A21CF9" w:rsidP="005825EF">
      <w:pPr>
        <w:pStyle w:val="ffigura"/>
        <w:rPr>
          <w:color w:val="C00000"/>
        </w:rPr>
      </w:pPr>
      <w:r w:rsidRPr="0056360E">
        <w:rPr>
          <w:rFonts w:ascii="Times New Roman" w:hAnsi="Times New Roman"/>
          <w:noProof/>
          <w:color w:val="auto"/>
          <w:sz w:val="24"/>
          <w:szCs w:val="24"/>
        </w:rPr>
        <w:drawing>
          <wp:anchor distT="0" distB="0" distL="114300" distR="114300" simplePos="0" relativeHeight="251823104" behindDoc="0" locked="0" layoutInCell="1" allowOverlap="1" wp14:anchorId="5BD63FAD" wp14:editId="32874342">
            <wp:simplePos x="0" y="0"/>
            <wp:positionH relativeFrom="margin">
              <wp:align>center</wp:align>
            </wp:positionH>
            <wp:positionV relativeFrom="paragraph">
              <wp:posOffset>39419</wp:posOffset>
            </wp:positionV>
            <wp:extent cx="5474335" cy="2426335"/>
            <wp:effectExtent l="0" t="0" r="0" b="0"/>
            <wp:wrapNone/>
            <wp:docPr id="8718418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41825" name="Imagen 1"/>
                    <pic:cNvPicPr/>
                  </pic:nvPicPr>
                  <pic:blipFill rotWithShape="1">
                    <a:blip r:embed="rId178" cstate="print">
                      <a:extLst>
                        <a:ext uri="{28A0092B-C50C-407E-A947-70E740481C1C}">
                          <a14:useLocalDpi xmlns:a14="http://schemas.microsoft.com/office/drawing/2010/main" val="0"/>
                        </a:ext>
                      </a:extLst>
                    </a:blip>
                    <a:srcRect t="9963" b="4453"/>
                    <a:stretch/>
                  </pic:blipFill>
                  <pic:spPr bwMode="auto">
                    <a:xfrm>
                      <a:off x="0" y="0"/>
                      <a:ext cx="5474335" cy="24263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6A6561" w14:textId="77777777" w:rsidR="00A21CF9" w:rsidRDefault="00A21CF9" w:rsidP="005825EF">
      <w:pPr>
        <w:pStyle w:val="ffigura"/>
        <w:rPr>
          <w:color w:val="C00000"/>
        </w:rPr>
      </w:pPr>
    </w:p>
    <w:p w14:paraId="2148EAFA" w14:textId="0DDF7196" w:rsidR="00A21CF9" w:rsidRDefault="00A21CF9" w:rsidP="005825EF">
      <w:pPr>
        <w:pStyle w:val="ffigura"/>
        <w:rPr>
          <w:color w:val="C00000"/>
        </w:rPr>
      </w:pPr>
    </w:p>
    <w:p w14:paraId="7B30558C" w14:textId="77777777" w:rsidR="00A21CF9" w:rsidRDefault="00A21CF9" w:rsidP="005825EF">
      <w:pPr>
        <w:pStyle w:val="ffigura"/>
        <w:rPr>
          <w:color w:val="C00000"/>
        </w:rPr>
      </w:pPr>
    </w:p>
    <w:p w14:paraId="51AE2264" w14:textId="77777777" w:rsidR="00A21CF9" w:rsidRDefault="00A21CF9" w:rsidP="005825EF">
      <w:pPr>
        <w:pStyle w:val="ffigura"/>
        <w:rPr>
          <w:color w:val="C00000"/>
        </w:rPr>
      </w:pPr>
    </w:p>
    <w:p w14:paraId="456E437C" w14:textId="77777777" w:rsidR="006B728F" w:rsidRDefault="006B728F" w:rsidP="00761DA9">
      <w:pPr>
        <w:pStyle w:val="ffigura"/>
        <w:rPr>
          <w:color w:val="C00000"/>
        </w:rPr>
      </w:pPr>
    </w:p>
    <w:p w14:paraId="54590944" w14:textId="77777777" w:rsidR="00A21CF9" w:rsidRDefault="00A21CF9" w:rsidP="00761DA9">
      <w:pPr>
        <w:pStyle w:val="ffigura"/>
        <w:rPr>
          <w:color w:val="C00000"/>
        </w:rPr>
      </w:pPr>
    </w:p>
    <w:p w14:paraId="0A2D5D4F" w14:textId="77777777" w:rsidR="00A21CF9" w:rsidRDefault="00A21CF9" w:rsidP="00761DA9">
      <w:pPr>
        <w:pStyle w:val="ffigura"/>
        <w:rPr>
          <w:color w:val="C00000"/>
        </w:rPr>
      </w:pPr>
    </w:p>
    <w:p w14:paraId="321FC92F" w14:textId="108B6DB0" w:rsidR="006B728F" w:rsidRDefault="006B728F" w:rsidP="00761DA9">
      <w:pPr>
        <w:pStyle w:val="ffigura"/>
        <w:rPr>
          <w:color w:val="C00000"/>
        </w:rPr>
      </w:pPr>
    </w:p>
    <w:p w14:paraId="4FFBC55D" w14:textId="626CBD31" w:rsidR="00D10FD4" w:rsidRDefault="00D10FD4" w:rsidP="00761DA9">
      <w:pPr>
        <w:pStyle w:val="ffigura"/>
        <w:rPr>
          <w:color w:val="C00000"/>
        </w:rPr>
      </w:pPr>
    </w:p>
    <w:p w14:paraId="00A2DD1E" w14:textId="030972FC" w:rsidR="00D10FD4" w:rsidRDefault="00D10FD4" w:rsidP="00761DA9">
      <w:pPr>
        <w:pStyle w:val="ffigura"/>
        <w:rPr>
          <w:color w:val="C00000"/>
        </w:rPr>
      </w:pPr>
    </w:p>
    <w:p w14:paraId="1C8CF209" w14:textId="662E02FE" w:rsidR="00D10FD4" w:rsidRDefault="00D10FD4" w:rsidP="00761DA9">
      <w:pPr>
        <w:pStyle w:val="ffigura"/>
        <w:rPr>
          <w:color w:val="C00000"/>
        </w:rPr>
      </w:pPr>
    </w:p>
    <w:p w14:paraId="0E35B2EA" w14:textId="77777777" w:rsidR="00D10FD4" w:rsidRDefault="00D10FD4" w:rsidP="00761DA9">
      <w:pPr>
        <w:pStyle w:val="ffigura"/>
        <w:rPr>
          <w:color w:val="C00000"/>
        </w:rPr>
      </w:pPr>
    </w:p>
    <w:p w14:paraId="0875E173" w14:textId="77777777" w:rsidR="006B728F" w:rsidRDefault="006B728F" w:rsidP="00761DA9">
      <w:pPr>
        <w:pStyle w:val="ffigura"/>
        <w:rPr>
          <w:color w:val="C00000"/>
        </w:rPr>
      </w:pPr>
    </w:p>
    <w:p w14:paraId="2D56B64C" w14:textId="77777777" w:rsidR="006B728F" w:rsidRDefault="006B728F" w:rsidP="00761DA9">
      <w:pPr>
        <w:pStyle w:val="ffigura"/>
        <w:rPr>
          <w:color w:val="C00000"/>
        </w:rPr>
      </w:pPr>
    </w:p>
    <w:p w14:paraId="5F5F9528" w14:textId="77777777" w:rsidR="00D55784" w:rsidRDefault="00D55784" w:rsidP="00187AFC">
      <w:pPr>
        <w:pStyle w:val="ffigura"/>
        <w:jc w:val="both"/>
      </w:pPr>
    </w:p>
    <w:p w14:paraId="2ED60902" w14:textId="77777777" w:rsidR="006B728F" w:rsidRDefault="006B728F" w:rsidP="00761DA9">
      <w:pPr>
        <w:pStyle w:val="ffigura"/>
      </w:pPr>
    </w:p>
    <w:p w14:paraId="3B9F1EFB" w14:textId="5817E8FE" w:rsidR="006B728F" w:rsidRDefault="006B728F" w:rsidP="00D10FD4">
      <w:pPr>
        <w:pStyle w:val="ffigura"/>
        <w:rPr>
          <w:b w:val="0"/>
          <w:bCs w:val="0"/>
        </w:rPr>
      </w:pPr>
      <w:r w:rsidRPr="0056360E">
        <w:t xml:space="preserve">Fuente: </w:t>
      </w:r>
      <w:r w:rsidRPr="00913283">
        <w:rPr>
          <w:b w:val="0"/>
          <w:bCs w:val="0"/>
        </w:rPr>
        <w:t>Secretaría Distrital de Planeación (2024)</w:t>
      </w:r>
    </w:p>
    <w:p w14:paraId="28524299" w14:textId="77777777" w:rsidR="00D10FD4" w:rsidRPr="00D10FD4" w:rsidRDefault="00D10FD4" w:rsidP="00D10FD4">
      <w:pPr>
        <w:pStyle w:val="ffigura"/>
        <w:rPr>
          <w:b w:val="0"/>
          <w:bCs w:val="0"/>
        </w:rPr>
      </w:pPr>
    </w:p>
    <w:p w14:paraId="6274596D" w14:textId="58FC5C13" w:rsidR="006B728F" w:rsidRPr="006B6F6F" w:rsidRDefault="006B728F" w:rsidP="00A21CF9">
      <w:pPr>
        <w:pStyle w:val="subnumeros"/>
        <w:numPr>
          <w:ilvl w:val="0"/>
          <w:numId w:val="0"/>
        </w:numPr>
        <w:ind w:left="1145" w:hanging="720"/>
        <w:outlineLvl w:val="9"/>
        <w:rPr>
          <w:color w:val="C00000"/>
        </w:rPr>
      </w:pPr>
      <w:bookmarkStart w:id="477" w:name="_Toc164183466"/>
      <w:r w:rsidRPr="00A21CF9">
        <w:rPr>
          <w:color w:val="C00000"/>
        </w:rPr>
        <w:t xml:space="preserve">Criterio 2: </w:t>
      </w:r>
      <w:r w:rsidRPr="00A21CF9">
        <w:t>Impacto</w:t>
      </w:r>
      <w:bookmarkEnd w:id="477"/>
    </w:p>
    <w:p w14:paraId="24978710" w14:textId="77777777" w:rsidR="006B728F" w:rsidRDefault="006B728F" w:rsidP="007C7627">
      <w:pPr>
        <w:sectPr w:rsidR="006B728F" w:rsidSect="00F7078E">
          <w:type w:val="continuous"/>
          <w:pgSz w:w="12240" w:h="15840"/>
          <w:pgMar w:top="2262" w:right="1440" w:bottom="1440" w:left="1440" w:header="709" w:footer="275" w:gutter="0"/>
          <w:cols w:space="708"/>
          <w:docGrid w:linePitch="360"/>
        </w:sectPr>
      </w:pPr>
    </w:p>
    <w:p w14:paraId="642529D5" w14:textId="77777777" w:rsidR="006B728F" w:rsidRDefault="006B728F" w:rsidP="001D0EF4">
      <w:bookmarkStart w:id="478" w:name="_Toc163718692"/>
      <w:r>
        <w:t xml:space="preserve">Este criterio privilegia el impacto que el proyecto del Plan Distrital de Desarrollo puede llegar a tener en la reducción del déficit de soportes e infraestructuras en el suelo urbano y rural y con ello de las inequidades territoriales para proporcionar un acceso más justo de las personas a los bienes y servicios públicos. </w:t>
      </w:r>
    </w:p>
    <w:p w14:paraId="00C2B2FD" w14:textId="77777777" w:rsidR="006B728F" w:rsidRDefault="006B728F" w:rsidP="001D0EF4"/>
    <w:p w14:paraId="485948E2" w14:textId="77777777" w:rsidR="006B728F" w:rsidRDefault="006B728F" w:rsidP="001D0EF4">
      <w:r>
        <w:t>Dentro de los elementos distritales del MOT se consideró la identificación de las áreas mejor servidas de la ciudad y de aquellas deficitarias en soportes urbanos. Ello con el fin de operar y generar equilibrios entre unas y otras. Por esta razón se priorizan los proyectos que se localicen en Unidades de Planeamiento Local deficitarias de soportes urbanos.</w:t>
      </w:r>
    </w:p>
    <w:p w14:paraId="244DF00E" w14:textId="77777777" w:rsidR="006B728F" w:rsidRDefault="006B728F" w:rsidP="001D0EF4"/>
    <w:p w14:paraId="5CFF01E1" w14:textId="77777777" w:rsidR="006B728F" w:rsidRDefault="006B728F" w:rsidP="001D0EF4">
      <w:r>
        <w:t xml:space="preserve">Asimismo, se considera relevante la posibilidad de que el proyecto se encuentre en el ámbito de </w:t>
      </w:r>
      <w:r>
        <w:t xml:space="preserve">algún instrumento de planificación como las Actuaciones Estratégicas o los Planes Especiales de Manejo y Protección, lo que posibilita su ejecución en el marco de un reparto de cargas. </w:t>
      </w:r>
    </w:p>
    <w:p w14:paraId="3DF808CD" w14:textId="77777777" w:rsidR="006B728F" w:rsidRDefault="006B728F" w:rsidP="001D0EF4"/>
    <w:p w14:paraId="6F76882C" w14:textId="3FEA4811" w:rsidR="006B728F" w:rsidRDefault="006B728F" w:rsidP="001D0EF4">
      <w:r>
        <w:t xml:space="preserve">En este sentido, los elementos a evaluar en este criterio se resumen </w:t>
      </w:r>
      <w:r w:rsidRPr="00A21CF9">
        <w:t>así (</w:t>
      </w:r>
      <w:r w:rsidR="00A21CF9" w:rsidRPr="00A21CF9">
        <w:fldChar w:fldCharType="begin"/>
      </w:r>
      <w:r w:rsidR="00A21CF9" w:rsidRPr="00A21CF9">
        <w:instrText xml:space="preserve"> REF _Ref165158023 \h </w:instrText>
      </w:r>
      <w:r w:rsidR="00A21CF9" w:rsidRPr="00A21CF9">
        <w:fldChar w:fldCharType="separate"/>
      </w:r>
      <w:r w:rsidR="00D01651" w:rsidRPr="00A21CF9">
        <w:rPr>
          <w:color w:val="C00000"/>
          <w:sz w:val="18"/>
          <w:szCs w:val="14"/>
        </w:rPr>
        <w:t xml:space="preserve">Figura </w:t>
      </w:r>
      <w:r w:rsidR="00D01651">
        <w:rPr>
          <w:noProof/>
          <w:color w:val="C00000"/>
          <w:sz w:val="18"/>
          <w:szCs w:val="14"/>
        </w:rPr>
        <w:t>21</w:t>
      </w:r>
      <w:r w:rsidR="00A21CF9" w:rsidRPr="00A21CF9">
        <w:fldChar w:fldCharType="end"/>
      </w:r>
      <w:r w:rsidR="00A21CF9" w:rsidRPr="00A21CF9">
        <w:t xml:space="preserve"> y </w:t>
      </w:r>
      <w:r w:rsidR="00A21CF9" w:rsidRPr="00A21CF9">
        <w:fldChar w:fldCharType="begin"/>
      </w:r>
      <w:r w:rsidR="00A21CF9" w:rsidRPr="00A21CF9">
        <w:instrText xml:space="preserve"> REF _Ref165110577 \h </w:instrText>
      </w:r>
      <w:r w:rsidR="00A21CF9" w:rsidRPr="00A21CF9">
        <w:fldChar w:fldCharType="separate"/>
      </w:r>
      <w:r w:rsidR="00D01651" w:rsidRPr="001A31B3">
        <w:rPr>
          <w:color w:val="C00000"/>
          <w:sz w:val="18"/>
          <w:szCs w:val="14"/>
        </w:rPr>
        <w:t xml:space="preserve">Mapa </w:t>
      </w:r>
      <w:r w:rsidR="00D01651">
        <w:rPr>
          <w:noProof/>
          <w:color w:val="C00000"/>
          <w:sz w:val="18"/>
          <w:szCs w:val="14"/>
        </w:rPr>
        <w:t>1</w:t>
      </w:r>
      <w:r w:rsidR="00A21CF9" w:rsidRPr="00A21CF9">
        <w:fldChar w:fldCharType="end"/>
      </w:r>
      <w:r w:rsidRPr="00A21CF9">
        <w:t>):</w:t>
      </w:r>
    </w:p>
    <w:p w14:paraId="3152E8CF" w14:textId="77777777" w:rsidR="006B728F" w:rsidRDefault="006B728F" w:rsidP="001D0EF4"/>
    <w:p w14:paraId="54BA2B88" w14:textId="77777777" w:rsidR="006B728F" w:rsidRDefault="006B728F" w:rsidP="00CB6AEC">
      <w:pPr>
        <w:pStyle w:val="Prrafodelista"/>
        <w:numPr>
          <w:ilvl w:val="0"/>
          <w:numId w:val="61"/>
        </w:numPr>
      </w:pPr>
      <w:r>
        <w:t>Proyectos ubicados en zonas deficitarias de las UPL y en el suelo rural.</w:t>
      </w:r>
    </w:p>
    <w:p w14:paraId="0524F48D" w14:textId="77777777" w:rsidR="006B728F" w:rsidRDefault="006B728F" w:rsidP="001D0EF4">
      <w:pPr>
        <w:pStyle w:val="Prrafodelista"/>
      </w:pPr>
    </w:p>
    <w:p w14:paraId="75C6672A" w14:textId="77777777" w:rsidR="006B728F" w:rsidRDefault="006B728F" w:rsidP="00CB6AEC">
      <w:pPr>
        <w:pStyle w:val="Prrafodelista"/>
        <w:numPr>
          <w:ilvl w:val="0"/>
          <w:numId w:val="61"/>
        </w:numPr>
      </w:pPr>
      <w:r>
        <w:t>Proyectos localizados en el ámbito de instrumentos de planificación adoptados o en proceso de estudio para su aprobación (formulados) por parte de la entidad competente en Actuaciones Estratégicas (ZIBO, AECEC y Distrito Aeropuertuario) y Planes Especiales de Manejo y Protección.</w:t>
      </w:r>
    </w:p>
    <w:p w14:paraId="57709AF6" w14:textId="77777777" w:rsidR="006B728F" w:rsidRDefault="006B728F" w:rsidP="00761DA9">
      <w:pPr>
        <w:pStyle w:val="ffigura"/>
        <w:jc w:val="both"/>
        <w:sectPr w:rsidR="006B728F" w:rsidSect="00F7078E">
          <w:type w:val="continuous"/>
          <w:pgSz w:w="12240" w:h="15840"/>
          <w:pgMar w:top="2262" w:right="1440" w:bottom="1440" w:left="1440" w:header="709" w:footer="709" w:gutter="0"/>
          <w:cols w:num="2" w:space="567"/>
          <w:docGrid w:linePitch="360"/>
        </w:sectPr>
      </w:pPr>
    </w:p>
    <w:p w14:paraId="15F5AE01" w14:textId="77777777" w:rsidR="006B728F" w:rsidRDefault="006B728F" w:rsidP="00761DA9">
      <w:pPr>
        <w:pStyle w:val="ffigura"/>
      </w:pPr>
    </w:p>
    <w:p w14:paraId="0D211FA7" w14:textId="77777777" w:rsidR="006B728F" w:rsidRDefault="006B728F" w:rsidP="00761DA9">
      <w:pPr>
        <w:pStyle w:val="ffigura"/>
      </w:pPr>
    </w:p>
    <w:p w14:paraId="1E2B5CA8" w14:textId="77777777" w:rsidR="00A21CF9" w:rsidRDefault="00A21CF9">
      <w:pPr>
        <w:spacing w:line="240" w:lineRule="auto"/>
        <w:jc w:val="left"/>
        <w:rPr>
          <w:rFonts w:eastAsiaTheme="minorHAnsi"/>
          <w:b/>
          <w:bCs/>
          <w:sz w:val="18"/>
          <w:szCs w:val="16"/>
          <w:lang w:eastAsia="pt-BR"/>
        </w:rPr>
      </w:pPr>
      <w:r>
        <w:br w:type="page"/>
      </w:r>
    </w:p>
    <w:p w14:paraId="464D9D95" w14:textId="51F7D678" w:rsidR="006B728F" w:rsidRDefault="00A21CF9" w:rsidP="00A21CF9">
      <w:pPr>
        <w:pStyle w:val="Descripcin"/>
        <w:jc w:val="center"/>
      </w:pPr>
      <w:bookmarkStart w:id="479" w:name="_Ref165158023"/>
      <w:bookmarkStart w:id="480" w:name="_Toc165169997"/>
      <w:r w:rsidRPr="0056360E">
        <w:rPr>
          <w:noProof/>
          <w:lang w:val="es-ES"/>
        </w:rPr>
        <w:lastRenderedPageBreak/>
        <w:drawing>
          <wp:anchor distT="0" distB="0" distL="114300" distR="114300" simplePos="0" relativeHeight="251825152" behindDoc="0" locked="0" layoutInCell="1" allowOverlap="1" wp14:anchorId="0518F70F" wp14:editId="52CD8C2C">
            <wp:simplePos x="0" y="0"/>
            <wp:positionH relativeFrom="margin">
              <wp:posOffset>-464693</wp:posOffset>
            </wp:positionH>
            <wp:positionV relativeFrom="paragraph">
              <wp:posOffset>187667</wp:posOffset>
            </wp:positionV>
            <wp:extent cx="6550660" cy="2222339"/>
            <wp:effectExtent l="0" t="0" r="0" b="0"/>
            <wp:wrapNone/>
            <wp:docPr id="11258741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874189" name="Imagen 1"/>
                    <pic:cNvPicPr/>
                  </pic:nvPicPr>
                  <pic:blipFill rotWithShape="1">
                    <a:blip r:embed="rId179" cstate="print">
                      <a:extLst>
                        <a:ext uri="{28A0092B-C50C-407E-A947-70E740481C1C}">
                          <a14:useLocalDpi xmlns:a14="http://schemas.microsoft.com/office/drawing/2010/main" val="0"/>
                        </a:ext>
                      </a:extLst>
                    </a:blip>
                    <a:srcRect t="7974" b="8974"/>
                    <a:stretch/>
                  </pic:blipFill>
                  <pic:spPr bwMode="auto">
                    <a:xfrm>
                      <a:off x="0" y="0"/>
                      <a:ext cx="6550660" cy="22223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1CF9">
        <w:rPr>
          <w:color w:val="C00000"/>
          <w:sz w:val="18"/>
          <w:szCs w:val="14"/>
        </w:rPr>
        <w:t xml:space="preserve">Figura </w:t>
      </w:r>
      <w:r w:rsidRPr="00A21CF9">
        <w:rPr>
          <w:color w:val="C00000"/>
          <w:sz w:val="18"/>
          <w:szCs w:val="14"/>
        </w:rPr>
        <w:fldChar w:fldCharType="begin"/>
      </w:r>
      <w:r w:rsidRPr="00A21CF9">
        <w:rPr>
          <w:color w:val="C00000"/>
          <w:sz w:val="18"/>
          <w:szCs w:val="14"/>
        </w:rPr>
        <w:instrText xml:space="preserve"> SEQ Figura \* ARABIC </w:instrText>
      </w:r>
      <w:r w:rsidRPr="00A21CF9">
        <w:rPr>
          <w:color w:val="C00000"/>
          <w:sz w:val="18"/>
          <w:szCs w:val="14"/>
        </w:rPr>
        <w:fldChar w:fldCharType="separate"/>
      </w:r>
      <w:r w:rsidR="00D01651">
        <w:rPr>
          <w:noProof/>
          <w:color w:val="C00000"/>
          <w:sz w:val="18"/>
          <w:szCs w:val="14"/>
        </w:rPr>
        <w:t>21</w:t>
      </w:r>
      <w:r w:rsidRPr="00A21CF9">
        <w:rPr>
          <w:color w:val="C00000"/>
          <w:sz w:val="18"/>
          <w:szCs w:val="14"/>
        </w:rPr>
        <w:fldChar w:fldCharType="end"/>
      </w:r>
      <w:bookmarkEnd w:id="479"/>
      <w:r w:rsidRPr="00A21CF9">
        <w:rPr>
          <w:color w:val="C00000"/>
          <w:sz w:val="18"/>
          <w:szCs w:val="14"/>
        </w:rPr>
        <w:t xml:space="preserve">. </w:t>
      </w:r>
      <w:r w:rsidR="006B728F" w:rsidRPr="00A21CF9">
        <w:rPr>
          <w:sz w:val="18"/>
          <w:szCs w:val="14"/>
        </w:rPr>
        <w:t>Criterio de impacto</w:t>
      </w:r>
      <w:bookmarkEnd w:id="480"/>
    </w:p>
    <w:p w14:paraId="2AA34129" w14:textId="77777777" w:rsidR="006B728F" w:rsidRDefault="006B728F" w:rsidP="00761DA9">
      <w:pPr>
        <w:pStyle w:val="ffigura"/>
        <w:jc w:val="both"/>
      </w:pPr>
    </w:p>
    <w:p w14:paraId="5407882D" w14:textId="77777777" w:rsidR="006B728F" w:rsidRDefault="006B728F" w:rsidP="00761DA9">
      <w:pPr>
        <w:pStyle w:val="ffigura"/>
        <w:jc w:val="both"/>
      </w:pPr>
    </w:p>
    <w:p w14:paraId="40000EB9" w14:textId="77777777" w:rsidR="006B728F" w:rsidRDefault="006B728F" w:rsidP="00761DA9">
      <w:pPr>
        <w:pStyle w:val="ffigura"/>
        <w:jc w:val="both"/>
      </w:pPr>
    </w:p>
    <w:p w14:paraId="5D41AA05" w14:textId="77777777" w:rsidR="006B728F" w:rsidRDefault="006B728F" w:rsidP="00761DA9">
      <w:pPr>
        <w:pStyle w:val="ffigura"/>
        <w:jc w:val="both"/>
      </w:pPr>
    </w:p>
    <w:p w14:paraId="3B24615A" w14:textId="77777777" w:rsidR="006B728F" w:rsidRDefault="006B728F" w:rsidP="00761DA9">
      <w:pPr>
        <w:pStyle w:val="ffigura"/>
        <w:jc w:val="both"/>
      </w:pPr>
    </w:p>
    <w:p w14:paraId="7DB783DF" w14:textId="77777777" w:rsidR="006B728F" w:rsidRDefault="006B728F" w:rsidP="00761DA9">
      <w:pPr>
        <w:pStyle w:val="ffigura"/>
        <w:jc w:val="both"/>
      </w:pPr>
    </w:p>
    <w:p w14:paraId="044AFB79" w14:textId="77777777" w:rsidR="006B728F" w:rsidRDefault="006B728F" w:rsidP="00761DA9">
      <w:pPr>
        <w:pStyle w:val="ffigura"/>
        <w:jc w:val="both"/>
      </w:pPr>
    </w:p>
    <w:p w14:paraId="4B9E155E" w14:textId="77777777" w:rsidR="006B728F" w:rsidRDefault="006B728F" w:rsidP="00761DA9">
      <w:pPr>
        <w:pStyle w:val="ffigura"/>
        <w:jc w:val="both"/>
      </w:pPr>
    </w:p>
    <w:p w14:paraId="0AA68AC6" w14:textId="77777777" w:rsidR="006B728F" w:rsidRDefault="006B728F" w:rsidP="00761DA9">
      <w:pPr>
        <w:pStyle w:val="ffigura"/>
        <w:jc w:val="both"/>
      </w:pPr>
    </w:p>
    <w:p w14:paraId="32267651" w14:textId="77777777" w:rsidR="006B728F" w:rsidRDefault="006B728F" w:rsidP="00761DA9">
      <w:pPr>
        <w:pStyle w:val="ffigura"/>
        <w:jc w:val="both"/>
      </w:pPr>
    </w:p>
    <w:p w14:paraId="0895D799" w14:textId="77777777" w:rsidR="006B728F" w:rsidRDefault="006B728F" w:rsidP="00761DA9">
      <w:pPr>
        <w:pStyle w:val="ffigura"/>
        <w:jc w:val="both"/>
      </w:pPr>
    </w:p>
    <w:p w14:paraId="777CB7B5" w14:textId="77777777" w:rsidR="006B728F" w:rsidRDefault="006B728F" w:rsidP="00761DA9">
      <w:pPr>
        <w:pStyle w:val="ffigura"/>
        <w:jc w:val="both"/>
      </w:pPr>
    </w:p>
    <w:p w14:paraId="06A0A4A0" w14:textId="77777777" w:rsidR="006B728F" w:rsidRDefault="006B728F" w:rsidP="00761DA9">
      <w:pPr>
        <w:pStyle w:val="ffigura"/>
        <w:jc w:val="both"/>
      </w:pPr>
    </w:p>
    <w:p w14:paraId="5BD849FE" w14:textId="77777777" w:rsidR="006B728F" w:rsidRDefault="006B728F" w:rsidP="00761DA9">
      <w:pPr>
        <w:pStyle w:val="ffigura"/>
        <w:jc w:val="both"/>
      </w:pPr>
    </w:p>
    <w:p w14:paraId="139B7423" w14:textId="4626AAF5" w:rsidR="006B728F" w:rsidRDefault="006B728F" w:rsidP="00761DA9">
      <w:pPr>
        <w:pStyle w:val="ffigura"/>
        <w:jc w:val="both"/>
      </w:pPr>
    </w:p>
    <w:p w14:paraId="4DC3148B" w14:textId="77777777" w:rsidR="006B728F" w:rsidRDefault="006B728F" w:rsidP="00761DA9">
      <w:pPr>
        <w:pStyle w:val="ffigura"/>
        <w:jc w:val="both"/>
        <w:sectPr w:rsidR="006B728F" w:rsidSect="00F7078E">
          <w:type w:val="continuous"/>
          <w:pgSz w:w="12240" w:h="15840"/>
          <w:pgMar w:top="2262" w:right="1440" w:bottom="1440" w:left="1440" w:header="709" w:footer="709" w:gutter="0"/>
          <w:cols w:space="567"/>
          <w:docGrid w:linePitch="360"/>
        </w:sectPr>
      </w:pPr>
    </w:p>
    <w:bookmarkEnd w:id="478"/>
    <w:p w14:paraId="4FF7EA51" w14:textId="024EB96B" w:rsidR="006B728F" w:rsidRDefault="006B728F" w:rsidP="0071319B">
      <w:pPr>
        <w:pStyle w:val="ffigura"/>
        <w:rPr>
          <w:b w:val="0"/>
          <w:bCs w:val="0"/>
        </w:rPr>
      </w:pPr>
      <w:r w:rsidRPr="0056360E">
        <w:t xml:space="preserve">Fuente: </w:t>
      </w:r>
      <w:r w:rsidRPr="00E1181E">
        <w:rPr>
          <w:b w:val="0"/>
          <w:bCs w:val="0"/>
        </w:rPr>
        <w:t>Secretaría Distrital de Planeación (2024)</w:t>
      </w:r>
    </w:p>
    <w:p w14:paraId="74E50CC0" w14:textId="0FD0D193" w:rsidR="006B728F" w:rsidRDefault="006B728F" w:rsidP="001D0EF4">
      <w:pPr>
        <w:pStyle w:val="ffigura"/>
        <w:spacing w:line="480" w:lineRule="auto"/>
      </w:pPr>
    </w:p>
    <w:p w14:paraId="7F54A1BB" w14:textId="602AA8A5" w:rsidR="006B728F" w:rsidRPr="00A21CF9" w:rsidRDefault="00A21CF9" w:rsidP="00A21CF9">
      <w:pPr>
        <w:pStyle w:val="Descripcin"/>
        <w:jc w:val="center"/>
        <w:rPr>
          <w:color w:val="C00000"/>
          <w:sz w:val="18"/>
          <w:szCs w:val="14"/>
        </w:rPr>
      </w:pPr>
      <w:bookmarkStart w:id="481" w:name="_Toc165170039"/>
      <w:r w:rsidRPr="00A21CF9">
        <w:rPr>
          <w:color w:val="C00000"/>
          <w:sz w:val="18"/>
          <w:szCs w:val="14"/>
        </w:rPr>
        <w:t xml:space="preserve">Mapa </w:t>
      </w:r>
      <w:r w:rsidRPr="00A21CF9">
        <w:rPr>
          <w:color w:val="C00000"/>
          <w:sz w:val="18"/>
          <w:szCs w:val="14"/>
        </w:rPr>
        <w:fldChar w:fldCharType="begin"/>
      </w:r>
      <w:r w:rsidRPr="00A21CF9">
        <w:rPr>
          <w:color w:val="C00000"/>
          <w:sz w:val="18"/>
          <w:szCs w:val="14"/>
        </w:rPr>
        <w:instrText xml:space="preserve"> SEQ Mapa \* ARABIC </w:instrText>
      </w:r>
      <w:r w:rsidRPr="00A21CF9">
        <w:rPr>
          <w:color w:val="C00000"/>
          <w:sz w:val="18"/>
          <w:szCs w:val="14"/>
        </w:rPr>
        <w:fldChar w:fldCharType="separate"/>
      </w:r>
      <w:r w:rsidR="00D01651">
        <w:rPr>
          <w:noProof/>
          <w:color w:val="C00000"/>
          <w:sz w:val="18"/>
          <w:szCs w:val="14"/>
        </w:rPr>
        <w:t>15</w:t>
      </w:r>
      <w:r w:rsidRPr="00A21CF9">
        <w:rPr>
          <w:color w:val="C00000"/>
          <w:sz w:val="18"/>
          <w:szCs w:val="14"/>
        </w:rPr>
        <w:fldChar w:fldCharType="end"/>
      </w:r>
      <w:r w:rsidRPr="00A21CF9">
        <w:rPr>
          <w:color w:val="C00000"/>
          <w:sz w:val="18"/>
          <w:szCs w:val="14"/>
        </w:rPr>
        <w:t xml:space="preserve">. </w:t>
      </w:r>
      <w:r w:rsidR="006B728F" w:rsidRPr="00A21CF9">
        <w:rPr>
          <w:sz w:val="18"/>
          <w:szCs w:val="14"/>
        </w:rPr>
        <w:t>Concentración de déficit en Bogotá</w:t>
      </w:r>
      <w:bookmarkEnd w:id="481"/>
    </w:p>
    <w:p w14:paraId="30E54FA8" w14:textId="0BAA83E1" w:rsidR="00A21CF9" w:rsidRDefault="00A21CF9" w:rsidP="0071319B">
      <w:pPr>
        <w:pStyle w:val="ffigura"/>
        <w:spacing w:line="480" w:lineRule="auto"/>
        <w:rPr>
          <w:b w:val="0"/>
          <w:bCs w:val="0"/>
          <w:color w:val="C00000"/>
        </w:rPr>
      </w:pPr>
      <w:r w:rsidRPr="00E1181E">
        <w:rPr>
          <w:noProof/>
        </w:rPr>
        <w:drawing>
          <wp:anchor distT="0" distB="0" distL="114300" distR="114300" simplePos="0" relativeHeight="251826176" behindDoc="0" locked="0" layoutInCell="1" allowOverlap="1" wp14:anchorId="7D5F121C" wp14:editId="0BEB3812">
            <wp:simplePos x="0" y="0"/>
            <wp:positionH relativeFrom="margin">
              <wp:posOffset>-200660</wp:posOffset>
            </wp:positionH>
            <wp:positionV relativeFrom="paragraph">
              <wp:posOffset>53975</wp:posOffset>
            </wp:positionV>
            <wp:extent cx="5760000" cy="3269060"/>
            <wp:effectExtent l="0" t="0" r="0" b="7620"/>
            <wp:wrapNone/>
            <wp:docPr id="1681712451" name="Imagen 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712451" name="Imagen 2" descr="Mapa&#10;&#10;Descripción generada automáticamente"/>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760000" cy="3269060"/>
                    </a:xfrm>
                    <a:prstGeom prst="rect">
                      <a:avLst/>
                    </a:prstGeom>
                    <a:noFill/>
                    <a:ln>
                      <a:noFill/>
                    </a:ln>
                    <a:effectLst>
                      <a:innerShdw>
                        <a:prstClr val="black"/>
                      </a:innerShdw>
                      <a:softEdge rad="0"/>
                    </a:effectLst>
                  </pic:spPr>
                </pic:pic>
              </a:graphicData>
            </a:graphic>
            <wp14:sizeRelH relativeFrom="margin">
              <wp14:pctWidth>0</wp14:pctWidth>
            </wp14:sizeRelH>
            <wp14:sizeRelV relativeFrom="margin">
              <wp14:pctHeight>0</wp14:pctHeight>
            </wp14:sizeRelV>
          </wp:anchor>
        </w:drawing>
      </w:r>
    </w:p>
    <w:p w14:paraId="3E1DC7BA" w14:textId="1C7F63D2" w:rsidR="00A21CF9" w:rsidRDefault="00A21CF9" w:rsidP="0071319B">
      <w:pPr>
        <w:pStyle w:val="ffigura"/>
        <w:spacing w:line="480" w:lineRule="auto"/>
        <w:rPr>
          <w:b w:val="0"/>
          <w:bCs w:val="0"/>
          <w:color w:val="C00000"/>
        </w:rPr>
      </w:pPr>
    </w:p>
    <w:p w14:paraId="3D093492" w14:textId="77777777" w:rsidR="00A21CF9" w:rsidRDefault="00A21CF9" w:rsidP="0071319B">
      <w:pPr>
        <w:pStyle w:val="ffigura"/>
        <w:spacing w:line="480" w:lineRule="auto"/>
        <w:rPr>
          <w:b w:val="0"/>
          <w:bCs w:val="0"/>
          <w:color w:val="C00000"/>
        </w:rPr>
      </w:pPr>
    </w:p>
    <w:p w14:paraId="41BA6616" w14:textId="37060FC1" w:rsidR="00A21CF9" w:rsidRDefault="00A21CF9" w:rsidP="0071319B">
      <w:pPr>
        <w:pStyle w:val="ffigura"/>
        <w:spacing w:line="480" w:lineRule="auto"/>
        <w:rPr>
          <w:b w:val="0"/>
          <w:bCs w:val="0"/>
          <w:color w:val="C00000"/>
        </w:rPr>
      </w:pPr>
    </w:p>
    <w:p w14:paraId="60139CB0" w14:textId="1D92205B" w:rsidR="00A21CF9" w:rsidRDefault="00A21CF9" w:rsidP="0071319B">
      <w:pPr>
        <w:pStyle w:val="ffigura"/>
        <w:spacing w:line="480" w:lineRule="auto"/>
        <w:rPr>
          <w:b w:val="0"/>
          <w:bCs w:val="0"/>
          <w:color w:val="C00000"/>
        </w:rPr>
      </w:pPr>
    </w:p>
    <w:p w14:paraId="18C81116" w14:textId="73EA94D9" w:rsidR="00A21CF9" w:rsidRPr="0056360E" w:rsidRDefault="00A21CF9" w:rsidP="0071319B">
      <w:pPr>
        <w:pStyle w:val="ffigura"/>
        <w:spacing w:line="480" w:lineRule="auto"/>
        <w:rPr>
          <w:rFonts w:ascii="Times New Roman" w:hAnsi="Times New Roman"/>
          <w:color w:val="auto"/>
          <w:sz w:val="24"/>
          <w:szCs w:val="24"/>
        </w:rPr>
      </w:pPr>
    </w:p>
    <w:p w14:paraId="6CCD7C2A" w14:textId="136C8114" w:rsidR="006B728F" w:rsidRDefault="006B728F" w:rsidP="006D24B0">
      <w:pPr>
        <w:pStyle w:val="ffigura"/>
        <w:spacing w:line="480" w:lineRule="auto"/>
        <w:rPr>
          <w:rFonts w:ascii="Times New Roman" w:hAnsi="Times New Roman"/>
          <w:color w:val="auto"/>
          <w:sz w:val="24"/>
          <w:szCs w:val="24"/>
        </w:rPr>
      </w:pPr>
    </w:p>
    <w:p w14:paraId="133B0EC3" w14:textId="7E861D8F" w:rsidR="00A21CF9" w:rsidRDefault="00A21CF9" w:rsidP="006D24B0">
      <w:pPr>
        <w:pStyle w:val="ffigura"/>
        <w:spacing w:line="480" w:lineRule="auto"/>
        <w:rPr>
          <w:rFonts w:ascii="Times New Roman" w:hAnsi="Times New Roman"/>
          <w:color w:val="auto"/>
          <w:sz w:val="24"/>
          <w:szCs w:val="24"/>
        </w:rPr>
      </w:pPr>
    </w:p>
    <w:p w14:paraId="0BBD0A7D" w14:textId="7BBE0D0A" w:rsidR="00A21CF9" w:rsidRDefault="00A21CF9" w:rsidP="006D24B0">
      <w:pPr>
        <w:pStyle w:val="ffigura"/>
        <w:spacing w:line="480" w:lineRule="auto"/>
        <w:rPr>
          <w:rFonts w:ascii="Times New Roman" w:hAnsi="Times New Roman"/>
          <w:color w:val="auto"/>
          <w:sz w:val="24"/>
          <w:szCs w:val="24"/>
        </w:rPr>
      </w:pPr>
    </w:p>
    <w:p w14:paraId="5CD0F0BD" w14:textId="66AE758E" w:rsidR="00A21CF9" w:rsidRDefault="00A21CF9" w:rsidP="006D24B0">
      <w:pPr>
        <w:pStyle w:val="ffigura"/>
        <w:spacing w:line="480" w:lineRule="auto"/>
        <w:rPr>
          <w:rFonts w:ascii="Times New Roman" w:hAnsi="Times New Roman"/>
          <w:color w:val="auto"/>
          <w:sz w:val="24"/>
          <w:szCs w:val="24"/>
        </w:rPr>
      </w:pPr>
    </w:p>
    <w:p w14:paraId="4B6E3768" w14:textId="06A19920" w:rsidR="00A21CF9" w:rsidRPr="0056360E" w:rsidRDefault="00A21CF9" w:rsidP="006D24B0">
      <w:pPr>
        <w:pStyle w:val="ffigura"/>
        <w:spacing w:line="480" w:lineRule="auto"/>
        <w:rPr>
          <w:rFonts w:ascii="Times New Roman" w:hAnsi="Times New Roman"/>
          <w:color w:val="auto"/>
          <w:sz w:val="24"/>
          <w:szCs w:val="24"/>
        </w:rPr>
      </w:pPr>
    </w:p>
    <w:p w14:paraId="738FA256" w14:textId="77777777" w:rsidR="006B728F" w:rsidRPr="0056360E" w:rsidRDefault="006B728F" w:rsidP="00E1181E">
      <w:pPr>
        <w:pStyle w:val="ffigura"/>
      </w:pPr>
      <w:r w:rsidRPr="0056360E">
        <w:t xml:space="preserve">Fuente: </w:t>
      </w:r>
      <w:r w:rsidRPr="00E1181E">
        <w:rPr>
          <w:b w:val="0"/>
          <w:bCs w:val="0"/>
        </w:rPr>
        <w:t>Secretaría Distrital de Planeación (2024).</w:t>
      </w:r>
    </w:p>
    <w:p w14:paraId="6853B414" w14:textId="77777777" w:rsidR="006B728F" w:rsidRDefault="006B728F" w:rsidP="006D24B0">
      <w:pPr>
        <w:spacing w:line="480" w:lineRule="auto"/>
        <w:rPr>
          <w:rFonts w:ascii="Times New Roman" w:hAnsi="Times New Roman"/>
          <w:b/>
          <w:bCs/>
          <w:color w:val="auto"/>
          <w:sz w:val="24"/>
          <w:lang w:val="es-ES"/>
        </w:rPr>
      </w:pPr>
      <w:bookmarkStart w:id="482" w:name="_Toc164183467"/>
    </w:p>
    <w:p w14:paraId="6E304066" w14:textId="77777777" w:rsidR="006B728F" w:rsidRDefault="006B728F" w:rsidP="006D24B0">
      <w:pPr>
        <w:spacing w:line="480" w:lineRule="auto"/>
        <w:rPr>
          <w:rFonts w:ascii="Times New Roman" w:hAnsi="Times New Roman"/>
          <w:b/>
          <w:bCs/>
          <w:color w:val="auto"/>
          <w:sz w:val="24"/>
          <w:lang w:val="es-ES"/>
        </w:rPr>
      </w:pPr>
    </w:p>
    <w:bookmarkEnd w:id="482"/>
    <w:p w14:paraId="5699E8B6" w14:textId="77777777" w:rsidR="009C5901" w:rsidRDefault="009C5901">
      <w:pPr>
        <w:spacing w:line="240" w:lineRule="auto"/>
        <w:jc w:val="left"/>
        <w:rPr>
          <w:rFonts w:eastAsiaTheme="majorEastAsia"/>
          <w:b/>
          <w:color w:val="C00000"/>
          <w:sz w:val="28"/>
          <w:lang w:val="es-419" w:eastAsia="en-US"/>
        </w:rPr>
      </w:pPr>
      <w:r>
        <w:rPr>
          <w:color w:val="C00000"/>
        </w:rPr>
        <w:br w:type="page"/>
      </w:r>
    </w:p>
    <w:p w14:paraId="4A5B627F" w14:textId="489D5385" w:rsidR="006B728F" w:rsidRDefault="006B728F" w:rsidP="00A21CF9">
      <w:pPr>
        <w:pStyle w:val="subnumeros"/>
        <w:numPr>
          <w:ilvl w:val="0"/>
          <w:numId w:val="0"/>
        </w:numPr>
        <w:ind w:left="425"/>
        <w:outlineLvl w:val="9"/>
        <w:sectPr w:rsidR="006B728F" w:rsidSect="00F7078E">
          <w:type w:val="continuous"/>
          <w:pgSz w:w="12240" w:h="15840"/>
          <w:pgMar w:top="2262" w:right="1440" w:bottom="1440" w:left="1440" w:header="709" w:footer="709" w:gutter="0"/>
          <w:cols w:space="708"/>
          <w:docGrid w:linePitch="360"/>
        </w:sectPr>
      </w:pPr>
      <w:r w:rsidRPr="00A21CF9">
        <w:rPr>
          <w:color w:val="C00000"/>
        </w:rPr>
        <w:lastRenderedPageBreak/>
        <w:t xml:space="preserve">Criterio 3: </w:t>
      </w:r>
      <w:r w:rsidRPr="00574B4F">
        <w:t xml:space="preserve">Continuidad de proyectos en curso </w:t>
      </w:r>
    </w:p>
    <w:p w14:paraId="2EDE71F0" w14:textId="77777777" w:rsidR="006B728F" w:rsidRDefault="006B728F" w:rsidP="00EA5E7B">
      <w:r>
        <w:t xml:space="preserve">Este criterio privilegia la continuidad de los proyectos que actualmente están en curso en la ciudad. Se busca que aquellos proyectos que se encuentran en una fase avanzada de su ejecución puedan continuar con dicho proceso para llevar a buen término el cometido y con ello reconocer la gestión adelantada por las entidades en diferentes frentes de la ciudad. </w:t>
      </w:r>
    </w:p>
    <w:p w14:paraId="26C5C8D3" w14:textId="77777777" w:rsidR="006B728F" w:rsidRDefault="006B728F" w:rsidP="00EA5E7B"/>
    <w:p w14:paraId="0CB608D1" w14:textId="77777777" w:rsidR="006B728F" w:rsidRDefault="006B728F" w:rsidP="00EA5E7B">
      <w:r>
        <w:t xml:space="preserve">Se establece como criterio la etapa de ejecución en que se encuentre el proyecto y se privilegian las fases del proyecto más avanzadas que pueden llevar con mayor probabilidad a su culminación. Se considera que estas fases guardan relación con el suelo gestionado, la existencia de </w:t>
      </w:r>
      <w:r>
        <w:t xml:space="preserve">estudios y diseños, que haya una obra contratada o que la misma ya se encuentre en curso de ejecución, o de implementación tratándose de estrategias de intervención del POT. </w:t>
      </w:r>
    </w:p>
    <w:p w14:paraId="3E7CFC50" w14:textId="77777777" w:rsidR="006B728F" w:rsidRDefault="006B728F" w:rsidP="00EA5E7B"/>
    <w:p w14:paraId="5BE8605A" w14:textId="61986907" w:rsidR="006B728F" w:rsidRDefault="006B728F" w:rsidP="00E1181E">
      <w:pPr>
        <w:sectPr w:rsidR="006B728F" w:rsidSect="00F7078E">
          <w:type w:val="continuous"/>
          <w:pgSz w:w="12240" w:h="15840"/>
          <w:pgMar w:top="2262" w:right="1440" w:bottom="1440" w:left="1440" w:header="709" w:footer="709" w:gutter="0"/>
          <w:cols w:num="2" w:space="567"/>
          <w:docGrid w:linePitch="360"/>
        </w:sectPr>
      </w:pPr>
      <w:r>
        <w:t>Para garantizar que sean proyectos que se armonicen con el POT se estableció dentro de este criterio que esos proyectos se relacionen con temas estratégicos en infraestructura a gran escala en movilidad, equipamientos, espacio público, vivienda de interés prioritario, servicios públicos, revitalización del patrimonio del centro histórico y sectores de interés cultural, entre otros (</w:t>
      </w:r>
      <w:r w:rsidR="00A21CF9" w:rsidRPr="00A21CF9">
        <w:fldChar w:fldCharType="begin"/>
      </w:r>
      <w:r w:rsidR="00A21CF9" w:rsidRPr="00A21CF9">
        <w:instrText xml:space="preserve"> REF _Ref165158205 \h </w:instrText>
      </w:r>
      <w:r w:rsidR="00A21CF9" w:rsidRPr="00A21CF9">
        <w:fldChar w:fldCharType="separate"/>
      </w:r>
      <w:r w:rsidR="00D01651" w:rsidRPr="00A21CF9">
        <w:rPr>
          <w:color w:val="C00000"/>
          <w:sz w:val="18"/>
          <w:szCs w:val="18"/>
        </w:rPr>
        <w:t xml:space="preserve">Figura </w:t>
      </w:r>
      <w:r w:rsidR="00D01651">
        <w:rPr>
          <w:noProof/>
          <w:color w:val="C00000"/>
          <w:sz w:val="18"/>
        </w:rPr>
        <w:t>22</w:t>
      </w:r>
      <w:r w:rsidR="00A21CF9" w:rsidRPr="00A21CF9">
        <w:fldChar w:fldCharType="end"/>
      </w:r>
      <w:r w:rsidRPr="00A21CF9">
        <w:t xml:space="preserve">). </w:t>
      </w:r>
    </w:p>
    <w:p w14:paraId="03197FAD" w14:textId="77777777" w:rsidR="00A21CF9" w:rsidRDefault="00A21CF9" w:rsidP="00A21CF9">
      <w:pPr>
        <w:pStyle w:val="Descripcin"/>
        <w:jc w:val="center"/>
      </w:pPr>
    </w:p>
    <w:p w14:paraId="7CC54DFC" w14:textId="2B0EBD19" w:rsidR="006B728F" w:rsidRPr="00A21CF9" w:rsidRDefault="00A21CF9" w:rsidP="00A21CF9">
      <w:pPr>
        <w:pStyle w:val="Descripcin"/>
        <w:jc w:val="center"/>
        <w:rPr>
          <w:sz w:val="18"/>
          <w:lang w:val="es-ES"/>
        </w:rPr>
        <w:sectPr w:rsidR="006B728F" w:rsidRPr="00A21CF9" w:rsidSect="00F7078E">
          <w:type w:val="continuous"/>
          <w:pgSz w:w="12240" w:h="15840"/>
          <w:pgMar w:top="2262" w:right="1440" w:bottom="1440" w:left="1440" w:header="709" w:footer="709" w:gutter="0"/>
          <w:cols w:space="567"/>
          <w:docGrid w:linePitch="360"/>
        </w:sectPr>
      </w:pPr>
      <w:bookmarkStart w:id="483" w:name="_Ref165158205"/>
      <w:bookmarkStart w:id="484" w:name="_Toc165169998"/>
      <w:r w:rsidRPr="00A21CF9">
        <w:rPr>
          <w:b w:val="0"/>
          <w:bCs/>
          <w:noProof/>
          <w:color w:val="C00000"/>
          <w:sz w:val="18"/>
          <w:lang w:val="es-ES"/>
        </w:rPr>
        <w:drawing>
          <wp:anchor distT="0" distB="0" distL="114300" distR="114300" simplePos="0" relativeHeight="251828224" behindDoc="0" locked="0" layoutInCell="1" allowOverlap="1" wp14:anchorId="0C453A29" wp14:editId="1BD4EE7A">
            <wp:simplePos x="0" y="0"/>
            <wp:positionH relativeFrom="margin">
              <wp:posOffset>-111418</wp:posOffset>
            </wp:positionH>
            <wp:positionV relativeFrom="paragraph">
              <wp:posOffset>194017</wp:posOffset>
            </wp:positionV>
            <wp:extent cx="5990590" cy="2242820"/>
            <wp:effectExtent l="0" t="0" r="0" b="5080"/>
            <wp:wrapTopAndBottom/>
            <wp:docPr id="57444976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49768" name="Imagen 3"/>
                    <pic:cNvPicPr>
                      <a:picLocks noChangeAspect="1" noChangeArrowheads="1"/>
                    </pic:cNvPicPr>
                  </pic:nvPicPr>
                  <pic:blipFill rotWithShape="1">
                    <a:blip r:embed="rId181" cstate="print">
                      <a:extLst>
                        <a:ext uri="{28A0092B-C50C-407E-A947-70E740481C1C}">
                          <a14:useLocalDpi xmlns:a14="http://schemas.microsoft.com/office/drawing/2010/main" val="0"/>
                        </a:ext>
                      </a:extLst>
                    </a:blip>
                    <a:srcRect l="2669" t="7243" r="1925" b="5305"/>
                    <a:stretch/>
                  </pic:blipFill>
                  <pic:spPr bwMode="auto">
                    <a:xfrm>
                      <a:off x="0" y="0"/>
                      <a:ext cx="5990590" cy="2242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1CF9">
        <w:rPr>
          <w:color w:val="C00000"/>
          <w:sz w:val="18"/>
        </w:rPr>
        <w:t xml:space="preserve">Figura </w:t>
      </w:r>
      <w:r w:rsidRPr="00A21CF9">
        <w:rPr>
          <w:color w:val="C00000"/>
          <w:sz w:val="18"/>
        </w:rPr>
        <w:fldChar w:fldCharType="begin"/>
      </w:r>
      <w:r w:rsidRPr="00A21CF9">
        <w:rPr>
          <w:color w:val="C00000"/>
          <w:sz w:val="18"/>
        </w:rPr>
        <w:instrText xml:space="preserve"> SEQ Figura \* ARABIC </w:instrText>
      </w:r>
      <w:r w:rsidRPr="00A21CF9">
        <w:rPr>
          <w:color w:val="C00000"/>
          <w:sz w:val="18"/>
        </w:rPr>
        <w:fldChar w:fldCharType="separate"/>
      </w:r>
      <w:r w:rsidR="00D01651">
        <w:rPr>
          <w:noProof/>
          <w:color w:val="C00000"/>
          <w:sz w:val="18"/>
        </w:rPr>
        <w:t>22</w:t>
      </w:r>
      <w:r w:rsidRPr="00A21CF9">
        <w:rPr>
          <w:color w:val="C00000"/>
          <w:sz w:val="18"/>
        </w:rPr>
        <w:fldChar w:fldCharType="end"/>
      </w:r>
      <w:bookmarkEnd w:id="483"/>
      <w:r w:rsidRPr="00A21CF9">
        <w:rPr>
          <w:color w:val="C00000"/>
          <w:sz w:val="18"/>
        </w:rPr>
        <w:t xml:space="preserve">. </w:t>
      </w:r>
      <w:r w:rsidR="006B728F" w:rsidRPr="00A21CF9">
        <w:rPr>
          <w:sz w:val="18"/>
        </w:rPr>
        <w:t>Criterio de continuidad de proyectos en curso</w:t>
      </w:r>
      <w:bookmarkEnd w:id="484"/>
    </w:p>
    <w:p w14:paraId="384DAEF7" w14:textId="5D97834B" w:rsidR="006B728F" w:rsidRPr="009C5901" w:rsidRDefault="006B728F" w:rsidP="00196667">
      <w:pPr>
        <w:pStyle w:val="ffigura"/>
        <w:jc w:val="both"/>
        <w:rPr>
          <w:lang w:val="es-ES"/>
        </w:rPr>
        <w:sectPr w:rsidR="006B728F" w:rsidRPr="009C5901" w:rsidSect="00F7078E">
          <w:type w:val="continuous"/>
          <w:pgSz w:w="12240" w:h="15840"/>
          <w:pgMar w:top="2262" w:right="1440" w:bottom="1440" w:left="1440" w:header="709" w:footer="709" w:gutter="0"/>
          <w:cols w:space="708"/>
          <w:docGrid w:linePitch="360"/>
        </w:sectPr>
      </w:pPr>
      <w:bookmarkStart w:id="485" w:name="_Toc163718693"/>
    </w:p>
    <w:p w14:paraId="173DFB4C" w14:textId="77777777" w:rsidR="006B728F" w:rsidRPr="00761DA9" w:rsidRDefault="006B728F" w:rsidP="00196667">
      <w:pPr>
        <w:pStyle w:val="ffigura"/>
        <w:rPr>
          <w:b w:val="0"/>
          <w:bCs w:val="0"/>
          <w:color w:val="C00000"/>
          <w:lang w:val="es-ES"/>
        </w:rPr>
      </w:pPr>
      <w:r>
        <w:br/>
      </w:r>
      <w:bookmarkEnd w:id="485"/>
      <w:r w:rsidRPr="0056360E">
        <w:t xml:space="preserve">Fuente: </w:t>
      </w:r>
      <w:r w:rsidRPr="00FF388C">
        <w:rPr>
          <w:b w:val="0"/>
          <w:bCs w:val="0"/>
        </w:rPr>
        <w:t>Secretaría Distrital de Planeación (2024).</w:t>
      </w:r>
    </w:p>
    <w:p w14:paraId="3FDE439D" w14:textId="77777777" w:rsidR="006B728F" w:rsidRPr="0056360E" w:rsidRDefault="006B728F" w:rsidP="00761DA9">
      <w:pPr>
        <w:jc w:val="center"/>
        <w:rPr>
          <w:lang w:val="es-ES"/>
        </w:rPr>
      </w:pPr>
    </w:p>
    <w:p w14:paraId="4CD4AFEE" w14:textId="77777777" w:rsidR="006B728F" w:rsidRDefault="006B728F" w:rsidP="00E1181E">
      <w:pPr>
        <w:rPr>
          <w:lang w:val="es-ES"/>
        </w:rPr>
        <w:sectPr w:rsidR="006B728F" w:rsidSect="00F7078E">
          <w:type w:val="continuous"/>
          <w:pgSz w:w="12240" w:h="15840"/>
          <w:pgMar w:top="2262" w:right="1440" w:bottom="1440" w:left="1440" w:header="709" w:footer="709" w:gutter="0"/>
          <w:cols w:space="708"/>
          <w:docGrid w:linePitch="360"/>
        </w:sectPr>
      </w:pPr>
    </w:p>
    <w:p w14:paraId="166E2BC2" w14:textId="6C95AE66" w:rsidR="006B728F" w:rsidRPr="00EA5E7B" w:rsidRDefault="006B728F" w:rsidP="00EA5E7B">
      <w:pPr>
        <w:sectPr w:rsidR="006B728F" w:rsidRPr="00EA5E7B" w:rsidSect="00F7078E">
          <w:type w:val="continuous"/>
          <w:pgSz w:w="12240" w:h="15840"/>
          <w:pgMar w:top="2262" w:right="1440" w:bottom="1440" w:left="1440" w:header="709" w:footer="709" w:gutter="0"/>
          <w:cols w:num="2" w:space="567"/>
          <w:docGrid w:linePitch="360"/>
        </w:sectPr>
      </w:pPr>
      <w:r w:rsidRPr="00EA5E7B">
        <w:t>Así las cosas, se busca que con la metodología descrita los criterios orienten la selección de los proyectos con enfoque territorial que se inclu</w:t>
      </w:r>
      <w:r>
        <w:t>yen</w:t>
      </w:r>
      <w:r w:rsidRPr="00EA5E7B">
        <w:t xml:space="preserve"> y financian en el </w:t>
      </w:r>
      <w:r>
        <w:t xml:space="preserve">Plan Distrital de Desarrollo </w:t>
      </w:r>
      <w:r w:rsidRPr="00EA5E7B">
        <w:t xml:space="preserve">y permitirán la ejecución del contenido </w:t>
      </w:r>
      <w:r w:rsidRPr="00EA5E7B">
        <w:t>programático del Plan de Ordenamiento Territorial, logrando con ello una adecuada articulación con lo establecido para el corto plazo para ambos instrumentos</w:t>
      </w:r>
      <w:r>
        <w:t xml:space="preserve"> (</w:t>
      </w:r>
      <w:r w:rsidR="00A21CF9" w:rsidRPr="00A21CF9">
        <w:rPr>
          <w:highlight w:val="yellow"/>
        </w:rPr>
        <w:fldChar w:fldCharType="begin"/>
      </w:r>
      <w:r w:rsidR="00A21CF9" w:rsidRPr="00A21CF9">
        <w:instrText xml:space="preserve"> REF _Ref165158271 \h </w:instrText>
      </w:r>
      <w:r w:rsidR="00A21CF9" w:rsidRPr="00A21CF9">
        <w:rPr>
          <w:highlight w:val="yellow"/>
        </w:rPr>
      </w:r>
      <w:r w:rsidR="00A21CF9" w:rsidRPr="00A21CF9">
        <w:rPr>
          <w:highlight w:val="yellow"/>
        </w:rPr>
        <w:fldChar w:fldCharType="separate"/>
      </w:r>
      <w:r w:rsidR="00D01651" w:rsidRPr="00A21CF9">
        <w:rPr>
          <w:color w:val="C00000"/>
          <w:sz w:val="18"/>
          <w:szCs w:val="18"/>
        </w:rPr>
        <w:t xml:space="preserve">Figura </w:t>
      </w:r>
      <w:r w:rsidR="00D01651">
        <w:rPr>
          <w:noProof/>
          <w:color w:val="C00000"/>
          <w:sz w:val="18"/>
        </w:rPr>
        <w:t>23</w:t>
      </w:r>
      <w:r w:rsidR="00A21CF9" w:rsidRPr="00A21CF9">
        <w:rPr>
          <w:highlight w:val="yellow"/>
        </w:rPr>
        <w:fldChar w:fldCharType="end"/>
      </w:r>
      <w:r w:rsidRPr="00A21CF9">
        <w:t>).</w:t>
      </w:r>
    </w:p>
    <w:p w14:paraId="1B917357" w14:textId="77777777" w:rsidR="006B728F" w:rsidRDefault="006B728F" w:rsidP="00E1181E">
      <w:pPr>
        <w:sectPr w:rsidR="006B728F" w:rsidSect="00F7078E">
          <w:type w:val="continuous"/>
          <w:pgSz w:w="12240" w:h="15840"/>
          <w:pgMar w:top="2262" w:right="1440" w:bottom="1440" w:left="1440" w:header="709" w:footer="709" w:gutter="0"/>
          <w:cols w:space="708"/>
          <w:docGrid w:linePitch="360"/>
        </w:sectPr>
      </w:pPr>
    </w:p>
    <w:p w14:paraId="36029D7C" w14:textId="064BB4AC" w:rsidR="006B728F" w:rsidRPr="00A21CF9" w:rsidRDefault="00A21CF9" w:rsidP="00A21CF9">
      <w:pPr>
        <w:pStyle w:val="Descripcin"/>
        <w:jc w:val="center"/>
        <w:rPr>
          <w:noProof/>
          <w:sz w:val="18"/>
        </w:rPr>
      </w:pPr>
      <w:bookmarkStart w:id="486" w:name="_Ref165158271"/>
      <w:bookmarkStart w:id="487" w:name="_Toc165169999"/>
      <w:r w:rsidRPr="00A21CF9">
        <w:rPr>
          <w:color w:val="C00000"/>
          <w:sz w:val="18"/>
        </w:rPr>
        <w:lastRenderedPageBreak/>
        <w:t xml:space="preserve">Figura </w:t>
      </w:r>
      <w:r w:rsidRPr="00A21CF9">
        <w:rPr>
          <w:color w:val="C00000"/>
          <w:sz w:val="18"/>
        </w:rPr>
        <w:fldChar w:fldCharType="begin"/>
      </w:r>
      <w:r w:rsidRPr="00A21CF9">
        <w:rPr>
          <w:color w:val="C00000"/>
          <w:sz w:val="18"/>
        </w:rPr>
        <w:instrText xml:space="preserve"> SEQ Figura \* ARABIC </w:instrText>
      </w:r>
      <w:r w:rsidRPr="00A21CF9">
        <w:rPr>
          <w:color w:val="C00000"/>
          <w:sz w:val="18"/>
        </w:rPr>
        <w:fldChar w:fldCharType="separate"/>
      </w:r>
      <w:r w:rsidR="00D01651">
        <w:rPr>
          <w:noProof/>
          <w:color w:val="C00000"/>
          <w:sz w:val="18"/>
        </w:rPr>
        <w:t>23</w:t>
      </w:r>
      <w:r w:rsidRPr="00A21CF9">
        <w:rPr>
          <w:color w:val="C00000"/>
          <w:sz w:val="18"/>
        </w:rPr>
        <w:fldChar w:fldCharType="end"/>
      </w:r>
      <w:bookmarkEnd w:id="486"/>
      <w:r w:rsidRPr="00A21CF9">
        <w:rPr>
          <w:color w:val="C00000"/>
          <w:sz w:val="18"/>
        </w:rPr>
        <w:t>.</w:t>
      </w:r>
      <w:r w:rsidR="006B728F" w:rsidRPr="00A21CF9">
        <w:rPr>
          <w:noProof/>
          <w:color w:val="C00000"/>
          <w:sz w:val="18"/>
        </w:rPr>
        <w:drawing>
          <wp:anchor distT="0" distB="0" distL="114300" distR="114300" simplePos="0" relativeHeight="251829248" behindDoc="0" locked="0" layoutInCell="1" allowOverlap="1" wp14:anchorId="4007FD81" wp14:editId="74347762">
            <wp:simplePos x="0" y="0"/>
            <wp:positionH relativeFrom="margin">
              <wp:align>center</wp:align>
            </wp:positionH>
            <wp:positionV relativeFrom="paragraph">
              <wp:posOffset>173990</wp:posOffset>
            </wp:positionV>
            <wp:extent cx="6550660" cy="2667635"/>
            <wp:effectExtent l="0" t="0" r="2540" b="0"/>
            <wp:wrapTopAndBottom/>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rotWithShape="1">
                    <a:blip r:embed="rId182" cstate="print">
                      <a:extLst>
                        <a:ext uri="{28A0092B-C50C-407E-A947-70E740481C1C}">
                          <a14:useLocalDpi xmlns:a14="http://schemas.microsoft.com/office/drawing/2010/main" val="0"/>
                        </a:ext>
                      </a:extLst>
                    </a:blip>
                    <a:srcRect l="6657" t="4197" r="1958" b="4691"/>
                    <a:stretch/>
                  </pic:blipFill>
                  <pic:spPr bwMode="auto">
                    <a:xfrm>
                      <a:off x="0" y="0"/>
                      <a:ext cx="6550660" cy="2667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728F" w:rsidRPr="00A21CF9">
        <w:rPr>
          <w:color w:val="C00000"/>
          <w:sz w:val="18"/>
        </w:rPr>
        <w:t xml:space="preserve"> </w:t>
      </w:r>
      <w:r w:rsidR="006B728F" w:rsidRPr="00A21CF9">
        <w:rPr>
          <w:sz w:val="18"/>
        </w:rPr>
        <w:t>Criterios de selección de proyectos para PDD</w:t>
      </w:r>
      <w:bookmarkEnd w:id="487"/>
    </w:p>
    <w:p w14:paraId="1D605F76" w14:textId="77777777" w:rsidR="006B728F" w:rsidRPr="0056360E" w:rsidRDefault="006B728F" w:rsidP="00BE108C">
      <w:pPr>
        <w:jc w:val="center"/>
        <w:rPr>
          <w:lang w:val="es-ES"/>
        </w:rPr>
      </w:pPr>
      <w:r w:rsidRPr="002A1975">
        <w:rPr>
          <w:b/>
          <w:bCs/>
          <w:sz w:val="18"/>
          <w:szCs w:val="18"/>
        </w:rPr>
        <w:t>Fuente:</w:t>
      </w:r>
      <w:r w:rsidRPr="002A1975">
        <w:rPr>
          <w:sz w:val="18"/>
          <w:szCs w:val="18"/>
        </w:rPr>
        <w:t xml:space="preserve"> Secretaría Distrital de Planeación (2024).</w:t>
      </w:r>
    </w:p>
    <w:p w14:paraId="16E23024" w14:textId="77777777" w:rsidR="00D10FD4" w:rsidRDefault="00D10FD4" w:rsidP="005A279E">
      <w:pPr>
        <w:pStyle w:val="subnumeros"/>
        <w:numPr>
          <w:ilvl w:val="0"/>
          <w:numId w:val="0"/>
        </w:numPr>
        <w:ind w:left="1145" w:hanging="720"/>
        <w:outlineLvl w:val="9"/>
      </w:pPr>
      <w:bookmarkStart w:id="488" w:name="_Toc164183468"/>
    </w:p>
    <w:p w14:paraId="153AFB4D" w14:textId="25E9F09C" w:rsidR="006B728F" w:rsidRDefault="006B728F" w:rsidP="005A279E">
      <w:pPr>
        <w:pStyle w:val="subnumeros"/>
        <w:numPr>
          <w:ilvl w:val="0"/>
          <w:numId w:val="0"/>
        </w:numPr>
        <w:ind w:left="1145" w:hanging="720"/>
        <w:outlineLvl w:val="9"/>
      </w:pPr>
      <w:r w:rsidRPr="0056360E">
        <w:t>Ponderación</w:t>
      </w:r>
      <w:bookmarkEnd w:id="488"/>
    </w:p>
    <w:p w14:paraId="12C76CC0" w14:textId="77777777" w:rsidR="006B728F" w:rsidRDefault="006B728F" w:rsidP="00E1181E">
      <w:pPr>
        <w:rPr>
          <w:lang w:val="es-ES"/>
        </w:rPr>
        <w:sectPr w:rsidR="006B728F" w:rsidSect="00F7078E">
          <w:type w:val="continuous"/>
          <w:pgSz w:w="12240" w:h="15840"/>
          <w:pgMar w:top="2262" w:right="1440" w:bottom="1440" w:left="1440" w:header="709" w:footer="709" w:gutter="0"/>
          <w:cols w:space="708"/>
          <w:docGrid w:linePitch="360"/>
        </w:sectPr>
      </w:pPr>
    </w:p>
    <w:p w14:paraId="07A3C8F0" w14:textId="77777777" w:rsidR="006B728F" w:rsidRPr="00EA5E7B" w:rsidRDefault="006B728F" w:rsidP="00EA5E7B">
      <w:r w:rsidRPr="00EA5E7B">
        <w:t>Claros los criterios</w:t>
      </w:r>
      <w:r>
        <w:t>,</w:t>
      </w:r>
      <w:r w:rsidRPr="00EA5E7B">
        <w:t xml:space="preserve"> para seleccionar los proyectos del </w:t>
      </w:r>
      <w:r>
        <w:t xml:space="preserve">Plan Distrital de Desarrollo </w:t>
      </w:r>
      <w:r w:rsidRPr="00EA5E7B">
        <w:t xml:space="preserve">que se articulan con el Plan de Ordenamiento Territorial se plantea un esquema de ponderación en el cual los proyectos más relevantes serán aquellos que cumplan con la mayor cantidad de criterios propuestos. Así, el mayor puntaje que se </w:t>
      </w:r>
      <w:r w:rsidRPr="00EA5E7B">
        <w:t>obtiene por criterio es 1, el intermedio es 0,5 y el menor es 0, dependiendo de qué tanto cumple el proyecto con los elementos de los criterios establecidos, en otros términos, dependiendo de qué tan pertinente es el proyecto en la ejecución del POT.</w:t>
      </w:r>
    </w:p>
    <w:p w14:paraId="316041BB" w14:textId="77777777" w:rsidR="006B728F" w:rsidRPr="00EA5E7B" w:rsidRDefault="006B728F" w:rsidP="00E1181E">
      <w:pPr>
        <w:rPr>
          <w:b/>
          <w:bCs/>
        </w:rPr>
        <w:sectPr w:rsidR="006B728F" w:rsidRPr="00EA5E7B" w:rsidSect="00F7078E">
          <w:type w:val="continuous"/>
          <w:pgSz w:w="12240" w:h="15840"/>
          <w:pgMar w:top="2262" w:right="1440" w:bottom="1440" w:left="1440" w:header="709" w:footer="709" w:gutter="0"/>
          <w:cols w:num="2" w:space="567"/>
          <w:docGrid w:linePitch="360"/>
        </w:sectPr>
      </w:pPr>
    </w:p>
    <w:p w14:paraId="54C672A8" w14:textId="77777777" w:rsidR="006B728F" w:rsidRPr="0056360E" w:rsidRDefault="006B728F" w:rsidP="00E1181E">
      <w:pPr>
        <w:rPr>
          <w:b/>
          <w:bCs/>
          <w:lang w:val="es-ES"/>
        </w:rPr>
      </w:pPr>
    </w:p>
    <w:p w14:paraId="5C297B0F" w14:textId="77777777" w:rsidR="006B728F" w:rsidRDefault="006B728F" w:rsidP="005A279E"/>
    <w:p w14:paraId="21C43963" w14:textId="77777777" w:rsidR="005A279E" w:rsidRDefault="005A279E">
      <w:pPr>
        <w:spacing w:line="240" w:lineRule="auto"/>
        <w:jc w:val="left"/>
        <w:rPr>
          <w:rFonts w:eastAsiaTheme="majorEastAsia" w:cstheme="majorBidi"/>
          <w:b/>
          <w:color w:val="C00000"/>
          <w:sz w:val="40"/>
          <w:szCs w:val="32"/>
          <w:lang w:eastAsia="en-US"/>
        </w:rPr>
      </w:pPr>
      <w:bookmarkStart w:id="489" w:name="_Toc164183469"/>
      <w:r>
        <w:br w:type="page"/>
      </w:r>
    </w:p>
    <w:p w14:paraId="3E62DB18" w14:textId="76B404F5" w:rsidR="006B728F" w:rsidRPr="005A279E" w:rsidRDefault="006B728F" w:rsidP="005A279E">
      <w:pPr>
        <w:ind w:firstLine="708"/>
        <w:rPr>
          <w:b/>
          <w:bCs/>
          <w:sz w:val="28"/>
          <w:szCs w:val="32"/>
        </w:rPr>
      </w:pPr>
      <w:r w:rsidRPr="005A279E">
        <w:rPr>
          <w:b/>
          <w:bCs/>
          <w:sz w:val="28"/>
          <w:szCs w:val="32"/>
        </w:rPr>
        <w:lastRenderedPageBreak/>
        <w:t>Articulación del PDD y el POT</w:t>
      </w:r>
      <w:bookmarkEnd w:id="489"/>
    </w:p>
    <w:p w14:paraId="3F824388" w14:textId="77777777" w:rsidR="006B728F" w:rsidRDefault="006B728F" w:rsidP="00E1181E">
      <w:pPr>
        <w:sectPr w:rsidR="006B728F" w:rsidSect="00F7078E">
          <w:type w:val="continuous"/>
          <w:pgSz w:w="12240" w:h="15840"/>
          <w:pgMar w:top="2262" w:right="1440" w:bottom="1440" w:left="1440" w:header="709" w:footer="709" w:gutter="0"/>
          <w:cols w:space="708"/>
          <w:docGrid w:linePitch="360"/>
        </w:sectPr>
      </w:pPr>
    </w:p>
    <w:p w14:paraId="036597F2" w14:textId="77777777" w:rsidR="006B728F" w:rsidRPr="00BE108C" w:rsidRDefault="006B728F" w:rsidP="00E31AA4">
      <w:pPr>
        <w:rPr>
          <w:rFonts w:cs="Times New Roman (Body CS)"/>
          <w:spacing w:val="-10"/>
        </w:rPr>
      </w:pPr>
      <w:r w:rsidRPr="00BE108C">
        <w:rPr>
          <w:rFonts w:cs="Times New Roman (Body CS)"/>
          <w:spacing w:val="-10"/>
        </w:rPr>
        <w:t xml:space="preserve">Esta sección pretende explicar brevemente cómo el Plan Distrital de Desarrollo 2024-2027 “Bogotá Camina Segura” impacta de forma positiva en la concreción y ejecución del Plan de Ordenamiento Territorial actualmente vigente en el Distrito. Para el efecto, en cumplimiento del artículo 21 de la Ley 388 de 1997, se aplicaron los criterios expuestos a los programas y proyectos del Plan Distrital de Desarrollo de forma que, en lo pertinente, este garantice la ejecución y concreción del POT, en tanto éste último es un instrumento de planificación a largo plazo y el primero ostenta una perspectiva de corto plazo. </w:t>
      </w:r>
    </w:p>
    <w:p w14:paraId="6B82C2BA" w14:textId="77777777" w:rsidR="006B728F" w:rsidRDefault="006B728F" w:rsidP="00E31AA4"/>
    <w:p w14:paraId="12755308" w14:textId="77777777" w:rsidR="006B728F" w:rsidRPr="00BB5CAB" w:rsidRDefault="006B728F" w:rsidP="00E31AA4">
      <w:pPr>
        <w:rPr>
          <w:rFonts w:cs="Times New Roman (Cuerpo en alfa"/>
          <w:spacing w:val="-6"/>
        </w:rPr>
      </w:pPr>
      <w:r>
        <w:t xml:space="preserve">Este ejercicio es el resultado de una labor de articulación, de seguimiento y de trabajo interinstitucional conjunto liderado por la Secretaría Distrital de Planeación en coordinación con las demás Secretarías cabeza de sector con sus respectivas entidades, realizado a partir de las metas y proyectos previstos por cada institución </w:t>
      </w:r>
      <w:r>
        <w:t xml:space="preserve">para la construcción del presente Plan Distrital de Desarrollo y del contenido programático del POT 2022-2035. Con base a los registros de información de cada entidad se caracterizaron los proyectos preliminarmente propuestos por cada una, en especial en relación con la etapa de ejecución en la que se encontraba cada uno, fundamentalmente con miras a distinguir los proyectos culminados, los proyectos en ejecución con recursos asignados y los proyectos a ejecutar en la siguiente vigencia. Con este insumo se construyó una matriz de información que consolidó los aportes de cada entidad, la cual fue procesada a partir </w:t>
      </w:r>
      <w:r w:rsidRPr="00BB5CAB">
        <w:rPr>
          <w:rFonts w:cs="Times New Roman (Cuerpo en alfa"/>
          <w:spacing w:val="-6"/>
        </w:rPr>
        <w:t>de la metodología y criterios de selección presentados previamente. Del procesamiento se obtuvo la calificación de los proyectos, insumo para soportar la selección de proyectos incluidos en el PDD que guardan relación con las previsiones del POT y con las necesidades y oportunidades de Bogotá.</w:t>
      </w:r>
    </w:p>
    <w:p w14:paraId="39FF1E51" w14:textId="77777777" w:rsidR="006B728F" w:rsidRDefault="006B728F" w:rsidP="00E1181E">
      <w:pPr>
        <w:rPr>
          <w:i/>
          <w:iCs/>
        </w:rPr>
        <w:sectPr w:rsidR="006B728F" w:rsidSect="00F7078E">
          <w:type w:val="continuous"/>
          <w:pgSz w:w="12240" w:h="15840"/>
          <w:pgMar w:top="2262" w:right="1440" w:bottom="1440" w:left="1440" w:header="709" w:footer="709" w:gutter="0"/>
          <w:cols w:num="2" w:space="567"/>
          <w:docGrid w:linePitch="360"/>
        </w:sectPr>
      </w:pPr>
    </w:p>
    <w:p w14:paraId="43C1DC57" w14:textId="77777777" w:rsidR="006B728F" w:rsidRPr="0056360E" w:rsidRDefault="006B728F" w:rsidP="00E1181E">
      <w:pPr>
        <w:rPr>
          <w:i/>
          <w:iCs/>
        </w:rPr>
      </w:pPr>
    </w:p>
    <w:p w14:paraId="7F2ECB3F" w14:textId="65424B3A" w:rsidR="006B728F" w:rsidRPr="00E90BFB" w:rsidRDefault="006B728F" w:rsidP="00E90BFB">
      <w:pPr>
        <w:pStyle w:val="subnumeros"/>
        <w:numPr>
          <w:ilvl w:val="0"/>
          <w:numId w:val="0"/>
        </w:numPr>
        <w:ind w:left="1145" w:hanging="720"/>
        <w:outlineLvl w:val="9"/>
      </w:pPr>
      <w:bookmarkStart w:id="490" w:name="_Toc164183470"/>
      <w:r w:rsidRPr="00E90BFB">
        <w:t>Metas del PDD que concretan el POT</w:t>
      </w:r>
      <w:bookmarkEnd w:id="490"/>
    </w:p>
    <w:p w14:paraId="41382154" w14:textId="77777777" w:rsidR="006B728F" w:rsidRDefault="006B728F" w:rsidP="00E1181E">
      <w:pPr>
        <w:sectPr w:rsidR="006B728F" w:rsidSect="00F7078E">
          <w:type w:val="continuous"/>
          <w:pgSz w:w="12240" w:h="15840"/>
          <w:pgMar w:top="2262" w:right="1440" w:bottom="1440" w:left="1440" w:header="709" w:footer="709" w:gutter="0"/>
          <w:cols w:space="708"/>
          <w:docGrid w:linePitch="360"/>
        </w:sectPr>
      </w:pPr>
    </w:p>
    <w:p w14:paraId="21636DA8" w14:textId="77777777" w:rsidR="006B728F" w:rsidRPr="00BE108C" w:rsidRDefault="006B728F" w:rsidP="00E31AA4">
      <w:pPr>
        <w:rPr>
          <w:rFonts w:cs="Times New Roman (Body CS)"/>
          <w:spacing w:val="-12"/>
        </w:rPr>
      </w:pPr>
      <w:bookmarkStart w:id="491" w:name="_Toc163718695"/>
      <w:r w:rsidRPr="00BE108C">
        <w:rPr>
          <w:rFonts w:cs="Times New Roman (Body CS)"/>
          <w:spacing w:val="-12"/>
        </w:rPr>
        <w:t>A continuación, se presentan las interrelaciones que surgen de la articulación de ambos planes. Un análisis de esta interacción permite, por un lado, identificar las metas que articulan el Plan Distrital de Desarrollo con el Plan de Ordenamiento Territorial. Por otro lado, permite reconocer mediante cuáles objetivos estratégicos, programas y metas del PDD se concreta el POT y, en sentido contrario, cuáles objetivos y metas del POT se priorizan para ser ejecutadas durante la vigencia de la presente administración distrital a través del PDD.</w:t>
      </w:r>
    </w:p>
    <w:p w14:paraId="7E728D36" w14:textId="77777777" w:rsidR="006B728F" w:rsidRDefault="006B728F" w:rsidP="00E31AA4"/>
    <w:p w14:paraId="5EE67056" w14:textId="509BB430" w:rsidR="006B728F" w:rsidRDefault="006B728F" w:rsidP="008D6B5C">
      <w:pPr>
        <w:rPr>
          <w:rFonts w:cs="Times New Roman (Cuerpo en alfa"/>
          <w:spacing w:val="-4"/>
        </w:rPr>
      </w:pPr>
      <w:r w:rsidRPr="00BB5CAB">
        <w:rPr>
          <w:rFonts w:cs="Times New Roman (Cuerpo en alfa"/>
          <w:spacing w:val="-4"/>
        </w:rPr>
        <w:t xml:space="preserve">Por otro lado, este ejercicio permite observar el impacto que tendrá el </w:t>
      </w:r>
      <w:r>
        <w:rPr>
          <w:rFonts w:cs="Times New Roman (Cuerpo en alfa"/>
          <w:spacing w:val="-4"/>
        </w:rPr>
        <w:t xml:space="preserve">Plan Distrital de Desarrollo </w:t>
      </w:r>
      <w:r w:rsidRPr="00BB5CAB">
        <w:rPr>
          <w:rFonts w:cs="Times New Roman (Cuerpo en alfa"/>
          <w:spacing w:val="-4"/>
        </w:rPr>
        <w:t>en la ejecución del Plan de Ordenamiento Territorial. Para evidenciar esto, se aplicaron los criterios explicados previamente para seleccionar los proyectos que se incluyen en el presente Plan, lo que arroja una priorización de proyectos con sustento territorial.</w:t>
      </w:r>
      <w:r w:rsidR="0007555B">
        <w:rPr>
          <w:rFonts w:cs="Times New Roman (Cuerpo en alfa"/>
          <w:spacing w:val="-4"/>
        </w:rPr>
        <w:t xml:space="preserve"> </w:t>
      </w:r>
      <w:r w:rsidRPr="00BB5CAB">
        <w:rPr>
          <w:rFonts w:cs="Times New Roman (Cuerpo en alfa"/>
          <w:spacing w:val="-4"/>
        </w:rPr>
        <w:t>Los resultados del cruce de las metas que articulan ambos planes se pueden observar en la siguiente matriz (</w:t>
      </w:r>
      <w:r w:rsidR="0064296F">
        <w:rPr>
          <w:rFonts w:cs="Times New Roman (Cuerpo en alfa"/>
          <w:spacing w:val="-4"/>
        </w:rPr>
        <w:fldChar w:fldCharType="begin"/>
      </w:r>
      <w:r w:rsidR="0064296F">
        <w:rPr>
          <w:rFonts w:cs="Times New Roman (Cuerpo en alfa"/>
          <w:spacing w:val="-4"/>
        </w:rPr>
        <w:instrText xml:space="preserve"> REF _Ref165158962 \h </w:instrText>
      </w:r>
      <w:r w:rsidR="0064296F">
        <w:rPr>
          <w:rFonts w:cs="Times New Roman (Cuerpo en alfa"/>
          <w:spacing w:val="-4"/>
        </w:rPr>
      </w:r>
      <w:r w:rsidR="0064296F">
        <w:rPr>
          <w:rFonts w:cs="Times New Roman (Cuerpo en alfa"/>
          <w:spacing w:val="-4"/>
        </w:rPr>
        <w:fldChar w:fldCharType="separate"/>
      </w:r>
      <w:r w:rsidR="00D01651" w:rsidRPr="0064296F">
        <w:rPr>
          <w:color w:val="C00000"/>
          <w:sz w:val="18"/>
          <w:szCs w:val="18"/>
        </w:rPr>
        <w:t xml:space="preserve">Tabla </w:t>
      </w:r>
      <w:r w:rsidR="00D01651">
        <w:rPr>
          <w:noProof/>
          <w:color w:val="C00000"/>
          <w:sz w:val="18"/>
        </w:rPr>
        <w:t>63</w:t>
      </w:r>
      <w:r w:rsidR="0064296F">
        <w:rPr>
          <w:rFonts w:cs="Times New Roman (Cuerpo en alfa"/>
          <w:spacing w:val="-4"/>
        </w:rPr>
        <w:fldChar w:fldCharType="end"/>
      </w:r>
      <w:r w:rsidRPr="00BB5CAB">
        <w:rPr>
          <w:rFonts w:cs="Times New Roman (Cuerpo en alfa"/>
          <w:spacing w:val="-4"/>
        </w:rPr>
        <w:t>).</w:t>
      </w:r>
    </w:p>
    <w:p w14:paraId="47ACA758" w14:textId="77777777" w:rsidR="00E34F1B" w:rsidRDefault="00E34F1B" w:rsidP="008D6B5C">
      <w:pPr>
        <w:rPr>
          <w:rFonts w:cs="Times New Roman (Cuerpo en alfa"/>
          <w:spacing w:val="-4"/>
        </w:rPr>
      </w:pPr>
    </w:p>
    <w:p w14:paraId="49707BC4" w14:textId="02097CD9" w:rsidR="006B728F" w:rsidRDefault="006B728F" w:rsidP="008D6B5C">
      <w:pPr>
        <w:rPr>
          <w:rFonts w:cs="Times New Roman (Cuerpo en alfa"/>
          <w:spacing w:val="-4"/>
        </w:rPr>
      </w:pPr>
      <w:r w:rsidRPr="00BB5CAB">
        <w:rPr>
          <w:rFonts w:cs="Times New Roman (Cuerpo en alfa"/>
          <w:spacing w:val="-4"/>
        </w:rPr>
        <w:t xml:space="preserve">En el costado extremo izquierdo se ubican en orden los objetivos estratégicos y programas del </w:t>
      </w:r>
      <w:r>
        <w:rPr>
          <w:rFonts w:cs="Times New Roman (Cuerpo en alfa"/>
          <w:spacing w:val="-4"/>
        </w:rPr>
        <w:t>Plan Distrital de Desarrollo,</w:t>
      </w:r>
      <w:r w:rsidRPr="00BB5CAB">
        <w:rPr>
          <w:rFonts w:cs="Times New Roman (Cuerpo en alfa"/>
          <w:spacing w:val="-4"/>
        </w:rPr>
        <w:t xml:space="preserve"> que en cada fila señalan el número de metas que guardan relación con las metas de los subprogramas que ayudan a consolidar los objetivos del POT. En el costado superior se ubican en orden los objetivos de largo plazo y las metas del </w:t>
      </w:r>
      <w:r w:rsidR="0007555B">
        <w:rPr>
          <w:rFonts w:cs="Times New Roman (Cuerpo en alfa"/>
          <w:spacing w:val="-4"/>
        </w:rPr>
        <w:t>POT</w:t>
      </w:r>
      <w:r w:rsidRPr="00BB5CAB">
        <w:rPr>
          <w:rFonts w:cs="Times New Roman (Cuerpo en alfa"/>
          <w:spacing w:val="-4"/>
        </w:rPr>
        <w:t xml:space="preserve"> que se </w:t>
      </w:r>
      <w:r>
        <w:rPr>
          <w:rFonts w:cs="Times New Roman (Cuerpo en alfa"/>
          <w:spacing w:val="-4"/>
        </w:rPr>
        <w:t>van a</w:t>
      </w:r>
      <w:r w:rsidRPr="00BB5CAB">
        <w:rPr>
          <w:rFonts w:cs="Times New Roman (Cuerpo en alfa"/>
          <w:spacing w:val="-4"/>
        </w:rPr>
        <w:t xml:space="preserve"> </w:t>
      </w:r>
      <w:r>
        <w:rPr>
          <w:rFonts w:cs="Times New Roman (Cuerpo en alfa"/>
          <w:spacing w:val="-4"/>
        </w:rPr>
        <w:t>concretar con</w:t>
      </w:r>
      <w:r w:rsidRPr="00BB5CAB">
        <w:rPr>
          <w:rFonts w:cs="Times New Roman (Cuerpo en alfa"/>
          <w:spacing w:val="-4"/>
        </w:rPr>
        <w:t xml:space="preserve"> lo planteado en el PDD. </w:t>
      </w:r>
    </w:p>
    <w:p w14:paraId="7B48F6F3" w14:textId="77777777" w:rsidR="006B728F" w:rsidRDefault="006B728F" w:rsidP="008D6B5C">
      <w:pPr>
        <w:rPr>
          <w:rFonts w:cs="Times New Roman (Cuerpo en alfa"/>
          <w:spacing w:val="-4"/>
        </w:rPr>
      </w:pPr>
    </w:p>
    <w:p w14:paraId="3936C5EF" w14:textId="77777777" w:rsidR="006B728F" w:rsidRPr="00BB5CAB" w:rsidRDefault="006B728F" w:rsidP="008D6B5C">
      <w:pPr>
        <w:rPr>
          <w:rFonts w:cs="Times New Roman (Cuerpo en alfa"/>
          <w:spacing w:val="-4"/>
        </w:rPr>
        <w:sectPr w:rsidR="006B728F" w:rsidRPr="00BB5CAB" w:rsidSect="00F7078E">
          <w:type w:val="continuous"/>
          <w:pgSz w:w="12240" w:h="15840"/>
          <w:pgMar w:top="2262" w:right="1440" w:bottom="1440" w:left="1440" w:header="709" w:footer="709" w:gutter="0"/>
          <w:cols w:num="2" w:space="709"/>
          <w:docGrid w:linePitch="360"/>
        </w:sectPr>
      </w:pPr>
      <w:r w:rsidRPr="00BB5CAB">
        <w:rPr>
          <w:rFonts w:cs="Times New Roman (Cuerpo en alfa"/>
          <w:spacing w:val="-4"/>
        </w:rPr>
        <w:t>El cruce de los insumos arroja dos cosas: por un lado, en la columna extrema derecha el total de metas por objetivo estratégico del PDD que guardan relación con metas del POT</w:t>
      </w:r>
      <w:r>
        <w:rPr>
          <w:rFonts w:cs="Times New Roman (Cuerpo en alfa"/>
          <w:spacing w:val="-4"/>
        </w:rPr>
        <w:t>, teniendo presente que este no es el resultado de la suma de las relaciones, ya que un programa o meta del PDD puede aportar a la concreción de varias metas del POT</w:t>
      </w:r>
      <w:r w:rsidRPr="00BB5CAB">
        <w:rPr>
          <w:rFonts w:cs="Times New Roman (Cuerpo en alfa"/>
          <w:spacing w:val="-4"/>
        </w:rPr>
        <w:t>; por otro lado, en la última fila inferior se computa el total de metas del PDD que aportan a la consolidación de metas y objetivos del POT</w:t>
      </w:r>
      <w:r>
        <w:rPr>
          <w:rFonts w:cs="Times New Roman (Cuerpo en alfa"/>
          <w:spacing w:val="-4"/>
        </w:rPr>
        <w:t>, guardando la misma lógica anteriormente mencionada</w:t>
      </w:r>
      <w:r w:rsidRPr="00BB5CAB">
        <w:rPr>
          <w:rFonts w:cs="Times New Roman (Cuerpo en alfa"/>
          <w:spacing w:val="-4"/>
        </w:rPr>
        <w:t>.</w:t>
      </w:r>
    </w:p>
    <w:p w14:paraId="452C5030" w14:textId="77777777" w:rsidR="0064296F" w:rsidRDefault="0064296F" w:rsidP="0064296F">
      <w:pPr>
        <w:pStyle w:val="ffigura"/>
        <w:sectPr w:rsidR="0064296F" w:rsidSect="00F7078E">
          <w:type w:val="continuous"/>
          <w:pgSz w:w="12240" w:h="15840"/>
          <w:pgMar w:top="2262" w:right="1440" w:bottom="1440" w:left="1440" w:header="709" w:footer="709" w:gutter="0"/>
          <w:cols w:space="708"/>
          <w:docGrid w:linePitch="360"/>
        </w:sectPr>
      </w:pPr>
    </w:p>
    <w:p w14:paraId="2E0BD24E" w14:textId="32B9C5FA" w:rsidR="0064296F" w:rsidRPr="0064296F" w:rsidRDefault="0064296F" w:rsidP="0064296F">
      <w:pPr>
        <w:pStyle w:val="Descripcin"/>
        <w:jc w:val="center"/>
        <w:rPr>
          <w:color w:val="C00000"/>
          <w:sz w:val="18"/>
        </w:rPr>
      </w:pPr>
      <w:bookmarkStart w:id="492" w:name="_Ref165158962"/>
      <w:bookmarkStart w:id="493" w:name="_Toc165169973"/>
      <w:r w:rsidRPr="0056360E">
        <w:rPr>
          <w:noProof/>
        </w:rPr>
        <w:lastRenderedPageBreak/>
        <w:drawing>
          <wp:anchor distT="0" distB="0" distL="114300" distR="114300" simplePos="0" relativeHeight="251887616" behindDoc="0" locked="0" layoutInCell="1" allowOverlap="1" wp14:anchorId="3A36F48A" wp14:editId="76503272">
            <wp:simplePos x="0" y="0"/>
            <wp:positionH relativeFrom="margin">
              <wp:posOffset>-323850</wp:posOffset>
            </wp:positionH>
            <wp:positionV relativeFrom="paragraph">
              <wp:posOffset>285115</wp:posOffset>
            </wp:positionV>
            <wp:extent cx="8829675" cy="4371975"/>
            <wp:effectExtent l="0" t="0" r="9525" b="9525"/>
            <wp:wrapTopAndBottom/>
            <wp:docPr id="21182034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03444" name="Imagen 2"/>
                    <pic:cNvPicPr>
                      <a:picLocks noChangeAspect="1" noChangeArrowheads="1"/>
                    </pic:cNvPicPr>
                  </pic:nvPicPr>
                  <pic:blipFill>
                    <a:blip r:embed="rId183" cstate="print">
                      <a:extLst>
                        <a:ext uri="{28A0092B-C50C-407E-A947-70E740481C1C}">
                          <a14:useLocalDpi xmlns:a14="http://schemas.microsoft.com/office/drawing/2010/main" val="0"/>
                        </a:ext>
                      </a:extLst>
                    </a:blip>
                    <a:stretch>
                      <a:fillRect/>
                    </a:stretch>
                  </pic:blipFill>
                  <pic:spPr bwMode="auto">
                    <a:xfrm>
                      <a:off x="0" y="0"/>
                      <a:ext cx="8829675" cy="437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4296F">
        <w:rPr>
          <w:color w:val="C00000"/>
          <w:sz w:val="18"/>
        </w:rPr>
        <w:t xml:space="preserve">Tabla </w:t>
      </w:r>
      <w:r w:rsidRPr="0064296F">
        <w:rPr>
          <w:color w:val="C00000"/>
          <w:sz w:val="18"/>
        </w:rPr>
        <w:fldChar w:fldCharType="begin"/>
      </w:r>
      <w:r w:rsidRPr="0064296F">
        <w:rPr>
          <w:color w:val="C00000"/>
          <w:sz w:val="18"/>
        </w:rPr>
        <w:instrText xml:space="preserve"> SEQ Tabla \* ARABIC </w:instrText>
      </w:r>
      <w:r w:rsidRPr="0064296F">
        <w:rPr>
          <w:color w:val="C00000"/>
          <w:sz w:val="18"/>
        </w:rPr>
        <w:fldChar w:fldCharType="separate"/>
      </w:r>
      <w:r w:rsidR="00D01651">
        <w:rPr>
          <w:noProof/>
          <w:color w:val="C00000"/>
          <w:sz w:val="18"/>
        </w:rPr>
        <w:t>63</w:t>
      </w:r>
      <w:r w:rsidRPr="0064296F">
        <w:rPr>
          <w:color w:val="C00000"/>
          <w:sz w:val="18"/>
        </w:rPr>
        <w:fldChar w:fldCharType="end"/>
      </w:r>
      <w:bookmarkEnd w:id="492"/>
      <w:r w:rsidRPr="0064296F">
        <w:rPr>
          <w:noProof/>
          <w:color w:val="C00000"/>
          <w:sz w:val="18"/>
        </w:rPr>
        <w:t xml:space="preserve">. </w:t>
      </w:r>
      <w:r w:rsidRPr="0064296F">
        <w:rPr>
          <w:sz w:val="18"/>
        </w:rPr>
        <w:t>Matriz de objetivos PDD vs. POT</w:t>
      </w:r>
      <w:bookmarkEnd w:id="493"/>
    </w:p>
    <w:p w14:paraId="23FCF45A" w14:textId="77777777" w:rsidR="0064296F" w:rsidRPr="008D6B5C" w:rsidRDefault="0064296F" w:rsidP="0064296F">
      <w:pPr>
        <w:pStyle w:val="ffigura"/>
        <w:rPr>
          <w:color w:val="C00000"/>
          <w:lang w:val="es-ES"/>
        </w:rPr>
      </w:pPr>
      <w:r w:rsidRPr="0056360E">
        <w:t xml:space="preserve">Fuente: </w:t>
      </w:r>
      <w:r w:rsidRPr="007C7627">
        <w:rPr>
          <w:b w:val="0"/>
          <w:bCs w:val="0"/>
        </w:rPr>
        <w:t>Secretaría Distrital de Planeación (2024).</w:t>
      </w:r>
    </w:p>
    <w:p w14:paraId="500D180E" w14:textId="77777777" w:rsidR="0064296F" w:rsidRDefault="0064296F" w:rsidP="00196667">
      <w:pPr>
        <w:pStyle w:val="ffigura"/>
        <w:jc w:val="both"/>
        <w:rPr>
          <w:lang w:val="es-ES"/>
        </w:rPr>
        <w:sectPr w:rsidR="0064296F" w:rsidSect="00F7078E">
          <w:type w:val="continuous"/>
          <w:pgSz w:w="15840" w:h="12240" w:orient="landscape"/>
          <w:pgMar w:top="1440" w:right="2262" w:bottom="1440" w:left="1440" w:header="709" w:footer="709" w:gutter="0"/>
          <w:cols w:space="708"/>
          <w:docGrid w:linePitch="360"/>
        </w:sectPr>
      </w:pPr>
    </w:p>
    <w:bookmarkEnd w:id="491"/>
    <w:p w14:paraId="609C49E9" w14:textId="77777777" w:rsidR="006B728F" w:rsidRDefault="006B728F" w:rsidP="00E1181E">
      <w:pPr>
        <w:sectPr w:rsidR="006B728F" w:rsidSect="00F7078E">
          <w:pgSz w:w="12240" w:h="15840"/>
          <w:pgMar w:top="2262" w:right="1440" w:bottom="1440" w:left="1440" w:header="709" w:footer="709" w:gutter="0"/>
          <w:cols w:space="708"/>
          <w:docGrid w:linePitch="360"/>
        </w:sectPr>
      </w:pPr>
    </w:p>
    <w:p w14:paraId="397A408E" w14:textId="77777777" w:rsidR="006B728F" w:rsidRPr="00BE108C" w:rsidRDefault="006B728F" w:rsidP="00E31AA4">
      <w:pPr>
        <w:rPr>
          <w:rFonts w:cs="Times New Roman (Body CS)"/>
          <w:spacing w:val="-14"/>
        </w:rPr>
      </w:pPr>
      <w:bookmarkStart w:id="494" w:name="_Toc164183471"/>
      <w:r w:rsidRPr="00BE108C">
        <w:rPr>
          <w:rFonts w:cs="Times New Roman (Body CS)"/>
          <w:spacing w:val="-14"/>
        </w:rPr>
        <w:t>Frente al Plan Distrital de Desarrollo la matriz anterior permite observar los siguientes datos:</w:t>
      </w:r>
    </w:p>
    <w:p w14:paraId="220B4A59" w14:textId="77777777" w:rsidR="006B728F" w:rsidRDefault="006B728F" w:rsidP="00E31AA4"/>
    <w:p w14:paraId="26300C1B" w14:textId="77777777" w:rsidR="006B728F" w:rsidRDefault="006B728F" w:rsidP="00CB6AEC">
      <w:pPr>
        <w:pStyle w:val="Prrafodelista"/>
        <w:numPr>
          <w:ilvl w:val="0"/>
          <w:numId w:val="62"/>
        </w:numPr>
        <w:jc w:val="left"/>
      </w:pPr>
      <w:r>
        <w:t xml:space="preserve">El objetivo estratégico 1 del PDD contiene 8 metas que ayudan a concretar los objetivos de largo plazo del POT, principalmente del objetivo 6. </w:t>
      </w:r>
    </w:p>
    <w:p w14:paraId="1C4D1E22" w14:textId="77777777" w:rsidR="006B728F" w:rsidRDefault="006B728F" w:rsidP="00E31AA4">
      <w:pPr>
        <w:pStyle w:val="Prrafodelista"/>
        <w:ind w:left="786"/>
        <w:jc w:val="left"/>
      </w:pPr>
    </w:p>
    <w:p w14:paraId="5589CC47" w14:textId="77777777" w:rsidR="006B728F" w:rsidRDefault="006B728F" w:rsidP="00CB6AEC">
      <w:pPr>
        <w:pStyle w:val="Prrafodelista"/>
        <w:numPr>
          <w:ilvl w:val="0"/>
          <w:numId w:val="62"/>
        </w:numPr>
        <w:jc w:val="left"/>
      </w:pPr>
      <w:r>
        <w:t>El objetivo estratégico 2 del PDD contiene 5 metas que ayudan a concretar los objetivos de largo plazo del POT, principalmente del objetivo 6.</w:t>
      </w:r>
    </w:p>
    <w:p w14:paraId="226E960A" w14:textId="77777777" w:rsidR="006B728F" w:rsidRDefault="006B728F" w:rsidP="00E31AA4">
      <w:pPr>
        <w:jc w:val="left"/>
      </w:pPr>
    </w:p>
    <w:p w14:paraId="077EB3BC" w14:textId="77777777" w:rsidR="006B728F" w:rsidRDefault="006B728F" w:rsidP="00CB6AEC">
      <w:pPr>
        <w:pStyle w:val="Prrafodelista"/>
        <w:numPr>
          <w:ilvl w:val="0"/>
          <w:numId w:val="62"/>
        </w:numPr>
        <w:jc w:val="left"/>
      </w:pPr>
      <w:r>
        <w:t>El objetivo estratégico 3 del PDD contiene 7 metas que ayudan a concretar los objetivos de largo plazo del POT, principalmente del objetivo 5.</w:t>
      </w:r>
    </w:p>
    <w:p w14:paraId="22C1EC52" w14:textId="77777777" w:rsidR="006B728F" w:rsidRDefault="006B728F" w:rsidP="00E31AA4">
      <w:pPr>
        <w:jc w:val="left"/>
      </w:pPr>
    </w:p>
    <w:p w14:paraId="0493C209" w14:textId="77777777" w:rsidR="006B728F" w:rsidRDefault="006B728F" w:rsidP="00CB6AEC">
      <w:pPr>
        <w:pStyle w:val="Prrafodelista"/>
        <w:numPr>
          <w:ilvl w:val="0"/>
          <w:numId w:val="62"/>
        </w:numPr>
        <w:jc w:val="left"/>
      </w:pPr>
      <w:r>
        <w:t>El objetivo estratégico 4 del PDD contiene 52 metas que ayudan a concretar todos los objetivos estratégicos del POT, siendo este el objetivo del PDD que más aporta a la concreción del POT.</w:t>
      </w:r>
    </w:p>
    <w:p w14:paraId="3387883F" w14:textId="77777777" w:rsidR="006B728F" w:rsidRDefault="006B728F" w:rsidP="00E31AA4">
      <w:pPr>
        <w:jc w:val="left"/>
      </w:pPr>
    </w:p>
    <w:p w14:paraId="71829C78" w14:textId="77777777" w:rsidR="006B728F" w:rsidRDefault="006B728F" w:rsidP="00CB6AEC">
      <w:pPr>
        <w:pStyle w:val="Prrafodelista"/>
        <w:numPr>
          <w:ilvl w:val="0"/>
          <w:numId w:val="62"/>
        </w:numPr>
        <w:jc w:val="left"/>
      </w:pPr>
      <w:r>
        <w:t xml:space="preserve">El objetivo estratégico 5 del PDD no contiene metas que ayuden a concretar el POT. </w:t>
      </w:r>
    </w:p>
    <w:p w14:paraId="3AB9A1A7" w14:textId="77777777" w:rsidR="006B728F" w:rsidRDefault="006B728F" w:rsidP="000F2D85">
      <w:pPr>
        <w:pStyle w:val="Prrafodelista"/>
      </w:pPr>
    </w:p>
    <w:p w14:paraId="7E7B5975" w14:textId="77777777" w:rsidR="006B728F" w:rsidRDefault="006B728F" w:rsidP="00CB6AEC">
      <w:pPr>
        <w:pStyle w:val="Prrafodelista"/>
        <w:numPr>
          <w:ilvl w:val="0"/>
          <w:numId w:val="62"/>
        </w:numPr>
      </w:pPr>
      <w:r>
        <w:t>En total, los objetivos estratégicos del PDD contienen 72 metas que ayudan a concretar los objetivos de largo plazo del POT</w:t>
      </w:r>
    </w:p>
    <w:p w14:paraId="43DD9BD9" w14:textId="77777777" w:rsidR="006B728F" w:rsidRPr="00BE108C" w:rsidRDefault="006B728F" w:rsidP="00E31AA4">
      <w:pPr>
        <w:rPr>
          <w:rFonts w:cs="Times New Roman (Body CS)"/>
          <w:spacing w:val="-14"/>
        </w:rPr>
      </w:pPr>
      <w:r w:rsidRPr="00BE108C">
        <w:rPr>
          <w:rFonts w:cs="Times New Roman (Body CS)"/>
          <w:spacing w:val="-14"/>
        </w:rPr>
        <w:t>Frente al Plan de Ordenamiento Territorial, la matriz anterior permite arrojar los siguientes datos:</w:t>
      </w:r>
    </w:p>
    <w:p w14:paraId="27B0B431" w14:textId="77777777" w:rsidR="006B728F" w:rsidRDefault="006B728F" w:rsidP="00E31AA4"/>
    <w:p w14:paraId="40FD85E8" w14:textId="77777777" w:rsidR="006B728F" w:rsidRDefault="006B728F" w:rsidP="00CB6AEC">
      <w:pPr>
        <w:pStyle w:val="Prrafodelista"/>
        <w:numPr>
          <w:ilvl w:val="0"/>
          <w:numId w:val="63"/>
        </w:numPr>
        <w:jc w:val="left"/>
      </w:pPr>
      <w:r>
        <w:t xml:space="preserve">Las metas del objetivo 1 del POT se comienzan a concretar a través de 6 metas del PDD. </w:t>
      </w:r>
    </w:p>
    <w:p w14:paraId="5906E168" w14:textId="77777777" w:rsidR="006B728F" w:rsidRDefault="006B728F" w:rsidP="00EF2704">
      <w:pPr>
        <w:pStyle w:val="Prrafodelista"/>
        <w:jc w:val="left"/>
      </w:pPr>
    </w:p>
    <w:p w14:paraId="78024199" w14:textId="77777777" w:rsidR="006B728F" w:rsidRDefault="006B728F" w:rsidP="00CB6AEC">
      <w:pPr>
        <w:pStyle w:val="Prrafodelista"/>
        <w:numPr>
          <w:ilvl w:val="0"/>
          <w:numId w:val="63"/>
        </w:numPr>
        <w:jc w:val="left"/>
      </w:pPr>
      <w:r>
        <w:t>Las metas del objetivo 2 del POT se comienzan a concretar a través de 5 metas del PDD.</w:t>
      </w:r>
    </w:p>
    <w:p w14:paraId="099B7D3A" w14:textId="77777777" w:rsidR="006B728F" w:rsidRDefault="006B728F" w:rsidP="00CB6AEC">
      <w:pPr>
        <w:pStyle w:val="Prrafodelista"/>
        <w:numPr>
          <w:ilvl w:val="0"/>
          <w:numId w:val="63"/>
        </w:numPr>
        <w:jc w:val="left"/>
      </w:pPr>
      <w:r>
        <w:t xml:space="preserve">Las metas del objetivo 3 del POT se comienzan a concretar a través de 14 metas del PDD. </w:t>
      </w:r>
    </w:p>
    <w:p w14:paraId="2D1FCA40" w14:textId="77777777" w:rsidR="006B728F" w:rsidRDefault="006B728F" w:rsidP="00EF2704">
      <w:pPr>
        <w:ind w:left="360"/>
        <w:jc w:val="left"/>
      </w:pPr>
    </w:p>
    <w:p w14:paraId="379ECB39" w14:textId="77777777" w:rsidR="006B728F" w:rsidRDefault="006B728F" w:rsidP="00CB6AEC">
      <w:pPr>
        <w:pStyle w:val="Prrafodelista"/>
        <w:numPr>
          <w:ilvl w:val="0"/>
          <w:numId w:val="63"/>
        </w:numPr>
        <w:jc w:val="left"/>
      </w:pPr>
      <w:r>
        <w:t xml:space="preserve">Las metas del objetivo 4 del POT se comienzan a concretar a través de 6 metas del PDD. </w:t>
      </w:r>
    </w:p>
    <w:p w14:paraId="61E7189B" w14:textId="77777777" w:rsidR="006B728F" w:rsidRDefault="006B728F" w:rsidP="00EF2704">
      <w:pPr>
        <w:jc w:val="left"/>
      </w:pPr>
    </w:p>
    <w:p w14:paraId="79A7D669" w14:textId="77777777" w:rsidR="006B728F" w:rsidRDefault="006B728F" w:rsidP="00CB6AEC">
      <w:pPr>
        <w:pStyle w:val="Prrafodelista"/>
        <w:numPr>
          <w:ilvl w:val="0"/>
          <w:numId w:val="63"/>
        </w:numPr>
        <w:jc w:val="left"/>
      </w:pPr>
      <w:r>
        <w:t>Las metas del objetivo 5 del POT se comienzan a concretar a través de 16 metas del PDD.</w:t>
      </w:r>
    </w:p>
    <w:p w14:paraId="36D96DC3" w14:textId="77777777" w:rsidR="006B728F" w:rsidRDefault="006B728F" w:rsidP="00EF2704">
      <w:pPr>
        <w:jc w:val="left"/>
      </w:pPr>
    </w:p>
    <w:p w14:paraId="4E548FCE" w14:textId="77777777" w:rsidR="006B728F" w:rsidRDefault="006B728F" w:rsidP="00CB6AEC">
      <w:pPr>
        <w:pStyle w:val="Prrafodelista"/>
        <w:numPr>
          <w:ilvl w:val="0"/>
          <w:numId w:val="63"/>
        </w:numPr>
        <w:jc w:val="left"/>
      </w:pPr>
      <w:r>
        <w:t>Las metas del objetivo 6 del POT se comienzan a concretar a través de 38 metas del PDD, siendo este el objetivo que mayor aporte tiene con las metas del PDD.</w:t>
      </w:r>
    </w:p>
    <w:p w14:paraId="1D1DB3FF" w14:textId="77777777" w:rsidR="006B728F" w:rsidRDefault="006B728F" w:rsidP="00EF2704">
      <w:pPr>
        <w:jc w:val="left"/>
      </w:pPr>
    </w:p>
    <w:p w14:paraId="178EEF2B" w14:textId="77777777" w:rsidR="006B728F" w:rsidRPr="000F2D85" w:rsidRDefault="006B728F" w:rsidP="00CB6AEC">
      <w:pPr>
        <w:pStyle w:val="Prrafodelista"/>
        <w:numPr>
          <w:ilvl w:val="0"/>
          <w:numId w:val="63"/>
        </w:numPr>
        <w:jc w:val="left"/>
        <w:sectPr w:rsidR="006B728F" w:rsidRPr="000F2D85" w:rsidSect="00F7078E">
          <w:type w:val="continuous"/>
          <w:pgSz w:w="12240" w:h="15840"/>
          <w:pgMar w:top="2262" w:right="1440" w:bottom="1440" w:left="1440" w:header="709" w:footer="709" w:gutter="0"/>
          <w:cols w:num="2" w:space="567"/>
          <w:docGrid w:linePitch="360"/>
        </w:sectPr>
      </w:pPr>
      <w:r>
        <w:t>Las metas del objetivo 7 del POT se comienzan a concretar a través de 9 metas del PDD.</w:t>
      </w:r>
    </w:p>
    <w:p w14:paraId="6179FA91" w14:textId="77777777" w:rsidR="006B728F" w:rsidRDefault="006B728F" w:rsidP="007C7627"/>
    <w:p w14:paraId="1F8E847D" w14:textId="77777777" w:rsidR="006B728F" w:rsidRPr="00EF2704" w:rsidRDefault="006B728F" w:rsidP="007C7627"/>
    <w:p w14:paraId="397D73E5" w14:textId="7DAC405D" w:rsidR="006B728F" w:rsidRPr="00574B4F" w:rsidRDefault="006B728F" w:rsidP="0064296F">
      <w:pPr>
        <w:pStyle w:val="subnumeros"/>
        <w:numPr>
          <w:ilvl w:val="0"/>
          <w:numId w:val="0"/>
        </w:numPr>
        <w:ind w:left="1145" w:hanging="720"/>
        <w:outlineLvl w:val="9"/>
      </w:pPr>
      <w:r w:rsidRPr="00574B4F">
        <w:t>Hallazgos del cruce de objetivos y metas PDD y POT</w:t>
      </w:r>
      <w:bookmarkEnd w:id="494"/>
    </w:p>
    <w:p w14:paraId="1CD3F2C8" w14:textId="77777777" w:rsidR="006B728F" w:rsidRPr="00574B4F" w:rsidRDefault="006B728F" w:rsidP="0095112D">
      <w:pPr>
        <w:pStyle w:val="subnumeros"/>
        <w:numPr>
          <w:ilvl w:val="2"/>
          <w:numId w:val="46"/>
        </w:numPr>
        <w:sectPr w:rsidR="006B728F" w:rsidRPr="00574B4F" w:rsidSect="00F7078E">
          <w:type w:val="continuous"/>
          <w:pgSz w:w="12240" w:h="15840"/>
          <w:pgMar w:top="2262" w:right="1440" w:bottom="1440" w:left="1440" w:header="709" w:footer="709" w:gutter="0"/>
          <w:cols w:space="567"/>
          <w:docGrid w:linePitch="360"/>
        </w:sectPr>
      </w:pPr>
    </w:p>
    <w:p w14:paraId="0A15AD4A" w14:textId="77777777" w:rsidR="006B728F" w:rsidRPr="008D6B5C" w:rsidRDefault="006B728F" w:rsidP="00EF2704">
      <w:pPr>
        <w:rPr>
          <w:rFonts w:cs="Times New Roman (Cuerpo en alfa"/>
          <w:spacing w:val="-6"/>
        </w:rPr>
      </w:pPr>
      <w:r w:rsidRPr="008D6B5C">
        <w:rPr>
          <w:rFonts w:cs="Times New Roman (Cuerpo en alfa"/>
          <w:spacing w:val="-6"/>
        </w:rPr>
        <w:t xml:space="preserve">Del cruce de los objetivos y metas entre </w:t>
      </w:r>
      <w:r>
        <w:rPr>
          <w:rFonts w:cs="Times New Roman (Cuerpo en alfa"/>
          <w:spacing w:val="-6"/>
        </w:rPr>
        <w:t xml:space="preserve">el Plan Distrital de Desarrollo </w:t>
      </w:r>
      <w:r w:rsidRPr="008D6B5C">
        <w:rPr>
          <w:rFonts w:cs="Times New Roman (Cuerpo en alfa"/>
          <w:spacing w:val="-6"/>
        </w:rPr>
        <w:t xml:space="preserve">y </w:t>
      </w:r>
      <w:r>
        <w:rPr>
          <w:rFonts w:cs="Times New Roman (Cuerpo en alfa"/>
          <w:spacing w:val="-6"/>
        </w:rPr>
        <w:t xml:space="preserve">el </w:t>
      </w:r>
      <w:r w:rsidRPr="008D6B5C">
        <w:rPr>
          <w:rFonts w:cs="Times New Roman (Cuerpo en alfa"/>
          <w:spacing w:val="-6"/>
        </w:rPr>
        <w:t xml:space="preserve">Plan de Ordenamiento Territorial se tiene que al menos </w:t>
      </w:r>
      <w:r>
        <w:rPr>
          <w:rFonts w:cs="Times New Roman (Cuerpo en alfa"/>
          <w:spacing w:val="-6"/>
        </w:rPr>
        <w:t>72</w:t>
      </w:r>
      <w:r w:rsidRPr="008D6B5C">
        <w:rPr>
          <w:rFonts w:cs="Times New Roman (Cuerpo en alfa"/>
          <w:spacing w:val="-6"/>
        </w:rPr>
        <w:t xml:space="preserve"> metas del </w:t>
      </w:r>
      <w:r>
        <w:rPr>
          <w:rFonts w:cs="Times New Roman (Cuerpo en alfa"/>
          <w:spacing w:val="-6"/>
        </w:rPr>
        <w:t xml:space="preserve">Plan Distrital de Desarrollo </w:t>
      </w:r>
      <w:r w:rsidRPr="008D6B5C">
        <w:rPr>
          <w:rFonts w:cs="Times New Roman (Cuerpo en alfa"/>
          <w:spacing w:val="-6"/>
        </w:rPr>
        <w:t xml:space="preserve">ayudan a consolidar los objetivos del Plan de Ordenamiento Territorial. La </w:t>
      </w:r>
      <w:r w:rsidRPr="008D6B5C">
        <w:rPr>
          <w:rFonts w:cs="Times New Roman (Cuerpo en alfa"/>
          <w:spacing w:val="-6"/>
        </w:rPr>
        <w:t>articulación más fuerte entre ambos instrumentos se da en los objetivos que guardan relación con el equilibrio territorial y la reducción de las desigualdades representadas por la oferta de infraestructuras y soportes urbanos y rurales (figura 9).</w:t>
      </w:r>
    </w:p>
    <w:p w14:paraId="7CA5A00F" w14:textId="77777777" w:rsidR="006B728F" w:rsidRDefault="006B728F" w:rsidP="00EF2704">
      <w:pPr>
        <w:sectPr w:rsidR="006B728F" w:rsidSect="00F7078E">
          <w:type w:val="continuous"/>
          <w:pgSz w:w="12240" w:h="15840"/>
          <w:pgMar w:top="2262" w:right="1440" w:bottom="1440" w:left="1440" w:header="709" w:footer="709" w:gutter="0"/>
          <w:cols w:num="2" w:space="567"/>
          <w:docGrid w:linePitch="360"/>
        </w:sectPr>
      </w:pPr>
    </w:p>
    <w:p w14:paraId="78FA57C8" w14:textId="77777777" w:rsidR="006B728F" w:rsidRDefault="006B728F" w:rsidP="00EF2704"/>
    <w:p w14:paraId="37068912" w14:textId="03179EEC" w:rsidR="006B728F" w:rsidRPr="0064296F" w:rsidRDefault="006B728F" w:rsidP="0064296F">
      <w:pPr>
        <w:pStyle w:val="Descripcin"/>
        <w:jc w:val="center"/>
        <w:rPr>
          <w:sz w:val="18"/>
        </w:rPr>
      </w:pPr>
      <w:bookmarkStart w:id="495" w:name="_Toc165170000"/>
      <w:r w:rsidRPr="0064296F">
        <w:rPr>
          <w:b w:val="0"/>
          <w:bCs/>
          <w:noProof/>
          <w:color w:val="C00000"/>
          <w:sz w:val="18"/>
        </w:rPr>
        <w:lastRenderedPageBreak/>
        <w:drawing>
          <wp:anchor distT="0" distB="0" distL="114300" distR="114300" simplePos="0" relativeHeight="251834368" behindDoc="0" locked="0" layoutInCell="1" allowOverlap="1" wp14:anchorId="6703C797" wp14:editId="15DA567B">
            <wp:simplePos x="0" y="0"/>
            <wp:positionH relativeFrom="column">
              <wp:posOffset>0</wp:posOffset>
            </wp:positionH>
            <wp:positionV relativeFrom="paragraph">
              <wp:posOffset>181409</wp:posOffset>
            </wp:positionV>
            <wp:extent cx="5612130" cy="3535680"/>
            <wp:effectExtent l="0" t="0" r="0" b="0"/>
            <wp:wrapSquare wrapText="bothSides"/>
            <wp:docPr id="484475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75748" name="Picture 484475748"/>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612130" cy="3535680"/>
                    </a:xfrm>
                    <a:prstGeom prst="rect">
                      <a:avLst/>
                    </a:prstGeom>
                  </pic:spPr>
                </pic:pic>
              </a:graphicData>
            </a:graphic>
            <wp14:sizeRelH relativeFrom="page">
              <wp14:pctWidth>0</wp14:pctWidth>
            </wp14:sizeRelH>
            <wp14:sizeRelV relativeFrom="page">
              <wp14:pctHeight>0</wp14:pctHeight>
            </wp14:sizeRelV>
          </wp:anchor>
        </w:drawing>
      </w:r>
      <w:r w:rsidR="0064296F" w:rsidRPr="0064296F">
        <w:rPr>
          <w:color w:val="C00000"/>
          <w:sz w:val="18"/>
        </w:rPr>
        <w:t xml:space="preserve">Figura </w:t>
      </w:r>
      <w:r w:rsidR="0064296F" w:rsidRPr="0064296F">
        <w:rPr>
          <w:color w:val="C00000"/>
          <w:sz w:val="18"/>
        </w:rPr>
        <w:fldChar w:fldCharType="begin"/>
      </w:r>
      <w:r w:rsidR="0064296F" w:rsidRPr="0064296F">
        <w:rPr>
          <w:color w:val="C00000"/>
          <w:sz w:val="18"/>
        </w:rPr>
        <w:instrText xml:space="preserve"> SEQ Figura \* ARABIC </w:instrText>
      </w:r>
      <w:r w:rsidR="0064296F" w:rsidRPr="0064296F">
        <w:rPr>
          <w:color w:val="C00000"/>
          <w:sz w:val="18"/>
        </w:rPr>
        <w:fldChar w:fldCharType="separate"/>
      </w:r>
      <w:r w:rsidR="00D01651">
        <w:rPr>
          <w:noProof/>
          <w:color w:val="C00000"/>
          <w:sz w:val="18"/>
        </w:rPr>
        <w:t>24</w:t>
      </w:r>
      <w:r w:rsidR="0064296F" w:rsidRPr="0064296F">
        <w:rPr>
          <w:color w:val="C00000"/>
          <w:sz w:val="18"/>
        </w:rPr>
        <w:fldChar w:fldCharType="end"/>
      </w:r>
      <w:r w:rsidR="0064296F" w:rsidRPr="0064296F">
        <w:rPr>
          <w:color w:val="C00000"/>
          <w:sz w:val="18"/>
        </w:rPr>
        <w:t xml:space="preserve">. </w:t>
      </w:r>
      <w:r w:rsidRPr="0064296F">
        <w:rPr>
          <w:sz w:val="18"/>
        </w:rPr>
        <w:t>Articulación objetivos estratégicos del PDD y objetivos de largo plazo del POT</w:t>
      </w:r>
      <w:bookmarkEnd w:id="495"/>
    </w:p>
    <w:p w14:paraId="10C5434B" w14:textId="77777777" w:rsidR="006B728F" w:rsidRDefault="006B728F" w:rsidP="00AE7657">
      <w:pPr>
        <w:pStyle w:val="ffigura"/>
        <w:rPr>
          <w:b w:val="0"/>
          <w:bCs w:val="0"/>
        </w:rPr>
      </w:pPr>
      <w:r w:rsidRPr="000274A7">
        <w:t xml:space="preserve">Fuente: </w:t>
      </w:r>
      <w:r w:rsidRPr="000274A7">
        <w:rPr>
          <w:b w:val="0"/>
          <w:bCs w:val="0"/>
        </w:rPr>
        <w:t>Secretaría Distrital de Planeación, 2024</w:t>
      </w:r>
    </w:p>
    <w:p w14:paraId="7AB36038" w14:textId="77777777" w:rsidR="006B728F" w:rsidRDefault="006B728F" w:rsidP="00AE7657">
      <w:pPr>
        <w:pStyle w:val="ffigura"/>
      </w:pPr>
    </w:p>
    <w:p w14:paraId="4E7F4B97" w14:textId="77777777" w:rsidR="006B728F" w:rsidRDefault="006B728F" w:rsidP="00EF2704">
      <w:pPr>
        <w:rPr>
          <w:rFonts w:cs="Times New Roman (Cuerpo en alfa"/>
          <w:spacing w:val="-8"/>
        </w:rPr>
        <w:sectPr w:rsidR="006B728F" w:rsidSect="00F7078E">
          <w:type w:val="continuous"/>
          <w:pgSz w:w="12240" w:h="15840"/>
          <w:pgMar w:top="2262" w:right="1440" w:bottom="1440" w:left="1440" w:header="709" w:footer="709" w:gutter="0"/>
          <w:cols w:space="708"/>
          <w:docGrid w:linePitch="360"/>
        </w:sectPr>
      </w:pPr>
    </w:p>
    <w:p w14:paraId="0483B474" w14:textId="77777777" w:rsidR="006B728F" w:rsidRPr="00EF2704" w:rsidRDefault="006B728F" w:rsidP="00EF2704">
      <w:pPr>
        <w:rPr>
          <w:rFonts w:cs="Times New Roman (Cuerpo en alfa"/>
          <w:spacing w:val="-8"/>
        </w:rPr>
      </w:pPr>
      <w:r w:rsidRPr="00EF2704">
        <w:rPr>
          <w:rFonts w:cs="Times New Roman (Cuerpo en alfa"/>
          <w:spacing w:val="-8"/>
        </w:rPr>
        <w:t xml:space="preserve">En el caso del PDD, lo anterior se encuentra en el OE4 </w:t>
      </w:r>
      <w:r w:rsidRPr="00EF2704">
        <w:rPr>
          <w:rFonts w:cs="Times New Roman (Cuerpo en alfa"/>
          <w:i/>
          <w:spacing w:val="-8"/>
        </w:rPr>
        <w:t xml:space="preserve">“Bogotá ordena su territorio y avanza en su acción climática”, </w:t>
      </w:r>
      <w:r w:rsidRPr="00EF2704">
        <w:rPr>
          <w:rFonts w:cs="Times New Roman (Cuerpo en alfa"/>
          <w:spacing w:val="-8"/>
        </w:rPr>
        <w:t xml:space="preserve">objetivo que principalmente se enfoca en el ordenamiento territorial del Distrito Capital e involucra proyectos de movilidad sostenible y cualificación de espacios públicos; y en el caso del POT se encuentra en el </w:t>
      </w:r>
      <w:r w:rsidRPr="00EF2704">
        <w:rPr>
          <w:rFonts w:cs="Times New Roman (Cuerpo en alfa"/>
          <w:i/>
          <w:spacing w:val="-8"/>
        </w:rPr>
        <w:t>O6 “Reducir los desequilibrios y desigualdades para un territorio más solidario y cuidador”.</w:t>
      </w:r>
      <w:r w:rsidRPr="00EF2704">
        <w:rPr>
          <w:rFonts w:cs="Times New Roman (Cuerpo en alfa"/>
          <w:spacing w:val="-8"/>
        </w:rPr>
        <w:t xml:space="preserve"> De manera que el </w:t>
      </w:r>
      <w:r w:rsidRPr="00EF2704">
        <w:rPr>
          <w:rFonts w:cs="Times New Roman (Cuerpo en alfa"/>
          <w:b/>
          <w:spacing w:val="-8"/>
        </w:rPr>
        <w:t xml:space="preserve">Plan dispone al menos </w:t>
      </w:r>
      <w:r>
        <w:rPr>
          <w:rFonts w:cs="Times New Roman (Cuerpo en alfa"/>
          <w:b/>
          <w:spacing w:val="-8"/>
        </w:rPr>
        <w:t>52</w:t>
      </w:r>
      <w:r w:rsidRPr="00EF2704">
        <w:rPr>
          <w:rFonts w:cs="Times New Roman (Cuerpo en alfa"/>
          <w:b/>
          <w:spacing w:val="-8"/>
        </w:rPr>
        <w:t xml:space="preserve"> metas a través del OE4 que aportarán a la concreción de los objetivos del POT</w:t>
      </w:r>
      <w:r w:rsidRPr="00EF2704">
        <w:rPr>
          <w:rFonts w:cs="Times New Roman (Cuerpo en alfa"/>
          <w:spacing w:val="-8"/>
        </w:rPr>
        <w:t xml:space="preserve">. </w:t>
      </w:r>
    </w:p>
    <w:p w14:paraId="4BAE7C63" w14:textId="77777777" w:rsidR="006B728F" w:rsidRPr="00EF2704" w:rsidRDefault="006B728F" w:rsidP="00EF2704">
      <w:pPr>
        <w:rPr>
          <w:rFonts w:cs="Times New Roman (Cuerpo en alfa"/>
          <w:spacing w:val="-8"/>
        </w:rPr>
      </w:pPr>
    </w:p>
    <w:p w14:paraId="7FE6CF48" w14:textId="77777777" w:rsidR="006B728F" w:rsidRPr="00EF2704" w:rsidRDefault="006B728F" w:rsidP="00EF2704">
      <w:pPr>
        <w:rPr>
          <w:rFonts w:cs="Times New Roman (Cuerpo en alfa"/>
          <w:spacing w:val="-8"/>
        </w:rPr>
      </w:pPr>
      <w:r w:rsidRPr="00EF2704">
        <w:rPr>
          <w:rFonts w:cs="Times New Roman (Cuerpo en alfa"/>
          <w:spacing w:val="-8"/>
        </w:rPr>
        <w:t xml:space="preserve">También es posible identificar que </w:t>
      </w:r>
      <w:r w:rsidRPr="00EF2704">
        <w:rPr>
          <w:rFonts w:cs="Times New Roman (Cuerpo en alfa"/>
          <w:b/>
          <w:spacing w:val="-8"/>
        </w:rPr>
        <w:t xml:space="preserve">el OE1 </w:t>
      </w:r>
      <w:r w:rsidRPr="00EF2704">
        <w:rPr>
          <w:rFonts w:cs="Times New Roman (Cuerpo en alfa"/>
          <w:b/>
          <w:i/>
          <w:spacing w:val="-8"/>
        </w:rPr>
        <w:t xml:space="preserve">“Bogotá </w:t>
      </w:r>
      <w:r>
        <w:rPr>
          <w:rFonts w:cs="Times New Roman (Cuerpo en alfa"/>
          <w:b/>
          <w:i/>
          <w:spacing w:val="-8"/>
        </w:rPr>
        <w:t>avanza en seguridad</w:t>
      </w:r>
      <w:r w:rsidRPr="00EF2704">
        <w:rPr>
          <w:rFonts w:cs="Times New Roman (Cuerpo en alfa"/>
          <w:b/>
          <w:i/>
          <w:spacing w:val="-8"/>
        </w:rPr>
        <w:t>”</w:t>
      </w:r>
      <w:r w:rsidRPr="00EF2704">
        <w:rPr>
          <w:rFonts w:cs="Times New Roman (Cuerpo en alfa"/>
          <w:b/>
          <w:spacing w:val="-8"/>
        </w:rPr>
        <w:t xml:space="preserve"> del PDD contiene al menos </w:t>
      </w:r>
      <w:r>
        <w:rPr>
          <w:rFonts w:cs="Times New Roman (Cuerpo en alfa"/>
          <w:b/>
          <w:spacing w:val="-8"/>
        </w:rPr>
        <w:t>6</w:t>
      </w:r>
      <w:r w:rsidRPr="00EF2704">
        <w:rPr>
          <w:rFonts w:cs="Times New Roman (Cuerpo en alfa"/>
          <w:b/>
          <w:spacing w:val="-8"/>
        </w:rPr>
        <w:t xml:space="preserve"> metas a través de las cuales se podrá cumplir con diferentes apuestas del O6 del POT </w:t>
      </w:r>
      <w:r w:rsidRPr="00EF2704">
        <w:rPr>
          <w:rFonts w:cs="Times New Roman (Cuerpo en alfa"/>
          <w:spacing w:val="-8"/>
        </w:rPr>
        <w:t xml:space="preserve">relacionadas con la consolidación de manzanas del cuidado, la generación de parques y el mejoramiento de la infraestructura peatonal, toda vez que </w:t>
      </w:r>
      <w:r w:rsidRPr="00EF2704">
        <w:rPr>
          <w:rFonts w:cs="Times New Roman (Cuerpo en alfa"/>
          <w:b/>
          <w:spacing w:val="-8"/>
        </w:rPr>
        <w:t xml:space="preserve">el PDD busca alcanzar la seguridad también a través de la generación de entornos seguros, donde las acciones de revitalización sobre el espacio público son prioritarias </w:t>
      </w:r>
      <w:r w:rsidRPr="00EF2704">
        <w:rPr>
          <w:rFonts w:cs="Times New Roman (Cuerpo en alfa"/>
          <w:spacing w:val="-8"/>
        </w:rPr>
        <w:t xml:space="preserve">y </w:t>
      </w:r>
      <w:r w:rsidRPr="00EF2704">
        <w:rPr>
          <w:rFonts w:cs="Times New Roman (Cuerpo en alfa"/>
          <w:spacing w:val="-8"/>
        </w:rPr>
        <w:t xml:space="preserve">coinciden fuertemente con el manejo de vitalidad y seguridad que el POT ha dispuesto para la conformación de los espacios públicos en el distrito capital. </w:t>
      </w:r>
    </w:p>
    <w:p w14:paraId="54AAFDE2" w14:textId="77777777" w:rsidR="006B728F" w:rsidRPr="00EF2704" w:rsidRDefault="006B728F" w:rsidP="00EF2704">
      <w:pPr>
        <w:rPr>
          <w:rFonts w:cs="Times New Roman (Cuerpo en alfa"/>
          <w:spacing w:val="-8"/>
        </w:rPr>
      </w:pPr>
    </w:p>
    <w:p w14:paraId="3EDAA357" w14:textId="77777777" w:rsidR="006B728F" w:rsidRPr="00EF2704" w:rsidRDefault="006B728F" w:rsidP="00EF2704">
      <w:pPr>
        <w:rPr>
          <w:rFonts w:cs="Times New Roman (Cuerpo en alfa"/>
          <w:spacing w:val="-8"/>
        </w:rPr>
      </w:pPr>
      <w:r w:rsidRPr="00EF2704">
        <w:rPr>
          <w:rFonts w:cs="Times New Roman (Cuerpo en alfa"/>
          <w:b/>
          <w:spacing w:val="-8"/>
        </w:rPr>
        <w:t xml:space="preserve">En menor medida, los objetivos OE2 </w:t>
      </w:r>
      <w:r w:rsidRPr="00EF2704">
        <w:rPr>
          <w:rFonts w:cs="Times New Roman (Cuerpo en alfa"/>
          <w:b/>
          <w:i/>
          <w:spacing w:val="-8"/>
        </w:rPr>
        <w:t>“Bogotá confía en su bien–estar”</w:t>
      </w:r>
      <w:r w:rsidRPr="00EF2704">
        <w:rPr>
          <w:rFonts w:cs="Times New Roman (Cuerpo en alfa"/>
          <w:b/>
          <w:spacing w:val="-8"/>
        </w:rPr>
        <w:t xml:space="preserve"> y OE3 </w:t>
      </w:r>
      <w:r w:rsidRPr="00EF2704">
        <w:rPr>
          <w:rFonts w:cs="Times New Roman (Cuerpo en alfa"/>
          <w:b/>
          <w:i/>
          <w:spacing w:val="-8"/>
        </w:rPr>
        <w:t>“Bogotá confía en su potencial”</w:t>
      </w:r>
      <w:r w:rsidRPr="00EF2704">
        <w:rPr>
          <w:rFonts w:cs="Times New Roman (Cuerpo en alfa"/>
          <w:b/>
          <w:spacing w:val="-8"/>
        </w:rPr>
        <w:t xml:space="preserve"> concretarán iniciativas del POT en temas importantes como la disminución de desequilibrios y desigualdades del territorio y la reactivación económica</w:t>
      </w:r>
      <w:r w:rsidRPr="00EF2704">
        <w:rPr>
          <w:rFonts w:cs="Times New Roman (Cuerpo en alfa"/>
          <w:spacing w:val="-8"/>
        </w:rPr>
        <w:t>. Esto, mediante programas PDD como 2.12 “Bogotá cuida a su gente”, 3.18. “Ciencia, tecnología e innovación-CTel para desarrollar nuestro potencial y promover el de nuestros vecinos regionales”, 3.19 “Desarrollo empresarial, productividad y empleo” y 3.20 “Promoción del emprendimiento formal, equitativo e incluyente” los cuales son tópicos que implican proporcionar los soportes e infraestructuras que respondan a las necesidades de las nuevas actividades productivas y desarrollar infraestructura del cuidado, recreativa y deportiva cuya presencia sigue sien</w:t>
      </w:r>
      <w:r>
        <w:rPr>
          <w:rFonts w:cs="Times New Roman (Cuerpo en alfa"/>
          <w:spacing w:val="-8"/>
        </w:rPr>
        <w:t>d</w:t>
      </w:r>
      <w:r w:rsidRPr="00EF2704">
        <w:rPr>
          <w:rFonts w:cs="Times New Roman (Cuerpo en alfa"/>
          <w:spacing w:val="-8"/>
        </w:rPr>
        <w:t>o deficiente en el territorio urbano y rural.</w:t>
      </w:r>
    </w:p>
    <w:p w14:paraId="64B90B15" w14:textId="77777777" w:rsidR="006B728F" w:rsidRPr="00EF2704" w:rsidRDefault="006B728F" w:rsidP="00EF2704">
      <w:pPr>
        <w:rPr>
          <w:rFonts w:cs="Times New Roman (Cuerpo en alfa"/>
          <w:spacing w:val="-8"/>
        </w:rPr>
      </w:pPr>
    </w:p>
    <w:p w14:paraId="29EB1399" w14:textId="77777777" w:rsidR="006B728F" w:rsidRPr="00EF2704" w:rsidRDefault="006B728F" w:rsidP="00EF2704">
      <w:pPr>
        <w:rPr>
          <w:rFonts w:cs="Times New Roman (Cuerpo en alfa"/>
          <w:spacing w:val="-8"/>
        </w:rPr>
      </w:pPr>
      <w:r w:rsidRPr="00EF2704">
        <w:rPr>
          <w:rFonts w:cs="Times New Roman (Cuerpo en alfa"/>
          <w:spacing w:val="-8"/>
        </w:rPr>
        <w:lastRenderedPageBreak/>
        <w:t xml:space="preserve">Visto desde la perspectiva del POT, </w:t>
      </w:r>
      <w:r w:rsidRPr="00EF2704">
        <w:rPr>
          <w:rFonts w:cs="Times New Roman (Cuerpo en alfa"/>
          <w:b/>
          <w:spacing w:val="-8"/>
        </w:rPr>
        <w:t>el objetivo que se incorpora en mayor medida en las apuestas del PDD es el O6</w:t>
      </w:r>
      <w:r w:rsidRPr="00EF2704">
        <w:rPr>
          <w:rFonts w:cs="Times New Roman (Cuerpo en alfa"/>
          <w:b/>
          <w:i/>
          <w:spacing w:val="-8"/>
        </w:rPr>
        <w:t xml:space="preserve"> “Reducir los desequilibrios y desigualdades para un territorio más solidario y cuidador”, </w:t>
      </w:r>
      <w:r w:rsidRPr="00EF2704">
        <w:rPr>
          <w:rFonts w:cs="Times New Roman (Cuerpo en alfa"/>
          <w:b/>
          <w:spacing w:val="-8"/>
        </w:rPr>
        <w:t xml:space="preserve">seguido del O5 </w:t>
      </w:r>
      <w:r w:rsidRPr="00EF2704">
        <w:rPr>
          <w:rFonts w:cs="Times New Roman (Cuerpo en alfa"/>
          <w:b/>
          <w:i/>
          <w:spacing w:val="-8"/>
        </w:rPr>
        <w:t>“Promover el dinamismo, la reactivación económica y la creación de empleos”,</w:t>
      </w:r>
      <w:r w:rsidRPr="00EF2704">
        <w:rPr>
          <w:rFonts w:cs="Times New Roman (Cuerpo en alfa"/>
          <w:b/>
          <w:spacing w:val="-8"/>
        </w:rPr>
        <w:t xml:space="preserve"> con 3</w:t>
      </w:r>
      <w:r>
        <w:rPr>
          <w:rFonts w:cs="Times New Roman (Cuerpo en alfa"/>
          <w:b/>
          <w:spacing w:val="-8"/>
        </w:rPr>
        <w:t>8</w:t>
      </w:r>
      <w:r w:rsidRPr="00EF2704">
        <w:rPr>
          <w:rFonts w:cs="Times New Roman (Cuerpo en alfa"/>
          <w:b/>
          <w:spacing w:val="-8"/>
        </w:rPr>
        <w:t xml:space="preserve"> y </w:t>
      </w:r>
      <w:r>
        <w:rPr>
          <w:rFonts w:cs="Times New Roman (Cuerpo en alfa"/>
          <w:b/>
          <w:spacing w:val="-8"/>
        </w:rPr>
        <w:t>16</w:t>
      </w:r>
      <w:r w:rsidRPr="00EF2704">
        <w:rPr>
          <w:rFonts w:cs="Times New Roman (Cuerpo en alfa"/>
          <w:b/>
          <w:spacing w:val="-8"/>
        </w:rPr>
        <w:t xml:space="preserve"> </w:t>
      </w:r>
      <w:r>
        <w:rPr>
          <w:rFonts w:cs="Times New Roman (Cuerpo en alfa"/>
          <w:b/>
          <w:spacing w:val="-8"/>
        </w:rPr>
        <w:t xml:space="preserve">relaciones de </w:t>
      </w:r>
      <w:r w:rsidRPr="00EF2704">
        <w:rPr>
          <w:rFonts w:cs="Times New Roman (Cuerpo en alfa"/>
          <w:b/>
          <w:spacing w:val="-8"/>
        </w:rPr>
        <w:t>metas respectivamente</w:t>
      </w:r>
      <w:r w:rsidRPr="00EF2704">
        <w:rPr>
          <w:rFonts w:cs="Times New Roman (Cuerpo en alfa"/>
          <w:spacing w:val="-8"/>
        </w:rPr>
        <w:t>. En tercer lugar, se podría indicar que el O3</w:t>
      </w:r>
      <w:r w:rsidRPr="00EF2704">
        <w:rPr>
          <w:rFonts w:cs="Times New Roman (Cuerpo en alfa"/>
          <w:i/>
          <w:spacing w:val="-8"/>
        </w:rPr>
        <w:t xml:space="preserve"> “Mejorar el ambiente urbano y de los asentamientos rurales” </w:t>
      </w:r>
      <w:r w:rsidRPr="00EF2704">
        <w:rPr>
          <w:rFonts w:cs="Times New Roman (Cuerpo en alfa"/>
          <w:spacing w:val="-8"/>
        </w:rPr>
        <w:t xml:space="preserve">también encuentra asidero en el PDD con 14 </w:t>
      </w:r>
      <w:r>
        <w:rPr>
          <w:rFonts w:cs="Times New Roman (Cuerpo en alfa"/>
          <w:spacing w:val="-8"/>
        </w:rPr>
        <w:t xml:space="preserve">relaciones de </w:t>
      </w:r>
      <w:r w:rsidRPr="00EF2704">
        <w:rPr>
          <w:rFonts w:cs="Times New Roman (Cuerpo en alfa"/>
          <w:spacing w:val="-8"/>
        </w:rPr>
        <w:t xml:space="preserve">metas. </w:t>
      </w:r>
    </w:p>
    <w:p w14:paraId="3A5BAECC" w14:textId="77777777" w:rsidR="006B728F" w:rsidRPr="00EF2704" w:rsidRDefault="006B728F" w:rsidP="00EF2704">
      <w:pPr>
        <w:rPr>
          <w:rFonts w:cs="Times New Roman (Cuerpo en alfa"/>
          <w:spacing w:val="-8"/>
        </w:rPr>
      </w:pPr>
    </w:p>
    <w:p w14:paraId="6A4D9642" w14:textId="77777777" w:rsidR="006B728F" w:rsidRPr="00EF2704" w:rsidRDefault="006B728F" w:rsidP="00EF2704">
      <w:pPr>
        <w:rPr>
          <w:rFonts w:cs="Times New Roman (Cuerpo en alfa"/>
          <w:spacing w:val="-8"/>
        </w:rPr>
      </w:pPr>
      <w:r w:rsidRPr="00EF2704">
        <w:rPr>
          <w:rFonts w:cs="Times New Roman (Cuerpo en alfa"/>
          <w:b/>
          <w:spacing w:val="-8"/>
        </w:rPr>
        <w:t xml:space="preserve">Las acciones de importancia ambiental estratégica </w:t>
      </w:r>
      <w:r w:rsidRPr="00EF2704">
        <w:rPr>
          <w:rFonts w:cs="Times New Roman (Cuerpo en alfa"/>
          <w:spacing w:val="-8"/>
        </w:rPr>
        <w:t xml:space="preserve">relacionadas con la protección de la Estructura Ecológica Principal y el incremento de la resiliencia del territorio a la ocurrencia de desastres derivados de la variabilidad y del cambio climático y la gestión del riesgo de desastres que provienen de los objetivos de largo plazo 1 y 2 del POT </w:t>
      </w:r>
      <w:r w:rsidRPr="00EF2704">
        <w:rPr>
          <w:rFonts w:cs="Times New Roman (Cuerpo en alfa"/>
          <w:b/>
          <w:spacing w:val="-8"/>
        </w:rPr>
        <w:t>se incorporan principalmente en los programas 4.25 “Aumento de la resiliencia al cambio climático y reducción de la vulnerabilidad” y 4.27 “Gestión del riesgo de desastres para un territorio seguro”</w:t>
      </w:r>
      <w:r w:rsidRPr="00EF2704">
        <w:rPr>
          <w:rFonts w:cs="Times New Roman (Cuerpo en alfa"/>
          <w:spacing w:val="-8"/>
        </w:rPr>
        <w:t xml:space="preserve">, a través de 6 y 5 </w:t>
      </w:r>
      <w:r>
        <w:rPr>
          <w:rFonts w:cs="Times New Roman (Cuerpo en alfa"/>
          <w:spacing w:val="-8"/>
        </w:rPr>
        <w:t xml:space="preserve">relaciones de </w:t>
      </w:r>
      <w:r w:rsidRPr="00EF2704">
        <w:rPr>
          <w:rFonts w:cs="Times New Roman (Cuerpo en alfa"/>
          <w:spacing w:val="-8"/>
        </w:rPr>
        <w:t xml:space="preserve">metas respectivamente. </w:t>
      </w:r>
    </w:p>
    <w:p w14:paraId="3D8A4D20" w14:textId="77777777" w:rsidR="006B728F" w:rsidRPr="00EF2704" w:rsidRDefault="006B728F" w:rsidP="00EF2704">
      <w:pPr>
        <w:rPr>
          <w:rFonts w:cs="Times New Roman (Cuerpo en alfa"/>
          <w:spacing w:val="-8"/>
        </w:rPr>
      </w:pPr>
    </w:p>
    <w:p w14:paraId="7DBD94B8" w14:textId="77777777" w:rsidR="006B728F" w:rsidRPr="00EF2704" w:rsidRDefault="006B728F" w:rsidP="00EF2704">
      <w:pPr>
        <w:rPr>
          <w:rFonts w:cs="Times New Roman (Cuerpo en alfa"/>
          <w:spacing w:val="-8"/>
        </w:rPr>
      </w:pPr>
      <w:r w:rsidRPr="00EF2704">
        <w:rPr>
          <w:rFonts w:cs="Times New Roman (Cuerpo en alfa"/>
          <w:spacing w:val="-8"/>
        </w:rPr>
        <w:t xml:space="preserve">La consecución de los objetivos de largo plazo del POT se logra mediante la acción concreta en el territorio, esto es, a través de la construcción de infraestructuras, la realización de intervenciones físicas para mejora de la movilidad, la recuperación y conservación de áreas de importancia ecológica, la revitalización o equilibrio de zonas de la ciudad y la adecuación y construcción de equipamientos que se programan desde el PDD. Lo anterior significa que </w:t>
      </w:r>
      <w:r w:rsidRPr="00EF2704">
        <w:rPr>
          <w:rFonts w:cs="Times New Roman (Cuerpo en alfa"/>
          <w:b/>
          <w:spacing w:val="-8"/>
        </w:rPr>
        <w:t>el PDD realiza su mayor aporte al POT mediante la inclusión de metas que mejorarán el ambiente urbano y rural, revitalizarán la ciudad y equilibrarán el territorio en términos de infraestructura, soportes y servicios.</w:t>
      </w:r>
    </w:p>
    <w:p w14:paraId="6CFF5DB6" w14:textId="77777777" w:rsidR="006B728F" w:rsidRPr="00EF2704" w:rsidRDefault="006B728F" w:rsidP="00EF2704">
      <w:pPr>
        <w:rPr>
          <w:rFonts w:cs="Times New Roman (Cuerpo en alfa"/>
          <w:spacing w:val="-8"/>
        </w:rPr>
      </w:pPr>
    </w:p>
    <w:p w14:paraId="1BBB0D86" w14:textId="77777777" w:rsidR="006B728F" w:rsidRPr="00EF2704" w:rsidRDefault="006B728F" w:rsidP="00EF2704">
      <w:pPr>
        <w:rPr>
          <w:rFonts w:cs="Times New Roman (Cuerpo en alfa"/>
          <w:b/>
          <w:spacing w:val="-8"/>
        </w:rPr>
      </w:pPr>
      <w:r w:rsidRPr="00EF2704">
        <w:rPr>
          <w:rFonts w:cs="Times New Roman (Cuerpo en alfa"/>
          <w:spacing w:val="-8"/>
        </w:rPr>
        <w:t xml:space="preserve">Se hace importante destacar que </w:t>
      </w:r>
      <w:r w:rsidRPr="00EF2704">
        <w:rPr>
          <w:rFonts w:cs="Times New Roman (Cuerpo en alfa"/>
          <w:b/>
          <w:spacing w:val="-8"/>
        </w:rPr>
        <w:t xml:space="preserve">el programa del PDD que más concentra metas que aportan a concretar objetivos del POT es el 4.26. </w:t>
      </w:r>
      <w:r w:rsidRPr="00EF2704">
        <w:rPr>
          <w:rFonts w:cs="Times New Roman (Cuerpo en alfa"/>
          <w:b/>
          <w:i/>
          <w:spacing w:val="-8"/>
        </w:rPr>
        <w:t>“Movilidad sostenible”</w:t>
      </w:r>
      <w:r w:rsidRPr="00EF2704">
        <w:rPr>
          <w:rFonts w:cs="Times New Roman (Cuerpo en alfa"/>
          <w:b/>
          <w:spacing w:val="-8"/>
        </w:rPr>
        <w:t xml:space="preserve"> con </w:t>
      </w:r>
      <w:r>
        <w:rPr>
          <w:rFonts w:cs="Times New Roman (Cuerpo en alfa"/>
          <w:b/>
          <w:spacing w:val="-8"/>
        </w:rPr>
        <w:t>15</w:t>
      </w:r>
      <w:r w:rsidRPr="00EF2704">
        <w:rPr>
          <w:rFonts w:cs="Times New Roman (Cuerpo en alfa"/>
          <w:b/>
          <w:spacing w:val="-8"/>
        </w:rPr>
        <w:t xml:space="preserve"> metas</w:t>
      </w:r>
      <w:r w:rsidRPr="00EF2704">
        <w:rPr>
          <w:rFonts w:cs="Times New Roman (Cuerpo en alfa"/>
          <w:spacing w:val="-8"/>
        </w:rPr>
        <w:t xml:space="preserve">, de las cuales 7 metas se cruzan con el O6 del POT, meta 14, subprograma 5 “Calles Completas” del Programa 2 “Descarbonizar la </w:t>
      </w:r>
      <w:r w:rsidRPr="00EF2704">
        <w:rPr>
          <w:rFonts w:cs="Times New Roman (Cuerpo en alfa"/>
          <w:spacing w:val="-8"/>
        </w:rPr>
        <w:t>Movilidad e Infraestructura Sostenible”, y 6 metas se cruzan con el O3 del POT, meta 10, subprograma “Red férrea de corredores de alta y media capacidad” del Programa 2 “Descarbonizar la Movilidad e Infraestructura Sostenible”.</w:t>
      </w:r>
      <w:r w:rsidRPr="00EF2704">
        <w:rPr>
          <w:rFonts w:cs="Times New Roman (Cuerpo en alfa"/>
          <w:b/>
          <w:i/>
          <w:spacing w:val="-8"/>
        </w:rPr>
        <w:t xml:space="preserve"> </w:t>
      </w:r>
      <w:r w:rsidRPr="00EF2704">
        <w:rPr>
          <w:rFonts w:cs="Times New Roman (Cuerpo en alfa"/>
          <w:spacing w:val="-8"/>
        </w:rPr>
        <w:t xml:space="preserve">Así mismo, se destaca que </w:t>
      </w:r>
      <w:r w:rsidRPr="00EF2704">
        <w:rPr>
          <w:rFonts w:cs="Times New Roman (Cuerpo en alfa"/>
          <w:b/>
          <w:spacing w:val="-8"/>
        </w:rPr>
        <w:t>el segundo programa que más concentra metas que aportan a concretar objetivos del POT es el 4.2</w:t>
      </w:r>
      <w:r>
        <w:rPr>
          <w:rFonts w:cs="Times New Roman (Cuerpo en alfa"/>
          <w:b/>
          <w:spacing w:val="-8"/>
        </w:rPr>
        <w:t>5</w:t>
      </w:r>
      <w:r w:rsidRPr="00EF2704">
        <w:rPr>
          <w:rFonts w:cs="Times New Roman (Cuerpo en alfa"/>
          <w:b/>
          <w:spacing w:val="-8"/>
        </w:rPr>
        <w:t xml:space="preserve">. </w:t>
      </w:r>
      <w:r w:rsidRPr="00EF2704">
        <w:rPr>
          <w:rFonts w:cs="Times New Roman (Cuerpo en alfa"/>
          <w:b/>
          <w:i/>
          <w:spacing w:val="-8"/>
        </w:rPr>
        <w:t>“</w:t>
      </w:r>
      <w:r>
        <w:rPr>
          <w:rFonts w:cs="Times New Roman (Cuerpo en alfa"/>
          <w:b/>
          <w:i/>
          <w:spacing w:val="-8"/>
        </w:rPr>
        <w:t>Aumento de la resiliencia al cambio climático y reducción de la vulnerabilidad</w:t>
      </w:r>
      <w:r w:rsidRPr="00EF2704">
        <w:rPr>
          <w:rFonts w:cs="Times New Roman (Cuerpo en alfa"/>
          <w:b/>
          <w:i/>
          <w:spacing w:val="-8"/>
        </w:rPr>
        <w:t>”</w:t>
      </w:r>
      <w:r w:rsidRPr="00EF2704">
        <w:rPr>
          <w:rFonts w:cs="Times New Roman (Cuerpo en alfa"/>
          <w:b/>
          <w:spacing w:val="-8"/>
        </w:rPr>
        <w:t xml:space="preserve"> con 1</w:t>
      </w:r>
      <w:r>
        <w:rPr>
          <w:rFonts w:cs="Times New Roman (Cuerpo en alfa"/>
          <w:b/>
          <w:spacing w:val="-8"/>
        </w:rPr>
        <w:t>0</w:t>
      </w:r>
      <w:r w:rsidRPr="00EF2704">
        <w:rPr>
          <w:rFonts w:cs="Times New Roman (Cuerpo en alfa"/>
          <w:b/>
          <w:spacing w:val="-8"/>
        </w:rPr>
        <w:t xml:space="preserve"> metas, </w:t>
      </w:r>
      <w:r w:rsidRPr="00EF2704">
        <w:rPr>
          <w:rFonts w:cs="Times New Roman (Cuerpo en alfa"/>
          <w:spacing w:val="-8"/>
        </w:rPr>
        <w:t xml:space="preserve">de las cuales </w:t>
      </w:r>
      <w:r>
        <w:rPr>
          <w:rFonts w:cs="Times New Roman (Cuerpo en alfa"/>
          <w:spacing w:val="-8"/>
        </w:rPr>
        <w:t>5</w:t>
      </w:r>
      <w:r w:rsidRPr="00EF2704">
        <w:rPr>
          <w:rFonts w:cs="Times New Roman (Cuerpo en alfa"/>
          <w:spacing w:val="-8"/>
        </w:rPr>
        <w:t xml:space="preserve"> se cruzan con el O</w:t>
      </w:r>
      <w:r>
        <w:rPr>
          <w:rFonts w:cs="Times New Roman (Cuerpo en alfa"/>
          <w:spacing w:val="-8"/>
        </w:rPr>
        <w:t>1</w:t>
      </w:r>
      <w:r w:rsidRPr="00EF2704">
        <w:rPr>
          <w:rFonts w:cs="Times New Roman (Cuerpo en alfa"/>
          <w:spacing w:val="-8"/>
        </w:rPr>
        <w:t xml:space="preserve"> del POT</w:t>
      </w:r>
      <w:r w:rsidRPr="00EF2704">
        <w:rPr>
          <w:rFonts w:cs="Times New Roman (Cuerpo en alfa"/>
          <w:b/>
          <w:spacing w:val="-8"/>
        </w:rPr>
        <w:t xml:space="preserve">. </w:t>
      </w:r>
    </w:p>
    <w:p w14:paraId="720291A3" w14:textId="77777777" w:rsidR="006B728F" w:rsidRPr="00EF2704" w:rsidRDefault="006B728F" w:rsidP="00EF2704">
      <w:pPr>
        <w:rPr>
          <w:rFonts w:cs="Times New Roman (Cuerpo en alfa"/>
          <w:b/>
          <w:spacing w:val="-8"/>
        </w:rPr>
      </w:pPr>
    </w:p>
    <w:p w14:paraId="679A10C0" w14:textId="77777777" w:rsidR="006B728F" w:rsidRPr="00EF2704" w:rsidRDefault="006B728F" w:rsidP="00EF2704">
      <w:pPr>
        <w:rPr>
          <w:rFonts w:cs="Times New Roman (Cuerpo en alfa"/>
          <w:spacing w:val="-8"/>
        </w:rPr>
      </w:pPr>
      <w:r w:rsidRPr="00EF2704">
        <w:rPr>
          <w:rFonts w:cs="Times New Roman (Cuerpo en alfa"/>
          <w:spacing w:val="-8"/>
        </w:rPr>
        <w:t xml:space="preserve">De igual manera, se identifica que </w:t>
      </w:r>
      <w:r w:rsidRPr="00EF2704">
        <w:rPr>
          <w:rFonts w:cs="Times New Roman (Cuerpo en alfa"/>
          <w:b/>
          <w:spacing w:val="-8"/>
        </w:rPr>
        <w:t xml:space="preserve">los dos subprogramas del POT que cuentan con más metas en el PDD que aportarán a su concreción son el subprograma 4 “Promoción de áreas de servicios sociales para el cuidado” del Programa 3 “Vitalidad y Cuidado” del O6, asociado a la meta 18 de promoción de áreas de servicios sociales para el cuidado </w:t>
      </w:r>
      <w:r w:rsidRPr="00EF2704">
        <w:rPr>
          <w:rFonts w:cs="Times New Roman (Cuerpo en alfa"/>
          <w:spacing w:val="-8"/>
        </w:rPr>
        <w:t xml:space="preserve">con 13 </w:t>
      </w:r>
      <w:r>
        <w:rPr>
          <w:rFonts w:cs="Times New Roman (Cuerpo en alfa"/>
          <w:spacing w:val="-8"/>
        </w:rPr>
        <w:t xml:space="preserve">relaciones de </w:t>
      </w:r>
      <w:r w:rsidRPr="00EF2704">
        <w:rPr>
          <w:rFonts w:cs="Times New Roman (Cuerpo en alfa"/>
          <w:spacing w:val="-8"/>
        </w:rPr>
        <w:t xml:space="preserve">metas PDD; </w:t>
      </w:r>
      <w:r w:rsidRPr="00EF2704">
        <w:rPr>
          <w:rFonts w:cs="Times New Roman (Cuerpo en alfa"/>
          <w:b/>
          <w:spacing w:val="-8"/>
        </w:rPr>
        <w:t xml:space="preserve">y el subprograma 4 “Ruralidad productiva sostenible e inclusiva”, del Programa 5 “Territorios productivos, competitivos e innovadores”, asociado a la meta 38 de implementación de proyectos para el hábitat productiva y vivienda rural, </w:t>
      </w:r>
      <w:r w:rsidRPr="00EF2704">
        <w:rPr>
          <w:rFonts w:cs="Times New Roman (Cuerpo en alfa"/>
          <w:spacing w:val="-8"/>
        </w:rPr>
        <w:t xml:space="preserve">con 8 </w:t>
      </w:r>
      <w:r>
        <w:rPr>
          <w:rFonts w:cs="Times New Roman (Cuerpo en alfa"/>
          <w:spacing w:val="-8"/>
        </w:rPr>
        <w:t xml:space="preserve">relaciones de </w:t>
      </w:r>
      <w:r w:rsidRPr="00EF2704">
        <w:rPr>
          <w:rFonts w:cs="Times New Roman (Cuerpo en alfa"/>
          <w:spacing w:val="-8"/>
        </w:rPr>
        <w:t>metas PDD.</w:t>
      </w:r>
    </w:p>
    <w:p w14:paraId="1C817D61" w14:textId="77777777" w:rsidR="006B728F" w:rsidRPr="00EF2704" w:rsidRDefault="006B728F" w:rsidP="00EF2704">
      <w:pPr>
        <w:rPr>
          <w:rFonts w:cs="Times New Roman (Cuerpo en alfa"/>
          <w:b/>
          <w:spacing w:val="-8"/>
        </w:rPr>
      </w:pPr>
      <w:r w:rsidRPr="00EF2704">
        <w:rPr>
          <w:rFonts w:cs="Times New Roman (Cuerpo en alfa"/>
          <w:spacing w:val="-8"/>
        </w:rPr>
        <w:t xml:space="preserve">El </w:t>
      </w:r>
      <w:r w:rsidRPr="00EF2704">
        <w:rPr>
          <w:rFonts w:cs="Times New Roman (Cuerpo en alfa"/>
          <w:b/>
          <w:spacing w:val="-8"/>
        </w:rPr>
        <w:t>OE5</w:t>
      </w:r>
      <w:r>
        <w:rPr>
          <w:rFonts w:cs="Times New Roman (Cuerpo en alfa"/>
          <w:b/>
          <w:spacing w:val="-8"/>
        </w:rPr>
        <w:t xml:space="preserve"> del PDD</w:t>
      </w:r>
      <w:r w:rsidRPr="00EF2704">
        <w:rPr>
          <w:rFonts w:cs="Times New Roman (Cuerpo en alfa"/>
          <w:b/>
          <w:spacing w:val="-8"/>
        </w:rPr>
        <w:t xml:space="preserve"> </w:t>
      </w:r>
      <w:r w:rsidRPr="00EF2704">
        <w:rPr>
          <w:rFonts w:cs="Times New Roman (Cuerpo en alfa"/>
          <w:b/>
          <w:i/>
          <w:spacing w:val="-8"/>
        </w:rPr>
        <w:t>“Bogotá confía en su gobierno”</w:t>
      </w:r>
      <w:r w:rsidRPr="00EF2704">
        <w:rPr>
          <w:rFonts w:cs="Times New Roman (Cuerpo en alfa"/>
          <w:spacing w:val="-8"/>
        </w:rPr>
        <w:t xml:space="preserve"> no contiene metas que aporten a la concreción del POT, lo que se explica fácilmente en la medida en que dicho objetivo estratégico </w:t>
      </w:r>
      <w:r w:rsidRPr="00EF2704">
        <w:rPr>
          <w:rFonts w:cs="Times New Roman (Cuerpo en alfa"/>
          <w:b/>
          <w:spacing w:val="-8"/>
        </w:rPr>
        <w:t xml:space="preserve">concentra </w:t>
      </w:r>
      <w:r>
        <w:rPr>
          <w:rFonts w:cs="Times New Roman (Cuerpo en alfa"/>
          <w:b/>
          <w:spacing w:val="-8"/>
        </w:rPr>
        <w:t>acciones</w:t>
      </w:r>
      <w:r w:rsidRPr="00EF2704">
        <w:rPr>
          <w:rFonts w:cs="Times New Roman (Cuerpo en alfa"/>
          <w:b/>
          <w:spacing w:val="-8"/>
        </w:rPr>
        <w:t xml:space="preserve"> sobre la gestión pública</w:t>
      </w:r>
      <w:r w:rsidRPr="00EF2704">
        <w:rPr>
          <w:rFonts w:cs="Times New Roman (Cuerpo en alfa"/>
          <w:spacing w:val="-8"/>
        </w:rPr>
        <w:t xml:space="preserve"> dirigidas a mejorar la relación</w:t>
      </w:r>
      <w:r>
        <w:rPr>
          <w:rFonts w:cs="Times New Roman (Cuerpo en alfa"/>
          <w:spacing w:val="-8"/>
        </w:rPr>
        <w:t xml:space="preserve"> del</w:t>
      </w:r>
      <w:r w:rsidRPr="00EF2704">
        <w:rPr>
          <w:rFonts w:cs="Times New Roman (Cuerpo en alfa"/>
          <w:spacing w:val="-8"/>
        </w:rPr>
        <w:t xml:space="preserve"> gobierno</w:t>
      </w:r>
      <w:r>
        <w:rPr>
          <w:rFonts w:cs="Times New Roman (Cuerpo en alfa"/>
          <w:spacing w:val="-8"/>
        </w:rPr>
        <w:t xml:space="preserve"> con la</w:t>
      </w:r>
      <w:r w:rsidRPr="00EF2704">
        <w:rPr>
          <w:rFonts w:cs="Times New Roman (Cuerpo en alfa"/>
          <w:spacing w:val="-8"/>
        </w:rPr>
        <w:t xml:space="preserve"> ciudadanía, las cuales se materializan en </w:t>
      </w:r>
      <w:r>
        <w:rPr>
          <w:rFonts w:cs="Times New Roman (Cuerpo en alfa"/>
          <w:spacing w:val="-8"/>
        </w:rPr>
        <w:t>intervenciones</w:t>
      </w:r>
      <w:r w:rsidRPr="00EF2704">
        <w:rPr>
          <w:rFonts w:cs="Times New Roman (Cuerpo en alfa"/>
          <w:spacing w:val="-8"/>
        </w:rPr>
        <w:t xml:space="preserve"> </w:t>
      </w:r>
      <w:r w:rsidRPr="00EF2704">
        <w:rPr>
          <w:rFonts w:cs="Times New Roman (Cuerpo en alfa"/>
          <w:b/>
          <w:spacing w:val="-8"/>
        </w:rPr>
        <w:t>que desde el enfoque del plan no involucran intervenciones en el territorio necesariamente.</w:t>
      </w:r>
    </w:p>
    <w:p w14:paraId="2EB3ADBC" w14:textId="77777777" w:rsidR="006B728F" w:rsidRPr="00EF2704" w:rsidRDefault="006B728F" w:rsidP="00EF2704">
      <w:pPr>
        <w:rPr>
          <w:rFonts w:cs="Times New Roman (Cuerpo en alfa"/>
          <w:spacing w:val="-8"/>
        </w:rPr>
      </w:pPr>
    </w:p>
    <w:p w14:paraId="3E1CC151" w14:textId="77777777" w:rsidR="006B728F" w:rsidRPr="00EF2704" w:rsidRDefault="006B728F" w:rsidP="00EF2704">
      <w:pPr>
        <w:rPr>
          <w:rFonts w:cs="Times New Roman (Cuerpo en alfa"/>
          <w:spacing w:val="-8"/>
        </w:rPr>
      </w:pPr>
      <w:r w:rsidRPr="00EF2704">
        <w:rPr>
          <w:rFonts w:cs="Times New Roman (Cuerpo en alfa"/>
          <w:spacing w:val="-8"/>
        </w:rPr>
        <w:t xml:space="preserve">Así las cosas, con base en los anteriores hallazgos se tiene que </w:t>
      </w:r>
      <w:r w:rsidRPr="00EF2704">
        <w:rPr>
          <w:rFonts w:cs="Times New Roman (Cuerpo en alfa"/>
          <w:b/>
          <w:spacing w:val="-8"/>
        </w:rPr>
        <w:t>el objetivo estratégico del POT que mejor se incorpora en el PDD es el O6 relacionado con corregir los desequilibrios y desigualdades del territorio.</w:t>
      </w:r>
      <w:r w:rsidRPr="00EF2704">
        <w:rPr>
          <w:rFonts w:cs="Times New Roman (Cuerpo en alfa"/>
          <w:spacing w:val="-8"/>
        </w:rPr>
        <w:t xml:space="preserve"> Ello permite concluir que el PDD tiene un énfasis importante en temas de equidad y corrección de desigualdades, con el cual </w:t>
      </w:r>
      <w:r w:rsidRPr="00EF2704">
        <w:rPr>
          <w:rFonts w:cs="Times New Roman (Cuerpo en alfa"/>
          <w:b/>
          <w:spacing w:val="-8"/>
        </w:rPr>
        <w:t xml:space="preserve">se intentará corregir una de las principales problemáticas identificadas durante la elaboración del POT: los altos niveles de inequidad territorial. </w:t>
      </w:r>
      <w:r w:rsidRPr="00EF2704">
        <w:rPr>
          <w:rFonts w:cs="Times New Roman (Cuerpo en alfa"/>
          <w:spacing w:val="-8"/>
        </w:rPr>
        <w:t>Esto, por cuanto persisten zonas con alta oferta de infraestructuras dotacionales,</w:t>
      </w:r>
      <w:r>
        <w:rPr>
          <w:rFonts w:cs="Times New Roman (Cuerpo en alfa"/>
          <w:spacing w:val="-8"/>
        </w:rPr>
        <w:t xml:space="preserve"> espacio público y de transporte</w:t>
      </w:r>
      <w:r w:rsidRPr="00EF2704">
        <w:rPr>
          <w:rFonts w:cs="Times New Roman (Cuerpo en alfa"/>
          <w:spacing w:val="-8"/>
        </w:rPr>
        <w:t xml:space="preserve"> y otras con muy baja </w:t>
      </w:r>
      <w:r w:rsidRPr="00EF2704">
        <w:rPr>
          <w:rFonts w:cs="Times New Roman (Cuerpo en alfa"/>
          <w:spacing w:val="-8"/>
        </w:rPr>
        <w:lastRenderedPageBreak/>
        <w:t>presencia de las mismas, lo que provoca que un porcentaje importante de la población carezca de fácil acceso a este tipo de soportes que permite a la ciudadanía disfrutar y ejercer sus derechos. </w:t>
      </w:r>
    </w:p>
    <w:p w14:paraId="703106DB" w14:textId="77777777" w:rsidR="006B728F" w:rsidRPr="00EF2704" w:rsidRDefault="006B728F" w:rsidP="00EF2704">
      <w:pPr>
        <w:rPr>
          <w:rFonts w:cs="Times New Roman (Cuerpo en alfa"/>
          <w:spacing w:val="-8"/>
        </w:rPr>
      </w:pPr>
    </w:p>
    <w:p w14:paraId="23E0F5DF" w14:textId="77777777" w:rsidR="006B728F" w:rsidRPr="00EF2704" w:rsidRDefault="006B728F" w:rsidP="008436E0">
      <w:pPr>
        <w:keepNext/>
        <w:rPr>
          <w:rFonts w:cs="Times New Roman (Cuerpo en alfa"/>
          <w:spacing w:val="-8"/>
        </w:rPr>
      </w:pPr>
      <w:r w:rsidRPr="00EF2704">
        <w:rPr>
          <w:rFonts w:cs="Times New Roman (Cuerpo en alfa"/>
          <w:spacing w:val="-8"/>
        </w:rPr>
        <w:t>Así mismo, se puede afirmar que el PDD busca dar continuidad al POT mediante la consecución y ejecución de un número importante de sus metas, lo cual es un avance en la manera como se articulan estos instrumentos en el Distrito Capital. </w:t>
      </w:r>
    </w:p>
    <w:p w14:paraId="08453EA9" w14:textId="77777777" w:rsidR="006B728F" w:rsidRDefault="006B728F" w:rsidP="00E1181E">
      <w:pPr>
        <w:sectPr w:rsidR="006B728F" w:rsidSect="00F7078E">
          <w:type w:val="continuous"/>
          <w:pgSz w:w="12240" w:h="15840"/>
          <w:pgMar w:top="2262" w:right="1440" w:bottom="1440" w:left="1440" w:header="709" w:footer="709" w:gutter="0"/>
          <w:cols w:num="2" w:space="567"/>
          <w:docGrid w:linePitch="360"/>
        </w:sectPr>
      </w:pPr>
    </w:p>
    <w:p w14:paraId="2C29D565" w14:textId="77777777" w:rsidR="006B728F" w:rsidRPr="0056360E" w:rsidRDefault="006B728F" w:rsidP="00E1181E"/>
    <w:p w14:paraId="5BEC4840" w14:textId="7F3E65BB" w:rsidR="006B728F" w:rsidRPr="000274A7" w:rsidRDefault="006B728F" w:rsidP="000274A7">
      <w:pPr>
        <w:pStyle w:val="subnumeros"/>
        <w:numPr>
          <w:ilvl w:val="0"/>
          <w:numId w:val="0"/>
        </w:numPr>
        <w:ind w:firstLine="708"/>
        <w:outlineLvl w:val="9"/>
        <w:rPr>
          <w:rFonts w:eastAsia="Times New Roman"/>
          <w:lang w:eastAsia="es-CO"/>
        </w:rPr>
      </w:pPr>
      <w:bookmarkStart w:id="496" w:name="_Toc164183472"/>
      <w:r w:rsidRPr="000274A7">
        <w:rPr>
          <w:rFonts w:eastAsia="Times New Roman"/>
          <w:lang w:eastAsia="es-CO"/>
        </w:rPr>
        <w:t>Priorización de proyectos PDD e impacto en la concreción del POT</w:t>
      </w:r>
      <w:bookmarkEnd w:id="496"/>
    </w:p>
    <w:p w14:paraId="129CA0CF" w14:textId="77777777" w:rsidR="006B728F" w:rsidRDefault="006B728F" w:rsidP="00E1181E">
      <w:pPr>
        <w:rPr>
          <w:lang w:eastAsia="es-CO"/>
        </w:rPr>
        <w:sectPr w:rsidR="006B728F" w:rsidSect="00F7078E">
          <w:type w:val="continuous"/>
          <w:pgSz w:w="12240" w:h="15840"/>
          <w:pgMar w:top="2262" w:right="1440" w:bottom="1440" w:left="1440" w:header="709" w:footer="709" w:gutter="0"/>
          <w:cols w:space="708"/>
          <w:docGrid w:linePitch="360"/>
        </w:sectPr>
      </w:pPr>
    </w:p>
    <w:p w14:paraId="1DD1EBB6" w14:textId="77777777" w:rsidR="006B728F" w:rsidRPr="00574B4F" w:rsidRDefault="006B728F" w:rsidP="004A7DBC">
      <w:pPr>
        <w:rPr>
          <w:rFonts w:cs="Times New Roman (Body CS)"/>
          <w:color w:val="000000"/>
          <w:spacing w:val="-16"/>
        </w:rPr>
      </w:pPr>
      <w:r w:rsidRPr="00574B4F">
        <w:rPr>
          <w:rFonts w:cs="Times New Roman (Body CS)"/>
          <w:color w:val="000000"/>
          <w:spacing w:val="-16"/>
        </w:rPr>
        <w:t>A partir del ejercicio de ponderación realizado con base a los criterios expuestos se seleccionaron y priorizaron los proyectos presentados por las entidades que se incluyen en el Plan Distrital de Desarrollo. Las principales conclusiones de este ejercicio son:</w:t>
      </w:r>
    </w:p>
    <w:p w14:paraId="194C55AC" w14:textId="77777777" w:rsidR="006B728F" w:rsidRDefault="006B728F" w:rsidP="004A7DBC">
      <w:pPr>
        <w:rPr>
          <w:color w:val="000000"/>
        </w:rPr>
      </w:pPr>
    </w:p>
    <w:p w14:paraId="207F75F0" w14:textId="77777777" w:rsidR="006B728F" w:rsidRDefault="006B728F" w:rsidP="00CB6AEC">
      <w:pPr>
        <w:numPr>
          <w:ilvl w:val="0"/>
          <w:numId w:val="64"/>
        </w:numPr>
        <w:pBdr>
          <w:top w:val="nil"/>
          <w:left w:val="nil"/>
          <w:bottom w:val="nil"/>
          <w:right w:val="nil"/>
          <w:between w:val="nil"/>
        </w:pBdr>
        <w:spacing w:line="240" w:lineRule="auto"/>
        <w:rPr>
          <w:color w:val="000000"/>
        </w:rPr>
      </w:pPr>
      <w:r>
        <w:rPr>
          <w:b/>
          <w:color w:val="000000"/>
        </w:rPr>
        <w:t>En el presente Plan Distrital de Desarrollo quedan programados alrededor del 34,5% de los proyectos y estrategias del Plan de Ordenamiento Territorial vigente</w:t>
      </w:r>
      <w:r>
        <w:rPr>
          <w:color w:val="000000"/>
        </w:rPr>
        <w:t>, para continuar con su ejecución y culminarlos en el cuatrienio, o arrancar con su estructuración para que ayuden a consolidar el Modelo de Ocupación Territorial en el mediano y largo plazo.</w:t>
      </w:r>
    </w:p>
    <w:p w14:paraId="54DC327B" w14:textId="77777777" w:rsidR="006B728F" w:rsidRDefault="006B728F" w:rsidP="004A7DBC">
      <w:pPr>
        <w:pBdr>
          <w:top w:val="nil"/>
          <w:left w:val="nil"/>
          <w:bottom w:val="nil"/>
          <w:right w:val="nil"/>
          <w:between w:val="nil"/>
        </w:pBdr>
        <w:ind w:left="720"/>
        <w:rPr>
          <w:color w:val="000000"/>
        </w:rPr>
      </w:pPr>
    </w:p>
    <w:p w14:paraId="1E897EAA" w14:textId="77777777" w:rsidR="006B728F" w:rsidRDefault="006B728F" w:rsidP="00CB6AEC">
      <w:pPr>
        <w:numPr>
          <w:ilvl w:val="0"/>
          <w:numId w:val="64"/>
        </w:numPr>
        <w:pBdr>
          <w:top w:val="nil"/>
          <w:left w:val="nil"/>
          <w:bottom w:val="nil"/>
          <w:right w:val="nil"/>
          <w:between w:val="nil"/>
        </w:pBdr>
        <w:spacing w:line="240" w:lineRule="auto"/>
        <w:rPr>
          <w:color w:val="000000"/>
        </w:rPr>
      </w:pPr>
      <w:r>
        <w:rPr>
          <w:color w:val="000000"/>
        </w:rPr>
        <w:t xml:space="preserve">La administración distrital 2020-2023 logró dejar ejecutado el 5,7% de los proyectos del contenido programático del POT dentro de los dos primeros años (2022-2023) de ejecución. Lo anterior asciende al 22,5% al adicionar el 16,8% de proyectos en construcción de obra y estrategias que quedaron en implementación. Teniendo en cuenta estas cifras, junto con lo mencionado en el punto anterior, </w:t>
      </w:r>
      <w:r>
        <w:rPr>
          <w:b/>
          <w:color w:val="000000"/>
        </w:rPr>
        <w:t>se espera que al cierre del Plan Distrital de Desarrollo “Bogotá Camina Segura 2024-2027” se alcance un avance del 45,8% en la culminación y puesta en marcha de proyectos y estrategias del POT</w:t>
      </w:r>
      <w:r>
        <w:rPr>
          <w:color w:val="000000"/>
        </w:rPr>
        <w:t>.</w:t>
      </w:r>
    </w:p>
    <w:p w14:paraId="1BCCFB67" w14:textId="77777777" w:rsidR="006B728F" w:rsidRDefault="006B728F" w:rsidP="004A7DBC">
      <w:pPr>
        <w:pBdr>
          <w:top w:val="nil"/>
          <w:left w:val="nil"/>
          <w:bottom w:val="nil"/>
          <w:right w:val="nil"/>
          <w:between w:val="nil"/>
        </w:pBdr>
        <w:ind w:left="720"/>
        <w:rPr>
          <w:color w:val="000000"/>
        </w:rPr>
      </w:pPr>
    </w:p>
    <w:p w14:paraId="21D56860" w14:textId="77777777" w:rsidR="006B728F" w:rsidRDefault="006B728F" w:rsidP="00CB6AEC">
      <w:pPr>
        <w:numPr>
          <w:ilvl w:val="0"/>
          <w:numId w:val="64"/>
        </w:numPr>
        <w:pBdr>
          <w:top w:val="nil"/>
          <w:left w:val="nil"/>
          <w:bottom w:val="nil"/>
          <w:right w:val="nil"/>
          <w:between w:val="nil"/>
        </w:pBdr>
        <w:spacing w:line="240" w:lineRule="auto"/>
        <w:rPr>
          <w:color w:val="000000"/>
        </w:rPr>
      </w:pPr>
      <w:r>
        <w:rPr>
          <w:color w:val="000000"/>
        </w:rPr>
        <w:t xml:space="preserve">Asimismo, </w:t>
      </w:r>
      <w:r>
        <w:rPr>
          <w:b/>
          <w:color w:val="000000"/>
        </w:rPr>
        <w:t>el 36,2% de los proyectos ya se encuentran en alguna etapa de formulación del proyecto tal como contar con estudios y diseños</w:t>
      </w:r>
      <w:r>
        <w:rPr>
          <w:color w:val="000000"/>
        </w:rPr>
        <w:t xml:space="preserve">, tener una prefactibilidad o factibilidad, estar </w:t>
      </w:r>
      <w:r>
        <w:rPr>
          <w:color w:val="000000"/>
        </w:rPr>
        <w:t>adelantando la gestión predial o estar en obra o implementación. De ese 36,2%, esta administración distrital dará continuidad al 21,5% de los proyectos y el 8,1% corresponde a proyectos y estrategias de mediano y largo plazo. El porcentaje restante corresponde a proyectos y estrategias que no quedan programados en el PDD por diferentes razones, debido a que ya se encuentran en ejecución y quedarán culminados antes de la entrada en vigencia del presente Plan; son estrategias como manzanas del cuidado que se pueden activar en cualquier momento en función de la disponibilidad de infraestructura para su operación; su priorización puede cambiar de acuerdo con las necesidades del territorio; o debido a restricciones en el presupuesto distrital que implican una priorización.</w:t>
      </w:r>
    </w:p>
    <w:p w14:paraId="1311E912" w14:textId="77777777" w:rsidR="006B728F" w:rsidRDefault="006B728F" w:rsidP="004A7DBC">
      <w:pPr>
        <w:pBdr>
          <w:top w:val="nil"/>
          <w:left w:val="nil"/>
          <w:bottom w:val="nil"/>
          <w:right w:val="nil"/>
          <w:between w:val="nil"/>
        </w:pBdr>
        <w:ind w:left="720"/>
        <w:rPr>
          <w:color w:val="000000"/>
        </w:rPr>
      </w:pPr>
    </w:p>
    <w:p w14:paraId="312701E0" w14:textId="77777777" w:rsidR="006B728F" w:rsidRPr="00574B4F" w:rsidRDefault="006B728F" w:rsidP="00CB6AEC">
      <w:pPr>
        <w:numPr>
          <w:ilvl w:val="0"/>
          <w:numId w:val="64"/>
        </w:numPr>
        <w:pBdr>
          <w:top w:val="nil"/>
          <w:left w:val="nil"/>
          <w:bottom w:val="nil"/>
          <w:right w:val="nil"/>
          <w:between w:val="nil"/>
        </w:pBdr>
        <w:spacing w:line="240" w:lineRule="auto"/>
        <w:rPr>
          <w:rFonts w:cs="Times New Roman (Body CS)"/>
          <w:color w:val="000000"/>
          <w:spacing w:val="-16"/>
        </w:rPr>
      </w:pPr>
      <w:r w:rsidRPr="00574B4F">
        <w:rPr>
          <w:rFonts w:cs="Times New Roman (Body CS)"/>
          <w:color w:val="000000"/>
          <w:spacing w:val="-16"/>
        </w:rPr>
        <w:t xml:space="preserve">El horizonte de ejecución del contenido programático del POT de proyectos y estrategias distribuye los proyectos de la siguiente manera: 34,64% en el corto plazo, 36,00% en el mediano plazo y 29,36% en el largo plazo. </w:t>
      </w:r>
      <w:r w:rsidRPr="00574B4F">
        <w:rPr>
          <w:rFonts w:cs="Times New Roman (Body CS)"/>
          <w:b/>
          <w:color w:val="000000"/>
          <w:spacing w:val="-16"/>
        </w:rPr>
        <w:t>Al finalizar la actual administración distrital, del 34,64% del corto plazo del POT quedará ejecutado o en ejecución el 23,6% de las estrategias y proyectos</w:t>
      </w:r>
      <w:r w:rsidRPr="00574B4F">
        <w:rPr>
          <w:rFonts w:cs="Times New Roman (Body CS)"/>
          <w:color w:val="000000"/>
          <w:spacing w:val="-16"/>
        </w:rPr>
        <w:t>. El porcentaje restante del corto plazo corresponde a proyectos que se podrán ir activando con base a la priorización y asignación de recursos futura y a estudios o acuerdos interinstitucionales que ayuden a desarrollar proyectos de manera integral.</w:t>
      </w:r>
    </w:p>
    <w:p w14:paraId="407FB9E7" w14:textId="77777777" w:rsidR="006B728F" w:rsidRDefault="006B728F" w:rsidP="004A7DBC">
      <w:pPr>
        <w:pBdr>
          <w:top w:val="nil"/>
          <w:left w:val="nil"/>
          <w:bottom w:val="nil"/>
          <w:right w:val="nil"/>
          <w:between w:val="nil"/>
        </w:pBdr>
        <w:ind w:left="720"/>
        <w:rPr>
          <w:color w:val="000000"/>
        </w:rPr>
      </w:pPr>
    </w:p>
    <w:p w14:paraId="7F0BB05A" w14:textId="77777777" w:rsidR="006B728F" w:rsidRDefault="006B728F" w:rsidP="00CB6AEC">
      <w:pPr>
        <w:numPr>
          <w:ilvl w:val="0"/>
          <w:numId w:val="64"/>
        </w:numPr>
        <w:pBdr>
          <w:top w:val="nil"/>
          <w:left w:val="nil"/>
          <w:bottom w:val="nil"/>
          <w:right w:val="nil"/>
          <w:between w:val="nil"/>
        </w:pBdr>
        <w:spacing w:line="240" w:lineRule="auto"/>
        <w:rPr>
          <w:color w:val="000000"/>
        </w:rPr>
      </w:pPr>
      <w:r>
        <w:rPr>
          <w:color w:val="000000"/>
        </w:rPr>
        <w:lastRenderedPageBreak/>
        <w:t xml:space="preserve">El </w:t>
      </w:r>
      <w:r>
        <w:rPr>
          <w:b/>
          <w:color w:val="000000"/>
        </w:rPr>
        <w:t>90% de los proyectos y estrategias del contenido programático del POT se concentran principalmente en los siguientes 6 sectores</w:t>
      </w:r>
      <w:r>
        <w:rPr>
          <w:color w:val="000000"/>
        </w:rPr>
        <w:t>: Secretaría Distrital de Movilidad con el 42%, Secretaría de Cultura, Recreación y Deporte con el 19%, Secretaría Distrital del Hábitat con el 11%, Secretaría Distrital de Salud con el 11%, Secretaría Distrital de Ambiente con el 5%, Secretaría Distrital de Integración Social con el 4%, y el resto de los sectores distritales con el 9%. Con esto, se hace necesario que estos sectores desempeñen una adecuada gestión del tiempo y de los recursos que permita obtener los resultados previstos en el Plan.</w:t>
      </w:r>
    </w:p>
    <w:p w14:paraId="7E7959F0" w14:textId="77777777" w:rsidR="006B728F" w:rsidRDefault="006B728F" w:rsidP="004A7DBC">
      <w:pPr>
        <w:pBdr>
          <w:top w:val="nil"/>
          <w:left w:val="nil"/>
          <w:bottom w:val="nil"/>
          <w:right w:val="nil"/>
          <w:between w:val="nil"/>
        </w:pBdr>
        <w:ind w:left="720"/>
        <w:rPr>
          <w:color w:val="000000"/>
        </w:rPr>
      </w:pPr>
    </w:p>
    <w:p w14:paraId="107C4619" w14:textId="77777777" w:rsidR="006B728F" w:rsidRDefault="006B728F" w:rsidP="00CB6AEC">
      <w:pPr>
        <w:numPr>
          <w:ilvl w:val="0"/>
          <w:numId w:val="64"/>
        </w:numPr>
        <w:pBdr>
          <w:top w:val="nil"/>
          <w:left w:val="nil"/>
          <w:bottom w:val="nil"/>
          <w:right w:val="nil"/>
          <w:between w:val="nil"/>
        </w:pBdr>
        <w:spacing w:line="240" w:lineRule="auto"/>
        <w:rPr>
          <w:color w:val="000000"/>
        </w:rPr>
      </w:pPr>
      <w:r>
        <w:rPr>
          <w:color w:val="000000"/>
        </w:rPr>
        <w:t>Los dos subprogramas del POT a los que más aportará el PDD son el subprograma 4 “Promoción de áreas de servicios sociales para el cuidado” del Programa 3 “Vitalidad y Cuidado” del O6 y el subprograma 4 “Ruralidad productiva sostenible e inclusiva” del Programa 5 “Territorios productivos, competitivos e innovadores”.</w:t>
      </w:r>
    </w:p>
    <w:p w14:paraId="0A99F4F1" w14:textId="77777777" w:rsidR="006B728F" w:rsidRDefault="006B728F" w:rsidP="004A7DBC"/>
    <w:p w14:paraId="4F567C72" w14:textId="77777777" w:rsidR="006B728F" w:rsidRPr="00AC264F" w:rsidRDefault="006B728F" w:rsidP="00CB6AEC">
      <w:pPr>
        <w:numPr>
          <w:ilvl w:val="0"/>
          <w:numId w:val="64"/>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De acuerdo con la ponderación realizada con los criterios antes descritos, </w:t>
      </w:r>
      <w:r w:rsidRPr="00AC264F">
        <w:rPr>
          <w:rFonts w:cs="Times New Roman (Cuerpo en alfa"/>
          <w:b/>
          <w:color w:val="000000"/>
          <w:spacing w:val="-12"/>
        </w:rPr>
        <w:t>los proyectos más punteados y estratégicos del POT que están quedando programados en este PDD son</w:t>
      </w:r>
      <w:r w:rsidRPr="00AC264F">
        <w:rPr>
          <w:rFonts w:cs="Times New Roman (Cuerpo en alfa"/>
          <w:color w:val="000000"/>
          <w:spacing w:val="-12"/>
        </w:rPr>
        <w:t>:</w:t>
      </w:r>
    </w:p>
    <w:p w14:paraId="43F0F269" w14:textId="77777777" w:rsidR="006B728F" w:rsidRPr="00AC264F" w:rsidRDefault="006B728F" w:rsidP="00CB6AEC">
      <w:pPr>
        <w:numPr>
          <w:ilvl w:val="0"/>
          <w:numId w:val="65"/>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El </w:t>
      </w:r>
      <w:r w:rsidRPr="00AC264F">
        <w:rPr>
          <w:rFonts w:cs="Times New Roman (Cuerpo en alfa"/>
          <w:b/>
          <w:color w:val="000000"/>
          <w:spacing w:val="-12"/>
        </w:rPr>
        <w:t>Cable Aéreo San Cristóbal Altamira</w:t>
      </w:r>
      <w:r w:rsidRPr="00AC264F">
        <w:rPr>
          <w:rFonts w:cs="Times New Roman (Cuerpo en alfa"/>
          <w:color w:val="000000"/>
          <w:spacing w:val="-12"/>
        </w:rPr>
        <w:t xml:space="preserve"> el cual finalizará su construcción a finales de </w:t>
      </w:r>
      <w:r w:rsidRPr="00AC264F">
        <w:rPr>
          <w:rFonts w:cs="Times New Roman (Cuerpo en alfa"/>
          <w:color w:val="000000"/>
          <w:spacing w:val="-12"/>
        </w:rPr>
        <w:t>2025 y alrededor del cual se está desarrollando el Nodo de Equipamientos Altamira que tiene la vocación y funciona como Entidad Ancla para la consolidación de una manzana del cuidado.</w:t>
      </w:r>
    </w:p>
    <w:p w14:paraId="0D908D8D" w14:textId="77777777" w:rsidR="006B728F" w:rsidRPr="00AC264F" w:rsidRDefault="006B728F" w:rsidP="00CB6AEC">
      <w:pPr>
        <w:numPr>
          <w:ilvl w:val="0"/>
          <w:numId w:val="65"/>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La </w:t>
      </w:r>
      <w:r w:rsidRPr="00AC264F">
        <w:rPr>
          <w:rFonts w:cs="Times New Roman (Cuerpo en alfa"/>
          <w:b/>
          <w:color w:val="000000"/>
          <w:spacing w:val="-12"/>
        </w:rPr>
        <w:t>Segunda Línea del Metro</w:t>
      </w:r>
      <w:r w:rsidRPr="00AC264F">
        <w:rPr>
          <w:rFonts w:cs="Times New Roman (Cuerpo en alfa"/>
          <w:color w:val="000000"/>
          <w:spacing w:val="-12"/>
        </w:rPr>
        <w:t xml:space="preserve"> de Bogotá</w:t>
      </w:r>
      <w:r>
        <w:rPr>
          <w:rFonts w:cs="Times New Roman (Cuerpo en alfa"/>
          <w:color w:val="000000"/>
          <w:spacing w:val="-12"/>
        </w:rPr>
        <w:t>.</w:t>
      </w:r>
    </w:p>
    <w:p w14:paraId="7D9300CF" w14:textId="77777777" w:rsidR="006B728F" w:rsidRPr="00AC264F" w:rsidRDefault="006B728F" w:rsidP="00CB6AEC">
      <w:pPr>
        <w:numPr>
          <w:ilvl w:val="0"/>
          <w:numId w:val="65"/>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La </w:t>
      </w:r>
      <w:r w:rsidRPr="00AC264F">
        <w:rPr>
          <w:rFonts w:cs="Times New Roman (Cuerpo en alfa"/>
          <w:b/>
          <w:color w:val="000000"/>
          <w:spacing w:val="-12"/>
        </w:rPr>
        <w:t>Avenida José Celestino Mutis</w:t>
      </w:r>
      <w:r w:rsidRPr="00AC264F">
        <w:rPr>
          <w:rFonts w:cs="Times New Roman (Cuerpo en alfa"/>
          <w:color w:val="000000"/>
          <w:spacing w:val="-12"/>
        </w:rPr>
        <w:t xml:space="preserve"> (Cl 63) desde la carrera 114 hasta la carrera 122 la cual se encuentra con un contrato en ejecución de obra y se espera que esté habilitada al final del 2024.</w:t>
      </w:r>
    </w:p>
    <w:p w14:paraId="0B92F3F2" w14:textId="77777777" w:rsidR="006B728F" w:rsidRPr="00AC264F" w:rsidRDefault="006B728F" w:rsidP="00CB6AEC">
      <w:pPr>
        <w:numPr>
          <w:ilvl w:val="0"/>
          <w:numId w:val="65"/>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Avance en el </w:t>
      </w:r>
      <w:r w:rsidRPr="00AC264F">
        <w:rPr>
          <w:rFonts w:cs="Times New Roman (Cuerpo en alfa"/>
          <w:b/>
          <w:color w:val="000000"/>
          <w:spacing w:val="-12"/>
        </w:rPr>
        <w:t>Saneamiento del Río Bogotá</w:t>
      </w:r>
      <w:r w:rsidRPr="00AC264F">
        <w:rPr>
          <w:rFonts w:cs="Times New Roman (Cuerpo en alfa"/>
          <w:color w:val="000000"/>
          <w:spacing w:val="-12"/>
        </w:rPr>
        <w:t xml:space="preserve"> y sus afluentes, mediante el sistema de interceptores y de la construcción y optimización de las Plantas de Tratamiento de Aguas Residuales.</w:t>
      </w:r>
    </w:p>
    <w:p w14:paraId="1FA55060" w14:textId="77777777" w:rsidR="006B728F" w:rsidRPr="00AC264F" w:rsidRDefault="006B728F" w:rsidP="00CB6AEC">
      <w:pPr>
        <w:numPr>
          <w:ilvl w:val="0"/>
          <w:numId w:val="65"/>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El </w:t>
      </w:r>
      <w:r w:rsidRPr="00AC264F">
        <w:rPr>
          <w:rFonts w:cs="Times New Roman (Cuerpo en alfa"/>
          <w:b/>
          <w:color w:val="000000"/>
          <w:spacing w:val="-12"/>
        </w:rPr>
        <w:t>Hospital de Engativá</w:t>
      </w:r>
      <w:r w:rsidRPr="00AC264F">
        <w:rPr>
          <w:rFonts w:cs="Times New Roman (Cuerpo en alfa"/>
          <w:color w:val="000000"/>
          <w:spacing w:val="-12"/>
        </w:rPr>
        <w:t xml:space="preserve"> o "Parque Hospitalario de Engativá" el cual se encuentra en etapa de estudios y diseños en estructuración para APP y cuenta con vigencias futuras aprobadas.</w:t>
      </w:r>
    </w:p>
    <w:p w14:paraId="240934F7" w14:textId="77777777" w:rsidR="006B728F" w:rsidRPr="00AC264F" w:rsidRDefault="006B728F" w:rsidP="00CB6AEC">
      <w:pPr>
        <w:numPr>
          <w:ilvl w:val="0"/>
          <w:numId w:val="65"/>
        </w:numPr>
        <w:pBdr>
          <w:top w:val="nil"/>
          <w:left w:val="nil"/>
          <w:bottom w:val="nil"/>
          <w:right w:val="nil"/>
          <w:between w:val="nil"/>
        </w:pBdr>
        <w:spacing w:line="240" w:lineRule="auto"/>
        <w:rPr>
          <w:rFonts w:cs="Times New Roman (Cuerpo en alfa"/>
          <w:color w:val="000000"/>
          <w:spacing w:val="-12"/>
        </w:rPr>
      </w:pPr>
      <w:r w:rsidRPr="00AC264F">
        <w:rPr>
          <w:rFonts w:cs="Times New Roman (Cuerpo en alfa"/>
          <w:color w:val="000000"/>
          <w:spacing w:val="-12"/>
        </w:rPr>
        <w:t xml:space="preserve">El </w:t>
      </w:r>
      <w:r w:rsidRPr="00AC264F">
        <w:rPr>
          <w:rFonts w:cs="Times New Roman (Cuerpo en alfa"/>
          <w:b/>
          <w:color w:val="000000"/>
          <w:spacing w:val="-12"/>
        </w:rPr>
        <w:t>CDC El Campito</w:t>
      </w:r>
      <w:r w:rsidRPr="00AC264F">
        <w:rPr>
          <w:rFonts w:cs="Times New Roman (Cuerpo en alfa"/>
          <w:color w:val="000000"/>
          <w:spacing w:val="-12"/>
        </w:rPr>
        <w:t xml:space="preserve"> que se encuentra en ejecución y se prevé su culminación en diciembre de 2024.</w:t>
      </w:r>
    </w:p>
    <w:p w14:paraId="1041A327" w14:textId="77777777" w:rsidR="006B728F" w:rsidRDefault="006B728F" w:rsidP="000D2D76">
      <w:pPr>
        <w:rPr>
          <w:color w:val="000000"/>
        </w:rPr>
      </w:pPr>
    </w:p>
    <w:p w14:paraId="411CC438" w14:textId="77777777" w:rsidR="006B728F" w:rsidRPr="000D2D76" w:rsidRDefault="006B728F" w:rsidP="00CB6AEC">
      <w:pPr>
        <w:pStyle w:val="Prrafodelista"/>
        <w:numPr>
          <w:ilvl w:val="0"/>
          <w:numId w:val="66"/>
        </w:numPr>
        <w:pBdr>
          <w:top w:val="nil"/>
          <w:left w:val="nil"/>
          <w:bottom w:val="nil"/>
          <w:right w:val="nil"/>
          <w:between w:val="nil"/>
        </w:pBdr>
        <w:spacing w:line="240" w:lineRule="auto"/>
        <w:rPr>
          <w:color w:val="000000"/>
        </w:rPr>
      </w:pPr>
      <w:r w:rsidRPr="000D2D76">
        <w:rPr>
          <w:color w:val="000000"/>
        </w:rPr>
        <w:t>De aquí en adelante, se debe adquirir la buena práctica de actualizar la ponderación de los proyectos y estrategias del POT con el fin de programar y focalizar la inversión de manera eficiente y coherente con las necesidades del territorio. Este ejercicio es valioso, incluso con una periodicidad anual que sirva de insumo para para la construcción de los planes plurianuales de inversión.</w:t>
      </w:r>
    </w:p>
    <w:p w14:paraId="07A062E7" w14:textId="77777777" w:rsidR="006B728F" w:rsidRDefault="006B728F" w:rsidP="00950BA3">
      <w:pPr>
        <w:rPr>
          <w:color w:val="000000"/>
        </w:rPr>
        <w:sectPr w:rsidR="006B728F" w:rsidSect="00F7078E">
          <w:type w:val="continuous"/>
          <w:pgSz w:w="12240" w:h="15840"/>
          <w:pgMar w:top="2262" w:right="1440" w:bottom="1440" w:left="1440" w:header="709" w:footer="709" w:gutter="0"/>
          <w:cols w:num="2" w:space="567"/>
          <w:docGrid w:linePitch="360"/>
        </w:sectPr>
      </w:pPr>
      <w:bookmarkStart w:id="497" w:name="_Toc164869906"/>
    </w:p>
    <w:p w14:paraId="2EFEE121" w14:textId="77777777" w:rsidR="006B728F" w:rsidRDefault="006B728F" w:rsidP="00950BA3">
      <w:pPr>
        <w:rPr>
          <w:color w:val="000000"/>
        </w:rPr>
      </w:pPr>
    </w:p>
    <w:bookmarkEnd w:id="497"/>
    <w:p w14:paraId="030F8516" w14:textId="77777777" w:rsidR="006B728F" w:rsidRDefault="006B728F" w:rsidP="00C45600">
      <w:pPr>
        <w:jc w:val="left"/>
        <w:rPr>
          <w:lang w:eastAsia="es-CO"/>
        </w:rPr>
      </w:pPr>
    </w:p>
    <w:p w14:paraId="0DAA32B0" w14:textId="77777777" w:rsidR="000274A7" w:rsidRDefault="000274A7">
      <w:pPr>
        <w:spacing w:line="240" w:lineRule="auto"/>
        <w:jc w:val="left"/>
        <w:rPr>
          <w:b/>
          <w:sz w:val="28"/>
          <w:lang w:val="es-419" w:eastAsia="es-CO"/>
        </w:rPr>
      </w:pPr>
      <w:r>
        <w:rPr>
          <w:lang w:eastAsia="es-CO"/>
        </w:rPr>
        <w:br w:type="page"/>
      </w:r>
    </w:p>
    <w:p w14:paraId="05714528" w14:textId="4CFC7F3D" w:rsidR="006B728F" w:rsidRPr="00FD26D9" w:rsidRDefault="006B728F" w:rsidP="000274A7">
      <w:pPr>
        <w:pStyle w:val="subnumeros"/>
        <w:numPr>
          <w:ilvl w:val="0"/>
          <w:numId w:val="0"/>
        </w:numPr>
        <w:ind w:left="1145" w:hanging="720"/>
        <w:outlineLvl w:val="9"/>
        <w:rPr>
          <w:rFonts w:eastAsia="Times New Roman"/>
          <w:lang w:eastAsia="es-CO"/>
        </w:rPr>
      </w:pPr>
      <w:r w:rsidRPr="00FD26D9">
        <w:rPr>
          <w:rFonts w:eastAsia="Times New Roman"/>
          <w:lang w:eastAsia="es-CO"/>
        </w:rPr>
        <w:lastRenderedPageBreak/>
        <w:t xml:space="preserve">Proyectos POT </w:t>
      </w:r>
      <w:r w:rsidRPr="00574B4F">
        <w:rPr>
          <w:rFonts w:eastAsia="Times New Roman"/>
          <w:lang w:eastAsia="es-CO"/>
        </w:rPr>
        <w:t>priorizados en el PDD 2024-2027</w:t>
      </w:r>
    </w:p>
    <w:p w14:paraId="6576D0CB" w14:textId="77777777" w:rsidR="006B728F" w:rsidRDefault="006B728F" w:rsidP="00FD26D9">
      <w:pPr>
        <w:sectPr w:rsidR="006B728F" w:rsidSect="00F7078E">
          <w:type w:val="continuous"/>
          <w:pgSz w:w="12240" w:h="15840"/>
          <w:pgMar w:top="2262" w:right="1440" w:bottom="1440" w:left="1440" w:header="709" w:footer="709" w:gutter="0"/>
          <w:cols w:space="567"/>
          <w:docGrid w:linePitch="360"/>
        </w:sectPr>
      </w:pPr>
    </w:p>
    <w:p w14:paraId="1A34F499" w14:textId="77777777" w:rsidR="006B728F" w:rsidRPr="00FD26D9" w:rsidRDefault="006B728F" w:rsidP="00FD26D9">
      <w:r w:rsidRPr="00FD26D9">
        <w:t xml:space="preserve">Para la vigencia del Plan de Distrital de Desarrollo 2024-2027 se prioriza la ejecución de los siguientes proyectos que derivan del componente programático del Plan de Ordenamiento Territorial – Decreto Distrital 555 de 2021. Como se señaló en los capítulos anteriores, los proyectos fueron seleccionados bajo criterios de aporte a la consolidación del </w:t>
      </w:r>
      <w:r>
        <w:t>M</w:t>
      </w:r>
      <w:r w:rsidRPr="00FD26D9">
        <w:t xml:space="preserve">odelo de </w:t>
      </w:r>
      <w:r>
        <w:t>O</w:t>
      </w:r>
      <w:r w:rsidRPr="00FD26D9">
        <w:t xml:space="preserve">cupación </w:t>
      </w:r>
      <w:r>
        <w:t>T</w:t>
      </w:r>
      <w:r w:rsidRPr="00FD26D9">
        <w:t>erritorial, de impacto en la reducción de los déficits territoriales y de continuidad en la ejecución de los proyectos e implementación de las estrategias territoriales. Los proyectos se presentan a partir de los objetivos de largo plazo del POT y corresponden principalmente al horizonte de corto plazo del Plan; no obstante, también se incluyen algunos proyectos de los otros horizontes, aprovechando las facilidades de gestión o necesidades del territorio, los cuales las entidades han programado ejecutar en esta administración.</w:t>
      </w:r>
    </w:p>
    <w:p w14:paraId="7C985B9C" w14:textId="77777777" w:rsidR="006B728F" w:rsidRPr="00FD26D9" w:rsidRDefault="006B728F" w:rsidP="00FD26D9"/>
    <w:p w14:paraId="7BFF5B31" w14:textId="77777777" w:rsidR="006B728F" w:rsidRPr="00FD26D9" w:rsidRDefault="006B728F" w:rsidP="00FD26D9">
      <w:r w:rsidRPr="00FD26D9">
        <w:t xml:space="preserve">La información que aquí se presenta constituye un insumo que orienta las inversiones de la administración distrital para los próximos cuatro </w:t>
      </w:r>
      <w:r w:rsidRPr="00FD26D9">
        <w:t>años y que debe ser tenido en cuenta por las diferentes entidades para cumplir con los objetivos de ordenamiento territorial previstos en el Decreto Distrital 555 de 2021, sin perjuicio de que en la formulación de los planes de inversión plurianual se precise el alcance de los proyectos priorizados o se propongan proyectos adicionales que ayuden a su consolidación y al cumplimiento de las diferentes metas del PDD y del POT, lo anterior</w:t>
      </w:r>
      <w:r>
        <w:t xml:space="preserve"> </w:t>
      </w:r>
      <w:r w:rsidRPr="00FD26D9">
        <w:t>en función de condiciones técnicas, urbanísticas, jurídicas o presupuestales.</w:t>
      </w:r>
    </w:p>
    <w:p w14:paraId="0E5A59D2" w14:textId="77777777" w:rsidR="006B728F" w:rsidRPr="00FD26D9" w:rsidRDefault="006B728F" w:rsidP="00FD26D9"/>
    <w:p w14:paraId="3B3479DF" w14:textId="49BCC209" w:rsidR="006B728F" w:rsidRPr="00FD26D9" w:rsidRDefault="006B728F" w:rsidP="00FD26D9">
      <w:r w:rsidRPr="00FD26D9">
        <w:t>Si bien la caracterización de los proyectos se realizó con información a corte del 31 de diciembre de 2023</w:t>
      </w:r>
      <w:r>
        <w:t xml:space="preserve">, esta </w:t>
      </w:r>
      <w:r w:rsidRPr="00FD26D9">
        <w:t>está teniendo en cuenta la proyección de avance de estos para el primer semestre del 2024</w:t>
      </w:r>
      <w:r>
        <w:t xml:space="preserve">. </w:t>
      </w:r>
      <w:r w:rsidRPr="00FD26D9">
        <w:t xml:space="preserve"> </w:t>
      </w:r>
      <w:r>
        <w:t>La</w:t>
      </w:r>
      <w:r w:rsidRPr="00FD26D9">
        <w:t xml:space="preserve"> información deberá ser actualizada para la definición de la línea base de los proyectos y planes plurianuales de inversión una vez se adopte el </w:t>
      </w:r>
      <w:r>
        <w:t xml:space="preserve">Plan Distrital de Desarrollo </w:t>
      </w:r>
      <w:r w:rsidRPr="00FD26D9">
        <w:t xml:space="preserve">2024-2027. Esta información se puede ampliar en el anexo “Programa de Ejecución del Plan de Ordenamiento Territorial” que </w:t>
      </w:r>
      <w:r w:rsidR="00916814">
        <w:t>acompaña esta sección</w:t>
      </w:r>
      <w:r w:rsidRPr="00FD26D9">
        <w:t xml:space="preserve"> y que se sintetiza a continuación:</w:t>
      </w:r>
    </w:p>
    <w:p w14:paraId="67343CC5" w14:textId="77777777" w:rsidR="006B728F" w:rsidRDefault="006B728F" w:rsidP="00C45600">
      <w:pPr>
        <w:ind w:left="1146"/>
        <w:jc w:val="left"/>
        <w:rPr>
          <w:lang w:eastAsia="es-CO"/>
        </w:rPr>
        <w:sectPr w:rsidR="006B728F" w:rsidSect="00F7078E">
          <w:type w:val="continuous"/>
          <w:pgSz w:w="12240" w:h="15840"/>
          <w:pgMar w:top="2262" w:right="1440" w:bottom="1440" w:left="1440" w:header="709" w:footer="709" w:gutter="0"/>
          <w:cols w:num="2" w:space="567"/>
          <w:docGrid w:linePitch="360"/>
        </w:sectPr>
      </w:pPr>
    </w:p>
    <w:p w14:paraId="5A0C4CD2" w14:textId="77777777" w:rsidR="006B728F" w:rsidRPr="0056360E" w:rsidRDefault="006B728F" w:rsidP="00C45600">
      <w:pPr>
        <w:ind w:left="1146"/>
        <w:jc w:val="left"/>
        <w:rPr>
          <w:lang w:eastAsia="es-CO"/>
        </w:rPr>
      </w:pPr>
    </w:p>
    <w:p w14:paraId="74D6FB3D" w14:textId="2A2CD4CD" w:rsidR="000274A7" w:rsidRPr="000274A7" w:rsidRDefault="000274A7" w:rsidP="000274A7">
      <w:pPr>
        <w:pStyle w:val="Descripcin"/>
        <w:jc w:val="center"/>
        <w:rPr>
          <w:rStyle w:val="Textoennegrita"/>
          <w:sz w:val="18"/>
          <w:szCs w:val="14"/>
        </w:rPr>
      </w:pPr>
      <w:bookmarkStart w:id="498" w:name="_Toc165169974"/>
      <w:r w:rsidRPr="000274A7">
        <w:rPr>
          <w:color w:val="C00000"/>
          <w:sz w:val="18"/>
          <w:szCs w:val="14"/>
        </w:rPr>
        <w:t xml:space="preserve">Tabla </w:t>
      </w:r>
      <w:r w:rsidRPr="000274A7">
        <w:rPr>
          <w:color w:val="C00000"/>
          <w:sz w:val="18"/>
          <w:szCs w:val="14"/>
        </w:rPr>
        <w:fldChar w:fldCharType="begin"/>
      </w:r>
      <w:r w:rsidRPr="000274A7">
        <w:rPr>
          <w:color w:val="C00000"/>
          <w:sz w:val="18"/>
          <w:szCs w:val="14"/>
        </w:rPr>
        <w:instrText xml:space="preserve"> SEQ Tabla \* ARABIC </w:instrText>
      </w:r>
      <w:r w:rsidRPr="000274A7">
        <w:rPr>
          <w:color w:val="C00000"/>
          <w:sz w:val="18"/>
          <w:szCs w:val="14"/>
        </w:rPr>
        <w:fldChar w:fldCharType="separate"/>
      </w:r>
      <w:r w:rsidR="00D01651">
        <w:rPr>
          <w:noProof/>
          <w:color w:val="C00000"/>
          <w:sz w:val="18"/>
          <w:szCs w:val="14"/>
        </w:rPr>
        <w:t>64</w:t>
      </w:r>
      <w:r w:rsidRPr="000274A7">
        <w:rPr>
          <w:color w:val="C00000"/>
          <w:sz w:val="18"/>
          <w:szCs w:val="14"/>
        </w:rPr>
        <w:fldChar w:fldCharType="end"/>
      </w:r>
      <w:r w:rsidRPr="000274A7">
        <w:rPr>
          <w:color w:val="C00000"/>
          <w:sz w:val="18"/>
          <w:szCs w:val="14"/>
        </w:rPr>
        <w:t xml:space="preserve">. </w:t>
      </w:r>
      <w:r w:rsidRPr="000274A7">
        <w:rPr>
          <w:sz w:val="18"/>
          <w:szCs w:val="14"/>
        </w:rPr>
        <w:t>Proyectos Priorizados del POT en el PDD 2024-2027</w:t>
      </w:r>
      <w:bookmarkEnd w:id="498"/>
    </w:p>
    <w:p w14:paraId="7102F1B6" w14:textId="77777777" w:rsidR="000274A7" w:rsidRDefault="000274A7" w:rsidP="00C91C74">
      <w:pPr>
        <w:rPr>
          <w:rStyle w:val="Textoennegrita"/>
        </w:rPr>
      </w:pPr>
    </w:p>
    <w:p w14:paraId="24EC0CC7" w14:textId="55673E89" w:rsidR="006B728F" w:rsidRDefault="006B728F" w:rsidP="000274A7">
      <w:pPr>
        <w:jc w:val="center"/>
        <w:rPr>
          <w:b/>
          <w:bCs/>
          <w:color w:val="000000"/>
        </w:rPr>
      </w:pPr>
      <w:r w:rsidRPr="00FD26D9">
        <w:rPr>
          <w:rStyle w:val="Textoennegrita"/>
        </w:rPr>
        <w:t>Objetivo 1</w:t>
      </w:r>
      <w:r w:rsidRPr="000659CB">
        <w:rPr>
          <w:b/>
          <w:bCs/>
          <w:color w:val="000000"/>
        </w:rPr>
        <w:t xml:space="preserve"> </w:t>
      </w:r>
      <w:r w:rsidRPr="000274A7">
        <w:rPr>
          <w:b/>
          <w:bCs/>
        </w:rPr>
        <w:t>Proteger la estructura ecológica principal y los paisajes bogotanos y generar las condiciones de una relación más armoniosa y sostenible de la ciudad con su entorno rural</w:t>
      </w:r>
    </w:p>
    <w:p w14:paraId="0EB2E4C5" w14:textId="77777777" w:rsidR="006B728F" w:rsidRPr="000659CB" w:rsidRDefault="006B728F" w:rsidP="00C91C74">
      <w:pPr>
        <w:rPr>
          <w:b/>
          <w:bCs/>
          <w:color w:val="000000"/>
        </w:rPr>
      </w:pPr>
    </w:p>
    <w:tbl>
      <w:tblPr>
        <w:tblW w:w="9863" w:type="dxa"/>
        <w:jc w:val="center"/>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560"/>
        <w:gridCol w:w="1559"/>
        <w:gridCol w:w="1432"/>
        <w:gridCol w:w="1280"/>
        <w:gridCol w:w="1418"/>
        <w:gridCol w:w="1289"/>
        <w:gridCol w:w="1325"/>
      </w:tblGrid>
      <w:tr w:rsidR="006B728F" w:rsidRPr="00C45600" w14:paraId="1110FB83" w14:textId="77777777" w:rsidTr="000274A7">
        <w:trPr>
          <w:trHeight w:val="1152"/>
          <w:tblHeader/>
          <w:jc w:val="center"/>
        </w:trPr>
        <w:tc>
          <w:tcPr>
            <w:tcW w:w="1560" w:type="dxa"/>
            <w:shd w:val="clear" w:color="auto" w:fill="C00000"/>
            <w:vAlign w:val="center"/>
          </w:tcPr>
          <w:p w14:paraId="7FFF0F10" w14:textId="77777777" w:rsidR="006B728F" w:rsidRPr="00FD29DC" w:rsidRDefault="006B728F" w:rsidP="00082C24">
            <w:pPr>
              <w:jc w:val="center"/>
              <w:rPr>
                <w:b/>
                <w:bCs/>
                <w:color w:val="FFFFFF" w:themeColor="background1"/>
              </w:rPr>
            </w:pPr>
            <w:r w:rsidRPr="00FD29DC">
              <w:rPr>
                <w:b/>
                <w:bCs/>
                <w:color w:val="FFFFFF" w:themeColor="background1"/>
              </w:rPr>
              <w:t>Nombre del proyecto POT</w:t>
            </w:r>
          </w:p>
        </w:tc>
        <w:tc>
          <w:tcPr>
            <w:tcW w:w="1559" w:type="dxa"/>
            <w:shd w:val="clear" w:color="auto" w:fill="C00000"/>
            <w:vAlign w:val="center"/>
          </w:tcPr>
          <w:p w14:paraId="76F1CD2C" w14:textId="77777777" w:rsidR="006B728F" w:rsidRPr="00FD29DC" w:rsidRDefault="006B728F" w:rsidP="00082C24">
            <w:pPr>
              <w:jc w:val="center"/>
              <w:rPr>
                <w:b/>
                <w:bCs/>
                <w:color w:val="FFFFFF" w:themeColor="background1"/>
              </w:rPr>
            </w:pPr>
            <w:r w:rsidRPr="00FD29DC">
              <w:rPr>
                <w:b/>
                <w:bCs/>
                <w:color w:val="FFFFFF" w:themeColor="background1"/>
              </w:rPr>
              <w:t>Programa POT</w:t>
            </w:r>
          </w:p>
        </w:tc>
        <w:tc>
          <w:tcPr>
            <w:tcW w:w="1432" w:type="dxa"/>
            <w:shd w:val="clear" w:color="auto" w:fill="C00000"/>
            <w:vAlign w:val="center"/>
          </w:tcPr>
          <w:p w14:paraId="355914A2" w14:textId="77777777" w:rsidR="006B728F" w:rsidRPr="00FD29DC" w:rsidRDefault="006B728F" w:rsidP="00082C24">
            <w:pPr>
              <w:jc w:val="center"/>
              <w:rPr>
                <w:b/>
                <w:bCs/>
                <w:color w:val="FFFFFF" w:themeColor="background1"/>
              </w:rPr>
            </w:pPr>
            <w:r w:rsidRPr="00FD29DC">
              <w:rPr>
                <w:b/>
                <w:bCs/>
                <w:color w:val="FFFFFF" w:themeColor="background1"/>
              </w:rPr>
              <w:t>Subprograma POT</w:t>
            </w:r>
          </w:p>
        </w:tc>
        <w:tc>
          <w:tcPr>
            <w:tcW w:w="1280" w:type="dxa"/>
            <w:shd w:val="clear" w:color="auto" w:fill="C00000"/>
            <w:vAlign w:val="center"/>
          </w:tcPr>
          <w:p w14:paraId="35796A3C" w14:textId="77777777" w:rsidR="006B728F" w:rsidRPr="00FD29DC" w:rsidRDefault="006B728F" w:rsidP="00082C24">
            <w:pPr>
              <w:jc w:val="center"/>
              <w:rPr>
                <w:b/>
                <w:bCs/>
                <w:color w:val="FFFFFF" w:themeColor="background1"/>
              </w:rPr>
            </w:pPr>
            <w:r w:rsidRPr="00FD29DC">
              <w:rPr>
                <w:b/>
                <w:bCs/>
                <w:color w:val="FFFFFF" w:themeColor="background1"/>
              </w:rPr>
              <w:t>Objetivo PDD 2024 - 2027</w:t>
            </w:r>
          </w:p>
        </w:tc>
        <w:tc>
          <w:tcPr>
            <w:tcW w:w="1418" w:type="dxa"/>
            <w:shd w:val="clear" w:color="auto" w:fill="C00000"/>
            <w:vAlign w:val="center"/>
          </w:tcPr>
          <w:p w14:paraId="0DED6268" w14:textId="77777777" w:rsidR="006B728F" w:rsidRPr="00FD29DC" w:rsidRDefault="006B728F" w:rsidP="00082C24">
            <w:pPr>
              <w:jc w:val="center"/>
              <w:rPr>
                <w:b/>
                <w:bCs/>
                <w:color w:val="FFFFFF" w:themeColor="background1"/>
              </w:rPr>
            </w:pPr>
            <w:r w:rsidRPr="00FD29DC">
              <w:rPr>
                <w:b/>
                <w:bCs/>
                <w:color w:val="FFFFFF" w:themeColor="background1"/>
              </w:rPr>
              <w:t>Programa PDD 2024 - 2027</w:t>
            </w:r>
          </w:p>
        </w:tc>
        <w:tc>
          <w:tcPr>
            <w:tcW w:w="1289" w:type="dxa"/>
            <w:shd w:val="clear" w:color="auto" w:fill="C00000"/>
            <w:vAlign w:val="center"/>
          </w:tcPr>
          <w:p w14:paraId="7BD63336" w14:textId="77777777" w:rsidR="000274A7" w:rsidRDefault="006B728F" w:rsidP="00082C24">
            <w:pPr>
              <w:jc w:val="center"/>
              <w:rPr>
                <w:b/>
                <w:bCs/>
                <w:color w:val="FFFFFF" w:themeColor="background1"/>
              </w:rPr>
            </w:pPr>
            <w:r w:rsidRPr="00FD29DC">
              <w:rPr>
                <w:b/>
                <w:bCs/>
                <w:color w:val="FFFFFF" w:themeColor="background1"/>
              </w:rPr>
              <w:t xml:space="preserve">Entidad </w:t>
            </w:r>
          </w:p>
          <w:p w14:paraId="66E4E4C1" w14:textId="4602FDFA" w:rsidR="006B728F" w:rsidRPr="00FD29DC" w:rsidRDefault="006B728F" w:rsidP="00082C24">
            <w:pPr>
              <w:jc w:val="center"/>
              <w:rPr>
                <w:b/>
                <w:bCs/>
                <w:color w:val="FFFFFF" w:themeColor="background1"/>
              </w:rPr>
            </w:pPr>
            <w:r w:rsidRPr="00FD29DC">
              <w:rPr>
                <w:b/>
                <w:bCs/>
                <w:color w:val="FFFFFF" w:themeColor="background1"/>
              </w:rPr>
              <w:t>responsable</w:t>
            </w:r>
          </w:p>
        </w:tc>
        <w:tc>
          <w:tcPr>
            <w:tcW w:w="1325" w:type="dxa"/>
            <w:shd w:val="clear" w:color="auto" w:fill="C00000"/>
            <w:vAlign w:val="center"/>
          </w:tcPr>
          <w:p w14:paraId="7628AA0F" w14:textId="77777777" w:rsidR="006B728F" w:rsidRPr="00FD29DC" w:rsidRDefault="006B728F" w:rsidP="00082C24">
            <w:pPr>
              <w:jc w:val="center"/>
              <w:rPr>
                <w:b/>
                <w:bCs/>
                <w:color w:val="FFFFFF" w:themeColor="background1"/>
              </w:rPr>
            </w:pPr>
            <w:r w:rsidRPr="00FD29DC">
              <w:rPr>
                <w:b/>
                <w:bCs/>
                <w:color w:val="FFFFFF" w:themeColor="background1"/>
              </w:rPr>
              <w:t>Etapa del proyecto POT</w:t>
            </w:r>
          </w:p>
        </w:tc>
      </w:tr>
      <w:tr w:rsidR="006B728F" w:rsidRPr="00C45600" w14:paraId="2FAC731B" w14:textId="77777777" w:rsidTr="00A557B3">
        <w:trPr>
          <w:trHeight w:val="1247"/>
          <w:jc w:val="center"/>
        </w:trPr>
        <w:tc>
          <w:tcPr>
            <w:tcW w:w="1560" w:type="dxa"/>
            <w:shd w:val="clear" w:color="auto" w:fill="auto"/>
            <w:noWrap/>
            <w:vAlign w:val="center"/>
            <w:hideMark/>
          </w:tcPr>
          <w:p w14:paraId="538D8005" w14:textId="77777777" w:rsidR="006B728F" w:rsidRPr="00C45600" w:rsidRDefault="006B728F" w:rsidP="00082C24">
            <w:pPr>
              <w:pStyle w:val="tablastexto"/>
              <w:jc w:val="center"/>
            </w:pPr>
            <w:r w:rsidRPr="00C45600">
              <w:t>Intervención y protección del área de Ocupación Público Prioritaria (207 ha)</w:t>
            </w:r>
          </w:p>
        </w:tc>
        <w:tc>
          <w:tcPr>
            <w:tcW w:w="1559" w:type="dxa"/>
            <w:shd w:val="clear" w:color="auto" w:fill="auto"/>
            <w:noWrap/>
            <w:vAlign w:val="center"/>
            <w:hideMark/>
          </w:tcPr>
          <w:p w14:paraId="767518D4"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05467521" w14:textId="77777777" w:rsidR="006B728F" w:rsidRPr="00C45600" w:rsidRDefault="006B728F" w:rsidP="00082C24">
            <w:pPr>
              <w:pStyle w:val="tablastexto"/>
              <w:jc w:val="center"/>
            </w:pPr>
            <w:r w:rsidRPr="00C45600">
              <w:t>2. Subprograma de Bordes Urbano Rurales</w:t>
            </w:r>
          </w:p>
        </w:tc>
        <w:tc>
          <w:tcPr>
            <w:tcW w:w="1280" w:type="dxa"/>
            <w:shd w:val="clear" w:color="auto" w:fill="auto"/>
            <w:noWrap/>
            <w:vAlign w:val="center"/>
            <w:hideMark/>
          </w:tcPr>
          <w:p w14:paraId="7B082D0E"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03B56987" w14:textId="77777777" w:rsidR="006B728F" w:rsidRPr="00C45600" w:rsidRDefault="006B728F" w:rsidP="00082C24">
            <w:pPr>
              <w:pStyle w:val="tablastexto"/>
              <w:jc w:val="center"/>
            </w:pPr>
            <w:r w:rsidRPr="00C45600">
              <w:t>4.28. Reducción de emisiones y control del deterioro ambiental</w:t>
            </w:r>
          </w:p>
        </w:tc>
        <w:tc>
          <w:tcPr>
            <w:tcW w:w="1289" w:type="dxa"/>
            <w:shd w:val="clear" w:color="auto" w:fill="auto"/>
            <w:noWrap/>
            <w:vAlign w:val="center"/>
            <w:hideMark/>
          </w:tcPr>
          <w:p w14:paraId="619E01D5"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05B94583" w14:textId="77777777" w:rsidR="006B728F" w:rsidRPr="00C45600" w:rsidRDefault="006B728F" w:rsidP="00082C24">
            <w:pPr>
              <w:pStyle w:val="tablastexto"/>
              <w:jc w:val="center"/>
            </w:pPr>
            <w:r w:rsidRPr="00C45600">
              <w:t>En Implementación</w:t>
            </w:r>
          </w:p>
        </w:tc>
      </w:tr>
      <w:tr w:rsidR="006B728F" w:rsidRPr="00C45600" w14:paraId="06E43838" w14:textId="77777777" w:rsidTr="00A557B3">
        <w:trPr>
          <w:trHeight w:val="1247"/>
          <w:jc w:val="center"/>
        </w:trPr>
        <w:tc>
          <w:tcPr>
            <w:tcW w:w="1560" w:type="dxa"/>
            <w:shd w:val="clear" w:color="auto" w:fill="auto"/>
            <w:noWrap/>
            <w:vAlign w:val="center"/>
            <w:hideMark/>
          </w:tcPr>
          <w:p w14:paraId="05C89559" w14:textId="77777777" w:rsidR="006B728F" w:rsidRPr="00C45600" w:rsidRDefault="006B728F" w:rsidP="00082C24">
            <w:pPr>
              <w:pStyle w:val="tablastexto"/>
              <w:jc w:val="center"/>
            </w:pPr>
            <w:r w:rsidRPr="00C45600">
              <w:t>Conformación del Parque Distrital Ecológico de montaña Cerro Seco</w:t>
            </w:r>
          </w:p>
        </w:tc>
        <w:tc>
          <w:tcPr>
            <w:tcW w:w="1559" w:type="dxa"/>
            <w:shd w:val="clear" w:color="auto" w:fill="auto"/>
            <w:noWrap/>
            <w:vAlign w:val="center"/>
            <w:hideMark/>
          </w:tcPr>
          <w:p w14:paraId="7B163632"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1E2A0537"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4D16DBEE"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01002836"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7E133E8F"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4353F4D4" w14:textId="77777777" w:rsidR="006B728F" w:rsidRPr="00C45600" w:rsidRDefault="006B728F" w:rsidP="00082C24">
            <w:pPr>
              <w:pStyle w:val="tablastexto"/>
              <w:jc w:val="center"/>
            </w:pPr>
            <w:r w:rsidRPr="00C45600">
              <w:t>Sin iniciar</w:t>
            </w:r>
          </w:p>
        </w:tc>
      </w:tr>
      <w:tr w:rsidR="006B728F" w:rsidRPr="00C45600" w14:paraId="640363C5" w14:textId="77777777" w:rsidTr="00A557B3">
        <w:trPr>
          <w:trHeight w:val="1252"/>
          <w:jc w:val="center"/>
        </w:trPr>
        <w:tc>
          <w:tcPr>
            <w:tcW w:w="1560" w:type="dxa"/>
            <w:shd w:val="clear" w:color="auto" w:fill="auto"/>
            <w:noWrap/>
            <w:vAlign w:val="center"/>
            <w:hideMark/>
          </w:tcPr>
          <w:p w14:paraId="7C4D6F97" w14:textId="77777777" w:rsidR="006B728F" w:rsidRPr="00C45600" w:rsidRDefault="006B728F" w:rsidP="00082C24">
            <w:pPr>
              <w:pStyle w:val="tablastexto"/>
              <w:jc w:val="center"/>
            </w:pPr>
            <w:r w:rsidRPr="00C45600">
              <w:lastRenderedPageBreak/>
              <w:t>Consolidación de la Reserva Forestal Tomas Van der Hammen a través de la implementación del PMA vigente</w:t>
            </w:r>
          </w:p>
        </w:tc>
        <w:tc>
          <w:tcPr>
            <w:tcW w:w="1559" w:type="dxa"/>
            <w:shd w:val="clear" w:color="auto" w:fill="auto"/>
            <w:noWrap/>
            <w:vAlign w:val="center"/>
            <w:hideMark/>
          </w:tcPr>
          <w:p w14:paraId="41BEFD59"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570A2529"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3B4069F7"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312DFAEE"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4C0039E7"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3FBA2AA9" w14:textId="77777777" w:rsidR="006B728F" w:rsidRPr="00C45600" w:rsidRDefault="006B728F" w:rsidP="00082C24">
            <w:pPr>
              <w:pStyle w:val="tablastexto"/>
              <w:jc w:val="center"/>
            </w:pPr>
            <w:r w:rsidRPr="00C45600">
              <w:t>En Implementación</w:t>
            </w:r>
          </w:p>
        </w:tc>
      </w:tr>
      <w:tr w:rsidR="006B728F" w:rsidRPr="00C45600" w14:paraId="20FDA280" w14:textId="77777777" w:rsidTr="00A557B3">
        <w:trPr>
          <w:trHeight w:val="1247"/>
          <w:jc w:val="center"/>
        </w:trPr>
        <w:tc>
          <w:tcPr>
            <w:tcW w:w="1560" w:type="dxa"/>
            <w:shd w:val="clear" w:color="auto" w:fill="auto"/>
            <w:noWrap/>
            <w:vAlign w:val="center"/>
            <w:hideMark/>
          </w:tcPr>
          <w:p w14:paraId="71175641" w14:textId="77777777" w:rsidR="006B728F" w:rsidRPr="00C45600" w:rsidRDefault="006B728F" w:rsidP="00082C24">
            <w:pPr>
              <w:pStyle w:val="tablastexto"/>
              <w:jc w:val="center"/>
            </w:pPr>
            <w:r w:rsidRPr="00C45600">
              <w:t>Restauración y recuperación de coberturas vegetales en la Red de parques del Río Bogotá</w:t>
            </w:r>
          </w:p>
        </w:tc>
        <w:tc>
          <w:tcPr>
            <w:tcW w:w="1559" w:type="dxa"/>
            <w:shd w:val="clear" w:color="auto" w:fill="auto"/>
            <w:noWrap/>
            <w:vAlign w:val="center"/>
            <w:hideMark/>
          </w:tcPr>
          <w:p w14:paraId="2754E5B7"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7EFD58BF" w14:textId="77777777" w:rsidR="006B728F" w:rsidRPr="00C45600" w:rsidRDefault="006B728F" w:rsidP="00082C24">
            <w:pPr>
              <w:pStyle w:val="tablastexto"/>
              <w:jc w:val="center"/>
            </w:pPr>
            <w:r w:rsidRPr="00C45600">
              <w:t>4. Subprograma de Protección y recuperación del Río Bogotá</w:t>
            </w:r>
          </w:p>
        </w:tc>
        <w:tc>
          <w:tcPr>
            <w:tcW w:w="1280" w:type="dxa"/>
            <w:shd w:val="clear" w:color="auto" w:fill="auto"/>
            <w:noWrap/>
            <w:vAlign w:val="center"/>
            <w:hideMark/>
          </w:tcPr>
          <w:p w14:paraId="58428B3A"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0BE40305"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45548D37"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57BA4BE0" w14:textId="77777777" w:rsidR="006B728F" w:rsidRPr="00C45600" w:rsidRDefault="006B728F" w:rsidP="00082C24">
            <w:pPr>
              <w:pStyle w:val="tablastexto"/>
              <w:jc w:val="center"/>
            </w:pPr>
            <w:r w:rsidRPr="00C45600">
              <w:t>En Implementación</w:t>
            </w:r>
          </w:p>
        </w:tc>
      </w:tr>
      <w:tr w:rsidR="006B728F" w:rsidRPr="00C45600" w14:paraId="2C362DBB" w14:textId="77777777" w:rsidTr="00A557B3">
        <w:trPr>
          <w:trHeight w:val="1247"/>
          <w:jc w:val="center"/>
        </w:trPr>
        <w:tc>
          <w:tcPr>
            <w:tcW w:w="1560" w:type="dxa"/>
            <w:shd w:val="clear" w:color="auto" w:fill="auto"/>
            <w:noWrap/>
            <w:vAlign w:val="center"/>
            <w:hideMark/>
          </w:tcPr>
          <w:p w14:paraId="3D4FBEF9" w14:textId="77777777" w:rsidR="006B728F" w:rsidRPr="00C45600" w:rsidRDefault="006B728F" w:rsidP="00082C24">
            <w:pPr>
              <w:pStyle w:val="tablastexto"/>
              <w:jc w:val="center"/>
            </w:pPr>
            <w:r w:rsidRPr="00C45600">
              <w:t>Conformación Conector Bosque Oriental - Río Bogotá</w:t>
            </w:r>
          </w:p>
        </w:tc>
        <w:tc>
          <w:tcPr>
            <w:tcW w:w="1559" w:type="dxa"/>
            <w:shd w:val="clear" w:color="auto" w:fill="auto"/>
            <w:noWrap/>
            <w:vAlign w:val="center"/>
            <w:hideMark/>
          </w:tcPr>
          <w:p w14:paraId="375E3252"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33BD41CA"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7E91BF97"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3870028F"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3C1F07C8"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0D7A69B6" w14:textId="77777777" w:rsidR="006B728F" w:rsidRPr="00C45600" w:rsidRDefault="006B728F" w:rsidP="00082C24">
            <w:pPr>
              <w:pStyle w:val="tablastexto"/>
              <w:jc w:val="center"/>
            </w:pPr>
            <w:r w:rsidRPr="00C45600">
              <w:t>En Implementación</w:t>
            </w:r>
          </w:p>
        </w:tc>
      </w:tr>
      <w:tr w:rsidR="006B728F" w:rsidRPr="00C45600" w14:paraId="2D55E562" w14:textId="77777777" w:rsidTr="00A557B3">
        <w:trPr>
          <w:trHeight w:val="1247"/>
          <w:jc w:val="center"/>
        </w:trPr>
        <w:tc>
          <w:tcPr>
            <w:tcW w:w="1560" w:type="dxa"/>
            <w:shd w:val="clear" w:color="auto" w:fill="auto"/>
            <w:noWrap/>
            <w:vAlign w:val="center"/>
            <w:hideMark/>
          </w:tcPr>
          <w:p w14:paraId="358524C5" w14:textId="77777777" w:rsidR="006B728F" w:rsidRPr="00C45600" w:rsidRDefault="006B728F" w:rsidP="00082C24">
            <w:pPr>
              <w:pStyle w:val="tablastexto"/>
              <w:jc w:val="center"/>
            </w:pPr>
            <w:r w:rsidRPr="00C45600">
              <w:t>Conformación Conector ecosistémico Cerros-Virrey-Neuque</w:t>
            </w:r>
          </w:p>
        </w:tc>
        <w:tc>
          <w:tcPr>
            <w:tcW w:w="1559" w:type="dxa"/>
            <w:shd w:val="clear" w:color="auto" w:fill="auto"/>
            <w:noWrap/>
            <w:vAlign w:val="center"/>
            <w:hideMark/>
          </w:tcPr>
          <w:p w14:paraId="4FE05822"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6CA1DD86"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18BC6155"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0DEEB2E7"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1952042A"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7A76743B" w14:textId="77777777" w:rsidR="006B728F" w:rsidRPr="00C45600" w:rsidRDefault="006B728F" w:rsidP="00082C24">
            <w:pPr>
              <w:pStyle w:val="tablastexto"/>
              <w:jc w:val="center"/>
            </w:pPr>
            <w:r w:rsidRPr="00C45600">
              <w:t>En Implementación</w:t>
            </w:r>
          </w:p>
        </w:tc>
      </w:tr>
      <w:tr w:rsidR="006B728F" w:rsidRPr="00C45600" w14:paraId="08790D92" w14:textId="77777777" w:rsidTr="00A557B3">
        <w:trPr>
          <w:trHeight w:val="1247"/>
          <w:jc w:val="center"/>
        </w:trPr>
        <w:tc>
          <w:tcPr>
            <w:tcW w:w="1560" w:type="dxa"/>
            <w:shd w:val="clear" w:color="auto" w:fill="auto"/>
            <w:noWrap/>
            <w:vAlign w:val="center"/>
            <w:hideMark/>
          </w:tcPr>
          <w:p w14:paraId="534DB472" w14:textId="77777777" w:rsidR="006B728F" w:rsidRPr="00C45600" w:rsidRDefault="006B728F" w:rsidP="00082C24">
            <w:pPr>
              <w:pStyle w:val="tablastexto"/>
              <w:jc w:val="center"/>
            </w:pPr>
            <w:r w:rsidRPr="00C45600">
              <w:t>Conformación Conector ecosistémico Río Fucha</w:t>
            </w:r>
          </w:p>
        </w:tc>
        <w:tc>
          <w:tcPr>
            <w:tcW w:w="1559" w:type="dxa"/>
            <w:shd w:val="clear" w:color="auto" w:fill="auto"/>
            <w:noWrap/>
            <w:vAlign w:val="center"/>
            <w:hideMark/>
          </w:tcPr>
          <w:p w14:paraId="67105D11"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79CF4557"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1FA41797"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7529AE6E"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5B15A31A"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681F0112" w14:textId="77777777" w:rsidR="006B728F" w:rsidRPr="00C45600" w:rsidRDefault="006B728F" w:rsidP="00082C24">
            <w:pPr>
              <w:pStyle w:val="tablastexto"/>
              <w:jc w:val="center"/>
            </w:pPr>
            <w:r w:rsidRPr="00C45600">
              <w:t>En Implementación</w:t>
            </w:r>
          </w:p>
        </w:tc>
      </w:tr>
      <w:tr w:rsidR="006B728F" w:rsidRPr="00C45600" w14:paraId="1FFDF2C8" w14:textId="77777777" w:rsidTr="00A557B3">
        <w:trPr>
          <w:trHeight w:val="1247"/>
          <w:jc w:val="center"/>
        </w:trPr>
        <w:tc>
          <w:tcPr>
            <w:tcW w:w="1560" w:type="dxa"/>
            <w:shd w:val="clear" w:color="auto" w:fill="auto"/>
            <w:noWrap/>
            <w:vAlign w:val="center"/>
            <w:hideMark/>
          </w:tcPr>
          <w:p w14:paraId="270A6173" w14:textId="77777777" w:rsidR="006B728F" w:rsidRPr="00C45600" w:rsidRDefault="006B728F" w:rsidP="00082C24">
            <w:pPr>
              <w:pStyle w:val="tablastexto"/>
              <w:jc w:val="center"/>
            </w:pPr>
            <w:r w:rsidRPr="00C45600">
              <w:t>Conformación Conector ecosistémico Suba - Conejera</w:t>
            </w:r>
          </w:p>
        </w:tc>
        <w:tc>
          <w:tcPr>
            <w:tcW w:w="1559" w:type="dxa"/>
            <w:shd w:val="clear" w:color="auto" w:fill="auto"/>
            <w:noWrap/>
            <w:vAlign w:val="center"/>
            <w:hideMark/>
          </w:tcPr>
          <w:p w14:paraId="54493039"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16CBE46F"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2707351E"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5A8D7B9D"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00CC2D53"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33F38339" w14:textId="77777777" w:rsidR="006B728F" w:rsidRPr="00C45600" w:rsidRDefault="006B728F" w:rsidP="00082C24">
            <w:pPr>
              <w:pStyle w:val="tablastexto"/>
              <w:jc w:val="center"/>
            </w:pPr>
            <w:r w:rsidRPr="00C45600">
              <w:t>En Implementación</w:t>
            </w:r>
          </w:p>
        </w:tc>
      </w:tr>
      <w:tr w:rsidR="006B728F" w:rsidRPr="00C45600" w14:paraId="0AF539A6" w14:textId="77777777" w:rsidTr="00A557B3">
        <w:trPr>
          <w:trHeight w:val="1247"/>
          <w:jc w:val="center"/>
        </w:trPr>
        <w:tc>
          <w:tcPr>
            <w:tcW w:w="1560" w:type="dxa"/>
            <w:shd w:val="clear" w:color="auto" w:fill="auto"/>
            <w:noWrap/>
            <w:vAlign w:val="center"/>
            <w:hideMark/>
          </w:tcPr>
          <w:p w14:paraId="6C57B629" w14:textId="77777777" w:rsidR="006B728F" w:rsidRPr="00C45600" w:rsidRDefault="006B728F" w:rsidP="00082C24">
            <w:pPr>
              <w:pStyle w:val="tablastexto"/>
              <w:jc w:val="center"/>
            </w:pPr>
            <w:r w:rsidRPr="00C45600">
              <w:t>Conformación Conector Páramos Chingaza Sumapaz</w:t>
            </w:r>
          </w:p>
        </w:tc>
        <w:tc>
          <w:tcPr>
            <w:tcW w:w="1559" w:type="dxa"/>
            <w:shd w:val="clear" w:color="auto" w:fill="auto"/>
            <w:noWrap/>
            <w:vAlign w:val="center"/>
            <w:hideMark/>
          </w:tcPr>
          <w:p w14:paraId="7BF440BC"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64645BDD"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792518F4"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1F3B4985"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408036FA"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11C9EF7D" w14:textId="77777777" w:rsidR="006B728F" w:rsidRPr="00C45600" w:rsidRDefault="006B728F" w:rsidP="00082C24">
            <w:pPr>
              <w:pStyle w:val="tablastexto"/>
              <w:jc w:val="center"/>
            </w:pPr>
            <w:r w:rsidRPr="00C45600">
              <w:t>Sin iniciar</w:t>
            </w:r>
          </w:p>
        </w:tc>
      </w:tr>
      <w:tr w:rsidR="006B728F" w:rsidRPr="00C45600" w14:paraId="77474154" w14:textId="77777777" w:rsidTr="00A557B3">
        <w:trPr>
          <w:trHeight w:val="1417"/>
          <w:jc w:val="center"/>
        </w:trPr>
        <w:tc>
          <w:tcPr>
            <w:tcW w:w="1560" w:type="dxa"/>
            <w:shd w:val="clear" w:color="auto" w:fill="auto"/>
            <w:noWrap/>
            <w:vAlign w:val="center"/>
            <w:hideMark/>
          </w:tcPr>
          <w:p w14:paraId="7CB1415C" w14:textId="77777777" w:rsidR="006B728F" w:rsidRPr="00C45600" w:rsidRDefault="006B728F" w:rsidP="00082C24">
            <w:pPr>
              <w:pStyle w:val="tablastexto"/>
              <w:jc w:val="center"/>
            </w:pPr>
            <w:r w:rsidRPr="00C45600">
              <w:t>Conformación del Conector ecosistémico reserva cuenca alta del Río Bogotá - cuenca Río Tunjuelo - Media Luna del Sur, priorizando la Quebrada Limas</w:t>
            </w:r>
          </w:p>
        </w:tc>
        <w:tc>
          <w:tcPr>
            <w:tcW w:w="1559" w:type="dxa"/>
            <w:shd w:val="clear" w:color="auto" w:fill="auto"/>
            <w:noWrap/>
            <w:vAlign w:val="center"/>
            <w:hideMark/>
          </w:tcPr>
          <w:p w14:paraId="37255F22"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2FBF66CE" w14:textId="77777777" w:rsidR="006B728F" w:rsidRPr="00C45600" w:rsidRDefault="006B728F" w:rsidP="00082C24">
            <w:pPr>
              <w:pStyle w:val="tablastexto"/>
              <w:jc w:val="center"/>
            </w:pPr>
            <w:r w:rsidRPr="00C45600">
              <w:t>3. Subprograma de protección a los elementos de importancia ambiental</w:t>
            </w:r>
          </w:p>
        </w:tc>
        <w:tc>
          <w:tcPr>
            <w:tcW w:w="1280" w:type="dxa"/>
            <w:shd w:val="clear" w:color="auto" w:fill="auto"/>
            <w:noWrap/>
            <w:vAlign w:val="center"/>
            <w:hideMark/>
          </w:tcPr>
          <w:p w14:paraId="5CD7C34D"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5C6C5256"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429FA6A0" w14:textId="77777777" w:rsidR="006B728F" w:rsidRPr="00C45600" w:rsidRDefault="006B728F" w:rsidP="00082C24">
            <w:pPr>
              <w:pStyle w:val="tablastexto"/>
              <w:jc w:val="center"/>
            </w:pPr>
            <w:r w:rsidRPr="00C45600">
              <w:t>Secretaría Distrital de Ambiente</w:t>
            </w:r>
          </w:p>
        </w:tc>
        <w:tc>
          <w:tcPr>
            <w:tcW w:w="1325" w:type="dxa"/>
            <w:shd w:val="clear" w:color="auto" w:fill="auto"/>
            <w:noWrap/>
            <w:vAlign w:val="center"/>
            <w:hideMark/>
          </w:tcPr>
          <w:p w14:paraId="01C82BDC" w14:textId="77777777" w:rsidR="006B728F" w:rsidRPr="00C45600" w:rsidRDefault="006B728F" w:rsidP="00082C24">
            <w:pPr>
              <w:pStyle w:val="tablastexto"/>
              <w:jc w:val="center"/>
            </w:pPr>
            <w:r w:rsidRPr="00C45600">
              <w:t>En Implementación</w:t>
            </w:r>
          </w:p>
        </w:tc>
      </w:tr>
      <w:tr w:rsidR="006B728F" w:rsidRPr="00C45600" w14:paraId="76A46F64" w14:textId="77777777" w:rsidTr="00A557B3">
        <w:trPr>
          <w:trHeight w:val="1961"/>
          <w:jc w:val="center"/>
        </w:trPr>
        <w:tc>
          <w:tcPr>
            <w:tcW w:w="1560" w:type="dxa"/>
            <w:shd w:val="clear" w:color="auto" w:fill="auto"/>
            <w:noWrap/>
            <w:vAlign w:val="center"/>
            <w:hideMark/>
          </w:tcPr>
          <w:p w14:paraId="03A22C62" w14:textId="77777777" w:rsidR="006B728F" w:rsidRPr="00C45600" w:rsidRDefault="006B728F" w:rsidP="00082C24">
            <w:pPr>
              <w:pStyle w:val="tablastexto"/>
              <w:jc w:val="center"/>
            </w:pPr>
            <w:r w:rsidRPr="00C45600">
              <w:lastRenderedPageBreak/>
              <w:t>Saneamiento del Río Bogotá y sus afluentes, mediante el sistema de interceptores y de la construcción y optimización de las Plantas de Tratamiento de Aguas Residuales.</w:t>
            </w:r>
          </w:p>
        </w:tc>
        <w:tc>
          <w:tcPr>
            <w:tcW w:w="1559" w:type="dxa"/>
            <w:shd w:val="clear" w:color="auto" w:fill="auto"/>
            <w:noWrap/>
            <w:vAlign w:val="center"/>
            <w:hideMark/>
          </w:tcPr>
          <w:p w14:paraId="7F8D4F30" w14:textId="77777777" w:rsidR="006B728F" w:rsidRPr="00C45600" w:rsidRDefault="006B728F" w:rsidP="00082C24">
            <w:pPr>
              <w:pStyle w:val="tablastexto"/>
              <w:jc w:val="center"/>
            </w:pPr>
            <w:r w:rsidRPr="00C45600">
              <w:t>1. Programa conectividad ecosistémica, reverdecimiento y atención de la emergencia climática</w:t>
            </w:r>
          </w:p>
        </w:tc>
        <w:tc>
          <w:tcPr>
            <w:tcW w:w="1432" w:type="dxa"/>
            <w:shd w:val="clear" w:color="auto" w:fill="auto"/>
            <w:noWrap/>
            <w:vAlign w:val="center"/>
            <w:hideMark/>
          </w:tcPr>
          <w:p w14:paraId="6B23EF5A" w14:textId="77777777" w:rsidR="006B728F" w:rsidRPr="00C45600" w:rsidRDefault="006B728F" w:rsidP="00082C24">
            <w:pPr>
              <w:pStyle w:val="tablastexto"/>
              <w:jc w:val="center"/>
            </w:pPr>
            <w:r w:rsidRPr="00C45600">
              <w:t>4. Subprograma de Protección y recuperación del Río Bogotá</w:t>
            </w:r>
          </w:p>
        </w:tc>
        <w:tc>
          <w:tcPr>
            <w:tcW w:w="1280" w:type="dxa"/>
            <w:shd w:val="clear" w:color="auto" w:fill="auto"/>
            <w:noWrap/>
            <w:vAlign w:val="center"/>
            <w:hideMark/>
          </w:tcPr>
          <w:p w14:paraId="5CA246E8" w14:textId="77777777" w:rsidR="006B728F" w:rsidRPr="00C45600" w:rsidRDefault="006B728F" w:rsidP="00082C24">
            <w:pPr>
              <w:pStyle w:val="tablastexto"/>
              <w:jc w:val="center"/>
            </w:pPr>
            <w:r w:rsidRPr="00C45600">
              <w:t>4.Bogotá ordena su territorio y avanza en su acción climática</w:t>
            </w:r>
          </w:p>
        </w:tc>
        <w:tc>
          <w:tcPr>
            <w:tcW w:w="1418" w:type="dxa"/>
            <w:shd w:val="clear" w:color="auto" w:fill="auto"/>
            <w:noWrap/>
            <w:vAlign w:val="center"/>
            <w:hideMark/>
          </w:tcPr>
          <w:p w14:paraId="58870BD2" w14:textId="77777777" w:rsidR="006B728F" w:rsidRPr="00C45600" w:rsidRDefault="006B728F" w:rsidP="00082C24">
            <w:pPr>
              <w:pStyle w:val="tablastexto"/>
              <w:jc w:val="center"/>
            </w:pPr>
            <w:r w:rsidRPr="00C45600">
              <w:t>4.25. Aumento de la resiliencia al cambio climático y reducción de la vulnerabilidad</w:t>
            </w:r>
          </w:p>
        </w:tc>
        <w:tc>
          <w:tcPr>
            <w:tcW w:w="1289" w:type="dxa"/>
            <w:shd w:val="clear" w:color="auto" w:fill="auto"/>
            <w:noWrap/>
            <w:vAlign w:val="center"/>
            <w:hideMark/>
          </w:tcPr>
          <w:p w14:paraId="4FDD5373" w14:textId="77777777" w:rsidR="006B728F" w:rsidRPr="00C45600" w:rsidRDefault="006B728F" w:rsidP="00082C24">
            <w:pPr>
              <w:pStyle w:val="tablastexto"/>
              <w:jc w:val="center"/>
            </w:pPr>
            <w:r w:rsidRPr="00C45600">
              <w:t>Empresa de Acueducto y Alcantarillado de Bogotá EAAB-ESP</w:t>
            </w:r>
          </w:p>
        </w:tc>
        <w:tc>
          <w:tcPr>
            <w:tcW w:w="1325" w:type="dxa"/>
            <w:shd w:val="clear" w:color="auto" w:fill="auto"/>
            <w:noWrap/>
            <w:vAlign w:val="center"/>
            <w:hideMark/>
          </w:tcPr>
          <w:p w14:paraId="78D74CA6" w14:textId="77777777" w:rsidR="006B728F" w:rsidRPr="00C45600" w:rsidRDefault="006B728F" w:rsidP="00082C24">
            <w:pPr>
              <w:pStyle w:val="tablastexto"/>
              <w:jc w:val="center"/>
            </w:pPr>
            <w:r w:rsidRPr="00C45600">
              <w:t>Obra (Ejecución)</w:t>
            </w:r>
          </w:p>
        </w:tc>
      </w:tr>
    </w:tbl>
    <w:p w14:paraId="3410378C" w14:textId="77777777" w:rsidR="000274A7" w:rsidRDefault="000274A7" w:rsidP="00FD26D9">
      <w:pPr>
        <w:jc w:val="left"/>
        <w:rPr>
          <w:rStyle w:val="Textoennegrita"/>
        </w:rPr>
      </w:pPr>
    </w:p>
    <w:p w14:paraId="281B7518" w14:textId="77777777" w:rsidR="00D10FD4" w:rsidRDefault="00D10FD4" w:rsidP="00FD26D9">
      <w:pPr>
        <w:jc w:val="left"/>
        <w:rPr>
          <w:rStyle w:val="Textoennegrita"/>
        </w:rPr>
      </w:pPr>
    </w:p>
    <w:p w14:paraId="79C1E626" w14:textId="6DD79B63" w:rsidR="006B728F" w:rsidRPr="00AE7657" w:rsidRDefault="006B728F" w:rsidP="000274A7">
      <w:pPr>
        <w:jc w:val="center"/>
        <w:rPr>
          <w:b/>
          <w:bCs/>
          <w:color w:val="000000"/>
        </w:rPr>
      </w:pPr>
      <w:r w:rsidRPr="00FD29DC">
        <w:rPr>
          <w:rStyle w:val="Textoennegrita"/>
        </w:rPr>
        <w:t>Objetivo 2</w:t>
      </w:r>
      <w:r w:rsidR="000274A7">
        <w:rPr>
          <w:rStyle w:val="Textoennegrita"/>
        </w:rPr>
        <w:t>.</w:t>
      </w:r>
      <w:r w:rsidRPr="00825096">
        <w:rPr>
          <w:color w:val="000000"/>
        </w:rPr>
        <w:t xml:space="preserve"> </w:t>
      </w:r>
      <w:r w:rsidRPr="000274A7">
        <w:rPr>
          <w:b/>
          <w:bCs/>
        </w:rPr>
        <w:t>Incrementar la capacidad de resiliencia del territorio frente a la ocurrencia de desastres derivados de la variabilidad y del cambio climático</w:t>
      </w:r>
    </w:p>
    <w:p w14:paraId="1EA74687" w14:textId="77777777" w:rsidR="006B728F" w:rsidRPr="00825096" w:rsidRDefault="006B728F" w:rsidP="00FD26D9">
      <w:pPr>
        <w:jc w:val="left"/>
        <w:rPr>
          <w:color w:val="000000"/>
        </w:rPr>
      </w:pPr>
    </w:p>
    <w:tbl>
      <w:tblPr>
        <w:tblW w:w="9662" w:type="dxa"/>
        <w:jc w:val="center"/>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555"/>
        <w:gridCol w:w="1706"/>
        <w:gridCol w:w="1147"/>
        <w:gridCol w:w="1417"/>
        <w:gridCol w:w="1418"/>
        <w:gridCol w:w="1289"/>
        <w:gridCol w:w="1130"/>
      </w:tblGrid>
      <w:tr w:rsidR="006B728F" w:rsidRPr="00825096" w14:paraId="2F9F27F1" w14:textId="77777777" w:rsidTr="00A875E2">
        <w:trPr>
          <w:trHeight w:val="1152"/>
          <w:jc w:val="center"/>
        </w:trPr>
        <w:tc>
          <w:tcPr>
            <w:tcW w:w="1555" w:type="dxa"/>
            <w:shd w:val="clear" w:color="auto" w:fill="C00000"/>
            <w:vAlign w:val="center"/>
            <w:hideMark/>
          </w:tcPr>
          <w:p w14:paraId="1249734D" w14:textId="77777777" w:rsidR="006B728F" w:rsidRPr="00FD29DC" w:rsidRDefault="006B728F" w:rsidP="00082C24">
            <w:pPr>
              <w:jc w:val="center"/>
              <w:rPr>
                <w:b/>
                <w:bCs/>
                <w:color w:val="FFFFFF" w:themeColor="background1"/>
              </w:rPr>
            </w:pPr>
            <w:r w:rsidRPr="00FD29DC">
              <w:rPr>
                <w:b/>
                <w:bCs/>
                <w:color w:val="FFFFFF" w:themeColor="background1"/>
              </w:rPr>
              <w:t>Nombre del proyecto POT</w:t>
            </w:r>
          </w:p>
        </w:tc>
        <w:tc>
          <w:tcPr>
            <w:tcW w:w="1706" w:type="dxa"/>
            <w:shd w:val="clear" w:color="auto" w:fill="C00000"/>
            <w:vAlign w:val="center"/>
            <w:hideMark/>
          </w:tcPr>
          <w:p w14:paraId="26D904AD" w14:textId="77777777" w:rsidR="006B728F" w:rsidRPr="00FD29DC" w:rsidRDefault="006B728F" w:rsidP="00082C24">
            <w:pPr>
              <w:jc w:val="center"/>
              <w:rPr>
                <w:b/>
                <w:bCs/>
                <w:color w:val="FFFFFF" w:themeColor="background1"/>
              </w:rPr>
            </w:pPr>
            <w:r w:rsidRPr="00FD29DC">
              <w:rPr>
                <w:b/>
                <w:bCs/>
                <w:color w:val="FFFFFF" w:themeColor="background1"/>
              </w:rPr>
              <w:t>Programa POT</w:t>
            </w:r>
          </w:p>
        </w:tc>
        <w:tc>
          <w:tcPr>
            <w:tcW w:w="1147" w:type="dxa"/>
            <w:shd w:val="clear" w:color="auto" w:fill="C00000"/>
            <w:vAlign w:val="center"/>
            <w:hideMark/>
          </w:tcPr>
          <w:p w14:paraId="6E95210F" w14:textId="77777777" w:rsidR="006B728F" w:rsidRPr="00FD29DC" w:rsidRDefault="006B728F" w:rsidP="00082C24">
            <w:pPr>
              <w:jc w:val="center"/>
              <w:rPr>
                <w:b/>
                <w:bCs/>
                <w:color w:val="FFFFFF" w:themeColor="background1"/>
              </w:rPr>
            </w:pPr>
            <w:r w:rsidRPr="00FD29DC">
              <w:rPr>
                <w:b/>
                <w:bCs/>
                <w:color w:val="FFFFFF" w:themeColor="background1"/>
              </w:rPr>
              <w:t>Subprograma POT</w:t>
            </w:r>
          </w:p>
        </w:tc>
        <w:tc>
          <w:tcPr>
            <w:tcW w:w="1417" w:type="dxa"/>
            <w:shd w:val="clear" w:color="auto" w:fill="C00000"/>
            <w:vAlign w:val="center"/>
            <w:hideMark/>
          </w:tcPr>
          <w:p w14:paraId="6A222FD6" w14:textId="77777777" w:rsidR="006B728F" w:rsidRPr="00FD29DC" w:rsidRDefault="006B728F" w:rsidP="00082C24">
            <w:pPr>
              <w:jc w:val="center"/>
              <w:rPr>
                <w:b/>
                <w:bCs/>
                <w:color w:val="FFFFFF" w:themeColor="background1"/>
              </w:rPr>
            </w:pPr>
            <w:r w:rsidRPr="00FD29DC">
              <w:rPr>
                <w:b/>
                <w:bCs/>
                <w:color w:val="FFFFFF" w:themeColor="background1"/>
              </w:rPr>
              <w:t>Objetivo PDD 2024 - 2027</w:t>
            </w:r>
          </w:p>
        </w:tc>
        <w:tc>
          <w:tcPr>
            <w:tcW w:w="1418" w:type="dxa"/>
            <w:shd w:val="clear" w:color="auto" w:fill="C00000"/>
            <w:vAlign w:val="center"/>
            <w:hideMark/>
          </w:tcPr>
          <w:p w14:paraId="3C921A74" w14:textId="77777777" w:rsidR="006B728F" w:rsidRPr="00FD29DC" w:rsidRDefault="006B728F" w:rsidP="00082C24">
            <w:pPr>
              <w:jc w:val="center"/>
              <w:rPr>
                <w:b/>
                <w:bCs/>
                <w:color w:val="FFFFFF" w:themeColor="background1"/>
              </w:rPr>
            </w:pPr>
            <w:r w:rsidRPr="00FD29DC">
              <w:rPr>
                <w:b/>
                <w:bCs/>
                <w:color w:val="FFFFFF" w:themeColor="background1"/>
              </w:rPr>
              <w:t>Programa PDD 2024 - 2027</w:t>
            </w:r>
          </w:p>
        </w:tc>
        <w:tc>
          <w:tcPr>
            <w:tcW w:w="1289" w:type="dxa"/>
            <w:shd w:val="clear" w:color="auto" w:fill="C00000"/>
            <w:vAlign w:val="center"/>
            <w:hideMark/>
          </w:tcPr>
          <w:p w14:paraId="26443907" w14:textId="77777777" w:rsidR="000274A7" w:rsidRDefault="006B728F" w:rsidP="00082C24">
            <w:pPr>
              <w:jc w:val="center"/>
              <w:rPr>
                <w:b/>
                <w:bCs/>
                <w:color w:val="FFFFFF" w:themeColor="background1"/>
              </w:rPr>
            </w:pPr>
            <w:r w:rsidRPr="00FD29DC">
              <w:rPr>
                <w:b/>
                <w:bCs/>
                <w:color w:val="FFFFFF" w:themeColor="background1"/>
              </w:rPr>
              <w:t xml:space="preserve">Entidad </w:t>
            </w:r>
          </w:p>
          <w:p w14:paraId="4C0DBBB1" w14:textId="03712279" w:rsidR="006B728F" w:rsidRPr="00FD29DC" w:rsidRDefault="006B728F" w:rsidP="00082C24">
            <w:pPr>
              <w:jc w:val="center"/>
              <w:rPr>
                <w:b/>
                <w:bCs/>
                <w:color w:val="FFFFFF" w:themeColor="background1"/>
              </w:rPr>
            </w:pPr>
            <w:r w:rsidRPr="00FD29DC">
              <w:rPr>
                <w:b/>
                <w:bCs/>
                <w:color w:val="FFFFFF" w:themeColor="background1"/>
              </w:rPr>
              <w:t>responsable</w:t>
            </w:r>
          </w:p>
        </w:tc>
        <w:tc>
          <w:tcPr>
            <w:tcW w:w="1130" w:type="dxa"/>
            <w:shd w:val="clear" w:color="auto" w:fill="C00000"/>
            <w:vAlign w:val="center"/>
            <w:hideMark/>
          </w:tcPr>
          <w:p w14:paraId="45E65030" w14:textId="77777777" w:rsidR="006B728F" w:rsidRPr="00FD29DC" w:rsidRDefault="006B728F" w:rsidP="00082C24">
            <w:pPr>
              <w:jc w:val="center"/>
              <w:rPr>
                <w:b/>
                <w:bCs/>
                <w:color w:val="FFFFFF" w:themeColor="background1"/>
              </w:rPr>
            </w:pPr>
            <w:r w:rsidRPr="00FD29DC">
              <w:rPr>
                <w:b/>
                <w:bCs/>
                <w:color w:val="FFFFFF" w:themeColor="background1"/>
              </w:rPr>
              <w:t>Etapa del proyecto POT</w:t>
            </w:r>
          </w:p>
        </w:tc>
      </w:tr>
      <w:tr w:rsidR="006B728F" w:rsidRPr="00825096" w14:paraId="4A2187E9" w14:textId="77777777" w:rsidTr="00A875E2">
        <w:trPr>
          <w:trHeight w:val="1222"/>
          <w:jc w:val="center"/>
        </w:trPr>
        <w:tc>
          <w:tcPr>
            <w:tcW w:w="1555" w:type="dxa"/>
            <w:shd w:val="clear" w:color="auto" w:fill="auto"/>
            <w:noWrap/>
            <w:vAlign w:val="center"/>
            <w:hideMark/>
          </w:tcPr>
          <w:p w14:paraId="07CC0E9D" w14:textId="77777777" w:rsidR="006B728F" w:rsidRPr="00825096" w:rsidRDefault="006B728F" w:rsidP="00082C24">
            <w:pPr>
              <w:pStyle w:val="tablastexto"/>
              <w:jc w:val="center"/>
            </w:pPr>
            <w:r w:rsidRPr="00825096">
              <w:t>Estudios detallados de riesgo para las áreas priorizadas con condición de amenaza y riesgo</w:t>
            </w:r>
          </w:p>
        </w:tc>
        <w:tc>
          <w:tcPr>
            <w:tcW w:w="1706" w:type="dxa"/>
            <w:shd w:val="clear" w:color="auto" w:fill="auto"/>
            <w:noWrap/>
            <w:vAlign w:val="center"/>
            <w:hideMark/>
          </w:tcPr>
          <w:p w14:paraId="3A594A25" w14:textId="77777777" w:rsidR="006B728F" w:rsidRPr="00825096" w:rsidRDefault="006B728F" w:rsidP="00082C24">
            <w:pPr>
              <w:pStyle w:val="tablastexto"/>
              <w:jc w:val="center"/>
            </w:pPr>
            <w:r w:rsidRPr="00825096">
              <w:t>1. Programa conectividad ecosistémica, reverdecimiento y atención de la emergencia climática</w:t>
            </w:r>
          </w:p>
        </w:tc>
        <w:tc>
          <w:tcPr>
            <w:tcW w:w="1147" w:type="dxa"/>
            <w:shd w:val="clear" w:color="auto" w:fill="auto"/>
            <w:noWrap/>
            <w:vAlign w:val="center"/>
            <w:hideMark/>
          </w:tcPr>
          <w:p w14:paraId="0E7E2E42" w14:textId="77777777" w:rsidR="006B728F" w:rsidRPr="00825096" w:rsidRDefault="006B728F" w:rsidP="00082C24">
            <w:pPr>
              <w:pStyle w:val="tablastexto"/>
              <w:jc w:val="center"/>
            </w:pPr>
            <w:r w:rsidRPr="00825096">
              <w:t>5. Subprograma Gestión del riesgo e impactos ambientales</w:t>
            </w:r>
          </w:p>
        </w:tc>
        <w:tc>
          <w:tcPr>
            <w:tcW w:w="1417" w:type="dxa"/>
            <w:shd w:val="clear" w:color="auto" w:fill="auto"/>
            <w:noWrap/>
            <w:vAlign w:val="center"/>
            <w:hideMark/>
          </w:tcPr>
          <w:p w14:paraId="19C15207" w14:textId="77777777" w:rsidR="006B728F" w:rsidRPr="00825096" w:rsidRDefault="006B728F" w:rsidP="00082C24">
            <w:pPr>
              <w:pStyle w:val="tablastexto"/>
              <w:jc w:val="center"/>
            </w:pPr>
            <w:r w:rsidRPr="00825096">
              <w:t>4.Bogotá ordena su territorio y avanza en su acción climática</w:t>
            </w:r>
          </w:p>
        </w:tc>
        <w:tc>
          <w:tcPr>
            <w:tcW w:w="1418" w:type="dxa"/>
            <w:shd w:val="clear" w:color="auto" w:fill="auto"/>
            <w:noWrap/>
            <w:vAlign w:val="center"/>
            <w:hideMark/>
          </w:tcPr>
          <w:p w14:paraId="287484ED" w14:textId="77777777" w:rsidR="006B728F" w:rsidRPr="00825096" w:rsidRDefault="006B728F" w:rsidP="00082C24">
            <w:pPr>
              <w:pStyle w:val="tablastexto"/>
              <w:jc w:val="center"/>
            </w:pPr>
            <w:r w:rsidRPr="00825096">
              <w:t>4.27. Gestión del riesgo de desastres para un territorio seguro</w:t>
            </w:r>
          </w:p>
        </w:tc>
        <w:tc>
          <w:tcPr>
            <w:tcW w:w="1289" w:type="dxa"/>
            <w:shd w:val="clear" w:color="auto" w:fill="auto"/>
            <w:noWrap/>
            <w:vAlign w:val="center"/>
            <w:hideMark/>
          </w:tcPr>
          <w:p w14:paraId="191C3C49" w14:textId="77777777" w:rsidR="006B728F" w:rsidRPr="00825096" w:rsidRDefault="006B728F" w:rsidP="00082C24">
            <w:pPr>
              <w:pStyle w:val="tablastexto"/>
              <w:jc w:val="center"/>
            </w:pPr>
            <w:r w:rsidRPr="00825096">
              <w:t>Instituto Distrital de Gestión de Riesgos y Cambio Climático – IDIGER</w:t>
            </w:r>
          </w:p>
        </w:tc>
        <w:tc>
          <w:tcPr>
            <w:tcW w:w="1130" w:type="dxa"/>
            <w:shd w:val="clear" w:color="auto" w:fill="auto"/>
            <w:noWrap/>
            <w:vAlign w:val="center"/>
            <w:hideMark/>
          </w:tcPr>
          <w:p w14:paraId="6B417B3B" w14:textId="77777777" w:rsidR="006B728F" w:rsidRPr="00825096" w:rsidRDefault="006B728F" w:rsidP="00082C24">
            <w:pPr>
              <w:pStyle w:val="tablastexto"/>
              <w:jc w:val="center"/>
            </w:pPr>
            <w:r w:rsidRPr="00825096">
              <w:t>En Implementación</w:t>
            </w:r>
          </w:p>
        </w:tc>
      </w:tr>
      <w:tr w:rsidR="006B728F" w:rsidRPr="00825096" w14:paraId="024807B7" w14:textId="77777777" w:rsidTr="00A875E2">
        <w:trPr>
          <w:trHeight w:val="1240"/>
          <w:jc w:val="center"/>
        </w:trPr>
        <w:tc>
          <w:tcPr>
            <w:tcW w:w="1555" w:type="dxa"/>
            <w:shd w:val="clear" w:color="auto" w:fill="auto"/>
            <w:noWrap/>
            <w:vAlign w:val="center"/>
            <w:hideMark/>
          </w:tcPr>
          <w:p w14:paraId="0367CAB1" w14:textId="77777777" w:rsidR="006B728F" w:rsidRPr="00825096" w:rsidRDefault="006B728F" w:rsidP="00082C24">
            <w:pPr>
              <w:pStyle w:val="tablastexto"/>
              <w:jc w:val="center"/>
            </w:pPr>
            <w:r w:rsidRPr="00825096">
              <w:t>Diseño y construcción de estaciones de bomberos en Las Ferias</w:t>
            </w:r>
          </w:p>
        </w:tc>
        <w:tc>
          <w:tcPr>
            <w:tcW w:w="1706" w:type="dxa"/>
            <w:shd w:val="clear" w:color="auto" w:fill="auto"/>
            <w:noWrap/>
            <w:vAlign w:val="center"/>
            <w:hideMark/>
          </w:tcPr>
          <w:p w14:paraId="3FD7A1FF" w14:textId="77777777" w:rsidR="006B728F" w:rsidRPr="00825096" w:rsidRDefault="006B728F" w:rsidP="00082C24">
            <w:pPr>
              <w:pStyle w:val="tablastexto"/>
              <w:jc w:val="center"/>
            </w:pPr>
            <w:r w:rsidRPr="00825096">
              <w:t>1. Programa conectividad ecosistémica, reverdecimiento y atención de la emergencia climática</w:t>
            </w:r>
          </w:p>
        </w:tc>
        <w:tc>
          <w:tcPr>
            <w:tcW w:w="1147" w:type="dxa"/>
            <w:shd w:val="clear" w:color="auto" w:fill="auto"/>
            <w:noWrap/>
            <w:vAlign w:val="center"/>
            <w:hideMark/>
          </w:tcPr>
          <w:p w14:paraId="4E6E883B" w14:textId="77777777" w:rsidR="006B728F" w:rsidRPr="00825096" w:rsidRDefault="006B728F" w:rsidP="00082C24">
            <w:pPr>
              <w:pStyle w:val="tablastexto"/>
              <w:jc w:val="center"/>
            </w:pPr>
            <w:r w:rsidRPr="00825096">
              <w:t>5. Subprograma Gestión del riesgo e impactos ambientales</w:t>
            </w:r>
          </w:p>
        </w:tc>
        <w:tc>
          <w:tcPr>
            <w:tcW w:w="1417" w:type="dxa"/>
            <w:shd w:val="clear" w:color="auto" w:fill="auto"/>
            <w:noWrap/>
            <w:vAlign w:val="center"/>
            <w:hideMark/>
          </w:tcPr>
          <w:p w14:paraId="016D1C0D" w14:textId="77777777" w:rsidR="006B728F" w:rsidRPr="00825096" w:rsidRDefault="006B728F" w:rsidP="00082C24">
            <w:pPr>
              <w:pStyle w:val="tablastexto"/>
              <w:jc w:val="center"/>
            </w:pPr>
            <w:r w:rsidRPr="00825096">
              <w:t>4.Bogotá ordena su territorio y avanza en su acción climática</w:t>
            </w:r>
          </w:p>
        </w:tc>
        <w:tc>
          <w:tcPr>
            <w:tcW w:w="1418" w:type="dxa"/>
            <w:shd w:val="clear" w:color="auto" w:fill="auto"/>
            <w:noWrap/>
            <w:vAlign w:val="center"/>
            <w:hideMark/>
          </w:tcPr>
          <w:p w14:paraId="51D9BF51" w14:textId="77777777" w:rsidR="006B728F" w:rsidRPr="00825096" w:rsidRDefault="006B728F" w:rsidP="00082C24">
            <w:pPr>
              <w:pStyle w:val="tablastexto"/>
              <w:jc w:val="center"/>
            </w:pPr>
            <w:r w:rsidRPr="00825096">
              <w:t>4.25. Aumento de la resiliencia al cambio climático y reducción de la vulnerabilidad</w:t>
            </w:r>
          </w:p>
        </w:tc>
        <w:tc>
          <w:tcPr>
            <w:tcW w:w="1289" w:type="dxa"/>
            <w:shd w:val="clear" w:color="auto" w:fill="auto"/>
            <w:noWrap/>
            <w:vAlign w:val="center"/>
            <w:hideMark/>
          </w:tcPr>
          <w:p w14:paraId="298D60CB" w14:textId="77777777" w:rsidR="006B728F" w:rsidRPr="00825096" w:rsidRDefault="006B728F" w:rsidP="00082C24">
            <w:pPr>
              <w:pStyle w:val="tablastexto"/>
              <w:jc w:val="center"/>
            </w:pPr>
            <w:r w:rsidRPr="00825096">
              <w:t>Cuerpo Oficial de Bomberos de Bogotá-UAE</w:t>
            </w:r>
          </w:p>
        </w:tc>
        <w:tc>
          <w:tcPr>
            <w:tcW w:w="1130" w:type="dxa"/>
            <w:shd w:val="clear" w:color="auto" w:fill="auto"/>
            <w:noWrap/>
            <w:vAlign w:val="center"/>
            <w:hideMark/>
          </w:tcPr>
          <w:p w14:paraId="2FC70CEF" w14:textId="77777777" w:rsidR="006B728F" w:rsidRPr="00825096" w:rsidRDefault="006B728F" w:rsidP="00082C24">
            <w:pPr>
              <w:pStyle w:val="tablastexto"/>
              <w:jc w:val="center"/>
            </w:pPr>
            <w:r w:rsidRPr="00825096">
              <w:t>Sin iniciar</w:t>
            </w:r>
          </w:p>
        </w:tc>
      </w:tr>
    </w:tbl>
    <w:p w14:paraId="205CB79F" w14:textId="77777777" w:rsidR="006B728F" w:rsidRDefault="006B728F" w:rsidP="00FD26D9">
      <w:pPr>
        <w:jc w:val="left"/>
      </w:pPr>
    </w:p>
    <w:p w14:paraId="17017BB0" w14:textId="77777777" w:rsidR="000274A7" w:rsidRDefault="000274A7">
      <w:pPr>
        <w:spacing w:line="240" w:lineRule="auto"/>
        <w:jc w:val="left"/>
        <w:rPr>
          <w:rStyle w:val="Textoennegrita"/>
        </w:rPr>
      </w:pPr>
      <w:r>
        <w:rPr>
          <w:rStyle w:val="Textoennegrita"/>
        </w:rPr>
        <w:br w:type="page"/>
      </w:r>
    </w:p>
    <w:p w14:paraId="1FFD14D3" w14:textId="1A35A4D7" w:rsidR="006B728F" w:rsidRPr="00AE7657" w:rsidRDefault="006B728F" w:rsidP="000274A7">
      <w:pPr>
        <w:jc w:val="center"/>
        <w:rPr>
          <w:b/>
          <w:bCs/>
          <w:color w:val="000000"/>
        </w:rPr>
      </w:pPr>
      <w:r w:rsidRPr="00AE7657">
        <w:rPr>
          <w:rStyle w:val="Textoennegrita"/>
        </w:rPr>
        <w:lastRenderedPageBreak/>
        <w:t>Objetivo 3</w:t>
      </w:r>
      <w:r w:rsidR="000274A7">
        <w:rPr>
          <w:rStyle w:val="Textoennegrita"/>
        </w:rPr>
        <w:t>.</w:t>
      </w:r>
      <w:r w:rsidRPr="00AE7657">
        <w:rPr>
          <w:b/>
          <w:bCs/>
          <w:color w:val="000000"/>
        </w:rPr>
        <w:t xml:space="preserve"> </w:t>
      </w:r>
      <w:r w:rsidRPr="000274A7">
        <w:rPr>
          <w:b/>
          <w:bCs/>
        </w:rPr>
        <w:t>Mejorar el ambiente urbano y de los asentamientos rurales</w:t>
      </w:r>
    </w:p>
    <w:p w14:paraId="4B14A6C3" w14:textId="77777777" w:rsidR="006B728F" w:rsidRPr="00825096" w:rsidRDefault="006B728F" w:rsidP="00FD26D9">
      <w:pPr>
        <w:jc w:val="left"/>
        <w:rPr>
          <w:color w:val="000000"/>
        </w:rPr>
      </w:pPr>
    </w:p>
    <w:tbl>
      <w:tblPr>
        <w:tblW w:w="10081" w:type="dxa"/>
        <w:jc w:val="center"/>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590"/>
        <w:gridCol w:w="1671"/>
        <w:gridCol w:w="1559"/>
        <w:gridCol w:w="1214"/>
        <w:gridCol w:w="1422"/>
        <w:gridCol w:w="1289"/>
        <w:gridCol w:w="1336"/>
      </w:tblGrid>
      <w:tr w:rsidR="006B728F" w:rsidRPr="00E1706C" w14:paraId="1E179134" w14:textId="77777777" w:rsidTr="000274A7">
        <w:trPr>
          <w:trHeight w:val="1077"/>
          <w:tblHeader/>
          <w:jc w:val="center"/>
        </w:trPr>
        <w:tc>
          <w:tcPr>
            <w:tcW w:w="1590" w:type="dxa"/>
            <w:shd w:val="clear" w:color="auto" w:fill="C00000"/>
            <w:vAlign w:val="center"/>
            <w:hideMark/>
          </w:tcPr>
          <w:p w14:paraId="724E64F2" w14:textId="77777777" w:rsidR="006B728F" w:rsidRPr="00FD29DC" w:rsidRDefault="006B728F" w:rsidP="00082C24">
            <w:pPr>
              <w:jc w:val="center"/>
              <w:rPr>
                <w:b/>
                <w:bCs/>
                <w:color w:val="FFFFFF" w:themeColor="background1"/>
              </w:rPr>
            </w:pPr>
            <w:r w:rsidRPr="00FD29DC">
              <w:rPr>
                <w:b/>
                <w:bCs/>
                <w:color w:val="FFFFFF" w:themeColor="background1"/>
              </w:rPr>
              <w:t>Nombre del proyecto POT</w:t>
            </w:r>
          </w:p>
        </w:tc>
        <w:tc>
          <w:tcPr>
            <w:tcW w:w="1671" w:type="dxa"/>
            <w:shd w:val="clear" w:color="auto" w:fill="C00000"/>
            <w:vAlign w:val="center"/>
            <w:hideMark/>
          </w:tcPr>
          <w:p w14:paraId="44839D83" w14:textId="77777777" w:rsidR="006B728F" w:rsidRPr="00FD29DC" w:rsidRDefault="006B728F" w:rsidP="00082C24">
            <w:pPr>
              <w:jc w:val="center"/>
              <w:rPr>
                <w:b/>
                <w:bCs/>
                <w:color w:val="FFFFFF" w:themeColor="background1"/>
              </w:rPr>
            </w:pPr>
            <w:r w:rsidRPr="00FD29DC">
              <w:rPr>
                <w:b/>
                <w:bCs/>
                <w:color w:val="FFFFFF" w:themeColor="background1"/>
              </w:rPr>
              <w:t>Programa POT</w:t>
            </w:r>
          </w:p>
        </w:tc>
        <w:tc>
          <w:tcPr>
            <w:tcW w:w="1559" w:type="dxa"/>
            <w:shd w:val="clear" w:color="auto" w:fill="C00000"/>
            <w:vAlign w:val="center"/>
            <w:hideMark/>
          </w:tcPr>
          <w:p w14:paraId="083E7F56" w14:textId="77777777" w:rsidR="006B728F" w:rsidRPr="00FD29DC" w:rsidRDefault="006B728F" w:rsidP="00082C24">
            <w:pPr>
              <w:jc w:val="center"/>
              <w:rPr>
                <w:b/>
                <w:bCs/>
                <w:color w:val="FFFFFF" w:themeColor="background1"/>
              </w:rPr>
            </w:pPr>
            <w:r w:rsidRPr="00FD29DC">
              <w:rPr>
                <w:b/>
                <w:bCs/>
                <w:color w:val="FFFFFF" w:themeColor="background1"/>
              </w:rPr>
              <w:t>Subprograma POT</w:t>
            </w:r>
          </w:p>
        </w:tc>
        <w:tc>
          <w:tcPr>
            <w:tcW w:w="1214" w:type="dxa"/>
            <w:shd w:val="clear" w:color="auto" w:fill="C00000"/>
            <w:vAlign w:val="center"/>
            <w:hideMark/>
          </w:tcPr>
          <w:p w14:paraId="60A7CA6D" w14:textId="77777777" w:rsidR="006B728F" w:rsidRPr="00FD29DC" w:rsidRDefault="006B728F" w:rsidP="00082C24">
            <w:pPr>
              <w:jc w:val="center"/>
              <w:rPr>
                <w:b/>
                <w:bCs/>
                <w:color w:val="FFFFFF" w:themeColor="background1"/>
              </w:rPr>
            </w:pPr>
            <w:r w:rsidRPr="00FD29DC">
              <w:rPr>
                <w:b/>
                <w:bCs/>
                <w:color w:val="FFFFFF" w:themeColor="background1"/>
              </w:rPr>
              <w:t>Objetivo PDD 2024 - 2027</w:t>
            </w:r>
          </w:p>
        </w:tc>
        <w:tc>
          <w:tcPr>
            <w:tcW w:w="1422" w:type="dxa"/>
            <w:shd w:val="clear" w:color="auto" w:fill="C00000"/>
            <w:vAlign w:val="center"/>
            <w:hideMark/>
          </w:tcPr>
          <w:p w14:paraId="200D9CAE" w14:textId="77777777" w:rsidR="006B728F" w:rsidRPr="00FD29DC" w:rsidRDefault="006B728F" w:rsidP="00082C24">
            <w:pPr>
              <w:jc w:val="center"/>
              <w:rPr>
                <w:b/>
                <w:bCs/>
                <w:color w:val="FFFFFF" w:themeColor="background1"/>
              </w:rPr>
            </w:pPr>
            <w:r w:rsidRPr="00FD29DC">
              <w:rPr>
                <w:b/>
                <w:bCs/>
                <w:color w:val="FFFFFF" w:themeColor="background1"/>
              </w:rPr>
              <w:t>Programa PDD 2024 - 2027</w:t>
            </w:r>
          </w:p>
        </w:tc>
        <w:tc>
          <w:tcPr>
            <w:tcW w:w="1289" w:type="dxa"/>
            <w:shd w:val="clear" w:color="auto" w:fill="C00000"/>
            <w:vAlign w:val="center"/>
            <w:hideMark/>
          </w:tcPr>
          <w:p w14:paraId="5F56AB27" w14:textId="77777777" w:rsidR="000274A7" w:rsidRDefault="006B728F" w:rsidP="00082C24">
            <w:pPr>
              <w:jc w:val="center"/>
              <w:rPr>
                <w:b/>
                <w:bCs/>
                <w:color w:val="FFFFFF" w:themeColor="background1"/>
              </w:rPr>
            </w:pPr>
            <w:r w:rsidRPr="00FD29DC">
              <w:rPr>
                <w:b/>
                <w:bCs/>
                <w:color w:val="FFFFFF" w:themeColor="background1"/>
              </w:rPr>
              <w:t xml:space="preserve">Entidad </w:t>
            </w:r>
          </w:p>
          <w:p w14:paraId="454073F6" w14:textId="6D2FD6F7" w:rsidR="006B728F" w:rsidRPr="00FD29DC" w:rsidRDefault="006B728F" w:rsidP="00082C24">
            <w:pPr>
              <w:jc w:val="center"/>
              <w:rPr>
                <w:b/>
                <w:bCs/>
                <w:color w:val="FFFFFF" w:themeColor="background1"/>
              </w:rPr>
            </w:pPr>
            <w:r w:rsidRPr="00FD29DC">
              <w:rPr>
                <w:b/>
                <w:bCs/>
                <w:color w:val="FFFFFF" w:themeColor="background1"/>
              </w:rPr>
              <w:t>responsable</w:t>
            </w:r>
          </w:p>
        </w:tc>
        <w:tc>
          <w:tcPr>
            <w:tcW w:w="1336" w:type="dxa"/>
            <w:shd w:val="clear" w:color="auto" w:fill="C00000"/>
            <w:vAlign w:val="center"/>
            <w:hideMark/>
          </w:tcPr>
          <w:p w14:paraId="54AD7969" w14:textId="77777777" w:rsidR="006B728F" w:rsidRPr="00FD29DC" w:rsidRDefault="006B728F" w:rsidP="00082C24">
            <w:pPr>
              <w:jc w:val="center"/>
              <w:rPr>
                <w:b/>
                <w:bCs/>
                <w:color w:val="FFFFFF" w:themeColor="background1"/>
              </w:rPr>
            </w:pPr>
            <w:r w:rsidRPr="00FD29DC">
              <w:rPr>
                <w:b/>
                <w:bCs/>
                <w:color w:val="FFFFFF" w:themeColor="background1"/>
              </w:rPr>
              <w:t>Etapa del proyecto POT</w:t>
            </w:r>
          </w:p>
        </w:tc>
      </w:tr>
      <w:tr w:rsidR="006B728F" w:rsidRPr="00E1706C" w14:paraId="73D84E20" w14:textId="77777777" w:rsidTr="00BC0124">
        <w:trPr>
          <w:trHeight w:val="1417"/>
          <w:jc w:val="center"/>
        </w:trPr>
        <w:tc>
          <w:tcPr>
            <w:tcW w:w="1590" w:type="dxa"/>
            <w:shd w:val="clear" w:color="auto" w:fill="auto"/>
            <w:noWrap/>
            <w:vAlign w:val="center"/>
            <w:hideMark/>
          </w:tcPr>
          <w:p w14:paraId="092A4C7D" w14:textId="77777777" w:rsidR="006B728F" w:rsidRPr="00E1706C" w:rsidRDefault="006B728F" w:rsidP="00BC0124">
            <w:pPr>
              <w:pStyle w:val="tablastexto"/>
            </w:pPr>
            <w:r w:rsidRPr="00E1706C">
              <w:t>Renaturalizar y/o reverdecer el parque DEPORTIVO PRIMERO DE MAYO</w:t>
            </w:r>
          </w:p>
        </w:tc>
        <w:tc>
          <w:tcPr>
            <w:tcW w:w="1671" w:type="dxa"/>
            <w:shd w:val="clear" w:color="auto" w:fill="auto"/>
            <w:noWrap/>
            <w:vAlign w:val="center"/>
            <w:hideMark/>
          </w:tcPr>
          <w:p w14:paraId="36C50DA9"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40A9D35A"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4E1DFE0F"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6FA86189"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29B2A7AD"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45D768B2" w14:textId="77777777" w:rsidR="006B728F" w:rsidRPr="00E1706C" w:rsidRDefault="006B728F" w:rsidP="00BC0124">
            <w:pPr>
              <w:pStyle w:val="tablastexto"/>
            </w:pPr>
            <w:r w:rsidRPr="00E1706C">
              <w:t>Sin iniciar</w:t>
            </w:r>
          </w:p>
        </w:tc>
      </w:tr>
      <w:tr w:rsidR="006B728F" w:rsidRPr="00E1706C" w14:paraId="366E3EB8" w14:textId="77777777" w:rsidTr="00BC0124">
        <w:trPr>
          <w:trHeight w:val="1417"/>
          <w:jc w:val="center"/>
        </w:trPr>
        <w:tc>
          <w:tcPr>
            <w:tcW w:w="1590" w:type="dxa"/>
            <w:shd w:val="clear" w:color="auto" w:fill="auto"/>
            <w:noWrap/>
            <w:vAlign w:val="center"/>
            <w:hideMark/>
          </w:tcPr>
          <w:p w14:paraId="4C3A1D2E" w14:textId="77777777" w:rsidR="006B728F" w:rsidRPr="00E1706C" w:rsidRDefault="006B728F" w:rsidP="00BC0124">
            <w:pPr>
              <w:pStyle w:val="tablastexto"/>
            </w:pPr>
            <w:r w:rsidRPr="00E1706C">
              <w:t>Renaturalizar y/o reverdecer el parque EL RECREO</w:t>
            </w:r>
          </w:p>
        </w:tc>
        <w:tc>
          <w:tcPr>
            <w:tcW w:w="1671" w:type="dxa"/>
            <w:shd w:val="clear" w:color="auto" w:fill="auto"/>
            <w:noWrap/>
            <w:vAlign w:val="center"/>
            <w:hideMark/>
          </w:tcPr>
          <w:p w14:paraId="6C7E5BC7"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4693DAFA"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31448210"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2C3E601A"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6FF99970"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55804F47" w14:textId="77777777" w:rsidR="006B728F" w:rsidRPr="00E1706C" w:rsidRDefault="006B728F" w:rsidP="00BC0124">
            <w:pPr>
              <w:pStyle w:val="tablastexto"/>
            </w:pPr>
            <w:r w:rsidRPr="00E1706C">
              <w:t>Obra (Ejecución)</w:t>
            </w:r>
          </w:p>
        </w:tc>
      </w:tr>
      <w:tr w:rsidR="006B728F" w:rsidRPr="00E1706C" w14:paraId="0CEACC4D" w14:textId="77777777" w:rsidTr="00BC0124">
        <w:trPr>
          <w:trHeight w:val="1417"/>
          <w:jc w:val="center"/>
        </w:trPr>
        <w:tc>
          <w:tcPr>
            <w:tcW w:w="1590" w:type="dxa"/>
            <w:shd w:val="clear" w:color="auto" w:fill="auto"/>
            <w:noWrap/>
            <w:vAlign w:val="center"/>
            <w:hideMark/>
          </w:tcPr>
          <w:p w14:paraId="3E68F036" w14:textId="77777777" w:rsidR="006B728F" w:rsidRPr="00E1706C" w:rsidRDefault="006B728F" w:rsidP="00BC0124">
            <w:pPr>
              <w:pStyle w:val="tablastexto"/>
            </w:pPr>
            <w:r w:rsidRPr="00E1706C">
              <w:t>Renaturalizar y/o reverdecer el parque EL TUNAL</w:t>
            </w:r>
          </w:p>
        </w:tc>
        <w:tc>
          <w:tcPr>
            <w:tcW w:w="1671" w:type="dxa"/>
            <w:shd w:val="clear" w:color="auto" w:fill="auto"/>
            <w:noWrap/>
            <w:vAlign w:val="center"/>
            <w:hideMark/>
          </w:tcPr>
          <w:p w14:paraId="5AD41983"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15E3A4E3"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59395A53"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084B1565"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4380851B"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347F263D" w14:textId="77777777" w:rsidR="006B728F" w:rsidRPr="00E1706C" w:rsidRDefault="006B728F" w:rsidP="00BC0124">
            <w:pPr>
              <w:pStyle w:val="tablastexto"/>
            </w:pPr>
            <w:r w:rsidRPr="00E1706C">
              <w:t>Obra (Ejecución)</w:t>
            </w:r>
          </w:p>
        </w:tc>
      </w:tr>
      <w:tr w:rsidR="006B728F" w:rsidRPr="00E1706C" w14:paraId="7748A79D" w14:textId="77777777" w:rsidTr="00BC0124">
        <w:trPr>
          <w:trHeight w:val="1417"/>
          <w:jc w:val="center"/>
        </w:trPr>
        <w:tc>
          <w:tcPr>
            <w:tcW w:w="1590" w:type="dxa"/>
            <w:shd w:val="clear" w:color="auto" w:fill="auto"/>
            <w:noWrap/>
            <w:vAlign w:val="center"/>
            <w:hideMark/>
          </w:tcPr>
          <w:p w14:paraId="26AC6D28" w14:textId="77777777" w:rsidR="006B728F" w:rsidRPr="00E1706C" w:rsidRDefault="006B728F" w:rsidP="00BC0124">
            <w:pPr>
              <w:pStyle w:val="tablastexto"/>
            </w:pPr>
            <w:r w:rsidRPr="00E1706C">
              <w:t>Renaturalizar y/o reverdecer el parque EL VIRREY SUR</w:t>
            </w:r>
          </w:p>
        </w:tc>
        <w:tc>
          <w:tcPr>
            <w:tcW w:w="1671" w:type="dxa"/>
            <w:shd w:val="clear" w:color="auto" w:fill="auto"/>
            <w:noWrap/>
            <w:vAlign w:val="center"/>
            <w:hideMark/>
          </w:tcPr>
          <w:p w14:paraId="3FE46070"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37547869"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3E9C382D"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0A23DCA2"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1CD3F4DE"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0A659D1A" w14:textId="77777777" w:rsidR="006B728F" w:rsidRPr="00E1706C" w:rsidRDefault="006B728F" w:rsidP="00BC0124">
            <w:pPr>
              <w:pStyle w:val="tablastexto"/>
            </w:pPr>
            <w:r w:rsidRPr="00E1706C">
              <w:t>Sin iniciar</w:t>
            </w:r>
          </w:p>
        </w:tc>
      </w:tr>
      <w:tr w:rsidR="006B728F" w:rsidRPr="00E1706C" w14:paraId="4C2172CA" w14:textId="77777777" w:rsidTr="00BC0124">
        <w:trPr>
          <w:trHeight w:val="1417"/>
          <w:jc w:val="center"/>
        </w:trPr>
        <w:tc>
          <w:tcPr>
            <w:tcW w:w="1590" w:type="dxa"/>
            <w:shd w:val="clear" w:color="auto" w:fill="auto"/>
            <w:noWrap/>
            <w:vAlign w:val="center"/>
            <w:hideMark/>
          </w:tcPr>
          <w:p w14:paraId="39532294" w14:textId="77777777" w:rsidR="006B728F" w:rsidRPr="00E1706C" w:rsidRDefault="006B728F" w:rsidP="00BC0124">
            <w:pPr>
              <w:pStyle w:val="tablastexto"/>
            </w:pPr>
            <w:r w:rsidRPr="00E1706C">
              <w:t>Renaturalizar y/o reverdecer el parque GAITAN CORTES</w:t>
            </w:r>
          </w:p>
        </w:tc>
        <w:tc>
          <w:tcPr>
            <w:tcW w:w="1671" w:type="dxa"/>
            <w:shd w:val="clear" w:color="auto" w:fill="auto"/>
            <w:noWrap/>
            <w:vAlign w:val="center"/>
            <w:hideMark/>
          </w:tcPr>
          <w:p w14:paraId="45625B03"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694A545C"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63933831"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21DFA9C9"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1C8152C6"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285125BC" w14:textId="77777777" w:rsidR="006B728F" w:rsidRPr="00E1706C" w:rsidRDefault="006B728F" w:rsidP="00BC0124">
            <w:pPr>
              <w:pStyle w:val="tablastexto"/>
            </w:pPr>
            <w:r w:rsidRPr="00E1706C">
              <w:t>Obra (Ejecución)</w:t>
            </w:r>
          </w:p>
        </w:tc>
      </w:tr>
      <w:tr w:rsidR="006B728F" w:rsidRPr="00E1706C" w14:paraId="2EBB292A" w14:textId="77777777" w:rsidTr="00BC0124">
        <w:trPr>
          <w:trHeight w:val="1417"/>
          <w:jc w:val="center"/>
        </w:trPr>
        <w:tc>
          <w:tcPr>
            <w:tcW w:w="1590" w:type="dxa"/>
            <w:shd w:val="clear" w:color="auto" w:fill="auto"/>
            <w:noWrap/>
            <w:vAlign w:val="center"/>
            <w:hideMark/>
          </w:tcPr>
          <w:p w14:paraId="3A3D92E3" w14:textId="77777777" w:rsidR="006B728F" w:rsidRPr="00E1706C" w:rsidRDefault="006B728F" w:rsidP="00BC0124">
            <w:pPr>
              <w:pStyle w:val="tablastexto"/>
            </w:pPr>
            <w:r w:rsidRPr="00E1706C">
              <w:t>Renaturalizar y/o reverdecer el parque LA VICTORIA</w:t>
            </w:r>
          </w:p>
        </w:tc>
        <w:tc>
          <w:tcPr>
            <w:tcW w:w="1671" w:type="dxa"/>
            <w:shd w:val="clear" w:color="auto" w:fill="auto"/>
            <w:noWrap/>
            <w:vAlign w:val="center"/>
            <w:hideMark/>
          </w:tcPr>
          <w:p w14:paraId="6738F0B2"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0E76BB87"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7C04DBDE"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6173CBD5"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325F91B5"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176592BD" w14:textId="77777777" w:rsidR="006B728F" w:rsidRPr="00E1706C" w:rsidRDefault="006B728F" w:rsidP="00BC0124">
            <w:pPr>
              <w:pStyle w:val="tablastexto"/>
            </w:pPr>
            <w:r w:rsidRPr="00E1706C">
              <w:t>Sin iniciar</w:t>
            </w:r>
          </w:p>
        </w:tc>
      </w:tr>
      <w:tr w:rsidR="006B728F" w:rsidRPr="00E1706C" w14:paraId="49AC42E9" w14:textId="77777777" w:rsidTr="00BC0124">
        <w:trPr>
          <w:trHeight w:val="1417"/>
          <w:jc w:val="center"/>
        </w:trPr>
        <w:tc>
          <w:tcPr>
            <w:tcW w:w="1590" w:type="dxa"/>
            <w:shd w:val="clear" w:color="auto" w:fill="auto"/>
            <w:noWrap/>
            <w:vAlign w:val="center"/>
            <w:hideMark/>
          </w:tcPr>
          <w:p w14:paraId="5D26F531" w14:textId="77777777" w:rsidR="006B728F" w:rsidRPr="00E1706C" w:rsidRDefault="006B728F" w:rsidP="00BC0124">
            <w:pPr>
              <w:pStyle w:val="tablastexto"/>
            </w:pPr>
            <w:r w:rsidRPr="00E1706C">
              <w:t>Renaturalizar y/o reverdecer el parque SIMON BOLIVAR (SECTOR PARQUE DEPORTIVO EL SALITRE)</w:t>
            </w:r>
          </w:p>
        </w:tc>
        <w:tc>
          <w:tcPr>
            <w:tcW w:w="1671" w:type="dxa"/>
            <w:shd w:val="clear" w:color="auto" w:fill="auto"/>
            <w:noWrap/>
            <w:vAlign w:val="center"/>
            <w:hideMark/>
          </w:tcPr>
          <w:p w14:paraId="3A9936D6"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22D98803"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0E438D85"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5098E428"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1475BF41"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0436E999" w14:textId="77777777" w:rsidR="006B728F" w:rsidRPr="00E1706C" w:rsidRDefault="006B728F" w:rsidP="00BC0124">
            <w:pPr>
              <w:pStyle w:val="tablastexto"/>
            </w:pPr>
            <w:r w:rsidRPr="00E1706C">
              <w:t>Obra (Ejecución)</w:t>
            </w:r>
          </w:p>
        </w:tc>
      </w:tr>
      <w:tr w:rsidR="006B728F" w:rsidRPr="00E1706C" w14:paraId="13DF0B43" w14:textId="77777777" w:rsidTr="00BC0124">
        <w:trPr>
          <w:trHeight w:val="1417"/>
          <w:jc w:val="center"/>
        </w:trPr>
        <w:tc>
          <w:tcPr>
            <w:tcW w:w="1590" w:type="dxa"/>
            <w:shd w:val="clear" w:color="auto" w:fill="auto"/>
            <w:noWrap/>
            <w:vAlign w:val="center"/>
            <w:hideMark/>
          </w:tcPr>
          <w:p w14:paraId="708FC48D" w14:textId="77777777" w:rsidR="006B728F" w:rsidRPr="00E1706C" w:rsidRDefault="006B728F" w:rsidP="00BC0124">
            <w:pPr>
              <w:pStyle w:val="tablastexto"/>
            </w:pPr>
            <w:r w:rsidRPr="00E1706C">
              <w:lastRenderedPageBreak/>
              <w:t>Renaturalizar y/o reverdecer el parque SIMON BOLIVAR (SECTOR NOVIOS II)</w:t>
            </w:r>
          </w:p>
        </w:tc>
        <w:tc>
          <w:tcPr>
            <w:tcW w:w="1671" w:type="dxa"/>
            <w:shd w:val="clear" w:color="auto" w:fill="auto"/>
            <w:noWrap/>
            <w:vAlign w:val="center"/>
            <w:hideMark/>
          </w:tcPr>
          <w:p w14:paraId="5674423E"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451E2974"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31291451"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0FFD44B7"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0241D96E"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333F063C" w14:textId="77777777" w:rsidR="006B728F" w:rsidRPr="00E1706C" w:rsidRDefault="006B728F" w:rsidP="00BC0124">
            <w:pPr>
              <w:pStyle w:val="tablastexto"/>
            </w:pPr>
            <w:r w:rsidRPr="00E1706C">
              <w:t>Obra (Ejecución)</w:t>
            </w:r>
          </w:p>
        </w:tc>
      </w:tr>
      <w:tr w:rsidR="006B728F" w:rsidRPr="00E1706C" w14:paraId="42BC6D7A" w14:textId="77777777" w:rsidTr="00BC0124">
        <w:trPr>
          <w:trHeight w:val="1417"/>
          <w:jc w:val="center"/>
        </w:trPr>
        <w:tc>
          <w:tcPr>
            <w:tcW w:w="1590" w:type="dxa"/>
            <w:shd w:val="clear" w:color="auto" w:fill="auto"/>
            <w:noWrap/>
            <w:vAlign w:val="center"/>
            <w:hideMark/>
          </w:tcPr>
          <w:p w14:paraId="6EBFBD30" w14:textId="77777777" w:rsidR="006B728F" w:rsidRPr="00E1706C" w:rsidRDefault="006B728F" w:rsidP="00BC0124">
            <w:pPr>
              <w:pStyle w:val="tablastexto"/>
            </w:pPr>
            <w:r w:rsidRPr="00E1706C">
              <w:t>Renaturalizar y/o reverdecer el parque TIMIZA</w:t>
            </w:r>
          </w:p>
        </w:tc>
        <w:tc>
          <w:tcPr>
            <w:tcW w:w="1671" w:type="dxa"/>
            <w:shd w:val="clear" w:color="auto" w:fill="auto"/>
            <w:noWrap/>
            <w:vAlign w:val="center"/>
            <w:hideMark/>
          </w:tcPr>
          <w:p w14:paraId="4CC9CEF3"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75152B7F"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4832A491"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59E02B36"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07E69CF9"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3520B494" w14:textId="77777777" w:rsidR="006B728F" w:rsidRPr="00E1706C" w:rsidRDefault="006B728F" w:rsidP="00BC0124">
            <w:pPr>
              <w:pStyle w:val="tablastexto"/>
            </w:pPr>
            <w:r w:rsidRPr="00E1706C">
              <w:t>Obra (Ejecución)</w:t>
            </w:r>
          </w:p>
        </w:tc>
      </w:tr>
      <w:tr w:rsidR="006B728F" w:rsidRPr="00E1706C" w14:paraId="76EB8137" w14:textId="77777777" w:rsidTr="00BC0124">
        <w:trPr>
          <w:trHeight w:val="1417"/>
          <w:jc w:val="center"/>
        </w:trPr>
        <w:tc>
          <w:tcPr>
            <w:tcW w:w="1590" w:type="dxa"/>
            <w:shd w:val="clear" w:color="auto" w:fill="auto"/>
            <w:noWrap/>
            <w:vAlign w:val="center"/>
            <w:hideMark/>
          </w:tcPr>
          <w:p w14:paraId="51C0C7BF" w14:textId="77777777" w:rsidR="006B728F" w:rsidRPr="00E1706C" w:rsidRDefault="006B728F" w:rsidP="00BC0124">
            <w:pPr>
              <w:pStyle w:val="tablastexto"/>
            </w:pPr>
            <w:r w:rsidRPr="00E1706C">
              <w:t>Renaturalizar y/o reverdecer el parque VILLA ALEMANA</w:t>
            </w:r>
          </w:p>
        </w:tc>
        <w:tc>
          <w:tcPr>
            <w:tcW w:w="1671" w:type="dxa"/>
            <w:shd w:val="clear" w:color="auto" w:fill="auto"/>
            <w:noWrap/>
            <w:vAlign w:val="center"/>
            <w:hideMark/>
          </w:tcPr>
          <w:p w14:paraId="6BBBCFD6"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1F2142B3"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5A088D8A"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152AD009"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267BA823"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70EE0966" w14:textId="77777777" w:rsidR="006B728F" w:rsidRPr="00E1706C" w:rsidRDefault="006B728F" w:rsidP="00BC0124">
            <w:pPr>
              <w:pStyle w:val="tablastexto"/>
            </w:pPr>
            <w:r w:rsidRPr="00E1706C">
              <w:t>Obra (Ejecución)</w:t>
            </w:r>
          </w:p>
        </w:tc>
      </w:tr>
      <w:tr w:rsidR="006B728F" w:rsidRPr="00E1706C" w14:paraId="22292831" w14:textId="77777777" w:rsidTr="00BC0124">
        <w:trPr>
          <w:trHeight w:val="1417"/>
          <w:jc w:val="center"/>
        </w:trPr>
        <w:tc>
          <w:tcPr>
            <w:tcW w:w="1590" w:type="dxa"/>
            <w:shd w:val="clear" w:color="auto" w:fill="auto"/>
            <w:noWrap/>
            <w:vAlign w:val="center"/>
            <w:hideMark/>
          </w:tcPr>
          <w:p w14:paraId="43C9223A" w14:textId="77777777" w:rsidR="006B728F" w:rsidRPr="00E1706C" w:rsidRDefault="006B728F" w:rsidP="00BC0124">
            <w:pPr>
              <w:pStyle w:val="tablastexto"/>
            </w:pPr>
            <w:r w:rsidRPr="00E1706C">
              <w:t>Renaturalizar y/o reverdecer el parque VILLA MAYOR CEMENTERIO DEL SUR</w:t>
            </w:r>
          </w:p>
        </w:tc>
        <w:tc>
          <w:tcPr>
            <w:tcW w:w="1671" w:type="dxa"/>
            <w:shd w:val="clear" w:color="auto" w:fill="auto"/>
            <w:noWrap/>
            <w:vAlign w:val="center"/>
            <w:hideMark/>
          </w:tcPr>
          <w:p w14:paraId="1632DFAB"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38BB595F" w14:textId="77777777" w:rsidR="006B728F" w:rsidRPr="00E1706C" w:rsidRDefault="006B728F" w:rsidP="00BC0124">
            <w:pPr>
              <w:pStyle w:val="tablastexto"/>
            </w:pPr>
            <w:r w:rsidRPr="00E1706C">
              <w:t>8. Subprograma de renaturalización y/o reverdecimiento de los espacios públicos peatonales y para el encuentro</w:t>
            </w:r>
          </w:p>
        </w:tc>
        <w:tc>
          <w:tcPr>
            <w:tcW w:w="1214" w:type="dxa"/>
            <w:shd w:val="clear" w:color="auto" w:fill="auto"/>
            <w:noWrap/>
            <w:vAlign w:val="center"/>
            <w:hideMark/>
          </w:tcPr>
          <w:p w14:paraId="06605879" w14:textId="77777777" w:rsidR="006B728F" w:rsidRPr="00E1706C" w:rsidRDefault="006B728F" w:rsidP="00BC0124">
            <w:pPr>
              <w:pStyle w:val="tablastexto"/>
            </w:pPr>
            <w:r w:rsidRPr="00E1706C">
              <w:t>1. Bogotá se siente segura</w:t>
            </w:r>
          </w:p>
        </w:tc>
        <w:tc>
          <w:tcPr>
            <w:tcW w:w="1422" w:type="dxa"/>
            <w:shd w:val="clear" w:color="auto" w:fill="auto"/>
            <w:noWrap/>
            <w:vAlign w:val="center"/>
            <w:hideMark/>
          </w:tcPr>
          <w:p w14:paraId="392ECDF5" w14:textId="77777777" w:rsidR="006B728F" w:rsidRPr="00E1706C" w:rsidRDefault="006B728F" w:rsidP="00BC0124">
            <w:pPr>
              <w:pStyle w:val="tablastexto"/>
            </w:pPr>
            <w:r w:rsidRPr="00E1706C">
              <w:t>1.05. Espacio público seguro e inclusivo</w:t>
            </w:r>
          </w:p>
        </w:tc>
        <w:tc>
          <w:tcPr>
            <w:tcW w:w="1289" w:type="dxa"/>
            <w:shd w:val="clear" w:color="auto" w:fill="auto"/>
            <w:noWrap/>
            <w:vAlign w:val="center"/>
            <w:hideMark/>
          </w:tcPr>
          <w:p w14:paraId="53A00C17"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3DFCB143" w14:textId="77777777" w:rsidR="006B728F" w:rsidRPr="00E1706C" w:rsidRDefault="006B728F" w:rsidP="00BC0124">
            <w:pPr>
              <w:pStyle w:val="tablastexto"/>
            </w:pPr>
            <w:r w:rsidRPr="00E1706C">
              <w:t>Sin iniciar</w:t>
            </w:r>
          </w:p>
        </w:tc>
      </w:tr>
      <w:tr w:rsidR="006B728F" w:rsidRPr="00E1706C" w14:paraId="6AE3CA9D" w14:textId="77777777" w:rsidTr="00BC0124">
        <w:trPr>
          <w:trHeight w:val="1417"/>
          <w:jc w:val="center"/>
        </w:trPr>
        <w:tc>
          <w:tcPr>
            <w:tcW w:w="1590" w:type="dxa"/>
            <w:shd w:val="clear" w:color="auto" w:fill="auto"/>
            <w:noWrap/>
            <w:vAlign w:val="center"/>
            <w:hideMark/>
          </w:tcPr>
          <w:p w14:paraId="1FF792E7" w14:textId="77777777" w:rsidR="006B728F" w:rsidRPr="00E1706C" w:rsidRDefault="006B728F" w:rsidP="00BC0124">
            <w:pPr>
              <w:pStyle w:val="tablastexto"/>
            </w:pPr>
            <w:r w:rsidRPr="00E1706C">
              <w:t>Consolidar el bosque urbano de ARBORIZADORA ALTA</w:t>
            </w:r>
          </w:p>
        </w:tc>
        <w:tc>
          <w:tcPr>
            <w:tcW w:w="1671" w:type="dxa"/>
            <w:shd w:val="clear" w:color="auto" w:fill="auto"/>
            <w:noWrap/>
            <w:vAlign w:val="center"/>
            <w:hideMark/>
          </w:tcPr>
          <w:p w14:paraId="77CB7D1C"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548B892A" w14:textId="77777777" w:rsidR="006B728F" w:rsidRPr="00E1706C" w:rsidRDefault="006B728F" w:rsidP="00BC0124">
            <w:pPr>
              <w:pStyle w:val="tablastexto"/>
            </w:pPr>
            <w:r w:rsidRPr="00E1706C">
              <w:t>9. Subprograma de Consolidación de bosques urbanos</w:t>
            </w:r>
          </w:p>
        </w:tc>
        <w:tc>
          <w:tcPr>
            <w:tcW w:w="1214" w:type="dxa"/>
            <w:shd w:val="clear" w:color="auto" w:fill="auto"/>
            <w:noWrap/>
            <w:vAlign w:val="center"/>
            <w:hideMark/>
          </w:tcPr>
          <w:p w14:paraId="081A02FA"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68F0E7D1" w14:textId="77777777" w:rsidR="006B728F" w:rsidRPr="00E1706C" w:rsidRDefault="006B728F" w:rsidP="00BC0124">
            <w:pPr>
              <w:pStyle w:val="tablastexto"/>
            </w:pPr>
            <w:r w:rsidRPr="00E1706C">
              <w:t>4.25. Aumento de la resiliencia al cambio climático y reducción de la vulnerabilidad</w:t>
            </w:r>
          </w:p>
        </w:tc>
        <w:tc>
          <w:tcPr>
            <w:tcW w:w="1289" w:type="dxa"/>
            <w:shd w:val="clear" w:color="auto" w:fill="auto"/>
            <w:noWrap/>
            <w:vAlign w:val="center"/>
            <w:hideMark/>
          </w:tcPr>
          <w:p w14:paraId="7CFA2333" w14:textId="77777777" w:rsidR="006B728F" w:rsidRPr="00E1706C" w:rsidRDefault="006B728F" w:rsidP="00BC0124">
            <w:pPr>
              <w:pStyle w:val="tablastexto"/>
            </w:pPr>
            <w:r w:rsidRPr="00E1706C">
              <w:t>Jardín Botánico José Celestino Mutis - JBB</w:t>
            </w:r>
          </w:p>
        </w:tc>
        <w:tc>
          <w:tcPr>
            <w:tcW w:w="1336" w:type="dxa"/>
            <w:shd w:val="clear" w:color="auto" w:fill="auto"/>
            <w:noWrap/>
            <w:vAlign w:val="center"/>
            <w:hideMark/>
          </w:tcPr>
          <w:p w14:paraId="23255969" w14:textId="77777777" w:rsidR="006B728F" w:rsidRPr="00E1706C" w:rsidRDefault="006B728F" w:rsidP="00BC0124">
            <w:pPr>
              <w:pStyle w:val="tablastexto"/>
            </w:pPr>
            <w:r w:rsidRPr="00E1706C">
              <w:t>En Implementación</w:t>
            </w:r>
          </w:p>
        </w:tc>
      </w:tr>
      <w:tr w:rsidR="006B728F" w:rsidRPr="00E1706C" w14:paraId="04A7E48F" w14:textId="77777777" w:rsidTr="00BC0124">
        <w:trPr>
          <w:trHeight w:val="1417"/>
          <w:jc w:val="center"/>
        </w:trPr>
        <w:tc>
          <w:tcPr>
            <w:tcW w:w="1590" w:type="dxa"/>
            <w:shd w:val="clear" w:color="auto" w:fill="auto"/>
            <w:noWrap/>
            <w:vAlign w:val="center"/>
            <w:hideMark/>
          </w:tcPr>
          <w:p w14:paraId="3FE0CF16" w14:textId="77777777" w:rsidR="006B728F" w:rsidRPr="00E1706C" w:rsidRDefault="006B728F" w:rsidP="00BC0124">
            <w:pPr>
              <w:pStyle w:val="tablastexto"/>
            </w:pPr>
            <w:r w:rsidRPr="00E1706C">
              <w:t>Consolidar el bosque urbano de CANAL BOYACA MODELIA</w:t>
            </w:r>
          </w:p>
        </w:tc>
        <w:tc>
          <w:tcPr>
            <w:tcW w:w="1671" w:type="dxa"/>
            <w:shd w:val="clear" w:color="auto" w:fill="auto"/>
            <w:noWrap/>
            <w:vAlign w:val="center"/>
            <w:hideMark/>
          </w:tcPr>
          <w:p w14:paraId="2E75681E"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69281AAB" w14:textId="77777777" w:rsidR="006B728F" w:rsidRPr="00E1706C" w:rsidRDefault="006B728F" w:rsidP="00BC0124">
            <w:pPr>
              <w:pStyle w:val="tablastexto"/>
            </w:pPr>
            <w:r w:rsidRPr="00E1706C">
              <w:t>9. Subprograma de Consolidación de bosques urbanos</w:t>
            </w:r>
          </w:p>
        </w:tc>
        <w:tc>
          <w:tcPr>
            <w:tcW w:w="1214" w:type="dxa"/>
            <w:shd w:val="clear" w:color="auto" w:fill="auto"/>
            <w:noWrap/>
            <w:vAlign w:val="center"/>
            <w:hideMark/>
          </w:tcPr>
          <w:p w14:paraId="4293EECF"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403D4920" w14:textId="77777777" w:rsidR="006B728F" w:rsidRPr="00E1706C" w:rsidRDefault="006B728F" w:rsidP="00BC0124">
            <w:pPr>
              <w:pStyle w:val="tablastexto"/>
            </w:pPr>
            <w:r w:rsidRPr="00E1706C">
              <w:t>4.25. Aumento de la resiliencia al cambio climático y reducción de la vulnerabilidad</w:t>
            </w:r>
          </w:p>
        </w:tc>
        <w:tc>
          <w:tcPr>
            <w:tcW w:w="1289" w:type="dxa"/>
            <w:shd w:val="clear" w:color="auto" w:fill="auto"/>
            <w:noWrap/>
            <w:vAlign w:val="center"/>
            <w:hideMark/>
          </w:tcPr>
          <w:p w14:paraId="0A2B26DF" w14:textId="77777777" w:rsidR="006B728F" w:rsidRPr="00E1706C" w:rsidRDefault="006B728F" w:rsidP="00BC0124">
            <w:pPr>
              <w:pStyle w:val="tablastexto"/>
            </w:pPr>
            <w:r w:rsidRPr="00E1706C">
              <w:t>Jardín Botánico José Celestino Mutis - JBB</w:t>
            </w:r>
          </w:p>
        </w:tc>
        <w:tc>
          <w:tcPr>
            <w:tcW w:w="1336" w:type="dxa"/>
            <w:shd w:val="clear" w:color="auto" w:fill="auto"/>
            <w:noWrap/>
            <w:vAlign w:val="center"/>
            <w:hideMark/>
          </w:tcPr>
          <w:p w14:paraId="347EEF1C" w14:textId="77777777" w:rsidR="006B728F" w:rsidRPr="00E1706C" w:rsidRDefault="006B728F" w:rsidP="00BC0124">
            <w:pPr>
              <w:pStyle w:val="tablastexto"/>
            </w:pPr>
            <w:r w:rsidRPr="00E1706C">
              <w:t>En Implementación</w:t>
            </w:r>
          </w:p>
        </w:tc>
      </w:tr>
      <w:tr w:rsidR="006B728F" w:rsidRPr="00E1706C" w14:paraId="72FA4A8D" w14:textId="77777777" w:rsidTr="00BC0124">
        <w:trPr>
          <w:trHeight w:val="1417"/>
          <w:jc w:val="center"/>
        </w:trPr>
        <w:tc>
          <w:tcPr>
            <w:tcW w:w="1590" w:type="dxa"/>
            <w:shd w:val="clear" w:color="auto" w:fill="auto"/>
            <w:noWrap/>
            <w:vAlign w:val="center"/>
            <w:hideMark/>
          </w:tcPr>
          <w:p w14:paraId="37F7FE31" w14:textId="77777777" w:rsidR="006B728F" w:rsidRPr="00E1706C" w:rsidRDefault="006B728F" w:rsidP="00BC0124">
            <w:pPr>
              <w:pStyle w:val="tablastexto"/>
            </w:pPr>
            <w:r w:rsidRPr="00E1706C">
              <w:t>Consolidar el bosque urbano de CANAL EL VIRREY-CHICO</w:t>
            </w:r>
          </w:p>
        </w:tc>
        <w:tc>
          <w:tcPr>
            <w:tcW w:w="1671" w:type="dxa"/>
            <w:shd w:val="clear" w:color="auto" w:fill="auto"/>
            <w:noWrap/>
            <w:vAlign w:val="center"/>
            <w:hideMark/>
          </w:tcPr>
          <w:p w14:paraId="3FDF7924"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7B371DA9" w14:textId="77777777" w:rsidR="006B728F" w:rsidRPr="00E1706C" w:rsidRDefault="006B728F" w:rsidP="00BC0124">
            <w:pPr>
              <w:pStyle w:val="tablastexto"/>
            </w:pPr>
            <w:r w:rsidRPr="00E1706C">
              <w:t>9. Subprograma de Consolidación de bosques urbanos</w:t>
            </w:r>
          </w:p>
        </w:tc>
        <w:tc>
          <w:tcPr>
            <w:tcW w:w="1214" w:type="dxa"/>
            <w:shd w:val="clear" w:color="auto" w:fill="auto"/>
            <w:noWrap/>
            <w:vAlign w:val="center"/>
            <w:hideMark/>
          </w:tcPr>
          <w:p w14:paraId="0C79D675"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3924F5EF" w14:textId="77777777" w:rsidR="006B728F" w:rsidRPr="00E1706C" w:rsidRDefault="006B728F" w:rsidP="00BC0124">
            <w:pPr>
              <w:pStyle w:val="tablastexto"/>
            </w:pPr>
            <w:r w:rsidRPr="00E1706C">
              <w:t>4.25. Aumento de la resiliencia al cambio climático y reducción de la vulnerabilidad</w:t>
            </w:r>
          </w:p>
        </w:tc>
        <w:tc>
          <w:tcPr>
            <w:tcW w:w="1289" w:type="dxa"/>
            <w:shd w:val="clear" w:color="auto" w:fill="auto"/>
            <w:noWrap/>
            <w:vAlign w:val="center"/>
            <w:hideMark/>
          </w:tcPr>
          <w:p w14:paraId="59FBAAD6" w14:textId="77777777" w:rsidR="006B728F" w:rsidRPr="00E1706C" w:rsidRDefault="006B728F" w:rsidP="00BC0124">
            <w:pPr>
              <w:pStyle w:val="tablastexto"/>
            </w:pPr>
            <w:r w:rsidRPr="00E1706C">
              <w:t>Jardín Botánico José Celestino Mutis - JBB</w:t>
            </w:r>
          </w:p>
        </w:tc>
        <w:tc>
          <w:tcPr>
            <w:tcW w:w="1336" w:type="dxa"/>
            <w:shd w:val="clear" w:color="auto" w:fill="auto"/>
            <w:noWrap/>
            <w:vAlign w:val="center"/>
            <w:hideMark/>
          </w:tcPr>
          <w:p w14:paraId="26D5CBDB" w14:textId="77777777" w:rsidR="006B728F" w:rsidRPr="00E1706C" w:rsidRDefault="006B728F" w:rsidP="00BC0124">
            <w:pPr>
              <w:pStyle w:val="tablastexto"/>
            </w:pPr>
            <w:r w:rsidRPr="00E1706C">
              <w:t>En Idea</w:t>
            </w:r>
          </w:p>
        </w:tc>
      </w:tr>
      <w:tr w:rsidR="006B728F" w:rsidRPr="00E1706C" w14:paraId="679EFEA6" w14:textId="77777777" w:rsidTr="00BC0124">
        <w:trPr>
          <w:trHeight w:val="1417"/>
          <w:jc w:val="center"/>
        </w:trPr>
        <w:tc>
          <w:tcPr>
            <w:tcW w:w="1590" w:type="dxa"/>
            <w:shd w:val="clear" w:color="auto" w:fill="auto"/>
            <w:noWrap/>
            <w:vAlign w:val="center"/>
            <w:hideMark/>
          </w:tcPr>
          <w:p w14:paraId="070AF3B2" w14:textId="77777777" w:rsidR="006B728F" w:rsidRPr="00E1706C" w:rsidRDefault="006B728F" w:rsidP="00BC0124">
            <w:pPr>
              <w:pStyle w:val="tablastexto"/>
            </w:pPr>
            <w:r w:rsidRPr="00E1706C">
              <w:lastRenderedPageBreak/>
              <w:t>Consolidar el bosque urbano de INDEPENDENCIA-BICENTENARIO</w:t>
            </w:r>
          </w:p>
        </w:tc>
        <w:tc>
          <w:tcPr>
            <w:tcW w:w="1671" w:type="dxa"/>
            <w:shd w:val="clear" w:color="auto" w:fill="auto"/>
            <w:noWrap/>
            <w:vAlign w:val="center"/>
            <w:hideMark/>
          </w:tcPr>
          <w:p w14:paraId="4A339981"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3894B94A" w14:textId="77777777" w:rsidR="006B728F" w:rsidRPr="00E1706C" w:rsidRDefault="006B728F" w:rsidP="00BC0124">
            <w:pPr>
              <w:pStyle w:val="tablastexto"/>
            </w:pPr>
            <w:r w:rsidRPr="00E1706C">
              <w:t>9. Subprograma de Consolidación de bosques urbanos</w:t>
            </w:r>
          </w:p>
        </w:tc>
        <w:tc>
          <w:tcPr>
            <w:tcW w:w="1214" w:type="dxa"/>
            <w:shd w:val="clear" w:color="auto" w:fill="auto"/>
            <w:noWrap/>
            <w:vAlign w:val="center"/>
            <w:hideMark/>
          </w:tcPr>
          <w:p w14:paraId="3C95140A"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3E2E9A66" w14:textId="77777777" w:rsidR="006B728F" w:rsidRPr="00E1706C" w:rsidRDefault="006B728F" w:rsidP="00BC0124">
            <w:pPr>
              <w:pStyle w:val="tablastexto"/>
            </w:pPr>
            <w:r w:rsidRPr="00E1706C">
              <w:t>4.25. Aumento de la resiliencia al cambio climático y reducción de la vulnerabilidad</w:t>
            </w:r>
          </w:p>
        </w:tc>
        <w:tc>
          <w:tcPr>
            <w:tcW w:w="1289" w:type="dxa"/>
            <w:shd w:val="clear" w:color="auto" w:fill="auto"/>
            <w:noWrap/>
            <w:vAlign w:val="center"/>
            <w:hideMark/>
          </w:tcPr>
          <w:p w14:paraId="1CE621EF" w14:textId="77777777" w:rsidR="006B728F" w:rsidRPr="00E1706C" w:rsidRDefault="006B728F" w:rsidP="00BC0124">
            <w:pPr>
              <w:pStyle w:val="tablastexto"/>
            </w:pPr>
            <w:r w:rsidRPr="00E1706C">
              <w:t>Jardín Botánico José Celestino Mutis - JBB</w:t>
            </w:r>
          </w:p>
        </w:tc>
        <w:tc>
          <w:tcPr>
            <w:tcW w:w="1336" w:type="dxa"/>
            <w:shd w:val="clear" w:color="auto" w:fill="auto"/>
            <w:noWrap/>
            <w:vAlign w:val="center"/>
            <w:hideMark/>
          </w:tcPr>
          <w:p w14:paraId="43B0905C" w14:textId="77777777" w:rsidR="006B728F" w:rsidRPr="00E1706C" w:rsidRDefault="006B728F" w:rsidP="00BC0124">
            <w:pPr>
              <w:pStyle w:val="tablastexto"/>
            </w:pPr>
            <w:r w:rsidRPr="00E1706C">
              <w:t>En Idea</w:t>
            </w:r>
          </w:p>
        </w:tc>
      </w:tr>
      <w:tr w:rsidR="006B728F" w:rsidRPr="00E1706C" w14:paraId="39428E9D" w14:textId="77777777" w:rsidTr="00BC0124">
        <w:trPr>
          <w:trHeight w:val="1417"/>
          <w:jc w:val="center"/>
        </w:trPr>
        <w:tc>
          <w:tcPr>
            <w:tcW w:w="1590" w:type="dxa"/>
            <w:shd w:val="clear" w:color="auto" w:fill="auto"/>
            <w:noWrap/>
            <w:vAlign w:val="center"/>
            <w:hideMark/>
          </w:tcPr>
          <w:p w14:paraId="599C0F5A" w14:textId="77777777" w:rsidR="006B728F" w:rsidRPr="00E1706C" w:rsidRDefault="006B728F" w:rsidP="00BC0124">
            <w:pPr>
              <w:pStyle w:val="tablastexto"/>
            </w:pPr>
            <w:r w:rsidRPr="00E1706C">
              <w:t>Consolidar el bosque urbano de ZONA FRANCA (PM-16)</w:t>
            </w:r>
          </w:p>
        </w:tc>
        <w:tc>
          <w:tcPr>
            <w:tcW w:w="1671" w:type="dxa"/>
            <w:shd w:val="clear" w:color="auto" w:fill="auto"/>
            <w:noWrap/>
            <w:vAlign w:val="center"/>
            <w:hideMark/>
          </w:tcPr>
          <w:p w14:paraId="5305E2DC"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23DCF2BB" w14:textId="77777777" w:rsidR="006B728F" w:rsidRPr="00E1706C" w:rsidRDefault="006B728F" w:rsidP="00BC0124">
            <w:pPr>
              <w:pStyle w:val="tablastexto"/>
            </w:pPr>
            <w:r w:rsidRPr="00E1706C">
              <w:t>9. Subprograma de Consolidación de bosques urbanos</w:t>
            </w:r>
          </w:p>
        </w:tc>
        <w:tc>
          <w:tcPr>
            <w:tcW w:w="1214" w:type="dxa"/>
            <w:shd w:val="clear" w:color="auto" w:fill="auto"/>
            <w:noWrap/>
            <w:vAlign w:val="center"/>
            <w:hideMark/>
          </w:tcPr>
          <w:p w14:paraId="6E58BD7B"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5D6A17CF" w14:textId="77777777" w:rsidR="006B728F" w:rsidRPr="00E1706C" w:rsidRDefault="006B728F" w:rsidP="00BC0124">
            <w:pPr>
              <w:pStyle w:val="tablastexto"/>
            </w:pPr>
            <w:r w:rsidRPr="00E1706C">
              <w:t>4.25. Aumento de la resiliencia al cambio climático y reducción de la vulnerabilidad</w:t>
            </w:r>
          </w:p>
        </w:tc>
        <w:tc>
          <w:tcPr>
            <w:tcW w:w="1289" w:type="dxa"/>
            <w:shd w:val="clear" w:color="auto" w:fill="auto"/>
            <w:noWrap/>
            <w:vAlign w:val="center"/>
            <w:hideMark/>
          </w:tcPr>
          <w:p w14:paraId="4A20516A" w14:textId="77777777" w:rsidR="006B728F" w:rsidRPr="00E1706C" w:rsidRDefault="006B728F" w:rsidP="00BC0124">
            <w:pPr>
              <w:pStyle w:val="tablastexto"/>
            </w:pPr>
            <w:r w:rsidRPr="00E1706C">
              <w:t>Jardín Botánico José Celestino Mutis - JBB</w:t>
            </w:r>
          </w:p>
        </w:tc>
        <w:tc>
          <w:tcPr>
            <w:tcW w:w="1336" w:type="dxa"/>
            <w:shd w:val="clear" w:color="auto" w:fill="auto"/>
            <w:noWrap/>
            <w:vAlign w:val="center"/>
            <w:hideMark/>
          </w:tcPr>
          <w:p w14:paraId="54E03AF4" w14:textId="77777777" w:rsidR="006B728F" w:rsidRPr="00E1706C" w:rsidRDefault="006B728F" w:rsidP="00BC0124">
            <w:pPr>
              <w:pStyle w:val="tablastexto"/>
            </w:pPr>
            <w:r w:rsidRPr="00E1706C">
              <w:t>En Idea</w:t>
            </w:r>
          </w:p>
        </w:tc>
      </w:tr>
      <w:tr w:rsidR="006B728F" w:rsidRPr="00E1706C" w14:paraId="3D79F0BA" w14:textId="77777777" w:rsidTr="00BC0124">
        <w:trPr>
          <w:trHeight w:val="1417"/>
          <w:jc w:val="center"/>
        </w:trPr>
        <w:tc>
          <w:tcPr>
            <w:tcW w:w="1590" w:type="dxa"/>
            <w:shd w:val="clear" w:color="auto" w:fill="auto"/>
            <w:noWrap/>
            <w:vAlign w:val="center"/>
            <w:hideMark/>
          </w:tcPr>
          <w:p w14:paraId="4965ED0F" w14:textId="77777777" w:rsidR="006B728F" w:rsidRPr="00E1706C" w:rsidRDefault="006B728F" w:rsidP="00BC0124">
            <w:pPr>
              <w:pStyle w:val="tablastexto"/>
            </w:pPr>
            <w:r w:rsidRPr="00E1706C">
              <w:t>Consolidar el parque SANTA HELENA</w:t>
            </w:r>
          </w:p>
        </w:tc>
        <w:tc>
          <w:tcPr>
            <w:tcW w:w="1671" w:type="dxa"/>
            <w:shd w:val="clear" w:color="auto" w:fill="auto"/>
            <w:noWrap/>
            <w:vAlign w:val="center"/>
            <w:hideMark/>
          </w:tcPr>
          <w:p w14:paraId="664431FD" w14:textId="77777777" w:rsidR="006B728F" w:rsidRPr="00E1706C" w:rsidRDefault="006B728F" w:rsidP="00BC0124">
            <w:pPr>
              <w:pStyle w:val="tablastexto"/>
            </w:pPr>
            <w:r w:rsidRPr="00E1706C">
              <w:t>1. Programa conectividad ecosistémica, reverdecimiento y atención de la emergencia climática</w:t>
            </w:r>
          </w:p>
        </w:tc>
        <w:tc>
          <w:tcPr>
            <w:tcW w:w="1559" w:type="dxa"/>
            <w:shd w:val="clear" w:color="auto" w:fill="auto"/>
            <w:noWrap/>
            <w:vAlign w:val="center"/>
            <w:hideMark/>
          </w:tcPr>
          <w:p w14:paraId="613E9312" w14:textId="77777777" w:rsidR="006B728F" w:rsidRPr="00E1706C" w:rsidRDefault="006B728F" w:rsidP="00BC0124">
            <w:pPr>
              <w:pStyle w:val="tablastexto"/>
            </w:pPr>
            <w:r w:rsidRPr="00E1706C">
              <w:t>9. Subprograma de Consolidación de bosques urbanos</w:t>
            </w:r>
          </w:p>
        </w:tc>
        <w:tc>
          <w:tcPr>
            <w:tcW w:w="1214" w:type="dxa"/>
            <w:shd w:val="clear" w:color="auto" w:fill="auto"/>
            <w:noWrap/>
            <w:vAlign w:val="center"/>
            <w:hideMark/>
          </w:tcPr>
          <w:p w14:paraId="389D036A"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7A98C63B" w14:textId="77777777" w:rsidR="006B728F" w:rsidRPr="00E1706C" w:rsidRDefault="006B728F" w:rsidP="00BC0124">
            <w:pPr>
              <w:pStyle w:val="tablastexto"/>
            </w:pPr>
            <w:r w:rsidRPr="00E1706C">
              <w:t>4.24. Revitalización y renovación urbana y rural con inclusión</w:t>
            </w:r>
          </w:p>
        </w:tc>
        <w:tc>
          <w:tcPr>
            <w:tcW w:w="1289" w:type="dxa"/>
            <w:shd w:val="clear" w:color="auto" w:fill="auto"/>
            <w:noWrap/>
            <w:vAlign w:val="center"/>
            <w:hideMark/>
          </w:tcPr>
          <w:p w14:paraId="51F9C5A3" w14:textId="77777777" w:rsidR="006B728F" w:rsidRPr="00E1706C" w:rsidRDefault="006B728F" w:rsidP="00BC0124">
            <w:pPr>
              <w:pStyle w:val="tablastexto"/>
            </w:pPr>
            <w:r w:rsidRPr="00E1706C">
              <w:t>Instituto Distrital Recreación y Deporte - IDRD</w:t>
            </w:r>
          </w:p>
        </w:tc>
        <w:tc>
          <w:tcPr>
            <w:tcW w:w="1336" w:type="dxa"/>
            <w:shd w:val="clear" w:color="auto" w:fill="auto"/>
            <w:noWrap/>
            <w:vAlign w:val="center"/>
            <w:hideMark/>
          </w:tcPr>
          <w:p w14:paraId="761FCFF5" w14:textId="77777777" w:rsidR="006B728F" w:rsidRPr="00E1706C" w:rsidRDefault="006B728F" w:rsidP="00BC0124">
            <w:pPr>
              <w:pStyle w:val="tablastexto"/>
            </w:pPr>
            <w:r w:rsidRPr="00E1706C">
              <w:t>Factibilidad</w:t>
            </w:r>
          </w:p>
        </w:tc>
      </w:tr>
      <w:tr w:rsidR="006B728F" w:rsidRPr="00E1706C" w14:paraId="18B8A3E8" w14:textId="77777777" w:rsidTr="00BC0124">
        <w:trPr>
          <w:trHeight w:val="1417"/>
          <w:jc w:val="center"/>
        </w:trPr>
        <w:tc>
          <w:tcPr>
            <w:tcW w:w="1590" w:type="dxa"/>
            <w:shd w:val="clear" w:color="auto" w:fill="auto"/>
            <w:noWrap/>
            <w:vAlign w:val="center"/>
            <w:hideMark/>
          </w:tcPr>
          <w:p w14:paraId="0A14D9D4" w14:textId="77777777" w:rsidR="006B728F" w:rsidRPr="00E1706C" w:rsidRDefault="006B728F" w:rsidP="00BC0124">
            <w:pPr>
              <w:pStyle w:val="tablastexto"/>
            </w:pPr>
            <w:r w:rsidRPr="00E1706C">
              <w:t>Primera línea del metro</w:t>
            </w:r>
          </w:p>
        </w:tc>
        <w:tc>
          <w:tcPr>
            <w:tcW w:w="1671" w:type="dxa"/>
            <w:shd w:val="clear" w:color="auto" w:fill="auto"/>
            <w:noWrap/>
            <w:vAlign w:val="center"/>
            <w:hideMark/>
          </w:tcPr>
          <w:p w14:paraId="5CF54DB7"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49B34C0F"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7E79A879"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1C411FAC"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0968CAC0" w14:textId="77777777" w:rsidR="006B728F" w:rsidRPr="00E1706C" w:rsidRDefault="006B728F" w:rsidP="00BC0124">
            <w:pPr>
              <w:pStyle w:val="tablastexto"/>
            </w:pPr>
            <w:r w:rsidRPr="00E1706C">
              <w:t>Empresa Metro de Bogotá S. A</w:t>
            </w:r>
          </w:p>
        </w:tc>
        <w:tc>
          <w:tcPr>
            <w:tcW w:w="1336" w:type="dxa"/>
            <w:shd w:val="clear" w:color="auto" w:fill="auto"/>
            <w:noWrap/>
            <w:vAlign w:val="center"/>
            <w:hideMark/>
          </w:tcPr>
          <w:p w14:paraId="1436E33F" w14:textId="77777777" w:rsidR="006B728F" w:rsidRPr="00E1706C" w:rsidRDefault="006B728F" w:rsidP="00BC0124">
            <w:pPr>
              <w:pStyle w:val="tablastexto"/>
            </w:pPr>
            <w:r w:rsidRPr="00E1706C">
              <w:t>Factibilidad</w:t>
            </w:r>
          </w:p>
        </w:tc>
      </w:tr>
      <w:tr w:rsidR="006B728F" w:rsidRPr="00E1706C" w14:paraId="2BED2A2E" w14:textId="77777777" w:rsidTr="00BC0124">
        <w:trPr>
          <w:trHeight w:val="1417"/>
          <w:jc w:val="center"/>
        </w:trPr>
        <w:tc>
          <w:tcPr>
            <w:tcW w:w="1590" w:type="dxa"/>
            <w:shd w:val="clear" w:color="auto" w:fill="auto"/>
            <w:noWrap/>
            <w:vAlign w:val="center"/>
            <w:hideMark/>
          </w:tcPr>
          <w:p w14:paraId="7E74C1B6" w14:textId="77777777" w:rsidR="006B728F" w:rsidRPr="00E1706C" w:rsidRDefault="006B728F" w:rsidP="00BC0124">
            <w:pPr>
              <w:pStyle w:val="tablastexto"/>
            </w:pPr>
            <w:r w:rsidRPr="00E1706C">
              <w:t>Segunda línea del metro</w:t>
            </w:r>
          </w:p>
        </w:tc>
        <w:tc>
          <w:tcPr>
            <w:tcW w:w="1671" w:type="dxa"/>
            <w:shd w:val="clear" w:color="auto" w:fill="auto"/>
            <w:noWrap/>
            <w:vAlign w:val="center"/>
            <w:hideMark/>
          </w:tcPr>
          <w:p w14:paraId="6038596D"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6CCBA39B"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5B50588F"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34624B7A"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39F665E1" w14:textId="77777777" w:rsidR="006B728F" w:rsidRPr="00E1706C" w:rsidRDefault="006B728F" w:rsidP="00BC0124">
            <w:pPr>
              <w:pStyle w:val="tablastexto"/>
            </w:pPr>
            <w:r w:rsidRPr="00E1706C">
              <w:t>Empresa Metro de Bogotá S. A</w:t>
            </w:r>
          </w:p>
        </w:tc>
        <w:tc>
          <w:tcPr>
            <w:tcW w:w="1336" w:type="dxa"/>
            <w:shd w:val="clear" w:color="auto" w:fill="auto"/>
            <w:noWrap/>
            <w:vAlign w:val="center"/>
            <w:hideMark/>
          </w:tcPr>
          <w:p w14:paraId="3CAF4B6B" w14:textId="77777777" w:rsidR="006B728F" w:rsidRPr="00E1706C" w:rsidRDefault="006B728F" w:rsidP="00BC0124">
            <w:pPr>
              <w:pStyle w:val="tablastexto"/>
            </w:pPr>
            <w:r w:rsidRPr="00E1706C">
              <w:t>Obra (Contratación)</w:t>
            </w:r>
          </w:p>
        </w:tc>
      </w:tr>
      <w:tr w:rsidR="006B728F" w:rsidRPr="00E1706C" w14:paraId="142C60EF" w14:textId="77777777" w:rsidTr="00BC0124">
        <w:trPr>
          <w:trHeight w:val="1417"/>
          <w:jc w:val="center"/>
        </w:trPr>
        <w:tc>
          <w:tcPr>
            <w:tcW w:w="1590" w:type="dxa"/>
            <w:shd w:val="clear" w:color="auto" w:fill="auto"/>
            <w:noWrap/>
            <w:vAlign w:val="center"/>
            <w:hideMark/>
          </w:tcPr>
          <w:p w14:paraId="4477E62D" w14:textId="77777777" w:rsidR="006B728F" w:rsidRPr="00E1706C" w:rsidRDefault="006B728F" w:rsidP="00BC0124">
            <w:pPr>
              <w:pStyle w:val="tablastexto"/>
            </w:pPr>
            <w:r w:rsidRPr="00E1706C">
              <w:t>Tercera línea del metro</w:t>
            </w:r>
          </w:p>
        </w:tc>
        <w:tc>
          <w:tcPr>
            <w:tcW w:w="1671" w:type="dxa"/>
            <w:shd w:val="clear" w:color="auto" w:fill="auto"/>
            <w:noWrap/>
            <w:vAlign w:val="center"/>
            <w:hideMark/>
          </w:tcPr>
          <w:p w14:paraId="46C6206B"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39D67B11"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743C1EFA"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417D5AED"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0116048D" w14:textId="77777777" w:rsidR="006B728F" w:rsidRPr="00E1706C" w:rsidRDefault="006B728F" w:rsidP="00BC0124">
            <w:pPr>
              <w:pStyle w:val="tablastexto"/>
            </w:pPr>
            <w:r w:rsidRPr="00E1706C">
              <w:t>Empresa Metro de Bogotá S. A</w:t>
            </w:r>
          </w:p>
        </w:tc>
        <w:tc>
          <w:tcPr>
            <w:tcW w:w="1336" w:type="dxa"/>
            <w:shd w:val="clear" w:color="auto" w:fill="auto"/>
            <w:noWrap/>
            <w:vAlign w:val="center"/>
            <w:hideMark/>
          </w:tcPr>
          <w:p w14:paraId="44B94F84" w14:textId="77777777" w:rsidR="006B728F" w:rsidRPr="00E1706C" w:rsidRDefault="006B728F" w:rsidP="00BC0124">
            <w:pPr>
              <w:pStyle w:val="tablastexto"/>
            </w:pPr>
            <w:r w:rsidRPr="00E1706C">
              <w:t>Prefactibilidad</w:t>
            </w:r>
          </w:p>
        </w:tc>
      </w:tr>
      <w:tr w:rsidR="006B728F" w:rsidRPr="00E1706C" w14:paraId="62D2FBF1" w14:textId="77777777" w:rsidTr="00BC0124">
        <w:trPr>
          <w:trHeight w:val="1417"/>
          <w:jc w:val="center"/>
        </w:trPr>
        <w:tc>
          <w:tcPr>
            <w:tcW w:w="1590" w:type="dxa"/>
            <w:shd w:val="clear" w:color="auto" w:fill="auto"/>
            <w:noWrap/>
            <w:vAlign w:val="center"/>
            <w:hideMark/>
          </w:tcPr>
          <w:p w14:paraId="058F77EF" w14:textId="77777777" w:rsidR="006B728F" w:rsidRPr="00E1706C" w:rsidRDefault="006B728F" w:rsidP="00BC0124">
            <w:pPr>
              <w:pStyle w:val="tablastexto"/>
            </w:pPr>
            <w:r w:rsidRPr="00E1706C">
              <w:t>Corredor verde de alta capacidad (Avenida Centenario)</w:t>
            </w:r>
          </w:p>
        </w:tc>
        <w:tc>
          <w:tcPr>
            <w:tcW w:w="1671" w:type="dxa"/>
            <w:shd w:val="clear" w:color="auto" w:fill="auto"/>
            <w:noWrap/>
            <w:vAlign w:val="center"/>
            <w:hideMark/>
          </w:tcPr>
          <w:p w14:paraId="6BF8CDC2"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42FA85AF"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1FE76E4E"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0C7F771D"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11093FAC"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2ADC5C70" w14:textId="77777777" w:rsidR="006B728F" w:rsidRPr="00E1706C" w:rsidRDefault="006B728F" w:rsidP="00BC0124">
            <w:pPr>
              <w:pStyle w:val="tablastexto"/>
            </w:pPr>
            <w:r w:rsidRPr="00E1706C">
              <w:t>Obra (Ejecución)</w:t>
            </w:r>
          </w:p>
        </w:tc>
      </w:tr>
      <w:tr w:rsidR="006B728F" w:rsidRPr="00E1706C" w14:paraId="74F93176" w14:textId="77777777" w:rsidTr="00BC0124">
        <w:trPr>
          <w:trHeight w:val="1417"/>
          <w:jc w:val="center"/>
        </w:trPr>
        <w:tc>
          <w:tcPr>
            <w:tcW w:w="1590" w:type="dxa"/>
            <w:shd w:val="clear" w:color="auto" w:fill="auto"/>
            <w:noWrap/>
            <w:vAlign w:val="center"/>
            <w:hideMark/>
          </w:tcPr>
          <w:p w14:paraId="531842C9" w14:textId="77777777" w:rsidR="006B728F" w:rsidRPr="00E1706C" w:rsidRDefault="006B728F" w:rsidP="00BC0124">
            <w:pPr>
              <w:pStyle w:val="tablastexto"/>
            </w:pPr>
            <w:r w:rsidRPr="00E1706C">
              <w:lastRenderedPageBreak/>
              <w:t>Corredor verde de alta capacidad (Avenida Ciudad de Cali)</w:t>
            </w:r>
          </w:p>
        </w:tc>
        <w:tc>
          <w:tcPr>
            <w:tcW w:w="1671" w:type="dxa"/>
            <w:shd w:val="clear" w:color="auto" w:fill="auto"/>
            <w:noWrap/>
            <w:vAlign w:val="center"/>
            <w:hideMark/>
          </w:tcPr>
          <w:p w14:paraId="64C70AFC"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42FD49F3"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0A0AD868"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5D1CBB30"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3245FD20"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420C828D" w14:textId="77777777" w:rsidR="006B728F" w:rsidRPr="00E1706C" w:rsidRDefault="006B728F" w:rsidP="00BC0124">
            <w:pPr>
              <w:pStyle w:val="tablastexto"/>
            </w:pPr>
            <w:r w:rsidRPr="00E1706C">
              <w:t>Estudios y diseños</w:t>
            </w:r>
          </w:p>
        </w:tc>
      </w:tr>
      <w:tr w:rsidR="006B728F" w:rsidRPr="00E1706C" w14:paraId="0AD90D81" w14:textId="77777777" w:rsidTr="00BC0124">
        <w:trPr>
          <w:trHeight w:val="1417"/>
          <w:jc w:val="center"/>
        </w:trPr>
        <w:tc>
          <w:tcPr>
            <w:tcW w:w="1590" w:type="dxa"/>
            <w:shd w:val="clear" w:color="auto" w:fill="auto"/>
            <w:noWrap/>
            <w:vAlign w:val="center"/>
            <w:hideMark/>
          </w:tcPr>
          <w:p w14:paraId="16EB7EB2" w14:textId="77777777" w:rsidR="006B728F" w:rsidRPr="00E1706C" w:rsidRDefault="006B728F" w:rsidP="00BC0124">
            <w:pPr>
              <w:pStyle w:val="tablastexto"/>
            </w:pPr>
            <w:r w:rsidRPr="00E1706C">
              <w:t>Corredor verde de alta capacidad (Avenida las Américas)</w:t>
            </w:r>
          </w:p>
        </w:tc>
        <w:tc>
          <w:tcPr>
            <w:tcW w:w="1671" w:type="dxa"/>
            <w:shd w:val="clear" w:color="auto" w:fill="auto"/>
            <w:noWrap/>
            <w:vAlign w:val="center"/>
            <w:hideMark/>
          </w:tcPr>
          <w:p w14:paraId="63682BD5"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2E667AEC"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2C8682D5"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3F55E9B7"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5DF3DE21"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6F9D9138" w14:textId="77777777" w:rsidR="006B728F" w:rsidRPr="00E1706C" w:rsidRDefault="006B728F" w:rsidP="00BC0124">
            <w:pPr>
              <w:pStyle w:val="tablastexto"/>
            </w:pPr>
            <w:r w:rsidRPr="00E1706C">
              <w:t>Estudios y diseños</w:t>
            </w:r>
          </w:p>
        </w:tc>
      </w:tr>
      <w:tr w:rsidR="006B728F" w:rsidRPr="00E1706C" w14:paraId="1C802150" w14:textId="77777777" w:rsidTr="00BC0124">
        <w:trPr>
          <w:trHeight w:val="1417"/>
          <w:jc w:val="center"/>
        </w:trPr>
        <w:tc>
          <w:tcPr>
            <w:tcW w:w="1590" w:type="dxa"/>
            <w:shd w:val="clear" w:color="auto" w:fill="auto"/>
            <w:noWrap/>
            <w:vAlign w:val="center"/>
            <w:hideMark/>
          </w:tcPr>
          <w:p w14:paraId="43E7C097" w14:textId="77777777" w:rsidR="006B728F" w:rsidRPr="00E1706C" w:rsidRDefault="006B728F" w:rsidP="00BC0124">
            <w:pPr>
              <w:pStyle w:val="tablastexto"/>
            </w:pPr>
            <w:r w:rsidRPr="00E1706C">
              <w:t>Corredor verde de alta capacidad (Avenida Medellín)</w:t>
            </w:r>
          </w:p>
        </w:tc>
        <w:tc>
          <w:tcPr>
            <w:tcW w:w="1671" w:type="dxa"/>
            <w:shd w:val="clear" w:color="auto" w:fill="auto"/>
            <w:noWrap/>
            <w:vAlign w:val="center"/>
            <w:hideMark/>
          </w:tcPr>
          <w:p w14:paraId="2CD43992"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64B17246"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0679D847"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0B6ABE0A"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1909397C"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11EF1833" w14:textId="77777777" w:rsidR="006B728F" w:rsidRPr="00E1706C" w:rsidRDefault="006B728F" w:rsidP="00BC0124">
            <w:pPr>
              <w:pStyle w:val="tablastexto"/>
            </w:pPr>
            <w:r w:rsidRPr="00E1706C">
              <w:t>Prefactibilidad</w:t>
            </w:r>
          </w:p>
        </w:tc>
      </w:tr>
      <w:tr w:rsidR="006B728F" w:rsidRPr="00E1706C" w14:paraId="0188723F" w14:textId="77777777" w:rsidTr="00BC0124">
        <w:trPr>
          <w:trHeight w:val="1417"/>
          <w:jc w:val="center"/>
        </w:trPr>
        <w:tc>
          <w:tcPr>
            <w:tcW w:w="1590" w:type="dxa"/>
            <w:shd w:val="clear" w:color="auto" w:fill="auto"/>
            <w:noWrap/>
            <w:vAlign w:val="center"/>
            <w:hideMark/>
          </w:tcPr>
          <w:p w14:paraId="7A8ACA28" w14:textId="77777777" w:rsidR="006B728F" w:rsidRPr="00E1706C" w:rsidRDefault="006B728F" w:rsidP="00BC0124">
            <w:pPr>
              <w:pStyle w:val="tablastexto"/>
            </w:pPr>
            <w:r w:rsidRPr="00E1706C">
              <w:t>Corredor verde de alta capacidad (Avenida Villavicencio)</w:t>
            </w:r>
          </w:p>
        </w:tc>
        <w:tc>
          <w:tcPr>
            <w:tcW w:w="1671" w:type="dxa"/>
            <w:shd w:val="clear" w:color="auto" w:fill="auto"/>
            <w:noWrap/>
            <w:vAlign w:val="center"/>
            <w:hideMark/>
          </w:tcPr>
          <w:p w14:paraId="397A6767"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27DDB276"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7F141CC0"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419FE152"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2D93CC19"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1A09B599" w14:textId="77777777" w:rsidR="006B728F" w:rsidRPr="00E1706C" w:rsidRDefault="006B728F" w:rsidP="00BC0124">
            <w:pPr>
              <w:pStyle w:val="tablastexto"/>
            </w:pPr>
            <w:r w:rsidRPr="00E1706C">
              <w:t>Estudios y diseños</w:t>
            </w:r>
          </w:p>
        </w:tc>
      </w:tr>
      <w:tr w:rsidR="006B728F" w:rsidRPr="00E1706C" w14:paraId="3343F8E0" w14:textId="77777777" w:rsidTr="00BC0124">
        <w:trPr>
          <w:trHeight w:val="1417"/>
          <w:jc w:val="center"/>
        </w:trPr>
        <w:tc>
          <w:tcPr>
            <w:tcW w:w="1590" w:type="dxa"/>
            <w:shd w:val="clear" w:color="auto" w:fill="auto"/>
            <w:noWrap/>
            <w:vAlign w:val="center"/>
            <w:hideMark/>
          </w:tcPr>
          <w:p w14:paraId="6A938F2F" w14:textId="77777777" w:rsidR="006B728F" w:rsidRPr="00E1706C" w:rsidRDefault="006B728F" w:rsidP="00BC0124">
            <w:pPr>
              <w:pStyle w:val="tablastexto"/>
            </w:pPr>
            <w:r w:rsidRPr="00E1706C">
              <w:t>Corredor verde de alta capacidad (Avenida Ciudad de Cali hasta Metro II)</w:t>
            </w:r>
          </w:p>
        </w:tc>
        <w:tc>
          <w:tcPr>
            <w:tcW w:w="1671" w:type="dxa"/>
            <w:shd w:val="clear" w:color="auto" w:fill="auto"/>
            <w:noWrap/>
            <w:vAlign w:val="center"/>
            <w:hideMark/>
          </w:tcPr>
          <w:p w14:paraId="39E8F609"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39339528"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0AEDE9DD"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64317DF4"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59B9DC18"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4A3D787C" w14:textId="77777777" w:rsidR="006B728F" w:rsidRPr="00E1706C" w:rsidRDefault="006B728F" w:rsidP="00BC0124">
            <w:pPr>
              <w:pStyle w:val="tablastexto"/>
            </w:pPr>
            <w:r w:rsidRPr="00E1706C">
              <w:t>Estudios y diseños</w:t>
            </w:r>
          </w:p>
        </w:tc>
      </w:tr>
      <w:tr w:rsidR="006B728F" w:rsidRPr="00E1706C" w14:paraId="27B1C4FF" w14:textId="77777777" w:rsidTr="00BC0124">
        <w:trPr>
          <w:trHeight w:val="1417"/>
          <w:jc w:val="center"/>
        </w:trPr>
        <w:tc>
          <w:tcPr>
            <w:tcW w:w="1590" w:type="dxa"/>
            <w:shd w:val="clear" w:color="auto" w:fill="auto"/>
            <w:noWrap/>
            <w:vAlign w:val="center"/>
            <w:hideMark/>
          </w:tcPr>
          <w:p w14:paraId="51AF7C52" w14:textId="77777777" w:rsidR="006B728F" w:rsidRPr="00E1706C" w:rsidRDefault="006B728F" w:rsidP="00BC0124">
            <w:pPr>
              <w:pStyle w:val="tablastexto"/>
            </w:pPr>
            <w:r w:rsidRPr="00E1706C">
              <w:t>Cable Aéreo (San Cristóbal - Altamira)</w:t>
            </w:r>
          </w:p>
        </w:tc>
        <w:tc>
          <w:tcPr>
            <w:tcW w:w="1671" w:type="dxa"/>
            <w:shd w:val="clear" w:color="auto" w:fill="auto"/>
            <w:noWrap/>
            <w:vAlign w:val="center"/>
            <w:hideMark/>
          </w:tcPr>
          <w:p w14:paraId="5441328D"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643D201D" w14:textId="77777777" w:rsidR="006B728F" w:rsidRPr="00E1706C" w:rsidRDefault="006B728F" w:rsidP="00BC0124">
            <w:pPr>
              <w:pStyle w:val="tablastexto"/>
            </w:pPr>
            <w:r w:rsidRPr="00E1706C">
              <w:t>2. Subprograma red corredores de cable aéreo</w:t>
            </w:r>
          </w:p>
        </w:tc>
        <w:tc>
          <w:tcPr>
            <w:tcW w:w="1214" w:type="dxa"/>
            <w:shd w:val="clear" w:color="auto" w:fill="auto"/>
            <w:noWrap/>
            <w:vAlign w:val="center"/>
            <w:hideMark/>
          </w:tcPr>
          <w:p w14:paraId="1805F106"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36FC29A7"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02D6C789"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04B17A69" w14:textId="77777777" w:rsidR="006B728F" w:rsidRPr="00E1706C" w:rsidRDefault="006B728F" w:rsidP="00BC0124">
            <w:pPr>
              <w:pStyle w:val="tablastexto"/>
            </w:pPr>
            <w:r w:rsidRPr="00E1706C">
              <w:t>Obra (Ejecución)</w:t>
            </w:r>
          </w:p>
        </w:tc>
      </w:tr>
      <w:tr w:rsidR="006B728F" w:rsidRPr="00E1706C" w14:paraId="6F68F6AA" w14:textId="77777777" w:rsidTr="00BC0124">
        <w:trPr>
          <w:trHeight w:val="1417"/>
          <w:jc w:val="center"/>
        </w:trPr>
        <w:tc>
          <w:tcPr>
            <w:tcW w:w="1590" w:type="dxa"/>
            <w:shd w:val="clear" w:color="auto" w:fill="auto"/>
            <w:noWrap/>
            <w:vAlign w:val="center"/>
            <w:hideMark/>
          </w:tcPr>
          <w:p w14:paraId="69DF339B" w14:textId="77777777" w:rsidR="006B728F" w:rsidRPr="00E1706C" w:rsidRDefault="006B728F" w:rsidP="00BC0124">
            <w:pPr>
              <w:pStyle w:val="tablastexto"/>
            </w:pPr>
            <w:r w:rsidRPr="00E1706C">
              <w:t>Cable Aéreo (Usaquén - Calle 134- San Rafael - La Calera)</w:t>
            </w:r>
          </w:p>
        </w:tc>
        <w:tc>
          <w:tcPr>
            <w:tcW w:w="1671" w:type="dxa"/>
            <w:shd w:val="clear" w:color="auto" w:fill="auto"/>
            <w:noWrap/>
            <w:vAlign w:val="center"/>
            <w:hideMark/>
          </w:tcPr>
          <w:p w14:paraId="32CBAF1E"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4B09DFF9" w14:textId="77777777" w:rsidR="006B728F" w:rsidRPr="00E1706C" w:rsidRDefault="006B728F" w:rsidP="00BC0124">
            <w:pPr>
              <w:pStyle w:val="tablastexto"/>
            </w:pPr>
            <w:r w:rsidRPr="00E1706C">
              <w:t>2. Subprograma red corredores de cable aéreo</w:t>
            </w:r>
          </w:p>
        </w:tc>
        <w:tc>
          <w:tcPr>
            <w:tcW w:w="1214" w:type="dxa"/>
            <w:shd w:val="clear" w:color="auto" w:fill="auto"/>
            <w:noWrap/>
            <w:vAlign w:val="center"/>
            <w:hideMark/>
          </w:tcPr>
          <w:p w14:paraId="54E237A3"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057D3C70"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30844E75"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5EC2BA11" w14:textId="77777777" w:rsidR="006B728F" w:rsidRPr="00E1706C" w:rsidRDefault="006B728F" w:rsidP="00BC0124">
            <w:pPr>
              <w:pStyle w:val="tablastexto"/>
            </w:pPr>
            <w:r w:rsidRPr="00E1706C">
              <w:t>Prefactibilidad</w:t>
            </w:r>
          </w:p>
        </w:tc>
      </w:tr>
      <w:tr w:rsidR="006B728F" w:rsidRPr="00E1706C" w14:paraId="0F2DF695" w14:textId="77777777" w:rsidTr="00BC0124">
        <w:trPr>
          <w:trHeight w:val="1417"/>
          <w:jc w:val="center"/>
        </w:trPr>
        <w:tc>
          <w:tcPr>
            <w:tcW w:w="1590" w:type="dxa"/>
            <w:shd w:val="clear" w:color="auto" w:fill="auto"/>
            <w:noWrap/>
            <w:vAlign w:val="center"/>
            <w:hideMark/>
          </w:tcPr>
          <w:p w14:paraId="28CBC574" w14:textId="77777777" w:rsidR="006B728F" w:rsidRPr="00E1706C" w:rsidRDefault="006B728F" w:rsidP="00BC0124">
            <w:pPr>
              <w:pStyle w:val="tablastexto"/>
            </w:pPr>
            <w:r w:rsidRPr="00E1706C">
              <w:lastRenderedPageBreak/>
              <w:t>Regiotram (Corredor férreo de Occidente)</w:t>
            </w:r>
          </w:p>
        </w:tc>
        <w:tc>
          <w:tcPr>
            <w:tcW w:w="1671" w:type="dxa"/>
            <w:shd w:val="clear" w:color="auto" w:fill="auto"/>
            <w:noWrap/>
            <w:vAlign w:val="center"/>
            <w:hideMark/>
          </w:tcPr>
          <w:p w14:paraId="2C62C9FC"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64EB9007"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3C014152"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1733CC65"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3934FDDB" w14:textId="77777777" w:rsidR="006B728F" w:rsidRPr="00E1706C" w:rsidRDefault="006B728F" w:rsidP="00BC0124">
            <w:pPr>
              <w:pStyle w:val="tablastexto"/>
            </w:pPr>
            <w:r w:rsidRPr="00E1706C">
              <w:t>Empresa Metro de Bogotá S. A</w:t>
            </w:r>
          </w:p>
        </w:tc>
        <w:tc>
          <w:tcPr>
            <w:tcW w:w="1336" w:type="dxa"/>
            <w:shd w:val="clear" w:color="auto" w:fill="auto"/>
            <w:noWrap/>
            <w:vAlign w:val="center"/>
            <w:hideMark/>
          </w:tcPr>
          <w:p w14:paraId="40FB991E" w14:textId="77777777" w:rsidR="006B728F" w:rsidRPr="00E1706C" w:rsidRDefault="006B728F" w:rsidP="00BC0124">
            <w:pPr>
              <w:pStyle w:val="tablastexto"/>
            </w:pPr>
            <w:r w:rsidRPr="00E1706C">
              <w:t>Sin iniciar</w:t>
            </w:r>
          </w:p>
        </w:tc>
      </w:tr>
      <w:tr w:rsidR="006B728F" w:rsidRPr="00E1706C" w14:paraId="4771EF56" w14:textId="77777777" w:rsidTr="00BC0124">
        <w:trPr>
          <w:trHeight w:val="1417"/>
          <w:jc w:val="center"/>
        </w:trPr>
        <w:tc>
          <w:tcPr>
            <w:tcW w:w="1590" w:type="dxa"/>
            <w:shd w:val="clear" w:color="auto" w:fill="auto"/>
            <w:noWrap/>
            <w:vAlign w:val="center"/>
            <w:hideMark/>
          </w:tcPr>
          <w:p w14:paraId="71596E12" w14:textId="77777777" w:rsidR="006B728F" w:rsidRPr="00E1706C" w:rsidRDefault="006B728F" w:rsidP="00BC0124">
            <w:pPr>
              <w:pStyle w:val="tablastexto"/>
            </w:pPr>
            <w:r w:rsidRPr="00E1706C">
              <w:t>Corredor verde de alta capacidad (Avenida San José)</w:t>
            </w:r>
          </w:p>
        </w:tc>
        <w:tc>
          <w:tcPr>
            <w:tcW w:w="1671" w:type="dxa"/>
            <w:shd w:val="clear" w:color="auto" w:fill="auto"/>
            <w:noWrap/>
            <w:vAlign w:val="center"/>
            <w:hideMark/>
          </w:tcPr>
          <w:p w14:paraId="0EE08E5F"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57C2804B"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5BC09669"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065719D5"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5686B221"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086C8D35" w14:textId="77777777" w:rsidR="006B728F" w:rsidRPr="00E1706C" w:rsidRDefault="006B728F" w:rsidP="00BC0124">
            <w:pPr>
              <w:pStyle w:val="tablastexto"/>
            </w:pPr>
            <w:r w:rsidRPr="00E1706C">
              <w:t>Factibilidad</w:t>
            </w:r>
          </w:p>
        </w:tc>
      </w:tr>
      <w:tr w:rsidR="006B728F" w:rsidRPr="00E1706C" w14:paraId="764D5B68" w14:textId="77777777" w:rsidTr="00BC0124">
        <w:trPr>
          <w:trHeight w:val="1417"/>
          <w:jc w:val="center"/>
        </w:trPr>
        <w:tc>
          <w:tcPr>
            <w:tcW w:w="1590" w:type="dxa"/>
            <w:shd w:val="clear" w:color="auto" w:fill="auto"/>
            <w:noWrap/>
            <w:vAlign w:val="center"/>
            <w:hideMark/>
          </w:tcPr>
          <w:p w14:paraId="78F7A236" w14:textId="77777777" w:rsidR="006B728F" w:rsidRPr="00E1706C" w:rsidRDefault="006B728F" w:rsidP="00BC0124">
            <w:pPr>
              <w:pStyle w:val="tablastexto"/>
            </w:pPr>
            <w:r w:rsidRPr="00E1706C">
              <w:t>Corredor verde de media capacidad (Avenida José Celestino Mutis)</w:t>
            </w:r>
          </w:p>
        </w:tc>
        <w:tc>
          <w:tcPr>
            <w:tcW w:w="1671" w:type="dxa"/>
            <w:shd w:val="clear" w:color="auto" w:fill="auto"/>
            <w:noWrap/>
            <w:vAlign w:val="center"/>
            <w:hideMark/>
          </w:tcPr>
          <w:p w14:paraId="4F16E801"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3CCF47E7"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77064514"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4694FA24"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5C4D03E1"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119AAF8C" w14:textId="77777777" w:rsidR="006B728F" w:rsidRPr="00E1706C" w:rsidRDefault="006B728F" w:rsidP="00BC0124">
            <w:pPr>
              <w:pStyle w:val="tablastexto"/>
            </w:pPr>
            <w:r w:rsidRPr="00E1706C">
              <w:t>Obra (Ejecución)</w:t>
            </w:r>
          </w:p>
        </w:tc>
      </w:tr>
      <w:tr w:rsidR="006B728F" w:rsidRPr="00E1706C" w14:paraId="39194D77" w14:textId="77777777" w:rsidTr="00BC0124">
        <w:trPr>
          <w:trHeight w:val="1417"/>
          <w:jc w:val="center"/>
        </w:trPr>
        <w:tc>
          <w:tcPr>
            <w:tcW w:w="1590" w:type="dxa"/>
            <w:shd w:val="clear" w:color="auto" w:fill="auto"/>
            <w:noWrap/>
            <w:vAlign w:val="center"/>
            <w:hideMark/>
          </w:tcPr>
          <w:p w14:paraId="10B8A4E9" w14:textId="77777777" w:rsidR="006B728F" w:rsidRPr="00E1706C" w:rsidRDefault="006B728F" w:rsidP="00BC0124">
            <w:pPr>
              <w:pStyle w:val="tablastexto"/>
            </w:pPr>
            <w:r w:rsidRPr="00E1706C">
              <w:t>Corredor verde de media capacidad (Avenida La Sirena)</w:t>
            </w:r>
          </w:p>
        </w:tc>
        <w:tc>
          <w:tcPr>
            <w:tcW w:w="1671" w:type="dxa"/>
            <w:shd w:val="clear" w:color="auto" w:fill="auto"/>
            <w:noWrap/>
            <w:vAlign w:val="center"/>
            <w:hideMark/>
          </w:tcPr>
          <w:p w14:paraId="169B4980"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5E5F7895" w14:textId="77777777" w:rsidR="006B728F" w:rsidRPr="00E1706C" w:rsidRDefault="006B728F" w:rsidP="00BC0124">
            <w:pPr>
              <w:pStyle w:val="tablastexto"/>
            </w:pPr>
            <w:r w:rsidRPr="00E1706C">
              <w:t>1. Subprograma red férrea y de corredores de alta y media capacidad</w:t>
            </w:r>
          </w:p>
        </w:tc>
        <w:tc>
          <w:tcPr>
            <w:tcW w:w="1214" w:type="dxa"/>
            <w:shd w:val="clear" w:color="auto" w:fill="auto"/>
            <w:noWrap/>
            <w:vAlign w:val="center"/>
            <w:hideMark/>
          </w:tcPr>
          <w:p w14:paraId="0FA1D81B"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4EEC2D78"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55992E22"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708BAA83" w14:textId="77777777" w:rsidR="006B728F" w:rsidRPr="00E1706C" w:rsidRDefault="006B728F" w:rsidP="00BC0124">
            <w:pPr>
              <w:pStyle w:val="tablastexto"/>
            </w:pPr>
            <w:r w:rsidRPr="00E1706C">
              <w:t>Obra (Ejecución)</w:t>
            </w:r>
          </w:p>
        </w:tc>
      </w:tr>
      <w:tr w:rsidR="006B728F" w:rsidRPr="00E1706C" w14:paraId="7F58B393" w14:textId="77777777" w:rsidTr="00BC0124">
        <w:trPr>
          <w:trHeight w:val="1417"/>
          <w:jc w:val="center"/>
        </w:trPr>
        <w:tc>
          <w:tcPr>
            <w:tcW w:w="1590" w:type="dxa"/>
            <w:shd w:val="clear" w:color="auto" w:fill="auto"/>
            <w:noWrap/>
            <w:vAlign w:val="center"/>
            <w:hideMark/>
          </w:tcPr>
          <w:p w14:paraId="1ABD9B09" w14:textId="77777777" w:rsidR="006B728F" w:rsidRPr="00E1706C" w:rsidRDefault="006B728F" w:rsidP="00BC0124">
            <w:pPr>
              <w:pStyle w:val="tablastexto"/>
            </w:pPr>
            <w:r w:rsidRPr="00E1706C">
              <w:t>Corredor verde para la micromovilidad-cicloalameda - ALO</w:t>
            </w:r>
          </w:p>
        </w:tc>
        <w:tc>
          <w:tcPr>
            <w:tcW w:w="1671" w:type="dxa"/>
            <w:shd w:val="clear" w:color="auto" w:fill="auto"/>
            <w:noWrap/>
            <w:vAlign w:val="center"/>
            <w:hideMark/>
          </w:tcPr>
          <w:p w14:paraId="76F162B6"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2564D409" w14:textId="77777777" w:rsidR="006B728F" w:rsidRPr="00E1706C" w:rsidRDefault="006B728F" w:rsidP="00BC0124">
            <w:pPr>
              <w:pStyle w:val="tablastexto"/>
            </w:pPr>
            <w:r w:rsidRPr="00E1706C">
              <w:t>4. Subprograma de impulso a la cicloinfraestructura como alternativa de transporte urbano y rural</w:t>
            </w:r>
          </w:p>
        </w:tc>
        <w:tc>
          <w:tcPr>
            <w:tcW w:w="1214" w:type="dxa"/>
            <w:shd w:val="clear" w:color="auto" w:fill="auto"/>
            <w:noWrap/>
            <w:vAlign w:val="center"/>
            <w:hideMark/>
          </w:tcPr>
          <w:p w14:paraId="282710BF"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7DBA410E"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6D5EB5D6"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6572C767" w14:textId="77777777" w:rsidR="006B728F" w:rsidRPr="00E1706C" w:rsidRDefault="006B728F" w:rsidP="00BC0124">
            <w:pPr>
              <w:pStyle w:val="tablastexto"/>
            </w:pPr>
            <w:r w:rsidRPr="00E1706C">
              <w:t>Sin iniciar</w:t>
            </w:r>
          </w:p>
        </w:tc>
      </w:tr>
      <w:tr w:rsidR="006B728F" w:rsidRPr="00E1706C" w14:paraId="1278E96D" w14:textId="77777777" w:rsidTr="00BC0124">
        <w:trPr>
          <w:trHeight w:val="1417"/>
          <w:jc w:val="center"/>
        </w:trPr>
        <w:tc>
          <w:tcPr>
            <w:tcW w:w="1590" w:type="dxa"/>
            <w:shd w:val="clear" w:color="auto" w:fill="auto"/>
            <w:noWrap/>
            <w:vAlign w:val="center"/>
            <w:hideMark/>
          </w:tcPr>
          <w:p w14:paraId="08EE0398" w14:textId="77777777" w:rsidR="006B728F" w:rsidRPr="00E1706C" w:rsidRDefault="006B728F" w:rsidP="00BC0124">
            <w:pPr>
              <w:pStyle w:val="tablastexto"/>
            </w:pPr>
            <w:r w:rsidRPr="00E1706C">
              <w:t>Corredor verde para la micromovilidad-cicloalameda - Avenida Pedro León Trabuchi</w:t>
            </w:r>
          </w:p>
        </w:tc>
        <w:tc>
          <w:tcPr>
            <w:tcW w:w="1671" w:type="dxa"/>
            <w:shd w:val="clear" w:color="auto" w:fill="auto"/>
            <w:noWrap/>
            <w:vAlign w:val="center"/>
            <w:hideMark/>
          </w:tcPr>
          <w:p w14:paraId="2E0C94FE" w14:textId="77777777" w:rsidR="006B728F" w:rsidRPr="00E1706C" w:rsidRDefault="006B728F" w:rsidP="00BC0124">
            <w:pPr>
              <w:pStyle w:val="tablastexto"/>
            </w:pPr>
            <w:r w:rsidRPr="00E1706C">
              <w:t>2. Programa descarbonizar la movilidad e infraestructura sostenible</w:t>
            </w:r>
          </w:p>
        </w:tc>
        <w:tc>
          <w:tcPr>
            <w:tcW w:w="1559" w:type="dxa"/>
            <w:shd w:val="clear" w:color="auto" w:fill="auto"/>
            <w:noWrap/>
            <w:vAlign w:val="center"/>
            <w:hideMark/>
          </w:tcPr>
          <w:p w14:paraId="33BCA5A6" w14:textId="77777777" w:rsidR="006B728F" w:rsidRPr="00E1706C" w:rsidRDefault="006B728F" w:rsidP="00BC0124">
            <w:pPr>
              <w:pStyle w:val="tablastexto"/>
            </w:pPr>
            <w:r w:rsidRPr="00E1706C">
              <w:t>4. Subprograma de impulso a la cicloinfraestructura como alternativa de transporte urbano y rural</w:t>
            </w:r>
          </w:p>
        </w:tc>
        <w:tc>
          <w:tcPr>
            <w:tcW w:w="1214" w:type="dxa"/>
            <w:shd w:val="clear" w:color="auto" w:fill="auto"/>
            <w:noWrap/>
            <w:vAlign w:val="center"/>
            <w:hideMark/>
          </w:tcPr>
          <w:p w14:paraId="672B8ED2" w14:textId="77777777" w:rsidR="006B728F" w:rsidRPr="00E1706C" w:rsidRDefault="006B728F" w:rsidP="00BC0124">
            <w:pPr>
              <w:pStyle w:val="tablastexto"/>
            </w:pPr>
            <w:r w:rsidRPr="00E1706C">
              <w:t>4.Bogotá ordena su territorio y avanza en su acción climática</w:t>
            </w:r>
          </w:p>
        </w:tc>
        <w:tc>
          <w:tcPr>
            <w:tcW w:w="1422" w:type="dxa"/>
            <w:shd w:val="clear" w:color="auto" w:fill="auto"/>
            <w:noWrap/>
            <w:vAlign w:val="center"/>
            <w:hideMark/>
          </w:tcPr>
          <w:p w14:paraId="0D12ED00" w14:textId="77777777" w:rsidR="006B728F" w:rsidRPr="00E1706C" w:rsidRDefault="006B728F" w:rsidP="00BC0124">
            <w:pPr>
              <w:pStyle w:val="tablastexto"/>
            </w:pPr>
            <w:r w:rsidRPr="00E1706C">
              <w:t>4.26. Movilidad Sostenible</w:t>
            </w:r>
          </w:p>
        </w:tc>
        <w:tc>
          <w:tcPr>
            <w:tcW w:w="1289" w:type="dxa"/>
            <w:shd w:val="clear" w:color="auto" w:fill="auto"/>
            <w:noWrap/>
            <w:vAlign w:val="center"/>
            <w:hideMark/>
          </w:tcPr>
          <w:p w14:paraId="2A1AE341" w14:textId="77777777" w:rsidR="006B728F" w:rsidRPr="00E1706C" w:rsidRDefault="006B728F" w:rsidP="00BC0124">
            <w:pPr>
              <w:pStyle w:val="tablastexto"/>
            </w:pPr>
            <w:r w:rsidRPr="00E1706C">
              <w:t>Instituto de Desarrollo Urbano – IDU</w:t>
            </w:r>
          </w:p>
        </w:tc>
        <w:tc>
          <w:tcPr>
            <w:tcW w:w="1336" w:type="dxa"/>
            <w:shd w:val="clear" w:color="auto" w:fill="auto"/>
            <w:noWrap/>
            <w:vAlign w:val="center"/>
            <w:hideMark/>
          </w:tcPr>
          <w:p w14:paraId="648D0EAD" w14:textId="77777777" w:rsidR="006B728F" w:rsidRPr="00E1706C" w:rsidRDefault="006B728F" w:rsidP="00BC0124">
            <w:pPr>
              <w:pStyle w:val="tablastexto"/>
            </w:pPr>
            <w:r w:rsidRPr="00E1706C">
              <w:t>Estudios y diseños</w:t>
            </w:r>
          </w:p>
        </w:tc>
      </w:tr>
    </w:tbl>
    <w:p w14:paraId="439FC7A0" w14:textId="77777777" w:rsidR="006B728F" w:rsidRDefault="006B728F" w:rsidP="00C91C74">
      <w:pPr>
        <w:rPr>
          <w:b/>
          <w:bCs/>
        </w:rPr>
      </w:pPr>
    </w:p>
    <w:p w14:paraId="6E36EF49" w14:textId="77777777" w:rsidR="00D10FD4" w:rsidRDefault="00D10FD4" w:rsidP="00C91C74">
      <w:pPr>
        <w:rPr>
          <w:rStyle w:val="Textoennegrita"/>
        </w:rPr>
      </w:pPr>
    </w:p>
    <w:p w14:paraId="6460B7F5" w14:textId="77777777" w:rsidR="00D10FD4" w:rsidRDefault="00D10FD4" w:rsidP="00C91C74">
      <w:pPr>
        <w:rPr>
          <w:rStyle w:val="Textoennegrita"/>
        </w:rPr>
      </w:pPr>
    </w:p>
    <w:p w14:paraId="1870C572" w14:textId="77777777" w:rsidR="00D10FD4" w:rsidRDefault="00D10FD4" w:rsidP="00C91C74">
      <w:pPr>
        <w:rPr>
          <w:rStyle w:val="Textoennegrita"/>
        </w:rPr>
      </w:pPr>
    </w:p>
    <w:p w14:paraId="4D4A95E6" w14:textId="77777777" w:rsidR="00D10FD4" w:rsidRDefault="00D10FD4" w:rsidP="00C91C74">
      <w:pPr>
        <w:rPr>
          <w:rStyle w:val="Textoennegrita"/>
        </w:rPr>
      </w:pPr>
    </w:p>
    <w:p w14:paraId="26D665A3" w14:textId="77777777" w:rsidR="000274A7" w:rsidRDefault="000274A7">
      <w:pPr>
        <w:spacing w:line="240" w:lineRule="auto"/>
        <w:jc w:val="left"/>
        <w:rPr>
          <w:rStyle w:val="Textoennegrita"/>
        </w:rPr>
      </w:pPr>
      <w:r>
        <w:rPr>
          <w:rStyle w:val="Textoennegrita"/>
        </w:rPr>
        <w:br w:type="page"/>
      </w:r>
    </w:p>
    <w:p w14:paraId="63BA1479" w14:textId="0A05E985" w:rsidR="006B728F" w:rsidRDefault="006B728F" w:rsidP="000274A7">
      <w:pPr>
        <w:jc w:val="center"/>
        <w:rPr>
          <w:b/>
          <w:bCs/>
          <w:color w:val="000000"/>
        </w:rPr>
      </w:pPr>
      <w:r w:rsidRPr="00A557B3">
        <w:rPr>
          <w:rStyle w:val="Textoennegrita"/>
        </w:rPr>
        <w:lastRenderedPageBreak/>
        <w:t>Objetivo 4</w:t>
      </w:r>
      <w:r w:rsidR="000274A7">
        <w:rPr>
          <w:rStyle w:val="Textoennegrita"/>
        </w:rPr>
        <w:t>.</w:t>
      </w:r>
      <w:r w:rsidRPr="00E1706C">
        <w:rPr>
          <w:b/>
          <w:bCs/>
          <w:color w:val="000000"/>
        </w:rPr>
        <w:t xml:space="preserve"> </w:t>
      </w:r>
      <w:r w:rsidRPr="000274A7">
        <w:rPr>
          <w:b/>
          <w:bCs/>
        </w:rPr>
        <w:t>Revitalizar la ciudad a través de intervenciones y proyectos de calidad</w:t>
      </w:r>
    </w:p>
    <w:p w14:paraId="74B04D81" w14:textId="77777777" w:rsidR="006B728F" w:rsidRPr="000A5872" w:rsidRDefault="006B728F" w:rsidP="00C91C74">
      <w:pPr>
        <w:rPr>
          <w:b/>
          <w:bCs/>
        </w:rPr>
      </w:pPr>
    </w:p>
    <w:tbl>
      <w:tblPr>
        <w:tblW w:w="10421" w:type="dxa"/>
        <w:jc w:val="center"/>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696"/>
        <w:gridCol w:w="1476"/>
        <w:gridCol w:w="2073"/>
        <w:gridCol w:w="1134"/>
        <w:gridCol w:w="1419"/>
        <w:gridCol w:w="1273"/>
        <w:gridCol w:w="1350"/>
      </w:tblGrid>
      <w:tr w:rsidR="006B728F" w:rsidRPr="00872DE7" w14:paraId="2AACDCD0" w14:textId="77777777" w:rsidTr="000274A7">
        <w:trPr>
          <w:trHeight w:val="1191"/>
          <w:tblHeader/>
          <w:jc w:val="center"/>
        </w:trPr>
        <w:tc>
          <w:tcPr>
            <w:tcW w:w="1696" w:type="dxa"/>
            <w:shd w:val="clear" w:color="auto" w:fill="C00000"/>
            <w:vAlign w:val="center"/>
            <w:hideMark/>
          </w:tcPr>
          <w:p w14:paraId="2A9A4F1E" w14:textId="77777777" w:rsidR="006B728F" w:rsidRPr="00872DE7" w:rsidRDefault="006B728F" w:rsidP="00A557B3">
            <w:pPr>
              <w:jc w:val="center"/>
              <w:rPr>
                <w:color w:val="FFFFFF" w:themeColor="background1"/>
              </w:rPr>
            </w:pPr>
            <w:r w:rsidRPr="00872DE7">
              <w:rPr>
                <w:color w:val="FFFFFF" w:themeColor="background1"/>
              </w:rPr>
              <w:t>Nombre del proyecto POT</w:t>
            </w:r>
          </w:p>
        </w:tc>
        <w:tc>
          <w:tcPr>
            <w:tcW w:w="1476" w:type="dxa"/>
            <w:shd w:val="clear" w:color="auto" w:fill="C00000"/>
            <w:vAlign w:val="center"/>
            <w:hideMark/>
          </w:tcPr>
          <w:p w14:paraId="7CD9F21C" w14:textId="77777777" w:rsidR="006B728F" w:rsidRPr="00872DE7" w:rsidRDefault="006B728F" w:rsidP="00A557B3">
            <w:pPr>
              <w:jc w:val="center"/>
              <w:rPr>
                <w:color w:val="FFFFFF" w:themeColor="background1"/>
              </w:rPr>
            </w:pPr>
            <w:r w:rsidRPr="00872DE7">
              <w:rPr>
                <w:color w:val="FFFFFF" w:themeColor="background1"/>
              </w:rPr>
              <w:t>Programa POT</w:t>
            </w:r>
          </w:p>
        </w:tc>
        <w:tc>
          <w:tcPr>
            <w:tcW w:w="2073" w:type="dxa"/>
            <w:shd w:val="clear" w:color="auto" w:fill="C00000"/>
            <w:vAlign w:val="center"/>
            <w:hideMark/>
          </w:tcPr>
          <w:p w14:paraId="502A0F90" w14:textId="77777777" w:rsidR="006B728F" w:rsidRPr="00872DE7" w:rsidRDefault="006B728F" w:rsidP="00A557B3">
            <w:pPr>
              <w:jc w:val="center"/>
              <w:rPr>
                <w:color w:val="FFFFFF" w:themeColor="background1"/>
              </w:rPr>
            </w:pPr>
            <w:r w:rsidRPr="00872DE7">
              <w:rPr>
                <w:color w:val="FFFFFF" w:themeColor="background1"/>
              </w:rPr>
              <w:t>Subprograma POT</w:t>
            </w:r>
          </w:p>
        </w:tc>
        <w:tc>
          <w:tcPr>
            <w:tcW w:w="1134" w:type="dxa"/>
            <w:shd w:val="clear" w:color="auto" w:fill="C00000"/>
            <w:vAlign w:val="center"/>
            <w:hideMark/>
          </w:tcPr>
          <w:p w14:paraId="78A3D6A9" w14:textId="77777777" w:rsidR="006B728F" w:rsidRPr="00872DE7" w:rsidRDefault="006B728F" w:rsidP="00A557B3">
            <w:pPr>
              <w:jc w:val="center"/>
              <w:rPr>
                <w:color w:val="FFFFFF" w:themeColor="background1"/>
              </w:rPr>
            </w:pPr>
            <w:r w:rsidRPr="00872DE7">
              <w:rPr>
                <w:color w:val="FFFFFF" w:themeColor="background1"/>
              </w:rPr>
              <w:t>Objetivo PDD 2024 - 2027</w:t>
            </w:r>
          </w:p>
        </w:tc>
        <w:tc>
          <w:tcPr>
            <w:tcW w:w="1419" w:type="dxa"/>
            <w:shd w:val="clear" w:color="auto" w:fill="C00000"/>
            <w:vAlign w:val="center"/>
            <w:hideMark/>
          </w:tcPr>
          <w:p w14:paraId="406EF8F2" w14:textId="77777777" w:rsidR="006B728F" w:rsidRPr="00872DE7" w:rsidRDefault="006B728F" w:rsidP="00A557B3">
            <w:pPr>
              <w:jc w:val="center"/>
              <w:rPr>
                <w:color w:val="FFFFFF" w:themeColor="background1"/>
              </w:rPr>
            </w:pPr>
            <w:r w:rsidRPr="00872DE7">
              <w:rPr>
                <w:color w:val="FFFFFF" w:themeColor="background1"/>
              </w:rPr>
              <w:t>Programa PDD 2024 - 2027</w:t>
            </w:r>
          </w:p>
        </w:tc>
        <w:tc>
          <w:tcPr>
            <w:tcW w:w="1273" w:type="dxa"/>
            <w:shd w:val="clear" w:color="auto" w:fill="C00000"/>
            <w:vAlign w:val="center"/>
            <w:hideMark/>
          </w:tcPr>
          <w:p w14:paraId="69CCF33F" w14:textId="77777777" w:rsidR="000274A7" w:rsidRDefault="006B728F" w:rsidP="00A557B3">
            <w:pPr>
              <w:jc w:val="center"/>
              <w:rPr>
                <w:color w:val="FFFFFF" w:themeColor="background1"/>
              </w:rPr>
            </w:pPr>
            <w:r w:rsidRPr="00872DE7">
              <w:rPr>
                <w:color w:val="FFFFFF" w:themeColor="background1"/>
              </w:rPr>
              <w:t xml:space="preserve">Entidad </w:t>
            </w:r>
          </w:p>
          <w:p w14:paraId="7C5136F3" w14:textId="1B06AAA3" w:rsidR="006B728F" w:rsidRPr="00872DE7" w:rsidRDefault="006B728F" w:rsidP="00A557B3">
            <w:pPr>
              <w:jc w:val="center"/>
              <w:rPr>
                <w:color w:val="FFFFFF" w:themeColor="background1"/>
              </w:rPr>
            </w:pPr>
            <w:r w:rsidRPr="00872DE7">
              <w:rPr>
                <w:color w:val="FFFFFF" w:themeColor="background1"/>
              </w:rPr>
              <w:t>responsable</w:t>
            </w:r>
          </w:p>
        </w:tc>
        <w:tc>
          <w:tcPr>
            <w:tcW w:w="1350" w:type="dxa"/>
            <w:shd w:val="clear" w:color="auto" w:fill="C00000"/>
            <w:vAlign w:val="center"/>
            <w:hideMark/>
          </w:tcPr>
          <w:p w14:paraId="52B5FCB7" w14:textId="77777777" w:rsidR="006B728F" w:rsidRPr="00872DE7" w:rsidRDefault="006B728F" w:rsidP="00A557B3">
            <w:pPr>
              <w:jc w:val="center"/>
              <w:rPr>
                <w:color w:val="FFFFFF" w:themeColor="background1"/>
              </w:rPr>
            </w:pPr>
            <w:r w:rsidRPr="00872DE7">
              <w:rPr>
                <w:color w:val="FFFFFF" w:themeColor="background1"/>
              </w:rPr>
              <w:t>Etapa del proyecto POT</w:t>
            </w:r>
          </w:p>
        </w:tc>
      </w:tr>
      <w:tr w:rsidR="006B728F" w:rsidRPr="00872DE7" w14:paraId="757FE5B0" w14:textId="77777777" w:rsidTr="00BC0124">
        <w:trPr>
          <w:trHeight w:val="1110"/>
          <w:jc w:val="center"/>
        </w:trPr>
        <w:tc>
          <w:tcPr>
            <w:tcW w:w="1696" w:type="dxa"/>
            <w:shd w:val="clear" w:color="auto" w:fill="auto"/>
            <w:noWrap/>
            <w:vAlign w:val="center"/>
            <w:hideMark/>
          </w:tcPr>
          <w:p w14:paraId="449FD35B" w14:textId="77777777" w:rsidR="006B728F" w:rsidRPr="00872DE7" w:rsidRDefault="006B728F" w:rsidP="00BC0124">
            <w:pPr>
              <w:jc w:val="left"/>
              <w:rPr>
                <w:sz w:val="16"/>
                <w:szCs w:val="18"/>
              </w:rPr>
            </w:pPr>
            <w:r w:rsidRPr="00872DE7">
              <w:rPr>
                <w:sz w:val="16"/>
                <w:szCs w:val="18"/>
              </w:rPr>
              <w:t>Conexión del parque BOSQUE SAN CARLOS con su contexto</w:t>
            </w:r>
          </w:p>
        </w:tc>
        <w:tc>
          <w:tcPr>
            <w:tcW w:w="1476" w:type="dxa"/>
            <w:shd w:val="clear" w:color="auto" w:fill="auto"/>
            <w:noWrap/>
            <w:vAlign w:val="center"/>
            <w:hideMark/>
          </w:tcPr>
          <w:p w14:paraId="427C21F3" w14:textId="77777777" w:rsidR="006B728F" w:rsidRPr="00872DE7" w:rsidRDefault="006B728F" w:rsidP="00BC0124">
            <w:pPr>
              <w:jc w:val="left"/>
              <w:rPr>
                <w:sz w:val="16"/>
                <w:szCs w:val="18"/>
              </w:rPr>
            </w:pPr>
            <w:r w:rsidRPr="00872DE7">
              <w:rPr>
                <w:sz w:val="16"/>
                <w:szCs w:val="18"/>
              </w:rPr>
              <w:t>3. Programa Vitalidad y cuidado</w:t>
            </w:r>
          </w:p>
        </w:tc>
        <w:tc>
          <w:tcPr>
            <w:tcW w:w="2073" w:type="dxa"/>
            <w:shd w:val="clear" w:color="auto" w:fill="auto"/>
            <w:noWrap/>
            <w:vAlign w:val="center"/>
            <w:hideMark/>
          </w:tcPr>
          <w:p w14:paraId="2F2F4397" w14:textId="77777777" w:rsidR="006B728F" w:rsidRPr="00872DE7" w:rsidRDefault="006B728F" w:rsidP="00BC0124">
            <w:pPr>
              <w:jc w:val="left"/>
              <w:rPr>
                <w:sz w:val="16"/>
                <w:szCs w:val="18"/>
              </w:rPr>
            </w:pPr>
            <w:r w:rsidRPr="00872DE7">
              <w:rPr>
                <w:sz w:val="16"/>
                <w:szCs w:val="18"/>
              </w:rPr>
              <w:t>1. Subprograma de cualificación, conectividad ambiental y funcional del sistema de espacio público peatonal y de encuentro con las demás estructuras territoriales</w:t>
            </w:r>
          </w:p>
        </w:tc>
        <w:tc>
          <w:tcPr>
            <w:tcW w:w="1134" w:type="dxa"/>
            <w:shd w:val="clear" w:color="auto" w:fill="auto"/>
            <w:noWrap/>
            <w:vAlign w:val="center"/>
            <w:hideMark/>
          </w:tcPr>
          <w:p w14:paraId="4340C94D" w14:textId="77777777" w:rsidR="006B728F" w:rsidRPr="00872DE7" w:rsidRDefault="006B728F" w:rsidP="00BC0124">
            <w:pPr>
              <w:jc w:val="left"/>
              <w:rPr>
                <w:sz w:val="16"/>
                <w:szCs w:val="18"/>
              </w:rPr>
            </w:pPr>
            <w:r w:rsidRPr="00872DE7">
              <w:rPr>
                <w:sz w:val="16"/>
                <w:szCs w:val="18"/>
              </w:rPr>
              <w:t>1. Bogotá se siente segura</w:t>
            </w:r>
          </w:p>
        </w:tc>
        <w:tc>
          <w:tcPr>
            <w:tcW w:w="1419" w:type="dxa"/>
            <w:shd w:val="clear" w:color="auto" w:fill="auto"/>
            <w:noWrap/>
            <w:vAlign w:val="center"/>
            <w:hideMark/>
          </w:tcPr>
          <w:p w14:paraId="277779D2" w14:textId="77777777" w:rsidR="006B728F" w:rsidRPr="00872DE7" w:rsidRDefault="006B728F" w:rsidP="00BC0124">
            <w:pPr>
              <w:jc w:val="left"/>
              <w:rPr>
                <w:sz w:val="16"/>
                <w:szCs w:val="18"/>
              </w:rPr>
            </w:pPr>
            <w:r w:rsidRPr="00872DE7">
              <w:rPr>
                <w:sz w:val="16"/>
                <w:szCs w:val="18"/>
              </w:rPr>
              <w:t>1.05. Espacio público seguro e inclusivo</w:t>
            </w:r>
          </w:p>
        </w:tc>
        <w:tc>
          <w:tcPr>
            <w:tcW w:w="1273" w:type="dxa"/>
            <w:shd w:val="clear" w:color="auto" w:fill="auto"/>
            <w:noWrap/>
            <w:vAlign w:val="center"/>
            <w:hideMark/>
          </w:tcPr>
          <w:p w14:paraId="2D8947E1" w14:textId="77777777" w:rsidR="006B728F" w:rsidRPr="00872DE7" w:rsidRDefault="006B728F" w:rsidP="00BC0124">
            <w:pPr>
              <w:jc w:val="left"/>
              <w:rPr>
                <w:sz w:val="16"/>
                <w:szCs w:val="18"/>
              </w:rPr>
            </w:pPr>
            <w:r w:rsidRPr="00872DE7">
              <w:rPr>
                <w:sz w:val="16"/>
                <w:szCs w:val="18"/>
              </w:rPr>
              <w:t>Instituto Distrital Recreación y Deporte - IDRD</w:t>
            </w:r>
          </w:p>
        </w:tc>
        <w:tc>
          <w:tcPr>
            <w:tcW w:w="1350" w:type="dxa"/>
            <w:shd w:val="clear" w:color="auto" w:fill="auto"/>
            <w:noWrap/>
            <w:vAlign w:val="center"/>
            <w:hideMark/>
          </w:tcPr>
          <w:p w14:paraId="06974D5F" w14:textId="77777777" w:rsidR="006B728F" w:rsidRPr="00872DE7" w:rsidRDefault="006B728F" w:rsidP="00BC0124">
            <w:pPr>
              <w:jc w:val="left"/>
              <w:rPr>
                <w:sz w:val="16"/>
                <w:szCs w:val="18"/>
              </w:rPr>
            </w:pPr>
            <w:r w:rsidRPr="00872DE7">
              <w:rPr>
                <w:sz w:val="16"/>
                <w:szCs w:val="18"/>
              </w:rPr>
              <w:t>Obra (Ejecución)</w:t>
            </w:r>
          </w:p>
        </w:tc>
      </w:tr>
      <w:tr w:rsidR="006B728F" w:rsidRPr="00872DE7" w14:paraId="2938C4BE" w14:textId="77777777" w:rsidTr="00BC0124">
        <w:trPr>
          <w:trHeight w:val="2827"/>
          <w:jc w:val="center"/>
        </w:trPr>
        <w:tc>
          <w:tcPr>
            <w:tcW w:w="1696" w:type="dxa"/>
            <w:shd w:val="clear" w:color="auto" w:fill="auto"/>
            <w:noWrap/>
            <w:vAlign w:val="center"/>
            <w:hideMark/>
          </w:tcPr>
          <w:p w14:paraId="469B8946" w14:textId="77777777" w:rsidR="006B728F" w:rsidRPr="00872DE7" w:rsidRDefault="006B728F" w:rsidP="00BC0124">
            <w:pPr>
              <w:jc w:val="left"/>
              <w:rPr>
                <w:sz w:val="16"/>
                <w:szCs w:val="18"/>
              </w:rPr>
            </w:pPr>
            <w:r w:rsidRPr="00872DE7">
              <w:rPr>
                <w:sz w:val="16"/>
                <w:szCs w:val="18"/>
              </w:rPr>
              <w:t>Conexión del parque SAN CRISTOBAL con su contexto</w:t>
            </w:r>
          </w:p>
        </w:tc>
        <w:tc>
          <w:tcPr>
            <w:tcW w:w="1476" w:type="dxa"/>
            <w:shd w:val="clear" w:color="auto" w:fill="auto"/>
            <w:noWrap/>
            <w:vAlign w:val="center"/>
            <w:hideMark/>
          </w:tcPr>
          <w:p w14:paraId="57EE117A" w14:textId="77777777" w:rsidR="006B728F" w:rsidRPr="00872DE7" w:rsidRDefault="006B728F" w:rsidP="00BC0124">
            <w:pPr>
              <w:jc w:val="left"/>
              <w:rPr>
                <w:sz w:val="16"/>
                <w:szCs w:val="18"/>
              </w:rPr>
            </w:pPr>
            <w:r w:rsidRPr="00872DE7">
              <w:rPr>
                <w:sz w:val="16"/>
                <w:szCs w:val="18"/>
              </w:rPr>
              <w:t>3. Programa Vitalidad y cuidado</w:t>
            </w:r>
          </w:p>
        </w:tc>
        <w:tc>
          <w:tcPr>
            <w:tcW w:w="2073" w:type="dxa"/>
            <w:shd w:val="clear" w:color="auto" w:fill="auto"/>
            <w:noWrap/>
            <w:vAlign w:val="center"/>
            <w:hideMark/>
          </w:tcPr>
          <w:p w14:paraId="6321675C" w14:textId="77777777" w:rsidR="006B728F" w:rsidRPr="00872DE7" w:rsidRDefault="006B728F" w:rsidP="00BC0124">
            <w:pPr>
              <w:jc w:val="left"/>
              <w:rPr>
                <w:sz w:val="16"/>
                <w:szCs w:val="18"/>
              </w:rPr>
            </w:pPr>
            <w:r w:rsidRPr="00872DE7">
              <w:rPr>
                <w:sz w:val="16"/>
                <w:szCs w:val="18"/>
              </w:rPr>
              <w:t>1. Subprograma de cualificación, conectividad ambiental y funcional del sistema de espacio público peatonal y de encuentro con las demás estructuras territoriales</w:t>
            </w:r>
          </w:p>
        </w:tc>
        <w:tc>
          <w:tcPr>
            <w:tcW w:w="1134" w:type="dxa"/>
            <w:shd w:val="clear" w:color="auto" w:fill="auto"/>
            <w:noWrap/>
            <w:vAlign w:val="center"/>
            <w:hideMark/>
          </w:tcPr>
          <w:p w14:paraId="13871FCC" w14:textId="77777777" w:rsidR="006B728F" w:rsidRPr="00872DE7" w:rsidRDefault="006B728F" w:rsidP="00BC0124">
            <w:pPr>
              <w:jc w:val="left"/>
              <w:rPr>
                <w:sz w:val="16"/>
                <w:szCs w:val="18"/>
              </w:rPr>
            </w:pPr>
            <w:r w:rsidRPr="00872DE7">
              <w:rPr>
                <w:sz w:val="16"/>
                <w:szCs w:val="18"/>
              </w:rPr>
              <w:t>1. Bogotá se siente segura</w:t>
            </w:r>
          </w:p>
        </w:tc>
        <w:tc>
          <w:tcPr>
            <w:tcW w:w="1419" w:type="dxa"/>
            <w:shd w:val="clear" w:color="auto" w:fill="auto"/>
            <w:noWrap/>
            <w:vAlign w:val="center"/>
            <w:hideMark/>
          </w:tcPr>
          <w:p w14:paraId="41DB93C0" w14:textId="77777777" w:rsidR="006B728F" w:rsidRPr="00872DE7" w:rsidRDefault="006B728F" w:rsidP="00BC0124">
            <w:pPr>
              <w:jc w:val="left"/>
              <w:rPr>
                <w:sz w:val="16"/>
                <w:szCs w:val="18"/>
              </w:rPr>
            </w:pPr>
            <w:r w:rsidRPr="00872DE7">
              <w:rPr>
                <w:sz w:val="16"/>
                <w:szCs w:val="18"/>
              </w:rPr>
              <w:t>1.05. Espacio público seguro e inclusivo</w:t>
            </w:r>
          </w:p>
        </w:tc>
        <w:tc>
          <w:tcPr>
            <w:tcW w:w="1273" w:type="dxa"/>
            <w:shd w:val="clear" w:color="auto" w:fill="auto"/>
            <w:noWrap/>
            <w:vAlign w:val="center"/>
            <w:hideMark/>
          </w:tcPr>
          <w:p w14:paraId="1FC000E6" w14:textId="77777777" w:rsidR="006B728F" w:rsidRPr="00872DE7" w:rsidRDefault="006B728F" w:rsidP="00BC0124">
            <w:pPr>
              <w:jc w:val="left"/>
              <w:rPr>
                <w:sz w:val="16"/>
                <w:szCs w:val="18"/>
              </w:rPr>
            </w:pPr>
            <w:r w:rsidRPr="00872DE7">
              <w:rPr>
                <w:sz w:val="16"/>
                <w:szCs w:val="18"/>
              </w:rPr>
              <w:t>Instituto Distrital Recreación y Deporte - IDRD</w:t>
            </w:r>
          </w:p>
        </w:tc>
        <w:tc>
          <w:tcPr>
            <w:tcW w:w="1350" w:type="dxa"/>
            <w:shd w:val="clear" w:color="auto" w:fill="auto"/>
            <w:noWrap/>
            <w:vAlign w:val="center"/>
            <w:hideMark/>
          </w:tcPr>
          <w:p w14:paraId="23EF2A5C" w14:textId="77777777" w:rsidR="006B728F" w:rsidRPr="00872DE7" w:rsidRDefault="006B728F" w:rsidP="00BC0124">
            <w:pPr>
              <w:jc w:val="left"/>
              <w:rPr>
                <w:sz w:val="16"/>
                <w:szCs w:val="18"/>
              </w:rPr>
            </w:pPr>
            <w:r w:rsidRPr="00872DE7">
              <w:rPr>
                <w:sz w:val="16"/>
                <w:szCs w:val="18"/>
              </w:rPr>
              <w:t>Obra (Ejecución)</w:t>
            </w:r>
          </w:p>
        </w:tc>
      </w:tr>
      <w:tr w:rsidR="006B728F" w:rsidRPr="00872DE7" w14:paraId="54ADD9AC" w14:textId="77777777" w:rsidTr="00BC0124">
        <w:trPr>
          <w:trHeight w:val="2796"/>
          <w:jc w:val="center"/>
        </w:trPr>
        <w:tc>
          <w:tcPr>
            <w:tcW w:w="1696" w:type="dxa"/>
            <w:shd w:val="clear" w:color="auto" w:fill="auto"/>
            <w:noWrap/>
            <w:vAlign w:val="center"/>
            <w:hideMark/>
          </w:tcPr>
          <w:p w14:paraId="01E08525" w14:textId="77777777" w:rsidR="006B728F" w:rsidRPr="00872DE7" w:rsidRDefault="006B728F" w:rsidP="00BC0124">
            <w:pPr>
              <w:jc w:val="left"/>
              <w:rPr>
                <w:sz w:val="16"/>
                <w:szCs w:val="18"/>
              </w:rPr>
            </w:pPr>
            <w:r w:rsidRPr="00872DE7">
              <w:rPr>
                <w:sz w:val="16"/>
                <w:szCs w:val="18"/>
              </w:rPr>
              <w:t>Conexión del parque EL PORVENIR con su contexto</w:t>
            </w:r>
          </w:p>
        </w:tc>
        <w:tc>
          <w:tcPr>
            <w:tcW w:w="1476" w:type="dxa"/>
            <w:shd w:val="clear" w:color="auto" w:fill="auto"/>
            <w:noWrap/>
            <w:vAlign w:val="center"/>
            <w:hideMark/>
          </w:tcPr>
          <w:p w14:paraId="1D6080EF" w14:textId="77777777" w:rsidR="006B728F" w:rsidRPr="00872DE7" w:rsidRDefault="006B728F" w:rsidP="00BC0124">
            <w:pPr>
              <w:jc w:val="left"/>
              <w:rPr>
                <w:sz w:val="16"/>
                <w:szCs w:val="18"/>
              </w:rPr>
            </w:pPr>
            <w:r w:rsidRPr="00872DE7">
              <w:rPr>
                <w:sz w:val="16"/>
                <w:szCs w:val="18"/>
              </w:rPr>
              <w:t>3. Programa Vitalidad y cuidado</w:t>
            </w:r>
          </w:p>
        </w:tc>
        <w:tc>
          <w:tcPr>
            <w:tcW w:w="2073" w:type="dxa"/>
            <w:shd w:val="clear" w:color="auto" w:fill="auto"/>
            <w:noWrap/>
            <w:vAlign w:val="center"/>
            <w:hideMark/>
          </w:tcPr>
          <w:p w14:paraId="1A3F15EA" w14:textId="77777777" w:rsidR="006B728F" w:rsidRPr="00872DE7" w:rsidRDefault="006B728F" w:rsidP="00BC0124">
            <w:pPr>
              <w:jc w:val="left"/>
              <w:rPr>
                <w:sz w:val="16"/>
                <w:szCs w:val="18"/>
              </w:rPr>
            </w:pPr>
            <w:r w:rsidRPr="00872DE7">
              <w:rPr>
                <w:sz w:val="16"/>
                <w:szCs w:val="18"/>
              </w:rPr>
              <w:t>1. Subprograma de cualificación, conectividad ambiental y funcional del sistema de espacio público peatonal y de encuentro con las demás estructuras territoriales</w:t>
            </w:r>
          </w:p>
        </w:tc>
        <w:tc>
          <w:tcPr>
            <w:tcW w:w="1134" w:type="dxa"/>
            <w:shd w:val="clear" w:color="auto" w:fill="auto"/>
            <w:noWrap/>
            <w:vAlign w:val="center"/>
            <w:hideMark/>
          </w:tcPr>
          <w:p w14:paraId="01386843" w14:textId="77777777" w:rsidR="006B728F" w:rsidRPr="00872DE7" w:rsidRDefault="006B728F" w:rsidP="00BC0124">
            <w:pPr>
              <w:jc w:val="left"/>
              <w:rPr>
                <w:sz w:val="16"/>
                <w:szCs w:val="18"/>
              </w:rPr>
            </w:pPr>
            <w:r w:rsidRPr="00872DE7">
              <w:rPr>
                <w:sz w:val="16"/>
                <w:szCs w:val="18"/>
              </w:rPr>
              <w:t>1. Bogotá se siente segura</w:t>
            </w:r>
          </w:p>
        </w:tc>
        <w:tc>
          <w:tcPr>
            <w:tcW w:w="1419" w:type="dxa"/>
            <w:shd w:val="clear" w:color="auto" w:fill="auto"/>
            <w:noWrap/>
            <w:vAlign w:val="center"/>
            <w:hideMark/>
          </w:tcPr>
          <w:p w14:paraId="6C0472EE" w14:textId="77777777" w:rsidR="006B728F" w:rsidRPr="00872DE7" w:rsidRDefault="006B728F" w:rsidP="00BC0124">
            <w:pPr>
              <w:jc w:val="left"/>
              <w:rPr>
                <w:sz w:val="16"/>
                <w:szCs w:val="18"/>
              </w:rPr>
            </w:pPr>
            <w:r w:rsidRPr="00872DE7">
              <w:rPr>
                <w:sz w:val="16"/>
                <w:szCs w:val="18"/>
              </w:rPr>
              <w:t>1.05. Espacio público seguro e inclusivo</w:t>
            </w:r>
          </w:p>
        </w:tc>
        <w:tc>
          <w:tcPr>
            <w:tcW w:w="1273" w:type="dxa"/>
            <w:shd w:val="clear" w:color="auto" w:fill="auto"/>
            <w:noWrap/>
            <w:vAlign w:val="center"/>
            <w:hideMark/>
          </w:tcPr>
          <w:p w14:paraId="01BA1531" w14:textId="77777777" w:rsidR="006B728F" w:rsidRPr="00872DE7" w:rsidRDefault="006B728F" w:rsidP="00BC0124">
            <w:pPr>
              <w:jc w:val="left"/>
              <w:rPr>
                <w:sz w:val="16"/>
                <w:szCs w:val="18"/>
              </w:rPr>
            </w:pPr>
            <w:r w:rsidRPr="00872DE7">
              <w:rPr>
                <w:sz w:val="16"/>
                <w:szCs w:val="18"/>
              </w:rPr>
              <w:t>Instituto Distrital Recreación y Deporte - IDRD</w:t>
            </w:r>
          </w:p>
        </w:tc>
        <w:tc>
          <w:tcPr>
            <w:tcW w:w="1350" w:type="dxa"/>
            <w:shd w:val="clear" w:color="auto" w:fill="auto"/>
            <w:noWrap/>
            <w:vAlign w:val="center"/>
            <w:hideMark/>
          </w:tcPr>
          <w:p w14:paraId="5ACBBA10" w14:textId="77777777" w:rsidR="006B728F" w:rsidRPr="00872DE7" w:rsidRDefault="006B728F" w:rsidP="00BC0124">
            <w:pPr>
              <w:jc w:val="left"/>
              <w:rPr>
                <w:sz w:val="16"/>
                <w:szCs w:val="18"/>
              </w:rPr>
            </w:pPr>
            <w:r w:rsidRPr="00872DE7">
              <w:rPr>
                <w:sz w:val="16"/>
                <w:szCs w:val="18"/>
              </w:rPr>
              <w:t>Sin iniciar</w:t>
            </w:r>
          </w:p>
        </w:tc>
      </w:tr>
      <w:tr w:rsidR="006B728F" w:rsidRPr="00872DE7" w14:paraId="3431A0F3" w14:textId="77777777" w:rsidTr="00BC0124">
        <w:trPr>
          <w:trHeight w:val="2100"/>
          <w:jc w:val="center"/>
        </w:trPr>
        <w:tc>
          <w:tcPr>
            <w:tcW w:w="1696" w:type="dxa"/>
            <w:shd w:val="clear" w:color="auto" w:fill="auto"/>
            <w:noWrap/>
            <w:vAlign w:val="center"/>
            <w:hideMark/>
          </w:tcPr>
          <w:p w14:paraId="2C846E82" w14:textId="77777777" w:rsidR="006B728F" w:rsidRPr="00872DE7" w:rsidRDefault="006B728F" w:rsidP="00BC0124">
            <w:pPr>
              <w:jc w:val="left"/>
              <w:rPr>
                <w:sz w:val="16"/>
                <w:szCs w:val="18"/>
              </w:rPr>
            </w:pPr>
            <w:r w:rsidRPr="00872DE7">
              <w:rPr>
                <w:sz w:val="16"/>
                <w:szCs w:val="18"/>
              </w:rPr>
              <w:t>Ejecución del Plan Especial de Manejo y Protección – PEMP- del Centro Histórico de Bogotá</w:t>
            </w:r>
          </w:p>
        </w:tc>
        <w:tc>
          <w:tcPr>
            <w:tcW w:w="1476" w:type="dxa"/>
            <w:shd w:val="clear" w:color="auto" w:fill="auto"/>
            <w:noWrap/>
            <w:vAlign w:val="center"/>
            <w:hideMark/>
          </w:tcPr>
          <w:p w14:paraId="6F902E97" w14:textId="77777777" w:rsidR="006B728F" w:rsidRPr="00872DE7" w:rsidRDefault="006B728F" w:rsidP="00BC0124">
            <w:pPr>
              <w:jc w:val="left"/>
              <w:rPr>
                <w:sz w:val="16"/>
                <w:szCs w:val="18"/>
              </w:rPr>
            </w:pPr>
            <w:r w:rsidRPr="00872DE7">
              <w:rPr>
                <w:sz w:val="16"/>
                <w:szCs w:val="18"/>
              </w:rPr>
              <w:t>6. Programa resignificación de nuestra identidad, cultura y patrimonio</w:t>
            </w:r>
          </w:p>
        </w:tc>
        <w:tc>
          <w:tcPr>
            <w:tcW w:w="2073" w:type="dxa"/>
            <w:shd w:val="clear" w:color="auto" w:fill="auto"/>
            <w:noWrap/>
            <w:vAlign w:val="center"/>
            <w:hideMark/>
          </w:tcPr>
          <w:p w14:paraId="09584DFF" w14:textId="77777777" w:rsidR="006B728F" w:rsidRPr="00872DE7" w:rsidRDefault="006B728F" w:rsidP="00BC0124">
            <w:pPr>
              <w:jc w:val="left"/>
              <w:rPr>
                <w:sz w:val="16"/>
                <w:szCs w:val="18"/>
              </w:rPr>
            </w:pPr>
            <w:r w:rsidRPr="00872DE7">
              <w:rPr>
                <w:sz w:val="16"/>
                <w:szCs w:val="18"/>
              </w:rPr>
              <w:t>3. Subprograma Centro Histórico, Patrimonial, productivo e Innovador</w:t>
            </w:r>
          </w:p>
        </w:tc>
        <w:tc>
          <w:tcPr>
            <w:tcW w:w="1134" w:type="dxa"/>
            <w:shd w:val="clear" w:color="auto" w:fill="auto"/>
            <w:noWrap/>
            <w:vAlign w:val="center"/>
            <w:hideMark/>
          </w:tcPr>
          <w:p w14:paraId="1BB4DBEC" w14:textId="77777777" w:rsidR="006B728F" w:rsidRPr="00872DE7" w:rsidRDefault="006B728F" w:rsidP="00BC0124">
            <w:pPr>
              <w:jc w:val="left"/>
              <w:rPr>
                <w:sz w:val="16"/>
                <w:szCs w:val="18"/>
              </w:rPr>
            </w:pPr>
            <w:r w:rsidRPr="00872DE7">
              <w:rPr>
                <w:sz w:val="16"/>
                <w:szCs w:val="18"/>
              </w:rPr>
              <w:t>1. Bogotá se siente segura</w:t>
            </w:r>
          </w:p>
        </w:tc>
        <w:tc>
          <w:tcPr>
            <w:tcW w:w="1419" w:type="dxa"/>
            <w:shd w:val="clear" w:color="auto" w:fill="auto"/>
            <w:noWrap/>
            <w:vAlign w:val="center"/>
            <w:hideMark/>
          </w:tcPr>
          <w:p w14:paraId="0465ADA0" w14:textId="77777777" w:rsidR="006B728F" w:rsidRPr="00872DE7" w:rsidRDefault="006B728F" w:rsidP="00BC0124">
            <w:pPr>
              <w:jc w:val="left"/>
              <w:rPr>
                <w:sz w:val="16"/>
                <w:szCs w:val="18"/>
              </w:rPr>
            </w:pPr>
            <w:r w:rsidRPr="00872DE7">
              <w:rPr>
                <w:sz w:val="16"/>
                <w:szCs w:val="18"/>
              </w:rPr>
              <w:t>1.05. Espacio público seguro e inclusivo</w:t>
            </w:r>
          </w:p>
        </w:tc>
        <w:tc>
          <w:tcPr>
            <w:tcW w:w="1273" w:type="dxa"/>
            <w:shd w:val="clear" w:color="auto" w:fill="auto"/>
            <w:noWrap/>
            <w:vAlign w:val="center"/>
            <w:hideMark/>
          </w:tcPr>
          <w:p w14:paraId="4BC29224" w14:textId="77777777" w:rsidR="006B728F" w:rsidRPr="00872DE7" w:rsidRDefault="006B728F" w:rsidP="00BC0124">
            <w:pPr>
              <w:jc w:val="left"/>
              <w:rPr>
                <w:sz w:val="16"/>
                <w:szCs w:val="18"/>
              </w:rPr>
            </w:pPr>
            <w:r w:rsidRPr="00872DE7">
              <w:rPr>
                <w:sz w:val="16"/>
                <w:szCs w:val="18"/>
              </w:rPr>
              <w:t>Instituto Distrital de Patrimonio Cultural</w:t>
            </w:r>
          </w:p>
        </w:tc>
        <w:tc>
          <w:tcPr>
            <w:tcW w:w="1350" w:type="dxa"/>
            <w:shd w:val="clear" w:color="auto" w:fill="auto"/>
            <w:noWrap/>
            <w:vAlign w:val="center"/>
            <w:hideMark/>
          </w:tcPr>
          <w:p w14:paraId="026D3FB4" w14:textId="77777777" w:rsidR="006B728F" w:rsidRPr="00872DE7" w:rsidRDefault="006B728F" w:rsidP="00BC0124">
            <w:pPr>
              <w:jc w:val="left"/>
              <w:rPr>
                <w:sz w:val="16"/>
                <w:szCs w:val="18"/>
              </w:rPr>
            </w:pPr>
            <w:r w:rsidRPr="00872DE7">
              <w:rPr>
                <w:sz w:val="16"/>
                <w:szCs w:val="18"/>
              </w:rPr>
              <w:t>Instrumento en ejecución</w:t>
            </w:r>
          </w:p>
        </w:tc>
      </w:tr>
      <w:tr w:rsidR="006B728F" w:rsidRPr="00872DE7" w14:paraId="03D7A4CD" w14:textId="77777777" w:rsidTr="00BC0124">
        <w:trPr>
          <w:trHeight w:val="2088"/>
          <w:jc w:val="center"/>
        </w:trPr>
        <w:tc>
          <w:tcPr>
            <w:tcW w:w="1696" w:type="dxa"/>
            <w:shd w:val="clear" w:color="auto" w:fill="auto"/>
            <w:noWrap/>
            <w:vAlign w:val="center"/>
            <w:hideMark/>
          </w:tcPr>
          <w:p w14:paraId="6EF86BD5" w14:textId="77777777" w:rsidR="006B728F" w:rsidRPr="00872DE7" w:rsidRDefault="006B728F" w:rsidP="00BC0124">
            <w:pPr>
              <w:jc w:val="left"/>
              <w:rPr>
                <w:sz w:val="16"/>
                <w:szCs w:val="18"/>
              </w:rPr>
            </w:pPr>
            <w:r w:rsidRPr="00872DE7">
              <w:rPr>
                <w:sz w:val="16"/>
                <w:szCs w:val="18"/>
              </w:rPr>
              <w:lastRenderedPageBreak/>
              <w:t>Consolidar el parque de HACIENDA LOS MOLINOS</w:t>
            </w:r>
          </w:p>
        </w:tc>
        <w:tc>
          <w:tcPr>
            <w:tcW w:w="1476" w:type="dxa"/>
            <w:shd w:val="clear" w:color="auto" w:fill="auto"/>
            <w:noWrap/>
            <w:vAlign w:val="center"/>
            <w:hideMark/>
          </w:tcPr>
          <w:p w14:paraId="4B4DCE41" w14:textId="77777777" w:rsidR="006B728F" w:rsidRPr="00872DE7" w:rsidRDefault="006B728F" w:rsidP="00BC0124">
            <w:pPr>
              <w:jc w:val="left"/>
              <w:rPr>
                <w:sz w:val="16"/>
                <w:szCs w:val="18"/>
              </w:rPr>
            </w:pPr>
            <w:r w:rsidRPr="00872DE7">
              <w:rPr>
                <w:sz w:val="16"/>
                <w:szCs w:val="18"/>
              </w:rPr>
              <w:t>3. Programa Vitalidad y cuidado</w:t>
            </w:r>
          </w:p>
        </w:tc>
        <w:tc>
          <w:tcPr>
            <w:tcW w:w="2073" w:type="dxa"/>
            <w:shd w:val="clear" w:color="auto" w:fill="auto"/>
            <w:noWrap/>
            <w:vAlign w:val="center"/>
            <w:hideMark/>
          </w:tcPr>
          <w:p w14:paraId="02EE6178" w14:textId="77777777" w:rsidR="006B728F" w:rsidRPr="00872DE7" w:rsidRDefault="006B728F" w:rsidP="00BC0124">
            <w:pPr>
              <w:jc w:val="left"/>
              <w:rPr>
                <w:sz w:val="16"/>
                <w:szCs w:val="18"/>
              </w:rPr>
            </w:pPr>
            <w:r w:rsidRPr="00872DE7">
              <w:rPr>
                <w:sz w:val="16"/>
                <w:szCs w:val="18"/>
              </w:rPr>
              <w:t>2. Subprograma Consolidación de espacio público para el encuentro en suelo público no intervenido</w:t>
            </w:r>
          </w:p>
        </w:tc>
        <w:tc>
          <w:tcPr>
            <w:tcW w:w="1134" w:type="dxa"/>
            <w:shd w:val="clear" w:color="auto" w:fill="auto"/>
            <w:noWrap/>
            <w:vAlign w:val="center"/>
            <w:hideMark/>
          </w:tcPr>
          <w:p w14:paraId="0E1DE182" w14:textId="77777777" w:rsidR="006B728F" w:rsidRPr="00872DE7" w:rsidRDefault="006B728F" w:rsidP="00BC0124">
            <w:pPr>
              <w:jc w:val="left"/>
              <w:rPr>
                <w:sz w:val="16"/>
                <w:szCs w:val="18"/>
              </w:rPr>
            </w:pPr>
            <w:r w:rsidRPr="00872DE7">
              <w:rPr>
                <w:sz w:val="16"/>
                <w:szCs w:val="18"/>
              </w:rPr>
              <w:t>4.Bogotá ordena su territorio y avanza en su acción climática</w:t>
            </w:r>
          </w:p>
        </w:tc>
        <w:tc>
          <w:tcPr>
            <w:tcW w:w="1419" w:type="dxa"/>
            <w:shd w:val="clear" w:color="auto" w:fill="auto"/>
            <w:noWrap/>
            <w:vAlign w:val="center"/>
            <w:hideMark/>
          </w:tcPr>
          <w:p w14:paraId="2B60F273" w14:textId="77777777" w:rsidR="006B728F" w:rsidRPr="00872DE7" w:rsidRDefault="006B728F" w:rsidP="00BC0124">
            <w:pPr>
              <w:jc w:val="left"/>
              <w:rPr>
                <w:sz w:val="16"/>
                <w:szCs w:val="18"/>
              </w:rPr>
            </w:pPr>
            <w:r w:rsidRPr="00872DE7">
              <w:rPr>
                <w:sz w:val="16"/>
                <w:szCs w:val="18"/>
              </w:rPr>
              <w:t>4.24. Revitalización y renovación urbana y rural con inclusión</w:t>
            </w:r>
          </w:p>
        </w:tc>
        <w:tc>
          <w:tcPr>
            <w:tcW w:w="1273" w:type="dxa"/>
            <w:shd w:val="clear" w:color="auto" w:fill="auto"/>
            <w:noWrap/>
            <w:vAlign w:val="center"/>
            <w:hideMark/>
          </w:tcPr>
          <w:p w14:paraId="4141F56D" w14:textId="77777777" w:rsidR="006B728F" w:rsidRPr="00872DE7" w:rsidRDefault="006B728F" w:rsidP="00BC0124">
            <w:pPr>
              <w:jc w:val="left"/>
              <w:rPr>
                <w:sz w:val="16"/>
                <w:szCs w:val="18"/>
              </w:rPr>
            </w:pPr>
            <w:r w:rsidRPr="00872DE7">
              <w:rPr>
                <w:sz w:val="16"/>
                <w:szCs w:val="18"/>
              </w:rPr>
              <w:t>Instituto Distrital Recreación y Deporte - IDRD</w:t>
            </w:r>
          </w:p>
        </w:tc>
        <w:tc>
          <w:tcPr>
            <w:tcW w:w="1350" w:type="dxa"/>
            <w:shd w:val="clear" w:color="auto" w:fill="auto"/>
            <w:noWrap/>
            <w:vAlign w:val="center"/>
            <w:hideMark/>
          </w:tcPr>
          <w:p w14:paraId="1A7133A9" w14:textId="77777777" w:rsidR="006B728F" w:rsidRPr="00872DE7" w:rsidRDefault="006B728F" w:rsidP="00BC0124">
            <w:pPr>
              <w:jc w:val="left"/>
              <w:rPr>
                <w:sz w:val="16"/>
                <w:szCs w:val="18"/>
              </w:rPr>
            </w:pPr>
            <w:r w:rsidRPr="00872DE7">
              <w:rPr>
                <w:sz w:val="16"/>
                <w:szCs w:val="18"/>
              </w:rPr>
              <w:t>Estudios y diseños</w:t>
            </w:r>
          </w:p>
        </w:tc>
      </w:tr>
    </w:tbl>
    <w:p w14:paraId="02DA0E1D" w14:textId="77777777" w:rsidR="006B728F" w:rsidRDefault="006B728F" w:rsidP="00C91C74">
      <w:pPr>
        <w:rPr>
          <w:b/>
          <w:bCs/>
          <w:color w:val="C00000"/>
        </w:rPr>
      </w:pPr>
    </w:p>
    <w:p w14:paraId="04ECBA45" w14:textId="77777777" w:rsidR="00D10FD4" w:rsidRDefault="00D10FD4" w:rsidP="00C91C74">
      <w:pPr>
        <w:rPr>
          <w:rStyle w:val="Textoennegrita"/>
        </w:rPr>
      </w:pPr>
    </w:p>
    <w:p w14:paraId="446EF1B9" w14:textId="77777777" w:rsidR="00D10FD4" w:rsidRDefault="00D10FD4" w:rsidP="00C91C74">
      <w:pPr>
        <w:rPr>
          <w:rStyle w:val="Textoennegrita"/>
        </w:rPr>
      </w:pPr>
    </w:p>
    <w:p w14:paraId="025C2683" w14:textId="750C2E04" w:rsidR="006B728F" w:rsidRDefault="006B728F" w:rsidP="000274A7">
      <w:pPr>
        <w:jc w:val="center"/>
        <w:rPr>
          <w:b/>
          <w:bCs/>
          <w:color w:val="000000"/>
        </w:rPr>
      </w:pPr>
      <w:r w:rsidRPr="00C22819">
        <w:rPr>
          <w:rStyle w:val="Textoennegrita"/>
        </w:rPr>
        <w:t>Objetivo 5</w:t>
      </w:r>
      <w:r w:rsidR="000274A7">
        <w:rPr>
          <w:rStyle w:val="Textoennegrita"/>
        </w:rPr>
        <w:t xml:space="preserve">. </w:t>
      </w:r>
      <w:r w:rsidRPr="000274A7">
        <w:rPr>
          <w:b/>
          <w:bCs/>
        </w:rPr>
        <w:t>Promover el dinamismo, la reactivación económica y la creación de empleos</w:t>
      </w:r>
    </w:p>
    <w:p w14:paraId="243E1702" w14:textId="77777777" w:rsidR="006B728F" w:rsidRPr="00E1706C" w:rsidRDefault="006B728F" w:rsidP="00C91C74">
      <w:pPr>
        <w:rPr>
          <w:b/>
          <w:bCs/>
          <w:color w:val="000000"/>
        </w:rPr>
      </w:pPr>
    </w:p>
    <w:tbl>
      <w:tblPr>
        <w:tblW w:w="10590" w:type="dxa"/>
        <w:tblInd w:w="-720" w:type="dxa"/>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710"/>
        <w:gridCol w:w="1440"/>
        <w:gridCol w:w="1974"/>
        <w:gridCol w:w="1266"/>
        <w:gridCol w:w="1350"/>
        <w:gridCol w:w="1350"/>
        <w:gridCol w:w="1500"/>
      </w:tblGrid>
      <w:tr w:rsidR="006B728F" w:rsidRPr="00E36CE7" w14:paraId="2C9F6834" w14:textId="77777777" w:rsidTr="000274A7">
        <w:trPr>
          <w:trHeight w:val="1417"/>
          <w:tblHeader/>
        </w:trPr>
        <w:tc>
          <w:tcPr>
            <w:tcW w:w="1710" w:type="dxa"/>
            <w:shd w:val="clear" w:color="auto" w:fill="C00000"/>
            <w:vAlign w:val="center"/>
            <w:hideMark/>
          </w:tcPr>
          <w:p w14:paraId="7D0560AA" w14:textId="77777777" w:rsidR="006B728F" w:rsidRPr="00C22819" w:rsidRDefault="006B728F" w:rsidP="00C22819">
            <w:pPr>
              <w:jc w:val="center"/>
              <w:rPr>
                <w:b/>
                <w:bCs/>
                <w:color w:val="FFFFFF" w:themeColor="background1"/>
              </w:rPr>
            </w:pPr>
            <w:r w:rsidRPr="00C22819">
              <w:rPr>
                <w:b/>
                <w:bCs/>
                <w:color w:val="FFFFFF" w:themeColor="background1"/>
              </w:rPr>
              <w:t>Nombre del proyecto POT</w:t>
            </w:r>
          </w:p>
        </w:tc>
        <w:tc>
          <w:tcPr>
            <w:tcW w:w="1440" w:type="dxa"/>
            <w:shd w:val="clear" w:color="auto" w:fill="C00000"/>
            <w:vAlign w:val="center"/>
            <w:hideMark/>
          </w:tcPr>
          <w:p w14:paraId="525A541D" w14:textId="77777777" w:rsidR="006B728F" w:rsidRPr="00C22819" w:rsidRDefault="006B728F" w:rsidP="00C22819">
            <w:pPr>
              <w:jc w:val="center"/>
              <w:rPr>
                <w:b/>
                <w:bCs/>
                <w:color w:val="FFFFFF" w:themeColor="background1"/>
              </w:rPr>
            </w:pPr>
            <w:r w:rsidRPr="00C22819">
              <w:rPr>
                <w:b/>
                <w:bCs/>
                <w:color w:val="FFFFFF" w:themeColor="background1"/>
              </w:rPr>
              <w:t>Programa POT</w:t>
            </w:r>
          </w:p>
        </w:tc>
        <w:tc>
          <w:tcPr>
            <w:tcW w:w="1974" w:type="dxa"/>
            <w:shd w:val="clear" w:color="auto" w:fill="C00000"/>
            <w:vAlign w:val="center"/>
            <w:hideMark/>
          </w:tcPr>
          <w:p w14:paraId="6E59CE33" w14:textId="77777777" w:rsidR="006B728F" w:rsidRPr="00C22819" w:rsidRDefault="006B728F" w:rsidP="00C22819">
            <w:pPr>
              <w:jc w:val="center"/>
              <w:rPr>
                <w:b/>
                <w:bCs/>
                <w:color w:val="FFFFFF" w:themeColor="background1"/>
              </w:rPr>
            </w:pPr>
            <w:r w:rsidRPr="00C22819">
              <w:rPr>
                <w:b/>
                <w:bCs/>
                <w:color w:val="FFFFFF" w:themeColor="background1"/>
              </w:rPr>
              <w:t>Subprograma POT</w:t>
            </w:r>
          </w:p>
        </w:tc>
        <w:tc>
          <w:tcPr>
            <w:tcW w:w="1266" w:type="dxa"/>
            <w:shd w:val="clear" w:color="auto" w:fill="C00000"/>
            <w:vAlign w:val="center"/>
            <w:hideMark/>
          </w:tcPr>
          <w:p w14:paraId="0648696D" w14:textId="77777777" w:rsidR="006B728F" w:rsidRPr="00C22819" w:rsidRDefault="006B728F" w:rsidP="00C22819">
            <w:pPr>
              <w:jc w:val="center"/>
              <w:rPr>
                <w:b/>
                <w:bCs/>
                <w:color w:val="FFFFFF" w:themeColor="background1"/>
              </w:rPr>
            </w:pPr>
            <w:r w:rsidRPr="00C22819">
              <w:rPr>
                <w:b/>
                <w:bCs/>
                <w:color w:val="FFFFFF" w:themeColor="background1"/>
              </w:rPr>
              <w:t>Objetivo PDD 2024 - 2027</w:t>
            </w:r>
          </w:p>
        </w:tc>
        <w:tc>
          <w:tcPr>
            <w:tcW w:w="1350" w:type="dxa"/>
            <w:shd w:val="clear" w:color="auto" w:fill="C00000"/>
            <w:vAlign w:val="center"/>
            <w:hideMark/>
          </w:tcPr>
          <w:p w14:paraId="2301277B" w14:textId="77777777" w:rsidR="006B728F" w:rsidRPr="00C22819" w:rsidRDefault="006B728F" w:rsidP="00C22819">
            <w:pPr>
              <w:jc w:val="center"/>
              <w:rPr>
                <w:b/>
                <w:bCs/>
                <w:color w:val="FFFFFF" w:themeColor="background1"/>
              </w:rPr>
            </w:pPr>
            <w:r w:rsidRPr="00C22819">
              <w:rPr>
                <w:b/>
                <w:bCs/>
                <w:color w:val="FFFFFF" w:themeColor="background1"/>
              </w:rPr>
              <w:t>Programa PDD 2024 - 2027</w:t>
            </w:r>
          </w:p>
        </w:tc>
        <w:tc>
          <w:tcPr>
            <w:tcW w:w="1350" w:type="dxa"/>
            <w:shd w:val="clear" w:color="auto" w:fill="C00000"/>
            <w:vAlign w:val="center"/>
            <w:hideMark/>
          </w:tcPr>
          <w:p w14:paraId="3F597A29" w14:textId="77777777" w:rsidR="000274A7" w:rsidRDefault="006B728F" w:rsidP="00C22819">
            <w:pPr>
              <w:jc w:val="center"/>
              <w:rPr>
                <w:b/>
                <w:bCs/>
                <w:color w:val="FFFFFF" w:themeColor="background1"/>
              </w:rPr>
            </w:pPr>
            <w:r w:rsidRPr="00C22819">
              <w:rPr>
                <w:b/>
                <w:bCs/>
                <w:color w:val="FFFFFF" w:themeColor="background1"/>
              </w:rPr>
              <w:t>Entidad</w:t>
            </w:r>
          </w:p>
          <w:p w14:paraId="7E546BF4" w14:textId="605BDDD1" w:rsidR="006B728F" w:rsidRPr="00C22819" w:rsidRDefault="006B728F" w:rsidP="00C22819">
            <w:pPr>
              <w:jc w:val="center"/>
              <w:rPr>
                <w:b/>
                <w:bCs/>
                <w:color w:val="FFFFFF" w:themeColor="background1"/>
              </w:rPr>
            </w:pPr>
            <w:r w:rsidRPr="00C22819">
              <w:rPr>
                <w:b/>
                <w:bCs/>
                <w:color w:val="FFFFFF" w:themeColor="background1"/>
              </w:rPr>
              <w:t>responsable</w:t>
            </w:r>
          </w:p>
        </w:tc>
        <w:tc>
          <w:tcPr>
            <w:tcW w:w="1500" w:type="dxa"/>
            <w:shd w:val="clear" w:color="auto" w:fill="C00000"/>
            <w:vAlign w:val="center"/>
            <w:hideMark/>
          </w:tcPr>
          <w:p w14:paraId="144FB6E5" w14:textId="77777777" w:rsidR="000274A7" w:rsidRDefault="006B728F" w:rsidP="00C22819">
            <w:pPr>
              <w:jc w:val="center"/>
              <w:rPr>
                <w:b/>
                <w:bCs/>
                <w:color w:val="FFFFFF" w:themeColor="background1"/>
              </w:rPr>
            </w:pPr>
            <w:r w:rsidRPr="00C22819">
              <w:rPr>
                <w:b/>
                <w:bCs/>
                <w:color w:val="FFFFFF" w:themeColor="background1"/>
              </w:rPr>
              <w:t xml:space="preserve">Etapa del </w:t>
            </w:r>
          </w:p>
          <w:p w14:paraId="07BE5A6B" w14:textId="66B04B90" w:rsidR="006B728F" w:rsidRPr="00C22819" w:rsidRDefault="006B728F" w:rsidP="00C22819">
            <w:pPr>
              <w:jc w:val="center"/>
              <w:rPr>
                <w:b/>
                <w:bCs/>
                <w:color w:val="FFFFFF" w:themeColor="background1"/>
              </w:rPr>
            </w:pPr>
            <w:r w:rsidRPr="00C22819">
              <w:rPr>
                <w:b/>
                <w:bCs/>
                <w:color w:val="FFFFFF" w:themeColor="background1"/>
              </w:rPr>
              <w:t>proyecto POT</w:t>
            </w:r>
          </w:p>
        </w:tc>
      </w:tr>
      <w:tr w:rsidR="006B728F" w:rsidRPr="00E36CE7" w14:paraId="21FFE9E2" w14:textId="77777777" w:rsidTr="00945BCE">
        <w:trPr>
          <w:trHeight w:val="1417"/>
        </w:trPr>
        <w:tc>
          <w:tcPr>
            <w:tcW w:w="1710" w:type="dxa"/>
            <w:shd w:val="clear" w:color="auto" w:fill="auto"/>
            <w:noWrap/>
            <w:vAlign w:val="center"/>
            <w:hideMark/>
          </w:tcPr>
          <w:p w14:paraId="7A6D689B" w14:textId="77777777" w:rsidR="006B728F" w:rsidRPr="00E36CE7" w:rsidRDefault="006B728F" w:rsidP="00BC0124">
            <w:pPr>
              <w:pStyle w:val="tablastexto"/>
            </w:pPr>
            <w:r w:rsidRPr="00E36CE7">
              <w:t>Distrito Creativo Centro</w:t>
            </w:r>
          </w:p>
        </w:tc>
        <w:tc>
          <w:tcPr>
            <w:tcW w:w="1440" w:type="dxa"/>
            <w:shd w:val="clear" w:color="auto" w:fill="auto"/>
            <w:noWrap/>
            <w:vAlign w:val="center"/>
            <w:hideMark/>
          </w:tcPr>
          <w:p w14:paraId="5252FAB8"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4693AC9"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640117F8"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190174F7"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67F0E279"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1F2D2562" w14:textId="77777777" w:rsidR="006B728F" w:rsidRPr="00E36CE7" w:rsidRDefault="006B728F" w:rsidP="00BC0124">
            <w:pPr>
              <w:pStyle w:val="tablastexto"/>
            </w:pPr>
            <w:r w:rsidRPr="00E36CE7">
              <w:t>Sin iniciar</w:t>
            </w:r>
          </w:p>
        </w:tc>
      </w:tr>
      <w:tr w:rsidR="006B728F" w:rsidRPr="00E36CE7" w14:paraId="036D3C2D" w14:textId="77777777" w:rsidTr="00945BCE">
        <w:trPr>
          <w:trHeight w:val="1417"/>
        </w:trPr>
        <w:tc>
          <w:tcPr>
            <w:tcW w:w="1710" w:type="dxa"/>
            <w:shd w:val="clear" w:color="auto" w:fill="auto"/>
            <w:noWrap/>
            <w:vAlign w:val="center"/>
            <w:hideMark/>
          </w:tcPr>
          <w:p w14:paraId="71BC4F4D" w14:textId="77777777" w:rsidR="006B728F" w:rsidRPr="00E36CE7" w:rsidRDefault="006B728F" w:rsidP="00BC0124">
            <w:pPr>
              <w:pStyle w:val="tablastexto"/>
            </w:pPr>
            <w:r w:rsidRPr="00E36CE7">
              <w:t>Distrito Creativo Centro Internacional</w:t>
            </w:r>
          </w:p>
        </w:tc>
        <w:tc>
          <w:tcPr>
            <w:tcW w:w="1440" w:type="dxa"/>
            <w:shd w:val="clear" w:color="auto" w:fill="auto"/>
            <w:noWrap/>
            <w:vAlign w:val="center"/>
            <w:hideMark/>
          </w:tcPr>
          <w:p w14:paraId="603B32C2"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A172AFF"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45D94F67"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3CC8094C"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61196B25"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27304FAC" w14:textId="77777777" w:rsidR="006B728F" w:rsidRPr="00E36CE7" w:rsidRDefault="006B728F" w:rsidP="00BC0124">
            <w:pPr>
              <w:pStyle w:val="tablastexto"/>
            </w:pPr>
            <w:r w:rsidRPr="00E36CE7">
              <w:t>Sin iniciar</w:t>
            </w:r>
          </w:p>
        </w:tc>
      </w:tr>
      <w:tr w:rsidR="006B728F" w:rsidRPr="00E36CE7" w14:paraId="7774AB76" w14:textId="77777777" w:rsidTr="00945BCE">
        <w:trPr>
          <w:trHeight w:val="1417"/>
        </w:trPr>
        <w:tc>
          <w:tcPr>
            <w:tcW w:w="1710" w:type="dxa"/>
            <w:shd w:val="clear" w:color="auto" w:fill="auto"/>
            <w:noWrap/>
            <w:vAlign w:val="center"/>
            <w:hideMark/>
          </w:tcPr>
          <w:p w14:paraId="10AA30CA" w14:textId="77777777" w:rsidR="006B728F" w:rsidRPr="00E36CE7" w:rsidRDefault="006B728F" w:rsidP="00BC0124">
            <w:pPr>
              <w:pStyle w:val="tablastexto"/>
            </w:pPr>
            <w:r w:rsidRPr="00E36CE7">
              <w:t>Distrito Creativo Chapinero</w:t>
            </w:r>
          </w:p>
        </w:tc>
        <w:tc>
          <w:tcPr>
            <w:tcW w:w="1440" w:type="dxa"/>
            <w:shd w:val="clear" w:color="auto" w:fill="auto"/>
            <w:noWrap/>
            <w:vAlign w:val="center"/>
            <w:hideMark/>
          </w:tcPr>
          <w:p w14:paraId="6C1E6FD3"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66B4E590"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44D7C584"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24C12AA0"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218D1584"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3C7F372E" w14:textId="77777777" w:rsidR="006B728F" w:rsidRPr="00E36CE7" w:rsidRDefault="006B728F" w:rsidP="00BC0124">
            <w:pPr>
              <w:pStyle w:val="tablastexto"/>
            </w:pPr>
            <w:r w:rsidRPr="00E36CE7">
              <w:t>Prefactibilidad</w:t>
            </w:r>
          </w:p>
        </w:tc>
      </w:tr>
      <w:tr w:rsidR="006B728F" w:rsidRPr="00E36CE7" w14:paraId="26821A69" w14:textId="77777777" w:rsidTr="00945BCE">
        <w:trPr>
          <w:trHeight w:val="1417"/>
        </w:trPr>
        <w:tc>
          <w:tcPr>
            <w:tcW w:w="1710" w:type="dxa"/>
            <w:shd w:val="clear" w:color="auto" w:fill="auto"/>
            <w:noWrap/>
            <w:vAlign w:val="center"/>
            <w:hideMark/>
          </w:tcPr>
          <w:p w14:paraId="51E2C035" w14:textId="77777777" w:rsidR="006B728F" w:rsidRPr="00E36CE7" w:rsidRDefault="006B728F" w:rsidP="00BC0124">
            <w:pPr>
              <w:pStyle w:val="tablastexto"/>
            </w:pPr>
            <w:r w:rsidRPr="00E36CE7">
              <w:t>Distrito Creativo de la 85</w:t>
            </w:r>
          </w:p>
        </w:tc>
        <w:tc>
          <w:tcPr>
            <w:tcW w:w="1440" w:type="dxa"/>
            <w:shd w:val="clear" w:color="auto" w:fill="auto"/>
            <w:noWrap/>
            <w:vAlign w:val="center"/>
            <w:hideMark/>
          </w:tcPr>
          <w:p w14:paraId="02F4924A"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7B9CDCF9"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4BD63039"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7304DD89"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1CB3C104"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37006DD3" w14:textId="77777777" w:rsidR="006B728F" w:rsidRPr="00E36CE7" w:rsidRDefault="006B728F" w:rsidP="00BC0124">
            <w:pPr>
              <w:pStyle w:val="tablastexto"/>
            </w:pPr>
            <w:r w:rsidRPr="00E36CE7">
              <w:t>Sin iniciar</w:t>
            </w:r>
          </w:p>
        </w:tc>
      </w:tr>
      <w:tr w:rsidR="006B728F" w:rsidRPr="00E36CE7" w14:paraId="0E96E69D" w14:textId="77777777" w:rsidTr="00945BCE">
        <w:trPr>
          <w:trHeight w:val="1417"/>
        </w:trPr>
        <w:tc>
          <w:tcPr>
            <w:tcW w:w="1710" w:type="dxa"/>
            <w:shd w:val="clear" w:color="auto" w:fill="auto"/>
            <w:noWrap/>
            <w:vAlign w:val="center"/>
            <w:hideMark/>
          </w:tcPr>
          <w:p w14:paraId="683BF10E" w14:textId="77777777" w:rsidR="006B728F" w:rsidRPr="00E36CE7" w:rsidRDefault="006B728F" w:rsidP="00BC0124">
            <w:pPr>
              <w:pStyle w:val="tablastexto"/>
            </w:pPr>
            <w:r w:rsidRPr="00E36CE7">
              <w:lastRenderedPageBreak/>
              <w:t>Distrito Creativo El Campín</w:t>
            </w:r>
          </w:p>
        </w:tc>
        <w:tc>
          <w:tcPr>
            <w:tcW w:w="1440" w:type="dxa"/>
            <w:shd w:val="clear" w:color="auto" w:fill="auto"/>
            <w:noWrap/>
            <w:vAlign w:val="center"/>
            <w:hideMark/>
          </w:tcPr>
          <w:p w14:paraId="5E9B87CA"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0FB54B32"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3912657A"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11CBC886"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51D86FEE"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774AE097" w14:textId="77777777" w:rsidR="006B728F" w:rsidRPr="00E36CE7" w:rsidRDefault="006B728F" w:rsidP="00BC0124">
            <w:pPr>
              <w:pStyle w:val="tablastexto"/>
            </w:pPr>
            <w:r w:rsidRPr="00E36CE7">
              <w:t>Prefactibilidad</w:t>
            </w:r>
          </w:p>
        </w:tc>
      </w:tr>
      <w:tr w:rsidR="006B728F" w:rsidRPr="00E36CE7" w14:paraId="31249212" w14:textId="77777777" w:rsidTr="00945BCE">
        <w:trPr>
          <w:trHeight w:val="1417"/>
        </w:trPr>
        <w:tc>
          <w:tcPr>
            <w:tcW w:w="1710" w:type="dxa"/>
            <w:shd w:val="clear" w:color="auto" w:fill="auto"/>
            <w:noWrap/>
            <w:vAlign w:val="center"/>
            <w:hideMark/>
          </w:tcPr>
          <w:p w14:paraId="4E19BBEC" w14:textId="77777777" w:rsidR="006B728F" w:rsidRPr="00E36CE7" w:rsidRDefault="006B728F" w:rsidP="00BC0124">
            <w:pPr>
              <w:pStyle w:val="tablastexto"/>
            </w:pPr>
            <w:r w:rsidRPr="00E36CE7">
              <w:t>Distrito Creativo Fontibón</w:t>
            </w:r>
          </w:p>
        </w:tc>
        <w:tc>
          <w:tcPr>
            <w:tcW w:w="1440" w:type="dxa"/>
            <w:shd w:val="clear" w:color="auto" w:fill="auto"/>
            <w:noWrap/>
            <w:vAlign w:val="center"/>
            <w:hideMark/>
          </w:tcPr>
          <w:p w14:paraId="4C4B30FD"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7BA33518"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3F38DC18"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036060A9"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2368E201"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09B2F318" w14:textId="77777777" w:rsidR="006B728F" w:rsidRPr="00E36CE7" w:rsidRDefault="006B728F" w:rsidP="00BC0124">
            <w:pPr>
              <w:pStyle w:val="tablastexto"/>
            </w:pPr>
            <w:r w:rsidRPr="00E36CE7">
              <w:t>Sin iniciar</w:t>
            </w:r>
          </w:p>
        </w:tc>
      </w:tr>
      <w:tr w:rsidR="006B728F" w:rsidRPr="00E36CE7" w14:paraId="7F2E0FE6" w14:textId="77777777" w:rsidTr="00945BCE">
        <w:trPr>
          <w:trHeight w:val="1417"/>
        </w:trPr>
        <w:tc>
          <w:tcPr>
            <w:tcW w:w="1710" w:type="dxa"/>
            <w:shd w:val="clear" w:color="auto" w:fill="auto"/>
            <w:noWrap/>
            <w:vAlign w:val="center"/>
            <w:hideMark/>
          </w:tcPr>
          <w:p w14:paraId="630498C6" w14:textId="77777777" w:rsidR="006B728F" w:rsidRPr="00E36CE7" w:rsidRDefault="006B728F" w:rsidP="00BC0124">
            <w:pPr>
              <w:pStyle w:val="tablastexto"/>
            </w:pPr>
            <w:r w:rsidRPr="00E36CE7">
              <w:t>Distrito Creativo La Castellana</w:t>
            </w:r>
          </w:p>
        </w:tc>
        <w:tc>
          <w:tcPr>
            <w:tcW w:w="1440" w:type="dxa"/>
            <w:shd w:val="clear" w:color="auto" w:fill="auto"/>
            <w:noWrap/>
            <w:vAlign w:val="center"/>
            <w:hideMark/>
          </w:tcPr>
          <w:p w14:paraId="4265D4C6"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7A07889"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423CF9FC"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384F06B3"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4AC0C5D0"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60718CA9" w14:textId="77777777" w:rsidR="006B728F" w:rsidRPr="00E36CE7" w:rsidRDefault="006B728F" w:rsidP="00BC0124">
            <w:pPr>
              <w:pStyle w:val="tablastexto"/>
            </w:pPr>
            <w:r w:rsidRPr="00E36CE7">
              <w:t>Sin iniciar</w:t>
            </w:r>
          </w:p>
        </w:tc>
      </w:tr>
      <w:tr w:rsidR="006B728F" w:rsidRPr="00E36CE7" w14:paraId="2F05D779" w14:textId="77777777" w:rsidTr="00945BCE">
        <w:trPr>
          <w:trHeight w:val="1417"/>
        </w:trPr>
        <w:tc>
          <w:tcPr>
            <w:tcW w:w="1710" w:type="dxa"/>
            <w:shd w:val="clear" w:color="auto" w:fill="auto"/>
            <w:noWrap/>
            <w:vAlign w:val="center"/>
            <w:hideMark/>
          </w:tcPr>
          <w:p w14:paraId="2524E8F6" w14:textId="77777777" w:rsidR="006B728F" w:rsidRPr="00E36CE7" w:rsidRDefault="006B728F" w:rsidP="00BC0124">
            <w:pPr>
              <w:pStyle w:val="tablastexto"/>
            </w:pPr>
            <w:r w:rsidRPr="00E36CE7">
              <w:t>Distrito Creativo La Playa</w:t>
            </w:r>
          </w:p>
        </w:tc>
        <w:tc>
          <w:tcPr>
            <w:tcW w:w="1440" w:type="dxa"/>
            <w:shd w:val="clear" w:color="auto" w:fill="auto"/>
            <w:noWrap/>
            <w:vAlign w:val="center"/>
            <w:hideMark/>
          </w:tcPr>
          <w:p w14:paraId="1409E955"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B490BB0"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1C52466A"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1B64246E"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6BD65438"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1869D465" w14:textId="77777777" w:rsidR="006B728F" w:rsidRPr="00E36CE7" w:rsidRDefault="006B728F" w:rsidP="00BC0124">
            <w:pPr>
              <w:pStyle w:val="tablastexto"/>
            </w:pPr>
            <w:r w:rsidRPr="00E36CE7">
              <w:t>Sin iniciar</w:t>
            </w:r>
          </w:p>
        </w:tc>
      </w:tr>
      <w:tr w:rsidR="006B728F" w:rsidRPr="00E36CE7" w14:paraId="11AFF0C0" w14:textId="77777777" w:rsidTr="00945BCE">
        <w:trPr>
          <w:trHeight w:val="1417"/>
        </w:trPr>
        <w:tc>
          <w:tcPr>
            <w:tcW w:w="1710" w:type="dxa"/>
            <w:shd w:val="clear" w:color="auto" w:fill="auto"/>
            <w:noWrap/>
            <w:vAlign w:val="center"/>
            <w:hideMark/>
          </w:tcPr>
          <w:p w14:paraId="0E27F9F4" w14:textId="77777777" w:rsidR="006B728F" w:rsidRPr="00E36CE7" w:rsidRDefault="006B728F" w:rsidP="00BC0124">
            <w:pPr>
              <w:pStyle w:val="tablastexto"/>
            </w:pPr>
            <w:r w:rsidRPr="00E36CE7">
              <w:t>Distrito Creativo Parque de la 93</w:t>
            </w:r>
          </w:p>
        </w:tc>
        <w:tc>
          <w:tcPr>
            <w:tcW w:w="1440" w:type="dxa"/>
            <w:shd w:val="clear" w:color="auto" w:fill="auto"/>
            <w:noWrap/>
            <w:vAlign w:val="center"/>
            <w:hideMark/>
          </w:tcPr>
          <w:p w14:paraId="2EACB393"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3271CF24"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53246F85"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37D71A2F"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521440E2"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6E0A06B3" w14:textId="77777777" w:rsidR="006B728F" w:rsidRPr="00E36CE7" w:rsidRDefault="006B728F" w:rsidP="00BC0124">
            <w:pPr>
              <w:pStyle w:val="tablastexto"/>
            </w:pPr>
            <w:r w:rsidRPr="00E36CE7">
              <w:t>Sin iniciar</w:t>
            </w:r>
          </w:p>
        </w:tc>
      </w:tr>
      <w:tr w:rsidR="006B728F" w:rsidRPr="00E36CE7" w14:paraId="03235B74" w14:textId="77777777" w:rsidTr="00945BCE">
        <w:trPr>
          <w:trHeight w:val="1417"/>
        </w:trPr>
        <w:tc>
          <w:tcPr>
            <w:tcW w:w="1710" w:type="dxa"/>
            <w:shd w:val="clear" w:color="auto" w:fill="auto"/>
            <w:noWrap/>
            <w:vAlign w:val="center"/>
            <w:hideMark/>
          </w:tcPr>
          <w:p w14:paraId="25B3A2A2" w14:textId="77777777" w:rsidR="006B728F" w:rsidRPr="00E36CE7" w:rsidRDefault="006B728F" w:rsidP="00BC0124">
            <w:pPr>
              <w:pStyle w:val="tablastexto"/>
            </w:pPr>
            <w:r w:rsidRPr="00E36CE7">
              <w:t>Distrito Creativo San Felipe</w:t>
            </w:r>
          </w:p>
        </w:tc>
        <w:tc>
          <w:tcPr>
            <w:tcW w:w="1440" w:type="dxa"/>
            <w:shd w:val="clear" w:color="auto" w:fill="auto"/>
            <w:noWrap/>
            <w:vAlign w:val="center"/>
            <w:hideMark/>
          </w:tcPr>
          <w:p w14:paraId="7772F31F"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0FE5D70A"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7F7747F6"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1E10A473"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7F81A1D2"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2B29F186" w14:textId="77777777" w:rsidR="006B728F" w:rsidRPr="00E36CE7" w:rsidRDefault="006B728F" w:rsidP="00BC0124">
            <w:pPr>
              <w:pStyle w:val="tablastexto"/>
            </w:pPr>
            <w:r w:rsidRPr="00E36CE7">
              <w:t>Prefactibilidad</w:t>
            </w:r>
          </w:p>
        </w:tc>
      </w:tr>
      <w:tr w:rsidR="006B728F" w:rsidRPr="00E36CE7" w14:paraId="7B22B5DF" w14:textId="77777777" w:rsidTr="00945BCE">
        <w:trPr>
          <w:trHeight w:val="1417"/>
        </w:trPr>
        <w:tc>
          <w:tcPr>
            <w:tcW w:w="1710" w:type="dxa"/>
            <w:shd w:val="clear" w:color="auto" w:fill="auto"/>
            <w:noWrap/>
            <w:vAlign w:val="center"/>
            <w:hideMark/>
          </w:tcPr>
          <w:p w14:paraId="7E782656" w14:textId="77777777" w:rsidR="006B728F" w:rsidRPr="00E36CE7" w:rsidRDefault="006B728F" w:rsidP="00BC0124">
            <w:pPr>
              <w:pStyle w:val="tablastexto"/>
            </w:pPr>
            <w:r w:rsidRPr="00E36CE7">
              <w:t>Distrito Creativo Teusaquillo</w:t>
            </w:r>
          </w:p>
        </w:tc>
        <w:tc>
          <w:tcPr>
            <w:tcW w:w="1440" w:type="dxa"/>
            <w:shd w:val="clear" w:color="auto" w:fill="auto"/>
            <w:noWrap/>
            <w:vAlign w:val="center"/>
            <w:hideMark/>
          </w:tcPr>
          <w:p w14:paraId="6263B019"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25678D6B"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10A90FA6"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40CA1B9C"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24921461"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13248583" w14:textId="77777777" w:rsidR="006B728F" w:rsidRPr="00E36CE7" w:rsidRDefault="006B728F" w:rsidP="00BC0124">
            <w:pPr>
              <w:pStyle w:val="tablastexto"/>
            </w:pPr>
            <w:r w:rsidRPr="00E36CE7">
              <w:t>Prefactibilidad</w:t>
            </w:r>
          </w:p>
        </w:tc>
      </w:tr>
      <w:tr w:rsidR="006B728F" w:rsidRPr="00E36CE7" w14:paraId="3DE8F785" w14:textId="77777777" w:rsidTr="00945BCE">
        <w:trPr>
          <w:trHeight w:val="1417"/>
        </w:trPr>
        <w:tc>
          <w:tcPr>
            <w:tcW w:w="1710" w:type="dxa"/>
            <w:shd w:val="clear" w:color="auto" w:fill="auto"/>
            <w:noWrap/>
            <w:vAlign w:val="center"/>
            <w:hideMark/>
          </w:tcPr>
          <w:p w14:paraId="7DA8308E" w14:textId="77777777" w:rsidR="006B728F" w:rsidRPr="00E36CE7" w:rsidRDefault="006B728F" w:rsidP="00BC0124">
            <w:pPr>
              <w:pStyle w:val="tablastexto"/>
            </w:pPr>
            <w:r w:rsidRPr="00E36CE7">
              <w:lastRenderedPageBreak/>
              <w:t>Distrito Creativo Usaquén</w:t>
            </w:r>
          </w:p>
        </w:tc>
        <w:tc>
          <w:tcPr>
            <w:tcW w:w="1440" w:type="dxa"/>
            <w:shd w:val="clear" w:color="auto" w:fill="auto"/>
            <w:noWrap/>
            <w:vAlign w:val="center"/>
            <w:hideMark/>
          </w:tcPr>
          <w:p w14:paraId="385BC43A"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3383BCAA"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5FE98632"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1CCE0E19" w14:textId="77777777" w:rsidR="006B728F" w:rsidRPr="00E36CE7" w:rsidRDefault="006B728F" w:rsidP="00BC0124">
            <w:pPr>
              <w:pStyle w:val="tablastexto"/>
            </w:pPr>
            <w:r w:rsidRPr="00E36CE7">
              <w:t>3.20. Promoción del emprendimiento formal, equitativo e incluyente</w:t>
            </w:r>
          </w:p>
        </w:tc>
        <w:tc>
          <w:tcPr>
            <w:tcW w:w="1350" w:type="dxa"/>
            <w:shd w:val="clear" w:color="auto" w:fill="auto"/>
            <w:noWrap/>
            <w:vAlign w:val="center"/>
            <w:hideMark/>
          </w:tcPr>
          <w:p w14:paraId="27FF9812" w14:textId="77777777" w:rsidR="006B728F" w:rsidRPr="00E36CE7" w:rsidRDefault="006B728F" w:rsidP="00BC0124">
            <w:pPr>
              <w:pStyle w:val="tablastexto"/>
            </w:pPr>
            <w:r w:rsidRPr="00E36CE7">
              <w:t>Secretaría Distrital de Cultura, Recreación y Deporte</w:t>
            </w:r>
          </w:p>
        </w:tc>
        <w:tc>
          <w:tcPr>
            <w:tcW w:w="1500" w:type="dxa"/>
            <w:shd w:val="clear" w:color="auto" w:fill="auto"/>
            <w:noWrap/>
            <w:vAlign w:val="center"/>
            <w:hideMark/>
          </w:tcPr>
          <w:p w14:paraId="1379ACDB" w14:textId="77777777" w:rsidR="006B728F" w:rsidRPr="00E36CE7" w:rsidRDefault="006B728F" w:rsidP="00BC0124">
            <w:pPr>
              <w:pStyle w:val="tablastexto"/>
            </w:pPr>
            <w:r w:rsidRPr="00E36CE7">
              <w:t>Sin iniciar</w:t>
            </w:r>
          </w:p>
        </w:tc>
      </w:tr>
      <w:tr w:rsidR="006B728F" w:rsidRPr="00E36CE7" w14:paraId="537F02C2" w14:textId="77777777" w:rsidTr="00945BCE">
        <w:trPr>
          <w:trHeight w:val="1814"/>
        </w:trPr>
        <w:tc>
          <w:tcPr>
            <w:tcW w:w="1710" w:type="dxa"/>
            <w:shd w:val="clear" w:color="auto" w:fill="auto"/>
            <w:noWrap/>
            <w:vAlign w:val="center"/>
            <w:hideMark/>
          </w:tcPr>
          <w:p w14:paraId="2D6C785E" w14:textId="77777777" w:rsidR="006B728F" w:rsidRPr="00E36CE7" w:rsidRDefault="006B728F" w:rsidP="00BC0124">
            <w:pPr>
              <w:pStyle w:val="tablastexto"/>
            </w:pPr>
            <w:r w:rsidRPr="00E36CE7">
              <w:t>Construcción del Distrito de Ciencia, Tecnología e Innovación</w:t>
            </w:r>
          </w:p>
        </w:tc>
        <w:tc>
          <w:tcPr>
            <w:tcW w:w="1440" w:type="dxa"/>
            <w:shd w:val="clear" w:color="auto" w:fill="auto"/>
            <w:noWrap/>
            <w:vAlign w:val="center"/>
            <w:hideMark/>
          </w:tcPr>
          <w:p w14:paraId="355279D4"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38187F07"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1ECDEE2F"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5D375538" w14:textId="77777777" w:rsidR="006B728F" w:rsidRPr="00E36CE7" w:rsidRDefault="006B728F" w:rsidP="00BC0124">
            <w:pPr>
              <w:pStyle w:val="tablastexto"/>
            </w:pPr>
            <w:r w:rsidRPr="00E36CE7">
              <w:t>3.18. Ciencia, tecnología e innovación-CTel para desarrollar nuestro potencial y promover el de nuestros vecinos regionales</w:t>
            </w:r>
          </w:p>
        </w:tc>
        <w:tc>
          <w:tcPr>
            <w:tcW w:w="1350" w:type="dxa"/>
            <w:shd w:val="clear" w:color="auto" w:fill="auto"/>
            <w:noWrap/>
            <w:vAlign w:val="center"/>
            <w:hideMark/>
          </w:tcPr>
          <w:p w14:paraId="2ECD1E83" w14:textId="77777777" w:rsidR="006B728F" w:rsidRPr="00E36CE7" w:rsidRDefault="006B728F" w:rsidP="00BC0124">
            <w:pPr>
              <w:pStyle w:val="tablastexto"/>
            </w:pPr>
            <w:r w:rsidRPr="00E36CE7">
              <w:t>Secretaría Distrital de Desarrollo Económico</w:t>
            </w:r>
          </w:p>
        </w:tc>
        <w:tc>
          <w:tcPr>
            <w:tcW w:w="1500" w:type="dxa"/>
            <w:shd w:val="clear" w:color="auto" w:fill="auto"/>
            <w:noWrap/>
            <w:vAlign w:val="center"/>
            <w:hideMark/>
          </w:tcPr>
          <w:p w14:paraId="0E1840EA" w14:textId="77777777" w:rsidR="006B728F" w:rsidRPr="00E36CE7" w:rsidRDefault="006B728F" w:rsidP="00BC0124">
            <w:pPr>
              <w:pStyle w:val="tablastexto"/>
            </w:pPr>
            <w:r w:rsidRPr="00E36CE7">
              <w:t>Factibilidad</w:t>
            </w:r>
          </w:p>
        </w:tc>
      </w:tr>
      <w:tr w:rsidR="006B728F" w:rsidRPr="00E36CE7" w14:paraId="7F7E50CC" w14:textId="77777777" w:rsidTr="00945BCE">
        <w:trPr>
          <w:trHeight w:val="1417"/>
        </w:trPr>
        <w:tc>
          <w:tcPr>
            <w:tcW w:w="1710" w:type="dxa"/>
            <w:shd w:val="clear" w:color="auto" w:fill="auto"/>
            <w:noWrap/>
            <w:vAlign w:val="center"/>
            <w:hideMark/>
          </w:tcPr>
          <w:p w14:paraId="4A99BDB1" w14:textId="77777777" w:rsidR="006B728F" w:rsidRPr="00E36CE7" w:rsidRDefault="006B728F" w:rsidP="00BC0124">
            <w:pPr>
              <w:pStyle w:val="tablastexto"/>
            </w:pPr>
            <w:r w:rsidRPr="00E36CE7">
              <w:t>Transformación del borde aeroportuario y conformación del Anillo Logístico de Occidente</w:t>
            </w:r>
          </w:p>
        </w:tc>
        <w:tc>
          <w:tcPr>
            <w:tcW w:w="1440" w:type="dxa"/>
            <w:shd w:val="clear" w:color="auto" w:fill="auto"/>
            <w:noWrap/>
            <w:vAlign w:val="center"/>
            <w:hideMark/>
          </w:tcPr>
          <w:p w14:paraId="070F1AC0"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6981FD5B"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3AE18272" w14:textId="77777777" w:rsidR="006B728F" w:rsidRPr="00E36CE7" w:rsidRDefault="006B728F" w:rsidP="00BC0124">
            <w:pPr>
              <w:pStyle w:val="tablastexto"/>
            </w:pPr>
            <w:r w:rsidRPr="00E36CE7">
              <w:t>3. Bogotá confía en su potencial</w:t>
            </w:r>
          </w:p>
        </w:tc>
        <w:tc>
          <w:tcPr>
            <w:tcW w:w="1350" w:type="dxa"/>
            <w:shd w:val="clear" w:color="auto" w:fill="auto"/>
            <w:noWrap/>
            <w:vAlign w:val="center"/>
            <w:hideMark/>
          </w:tcPr>
          <w:p w14:paraId="785628F3" w14:textId="77777777" w:rsidR="006B728F" w:rsidRPr="00E36CE7" w:rsidRDefault="006B728F" w:rsidP="00BC0124">
            <w:pPr>
              <w:pStyle w:val="tablastexto"/>
            </w:pPr>
            <w:r w:rsidRPr="00E36CE7">
              <w:t>3.21. Bogotá Ciudad Portuaria</w:t>
            </w:r>
          </w:p>
        </w:tc>
        <w:tc>
          <w:tcPr>
            <w:tcW w:w="1350" w:type="dxa"/>
            <w:shd w:val="clear" w:color="auto" w:fill="auto"/>
            <w:noWrap/>
            <w:vAlign w:val="center"/>
            <w:hideMark/>
          </w:tcPr>
          <w:p w14:paraId="1C6DF4CE" w14:textId="77777777" w:rsidR="006B728F" w:rsidRPr="00E36CE7" w:rsidRDefault="006B728F" w:rsidP="00BC0124">
            <w:pPr>
              <w:pStyle w:val="tablastexto"/>
            </w:pPr>
            <w:r w:rsidRPr="00E36CE7">
              <w:t>Secretaría Distrital de Planeación</w:t>
            </w:r>
          </w:p>
        </w:tc>
        <w:tc>
          <w:tcPr>
            <w:tcW w:w="1500" w:type="dxa"/>
            <w:shd w:val="clear" w:color="auto" w:fill="auto"/>
            <w:noWrap/>
            <w:vAlign w:val="center"/>
            <w:hideMark/>
          </w:tcPr>
          <w:p w14:paraId="4155467F" w14:textId="77777777" w:rsidR="006B728F" w:rsidRPr="00E36CE7" w:rsidRDefault="006B728F" w:rsidP="00BC0124">
            <w:pPr>
              <w:pStyle w:val="tablastexto"/>
            </w:pPr>
            <w:r w:rsidRPr="00E36CE7">
              <w:t>Sin iniciar</w:t>
            </w:r>
          </w:p>
        </w:tc>
      </w:tr>
      <w:tr w:rsidR="006B728F" w:rsidRPr="00E36CE7" w14:paraId="4AF2A095" w14:textId="77777777" w:rsidTr="00945BCE">
        <w:trPr>
          <w:trHeight w:val="1417"/>
        </w:trPr>
        <w:tc>
          <w:tcPr>
            <w:tcW w:w="1710" w:type="dxa"/>
            <w:shd w:val="clear" w:color="auto" w:fill="auto"/>
            <w:noWrap/>
            <w:vAlign w:val="center"/>
            <w:hideMark/>
          </w:tcPr>
          <w:p w14:paraId="2BEE9A12" w14:textId="77777777" w:rsidR="006B728F" w:rsidRPr="00E36CE7" w:rsidRDefault="006B728F" w:rsidP="00BC0124">
            <w:pPr>
              <w:pStyle w:val="tablastexto"/>
            </w:pPr>
            <w:r w:rsidRPr="00E36CE7">
              <w:t>Bronx Distrito Creativo</w:t>
            </w:r>
          </w:p>
        </w:tc>
        <w:tc>
          <w:tcPr>
            <w:tcW w:w="1440" w:type="dxa"/>
            <w:shd w:val="clear" w:color="auto" w:fill="auto"/>
            <w:noWrap/>
            <w:vAlign w:val="center"/>
            <w:hideMark/>
          </w:tcPr>
          <w:p w14:paraId="7B997708"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49786D95" w14:textId="77777777" w:rsidR="006B728F" w:rsidRPr="00E36CE7" w:rsidRDefault="006B728F" w:rsidP="00BC0124">
            <w:pPr>
              <w:pStyle w:val="tablastexto"/>
            </w:pPr>
            <w:r w:rsidRPr="00E36CE7">
              <w:t>3. Subprograma de promoción de actividades productivas, generación de empleo e ingresos</w:t>
            </w:r>
          </w:p>
        </w:tc>
        <w:tc>
          <w:tcPr>
            <w:tcW w:w="1266" w:type="dxa"/>
            <w:shd w:val="clear" w:color="auto" w:fill="auto"/>
            <w:noWrap/>
            <w:vAlign w:val="center"/>
            <w:hideMark/>
          </w:tcPr>
          <w:p w14:paraId="2C10DAC0"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1DA4C7A0" w14:textId="77777777" w:rsidR="006B728F" w:rsidRPr="00E36CE7" w:rsidRDefault="006B728F" w:rsidP="00BC0124">
            <w:pPr>
              <w:pStyle w:val="tablastexto"/>
            </w:pPr>
            <w:r w:rsidRPr="00E36CE7">
              <w:t>4.24. Revitalización y renovación urbana y rural con inclusión</w:t>
            </w:r>
          </w:p>
        </w:tc>
        <w:tc>
          <w:tcPr>
            <w:tcW w:w="1350" w:type="dxa"/>
            <w:shd w:val="clear" w:color="auto" w:fill="auto"/>
            <w:noWrap/>
            <w:vAlign w:val="center"/>
            <w:hideMark/>
          </w:tcPr>
          <w:p w14:paraId="558B10BA" w14:textId="77777777" w:rsidR="006B728F" w:rsidRPr="00E36CE7" w:rsidRDefault="006B728F" w:rsidP="00BC0124">
            <w:pPr>
              <w:pStyle w:val="tablastexto"/>
            </w:pPr>
            <w:r w:rsidRPr="00E36CE7">
              <w:t>Fundación Gilberto Alzate Avendaño</w:t>
            </w:r>
          </w:p>
        </w:tc>
        <w:tc>
          <w:tcPr>
            <w:tcW w:w="1500" w:type="dxa"/>
            <w:shd w:val="clear" w:color="auto" w:fill="auto"/>
            <w:noWrap/>
            <w:vAlign w:val="center"/>
            <w:hideMark/>
          </w:tcPr>
          <w:p w14:paraId="530D93F9" w14:textId="77777777" w:rsidR="006B728F" w:rsidRPr="00E36CE7" w:rsidRDefault="006B728F" w:rsidP="00BC0124">
            <w:pPr>
              <w:pStyle w:val="tablastexto"/>
            </w:pPr>
            <w:r w:rsidRPr="00E36CE7">
              <w:t>Obra (Ejecución)</w:t>
            </w:r>
          </w:p>
        </w:tc>
      </w:tr>
      <w:tr w:rsidR="006B728F" w:rsidRPr="00E36CE7" w14:paraId="5CA363FA" w14:textId="77777777" w:rsidTr="00945BCE">
        <w:trPr>
          <w:trHeight w:val="1417"/>
        </w:trPr>
        <w:tc>
          <w:tcPr>
            <w:tcW w:w="1710" w:type="dxa"/>
            <w:shd w:val="clear" w:color="auto" w:fill="auto"/>
            <w:noWrap/>
            <w:vAlign w:val="center"/>
            <w:hideMark/>
          </w:tcPr>
          <w:p w14:paraId="590747E6" w14:textId="77777777" w:rsidR="006B728F" w:rsidRPr="00E36CE7" w:rsidRDefault="006B728F" w:rsidP="00BC0124">
            <w:pPr>
              <w:pStyle w:val="tablastexto"/>
            </w:pPr>
            <w:r w:rsidRPr="00E36CE7">
              <w:t>Ciudad Lagos de Torca</w:t>
            </w:r>
          </w:p>
        </w:tc>
        <w:tc>
          <w:tcPr>
            <w:tcW w:w="1440" w:type="dxa"/>
            <w:shd w:val="clear" w:color="auto" w:fill="auto"/>
            <w:noWrap/>
            <w:vAlign w:val="center"/>
            <w:hideMark/>
          </w:tcPr>
          <w:p w14:paraId="075E1F3F" w14:textId="77777777" w:rsidR="006B728F" w:rsidRPr="00E36CE7" w:rsidRDefault="006B728F" w:rsidP="00BC0124">
            <w:pPr>
              <w:pStyle w:val="tablastexto"/>
            </w:pPr>
            <w:r w:rsidRPr="00E36CE7">
              <w:t>4. Programa Hábitat y vivienda popular</w:t>
            </w:r>
          </w:p>
        </w:tc>
        <w:tc>
          <w:tcPr>
            <w:tcW w:w="1974" w:type="dxa"/>
            <w:shd w:val="clear" w:color="auto" w:fill="auto"/>
            <w:noWrap/>
            <w:vAlign w:val="center"/>
            <w:hideMark/>
          </w:tcPr>
          <w:p w14:paraId="40E15B73" w14:textId="77777777" w:rsidR="006B728F" w:rsidRPr="00E36CE7" w:rsidRDefault="006B728F" w:rsidP="00BC0124">
            <w:pPr>
              <w:pStyle w:val="tablastexto"/>
            </w:pPr>
            <w:r w:rsidRPr="00E36CE7">
              <w:t>1. Subprograma de cualificación del hábitat</w:t>
            </w:r>
          </w:p>
        </w:tc>
        <w:tc>
          <w:tcPr>
            <w:tcW w:w="1266" w:type="dxa"/>
            <w:shd w:val="clear" w:color="auto" w:fill="auto"/>
            <w:noWrap/>
            <w:vAlign w:val="center"/>
            <w:hideMark/>
          </w:tcPr>
          <w:p w14:paraId="207E2106"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21C59948" w14:textId="77777777" w:rsidR="006B728F" w:rsidRPr="00E36CE7" w:rsidRDefault="006B728F" w:rsidP="00BC0124">
            <w:pPr>
              <w:pStyle w:val="tablastexto"/>
            </w:pPr>
            <w:r w:rsidRPr="00E36CE7">
              <w:t>4.31. Acceso equitativo de vivienda urbana y rural</w:t>
            </w:r>
          </w:p>
        </w:tc>
        <w:tc>
          <w:tcPr>
            <w:tcW w:w="1350" w:type="dxa"/>
            <w:shd w:val="clear" w:color="auto" w:fill="auto"/>
            <w:noWrap/>
            <w:vAlign w:val="center"/>
            <w:hideMark/>
          </w:tcPr>
          <w:p w14:paraId="3496182D" w14:textId="77777777" w:rsidR="006B728F" w:rsidRPr="00E36CE7" w:rsidRDefault="006B728F" w:rsidP="00BC0124">
            <w:pPr>
              <w:pStyle w:val="tablastexto"/>
            </w:pPr>
            <w:r w:rsidRPr="00E36CE7">
              <w:t>Secretaría Distrital de Hábitat</w:t>
            </w:r>
          </w:p>
        </w:tc>
        <w:tc>
          <w:tcPr>
            <w:tcW w:w="1500" w:type="dxa"/>
            <w:shd w:val="clear" w:color="auto" w:fill="auto"/>
            <w:noWrap/>
            <w:vAlign w:val="center"/>
            <w:hideMark/>
          </w:tcPr>
          <w:p w14:paraId="7D2A58F3" w14:textId="77777777" w:rsidR="006B728F" w:rsidRPr="00E36CE7" w:rsidRDefault="006B728F" w:rsidP="00BC0124">
            <w:pPr>
              <w:pStyle w:val="tablastexto"/>
            </w:pPr>
            <w:r w:rsidRPr="00E36CE7">
              <w:t>En Implementación</w:t>
            </w:r>
          </w:p>
        </w:tc>
      </w:tr>
      <w:tr w:rsidR="006B728F" w:rsidRPr="00E36CE7" w14:paraId="52DD42D0" w14:textId="77777777" w:rsidTr="00945BCE">
        <w:trPr>
          <w:trHeight w:val="1417"/>
        </w:trPr>
        <w:tc>
          <w:tcPr>
            <w:tcW w:w="1710" w:type="dxa"/>
            <w:shd w:val="clear" w:color="auto" w:fill="auto"/>
            <w:noWrap/>
            <w:vAlign w:val="center"/>
            <w:hideMark/>
          </w:tcPr>
          <w:p w14:paraId="033F57D9" w14:textId="77777777" w:rsidR="006B728F" w:rsidRPr="00E36CE7" w:rsidRDefault="006B728F" w:rsidP="00BC0124">
            <w:pPr>
              <w:pStyle w:val="tablastexto"/>
            </w:pPr>
            <w:r w:rsidRPr="00E36CE7">
              <w:t>Revitalización zona de Reencuentro</w:t>
            </w:r>
          </w:p>
        </w:tc>
        <w:tc>
          <w:tcPr>
            <w:tcW w:w="1440" w:type="dxa"/>
            <w:shd w:val="clear" w:color="auto" w:fill="auto"/>
            <w:noWrap/>
            <w:vAlign w:val="center"/>
            <w:hideMark/>
          </w:tcPr>
          <w:p w14:paraId="3019D422" w14:textId="77777777" w:rsidR="006B728F" w:rsidRPr="00E36CE7" w:rsidRDefault="006B728F" w:rsidP="00BC0124">
            <w:pPr>
              <w:pStyle w:val="tablastexto"/>
            </w:pPr>
            <w:r w:rsidRPr="00E36CE7">
              <w:t>4. Programa Hábitat y vivienda popular</w:t>
            </w:r>
          </w:p>
        </w:tc>
        <w:tc>
          <w:tcPr>
            <w:tcW w:w="1974" w:type="dxa"/>
            <w:shd w:val="clear" w:color="auto" w:fill="auto"/>
            <w:noWrap/>
            <w:vAlign w:val="center"/>
            <w:hideMark/>
          </w:tcPr>
          <w:p w14:paraId="69EBEDF3" w14:textId="77777777" w:rsidR="006B728F" w:rsidRPr="00E36CE7" w:rsidRDefault="006B728F" w:rsidP="00BC0124">
            <w:pPr>
              <w:pStyle w:val="tablastexto"/>
            </w:pPr>
            <w:r w:rsidRPr="00E36CE7">
              <w:t>1. Subprograma de cualificación del hábitat</w:t>
            </w:r>
          </w:p>
        </w:tc>
        <w:tc>
          <w:tcPr>
            <w:tcW w:w="1266" w:type="dxa"/>
            <w:shd w:val="clear" w:color="auto" w:fill="auto"/>
            <w:noWrap/>
            <w:vAlign w:val="center"/>
            <w:hideMark/>
          </w:tcPr>
          <w:p w14:paraId="1B146CB4"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799AFEAB" w14:textId="77777777" w:rsidR="006B728F" w:rsidRPr="00E36CE7" w:rsidRDefault="006B728F" w:rsidP="00BC0124">
            <w:pPr>
              <w:pStyle w:val="tablastexto"/>
            </w:pPr>
            <w:r w:rsidRPr="00E36CE7">
              <w:t>4.24. Revitalización y renovación urbana y rural con inclusión</w:t>
            </w:r>
          </w:p>
        </w:tc>
        <w:tc>
          <w:tcPr>
            <w:tcW w:w="1350" w:type="dxa"/>
            <w:shd w:val="clear" w:color="auto" w:fill="auto"/>
            <w:noWrap/>
            <w:vAlign w:val="center"/>
            <w:hideMark/>
          </w:tcPr>
          <w:p w14:paraId="4A28D8B0" w14:textId="77777777" w:rsidR="006B728F" w:rsidRPr="00E36CE7" w:rsidRDefault="006B728F" w:rsidP="00BC0124">
            <w:pPr>
              <w:pStyle w:val="tablastexto"/>
            </w:pPr>
            <w:r w:rsidRPr="00E36CE7">
              <w:t>Empresa de Renovación y Desarrollo Urbano de Bogotá D.C.</w:t>
            </w:r>
          </w:p>
        </w:tc>
        <w:tc>
          <w:tcPr>
            <w:tcW w:w="1500" w:type="dxa"/>
            <w:shd w:val="clear" w:color="auto" w:fill="auto"/>
            <w:noWrap/>
            <w:vAlign w:val="center"/>
            <w:hideMark/>
          </w:tcPr>
          <w:p w14:paraId="1C0DA770" w14:textId="77777777" w:rsidR="006B728F" w:rsidRPr="00E36CE7" w:rsidRDefault="006B728F" w:rsidP="00BC0124">
            <w:pPr>
              <w:pStyle w:val="tablastexto"/>
            </w:pPr>
            <w:r w:rsidRPr="00E36CE7">
              <w:t>En Implementación</w:t>
            </w:r>
          </w:p>
        </w:tc>
      </w:tr>
      <w:tr w:rsidR="006B728F" w:rsidRPr="00E36CE7" w14:paraId="75AD113C" w14:textId="77777777" w:rsidTr="00945BCE">
        <w:trPr>
          <w:trHeight w:val="1417"/>
        </w:trPr>
        <w:tc>
          <w:tcPr>
            <w:tcW w:w="1710" w:type="dxa"/>
            <w:shd w:val="clear" w:color="auto" w:fill="auto"/>
            <w:noWrap/>
            <w:vAlign w:val="center"/>
            <w:hideMark/>
          </w:tcPr>
          <w:p w14:paraId="0D58F836" w14:textId="77777777" w:rsidR="006B728F" w:rsidRPr="00E36CE7" w:rsidRDefault="006B728F" w:rsidP="00BC0124">
            <w:pPr>
              <w:pStyle w:val="tablastexto"/>
            </w:pPr>
            <w:r w:rsidRPr="00E36CE7">
              <w:t>Revitalización 20 de Julio en torno al cable aéreo de San Cristóbal</w:t>
            </w:r>
          </w:p>
        </w:tc>
        <w:tc>
          <w:tcPr>
            <w:tcW w:w="1440" w:type="dxa"/>
            <w:shd w:val="clear" w:color="auto" w:fill="auto"/>
            <w:noWrap/>
            <w:vAlign w:val="center"/>
            <w:hideMark/>
          </w:tcPr>
          <w:p w14:paraId="2936F082" w14:textId="77777777" w:rsidR="006B728F" w:rsidRPr="00E36CE7" w:rsidRDefault="006B728F" w:rsidP="00BC0124">
            <w:pPr>
              <w:pStyle w:val="tablastexto"/>
            </w:pPr>
            <w:r w:rsidRPr="00E36CE7">
              <w:t>4. Programa Hábitat y vivienda popular</w:t>
            </w:r>
          </w:p>
        </w:tc>
        <w:tc>
          <w:tcPr>
            <w:tcW w:w="1974" w:type="dxa"/>
            <w:shd w:val="clear" w:color="auto" w:fill="auto"/>
            <w:noWrap/>
            <w:vAlign w:val="center"/>
            <w:hideMark/>
          </w:tcPr>
          <w:p w14:paraId="3BB56A3E" w14:textId="77777777" w:rsidR="006B728F" w:rsidRPr="00E36CE7" w:rsidRDefault="006B728F" w:rsidP="00BC0124">
            <w:pPr>
              <w:pStyle w:val="tablastexto"/>
            </w:pPr>
            <w:r w:rsidRPr="00E36CE7">
              <w:t>1. Subprograma de cualificación del hábitat</w:t>
            </w:r>
          </w:p>
        </w:tc>
        <w:tc>
          <w:tcPr>
            <w:tcW w:w="1266" w:type="dxa"/>
            <w:shd w:val="clear" w:color="auto" w:fill="auto"/>
            <w:noWrap/>
            <w:vAlign w:val="center"/>
            <w:hideMark/>
          </w:tcPr>
          <w:p w14:paraId="39B99D26"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20CE7F5E" w14:textId="77777777" w:rsidR="006B728F" w:rsidRPr="00E36CE7" w:rsidRDefault="006B728F" w:rsidP="00BC0124">
            <w:pPr>
              <w:pStyle w:val="tablastexto"/>
            </w:pPr>
            <w:r w:rsidRPr="00E36CE7">
              <w:t>4.24. Revitalización y renovación urbana y rural con inclusión</w:t>
            </w:r>
          </w:p>
        </w:tc>
        <w:tc>
          <w:tcPr>
            <w:tcW w:w="1350" w:type="dxa"/>
            <w:shd w:val="clear" w:color="auto" w:fill="auto"/>
            <w:noWrap/>
            <w:vAlign w:val="center"/>
            <w:hideMark/>
          </w:tcPr>
          <w:p w14:paraId="2CF8F458" w14:textId="77777777" w:rsidR="006B728F" w:rsidRPr="00E36CE7" w:rsidRDefault="006B728F" w:rsidP="00BC0124">
            <w:pPr>
              <w:pStyle w:val="tablastexto"/>
            </w:pPr>
            <w:r w:rsidRPr="00E36CE7">
              <w:t>Secretaría Distrital de Hábitat</w:t>
            </w:r>
          </w:p>
        </w:tc>
        <w:tc>
          <w:tcPr>
            <w:tcW w:w="1500" w:type="dxa"/>
            <w:shd w:val="clear" w:color="auto" w:fill="auto"/>
            <w:noWrap/>
            <w:vAlign w:val="center"/>
            <w:hideMark/>
          </w:tcPr>
          <w:p w14:paraId="65C29A79" w14:textId="77777777" w:rsidR="006B728F" w:rsidRPr="00E36CE7" w:rsidRDefault="006B728F" w:rsidP="00BC0124">
            <w:pPr>
              <w:pStyle w:val="tablastexto"/>
            </w:pPr>
            <w:r w:rsidRPr="00E36CE7">
              <w:t>En Implementación</w:t>
            </w:r>
          </w:p>
        </w:tc>
      </w:tr>
      <w:tr w:rsidR="006B728F" w:rsidRPr="00E36CE7" w14:paraId="3715DF41" w14:textId="77777777" w:rsidTr="00945BCE">
        <w:trPr>
          <w:trHeight w:val="1417"/>
        </w:trPr>
        <w:tc>
          <w:tcPr>
            <w:tcW w:w="1710" w:type="dxa"/>
            <w:shd w:val="clear" w:color="auto" w:fill="auto"/>
            <w:noWrap/>
            <w:vAlign w:val="center"/>
            <w:hideMark/>
          </w:tcPr>
          <w:p w14:paraId="0B7B1F9D" w14:textId="77777777" w:rsidR="006B728F" w:rsidRPr="00E36CE7" w:rsidRDefault="006B728F" w:rsidP="00BC0124">
            <w:pPr>
              <w:pStyle w:val="tablastexto"/>
            </w:pPr>
            <w:r w:rsidRPr="00E36CE7">
              <w:lastRenderedPageBreak/>
              <w:t>Corredor logístico - Avenida Centenario</w:t>
            </w:r>
          </w:p>
        </w:tc>
        <w:tc>
          <w:tcPr>
            <w:tcW w:w="1440" w:type="dxa"/>
            <w:shd w:val="clear" w:color="auto" w:fill="auto"/>
            <w:noWrap/>
            <w:vAlign w:val="center"/>
            <w:hideMark/>
          </w:tcPr>
          <w:p w14:paraId="0D788468"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637C505D"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3323DDAC"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01FBD9D1"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35DFE198"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68DE66AD" w14:textId="77777777" w:rsidR="006B728F" w:rsidRPr="00E36CE7" w:rsidRDefault="006B728F" w:rsidP="00BC0124">
            <w:pPr>
              <w:pStyle w:val="tablastexto"/>
            </w:pPr>
            <w:r w:rsidRPr="00E36CE7">
              <w:t>Obra (Contratación)</w:t>
            </w:r>
          </w:p>
        </w:tc>
      </w:tr>
      <w:tr w:rsidR="006B728F" w:rsidRPr="00E36CE7" w14:paraId="18DB0280" w14:textId="77777777" w:rsidTr="00945BCE">
        <w:trPr>
          <w:trHeight w:val="1417"/>
        </w:trPr>
        <w:tc>
          <w:tcPr>
            <w:tcW w:w="1710" w:type="dxa"/>
            <w:shd w:val="clear" w:color="auto" w:fill="auto"/>
            <w:noWrap/>
            <w:vAlign w:val="center"/>
            <w:hideMark/>
          </w:tcPr>
          <w:p w14:paraId="5D22835F" w14:textId="77777777" w:rsidR="006B728F" w:rsidRPr="00E36CE7" w:rsidRDefault="006B728F" w:rsidP="00BC0124">
            <w:pPr>
              <w:pStyle w:val="tablastexto"/>
            </w:pPr>
            <w:r w:rsidRPr="00E36CE7">
              <w:t>Corredor logístico - Avenida Ciudad de Cali</w:t>
            </w:r>
          </w:p>
        </w:tc>
        <w:tc>
          <w:tcPr>
            <w:tcW w:w="1440" w:type="dxa"/>
            <w:shd w:val="clear" w:color="auto" w:fill="auto"/>
            <w:noWrap/>
            <w:vAlign w:val="center"/>
            <w:hideMark/>
          </w:tcPr>
          <w:p w14:paraId="1016CDA6"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5DC0FA0"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76506169"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04B5F5C1"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53A1A349"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7B020DDE" w14:textId="77777777" w:rsidR="006B728F" w:rsidRPr="00E36CE7" w:rsidRDefault="006B728F" w:rsidP="00BC0124">
            <w:pPr>
              <w:pStyle w:val="tablastexto"/>
            </w:pPr>
            <w:r w:rsidRPr="00E36CE7">
              <w:t>Estudios y diseños</w:t>
            </w:r>
          </w:p>
        </w:tc>
      </w:tr>
      <w:tr w:rsidR="006B728F" w:rsidRPr="00E36CE7" w14:paraId="2E4DAEEA" w14:textId="77777777" w:rsidTr="00945BCE">
        <w:trPr>
          <w:trHeight w:val="1417"/>
        </w:trPr>
        <w:tc>
          <w:tcPr>
            <w:tcW w:w="1710" w:type="dxa"/>
            <w:shd w:val="clear" w:color="auto" w:fill="auto"/>
            <w:noWrap/>
            <w:vAlign w:val="center"/>
            <w:hideMark/>
          </w:tcPr>
          <w:p w14:paraId="24FB9DED" w14:textId="77777777" w:rsidR="006B728F" w:rsidRPr="00E36CE7" w:rsidRDefault="006B728F" w:rsidP="00BC0124">
            <w:pPr>
              <w:pStyle w:val="tablastexto"/>
            </w:pPr>
            <w:r w:rsidRPr="00E36CE7">
              <w:t>Corredor logístico - Avenida Medellín</w:t>
            </w:r>
          </w:p>
        </w:tc>
        <w:tc>
          <w:tcPr>
            <w:tcW w:w="1440" w:type="dxa"/>
            <w:shd w:val="clear" w:color="auto" w:fill="auto"/>
            <w:noWrap/>
            <w:vAlign w:val="center"/>
            <w:hideMark/>
          </w:tcPr>
          <w:p w14:paraId="63E65421"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16365753"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3DC0BCC1"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26161B65"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3925BF05"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781DE7AC" w14:textId="77777777" w:rsidR="006B728F" w:rsidRPr="00E36CE7" w:rsidRDefault="006B728F" w:rsidP="00BC0124">
            <w:pPr>
              <w:pStyle w:val="tablastexto"/>
            </w:pPr>
            <w:r w:rsidRPr="00E36CE7">
              <w:t>Obra (Contratación)</w:t>
            </w:r>
          </w:p>
        </w:tc>
      </w:tr>
      <w:tr w:rsidR="006B728F" w:rsidRPr="00E36CE7" w14:paraId="5282AD40" w14:textId="77777777" w:rsidTr="00945BCE">
        <w:trPr>
          <w:trHeight w:val="1417"/>
        </w:trPr>
        <w:tc>
          <w:tcPr>
            <w:tcW w:w="1710" w:type="dxa"/>
            <w:shd w:val="clear" w:color="auto" w:fill="auto"/>
            <w:noWrap/>
            <w:vAlign w:val="center"/>
            <w:hideMark/>
          </w:tcPr>
          <w:p w14:paraId="753C238B" w14:textId="77777777" w:rsidR="006B728F" w:rsidRPr="00E36CE7" w:rsidRDefault="006B728F" w:rsidP="00BC0124">
            <w:pPr>
              <w:pStyle w:val="tablastexto"/>
            </w:pPr>
            <w:r w:rsidRPr="00E36CE7">
              <w:t>Corredor logístico - Avenida Villavicencio</w:t>
            </w:r>
          </w:p>
        </w:tc>
        <w:tc>
          <w:tcPr>
            <w:tcW w:w="1440" w:type="dxa"/>
            <w:shd w:val="clear" w:color="auto" w:fill="auto"/>
            <w:noWrap/>
            <w:vAlign w:val="center"/>
            <w:hideMark/>
          </w:tcPr>
          <w:p w14:paraId="1F2C71DA"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07187078"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4F9F6EE1"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326D8BED"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2F9DC2F0"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524C41BC" w14:textId="77777777" w:rsidR="006B728F" w:rsidRPr="00E36CE7" w:rsidRDefault="006B728F" w:rsidP="00BC0124">
            <w:pPr>
              <w:pStyle w:val="tablastexto"/>
            </w:pPr>
            <w:r w:rsidRPr="00E36CE7">
              <w:t>Estudios y diseños</w:t>
            </w:r>
          </w:p>
        </w:tc>
      </w:tr>
      <w:tr w:rsidR="006B728F" w:rsidRPr="00E36CE7" w14:paraId="59011437" w14:textId="77777777" w:rsidTr="00945BCE">
        <w:trPr>
          <w:trHeight w:val="1417"/>
        </w:trPr>
        <w:tc>
          <w:tcPr>
            <w:tcW w:w="1710" w:type="dxa"/>
            <w:shd w:val="clear" w:color="auto" w:fill="auto"/>
            <w:noWrap/>
            <w:vAlign w:val="center"/>
            <w:hideMark/>
          </w:tcPr>
          <w:p w14:paraId="7A3D55ED" w14:textId="77777777" w:rsidR="006B728F" w:rsidRPr="00E36CE7" w:rsidRDefault="006B728F" w:rsidP="00BC0124">
            <w:pPr>
              <w:pStyle w:val="tablastexto"/>
            </w:pPr>
            <w:r w:rsidRPr="00E36CE7">
              <w:t>Corredor logístico - Avenida Cota</w:t>
            </w:r>
          </w:p>
        </w:tc>
        <w:tc>
          <w:tcPr>
            <w:tcW w:w="1440" w:type="dxa"/>
            <w:shd w:val="clear" w:color="auto" w:fill="auto"/>
            <w:noWrap/>
            <w:vAlign w:val="center"/>
            <w:hideMark/>
          </w:tcPr>
          <w:p w14:paraId="1E165199"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9450EA8"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49502616"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22D1F8C7"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6C41BB83"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30C38CE6" w14:textId="77777777" w:rsidR="006B728F" w:rsidRPr="00E36CE7" w:rsidRDefault="006B728F" w:rsidP="00BC0124">
            <w:pPr>
              <w:pStyle w:val="tablastexto"/>
            </w:pPr>
            <w:r w:rsidRPr="00E36CE7">
              <w:t>Estudios y diseños</w:t>
            </w:r>
          </w:p>
        </w:tc>
      </w:tr>
      <w:tr w:rsidR="006B728F" w:rsidRPr="00E36CE7" w14:paraId="6F44ECDF" w14:textId="77777777" w:rsidTr="00945BCE">
        <w:trPr>
          <w:trHeight w:val="1417"/>
        </w:trPr>
        <w:tc>
          <w:tcPr>
            <w:tcW w:w="1710" w:type="dxa"/>
            <w:shd w:val="clear" w:color="auto" w:fill="auto"/>
            <w:noWrap/>
            <w:vAlign w:val="center"/>
            <w:hideMark/>
          </w:tcPr>
          <w:p w14:paraId="197178D2" w14:textId="77777777" w:rsidR="006B728F" w:rsidRPr="00E36CE7" w:rsidRDefault="006B728F" w:rsidP="00BC0124">
            <w:pPr>
              <w:pStyle w:val="tablastexto"/>
            </w:pPr>
            <w:r w:rsidRPr="00E36CE7">
              <w:t>Corredor logístico - Avenida José Celestino Mutis</w:t>
            </w:r>
          </w:p>
        </w:tc>
        <w:tc>
          <w:tcPr>
            <w:tcW w:w="1440" w:type="dxa"/>
            <w:shd w:val="clear" w:color="auto" w:fill="auto"/>
            <w:noWrap/>
            <w:vAlign w:val="center"/>
            <w:hideMark/>
          </w:tcPr>
          <w:p w14:paraId="3134C6EA"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50BFC271"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6793552C"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1A3756F2"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580F5336"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5EF81B87" w14:textId="77777777" w:rsidR="006B728F" w:rsidRPr="00E36CE7" w:rsidRDefault="006B728F" w:rsidP="00BC0124">
            <w:pPr>
              <w:pStyle w:val="tablastexto"/>
            </w:pPr>
            <w:r w:rsidRPr="00E36CE7">
              <w:t>Factibilidad</w:t>
            </w:r>
          </w:p>
        </w:tc>
      </w:tr>
      <w:tr w:rsidR="006B728F" w:rsidRPr="00E36CE7" w14:paraId="01EBFD9C" w14:textId="77777777" w:rsidTr="00945BCE">
        <w:trPr>
          <w:trHeight w:val="1417"/>
        </w:trPr>
        <w:tc>
          <w:tcPr>
            <w:tcW w:w="1710" w:type="dxa"/>
            <w:shd w:val="clear" w:color="auto" w:fill="auto"/>
            <w:noWrap/>
            <w:vAlign w:val="center"/>
            <w:hideMark/>
          </w:tcPr>
          <w:p w14:paraId="42401741" w14:textId="77777777" w:rsidR="006B728F" w:rsidRPr="00E36CE7" w:rsidRDefault="006B728F" w:rsidP="00BC0124">
            <w:pPr>
              <w:pStyle w:val="tablastexto"/>
            </w:pPr>
            <w:r w:rsidRPr="00E36CE7">
              <w:t>Corredor logístico - ALO</w:t>
            </w:r>
          </w:p>
        </w:tc>
        <w:tc>
          <w:tcPr>
            <w:tcW w:w="1440" w:type="dxa"/>
            <w:shd w:val="clear" w:color="auto" w:fill="auto"/>
            <w:noWrap/>
            <w:vAlign w:val="center"/>
            <w:hideMark/>
          </w:tcPr>
          <w:p w14:paraId="2FC8F65A" w14:textId="77777777" w:rsidR="006B728F" w:rsidRPr="00E36CE7" w:rsidRDefault="006B728F" w:rsidP="00BC0124">
            <w:pPr>
              <w:pStyle w:val="tablastexto"/>
            </w:pPr>
            <w:r w:rsidRPr="00E36CE7">
              <w:t>5. Programa Territorios Productivos, Competitivos e innovadores</w:t>
            </w:r>
          </w:p>
        </w:tc>
        <w:tc>
          <w:tcPr>
            <w:tcW w:w="1974" w:type="dxa"/>
            <w:shd w:val="clear" w:color="auto" w:fill="auto"/>
            <w:noWrap/>
            <w:vAlign w:val="center"/>
            <w:hideMark/>
          </w:tcPr>
          <w:p w14:paraId="4B9F9716" w14:textId="77777777" w:rsidR="006B728F" w:rsidRPr="00E36CE7" w:rsidRDefault="006B728F" w:rsidP="00BC0124">
            <w:pPr>
              <w:pStyle w:val="tablastexto"/>
            </w:pPr>
            <w:r w:rsidRPr="00E36CE7">
              <w:t>1. Subprograma de Conformación de anillos y corredores de carga y logística de integración regional</w:t>
            </w:r>
          </w:p>
        </w:tc>
        <w:tc>
          <w:tcPr>
            <w:tcW w:w="1266" w:type="dxa"/>
            <w:shd w:val="clear" w:color="auto" w:fill="auto"/>
            <w:noWrap/>
            <w:vAlign w:val="center"/>
            <w:hideMark/>
          </w:tcPr>
          <w:p w14:paraId="44741044" w14:textId="77777777" w:rsidR="006B728F" w:rsidRPr="00E36CE7" w:rsidRDefault="006B728F" w:rsidP="00BC0124">
            <w:pPr>
              <w:pStyle w:val="tablastexto"/>
            </w:pPr>
            <w:r w:rsidRPr="00E36CE7">
              <w:t>4.Bogotá ordena su territorio y avanza en su acción climática</w:t>
            </w:r>
          </w:p>
        </w:tc>
        <w:tc>
          <w:tcPr>
            <w:tcW w:w="1350" w:type="dxa"/>
            <w:shd w:val="clear" w:color="auto" w:fill="auto"/>
            <w:noWrap/>
            <w:vAlign w:val="center"/>
            <w:hideMark/>
          </w:tcPr>
          <w:p w14:paraId="33A0E269" w14:textId="77777777" w:rsidR="006B728F" w:rsidRPr="00E36CE7" w:rsidRDefault="006B728F" w:rsidP="00BC0124">
            <w:pPr>
              <w:pStyle w:val="tablastexto"/>
            </w:pPr>
            <w:r w:rsidRPr="00E36CE7">
              <w:t>4.26. Movilidad Sostenible</w:t>
            </w:r>
          </w:p>
        </w:tc>
        <w:tc>
          <w:tcPr>
            <w:tcW w:w="1350" w:type="dxa"/>
            <w:shd w:val="clear" w:color="auto" w:fill="auto"/>
            <w:noWrap/>
            <w:vAlign w:val="center"/>
            <w:hideMark/>
          </w:tcPr>
          <w:p w14:paraId="3E1AAA97" w14:textId="77777777" w:rsidR="006B728F" w:rsidRPr="00E36CE7" w:rsidRDefault="006B728F" w:rsidP="00BC0124">
            <w:pPr>
              <w:pStyle w:val="tablastexto"/>
            </w:pPr>
            <w:r w:rsidRPr="00E36CE7">
              <w:t>Instituto de Desarrollo Urbano – IDU</w:t>
            </w:r>
          </w:p>
        </w:tc>
        <w:tc>
          <w:tcPr>
            <w:tcW w:w="1500" w:type="dxa"/>
            <w:shd w:val="clear" w:color="auto" w:fill="auto"/>
            <w:noWrap/>
            <w:vAlign w:val="center"/>
            <w:hideMark/>
          </w:tcPr>
          <w:p w14:paraId="200F3188" w14:textId="77777777" w:rsidR="006B728F" w:rsidRPr="00E36CE7" w:rsidRDefault="006B728F" w:rsidP="00BC0124">
            <w:pPr>
              <w:pStyle w:val="tablastexto"/>
            </w:pPr>
            <w:r w:rsidRPr="00E36CE7">
              <w:t>Estudios y diseños</w:t>
            </w:r>
          </w:p>
        </w:tc>
      </w:tr>
    </w:tbl>
    <w:p w14:paraId="556CFCEC" w14:textId="77777777" w:rsidR="006B728F" w:rsidRDefault="006B728F" w:rsidP="00C91C74">
      <w:pPr>
        <w:rPr>
          <w:b/>
          <w:bCs/>
          <w:color w:val="C00000"/>
        </w:rPr>
      </w:pPr>
    </w:p>
    <w:p w14:paraId="71CB70D6" w14:textId="77777777" w:rsidR="00D10FD4" w:rsidRDefault="00D10FD4" w:rsidP="00C91C74">
      <w:pPr>
        <w:rPr>
          <w:rStyle w:val="Textoennegrita"/>
        </w:rPr>
      </w:pPr>
    </w:p>
    <w:p w14:paraId="512FCCDE" w14:textId="51283207" w:rsidR="006B728F" w:rsidRDefault="006B728F" w:rsidP="000274A7">
      <w:pPr>
        <w:jc w:val="center"/>
        <w:rPr>
          <w:b/>
          <w:bCs/>
          <w:color w:val="000000"/>
        </w:rPr>
      </w:pPr>
      <w:r w:rsidRPr="00C22819">
        <w:rPr>
          <w:rStyle w:val="Textoennegrita"/>
        </w:rPr>
        <w:lastRenderedPageBreak/>
        <w:t>Objetivo 6</w:t>
      </w:r>
      <w:r w:rsidR="000274A7">
        <w:rPr>
          <w:rStyle w:val="Textoennegrita"/>
        </w:rPr>
        <w:t>.</w:t>
      </w:r>
      <w:r w:rsidRPr="00E36CE7">
        <w:rPr>
          <w:b/>
          <w:bCs/>
          <w:color w:val="000000"/>
        </w:rPr>
        <w:t xml:space="preserve"> </w:t>
      </w:r>
      <w:r w:rsidRPr="000274A7">
        <w:rPr>
          <w:b/>
          <w:bCs/>
        </w:rPr>
        <w:t>Reducir los desequilibrios y desigualdades para un territorio más solidario y cuidador</w:t>
      </w:r>
    </w:p>
    <w:p w14:paraId="31D3370B" w14:textId="77777777" w:rsidR="006B728F" w:rsidRPr="00E36CE7" w:rsidRDefault="006B728F" w:rsidP="00C91C74">
      <w:pPr>
        <w:rPr>
          <w:b/>
          <w:bCs/>
          <w:color w:val="000000"/>
        </w:rPr>
      </w:pPr>
    </w:p>
    <w:tbl>
      <w:tblPr>
        <w:tblW w:w="10471" w:type="dxa"/>
        <w:tblInd w:w="-630" w:type="dxa"/>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710"/>
        <w:gridCol w:w="1440"/>
        <w:gridCol w:w="1890"/>
        <w:gridCol w:w="1350"/>
        <w:gridCol w:w="1350"/>
        <w:gridCol w:w="1350"/>
        <w:gridCol w:w="1381"/>
      </w:tblGrid>
      <w:tr w:rsidR="006B728F" w:rsidRPr="00E36CE7" w14:paraId="14FFBA57" w14:textId="77777777" w:rsidTr="000274A7">
        <w:trPr>
          <w:trHeight w:val="964"/>
          <w:tblHeader/>
        </w:trPr>
        <w:tc>
          <w:tcPr>
            <w:tcW w:w="1710" w:type="dxa"/>
            <w:shd w:val="clear" w:color="auto" w:fill="C00000"/>
            <w:vAlign w:val="center"/>
            <w:hideMark/>
          </w:tcPr>
          <w:p w14:paraId="0EF36509" w14:textId="77777777" w:rsidR="006B728F" w:rsidRPr="00C22819" w:rsidRDefault="006B728F" w:rsidP="00C22819">
            <w:pPr>
              <w:jc w:val="center"/>
              <w:rPr>
                <w:b/>
                <w:bCs/>
                <w:color w:val="FFFFFF" w:themeColor="background1"/>
              </w:rPr>
            </w:pPr>
            <w:r w:rsidRPr="00C22819">
              <w:rPr>
                <w:b/>
                <w:bCs/>
                <w:color w:val="FFFFFF" w:themeColor="background1"/>
              </w:rPr>
              <w:t>Nombre del proyecto POT</w:t>
            </w:r>
          </w:p>
        </w:tc>
        <w:tc>
          <w:tcPr>
            <w:tcW w:w="1440" w:type="dxa"/>
            <w:shd w:val="clear" w:color="auto" w:fill="C00000"/>
            <w:vAlign w:val="center"/>
            <w:hideMark/>
          </w:tcPr>
          <w:p w14:paraId="2A77BB0D" w14:textId="77777777" w:rsidR="006B728F" w:rsidRPr="00C22819" w:rsidRDefault="006B728F" w:rsidP="00C22819">
            <w:pPr>
              <w:jc w:val="center"/>
              <w:rPr>
                <w:b/>
                <w:bCs/>
                <w:color w:val="FFFFFF" w:themeColor="background1"/>
              </w:rPr>
            </w:pPr>
            <w:r w:rsidRPr="00C22819">
              <w:rPr>
                <w:b/>
                <w:bCs/>
                <w:color w:val="FFFFFF" w:themeColor="background1"/>
              </w:rPr>
              <w:t>Programa POT</w:t>
            </w:r>
          </w:p>
        </w:tc>
        <w:tc>
          <w:tcPr>
            <w:tcW w:w="1890" w:type="dxa"/>
            <w:shd w:val="clear" w:color="auto" w:fill="C00000"/>
            <w:vAlign w:val="center"/>
            <w:hideMark/>
          </w:tcPr>
          <w:p w14:paraId="4E4F9EB7" w14:textId="77777777" w:rsidR="006B728F" w:rsidRPr="00C22819" w:rsidRDefault="006B728F" w:rsidP="00C22819">
            <w:pPr>
              <w:jc w:val="center"/>
              <w:rPr>
                <w:b/>
                <w:bCs/>
                <w:color w:val="FFFFFF" w:themeColor="background1"/>
              </w:rPr>
            </w:pPr>
            <w:r w:rsidRPr="00C22819">
              <w:rPr>
                <w:b/>
                <w:bCs/>
                <w:color w:val="FFFFFF" w:themeColor="background1"/>
              </w:rPr>
              <w:t>Subprograma POT</w:t>
            </w:r>
          </w:p>
        </w:tc>
        <w:tc>
          <w:tcPr>
            <w:tcW w:w="1350" w:type="dxa"/>
            <w:shd w:val="clear" w:color="auto" w:fill="C00000"/>
            <w:vAlign w:val="center"/>
            <w:hideMark/>
          </w:tcPr>
          <w:p w14:paraId="5F88A6C6" w14:textId="77777777" w:rsidR="006B728F" w:rsidRPr="00C22819" w:rsidRDefault="006B728F" w:rsidP="00C22819">
            <w:pPr>
              <w:jc w:val="center"/>
              <w:rPr>
                <w:b/>
                <w:bCs/>
                <w:color w:val="FFFFFF" w:themeColor="background1"/>
              </w:rPr>
            </w:pPr>
            <w:r w:rsidRPr="00C22819">
              <w:rPr>
                <w:b/>
                <w:bCs/>
                <w:color w:val="FFFFFF" w:themeColor="background1"/>
              </w:rPr>
              <w:t>Objetivo PDD 2024 - 2027</w:t>
            </w:r>
          </w:p>
        </w:tc>
        <w:tc>
          <w:tcPr>
            <w:tcW w:w="1350" w:type="dxa"/>
            <w:shd w:val="clear" w:color="auto" w:fill="C00000"/>
            <w:vAlign w:val="center"/>
            <w:hideMark/>
          </w:tcPr>
          <w:p w14:paraId="1872E109" w14:textId="77777777" w:rsidR="006B728F" w:rsidRPr="00C22819" w:rsidRDefault="006B728F" w:rsidP="00C22819">
            <w:pPr>
              <w:jc w:val="center"/>
              <w:rPr>
                <w:b/>
                <w:bCs/>
                <w:color w:val="FFFFFF" w:themeColor="background1"/>
              </w:rPr>
            </w:pPr>
            <w:r w:rsidRPr="00C22819">
              <w:rPr>
                <w:b/>
                <w:bCs/>
                <w:color w:val="FFFFFF" w:themeColor="background1"/>
              </w:rPr>
              <w:t>Programa PDD 2024 - 2027</w:t>
            </w:r>
          </w:p>
        </w:tc>
        <w:tc>
          <w:tcPr>
            <w:tcW w:w="1350" w:type="dxa"/>
            <w:shd w:val="clear" w:color="auto" w:fill="C00000"/>
            <w:vAlign w:val="center"/>
            <w:hideMark/>
          </w:tcPr>
          <w:p w14:paraId="1A845F26" w14:textId="77777777" w:rsidR="000274A7" w:rsidRDefault="006B728F" w:rsidP="00C22819">
            <w:pPr>
              <w:jc w:val="center"/>
              <w:rPr>
                <w:b/>
                <w:bCs/>
                <w:color w:val="FFFFFF" w:themeColor="background1"/>
              </w:rPr>
            </w:pPr>
            <w:r w:rsidRPr="00C22819">
              <w:rPr>
                <w:b/>
                <w:bCs/>
                <w:color w:val="FFFFFF" w:themeColor="background1"/>
              </w:rPr>
              <w:t>Entidad</w:t>
            </w:r>
          </w:p>
          <w:p w14:paraId="0A2FC75A" w14:textId="6AF3800D" w:rsidR="006B728F" w:rsidRPr="00C22819" w:rsidRDefault="006B728F" w:rsidP="00C22819">
            <w:pPr>
              <w:jc w:val="center"/>
              <w:rPr>
                <w:b/>
                <w:bCs/>
                <w:color w:val="FFFFFF" w:themeColor="background1"/>
              </w:rPr>
            </w:pPr>
            <w:r w:rsidRPr="00C22819">
              <w:rPr>
                <w:b/>
                <w:bCs/>
                <w:color w:val="FFFFFF" w:themeColor="background1"/>
              </w:rPr>
              <w:t>responsable</w:t>
            </w:r>
          </w:p>
        </w:tc>
        <w:tc>
          <w:tcPr>
            <w:tcW w:w="1381" w:type="dxa"/>
            <w:shd w:val="clear" w:color="auto" w:fill="C00000"/>
            <w:vAlign w:val="center"/>
            <w:hideMark/>
          </w:tcPr>
          <w:p w14:paraId="65FF7A32" w14:textId="77777777" w:rsidR="006B728F" w:rsidRPr="00C22819" w:rsidRDefault="006B728F" w:rsidP="00C22819">
            <w:pPr>
              <w:jc w:val="center"/>
              <w:rPr>
                <w:b/>
                <w:bCs/>
                <w:color w:val="FFFFFF" w:themeColor="background1"/>
              </w:rPr>
            </w:pPr>
            <w:r w:rsidRPr="00C22819">
              <w:rPr>
                <w:b/>
                <w:bCs/>
                <w:color w:val="FFFFFF" w:themeColor="background1"/>
              </w:rPr>
              <w:t>Etapa del proyecto POT</w:t>
            </w:r>
          </w:p>
        </w:tc>
      </w:tr>
      <w:tr w:rsidR="006B728F" w:rsidRPr="00E36CE7" w14:paraId="5606872E" w14:textId="77777777" w:rsidTr="00945BCE">
        <w:trPr>
          <w:trHeight w:val="1417"/>
        </w:trPr>
        <w:tc>
          <w:tcPr>
            <w:tcW w:w="1710" w:type="dxa"/>
            <w:shd w:val="clear" w:color="auto" w:fill="auto"/>
            <w:noWrap/>
            <w:vAlign w:val="center"/>
            <w:hideMark/>
          </w:tcPr>
          <w:p w14:paraId="319C5DD8" w14:textId="77777777" w:rsidR="006B728F" w:rsidRPr="00E36CE7" w:rsidRDefault="006B728F" w:rsidP="00C22819">
            <w:pPr>
              <w:pStyle w:val="tablastexto"/>
            </w:pPr>
            <w:r w:rsidRPr="00E36CE7">
              <w:t>Modernización y expansión del alumbrado público y su infraestructura de soporte</w:t>
            </w:r>
          </w:p>
        </w:tc>
        <w:tc>
          <w:tcPr>
            <w:tcW w:w="1440" w:type="dxa"/>
            <w:shd w:val="clear" w:color="auto" w:fill="auto"/>
            <w:noWrap/>
            <w:vAlign w:val="center"/>
            <w:hideMark/>
          </w:tcPr>
          <w:p w14:paraId="56C8F0D3"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5CBA1D2" w14:textId="77777777" w:rsidR="006B728F" w:rsidRPr="00E36CE7" w:rsidRDefault="006B728F" w:rsidP="00C22819">
            <w:pPr>
              <w:pStyle w:val="tablastexto"/>
            </w:pPr>
            <w:r w:rsidRPr="00E36CE7">
              <w:t>8. Subprograma de Alumbrado Público</w:t>
            </w:r>
          </w:p>
        </w:tc>
        <w:tc>
          <w:tcPr>
            <w:tcW w:w="1350" w:type="dxa"/>
            <w:shd w:val="clear" w:color="auto" w:fill="auto"/>
            <w:noWrap/>
            <w:vAlign w:val="center"/>
            <w:hideMark/>
          </w:tcPr>
          <w:p w14:paraId="200BE6F5" w14:textId="77777777" w:rsidR="006B728F" w:rsidRPr="00E36CE7" w:rsidRDefault="006B728F" w:rsidP="00C22819">
            <w:pPr>
              <w:pStyle w:val="tablastexto"/>
            </w:pPr>
            <w:r w:rsidRPr="00E36CE7">
              <w:t>1. Bogotá se siente segura</w:t>
            </w:r>
          </w:p>
        </w:tc>
        <w:tc>
          <w:tcPr>
            <w:tcW w:w="1350" w:type="dxa"/>
            <w:shd w:val="clear" w:color="auto" w:fill="auto"/>
            <w:noWrap/>
            <w:vAlign w:val="center"/>
            <w:hideMark/>
          </w:tcPr>
          <w:p w14:paraId="03A80D9D" w14:textId="77777777" w:rsidR="006B728F" w:rsidRPr="00E36CE7" w:rsidRDefault="006B728F" w:rsidP="00C22819">
            <w:pPr>
              <w:pStyle w:val="tablastexto"/>
            </w:pPr>
            <w:r w:rsidRPr="00E36CE7">
              <w:t>1.05. Espacio público seguro e inclusivo</w:t>
            </w:r>
          </w:p>
        </w:tc>
        <w:tc>
          <w:tcPr>
            <w:tcW w:w="1350" w:type="dxa"/>
            <w:shd w:val="clear" w:color="auto" w:fill="auto"/>
            <w:noWrap/>
            <w:vAlign w:val="center"/>
            <w:hideMark/>
          </w:tcPr>
          <w:p w14:paraId="611EF3E2"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7B7F199D" w14:textId="77777777" w:rsidR="006B728F" w:rsidRPr="00E36CE7" w:rsidRDefault="006B728F" w:rsidP="00C22819">
            <w:pPr>
              <w:pStyle w:val="tablastexto"/>
            </w:pPr>
            <w:r w:rsidRPr="00E36CE7">
              <w:t>Sin iniciar</w:t>
            </w:r>
          </w:p>
        </w:tc>
      </w:tr>
      <w:tr w:rsidR="006B728F" w:rsidRPr="00E36CE7" w14:paraId="2F0372D0" w14:textId="77777777" w:rsidTr="00945BCE">
        <w:trPr>
          <w:trHeight w:val="1417"/>
        </w:trPr>
        <w:tc>
          <w:tcPr>
            <w:tcW w:w="1710" w:type="dxa"/>
            <w:shd w:val="clear" w:color="auto" w:fill="auto"/>
            <w:noWrap/>
            <w:vAlign w:val="center"/>
            <w:hideMark/>
          </w:tcPr>
          <w:p w14:paraId="537CE652" w14:textId="77777777" w:rsidR="006B728F" w:rsidRPr="00E36CE7" w:rsidRDefault="006B728F" w:rsidP="00C22819">
            <w:pPr>
              <w:pStyle w:val="tablastexto"/>
            </w:pPr>
            <w:r w:rsidRPr="00E36CE7">
              <w:t>Cárcel Distrital 2</w:t>
            </w:r>
          </w:p>
        </w:tc>
        <w:tc>
          <w:tcPr>
            <w:tcW w:w="1440" w:type="dxa"/>
            <w:shd w:val="clear" w:color="auto" w:fill="auto"/>
            <w:noWrap/>
            <w:vAlign w:val="center"/>
            <w:hideMark/>
          </w:tcPr>
          <w:p w14:paraId="799CC63B"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E6DBB99"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22C2A14B" w14:textId="77777777" w:rsidR="006B728F" w:rsidRPr="00E36CE7" w:rsidRDefault="006B728F" w:rsidP="00C22819">
            <w:pPr>
              <w:pStyle w:val="tablastexto"/>
            </w:pPr>
            <w:r w:rsidRPr="00E36CE7">
              <w:t>1. Bogotá se siente segura</w:t>
            </w:r>
          </w:p>
        </w:tc>
        <w:tc>
          <w:tcPr>
            <w:tcW w:w="1350" w:type="dxa"/>
            <w:shd w:val="clear" w:color="auto" w:fill="auto"/>
            <w:noWrap/>
            <w:vAlign w:val="center"/>
            <w:hideMark/>
          </w:tcPr>
          <w:p w14:paraId="1FB28361" w14:textId="77777777" w:rsidR="006B728F" w:rsidRPr="00E36CE7" w:rsidRDefault="006B728F" w:rsidP="00C22819">
            <w:pPr>
              <w:pStyle w:val="tablastexto"/>
            </w:pPr>
            <w:r w:rsidRPr="00E36CE7">
              <w:t>1.04. Servicios centrados en la justicia</w:t>
            </w:r>
          </w:p>
        </w:tc>
        <w:tc>
          <w:tcPr>
            <w:tcW w:w="1350" w:type="dxa"/>
            <w:shd w:val="clear" w:color="auto" w:fill="auto"/>
            <w:noWrap/>
            <w:vAlign w:val="center"/>
            <w:hideMark/>
          </w:tcPr>
          <w:p w14:paraId="1E66DE82" w14:textId="77777777" w:rsidR="006B728F" w:rsidRPr="00E36CE7" w:rsidRDefault="006B728F" w:rsidP="00C22819">
            <w:pPr>
              <w:pStyle w:val="tablastexto"/>
            </w:pPr>
            <w:r w:rsidRPr="00E36CE7">
              <w:t>Secretaría Distrital de Seguridad, Convivencia y Justicia</w:t>
            </w:r>
          </w:p>
        </w:tc>
        <w:tc>
          <w:tcPr>
            <w:tcW w:w="1381" w:type="dxa"/>
            <w:shd w:val="clear" w:color="auto" w:fill="auto"/>
            <w:noWrap/>
            <w:vAlign w:val="center"/>
            <w:hideMark/>
          </w:tcPr>
          <w:p w14:paraId="6B72D287" w14:textId="77777777" w:rsidR="006B728F" w:rsidRPr="00E36CE7" w:rsidRDefault="006B728F" w:rsidP="00C22819">
            <w:pPr>
              <w:pStyle w:val="tablastexto"/>
            </w:pPr>
            <w:r w:rsidRPr="00E36CE7">
              <w:t>En Idea</w:t>
            </w:r>
          </w:p>
        </w:tc>
      </w:tr>
      <w:tr w:rsidR="006B728F" w:rsidRPr="00E36CE7" w14:paraId="4D6093B4" w14:textId="77777777" w:rsidTr="00945BCE">
        <w:trPr>
          <w:trHeight w:val="1417"/>
        </w:trPr>
        <w:tc>
          <w:tcPr>
            <w:tcW w:w="1710" w:type="dxa"/>
            <w:shd w:val="clear" w:color="auto" w:fill="auto"/>
            <w:noWrap/>
            <w:vAlign w:val="center"/>
            <w:hideMark/>
          </w:tcPr>
          <w:p w14:paraId="32587373" w14:textId="77777777" w:rsidR="006B728F" w:rsidRPr="00E36CE7" w:rsidRDefault="006B728F" w:rsidP="00C22819">
            <w:pPr>
              <w:pStyle w:val="tablastexto"/>
            </w:pPr>
            <w:r w:rsidRPr="00E36CE7">
              <w:t>CEFE San Bernardo</w:t>
            </w:r>
          </w:p>
        </w:tc>
        <w:tc>
          <w:tcPr>
            <w:tcW w:w="1440" w:type="dxa"/>
            <w:shd w:val="clear" w:color="auto" w:fill="auto"/>
            <w:noWrap/>
            <w:vAlign w:val="center"/>
            <w:hideMark/>
          </w:tcPr>
          <w:p w14:paraId="0651CD1C"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B3665D8"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40EDCB90"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DA720B6" w14:textId="77777777" w:rsidR="006B728F" w:rsidRPr="00E36CE7" w:rsidRDefault="006B728F" w:rsidP="00C22819">
            <w:pPr>
              <w:pStyle w:val="tablastexto"/>
            </w:pPr>
            <w:r w:rsidRPr="00E36CE7">
              <w:t>4.24. Revitalización y renovación urbana y rural con inclusión</w:t>
            </w:r>
          </w:p>
        </w:tc>
        <w:tc>
          <w:tcPr>
            <w:tcW w:w="1350" w:type="dxa"/>
            <w:shd w:val="clear" w:color="auto" w:fill="auto"/>
            <w:noWrap/>
            <w:vAlign w:val="center"/>
            <w:hideMark/>
          </w:tcPr>
          <w:p w14:paraId="0F9ED850" w14:textId="77777777" w:rsidR="006B728F" w:rsidRPr="00E36CE7" w:rsidRDefault="006B728F" w:rsidP="00C22819">
            <w:pPr>
              <w:pStyle w:val="tablastexto"/>
            </w:pPr>
            <w:r w:rsidRPr="00E36CE7">
              <w:t>Instituto Distrital Recreación y Deporte - IDRD</w:t>
            </w:r>
          </w:p>
        </w:tc>
        <w:tc>
          <w:tcPr>
            <w:tcW w:w="1381" w:type="dxa"/>
            <w:shd w:val="clear" w:color="auto" w:fill="auto"/>
            <w:noWrap/>
            <w:vAlign w:val="center"/>
            <w:hideMark/>
          </w:tcPr>
          <w:p w14:paraId="5BDD21A5" w14:textId="77777777" w:rsidR="006B728F" w:rsidRPr="00E36CE7" w:rsidRDefault="006B728F" w:rsidP="00C22819">
            <w:pPr>
              <w:pStyle w:val="tablastexto"/>
            </w:pPr>
            <w:r w:rsidRPr="00E36CE7">
              <w:t>Prefactibilidad</w:t>
            </w:r>
          </w:p>
        </w:tc>
      </w:tr>
      <w:tr w:rsidR="006B728F" w:rsidRPr="00E36CE7" w14:paraId="5C3634BA" w14:textId="77777777" w:rsidTr="00945BCE">
        <w:trPr>
          <w:trHeight w:val="1417"/>
        </w:trPr>
        <w:tc>
          <w:tcPr>
            <w:tcW w:w="1710" w:type="dxa"/>
            <w:shd w:val="clear" w:color="auto" w:fill="auto"/>
            <w:noWrap/>
            <w:vAlign w:val="center"/>
            <w:hideMark/>
          </w:tcPr>
          <w:p w14:paraId="0D0F354A" w14:textId="77777777" w:rsidR="006B728F" w:rsidRPr="00E36CE7" w:rsidRDefault="006B728F" w:rsidP="00C22819">
            <w:pPr>
              <w:pStyle w:val="tablastexto"/>
            </w:pPr>
            <w:r w:rsidRPr="00E36CE7">
              <w:t>Equipamiento Fenicia</w:t>
            </w:r>
          </w:p>
        </w:tc>
        <w:tc>
          <w:tcPr>
            <w:tcW w:w="1440" w:type="dxa"/>
            <w:shd w:val="clear" w:color="auto" w:fill="auto"/>
            <w:noWrap/>
            <w:vAlign w:val="center"/>
            <w:hideMark/>
          </w:tcPr>
          <w:p w14:paraId="1B7C03A5"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FA48769"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65EBC95E"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1990FAA" w14:textId="77777777" w:rsidR="006B728F" w:rsidRPr="00E36CE7" w:rsidRDefault="006B728F" w:rsidP="00C22819">
            <w:pPr>
              <w:pStyle w:val="tablastexto"/>
            </w:pPr>
            <w:r w:rsidRPr="00E36CE7">
              <w:t>4.24. Revitalización y renovación urbana y rural con inclusión</w:t>
            </w:r>
          </w:p>
        </w:tc>
        <w:tc>
          <w:tcPr>
            <w:tcW w:w="1350" w:type="dxa"/>
            <w:shd w:val="clear" w:color="auto" w:fill="auto"/>
            <w:noWrap/>
            <w:vAlign w:val="center"/>
            <w:hideMark/>
          </w:tcPr>
          <w:p w14:paraId="07FAB18C" w14:textId="77777777" w:rsidR="006B728F" w:rsidRPr="00E36CE7" w:rsidRDefault="006B728F" w:rsidP="00C22819">
            <w:pPr>
              <w:pStyle w:val="tablastexto"/>
            </w:pPr>
            <w:r w:rsidRPr="00E36CE7">
              <w:t>Secretaría Distrital de Cultura, Recreación y Deporte</w:t>
            </w:r>
          </w:p>
        </w:tc>
        <w:tc>
          <w:tcPr>
            <w:tcW w:w="1381" w:type="dxa"/>
            <w:shd w:val="clear" w:color="auto" w:fill="auto"/>
            <w:noWrap/>
            <w:vAlign w:val="center"/>
            <w:hideMark/>
          </w:tcPr>
          <w:p w14:paraId="3779F198" w14:textId="77777777" w:rsidR="006B728F" w:rsidRPr="00E36CE7" w:rsidRDefault="006B728F" w:rsidP="00C22819">
            <w:pPr>
              <w:pStyle w:val="tablastexto"/>
            </w:pPr>
            <w:r w:rsidRPr="00E36CE7">
              <w:t>Gestión Predial</w:t>
            </w:r>
          </w:p>
        </w:tc>
      </w:tr>
      <w:tr w:rsidR="006B728F" w:rsidRPr="00E36CE7" w14:paraId="6F7D47DD" w14:textId="77777777" w:rsidTr="00945BCE">
        <w:trPr>
          <w:trHeight w:val="1417"/>
        </w:trPr>
        <w:tc>
          <w:tcPr>
            <w:tcW w:w="1710" w:type="dxa"/>
            <w:shd w:val="clear" w:color="auto" w:fill="auto"/>
            <w:noWrap/>
            <w:vAlign w:val="center"/>
            <w:hideMark/>
          </w:tcPr>
          <w:p w14:paraId="26919B9D" w14:textId="77777777" w:rsidR="006B728F" w:rsidRPr="00E36CE7" w:rsidRDefault="006B728F" w:rsidP="00C22819">
            <w:pPr>
              <w:pStyle w:val="tablastexto"/>
            </w:pPr>
            <w:r w:rsidRPr="00E36CE7">
              <w:t>Teatro San Jorge</w:t>
            </w:r>
          </w:p>
        </w:tc>
        <w:tc>
          <w:tcPr>
            <w:tcW w:w="1440" w:type="dxa"/>
            <w:shd w:val="clear" w:color="auto" w:fill="auto"/>
            <w:noWrap/>
            <w:vAlign w:val="center"/>
            <w:hideMark/>
          </w:tcPr>
          <w:p w14:paraId="3B0B99EC"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471CBBF0"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3462D1C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E16DF90" w14:textId="77777777" w:rsidR="006B728F" w:rsidRPr="00E36CE7" w:rsidRDefault="006B728F" w:rsidP="00C22819">
            <w:pPr>
              <w:pStyle w:val="tablastexto"/>
            </w:pPr>
            <w:r w:rsidRPr="00E36CE7">
              <w:t>4.24. Revitalización y renovación urbana y rural con inclusión</w:t>
            </w:r>
          </w:p>
        </w:tc>
        <w:tc>
          <w:tcPr>
            <w:tcW w:w="1350" w:type="dxa"/>
            <w:shd w:val="clear" w:color="auto" w:fill="auto"/>
            <w:noWrap/>
            <w:vAlign w:val="center"/>
            <w:hideMark/>
          </w:tcPr>
          <w:p w14:paraId="5E8B8575" w14:textId="77777777" w:rsidR="006B728F" w:rsidRPr="00E36CE7" w:rsidRDefault="006B728F" w:rsidP="00C22819">
            <w:pPr>
              <w:pStyle w:val="tablastexto"/>
            </w:pPr>
            <w:r w:rsidRPr="00E36CE7">
              <w:t>Secretaría Distrital de Cultura, Recreación y Deporte</w:t>
            </w:r>
          </w:p>
        </w:tc>
        <w:tc>
          <w:tcPr>
            <w:tcW w:w="1381" w:type="dxa"/>
            <w:shd w:val="clear" w:color="auto" w:fill="auto"/>
            <w:noWrap/>
            <w:vAlign w:val="center"/>
            <w:hideMark/>
          </w:tcPr>
          <w:p w14:paraId="298BB3CB" w14:textId="77777777" w:rsidR="006B728F" w:rsidRPr="00E36CE7" w:rsidRDefault="006B728F" w:rsidP="00C22819">
            <w:pPr>
              <w:pStyle w:val="tablastexto"/>
            </w:pPr>
            <w:r w:rsidRPr="00E36CE7">
              <w:t>Obra (Ejecución)</w:t>
            </w:r>
          </w:p>
        </w:tc>
      </w:tr>
      <w:tr w:rsidR="006B728F" w:rsidRPr="00E36CE7" w14:paraId="0AD7919A" w14:textId="77777777" w:rsidTr="00945BCE">
        <w:trPr>
          <w:trHeight w:val="1417"/>
        </w:trPr>
        <w:tc>
          <w:tcPr>
            <w:tcW w:w="1710" w:type="dxa"/>
            <w:shd w:val="clear" w:color="auto" w:fill="auto"/>
            <w:noWrap/>
            <w:vAlign w:val="center"/>
            <w:hideMark/>
          </w:tcPr>
          <w:p w14:paraId="343AD050" w14:textId="77777777" w:rsidR="006B728F" w:rsidRPr="00E36CE7" w:rsidRDefault="006B728F" w:rsidP="00C22819">
            <w:pPr>
              <w:pStyle w:val="tablastexto"/>
            </w:pPr>
            <w:r w:rsidRPr="00E36CE7">
              <w:t>APP El Campín</w:t>
            </w:r>
          </w:p>
        </w:tc>
        <w:tc>
          <w:tcPr>
            <w:tcW w:w="1440" w:type="dxa"/>
            <w:shd w:val="clear" w:color="auto" w:fill="auto"/>
            <w:noWrap/>
            <w:vAlign w:val="center"/>
            <w:hideMark/>
          </w:tcPr>
          <w:p w14:paraId="4F565D9C"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3F520DA0"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49E198C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EAFDCF7" w14:textId="77777777" w:rsidR="006B728F" w:rsidRPr="00E36CE7" w:rsidRDefault="006B728F" w:rsidP="00C22819">
            <w:pPr>
              <w:pStyle w:val="tablastexto"/>
            </w:pPr>
            <w:r w:rsidRPr="00E36CE7">
              <w:t>4.24. Revitalización y renovación urbana y rural con inclusión</w:t>
            </w:r>
          </w:p>
        </w:tc>
        <w:tc>
          <w:tcPr>
            <w:tcW w:w="1350" w:type="dxa"/>
            <w:shd w:val="clear" w:color="auto" w:fill="auto"/>
            <w:noWrap/>
            <w:vAlign w:val="center"/>
            <w:hideMark/>
          </w:tcPr>
          <w:p w14:paraId="6BBCF088" w14:textId="77777777" w:rsidR="006B728F" w:rsidRPr="00E36CE7" w:rsidRDefault="006B728F" w:rsidP="00C22819">
            <w:pPr>
              <w:pStyle w:val="tablastexto"/>
            </w:pPr>
            <w:r w:rsidRPr="00E36CE7">
              <w:t>Secretaría Distrital de Cultura, Recreación y Deporte</w:t>
            </w:r>
          </w:p>
        </w:tc>
        <w:tc>
          <w:tcPr>
            <w:tcW w:w="1381" w:type="dxa"/>
            <w:shd w:val="clear" w:color="auto" w:fill="auto"/>
            <w:noWrap/>
            <w:vAlign w:val="center"/>
            <w:hideMark/>
          </w:tcPr>
          <w:p w14:paraId="4A647489" w14:textId="77777777" w:rsidR="006B728F" w:rsidRPr="00E36CE7" w:rsidRDefault="006B728F" w:rsidP="00C22819">
            <w:pPr>
              <w:pStyle w:val="tablastexto"/>
            </w:pPr>
            <w:r w:rsidRPr="00E36CE7">
              <w:t>Factibilidad</w:t>
            </w:r>
          </w:p>
        </w:tc>
      </w:tr>
      <w:tr w:rsidR="006B728F" w:rsidRPr="00E36CE7" w14:paraId="1B2FC56F" w14:textId="77777777" w:rsidTr="00945BCE">
        <w:trPr>
          <w:trHeight w:val="1417"/>
        </w:trPr>
        <w:tc>
          <w:tcPr>
            <w:tcW w:w="1710" w:type="dxa"/>
            <w:shd w:val="clear" w:color="auto" w:fill="auto"/>
            <w:noWrap/>
            <w:vAlign w:val="center"/>
            <w:hideMark/>
          </w:tcPr>
          <w:p w14:paraId="0AF96EA8" w14:textId="77777777" w:rsidR="006B728F" w:rsidRPr="00E36CE7" w:rsidRDefault="006B728F" w:rsidP="00C22819">
            <w:pPr>
              <w:pStyle w:val="tablastexto"/>
            </w:pPr>
            <w:r w:rsidRPr="00E36CE7">
              <w:t>Nodo de equipamientos San Cristóbal</w:t>
            </w:r>
          </w:p>
        </w:tc>
        <w:tc>
          <w:tcPr>
            <w:tcW w:w="1440" w:type="dxa"/>
            <w:shd w:val="clear" w:color="auto" w:fill="auto"/>
            <w:noWrap/>
            <w:vAlign w:val="center"/>
            <w:hideMark/>
          </w:tcPr>
          <w:p w14:paraId="1E16CEDE"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6C0AD816"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7710C21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8F30788" w14:textId="77777777" w:rsidR="006B728F" w:rsidRPr="00E36CE7" w:rsidRDefault="006B728F" w:rsidP="00C22819">
            <w:pPr>
              <w:pStyle w:val="tablastexto"/>
            </w:pPr>
            <w:r w:rsidRPr="00E36CE7">
              <w:t>4.24. Revitalización y renovación urbana y rural con inclusión</w:t>
            </w:r>
          </w:p>
        </w:tc>
        <w:tc>
          <w:tcPr>
            <w:tcW w:w="1350" w:type="dxa"/>
            <w:shd w:val="clear" w:color="auto" w:fill="auto"/>
            <w:noWrap/>
            <w:vAlign w:val="center"/>
            <w:hideMark/>
          </w:tcPr>
          <w:p w14:paraId="7E74CD23" w14:textId="77777777" w:rsidR="006B728F" w:rsidRPr="00E36CE7" w:rsidRDefault="006B728F" w:rsidP="00C22819">
            <w:pPr>
              <w:pStyle w:val="tablastexto"/>
            </w:pPr>
            <w:r w:rsidRPr="00E36CE7">
              <w:t>Empresa de Renovación y Desarrollo Urbano de Bogotá D.C.</w:t>
            </w:r>
          </w:p>
        </w:tc>
        <w:tc>
          <w:tcPr>
            <w:tcW w:w="1381" w:type="dxa"/>
            <w:shd w:val="clear" w:color="auto" w:fill="auto"/>
            <w:noWrap/>
            <w:vAlign w:val="center"/>
            <w:hideMark/>
          </w:tcPr>
          <w:p w14:paraId="61EEA4A9" w14:textId="77777777" w:rsidR="006B728F" w:rsidRPr="00E36CE7" w:rsidRDefault="006B728F" w:rsidP="00C22819">
            <w:pPr>
              <w:pStyle w:val="tablastexto"/>
            </w:pPr>
            <w:r w:rsidRPr="00E36CE7">
              <w:t>Estudios y diseños</w:t>
            </w:r>
          </w:p>
        </w:tc>
      </w:tr>
      <w:tr w:rsidR="006B728F" w:rsidRPr="00E36CE7" w14:paraId="1B98800B" w14:textId="77777777" w:rsidTr="00945BCE">
        <w:trPr>
          <w:trHeight w:val="1417"/>
        </w:trPr>
        <w:tc>
          <w:tcPr>
            <w:tcW w:w="1710" w:type="dxa"/>
            <w:shd w:val="clear" w:color="auto" w:fill="auto"/>
            <w:noWrap/>
            <w:vAlign w:val="center"/>
            <w:hideMark/>
          </w:tcPr>
          <w:p w14:paraId="12B5E53B" w14:textId="77777777" w:rsidR="006B728F" w:rsidRPr="00E36CE7" w:rsidRDefault="006B728F" w:rsidP="00C22819">
            <w:pPr>
              <w:pStyle w:val="tablastexto"/>
            </w:pPr>
            <w:r w:rsidRPr="00E36CE7">
              <w:lastRenderedPageBreak/>
              <w:t>Equipamientos multifuncionales para el servicio del cuidado en UPL Deficitarias</w:t>
            </w:r>
          </w:p>
        </w:tc>
        <w:tc>
          <w:tcPr>
            <w:tcW w:w="1440" w:type="dxa"/>
            <w:shd w:val="clear" w:color="auto" w:fill="auto"/>
            <w:noWrap/>
            <w:vAlign w:val="center"/>
            <w:hideMark/>
          </w:tcPr>
          <w:p w14:paraId="6727BADC"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A386D20"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61BF515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3A08C64" w14:textId="77777777" w:rsidR="006B728F" w:rsidRPr="00E36CE7" w:rsidRDefault="006B728F" w:rsidP="00C22819">
            <w:pPr>
              <w:pStyle w:val="tablastexto"/>
            </w:pPr>
            <w:r w:rsidRPr="00E36CE7">
              <w:t>4.24. Revitalización y renovación urbana y rural con inclusión</w:t>
            </w:r>
          </w:p>
        </w:tc>
        <w:tc>
          <w:tcPr>
            <w:tcW w:w="1350" w:type="dxa"/>
            <w:shd w:val="clear" w:color="auto" w:fill="auto"/>
            <w:noWrap/>
            <w:vAlign w:val="center"/>
            <w:hideMark/>
          </w:tcPr>
          <w:p w14:paraId="41368FA0" w14:textId="77777777" w:rsidR="006B728F" w:rsidRPr="00E36CE7" w:rsidRDefault="006B728F" w:rsidP="00C22819">
            <w:pPr>
              <w:pStyle w:val="tablastexto"/>
            </w:pPr>
            <w:r w:rsidRPr="00E36CE7">
              <w:t>Secretaría Distrital de Hábitat</w:t>
            </w:r>
          </w:p>
        </w:tc>
        <w:tc>
          <w:tcPr>
            <w:tcW w:w="1381" w:type="dxa"/>
            <w:shd w:val="clear" w:color="auto" w:fill="auto"/>
            <w:noWrap/>
            <w:vAlign w:val="center"/>
            <w:hideMark/>
          </w:tcPr>
          <w:p w14:paraId="6530C8E9" w14:textId="77777777" w:rsidR="006B728F" w:rsidRPr="00E36CE7" w:rsidRDefault="006B728F" w:rsidP="00C22819">
            <w:pPr>
              <w:pStyle w:val="tablastexto"/>
            </w:pPr>
            <w:r w:rsidRPr="00E36CE7">
              <w:t>Obra (Ejecución)</w:t>
            </w:r>
          </w:p>
        </w:tc>
      </w:tr>
      <w:tr w:rsidR="006B728F" w:rsidRPr="00E36CE7" w14:paraId="7641E7A4" w14:textId="77777777" w:rsidTr="00945BCE">
        <w:trPr>
          <w:trHeight w:val="1417"/>
        </w:trPr>
        <w:tc>
          <w:tcPr>
            <w:tcW w:w="1710" w:type="dxa"/>
            <w:shd w:val="clear" w:color="auto" w:fill="auto"/>
            <w:noWrap/>
            <w:vAlign w:val="center"/>
            <w:hideMark/>
          </w:tcPr>
          <w:p w14:paraId="4474E0F7" w14:textId="77777777" w:rsidR="006B728F" w:rsidRPr="00E36CE7" w:rsidRDefault="006B728F" w:rsidP="00C22819">
            <w:pPr>
              <w:pStyle w:val="tablastexto"/>
            </w:pPr>
            <w:r w:rsidRPr="00E36CE7">
              <w:t>Construcción, expansión y/o rehabilitación del sistema del sistema de alcantarillado y tratamiento de aguas y lodos, priorizando la renovación y actualización de redes alcantarillado, en los sectores con capacidad insuficiente y limitada.</w:t>
            </w:r>
          </w:p>
        </w:tc>
        <w:tc>
          <w:tcPr>
            <w:tcW w:w="1440" w:type="dxa"/>
            <w:shd w:val="clear" w:color="auto" w:fill="auto"/>
            <w:noWrap/>
            <w:vAlign w:val="center"/>
            <w:hideMark/>
          </w:tcPr>
          <w:p w14:paraId="52E73BB2"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BE9FEF3" w14:textId="77777777" w:rsidR="006B728F" w:rsidRPr="00E36CE7" w:rsidRDefault="006B728F" w:rsidP="00C22819">
            <w:pPr>
              <w:pStyle w:val="tablastexto"/>
            </w:pPr>
            <w:r w:rsidRPr="00E36CE7">
              <w:t>12. Subprograma de Construcción, expansión y/o rehabilitación de acueducto y alcantarillado</w:t>
            </w:r>
          </w:p>
        </w:tc>
        <w:tc>
          <w:tcPr>
            <w:tcW w:w="1350" w:type="dxa"/>
            <w:shd w:val="clear" w:color="auto" w:fill="auto"/>
            <w:noWrap/>
            <w:vAlign w:val="center"/>
            <w:hideMark/>
          </w:tcPr>
          <w:p w14:paraId="2AE6573E"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1ADAA61" w14:textId="77777777" w:rsidR="006B728F" w:rsidRPr="00E36CE7" w:rsidRDefault="006B728F" w:rsidP="00C22819">
            <w:pPr>
              <w:pStyle w:val="tablastexto"/>
            </w:pPr>
            <w:r w:rsidRPr="00E36CE7">
              <w:t>4.29. Servicios públicos inclusivos y sostenibles</w:t>
            </w:r>
          </w:p>
        </w:tc>
        <w:tc>
          <w:tcPr>
            <w:tcW w:w="1350" w:type="dxa"/>
            <w:shd w:val="clear" w:color="auto" w:fill="auto"/>
            <w:noWrap/>
            <w:vAlign w:val="center"/>
            <w:hideMark/>
          </w:tcPr>
          <w:p w14:paraId="5E6E48AB" w14:textId="77777777" w:rsidR="006B728F" w:rsidRPr="00E36CE7" w:rsidRDefault="006B728F" w:rsidP="00C22819">
            <w:pPr>
              <w:pStyle w:val="tablastexto"/>
            </w:pPr>
            <w:r w:rsidRPr="00E36CE7">
              <w:t>Empresa de Acueducto y Alcantarillado de Bogotá EAAB-ESP</w:t>
            </w:r>
          </w:p>
        </w:tc>
        <w:tc>
          <w:tcPr>
            <w:tcW w:w="1381" w:type="dxa"/>
            <w:shd w:val="clear" w:color="auto" w:fill="auto"/>
            <w:noWrap/>
            <w:vAlign w:val="center"/>
            <w:hideMark/>
          </w:tcPr>
          <w:p w14:paraId="47E6A482" w14:textId="77777777" w:rsidR="006B728F" w:rsidRPr="00E36CE7" w:rsidRDefault="006B728F" w:rsidP="00C22819">
            <w:pPr>
              <w:pStyle w:val="tablastexto"/>
            </w:pPr>
            <w:r w:rsidRPr="00E36CE7">
              <w:t>Obra (Ejecución)</w:t>
            </w:r>
          </w:p>
        </w:tc>
      </w:tr>
      <w:tr w:rsidR="006B728F" w:rsidRPr="00E36CE7" w14:paraId="2C3D621D" w14:textId="77777777" w:rsidTr="00945BCE">
        <w:trPr>
          <w:trHeight w:val="1417"/>
        </w:trPr>
        <w:tc>
          <w:tcPr>
            <w:tcW w:w="1710" w:type="dxa"/>
            <w:shd w:val="clear" w:color="auto" w:fill="auto"/>
            <w:noWrap/>
            <w:vAlign w:val="center"/>
            <w:hideMark/>
          </w:tcPr>
          <w:p w14:paraId="5960654E" w14:textId="77777777" w:rsidR="006B728F" w:rsidRPr="00E36CE7" w:rsidRDefault="006B728F" w:rsidP="00C22819">
            <w:pPr>
              <w:pStyle w:val="tablastexto"/>
            </w:pPr>
            <w:r w:rsidRPr="00E36CE7">
              <w:t>Construcción, expansión y/o rehabilitación del sistema de abastecimiento y distribución de agua potable, priorizando la renovación y actualización de redes de acueducto,</w:t>
            </w:r>
          </w:p>
        </w:tc>
        <w:tc>
          <w:tcPr>
            <w:tcW w:w="1440" w:type="dxa"/>
            <w:shd w:val="clear" w:color="auto" w:fill="auto"/>
            <w:noWrap/>
            <w:vAlign w:val="center"/>
            <w:hideMark/>
          </w:tcPr>
          <w:p w14:paraId="621B3C5F"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49E7FCF3" w14:textId="77777777" w:rsidR="006B728F" w:rsidRPr="00E36CE7" w:rsidRDefault="006B728F" w:rsidP="00C22819">
            <w:pPr>
              <w:pStyle w:val="tablastexto"/>
            </w:pPr>
            <w:r w:rsidRPr="00E36CE7">
              <w:t>12. Subprograma de Construcción, expansión y/o rehabilitación de acueducto y alcantarillado</w:t>
            </w:r>
          </w:p>
        </w:tc>
        <w:tc>
          <w:tcPr>
            <w:tcW w:w="1350" w:type="dxa"/>
            <w:shd w:val="clear" w:color="auto" w:fill="auto"/>
            <w:noWrap/>
            <w:vAlign w:val="center"/>
            <w:hideMark/>
          </w:tcPr>
          <w:p w14:paraId="63DFDA74"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DCC8EBA" w14:textId="77777777" w:rsidR="006B728F" w:rsidRPr="00E36CE7" w:rsidRDefault="006B728F" w:rsidP="00C22819">
            <w:pPr>
              <w:pStyle w:val="tablastexto"/>
            </w:pPr>
            <w:r w:rsidRPr="00E36CE7">
              <w:t>4.29. Servicios públicos inclusivos y sostenibles</w:t>
            </w:r>
          </w:p>
        </w:tc>
        <w:tc>
          <w:tcPr>
            <w:tcW w:w="1350" w:type="dxa"/>
            <w:shd w:val="clear" w:color="auto" w:fill="auto"/>
            <w:noWrap/>
            <w:vAlign w:val="center"/>
            <w:hideMark/>
          </w:tcPr>
          <w:p w14:paraId="4B8C2F57" w14:textId="77777777" w:rsidR="006B728F" w:rsidRPr="00E36CE7" w:rsidRDefault="006B728F" w:rsidP="00C22819">
            <w:pPr>
              <w:pStyle w:val="tablastexto"/>
            </w:pPr>
            <w:r w:rsidRPr="00E36CE7">
              <w:t>Empresa de Acueducto y Alcantarillado de Bogotá EAAB-ESP</w:t>
            </w:r>
          </w:p>
        </w:tc>
        <w:tc>
          <w:tcPr>
            <w:tcW w:w="1381" w:type="dxa"/>
            <w:shd w:val="clear" w:color="auto" w:fill="auto"/>
            <w:noWrap/>
            <w:vAlign w:val="center"/>
            <w:hideMark/>
          </w:tcPr>
          <w:p w14:paraId="5C00F82B" w14:textId="77777777" w:rsidR="006B728F" w:rsidRPr="00E36CE7" w:rsidRDefault="006B728F" w:rsidP="00C22819">
            <w:pPr>
              <w:pStyle w:val="tablastexto"/>
            </w:pPr>
            <w:r w:rsidRPr="00E36CE7">
              <w:t>Obra (Ejecución)</w:t>
            </w:r>
          </w:p>
        </w:tc>
      </w:tr>
      <w:tr w:rsidR="006B728F" w:rsidRPr="00E36CE7" w14:paraId="375C098E" w14:textId="77777777" w:rsidTr="00945BCE">
        <w:trPr>
          <w:trHeight w:val="1417"/>
        </w:trPr>
        <w:tc>
          <w:tcPr>
            <w:tcW w:w="1710" w:type="dxa"/>
            <w:shd w:val="clear" w:color="auto" w:fill="auto"/>
            <w:noWrap/>
            <w:vAlign w:val="center"/>
            <w:hideMark/>
          </w:tcPr>
          <w:p w14:paraId="49E9B9DE" w14:textId="77777777" w:rsidR="006B728F" w:rsidRPr="00E36CE7" w:rsidRDefault="006B728F" w:rsidP="00C22819">
            <w:pPr>
              <w:pStyle w:val="tablastexto"/>
            </w:pPr>
            <w:r w:rsidRPr="00E36CE7">
              <w:t>Construcción, expansión y/o rehabilitación del sistema del sistema de alcantarillado pluvial, priorizando la renovación y actualización de redes alcantarillado, en los sectores con capacidad insuficiente y limitada</w:t>
            </w:r>
          </w:p>
        </w:tc>
        <w:tc>
          <w:tcPr>
            <w:tcW w:w="1440" w:type="dxa"/>
            <w:shd w:val="clear" w:color="auto" w:fill="auto"/>
            <w:noWrap/>
            <w:vAlign w:val="center"/>
            <w:hideMark/>
          </w:tcPr>
          <w:p w14:paraId="268C507E"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6FF8B941" w14:textId="77777777" w:rsidR="006B728F" w:rsidRPr="00E36CE7" w:rsidRDefault="006B728F" w:rsidP="00C22819">
            <w:pPr>
              <w:pStyle w:val="tablastexto"/>
            </w:pPr>
            <w:r w:rsidRPr="00E36CE7">
              <w:t>12. Subprograma de Construcción, expansión y/o rehabilitación de acueducto y alcantarillado</w:t>
            </w:r>
          </w:p>
        </w:tc>
        <w:tc>
          <w:tcPr>
            <w:tcW w:w="1350" w:type="dxa"/>
            <w:shd w:val="clear" w:color="auto" w:fill="auto"/>
            <w:noWrap/>
            <w:vAlign w:val="center"/>
            <w:hideMark/>
          </w:tcPr>
          <w:p w14:paraId="33E7D76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03EFD01" w14:textId="77777777" w:rsidR="006B728F" w:rsidRPr="00E36CE7" w:rsidRDefault="006B728F" w:rsidP="00C22819">
            <w:pPr>
              <w:pStyle w:val="tablastexto"/>
            </w:pPr>
            <w:r w:rsidRPr="00E36CE7">
              <w:t>4.29. Servicios públicos inclusivos y sostenibles</w:t>
            </w:r>
          </w:p>
        </w:tc>
        <w:tc>
          <w:tcPr>
            <w:tcW w:w="1350" w:type="dxa"/>
            <w:shd w:val="clear" w:color="auto" w:fill="auto"/>
            <w:noWrap/>
            <w:vAlign w:val="center"/>
            <w:hideMark/>
          </w:tcPr>
          <w:p w14:paraId="6B7CFBDB" w14:textId="77777777" w:rsidR="006B728F" w:rsidRPr="00E36CE7" w:rsidRDefault="006B728F" w:rsidP="00C22819">
            <w:pPr>
              <w:pStyle w:val="tablastexto"/>
            </w:pPr>
            <w:r w:rsidRPr="00E36CE7">
              <w:t>Empresa de Acueducto y Alcantarillado de Bogotá EAAB-ESP</w:t>
            </w:r>
          </w:p>
        </w:tc>
        <w:tc>
          <w:tcPr>
            <w:tcW w:w="1381" w:type="dxa"/>
            <w:shd w:val="clear" w:color="auto" w:fill="auto"/>
            <w:noWrap/>
            <w:vAlign w:val="center"/>
            <w:hideMark/>
          </w:tcPr>
          <w:p w14:paraId="34D7015D" w14:textId="77777777" w:rsidR="006B728F" w:rsidRPr="00E36CE7" w:rsidRDefault="006B728F" w:rsidP="00C22819">
            <w:pPr>
              <w:pStyle w:val="tablastexto"/>
            </w:pPr>
            <w:r w:rsidRPr="00E36CE7">
              <w:t>Obra (Ejecución)</w:t>
            </w:r>
          </w:p>
        </w:tc>
      </w:tr>
      <w:tr w:rsidR="006B728F" w:rsidRPr="00E36CE7" w14:paraId="3CF97938" w14:textId="77777777" w:rsidTr="00945BCE">
        <w:trPr>
          <w:trHeight w:val="1417"/>
        </w:trPr>
        <w:tc>
          <w:tcPr>
            <w:tcW w:w="1710" w:type="dxa"/>
            <w:shd w:val="clear" w:color="auto" w:fill="auto"/>
            <w:noWrap/>
            <w:vAlign w:val="center"/>
            <w:hideMark/>
          </w:tcPr>
          <w:p w14:paraId="60E74BF9" w14:textId="77777777" w:rsidR="006B728F" w:rsidRPr="00E36CE7" w:rsidRDefault="006B728F" w:rsidP="00C22819">
            <w:pPr>
              <w:pStyle w:val="tablastexto"/>
            </w:pPr>
            <w:r w:rsidRPr="00E36CE7">
              <w:t>Separación de las redes del sistema pluvial y sanitario en los nuevos desarrollos urbanos, así como en las construcciones rurales que se desarrollen.</w:t>
            </w:r>
          </w:p>
        </w:tc>
        <w:tc>
          <w:tcPr>
            <w:tcW w:w="1440" w:type="dxa"/>
            <w:shd w:val="clear" w:color="auto" w:fill="auto"/>
            <w:noWrap/>
            <w:vAlign w:val="center"/>
            <w:hideMark/>
          </w:tcPr>
          <w:p w14:paraId="245A82EC"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3F5D6E0D" w14:textId="77777777" w:rsidR="006B728F" w:rsidRPr="00E36CE7" w:rsidRDefault="006B728F" w:rsidP="00C22819">
            <w:pPr>
              <w:pStyle w:val="tablastexto"/>
            </w:pPr>
            <w:r w:rsidRPr="00E36CE7">
              <w:t>12. Subprograma de Construcción, expansión y/o rehabilitación de acueducto y alcantarillado</w:t>
            </w:r>
          </w:p>
        </w:tc>
        <w:tc>
          <w:tcPr>
            <w:tcW w:w="1350" w:type="dxa"/>
            <w:shd w:val="clear" w:color="auto" w:fill="auto"/>
            <w:noWrap/>
            <w:vAlign w:val="center"/>
            <w:hideMark/>
          </w:tcPr>
          <w:p w14:paraId="7E53CC26"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FCBCF6E" w14:textId="77777777" w:rsidR="006B728F" w:rsidRPr="00E36CE7" w:rsidRDefault="006B728F" w:rsidP="00C22819">
            <w:pPr>
              <w:pStyle w:val="tablastexto"/>
            </w:pPr>
            <w:r w:rsidRPr="00E36CE7">
              <w:t>4.29. Servicios públicos inclusivos y sostenibles</w:t>
            </w:r>
          </w:p>
        </w:tc>
        <w:tc>
          <w:tcPr>
            <w:tcW w:w="1350" w:type="dxa"/>
            <w:shd w:val="clear" w:color="auto" w:fill="auto"/>
            <w:noWrap/>
            <w:vAlign w:val="center"/>
            <w:hideMark/>
          </w:tcPr>
          <w:p w14:paraId="78E19217" w14:textId="77777777" w:rsidR="006B728F" w:rsidRPr="00E36CE7" w:rsidRDefault="006B728F" w:rsidP="00C22819">
            <w:pPr>
              <w:pStyle w:val="tablastexto"/>
            </w:pPr>
            <w:r w:rsidRPr="00E36CE7">
              <w:t>Empresa de Acueducto y Alcantarillado de Bogotá EAAB-ESP</w:t>
            </w:r>
          </w:p>
        </w:tc>
        <w:tc>
          <w:tcPr>
            <w:tcW w:w="1381" w:type="dxa"/>
            <w:shd w:val="clear" w:color="auto" w:fill="auto"/>
            <w:noWrap/>
            <w:vAlign w:val="center"/>
            <w:hideMark/>
          </w:tcPr>
          <w:p w14:paraId="00AE6230" w14:textId="77777777" w:rsidR="006B728F" w:rsidRPr="00E36CE7" w:rsidRDefault="006B728F" w:rsidP="00C22819">
            <w:pPr>
              <w:pStyle w:val="tablastexto"/>
            </w:pPr>
            <w:r w:rsidRPr="00E36CE7">
              <w:t>Obra (Ejecución)</w:t>
            </w:r>
          </w:p>
        </w:tc>
      </w:tr>
      <w:tr w:rsidR="006B728F" w:rsidRPr="00E36CE7" w14:paraId="19D67BF5" w14:textId="77777777" w:rsidTr="00945BCE">
        <w:trPr>
          <w:trHeight w:val="1417"/>
        </w:trPr>
        <w:tc>
          <w:tcPr>
            <w:tcW w:w="1710" w:type="dxa"/>
            <w:shd w:val="clear" w:color="auto" w:fill="auto"/>
            <w:noWrap/>
            <w:vAlign w:val="center"/>
            <w:hideMark/>
          </w:tcPr>
          <w:p w14:paraId="49AC3282" w14:textId="77777777" w:rsidR="006B728F" w:rsidRPr="00E36CE7" w:rsidRDefault="006B728F" w:rsidP="00C22819">
            <w:pPr>
              <w:pStyle w:val="tablastexto"/>
            </w:pPr>
            <w:r w:rsidRPr="00E36CE7">
              <w:t>Manejo Integral de residuos sólidos en el marco del PGIRS</w:t>
            </w:r>
          </w:p>
        </w:tc>
        <w:tc>
          <w:tcPr>
            <w:tcW w:w="1440" w:type="dxa"/>
            <w:shd w:val="clear" w:color="auto" w:fill="auto"/>
            <w:noWrap/>
            <w:vAlign w:val="center"/>
            <w:hideMark/>
          </w:tcPr>
          <w:p w14:paraId="6E1A905F"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C2182FA" w14:textId="77777777" w:rsidR="006B728F" w:rsidRPr="00E36CE7" w:rsidRDefault="006B728F" w:rsidP="00C22819">
            <w:pPr>
              <w:pStyle w:val="tablastexto"/>
            </w:pPr>
            <w:r w:rsidRPr="00E36CE7">
              <w:t>13. Subprograma de manejo Integral de residuos Sólidos</w:t>
            </w:r>
          </w:p>
        </w:tc>
        <w:tc>
          <w:tcPr>
            <w:tcW w:w="1350" w:type="dxa"/>
            <w:shd w:val="clear" w:color="auto" w:fill="auto"/>
            <w:noWrap/>
            <w:vAlign w:val="center"/>
            <w:hideMark/>
          </w:tcPr>
          <w:p w14:paraId="7CAA6B0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30D93DA5" w14:textId="77777777" w:rsidR="006B728F" w:rsidRPr="00E36CE7" w:rsidRDefault="006B728F" w:rsidP="00C22819">
            <w:pPr>
              <w:pStyle w:val="tablastexto"/>
            </w:pPr>
            <w:r w:rsidRPr="00E36CE7">
              <w:t>4.25. Aumento de la resiliencia al cambio climático y reducción de la vulnerabilidad</w:t>
            </w:r>
          </w:p>
        </w:tc>
        <w:tc>
          <w:tcPr>
            <w:tcW w:w="1350" w:type="dxa"/>
            <w:shd w:val="clear" w:color="auto" w:fill="auto"/>
            <w:noWrap/>
            <w:vAlign w:val="center"/>
            <w:hideMark/>
          </w:tcPr>
          <w:p w14:paraId="191EA2B5"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4754C355" w14:textId="77777777" w:rsidR="006B728F" w:rsidRPr="00E36CE7" w:rsidRDefault="006B728F" w:rsidP="00C22819">
            <w:pPr>
              <w:pStyle w:val="tablastexto"/>
            </w:pPr>
            <w:r w:rsidRPr="00E36CE7">
              <w:t>Ejecución</w:t>
            </w:r>
          </w:p>
        </w:tc>
      </w:tr>
      <w:tr w:rsidR="006B728F" w:rsidRPr="00E36CE7" w14:paraId="1C6392BC" w14:textId="77777777" w:rsidTr="00945BCE">
        <w:trPr>
          <w:trHeight w:val="1417"/>
        </w:trPr>
        <w:tc>
          <w:tcPr>
            <w:tcW w:w="1710" w:type="dxa"/>
            <w:shd w:val="clear" w:color="auto" w:fill="auto"/>
            <w:noWrap/>
            <w:vAlign w:val="center"/>
            <w:hideMark/>
          </w:tcPr>
          <w:p w14:paraId="545E24F1" w14:textId="77777777" w:rsidR="006B728F" w:rsidRPr="00E36CE7" w:rsidRDefault="006B728F" w:rsidP="00C22819">
            <w:pPr>
              <w:pStyle w:val="tablastexto"/>
            </w:pPr>
            <w:r w:rsidRPr="00E36CE7">
              <w:t>Construcción de Celda para cierre progresivo (Propendiendo por una disminución gradual del enterramiento).</w:t>
            </w:r>
          </w:p>
        </w:tc>
        <w:tc>
          <w:tcPr>
            <w:tcW w:w="1440" w:type="dxa"/>
            <w:shd w:val="clear" w:color="auto" w:fill="auto"/>
            <w:noWrap/>
            <w:vAlign w:val="center"/>
            <w:hideMark/>
          </w:tcPr>
          <w:p w14:paraId="3ABC2192"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5E60A6B8" w14:textId="77777777" w:rsidR="006B728F" w:rsidRPr="00E36CE7" w:rsidRDefault="006B728F" w:rsidP="00C22819">
            <w:pPr>
              <w:pStyle w:val="tablastexto"/>
            </w:pPr>
            <w:r w:rsidRPr="00E36CE7">
              <w:t>13. Subprograma de manejo Integral de residuos Sólidos</w:t>
            </w:r>
          </w:p>
        </w:tc>
        <w:tc>
          <w:tcPr>
            <w:tcW w:w="1350" w:type="dxa"/>
            <w:shd w:val="clear" w:color="auto" w:fill="auto"/>
            <w:noWrap/>
            <w:vAlign w:val="center"/>
            <w:hideMark/>
          </w:tcPr>
          <w:p w14:paraId="3CE8C20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8685092" w14:textId="77777777" w:rsidR="006B728F" w:rsidRPr="00E36CE7" w:rsidRDefault="006B728F" w:rsidP="00C22819">
            <w:pPr>
              <w:pStyle w:val="tablastexto"/>
            </w:pPr>
            <w:r w:rsidRPr="00E36CE7">
              <w:t>4.25. Aumento de la resiliencia al cambio climático y reducción de la vulnerabilidad</w:t>
            </w:r>
          </w:p>
        </w:tc>
        <w:tc>
          <w:tcPr>
            <w:tcW w:w="1350" w:type="dxa"/>
            <w:shd w:val="clear" w:color="auto" w:fill="auto"/>
            <w:noWrap/>
            <w:vAlign w:val="center"/>
            <w:hideMark/>
          </w:tcPr>
          <w:p w14:paraId="64E7DC8F"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2E054CE4" w14:textId="77777777" w:rsidR="006B728F" w:rsidRPr="00E36CE7" w:rsidRDefault="006B728F" w:rsidP="00C22819">
            <w:pPr>
              <w:pStyle w:val="tablastexto"/>
            </w:pPr>
            <w:r w:rsidRPr="00E36CE7">
              <w:t>Estudios y diseños</w:t>
            </w:r>
          </w:p>
        </w:tc>
      </w:tr>
      <w:tr w:rsidR="006B728F" w:rsidRPr="00E36CE7" w14:paraId="35372192" w14:textId="77777777" w:rsidTr="00945BCE">
        <w:trPr>
          <w:trHeight w:val="1417"/>
        </w:trPr>
        <w:tc>
          <w:tcPr>
            <w:tcW w:w="1710" w:type="dxa"/>
            <w:shd w:val="clear" w:color="auto" w:fill="auto"/>
            <w:noWrap/>
            <w:vAlign w:val="center"/>
            <w:hideMark/>
          </w:tcPr>
          <w:p w14:paraId="3300E9D9" w14:textId="77777777" w:rsidR="006B728F" w:rsidRPr="00E36CE7" w:rsidRDefault="006B728F" w:rsidP="00C22819">
            <w:pPr>
              <w:pStyle w:val="tablastexto"/>
            </w:pPr>
            <w:r w:rsidRPr="00E36CE7">
              <w:lastRenderedPageBreak/>
              <w:t>Implementación de alternativas de tratamiento y/o valorización de lixiviados generados en el predio Doña Juana</w:t>
            </w:r>
          </w:p>
        </w:tc>
        <w:tc>
          <w:tcPr>
            <w:tcW w:w="1440" w:type="dxa"/>
            <w:shd w:val="clear" w:color="auto" w:fill="auto"/>
            <w:noWrap/>
            <w:vAlign w:val="center"/>
            <w:hideMark/>
          </w:tcPr>
          <w:p w14:paraId="45180279"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4523B13A" w14:textId="77777777" w:rsidR="006B728F" w:rsidRPr="00E36CE7" w:rsidRDefault="006B728F" w:rsidP="00C22819">
            <w:pPr>
              <w:pStyle w:val="tablastexto"/>
            </w:pPr>
            <w:r w:rsidRPr="00E36CE7">
              <w:t>13. Subprograma de manejo Integral de residuos Sólidos</w:t>
            </w:r>
          </w:p>
        </w:tc>
        <w:tc>
          <w:tcPr>
            <w:tcW w:w="1350" w:type="dxa"/>
            <w:shd w:val="clear" w:color="auto" w:fill="auto"/>
            <w:noWrap/>
            <w:vAlign w:val="center"/>
            <w:hideMark/>
          </w:tcPr>
          <w:p w14:paraId="0552CCA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482AAB7" w14:textId="77777777" w:rsidR="006B728F" w:rsidRPr="00E36CE7" w:rsidRDefault="006B728F" w:rsidP="00C22819">
            <w:pPr>
              <w:pStyle w:val="tablastexto"/>
            </w:pPr>
            <w:r w:rsidRPr="00E36CE7">
              <w:t>4.25. Aumento de la resiliencia al cambio climático y reducción de la vulnerabilidad</w:t>
            </w:r>
          </w:p>
        </w:tc>
        <w:tc>
          <w:tcPr>
            <w:tcW w:w="1350" w:type="dxa"/>
            <w:shd w:val="clear" w:color="auto" w:fill="auto"/>
            <w:noWrap/>
            <w:vAlign w:val="center"/>
            <w:hideMark/>
          </w:tcPr>
          <w:p w14:paraId="33DC0C38"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1BCD7CBD" w14:textId="77777777" w:rsidR="006B728F" w:rsidRPr="00E36CE7" w:rsidRDefault="006B728F" w:rsidP="00C22819">
            <w:pPr>
              <w:pStyle w:val="tablastexto"/>
            </w:pPr>
            <w:r w:rsidRPr="00E36CE7">
              <w:t>Factibilidad</w:t>
            </w:r>
          </w:p>
        </w:tc>
      </w:tr>
      <w:tr w:rsidR="006B728F" w:rsidRPr="00E36CE7" w14:paraId="02E69EF1" w14:textId="77777777" w:rsidTr="00945BCE">
        <w:trPr>
          <w:trHeight w:val="1417"/>
        </w:trPr>
        <w:tc>
          <w:tcPr>
            <w:tcW w:w="1710" w:type="dxa"/>
            <w:shd w:val="clear" w:color="auto" w:fill="auto"/>
            <w:noWrap/>
            <w:vAlign w:val="center"/>
            <w:hideMark/>
          </w:tcPr>
          <w:p w14:paraId="1F0FBFBF" w14:textId="77777777" w:rsidR="006B728F" w:rsidRPr="00E36CE7" w:rsidRDefault="006B728F" w:rsidP="00C22819">
            <w:pPr>
              <w:pStyle w:val="tablastexto"/>
            </w:pPr>
            <w:r w:rsidRPr="00E36CE7">
              <w:t>Lograr la adecuada operación del relleno sanitario y cumplimiento de los requerimientos socioambientales.</w:t>
            </w:r>
          </w:p>
        </w:tc>
        <w:tc>
          <w:tcPr>
            <w:tcW w:w="1440" w:type="dxa"/>
            <w:shd w:val="clear" w:color="auto" w:fill="auto"/>
            <w:noWrap/>
            <w:vAlign w:val="center"/>
            <w:hideMark/>
          </w:tcPr>
          <w:p w14:paraId="3A3BD6D5"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24AD780E" w14:textId="77777777" w:rsidR="006B728F" w:rsidRPr="00E36CE7" w:rsidRDefault="006B728F" w:rsidP="00C22819">
            <w:pPr>
              <w:pStyle w:val="tablastexto"/>
            </w:pPr>
            <w:r w:rsidRPr="00E36CE7">
              <w:t>13. Subprograma de manejo Integral de residuos Sólidos</w:t>
            </w:r>
          </w:p>
        </w:tc>
        <w:tc>
          <w:tcPr>
            <w:tcW w:w="1350" w:type="dxa"/>
            <w:shd w:val="clear" w:color="auto" w:fill="auto"/>
            <w:noWrap/>
            <w:vAlign w:val="center"/>
            <w:hideMark/>
          </w:tcPr>
          <w:p w14:paraId="2DE3804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BBD4A23" w14:textId="77777777" w:rsidR="006B728F" w:rsidRPr="00E36CE7" w:rsidRDefault="006B728F" w:rsidP="00C22819">
            <w:pPr>
              <w:pStyle w:val="tablastexto"/>
            </w:pPr>
            <w:r w:rsidRPr="00E36CE7">
              <w:t>4.25. Aumento de la resiliencia al cambio climático y reducción de la vulnerabilidad</w:t>
            </w:r>
          </w:p>
        </w:tc>
        <w:tc>
          <w:tcPr>
            <w:tcW w:w="1350" w:type="dxa"/>
            <w:shd w:val="clear" w:color="auto" w:fill="auto"/>
            <w:noWrap/>
            <w:vAlign w:val="center"/>
            <w:hideMark/>
          </w:tcPr>
          <w:p w14:paraId="77D1DD7B"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492A9D70" w14:textId="77777777" w:rsidR="006B728F" w:rsidRPr="00E36CE7" w:rsidRDefault="006B728F" w:rsidP="00C22819">
            <w:pPr>
              <w:pStyle w:val="tablastexto"/>
            </w:pPr>
            <w:r w:rsidRPr="00E36CE7">
              <w:t>Ejecución</w:t>
            </w:r>
          </w:p>
        </w:tc>
      </w:tr>
      <w:tr w:rsidR="006B728F" w:rsidRPr="00E36CE7" w14:paraId="3270FA92" w14:textId="77777777" w:rsidTr="00945BCE">
        <w:trPr>
          <w:trHeight w:val="1417"/>
        </w:trPr>
        <w:tc>
          <w:tcPr>
            <w:tcW w:w="1710" w:type="dxa"/>
            <w:shd w:val="clear" w:color="auto" w:fill="auto"/>
            <w:noWrap/>
            <w:vAlign w:val="center"/>
            <w:hideMark/>
          </w:tcPr>
          <w:p w14:paraId="646C4171" w14:textId="77777777" w:rsidR="006B728F" w:rsidRPr="00E36CE7" w:rsidRDefault="006B728F" w:rsidP="00C22819">
            <w:pPr>
              <w:pStyle w:val="tablastexto"/>
            </w:pPr>
            <w:r w:rsidRPr="00E36CE7">
              <w:t>Tratamiento y aprovechamiento del biogás proveniente del predio Doña Juana</w:t>
            </w:r>
          </w:p>
        </w:tc>
        <w:tc>
          <w:tcPr>
            <w:tcW w:w="1440" w:type="dxa"/>
            <w:shd w:val="clear" w:color="auto" w:fill="auto"/>
            <w:noWrap/>
            <w:vAlign w:val="center"/>
            <w:hideMark/>
          </w:tcPr>
          <w:p w14:paraId="2817673E"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24E0822D" w14:textId="77777777" w:rsidR="006B728F" w:rsidRPr="00E36CE7" w:rsidRDefault="006B728F" w:rsidP="00C22819">
            <w:pPr>
              <w:pStyle w:val="tablastexto"/>
            </w:pPr>
            <w:r w:rsidRPr="00E36CE7">
              <w:t>13. Subprograma de manejo Integral de residuos Sólidos</w:t>
            </w:r>
          </w:p>
        </w:tc>
        <w:tc>
          <w:tcPr>
            <w:tcW w:w="1350" w:type="dxa"/>
            <w:shd w:val="clear" w:color="auto" w:fill="auto"/>
            <w:noWrap/>
            <w:vAlign w:val="center"/>
            <w:hideMark/>
          </w:tcPr>
          <w:p w14:paraId="53EECB3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AF6F924" w14:textId="77777777" w:rsidR="006B728F" w:rsidRPr="00E36CE7" w:rsidRDefault="006B728F" w:rsidP="00C22819">
            <w:pPr>
              <w:pStyle w:val="tablastexto"/>
            </w:pPr>
            <w:r w:rsidRPr="00E36CE7">
              <w:t>4.25. Aumento de la resiliencia al cambio climático y reducción de la vulnerabilidad</w:t>
            </w:r>
          </w:p>
        </w:tc>
        <w:tc>
          <w:tcPr>
            <w:tcW w:w="1350" w:type="dxa"/>
            <w:shd w:val="clear" w:color="auto" w:fill="auto"/>
            <w:noWrap/>
            <w:vAlign w:val="center"/>
            <w:hideMark/>
          </w:tcPr>
          <w:p w14:paraId="3FC08CBB"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58E3B3AE" w14:textId="77777777" w:rsidR="006B728F" w:rsidRPr="00E36CE7" w:rsidRDefault="006B728F" w:rsidP="00C22819">
            <w:pPr>
              <w:pStyle w:val="tablastexto"/>
            </w:pPr>
            <w:r w:rsidRPr="00E36CE7">
              <w:t>Ejecución</w:t>
            </w:r>
          </w:p>
        </w:tc>
      </w:tr>
      <w:tr w:rsidR="006B728F" w:rsidRPr="00E36CE7" w14:paraId="2EAEF16B" w14:textId="77777777" w:rsidTr="00945BCE">
        <w:trPr>
          <w:trHeight w:val="1417"/>
        </w:trPr>
        <w:tc>
          <w:tcPr>
            <w:tcW w:w="1710" w:type="dxa"/>
            <w:shd w:val="clear" w:color="auto" w:fill="auto"/>
            <w:noWrap/>
            <w:vAlign w:val="center"/>
            <w:hideMark/>
          </w:tcPr>
          <w:p w14:paraId="33497D25" w14:textId="77777777" w:rsidR="006B728F" w:rsidRPr="00E36CE7" w:rsidRDefault="006B728F" w:rsidP="00C22819">
            <w:pPr>
              <w:pStyle w:val="tablastexto"/>
            </w:pPr>
            <w:r w:rsidRPr="00E36CE7">
              <w:t>Ampliación de capacidad de Bóvedas, Osarios y Cenizarios en Cementerio Parque Serafín</w:t>
            </w:r>
          </w:p>
        </w:tc>
        <w:tc>
          <w:tcPr>
            <w:tcW w:w="1440" w:type="dxa"/>
            <w:shd w:val="clear" w:color="auto" w:fill="auto"/>
            <w:noWrap/>
            <w:vAlign w:val="center"/>
            <w:hideMark/>
          </w:tcPr>
          <w:p w14:paraId="2552C092"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2B2697E"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4185F96A"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BBE2E0D" w14:textId="77777777" w:rsidR="006B728F" w:rsidRPr="00E36CE7" w:rsidRDefault="006B728F" w:rsidP="00C22819">
            <w:pPr>
              <w:pStyle w:val="tablastexto"/>
            </w:pPr>
            <w:r w:rsidRPr="00E36CE7">
              <w:t>4.29. Servicios públicos inclusivos y sostenibles</w:t>
            </w:r>
          </w:p>
        </w:tc>
        <w:tc>
          <w:tcPr>
            <w:tcW w:w="1350" w:type="dxa"/>
            <w:shd w:val="clear" w:color="auto" w:fill="auto"/>
            <w:noWrap/>
            <w:vAlign w:val="center"/>
            <w:hideMark/>
          </w:tcPr>
          <w:p w14:paraId="59F97AB1"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52E4CD90" w14:textId="77777777" w:rsidR="006B728F" w:rsidRPr="00E36CE7" w:rsidRDefault="006B728F" w:rsidP="00C22819">
            <w:pPr>
              <w:pStyle w:val="tablastexto"/>
            </w:pPr>
            <w:r w:rsidRPr="00E36CE7">
              <w:t>Suspendido</w:t>
            </w:r>
          </w:p>
        </w:tc>
      </w:tr>
      <w:tr w:rsidR="006B728F" w:rsidRPr="00E36CE7" w14:paraId="646E4F86" w14:textId="77777777" w:rsidTr="00945BCE">
        <w:trPr>
          <w:trHeight w:val="1417"/>
        </w:trPr>
        <w:tc>
          <w:tcPr>
            <w:tcW w:w="1710" w:type="dxa"/>
            <w:shd w:val="clear" w:color="auto" w:fill="auto"/>
            <w:noWrap/>
            <w:vAlign w:val="center"/>
            <w:hideMark/>
          </w:tcPr>
          <w:p w14:paraId="08706320" w14:textId="77777777" w:rsidR="006B728F" w:rsidRPr="00E36CE7" w:rsidRDefault="006B728F" w:rsidP="00C22819">
            <w:pPr>
              <w:pStyle w:val="tablastexto"/>
            </w:pPr>
            <w:r w:rsidRPr="00E36CE7">
              <w:t>Cementerio Central</w:t>
            </w:r>
          </w:p>
        </w:tc>
        <w:tc>
          <w:tcPr>
            <w:tcW w:w="1440" w:type="dxa"/>
            <w:shd w:val="clear" w:color="auto" w:fill="auto"/>
            <w:noWrap/>
            <w:vAlign w:val="center"/>
            <w:hideMark/>
          </w:tcPr>
          <w:p w14:paraId="5A978084"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12A2325"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4892F81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944664B" w14:textId="77777777" w:rsidR="006B728F" w:rsidRPr="00E36CE7" w:rsidRDefault="006B728F" w:rsidP="00C22819">
            <w:pPr>
              <w:pStyle w:val="tablastexto"/>
            </w:pPr>
            <w:r w:rsidRPr="00E36CE7">
              <w:t>4.29. Servicios públicos inclusivos y sostenibles</w:t>
            </w:r>
          </w:p>
        </w:tc>
        <w:tc>
          <w:tcPr>
            <w:tcW w:w="1350" w:type="dxa"/>
            <w:shd w:val="clear" w:color="auto" w:fill="auto"/>
            <w:noWrap/>
            <w:vAlign w:val="center"/>
            <w:hideMark/>
          </w:tcPr>
          <w:p w14:paraId="60152BAD" w14:textId="77777777" w:rsidR="006B728F" w:rsidRPr="00E36CE7" w:rsidRDefault="006B728F" w:rsidP="00C22819">
            <w:pPr>
              <w:pStyle w:val="tablastexto"/>
            </w:pPr>
            <w:r w:rsidRPr="00E36CE7">
              <w:t>Unidad Administrativa Especial de Servicios Públicos - UAESP</w:t>
            </w:r>
          </w:p>
        </w:tc>
        <w:tc>
          <w:tcPr>
            <w:tcW w:w="1381" w:type="dxa"/>
            <w:shd w:val="clear" w:color="auto" w:fill="auto"/>
            <w:noWrap/>
            <w:vAlign w:val="center"/>
            <w:hideMark/>
          </w:tcPr>
          <w:p w14:paraId="27398349" w14:textId="77777777" w:rsidR="006B728F" w:rsidRPr="00E36CE7" w:rsidRDefault="006B728F" w:rsidP="00C22819">
            <w:pPr>
              <w:pStyle w:val="tablastexto"/>
            </w:pPr>
            <w:r w:rsidRPr="00E36CE7">
              <w:t>Sin iniciar</w:t>
            </w:r>
          </w:p>
        </w:tc>
      </w:tr>
      <w:tr w:rsidR="006B728F" w:rsidRPr="00E36CE7" w14:paraId="58A03E4E" w14:textId="77777777" w:rsidTr="00945BCE">
        <w:trPr>
          <w:trHeight w:val="1417"/>
        </w:trPr>
        <w:tc>
          <w:tcPr>
            <w:tcW w:w="1710" w:type="dxa"/>
            <w:shd w:val="clear" w:color="auto" w:fill="auto"/>
            <w:noWrap/>
            <w:vAlign w:val="center"/>
            <w:hideMark/>
          </w:tcPr>
          <w:p w14:paraId="76EDB6DF" w14:textId="77777777" w:rsidR="006B728F" w:rsidRPr="00E36CE7" w:rsidRDefault="006B728F" w:rsidP="00C22819">
            <w:pPr>
              <w:pStyle w:val="tablastexto"/>
            </w:pPr>
            <w:r w:rsidRPr="00E36CE7">
              <w:t>Legalización de asentamientos humanos y formalización de barrios legalizados</w:t>
            </w:r>
          </w:p>
        </w:tc>
        <w:tc>
          <w:tcPr>
            <w:tcW w:w="1440" w:type="dxa"/>
            <w:shd w:val="clear" w:color="auto" w:fill="auto"/>
            <w:noWrap/>
            <w:vAlign w:val="center"/>
            <w:hideMark/>
          </w:tcPr>
          <w:p w14:paraId="188D7822" w14:textId="77777777" w:rsidR="006B728F" w:rsidRPr="00E36CE7" w:rsidRDefault="006B728F" w:rsidP="00C22819">
            <w:pPr>
              <w:pStyle w:val="tablastexto"/>
            </w:pPr>
            <w:r w:rsidRPr="00E36CE7">
              <w:t>4. Programa Hábitat y vivienda popular</w:t>
            </w:r>
          </w:p>
        </w:tc>
        <w:tc>
          <w:tcPr>
            <w:tcW w:w="1890" w:type="dxa"/>
            <w:shd w:val="clear" w:color="auto" w:fill="auto"/>
            <w:noWrap/>
            <w:vAlign w:val="center"/>
            <w:hideMark/>
          </w:tcPr>
          <w:p w14:paraId="06467238" w14:textId="77777777" w:rsidR="006B728F" w:rsidRPr="00E36CE7" w:rsidRDefault="006B728F" w:rsidP="00C22819">
            <w:pPr>
              <w:pStyle w:val="tablastexto"/>
            </w:pPr>
            <w:r w:rsidRPr="00E36CE7">
              <w:t>3. Subprograma de Mejoramiento Integral del Hábitat</w:t>
            </w:r>
          </w:p>
        </w:tc>
        <w:tc>
          <w:tcPr>
            <w:tcW w:w="1350" w:type="dxa"/>
            <w:shd w:val="clear" w:color="auto" w:fill="auto"/>
            <w:noWrap/>
            <w:vAlign w:val="center"/>
            <w:hideMark/>
          </w:tcPr>
          <w:p w14:paraId="579874DB"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EC7DD56" w14:textId="77777777" w:rsidR="006B728F" w:rsidRPr="00E36CE7" w:rsidRDefault="006B728F" w:rsidP="00C22819">
            <w:pPr>
              <w:pStyle w:val="tablastexto"/>
            </w:pPr>
            <w:r w:rsidRPr="00E36CE7">
              <w:t>4.23. Ordenamiento territorial sostenible, equilibrado y participativo</w:t>
            </w:r>
          </w:p>
        </w:tc>
        <w:tc>
          <w:tcPr>
            <w:tcW w:w="1350" w:type="dxa"/>
            <w:shd w:val="clear" w:color="auto" w:fill="auto"/>
            <w:noWrap/>
            <w:vAlign w:val="center"/>
            <w:hideMark/>
          </w:tcPr>
          <w:p w14:paraId="2482F5AD" w14:textId="77777777" w:rsidR="006B728F" w:rsidRPr="00E36CE7" w:rsidRDefault="006B728F" w:rsidP="00C22819">
            <w:pPr>
              <w:pStyle w:val="tablastexto"/>
            </w:pPr>
            <w:r w:rsidRPr="00E36CE7">
              <w:t>Secretaría Distrital de Hábitat</w:t>
            </w:r>
          </w:p>
        </w:tc>
        <w:tc>
          <w:tcPr>
            <w:tcW w:w="1381" w:type="dxa"/>
            <w:shd w:val="clear" w:color="auto" w:fill="auto"/>
            <w:noWrap/>
            <w:vAlign w:val="center"/>
            <w:hideMark/>
          </w:tcPr>
          <w:p w14:paraId="4F17A19F" w14:textId="77777777" w:rsidR="006B728F" w:rsidRPr="00E36CE7" w:rsidRDefault="006B728F" w:rsidP="00C22819">
            <w:pPr>
              <w:pStyle w:val="tablastexto"/>
            </w:pPr>
            <w:r w:rsidRPr="00E36CE7">
              <w:t>Factibilidad</w:t>
            </w:r>
          </w:p>
        </w:tc>
      </w:tr>
      <w:tr w:rsidR="006B728F" w:rsidRPr="00E36CE7" w14:paraId="524FF440" w14:textId="77777777" w:rsidTr="00945BCE">
        <w:trPr>
          <w:trHeight w:val="1417"/>
        </w:trPr>
        <w:tc>
          <w:tcPr>
            <w:tcW w:w="1710" w:type="dxa"/>
            <w:shd w:val="clear" w:color="auto" w:fill="auto"/>
            <w:noWrap/>
            <w:vAlign w:val="center"/>
            <w:hideMark/>
          </w:tcPr>
          <w:p w14:paraId="1683259B" w14:textId="77777777" w:rsidR="006B728F" w:rsidRPr="00E36CE7" w:rsidRDefault="006B728F" w:rsidP="00C22819">
            <w:pPr>
              <w:pStyle w:val="tablastexto"/>
            </w:pPr>
            <w:r w:rsidRPr="00E36CE7">
              <w:t>Malla Vial Arterial - Avenida Caracas desde Avenida Ciudad de Villavicencio hasta Portal de Usme</w:t>
            </w:r>
          </w:p>
        </w:tc>
        <w:tc>
          <w:tcPr>
            <w:tcW w:w="1440" w:type="dxa"/>
            <w:shd w:val="clear" w:color="auto" w:fill="auto"/>
            <w:noWrap/>
            <w:vAlign w:val="center"/>
            <w:hideMark/>
          </w:tcPr>
          <w:p w14:paraId="40467B08"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6AEAC5EF"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BB84E7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8A73A1E"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426D79A6"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7CE0ACBE" w14:textId="77777777" w:rsidR="006B728F" w:rsidRPr="00E36CE7" w:rsidRDefault="006B728F" w:rsidP="00C22819">
            <w:pPr>
              <w:pStyle w:val="tablastexto"/>
            </w:pPr>
            <w:r w:rsidRPr="00E36CE7">
              <w:t>Obra (Ejecución)</w:t>
            </w:r>
          </w:p>
        </w:tc>
      </w:tr>
      <w:tr w:rsidR="006B728F" w:rsidRPr="00E36CE7" w14:paraId="53BBC3F2" w14:textId="77777777" w:rsidTr="00945BCE">
        <w:trPr>
          <w:trHeight w:val="1417"/>
        </w:trPr>
        <w:tc>
          <w:tcPr>
            <w:tcW w:w="1710" w:type="dxa"/>
            <w:shd w:val="clear" w:color="auto" w:fill="auto"/>
            <w:noWrap/>
            <w:vAlign w:val="center"/>
            <w:hideMark/>
          </w:tcPr>
          <w:p w14:paraId="605A2592" w14:textId="77777777" w:rsidR="006B728F" w:rsidRPr="00E36CE7" w:rsidRDefault="006B728F" w:rsidP="00C22819">
            <w:pPr>
              <w:pStyle w:val="tablastexto"/>
            </w:pPr>
            <w:r w:rsidRPr="00E36CE7">
              <w:lastRenderedPageBreak/>
              <w:t>Malla Vial Arterial - Avenida Ciudad de Cali desde Avenida Bosa hasta Avenida Circunvalar del sur. Ciclorrutas Avenida Ciudad de Cali desde Avenida Primero de Mayo hasta Avenida Circunvalar del Sur. Parcial hasta la Av. Bosa</w:t>
            </w:r>
          </w:p>
        </w:tc>
        <w:tc>
          <w:tcPr>
            <w:tcW w:w="1440" w:type="dxa"/>
            <w:shd w:val="clear" w:color="auto" w:fill="auto"/>
            <w:noWrap/>
            <w:vAlign w:val="center"/>
            <w:hideMark/>
          </w:tcPr>
          <w:p w14:paraId="7D604892"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1CD16E0"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63F389BB"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0F7BC9A"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B0B287B"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61CA391" w14:textId="77777777" w:rsidR="006B728F" w:rsidRPr="00E36CE7" w:rsidRDefault="006B728F" w:rsidP="00C22819">
            <w:pPr>
              <w:pStyle w:val="tablastexto"/>
            </w:pPr>
            <w:r w:rsidRPr="00E36CE7">
              <w:t>Obra (Ejecución)</w:t>
            </w:r>
          </w:p>
        </w:tc>
      </w:tr>
      <w:tr w:rsidR="006B728F" w:rsidRPr="00E36CE7" w14:paraId="2CD3B50C" w14:textId="77777777" w:rsidTr="00945BCE">
        <w:trPr>
          <w:trHeight w:val="1417"/>
        </w:trPr>
        <w:tc>
          <w:tcPr>
            <w:tcW w:w="1710" w:type="dxa"/>
            <w:shd w:val="clear" w:color="auto" w:fill="auto"/>
            <w:noWrap/>
            <w:vAlign w:val="center"/>
            <w:hideMark/>
          </w:tcPr>
          <w:p w14:paraId="655905AF" w14:textId="77777777" w:rsidR="006B728F" w:rsidRPr="00E36CE7" w:rsidRDefault="006B728F" w:rsidP="00C22819">
            <w:pPr>
              <w:pStyle w:val="tablastexto"/>
            </w:pPr>
            <w:r w:rsidRPr="00E36CE7">
              <w:t>Malla Vial Arterial - Avenida Congreso Eucarístico (Carrera 68) desde la Carrera 9 hasta la Autopista Sur y obras complementarias</w:t>
            </w:r>
          </w:p>
        </w:tc>
        <w:tc>
          <w:tcPr>
            <w:tcW w:w="1440" w:type="dxa"/>
            <w:shd w:val="clear" w:color="auto" w:fill="auto"/>
            <w:noWrap/>
            <w:vAlign w:val="center"/>
            <w:hideMark/>
          </w:tcPr>
          <w:p w14:paraId="233C048F"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5087B0B3"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0929933"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30BE8A9"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4AE95889"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74F66D80" w14:textId="77777777" w:rsidR="006B728F" w:rsidRPr="00E36CE7" w:rsidRDefault="006B728F" w:rsidP="00C22819">
            <w:pPr>
              <w:pStyle w:val="tablastexto"/>
            </w:pPr>
            <w:r w:rsidRPr="00E36CE7">
              <w:t>Obra (Ejecución)</w:t>
            </w:r>
          </w:p>
        </w:tc>
      </w:tr>
      <w:tr w:rsidR="006B728F" w:rsidRPr="00E36CE7" w14:paraId="6D18D28E" w14:textId="77777777" w:rsidTr="00945BCE">
        <w:trPr>
          <w:trHeight w:val="1417"/>
        </w:trPr>
        <w:tc>
          <w:tcPr>
            <w:tcW w:w="1710" w:type="dxa"/>
            <w:shd w:val="clear" w:color="auto" w:fill="auto"/>
            <w:noWrap/>
            <w:vAlign w:val="center"/>
            <w:hideMark/>
          </w:tcPr>
          <w:p w14:paraId="50D5566A" w14:textId="77777777" w:rsidR="006B728F" w:rsidRPr="00E36CE7" w:rsidRDefault="006B728F" w:rsidP="00C22819">
            <w:pPr>
              <w:pStyle w:val="tablastexto"/>
            </w:pPr>
            <w:r w:rsidRPr="00E36CE7">
              <w:t>Malla Vial Arterial - Avenida Caracas desde el Portal Usme hasta la Avenida Circunvalar del Sur</w:t>
            </w:r>
          </w:p>
        </w:tc>
        <w:tc>
          <w:tcPr>
            <w:tcW w:w="1440" w:type="dxa"/>
            <w:shd w:val="clear" w:color="auto" w:fill="auto"/>
            <w:noWrap/>
            <w:vAlign w:val="center"/>
            <w:hideMark/>
          </w:tcPr>
          <w:p w14:paraId="2360FE2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5B03936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333AEA2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636A1AD"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28E5682E"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03DA69C8" w14:textId="77777777" w:rsidR="006B728F" w:rsidRPr="00E36CE7" w:rsidRDefault="006B728F" w:rsidP="00C22819">
            <w:pPr>
              <w:pStyle w:val="tablastexto"/>
            </w:pPr>
            <w:r w:rsidRPr="00E36CE7">
              <w:t>Estudios y diseños</w:t>
            </w:r>
          </w:p>
        </w:tc>
      </w:tr>
      <w:tr w:rsidR="006B728F" w:rsidRPr="00E36CE7" w14:paraId="4E9375EB" w14:textId="77777777" w:rsidTr="00945BCE">
        <w:trPr>
          <w:trHeight w:val="1417"/>
        </w:trPr>
        <w:tc>
          <w:tcPr>
            <w:tcW w:w="1710" w:type="dxa"/>
            <w:shd w:val="clear" w:color="auto" w:fill="auto"/>
            <w:noWrap/>
            <w:vAlign w:val="center"/>
            <w:hideMark/>
          </w:tcPr>
          <w:p w14:paraId="6C527490" w14:textId="77777777" w:rsidR="006B728F" w:rsidRPr="00E36CE7" w:rsidRDefault="006B728F" w:rsidP="00C22819">
            <w:pPr>
              <w:pStyle w:val="tablastexto"/>
            </w:pPr>
            <w:r w:rsidRPr="00E36CE7">
              <w:t>Malla Vial Intermedia - Avenida Ciudad Montes (AC 3) desde Avenida Constitución hasta Avenida Boyacá (AK 72) (incluye intersecciones)</w:t>
            </w:r>
          </w:p>
        </w:tc>
        <w:tc>
          <w:tcPr>
            <w:tcW w:w="1440" w:type="dxa"/>
            <w:shd w:val="clear" w:color="auto" w:fill="auto"/>
            <w:noWrap/>
            <w:vAlign w:val="center"/>
            <w:hideMark/>
          </w:tcPr>
          <w:p w14:paraId="324EB691"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10BEB511"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7F34FF3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F303ACC"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84C7F25"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9B6A2E1" w14:textId="77777777" w:rsidR="006B728F" w:rsidRPr="00E36CE7" w:rsidRDefault="006B728F" w:rsidP="00C22819">
            <w:pPr>
              <w:pStyle w:val="tablastexto"/>
            </w:pPr>
            <w:r w:rsidRPr="00E36CE7">
              <w:t>Sin iniciar</w:t>
            </w:r>
          </w:p>
        </w:tc>
      </w:tr>
      <w:tr w:rsidR="006B728F" w:rsidRPr="00E36CE7" w14:paraId="409C2B8B" w14:textId="77777777" w:rsidTr="00945BCE">
        <w:trPr>
          <w:trHeight w:val="1417"/>
        </w:trPr>
        <w:tc>
          <w:tcPr>
            <w:tcW w:w="1710" w:type="dxa"/>
            <w:shd w:val="clear" w:color="auto" w:fill="auto"/>
            <w:noWrap/>
            <w:vAlign w:val="center"/>
            <w:hideMark/>
          </w:tcPr>
          <w:p w14:paraId="0A1F8C98" w14:textId="77777777" w:rsidR="006B728F" w:rsidRPr="00E36CE7" w:rsidRDefault="006B728F" w:rsidP="00C22819">
            <w:pPr>
              <w:pStyle w:val="tablastexto"/>
            </w:pPr>
            <w:r w:rsidRPr="00E36CE7">
              <w:t>Malla Vial Intermedia - Avenida El Salitre (AC 66A) desde Avenida Norte Quito Sur hasta Avenida del Congreso Eucarístico (incluye intersecciones)</w:t>
            </w:r>
          </w:p>
        </w:tc>
        <w:tc>
          <w:tcPr>
            <w:tcW w:w="1440" w:type="dxa"/>
            <w:shd w:val="clear" w:color="auto" w:fill="auto"/>
            <w:noWrap/>
            <w:vAlign w:val="center"/>
            <w:hideMark/>
          </w:tcPr>
          <w:p w14:paraId="77615CF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6D39317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62BC79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8950DEE"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294412AB"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38CEE3B" w14:textId="77777777" w:rsidR="006B728F" w:rsidRPr="00E36CE7" w:rsidRDefault="006B728F" w:rsidP="00C22819">
            <w:pPr>
              <w:pStyle w:val="tablastexto"/>
            </w:pPr>
            <w:r w:rsidRPr="00E36CE7">
              <w:t>Sin iniciar</w:t>
            </w:r>
          </w:p>
        </w:tc>
      </w:tr>
      <w:tr w:rsidR="006B728F" w:rsidRPr="00E36CE7" w14:paraId="5F6D71BD" w14:textId="77777777" w:rsidTr="00945BCE">
        <w:trPr>
          <w:trHeight w:val="1417"/>
        </w:trPr>
        <w:tc>
          <w:tcPr>
            <w:tcW w:w="1710" w:type="dxa"/>
            <w:shd w:val="clear" w:color="auto" w:fill="auto"/>
            <w:noWrap/>
            <w:vAlign w:val="center"/>
            <w:hideMark/>
          </w:tcPr>
          <w:p w14:paraId="423F52BB" w14:textId="77777777" w:rsidR="006B728F" w:rsidRPr="00E36CE7" w:rsidRDefault="006B728F" w:rsidP="00C22819">
            <w:pPr>
              <w:pStyle w:val="tablastexto"/>
            </w:pPr>
            <w:r w:rsidRPr="00E36CE7">
              <w:t>Malla Vial Intermedia - Circuito 1 Bosa:</w:t>
            </w:r>
            <w:r w:rsidRPr="00E36CE7">
              <w:br/>
              <w:t>Desde Avenida Villavicencio por Carrera 77P Bis A- Calle 47B sur- Carrera 77K- Carrera 77G Bis A- conectado con Avenida Bosa. (incluye intersecciones)</w:t>
            </w:r>
          </w:p>
        </w:tc>
        <w:tc>
          <w:tcPr>
            <w:tcW w:w="1440" w:type="dxa"/>
            <w:shd w:val="clear" w:color="auto" w:fill="auto"/>
            <w:noWrap/>
            <w:vAlign w:val="center"/>
            <w:hideMark/>
          </w:tcPr>
          <w:p w14:paraId="1255A49B"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A988B86"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92D7CE1"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11C9E79"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71F886E2"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665B80EA" w14:textId="77777777" w:rsidR="006B728F" w:rsidRPr="00E36CE7" w:rsidRDefault="006B728F" w:rsidP="00C22819">
            <w:pPr>
              <w:pStyle w:val="tablastexto"/>
            </w:pPr>
            <w:r w:rsidRPr="00E36CE7">
              <w:t>Sin iniciar</w:t>
            </w:r>
          </w:p>
        </w:tc>
      </w:tr>
      <w:tr w:rsidR="006B728F" w:rsidRPr="00E36CE7" w14:paraId="71D5A44B" w14:textId="77777777" w:rsidTr="00945BCE">
        <w:trPr>
          <w:trHeight w:val="1417"/>
        </w:trPr>
        <w:tc>
          <w:tcPr>
            <w:tcW w:w="1710" w:type="dxa"/>
            <w:shd w:val="clear" w:color="auto" w:fill="auto"/>
            <w:noWrap/>
            <w:vAlign w:val="center"/>
            <w:hideMark/>
          </w:tcPr>
          <w:p w14:paraId="04B14C9C" w14:textId="77777777" w:rsidR="006B728F" w:rsidRPr="00E36CE7" w:rsidRDefault="006B728F" w:rsidP="00C22819">
            <w:pPr>
              <w:pStyle w:val="tablastexto"/>
            </w:pPr>
            <w:r w:rsidRPr="00E36CE7">
              <w:t>Malla Vial Intermedia - Circuito 1 Ciudad Bolívar:</w:t>
            </w:r>
            <w:r w:rsidRPr="00E36CE7">
              <w:br/>
              <w:t xml:space="preserve"> diagonal 71B sur - Diagonal 71A sur-Carrera 20- Calle 70 sur - Carrera 26B- Calle 72C sur - Transversal 72H- Transversal 27B - Diagonal 73B sur- Carrera 27 - Calle 76A sur- Carrera 26B </w:t>
            </w:r>
            <w:r w:rsidRPr="00E36CE7">
              <w:lastRenderedPageBreak/>
              <w:t>Bis. (incluye intersecciones)</w:t>
            </w:r>
          </w:p>
        </w:tc>
        <w:tc>
          <w:tcPr>
            <w:tcW w:w="1440" w:type="dxa"/>
            <w:shd w:val="clear" w:color="auto" w:fill="auto"/>
            <w:noWrap/>
            <w:vAlign w:val="center"/>
            <w:hideMark/>
          </w:tcPr>
          <w:p w14:paraId="20D4B432" w14:textId="77777777" w:rsidR="006B728F" w:rsidRPr="00E36CE7" w:rsidRDefault="006B728F" w:rsidP="00C22819">
            <w:pPr>
              <w:pStyle w:val="tablastexto"/>
            </w:pPr>
            <w:r w:rsidRPr="00E36CE7">
              <w:lastRenderedPageBreak/>
              <w:t>2. Programa descarbonizar la movilidad e infraestructura sostenible</w:t>
            </w:r>
          </w:p>
        </w:tc>
        <w:tc>
          <w:tcPr>
            <w:tcW w:w="1890" w:type="dxa"/>
            <w:shd w:val="clear" w:color="auto" w:fill="auto"/>
            <w:noWrap/>
            <w:vAlign w:val="center"/>
            <w:hideMark/>
          </w:tcPr>
          <w:p w14:paraId="1B11AC7F"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0133ECF"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D5D474B"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E84D5A6"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19050D23" w14:textId="77777777" w:rsidR="006B728F" w:rsidRPr="00E36CE7" w:rsidRDefault="006B728F" w:rsidP="00C22819">
            <w:pPr>
              <w:pStyle w:val="tablastexto"/>
            </w:pPr>
            <w:r w:rsidRPr="00E36CE7">
              <w:t>Sin iniciar</w:t>
            </w:r>
          </w:p>
        </w:tc>
      </w:tr>
      <w:tr w:rsidR="006B728F" w:rsidRPr="00E36CE7" w14:paraId="6A369F23" w14:textId="77777777" w:rsidTr="00945BCE">
        <w:trPr>
          <w:trHeight w:val="1417"/>
        </w:trPr>
        <w:tc>
          <w:tcPr>
            <w:tcW w:w="1710" w:type="dxa"/>
            <w:shd w:val="clear" w:color="auto" w:fill="auto"/>
            <w:noWrap/>
            <w:vAlign w:val="center"/>
            <w:hideMark/>
          </w:tcPr>
          <w:p w14:paraId="2C0CD45F" w14:textId="77777777" w:rsidR="006B728F" w:rsidRPr="00E36CE7" w:rsidRDefault="006B728F" w:rsidP="00C22819">
            <w:pPr>
              <w:pStyle w:val="tablastexto"/>
            </w:pPr>
            <w:r w:rsidRPr="00E36CE7">
              <w:t>Malla Vial Intermedia - Circuito 1 de Tunjuelito:</w:t>
            </w:r>
            <w:r w:rsidRPr="00E36CE7">
              <w:br/>
              <w:t>Carrera 67 entre Avenida del Sur y Avenida Jorge Gaitán Cortés.</w:t>
            </w:r>
            <w:r w:rsidRPr="00E36CE7">
              <w:br/>
              <w:t>Avenida del Sur- Carrera 61A- Calle 67B sur- Transversal 66A- Transversal 70D- Transversal 70C- Diagonal 67A sur. (incluye intersecciones)</w:t>
            </w:r>
          </w:p>
        </w:tc>
        <w:tc>
          <w:tcPr>
            <w:tcW w:w="1440" w:type="dxa"/>
            <w:shd w:val="clear" w:color="auto" w:fill="auto"/>
            <w:noWrap/>
            <w:vAlign w:val="center"/>
            <w:hideMark/>
          </w:tcPr>
          <w:p w14:paraId="033C158F"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3313C8A5"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905368A"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80A1961"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67CA8DB"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6766B4E5" w14:textId="77777777" w:rsidR="006B728F" w:rsidRPr="00E36CE7" w:rsidRDefault="006B728F" w:rsidP="00C22819">
            <w:pPr>
              <w:pStyle w:val="tablastexto"/>
            </w:pPr>
            <w:r w:rsidRPr="00E36CE7">
              <w:t>Sin iniciar</w:t>
            </w:r>
          </w:p>
        </w:tc>
      </w:tr>
      <w:tr w:rsidR="006B728F" w:rsidRPr="00E36CE7" w14:paraId="732F1A91" w14:textId="77777777" w:rsidTr="00945BCE">
        <w:trPr>
          <w:trHeight w:val="1417"/>
        </w:trPr>
        <w:tc>
          <w:tcPr>
            <w:tcW w:w="1710" w:type="dxa"/>
            <w:shd w:val="clear" w:color="auto" w:fill="auto"/>
            <w:noWrap/>
            <w:vAlign w:val="center"/>
            <w:hideMark/>
          </w:tcPr>
          <w:p w14:paraId="4C83FBC6" w14:textId="77777777" w:rsidR="006B728F" w:rsidRPr="00E36CE7" w:rsidRDefault="006B728F" w:rsidP="00C22819">
            <w:pPr>
              <w:pStyle w:val="tablastexto"/>
            </w:pPr>
            <w:r w:rsidRPr="00E36CE7">
              <w:t>Malla Vial Intermedia - Circuito 1 Engativá:</w:t>
            </w:r>
            <w:r w:rsidRPr="00E36CE7">
              <w:br/>
              <w:t>Carrera 119 entre calle 79 y Avenida Medellín (CL 80) (incluye intersecciones)</w:t>
            </w:r>
          </w:p>
        </w:tc>
        <w:tc>
          <w:tcPr>
            <w:tcW w:w="1440" w:type="dxa"/>
            <w:shd w:val="clear" w:color="auto" w:fill="auto"/>
            <w:noWrap/>
            <w:vAlign w:val="center"/>
            <w:hideMark/>
          </w:tcPr>
          <w:p w14:paraId="7E5EB0A5"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11ABA25B"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0802CA4"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03D502A"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5B394B20"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003F732" w14:textId="77777777" w:rsidR="006B728F" w:rsidRPr="00E36CE7" w:rsidRDefault="006B728F" w:rsidP="00C22819">
            <w:pPr>
              <w:pStyle w:val="tablastexto"/>
            </w:pPr>
            <w:r w:rsidRPr="00E36CE7">
              <w:t>Sin iniciar</w:t>
            </w:r>
          </w:p>
        </w:tc>
      </w:tr>
      <w:tr w:rsidR="006B728F" w:rsidRPr="00E36CE7" w14:paraId="31293CC5" w14:textId="77777777" w:rsidTr="00945BCE">
        <w:trPr>
          <w:trHeight w:val="1417"/>
        </w:trPr>
        <w:tc>
          <w:tcPr>
            <w:tcW w:w="1710" w:type="dxa"/>
            <w:shd w:val="clear" w:color="auto" w:fill="auto"/>
            <w:noWrap/>
            <w:vAlign w:val="center"/>
            <w:hideMark/>
          </w:tcPr>
          <w:p w14:paraId="711B31F8" w14:textId="77777777" w:rsidR="006B728F" w:rsidRPr="00E36CE7" w:rsidRDefault="006B728F" w:rsidP="00C22819">
            <w:pPr>
              <w:pStyle w:val="tablastexto"/>
            </w:pPr>
            <w:r w:rsidRPr="00E36CE7">
              <w:t xml:space="preserve">Malla Vial Intermedia - Circuito 1 Kennedy: </w:t>
            </w:r>
            <w:r w:rsidRPr="00E36CE7">
              <w:br/>
              <w:t>Calle 33 sur desde Avenida Ciudad de Cali- Carrera 87-Calle 5A sur- Avenida Tintal. (incluye intersecciones)</w:t>
            </w:r>
          </w:p>
        </w:tc>
        <w:tc>
          <w:tcPr>
            <w:tcW w:w="1440" w:type="dxa"/>
            <w:shd w:val="clear" w:color="auto" w:fill="auto"/>
            <w:noWrap/>
            <w:vAlign w:val="center"/>
            <w:hideMark/>
          </w:tcPr>
          <w:p w14:paraId="3B58FCB1"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5FE2E70B"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EC67B8C"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3F7E6893"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F7EAA83"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69605EFF" w14:textId="77777777" w:rsidR="006B728F" w:rsidRPr="00E36CE7" w:rsidRDefault="006B728F" w:rsidP="00C22819">
            <w:pPr>
              <w:pStyle w:val="tablastexto"/>
            </w:pPr>
            <w:r w:rsidRPr="00E36CE7">
              <w:t>Sin iniciar</w:t>
            </w:r>
          </w:p>
        </w:tc>
      </w:tr>
      <w:tr w:rsidR="006B728F" w:rsidRPr="00E36CE7" w14:paraId="558A2A61" w14:textId="77777777" w:rsidTr="00945BCE">
        <w:trPr>
          <w:trHeight w:val="1417"/>
        </w:trPr>
        <w:tc>
          <w:tcPr>
            <w:tcW w:w="1710" w:type="dxa"/>
            <w:shd w:val="clear" w:color="auto" w:fill="auto"/>
            <w:noWrap/>
            <w:vAlign w:val="center"/>
            <w:hideMark/>
          </w:tcPr>
          <w:p w14:paraId="160D2D22" w14:textId="77777777" w:rsidR="006B728F" w:rsidRPr="00E36CE7" w:rsidRDefault="006B728F" w:rsidP="00C22819">
            <w:pPr>
              <w:pStyle w:val="tablastexto"/>
            </w:pPr>
            <w:r w:rsidRPr="00E36CE7">
              <w:t>Malla Vial Intermedia - Circuito 1 Rafael Uribe:</w:t>
            </w:r>
            <w:r w:rsidRPr="00E36CE7">
              <w:br/>
              <w:t>Desde Avenida Caracas por Diagonal 38Bis sur- Calle 40 sur- Carrera 13G- Calle 36 sur- Carrera 12G- Carrera 12D- Diagonal 32C Bis A sur- Carrera 12B- Diagonal 32A sur- Calle 36D sur- Carrera 10Bis hasta Avenida Darío Echandía. (incluye intersecciones)</w:t>
            </w:r>
          </w:p>
        </w:tc>
        <w:tc>
          <w:tcPr>
            <w:tcW w:w="1440" w:type="dxa"/>
            <w:shd w:val="clear" w:color="auto" w:fill="auto"/>
            <w:noWrap/>
            <w:vAlign w:val="center"/>
            <w:hideMark/>
          </w:tcPr>
          <w:p w14:paraId="1289237B"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3222ED04"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0EB894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6FEF017"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5D4D8722"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0246146C" w14:textId="77777777" w:rsidR="006B728F" w:rsidRPr="00E36CE7" w:rsidRDefault="006B728F" w:rsidP="00C22819">
            <w:pPr>
              <w:pStyle w:val="tablastexto"/>
            </w:pPr>
            <w:r w:rsidRPr="00E36CE7">
              <w:t>Sin iniciar</w:t>
            </w:r>
          </w:p>
        </w:tc>
      </w:tr>
      <w:tr w:rsidR="006B728F" w:rsidRPr="00E36CE7" w14:paraId="0D871867" w14:textId="77777777" w:rsidTr="00945BCE">
        <w:trPr>
          <w:trHeight w:val="1417"/>
        </w:trPr>
        <w:tc>
          <w:tcPr>
            <w:tcW w:w="1710" w:type="dxa"/>
            <w:shd w:val="clear" w:color="auto" w:fill="auto"/>
            <w:noWrap/>
            <w:vAlign w:val="center"/>
            <w:hideMark/>
          </w:tcPr>
          <w:p w14:paraId="3088BF75" w14:textId="77777777" w:rsidR="006B728F" w:rsidRPr="00E36CE7" w:rsidRDefault="006B728F" w:rsidP="00C22819">
            <w:pPr>
              <w:pStyle w:val="tablastexto"/>
            </w:pPr>
            <w:r w:rsidRPr="00E36CE7">
              <w:t>Malla Vial Intermedia - Circuito 1 San Cristóbal:</w:t>
            </w:r>
            <w:r w:rsidRPr="00E36CE7">
              <w:br/>
              <w:t>Desde Avenida de los Cerros por Carrera 8D Este- Calle 39C sur- Carrera 11Este- Diagonal 51A sur. (incluye intersecciones)</w:t>
            </w:r>
          </w:p>
        </w:tc>
        <w:tc>
          <w:tcPr>
            <w:tcW w:w="1440" w:type="dxa"/>
            <w:shd w:val="clear" w:color="auto" w:fill="auto"/>
            <w:noWrap/>
            <w:vAlign w:val="center"/>
            <w:hideMark/>
          </w:tcPr>
          <w:p w14:paraId="0925AB6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052DFF64"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50AB58CC"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87A7029"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C2DBDDE"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1D9D9D9" w14:textId="77777777" w:rsidR="006B728F" w:rsidRPr="00E36CE7" w:rsidRDefault="006B728F" w:rsidP="00C22819">
            <w:pPr>
              <w:pStyle w:val="tablastexto"/>
            </w:pPr>
            <w:r w:rsidRPr="00E36CE7">
              <w:t>Sin iniciar</w:t>
            </w:r>
          </w:p>
        </w:tc>
      </w:tr>
      <w:tr w:rsidR="006B728F" w:rsidRPr="00E36CE7" w14:paraId="2A60A530" w14:textId="77777777" w:rsidTr="00945BCE">
        <w:trPr>
          <w:trHeight w:val="1417"/>
        </w:trPr>
        <w:tc>
          <w:tcPr>
            <w:tcW w:w="1710" w:type="dxa"/>
            <w:shd w:val="clear" w:color="auto" w:fill="auto"/>
            <w:noWrap/>
            <w:vAlign w:val="center"/>
            <w:hideMark/>
          </w:tcPr>
          <w:p w14:paraId="12BFCE3C" w14:textId="77777777" w:rsidR="006B728F" w:rsidRPr="00E36CE7" w:rsidRDefault="006B728F" w:rsidP="00C22819">
            <w:pPr>
              <w:pStyle w:val="tablastexto"/>
            </w:pPr>
            <w:r w:rsidRPr="00E36CE7">
              <w:lastRenderedPageBreak/>
              <w:t>Malla Vial Intermedia - Circuito 1 Santa Fe: desde la salida a Choachí hasta la Calle 11 sur a la altura de la Transversal 11Este (pasando por la antigua planta de vitelma) (incluye intersecciones)</w:t>
            </w:r>
          </w:p>
        </w:tc>
        <w:tc>
          <w:tcPr>
            <w:tcW w:w="1440" w:type="dxa"/>
            <w:shd w:val="clear" w:color="auto" w:fill="auto"/>
            <w:noWrap/>
            <w:vAlign w:val="center"/>
            <w:hideMark/>
          </w:tcPr>
          <w:p w14:paraId="63578AB8"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30719427"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04D77CF"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6F9F94C"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EDD9BD2"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6AF9E81" w14:textId="77777777" w:rsidR="006B728F" w:rsidRPr="00E36CE7" w:rsidRDefault="006B728F" w:rsidP="00C22819">
            <w:pPr>
              <w:pStyle w:val="tablastexto"/>
            </w:pPr>
            <w:r w:rsidRPr="00E36CE7">
              <w:t>Sin iniciar</w:t>
            </w:r>
          </w:p>
        </w:tc>
      </w:tr>
      <w:tr w:rsidR="006B728F" w:rsidRPr="00E36CE7" w14:paraId="03F5F55B" w14:textId="77777777" w:rsidTr="00945BCE">
        <w:trPr>
          <w:trHeight w:val="1417"/>
        </w:trPr>
        <w:tc>
          <w:tcPr>
            <w:tcW w:w="1710" w:type="dxa"/>
            <w:shd w:val="clear" w:color="auto" w:fill="auto"/>
            <w:noWrap/>
            <w:vAlign w:val="center"/>
            <w:hideMark/>
          </w:tcPr>
          <w:p w14:paraId="58ADF29C" w14:textId="77777777" w:rsidR="006B728F" w:rsidRPr="00E36CE7" w:rsidRDefault="006B728F" w:rsidP="00C22819">
            <w:pPr>
              <w:pStyle w:val="tablastexto"/>
            </w:pPr>
            <w:r w:rsidRPr="00E36CE7">
              <w:t>Malla Vial Intermedia - Circuito 1 Suba:</w:t>
            </w:r>
            <w:r w:rsidRPr="00E36CE7">
              <w:br/>
              <w:t>Avenida Transversal de Suba por Carrera 91- Carrera 92 hasta Avenida San José. (incluye intersecciones)</w:t>
            </w:r>
          </w:p>
        </w:tc>
        <w:tc>
          <w:tcPr>
            <w:tcW w:w="1440" w:type="dxa"/>
            <w:shd w:val="clear" w:color="auto" w:fill="auto"/>
            <w:noWrap/>
            <w:vAlign w:val="center"/>
            <w:hideMark/>
          </w:tcPr>
          <w:p w14:paraId="24413226"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42DAFB9"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7BB36D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4334F24"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F6FCFAD"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F7EF125" w14:textId="77777777" w:rsidR="006B728F" w:rsidRPr="00E36CE7" w:rsidRDefault="006B728F" w:rsidP="00C22819">
            <w:pPr>
              <w:pStyle w:val="tablastexto"/>
            </w:pPr>
            <w:r w:rsidRPr="00E36CE7">
              <w:t>Sin iniciar</w:t>
            </w:r>
          </w:p>
        </w:tc>
      </w:tr>
      <w:tr w:rsidR="006B728F" w:rsidRPr="00E36CE7" w14:paraId="4A0DB16B" w14:textId="77777777" w:rsidTr="00945BCE">
        <w:trPr>
          <w:trHeight w:val="1417"/>
        </w:trPr>
        <w:tc>
          <w:tcPr>
            <w:tcW w:w="1710" w:type="dxa"/>
            <w:shd w:val="clear" w:color="auto" w:fill="auto"/>
            <w:noWrap/>
            <w:vAlign w:val="center"/>
            <w:hideMark/>
          </w:tcPr>
          <w:p w14:paraId="0DD26087" w14:textId="77777777" w:rsidR="006B728F" w:rsidRPr="00E36CE7" w:rsidRDefault="006B728F" w:rsidP="00C22819">
            <w:pPr>
              <w:pStyle w:val="tablastexto"/>
            </w:pPr>
            <w:r w:rsidRPr="00E36CE7">
              <w:t>Malla Vial Intermedia - Circuito 1 Usaquén:</w:t>
            </w:r>
            <w:r w:rsidRPr="00E36CE7">
              <w:br/>
              <w:t>Calle 192 desde Avenida Paseo Los Libertadores hasta Carrera 14. (incluye intersecciones)</w:t>
            </w:r>
          </w:p>
        </w:tc>
        <w:tc>
          <w:tcPr>
            <w:tcW w:w="1440" w:type="dxa"/>
            <w:shd w:val="clear" w:color="auto" w:fill="auto"/>
            <w:noWrap/>
            <w:vAlign w:val="center"/>
            <w:hideMark/>
          </w:tcPr>
          <w:p w14:paraId="5ACDE4E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7D40F52"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D5C919C"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334AD8D3"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596CF79C"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463F729" w14:textId="77777777" w:rsidR="006B728F" w:rsidRPr="00E36CE7" w:rsidRDefault="006B728F" w:rsidP="00C22819">
            <w:pPr>
              <w:pStyle w:val="tablastexto"/>
            </w:pPr>
            <w:r w:rsidRPr="00E36CE7">
              <w:t>Sin iniciar</w:t>
            </w:r>
          </w:p>
        </w:tc>
      </w:tr>
      <w:tr w:rsidR="006B728F" w:rsidRPr="00E36CE7" w14:paraId="49BDFA24" w14:textId="77777777" w:rsidTr="00945BCE">
        <w:trPr>
          <w:trHeight w:val="1417"/>
        </w:trPr>
        <w:tc>
          <w:tcPr>
            <w:tcW w:w="1710" w:type="dxa"/>
            <w:shd w:val="clear" w:color="auto" w:fill="auto"/>
            <w:noWrap/>
            <w:vAlign w:val="center"/>
            <w:hideMark/>
          </w:tcPr>
          <w:p w14:paraId="0A5C2154" w14:textId="77777777" w:rsidR="006B728F" w:rsidRPr="00E36CE7" w:rsidRDefault="006B728F" w:rsidP="00C22819">
            <w:pPr>
              <w:pStyle w:val="tablastexto"/>
            </w:pPr>
            <w:r w:rsidRPr="00E36CE7">
              <w:t>Malla Vial Intermedia - Circuito 2 Ciudad Bolívar:</w:t>
            </w:r>
            <w:r w:rsidRPr="00E36CE7">
              <w:br/>
              <w:t>Desde Carrera 76 por calle 59A sur- carrera 77- Calle 60A sur- Carrera 77C- Carrera 77B- Carrera 77Bis A- Diagonal 62G sur- Carrera 77G- Calle 68B sur- Calle 68C sur- Transversal 77- Diagonal 75D sur- Calle 75D sur- Calle 75C sur- Calle 75B sur- Diagonal 76 sur- Diagonal 75 sur- Diagonal 73C sur (Avenida Jorge Gaitán Cortés) (incluye intersecciones)</w:t>
            </w:r>
          </w:p>
        </w:tc>
        <w:tc>
          <w:tcPr>
            <w:tcW w:w="1440" w:type="dxa"/>
            <w:shd w:val="clear" w:color="auto" w:fill="auto"/>
            <w:noWrap/>
            <w:vAlign w:val="center"/>
            <w:hideMark/>
          </w:tcPr>
          <w:p w14:paraId="0B7743A0"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969F5C3"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7106333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5E7F571"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7EBF9A88"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1798533D" w14:textId="77777777" w:rsidR="006B728F" w:rsidRPr="00E36CE7" w:rsidRDefault="006B728F" w:rsidP="00C22819">
            <w:pPr>
              <w:pStyle w:val="tablastexto"/>
            </w:pPr>
            <w:r w:rsidRPr="00E36CE7">
              <w:t>Sin iniciar</w:t>
            </w:r>
          </w:p>
        </w:tc>
      </w:tr>
      <w:tr w:rsidR="006B728F" w:rsidRPr="00E36CE7" w14:paraId="2E92E545" w14:textId="77777777" w:rsidTr="00945BCE">
        <w:trPr>
          <w:trHeight w:val="1417"/>
        </w:trPr>
        <w:tc>
          <w:tcPr>
            <w:tcW w:w="1710" w:type="dxa"/>
            <w:shd w:val="clear" w:color="auto" w:fill="auto"/>
            <w:noWrap/>
            <w:vAlign w:val="center"/>
            <w:hideMark/>
          </w:tcPr>
          <w:p w14:paraId="18320CA6" w14:textId="77777777" w:rsidR="006B728F" w:rsidRPr="00E36CE7" w:rsidRDefault="006B728F" w:rsidP="00C22819">
            <w:pPr>
              <w:pStyle w:val="tablastexto"/>
            </w:pPr>
            <w:r w:rsidRPr="00E36CE7">
              <w:t>Malla Vial Intermedia - Circuito 2 Bosa:</w:t>
            </w:r>
            <w:r w:rsidRPr="00E36CE7">
              <w:br/>
              <w:t>Desde Avenida Agoberto Mejía (Calle 69B sur)- Transversal 77I - Transversal 77J- hasta Calle 65 sur (incluye intersecciones)</w:t>
            </w:r>
          </w:p>
        </w:tc>
        <w:tc>
          <w:tcPr>
            <w:tcW w:w="1440" w:type="dxa"/>
            <w:shd w:val="clear" w:color="auto" w:fill="auto"/>
            <w:noWrap/>
            <w:vAlign w:val="center"/>
            <w:hideMark/>
          </w:tcPr>
          <w:p w14:paraId="531C006A"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448C09D"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26124CA2"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712B799"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141A2CC5"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B344048" w14:textId="77777777" w:rsidR="006B728F" w:rsidRPr="00E36CE7" w:rsidRDefault="006B728F" w:rsidP="00C22819">
            <w:pPr>
              <w:pStyle w:val="tablastexto"/>
            </w:pPr>
            <w:r w:rsidRPr="00E36CE7">
              <w:t>Sin iniciar</w:t>
            </w:r>
          </w:p>
        </w:tc>
      </w:tr>
      <w:tr w:rsidR="006B728F" w:rsidRPr="00E36CE7" w14:paraId="6B9D925B" w14:textId="77777777" w:rsidTr="00945BCE">
        <w:trPr>
          <w:trHeight w:val="685"/>
        </w:trPr>
        <w:tc>
          <w:tcPr>
            <w:tcW w:w="1710" w:type="dxa"/>
            <w:shd w:val="clear" w:color="auto" w:fill="auto"/>
            <w:noWrap/>
            <w:vAlign w:val="center"/>
            <w:hideMark/>
          </w:tcPr>
          <w:p w14:paraId="54725D1C" w14:textId="77777777" w:rsidR="006B728F" w:rsidRPr="00E36CE7" w:rsidRDefault="006B728F" w:rsidP="00C22819">
            <w:pPr>
              <w:pStyle w:val="tablastexto"/>
            </w:pPr>
            <w:r w:rsidRPr="00E36CE7">
              <w:t xml:space="preserve">Malla Vial Intermedia - Circuito 2 Rafael Uribe: partiendo desde avenida Darío Echandía por las siguiente vías: calle 49B Sur, calle 49 B Bis Sur, calle 49 Bis A Sur, carrera 3, carrera 1, calle 64 Sur, carrera 2C este, carrera 5, </w:t>
            </w:r>
            <w:r w:rsidRPr="00E36CE7">
              <w:lastRenderedPageBreak/>
              <w:t>calle 65 Sur, carrera 7H, calle 68 B Sur, terminando en Avenida Caracas.</w:t>
            </w:r>
          </w:p>
        </w:tc>
        <w:tc>
          <w:tcPr>
            <w:tcW w:w="1440" w:type="dxa"/>
            <w:shd w:val="clear" w:color="auto" w:fill="auto"/>
            <w:noWrap/>
            <w:vAlign w:val="center"/>
            <w:hideMark/>
          </w:tcPr>
          <w:p w14:paraId="426ADB3B" w14:textId="77777777" w:rsidR="006B728F" w:rsidRPr="00E36CE7" w:rsidRDefault="006B728F" w:rsidP="00C22819">
            <w:pPr>
              <w:pStyle w:val="tablastexto"/>
            </w:pPr>
            <w:r w:rsidRPr="00E36CE7">
              <w:lastRenderedPageBreak/>
              <w:t>2. Programa descarbonizar la movilidad e infraestructura sostenible</w:t>
            </w:r>
          </w:p>
        </w:tc>
        <w:tc>
          <w:tcPr>
            <w:tcW w:w="1890" w:type="dxa"/>
            <w:shd w:val="clear" w:color="auto" w:fill="auto"/>
            <w:noWrap/>
            <w:vAlign w:val="center"/>
            <w:hideMark/>
          </w:tcPr>
          <w:p w14:paraId="18693B0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80A582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FE4BD7D"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5463EC6"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2E30E04" w14:textId="77777777" w:rsidR="006B728F" w:rsidRPr="00E36CE7" w:rsidRDefault="006B728F" w:rsidP="00C22819">
            <w:pPr>
              <w:pStyle w:val="tablastexto"/>
            </w:pPr>
            <w:r w:rsidRPr="00E36CE7">
              <w:t>Sin iniciar</w:t>
            </w:r>
          </w:p>
        </w:tc>
      </w:tr>
      <w:tr w:rsidR="006B728F" w:rsidRPr="00E36CE7" w14:paraId="5705C26F" w14:textId="77777777" w:rsidTr="00945BCE">
        <w:trPr>
          <w:trHeight w:val="2679"/>
        </w:trPr>
        <w:tc>
          <w:tcPr>
            <w:tcW w:w="1710" w:type="dxa"/>
            <w:shd w:val="clear" w:color="auto" w:fill="auto"/>
            <w:noWrap/>
            <w:vAlign w:val="center"/>
            <w:hideMark/>
          </w:tcPr>
          <w:p w14:paraId="1704A446" w14:textId="77777777" w:rsidR="006B728F" w:rsidRPr="00E36CE7" w:rsidRDefault="006B728F" w:rsidP="00C22819">
            <w:pPr>
              <w:pStyle w:val="tablastexto"/>
            </w:pPr>
            <w:r w:rsidRPr="00E36CE7">
              <w:t>Malla Vial Intermedia - Circuito 2 San Cristóbal:</w:t>
            </w:r>
            <w:r w:rsidRPr="00E36CE7">
              <w:br/>
              <w:t>Desde Diagonal 51A sur por Carrera 10Este- Carrera 11Este-Carrrera 10A Este- Calle 65 sur- Carrera 11B Este- Calle 68 sur- Carrera 11D Este- Calle 70 sur- Carrera 13B Este- Calle 71B sur hasta Avenida de los Cerros. (incluye intersecciones)</w:t>
            </w:r>
          </w:p>
        </w:tc>
        <w:tc>
          <w:tcPr>
            <w:tcW w:w="1440" w:type="dxa"/>
            <w:shd w:val="clear" w:color="auto" w:fill="auto"/>
            <w:noWrap/>
            <w:vAlign w:val="center"/>
            <w:hideMark/>
          </w:tcPr>
          <w:p w14:paraId="281EC49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3F694A79"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55AC77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6A31352"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79290AA0"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6899429" w14:textId="77777777" w:rsidR="006B728F" w:rsidRPr="00E36CE7" w:rsidRDefault="006B728F" w:rsidP="00C22819">
            <w:pPr>
              <w:pStyle w:val="tablastexto"/>
            </w:pPr>
            <w:r w:rsidRPr="00E36CE7">
              <w:t>Sin iniciar</w:t>
            </w:r>
          </w:p>
        </w:tc>
      </w:tr>
      <w:tr w:rsidR="006B728F" w:rsidRPr="00E36CE7" w14:paraId="1AE14578" w14:textId="77777777" w:rsidTr="00945BCE">
        <w:trPr>
          <w:trHeight w:val="1682"/>
        </w:trPr>
        <w:tc>
          <w:tcPr>
            <w:tcW w:w="1710" w:type="dxa"/>
            <w:shd w:val="clear" w:color="auto" w:fill="auto"/>
            <w:noWrap/>
            <w:vAlign w:val="center"/>
            <w:hideMark/>
          </w:tcPr>
          <w:p w14:paraId="1300F87D" w14:textId="77777777" w:rsidR="006B728F" w:rsidRPr="00E36CE7" w:rsidRDefault="006B728F" w:rsidP="00C22819">
            <w:pPr>
              <w:pStyle w:val="tablastexto"/>
            </w:pPr>
            <w:r w:rsidRPr="00E36CE7">
              <w:t>Malla Vial Intermedia - Circuito 2 Suba:</w:t>
            </w:r>
            <w:r w:rsidRPr="00E36CE7">
              <w:br/>
              <w:t>Avenida Transversal de Suba por Carrera 98B- Carrera 99- Avenida de las Mercedes. (incluye intersecciones)</w:t>
            </w:r>
          </w:p>
        </w:tc>
        <w:tc>
          <w:tcPr>
            <w:tcW w:w="1440" w:type="dxa"/>
            <w:shd w:val="clear" w:color="auto" w:fill="auto"/>
            <w:noWrap/>
            <w:vAlign w:val="center"/>
            <w:hideMark/>
          </w:tcPr>
          <w:p w14:paraId="274996E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4D2FA876"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385E90B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EE2416E"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8F4CBFC"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12427723" w14:textId="77777777" w:rsidR="006B728F" w:rsidRPr="00E36CE7" w:rsidRDefault="006B728F" w:rsidP="00C22819">
            <w:pPr>
              <w:pStyle w:val="tablastexto"/>
            </w:pPr>
            <w:r w:rsidRPr="00E36CE7">
              <w:t>Sin iniciar</w:t>
            </w:r>
          </w:p>
        </w:tc>
      </w:tr>
      <w:tr w:rsidR="006B728F" w:rsidRPr="00E36CE7" w14:paraId="51B1AEF0" w14:textId="77777777" w:rsidTr="00945BCE">
        <w:trPr>
          <w:trHeight w:val="2090"/>
        </w:trPr>
        <w:tc>
          <w:tcPr>
            <w:tcW w:w="1710" w:type="dxa"/>
            <w:shd w:val="clear" w:color="auto" w:fill="auto"/>
            <w:noWrap/>
            <w:vAlign w:val="center"/>
            <w:hideMark/>
          </w:tcPr>
          <w:p w14:paraId="4F32D892" w14:textId="77777777" w:rsidR="006B728F" w:rsidRPr="00E36CE7" w:rsidRDefault="006B728F" w:rsidP="00C22819">
            <w:pPr>
              <w:pStyle w:val="tablastexto"/>
            </w:pPr>
            <w:r w:rsidRPr="00E36CE7">
              <w:t>Malla Vial Intermedia - Circuito 2 Usaquén: Acceso al Codito (calle 175 y calle 187): Inicia en la Carrera 7 Avenida Alberto Lleras Camargo y finaliza en la salida rural a la Calera. (incluye intersecciones)</w:t>
            </w:r>
          </w:p>
        </w:tc>
        <w:tc>
          <w:tcPr>
            <w:tcW w:w="1440" w:type="dxa"/>
            <w:shd w:val="clear" w:color="auto" w:fill="auto"/>
            <w:noWrap/>
            <w:vAlign w:val="center"/>
            <w:hideMark/>
          </w:tcPr>
          <w:p w14:paraId="6CAB39EB"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FD9E740"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65897E41"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6BD7521"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D4353F3"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6AF84666" w14:textId="77777777" w:rsidR="006B728F" w:rsidRPr="00E36CE7" w:rsidRDefault="006B728F" w:rsidP="00C22819">
            <w:pPr>
              <w:pStyle w:val="tablastexto"/>
            </w:pPr>
            <w:r w:rsidRPr="00E36CE7">
              <w:t>Sin iniciar</w:t>
            </w:r>
          </w:p>
        </w:tc>
      </w:tr>
      <w:tr w:rsidR="006B728F" w:rsidRPr="00E36CE7" w14:paraId="651ED130" w14:textId="77777777" w:rsidTr="00945BCE">
        <w:trPr>
          <w:trHeight w:val="1822"/>
        </w:trPr>
        <w:tc>
          <w:tcPr>
            <w:tcW w:w="1710" w:type="dxa"/>
            <w:shd w:val="clear" w:color="auto" w:fill="auto"/>
            <w:noWrap/>
            <w:vAlign w:val="center"/>
            <w:hideMark/>
          </w:tcPr>
          <w:p w14:paraId="28911F01" w14:textId="77777777" w:rsidR="006B728F" w:rsidRPr="00E36CE7" w:rsidRDefault="006B728F" w:rsidP="00C22819">
            <w:pPr>
              <w:pStyle w:val="tablastexto"/>
            </w:pPr>
            <w:r w:rsidRPr="00E36CE7">
              <w:t>Malla Vial Intermedia - Circuito 3 Bosa:</w:t>
            </w:r>
            <w:r w:rsidRPr="00E36CE7">
              <w:br/>
              <w:t>Desde pondaje del río Tunjuelo por Transversal 80I- Carrera 80I- Diagonal 83 sur- conecta con Avenida San Bernardino. (incluye intersecciones)</w:t>
            </w:r>
          </w:p>
        </w:tc>
        <w:tc>
          <w:tcPr>
            <w:tcW w:w="1440" w:type="dxa"/>
            <w:shd w:val="clear" w:color="auto" w:fill="auto"/>
            <w:noWrap/>
            <w:vAlign w:val="center"/>
            <w:hideMark/>
          </w:tcPr>
          <w:p w14:paraId="625F3FD4"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B209961"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2CA917A0"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DFC127D"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7A5E3C8B"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0C459982" w14:textId="77777777" w:rsidR="006B728F" w:rsidRPr="00E36CE7" w:rsidRDefault="006B728F" w:rsidP="00C22819">
            <w:pPr>
              <w:pStyle w:val="tablastexto"/>
            </w:pPr>
            <w:r w:rsidRPr="00E36CE7">
              <w:t>Sin iniciar</w:t>
            </w:r>
          </w:p>
        </w:tc>
      </w:tr>
      <w:tr w:rsidR="006B728F" w:rsidRPr="00E36CE7" w14:paraId="66ED7A7C" w14:textId="77777777" w:rsidTr="00945BCE">
        <w:trPr>
          <w:trHeight w:val="1417"/>
        </w:trPr>
        <w:tc>
          <w:tcPr>
            <w:tcW w:w="1710" w:type="dxa"/>
            <w:shd w:val="clear" w:color="auto" w:fill="auto"/>
            <w:noWrap/>
            <w:vAlign w:val="center"/>
            <w:hideMark/>
          </w:tcPr>
          <w:p w14:paraId="6A4C0AC8" w14:textId="77777777" w:rsidR="006B728F" w:rsidRPr="00E36CE7" w:rsidRDefault="006B728F" w:rsidP="00C22819">
            <w:pPr>
              <w:pStyle w:val="tablastexto"/>
            </w:pPr>
            <w:r w:rsidRPr="00E36CE7">
              <w:t>Malla Vial Intermedia - Circuito 3 San Cristóbal: partiendo Avenida Los Cerros calle 74 C sur, 76 sur, carrera 14 Este, carrera 13F Este, calle 76D Sur, carrera 13D Este, calle 81C Sur y termina en Avenida Paramo</w:t>
            </w:r>
          </w:p>
        </w:tc>
        <w:tc>
          <w:tcPr>
            <w:tcW w:w="1440" w:type="dxa"/>
            <w:shd w:val="clear" w:color="auto" w:fill="auto"/>
            <w:noWrap/>
            <w:vAlign w:val="center"/>
            <w:hideMark/>
          </w:tcPr>
          <w:p w14:paraId="02468D87"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67B0129D"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68C6EF12"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32CE74CF"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563F8ED"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75159C3" w14:textId="77777777" w:rsidR="006B728F" w:rsidRPr="00E36CE7" w:rsidRDefault="006B728F" w:rsidP="00C22819">
            <w:pPr>
              <w:pStyle w:val="tablastexto"/>
            </w:pPr>
            <w:r w:rsidRPr="00E36CE7">
              <w:t>Sin iniciar</w:t>
            </w:r>
          </w:p>
        </w:tc>
      </w:tr>
      <w:tr w:rsidR="006B728F" w:rsidRPr="00E36CE7" w14:paraId="7967181B" w14:textId="77777777" w:rsidTr="00945BCE">
        <w:trPr>
          <w:trHeight w:val="1417"/>
        </w:trPr>
        <w:tc>
          <w:tcPr>
            <w:tcW w:w="1710" w:type="dxa"/>
            <w:shd w:val="clear" w:color="auto" w:fill="auto"/>
            <w:noWrap/>
            <w:vAlign w:val="center"/>
            <w:hideMark/>
          </w:tcPr>
          <w:p w14:paraId="3F80CF6C" w14:textId="77777777" w:rsidR="006B728F" w:rsidRPr="00E36CE7" w:rsidRDefault="006B728F" w:rsidP="00C22819">
            <w:pPr>
              <w:pStyle w:val="tablastexto"/>
            </w:pPr>
            <w:r w:rsidRPr="00E36CE7">
              <w:lastRenderedPageBreak/>
              <w:t>Malla Vial Intermedia - Circuito 3 Usaquén:</w:t>
            </w:r>
            <w:r w:rsidRPr="00E36CE7">
              <w:br/>
              <w:t>Calle 175 entre Avenida paseo de los Libertadores y el canal Torca (incluye pontón) (incluye intersecciones)</w:t>
            </w:r>
          </w:p>
        </w:tc>
        <w:tc>
          <w:tcPr>
            <w:tcW w:w="1440" w:type="dxa"/>
            <w:shd w:val="clear" w:color="auto" w:fill="auto"/>
            <w:noWrap/>
            <w:vAlign w:val="center"/>
            <w:hideMark/>
          </w:tcPr>
          <w:p w14:paraId="4BA23D0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A0CD4E5"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9501F5F"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1D0529C"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4FFDEF01"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BC6EC60" w14:textId="77777777" w:rsidR="006B728F" w:rsidRPr="00E36CE7" w:rsidRDefault="006B728F" w:rsidP="00C22819">
            <w:pPr>
              <w:pStyle w:val="tablastexto"/>
            </w:pPr>
            <w:r w:rsidRPr="00E36CE7">
              <w:t>Sin iniciar</w:t>
            </w:r>
          </w:p>
        </w:tc>
      </w:tr>
      <w:tr w:rsidR="006B728F" w:rsidRPr="00E36CE7" w14:paraId="1849BB51" w14:textId="77777777" w:rsidTr="00945BCE">
        <w:trPr>
          <w:trHeight w:val="1417"/>
        </w:trPr>
        <w:tc>
          <w:tcPr>
            <w:tcW w:w="1710" w:type="dxa"/>
            <w:shd w:val="clear" w:color="auto" w:fill="auto"/>
            <w:noWrap/>
            <w:vAlign w:val="center"/>
            <w:hideMark/>
          </w:tcPr>
          <w:p w14:paraId="0314BFF8" w14:textId="77777777" w:rsidR="006B728F" w:rsidRPr="00E36CE7" w:rsidRDefault="006B728F" w:rsidP="00C22819">
            <w:pPr>
              <w:pStyle w:val="tablastexto"/>
            </w:pPr>
            <w:r w:rsidRPr="00E36CE7">
              <w:t>Malla Vial Intermedia - Circuito 4 Bosa:</w:t>
            </w:r>
            <w:r w:rsidRPr="00E36CE7">
              <w:br/>
              <w:t>Desde Avenida Bosa tomando Carrera 88B- Diagonal 72 sur- Calle 73 sur- Carrera 87C para conectar con Avenida Bosa. (incluye intersecciones)</w:t>
            </w:r>
          </w:p>
        </w:tc>
        <w:tc>
          <w:tcPr>
            <w:tcW w:w="1440" w:type="dxa"/>
            <w:shd w:val="clear" w:color="auto" w:fill="auto"/>
            <w:noWrap/>
            <w:vAlign w:val="center"/>
            <w:hideMark/>
          </w:tcPr>
          <w:p w14:paraId="4E153FD2"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03E3402"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D5DFD9B"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9D6E4B8"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741156A2"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835855A" w14:textId="77777777" w:rsidR="006B728F" w:rsidRPr="00E36CE7" w:rsidRDefault="006B728F" w:rsidP="00C22819">
            <w:pPr>
              <w:pStyle w:val="tablastexto"/>
            </w:pPr>
            <w:r w:rsidRPr="00E36CE7">
              <w:t>Sin iniciar</w:t>
            </w:r>
          </w:p>
        </w:tc>
      </w:tr>
      <w:tr w:rsidR="006B728F" w:rsidRPr="00E36CE7" w14:paraId="2BB387FE" w14:textId="77777777" w:rsidTr="00945BCE">
        <w:trPr>
          <w:trHeight w:val="1417"/>
        </w:trPr>
        <w:tc>
          <w:tcPr>
            <w:tcW w:w="1710" w:type="dxa"/>
            <w:shd w:val="clear" w:color="auto" w:fill="auto"/>
            <w:noWrap/>
            <w:vAlign w:val="center"/>
            <w:hideMark/>
          </w:tcPr>
          <w:p w14:paraId="5FA3E24C" w14:textId="77777777" w:rsidR="006B728F" w:rsidRPr="00E36CE7" w:rsidRDefault="006B728F" w:rsidP="00C22819">
            <w:pPr>
              <w:pStyle w:val="tablastexto"/>
            </w:pPr>
            <w:r w:rsidRPr="00E36CE7">
              <w:t>Malla Vial Intermedia - Circuito 5 Bosa:</w:t>
            </w:r>
            <w:r w:rsidRPr="00E36CE7">
              <w:br/>
              <w:t>Calle 56F sur desde Avenida Tintal (Cr 89B) hasta Avenida Longitudinal de Occidente ALO. (incluye intersecciones)</w:t>
            </w:r>
          </w:p>
        </w:tc>
        <w:tc>
          <w:tcPr>
            <w:tcW w:w="1440" w:type="dxa"/>
            <w:shd w:val="clear" w:color="auto" w:fill="auto"/>
            <w:noWrap/>
            <w:vAlign w:val="center"/>
            <w:hideMark/>
          </w:tcPr>
          <w:p w14:paraId="2D2D6F94"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431E3ECE"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7A5C4DF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227AA23"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6B6DD8E"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05E4616" w14:textId="77777777" w:rsidR="006B728F" w:rsidRPr="00E36CE7" w:rsidRDefault="006B728F" w:rsidP="00C22819">
            <w:pPr>
              <w:pStyle w:val="tablastexto"/>
            </w:pPr>
            <w:r w:rsidRPr="00E36CE7">
              <w:t>Sin iniciar</w:t>
            </w:r>
          </w:p>
        </w:tc>
      </w:tr>
      <w:tr w:rsidR="006B728F" w:rsidRPr="00E36CE7" w14:paraId="156DA17A" w14:textId="77777777" w:rsidTr="00945BCE">
        <w:trPr>
          <w:trHeight w:val="1417"/>
        </w:trPr>
        <w:tc>
          <w:tcPr>
            <w:tcW w:w="1710" w:type="dxa"/>
            <w:shd w:val="clear" w:color="auto" w:fill="auto"/>
            <w:noWrap/>
            <w:vAlign w:val="center"/>
            <w:hideMark/>
          </w:tcPr>
          <w:p w14:paraId="2174F87D" w14:textId="77777777" w:rsidR="006B728F" w:rsidRPr="00872DE7" w:rsidRDefault="006B728F" w:rsidP="00C22819">
            <w:pPr>
              <w:pStyle w:val="tablastexto"/>
              <w:rPr>
                <w:sz w:val="15"/>
                <w:szCs w:val="15"/>
              </w:rPr>
            </w:pPr>
            <w:r w:rsidRPr="00872DE7">
              <w:rPr>
                <w:sz w:val="15"/>
                <w:szCs w:val="15"/>
              </w:rPr>
              <w:t>Malla Vial Intermedia - Circuito Engativá-Suba:</w:t>
            </w:r>
            <w:r w:rsidRPr="00872DE7">
              <w:rPr>
                <w:sz w:val="15"/>
                <w:szCs w:val="15"/>
              </w:rPr>
              <w:br/>
              <w:t>Desde Avenida Medellín (Cl 80) por Carrera 120- Calle 130- empata con carrera 152 y Carrera 154- Calle 132D- Transversal 127- Calle 139 conecta con Transversal de Suba. (incluye intersecciones)</w:t>
            </w:r>
          </w:p>
        </w:tc>
        <w:tc>
          <w:tcPr>
            <w:tcW w:w="1440" w:type="dxa"/>
            <w:shd w:val="clear" w:color="auto" w:fill="auto"/>
            <w:noWrap/>
            <w:vAlign w:val="center"/>
            <w:hideMark/>
          </w:tcPr>
          <w:p w14:paraId="1F6D8564"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47A306B9"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5445C64A"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3D4F1FB"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B53EFA4"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0E1D4F08" w14:textId="77777777" w:rsidR="006B728F" w:rsidRPr="00E36CE7" w:rsidRDefault="006B728F" w:rsidP="00C22819">
            <w:pPr>
              <w:pStyle w:val="tablastexto"/>
            </w:pPr>
            <w:r w:rsidRPr="00E36CE7">
              <w:t>Sin iniciar</w:t>
            </w:r>
          </w:p>
        </w:tc>
      </w:tr>
      <w:tr w:rsidR="006B728F" w:rsidRPr="00E36CE7" w14:paraId="59A5DD39" w14:textId="77777777" w:rsidTr="00945BCE">
        <w:trPr>
          <w:trHeight w:val="424"/>
        </w:trPr>
        <w:tc>
          <w:tcPr>
            <w:tcW w:w="1710" w:type="dxa"/>
            <w:shd w:val="clear" w:color="auto" w:fill="auto"/>
            <w:noWrap/>
            <w:vAlign w:val="center"/>
            <w:hideMark/>
          </w:tcPr>
          <w:p w14:paraId="29D8884F" w14:textId="77777777" w:rsidR="006B728F" w:rsidRPr="00E36CE7" w:rsidRDefault="006B728F" w:rsidP="00C22819">
            <w:pPr>
              <w:pStyle w:val="tablastexto"/>
            </w:pPr>
            <w:r w:rsidRPr="00E36CE7">
              <w:t xml:space="preserve">Malla Vial Intermedia - Circuito Tintal: </w:t>
            </w:r>
            <w:r w:rsidRPr="00E36CE7">
              <w:br/>
              <w:t>malla intermedia Agoberto Mejía Cifuentes sentido Norte-Sur: carrera 80B- calle 11- carrera 81F- calle 10-carrera 80C-carrera 80D- calle 7B Bis-carrera 80B-calle 6B-carrera 80 G. Sentido Sur-Norte: carrera 80G-calle 6B-carrera 80B-carrera 80 Bis- carrera 80-calle 10- carrera 79-calle 11A-carrera 80</w:t>
            </w:r>
          </w:p>
        </w:tc>
        <w:tc>
          <w:tcPr>
            <w:tcW w:w="1440" w:type="dxa"/>
            <w:shd w:val="clear" w:color="auto" w:fill="auto"/>
            <w:noWrap/>
            <w:vAlign w:val="center"/>
            <w:hideMark/>
          </w:tcPr>
          <w:p w14:paraId="72F20102"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491DA06A"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09FD18F"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E3726A0"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4D1B380"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7BDFF423" w14:textId="77777777" w:rsidR="006B728F" w:rsidRPr="00E36CE7" w:rsidRDefault="006B728F" w:rsidP="00C22819">
            <w:pPr>
              <w:pStyle w:val="tablastexto"/>
            </w:pPr>
            <w:r w:rsidRPr="00E36CE7">
              <w:t>Sin iniciar</w:t>
            </w:r>
          </w:p>
        </w:tc>
      </w:tr>
      <w:tr w:rsidR="006B728F" w:rsidRPr="00E36CE7" w14:paraId="1D49A066" w14:textId="77777777" w:rsidTr="00945BCE">
        <w:trPr>
          <w:trHeight w:val="1417"/>
        </w:trPr>
        <w:tc>
          <w:tcPr>
            <w:tcW w:w="1710" w:type="dxa"/>
            <w:shd w:val="clear" w:color="auto" w:fill="auto"/>
            <w:noWrap/>
            <w:vAlign w:val="center"/>
            <w:hideMark/>
          </w:tcPr>
          <w:p w14:paraId="4B24ACF2" w14:textId="77777777" w:rsidR="006B728F" w:rsidRPr="00E36CE7" w:rsidRDefault="006B728F" w:rsidP="00C22819">
            <w:pPr>
              <w:pStyle w:val="tablastexto"/>
            </w:pPr>
            <w:r w:rsidRPr="00E36CE7">
              <w:t>Malla Vial Intermedia - Vía Alameda del Norte desde Autopista Norte y vía secundaria rural del norte</w:t>
            </w:r>
          </w:p>
        </w:tc>
        <w:tc>
          <w:tcPr>
            <w:tcW w:w="1440" w:type="dxa"/>
            <w:shd w:val="clear" w:color="auto" w:fill="auto"/>
            <w:noWrap/>
            <w:vAlign w:val="center"/>
            <w:hideMark/>
          </w:tcPr>
          <w:p w14:paraId="590BA691"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F01DCAC"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757B7DB6"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D92970C"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1BB95871"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082998E" w14:textId="77777777" w:rsidR="006B728F" w:rsidRPr="00E36CE7" w:rsidRDefault="006B728F" w:rsidP="00C22819">
            <w:pPr>
              <w:pStyle w:val="tablastexto"/>
            </w:pPr>
            <w:r w:rsidRPr="00E36CE7">
              <w:t>Sin iniciar</w:t>
            </w:r>
          </w:p>
        </w:tc>
      </w:tr>
      <w:tr w:rsidR="006B728F" w:rsidRPr="00E36CE7" w14:paraId="2F878E6A" w14:textId="77777777" w:rsidTr="00945BCE">
        <w:trPr>
          <w:trHeight w:val="1417"/>
        </w:trPr>
        <w:tc>
          <w:tcPr>
            <w:tcW w:w="1710" w:type="dxa"/>
            <w:shd w:val="clear" w:color="auto" w:fill="auto"/>
            <w:noWrap/>
            <w:vAlign w:val="center"/>
            <w:hideMark/>
          </w:tcPr>
          <w:p w14:paraId="2C9B2B4B" w14:textId="77777777" w:rsidR="006B728F" w:rsidRPr="00E36CE7" w:rsidRDefault="006B728F" w:rsidP="00C22819">
            <w:pPr>
              <w:pStyle w:val="tablastexto"/>
            </w:pPr>
            <w:r w:rsidRPr="00E36CE7">
              <w:lastRenderedPageBreak/>
              <w:t>Malla Vial Arterial - Avenida El Rincón desde Avenida Boyacá hasta Avenida Conejera y El Tabor desde Av. Conejera hasta Av. Ciudad de Cali (incluye intersecciones)</w:t>
            </w:r>
          </w:p>
        </w:tc>
        <w:tc>
          <w:tcPr>
            <w:tcW w:w="1440" w:type="dxa"/>
            <w:shd w:val="clear" w:color="auto" w:fill="auto"/>
            <w:noWrap/>
            <w:vAlign w:val="center"/>
            <w:hideMark/>
          </w:tcPr>
          <w:p w14:paraId="57D8A59A"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D55D81E"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5150C233"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2370D6C"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50ABB7B"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77C72FF4" w14:textId="77777777" w:rsidR="006B728F" w:rsidRPr="00E36CE7" w:rsidRDefault="006B728F" w:rsidP="00C22819">
            <w:pPr>
              <w:pStyle w:val="tablastexto"/>
            </w:pPr>
            <w:r w:rsidRPr="00E36CE7">
              <w:t>Obra (Ejecución)</w:t>
            </w:r>
          </w:p>
        </w:tc>
      </w:tr>
      <w:tr w:rsidR="006B728F" w:rsidRPr="00E36CE7" w14:paraId="75F60202" w14:textId="77777777" w:rsidTr="00945BCE">
        <w:trPr>
          <w:trHeight w:val="1417"/>
        </w:trPr>
        <w:tc>
          <w:tcPr>
            <w:tcW w:w="1710" w:type="dxa"/>
            <w:shd w:val="clear" w:color="auto" w:fill="auto"/>
            <w:noWrap/>
            <w:vAlign w:val="center"/>
            <w:hideMark/>
          </w:tcPr>
          <w:p w14:paraId="7E6F4C33" w14:textId="77777777" w:rsidR="006B728F" w:rsidRPr="00E36CE7" w:rsidRDefault="006B728F" w:rsidP="00C22819">
            <w:pPr>
              <w:pStyle w:val="tablastexto"/>
            </w:pPr>
            <w:r w:rsidRPr="00E36CE7">
              <w:t>Malla Vial Arterial - Avenida Francisco Miranda (Cl 45) de la carrera 5 a la Avenida Alberto Lleras Camargo (Carrera 7) (incluye intersecciones)</w:t>
            </w:r>
          </w:p>
        </w:tc>
        <w:tc>
          <w:tcPr>
            <w:tcW w:w="1440" w:type="dxa"/>
            <w:shd w:val="clear" w:color="auto" w:fill="auto"/>
            <w:noWrap/>
            <w:vAlign w:val="center"/>
            <w:hideMark/>
          </w:tcPr>
          <w:p w14:paraId="0ECB3C9D"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5E0FEB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398AEB6"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3735C19"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BA11F13"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3F31D646" w14:textId="77777777" w:rsidR="006B728F" w:rsidRPr="00E36CE7" w:rsidRDefault="006B728F" w:rsidP="00C22819">
            <w:pPr>
              <w:pStyle w:val="tablastexto"/>
            </w:pPr>
            <w:r w:rsidRPr="00E36CE7">
              <w:t>Obra (Contratación)</w:t>
            </w:r>
          </w:p>
        </w:tc>
      </w:tr>
      <w:tr w:rsidR="006B728F" w:rsidRPr="00E36CE7" w14:paraId="3C3C17BB" w14:textId="77777777" w:rsidTr="00945BCE">
        <w:trPr>
          <w:trHeight w:val="1417"/>
        </w:trPr>
        <w:tc>
          <w:tcPr>
            <w:tcW w:w="1710" w:type="dxa"/>
            <w:shd w:val="clear" w:color="auto" w:fill="auto"/>
            <w:noWrap/>
            <w:vAlign w:val="center"/>
            <w:hideMark/>
          </w:tcPr>
          <w:p w14:paraId="79B80AF9" w14:textId="77777777" w:rsidR="006B728F" w:rsidRPr="00E36CE7" w:rsidRDefault="006B728F" w:rsidP="00C22819">
            <w:pPr>
              <w:pStyle w:val="tablastexto"/>
            </w:pPr>
            <w:r w:rsidRPr="00E36CE7">
              <w:t>Malla Vial Arterial - Avenida José Celestino Mutis (Cl 63) desde carrera 114 hasta carrera 122</w:t>
            </w:r>
          </w:p>
        </w:tc>
        <w:tc>
          <w:tcPr>
            <w:tcW w:w="1440" w:type="dxa"/>
            <w:shd w:val="clear" w:color="auto" w:fill="auto"/>
            <w:noWrap/>
            <w:vAlign w:val="center"/>
            <w:hideMark/>
          </w:tcPr>
          <w:p w14:paraId="2489E33A"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58DEE9C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7ABB82F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69BE107"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25146BF0"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1B7D97FA" w14:textId="77777777" w:rsidR="006B728F" w:rsidRPr="00E36CE7" w:rsidRDefault="006B728F" w:rsidP="00C22819">
            <w:pPr>
              <w:pStyle w:val="tablastexto"/>
            </w:pPr>
            <w:r w:rsidRPr="00E36CE7">
              <w:t>Obra (Ejecución)</w:t>
            </w:r>
          </w:p>
        </w:tc>
      </w:tr>
      <w:tr w:rsidR="006B728F" w:rsidRPr="00E36CE7" w14:paraId="510854C2" w14:textId="77777777" w:rsidTr="00945BCE">
        <w:trPr>
          <w:trHeight w:val="1417"/>
        </w:trPr>
        <w:tc>
          <w:tcPr>
            <w:tcW w:w="1710" w:type="dxa"/>
            <w:shd w:val="clear" w:color="auto" w:fill="auto"/>
            <w:noWrap/>
            <w:vAlign w:val="center"/>
            <w:hideMark/>
          </w:tcPr>
          <w:p w14:paraId="68672677" w14:textId="77777777" w:rsidR="006B728F" w:rsidRPr="00E36CE7" w:rsidRDefault="006B728F" w:rsidP="00C22819">
            <w:pPr>
              <w:pStyle w:val="tablastexto"/>
            </w:pPr>
            <w:r w:rsidRPr="00E36CE7">
              <w:t>Malla Vial Arterial - Avenida La Sirena (calle 153, calzada Costado Sur), desde Canal Córdoba hasta Avenida Boyacá.</w:t>
            </w:r>
          </w:p>
        </w:tc>
        <w:tc>
          <w:tcPr>
            <w:tcW w:w="1440" w:type="dxa"/>
            <w:shd w:val="clear" w:color="auto" w:fill="auto"/>
            <w:noWrap/>
            <w:vAlign w:val="center"/>
            <w:hideMark/>
          </w:tcPr>
          <w:p w14:paraId="583B92A6"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0075C7F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1852A8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CBCF75A"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869FE20"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54707F0" w14:textId="77777777" w:rsidR="006B728F" w:rsidRPr="00E36CE7" w:rsidRDefault="006B728F" w:rsidP="00C22819">
            <w:pPr>
              <w:pStyle w:val="tablastexto"/>
            </w:pPr>
            <w:r w:rsidRPr="00E36CE7">
              <w:t>Obra (Ejecución)</w:t>
            </w:r>
          </w:p>
        </w:tc>
      </w:tr>
      <w:tr w:rsidR="006B728F" w:rsidRPr="00E36CE7" w14:paraId="0E2E7A71" w14:textId="77777777" w:rsidTr="00945BCE">
        <w:trPr>
          <w:trHeight w:val="1417"/>
        </w:trPr>
        <w:tc>
          <w:tcPr>
            <w:tcW w:w="1710" w:type="dxa"/>
            <w:shd w:val="clear" w:color="auto" w:fill="auto"/>
            <w:noWrap/>
            <w:vAlign w:val="center"/>
            <w:hideMark/>
          </w:tcPr>
          <w:p w14:paraId="47A876C2" w14:textId="77777777" w:rsidR="006B728F" w:rsidRPr="00E36CE7" w:rsidRDefault="006B728F" w:rsidP="00C22819">
            <w:pPr>
              <w:pStyle w:val="tablastexto"/>
            </w:pPr>
            <w:r w:rsidRPr="00E36CE7">
              <w:t>Malla Vial Arterial - Avenida La Sirena (Calle 153) entre el Canal Córdoba y la Avenida Paseo de Los Libertadores</w:t>
            </w:r>
          </w:p>
        </w:tc>
        <w:tc>
          <w:tcPr>
            <w:tcW w:w="1440" w:type="dxa"/>
            <w:shd w:val="clear" w:color="auto" w:fill="auto"/>
            <w:noWrap/>
            <w:vAlign w:val="center"/>
            <w:hideMark/>
          </w:tcPr>
          <w:p w14:paraId="24E0D9FA"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61171C11"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E9CA69F"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AB0F18F"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212FE5F3"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5955D70" w14:textId="77777777" w:rsidR="006B728F" w:rsidRPr="00E36CE7" w:rsidRDefault="006B728F" w:rsidP="00C22819">
            <w:pPr>
              <w:pStyle w:val="tablastexto"/>
            </w:pPr>
            <w:r w:rsidRPr="00E36CE7">
              <w:t>Obra (Ejecución)</w:t>
            </w:r>
          </w:p>
        </w:tc>
      </w:tr>
      <w:tr w:rsidR="006B728F" w:rsidRPr="00E36CE7" w14:paraId="2F1BEE19" w14:textId="77777777" w:rsidTr="00945BCE">
        <w:trPr>
          <w:trHeight w:val="1417"/>
        </w:trPr>
        <w:tc>
          <w:tcPr>
            <w:tcW w:w="1710" w:type="dxa"/>
            <w:shd w:val="clear" w:color="auto" w:fill="auto"/>
            <w:noWrap/>
            <w:vAlign w:val="center"/>
            <w:hideMark/>
          </w:tcPr>
          <w:p w14:paraId="281BF1FB" w14:textId="77777777" w:rsidR="006B728F" w:rsidRPr="00E36CE7" w:rsidRDefault="006B728F" w:rsidP="00C22819">
            <w:pPr>
              <w:pStyle w:val="tablastexto"/>
            </w:pPr>
            <w:r w:rsidRPr="00E36CE7">
              <w:t>Malla Vial Arterial - Avenida Santa Bárbara (Avenida 19) desde Avenida Callejas (calle 127) hasta Avenida Contador (calle 134)</w:t>
            </w:r>
          </w:p>
        </w:tc>
        <w:tc>
          <w:tcPr>
            <w:tcW w:w="1440" w:type="dxa"/>
            <w:shd w:val="clear" w:color="auto" w:fill="auto"/>
            <w:noWrap/>
            <w:vAlign w:val="center"/>
            <w:hideMark/>
          </w:tcPr>
          <w:p w14:paraId="531EF51C"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65AE2596"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64E4D35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398CA75E"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3FD972A"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129D142E" w14:textId="77777777" w:rsidR="006B728F" w:rsidRPr="00E36CE7" w:rsidRDefault="006B728F" w:rsidP="00C22819">
            <w:pPr>
              <w:pStyle w:val="tablastexto"/>
            </w:pPr>
            <w:r w:rsidRPr="00E36CE7">
              <w:t>Obra (Ejecución)</w:t>
            </w:r>
          </w:p>
        </w:tc>
      </w:tr>
      <w:tr w:rsidR="006B728F" w:rsidRPr="00E36CE7" w14:paraId="2BC3485F" w14:textId="77777777" w:rsidTr="00945BCE">
        <w:trPr>
          <w:trHeight w:val="1417"/>
        </w:trPr>
        <w:tc>
          <w:tcPr>
            <w:tcW w:w="1710" w:type="dxa"/>
            <w:shd w:val="clear" w:color="auto" w:fill="auto"/>
            <w:noWrap/>
            <w:vAlign w:val="center"/>
            <w:hideMark/>
          </w:tcPr>
          <w:p w14:paraId="5D89F033" w14:textId="77777777" w:rsidR="006B728F" w:rsidRPr="00E36CE7" w:rsidRDefault="006B728F" w:rsidP="00C22819">
            <w:pPr>
              <w:pStyle w:val="tablastexto"/>
            </w:pPr>
            <w:r w:rsidRPr="00E36CE7">
              <w:t>Malla Vial Arterial - Avenida Tintal desde Avenida Ciudad de Villavicencio hasta Avenida Manuel Cepeda Vargas calzada oriental.</w:t>
            </w:r>
          </w:p>
        </w:tc>
        <w:tc>
          <w:tcPr>
            <w:tcW w:w="1440" w:type="dxa"/>
            <w:shd w:val="clear" w:color="auto" w:fill="auto"/>
            <w:noWrap/>
            <w:vAlign w:val="center"/>
            <w:hideMark/>
          </w:tcPr>
          <w:p w14:paraId="0FD0BA6F"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558CE8FF"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9D37314"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FF28414"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75C1EDD8"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2BCE7DF7" w14:textId="77777777" w:rsidR="006B728F" w:rsidRPr="00E36CE7" w:rsidRDefault="006B728F" w:rsidP="00C22819">
            <w:pPr>
              <w:pStyle w:val="tablastexto"/>
            </w:pPr>
            <w:r w:rsidRPr="00E36CE7">
              <w:t>Obra (Ejecución)</w:t>
            </w:r>
          </w:p>
        </w:tc>
      </w:tr>
      <w:tr w:rsidR="006B728F" w:rsidRPr="00E36CE7" w14:paraId="7F43244C" w14:textId="77777777" w:rsidTr="00945BCE">
        <w:trPr>
          <w:trHeight w:val="1417"/>
        </w:trPr>
        <w:tc>
          <w:tcPr>
            <w:tcW w:w="1710" w:type="dxa"/>
            <w:shd w:val="clear" w:color="auto" w:fill="auto"/>
            <w:noWrap/>
            <w:vAlign w:val="center"/>
            <w:hideMark/>
          </w:tcPr>
          <w:p w14:paraId="7DBC1D9B" w14:textId="77777777" w:rsidR="006B728F" w:rsidRPr="00E36CE7" w:rsidRDefault="006B728F" w:rsidP="00C22819">
            <w:pPr>
              <w:pStyle w:val="tablastexto"/>
            </w:pPr>
            <w:r w:rsidRPr="00E36CE7">
              <w:lastRenderedPageBreak/>
              <w:t>Enlace Vehicular - Intersección 9</w:t>
            </w:r>
          </w:p>
        </w:tc>
        <w:tc>
          <w:tcPr>
            <w:tcW w:w="1440" w:type="dxa"/>
            <w:shd w:val="clear" w:color="auto" w:fill="auto"/>
            <w:noWrap/>
            <w:vAlign w:val="center"/>
            <w:hideMark/>
          </w:tcPr>
          <w:p w14:paraId="34C8ACE2"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119D3165"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567CBA9E"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A1031D1"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2A53E06A"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6ED512E7" w14:textId="77777777" w:rsidR="006B728F" w:rsidRPr="00E36CE7" w:rsidRDefault="006B728F" w:rsidP="00C22819">
            <w:pPr>
              <w:pStyle w:val="tablastexto"/>
            </w:pPr>
            <w:r w:rsidRPr="00E36CE7">
              <w:t>Estudios y diseños</w:t>
            </w:r>
          </w:p>
        </w:tc>
      </w:tr>
      <w:tr w:rsidR="006B728F" w:rsidRPr="00E36CE7" w14:paraId="757B2062" w14:textId="77777777" w:rsidTr="00945BCE">
        <w:trPr>
          <w:trHeight w:val="1291"/>
        </w:trPr>
        <w:tc>
          <w:tcPr>
            <w:tcW w:w="1710" w:type="dxa"/>
            <w:shd w:val="clear" w:color="auto" w:fill="auto"/>
            <w:noWrap/>
            <w:vAlign w:val="center"/>
            <w:hideMark/>
          </w:tcPr>
          <w:p w14:paraId="4DD46587" w14:textId="77777777" w:rsidR="006B728F" w:rsidRPr="00E36CE7" w:rsidRDefault="006B728F" w:rsidP="00C22819">
            <w:pPr>
              <w:pStyle w:val="tablastexto"/>
            </w:pPr>
            <w:r w:rsidRPr="00E36CE7">
              <w:t>Malla Vial Arterial - Avenida Jorge Gaitán Cortés, transversal 33, desde Avenida Boyacá hasta Avenida</w:t>
            </w:r>
          </w:p>
        </w:tc>
        <w:tc>
          <w:tcPr>
            <w:tcW w:w="1440" w:type="dxa"/>
            <w:shd w:val="clear" w:color="auto" w:fill="auto"/>
            <w:noWrap/>
            <w:vAlign w:val="center"/>
            <w:hideMark/>
          </w:tcPr>
          <w:p w14:paraId="6847D7DD"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73121BD"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22E80B1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3AFDD9AE"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794B2C4"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E9AD8C7" w14:textId="77777777" w:rsidR="006B728F" w:rsidRPr="00E36CE7" w:rsidRDefault="006B728F" w:rsidP="00C22819">
            <w:pPr>
              <w:pStyle w:val="tablastexto"/>
            </w:pPr>
            <w:r w:rsidRPr="00E36CE7">
              <w:t>En Idea</w:t>
            </w:r>
          </w:p>
        </w:tc>
      </w:tr>
      <w:tr w:rsidR="006B728F" w:rsidRPr="00E36CE7" w14:paraId="22A64BEB" w14:textId="77777777" w:rsidTr="00945BCE">
        <w:trPr>
          <w:trHeight w:val="1417"/>
        </w:trPr>
        <w:tc>
          <w:tcPr>
            <w:tcW w:w="1710" w:type="dxa"/>
            <w:shd w:val="clear" w:color="auto" w:fill="auto"/>
            <w:noWrap/>
            <w:vAlign w:val="center"/>
            <w:hideMark/>
          </w:tcPr>
          <w:p w14:paraId="0F96447E" w14:textId="77777777" w:rsidR="006B728F" w:rsidRPr="00E36CE7" w:rsidRDefault="006B728F" w:rsidP="00C22819">
            <w:pPr>
              <w:pStyle w:val="tablastexto"/>
            </w:pPr>
            <w:r w:rsidRPr="00E36CE7">
              <w:t>Malla Vial Arterial - Avenida Las Villas (AK 58) desde Avenida La Sirena (AC 153) hasta Avenida San José (AC 170) (incluye intersecciones)</w:t>
            </w:r>
          </w:p>
        </w:tc>
        <w:tc>
          <w:tcPr>
            <w:tcW w:w="1440" w:type="dxa"/>
            <w:shd w:val="clear" w:color="auto" w:fill="auto"/>
            <w:noWrap/>
            <w:vAlign w:val="center"/>
            <w:hideMark/>
          </w:tcPr>
          <w:p w14:paraId="12CE570A"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10EDD621"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F3C6C02"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C084F29"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5D1A7D9"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5720DC0A" w14:textId="77777777" w:rsidR="006B728F" w:rsidRPr="00E36CE7" w:rsidRDefault="006B728F" w:rsidP="00C22819">
            <w:pPr>
              <w:pStyle w:val="tablastexto"/>
            </w:pPr>
            <w:r w:rsidRPr="00E36CE7">
              <w:t>Prefactibilidad</w:t>
            </w:r>
          </w:p>
        </w:tc>
      </w:tr>
      <w:tr w:rsidR="006B728F" w:rsidRPr="00E36CE7" w14:paraId="03CD1058" w14:textId="77777777" w:rsidTr="00945BCE">
        <w:trPr>
          <w:trHeight w:val="1784"/>
        </w:trPr>
        <w:tc>
          <w:tcPr>
            <w:tcW w:w="1710" w:type="dxa"/>
            <w:shd w:val="clear" w:color="auto" w:fill="auto"/>
            <w:noWrap/>
            <w:vAlign w:val="center"/>
            <w:hideMark/>
          </w:tcPr>
          <w:p w14:paraId="60BB3981" w14:textId="77777777" w:rsidR="006B728F" w:rsidRPr="00E36CE7" w:rsidRDefault="006B728F" w:rsidP="00C22819">
            <w:pPr>
              <w:pStyle w:val="tablastexto"/>
            </w:pPr>
            <w:r w:rsidRPr="00E36CE7">
              <w:t>Malla Vial Arterial - Avenida Primero de Mayo desde Avenida Agoberto Mejía Cifuentes (AK 80) hasta Avenida Longitudinal de Occidente ALO (incluye intersecciones)</w:t>
            </w:r>
          </w:p>
        </w:tc>
        <w:tc>
          <w:tcPr>
            <w:tcW w:w="1440" w:type="dxa"/>
            <w:shd w:val="clear" w:color="auto" w:fill="auto"/>
            <w:noWrap/>
            <w:vAlign w:val="center"/>
            <w:hideMark/>
          </w:tcPr>
          <w:p w14:paraId="099A007A"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4111066"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4DAF0F3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FE79C0D"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035A8E38"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40EB89C" w14:textId="77777777" w:rsidR="006B728F" w:rsidRPr="00E36CE7" w:rsidRDefault="006B728F" w:rsidP="00C22819">
            <w:pPr>
              <w:pStyle w:val="tablastexto"/>
            </w:pPr>
            <w:r w:rsidRPr="00E36CE7">
              <w:t>Sin iniciar</w:t>
            </w:r>
          </w:p>
        </w:tc>
      </w:tr>
      <w:tr w:rsidR="006B728F" w:rsidRPr="00E36CE7" w14:paraId="63A6E8AC" w14:textId="77777777" w:rsidTr="00945BCE">
        <w:trPr>
          <w:trHeight w:val="1417"/>
        </w:trPr>
        <w:tc>
          <w:tcPr>
            <w:tcW w:w="1710" w:type="dxa"/>
            <w:shd w:val="clear" w:color="auto" w:fill="auto"/>
            <w:noWrap/>
            <w:vAlign w:val="center"/>
            <w:hideMark/>
          </w:tcPr>
          <w:p w14:paraId="6CF8A102" w14:textId="77777777" w:rsidR="006B728F" w:rsidRPr="00E36CE7" w:rsidRDefault="006B728F" w:rsidP="00C22819">
            <w:pPr>
              <w:pStyle w:val="tablastexto"/>
            </w:pPr>
            <w:r w:rsidRPr="00E36CE7">
              <w:t>Malla Vial Arterial - ALO</w:t>
            </w:r>
          </w:p>
        </w:tc>
        <w:tc>
          <w:tcPr>
            <w:tcW w:w="1440" w:type="dxa"/>
            <w:shd w:val="clear" w:color="auto" w:fill="auto"/>
            <w:noWrap/>
            <w:vAlign w:val="center"/>
            <w:hideMark/>
          </w:tcPr>
          <w:p w14:paraId="1945CDE7"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25F8DA48"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56DABAF2"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042B7FF"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3A99828F"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2E328862" w14:textId="77777777" w:rsidR="006B728F" w:rsidRPr="00E36CE7" w:rsidRDefault="006B728F" w:rsidP="00C22819">
            <w:pPr>
              <w:pStyle w:val="tablastexto"/>
            </w:pPr>
            <w:r w:rsidRPr="00E36CE7">
              <w:t>Estudios y diseños</w:t>
            </w:r>
          </w:p>
        </w:tc>
      </w:tr>
      <w:tr w:rsidR="006B728F" w:rsidRPr="00E36CE7" w14:paraId="79324E4A" w14:textId="77777777" w:rsidTr="00945BCE">
        <w:trPr>
          <w:trHeight w:val="1417"/>
        </w:trPr>
        <w:tc>
          <w:tcPr>
            <w:tcW w:w="1710" w:type="dxa"/>
            <w:shd w:val="clear" w:color="auto" w:fill="auto"/>
            <w:noWrap/>
            <w:vAlign w:val="center"/>
            <w:hideMark/>
          </w:tcPr>
          <w:p w14:paraId="1538FCDB" w14:textId="77777777" w:rsidR="006B728F" w:rsidRPr="00E36CE7" w:rsidRDefault="006B728F" w:rsidP="00C22819">
            <w:pPr>
              <w:pStyle w:val="tablastexto"/>
            </w:pPr>
            <w:r w:rsidRPr="00E36CE7">
              <w:t>Enlace Vehicular - Intersección 10</w:t>
            </w:r>
          </w:p>
        </w:tc>
        <w:tc>
          <w:tcPr>
            <w:tcW w:w="1440" w:type="dxa"/>
            <w:shd w:val="clear" w:color="auto" w:fill="auto"/>
            <w:noWrap/>
            <w:vAlign w:val="center"/>
            <w:hideMark/>
          </w:tcPr>
          <w:p w14:paraId="46492664"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7F529314"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1DE174C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D49E2B6"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468B59F3"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6B06A69A" w14:textId="77777777" w:rsidR="006B728F" w:rsidRPr="00E36CE7" w:rsidRDefault="006B728F" w:rsidP="00C22819">
            <w:pPr>
              <w:pStyle w:val="tablastexto"/>
            </w:pPr>
            <w:r w:rsidRPr="00E36CE7">
              <w:t>Obra (Ejecución)</w:t>
            </w:r>
          </w:p>
        </w:tc>
      </w:tr>
      <w:tr w:rsidR="006B728F" w:rsidRPr="00E36CE7" w14:paraId="304EF626" w14:textId="77777777" w:rsidTr="00945BCE">
        <w:trPr>
          <w:trHeight w:val="1417"/>
        </w:trPr>
        <w:tc>
          <w:tcPr>
            <w:tcW w:w="1710" w:type="dxa"/>
            <w:shd w:val="clear" w:color="auto" w:fill="auto"/>
            <w:noWrap/>
            <w:vAlign w:val="center"/>
            <w:hideMark/>
          </w:tcPr>
          <w:p w14:paraId="19F25FE7" w14:textId="77777777" w:rsidR="006B728F" w:rsidRPr="00E36CE7" w:rsidRDefault="006B728F" w:rsidP="00C22819">
            <w:pPr>
              <w:pStyle w:val="tablastexto"/>
            </w:pPr>
            <w:r w:rsidRPr="00E36CE7">
              <w:t>Enlace Vehicular - Intersección 11</w:t>
            </w:r>
          </w:p>
        </w:tc>
        <w:tc>
          <w:tcPr>
            <w:tcW w:w="1440" w:type="dxa"/>
            <w:shd w:val="clear" w:color="auto" w:fill="auto"/>
            <w:noWrap/>
            <w:vAlign w:val="center"/>
            <w:hideMark/>
          </w:tcPr>
          <w:p w14:paraId="0255CD81"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30B98443"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5813D33C"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0B9B8DED"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9A06A81"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4A22B38D" w14:textId="77777777" w:rsidR="006B728F" w:rsidRPr="00E36CE7" w:rsidRDefault="006B728F" w:rsidP="00C22819">
            <w:pPr>
              <w:pStyle w:val="tablastexto"/>
            </w:pPr>
            <w:r w:rsidRPr="00E36CE7">
              <w:t>Estudios y diseños</w:t>
            </w:r>
          </w:p>
        </w:tc>
      </w:tr>
      <w:tr w:rsidR="006B728F" w:rsidRPr="00E36CE7" w14:paraId="05F6AE01" w14:textId="77777777" w:rsidTr="00945BCE">
        <w:trPr>
          <w:trHeight w:val="1417"/>
        </w:trPr>
        <w:tc>
          <w:tcPr>
            <w:tcW w:w="1710" w:type="dxa"/>
            <w:shd w:val="clear" w:color="auto" w:fill="auto"/>
            <w:noWrap/>
            <w:vAlign w:val="center"/>
            <w:hideMark/>
          </w:tcPr>
          <w:p w14:paraId="6045E60C" w14:textId="77777777" w:rsidR="006B728F" w:rsidRPr="00E36CE7" w:rsidRDefault="006B728F" w:rsidP="00C22819">
            <w:pPr>
              <w:pStyle w:val="tablastexto"/>
            </w:pPr>
            <w:r w:rsidRPr="00E36CE7">
              <w:lastRenderedPageBreak/>
              <w:t>Enlace Vehicular - Intersección 12</w:t>
            </w:r>
          </w:p>
        </w:tc>
        <w:tc>
          <w:tcPr>
            <w:tcW w:w="1440" w:type="dxa"/>
            <w:shd w:val="clear" w:color="auto" w:fill="auto"/>
            <w:noWrap/>
            <w:vAlign w:val="center"/>
            <w:hideMark/>
          </w:tcPr>
          <w:p w14:paraId="749736D1" w14:textId="77777777" w:rsidR="006B728F" w:rsidRPr="00E36CE7" w:rsidRDefault="006B728F" w:rsidP="00C22819">
            <w:pPr>
              <w:pStyle w:val="tablastexto"/>
            </w:pPr>
            <w:r w:rsidRPr="00E36CE7">
              <w:t>2. Programa descarbonizar la movilidad e infraestructura sostenible</w:t>
            </w:r>
          </w:p>
        </w:tc>
        <w:tc>
          <w:tcPr>
            <w:tcW w:w="1890" w:type="dxa"/>
            <w:shd w:val="clear" w:color="auto" w:fill="auto"/>
            <w:noWrap/>
            <w:vAlign w:val="center"/>
            <w:hideMark/>
          </w:tcPr>
          <w:p w14:paraId="681EF5AC" w14:textId="77777777" w:rsidR="006B728F" w:rsidRPr="00E36CE7" w:rsidRDefault="006B728F" w:rsidP="00C22819">
            <w:pPr>
              <w:pStyle w:val="tablastexto"/>
            </w:pPr>
            <w:r w:rsidRPr="00E36CE7">
              <w:t>5. Subprograma de Calles completas</w:t>
            </w:r>
          </w:p>
        </w:tc>
        <w:tc>
          <w:tcPr>
            <w:tcW w:w="1350" w:type="dxa"/>
            <w:shd w:val="clear" w:color="auto" w:fill="auto"/>
            <w:noWrap/>
            <w:vAlign w:val="center"/>
            <w:hideMark/>
          </w:tcPr>
          <w:p w14:paraId="06C3AA2B"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B63EF91" w14:textId="77777777" w:rsidR="006B728F" w:rsidRPr="00E36CE7" w:rsidRDefault="006B728F" w:rsidP="00C22819">
            <w:pPr>
              <w:pStyle w:val="tablastexto"/>
            </w:pPr>
            <w:r w:rsidRPr="00E36CE7">
              <w:t>4.26. Movilidad Sostenible</w:t>
            </w:r>
          </w:p>
        </w:tc>
        <w:tc>
          <w:tcPr>
            <w:tcW w:w="1350" w:type="dxa"/>
            <w:shd w:val="clear" w:color="auto" w:fill="auto"/>
            <w:noWrap/>
            <w:vAlign w:val="center"/>
            <w:hideMark/>
          </w:tcPr>
          <w:p w14:paraId="63EA4D23" w14:textId="77777777" w:rsidR="006B728F" w:rsidRPr="00E36CE7" w:rsidRDefault="006B728F" w:rsidP="00C22819">
            <w:pPr>
              <w:pStyle w:val="tablastexto"/>
            </w:pPr>
            <w:r w:rsidRPr="00E36CE7">
              <w:t>Instituto de Desarrollo Urbano – IDU</w:t>
            </w:r>
          </w:p>
        </w:tc>
        <w:tc>
          <w:tcPr>
            <w:tcW w:w="1381" w:type="dxa"/>
            <w:shd w:val="clear" w:color="auto" w:fill="auto"/>
            <w:noWrap/>
            <w:vAlign w:val="center"/>
            <w:hideMark/>
          </w:tcPr>
          <w:p w14:paraId="2E9E3226" w14:textId="77777777" w:rsidR="006B728F" w:rsidRPr="00E36CE7" w:rsidRDefault="006B728F" w:rsidP="00C22819">
            <w:pPr>
              <w:pStyle w:val="tablastexto"/>
            </w:pPr>
            <w:r w:rsidRPr="00E36CE7">
              <w:t>Obra (Ejecución)</w:t>
            </w:r>
          </w:p>
        </w:tc>
      </w:tr>
      <w:tr w:rsidR="006B728F" w:rsidRPr="00E36CE7" w14:paraId="5111588D" w14:textId="77777777" w:rsidTr="00945BCE">
        <w:trPr>
          <w:trHeight w:val="2283"/>
        </w:trPr>
        <w:tc>
          <w:tcPr>
            <w:tcW w:w="1710" w:type="dxa"/>
            <w:shd w:val="clear" w:color="auto" w:fill="auto"/>
            <w:noWrap/>
            <w:vAlign w:val="center"/>
            <w:hideMark/>
          </w:tcPr>
          <w:p w14:paraId="637E19CD" w14:textId="77777777" w:rsidR="006B728F" w:rsidRPr="00E36CE7" w:rsidRDefault="006B728F" w:rsidP="00C22819">
            <w:pPr>
              <w:pStyle w:val="tablastexto"/>
            </w:pPr>
            <w:r w:rsidRPr="00E36CE7">
              <w:t>Avance en el cumplimiento de normas de seguridad, evacuación, calidad y confort en los equipamientos educativos oficiales existentes y reducción del déficit de cupos escolares mediante la construcción de nueva en UPL zonas con altas demanda insatisfecha</w:t>
            </w:r>
          </w:p>
        </w:tc>
        <w:tc>
          <w:tcPr>
            <w:tcW w:w="1440" w:type="dxa"/>
            <w:shd w:val="clear" w:color="auto" w:fill="auto"/>
            <w:noWrap/>
            <w:vAlign w:val="center"/>
            <w:hideMark/>
          </w:tcPr>
          <w:p w14:paraId="77B0CB93"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547EBB24"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1CDE2DEB"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294620C"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61821962" w14:textId="77777777" w:rsidR="006B728F" w:rsidRPr="00E36CE7" w:rsidRDefault="006B728F" w:rsidP="00C22819">
            <w:pPr>
              <w:pStyle w:val="tablastexto"/>
            </w:pPr>
            <w:r w:rsidRPr="00E36CE7">
              <w:t>Secretaría de Educación del Distrito</w:t>
            </w:r>
          </w:p>
        </w:tc>
        <w:tc>
          <w:tcPr>
            <w:tcW w:w="1381" w:type="dxa"/>
            <w:shd w:val="clear" w:color="auto" w:fill="auto"/>
            <w:noWrap/>
            <w:vAlign w:val="center"/>
            <w:hideMark/>
          </w:tcPr>
          <w:p w14:paraId="5714B930" w14:textId="77777777" w:rsidR="006B728F" w:rsidRPr="00E36CE7" w:rsidRDefault="006B728F" w:rsidP="00C22819">
            <w:pPr>
              <w:pStyle w:val="tablastexto"/>
            </w:pPr>
            <w:r w:rsidRPr="00E36CE7">
              <w:t>En Implementación</w:t>
            </w:r>
          </w:p>
        </w:tc>
      </w:tr>
      <w:tr w:rsidR="006B728F" w:rsidRPr="00E36CE7" w14:paraId="1BF1A33A" w14:textId="77777777" w:rsidTr="00945BCE">
        <w:trPr>
          <w:trHeight w:val="1417"/>
        </w:trPr>
        <w:tc>
          <w:tcPr>
            <w:tcW w:w="1710" w:type="dxa"/>
            <w:shd w:val="clear" w:color="auto" w:fill="auto"/>
            <w:noWrap/>
            <w:vAlign w:val="center"/>
            <w:hideMark/>
          </w:tcPr>
          <w:p w14:paraId="217F0B91" w14:textId="77777777" w:rsidR="006B728F" w:rsidRPr="00E36CE7" w:rsidRDefault="006B728F" w:rsidP="00C22819">
            <w:pPr>
              <w:pStyle w:val="tablastexto"/>
            </w:pPr>
            <w:r w:rsidRPr="00E36CE7">
              <w:t>CENTRO PROTECCIÓN ADULTO MAYOR SAN PEDRO</w:t>
            </w:r>
          </w:p>
        </w:tc>
        <w:tc>
          <w:tcPr>
            <w:tcW w:w="1440" w:type="dxa"/>
            <w:shd w:val="clear" w:color="auto" w:fill="auto"/>
            <w:noWrap/>
            <w:vAlign w:val="center"/>
            <w:hideMark/>
          </w:tcPr>
          <w:p w14:paraId="21EB7432"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60D576AE"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7836ED3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E37486B"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59E2315F"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558CF721" w14:textId="77777777" w:rsidR="006B728F" w:rsidRPr="00E36CE7" w:rsidRDefault="006B728F" w:rsidP="00C22819">
            <w:pPr>
              <w:pStyle w:val="tablastexto"/>
            </w:pPr>
            <w:r w:rsidRPr="00E36CE7">
              <w:t>Sin iniciar</w:t>
            </w:r>
          </w:p>
        </w:tc>
      </w:tr>
      <w:tr w:rsidR="006B728F" w:rsidRPr="00E36CE7" w14:paraId="67EFA521" w14:textId="77777777" w:rsidTr="00945BCE">
        <w:trPr>
          <w:trHeight w:val="1417"/>
        </w:trPr>
        <w:tc>
          <w:tcPr>
            <w:tcW w:w="1710" w:type="dxa"/>
            <w:shd w:val="clear" w:color="auto" w:fill="auto"/>
            <w:noWrap/>
            <w:vAlign w:val="center"/>
            <w:hideMark/>
          </w:tcPr>
          <w:p w14:paraId="200FB3AD" w14:textId="77777777" w:rsidR="006B728F" w:rsidRPr="00E36CE7" w:rsidRDefault="006B728F" w:rsidP="00C22819">
            <w:pPr>
              <w:pStyle w:val="tablastexto"/>
            </w:pPr>
            <w:r w:rsidRPr="00E36CE7">
              <w:t>COMISARIA DE FAMILIA CIUDAD BOLÍVAR 1</w:t>
            </w:r>
          </w:p>
        </w:tc>
        <w:tc>
          <w:tcPr>
            <w:tcW w:w="1440" w:type="dxa"/>
            <w:shd w:val="clear" w:color="auto" w:fill="auto"/>
            <w:noWrap/>
            <w:vAlign w:val="center"/>
            <w:hideMark/>
          </w:tcPr>
          <w:p w14:paraId="156CB1E4"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5F13A98"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126186A1"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27684D0"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57D1ED7D"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2B90AAA7" w14:textId="77777777" w:rsidR="006B728F" w:rsidRPr="00E36CE7" w:rsidRDefault="006B728F" w:rsidP="00C22819">
            <w:pPr>
              <w:pStyle w:val="tablastexto"/>
            </w:pPr>
            <w:r w:rsidRPr="00E36CE7">
              <w:t>Sin iniciar</w:t>
            </w:r>
          </w:p>
        </w:tc>
      </w:tr>
      <w:tr w:rsidR="006B728F" w:rsidRPr="00E36CE7" w14:paraId="0EC3131C" w14:textId="77777777" w:rsidTr="00945BCE">
        <w:trPr>
          <w:trHeight w:val="1417"/>
        </w:trPr>
        <w:tc>
          <w:tcPr>
            <w:tcW w:w="1710" w:type="dxa"/>
            <w:shd w:val="clear" w:color="auto" w:fill="auto"/>
            <w:noWrap/>
            <w:vAlign w:val="center"/>
            <w:hideMark/>
          </w:tcPr>
          <w:p w14:paraId="6F9EC25F" w14:textId="77777777" w:rsidR="006B728F" w:rsidRPr="00E36CE7" w:rsidRDefault="006B728F" w:rsidP="00C22819">
            <w:pPr>
              <w:pStyle w:val="tablastexto"/>
            </w:pPr>
            <w:r w:rsidRPr="00E36CE7">
              <w:t>CDC COLINAS</w:t>
            </w:r>
          </w:p>
        </w:tc>
        <w:tc>
          <w:tcPr>
            <w:tcW w:w="1440" w:type="dxa"/>
            <w:shd w:val="clear" w:color="auto" w:fill="auto"/>
            <w:noWrap/>
            <w:vAlign w:val="center"/>
            <w:hideMark/>
          </w:tcPr>
          <w:p w14:paraId="3893991E"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1165EF3D"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0E97BAC0"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DE40514"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5FA3CC58"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29E34461" w14:textId="77777777" w:rsidR="006B728F" w:rsidRPr="00E36CE7" w:rsidRDefault="006B728F" w:rsidP="00C22819">
            <w:pPr>
              <w:pStyle w:val="tablastexto"/>
            </w:pPr>
            <w:r w:rsidRPr="00E36CE7">
              <w:t>Sin iniciar</w:t>
            </w:r>
          </w:p>
        </w:tc>
      </w:tr>
      <w:tr w:rsidR="006B728F" w:rsidRPr="00E36CE7" w14:paraId="38ED94B8" w14:textId="77777777" w:rsidTr="00945BCE">
        <w:trPr>
          <w:trHeight w:val="1417"/>
        </w:trPr>
        <w:tc>
          <w:tcPr>
            <w:tcW w:w="1710" w:type="dxa"/>
            <w:shd w:val="clear" w:color="auto" w:fill="auto"/>
            <w:noWrap/>
            <w:vAlign w:val="center"/>
            <w:hideMark/>
          </w:tcPr>
          <w:p w14:paraId="6CC0D2CA" w14:textId="77777777" w:rsidR="006B728F" w:rsidRPr="00E36CE7" w:rsidRDefault="006B728F" w:rsidP="00C22819">
            <w:pPr>
              <w:pStyle w:val="tablastexto"/>
            </w:pPr>
            <w:r w:rsidRPr="00E36CE7">
              <w:t>CDC EL CAMPITO</w:t>
            </w:r>
          </w:p>
        </w:tc>
        <w:tc>
          <w:tcPr>
            <w:tcW w:w="1440" w:type="dxa"/>
            <w:shd w:val="clear" w:color="auto" w:fill="auto"/>
            <w:noWrap/>
            <w:vAlign w:val="center"/>
            <w:hideMark/>
          </w:tcPr>
          <w:p w14:paraId="3C63835F"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50B3B43E"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19169B79"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357287B"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11B8C104"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77D1711E" w14:textId="77777777" w:rsidR="006B728F" w:rsidRPr="00E36CE7" w:rsidRDefault="006B728F" w:rsidP="00C22819">
            <w:pPr>
              <w:pStyle w:val="tablastexto"/>
            </w:pPr>
            <w:r w:rsidRPr="00E36CE7">
              <w:t>Obra (Ejecución)</w:t>
            </w:r>
          </w:p>
        </w:tc>
      </w:tr>
      <w:tr w:rsidR="006B728F" w:rsidRPr="00E36CE7" w14:paraId="132E1C9D" w14:textId="77777777" w:rsidTr="00945BCE">
        <w:trPr>
          <w:trHeight w:val="1417"/>
        </w:trPr>
        <w:tc>
          <w:tcPr>
            <w:tcW w:w="1710" w:type="dxa"/>
            <w:shd w:val="clear" w:color="auto" w:fill="auto"/>
            <w:noWrap/>
            <w:vAlign w:val="center"/>
            <w:hideMark/>
          </w:tcPr>
          <w:p w14:paraId="0D6F2466" w14:textId="77777777" w:rsidR="006B728F" w:rsidRPr="00E36CE7" w:rsidRDefault="006B728F" w:rsidP="00C22819">
            <w:pPr>
              <w:pStyle w:val="tablastexto"/>
            </w:pPr>
            <w:r w:rsidRPr="00E36CE7">
              <w:t>CDC SAN BLAS</w:t>
            </w:r>
          </w:p>
        </w:tc>
        <w:tc>
          <w:tcPr>
            <w:tcW w:w="1440" w:type="dxa"/>
            <w:shd w:val="clear" w:color="auto" w:fill="auto"/>
            <w:noWrap/>
            <w:vAlign w:val="center"/>
            <w:hideMark/>
          </w:tcPr>
          <w:p w14:paraId="7BD41074"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11882336"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2EBB85D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B0A5DEC"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07C21841"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3C293048" w14:textId="77777777" w:rsidR="006B728F" w:rsidRPr="00E36CE7" w:rsidRDefault="006B728F" w:rsidP="00C22819">
            <w:pPr>
              <w:pStyle w:val="tablastexto"/>
            </w:pPr>
            <w:r w:rsidRPr="00E36CE7">
              <w:t>Sin iniciar</w:t>
            </w:r>
          </w:p>
        </w:tc>
      </w:tr>
      <w:tr w:rsidR="006B728F" w:rsidRPr="00E36CE7" w14:paraId="2546BA8C" w14:textId="77777777" w:rsidTr="00945BCE">
        <w:trPr>
          <w:trHeight w:val="1417"/>
        </w:trPr>
        <w:tc>
          <w:tcPr>
            <w:tcW w:w="1710" w:type="dxa"/>
            <w:shd w:val="clear" w:color="auto" w:fill="auto"/>
            <w:noWrap/>
            <w:vAlign w:val="center"/>
            <w:hideMark/>
          </w:tcPr>
          <w:p w14:paraId="6B0C806F" w14:textId="77777777" w:rsidR="006B728F" w:rsidRPr="00E36CE7" w:rsidRDefault="006B728F" w:rsidP="00C22819">
            <w:pPr>
              <w:pStyle w:val="tablastexto"/>
            </w:pPr>
            <w:r w:rsidRPr="00E36CE7">
              <w:lastRenderedPageBreak/>
              <w:t>CDC SANTA HELENITA</w:t>
            </w:r>
          </w:p>
        </w:tc>
        <w:tc>
          <w:tcPr>
            <w:tcW w:w="1440" w:type="dxa"/>
            <w:shd w:val="clear" w:color="auto" w:fill="auto"/>
            <w:noWrap/>
            <w:vAlign w:val="center"/>
            <w:hideMark/>
          </w:tcPr>
          <w:p w14:paraId="59A81484"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2027DEE7"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349EFA51"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51F5CA52"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5D5F7DE9"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336E307B" w14:textId="77777777" w:rsidR="006B728F" w:rsidRPr="00E36CE7" w:rsidRDefault="006B728F" w:rsidP="00C22819">
            <w:pPr>
              <w:pStyle w:val="tablastexto"/>
            </w:pPr>
            <w:r w:rsidRPr="00E36CE7">
              <w:t>Sin iniciar</w:t>
            </w:r>
          </w:p>
        </w:tc>
      </w:tr>
      <w:tr w:rsidR="006B728F" w:rsidRPr="00E36CE7" w14:paraId="7D981D3C" w14:textId="77777777" w:rsidTr="00945BCE">
        <w:trPr>
          <w:trHeight w:val="1417"/>
        </w:trPr>
        <w:tc>
          <w:tcPr>
            <w:tcW w:w="1710" w:type="dxa"/>
            <w:shd w:val="clear" w:color="auto" w:fill="auto"/>
            <w:noWrap/>
            <w:vAlign w:val="center"/>
            <w:hideMark/>
          </w:tcPr>
          <w:p w14:paraId="256F5ADD" w14:textId="77777777" w:rsidR="006B728F" w:rsidRPr="00E36CE7" w:rsidRDefault="006B728F" w:rsidP="00C22819">
            <w:pPr>
              <w:pStyle w:val="tablastexto"/>
            </w:pPr>
            <w:r w:rsidRPr="00E36CE7">
              <w:t>FUTURA COMISARIA DE FAMILIA LA CANDELARIA - LA CASONA</w:t>
            </w:r>
          </w:p>
        </w:tc>
        <w:tc>
          <w:tcPr>
            <w:tcW w:w="1440" w:type="dxa"/>
            <w:shd w:val="clear" w:color="auto" w:fill="auto"/>
            <w:noWrap/>
            <w:vAlign w:val="center"/>
            <w:hideMark/>
          </w:tcPr>
          <w:p w14:paraId="3BFD8722"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835FBB2"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1A059510"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3343F88"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66763180" w14:textId="77777777" w:rsidR="006B728F" w:rsidRPr="00E36CE7" w:rsidRDefault="006B728F" w:rsidP="00C22819">
            <w:pPr>
              <w:pStyle w:val="tablastexto"/>
            </w:pPr>
            <w:r w:rsidRPr="00E36CE7">
              <w:t>Secretaría Distrital de Integración Social</w:t>
            </w:r>
          </w:p>
        </w:tc>
        <w:tc>
          <w:tcPr>
            <w:tcW w:w="1381" w:type="dxa"/>
            <w:shd w:val="clear" w:color="auto" w:fill="auto"/>
            <w:noWrap/>
            <w:vAlign w:val="center"/>
            <w:hideMark/>
          </w:tcPr>
          <w:p w14:paraId="5F55E752" w14:textId="77777777" w:rsidR="006B728F" w:rsidRPr="00E36CE7" w:rsidRDefault="006B728F" w:rsidP="00C22819">
            <w:pPr>
              <w:pStyle w:val="tablastexto"/>
            </w:pPr>
            <w:r w:rsidRPr="00E36CE7">
              <w:t>Estudios y diseños</w:t>
            </w:r>
          </w:p>
        </w:tc>
      </w:tr>
      <w:tr w:rsidR="006B728F" w:rsidRPr="00E36CE7" w14:paraId="55D49A69" w14:textId="77777777" w:rsidTr="00945BCE">
        <w:trPr>
          <w:trHeight w:val="1417"/>
        </w:trPr>
        <w:tc>
          <w:tcPr>
            <w:tcW w:w="1710" w:type="dxa"/>
            <w:shd w:val="clear" w:color="auto" w:fill="auto"/>
            <w:noWrap/>
            <w:vAlign w:val="center"/>
            <w:hideMark/>
          </w:tcPr>
          <w:p w14:paraId="4FA68EF1" w14:textId="77777777" w:rsidR="006B728F" w:rsidRPr="00E36CE7" w:rsidRDefault="006B728F" w:rsidP="00C22819">
            <w:pPr>
              <w:pStyle w:val="tablastexto"/>
            </w:pPr>
            <w:r w:rsidRPr="00E36CE7">
              <w:t>Hospital Nuevo Simón Bolívar</w:t>
            </w:r>
          </w:p>
        </w:tc>
        <w:tc>
          <w:tcPr>
            <w:tcW w:w="1440" w:type="dxa"/>
            <w:shd w:val="clear" w:color="auto" w:fill="auto"/>
            <w:noWrap/>
            <w:vAlign w:val="center"/>
            <w:hideMark/>
          </w:tcPr>
          <w:p w14:paraId="43C68F0A"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336A4428"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0EC57DF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97F0304"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28A37B75"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22C40A87" w14:textId="77777777" w:rsidR="006B728F" w:rsidRPr="00E36CE7" w:rsidRDefault="006B728F" w:rsidP="00C22819">
            <w:pPr>
              <w:pStyle w:val="tablastexto"/>
            </w:pPr>
            <w:r w:rsidRPr="00E36CE7">
              <w:t>Factibilidad</w:t>
            </w:r>
          </w:p>
        </w:tc>
      </w:tr>
      <w:tr w:rsidR="006B728F" w:rsidRPr="00E36CE7" w14:paraId="085A312B" w14:textId="77777777" w:rsidTr="00945BCE">
        <w:trPr>
          <w:trHeight w:val="1417"/>
        </w:trPr>
        <w:tc>
          <w:tcPr>
            <w:tcW w:w="1710" w:type="dxa"/>
            <w:shd w:val="clear" w:color="auto" w:fill="auto"/>
            <w:noWrap/>
            <w:vAlign w:val="center"/>
            <w:hideMark/>
          </w:tcPr>
          <w:p w14:paraId="58347EEB" w14:textId="77777777" w:rsidR="006B728F" w:rsidRPr="00E36CE7" w:rsidRDefault="006B728F" w:rsidP="00C22819">
            <w:pPr>
              <w:pStyle w:val="tablastexto"/>
            </w:pPr>
            <w:r w:rsidRPr="00E36CE7">
              <w:t>Centro de Salud UPL Arborizadora - Diseño, construcción y dotación del Centro de Salud 1</w:t>
            </w:r>
          </w:p>
        </w:tc>
        <w:tc>
          <w:tcPr>
            <w:tcW w:w="1440" w:type="dxa"/>
            <w:shd w:val="clear" w:color="auto" w:fill="auto"/>
            <w:noWrap/>
            <w:vAlign w:val="center"/>
            <w:hideMark/>
          </w:tcPr>
          <w:p w14:paraId="70F5CFDD"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213450F7"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6F12DAFC"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167EBC9"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4ACD49C6"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4093FCE8" w14:textId="77777777" w:rsidR="006B728F" w:rsidRPr="00E36CE7" w:rsidRDefault="006B728F" w:rsidP="00C22819">
            <w:pPr>
              <w:pStyle w:val="tablastexto"/>
            </w:pPr>
            <w:r w:rsidRPr="00E36CE7">
              <w:t>Prefactibilidad</w:t>
            </w:r>
          </w:p>
        </w:tc>
      </w:tr>
      <w:tr w:rsidR="006B728F" w:rsidRPr="00E36CE7" w14:paraId="276E79A8" w14:textId="77777777" w:rsidTr="00945BCE">
        <w:trPr>
          <w:trHeight w:val="1417"/>
        </w:trPr>
        <w:tc>
          <w:tcPr>
            <w:tcW w:w="1710" w:type="dxa"/>
            <w:shd w:val="clear" w:color="auto" w:fill="auto"/>
            <w:noWrap/>
            <w:vAlign w:val="center"/>
            <w:hideMark/>
          </w:tcPr>
          <w:p w14:paraId="071CECC8" w14:textId="77777777" w:rsidR="006B728F" w:rsidRPr="00E36CE7" w:rsidRDefault="006B728F" w:rsidP="00C22819">
            <w:pPr>
              <w:pStyle w:val="tablastexto"/>
            </w:pPr>
            <w:r w:rsidRPr="00E36CE7">
              <w:t>Hospital Bosa</w:t>
            </w:r>
          </w:p>
        </w:tc>
        <w:tc>
          <w:tcPr>
            <w:tcW w:w="1440" w:type="dxa"/>
            <w:shd w:val="clear" w:color="auto" w:fill="auto"/>
            <w:noWrap/>
            <w:vAlign w:val="center"/>
            <w:hideMark/>
          </w:tcPr>
          <w:p w14:paraId="7BB463EF"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526AB944"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63523FD7"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56808A6"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6320B792"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792F521F" w14:textId="77777777" w:rsidR="006B728F" w:rsidRPr="00E36CE7" w:rsidRDefault="006B728F" w:rsidP="00C22819">
            <w:pPr>
              <w:pStyle w:val="tablastexto"/>
            </w:pPr>
            <w:r w:rsidRPr="00E36CE7">
              <w:t>Obra (Terminada)</w:t>
            </w:r>
          </w:p>
        </w:tc>
      </w:tr>
      <w:tr w:rsidR="006B728F" w:rsidRPr="00E36CE7" w14:paraId="4E59C76F" w14:textId="77777777" w:rsidTr="00945BCE">
        <w:trPr>
          <w:trHeight w:val="1417"/>
        </w:trPr>
        <w:tc>
          <w:tcPr>
            <w:tcW w:w="1710" w:type="dxa"/>
            <w:shd w:val="clear" w:color="auto" w:fill="auto"/>
            <w:noWrap/>
            <w:vAlign w:val="center"/>
            <w:hideMark/>
          </w:tcPr>
          <w:p w14:paraId="543DE863" w14:textId="77777777" w:rsidR="006B728F" w:rsidRPr="00E36CE7" w:rsidRDefault="006B728F" w:rsidP="00C22819">
            <w:pPr>
              <w:pStyle w:val="tablastexto"/>
            </w:pPr>
            <w:r w:rsidRPr="00E36CE7">
              <w:t>Hospital de Engativá</w:t>
            </w:r>
          </w:p>
        </w:tc>
        <w:tc>
          <w:tcPr>
            <w:tcW w:w="1440" w:type="dxa"/>
            <w:shd w:val="clear" w:color="auto" w:fill="auto"/>
            <w:noWrap/>
            <w:vAlign w:val="center"/>
            <w:hideMark/>
          </w:tcPr>
          <w:p w14:paraId="66090D4E"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4506665"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1B74EA3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F4AECD1"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286BF2C8"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504DA903" w14:textId="77777777" w:rsidR="006B728F" w:rsidRPr="00E36CE7" w:rsidRDefault="006B728F" w:rsidP="00C22819">
            <w:pPr>
              <w:pStyle w:val="tablastexto"/>
            </w:pPr>
            <w:r w:rsidRPr="00E36CE7">
              <w:t>Estudios y diseños</w:t>
            </w:r>
          </w:p>
        </w:tc>
      </w:tr>
      <w:tr w:rsidR="006B728F" w:rsidRPr="00E36CE7" w14:paraId="6710BB7C" w14:textId="77777777" w:rsidTr="00945BCE">
        <w:trPr>
          <w:trHeight w:val="1417"/>
        </w:trPr>
        <w:tc>
          <w:tcPr>
            <w:tcW w:w="1710" w:type="dxa"/>
            <w:shd w:val="clear" w:color="auto" w:fill="auto"/>
            <w:noWrap/>
            <w:vAlign w:val="center"/>
            <w:hideMark/>
          </w:tcPr>
          <w:p w14:paraId="6544C404" w14:textId="77777777" w:rsidR="006B728F" w:rsidRPr="00E36CE7" w:rsidRDefault="006B728F" w:rsidP="00C22819">
            <w:pPr>
              <w:pStyle w:val="tablastexto"/>
            </w:pPr>
            <w:r w:rsidRPr="00E36CE7">
              <w:t>Hospital Fray Bartolomé de las Casas</w:t>
            </w:r>
          </w:p>
        </w:tc>
        <w:tc>
          <w:tcPr>
            <w:tcW w:w="1440" w:type="dxa"/>
            <w:shd w:val="clear" w:color="auto" w:fill="auto"/>
            <w:noWrap/>
            <w:vAlign w:val="center"/>
            <w:hideMark/>
          </w:tcPr>
          <w:p w14:paraId="1A20AD5D"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2A78F71"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2136C6E8"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4D7978A3"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4815F48F"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0D53E8A5" w14:textId="77777777" w:rsidR="006B728F" w:rsidRPr="00E36CE7" w:rsidRDefault="006B728F" w:rsidP="00C22819">
            <w:pPr>
              <w:pStyle w:val="tablastexto"/>
            </w:pPr>
            <w:r w:rsidRPr="00E36CE7">
              <w:t>Estudios y diseños</w:t>
            </w:r>
          </w:p>
        </w:tc>
      </w:tr>
      <w:tr w:rsidR="006B728F" w:rsidRPr="00E36CE7" w14:paraId="22995A15" w14:textId="77777777" w:rsidTr="00945BCE">
        <w:trPr>
          <w:trHeight w:val="1417"/>
        </w:trPr>
        <w:tc>
          <w:tcPr>
            <w:tcW w:w="1710" w:type="dxa"/>
            <w:shd w:val="clear" w:color="auto" w:fill="auto"/>
            <w:noWrap/>
            <w:vAlign w:val="center"/>
            <w:hideMark/>
          </w:tcPr>
          <w:p w14:paraId="07F57112" w14:textId="77777777" w:rsidR="006B728F" w:rsidRPr="00E36CE7" w:rsidRDefault="006B728F" w:rsidP="00C22819">
            <w:pPr>
              <w:pStyle w:val="tablastexto"/>
            </w:pPr>
            <w:r w:rsidRPr="00E36CE7">
              <w:lastRenderedPageBreak/>
              <w:t>Hospital La Victoria</w:t>
            </w:r>
          </w:p>
        </w:tc>
        <w:tc>
          <w:tcPr>
            <w:tcW w:w="1440" w:type="dxa"/>
            <w:shd w:val="clear" w:color="auto" w:fill="auto"/>
            <w:noWrap/>
            <w:vAlign w:val="center"/>
            <w:hideMark/>
          </w:tcPr>
          <w:p w14:paraId="6DFF7E07"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D92BF1C"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01BA9D05"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F26886E"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344CC5F8"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00539C21" w14:textId="77777777" w:rsidR="006B728F" w:rsidRPr="00E36CE7" w:rsidRDefault="006B728F" w:rsidP="00C22819">
            <w:pPr>
              <w:pStyle w:val="tablastexto"/>
            </w:pPr>
            <w:r w:rsidRPr="00E36CE7">
              <w:t>Estudios y diseños</w:t>
            </w:r>
          </w:p>
        </w:tc>
      </w:tr>
      <w:tr w:rsidR="006B728F" w:rsidRPr="00E36CE7" w14:paraId="71F309F0" w14:textId="77777777" w:rsidTr="00945BCE">
        <w:trPr>
          <w:trHeight w:val="1417"/>
        </w:trPr>
        <w:tc>
          <w:tcPr>
            <w:tcW w:w="1710" w:type="dxa"/>
            <w:shd w:val="clear" w:color="auto" w:fill="auto"/>
            <w:noWrap/>
            <w:vAlign w:val="center"/>
            <w:hideMark/>
          </w:tcPr>
          <w:p w14:paraId="7021A507" w14:textId="77777777" w:rsidR="006B728F" w:rsidRPr="00E36CE7" w:rsidRDefault="006B728F" w:rsidP="00C22819">
            <w:pPr>
              <w:pStyle w:val="tablastexto"/>
            </w:pPr>
            <w:r w:rsidRPr="00E36CE7">
              <w:t>Hospital San Blas</w:t>
            </w:r>
          </w:p>
        </w:tc>
        <w:tc>
          <w:tcPr>
            <w:tcW w:w="1440" w:type="dxa"/>
            <w:shd w:val="clear" w:color="auto" w:fill="auto"/>
            <w:noWrap/>
            <w:vAlign w:val="center"/>
            <w:hideMark/>
          </w:tcPr>
          <w:p w14:paraId="55C4FE1E"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0155B96B"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50B6DC4B"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122DF959"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08C390F2"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519C3D93" w14:textId="77777777" w:rsidR="006B728F" w:rsidRPr="00E36CE7" w:rsidRDefault="006B728F" w:rsidP="00C22819">
            <w:pPr>
              <w:pStyle w:val="tablastexto"/>
            </w:pPr>
            <w:r w:rsidRPr="00E36CE7">
              <w:t>Estudios y diseños</w:t>
            </w:r>
          </w:p>
        </w:tc>
      </w:tr>
      <w:tr w:rsidR="006B728F" w:rsidRPr="00E36CE7" w14:paraId="4ECF4E67" w14:textId="77777777" w:rsidTr="00945BCE">
        <w:trPr>
          <w:trHeight w:val="1417"/>
        </w:trPr>
        <w:tc>
          <w:tcPr>
            <w:tcW w:w="1710" w:type="dxa"/>
            <w:shd w:val="clear" w:color="auto" w:fill="auto"/>
            <w:noWrap/>
            <w:vAlign w:val="center"/>
            <w:hideMark/>
          </w:tcPr>
          <w:p w14:paraId="13D13EB7" w14:textId="77777777" w:rsidR="006B728F" w:rsidRPr="00E36CE7" w:rsidRDefault="006B728F" w:rsidP="00C22819">
            <w:pPr>
              <w:pStyle w:val="tablastexto"/>
            </w:pPr>
            <w:r w:rsidRPr="00E36CE7">
              <w:t>Hospital Tunal</w:t>
            </w:r>
          </w:p>
        </w:tc>
        <w:tc>
          <w:tcPr>
            <w:tcW w:w="1440" w:type="dxa"/>
            <w:shd w:val="clear" w:color="auto" w:fill="auto"/>
            <w:noWrap/>
            <w:vAlign w:val="center"/>
            <w:hideMark/>
          </w:tcPr>
          <w:p w14:paraId="5D5FB624"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3BDB5DBE"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69A8139E"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0058D2E"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2006166C"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2496F8B0" w14:textId="77777777" w:rsidR="006B728F" w:rsidRPr="00E36CE7" w:rsidRDefault="006B728F" w:rsidP="00C22819">
            <w:pPr>
              <w:pStyle w:val="tablastexto"/>
            </w:pPr>
            <w:r w:rsidRPr="00E36CE7">
              <w:t>Obra (Ejecución)</w:t>
            </w:r>
          </w:p>
        </w:tc>
      </w:tr>
      <w:tr w:rsidR="006B728F" w:rsidRPr="00E36CE7" w14:paraId="0EBF9600" w14:textId="77777777" w:rsidTr="00945BCE">
        <w:trPr>
          <w:trHeight w:val="1417"/>
        </w:trPr>
        <w:tc>
          <w:tcPr>
            <w:tcW w:w="1710" w:type="dxa"/>
            <w:shd w:val="clear" w:color="auto" w:fill="auto"/>
            <w:noWrap/>
            <w:vAlign w:val="center"/>
            <w:hideMark/>
          </w:tcPr>
          <w:p w14:paraId="01FFB6CA" w14:textId="77777777" w:rsidR="006B728F" w:rsidRPr="00E36CE7" w:rsidRDefault="006B728F" w:rsidP="00C22819">
            <w:pPr>
              <w:pStyle w:val="tablastexto"/>
            </w:pPr>
            <w:r w:rsidRPr="00E36CE7">
              <w:t>Nodo Complejo Hospitalario San Juan de Dios CHSJD y la Hortua</w:t>
            </w:r>
          </w:p>
        </w:tc>
        <w:tc>
          <w:tcPr>
            <w:tcW w:w="1440" w:type="dxa"/>
            <w:shd w:val="clear" w:color="auto" w:fill="auto"/>
            <w:noWrap/>
            <w:vAlign w:val="center"/>
            <w:hideMark/>
          </w:tcPr>
          <w:p w14:paraId="4A14100A"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EB8335C"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7B975E8F"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791383D0"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7CB4CA1B"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3EBA5E47" w14:textId="77777777" w:rsidR="006B728F" w:rsidRPr="00E36CE7" w:rsidRDefault="006B728F" w:rsidP="00C22819">
            <w:pPr>
              <w:pStyle w:val="tablastexto"/>
            </w:pPr>
            <w:r w:rsidRPr="00E36CE7">
              <w:t>Estudios y diseños</w:t>
            </w:r>
          </w:p>
        </w:tc>
      </w:tr>
      <w:tr w:rsidR="006B728F" w:rsidRPr="00E36CE7" w14:paraId="19344E62" w14:textId="77777777" w:rsidTr="00945BCE">
        <w:trPr>
          <w:trHeight w:val="1252"/>
        </w:trPr>
        <w:tc>
          <w:tcPr>
            <w:tcW w:w="1710" w:type="dxa"/>
            <w:shd w:val="clear" w:color="auto" w:fill="auto"/>
            <w:noWrap/>
            <w:vAlign w:val="center"/>
            <w:hideMark/>
          </w:tcPr>
          <w:p w14:paraId="66EA270F" w14:textId="77777777" w:rsidR="006B728F" w:rsidRPr="00E36CE7" w:rsidRDefault="006B728F" w:rsidP="00C22819">
            <w:pPr>
              <w:pStyle w:val="tablastexto"/>
            </w:pPr>
            <w:r w:rsidRPr="00E36CE7">
              <w:t>Centro de salud Mental</w:t>
            </w:r>
          </w:p>
        </w:tc>
        <w:tc>
          <w:tcPr>
            <w:tcW w:w="1440" w:type="dxa"/>
            <w:shd w:val="clear" w:color="auto" w:fill="auto"/>
            <w:noWrap/>
            <w:vAlign w:val="center"/>
            <w:hideMark/>
          </w:tcPr>
          <w:p w14:paraId="3FE958F8"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7606F8DC" w14:textId="77777777" w:rsidR="006B728F" w:rsidRPr="00E36CE7" w:rsidRDefault="006B728F" w:rsidP="00C22819">
            <w:pPr>
              <w:pStyle w:val="tablastexto"/>
            </w:pPr>
            <w:r w:rsidRPr="00E36CE7">
              <w:t>4. Subprograma de promoción de áreas de servicios sociales para el cuidado</w:t>
            </w:r>
          </w:p>
        </w:tc>
        <w:tc>
          <w:tcPr>
            <w:tcW w:w="1350" w:type="dxa"/>
            <w:shd w:val="clear" w:color="auto" w:fill="auto"/>
            <w:noWrap/>
            <w:vAlign w:val="center"/>
            <w:hideMark/>
          </w:tcPr>
          <w:p w14:paraId="0485F6CD"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2259D916"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6BE9E6D3"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07491196" w14:textId="77777777" w:rsidR="006B728F" w:rsidRPr="00E36CE7" w:rsidRDefault="006B728F" w:rsidP="00C22819">
            <w:pPr>
              <w:pStyle w:val="tablastexto"/>
            </w:pPr>
            <w:r w:rsidRPr="00E36CE7">
              <w:t>Estudios y diseños</w:t>
            </w:r>
          </w:p>
        </w:tc>
      </w:tr>
      <w:tr w:rsidR="006B728F" w:rsidRPr="00E36CE7" w14:paraId="1FFD4C3B" w14:textId="77777777" w:rsidTr="00945BCE">
        <w:trPr>
          <w:trHeight w:val="961"/>
        </w:trPr>
        <w:tc>
          <w:tcPr>
            <w:tcW w:w="1710" w:type="dxa"/>
            <w:shd w:val="clear" w:color="auto" w:fill="auto"/>
            <w:noWrap/>
            <w:vAlign w:val="center"/>
            <w:hideMark/>
          </w:tcPr>
          <w:p w14:paraId="06AFC37F" w14:textId="77777777" w:rsidR="006B728F" w:rsidRPr="00E36CE7" w:rsidRDefault="006B728F" w:rsidP="00C22819">
            <w:pPr>
              <w:pStyle w:val="tablastexto"/>
            </w:pPr>
            <w:r w:rsidRPr="00E36CE7">
              <w:t>Centro de salud Nazareth- Rural</w:t>
            </w:r>
          </w:p>
        </w:tc>
        <w:tc>
          <w:tcPr>
            <w:tcW w:w="1440" w:type="dxa"/>
            <w:shd w:val="clear" w:color="auto" w:fill="auto"/>
            <w:noWrap/>
            <w:vAlign w:val="center"/>
            <w:hideMark/>
          </w:tcPr>
          <w:p w14:paraId="1FEB93F7"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2B982061" w14:textId="77777777" w:rsidR="006B728F" w:rsidRPr="00E36CE7" w:rsidRDefault="006B728F" w:rsidP="00C22819">
            <w:pPr>
              <w:pStyle w:val="tablastexto"/>
            </w:pPr>
            <w:r w:rsidRPr="00E36CE7">
              <w:t>5. Subprograma Fortalecimiento de equipamientos rurales en núcleo</w:t>
            </w:r>
          </w:p>
        </w:tc>
        <w:tc>
          <w:tcPr>
            <w:tcW w:w="1350" w:type="dxa"/>
            <w:shd w:val="clear" w:color="auto" w:fill="auto"/>
            <w:noWrap/>
            <w:vAlign w:val="center"/>
            <w:hideMark/>
          </w:tcPr>
          <w:p w14:paraId="061F052E"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F166450"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49135084"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0504B0BF" w14:textId="77777777" w:rsidR="006B728F" w:rsidRPr="00E36CE7" w:rsidRDefault="006B728F" w:rsidP="00C22819">
            <w:pPr>
              <w:pStyle w:val="tablastexto"/>
            </w:pPr>
            <w:r w:rsidRPr="00E36CE7">
              <w:t>Estudios y diseños</w:t>
            </w:r>
          </w:p>
        </w:tc>
      </w:tr>
      <w:tr w:rsidR="006B728F" w:rsidRPr="00E36CE7" w14:paraId="2A8E55A9" w14:textId="77777777" w:rsidTr="00945BCE">
        <w:trPr>
          <w:trHeight w:val="1125"/>
        </w:trPr>
        <w:tc>
          <w:tcPr>
            <w:tcW w:w="1710" w:type="dxa"/>
            <w:shd w:val="clear" w:color="auto" w:fill="auto"/>
            <w:noWrap/>
            <w:vAlign w:val="center"/>
            <w:hideMark/>
          </w:tcPr>
          <w:p w14:paraId="536239CA" w14:textId="77777777" w:rsidR="006B728F" w:rsidRPr="00E36CE7" w:rsidRDefault="006B728F" w:rsidP="00C22819">
            <w:pPr>
              <w:pStyle w:val="tablastexto"/>
            </w:pPr>
            <w:r w:rsidRPr="00E36CE7">
              <w:t>Centro de salud San Juan de Sumapaz - Rural</w:t>
            </w:r>
          </w:p>
        </w:tc>
        <w:tc>
          <w:tcPr>
            <w:tcW w:w="1440" w:type="dxa"/>
            <w:shd w:val="clear" w:color="auto" w:fill="auto"/>
            <w:noWrap/>
            <w:vAlign w:val="center"/>
            <w:hideMark/>
          </w:tcPr>
          <w:p w14:paraId="7A4FE9B9" w14:textId="77777777" w:rsidR="006B728F" w:rsidRPr="00E36CE7" w:rsidRDefault="006B728F" w:rsidP="00C22819">
            <w:pPr>
              <w:pStyle w:val="tablastexto"/>
            </w:pPr>
            <w:r w:rsidRPr="00E36CE7">
              <w:t>3. Programa Vitalidad y cuidado</w:t>
            </w:r>
          </w:p>
        </w:tc>
        <w:tc>
          <w:tcPr>
            <w:tcW w:w="1890" w:type="dxa"/>
            <w:shd w:val="clear" w:color="auto" w:fill="auto"/>
            <w:noWrap/>
            <w:vAlign w:val="center"/>
            <w:hideMark/>
          </w:tcPr>
          <w:p w14:paraId="66C65B43" w14:textId="77777777" w:rsidR="006B728F" w:rsidRPr="00E36CE7" w:rsidRDefault="006B728F" w:rsidP="00C22819">
            <w:pPr>
              <w:pStyle w:val="tablastexto"/>
            </w:pPr>
            <w:r w:rsidRPr="00E36CE7">
              <w:t>5. Subprograma Fortalecimiento de equipamientos rurales en núcleo</w:t>
            </w:r>
          </w:p>
        </w:tc>
        <w:tc>
          <w:tcPr>
            <w:tcW w:w="1350" w:type="dxa"/>
            <w:shd w:val="clear" w:color="auto" w:fill="auto"/>
            <w:noWrap/>
            <w:vAlign w:val="center"/>
            <w:hideMark/>
          </w:tcPr>
          <w:p w14:paraId="62A7F952" w14:textId="77777777" w:rsidR="006B728F" w:rsidRPr="00E36CE7" w:rsidRDefault="006B728F" w:rsidP="00C22819">
            <w:pPr>
              <w:pStyle w:val="tablastexto"/>
            </w:pPr>
            <w:r w:rsidRPr="00E36CE7">
              <w:t>4.Bogotá ordena su territorio y avanza en su acción climática</w:t>
            </w:r>
          </w:p>
        </w:tc>
        <w:tc>
          <w:tcPr>
            <w:tcW w:w="1350" w:type="dxa"/>
            <w:shd w:val="clear" w:color="auto" w:fill="auto"/>
            <w:noWrap/>
            <w:vAlign w:val="center"/>
            <w:hideMark/>
          </w:tcPr>
          <w:p w14:paraId="6114B2C7" w14:textId="77777777" w:rsidR="006B728F" w:rsidRPr="00E36CE7" w:rsidRDefault="006B728F" w:rsidP="00C22819">
            <w:pPr>
              <w:pStyle w:val="tablastexto"/>
            </w:pPr>
            <w:r w:rsidRPr="00E36CE7">
              <w:t>4.30. atención del déficit social para un hábitat digno</w:t>
            </w:r>
          </w:p>
        </w:tc>
        <w:tc>
          <w:tcPr>
            <w:tcW w:w="1350" w:type="dxa"/>
            <w:shd w:val="clear" w:color="auto" w:fill="auto"/>
            <w:noWrap/>
            <w:vAlign w:val="center"/>
            <w:hideMark/>
          </w:tcPr>
          <w:p w14:paraId="721B5D06" w14:textId="77777777" w:rsidR="006B728F" w:rsidRPr="00E36CE7" w:rsidRDefault="006B728F" w:rsidP="00C22819">
            <w:pPr>
              <w:pStyle w:val="tablastexto"/>
            </w:pPr>
            <w:r w:rsidRPr="00E36CE7">
              <w:t>Secretaría Distrital de Salud</w:t>
            </w:r>
          </w:p>
        </w:tc>
        <w:tc>
          <w:tcPr>
            <w:tcW w:w="1381" w:type="dxa"/>
            <w:shd w:val="clear" w:color="auto" w:fill="auto"/>
            <w:noWrap/>
            <w:vAlign w:val="center"/>
            <w:hideMark/>
          </w:tcPr>
          <w:p w14:paraId="1ECC9C21" w14:textId="77777777" w:rsidR="006B728F" w:rsidRPr="00E36CE7" w:rsidRDefault="006B728F" w:rsidP="00C22819">
            <w:pPr>
              <w:pStyle w:val="tablastexto"/>
            </w:pPr>
            <w:r w:rsidRPr="00E36CE7">
              <w:t>Estudios y diseños</w:t>
            </w:r>
          </w:p>
        </w:tc>
      </w:tr>
    </w:tbl>
    <w:p w14:paraId="0BE78830" w14:textId="21C14826" w:rsidR="006B728F" w:rsidRDefault="006B728F" w:rsidP="00C91C74">
      <w:pPr>
        <w:rPr>
          <w:b/>
          <w:bCs/>
        </w:rPr>
      </w:pPr>
    </w:p>
    <w:p w14:paraId="0EF9A363" w14:textId="19FDCEAE" w:rsidR="00D10FD4" w:rsidRDefault="00D10FD4" w:rsidP="00C91C74">
      <w:pPr>
        <w:rPr>
          <w:b/>
          <w:bCs/>
        </w:rPr>
      </w:pPr>
    </w:p>
    <w:p w14:paraId="38EEA827" w14:textId="36B5A9D3" w:rsidR="00D10FD4" w:rsidRDefault="00D10FD4" w:rsidP="00C91C74">
      <w:pPr>
        <w:rPr>
          <w:b/>
          <w:bCs/>
        </w:rPr>
      </w:pPr>
    </w:p>
    <w:p w14:paraId="7240CC54" w14:textId="3AEBBA10" w:rsidR="00D10FD4" w:rsidRDefault="00D10FD4" w:rsidP="00C91C74">
      <w:pPr>
        <w:rPr>
          <w:b/>
          <w:bCs/>
        </w:rPr>
      </w:pPr>
    </w:p>
    <w:p w14:paraId="004DC1EC" w14:textId="42152080" w:rsidR="00D10FD4" w:rsidRDefault="00D10FD4" w:rsidP="00C91C74">
      <w:pPr>
        <w:rPr>
          <w:b/>
          <w:bCs/>
        </w:rPr>
      </w:pPr>
    </w:p>
    <w:p w14:paraId="3F8C96F5" w14:textId="0F880FAC" w:rsidR="00D10FD4" w:rsidRDefault="00D10FD4" w:rsidP="00C91C74">
      <w:pPr>
        <w:rPr>
          <w:b/>
          <w:bCs/>
        </w:rPr>
      </w:pPr>
    </w:p>
    <w:p w14:paraId="257248AF" w14:textId="77777777" w:rsidR="009C5901" w:rsidRDefault="009C5901">
      <w:pPr>
        <w:spacing w:line="240" w:lineRule="auto"/>
        <w:jc w:val="left"/>
        <w:rPr>
          <w:rStyle w:val="Textoennegrita"/>
        </w:rPr>
      </w:pPr>
      <w:r>
        <w:rPr>
          <w:rStyle w:val="Textoennegrita"/>
        </w:rPr>
        <w:br w:type="page"/>
      </w:r>
    </w:p>
    <w:p w14:paraId="4C605647" w14:textId="69816E53" w:rsidR="006B728F" w:rsidRDefault="006B728F" w:rsidP="000274A7">
      <w:pPr>
        <w:jc w:val="center"/>
        <w:rPr>
          <w:b/>
          <w:bCs/>
          <w:color w:val="000000"/>
        </w:rPr>
      </w:pPr>
      <w:r w:rsidRPr="00D3674C">
        <w:rPr>
          <w:rStyle w:val="Textoennegrita"/>
        </w:rPr>
        <w:lastRenderedPageBreak/>
        <w:t>Objetivo 7</w:t>
      </w:r>
      <w:r w:rsidR="000274A7">
        <w:rPr>
          <w:rStyle w:val="Textoennegrita"/>
        </w:rPr>
        <w:t>.</w:t>
      </w:r>
      <w:r w:rsidRPr="00E36CE7">
        <w:rPr>
          <w:b/>
          <w:bCs/>
          <w:color w:val="000000"/>
        </w:rPr>
        <w:t xml:space="preserve"> </w:t>
      </w:r>
      <w:r w:rsidRPr="000274A7">
        <w:rPr>
          <w:b/>
          <w:bCs/>
        </w:rPr>
        <w:t>Alcanzar el Desarrollo Rural Sostenible</w:t>
      </w:r>
    </w:p>
    <w:p w14:paraId="26DACE84" w14:textId="77777777" w:rsidR="006B728F" w:rsidRPr="00E36CE7" w:rsidRDefault="006B728F" w:rsidP="00C91C74">
      <w:pPr>
        <w:rPr>
          <w:b/>
          <w:bCs/>
          <w:color w:val="000000"/>
        </w:rPr>
      </w:pPr>
    </w:p>
    <w:tbl>
      <w:tblPr>
        <w:tblW w:w="10345" w:type="dxa"/>
        <w:tblInd w:w="-540" w:type="dxa"/>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1620"/>
        <w:gridCol w:w="1530"/>
        <w:gridCol w:w="1941"/>
        <w:gridCol w:w="1417"/>
        <w:gridCol w:w="1418"/>
        <w:gridCol w:w="1289"/>
        <w:gridCol w:w="1130"/>
      </w:tblGrid>
      <w:tr w:rsidR="006B728F" w:rsidRPr="00E36CE7" w14:paraId="43FBFAA3" w14:textId="77777777" w:rsidTr="000274A7">
        <w:trPr>
          <w:trHeight w:val="1417"/>
          <w:tblHeader/>
        </w:trPr>
        <w:tc>
          <w:tcPr>
            <w:tcW w:w="1620" w:type="dxa"/>
            <w:shd w:val="clear" w:color="auto" w:fill="C00000"/>
            <w:vAlign w:val="center"/>
            <w:hideMark/>
          </w:tcPr>
          <w:p w14:paraId="333166EF" w14:textId="77777777" w:rsidR="006B728F" w:rsidRPr="00D3674C" w:rsidRDefault="006B728F" w:rsidP="00D3674C">
            <w:pPr>
              <w:jc w:val="center"/>
              <w:rPr>
                <w:b/>
                <w:bCs/>
                <w:color w:val="FFFFFF" w:themeColor="background1"/>
              </w:rPr>
            </w:pPr>
            <w:r w:rsidRPr="00D3674C">
              <w:rPr>
                <w:b/>
                <w:bCs/>
                <w:color w:val="FFFFFF" w:themeColor="background1"/>
              </w:rPr>
              <w:t>Nombre del proyecto POT</w:t>
            </w:r>
          </w:p>
        </w:tc>
        <w:tc>
          <w:tcPr>
            <w:tcW w:w="1530" w:type="dxa"/>
            <w:shd w:val="clear" w:color="auto" w:fill="C00000"/>
            <w:vAlign w:val="center"/>
            <w:hideMark/>
          </w:tcPr>
          <w:p w14:paraId="0946B585" w14:textId="77777777" w:rsidR="006B728F" w:rsidRPr="00D3674C" w:rsidRDefault="006B728F" w:rsidP="00D3674C">
            <w:pPr>
              <w:jc w:val="center"/>
              <w:rPr>
                <w:b/>
                <w:bCs/>
                <w:color w:val="FFFFFF" w:themeColor="background1"/>
              </w:rPr>
            </w:pPr>
            <w:r w:rsidRPr="00D3674C">
              <w:rPr>
                <w:b/>
                <w:bCs/>
                <w:color w:val="FFFFFF" w:themeColor="background1"/>
              </w:rPr>
              <w:t>Programa POT</w:t>
            </w:r>
          </w:p>
        </w:tc>
        <w:tc>
          <w:tcPr>
            <w:tcW w:w="1941" w:type="dxa"/>
            <w:shd w:val="clear" w:color="auto" w:fill="C00000"/>
            <w:vAlign w:val="center"/>
            <w:hideMark/>
          </w:tcPr>
          <w:p w14:paraId="78AE68DC" w14:textId="77777777" w:rsidR="006B728F" w:rsidRPr="00D3674C" w:rsidRDefault="006B728F" w:rsidP="00D3674C">
            <w:pPr>
              <w:jc w:val="center"/>
              <w:rPr>
                <w:b/>
                <w:bCs/>
                <w:color w:val="FFFFFF" w:themeColor="background1"/>
              </w:rPr>
            </w:pPr>
            <w:r w:rsidRPr="00D3674C">
              <w:rPr>
                <w:b/>
                <w:bCs/>
                <w:color w:val="FFFFFF" w:themeColor="background1"/>
              </w:rPr>
              <w:t>Subprograma POT</w:t>
            </w:r>
          </w:p>
        </w:tc>
        <w:tc>
          <w:tcPr>
            <w:tcW w:w="1417" w:type="dxa"/>
            <w:shd w:val="clear" w:color="auto" w:fill="C00000"/>
            <w:vAlign w:val="center"/>
            <w:hideMark/>
          </w:tcPr>
          <w:p w14:paraId="55F9ACF1" w14:textId="77777777" w:rsidR="006B728F" w:rsidRPr="00D3674C" w:rsidRDefault="006B728F" w:rsidP="00D3674C">
            <w:pPr>
              <w:jc w:val="center"/>
              <w:rPr>
                <w:b/>
                <w:bCs/>
                <w:color w:val="FFFFFF" w:themeColor="background1"/>
              </w:rPr>
            </w:pPr>
            <w:r w:rsidRPr="00D3674C">
              <w:rPr>
                <w:b/>
                <w:bCs/>
                <w:color w:val="FFFFFF" w:themeColor="background1"/>
              </w:rPr>
              <w:t>Objetivo PDD 2024 - 2027</w:t>
            </w:r>
          </w:p>
        </w:tc>
        <w:tc>
          <w:tcPr>
            <w:tcW w:w="1418" w:type="dxa"/>
            <w:shd w:val="clear" w:color="auto" w:fill="C00000"/>
            <w:vAlign w:val="center"/>
            <w:hideMark/>
          </w:tcPr>
          <w:p w14:paraId="666C7E7A" w14:textId="77777777" w:rsidR="006B728F" w:rsidRPr="00D3674C" w:rsidRDefault="006B728F" w:rsidP="00D3674C">
            <w:pPr>
              <w:jc w:val="center"/>
              <w:rPr>
                <w:b/>
                <w:bCs/>
                <w:color w:val="FFFFFF" w:themeColor="background1"/>
              </w:rPr>
            </w:pPr>
            <w:r w:rsidRPr="00D3674C">
              <w:rPr>
                <w:b/>
                <w:bCs/>
                <w:color w:val="FFFFFF" w:themeColor="background1"/>
              </w:rPr>
              <w:t>Programa PDD 2024 - 2027</w:t>
            </w:r>
          </w:p>
        </w:tc>
        <w:tc>
          <w:tcPr>
            <w:tcW w:w="1289" w:type="dxa"/>
            <w:shd w:val="clear" w:color="auto" w:fill="C00000"/>
            <w:vAlign w:val="center"/>
            <w:hideMark/>
          </w:tcPr>
          <w:p w14:paraId="066DC395" w14:textId="77777777" w:rsidR="000274A7" w:rsidRDefault="006B728F" w:rsidP="00D3674C">
            <w:pPr>
              <w:jc w:val="center"/>
              <w:rPr>
                <w:b/>
                <w:bCs/>
                <w:color w:val="FFFFFF" w:themeColor="background1"/>
              </w:rPr>
            </w:pPr>
            <w:r w:rsidRPr="00D3674C">
              <w:rPr>
                <w:b/>
                <w:bCs/>
                <w:color w:val="FFFFFF" w:themeColor="background1"/>
              </w:rPr>
              <w:t>Entidad</w:t>
            </w:r>
          </w:p>
          <w:p w14:paraId="6B3D01DC" w14:textId="3BF4E9EB" w:rsidR="006B728F" w:rsidRPr="00D3674C" w:rsidRDefault="006B728F" w:rsidP="00D3674C">
            <w:pPr>
              <w:jc w:val="center"/>
              <w:rPr>
                <w:b/>
                <w:bCs/>
                <w:color w:val="FFFFFF" w:themeColor="background1"/>
              </w:rPr>
            </w:pPr>
            <w:r w:rsidRPr="00D3674C">
              <w:rPr>
                <w:b/>
                <w:bCs/>
                <w:color w:val="FFFFFF" w:themeColor="background1"/>
              </w:rPr>
              <w:t>responsable</w:t>
            </w:r>
          </w:p>
        </w:tc>
        <w:tc>
          <w:tcPr>
            <w:tcW w:w="1130" w:type="dxa"/>
            <w:shd w:val="clear" w:color="auto" w:fill="C00000"/>
            <w:vAlign w:val="center"/>
            <w:hideMark/>
          </w:tcPr>
          <w:p w14:paraId="1E7D3236" w14:textId="77777777" w:rsidR="006B728F" w:rsidRPr="00D3674C" w:rsidRDefault="006B728F" w:rsidP="00D3674C">
            <w:pPr>
              <w:jc w:val="center"/>
              <w:rPr>
                <w:b/>
                <w:bCs/>
                <w:color w:val="FFFFFF" w:themeColor="background1"/>
              </w:rPr>
            </w:pPr>
            <w:r w:rsidRPr="00D3674C">
              <w:rPr>
                <w:b/>
                <w:bCs/>
                <w:color w:val="FFFFFF" w:themeColor="background1"/>
              </w:rPr>
              <w:t>Etapa del proyecto POT</w:t>
            </w:r>
          </w:p>
        </w:tc>
      </w:tr>
      <w:tr w:rsidR="006B728F" w:rsidRPr="00E36CE7" w14:paraId="7BC3243D" w14:textId="77777777" w:rsidTr="00945BCE">
        <w:trPr>
          <w:trHeight w:val="1417"/>
        </w:trPr>
        <w:tc>
          <w:tcPr>
            <w:tcW w:w="1620" w:type="dxa"/>
            <w:shd w:val="clear" w:color="auto" w:fill="auto"/>
            <w:noWrap/>
            <w:vAlign w:val="center"/>
            <w:hideMark/>
          </w:tcPr>
          <w:p w14:paraId="34CB21D2" w14:textId="77777777" w:rsidR="006B728F" w:rsidRPr="00E36CE7" w:rsidRDefault="006B728F" w:rsidP="00D3674C">
            <w:pPr>
              <w:pStyle w:val="tablastexto"/>
            </w:pPr>
            <w:r w:rsidRPr="00E36CE7">
              <w:t>Modernización y expansión del alumbrado público en asentamientos humanos y vías locales y regionales de la ruralidad bogotana</w:t>
            </w:r>
          </w:p>
        </w:tc>
        <w:tc>
          <w:tcPr>
            <w:tcW w:w="1530" w:type="dxa"/>
            <w:shd w:val="clear" w:color="auto" w:fill="auto"/>
            <w:noWrap/>
            <w:vAlign w:val="center"/>
            <w:hideMark/>
          </w:tcPr>
          <w:p w14:paraId="6FDD50A0" w14:textId="77777777" w:rsidR="006B728F" w:rsidRPr="00E36CE7" w:rsidRDefault="006B728F" w:rsidP="00D3674C">
            <w:pPr>
              <w:pStyle w:val="tablastexto"/>
            </w:pPr>
            <w:r w:rsidRPr="00E36CE7">
              <w:t>5. Programa Territorios Productivos, Competitivos e innovadores</w:t>
            </w:r>
          </w:p>
        </w:tc>
        <w:tc>
          <w:tcPr>
            <w:tcW w:w="1941" w:type="dxa"/>
            <w:shd w:val="clear" w:color="auto" w:fill="auto"/>
            <w:noWrap/>
            <w:vAlign w:val="center"/>
            <w:hideMark/>
          </w:tcPr>
          <w:p w14:paraId="186AF414" w14:textId="77777777" w:rsidR="006B728F" w:rsidRPr="00E36CE7" w:rsidRDefault="006B728F" w:rsidP="00D3674C">
            <w:pPr>
              <w:pStyle w:val="tablastexto"/>
            </w:pPr>
            <w:r w:rsidRPr="00E36CE7">
              <w:t>4. Subprograma ruralidad productiva, sostenible e inclusiva</w:t>
            </w:r>
          </w:p>
        </w:tc>
        <w:tc>
          <w:tcPr>
            <w:tcW w:w="1417" w:type="dxa"/>
            <w:shd w:val="clear" w:color="auto" w:fill="auto"/>
            <w:noWrap/>
            <w:vAlign w:val="center"/>
            <w:hideMark/>
          </w:tcPr>
          <w:p w14:paraId="5A2250BF" w14:textId="77777777" w:rsidR="006B728F" w:rsidRPr="00E36CE7" w:rsidRDefault="006B728F" w:rsidP="00D3674C">
            <w:pPr>
              <w:pStyle w:val="tablastexto"/>
            </w:pPr>
            <w:r w:rsidRPr="00E36CE7">
              <w:t>4.Bogotá ordena su territorio y avanza en su acción climática</w:t>
            </w:r>
          </w:p>
        </w:tc>
        <w:tc>
          <w:tcPr>
            <w:tcW w:w="1418" w:type="dxa"/>
            <w:shd w:val="clear" w:color="auto" w:fill="auto"/>
            <w:noWrap/>
            <w:vAlign w:val="center"/>
            <w:hideMark/>
          </w:tcPr>
          <w:p w14:paraId="7180930A" w14:textId="77777777" w:rsidR="006B728F" w:rsidRPr="00E36CE7" w:rsidRDefault="006B728F" w:rsidP="00D3674C">
            <w:pPr>
              <w:pStyle w:val="tablastexto"/>
            </w:pPr>
            <w:r w:rsidRPr="00E36CE7">
              <w:t>4.25. Aumento de la resiliencia al cambio climático y reducción de la vulnerabilidad</w:t>
            </w:r>
          </w:p>
        </w:tc>
        <w:tc>
          <w:tcPr>
            <w:tcW w:w="1289" w:type="dxa"/>
            <w:shd w:val="clear" w:color="auto" w:fill="auto"/>
            <w:noWrap/>
            <w:vAlign w:val="center"/>
            <w:hideMark/>
          </w:tcPr>
          <w:p w14:paraId="6C95D6CC" w14:textId="77777777" w:rsidR="006B728F" w:rsidRPr="00E36CE7" w:rsidRDefault="006B728F" w:rsidP="00D3674C">
            <w:pPr>
              <w:pStyle w:val="tablastexto"/>
            </w:pPr>
            <w:r w:rsidRPr="00E36CE7">
              <w:t>Unidad Administrativa Especial de Servicios Públicos - UAESP</w:t>
            </w:r>
          </w:p>
        </w:tc>
        <w:tc>
          <w:tcPr>
            <w:tcW w:w="1130" w:type="dxa"/>
            <w:shd w:val="clear" w:color="auto" w:fill="auto"/>
            <w:noWrap/>
            <w:vAlign w:val="center"/>
            <w:hideMark/>
          </w:tcPr>
          <w:p w14:paraId="4B5E4D2A" w14:textId="77777777" w:rsidR="006B728F" w:rsidRPr="00E36CE7" w:rsidRDefault="006B728F" w:rsidP="00D3674C">
            <w:pPr>
              <w:pStyle w:val="tablastexto"/>
            </w:pPr>
            <w:r w:rsidRPr="00E36CE7">
              <w:t>En Implementación</w:t>
            </w:r>
          </w:p>
        </w:tc>
      </w:tr>
      <w:tr w:rsidR="006B728F" w:rsidRPr="00E36CE7" w14:paraId="30986592" w14:textId="77777777" w:rsidTr="00945BCE">
        <w:trPr>
          <w:trHeight w:val="1417"/>
        </w:trPr>
        <w:tc>
          <w:tcPr>
            <w:tcW w:w="1620" w:type="dxa"/>
            <w:shd w:val="clear" w:color="auto" w:fill="auto"/>
            <w:noWrap/>
            <w:vAlign w:val="center"/>
            <w:hideMark/>
          </w:tcPr>
          <w:p w14:paraId="08522C27" w14:textId="77777777" w:rsidR="006B728F" w:rsidRPr="00E36CE7" w:rsidRDefault="006B728F" w:rsidP="00D3674C">
            <w:pPr>
              <w:pStyle w:val="tablastexto"/>
            </w:pPr>
            <w:r w:rsidRPr="00E36CE7">
              <w:t>Malla Vial Rural - Salida a la Calera por el norte, sector barrio el Codito entre la Calle 188 y el límite con el municipio de la Calera.</w:t>
            </w:r>
          </w:p>
        </w:tc>
        <w:tc>
          <w:tcPr>
            <w:tcW w:w="1530" w:type="dxa"/>
            <w:shd w:val="clear" w:color="auto" w:fill="auto"/>
            <w:noWrap/>
            <w:vAlign w:val="center"/>
            <w:hideMark/>
          </w:tcPr>
          <w:p w14:paraId="53748E89" w14:textId="77777777" w:rsidR="006B728F" w:rsidRPr="00E36CE7" w:rsidRDefault="006B728F" w:rsidP="00D3674C">
            <w:pPr>
              <w:pStyle w:val="tablastexto"/>
            </w:pPr>
            <w:r w:rsidRPr="00E36CE7">
              <w:t>3. Programa Vitalidad y cuidado</w:t>
            </w:r>
          </w:p>
        </w:tc>
        <w:tc>
          <w:tcPr>
            <w:tcW w:w="1941" w:type="dxa"/>
            <w:shd w:val="clear" w:color="auto" w:fill="auto"/>
            <w:noWrap/>
            <w:vAlign w:val="center"/>
            <w:hideMark/>
          </w:tcPr>
          <w:p w14:paraId="398D0AB7" w14:textId="77777777" w:rsidR="006B728F" w:rsidRPr="00E36CE7" w:rsidRDefault="006B728F" w:rsidP="00D3674C">
            <w:pPr>
              <w:pStyle w:val="tablastexto"/>
            </w:pPr>
            <w:r w:rsidRPr="00E36CE7">
              <w:t>15. Subprograma mejoramiento de la malla vial rural</w:t>
            </w:r>
          </w:p>
        </w:tc>
        <w:tc>
          <w:tcPr>
            <w:tcW w:w="1417" w:type="dxa"/>
            <w:shd w:val="clear" w:color="auto" w:fill="auto"/>
            <w:noWrap/>
            <w:vAlign w:val="center"/>
            <w:hideMark/>
          </w:tcPr>
          <w:p w14:paraId="72E0EC5D" w14:textId="77777777" w:rsidR="006B728F" w:rsidRPr="00E36CE7" w:rsidRDefault="006B728F" w:rsidP="00D3674C">
            <w:pPr>
              <w:pStyle w:val="tablastexto"/>
            </w:pPr>
            <w:r w:rsidRPr="00E36CE7">
              <w:t>4.Bogotá ordena su territorio y avanza en su acción climática</w:t>
            </w:r>
          </w:p>
        </w:tc>
        <w:tc>
          <w:tcPr>
            <w:tcW w:w="1418" w:type="dxa"/>
            <w:shd w:val="clear" w:color="auto" w:fill="auto"/>
            <w:noWrap/>
            <w:vAlign w:val="center"/>
            <w:hideMark/>
          </w:tcPr>
          <w:p w14:paraId="39D89C7A" w14:textId="77777777" w:rsidR="006B728F" w:rsidRPr="00E36CE7" w:rsidRDefault="006B728F" w:rsidP="00D3674C">
            <w:pPr>
              <w:pStyle w:val="tablastexto"/>
            </w:pPr>
            <w:r w:rsidRPr="00E36CE7">
              <w:t>4.26. Movilidad Sostenible</w:t>
            </w:r>
          </w:p>
        </w:tc>
        <w:tc>
          <w:tcPr>
            <w:tcW w:w="1289" w:type="dxa"/>
            <w:shd w:val="clear" w:color="auto" w:fill="auto"/>
            <w:noWrap/>
            <w:vAlign w:val="center"/>
            <w:hideMark/>
          </w:tcPr>
          <w:p w14:paraId="45F7D55A" w14:textId="77777777" w:rsidR="006B728F" w:rsidRPr="00E36CE7" w:rsidRDefault="006B728F" w:rsidP="00D3674C">
            <w:pPr>
              <w:pStyle w:val="tablastexto"/>
            </w:pPr>
            <w:r w:rsidRPr="00E36CE7">
              <w:t>Instituto de Desarrollo Urbano – IDU</w:t>
            </w:r>
          </w:p>
        </w:tc>
        <w:tc>
          <w:tcPr>
            <w:tcW w:w="1130" w:type="dxa"/>
            <w:shd w:val="clear" w:color="auto" w:fill="auto"/>
            <w:noWrap/>
            <w:vAlign w:val="center"/>
            <w:hideMark/>
          </w:tcPr>
          <w:p w14:paraId="4FC0C027" w14:textId="77777777" w:rsidR="006B728F" w:rsidRPr="00E36CE7" w:rsidRDefault="006B728F" w:rsidP="00D3674C">
            <w:pPr>
              <w:pStyle w:val="tablastexto"/>
            </w:pPr>
            <w:r w:rsidRPr="00E36CE7">
              <w:t>En Idea</w:t>
            </w:r>
          </w:p>
        </w:tc>
      </w:tr>
      <w:tr w:rsidR="006B728F" w:rsidRPr="00E36CE7" w14:paraId="3291253E" w14:textId="77777777" w:rsidTr="00945BCE">
        <w:trPr>
          <w:trHeight w:val="1417"/>
        </w:trPr>
        <w:tc>
          <w:tcPr>
            <w:tcW w:w="1620" w:type="dxa"/>
            <w:shd w:val="clear" w:color="auto" w:fill="auto"/>
            <w:noWrap/>
            <w:vAlign w:val="center"/>
            <w:hideMark/>
          </w:tcPr>
          <w:p w14:paraId="617D5DDD" w14:textId="77777777" w:rsidR="006B728F" w:rsidRPr="00E36CE7" w:rsidRDefault="006B728F" w:rsidP="00D3674C">
            <w:pPr>
              <w:pStyle w:val="tablastexto"/>
            </w:pPr>
            <w:r w:rsidRPr="00E36CE7">
              <w:t>Gestión para la definición y adopción de la Unidad Agrícola Familiar (UAF) para el Distrito Capital</w:t>
            </w:r>
          </w:p>
        </w:tc>
        <w:tc>
          <w:tcPr>
            <w:tcW w:w="1530" w:type="dxa"/>
            <w:shd w:val="clear" w:color="auto" w:fill="auto"/>
            <w:noWrap/>
            <w:vAlign w:val="center"/>
            <w:hideMark/>
          </w:tcPr>
          <w:p w14:paraId="2186E099" w14:textId="77777777" w:rsidR="006B728F" w:rsidRPr="00E36CE7" w:rsidRDefault="006B728F" w:rsidP="00D3674C">
            <w:pPr>
              <w:pStyle w:val="tablastexto"/>
            </w:pPr>
            <w:r w:rsidRPr="00E36CE7">
              <w:t>5. Programa Territorios Productivos, Competitivos e innovadores</w:t>
            </w:r>
          </w:p>
        </w:tc>
        <w:tc>
          <w:tcPr>
            <w:tcW w:w="1941" w:type="dxa"/>
            <w:shd w:val="clear" w:color="auto" w:fill="auto"/>
            <w:noWrap/>
            <w:vAlign w:val="center"/>
            <w:hideMark/>
          </w:tcPr>
          <w:p w14:paraId="4E6303FB" w14:textId="77777777" w:rsidR="006B728F" w:rsidRPr="00E36CE7" w:rsidRDefault="006B728F" w:rsidP="00D3674C">
            <w:pPr>
              <w:pStyle w:val="tablastexto"/>
            </w:pPr>
            <w:r w:rsidRPr="00E36CE7">
              <w:t>4. Subprograma ruralidad productiva, sostenible e inclusiva</w:t>
            </w:r>
          </w:p>
        </w:tc>
        <w:tc>
          <w:tcPr>
            <w:tcW w:w="1417" w:type="dxa"/>
            <w:shd w:val="clear" w:color="auto" w:fill="auto"/>
            <w:noWrap/>
            <w:vAlign w:val="center"/>
            <w:hideMark/>
          </w:tcPr>
          <w:p w14:paraId="479C8914" w14:textId="77777777" w:rsidR="006B728F" w:rsidRPr="00E36CE7" w:rsidRDefault="006B728F" w:rsidP="00D3674C">
            <w:pPr>
              <w:pStyle w:val="tablastexto"/>
            </w:pPr>
            <w:r w:rsidRPr="00E36CE7">
              <w:t>4.Bogotá ordena su territorio y avanza en su acción climática</w:t>
            </w:r>
          </w:p>
        </w:tc>
        <w:tc>
          <w:tcPr>
            <w:tcW w:w="1418" w:type="dxa"/>
            <w:shd w:val="clear" w:color="auto" w:fill="auto"/>
            <w:noWrap/>
            <w:vAlign w:val="center"/>
            <w:hideMark/>
          </w:tcPr>
          <w:p w14:paraId="5B439663" w14:textId="77777777" w:rsidR="006B728F" w:rsidRPr="00E36CE7" w:rsidRDefault="006B728F" w:rsidP="00D3674C">
            <w:pPr>
              <w:pStyle w:val="tablastexto"/>
            </w:pPr>
            <w:r w:rsidRPr="00E36CE7">
              <w:t>4.23. Ordenamiento territorial sostenible, equilibrado y participativo</w:t>
            </w:r>
          </w:p>
        </w:tc>
        <w:tc>
          <w:tcPr>
            <w:tcW w:w="1289" w:type="dxa"/>
            <w:shd w:val="clear" w:color="auto" w:fill="auto"/>
            <w:noWrap/>
            <w:vAlign w:val="center"/>
            <w:hideMark/>
          </w:tcPr>
          <w:p w14:paraId="4AED30CD" w14:textId="77777777" w:rsidR="006B728F" w:rsidRPr="00E36CE7" w:rsidRDefault="006B728F" w:rsidP="00D3674C">
            <w:pPr>
              <w:pStyle w:val="tablastexto"/>
            </w:pPr>
            <w:r w:rsidRPr="00E36CE7">
              <w:t>Secretaría distrital de planeación</w:t>
            </w:r>
          </w:p>
        </w:tc>
        <w:tc>
          <w:tcPr>
            <w:tcW w:w="1130" w:type="dxa"/>
            <w:shd w:val="clear" w:color="auto" w:fill="auto"/>
            <w:noWrap/>
            <w:vAlign w:val="center"/>
            <w:hideMark/>
          </w:tcPr>
          <w:p w14:paraId="08760457" w14:textId="77777777" w:rsidR="006B728F" w:rsidRPr="00E36CE7" w:rsidRDefault="006B728F" w:rsidP="00D3674C">
            <w:pPr>
              <w:pStyle w:val="tablastexto"/>
            </w:pPr>
            <w:r w:rsidRPr="00E36CE7">
              <w:t>En Implementación</w:t>
            </w:r>
          </w:p>
        </w:tc>
      </w:tr>
      <w:tr w:rsidR="006B728F" w:rsidRPr="00E36CE7" w14:paraId="4EBB8693" w14:textId="77777777" w:rsidTr="00945BCE">
        <w:trPr>
          <w:trHeight w:val="1417"/>
        </w:trPr>
        <w:tc>
          <w:tcPr>
            <w:tcW w:w="1620" w:type="dxa"/>
            <w:shd w:val="clear" w:color="auto" w:fill="auto"/>
            <w:noWrap/>
            <w:vAlign w:val="center"/>
            <w:hideMark/>
          </w:tcPr>
          <w:p w14:paraId="054E98BD" w14:textId="77777777" w:rsidR="006B728F" w:rsidRPr="00E36CE7" w:rsidRDefault="006B728F" w:rsidP="00D3674C">
            <w:pPr>
              <w:pStyle w:val="tablastexto"/>
            </w:pPr>
            <w:r w:rsidRPr="00E36CE7">
              <w:t>Caracterización de asentamientos humanos en la ruralidad</w:t>
            </w:r>
          </w:p>
        </w:tc>
        <w:tc>
          <w:tcPr>
            <w:tcW w:w="1530" w:type="dxa"/>
            <w:shd w:val="clear" w:color="auto" w:fill="auto"/>
            <w:noWrap/>
            <w:vAlign w:val="center"/>
            <w:hideMark/>
          </w:tcPr>
          <w:p w14:paraId="33463CA3" w14:textId="77777777" w:rsidR="006B728F" w:rsidRPr="00E36CE7" w:rsidRDefault="006B728F" w:rsidP="00D3674C">
            <w:pPr>
              <w:pStyle w:val="tablastexto"/>
            </w:pPr>
            <w:r w:rsidRPr="00E36CE7">
              <w:t>5. Programa Territorios Productivos, Competitivos e innovadores</w:t>
            </w:r>
          </w:p>
        </w:tc>
        <w:tc>
          <w:tcPr>
            <w:tcW w:w="1941" w:type="dxa"/>
            <w:shd w:val="clear" w:color="auto" w:fill="auto"/>
            <w:noWrap/>
            <w:vAlign w:val="center"/>
            <w:hideMark/>
          </w:tcPr>
          <w:p w14:paraId="289118FA" w14:textId="77777777" w:rsidR="006B728F" w:rsidRPr="00E36CE7" w:rsidRDefault="006B728F" w:rsidP="00D3674C">
            <w:pPr>
              <w:pStyle w:val="tablastexto"/>
            </w:pPr>
            <w:r w:rsidRPr="00E36CE7">
              <w:t>4. Subprograma ruralidad productiva, sostenible e inclusiva</w:t>
            </w:r>
          </w:p>
        </w:tc>
        <w:tc>
          <w:tcPr>
            <w:tcW w:w="1417" w:type="dxa"/>
            <w:shd w:val="clear" w:color="auto" w:fill="auto"/>
            <w:noWrap/>
            <w:vAlign w:val="center"/>
            <w:hideMark/>
          </w:tcPr>
          <w:p w14:paraId="6177E78A" w14:textId="77777777" w:rsidR="006B728F" w:rsidRPr="00E36CE7" w:rsidRDefault="006B728F" w:rsidP="00D3674C">
            <w:pPr>
              <w:pStyle w:val="tablastexto"/>
            </w:pPr>
            <w:r w:rsidRPr="00E36CE7">
              <w:t>4.Bogotá ordena su territorio y avanza en su acción climática</w:t>
            </w:r>
          </w:p>
        </w:tc>
        <w:tc>
          <w:tcPr>
            <w:tcW w:w="1418" w:type="dxa"/>
            <w:shd w:val="clear" w:color="auto" w:fill="auto"/>
            <w:noWrap/>
            <w:vAlign w:val="center"/>
            <w:hideMark/>
          </w:tcPr>
          <w:p w14:paraId="4FFA863A" w14:textId="77777777" w:rsidR="006B728F" w:rsidRPr="00E36CE7" w:rsidRDefault="006B728F" w:rsidP="00D3674C">
            <w:pPr>
              <w:pStyle w:val="tablastexto"/>
            </w:pPr>
            <w:r w:rsidRPr="00E36CE7">
              <w:t>4.29. Servicios públicos inclusivos y sostenibles</w:t>
            </w:r>
          </w:p>
        </w:tc>
        <w:tc>
          <w:tcPr>
            <w:tcW w:w="1289" w:type="dxa"/>
            <w:shd w:val="clear" w:color="auto" w:fill="auto"/>
            <w:noWrap/>
            <w:vAlign w:val="center"/>
            <w:hideMark/>
          </w:tcPr>
          <w:p w14:paraId="58FC4AE4" w14:textId="77777777" w:rsidR="006B728F" w:rsidRPr="00E36CE7" w:rsidRDefault="006B728F" w:rsidP="00D3674C">
            <w:pPr>
              <w:pStyle w:val="tablastexto"/>
            </w:pPr>
            <w:r w:rsidRPr="00E36CE7">
              <w:t>Secretaría Distrital de Hábitat</w:t>
            </w:r>
          </w:p>
        </w:tc>
        <w:tc>
          <w:tcPr>
            <w:tcW w:w="1130" w:type="dxa"/>
            <w:shd w:val="clear" w:color="auto" w:fill="auto"/>
            <w:noWrap/>
            <w:vAlign w:val="center"/>
            <w:hideMark/>
          </w:tcPr>
          <w:p w14:paraId="61D1F547" w14:textId="77777777" w:rsidR="006B728F" w:rsidRPr="00E36CE7" w:rsidRDefault="006B728F" w:rsidP="00D3674C">
            <w:pPr>
              <w:pStyle w:val="tablastexto"/>
            </w:pPr>
            <w:r w:rsidRPr="00E36CE7">
              <w:t>Sin iniciar</w:t>
            </w:r>
          </w:p>
        </w:tc>
      </w:tr>
    </w:tbl>
    <w:p w14:paraId="0B2690D2" w14:textId="77777777" w:rsidR="006B728F" w:rsidRDefault="006B728F" w:rsidP="004A7DBC">
      <w:pPr>
        <w:contextualSpacing/>
        <w:rPr>
          <w:rFonts w:cs="Times New Roman (Cuerpo en alfa"/>
          <w:spacing w:val="-10"/>
          <w:lang w:eastAsia="es-CO"/>
        </w:rPr>
      </w:pPr>
    </w:p>
    <w:p w14:paraId="618E6C7A" w14:textId="77777777" w:rsidR="006B728F" w:rsidRDefault="006B728F">
      <w:pPr>
        <w:spacing w:line="240" w:lineRule="auto"/>
        <w:jc w:val="left"/>
        <w:rPr>
          <w:rFonts w:cs="Times New Roman (Cuerpo en alfa"/>
          <w:spacing w:val="-10"/>
          <w:lang w:eastAsia="es-CO"/>
        </w:rPr>
      </w:pPr>
      <w:r>
        <w:rPr>
          <w:rFonts w:cs="Times New Roman (Cuerpo en alfa"/>
          <w:spacing w:val="-10"/>
          <w:lang w:eastAsia="es-CO"/>
        </w:rPr>
        <w:br w:type="page"/>
      </w:r>
    </w:p>
    <w:p w14:paraId="1C10EBE6" w14:textId="77777777" w:rsidR="001E1853" w:rsidRDefault="001E1853" w:rsidP="001E1853"/>
    <w:p w14:paraId="57E4205F" w14:textId="77777777" w:rsidR="001E1853" w:rsidRDefault="001E1853" w:rsidP="001E1853"/>
    <w:p w14:paraId="2FE47A42" w14:textId="50368DA0" w:rsidR="006B728F" w:rsidRDefault="00F55220" w:rsidP="001E1853">
      <w:r>
        <w:rPr>
          <w:noProof/>
        </w:rPr>
        <w:drawing>
          <wp:anchor distT="0" distB="0" distL="114300" distR="114300" simplePos="0" relativeHeight="251857920" behindDoc="1" locked="0" layoutInCell="1" allowOverlap="1" wp14:anchorId="2ABF1950" wp14:editId="3A94B21F">
            <wp:simplePos x="0" y="0"/>
            <wp:positionH relativeFrom="margin">
              <wp:posOffset>0</wp:posOffset>
            </wp:positionH>
            <wp:positionV relativeFrom="margin">
              <wp:posOffset>-1619250</wp:posOffset>
            </wp:positionV>
            <wp:extent cx="6062400" cy="2289447"/>
            <wp:effectExtent l="0" t="0" r="0" b="0"/>
            <wp:wrapNone/>
            <wp:docPr id="14672100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210085" name="Picture 4"/>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bwMode="auto">
                    <a:xfrm>
                      <a:off x="0" y="0"/>
                      <a:ext cx="6062400" cy="2289447"/>
                    </a:xfrm>
                    <a:prstGeom prst="rect">
                      <a:avLst/>
                    </a:prstGeom>
                    <a:noFill/>
                  </pic:spPr>
                </pic:pic>
              </a:graphicData>
            </a:graphic>
            <wp14:sizeRelH relativeFrom="page">
              <wp14:pctWidth>0</wp14:pctWidth>
            </wp14:sizeRelH>
            <wp14:sizeRelV relativeFrom="page">
              <wp14:pctHeight>0</wp14:pctHeight>
            </wp14:sizeRelV>
          </wp:anchor>
        </w:drawing>
      </w:r>
    </w:p>
    <w:p w14:paraId="6B330C11" w14:textId="77777777" w:rsidR="006B728F" w:rsidRDefault="006B728F" w:rsidP="001E1853"/>
    <w:p w14:paraId="2F8108C0" w14:textId="77777777" w:rsidR="00F55220" w:rsidRDefault="00F55220" w:rsidP="001E1853"/>
    <w:p w14:paraId="2062DD11" w14:textId="34E97A8B" w:rsidR="006B728F" w:rsidRPr="00EE4F7E" w:rsidRDefault="00EE4F7E" w:rsidP="00EE4F7E">
      <w:pPr>
        <w:pStyle w:val="NIVEL2PDD"/>
      </w:pPr>
      <w:bookmarkStart w:id="499" w:name="_Toc165169813"/>
      <w:r w:rsidRPr="00EE4F7E">
        <w:t>El Plan y las</w:t>
      </w:r>
      <w:r w:rsidR="006B728F" w:rsidRPr="00EE4F7E">
        <w:t xml:space="preserve"> Políticas </w:t>
      </w:r>
      <w:r w:rsidRPr="00EE4F7E">
        <w:t>P</w:t>
      </w:r>
      <w:r w:rsidR="006B728F" w:rsidRPr="00EE4F7E">
        <w:t xml:space="preserve">úblicas </w:t>
      </w:r>
      <w:r>
        <w:t>Distritales</w:t>
      </w:r>
      <w:bookmarkEnd w:id="499"/>
    </w:p>
    <w:p w14:paraId="0BC79671" w14:textId="77777777" w:rsidR="006B728F" w:rsidRDefault="006B728F" w:rsidP="00945BCE"/>
    <w:p w14:paraId="73487132" w14:textId="7D0E78FA" w:rsidR="00EE4F7E" w:rsidRDefault="00EE4F7E" w:rsidP="00EE4F7E">
      <w:pPr>
        <w:spacing w:after="240"/>
        <w:ind w:left="708"/>
        <w:rPr>
          <w:b/>
          <w:bCs/>
          <w:sz w:val="28"/>
          <w:szCs w:val="32"/>
        </w:rPr>
      </w:pPr>
      <w:r w:rsidRPr="002C040A">
        <w:rPr>
          <w:b/>
          <w:bCs/>
          <w:sz w:val="28"/>
          <w:szCs w:val="32"/>
        </w:rPr>
        <w:t xml:space="preserve">Articulación del Plan Distrital de Desarrollo 2024-2027 Bogotá Camina Segura con </w:t>
      </w:r>
      <w:r>
        <w:rPr>
          <w:b/>
          <w:bCs/>
          <w:sz w:val="28"/>
          <w:szCs w:val="32"/>
        </w:rPr>
        <w:t>las Políticas Públicas Distritales</w:t>
      </w:r>
    </w:p>
    <w:p w14:paraId="5F973EE0" w14:textId="77777777" w:rsidR="00EE4F7E" w:rsidRDefault="00EE4F7E" w:rsidP="00945BCE">
      <w:pPr>
        <w:spacing w:line="240" w:lineRule="auto"/>
        <w:jc w:val="left"/>
        <w:rPr>
          <w:rFonts w:cs="Times New Roman (Cuerpo en alfa"/>
          <w:spacing w:val="-10"/>
        </w:rPr>
        <w:sectPr w:rsidR="00EE4F7E" w:rsidSect="00F7078E">
          <w:type w:val="continuous"/>
          <w:pgSz w:w="12240" w:h="15840"/>
          <w:pgMar w:top="2262" w:right="1440" w:bottom="1440" w:left="1440" w:header="709" w:footer="680" w:gutter="0"/>
          <w:cols w:space="720"/>
        </w:sectPr>
      </w:pPr>
    </w:p>
    <w:p w14:paraId="4854042C"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La Secretaría Distrital de Planeación cumple un rol determinante en la formulación de políticas públicas distritales, promoviendo la articulación intersectorial y la optimización de recursos y esfuerzos para transformar problemáticas complejas y estratégicas de la ciudad.</w:t>
      </w:r>
    </w:p>
    <w:p w14:paraId="5A30F2EF"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 xml:space="preserve">El Decreto 668 de 2017 estableció el Consejo de Política Económica y Social del Distrito Capital, CONPES D.C., como la instancia encargada de coordinar la formulación, implementación y seguimiento de las políticas públicas distritales, garantizando la unidad de criterio y la coordinación entre las diferentes unidades ejecutoras de la política económica y social. Este decreto también designa a la Secretaría Distrital de Planeación como la secretaría técnica de dicha instancia. El CONPES D.C. es presidido por el alcalde(a) y los secretarios(as) de despacho, y representa la autoridad de planeación distrital. </w:t>
      </w:r>
    </w:p>
    <w:p w14:paraId="22E4AAB2"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Su función principal es facilitar el acuerdo intersectorial necesario para las políticas públicas y permitir discusiones, a nivel administrativo superior, sobre las estrategias propuestas para cada política y sus necesidades presupuestarias.</w:t>
      </w:r>
    </w:p>
    <w:p w14:paraId="39752969"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La política pública se define como</w:t>
      </w:r>
      <w:r>
        <w:rPr>
          <w:lang w:val="es-CO"/>
        </w:rPr>
        <w:t xml:space="preserve"> </w:t>
      </w:r>
      <w:r>
        <w:rPr>
          <w:rFonts w:ascii="Candara" w:eastAsiaTheme="minorHAnsi" w:hAnsi="Candara" w:cs="Times New Roman (Cuerpo en alfa"/>
          <w:i/>
          <w:iCs/>
          <w:color w:val="3B3838" w:themeColor="background2" w:themeShade="40"/>
          <w:spacing w:val="-10"/>
          <w:szCs w:val="24"/>
          <w:lang w:val="es-CO"/>
        </w:rPr>
        <w:t>“un conjunto de objetivos colectivos, respuestas y acciones institucionales, que buscan resolver de fondo una problemática pública determinada. Se concentra en la visión de largo plazo y se materializa a través de planes, programas y proyectos. De esta forma, la política pública se convierte en un ejercicio de planeación participativa entre actores gubernamentales, la academia, empresas y agremiaciones, poblaciones, organizaciones y sectores sociales”.</w:t>
      </w:r>
      <w:r>
        <w:t xml:space="preserve"> </w:t>
      </w:r>
      <w:r>
        <w:t>(</w:t>
      </w:r>
      <w:r>
        <w:rPr>
          <w:rFonts w:ascii="Candara" w:eastAsiaTheme="minorHAnsi" w:hAnsi="Candara" w:cs="Times New Roman (Cuerpo en alfa"/>
          <w:color w:val="3B3838" w:themeColor="background2" w:themeShade="40"/>
          <w:spacing w:val="-10"/>
          <w:szCs w:val="24"/>
          <w:lang w:val="es-CO"/>
        </w:rPr>
        <w:t>Guía de Formulación e implementación de políticas públicas, 2024)</w:t>
      </w:r>
    </w:p>
    <w:p w14:paraId="5EC26434"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El proceso de formulación de políticas públicas comienza con la identificación de una problemática en la ciudad. Una vez que esta problemática se ha identificado, es necesario analizar la información del Ecosistema de Políticas Públicas Distritales para determinar si se debe proponer una nueva temática para la formulación de políticas, o si, por el contrario, puede ser incorporada en una de las políticas públicas adoptadas por el CONPES D.C. Los lineamientos y objetivos de la política pública se desarrollan en una fase posterior al diagnóstico, que surge de la identificación de factores estratégicos derivados de ejercicios de participación ciudadana y del análisis de información cuantitativa y cualitativa recopilada.</w:t>
      </w:r>
    </w:p>
    <w:p w14:paraId="628B0E88"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 xml:space="preserve">La Secretaría Distrital de Planeación es responsable de proporcionar asistencia técnica para la orientación y coordinación de todas las fases que conforman el ciclo de la política pública. Para cumplir con esta función, además del Decreto 668 de 2017 mencionado anteriormente, el Decreto 084 </w:t>
      </w:r>
      <w:r>
        <w:rPr>
          <w:rFonts w:ascii="Candara" w:eastAsiaTheme="minorHAnsi" w:hAnsi="Candara" w:cs="Times New Roman (Cuerpo en alfa"/>
          <w:color w:val="3B3838" w:themeColor="background2" w:themeShade="40"/>
          <w:spacing w:val="-14"/>
          <w:szCs w:val="24"/>
          <w:lang w:val="es-CO"/>
        </w:rPr>
        <w:t>de 2022 establece el procedimiento para la adopción de políticas públicas, ya sea a través de un documento CONPES D.C. o mediante Decreto Distrital.</w:t>
      </w:r>
    </w:p>
    <w:p w14:paraId="0BB969FA"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 xml:space="preserve">El </w:t>
      </w:r>
      <w:r>
        <w:rPr>
          <w:rFonts w:ascii="Candara" w:eastAsiaTheme="minorHAnsi" w:hAnsi="Candara" w:cs="Times New Roman (Cuerpo en alfa"/>
          <w:i/>
          <w:iCs/>
          <w:color w:val="3B3838" w:themeColor="background2" w:themeShade="40"/>
          <w:spacing w:val="-10"/>
          <w:szCs w:val="24"/>
          <w:lang w:val="es-CO"/>
        </w:rPr>
        <w:t>Ecosistema</w:t>
      </w:r>
      <w:r>
        <w:rPr>
          <w:rFonts w:ascii="Candara" w:eastAsiaTheme="minorHAnsi" w:hAnsi="Candara" w:cs="Times New Roman (Cuerpo en alfa"/>
          <w:color w:val="3B3838" w:themeColor="background2" w:themeShade="40"/>
          <w:spacing w:val="-10"/>
          <w:szCs w:val="24"/>
          <w:lang w:val="es-CO"/>
        </w:rPr>
        <w:t xml:space="preserve"> Distrital de Políticas Públicas está compuesto por 51 políticas, lideradas por los diferentes sectores de la Administración Distrital, y las entidades distritales son responsables de implementar los productos y resultados definidos en cada plan de acción. En promedio, las políticas públicas tienen una duración de 10 a 15 años, lo que implica la necesidad de lograr una articulación efectiva con los Planes de Desarrollo de las diferentes administraciones distritales. </w:t>
      </w:r>
      <w:r>
        <w:rPr>
          <w:rFonts w:ascii="Candara" w:eastAsiaTheme="minorHAnsi" w:hAnsi="Candara" w:cs="Times New Roman (Cuerpo en alfa"/>
          <w:color w:val="3B3838" w:themeColor="background2" w:themeShade="40"/>
          <w:spacing w:val="-10"/>
          <w:szCs w:val="24"/>
          <w:lang w:val="es-CO"/>
        </w:rPr>
        <w:lastRenderedPageBreak/>
        <w:t>Esto es crucial para promover la continuidad y construir sobre lo realizado, principios esenciales en la concepción de la planeación de ciudad.</w:t>
      </w:r>
    </w:p>
    <w:p w14:paraId="632344E1"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 xml:space="preserve">Además, el Acuerdo Distrital 878 de 2023 estableció los lineamientos del Sistema Distrital de Planeación, definido como </w:t>
      </w:r>
      <w:r>
        <w:rPr>
          <w:rFonts w:ascii="Candara" w:eastAsiaTheme="minorHAnsi" w:hAnsi="Candara" w:cs="Times New Roman (Cuerpo en alfa"/>
          <w:i/>
          <w:iCs/>
          <w:color w:val="3B3838" w:themeColor="background2" w:themeShade="40"/>
          <w:spacing w:val="-10"/>
          <w:szCs w:val="24"/>
          <w:lang w:val="es-CO"/>
        </w:rPr>
        <w:t>“un conjunto de principios, normas, procedimientos y actores del ejercicio de la planeación en el Distrito Capital, que posibilita ordenar y</w:t>
      </w:r>
      <w:r>
        <w:rPr>
          <w:i/>
          <w:lang w:val="es-CO"/>
        </w:rPr>
        <w:t xml:space="preserve"> </w:t>
      </w:r>
      <w:r>
        <w:rPr>
          <w:rFonts w:ascii="Candara" w:eastAsiaTheme="minorHAnsi" w:hAnsi="Candara" w:cs="Times New Roman (Cuerpo en alfa"/>
          <w:b/>
          <w:bCs/>
          <w:i/>
          <w:iCs/>
          <w:color w:val="3B3838" w:themeColor="background2" w:themeShade="40"/>
          <w:spacing w:val="-10"/>
          <w:szCs w:val="24"/>
          <w:lang w:val="es-CO"/>
        </w:rPr>
        <w:t>articular los distintos instrumentos de planeación</w:t>
      </w:r>
      <w:r>
        <w:rPr>
          <w:rFonts w:ascii="Candara" w:eastAsiaTheme="minorHAnsi" w:hAnsi="Candara" w:cs="Times New Roman (Cuerpo en alfa"/>
          <w:i/>
          <w:iCs/>
          <w:color w:val="3B3838" w:themeColor="background2" w:themeShade="40"/>
          <w:spacing w:val="-10"/>
          <w:szCs w:val="24"/>
          <w:lang w:val="es-CO"/>
        </w:rPr>
        <w:t xml:space="preserve"> en cada una de las fases del ciclo de las políticas y promueve la participación de la ciudadanía en la toma de decisiones de la planeación de la ciudad”. </w:t>
      </w:r>
      <w:r>
        <w:rPr>
          <w:rFonts w:ascii="Candara" w:eastAsiaTheme="minorHAnsi" w:hAnsi="Candara" w:cs="Times New Roman (Cuerpo en alfa"/>
          <w:color w:val="3B3838" w:themeColor="background2" w:themeShade="40"/>
          <w:spacing w:val="-10"/>
          <w:szCs w:val="24"/>
          <w:lang w:val="es-CO"/>
        </w:rPr>
        <w:t xml:space="preserve">Asimismo, el decreto 572 de 2023 que reglamenta este Sistema y establece la necesidad de garantizar los recursos para la implementación de los productos de las políticas públicas durante cada vigencia. En cumplimiento de esta </w:t>
      </w:r>
      <w:r>
        <w:rPr>
          <w:rFonts w:ascii="Candara" w:eastAsiaTheme="minorHAnsi" w:hAnsi="Candara" w:cs="Times New Roman (Cuerpo en alfa"/>
          <w:color w:val="3B3838" w:themeColor="background2" w:themeShade="40"/>
          <w:spacing w:val="-10"/>
          <w:szCs w:val="24"/>
          <w:lang w:val="es-CO"/>
        </w:rPr>
        <w:t xml:space="preserve">normativa, la Secretaría Distrital de Planeación coordinó y consolidó el ejercicio de articulación de los dos instrumentos de planeación: el Plan Distrital de Desarrollo y las Políticas Públicas. </w:t>
      </w:r>
    </w:p>
    <w:p w14:paraId="5B165A42" w14:textId="091A244C"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En la</w:t>
      </w:r>
      <w:r>
        <w:rPr>
          <w:lang w:val="es-CO"/>
        </w:rPr>
        <w:t xml:space="preserve"> </w:t>
      </w:r>
      <w:r w:rsidRPr="00C600BF">
        <w:rPr>
          <w:rFonts w:ascii="Candara" w:eastAsiaTheme="minorHAnsi" w:hAnsi="Candara" w:cs="Times New Roman (Cuerpo en alfa"/>
          <w:color w:val="3B3838" w:themeColor="background2" w:themeShade="40"/>
          <w:spacing w:val="-10"/>
          <w:szCs w:val="24"/>
          <w:lang w:val="es-CO"/>
        </w:rPr>
        <w:t>primera parte de est</w:t>
      </w:r>
      <w:r w:rsidR="00C600BF" w:rsidRPr="00C600BF">
        <w:rPr>
          <w:rFonts w:ascii="Candara" w:eastAsiaTheme="minorHAnsi" w:hAnsi="Candara" w:cs="Times New Roman (Cuerpo en alfa"/>
          <w:color w:val="3B3838" w:themeColor="background2" w:themeShade="40"/>
          <w:spacing w:val="-10"/>
          <w:szCs w:val="24"/>
          <w:lang w:val="es-CO"/>
        </w:rPr>
        <w:t>a</w:t>
      </w:r>
      <w:r w:rsidR="00C600BF">
        <w:rPr>
          <w:rFonts w:ascii="Candara" w:eastAsiaTheme="minorHAnsi" w:hAnsi="Candara" w:cs="Times New Roman (Cuerpo en alfa"/>
          <w:color w:val="3B3838" w:themeColor="background2" w:themeShade="40"/>
          <w:spacing w:val="-10"/>
          <w:szCs w:val="24"/>
          <w:lang w:val="es-CO"/>
        </w:rPr>
        <w:t xml:space="preserve"> sección </w:t>
      </w:r>
      <w:r>
        <w:rPr>
          <w:rFonts w:ascii="Candara" w:eastAsiaTheme="minorHAnsi" w:hAnsi="Candara" w:cs="Times New Roman (Cuerpo en alfa"/>
          <w:color w:val="3B3838" w:themeColor="background2" w:themeShade="40"/>
          <w:spacing w:val="-10"/>
          <w:szCs w:val="24"/>
          <w:lang w:val="es-CO"/>
        </w:rPr>
        <w:t>se describe la metodología implementada para articular las políticas públicas con el Plan de Desarrollo, así como los espacios participativos con poblaciones de interés, y los productos resultantes del ejercicio de articulación. Posteriormente, se presentan de manera general los resultados y análisis del ejercicio de articulación, junto con los enlaces correspondientes al detalle de la información presentada. Por último, se identifican los productos que no fueron incluidos en el ejercicio y que constituyen el concepto emitido de la Secretaría Distrital de Planeación resultado de este ejercicio.</w:t>
      </w:r>
    </w:p>
    <w:p w14:paraId="03916CBF" w14:textId="77777777" w:rsidR="006B728F" w:rsidRDefault="006B728F" w:rsidP="00945BCE">
      <w:pPr>
        <w:spacing w:line="240" w:lineRule="auto"/>
        <w:jc w:val="left"/>
        <w:rPr>
          <w:rFonts w:eastAsiaTheme="majorEastAsia"/>
          <w:b/>
          <w:sz w:val="28"/>
          <w:lang w:val="es-419"/>
        </w:rPr>
        <w:sectPr w:rsidR="006B728F" w:rsidSect="00F7078E">
          <w:type w:val="continuous"/>
          <w:pgSz w:w="12240" w:h="15840"/>
          <w:pgMar w:top="2262" w:right="1440" w:bottom="1440" w:left="1440" w:header="709" w:footer="680" w:gutter="0"/>
          <w:cols w:num="2" w:space="567"/>
        </w:sectPr>
      </w:pPr>
    </w:p>
    <w:p w14:paraId="7D059BE6" w14:textId="77777777" w:rsidR="006B728F" w:rsidRDefault="006B728F" w:rsidP="00C600BF"/>
    <w:p w14:paraId="5B3AAF74" w14:textId="77777777" w:rsidR="006B728F" w:rsidRDefault="006B728F" w:rsidP="00F55220">
      <w:pPr>
        <w:jc w:val="left"/>
      </w:pPr>
    </w:p>
    <w:p w14:paraId="7569DA5E" w14:textId="70C33620" w:rsidR="006B728F" w:rsidRPr="00C600BF" w:rsidRDefault="006B728F" w:rsidP="00C600BF">
      <w:pPr>
        <w:ind w:firstLine="708"/>
        <w:rPr>
          <w:rFonts w:cs="Times New Roman (Cuerpo en alfa"/>
          <w:b/>
          <w:bCs/>
          <w:spacing w:val="-10"/>
          <w:sz w:val="28"/>
          <w:szCs w:val="28"/>
        </w:rPr>
        <w:sectPr w:rsidR="006B728F" w:rsidRPr="00C600BF" w:rsidSect="00F7078E">
          <w:type w:val="continuous"/>
          <w:pgSz w:w="12240" w:h="15840"/>
          <w:pgMar w:top="2262" w:right="1440" w:bottom="1440" w:left="1440" w:header="709" w:footer="680" w:gutter="0"/>
          <w:cols w:space="720"/>
        </w:sectPr>
      </w:pPr>
      <w:r w:rsidRPr="00C600BF">
        <w:rPr>
          <w:b/>
          <w:bCs/>
          <w:sz w:val="28"/>
          <w:szCs w:val="28"/>
        </w:rPr>
        <w:t>Ejercicio de articulación Políticas Públicas</w:t>
      </w:r>
      <w:r w:rsidR="00F55220" w:rsidRPr="00C600BF">
        <w:rPr>
          <w:b/>
          <w:bCs/>
          <w:sz w:val="28"/>
          <w:szCs w:val="28"/>
        </w:rPr>
        <w:t xml:space="preserve"> </w:t>
      </w:r>
      <w:r w:rsidRPr="00C600BF">
        <w:rPr>
          <w:b/>
          <w:bCs/>
          <w:sz w:val="28"/>
          <w:szCs w:val="28"/>
        </w:rPr>
        <w:t>y Plan Distrital de Desarrollo</w:t>
      </w:r>
    </w:p>
    <w:p w14:paraId="78EB3132" w14:textId="77777777" w:rsidR="006B728F" w:rsidRDefault="006B728F" w:rsidP="00945BCE">
      <w:pPr>
        <w:pStyle w:val="Textoindependiente"/>
        <w:rPr>
          <w:rFonts w:ascii="Candara" w:eastAsiaTheme="minorHAnsi" w:hAnsi="Candara" w:cs="Times New Roman (Cuerpo en alfa"/>
          <w:color w:val="3B3838" w:themeColor="background2" w:themeShade="40"/>
          <w:spacing w:val="-10"/>
          <w:szCs w:val="24"/>
          <w:lang w:val="es-CO"/>
        </w:rPr>
      </w:pPr>
      <w:r>
        <w:rPr>
          <w:rFonts w:ascii="Candara" w:eastAsiaTheme="minorHAnsi" w:hAnsi="Candara" w:cs="Times New Roman (Cuerpo en alfa"/>
          <w:color w:val="3B3838" w:themeColor="background2" w:themeShade="40"/>
          <w:spacing w:val="-10"/>
          <w:szCs w:val="24"/>
          <w:lang w:val="es-CO"/>
        </w:rPr>
        <w:t xml:space="preserve">Una planificación eficiente y efectiva de ciudad ocurre cuando se optimizan recursos y se articulan esfuerzos para abordar las problemáticas definidas y priorizadas por los diferentes actores involucrados, incluyendo la administración distrital, la ciudadanía, poblaciones de especial protección, la academia, el sector privado, la cooperación internacional, entre otros. En el marco </w:t>
      </w:r>
      <w:r>
        <w:rPr>
          <w:rFonts w:ascii="Candara" w:eastAsiaTheme="minorHAnsi" w:hAnsi="Candara" w:cs="Times New Roman (Cuerpo en alfa"/>
          <w:color w:val="3B3838" w:themeColor="background2" w:themeShade="40"/>
          <w:spacing w:val="-10"/>
          <w:szCs w:val="24"/>
          <w:lang w:val="es-CO"/>
        </w:rPr>
        <w:t xml:space="preserve">del proceso de construcción del Plan Distrital de Desarrollo Bogotá Camina Segura se realizó un ejercicio de articulación entre las Políticas Públicas y el Plan de Desarrollo, con el propósito de garantizar el cumplimiento de las apuestas definidas en los planes de acción de las políticas públicas del Ecosistema Distrital de Políticas Públicas. La elaboración de este ejercicio se basó en la siguiente metodología: </w:t>
      </w:r>
    </w:p>
    <w:p w14:paraId="71CB3E7A" w14:textId="77777777" w:rsidR="006B728F" w:rsidRDefault="006B728F" w:rsidP="00945BCE">
      <w:pPr>
        <w:spacing w:line="240" w:lineRule="auto"/>
        <w:jc w:val="left"/>
        <w:rPr>
          <w:rFonts w:eastAsiaTheme="majorEastAsia"/>
          <w:b/>
          <w:color w:val="C00000"/>
          <w:sz w:val="28"/>
          <w:lang w:val="es-419"/>
        </w:rPr>
        <w:sectPr w:rsidR="006B728F" w:rsidSect="00F7078E">
          <w:type w:val="continuous"/>
          <w:pgSz w:w="12240" w:h="15840"/>
          <w:pgMar w:top="2262" w:right="1440" w:bottom="1440" w:left="1440" w:header="709" w:footer="680" w:gutter="0"/>
          <w:cols w:num="2" w:space="567"/>
        </w:sectPr>
      </w:pPr>
    </w:p>
    <w:p w14:paraId="3AE1AF11" w14:textId="42C209C5" w:rsidR="006B728F" w:rsidRPr="00C600BF" w:rsidRDefault="006B728F" w:rsidP="00C600BF">
      <w:pPr>
        <w:pStyle w:val="subnumeros"/>
        <w:numPr>
          <w:ilvl w:val="0"/>
          <w:numId w:val="0"/>
        </w:numPr>
        <w:ind w:left="708"/>
        <w:outlineLvl w:val="9"/>
      </w:pPr>
      <w:r w:rsidRPr="00C600BF">
        <w:t>Definición de productos que hacen parte del ejercicio</w:t>
      </w:r>
    </w:p>
    <w:p w14:paraId="7F05F6B0" w14:textId="77777777" w:rsidR="006B728F" w:rsidRDefault="006B728F" w:rsidP="00945BCE">
      <w:pPr>
        <w:spacing w:line="240" w:lineRule="auto"/>
        <w:jc w:val="left"/>
        <w:rPr>
          <w:rFonts w:cs="Times New Roman (Cuerpo en alfa"/>
          <w:spacing w:val="-10"/>
        </w:rPr>
        <w:sectPr w:rsidR="006B728F" w:rsidSect="00F7078E">
          <w:type w:val="continuous"/>
          <w:pgSz w:w="12240" w:h="15840"/>
          <w:pgMar w:top="2262" w:right="1440" w:bottom="1440" w:left="1440" w:header="709" w:footer="680" w:gutter="0"/>
          <w:cols w:space="720"/>
        </w:sectPr>
      </w:pPr>
    </w:p>
    <w:p w14:paraId="22D5C423" w14:textId="1FAD6DA0" w:rsidR="006B728F" w:rsidRDefault="006B728F" w:rsidP="00945BCE">
      <w:pPr>
        <w:rPr>
          <w:rFonts w:cs="Times New Roman (Cuerpo en alfa"/>
          <w:spacing w:val="-10"/>
        </w:rPr>
      </w:pPr>
      <w:r>
        <w:rPr>
          <w:rFonts w:cs="Times New Roman (Cuerpo en alfa"/>
          <w:spacing w:val="-10"/>
        </w:rPr>
        <w:t xml:space="preserve">Dado que la financiación de los planes de acción de las políticas públicas proviene de diferentes fuentes como funcionamiento, inversión, donaciones y cooperación, el ejercicio de articulación de Políticas Públicas y Plan de Desarrollo se realizó con los productos cuya fuente de financiación es la inversión. De esta manera, se solicitó a cada </w:t>
      </w:r>
      <w:r w:rsidR="00C600BF">
        <w:rPr>
          <w:rFonts w:cs="Times New Roman (Cuerpo en alfa"/>
          <w:spacing w:val="-10"/>
        </w:rPr>
        <w:t xml:space="preserve">sector </w:t>
      </w:r>
      <w:r>
        <w:rPr>
          <w:rFonts w:cs="Times New Roman (Cuerpo en alfa"/>
          <w:spacing w:val="-10"/>
        </w:rPr>
        <w:t>que incluyera en las metas establecidas del Plan Distrital de Desarrollo, la identificación de los productos en los que tiene responsabilidad para la implementación de los planes de acción de las políticas públicas.</w:t>
      </w:r>
    </w:p>
    <w:p w14:paraId="7DD2327A" w14:textId="77777777" w:rsidR="006B728F" w:rsidRDefault="006B728F" w:rsidP="00945BCE">
      <w:pPr>
        <w:rPr>
          <w:rFonts w:cs="Times New Roman (Cuerpo en alfa"/>
          <w:spacing w:val="-10"/>
        </w:rPr>
      </w:pPr>
    </w:p>
    <w:p w14:paraId="03E76244" w14:textId="4FFDC4C5" w:rsidR="006B728F" w:rsidRDefault="006B728F" w:rsidP="00945BCE">
      <w:pPr>
        <w:rPr>
          <w:rFonts w:cs="Times New Roman (Cuerpo en alfa"/>
          <w:spacing w:val="-10"/>
        </w:rPr>
      </w:pPr>
      <w:r>
        <w:rPr>
          <w:rFonts w:cs="Times New Roman (Cuerpo en alfa"/>
          <w:spacing w:val="-10"/>
        </w:rPr>
        <w:t xml:space="preserve">Es importante tener en cuenta que solo se consideraron los productos que tienen metas programadas para la vigencia 2024-2027. Es decir, los productos cuya implementación ya había concluido o que </w:t>
      </w:r>
      <w:r>
        <w:rPr>
          <w:rFonts w:cs="Times New Roman (Cuerpo en alfa"/>
          <w:spacing w:val="-10"/>
        </w:rPr>
        <w:t xml:space="preserve">comenzarán después de </w:t>
      </w:r>
      <w:r w:rsidR="00C600BF">
        <w:rPr>
          <w:rFonts w:cs="Times New Roman (Cuerpo en alfa"/>
          <w:spacing w:val="-10"/>
        </w:rPr>
        <w:t>2027</w:t>
      </w:r>
      <w:r>
        <w:rPr>
          <w:rFonts w:cs="Times New Roman (Cuerpo en alfa"/>
          <w:spacing w:val="-10"/>
        </w:rPr>
        <w:t xml:space="preserve"> no fueron incluidos en este ejercicio.</w:t>
      </w:r>
    </w:p>
    <w:p w14:paraId="5EB18C90" w14:textId="77777777" w:rsidR="006B728F" w:rsidRDefault="006B728F" w:rsidP="00945BCE">
      <w:pPr>
        <w:rPr>
          <w:rFonts w:cs="Times New Roman (Cuerpo en alfa"/>
          <w:spacing w:val="-10"/>
        </w:rPr>
      </w:pPr>
    </w:p>
    <w:p w14:paraId="5C6A638D" w14:textId="77777777" w:rsidR="006B728F" w:rsidRDefault="006B728F" w:rsidP="00945BCE">
      <w:pPr>
        <w:rPr>
          <w:rFonts w:cs="Times New Roman (Cuerpo en alfa"/>
          <w:spacing w:val="-10"/>
        </w:rPr>
      </w:pPr>
      <w:r>
        <w:rPr>
          <w:rFonts w:cs="Times New Roman (Cuerpo en alfa"/>
          <w:spacing w:val="-10"/>
        </w:rPr>
        <w:t xml:space="preserve">Finalmente, se consideraron únicamente los productos activos en las versiones más recientes de los planes de acción. Esto se hizo teniendo en cuenta que durante el proceso de implementación de las políticas públicas se han realizado ajustes que ya fueron aprobados, lo cual implica en algunos casos la eliminación o adición de productos, así como ajustes en los indicadores y metas programadas, entre otros. </w:t>
      </w:r>
    </w:p>
    <w:p w14:paraId="7879FFFF" w14:textId="77777777" w:rsidR="006B728F" w:rsidRDefault="006B728F" w:rsidP="00945BCE">
      <w:pPr>
        <w:rPr>
          <w:rFonts w:cs="Times New Roman (Cuerpo en alfa"/>
          <w:spacing w:val="-10"/>
        </w:rPr>
      </w:pPr>
    </w:p>
    <w:p w14:paraId="7B5EC96D" w14:textId="77777777" w:rsidR="006B728F" w:rsidRDefault="006B728F" w:rsidP="00945BCE">
      <w:pPr>
        <w:rPr>
          <w:rFonts w:cs="Times New Roman (Cuerpo en alfa"/>
          <w:spacing w:val="-10"/>
        </w:rPr>
      </w:pPr>
      <w:r>
        <w:rPr>
          <w:rFonts w:cs="Times New Roman (Cuerpo en alfa"/>
          <w:spacing w:val="-10"/>
        </w:rPr>
        <w:t>El Ecosistema Distrital de Políticas Públicas está conformado por 51 políticas públicas con un total de 3.439 productos. De estos:</w:t>
      </w:r>
    </w:p>
    <w:p w14:paraId="7E625B19" w14:textId="77777777" w:rsidR="006B728F" w:rsidRDefault="006B728F" w:rsidP="00945BCE">
      <w:pPr>
        <w:rPr>
          <w:rFonts w:cs="Times New Roman (Cuerpo en alfa"/>
          <w:spacing w:val="-10"/>
        </w:rPr>
      </w:pPr>
    </w:p>
    <w:p w14:paraId="1E4DBBB4" w14:textId="77777777" w:rsidR="006B728F" w:rsidRDefault="006B728F" w:rsidP="00CB6AEC">
      <w:pPr>
        <w:pStyle w:val="Prrafodelista"/>
        <w:numPr>
          <w:ilvl w:val="0"/>
          <w:numId w:val="67"/>
        </w:numPr>
        <w:spacing w:after="160" w:line="256" w:lineRule="auto"/>
        <w:rPr>
          <w:rFonts w:cs="Times New Roman (Cuerpo en alfa"/>
          <w:spacing w:val="-10"/>
        </w:rPr>
      </w:pPr>
      <w:r>
        <w:rPr>
          <w:rFonts w:cs="Times New Roman (Cuerpo en alfa"/>
          <w:spacing w:val="-10"/>
        </w:rPr>
        <w:lastRenderedPageBreak/>
        <w:t>3.166 productos fueron asociados a metas del Plan Distrital de Desarrollo.</w:t>
      </w:r>
    </w:p>
    <w:p w14:paraId="2726B857" w14:textId="77777777" w:rsidR="006B728F" w:rsidRDefault="006B728F" w:rsidP="00CB6AEC">
      <w:pPr>
        <w:pStyle w:val="Prrafodelista"/>
        <w:numPr>
          <w:ilvl w:val="0"/>
          <w:numId w:val="67"/>
        </w:numPr>
        <w:spacing w:after="160" w:line="256" w:lineRule="auto"/>
        <w:rPr>
          <w:rFonts w:cs="Times New Roman (Cuerpo en alfa"/>
          <w:spacing w:val="-10"/>
        </w:rPr>
      </w:pPr>
      <w:r>
        <w:rPr>
          <w:rFonts w:cs="Times New Roman (Cuerpo en alfa"/>
          <w:spacing w:val="-10"/>
        </w:rPr>
        <w:t xml:space="preserve">267 productos son productos que ya finalizaron, no tienen metas programas para la </w:t>
      </w:r>
      <w:r>
        <w:rPr>
          <w:rFonts w:cs="Times New Roman (Cuerpo en alfa"/>
          <w:spacing w:val="-10"/>
        </w:rPr>
        <w:t>vigencia del Plan de Desarrollo o serán financiados con otras fuentes (funcionamiento, nación, cooperación).</w:t>
      </w:r>
    </w:p>
    <w:p w14:paraId="137AB42E" w14:textId="77777777" w:rsidR="006B728F" w:rsidRDefault="006B728F" w:rsidP="00CB6AEC">
      <w:pPr>
        <w:pStyle w:val="Prrafodelista"/>
        <w:numPr>
          <w:ilvl w:val="0"/>
          <w:numId w:val="67"/>
        </w:numPr>
        <w:spacing w:after="160" w:line="256" w:lineRule="auto"/>
        <w:rPr>
          <w:rFonts w:cs="Times New Roman (Cuerpo en alfa"/>
          <w:spacing w:val="-10"/>
        </w:rPr>
      </w:pPr>
      <w:r>
        <w:rPr>
          <w:rFonts w:cs="Times New Roman (Cuerpo en alfa"/>
          <w:spacing w:val="-10"/>
        </w:rPr>
        <w:t>6 productos no fueron asociados.</w:t>
      </w:r>
    </w:p>
    <w:p w14:paraId="655F02A1" w14:textId="77777777" w:rsidR="006B728F" w:rsidRDefault="006B728F" w:rsidP="00945BCE">
      <w:pPr>
        <w:spacing w:line="240" w:lineRule="auto"/>
        <w:jc w:val="left"/>
        <w:rPr>
          <w:b/>
          <w:color w:val="C00000"/>
          <w:sz w:val="28"/>
          <w:lang w:val="es-419"/>
        </w:rPr>
        <w:sectPr w:rsidR="006B728F" w:rsidSect="00F7078E">
          <w:type w:val="continuous"/>
          <w:pgSz w:w="12240" w:h="15840"/>
          <w:pgMar w:top="2262" w:right="1440" w:bottom="1440" w:left="1440" w:header="709" w:footer="680" w:gutter="0"/>
          <w:cols w:num="2" w:space="567"/>
        </w:sectPr>
      </w:pPr>
    </w:p>
    <w:p w14:paraId="310F9129" w14:textId="63A67256" w:rsidR="006B728F" w:rsidRPr="00F75106" w:rsidRDefault="006B728F" w:rsidP="00F75106">
      <w:pPr>
        <w:pStyle w:val="subnumeros"/>
        <w:numPr>
          <w:ilvl w:val="0"/>
          <w:numId w:val="0"/>
        </w:numPr>
        <w:ind w:firstLine="708"/>
        <w:outlineLvl w:val="9"/>
      </w:pPr>
      <w:r w:rsidRPr="00F75106">
        <w:t>Participación de los sectores de la Administración Distrital</w:t>
      </w:r>
    </w:p>
    <w:p w14:paraId="3D4099FA" w14:textId="77777777" w:rsidR="006B728F" w:rsidRDefault="006B728F" w:rsidP="00945BCE">
      <w:pPr>
        <w:spacing w:line="240" w:lineRule="auto"/>
        <w:jc w:val="left"/>
        <w:rPr>
          <w:rFonts w:cs="Times New Roman (Cuerpo en alfa"/>
          <w:spacing w:val="-10"/>
        </w:rPr>
        <w:sectPr w:rsidR="006B728F" w:rsidSect="00F7078E">
          <w:type w:val="continuous"/>
          <w:pgSz w:w="12240" w:h="15840"/>
          <w:pgMar w:top="2262" w:right="1440" w:bottom="1440" w:left="1440" w:header="709" w:footer="680" w:gutter="0"/>
          <w:cols w:space="720"/>
        </w:sectPr>
      </w:pPr>
    </w:p>
    <w:p w14:paraId="725FDB9E" w14:textId="77777777" w:rsidR="006B728F" w:rsidRDefault="006B728F" w:rsidP="00945BCE">
      <w:pPr>
        <w:rPr>
          <w:rFonts w:cs="Times New Roman (Cuerpo en alfa"/>
          <w:spacing w:val="-10"/>
        </w:rPr>
      </w:pPr>
      <w:r>
        <w:rPr>
          <w:rFonts w:cs="Times New Roman (Cuerpo en alfa"/>
          <w:spacing w:val="-10"/>
        </w:rPr>
        <w:t xml:space="preserve">Desde la Dirección de Formulación y Seguimiento de Políticas Públicas, se solicitó a cada sector realizar un ejercicio de asociación entre las metas del Plan de Desarrollo y los productos de las políticas públicas bajo su responsabilidad que debían ser financiados con recursos de inversión. Para esto, inicialmente se </w:t>
      </w:r>
      <w:r>
        <w:rPr>
          <w:rFonts w:cs="Times New Roman (Cuerpo en alfa"/>
          <w:spacing w:val="-10"/>
        </w:rPr>
        <w:t xml:space="preserve">incluyó un identificador de los productos de las políticas en la matriz de formulación del Plan de Desarrollo y posteriormente se llevó a cabo un trabajo específico con cada sector para completar la información requerida. </w:t>
      </w:r>
    </w:p>
    <w:p w14:paraId="62792765" w14:textId="77777777" w:rsidR="006B728F" w:rsidRDefault="006B728F" w:rsidP="00945BCE">
      <w:pPr>
        <w:spacing w:line="240" w:lineRule="auto"/>
        <w:jc w:val="left"/>
        <w:rPr>
          <w:b/>
          <w:bCs/>
        </w:rPr>
        <w:sectPr w:rsidR="006B728F" w:rsidSect="00F7078E">
          <w:type w:val="continuous"/>
          <w:pgSz w:w="12240" w:h="15840"/>
          <w:pgMar w:top="2262" w:right="1440" w:bottom="1440" w:left="1440" w:header="709" w:footer="680" w:gutter="0"/>
          <w:cols w:num="2" w:space="567"/>
        </w:sectPr>
      </w:pPr>
    </w:p>
    <w:p w14:paraId="5CE93637" w14:textId="77777777" w:rsidR="006B728F" w:rsidRDefault="006B728F" w:rsidP="00945BCE">
      <w:pPr>
        <w:rPr>
          <w:b/>
          <w:bCs/>
        </w:rPr>
      </w:pPr>
    </w:p>
    <w:p w14:paraId="79D1C4BA" w14:textId="77777777" w:rsidR="006B728F" w:rsidRDefault="006B728F" w:rsidP="00945BCE">
      <w:pPr>
        <w:rPr>
          <w:b/>
          <w:color w:val="C00000"/>
          <w:sz w:val="28"/>
          <w:lang w:val="es-419"/>
        </w:rPr>
      </w:pPr>
    </w:p>
    <w:p w14:paraId="7F751139" w14:textId="53F5E59A" w:rsidR="006B728F" w:rsidRPr="00F75106" w:rsidRDefault="006B728F" w:rsidP="00F75106">
      <w:pPr>
        <w:pStyle w:val="subnumeros"/>
        <w:numPr>
          <w:ilvl w:val="0"/>
          <w:numId w:val="0"/>
        </w:numPr>
        <w:ind w:left="1145" w:hanging="437"/>
        <w:outlineLvl w:val="9"/>
      </w:pPr>
      <w:r w:rsidRPr="00F75106">
        <w:t xml:space="preserve">Trabajo con poblaciones y grupos étnicos </w:t>
      </w:r>
    </w:p>
    <w:p w14:paraId="4922A913" w14:textId="77777777" w:rsidR="006B728F" w:rsidRDefault="006B728F" w:rsidP="00945BCE">
      <w:pPr>
        <w:spacing w:line="240" w:lineRule="auto"/>
        <w:jc w:val="left"/>
        <w:rPr>
          <w:rFonts w:cs="Times New Roman (Cuerpo en alfa"/>
          <w:spacing w:val="-10"/>
        </w:rPr>
        <w:sectPr w:rsidR="006B728F" w:rsidSect="00F7078E">
          <w:type w:val="continuous"/>
          <w:pgSz w:w="12240" w:h="15840"/>
          <w:pgMar w:top="2262" w:right="1440" w:bottom="1440" w:left="1440" w:header="709" w:footer="680" w:gutter="0"/>
          <w:cols w:space="720"/>
        </w:sectPr>
      </w:pPr>
    </w:p>
    <w:p w14:paraId="51BD10FF" w14:textId="77777777" w:rsidR="006B728F" w:rsidRDefault="006B728F" w:rsidP="00945BCE">
      <w:pPr>
        <w:rPr>
          <w:rFonts w:cs="Times New Roman (Cuerpo en alfa"/>
          <w:spacing w:val="-10"/>
        </w:rPr>
      </w:pPr>
      <w:r>
        <w:rPr>
          <w:rFonts w:cs="Times New Roman (Cuerpo en alfa"/>
          <w:spacing w:val="-10"/>
        </w:rPr>
        <w:t>Además de completar la matriz, como parte de la estrategia de participación para la construcción del Plan Distrital de Desarrollo, se llevaron a cabo diversos espacios con poblaciones específicas para presentar el ejercicio de articulación, aclarar inquietudes y recoger necesidades y aportes que aseguren el adecuado cumplimiento en la implementación de los productos descritos en los planes de acción de las políticas públicas.</w:t>
      </w:r>
    </w:p>
    <w:p w14:paraId="5D41F155" w14:textId="77777777" w:rsidR="006B728F" w:rsidRDefault="006B728F" w:rsidP="00945BCE">
      <w:pPr>
        <w:rPr>
          <w:rFonts w:cs="Times New Roman (Cuerpo en alfa"/>
          <w:spacing w:val="-10"/>
        </w:rPr>
      </w:pPr>
      <w:r>
        <w:rPr>
          <w:rFonts w:cs="Times New Roman (Cuerpo en alfa"/>
          <w:spacing w:val="-10"/>
        </w:rPr>
        <w:t xml:space="preserve">Los profesionales de la Dirección de Formulación y Seguimiento de Políticas Públicas de la Secretaría Distrital de Planeación participaron en sesiones con los pueblos indígenas, la comunidad palenquera, la comunidad raizal, el pueblo gitano y otras </w:t>
      </w:r>
      <w:r>
        <w:rPr>
          <w:rFonts w:cs="Times New Roman (Cuerpo en alfa"/>
          <w:spacing w:val="-12"/>
        </w:rPr>
        <w:t xml:space="preserve">poblaciones </w:t>
      </w:r>
      <w:r>
        <w:rPr>
          <w:rFonts w:cs="Times New Roman (Cuerpo en alfa"/>
          <w:spacing w:val="-12"/>
        </w:rPr>
        <w:t>residentes en la ciudad de Bogotá para socializar el Sistema Distrital de Planeación regulado mediante el Acuerdo Distrital 878 de 2023 y el Decreto Distrital 572 de 2023. Además, se presentó el progreso en el ejercicio de articulación entre el Plan Distrital de Desarrollo y las Políticas Públicas.</w:t>
      </w:r>
    </w:p>
    <w:p w14:paraId="45D43CE5" w14:textId="77777777" w:rsidR="006B728F" w:rsidRDefault="006B728F" w:rsidP="00945BCE">
      <w:pPr>
        <w:rPr>
          <w:rFonts w:cs="Times New Roman (Cuerpo en alfa"/>
          <w:spacing w:val="-10"/>
        </w:rPr>
      </w:pPr>
    </w:p>
    <w:p w14:paraId="7A30F00F" w14:textId="77777777" w:rsidR="006B728F" w:rsidRDefault="006B728F" w:rsidP="00945BCE">
      <w:pPr>
        <w:rPr>
          <w:rFonts w:cs="Times New Roman (Cuerpo en alfa"/>
          <w:spacing w:val="-10"/>
        </w:rPr>
      </w:pPr>
      <w:r>
        <w:rPr>
          <w:rFonts w:cs="Times New Roman (Cuerpo en alfa"/>
          <w:spacing w:val="-10"/>
        </w:rPr>
        <w:t xml:space="preserve">Con los aportes de los sectores y las contribuciones de las diferentes poblaciones, la Secretaría Distrital de Planeación consolidó una base de datos en la que cada uno de los productos de los planes de acción del Ecosistema Distrital de Políticas Públicas está asociado con un objetivo estratégico, un programa y una meta del plan de desarrollo. </w:t>
      </w:r>
    </w:p>
    <w:p w14:paraId="42766B9B" w14:textId="77777777" w:rsidR="006B728F" w:rsidRDefault="006B728F" w:rsidP="00945BCE">
      <w:pPr>
        <w:spacing w:line="240" w:lineRule="auto"/>
        <w:jc w:val="left"/>
        <w:sectPr w:rsidR="006B728F" w:rsidSect="00F7078E">
          <w:type w:val="continuous"/>
          <w:pgSz w:w="12240" w:h="15840"/>
          <w:pgMar w:top="2262" w:right="1440" w:bottom="1440" w:left="1440" w:header="709" w:footer="680" w:gutter="0"/>
          <w:cols w:num="2" w:space="567"/>
        </w:sectPr>
      </w:pPr>
    </w:p>
    <w:p w14:paraId="540AF266" w14:textId="0ED0696C" w:rsidR="006B728F" w:rsidRDefault="006B728F" w:rsidP="00945BCE"/>
    <w:p w14:paraId="6C690F6D" w14:textId="77777777" w:rsidR="00F55220" w:rsidRPr="00CE3AF9" w:rsidRDefault="00F55220" w:rsidP="00945BCE">
      <w:pPr>
        <w:rPr>
          <w:b/>
          <w:bCs/>
          <w:color w:val="C00000"/>
          <w:sz w:val="28"/>
          <w:szCs w:val="28"/>
        </w:rPr>
      </w:pPr>
    </w:p>
    <w:p w14:paraId="43020BC5" w14:textId="77777777" w:rsidR="006B728F" w:rsidRPr="00CE3AF9" w:rsidRDefault="006B728F" w:rsidP="00CE3AF9">
      <w:pPr>
        <w:rPr>
          <w:b/>
          <w:bCs/>
          <w:color w:val="C00000"/>
          <w:sz w:val="28"/>
          <w:szCs w:val="28"/>
          <w:lang w:val="es-419"/>
        </w:rPr>
      </w:pPr>
      <w:r w:rsidRPr="00CE3AF9">
        <w:rPr>
          <w:b/>
          <w:bCs/>
          <w:color w:val="C00000"/>
          <w:sz w:val="28"/>
          <w:szCs w:val="28"/>
          <w:lang w:val="es-419"/>
        </w:rPr>
        <w:t>Resultados y análisis</w:t>
      </w:r>
    </w:p>
    <w:p w14:paraId="408A60CE" w14:textId="77777777" w:rsidR="006B728F" w:rsidRDefault="006B728F" w:rsidP="00CE3AF9">
      <w:pPr>
        <w:rPr>
          <w:b/>
        </w:rPr>
      </w:pPr>
    </w:p>
    <w:p w14:paraId="17B08951" w14:textId="6C76C69F" w:rsidR="006B728F" w:rsidRPr="00A21063" w:rsidRDefault="006B728F" w:rsidP="00CE3AF9">
      <w:pPr>
        <w:pStyle w:val="subnumeros"/>
        <w:numPr>
          <w:ilvl w:val="0"/>
          <w:numId w:val="0"/>
        </w:numPr>
        <w:ind w:left="1145" w:hanging="720"/>
        <w:outlineLvl w:val="9"/>
      </w:pPr>
      <w:r w:rsidRPr="00A21063">
        <w:t xml:space="preserve">Políticas Públicas vs. Objetivos estratégicos del Plan Distrital de Desarrollo </w:t>
      </w:r>
    </w:p>
    <w:p w14:paraId="6A90B107" w14:textId="77777777" w:rsidR="006B728F" w:rsidRDefault="006B728F" w:rsidP="00945BCE">
      <w:pPr>
        <w:spacing w:line="240" w:lineRule="auto"/>
        <w:jc w:val="left"/>
        <w:rPr>
          <w:rFonts w:cs="Times New Roman (Cuerpo en alfa"/>
          <w:spacing w:val="-10"/>
        </w:rPr>
        <w:sectPr w:rsidR="006B728F" w:rsidSect="00F7078E">
          <w:type w:val="continuous"/>
          <w:pgSz w:w="12240" w:h="15840"/>
          <w:pgMar w:top="2262" w:right="1440" w:bottom="1440" w:left="1440" w:header="709" w:footer="680" w:gutter="0"/>
          <w:cols w:space="720"/>
        </w:sectPr>
      </w:pPr>
    </w:p>
    <w:p w14:paraId="4BE45A1F" w14:textId="77777777" w:rsidR="006B728F" w:rsidRDefault="006B728F" w:rsidP="00945BCE">
      <w:pPr>
        <w:rPr>
          <w:rFonts w:cs="Times New Roman (Cuerpo en alfa"/>
          <w:spacing w:val="-10"/>
        </w:rPr>
      </w:pPr>
      <w:r>
        <w:rPr>
          <w:rFonts w:cs="Times New Roman (Cuerpo en alfa"/>
          <w:spacing w:val="-10"/>
        </w:rPr>
        <w:t xml:space="preserve">Los objetivos estratégicos del plan de desarrollo representan apuestas multidimensionales que requieren esfuerzos articulados, continuos y sostenidos en el tiempo. Por otro lado, las políticas públicas fueron diseñadas para abordar problemáticas complejas de la ciudad y requieren una participación intersectorial a largo plazo que promueva su adecuada implementación. En este contexto, identificar todas las políticas públicas que contribuyen al cumplimiento de los objetivos estratégicos del Plan de Desarrollo 2024-2027 es un ejercicio que evalúa la coherencia de la planeación </w:t>
      </w:r>
      <w:r>
        <w:rPr>
          <w:rFonts w:cs="Times New Roman (Cuerpo en alfa"/>
          <w:spacing w:val="-10"/>
        </w:rPr>
        <w:t>distrital y es fundamental para el proceso de toma de decisiones. Esto permite determinar si es necesario formular instrumentos adicionales de planeación durante la Administración Distrital para abordar problemáticas estructurales de la ciudad, e incluso evaluar si los instrumentos actuales están logrando transformaciones relevantes en estas problemáticas.</w:t>
      </w:r>
    </w:p>
    <w:p w14:paraId="1262256A" w14:textId="77777777" w:rsidR="006B728F" w:rsidRDefault="006B728F" w:rsidP="00945BCE">
      <w:pPr>
        <w:rPr>
          <w:rFonts w:cs="Times New Roman (Cuerpo en alfa"/>
          <w:spacing w:val="-10"/>
        </w:rPr>
      </w:pPr>
    </w:p>
    <w:p w14:paraId="5A42184A" w14:textId="77777777" w:rsidR="006B728F" w:rsidRDefault="006B728F" w:rsidP="00945BCE">
      <w:pPr>
        <w:rPr>
          <w:rFonts w:cs="Times New Roman (Cuerpo en alfa"/>
          <w:spacing w:val="-10"/>
        </w:rPr>
      </w:pPr>
      <w:r>
        <w:rPr>
          <w:rFonts w:cs="Times New Roman (Cuerpo en alfa"/>
          <w:spacing w:val="-10"/>
        </w:rPr>
        <w:t xml:space="preserve">Es importante destacar que una misma política puede contribuir al cumplimiento de uno o más objetivos del Plan de Desarrollo. Por esta razón, la suma total de </w:t>
      </w:r>
      <w:r>
        <w:rPr>
          <w:rFonts w:cs="Times New Roman (Cuerpo en alfa"/>
          <w:spacing w:val="-10"/>
        </w:rPr>
        <w:lastRenderedPageBreak/>
        <w:t>políticas puede ser superior a las 51 que conforman el Ecosistema Distrital de Políticas Públicas.</w:t>
      </w:r>
    </w:p>
    <w:p w14:paraId="34AAC558" w14:textId="77777777" w:rsidR="006B728F" w:rsidRDefault="006B728F" w:rsidP="00945BCE"/>
    <w:p w14:paraId="3A7C9D5D" w14:textId="77777777" w:rsidR="006B728F" w:rsidRDefault="006B728F" w:rsidP="00945BCE">
      <w:pPr>
        <w:rPr>
          <w:rFonts w:cs="Times New Roman (Cuerpo en alfa"/>
          <w:b/>
          <w:bCs/>
          <w:spacing w:val="-10"/>
        </w:rPr>
      </w:pPr>
      <w:r>
        <w:rPr>
          <w:rFonts w:cs="Times New Roman (Cuerpo en alfa"/>
          <w:b/>
          <w:bCs/>
          <w:spacing w:val="-10"/>
        </w:rPr>
        <w:t>Objetivo 1: Bogotá avanza en seguridad</w:t>
      </w:r>
    </w:p>
    <w:p w14:paraId="59ADBCAB" w14:textId="77777777" w:rsidR="006B728F" w:rsidRDefault="006B728F" w:rsidP="00945BCE">
      <w:pPr>
        <w:rPr>
          <w:rFonts w:cs="Times New Roman (Cuerpo en alfa"/>
          <w:spacing w:val="-10"/>
        </w:rPr>
      </w:pPr>
      <w:r>
        <w:rPr>
          <w:rFonts w:cs="Times New Roman (Cuerpo en alfa"/>
          <w:spacing w:val="-10"/>
        </w:rPr>
        <w:t>Para este objetivo, el número total de políticas públicas que contribuyen a su cumplimiento es de 38, con un total de 342 productos.</w:t>
      </w:r>
    </w:p>
    <w:p w14:paraId="792BDBB0" w14:textId="77777777" w:rsidR="006B728F" w:rsidRDefault="006B728F" w:rsidP="00945BCE"/>
    <w:p w14:paraId="2297DA89" w14:textId="77777777" w:rsidR="006B728F" w:rsidRDefault="006B728F" w:rsidP="00945BCE">
      <w:pPr>
        <w:rPr>
          <w:rFonts w:cs="Times New Roman (Cuerpo en alfa"/>
          <w:b/>
          <w:bCs/>
          <w:spacing w:val="-10"/>
        </w:rPr>
      </w:pPr>
      <w:r>
        <w:rPr>
          <w:rFonts w:cs="Times New Roman (Cuerpo en alfa"/>
          <w:b/>
          <w:bCs/>
          <w:spacing w:val="-10"/>
        </w:rPr>
        <w:t>Objetivo 2: Bogotá confía en su Bien - Estar</w:t>
      </w:r>
    </w:p>
    <w:p w14:paraId="36A78D51" w14:textId="77777777" w:rsidR="006B728F" w:rsidRDefault="006B728F" w:rsidP="00945BCE">
      <w:pPr>
        <w:rPr>
          <w:rFonts w:cs="Times New Roman (Cuerpo en alfa"/>
          <w:spacing w:val="-10"/>
        </w:rPr>
      </w:pPr>
      <w:r>
        <w:rPr>
          <w:rFonts w:cs="Times New Roman (Cuerpo en alfa"/>
          <w:spacing w:val="-10"/>
        </w:rPr>
        <w:t>Para este objetivo, el número total de política públicas que contribuyen a su cumplimiento es de 41, con un total de 1.102 productos.</w:t>
      </w:r>
    </w:p>
    <w:p w14:paraId="54E52435" w14:textId="6F0C2742" w:rsidR="006B728F" w:rsidRDefault="006B728F" w:rsidP="00945BCE"/>
    <w:p w14:paraId="75AADF8A" w14:textId="77777777" w:rsidR="006B728F" w:rsidRDefault="006B728F" w:rsidP="00945BCE">
      <w:pPr>
        <w:rPr>
          <w:rFonts w:cs="Times New Roman (Cuerpo en alfa"/>
          <w:b/>
          <w:bCs/>
          <w:spacing w:val="-10"/>
        </w:rPr>
      </w:pPr>
      <w:r>
        <w:rPr>
          <w:rFonts w:cs="Times New Roman (Cuerpo en alfa"/>
          <w:b/>
          <w:bCs/>
          <w:spacing w:val="-10"/>
        </w:rPr>
        <w:t>Objetivo 3: Bogotá confía en su potencial</w:t>
      </w:r>
    </w:p>
    <w:p w14:paraId="374EAC9E" w14:textId="77777777" w:rsidR="006B728F" w:rsidRDefault="006B728F" w:rsidP="00945BCE">
      <w:pPr>
        <w:rPr>
          <w:rFonts w:cs="Times New Roman (Cuerpo en alfa"/>
          <w:spacing w:val="-10"/>
        </w:rPr>
      </w:pPr>
      <w:r>
        <w:rPr>
          <w:rFonts w:cs="Times New Roman (Cuerpo en alfa"/>
          <w:spacing w:val="-10"/>
        </w:rPr>
        <w:t>Para este objetivo, el número total de política públicas que contribuyen a su cumplimiento es de 43, con un total de 742 productos.</w:t>
      </w:r>
    </w:p>
    <w:p w14:paraId="6040EA0F" w14:textId="77777777" w:rsidR="006B728F" w:rsidRDefault="006B728F" w:rsidP="00945BCE"/>
    <w:p w14:paraId="35603849" w14:textId="77777777" w:rsidR="006B728F" w:rsidRDefault="006B728F" w:rsidP="00945BCE">
      <w:pPr>
        <w:rPr>
          <w:rFonts w:cs="Times New Roman (Cuerpo en alfa"/>
          <w:b/>
          <w:bCs/>
          <w:spacing w:val="-10"/>
        </w:rPr>
      </w:pPr>
      <w:r>
        <w:rPr>
          <w:rFonts w:cs="Times New Roman (Cuerpo en alfa"/>
          <w:b/>
          <w:bCs/>
          <w:spacing w:val="-10"/>
        </w:rPr>
        <w:t>Objetivo 4: Bogotá ordena su territorio y avanza en su acción climática</w:t>
      </w:r>
    </w:p>
    <w:p w14:paraId="475C2581" w14:textId="77777777" w:rsidR="006B728F" w:rsidRDefault="006B728F" w:rsidP="00945BCE">
      <w:pPr>
        <w:rPr>
          <w:rFonts w:cs="Times New Roman (Cuerpo en alfa"/>
          <w:spacing w:val="-10"/>
        </w:rPr>
      </w:pPr>
      <w:r>
        <w:rPr>
          <w:rFonts w:cs="Times New Roman (Cuerpo en alfa"/>
          <w:spacing w:val="-10"/>
        </w:rPr>
        <w:t>Para este objetivo, el número total de política públicas que contribuyen a su cumplimiento es de 40, con un total de 423 productos.</w:t>
      </w:r>
    </w:p>
    <w:p w14:paraId="3517AFAA" w14:textId="77777777" w:rsidR="006B728F" w:rsidRDefault="006B728F" w:rsidP="00945BCE"/>
    <w:p w14:paraId="68BAD284" w14:textId="77777777" w:rsidR="006B728F" w:rsidRDefault="006B728F" w:rsidP="00945BCE">
      <w:pPr>
        <w:rPr>
          <w:rFonts w:cs="Times New Roman (Cuerpo en alfa"/>
          <w:b/>
          <w:bCs/>
          <w:spacing w:val="-10"/>
        </w:rPr>
      </w:pPr>
      <w:r>
        <w:rPr>
          <w:rFonts w:cs="Times New Roman (Cuerpo en alfa"/>
          <w:b/>
          <w:bCs/>
          <w:spacing w:val="-10"/>
        </w:rPr>
        <w:t>Objetivo 5: Bogotá confía en su gobierno</w:t>
      </w:r>
    </w:p>
    <w:p w14:paraId="622AEFE9" w14:textId="77777777" w:rsidR="006B728F" w:rsidRDefault="006B728F" w:rsidP="00945BCE">
      <w:pPr>
        <w:rPr>
          <w:rFonts w:cs="Times New Roman (Cuerpo en alfa"/>
          <w:spacing w:val="-10"/>
        </w:rPr>
      </w:pPr>
      <w:r>
        <w:rPr>
          <w:rFonts w:cs="Times New Roman (Cuerpo en alfa"/>
          <w:spacing w:val="-10"/>
        </w:rPr>
        <w:t>Para este objetivo, el número total de política públicas que contribuyen a su cumplimiento es de 41, con un total de 557 productos.</w:t>
      </w:r>
    </w:p>
    <w:p w14:paraId="2442B54F" w14:textId="77777777" w:rsidR="006B728F" w:rsidRDefault="006B728F" w:rsidP="00945BCE">
      <w:pPr>
        <w:rPr>
          <w:rFonts w:cs="Times New Roman (Cuerpo en alfa"/>
          <w:spacing w:val="-10"/>
        </w:rPr>
      </w:pPr>
    </w:p>
    <w:p w14:paraId="2E324E40" w14:textId="6090EC42" w:rsidR="006B728F" w:rsidRDefault="006B728F" w:rsidP="00945BCE">
      <w:pPr>
        <w:rPr>
          <w:rFonts w:cs="Times New Roman (Cuerpo en alfa"/>
          <w:spacing w:val="-10"/>
        </w:rPr>
      </w:pPr>
      <w:r>
        <w:rPr>
          <w:rFonts w:cs="Times New Roman (Cuerpo en alfa"/>
          <w:spacing w:val="-10"/>
        </w:rPr>
        <w:t xml:space="preserve">El </w:t>
      </w:r>
      <w:r w:rsidR="00670902" w:rsidRPr="00670902">
        <w:rPr>
          <w:rFonts w:cs="Times New Roman (Cuerpo en alfa"/>
          <w:spacing w:val="-10"/>
        </w:rPr>
        <w:fldChar w:fldCharType="begin"/>
      </w:r>
      <w:r w:rsidR="00670902" w:rsidRPr="00670902">
        <w:rPr>
          <w:rFonts w:cs="Times New Roman (Cuerpo en alfa"/>
          <w:spacing w:val="-10"/>
        </w:rPr>
        <w:instrText xml:space="preserve"> REF _Ref165160112 \h </w:instrText>
      </w:r>
      <w:r w:rsidR="00670902" w:rsidRPr="00670902">
        <w:rPr>
          <w:rFonts w:cs="Times New Roman (Cuerpo en alfa"/>
          <w:spacing w:val="-10"/>
        </w:rPr>
      </w:r>
      <w:r w:rsidR="00670902" w:rsidRPr="00670902">
        <w:rPr>
          <w:rFonts w:cs="Times New Roman (Cuerpo en alfa"/>
          <w:spacing w:val="-10"/>
        </w:rPr>
        <w:fldChar w:fldCharType="separate"/>
      </w:r>
      <w:r w:rsidR="00D01651" w:rsidRPr="00670902">
        <w:rPr>
          <w:color w:val="C00000"/>
          <w:sz w:val="18"/>
          <w:szCs w:val="18"/>
        </w:rPr>
        <w:t xml:space="preserve">Gráfica </w:t>
      </w:r>
      <w:r w:rsidR="00D01651">
        <w:rPr>
          <w:noProof/>
          <w:color w:val="C00000"/>
          <w:sz w:val="18"/>
        </w:rPr>
        <w:t>59</w:t>
      </w:r>
      <w:r w:rsidR="00670902" w:rsidRPr="00670902">
        <w:rPr>
          <w:rFonts w:cs="Times New Roman (Cuerpo en alfa"/>
          <w:spacing w:val="-10"/>
        </w:rPr>
        <w:fldChar w:fldCharType="end"/>
      </w:r>
      <w:r w:rsidR="00670902" w:rsidRPr="00670902">
        <w:rPr>
          <w:rFonts w:cs="Times New Roman (Cuerpo en alfa"/>
          <w:spacing w:val="-10"/>
        </w:rPr>
        <w:t xml:space="preserve"> </w:t>
      </w:r>
      <w:r>
        <w:rPr>
          <w:rFonts w:cs="Times New Roman (Cuerpo en alfa"/>
          <w:spacing w:val="-10"/>
        </w:rPr>
        <w:t xml:space="preserve">muestra el total de productos de las políticas públicas asociados a cada objetivo estratégico del Plan de Desarrollo. </w:t>
      </w:r>
    </w:p>
    <w:p w14:paraId="5AF0A9B7" w14:textId="77777777" w:rsidR="006B728F" w:rsidRDefault="006B728F" w:rsidP="00945BCE">
      <w:pPr>
        <w:spacing w:line="240" w:lineRule="auto"/>
        <w:jc w:val="left"/>
        <w:sectPr w:rsidR="006B728F" w:rsidSect="00F7078E">
          <w:type w:val="continuous"/>
          <w:pgSz w:w="12240" w:h="15840"/>
          <w:pgMar w:top="2262" w:right="1440" w:bottom="1440" w:left="1440" w:header="709" w:footer="680" w:gutter="0"/>
          <w:cols w:num="2" w:space="567"/>
        </w:sectPr>
      </w:pPr>
    </w:p>
    <w:p w14:paraId="5DABC1B9" w14:textId="77777777" w:rsidR="006B728F" w:rsidRDefault="006B728F" w:rsidP="00945BCE"/>
    <w:p w14:paraId="2133B3CB" w14:textId="77777777" w:rsidR="006B728F" w:rsidRDefault="006B728F" w:rsidP="00E07A28">
      <w:pPr>
        <w:jc w:val="center"/>
        <w:rPr>
          <w:b/>
          <w:bCs/>
          <w:sz w:val="18"/>
        </w:rPr>
      </w:pPr>
    </w:p>
    <w:p w14:paraId="57854790" w14:textId="287FE665" w:rsidR="006B728F" w:rsidRPr="00670902" w:rsidRDefault="00F0720A" w:rsidP="00670902">
      <w:pPr>
        <w:pStyle w:val="Descripcin"/>
        <w:jc w:val="center"/>
        <w:rPr>
          <w:sz w:val="18"/>
        </w:rPr>
      </w:pPr>
      <w:bookmarkStart w:id="500" w:name="_Ref165160112"/>
      <w:bookmarkStart w:id="501" w:name="_Toc165169885"/>
      <w:r>
        <w:rPr>
          <w:noProof/>
        </w:rPr>
        <w:drawing>
          <wp:anchor distT="0" distB="0" distL="114300" distR="114300" simplePos="0" relativeHeight="251888640" behindDoc="0" locked="0" layoutInCell="1" allowOverlap="1" wp14:anchorId="44CB3212" wp14:editId="4C6D1193">
            <wp:simplePos x="0" y="0"/>
            <wp:positionH relativeFrom="margin">
              <wp:align>center</wp:align>
            </wp:positionH>
            <wp:positionV relativeFrom="paragraph">
              <wp:posOffset>379441</wp:posOffset>
            </wp:positionV>
            <wp:extent cx="5417127" cy="2496740"/>
            <wp:effectExtent l="0" t="0" r="0" b="0"/>
            <wp:wrapThrough wrapText="bothSides">
              <wp:wrapPolygon edited="0">
                <wp:start x="0" y="0"/>
                <wp:lineTo x="0" y="21430"/>
                <wp:lineTo x="21499" y="21430"/>
                <wp:lineTo x="21499" y="0"/>
                <wp:lineTo x="0" y="0"/>
              </wp:wrapPolygon>
            </wp:wrapThrough>
            <wp:docPr id="1780236234" name="Imagen 12"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36234" name="Imagen 12" descr="Gráfico, Gráfico de barras&#10;&#10;Descripción generada automáticamente"/>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17127" cy="2496740"/>
                    </a:xfrm>
                    <a:prstGeom prst="rect">
                      <a:avLst/>
                    </a:prstGeom>
                    <a:noFill/>
                  </pic:spPr>
                </pic:pic>
              </a:graphicData>
            </a:graphic>
            <wp14:sizeRelH relativeFrom="margin">
              <wp14:pctWidth>0</wp14:pctWidth>
            </wp14:sizeRelH>
            <wp14:sizeRelV relativeFrom="margin">
              <wp14:pctHeight>0</wp14:pctHeight>
            </wp14:sizeRelV>
          </wp:anchor>
        </w:drawing>
      </w:r>
      <w:r w:rsidR="00670902" w:rsidRPr="00670902">
        <w:rPr>
          <w:color w:val="C00000"/>
          <w:sz w:val="18"/>
        </w:rPr>
        <w:t xml:space="preserve">Gráfica </w:t>
      </w:r>
      <w:r w:rsidR="00670902" w:rsidRPr="00670902">
        <w:rPr>
          <w:color w:val="C00000"/>
          <w:sz w:val="18"/>
        </w:rPr>
        <w:fldChar w:fldCharType="begin"/>
      </w:r>
      <w:r w:rsidR="00670902" w:rsidRPr="00670902">
        <w:rPr>
          <w:color w:val="C00000"/>
          <w:sz w:val="18"/>
        </w:rPr>
        <w:instrText xml:space="preserve"> SEQ Gráfica \* ARABIC </w:instrText>
      </w:r>
      <w:r w:rsidR="00670902" w:rsidRPr="00670902">
        <w:rPr>
          <w:color w:val="C00000"/>
          <w:sz w:val="18"/>
        </w:rPr>
        <w:fldChar w:fldCharType="separate"/>
      </w:r>
      <w:r w:rsidR="00D01651">
        <w:rPr>
          <w:noProof/>
          <w:color w:val="C00000"/>
          <w:sz w:val="18"/>
        </w:rPr>
        <w:t>59</w:t>
      </w:r>
      <w:r w:rsidR="00670902" w:rsidRPr="00670902">
        <w:rPr>
          <w:color w:val="C00000"/>
          <w:sz w:val="18"/>
        </w:rPr>
        <w:fldChar w:fldCharType="end"/>
      </w:r>
      <w:bookmarkEnd w:id="500"/>
      <w:r w:rsidR="00670902" w:rsidRPr="00670902">
        <w:rPr>
          <w:color w:val="C00000"/>
          <w:sz w:val="18"/>
        </w:rPr>
        <w:t xml:space="preserve">. </w:t>
      </w:r>
      <w:r w:rsidR="006B728F" w:rsidRPr="00670902">
        <w:rPr>
          <w:sz w:val="18"/>
        </w:rPr>
        <w:t>Producto de Políticas públicas por Objetivos del Plan de Desarrollo</w:t>
      </w:r>
      <w:bookmarkEnd w:id="501"/>
    </w:p>
    <w:p w14:paraId="7A45ECF1" w14:textId="3C323922" w:rsidR="006B728F" w:rsidRDefault="006B728F" w:rsidP="00F0720A">
      <w:pPr>
        <w:spacing w:line="240" w:lineRule="auto"/>
        <w:jc w:val="center"/>
        <w:rPr>
          <w:sz w:val="18"/>
          <w:szCs w:val="32"/>
        </w:rPr>
      </w:pPr>
      <w:r w:rsidRPr="00F0720A">
        <w:rPr>
          <w:b/>
          <w:bCs/>
          <w:sz w:val="18"/>
          <w:szCs w:val="32"/>
        </w:rPr>
        <w:t>Nota:</w:t>
      </w:r>
      <w:r w:rsidRPr="00F0720A">
        <w:rPr>
          <w:sz w:val="18"/>
          <w:szCs w:val="32"/>
        </w:rPr>
        <w:t xml:space="preserve"> En blanco corresponde a 267 productos cuya fuente de financiación no es recursos de inversión o son productos ya implementados y 6 productos sin asociación a metas del PDD.</w:t>
      </w:r>
    </w:p>
    <w:p w14:paraId="5A7F7062" w14:textId="7369A90E" w:rsidR="00F0720A" w:rsidRPr="00F0720A" w:rsidRDefault="00F0720A" w:rsidP="00F0720A">
      <w:pPr>
        <w:spacing w:line="240" w:lineRule="auto"/>
        <w:jc w:val="center"/>
        <w:rPr>
          <w:sz w:val="18"/>
          <w:szCs w:val="32"/>
        </w:rPr>
      </w:pPr>
      <w:r>
        <w:rPr>
          <w:b/>
          <w:bCs/>
          <w:sz w:val="18"/>
          <w:szCs w:val="32"/>
        </w:rPr>
        <w:t xml:space="preserve">Fuente: </w:t>
      </w:r>
      <w:r>
        <w:rPr>
          <w:sz w:val="18"/>
          <w:szCs w:val="32"/>
        </w:rPr>
        <w:t>elaboración propia.</w:t>
      </w:r>
    </w:p>
    <w:p w14:paraId="679FD16F" w14:textId="77777777" w:rsidR="006B728F" w:rsidRDefault="006B728F" w:rsidP="00945BCE"/>
    <w:p w14:paraId="79328123" w14:textId="46691DF3" w:rsidR="00F85188" w:rsidRDefault="006B728F" w:rsidP="00C05C57">
      <w:pPr>
        <w:spacing w:line="240" w:lineRule="auto"/>
        <w:rPr>
          <w:rFonts w:cs="Times New Roman (Cuerpo en alfa"/>
          <w:spacing w:val="-10"/>
        </w:rPr>
      </w:pPr>
      <w:r>
        <w:rPr>
          <w:rFonts w:cs="Times New Roman (Cuerpo en alfa"/>
          <w:spacing w:val="-10"/>
        </w:rPr>
        <w:t>Una vez consolidado el ejercicio de articulación entre políticas públicas y el Plan de Desarrollo desde la Secretaría Distrital de Planeación, se evidencia que 6 productos no fueron asociados a las metas del Plan de Desarrollo Bogotá Camina Segura 2024-2027:</w:t>
      </w:r>
    </w:p>
    <w:p w14:paraId="49AECC84" w14:textId="77777777" w:rsidR="00F85188" w:rsidRDefault="00F85188">
      <w:pPr>
        <w:spacing w:line="240" w:lineRule="auto"/>
        <w:jc w:val="left"/>
        <w:rPr>
          <w:rFonts w:cs="Times New Roman (Cuerpo en alfa"/>
          <w:spacing w:val="-10"/>
        </w:rPr>
      </w:pPr>
      <w:r>
        <w:rPr>
          <w:rFonts w:cs="Times New Roman (Cuerpo en alfa"/>
          <w:spacing w:val="-10"/>
        </w:rPr>
        <w:br w:type="page"/>
      </w:r>
    </w:p>
    <w:p w14:paraId="48D72670" w14:textId="1C04AD16" w:rsidR="006B728F" w:rsidRPr="009D0EAB" w:rsidRDefault="009D0EAB" w:rsidP="009D0EAB">
      <w:pPr>
        <w:pStyle w:val="Descripcin"/>
        <w:jc w:val="center"/>
        <w:rPr>
          <w:b w:val="0"/>
          <w:bCs/>
          <w:sz w:val="18"/>
        </w:rPr>
      </w:pPr>
      <w:bookmarkStart w:id="502" w:name="_Toc165169886"/>
      <w:r w:rsidRPr="009D0EAB">
        <w:rPr>
          <w:color w:val="C00000"/>
          <w:sz w:val="18"/>
        </w:rPr>
        <w:lastRenderedPageBreak/>
        <w:t xml:space="preserve">Gráfica </w:t>
      </w:r>
      <w:r w:rsidRPr="009D0EAB">
        <w:rPr>
          <w:color w:val="C00000"/>
          <w:sz w:val="18"/>
        </w:rPr>
        <w:fldChar w:fldCharType="begin"/>
      </w:r>
      <w:r w:rsidRPr="009D0EAB">
        <w:rPr>
          <w:color w:val="C00000"/>
          <w:sz w:val="18"/>
        </w:rPr>
        <w:instrText xml:space="preserve"> SEQ Gráfica \* ARABIC </w:instrText>
      </w:r>
      <w:r w:rsidRPr="009D0EAB">
        <w:rPr>
          <w:color w:val="C00000"/>
          <w:sz w:val="18"/>
        </w:rPr>
        <w:fldChar w:fldCharType="separate"/>
      </w:r>
      <w:r w:rsidR="00D01651">
        <w:rPr>
          <w:noProof/>
          <w:color w:val="C00000"/>
          <w:sz w:val="18"/>
        </w:rPr>
        <w:t>60</w:t>
      </w:r>
      <w:r w:rsidRPr="009D0EAB">
        <w:rPr>
          <w:color w:val="C00000"/>
          <w:sz w:val="18"/>
        </w:rPr>
        <w:fldChar w:fldCharType="end"/>
      </w:r>
      <w:r w:rsidRPr="009D0EAB">
        <w:rPr>
          <w:color w:val="C00000"/>
          <w:sz w:val="18"/>
        </w:rPr>
        <w:t xml:space="preserve">. </w:t>
      </w:r>
      <w:r w:rsidR="006B728F" w:rsidRPr="009D0EAB">
        <w:rPr>
          <w:sz w:val="18"/>
        </w:rPr>
        <w:t>Productos de Política Pública en Plan de Desarrollo</w:t>
      </w:r>
      <w:bookmarkEnd w:id="502"/>
    </w:p>
    <w:p w14:paraId="00EA7327" w14:textId="77777777" w:rsidR="006B728F" w:rsidRDefault="006B728F" w:rsidP="00945BCE">
      <w:pPr>
        <w:spacing w:line="240" w:lineRule="auto"/>
        <w:jc w:val="center"/>
        <w:rPr>
          <w:rFonts w:cstheme="minorHAnsi"/>
        </w:rPr>
      </w:pPr>
      <w:r>
        <w:rPr>
          <w:noProof/>
        </w:rPr>
        <w:drawing>
          <wp:inline distT="0" distB="0" distL="0" distR="0" wp14:anchorId="7DE85866" wp14:editId="559442D4">
            <wp:extent cx="5630545" cy="7151370"/>
            <wp:effectExtent l="0" t="0" r="0" b="0"/>
            <wp:docPr id="835637376" name="Chart 2">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3D505830" w14:textId="12B8E667" w:rsidR="006B728F" w:rsidRPr="009D0EAB" w:rsidRDefault="009D0EAB" w:rsidP="00945BCE">
      <w:pPr>
        <w:spacing w:line="240" w:lineRule="auto"/>
        <w:jc w:val="center"/>
        <w:rPr>
          <w:rFonts w:cstheme="minorHAnsi"/>
          <w:sz w:val="18"/>
          <w:szCs w:val="20"/>
        </w:rPr>
      </w:pPr>
      <w:r w:rsidRPr="009D0EAB">
        <w:rPr>
          <w:rFonts w:cstheme="minorHAnsi"/>
          <w:b/>
          <w:bCs/>
          <w:sz w:val="18"/>
          <w:szCs w:val="20"/>
        </w:rPr>
        <w:t xml:space="preserve">Fuente: </w:t>
      </w:r>
      <w:r w:rsidRPr="009D0EAB">
        <w:rPr>
          <w:rFonts w:cstheme="minorHAnsi"/>
          <w:sz w:val="18"/>
          <w:szCs w:val="20"/>
        </w:rPr>
        <w:t>Elaboración propia.</w:t>
      </w:r>
    </w:p>
    <w:p w14:paraId="4E540C0B" w14:textId="77777777" w:rsidR="006B728F" w:rsidRDefault="006B728F" w:rsidP="00945BCE">
      <w:pPr>
        <w:spacing w:line="240" w:lineRule="auto"/>
        <w:rPr>
          <w:rFonts w:cs="Times New Roman (Cuerpo en alfa"/>
          <w:spacing w:val="-10"/>
        </w:rPr>
      </w:pPr>
      <w:r>
        <w:rPr>
          <w:rFonts w:cs="Times New Roman (Cuerpo en alfa"/>
          <w:spacing w:val="-10"/>
        </w:rPr>
        <w:lastRenderedPageBreak/>
        <w:t>Los 6 productos cuya fuente de financiación se programa como inversión, pero no están asociados a las metas del Plan de Desarrollo son:</w:t>
      </w:r>
    </w:p>
    <w:p w14:paraId="095EE8CD" w14:textId="77777777" w:rsidR="006B728F" w:rsidRDefault="006B728F" w:rsidP="00945BCE">
      <w:pPr>
        <w:spacing w:line="240" w:lineRule="auto"/>
        <w:rPr>
          <w:rFonts w:cs="Times New Roman (Cuerpo en alfa"/>
          <w:spacing w:val="-10"/>
        </w:rPr>
      </w:pPr>
    </w:p>
    <w:p w14:paraId="71DBB4FB" w14:textId="67C5F631" w:rsidR="006B728F" w:rsidRPr="008E60F1" w:rsidRDefault="008E60F1" w:rsidP="008E60F1">
      <w:pPr>
        <w:pStyle w:val="Descripcin"/>
        <w:jc w:val="center"/>
        <w:rPr>
          <w:sz w:val="18"/>
        </w:rPr>
      </w:pPr>
      <w:bookmarkStart w:id="503" w:name="_Toc165169975"/>
      <w:r w:rsidRPr="008E60F1">
        <w:rPr>
          <w:color w:val="C00000"/>
          <w:sz w:val="18"/>
        </w:rPr>
        <w:t xml:space="preserve">Tabla </w:t>
      </w:r>
      <w:r w:rsidRPr="008E60F1">
        <w:rPr>
          <w:color w:val="C00000"/>
          <w:sz w:val="18"/>
        </w:rPr>
        <w:fldChar w:fldCharType="begin"/>
      </w:r>
      <w:r w:rsidRPr="008E60F1">
        <w:rPr>
          <w:color w:val="C00000"/>
          <w:sz w:val="18"/>
        </w:rPr>
        <w:instrText xml:space="preserve"> SEQ Tabla \* ARABIC </w:instrText>
      </w:r>
      <w:r w:rsidRPr="008E60F1">
        <w:rPr>
          <w:color w:val="C00000"/>
          <w:sz w:val="18"/>
        </w:rPr>
        <w:fldChar w:fldCharType="separate"/>
      </w:r>
      <w:r w:rsidR="00D01651">
        <w:rPr>
          <w:noProof/>
          <w:color w:val="C00000"/>
          <w:sz w:val="18"/>
        </w:rPr>
        <w:t>65</w:t>
      </w:r>
      <w:r w:rsidRPr="008E60F1">
        <w:rPr>
          <w:color w:val="C00000"/>
          <w:sz w:val="18"/>
        </w:rPr>
        <w:fldChar w:fldCharType="end"/>
      </w:r>
      <w:r w:rsidRPr="008E60F1">
        <w:rPr>
          <w:color w:val="C00000"/>
          <w:sz w:val="18"/>
        </w:rPr>
        <w:t xml:space="preserve">. </w:t>
      </w:r>
      <w:r w:rsidR="006B728F" w:rsidRPr="008E60F1">
        <w:rPr>
          <w:sz w:val="18"/>
        </w:rPr>
        <w:t>Productos de Políticas Públicas no asociados en el PDD</w:t>
      </w:r>
      <w:bookmarkEnd w:id="503"/>
    </w:p>
    <w:tbl>
      <w:tblPr>
        <w:tblStyle w:val="Tablaconcuadrcula"/>
        <w:tblW w:w="0" w:type="auto"/>
        <w:tblBorders>
          <w:top w:val="none" w:sz="0" w:space="0" w:color="auto"/>
          <w:left w:val="none" w:sz="0" w:space="0" w:color="auto"/>
          <w:bottom w:val="double" w:sz="4" w:space="0" w:color="C00000"/>
          <w:right w:val="none" w:sz="0" w:space="0" w:color="auto"/>
          <w:insideH w:val="double" w:sz="4" w:space="0" w:color="C00000"/>
          <w:insideV w:val="double" w:sz="4" w:space="0" w:color="C00000"/>
        </w:tblBorders>
        <w:tblLook w:val="04A0" w:firstRow="1" w:lastRow="0" w:firstColumn="1" w:lastColumn="0" w:noHBand="0" w:noVBand="1"/>
      </w:tblPr>
      <w:tblGrid>
        <w:gridCol w:w="1555"/>
        <w:gridCol w:w="3543"/>
        <w:gridCol w:w="3730"/>
      </w:tblGrid>
      <w:tr w:rsidR="006B728F" w14:paraId="52736BDC" w14:textId="77777777" w:rsidTr="00945BCE">
        <w:trPr>
          <w:trHeight w:val="974"/>
        </w:trPr>
        <w:tc>
          <w:tcPr>
            <w:tcW w:w="1555" w:type="dxa"/>
            <w:tcBorders>
              <w:top w:val="nil"/>
              <w:left w:val="nil"/>
              <w:bottom w:val="double" w:sz="4" w:space="0" w:color="C00000"/>
              <w:right w:val="double" w:sz="4" w:space="0" w:color="C00000"/>
            </w:tcBorders>
            <w:shd w:val="clear" w:color="auto" w:fill="C00000"/>
            <w:vAlign w:val="center"/>
            <w:hideMark/>
          </w:tcPr>
          <w:p w14:paraId="14BAE9DD" w14:textId="77777777" w:rsidR="006B728F" w:rsidRDefault="006B728F">
            <w:pPr>
              <w:jc w:val="center"/>
              <w:rPr>
                <w:rFonts w:cstheme="minorHAnsi"/>
                <w:b/>
                <w:bCs/>
                <w:color w:val="FFFFFF" w:themeColor="background1"/>
                <w:sz w:val="28"/>
                <w:szCs w:val="28"/>
              </w:rPr>
            </w:pPr>
            <w:r>
              <w:rPr>
                <w:rFonts w:cstheme="minorHAnsi"/>
                <w:b/>
                <w:bCs/>
                <w:color w:val="FFFFFF" w:themeColor="background1"/>
                <w:sz w:val="28"/>
                <w:szCs w:val="28"/>
              </w:rPr>
              <w:t>Política</w:t>
            </w:r>
          </w:p>
          <w:p w14:paraId="61AA6D51" w14:textId="77777777" w:rsidR="006B728F" w:rsidRDefault="006B728F">
            <w:pPr>
              <w:jc w:val="center"/>
              <w:rPr>
                <w:rFonts w:cstheme="minorHAnsi"/>
                <w:b/>
                <w:bCs/>
                <w:color w:val="FFFFFF" w:themeColor="background1"/>
                <w:sz w:val="28"/>
                <w:szCs w:val="28"/>
              </w:rPr>
            </w:pPr>
            <w:r>
              <w:rPr>
                <w:rFonts w:cstheme="minorHAnsi"/>
                <w:b/>
                <w:bCs/>
                <w:color w:val="FFFFFF" w:themeColor="background1"/>
                <w:sz w:val="28"/>
                <w:szCs w:val="28"/>
              </w:rPr>
              <w:t>Pública</w:t>
            </w:r>
          </w:p>
        </w:tc>
        <w:tc>
          <w:tcPr>
            <w:tcW w:w="3543" w:type="dxa"/>
            <w:tcBorders>
              <w:top w:val="nil"/>
              <w:left w:val="double" w:sz="4" w:space="0" w:color="C00000"/>
              <w:bottom w:val="double" w:sz="4" w:space="0" w:color="C00000"/>
              <w:right w:val="double" w:sz="4" w:space="0" w:color="C00000"/>
            </w:tcBorders>
            <w:shd w:val="clear" w:color="auto" w:fill="C00000"/>
            <w:vAlign w:val="center"/>
            <w:hideMark/>
          </w:tcPr>
          <w:p w14:paraId="6230B8CE" w14:textId="77777777" w:rsidR="006B728F" w:rsidRDefault="006B728F">
            <w:pPr>
              <w:jc w:val="center"/>
              <w:rPr>
                <w:rFonts w:cstheme="minorHAnsi"/>
                <w:b/>
                <w:bCs/>
                <w:color w:val="FFFFFF" w:themeColor="background1"/>
                <w:sz w:val="28"/>
                <w:szCs w:val="28"/>
              </w:rPr>
            </w:pPr>
            <w:r>
              <w:rPr>
                <w:rFonts w:cstheme="minorHAnsi"/>
                <w:b/>
                <w:bCs/>
                <w:color w:val="FFFFFF" w:themeColor="background1"/>
                <w:sz w:val="28"/>
                <w:szCs w:val="28"/>
              </w:rPr>
              <w:t>Producto</w:t>
            </w:r>
          </w:p>
        </w:tc>
        <w:tc>
          <w:tcPr>
            <w:tcW w:w="3730" w:type="dxa"/>
            <w:tcBorders>
              <w:top w:val="nil"/>
              <w:left w:val="double" w:sz="4" w:space="0" w:color="C00000"/>
              <w:bottom w:val="double" w:sz="4" w:space="0" w:color="C00000"/>
              <w:right w:val="nil"/>
            </w:tcBorders>
            <w:shd w:val="clear" w:color="auto" w:fill="C00000"/>
            <w:vAlign w:val="center"/>
            <w:hideMark/>
          </w:tcPr>
          <w:p w14:paraId="022EA4C3" w14:textId="77777777" w:rsidR="006B728F" w:rsidRDefault="006B728F">
            <w:pPr>
              <w:jc w:val="center"/>
              <w:rPr>
                <w:rFonts w:cstheme="minorHAnsi"/>
                <w:b/>
                <w:bCs/>
                <w:color w:val="FFFFFF" w:themeColor="background1"/>
                <w:sz w:val="28"/>
                <w:szCs w:val="28"/>
              </w:rPr>
            </w:pPr>
            <w:r>
              <w:rPr>
                <w:rFonts w:cstheme="minorHAnsi"/>
                <w:b/>
                <w:bCs/>
                <w:color w:val="FFFFFF" w:themeColor="background1"/>
                <w:sz w:val="28"/>
                <w:szCs w:val="28"/>
              </w:rPr>
              <w:t>Observación</w:t>
            </w:r>
          </w:p>
        </w:tc>
      </w:tr>
      <w:tr w:rsidR="006B728F" w14:paraId="0C0A10CA" w14:textId="77777777" w:rsidTr="00F55220">
        <w:trPr>
          <w:trHeight w:val="1384"/>
        </w:trPr>
        <w:tc>
          <w:tcPr>
            <w:tcW w:w="1555" w:type="dxa"/>
            <w:tcBorders>
              <w:top w:val="double" w:sz="4" w:space="0" w:color="C00000"/>
              <w:left w:val="nil"/>
              <w:bottom w:val="double" w:sz="4" w:space="0" w:color="C00000"/>
              <w:right w:val="double" w:sz="4" w:space="0" w:color="C00000"/>
            </w:tcBorders>
            <w:vAlign w:val="center"/>
            <w:hideMark/>
          </w:tcPr>
          <w:p w14:paraId="30FDB868" w14:textId="77777777" w:rsidR="006B728F" w:rsidRDefault="006B728F">
            <w:pPr>
              <w:jc w:val="center"/>
              <w:rPr>
                <w:rFonts w:cstheme="minorHAnsi"/>
                <w:sz w:val="20"/>
                <w:szCs w:val="20"/>
              </w:rPr>
            </w:pPr>
            <w:r>
              <w:rPr>
                <w:rFonts w:cstheme="minorHAnsi"/>
                <w:sz w:val="20"/>
                <w:szCs w:val="20"/>
              </w:rPr>
              <w:t>Acción Climática</w:t>
            </w:r>
          </w:p>
        </w:tc>
        <w:tc>
          <w:tcPr>
            <w:tcW w:w="3543" w:type="dxa"/>
            <w:tcBorders>
              <w:top w:val="double" w:sz="4" w:space="0" w:color="C00000"/>
              <w:left w:val="double" w:sz="4" w:space="0" w:color="C00000"/>
              <w:bottom w:val="double" w:sz="4" w:space="0" w:color="C00000"/>
              <w:right w:val="double" w:sz="4" w:space="0" w:color="C00000"/>
            </w:tcBorders>
            <w:vAlign w:val="center"/>
            <w:hideMark/>
          </w:tcPr>
          <w:p w14:paraId="10984454" w14:textId="77777777" w:rsidR="006B728F" w:rsidRDefault="006B728F">
            <w:pPr>
              <w:rPr>
                <w:rFonts w:cstheme="minorHAnsi"/>
                <w:sz w:val="20"/>
                <w:szCs w:val="20"/>
              </w:rPr>
            </w:pPr>
            <w:r>
              <w:rPr>
                <w:rFonts w:cstheme="minorHAnsi"/>
                <w:sz w:val="20"/>
                <w:szCs w:val="20"/>
              </w:rPr>
              <w:t xml:space="preserve">1.5.2. Aprovechamiento de biogás para cogeneración eléctrica y procesos </w:t>
            </w:r>
          </w:p>
          <w:p w14:paraId="3C81F620" w14:textId="77777777" w:rsidR="006B728F" w:rsidRDefault="006B728F">
            <w:pPr>
              <w:rPr>
                <w:rFonts w:cstheme="minorHAnsi"/>
                <w:sz w:val="20"/>
                <w:szCs w:val="20"/>
              </w:rPr>
            </w:pPr>
            <w:r>
              <w:rPr>
                <w:rFonts w:cstheme="minorHAnsi"/>
                <w:sz w:val="20"/>
                <w:szCs w:val="20"/>
              </w:rPr>
              <w:t>internos en las PTAR.</w:t>
            </w:r>
          </w:p>
        </w:tc>
        <w:tc>
          <w:tcPr>
            <w:tcW w:w="3730" w:type="dxa"/>
            <w:tcBorders>
              <w:top w:val="double" w:sz="4" w:space="0" w:color="C00000"/>
              <w:left w:val="double" w:sz="4" w:space="0" w:color="C00000"/>
              <w:bottom w:val="double" w:sz="4" w:space="0" w:color="C00000"/>
              <w:right w:val="nil"/>
            </w:tcBorders>
            <w:vAlign w:val="center"/>
            <w:hideMark/>
          </w:tcPr>
          <w:p w14:paraId="60CBF886" w14:textId="77777777" w:rsidR="006B728F" w:rsidRDefault="006B728F">
            <w:pPr>
              <w:rPr>
                <w:rFonts w:cstheme="minorHAnsi"/>
                <w:sz w:val="20"/>
                <w:szCs w:val="20"/>
              </w:rPr>
            </w:pPr>
            <w:r>
              <w:rPr>
                <w:rFonts w:cs="Calibri"/>
                <w:sz w:val="20"/>
                <w:szCs w:val="20"/>
              </w:rPr>
              <w:t>La EAAB no programa este producto para la vigencia del PDD porque depende de la construcción de la PTAR. La proyección para la implementación se espera realizar en el 2028.</w:t>
            </w:r>
          </w:p>
        </w:tc>
      </w:tr>
      <w:tr w:rsidR="006B728F" w14:paraId="36EAFA85" w14:textId="77777777" w:rsidTr="00F55220">
        <w:trPr>
          <w:trHeight w:val="2102"/>
        </w:trPr>
        <w:tc>
          <w:tcPr>
            <w:tcW w:w="1555" w:type="dxa"/>
            <w:tcBorders>
              <w:top w:val="double" w:sz="4" w:space="0" w:color="C00000"/>
              <w:left w:val="nil"/>
              <w:bottom w:val="double" w:sz="4" w:space="0" w:color="C00000"/>
              <w:right w:val="double" w:sz="4" w:space="0" w:color="C00000"/>
            </w:tcBorders>
            <w:vAlign w:val="center"/>
            <w:hideMark/>
          </w:tcPr>
          <w:p w14:paraId="7932BC44" w14:textId="77777777" w:rsidR="006B728F" w:rsidRDefault="006B728F">
            <w:pPr>
              <w:jc w:val="center"/>
              <w:rPr>
                <w:rFonts w:cstheme="minorHAnsi"/>
                <w:sz w:val="20"/>
                <w:szCs w:val="20"/>
              </w:rPr>
            </w:pPr>
            <w:r>
              <w:rPr>
                <w:rFonts w:cstheme="minorHAnsi"/>
                <w:sz w:val="20"/>
                <w:szCs w:val="20"/>
              </w:rPr>
              <w:t>Adultez</w:t>
            </w:r>
          </w:p>
        </w:tc>
        <w:tc>
          <w:tcPr>
            <w:tcW w:w="3543" w:type="dxa"/>
            <w:tcBorders>
              <w:top w:val="double" w:sz="4" w:space="0" w:color="C00000"/>
              <w:left w:val="double" w:sz="4" w:space="0" w:color="C00000"/>
              <w:bottom w:val="double" w:sz="4" w:space="0" w:color="C00000"/>
              <w:right w:val="double" w:sz="4" w:space="0" w:color="C00000"/>
            </w:tcBorders>
            <w:vAlign w:val="center"/>
            <w:hideMark/>
          </w:tcPr>
          <w:p w14:paraId="2A6D8752" w14:textId="77777777" w:rsidR="006B728F" w:rsidRDefault="006B728F">
            <w:pPr>
              <w:rPr>
                <w:rFonts w:cstheme="minorHAnsi"/>
                <w:sz w:val="20"/>
                <w:szCs w:val="20"/>
              </w:rPr>
            </w:pPr>
            <w:r>
              <w:rPr>
                <w:rFonts w:cstheme="minorHAnsi"/>
                <w:sz w:val="20"/>
                <w:szCs w:val="20"/>
              </w:rPr>
              <w:t xml:space="preserve">2.1.2 Estrategia para la generación de </w:t>
            </w:r>
          </w:p>
          <w:p w14:paraId="46ED3020" w14:textId="77777777" w:rsidR="006B728F" w:rsidRDefault="006B728F">
            <w:pPr>
              <w:rPr>
                <w:rFonts w:cstheme="minorHAnsi"/>
                <w:sz w:val="20"/>
                <w:szCs w:val="20"/>
              </w:rPr>
            </w:pPr>
            <w:r>
              <w:rPr>
                <w:rFonts w:cstheme="minorHAnsi"/>
                <w:sz w:val="20"/>
                <w:szCs w:val="20"/>
              </w:rPr>
              <w:t xml:space="preserve">capacidades en los trabajadores adultos a través de acciones sectoriales, </w:t>
            </w:r>
          </w:p>
          <w:p w14:paraId="145C2594" w14:textId="77777777" w:rsidR="006B728F" w:rsidRDefault="006B728F">
            <w:pPr>
              <w:rPr>
                <w:rFonts w:cstheme="minorHAnsi"/>
                <w:sz w:val="20"/>
                <w:szCs w:val="20"/>
              </w:rPr>
            </w:pPr>
            <w:r>
              <w:rPr>
                <w:rFonts w:cstheme="minorHAnsi"/>
                <w:sz w:val="20"/>
                <w:szCs w:val="20"/>
              </w:rPr>
              <w:t xml:space="preserve">intersectoriales y comunitarias que </w:t>
            </w:r>
          </w:p>
          <w:p w14:paraId="2E1A4C19" w14:textId="77777777" w:rsidR="006B728F" w:rsidRDefault="006B728F">
            <w:pPr>
              <w:rPr>
                <w:rFonts w:cstheme="minorHAnsi"/>
                <w:sz w:val="20"/>
                <w:szCs w:val="20"/>
              </w:rPr>
            </w:pPr>
            <w:r>
              <w:rPr>
                <w:rFonts w:cstheme="minorHAnsi"/>
                <w:sz w:val="20"/>
                <w:szCs w:val="20"/>
              </w:rPr>
              <w:t>promuevan el abordaje integral de los entornos laborales, en el marco de las acciones individuales y colectivas del Plan de Salud Pública.</w:t>
            </w:r>
          </w:p>
        </w:tc>
        <w:tc>
          <w:tcPr>
            <w:tcW w:w="3730" w:type="dxa"/>
            <w:tcBorders>
              <w:top w:val="double" w:sz="4" w:space="0" w:color="C00000"/>
              <w:left w:val="double" w:sz="4" w:space="0" w:color="C00000"/>
              <w:bottom w:val="double" w:sz="4" w:space="0" w:color="C00000"/>
              <w:right w:val="nil"/>
            </w:tcBorders>
            <w:vAlign w:val="center"/>
            <w:hideMark/>
          </w:tcPr>
          <w:p w14:paraId="41E630CD" w14:textId="77777777" w:rsidR="006B728F" w:rsidRDefault="006B728F">
            <w:pPr>
              <w:rPr>
                <w:rFonts w:cstheme="minorHAnsi"/>
                <w:sz w:val="20"/>
                <w:szCs w:val="20"/>
              </w:rPr>
            </w:pPr>
            <w:r>
              <w:rPr>
                <w:rFonts w:cs="Calibri"/>
                <w:sz w:val="20"/>
                <w:szCs w:val="20"/>
              </w:rPr>
              <w:t>No se cuenta con meta directa del PDD para este producto. Secretaría Distrital de Salud propone incluir una meta en el Plan Territorial de Salud.</w:t>
            </w:r>
          </w:p>
        </w:tc>
      </w:tr>
      <w:tr w:rsidR="006B728F" w14:paraId="5FDDE75B" w14:textId="77777777" w:rsidTr="00F55220">
        <w:trPr>
          <w:trHeight w:val="2095"/>
        </w:trPr>
        <w:tc>
          <w:tcPr>
            <w:tcW w:w="1555" w:type="dxa"/>
            <w:tcBorders>
              <w:top w:val="double" w:sz="4" w:space="0" w:color="C00000"/>
              <w:left w:val="nil"/>
              <w:bottom w:val="double" w:sz="4" w:space="0" w:color="C00000"/>
              <w:right w:val="double" w:sz="4" w:space="0" w:color="C00000"/>
            </w:tcBorders>
            <w:vAlign w:val="center"/>
            <w:hideMark/>
          </w:tcPr>
          <w:p w14:paraId="6F99962F" w14:textId="77777777" w:rsidR="006B728F" w:rsidRDefault="006B728F">
            <w:pPr>
              <w:jc w:val="center"/>
              <w:rPr>
                <w:rFonts w:cstheme="minorHAnsi"/>
                <w:sz w:val="20"/>
                <w:szCs w:val="20"/>
              </w:rPr>
            </w:pPr>
            <w:r>
              <w:rPr>
                <w:rFonts w:cstheme="minorHAnsi"/>
                <w:sz w:val="20"/>
                <w:szCs w:val="20"/>
              </w:rPr>
              <w:t>Población </w:t>
            </w:r>
          </w:p>
          <w:p w14:paraId="7223690E" w14:textId="77777777" w:rsidR="006B728F" w:rsidRDefault="006B728F">
            <w:pPr>
              <w:jc w:val="center"/>
              <w:rPr>
                <w:rFonts w:cstheme="minorHAnsi"/>
                <w:sz w:val="20"/>
                <w:szCs w:val="20"/>
              </w:rPr>
            </w:pPr>
            <w:r>
              <w:rPr>
                <w:rFonts w:cstheme="minorHAnsi"/>
                <w:sz w:val="20"/>
                <w:szCs w:val="20"/>
              </w:rPr>
              <w:t xml:space="preserve">Negra, </w:t>
            </w:r>
          </w:p>
          <w:p w14:paraId="53823226" w14:textId="77777777" w:rsidR="006B728F" w:rsidRDefault="006B728F">
            <w:pPr>
              <w:jc w:val="center"/>
              <w:rPr>
                <w:rFonts w:cstheme="minorHAnsi"/>
                <w:sz w:val="20"/>
                <w:szCs w:val="20"/>
              </w:rPr>
            </w:pPr>
            <w:r>
              <w:rPr>
                <w:rFonts w:cstheme="minorHAnsi"/>
                <w:sz w:val="20"/>
                <w:szCs w:val="20"/>
              </w:rPr>
              <w:t xml:space="preserve">Afrocolombiana y </w:t>
            </w:r>
          </w:p>
          <w:p w14:paraId="44CAC395" w14:textId="77777777" w:rsidR="006B728F" w:rsidRDefault="006B728F">
            <w:pPr>
              <w:jc w:val="center"/>
              <w:rPr>
                <w:rFonts w:cstheme="minorHAnsi"/>
                <w:sz w:val="20"/>
                <w:szCs w:val="20"/>
              </w:rPr>
            </w:pPr>
            <w:r>
              <w:rPr>
                <w:rFonts w:cstheme="minorHAnsi"/>
                <w:sz w:val="20"/>
                <w:szCs w:val="20"/>
              </w:rPr>
              <w:t>Palenquera</w:t>
            </w:r>
          </w:p>
        </w:tc>
        <w:tc>
          <w:tcPr>
            <w:tcW w:w="3543" w:type="dxa"/>
            <w:tcBorders>
              <w:top w:val="double" w:sz="4" w:space="0" w:color="C00000"/>
              <w:left w:val="double" w:sz="4" w:space="0" w:color="C00000"/>
              <w:bottom w:val="double" w:sz="4" w:space="0" w:color="C00000"/>
              <w:right w:val="double" w:sz="4" w:space="0" w:color="C00000"/>
            </w:tcBorders>
            <w:vAlign w:val="center"/>
            <w:hideMark/>
          </w:tcPr>
          <w:p w14:paraId="31BDF48F" w14:textId="77777777" w:rsidR="006B728F" w:rsidRDefault="006B728F">
            <w:pPr>
              <w:rPr>
                <w:rFonts w:cstheme="minorHAnsi"/>
                <w:sz w:val="20"/>
                <w:szCs w:val="20"/>
              </w:rPr>
            </w:pPr>
            <w:r>
              <w:rPr>
                <w:rFonts w:cstheme="minorHAnsi"/>
                <w:sz w:val="20"/>
                <w:szCs w:val="20"/>
              </w:rPr>
              <w:t xml:space="preserve">3.1.17 Creación de una oficina para la atención diferencial e implementación de la política pública de las </w:t>
            </w:r>
          </w:p>
          <w:p w14:paraId="5F5BEC16" w14:textId="77777777" w:rsidR="006B728F" w:rsidRDefault="006B728F">
            <w:pPr>
              <w:rPr>
                <w:rFonts w:cstheme="minorHAnsi"/>
                <w:sz w:val="20"/>
                <w:szCs w:val="20"/>
              </w:rPr>
            </w:pPr>
            <w:r>
              <w:rPr>
                <w:rFonts w:cstheme="minorHAnsi"/>
                <w:sz w:val="20"/>
                <w:szCs w:val="20"/>
              </w:rPr>
              <w:t xml:space="preserve">comunidades negras y </w:t>
            </w:r>
          </w:p>
          <w:p w14:paraId="647CF589" w14:textId="77777777" w:rsidR="006B728F" w:rsidRDefault="006B728F">
            <w:pPr>
              <w:rPr>
                <w:rFonts w:cstheme="minorHAnsi"/>
                <w:sz w:val="20"/>
                <w:szCs w:val="20"/>
              </w:rPr>
            </w:pPr>
            <w:r>
              <w:rPr>
                <w:rFonts w:cstheme="minorHAnsi"/>
                <w:sz w:val="20"/>
                <w:szCs w:val="20"/>
              </w:rPr>
              <w:t>afrocolombianas, previa concertación con la instancia de participación legal en Distrito Capital (Consultiva Distrital)</w:t>
            </w:r>
          </w:p>
        </w:tc>
        <w:tc>
          <w:tcPr>
            <w:tcW w:w="3730" w:type="dxa"/>
            <w:tcBorders>
              <w:top w:val="double" w:sz="4" w:space="0" w:color="C00000"/>
              <w:left w:val="double" w:sz="4" w:space="0" w:color="C00000"/>
              <w:bottom w:val="double" w:sz="4" w:space="0" w:color="C00000"/>
              <w:right w:val="nil"/>
            </w:tcBorders>
            <w:vAlign w:val="center"/>
            <w:hideMark/>
          </w:tcPr>
          <w:p w14:paraId="28E4780A" w14:textId="77777777" w:rsidR="006B728F" w:rsidRDefault="006B728F">
            <w:pPr>
              <w:rPr>
                <w:rFonts w:cstheme="minorHAnsi"/>
                <w:sz w:val="20"/>
                <w:szCs w:val="20"/>
              </w:rPr>
            </w:pPr>
            <w:r>
              <w:rPr>
                <w:rFonts w:cs="Calibri"/>
                <w:sz w:val="20"/>
                <w:szCs w:val="20"/>
              </w:rPr>
              <w:t>El IPES no contempla la implementación de este producto ya que debe realizarse un estudio de viabilidad preliminarmente.</w:t>
            </w:r>
          </w:p>
        </w:tc>
      </w:tr>
      <w:tr w:rsidR="006B728F" w14:paraId="467A15A8" w14:textId="77777777" w:rsidTr="00F55220">
        <w:trPr>
          <w:trHeight w:val="963"/>
        </w:trPr>
        <w:tc>
          <w:tcPr>
            <w:tcW w:w="1555" w:type="dxa"/>
            <w:tcBorders>
              <w:top w:val="double" w:sz="4" w:space="0" w:color="C00000"/>
              <w:left w:val="nil"/>
              <w:bottom w:val="double" w:sz="4" w:space="0" w:color="C00000"/>
              <w:right w:val="double" w:sz="4" w:space="0" w:color="C00000"/>
            </w:tcBorders>
            <w:vAlign w:val="center"/>
            <w:hideMark/>
          </w:tcPr>
          <w:p w14:paraId="5F017216" w14:textId="77777777" w:rsidR="006B728F" w:rsidRDefault="006B728F">
            <w:pPr>
              <w:jc w:val="center"/>
              <w:rPr>
                <w:rFonts w:cstheme="minorHAnsi"/>
                <w:sz w:val="20"/>
                <w:szCs w:val="20"/>
              </w:rPr>
            </w:pPr>
            <w:r>
              <w:rPr>
                <w:rFonts w:cstheme="minorHAnsi"/>
                <w:sz w:val="20"/>
                <w:szCs w:val="20"/>
              </w:rPr>
              <w:t>Comunicación Comunitaria</w:t>
            </w:r>
          </w:p>
        </w:tc>
        <w:tc>
          <w:tcPr>
            <w:tcW w:w="3543" w:type="dxa"/>
            <w:tcBorders>
              <w:top w:val="double" w:sz="4" w:space="0" w:color="C00000"/>
              <w:left w:val="double" w:sz="4" w:space="0" w:color="C00000"/>
              <w:bottom w:val="double" w:sz="4" w:space="0" w:color="C00000"/>
              <w:right w:val="double" w:sz="4" w:space="0" w:color="C00000"/>
            </w:tcBorders>
            <w:vAlign w:val="center"/>
            <w:hideMark/>
          </w:tcPr>
          <w:p w14:paraId="5582A2A3" w14:textId="77777777" w:rsidR="006B728F" w:rsidRDefault="006B728F">
            <w:pPr>
              <w:rPr>
                <w:rFonts w:cstheme="minorHAnsi"/>
                <w:sz w:val="20"/>
                <w:szCs w:val="20"/>
              </w:rPr>
            </w:pPr>
            <w:r>
              <w:rPr>
                <w:rFonts w:cstheme="minorHAnsi"/>
                <w:sz w:val="20"/>
                <w:szCs w:val="20"/>
              </w:rPr>
              <w:t>1.1.3. Fortalecimiento de los procesos e instancias de comunicación comunitaria local</w:t>
            </w:r>
          </w:p>
        </w:tc>
        <w:tc>
          <w:tcPr>
            <w:tcW w:w="3730" w:type="dxa"/>
            <w:tcBorders>
              <w:top w:val="double" w:sz="4" w:space="0" w:color="C00000"/>
              <w:left w:val="double" w:sz="4" w:space="0" w:color="C00000"/>
              <w:bottom w:val="double" w:sz="4" w:space="0" w:color="C00000"/>
              <w:right w:val="nil"/>
            </w:tcBorders>
            <w:vAlign w:val="center"/>
            <w:hideMark/>
          </w:tcPr>
          <w:p w14:paraId="0FA62F98" w14:textId="77777777" w:rsidR="006B728F" w:rsidRDefault="006B728F">
            <w:pPr>
              <w:rPr>
                <w:rFonts w:cs="Calibri"/>
                <w:sz w:val="20"/>
                <w:szCs w:val="20"/>
              </w:rPr>
            </w:pPr>
            <w:r>
              <w:rPr>
                <w:rFonts w:cs="Calibri"/>
                <w:sz w:val="20"/>
                <w:szCs w:val="20"/>
              </w:rPr>
              <w:t xml:space="preserve">Este producto debe ser incluido en la </w:t>
            </w:r>
          </w:p>
          <w:p w14:paraId="757C8EAA" w14:textId="77777777" w:rsidR="006B728F" w:rsidRDefault="006B728F">
            <w:pPr>
              <w:rPr>
                <w:rFonts w:cstheme="minorHAnsi"/>
                <w:sz w:val="20"/>
                <w:szCs w:val="20"/>
              </w:rPr>
            </w:pPr>
            <w:r>
              <w:rPr>
                <w:rFonts w:cs="Calibri"/>
                <w:sz w:val="20"/>
                <w:szCs w:val="20"/>
              </w:rPr>
              <w:t>formulación de los Planes de Desarrollo Local bajo responsabilidad de las Alcaldías Locales.</w:t>
            </w:r>
          </w:p>
        </w:tc>
      </w:tr>
      <w:tr w:rsidR="006B728F" w14:paraId="719C7CE5" w14:textId="77777777" w:rsidTr="00945BCE">
        <w:tc>
          <w:tcPr>
            <w:tcW w:w="1555" w:type="dxa"/>
            <w:vMerge w:val="restart"/>
            <w:tcBorders>
              <w:top w:val="double" w:sz="4" w:space="0" w:color="C00000"/>
              <w:left w:val="nil"/>
              <w:bottom w:val="double" w:sz="4" w:space="0" w:color="C00000"/>
              <w:right w:val="double" w:sz="4" w:space="0" w:color="C00000"/>
            </w:tcBorders>
            <w:vAlign w:val="center"/>
            <w:hideMark/>
          </w:tcPr>
          <w:p w14:paraId="549D9849" w14:textId="77777777" w:rsidR="006B728F" w:rsidRDefault="006B728F">
            <w:pPr>
              <w:jc w:val="center"/>
              <w:rPr>
                <w:rFonts w:cstheme="minorHAnsi"/>
                <w:sz w:val="20"/>
                <w:szCs w:val="20"/>
              </w:rPr>
            </w:pPr>
            <w:r>
              <w:rPr>
                <w:rFonts w:cstheme="minorHAnsi"/>
                <w:sz w:val="20"/>
                <w:szCs w:val="20"/>
              </w:rPr>
              <w:t>Vendedoras y Vendedores</w:t>
            </w:r>
          </w:p>
          <w:p w14:paraId="3CE80295" w14:textId="77777777" w:rsidR="006B728F" w:rsidRDefault="006B728F">
            <w:pPr>
              <w:jc w:val="center"/>
              <w:rPr>
                <w:rFonts w:cstheme="minorHAnsi"/>
                <w:sz w:val="20"/>
                <w:szCs w:val="20"/>
              </w:rPr>
            </w:pPr>
            <w:r>
              <w:rPr>
                <w:rFonts w:cstheme="minorHAnsi"/>
                <w:sz w:val="20"/>
                <w:szCs w:val="20"/>
              </w:rPr>
              <w:t>Informales</w:t>
            </w:r>
          </w:p>
        </w:tc>
        <w:tc>
          <w:tcPr>
            <w:tcW w:w="3543" w:type="dxa"/>
            <w:tcBorders>
              <w:top w:val="double" w:sz="4" w:space="0" w:color="C00000"/>
              <w:left w:val="double" w:sz="4" w:space="0" w:color="C00000"/>
              <w:bottom w:val="double" w:sz="4" w:space="0" w:color="C00000"/>
              <w:right w:val="double" w:sz="4" w:space="0" w:color="C00000"/>
            </w:tcBorders>
            <w:vAlign w:val="center"/>
            <w:hideMark/>
          </w:tcPr>
          <w:p w14:paraId="2BB7F4B5" w14:textId="77777777" w:rsidR="006B728F" w:rsidRDefault="006B728F">
            <w:pPr>
              <w:rPr>
                <w:rFonts w:cstheme="minorHAnsi"/>
                <w:sz w:val="20"/>
                <w:szCs w:val="20"/>
              </w:rPr>
            </w:pPr>
            <w:r>
              <w:rPr>
                <w:rFonts w:cstheme="minorHAnsi"/>
                <w:sz w:val="20"/>
                <w:szCs w:val="20"/>
              </w:rPr>
              <w:t xml:space="preserve">3.2.3. Formación de integrantes de </w:t>
            </w:r>
          </w:p>
          <w:p w14:paraId="4B3390C8" w14:textId="77777777" w:rsidR="006B728F" w:rsidRDefault="006B728F">
            <w:pPr>
              <w:rPr>
                <w:rFonts w:cstheme="minorHAnsi"/>
                <w:sz w:val="20"/>
                <w:szCs w:val="20"/>
              </w:rPr>
            </w:pPr>
            <w:r>
              <w:rPr>
                <w:rFonts w:cstheme="minorHAnsi"/>
                <w:sz w:val="20"/>
                <w:szCs w:val="20"/>
              </w:rPr>
              <w:t>medios comunitarios y alternativos para presentar propuestas de presupuestos participativos con cargo a recursos de fondos de desarrollo local</w:t>
            </w:r>
          </w:p>
        </w:tc>
        <w:tc>
          <w:tcPr>
            <w:tcW w:w="3730" w:type="dxa"/>
            <w:tcBorders>
              <w:top w:val="double" w:sz="4" w:space="0" w:color="C00000"/>
              <w:left w:val="double" w:sz="4" w:space="0" w:color="C00000"/>
              <w:bottom w:val="double" w:sz="4" w:space="0" w:color="C00000"/>
              <w:right w:val="nil"/>
            </w:tcBorders>
            <w:vAlign w:val="center"/>
            <w:hideMark/>
          </w:tcPr>
          <w:p w14:paraId="14461802" w14:textId="77777777" w:rsidR="006B728F" w:rsidRDefault="006B728F">
            <w:pPr>
              <w:rPr>
                <w:rFonts w:cs="Calibri"/>
                <w:sz w:val="20"/>
                <w:szCs w:val="20"/>
              </w:rPr>
            </w:pPr>
            <w:r>
              <w:rPr>
                <w:rFonts w:cs="Calibri"/>
                <w:sz w:val="20"/>
                <w:szCs w:val="20"/>
              </w:rPr>
              <w:t xml:space="preserve">Este producto debe ser incluido en la </w:t>
            </w:r>
          </w:p>
          <w:p w14:paraId="6013C5EA" w14:textId="77777777" w:rsidR="006B728F" w:rsidRDefault="006B728F">
            <w:pPr>
              <w:rPr>
                <w:rFonts w:cstheme="minorHAnsi"/>
                <w:sz w:val="20"/>
                <w:szCs w:val="20"/>
              </w:rPr>
            </w:pPr>
            <w:r>
              <w:rPr>
                <w:rFonts w:cs="Calibri"/>
                <w:sz w:val="20"/>
                <w:szCs w:val="20"/>
              </w:rPr>
              <w:t>formulación de los Planes de Desarrollo Local bajo responsabilidad de las Alcaldías Locales.</w:t>
            </w:r>
          </w:p>
        </w:tc>
      </w:tr>
      <w:tr w:rsidR="006B728F" w14:paraId="3E59C221" w14:textId="77777777" w:rsidTr="00F55220">
        <w:trPr>
          <w:trHeight w:val="1394"/>
        </w:trPr>
        <w:tc>
          <w:tcPr>
            <w:tcW w:w="0" w:type="auto"/>
            <w:vMerge/>
            <w:tcBorders>
              <w:top w:val="double" w:sz="4" w:space="0" w:color="C00000"/>
              <w:left w:val="nil"/>
              <w:bottom w:val="double" w:sz="4" w:space="0" w:color="C00000"/>
              <w:right w:val="double" w:sz="4" w:space="0" w:color="C00000"/>
            </w:tcBorders>
            <w:vAlign w:val="center"/>
            <w:hideMark/>
          </w:tcPr>
          <w:p w14:paraId="1B7043B2" w14:textId="77777777" w:rsidR="006B728F" w:rsidRDefault="006B728F">
            <w:pPr>
              <w:spacing w:line="240" w:lineRule="auto"/>
              <w:jc w:val="left"/>
              <w:rPr>
                <w:rFonts w:cstheme="minorHAnsi"/>
                <w:sz w:val="20"/>
                <w:szCs w:val="20"/>
              </w:rPr>
            </w:pPr>
          </w:p>
        </w:tc>
        <w:tc>
          <w:tcPr>
            <w:tcW w:w="3543" w:type="dxa"/>
            <w:tcBorders>
              <w:top w:val="double" w:sz="4" w:space="0" w:color="C00000"/>
              <w:left w:val="double" w:sz="4" w:space="0" w:color="C00000"/>
              <w:bottom w:val="double" w:sz="4" w:space="0" w:color="C00000"/>
              <w:right w:val="double" w:sz="4" w:space="0" w:color="C00000"/>
            </w:tcBorders>
            <w:vAlign w:val="center"/>
            <w:hideMark/>
          </w:tcPr>
          <w:p w14:paraId="3CE1C9B9" w14:textId="77777777" w:rsidR="006B728F" w:rsidRDefault="006B728F">
            <w:pPr>
              <w:rPr>
                <w:rFonts w:cstheme="minorHAnsi"/>
                <w:sz w:val="20"/>
                <w:szCs w:val="20"/>
              </w:rPr>
            </w:pPr>
            <w:r>
              <w:rPr>
                <w:rFonts w:cstheme="minorHAnsi"/>
                <w:sz w:val="20"/>
                <w:szCs w:val="20"/>
              </w:rPr>
              <w:t xml:space="preserve">1.2.2 Acciones de Información, </w:t>
            </w:r>
          </w:p>
          <w:p w14:paraId="3D0491AD" w14:textId="77777777" w:rsidR="006B728F" w:rsidRDefault="006B728F">
            <w:pPr>
              <w:rPr>
                <w:rFonts w:cstheme="minorHAnsi"/>
                <w:sz w:val="20"/>
                <w:szCs w:val="20"/>
              </w:rPr>
            </w:pPr>
            <w:r>
              <w:rPr>
                <w:rFonts w:cstheme="minorHAnsi"/>
                <w:sz w:val="20"/>
                <w:szCs w:val="20"/>
              </w:rPr>
              <w:t xml:space="preserve">Educación y Comunicación (IEC) para los vendedores y vendedoras </w:t>
            </w:r>
          </w:p>
          <w:p w14:paraId="73558105" w14:textId="77777777" w:rsidR="006B728F" w:rsidRDefault="006B728F">
            <w:pPr>
              <w:rPr>
                <w:rFonts w:cstheme="minorHAnsi"/>
                <w:sz w:val="20"/>
                <w:szCs w:val="20"/>
              </w:rPr>
            </w:pPr>
            <w:r>
              <w:rPr>
                <w:rFonts w:cstheme="minorHAnsi"/>
                <w:sz w:val="20"/>
                <w:szCs w:val="20"/>
              </w:rPr>
              <w:t xml:space="preserve">informales en el Distrito para la </w:t>
            </w:r>
          </w:p>
          <w:p w14:paraId="3243A197" w14:textId="77777777" w:rsidR="006B728F" w:rsidRDefault="006B728F">
            <w:pPr>
              <w:rPr>
                <w:rFonts w:cstheme="minorHAnsi"/>
                <w:sz w:val="20"/>
                <w:szCs w:val="20"/>
              </w:rPr>
            </w:pPr>
            <w:r>
              <w:rPr>
                <w:rFonts w:cstheme="minorHAnsi"/>
                <w:sz w:val="20"/>
                <w:szCs w:val="20"/>
              </w:rPr>
              <w:t>promoción del cuidado de la salud</w:t>
            </w:r>
          </w:p>
        </w:tc>
        <w:tc>
          <w:tcPr>
            <w:tcW w:w="3730" w:type="dxa"/>
            <w:tcBorders>
              <w:top w:val="double" w:sz="4" w:space="0" w:color="C00000"/>
              <w:left w:val="double" w:sz="4" w:space="0" w:color="C00000"/>
              <w:bottom w:val="double" w:sz="4" w:space="0" w:color="C00000"/>
              <w:right w:val="nil"/>
            </w:tcBorders>
            <w:vAlign w:val="center"/>
            <w:hideMark/>
          </w:tcPr>
          <w:p w14:paraId="679AF299" w14:textId="77777777" w:rsidR="006B728F" w:rsidRDefault="006B728F">
            <w:pPr>
              <w:rPr>
                <w:rFonts w:cstheme="minorHAnsi"/>
                <w:sz w:val="20"/>
                <w:szCs w:val="20"/>
              </w:rPr>
            </w:pPr>
            <w:r>
              <w:rPr>
                <w:rFonts w:cs="Calibri"/>
                <w:sz w:val="20"/>
                <w:szCs w:val="20"/>
              </w:rPr>
              <w:t>No se cuenta con meta directa del PDD para este producto. Secretaría Distrital de Salud propone incluir una meta en el Plan Territorial de Salud.</w:t>
            </w:r>
          </w:p>
        </w:tc>
      </w:tr>
    </w:tbl>
    <w:p w14:paraId="2EA75FB5" w14:textId="77777777" w:rsidR="00A50A47" w:rsidRDefault="00A50A47" w:rsidP="00A50A47">
      <w:pPr>
        <w:rPr>
          <w:noProof/>
        </w:rPr>
      </w:pPr>
    </w:p>
    <w:p w14:paraId="79069D97" w14:textId="4F389D70" w:rsidR="00A50A47" w:rsidRDefault="00A50A47" w:rsidP="00A50A47">
      <w:pPr>
        <w:rPr>
          <w:noProof/>
        </w:rPr>
      </w:pPr>
      <w:r>
        <w:rPr>
          <w:noProof/>
        </w:rPr>
        <w:lastRenderedPageBreak/>
        <w:drawing>
          <wp:anchor distT="0" distB="0" distL="114300" distR="114300" simplePos="0" relativeHeight="251837440" behindDoc="1" locked="0" layoutInCell="1" allowOverlap="1" wp14:anchorId="33D4AFEF" wp14:editId="381291D7">
            <wp:simplePos x="0" y="0"/>
            <wp:positionH relativeFrom="margin">
              <wp:align>left</wp:align>
            </wp:positionH>
            <wp:positionV relativeFrom="page">
              <wp:align>top</wp:align>
            </wp:positionV>
            <wp:extent cx="6062400" cy="2290029"/>
            <wp:effectExtent l="0" t="0" r="0" b="0"/>
            <wp:wrapNone/>
            <wp:docPr id="11027287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2870" name="Imagen 2"/>
                    <pic:cNvPicPr/>
                  </pic:nvPicPr>
                  <pic:blipFill>
                    <a:blip r:embed="rId187">
                      <a:extLst>
                        <a:ext uri="{28A0092B-C50C-407E-A947-70E740481C1C}">
                          <a14:useLocalDpi xmlns:a14="http://schemas.microsoft.com/office/drawing/2010/main" val="0"/>
                        </a:ext>
                      </a:extLst>
                    </a:blip>
                    <a:stretch>
                      <a:fillRect/>
                    </a:stretch>
                  </pic:blipFill>
                  <pic:spPr>
                    <a:xfrm>
                      <a:off x="0" y="0"/>
                      <a:ext cx="6062400" cy="2290029"/>
                    </a:xfrm>
                    <a:prstGeom prst="rect">
                      <a:avLst/>
                    </a:prstGeom>
                  </pic:spPr>
                </pic:pic>
              </a:graphicData>
            </a:graphic>
            <wp14:sizeRelH relativeFrom="page">
              <wp14:pctWidth>0</wp14:pctWidth>
            </wp14:sizeRelH>
            <wp14:sizeRelV relativeFrom="page">
              <wp14:pctHeight>0</wp14:pctHeight>
            </wp14:sizeRelV>
          </wp:anchor>
        </w:drawing>
      </w:r>
    </w:p>
    <w:p w14:paraId="492993FD" w14:textId="77777777" w:rsidR="00A50A47" w:rsidRDefault="00A50A47" w:rsidP="00A50A47">
      <w:pPr>
        <w:rPr>
          <w:noProof/>
        </w:rPr>
      </w:pPr>
    </w:p>
    <w:p w14:paraId="58C2D660" w14:textId="77777777" w:rsidR="00A50A47" w:rsidRDefault="00A50A47" w:rsidP="00A50A47">
      <w:pPr>
        <w:rPr>
          <w:noProof/>
        </w:rPr>
      </w:pPr>
    </w:p>
    <w:p w14:paraId="4C07EFED" w14:textId="129DEA77" w:rsidR="006B728F" w:rsidRDefault="006B728F" w:rsidP="00A50A47">
      <w:pPr>
        <w:rPr>
          <w:noProof/>
        </w:rPr>
      </w:pPr>
      <w:r>
        <w:rPr>
          <w:noProof/>
        </w:rPr>
        <w:softHyphen/>
      </w:r>
    </w:p>
    <w:p w14:paraId="39ADFEC6" w14:textId="77777777" w:rsidR="00A50A47" w:rsidRPr="00A50A47" w:rsidRDefault="00A50A47" w:rsidP="00A50A47">
      <w:pPr>
        <w:rPr>
          <w:lang w:eastAsia="en-US"/>
        </w:rPr>
      </w:pPr>
    </w:p>
    <w:p w14:paraId="092CCE21" w14:textId="77777777" w:rsidR="006B728F" w:rsidRDefault="006B728F" w:rsidP="00674C25">
      <w:pPr>
        <w:pStyle w:val="titulodocumento"/>
        <w:rPr>
          <w:i/>
          <w:iCs/>
        </w:rPr>
      </w:pPr>
    </w:p>
    <w:p w14:paraId="16EC7E3D" w14:textId="335F001F" w:rsidR="006B728F" w:rsidRDefault="00442DBD" w:rsidP="00442DBD">
      <w:pPr>
        <w:pStyle w:val="NIVEL2PDD"/>
      </w:pPr>
      <w:bookmarkStart w:id="504" w:name="_Toc165169814"/>
      <w:r>
        <w:t xml:space="preserve">El </w:t>
      </w:r>
      <w:r w:rsidR="006B728F" w:rsidRPr="004B41F0">
        <w:t xml:space="preserve">Plan </w:t>
      </w:r>
      <w:r>
        <w:t>y el</w:t>
      </w:r>
      <w:r w:rsidR="006B728F">
        <w:t xml:space="preserve"> </w:t>
      </w:r>
      <w:r w:rsidR="006B728F" w:rsidRPr="00133721">
        <w:t>Programa de Gobierno</w:t>
      </w:r>
      <w:bookmarkEnd w:id="504"/>
    </w:p>
    <w:p w14:paraId="4D9EA643" w14:textId="77777777" w:rsidR="006B728F" w:rsidRPr="00EF3B68" w:rsidRDefault="006B728F" w:rsidP="00EF3B68">
      <w:pPr>
        <w:rPr>
          <w:b/>
          <w:bCs/>
          <w:sz w:val="28"/>
          <w:szCs w:val="32"/>
        </w:rPr>
      </w:pPr>
      <w:r w:rsidRPr="00EF3B68">
        <w:rPr>
          <w:b/>
          <w:bCs/>
          <w:sz w:val="28"/>
          <w:szCs w:val="32"/>
        </w:rPr>
        <w:t xml:space="preserve">Bogotá Camina Segura </w:t>
      </w:r>
    </w:p>
    <w:p w14:paraId="5A5D346D" w14:textId="77777777" w:rsidR="006B728F" w:rsidRPr="00DF4131" w:rsidRDefault="006B728F" w:rsidP="0073666A">
      <w:pPr>
        <w:spacing w:after="240" w:line="240" w:lineRule="auto"/>
        <w:rPr>
          <w:rFonts w:cs="Times New Roman (Cuerpo en alfa"/>
          <w:spacing w:val="-4"/>
          <w:lang w:val="es-ES"/>
        </w:rPr>
        <w:sectPr w:rsidR="006B728F" w:rsidRPr="00DF4131" w:rsidSect="00F7078E">
          <w:footerReference w:type="even" r:id="rId188"/>
          <w:type w:val="continuous"/>
          <w:pgSz w:w="12240" w:h="15840"/>
          <w:pgMar w:top="2262" w:right="1440" w:bottom="1440" w:left="1440" w:header="709" w:footer="680" w:gutter="0"/>
          <w:cols w:space="708"/>
          <w:docGrid w:linePitch="360"/>
        </w:sectPr>
      </w:pPr>
    </w:p>
    <w:p w14:paraId="44B11C81" w14:textId="6F5459AA" w:rsidR="006B728F" w:rsidRDefault="006B728F" w:rsidP="00674C25">
      <w:r>
        <w:t xml:space="preserve">En nuestro </w:t>
      </w:r>
      <w:r w:rsidRPr="006C5184">
        <w:rPr>
          <w:b/>
          <w:bCs/>
        </w:rPr>
        <w:t>Programa de Gobierno</w:t>
      </w:r>
      <w:r>
        <w:t xml:space="preserve"> hablamos de una Bogotá que camina segura, esto se ve </w:t>
      </w:r>
      <w:r>
        <w:t xml:space="preserve">materializado en el </w:t>
      </w:r>
      <w:r w:rsidRPr="006C5184">
        <w:rPr>
          <w:b/>
          <w:bCs/>
        </w:rPr>
        <w:t>Plan Distrital de Desarrollo</w:t>
      </w:r>
      <w:r>
        <w:t xml:space="preserve"> de la siguiente manera:</w:t>
      </w:r>
    </w:p>
    <w:p w14:paraId="51D40D31" w14:textId="77777777" w:rsidR="00267DD2" w:rsidRDefault="00267DD2" w:rsidP="00674C25">
      <w:pPr>
        <w:sectPr w:rsidR="00267DD2" w:rsidSect="00F7078E">
          <w:footerReference w:type="default" r:id="rId189"/>
          <w:type w:val="continuous"/>
          <w:pgSz w:w="12240" w:h="15840"/>
          <w:pgMar w:top="2262" w:right="1440" w:bottom="1440" w:left="1440" w:header="709" w:footer="680" w:gutter="0"/>
          <w:cols w:num="2" w:space="720"/>
          <w:docGrid w:linePitch="360"/>
        </w:sectPr>
      </w:pPr>
    </w:p>
    <w:p w14:paraId="599F51B6" w14:textId="77777777" w:rsidR="006B728F" w:rsidRDefault="006B728F" w:rsidP="00674C25"/>
    <w:p w14:paraId="500E8C95" w14:textId="51D3DA1B" w:rsidR="006B728F" w:rsidRPr="0073666A" w:rsidRDefault="006B728F" w:rsidP="0073666A">
      <w:pPr>
        <w:ind w:firstLine="708"/>
        <w:rPr>
          <w:b/>
          <w:bCs/>
          <w:sz w:val="28"/>
          <w:szCs w:val="32"/>
        </w:rPr>
      </w:pPr>
      <w:r w:rsidRPr="0073666A">
        <w:rPr>
          <w:b/>
          <w:bCs/>
          <w:sz w:val="28"/>
          <w:szCs w:val="32"/>
        </w:rPr>
        <w:t>Bogotá avanza en</w:t>
      </w:r>
      <w:r w:rsidR="00AB5142" w:rsidRPr="0073666A">
        <w:rPr>
          <w:b/>
          <w:bCs/>
          <w:sz w:val="28"/>
          <w:szCs w:val="32"/>
        </w:rPr>
        <w:t xml:space="preserve"> </w:t>
      </w:r>
      <w:r w:rsidRPr="0073666A">
        <w:rPr>
          <w:b/>
          <w:bCs/>
          <w:sz w:val="28"/>
          <w:szCs w:val="32"/>
        </w:rPr>
        <w:t>seguridad</w:t>
      </w:r>
    </w:p>
    <w:p w14:paraId="3E564A8B" w14:textId="77777777" w:rsidR="00267DD2" w:rsidRDefault="00267DD2" w:rsidP="00674C25">
      <w:pPr>
        <w:sectPr w:rsidR="00267DD2" w:rsidSect="00F7078E">
          <w:type w:val="continuous"/>
          <w:pgSz w:w="12240" w:h="15840"/>
          <w:pgMar w:top="2262" w:right="1440" w:bottom="1440" w:left="1440" w:header="709" w:footer="680" w:gutter="0"/>
          <w:cols w:space="708"/>
          <w:docGrid w:linePitch="360"/>
        </w:sectPr>
      </w:pPr>
    </w:p>
    <w:p w14:paraId="59340552" w14:textId="1FAA6813" w:rsidR="006B728F" w:rsidRDefault="006B728F" w:rsidP="00674C25">
      <w:pPr>
        <w:rPr>
          <w:noProof/>
        </w:rPr>
      </w:pPr>
      <w:r>
        <w:t xml:space="preserve">Bogotá debe ser una ciudad en la que sus habitantes se puedan desplazar tranquilamente en el ámbito urbano, rural y regional, disfrutar del </w:t>
      </w:r>
      <w:r w:rsidRPr="006C5184">
        <w:t xml:space="preserve">espacio público, y vivir, trabajar y soñar sin </w:t>
      </w:r>
      <w:r w:rsidRPr="006C5184">
        <w:t xml:space="preserve">restricciones, donde especialmente las mujeres puedan caminar sin sentir </w:t>
      </w:r>
      <w:r>
        <w:t>miedo y no haya espacio para el accionar delincuencial y violento.</w:t>
      </w:r>
      <w:r w:rsidR="0073666A" w:rsidRPr="0073666A">
        <w:rPr>
          <w:noProof/>
        </w:rPr>
        <w:t xml:space="preserve"> </w:t>
      </w:r>
    </w:p>
    <w:p w14:paraId="0F768B8B" w14:textId="77777777" w:rsidR="00267DD2" w:rsidRDefault="00267DD2" w:rsidP="00674C25">
      <w:pPr>
        <w:rPr>
          <w:noProof/>
        </w:rPr>
        <w:sectPr w:rsidR="00267DD2" w:rsidSect="00F7078E">
          <w:type w:val="continuous"/>
          <w:pgSz w:w="12240" w:h="15840"/>
          <w:pgMar w:top="2262" w:right="1440" w:bottom="1440" w:left="1440" w:header="709" w:footer="680" w:gutter="0"/>
          <w:cols w:num="2" w:space="720"/>
          <w:docGrid w:linePitch="360"/>
        </w:sectPr>
      </w:pPr>
    </w:p>
    <w:p w14:paraId="20C7156A" w14:textId="77777777" w:rsidR="0073666A" w:rsidRDefault="0073666A" w:rsidP="00674C25">
      <w:pPr>
        <w:rPr>
          <w:noProof/>
        </w:rPr>
      </w:pPr>
    </w:p>
    <w:p w14:paraId="46CA0412" w14:textId="6D266728" w:rsidR="0073666A" w:rsidRDefault="0073666A" w:rsidP="00674C25">
      <w:pPr>
        <w:rPr>
          <w:noProof/>
        </w:rPr>
      </w:pPr>
      <w:r>
        <w:rPr>
          <w:noProof/>
        </w:rPr>
        <w:drawing>
          <wp:anchor distT="0" distB="0" distL="114300" distR="114300" simplePos="0" relativeHeight="251889664" behindDoc="1" locked="0" layoutInCell="1" allowOverlap="1" wp14:anchorId="18ACA026" wp14:editId="7550532D">
            <wp:simplePos x="0" y="0"/>
            <wp:positionH relativeFrom="margin">
              <wp:align>center</wp:align>
            </wp:positionH>
            <wp:positionV relativeFrom="paragraph">
              <wp:posOffset>107719</wp:posOffset>
            </wp:positionV>
            <wp:extent cx="5621020" cy="3700780"/>
            <wp:effectExtent l="0" t="0" r="0" b="0"/>
            <wp:wrapTight wrapText="bothSides">
              <wp:wrapPolygon edited="0">
                <wp:start x="2928" y="334"/>
                <wp:lineTo x="1830" y="2557"/>
                <wp:lineTo x="1757" y="4114"/>
                <wp:lineTo x="952" y="4781"/>
                <wp:lineTo x="805" y="5003"/>
                <wp:lineTo x="805" y="5893"/>
                <wp:lineTo x="0" y="7338"/>
                <wp:lineTo x="0" y="10118"/>
                <wp:lineTo x="659" y="11230"/>
                <wp:lineTo x="1025" y="11230"/>
                <wp:lineTo x="1684" y="13009"/>
                <wp:lineTo x="1757" y="14899"/>
                <wp:lineTo x="3441" y="16567"/>
                <wp:lineTo x="3514" y="19235"/>
                <wp:lineTo x="3880" y="20125"/>
                <wp:lineTo x="4246" y="20125"/>
                <wp:lineTo x="5124" y="21014"/>
                <wp:lineTo x="5197" y="21237"/>
                <wp:lineTo x="15446" y="21237"/>
                <wp:lineTo x="15519" y="21014"/>
                <wp:lineTo x="16471" y="20125"/>
                <wp:lineTo x="17569" y="20125"/>
                <wp:lineTo x="21302" y="18791"/>
                <wp:lineTo x="21302" y="18012"/>
                <wp:lineTo x="19472" y="17234"/>
                <wp:lineTo x="17276" y="16567"/>
                <wp:lineTo x="16324" y="14788"/>
                <wp:lineTo x="20131" y="13898"/>
                <wp:lineTo x="20058" y="13120"/>
                <wp:lineTo x="19033" y="13009"/>
                <wp:lineTo x="19033" y="12231"/>
                <wp:lineTo x="14934" y="11230"/>
                <wp:lineTo x="17569" y="9451"/>
                <wp:lineTo x="17715" y="8450"/>
                <wp:lineTo x="16983" y="8117"/>
                <wp:lineTo x="15153" y="5893"/>
                <wp:lineTo x="17642" y="5893"/>
                <wp:lineTo x="19179" y="5226"/>
                <wp:lineTo x="19253" y="3336"/>
                <wp:lineTo x="18301" y="2891"/>
                <wp:lineTo x="15153" y="2335"/>
                <wp:lineTo x="15300" y="1001"/>
                <wp:lineTo x="13469" y="778"/>
                <wp:lineTo x="3660" y="334"/>
                <wp:lineTo x="2928" y="334"/>
              </wp:wrapPolygon>
            </wp:wrapTight>
            <wp:docPr id="87895320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21020" cy="3700780"/>
                    </a:xfrm>
                    <a:prstGeom prst="rect">
                      <a:avLst/>
                    </a:prstGeom>
                    <a:noFill/>
                  </pic:spPr>
                </pic:pic>
              </a:graphicData>
            </a:graphic>
          </wp:anchor>
        </w:drawing>
      </w:r>
    </w:p>
    <w:p w14:paraId="7DB79239" w14:textId="77777777" w:rsidR="0073666A" w:rsidRDefault="0073666A" w:rsidP="00674C25">
      <w:pPr>
        <w:rPr>
          <w:noProof/>
        </w:rPr>
      </w:pPr>
    </w:p>
    <w:p w14:paraId="4EEBDA7F" w14:textId="5B1F98EA" w:rsidR="0073666A" w:rsidRDefault="0073666A" w:rsidP="00674C25">
      <w:pPr>
        <w:rPr>
          <w:noProof/>
        </w:rPr>
      </w:pPr>
    </w:p>
    <w:p w14:paraId="6F304546" w14:textId="77777777" w:rsidR="0073666A" w:rsidRDefault="0073666A" w:rsidP="00674C25">
      <w:pPr>
        <w:rPr>
          <w:noProof/>
        </w:rPr>
      </w:pPr>
    </w:p>
    <w:p w14:paraId="5735AF80" w14:textId="278F6FA2" w:rsidR="0073666A" w:rsidRDefault="0073666A" w:rsidP="00674C25">
      <w:pPr>
        <w:rPr>
          <w:noProof/>
        </w:rPr>
      </w:pPr>
    </w:p>
    <w:p w14:paraId="6576B10F" w14:textId="77777777" w:rsidR="0073666A" w:rsidRDefault="0073666A" w:rsidP="00674C25">
      <w:pPr>
        <w:rPr>
          <w:noProof/>
        </w:rPr>
      </w:pPr>
    </w:p>
    <w:p w14:paraId="076453D8" w14:textId="11C42D2C" w:rsidR="0073666A" w:rsidRDefault="0073666A" w:rsidP="00674C25"/>
    <w:p w14:paraId="15285FF0" w14:textId="6999F2FA" w:rsidR="0073666A" w:rsidRDefault="0073666A" w:rsidP="00674C25"/>
    <w:p w14:paraId="1EEA8A23" w14:textId="01DD8193" w:rsidR="0073666A" w:rsidRDefault="0073666A" w:rsidP="00674C25"/>
    <w:p w14:paraId="3BBD08C9" w14:textId="279165B3" w:rsidR="006B728F" w:rsidRDefault="006B728F" w:rsidP="00674C25"/>
    <w:p w14:paraId="6CA1E03A" w14:textId="4C3BBE0C" w:rsidR="0073666A" w:rsidRDefault="0073666A" w:rsidP="00674C25"/>
    <w:p w14:paraId="5E06D35F" w14:textId="43A279EA" w:rsidR="006B728F" w:rsidRDefault="006B728F" w:rsidP="00674C25"/>
    <w:p w14:paraId="36869C36" w14:textId="77777777" w:rsidR="0073666A" w:rsidRDefault="0073666A">
      <w:pPr>
        <w:spacing w:line="240" w:lineRule="auto"/>
        <w:jc w:val="left"/>
        <w:rPr>
          <w:rFonts w:eastAsiaTheme="majorEastAsia" w:cstheme="majorBidi"/>
          <w:b/>
          <w:color w:val="C00000"/>
          <w:sz w:val="40"/>
          <w:szCs w:val="32"/>
          <w:lang w:eastAsia="en-US"/>
        </w:rPr>
      </w:pPr>
      <w:r>
        <w:br w:type="page"/>
      </w:r>
    </w:p>
    <w:p w14:paraId="46E7C0DF" w14:textId="29DFD96D" w:rsidR="006B728F" w:rsidRPr="0073666A" w:rsidRDefault="006B728F" w:rsidP="0073666A">
      <w:pPr>
        <w:ind w:firstLine="708"/>
        <w:rPr>
          <w:b/>
          <w:bCs/>
          <w:sz w:val="28"/>
          <w:szCs w:val="22"/>
        </w:rPr>
      </w:pPr>
      <w:r w:rsidRPr="0073666A">
        <w:rPr>
          <w:b/>
          <w:bCs/>
          <w:sz w:val="28"/>
          <w:szCs w:val="22"/>
        </w:rPr>
        <w:lastRenderedPageBreak/>
        <w:t>Bogotá confía en su Bien–Estar</w:t>
      </w:r>
    </w:p>
    <w:p w14:paraId="4F0AE565" w14:textId="77777777" w:rsidR="00267DD2" w:rsidRDefault="00267DD2" w:rsidP="00674C25">
      <w:pPr>
        <w:sectPr w:rsidR="00267DD2" w:rsidSect="00F7078E">
          <w:type w:val="continuous"/>
          <w:pgSz w:w="12240" w:h="15840"/>
          <w:pgMar w:top="2262" w:right="1440" w:bottom="1440" w:left="1440" w:header="709" w:footer="680" w:gutter="0"/>
          <w:cols w:space="708"/>
          <w:docGrid w:linePitch="360"/>
        </w:sectPr>
      </w:pPr>
    </w:p>
    <w:p w14:paraId="43DF114A" w14:textId="4FB31D12" w:rsidR="006B728F" w:rsidRDefault="006B728F" w:rsidP="00674C25">
      <w:r>
        <w:t xml:space="preserve">Con este objetivo impulsaremos el acceso equitativo y de calidad a los servicios de salud, cuidado, cultura, recreación, deporte y a </w:t>
      </w:r>
      <w:r>
        <w:t>soluciones habitacionales para avanzar en la reducción de la pobreza, la inseguridad alimentaria y la desigualdad.</w:t>
      </w:r>
    </w:p>
    <w:p w14:paraId="700F304D" w14:textId="77777777" w:rsidR="00267DD2" w:rsidRDefault="00267DD2" w:rsidP="00674C25">
      <w:pPr>
        <w:sectPr w:rsidR="00267DD2" w:rsidSect="00F7078E">
          <w:type w:val="continuous"/>
          <w:pgSz w:w="12240" w:h="15840"/>
          <w:pgMar w:top="2262" w:right="1440" w:bottom="1440" w:left="1440" w:header="709" w:footer="680" w:gutter="0"/>
          <w:cols w:num="2" w:space="720"/>
          <w:docGrid w:linePitch="360"/>
        </w:sectPr>
      </w:pPr>
    </w:p>
    <w:p w14:paraId="5FA71B66" w14:textId="54DA6164" w:rsidR="006B728F" w:rsidRDefault="0073666A" w:rsidP="00674C25">
      <w:r>
        <w:rPr>
          <w:noProof/>
        </w:rPr>
        <w:drawing>
          <wp:anchor distT="0" distB="0" distL="114300" distR="114300" simplePos="0" relativeHeight="251890688" behindDoc="1" locked="0" layoutInCell="1" allowOverlap="1" wp14:anchorId="29408183" wp14:editId="69E5B29C">
            <wp:simplePos x="0" y="0"/>
            <wp:positionH relativeFrom="column">
              <wp:posOffset>484678</wp:posOffset>
            </wp:positionH>
            <wp:positionV relativeFrom="paragraph">
              <wp:posOffset>107662</wp:posOffset>
            </wp:positionV>
            <wp:extent cx="5005309" cy="5382491"/>
            <wp:effectExtent l="0" t="0" r="0" b="0"/>
            <wp:wrapTight wrapText="bothSides">
              <wp:wrapPolygon edited="0">
                <wp:start x="3042" y="0"/>
                <wp:lineTo x="2549" y="153"/>
                <wp:lineTo x="2220" y="688"/>
                <wp:lineTo x="2220" y="1300"/>
                <wp:lineTo x="1809" y="1453"/>
                <wp:lineTo x="1726" y="2523"/>
                <wp:lineTo x="1069" y="2982"/>
                <wp:lineTo x="493" y="3593"/>
                <wp:lineTo x="82" y="4358"/>
                <wp:lineTo x="0" y="6193"/>
                <wp:lineTo x="1644" y="7416"/>
                <wp:lineTo x="1726" y="9021"/>
                <wp:lineTo x="2713" y="9862"/>
                <wp:lineTo x="3124" y="9862"/>
                <wp:lineTo x="3453" y="11085"/>
                <wp:lineTo x="2302" y="11621"/>
                <wp:lineTo x="2138" y="11773"/>
                <wp:lineTo x="2220" y="12309"/>
                <wp:lineTo x="1151" y="13532"/>
                <wp:lineTo x="904" y="13685"/>
                <wp:lineTo x="247" y="14602"/>
                <wp:lineTo x="0" y="15978"/>
                <wp:lineTo x="0" y="17507"/>
                <wp:lineTo x="1151" y="18425"/>
                <wp:lineTo x="1562" y="18425"/>
                <wp:lineTo x="1726" y="20183"/>
                <wp:lineTo x="2220" y="20871"/>
                <wp:lineTo x="2631" y="20871"/>
                <wp:lineTo x="3371" y="21330"/>
                <wp:lineTo x="3453" y="21483"/>
                <wp:lineTo x="13730" y="21483"/>
                <wp:lineTo x="13812" y="21330"/>
                <wp:lineTo x="14552" y="20871"/>
                <wp:lineTo x="19978" y="20107"/>
                <wp:lineTo x="20307" y="19801"/>
                <wp:lineTo x="18498" y="19189"/>
                <wp:lineTo x="15456" y="18425"/>
                <wp:lineTo x="13647" y="17202"/>
                <wp:lineTo x="18087" y="16972"/>
                <wp:lineTo x="18087" y="16513"/>
                <wp:lineTo x="13730" y="15978"/>
                <wp:lineTo x="15374" y="14755"/>
                <wp:lineTo x="17511" y="14755"/>
                <wp:lineTo x="20718" y="13991"/>
                <wp:lineTo x="20800" y="13303"/>
                <wp:lineTo x="20142" y="13073"/>
                <wp:lineTo x="16525" y="12309"/>
                <wp:lineTo x="17594" y="12309"/>
                <wp:lineTo x="20224" y="11468"/>
                <wp:lineTo x="20142" y="11085"/>
                <wp:lineTo x="21375" y="11009"/>
                <wp:lineTo x="21129" y="10627"/>
                <wp:lineTo x="17182" y="9862"/>
                <wp:lineTo x="16360" y="9174"/>
                <wp:lineTo x="15456" y="8639"/>
                <wp:lineTo x="20389" y="8410"/>
                <wp:lineTo x="20389" y="7569"/>
                <wp:lineTo x="15538" y="7416"/>
                <wp:lineTo x="14880" y="6575"/>
                <wp:lineTo x="14798" y="6193"/>
                <wp:lineTo x="20389" y="5046"/>
                <wp:lineTo x="20553" y="4664"/>
                <wp:lineTo x="15045" y="3746"/>
                <wp:lineTo x="18169" y="2599"/>
                <wp:lineTo x="18251" y="2446"/>
                <wp:lineTo x="14963" y="1300"/>
                <wp:lineTo x="15209" y="382"/>
                <wp:lineTo x="13976" y="306"/>
                <wp:lineTo x="3946" y="0"/>
                <wp:lineTo x="3042" y="0"/>
              </wp:wrapPolygon>
            </wp:wrapTight>
            <wp:docPr id="832250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5072" name="Picture 5"/>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5005309" cy="5382491"/>
                    </a:xfrm>
                    <a:prstGeom prst="rect">
                      <a:avLst/>
                    </a:prstGeom>
                  </pic:spPr>
                </pic:pic>
              </a:graphicData>
            </a:graphic>
          </wp:anchor>
        </w:drawing>
      </w:r>
    </w:p>
    <w:p w14:paraId="28D2F7E4" w14:textId="065ADC15" w:rsidR="006B728F" w:rsidRDefault="006B728F" w:rsidP="00674C25"/>
    <w:p w14:paraId="407CA584" w14:textId="192714C9" w:rsidR="006B728F" w:rsidRDefault="006B728F" w:rsidP="00674C25"/>
    <w:p w14:paraId="08E6A1EE" w14:textId="1AFF728E" w:rsidR="006B728F" w:rsidRDefault="006B728F" w:rsidP="00674C25">
      <w:pPr>
        <w:rPr>
          <w:b/>
        </w:rPr>
      </w:pPr>
    </w:p>
    <w:p w14:paraId="12DEED4C" w14:textId="67ECE02F" w:rsidR="006B728F" w:rsidRDefault="006B728F" w:rsidP="00674C25">
      <w:pPr>
        <w:rPr>
          <w:b/>
        </w:rPr>
      </w:pPr>
    </w:p>
    <w:p w14:paraId="6BB19CF2" w14:textId="77777777" w:rsidR="0073666A" w:rsidRDefault="0073666A" w:rsidP="00674C25">
      <w:pPr>
        <w:spacing w:line="240" w:lineRule="auto"/>
        <w:jc w:val="left"/>
      </w:pPr>
    </w:p>
    <w:p w14:paraId="5B222983" w14:textId="77777777" w:rsidR="0073666A" w:rsidRDefault="0073666A" w:rsidP="00674C25">
      <w:pPr>
        <w:spacing w:line="240" w:lineRule="auto"/>
        <w:jc w:val="left"/>
      </w:pPr>
    </w:p>
    <w:p w14:paraId="25ECC601" w14:textId="77777777" w:rsidR="0073666A" w:rsidRDefault="0073666A" w:rsidP="00674C25">
      <w:pPr>
        <w:spacing w:line="240" w:lineRule="auto"/>
        <w:jc w:val="left"/>
      </w:pPr>
    </w:p>
    <w:p w14:paraId="29E089B7" w14:textId="77777777" w:rsidR="0073666A" w:rsidRDefault="0073666A" w:rsidP="00674C25">
      <w:pPr>
        <w:spacing w:line="240" w:lineRule="auto"/>
        <w:jc w:val="left"/>
      </w:pPr>
    </w:p>
    <w:p w14:paraId="4C0E6E52" w14:textId="77777777" w:rsidR="0073666A" w:rsidRDefault="0073666A" w:rsidP="00674C25">
      <w:pPr>
        <w:spacing w:line="240" w:lineRule="auto"/>
        <w:jc w:val="left"/>
      </w:pPr>
    </w:p>
    <w:p w14:paraId="1F61E2E5" w14:textId="77777777" w:rsidR="0073666A" w:rsidRDefault="0073666A" w:rsidP="00674C25">
      <w:pPr>
        <w:spacing w:line="240" w:lineRule="auto"/>
        <w:jc w:val="left"/>
      </w:pPr>
    </w:p>
    <w:p w14:paraId="7E13DA6F" w14:textId="77777777" w:rsidR="0073666A" w:rsidRDefault="0073666A" w:rsidP="00674C25">
      <w:pPr>
        <w:spacing w:line="240" w:lineRule="auto"/>
        <w:jc w:val="left"/>
      </w:pPr>
    </w:p>
    <w:p w14:paraId="24318AF8" w14:textId="77777777" w:rsidR="0073666A" w:rsidRDefault="0073666A" w:rsidP="00674C25">
      <w:pPr>
        <w:spacing w:line="240" w:lineRule="auto"/>
        <w:jc w:val="left"/>
      </w:pPr>
    </w:p>
    <w:p w14:paraId="5B674113" w14:textId="77777777" w:rsidR="0073666A" w:rsidRDefault="0073666A" w:rsidP="00674C25">
      <w:pPr>
        <w:spacing w:line="240" w:lineRule="auto"/>
        <w:jc w:val="left"/>
      </w:pPr>
    </w:p>
    <w:p w14:paraId="43E1CBFA" w14:textId="77777777" w:rsidR="0073666A" w:rsidRDefault="0073666A" w:rsidP="00674C25">
      <w:pPr>
        <w:spacing w:line="240" w:lineRule="auto"/>
        <w:jc w:val="left"/>
      </w:pPr>
    </w:p>
    <w:p w14:paraId="6A042616" w14:textId="77777777" w:rsidR="0073666A" w:rsidRDefault="0073666A" w:rsidP="00674C25">
      <w:pPr>
        <w:spacing w:line="240" w:lineRule="auto"/>
        <w:jc w:val="left"/>
      </w:pPr>
    </w:p>
    <w:p w14:paraId="02EB1E17" w14:textId="77777777" w:rsidR="0073666A" w:rsidRDefault="0073666A" w:rsidP="00674C25">
      <w:pPr>
        <w:spacing w:line="240" w:lineRule="auto"/>
        <w:jc w:val="left"/>
      </w:pPr>
    </w:p>
    <w:p w14:paraId="168DE476" w14:textId="77777777" w:rsidR="0073666A" w:rsidRDefault="0073666A" w:rsidP="00674C25">
      <w:pPr>
        <w:spacing w:line="240" w:lineRule="auto"/>
        <w:jc w:val="left"/>
      </w:pPr>
    </w:p>
    <w:p w14:paraId="0DB2F9E1" w14:textId="77777777" w:rsidR="0073666A" w:rsidRDefault="0073666A" w:rsidP="00674C25">
      <w:pPr>
        <w:spacing w:line="240" w:lineRule="auto"/>
        <w:jc w:val="left"/>
      </w:pPr>
    </w:p>
    <w:p w14:paraId="0CC08688" w14:textId="77777777" w:rsidR="0073666A" w:rsidRDefault="0073666A" w:rsidP="00674C25">
      <w:pPr>
        <w:spacing w:line="240" w:lineRule="auto"/>
        <w:jc w:val="left"/>
      </w:pPr>
    </w:p>
    <w:p w14:paraId="7E453527" w14:textId="77777777" w:rsidR="0073666A" w:rsidRDefault="0073666A" w:rsidP="00674C25">
      <w:pPr>
        <w:spacing w:line="240" w:lineRule="auto"/>
        <w:jc w:val="left"/>
      </w:pPr>
    </w:p>
    <w:p w14:paraId="01450840" w14:textId="77777777" w:rsidR="0073666A" w:rsidRDefault="0073666A" w:rsidP="00674C25">
      <w:pPr>
        <w:spacing w:line="240" w:lineRule="auto"/>
        <w:jc w:val="left"/>
      </w:pPr>
    </w:p>
    <w:p w14:paraId="2EBAC25C" w14:textId="77777777" w:rsidR="0073666A" w:rsidRDefault="0073666A" w:rsidP="00674C25">
      <w:pPr>
        <w:spacing w:line="240" w:lineRule="auto"/>
        <w:jc w:val="left"/>
      </w:pPr>
    </w:p>
    <w:p w14:paraId="33321A4C" w14:textId="77777777" w:rsidR="0073666A" w:rsidRDefault="0073666A" w:rsidP="00674C25">
      <w:pPr>
        <w:spacing w:line="240" w:lineRule="auto"/>
        <w:jc w:val="left"/>
      </w:pPr>
    </w:p>
    <w:p w14:paraId="1D2D125F" w14:textId="77777777" w:rsidR="0073666A" w:rsidRDefault="0073666A" w:rsidP="00674C25">
      <w:pPr>
        <w:spacing w:line="240" w:lineRule="auto"/>
        <w:jc w:val="left"/>
      </w:pPr>
    </w:p>
    <w:p w14:paraId="12BD9295" w14:textId="77777777" w:rsidR="0073666A" w:rsidRDefault="0073666A" w:rsidP="00674C25">
      <w:pPr>
        <w:spacing w:line="240" w:lineRule="auto"/>
        <w:jc w:val="left"/>
      </w:pPr>
    </w:p>
    <w:p w14:paraId="43EAF495" w14:textId="77777777" w:rsidR="0073666A" w:rsidRDefault="0073666A" w:rsidP="00674C25">
      <w:pPr>
        <w:spacing w:line="240" w:lineRule="auto"/>
        <w:jc w:val="left"/>
      </w:pPr>
    </w:p>
    <w:p w14:paraId="07335286" w14:textId="77777777" w:rsidR="0073666A" w:rsidRDefault="0073666A" w:rsidP="00674C25">
      <w:pPr>
        <w:spacing w:line="240" w:lineRule="auto"/>
        <w:jc w:val="left"/>
      </w:pPr>
    </w:p>
    <w:p w14:paraId="0F71F853" w14:textId="77777777" w:rsidR="0073666A" w:rsidRDefault="0073666A" w:rsidP="00674C25">
      <w:pPr>
        <w:spacing w:line="240" w:lineRule="auto"/>
        <w:jc w:val="left"/>
      </w:pPr>
    </w:p>
    <w:p w14:paraId="7A266B81" w14:textId="77777777" w:rsidR="0073666A" w:rsidRDefault="0073666A" w:rsidP="00674C25">
      <w:pPr>
        <w:spacing w:line="240" w:lineRule="auto"/>
        <w:jc w:val="left"/>
      </w:pPr>
    </w:p>
    <w:p w14:paraId="5A2E1D99" w14:textId="77777777" w:rsidR="0073666A" w:rsidRDefault="0073666A" w:rsidP="00674C25">
      <w:pPr>
        <w:spacing w:line="240" w:lineRule="auto"/>
        <w:jc w:val="left"/>
      </w:pPr>
    </w:p>
    <w:p w14:paraId="442CE66E" w14:textId="77777777" w:rsidR="0073666A" w:rsidRDefault="0073666A" w:rsidP="00674C25">
      <w:pPr>
        <w:spacing w:line="240" w:lineRule="auto"/>
        <w:jc w:val="left"/>
      </w:pPr>
    </w:p>
    <w:p w14:paraId="18268E23" w14:textId="77777777" w:rsidR="0073666A" w:rsidRDefault="0073666A" w:rsidP="00674C25">
      <w:pPr>
        <w:spacing w:line="240" w:lineRule="auto"/>
        <w:jc w:val="left"/>
      </w:pPr>
    </w:p>
    <w:p w14:paraId="7AC2E468" w14:textId="77777777" w:rsidR="0073666A" w:rsidRDefault="0073666A" w:rsidP="00674C25">
      <w:pPr>
        <w:spacing w:line="240" w:lineRule="auto"/>
        <w:jc w:val="left"/>
      </w:pPr>
    </w:p>
    <w:p w14:paraId="14D7D130" w14:textId="77777777" w:rsidR="0073666A" w:rsidRDefault="0073666A" w:rsidP="00674C25">
      <w:pPr>
        <w:spacing w:line="240" w:lineRule="auto"/>
        <w:jc w:val="left"/>
      </w:pPr>
    </w:p>
    <w:p w14:paraId="0B2C3FB4" w14:textId="77777777" w:rsidR="0073666A" w:rsidRDefault="0073666A" w:rsidP="00674C25">
      <w:pPr>
        <w:spacing w:line="240" w:lineRule="auto"/>
        <w:jc w:val="left"/>
      </w:pPr>
    </w:p>
    <w:p w14:paraId="4E266065" w14:textId="77777777" w:rsidR="0073666A" w:rsidRDefault="0073666A" w:rsidP="00674C25">
      <w:pPr>
        <w:spacing w:line="240" w:lineRule="auto"/>
        <w:jc w:val="left"/>
      </w:pPr>
    </w:p>
    <w:p w14:paraId="700518ED" w14:textId="77777777" w:rsidR="0073666A" w:rsidRDefault="0073666A" w:rsidP="00674C25">
      <w:pPr>
        <w:spacing w:line="240" w:lineRule="auto"/>
        <w:jc w:val="left"/>
      </w:pPr>
    </w:p>
    <w:p w14:paraId="4A003612" w14:textId="77777777" w:rsidR="0073666A" w:rsidRDefault="0073666A" w:rsidP="00674C25">
      <w:pPr>
        <w:spacing w:line="240" w:lineRule="auto"/>
        <w:jc w:val="left"/>
      </w:pPr>
    </w:p>
    <w:p w14:paraId="0D423B2E" w14:textId="05273F96" w:rsidR="006B728F" w:rsidRDefault="0073666A" w:rsidP="00674C25">
      <w:pPr>
        <w:spacing w:line="240" w:lineRule="auto"/>
        <w:jc w:val="left"/>
        <w:rPr>
          <w:rFonts w:eastAsiaTheme="majorEastAsia" w:cstheme="majorBidi"/>
          <w:b/>
          <w:color w:val="C00000"/>
          <w:sz w:val="40"/>
          <w:szCs w:val="32"/>
        </w:rPr>
      </w:pPr>
      <w:r>
        <w:rPr>
          <w:b/>
          <w:noProof/>
        </w:rPr>
        <w:lastRenderedPageBreak/>
        <w:drawing>
          <wp:anchor distT="0" distB="0" distL="114300" distR="114300" simplePos="0" relativeHeight="251892736" behindDoc="0" locked="0" layoutInCell="1" allowOverlap="1" wp14:anchorId="4DBF184F" wp14:editId="5918574F">
            <wp:simplePos x="0" y="0"/>
            <wp:positionH relativeFrom="column">
              <wp:posOffset>0</wp:posOffset>
            </wp:positionH>
            <wp:positionV relativeFrom="paragraph">
              <wp:posOffset>311785</wp:posOffset>
            </wp:positionV>
            <wp:extent cx="5612130" cy="4549775"/>
            <wp:effectExtent l="0" t="0" r="1270" b="0"/>
            <wp:wrapSquare wrapText="bothSides"/>
            <wp:docPr id="317234046" name="Picture 9" descr="Imagen de la pantalla de un video 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34046" name="Picture 9" descr="Imagen de la pantalla de un video juego&#10;&#10;Descripción generada automáticamente con confianza baja"/>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612130" cy="4549775"/>
                    </a:xfrm>
                    <a:prstGeom prst="rect">
                      <a:avLst/>
                    </a:prstGeom>
                  </pic:spPr>
                </pic:pic>
              </a:graphicData>
            </a:graphic>
            <wp14:sizeRelH relativeFrom="page">
              <wp14:pctWidth>0</wp14:pctWidth>
            </wp14:sizeRelH>
            <wp14:sizeRelV relativeFrom="page">
              <wp14:pctHeight>0</wp14:pctHeight>
            </wp14:sizeRelV>
          </wp:anchor>
        </w:drawing>
      </w:r>
      <w:r w:rsidR="006B728F">
        <w:br w:type="page"/>
      </w:r>
    </w:p>
    <w:p w14:paraId="40E4FA86" w14:textId="6B44984B" w:rsidR="006B728F" w:rsidRPr="0073666A" w:rsidRDefault="006B728F" w:rsidP="0073666A">
      <w:pPr>
        <w:ind w:firstLine="708"/>
        <w:rPr>
          <w:b/>
          <w:bCs/>
          <w:sz w:val="28"/>
          <w:szCs w:val="32"/>
        </w:rPr>
      </w:pPr>
      <w:r w:rsidRPr="0073666A">
        <w:rPr>
          <w:b/>
          <w:bCs/>
          <w:sz w:val="28"/>
          <w:szCs w:val="32"/>
        </w:rPr>
        <w:lastRenderedPageBreak/>
        <w:t>Bogotá confía en su potencial</w:t>
      </w:r>
    </w:p>
    <w:p w14:paraId="11BCE74C" w14:textId="77777777" w:rsidR="00267DD2" w:rsidRDefault="00267DD2" w:rsidP="00674C25">
      <w:pPr>
        <w:sectPr w:rsidR="00267DD2" w:rsidSect="00F7078E">
          <w:type w:val="continuous"/>
          <w:pgSz w:w="12240" w:h="15840"/>
          <w:pgMar w:top="2262" w:right="1440" w:bottom="1440" w:left="1440" w:header="709" w:footer="680" w:gutter="0"/>
          <w:cols w:space="708"/>
          <w:docGrid w:linePitch="360"/>
        </w:sectPr>
      </w:pPr>
    </w:p>
    <w:p w14:paraId="2B6BC3F8" w14:textId="248D0B10" w:rsidR="006B728F" w:rsidRDefault="006B728F" w:rsidP="00674C25">
      <w:r>
        <w:t xml:space="preserve">Con este objetivo fortaleceremos el entorno productivo generando un buen ambiente para el desarrollo empresarial, el fomento de capacidades, la generación de valor, riqueza, </w:t>
      </w:r>
      <w:r>
        <w:t>emprendimiento y empleo. Así mismo, buscaremos que Bogotá sea un escenario propicio para la educación, garantizando el acceso en todas las etapas.</w:t>
      </w:r>
    </w:p>
    <w:p w14:paraId="170202B0" w14:textId="77777777" w:rsidR="00267DD2" w:rsidRDefault="00267DD2" w:rsidP="00674C25">
      <w:pPr>
        <w:sectPr w:rsidR="00267DD2" w:rsidSect="00F7078E">
          <w:type w:val="continuous"/>
          <w:pgSz w:w="12240" w:h="15840"/>
          <w:pgMar w:top="2262" w:right="1440" w:bottom="1440" w:left="1440" w:header="709" w:footer="680" w:gutter="0"/>
          <w:cols w:num="2" w:space="720"/>
          <w:docGrid w:linePitch="360"/>
        </w:sectPr>
      </w:pPr>
    </w:p>
    <w:p w14:paraId="6049BA0A" w14:textId="659B6152" w:rsidR="006B728F" w:rsidRDefault="006B728F" w:rsidP="00674C25"/>
    <w:p w14:paraId="0772ED46" w14:textId="7097A88B" w:rsidR="006B728F" w:rsidRDefault="006B728F" w:rsidP="00674C25">
      <w:r>
        <w:rPr>
          <w:noProof/>
        </w:rPr>
        <w:drawing>
          <wp:anchor distT="0" distB="0" distL="114300" distR="114300" simplePos="0" relativeHeight="251841536" behindDoc="0" locked="0" layoutInCell="1" allowOverlap="1" wp14:anchorId="5D60B6B6" wp14:editId="018EA9E5">
            <wp:simplePos x="0" y="0"/>
            <wp:positionH relativeFrom="column">
              <wp:posOffset>43271</wp:posOffset>
            </wp:positionH>
            <wp:positionV relativeFrom="paragraph">
              <wp:posOffset>263071</wp:posOffset>
            </wp:positionV>
            <wp:extent cx="5612130" cy="3724275"/>
            <wp:effectExtent l="0" t="0" r="0" b="0"/>
            <wp:wrapTopAndBottom/>
            <wp:docPr id="5940826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82609" name="Picture 594082609"/>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612130" cy="3724275"/>
                    </a:xfrm>
                    <a:prstGeom prst="rect">
                      <a:avLst/>
                    </a:prstGeom>
                  </pic:spPr>
                </pic:pic>
              </a:graphicData>
            </a:graphic>
            <wp14:sizeRelH relativeFrom="page">
              <wp14:pctWidth>0</wp14:pctWidth>
            </wp14:sizeRelH>
            <wp14:sizeRelV relativeFrom="page">
              <wp14:pctHeight>0</wp14:pctHeight>
            </wp14:sizeRelV>
          </wp:anchor>
        </w:drawing>
      </w:r>
    </w:p>
    <w:p w14:paraId="5F054F86" w14:textId="77777777" w:rsidR="006B728F" w:rsidRDefault="006B728F" w:rsidP="00674C25"/>
    <w:p w14:paraId="227676EC" w14:textId="77777777" w:rsidR="0073666A" w:rsidRDefault="0073666A">
      <w:pPr>
        <w:spacing w:line="240" w:lineRule="auto"/>
        <w:jc w:val="left"/>
      </w:pPr>
      <w:r>
        <w:br w:type="page"/>
      </w:r>
    </w:p>
    <w:p w14:paraId="69C8B140" w14:textId="697757F6" w:rsidR="006B728F" w:rsidRPr="0073666A" w:rsidRDefault="006B728F" w:rsidP="0073666A">
      <w:pPr>
        <w:ind w:firstLine="708"/>
        <w:rPr>
          <w:b/>
          <w:bCs/>
        </w:rPr>
      </w:pPr>
      <w:r w:rsidRPr="0073666A">
        <w:rPr>
          <w:b/>
          <w:bCs/>
          <w:sz w:val="28"/>
          <w:szCs w:val="32"/>
        </w:rPr>
        <w:lastRenderedPageBreak/>
        <w:t>Bogotá ordena su territorio y avanza en su acción climática</w:t>
      </w:r>
    </w:p>
    <w:p w14:paraId="432DD6A1" w14:textId="77777777" w:rsidR="00267DD2" w:rsidRDefault="00267DD2" w:rsidP="00674C25">
      <w:pPr>
        <w:sectPr w:rsidR="00267DD2" w:rsidSect="00F7078E">
          <w:type w:val="continuous"/>
          <w:pgSz w:w="12240" w:h="15840"/>
          <w:pgMar w:top="2262" w:right="1440" w:bottom="1440" w:left="1440" w:header="709" w:footer="680" w:gutter="0"/>
          <w:cols w:space="708"/>
          <w:docGrid w:linePitch="360"/>
        </w:sectPr>
      </w:pPr>
    </w:p>
    <w:p w14:paraId="5344E1D4" w14:textId="77777777" w:rsidR="006B728F" w:rsidRDefault="006B728F" w:rsidP="00674C25">
      <w:r>
        <w:rPr>
          <w:noProof/>
        </w:rPr>
        <w:drawing>
          <wp:anchor distT="0" distB="0" distL="114300" distR="114300" simplePos="0" relativeHeight="251840512" behindDoc="0" locked="0" layoutInCell="1" allowOverlap="1" wp14:anchorId="6F3896CD" wp14:editId="0EFC567D">
            <wp:simplePos x="0" y="0"/>
            <wp:positionH relativeFrom="margin">
              <wp:align>center</wp:align>
            </wp:positionH>
            <wp:positionV relativeFrom="paragraph">
              <wp:posOffset>863369</wp:posOffset>
            </wp:positionV>
            <wp:extent cx="5612130" cy="6035040"/>
            <wp:effectExtent l="0" t="0" r="0" b="3810"/>
            <wp:wrapTopAndBottom/>
            <wp:docPr id="97299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9113" name="Picture 97299113"/>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5612130" cy="6035040"/>
                    </a:xfrm>
                    <a:prstGeom prst="rect">
                      <a:avLst/>
                    </a:prstGeom>
                  </pic:spPr>
                </pic:pic>
              </a:graphicData>
            </a:graphic>
            <wp14:sizeRelH relativeFrom="page">
              <wp14:pctWidth>0</wp14:pctWidth>
            </wp14:sizeRelH>
            <wp14:sizeRelV relativeFrom="page">
              <wp14:pctHeight>0</wp14:pctHeight>
            </wp14:sizeRelV>
          </wp:anchor>
        </w:drawing>
      </w:r>
      <w:r>
        <w:t xml:space="preserve">Con este objetivo avanzaremos en la acción climática, la conservación de la biodiversidad y sus servicios ecosistémicos, la movilidad sostenible y multimodal, la revitalización y renovación urbana, la construcción de un hábitat </w:t>
      </w:r>
      <w:r>
        <w:t>digno y el acceso a vivienda y servicios públicos, para consolidar el modelo de ocupación territorial y el proyecto de desarrollo sostenible con enfoques regional, distrital y local.</w:t>
      </w:r>
    </w:p>
    <w:p w14:paraId="508FBD46" w14:textId="77777777" w:rsidR="00267DD2" w:rsidRDefault="00267DD2" w:rsidP="0073666A">
      <w:pPr>
        <w:pStyle w:val="Ttulo1"/>
        <w:ind w:firstLine="708"/>
        <w:rPr>
          <w:color w:val="3B3838" w:themeColor="background2" w:themeShade="40"/>
          <w:sz w:val="32"/>
          <w:szCs w:val="24"/>
        </w:rPr>
        <w:sectPr w:rsidR="00267DD2" w:rsidSect="00F7078E">
          <w:type w:val="continuous"/>
          <w:pgSz w:w="12240" w:h="15840"/>
          <w:pgMar w:top="2262" w:right="1440" w:bottom="1440" w:left="1440" w:header="709" w:footer="680" w:gutter="0"/>
          <w:cols w:num="2" w:space="720"/>
          <w:docGrid w:linePitch="360"/>
        </w:sectPr>
      </w:pPr>
    </w:p>
    <w:p w14:paraId="037C8131" w14:textId="77777777" w:rsidR="00267DD2" w:rsidRDefault="00267DD2">
      <w:pPr>
        <w:spacing w:line="240" w:lineRule="auto"/>
        <w:jc w:val="left"/>
        <w:rPr>
          <w:rFonts w:eastAsiaTheme="majorEastAsia" w:cstheme="majorBidi"/>
          <w:b/>
          <w:sz w:val="32"/>
          <w:lang w:eastAsia="en-US"/>
        </w:rPr>
      </w:pPr>
      <w:r>
        <w:rPr>
          <w:sz w:val="32"/>
        </w:rPr>
        <w:br w:type="page"/>
      </w:r>
    </w:p>
    <w:p w14:paraId="14986C58" w14:textId="16BA4883" w:rsidR="006B728F" w:rsidRPr="006B69D6" w:rsidRDefault="006B728F" w:rsidP="006B69D6">
      <w:pPr>
        <w:ind w:firstLine="708"/>
        <w:rPr>
          <w:b/>
          <w:bCs/>
          <w:sz w:val="28"/>
          <w:szCs w:val="28"/>
        </w:rPr>
      </w:pPr>
      <w:r w:rsidRPr="006B69D6">
        <w:rPr>
          <w:b/>
          <w:bCs/>
          <w:sz w:val="28"/>
          <w:szCs w:val="28"/>
        </w:rPr>
        <w:lastRenderedPageBreak/>
        <w:t>Bogotá confía en su gobierno</w:t>
      </w:r>
    </w:p>
    <w:p w14:paraId="5C552E33" w14:textId="77777777" w:rsidR="00267DD2" w:rsidRDefault="00267DD2" w:rsidP="00674C25">
      <w:pPr>
        <w:sectPr w:rsidR="00267DD2" w:rsidSect="00F7078E">
          <w:type w:val="continuous"/>
          <w:pgSz w:w="12240" w:h="15840"/>
          <w:pgMar w:top="2262" w:right="1440" w:bottom="1440" w:left="1440" w:header="709" w:footer="680" w:gutter="0"/>
          <w:cols w:space="708"/>
          <w:docGrid w:linePitch="360"/>
        </w:sectPr>
      </w:pPr>
    </w:p>
    <w:p w14:paraId="368115C8" w14:textId="7E4975BE" w:rsidR="006B728F" w:rsidRPr="00265A7D" w:rsidRDefault="006B728F" w:rsidP="00674C25">
      <w:r w:rsidRPr="00265A7D">
        <w:t>Con este objetivo estableceremos espacios de confianza y</w:t>
      </w:r>
      <w:r>
        <w:t xml:space="preserve"> </w:t>
      </w:r>
      <w:r w:rsidRPr="00265A7D">
        <w:t>diálogo entre el gobierno y la ciudadanía, garantizando que las</w:t>
      </w:r>
      <w:r>
        <w:t xml:space="preserve"> </w:t>
      </w:r>
      <w:r w:rsidRPr="00265A7D">
        <w:t>personas se sientan respaldadas por la administración pública y</w:t>
      </w:r>
      <w:r>
        <w:t xml:space="preserve"> </w:t>
      </w:r>
      <w:r w:rsidRPr="00265A7D">
        <w:t>promoviendo la integridad, la transparencia, la eficiencia y la</w:t>
      </w:r>
      <w:r>
        <w:t xml:space="preserve"> </w:t>
      </w:r>
      <w:r w:rsidRPr="00265A7D">
        <w:t>atención oportuna de las necesidades</w:t>
      </w:r>
      <w:r>
        <w:t xml:space="preserve"> </w:t>
      </w:r>
      <w:r w:rsidRPr="00265A7D">
        <w:t>de la gente.</w:t>
      </w:r>
      <w:r w:rsidR="0073666A" w:rsidRPr="0073666A">
        <w:rPr>
          <w:b/>
          <w:noProof/>
        </w:rPr>
        <w:t xml:space="preserve"> </w:t>
      </w:r>
    </w:p>
    <w:p w14:paraId="4ADA31D2" w14:textId="77777777" w:rsidR="00267DD2" w:rsidRDefault="00267DD2" w:rsidP="00674C25">
      <w:pPr>
        <w:sectPr w:rsidR="00267DD2" w:rsidSect="00F7078E">
          <w:type w:val="continuous"/>
          <w:pgSz w:w="12240" w:h="15840"/>
          <w:pgMar w:top="2262" w:right="1440" w:bottom="1440" w:left="1440" w:header="709" w:footer="680" w:gutter="0"/>
          <w:cols w:num="2" w:space="720"/>
          <w:docGrid w:linePitch="360"/>
        </w:sectPr>
      </w:pPr>
    </w:p>
    <w:p w14:paraId="112D5AC6" w14:textId="77777777" w:rsidR="006B728F" w:rsidRDefault="006B728F" w:rsidP="00674C25">
      <w:r>
        <w:rPr>
          <w:noProof/>
        </w:rPr>
        <w:drawing>
          <wp:anchor distT="0" distB="0" distL="114300" distR="114300" simplePos="0" relativeHeight="251843584" behindDoc="0" locked="0" layoutInCell="1" allowOverlap="1" wp14:anchorId="78BB7CAA" wp14:editId="72CBC974">
            <wp:simplePos x="0" y="0"/>
            <wp:positionH relativeFrom="column">
              <wp:posOffset>0</wp:posOffset>
            </wp:positionH>
            <wp:positionV relativeFrom="paragraph">
              <wp:posOffset>253732</wp:posOffset>
            </wp:positionV>
            <wp:extent cx="5612130" cy="3889375"/>
            <wp:effectExtent l="0" t="0" r="0" b="0"/>
            <wp:wrapTopAndBottom/>
            <wp:docPr id="17112169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16995" name="Picture 1711216995"/>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612130" cy="3889375"/>
                    </a:xfrm>
                    <a:prstGeom prst="rect">
                      <a:avLst/>
                    </a:prstGeom>
                  </pic:spPr>
                </pic:pic>
              </a:graphicData>
            </a:graphic>
            <wp14:sizeRelH relativeFrom="page">
              <wp14:pctWidth>0</wp14:pctWidth>
            </wp14:sizeRelH>
            <wp14:sizeRelV relativeFrom="page">
              <wp14:pctHeight>0</wp14:pctHeight>
            </wp14:sizeRelV>
          </wp:anchor>
        </w:drawing>
      </w:r>
    </w:p>
    <w:p w14:paraId="14000B7D" w14:textId="77777777" w:rsidR="006B728F" w:rsidRPr="00C1533F" w:rsidRDefault="006B728F" w:rsidP="00674C25"/>
    <w:p w14:paraId="60C57EAB" w14:textId="77777777" w:rsidR="006B728F" w:rsidRDefault="006B728F">
      <w:pPr>
        <w:spacing w:line="240" w:lineRule="auto"/>
        <w:jc w:val="left"/>
        <w:rPr>
          <w:rFonts w:cs="Times New Roman (Cuerpo en alfa"/>
          <w:spacing w:val="-10"/>
          <w:lang w:eastAsia="es-CO"/>
        </w:rPr>
      </w:pPr>
      <w:r>
        <w:rPr>
          <w:rFonts w:cs="Times New Roman (Cuerpo en alfa"/>
          <w:spacing w:val="-10"/>
          <w:lang w:eastAsia="es-CO"/>
        </w:rPr>
        <w:br w:type="page"/>
      </w:r>
    </w:p>
    <w:p w14:paraId="1399522C" w14:textId="50293A64" w:rsidR="006B728F" w:rsidRDefault="006B728F" w:rsidP="006B69D6"/>
    <w:p w14:paraId="7BF2129C" w14:textId="77777777" w:rsidR="006B728F" w:rsidRDefault="006B728F" w:rsidP="006B69D6"/>
    <w:p w14:paraId="4C064631" w14:textId="77777777" w:rsidR="00973DCC" w:rsidRDefault="00973DCC" w:rsidP="00715E74">
      <w:pPr>
        <w:pStyle w:val="titulodocumento"/>
      </w:pPr>
    </w:p>
    <w:p w14:paraId="08562020" w14:textId="77777777" w:rsidR="005F4E92" w:rsidRDefault="005F4E92" w:rsidP="00715E74">
      <w:pPr>
        <w:pStyle w:val="titulodocumento"/>
      </w:pPr>
    </w:p>
    <w:p w14:paraId="10C0E675" w14:textId="3226EF1D" w:rsidR="006B728F" w:rsidRDefault="00FE7A5A" w:rsidP="005F4E92">
      <w:pPr>
        <w:pStyle w:val="NIVEL2PDD"/>
        <w:spacing w:line="240" w:lineRule="auto"/>
      </w:pPr>
      <w:bookmarkStart w:id="505" w:name="_Toc165169815"/>
      <w:r>
        <w:t>El Plan</w:t>
      </w:r>
      <w:r w:rsidR="00C3284D" w:rsidRPr="00562BAF">
        <w:rPr>
          <w:noProof/>
        </w:rPr>
        <w:drawing>
          <wp:anchor distT="0" distB="0" distL="114300" distR="114300" simplePos="0" relativeHeight="251859968" behindDoc="1" locked="0" layoutInCell="1" allowOverlap="1" wp14:anchorId="192E366A" wp14:editId="11E8F27E">
            <wp:simplePos x="0" y="0"/>
            <wp:positionH relativeFrom="margin">
              <wp:posOffset>-1270</wp:posOffset>
            </wp:positionH>
            <wp:positionV relativeFrom="margin">
              <wp:posOffset>-1621155</wp:posOffset>
            </wp:positionV>
            <wp:extent cx="5932800" cy="2240504"/>
            <wp:effectExtent l="0" t="0" r="0" b="7620"/>
            <wp:wrapNone/>
            <wp:docPr id="3014343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3438" name="Imagen 2"/>
                    <pic:cNvPicPr/>
                  </pic:nvPicPr>
                  <pic:blipFill>
                    <a:blip r:embed="rId196">
                      <a:extLst>
                        <a:ext uri="{28A0092B-C50C-407E-A947-70E740481C1C}">
                          <a14:useLocalDpi xmlns:a14="http://schemas.microsoft.com/office/drawing/2010/main" val="0"/>
                        </a:ext>
                      </a:extLst>
                    </a:blip>
                    <a:stretch>
                      <a:fillRect/>
                    </a:stretch>
                  </pic:blipFill>
                  <pic:spPr>
                    <a:xfrm>
                      <a:off x="0" y="0"/>
                      <a:ext cx="5932800" cy="2240504"/>
                    </a:xfrm>
                    <a:prstGeom prst="rect">
                      <a:avLst/>
                    </a:prstGeom>
                  </pic:spPr>
                </pic:pic>
              </a:graphicData>
            </a:graphic>
            <wp14:sizeRelH relativeFrom="page">
              <wp14:pctWidth>0</wp14:pctWidth>
            </wp14:sizeRelH>
            <wp14:sizeRelV relativeFrom="page">
              <wp14:pctHeight>0</wp14:pctHeight>
            </wp14:sizeRelV>
          </wp:anchor>
        </w:drawing>
      </w:r>
      <w:r w:rsidR="005F4E92">
        <w:t xml:space="preserve"> </w:t>
      </w:r>
      <w:r w:rsidR="006B728F" w:rsidRPr="0077599B">
        <w:t xml:space="preserve">y el </w:t>
      </w:r>
      <w:r w:rsidR="006B728F" w:rsidRPr="00236AAB">
        <w:t>Plan Nacional de Desarrollo</w:t>
      </w:r>
      <w:bookmarkEnd w:id="505"/>
      <w:r w:rsidR="006B728F" w:rsidRPr="00236AAB">
        <w:t xml:space="preserve"> </w:t>
      </w:r>
    </w:p>
    <w:p w14:paraId="1D99EF34" w14:textId="77777777" w:rsidR="006B728F" w:rsidRPr="008D0B52" w:rsidRDefault="006B728F" w:rsidP="008D0B52">
      <w:pPr>
        <w:rPr>
          <w:b/>
          <w:bCs/>
          <w:sz w:val="28"/>
          <w:szCs w:val="32"/>
          <w:lang w:val="es-419"/>
        </w:rPr>
      </w:pPr>
      <w:r w:rsidRPr="008D0B52">
        <w:rPr>
          <w:b/>
          <w:bCs/>
          <w:sz w:val="28"/>
          <w:szCs w:val="32"/>
        </w:rPr>
        <w:t>Bogotá Camina Segura y Colombia Potencia Mundial de La Vida</w:t>
      </w:r>
    </w:p>
    <w:p w14:paraId="357A5603" w14:textId="77777777" w:rsidR="006B728F" w:rsidRDefault="006B728F" w:rsidP="00715E74">
      <w:pPr>
        <w:rPr>
          <w:lang w:val="es-ES"/>
        </w:rPr>
        <w:sectPr w:rsidR="006B728F" w:rsidSect="00F7078E">
          <w:type w:val="continuous"/>
          <w:pgSz w:w="12240" w:h="15840"/>
          <w:pgMar w:top="2262" w:right="1440" w:bottom="1440" w:left="1440" w:header="709" w:footer="680" w:gutter="0"/>
          <w:cols w:space="708"/>
          <w:docGrid w:linePitch="360"/>
        </w:sectPr>
      </w:pPr>
    </w:p>
    <w:p w14:paraId="31428CCE" w14:textId="77777777" w:rsidR="006B728F" w:rsidRPr="002749A3" w:rsidRDefault="006B728F" w:rsidP="00715E74">
      <w:pPr>
        <w:rPr>
          <w:lang w:val="es-ES"/>
        </w:rPr>
      </w:pPr>
      <w:r w:rsidRPr="002749A3">
        <w:rPr>
          <w:lang w:val="es-ES"/>
        </w:rPr>
        <w:t>Bogotá Camina Segura está implícitamente relacionada con el nivel nacional. En la elaboración de nuestro Plan hemos tenido presente el Plan Nacional de Desarrollo 2022-2026 “Colombia Potencia Mundial de la Vida”.</w:t>
      </w:r>
    </w:p>
    <w:p w14:paraId="61207AE6" w14:textId="77777777" w:rsidR="006B728F" w:rsidRPr="002749A3" w:rsidRDefault="006B728F" w:rsidP="00715E74">
      <w:pPr>
        <w:rPr>
          <w:lang w:val="es-ES"/>
        </w:rPr>
      </w:pPr>
    </w:p>
    <w:p w14:paraId="3617AF02" w14:textId="77777777" w:rsidR="006B728F" w:rsidRPr="002749A3" w:rsidRDefault="006B728F" w:rsidP="00715E74">
      <w:pPr>
        <w:rPr>
          <w:lang w:val="es-ES"/>
        </w:rPr>
      </w:pPr>
      <w:r w:rsidRPr="002749A3">
        <w:rPr>
          <w:lang w:val="es-ES"/>
        </w:rPr>
        <w:t>El Plan Nacional de Desarrollo es una apuesta para que Colombia se consolide como líder mundial en la protección de la vida y la sostenibilidad ambiental, lo que implica no solo enfrentar los desafíos que se califican como urgentes: la deforestación, la equidad de género o la seguridad alimentaria, sino también replantear fundamentalmente la relación del país consigo mismo y con su entorno. Aspiración que comparte Bogotá Camina Segura al tener como centro al ciudadano, la confianza y la vida en sociedad; esto en medio de un entorno seguro y sostenible ambientalmente.</w:t>
      </w:r>
    </w:p>
    <w:p w14:paraId="45A1B751" w14:textId="77777777" w:rsidR="006B728F" w:rsidRPr="002749A3" w:rsidRDefault="006B728F" w:rsidP="00715E74">
      <w:pPr>
        <w:rPr>
          <w:lang w:val="es-ES"/>
        </w:rPr>
      </w:pPr>
    </w:p>
    <w:p w14:paraId="6802853A" w14:textId="77777777" w:rsidR="006B728F" w:rsidRPr="002749A3" w:rsidRDefault="006B728F" w:rsidP="00715E74">
      <w:pPr>
        <w:rPr>
          <w:lang w:val="es-ES"/>
        </w:rPr>
      </w:pPr>
      <w:r w:rsidRPr="002749A3">
        <w:rPr>
          <w:lang w:val="es-ES"/>
        </w:rPr>
        <w:t xml:space="preserve">Visualizar el nivel de articulación que existe entre los dos planes parte de entender la estrategia de cada uno. El Plan Nacional de Desarrollo se subdivide en Transformaciones y Componentes o Programas, y unos catalizadores que son transversales y aplicables en mayor o menor </w:t>
      </w:r>
      <w:r w:rsidRPr="002749A3">
        <w:rPr>
          <w:lang w:val="es-ES"/>
        </w:rPr>
        <w:t>medida en cada una de las cinco transformaciones propuestas. Por otro lado, nuestro Plan Distrital de Desarrollo se divide en Objetivos Estratégicos, Estrategias y Programas.</w:t>
      </w:r>
    </w:p>
    <w:p w14:paraId="43BDE400" w14:textId="77777777" w:rsidR="006B728F" w:rsidRPr="002749A3" w:rsidRDefault="006B728F" w:rsidP="00715E74">
      <w:pPr>
        <w:rPr>
          <w:lang w:val="es-ES"/>
        </w:rPr>
      </w:pPr>
    </w:p>
    <w:p w14:paraId="66E0BD59" w14:textId="77777777" w:rsidR="006B728F" w:rsidRPr="002749A3" w:rsidRDefault="006B728F" w:rsidP="00715E74">
      <w:pPr>
        <w:rPr>
          <w:lang w:val="es-ES"/>
        </w:rPr>
      </w:pPr>
      <w:r w:rsidRPr="002749A3">
        <w:rPr>
          <w:lang w:val="es-ES"/>
        </w:rPr>
        <w:t>Los dos planes son apuestas de desarrollo holísticas y cruzadas, por lo que el emparejamiento no podría darse de manera lineal. Un primer análisis, asociando los 259 programas del Plan Nacional de Desarrollo con el sentido de los 39 programas del Plan Distrital de Desarrollo y descontando las acciones que son de exclusiva competencia del nivel nacional, podría concluir que hay un relacionamiento de 87,9 % entre ambos planes.</w:t>
      </w:r>
    </w:p>
    <w:p w14:paraId="56CCE801" w14:textId="77777777" w:rsidR="006B728F" w:rsidRPr="002749A3" w:rsidRDefault="006B728F" w:rsidP="00715E74">
      <w:pPr>
        <w:rPr>
          <w:lang w:val="es-ES"/>
        </w:rPr>
      </w:pPr>
    </w:p>
    <w:p w14:paraId="0DED650E" w14:textId="77777777" w:rsidR="006B728F" w:rsidRPr="00236AAB" w:rsidRDefault="006B728F" w:rsidP="00715E74">
      <w:pPr>
        <w:rPr>
          <w:lang w:val="es-ES"/>
        </w:rPr>
      </w:pPr>
      <w:r w:rsidRPr="002749A3">
        <w:rPr>
          <w:lang w:val="es-ES"/>
        </w:rPr>
        <w:t>Con el fin de visualizar mejor tal correspondencia, a continuación, teniendo como base la estructura del Plan Nacional de Desarrollo, analizaremos su relación con el Plan Distrital de Desarrollo</w:t>
      </w:r>
      <w:r w:rsidRPr="00236AAB">
        <w:rPr>
          <w:lang w:val="es-ES"/>
        </w:rPr>
        <w:t>.</w:t>
      </w:r>
    </w:p>
    <w:p w14:paraId="674A72C5" w14:textId="77777777" w:rsidR="006B728F" w:rsidRDefault="006B728F" w:rsidP="00715E74">
      <w:pPr>
        <w:pStyle w:val="titulodocumento"/>
        <w:rPr>
          <w:i/>
          <w:iCs/>
          <w:color w:val="C00000"/>
        </w:rPr>
      </w:pPr>
    </w:p>
    <w:p w14:paraId="2E21E19C" w14:textId="77777777" w:rsidR="006B728F" w:rsidRDefault="006B728F" w:rsidP="00715E74">
      <w:pPr>
        <w:pStyle w:val="titulodocumento"/>
        <w:rPr>
          <w:i/>
          <w:iCs/>
          <w:color w:val="C00000"/>
        </w:rPr>
      </w:pPr>
    </w:p>
    <w:p w14:paraId="64D8E2AE" w14:textId="77777777" w:rsidR="006B728F" w:rsidRDefault="006B728F" w:rsidP="00715E74">
      <w:pPr>
        <w:pStyle w:val="titulodocumento"/>
        <w:rPr>
          <w:i/>
          <w:iCs/>
          <w:color w:val="C00000"/>
        </w:rPr>
        <w:sectPr w:rsidR="006B728F" w:rsidSect="00F7078E">
          <w:type w:val="continuous"/>
          <w:pgSz w:w="12240" w:h="15840"/>
          <w:pgMar w:top="2262" w:right="1440" w:bottom="1440" w:left="1440" w:header="709" w:footer="680" w:gutter="0"/>
          <w:cols w:num="2" w:space="567"/>
          <w:docGrid w:linePitch="360"/>
        </w:sectPr>
      </w:pPr>
    </w:p>
    <w:p w14:paraId="436BDB2F" w14:textId="77777777" w:rsidR="005B5BBF" w:rsidRDefault="005B5BBF" w:rsidP="008D0B52">
      <w:pPr>
        <w:pStyle w:val="subnumeros"/>
        <w:numPr>
          <w:ilvl w:val="0"/>
          <w:numId w:val="0"/>
        </w:numPr>
        <w:ind w:left="425"/>
        <w:outlineLvl w:val="9"/>
        <w:rPr>
          <w:color w:val="C00000"/>
        </w:rPr>
      </w:pPr>
      <w:r>
        <w:rPr>
          <w:color w:val="C00000"/>
        </w:rPr>
        <w:br w:type="page"/>
      </w:r>
    </w:p>
    <w:p w14:paraId="2C309C20" w14:textId="56D2BCBB" w:rsidR="006B728F" w:rsidRPr="00D754A9" w:rsidRDefault="006B728F" w:rsidP="008D0B52">
      <w:pPr>
        <w:pStyle w:val="subnumeros"/>
        <w:numPr>
          <w:ilvl w:val="0"/>
          <w:numId w:val="0"/>
        </w:numPr>
        <w:ind w:left="708"/>
        <w:outlineLvl w:val="9"/>
      </w:pPr>
      <w:r w:rsidRPr="00C3284D">
        <w:rPr>
          <w:color w:val="C00000"/>
        </w:rPr>
        <w:lastRenderedPageBreak/>
        <w:t xml:space="preserve">Transformación 1: </w:t>
      </w:r>
      <w:r w:rsidRPr="00D754A9">
        <w:t xml:space="preserve">Ordenamiento del Territorio Alrededor </w:t>
      </w:r>
      <w:r w:rsidR="00C3284D">
        <w:t xml:space="preserve">                 </w:t>
      </w:r>
      <w:r w:rsidRPr="00D754A9">
        <w:t>del Agua y Justicia Ambiental</w:t>
      </w:r>
    </w:p>
    <w:p w14:paraId="084514F1"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space="708"/>
          <w:docGrid w:linePitch="360"/>
        </w:sectPr>
      </w:pPr>
    </w:p>
    <w:p w14:paraId="23F0494E" w14:textId="7EE1B473"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num="2" w:space="567"/>
          <w:docGrid w:linePitch="360"/>
        </w:sectPr>
      </w:pPr>
      <w:r w:rsidRPr="002749A3">
        <w:rPr>
          <w:rFonts w:cs="Times New Roman (Cuerpo en alfa"/>
          <w:spacing w:val="-10"/>
        </w:rPr>
        <w:t xml:space="preserve">Tanto el Plan Nacional de Desarrollo como el Plan Distrital de Desarrollo hacen énfasis en el ordenamiento territorial y la justicia ambiental como pilares fundamentales para el desarrollo sostenible. Esta convergencia se refleja en la priorización de programas destinados a la gestión del riesgo de desastres, a la revitalización urbana y rural y a la promoción de un hábitat incluyente y sostenible. Estas acciones no solo buscan abordar desafíos ambientales y territoriales, sino </w:t>
      </w:r>
      <w:r w:rsidRPr="002749A3">
        <w:rPr>
          <w:rFonts w:cs="Times New Roman (Cuerpo en alfa"/>
          <w:spacing w:val="-10"/>
        </w:rPr>
        <w:t>también promover la equidad y la participación ciudadana en la toma de decisiones relacionadas con el desarrollo urbano y rural. No se observa abordaje de aspectos como orientaciones de base fiscal de los municipios, la implementación de los Sistemas de información del territorio interoperables o el Sistema de Administración del Territorio (SAT), que podría entenderse dada la competencia del Distrito en ese aspecto.</w:t>
      </w:r>
    </w:p>
    <w:p w14:paraId="2864ACEC" w14:textId="77777777" w:rsidR="006B728F" w:rsidRPr="002749A3" w:rsidRDefault="006B728F" w:rsidP="00715E74">
      <w:pPr>
        <w:rPr>
          <w:rFonts w:cs="Times New Roman (Cuerpo en alfa"/>
          <w:spacing w:val="-10"/>
        </w:rPr>
      </w:pPr>
    </w:p>
    <w:p w14:paraId="394AABA2" w14:textId="2E01AE2D" w:rsidR="006B728F" w:rsidRPr="001D3C49" w:rsidRDefault="006B728F" w:rsidP="008D0B52">
      <w:pPr>
        <w:pStyle w:val="subnumeros"/>
        <w:numPr>
          <w:ilvl w:val="0"/>
          <w:numId w:val="0"/>
        </w:numPr>
        <w:ind w:firstLine="708"/>
        <w:outlineLvl w:val="9"/>
      </w:pPr>
      <w:r w:rsidRPr="00C3284D">
        <w:rPr>
          <w:color w:val="C00000"/>
        </w:rPr>
        <w:t xml:space="preserve">Transformación 2: </w:t>
      </w:r>
      <w:r w:rsidRPr="001D3C49">
        <w:t>Seguridad Humana y Justicia Social</w:t>
      </w:r>
    </w:p>
    <w:p w14:paraId="289439E2"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space="567"/>
          <w:docGrid w:linePitch="360"/>
        </w:sectPr>
      </w:pPr>
    </w:p>
    <w:p w14:paraId="597D5FFA" w14:textId="77777777" w:rsidR="006B728F" w:rsidRPr="002749A3" w:rsidRDefault="006B728F" w:rsidP="00715E74">
      <w:pPr>
        <w:rPr>
          <w:rFonts w:cs="Times New Roman (Cuerpo en alfa"/>
          <w:spacing w:val="-10"/>
        </w:rPr>
      </w:pPr>
      <w:r w:rsidRPr="002749A3">
        <w:rPr>
          <w:rFonts w:cs="Times New Roman (Cuerpo en alfa"/>
          <w:spacing w:val="-10"/>
        </w:rPr>
        <w:t xml:space="preserve">La seguridad humana y la justicia social son temas transversales en ambos planes, que se reflejan en programas orientados a la prevención de la violencia; la promoción del diálogo social, y el fortalecimiento de la convivencia pacífica y la cultura ciudadana. Esta </w:t>
      </w:r>
      <w:r w:rsidRPr="002749A3">
        <w:rPr>
          <w:rFonts w:cs="Times New Roman (Cuerpo en alfa"/>
          <w:spacing w:val="-10"/>
        </w:rPr>
        <w:t>convergencia evidencia un compromiso compartido entre la autoridad nacional y la local para abordar las causas estructurales de la violencia y promover sociedades más seguras, inclusivas y resilientes.</w:t>
      </w:r>
    </w:p>
    <w:p w14:paraId="39D7ED19"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num="2" w:space="567"/>
          <w:docGrid w:linePitch="360"/>
        </w:sectPr>
      </w:pPr>
    </w:p>
    <w:p w14:paraId="2BAFB033" w14:textId="77777777" w:rsidR="006B728F" w:rsidRPr="002749A3" w:rsidRDefault="006B728F" w:rsidP="00715E74">
      <w:pPr>
        <w:rPr>
          <w:rFonts w:cs="Times New Roman (Cuerpo en alfa"/>
          <w:spacing w:val="-10"/>
        </w:rPr>
      </w:pPr>
    </w:p>
    <w:p w14:paraId="4BE2F7AF" w14:textId="1183AD5F" w:rsidR="006B728F" w:rsidRPr="00C3284D" w:rsidRDefault="006B728F" w:rsidP="008D0B52">
      <w:pPr>
        <w:pStyle w:val="subnumeros"/>
        <w:numPr>
          <w:ilvl w:val="0"/>
          <w:numId w:val="0"/>
        </w:numPr>
        <w:ind w:firstLine="708"/>
        <w:outlineLvl w:val="9"/>
      </w:pPr>
      <w:r w:rsidRPr="00C3284D">
        <w:rPr>
          <w:color w:val="C00000"/>
        </w:rPr>
        <w:t xml:space="preserve">Transformación 3: </w:t>
      </w:r>
      <w:r w:rsidRPr="002749A3">
        <w:t>Derecho Humano a la Alimentación</w:t>
      </w:r>
    </w:p>
    <w:p w14:paraId="5D44E08B"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space="567"/>
          <w:docGrid w:linePitch="360"/>
        </w:sectPr>
      </w:pPr>
    </w:p>
    <w:p w14:paraId="36672AE2" w14:textId="77777777" w:rsidR="006B728F" w:rsidRPr="002749A3" w:rsidRDefault="006B728F" w:rsidP="00715E74">
      <w:pPr>
        <w:rPr>
          <w:rFonts w:cs="Times New Roman (Cuerpo en alfa"/>
          <w:spacing w:val="-10"/>
        </w:rPr>
      </w:pPr>
      <w:r w:rsidRPr="002749A3">
        <w:rPr>
          <w:rFonts w:cs="Times New Roman (Cuerpo en alfa"/>
          <w:spacing w:val="-10"/>
        </w:rPr>
        <w:t xml:space="preserve">El derecho humano a la alimentación es otro aspecto en el que los planes coinciden, con programas dirigidos a la erradicación del hambre, el acceso equitativo a alimentos nutritivos y la promoción de sistemas alimentarios sostenibles. Esta convergencia subraya la </w:t>
      </w:r>
      <w:r w:rsidRPr="002749A3">
        <w:rPr>
          <w:rFonts w:cs="Times New Roman (Cuerpo en alfa"/>
          <w:spacing w:val="-10"/>
        </w:rPr>
        <w:t>importancia de garantizar la seguridad alimentaria como un componente fundamental del desarrollo humano y la justicia social, y evidencia el compromiso conjunto de las autoridades, tanto nacional como local, para abordar este desafío.</w:t>
      </w:r>
    </w:p>
    <w:p w14:paraId="2EE4F9A4"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num="2" w:space="567"/>
          <w:docGrid w:linePitch="360"/>
        </w:sectPr>
      </w:pPr>
    </w:p>
    <w:p w14:paraId="2AD91089" w14:textId="77777777" w:rsidR="006B728F" w:rsidRPr="002749A3" w:rsidRDefault="006B728F" w:rsidP="00715E74">
      <w:pPr>
        <w:rPr>
          <w:rFonts w:cs="Times New Roman (Cuerpo en alfa"/>
          <w:spacing w:val="-10"/>
        </w:rPr>
      </w:pPr>
    </w:p>
    <w:p w14:paraId="3DF0F5FA" w14:textId="039ED1C2" w:rsidR="006B728F" w:rsidRPr="002749A3" w:rsidRDefault="006B728F" w:rsidP="008D0B52">
      <w:pPr>
        <w:pStyle w:val="subnumeros"/>
        <w:numPr>
          <w:ilvl w:val="0"/>
          <w:numId w:val="0"/>
        </w:numPr>
        <w:ind w:left="708"/>
        <w:outlineLvl w:val="9"/>
      </w:pPr>
      <w:r w:rsidRPr="00C3284D">
        <w:rPr>
          <w:color w:val="C00000"/>
        </w:rPr>
        <w:t xml:space="preserve">Transformación 4: </w:t>
      </w:r>
      <w:r w:rsidRPr="002749A3">
        <w:t>Transformación Productiva, Internacionalización y Acción Climática</w:t>
      </w:r>
    </w:p>
    <w:p w14:paraId="6019497E"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space="567"/>
          <w:docGrid w:linePitch="360"/>
        </w:sectPr>
      </w:pPr>
    </w:p>
    <w:p w14:paraId="411B597C" w14:textId="60ABF955"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num="2" w:space="567"/>
          <w:docGrid w:linePitch="360"/>
        </w:sectPr>
      </w:pPr>
      <w:r w:rsidRPr="002749A3">
        <w:rPr>
          <w:rFonts w:cs="Times New Roman (Cuerpo en alfa"/>
          <w:spacing w:val="-10"/>
        </w:rPr>
        <w:t xml:space="preserve">La transformación productiva, la internacionalización y la acción climática emergen como prioridades comunes en ambos niveles de planificación, con programas que promueven la reindustrialización sostenible, la reducción de emisiones de gases de efecto invernadero y la transición hacia una economía baja en </w:t>
      </w:r>
      <w:r w:rsidRPr="002749A3">
        <w:rPr>
          <w:rFonts w:cs="Times New Roman (Cuerpo en alfa"/>
          <w:spacing w:val="-10"/>
        </w:rPr>
        <w:t>carbono. Esta coincidencia refleja un reconocimiento compartido de la necesidad de promover un desarrollo económico inclusivo y respetuoso con el medio ambiente y evidencia un compromiso conjunto para enfrentar los desafíos del cambio climático y la degradación ambiental.</w:t>
      </w:r>
    </w:p>
    <w:p w14:paraId="4F09C562" w14:textId="4B4C0A51" w:rsidR="005B5BBF" w:rsidRDefault="005B5BBF" w:rsidP="005B5BBF">
      <w:pPr>
        <w:pStyle w:val="subnumeros"/>
        <w:numPr>
          <w:ilvl w:val="0"/>
          <w:numId w:val="0"/>
        </w:numPr>
        <w:ind w:left="1145" w:hanging="720"/>
      </w:pPr>
      <w:r>
        <w:br w:type="page"/>
      </w:r>
    </w:p>
    <w:p w14:paraId="53FF4573" w14:textId="665DB737" w:rsidR="006B728F" w:rsidRPr="000F5364" w:rsidRDefault="006B728F" w:rsidP="008D0B52">
      <w:pPr>
        <w:pStyle w:val="subnumeros"/>
        <w:numPr>
          <w:ilvl w:val="0"/>
          <w:numId w:val="0"/>
        </w:numPr>
        <w:ind w:firstLine="708"/>
        <w:outlineLvl w:val="9"/>
      </w:pPr>
      <w:r w:rsidRPr="005B5BBF">
        <w:rPr>
          <w:color w:val="C00000"/>
        </w:rPr>
        <w:lastRenderedPageBreak/>
        <w:t xml:space="preserve">Transformación 5: </w:t>
      </w:r>
      <w:r w:rsidRPr="000F5364">
        <w:t>Convergencia Regional</w:t>
      </w:r>
    </w:p>
    <w:p w14:paraId="519C80EA" w14:textId="77777777" w:rsidR="006B728F" w:rsidRDefault="006B728F" w:rsidP="00715E74">
      <w:pPr>
        <w:rPr>
          <w:rFonts w:cs="Times New Roman (Cuerpo en alfa"/>
          <w:spacing w:val="-10"/>
        </w:rPr>
        <w:sectPr w:rsidR="006B728F" w:rsidSect="00F7078E">
          <w:type w:val="continuous"/>
          <w:pgSz w:w="12240" w:h="15840"/>
          <w:pgMar w:top="2262" w:right="1440" w:bottom="1440" w:left="1440" w:header="709" w:footer="680" w:gutter="0"/>
          <w:cols w:space="567"/>
          <w:docGrid w:linePitch="360"/>
        </w:sectPr>
      </w:pPr>
    </w:p>
    <w:p w14:paraId="3AC0D894" w14:textId="77777777" w:rsidR="008D0B52" w:rsidRDefault="006B728F" w:rsidP="008062FA">
      <w:pPr>
        <w:rPr>
          <w:rFonts w:cs="Times New Roman (Cuerpo en alfa"/>
          <w:spacing w:val="-10"/>
        </w:rPr>
      </w:pPr>
      <w:r w:rsidRPr="002749A3">
        <w:rPr>
          <w:rFonts w:cs="Times New Roman (Cuerpo en alfa"/>
          <w:spacing w:val="-10"/>
        </w:rPr>
        <w:t xml:space="preserve">La convergencia regional y la promoción de la participación ciudadana en la toma de decisiones son aspectos destacados en ambos planes, con programas destinados a fortalecer los vínculos intraurbanos y regionales y a promover la inclusión y la participación de la población en la gestión del desarrollo local y regional. </w:t>
      </w:r>
      <w:r w:rsidRPr="002749A3">
        <w:rPr>
          <w:rFonts w:cs="Times New Roman (Cuerpo en alfa"/>
          <w:spacing w:val="-10"/>
        </w:rPr>
        <w:t>Esta confluencia subraya la importancia de fomentar la cooperación interinstitucional y la participación ciudadana en la búsqueda de soluciones a los desafíos comunes que enfrentan las comunidades a nivel nacional y local.</w:t>
      </w:r>
    </w:p>
    <w:p w14:paraId="4CEC4394" w14:textId="77777777" w:rsidR="008D0B52" w:rsidRDefault="008D0B52" w:rsidP="008062FA">
      <w:pPr>
        <w:rPr>
          <w:rFonts w:cs="Times New Roman (Cuerpo en alfa"/>
          <w:spacing w:val="-10"/>
        </w:rPr>
        <w:sectPr w:rsidR="008D0B52" w:rsidSect="00F7078E">
          <w:type w:val="continuous"/>
          <w:pgSz w:w="12240" w:h="15840"/>
          <w:pgMar w:top="2262" w:right="1440" w:bottom="1440" w:left="1440" w:header="709" w:footer="680" w:gutter="0"/>
          <w:cols w:num="2" w:space="567"/>
          <w:docGrid w:linePitch="360"/>
        </w:sectPr>
      </w:pPr>
    </w:p>
    <w:p w14:paraId="536A27BD" w14:textId="77777777" w:rsidR="008D0B52" w:rsidRPr="008D16A7" w:rsidRDefault="008D0B52" w:rsidP="008D0B52">
      <w:pPr>
        <w:rPr>
          <w:rFonts w:cs="Times New Roman (Cuerpo en alfa"/>
          <w:b/>
          <w:bCs/>
          <w:spacing w:val="-10"/>
          <w:sz w:val="28"/>
          <w:szCs w:val="28"/>
        </w:rPr>
      </w:pPr>
    </w:p>
    <w:p w14:paraId="55F54B68" w14:textId="35872EFC" w:rsidR="008D16A7" w:rsidRPr="008D16A7" w:rsidRDefault="008D16A7" w:rsidP="008D16A7">
      <w:pPr>
        <w:pStyle w:val="subnumeros"/>
        <w:numPr>
          <w:ilvl w:val="0"/>
          <w:numId w:val="0"/>
        </w:numPr>
        <w:ind w:firstLine="708"/>
        <w:outlineLvl w:val="9"/>
      </w:pPr>
      <w:r w:rsidRPr="008D16A7">
        <w:t>Balance General</w:t>
      </w:r>
    </w:p>
    <w:p w14:paraId="3E5AC82C" w14:textId="77777777" w:rsidR="008D16A7" w:rsidRDefault="008D16A7" w:rsidP="008D16A7">
      <w:pPr>
        <w:rPr>
          <w:rFonts w:cs="Times New Roman (Cuerpo en alfa"/>
          <w:spacing w:val="-10"/>
        </w:rPr>
        <w:sectPr w:rsidR="008D16A7" w:rsidSect="00F7078E">
          <w:type w:val="continuous"/>
          <w:pgSz w:w="12240" w:h="15840"/>
          <w:pgMar w:top="2262" w:right="1440" w:bottom="1440" w:left="1440" w:header="709" w:footer="680" w:gutter="0"/>
          <w:cols w:space="567"/>
          <w:docGrid w:linePitch="360"/>
        </w:sectPr>
      </w:pPr>
    </w:p>
    <w:p w14:paraId="0E78769F" w14:textId="5D8CAF0F" w:rsidR="008D16A7" w:rsidRPr="008D16A7" w:rsidRDefault="008D16A7" w:rsidP="008D16A7">
      <w:pPr>
        <w:rPr>
          <w:rFonts w:cs="Times New Roman (Cuerpo en alfa"/>
          <w:spacing w:val="-10"/>
        </w:rPr>
      </w:pPr>
      <w:r w:rsidRPr="008D16A7">
        <w:rPr>
          <w:rFonts w:cs="Times New Roman (Cuerpo en alfa"/>
          <w:spacing w:val="-10"/>
        </w:rPr>
        <w:t xml:space="preserve">En la transformación 1, de un total de 19 componentes, 3 no son abordados en el PDD, mientras los 16 restantes se encuentran coherentemente alineados con el PDN. Ello representa un 84% de correspondencia. En la transformación 2, de un total de 133 componentes, 25 no son tratados en el PDD, mientras que los restantes 108 están abordados de manera coherente, alcanzando un 81% de armonización. </w:t>
      </w:r>
    </w:p>
    <w:p w14:paraId="3E6B6DB4" w14:textId="77777777" w:rsidR="008D16A7" w:rsidRPr="008D16A7" w:rsidRDefault="008D16A7" w:rsidP="008D16A7">
      <w:pPr>
        <w:rPr>
          <w:rFonts w:cs="Times New Roman (Cuerpo en alfa"/>
          <w:spacing w:val="-10"/>
        </w:rPr>
      </w:pPr>
    </w:p>
    <w:p w14:paraId="3BBE0F56" w14:textId="529BFA97" w:rsidR="008D16A7" w:rsidRDefault="008D16A7" w:rsidP="008D16A7">
      <w:pPr>
        <w:rPr>
          <w:rFonts w:cs="Times New Roman (Cuerpo en alfa"/>
          <w:spacing w:val="-10"/>
        </w:rPr>
      </w:pPr>
      <w:r w:rsidRPr="008D16A7">
        <w:rPr>
          <w:rFonts w:cs="Times New Roman (Cuerpo en alfa"/>
          <w:spacing w:val="-10"/>
        </w:rPr>
        <w:t xml:space="preserve">Respecto a la transformación 3, los 23 componentes están en total consonancia. En la transformación 4, de 38 componentes, todos están armonizados, </w:t>
      </w:r>
      <w:r w:rsidRPr="008D16A7">
        <w:rPr>
          <w:rFonts w:cs="Times New Roman (Cuerpo en alfa"/>
          <w:spacing w:val="-10"/>
        </w:rPr>
        <w:t>representando también un 100%. Y en la transformación 5, de un total de 46 componentes, 42 están totalmente alineados y 4 no son abordados, alcanzando así un 91% de armonización. Es importante destacar que estos asuntos, aunque reducidos, corresponden principalmente a competencias del Estado, como política exterior, soberanía o fronteras, que no son de competencia del Distrito. Además, es notable que no hay temas en los que existan fines o métodos opuestos para abordar las problemáticas</w:t>
      </w:r>
      <w:r w:rsidRPr="002749A3">
        <w:rPr>
          <w:rFonts w:cs="Times New Roman (Cuerpo en alfa"/>
          <w:spacing w:val="-10"/>
        </w:rPr>
        <w:t>.</w:t>
      </w:r>
    </w:p>
    <w:p w14:paraId="2DA960DA" w14:textId="77777777" w:rsidR="008D16A7" w:rsidRDefault="008D16A7" w:rsidP="008D0B52">
      <w:pPr>
        <w:rPr>
          <w:rFonts w:cs="Times New Roman (Cuerpo en alfa"/>
          <w:b/>
          <w:bCs/>
          <w:spacing w:val="-10"/>
          <w:sz w:val="28"/>
          <w:szCs w:val="28"/>
        </w:rPr>
      </w:pPr>
    </w:p>
    <w:p w14:paraId="3610F6C0" w14:textId="77777777" w:rsidR="006B728F" w:rsidRDefault="006B728F" w:rsidP="008D16A7">
      <w:pPr>
        <w:pStyle w:val="subnumeros"/>
        <w:numPr>
          <w:ilvl w:val="0"/>
          <w:numId w:val="0"/>
        </w:numPr>
        <w:ind w:left="1224"/>
        <w:sectPr w:rsidR="006B728F" w:rsidSect="00F7078E">
          <w:type w:val="continuous"/>
          <w:pgSz w:w="12240" w:h="15840"/>
          <w:pgMar w:top="2262" w:right="1440" w:bottom="1440" w:left="1440" w:header="709" w:footer="680" w:gutter="0"/>
          <w:cols w:num="2" w:space="567"/>
          <w:docGrid w:linePitch="360"/>
        </w:sectPr>
      </w:pPr>
    </w:p>
    <w:p w14:paraId="43D6F4BF" w14:textId="77777777" w:rsidR="006B728F" w:rsidRDefault="006B728F" w:rsidP="00715E74">
      <w:pPr>
        <w:rPr>
          <w:rFonts w:cs="Times New Roman (Cuerpo en alfa"/>
          <w:spacing w:val="-10"/>
        </w:rPr>
      </w:pPr>
    </w:p>
    <w:p w14:paraId="28782ACA" w14:textId="2EA93CCF" w:rsidR="006B728F" w:rsidRDefault="006B728F" w:rsidP="00715E74">
      <w:pPr>
        <w:rPr>
          <w:rFonts w:cs="Times New Roman (Cuerpo en alfa"/>
          <w:spacing w:val="-10"/>
        </w:rPr>
      </w:pPr>
    </w:p>
    <w:p w14:paraId="250E5456" w14:textId="64676A22" w:rsidR="006B728F" w:rsidRDefault="006B728F" w:rsidP="00715E74">
      <w:pPr>
        <w:rPr>
          <w:rFonts w:cs="Times New Roman (Cuerpo en alfa"/>
          <w:spacing w:val="-10"/>
        </w:rPr>
      </w:pPr>
      <w:r w:rsidRPr="00E83291">
        <w:rPr>
          <w:rFonts w:cs="Times New Roman (Cuerpo en alfa"/>
          <w:spacing w:val="-10"/>
        </w:rPr>
        <w:t xml:space="preserve"> </w:t>
      </w:r>
    </w:p>
    <w:p w14:paraId="31C62FA0" w14:textId="48B3A02D" w:rsidR="006B728F" w:rsidRDefault="006B728F" w:rsidP="00715E74">
      <w:pPr>
        <w:rPr>
          <w:rFonts w:cs="Times New Roman (Cuerpo en alfa"/>
          <w:spacing w:val="-10"/>
        </w:rPr>
      </w:pPr>
    </w:p>
    <w:p w14:paraId="1B1DD270" w14:textId="7456711E" w:rsidR="006B728F" w:rsidRDefault="006B728F" w:rsidP="00715E74">
      <w:pPr>
        <w:rPr>
          <w:rFonts w:cs="Times New Roman (Cuerpo en alfa"/>
          <w:spacing w:val="-10"/>
        </w:rPr>
      </w:pPr>
    </w:p>
    <w:p w14:paraId="621EC6D6" w14:textId="05F70A36" w:rsidR="006B728F" w:rsidRDefault="006B728F" w:rsidP="00715E74">
      <w:pPr>
        <w:rPr>
          <w:rFonts w:cs="Times New Roman (Cuerpo en alfa"/>
          <w:spacing w:val="-10"/>
        </w:rPr>
      </w:pPr>
    </w:p>
    <w:p w14:paraId="51BEE9C4" w14:textId="714F7FBF" w:rsidR="006B728F" w:rsidRDefault="008D16A7" w:rsidP="00715E74">
      <w:pPr>
        <w:rPr>
          <w:rFonts w:cs="Times New Roman (Cuerpo en alfa"/>
          <w:spacing w:val="-10"/>
        </w:rPr>
      </w:pPr>
      <w:r w:rsidRPr="00D85C67">
        <w:rPr>
          <w:noProof/>
          <w:lang w:val="en-US"/>
        </w:rPr>
        <w:lastRenderedPageBreak/>
        <w:drawing>
          <wp:anchor distT="0" distB="0" distL="114300" distR="114300" simplePos="0" relativeHeight="251848704" behindDoc="0" locked="0" layoutInCell="1" allowOverlap="1" wp14:anchorId="4650F68F" wp14:editId="11E4C331">
            <wp:simplePos x="0" y="0"/>
            <wp:positionH relativeFrom="margin">
              <wp:align>center</wp:align>
            </wp:positionH>
            <wp:positionV relativeFrom="paragraph">
              <wp:posOffset>237490</wp:posOffset>
            </wp:positionV>
            <wp:extent cx="5723890" cy="4434840"/>
            <wp:effectExtent l="0" t="0" r="0" b="3810"/>
            <wp:wrapSquare wrapText="bothSides"/>
            <wp:docPr id="1543659341"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659341" name="Imagen 2" descr="Diagrama&#10;&#10;Descripción generada automáticament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723890" cy="4434840"/>
                    </a:xfrm>
                    <a:prstGeom prst="rect">
                      <a:avLst/>
                    </a:prstGeom>
                  </pic:spPr>
                </pic:pic>
              </a:graphicData>
            </a:graphic>
            <wp14:sizeRelH relativeFrom="margin">
              <wp14:pctWidth>0</wp14:pctWidth>
            </wp14:sizeRelH>
            <wp14:sizeRelV relativeFrom="margin">
              <wp14:pctHeight>0</wp14:pctHeight>
            </wp14:sizeRelV>
          </wp:anchor>
        </w:drawing>
      </w:r>
    </w:p>
    <w:p w14:paraId="241ADEDE" w14:textId="77777777" w:rsidR="006B728F" w:rsidRDefault="006B728F" w:rsidP="00715E74">
      <w:pPr>
        <w:rPr>
          <w:rFonts w:cs="Times New Roman (Cuerpo en alfa"/>
          <w:spacing w:val="-10"/>
        </w:rPr>
      </w:pPr>
    </w:p>
    <w:p w14:paraId="35E4BC3F" w14:textId="77777777" w:rsidR="006B728F" w:rsidRDefault="006B728F" w:rsidP="00715E74">
      <w:pPr>
        <w:rPr>
          <w:rFonts w:cs="Times New Roman (Cuerpo en alfa"/>
          <w:spacing w:val="-10"/>
        </w:rPr>
      </w:pPr>
    </w:p>
    <w:p w14:paraId="23168F4F" w14:textId="77777777" w:rsidR="006B728F" w:rsidRDefault="006B728F">
      <w:pPr>
        <w:spacing w:line="240" w:lineRule="auto"/>
        <w:jc w:val="left"/>
        <w:rPr>
          <w:rFonts w:cs="Times New Roman (Cuerpo en alfa"/>
          <w:spacing w:val="-10"/>
        </w:rPr>
      </w:pPr>
    </w:p>
    <w:p w14:paraId="33849C0C" w14:textId="597F5E8B" w:rsidR="006B728F" w:rsidRDefault="006B728F">
      <w:pPr>
        <w:spacing w:line="240" w:lineRule="auto"/>
        <w:jc w:val="left"/>
        <w:rPr>
          <w:rFonts w:cs="Times New Roman (Cuerpo en alfa"/>
          <w:spacing w:val="-10"/>
        </w:rPr>
      </w:pPr>
      <w:r>
        <w:rPr>
          <w:rFonts w:cs="Times New Roman (Cuerpo en alfa"/>
          <w:spacing w:val="-10"/>
        </w:rPr>
        <w:br w:type="page"/>
      </w:r>
      <w:r w:rsidR="008D0B52" w:rsidRPr="00D85C67">
        <w:rPr>
          <w:b/>
          <w:bCs/>
          <w:noProof/>
          <w:lang w:val="en-US"/>
        </w:rPr>
        <w:lastRenderedPageBreak/>
        <w:drawing>
          <wp:anchor distT="0" distB="0" distL="114300" distR="114300" simplePos="0" relativeHeight="251850752" behindDoc="0" locked="0" layoutInCell="1" allowOverlap="1" wp14:anchorId="7A6F1F45" wp14:editId="065AEA71">
            <wp:simplePos x="0" y="0"/>
            <wp:positionH relativeFrom="margin">
              <wp:align>center</wp:align>
            </wp:positionH>
            <wp:positionV relativeFrom="paragraph">
              <wp:posOffset>4046855</wp:posOffset>
            </wp:positionV>
            <wp:extent cx="5208270" cy="3649980"/>
            <wp:effectExtent l="0" t="0" r="0" b="7620"/>
            <wp:wrapSquare wrapText="bothSides"/>
            <wp:docPr id="780632917" name="Imagen 1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32917" name="Imagen 14" descr="Diagrama&#10;&#10;Descripción generada automáticamente"/>
                    <pic:cNvPicPr/>
                  </pic:nvPicPr>
                  <pic:blipFill rotWithShape="1">
                    <a:blip r:embed="rId198" cstate="print">
                      <a:extLst>
                        <a:ext uri="{28A0092B-C50C-407E-A947-70E740481C1C}">
                          <a14:useLocalDpi xmlns:a14="http://schemas.microsoft.com/office/drawing/2010/main" val="0"/>
                        </a:ext>
                      </a:extLst>
                    </a:blip>
                    <a:srcRect b="6573"/>
                    <a:stretch/>
                  </pic:blipFill>
                  <pic:spPr bwMode="auto">
                    <a:xfrm>
                      <a:off x="0" y="0"/>
                      <a:ext cx="5208270" cy="3649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5C67">
        <w:rPr>
          <w:noProof/>
          <w:lang w:val="en-US"/>
        </w:rPr>
        <w:drawing>
          <wp:anchor distT="0" distB="0" distL="114300" distR="114300" simplePos="0" relativeHeight="251849728" behindDoc="0" locked="0" layoutInCell="1" allowOverlap="1" wp14:anchorId="147D0F5B" wp14:editId="468C28C0">
            <wp:simplePos x="0" y="0"/>
            <wp:positionH relativeFrom="margin">
              <wp:align>center</wp:align>
            </wp:positionH>
            <wp:positionV relativeFrom="paragraph">
              <wp:posOffset>0</wp:posOffset>
            </wp:positionV>
            <wp:extent cx="5250180" cy="3760470"/>
            <wp:effectExtent l="0" t="0" r="7620" b="0"/>
            <wp:wrapSquare wrapText="bothSides"/>
            <wp:docPr id="156262987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629878" name="Imagen 1562629878"/>
                    <pic:cNvPicPr/>
                  </pic:nvPicPr>
                  <pic:blipFill rotWithShape="1">
                    <a:blip r:embed="rId199" cstate="print">
                      <a:extLst>
                        <a:ext uri="{28A0092B-C50C-407E-A947-70E740481C1C}">
                          <a14:useLocalDpi xmlns:a14="http://schemas.microsoft.com/office/drawing/2010/main" val="0"/>
                        </a:ext>
                      </a:extLst>
                    </a:blip>
                    <a:srcRect b="4458"/>
                    <a:stretch/>
                  </pic:blipFill>
                  <pic:spPr bwMode="auto">
                    <a:xfrm>
                      <a:off x="0" y="0"/>
                      <a:ext cx="5250180" cy="3760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imes New Roman (Cuerpo en alfa"/>
          <w:spacing w:val="-10"/>
        </w:rPr>
        <w:br w:type="page"/>
      </w:r>
    </w:p>
    <w:p w14:paraId="016343BE" w14:textId="1AB66426" w:rsidR="006B728F" w:rsidRDefault="008D0B52">
      <w:pPr>
        <w:spacing w:line="240" w:lineRule="auto"/>
        <w:jc w:val="left"/>
        <w:rPr>
          <w:rFonts w:cs="Times New Roman (Cuerpo en alfa"/>
          <w:spacing w:val="-10"/>
        </w:rPr>
      </w:pPr>
      <w:r w:rsidRPr="00D85C67">
        <w:rPr>
          <w:noProof/>
          <w:lang w:val="en-US"/>
        </w:rPr>
        <w:lastRenderedPageBreak/>
        <w:drawing>
          <wp:anchor distT="0" distB="0" distL="114300" distR="114300" simplePos="0" relativeHeight="251851776" behindDoc="0" locked="0" layoutInCell="1" allowOverlap="1" wp14:anchorId="3630B44B" wp14:editId="622CD30E">
            <wp:simplePos x="0" y="0"/>
            <wp:positionH relativeFrom="margin">
              <wp:align>center</wp:align>
            </wp:positionH>
            <wp:positionV relativeFrom="paragraph">
              <wp:posOffset>346</wp:posOffset>
            </wp:positionV>
            <wp:extent cx="4947920" cy="3710940"/>
            <wp:effectExtent l="0" t="0" r="5080" b="3810"/>
            <wp:wrapSquare wrapText="bothSides"/>
            <wp:docPr id="1988198793" name="Imagen 1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98793" name="Imagen 16" descr="Diagrama&#10;&#10;Descripción generada automáticamente"/>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4947920" cy="3710940"/>
                    </a:xfrm>
                    <a:prstGeom prst="rect">
                      <a:avLst/>
                    </a:prstGeom>
                  </pic:spPr>
                </pic:pic>
              </a:graphicData>
            </a:graphic>
            <wp14:sizeRelH relativeFrom="margin">
              <wp14:pctWidth>0</wp14:pctWidth>
            </wp14:sizeRelH>
            <wp14:sizeRelV relativeFrom="margin">
              <wp14:pctHeight>0</wp14:pctHeight>
            </wp14:sizeRelV>
          </wp:anchor>
        </w:drawing>
      </w:r>
    </w:p>
    <w:p w14:paraId="582A7928" w14:textId="7B0F7307" w:rsidR="006B728F" w:rsidRDefault="006B728F" w:rsidP="00715E74">
      <w:pPr>
        <w:rPr>
          <w:rFonts w:cs="Times New Roman (Cuerpo en alfa"/>
          <w:spacing w:val="-10"/>
        </w:rPr>
      </w:pPr>
    </w:p>
    <w:p w14:paraId="7076E904" w14:textId="77777777" w:rsidR="006B728F" w:rsidRDefault="006B728F" w:rsidP="00715E74">
      <w:pPr>
        <w:rPr>
          <w:rFonts w:cs="Times New Roman (Cuerpo en alfa"/>
          <w:spacing w:val="-10"/>
        </w:rPr>
      </w:pPr>
    </w:p>
    <w:p w14:paraId="1CD642EE" w14:textId="78421897" w:rsidR="006B728F" w:rsidRDefault="006B728F" w:rsidP="00715E74">
      <w:pPr>
        <w:rPr>
          <w:rFonts w:cs="Times New Roman (Cuerpo en alfa"/>
          <w:spacing w:val="-10"/>
        </w:rPr>
      </w:pPr>
    </w:p>
    <w:p w14:paraId="62D25D54" w14:textId="77777777" w:rsidR="006B728F" w:rsidRDefault="006B728F" w:rsidP="00715E74">
      <w:pPr>
        <w:rPr>
          <w:rFonts w:cs="Times New Roman (Cuerpo en alfa"/>
          <w:spacing w:val="-10"/>
        </w:rPr>
      </w:pPr>
    </w:p>
    <w:p w14:paraId="3B535A8C" w14:textId="77777777" w:rsidR="006B728F" w:rsidRDefault="006B728F" w:rsidP="00715E74">
      <w:pPr>
        <w:rPr>
          <w:rFonts w:cs="Times New Roman (Cuerpo en alfa"/>
          <w:spacing w:val="-10"/>
        </w:rPr>
      </w:pPr>
    </w:p>
    <w:p w14:paraId="07C59071" w14:textId="77777777" w:rsidR="006B728F" w:rsidRDefault="006B728F" w:rsidP="00715E74">
      <w:pPr>
        <w:rPr>
          <w:rFonts w:cs="Times New Roman (Cuerpo en alfa"/>
          <w:spacing w:val="-10"/>
        </w:rPr>
      </w:pPr>
    </w:p>
    <w:p w14:paraId="414301E3" w14:textId="77777777" w:rsidR="006B728F" w:rsidRDefault="006B728F">
      <w:pPr>
        <w:spacing w:line="240" w:lineRule="auto"/>
        <w:jc w:val="left"/>
        <w:rPr>
          <w:rFonts w:cs="Times New Roman (Cuerpo en alfa"/>
          <w:spacing w:val="-10"/>
          <w:lang w:eastAsia="es-CO"/>
        </w:rPr>
      </w:pPr>
      <w:r w:rsidRPr="00D85C67">
        <w:rPr>
          <w:noProof/>
          <w:lang w:val="en-US"/>
        </w:rPr>
        <w:drawing>
          <wp:anchor distT="0" distB="0" distL="114300" distR="114300" simplePos="0" relativeHeight="251852800" behindDoc="0" locked="0" layoutInCell="1" allowOverlap="1" wp14:anchorId="52A0F512" wp14:editId="3A87D149">
            <wp:simplePos x="0" y="0"/>
            <wp:positionH relativeFrom="margin">
              <wp:align>center</wp:align>
            </wp:positionH>
            <wp:positionV relativeFrom="paragraph">
              <wp:posOffset>2898313</wp:posOffset>
            </wp:positionV>
            <wp:extent cx="4945380" cy="3644900"/>
            <wp:effectExtent l="0" t="0" r="7620" b="0"/>
            <wp:wrapSquare wrapText="bothSides"/>
            <wp:docPr id="502179613" name="Imagen 1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79613" name="Imagen 18" descr="Diagrama&#10;&#10;Descripción generada automáticamente"/>
                    <pic:cNvPicPr/>
                  </pic:nvPicPr>
                  <pic:blipFill rotWithShape="1">
                    <a:blip r:embed="rId201" cstate="print">
                      <a:extLst>
                        <a:ext uri="{28A0092B-C50C-407E-A947-70E740481C1C}">
                          <a14:useLocalDpi xmlns:a14="http://schemas.microsoft.com/office/drawing/2010/main" val="0"/>
                        </a:ext>
                      </a:extLst>
                    </a:blip>
                    <a:srcRect b="1697"/>
                    <a:stretch/>
                  </pic:blipFill>
                  <pic:spPr bwMode="auto">
                    <a:xfrm>
                      <a:off x="0" y="0"/>
                      <a:ext cx="4945380" cy="3644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imes New Roman (Cuerpo en alfa"/>
          <w:spacing w:val="-10"/>
          <w:lang w:eastAsia="es-CO"/>
        </w:rPr>
        <w:br w:type="page"/>
      </w:r>
    </w:p>
    <w:p w14:paraId="42AC3C34" w14:textId="475D1F8F" w:rsidR="006B728F" w:rsidRDefault="002618C5" w:rsidP="008D16A7">
      <w:r w:rsidRPr="00562BAF">
        <w:rPr>
          <w:noProof/>
        </w:rPr>
        <w:lastRenderedPageBreak/>
        <w:drawing>
          <wp:anchor distT="0" distB="0" distL="114300" distR="114300" simplePos="0" relativeHeight="251862016" behindDoc="1" locked="0" layoutInCell="1" allowOverlap="1" wp14:anchorId="2799BEB2" wp14:editId="71323D4C">
            <wp:simplePos x="0" y="0"/>
            <wp:positionH relativeFrom="margin">
              <wp:align>right</wp:align>
            </wp:positionH>
            <wp:positionV relativeFrom="page">
              <wp:align>top</wp:align>
            </wp:positionV>
            <wp:extent cx="5932800" cy="2241074"/>
            <wp:effectExtent l="0" t="0" r="0" b="6985"/>
            <wp:wrapNone/>
            <wp:docPr id="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2"/>
                    <pic:cNvPicPr/>
                  </pic:nvPicPr>
                  <pic:blipFill>
                    <a:blip r:embed="rId202">
                      <a:extLst>
                        <a:ext uri="{28A0092B-C50C-407E-A947-70E740481C1C}">
                          <a14:useLocalDpi xmlns:a14="http://schemas.microsoft.com/office/drawing/2010/main" val="0"/>
                        </a:ext>
                      </a:extLst>
                    </a:blip>
                    <a:stretch>
                      <a:fillRect/>
                    </a:stretch>
                  </pic:blipFill>
                  <pic:spPr>
                    <a:xfrm>
                      <a:off x="0" y="0"/>
                      <a:ext cx="5932800" cy="2241074"/>
                    </a:xfrm>
                    <a:prstGeom prst="rect">
                      <a:avLst/>
                    </a:prstGeom>
                  </pic:spPr>
                </pic:pic>
              </a:graphicData>
            </a:graphic>
            <wp14:sizeRelH relativeFrom="page">
              <wp14:pctWidth>0</wp14:pctWidth>
            </wp14:sizeRelH>
            <wp14:sizeRelV relativeFrom="page">
              <wp14:pctHeight>0</wp14:pctHeight>
            </wp14:sizeRelV>
          </wp:anchor>
        </w:drawing>
      </w:r>
    </w:p>
    <w:p w14:paraId="648E6F74" w14:textId="77777777" w:rsidR="006B728F" w:rsidRDefault="006B728F" w:rsidP="00133721">
      <w:pPr>
        <w:pBdr>
          <w:top w:val="nil"/>
          <w:left w:val="nil"/>
          <w:bottom w:val="nil"/>
          <w:right w:val="nil"/>
          <w:between w:val="nil"/>
        </w:pBdr>
        <w:spacing w:line="520" w:lineRule="auto"/>
        <w:jc w:val="left"/>
        <w:rPr>
          <w:b/>
          <w:color w:val="3B3838"/>
          <w:sz w:val="48"/>
          <w:szCs w:val="48"/>
        </w:rPr>
        <w:sectPr w:rsidR="006B728F" w:rsidSect="00F7078E">
          <w:type w:val="continuous"/>
          <w:pgSz w:w="12240" w:h="15840"/>
          <w:pgMar w:top="2262" w:right="1440" w:bottom="1440" w:left="1440" w:header="720" w:footer="720" w:gutter="0"/>
          <w:cols w:num="2" w:space="720"/>
          <w:docGrid w:linePitch="360"/>
        </w:sectPr>
      </w:pPr>
    </w:p>
    <w:p w14:paraId="4756A9CE" w14:textId="77777777" w:rsidR="006B728F" w:rsidRDefault="006B728F" w:rsidP="00133721">
      <w:pPr>
        <w:spacing w:line="240" w:lineRule="auto"/>
        <w:jc w:val="left"/>
        <w:rPr>
          <w:color w:val="auto"/>
          <w:sz w:val="20"/>
          <w:szCs w:val="20"/>
          <w:lang w:eastAsia="es-CO"/>
        </w:rPr>
        <w:sectPr w:rsidR="006B728F" w:rsidSect="00F7078E">
          <w:type w:val="continuous"/>
          <w:pgSz w:w="12240" w:h="15840"/>
          <w:pgMar w:top="2262" w:right="1440" w:bottom="1440" w:left="1440" w:header="720" w:footer="720" w:gutter="0"/>
          <w:cols w:space="720"/>
          <w:docGrid w:linePitch="360"/>
        </w:sectPr>
      </w:pPr>
    </w:p>
    <w:p w14:paraId="62BD168E" w14:textId="77777777" w:rsidR="006B728F" w:rsidRDefault="006B728F" w:rsidP="00133721">
      <w:pPr>
        <w:spacing w:line="240" w:lineRule="auto"/>
        <w:ind w:left="284"/>
        <w:jc w:val="left"/>
        <w:rPr>
          <w:b/>
          <w:color w:val="C00000"/>
          <w:sz w:val="48"/>
          <w:szCs w:val="48"/>
        </w:rPr>
      </w:pPr>
    </w:p>
    <w:p w14:paraId="0B1733CF" w14:textId="77777777" w:rsidR="006B728F" w:rsidRDefault="006B728F" w:rsidP="00133721">
      <w:pPr>
        <w:spacing w:line="240" w:lineRule="auto"/>
        <w:ind w:left="284"/>
        <w:jc w:val="left"/>
        <w:rPr>
          <w:b/>
          <w:color w:val="C00000"/>
          <w:sz w:val="48"/>
          <w:szCs w:val="48"/>
        </w:rPr>
      </w:pPr>
    </w:p>
    <w:p w14:paraId="5B5334B7" w14:textId="291836A3" w:rsidR="006B728F" w:rsidRPr="00C9344A" w:rsidRDefault="006B728F" w:rsidP="008D16A7">
      <w:pPr>
        <w:pStyle w:val="NIVEL2PDD"/>
        <w:spacing w:line="276" w:lineRule="auto"/>
        <w:rPr>
          <w:b w:val="0"/>
          <w:sz w:val="48"/>
          <w:szCs w:val="48"/>
        </w:rPr>
      </w:pPr>
      <w:bookmarkStart w:id="506" w:name="_Toc165169816"/>
      <w:r w:rsidRPr="00C9344A">
        <w:t xml:space="preserve">Inversiones con cargo </w:t>
      </w:r>
      <w:r w:rsidRPr="008D16A7">
        <w:t xml:space="preserve">al Sistema </w:t>
      </w:r>
      <w:r w:rsidR="008D16A7">
        <w:br/>
      </w:r>
      <w:r w:rsidRPr="008D16A7">
        <w:t>General</w:t>
      </w:r>
      <w:r w:rsidR="005B5BBF" w:rsidRPr="008D16A7">
        <w:t xml:space="preserve"> </w:t>
      </w:r>
      <w:r w:rsidRPr="008D16A7">
        <w:t>de Regalías</w:t>
      </w:r>
      <w:bookmarkEnd w:id="506"/>
    </w:p>
    <w:p w14:paraId="62DEA60D" w14:textId="77777777" w:rsidR="006B728F" w:rsidRDefault="006B728F" w:rsidP="00133721">
      <w:pPr>
        <w:spacing w:line="240" w:lineRule="auto"/>
        <w:rPr>
          <w:color w:val="auto"/>
          <w:sz w:val="20"/>
          <w:szCs w:val="20"/>
          <w:lang w:eastAsia="es-CO"/>
        </w:rPr>
        <w:sectPr w:rsidR="006B728F" w:rsidSect="00F7078E">
          <w:type w:val="continuous"/>
          <w:pgSz w:w="12240" w:h="15840"/>
          <w:pgMar w:top="2262" w:right="1440" w:bottom="1440" w:left="1440" w:header="720" w:footer="720" w:gutter="0"/>
          <w:cols w:space="720"/>
          <w:docGrid w:linePitch="360"/>
        </w:sectPr>
      </w:pPr>
    </w:p>
    <w:p w14:paraId="12952F78" w14:textId="51F49537" w:rsidR="006B728F" w:rsidRPr="00C9344A" w:rsidRDefault="006B728F" w:rsidP="006B69D6">
      <w:pPr>
        <w:spacing w:line="240" w:lineRule="auto"/>
      </w:pPr>
      <w:r w:rsidRPr="00C9344A">
        <w:t>Bogotá Camina Segura encuentra que el buen uso de los $53</w:t>
      </w:r>
      <w:r w:rsidR="00A70F5C">
        <w:t>6</w:t>
      </w:r>
      <w:r w:rsidRPr="00C9344A">
        <w:t xml:space="preserve"> mil millones de pesos que se esperan invertir en la ciudad provenientes del Sistema General de Regalías, sea una palanca estratégica para alcanzar el objetivo general de este plan.</w:t>
      </w:r>
    </w:p>
    <w:p w14:paraId="004AD3E8" w14:textId="77777777" w:rsidR="006B728F" w:rsidRPr="00C9344A" w:rsidRDefault="006B728F" w:rsidP="00133721">
      <w:pPr>
        <w:spacing w:line="240" w:lineRule="auto"/>
      </w:pPr>
    </w:p>
    <w:p w14:paraId="51B01F6E" w14:textId="77777777" w:rsidR="006B728F" w:rsidRPr="00C9344A" w:rsidRDefault="006B728F" w:rsidP="00133721">
      <w:pPr>
        <w:spacing w:line="240" w:lineRule="auto"/>
      </w:pPr>
      <w:r w:rsidRPr="00C9344A">
        <w:t>El uso de los recursos de regalías alineado con el Plan Distrital de Desarrollo es la esencia de lo que el artículo 30 de la Ley 2056 de 2020 y su Decreto reglamentario 1821 de 2020, preveía al solicitar que se elaborase un capítulo independiente en el marco del Plan de Desarrollo.</w:t>
      </w:r>
    </w:p>
    <w:p w14:paraId="6CB2A8FC" w14:textId="77777777" w:rsidR="006B728F" w:rsidRPr="00C9344A" w:rsidRDefault="006B728F" w:rsidP="00133721">
      <w:pPr>
        <w:spacing w:line="240" w:lineRule="auto"/>
      </w:pPr>
    </w:p>
    <w:p w14:paraId="1D09B499" w14:textId="77777777" w:rsidR="006B728F" w:rsidRPr="00C9344A" w:rsidRDefault="006B728F" w:rsidP="00133721">
      <w:pPr>
        <w:spacing w:line="240" w:lineRule="auto"/>
      </w:pPr>
      <w:r w:rsidRPr="00C9344A">
        <w:t>Este capítulo se elaboró con un alto contenido de participación. La Alcaldía Mayor de Bogotá garantizó y promovió los principios de transparencia y planeación con enfoque participativo, democrático y de concertación, buscando que las iniciativas o proyectos priorizados susceptibles de financiación con regalías generen alto impacto social, económico y ambiental en la Capital.</w:t>
      </w:r>
    </w:p>
    <w:p w14:paraId="18621E89" w14:textId="77777777" w:rsidR="006B728F" w:rsidRPr="00C9344A" w:rsidRDefault="006B728F" w:rsidP="00133721">
      <w:pPr>
        <w:spacing w:line="240" w:lineRule="auto"/>
      </w:pPr>
    </w:p>
    <w:p w14:paraId="073A3627" w14:textId="5FAA60D5" w:rsidR="006B728F" w:rsidRPr="00C9344A" w:rsidRDefault="006B728F" w:rsidP="00133721">
      <w:pPr>
        <w:spacing w:line="240" w:lineRule="auto"/>
      </w:pPr>
      <w:r w:rsidRPr="00C9344A">
        <w:t>Fueron allegadas en total 165 iniciativas, las cuales se estudiaron y revisaron en forma y fondo, reagrupándolas y quedando 163</w:t>
      </w:r>
      <w:r w:rsidR="00B753E7">
        <w:t xml:space="preserve"> </w:t>
      </w:r>
      <w:r w:rsidR="00B753E7" w:rsidRPr="00B753E7">
        <w:t>(</w:t>
      </w:r>
      <w:r w:rsidR="00B753E7" w:rsidRPr="00B753E7">
        <w:fldChar w:fldCharType="begin"/>
      </w:r>
      <w:r w:rsidR="00B753E7" w:rsidRPr="00B753E7">
        <w:instrText xml:space="preserve"> REF _Ref165163285 \h </w:instrText>
      </w:r>
      <w:r w:rsidR="00B753E7" w:rsidRPr="00B753E7">
        <w:fldChar w:fldCharType="separate"/>
      </w:r>
      <w:r w:rsidR="00D01651" w:rsidRPr="00B753E7">
        <w:rPr>
          <w:color w:val="C00000"/>
          <w:sz w:val="18"/>
          <w:szCs w:val="14"/>
        </w:rPr>
        <w:t xml:space="preserve">Tabla </w:t>
      </w:r>
      <w:r w:rsidR="00D01651">
        <w:rPr>
          <w:noProof/>
          <w:color w:val="C00000"/>
          <w:sz w:val="18"/>
          <w:szCs w:val="14"/>
        </w:rPr>
        <w:t>66</w:t>
      </w:r>
      <w:r w:rsidR="00B753E7" w:rsidRPr="00B753E7">
        <w:fldChar w:fldCharType="end"/>
      </w:r>
      <w:r w:rsidR="00B753E7" w:rsidRPr="00B753E7">
        <w:t>).</w:t>
      </w:r>
      <w:r w:rsidRPr="00B753E7">
        <w:rPr>
          <w:sz w:val="20"/>
          <w:szCs w:val="20"/>
          <w:lang w:eastAsia="es-CO"/>
        </w:rPr>
        <w:t xml:space="preserve"> </w:t>
      </w:r>
      <w:r w:rsidRPr="00C9344A">
        <w:t>Estas a su vez, se conceptualizaron y valoraron con apoyo de la Comisión Regional de Competitividad e Innovación.</w:t>
      </w:r>
    </w:p>
    <w:p w14:paraId="5F3C3B7A" w14:textId="77777777" w:rsidR="006B728F" w:rsidRPr="00C9344A" w:rsidRDefault="006B728F" w:rsidP="00133721">
      <w:pPr>
        <w:spacing w:line="240" w:lineRule="auto"/>
      </w:pPr>
    </w:p>
    <w:p w14:paraId="24C291D6" w14:textId="77777777" w:rsidR="006B728F" w:rsidRPr="00C9344A" w:rsidRDefault="006B728F" w:rsidP="00133721">
      <w:pPr>
        <w:spacing w:line="240" w:lineRule="auto"/>
      </w:pPr>
      <w:r w:rsidRPr="00C9344A">
        <w:t>A continuación, se analizan estas iniciativas a la luz de los objetivos del Plan de Desarrollo, encontrando:</w:t>
      </w:r>
    </w:p>
    <w:p w14:paraId="57618267" w14:textId="77777777" w:rsidR="006B728F" w:rsidRPr="00C9344A" w:rsidRDefault="006B728F" w:rsidP="00133721">
      <w:pPr>
        <w:spacing w:line="240" w:lineRule="auto"/>
      </w:pPr>
    </w:p>
    <w:p w14:paraId="52D48415" w14:textId="77777777" w:rsidR="006B728F" w:rsidRPr="00C9344A" w:rsidRDefault="006B728F" w:rsidP="00133721">
      <w:pPr>
        <w:spacing w:line="240" w:lineRule="auto"/>
      </w:pPr>
      <w:r w:rsidRPr="00C9344A">
        <w:t>Respecto al objetivo 1</w:t>
      </w:r>
      <w:r w:rsidRPr="00C9344A">
        <w:rPr>
          <w:color w:val="auto"/>
          <w:sz w:val="20"/>
          <w:szCs w:val="20"/>
          <w:lang w:eastAsia="es-CO"/>
        </w:rPr>
        <w:t xml:space="preserve"> </w:t>
      </w:r>
      <w:r w:rsidRPr="00C9344A">
        <w:rPr>
          <w:i/>
          <w:iCs/>
        </w:rPr>
        <w:t>Bogotá Avanza en Seguridad</w:t>
      </w:r>
      <w:r w:rsidRPr="00C9344A">
        <w:rPr>
          <w:color w:val="auto"/>
          <w:sz w:val="20"/>
          <w:szCs w:val="20"/>
          <w:lang w:eastAsia="es-CO"/>
        </w:rPr>
        <w:t xml:space="preserve"> </w:t>
      </w:r>
      <w:r w:rsidRPr="00C9344A">
        <w:t>se recibieron 20 iniciativas que de una u otra forma buscan mejorar la movilidad, el espacio público y los indicadores de seguridad ciudadana. De estas, 12 iniciativas se centran específicamente en movilidad, buscando la realización de estudios, diseños y ejecución de obras complementarias en corredores viales principales, lo cual aportará a las metas relacionadas al programa 6 Movilidad segura e inclusiva.</w:t>
      </w:r>
    </w:p>
    <w:p w14:paraId="3DDBEB3A" w14:textId="77777777" w:rsidR="006B728F" w:rsidRPr="00C9344A" w:rsidRDefault="006B728F" w:rsidP="00133721">
      <w:pPr>
        <w:spacing w:line="240" w:lineRule="auto"/>
      </w:pPr>
    </w:p>
    <w:p w14:paraId="38DBE27E" w14:textId="77777777" w:rsidR="006B728F" w:rsidRPr="00C9344A" w:rsidRDefault="006B728F" w:rsidP="00133721">
      <w:pPr>
        <w:spacing w:line="240" w:lineRule="auto"/>
      </w:pPr>
      <w:r w:rsidRPr="00C9344A">
        <w:t>Las otras 8 iniciativas son variadas, resaltando medidas tecnológicas como el reconocimiento de placas y de seguridad vial.</w:t>
      </w:r>
    </w:p>
    <w:p w14:paraId="668CCE1E" w14:textId="77777777" w:rsidR="006B728F" w:rsidRPr="00C9344A" w:rsidRDefault="006B728F" w:rsidP="00133721">
      <w:pPr>
        <w:spacing w:line="240" w:lineRule="auto"/>
      </w:pPr>
    </w:p>
    <w:p w14:paraId="42CC46A4" w14:textId="77777777" w:rsidR="006B728F" w:rsidRPr="00C9344A" w:rsidRDefault="006B728F" w:rsidP="00133721">
      <w:pPr>
        <w:spacing w:line="240" w:lineRule="auto"/>
      </w:pPr>
      <w:r w:rsidRPr="00C9344A">
        <w:t>Asociados con el objetivo 2 Bogotá</w:t>
      </w:r>
      <w:r w:rsidRPr="00C9344A">
        <w:rPr>
          <w:color w:val="auto"/>
          <w:sz w:val="20"/>
          <w:szCs w:val="20"/>
          <w:lang w:eastAsia="es-CO"/>
        </w:rPr>
        <w:t xml:space="preserve"> </w:t>
      </w:r>
      <w:r w:rsidRPr="00C9344A">
        <w:rPr>
          <w:i/>
          <w:iCs/>
        </w:rPr>
        <w:t xml:space="preserve">Confía en su Bien-Estar </w:t>
      </w:r>
      <w:r w:rsidRPr="00C9344A">
        <w:t>se identificaron 22 iniciativas, resaltando 5 vinculadas a nuestro gran meta de reducir en 2 puntos la incidencia en inseguridad alimentaria severa de la ciudad.</w:t>
      </w:r>
    </w:p>
    <w:p w14:paraId="31BED114" w14:textId="77777777" w:rsidR="006B728F" w:rsidRPr="00C9344A" w:rsidRDefault="006B728F" w:rsidP="00133721">
      <w:pPr>
        <w:spacing w:line="240" w:lineRule="auto"/>
      </w:pPr>
    </w:p>
    <w:p w14:paraId="0067BB65" w14:textId="77777777" w:rsidR="006B728F" w:rsidRDefault="006B728F" w:rsidP="00133721">
      <w:pPr>
        <w:spacing w:line="240" w:lineRule="auto"/>
      </w:pPr>
      <w:r w:rsidRPr="00C9344A">
        <w:t>También es de resaltar las iniciativas que aportan al programa</w:t>
      </w:r>
      <w:r w:rsidRPr="00C9344A">
        <w:rPr>
          <w:color w:val="auto"/>
          <w:sz w:val="20"/>
          <w:szCs w:val="20"/>
          <w:lang w:eastAsia="es-CO"/>
        </w:rPr>
        <w:t xml:space="preserve"> </w:t>
      </w:r>
      <w:r w:rsidRPr="00C9344A">
        <w:rPr>
          <w:i/>
          <w:iCs/>
        </w:rPr>
        <w:t>Bogotá cuida su gente y Bogotá deportiva, recreativa, artística, patrimonial e intercultural,</w:t>
      </w:r>
      <w:r w:rsidRPr="00C9344A">
        <w:rPr>
          <w:color w:val="auto"/>
          <w:sz w:val="20"/>
          <w:szCs w:val="20"/>
          <w:lang w:eastAsia="es-CO"/>
        </w:rPr>
        <w:t xml:space="preserve"> </w:t>
      </w:r>
      <w:r w:rsidRPr="00C9344A">
        <w:t>donde se encontraron 5 en cada uno de estos programas.</w:t>
      </w:r>
    </w:p>
    <w:p w14:paraId="268CBDFA" w14:textId="77777777" w:rsidR="006B728F" w:rsidRPr="00C9344A" w:rsidRDefault="006B728F" w:rsidP="00133721">
      <w:pPr>
        <w:spacing w:line="240" w:lineRule="auto"/>
      </w:pPr>
    </w:p>
    <w:p w14:paraId="0060E0B7" w14:textId="77777777" w:rsidR="006B728F" w:rsidRPr="00C9344A" w:rsidRDefault="006B728F" w:rsidP="00133721">
      <w:pPr>
        <w:spacing w:line="240" w:lineRule="auto"/>
      </w:pPr>
    </w:p>
    <w:p w14:paraId="5CF18125" w14:textId="28BA8370" w:rsidR="006B728F" w:rsidRPr="00C9344A" w:rsidRDefault="006B728F" w:rsidP="00133721">
      <w:pPr>
        <w:spacing w:line="240" w:lineRule="auto"/>
      </w:pPr>
      <w:r w:rsidRPr="00C9344A">
        <w:lastRenderedPageBreak/>
        <w:t xml:space="preserve">Frente al objetivo 3 </w:t>
      </w:r>
      <w:r w:rsidRPr="00C9344A">
        <w:rPr>
          <w:i/>
          <w:iCs/>
        </w:rPr>
        <w:t>Bogotá Confía en su Potencial,</w:t>
      </w:r>
      <w:r w:rsidRPr="00C9344A">
        <w:rPr>
          <w:color w:val="auto"/>
          <w:sz w:val="20"/>
          <w:szCs w:val="20"/>
          <w:lang w:eastAsia="es-CO"/>
        </w:rPr>
        <w:t xml:space="preserve"> </w:t>
      </w:r>
      <w:r w:rsidRPr="00C9344A">
        <w:t xml:space="preserve">se presentaron 48 iniciativas, entre las cuales se resaltan 18 centradas en acceso y calidad educativa; 13 en emprendimiento; y 17 en pro de </w:t>
      </w:r>
      <w:r w:rsidR="009163B3">
        <w:t xml:space="preserve">  </w:t>
      </w:r>
      <w:r w:rsidR="009163B3" w:rsidRPr="00C9344A">
        <w:t>fortalecer el ecosistema de ciencia tecnología e innovación de la ciudad. Consideraciones importantes para que</w:t>
      </w:r>
      <w:r w:rsidR="009163B3">
        <w:t xml:space="preserve"> </w:t>
      </w:r>
      <w:r w:rsidRPr="00C9344A">
        <w:t>los ciudadanos encuentran en Bogotá las condiciones para poder aprovechar todas las oportunidades que nuestra ciudad puede ofrecer.</w:t>
      </w:r>
    </w:p>
    <w:p w14:paraId="37F449C6" w14:textId="77777777" w:rsidR="006B728F" w:rsidRPr="00C9344A" w:rsidRDefault="006B728F" w:rsidP="00133721">
      <w:pPr>
        <w:spacing w:line="240" w:lineRule="auto"/>
        <w:rPr>
          <w:color w:val="auto"/>
          <w:sz w:val="20"/>
          <w:szCs w:val="20"/>
          <w:lang w:eastAsia="es-CO"/>
        </w:rPr>
      </w:pPr>
    </w:p>
    <w:p w14:paraId="31BF08E6" w14:textId="77777777" w:rsidR="006B728F" w:rsidRPr="00C9344A" w:rsidRDefault="006B728F" w:rsidP="00133721">
      <w:pPr>
        <w:spacing w:line="240" w:lineRule="auto"/>
      </w:pPr>
      <w:r w:rsidRPr="00C9344A">
        <w:t>Fueron 49 las iniciativas asociadas al objetivo estratégico 4</w:t>
      </w:r>
      <w:r w:rsidRPr="00C9344A">
        <w:rPr>
          <w:color w:val="auto"/>
          <w:sz w:val="20"/>
          <w:szCs w:val="20"/>
          <w:lang w:eastAsia="es-CO"/>
        </w:rPr>
        <w:t xml:space="preserve"> </w:t>
      </w:r>
      <w:r w:rsidRPr="00C9344A">
        <w:rPr>
          <w:i/>
          <w:iCs/>
        </w:rPr>
        <w:t>Bogotá ordena su territorio y avanza en su acción climática,</w:t>
      </w:r>
      <w:r w:rsidRPr="00C9344A">
        <w:rPr>
          <w:color w:val="auto"/>
          <w:sz w:val="20"/>
          <w:szCs w:val="20"/>
          <w:lang w:eastAsia="es-CO"/>
        </w:rPr>
        <w:t xml:space="preserve"> </w:t>
      </w:r>
      <w:r w:rsidRPr="00C9344A">
        <w:t>resaltando que 13 fueron en los temas de revitalización urbana y rural; 11 en temas de restauración ecológica y conservación de los ecosistemas y resiliencia al cambio climático, entre otros; y 11 en los referentes a la atención del déficit social para un hábitat digno, una de nuestras grandes apuestas para mejorar los indicadores de espacio público por habitante.</w:t>
      </w:r>
    </w:p>
    <w:p w14:paraId="08C51C7A" w14:textId="77777777" w:rsidR="006B728F" w:rsidRPr="00C9344A" w:rsidRDefault="006B728F" w:rsidP="00133721">
      <w:pPr>
        <w:spacing w:line="240" w:lineRule="auto"/>
      </w:pPr>
    </w:p>
    <w:p w14:paraId="0CE21B49" w14:textId="77777777" w:rsidR="006B728F" w:rsidRDefault="006B728F" w:rsidP="00133721">
      <w:pPr>
        <w:spacing w:line="240" w:lineRule="auto"/>
      </w:pPr>
      <w:r w:rsidRPr="00C9344A">
        <w:t>Por último, asociados al objetivo 5</w:t>
      </w:r>
      <w:r w:rsidRPr="00C9344A">
        <w:rPr>
          <w:color w:val="auto"/>
          <w:sz w:val="20"/>
          <w:szCs w:val="20"/>
          <w:lang w:eastAsia="es-CO"/>
        </w:rPr>
        <w:t xml:space="preserve"> </w:t>
      </w:r>
      <w:r w:rsidRPr="00C9344A">
        <w:rPr>
          <w:i/>
          <w:iCs/>
        </w:rPr>
        <w:t>Bogotá confía en su gobierno</w:t>
      </w:r>
      <w:r w:rsidRPr="00C9344A">
        <w:rPr>
          <w:color w:val="auto"/>
          <w:sz w:val="20"/>
          <w:szCs w:val="20"/>
          <w:lang w:eastAsia="es-CO"/>
        </w:rPr>
        <w:t xml:space="preserve"> </w:t>
      </w:r>
      <w:r w:rsidRPr="00C9344A">
        <w:t xml:space="preserve">se encuentran 23 iniciativas. De estas 14 están centradas en la transformación digital y la infraestructura de datos necesaria para una mejor administración de la ciudad; 5 en fortalecimiento institucional, y los 4 restantes </w:t>
      </w:r>
      <w:r w:rsidRPr="00C9344A">
        <w:t>están en gobierno integro transparente y corresponsable.</w:t>
      </w:r>
    </w:p>
    <w:p w14:paraId="28890AA1" w14:textId="77777777" w:rsidR="00A70F5C" w:rsidRPr="00C9344A" w:rsidRDefault="00A70F5C" w:rsidP="00133721">
      <w:pPr>
        <w:spacing w:line="240" w:lineRule="auto"/>
      </w:pPr>
    </w:p>
    <w:p w14:paraId="280C544F" w14:textId="77777777" w:rsidR="006B728F" w:rsidRPr="00C9344A" w:rsidRDefault="006B728F" w:rsidP="00133721">
      <w:pPr>
        <w:spacing w:line="240" w:lineRule="auto"/>
      </w:pPr>
      <w:r w:rsidRPr="00C9344A">
        <w:t>Complementario a lo anterior, en el marco de los procesos de decisión autónoma de las comunidades y organizaciones de los grupos étnicos con presencia en la capital, y a partir de los espacios de socialización del Distrito, se recibió e incorporó en el capítulo independiente, una iniciativa del Cabildo Indígena Muisca de Bosa, a ser financiada con recursos de la asignación directa.</w:t>
      </w:r>
    </w:p>
    <w:p w14:paraId="7C0B10B8" w14:textId="77777777" w:rsidR="006B728F" w:rsidRPr="00C9344A" w:rsidRDefault="006B728F" w:rsidP="00133721">
      <w:pPr>
        <w:spacing w:line="240" w:lineRule="auto"/>
      </w:pPr>
    </w:p>
    <w:p w14:paraId="4F8D619F" w14:textId="77777777" w:rsidR="006B728F" w:rsidRPr="00C9344A" w:rsidRDefault="006B728F" w:rsidP="00133721">
      <w:pPr>
        <w:spacing w:line="240" w:lineRule="auto"/>
      </w:pPr>
      <w:r w:rsidRPr="00C9344A">
        <w:t>Todo este conjunto de iniciativas demuestra el relacionamiento de las entidades y los participantes en la identificación de estas, con nuestro Plan de Desarrollo que construimos entre todos.</w:t>
      </w:r>
    </w:p>
    <w:p w14:paraId="7DE6F77C" w14:textId="77777777" w:rsidR="006B728F" w:rsidRPr="00C9344A" w:rsidRDefault="006B728F" w:rsidP="00133721">
      <w:pPr>
        <w:spacing w:line="240" w:lineRule="auto"/>
      </w:pPr>
    </w:p>
    <w:p w14:paraId="20B15160" w14:textId="77777777" w:rsidR="006B728F" w:rsidRDefault="006B728F" w:rsidP="00133721">
      <w:pPr>
        <w:spacing w:line="240" w:lineRule="auto"/>
      </w:pPr>
      <w:r w:rsidRPr="00C9344A">
        <w:t>Llevar estas iniciativas a la realidad, estará precedida de su formulación como proyectos y la priorización que haga la administración y el Órgano Colegiado de Administración y Decisión (OCAD) regional, para lo cual se dará especial reconocimiento a los proyectos en fase 3 y con un claro apalancamiento con otras fuentes de recursos</w:t>
      </w:r>
      <w:r>
        <w:t>.</w:t>
      </w:r>
    </w:p>
    <w:p w14:paraId="4D8B9722" w14:textId="77777777" w:rsidR="006B728F" w:rsidRDefault="006B728F" w:rsidP="00133721">
      <w:pPr>
        <w:spacing w:line="240" w:lineRule="auto"/>
      </w:pPr>
    </w:p>
    <w:p w14:paraId="7F31C339" w14:textId="77777777" w:rsidR="006B728F" w:rsidRPr="00C9344A" w:rsidRDefault="006B728F" w:rsidP="00133721">
      <w:pPr>
        <w:spacing w:line="240" w:lineRule="auto"/>
        <w:rPr>
          <w:color w:val="auto"/>
          <w:sz w:val="20"/>
          <w:szCs w:val="20"/>
          <w:lang w:eastAsia="es-CO"/>
        </w:rPr>
      </w:pPr>
    </w:p>
    <w:p w14:paraId="331B53AD" w14:textId="77777777" w:rsidR="006B728F" w:rsidRDefault="006B728F" w:rsidP="00133721">
      <w:pPr>
        <w:spacing w:line="240" w:lineRule="auto"/>
        <w:jc w:val="right"/>
        <w:rPr>
          <w:rFonts w:ascii="Arial" w:hAnsi="Arial" w:cs="Arial"/>
          <w:color w:val="auto"/>
          <w:sz w:val="13"/>
          <w:szCs w:val="13"/>
          <w:lang w:eastAsia="es-CO"/>
        </w:rPr>
        <w:sectPr w:rsidR="006B728F" w:rsidSect="00F7078E">
          <w:headerReference w:type="default" r:id="rId203"/>
          <w:footerReference w:type="even" r:id="rId204"/>
          <w:footerReference w:type="default" r:id="rId205"/>
          <w:type w:val="continuous"/>
          <w:pgSz w:w="12240" w:h="15840"/>
          <w:pgMar w:top="2262" w:right="1440" w:bottom="1440" w:left="1440" w:header="709" w:footer="709" w:gutter="0"/>
          <w:cols w:num="2" w:space="567"/>
        </w:sectPr>
      </w:pPr>
    </w:p>
    <w:p w14:paraId="3A65D1F7" w14:textId="77777777" w:rsidR="006B728F" w:rsidRDefault="006B728F" w:rsidP="00133721">
      <w:pPr>
        <w:spacing w:line="240" w:lineRule="auto"/>
        <w:jc w:val="right"/>
        <w:rPr>
          <w:rFonts w:ascii="Arial" w:hAnsi="Arial" w:cs="Arial"/>
          <w:color w:val="auto"/>
          <w:sz w:val="13"/>
          <w:szCs w:val="13"/>
          <w:lang w:eastAsia="es-CO"/>
        </w:rPr>
      </w:pPr>
    </w:p>
    <w:p w14:paraId="6F34BA75" w14:textId="77777777" w:rsidR="006B728F" w:rsidRDefault="006B728F" w:rsidP="00133721">
      <w:pPr>
        <w:spacing w:line="240" w:lineRule="auto"/>
        <w:jc w:val="right"/>
        <w:rPr>
          <w:rFonts w:ascii="Arial" w:hAnsi="Arial" w:cs="Arial"/>
          <w:color w:val="auto"/>
          <w:sz w:val="13"/>
          <w:szCs w:val="13"/>
          <w:lang w:eastAsia="es-CO"/>
        </w:rPr>
      </w:pPr>
    </w:p>
    <w:p w14:paraId="54E21084" w14:textId="77777777" w:rsidR="006B728F" w:rsidRDefault="006B728F" w:rsidP="00133721">
      <w:pPr>
        <w:spacing w:line="240" w:lineRule="auto"/>
        <w:jc w:val="right"/>
        <w:rPr>
          <w:rFonts w:ascii="Arial" w:hAnsi="Arial" w:cs="Arial"/>
          <w:color w:val="auto"/>
          <w:sz w:val="13"/>
          <w:szCs w:val="13"/>
          <w:lang w:eastAsia="es-CO"/>
        </w:rPr>
      </w:pPr>
    </w:p>
    <w:p w14:paraId="7FA07516" w14:textId="77777777" w:rsidR="006B728F" w:rsidRDefault="006B728F" w:rsidP="00133721">
      <w:pPr>
        <w:spacing w:line="240" w:lineRule="auto"/>
        <w:jc w:val="center"/>
        <w:rPr>
          <w:rFonts w:ascii="Arial" w:hAnsi="Arial" w:cs="Arial"/>
          <w:color w:val="auto"/>
          <w:sz w:val="13"/>
          <w:szCs w:val="13"/>
          <w:lang w:eastAsia="es-CO"/>
        </w:rPr>
      </w:pPr>
    </w:p>
    <w:p w14:paraId="49B8C4BA" w14:textId="77777777" w:rsidR="006B728F" w:rsidRDefault="006B728F" w:rsidP="00133721">
      <w:pPr>
        <w:spacing w:line="240" w:lineRule="auto"/>
        <w:jc w:val="center"/>
        <w:rPr>
          <w:rFonts w:ascii="Arial" w:hAnsi="Arial" w:cs="Arial"/>
          <w:color w:val="auto"/>
          <w:sz w:val="13"/>
          <w:szCs w:val="13"/>
          <w:lang w:eastAsia="es-CO"/>
        </w:rPr>
      </w:pPr>
    </w:p>
    <w:p w14:paraId="505FF799" w14:textId="77777777" w:rsidR="006B728F" w:rsidRDefault="006B728F" w:rsidP="00133721">
      <w:pPr>
        <w:spacing w:line="240" w:lineRule="auto"/>
        <w:jc w:val="center"/>
        <w:rPr>
          <w:rFonts w:ascii="Arial" w:hAnsi="Arial" w:cs="Arial"/>
          <w:color w:val="auto"/>
          <w:sz w:val="13"/>
          <w:szCs w:val="13"/>
          <w:lang w:eastAsia="es-CO"/>
        </w:rPr>
      </w:pPr>
    </w:p>
    <w:p w14:paraId="0CAA953B" w14:textId="77777777" w:rsidR="006B728F" w:rsidRDefault="006B728F" w:rsidP="00133721">
      <w:pPr>
        <w:spacing w:line="240" w:lineRule="auto"/>
        <w:jc w:val="center"/>
        <w:rPr>
          <w:rFonts w:ascii="Arial" w:hAnsi="Arial" w:cs="Arial"/>
          <w:color w:val="auto"/>
          <w:sz w:val="13"/>
          <w:szCs w:val="13"/>
          <w:lang w:eastAsia="es-CO"/>
        </w:rPr>
      </w:pPr>
    </w:p>
    <w:p w14:paraId="072BBA73" w14:textId="77777777" w:rsidR="006B728F" w:rsidRDefault="006B728F" w:rsidP="00133721">
      <w:pPr>
        <w:spacing w:line="240" w:lineRule="auto"/>
        <w:jc w:val="center"/>
        <w:rPr>
          <w:rFonts w:ascii="Arial" w:hAnsi="Arial" w:cs="Arial"/>
          <w:color w:val="auto"/>
          <w:sz w:val="13"/>
          <w:szCs w:val="13"/>
          <w:lang w:eastAsia="es-CO"/>
        </w:rPr>
      </w:pPr>
    </w:p>
    <w:p w14:paraId="339C823A" w14:textId="77777777" w:rsidR="006B728F" w:rsidRDefault="006B728F" w:rsidP="00133721">
      <w:pPr>
        <w:spacing w:line="240" w:lineRule="auto"/>
        <w:jc w:val="center"/>
        <w:rPr>
          <w:rFonts w:ascii="Arial" w:hAnsi="Arial" w:cs="Arial"/>
          <w:color w:val="auto"/>
          <w:sz w:val="13"/>
          <w:szCs w:val="13"/>
          <w:lang w:eastAsia="es-CO"/>
        </w:rPr>
      </w:pPr>
    </w:p>
    <w:p w14:paraId="163CCA9B" w14:textId="77777777" w:rsidR="006B728F" w:rsidRDefault="006B728F" w:rsidP="00133721">
      <w:pPr>
        <w:spacing w:line="240" w:lineRule="auto"/>
        <w:jc w:val="center"/>
        <w:rPr>
          <w:rFonts w:ascii="Arial" w:hAnsi="Arial" w:cs="Arial"/>
          <w:color w:val="auto"/>
          <w:sz w:val="13"/>
          <w:szCs w:val="13"/>
          <w:lang w:eastAsia="es-CO"/>
        </w:rPr>
      </w:pPr>
    </w:p>
    <w:p w14:paraId="3535667D" w14:textId="77777777" w:rsidR="006B728F" w:rsidRDefault="006B728F" w:rsidP="00133721">
      <w:pPr>
        <w:spacing w:line="240" w:lineRule="auto"/>
        <w:jc w:val="center"/>
        <w:rPr>
          <w:rFonts w:ascii="Arial" w:hAnsi="Arial" w:cs="Arial"/>
          <w:color w:val="auto"/>
          <w:sz w:val="13"/>
          <w:szCs w:val="13"/>
          <w:lang w:eastAsia="es-CO"/>
        </w:rPr>
      </w:pPr>
    </w:p>
    <w:p w14:paraId="5CA99C81" w14:textId="77777777" w:rsidR="006B728F" w:rsidRDefault="006B728F" w:rsidP="00133721">
      <w:pPr>
        <w:spacing w:line="240" w:lineRule="auto"/>
        <w:jc w:val="center"/>
        <w:rPr>
          <w:rFonts w:ascii="Arial" w:hAnsi="Arial" w:cs="Arial"/>
          <w:color w:val="auto"/>
          <w:sz w:val="13"/>
          <w:szCs w:val="13"/>
          <w:lang w:eastAsia="es-CO"/>
        </w:rPr>
      </w:pPr>
    </w:p>
    <w:p w14:paraId="71E5EB8F" w14:textId="77777777" w:rsidR="006B728F" w:rsidRDefault="006B728F" w:rsidP="00133721">
      <w:pPr>
        <w:spacing w:line="240" w:lineRule="auto"/>
        <w:jc w:val="center"/>
        <w:rPr>
          <w:rFonts w:ascii="Arial" w:hAnsi="Arial" w:cs="Arial"/>
          <w:color w:val="auto"/>
          <w:sz w:val="13"/>
          <w:szCs w:val="13"/>
          <w:lang w:eastAsia="es-CO"/>
        </w:rPr>
      </w:pPr>
    </w:p>
    <w:p w14:paraId="1C8ABFF7" w14:textId="77777777" w:rsidR="006B728F" w:rsidRDefault="006B728F" w:rsidP="00133721">
      <w:pPr>
        <w:spacing w:line="240" w:lineRule="auto"/>
        <w:jc w:val="center"/>
        <w:rPr>
          <w:rFonts w:ascii="Arial" w:hAnsi="Arial" w:cs="Arial"/>
          <w:color w:val="auto"/>
          <w:sz w:val="13"/>
          <w:szCs w:val="13"/>
          <w:lang w:eastAsia="es-CO"/>
        </w:rPr>
      </w:pPr>
    </w:p>
    <w:p w14:paraId="11F339AE" w14:textId="77777777" w:rsidR="006B728F" w:rsidRDefault="006B728F" w:rsidP="00133721">
      <w:pPr>
        <w:spacing w:line="240" w:lineRule="auto"/>
        <w:jc w:val="center"/>
        <w:rPr>
          <w:rFonts w:ascii="Arial" w:hAnsi="Arial" w:cs="Arial"/>
          <w:color w:val="auto"/>
          <w:sz w:val="13"/>
          <w:szCs w:val="13"/>
          <w:lang w:eastAsia="es-CO"/>
        </w:rPr>
      </w:pPr>
    </w:p>
    <w:p w14:paraId="3AF87E9C" w14:textId="77777777" w:rsidR="006B728F" w:rsidRDefault="006B728F" w:rsidP="00133721">
      <w:pPr>
        <w:spacing w:line="240" w:lineRule="auto"/>
        <w:jc w:val="center"/>
        <w:rPr>
          <w:rFonts w:ascii="Arial" w:hAnsi="Arial" w:cs="Arial"/>
          <w:color w:val="auto"/>
          <w:sz w:val="13"/>
          <w:szCs w:val="13"/>
          <w:lang w:eastAsia="es-CO"/>
        </w:rPr>
      </w:pPr>
    </w:p>
    <w:p w14:paraId="6A1DFB90" w14:textId="40820DAB" w:rsidR="009163B3" w:rsidRDefault="009163B3">
      <w:pPr>
        <w:spacing w:line="240" w:lineRule="auto"/>
        <w:jc w:val="left"/>
        <w:rPr>
          <w:rFonts w:ascii="Arial" w:hAnsi="Arial" w:cs="Arial"/>
          <w:color w:val="auto"/>
          <w:sz w:val="13"/>
          <w:szCs w:val="13"/>
          <w:lang w:eastAsia="es-CO"/>
        </w:rPr>
      </w:pPr>
      <w:r>
        <w:rPr>
          <w:rFonts w:ascii="Arial" w:hAnsi="Arial" w:cs="Arial"/>
          <w:color w:val="auto"/>
          <w:sz w:val="13"/>
          <w:szCs w:val="13"/>
          <w:lang w:eastAsia="es-CO"/>
        </w:rPr>
        <w:br w:type="page"/>
      </w:r>
    </w:p>
    <w:p w14:paraId="77EB92D5" w14:textId="00F5EA66" w:rsidR="009163B3" w:rsidRPr="009163B3" w:rsidRDefault="009163B3" w:rsidP="009163B3">
      <w:pPr>
        <w:pStyle w:val="Descripcin"/>
        <w:jc w:val="center"/>
        <w:rPr>
          <w:bCs/>
          <w:sz w:val="18"/>
          <w:lang w:val="es-CO"/>
        </w:rPr>
      </w:pPr>
      <w:bookmarkStart w:id="507" w:name="_Toc165169887"/>
      <w:r w:rsidRPr="009163B3">
        <w:rPr>
          <w:color w:val="C00000"/>
          <w:sz w:val="18"/>
        </w:rPr>
        <w:lastRenderedPageBreak/>
        <w:t xml:space="preserve">Gráfica </w:t>
      </w:r>
      <w:r w:rsidRPr="009163B3">
        <w:rPr>
          <w:color w:val="C00000"/>
          <w:sz w:val="18"/>
        </w:rPr>
        <w:fldChar w:fldCharType="begin"/>
      </w:r>
      <w:r w:rsidRPr="009163B3">
        <w:rPr>
          <w:color w:val="C00000"/>
          <w:sz w:val="18"/>
        </w:rPr>
        <w:instrText xml:space="preserve"> SEQ Gráfica \* ARABIC </w:instrText>
      </w:r>
      <w:r w:rsidRPr="009163B3">
        <w:rPr>
          <w:color w:val="C00000"/>
          <w:sz w:val="18"/>
        </w:rPr>
        <w:fldChar w:fldCharType="separate"/>
      </w:r>
      <w:r w:rsidR="00D01651">
        <w:rPr>
          <w:noProof/>
          <w:color w:val="C00000"/>
          <w:sz w:val="18"/>
        </w:rPr>
        <w:t>61</w:t>
      </w:r>
      <w:r w:rsidRPr="009163B3">
        <w:rPr>
          <w:color w:val="C00000"/>
          <w:sz w:val="18"/>
        </w:rPr>
        <w:fldChar w:fldCharType="end"/>
      </w:r>
      <w:r w:rsidRPr="009163B3">
        <w:rPr>
          <w:color w:val="C00000"/>
          <w:sz w:val="18"/>
        </w:rPr>
        <w:t xml:space="preserve">. </w:t>
      </w:r>
      <w:r w:rsidRPr="009163B3">
        <w:rPr>
          <w:bCs/>
          <w:sz w:val="18"/>
          <w:lang w:val="es-CO"/>
        </w:rPr>
        <w:t>Iniciativas relacionadas con los objetivos estratégicos del PDD "Bogotá Camina Segura"</w:t>
      </w:r>
      <w:bookmarkEnd w:id="507"/>
    </w:p>
    <w:p w14:paraId="585342B2" w14:textId="236CF2A9" w:rsidR="006B728F" w:rsidRDefault="006B728F" w:rsidP="009163B3">
      <w:pPr>
        <w:pStyle w:val="Descripcin"/>
        <w:rPr>
          <w:rFonts w:ascii="Arial" w:hAnsi="Arial" w:cs="Arial"/>
          <w:color w:val="auto"/>
          <w:sz w:val="13"/>
          <w:szCs w:val="13"/>
          <w:lang w:eastAsia="es-CO"/>
        </w:rPr>
      </w:pPr>
    </w:p>
    <w:p w14:paraId="1B48BBCD" w14:textId="77777777" w:rsidR="006B728F" w:rsidRPr="009163B3" w:rsidRDefault="006B728F" w:rsidP="00133721">
      <w:pPr>
        <w:spacing w:line="240" w:lineRule="auto"/>
        <w:jc w:val="center"/>
        <w:rPr>
          <w:rFonts w:cs="Arial"/>
          <w:color w:val="auto"/>
          <w:sz w:val="18"/>
          <w:szCs w:val="18"/>
          <w:lang w:eastAsia="es-CO"/>
        </w:rPr>
      </w:pPr>
      <w:r w:rsidRPr="009163B3">
        <w:rPr>
          <w:b/>
          <w:bCs/>
          <w:noProof/>
          <w:color w:val="auto"/>
          <w:sz w:val="18"/>
          <w:szCs w:val="18"/>
          <w:lang w:eastAsia="es-CO"/>
        </w:rPr>
        <w:drawing>
          <wp:anchor distT="0" distB="0" distL="114300" distR="114300" simplePos="0" relativeHeight="251846656" behindDoc="0" locked="0" layoutInCell="1" allowOverlap="1" wp14:anchorId="699C1373" wp14:editId="23A3235B">
            <wp:simplePos x="0" y="0"/>
            <wp:positionH relativeFrom="column">
              <wp:posOffset>-1473</wp:posOffset>
            </wp:positionH>
            <wp:positionV relativeFrom="paragraph">
              <wp:posOffset>464</wp:posOffset>
            </wp:positionV>
            <wp:extent cx="5617811" cy="3045582"/>
            <wp:effectExtent l="0" t="0" r="0" b="2540"/>
            <wp:wrapSquare wrapText="bothSides"/>
            <wp:docPr id="6145784" name="Gráfico 1" title="Gráfico"/>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14:sizeRelH relativeFrom="page">
              <wp14:pctWidth>0</wp14:pctWidth>
            </wp14:sizeRelH>
            <wp14:sizeRelV relativeFrom="page">
              <wp14:pctHeight>0</wp14:pctHeight>
            </wp14:sizeRelV>
          </wp:anchor>
        </w:drawing>
      </w:r>
      <w:r w:rsidRPr="009163B3">
        <w:rPr>
          <w:rFonts w:cs="Arial"/>
          <w:b/>
          <w:bCs/>
          <w:color w:val="auto"/>
          <w:sz w:val="18"/>
          <w:szCs w:val="18"/>
          <w:lang w:eastAsia="es-CO"/>
        </w:rPr>
        <w:t>Fuente:</w:t>
      </w:r>
      <w:r w:rsidRPr="009163B3">
        <w:rPr>
          <w:rFonts w:cs="Arial"/>
          <w:color w:val="auto"/>
          <w:sz w:val="18"/>
          <w:szCs w:val="18"/>
          <w:lang w:eastAsia="es-CO"/>
        </w:rPr>
        <w:t xml:space="preserve"> Cifras consolidadas Fichas Iniciativas SGR allegadas - Formato </w:t>
      </w:r>
      <w:r w:rsidRPr="009163B3">
        <w:rPr>
          <w:color w:val="auto"/>
          <w:sz w:val="18"/>
          <w:szCs w:val="18"/>
          <w:lang w:eastAsia="es-CO"/>
        </w:rPr>
        <w:t>M-FO-151 / SDP.</w:t>
      </w:r>
    </w:p>
    <w:p w14:paraId="50595DF2" w14:textId="77777777" w:rsidR="006B728F" w:rsidRPr="00C9344A" w:rsidRDefault="006B728F" w:rsidP="00133721">
      <w:pPr>
        <w:spacing w:line="240" w:lineRule="auto"/>
        <w:jc w:val="right"/>
        <w:rPr>
          <w:color w:val="auto"/>
          <w:sz w:val="20"/>
          <w:szCs w:val="20"/>
          <w:lang w:eastAsia="es-CO"/>
        </w:rPr>
      </w:pPr>
    </w:p>
    <w:p w14:paraId="0F75E8C8" w14:textId="509462FD" w:rsidR="00B753E7" w:rsidRDefault="006B728F" w:rsidP="00133721">
      <w:pPr>
        <w:spacing w:line="240" w:lineRule="auto"/>
        <w:rPr>
          <w:color w:val="auto"/>
          <w:sz w:val="20"/>
          <w:szCs w:val="20"/>
          <w:lang w:eastAsia="es-CO"/>
        </w:rPr>
      </w:pPr>
      <w:r w:rsidRPr="00C9344A">
        <w:rPr>
          <w:color w:val="auto"/>
          <w:sz w:val="20"/>
          <w:szCs w:val="20"/>
          <w:lang w:eastAsia="es-CO"/>
        </w:rPr>
        <w:t xml:space="preserve">A continuación, se presenta el listado completo de las iniciativas incluidas en este capítulo y susceptibles de financiación con recursos por parte del Sistema General de Regalías (SGR). </w:t>
      </w:r>
    </w:p>
    <w:p w14:paraId="67A65D5F" w14:textId="77777777" w:rsidR="00B753E7" w:rsidRDefault="00B753E7">
      <w:pPr>
        <w:spacing w:line="240" w:lineRule="auto"/>
        <w:jc w:val="left"/>
        <w:rPr>
          <w:color w:val="auto"/>
          <w:sz w:val="20"/>
          <w:szCs w:val="20"/>
          <w:lang w:eastAsia="es-CO"/>
        </w:rPr>
      </w:pPr>
      <w:r>
        <w:rPr>
          <w:color w:val="auto"/>
          <w:sz w:val="20"/>
          <w:szCs w:val="20"/>
          <w:lang w:eastAsia="es-CO"/>
        </w:rPr>
        <w:br w:type="page"/>
      </w:r>
    </w:p>
    <w:p w14:paraId="396FE84B" w14:textId="58DFCD5F" w:rsidR="006B728F" w:rsidRPr="00C9344A" w:rsidRDefault="00B753E7" w:rsidP="00B753E7">
      <w:pPr>
        <w:pStyle w:val="Descripcin"/>
        <w:jc w:val="center"/>
        <w:rPr>
          <w:color w:val="auto"/>
          <w:sz w:val="20"/>
          <w:szCs w:val="20"/>
          <w:lang w:eastAsia="es-CO"/>
        </w:rPr>
      </w:pPr>
      <w:bookmarkStart w:id="508" w:name="_Ref165163285"/>
      <w:bookmarkStart w:id="509" w:name="_Toc165169976"/>
      <w:r w:rsidRPr="00B753E7">
        <w:rPr>
          <w:color w:val="C00000"/>
          <w:sz w:val="18"/>
          <w:szCs w:val="14"/>
        </w:rPr>
        <w:lastRenderedPageBreak/>
        <w:t xml:space="preserve">Tabla </w:t>
      </w:r>
      <w:r w:rsidRPr="00B753E7">
        <w:rPr>
          <w:color w:val="C00000"/>
          <w:sz w:val="18"/>
          <w:szCs w:val="14"/>
        </w:rPr>
        <w:fldChar w:fldCharType="begin"/>
      </w:r>
      <w:r w:rsidRPr="00B753E7">
        <w:rPr>
          <w:color w:val="C00000"/>
          <w:sz w:val="18"/>
          <w:szCs w:val="14"/>
        </w:rPr>
        <w:instrText xml:space="preserve"> SEQ Tabla \* ARABIC </w:instrText>
      </w:r>
      <w:r w:rsidRPr="00B753E7">
        <w:rPr>
          <w:color w:val="C00000"/>
          <w:sz w:val="18"/>
          <w:szCs w:val="14"/>
        </w:rPr>
        <w:fldChar w:fldCharType="separate"/>
      </w:r>
      <w:r w:rsidR="00D01651">
        <w:rPr>
          <w:noProof/>
          <w:color w:val="C00000"/>
          <w:sz w:val="18"/>
          <w:szCs w:val="14"/>
        </w:rPr>
        <w:t>66</w:t>
      </w:r>
      <w:r w:rsidRPr="00B753E7">
        <w:rPr>
          <w:color w:val="C00000"/>
          <w:sz w:val="18"/>
          <w:szCs w:val="14"/>
        </w:rPr>
        <w:fldChar w:fldCharType="end"/>
      </w:r>
      <w:bookmarkEnd w:id="508"/>
      <w:r w:rsidRPr="00B753E7">
        <w:rPr>
          <w:color w:val="C00000"/>
          <w:sz w:val="18"/>
          <w:szCs w:val="14"/>
        </w:rPr>
        <w:t xml:space="preserve">. </w:t>
      </w:r>
      <w:r w:rsidRPr="00B753E7">
        <w:rPr>
          <w:sz w:val="18"/>
          <w:szCs w:val="14"/>
        </w:rPr>
        <w:t>Iniciativas susceptibles de financiación por el Sistema General de Regalías</w:t>
      </w:r>
      <w:bookmarkEnd w:id="509"/>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6B728F" w:rsidRPr="00C9344A" w14:paraId="55E0FAD8" w14:textId="77777777" w:rsidTr="00DC1CFE">
        <w:trPr>
          <w:trHeight w:val="826"/>
          <w:tblHeader/>
        </w:trPr>
        <w:tc>
          <w:tcPr>
            <w:tcW w:w="5000" w:type="pct"/>
            <w:shd w:val="clear" w:color="auto" w:fill="C00000"/>
            <w:vAlign w:val="center"/>
            <w:hideMark/>
          </w:tcPr>
          <w:p w14:paraId="152F6276" w14:textId="77777777" w:rsidR="006B728F" w:rsidRPr="00C9344A" w:rsidRDefault="006B728F" w:rsidP="00DC1CFE">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t>Iniciativas asociadas al Objetivo 1. Bogotá Avanza en Seguridad</w:t>
            </w:r>
          </w:p>
        </w:tc>
      </w:tr>
      <w:tr w:rsidR="006B728F" w:rsidRPr="00C9344A" w14:paraId="3DEF6028" w14:textId="77777777" w:rsidTr="00DC1CFE">
        <w:trPr>
          <w:trHeight w:val="832"/>
        </w:trPr>
        <w:tc>
          <w:tcPr>
            <w:tcW w:w="5000" w:type="pct"/>
            <w:shd w:val="clear" w:color="auto" w:fill="auto"/>
            <w:vAlign w:val="center"/>
            <w:hideMark/>
          </w:tcPr>
          <w:p w14:paraId="3304103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Ejecución de las obras y actividades complementarias para la conexión de la Alameda El Porvenir con la Avenida Terreros - Bicipuente sobre la Quebrada Tibanica, Bogotá, Soacha.</w:t>
            </w:r>
          </w:p>
        </w:tc>
      </w:tr>
      <w:tr w:rsidR="006B728F" w:rsidRPr="00C9344A" w14:paraId="34F8E72A" w14:textId="77777777" w:rsidTr="00DC1CFE">
        <w:trPr>
          <w:trHeight w:val="814"/>
        </w:trPr>
        <w:tc>
          <w:tcPr>
            <w:tcW w:w="5000" w:type="pct"/>
            <w:shd w:val="clear" w:color="auto" w:fill="auto"/>
            <w:vAlign w:val="center"/>
            <w:hideMark/>
          </w:tcPr>
          <w:p w14:paraId="2348A54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Actualización y/o complementación y/o elaboración de la factibilidad, estudios y diseños de la Avenida Circunvalar de Oriente entre Avenida Comuneros y Avenida Villavicencio.</w:t>
            </w:r>
          </w:p>
        </w:tc>
      </w:tr>
      <w:tr w:rsidR="006B728F" w:rsidRPr="00C9344A" w14:paraId="77EC29BF" w14:textId="77777777" w:rsidTr="00DC1CFE">
        <w:trPr>
          <w:trHeight w:val="823"/>
        </w:trPr>
        <w:tc>
          <w:tcPr>
            <w:tcW w:w="5000" w:type="pct"/>
            <w:shd w:val="clear" w:color="auto" w:fill="auto"/>
            <w:vAlign w:val="center"/>
            <w:hideMark/>
          </w:tcPr>
          <w:p w14:paraId="4BC8F85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Actualización y/o elaboración y/o complementación de los estudios y diseños de la Circunvalar de Oriente desde salida al llano hasta la Av. Villavicencio Bogotá D.C.</w:t>
            </w:r>
          </w:p>
        </w:tc>
      </w:tr>
      <w:tr w:rsidR="006B728F" w:rsidRPr="00C9344A" w14:paraId="40C9C3D0" w14:textId="77777777" w:rsidTr="00DC1CFE">
        <w:trPr>
          <w:trHeight w:val="849"/>
        </w:trPr>
        <w:tc>
          <w:tcPr>
            <w:tcW w:w="5000" w:type="pct"/>
            <w:shd w:val="clear" w:color="auto" w:fill="auto"/>
            <w:vAlign w:val="center"/>
            <w:hideMark/>
          </w:tcPr>
          <w:p w14:paraId="3A0A862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Proyecto Conexión Vial y de Espacio Público sobre la quebrada Tibanica a la altura de la Av. Ciudad de Cali entre el municipio de Soacha, Cundinamarca y el Distrito Capital.</w:t>
            </w:r>
          </w:p>
        </w:tc>
      </w:tr>
      <w:tr w:rsidR="006B728F" w:rsidRPr="00C9344A" w14:paraId="51AF5ECF" w14:textId="77777777" w:rsidTr="00DC1CFE">
        <w:trPr>
          <w:trHeight w:val="536"/>
        </w:trPr>
        <w:tc>
          <w:tcPr>
            <w:tcW w:w="5000" w:type="pct"/>
            <w:shd w:val="clear" w:color="auto" w:fill="auto"/>
            <w:vAlign w:val="center"/>
            <w:hideMark/>
          </w:tcPr>
          <w:p w14:paraId="1769D22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y mejoramiento de la infraestructura vial de la ciudad de Bogotá D.C.</w:t>
            </w:r>
          </w:p>
        </w:tc>
      </w:tr>
      <w:tr w:rsidR="006B728F" w:rsidRPr="00C9344A" w14:paraId="387D15D5" w14:textId="77777777" w:rsidTr="00DC1CFE">
        <w:trPr>
          <w:trHeight w:val="707"/>
        </w:trPr>
        <w:tc>
          <w:tcPr>
            <w:tcW w:w="5000" w:type="pct"/>
            <w:shd w:val="clear" w:color="auto" w:fill="auto"/>
            <w:vAlign w:val="center"/>
            <w:hideMark/>
          </w:tcPr>
          <w:p w14:paraId="4FD4F9B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un sistema de reconocimiento de placas para la seguridad y convivencia ciudadana C4 Bogotá.</w:t>
            </w:r>
          </w:p>
        </w:tc>
      </w:tr>
      <w:tr w:rsidR="006B728F" w:rsidRPr="00C9344A" w14:paraId="7E80D62D" w14:textId="77777777" w:rsidTr="00DC1CFE">
        <w:trPr>
          <w:trHeight w:val="533"/>
        </w:trPr>
        <w:tc>
          <w:tcPr>
            <w:tcW w:w="5000" w:type="pct"/>
            <w:shd w:val="clear" w:color="auto" w:fill="auto"/>
            <w:vAlign w:val="center"/>
            <w:hideMark/>
          </w:tcPr>
          <w:p w14:paraId="31BB6E3D"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Instalación sistema de reductores de velocidad automáticos.</w:t>
            </w:r>
          </w:p>
        </w:tc>
      </w:tr>
      <w:tr w:rsidR="006B728F" w:rsidRPr="00C9344A" w14:paraId="77BF8063" w14:textId="77777777" w:rsidTr="00DC1CFE">
        <w:trPr>
          <w:trHeight w:val="398"/>
        </w:trPr>
        <w:tc>
          <w:tcPr>
            <w:tcW w:w="5000" w:type="pct"/>
            <w:shd w:val="clear" w:color="auto" w:fill="auto"/>
            <w:vAlign w:val="center"/>
            <w:hideMark/>
          </w:tcPr>
          <w:p w14:paraId="2FA5692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Plataforma Ciudadana de Movilidad Inteligente (PCMI).</w:t>
            </w:r>
          </w:p>
        </w:tc>
      </w:tr>
      <w:tr w:rsidR="006B728F" w:rsidRPr="00C9344A" w14:paraId="7BB8ADFC" w14:textId="77777777" w:rsidTr="00DC1CFE">
        <w:trPr>
          <w:trHeight w:val="533"/>
        </w:trPr>
        <w:tc>
          <w:tcPr>
            <w:tcW w:w="5000" w:type="pct"/>
            <w:shd w:val="clear" w:color="auto" w:fill="auto"/>
            <w:vAlign w:val="center"/>
            <w:hideMark/>
          </w:tcPr>
          <w:p w14:paraId="08AD4EE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Promoción, desarrollo e implementación de Infraestructuras Logísticas Especializadas ± ILE.</w:t>
            </w:r>
          </w:p>
        </w:tc>
      </w:tr>
      <w:tr w:rsidR="006B728F" w:rsidRPr="00C9344A" w14:paraId="12F4F2B5" w14:textId="77777777" w:rsidTr="00DC1CFE">
        <w:trPr>
          <w:trHeight w:val="399"/>
        </w:trPr>
        <w:tc>
          <w:tcPr>
            <w:tcW w:w="5000" w:type="pct"/>
            <w:shd w:val="clear" w:color="auto" w:fill="auto"/>
            <w:noWrap/>
            <w:vAlign w:val="center"/>
            <w:hideMark/>
          </w:tcPr>
          <w:p w14:paraId="76F793F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Complejos de Integración Modal CIM.</w:t>
            </w:r>
          </w:p>
        </w:tc>
      </w:tr>
      <w:tr w:rsidR="006B728F" w:rsidRPr="00C9344A" w14:paraId="28685748" w14:textId="77777777" w:rsidTr="00DC1CFE">
        <w:trPr>
          <w:trHeight w:val="391"/>
        </w:trPr>
        <w:tc>
          <w:tcPr>
            <w:tcW w:w="5000" w:type="pct"/>
            <w:shd w:val="clear" w:color="auto" w:fill="auto"/>
            <w:vAlign w:val="center"/>
            <w:hideMark/>
          </w:tcPr>
          <w:p w14:paraId="5A0FBA3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Escuelas de Formación en Cultura Ambiental basado en vigías culturales del agua y la vida.</w:t>
            </w:r>
          </w:p>
        </w:tc>
      </w:tr>
      <w:tr w:rsidR="006B728F" w:rsidRPr="00C9344A" w14:paraId="1C067DA5" w14:textId="77777777" w:rsidTr="00DC1CFE">
        <w:trPr>
          <w:trHeight w:val="397"/>
        </w:trPr>
        <w:tc>
          <w:tcPr>
            <w:tcW w:w="5000" w:type="pct"/>
            <w:shd w:val="clear" w:color="auto" w:fill="auto"/>
            <w:vAlign w:val="center"/>
            <w:hideMark/>
          </w:tcPr>
          <w:p w14:paraId="45E9239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Sistema de información del fenómeno machismo en Bogotá para una atención priorizada y focalizada.</w:t>
            </w:r>
          </w:p>
        </w:tc>
      </w:tr>
      <w:tr w:rsidR="006B728F" w:rsidRPr="00C9344A" w14:paraId="1605045F" w14:textId="77777777" w:rsidTr="00DC1CFE">
        <w:trPr>
          <w:trHeight w:val="388"/>
        </w:trPr>
        <w:tc>
          <w:tcPr>
            <w:tcW w:w="5000" w:type="pct"/>
            <w:shd w:val="clear" w:color="auto" w:fill="auto"/>
            <w:vAlign w:val="center"/>
            <w:hideMark/>
          </w:tcPr>
          <w:p w14:paraId="400EE21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infraestructura de contingencia del sistema de videovigilancia de la SDSCJ – C4.</w:t>
            </w:r>
          </w:p>
        </w:tc>
      </w:tr>
      <w:tr w:rsidR="006B728F" w:rsidRPr="00C9344A" w14:paraId="6EACE352" w14:textId="77777777" w:rsidTr="00DC1CFE">
        <w:trPr>
          <w:trHeight w:val="409"/>
        </w:trPr>
        <w:tc>
          <w:tcPr>
            <w:tcW w:w="5000" w:type="pct"/>
            <w:shd w:val="clear" w:color="auto" w:fill="auto"/>
            <w:vAlign w:val="center"/>
            <w:hideMark/>
          </w:tcPr>
          <w:p w14:paraId="59856CD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Diseño e implementación de Laboratorios Artísticos de Innovación social.</w:t>
            </w:r>
          </w:p>
        </w:tc>
      </w:tr>
      <w:tr w:rsidR="006B728F" w:rsidRPr="00C9344A" w14:paraId="1699CF8C" w14:textId="77777777" w:rsidTr="00DC1CFE">
        <w:trPr>
          <w:trHeight w:val="954"/>
        </w:trPr>
        <w:tc>
          <w:tcPr>
            <w:tcW w:w="5000" w:type="pct"/>
            <w:shd w:val="clear" w:color="auto" w:fill="auto"/>
            <w:vAlign w:val="center"/>
            <w:hideMark/>
          </w:tcPr>
          <w:p w14:paraId="7999A69D"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Actualización y/o complementación para la Ejecución de las obras y actividades complementarias para el Proyecto de Plataforma Peatonal de la Calle 26 entre la Av. Caracas y la Carrera 10 (Inserción Urbana del REGIOTRAM de Occidente), en Bogotá D.C., ETAPA 1.</w:t>
            </w:r>
          </w:p>
        </w:tc>
      </w:tr>
      <w:tr w:rsidR="006B728F" w:rsidRPr="00C9344A" w14:paraId="33A972F3" w14:textId="77777777" w:rsidTr="00DC1CFE">
        <w:trPr>
          <w:trHeight w:val="684"/>
        </w:trPr>
        <w:tc>
          <w:tcPr>
            <w:tcW w:w="5000" w:type="pct"/>
            <w:shd w:val="clear" w:color="auto" w:fill="auto"/>
            <w:vAlign w:val="center"/>
            <w:hideMark/>
          </w:tcPr>
          <w:p w14:paraId="25BBE0BD" w14:textId="77777777" w:rsidR="006B728F" w:rsidRPr="00C9344A" w:rsidRDefault="006B728F" w:rsidP="00DC1CFE">
            <w:pPr>
              <w:spacing w:line="240" w:lineRule="auto"/>
              <w:rPr>
                <w:color w:val="000000"/>
                <w:sz w:val="20"/>
                <w:szCs w:val="20"/>
                <w:highlight w:val="yellow"/>
                <w:lang w:eastAsia="es-CO"/>
              </w:rPr>
            </w:pPr>
            <w:r w:rsidRPr="00C9344A">
              <w:rPr>
                <w:color w:val="000000"/>
                <w:sz w:val="20"/>
                <w:szCs w:val="20"/>
                <w:lang w:eastAsia="es-CO"/>
              </w:rPr>
              <w:t>Construcción de la vía Cota desde la carrera 92 (centro de la conejera) e intersección con el municipio de Cota.</w:t>
            </w:r>
          </w:p>
        </w:tc>
      </w:tr>
      <w:tr w:rsidR="006B728F" w:rsidRPr="00C9344A" w14:paraId="026350A9" w14:textId="77777777" w:rsidTr="00DC1CFE">
        <w:trPr>
          <w:trHeight w:val="539"/>
        </w:trPr>
        <w:tc>
          <w:tcPr>
            <w:tcW w:w="5000" w:type="pct"/>
            <w:shd w:val="clear" w:color="auto" w:fill="auto"/>
            <w:vAlign w:val="center"/>
            <w:hideMark/>
          </w:tcPr>
          <w:p w14:paraId="06ABA84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Mejoramiento del espacio público de Bogotá para el uso, goce y disfrute ciudadano.</w:t>
            </w:r>
          </w:p>
        </w:tc>
      </w:tr>
      <w:tr w:rsidR="006B728F" w:rsidRPr="00C9344A" w14:paraId="0108A260" w14:textId="77777777" w:rsidTr="00DC1CFE">
        <w:trPr>
          <w:trHeight w:val="816"/>
        </w:trPr>
        <w:tc>
          <w:tcPr>
            <w:tcW w:w="5000" w:type="pct"/>
            <w:shd w:val="clear" w:color="auto" w:fill="auto"/>
            <w:vAlign w:val="center"/>
            <w:hideMark/>
          </w:tcPr>
          <w:p w14:paraId="371A24F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Actualización tecnológica del Sistema de Información del Inventario General de Espacio Público y Bienes Fiscales.</w:t>
            </w:r>
          </w:p>
        </w:tc>
      </w:tr>
      <w:tr w:rsidR="006B728F" w:rsidRPr="00C9344A" w14:paraId="08D84461" w14:textId="77777777" w:rsidTr="00DC1CFE">
        <w:trPr>
          <w:trHeight w:val="672"/>
        </w:trPr>
        <w:tc>
          <w:tcPr>
            <w:tcW w:w="5000" w:type="pct"/>
            <w:shd w:val="clear" w:color="auto" w:fill="auto"/>
            <w:vAlign w:val="center"/>
            <w:hideMark/>
          </w:tcPr>
          <w:p w14:paraId="4349FF6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Sabor Bogotá: Sabores y Saberes hacia la equidad.</w:t>
            </w:r>
          </w:p>
        </w:tc>
      </w:tr>
    </w:tbl>
    <w:p w14:paraId="6BC3E506" w14:textId="77777777" w:rsidR="006B728F" w:rsidRPr="00C9344A" w:rsidRDefault="006B728F" w:rsidP="00133721">
      <w:pPr>
        <w:autoSpaceDE w:val="0"/>
        <w:autoSpaceDN w:val="0"/>
        <w:adjustRightInd w:val="0"/>
        <w:spacing w:line="240" w:lineRule="auto"/>
        <w:rPr>
          <w:rFonts w:eastAsia="SimSun" w:cs="Arial"/>
          <w:bCs/>
          <w:color w:val="auto"/>
          <w:sz w:val="20"/>
          <w:szCs w:val="20"/>
          <w14:ligatures w14:val="standardContextual"/>
        </w:rPr>
      </w:pPr>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6B728F" w:rsidRPr="00C9344A" w14:paraId="140420C4" w14:textId="77777777" w:rsidTr="00DC1CFE">
        <w:trPr>
          <w:trHeight w:val="999"/>
          <w:tblHeader/>
        </w:trPr>
        <w:tc>
          <w:tcPr>
            <w:tcW w:w="5000" w:type="pct"/>
            <w:shd w:val="clear" w:color="auto" w:fill="C00000"/>
            <w:vAlign w:val="center"/>
            <w:hideMark/>
          </w:tcPr>
          <w:p w14:paraId="55360254" w14:textId="77777777" w:rsidR="006B728F" w:rsidRPr="00C9344A" w:rsidRDefault="006B728F" w:rsidP="00DC1CFE">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t>Iniciativas asociadas al Objetivo 2. Bogotá Confía en su Bien - Estar</w:t>
            </w:r>
          </w:p>
        </w:tc>
      </w:tr>
      <w:tr w:rsidR="006B728F" w:rsidRPr="00C9344A" w14:paraId="5E0F0B51" w14:textId="77777777" w:rsidTr="00DC1CFE">
        <w:trPr>
          <w:trHeight w:val="717"/>
        </w:trPr>
        <w:tc>
          <w:tcPr>
            <w:tcW w:w="5000" w:type="pct"/>
            <w:shd w:val="clear" w:color="auto" w:fill="auto"/>
            <w:vAlign w:val="center"/>
            <w:hideMark/>
          </w:tcPr>
          <w:p w14:paraId="7D69C74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Recuperación Casa Manuela Sáenz: Centro de innovación Manuelita Sáenz en el Centro Histórico de Bogotá.</w:t>
            </w:r>
          </w:p>
        </w:tc>
      </w:tr>
      <w:tr w:rsidR="006B728F" w:rsidRPr="00C9344A" w14:paraId="553CB0A1" w14:textId="77777777" w:rsidTr="00DC1CFE">
        <w:trPr>
          <w:trHeight w:val="544"/>
        </w:trPr>
        <w:tc>
          <w:tcPr>
            <w:tcW w:w="5000" w:type="pct"/>
            <w:shd w:val="clear" w:color="auto" w:fill="auto"/>
            <w:vAlign w:val="center"/>
            <w:hideMark/>
          </w:tcPr>
          <w:p w14:paraId="02320D8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Centro Sinergia – Resiliencia Urbana.</w:t>
            </w:r>
          </w:p>
        </w:tc>
      </w:tr>
      <w:tr w:rsidR="006B728F" w:rsidRPr="00C9344A" w14:paraId="00D86E92" w14:textId="77777777" w:rsidTr="00DC1CFE">
        <w:trPr>
          <w:trHeight w:val="538"/>
        </w:trPr>
        <w:tc>
          <w:tcPr>
            <w:tcW w:w="5000" w:type="pct"/>
            <w:shd w:val="clear" w:color="auto" w:fill="auto"/>
            <w:vAlign w:val="center"/>
            <w:hideMark/>
          </w:tcPr>
          <w:p w14:paraId="1450F51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Mejoramiento de Vivienda en la modalidad de Habitabilidad.</w:t>
            </w:r>
          </w:p>
        </w:tc>
      </w:tr>
      <w:tr w:rsidR="006B728F" w:rsidRPr="00C9344A" w14:paraId="1F6D88E0" w14:textId="77777777" w:rsidTr="00DC1CFE">
        <w:trPr>
          <w:trHeight w:val="532"/>
        </w:trPr>
        <w:tc>
          <w:tcPr>
            <w:tcW w:w="5000" w:type="pct"/>
            <w:shd w:val="clear" w:color="auto" w:fill="auto"/>
            <w:vAlign w:val="center"/>
            <w:hideMark/>
          </w:tcPr>
          <w:p w14:paraId="0A16956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Mejoramiento Integral de Barrios Bosa CB Soacha Bogotá.</w:t>
            </w:r>
          </w:p>
        </w:tc>
      </w:tr>
      <w:tr w:rsidR="006B728F" w:rsidRPr="00C9344A" w14:paraId="5F93B9BA" w14:textId="77777777" w:rsidTr="00DC1CFE">
        <w:trPr>
          <w:trHeight w:val="539"/>
        </w:trPr>
        <w:tc>
          <w:tcPr>
            <w:tcW w:w="5000" w:type="pct"/>
            <w:shd w:val="clear" w:color="auto" w:fill="auto"/>
            <w:vAlign w:val="center"/>
            <w:hideMark/>
          </w:tcPr>
          <w:p w14:paraId="4828C82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Espacios de atención diferenciada para grupos étnicos en la ciudad de Bogotá.</w:t>
            </w:r>
          </w:p>
        </w:tc>
      </w:tr>
      <w:tr w:rsidR="006B728F" w:rsidRPr="00C9344A" w14:paraId="27DA8DB4" w14:textId="77777777" w:rsidTr="00DC1CFE">
        <w:trPr>
          <w:trHeight w:val="816"/>
        </w:trPr>
        <w:tc>
          <w:tcPr>
            <w:tcW w:w="5000" w:type="pct"/>
            <w:shd w:val="clear" w:color="auto" w:fill="auto"/>
            <w:vAlign w:val="center"/>
            <w:hideMark/>
          </w:tcPr>
          <w:p w14:paraId="4148FB3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Protección y preservación del patrimonio audiovisual Colombiano almacenado en Canal Capital, como canal público de Bogotá.</w:t>
            </w:r>
          </w:p>
        </w:tc>
      </w:tr>
      <w:tr w:rsidR="006B728F" w:rsidRPr="00C9344A" w14:paraId="37607E53" w14:textId="77777777" w:rsidTr="00DC1CFE">
        <w:trPr>
          <w:trHeight w:val="828"/>
        </w:trPr>
        <w:tc>
          <w:tcPr>
            <w:tcW w:w="5000" w:type="pct"/>
            <w:shd w:val="clear" w:color="auto" w:fill="auto"/>
            <w:vAlign w:val="center"/>
            <w:hideMark/>
          </w:tcPr>
          <w:p w14:paraId="067AFD9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Control de pérdidas de alimentos perecederos en las ZEC (Zonas Estratégicas de Consumo) mediante el intercambio de alimentos por material recuperable en la Región Central.</w:t>
            </w:r>
          </w:p>
        </w:tc>
      </w:tr>
      <w:tr w:rsidR="006B728F" w:rsidRPr="00C9344A" w14:paraId="6DA27936" w14:textId="77777777" w:rsidTr="00DC1CFE">
        <w:trPr>
          <w:trHeight w:val="812"/>
        </w:trPr>
        <w:tc>
          <w:tcPr>
            <w:tcW w:w="5000" w:type="pct"/>
            <w:shd w:val="clear" w:color="auto" w:fill="auto"/>
            <w:vAlign w:val="center"/>
            <w:hideMark/>
          </w:tcPr>
          <w:p w14:paraId="0BDB0D8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Optimización de corredores logísticos regionales para la distribución y abastecimiento alimentario en la Región Central.</w:t>
            </w:r>
          </w:p>
        </w:tc>
      </w:tr>
      <w:tr w:rsidR="006B728F" w:rsidRPr="00C9344A" w14:paraId="5F76A4DE" w14:textId="77777777" w:rsidTr="00DC1CFE">
        <w:trPr>
          <w:trHeight w:val="540"/>
        </w:trPr>
        <w:tc>
          <w:tcPr>
            <w:tcW w:w="5000" w:type="pct"/>
            <w:shd w:val="clear" w:color="auto" w:fill="auto"/>
            <w:noWrap/>
            <w:vAlign w:val="center"/>
            <w:hideMark/>
          </w:tcPr>
          <w:p w14:paraId="0D10FAE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Consolidación del sistema agroalimentario de Bogotá y la Región Central del país.</w:t>
            </w:r>
          </w:p>
        </w:tc>
      </w:tr>
      <w:tr w:rsidR="006B728F" w:rsidRPr="00C9344A" w14:paraId="3E5DAB3E" w14:textId="77777777" w:rsidTr="00DC1CFE">
        <w:trPr>
          <w:trHeight w:val="818"/>
        </w:trPr>
        <w:tc>
          <w:tcPr>
            <w:tcW w:w="5000" w:type="pct"/>
            <w:shd w:val="clear" w:color="auto" w:fill="auto"/>
            <w:noWrap/>
            <w:vAlign w:val="center"/>
            <w:hideMark/>
          </w:tcPr>
          <w:p w14:paraId="659FCBE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Cambio Verde, estrategia de seguridad alimentaria y economía circular, mediante el intercambio de alimentos por material recuperable en Bogotá D.C.</w:t>
            </w:r>
          </w:p>
        </w:tc>
      </w:tr>
      <w:tr w:rsidR="006B728F" w:rsidRPr="00C9344A" w14:paraId="6CD294C7" w14:textId="77777777" w:rsidTr="00DC1CFE">
        <w:trPr>
          <w:trHeight w:val="816"/>
        </w:trPr>
        <w:tc>
          <w:tcPr>
            <w:tcW w:w="5000" w:type="pct"/>
            <w:shd w:val="clear" w:color="auto" w:fill="auto"/>
            <w:vAlign w:val="center"/>
            <w:hideMark/>
          </w:tcPr>
          <w:p w14:paraId="2A7F32F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del Programa “Gestión de la Sangre del Paciente” de la Organización Mundial de la Salud en Instituciones Prestadoras de Servicios de Salud del Distrito Capital.</w:t>
            </w:r>
          </w:p>
        </w:tc>
      </w:tr>
      <w:tr w:rsidR="006B728F" w:rsidRPr="00C9344A" w14:paraId="26A8982A" w14:textId="77777777" w:rsidTr="00DC1CFE">
        <w:trPr>
          <w:trHeight w:val="828"/>
        </w:trPr>
        <w:tc>
          <w:tcPr>
            <w:tcW w:w="5000" w:type="pct"/>
            <w:shd w:val="clear" w:color="auto" w:fill="auto"/>
            <w:vAlign w:val="center"/>
            <w:hideMark/>
          </w:tcPr>
          <w:p w14:paraId="65A283D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Fortalecimiento del bienestar de los estudiantes matriculados en el sistema educativo oficial a través del fomento de estilos de vida saludable, alimentación escolar y movilidad escolar en Bogotá D.C.</w:t>
            </w:r>
          </w:p>
        </w:tc>
      </w:tr>
      <w:tr w:rsidR="006B728F" w:rsidRPr="00C9344A" w14:paraId="7DED355F" w14:textId="77777777" w:rsidTr="00DC1CFE">
        <w:trPr>
          <w:trHeight w:val="968"/>
        </w:trPr>
        <w:tc>
          <w:tcPr>
            <w:tcW w:w="5000" w:type="pct"/>
            <w:shd w:val="clear" w:color="auto" w:fill="auto"/>
            <w:vAlign w:val="center"/>
            <w:hideMark/>
          </w:tcPr>
          <w:p w14:paraId="2CE23A8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Laboratorios vivos de innovación social que favorezcan la inclusión y apropiación cultural de las artes y los saberes de las poblaciones con enfoque diferencial (grupos étnicos, género, discapacidad, curso vital).</w:t>
            </w:r>
          </w:p>
        </w:tc>
      </w:tr>
      <w:tr w:rsidR="006B728F" w:rsidRPr="00C9344A" w14:paraId="0683279E" w14:textId="77777777" w:rsidTr="00DC1CFE">
        <w:trPr>
          <w:trHeight w:val="672"/>
        </w:trPr>
        <w:tc>
          <w:tcPr>
            <w:tcW w:w="5000" w:type="pct"/>
            <w:shd w:val="clear" w:color="auto" w:fill="auto"/>
            <w:vAlign w:val="center"/>
            <w:hideMark/>
          </w:tcPr>
          <w:p w14:paraId="10256AE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Convergencia digital.</w:t>
            </w:r>
          </w:p>
        </w:tc>
      </w:tr>
      <w:tr w:rsidR="006B728F" w:rsidRPr="00C9344A" w14:paraId="67220547" w14:textId="77777777" w:rsidTr="00DC1CFE">
        <w:trPr>
          <w:trHeight w:val="680"/>
        </w:trPr>
        <w:tc>
          <w:tcPr>
            <w:tcW w:w="5000" w:type="pct"/>
            <w:shd w:val="clear" w:color="auto" w:fill="auto"/>
            <w:vAlign w:val="center"/>
            <w:hideMark/>
          </w:tcPr>
          <w:p w14:paraId="70938A0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Escuela de artes y oficios Akari.</w:t>
            </w:r>
          </w:p>
        </w:tc>
      </w:tr>
      <w:tr w:rsidR="006B728F" w:rsidRPr="00C9344A" w14:paraId="458501C7" w14:textId="77777777" w:rsidTr="00DC1CFE">
        <w:trPr>
          <w:trHeight w:val="676"/>
        </w:trPr>
        <w:tc>
          <w:tcPr>
            <w:tcW w:w="5000" w:type="pct"/>
            <w:shd w:val="clear" w:color="auto" w:fill="auto"/>
            <w:vAlign w:val="center"/>
            <w:hideMark/>
          </w:tcPr>
          <w:p w14:paraId="1F31688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Proyecto seguridad alimentaria y aeropónica.</w:t>
            </w:r>
          </w:p>
        </w:tc>
      </w:tr>
      <w:tr w:rsidR="006B728F" w:rsidRPr="00C9344A" w14:paraId="543CBAEC" w14:textId="77777777" w:rsidTr="00DC1CFE">
        <w:trPr>
          <w:trHeight w:val="970"/>
        </w:trPr>
        <w:tc>
          <w:tcPr>
            <w:tcW w:w="5000" w:type="pct"/>
            <w:shd w:val="clear" w:color="auto" w:fill="auto"/>
            <w:vAlign w:val="center"/>
            <w:hideMark/>
          </w:tcPr>
          <w:p w14:paraId="1AA2023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Generación de capacidades en gestión, adopción e implementación de la innovación en los procesos de producción panelera en la región Centro Oriente.</w:t>
            </w:r>
          </w:p>
        </w:tc>
      </w:tr>
      <w:tr w:rsidR="006B728F" w:rsidRPr="00C9344A" w14:paraId="6213269C" w14:textId="77777777" w:rsidTr="00DC1CFE">
        <w:trPr>
          <w:trHeight w:val="956"/>
        </w:trPr>
        <w:tc>
          <w:tcPr>
            <w:tcW w:w="5000" w:type="pct"/>
            <w:shd w:val="clear" w:color="auto" w:fill="auto"/>
            <w:vAlign w:val="center"/>
            <w:hideMark/>
          </w:tcPr>
          <w:p w14:paraId="38DBC4A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 capacidades para la innovación, la competitividad y la transferencia del conocimiento en el área de empaques y vida útil del sector empresarial de alimentos de la región Centro Oriente.</w:t>
            </w:r>
          </w:p>
        </w:tc>
      </w:tr>
      <w:tr w:rsidR="006B728F" w:rsidRPr="00C9344A" w14:paraId="566F5616" w14:textId="77777777" w:rsidTr="00DC1CFE">
        <w:trPr>
          <w:trHeight w:val="956"/>
        </w:trPr>
        <w:tc>
          <w:tcPr>
            <w:tcW w:w="5000" w:type="pct"/>
            <w:shd w:val="clear" w:color="auto" w:fill="auto"/>
            <w:vAlign w:val="center"/>
            <w:hideMark/>
          </w:tcPr>
          <w:p w14:paraId="13BD0B8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Búsqueda racional de agentes fitosanitarios provenientes del género piper para el control de fitopatógenos que afectan el cultivo de papa (Solanum tuberosum).</w:t>
            </w:r>
          </w:p>
        </w:tc>
      </w:tr>
      <w:tr w:rsidR="006B728F" w:rsidRPr="00C9344A" w14:paraId="136A4646" w14:textId="77777777" w:rsidTr="00DC1CFE">
        <w:trPr>
          <w:trHeight w:val="969"/>
        </w:trPr>
        <w:tc>
          <w:tcPr>
            <w:tcW w:w="5000" w:type="pct"/>
            <w:shd w:val="clear" w:color="auto" w:fill="auto"/>
            <w:vAlign w:val="center"/>
            <w:hideMark/>
          </w:tcPr>
          <w:p w14:paraId="08467E5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Maíz alto andino: valorando su agrobiodiversidad para impulsar sistemas productivos más sostenibles y fortalecer sistemas agroalimentarios en Bogotá, Cundinamarca y Boyacá.</w:t>
            </w:r>
          </w:p>
        </w:tc>
      </w:tr>
      <w:tr w:rsidR="006B728F" w:rsidRPr="00C9344A" w14:paraId="51A17E8A" w14:textId="77777777" w:rsidTr="00DC1CFE">
        <w:trPr>
          <w:trHeight w:val="1097"/>
        </w:trPr>
        <w:tc>
          <w:tcPr>
            <w:tcW w:w="5000" w:type="pct"/>
            <w:shd w:val="clear" w:color="auto" w:fill="auto"/>
            <w:vAlign w:val="center"/>
            <w:hideMark/>
          </w:tcPr>
          <w:p w14:paraId="6F169D6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Empoderamiento Económico para Madres Cabeza de Familia y Mujeres de Localidades Vulnerables a través del Diseño de una Estrategia de Comercialización para la Cadena de Suministro de Productos Indígenas – Caso de Estudio – Pijao – Ataco – Tolima.</w:t>
            </w:r>
          </w:p>
        </w:tc>
      </w:tr>
      <w:tr w:rsidR="006B728F" w:rsidRPr="00C9344A" w14:paraId="450B11D1" w14:textId="77777777" w:rsidTr="00DC1CFE">
        <w:trPr>
          <w:trHeight w:val="1255"/>
        </w:trPr>
        <w:tc>
          <w:tcPr>
            <w:tcW w:w="5000" w:type="pct"/>
            <w:shd w:val="clear" w:color="auto" w:fill="auto"/>
            <w:vAlign w:val="center"/>
            <w:hideMark/>
          </w:tcPr>
          <w:p w14:paraId="3B80535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Proyecto Educativo para formulación de emprendimientos productivos de Mujeres Cabezas de Familia, Mujeres Jóvenes, Mujeres Migrantes, Mujeres de poblaciones diferenciales (indígenas y raizales) y Mujeres en Localidades Vulnerables en Bogotá.</w:t>
            </w:r>
          </w:p>
        </w:tc>
      </w:tr>
    </w:tbl>
    <w:p w14:paraId="54B76281" w14:textId="77777777" w:rsidR="006B728F" w:rsidRDefault="006B728F" w:rsidP="00133721">
      <w:pPr>
        <w:spacing w:line="240" w:lineRule="auto"/>
        <w:rPr>
          <w:color w:val="auto"/>
          <w:sz w:val="20"/>
          <w:szCs w:val="20"/>
          <w:lang w:eastAsia="es-CO"/>
        </w:rPr>
      </w:pPr>
    </w:p>
    <w:p w14:paraId="04ED3EAA" w14:textId="77777777" w:rsidR="00510B62" w:rsidRDefault="00510B62" w:rsidP="00133721">
      <w:pPr>
        <w:spacing w:line="240" w:lineRule="auto"/>
        <w:rPr>
          <w:color w:val="auto"/>
          <w:sz w:val="20"/>
          <w:szCs w:val="20"/>
          <w:lang w:eastAsia="es-CO"/>
        </w:rPr>
      </w:pPr>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510B62" w:rsidRPr="00C9344A" w14:paraId="5BC6AF4F" w14:textId="77777777" w:rsidTr="00AA4BBB">
        <w:trPr>
          <w:trHeight w:val="925"/>
        </w:trPr>
        <w:tc>
          <w:tcPr>
            <w:tcW w:w="5000" w:type="pct"/>
            <w:shd w:val="clear" w:color="auto" w:fill="C00000"/>
            <w:vAlign w:val="center"/>
            <w:hideMark/>
          </w:tcPr>
          <w:p w14:paraId="760C9540" w14:textId="77777777" w:rsidR="00510B62" w:rsidRPr="00C9344A" w:rsidRDefault="00510B62" w:rsidP="00AA4BBB">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lastRenderedPageBreak/>
              <w:t>Iniciativas presentadas por la Población Étnica</w:t>
            </w:r>
          </w:p>
        </w:tc>
      </w:tr>
      <w:tr w:rsidR="00510B62" w:rsidRPr="00C9344A" w14:paraId="70096D29" w14:textId="77777777" w:rsidTr="00AA4BBB">
        <w:trPr>
          <w:trHeight w:val="691"/>
        </w:trPr>
        <w:tc>
          <w:tcPr>
            <w:tcW w:w="5000" w:type="pct"/>
            <w:shd w:val="clear" w:color="auto" w:fill="auto"/>
            <w:vAlign w:val="center"/>
            <w:hideMark/>
          </w:tcPr>
          <w:p w14:paraId="70405BAA" w14:textId="77777777" w:rsidR="00510B62" w:rsidRPr="00C9344A" w:rsidRDefault="00510B62" w:rsidP="00AA4BBB">
            <w:pPr>
              <w:spacing w:line="240" w:lineRule="auto"/>
              <w:rPr>
                <w:color w:val="000000"/>
                <w:sz w:val="20"/>
                <w:szCs w:val="20"/>
                <w:lang w:eastAsia="es-CO"/>
              </w:rPr>
            </w:pPr>
            <w:r w:rsidRPr="00C9344A">
              <w:rPr>
                <w:color w:val="000000"/>
                <w:sz w:val="20"/>
                <w:szCs w:val="20"/>
                <w:lang w:eastAsia="es-CO"/>
              </w:rPr>
              <w:t>Sistema de Sitios Sagrados Muisca SSSM.</w:t>
            </w:r>
          </w:p>
        </w:tc>
      </w:tr>
    </w:tbl>
    <w:p w14:paraId="2891A250" w14:textId="77777777" w:rsidR="00510B62" w:rsidRPr="00C9344A" w:rsidRDefault="00510B62" w:rsidP="00133721">
      <w:pPr>
        <w:spacing w:line="240" w:lineRule="auto"/>
        <w:rPr>
          <w:color w:val="auto"/>
          <w:sz w:val="20"/>
          <w:szCs w:val="20"/>
          <w:lang w:eastAsia="es-CO"/>
        </w:rPr>
      </w:pPr>
    </w:p>
    <w:p w14:paraId="1A4AD811" w14:textId="77777777" w:rsidR="006B728F" w:rsidRPr="00C9344A" w:rsidRDefault="006B728F" w:rsidP="00133721">
      <w:pPr>
        <w:spacing w:line="240" w:lineRule="auto"/>
        <w:rPr>
          <w:color w:val="auto"/>
          <w:sz w:val="20"/>
          <w:szCs w:val="20"/>
          <w:lang w:eastAsia="es-CO"/>
        </w:rPr>
      </w:pPr>
    </w:p>
    <w:p w14:paraId="38378777" w14:textId="77777777" w:rsidR="006B728F" w:rsidRPr="00C9344A" w:rsidRDefault="006B728F" w:rsidP="00133721">
      <w:pPr>
        <w:spacing w:line="240" w:lineRule="auto"/>
        <w:rPr>
          <w:color w:val="auto"/>
          <w:sz w:val="20"/>
          <w:szCs w:val="20"/>
          <w:lang w:eastAsia="es-CO"/>
        </w:rPr>
      </w:pPr>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6B728F" w:rsidRPr="00C9344A" w14:paraId="5F8FA968" w14:textId="77777777" w:rsidTr="00DC1CFE">
        <w:trPr>
          <w:trHeight w:val="991"/>
          <w:tblHeader/>
        </w:trPr>
        <w:tc>
          <w:tcPr>
            <w:tcW w:w="5000" w:type="pct"/>
            <w:shd w:val="clear" w:color="auto" w:fill="C00000"/>
            <w:vAlign w:val="center"/>
          </w:tcPr>
          <w:p w14:paraId="4554C17D" w14:textId="77777777" w:rsidR="006B728F" w:rsidRPr="00C9344A" w:rsidRDefault="006B728F" w:rsidP="00DC1CFE">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t>Iniciativas asociadas al Objetivo 3. Bogotá confía en su potencial</w:t>
            </w:r>
          </w:p>
        </w:tc>
      </w:tr>
      <w:tr w:rsidR="006B728F" w:rsidRPr="00C9344A" w14:paraId="5D8BF206" w14:textId="77777777" w:rsidTr="00DC1CFE">
        <w:trPr>
          <w:trHeight w:val="1115"/>
        </w:trPr>
        <w:tc>
          <w:tcPr>
            <w:tcW w:w="5000" w:type="pct"/>
            <w:shd w:val="clear" w:color="auto" w:fill="auto"/>
            <w:vAlign w:val="center"/>
            <w:hideMark/>
          </w:tcPr>
          <w:p w14:paraId="2562E22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una alternativa terapéutica basado en terapias celulares para el tratamiento de lesiones del sistema nervioso central y periférico en pacientes del sistema de salud de Bogotá - Región Centro Oriente.</w:t>
            </w:r>
          </w:p>
        </w:tc>
      </w:tr>
      <w:tr w:rsidR="006B728F" w:rsidRPr="00C9344A" w14:paraId="4F394F68" w14:textId="77777777" w:rsidTr="00DC1CFE">
        <w:trPr>
          <w:trHeight w:val="962"/>
        </w:trPr>
        <w:tc>
          <w:tcPr>
            <w:tcW w:w="5000" w:type="pct"/>
            <w:shd w:val="clear" w:color="auto" w:fill="auto"/>
            <w:vAlign w:val="center"/>
            <w:hideMark/>
          </w:tcPr>
          <w:p w14:paraId="5CD0BEE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una plataforma de caracterización de biomarcadores en sangre periférica para prospección de riesgo de enfermedades neurodegenerativas en Bogotá - Región Centro Oriente.</w:t>
            </w:r>
          </w:p>
        </w:tc>
      </w:tr>
      <w:tr w:rsidR="006B728F" w:rsidRPr="00C9344A" w14:paraId="215EDE46" w14:textId="77777777" w:rsidTr="00DC1CFE">
        <w:trPr>
          <w:trHeight w:val="1246"/>
        </w:trPr>
        <w:tc>
          <w:tcPr>
            <w:tcW w:w="5000" w:type="pct"/>
            <w:shd w:val="clear" w:color="auto" w:fill="auto"/>
            <w:vAlign w:val="center"/>
            <w:hideMark/>
          </w:tcPr>
          <w:p w14:paraId="64A8234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una plataforma biotecnológica de expansión de células asesinas naturales del sistema inmune como alternativa terapéutica contra diferentes tipos de cáncer en la sangre, sector salud en Bogotá - Centro Oriente.</w:t>
            </w:r>
          </w:p>
        </w:tc>
      </w:tr>
      <w:tr w:rsidR="006B728F" w:rsidRPr="00C9344A" w14:paraId="433DF288" w14:textId="77777777" w:rsidTr="00DC1CFE">
        <w:trPr>
          <w:trHeight w:val="1094"/>
        </w:trPr>
        <w:tc>
          <w:tcPr>
            <w:tcW w:w="5000" w:type="pct"/>
            <w:shd w:val="clear" w:color="auto" w:fill="auto"/>
            <w:vAlign w:val="center"/>
            <w:hideMark/>
          </w:tcPr>
          <w:p w14:paraId="4F81D7B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 las capacidades de producción e innovación biotecnológica, para incrementar la disponibilidad de terapias y dispositivos médicos avanzados orientados al tratamiento del cáncer en el sector Distrital de salud.</w:t>
            </w:r>
          </w:p>
        </w:tc>
      </w:tr>
      <w:tr w:rsidR="006B728F" w:rsidRPr="00C9344A" w14:paraId="791B205C" w14:textId="77777777" w:rsidTr="00DC1CFE">
        <w:trPr>
          <w:trHeight w:val="1110"/>
        </w:trPr>
        <w:tc>
          <w:tcPr>
            <w:tcW w:w="5000" w:type="pct"/>
            <w:shd w:val="clear" w:color="auto" w:fill="auto"/>
            <w:vAlign w:val="center"/>
            <w:hideMark/>
          </w:tcPr>
          <w:p w14:paraId="3A8E1DD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Creación de un modelo de apropiación social del conocimiento en salud para construir colectivamente un ecosistema de prevención de violencia y victimas con quemaduras per acido y otros componentes químicos en Bogotá -Región Centro Oriente.</w:t>
            </w:r>
          </w:p>
        </w:tc>
      </w:tr>
      <w:tr w:rsidR="006B728F" w:rsidRPr="00C9344A" w14:paraId="687729E8" w14:textId="77777777" w:rsidTr="00DC1CFE">
        <w:trPr>
          <w:trHeight w:val="956"/>
        </w:trPr>
        <w:tc>
          <w:tcPr>
            <w:tcW w:w="5000" w:type="pct"/>
            <w:shd w:val="clear" w:color="auto" w:fill="auto"/>
            <w:vAlign w:val="center"/>
            <w:hideMark/>
          </w:tcPr>
          <w:p w14:paraId="20B55B2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una plataforma tecnológica de medicina personalizada para mitigar las complicaciones clínicas asociadas a la transfusión en recién nacidos y pacientes con cáncer en Bogotá D.C.</w:t>
            </w:r>
          </w:p>
        </w:tc>
      </w:tr>
      <w:tr w:rsidR="006B728F" w:rsidRPr="00C9344A" w14:paraId="2321A860" w14:textId="77777777" w:rsidTr="00DC1CFE">
        <w:trPr>
          <w:trHeight w:val="1111"/>
        </w:trPr>
        <w:tc>
          <w:tcPr>
            <w:tcW w:w="5000" w:type="pct"/>
            <w:shd w:val="clear" w:color="auto" w:fill="auto"/>
            <w:vAlign w:val="center"/>
            <w:hideMark/>
          </w:tcPr>
          <w:p w14:paraId="3E8F865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servicios biotecnológicos para el trasplante de células formadoras de la sangre en pacientes con enfermedades genéticas y crónicas, basado en un programa de prevención del riesgo, usando inteligencia artificial para la atención de pacientes en Bogotá.</w:t>
            </w:r>
          </w:p>
        </w:tc>
      </w:tr>
      <w:tr w:rsidR="006B728F" w:rsidRPr="00C9344A" w14:paraId="41C97BED" w14:textId="77777777" w:rsidTr="00DC1CFE">
        <w:trPr>
          <w:trHeight w:val="1051"/>
        </w:trPr>
        <w:tc>
          <w:tcPr>
            <w:tcW w:w="5000" w:type="pct"/>
            <w:shd w:val="clear" w:color="auto" w:fill="auto"/>
            <w:vAlign w:val="center"/>
            <w:hideMark/>
          </w:tcPr>
          <w:p w14:paraId="5D452C8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Desarrollo de una terapia tisular para el tratamiento de heridas de piel a partir de membrana amniótica en pacientes con quemaduras, ulceras y abrasiones, sector salud en Bogotá D.C. - Centro Oriente.</w:t>
            </w:r>
          </w:p>
        </w:tc>
      </w:tr>
      <w:tr w:rsidR="006B728F" w:rsidRPr="00C9344A" w14:paraId="53C259AE" w14:textId="77777777" w:rsidTr="00DC1CFE">
        <w:trPr>
          <w:trHeight w:val="872"/>
        </w:trPr>
        <w:tc>
          <w:tcPr>
            <w:tcW w:w="5000" w:type="pct"/>
            <w:shd w:val="clear" w:color="auto" w:fill="auto"/>
            <w:vAlign w:val="center"/>
            <w:hideMark/>
          </w:tcPr>
          <w:p w14:paraId="69A400D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dispositivos biomédicos para la administración de antibióticos en el tratamiento eficaz de enfermedades infecciosas de la piel para pacientes de la red de salud pública de Bogotá D. C.</w:t>
            </w:r>
          </w:p>
        </w:tc>
      </w:tr>
      <w:tr w:rsidR="006B728F" w:rsidRPr="00C9344A" w14:paraId="674E8BA4" w14:textId="77777777" w:rsidTr="00DC1CFE">
        <w:trPr>
          <w:trHeight w:val="956"/>
        </w:trPr>
        <w:tc>
          <w:tcPr>
            <w:tcW w:w="5000" w:type="pct"/>
            <w:shd w:val="clear" w:color="auto" w:fill="auto"/>
            <w:vAlign w:val="center"/>
            <w:hideMark/>
          </w:tcPr>
          <w:p w14:paraId="61F74CE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Producción y aplicación de nuevos dispositivos biomédicos basados en biomateriales para el tratamiento de dafios en las articulaciones de pacientes del sistema de salud pública de la ciudad de Bogotá.</w:t>
            </w:r>
          </w:p>
        </w:tc>
      </w:tr>
      <w:tr w:rsidR="006B728F" w:rsidRPr="00C9344A" w14:paraId="568C1B41" w14:textId="77777777" w:rsidTr="00DC1CFE">
        <w:trPr>
          <w:trHeight w:val="828"/>
        </w:trPr>
        <w:tc>
          <w:tcPr>
            <w:tcW w:w="5000" w:type="pct"/>
            <w:shd w:val="clear" w:color="auto" w:fill="auto"/>
            <w:vAlign w:val="center"/>
            <w:hideMark/>
          </w:tcPr>
          <w:p w14:paraId="4B4FFC3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estrategias de optimización para la sensibilización e inscripción de donantes adultos voluntaries de células progenitoras hematopoyéticas con fines de trasplante.</w:t>
            </w:r>
          </w:p>
        </w:tc>
      </w:tr>
      <w:tr w:rsidR="006B728F" w:rsidRPr="00C9344A" w14:paraId="57878C79" w14:textId="77777777" w:rsidTr="00DC1CFE">
        <w:trPr>
          <w:trHeight w:val="967"/>
        </w:trPr>
        <w:tc>
          <w:tcPr>
            <w:tcW w:w="5000" w:type="pct"/>
            <w:shd w:val="clear" w:color="auto" w:fill="auto"/>
            <w:vAlign w:val="center"/>
            <w:hideMark/>
          </w:tcPr>
          <w:p w14:paraId="57FE72D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e implementación a pequeña escala para la producción local de medicamentos biotecnológicos-biosimilares pioneros para el tratamiento de enfermedades de alto costo en Bogotá -Región</w:t>
            </w:r>
          </w:p>
        </w:tc>
      </w:tr>
      <w:tr w:rsidR="006B728F" w:rsidRPr="00C9344A" w14:paraId="4FFB8D52" w14:textId="77777777" w:rsidTr="00DC1CFE">
        <w:trPr>
          <w:trHeight w:val="954"/>
        </w:trPr>
        <w:tc>
          <w:tcPr>
            <w:tcW w:w="5000" w:type="pct"/>
            <w:shd w:val="clear" w:color="auto" w:fill="auto"/>
            <w:vAlign w:val="center"/>
            <w:hideMark/>
          </w:tcPr>
          <w:p w14:paraId="0624E1E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Capacitar veinticinco (25) usuarios para el manejo profesional de drones, captura e interpretación de imágenes</w:t>
            </w:r>
          </w:p>
        </w:tc>
      </w:tr>
      <w:tr w:rsidR="006B728F" w:rsidRPr="00C9344A" w14:paraId="67DF1DF5" w14:textId="77777777" w:rsidTr="00DC1CFE">
        <w:trPr>
          <w:trHeight w:val="812"/>
        </w:trPr>
        <w:tc>
          <w:tcPr>
            <w:tcW w:w="5000" w:type="pct"/>
            <w:shd w:val="clear" w:color="auto" w:fill="auto"/>
            <w:vAlign w:val="center"/>
            <w:hideMark/>
          </w:tcPr>
          <w:p w14:paraId="00696F4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del Modelo de la Gestión de Permanencia y Graduación oportuna para los estudiantes de la Universidad Distrital Francisco José de Caldas.</w:t>
            </w:r>
          </w:p>
        </w:tc>
      </w:tr>
      <w:tr w:rsidR="006B728F" w:rsidRPr="00C9344A" w14:paraId="4286E39F" w14:textId="77777777" w:rsidTr="00DC1CFE">
        <w:trPr>
          <w:trHeight w:val="823"/>
        </w:trPr>
        <w:tc>
          <w:tcPr>
            <w:tcW w:w="5000" w:type="pct"/>
            <w:shd w:val="clear" w:color="auto" w:fill="auto"/>
            <w:noWrap/>
            <w:vAlign w:val="center"/>
            <w:hideMark/>
          </w:tcPr>
          <w:p w14:paraId="758D230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Dotar cien (100) unidades generadoras de energías alternativas renovables para Zonas Rurales de Bogotá D. C.</w:t>
            </w:r>
          </w:p>
        </w:tc>
      </w:tr>
      <w:tr w:rsidR="006B728F" w:rsidRPr="00C9344A" w14:paraId="15A450A4" w14:textId="77777777" w:rsidTr="00DC1CFE">
        <w:trPr>
          <w:trHeight w:val="822"/>
        </w:trPr>
        <w:tc>
          <w:tcPr>
            <w:tcW w:w="5000" w:type="pct"/>
            <w:shd w:val="clear" w:color="auto" w:fill="auto"/>
            <w:noWrap/>
            <w:vAlign w:val="center"/>
            <w:hideMark/>
          </w:tcPr>
          <w:p w14:paraId="4BD7174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Permanencia y profesionalización de más jóvenes habitantes de Bogotá, mediante la aplicación de modelos de Inteligencia Artificial.</w:t>
            </w:r>
          </w:p>
        </w:tc>
      </w:tr>
      <w:tr w:rsidR="006B728F" w:rsidRPr="00C9344A" w14:paraId="7DD77E83" w14:textId="77777777" w:rsidTr="00DC1CFE">
        <w:trPr>
          <w:trHeight w:val="827"/>
        </w:trPr>
        <w:tc>
          <w:tcPr>
            <w:tcW w:w="5000" w:type="pct"/>
            <w:shd w:val="clear" w:color="auto" w:fill="auto"/>
            <w:noWrap/>
            <w:vAlign w:val="center"/>
            <w:hideMark/>
          </w:tcPr>
          <w:p w14:paraId="5BB65B4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y modernización de la infraestructura de telecomunicaciones conectividad WLAN (inalámbrica).</w:t>
            </w:r>
          </w:p>
        </w:tc>
      </w:tr>
      <w:tr w:rsidR="006B728F" w:rsidRPr="00C9344A" w14:paraId="35FB6A4E" w14:textId="77777777" w:rsidTr="00DC1CFE">
        <w:trPr>
          <w:trHeight w:val="1097"/>
        </w:trPr>
        <w:tc>
          <w:tcPr>
            <w:tcW w:w="5000" w:type="pct"/>
            <w:shd w:val="clear" w:color="auto" w:fill="auto"/>
            <w:noWrap/>
            <w:vAlign w:val="center"/>
            <w:hideMark/>
          </w:tcPr>
          <w:p w14:paraId="4F1D66B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Fortalecer las 12 bibliotecas de la Universidad Distrital Francisco José de Caldas y unidades de información (bibliotecas, centros de documentación, archivo y museos) para que sean abiertas, accesibles, innovadoras, creativas y transformadoras.</w:t>
            </w:r>
          </w:p>
        </w:tc>
      </w:tr>
      <w:tr w:rsidR="006B728F" w:rsidRPr="00C9344A" w14:paraId="2B41E19E" w14:textId="77777777" w:rsidTr="00DC1CFE">
        <w:trPr>
          <w:trHeight w:val="544"/>
        </w:trPr>
        <w:tc>
          <w:tcPr>
            <w:tcW w:w="5000" w:type="pct"/>
            <w:shd w:val="clear" w:color="auto" w:fill="auto"/>
            <w:noWrap/>
            <w:vAlign w:val="center"/>
            <w:hideMark/>
          </w:tcPr>
          <w:p w14:paraId="0929FFA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del parque informático área administrativa de la Universidad Distrital.</w:t>
            </w:r>
          </w:p>
        </w:tc>
      </w:tr>
      <w:tr w:rsidR="006B728F" w:rsidRPr="00C9344A" w14:paraId="5BD14E9E" w14:textId="77777777" w:rsidTr="00DC1CFE">
        <w:trPr>
          <w:trHeight w:val="528"/>
        </w:trPr>
        <w:tc>
          <w:tcPr>
            <w:tcW w:w="5000" w:type="pct"/>
            <w:shd w:val="clear" w:color="auto" w:fill="auto"/>
            <w:vAlign w:val="center"/>
            <w:hideMark/>
          </w:tcPr>
          <w:p w14:paraId="1979417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Programa de bilingüismo para el sector turístico de Bogotá.</w:t>
            </w:r>
          </w:p>
        </w:tc>
      </w:tr>
      <w:tr w:rsidR="006B728F" w:rsidRPr="00C9344A" w14:paraId="331AA14A" w14:textId="77777777" w:rsidTr="00DC1CFE">
        <w:trPr>
          <w:trHeight w:val="550"/>
        </w:trPr>
        <w:tc>
          <w:tcPr>
            <w:tcW w:w="5000" w:type="pct"/>
            <w:shd w:val="clear" w:color="auto" w:fill="auto"/>
            <w:vAlign w:val="center"/>
            <w:hideMark/>
          </w:tcPr>
          <w:p w14:paraId="07C1DBD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Observador de aves y mirador elevado parque mirador de los nevados.</w:t>
            </w:r>
          </w:p>
        </w:tc>
      </w:tr>
      <w:tr w:rsidR="006B728F" w:rsidRPr="00C9344A" w14:paraId="686B41F0" w14:textId="77777777" w:rsidTr="00DC1CFE">
        <w:trPr>
          <w:trHeight w:val="529"/>
        </w:trPr>
        <w:tc>
          <w:tcPr>
            <w:tcW w:w="5000" w:type="pct"/>
            <w:shd w:val="clear" w:color="auto" w:fill="auto"/>
            <w:vAlign w:val="center"/>
            <w:hideMark/>
          </w:tcPr>
          <w:p w14:paraId="1FAA6ED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Programa de fortalecimiento para turismo mice y turismo Halal muslim/friendly.</w:t>
            </w:r>
          </w:p>
        </w:tc>
      </w:tr>
      <w:tr w:rsidR="006B728F" w:rsidRPr="00C9344A" w14:paraId="672D9B41" w14:textId="77777777" w:rsidTr="00DC1CFE">
        <w:trPr>
          <w:trHeight w:val="537"/>
        </w:trPr>
        <w:tc>
          <w:tcPr>
            <w:tcW w:w="5000" w:type="pct"/>
            <w:shd w:val="clear" w:color="auto" w:fill="auto"/>
            <w:noWrap/>
            <w:vAlign w:val="center"/>
            <w:hideMark/>
          </w:tcPr>
          <w:p w14:paraId="75CD7C7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Connect ClimaTech Accelerator.</w:t>
            </w:r>
          </w:p>
        </w:tc>
      </w:tr>
      <w:tr w:rsidR="006B728F" w:rsidRPr="00C9344A" w14:paraId="217630BE" w14:textId="77777777" w:rsidTr="00DC1CFE">
        <w:trPr>
          <w:trHeight w:val="1107"/>
        </w:trPr>
        <w:tc>
          <w:tcPr>
            <w:tcW w:w="5000" w:type="pct"/>
            <w:shd w:val="clear" w:color="auto" w:fill="auto"/>
            <w:noWrap/>
            <w:vAlign w:val="center"/>
            <w:hideMark/>
          </w:tcPr>
          <w:p w14:paraId="5BA9F05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Diseño de un Hub de Educación innovador para la ciudad con capacidad de exportación de servicios educativos pertinentes y de alta calidad que aproveche las capacidades de talento humano e infraestructura de Bogotá.</w:t>
            </w:r>
          </w:p>
        </w:tc>
      </w:tr>
      <w:tr w:rsidR="006B728F" w:rsidRPr="00C9344A" w14:paraId="717EB6A1" w14:textId="77777777" w:rsidTr="00DC1CFE">
        <w:trPr>
          <w:trHeight w:val="816"/>
        </w:trPr>
        <w:tc>
          <w:tcPr>
            <w:tcW w:w="5000" w:type="pct"/>
            <w:shd w:val="clear" w:color="auto" w:fill="auto"/>
            <w:noWrap/>
            <w:vAlign w:val="center"/>
            <w:hideMark/>
          </w:tcPr>
          <w:p w14:paraId="4E38BB8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Innovación transformativa en los sectores estratégicos de la Bioeconomía en Bogotá Región - Un impulso a la transición energética, la economía circular y la sostenibilidad ambiental.</w:t>
            </w:r>
          </w:p>
        </w:tc>
      </w:tr>
      <w:tr w:rsidR="006B728F" w:rsidRPr="00C9344A" w14:paraId="6A75FE1E" w14:textId="77777777" w:rsidTr="00DC1CFE">
        <w:trPr>
          <w:trHeight w:val="1113"/>
        </w:trPr>
        <w:tc>
          <w:tcPr>
            <w:tcW w:w="5000" w:type="pct"/>
            <w:shd w:val="clear" w:color="auto" w:fill="auto"/>
            <w:vAlign w:val="center"/>
            <w:hideMark/>
          </w:tcPr>
          <w:p w14:paraId="25312C1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Programa de fortalecimiento de la transferencia y apropiación social del conocimiento mediante estrategias de aceleración de tecnologías y portafolios tecnológicos según los sectores priorizados en la región Centro.</w:t>
            </w:r>
          </w:p>
        </w:tc>
      </w:tr>
      <w:tr w:rsidR="006B728F" w:rsidRPr="00C9344A" w14:paraId="3D5974AA" w14:textId="77777777" w:rsidTr="00DC1CFE">
        <w:trPr>
          <w:trHeight w:val="532"/>
        </w:trPr>
        <w:tc>
          <w:tcPr>
            <w:tcW w:w="5000" w:type="pct"/>
            <w:shd w:val="clear" w:color="auto" w:fill="auto"/>
            <w:noWrap/>
            <w:vAlign w:val="center"/>
            <w:hideMark/>
          </w:tcPr>
          <w:p w14:paraId="4BA2BDD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del centro de formación deportiva en la Universidad Nacional de Colombia, Sede Bogotá.</w:t>
            </w:r>
          </w:p>
        </w:tc>
      </w:tr>
      <w:tr w:rsidR="006B728F" w:rsidRPr="00C9344A" w14:paraId="66DB0170" w14:textId="77777777" w:rsidTr="00DC1CFE">
        <w:trPr>
          <w:trHeight w:val="680"/>
        </w:trPr>
        <w:tc>
          <w:tcPr>
            <w:tcW w:w="5000" w:type="pct"/>
            <w:shd w:val="clear" w:color="auto" w:fill="auto"/>
            <w:noWrap/>
            <w:vAlign w:val="center"/>
            <w:hideMark/>
          </w:tcPr>
          <w:p w14:paraId="2BDD60E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del edificio de diagnóstico veterinario de la facultad de medicina veterinaria y de zootécnica universidad nacional de Colombia sede Bogotá.</w:t>
            </w:r>
          </w:p>
        </w:tc>
      </w:tr>
      <w:tr w:rsidR="006B728F" w:rsidRPr="00C9344A" w14:paraId="0EB82C27" w14:textId="77777777" w:rsidTr="00DC1CFE">
        <w:trPr>
          <w:trHeight w:val="969"/>
        </w:trPr>
        <w:tc>
          <w:tcPr>
            <w:tcW w:w="5000" w:type="pct"/>
            <w:shd w:val="clear" w:color="auto" w:fill="auto"/>
            <w:noWrap/>
            <w:vAlign w:val="center"/>
            <w:hideMark/>
          </w:tcPr>
          <w:p w14:paraId="7AD3142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Para la transformación farmacéutica de Colombia: Una apuesta de colaboración entre la UNAL, el gobierno y la Industria Farmacéutica para Fortalecer la Seguridad Farmacéutica.</w:t>
            </w:r>
          </w:p>
        </w:tc>
      </w:tr>
      <w:tr w:rsidR="006B728F" w:rsidRPr="00C9344A" w14:paraId="0F2FB8DF" w14:textId="77777777" w:rsidTr="00DC1CFE">
        <w:trPr>
          <w:trHeight w:val="825"/>
        </w:trPr>
        <w:tc>
          <w:tcPr>
            <w:tcW w:w="5000" w:type="pct"/>
            <w:shd w:val="clear" w:color="auto" w:fill="auto"/>
            <w:vAlign w:val="center"/>
            <w:hideMark/>
          </w:tcPr>
          <w:p w14:paraId="4A8298E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Creación de una comunidad virtual para el campus de Ciencia, Tecnología e Innovación de Bogotá – Región CTIB.</w:t>
            </w:r>
          </w:p>
        </w:tc>
      </w:tr>
      <w:tr w:rsidR="006B728F" w:rsidRPr="00C9344A" w14:paraId="4441D876" w14:textId="77777777" w:rsidTr="00DC1CFE">
        <w:trPr>
          <w:trHeight w:val="1106"/>
        </w:trPr>
        <w:tc>
          <w:tcPr>
            <w:tcW w:w="5000" w:type="pct"/>
            <w:shd w:val="clear" w:color="auto" w:fill="auto"/>
            <w:vAlign w:val="center"/>
            <w:hideMark/>
          </w:tcPr>
          <w:p w14:paraId="34D4014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Diseño de una estrategia de especialización del Campus CTEIB para la ciudad de Bogotá con capacidad de exportación de servicios especializados y de alta calidad que aprovechen las capacidades del talento humano y la infraestructura de la ciudad.</w:t>
            </w:r>
          </w:p>
        </w:tc>
      </w:tr>
      <w:tr w:rsidR="006B728F" w:rsidRPr="00C9344A" w14:paraId="56D6D13D" w14:textId="77777777" w:rsidTr="00DC1CFE">
        <w:trPr>
          <w:trHeight w:val="810"/>
        </w:trPr>
        <w:tc>
          <w:tcPr>
            <w:tcW w:w="5000" w:type="pct"/>
            <w:shd w:val="clear" w:color="auto" w:fill="auto"/>
            <w:noWrap/>
            <w:vAlign w:val="center"/>
            <w:hideMark/>
          </w:tcPr>
          <w:p w14:paraId="2D19EE4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una ruta regional de biciturismo “Ruta TRASANDINA” en los departamentos de Boyacá, Cundinamarca y Bogotá D.C.</w:t>
            </w:r>
          </w:p>
        </w:tc>
      </w:tr>
      <w:tr w:rsidR="006B728F" w:rsidRPr="00C9344A" w14:paraId="6E169541" w14:textId="77777777" w:rsidTr="00DC1CFE">
        <w:trPr>
          <w:trHeight w:val="538"/>
        </w:trPr>
        <w:tc>
          <w:tcPr>
            <w:tcW w:w="5000" w:type="pct"/>
            <w:shd w:val="clear" w:color="auto" w:fill="auto"/>
            <w:vAlign w:val="center"/>
            <w:hideMark/>
          </w:tcPr>
          <w:p w14:paraId="0A25FAE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Infraestructura para el encuentro en parques de proximidad y estructurantes en la ciudad de Bogotá D.C.</w:t>
            </w:r>
          </w:p>
        </w:tc>
      </w:tr>
      <w:tr w:rsidR="006B728F" w:rsidRPr="00C9344A" w14:paraId="14B53DAA" w14:textId="77777777" w:rsidTr="00DC1CFE">
        <w:trPr>
          <w:trHeight w:val="546"/>
        </w:trPr>
        <w:tc>
          <w:tcPr>
            <w:tcW w:w="5000" w:type="pct"/>
            <w:shd w:val="clear" w:color="auto" w:fill="auto"/>
            <w:vAlign w:val="center"/>
            <w:hideMark/>
          </w:tcPr>
          <w:p w14:paraId="7368C0B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 xml:space="preserve">Campus de Ciencia, Tecnología e Innovación de Bogotá. </w:t>
            </w:r>
          </w:p>
        </w:tc>
      </w:tr>
      <w:tr w:rsidR="006B728F" w:rsidRPr="00C9344A" w14:paraId="380335EF" w14:textId="77777777" w:rsidTr="00DC1CFE">
        <w:trPr>
          <w:trHeight w:val="526"/>
        </w:trPr>
        <w:tc>
          <w:tcPr>
            <w:tcW w:w="5000" w:type="pct"/>
            <w:shd w:val="clear" w:color="auto" w:fill="auto"/>
            <w:noWrap/>
            <w:vAlign w:val="center"/>
            <w:hideMark/>
          </w:tcPr>
          <w:p w14:paraId="080B63E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Infraestructura para la ruta de las oportunidades.</w:t>
            </w:r>
          </w:p>
        </w:tc>
      </w:tr>
      <w:tr w:rsidR="006B728F" w:rsidRPr="00C9344A" w14:paraId="1579CFAE" w14:textId="77777777" w:rsidTr="00DC1CFE">
        <w:trPr>
          <w:trHeight w:val="531"/>
        </w:trPr>
        <w:tc>
          <w:tcPr>
            <w:tcW w:w="5000" w:type="pct"/>
            <w:shd w:val="clear" w:color="auto" w:fill="auto"/>
            <w:noWrap/>
            <w:vAlign w:val="center"/>
            <w:hideMark/>
          </w:tcPr>
          <w:p w14:paraId="6E38D61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Bogotá Productiva Local.</w:t>
            </w:r>
          </w:p>
        </w:tc>
      </w:tr>
      <w:tr w:rsidR="006B728F" w:rsidRPr="00C9344A" w14:paraId="74B02B43" w14:textId="77777777" w:rsidTr="00DC1CFE">
        <w:trPr>
          <w:trHeight w:val="967"/>
        </w:trPr>
        <w:tc>
          <w:tcPr>
            <w:tcW w:w="5000" w:type="pct"/>
            <w:shd w:val="clear" w:color="auto" w:fill="auto"/>
            <w:noWrap/>
            <w:vAlign w:val="center"/>
            <w:hideMark/>
          </w:tcPr>
          <w:p w14:paraId="7D20F6F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 xml:space="preserve">Implementación de una estrategia para la sostenibilidad económica, social y ambiental de los sistemas de producción agropecuaria en la zona rural de Bogotá D.C. </w:t>
            </w:r>
          </w:p>
        </w:tc>
      </w:tr>
      <w:tr w:rsidR="006B728F" w:rsidRPr="00C9344A" w14:paraId="203E148E" w14:textId="77777777" w:rsidTr="00DC1CFE">
        <w:trPr>
          <w:trHeight w:val="684"/>
        </w:trPr>
        <w:tc>
          <w:tcPr>
            <w:tcW w:w="5000" w:type="pct"/>
            <w:shd w:val="clear" w:color="auto" w:fill="auto"/>
            <w:noWrap/>
            <w:vAlign w:val="center"/>
            <w:hideMark/>
          </w:tcPr>
          <w:p w14:paraId="2578A42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Cien (100) aulas amigas para colegios públicos de Bogotá.</w:t>
            </w:r>
          </w:p>
        </w:tc>
      </w:tr>
      <w:tr w:rsidR="006B728F" w:rsidRPr="00C9344A" w14:paraId="185DFE9C" w14:textId="77777777" w:rsidTr="00DC1CFE">
        <w:trPr>
          <w:trHeight w:val="678"/>
        </w:trPr>
        <w:tc>
          <w:tcPr>
            <w:tcW w:w="5000" w:type="pct"/>
            <w:shd w:val="clear" w:color="auto" w:fill="auto"/>
            <w:vAlign w:val="center"/>
            <w:hideMark/>
          </w:tcPr>
          <w:p w14:paraId="08A761C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del Piloto del Programa Jóvenes a la U Región Metropolitana Bogotá Cundinamarca – RMBC.</w:t>
            </w:r>
          </w:p>
        </w:tc>
      </w:tr>
      <w:tr w:rsidR="006B728F" w:rsidRPr="00C9344A" w14:paraId="5BEB04CB" w14:textId="77777777" w:rsidTr="00DC1CFE">
        <w:trPr>
          <w:trHeight w:val="819"/>
        </w:trPr>
        <w:tc>
          <w:tcPr>
            <w:tcW w:w="5000" w:type="pct"/>
            <w:shd w:val="clear" w:color="auto" w:fill="auto"/>
            <w:vAlign w:val="center"/>
            <w:hideMark/>
          </w:tcPr>
          <w:p w14:paraId="68FD63D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del Piloto del Programa Todos a la U Región Metropolitana Bogotá Cundinamarca – RMBC.</w:t>
            </w:r>
          </w:p>
        </w:tc>
      </w:tr>
      <w:tr w:rsidR="006B728F" w:rsidRPr="00C9344A" w14:paraId="10541881" w14:textId="77777777" w:rsidTr="00DC1CFE">
        <w:trPr>
          <w:trHeight w:val="827"/>
        </w:trPr>
        <w:tc>
          <w:tcPr>
            <w:tcW w:w="5000" w:type="pct"/>
            <w:shd w:val="clear" w:color="auto" w:fill="auto"/>
            <w:vAlign w:val="center"/>
            <w:hideMark/>
          </w:tcPr>
          <w:p w14:paraId="6223BE9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y modernización de la infraestructura de telecomunicaciones conectividad LAN (alámbrica).</w:t>
            </w:r>
          </w:p>
        </w:tc>
      </w:tr>
      <w:tr w:rsidR="006B728F" w:rsidRPr="00C9344A" w14:paraId="0578091E" w14:textId="77777777" w:rsidTr="00DC1CFE">
        <w:trPr>
          <w:trHeight w:val="1108"/>
        </w:trPr>
        <w:tc>
          <w:tcPr>
            <w:tcW w:w="5000" w:type="pct"/>
            <w:shd w:val="clear" w:color="auto" w:fill="auto"/>
            <w:vAlign w:val="center"/>
            <w:hideMark/>
          </w:tcPr>
          <w:p w14:paraId="053CB85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 ambientes de aprendizajes accesibles y afectivos que favorecen la formación de profesores para el desarrollo de experiencias estéticas con el lenguaje, la comunicación, las artes y el acogimiento de la diversidad en Bogotá- Región.</w:t>
            </w:r>
          </w:p>
        </w:tc>
      </w:tr>
      <w:tr w:rsidR="006B728F" w:rsidRPr="00C9344A" w14:paraId="21706F9B" w14:textId="77777777" w:rsidTr="00DC1CFE">
        <w:trPr>
          <w:trHeight w:val="812"/>
        </w:trPr>
        <w:tc>
          <w:tcPr>
            <w:tcW w:w="5000" w:type="pct"/>
            <w:shd w:val="clear" w:color="auto" w:fill="auto"/>
            <w:vAlign w:val="center"/>
            <w:hideMark/>
          </w:tcPr>
          <w:p w14:paraId="690289E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herramientas para una hoja de ruta con energías renovables para la transición energética de Bogotá Región.</w:t>
            </w:r>
          </w:p>
        </w:tc>
      </w:tr>
      <w:tr w:rsidR="006B728F" w:rsidRPr="00C9344A" w14:paraId="633DF28E" w14:textId="77777777" w:rsidTr="00DC1CFE">
        <w:trPr>
          <w:trHeight w:val="824"/>
        </w:trPr>
        <w:tc>
          <w:tcPr>
            <w:tcW w:w="5000" w:type="pct"/>
            <w:shd w:val="clear" w:color="auto" w:fill="auto"/>
            <w:vAlign w:val="center"/>
            <w:hideMark/>
          </w:tcPr>
          <w:p w14:paraId="7176523D"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Estructuración de un modelo para el análisis, simulación y aplicación de tecnologías LPWAN a través de la integración de redes comunitarias e IOT al agro inteligente en sectores rurales de Bogotá-Región.</w:t>
            </w:r>
          </w:p>
        </w:tc>
      </w:tr>
      <w:tr w:rsidR="006B728F" w:rsidRPr="00C9344A" w14:paraId="423C66A4" w14:textId="77777777" w:rsidTr="00DC1CFE">
        <w:trPr>
          <w:trHeight w:val="538"/>
        </w:trPr>
        <w:tc>
          <w:tcPr>
            <w:tcW w:w="5000" w:type="pct"/>
            <w:shd w:val="clear" w:color="auto" w:fill="auto"/>
            <w:vAlign w:val="center"/>
            <w:hideMark/>
          </w:tcPr>
          <w:p w14:paraId="5A8F304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un espacio urbano conectado: fusionando arte, turismo y tecnología.</w:t>
            </w:r>
          </w:p>
        </w:tc>
      </w:tr>
      <w:tr w:rsidR="006B728F" w:rsidRPr="00C9344A" w14:paraId="3966C07E" w14:textId="77777777" w:rsidTr="00DC1CFE">
        <w:trPr>
          <w:trHeight w:val="532"/>
        </w:trPr>
        <w:tc>
          <w:tcPr>
            <w:tcW w:w="5000" w:type="pct"/>
            <w:shd w:val="clear" w:color="auto" w:fill="auto"/>
            <w:vAlign w:val="center"/>
            <w:hideMark/>
          </w:tcPr>
          <w:p w14:paraId="223A80A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Visitando Bogotá Región en el Metaverso.</w:t>
            </w:r>
          </w:p>
        </w:tc>
      </w:tr>
      <w:tr w:rsidR="006B728F" w:rsidRPr="00C9344A" w14:paraId="55CC2AE2" w14:textId="77777777" w:rsidTr="00DC1CFE">
        <w:trPr>
          <w:trHeight w:val="824"/>
        </w:trPr>
        <w:tc>
          <w:tcPr>
            <w:tcW w:w="5000" w:type="pct"/>
            <w:shd w:val="clear" w:color="auto" w:fill="auto"/>
            <w:vAlign w:val="center"/>
            <w:hideMark/>
          </w:tcPr>
          <w:p w14:paraId="35F3673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 capacidades y habilidades de jóvenes investigadores e innovadores para el desarrollo de Bogotá y Cundinamarca.</w:t>
            </w:r>
          </w:p>
        </w:tc>
      </w:tr>
      <w:tr w:rsidR="006B728F" w:rsidRPr="00C9344A" w14:paraId="59D31683" w14:textId="77777777" w:rsidTr="00DC1CFE">
        <w:trPr>
          <w:trHeight w:val="1106"/>
        </w:trPr>
        <w:tc>
          <w:tcPr>
            <w:tcW w:w="5000" w:type="pct"/>
            <w:shd w:val="clear" w:color="auto" w:fill="auto"/>
            <w:vAlign w:val="center"/>
            <w:hideMark/>
          </w:tcPr>
          <w:p w14:paraId="149601E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Fortalecimiento de la Cadena Productiva de las Abejas y de la Apicultura mediante la implementación de tecnologías innovadoras para el manejo integral y la gestión de sistemas Sociales del Conocimiento en Bogotá y el departamento de Cundinamarca.</w:t>
            </w:r>
          </w:p>
        </w:tc>
      </w:tr>
    </w:tbl>
    <w:p w14:paraId="12139083" w14:textId="77777777" w:rsidR="006B728F" w:rsidRPr="00C9344A" w:rsidRDefault="006B728F" w:rsidP="00133721">
      <w:pPr>
        <w:spacing w:line="240" w:lineRule="auto"/>
        <w:rPr>
          <w:color w:val="auto"/>
          <w:sz w:val="20"/>
          <w:szCs w:val="20"/>
          <w:lang w:eastAsia="es-CO"/>
        </w:rPr>
      </w:pPr>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6B728F" w:rsidRPr="00C9344A" w14:paraId="1CE70934" w14:textId="77777777" w:rsidTr="00DC1CFE">
        <w:trPr>
          <w:trHeight w:val="1141"/>
          <w:tblHeader/>
        </w:trPr>
        <w:tc>
          <w:tcPr>
            <w:tcW w:w="5000" w:type="pct"/>
            <w:shd w:val="clear" w:color="auto" w:fill="C00000"/>
            <w:vAlign w:val="center"/>
            <w:hideMark/>
          </w:tcPr>
          <w:p w14:paraId="139B9ACE" w14:textId="77777777" w:rsidR="006B728F" w:rsidRDefault="006B728F" w:rsidP="00DC1CFE">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t xml:space="preserve">Iniciativas asociadas al Objetivo 4. </w:t>
            </w:r>
          </w:p>
          <w:p w14:paraId="538E8090" w14:textId="77777777" w:rsidR="006B728F" w:rsidRPr="00C9344A" w:rsidRDefault="006B728F" w:rsidP="00DC1CFE">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t>Bogotá Ordena su Territorio y Avanza en su Acción Climática</w:t>
            </w:r>
          </w:p>
        </w:tc>
      </w:tr>
      <w:tr w:rsidR="006B728F" w:rsidRPr="00C9344A" w14:paraId="785CA705" w14:textId="77777777" w:rsidTr="00DC1CFE">
        <w:trPr>
          <w:trHeight w:val="852"/>
        </w:trPr>
        <w:tc>
          <w:tcPr>
            <w:tcW w:w="5000" w:type="pct"/>
            <w:shd w:val="clear" w:color="auto" w:fill="auto"/>
            <w:vAlign w:val="center"/>
            <w:hideMark/>
          </w:tcPr>
          <w:p w14:paraId="6658D12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Recuperación ecológica participativa de áreas afectadas por incendios y/o invasión de especies exóticas invasoras, con énfasis en el complejo de retamos, en Bogotá D.C.</w:t>
            </w:r>
          </w:p>
        </w:tc>
      </w:tr>
      <w:tr w:rsidR="006B728F" w:rsidRPr="00C9344A" w14:paraId="7BDE21D1" w14:textId="77777777" w:rsidTr="00DC1CFE">
        <w:trPr>
          <w:trHeight w:val="964"/>
        </w:trPr>
        <w:tc>
          <w:tcPr>
            <w:tcW w:w="5000" w:type="pct"/>
            <w:shd w:val="clear" w:color="auto" w:fill="auto"/>
            <w:vAlign w:val="center"/>
            <w:hideMark/>
          </w:tcPr>
          <w:p w14:paraId="1580739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Conservación y vulnerabilidad de los ecosistemas secos andinos (xerofitia andina) en Bogotá y el altiplano cundiboyacense.</w:t>
            </w:r>
          </w:p>
        </w:tc>
      </w:tr>
      <w:tr w:rsidR="006B728F" w:rsidRPr="00C9344A" w14:paraId="6CAC5BB4" w14:textId="77777777" w:rsidTr="00DC1CFE">
        <w:trPr>
          <w:trHeight w:val="851"/>
        </w:trPr>
        <w:tc>
          <w:tcPr>
            <w:tcW w:w="5000" w:type="pct"/>
            <w:shd w:val="clear" w:color="auto" w:fill="auto"/>
            <w:vAlign w:val="center"/>
            <w:hideMark/>
          </w:tcPr>
          <w:p w14:paraId="13C44C3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 las prácticas de agricultura urbana como estrategia al cambio climático, en Bogotá D.C.</w:t>
            </w:r>
          </w:p>
        </w:tc>
      </w:tr>
      <w:tr w:rsidR="006B728F" w:rsidRPr="00C9344A" w14:paraId="5A67577C" w14:textId="77777777" w:rsidTr="00DC1CFE">
        <w:trPr>
          <w:trHeight w:val="821"/>
        </w:trPr>
        <w:tc>
          <w:tcPr>
            <w:tcW w:w="5000" w:type="pct"/>
            <w:shd w:val="clear" w:color="auto" w:fill="auto"/>
            <w:vAlign w:val="center"/>
            <w:hideMark/>
          </w:tcPr>
          <w:p w14:paraId="2B46E90D"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del programa naturaleza, salud y cultura del jardín Botánico José Celestino Mutis, en Bogotá D.C.</w:t>
            </w:r>
          </w:p>
        </w:tc>
      </w:tr>
      <w:tr w:rsidR="006B728F" w:rsidRPr="00C9344A" w14:paraId="529C14FC" w14:textId="77777777" w:rsidTr="00DC1CFE">
        <w:trPr>
          <w:trHeight w:val="677"/>
        </w:trPr>
        <w:tc>
          <w:tcPr>
            <w:tcW w:w="5000" w:type="pct"/>
            <w:shd w:val="clear" w:color="auto" w:fill="auto"/>
            <w:vAlign w:val="center"/>
            <w:hideMark/>
          </w:tcPr>
          <w:p w14:paraId="49941FFD"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Expediciones bio-urbanas para la adaptación al cambio climático en la ciudad de Bogotá D.C.</w:t>
            </w:r>
          </w:p>
        </w:tc>
      </w:tr>
      <w:tr w:rsidR="006B728F" w:rsidRPr="00C9344A" w14:paraId="04D430DB" w14:textId="77777777" w:rsidTr="00DC1CFE">
        <w:trPr>
          <w:trHeight w:val="827"/>
        </w:trPr>
        <w:tc>
          <w:tcPr>
            <w:tcW w:w="5000" w:type="pct"/>
            <w:shd w:val="clear" w:color="auto" w:fill="auto"/>
            <w:vAlign w:val="center"/>
            <w:hideMark/>
          </w:tcPr>
          <w:p w14:paraId="48DDECD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Conservación y adaptación de los frailejones en los páramos para la sostenibilidad del recurso hídrico ante el cambio climático en Bogotá D.C. y la región.</w:t>
            </w:r>
          </w:p>
        </w:tc>
      </w:tr>
      <w:tr w:rsidR="006B728F" w:rsidRPr="00C9344A" w14:paraId="7BCCE98E" w14:textId="77777777" w:rsidTr="00DC1CFE">
        <w:trPr>
          <w:trHeight w:val="670"/>
        </w:trPr>
        <w:tc>
          <w:tcPr>
            <w:tcW w:w="5000" w:type="pct"/>
            <w:shd w:val="clear" w:color="auto" w:fill="auto"/>
            <w:vAlign w:val="center"/>
            <w:hideMark/>
          </w:tcPr>
          <w:p w14:paraId="5B62E3E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Proyecto estratégico de revitalización y generación de soportes urbanos en Bogotá.</w:t>
            </w:r>
          </w:p>
        </w:tc>
      </w:tr>
      <w:tr w:rsidR="006B728F" w:rsidRPr="00C9344A" w14:paraId="5DB24E57" w14:textId="77777777" w:rsidTr="00DC1CFE">
        <w:trPr>
          <w:trHeight w:val="822"/>
        </w:trPr>
        <w:tc>
          <w:tcPr>
            <w:tcW w:w="5000" w:type="pct"/>
            <w:shd w:val="clear" w:color="auto" w:fill="auto"/>
            <w:vAlign w:val="center"/>
            <w:hideMark/>
          </w:tcPr>
          <w:p w14:paraId="7F28DCF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del Colaboratorio de creación y memoria “La Esquina Redonda” del Bronx distrito creativo.</w:t>
            </w:r>
          </w:p>
        </w:tc>
      </w:tr>
      <w:tr w:rsidR="006B728F" w:rsidRPr="00C9344A" w14:paraId="359270A2" w14:textId="77777777" w:rsidTr="00DC1CFE">
        <w:trPr>
          <w:trHeight w:val="537"/>
        </w:trPr>
        <w:tc>
          <w:tcPr>
            <w:tcW w:w="5000" w:type="pct"/>
            <w:shd w:val="clear" w:color="auto" w:fill="auto"/>
            <w:vAlign w:val="center"/>
            <w:hideMark/>
          </w:tcPr>
          <w:p w14:paraId="1C74529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Servicios de Atención Integral a la fauna domestica vulnerable en el Distrito Capital.</w:t>
            </w:r>
          </w:p>
        </w:tc>
      </w:tr>
      <w:tr w:rsidR="006B728F" w:rsidRPr="00C9344A" w14:paraId="3672AEF5" w14:textId="77777777" w:rsidTr="00DC1CFE">
        <w:trPr>
          <w:trHeight w:val="814"/>
        </w:trPr>
        <w:tc>
          <w:tcPr>
            <w:tcW w:w="5000" w:type="pct"/>
            <w:shd w:val="clear" w:color="auto" w:fill="auto"/>
            <w:vAlign w:val="center"/>
            <w:hideMark/>
          </w:tcPr>
          <w:p w14:paraId="4DF7CCA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Consolidación de los Columbarios -Cementerio de Pobres- como espacio de reconocimiento de la memoria y los patrimonios en la ciudad de Bogotá.</w:t>
            </w:r>
          </w:p>
        </w:tc>
      </w:tr>
      <w:tr w:rsidR="006B728F" w:rsidRPr="00C9344A" w14:paraId="12D8AC1C" w14:textId="77777777" w:rsidTr="00DC1CFE">
        <w:trPr>
          <w:trHeight w:val="542"/>
        </w:trPr>
        <w:tc>
          <w:tcPr>
            <w:tcW w:w="5000" w:type="pct"/>
            <w:shd w:val="clear" w:color="auto" w:fill="auto"/>
            <w:vAlign w:val="center"/>
            <w:hideMark/>
          </w:tcPr>
          <w:p w14:paraId="68AEBEC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Abastecimiento y Distribución Acueducto.</w:t>
            </w:r>
          </w:p>
        </w:tc>
      </w:tr>
      <w:tr w:rsidR="006B728F" w:rsidRPr="00C9344A" w14:paraId="0CC607EC" w14:textId="77777777" w:rsidTr="00DC1CFE">
        <w:trPr>
          <w:trHeight w:val="830"/>
        </w:trPr>
        <w:tc>
          <w:tcPr>
            <w:tcW w:w="5000" w:type="pct"/>
            <w:shd w:val="clear" w:color="auto" w:fill="auto"/>
            <w:vAlign w:val="center"/>
            <w:hideMark/>
          </w:tcPr>
          <w:p w14:paraId="1D4F784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Restauración, recuperación y ejecución de medidas de reducción de riesgo en el Sistema Hídrico de Subcuencas del Distrito.</w:t>
            </w:r>
          </w:p>
        </w:tc>
      </w:tr>
      <w:tr w:rsidR="006B728F" w:rsidRPr="00C9344A" w14:paraId="14DC7115" w14:textId="77777777" w:rsidTr="00DC1CFE">
        <w:trPr>
          <w:trHeight w:val="535"/>
        </w:trPr>
        <w:tc>
          <w:tcPr>
            <w:tcW w:w="5000" w:type="pct"/>
            <w:shd w:val="clear" w:color="auto" w:fill="auto"/>
            <w:noWrap/>
            <w:vAlign w:val="center"/>
            <w:hideMark/>
          </w:tcPr>
          <w:p w14:paraId="242AB13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Salvaguardando el patrimonio y la memoria biocultural del país en el Herbario Nacional Colombiano.</w:t>
            </w:r>
          </w:p>
        </w:tc>
      </w:tr>
      <w:tr w:rsidR="006B728F" w:rsidRPr="00C9344A" w14:paraId="3906316E" w14:textId="77777777" w:rsidTr="00DC1CFE">
        <w:trPr>
          <w:trHeight w:val="954"/>
        </w:trPr>
        <w:tc>
          <w:tcPr>
            <w:tcW w:w="5000" w:type="pct"/>
            <w:shd w:val="clear" w:color="auto" w:fill="auto"/>
            <w:vAlign w:val="center"/>
            <w:hideMark/>
          </w:tcPr>
          <w:p w14:paraId="67EAE2A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del Centro de ciencias Maloka para el fomento de habilidades de pensamiento científico en la ciudadanía bogotana como parte integral del CTEIB – Campus de Ciencia, tecnología e innovación de Bogotá-Región.</w:t>
            </w:r>
          </w:p>
        </w:tc>
      </w:tr>
      <w:tr w:rsidR="006B728F" w:rsidRPr="00C9344A" w14:paraId="361368CD" w14:textId="77777777" w:rsidTr="00DC1CFE">
        <w:trPr>
          <w:trHeight w:val="825"/>
        </w:trPr>
        <w:tc>
          <w:tcPr>
            <w:tcW w:w="5000" w:type="pct"/>
            <w:shd w:val="clear" w:color="auto" w:fill="auto"/>
            <w:vAlign w:val="center"/>
            <w:hideMark/>
          </w:tcPr>
          <w:p w14:paraId="3DA3201A"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Innovación rural y sostenible para el desarrollo regional bajo condiciones de variabilidad climática en la Región Central RAP-E.</w:t>
            </w:r>
          </w:p>
        </w:tc>
      </w:tr>
      <w:tr w:rsidR="006B728F" w:rsidRPr="00C9344A" w14:paraId="51C8CA4E" w14:textId="77777777" w:rsidTr="00DC1CFE">
        <w:trPr>
          <w:trHeight w:val="566"/>
        </w:trPr>
        <w:tc>
          <w:tcPr>
            <w:tcW w:w="5000" w:type="pct"/>
            <w:shd w:val="clear" w:color="auto" w:fill="auto"/>
            <w:vAlign w:val="center"/>
            <w:hideMark/>
          </w:tcPr>
          <w:p w14:paraId="21A854C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Infraestructura deportiva especializada en la ciudad de Bogotá D.C.</w:t>
            </w:r>
          </w:p>
        </w:tc>
      </w:tr>
      <w:tr w:rsidR="006B728F" w:rsidRPr="00C9344A" w14:paraId="40E65028" w14:textId="77777777" w:rsidTr="00DC1CFE">
        <w:trPr>
          <w:trHeight w:val="532"/>
        </w:trPr>
        <w:tc>
          <w:tcPr>
            <w:tcW w:w="5000" w:type="pct"/>
            <w:shd w:val="clear" w:color="auto" w:fill="auto"/>
            <w:vAlign w:val="center"/>
            <w:hideMark/>
          </w:tcPr>
          <w:p w14:paraId="1F05E9C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Infraestructura para el encuentro en parques de proximidad y estructurantes en la ciudad de Bogotá D.C.</w:t>
            </w:r>
          </w:p>
        </w:tc>
      </w:tr>
      <w:tr w:rsidR="006B728F" w:rsidRPr="00C9344A" w14:paraId="6D5AF9FD" w14:textId="77777777" w:rsidTr="00DC1CFE">
        <w:trPr>
          <w:trHeight w:val="1106"/>
        </w:trPr>
        <w:tc>
          <w:tcPr>
            <w:tcW w:w="5000" w:type="pct"/>
            <w:shd w:val="clear" w:color="auto" w:fill="auto"/>
            <w:noWrap/>
            <w:vAlign w:val="center"/>
            <w:hideMark/>
          </w:tcPr>
          <w:p w14:paraId="5E9DF8B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Conservación de ecosistemas de alta montaña para aumentar la capacidad de adaptación al cambio climático y seguridad hídrica del paisaje sostenible entre los páramos de Chingaza – Sumapaz – Guerrero - Guacheneque en Cundinamarca, Meta, Bogotá.</w:t>
            </w:r>
          </w:p>
        </w:tc>
      </w:tr>
      <w:tr w:rsidR="006B728F" w:rsidRPr="00C9344A" w14:paraId="561649BC" w14:textId="77777777" w:rsidTr="00DC1CFE">
        <w:trPr>
          <w:trHeight w:val="1094"/>
        </w:trPr>
        <w:tc>
          <w:tcPr>
            <w:tcW w:w="5000" w:type="pct"/>
            <w:shd w:val="clear" w:color="auto" w:fill="auto"/>
            <w:vAlign w:val="center"/>
            <w:hideMark/>
          </w:tcPr>
          <w:p w14:paraId="56354EA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Demolición y restitución del Colegio Francisco Antonio Zea – Sede C, ubicado en la Localidad (5) Usme de acuerdo con los planos y especificaciones entregadas por la Secretaría de Educación del Distrito – Bogotá.</w:t>
            </w:r>
          </w:p>
        </w:tc>
      </w:tr>
      <w:tr w:rsidR="006B728F" w:rsidRPr="00C9344A" w14:paraId="111F3C74" w14:textId="77777777" w:rsidTr="00DC1CFE">
        <w:trPr>
          <w:trHeight w:val="968"/>
        </w:trPr>
        <w:tc>
          <w:tcPr>
            <w:tcW w:w="5000" w:type="pct"/>
            <w:shd w:val="clear" w:color="auto" w:fill="auto"/>
            <w:vAlign w:val="center"/>
            <w:hideMark/>
          </w:tcPr>
          <w:p w14:paraId="3017839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Demolición y restitución del Colegio La Palestina, ubicado en la Localidad de Engativá de acuerdo con los planos y especificaciones entregadas por la Secretaría de Educación del Distrito – Bogotá.</w:t>
            </w:r>
          </w:p>
        </w:tc>
      </w:tr>
      <w:tr w:rsidR="006B728F" w:rsidRPr="00C9344A" w14:paraId="3013A6CE" w14:textId="77777777" w:rsidTr="00DC1CFE">
        <w:trPr>
          <w:trHeight w:val="1107"/>
        </w:trPr>
        <w:tc>
          <w:tcPr>
            <w:tcW w:w="5000" w:type="pct"/>
            <w:shd w:val="clear" w:color="auto" w:fill="auto"/>
            <w:vAlign w:val="center"/>
            <w:hideMark/>
          </w:tcPr>
          <w:p w14:paraId="765EDB6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 un nuevo colegio en el predio denominado Alfonso Jaramillo ubicado en la Localidad 11 Suba de acuerdo con los planos y especificaciones entregadas por la Secretaría de Educación del Distrito – Bogotá.</w:t>
            </w:r>
          </w:p>
        </w:tc>
      </w:tr>
      <w:tr w:rsidR="006B728F" w:rsidRPr="00C9344A" w14:paraId="11C9F2BB" w14:textId="77777777" w:rsidTr="00DC1CFE">
        <w:trPr>
          <w:trHeight w:val="1111"/>
        </w:trPr>
        <w:tc>
          <w:tcPr>
            <w:tcW w:w="5000" w:type="pct"/>
            <w:shd w:val="clear" w:color="auto" w:fill="auto"/>
            <w:vAlign w:val="center"/>
            <w:hideMark/>
          </w:tcPr>
          <w:p w14:paraId="7CF3031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Demolición y restitución del Colegio IED El Verjón ubicado en la Localidad 3 Santa Fe, Kilometro 13 vía Choachí de acuerdo con los planos y especificaciones entregadas por la Secretaría de Educación del Distrito – Bogotá.</w:t>
            </w:r>
          </w:p>
        </w:tc>
      </w:tr>
      <w:tr w:rsidR="006B728F" w:rsidRPr="00C9344A" w14:paraId="22713AFD" w14:textId="77777777" w:rsidTr="00DC1CFE">
        <w:trPr>
          <w:trHeight w:val="531"/>
        </w:trPr>
        <w:tc>
          <w:tcPr>
            <w:tcW w:w="5000" w:type="pct"/>
            <w:shd w:val="clear" w:color="auto" w:fill="auto"/>
            <w:vAlign w:val="center"/>
            <w:hideMark/>
          </w:tcPr>
          <w:p w14:paraId="0B71A91B"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Restitución del colegio Miguel Antonio Caro IED CPF 1025 ubicado en la Localidad de Engativá de acuerdo con los planos y especificaciones entregadas por la Secretaría de Educación del Distrito – Bogotá.</w:t>
            </w:r>
          </w:p>
        </w:tc>
      </w:tr>
      <w:tr w:rsidR="006B728F" w:rsidRPr="00C9344A" w14:paraId="6D42440F" w14:textId="77777777" w:rsidTr="00DC1CFE">
        <w:trPr>
          <w:trHeight w:val="1098"/>
        </w:trPr>
        <w:tc>
          <w:tcPr>
            <w:tcW w:w="5000" w:type="pct"/>
            <w:shd w:val="clear" w:color="auto" w:fill="auto"/>
            <w:vAlign w:val="center"/>
            <w:hideMark/>
          </w:tcPr>
          <w:p w14:paraId="6CF0CF0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Demolición y restitución de dos sedes del Colegio San Benito Abad en los predios denominados Sede A – Diana Turbay CPF 623 y Sede B – San Benito CPF 616 ubicados en la Localidad 06 Tunjuelito de acuerdo con los planos y especificaciones entregadas por la Secretaría de Educación del Distrito – Bogotá.</w:t>
            </w:r>
          </w:p>
        </w:tc>
      </w:tr>
      <w:tr w:rsidR="006B728F" w:rsidRPr="00C9344A" w14:paraId="224B362E" w14:textId="77777777" w:rsidTr="00DC1CFE">
        <w:trPr>
          <w:trHeight w:val="1134"/>
        </w:trPr>
        <w:tc>
          <w:tcPr>
            <w:tcW w:w="5000" w:type="pct"/>
            <w:shd w:val="clear" w:color="auto" w:fill="auto"/>
            <w:vAlign w:val="center"/>
            <w:hideMark/>
          </w:tcPr>
          <w:p w14:paraId="2239E67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 un nuevo colegio en el predio denominado Porvenir Eru ubicado en la Localidad 7 Bosa de acuerdo con los planos y especificaciones entregadas por la Secretaría de Educación del Distrito – Bogotá.</w:t>
            </w:r>
          </w:p>
        </w:tc>
      </w:tr>
      <w:tr w:rsidR="006B728F" w:rsidRPr="00C9344A" w14:paraId="181DBC12" w14:textId="77777777" w:rsidTr="00DC1CFE">
        <w:trPr>
          <w:trHeight w:val="1073"/>
        </w:trPr>
        <w:tc>
          <w:tcPr>
            <w:tcW w:w="5000" w:type="pct"/>
            <w:shd w:val="clear" w:color="auto" w:fill="auto"/>
            <w:vAlign w:val="center"/>
            <w:hideMark/>
          </w:tcPr>
          <w:p w14:paraId="3A6A391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Demolición y restitución del Colegio Integrado de Fontibón ubicado en la Localidad 12 Fontibón de acuerdo con los planos y especificaciones entregadas por la Secretaría de Educación del Distrito – Bogotá.</w:t>
            </w:r>
          </w:p>
        </w:tc>
      </w:tr>
      <w:tr w:rsidR="006B728F" w:rsidRPr="00C9344A" w14:paraId="5EC60272" w14:textId="77777777" w:rsidTr="00DC1CFE">
        <w:trPr>
          <w:trHeight w:val="1103"/>
        </w:trPr>
        <w:tc>
          <w:tcPr>
            <w:tcW w:w="5000" w:type="pct"/>
            <w:shd w:val="clear" w:color="auto" w:fill="auto"/>
            <w:vAlign w:val="center"/>
            <w:hideMark/>
          </w:tcPr>
          <w:p w14:paraId="47C4AA4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Demolición, restitución y reforzamiento estructural del Colegio Cortijo Vianey sede A CPF 516 y ubicado en la Localidad 5 Usme de acuerdo con los planos y especificaciones entregadas por la Secretaría de Educación del Distrito – Bogotá.</w:t>
            </w:r>
          </w:p>
        </w:tc>
      </w:tr>
      <w:tr w:rsidR="006B728F" w:rsidRPr="00C9344A" w14:paraId="7DAF90CA" w14:textId="77777777" w:rsidTr="00DC1CFE">
        <w:trPr>
          <w:trHeight w:val="1105"/>
        </w:trPr>
        <w:tc>
          <w:tcPr>
            <w:tcW w:w="5000" w:type="pct"/>
            <w:shd w:val="clear" w:color="auto" w:fill="auto"/>
            <w:vAlign w:val="center"/>
            <w:hideMark/>
          </w:tcPr>
          <w:p w14:paraId="6D58AB4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 un nuevo colegio en el predio denominado Plazuela de Álamos ubicado en la Localidad 10 - Engativá de acuerdo con los planos y especificaciones entregadas por la Secretaría de Educación del Distrito – Bogotá.</w:t>
            </w:r>
          </w:p>
        </w:tc>
      </w:tr>
      <w:tr w:rsidR="006B728F" w:rsidRPr="00C9344A" w14:paraId="22C5A74B" w14:textId="77777777" w:rsidTr="00DC1CFE">
        <w:trPr>
          <w:trHeight w:val="540"/>
        </w:trPr>
        <w:tc>
          <w:tcPr>
            <w:tcW w:w="5000" w:type="pct"/>
            <w:shd w:val="clear" w:color="auto" w:fill="auto"/>
            <w:vAlign w:val="center"/>
            <w:hideMark/>
          </w:tcPr>
          <w:p w14:paraId="5352990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Una (1) iniciativa para la reforestación de la cobertura vegetal de la ronda del río Arzobispo.</w:t>
            </w:r>
          </w:p>
        </w:tc>
      </w:tr>
      <w:tr w:rsidR="006B728F" w:rsidRPr="00C9344A" w14:paraId="54462ABF" w14:textId="77777777" w:rsidTr="00DC1CFE">
        <w:trPr>
          <w:trHeight w:val="534"/>
        </w:trPr>
        <w:tc>
          <w:tcPr>
            <w:tcW w:w="5000" w:type="pct"/>
            <w:shd w:val="clear" w:color="auto" w:fill="auto"/>
            <w:vAlign w:val="center"/>
            <w:hideMark/>
          </w:tcPr>
          <w:p w14:paraId="13AFA47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BOGOTÁ: Un plan de conservación de la avifauna en sus páramos.</w:t>
            </w:r>
          </w:p>
        </w:tc>
      </w:tr>
      <w:tr w:rsidR="006B728F" w:rsidRPr="00C9344A" w14:paraId="719F75EF" w14:textId="77777777" w:rsidTr="00DC1CFE">
        <w:trPr>
          <w:trHeight w:val="670"/>
        </w:trPr>
        <w:tc>
          <w:tcPr>
            <w:tcW w:w="5000" w:type="pct"/>
            <w:shd w:val="clear" w:color="auto" w:fill="auto"/>
            <w:vAlign w:val="center"/>
            <w:hideMark/>
          </w:tcPr>
          <w:p w14:paraId="22E2CB5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Proyecto estratégico de revitalización y generación de soporte urbanos en Bogotá.</w:t>
            </w:r>
          </w:p>
        </w:tc>
      </w:tr>
      <w:tr w:rsidR="006B728F" w:rsidRPr="00C9344A" w14:paraId="74C58F53" w14:textId="77777777" w:rsidTr="00DC1CFE">
        <w:trPr>
          <w:trHeight w:val="538"/>
        </w:trPr>
        <w:tc>
          <w:tcPr>
            <w:tcW w:w="5000" w:type="pct"/>
            <w:shd w:val="clear" w:color="auto" w:fill="auto"/>
            <w:vAlign w:val="center"/>
            <w:hideMark/>
          </w:tcPr>
          <w:p w14:paraId="0D7C4DE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Bosque Escuela “Santuario Colibrí”.</w:t>
            </w:r>
          </w:p>
        </w:tc>
      </w:tr>
      <w:tr w:rsidR="006B728F" w:rsidRPr="00C9344A" w14:paraId="741012BB" w14:textId="77777777" w:rsidTr="00DC1CFE">
        <w:tc>
          <w:tcPr>
            <w:tcW w:w="5000" w:type="pct"/>
            <w:shd w:val="clear" w:color="auto" w:fill="auto"/>
            <w:vAlign w:val="center"/>
            <w:hideMark/>
          </w:tcPr>
          <w:p w14:paraId="5A185F6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Conservación del patrimonio histórico material e inmaterial del Museo de Historia Natural de la UPN sede Bogotá D.C. - Implementación de un proyecto educativo del Museo de Historia Natural de la Universidad Pedagógica Nacional para la protección de la diversidad biocultural urbana y rural de Bogotá D.C., a través de la virtualización de estrategias educativas y la formación en CTeI.</w:t>
            </w:r>
          </w:p>
        </w:tc>
      </w:tr>
      <w:tr w:rsidR="006B728F" w:rsidRPr="00C9344A" w14:paraId="7C077D8F" w14:textId="77777777" w:rsidTr="00DC1CFE">
        <w:trPr>
          <w:trHeight w:val="1098"/>
        </w:trPr>
        <w:tc>
          <w:tcPr>
            <w:tcW w:w="5000" w:type="pct"/>
            <w:shd w:val="clear" w:color="auto" w:fill="auto"/>
            <w:vAlign w:val="center"/>
            <w:hideMark/>
          </w:tcPr>
          <w:p w14:paraId="27AB91D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un sistema de monitoreo de la vitalidad y calidad de los cerros orientales de Bogotá que permitan establecer políticas de gestión sostenible de ecosistemas de alta montaña y paramo para la prevención de incendios forestales.</w:t>
            </w:r>
          </w:p>
        </w:tc>
      </w:tr>
      <w:tr w:rsidR="006B728F" w:rsidRPr="00C9344A" w14:paraId="3E636CE1" w14:textId="77777777" w:rsidTr="00DC1CFE">
        <w:trPr>
          <w:trHeight w:val="831"/>
        </w:trPr>
        <w:tc>
          <w:tcPr>
            <w:tcW w:w="5000" w:type="pct"/>
            <w:shd w:val="clear" w:color="auto" w:fill="auto"/>
            <w:vAlign w:val="center"/>
            <w:hideMark/>
          </w:tcPr>
          <w:p w14:paraId="4668D29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Restauración integral, adecuación, dotación técnica especializada y puesta en funcionamiento del teatro San Jorge del Instituto Distrital de las Artes – IDARTES – ubicado en la carrera 15 N° 13-71, Bogotá.</w:t>
            </w:r>
          </w:p>
        </w:tc>
      </w:tr>
      <w:tr w:rsidR="006B728F" w:rsidRPr="00C9344A" w14:paraId="5AD29EC6" w14:textId="77777777" w:rsidTr="00DC1CFE">
        <w:trPr>
          <w:trHeight w:val="815"/>
        </w:trPr>
        <w:tc>
          <w:tcPr>
            <w:tcW w:w="5000" w:type="pct"/>
            <w:shd w:val="clear" w:color="auto" w:fill="auto"/>
            <w:vAlign w:val="center"/>
            <w:hideMark/>
          </w:tcPr>
          <w:p w14:paraId="0754C9E9"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Iluminación de bienes muebles y monumentos patrimoniales ubicados en espacio público y de sus espacios contenedores.</w:t>
            </w:r>
          </w:p>
        </w:tc>
      </w:tr>
      <w:tr w:rsidR="006B728F" w:rsidRPr="00C9344A" w14:paraId="7AD1858D" w14:textId="77777777" w:rsidTr="00DC1CFE">
        <w:trPr>
          <w:trHeight w:val="670"/>
        </w:trPr>
        <w:tc>
          <w:tcPr>
            <w:tcW w:w="5000" w:type="pct"/>
            <w:shd w:val="clear" w:color="auto" w:fill="auto"/>
            <w:vAlign w:val="center"/>
            <w:hideMark/>
          </w:tcPr>
          <w:p w14:paraId="5D21F56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de la primera fase del Parque Arqueológico y del Patrimonio Cultural de Usme – PAPCU.</w:t>
            </w:r>
          </w:p>
        </w:tc>
      </w:tr>
      <w:tr w:rsidR="006B728F" w:rsidRPr="00C9344A" w14:paraId="60DC28C1" w14:textId="77777777" w:rsidTr="00DC1CFE">
        <w:trPr>
          <w:trHeight w:val="822"/>
        </w:trPr>
        <w:tc>
          <w:tcPr>
            <w:tcW w:w="5000" w:type="pct"/>
            <w:shd w:val="clear" w:color="auto" w:fill="auto"/>
            <w:vAlign w:val="center"/>
            <w:hideMark/>
          </w:tcPr>
          <w:p w14:paraId="52FD777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Investigación y desarrollo tecnológico para el aprovechamiento y valorización de aceites de cocina usados en la ciudad región.</w:t>
            </w:r>
          </w:p>
        </w:tc>
      </w:tr>
      <w:tr w:rsidR="006B728F" w:rsidRPr="00C9344A" w14:paraId="1BE27119" w14:textId="77777777" w:rsidTr="00DC1CFE">
        <w:trPr>
          <w:trHeight w:val="1155"/>
        </w:trPr>
        <w:tc>
          <w:tcPr>
            <w:tcW w:w="5000" w:type="pct"/>
            <w:shd w:val="clear" w:color="auto" w:fill="auto"/>
            <w:vAlign w:val="center"/>
            <w:hideMark/>
          </w:tcPr>
          <w:p w14:paraId="791453D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 procesos de innovación en economía circular enfocados al aprovechamiento sostenible de residuos, que mejoren la productividad y competitividad empresarial del sector piscícola en Bogotá y los departamentos de Cundinamarca, Boyacá, Norte de Santander y Santander.</w:t>
            </w:r>
          </w:p>
        </w:tc>
      </w:tr>
      <w:tr w:rsidR="006B728F" w:rsidRPr="00C9344A" w14:paraId="45250141" w14:textId="77777777" w:rsidTr="00DC1CFE">
        <w:trPr>
          <w:trHeight w:val="832"/>
        </w:trPr>
        <w:tc>
          <w:tcPr>
            <w:tcW w:w="5000" w:type="pct"/>
            <w:shd w:val="clear" w:color="auto" w:fill="auto"/>
            <w:vAlign w:val="center"/>
            <w:hideMark/>
          </w:tcPr>
          <w:p w14:paraId="591992E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Aporte a la reducción del calentamiento global a través de la captura de emisiones de CO2, mediante la producción de dispositivos para su adsorción y transformación en productos de valor agregado.</w:t>
            </w:r>
          </w:p>
        </w:tc>
      </w:tr>
      <w:tr w:rsidR="006B728F" w:rsidRPr="00C9344A" w14:paraId="291A45B5" w14:textId="77777777" w:rsidTr="00DC1CFE">
        <w:trPr>
          <w:trHeight w:val="1047"/>
        </w:trPr>
        <w:tc>
          <w:tcPr>
            <w:tcW w:w="5000" w:type="pct"/>
            <w:shd w:val="clear" w:color="auto" w:fill="auto"/>
            <w:vAlign w:val="center"/>
            <w:hideMark/>
          </w:tcPr>
          <w:p w14:paraId="37ADFEF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Realizar la transferencia de las tecnologías RNT+RRG+T de diagnóstico de probabilidad de falla a la spin off poporo technologies y su validación comercial en los sectores de infraestructura, industria y comercio, servicios y minero-energético en Bogotá.</w:t>
            </w:r>
          </w:p>
        </w:tc>
      </w:tr>
      <w:tr w:rsidR="006B728F" w:rsidRPr="00C9344A" w14:paraId="0CE57E42" w14:textId="77777777" w:rsidTr="00DC1CFE">
        <w:trPr>
          <w:trHeight w:val="822"/>
        </w:trPr>
        <w:tc>
          <w:tcPr>
            <w:tcW w:w="5000" w:type="pct"/>
            <w:shd w:val="clear" w:color="auto" w:fill="auto"/>
            <w:vAlign w:val="center"/>
            <w:hideMark/>
          </w:tcPr>
          <w:p w14:paraId="6FF108A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un proceso integral para la captura de dióxido de carbono y su posterior transformación en polímeros funcionales como alternativa para reducir su concentración atmosférica en Bogotá D.C.</w:t>
            </w:r>
          </w:p>
        </w:tc>
      </w:tr>
      <w:tr w:rsidR="006B728F" w:rsidRPr="00C9344A" w14:paraId="5BB10B4C" w14:textId="77777777" w:rsidTr="00DC1CFE">
        <w:trPr>
          <w:trHeight w:val="820"/>
        </w:trPr>
        <w:tc>
          <w:tcPr>
            <w:tcW w:w="5000" w:type="pct"/>
            <w:shd w:val="clear" w:color="auto" w:fill="auto"/>
            <w:vAlign w:val="center"/>
            <w:hideMark/>
          </w:tcPr>
          <w:p w14:paraId="5B29550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Estudio de la calidad del aire en la Ciudad de Bogotá mediante el análisis del material particulado empleando técnicas nucleares y convencionales.</w:t>
            </w:r>
          </w:p>
        </w:tc>
      </w:tr>
      <w:tr w:rsidR="006B728F" w:rsidRPr="00C9344A" w14:paraId="74379827" w14:textId="77777777" w:rsidTr="00DC1CFE">
        <w:tc>
          <w:tcPr>
            <w:tcW w:w="5000" w:type="pct"/>
            <w:shd w:val="clear" w:color="auto" w:fill="auto"/>
            <w:vAlign w:val="center"/>
            <w:hideMark/>
          </w:tcPr>
          <w:p w14:paraId="320B3D3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Control en vía de fuentes móviles mediante la implementación de sensores remotos.</w:t>
            </w:r>
          </w:p>
        </w:tc>
      </w:tr>
      <w:tr w:rsidR="006B728F" w:rsidRPr="00C9344A" w14:paraId="6F6363F2" w14:textId="77777777" w:rsidTr="00DC1CFE">
        <w:trPr>
          <w:trHeight w:val="815"/>
        </w:trPr>
        <w:tc>
          <w:tcPr>
            <w:tcW w:w="5000" w:type="pct"/>
            <w:shd w:val="clear" w:color="auto" w:fill="auto"/>
            <w:vAlign w:val="center"/>
            <w:hideMark/>
          </w:tcPr>
          <w:p w14:paraId="13D50D1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Manejo y actualización de la información técnica y de gestión de los expedientes permisivos y sancionatorios ambientales.</w:t>
            </w:r>
          </w:p>
        </w:tc>
      </w:tr>
      <w:tr w:rsidR="006B728F" w:rsidRPr="00C9344A" w14:paraId="7D966692" w14:textId="77777777" w:rsidTr="00DC1CFE">
        <w:trPr>
          <w:trHeight w:val="581"/>
        </w:trPr>
        <w:tc>
          <w:tcPr>
            <w:tcW w:w="5000" w:type="pct"/>
            <w:shd w:val="clear" w:color="auto" w:fill="auto"/>
            <w:vAlign w:val="center"/>
            <w:hideMark/>
          </w:tcPr>
          <w:p w14:paraId="52FE372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Proyecto BlockChain con Quick Response para captura de información ambiental en tiempo real.</w:t>
            </w:r>
          </w:p>
        </w:tc>
      </w:tr>
      <w:tr w:rsidR="006B728F" w:rsidRPr="00C9344A" w14:paraId="62CE0C5E" w14:textId="77777777" w:rsidTr="00DC1CFE">
        <w:trPr>
          <w:trHeight w:val="585"/>
        </w:trPr>
        <w:tc>
          <w:tcPr>
            <w:tcW w:w="5000" w:type="pct"/>
            <w:shd w:val="clear" w:color="auto" w:fill="auto"/>
            <w:vAlign w:val="center"/>
            <w:hideMark/>
          </w:tcPr>
          <w:p w14:paraId="0DE9F0F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Energías Renovables Heinsohn-Bogotá.</w:t>
            </w:r>
          </w:p>
        </w:tc>
      </w:tr>
      <w:tr w:rsidR="006B728F" w:rsidRPr="00C9344A" w14:paraId="1F296042" w14:textId="77777777" w:rsidTr="00DC1CFE">
        <w:trPr>
          <w:trHeight w:val="537"/>
        </w:trPr>
        <w:tc>
          <w:tcPr>
            <w:tcW w:w="5000" w:type="pct"/>
            <w:shd w:val="clear" w:color="auto" w:fill="auto"/>
            <w:vAlign w:val="center"/>
            <w:hideMark/>
          </w:tcPr>
          <w:p w14:paraId="15BD6DC8"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Mejora y optimización del Centro de Información y Modelamiento Ambiental de Bogotá – CIMAB.</w:t>
            </w:r>
          </w:p>
        </w:tc>
      </w:tr>
    </w:tbl>
    <w:p w14:paraId="115E8C36" w14:textId="77777777" w:rsidR="006B728F" w:rsidRDefault="006B728F" w:rsidP="00133721">
      <w:pPr>
        <w:spacing w:line="240" w:lineRule="auto"/>
        <w:rPr>
          <w:color w:val="auto"/>
          <w:sz w:val="20"/>
          <w:szCs w:val="20"/>
          <w:lang w:eastAsia="es-CO"/>
        </w:rPr>
      </w:pPr>
    </w:p>
    <w:p w14:paraId="46222BB2" w14:textId="77777777" w:rsidR="007B7F32" w:rsidRPr="00C9344A" w:rsidRDefault="007B7F32" w:rsidP="00133721">
      <w:pPr>
        <w:spacing w:line="240" w:lineRule="auto"/>
        <w:rPr>
          <w:color w:val="auto"/>
          <w:sz w:val="20"/>
          <w:szCs w:val="20"/>
          <w:lang w:eastAsia="es-CO"/>
        </w:rPr>
      </w:pPr>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6B728F" w:rsidRPr="00C9344A" w14:paraId="6CED8EAA" w14:textId="77777777" w:rsidTr="00DC1CFE">
        <w:trPr>
          <w:trHeight w:val="900"/>
          <w:tblHeader/>
        </w:trPr>
        <w:tc>
          <w:tcPr>
            <w:tcW w:w="5000" w:type="pct"/>
            <w:shd w:val="clear" w:color="auto" w:fill="C00000"/>
            <w:vAlign w:val="center"/>
            <w:hideMark/>
          </w:tcPr>
          <w:p w14:paraId="7335AAFD" w14:textId="77777777" w:rsidR="006B728F" w:rsidRPr="00C9344A" w:rsidRDefault="006B728F" w:rsidP="00DC1CFE">
            <w:pPr>
              <w:spacing w:line="240" w:lineRule="auto"/>
              <w:jc w:val="center"/>
              <w:rPr>
                <w:b/>
                <w:bCs/>
                <w:color w:val="FFFFFF" w:themeColor="background1"/>
                <w:sz w:val="28"/>
                <w:szCs w:val="28"/>
                <w:lang w:eastAsia="es-CO"/>
              </w:rPr>
            </w:pPr>
            <w:r w:rsidRPr="00C9344A">
              <w:rPr>
                <w:b/>
                <w:bCs/>
                <w:color w:val="FFFFFF" w:themeColor="background1"/>
                <w:sz w:val="28"/>
                <w:szCs w:val="28"/>
                <w:lang w:eastAsia="es-CO"/>
              </w:rPr>
              <w:t>Iniciativas asociadas al Objetivo 5. Bogotá Confía en su Gobierno</w:t>
            </w:r>
          </w:p>
        </w:tc>
      </w:tr>
      <w:tr w:rsidR="006B728F" w:rsidRPr="00C9344A" w14:paraId="0512496F" w14:textId="77777777" w:rsidTr="00DC1CFE">
        <w:trPr>
          <w:trHeight w:val="826"/>
        </w:trPr>
        <w:tc>
          <w:tcPr>
            <w:tcW w:w="5000" w:type="pct"/>
            <w:shd w:val="clear" w:color="auto" w:fill="auto"/>
            <w:vAlign w:val="center"/>
            <w:hideMark/>
          </w:tcPr>
          <w:p w14:paraId="7086F92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servicios de conectividad en la ruralidad de Bogotá D.C., como aporte a la inclusión y participación ciudadana y el cierre de la brecha digital en la capital.</w:t>
            </w:r>
          </w:p>
        </w:tc>
      </w:tr>
      <w:tr w:rsidR="006B728F" w:rsidRPr="00C9344A" w14:paraId="40B4C787" w14:textId="77777777" w:rsidTr="00DC1CFE">
        <w:trPr>
          <w:trHeight w:val="540"/>
        </w:trPr>
        <w:tc>
          <w:tcPr>
            <w:tcW w:w="5000" w:type="pct"/>
            <w:shd w:val="clear" w:color="auto" w:fill="auto"/>
            <w:vAlign w:val="center"/>
            <w:hideMark/>
          </w:tcPr>
          <w:p w14:paraId="2997D43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Planoteca digital de información urbanística – fase II.</w:t>
            </w:r>
          </w:p>
        </w:tc>
      </w:tr>
      <w:tr w:rsidR="006B728F" w:rsidRPr="00C9344A" w14:paraId="19D017C3" w14:textId="77777777" w:rsidTr="00DC1CFE">
        <w:trPr>
          <w:trHeight w:val="1243"/>
        </w:trPr>
        <w:tc>
          <w:tcPr>
            <w:tcW w:w="5000" w:type="pct"/>
            <w:shd w:val="clear" w:color="auto" w:fill="auto"/>
            <w:noWrap/>
            <w:vAlign w:val="center"/>
            <w:hideMark/>
          </w:tcPr>
          <w:p w14:paraId="72574A7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Centro Mentor: Aceleradora de emprendimientos de base tecnológica y científica de la Universidad Nacional de Colombia con foco en DeepTech, como parte de los procesos de fortalecimiento y promoción de la CTeI impulsados por el Distrito de Ciencia, Tecnología e Innovación (DCTI) y la Cámara de Comercio de Bogotá (CCB).</w:t>
            </w:r>
          </w:p>
        </w:tc>
      </w:tr>
      <w:tr w:rsidR="006B728F" w:rsidRPr="00C9344A" w14:paraId="44CF1106" w14:textId="77777777" w:rsidTr="00DC1CFE">
        <w:trPr>
          <w:trHeight w:val="1106"/>
        </w:trPr>
        <w:tc>
          <w:tcPr>
            <w:tcW w:w="5000" w:type="pct"/>
            <w:shd w:val="clear" w:color="auto" w:fill="auto"/>
            <w:noWrap/>
            <w:vAlign w:val="center"/>
            <w:hideMark/>
          </w:tcPr>
          <w:p w14:paraId="5F2C629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Aplicación de métodos de ciencia de datos y ciencia ciudadana de para evaluar las transformaciones urbanas, con el fin de fortalecer la resiliencia urbana y hacer de Bogotá una ciudad más sostenible y habitable.</w:t>
            </w:r>
          </w:p>
        </w:tc>
      </w:tr>
      <w:tr w:rsidR="006B728F" w:rsidRPr="00C9344A" w14:paraId="0E06F1FE" w14:textId="77777777" w:rsidTr="00DC1CFE">
        <w:trPr>
          <w:trHeight w:val="824"/>
        </w:trPr>
        <w:tc>
          <w:tcPr>
            <w:tcW w:w="5000" w:type="pct"/>
            <w:shd w:val="clear" w:color="auto" w:fill="auto"/>
            <w:vAlign w:val="center"/>
            <w:hideMark/>
          </w:tcPr>
          <w:p w14:paraId="56CCE8A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ITT-RISE (Revolutionizing Innovation for Social Empowerment) Lab Un laboratorio de Innovación Social en Salud de Siemens Healthineers y la Universidad Nacional de Colombia.</w:t>
            </w:r>
          </w:p>
        </w:tc>
      </w:tr>
      <w:tr w:rsidR="006B728F" w:rsidRPr="00C9344A" w14:paraId="792E98EF" w14:textId="77777777" w:rsidTr="00DC1CFE">
        <w:trPr>
          <w:trHeight w:val="822"/>
        </w:trPr>
        <w:tc>
          <w:tcPr>
            <w:tcW w:w="5000" w:type="pct"/>
            <w:shd w:val="clear" w:color="auto" w:fill="auto"/>
            <w:vAlign w:val="center"/>
            <w:hideMark/>
          </w:tcPr>
          <w:p w14:paraId="3B7E5924"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ECOSOLIDARIOS: Impulsando la Bioeconomía, la Soberanía Alimentaria y el Consumo Responsable a través de una Aplicación Digital en Bogotá.</w:t>
            </w:r>
          </w:p>
        </w:tc>
      </w:tr>
      <w:tr w:rsidR="006B728F" w:rsidRPr="00C9344A" w14:paraId="2E5DE623" w14:textId="77777777" w:rsidTr="00DC1CFE">
        <w:trPr>
          <w:trHeight w:val="769"/>
        </w:trPr>
        <w:tc>
          <w:tcPr>
            <w:tcW w:w="5000" w:type="pct"/>
            <w:shd w:val="clear" w:color="auto" w:fill="auto"/>
            <w:vAlign w:val="center"/>
            <w:hideMark/>
          </w:tcPr>
          <w:p w14:paraId="0BAE0762"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Adquisición de estaciones de trabajo operativas para el número único de seguridad y emergencias 123 de Bogotá.</w:t>
            </w:r>
          </w:p>
        </w:tc>
      </w:tr>
      <w:tr w:rsidR="006B728F" w:rsidRPr="00C9344A" w14:paraId="721D662A" w14:textId="77777777" w:rsidTr="002618C5">
        <w:trPr>
          <w:trHeight w:val="486"/>
        </w:trPr>
        <w:tc>
          <w:tcPr>
            <w:tcW w:w="5000" w:type="pct"/>
            <w:shd w:val="clear" w:color="auto" w:fill="auto"/>
            <w:vAlign w:val="center"/>
            <w:hideMark/>
          </w:tcPr>
          <w:p w14:paraId="635294A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Creación del Centro Distrital especializado de Inteligencia Artificial del Distrito.</w:t>
            </w:r>
          </w:p>
        </w:tc>
      </w:tr>
      <w:tr w:rsidR="006B728F" w:rsidRPr="00C9344A" w14:paraId="33B48C10" w14:textId="77777777" w:rsidTr="00DC1CFE">
        <w:trPr>
          <w:trHeight w:val="535"/>
        </w:trPr>
        <w:tc>
          <w:tcPr>
            <w:tcW w:w="5000" w:type="pct"/>
            <w:shd w:val="clear" w:color="auto" w:fill="auto"/>
            <w:vAlign w:val="center"/>
            <w:hideMark/>
          </w:tcPr>
          <w:p w14:paraId="6CE54C7F"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del conocimiento en tecnología aeroespacial en el Distrito- TUBESAT-UD.</w:t>
            </w:r>
          </w:p>
        </w:tc>
      </w:tr>
      <w:tr w:rsidR="006B728F" w:rsidRPr="00C9344A" w14:paraId="0ACBAB7B" w14:textId="77777777" w:rsidTr="00DC1CFE">
        <w:trPr>
          <w:trHeight w:val="542"/>
        </w:trPr>
        <w:tc>
          <w:tcPr>
            <w:tcW w:w="5000" w:type="pct"/>
            <w:shd w:val="clear" w:color="auto" w:fill="auto"/>
            <w:vAlign w:val="center"/>
            <w:hideMark/>
          </w:tcPr>
          <w:p w14:paraId="306E1941"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del conocimiento en tecnología aeroespacial en el Distrito Capital. COBOTLAB 4.0-UD.</w:t>
            </w:r>
          </w:p>
        </w:tc>
      </w:tr>
      <w:tr w:rsidR="006B728F" w:rsidRPr="00C9344A" w14:paraId="03093761" w14:textId="77777777" w:rsidTr="002618C5">
        <w:trPr>
          <w:trHeight w:val="395"/>
        </w:trPr>
        <w:tc>
          <w:tcPr>
            <w:tcW w:w="5000" w:type="pct"/>
            <w:shd w:val="clear" w:color="auto" w:fill="auto"/>
            <w:vAlign w:val="center"/>
            <w:hideMark/>
          </w:tcPr>
          <w:p w14:paraId="427E517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Movilidad inteligente: Mejorar la Movilidad Urbana con Tecnología Predictiva.</w:t>
            </w:r>
          </w:p>
        </w:tc>
      </w:tr>
      <w:tr w:rsidR="006B728F" w:rsidRPr="00C9344A" w14:paraId="3553D59B" w14:textId="77777777" w:rsidTr="002618C5">
        <w:trPr>
          <w:trHeight w:val="670"/>
        </w:trPr>
        <w:tc>
          <w:tcPr>
            <w:tcW w:w="5000" w:type="pct"/>
            <w:shd w:val="clear" w:color="auto" w:fill="auto"/>
            <w:vAlign w:val="center"/>
            <w:hideMark/>
          </w:tcPr>
          <w:p w14:paraId="139E273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lastRenderedPageBreak/>
              <w:t>Transformación dotacional en la red de unidades operativas de la Secretaría Distrital de Integración Social para el Bien-Estar de los beneficiarios de los Servicios Sociales.</w:t>
            </w:r>
          </w:p>
        </w:tc>
      </w:tr>
      <w:tr w:rsidR="006B728F" w:rsidRPr="00C9344A" w14:paraId="017DD5DE" w14:textId="77777777" w:rsidTr="002618C5">
        <w:trPr>
          <w:trHeight w:val="680"/>
        </w:trPr>
        <w:tc>
          <w:tcPr>
            <w:tcW w:w="5000" w:type="pct"/>
            <w:shd w:val="clear" w:color="auto" w:fill="auto"/>
            <w:vAlign w:val="center"/>
            <w:hideMark/>
          </w:tcPr>
          <w:p w14:paraId="6C367D9D"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 capacidades científicas para el desarrollo de aplicaciones de la computación cuántica en: ciberseguridad, análisis topológico de datos, inteligencia artificial y combinatoria en Colombia.</w:t>
            </w:r>
          </w:p>
        </w:tc>
      </w:tr>
      <w:tr w:rsidR="006B728F" w:rsidRPr="00C9344A" w14:paraId="49C77C20" w14:textId="77777777" w:rsidTr="00DC1CFE">
        <w:trPr>
          <w:trHeight w:val="1004"/>
        </w:trPr>
        <w:tc>
          <w:tcPr>
            <w:tcW w:w="5000" w:type="pct"/>
            <w:shd w:val="clear" w:color="auto" w:fill="auto"/>
            <w:vAlign w:val="center"/>
            <w:hideMark/>
          </w:tcPr>
          <w:p w14:paraId="5382536E"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Fortalecimiento del potencial agroindustrial de cereales y pseudocereales alto andinos cultivados en la región Centro Oriente mediante el desarrollo de nuevos productos y la implementación de tecnologías 4.0.</w:t>
            </w:r>
          </w:p>
        </w:tc>
      </w:tr>
      <w:tr w:rsidR="006B728F" w:rsidRPr="00C9344A" w14:paraId="49C9F607" w14:textId="77777777" w:rsidTr="002618C5">
        <w:trPr>
          <w:trHeight w:val="715"/>
        </w:trPr>
        <w:tc>
          <w:tcPr>
            <w:tcW w:w="5000" w:type="pct"/>
            <w:shd w:val="clear" w:color="auto" w:fill="auto"/>
            <w:vAlign w:val="center"/>
            <w:hideMark/>
          </w:tcPr>
          <w:p w14:paraId="04F1C2C7"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 una metodología para el diseño y fabricación de sistemas espaciales en Colombia, integrando las capacidades técnicas, científicas e industriales a nivel nacional.</w:t>
            </w:r>
          </w:p>
        </w:tc>
      </w:tr>
      <w:tr w:rsidR="006B728F" w:rsidRPr="00C9344A" w14:paraId="147C09C4" w14:textId="77777777" w:rsidTr="002618C5">
        <w:trPr>
          <w:trHeight w:val="472"/>
        </w:trPr>
        <w:tc>
          <w:tcPr>
            <w:tcW w:w="5000" w:type="pct"/>
            <w:shd w:val="clear" w:color="auto" w:fill="auto"/>
            <w:vAlign w:val="center"/>
            <w:hideMark/>
          </w:tcPr>
          <w:p w14:paraId="63F04B0C"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tecnologías para la medición y análisis de ruido ambiental.</w:t>
            </w:r>
          </w:p>
        </w:tc>
      </w:tr>
      <w:tr w:rsidR="006B728F" w:rsidRPr="00C9344A" w14:paraId="19990390" w14:textId="77777777" w:rsidTr="002618C5">
        <w:trPr>
          <w:trHeight w:val="480"/>
        </w:trPr>
        <w:tc>
          <w:tcPr>
            <w:tcW w:w="5000" w:type="pct"/>
            <w:shd w:val="clear" w:color="auto" w:fill="auto"/>
            <w:vAlign w:val="center"/>
            <w:hideMark/>
          </w:tcPr>
          <w:p w14:paraId="758F681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Implementación de centros de comando y control (C2) en las localidades de Bogotá para la seguridad.</w:t>
            </w:r>
          </w:p>
        </w:tc>
      </w:tr>
      <w:tr w:rsidR="006B728F" w:rsidRPr="00C9344A" w14:paraId="5D2F5E46" w14:textId="77777777" w:rsidTr="002618C5">
        <w:trPr>
          <w:trHeight w:val="758"/>
        </w:trPr>
        <w:tc>
          <w:tcPr>
            <w:tcW w:w="5000" w:type="pct"/>
            <w:shd w:val="clear" w:color="auto" w:fill="auto"/>
            <w:vAlign w:val="center"/>
            <w:hideMark/>
          </w:tcPr>
          <w:p w14:paraId="1E2A70A0"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Ampliación cobertura sistema de videovigilancia – SVV, con analítica de video para el fortalecimiento de la seguridad y convivencia ciudadana C4 – Bogotá.</w:t>
            </w:r>
          </w:p>
        </w:tc>
      </w:tr>
      <w:tr w:rsidR="006B728F" w:rsidRPr="00C9344A" w14:paraId="307F75CE" w14:textId="77777777" w:rsidTr="002618C5">
        <w:trPr>
          <w:trHeight w:val="614"/>
        </w:trPr>
        <w:tc>
          <w:tcPr>
            <w:tcW w:w="5000" w:type="pct"/>
            <w:shd w:val="clear" w:color="auto" w:fill="auto"/>
            <w:vAlign w:val="center"/>
            <w:hideMark/>
          </w:tcPr>
          <w:p w14:paraId="7D408D73"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e implementación de una herramienta para la modelación del Recurso Hídrico en el Distrito Capital.</w:t>
            </w:r>
          </w:p>
        </w:tc>
      </w:tr>
      <w:tr w:rsidR="006B728F" w:rsidRPr="00C9344A" w14:paraId="6E96017C" w14:textId="77777777" w:rsidTr="002618C5">
        <w:trPr>
          <w:trHeight w:val="470"/>
        </w:trPr>
        <w:tc>
          <w:tcPr>
            <w:tcW w:w="5000" w:type="pct"/>
            <w:shd w:val="clear" w:color="auto" w:fill="auto"/>
            <w:vAlign w:val="center"/>
            <w:hideMark/>
          </w:tcPr>
          <w:p w14:paraId="24D73196"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Desarrollo del catastro ambiental de suelos.</w:t>
            </w:r>
          </w:p>
        </w:tc>
      </w:tr>
      <w:tr w:rsidR="006B728F" w:rsidRPr="00C9344A" w14:paraId="74D5AE27" w14:textId="77777777" w:rsidTr="00DC1CFE">
        <w:trPr>
          <w:trHeight w:val="821"/>
        </w:trPr>
        <w:tc>
          <w:tcPr>
            <w:tcW w:w="5000" w:type="pct"/>
            <w:shd w:val="clear" w:color="auto" w:fill="auto"/>
            <w:vAlign w:val="center"/>
            <w:hideMark/>
          </w:tcPr>
          <w:p w14:paraId="0BC3E28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Modernización de la infraestructura tecnológica para la incorporación, saneamiento y sostenibilidad del espacio público.</w:t>
            </w:r>
          </w:p>
        </w:tc>
      </w:tr>
      <w:tr w:rsidR="006B728F" w:rsidRPr="00C9344A" w14:paraId="0AAF962A" w14:textId="77777777" w:rsidTr="00DC1CFE">
        <w:trPr>
          <w:trHeight w:val="535"/>
        </w:trPr>
        <w:tc>
          <w:tcPr>
            <w:tcW w:w="5000" w:type="pct"/>
            <w:shd w:val="clear" w:color="auto" w:fill="auto"/>
            <w:vAlign w:val="center"/>
            <w:hideMark/>
          </w:tcPr>
          <w:p w14:paraId="448703F5" w14:textId="77777777" w:rsidR="006B728F" w:rsidRPr="00C9344A" w:rsidRDefault="006B728F" w:rsidP="00DC1CFE">
            <w:pPr>
              <w:spacing w:line="240" w:lineRule="auto"/>
              <w:rPr>
                <w:color w:val="000000"/>
                <w:sz w:val="20"/>
                <w:szCs w:val="20"/>
                <w:lang w:eastAsia="es-CO"/>
              </w:rPr>
            </w:pPr>
            <w:r w:rsidRPr="00C9344A">
              <w:rPr>
                <w:color w:val="000000"/>
                <w:sz w:val="20"/>
                <w:szCs w:val="20"/>
                <w:lang w:eastAsia="es-CO"/>
              </w:rPr>
              <w:t>Construcción y dotación Centros Integrarte y Avanzar.</w:t>
            </w:r>
          </w:p>
        </w:tc>
      </w:tr>
    </w:tbl>
    <w:p w14:paraId="365A72ED" w14:textId="77777777" w:rsidR="00690C3C" w:rsidRDefault="00690C3C"/>
    <w:p w14:paraId="42314C9F" w14:textId="77777777" w:rsidR="001F3B3D" w:rsidRDefault="001F3B3D" w:rsidP="009E5627">
      <w:pPr>
        <w:spacing w:line="240" w:lineRule="auto"/>
        <w:jc w:val="left"/>
      </w:pPr>
    </w:p>
    <w:p w14:paraId="79FB55DE" w14:textId="77777777" w:rsidR="009C5901" w:rsidRDefault="009C5901" w:rsidP="009E5627">
      <w:pPr>
        <w:spacing w:line="240" w:lineRule="auto"/>
        <w:jc w:val="left"/>
      </w:pPr>
    </w:p>
    <w:p w14:paraId="3A1A0C60" w14:textId="77777777" w:rsidR="009C5901" w:rsidRDefault="009C5901" w:rsidP="009E5627">
      <w:pPr>
        <w:spacing w:line="240" w:lineRule="auto"/>
        <w:jc w:val="left"/>
        <w:sectPr w:rsidR="009C5901" w:rsidSect="00F7078E">
          <w:headerReference w:type="default" r:id="rId207"/>
          <w:type w:val="continuous"/>
          <w:pgSz w:w="12240" w:h="15840"/>
          <w:pgMar w:top="2262" w:right="1440" w:bottom="1440" w:left="1440" w:header="708" w:footer="708" w:gutter="0"/>
          <w:cols w:space="708"/>
          <w:docGrid w:linePitch="360"/>
        </w:sectPr>
      </w:pPr>
    </w:p>
    <w:p w14:paraId="5355CD4A" w14:textId="384608FB" w:rsidR="001F3B3D" w:rsidRDefault="001F3B3D" w:rsidP="001F3B3D">
      <w:pPr>
        <w:pStyle w:val="titulodocumento"/>
        <w:outlineLvl w:val="0"/>
        <w:rPr>
          <w:lang w:eastAsia="en-US"/>
        </w:rPr>
      </w:pPr>
      <w:bookmarkStart w:id="510" w:name="_Toc165169817"/>
      <w:r>
        <w:rPr>
          <w:lang w:eastAsia="en-US"/>
        </w:rPr>
        <w:lastRenderedPageBreak/>
        <w:t>VI. Anexos</w:t>
      </w:r>
      <w:bookmarkEnd w:id="510"/>
    </w:p>
    <w:p w14:paraId="556CD54A" w14:textId="77777777" w:rsidR="001F3B3D" w:rsidRDefault="001F3B3D" w:rsidP="00121C11">
      <w:pPr>
        <w:pStyle w:val="titulodocumento"/>
        <w:rPr>
          <w:lang w:eastAsia="en-US"/>
        </w:rPr>
      </w:pPr>
    </w:p>
    <w:p w14:paraId="59511F4E" w14:textId="7530AEAF" w:rsidR="001F3B3D" w:rsidRDefault="001F3B3D" w:rsidP="001F3B3D">
      <w:pPr>
        <w:rPr>
          <w:lang w:eastAsia="en-US"/>
        </w:rPr>
      </w:pPr>
      <w:r>
        <w:rPr>
          <w:lang w:eastAsia="en-US"/>
        </w:rPr>
        <w:t>Hacen parte integral del presente documento de Proyecto de Bases del Plan Distrital de Desarrollo los siguientes documentos:</w:t>
      </w:r>
    </w:p>
    <w:p w14:paraId="0E670FE0" w14:textId="77777777" w:rsidR="001F3B3D" w:rsidRDefault="001F3B3D" w:rsidP="001F3B3D">
      <w:pPr>
        <w:rPr>
          <w:lang w:eastAsia="en-US"/>
        </w:rPr>
      </w:pPr>
    </w:p>
    <w:p w14:paraId="3A6C3D91" w14:textId="3BC2EE84" w:rsidR="001F3B3D" w:rsidRDefault="001F3B3D" w:rsidP="001F3B3D">
      <w:pPr>
        <w:pStyle w:val="Prrafodelista"/>
        <w:numPr>
          <w:ilvl w:val="0"/>
          <w:numId w:val="75"/>
        </w:numPr>
        <w:rPr>
          <w:lang w:eastAsia="en-US"/>
        </w:rPr>
      </w:pPr>
      <w:r>
        <w:rPr>
          <w:lang w:eastAsia="en-US"/>
        </w:rPr>
        <w:t>Matriz Plan de Ordenamiento Territorial y Políticas Públicas (Archivo en Excel).</w:t>
      </w:r>
    </w:p>
    <w:p w14:paraId="32A3A6EE" w14:textId="2DD46724" w:rsidR="001F3B3D" w:rsidRDefault="001F3B3D" w:rsidP="001F3B3D">
      <w:pPr>
        <w:pStyle w:val="Prrafodelista"/>
        <w:numPr>
          <w:ilvl w:val="0"/>
          <w:numId w:val="75"/>
        </w:numPr>
        <w:rPr>
          <w:lang w:eastAsia="en-US"/>
        </w:rPr>
      </w:pPr>
      <w:r>
        <w:rPr>
          <w:lang w:eastAsia="en-US"/>
        </w:rPr>
        <w:t>Informe Infancia y Adolescencia en cumplimiento de la Ley 1098 de 2006 (Archivo en PDF).</w:t>
      </w:r>
    </w:p>
    <w:p w14:paraId="47819453" w14:textId="5B9A6592" w:rsidR="001F3B3D" w:rsidRDefault="001F3B3D" w:rsidP="001F3B3D">
      <w:pPr>
        <w:pStyle w:val="Prrafodelista"/>
        <w:numPr>
          <w:ilvl w:val="0"/>
          <w:numId w:val="75"/>
        </w:numPr>
        <w:rPr>
          <w:lang w:eastAsia="en-US"/>
        </w:rPr>
      </w:pPr>
      <w:r>
        <w:rPr>
          <w:lang w:eastAsia="en-US"/>
        </w:rPr>
        <w:t xml:space="preserve">Informe </w:t>
      </w:r>
      <w:r w:rsidR="00233991">
        <w:rPr>
          <w:lang w:eastAsia="en-US"/>
        </w:rPr>
        <w:t xml:space="preserve">de Participación Ciudadana en la Formulación </w:t>
      </w:r>
      <w:r>
        <w:rPr>
          <w:lang w:eastAsia="en-US"/>
        </w:rPr>
        <w:t>del Plan Distrital de Desarrollo (Archivo en PDF).</w:t>
      </w:r>
    </w:p>
    <w:p w14:paraId="4F367456" w14:textId="58FB6FFA" w:rsidR="001F3B3D" w:rsidRDefault="001F3B3D" w:rsidP="001F3B3D">
      <w:pPr>
        <w:pStyle w:val="Prrafodelista"/>
        <w:numPr>
          <w:ilvl w:val="0"/>
          <w:numId w:val="75"/>
        </w:numPr>
        <w:rPr>
          <w:lang w:eastAsia="en-US"/>
        </w:rPr>
      </w:pPr>
      <w:r>
        <w:rPr>
          <w:lang w:eastAsia="en-US"/>
        </w:rPr>
        <w:t>Plan Territorial de Salud (Archivo en PDF).</w:t>
      </w:r>
    </w:p>
    <w:p w14:paraId="6DE42572" w14:textId="77777777" w:rsidR="001F3B3D" w:rsidRPr="00510B62" w:rsidRDefault="001F3B3D" w:rsidP="001F3B3D">
      <w:pPr>
        <w:rPr>
          <w:lang w:eastAsia="en-US"/>
        </w:rPr>
      </w:pPr>
    </w:p>
    <w:p w14:paraId="719E64E7" w14:textId="77777777" w:rsidR="009C5901" w:rsidRDefault="00690C3C" w:rsidP="009E5627">
      <w:pPr>
        <w:spacing w:line="240" w:lineRule="auto"/>
        <w:jc w:val="left"/>
        <w:sectPr w:rsidR="009C5901" w:rsidSect="00F7078E">
          <w:headerReference w:type="default" r:id="rId208"/>
          <w:pgSz w:w="12240" w:h="15840"/>
          <w:pgMar w:top="2262" w:right="1440" w:bottom="1440" w:left="1440" w:header="708" w:footer="708" w:gutter="0"/>
          <w:cols w:space="708"/>
          <w:docGrid w:linePitch="360"/>
        </w:sectPr>
      </w:pPr>
      <w:r>
        <w:br w:type="page"/>
      </w:r>
    </w:p>
    <w:p w14:paraId="15F60C9E" w14:textId="71ABDADF" w:rsidR="00690C3C" w:rsidRDefault="009C5901" w:rsidP="009E5627">
      <w:pPr>
        <w:spacing w:line="240" w:lineRule="auto"/>
        <w:jc w:val="left"/>
      </w:pPr>
      <w:r>
        <w:rPr>
          <w:rFonts w:cs="Times New Roman (Cuerpo en alfa"/>
          <w:noProof/>
          <w:spacing w:val="-10"/>
          <w:lang w:eastAsia="es-CO"/>
        </w:rPr>
        <w:lastRenderedPageBreak/>
        <w:drawing>
          <wp:anchor distT="0" distB="0" distL="114300" distR="114300" simplePos="0" relativeHeight="251863040" behindDoc="0" locked="0" layoutInCell="1" allowOverlap="1" wp14:anchorId="2D53B17C" wp14:editId="68F88A54">
            <wp:simplePos x="0" y="0"/>
            <wp:positionH relativeFrom="page">
              <wp:align>right</wp:align>
            </wp:positionH>
            <wp:positionV relativeFrom="paragraph">
              <wp:posOffset>-1438910</wp:posOffset>
            </wp:positionV>
            <wp:extent cx="7775660" cy="10062256"/>
            <wp:effectExtent l="0" t="0" r="0" b="0"/>
            <wp:wrapNone/>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7775660" cy="10062256"/>
                    </a:xfrm>
                    <a:prstGeom prst="rect">
                      <a:avLst/>
                    </a:prstGeom>
                  </pic:spPr>
                </pic:pic>
              </a:graphicData>
            </a:graphic>
            <wp14:sizeRelH relativeFrom="page">
              <wp14:pctWidth>0</wp14:pctWidth>
            </wp14:sizeRelH>
            <wp14:sizeRelV relativeFrom="page">
              <wp14:pctHeight>0</wp14:pctHeight>
            </wp14:sizeRelV>
          </wp:anchor>
        </w:drawing>
      </w:r>
    </w:p>
    <w:tbl>
      <w:tblPr>
        <w:tblW w:w="5000" w:type="pct"/>
        <w:tblBorders>
          <w:bottom w:val="double" w:sz="4" w:space="0" w:color="C00000"/>
          <w:insideH w:val="double" w:sz="4" w:space="0" w:color="C00000"/>
          <w:insideV w:val="double" w:sz="4" w:space="0" w:color="C00000"/>
        </w:tblBorders>
        <w:tblCellMar>
          <w:left w:w="70" w:type="dxa"/>
          <w:right w:w="70" w:type="dxa"/>
        </w:tblCellMar>
        <w:tblLook w:val="04A0" w:firstRow="1" w:lastRow="0" w:firstColumn="1" w:lastColumn="0" w:noHBand="0" w:noVBand="1"/>
      </w:tblPr>
      <w:tblGrid>
        <w:gridCol w:w="9360"/>
      </w:tblGrid>
      <w:tr w:rsidR="006B728F" w:rsidRPr="00C9344A" w14:paraId="31E82F46" w14:textId="77777777" w:rsidTr="00DC1CFE">
        <w:trPr>
          <w:trHeight w:val="542"/>
        </w:trPr>
        <w:tc>
          <w:tcPr>
            <w:tcW w:w="5000" w:type="pct"/>
            <w:shd w:val="clear" w:color="auto" w:fill="auto"/>
            <w:vAlign w:val="center"/>
            <w:hideMark/>
          </w:tcPr>
          <w:p w14:paraId="0D2079AA" w14:textId="7ACFEE4D" w:rsidR="006B728F" w:rsidRPr="00C9344A" w:rsidRDefault="006B728F" w:rsidP="00DC1CFE">
            <w:pPr>
              <w:spacing w:line="240" w:lineRule="auto"/>
              <w:rPr>
                <w:color w:val="000000"/>
                <w:sz w:val="20"/>
                <w:szCs w:val="20"/>
                <w:lang w:eastAsia="es-CO"/>
              </w:rPr>
            </w:pPr>
            <w:r w:rsidRPr="00C9344A">
              <w:rPr>
                <w:color w:val="000000"/>
                <w:sz w:val="20"/>
                <w:szCs w:val="20"/>
                <w:lang w:eastAsia="es-CO"/>
              </w:rPr>
              <w:t>Quinta versión de la Encuesta Multipropósito Bogotá-Cundinamarca.</w:t>
            </w:r>
          </w:p>
        </w:tc>
      </w:tr>
    </w:tbl>
    <w:p w14:paraId="336A52F8" w14:textId="598C2D1F" w:rsidR="006B728F" w:rsidRPr="00C9344A" w:rsidRDefault="006B728F" w:rsidP="00133721">
      <w:pPr>
        <w:spacing w:line="240" w:lineRule="auto"/>
        <w:rPr>
          <w:color w:val="auto"/>
          <w:sz w:val="20"/>
          <w:szCs w:val="20"/>
          <w:lang w:eastAsia="es-CO"/>
        </w:rPr>
      </w:pPr>
    </w:p>
    <w:p w14:paraId="10FDB2F6" w14:textId="5349BF62" w:rsidR="006B728F" w:rsidRPr="00BF29AB" w:rsidRDefault="006B728F" w:rsidP="004A7DBC">
      <w:pPr>
        <w:contextualSpacing/>
        <w:rPr>
          <w:rFonts w:cs="Times New Roman (Cuerpo en alfa"/>
          <w:spacing w:val="-10"/>
          <w:lang w:eastAsia="es-CO"/>
        </w:rPr>
      </w:pPr>
    </w:p>
    <w:p w14:paraId="152B5F2D" w14:textId="0C561FEE" w:rsidR="005312FB" w:rsidRDefault="005312FB" w:rsidP="005312FB">
      <w:pPr>
        <w:tabs>
          <w:tab w:val="left" w:pos="2484"/>
        </w:tabs>
        <w:jc w:val="left"/>
      </w:pPr>
      <w:r>
        <w:br w:type="page"/>
      </w:r>
    </w:p>
    <w:p w14:paraId="4D0680CB" w14:textId="77777777" w:rsidR="00FE4135" w:rsidRPr="00FB71FD" w:rsidRDefault="00FE4135" w:rsidP="008D16A7">
      <w:pPr>
        <w:rPr>
          <w:spacing w:val="-10"/>
        </w:rPr>
      </w:pPr>
      <w:r w:rsidRPr="00FB71FD">
        <w:rPr>
          <w:noProof/>
          <w:spacing w:val="-10"/>
        </w:rPr>
        <w:lastRenderedPageBreak/>
        <w:drawing>
          <wp:anchor distT="0" distB="0" distL="114300" distR="114300" simplePos="0" relativeHeight="251866112" behindDoc="1" locked="0" layoutInCell="1" allowOverlap="1" wp14:anchorId="60DE9C2F" wp14:editId="3EE70FB1">
            <wp:simplePos x="0" y="0"/>
            <wp:positionH relativeFrom="column">
              <wp:posOffset>3810</wp:posOffset>
            </wp:positionH>
            <wp:positionV relativeFrom="paragraph">
              <wp:posOffset>-1620520</wp:posOffset>
            </wp:positionV>
            <wp:extent cx="5932800" cy="2241072"/>
            <wp:effectExtent l="0" t="0" r="0" b="6985"/>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10">
                      <a:extLst>
                        <a:ext uri="{28A0092B-C50C-407E-A947-70E740481C1C}">
                          <a14:useLocalDpi xmlns:a14="http://schemas.microsoft.com/office/drawing/2010/main" val="0"/>
                        </a:ext>
                      </a:extLst>
                    </a:blip>
                    <a:stretch>
                      <a:fillRect/>
                    </a:stretch>
                  </pic:blipFill>
                  <pic:spPr>
                    <a:xfrm>
                      <a:off x="0" y="0"/>
                      <a:ext cx="5932800" cy="2241072"/>
                    </a:xfrm>
                    <a:prstGeom prst="rect">
                      <a:avLst/>
                    </a:prstGeom>
                  </pic:spPr>
                </pic:pic>
              </a:graphicData>
            </a:graphic>
            <wp14:sizeRelH relativeFrom="page">
              <wp14:pctWidth>0</wp14:pctWidth>
            </wp14:sizeRelH>
            <wp14:sizeRelV relativeFrom="page">
              <wp14:pctHeight>0</wp14:pctHeight>
            </wp14:sizeRelV>
          </wp:anchor>
        </w:drawing>
      </w:r>
      <w:r w:rsidRPr="00FB71FD">
        <w:rPr>
          <w:noProof/>
          <w:spacing w:val="-10"/>
        </w:rPr>
        <w:drawing>
          <wp:anchor distT="0" distB="0" distL="114300" distR="114300" simplePos="0" relativeHeight="251865088" behindDoc="1" locked="0" layoutInCell="1" allowOverlap="1" wp14:anchorId="35386483" wp14:editId="4F74C191">
            <wp:simplePos x="0" y="0"/>
            <wp:positionH relativeFrom="column">
              <wp:posOffset>3810</wp:posOffset>
            </wp:positionH>
            <wp:positionV relativeFrom="paragraph">
              <wp:posOffset>-1604719</wp:posOffset>
            </wp:positionV>
            <wp:extent cx="5612127" cy="2118302"/>
            <wp:effectExtent l="0" t="0" r="1905" b="3175"/>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211">
                      <a:extLst>
                        <a:ext uri="{28A0092B-C50C-407E-A947-70E740481C1C}">
                          <a14:useLocalDpi xmlns:a14="http://schemas.microsoft.com/office/drawing/2010/main" val="0"/>
                        </a:ext>
                      </a:extLst>
                    </a:blip>
                    <a:stretch>
                      <a:fillRect/>
                    </a:stretch>
                  </pic:blipFill>
                  <pic:spPr>
                    <a:xfrm>
                      <a:off x="0" y="0"/>
                      <a:ext cx="5612127" cy="2118302"/>
                    </a:xfrm>
                    <a:prstGeom prst="rect">
                      <a:avLst/>
                    </a:prstGeom>
                  </pic:spPr>
                </pic:pic>
              </a:graphicData>
            </a:graphic>
            <wp14:sizeRelH relativeFrom="page">
              <wp14:pctWidth>0</wp14:pctWidth>
            </wp14:sizeRelH>
            <wp14:sizeRelV relativeFrom="page">
              <wp14:pctHeight>0</wp14:pctHeight>
            </wp14:sizeRelV>
          </wp:anchor>
        </w:drawing>
      </w:r>
      <w:bookmarkStart w:id="511" w:name="OLE_LINK2"/>
    </w:p>
    <w:p w14:paraId="0D87C7FC" w14:textId="77777777" w:rsidR="00FE4135" w:rsidRPr="00FB71FD" w:rsidRDefault="00FE4135" w:rsidP="00221BD6">
      <w:pPr>
        <w:pStyle w:val="titulodocumento"/>
      </w:pPr>
    </w:p>
    <w:p w14:paraId="2D0FD907" w14:textId="77777777" w:rsidR="00FE4135" w:rsidRPr="00FB71FD" w:rsidRDefault="00FE4135" w:rsidP="00221BD6">
      <w:pPr>
        <w:pStyle w:val="titulodocumento"/>
      </w:pPr>
    </w:p>
    <w:p w14:paraId="5405AA26" w14:textId="5656E923" w:rsidR="00FE4135" w:rsidRPr="00510B62" w:rsidRDefault="00510B62" w:rsidP="00510B62">
      <w:pPr>
        <w:pStyle w:val="titulodocumento"/>
        <w:outlineLvl w:val="0"/>
        <w:rPr>
          <w:lang w:eastAsia="en-US"/>
        </w:rPr>
      </w:pPr>
      <w:bookmarkStart w:id="512" w:name="_Toc165169818"/>
      <w:r>
        <w:rPr>
          <w:lang w:eastAsia="en-US"/>
        </w:rPr>
        <w:t>VI</w:t>
      </w:r>
      <w:r w:rsidR="001F3B3D">
        <w:rPr>
          <w:lang w:eastAsia="en-US"/>
        </w:rPr>
        <w:t>I</w:t>
      </w:r>
      <w:r>
        <w:rPr>
          <w:lang w:eastAsia="en-US"/>
        </w:rPr>
        <w:t xml:space="preserve">. </w:t>
      </w:r>
      <w:r w:rsidR="00FE4135" w:rsidRPr="00510B62">
        <w:rPr>
          <w:lang w:eastAsia="en-US"/>
        </w:rPr>
        <w:t>Bibliografía</w:t>
      </w:r>
      <w:bookmarkEnd w:id="512"/>
    </w:p>
    <w:p w14:paraId="785D4E04" w14:textId="77777777" w:rsidR="00FE4135" w:rsidRPr="00FB71FD" w:rsidRDefault="00FE4135" w:rsidP="00221BD6">
      <w:pPr>
        <w:jc w:val="left"/>
        <w:rPr>
          <w:spacing w:val="-10"/>
          <w:lang w:val="es-ES"/>
        </w:rPr>
      </w:pPr>
    </w:p>
    <w:p w14:paraId="2E86E3F8" w14:textId="77777777" w:rsidR="00FE4135" w:rsidRPr="00FB71FD" w:rsidRDefault="00FE4135" w:rsidP="00221BD6">
      <w:pPr>
        <w:pStyle w:val="figuratitulo"/>
        <w:jc w:val="left"/>
        <w:rPr>
          <w:b/>
          <w:bCs/>
          <w:color w:val="3B3838" w:themeColor="background2" w:themeShade="40"/>
          <w:spacing w:val="-10"/>
        </w:rPr>
      </w:pPr>
    </w:p>
    <w:p w14:paraId="07E465F5" w14:textId="77777777" w:rsidR="00FE4135" w:rsidRPr="00FB71FD" w:rsidRDefault="00FE4135" w:rsidP="00221BD6">
      <w:pPr>
        <w:pStyle w:val="Bullets"/>
        <w:jc w:val="left"/>
        <w:rPr>
          <w:spacing w:val="-10"/>
        </w:rPr>
      </w:pPr>
      <w:r w:rsidRPr="00FB71FD">
        <w:rPr>
          <w:spacing w:val="-10"/>
        </w:rPr>
        <w:t xml:space="preserve">Abellán, A., &amp; Pérez, J. (2018). Demografía y problemas sociales. Recuperado de </w:t>
      </w:r>
      <w:hyperlink r:id="rId212" w:anchor="page=24" w:history="1">
        <w:r w:rsidRPr="004E557F">
          <w:rPr>
            <w:rStyle w:val="Hipervnculo"/>
          </w:rPr>
          <w:t>https://revistatiempodepaz.org/wp-content/uploads/2019/04/TP-130-Demograf%C3%ADa-y-Problemas-Sociales.pdf#page=24</w:t>
        </w:r>
      </w:hyperlink>
    </w:p>
    <w:p w14:paraId="602818B5" w14:textId="77777777" w:rsidR="00FE4135" w:rsidRPr="00FB71FD" w:rsidRDefault="00FE4135" w:rsidP="00221BD6">
      <w:pPr>
        <w:pStyle w:val="Bullets"/>
        <w:numPr>
          <w:ilvl w:val="0"/>
          <w:numId w:val="0"/>
        </w:numPr>
        <w:ind w:left="714"/>
        <w:jc w:val="left"/>
        <w:rPr>
          <w:spacing w:val="-10"/>
        </w:rPr>
      </w:pPr>
    </w:p>
    <w:p w14:paraId="7D48B423" w14:textId="77777777" w:rsidR="00FE4135" w:rsidRPr="00FB71FD" w:rsidRDefault="00FE4135" w:rsidP="00221BD6">
      <w:pPr>
        <w:pStyle w:val="Bullets"/>
        <w:jc w:val="left"/>
        <w:rPr>
          <w:spacing w:val="-10"/>
        </w:rPr>
      </w:pPr>
      <w:r w:rsidRPr="00FB71FD">
        <w:rPr>
          <w:spacing w:val="-10"/>
        </w:rPr>
        <w:t>Acuerdo 781 de 2020 Concejo de Bogotá, D.C. "Por el cual se autoriza un cupo de endeudamiento para la Administración Central y los Establecimientos Públicos del Distrito Capital y se dictan otras disposiciones"</w:t>
      </w:r>
    </w:p>
    <w:p w14:paraId="6933A17E" w14:textId="77777777" w:rsidR="00FE4135" w:rsidRPr="00FB71FD" w:rsidRDefault="00FE4135" w:rsidP="00221BD6">
      <w:pPr>
        <w:pStyle w:val="Bullets"/>
        <w:numPr>
          <w:ilvl w:val="0"/>
          <w:numId w:val="0"/>
        </w:numPr>
        <w:ind w:left="714"/>
        <w:jc w:val="left"/>
        <w:rPr>
          <w:spacing w:val="-10"/>
        </w:rPr>
      </w:pPr>
    </w:p>
    <w:p w14:paraId="7CC7457F" w14:textId="77777777" w:rsidR="00FE4135" w:rsidRPr="00FB71FD" w:rsidRDefault="00FE4135" w:rsidP="00221BD6">
      <w:pPr>
        <w:pStyle w:val="Bullets"/>
        <w:jc w:val="left"/>
        <w:rPr>
          <w:spacing w:val="-10"/>
        </w:rPr>
      </w:pPr>
      <w:r w:rsidRPr="00FB71FD">
        <w:rPr>
          <w:spacing w:val="-10"/>
        </w:rPr>
        <w:t>Acuerdo 840 de 2022 Concejo de Bogotá, D.C. "Por el cual se autoriza un cupo de endeudamiento para la administración central y los establecimientos públicos del Distrito Capital y a la Empresa de Acueducto y Alcantarillado de Bogotá (EAAB) – ESP y se dictan otras disposiciones"</w:t>
      </w:r>
    </w:p>
    <w:p w14:paraId="03C21A78" w14:textId="77777777" w:rsidR="00FE4135" w:rsidRPr="00FB71FD" w:rsidRDefault="00FE4135" w:rsidP="00221BD6">
      <w:pPr>
        <w:pStyle w:val="Bullets"/>
        <w:numPr>
          <w:ilvl w:val="0"/>
          <w:numId w:val="0"/>
        </w:numPr>
        <w:ind w:left="714"/>
        <w:jc w:val="left"/>
        <w:rPr>
          <w:spacing w:val="-10"/>
        </w:rPr>
      </w:pPr>
    </w:p>
    <w:p w14:paraId="487E0E7D" w14:textId="77777777" w:rsidR="00FE4135" w:rsidRPr="00FB71FD" w:rsidRDefault="00FE4135" w:rsidP="00221BD6">
      <w:pPr>
        <w:pStyle w:val="Bullets"/>
        <w:jc w:val="left"/>
        <w:rPr>
          <w:spacing w:val="-10"/>
        </w:rPr>
      </w:pPr>
      <w:r w:rsidRPr="00FB71FD">
        <w:rPr>
          <w:spacing w:val="-10"/>
        </w:rPr>
        <w:t>Aerocivil. (2020). Actualización del Plan Maestro del Aeropuerto El Dorado. Aeronáutica Civil, Unidad Administrativa Especial. Aeronáutica Civil de Colombia.</w:t>
      </w:r>
    </w:p>
    <w:p w14:paraId="26FEA149" w14:textId="77777777" w:rsidR="00FE4135" w:rsidRPr="00FB71FD" w:rsidRDefault="00FE4135" w:rsidP="00221BD6">
      <w:pPr>
        <w:pStyle w:val="Bullets"/>
        <w:numPr>
          <w:ilvl w:val="0"/>
          <w:numId w:val="0"/>
        </w:numPr>
        <w:ind w:left="714"/>
        <w:jc w:val="left"/>
        <w:rPr>
          <w:spacing w:val="-10"/>
        </w:rPr>
      </w:pPr>
    </w:p>
    <w:p w14:paraId="117E3920" w14:textId="77777777" w:rsidR="00FE4135" w:rsidRPr="00FB71FD" w:rsidRDefault="00FE4135" w:rsidP="00221BD6">
      <w:pPr>
        <w:pStyle w:val="Bullets"/>
        <w:jc w:val="left"/>
        <w:rPr>
          <w:spacing w:val="-10"/>
        </w:rPr>
      </w:pPr>
      <w:r w:rsidRPr="00FB71FD">
        <w:rPr>
          <w:spacing w:val="-10"/>
        </w:rPr>
        <w:t>Alcaldía Mayor de Bogotá D.C. (2021). Política Pública de Mujer y Equidad de Género.</w:t>
      </w:r>
    </w:p>
    <w:p w14:paraId="32623EAB" w14:textId="77777777" w:rsidR="00FE4135" w:rsidRPr="00FB71FD" w:rsidRDefault="00FE4135" w:rsidP="00221BD6">
      <w:pPr>
        <w:pStyle w:val="Bullets"/>
        <w:numPr>
          <w:ilvl w:val="0"/>
          <w:numId w:val="0"/>
        </w:numPr>
        <w:ind w:left="714"/>
        <w:jc w:val="left"/>
        <w:rPr>
          <w:spacing w:val="-10"/>
        </w:rPr>
      </w:pPr>
    </w:p>
    <w:p w14:paraId="7E0AE8E1" w14:textId="77777777" w:rsidR="00FE4135" w:rsidRPr="00FB71FD" w:rsidRDefault="00FE4135" w:rsidP="00221BD6">
      <w:pPr>
        <w:pStyle w:val="Bullets"/>
        <w:jc w:val="left"/>
        <w:rPr>
          <w:spacing w:val="-10"/>
        </w:rPr>
      </w:pPr>
      <w:r w:rsidRPr="00FB71FD">
        <w:rPr>
          <w:spacing w:val="-10"/>
        </w:rPr>
        <w:t>Alcaldía Mayor de Bogotá D.C. (2023). DECRETO 537 DE 2023. Política Pública Distrital de Seguridad, Convivencia, Justicia y Construcción de Paz y Reconciliación (2023-2038).</w:t>
      </w:r>
    </w:p>
    <w:p w14:paraId="0394F9E0" w14:textId="77777777" w:rsidR="00FE4135" w:rsidRPr="00FB71FD" w:rsidRDefault="00FE4135" w:rsidP="00221BD6">
      <w:pPr>
        <w:pStyle w:val="Bullets"/>
        <w:numPr>
          <w:ilvl w:val="0"/>
          <w:numId w:val="0"/>
        </w:numPr>
        <w:ind w:left="714"/>
        <w:jc w:val="left"/>
        <w:rPr>
          <w:spacing w:val="-10"/>
        </w:rPr>
      </w:pPr>
    </w:p>
    <w:p w14:paraId="0542BCDA" w14:textId="77777777" w:rsidR="00FE4135" w:rsidRPr="00FB71FD" w:rsidRDefault="00FE4135" w:rsidP="00221BD6">
      <w:pPr>
        <w:pStyle w:val="Bullets"/>
        <w:jc w:val="left"/>
        <w:rPr>
          <w:spacing w:val="-10"/>
        </w:rPr>
      </w:pPr>
      <w:r w:rsidRPr="00FB71FD">
        <w:rPr>
          <w:spacing w:val="-10"/>
        </w:rPr>
        <w:t xml:space="preserve">Alcaldía Mayor de Bogotá. (12 de Agosto de 2020). Plan sectorial de Educación: la educación en primer lugar 2020 - 2024. Recuperado de </w:t>
      </w:r>
      <w:hyperlink r:id="rId213" w:history="1">
        <w:r w:rsidRPr="004E557F">
          <w:rPr>
            <w:rStyle w:val="Hipervnculo"/>
          </w:rPr>
          <w:t>https://repositoriosed.educacionbogota.edu.co/entities/publication/7c57a4db-c37f-4227-b565-1acc862ed58d</w:t>
        </w:r>
      </w:hyperlink>
    </w:p>
    <w:p w14:paraId="6C53ACB1" w14:textId="77777777" w:rsidR="00FE4135" w:rsidRPr="00FB71FD" w:rsidRDefault="00FE4135" w:rsidP="00221BD6">
      <w:pPr>
        <w:pStyle w:val="Bullets"/>
        <w:numPr>
          <w:ilvl w:val="0"/>
          <w:numId w:val="0"/>
        </w:numPr>
        <w:ind w:left="714"/>
        <w:jc w:val="left"/>
        <w:rPr>
          <w:spacing w:val="-10"/>
        </w:rPr>
      </w:pPr>
    </w:p>
    <w:p w14:paraId="6114F6AA" w14:textId="77777777" w:rsidR="00FE4135" w:rsidRPr="00FB71FD" w:rsidRDefault="00FE4135" w:rsidP="00221BD6">
      <w:pPr>
        <w:pStyle w:val="Bullets"/>
        <w:jc w:val="left"/>
        <w:rPr>
          <w:spacing w:val="-10"/>
        </w:rPr>
      </w:pPr>
      <w:r w:rsidRPr="00FB71FD">
        <w:rPr>
          <w:spacing w:val="-10"/>
        </w:rPr>
        <w:t xml:space="preserve">Alcaldía mayor de Bogotá. CONPES 34. Política Pública Distrital de Salud Mental 2023 –2032. Recuperado de </w:t>
      </w:r>
      <w:hyperlink r:id="rId214" w:history="1">
        <w:r w:rsidRPr="004E557F">
          <w:rPr>
            <w:rStyle w:val="Hipervnculo"/>
          </w:rPr>
          <w:t>https://www.alcaldiabogota.gov.co/sisjur/normas/Norma1.jsp?i=150858</w:t>
        </w:r>
      </w:hyperlink>
    </w:p>
    <w:p w14:paraId="7C47B50A" w14:textId="77777777" w:rsidR="00FE4135" w:rsidRPr="00FB71FD" w:rsidRDefault="00FE4135" w:rsidP="00221BD6">
      <w:pPr>
        <w:pStyle w:val="Bullets"/>
        <w:numPr>
          <w:ilvl w:val="0"/>
          <w:numId w:val="0"/>
        </w:numPr>
        <w:ind w:left="714"/>
        <w:jc w:val="left"/>
        <w:rPr>
          <w:spacing w:val="-10"/>
        </w:rPr>
      </w:pPr>
    </w:p>
    <w:p w14:paraId="65F9464E" w14:textId="77777777" w:rsidR="00FE4135" w:rsidRPr="00FB71FD" w:rsidRDefault="00FE4135" w:rsidP="00221BD6">
      <w:pPr>
        <w:pStyle w:val="Bullets"/>
        <w:jc w:val="left"/>
        <w:rPr>
          <w:spacing w:val="-10"/>
        </w:rPr>
      </w:pPr>
      <w:r w:rsidRPr="00FB71FD">
        <w:rPr>
          <w:spacing w:val="-10"/>
        </w:rPr>
        <w:t>Aleph. (2021). ¿Cuáles son las principales causas de la vulnerabilidad?</w:t>
      </w:r>
    </w:p>
    <w:p w14:paraId="270AF9FA" w14:textId="77777777" w:rsidR="00FE4135" w:rsidRPr="00FB71FD" w:rsidRDefault="00FE4135" w:rsidP="00221BD6">
      <w:pPr>
        <w:pStyle w:val="Bullets"/>
        <w:numPr>
          <w:ilvl w:val="0"/>
          <w:numId w:val="0"/>
        </w:numPr>
        <w:ind w:left="714"/>
        <w:jc w:val="left"/>
        <w:rPr>
          <w:spacing w:val="-10"/>
        </w:rPr>
      </w:pPr>
    </w:p>
    <w:p w14:paraId="6B24A4EA" w14:textId="77777777" w:rsidR="00FE4135" w:rsidRPr="00FB71FD" w:rsidRDefault="00FE4135" w:rsidP="00221BD6">
      <w:pPr>
        <w:pStyle w:val="Bullets"/>
        <w:jc w:val="left"/>
        <w:rPr>
          <w:spacing w:val="-10"/>
        </w:rPr>
      </w:pPr>
      <w:r w:rsidRPr="00FB71FD">
        <w:rPr>
          <w:spacing w:val="-10"/>
        </w:rPr>
        <w:t xml:space="preserve">ANDEMOS. (2020). Sector Automotor. Anuario 2021. Asociación Nacional de Movilidad Sostenible. Recuperado de </w:t>
      </w:r>
      <w:hyperlink r:id="rId215" w:history="1">
        <w:r w:rsidRPr="004E557F">
          <w:rPr>
            <w:rStyle w:val="Hipervnculo"/>
          </w:rPr>
          <w:t>https://www.andemos.org/_files/ugd/d1a7a0_5fa60345bc314c318f129029fa63f50a.pdf</w:t>
        </w:r>
      </w:hyperlink>
    </w:p>
    <w:p w14:paraId="77D78E94" w14:textId="77777777" w:rsidR="00FE4135" w:rsidRPr="00FB71FD" w:rsidRDefault="00FE4135" w:rsidP="00221BD6">
      <w:pPr>
        <w:pStyle w:val="Bullets"/>
        <w:numPr>
          <w:ilvl w:val="0"/>
          <w:numId w:val="0"/>
        </w:numPr>
        <w:ind w:left="714"/>
        <w:jc w:val="left"/>
        <w:rPr>
          <w:spacing w:val="-10"/>
        </w:rPr>
      </w:pPr>
    </w:p>
    <w:p w14:paraId="2385C16C" w14:textId="77777777" w:rsidR="00FE4135" w:rsidRPr="00FB71FD" w:rsidRDefault="00FE4135" w:rsidP="00221BD6">
      <w:pPr>
        <w:pStyle w:val="Bullets"/>
        <w:jc w:val="left"/>
        <w:rPr>
          <w:spacing w:val="-10"/>
        </w:rPr>
      </w:pPr>
      <w:r w:rsidRPr="00FB71FD">
        <w:rPr>
          <w:spacing w:val="-10"/>
        </w:rPr>
        <w:t xml:space="preserve">ATENEA. (2023). Agencia Distrital para la Educación Superior, la Ciencia y la Tecnología. Recuperado de </w:t>
      </w:r>
      <w:hyperlink r:id="rId216" w:history="1">
        <w:r w:rsidRPr="004E557F">
          <w:rPr>
            <w:rStyle w:val="Hipervnculo"/>
          </w:rPr>
          <w:t>https://agenciaatenea.gov.co/noticias/construccion-y-operacion-del-campus-de-ciencia-tecnologia-e-innovacion-de-bogota-region-es-una</w:t>
        </w:r>
      </w:hyperlink>
    </w:p>
    <w:p w14:paraId="5D5A173C" w14:textId="77777777" w:rsidR="00FE4135" w:rsidRPr="00FB71FD" w:rsidRDefault="00FE4135" w:rsidP="00221BD6">
      <w:pPr>
        <w:pStyle w:val="Bullets"/>
        <w:numPr>
          <w:ilvl w:val="0"/>
          <w:numId w:val="0"/>
        </w:numPr>
        <w:ind w:left="714"/>
        <w:jc w:val="left"/>
        <w:rPr>
          <w:spacing w:val="-10"/>
        </w:rPr>
      </w:pPr>
    </w:p>
    <w:p w14:paraId="643A522E" w14:textId="77777777" w:rsidR="00FE4135" w:rsidRPr="00FB71FD" w:rsidRDefault="00FE4135" w:rsidP="00221BD6">
      <w:pPr>
        <w:pStyle w:val="Bullets"/>
        <w:jc w:val="left"/>
        <w:rPr>
          <w:spacing w:val="-10"/>
        </w:rPr>
      </w:pPr>
      <w:r w:rsidRPr="00FB71FD">
        <w:rPr>
          <w:spacing w:val="-10"/>
          <w:lang w:val="en-US"/>
        </w:rPr>
        <w:lastRenderedPageBreak/>
        <w:t xml:space="preserve">Azevedo, J. P., Goldemberg, D., Montoya, S., Nayar, R., Rogers, H., Saavedra, J., &amp; Stacy, B. W. (2021). </w:t>
      </w:r>
      <w:r w:rsidRPr="00FB71FD">
        <w:rPr>
          <w:spacing w:val="-10"/>
        </w:rPr>
        <w:t>¿Todos los niños podrán leer para el año 2030?: Definición de pobreza de aprendizajes y un mapeo de la magnitud del desafío. Washington, DC: World Bank.</w:t>
      </w:r>
    </w:p>
    <w:p w14:paraId="2C6F9271" w14:textId="77777777" w:rsidR="00FE4135" w:rsidRPr="00FB71FD" w:rsidRDefault="00FE4135" w:rsidP="00221BD6">
      <w:pPr>
        <w:pStyle w:val="Bullets"/>
        <w:numPr>
          <w:ilvl w:val="0"/>
          <w:numId w:val="0"/>
        </w:numPr>
        <w:jc w:val="left"/>
        <w:rPr>
          <w:spacing w:val="-10"/>
        </w:rPr>
      </w:pPr>
    </w:p>
    <w:p w14:paraId="4F51C9D3" w14:textId="77777777" w:rsidR="00FE4135" w:rsidRPr="00FB71FD" w:rsidRDefault="00FE4135" w:rsidP="00221BD6">
      <w:pPr>
        <w:pStyle w:val="Bullets"/>
        <w:jc w:val="left"/>
        <w:rPr>
          <w:spacing w:val="-10"/>
        </w:rPr>
      </w:pPr>
      <w:r w:rsidRPr="00FB71FD">
        <w:rPr>
          <w:spacing w:val="-10"/>
        </w:rPr>
        <w:t xml:space="preserve">Bahamón, A. (2023). Análisis integral del mercado de mascotas en Colombia: enfoque en servicios especializados y su contribución al crecimiento del sector. Recuperado de </w:t>
      </w:r>
      <w:hyperlink r:id="rId217" w:history="1">
        <w:r w:rsidRPr="004E557F">
          <w:rPr>
            <w:rStyle w:val="Hipervnculo"/>
          </w:rPr>
          <w:t>https://repository.universidadean.edu.co/bitstream/handle/10882/13156/BahamonAlejandra2023.pdf?sequence=1</w:t>
        </w:r>
      </w:hyperlink>
    </w:p>
    <w:p w14:paraId="0FB87627" w14:textId="77777777" w:rsidR="00FE4135" w:rsidRPr="00FB71FD" w:rsidRDefault="00FE4135" w:rsidP="00221BD6">
      <w:pPr>
        <w:pStyle w:val="Bullets"/>
        <w:numPr>
          <w:ilvl w:val="0"/>
          <w:numId w:val="0"/>
        </w:numPr>
        <w:ind w:left="714"/>
        <w:jc w:val="left"/>
        <w:rPr>
          <w:spacing w:val="-10"/>
        </w:rPr>
      </w:pPr>
    </w:p>
    <w:p w14:paraId="3299691F" w14:textId="77777777" w:rsidR="00FE4135" w:rsidRPr="00FB71FD" w:rsidRDefault="00FE4135" w:rsidP="00221BD6">
      <w:pPr>
        <w:pStyle w:val="Bullets"/>
        <w:jc w:val="left"/>
        <w:rPr>
          <w:spacing w:val="-10"/>
        </w:rPr>
      </w:pPr>
      <w:r w:rsidRPr="00FB71FD">
        <w:rPr>
          <w:spacing w:val="-10"/>
        </w:rPr>
        <w:t xml:space="preserve">Banca de las Oportunidades y Superintendencia Financiera de Colombia. (2022). Reporte de Inclusión Financiera 2022. Recuperado de </w:t>
      </w:r>
      <w:hyperlink r:id="rId218" w:history="1">
        <w:r w:rsidRPr="004E557F">
          <w:rPr>
            <w:rStyle w:val="Hipervnculo"/>
          </w:rPr>
          <w:t>https://www.bancadelasoportunidades.gov.co/sites/default/files/2023-07/RIF2022%2018072023.pdf</w:t>
        </w:r>
      </w:hyperlink>
    </w:p>
    <w:p w14:paraId="42629185" w14:textId="77777777" w:rsidR="00FE4135" w:rsidRPr="00FB71FD" w:rsidRDefault="00FE4135" w:rsidP="00221BD6">
      <w:pPr>
        <w:pStyle w:val="Bullets"/>
        <w:numPr>
          <w:ilvl w:val="0"/>
          <w:numId w:val="0"/>
        </w:numPr>
        <w:ind w:left="714"/>
        <w:jc w:val="left"/>
        <w:rPr>
          <w:spacing w:val="-10"/>
        </w:rPr>
      </w:pPr>
    </w:p>
    <w:p w14:paraId="5A756B30" w14:textId="77777777" w:rsidR="00FE4135" w:rsidRPr="00FB71FD" w:rsidRDefault="00FE4135" w:rsidP="00221BD6">
      <w:pPr>
        <w:pStyle w:val="Bullets"/>
        <w:jc w:val="left"/>
        <w:rPr>
          <w:spacing w:val="-10"/>
        </w:rPr>
      </w:pPr>
      <w:r w:rsidRPr="00FB71FD">
        <w:rPr>
          <w:spacing w:val="-10"/>
        </w:rPr>
        <w:t xml:space="preserve">Banco Mundial. (2022). Lo que debe saber sobre la seguridad alimentaria y el cambio climático. Recuperado de </w:t>
      </w:r>
      <w:hyperlink r:id="rId219" w:history="1">
        <w:r w:rsidRPr="004E557F">
          <w:rPr>
            <w:rStyle w:val="Hipervnculo"/>
          </w:rPr>
          <w:t>https://www.bancomundial.org/es/news/feature/2022/10/17/what-you-need-to-know-about-food-security-and-climate-change</w:t>
        </w:r>
      </w:hyperlink>
    </w:p>
    <w:p w14:paraId="659E0267" w14:textId="77777777" w:rsidR="00FE4135" w:rsidRPr="00FB71FD" w:rsidRDefault="00FE4135" w:rsidP="00221BD6">
      <w:pPr>
        <w:pStyle w:val="Bullets"/>
        <w:numPr>
          <w:ilvl w:val="0"/>
          <w:numId w:val="0"/>
        </w:numPr>
        <w:ind w:left="714"/>
        <w:jc w:val="left"/>
        <w:rPr>
          <w:spacing w:val="-10"/>
        </w:rPr>
      </w:pPr>
    </w:p>
    <w:p w14:paraId="79CF0DD2" w14:textId="77777777" w:rsidR="00FE4135" w:rsidRPr="00FB71FD" w:rsidRDefault="00FE4135" w:rsidP="00221BD6">
      <w:pPr>
        <w:pStyle w:val="Bullets"/>
        <w:jc w:val="left"/>
        <w:rPr>
          <w:spacing w:val="-10"/>
        </w:rPr>
      </w:pPr>
      <w:r w:rsidRPr="00FB71FD">
        <w:rPr>
          <w:spacing w:val="-10"/>
        </w:rPr>
        <w:t xml:space="preserve">Barrera, J., Méndez, E., &amp; Parra, S. (2019). Factores determinantes para el acceso de las MiPyme al crédito gota a gota. Revista Republicana, 28, 217-236. </w:t>
      </w:r>
      <w:hyperlink r:id="rId220" w:history="1">
        <w:r w:rsidRPr="004E557F">
          <w:rPr>
            <w:rStyle w:val="Hipervnculo"/>
          </w:rPr>
          <w:t>http://dx.doi.org/10.21017/Rev.Repub.2020.v28.a84</w:t>
        </w:r>
      </w:hyperlink>
    </w:p>
    <w:p w14:paraId="17521A6B" w14:textId="77777777" w:rsidR="00FE4135" w:rsidRPr="00FB71FD" w:rsidRDefault="00FE4135" w:rsidP="00221BD6">
      <w:pPr>
        <w:pStyle w:val="Bullets"/>
        <w:numPr>
          <w:ilvl w:val="0"/>
          <w:numId w:val="0"/>
        </w:numPr>
        <w:ind w:left="714"/>
        <w:jc w:val="left"/>
        <w:rPr>
          <w:spacing w:val="-10"/>
        </w:rPr>
      </w:pPr>
    </w:p>
    <w:p w14:paraId="43CC285A" w14:textId="77777777" w:rsidR="00FE4135" w:rsidRPr="00FB71FD" w:rsidRDefault="00FE4135" w:rsidP="00221BD6">
      <w:pPr>
        <w:pStyle w:val="Bullets"/>
        <w:jc w:val="left"/>
        <w:rPr>
          <w:spacing w:val="-10"/>
        </w:rPr>
      </w:pPr>
      <w:r w:rsidRPr="00FB71FD">
        <w:rPr>
          <w:spacing w:val="-10"/>
        </w:rPr>
        <w:t xml:space="preserve">Bogotá Cómo Vamos. (2022). Encuesta de Percepción Ciudadana 2022. Recuperado de </w:t>
      </w:r>
      <w:hyperlink r:id="rId221" w:history="1">
        <w:r w:rsidRPr="004E557F">
          <w:rPr>
            <w:rStyle w:val="Hipervnculo"/>
          </w:rPr>
          <w:t>https://bogotacomovamos.org/encuesta-percepcion-ciudadana-2022/</w:t>
        </w:r>
      </w:hyperlink>
    </w:p>
    <w:p w14:paraId="0A34E85B" w14:textId="77777777" w:rsidR="00FE4135" w:rsidRPr="00FB71FD" w:rsidRDefault="00FE4135" w:rsidP="00221BD6">
      <w:pPr>
        <w:pStyle w:val="Bullets"/>
        <w:numPr>
          <w:ilvl w:val="0"/>
          <w:numId w:val="0"/>
        </w:numPr>
        <w:ind w:left="714"/>
        <w:jc w:val="left"/>
        <w:rPr>
          <w:spacing w:val="-10"/>
        </w:rPr>
      </w:pPr>
    </w:p>
    <w:p w14:paraId="2AC28E80" w14:textId="77777777" w:rsidR="00FE4135" w:rsidRPr="00FB71FD" w:rsidRDefault="00FE4135" w:rsidP="00221BD6">
      <w:pPr>
        <w:pStyle w:val="Bullets"/>
        <w:jc w:val="left"/>
        <w:rPr>
          <w:spacing w:val="-10"/>
        </w:rPr>
      </w:pPr>
      <w:r w:rsidRPr="00FB71FD">
        <w:rPr>
          <w:spacing w:val="-10"/>
        </w:rPr>
        <w:t xml:space="preserve">Bogotá Cómo Vamos. (2022). Informe de Calidad de Vida. Recuperado de </w:t>
      </w:r>
      <w:hyperlink r:id="rId222" w:history="1">
        <w:r w:rsidRPr="004E557F">
          <w:rPr>
            <w:rStyle w:val="Hipervnculo"/>
          </w:rPr>
          <w:t>https://bogotacomovamos.org/informe-de-calidad-de-vida-2022/</w:t>
        </w:r>
      </w:hyperlink>
    </w:p>
    <w:p w14:paraId="04E19B1F" w14:textId="77777777" w:rsidR="00FE4135" w:rsidRPr="00FB71FD" w:rsidRDefault="00FE4135" w:rsidP="00221BD6">
      <w:pPr>
        <w:pStyle w:val="Bullets"/>
        <w:numPr>
          <w:ilvl w:val="0"/>
          <w:numId w:val="0"/>
        </w:numPr>
        <w:ind w:left="714"/>
        <w:jc w:val="left"/>
        <w:rPr>
          <w:spacing w:val="-10"/>
        </w:rPr>
      </w:pPr>
    </w:p>
    <w:p w14:paraId="5E08A6D6" w14:textId="77777777" w:rsidR="00FE4135" w:rsidRPr="00FB71FD" w:rsidRDefault="00FE4135" w:rsidP="00221BD6">
      <w:pPr>
        <w:pStyle w:val="Bullets"/>
        <w:jc w:val="left"/>
        <w:rPr>
          <w:spacing w:val="-10"/>
        </w:rPr>
      </w:pPr>
      <w:r w:rsidRPr="00FB71FD">
        <w:rPr>
          <w:spacing w:val="-10"/>
        </w:rPr>
        <w:t xml:space="preserve">Bogotá Cómo Vamos. (2023). Encuesta de Percepción Ciudadana 2022. Recuperado de </w:t>
      </w:r>
      <w:hyperlink r:id="rId223" w:anchor="tablero" w:history="1">
        <w:r w:rsidRPr="004E557F">
          <w:rPr>
            <w:rStyle w:val="Hipervnculo"/>
          </w:rPr>
          <w:t>https://bogotacomovamos.org/datos/#tablero</w:t>
        </w:r>
      </w:hyperlink>
    </w:p>
    <w:p w14:paraId="0CF550E3" w14:textId="77777777" w:rsidR="00FE4135" w:rsidRPr="00FB71FD" w:rsidRDefault="00FE4135" w:rsidP="00221BD6">
      <w:pPr>
        <w:pStyle w:val="Bullets"/>
        <w:numPr>
          <w:ilvl w:val="0"/>
          <w:numId w:val="0"/>
        </w:numPr>
        <w:ind w:left="714"/>
        <w:jc w:val="left"/>
        <w:rPr>
          <w:spacing w:val="-10"/>
        </w:rPr>
      </w:pPr>
    </w:p>
    <w:p w14:paraId="3A2CD295" w14:textId="77777777" w:rsidR="00FE4135" w:rsidRPr="00FB71FD" w:rsidRDefault="00FE4135" w:rsidP="00221BD6">
      <w:pPr>
        <w:pStyle w:val="Bullets"/>
        <w:jc w:val="left"/>
        <w:rPr>
          <w:spacing w:val="-10"/>
        </w:rPr>
      </w:pPr>
      <w:r w:rsidRPr="00FB71FD">
        <w:rPr>
          <w:spacing w:val="-10"/>
        </w:rPr>
        <w:t>Bonet Morón, J., Guzmán Finol, K., &amp; Hahn-De-Castro, L. W. (Eds.). (2017). La salud en Colombia: Una perspectiva regional. Banco de la República.</w:t>
      </w:r>
    </w:p>
    <w:p w14:paraId="649767DB" w14:textId="77777777" w:rsidR="00FE4135" w:rsidRPr="00FB71FD" w:rsidRDefault="00FE4135" w:rsidP="00221BD6">
      <w:pPr>
        <w:pStyle w:val="Bullets"/>
        <w:numPr>
          <w:ilvl w:val="0"/>
          <w:numId w:val="0"/>
        </w:numPr>
        <w:ind w:left="714"/>
        <w:jc w:val="left"/>
        <w:rPr>
          <w:spacing w:val="-10"/>
        </w:rPr>
      </w:pPr>
    </w:p>
    <w:p w14:paraId="1F783293" w14:textId="77777777" w:rsidR="00FE4135" w:rsidRPr="00FB71FD" w:rsidRDefault="00FE4135" w:rsidP="00221BD6">
      <w:pPr>
        <w:pStyle w:val="Bullets"/>
        <w:jc w:val="left"/>
        <w:rPr>
          <w:spacing w:val="-10"/>
        </w:rPr>
      </w:pPr>
      <w:r w:rsidRPr="00FB71FD">
        <w:rPr>
          <w:spacing w:val="-10"/>
          <w:lang w:val="en-US"/>
        </w:rPr>
        <w:t xml:space="preserve">Brueckner, J. K. (2011). Lectures on Urban Economics. </w:t>
      </w:r>
      <w:r w:rsidRPr="00FB71FD">
        <w:rPr>
          <w:spacing w:val="-10"/>
        </w:rPr>
        <w:t>The MIT Press.</w:t>
      </w:r>
    </w:p>
    <w:p w14:paraId="6138E819" w14:textId="77777777" w:rsidR="00FE4135" w:rsidRPr="00FB71FD" w:rsidRDefault="00FE4135" w:rsidP="00221BD6">
      <w:pPr>
        <w:pStyle w:val="Bullets"/>
        <w:numPr>
          <w:ilvl w:val="0"/>
          <w:numId w:val="0"/>
        </w:numPr>
        <w:ind w:left="714"/>
        <w:jc w:val="left"/>
        <w:rPr>
          <w:spacing w:val="-10"/>
        </w:rPr>
      </w:pPr>
    </w:p>
    <w:p w14:paraId="5F2CF7D9" w14:textId="77777777" w:rsidR="00FE4135" w:rsidRPr="00FB71FD" w:rsidRDefault="00FE4135" w:rsidP="00221BD6">
      <w:pPr>
        <w:pStyle w:val="Bullets"/>
        <w:jc w:val="left"/>
        <w:rPr>
          <w:spacing w:val="-10"/>
        </w:rPr>
      </w:pPr>
      <w:r w:rsidRPr="00FB71FD">
        <w:rPr>
          <w:spacing w:val="-10"/>
        </w:rPr>
        <w:t xml:space="preserve">Bustillos-Villavicencio, J., &amp; Giacomin-Carmiol, L. (2004). [Título del artículo]. Revista Costarricense de Ciencias Médicas, 25(1-2), 59-66. Recuperado de </w:t>
      </w:r>
      <w:hyperlink r:id="rId224" w:history="1">
        <w:r w:rsidRPr="004E557F">
          <w:rPr>
            <w:rStyle w:val="Hipervnculo"/>
          </w:rPr>
          <w:t>http://www.scielo.sa.cr/scielo.php?script=sci_abstract&amp;pid=S0253-29482004000100007&amp;lng=en&amp;nrm=iso&amp;tlng=es</w:t>
        </w:r>
      </w:hyperlink>
    </w:p>
    <w:p w14:paraId="5B2D27D5" w14:textId="77777777" w:rsidR="00FE4135" w:rsidRPr="00FB71FD" w:rsidRDefault="00FE4135" w:rsidP="00221BD6">
      <w:pPr>
        <w:pStyle w:val="Bullets"/>
        <w:numPr>
          <w:ilvl w:val="0"/>
          <w:numId w:val="0"/>
        </w:numPr>
        <w:ind w:left="714"/>
        <w:jc w:val="left"/>
        <w:rPr>
          <w:spacing w:val="-10"/>
        </w:rPr>
      </w:pPr>
    </w:p>
    <w:p w14:paraId="6E5DF4B6" w14:textId="77777777" w:rsidR="00FE4135" w:rsidRPr="00FB71FD" w:rsidRDefault="00FE4135" w:rsidP="00221BD6">
      <w:pPr>
        <w:pStyle w:val="Bullets"/>
        <w:jc w:val="left"/>
        <w:rPr>
          <w:spacing w:val="-10"/>
        </w:rPr>
      </w:pPr>
      <w:r w:rsidRPr="00FB71FD">
        <w:rPr>
          <w:spacing w:val="-10"/>
        </w:rPr>
        <w:t xml:space="preserve">Cámara Colombiana de Comercio Electrónico - CCCE. (2023). Los micronegocios en Colombia 2021: énfasis en el comercio electrónico y la economía popular. Recuperado de </w:t>
      </w:r>
      <w:hyperlink r:id="rId225" w:history="1">
        <w:r w:rsidRPr="004E557F">
          <w:rPr>
            <w:rStyle w:val="Hipervnculo"/>
          </w:rPr>
          <w:t>https://www.ccce.org.co/noticias/los-micronegocios-en-colombia-2021-enfasis-en-el-comercio-electronico-y-la-economia-popular/</w:t>
        </w:r>
      </w:hyperlink>
    </w:p>
    <w:p w14:paraId="2581DE42" w14:textId="77777777" w:rsidR="00FE4135" w:rsidRPr="00FB71FD" w:rsidRDefault="00FE4135" w:rsidP="00221BD6">
      <w:pPr>
        <w:pStyle w:val="Bullets"/>
        <w:numPr>
          <w:ilvl w:val="0"/>
          <w:numId w:val="0"/>
        </w:numPr>
        <w:ind w:left="714"/>
        <w:jc w:val="left"/>
        <w:rPr>
          <w:spacing w:val="-10"/>
        </w:rPr>
      </w:pPr>
    </w:p>
    <w:p w14:paraId="02385270" w14:textId="77777777" w:rsidR="00FE4135" w:rsidRPr="00FB71FD" w:rsidRDefault="00FE4135" w:rsidP="00221BD6">
      <w:pPr>
        <w:pStyle w:val="Bullets"/>
        <w:jc w:val="left"/>
        <w:rPr>
          <w:spacing w:val="-10"/>
        </w:rPr>
      </w:pPr>
      <w:r w:rsidRPr="00FB71FD">
        <w:rPr>
          <w:spacing w:val="-10"/>
        </w:rPr>
        <w:t>Cámara de Comercio de Bogotá. (2023). Encuesta de Percepción y Victimización de Bogotá 2022.</w:t>
      </w:r>
    </w:p>
    <w:p w14:paraId="45BF389A" w14:textId="77777777" w:rsidR="00FE4135" w:rsidRPr="00FB71FD" w:rsidRDefault="00FE4135" w:rsidP="00221BD6">
      <w:pPr>
        <w:pStyle w:val="Bullets"/>
        <w:numPr>
          <w:ilvl w:val="0"/>
          <w:numId w:val="0"/>
        </w:numPr>
        <w:ind w:left="714"/>
        <w:jc w:val="left"/>
        <w:rPr>
          <w:spacing w:val="-10"/>
        </w:rPr>
      </w:pPr>
    </w:p>
    <w:p w14:paraId="53EB4257" w14:textId="77777777" w:rsidR="00FE4135" w:rsidRPr="00FB71FD" w:rsidRDefault="00FE4135" w:rsidP="00221BD6">
      <w:pPr>
        <w:pStyle w:val="Bullets"/>
        <w:jc w:val="left"/>
        <w:rPr>
          <w:spacing w:val="-10"/>
        </w:rPr>
      </w:pPr>
      <w:r w:rsidRPr="00FB71FD">
        <w:rPr>
          <w:spacing w:val="-10"/>
        </w:rPr>
        <w:lastRenderedPageBreak/>
        <w:t>Cardona, D., Acosta, L. D., &amp; Bertone, C. L. (2013). Inequidades en salud entre países de Latinoamérica y el Caribe (2005-2010). Gaceta Sanitaria, 27(4), 292-297.</w:t>
      </w:r>
    </w:p>
    <w:p w14:paraId="035CDEA6" w14:textId="77777777" w:rsidR="00FE4135" w:rsidRPr="00FB71FD" w:rsidRDefault="00FE4135" w:rsidP="00221BD6">
      <w:pPr>
        <w:pStyle w:val="Bullets"/>
        <w:numPr>
          <w:ilvl w:val="0"/>
          <w:numId w:val="0"/>
        </w:numPr>
        <w:ind w:left="714"/>
        <w:jc w:val="left"/>
        <w:rPr>
          <w:spacing w:val="-10"/>
        </w:rPr>
      </w:pPr>
    </w:p>
    <w:p w14:paraId="1CD62E05" w14:textId="77777777" w:rsidR="00FE4135" w:rsidRPr="00FB71FD" w:rsidRDefault="00FE4135" w:rsidP="00221BD6">
      <w:pPr>
        <w:pStyle w:val="Bullets"/>
        <w:jc w:val="left"/>
        <w:rPr>
          <w:spacing w:val="-10"/>
        </w:rPr>
      </w:pPr>
      <w:r w:rsidRPr="00FB71FD">
        <w:rPr>
          <w:spacing w:val="-10"/>
        </w:rPr>
        <w:t>Centro Nacional de Consultoría. (2023). Encuesta de Seguridad, Convivencia y Justicia.</w:t>
      </w:r>
    </w:p>
    <w:p w14:paraId="5FB033A1" w14:textId="77777777" w:rsidR="00FE4135" w:rsidRPr="00FB71FD" w:rsidRDefault="00FE4135" w:rsidP="00221BD6">
      <w:pPr>
        <w:pStyle w:val="Bullets"/>
        <w:numPr>
          <w:ilvl w:val="0"/>
          <w:numId w:val="0"/>
        </w:numPr>
        <w:ind w:left="714"/>
        <w:jc w:val="left"/>
        <w:rPr>
          <w:spacing w:val="-10"/>
        </w:rPr>
      </w:pPr>
    </w:p>
    <w:p w14:paraId="05B9A213" w14:textId="77777777" w:rsidR="00FE4135" w:rsidRPr="00FB71FD" w:rsidRDefault="00FE4135" w:rsidP="00221BD6">
      <w:pPr>
        <w:pStyle w:val="Bullets"/>
        <w:jc w:val="left"/>
        <w:rPr>
          <w:spacing w:val="-10"/>
        </w:rPr>
      </w:pPr>
      <w:r w:rsidRPr="00FB71FD">
        <w:rPr>
          <w:spacing w:val="-10"/>
        </w:rPr>
        <w:t xml:space="preserve">Código Nacional de Tránsito Terrestre. Ley 769 de 2002. Recuperado de </w:t>
      </w:r>
      <w:hyperlink r:id="rId226" w:history="1">
        <w:r w:rsidRPr="004E557F">
          <w:rPr>
            <w:rStyle w:val="Hipervnculo"/>
          </w:rPr>
          <w:t>https://www.movilidadbogota.gov.co/web/sites/default/files/ley-769-de-2002-codigo-nacional-de-transito_3704_0.pdf</w:t>
        </w:r>
      </w:hyperlink>
    </w:p>
    <w:p w14:paraId="3D8B6CAC" w14:textId="77777777" w:rsidR="00FE4135" w:rsidRPr="00FB71FD" w:rsidRDefault="00FE4135" w:rsidP="00221BD6">
      <w:pPr>
        <w:pStyle w:val="Bullets"/>
        <w:numPr>
          <w:ilvl w:val="0"/>
          <w:numId w:val="0"/>
        </w:numPr>
        <w:ind w:left="714"/>
        <w:jc w:val="left"/>
        <w:rPr>
          <w:spacing w:val="-10"/>
        </w:rPr>
      </w:pPr>
    </w:p>
    <w:p w14:paraId="28D4DE0C" w14:textId="77777777" w:rsidR="00FE4135" w:rsidRPr="00FB71FD" w:rsidRDefault="00FE4135" w:rsidP="00221BD6">
      <w:pPr>
        <w:pStyle w:val="Bullets"/>
        <w:jc w:val="left"/>
        <w:rPr>
          <w:spacing w:val="-10"/>
        </w:rPr>
      </w:pPr>
      <w:r w:rsidRPr="00FB71FD">
        <w:rPr>
          <w:spacing w:val="-10"/>
        </w:rPr>
        <w:t>Comité Intersectorial de Salud &amp; SED. (2024). Estimación de atenciones a la primera infancia de Bogotá.</w:t>
      </w:r>
    </w:p>
    <w:p w14:paraId="09574ADA" w14:textId="77777777" w:rsidR="00FE4135" w:rsidRPr="00FB71FD" w:rsidRDefault="00FE4135" w:rsidP="00221BD6">
      <w:pPr>
        <w:pStyle w:val="Bullets"/>
        <w:numPr>
          <w:ilvl w:val="0"/>
          <w:numId w:val="0"/>
        </w:numPr>
        <w:ind w:left="714"/>
        <w:jc w:val="left"/>
        <w:rPr>
          <w:spacing w:val="-10"/>
        </w:rPr>
      </w:pPr>
    </w:p>
    <w:p w14:paraId="74DF5486" w14:textId="77777777" w:rsidR="00FE4135" w:rsidRPr="00FB71FD" w:rsidRDefault="00FE4135" w:rsidP="00221BD6">
      <w:pPr>
        <w:pStyle w:val="Bullets"/>
        <w:jc w:val="left"/>
        <w:rPr>
          <w:spacing w:val="-10"/>
        </w:rPr>
      </w:pPr>
      <w:r w:rsidRPr="00FB71FD">
        <w:rPr>
          <w:spacing w:val="-10"/>
        </w:rPr>
        <w:t>CONPES. (2021). Documento CONPES No. 14 “POLÍTICA PÚBLICA DE MUJERES Y EQUIDAD DE GÉNERO 2020 – 2030”.</w:t>
      </w:r>
    </w:p>
    <w:p w14:paraId="36BA95E3" w14:textId="77777777" w:rsidR="00FE4135" w:rsidRPr="00FB71FD" w:rsidRDefault="00FE4135" w:rsidP="00221BD6">
      <w:pPr>
        <w:pStyle w:val="Bullets"/>
        <w:numPr>
          <w:ilvl w:val="0"/>
          <w:numId w:val="0"/>
        </w:numPr>
        <w:ind w:left="714"/>
        <w:jc w:val="left"/>
        <w:rPr>
          <w:spacing w:val="-10"/>
        </w:rPr>
      </w:pPr>
    </w:p>
    <w:p w14:paraId="2F14ED06" w14:textId="77777777" w:rsidR="00FE4135" w:rsidRPr="00FB71FD" w:rsidRDefault="00FE4135" w:rsidP="00221BD6">
      <w:pPr>
        <w:pStyle w:val="Bullets"/>
        <w:jc w:val="left"/>
        <w:rPr>
          <w:spacing w:val="-10"/>
        </w:rPr>
      </w:pPr>
      <w:r w:rsidRPr="00FB71FD">
        <w:rPr>
          <w:spacing w:val="-10"/>
        </w:rPr>
        <w:t>CONPES. (2022). Documento CONPES No. 25 “Actualización del Plan de Acción de la “POLÍTICA PÚBLICA DE PRODUCTIVIDAD, COMPETITIVIDAD Y DESARROLLO SOCIOECONÓMICO 2011-2038” Bogotá D.C.</w:t>
      </w:r>
    </w:p>
    <w:p w14:paraId="50D5C490" w14:textId="77777777" w:rsidR="00FE4135" w:rsidRPr="00FB71FD" w:rsidRDefault="00FE4135" w:rsidP="00221BD6">
      <w:pPr>
        <w:pStyle w:val="Bullets"/>
        <w:numPr>
          <w:ilvl w:val="0"/>
          <w:numId w:val="0"/>
        </w:numPr>
        <w:ind w:left="714"/>
        <w:jc w:val="left"/>
        <w:rPr>
          <w:spacing w:val="-10"/>
        </w:rPr>
      </w:pPr>
    </w:p>
    <w:p w14:paraId="33E2A9CC" w14:textId="77777777" w:rsidR="00FE4135" w:rsidRPr="00FB71FD" w:rsidRDefault="00FE4135" w:rsidP="00221BD6">
      <w:pPr>
        <w:pStyle w:val="Bullets"/>
        <w:jc w:val="left"/>
        <w:rPr>
          <w:spacing w:val="-10"/>
        </w:rPr>
      </w:pPr>
      <w:r w:rsidRPr="00FB71FD">
        <w:rPr>
          <w:spacing w:val="-10"/>
        </w:rPr>
        <w:t>Consejo Privado de Competitividad. (2023). Informe Nacional de Competitividad 2022-2023. Bogotá.</w:t>
      </w:r>
    </w:p>
    <w:p w14:paraId="1998B6A7" w14:textId="77777777" w:rsidR="00FE4135" w:rsidRPr="00FB71FD" w:rsidRDefault="00FE4135" w:rsidP="00221BD6">
      <w:pPr>
        <w:pStyle w:val="Bullets"/>
        <w:numPr>
          <w:ilvl w:val="0"/>
          <w:numId w:val="0"/>
        </w:numPr>
        <w:ind w:left="714"/>
        <w:jc w:val="left"/>
        <w:rPr>
          <w:spacing w:val="-10"/>
        </w:rPr>
      </w:pPr>
    </w:p>
    <w:p w14:paraId="12A3D958" w14:textId="77777777" w:rsidR="00FE4135" w:rsidRPr="00FB71FD" w:rsidRDefault="00FE4135" w:rsidP="00221BD6">
      <w:pPr>
        <w:pStyle w:val="Bullets"/>
        <w:jc w:val="left"/>
        <w:rPr>
          <w:spacing w:val="-10"/>
        </w:rPr>
      </w:pPr>
      <w:r w:rsidRPr="00FB71FD">
        <w:rPr>
          <w:spacing w:val="-10"/>
        </w:rPr>
        <w:t>Cuenta de Alto Costo. (2023). Situación de la enfermedad renal crónica, la hipertensión arterial y la diabetes mellitus en Colombia 2022.</w:t>
      </w:r>
    </w:p>
    <w:p w14:paraId="32D5D30C" w14:textId="77777777" w:rsidR="00FE4135" w:rsidRPr="00FB71FD" w:rsidRDefault="00FE4135" w:rsidP="00221BD6">
      <w:pPr>
        <w:pStyle w:val="Bullets"/>
        <w:numPr>
          <w:ilvl w:val="0"/>
          <w:numId w:val="0"/>
        </w:numPr>
        <w:ind w:left="714"/>
        <w:jc w:val="left"/>
        <w:rPr>
          <w:spacing w:val="-10"/>
        </w:rPr>
      </w:pPr>
    </w:p>
    <w:p w14:paraId="500E312D" w14:textId="77777777" w:rsidR="00FE4135" w:rsidRPr="00FB71FD" w:rsidRDefault="00FE4135" w:rsidP="00221BD6">
      <w:pPr>
        <w:pStyle w:val="Bullets"/>
        <w:jc w:val="left"/>
        <w:rPr>
          <w:spacing w:val="-10"/>
        </w:rPr>
      </w:pPr>
      <w:r w:rsidRPr="00FB71FD">
        <w:rPr>
          <w:spacing w:val="-10"/>
        </w:rPr>
        <w:t xml:space="preserve">DANE. (2022a). Cuentas Nacionales. PIB por Departamento. Recuperado de </w:t>
      </w:r>
      <w:hyperlink r:id="rId227" w:history="1">
        <w:r w:rsidRPr="004E557F">
          <w:rPr>
            <w:rStyle w:val="Hipervnculo"/>
          </w:rPr>
          <w:t>https://www.dane.gov.co/index.php/estadisticas-por-tema/cuentas-nacionales/cuentas-nacionales-departamentales</w:t>
        </w:r>
      </w:hyperlink>
    </w:p>
    <w:p w14:paraId="4B815F91" w14:textId="77777777" w:rsidR="00FE4135" w:rsidRPr="00FB71FD" w:rsidRDefault="00FE4135" w:rsidP="00221BD6">
      <w:pPr>
        <w:pStyle w:val="Bullets"/>
        <w:numPr>
          <w:ilvl w:val="0"/>
          <w:numId w:val="0"/>
        </w:numPr>
        <w:ind w:left="714"/>
        <w:jc w:val="left"/>
        <w:rPr>
          <w:spacing w:val="-10"/>
        </w:rPr>
      </w:pPr>
    </w:p>
    <w:p w14:paraId="3D3C1DCF" w14:textId="77777777" w:rsidR="00FE4135" w:rsidRPr="00FB71FD" w:rsidRDefault="00FE4135" w:rsidP="00221BD6">
      <w:pPr>
        <w:pStyle w:val="Bullets"/>
        <w:jc w:val="left"/>
        <w:rPr>
          <w:spacing w:val="-10"/>
        </w:rPr>
      </w:pPr>
      <w:r w:rsidRPr="00FB71FD">
        <w:rPr>
          <w:spacing w:val="-10"/>
        </w:rPr>
        <w:t>DANE. (2022b). Encuesta Multipropósito de Bogotá 2021. Acceso al sistema de salud de la población negra y afrodescendiente.</w:t>
      </w:r>
    </w:p>
    <w:p w14:paraId="465069C3" w14:textId="77777777" w:rsidR="00FE4135" w:rsidRPr="00FB71FD" w:rsidRDefault="00FE4135" w:rsidP="00221BD6">
      <w:pPr>
        <w:pStyle w:val="Bullets"/>
        <w:numPr>
          <w:ilvl w:val="0"/>
          <w:numId w:val="0"/>
        </w:numPr>
        <w:ind w:left="714"/>
        <w:jc w:val="left"/>
        <w:rPr>
          <w:spacing w:val="-10"/>
        </w:rPr>
      </w:pPr>
    </w:p>
    <w:p w14:paraId="15F63655" w14:textId="77777777" w:rsidR="00FE4135" w:rsidRPr="00FB71FD" w:rsidRDefault="00FE4135" w:rsidP="00221BD6">
      <w:pPr>
        <w:pStyle w:val="Bullets"/>
        <w:jc w:val="left"/>
        <w:rPr>
          <w:spacing w:val="-10"/>
        </w:rPr>
      </w:pPr>
      <w:r w:rsidRPr="00FB71FD">
        <w:rPr>
          <w:spacing w:val="-10"/>
        </w:rPr>
        <w:t xml:space="preserve">DANE. (2022c). Encuesta Nacional de Calidad de Vida (ECV). Recuperado de </w:t>
      </w:r>
      <w:hyperlink r:id="rId228" w:history="1">
        <w:r w:rsidRPr="004E557F">
          <w:rPr>
            <w:rStyle w:val="Hipervnculo"/>
          </w:rPr>
          <w:t>https://www.dane.gov.co/index.php/estadisticas-por-tema/salud/calidad-de-vida-ecv/encuesta-nacional-de-calidad-de-vida-ecv-2022.</w:t>
        </w:r>
      </w:hyperlink>
    </w:p>
    <w:p w14:paraId="218F2236" w14:textId="77777777" w:rsidR="00FE4135" w:rsidRPr="00FB71FD" w:rsidRDefault="00FE4135" w:rsidP="00221BD6">
      <w:pPr>
        <w:pStyle w:val="Bullets"/>
        <w:numPr>
          <w:ilvl w:val="0"/>
          <w:numId w:val="0"/>
        </w:numPr>
        <w:ind w:left="714"/>
        <w:jc w:val="left"/>
        <w:rPr>
          <w:spacing w:val="-10"/>
        </w:rPr>
      </w:pPr>
    </w:p>
    <w:p w14:paraId="0B204876" w14:textId="77777777" w:rsidR="00FE4135" w:rsidRPr="00FB71FD" w:rsidRDefault="00FE4135" w:rsidP="00221BD6">
      <w:pPr>
        <w:pStyle w:val="Bullets"/>
        <w:jc w:val="left"/>
        <w:rPr>
          <w:spacing w:val="-10"/>
        </w:rPr>
      </w:pPr>
      <w:r w:rsidRPr="00FB71FD">
        <w:rPr>
          <w:spacing w:val="-10"/>
        </w:rPr>
        <w:t>DANE. (2022d). Índice de Gini para Bogotá 2021-2022.</w:t>
      </w:r>
    </w:p>
    <w:p w14:paraId="70889E59" w14:textId="77777777" w:rsidR="00FE4135" w:rsidRPr="00FB71FD" w:rsidRDefault="00FE4135" w:rsidP="00221BD6">
      <w:pPr>
        <w:pStyle w:val="Bullets"/>
        <w:numPr>
          <w:ilvl w:val="0"/>
          <w:numId w:val="0"/>
        </w:numPr>
        <w:ind w:left="714"/>
        <w:jc w:val="left"/>
        <w:rPr>
          <w:spacing w:val="-10"/>
        </w:rPr>
      </w:pPr>
    </w:p>
    <w:p w14:paraId="442FA11C" w14:textId="77777777" w:rsidR="00FE4135" w:rsidRPr="00FB71FD" w:rsidRDefault="00FE4135" w:rsidP="00221BD6">
      <w:pPr>
        <w:pStyle w:val="Bullets"/>
        <w:jc w:val="left"/>
        <w:rPr>
          <w:spacing w:val="-10"/>
        </w:rPr>
      </w:pPr>
      <w:r w:rsidRPr="00FB71FD">
        <w:rPr>
          <w:spacing w:val="-10"/>
        </w:rPr>
        <w:t>DANE. (2023a). Censo de Edificaciones-CEED.</w:t>
      </w:r>
    </w:p>
    <w:p w14:paraId="724494D9" w14:textId="77777777" w:rsidR="00FE4135" w:rsidRPr="00FB71FD" w:rsidRDefault="00FE4135" w:rsidP="00221BD6">
      <w:pPr>
        <w:pStyle w:val="Bullets"/>
        <w:numPr>
          <w:ilvl w:val="0"/>
          <w:numId w:val="0"/>
        </w:numPr>
        <w:ind w:left="714"/>
        <w:jc w:val="left"/>
        <w:rPr>
          <w:spacing w:val="-10"/>
        </w:rPr>
      </w:pPr>
    </w:p>
    <w:p w14:paraId="4C0F3554" w14:textId="77777777" w:rsidR="00FE4135" w:rsidRPr="00FB71FD" w:rsidRDefault="00FE4135" w:rsidP="00221BD6">
      <w:pPr>
        <w:pStyle w:val="Bullets"/>
        <w:jc w:val="left"/>
        <w:rPr>
          <w:spacing w:val="-10"/>
        </w:rPr>
      </w:pPr>
      <w:r w:rsidRPr="00FB71FD">
        <w:rPr>
          <w:spacing w:val="-10"/>
        </w:rPr>
        <w:t xml:space="preserve">DANE. (2023b). Cuenta Satélite de Economía Cultural y Creativa (CSECC). Recuperado de </w:t>
      </w:r>
      <w:hyperlink r:id="rId229" w:history="1">
        <w:r w:rsidRPr="004E557F">
          <w:rPr>
            <w:rStyle w:val="Hipervnculo"/>
          </w:rPr>
          <w:t>https://www.dane.gov.co/index.php/estadisticas-por-tema/cuentas-nacionales/cuentas-satelite/cuenta-satelite-de-cultura-en-colombia</w:t>
        </w:r>
      </w:hyperlink>
    </w:p>
    <w:p w14:paraId="7E7DB1F3" w14:textId="77777777" w:rsidR="00FE4135" w:rsidRPr="00FB71FD" w:rsidRDefault="00FE4135" w:rsidP="00221BD6">
      <w:pPr>
        <w:pStyle w:val="Bullets"/>
        <w:numPr>
          <w:ilvl w:val="0"/>
          <w:numId w:val="0"/>
        </w:numPr>
        <w:ind w:left="714"/>
        <w:jc w:val="left"/>
        <w:rPr>
          <w:spacing w:val="-10"/>
        </w:rPr>
      </w:pPr>
    </w:p>
    <w:p w14:paraId="3720C0B2" w14:textId="77777777" w:rsidR="00FE4135" w:rsidRPr="00FB71FD" w:rsidRDefault="00FE4135" w:rsidP="00221BD6">
      <w:pPr>
        <w:pStyle w:val="Bullets"/>
        <w:jc w:val="left"/>
        <w:rPr>
          <w:spacing w:val="-10"/>
        </w:rPr>
      </w:pPr>
      <w:r w:rsidRPr="00FB71FD">
        <w:rPr>
          <w:spacing w:val="-10"/>
        </w:rPr>
        <w:t xml:space="preserve">DANE. (2023c). Cuenta Satélite del Deporte. Recuperado de </w:t>
      </w:r>
      <w:hyperlink r:id="rId230" w:history="1">
        <w:r w:rsidRPr="004E557F">
          <w:rPr>
            <w:rStyle w:val="Hipervnculo"/>
          </w:rPr>
          <w:t>https://www.dane.gov.co/index.php/estadisticas-por-tema/cuentas-nacionales/cuentas-satelite/cuenta-satelite-del-deporte-de-bogota-csdb</w:t>
        </w:r>
      </w:hyperlink>
    </w:p>
    <w:p w14:paraId="7E8D4B98" w14:textId="77777777" w:rsidR="00FE4135" w:rsidRPr="00FB71FD" w:rsidRDefault="00FE4135" w:rsidP="00221BD6">
      <w:pPr>
        <w:pStyle w:val="Bullets"/>
        <w:numPr>
          <w:ilvl w:val="0"/>
          <w:numId w:val="0"/>
        </w:numPr>
        <w:ind w:left="714"/>
        <w:jc w:val="left"/>
        <w:rPr>
          <w:spacing w:val="-10"/>
        </w:rPr>
      </w:pPr>
    </w:p>
    <w:p w14:paraId="0D9A0BBF" w14:textId="77777777" w:rsidR="00FE4135" w:rsidRPr="00FB71FD" w:rsidRDefault="00FE4135" w:rsidP="00221BD6">
      <w:pPr>
        <w:pStyle w:val="Bullets"/>
        <w:jc w:val="left"/>
        <w:rPr>
          <w:spacing w:val="-10"/>
        </w:rPr>
      </w:pPr>
      <w:r w:rsidRPr="00FB71FD">
        <w:rPr>
          <w:spacing w:val="-10"/>
        </w:rPr>
        <w:lastRenderedPageBreak/>
        <w:t xml:space="preserve">DANE. (2023d). Encuesta de Cultura Política. Recuperado de </w:t>
      </w:r>
      <w:hyperlink r:id="rId231" w:history="1">
        <w:r w:rsidRPr="004E557F">
          <w:rPr>
            <w:rStyle w:val="Hipervnculo"/>
          </w:rPr>
          <w:t>https://www.dane.gov.co/index.php/estadisticas-por-tema/cultura/cultura-politica-encuesta</w:t>
        </w:r>
      </w:hyperlink>
    </w:p>
    <w:p w14:paraId="69C145DF" w14:textId="77777777" w:rsidR="00FE4135" w:rsidRPr="00FB71FD" w:rsidRDefault="00FE4135" w:rsidP="00221BD6">
      <w:pPr>
        <w:pStyle w:val="Bullets"/>
        <w:numPr>
          <w:ilvl w:val="0"/>
          <w:numId w:val="0"/>
        </w:numPr>
        <w:ind w:left="714"/>
        <w:jc w:val="left"/>
        <w:rPr>
          <w:spacing w:val="-10"/>
        </w:rPr>
      </w:pPr>
    </w:p>
    <w:p w14:paraId="36A271A6" w14:textId="77777777" w:rsidR="00FE4135" w:rsidRPr="00FB71FD" w:rsidRDefault="00FE4135" w:rsidP="00221BD6">
      <w:pPr>
        <w:pStyle w:val="Bullets"/>
        <w:jc w:val="left"/>
        <w:rPr>
          <w:spacing w:val="-10"/>
        </w:rPr>
      </w:pPr>
      <w:r w:rsidRPr="00FB71FD">
        <w:rPr>
          <w:spacing w:val="-10"/>
        </w:rPr>
        <w:t xml:space="preserve">DANE. (2023e). Encuesta sobre ambiente y desempeño institucional departamental (EDID). Recuperado de </w:t>
      </w:r>
      <w:hyperlink r:id="rId232" w:history="1">
        <w:r w:rsidRPr="004E557F">
          <w:rPr>
            <w:rStyle w:val="Hipervnculo"/>
          </w:rPr>
          <w:t>https://www.dane.gov.co/index.php/estadisticas-por-tema/gobierno/encuesta-sobre-ambiente-y-desempeno-institucional-departamental-edid</w:t>
        </w:r>
      </w:hyperlink>
    </w:p>
    <w:p w14:paraId="10EECDE4" w14:textId="77777777" w:rsidR="00FE4135" w:rsidRPr="00FB71FD" w:rsidRDefault="00FE4135" w:rsidP="00221BD6">
      <w:pPr>
        <w:pStyle w:val="Bullets"/>
        <w:numPr>
          <w:ilvl w:val="0"/>
          <w:numId w:val="0"/>
        </w:numPr>
        <w:ind w:left="714"/>
        <w:jc w:val="left"/>
        <w:rPr>
          <w:spacing w:val="-10"/>
        </w:rPr>
      </w:pPr>
    </w:p>
    <w:p w14:paraId="345D5C7A" w14:textId="77777777" w:rsidR="00FE4135" w:rsidRPr="00FB71FD" w:rsidRDefault="00FE4135" w:rsidP="00221BD6">
      <w:pPr>
        <w:pStyle w:val="Bullets"/>
        <w:jc w:val="left"/>
        <w:rPr>
          <w:spacing w:val="-10"/>
        </w:rPr>
      </w:pPr>
      <w:r w:rsidRPr="00FB71FD">
        <w:rPr>
          <w:spacing w:val="-10"/>
        </w:rPr>
        <w:t xml:space="preserve">DANE. (2023f). Formación de hogares proyectada entre 2018 y 2023. Recuperado de </w:t>
      </w:r>
      <w:hyperlink r:id="rId233" w:history="1">
        <w:r w:rsidRPr="004E557F">
          <w:rPr>
            <w:rStyle w:val="Hipervnculo"/>
          </w:rPr>
          <w:t>https://www.dane.gov.co/index.php/estadisticas-por-tema/demografia-y-poblacion/proyecciones-de-viviendas-y-hogares.</w:t>
        </w:r>
      </w:hyperlink>
    </w:p>
    <w:p w14:paraId="7CB17415" w14:textId="77777777" w:rsidR="00FE4135" w:rsidRPr="00FB71FD" w:rsidRDefault="00FE4135" w:rsidP="00221BD6">
      <w:pPr>
        <w:pStyle w:val="Bullets"/>
        <w:numPr>
          <w:ilvl w:val="0"/>
          <w:numId w:val="0"/>
        </w:numPr>
        <w:ind w:left="714"/>
        <w:jc w:val="left"/>
        <w:rPr>
          <w:spacing w:val="-10"/>
        </w:rPr>
      </w:pPr>
    </w:p>
    <w:p w14:paraId="3EBF3992" w14:textId="77777777" w:rsidR="00FE4135" w:rsidRPr="00FB71FD" w:rsidRDefault="00FE4135" w:rsidP="00221BD6">
      <w:pPr>
        <w:pStyle w:val="Bullets"/>
        <w:jc w:val="left"/>
        <w:rPr>
          <w:spacing w:val="-10"/>
        </w:rPr>
      </w:pPr>
      <w:r w:rsidRPr="00FB71FD">
        <w:rPr>
          <w:spacing w:val="-10"/>
        </w:rPr>
        <w:t xml:space="preserve">DANE. (2017). Censo habitante de calle 2017. Bogotá. Recuperado de </w:t>
      </w:r>
      <w:hyperlink r:id="rId234" w:history="1">
        <w:r w:rsidRPr="004E557F">
          <w:rPr>
            <w:rStyle w:val="Hipervnculo"/>
          </w:rPr>
          <w:t>https://www.dane.gov.co/index.php/estadisticas-por-tema/demografia-y-poblacion/censo-habitantes-de-la-calle-bogota</w:t>
        </w:r>
      </w:hyperlink>
    </w:p>
    <w:p w14:paraId="49107E44" w14:textId="77777777" w:rsidR="00FE4135" w:rsidRPr="00FB71FD" w:rsidRDefault="00FE4135" w:rsidP="00221BD6">
      <w:pPr>
        <w:pStyle w:val="Bullets"/>
        <w:numPr>
          <w:ilvl w:val="0"/>
          <w:numId w:val="0"/>
        </w:numPr>
        <w:ind w:left="714"/>
        <w:jc w:val="left"/>
        <w:rPr>
          <w:spacing w:val="-10"/>
        </w:rPr>
      </w:pPr>
    </w:p>
    <w:p w14:paraId="18C8C395" w14:textId="77777777" w:rsidR="00FE4135" w:rsidRPr="00FB71FD" w:rsidRDefault="00FE4135" w:rsidP="00221BD6">
      <w:pPr>
        <w:pStyle w:val="Bullets"/>
        <w:jc w:val="left"/>
        <w:rPr>
          <w:spacing w:val="-10"/>
        </w:rPr>
      </w:pPr>
      <w:r w:rsidRPr="00FB71FD">
        <w:rPr>
          <w:spacing w:val="-10"/>
        </w:rPr>
        <w:t xml:space="preserve">DANE. (2021). Colombia—Gran Encuesta Integrada de Hogares—GEIH - 2021. Recuperado de </w:t>
      </w:r>
      <w:hyperlink r:id="rId235" w:history="1">
        <w:r w:rsidRPr="004E557F">
          <w:rPr>
            <w:rStyle w:val="Hipervnculo"/>
          </w:rPr>
          <w:t>https://microdatos.dane.gov.co/index.php/catalog/701/study-description</w:t>
        </w:r>
      </w:hyperlink>
    </w:p>
    <w:p w14:paraId="6903EC8A" w14:textId="77777777" w:rsidR="00FE4135" w:rsidRPr="00FB71FD" w:rsidRDefault="00FE4135" w:rsidP="00221BD6">
      <w:pPr>
        <w:pStyle w:val="Bullets"/>
        <w:numPr>
          <w:ilvl w:val="0"/>
          <w:numId w:val="0"/>
        </w:numPr>
        <w:ind w:left="714"/>
        <w:jc w:val="left"/>
        <w:rPr>
          <w:spacing w:val="-10"/>
        </w:rPr>
      </w:pPr>
    </w:p>
    <w:p w14:paraId="569659ED" w14:textId="77777777" w:rsidR="00FE4135" w:rsidRPr="00FB71FD" w:rsidRDefault="00FE4135" w:rsidP="00221BD6">
      <w:pPr>
        <w:pStyle w:val="Bullets"/>
        <w:jc w:val="left"/>
        <w:rPr>
          <w:spacing w:val="-10"/>
        </w:rPr>
      </w:pPr>
      <w:r w:rsidRPr="00FB71FD">
        <w:rPr>
          <w:spacing w:val="-10"/>
        </w:rPr>
        <w:t xml:space="preserve">DANE. (2022). Pobreza monetaria &amp; extrema – Gran Encuesta Integrada de Hogares (2012-2021). Marco Censal 2005. Recuperado de </w:t>
      </w:r>
      <w:hyperlink r:id="rId236" w:history="1">
        <w:r w:rsidRPr="004E557F">
          <w:rPr>
            <w:rStyle w:val="Hipervnculo"/>
          </w:rPr>
          <w:t>https://www.dane.gov.co/index.php/estadisticas-por-tema/pobreza-y-condiciones-de-vida/pobreza-monetaria/pobreza-monetaria-historicos</w:t>
        </w:r>
      </w:hyperlink>
    </w:p>
    <w:p w14:paraId="6104B33C" w14:textId="77777777" w:rsidR="00FE4135" w:rsidRPr="00FB71FD" w:rsidRDefault="00FE4135" w:rsidP="00221BD6">
      <w:pPr>
        <w:pStyle w:val="Bullets"/>
        <w:numPr>
          <w:ilvl w:val="0"/>
          <w:numId w:val="0"/>
        </w:numPr>
        <w:ind w:left="714"/>
        <w:jc w:val="left"/>
        <w:rPr>
          <w:spacing w:val="-10"/>
        </w:rPr>
      </w:pPr>
    </w:p>
    <w:p w14:paraId="0C5CF258" w14:textId="77777777" w:rsidR="00FE4135" w:rsidRPr="00FB71FD" w:rsidRDefault="00FE4135" w:rsidP="00221BD6">
      <w:pPr>
        <w:pStyle w:val="Bullets"/>
        <w:jc w:val="left"/>
        <w:rPr>
          <w:spacing w:val="-10"/>
        </w:rPr>
      </w:pPr>
      <w:r w:rsidRPr="00FB71FD">
        <w:rPr>
          <w:spacing w:val="-10"/>
        </w:rPr>
        <w:t xml:space="preserve">DANE. (2023g). Boletín técnico Escala de experiencia de inseguridad alimentaria (FIES). Recuperado de </w:t>
      </w:r>
      <w:hyperlink r:id="rId237" w:history="1">
        <w:r w:rsidRPr="00FB71FD">
          <w:rPr>
            <w:rStyle w:val="Hipervnculo"/>
          </w:rPr>
          <w:t>https://www.dane.gov.co/files/operaciones/FIES/bol-FIES-2022.pdf</w:t>
        </w:r>
      </w:hyperlink>
    </w:p>
    <w:p w14:paraId="64C9E2DF" w14:textId="77777777" w:rsidR="00FE4135" w:rsidRPr="00FB71FD" w:rsidRDefault="00FE4135" w:rsidP="00221BD6">
      <w:pPr>
        <w:pStyle w:val="Bullets"/>
        <w:numPr>
          <w:ilvl w:val="0"/>
          <w:numId w:val="0"/>
        </w:numPr>
        <w:ind w:left="714"/>
        <w:jc w:val="left"/>
        <w:rPr>
          <w:spacing w:val="-10"/>
        </w:rPr>
      </w:pPr>
    </w:p>
    <w:p w14:paraId="30117B1A" w14:textId="77777777" w:rsidR="00FE4135" w:rsidRPr="00FB71FD" w:rsidRDefault="00FE4135" w:rsidP="00221BD6">
      <w:pPr>
        <w:pStyle w:val="Bullets"/>
        <w:jc w:val="left"/>
        <w:rPr>
          <w:spacing w:val="-10"/>
        </w:rPr>
      </w:pPr>
      <w:r w:rsidRPr="00FB71FD">
        <w:rPr>
          <w:spacing w:val="-10"/>
        </w:rPr>
        <w:t xml:space="preserve">DANE. (2023h). Encuesta de Micronegocios 2022. Recuperado de </w:t>
      </w:r>
      <w:hyperlink r:id="rId238" w:anchor="departamental" w:history="1">
        <w:r w:rsidRPr="00FB71FD">
          <w:rPr>
            <w:rStyle w:val="Hipervnculo"/>
          </w:rPr>
          <w:t>https://www.dane.gov.co/index.php/estadisticas-por-tema/mercado-laboral/micronegocios#departamental</w:t>
        </w:r>
      </w:hyperlink>
    </w:p>
    <w:p w14:paraId="29AC521D" w14:textId="77777777" w:rsidR="00FE4135" w:rsidRPr="00FB71FD" w:rsidRDefault="00FE4135" w:rsidP="00221BD6">
      <w:pPr>
        <w:pStyle w:val="Bullets"/>
        <w:numPr>
          <w:ilvl w:val="0"/>
          <w:numId w:val="0"/>
        </w:numPr>
        <w:ind w:left="714"/>
        <w:jc w:val="left"/>
        <w:rPr>
          <w:spacing w:val="-10"/>
        </w:rPr>
      </w:pPr>
    </w:p>
    <w:p w14:paraId="52D6E8D1" w14:textId="77777777" w:rsidR="00FE4135" w:rsidRPr="00FB71FD" w:rsidRDefault="00FE4135" w:rsidP="00221BD6">
      <w:pPr>
        <w:pStyle w:val="Bullets"/>
        <w:jc w:val="left"/>
        <w:rPr>
          <w:spacing w:val="-10"/>
        </w:rPr>
      </w:pPr>
      <w:r w:rsidRPr="00FB71FD">
        <w:rPr>
          <w:spacing w:val="-10"/>
        </w:rPr>
        <w:t xml:space="preserve">DANE. (2023i). Gran Encuesta Integrada de Hogares (GEIH). Recuperado de </w:t>
      </w:r>
      <w:hyperlink r:id="rId239" w:history="1">
        <w:r w:rsidRPr="00FB71FD">
          <w:rPr>
            <w:rStyle w:val="Hipervnculo"/>
          </w:rPr>
          <w:t>https://microdatos.dane.gov.co/index.php/catalog/782</w:t>
        </w:r>
      </w:hyperlink>
    </w:p>
    <w:p w14:paraId="19AE824E" w14:textId="77777777" w:rsidR="00FE4135" w:rsidRPr="00FB71FD" w:rsidRDefault="00FE4135" w:rsidP="00221BD6">
      <w:pPr>
        <w:pStyle w:val="Bullets"/>
        <w:numPr>
          <w:ilvl w:val="0"/>
          <w:numId w:val="0"/>
        </w:numPr>
        <w:ind w:left="714"/>
        <w:jc w:val="left"/>
        <w:rPr>
          <w:spacing w:val="-10"/>
        </w:rPr>
      </w:pPr>
    </w:p>
    <w:p w14:paraId="56C99EC9" w14:textId="77777777" w:rsidR="00FE4135" w:rsidRPr="00FB71FD" w:rsidRDefault="00FE4135" w:rsidP="00221BD6">
      <w:pPr>
        <w:pStyle w:val="Bullets"/>
        <w:jc w:val="left"/>
        <w:rPr>
          <w:spacing w:val="-10"/>
        </w:rPr>
      </w:pPr>
      <w:r w:rsidRPr="00FB71FD">
        <w:rPr>
          <w:spacing w:val="-10"/>
        </w:rPr>
        <w:t xml:space="preserve">DANE. (2023j). Mercado laboral - Empleo informal y seguridad social. Recuperado de </w:t>
      </w:r>
      <w:hyperlink r:id="rId240" w:history="1">
        <w:r w:rsidRPr="00FB71FD">
          <w:rPr>
            <w:rStyle w:val="Hipervnculo"/>
          </w:rPr>
          <w:t>https://www.dane.gov.co/index.php/estadisticas-por-tema/mercado-laboral/empleo-informal-y-seguridad-social</w:t>
        </w:r>
      </w:hyperlink>
    </w:p>
    <w:p w14:paraId="0FDD648E" w14:textId="77777777" w:rsidR="00FE4135" w:rsidRPr="00FB71FD" w:rsidRDefault="00FE4135" w:rsidP="00221BD6">
      <w:pPr>
        <w:pStyle w:val="Bullets"/>
        <w:numPr>
          <w:ilvl w:val="0"/>
          <w:numId w:val="0"/>
        </w:numPr>
        <w:ind w:left="714"/>
        <w:jc w:val="left"/>
        <w:rPr>
          <w:spacing w:val="-10"/>
        </w:rPr>
      </w:pPr>
    </w:p>
    <w:p w14:paraId="3B6765C4" w14:textId="77777777" w:rsidR="00FE4135" w:rsidRPr="00FB71FD" w:rsidRDefault="00FE4135" w:rsidP="00221BD6">
      <w:pPr>
        <w:pStyle w:val="Bullets"/>
        <w:jc w:val="left"/>
        <w:rPr>
          <w:spacing w:val="-10"/>
        </w:rPr>
      </w:pPr>
      <w:r w:rsidRPr="00FB71FD">
        <w:rPr>
          <w:spacing w:val="-10"/>
        </w:rPr>
        <w:t xml:space="preserve">DANE. (2023k). Mercado laboral - Empleo y ocupación. Recuperado de </w:t>
      </w:r>
      <w:hyperlink r:id="rId241" w:history="1">
        <w:r w:rsidRPr="00FB71FD">
          <w:rPr>
            <w:rStyle w:val="Hipervnculo"/>
          </w:rPr>
          <w:t>https://www.dane.gov.co/index.php/estadisticas-por-tema/mercado-laboral/empleo-y-desempleo</w:t>
        </w:r>
      </w:hyperlink>
    </w:p>
    <w:p w14:paraId="08B7E34D" w14:textId="77777777" w:rsidR="00FE4135" w:rsidRPr="00FB71FD" w:rsidRDefault="00FE4135" w:rsidP="00221BD6">
      <w:pPr>
        <w:pStyle w:val="Bullets"/>
        <w:numPr>
          <w:ilvl w:val="0"/>
          <w:numId w:val="0"/>
        </w:numPr>
        <w:ind w:left="714"/>
        <w:jc w:val="left"/>
        <w:rPr>
          <w:spacing w:val="-10"/>
        </w:rPr>
      </w:pPr>
    </w:p>
    <w:p w14:paraId="1197C54F" w14:textId="77777777" w:rsidR="00FE4135" w:rsidRPr="00FB71FD" w:rsidRDefault="00FE4135" w:rsidP="00221BD6">
      <w:pPr>
        <w:pStyle w:val="Bullets"/>
        <w:jc w:val="left"/>
        <w:rPr>
          <w:spacing w:val="-10"/>
        </w:rPr>
      </w:pPr>
      <w:r w:rsidRPr="00FB71FD">
        <w:rPr>
          <w:spacing w:val="-10"/>
        </w:rPr>
        <w:t xml:space="preserve">DANE. (2023l). Pobreza monetaria &amp; extrema - Gran Encuesta Integrada de Hogares (2021-2022). Marco Censal 2018. Recuperado de </w:t>
      </w:r>
      <w:hyperlink r:id="rId242" w:history="1">
        <w:r w:rsidRPr="00FB71FD">
          <w:rPr>
            <w:rStyle w:val="Hipervnculo"/>
          </w:rPr>
          <w:t>https://www.dane.gov.co/index.php/estadisticas-por-tema/pobreza-y-condiciones-de-vida/pobreza-monetaria</w:t>
        </w:r>
      </w:hyperlink>
    </w:p>
    <w:p w14:paraId="0679345B" w14:textId="77777777" w:rsidR="00FE4135" w:rsidRPr="00FB71FD" w:rsidRDefault="00FE4135" w:rsidP="00221BD6">
      <w:pPr>
        <w:pStyle w:val="Bullets"/>
        <w:numPr>
          <w:ilvl w:val="0"/>
          <w:numId w:val="0"/>
        </w:numPr>
        <w:ind w:left="714"/>
        <w:jc w:val="left"/>
        <w:rPr>
          <w:spacing w:val="-10"/>
        </w:rPr>
      </w:pPr>
    </w:p>
    <w:p w14:paraId="72DA3390" w14:textId="77777777" w:rsidR="00FE4135" w:rsidRPr="00FB71FD" w:rsidRDefault="00FE4135" w:rsidP="00221BD6">
      <w:pPr>
        <w:pStyle w:val="Bullets"/>
        <w:jc w:val="left"/>
        <w:rPr>
          <w:spacing w:val="-10"/>
        </w:rPr>
      </w:pPr>
      <w:r w:rsidRPr="00FB71FD">
        <w:rPr>
          <w:spacing w:val="-10"/>
        </w:rPr>
        <w:t xml:space="preserve">DANE. (2023m). Pobreza multidimensional - Resultados 2022. Recuperado de </w:t>
      </w:r>
      <w:hyperlink r:id="rId243" w:history="1">
        <w:r w:rsidRPr="00FB71FD">
          <w:rPr>
            <w:rStyle w:val="Hipervnculo"/>
          </w:rPr>
          <w:t>https://www.dane.gov.co/files/investigaciones/condiciones_vida/pobreza/2022/presentacion-rueda-de-prensa-pobreza-multidimensional-2022.pdf</w:t>
        </w:r>
      </w:hyperlink>
    </w:p>
    <w:p w14:paraId="37F91778" w14:textId="77777777" w:rsidR="00FE4135" w:rsidRPr="00FB71FD" w:rsidRDefault="00FE4135" w:rsidP="00221BD6">
      <w:pPr>
        <w:pStyle w:val="Bullets"/>
        <w:numPr>
          <w:ilvl w:val="0"/>
          <w:numId w:val="0"/>
        </w:numPr>
        <w:ind w:left="714"/>
        <w:jc w:val="left"/>
        <w:rPr>
          <w:spacing w:val="-10"/>
        </w:rPr>
      </w:pPr>
    </w:p>
    <w:p w14:paraId="6A062FAE" w14:textId="77777777" w:rsidR="00FE4135" w:rsidRPr="00FB71FD" w:rsidRDefault="00FE4135" w:rsidP="00221BD6">
      <w:pPr>
        <w:pStyle w:val="Bullets"/>
        <w:jc w:val="left"/>
        <w:rPr>
          <w:spacing w:val="-10"/>
        </w:rPr>
      </w:pPr>
      <w:r w:rsidRPr="00FB71FD">
        <w:rPr>
          <w:spacing w:val="-10"/>
        </w:rPr>
        <w:lastRenderedPageBreak/>
        <w:t xml:space="preserve">DANE. (2023n). Producto Interno Bruto (PIB) de Bogotá D.C. Recuperado de </w:t>
      </w:r>
      <w:hyperlink r:id="rId244" w:history="1">
        <w:r w:rsidRPr="00FB71FD">
          <w:rPr>
            <w:rStyle w:val="Hipervnculo"/>
          </w:rPr>
          <w:t>https://www.dane.gov.co/files/operaciones/PIB/bol-PIBBog-IIItrim2023.pdf</w:t>
        </w:r>
      </w:hyperlink>
    </w:p>
    <w:p w14:paraId="0A60254B" w14:textId="77777777" w:rsidR="00FE4135" w:rsidRPr="00FB71FD" w:rsidRDefault="00FE4135" w:rsidP="00221BD6">
      <w:pPr>
        <w:pStyle w:val="Bullets"/>
        <w:numPr>
          <w:ilvl w:val="0"/>
          <w:numId w:val="0"/>
        </w:numPr>
        <w:ind w:left="714"/>
        <w:jc w:val="left"/>
        <w:rPr>
          <w:spacing w:val="-10"/>
        </w:rPr>
      </w:pPr>
    </w:p>
    <w:p w14:paraId="2583641F" w14:textId="77777777" w:rsidR="00FE4135" w:rsidRPr="00FB71FD" w:rsidRDefault="00FE4135" w:rsidP="00221BD6">
      <w:pPr>
        <w:pStyle w:val="Bullets"/>
        <w:jc w:val="left"/>
        <w:rPr>
          <w:spacing w:val="-10"/>
        </w:rPr>
      </w:pPr>
      <w:r w:rsidRPr="00FB71FD">
        <w:rPr>
          <w:spacing w:val="-10"/>
        </w:rPr>
        <w:t xml:space="preserve">DANE. (2023o). Proyecciones de población con la actualización post COVID-19 calculadas con base en los resultados del Censo Nacional de Población y Vivienda - CNPV-. periodo 2018-2035 por localidades y UPZ 2018-2024 por UPZ. Recuperado de </w:t>
      </w:r>
      <w:hyperlink r:id="rId245" w:history="1">
        <w:r w:rsidRPr="00FB71FD">
          <w:rPr>
            <w:rStyle w:val="Hipervnculo"/>
          </w:rPr>
          <w:t>https://www.dane.gov.co/index.php/estadisticas-por-tema/demografia-y-poblacion/proyecciones-de-poblacion/proyecciones-de-poblacion-bogota</w:t>
        </w:r>
      </w:hyperlink>
    </w:p>
    <w:p w14:paraId="3CA4C3BE" w14:textId="77777777" w:rsidR="00FE4135" w:rsidRPr="00FB71FD" w:rsidRDefault="00FE4135" w:rsidP="00221BD6">
      <w:pPr>
        <w:pStyle w:val="Bullets"/>
        <w:numPr>
          <w:ilvl w:val="0"/>
          <w:numId w:val="0"/>
        </w:numPr>
        <w:ind w:left="714"/>
        <w:jc w:val="left"/>
        <w:rPr>
          <w:spacing w:val="-10"/>
        </w:rPr>
      </w:pPr>
    </w:p>
    <w:p w14:paraId="17F618A2" w14:textId="77777777" w:rsidR="00FE4135" w:rsidRPr="00FB71FD" w:rsidRDefault="00FE4135" w:rsidP="00221BD6">
      <w:pPr>
        <w:pStyle w:val="Bullets"/>
        <w:jc w:val="left"/>
        <w:rPr>
          <w:spacing w:val="-10"/>
        </w:rPr>
      </w:pPr>
      <w:r w:rsidRPr="00FB71FD">
        <w:rPr>
          <w:spacing w:val="-10"/>
        </w:rPr>
        <w:t xml:space="preserve">DANE. (2024). Índice de Precios del Consumidor - Diciembre 2023. Recuperado de </w:t>
      </w:r>
      <w:hyperlink r:id="rId246" w:history="1">
        <w:r w:rsidRPr="00FB71FD">
          <w:rPr>
            <w:rStyle w:val="Hipervnculo"/>
          </w:rPr>
          <w:t>https://www.dane.gov.co/index.php/estadisticas-por-tema/precios-y-costos/indice-de-precios-al-consumidor-ipc/ipc-informacion-tecnica</w:t>
        </w:r>
      </w:hyperlink>
    </w:p>
    <w:p w14:paraId="571BB2B3" w14:textId="77777777" w:rsidR="00FE4135" w:rsidRPr="00FB71FD" w:rsidRDefault="00FE4135" w:rsidP="00221BD6">
      <w:pPr>
        <w:pStyle w:val="Bullets"/>
        <w:numPr>
          <w:ilvl w:val="0"/>
          <w:numId w:val="0"/>
        </w:numPr>
        <w:ind w:left="714"/>
        <w:jc w:val="left"/>
        <w:rPr>
          <w:spacing w:val="-10"/>
        </w:rPr>
      </w:pPr>
    </w:p>
    <w:p w14:paraId="5CA3718A" w14:textId="77777777" w:rsidR="00FE4135" w:rsidRPr="00FB71FD" w:rsidRDefault="00FE4135" w:rsidP="00221BD6">
      <w:pPr>
        <w:pStyle w:val="Bullets"/>
        <w:jc w:val="left"/>
        <w:rPr>
          <w:spacing w:val="-10"/>
        </w:rPr>
      </w:pPr>
      <w:r w:rsidRPr="00FB71FD">
        <w:rPr>
          <w:spacing w:val="-10"/>
        </w:rPr>
        <w:t xml:space="preserve">DANE-SDP. (2014). Encuesta Multipropósito 2014. Recuperado de </w:t>
      </w:r>
      <w:hyperlink r:id="rId247" w:history="1">
        <w:r w:rsidRPr="00FB71FD">
          <w:rPr>
            <w:rStyle w:val="Hipervnculo"/>
          </w:rPr>
          <w:t>https://www.sdp.gov.co/gestion-estudios-estrategicos/estudios-macro/encuesta-multiproposito/encuesta-multiproposito-2014</w:t>
        </w:r>
      </w:hyperlink>
    </w:p>
    <w:p w14:paraId="0547A649" w14:textId="77777777" w:rsidR="00FE4135" w:rsidRPr="00FB71FD" w:rsidRDefault="00FE4135" w:rsidP="00221BD6">
      <w:pPr>
        <w:pStyle w:val="Bullets"/>
        <w:numPr>
          <w:ilvl w:val="0"/>
          <w:numId w:val="0"/>
        </w:numPr>
        <w:ind w:left="714"/>
        <w:jc w:val="left"/>
        <w:rPr>
          <w:spacing w:val="-10"/>
        </w:rPr>
      </w:pPr>
    </w:p>
    <w:p w14:paraId="28C2E842" w14:textId="77777777" w:rsidR="00FE4135" w:rsidRPr="00FB71FD" w:rsidRDefault="00FE4135" w:rsidP="00221BD6">
      <w:pPr>
        <w:pStyle w:val="Bullets"/>
        <w:jc w:val="left"/>
        <w:rPr>
          <w:spacing w:val="-10"/>
        </w:rPr>
      </w:pPr>
      <w:r w:rsidRPr="00FB71FD">
        <w:rPr>
          <w:spacing w:val="-10"/>
        </w:rPr>
        <w:t xml:space="preserve">DANE-SDP. (2017). Encuesta Multipropósito 2017. Recuperado de </w:t>
      </w:r>
      <w:hyperlink r:id="rId248" w:history="1">
        <w:r w:rsidRPr="00FB71FD">
          <w:rPr>
            <w:rStyle w:val="Hipervnculo"/>
          </w:rPr>
          <w:t>https://www.sdp.gov.co/gestion-estudios-estrategicos/estudios-macro/encuesta-multiproposito</w:t>
        </w:r>
      </w:hyperlink>
    </w:p>
    <w:p w14:paraId="5854E61F" w14:textId="77777777" w:rsidR="00FE4135" w:rsidRPr="00FB71FD" w:rsidRDefault="00FE4135" w:rsidP="00221BD6">
      <w:pPr>
        <w:pStyle w:val="Bullets"/>
        <w:numPr>
          <w:ilvl w:val="0"/>
          <w:numId w:val="0"/>
        </w:numPr>
        <w:ind w:left="714"/>
        <w:jc w:val="left"/>
        <w:rPr>
          <w:spacing w:val="-10"/>
        </w:rPr>
      </w:pPr>
    </w:p>
    <w:p w14:paraId="4C0D0B4D" w14:textId="77777777" w:rsidR="00FE4135" w:rsidRPr="00FB71FD" w:rsidRDefault="00FE4135" w:rsidP="00221BD6">
      <w:pPr>
        <w:pStyle w:val="Bullets"/>
        <w:jc w:val="left"/>
        <w:rPr>
          <w:spacing w:val="-10"/>
        </w:rPr>
      </w:pPr>
      <w:r w:rsidRPr="00FB71FD">
        <w:rPr>
          <w:spacing w:val="-10"/>
        </w:rPr>
        <w:t xml:space="preserve">DANE-SDP. (2021). Encuesta Multipropósito 2021. Recuperado de </w:t>
      </w:r>
      <w:hyperlink r:id="rId249" w:history="1">
        <w:r w:rsidRPr="00FB71FD">
          <w:rPr>
            <w:rStyle w:val="Hipervnculo"/>
          </w:rPr>
          <w:t>https://www.sdp.gov.co/gestion-estudios-estrategicos/estudios-macro/encuesta-multiproposito</w:t>
        </w:r>
      </w:hyperlink>
    </w:p>
    <w:p w14:paraId="2B777339" w14:textId="77777777" w:rsidR="00FE4135" w:rsidRPr="00FB71FD" w:rsidRDefault="00FE4135" w:rsidP="00221BD6">
      <w:pPr>
        <w:pStyle w:val="Bullets"/>
        <w:numPr>
          <w:ilvl w:val="0"/>
          <w:numId w:val="0"/>
        </w:numPr>
        <w:ind w:left="714"/>
        <w:jc w:val="left"/>
        <w:rPr>
          <w:spacing w:val="-10"/>
        </w:rPr>
      </w:pPr>
    </w:p>
    <w:p w14:paraId="208C1AEA" w14:textId="77777777" w:rsidR="00FE4135" w:rsidRPr="00FB71FD" w:rsidRDefault="00FE4135" w:rsidP="00221BD6">
      <w:pPr>
        <w:pStyle w:val="Bullets"/>
        <w:jc w:val="left"/>
        <w:rPr>
          <w:spacing w:val="-10"/>
        </w:rPr>
      </w:pPr>
      <w:r w:rsidRPr="00FB71FD">
        <w:rPr>
          <w:spacing w:val="-10"/>
        </w:rPr>
        <w:t xml:space="preserve">Departamento Administrativo de la Función Pública. (2022). Índice de Medición del Desempeño Institucional – IDI- Resultado de la medición 2022. Recuperado de </w:t>
      </w:r>
      <w:hyperlink r:id="rId250" w:history="1">
        <w:r w:rsidRPr="00FB71FD">
          <w:rPr>
            <w:rStyle w:val="Hipervnculo"/>
          </w:rPr>
          <w:t>https://www.funcionpublica.gov.co/web/mipg/resultados-medicion</w:t>
        </w:r>
      </w:hyperlink>
    </w:p>
    <w:p w14:paraId="39F1483E" w14:textId="77777777" w:rsidR="00FE4135" w:rsidRPr="00FB71FD" w:rsidRDefault="00FE4135" w:rsidP="00221BD6">
      <w:pPr>
        <w:pStyle w:val="Bullets"/>
        <w:numPr>
          <w:ilvl w:val="0"/>
          <w:numId w:val="0"/>
        </w:numPr>
        <w:ind w:left="714"/>
        <w:jc w:val="left"/>
        <w:rPr>
          <w:spacing w:val="-10"/>
        </w:rPr>
      </w:pPr>
    </w:p>
    <w:p w14:paraId="786D4611" w14:textId="77777777" w:rsidR="00FE4135" w:rsidRPr="00FB71FD" w:rsidRDefault="00FE4135" w:rsidP="00221BD6">
      <w:pPr>
        <w:pStyle w:val="Bullets"/>
        <w:jc w:val="left"/>
        <w:rPr>
          <w:spacing w:val="-10"/>
        </w:rPr>
      </w:pPr>
      <w:r w:rsidRPr="00FB71FD">
        <w:rPr>
          <w:spacing w:val="-10"/>
        </w:rPr>
        <w:t>Departamento Administrativo de la Función Pública. (2023). Medición Índice Desempeño Institucional vigencia 2023.</w:t>
      </w:r>
    </w:p>
    <w:p w14:paraId="1325E853" w14:textId="77777777" w:rsidR="00FE4135" w:rsidRPr="00FB71FD" w:rsidRDefault="00FE4135" w:rsidP="00221BD6">
      <w:pPr>
        <w:pStyle w:val="Bullets"/>
        <w:numPr>
          <w:ilvl w:val="0"/>
          <w:numId w:val="0"/>
        </w:numPr>
        <w:ind w:left="714"/>
        <w:jc w:val="left"/>
        <w:rPr>
          <w:spacing w:val="-10"/>
        </w:rPr>
      </w:pPr>
    </w:p>
    <w:p w14:paraId="304E6C3B" w14:textId="77777777" w:rsidR="00FE4135" w:rsidRPr="00FB71FD" w:rsidRDefault="00FE4135" w:rsidP="00221BD6">
      <w:pPr>
        <w:pStyle w:val="Bullets"/>
        <w:jc w:val="left"/>
        <w:rPr>
          <w:spacing w:val="-10"/>
        </w:rPr>
      </w:pPr>
      <w:r w:rsidRPr="00FB71FD">
        <w:rPr>
          <w:spacing w:val="-10"/>
        </w:rPr>
        <w:t xml:space="preserve">Departamento Administrativo del Servicio Civil Distrital (2024). Sistema de información distrital del empleo y la administración pública (SIDEAP), información con corte febrero 2024. Recuperado de </w:t>
      </w:r>
      <w:hyperlink r:id="rId251" w:history="1">
        <w:r w:rsidRPr="00FB71FD">
          <w:rPr>
            <w:rStyle w:val="Hipervnculo"/>
          </w:rPr>
          <w:t>https://www.serviciocivil.gov.co/tablero-de-control</w:t>
        </w:r>
      </w:hyperlink>
    </w:p>
    <w:p w14:paraId="4B9AD020" w14:textId="77777777" w:rsidR="00FE4135" w:rsidRPr="00FB71FD" w:rsidRDefault="00FE4135" w:rsidP="00221BD6">
      <w:pPr>
        <w:pStyle w:val="Bullets"/>
        <w:numPr>
          <w:ilvl w:val="0"/>
          <w:numId w:val="0"/>
        </w:numPr>
        <w:ind w:left="714"/>
        <w:jc w:val="left"/>
        <w:rPr>
          <w:spacing w:val="-10"/>
        </w:rPr>
      </w:pPr>
    </w:p>
    <w:p w14:paraId="0D2F3A6A" w14:textId="77777777" w:rsidR="00FE4135" w:rsidRPr="00FB71FD" w:rsidRDefault="00FE4135" w:rsidP="00221BD6">
      <w:pPr>
        <w:pStyle w:val="Bullets"/>
        <w:jc w:val="left"/>
        <w:rPr>
          <w:spacing w:val="-10"/>
        </w:rPr>
      </w:pPr>
      <w:r w:rsidRPr="00FB71FD">
        <w:rPr>
          <w:spacing w:val="-10"/>
        </w:rPr>
        <w:t xml:space="preserve">Departamento Administrativo del Servicio Civil Distrital -DASCD (2024). Sistema de Analítica de Datos del Talento Humano. Recuperado de </w:t>
      </w:r>
      <w:hyperlink r:id="rId252" w:history="1">
        <w:r w:rsidRPr="00FB71FD">
          <w:rPr>
            <w:rStyle w:val="Hipervnculo"/>
          </w:rPr>
          <w:t>https://serviciocivil.gov.co/tablero-de-control</w:t>
        </w:r>
      </w:hyperlink>
    </w:p>
    <w:p w14:paraId="67E09F5D" w14:textId="77777777" w:rsidR="00FE4135" w:rsidRPr="00FB71FD" w:rsidRDefault="00FE4135" w:rsidP="00221BD6">
      <w:pPr>
        <w:pStyle w:val="Bullets"/>
        <w:numPr>
          <w:ilvl w:val="0"/>
          <w:numId w:val="0"/>
        </w:numPr>
        <w:ind w:left="714"/>
        <w:jc w:val="left"/>
        <w:rPr>
          <w:spacing w:val="-10"/>
        </w:rPr>
      </w:pPr>
    </w:p>
    <w:p w14:paraId="2F4EAF18" w14:textId="77777777" w:rsidR="00FE4135" w:rsidRPr="00FB71FD" w:rsidRDefault="00FE4135" w:rsidP="00221BD6">
      <w:pPr>
        <w:pStyle w:val="Bullets"/>
        <w:jc w:val="left"/>
        <w:rPr>
          <w:spacing w:val="-10"/>
        </w:rPr>
      </w:pPr>
      <w:r w:rsidRPr="00FB71FD">
        <w:rPr>
          <w:spacing w:val="-10"/>
        </w:rPr>
        <w:t>Departamento Administrativo del Servicio Civil Distrital -DASCD (2022). Índice de Desarrollo del Servicio Civil Distrital (IDSCD). Medición 2022.</w:t>
      </w:r>
    </w:p>
    <w:p w14:paraId="789FEC4E" w14:textId="77777777" w:rsidR="00FE4135" w:rsidRPr="00FB71FD" w:rsidRDefault="00FE4135" w:rsidP="00221BD6">
      <w:pPr>
        <w:pStyle w:val="Bullets"/>
        <w:numPr>
          <w:ilvl w:val="0"/>
          <w:numId w:val="0"/>
        </w:numPr>
        <w:ind w:left="714"/>
        <w:jc w:val="left"/>
        <w:rPr>
          <w:spacing w:val="-10"/>
        </w:rPr>
      </w:pPr>
    </w:p>
    <w:p w14:paraId="2A395C35" w14:textId="77777777" w:rsidR="00FE4135" w:rsidRPr="00FB71FD" w:rsidRDefault="00FE4135" w:rsidP="00221BD6">
      <w:pPr>
        <w:pStyle w:val="Bullets"/>
        <w:jc w:val="left"/>
        <w:rPr>
          <w:spacing w:val="-10"/>
        </w:rPr>
      </w:pPr>
      <w:r w:rsidRPr="00FB71FD">
        <w:rPr>
          <w:spacing w:val="-10"/>
        </w:rPr>
        <w:t xml:space="preserve">Departamento Administrativo del Servicio Civil Distrital -DASCD (2024). Sistema de Analítica de Datos del Talento Humano. Recuperado de </w:t>
      </w:r>
      <w:hyperlink r:id="rId253" w:history="1">
        <w:r w:rsidRPr="00FB71FD">
          <w:rPr>
            <w:rStyle w:val="Hipervnculo"/>
          </w:rPr>
          <w:t>https://serviciocivil.gov.co/tablero-de-control</w:t>
        </w:r>
      </w:hyperlink>
    </w:p>
    <w:p w14:paraId="75931812" w14:textId="77777777" w:rsidR="00FE4135" w:rsidRPr="00FB71FD" w:rsidRDefault="00FE4135" w:rsidP="00221BD6">
      <w:pPr>
        <w:pStyle w:val="Bullets"/>
        <w:numPr>
          <w:ilvl w:val="0"/>
          <w:numId w:val="0"/>
        </w:numPr>
        <w:ind w:left="714"/>
        <w:jc w:val="left"/>
        <w:rPr>
          <w:spacing w:val="-10"/>
        </w:rPr>
      </w:pPr>
    </w:p>
    <w:p w14:paraId="270F5AEF" w14:textId="77777777" w:rsidR="00FE4135" w:rsidRPr="00FB71FD" w:rsidRDefault="00FE4135" w:rsidP="00221BD6">
      <w:pPr>
        <w:pStyle w:val="Bullets"/>
        <w:jc w:val="left"/>
        <w:rPr>
          <w:spacing w:val="-10"/>
        </w:rPr>
      </w:pPr>
      <w:r w:rsidRPr="00FB71FD">
        <w:rPr>
          <w:spacing w:val="-10"/>
        </w:rPr>
        <w:t xml:space="preserve">Departamento Administrativo del Servicio Civil Distrital. (2022) Informe de evaluación Política Pública Distrital de Gestión Integral de Talento Humano 2019-2030. Recuperado de </w:t>
      </w:r>
      <w:hyperlink r:id="rId254" w:history="1">
        <w:r w:rsidRPr="00FB71FD">
          <w:rPr>
            <w:rStyle w:val="Hipervnculo"/>
          </w:rPr>
          <w:t>https://serviciocivil.gov.co/sites/default/files/2024-02/1-INFORME-FINAL%20EVALUACI%C3%93N-PPGITH_%20ENE%202_compressed.pdf</w:t>
        </w:r>
      </w:hyperlink>
    </w:p>
    <w:p w14:paraId="132047FC" w14:textId="77777777" w:rsidR="00FE4135" w:rsidRPr="00FB71FD" w:rsidRDefault="00FE4135" w:rsidP="00221BD6">
      <w:pPr>
        <w:pStyle w:val="Bullets"/>
        <w:numPr>
          <w:ilvl w:val="0"/>
          <w:numId w:val="0"/>
        </w:numPr>
        <w:ind w:left="714"/>
        <w:jc w:val="left"/>
        <w:rPr>
          <w:spacing w:val="-10"/>
        </w:rPr>
      </w:pPr>
    </w:p>
    <w:p w14:paraId="58765B1F" w14:textId="77777777" w:rsidR="00FE4135" w:rsidRPr="00FB71FD" w:rsidRDefault="00FE4135" w:rsidP="00221BD6">
      <w:pPr>
        <w:pStyle w:val="Bullets"/>
        <w:jc w:val="left"/>
        <w:rPr>
          <w:spacing w:val="-10"/>
        </w:rPr>
      </w:pPr>
      <w:r w:rsidRPr="00FB71FD">
        <w:rPr>
          <w:spacing w:val="-10"/>
        </w:rPr>
        <w:lastRenderedPageBreak/>
        <w:t xml:space="preserve">Departamento Nacional de Planeación. (2018). Atlas de la aglomeración de Bogotá. Recuperado de </w:t>
      </w:r>
      <w:hyperlink r:id="rId255" w:history="1">
        <w:r w:rsidRPr="00FB71FD">
          <w:rPr>
            <w:rStyle w:val="Hipervnculo"/>
          </w:rPr>
          <w:t>https://osc.dnp.gov.co/administrator/components/com_publicaciones/uploads/Atlas_Aglomeracin_de_Bogot.pdf</w:t>
        </w:r>
      </w:hyperlink>
    </w:p>
    <w:p w14:paraId="4F92A687" w14:textId="77777777" w:rsidR="00FE4135" w:rsidRPr="00FB71FD" w:rsidRDefault="00FE4135" w:rsidP="00221BD6">
      <w:pPr>
        <w:pStyle w:val="Bullets"/>
        <w:numPr>
          <w:ilvl w:val="0"/>
          <w:numId w:val="0"/>
        </w:numPr>
        <w:ind w:left="714"/>
        <w:jc w:val="left"/>
        <w:rPr>
          <w:spacing w:val="-10"/>
        </w:rPr>
      </w:pPr>
    </w:p>
    <w:p w14:paraId="480B62F5" w14:textId="77777777" w:rsidR="00FE4135" w:rsidRPr="00FB71FD" w:rsidRDefault="00FE4135" w:rsidP="00221BD6">
      <w:pPr>
        <w:pStyle w:val="Bullets"/>
        <w:jc w:val="left"/>
        <w:rPr>
          <w:spacing w:val="-10"/>
        </w:rPr>
      </w:pPr>
      <w:r w:rsidRPr="00FB71FD">
        <w:rPr>
          <w:spacing w:val="-10"/>
        </w:rPr>
        <w:t xml:space="preserve">Departamento Nacional de Planeación. (2021). Índice de Capacidades para la Innovación Pública ICIP. Recuperado de </w:t>
      </w:r>
      <w:hyperlink r:id="rId256" w:history="1">
        <w:r w:rsidRPr="00FB71FD">
          <w:rPr>
            <w:rStyle w:val="Hipervnculo"/>
          </w:rPr>
          <w:t>https://colaboracion.dnp.gov.co/CDT/ModernizacionEstado/EiP/Indice_de_capacidades_para_la_innovacion_publica_ICIP_2021.pdf</w:t>
        </w:r>
      </w:hyperlink>
    </w:p>
    <w:p w14:paraId="77E029A4" w14:textId="77777777" w:rsidR="00FE4135" w:rsidRPr="00FB71FD" w:rsidRDefault="00FE4135" w:rsidP="00221BD6">
      <w:pPr>
        <w:pStyle w:val="Bullets"/>
        <w:numPr>
          <w:ilvl w:val="0"/>
          <w:numId w:val="0"/>
        </w:numPr>
        <w:ind w:left="714"/>
        <w:jc w:val="left"/>
        <w:rPr>
          <w:spacing w:val="-10"/>
        </w:rPr>
      </w:pPr>
    </w:p>
    <w:p w14:paraId="6DAA7435" w14:textId="77777777" w:rsidR="00FE4135" w:rsidRPr="00FB71FD" w:rsidRDefault="00FE4135" w:rsidP="00221BD6">
      <w:pPr>
        <w:pStyle w:val="Bullets"/>
        <w:jc w:val="left"/>
        <w:rPr>
          <w:spacing w:val="-10"/>
        </w:rPr>
      </w:pPr>
      <w:r w:rsidRPr="00FB71FD">
        <w:rPr>
          <w:spacing w:val="-10"/>
        </w:rPr>
        <w:t>Diagnóstico Sector Ambiente. (2023). Bases de Diagnostico Para Plan Distrital De Desarrollo 2024 – 2028.</w:t>
      </w:r>
    </w:p>
    <w:p w14:paraId="3F390A5E" w14:textId="77777777" w:rsidR="00FE4135" w:rsidRPr="00FB71FD" w:rsidRDefault="00FE4135" w:rsidP="00221BD6">
      <w:pPr>
        <w:pStyle w:val="Bullets"/>
        <w:numPr>
          <w:ilvl w:val="0"/>
          <w:numId w:val="0"/>
        </w:numPr>
        <w:ind w:left="714"/>
        <w:jc w:val="left"/>
        <w:rPr>
          <w:spacing w:val="-10"/>
        </w:rPr>
      </w:pPr>
    </w:p>
    <w:p w14:paraId="0A4F8E65" w14:textId="77777777" w:rsidR="00FE4135" w:rsidRPr="00FB71FD" w:rsidRDefault="00FE4135" w:rsidP="00221BD6">
      <w:pPr>
        <w:pStyle w:val="Bullets"/>
        <w:jc w:val="left"/>
        <w:rPr>
          <w:spacing w:val="-10"/>
        </w:rPr>
      </w:pPr>
      <w:r w:rsidRPr="00FB71FD">
        <w:rPr>
          <w:spacing w:val="-10"/>
        </w:rPr>
        <w:t>Dini, M., &amp; Stumpo, G. (2020). Mipymes en América Latina: un frágil desempeño y nuevos desafíos para las políticas de fomento. Comisión Económica para América Latina y el Caribe (CEPAL).</w:t>
      </w:r>
    </w:p>
    <w:p w14:paraId="29166ECB" w14:textId="77777777" w:rsidR="00FE4135" w:rsidRPr="00FB71FD" w:rsidRDefault="00FE4135" w:rsidP="00221BD6">
      <w:pPr>
        <w:pStyle w:val="Bullets"/>
        <w:numPr>
          <w:ilvl w:val="0"/>
          <w:numId w:val="0"/>
        </w:numPr>
        <w:ind w:left="714"/>
        <w:jc w:val="left"/>
        <w:rPr>
          <w:spacing w:val="-10"/>
        </w:rPr>
      </w:pPr>
    </w:p>
    <w:p w14:paraId="5CA51AC4" w14:textId="77777777" w:rsidR="00FE4135" w:rsidRPr="00FB71FD" w:rsidRDefault="00FE4135" w:rsidP="00221BD6">
      <w:pPr>
        <w:pStyle w:val="Bullets"/>
        <w:jc w:val="left"/>
        <w:rPr>
          <w:spacing w:val="-10"/>
        </w:rPr>
      </w:pPr>
      <w:r w:rsidRPr="00FB71FD">
        <w:rPr>
          <w:spacing w:val="-10"/>
        </w:rPr>
        <w:t xml:space="preserve">DNP. (2023). Colombia está retrasada en los Objetivos de Desarrollo Sostenible (ODS) y debe fortalecer su implementación, revela informe del DNP. Recuperado de </w:t>
      </w:r>
      <w:hyperlink r:id="rId257" w:history="1">
        <w:r w:rsidRPr="00FB71FD">
          <w:rPr>
            <w:rStyle w:val="Hipervnculo"/>
          </w:rPr>
          <w:t>https://www.dnp.gov.co:443/Prensa_/Noticias/Paginas/colombia-esta-retrasada-en-los-objetivos-de-desarrollo-sostenible-ods-y-debe-fortalecer-su-implementacion-revela-informe.aspx</w:t>
        </w:r>
      </w:hyperlink>
    </w:p>
    <w:p w14:paraId="4500B3CF" w14:textId="77777777" w:rsidR="00FE4135" w:rsidRPr="00FB71FD" w:rsidRDefault="00FE4135" w:rsidP="00221BD6">
      <w:pPr>
        <w:pStyle w:val="Bullets"/>
        <w:numPr>
          <w:ilvl w:val="0"/>
          <w:numId w:val="0"/>
        </w:numPr>
        <w:ind w:left="714"/>
        <w:jc w:val="left"/>
        <w:rPr>
          <w:spacing w:val="-10"/>
        </w:rPr>
      </w:pPr>
    </w:p>
    <w:p w14:paraId="46FEE789" w14:textId="77777777" w:rsidR="00FE4135" w:rsidRPr="00FB71FD" w:rsidRDefault="00FE4135" w:rsidP="00221BD6">
      <w:pPr>
        <w:pStyle w:val="Bullets"/>
        <w:jc w:val="left"/>
        <w:rPr>
          <w:spacing w:val="-10"/>
        </w:rPr>
      </w:pPr>
      <w:r w:rsidRPr="00FB71FD">
        <w:rPr>
          <w:spacing w:val="-10"/>
        </w:rPr>
        <w:t>Documento CONPES D.C. N.º 13. Política Pública Distrital de Educación Ambiental 2019-2030.</w:t>
      </w:r>
    </w:p>
    <w:p w14:paraId="3C055CB8" w14:textId="77777777" w:rsidR="00FE4135" w:rsidRPr="00FB71FD" w:rsidRDefault="00FE4135" w:rsidP="00221BD6">
      <w:pPr>
        <w:pStyle w:val="Bullets"/>
        <w:numPr>
          <w:ilvl w:val="0"/>
          <w:numId w:val="0"/>
        </w:numPr>
        <w:ind w:left="714"/>
        <w:jc w:val="left"/>
        <w:rPr>
          <w:spacing w:val="-10"/>
        </w:rPr>
      </w:pPr>
    </w:p>
    <w:p w14:paraId="34C2D28A" w14:textId="77777777" w:rsidR="00FE4135" w:rsidRPr="00FB71FD" w:rsidRDefault="00FE4135" w:rsidP="00221BD6">
      <w:pPr>
        <w:pStyle w:val="Bullets"/>
        <w:jc w:val="left"/>
        <w:rPr>
          <w:spacing w:val="-10"/>
        </w:rPr>
      </w:pPr>
      <w:r w:rsidRPr="00FB71FD">
        <w:rPr>
          <w:spacing w:val="-10"/>
        </w:rPr>
        <w:t>Documento CONPES D.C. N.º 14. Política Pública de Mujer y Equidad de Género 2020-2030”.</w:t>
      </w:r>
    </w:p>
    <w:p w14:paraId="3113CDDA" w14:textId="77777777" w:rsidR="00FE4135" w:rsidRPr="00FB71FD" w:rsidRDefault="00FE4135" w:rsidP="00221BD6">
      <w:pPr>
        <w:pStyle w:val="Bullets"/>
        <w:numPr>
          <w:ilvl w:val="0"/>
          <w:numId w:val="0"/>
        </w:numPr>
        <w:ind w:left="714"/>
        <w:jc w:val="left"/>
        <w:rPr>
          <w:spacing w:val="-10"/>
        </w:rPr>
      </w:pPr>
    </w:p>
    <w:p w14:paraId="5FCCF63D" w14:textId="77777777" w:rsidR="00FE4135" w:rsidRPr="00FB71FD" w:rsidRDefault="00FE4135" w:rsidP="00221BD6">
      <w:pPr>
        <w:pStyle w:val="Bullets"/>
        <w:jc w:val="left"/>
        <w:rPr>
          <w:spacing w:val="-10"/>
        </w:rPr>
      </w:pPr>
      <w:r w:rsidRPr="00FB71FD">
        <w:rPr>
          <w:spacing w:val="-10"/>
        </w:rPr>
        <w:t>Documento CONPES D.C. N.º 22. Actualización del Plan de Acción de la Política Pública Para La Gestión De La Conservación De La Biodiversidad En El Distrito Capital 2022-2038.</w:t>
      </w:r>
    </w:p>
    <w:p w14:paraId="550F7E64" w14:textId="77777777" w:rsidR="00FE4135" w:rsidRPr="00FB71FD" w:rsidRDefault="00FE4135" w:rsidP="00221BD6">
      <w:pPr>
        <w:pStyle w:val="Bullets"/>
        <w:numPr>
          <w:ilvl w:val="0"/>
          <w:numId w:val="0"/>
        </w:numPr>
        <w:ind w:left="714"/>
        <w:jc w:val="left"/>
        <w:rPr>
          <w:spacing w:val="-10"/>
        </w:rPr>
      </w:pPr>
    </w:p>
    <w:p w14:paraId="4E70A250" w14:textId="77777777" w:rsidR="00FE4135" w:rsidRPr="00FB71FD" w:rsidRDefault="00FE4135" w:rsidP="00221BD6">
      <w:pPr>
        <w:pStyle w:val="Bullets"/>
        <w:jc w:val="left"/>
        <w:rPr>
          <w:spacing w:val="-10"/>
        </w:rPr>
      </w:pPr>
      <w:r w:rsidRPr="00FB71FD">
        <w:rPr>
          <w:spacing w:val="-10"/>
        </w:rPr>
        <w:t>Documento CONPES D.C. N.º 23. Política Pública De Acción Climática 2023-2050.</w:t>
      </w:r>
    </w:p>
    <w:p w14:paraId="520FA4B0" w14:textId="77777777" w:rsidR="00FE4135" w:rsidRPr="00FB71FD" w:rsidRDefault="00FE4135" w:rsidP="00221BD6">
      <w:pPr>
        <w:pStyle w:val="Bullets"/>
        <w:numPr>
          <w:ilvl w:val="0"/>
          <w:numId w:val="0"/>
        </w:numPr>
        <w:ind w:left="714"/>
        <w:jc w:val="left"/>
        <w:rPr>
          <w:spacing w:val="-10"/>
        </w:rPr>
      </w:pPr>
    </w:p>
    <w:p w14:paraId="3D2DD4AC" w14:textId="77777777" w:rsidR="00FE4135" w:rsidRPr="00FB71FD" w:rsidRDefault="00FE4135" w:rsidP="00221BD6">
      <w:pPr>
        <w:pStyle w:val="Bullets"/>
        <w:jc w:val="left"/>
        <w:rPr>
          <w:spacing w:val="-10"/>
        </w:rPr>
      </w:pPr>
      <w:r w:rsidRPr="00FB71FD">
        <w:rPr>
          <w:spacing w:val="-10"/>
        </w:rPr>
        <w:t>Documento CONPES D.C. N.º 35 “Política Pública Distrital de Economía Circular”.</w:t>
      </w:r>
    </w:p>
    <w:p w14:paraId="22449112" w14:textId="77777777" w:rsidR="00FE4135" w:rsidRPr="00FB71FD" w:rsidRDefault="00FE4135" w:rsidP="00221BD6">
      <w:pPr>
        <w:pStyle w:val="Bullets"/>
        <w:numPr>
          <w:ilvl w:val="0"/>
          <w:numId w:val="0"/>
        </w:numPr>
        <w:ind w:left="714"/>
        <w:jc w:val="left"/>
        <w:rPr>
          <w:spacing w:val="-10"/>
        </w:rPr>
      </w:pPr>
    </w:p>
    <w:p w14:paraId="3B7E1710" w14:textId="77777777" w:rsidR="00FE4135" w:rsidRPr="00FB71FD" w:rsidRDefault="00FE4135" w:rsidP="00221BD6">
      <w:pPr>
        <w:pStyle w:val="Bullets"/>
        <w:jc w:val="left"/>
        <w:rPr>
          <w:spacing w:val="-10"/>
        </w:rPr>
      </w:pPr>
      <w:r w:rsidRPr="00FB71FD">
        <w:rPr>
          <w:spacing w:val="-10"/>
        </w:rPr>
        <w:t>Documento CONPES D.C. N.º. 17. Política Pública Distrital De Protección Y Bienestar Animal 2014-2038.</w:t>
      </w:r>
    </w:p>
    <w:p w14:paraId="6F478B24" w14:textId="77777777" w:rsidR="00FE4135" w:rsidRPr="00FB71FD" w:rsidRDefault="00FE4135" w:rsidP="00221BD6">
      <w:pPr>
        <w:pStyle w:val="Bullets"/>
        <w:numPr>
          <w:ilvl w:val="0"/>
          <w:numId w:val="0"/>
        </w:numPr>
        <w:ind w:left="714"/>
        <w:jc w:val="left"/>
        <w:rPr>
          <w:spacing w:val="-10"/>
        </w:rPr>
      </w:pPr>
    </w:p>
    <w:p w14:paraId="26B1C51D" w14:textId="77777777" w:rsidR="00FE4135" w:rsidRPr="00FB71FD" w:rsidRDefault="00FE4135" w:rsidP="00221BD6">
      <w:pPr>
        <w:pStyle w:val="Bullets"/>
        <w:jc w:val="left"/>
        <w:rPr>
          <w:spacing w:val="-10"/>
        </w:rPr>
      </w:pPr>
      <w:r w:rsidRPr="00FB71FD">
        <w:rPr>
          <w:spacing w:val="-10"/>
        </w:rPr>
        <w:t xml:space="preserve">Documento Conpes No. 14. Política Püblica de Mujer y Eqidad de Género 2020 - 2030. Recuperado de </w:t>
      </w:r>
      <w:hyperlink r:id="rId258" w:history="1">
        <w:r w:rsidRPr="00FB71FD">
          <w:rPr>
            <w:rStyle w:val="Hipervnculo"/>
          </w:rPr>
          <w:t>https://www.sdp.gov.co/content/politica-publica-de</w:t>
        </w:r>
      </w:hyperlink>
    </w:p>
    <w:p w14:paraId="0CE3A5B5" w14:textId="77777777" w:rsidR="00FE4135" w:rsidRPr="00FB71FD" w:rsidRDefault="00FE4135" w:rsidP="00221BD6">
      <w:pPr>
        <w:pStyle w:val="Bullets"/>
        <w:numPr>
          <w:ilvl w:val="0"/>
          <w:numId w:val="0"/>
        </w:numPr>
        <w:ind w:left="714"/>
        <w:jc w:val="left"/>
        <w:rPr>
          <w:spacing w:val="-10"/>
        </w:rPr>
      </w:pPr>
    </w:p>
    <w:p w14:paraId="1458BEC3" w14:textId="77777777" w:rsidR="00FE4135" w:rsidRPr="00FB71FD" w:rsidRDefault="00FE4135" w:rsidP="00221BD6">
      <w:pPr>
        <w:pStyle w:val="Bullets"/>
        <w:jc w:val="left"/>
        <w:rPr>
          <w:spacing w:val="-10"/>
        </w:rPr>
      </w:pPr>
      <w:r w:rsidRPr="00FB71FD">
        <w:rPr>
          <w:spacing w:val="-10"/>
        </w:rPr>
        <w:t>Econometría-Tecnopolis. (2022). Propuesta de Política de CTI en salud 2022-2032.</w:t>
      </w:r>
    </w:p>
    <w:p w14:paraId="2B9B068C" w14:textId="77777777" w:rsidR="00FE4135" w:rsidRPr="00FB71FD" w:rsidRDefault="00FE4135" w:rsidP="00221BD6">
      <w:pPr>
        <w:pStyle w:val="Bullets"/>
        <w:numPr>
          <w:ilvl w:val="0"/>
          <w:numId w:val="0"/>
        </w:numPr>
        <w:ind w:left="714"/>
        <w:jc w:val="left"/>
        <w:rPr>
          <w:spacing w:val="-10"/>
        </w:rPr>
      </w:pPr>
    </w:p>
    <w:p w14:paraId="7556FC2D" w14:textId="77777777" w:rsidR="00FE4135" w:rsidRPr="00FB71FD" w:rsidRDefault="00FE4135" w:rsidP="00221BD6">
      <w:pPr>
        <w:pStyle w:val="Bullets"/>
        <w:jc w:val="left"/>
        <w:rPr>
          <w:spacing w:val="-10"/>
        </w:rPr>
      </w:pPr>
      <w:r w:rsidRPr="00FB71FD">
        <w:rPr>
          <w:spacing w:val="-10"/>
        </w:rPr>
        <w:t xml:space="preserve">Ferraz J. (2018). Inclusión financiera para la inserción productiva de las empresas de menor tamaño en América Latina. CEPAL. Serie 267. </w:t>
      </w:r>
      <w:hyperlink r:id="rId259" w:history="1">
        <w:r w:rsidRPr="00FB71FD">
          <w:rPr>
            <w:rStyle w:val="Hipervnculo"/>
          </w:rPr>
          <w:t>https://repositorio.cepal.org/handle/11362/43427.</w:t>
        </w:r>
      </w:hyperlink>
    </w:p>
    <w:p w14:paraId="251549F4" w14:textId="77777777" w:rsidR="00FE4135" w:rsidRPr="00FB71FD" w:rsidRDefault="00FE4135" w:rsidP="00221BD6">
      <w:pPr>
        <w:pStyle w:val="Bullets"/>
        <w:numPr>
          <w:ilvl w:val="0"/>
          <w:numId w:val="0"/>
        </w:numPr>
        <w:ind w:left="714"/>
        <w:jc w:val="left"/>
        <w:rPr>
          <w:spacing w:val="-10"/>
        </w:rPr>
      </w:pPr>
    </w:p>
    <w:p w14:paraId="3CC2D601" w14:textId="77777777" w:rsidR="00FE4135" w:rsidRPr="00FB71FD" w:rsidRDefault="00FE4135" w:rsidP="00221BD6">
      <w:pPr>
        <w:pStyle w:val="Bullets"/>
        <w:jc w:val="left"/>
        <w:rPr>
          <w:spacing w:val="-10"/>
        </w:rPr>
      </w:pPr>
      <w:r w:rsidRPr="00FB71FD">
        <w:rPr>
          <w:spacing w:val="-10"/>
        </w:rPr>
        <w:t>Ferrelli RM. (2015). Equidad en salud desde un enfoque de determinantes sociales. CEPAL, 1-88.</w:t>
      </w:r>
    </w:p>
    <w:p w14:paraId="1998BF54" w14:textId="77777777" w:rsidR="00FE4135" w:rsidRPr="00FB71FD" w:rsidRDefault="00FE4135" w:rsidP="00221BD6">
      <w:pPr>
        <w:pStyle w:val="Bullets"/>
        <w:numPr>
          <w:ilvl w:val="0"/>
          <w:numId w:val="0"/>
        </w:numPr>
        <w:ind w:left="714"/>
        <w:jc w:val="left"/>
        <w:rPr>
          <w:spacing w:val="-10"/>
        </w:rPr>
      </w:pPr>
    </w:p>
    <w:p w14:paraId="13F0C0A0" w14:textId="77777777" w:rsidR="00FE4135" w:rsidRPr="00FB71FD" w:rsidRDefault="00FE4135" w:rsidP="00221BD6">
      <w:pPr>
        <w:pStyle w:val="Bullets"/>
        <w:jc w:val="left"/>
        <w:rPr>
          <w:spacing w:val="-10"/>
        </w:rPr>
      </w:pPr>
      <w:r w:rsidRPr="00FB71FD">
        <w:rPr>
          <w:spacing w:val="-10"/>
        </w:rPr>
        <w:t xml:space="preserve">Fundación Interra (2023). Índice de Inclusión Laboral Poblacional. Bogotá. Recuperado de </w:t>
      </w:r>
      <w:hyperlink r:id="rId260" w:history="1">
        <w:r w:rsidRPr="00FB71FD">
          <w:rPr>
            <w:rStyle w:val="Hipervnculo"/>
          </w:rPr>
          <w:t>https://fundacioninterra.org/wp-content/uploads/2023/11/P.T.1.Bogota.pdf.</w:t>
        </w:r>
      </w:hyperlink>
    </w:p>
    <w:p w14:paraId="161A7C11" w14:textId="77777777" w:rsidR="00FE4135" w:rsidRPr="00FB71FD" w:rsidRDefault="00FE4135" w:rsidP="00221BD6">
      <w:pPr>
        <w:pStyle w:val="Bullets"/>
        <w:numPr>
          <w:ilvl w:val="0"/>
          <w:numId w:val="0"/>
        </w:numPr>
        <w:ind w:left="714"/>
        <w:jc w:val="left"/>
        <w:rPr>
          <w:spacing w:val="-10"/>
        </w:rPr>
      </w:pPr>
    </w:p>
    <w:p w14:paraId="111645A9" w14:textId="77777777" w:rsidR="00FE4135" w:rsidRPr="00FB71FD" w:rsidRDefault="00FE4135" w:rsidP="00221BD6">
      <w:pPr>
        <w:pStyle w:val="Bullets"/>
        <w:jc w:val="left"/>
        <w:rPr>
          <w:spacing w:val="-10"/>
        </w:rPr>
      </w:pPr>
      <w:r w:rsidRPr="00FB71FD">
        <w:rPr>
          <w:spacing w:val="-10"/>
        </w:rPr>
        <w:lastRenderedPageBreak/>
        <w:t>Futuros Urbanos (2022). Comportamiento del delito extorsivo en las 10 principales ciudades del país. Panorama de la extorsión. Informe ejecutivo No. 6. octubre 2022.</w:t>
      </w:r>
    </w:p>
    <w:p w14:paraId="1E7B21B0" w14:textId="77777777" w:rsidR="00FE4135" w:rsidRPr="00FB71FD" w:rsidRDefault="00FE4135" w:rsidP="00221BD6">
      <w:pPr>
        <w:pStyle w:val="Bullets"/>
        <w:numPr>
          <w:ilvl w:val="0"/>
          <w:numId w:val="0"/>
        </w:numPr>
        <w:ind w:left="714"/>
        <w:jc w:val="left"/>
        <w:rPr>
          <w:spacing w:val="-10"/>
        </w:rPr>
      </w:pPr>
    </w:p>
    <w:p w14:paraId="74C826BD" w14:textId="77777777" w:rsidR="00FE4135" w:rsidRPr="00FB71FD" w:rsidRDefault="00FE4135" w:rsidP="00221BD6">
      <w:pPr>
        <w:pStyle w:val="Bullets"/>
        <w:jc w:val="left"/>
        <w:rPr>
          <w:spacing w:val="-10"/>
        </w:rPr>
      </w:pPr>
      <w:r w:rsidRPr="00FB71FD">
        <w:rPr>
          <w:spacing w:val="-10"/>
        </w:rPr>
        <w:t xml:space="preserve">Gobierno Nacional de Colombia. (03 de 05 de 2023). DNP.gov.co. Recuperado de </w:t>
      </w:r>
      <w:hyperlink r:id="rId261" w:history="1">
        <w:r w:rsidRPr="00FB71FD">
          <w:rPr>
            <w:rStyle w:val="Hipervnculo"/>
          </w:rPr>
          <w:t>https://www.dnp.gov.co/plan-nacional-desarrollo/pnd-2022-2026.</w:t>
        </w:r>
      </w:hyperlink>
    </w:p>
    <w:p w14:paraId="3D831DA4" w14:textId="77777777" w:rsidR="00FE4135" w:rsidRPr="00FB71FD" w:rsidRDefault="00FE4135" w:rsidP="00221BD6">
      <w:pPr>
        <w:pStyle w:val="Bullets"/>
        <w:numPr>
          <w:ilvl w:val="0"/>
          <w:numId w:val="0"/>
        </w:numPr>
        <w:ind w:left="714"/>
        <w:jc w:val="left"/>
        <w:rPr>
          <w:spacing w:val="-10"/>
        </w:rPr>
      </w:pPr>
    </w:p>
    <w:p w14:paraId="6A14F584" w14:textId="77777777" w:rsidR="00FE4135" w:rsidRPr="00FB71FD" w:rsidRDefault="00FE4135" w:rsidP="00221BD6">
      <w:pPr>
        <w:pStyle w:val="Bullets"/>
        <w:jc w:val="left"/>
        <w:rPr>
          <w:spacing w:val="-10"/>
        </w:rPr>
      </w:pPr>
      <w:r w:rsidRPr="00FB71FD">
        <w:rPr>
          <w:spacing w:val="-10"/>
        </w:rPr>
        <w:t xml:space="preserve">Icfes. (2 de Diciembre de 2023). Instituto Colombiano para la Evaluación de la Educación. Recuperado de </w:t>
      </w:r>
      <w:hyperlink r:id="rId262" w:history="1">
        <w:r w:rsidRPr="00FB71FD">
          <w:rPr>
            <w:rStyle w:val="Hipervnculo"/>
          </w:rPr>
          <w:t>https://www.icfes.gov.co/data-icfes.</w:t>
        </w:r>
      </w:hyperlink>
    </w:p>
    <w:p w14:paraId="411BBA18" w14:textId="77777777" w:rsidR="00FE4135" w:rsidRPr="00FB71FD" w:rsidRDefault="00FE4135" w:rsidP="00221BD6">
      <w:pPr>
        <w:pStyle w:val="Bullets"/>
        <w:numPr>
          <w:ilvl w:val="0"/>
          <w:numId w:val="0"/>
        </w:numPr>
        <w:ind w:left="714"/>
        <w:jc w:val="left"/>
        <w:rPr>
          <w:spacing w:val="-10"/>
        </w:rPr>
      </w:pPr>
    </w:p>
    <w:p w14:paraId="5FBF0F32" w14:textId="77777777" w:rsidR="00FE4135" w:rsidRPr="00FB71FD" w:rsidRDefault="00FE4135" w:rsidP="00221BD6">
      <w:pPr>
        <w:pStyle w:val="Bullets"/>
        <w:jc w:val="left"/>
        <w:rPr>
          <w:spacing w:val="-10"/>
        </w:rPr>
      </w:pPr>
      <w:r w:rsidRPr="00FB71FD">
        <w:rPr>
          <w:spacing w:val="-10"/>
        </w:rPr>
        <w:t>Icfes. (2022). Informe resultados Estudio sobre Habilidades Sociales y Emocionales SSES. Bogotá.</w:t>
      </w:r>
    </w:p>
    <w:p w14:paraId="3FB6E142" w14:textId="77777777" w:rsidR="00FE4135" w:rsidRPr="00FB71FD" w:rsidRDefault="00FE4135" w:rsidP="00221BD6">
      <w:pPr>
        <w:pStyle w:val="Bullets"/>
        <w:numPr>
          <w:ilvl w:val="0"/>
          <w:numId w:val="0"/>
        </w:numPr>
        <w:ind w:left="714"/>
        <w:jc w:val="left"/>
        <w:rPr>
          <w:spacing w:val="-10"/>
        </w:rPr>
      </w:pPr>
    </w:p>
    <w:p w14:paraId="65EC70A0" w14:textId="77777777" w:rsidR="00FE4135" w:rsidRPr="00FB71FD" w:rsidRDefault="00FE4135" w:rsidP="00221BD6">
      <w:pPr>
        <w:pStyle w:val="Bullets"/>
        <w:jc w:val="left"/>
        <w:rPr>
          <w:spacing w:val="-10"/>
        </w:rPr>
      </w:pPr>
      <w:r w:rsidRPr="00FB71FD">
        <w:rPr>
          <w:spacing w:val="-10"/>
        </w:rPr>
        <w:t xml:space="preserve">Icfes. (28 de 01 de 2023). Icfes Datos Abiertos. Recuperado de </w:t>
      </w:r>
      <w:hyperlink r:id="rId263" w:history="1">
        <w:r w:rsidRPr="00FB71FD">
          <w:rPr>
            <w:rStyle w:val="Hipervnculo"/>
          </w:rPr>
          <w:t>https://www.icfes.gov.co/web/guest/data-icfes.</w:t>
        </w:r>
      </w:hyperlink>
    </w:p>
    <w:p w14:paraId="3AA98730" w14:textId="77777777" w:rsidR="00FE4135" w:rsidRPr="00FB71FD" w:rsidRDefault="00FE4135" w:rsidP="00221BD6">
      <w:pPr>
        <w:pStyle w:val="Bullets"/>
        <w:numPr>
          <w:ilvl w:val="0"/>
          <w:numId w:val="0"/>
        </w:numPr>
        <w:ind w:left="714"/>
        <w:jc w:val="left"/>
        <w:rPr>
          <w:spacing w:val="-10"/>
        </w:rPr>
      </w:pPr>
    </w:p>
    <w:p w14:paraId="14B406D8" w14:textId="77777777" w:rsidR="00FE4135" w:rsidRPr="00FB71FD" w:rsidRDefault="00FE4135" w:rsidP="00221BD6">
      <w:pPr>
        <w:pStyle w:val="Bullets"/>
        <w:jc w:val="left"/>
        <w:rPr>
          <w:spacing w:val="-10"/>
        </w:rPr>
      </w:pPr>
      <w:r w:rsidRPr="00FB71FD">
        <w:rPr>
          <w:spacing w:val="-10"/>
        </w:rPr>
        <w:t xml:space="preserve">IDEAM. (2017). 3ra Comunicación Cambio Climático. Recuperado de </w:t>
      </w:r>
      <w:hyperlink r:id="rId264" w:history="1">
        <w:r w:rsidRPr="00FB71FD">
          <w:rPr>
            <w:rStyle w:val="Hipervnculo"/>
          </w:rPr>
          <w:t>http://www.cambioclimatico.gov.co/3ra-comunicacion-cambio-climatico.</w:t>
        </w:r>
      </w:hyperlink>
    </w:p>
    <w:p w14:paraId="59774E1B" w14:textId="77777777" w:rsidR="00FE4135" w:rsidRPr="00FB71FD" w:rsidRDefault="00FE4135" w:rsidP="00221BD6">
      <w:pPr>
        <w:pStyle w:val="Bullets"/>
        <w:numPr>
          <w:ilvl w:val="0"/>
          <w:numId w:val="0"/>
        </w:numPr>
        <w:ind w:left="714"/>
        <w:jc w:val="left"/>
        <w:rPr>
          <w:spacing w:val="-10"/>
        </w:rPr>
      </w:pPr>
    </w:p>
    <w:p w14:paraId="50FC4025" w14:textId="77777777" w:rsidR="00FE4135" w:rsidRPr="00FB71FD" w:rsidRDefault="00FE4135" w:rsidP="00221BD6">
      <w:pPr>
        <w:pStyle w:val="Bullets"/>
        <w:jc w:val="left"/>
        <w:rPr>
          <w:spacing w:val="-10"/>
        </w:rPr>
      </w:pPr>
      <w:r w:rsidRPr="00FB71FD">
        <w:rPr>
          <w:spacing w:val="-10"/>
        </w:rPr>
        <w:t>IDIGER (2017). Páramos. Departamento de Cundinamarca 2017.</w:t>
      </w:r>
    </w:p>
    <w:p w14:paraId="78359937" w14:textId="77777777" w:rsidR="00FE4135" w:rsidRPr="00FB71FD" w:rsidRDefault="00FE4135" w:rsidP="00221BD6">
      <w:pPr>
        <w:pStyle w:val="Bullets"/>
        <w:numPr>
          <w:ilvl w:val="0"/>
          <w:numId w:val="0"/>
        </w:numPr>
        <w:ind w:left="714"/>
        <w:jc w:val="left"/>
        <w:rPr>
          <w:spacing w:val="-10"/>
        </w:rPr>
      </w:pPr>
    </w:p>
    <w:p w14:paraId="3B43C1A6" w14:textId="77777777" w:rsidR="00FE4135" w:rsidRPr="00FB71FD" w:rsidRDefault="00FE4135" w:rsidP="00221BD6">
      <w:pPr>
        <w:pStyle w:val="Bullets"/>
        <w:jc w:val="left"/>
        <w:rPr>
          <w:spacing w:val="-10"/>
        </w:rPr>
      </w:pPr>
      <w:r w:rsidRPr="00FB71FD">
        <w:rPr>
          <w:spacing w:val="-10"/>
        </w:rPr>
        <w:t>IDIGER (2023). Diagnóstico Sectorial-IDIGER.</w:t>
      </w:r>
    </w:p>
    <w:p w14:paraId="3168E216" w14:textId="77777777" w:rsidR="00FE4135" w:rsidRPr="00FB71FD" w:rsidRDefault="00FE4135" w:rsidP="00221BD6">
      <w:pPr>
        <w:pStyle w:val="Bullets"/>
        <w:numPr>
          <w:ilvl w:val="0"/>
          <w:numId w:val="0"/>
        </w:numPr>
        <w:ind w:left="714"/>
        <w:jc w:val="left"/>
        <w:rPr>
          <w:spacing w:val="-10"/>
        </w:rPr>
      </w:pPr>
    </w:p>
    <w:p w14:paraId="1FB6253C" w14:textId="77777777" w:rsidR="00FE4135" w:rsidRPr="00FB71FD" w:rsidRDefault="00FE4135" w:rsidP="00221BD6">
      <w:pPr>
        <w:pStyle w:val="Bullets"/>
        <w:jc w:val="left"/>
        <w:rPr>
          <w:spacing w:val="-10"/>
        </w:rPr>
      </w:pPr>
      <w:r w:rsidRPr="00FB71FD">
        <w:rPr>
          <w:spacing w:val="-10"/>
        </w:rPr>
        <w:t>IDOM (2018). Estudio de crecimiento y evolución de la huella urbana para los municipios que conforman el área Bogotá Región.</w:t>
      </w:r>
    </w:p>
    <w:p w14:paraId="29BF2DF7" w14:textId="77777777" w:rsidR="00FE4135" w:rsidRPr="00FB71FD" w:rsidRDefault="00FE4135" w:rsidP="00221BD6">
      <w:pPr>
        <w:pStyle w:val="Bullets"/>
        <w:numPr>
          <w:ilvl w:val="0"/>
          <w:numId w:val="0"/>
        </w:numPr>
        <w:ind w:left="714"/>
        <w:jc w:val="left"/>
        <w:rPr>
          <w:spacing w:val="-10"/>
        </w:rPr>
      </w:pPr>
    </w:p>
    <w:p w14:paraId="265314EE" w14:textId="77777777" w:rsidR="00FE4135" w:rsidRPr="00FB71FD" w:rsidRDefault="00FE4135" w:rsidP="00221BD6">
      <w:pPr>
        <w:pStyle w:val="Bullets"/>
        <w:jc w:val="left"/>
        <w:rPr>
          <w:spacing w:val="-10"/>
        </w:rPr>
      </w:pPr>
      <w:r w:rsidRPr="00FB71FD">
        <w:rPr>
          <w:spacing w:val="-10"/>
        </w:rPr>
        <w:t xml:space="preserve">IDT. (2023). Fondetur Avanza por el desarrollo turístico de Bogotá. Recuperado de </w:t>
      </w:r>
      <w:hyperlink r:id="rId265" w:history="1">
        <w:r w:rsidRPr="00FB71FD">
          <w:rPr>
            <w:rStyle w:val="Hipervnculo"/>
          </w:rPr>
          <w:t>https://www.idt.gov.co/es/fondetur-avanza-por-el-desarrollo-turistico-de-bogota.</w:t>
        </w:r>
      </w:hyperlink>
    </w:p>
    <w:p w14:paraId="5C56AAC7" w14:textId="77777777" w:rsidR="00FE4135" w:rsidRPr="00FB71FD" w:rsidRDefault="00FE4135" w:rsidP="00221BD6">
      <w:pPr>
        <w:pStyle w:val="Bullets"/>
        <w:numPr>
          <w:ilvl w:val="0"/>
          <w:numId w:val="0"/>
        </w:numPr>
        <w:ind w:left="714"/>
        <w:jc w:val="left"/>
        <w:rPr>
          <w:spacing w:val="-10"/>
        </w:rPr>
      </w:pPr>
    </w:p>
    <w:p w14:paraId="03E2769A" w14:textId="77777777" w:rsidR="00FE4135" w:rsidRPr="00FB71FD" w:rsidRDefault="00FE4135" w:rsidP="00221BD6">
      <w:pPr>
        <w:pStyle w:val="Bullets"/>
        <w:jc w:val="left"/>
        <w:rPr>
          <w:spacing w:val="-10"/>
        </w:rPr>
      </w:pPr>
      <w:r w:rsidRPr="00FB71FD">
        <w:rPr>
          <w:spacing w:val="-10"/>
        </w:rPr>
        <w:t>INMLCF. (2023). Boletín estadístico mensual. Instituto Nacional de Medicina legal y Ciencias Forenses (INMLCF), Bogotá.</w:t>
      </w:r>
    </w:p>
    <w:p w14:paraId="21ECB169" w14:textId="77777777" w:rsidR="00FE4135" w:rsidRPr="00FB71FD" w:rsidRDefault="00FE4135" w:rsidP="00221BD6">
      <w:pPr>
        <w:pStyle w:val="Bullets"/>
        <w:numPr>
          <w:ilvl w:val="0"/>
          <w:numId w:val="0"/>
        </w:numPr>
        <w:ind w:left="714"/>
        <w:jc w:val="left"/>
        <w:rPr>
          <w:spacing w:val="-10"/>
        </w:rPr>
      </w:pPr>
    </w:p>
    <w:p w14:paraId="105EDD38" w14:textId="77777777" w:rsidR="00FE4135" w:rsidRPr="00FB71FD" w:rsidRDefault="00FE4135" w:rsidP="00221BD6">
      <w:pPr>
        <w:pStyle w:val="Bullets"/>
        <w:jc w:val="left"/>
        <w:rPr>
          <w:spacing w:val="-10"/>
        </w:rPr>
      </w:pPr>
      <w:r w:rsidRPr="00FB71FD">
        <w:rPr>
          <w:spacing w:val="-10"/>
        </w:rPr>
        <w:t>INS. (2021). Informe de evento. Intento de suicidio. Periodo epidemiológico VIII. Colombia 2021.</w:t>
      </w:r>
    </w:p>
    <w:p w14:paraId="2259592E" w14:textId="77777777" w:rsidR="00FE4135" w:rsidRPr="00FB71FD" w:rsidRDefault="00FE4135" w:rsidP="00221BD6">
      <w:pPr>
        <w:pStyle w:val="Bullets"/>
        <w:numPr>
          <w:ilvl w:val="0"/>
          <w:numId w:val="0"/>
        </w:numPr>
        <w:ind w:left="714"/>
        <w:jc w:val="left"/>
        <w:rPr>
          <w:spacing w:val="-10"/>
        </w:rPr>
      </w:pPr>
    </w:p>
    <w:p w14:paraId="58BEF727" w14:textId="77777777" w:rsidR="00FE4135" w:rsidRPr="00FB71FD" w:rsidRDefault="00FE4135" w:rsidP="00221BD6">
      <w:pPr>
        <w:pStyle w:val="Bullets"/>
        <w:jc w:val="left"/>
        <w:rPr>
          <w:spacing w:val="-10"/>
        </w:rPr>
      </w:pPr>
      <w:r w:rsidRPr="00FB71FD">
        <w:rPr>
          <w:spacing w:val="-10"/>
        </w:rPr>
        <w:t>INSAT (2007). Elaboración y edición de la cartografía digital de la clasificación del suelo y los usos del suelo rural de conformidad con el plan de ordenamiento territorial para los municipios del departamento de Cundinamarca. INSAT, Gobernación de Cundinamarca.</w:t>
      </w:r>
    </w:p>
    <w:p w14:paraId="311C6AE9" w14:textId="77777777" w:rsidR="00FE4135" w:rsidRPr="00FB71FD" w:rsidRDefault="00FE4135" w:rsidP="00221BD6">
      <w:pPr>
        <w:pStyle w:val="Bullets"/>
        <w:numPr>
          <w:ilvl w:val="0"/>
          <w:numId w:val="0"/>
        </w:numPr>
        <w:ind w:left="714"/>
        <w:jc w:val="left"/>
        <w:rPr>
          <w:spacing w:val="-10"/>
        </w:rPr>
      </w:pPr>
    </w:p>
    <w:p w14:paraId="2A3E3B05" w14:textId="77777777" w:rsidR="00FE4135" w:rsidRPr="00FB71FD" w:rsidRDefault="00FE4135" w:rsidP="00221BD6">
      <w:pPr>
        <w:pStyle w:val="Bullets"/>
        <w:jc w:val="left"/>
        <w:rPr>
          <w:spacing w:val="-10"/>
        </w:rPr>
      </w:pPr>
      <w:r w:rsidRPr="00FB71FD">
        <w:rPr>
          <w:spacing w:val="-10"/>
        </w:rPr>
        <w:t>Instituto Distrital de la Participación y Acción Comunal - IDPAC (2023). Observatorio de la Participación Ciudadana.</w:t>
      </w:r>
    </w:p>
    <w:p w14:paraId="306B0882" w14:textId="77777777" w:rsidR="00FE4135" w:rsidRPr="00FB71FD" w:rsidRDefault="00FE4135" w:rsidP="00221BD6">
      <w:pPr>
        <w:pStyle w:val="Bullets"/>
        <w:numPr>
          <w:ilvl w:val="0"/>
          <w:numId w:val="0"/>
        </w:numPr>
        <w:ind w:left="714"/>
        <w:jc w:val="left"/>
        <w:rPr>
          <w:spacing w:val="-10"/>
        </w:rPr>
      </w:pPr>
    </w:p>
    <w:p w14:paraId="153226F7" w14:textId="77777777" w:rsidR="00FE4135" w:rsidRPr="00FB71FD" w:rsidRDefault="00FE4135" w:rsidP="00221BD6">
      <w:pPr>
        <w:pStyle w:val="Bullets"/>
        <w:jc w:val="left"/>
        <w:rPr>
          <w:spacing w:val="-10"/>
        </w:rPr>
      </w:pPr>
      <w:r w:rsidRPr="00FB71FD">
        <w:rPr>
          <w:spacing w:val="-10"/>
        </w:rPr>
        <w:t>Instituto Distrital de Recreación y Deporte. IDRD. (2022). Encuesta de Prácticas Deportivas, Recreativas y Calidad de Vida del año 2022.</w:t>
      </w:r>
    </w:p>
    <w:p w14:paraId="400D8D00" w14:textId="77777777" w:rsidR="00FE4135" w:rsidRPr="00FB71FD" w:rsidRDefault="00FE4135" w:rsidP="00221BD6">
      <w:pPr>
        <w:pStyle w:val="Bullets"/>
        <w:numPr>
          <w:ilvl w:val="0"/>
          <w:numId w:val="0"/>
        </w:numPr>
        <w:ind w:left="714"/>
        <w:jc w:val="left"/>
        <w:rPr>
          <w:spacing w:val="-10"/>
        </w:rPr>
      </w:pPr>
    </w:p>
    <w:p w14:paraId="62E70679" w14:textId="77777777" w:rsidR="00FE4135" w:rsidRPr="00FB71FD" w:rsidRDefault="00FE4135" w:rsidP="00221BD6">
      <w:pPr>
        <w:pStyle w:val="Bullets"/>
        <w:jc w:val="left"/>
        <w:rPr>
          <w:spacing w:val="-10"/>
        </w:rPr>
      </w:pPr>
      <w:r w:rsidRPr="00FB71FD">
        <w:rPr>
          <w:spacing w:val="-10"/>
        </w:rPr>
        <w:t>Instituto Distrital de Turismo – IDT. (2023). Bogotá Destino Turistico Inteligente. Boletin 1.</w:t>
      </w:r>
    </w:p>
    <w:p w14:paraId="53F0491D" w14:textId="77777777" w:rsidR="00FE4135" w:rsidRPr="00FB71FD" w:rsidRDefault="00FE4135" w:rsidP="00221BD6">
      <w:pPr>
        <w:pStyle w:val="Bullets"/>
        <w:numPr>
          <w:ilvl w:val="0"/>
          <w:numId w:val="0"/>
        </w:numPr>
        <w:ind w:left="714"/>
        <w:jc w:val="left"/>
        <w:rPr>
          <w:spacing w:val="-10"/>
        </w:rPr>
      </w:pPr>
    </w:p>
    <w:p w14:paraId="4431D2B9" w14:textId="77777777" w:rsidR="00FE4135" w:rsidRPr="00FB71FD" w:rsidRDefault="00FE4135" w:rsidP="00221BD6">
      <w:pPr>
        <w:pStyle w:val="Bullets"/>
        <w:jc w:val="left"/>
        <w:rPr>
          <w:spacing w:val="-10"/>
          <w:lang w:val="en-US"/>
        </w:rPr>
      </w:pPr>
      <w:r w:rsidRPr="00FB71FD">
        <w:rPr>
          <w:spacing w:val="-10"/>
        </w:rPr>
        <w:t xml:space="preserve">Invest in Bogotá. (2022). Tendencias de inversión e identificación de oportunidades. </w:t>
      </w:r>
      <w:r w:rsidRPr="00FB71FD">
        <w:rPr>
          <w:spacing w:val="-10"/>
          <w:lang w:val="en-US"/>
        </w:rPr>
        <w:t>Bogotá: Invest in Bogotá.</w:t>
      </w:r>
    </w:p>
    <w:p w14:paraId="466DE058" w14:textId="77777777" w:rsidR="00FE4135" w:rsidRPr="00FB71FD" w:rsidRDefault="00FE4135" w:rsidP="00221BD6">
      <w:pPr>
        <w:pStyle w:val="Bullets"/>
        <w:numPr>
          <w:ilvl w:val="0"/>
          <w:numId w:val="0"/>
        </w:numPr>
        <w:ind w:left="714"/>
        <w:jc w:val="left"/>
        <w:rPr>
          <w:spacing w:val="-10"/>
          <w:lang w:val="en-US"/>
        </w:rPr>
      </w:pPr>
    </w:p>
    <w:p w14:paraId="00446158" w14:textId="77777777" w:rsidR="00FE4135" w:rsidRPr="00FB71FD" w:rsidRDefault="00FE4135" w:rsidP="00221BD6">
      <w:pPr>
        <w:pStyle w:val="Bullets"/>
        <w:jc w:val="left"/>
        <w:rPr>
          <w:spacing w:val="-10"/>
          <w:lang w:val="en-US"/>
        </w:rPr>
      </w:pPr>
      <w:r w:rsidRPr="00FB71FD">
        <w:rPr>
          <w:spacing w:val="-10"/>
          <w:lang w:val="en-US"/>
        </w:rPr>
        <w:t>IPCC. (2007). AR4 Climate Change 2007: Synthesis Report.</w:t>
      </w:r>
    </w:p>
    <w:p w14:paraId="5A572A7C" w14:textId="77777777" w:rsidR="00FE4135" w:rsidRPr="00FB71FD" w:rsidRDefault="00FE4135" w:rsidP="00221BD6">
      <w:pPr>
        <w:pStyle w:val="Bullets"/>
        <w:numPr>
          <w:ilvl w:val="0"/>
          <w:numId w:val="0"/>
        </w:numPr>
        <w:ind w:left="714"/>
        <w:jc w:val="left"/>
        <w:rPr>
          <w:spacing w:val="-10"/>
          <w:lang w:val="en-US"/>
        </w:rPr>
      </w:pPr>
    </w:p>
    <w:p w14:paraId="5D05B5C2" w14:textId="77777777" w:rsidR="00FE4135" w:rsidRPr="00FB71FD" w:rsidRDefault="00FE4135" w:rsidP="00221BD6">
      <w:pPr>
        <w:pStyle w:val="Bullets"/>
        <w:jc w:val="left"/>
        <w:rPr>
          <w:spacing w:val="-10"/>
        </w:rPr>
      </w:pPr>
      <w:r w:rsidRPr="00FB71FD">
        <w:rPr>
          <w:spacing w:val="-10"/>
        </w:rPr>
        <w:t>IPES. (2023). Boletín de vendedores informales caracterizados en Bogotá.</w:t>
      </w:r>
    </w:p>
    <w:p w14:paraId="3F1AAC1E" w14:textId="77777777" w:rsidR="00FE4135" w:rsidRPr="00FB71FD" w:rsidRDefault="00FE4135" w:rsidP="00221BD6">
      <w:pPr>
        <w:pStyle w:val="Bullets"/>
        <w:numPr>
          <w:ilvl w:val="0"/>
          <w:numId w:val="0"/>
        </w:numPr>
        <w:ind w:left="714"/>
        <w:jc w:val="left"/>
        <w:rPr>
          <w:spacing w:val="-10"/>
        </w:rPr>
      </w:pPr>
    </w:p>
    <w:p w14:paraId="7D49D02A" w14:textId="77777777" w:rsidR="00FE4135" w:rsidRPr="00FB71FD" w:rsidRDefault="00FE4135" w:rsidP="00221BD6">
      <w:pPr>
        <w:pStyle w:val="Bullets"/>
        <w:jc w:val="left"/>
        <w:rPr>
          <w:spacing w:val="-10"/>
        </w:rPr>
      </w:pPr>
      <w:r w:rsidRPr="00FB71FD">
        <w:rPr>
          <w:spacing w:val="-10"/>
        </w:rPr>
        <w:t>La Rota, Lalinde, Santa, &amp; Uprimny, (2014). Ante la justicia: Necesidades jurídicas y acceso a la justicia en Colombia.</w:t>
      </w:r>
    </w:p>
    <w:p w14:paraId="13C3D039" w14:textId="77777777" w:rsidR="00FE4135" w:rsidRPr="00FB71FD" w:rsidRDefault="00FE4135" w:rsidP="00221BD6">
      <w:pPr>
        <w:pStyle w:val="Bullets"/>
        <w:numPr>
          <w:ilvl w:val="0"/>
          <w:numId w:val="0"/>
        </w:numPr>
        <w:ind w:left="714"/>
        <w:jc w:val="left"/>
        <w:rPr>
          <w:spacing w:val="-10"/>
        </w:rPr>
      </w:pPr>
    </w:p>
    <w:p w14:paraId="5A17E303" w14:textId="77777777" w:rsidR="00FE4135" w:rsidRPr="00FB71FD" w:rsidRDefault="00FE4135" w:rsidP="00221BD6">
      <w:pPr>
        <w:pStyle w:val="Bullets"/>
        <w:jc w:val="left"/>
        <w:rPr>
          <w:spacing w:val="-10"/>
        </w:rPr>
      </w:pPr>
      <w:r w:rsidRPr="00FB71FD">
        <w:rPr>
          <w:spacing w:val="-10"/>
        </w:rPr>
        <w:t>Laboratorio de Economía de la Educación (LEE) de la Pontificia Universidad Javeriana- Consejo Privado de Competitividad. (2023). Brechas de habilidades digitales, técnicas y blandas en Colombia.</w:t>
      </w:r>
    </w:p>
    <w:p w14:paraId="616CCECB" w14:textId="77777777" w:rsidR="00FE4135" w:rsidRPr="00FB71FD" w:rsidRDefault="00FE4135" w:rsidP="00221BD6">
      <w:pPr>
        <w:pStyle w:val="Bullets"/>
        <w:numPr>
          <w:ilvl w:val="0"/>
          <w:numId w:val="0"/>
        </w:numPr>
        <w:ind w:left="714"/>
        <w:jc w:val="left"/>
        <w:rPr>
          <w:spacing w:val="-10"/>
        </w:rPr>
      </w:pPr>
    </w:p>
    <w:p w14:paraId="26462062" w14:textId="77777777" w:rsidR="00FE4135" w:rsidRPr="00FB71FD" w:rsidRDefault="00FE4135" w:rsidP="00221BD6">
      <w:pPr>
        <w:pStyle w:val="Bullets"/>
        <w:jc w:val="left"/>
        <w:rPr>
          <w:spacing w:val="-10"/>
        </w:rPr>
      </w:pPr>
      <w:r w:rsidRPr="00FB71FD">
        <w:rPr>
          <w:spacing w:val="-10"/>
        </w:rPr>
        <w:t>Ley 1257 de 2008. Por la cual se dictan normas de sensibilización, prevención y sanción de formas de violencia y discriminación contra las mujeres.</w:t>
      </w:r>
    </w:p>
    <w:p w14:paraId="6B5512E3" w14:textId="77777777" w:rsidR="00FE4135" w:rsidRPr="00FB71FD" w:rsidRDefault="00FE4135" w:rsidP="00221BD6">
      <w:pPr>
        <w:pStyle w:val="Bullets"/>
        <w:numPr>
          <w:ilvl w:val="0"/>
          <w:numId w:val="0"/>
        </w:numPr>
        <w:ind w:left="714"/>
        <w:jc w:val="left"/>
        <w:rPr>
          <w:spacing w:val="-10"/>
        </w:rPr>
      </w:pPr>
    </w:p>
    <w:p w14:paraId="39C26CA7" w14:textId="77777777" w:rsidR="00FE4135" w:rsidRPr="00FB71FD" w:rsidRDefault="00FE4135" w:rsidP="00221BD6">
      <w:pPr>
        <w:pStyle w:val="Bullets"/>
        <w:jc w:val="left"/>
        <w:rPr>
          <w:spacing w:val="-10"/>
        </w:rPr>
      </w:pPr>
      <w:r w:rsidRPr="00FB71FD">
        <w:rPr>
          <w:spacing w:val="-10"/>
        </w:rPr>
        <w:t xml:space="preserve">Congreso de la República. Ley 152. (15 de julio de 1994). Por la cual se establece la Ley Orgánica del Plan de Desarrollo. Recuperado de </w:t>
      </w:r>
      <w:hyperlink r:id="rId266" w:history="1">
        <w:r w:rsidRPr="00FB71FD">
          <w:rPr>
            <w:rStyle w:val="Hipervnculo"/>
          </w:rPr>
          <w:t>https://colaboracion.dnp.gov.co/CDT/Normatividad/LEY%20152%20DE%201994.pdf</w:t>
        </w:r>
      </w:hyperlink>
    </w:p>
    <w:p w14:paraId="72CF0294" w14:textId="77777777" w:rsidR="00FE4135" w:rsidRPr="00FB71FD" w:rsidRDefault="00FE4135" w:rsidP="00221BD6">
      <w:pPr>
        <w:pStyle w:val="Bullets"/>
        <w:numPr>
          <w:ilvl w:val="0"/>
          <w:numId w:val="0"/>
        </w:numPr>
        <w:ind w:left="714"/>
        <w:jc w:val="left"/>
        <w:rPr>
          <w:spacing w:val="-10"/>
        </w:rPr>
      </w:pPr>
    </w:p>
    <w:p w14:paraId="0AA2E5A6" w14:textId="77777777" w:rsidR="00FE4135" w:rsidRPr="00FB71FD" w:rsidRDefault="00FE4135" w:rsidP="00221BD6">
      <w:pPr>
        <w:pStyle w:val="Bullets"/>
        <w:jc w:val="left"/>
        <w:rPr>
          <w:spacing w:val="-10"/>
        </w:rPr>
      </w:pPr>
      <w:r w:rsidRPr="00FB71FD">
        <w:rPr>
          <w:spacing w:val="-10"/>
        </w:rPr>
        <w:t>Ley 1641 de 2013. Lineamientos para la formulación de la política pública social para habitantes de la calle.</w:t>
      </w:r>
    </w:p>
    <w:p w14:paraId="2650CAC7" w14:textId="77777777" w:rsidR="00FE4135" w:rsidRPr="00FB71FD" w:rsidRDefault="00FE4135" w:rsidP="00221BD6">
      <w:pPr>
        <w:pStyle w:val="Bullets"/>
        <w:numPr>
          <w:ilvl w:val="0"/>
          <w:numId w:val="0"/>
        </w:numPr>
        <w:ind w:left="714"/>
        <w:jc w:val="left"/>
        <w:rPr>
          <w:spacing w:val="-10"/>
        </w:rPr>
      </w:pPr>
    </w:p>
    <w:p w14:paraId="047FF3FC" w14:textId="77777777" w:rsidR="00FE4135" w:rsidRPr="00FB71FD" w:rsidRDefault="00FE4135" w:rsidP="00221BD6">
      <w:pPr>
        <w:pStyle w:val="Bullets"/>
        <w:jc w:val="left"/>
        <w:rPr>
          <w:spacing w:val="-10"/>
        </w:rPr>
      </w:pPr>
      <w:r w:rsidRPr="00FB71FD">
        <w:rPr>
          <w:spacing w:val="-10"/>
        </w:rPr>
        <w:t>Ley 2055 de 2020. Aprueba la Convención Interamericana Sobre La Protección De Los Derechos Humanos De Las Personas Mayores.</w:t>
      </w:r>
    </w:p>
    <w:p w14:paraId="3BBFCD29" w14:textId="77777777" w:rsidR="00FE4135" w:rsidRPr="00FB71FD" w:rsidRDefault="00FE4135" w:rsidP="00221BD6">
      <w:pPr>
        <w:pStyle w:val="Bullets"/>
        <w:numPr>
          <w:ilvl w:val="0"/>
          <w:numId w:val="0"/>
        </w:numPr>
        <w:ind w:left="714"/>
        <w:jc w:val="left"/>
        <w:rPr>
          <w:spacing w:val="-10"/>
        </w:rPr>
      </w:pPr>
    </w:p>
    <w:p w14:paraId="482E63BA" w14:textId="77777777" w:rsidR="00FE4135" w:rsidRPr="00FB71FD" w:rsidRDefault="00FE4135" w:rsidP="00221BD6">
      <w:pPr>
        <w:pStyle w:val="Bullets"/>
        <w:jc w:val="left"/>
        <w:rPr>
          <w:spacing w:val="-10"/>
        </w:rPr>
      </w:pPr>
      <w:r w:rsidRPr="00FB71FD">
        <w:rPr>
          <w:spacing w:val="-10"/>
        </w:rPr>
        <w:t>Ley 2294 de 2023. Ley del Plan Nacional de Desarrollo 2022-2026 "Colombia Potencia. Mundial De La Vida".</w:t>
      </w:r>
    </w:p>
    <w:p w14:paraId="36B4BB80" w14:textId="77777777" w:rsidR="00FE4135" w:rsidRPr="00FB71FD" w:rsidRDefault="00FE4135" w:rsidP="00221BD6">
      <w:pPr>
        <w:pStyle w:val="Bullets"/>
        <w:numPr>
          <w:ilvl w:val="0"/>
          <w:numId w:val="0"/>
        </w:numPr>
        <w:ind w:left="714"/>
        <w:jc w:val="left"/>
        <w:rPr>
          <w:spacing w:val="-10"/>
        </w:rPr>
      </w:pPr>
    </w:p>
    <w:p w14:paraId="4E89EAAD" w14:textId="77777777" w:rsidR="00FE4135" w:rsidRPr="00FB71FD" w:rsidRDefault="00FE4135" w:rsidP="00221BD6">
      <w:pPr>
        <w:pStyle w:val="Bullets"/>
        <w:jc w:val="left"/>
        <w:rPr>
          <w:spacing w:val="-10"/>
        </w:rPr>
      </w:pPr>
      <w:r w:rsidRPr="00FB71FD">
        <w:rPr>
          <w:spacing w:val="-10"/>
        </w:rPr>
        <w:t>Ley Orgánica 2199 de 2022. Por medio de la cual se desarrolla el artículo 325 de la Constitución política y se expide el régimen especial de la Región metropolitana Bogotá – Cundinamarca.</w:t>
      </w:r>
    </w:p>
    <w:p w14:paraId="1BFCCC23" w14:textId="77777777" w:rsidR="00FE4135" w:rsidRPr="00FB71FD" w:rsidRDefault="00FE4135" w:rsidP="00221BD6">
      <w:pPr>
        <w:pStyle w:val="Bullets"/>
        <w:numPr>
          <w:ilvl w:val="0"/>
          <w:numId w:val="0"/>
        </w:numPr>
        <w:ind w:left="714"/>
        <w:jc w:val="left"/>
        <w:rPr>
          <w:spacing w:val="-10"/>
        </w:rPr>
      </w:pPr>
    </w:p>
    <w:p w14:paraId="4C3013A9" w14:textId="77777777" w:rsidR="00FE4135" w:rsidRPr="00FB71FD" w:rsidRDefault="00FE4135" w:rsidP="00221BD6">
      <w:pPr>
        <w:pStyle w:val="Bullets"/>
        <w:jc w:val="left"/>
        <w:rPr>
          <w:spacing w:val="-10"/>
        </w:rPr>
      </w:pPr>
      <w:r w:rsidRPr="00FB71FD">
        <w:rPr>
          <w:spacing w:val="-10"/>
        </w:rPr>
        <w:t>Ley Orgánica de Ordenamiento Territorial-LOOT (2011).</w:t>
      </w:r>
    </w:p>
    <w:p w14:paraId="6B6F1608" w14:textId="77777777" w:rsidR="00FE4135" w:rsidRPr="00FB71FD" w:rsidRDefault="00FE4135" w:rsidP="00221BD6">
      <w:pPr>
        <w:pStyle w:val="Bullets"/>
        <w:numPr>
          <w:ilvl w:val="0"/>
          <w:numId w:val="0"/>
        </w:numPr>
        <w:ind w:left="714"/>
        <w:jc w:val="left"/>
        <w:rPr>
          <w:spacing w:val="-10"/>
        </w:rPr>
      </w:pPr>
    </w:p>
    <w:p w14:paraId="1FAD105E" w14:textId="77777777" w:rsidR="00FE4135" w:rsidRPr="00FB71FD" w:rsidRDefault="00FE4135" w:rsidP="00221BD6">
      <w:pPr>
        <w:pStyle w:val="Bullets"/>
        <w:jc w:val="left"/>
        <w:rPr>
          <w:spacing w:val="-10"/>
        </w:rPr>
      </w:pPr>
      <w:r w:rsidRPr="00FB71FD">
        <w:rPr>
          <w:spacing w:val="-10"/>
        </w:rPr>
        <w:t xml:space="preserve">Microsoft. (2004). ¿Qué es el phishing? | Seguridad de Microsoft. Recuperado el 25 de abril de 2024, de </w:t>
      </w:r>
      <w:hyperlink r:id="rId267" w:history="1">
        <w:r w:rsidRPr="00FB71FD">
          <w:rPr>
            <w:rStyle w:val="Hipervnculo"/>
          </w:rPr>
          <w:t>https://www.microsoft.com/es-es/security/business/security-101/what-is-phishing</w:t>
        </w:r>
      </w:hyperlink>
    </w:p>
    <w:p w14:paraId="4D59A982" w14:textId="77777777" w:rsidR="00FE4135" w:rsidRPr="00FB71FD" w:rsidRDefault="00FE4135" w:rsidP="00221BD6">
      <w:pPr>
        <w:pStyle w:val="Bullets"/>
        <w:numPr>
          <w:ilvl w:val="0"/>
          <w:numId w:val="0"/>
        </w:numPr>
        <w:ind w:left="714"/>
        <w:jc w:val="left"/>
        <w:rPr>
          <w:spacing w:val="-10"/>
        </w:rPr>
      </w:pPr>
    </w:p>
    <w:p w14:paraId="03C8C562" w14:textId="77777777" w:rsidR="00FE4135" w:rsidRPr="00FB71FD" w:rsidRDefault="00FE4135" w:rsidP="00221BD6">
      <w:pPr>
        <w:pStyle w:val="Bullets"/>
        <w:jc w:val="left"/>
        <w:rPr>
          <w:spacing w:val="-10"/>
        </w:rPr>
      </w:pPr>
      <w:r w:rsidRPr="00FB71FD">
        <w:rPr>
          <w:spacing w:val="-10"/>
        </w:rPr>
        <w:t>Presidencia de la República (2019).  Decreto 957 del 5 junio de 2019, Presidencia República de Colombia.</w:t>
      </w:r>
    </w:p>
    <w:p w14:paraId="4848FC52" w14:textId="77777777" w:rsidR="00FE4135" w:rsidRPr="00FB71FD" w:rsidRDefault="00FE4135" w:rsidP="00221BD6">
      <w:pPr>
        <w:pStyle w:val="Bullets"/>
        <w:numPr>
          <w:ilvl w:val="0"/>
          <w:numId w:val="0"/>
        </w:numPr>
        <w:ind w:left="714"/>
        <w:jc w:val="left"/>
        <w:rPr>
          <w:spacing w:val="-10"/>
        </w:rPr>
      </w:pPr>
    </w:p>
    <w:p w14:paraId="3304A6B6" w14:textId="77777777" w:rsidR="00FE4135" w:rsidRPr="00FB71FD" w:rsidRDefault="00FE4135" w:rsidP="00221BD6">
      <w:pPr>
        <w:pStyle w:val="Bullets"/>
        <w:jc w:val="left"/>
        <w:rPr>
          <w:spacing w:val="-10"/>
        </w:rPr>
      </w:pPr>
      <w:r w:rsidRPr="00FB71FD">
        <w:rPr>
          <w:spacing w:val="-10"/>
        </w:rPr>
        <w:t>Ministerio de Educación Nacional. (2023). Sistema de Matrículas Estudiantil SIMAT.</w:t>
      </w:r>
    </w:p>
    <w:p w14:paraId="547C748D" w14:textId="77777777" w:rsidR="00FE4135" w:rsidRPr="00FB71FD" w:rsidRDefault="00FE4135" w:rsidP="00221BD6">
      <w:pPr>
        <w:pStyle w:val="Bullets"/>
        <w:numPr>
          <w:ilvl w:val="0"/>
          <w:numId w:val="0"/>
        </w:numPr>
        <w:ind w:left="714"/>
        <w:jc w:val="left"/>
        <w:rPr>
          <w:spacing w:val="-10"/>
        </w:rPr>
      </w:pPr>
    </w:p>
    <w:p w14:paraId="4590164C" w14:textId="77777777" w:rsidR="00FE4135" w:rsidRPr="00FB71FD" w:rsidRDefault="00FE4135" w:rsidP="00221BD6">
      <w:pPr>
        <w:pStyle w:val="Bullets"/>
        <w:jc w:val="left"/>
        <w:rPr>
          <w:spacing w:val="-10"/>
        </w:rPr>
      </w:pPr>
      <w:r w:rsidRPr="00FB71FD">
        <w:rPr>
          <w:spacing w:val="-10"/>
        </w:rPr>
        <w:t>Ministerio de Educación Nacional. (2024). Observatorio de Trayectorias Educativas.</w:t>
      </w:r>
    </w:p>
    <w:p w14:paraId="43B4299E" w14:textId="77777777" w:rsidR="00FE4135" w:rsidRPr="00FB71FD" w:rsidRDefault="00FE4135" w:rsidP="00221BD6">
      <w:pPr>
        <w:pStyle w:val="Bullets"/>
        <w:numPr>
          <w:ilvl w:val="0"/>
          <w:numId w:val="0"/>
        </w:numPr>
        <w:ind w:left="714"/>
        <w:jc w:val="left"/>
        <w:rPr>
          <w:spacing w:val="-10"/>
        </w:rPr>
      </w:pPr>
    </w:p>
    <w:p w14:paraId="71AD5B3A" w14:textId="77777777" w:rsidR="00FE4135" w:rsidRPr="00FB71FD" w:rsidRDefault="00FE4135" w:rsidP="00221BD6">
      <w:pPr>
        <w:pStyle w:val="Bullets"/>
        <w:jc w:val="left"/>
        <w:rPr>
          <w:spacing w:val="-10"/>
        </w:rPr>
      </w:pPr>
      <w:r w:rsidRPr="00FB71FD">
        <w:rPr>
          <w:spacing w:val="-10"/>
        </w:rPr>
        <w:t>Ministerio de Igualdad (2023), Gobierno de España. Delegación del Gobierno contra la Violencia de Género.</w:t>
      </w:r>
    </w:p>
    <w:p w14:paraId="2291AF31" w14:textId="77777777" w:rsidR="00FE4135" w:rsidRPr="00FB71FD" w:rsidRDefault="00FE4135" w:rsidP="00221BD6">
      <w:pPr>
        <w:pStyle w:val="Bullets"/>
        <w:numPr>
          <w:ilvl w:val="0"/>
          <w:numId w:val="0"/>
        </w:numPr>
        <w:ind w:left="714"/>
        <w:jc w:val="left"/>
        <w:rPr>
          <w:spacing w:val="-10"/>
        </w:rPr>
      </w:pPr>
    </w:p>
    <w:p w14:paraId="49FAACAA" w14:textId="77777777" w:rsidR="00FE4135" w:rsidRPr="00FB71FD" w:rsidRDefault="00FE4135" w:rsidP="00221BD6">
      <w:pPr>
        <w:pStyle w:val="Bullets"/>
        <w:jc w:val="left"/>
        <w:rPr>
          <w:spacing w:val="-10"/>
        </w:rPr>
      </w:pPr>
      <w:r w:rsidRPr="00FB71FD">
        <w:rPr>
          <w:spacing w:val="-10"/>
        </w:rPr>
        <w:t>Presidencia de la República (2021). Decreto 654 de 2021, Presidencia República de Colombia</w:t>
      </w:r>
    </w:p>
    <w:p w14:paraId="30BEC2A3" w14:textId="77777777" w:rsidR="00FE4135" w:rsidRPr="00FB71FD" w:rsidRDefault="00FE4135" w:rsidP="00221BD6">
      <w:pPr>
        <w:pStyle w:val="Bullets"/>
        <w:numPr>
          <w:ilvl w:val="0"/>
          <w:numId w:val="0"/>
        </w:numPr>
        <w:ind w:left="714"/>
        <w:jc w:val="left"/>
        <w:rPr>
          <w:spacing w:val="-10"/>
        </w:rPr>
      </w:pPr>
    </w:p>
    <w:p w14:paraId="213DA8A1" w14:textId="77777777" w:rsidR="00FE4135" w:rsidRPr="00FB71FD" w:rsidRDefault="00FE4135" w:rsidP="00221BD6">
      <w:pPr>
        <w:pStyle w:val="Bullets"/>
        <w:jc w:val="left"/>
        <w:rPr>
          <w:spacing w:val="-10"/>
        </w:rPr>
      </w:pPr>
      <w:r w:rsidRPr="00FB71FD">
        <w:rPr>
          <w:spacing w:val="-10"/>
        </w:rPr>
        <w:lastRenderedPageBreak/>
        <w:t xml:space="preserve">Observatorio de Desarrollo Económico. (2023b). Mercado laboral. Recuperado abril 26 de 2024: </w:t>
      </w:r>
      <w:hyperlink r:id="rId268" w:history="1">
        <w:r w:rsidRPr="00FB71FD">
          <w:rPr>
            <w:rStyle w:val="Hipervnculo"/>
          </w:rPr>
          <w:t>https://observatorio.desarrolloeconomico.gov.co/</w:t>
        </w:r>
      </w:hyperlink>
    </w:p>
    <w:p w14:paraId="557AF1EB" w14:textId="77777777" w:rsidR="00FE4135" w:rsidRPr="00FB71FD" w:rsidRDefault="00FE4135" w:rsidP="00221BD6">
      <w:pPr>
        <w:pStyle w:val="Bullets"/>
        <w:numPr>
          <w:ilvl w:val="0"/>
          <w:numId w:val="0"/>
        </w:numPr>
        <w:ind w:left="714"/>
        <w:jc w:val="left"/>
        <w:rPr>
          <w:spacing w:val="-10"/>
        </w:rPr>
      </w:pPr>
    </w:p>
    <w:p w14:paraId="689F9E82" w14:textId="77777777" w:rsidR="00FE4135" w:rsidRPr="00FB71FD" w:rsidRDefault="00FE4135" w:rsidP="00221BD6">
      <w:pPr>
        <w:pStyle w:val="Bullets"/>
        <w:jc w:val="left"/>
        <w:rPr>
          <w:spacing w:val="-10"/>
        </w:rPr>
      </w:pPr>
      <w:r w:rsidRPr="00FB71FD">
        <w:rPr>
          <w:spacing w:val="-10"/>
        </w:rPr>
        <w:t>Observatorio de Salud de Bogotá – Saludata (2021).  Datos de Salud.</w:t>
      </w:r>
    </w:p>
    <w:p w14:paraId="4E90CEC5" w14:textId="77777777" w:rsidR="00FE4135" w:rsidRPr="00FB71FD" w:rsidRDefault="00FE4135" w:rsidP="00221BD6">
      <w:pPr>
        <w:pStyle w:val="Bullets"/>
        <w:numPr>
          <w:ilvl w:val="0"/>
          <w:numId w:val="0"/>
        </w:numPr>
        <w:ind w:left="714"/>
        <w:jc w:val="left"/>
        <w:rPr>
          <w:spacing w:val="-10"/>
        </w:rPr>
      </w:pPr>
    </w:p>
    <w:p w14:paraId="24594AD6" w14:textId="77777777" w:rsidR="00FE4135" w:rsidRPr="00FB71FD" w:rsidRDefault="00FE4135" w:rsidP="00FB71FD">
      <w:pPr>
        <w:pStyle w:val="Bullets"/>
        <w:jc w:val="left"/>
        <w:rPr>
          <w:spacing w:val="-10"/>
        </w:rPr>
      </w:pPr>
      <w:r w:rsidRPr="00FB71FD">
        <w:rPr>
          <w:spacing w:val="-10"/>
        </w:rPr>
        <w:t>Instituto Nacional de Salud, Observatorio Nacional de Salud (2015). Informe Nacional de las Desigualdades Sociales en Salud en Colombia. Imprenta Nacional de Colombia, Bogotá, D.C., 2015.</w:t>
      </w:r>
    </w:p>
    <w:p w14:paraId="1098C378" w14:textId="77777777" w:rsidR="00FE4135" w:rsidRPr="00FB71FD" w:rsidRDefault="00FE4135" w:rsidP="00221BD6">
      <w:pPr>
        <w:pStyle w:val="Bullets"/>
        <w:numPr>
          <w:ilvl w:val="0"/>
          <w:numId w:val="0"/>
        </w:numPr>
        <w:ind w:left="714"/>
        <w:jc w:val="left"/>
        <w:rPr>
          <w:spacing w:val="-10"/>
        </w:rPr>
      </w:pPr>
    </w:p>
    <w:p w14:paraId="4F8F9042" w14:textId="77777777" w:rsidR="00FE4135" w:rsidRPr="00FB71FD" w:rsidRDefault="00FE4135" w:rsidP="00221BD6">
      <w:pPr>
        <w:pStyle w:val="Bullets"/>
        <w:jc w:val="left"/>
        <w:rPr>
          <w:spacing w:val="-10"/>
        </w:rPr>
      </w:pPr>
      <w:r w:rsidRPr="00FB71FD">
        <w:rPr>
          <w:spacing w:val="-10"/>
        </w:rPr>
        <w:t>OCDE. (2016). Revisión de políticas nacionales de educación: La Educación en Colombia. Revisión de Políticas Nacionales de Educación, OECD Publishing, Paris.</w:t>
      </w:r>
    </w:p>
    <w:p w14:paraId="519E209F" w14:textId="77777777" w:rsidR="00FE4135" w:rsidRPr="00FB71FD" w:rsidRDefault="00FE4135" w:rsidP="00221BD6">
      <w:pPr>
        <w:pStyle w:val="Bullets"/>
        <w:numPr>
          <w:ilvl w:val="0"/>
          <w:numId w:val="0"/>
        </w:numPr>
        <w:ind w:left="714"/>
        <w:jc w:val="left"/>
        <w:rPr>
          <w:spacing w:val="-10"/>
        </w:rPr>
      </w:pPr>
    </w:p>
    <w:p w14:paraId="3A565C23" w14:textId="77777777" w:rsidR="00FE4135" w:rsidRPr="00FB71FD" w:rsidRDefault="00FE4135" w:rsidP="00221BD6">
      <w:pPr>
        <w:pStyle w:val="Bullets"/>
        <w:jc w:val="left"/>
        <w:rPr>
          <w:spacing w:val="-10"/>
          <w:lang w:val="en-US"/>
        </w:rPr>
      </w:pPr>
      <w:r w:rsidRPr="00FB71FD">
        <w:rPr>
          <w:spacing w:val="-10"/>
        </w:rPr>
        <w:t xml:space="preserve">OCDE. (2023). PISA 2022 Results: Factsheets (Colombia). </w:t>
      </w:r>
      <w:r w:rsidRPr="00FB71FD">
        <w:rPr>
          <w:spacing w:val="-10"/>
          <w:lang w:val="en-US"/>
        </w:rPr>
        <w:t>PISA, OECD Publishing, Paris.</w:t>
      </w:r>
    </w:p>
    <w:p w14:paraId="1E198588" w14:textId="77777777" w:rsidR="00FE4135" w:rsidRPr="00FB71FD" w:rsidRDefault="00FE4135" w:rsidP="00221BD6">
      <w:pPr>
        <w:pStyle w:val="Bullets"/>
        <w:numPr>
          <w:ilvl w:val="0"/>
          <w:numId w:val="0"/>
        </w:numPr>
        <w:ind w:left="714"/>
        <w:jc w:val="left"/>
        <w:rPr>
          <w:spacing w:val="-10"/>
          <w:lang w:val="en-US"/>
        </w:rPr>
      </w:pPr>
    </w:p>
    <w:p w14:paraId="54246B93" w14:textId="77777777" w:rsidR="00FE4135" w:rsidRPr="00FB71FD" w:rsidRDefault="00FE4135" w:rsidP="00221BD6">
      <w:pPr>
        <w:pStyle w:val="Bullets"/>
        <w:jc w:val="left"/>
        <w:rPr>
          <w:spacing w:val="-10"/>
        </w:rPr>
      </w:pPr>
      <w:r w:rsidRPr="00FB71FD">
        <w:rPr>
          <w:spacing w:val="-10"/>
        </w:rPr>
        <w:t>ODBE. (2023). Encuesta monitor de las mipyme Bogotá diciembre 2023 SDDE-ACOPI.</w:t>
      </w:r>
    </w:p>
    <w:p w14:paraId="143FD6F3" w14:textId="77777777" w:rsidR="00FE4135" w:rsidRPr="00FB71FD" w:rsidRDefault="00FE4135" w:rsidP="00221BD6">
      <w:pPr>
        <w:pStyle w:val="Bullets"/>
        <w:numPr>
          <w:ilvl w:val="0"/>
          <w:numId w:val="0"/>
        </w:numPr>
        <w:ind w:left="714"/>
        <w:jc w:val="left"/>
        <w:rPr>
          <w:spacing w:val="-10"/>
        </w:rPr>
      </w:pPr>
    </w:p>
    <w:p w14:paraId="7025D502" w14:textId="77777777" w:rsidR="00FE4135" w:rsidRPr="00FB71FD" w:rsidRDefault="00FE4135" w:rsidP="00221BD6">
      <w:pPr>
        <w:pStyle w:val="Bullets"/>
        <w:jc w:val="left"/>
        <w:rPr>
          <w:spacing w:val="-10"/>
        </w:rPr>
      </w:pPr>
      <w:r w:rsidRPr="00FB71FD">
        <w:rPr>
          <w:spacing w:val="-10"/>
        </w:rPr>
        <w:t>ODEB. (2024). Boletín Dinámica empresarial Periodo de análisis: diciembre 2023 No 31.</w:t>
      </w:r>
    </w:p>
    <w:p w14:paraId="7669986C" w14:textId="77777777" w:rsidR="00FE4135" w:rsidRPr="00FB71FD" w:rsidRDefault="00FE4135" w:rsidP="00221BD6">
      <w:pPr>
        <w:pStyle w:val="Bullets"/>
        <w:numPr>
          <w:ilvl w:val="0"/>
          <w:numId w:val="0"/>
        </w:numPr>
        <w:ind w:left="714"/>
        <w:jc w:val="left"/>
        <w:rPr>
          <w:spacing w:val="-10"/>
        </w:rPr>
      </w:pPr>
    </w:p>
    <w:p w14:paraId="4C095A40" w14:textId="77777777" w:rsidR="00FE4135" w:rsidRPr="00FB71FD" w:rsidRDefault="00FE4135" w:rsidP="00221BD6">
      <w:pPr>
        <w:pStyle w:val="Bullets"/>
        <w:jc w:val="left"/>
        <w:rPr>
          <w:spacing w:val="-10"/>
        </w:rPr>
      </w:pPr>
      <w:r w:rsidRPr="00FB71FD">
        <w:rPr>
          <w:spacing w:val="-10"/>
        </w:rPr>
        <w:t>Oficina Internacional del Trabajo. (2013). Skills for social inclusión.</w:t>
      </w:r>
    </w:p>
    <w:p w14:paraId="1DD81C33" w14:textId="77777777" w:rsidR="00FE4135" w:rsidRPr="00FB71FD" w:rsidRDefault="00FE4135" w:rsidP="00221BD6">
      <w:pPr>
        <w:pStyle w:val="Bullets"/>
        <w:numPr>
          <w:ilvl w:val="0"/>
          <w:numId w:val="0"/>
        </w:numPr>
        <w:ind w:left="714"/>
        <w:jc w:val="left"/>
        <w:rPr>
          <w:spacing w:val="-10"/>
        </w:rPr>
      </w:pPr>
    </w:p>
    <w:p w14:paraId="06BE86EE" w14:textId="77777777" w:rsidR="00FE4135" w:rsidRPr="00FB71FD" w:rsidRDefault="00FE4135" w:rsidP="00221BD6">
      <w:pPr>
        <w:pStyle w:val="Bullets"/>
        <w:jc w:val="left"/>
        <w:rPr>
          <w:spacing w:val="-10"/>
        </w:rPr>
      </w:pPr>
      <w:r w:rsidRPr="00FB71FD">
        <w:rPr>
          <w:spacing w:val="-10"/>
        </w:rPr>
        <w:t>Oficina Internacional del Trabajo. (2013). Informe de sectores, áreas, empresas y/o tipologías de empleos de oportunidad que tiene la Agencia Distrital de Empleo para fortalecer la vinculación laboral en empleos verdes en la ciudad de Bogotá.</w:t>
      </w:r>
    </w:p>
    <w:p w14:paraId="564B06FE" w14:textId="77777777" w:rsidR="00FE4135" w:rsidRPr="00FB71FD" w:rsidRDefault="00FE4135" w:rsidP="00221BD6">
      <w:pPr>
        <w:pStyle w:val="Bullets"/>
        <w:numPr>
          <w:ilvl w:val="0"/>
          <w:numId w:val="0"/>
        </w:numPr>
        <w:ind w:left="714"/>
        <w:jc w:val="left"/>
        <w:rPr>
          <w:spacing w:val="-10"/>
        </w:rPr>
      </w:pPr>
      <w:r w:rsidRPr="00FB71FD">
        <w:rPr>
          <w:spacing w:val="-10"/>
        </w:rPr>
        <w:tab/>
      </w:r>
    </w:p>
    <w:p w14:paraId="17581066" w14:textId="77777777" w:rsidR="00FE4135" w:rsidRPr="00FB71FD" w:rsidRDefault="00FE4135" w:rsidP="00221BD6">
      <w:pPr>
        <w:pStyle w:val="Bullets"/>
        <w:jc w:val="left"/>
        <w:rPr>
          <w:spacing w:val="-10"/>
        </w:rPr>
      </w:pPr>
      <w:r w:rsidRPr="00FB71FD">
        <w:rPr>
          <w:spacing w:val="-10"/>
        </w:rPr>
        <w:t>Oficina Internacional del Trabajo. (2024). Metodología de fortalecimiento del componente de formación a la medida. Bogotá.</w:t>
      </w:r>
    </w:p>
    <w:p w14:paraId="2879CF88" w14:textId="77777777" w:rsidR="00FE4135" w:rsidRPr="00FB71FD" w:rsidRDefault="00FE4135" w:rsidP="00221BD6">
      <w:pPr>
        <w:pStyle w:val="Bullets"/>
        <w:numPr>
          <w:ilvl w:val="0"/>
          <w:numId w:val="0"/>
        </w:numPr>
        <w:ind w:left="714"/>
        <w:jc w:val="left"/>
        <w:rPr>
          <w:spacing w:val="-10"/>
        </w:rPr>
      </w:pPr>
    </w:p>
    <w:p w14:paraId="641B49E7" w14:textId="77777777" w:rsidR="00FE4135" w:rsidRPr="00FB71FD" w:rsidRDefault="00FE4135" w:rsidP="00221BD6">
      <w:pPr>
        <w:pStyle w:val="Bullets"/>
        <w:jc w:val="left"/>
        <w:rPr>
          <w:spacing w:val="-10"/>
        </w:rPr>
      </w:pPr>
      <w:r w:rsidRPr="00FB71FD">
        <w:rPr>
          <w:spacing w:val="-10"/>
        </w:rPr>
        <w:t>Secretaría Distrital de la Mujer. (2022). Línea Base de la Política Pública de Mujeres y Equidad de Género, Observatorio de Mujeres y Equidad de Género. Bogotá: Secretaría Distrital de la Mujer.</w:t>
      </w:r>
    </w:p>
    <w:p w14:paraId="05EF1749" w14:textId="77777777" w:rsidR="00FE4135" w:rsidRPr="00FB71FD" w:rsidRDefault="00FE4135" w:rsidP="00221BD6">
      <w:pPr>
        <w:pStyle w:val="Bullets"/>
        <w:numPr>
          <w:ilvl w:val="0"/>
          <w:numId w:val="0"/>
        </w:numPr>
        <w:ind w:left="714"/>
        <w:jc w:val="left"/>
        <w:rPr>
          <w:spacing w:val="-10"/>
        </w:rPr>
      </w:pPr>
    </w:p>
    <w:p w14:paraId="405D025E" w14:textId="77777777" w:rsidR="00FE4135" w:rsidRPr="00FB71FD" w:rsidRDefault="00FE4135" w:rsidP="00221BD6">
      <w:pPr>
        <w:pStyle w:val="Bullets"/>
        <w:jc w:val="left"/>
        <w:rPr>
          <w:spacing w:val="-10"/>
        </w:rPr>
      </w:pPr>
      <w:r w:rsidRPr="00FB71FD">
        <w:rPr>
          <w:spacing w:val="-10"/>
        </w:rPr>
        <w:t>OMS. Informe final de la Comisión OMS sobre Determinantes Sociales de la Salud.</w:t>
      </w:r>
    </w:p>
    <w:p w14:paraId="4B30A87D" w14:textId="77777777" w:rsidR="00FE4135" w:rsidRPr="00FB71FD" w:rsidRDefault="00FE4135" w:rsidP="00221BD6">
      <w:pPr>
        <w:pStyle w:val="Bullets"/>
        <w:numPr>
          <w:ilvl w:val="0"/>
          <w:numId w:val="0"/>
        </w:numPr>
        <w:ind w:left="714"/>
        <w:jc w:val="left"/>
        <w:rPr>
          <w:spacing w:val="-10"/>
        </w:rPr>
      </w:pPr>
    </w:p>
    <w:p w14:paraId="24BCA32C" w14:textId="77777777" w:rsidR="00FE4135" w:rsidRPr="00FB71FD" w:rsidRDefault="00FE4135" w:rsidP="00221BD6">
      <w:pPr>
        <w:pStyle w:val="Bullets"/>
        <w:jc w:val="left"/>
        <w:rPr>
          <w:spacing w:val="-10"/>
        </w:rPr>
      </w:pPr>
      <w:r w:rsidRPr="00FB71FD">
        <w:rPr>
          <w:spacing w:val="-10"/>
        </w:rPr>
        <w:t xml:space="preserve">ONU (2010). 12º Congreso de las Naciones Unidas sobre Prevención del Delito y Justicia Penal. Situación de la delincuencia y la justicia penal en el mundo. Recuperado de </w:t>
      </w:r>
      <w:hyperlink r:id="rId269" w:history="1">
        <w:r w:rsidRPr="00FB71FD">
          <w:rPr>
            <w:rStyle w:val="Hipervnculo"/>
          </w:rPr>
          <w:t>https://www.unodc.org/documents/crime-congress.</w:t>
        </w:r>
      </w:hyperlink>
    </w:p>
    <w:p w14:paraId="73CC87B4" w14:textId="77777777" w:rsidR="00FE4135" w:rsidRPr="00FB71FD" w:rsidRDefault="00FE4135" w:rsidP="00221BD6">
      <w:pPr>
        <w:pStyle w:val="Bullets"/>
        <w:numPr>
          <w:ilvl w:val="0"/>
          <w:numId w:val="0"/>
        </w:numPr>
        <w:ind w:left="714"/>
        <w:jc w:val="left"/>
        <w:rPr>
          <w:spacing w:val="-10"/>
        </w:rPr>
      </w:pPr>
    </w:p>
    <w:p w14:paraId="087EF17D" w14:textId="77777777" w:rsidR="00FE4135" w:rsidRPr="00FB71FD" w:rsidRDefault="00FE4135" w:rsidP="00221BD6">
      <w:pPr>
        <w:pStyle w:val="Bullets"/>
        <w:jc w:val="left"/>
        <w:rPr>
          <w:spacing w:val="-10"/>
        </w:rPr>
      </w:pPr>
      <w:r w:rsidRPr="00FB71FD">
        <w:rPr>
          <w:spacing w:val="-10"/>
        </w:rPr>
        <w:t>Organización Panamericana de la Salud (2021). Reporte Situación COVID 19 Colombia.</w:t>
      </w:r>
    </w:p>
    <w:p w14:paraId="09030DDF" w14:textId="77777777" w:rsidR="00FE4135" w:rsidRPr="00FB71FD" w:rsidRDefault="00FE4135" w:rsidP="00221BD6">
      <w:pPr>
        <w:pStyle w:val="Bullets"/>
        <w:numPr>
          <w:ilvl w:val="0"/>
          <w:numId w:val="0"/>
        </w:numPr>
        <w:ind w:left="714"/>
        <w:jc w:val="left"/>
        <w:rPr>
          <w:spacing w:val="-10"/>
        </w:rPr>
      </w:pPr>
    </w:p>
    <w:p w14:paraId="5537E619" w14:textId="77777777" w:rsidR="00FE4135" w:rsidRPr="00FB71FD" w:rsidRDefault="00FE4135" w:rsidP="00221BD6">
      <w:pPr>
        <w:pStyle w:val="Bullets"/>
        <w:jc w:val="left"/>
        <w:rPr>
          <w:spacing w:val="-10"/>
        </w:rPr>
      </w:pPr>
      <w:r w:rsidRPr="00FB71FD">
        <w:rPr>
          <w:spacing w:val="-10"/>
        </w:rPr>
        <w:t>Organización Panamericana de la Salud, 2023. Informe mundial sobre la salud mental: Transformar la salud mental para todos.</w:t>
      </w:r>
    </w:p>
    <w:p w14:paraId="5C832EDD" w14:textId="77777777" w:rsidR="00FE4135" w:rsidRPr="00FB71FD" w:rsidRDefault="00FE4135" w:rsidP="00221BD6">
      <w:pPr>
        <w:pStyle w:val="Bullets"/>
        <w:numPr>
          <w:ilvl w:val="0"/>
          <w:numId w:val="0"/>
        </w:numPr>
        <w:ind w:left="714"/>
        <w:jc w:val="left"/>
        <w:rPr>
          <w:spacing w:val="-10"/>
        </w:rPr>
      </w:pPr>
    </w:p>
    <w:p w14:paraId="2FA9AFB3" w14:textId="77777777" w:rsidR="00FE4135" w:rsidRPr="00FB71FD" w:rsidRDefault="00FE4135" w:rsidP="00221BD6">
      <w:pPr>
        <w:pStyle w:val="Bullets"/>
        <w:jc w:val="left"/>
        <w:rPr>
          <w:spacing w:val="-10"/>
        </w:rPr>
      </w:pPr>
      <w:r w:rsidRPr="00FB71FD">
        <w:rPr>
          <w:spacing w:val="-10"/>
        </w:rPr>
        <w:t xml:space="preserve">Palencia, N. E. (s. f.). Personería de Bogotá—Guardianes de tus Derechos—Más de 11 mil peticiones, por deficiencias en la atención en salud, por parte de EPS en Bogotá, recibió la Personería. Recuperado 1 de febrero de 2024, de </w:t>
      </w:r>
      <w:hyperlink r:id="rId270" w:history="1">
        <w:r w:rsidRPr="00FB71FD">
          <w:rPr>
            <w:rStyle w:val="Hipervnculo"/>
          </w:rPr>
          <w:t>https://www.personeriabogota.gov.co/sala-de-prensa/notas-de-prensa/item/1051-mas-de-11-mil-peticiones-por-deficiencias-en-la-atencion-en-salud-por-parte-de-eps-en-bogota-recibio-la-personeria</w:t>
        </w:r>
      </w:hyperlink>
    </w:p>
    <w:p w14:paraId="1BC63095" w14:textId="77777777" w:rsidR="00FE4135" w:rsidRPr="00FB71FD" w:rsidRDefault="00FE4135" w:rsidP="00221BD6">
      <w:pPr>
        <w:pStyle w:val="Bullets"/>
        <w:numPr>
          <w:ilvl w:val="0"/>
          <w:numId w:val="0"/>
        </w:numPr>
        <w:ind w:left="714"/>
        <w:jc w:val="left"/>
        <w:rPr>
          <w:spacing w:val="-10"/>
        </w:rPr>
      </w:pPr>
    </w:p>
    <w:p w14:paraId="1D4293B5" w14:textId="77777777" w:rsidR="00FE4135" w:rsidRPr="00FB71FD" w:rsidRDefault="00FE4135" w:rsidP="00221BD6">
      <w:pPr>
        <w:pStyle w:val="Bullets"/>
        <w:jc w:val="left"/>
        <w:rPr>
          <w:spacing w:val="-10"/>
        </w:rPr>
      </w:pPr>
      <w:r w:rsidRPr="00FB71FD">
        <w:rPr>
          <w:spacing w:val="-10"/>
        </w:rPr>
        <w:lastRenderedPageBreak/>
        <w:t xml:space="preserve">Pelletier, D. L., Olson, C. M., &amp; Frongillo, E. A. (2003). Inseguridad alimentaria, hambre y desnutrición. En Organización Panamericana de la Salud, B. Bowman, &amp; R. Russell (Eds.), Conocimientos actuales sobre Nutrición. Washington, DC, Estados Unidos: OPS e Instituto Internacional de Ciencias de la Vid. Obtenido de </w:t>
      </w:r>
      <w:hyperlink r:id="rId271" w:history="1">
        <w:r w:rsidRPr="00FB71FD">
          <w:rPr>
            <w:rStyle w:val="Hipervnculo"/>
          </w:rPr>
          <w:t>https://iris.paho.org/bitstream/handle/10665.2/3150/Conocimientos%20actuales%20sobre%20nutricion%20octava%20edicion.pdf?sequence=1&amp;isAllowed=y</w:t>
        </w:r>
      </w:hyperlink>
    </w:p>
    <w:p w14:paraId="1E29367C" w14:textId="77777777" w:rsidR="00FE4135" w:rsidRPr="00FB71FD" w:rsidRDefault="00FE4135" w:rsidP="00221BD6">
      <w:pPr>
        <w:pStyle w:val="Bullets"/>
        <w:numPr>
          <w:ilvl w:val="0"/>
          <w:numId w:val="0"/>
        </w:numPr>
        <w:ind w:left="714"/>
        <w:jc w:val="left"/>
        <w:rPr>
          <w:spacing w:val="-10"/>
        </w:rPr>
      </w:pPr>
    </w:p>
    <w:p w14:paraId="2E1C0193" w14:textId="77777777" w:rsidR="00FE4135" w:rsidRPr="00FB71FD" w:rsidRDefault="00FE4135" w:rsidP="00221BD6">
      <w:pPr>
        <w:pStyle w:val="Bullets"/>
        <w:jc w:val="left"/>
        <w:rPr>
          <w:spacing w:val="-10"/>
        </w:rPr>
      </w:pPr>
      <w:r w:rsidRPr="00FB71FD">
        <w:rPr>
          <w:spacing w:val="-10"/>
        </w:rPr>
        <w:t>Policía Nacional. (2023). Sistema de Información Estadístico Delincuencial, Contravencional y Operativo - SIEDCO</w:t>
      </w:r>
    </w:p>
    <w:p w14:paraId="037525AB" w14:textId="77777777" w:rsidR="00FE4135" w:rsidRPr="00FB71FD" w:rsidRDefault="00FE4135" w:rsidP="00221BD6">
      <w:pPr>
        <w:pStyle w:val="Bullets"/>
        <w:numPr>
          <w:ilvl w:val="0"/>
          <w:numId w:val="0"/>
        </w:numPr>
        <w:ind w:left="714"/>
        <w:jc w:val="left"/>
        <w:rPr>
          <w:spacing w:val="-10"/>
        </w:rPr>
      </w:pPr>
    </w:p>
    <w:p w14:paraId="4032CC9D" w14:textId="77777777" w:rsidR="00FE4135" w:rsidRPr="00FB71FD" w:rsidRDefault="00FE4135" w:rsidP="00221BD6">
      <w:pPr>
        <w:pStyle w:val="Bullets"/>
        <w:jc w:val="left"/>
        <w:rPr>
          <w:spacing w:val="-10"/>
        </w:rPr>
      </w:pPr>
      <w:r w:rsidRPr="00FB71FD">
        <w:rPr>
          <w:spacing w:val="-10"/>
        </w:rPr>
        <w:t xml:space="preserve">Pontificia Universidad Javerina y Consejo Privado de Competitividad. (2023). Brechas de habilidades digitales técnicas y blandas. Bogotá D.C.: Pontificia Universidad Javeriana. Obtenido de </w:t>
      </w:r>
      <w:hyperlink r:id="rId272" w:history="1">
        <w:r w:rsidRPr="00FB71FD">
          <w:rPr>
            <w:rStyle w:val="Hipervnculo"/>
          </w:rPr>
          <w:t>https://lee.javeriana.edu.co/documents/5581483/8102914/BRECHA-DE-HABILIDADES_LEE_CPC_VF.pdf</w:t>
        </w:r>
      </w:hyperlink>
    </w:p>
    <w:p w14:paraId="77E0856A" w14:textId="77777777" w:rsidR="00FE4135" w:rsidRPr="00FB71FD" w:rsidRDefault="00FE4135" w:rsidP="00221BD6">
      <w:pPr>
        <w:pStyle w:val="Bullets"/>
        <w:numPr>
          <w:ilvl w:val="0"/>
          <w:numId w:val="0"/>
        </w:numPr>
        <w:ind w:left="714"/>
        <w:jc w:val="left"/>
        <w:rPr>
          <w:spacing w:val="-10"/>
        </w:rPr>
      </w:pPr>
    </w:p>
    <w:p w14:paraId="7B6B204D" w14:textId="77777777" w:rsidR="00FE4135" w:rsidRPr="00FB71FD" w:rsidRDefault="00FE4135" w:rsidP="00221BD6">
      <w:pPr>
        <w:pStyle w:val="Bullets"/>
        <w:jc w:val="left"/>
        <w:rPr>
          <w:spacing w:val="-10"/>
        </w:rPr>
      </w:pPr>
      <w:r w:rsidRPr="00FB71FD">
        <w:rPr>
          <w:spacing w:val="-10"/>
        </w:rPr>
        <w:t>PPIH. (2022). Por medio del cual se adopta la Política Pública de Gestión Integral del Hábitat de Bogotá 2022-2031. Decreto 561 de 2022. Alcaldía Mayor de Bogotá, D.C.</w:t>
      </w:r>
    </w:p>
    <w:p w14:paraId="57C32049" w14:textId="77777777" w:rsidR="00FE4135" w:rsidRPr="00FB71FD" w:rsidRDefault="00FE4135" w:rsidP="00221BD6">
      <w:pPr>
        <w:pStyle w:val="Bullets"/>
        <w:numPr>
          <w:ilvl w:val="0"/>
          <w:numId w:val="0"/>
        </w:numPr>
        <w:ind w:left="714"/>
        <w:jc w:val="left"/>
        <w:rPr>
          <w:spacing w:val="-10"/>
        </w:rPr>
      </w:pPr>
    </w:p>
    <w:p w14:paraId="73BA632A" w14:textId="77777777" w:rsidR="00FE4135" w:rsidRPr="00FB71FD" w:rsidRDefault="00FE4135" w:rsidP="00221BD6">
      <w:pPr>
        <w:pStyle w:val="Bullets"/>
        <w:jc w:val="left"/>
        <w:rPr>
          <w:spacing w:val="-10"/>
        </w:rPr>
      </w:pPr>
      <w:r w:rsidRPr="00FB71FD">
        <w:rPr>
          <w:spacing w:val="-10"/>
        </w:rPr>
        <w:t>PPIH-DTS. (2022). Por medio del cual se adopta la Política Pública de Gestión Integral del Hábitat de Bogotá 2022-2031. Documento Técnico de Soporte. Secretaría Distrital del Hábitat. Bogotá D.C.</w:t>
      </w:r>
    </w:p>
    <w:p w14:paraId="507B2982" w14:textId="77777777" w:rsidR="00FE4135" w:rsidRPr="00FB71FD" w:rsidRDefault="00FE4135" w:rsidP="00221BD6">
      <w:pPr>
        <w:pStyle w:val="Bullets"/>
        <w:numPr>
          <w:ilvl w:val="0"/>
          <w:numId w:val="0"/>
        </w:numPr>
        <w:ind w:left="714"/>
        <w:jc w:val="left"/>
        <w:rPr>
          <w:spacing w:val="-10"/>
        </w:rPr>
      </w:pPr>
    </w:p>
    <w:p w14:paraId="1FF445C2" w14:textId="77777777" w:rsidR="00FE4135" w:rsidRPr="00FB71FD" w:rsidRDefault="00FE4135" w:rsidP="00221BD6">
      <w:pPr>
        <w:pStyle w:val="Bullets"/>
        <w:jc w:val="left"/>
        <w:rPr>
          <w:spacing w:val="-10"/>
        </w:rPr>
      </w:pPr>
      <w:r w:rsidRPr="00FB71FD">
        <w:rPr>
          <w:spacing w:val="-10"/>
        </w:rPr>
        <w:t xml:space="preserve">Procuraduría General de la Nación. República de Argentina. (2023). Ministerio Público Fiscal. Unidad Fiscal Especializada en Violencia contra las Mujeres (UFEM). Obtenido de: </w:t>
      </w:r>
      <w:hyperlink r:id="rId273" w:history="1">
        <w:r w:rsidRPr="00FB71FD">
          <w:rPr>
            <w:rStyle w:val="Hipervnculo"/>
          </w:rPr>
          <w:t>https://www.mpf.gob.ar/ufem/estadisticas/</w:t>
        </w:r>
      </w:hyperlink>
    </w:p>
    <w:p w14:paraId="7924DBAB" w14:textId="77777777" w:rsidR="00FE4135" w:rsidRPr="00FB71FD" w:rsidRDefault="00FE4135" w:rsidP="00221BD6">
      <w:pPr>
        <w:pStyle w:val="Bullets"/>
        <w:numPr>
          <w:ilvl w:val="0"/>
          <w:numId w:val="0"/>
        </w:numPr>
        <w:ind w:left="714"/>
        <w:jc w:val="left"/>
        <w:rPr>
          <w:spacing w:val="-10"/>
        </w:rPr>
      </w:pPr>
    </w:p>
    <w:p w14:paraId="160C382B" w14:textId="77777777" w:rsidR="00FE4135" w:rsidRPr="00FB71FD" w:rsidRDefault="00FE4135" w:rsidP="00221BD6">
      <w:pPr>
        <w:pStyle w:val="Bullets"/>
        <w:jc w:val="left"/>
        <w:rPr>
          <w:spacing w:val="-10"/>
        </w:rPr>
      </w:pPr>
      <w:r w:rsidRPr="00FB71FD">
        <w:rPr>
          <w:spacing w:val="-10"/>
        </w:rPr>
        <w:t>Programa de las Naciones Unidas para el Desarrollo, &amp; Secretaría Distrital de Desarrollo Económico Inclusión. (2022). Índice de Robustez de Micronegocios IMICRO Bogotá 2019 y 2021 Análisis Descriptivo.</w:t>
      </w:r>
    </w:p>
    <w:p w14:paraId="6DD385A3" w14:textId="77777777" w:rsidR="00FE4135" w:rsidRPr="00FB71FD" w:rsidRDefault="00FE4135" w:rsidP="00221BD6">
      <w:pPr>
        <w:pStyle w:val="Bullets"/>
        <w:numPr>
          <w:ilvl w:val="0"/>
          <w:numId w:val="0"/>
        </w:numPr>
        <w:ind w:left="714"/>
        <w:jc w:val="left"/>
        <w:rPr>
          <w:spacing w:val="-10"/>
        </w:rPr>
      </w:pPr>
    </w:p>
    <w:p w14:paraId="66BAAB02" w14:textId="77777777" w:rsidR="00FE4135" w:rsidRPr="00FB71FD" w:rsidRDefault="00FE4135" w:rsidP="00221BD6">
      <w:pPr>
        <w:pStyle w:val="Bullets"/>
        <w:jc w:val="left"/>
        <w:rPr>
          <w:spacing w:val="-10"/>
        </w:rPr>
      </w:pPr>
      <w:r w:rsidRPr="00FB71FD">
        <w:rPr>
          <w:spacing w:val="-10"/>
        </w:rPr>
        <w:t>Resolución 1239 de 2022. Ministerio de Salud y Protección Social. Establece el procedimiento de certificación de discapacidad y el Registro de Localización y Caracterización de Personas con Discapacidad (RLCPD) como medida nacional para localizar, caracterizar y certificar a este grupo poblacional.</w:t>
      </w:r>
    </w:p>
    <w:p w14:paraId="223F620A" w14:textId="77777777" w:rsidR="00FE4135" w:rsidRPr="00FB71FD" w:rsidRDefault="00FE4135" w:rsidP="00221BD6">
      <w:pPr>
        <w:pStyle w:val="Bullets"/>
        <w:numPr>
          <w:ilvl w:val="0"/>
          <w:numId w:val="0"/>
        </w:numPr>
        <w:ind w:left="714"/>
        <w:jc w:val="left"/>
        <w:rPr>
          <w:spacing w:val="-10"/>
        </w:rPr>
      </w:pPr>
    </w:p>
    <w:p w14:paraId="74A0EC33" w14:textId="77777777" w:rsidR="00FE4135" w:rsidRPr="00FB71FD" w:rsidRDefault="00FE4135" w:rsidP="00221BD6">
      <w:pPr>
        <w:pStyle w:val="Bullets"/>
        <w:jc w:val="left"/>
        <w:rPr>
          <w:spacing w:val="-10"/>
        </w:rPr>
      </w:pPr>
      <w:r w:rsidRPr="00FB71FD">
        <w:rPr>
          <w:spacing w:val="-10"/>
        </w:rPr>
        <w:t>Resolución 4313 de 2018. Adopta el Plan de Manejo Ambiental de Altos de la Estancia en la Localidad de Ciudad Bolívar, en cumplimiento del artículo 5° del Decreto Distrital 249 de 2015.</w:t>
      </w:r>
    </w:p>
    <w:p w14:paraId="5C92672C" w14:textId="77777777" w:rsidR="00FE4135" w:rsidRPr="00FB71FD" w:rsidRDefault="00FE4135" w:rsidP="00221BD6">
      <w:pPr>
        <w:pStyle w:val="Bullets"/>
        <w:numPr>
          <w:ilvl w:val="0"/>
          <w:numId w:val="0"/>
        </w:numPr>
        <w:ind w:left="714"/>
        <w:jc w:val="left"/>
        <w:rPr>
          <w:spacing w:val="-10"/>
        </w:rPr>
      </w:pPr>
    </w:p>
    <w:p w14:paraId="778CEC8E" w14:textId="77777777" w:rsidR="00FE4135" w:rsidRPr="00FB71FD" w:rsidRDefault="00FE4135" w:rsidP="00221BD6">
      <w:pPr>
        <w:pStyle w:val="Bullets"/>
        <w:jc w:val="left"/>
        <w:rPr>
          <w:spacing w:val="-10"/>
        </w:rPr>
      </w:pPr>
      <w:r w:rsidRPr="00FB71FD">
        <w:rPr>
          <w:spacing w:val="-10"/>
        </w:rPr>
        <w:t xml:space="preserve">Secretaría Distrital de Ambiente. (2020). Plan estratégico para la gestión Integral de la calidad del aire de Bogotá 2030. Recuperado de </w:t>
      </w:r>
      <w:hyperlink r:id="rId274" w:history="1">
        <w:r w:rsidRPr="00FB71FD">
          <w:rPr>
            <w:rStyle w:val="Hipervnculo"/>
          </w:rPr>
          <w:t>https://www.ambientebogota.gov.co/plan-aire-2030.</w:t>
        </w:r>
      </w:hyperlink>
    </w:p>
    <w:p w14:paraId="745C012A" w14:textId="77777777" w:rsidR="00FE4135" w:rsidRPr="00FB71FD" w:rsidRDefault="00FE4135" w:rsidP="00221BD6">
      <w:pPr>
        <w:pStyle w:val="Bullets"/>
        <w:numPr>
          <w:ilvl w:val="0"/>
          <w:numId w:val="0"/>
        </w:numPr>
        <w:ind w:left="714"/>
        <w:jc w:val="left"/>
        <w:rPr>
          <w:spacing w:val="-10"/>
        </w:rPr>
      </w:pPr>
    </w:p>
    <w:p w14:paraId="08A59296" w14:textId="77777777" w:rsidR="00FE4135" w:rsidRPr="00FB71FD" w:rsidRDefault="00FE4135" w:rsidP="00221BD6">
      <w:pPr>
        <w:pStyle w:val="Bullets"/>
        <w:jc w:val="left"/>
        <w:rPr>
          <w:spacing w:val="-10"/>
        </w:rPr>
      </w:pPr>
      <w:r w:rsidRPr="00FB71FD">
        <w:rPr>
          <w:spacing w:val="-10"/>
        </w:rPr>
        <w:t xml:space="preserve">Secretaría Distrital de Ambiente. (2022). Tercera Comunicación Nacional de Cambio Climático. Recuperado de </w:t>
      </w:r>
      <w:hyperlink r:id="rId275" w:history="1">
        <w:r w:rsidRPr="00FB71FD">
          <w:rPr>
            <w:rStyle w:val="Hipervnculo"/>
          </w:rPr>
          <w:t>https://oab.ambientebogota.gov.co/?post_type=dlm_download&amp;p=21700.</w:t>
        </w:r>
      </w:hyperlink>
    </w:p>
    <w:p w14:paraId="52F52E60" w14:textId="77777777" w:rsidR="00FE4135" w:rsidRPr="00FB71FD" w:rsidRDefault="00FE4135" w:rsidP="00221BD6">
      <w:pPr>
        <w:pStyle w:val="Bullets"/>
        <w:numPr>
          <w:ilvl w:val="0"/>
          <w:numId w:val="0"/>
        </w:numPr>
        <w:ind w:left="714"/>
        <w:jc w:val="left"/>
        <w:rPr>
          <w:spacing w:val="-10"/>
        </w:rPr>
      </w:pPr>
    </w:p>
    <w:p w14:paraId="23010752" w14:textId="77777777" w:rsidR="00FE4135" w:rsidRPr="00FB71FD" w:rsidRDefault="00FE4135" w:rsidP="00221BD6">
      <w:pPr>
        <w:pStyle w:val="Bullets"/>
        <w:jc w:val="left"/>
        <w:rPr>
          <w:spacing w:val="-10"/>
        </w:rPr>
      </w:pPr>
      <w:r w:rsidRPr="00FB71FD">
        <w:rPr>
          <w:spacing w:val="-10"/>
        </w:rPr>
        <w:t>Secretaría Distrital de Desarrollo Económico. (2011). Documento Síntesis de La Política Distrital de Productividad, Competitividad y Desarrollo Socioeconómico de Bogotá DC. Bogotá D.C.</w:t>
      </w:r>
    </w:p>
    <w:p w14:paraId="7982A496" w14:textId="77777777" w:rsidR="00FE4135" w:rsidRPr="00FB71FD" w:rsidRDefault="00FE4135" w:rsidP="00221BD6">
      <w:pPr>
        <w:pStyle w:val="Bullets"/>
        <w:numPr>
          <w:ilvl w:val="0"/>
          <w:numId w:val="0"/>
        </w:numPr>
        <w:ind w:left="714"/>
        <w:jc w:val="left"/>
        <w:rPr>
          <w:spacing w:val="-10"/>
        </w:rPr>
      </w:pPr>
    </w:p>
    <w:p w14:paraId="23F0F97E" w14:textId="77777777" w:rsidR="00FE4135" w:rsidRPr="00FB71FD" w:rsidRDefault="00FE4135" w:rsidP="00221BD6">
      <w:pPr>
        <w:pStyle w:val="Bullets"/>
        <w:jc w:val="left"/>
        <w:rPr>
          <w:spacing w:val="-10"/>
        </w:rPr>
      </w:pPr>
      <w:r w:rsidRPr="00FB71FD">
        <w:rPr>
          <w:spacing w:val="-10"/>
        </w:rPr>
        <w:t>Secretaría Distrital de Desarrollo Económico. (2019). Documento CONPES D.C 04. Consejo Distrital de Política Económica y Social del Distrito Capital. Política Pública De Ciencia, Tecnología E Innovación 2019-2038.</w:t>
      </w:r>
    </w:p>
    <w:p w14:paraId="6EA018EF" w14:textId="77777777" w:rsidR="00FE4135" w:rsidRPr="00FB71FD" w:rsidRDefault="00FE4135" w:rsidP="00221BD6">
      <w:pPr>
        <w:pStyle w:val="Bullets"/>
        <w:numPr>
          <w:ilvl w:val="0"/>
          <w:numId w:val="0"/>
        </w:numPr>
        <w:ind w:left="714"/>
        <w:jc w:val="left"/>
        <w:rPr>
          <w:spacing w:val="-10"/>
        </w:rPr>
      </w:pPr>
    </w:p>
    <w:p w14:paraId="0EE97194" w14:textId="77777777" w:rsidR="00FE4135" w:rsidRPr="00FB71FD" w:rsidRDefault="00FE4135" w:rsidP="00221BD6">
      <w:pPr>
        <w:pStyle w:val="Bullets"/>
        <w:jc w:val="left"/>
        <w:rPr>
          <w:spacing w:val="-10"/>
        </w:rPr>
      </w:pPr>
      <w:r w:rsidRPr="00FB71FD">
        <w:rPr>
          <w:spacing w:val="-10"/>
        </w:rPr>
        <w:lastRenderedPageBreak/>
        <w:t>Secretaría Distrital de Desarrollo Económico - Región Administrativa y de Planificación Especial - RAPE. (2020). Estándares de Calidad Espacial para los servicios de Abastecimiento Alimentario. Documento técnico soporte para los Mercados Campesinos.</w:t>
      </w:r>
    </w:p>
    <w:p w14:paraId="2CB6EBD8" w14:textId="77777777" w:rsidR="00FE4135" w:rsidRPr="00FB71FD" w:rsidRDefault="00FE4135" w:rsidP="00221BD6">
      <w:pPr>
        <w:pStyle w:val="Bullets"/>
        <w:numPr>
          <w:ilvl w:val="0"/>
          <w:numId w:val="0"/>
        </w:numPr>
        <w:ind w:left="714"/>
        <w:jc w:val="left"/>
        <w:rPr>
          <w:spacing w:val="-10"/>
        </w:rPr>
      </w:pPr>
    </w:p>
    <w:p w14:paraId="00829657" w14:textId="77777777" w:rsidR="00FE4135" w:rsidRPr="00FB71FD" w:rsidRDefault="00FE4135" w:rsidP="00221BD6">
      <w:pPr>
        <w:pStyle w:val="Bullets"/>
        <w:jc w:val="left"/>
        <w:rPr>
          <w:spacing w:val="-10"/>
        </w:rPr>
      </w:pPr>
      <w:r w:rsidRPr="00FB71FD">
        <w:rPr>
          <w:spacing w:val="-10"/>
        </w:rPr>
        <w:t xml:space="preserve">Secretaría Distrital de Desarrollo Económico. (2022a). Apropiación del internet por parte de los micronegocios bogotanos: estado de la conexión y los beneficios que traerá la productividad. Bogotá D.C.: Secretaría Distrital de Desarrollo Económico. Recuperado de </w:t>
      </w:r>
      <w:hyperlink r:id="rId276" w:history="1">
        <w:r w:rsidRPr="00FB71FD">
          <w:rPr>
            <w:rStyle w:val="Hipervnculo"/>
          </w:rPr>
          <w:t>https://observatorio.desarrolloeconomico.gov.co/sites/default/files/files_articles/cuaderno_52_conectividad_.pdf</w:t>
        </w:r>
      </w:hyperlink>
    </w:p>
    <w:p w14:paraId="2CCE250E" w14:textId="77777777" w:rsidR="00FE4135" w:rsidRPr="00FB71FD" w:rsidRDefault="00FE4135" w:rsidP="00221BD6">
      <w:pPr>
        <w:pStyle w:val="Bullets"/>
        <w:numPr>
          <w:ilvl w:val="0"/>
          <w:numId w:val="0"/>
        </w:numPr>
        <w:ind w:left="714"/>
        <w:jc w:val="left"/>
        <w:rPr>
          <w:spacing w:val="-10"/>
        </w:rPr>
      </w:pPr>
    </w:p>
    <w:p w14:paraId="7B704C52" w14:textId="77777777" w:rsidR="00FE4135" w:rsidRPr="00FB71FD" w:rsidRDefault="00FE4135" w:rsidP="00221BD6">
      <w:pPr>
        <w:pStyle w:val="Bullets"/>
        <w:jc w:val="left"/>
        <w:rPr>
          <w:spacing w:val="-10"/>
        </w:rPr>
      </w:pPr>
      <w:r w:rsidRPr="00FB71FD">
        <w:rPr>
          <w:spacing w:val="-10"/>
        </w:rPr>
        <w:t>Secretaría Distrital de Desarrollo Económico. (2022b). Boletín de pobreza multidimensional - Observatorio de Desarrollo Económico. Nota Editorial, 1-20.</w:t>
      </w:r>
    </w:p>
    <w:p w14:paraId="1E2CE103" w14:textId="77777777" w:rsidR="00FE4135" w:rsidRPr="00FB71FD" w:rsidRDefault="00FE4135" w:rsidP="00221BD6">
      <w:pPr>
        <w:pStyle w:val="Bullets"/>
        <w:numPr>
          <w:ilvl w:val="0"/>
          <w:numId w:val="0"/>
        </w:numPr>
        <w:ind w:left="714"/>
        <w:jc w:val="left"/>
        <w:rPr>
          <w:spacing w:val="-10"/>
        </w:rPr>
      </w:pPr>
    </w:p>
    <w:p w14:paraId="3AC0EBA9" w14:textId="77777777" w:rsidR="00FE4135" w:rsidRPr="00FB71FD" w:rsidRDefault="00FE4135" w:rsidP="00221BD6">
      <w:pPr>
        <w:pStyle w:val="Bullets"/>
        <w:jc w:val="left"/>
        <w:rPr>
          <w:spacing w:val="-10"/>
        </w:rPr>
      </w:pPr>
      <w:r w:rsidRPr="00FB71FD">
        <w:rPr>
          <w:spacing w:val="-10"/>
        </w:rPr>
        <w:t>Secretaría Distrital de Educación. (2021). Informe de resultados de evaluación 2020. Bogotá.</w:t>
      </w:r>
    </w:p>
    <w:p w14:paraId="161D7562" w14:textId="77777777" w:rsidR="00FE4135" w:rsidRPr="00FB71FD" w:rsidRDefault="00FE4135" w:rsidP="00221BD6">
      <w:pPr>
        <w:pStyle w:val="Bullets"/>
        <w:numPr>
          <w:ilvl w:val="0"/>
          <w:numId w:val="0"/>
        </w:numPr>
        <w:ind w:left="714"/>
        <w:jc w:val="left"/>
        <w:rPr>
          <w:spacing w:val="-10"/>
        </w:rPr>
      </w:pPr>
    </w:p>
    <w:p w14:paraId="032CF2EB" w14:textId="77777777" w:rsidR="00FE4135" w:rsidRPr="00FB71FD" w:rsidRDefault="00FE4135" w:rsidP="00221BD6">
      <w:pPr>
        <w:pStyle w:val="Bullets"/>
        <w:jc w:val="left"/>
        <w:rPr>
          <w:spacing w:val="-10"/>
        </w:rPr>
      </w:pPr>
      <w:r w:rsidRPr="00FB71FD">
        <w:rPr>
          <w:spacing w:val="-10"/>
        </w:rPr>
        <w:t xml:space="preserve">Secretaría Distrital de Educación. (10 de Diciembre de 2023). Sistema de Apoyo Escolar. Recuperado de Educación Bogotá: </w:t>
      </w:r>
      <w:hyperlink r:id="rId277" w:history="1">
        <w:r w:rsidRPr="00FB71FD">
          <w:rPr>
            <w:rStyle w:val="Hipervnculo"/>
          </w:rPr>
          <w:t>https://apoyoescolar.educacionbogota.edu.co/apoyo_escolar/login.jsp</w:t>
        </w:r>
      </w:hyperlink>
    </w:p>
    <w:p w14:paraId="6E6FCB54" w14:textId="77777777" w:rsidR="00FE4135" w:rsidRPr="00FB71FD" w:rsidRDefault="00FE4135" w:rsidP="00221BD6">
      <w:pPr>
        <w:pStyle w:val="Bullets"/>
        <w:numPr>
          <w:ilvl w:val="0"/>
          <w:numId w:val="0"/>
        </w:numPr>
        <w:ind w:left="714"/>
        <w:jc w:val="left"/>
        <w:rPr>
          <w:spacing w:val="-10"/>
        </w:rPr>
      </w:pPr>
    </w:p>
    <w:p w14:paraId="51D84AEE" w14:textId="77777777" w:rsidR="00FE4135" w:rsidRPr="00FB71FD" w:rsidRDefault="00FE4135" w:rsidP="00221BD6">
      <w:pPr>
        <w:pStyle w:val="Bullets"/>
        <w:jc w:val="left"/>
        <w:rPr>
          <w:spacing w:val="-10"/>
        </w:rPr>
      </w:pPr>
      <w:r w:rsidRPr="00FB71FD">
        <w:rPr>
          <w:spacing w:val="-10"/>
        </w:rPr>
        <w:t>Secretaría Distrital de Educación. (2021a). Informe Final. Misión de Educadores y Sabiduría Ciudadana. Bogotá.</w:t>
      </w:r>
    </w:p>
    <w:p w14:paraId="71BF6F24" w14:textId="77777777" w:rsidR="00FE4135" w:rsidRPr="00FB71FD" w:rsidRDefault="00FE4135" w:rsidP="00221BD6">
      <w:pPr>
        <w:pStyle w:val="Bullets"/>
        <w:numPr>
          <w:ilvl w:val="0"/>
          <w:numId w:val="0"/>
        </w:numPr>
        <w:ind w:left="714"/>
        <w:jc w:val="left"/>
        <w:rPr>
          <w:spacing w:val="-10"/>
        </w:rPr>
      </w:pPr>
    </w:p>
    <w:p w14:paraId="58179A62" w14:textId="77777777" w:rsidR="00FE4135" w:rsidRPr="00FB71FD" w:rsidRDefault="00FE4135" w:rsidP="00221BD6">
      <w:pPr>
        <w:pStyle w:val="Bullets"/>
        <w:jc w:val="left"/>
        <w:rPr>
          <w:spacing w:val="-10"/>
        </w:rPr>
      </w:pPr>
      <w:r w:rsidRPr="00FB71FD">
        <w:rPr>
          <w:spacing w:val="-10"/>
        </w:rPr>
        <w:t xml:space="preserve">Secretaría Distrital de Educación. (2021b). Misión de Educadores y Sabiduría Ciudadana. Recuperado de </w:t>
      </w:r>
      <w:hyperlink r:id="rId278" w:history="1">
        <w:r w:rsidRPr="00FB71FD">
          <w:rPr>
            <w:rStyle w:val="Hipervnculo"/>
          </w:rPr>
          <w:t>https://misioneducadores.educacionbogota.edu.co/resultados</w:t>
        </w:r>
      </w:hyperlink>
    </w:p>
    <w:p w14:paraId="1C8A876E" w14:textId="77777777" w:rsidR="00FE4135" w:rsidRPr="00FB71FD" w:rsidRDefault="00FE4135" w:rsidP="00221BD6">
      <w:pPr>
        <w:pStyle w:val="Bullets"/>
        <w:numPr>
          <w:ilvl w:val="0"/>
          <w:numId w:val="0"/>
        </w:numPr>
        <w:ind w:left="714"/>
        <w:jc w:val="left"/>
        <w:rPr>
          <w:spacing w:val="-10"/>
        </w:rPr>
      </w:pPr>
    </w:p>
    <w:p w14:paraId="097A5B09" w14:textId="77777777" w:rsidR="00FE4135" w:rsidRPr="00FB71FD" w:rsidRDefault="00FE4135" w:rsidP="00221BD6">
      <w:pPr>
        <w:pStyle w:val="Bullets"/>
        <w:jc w:val="left"/>
        <w:rPr>
          <w:spacing w:val="-10"/>
        </w:rPr>
      </w:pPr>
      <w:r w:rsidRPr="00FB71FD">
        <w:rPr>
          <w:spacing w:val="-10"/>
        </w:rPr>
        <w:t>Secretaría Distrital de Educación. (2022a). Estudio de Insuficiencia y Limitaciones para 2023. Bogotá.</w:t>
      </w:r>
    </w:p>
    <w:p w14:paraId="3603141B" w14:textId="77777777" w:rsidR="00FE4135" w:rsidRPr="00FB71FD" w:rsidRDefault="00FE4135" w:rsidP="00221BD6">
      <w:pPr>
        <w:pStyle w:val="Bullets"/>
        <w:numPr>
          <w:ilvl w:val="0"/>
          <w:numId w:val="0"/>
        </w:numPr>
        <w:ind w:left="714"/>
        <w:jc w:val="left"/>
        <w:rPr>
          <w:spacing w:val="-10"/>
        </w:rPr>
      </w:pPr>
    </w:p>
    <w:p w14:paraId="2F270D40" w14:textId="77777777" w:rsidR="00FE4135" w:rsidRPr="00FB71FD" w:rsidRDefault="00FE4135" w:rsidP="00221BD6">
      <w:pPr>
        <w:pStyle w:val="Bullets"/>
        <w:jc w:val="left"/>
        <w:rPr>
          <w:spacing w:val="-10"/>
        </w:rPr>
      </w:pPr>
      <w:r w:rsidRPr="00FB71FD">
        <w:rPr>
          <w:spacing w:val="-10"/>
        </w:rPr>
        <w:t>Secretaría Distrital de Educación. (2022b). La Estrategia de Formación Posgradual Balance preliminar 2022-2015. Bogotá: No publicado.</w:t>
      </w:r>
    </w:p>
    <w:p w14:paraId="083427FF" w14:textId="77777777" w:rsidR="00FE4135" w:rsidRPr="00FB71FD" w:rsidRDefault="00FE4135" w:rsidP="00221BD6">
      <w:pPr>
        <w:pStyle w:val="Bullets"/>
        <w:numPr>
          <w:ilvl w:val="0"/>
          <w:numId w:val="0"/>
        </w:numPr>
        <w:ind w:left="714"/>
        <w:jc w:val="left"/>
        <w:rPr>
          <w:spacing w:val="-10"/>
        </w:rPr>
      </w:pPr>
    </w:p>
    <w:p w14:paraId="53EF09A6" w14:textId="77777777" w:rsidR="00FE4135" w:rsidRPr="00FB71FD" w:rsidRDefault="00FE4135" w:rsidP="00221BD6">
      <w:pPr>
        <w:pStyle w:val="Bullets"/>
        <w:jc w:val="left"/>
        <w:rPr>
          <w:spacing w:val="-10"/>
        </w:rPr>
      </w:pPr>
      <w:r w:rsidRPr="00FB71FD">
        <w:rPr>
          <w:spacing w:val="-10"/>
        </w:rPr>
        <w:t xml:space="preserve">Secretaría Distrital de Educación. (2022c). Orientaciones para la gestión de la atención integral a la primera infancia en el ciclo de educación inicial. Recuperado de </w:t>
      </w:r>
      <w:hyperlink r:id="rId279" w:history="1">
        <w:r w:rsidRPr="00FB71FD">
          <w:rPr>
            <w:rStyle w:val="Hipervnculo"/>
          </w:rPr>
          <w:t>https://www.redacademica.edu.co/sites/default/files/2022-08/CARTILLA%208%20ATENCION%20INTEGRAL.pdf</w:t>
        </w:r>
      </w:hyperlink>
    </w:p>
    <w:p w14:paraId="1451FEFF" w14:textId="77777777" w:rsidR="00FE4135" w:rsidRPr="00FB71FD" w:rsidRDefault="00FE4135" w:rsidP="00221BD6">
      <w:pPr>
        <w:pStyle w:val="Bullets"/>
        <w:numPr>
          <w:ilvl w:val="0"/>
          <w:numId w:val="0"/>
        </w:numPr>
        <w:ind w:left="714"/>
        <w:jc w:val="left"/>
        <w:rPr>
          <w:spacing w:val="-10"/>
        </w:rPr>
      </w:pPr>
    </w:p>
    <w:p w14:paraId="28B04060" w14:textId="77777777" w:rsidR="00FE4135" w:rsidRPr="00FB71FD" w:rsidRDefault="00FE4135" w:rsidP="00221BD6">
      <w:pPr>
        <w:pStyle w:val="Bullets"/>
        <w:jc w:val="left"/>
        <w:rPr>
          <w:spacing w:val="-10"/>
        </w:rPr>
      </w:pPr>
      <w:r w:rsidRPr="00FB71FD">
        <w:rPr>
          <w:spacing w:val="-10"/>
        </w:rPr>
        <w:t>Secretaría Distrital de Educación. (2023a). Encuesta Distrital de Deserción Escolar 2023. Bogotá.</w:t>
      </w:r>
    </w:p>
    <w:p w14:paraId="0CA25E26" w14:textId="77777777" w:rsidR="00FE4135" w:rsidRPr="00FB71FD" w:rsidRDefault="00FE4135" w:rsidP="00221BD6">
      <w:pPr>
        <w:pStyle w:val="Bullets"/>
        <w:numPr>
          <w:ilvl w:val="0"/>
          <w:numId w:val="0"/>
        </w:numPr>
        <w:ind w:left="714"/>
        <w:jc w:val="left"/>
        <w:rPr>
          <w:spacing w:val="-10"/>
        </w:rPr>
      </w:pPr>
    </w:p>
    <w:p w14:paraId="4C027EEB" w14:textId="77777777" w:rsidR="00FE4135" w:rsidRPr="00FB71FD" w:rsidRDefault="00FE4135" w:rsidP="00221BD6">
      <w:pPr>
        <w:pStyle w:val="Bullets"/>
        <w:jc w:val="left"/>
        <w:rPr>
          <w:spacing w:val="-10"/>
        </w:rPr>
      </w:pPr>
      <w:r w:rsidRPr="00FB71FD">
        <w:rPr>
          <w:spacing w:val="-10"/>
        </w:rPr>
        <w:t>Secretaría Distrital de Educación. (2023b). Informe proyecto 7690: Fortalecimiento de la política de educación inclusiva para poblaciones y grupos de especial protección. Bogotá: No publicado.</w:t>
      </w:r>
    </w:p>
    <w:p w14:paraId="16CBD02B" w14:textId="77777777" w:rsidR="00FE4135" w:rsidRPr="00FB71FD" w:rsidRDefault="00FE4135" w:rsidP="00221BD6">
      <w:pPr>
        <w:pStyle w:val="Bullets"/>
        <w:numPr>
          <w:ilvl w:val="0"/>
          <w:numId w:val="0"/>
        </w:numPr>
        <w:ind w:left="714"/>
        <w:jc w:val="left"/>
        <w:rPr>
          <w:spacing w:val="-10"/>
        </w:rPr>
      </w:pPr>
    </w:p>
    <w:p w14:paraId="23FDD073" w14:textId="77777777" w:rsidR="00FE4135" w:rsidRPr="00FB71FD" w:rsidRDefault="00FE4135" w:rsidP="00221BD6">
      <w:pPr>
        <w:pStyle w:val="Bullets"/>
        <w:jc w:val="left"/>
        <w:rPr>
          <w:spacing w:val="-10"/>
        </w:rPr>
      </w:pPr>
      <w:r w:rsidRPr="00FB71FD">
        <w:rPr>
          <w:spacing w:val="-10"/>
        </w:rPr>
        <w:t>Secretaría Distrital de Educación. (2023c). Porcentaje de tránsitos efectivos. Bogotá.</w:t>
      </w:r>
    </w:p>
    <w:p w14:paraId="5B32828C" w14:textId="77777777" w:rsidR="00FE4135" w:rsidRPr="00FB71FD" w:rsidRDefault="00FE4135" w:rsidP="00221BD6">
      <w:pPr>
        <w:pStyle w:val="Bullets"/>
        <w:numPr>
          <w:ilvl w:val="0"/>
          <w:numId w:val="0"/>
        </w:numPr>
        <w:ind w:left="714"/>
        <w:jc w:val="left"/>
        <w:rPr>
          <w:spacing w:val="-10"/>
        </w:rPr>
      </w:pPr>
    </w:p>
    <w:p w14:paraId="3BC72C98" w14:textId="77777777" w:rsidR="00FE4135" w:rsidRPr="00FB71FD" w:rsidRDefault="00FE4135" w:rsidP="00221BD6">
      <w:pPr>
        <w:pStyle w:val="Bullets"/>
        <w:jc w:val="left"/>
        <w:rPr>
          <w:spacing w:val="-10"/>
        </w:rPr>
      </w:pPr>
      <w:r w:rsidRPr="00FB71FD">
        <w:rPr>
          <w:spacing w:val="-10"/>
        </w:rPr>
        <w:t>Secretaría Distrital de Educación. (2024). Informe de Resultados de Evaluación 2023. Bogotá.</w:t>
      </w:r>
    </w:p>
    <w:p w14:paraId="6306A719" w14:textId="77777777" w:rsidR="00FE4135" w:rsidRPr="00FB71FD" w:rsidRDefault="00FE4135" w:rsidP="00221BD6">
      <w:pPr>
        <w:pStyle w:val="Bullets"/>
        <w:numPr>
          <w:ilvl w:val="0"/>
          <w:numId w:val="0"/>
        </w:numPr>
        <w:ind w:left="714"/>
        <w:jc w:val="left"/>
        <w:rPr>
          <w:spacing w:val="-10"/>
        </w:rPr>
      </w:pPr>
    </w:p>
    <w:p w14:paraId="114548CB" w14:textId="77777777" w:rsidR="00FE4135" w:rsidRPr="00FB71FD" w:rsidRDefault="00FE4135" w:rsidP="00221BD6">
      <w:pPr>
        <w:pStyle w:val="Bullets"/>
        <w:jc w:val="left"/>
        <w:rPr>
          <w:spacing w:val="-10"/>
        </w:rPr>
      </w:pPr>
      <w:r w:rsidRPr="00FB71FD">
        <w:rPr>
          <w:spacing w:val="-10"/>
        </w:rPr>
        <w:t xml:space="preserve">Secretaría Distrital de Educación. (2022d). Más de 250 colegios distritales están revolucionando sus aulas con el enfoque STEM. Recuperado de </w:t>
      </w:r>
      <w:hyperlink r:id="rId280" w:history="1">
        <w:r w:rsidRPr="00FB71FD">
          <w:rPr>
            <w:rStyle w:val="Hipervnculo"/>
          </w:rPr>
          <w:t>https://www.educacionbogota.edu.co/portal_institucional/noticia/mas-de-250-colegios-distritales-estan-revolucionando-sus-aulas-con-el-enfoque-stem</w:t>
        </w:r>
      </w:hyperlink>
    </w:p>
    <w:p w14:paraId="2A065E00" w14:textId="77777777" w:rsidR="00FE4135" w:rsidRPr="00FB71FD" w:rsidRDefault="00FE4135" w:rsidP="00221BD6">
      <w:pPr>
        <w:pStyle w:val="Bullets"/>
        <w:numPr>
          <w:ilvl w:val="0"/>
          <w:numId w:val="0"/>
        </w:numPr>
        <w:ind w:left="714"/>
        <w:jc w:val="left"/>
        <w:rPr>
          <w:spacing w:val="-10"/>
        </w:rPr>
      </w:pPr>
    </w:p>
    <w:p w14:paraId="51510010" w14:textId="77777777" w:rsidR="00FE4135" w:rsidRPr="00FB71FD" w:rsidRDefault="00FE4135" w:rsidP="00221BD6">
      <w:pPr>
        <w:pStyle w:val="Bullets"/>
        <w:jc w:val="left"/>
        <w:rPr>
          <w:spacing w:val="-10"/>
        </w:rPr>
      </w:pPr>
      <w:r w:rsidRPr="00FB71FD">
        <w:rPr>
          <w:spacing w:val="-10"/>
        </w:rPr>
        <w:lastRenderedPageBreak/>
        <w:t xml:space="preserve">Secretaría Distrital de Gobierno. (2022a). Documento de Soporte Decreto Distrital de política pública. Política Pública de Comunicación Comunitaria y Alternativa 2023-2034. Recuperado de </w:t>
      </w:r>
      <w:hyperlink r:id="rId281" w:history="1">
        <w:r w:rsidRPr="00FB71FD">
          <w:rPr>
            <w:rStyle w:val="Hipervnculo"/>
          </w:rPr>
          <w:t>https://www.alcaldiabogota.gov.co/sisjur/adminverblobawa?tabla=T_NORMA_ARCHIVO&amp;p_NORMFIL_ID=44657&amp;f_NORMFIL_FILE=X&amp;inputfileext=NORMFIL_FILENAME</w:t>
        </w:r>
      </w:hyperlink>
    </w:p>
    <w:p w14:paraId="2B7C4C64" w14:textId="77777777" w:rsidR="00FE4135" w:rsidRPr="00FB71FD" w:rsidRDefault="00FE4135" w:rsidP="00221BD6">
      <w:pPr>
        <w:pStyle w:val="Bullets"/>
        <w:numPr>
          <w:ilvl w:val="0"/>
          <w:numId w:val="0"/>
        </w:numPr>
        <w:ind w:left="714"/>
        <w:jc w:val="left"/>
        <w:rPr>
          <w:spacing w:val="-10"/>
        </w:rPr>
      </w:pPr>
    </w:p>
    <w:p w14:paraId="5A8B655A" w14:textId="77777777" w:rsidR="00FE4135" w:rsidRPr="00FB71FD" w:rsidRDefault="00FE4135" w:rsidP="00221BD6">
      <w:pPr>
        <w:pStyle w:val="Bullets"/>
        <w:jc w:val="left"/>
        <w:rPr>
          <w:spacing w:val="-10"/>
        </w:rPr>
      </w:pPr>
      <w:r w:rsidRPr="00FB71FD">
        <w:rPr>
          <w:spacing w:val="-10"/>
        </w:rPr>
        <w:t xml:space="preserve">Secretaría Distrital de Gobierno. (2022b). Documento de Soporte Decreto Distrital de política pública. Política Pública de Comunicación Comunitaria y Alternativa 2023-2034. Recuperado de </w:t>
      </w:r>
      <w:hyperlink r:id="rId282" w:history="1">
        <w:r w:rsidRPr="00FB71FD">
          <w:rPr>
            <w:rStyle w:val="Hipervnculo"/>
          </w:rPr>
          <w:t>https://www.alcaldiabogota.gov.co/sisjur/adminverblobawa?tabla=T_NORMA_ARCHIVO&amp;p_NORMFIL_ID=44656&amp;f_NORMFIL_FILE=X&amp;inputfileext=NORMFIL_FILENAME</w:t>
        </w:r>
      </w:hyperlink>
    </w:p>
    <w:p w14:paraId="30BC2369" w14:textId="77777777" w:rsidR="00FE4135" w:rsidRPr="00FB71FD" w:rsidRDefault="00FE4135" w:rsidP="00221BD6">
      <w:pPr>
        <w:pStyle w:val="Bullets"/>
        <w:numPr>
          <w:ilvl w:val="0"/>
          <w:numId w:val="0"/>
        </w:numPr>
        <w:ind w:left="714"/>
        <w:jc w:val="left"/>
        <w:rPr>
          <w:spacing w:val="-10"/>
        </w:rPr>
      </w:pPr>
    </w:p>
    <w:p w14:paraId="3CA73455" w14:textId="77777777" w:rsidR="00FE4135" w:rsidRPr="00FB71FD" w:rsidRDefault="00FE4135" w:rsidP="00221BD6">
      <w:pPr>
        <w:pStyle w:val="Bullets"/>
        <w:jc w:val="left"/>
        <w:rPr>
          <w:spacing w:val="-10"/>
        </w:rPr>
      </w:pPr>
      <w:r w:rsidRPr="00FB71FD">
        <w:rPr>
          <w:spacing w:val="-10"/>
        </w:rPr>
        <w:t xml:space="preserve">Secretaría Distrital de Gobierno. (2023a). Documento de Diagnóstico e Identificación de Factores Estratégicos Política Pública Distrital de Participación Incidente de Bogotá D.C. Bogotá: 2023. Recuperado de </w:t>
      </w:r>
      <w:hyperlink r:id="rId283" w:history="1">
        <w:r w:rsidRPr="00FB71FD">
          <w:rPr>
            <w:rStyle w:val="Hipervnculo"/>
          </w:rPr>
          <w:t>https://www.alcaldiabogota.gov.co/sisjur/adminverblobawa?tabla=T_NORMA_ARCHIVO&amp;p_NORMFIL_ID=46195&amp;f_NORMFIL_FILE=X&amp;inputfileext=NORMFIL_FILENAME</w:t>
        </w:r>
      </w:hyperlink>
    </w:p>
    <w:p w14:paraId="758F7BC4" w14:textId="77777777" w:rsidR="00FE4135" w:rsidRPr="00FB71FD" w:rsidRDefault="00FE4135" w:rsidP="00221BD6">
      <w:pPr>
        <w:pStyle w:val="Bullets"/>
        <w:numPr>
          <w:ilvl w:val="0"/>
          <w:numId w:val="0"/>
        </w:numPr>
        <w:ind w:left="714"/>
        <w:jc w:val="left"/>
        <w:rPr>
          <w:spacing w:val="-10"/>
        </w:rPr>
      </w:pPr>
    </w:p>
    <w:p w14:paraId="1C8BF4B5" w14:textId="77777777" w:rsidR="00FE4135" w:rsidRPr="00FB71FD" w:rsidRDefault="00FE4135" w:rsidP="00221BD6">
      <w:pPr>
        <w:pStyle w:val="Bullets"/>
        <w:jc w:val="left"/>
        <w:rPr>
          <w:spacing w:val="-10"/>
        </w:rPr>
      </w:pPr>
      <w:r w:rsidRPr="00FB71FD">
        <w:rPr>
          <w:spacing w:val="-10"/>
        </w:rPr>
        <w:t xml:space="preserve">Secretaría Distrital de Gobierno. (2023b). Documento de Diagnóstico e Identificación de Factores Estratégicos Política Pública Distrital de Participación Incidente de Bogotá D.C. Bogotá: 2023. Recuperado de </w:t>
      </w:r>
      <w:hyperlink r:id="rId284" w:history="1">
        <w:r w:rsidRPr="00FB71FD">
          <w:rPr>
            <w:rStyle w:val="Hipervnculo"/>
          </w:rPr>
          <w:t>https://www.alcaldiabogota.gov.co/sisjur/adminverblobawa?tabla=T_NORMA_ARCHIVO&amp;p_NORMFIL_ID=44656&amp;f_NORMFIL_FILE=X&amp;inputfileext=NORMFIL_FILENAME</w:t>
        </w:r>
      </w:hyperlink>
    </w:p>
    <w:p w14:paraId="403789D0" w14:textId="77777777" w:rsidR="00FE4135" w:rsidRPr="00FB71FD" w:rsidRDefault="00FE4135" w:rsidP="00221BD6">
      <w:pPr>
        <w:pStyle w:val="Bullets"/>
        <w:numPr>
          <w:ilvl w:val="0"/>
          <w:numId w:val="0"/>
        </w:numPr>
        <w:ind w:left="714"/>
        <w:jc w:val="left"/>
        <w:rPr>
          <w:spacing w:val="-10"/>
        </w:rPr>
      </w:pPr>
    </w:p>
    <w:p w14:paraId="2DAEC409" w14:textId="77777777" w:rsidR="00FE4135" w:rsidRPr="00FB71FD" w:rsidRDefault="00FE4135" w:rsidP="00221BD6">
      <w:pPr>
        <w:pStyle w:val="Bullets"/>
        <w:jc w:val="left"/>
        <w:rPr>
          <w:spacing w:val="-10"/>
        </w:rPr>
      </w:pPr>
      <w:r w:rsidRPr="00FB71FD">
        <w:rPr>
          <w:spacing w:val="-10"/>
        </w:rPr>
        <w:t xml:space="preserve">Secretaría Distrital de Gobierno. (2023c). Observatorio de Conflictividad Social y Derechos Humanos. Recuperado de </w:t>
      </w:r>
      <w:hyperlink r:id="rId285" w:history="1">
        <w:r w:rsidRPr="00FB71FD">
          <w:rPr>
            <w:rStyle w:val="Hipervnculo"/>
          </w:rPr>
          <w:t>https://historico.gobiernobogota.gov.co/observatorio-conflictividad-social</w:t>
        </w:r>
      </w:hyperlink>
    </w:p>
    <w:p w14:paraId="24A34E16" w14:textId="77777777" w:rsidR="00FE4135" w:rsidRPr="00FB71FD" w:rsidRDefault="00FE4135" w:rsidP="00221BD6">
      <w:pPr>
        <w:pStyle w:val="Bullets"/>
        <w:numPr>
          <w:ilvl w:val="0"/>
          <w:numId w:val="0"/>
        </w:numPr>
        <w:ind w:left="714"/>
        <w:jc w:val="left"/>
        <w:rPr>
          <w:spacing w:val="-10"/>
        </w:rPr>
      </w:pPr>
    </w:p>
    <w:p w14:paraId="27F75A0A" w14:textId="77777777" w:rsidR="00FE4135" w:rsidRPr="00FB71FD" w:rsidRDefault="00FE4135" w:rsidP="00221BD6">
      <w:pPr>
        <w:pStyle w:val="Bullets"/>
        <w:jc w:val="left"/>
        <w:rPr>
          <w:spacing w:val="-10"/>
        </w:rPr>
      </w:pPr>
      <w:r w:rsidRPr="00FB71FD">
        <w:rPr>
          <w:spacing w:val="-10"/>
        </w:rPr>
        <w:t xml:space="preserve">Secretaría Distrital de Hacienda - SDH. Dirección de Estadísticas y Estudios Fiscales -DEEF. (2023). Indicadores de endeudamiento. Recuperado de </w:t>
      </w:r>
      <w:hyperlink r:id="rId286" w:history="1">
        <w:r w:rsidRPr="00FB71FD">
          <w:rPr>
            <w:rStyle w:val="Hipervnculo"/>
          </w:rPr>
          <w:t>https://www.haciendabogota.gov.co/es/sdh/indicadores-de-endeudamiento-0</w:t>
        </w:r>
      </w:hyperlink>
    </w:p>
    <w:p w14:paraId="57460660" w14:textId="77777777" w:rsidR="00FE4135" w:rsidRPr="00FB71FD" w:rsidRDefault="00FE4135" w:rsidP="00221BD6">
      <w:pPr>
        <w:pStyle w:val="Bullets"/>
        <w:numPr>
          <w:ilvl w:val="0"/>
          <w:numId w:val="0"/>
        </w:numPr>
        <w:ind w:left="714"/>
        <w:jc w:val="left"/>
        <w:rPr>
          <w:spacing w:val="-10"/>
        </w:rPr>
      </w:pPr>
    </w:p>
    <w:p w14:paraId="346F7B6D" w14:textId="77777777" w:rsidR="00FE4135" w:rsidRPr="00FB71FD" w:rsidRDefault="00FE4135" w:rsidP="00221BD6">
      <w:pPr>
        <w:pStyle w:val="Bullets"/>
        <w:jc w:val="left"/>
        <w:rPr>
          <w:spacing w:val="-10"/>
        </w:rPr>
      </w:pPr>
      <w:r w:rsidRPr="00FB71FD">
        <w:rPr>
          <w:spacing w:val="-10"/>
        </w:rPr>
        <w:t xml:space="preserve">Secretaría Distrital de Integración Social. (2011). Política Pública para las Familias de Bogotá 2011-2025. Bogotá. Recuperado de </w:t>
      </w:r>
      <w:hyperlink r:id="rId287" w:history="1">
        <w:r w:rsidRPr="00FB71FD">
          <w:rPr>
            <w:rStyle w:val="Hipervnculo"/>
          </w:rPr>
          <w:t>https://old.integracionsocial.gov.co/anexos/documentos/2015politicaspublicas/06012016_Politica_Publica_para_las_Familias_de_Bogota_2011-2025.pdf</w:t>
        </w:r>
      </w:hyperlink>
    </w:p>
    <w:p w14:paraId="33DEC350" w14:textId="77777777" w:rsidR="00FE4135" w:rsidRPr="00FB71FD" w:rsidRDefault="00FE4135" w:rsidP="00221BD6">
      <w:pPr>
        <w:pStyle w:val="Bullets"/>
        <w:numPr>
          <w:ilvl w:val="0"/>
          <w:numId w:val="0"/>
        </w:numPr>
        <w:ind w:left="714"/>
        <w:jc w:val="left"/>
        <w:rPr>
          <w:spacing w:val="-10"/>
        </w:rPr>
      </w:pPr>
    </w:p>
    <w:p w14:paraId="03F7AF2E" w14:textId="77777777" w:rsidR="00FE4135" w:rsidRPr="00FB71FD" w:rsidRDefault="00FE4135" w:rsidP="00221BD6">
      <w:pPr>
        <w:pStyle w:val="Bullets"/>
        <w:jc w:val="left"/>
        <w:rPr>
          <w:spacing w:val="-10"/>
        </w:rPr>
      </w:pPr>
      <w:r w:rsidRPr="00FB71FD">
        <w:rPr>
          <w:spacing w:val="-10"/>
        </w:rPr>
        <w:t xml:space="preserve">Secretaría Distrital de Integración Social. (2018). Política Pública de Juventud. Recuperado de </w:t>
      </w:r>
      <w:hyperlink r:id="rId288" w:history="1">
        <w:r w:rsidRPr="00FB71FD">
          <w:rPr>
            <w:rStyle w:val="Hipervnculo"/>
          </w:rPr>
          <w:t>https://www.sdp.gov.co/sites/default/files/diagnostico_politica_publica_de_juventud_0.pdf</w:t>
        </w:r>
      </w:hyperlink>
    </w:p>
    <w:p w14:paraId="50082664" w14:textId="77777777" w:rsidR="00FE4135" w:rsidRPr="00FB71FD" w:rsidRDefault="00FE4135" w:rsidP="00221BD6">
      <w:pPr>
        <w:pStyle w:val="Bullets"/>
        <w:numPr>
          <w:ilvl w:val="0"/>
          <w:numId w:val="0"/>
        </w:numPr>
        <w:ind w:left="714"/>
        <w:jc w:val="left"/>
        <w:rPr>
          <w:spacing w:val="-10"/>
        </w:rPr>
      </w:pPr>
    </w:p>
    <w:p w14:paraId="63B5AA62" w14:textId="77777777" w:rsidR="00FE4135" w:rsidRPr="00FB71FD" w:rsidRDefault="00FE4135" w:rsidP="00221BD6">
      <w:pPr>
        <w:pStyle w:val="Bullets"/>
        <w:jc w:val="left"/>
        <w:rPr>
          <w:spacing w:val="-10"/>
        </w:rPr>
      </w:pPr>
      <w:r w:rsidRPr="00FB71FD">
        <w:rPr>
          <w:spacing w:val="-10"/>
        </w:rPr>
        <w:t xml:space="preserve">Secretaría Distrital de Integración Social. (2019). Política Pública de Juventud. Recuperado de </w:t>
      </w:r>
      <w:hyperlink r:id="rId289" w:history="1">
        <w:r w:rsidRPr="00FB71FD">
          <w:rPr>
            <w:rStyle w:val="Hipervnculo"/>
          </w:rPr>
          <w:t>https://www.sdp.gov.co/sites/default/files/diagnostico_politica_publica_de_juventud_0.pdf</w:t>
        </w:r>
      </w:hyperlink>
    </w:p>
    <w:p w14:paraId="4B566C8F" w14:textId="77777777" w:rsidR="00FE4135" w:rsidRPr="00FB71FD" w:rsidRDefault="00FE4135" w:rsidP="00221BD6">
      <w:pPr>
        <w:pStyle w:val="Bullets"/>
        <w:numPr>
          <w:ilvl w:val="0"/>
          <w:numId w:val="0"/>
        </w:numPr>
        <w:ind w:left="714"/>
        <w:jc w:val="left"/>
        <w:rPr>
          <w:spacing w:val="-10"/>
        </w:rPr>
      </w:pPr>
    </w:p>
    <w:p w14:paraId="4D8F868F" w14:textId="77777777" w:rsidR="00FE4135" w:rsidRPr="00FB71FD" w:rsidRDefault="00FE4135" w:rsidP="00221BD6">
      <w:pPr>
        <w:pStyle w:val="Bullets"/>
        <w:jc w:val="left"/>
        <w:rPr>
          <w:spacing w:val="-10"/>
        </w:rPr>
      </w:pPr>
      <w:r w:rsidRPr="00FB71FD">
        <w:rPr>
          <w:spacing w:val="-10"/>
        </w:rPr>
        <w:t>Secretaría Distrital de Integración Social. (2021). Georreferenciación 2021 Análisis de las dinámicas territoriales de las personas habitantes de calle en Bogotá. Bogotá.</w:t>
      </w:r>
    </w:p>
    <w:p w14:paraId="162A0946" w14:textId="77777777" w:rsidR="00FE4135" w:rsidRPr="00FB71FD" w:rsidRDefault="00FE4135" w:rsidP="00221BD6">
      <w:pPr>
        <w:pStyle w:val="Bullets"/>
        <w:numPr>
          <w:ilvl w:val="0"/>
          <w:numId w:val="0"/>
        </w:numPr>
        <w:ind w:left="714"/>
        <w:jc w:val="left"/>
        <w:rPr>
          <w:spacing w:val="-10"/>
        </w:rPr>
      </w:pPr>
    </w:p>
    <w:p w14:paraId="65B2766E" w14:textId="77777777" w:rsidR="00FE4135" w:rsidRPr="00FB71FD" w:rsidRDefault="00FE4135" w:rsidP="00221BD6">
      <w:pPr>
        <w:pStyle w:val="Bullets"/>
        <w:jc w:val="left"/>
        <w:rPr>
          <w:spacing w:val="-10"/>
        </w:rPr>
      </w:pPr>
      <w:r w:rsidRPr="00FB71FD">
        <w:rPr>
          <w:spacing w:val="-10"/>
        </w:rPr>
        <w:lastRenderedPageBreak/>
        <w:t xml:space="preserve">Secretaría Distrital de Integración Social. (2022a). Actualización del Plan de Acción de la “Política Pública Social para el Envejecimiento y la Vejez 2010-2025". Recuperado de </w:t>
      </w:r>
      <w:hyperlink r:id="rId290" w:history="1">
        <w:r w:rsidRPr="00FB71FD">
          <w:rPr>
            <w:rStyle w:val="Hipervnculo"/>
          </w:rPr>
          <w:t>https://www.sdp.gov.co/sites/default/files/decretos-conpes/conpes_dc_19_pp_vejez.pdf</w:t>
        </w:r>
      </w:hyperlink>
    </w:p>
    <w:p w14:paraId="0A76360D" w14:textId="77777777" w:rsidR="00FE4135" w:rsidRPr="00FB71FD" w:rsidRDefault="00FE4135" w:rsidP="00221BD6">
      <w:pPr>
        <w:pStyle w:val="Bullets"/>
        <w:numPr>
          <w:ilvl w:val="0"/>
          <w:numId w:val="0"/>
        </w:numPr>
        <w:ind w:left="714"/>
        <w:jc w:val="left"/>
        <w:rPr>
          <w:spacing w:val="-10"/>
        </w:rPr>
      </w:pPr>
    </w:p>
    <w:p w14:paraId="74044D43" w14:textId="77777777" w:rsidR="00FE4135" w:rsidRPr="00FB71FD" w:rsidRDefault="00FE4135" w:rsidP="00221BD6">
      <w:pPr>
        <w:pStyle w:val="Bullets"/>
        <w:jc w:val="left"/>
        <w:rPr>
          <w:spacing w:val="-10"/>
        </w:rPr>
      </w:pPr>
      <w:r w:rsidRPr="00FB71FD">
        <w:rPr>
          <w:spacing w:val="-10"/>
        </w:rPr>
        <w:t>Secretaría Distrital de Integración Social. (2022b). Diagnóstico del Sector de Integración Social. Hogares viviendo en condiciones de pagadiarios en Bogotá.</w:t>
      </w:r>
    </w:p>
    <w:p w14:paraId="6414FA8D" w14:textId="77777777" w:rsidR="00FE4135" w:rsidRPr="00FB71FD" w:rsidRDefault="00FE4135" w:rsidP="00221BD6">
      <w:pPr>
        <w:pStyle w:val="Bullets"/>
        <w:numPr>
          <w:ilvl w:val="0"/>
          <w:numId w:val="0"/>
        </w:numPr>
        <w:ind w:left="714"/>
        <w:jc w:val="left"/>
        <w:rPr>
          <w:spacing w:val="-10"/>
        </w:rPr>
      </w:pPr>
    </w:p>
    <w:p w14:paraId="13DCCCC4" w14:textId="77777777" w:rsidR="00FE4135" w:rsidRPr="00FB71FD" w:rsidRDefault="00FE4135" w:rsidP="00221BD6">
      <w:pPr>
        <w:pStyle w:val="Bullets"/>
        <w:jc w:val="left"/>
        <w:rPr>
          <w:spacing w:val="-10"/>
        </w:rPr>
      </w:pPr>
      <w:r w:rsidRPr="00FB71FD">
        <w:rPr>
          <w:spacing w:val="-10"/>
        </w:rPr>
        <w:t>Secretaría Distrital de Integración Social. (2022c). Medición del nivel de satisfacción y percepción de la ciudadanía frente a la atención en los servicios sociales prestados por la Secretaría Distrital de Integración Social 2022. Bogotá: SDIS.</w:t>
      </w:r>
    </w:p>
    <w:p w14:paraId="18A83101" w14:textId="77777777" w:rsidR="00FE4135" w:rsidRPr="00FB71FD" w:rsidRDefault="00FE4135" w:rsidP="00221BD6">
      <w:pPr>
        <w:pStyle w:val="Bullets"/>
        <w:numPr>
          <w:ilvl w:val="0"/>
          <w:numId w:val="0"/>
        </w:numPr>
        <w:ind w:left="714"/>
        <w:jc w:val="left"/>
        <w:rPr>
          <w:spacing w:val="-10"/>
        </w:rPr>
      </w:pPr>
    </w:p>
    <w:p w14:paraId="076CB6E1" w14:textId="77777777" w:rsidR="00FE4135" w:rsidRPr="00FB71FD" w:rsidRDefault="00FE4135" w:rsidP="00221BD6">
      <w:pPr>
        <w:pStyle w:val="Bullets"/>
        <w:jc w:val="left"/>
        <w:rPr>
          <w:spacing w:val="-10"/>
        </w:rPr>
      </w:pPr>
      <w:r w:rsidRPr="00FB71FD">
        <w:rPr>
          <w:spacing w:val="-10"/>
        </w:rPr>
        <w:t>Secretaría Distrital de Integración Social. (2023a). Reporte personas únicas atendidas. Bogotá.</w:t>
      </w:r>
    </w:p>
    <w:p w14:paraId="70B07C19" w14:textId="77777777" w:rsidR="00FE4135" w:rsidRPr="00FB71FD" w:rsidRDefault="00FE4135" w:rsidP="00221BD6">
      <w:pPr>
        <w:pStyle w:val="Bullets"/>
        <w:numPr>
          <w:ilvl w:val="0"/>
          <w:numId w:val="0"/>
        </w:numPr>
        <w:ind w:left="714"/>
        <w:jc w:val="left"/>
        <w:rPr>
          <w:spacing w:val="-10"/>
        </w:rPr>
      </w:pPr>
    </w:p>
    <w:p w14:paraId="3D95CB49" w14:textId="77777777" w:rsidR="00FE4135" w:rsidRPr="00FB71FD" w:rsidRDefault="00FE4135" w:rsidP="00221BD6">
      <w:pPr>
        <w:pStyle w:val="Bullets"/>
        <w:jc w:val="left"/>
        <w:rPr>
          <w:spacing w:val="-10"/>
        </w:rPr>
      </w:pPr>
      <w:r w:rsidRPr="00FB71FD">
        <w:rPr>
          <w:spacing w:val="-10"/>
        </w:rPr>
        <w:t xml:space="preserve">Secretaría Distrital de Integración Social. (2023b). Política Pública de Primera Infancia, Infancia y Adolescencia 2023-2033. Recuperado de Secretaría Distrital de Planeación (SDP): </w:t>
      </w:r>
      <w:hyperlink r:id="rId291" w:history="1">
        <w:r w:rsidRPr="00FB71FD">
          <w:rPr>
            <w:rStyle w:val="Hipervnculo"/>
          </w:rPr>
          <w:t>https://www.sdp.gov.co/sites/default/files/doc_conpes_dc_pp_piia_0.pdf</w:t>
        </w:r>
      </w:hyperlink>
    </w:p>
    <w:p w14:paraId="36A48144" w14:textId="77777777" w:rsidR="00FE4135" w:rsidRPr="00FB71FD" w:rsidRDefault="00FE4135" w:rsidP="00221BD6">
      <w:pPr>
        <w:pStyle w:val="Bullets"/>
        <w:numPr>
          <w:ilvl w:val="0"/>
          <w:numId w:val="0"/>
        </w:numPr>
        <w:ind w:left="714"/>
        <w:jc w:val="left"/>
        <w:rPr>
          <w:spacing w:val="-10"/>
        </w:rPr>
      </w:pPr>
    </w:p>
    <w:p w14:paraId="5FFFEE0F" w14:textId="77777777" w:rsidR="00FE4135" w:rsidRPr="00FB71FD" w:rsidRDefault="00FE4135" w:rsidP="00221BD6">
      <w:pPr>
        <w:pStyle w:val="Bullets"/>
        <w:jc w:val="left"/>
        <w:rPr>
          <w:spacing w:val="-10"/>
        </w:rPr>
      </w:pPr>
      <w:r w:rsidRPr="00FB71FD">
        <w:rPr>
          <w:spacing w:val="-10"/>
        </w:rPr>
        <w:t xml:space="preserve">Secretaría Distrital de la Mujer. (2022a). Informe de resultado Lìnea Base de Polìtica Pública de Mujeres y equidad de género. Recuperado de: </w:t>
      </w:r>
      <w:hyperlink r:id="rId292" w:history="1">
        <w:r w:rsidRPr="00FB71FD">
          <w:rPr>
            <w:rStyle w:val="Hipervnculo"/>
          </w:rPr>
          <w:t>https://omeg.sdmujer.gov.co/phocadownload/2022/infografias/Informe_de_resultados_Linea_Base_Politica_Publica.pdf</w:t>
        </w:r>
      </w:hyperlink>
    </w:p>
    <w:p w14:paraId="785CA5EA" w14:textId="77777777" w:rsidR="00FE4135" w:rsidRPr="00FB71FD" w:rsidRDefault="00FE4135" w:rsidP="00221BD6">
      <w:pPr>
        <w:pStyle w:val="Bullets"/>
        <w:numPr>
          <w:ilvl w:val="0"/>
          <w:numId w:val="0"/>
        </w:numPr>
        <w:ind w:left="714"/>
        <w:jc w:val="left"/>
        <w:rPr>
          <w:spacing w:val="-10"/>
        </w:rPr>
      </w:pPr>
    </w:p>
    <w:p w14:paraId="1555F480" w14:textId="77777777" w:rsidR="00FE4135" w:rsidRPr="00FB71FD" w:rsidRDefault="00FE4135" w:rsidP="00221BD6">
      <w:pPr>
        <w:pStyle w:val="Bullets"/>
        <w:jc w:val="left"/>
        <w:rPr>
          <w:spacing w:val="-10"/>
        </w:rPr>
      </w:pPr>
      <w:r w:rsidRPr="00FB71FD">
        <w:rPr>
          <w:spacing w:val="-10"/>
        </w:rPr>
        <w:t xml:space="preserve">Secretaría Distrital de la Mujer. (2022b). Política Pública de Mujer y equidad de género. Recuperado de: </w:t>
      </w:r>
      <w:hyperlink r:id="rId293" w:history="1">
        <w:r w:rsidRPr="00FB71FD">
          <w:rPr>
            <w:rStyle w:val="Hipervnculo"/>
          </w:rPr>
          <w:t>https://www.sdmujer.gov.co/la-entidad/politica-publica-de-mujeres-y-equidad-de-genero/documento-conpes “Política Pública de Mujeres y Equidad de Género 2020-2030”</w:t>
        </w:r>
      </w:hyperlink>
    </w:p>
    <w:p w14:paraId="1D919AF5" w14:textId="77777777" w:rsidR="00FE4135" w:rsidRPr="00FB71FD" w:rsidRDefault="00FE4135" w:rsidP="00221BD6">
      <w:pPr>
        <w:pStyle w:val="Bullets"/>
        <w:numPr>
          <w:ilvl w:val="0"/>
          <w:numId w:val="0"/>
        </w:numPr>
        <w:ind w:left="714"/>
        <w:jc w:val="left"/>
        <w:rPr>
          <w:spacing w:val="-10"/>
        </w:rPr>
      </w:pPr>
    </w:p>
    <w:p w14:paraId="75F27547" w14:textId="77777777" w:rsidR="00FE4135" w:rsidRPr="00FB71FD" w:rsidRDefault="00FE4135" w:rsidP="00221BD6">
      <w:pPr>
        <w:pStyle w:val="Bullets"/>
        <w:jc w:val="left"/>
        <w:rPr>
          <w:spacing w:val="-10"/>
        </w:rPr>
      </w:pPr>
      <w:r w:rsidRPr="00FB71FD">
        <w:rPr>
          <w:spacing w:val="-10"/>
        </w:rPr>
        <w:t xml:space="preserve">Secretaría Distrital de la Mujer. (2022c). Sistema Distrital de Cuidado – SIDICU-. Mujeres realizan trabajos domésticos y de cuidado no remunerados. Recuperado de </w:t>
      </w:r>
      <w:hyperlink r:id="rId294" w:history="1">
        <w:r w:rsidRPr="00FB71FD">
          <w:rPr>
            <w:rStyle w:val="Hipervnculo"/>
          </w:rPr>
          <w:t>https://omeg.sdmujer.gov.co/phocadownload/2023/InformeResultados_LB_CUIDADO-2.pdf</w:t>
        </w:r>
      </w:hyperlink>
    </w:p>
    <w:p w14:paraId="718A218C" w14:textId="77777777" w:rsidR="00FE4135" w:rsidRPr="00FB71FD" w:rsidRDefault="00FE4135" w:rsidP="00221BD6">
      <w:pPr>
        <w:pStyle w:val="Bullets"/>
        <w:numPr>
          <w:ilvl w:val="0"/>
          <w:numId w:val="0"/>
        </w:numPr>
        <w:ind w:left="714"/>
        <w:jc w:val="left"/>
        <w:rPr>
          <w:spacing w:val="-10"/>
        </w:rPr>
      </w:pPr>
    </w:p>
    <w:p w14:paraId="5B35E255" w14:textId="77777777" w:rsidR="00FE4135" w:rsidRPr="00FB71FD" w:rsidRDefault="00FE4135" w:rsidP="00221BD6">
      <w:pPr>
        <w:pStyle w:val="Bullets"/>
        <w:jc w:val="left"/>
        <w:rPr>
          <w:spacing w:val="-10"/>
        </w:rPr>
      </w:pPr>
      <w:r w:rsidRPr="00FB71FD">
        <w:rPr>
          <w:spacing w:val="-10"/>
        </w:rPr>
        <w:t xml:space="preserve">Secretaría Distrital de la Mujer. (2023). Informe Resultados Línea Base del Sistema Distrital del Cuidado. Recuperado de: </w:t>
      </w:r>
      <w:hyperlink r:id="rId295" w:history="1">
        <w:r w:rsidRPr="00FB71FD">
          <w:rPr>
            <w:rStyle w:val="Hipervnculo"/>
          </w:rPr>
          <w:t>https://omeg.sdmujer.gov.co/phocadownload/2023/InformeResultados_LB_CUIDADO-2.pdf</w:t>
        </w:r>
      </w:hyperlink>
    </w:p>
    <w:p w14:paraId="3D38B510" w14:textId="77777777" w:rsidR="00FE4135" w:rsidRPr="00FB71FD" w:rsidRDefault="00FE4135" w:rsidP="00221BD6">
      <w:pPr>
        <w:pStyle w:val="Bullets"/>
        <w:numPr>
          <w:ilvl w:val="0"/>
          <w:numId w:val="0"/>
        </w:numPr>
        <w:ind w:left="714"/>
        <w:jc w:val="left"/>
        <w:rPr>
          <w:spacing w:val="-10"/>
        </w:rPr>
      </w:pPr>
    </w:p>
    <w:p w14:paraId="43870D04" w14:textId="77777777" w:rsidR="00FE4135" w:rsidRPr="00FB71FD" w:rsidRDefault="00FE4135" w:rsidP="00221BD6">
      <w:pPr>
        <w:pStyle w:val="Bullets"/>
        <w:jc w:val="left"/>
        <w:rPr>
          <w:spacing w:val="-10"/>
        </w:rPr>
      </w:pPr>
      <w:r w:rsidRPr="00FB71FD">
        <w:rPr>
          <w:spacing w:val="-10"/>
        </w:rPr>
        <w:t xml:space="preserve">Secretaría Distrital de Movilidad. (2019). Encuesta de Movilidad 2019. Recuperado de </w:t>
      </w:r>
      <w:hyperlink r:id="rId296" w:history="1">
        <w:r w:rsidRPr="00FB71FD">
          <w:rPr>
            <w:rStyle w:val="Hipervnculo"/>
          </w:rPr>
          <w:t>https://www.movilidadbogota.gov.co/web/encuesta_de_movilidad_2019</w:t>
        </w:r>
      </w:hyperlink>
    </w:p>
    <w:p w14:paraId="2F0B2301" w14:textId="77777777" w:rsidR="00FE4135" w:rsidRPr="00FB71FD" w:rsidRDefault="00FE4135" w:rsidP="00221BD6">
      <w:pPr>
        <w:pStyle w:val="Bullets"/>
        <w:numPr>
          <w:ilvl w:val="0"/>
          <w:numId w:val="0"/>
        </w:numPr>
        <w:ind w:left="714"/>
        <w:jc w:val="left"/>
        <w:rPr>
          <w:spacing w:val="-10"/>
        </w:rPr>
      </w:pPr>
    </w:p>
    <w:p w14:paraId="594A9AF4" w14:textId="77777777" w:rsidR="00FE4135" w:rsidRPr="00FB71FD" w:rsidRDefault="00FE4135" w:rsidP="00221BD6">
      <w:pPr>
        <w:pStyle w:val="Bullets"/>
        <w:jc w:val="left"/>
        <w:rPr>
          <w:spacing w:val="-10"/>
        </w:rPr>
      </w:pPr>
      <w:r w:rsidRPr="00FB71FD">
        <w:rPr>
          <w:spacing w:val="-10"/>
        </w:rPr>
        <w:t>Secretaría Distrital de Movilidad. (2022). Encuesta de movilidad y género</w:t>
      </w:r>
    </w:p>
    <w:p w14:paraId="1E276852" w14:textId="77777777" w:rsidR="00FE4135" w:rsidRPr="00FB71FD" w:rsidRDefault="00FE4135" w:rsidP="00221BD6">
      <w:pPr>
        <w:pStyle w:val="Bullets"/>
        <w:numPr>
          <w:ilvl w:val="0"/>
          <w:numId w:val="0"/>
        </w:numPr>
        <w:ind w:left="714"/>
        <w:jc w:val="left"/>
        <w:rPr>
          <w:spacing w:val="-10"/>
        </w:rPr>
      </w:pPr>
    </w:p>
    <w:p w14:paraId="68D9D7EB" w14:textId="77777777" w:rsidR="00FE4135" w:rsidRPr="00FB71FD" w:rsidRDefault="00FE4135" w:rsidP="00221BD6">
      <w:pPr>
        <w:pStyle w:val="Bullets"/>
        <w:jc w:val="left"/>
        <w:rPr>
          <w:spacing w:val="-10"/>
        </w:rPr>
      </w:pPr>
      <w:r w:rsidRPr="00FB71FD">
        <w:rPr>
          <w:spacing w:val="-10"/>
        </w:rPr>
        <w:t xml:space="preserve">Secretaría Distrital de Planeación. (2017). Línea Base de la Política Pública para la Garantía Plena de Derechos de las Personas de los Sectores LGBTI. Recuperado de </w:t>
      </w:r>
      <w:hyperlink r:id="rId297" w:history="1">
        <w:r w:rsidRPr="00FB71FD">
          <w:rPr>
            <w:rStyle w:val="Hipervnculo"/>
          </w:rPr>
          <w:t>https://www.sdp.gov.co/sites/default/files/publicacion-linea-base-politica-publica-lgbti.pdf</w:t>
        </w:r>
      </w:hyperlink>
    </w:p>
    <w:p w14:paraId="083D532D" w14:textId="77777777" w:rsidR="00FE4135" w:rsidRPr="00FB71FD" w:rsidRDefault="00FE4135" w:rsidP="00221BD6">
      <w:pPr>
        <w:pStyle w:val="Bullets"/>
        <w:numPr>
          <w:ilvl w:val="0"/>
          <w:numId w:val="0"/>
        </w:numPr>
        <w:ind w:left="714"/>
        <w:jc w:val="left"/>
        <w:rPr>
          <w:spacing w:val="-10"/>
        </w:rPr>
      </w:pPr>
    </w:p>
    <w:p w14:paraId="33ACA20A" w14:textId="77777777" w:rsidR="00FE4135" w:rsidRPr="00FB71FD" w:rsidRDefault="00FE4135" w:rsidP="00221BD6">
      <w:pPr>
        <w:pStyle w:val="Bullets"/>
        <w:jc w:val="left"/>
        <w:rPr>
          <w:spacing w:val="-10"/>
        </w:rPr>
      </w:pPr>
      <w:r w:rsidRPr="00FB71FD">
        <w:rPr>
          <w:spacing w:val="-10"/>
        </w:rPr>
        <w:t xml:space="preserve">Secretaría Distrital de Planeación. (2019). Segregación Residencial Socioeconómica (SRS) en Bogotá 2017. Recuperado de </w:t>
      </w:r>
      <w:hyperlink r:id="rId298" w:history="1">
        <w:r w:rsidRPr="00FB71FD">
          <w:rPr>
            <w:rStyle w:val="Hipervnculo"/>
          </w:rPr>
          <w:t>https://www.sdp.gov.co/sites/default/files/108_-_segregacion_residencial_socieconomica_srs_-_final.pdf</w:t>
        </w:r>
      </w:hyperlink>
    </w:p>
    <w:p w14:paraId="00D1386C" w14:textId="77777777" w:rsidR="00FE4135" w:rsidRPr="00FB71FD" w:rsidRDefault="00FE4135" w:rsidP="00221BD6">
      <w:pPr>
        <w:pStyle w:val="Bullets"/>
        <w:numPr>
          <w:ilvl w:val="0"/>
          <w:numId w:val="0"/>
        </w:numPr>
        <w:ind w:left="714"/>
        <w:jc w:val="left"/>
        <w:rPr>
          <w:spacing w:val="-10"/>
        </w:rPr>
      </w:pPr>
    </w:p>
    <w:p w14:paraId="756E3217" w14:textId="77777777" w:rsidR="00FE4135" w:rsidRPr="00FB71FD" w:rsidRDefault="00FE4135" w:rsidP="00221BD6">
      <w:pPr>
        <w:pStyle w:val="Bullets"/>
        <w:jc w:val="left"/>
        <w:rPr>
          <w:spacing w:val="-10"/>
        </w:rPr>
      </w:pPr>
      <w:r w:rsidRPr="00FB71FD">
        <w:rPr>
          <w:spacing w:val="-10"/>
        </w:rPr>
        <w:lastRenderedPageBreak/>
        <w:t xml:space="preserve">Secretaría Distrital de Planeación. (2021). Documento Técnico de Soporte, Libro II Componente Urbano. Recuperado de </w:t>
      </w:r>
      <w:hyperlink r:id="rId299" w:history="1">
        <w:r w:rsidRPr="00FB71FD">
          <w:rPr>
            <w:rStyle w:val="Hipervnculo"/>
          </w:rPr>
          <w:t>https://www.sdp.gov.co/sites/default/files/dts_libroii_componente_urbano_0.pdf</w:t>
        </w:r>
      </w:hyperlink>
    </w:p>
    <w:p w14:paraId="1F8498AA" w14:textId="77777777" w:rsidR="00FE4135" w:rsidRPr="00FB71FD" w:rsidRDefault="00FE4135" w:rsidP="00221BD6">
      <w:pPr>
        <w:pStyle w:val="Bullets"/>
        <w:numPr>
          <w:ilvl w:val="0"/>
          <w:numId w:val="0"/>
        </w:numPr>
        <w:ind w:left="714"/>
        <w:jc w:val="left"/>
        <w:rPr>
          <w:spacing w:val="-10"/>
        </w:rPr>
      </w:pPr>
    </w:p>
    <w:p w14:paraId="3CE17DF6" w14:textId="77777777" w:rsidR="00FE4135" w:rsidRPr="00FB71FD" w:rsidRDefault="00FE4135" w:rsidP="00221BD6">
      <w:pPr>
        <w:pStyle w:val="Bullets"/>
        <w:jc w:val="left"/>
        <w:rPr>
          <w:spacing w:val="-10"/>
        </w:rPr>
      </w:pPr>
      <w:r w:rsidRPr="00FB71FD">
        <w:rPr>
          <w:spacing w:val="-10"/>
        </w:rPr>
        <w:t xml:space="preserve">Secretaría Distrital de Planeación. (2022a). Caracterización de la población afrodescendiente residente en Bogotá. Recuperado de </w:t>
      </w:r>
      <w:hyperlink r:id="rId300" w:history="1">
        <w:r w:rsidRPr="00FB71FD">
          <w:rPr>
            <w:rStyle w:val="Hipervnculo"/>
          </w:rPr>
          <w:t>https://www.sdp.gov.co/sites/default/files/caracterizacion_poblacion_afrodescendiente_bogota_2022.pdf</w:t>
        </w:r>
      </w:hyperlink>
    </w:p>
    <w:p w14:paraId="31AA15CB" w14:textId="77777777" w:rsidR="00FE4135" w:rsidRPr="00FB71FD" w:rsidRDefault="00FE4135" w:rsidP="00221BD6">
      <w:pPr>
        <w:pStyle w:val="Bullets"/>
        <w:numPr>
          <w:ilvl w:val="0"/>
          <w:numId w:val="0"/>
        </w:numPr>
        <w:ind w:left="714"/>
        <w:jc w:val="left"/>
        <w:rPr>
          <w:spacing w:val="-10"/>
        </w:rPr>
      </w:pPr>
    </w:p>
    <w:p w14:paraId="6512D4E6" w14:textId="77777777" w:rsidR="00FE4135" w:rsidRPr="00FB71FD" w:rsidRDefault="00FE4135" w:rsidP="00221BD6">
      <w:pPr>
        <w:pStyle w:val="Bullets"/>
        <w:jc w:val="left"/>
        <w:rPr>
          <w:spacing w:val="-10"/>
        </w:rPr>
      </w:pPr>
      <w:r w:rsidRPr="00FB71FD">
        <w:rPr>
          <w:spacing w:val="-10"/>
        </w:rPr>
        <w:t xml:space="preserve">Secretaría Distrital de Planeación. (2022b). Efectos de las violencias y abandono familiar en personas de los sectores LGBTI en Bogotá. Recuperado de </w:t>
      </w:r>
      <w:hyperlink r:id="rId301" w:history="1">
        <w:r w:rsidRPr="00FB71FD">
          <w:rPr>
            <w:rStyle w:val="Hipervnculo"/>
          </w:rPr>
          <w:t>https://www.sdp.gov.co/sites/default/files/20220727_efectos_violencias_abandono_familiar_personas_lgbti_bogota.pdf</w:t>
        </w:r>
      </w:hyperlink>
    </w:p>
    <w:p w14:paraId="1E7E78B0" w14:textId="77777777" w:rsidR="00FE4135" w:rsidRPr="00FB71FD" w:rsidRDefault="00FE4135" w:rsidP="00221BD6">
      <w:pPr>
        <w:pStyle w:val="Bullets"/>
        <w:numPr>
          <w:ilvl w:val="0"/>
          <w:numId w:val="0"/>
        </w:numPr>
        <w:ind w:left="714"/>
        <w:jc w:val="left"/>
        <w:rPr>
          <w:spacing w:val="-10"/>
        </w:rPr>
      </w:pPr>
    </w:p>
    <w:p w14:paraId="74E8B873" w14:textId="77777777" w:rsidR="00FE4135" w:rsidRPr="00FB71FD" w:rsidRDefault="00FE4135" w:rsidP="00221BD6">
      <w:pPr>
        <w:pStyle w:val="Bullets"/>
        <w:jc w:val="left"/>
        <w:rPr>
          <w:spacing w:val="-10"/>
        </w:rPr>
      </w:pPr>
      <w:r w:rsidRPr="00FB71FD">
        <w:rPr>
          <w:spacing w:val="-10"/>
        </w:rPr>
        <w:t>Secretaría Distrital de Planeación. (2022c). Efectos de las violencias y abandono familiar en personas de los sectores LGTBIQ+ en Bogotá.</w:t>
      </w:r>
    </w:p>
    <w:p w14:paraId="1EF8FCAE" w14:textId="77777777" w:rsidR="00FE4135" w:rsidRPr="00FB71FD" w:rsidRDefault="00FE4135" w:rsidP="00221BD6">
      <w:pPr>
        <w:pStyle w:val="Bullets"/>
        <w:numPr>
          <w:ilvl w:val="0"/>
          <w:numId w:val="0"/>
        </w:numPr>
        <w:ind w:left="714"/>
        <w:jc w:val="left"/>
        <w:rPr>
          <w:spacing w:val="-10"/>
        </w:rPr>
      </w:pPr>
    </w:p>
    <w:p w14:paraId="51025E13" w14:textId="77777777" w:rsidR="00FE4135" w:rsidRPr="00FB71FD" w:rsidRDefault="00FE4135" w:rsidP="00221BD6">
      <w:pPr>
        <w:pStyle w:val="Bullets"/>
        <w:jc w:val="left"/>
        <w:rPr>
          <w:spacing w:val="-10"/>
        </w:rPr>
      </w:pPr>
      <w:r w:rsidRPr="00FB71FD">
        <w:rPr>
          <w:spacing w:val="-10"/>
        </w:rPr>
        <w:t xml:space="preserve">Secretaría Distrital de Planeación. (2022d). Índice de capacidad de pago en Bogotá y la región 2021. Recuperado de </w:t>
      </w:r>
      <w:hyperlink r:id="rId302" w:history="1">
        <w:r w:rsidRPr="00FB71FD">
          <w:rPr>
            <w:rStyle w:val="Hipervnculo"/>
          </w:rPr>
          <w:t>https://www.sdp.gov.co/sites/default/files/capacidad_de_pago_2021.pdf</w:t>
        </w:r>
      </w:hyperlink>
    </w:p>
    <w:p w14:paraId="62DFE7F3" w14:textId="77777777" w:rsidR="00FE4135" w:rsidRPr="00FB71FD" w:rsidRDefault="00FE4135" w:rsidP="00221BD6">
      <w:pPr>
        <w:pStyle w:val="Bullets"/>
        <w:numPr>
          <w:ilvl w:val="0"/>
          <w:numId w:val="0"/>
        </w:numPr>
        <w:ind w:left="714"/>
        <w:jc w:val="left"/>
        <w:rPr>
          <w:spacing w:val="-10"/>
        </w:rPr>
      </w:pPr>
    </w:p>
    <w:p w14:paraId="42D24871" w14:textId="77777777" w:rsidR="00FE4135" w:rsidRPr="00FB71FD" w:rsidRDefault="00FE4135" w:rsidP="00221BD6">
      <w:pPr>
        <w:pStyle w:val="Bullets"/>
        <w:jc w:val="left"/>
        <w:rPr>
          <w:spacing w:val="-10"/>
        </w:rPr>
      </w:pPr>
      <w:r w:rsidRPr="00FB71FD">
        <w:rPr>
          <w:spacing w:val="-10"/>
        </w:rPr>
        <w:t xml:space="preserve">Secretaría Distrital de Planeación. (2022e). Política Pública LGBTI, identidades de género y orientaciones sexuales en el D.C. 2021-2032. Recuperado de </w:t>
      </w:r>
      <w:hyperlink r:id="rId303" w:history="1">
        <w:r w:rsidRPr="00FB71FD">
          <w:rPr>
            <w:rStyle w:val="Hipervnculo"/>
          </w:rPr>
          <w:t>https://www.sdp.gov.co/sites/default/files/decretos-conpes/conpes_dc_16_lgbti.pdf</w:t>
        </w:r>
      </w:hyperlink>
    </w:p>
    <w:p w14:paraId="1831F7DC" w14:textId="77777777" w:rsidR="00FE4135" w:rsidRPr="00FB71FD" w:rsidRDefault="00FE4135" w:rsidP="00221BD6">
      <w:pPr>
        <w:pStyle w:val="Bullets"/>
        <w:numPr>
          <w:ilvl w:val="0"/>
          <w:numId w:val="0"/>
        </w:numPr>
        <w:ind w:left="714"/>
        <w:jc w:val="left"/>
        <w:rPr>
          <w:spacing w:val="-10"/>
        </w:rPr>
      </w:pPr>
    </w:p>
    <w:p w14:paraId="4FFE8079" w14:textId="77777777" w:rsidR="00FE4135" w:rsidRPr="00FB71FD" w:rsidRDefault="00FE4135" w:rsidP="00221BD6">
      <w:pPr>
        <w:pStyle w:val="Bullets"/>
        <w:jc w:val="left"/>
        <w:rPr>
          <w:spacing w:val="-10"/>
        </w:rPr>
      </w:pPr>
      <w:r w:rsidRPr="00FB71FD">
        <w:rPr>
          <w:spacing w:val="-10"/>
        </w:rPr>
        <w:t xml:space="preserve">Secretaría Distrital de Planeación. (2023). Acción Popular 25000232500020050066205 – Sentencia de Cerros Orientales; Recuperado de </w:t>
      </w:r>
      <w:hyperlink r:id="rId304" w:history="1">
        <w:r w:rsidRPr="00FB71FD">
          <w:rPr>
            <w:rStyle w:val="Hipervnculo"/>
          </w:rPr>
          <w:t>https://www.sdp.gov.co/gestion-territorial/ambiente-y-ruralidad/cerros-orientales.</w:t>
        </w:r>
      </w:hyperlink>
    </w:p>
    <w:p w14:paraId="71937BB8" w14:textId="77777777" w:rsidR="00FE4135" w:rsidRPr="00FB71FD" w:rsidRDefault="00FE4135" w:rsidP="00221BD6">
      <w:pPr>
        <w:pStyle w:val="Bullets"/>
        <w:numPr>
          <w:ilvl w:val="0"/>
          <w:numId w:val="0"/>
        </w:numPr>
        <w:ind w:left="714"/>
        <w:jc w:val="left"/>
        <w:rPr>
          <w:spacing w:val="-10"/>
        </w:rPr>
      </w:pPr>
    </w:p>
    <w:p w14:paraId="41FE32E9" w14:textId="77777777" w:rsidR="00FE4135" w:rsidRPr="00FB71FD" w:rsidRDefault="00FE4135" w:rsidP="00221BD6">
      <w:pPr>
        <w:pStyle w:val="Bullets"/>
        <w:jc w:val="left"/>
        <w:rPr>
          <w:spacing w:val="-10"/>
        </w:rPr>
      </w:pPr>
      <w:r w:rsidRPr="00FB71FD">
        <w:rPr>
          <w:spacing w:val="-10"/>
        </w:rPr>
        <w:t xml:space="preserve">Secretaría Distrital de Planeación. (2017 – 2021). «Generalidades Encuesta Multipropósito | Recuperado 21 de septiembre de 2023» </w:t>
      </w:r>
      <w:hyperlink r:id="rId305" w:history="1">
        <w:r w:rsidRPr="00FB71FD">
          <w:rPr>
            <w:rStyle w:val="Hipervnculo"/>
          </w:rPr>
          <w:t>https://www.sdp.gov.co/gestion-estudios-estrategicos/estudios-macro/encuesta-multiproposito</w:t>
        </w:r>
      </w:hyperlink>
    </w:p>
    <w:p w14:paraId="4FF3F23B" w14:textId="77777777" w:rsidR="00FE4135" w:rsidRPr="00FB71FD" w:rsidRDefault="00FE4135" w:rsidP="00221BD6">
      <w:pPr>
        <w:pStyle w:val="Bullets"/>
        <w:numPr>
          <w:ilvl w:val="0"/>
          <w:numId w:val="0"/>
        </w:numPr>
        <w:ind w:left="714"/>
        <w:jc w:val="left"/>
        <w:rPr>
          <w:spacing w:val="-10"/>
        </w:rPr>
      </w:pPr>
    </w:p>
    <w:p w14:paraId="5CA09640" w14:textId="77777777" w:rsidR="00FE4135" w:rsidRPr="00FB71FD" w:rsidRDefault="00FE4135" w:rsidP="00221BD6">
      <w:pPr>
        <w:pStyle w:val="Bullets"/>
        <w:jc w:val="left"/>
        <w:rPr>
          <w:spacing w:val="-10"/>
        </w:rPr>
      </w:pPr>
      <w:r w:rsidRPr="00FB71FD">
        <w:rPr>
          <w:spacing w:val="-10"/>
        </w:rPr>
        <w:t>Secretaría Distrital de Salud. (2023). Población indígena, negra y afrodescendiente, poblaciones en Sumapaz y la Zona de Reserva Campesina, afiliadas al Sistema General de Seguridad Social en Salud (SGSSS). Base de Datos Única de Afiliados (BDUA).</w:t>
      </w:r>
    </w:p>
    <w:p w14:paraId="17B106C5" w14:textId="77777777" w:rsidR="00FE4135" w:rsidRPr="00FB71FD" w:rsidRDefault="00FE4135" w:rsidP="00221BD6">
      <w:pPr>
        <w:pStyle w:val="Bullets"/>
        <w:numPr>
          <w:ilvl w:val="0"/>
          <w:numId w:val="0"/>
        </w:numPr>
        <w:ind w:left="714"/>
        <w:jc w:val="left"/>
        <w:rPr>
          <w:spacing w:val="-10"/>
        </w:rPr>
      </w:pPr>
    </w:p>
    <w:p w14:paraId="7D5D6E28" w14:textId="77777777" w:rsidR="00FE4135" w:rsidRPr="00FB71FD" w:rsidRDefault="00FE4135" w:rsidP="00221BD6">
      <w:pPr>
        <w:pStyle w:val="Bullets"/>
        <w:jc w:val="left"/>
        <w:rPr>
          <w:spacing w:val="-10"/>
        </w:rPr>
      </w:pPr>
      <w:r w:rsidRPr="00FB71FD">
        <w:rPr>
          <w:spacing w:val="-10"/>
        </w:rPr>
        <w:t xml:space="preserve">Secretaría Distrital de Salud de Bogotá &amp; Oficina de las Naciones Unidas contra la Droga y el Delito. (2023). Estudio de Salud Mental en Bogotá D.C. Bogotá. Recuperado en: </w:t>
      </w:r>
      <w:hyperlink r:id="rId306" w:history="1">
        <w:r w:rsidRPr="00FB71FD">
          <w:rPr>
            <w:rStyle w:val="Hipervnculo"/>
          </w:rPr>
          <w:t>https://storage.googleapis.com/saludata_descargas/Salud_Mental/Estudio_salud_mental_final.pdf</w:t>
        </w:r>
      </w:hyperlink>
    </w:p>
    <w:p w14:paraId="0457F663" w14:textId="77777777" w:rsidR="00FE4135" w:rsidRPr="00FB71FD" w:rsidRDefault="00FE4135" w:rsidP="00221BD6">
      <w:pPr>
        <w:pStyle w:val="Bullets"/>
        <w:numPr>
          <w:ilvl w:val="0"/>
          <w:numId w:val="0"/>
        </w:numPr>
        <w:ind w:left="714"/>
        <w:jc w:val="left"/>
        <w:rPr>
          <w:spacing w:val="-10"/>
        </w:rPr>
      </w:pPr>
    </w:p>
    <w:p w14:paraId="3D93DF33" w14:textId="77777777" w:rsidR="00FE4135" w:rsidRPr="00FB71FD" w:rsidRDefault="00FE4135" w:rsidP="00221BD6">
      <w:pPr>
        <w:pStyle w:val="Bullets"/>
        <w:jc w:val="left"/>
        <w:rPr>
          <w:spacing w:val="-10"/>
        </w:rPr>
      </w:pPr>
      <w:r w:rsidRPr="00FB71FD">
        <w:rPr>
          <w:spacing w:val="-10"/>
        </w:rPr>
        <w:t>Secretaría Distrital de Seguridad Convivencia y Justicia. (2023). Boletin mensula de indicadores Seguridad y convivencia. Bogotá.</w:t>
      </w:r>
    </w:p>
    <w:p w14:paraId="6CE679F2" w14:textId="77777777" w:rsidR="00FE4135" w:rsidRPr="00FB71FD" w:rsidRDefault="00FE4135" w:rsidP="00221BD6">
      <w:pPr>
        <w:pStyle w:val="Bullets"/>
        <w:numPr>
          <w:ilvl w:val="0"/>
          <w:numId w:val="0"/>
        </w:numPr>
        <w:ind w:left="714"/>
        <w:jc w:val="left"/>
        <w:rPr>
          <w:spacing w:val="-10"/>
        </w:rPr>
      </w:pPr>
    </w:p>
    <w:p w14:paraId="60E1319F" w14:textId="77777777" w:rsidR="00FE4135" w:rsidRPr="00FB71FD" w:rsidRDefault="00FE4135" w:rsidP="00221BD6">
      <w:pPr>
        <w:pStyle w:val="Bullets"/>
        <w:jc w:val="left"/>
        <w:rPr>
          <w:spacing w:val="-10"/>
        </w:rPr>
      </w:pPr>
      <w:r w:rsidRPr="00FB71FD">
        <w:rPr>
          <w:spacing w:val="-10"/>
        </w:rPr>
        <w:t>Secretaría Distrital Planeación. (2014). Región Metropolitana de Bogotá: Una Visión de la Ocupación del Suelo. Segunda parte: Evaluación de la coherencia y articulación entre los POT municipal y distrital de la región metropolitana de Bogotá (págs. 291-317). Colección Integración Regional, Secretaría Distrital de Planeación. Bogotá D.C.</w:t>
      </w:r>
    </w:p>
    <w:p w14:paraId="3A399294" w14:textId="77777777" w:rsidR="00FE4135" w:rsidRPr="00FB71FD" w:rsidRDefault="00FE4135" w:rsidP="00221BD6">
      <w:pPr>
        <w:pStyle w:val="Bullets"/>
        <w:numPr>
          <w:ilvl w:val="0"/>
          <w:numId w:val="0"/>
        </w:numPr>
        <w:ind w:left="714"/>
        <w:jc w:val="left"/>
        <w:rPr>
          <w:spacing w:val="-10"/>
        </w:rPr>
      </w:pPr>
    </w:p>
    <w:p w14:paraId="4DB90E3B" w14:textId="77777777" w:rsidR="00FE4135" w:rsidRPr="00FB71FD" w:rsidRDefault="00FE4135" w:rsidP="00221BD6">
      <w:pPr>
        <w:pStyle w:val="Bullets"/>
        <w:jc w:val="left"/>
        <w:rPr>
          <w:spacing w:val="-10"/>
        </w:rPr>
      </w:pPr>
      <w:r w:rsidRPr="00FB71FD">
        <w:rPr>
          <w:spacing w:val="-10"/>
        </w:rPr>
        <w:lastRenderedPageBreak/>
        <w:t xml:space="preserve">Secretaría General de la Alcaldía Mayor de Bogotá D.C. (2020). Caracterización de los grupos de valor. Oferta y demanda de trámites y servicios en el distrito capital. Recuperado de </w:t>
      </w:r>
      <w:hyperlink r:id="rId307" w:history="1">
        <w:r w:rsidRPr="00FB71FD">
          <w:rPr>
            <w:rStyle w:val="Hipervnculo"/>
          </w:rPr>
          <w:t>https://secretariageneral.gov.co/sites/default/files/documentos_descarga_transparencia/2022-12/caracterizacion_de_grupos_de_valor_2020_(SSSC).pdf</w:t>
        </w:r>
      </w:hyperlink>
    </w:p>
    <w:p w14:paraId="4F63DECD" w14:textId="77777777" w:rsidR="00FE4135" w:rsidRPr="00FB71FD" w:rsidRDefault="00FE4135" w:rsidP="00221BD6">
      <w:pPr>
        <w:pStyle w:val="Bullets"/>
        <w:numPr>
          <w:ilvl w:val="0"/>
          <w:numId w:val="0"/>
        </w:numPr>
        <w:ind w:left="714"/>
        <w:jc w:val="left"/>
        <w:rPr>
          <w:spacing w:val="-10"/>
        </w:rPr>
      </w:pPr>
    </w:p>
    <w:p w14:paraId="4567317E" w14:textId="77777777" w:rsidR="00FE4135" w:rsidRPr="00FB71FD" w:rsidRDefault="00FE4135" w:rsidP="00221BD6">
      <w:pPr>
        <w:pStyle w:val="Bullets"/>
        <w:jc w:val="left"/>
        <w:rPr>
          <w:spacing w:val="-10"/>
        </w:rPr>
      </w:pPr>
      <w:r w:rsidRPr="00FB71FD">
        <w:rPr>
          <w:spacing w:val="-10"/>
        </w:rPr>
        <w:t xml:space="preserve">Secretaría General de la Alcaldía Mayor de Bogotá D.C. (2022a). Índice de Gestión Pública Distrital – IGPD- Recuperado en: </w:t>
      </w:r>
      <w:hyperlink r:id="rId308" w:history="1">
        <w:r w:rsidRPr="00FB71FD">
          <w:rPr>
            <w:rStyle w:val="Hipervnculo"/>
          </w:rPr>
          <w:t>https://secretariageneral.gov.co/sites/default/files/documentos_informacion_ppe/2022-09/documento_metodologico_igpd_22.08.2022.pdf</w:t>
        </w:r>
      </w:hyperlink>
    </w:p>
    <w:p w14:paraId="22E29281" w14:textId="77777777" w:rsidR="00FE4135" w:rsidRPr="00FB71FD" w:rsidRDefault="00FE4135" w:rsidP="00221BD6">
      <w:pPr>
        <w:pStyle w:val="Bullets"/>
        <w:numPr>
          <w:ilvl w:val="0"/>
          <w:numId w:val="0"/>
        </w:numPr>
        <w:ind w:left="714"/>
        <w:jc w:val="left"/>
        <w:rPr>
          <w:spacing w:val="-10"/>
        </w:rPr>
      </w:pPr>
    </w:p>
    <w:p w14:paraId="691B2FA2" w14:textId="77777777" w:rsidR="00FE4135" w:rsidRPr="00FB71FD" w:rsidRDefault="00FE4135" w:rsidP="00221BD6">
      <w:pPr>
        <w:pStyle w:val="Bullets"/>
        <w:jc w:val="left"/>
        <w:rPr>
          <w:spacing w:val="-10"/>
        </w:rPr>
      </w:pPr>
      <w:r w:rsidRPr="00FB71FD">
        <w:rPr>
          <w:spacing w:val="-10"/>
        </w:rPr>
        <w:t xml:space="preserve">Secretaría General de la Alcaldía Mayor de Bogotá D.C. (2022b). Informe por política de Gestión y Desempeño Talento Humano. Recuperado de </w:t>
      </w:r>
      <w:hyperlink r:id="rId309" w:history="1">
        <w:r w:rsidRPr="00FB71FD">
          <w:rPr>
            <w:rStyle w:val="Hipervnculo"/>
          </w:rPr>
          <w:t>https://secretariageneral.gov.co/sites/default/files/2023-12/Info_Poli%CC%81tica_Talento_Humano.pdf</w:t>
        </w:r>
      </w:hyperlink>
    </w:p>
    <w:p w14:paraId="52FF52B6" w14:textId="77777777" w:rsidR="00FE4135" w:rsidRPr="00FB71FD" w:rsidRDefault="00FE4135" w:rsidP="00221BD6">
      <w:pPr>
        <w:pStyle w:val="Bullets"/>
        <w:numPr>
          <w:ilvl w:val="0"/>
          <w:numId w:val="0"/>
        </w:numPr>
        <w:ind w:left="714"/>
        <w:jc w:val="left"/>
        <w:rPr>
          <w:spacing w:val="-10"/>
        </w:rPr>
      </w:pPr>
    </w:p>
    <w:p w14:paraId="2814E96F" w14:textId="77777777" w:rsidR="00FE4135" w:rsidRPr="00FB71FD" w:rsidRDefault="00FE4135" w:rsidP="00221BD6">
      <w:pPr>
        <w:pStyle w:val="Bullets"/>
        <w:jc w:val="left"/>
        <w:rPr>
          <w:spacing w:val="-10"/>
        </w:rPr>
      </w:pPr>
      <w:r w:rsidRPr="00FB71FD">
        <w:rPr>
          <w:spacing w:val="-10"/>
        </w:rPr>
        <w:t>Secretaría General de la Alcaldía Mayor de Bogotá D.C. (2023a). Estudio de Modernización.</w:t>
      </w:r>
    </w:p>
    <w:p w14:paraId="454C0E95" w14:textId="77777777" w:rsidR="00FE4135" w:rsidRPr="00FB71FD" w:rsidRDefault="00FE4135" w:rsidP="00221BD6">
      <w:pPr>
        <w:pStyle w:val="Bullets"/>
        <w:numPr>
          <w:ilvl w:val="0"/>
          <w:numId w:val="0"/>
        </w:numPr>
        <w:ind w:left="714"/>
        <w:jc w:val="left"/>
        <w:rPr>
          <w:spacing w:val="-10"/>
        </w:rPr>
      </w:pPr>
    </w:p>
    <w:p w14:paraId="11D83A01" w14:textId="77777777" w:rsidR="00FE4135" w:rsidRPr="00FB71FD" w:rsidRDefault="00FE4135" w:rsidP="00221BD6">
      <w:pPr>
        <w:pStyle w:val="Bullets"/>
        <w:jc w:val="left"/>
        <w:rPr>
          <w:spacing w:val="-10"/>
        </w:rPr>
      </w:pPr>
      <w:r w:rsidRPr="00FB71FD">
        <w:rPr>
          <w:spacing w:val="-10"/>
        </w:rPr>
        <w:t>Secretaría General de la Alcaldía Mayor de Bogotá D.C. (2023b). Talleres con ciudadanía adelantados en el marco de la reformulación de la Política Pública Distrital de Servicio a la Ciudadanía, fase de diagnóstico.</w:t>
      </w:r>
    </w:p>
    <w:p w14:paraId="2F3603F8" w14:textId="77777777" w:rsidR="00FE4135" w:rsidRPr="00FB71FD" w:rsidRDefault="00FE4135" w:rsidP="00221BD6">
      <w:pPr>
        <w:pStyle w:val="Bullets"/>
        <w:numPr>
          <w:ilvl w:val="0"/>
          <w:numId w:val="0"/>
        </w:numPr>
        <w:ind w:left="714"/>
        <w:jc w:val="left"/>
        <w:rPr>
          <w:spacing w:val="-10"/>
        </w:rPr>
      </w:pPr>
    </w:p>
    <w:p w14:paraId="4642FF22" w14:textId="77777777" w:rsidR="00FE4135" w:rsidRPr="00FB71FD" w:rsidRDefault="00FE4135" w:rsidP="00221BD6">
      <w:pPr>
        <w:pStyle w:val="Bullets"/>
        <w:jc w:val="left"/>
        <w:rPr>
          <w:spacing w:val="-10"/>
        </w:rPr>
      </w:pPr>
      <w:r w:rsidRPr="00FB71FD">
        <w:rPr>
          <w:spacing w:val="-10"/>
        </w:rPr>
        <w:t xml:space="preserve">Sistema Multidimensional de Evaluación para la Calidad Educativa (SMECE). (2023). Estimación del Índice de Calidad Educativa del Distrito (ICED) para 2021 y 2022. Recuperado de </w:t>
      </w:r>
      <w:hyperlink r:id="rId310" w:history="1">
        <w:r w:rsidRPr="00FB71FD">
          <w:rPr>
            <w:rStyle w:val="Hipervnculo"/>
          </w:rPr>
          <w:t>https://smece.educacionbogota.edu.co/sites/default/files/2023-11/Estimaci%C3%B3n%20del%20%C3%8Dndice%20de%20Calidad%20Educativa%20del%20Distrito%20%28ICED%29%20para%202021%20y%202022.pdf</w:t>
        </w:r>
      </w:hyperlink>
    </w:p>
    <w:p w14:paraId="1342A47B" w14:textId="77777777" w:rsidR="00FE4135" w:rsidRPr="00FB71FD" w:rsidRDefault="00FE4135" w:rsidP="00221BD6">
      <w:pPr>
        <w:pStyle w:val="Bullets"/>
        <w:numPr>
          <w:ilvl w:val="0"/>
          <w:numId w:val="0"/>
        </w:numPr>
        <w:ind w:left="714"/>
        <w:jc w:val="left"/>
        <w:rPr>
          <w:spacing w:val="-10"/>
        </w:rPr>
      </w:pPr>
    </w:p>
    <w:p w14:paraId="7EACB016" w14:textId="77777777" w:rsidR="00FE4135" w:rsidRPr="00FB71FD" w:rsidRDefault="00FE4135" w:rsidP="00221BD6">
      <w:pPr>
        <w:pStyle w:val="Bullets"/>
        <w:jc w:val="left"/>
        <w:rPr>
          <w:spacing w:val="-10"/>
        </w:rPr>
      </w:pPr>
      <w:r w:rsidRPr="00FB71FD">
        <w:rPr>
          <w:spacing w:val="-10"/>
        </w:rPr>
        <w:t>Stanton, S. (2021). Inglés para el empleo: el aprendizaje del inglés en la educación técnica y la formación profesional. Pearson.</w:t>
      </w:r>
    </w:p>
    <w:p w14:paraId="41EC3F0B" w14:textId="77777777" w:rsidR="00FE4135" w:rsidRPr="00FB71FD" w:rsidRDefault="00FE4135" w:rsidP="00221BD6">
      <w:pPr>
        <w:pStyle w:val="Bullets"/>
        <w:numPr>
          <w:ilvl w:val="0"/>
          <w:numId w:val="0"/>
        </w:numPr>
        <w:ind w:left="714"/>
        <w:jc w:val="left"/>
        <w:rPr>
          <w:spacing w:val="-10"/>
        </w:rPr>
      </w:pPr>
    </w:p>
    <w:p w14:paraId="1F3B5700" w14:textId="77777777" w:rsidR="00FE4135" w:rsidRPr="00FB71FD" w:rsidRDefault="00FE4135" w:rsidP="00221BD6">
      <w:pPr>
        <w:pStyle w:val="Bullets"/>
        <w:jc w:val="left"/>
        <w:rPr>
          <w:spacing w:val="-10"/>
        </w:rPr>
      </w:pPr>
      <w:r w:rsidRPr="00FB71FD">
        <w:rPr>
          <w:spacing w:val="-10"/>
        </w:rPr>
        <w:t>Subsecretaría de Servicio a la Ciudadanía, SSC. (2023). Caracterización Grupos de Valor Canales de Atención.</w:t>
      </w:r>
    </w:p>
    <w:p w14:paraId="428551D9" w14:textId="77777777" w:rsidR="00FE4135" w:rsidRPr="00FB71FD" w:rsidRDefault="00FE4135" w:rsidP="00221BD6">
      <w:pPr>
        <w:pStyle w:val="Bullets"/>
        <w:numPr>
          <w:ilvl w:val="0"/>
          <w:numId w:val="0"/>
        </w:numPr>
        <w:ind w:left="714"/>
        <w:jc w:val="left"/>
        <w:rPr>
          <w:spacing w:val="-10"/>
        </w:rPr>
      </w:pPr>
    </w:p>
    <w:p w14:paraId="0FA1CA2D" w14:textId="77777777" w:rsidR="00FE4135" w:rsidRPr="00FB71FD" w:rsidRDefault="00FE4135" w:rsidP="00221BD6">
      <w:pPr>
        <w:pStyle w:val="Bullets"/>
        <w:jc w:val="left"/>
        <w:rPr>
          <w:spacing w:val="-10"/>
        </w:rPr>
      </w:pPr>
      <w:r w:rsidRPr="00FB71FD">
        <w:rPr>
          <w:spacing w:val="-10"/>
        </w:rPr>
        <w:t>UNCRD &amp; SDP. (2015). Construyendo una visión regional común entre Bogotá y sus territorios circunvecinos. Colección: Integración Regional. UNCRD y Secretaría Distrital de Planeación (SDP). Alcaldía Mayor de Bogotá D.C.</w:t>
      </w:r>
    </w:p>
    <w:p w14:paraId="4CD5D9BE" w14:textId="77777777" w:rsidR="00FE4135" w:rsidRPr="00FB71FD" w:rsidRDefault="00FE4135" w:rsidP="00221BD6">
      <w:pPr>
        <w:pStyle w:val="Bullets"/>
        <w:numPr>
          <w:ilvl w:val="0"/>
          <w:numId w:val="0"/>
        </w:numPr>
        <w:ind w:left="714"/>
        <w:jc w:val="left"/>
        <w:rPr>
          <w:spacing w:val="-10"/>
        </w:rPr>
      </w:pPr>
    </w:p>
    <w:p w14:paraId="430F2D1C" w14:textId="77777777" w:rsidR="00FE4135" w:rsidRPr="00FB71FD" w:rsidRDefault="00FE4135" w:rsidP="00221BD6">
      <w:pPr>
        <w:pStyle w:val="Bullets"/>
        <w:jc w:val="left"/>
        <w:rPr>
          <w:spacing w:val="-10"/>
        </w:rPr>
      </w:pPr>
      <w:r w:rsidRPr="00FB71FD">
        <w:rPr>
          <w:spacing w:val="-10"/>
        </w:rPr>
        <w:t xml:space="preserve">UNESCO. (2022). Por qué es importante la atención y educación de la primera infancia. Recuperado de </w:t>
      </w:r>
      <w:hyperlink r:id="rId311" w:history="1">
        <w:r w:rsidRPr="00FB71FD">
          <w:rPr>
            <w:rStyle w:val="Hipervnculo"/>
          </w:rPr>
          <w:t>https://www.unesco.org/es/articles/por-que-es-importante-la-atencion-y-educacion-de-la-primera-infancia?TSPD_101_R0=080713870fab2000c0f6b7052a8d40b77f5a66c77022dc777be798939805eda7587c60b30ded443c0878a1b797143000d4e89a43b384969646fdb888c8197e288afbc47fb7f</w:t>
        </w:r>
      </w:hyperlink>
    </w:p>
    <w:p w14:paraId="384251E8" w14:textId="77777777" w:rsidR="00FE4135" w:rsidRPr="00FB71FD" w:rsidRDefault="00FE4135" w:rsidP="00221BD6">
      <w:pPr>
        <w:pStyle w:val="Bullets"/>
        <w:numPr>
          <w:ilvl w:val="0"/>
          <w:numId w:val="0"/>
        </w:numPr>
        <w:ind w:left="714"/>
        <w:jc w:val="left"/>
        <w:rPr>
          <w:spacing w:val="-10"/>
        </w:rPr>
      </w:pPr>
    </w:p>
    <w:p w14:paraId="634CF6BD" w14:textId="77777777" w:rsidR="00FE4135" w:rsidRPr="00FB71FD" w:rsidRDefault="00FE4135" w:rsidP="00221BD6">
      <w:pPr>
        <w:pStyle w:val="Bullets"/>
        <w:jc w:val="left"/>
        <w:rPr>
          <w:spacing w:val="-10"/>
        </w:rPr>
      </w:pPr>
      <w:r w:rsidRPr="00FB71FD">
        <w:rPr>
          <w:spacing w:val="-10"/>
        </w:rPr>
        <w:t xml:space="preserve">UNICEF. (2023). Desarrollo de la primera infancia. Recuperado de </w:t>
      </w:r>
      <w:hyperlink r:id="rId312" w:history="1">
        <w:r w:rsidRPr="00FB71FD">
          <w:rPr>
            <w:rStyle w:val="Hipervnculo"/>
          </w:rPr>
          <w:t>https://www.unicef.org/lac/desarrollo-de-la-primera-infancia</w:t>
        </w:r>
      </w:hyperlink>
    </w:p>
    <w:p w14:paraId="1AA2991D" w14:textId="77777777" w:rsidR="00FE4135" w:rsidRPr="00FB71FD" w:rsidRDefault="00FE4135" w:rsidP="00221BD6">
      <w:pPr>
        <w:pStyle w:val="Bullets"/>
        <w:numPr>
          <w:ilvl w:val="0"/>
          <w:numId w:val="0"/>
        </w:numPr>
        <w:ind w:left="714"/>
        <w:jc w:val="left"/>
        <w:rPr>
          <w:spacing w:val="-10"/>
        </w:rPr>
      </w:pPr>
    </w:p>
    <w:p w14:paraId="6AD8A8F3" w14:textId="77777777" w:rsidR="00FE4135" w:rsidRPr="00FB71FD" w:rsidRDefault="00FE4135" w:rsidP="00221BD6">
      <w:pPr>
        <w:pStyle w:val="Bullets"/>
        <w:jc w:val="left"/>
        <w:rPr>
          <w:spacing w:val="-10"/>
        </w:rPr>
      </w:pPr>
      <w:r w:rsidRPr="00FB71FD">
        <w:rPr>
          <w:spacing w:val="-10"/>
        </w:rPr>
        <w:t xml:space="preserve">Unidad Administrativa Especial del Servicio Público de Empleo. (2023). Demanda laboral. Anexo estadístico. Recuperado de </w:t>
      </w:r>
      <w:hyperlink r:id="rId313" w:history="1">
        <w:r w:rsidRPr="00FB71FD">
          <w:rPr>
            <w:rStyle w:val="Hipervnculo"/>
          </w:rPr>
          <w:t>https://www.serviciodeempleo.gov.co/estudios-e-investigacion/oferta-y-demanda-laboral/anexo-estadistico-de-demanda-laboral-vacantes</w:t>
        </w:r>
      </w:hyperlink>
    </w:p>
    <w:p w14:paraId="14D6740E" w14:textId="77777777" w:rsidR="00FE4135" w:rsidRPr="00FB71FD" w:rsidRDefault="00FE4135" w:rsidP="00221BD6">
      <w:pPr>
        <w:pStyle w:val="Bullets"/>
        <w:numPr>
          <w:ilvl w:val="0"/>
          <w:numId w:val="0"/>
        </w:numPr>
        <w:ind w:left="714"/>
        <w:jc w:val="left"/>
        <w:rPr>
          <w:spacing w:val="-10"/>
        </w:rPr>
      </w:pPr>
    </w:p>
    <w:p w14:paraId="022F07A5" w14:textId="77777777" w:rsidR="00FE4135" w:rsidRPr="00FB71FD" w:rsidRDefault="00FE4135" w:rsidP="00221BD6">
      <w:pPr>
        <w:pStyle w:val="Bullets"/>
        <w:jc w:val="left"/>
        <w:rPr>
          <w:spacing w:val="-10"/>
        </w:rPr>
      </w:pPr>
      <w:r w:rsidRPr="00FB71FD">
        <w:rPr>
          <w:spacing w:val="-10"/>
        </w:rPr>
        <w:t>Unidad Administrativa del Servicio Público de Empleo. (s.f). Guía del Modelo de Inclusión del Servicio Público de Empleo. Bogotá.</w:t>
      </w:r>
    </w:p>
    <w:p w14:paraId="6144EE26" w14:textId="77777777" w:rsidR="00FE4135" w:rsidRPr="00FB71FD" w:rsidRDefault="00FE4135" w:rsidP="00221BD6">
      <w:pPr>
        <w:pStyle w:val="Bullets"/>
        <w:numPr>
          <w:ilvl w:val="0"/>
          <w:numId w:val="0"/>
        </w:numPr>
        <w:ind w:left="714"/>
        <w:jc w:val="left"/>
        <w:rPr>
          <w:spacing w:val="-10"/>
        </w:rPr>
      </w:pPr>
    </w:p>
    <w:p w14:paraId="2C712444" w14:textId="77777777" w:rsidR="00FE4135" w:rsidRPr="00FB71FD" w:rsidRDefault="00FE4135" w:rsidP="00221BD6">
      <w:pPr>
        <w:pStyle w:val="Bullets"/>
        <w:jc w:val="left"/>
        <w:rPr>
          <w:spacing w:val="-10"/>
        </w:rPr>
      </w:pPr>
      <w:r w:rsidRPr="00FB71FD">
        <w:rPr>
          <w:spacing w:val="-10"/>
        </w:rPr>
        <w:t>Unidad para la Atención y Reparación Integral de Víctimas (UARIV). (2023). Víctimas del conflicto ubicadas en Bogotá D.C.</w:t>
      </w:r>
    </w:p>
    <w:p w14:paraId="0B8903DF" w14:textId="77777777" w:rsidR="00FE4135" w:rsidRPr="00FB71FD" w:rsidRDefault="00FE4135" w:rsidP="00221BD6">
      <w:pPr>
        <w:pStyle w:val="Bullets"/>
        <w:numPr>
          <w:ilvl w:val="0"/>
          <w:numId w:val="0"/>
        </w:numPr>
        <w:ind w:left="714"/>
        <w:jc w:val="left"/>
        <w:rPr>
          <w:spacing w:val="-10"/>
        </w:rPr>
      </w:pPr>
    </w:p>
    <w:p w14:paraId="22663A36" w14:textId="77777777" w:rsidR="00FE4135" w:rsidRPr="00FB71FD" w:rsidRDefault="00FE4135" w:rsidP="00221BD6">
      <w:pPr>
        <w:pStyle w:val="Bullets"/>
        <w:jc w:val="left"/>
        <w:rPr>
          <w:spacing w:val="-10"/>
        </w:rPr>
      </w:pPr>
      <w:r w:rsidRPr="00FB71FD">
        <w:rPr>
          <w:spacing w:val="-10"/>
        </w:rPr>
        <w:t xml:space="preserve">Veeduría Distrital. (2023). Recuperado de </w:t>
      </w:r>
      <w:hyperlink r:id="rId314" w:history="1">
        <w:r w:rsidRPr="00FB71FD">
          <w:rPr>
            <w:rStyle w:val="Hipervnculo"/>
          </w:rPr>
          <w:t>https://www.veeduriadistrital.gov.co/. Obtenido de https://drive.google.com/file/d/1XXZXfNTLMqpQOLbsbx7F5nR64ym2WLer/view</w:t>
        </w:r>
      </w:hyperlink>
    </w:p>
    <w:p w14:paraId="46D3E5EF" w14:textId="77777777" w:rsidR="00FE4135" w:rsidRPr="00FB71FD" w:rsidRDefault="00FE4135" w:rsidP="00221BD6">
      <w:pPr>
        <w:pStyle w:val="Bullets"/>
        <w:numPr>
          <w:ilvl w:val="0"/>
          <w:numId w:val="0"/>
        </w:numPr>
        <w:ind w:left="714"/>
        <w:jc w:val="left"/>
        <w:rPr>
          <w:spacing w:val="-10"/>
        </w:rPr>
      </w:pPr>
    </w:p>
    <w:p w14:paraId="4A28E421" w14:textId="77777777" w:rsidR="00FE4135" w:rsidRPr="00FB71FD" w:rsidRDefault="00FE4135" w:rsidP="00221BD6">
      <w:pPr>
        <w:pStyle w:val="Bullets"/>
        <w:jc w:val="left"/>
        <w:rPr>
          <w:spacing w:val="-10"/>
        </w:rPr>
      </w:pPr>
      <w:r w:rsidRPr="00FB71FD">
        <w:rPr>
          <w:spacing w:val="-10"/>
        </w:rPr>
        <w:t xml:space="preserve">Velásquez, F. &amp; González, E. (2020). ¿Qué ha pasado con la participación ciudadana en Colombia? Fundación Corona. Recuperado de </w:t>
      </w:r>
      <w:hyperlink r:id="rId315" w:history="1">
        <w:r w:rsidRPr="00FB71FD">
          <w:rPr>
            <w:rStyle w:val="Hipervnculo"/>
          </w:rPr>
          <w:t>https://ctppereira.com/wp-content/uploads/2021/11/Velasquez_-_Gonzalez_-_Que_ha_pasado_con_la_participacion_ciudadana_en_Colombia.pdf</w:t>
        </w:r>
      </w:hyperlink>
    </w:p>
    <w:p w14:paraId="1DC4ABD1" w14:textId="77777777" w:rsidR="00FE4135" w:rsidRPr="00FB71FD" w:rsidRDefault="00FE4135" w:rsidP="00221BD6">
      <w:pPr>
        <w:pStyle w:val="Bullets"/>
        <w:numPr>
          <w:ilvl w:val="0"/>
          <w:numId w:val="0"/>
        </w:numPr>
        <w:ind w:left="714"/>
        <w:jc w:val="left"/>
        <w:rPr>
          <w:spacing w:val="-10"/>
        </w:rPr>
      </w:pPr>
    </w:p>
    <w:p w14:paraId="1D0044FF" w14:textId="77777777" w:rsidR="00FE4135" w:rsidRPr="00FB71FD" w:rsidRDefault="00FE4135" w:rsidP="00221BD6">
      <w:pPr>
        <w:pStyle w:val="Bullets"/>
        <w:jc w:val="left"/>
        <w:rPr>
          <w:spacing w:val="-10"/>
          <w:lang w:val="en-US"/>
        </w:rPr>
      </w:pPr>
      <w:r w:rsidRPr="00FB71FD">
        <w:rPr>
          <w:spacing w:val="-10"/>
          <w:lang w:val="en-US"/>
        </w:rPr>
        <w:t>Whitehead, M. (1992). The Concepts and Principles of Equity and Health. International Journal of Health Services, 22(3), 429-45.</w:t>
      </w:r>
    </w:p>
    <w:p w14:paraId="2E63BCD6" w14:textId="77777777" w:rsidR="00FE4135" w:rsidRPr="00FB71FD" w:rsidRDefault="00FE4135" w:rsidP="00221BD6">
      <w:pPr>
        <w:pStyle w:val="Bullets"/>
        <w:numPr>
          <w:ilvl w:val="0"/>
          <w:numId w:val="0"/>
        </w:numPr>
        <w:ind w:left="714"/>
        <w:jc w:val="left"/>
        <w:rPr>
          <w:spacing w:val="-10"/>
          <w:lang w:val="en-US"/>
        </w:rPr>
      </w:pPr>
    </w:p>
    <w:p w14:paraId="43501B2F" w14:textId="77777777" w:rsidR="00FE4135" w:rsidRPr="00FB71FD" w:rsidRDefault="00FE4135" w:rsidP="00221BD6">
      <w:pPr>
        <w:pStyle w:val="Bullets"/>
        <w:jc w:val="left"/>
        <w:rPr>
          <w:spacing w:val="-10"/>
        </w:rPr>
      </w:pPr>
      <w:r w:rsidRPr="00FB71FD">
        <w:rPr>
          <w:spacing w:val="-10"/>
        </w:rPr>
        <w:t xml:space="preserve">World Bank. (11 de Abril de 2023). Banco Mundial. Recuperado de Grupo Banco Mundial: </w:t>
      </w:r>
      <w:hyperlink r:id="rId316" w:anchor=":~:text=La%20educaci%C3%B3n%20es%20un%20derecho,la%20paz%20y%20la%20estabilidad" w:history="1">
        <w:r w:rsidRPr="00FB71FD">
          <w:rPr>
            <w:rStyle w:val="Hipervnculo"/>
          </w:rPr>
          <w:t>https://www.bancomundial.org/es/topic/education/overview#:~:text=La%20educaci%C3%B3n%20es%20un%20derecho,la%20paz%20y%20la%20estabilidad</w:t>
        </w:r>
      </w:hyperlink>
    </w:p>
    <w:p w14:paraId="732FB1D0" w14:textId="77777777" w:rsidR="00FE4135" w:rsidRPr="00FB71FD" w:rsidRDefault="00FE4135" w:rsidP="00221BD6">
      <w:pPr>
        <w:pStyle w:val="Bullets"/>
        <w:numPr>
          <w:ilvl w:val="0"/>
          <w:numId w:val="0"/>
        </w:numPr>
        <w:ind w:left="714"/>
        <w:jc w:val="left"/>
        <w:rPr>
          <w:spacing w:val="-10"/>
        </w:rPr>
      </w:pPr>
    </w:p>
    <w:p w14:paraId="07C56D4E" w14:textId="0AE74C85" w:rsidR="00FE4135" w:rsidRPr="00FB71FD" w:rsidRDefault="00FE4135" w:rsidP="00221BD6">
      <w:pPr>
        <w:pStyle w:val="Bullets"/>
        <w:jc w:val="left"/>
        <w:rPr>
          <w:spacing w:val="-10"/>
        </w:rPr>
      </w:pPr>
      <w:r w:rsidRPr="00FB71FD">
        <w:rPr>
          <w:spacing w:val="-10"/>
        </w:rPr>
        <w:t>World Bank. (2022). Análisis de los referentes sobre la enseñanza y aprendizajes básicos esperados en el primer ciclo (primero a tercer grado). Bogotá.</w:t>
      </w:r>
    </w:p>
    <w:p w14:paraId="3BFEFCD0" w14:textId="77777777" w:rsidR="00FE4135" w:rsidRPr="00FB71FD" w:rsidRDefault="00FE4135" w:rsidP="00221BD6">
      <w:pPr>
        <w:pStyle w:val="Bullets"/>
        <w:numPr>
          <w:ilvl w:val="0"/>
          <w:numId w:val="0"/>
        </w:numPr>
        <w:ind w:left="714"/>
        <w:jc w:val="left"/>
        <w:rPr>
          <w:spacing w:val="-10"/>
        </w:rPr>
      </w:pPr>
    </w:p>
    <w:p w14:paraId="4035893C" w14:textId="77777777" w:rsidR="00FE4135" w:rsidRPr="00FB71FD" w:rsidRDefault="00FE4135" w:rsidP="00221BD6">
      <w:pPr>
        <w:pStyle w:val="Bullets"/>
        <w:jc w:val="left"/>
        <w:rPr>
          <w:spacing w:val="-10"/>
        </w:rPr>
      </w:pPr>
      <w:r w:rsidRPr="00FB71FD">
        <w:rPr>
          <w:spacing w:val="-10"/>
        </w:rPr>
        <w:t>World Bank. (2023). Jornada Única ha enfatizado más la ampliación de su cobertura. Bogotá: No publicado.</w:t>
      </w:r>
      <w:bookmarkEnd w:id="511"/>
    </w:p>
    <w:p w14:paraId="4D306209" w14:textId="77777777" w:rsidR="008C557A" w:rsidRDefault="008C557A">
      <w:pPr>
        <w:spacing w:line="240" w:lineRule="auto"/>
        <w:jc w:val="left"/>
      </w:pPr>
      <w:r>
        <w:br w:type="page"/>
      </w:r>
    </w:p>
    <w:p w14:paraId="5F13A821" w14:textId="277EF958" w:rsidR="00A41BF7" w:rsidRDefault="008C557A" w:rsidP="00FE4135">
      <w:pPr>
        <w:tabs>
          <w:tab w:val="left" w:pos="2484"/>
        </w:tabs>
        <w:jc w:val="left"/>
      </w:pPr>
      <w:r>
        <w:rPr>
          <w:noProof/>
        </w:rPr>
        <w:lastRenderedPageBreak/>
        <w:drawing>
          <wp:anchor distT="0" distB="0" distL="114300" distR="114300" simplePos="0" relativeHeight="251867136" behindDoc="0" locked="0" layoutInCell="1" allowOverlap="1" wp14:anchorId="38F9EB20" wp14:editId="0BDE0D07">
            <wp:simplePos x="0" y="0"/>
            <wp:positionH relativeFrom="page">
              <wp:align>right</wp:align>
            </wp:positionH>
            <wp:positionV relativeFrom="paragraph">
              <wp:posOffset>-1467062</wp:posOffset>
            </wp:positionV>
            <wp:extent cx="7823200" cy="10123777"/>
            <wp:effectExtent l="0" t="0" r="6350" b="0"/>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n 69"/>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7823200" cy="10123777"/>
                    </a:xfrm>
                    <a:prstGeom prst="rect">
                      <a:avLst/>
                    </a:prstGeom>
                  </pic:spPr>
                </pic:pic>
              </a:graphicData>
            </a:graphic>
            <wp14:sizeRelH relativeFrom="page">
              <wp14:pctWidth>0</wp14:pctWidth>
            </wp14:sizeRelH>
            <wp14:sizeRelV relativeFrom="page">
              <wp14:pctHeight>0</wp14:pctHeight>
            </wp14:sizeRelV>
          </wp:anchor>
        </w:drawing>
      </w:r>
    </w:p>
    <w:sectPr w:rsidR="00A41BF7" w:rsidSect="00F7078E">
      <w:headerReference w:type="default" r:id="rId318"/>
      <w:type w:val="continuous"/>
      <w:pgSz w:w="12240" w:h="15840"/>
      <w:pgMar w:top="2262"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77F422" w14:textId="77777777" w:rsidR="00F7078E" w:rsidRDefault="00F7078E" w:rsidP="00911E05">
      <w:r>
        <w:separator/>
      </w:r>
    </w:p>
  </w:endnote>
  <w:endnote w:type="continuationSeparator" w:id="0">
    <w:p w14:paraId="1BD5A128" w14:textId="77777777" w:rsidR="00F7078E" w:rsidRDefault="00F7078E" w:rsidP="00911E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Goudy Stout">
    <w:panose1 w:val="0202090407030B020401"/>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D-DIN Condensed">
    <w:altName w:val="Calibri"/>
    <w:panose1 w:val="00000000000000000000"/>
    <w:charset w:val="00"/>
    <w:family w:val="swiss"/>
    <w:notTrueType/>
    <w:pitch w:val="variable"/>
    <w:sig w:usb0="8000006F" w:usb1="4000000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Times New Roman (Cuerpo en alfa">
    <w:altName w:val="Times New Roman"/>
    <w:panose1 w:val="00000000000000000000"/>
    <w:charset w:val="00"/>
    <w:family w:val="roman"/>
    <w:notTrueType/>
    <w:pitch w:val="default"/>
  </w:font>
  <w:font w:name="Times New Roman (Body C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818570561"/>
      <w:docPartObj>
        <w:docPartGallery w:val="Page Numbers (Bottom of Page)"/>
        <w:docPartUnique/>
      </w:docPartObj>
    </w:sdtPr>
    <w:sdtContent>
      <w:p w14:paraId="2407A99B" w14:textId="77777777" w:rsidR="00911E05" w:rsidRDefault="00911E05"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550262BE" w14:textId="77777777" w:rsidR="00911E05" w:rsidRDefault="00911E05"/>
  <w:p w14:paraId="5792FF25" w14:textId="77777777" w:rsidR="00911E05" w:rsidRDefault="00911E05"/>
  <w:p w14:paraId="3D530C67" w14:textId="77777777" w:rsidR="00911E05" w:rsidRDefault="00911E05"/>
  <w:p w14:paraId="360F9CB7" w14:textId="77777777" w:rsidR="00911E05" w:rsidRDefault="00911E05"/>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78BCC7" w14:textId="77777777" w:rsidR="008C3A64" w:rsidRDefault="008C3A64"/>
  <w:sdt>
    <w:sdtPr>
      <w:rPr>
        <w:rStyle w:val="Nmerodepgina"/>
        <w:b/>
        <w:bCs/>
        <w:color w:val="C00000"/>
        <w:sz w:val="20"/>
        <w:szCs w:val="36"/>
      </w:rPr>
      <w:id w:val="238686329"/>
      <w:docPartObj>
        <w:docPartGallery w:val="Page Numbers (Bottom of Page)"/>
        <w:docPartUnique/>
      </w:docPartObj>
    </w:sdtPr>
    <w:sdtContent>
      <w:p w14:paraId="2EEEF12A" w14:textId="77777777" w:rsidR="008C3A64" w:rsidRPr="00DC7FA5" w:rsidRDefault="008C3A64" w:rsidP="006068D8">
        <w:pPr>
          <w:framePr w:wrap="none" w:vAnchor="text" w:hAnchor="margin" w:xAlign="center" w:y="1"/>
          <w:jc w:val="center"/>
          <w:rPr>
            <w:rStyle w:val="Nmerodepgina"/>
            <w:b/>
            <w:bCs/>
            <w:color w:val="C00000"/>
            <w:sz w:val="20"/>
            <w:szCs w:val="36"/>
          </w:rPr>
        </w:pPr>
        <w:r w:rsidRPr="00DC7FA5">
          <w:rPr>
            <w:rStyle w:val="Nmerodepgina"/>
            <w:b/>
            <w:bCs/>
            <w:color w:val="C00000"/>
            <w:sz w:val="20"/>
            <w:szCs w:val="36"/>
          </w:rPr>
          <w:fldChar w:fldCharType="begin"/>
        </w:r>
        <w:r w:rsidRPr="00DC7FA5">
          <w:rPr>
            <w:rStyle w:val="Nmerodepgina"/>
            <w:b/>
            <w:bCs/>
            <w:color w:val="C00000"/>
            <w:sz w:val="20"/>
            <w:szCs w:val="36"/>
          </w:rPr>
          <w:instrText xml:space="preserve"> PAGE </w:instrText>
        </w:r>
        <w:r w:rsidRPr="00DC7FA5">
          <w:rPr>
            <w:rStyle w:val="Nmerodepgina"/>
            <w:b/>
            <w:bCs/>
            <w:color w:val="C00000"/>
            <w:sz w:val="20"/>
            <w:szCs w:val="36"/>
          </w:rPr>
          <w:fldChar w:fldCharType="separate"/>
        </w:r>
        <w:r w:rsidRPr="00DC7FA5">
          <w:rPr>
            <w:rStyle w:val="Nmerodepgina"/>
            <w:b/>
            <w:bCs/>
            <w:noProof/>
            <w:color w:val="C00000"/>
            <w:sz w:val="20"/>
            <w:szCs w:val="36"/>
          </w:rPr>
          <w:t>2</w:t>
        </w:r>
        <w:r w:rsidRPr="00DC7FA5">
          <w:rPr>
            <w:rStyle w:val="Nmerodepgina"/>
            <w:b/>
            <w:bCs/>
            <w:color w:val="C00000"/>
            <w:sz w:val="20"/>
            <w:szCs w:val="36"/>
          </w:rPr>
          <w:fldChar w:fldCharType="end"/>
        </w:r>
      </w:p>
    </w:sdtContent>
  </w:sdt>
  <w:p w14:paraId="1FA6AE0E" w14:textId="77777777" w:rsidR="008C3A64" w:rsidRDefault="008C3A64" w:rsidP="003B0A5C">
    <w:pPr>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03664201"/>
      <w:docPartObj>
        <w:docPartGallery w:val="Page Numbers (Bottom of Page)"/>
        <w:docPartUnique/>
      </w:docPartObj>
    </w:sdtPr>
    <w:sdtEndPr>
      <w:rPr>
        <w:b/>
        <w:bCs/>
        <w:color w:val="C00000"/>
        <w:sz w:val="24"/>
        <w:szCs w:val="40"/>
      </w:rPr>
    </w:sdtEndPr>
    <w:sdtContent>
      <w:p w14:paraId="125BF68E" w14:textId="5E964E3F" w:rsidR="00DC7FA5" w:rsidRPr="00DC7FA5" w:rsidRDefault="00DC7FA5">
        <w:pPr>
          <w:pStyle w:val="Piedepgina"/>
          <w:jc w:val="center"/>
          <w:rPr>
            <w:b/>
            <w:bCs/>
            <w:color w:val="C00000"/>
            <w:sz w:val="20"/>
            <w:szCs w:val="32"/>
          </w:rPr>
        </w:pPr>
        <w:r w:rsidRPr="00DC7FA5">
          <w:rPr>
            <w:b/>
            <w:bCs/>
            <w:color w:val="C00000"/>
            <w:sz w:val="20"/>
            <w:szCs w:val="32"/>
          </w:rPr>
          <w:fldChar w:fldCharType="begin"/>
        </w:r>
        <w:r w:rsidRPr="00DC7FA5">
          <w:rPr>
            <w:b/>
            <w:bCs/>
            <w:color w:val="C00000"/>
            <w:sz w:val="20"/>
            <w:szCs w:val="32"/>
          </w:rPr>
          <w:instrText>PAGE   \* MERGEFORMAT</w:instrText>
        </w:r>
        <w:r w:rsidRPr="00DC7FA5">
          <w:rPr>
            <w:b/>
            <w:bCs/>
            <w:color w:val="C00000"/>
            <w:sz w:val="20"/>
            <w:szCs w:val="32"/>
          </w:rPr>
          <w:fldChar w:fldCharType="separate"/>
        </w:r>
        <w:r w:rsidRPr="00DC7FA5">
          <w:rPr>
            <w:b/>
            <w:bCs/>
            <w:color w:val="C00000"/>
            <w:sz w:val="20"/>
            <w:szCs w:val="32"/>
            <w:lang w:val="es-ES"/>
          </w:rPr>
          <w:t>2</w:t>
        </w:r>
        <w:r w:rsidRPr="00DC7FA5">
          <w:rPr>
            <w:b/>
            <w:bCs/>
            <w:color w:val="C00000"/>
            <w:sz w:val="20"/>
            <w:szCs w:val="32"/>
          </w:rPr>
          <w:fldChar w:fldCharType="end"/>
        </w:r>
      </w:p>
    </w:sdtContent>
  </w:sdt>
  <w:p w14:paraId="306E1438" w14:textId="77777777" w:rsidR="008C3A64" w:rsidRDefault="008C3A64" w:rsidP="003B0A5C">
    <w:pPr>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99021976"/>
      <w:docPartObj>
        <w:docPartGallery w:val="Page Numbers (Bottom of Page)"/>
        <w:docPartUnique/>
      </w:docPartObj>
    </w:sdtPr>
    <w:sdtEndPr>
      <w:rPr>
        <w:b/>
        <w:bCs/>
        <w:color w:val="C00000"/>
        <w:sz w:val="20"/>
        <w:szCs w:val="32"/>
      </w:rPr>
    </w:sdtEndPr>
    <w:sdtContent>
      <w:p w14:paraId="48837BCF" w14:textId="235EEE2E" w:rsidR="00DC7FA5" w:rsidRPr="00DC7FA5" w:rsidRDefault="00DC7FA5">
        <w:pPr>
          <w:pStyle w:val="Piedepgina"/>
          <w:jc w:val="center"/>
          <w:rPr>
            <w:b/>
            <w:bCs/>
            <w:color w:val="C00000"/>
            <w:sz w:val="20"/>
            <w:szCs w:val="32"/>
          </w:rPr>
        </w:pPr>
        <w:r w:rsidRPr="00DC7FA5">
          <w:rPr>
            <w:b/>
            <w:bCs/>
            <w:color w:val="C00000"/>
            <w:sz w:val="20"/>
            <w:szCs w:val="32"/>
          </w:rPr>
          <w:fldChar w:fldCharType="begin"/>
        </w:r>
        <w:r w:rsidRPr="00DC7FA5">
          <w:rPr>
            <w:b/>
            <w:bCs/>
            <w:color w:val="C00000"/>
            <w:sz w:val="20"/>
            <w:szCs w:val="32"/>
          </w:rPr>
          <w:instrText>PAGE   \* MERGEFORMAT</w:instrText>
        </w:r>
        <w:r w:rsidRPr="00DC7FA5">
          <w:rPr>
            <w:b/>
            <w:bCs/>
            <w:color w:val="C00000"/>
            <w:sz w:val="20"/>
            <w:szCs w:val="32"/>
          </w:rPr>
          <w:fldChar w:fldCharType="separate"/>
        </w:r>
        <w:r w:rsidRPr="00DC7FA5">
          <w:rPr>
            <w:b/>
            <w:bCs/>
            <w:color w:val="C00000"/>
            <w:sz w:val="20"/>
            <w:szCs w:val="32"/>
            <w:lang w:val="es-ES"/>
          </w:rPr>
          <w:t>2</w:t>
        </w:r>
        <w:r w:rsidRPr="00DC7FA5">
          <w:rPr>
            <w:b/>
            <w:bCs/>
            <w:color w:val="C00000"/>
            <w:sz w:val="20"/>
            <w:szCs w:val="32"/>
          </w:rPr>
          <w:fldChar w:fldCharType="end"/>
        </w:r>
      </w:p>
    </w:sdtContent>
  </w:sdt>
  <w:p w14:paraId="4D8AB544" w14:textId="6BCD92BE" w:rsidR="008C3A64" w:rsidRDefault="008C3A64"/>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2004802749"/>
      <w:docPartObj>
        <w:docPartGallery w:val="Page Numbers (Bottom of Page)"/>
        <w:docPartUnique/>
      </w:docPartObj>
    </w:sdtPr>
    <w:sdtContent>
      <w:p w14:paraId="67432AF1" w14:textId="77777777" w:rsidR="0083520B" w:rsidRDefault="0083520B"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16D3490D" w14:textId="77777777" w:rsidR="0083520B" w:rsidRDefault="0083520B"/>
  <w:p w14:paraId="42A647F9" w14:textId="77777777" w:rsidR="0083520B" w:rsidRDefault="0083520B"/>
  <w:p w14:paraId="0023E38B" w14:textId="77777777" w:rsidR="0083520B" w:rsidRDefault="0083520B"/>
  <w:p w14:paraId="7BDCF4EE" w14:textId="77777777" w:rsidR="0083520B" w:rsidRDefault="0083520B"/>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D9940" w14:textId="77777777" w:rsidR="0083520B" w:rsidRDefault="0083520B"/>
  <w:sdt>
    <w:sdtPr>
      <w:rPr>
        <w:rStyle w:val="Nmerodepgina"/>
        <w:color w:val="C00000"/>
        <w:sz w:val="28"/>
        <w:szCs w:val="48"/>
      </w:rPr>
      <w:id w:val="997690541"/>
      <w:docPartObj>
        <w:docPartGallery w:val="Page Numbers (Bottom of Page)"/>
        <w:docPartUnique/>
      </w:docPartObj>
    </w:sdtPr>
    <w:sdtContent>
      <w:p w14:paraId="25ACEBA4" w14:textId="77777777" w:rsidR="0083520B" w:rsidRPr="00D24573" w:rsidRDefault="0083520B" w:rsidP="006068D8">
        <w:pPr>
          <w:framePr w:wrap="none" w:vAnchor="text" w:hAnchor="margin" w:xAlign="center" w:y="1"/>
          <w:jc w:val="center"/>
          <w:rPr>
            <w:rStyle w:val="Nmerodepgina"/>
            <w:color w:val="C00000"/>
            <w:sz w:val="28"/>
            <w:szCs w:val="48"/>
          </w:rPr>
        </w:pPr>
        <w:r w:rsidRPr="00D24573">
          <w:rPr>
            <w:rStyle w:val="Nmerodepgina"/>
            <w:color w:val="C00000"/>
            <w:sz w:val="28"/>
            <w:szCs w:val="48"/>
          </w:rPr>
          <w:fldChar w:fldCharType="begin"/>
        </w:r>
        <w:r w:rsidRPr="00D24573">
          <w:rPr>
            <w:rStyle w:val="Nmerodepgina"/>
            <w:color w:val="C00000"/>
            <w:sz w:val="28"/>
            <w:szCs w:val="48"/>
          </w:rPr>
          <w:instrText xml:space="preserve"> PAGE </w:instrText>
        </w:r>
        <w:r w:rsidRPr="00D24573">
          <w:rPr>
            <w:rStyle w:val="Nmerodepgina"/>
            <w:color w:val="C00000"/>
            <w:sz w:val="28"/>
            <w:szCs w:val="48"/>
          </w:rPr>
          <w:fldChar w:fldCharType="separate"/>
        </w:r>
        <w:r w:rsidRPr="00D24573">
          <w:rPr>
            <w:rStyle w:val="Nmerodepgina"/>
            <w:noProof/>
            <w:color w:val="C00000"/>
            <w:sz w:val="28"/>
            <w:szCs w:val="48"/>
          </w:rPr>
          <w:t>2</w:t>
        </w:r>
        <w:r w:rsidRPr="00D24573">
          <w:rPr>
            <w:rStyle w:val="Nmerodepgina"/>
            <w:color w:val="C00000"/>
            <w:sz w:val="28"/>
            <w:szCs w:val="48"/>
          </w:rPr>
          <w:fldChar w:fldCharType="end"/>
        </w:r>
      </w:p>
    </w:sdtContent>
  </w:sdt>
  <w:p w14:paraId="75D8BFAD" w14:textId="77777777" w:rsidR="0083520B" w:rsidRDefault="0083520B" w:rsidP="003B0A5C">
    <w:pPr>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96586457"/>
      <w:docPartObj>
        <w:docPartGallery w:val="Page Numbers (Bottom of Page)"/>
        <w:docPartUnique/>
      </w:docPartObj>
    </w:sdtPr>
    <w:sdtEndPr>
      <w:rPr>
        <w:b/>
        <w:bCs/>
        <w:color w:val="C00000"/>
        <w:sz w:val="20"/>
        <w:szCs w:val="32"/>
      </w:rPr>
    </w:sdtEndPr>
    <w:sdtContent>
      <w:p w14:paraId="2EADDF33" w14:textId="725B954E" w:rsidR="00DC7FA5" w:rsidRPr="00DC7FA5" w:rsidRDefault="00DC7FA5">
        <w:pPr>
          <w:pStyle w:val="Piedepgina"/>
          <w:jc w:val="center"/>
          <w:rPr>
            <w:b/>
            <w:bCs/>
            <w:color w:val="C00000"/>
            <w:sz w:val="20"/>
            <w:szCs w:val="32"/>
          </w:rPr>
        </w:pPr>
        <w:r w:rsidRPr="00DC7FA5">
          <w:rPr>
            <w:b/>
            <w:bCs/>
            <w:color w:val="C00000"/>
            <w:sz w:val="20"/>
            <w:szCs w:val="32"/>
          </w:rPr>
          <w:fldChar w:fldCharType="begin"/>
        </w:r>
        <w:r w:rsidRPr="00DC7FA5">
          <w:rPr>
            <w:b/>
            <w:bCs/>
            <w:color w:val="C00000"/>
            <w:sz w:val="20"/>
            <w:szCs w:val="32"/>
          </w:rPr>
          <w:instrText>PAGE   \* MERGEFORMAT</w:instrText>
        </w:r>
        <w:r w:rsidRPr="00DC7FA5">
          <w:rPr>
            <w:b/>
            <w:bCs/>
            <w:color w:val="C00000"/>
            <w:sz w:val="20"/>
            <w:szCs w:val="32"/>
          </w:rPr>
          <w:fldChar w:fldCharType="separate"/>
        </w:r>
        <w:r w:rsidRPr="00DC7FA5">
          <w:rPr>
            <w:b/>
            <w:bCs/>
            <w:color w:val="C00000"/>
            <w:sz w:val="20"/>
            <w:szCs w:val="32"/>
            <w:lang w:val="es-ES"/>
          </w:rPr>
          <w:t>2</w:t>
        </w:r>
        <w:r w:rsidRPr="00DC7FA5">
          <w:rPr>
            <w:b/>
            <w:bCs/>
            <w:color w:val="C00000"/>
            <w:sz w:val="20"/>
            <w:szCs w:val="32"/>
          </w:rPr>
          <w:fldChar w:fldCharType="end"/>
        </w:r>
      </w:p>
    </w:sdtContent>
  </w:sdt>
  <w:p w14:paraId="4C0ABA79" w14:textId="3E2BBAE6" w:rsidR="0083520B" w:rsidRDefault="0083520B"/>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739396150"/>
      <w:docPartObj>
        <w:docPartGallery w:val="Page Numbers (Bottom of Page)"/>
        <w:docPartUnique/>
      </w:docPartObj>
    </w:sdtPr>
    <w:sdtContent>
      <w:p w14:paraId="1D4B12FB" w14:textId="77777777" w:rsidR="00F7619F" w:rsidRDefault="00F7619F"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6423F9E7" w14:textId="77777777" w:rsidR="00F7619F" w:rsidRDefault="00F7619F"/>
  <w:p w14:paraId="53370123" w14:textId="77777777" w:rsidR="00F7619F" w:rsidRDefault="00F7619F"/>
  <w:p w14:paraId="00337CFA" w14:textId="77777777" w:rsidR="00F7619F" w:rsidRDefault="00F7619F"/>
  <w:p w14:paraId="524E2D74" w14:textId="77777777" w:rsidR="00F7619F" w:rsidRDefault="00F7619F"/>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6209826"/>
      <w:docPartObj>
        <w:docPartGallery w:val="Page Numbers (Bottom of Page)"/>
        <w:docPartUnique/>
      </w:docPartObj>
    </w:sdtPr>
    <w:sdtContent>
      <w:p w14:paraId="6E1CA289" w14:textId="622D291A" w:rsidR="00DC7FA5" w:rsidRDefault="00DC7FA5">
        <w:pPr>
          <w:pStyle w:val="Piedepgina"/>
          <w:jc w:val="center"/>
        </w:pPr>
        <w:r w:rsidRPr="00DC7FA5">
          <w:rPr>
            <w:b/>
            <w:bCs/>
            <w:color w:val="C00000"/>
            <w:sz w:val="20"/>
            <w:szCs w:val="32"/>
          </w:rPr>
          <w:fldChar w:fldCharType="begin"/>
        </w:r>
        <w:r w:rsidRPr="00DC7FA5">
          <w:rPr>
            <w:b/>
            <w:bCs/>
            <w:color w:val="C00000"/>
            <w:sz w:val="20"/>
            <w:szCs w:val="32"/>
          </w:rPr>
          <w:instrText>PAGE   \* MERGEFORMAT</w:instrText>
        </w:r>
        <w:r w:rsidRPr="00DC7FA5">
          <w:rPr>
            <w:b/>
            <w:bCs/>
            <w:color w:val="C00000"/>
            <w:sz w:val="20"/>
            <w:szCs w:val="32"/>
          </w:rPr>
          <w:fldChar w:fldCharType="separate"/>
        </w:r>
        <w:r w:rsidRPr="00DC7FA5">
          <w:rPr>
            <w:b/>
            <w:bCs/>
            <w:color w:val="C00000"/>
            <w:sz w:val="20"/>
            <w:szCs w:val="32"/>
            <w:lang w:val="es-ES"/>
          </w:rPr>
          <w:t>2</w:t>
        </w:r>
        <w:r w:rsidRPr="00DC7FA5">
          <w:rPr>
            <w:b/>
            <w:bCs/>
            <w:color w:val="C00000"/>
            <w:sz w:val="20"/>
            <w:szCs w:val="32"/>
          </w:rPr>
          <w:fldChar w:fldCharType="end"/>
        </w:r>
      </w:p>
    </w:sdtContent>
  </w:sdt>
  <w:p w14:paraId="42949D23" w14:textId="77777777" w:rsidR="00F7619F" w:rsidRDefault="00F7619F" w:rsidP="003B0A5C">
    <w:pPr>
      <w:jc w:val="lef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8A4CDF" w14:textId="77777777" w:rsidR="003F2AA2" w:rsidRDefault="003F2AA2">
    <w:pPr>
      <w:jc w:val="center"/>
    </w:pPr>
    <w:r>
      <w:fldChar w:fldCharType="begin"/>
    </w:r>
    <w:r>
      <w:instrText>PAGE</w:instrText>
    </w:r>
    <w:r w:rsidR="00000000">
      <w:fldChar w:fldCharType="separate"/>
    </w:r>
    <w:r>
      <w:fldChar w:fldCharType="end"/>
    </w:r>
  </w:p>
  <w:p w14:paraId="7FB3DF46" w14:textId="77777777" w:rsidR="003F2AA2" w:rsidRDefault="003F2AA2"/>
  <w:p w14:paraId="32897F96" w14:textId="77777777" w:rsidR="003F2AA2" w:rsidRDefault="003F2AA2"/>
  <w:p w14:paraId="5FF05A68" w14:textId="77777777" w:rsidR="003F2AA2" w:rsidRDefault="003F2AA2"/>
  <w:p w14:paraId="22C93B79" w14:textId="77777777" w:rsidR="003F2AA2" w:rsidRDefault="003F2AA2"/>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48205898"/>
      <w:docPartObj>
        <w:docPartGallery w:val="Page Numbers (Bottom of Page)"/>
        <w:docPartUnique/>
      </w:docPartObj>
    </w:sdtPr>
    <w:sdtContent>
      <w:p w14:paraId="00ACCAD3" w14:textId="2F16E456" w:rsidR="00612031" w:rsidRDefault="00612031">
        <w:pPr>
          <w:pStyle w:val="Piedepgina"/>
          <w:jc w:val="center"/>
        </w:pPr>
        <w:r w:rsidRPr="00612031">
          <w:rPr>
            <w:b/>
            <w:bCs/>
            <w:color w:val="C00000"/>
            <w:sz w:val="20"/>
            <w:szCs w:val="32"/>
          </w:rPr>
          <w:fldChar w:fldCharType="begin"/>
        </w:r>
        <w:r w:rsidRPr="00612031">
          <w:rPr>
            <w:b/>
            <w:bCs/>
            <w:color w:val="C00000"/>
            <w:sz w:val="20"/>
            <w:szCs w:val="32"/>
          </w:rPr>
          <w:instrText>PAGE   \* MERGEFORMAT</w:instrText>
        </w:r>
        <w:r w:rsidRPr="00612031">
          <w:rPr>
            <w:b/>
            <w:bCs/>
            <w:color w:val="C00000"/>
            <w:sz w:val="20"/>
            <w:szCs w:val="32"/>
          </w:rPr>
          <w:fldChar w:fldCharType="separate"/>
        </w:r>
        <w:r w:rsidRPr="00612031">
          <w:rPr>
            <w:b/>
            <w:bCs/>
            <w:color w:val="C00000"/>
            <w:sz w:val="20"/>
            <w:szCs w:val="32"/>
            <w:lang w:val="es-ES"/>
          </w:rPr>
          <w:t>2</w:t>
        </w:r>
        <w:r w:rsidRPr="00612031">
          <w:rPr>
            <w:b/>
            <w:bCs/>
            <w:color w:val="C00000"/>
            <w:sz w:val="20"/>
            <w:szCs w:val="32"/>
          </w:rPr>
          <w:fldChar w:fldCharType="end"/>
        </w:r>
      </w:p>
    </w:sdtContent>
  </w:sdt>
  <w:p w14:paraId="5748891B" w14:textId="77777777" w:rsidR="003F2AA2" w:rsidRDefault="003F2AA2">
    <w:pPr>
      <w:pBdr>
        <w:top w:val="nil"/>
        <w:left w:val="nil"/>
        <w:bottom w:val="nil"/>
        <w:right w:val="nil"/>
        <w:between w:val="nil"/>
      </w:pBdr>
      <w:tabs>
        <w:tab w:val="center" w:pos="4419"/>
        <w:tab w:val="right" w:pos="8838"/>
      </w:tabs>
      <w:spacing w:line="240" w:lineRule="auto"/>
      <w:rPr>
        <w:rFonts w:ascii="Times New Roman" w:hAnsi="Times New Roman"/>
        <w:color w:val="3B3838"/>
        <w:sz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D6A827" w14:textId="4B613E31" w:rsidR="009B22A6" w:rsidRPr="009B22A6" w:rsidRDefault="009B22A6">
    <w:pPr>
      <w:pStyle w:val="Piedepgina"/>
      <w:jc w:val="center"/>
      <w:rPr>
        <w:b/>
        <w:bCs/>
        <w:color w:val="C00000"/>
        <w:sz w:val="20"/>
        <w:szCs w:val="32"/>
      </w:rPr>
    </w:pPr>
  </w:p>
  <w:p w14:paraId="73014EC5" w14:textId="77777777" w:rsidR="00911E05" w:rsidRDefault="00911E05" w:rsidP="003B0A5C">
    <w:pPr>
      <w:jc w:val="lef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93334669"/>
      <w:docPartObj>
        <w:docPartGallery w:val="Page Numbers (Bottom of Page)"/>
        <w:docPartUnique/>
      </w:docPartObj>
    </w:sdtPr>
    <w:sdtEndPr>
      <w:rPr>
        <w:b/>
        <w:bCs/>
        <w:color w:val="C00000"/>
        <w:sz w:val="20"/>
        <w:szCs w:val="32"/>
      </w:rPr>
    </w:sdtEndPr>
    <w:sdtContent>
      <w:p w14:paraId="3C54328F" w14:textId="4E4002F2" w:rsidR="00F85188" w:rsidRPr="00F85188" w:rsidRDefault="00F85188">
        <w:pPr>
          <w:pStyle w:val="Piedepgina"/>
          <w:jc w:val="center"/>
          <w:rPr>
            <w:b/>
            <w:bCs/>
            <w:color w:val="C00000"/>
            <w:sz w:val="20"/>
            <w:szCs w:val="32"/>
          </w:rPr>
        </w:pPr>
        <w:r w:rsidRPr="00F85188">
          <w:rPr>
            <w:b/>
            <w:bCs/>
            <w:color w:val="C00000"/>
            <w:sz w:val="20"/>
            <w:szCs w:val="32"/>
          </w:rPr>
          <w:fldChar w:fldCharType="begin"/>
        </w:r>
        <w:r w:rsidRPr="00F85188">
          <w:rPr>
            <w:b/>
            <w:bCs/>
            <w:color w:val="C00000"/>
            <w:sz w:val="20"/>
            <w:szCs w:val="32"/>
          </w:rPr>
          <w:instrText>PAGE   \* MERGEFORMAT</w:instrText>
        </w:r>
        <w:r w:rsidRPr="00F85188">
          <w:rPr>
            <w:b/>
            <w:bCs/>
            <w:color w:val="C00000"/>
            <w:sz w:val="20"/>
            <w:szCs w:val="32"/>
          </w:rPr>
          <w:fldChar w:fldCharType="separate"/>
        </w:r>
        <w:r w:rsidRPr="00F85188">
          <w:rPr>
            <w:b/>
            <w:bCs/>
            <w:color w:val="C00000"/>
            <w:sz w:val="20"/>
            <w:szCs w:val="32"/>
            <w:lang w:val="es-ES"/>
          </w:rPr>
          <w:t>2</w:t>
        </w:r>
        <w:r w:rsidRPr="00F85188">
          <w:rPr>
            <w:b/>
            <w:bCs/>
            <w:color w:val="C00000"/>
            <w:sz w:val="20"/>
            <w:szCs w:val="32"/>
          </w:rPr>
          <w:fldChar w:fldCharType="end"/>
        </w:r>
      </w:p>
    </w:sdtContent>
  </w:sdt>
  <w:p w14:paraId="45470D93" w14:textId="77777777" w:rsidR="002D1EA8" w:rsidRDefault="002D1EA8">
    <w:pPr>
      <w:pBdr>
        <w:top w:val="nil"/>
        <w:left w:val="nil"/>
        <w:bottom w:val="nil"/>
        <w:right w:val="nil"/>
        <w:between w:val="nil"/>
      </w:pBdr>
      <w:tabs>
        <w:tab w:val="center" w:pos="4419"/>
        <w:tab w:val="right" w:pos="8838"/>
      </w:tabs>
      <w:rPr>
        <w:rFonts w:ascii="Times New Roman" w:hAnsi="Times New Roman"/>
        <w:color w:val="3B3838"/>
        <w:sz w:val="24"/>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5FAA5" w14:textId="77777777" w:rsidR="00FA4F64" w:rsidRDefault="00FA4F64">
    <w:pPr>
      <w:jc w:val="center"/>
    </w:pPr>
    <w:r>
      <w:fldChar w:fldCharType="begin"/>
    </w:r>
    <w:r>
      <w:instrText>PAGE</w:instrText>
    </w:r>
    <w:r>
      <w:fldChar w:fldCharType="end"/>
    </w:r>
  </w:p>
  <w:p w14:paraId="04FD480A" w14:textId="77777777" w:rsidR="00FA4F64" w:rsidRDefault="00FA4F64"/>
  <w:p w14:paraId="03C14EAD" w14:textId="77777777" w:rsidR="00FA4F64" w:rsidRDefault="00FA4F64"/>
  <w:p w14:paraId="29F3E850" w14:textId="77777777" w:rsidR="00FA4F64" w:rsidRDefault="00FA4F64"/>
  <w:p w14:paraId="0D241803" w14:textId="77777777" w:rsidR="00FA4F64" w:rsidRDefault="00FA4F64"/>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708B51" w14:textId="77777777" w:rsidR="00EF1D5F" w:rsidRDefault="00EF1D5F">
    <w:pPr>
      <w:jc w:val="center"/>
    </w:pPr>
    <w:r>
      <w:fldChar w:fldCharType="begin"/>
    </w:r>
    <w:r>
      <w:instrText>PAGE</w:instrText>
    </w:r>
    <w:r>
      <w:fldChar w:fldCharType="end"/>
    </w:r>
  </w:p>
  <w:p w14:paraId="4B9D86D4" w14:textId="77777777" w:rsidR="00EF1D5F" w:rsidRDefault="00EF1D5F"/>
  <w:p w14:paraId="754A5C23" w14:textId="77777777" w:rsidR="00EF1D5F" w:rsidRDefault="00EF1D5F"/>
  <w:p w14:paraId="40BDA4D9" w14:textId="77777777" w:rsidR="00EF1D5F" w:rsidRDefault="00EF1D5F"/>
  <w:p w14:paraId="4669F5AB" w14:textId="77777777" w:rsidR="00EF1D5F" w:rsidRDefault="00EF1D5F"/>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4794258"/>
      <w:docPartObj>
        <w:docPartGallery w:val="Page Numbers (Bottom of Page)"/>
        <w:docPartUnique/>
      </w:docPartObj>
    </w:sdtPr>
    <w:sdtContent>
      <w:p w14:paraId="67097590" w14:textId="368C0493" w:rsidR="00F85188" w:rsidRDefault="00F85188">
        <w:pPr>
          <w:pStyle w:val="Piedepgina"/>
          <w:jc w:val="center"/>
        </w:pPr>
        <w:r w:rsidRPr="00F85188">
          <w:rPr>
            <w:b/>
            <w:bCs/>
            <w:color w:val="C00000"/>
            <w:sz w:val="20"/>
            <w:szCs w:val="32"/>
          </w:rPr>
          <w:fldChar w:fldCharType="begin"/>
        </w:r>
        <w:r w:rsidRPr="00F85188">
          <w:rPr>
            <w:b/>
            <w:bCs/>
            <w:color w:val="C00000"/>
            <w:sz w:val="20"/>
            <w:szCs w:val="32"/>
          </w:rPr>
          <w:instrText>PAGE   \* MERGEFORMAT</w:instrText>
        </w:r>
        <w:r w:rsidRPr="00F85188">
          <w:rPr>
            <w:b/>
            <w:bCs/>
            <w:color w:val="C00000"/>
            <w:sz w:val="20"/>
            <w:szCs w:val="32"/>
          </w:rPr>
          <w:fldChar w:fldCharType="separate"/>
        </w:r>
        <w:r w:rsidRPr="00F85188">
          <w:rPr>
            <w:b/>
            <w:bCs/>
            <w:color w:val="C00000"/>
            <w:sz w:val="20"/>
            <w:szCs w:val="32"/>
            <w:lang w:val="es-ES"/>
          </w:rPr>
          <w:t>2</w:t>
        </w:r>
        <w:r w:rsidRPr="00F85188">
          <w:rPr>
            <w:b/>
            <w:bCs/>
            <w:color w:val="C00000"/>
            <w:sz w:val="20"/>
            <w:szCs w:val="32"/>
          </w:rPr>
          <w:fldChar w:fldCharType="end"/>
        </w:r>
      </w:p>
    </w:sdtContent>
  </w:sdt>
  <w:p w14:paraId="7C819D8B" w14:textId="77777777" w:rsidR="00EF1D5F" w:rsidRDefault="00EF1D5F"/>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994403131"/>
      <w:docPartObj>
        <w:docPartGallery w:val="Page Numbers (Bottom of Page)"/>
        <w:docPartUnique/>
      </w:docPartObj>
    </w:sdtPr>
    <w:sdtContent>
      <w:p w14:paraId="613C4450" w14:textId="77777777" w:rsidR="006B728F" w:rsidRDefault="006B728F"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0158F19" w14:textId="77777777" w:rsidR="006B728F" w:rsidRDefault="006B728F"/>
  <w:p w14:paraId="361F8A59" w14:textId="77777777" w:rsidR="006B728F" w:rsidRDefault="006B728F"/>
  <w:p w14:paraId="730B511F" w14:textId="77777777" w:rsidR="006B728F" w:rsidRDefault="006B728F"/>
  <w:p w14:paraId="1433F578" w14:textId="77777777" w:rsidR="006B728F" w:rsidRDefault="006B728F"/>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341353161"/>
      <w:docPartObj>
        <w:docPartGallery w:val="Page Numbers (Bottom of Page)"/>
        <w:docPartUnique/>
      </w:docPartObj>
    </w:sdtPr>
    <w:sdtContent>
      <w:p w14:paraId="6498E4CC" w14:textId="77777777" w:rsidR="006B728F" w:rsidRDefault="006B728F"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588E4544" w14:textId="77777777" w:rsidR="006B728F" w:rsidRDefault="006B728F"/>
  <w:p w14:paraId="650435C4" w14:textId="77777777" w:rsidR="006B728F" w:rsidRDefault="006B728F"/>
  <w:p w14:paraId="6D8F87E7" w14:textId="77777777" w:rsidR="006B728F" w:rsidRDefault="006B728F"/>
  <w:p w14:paraId="365D91BE" w14:textId="77777777" w:rsidR="006B728F" w:rsidRDefault="006B728F"/>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58894650"/>
      <w:docPartObj>
        <w:docPartGallery w:val="Page Numbers (Bottom of Page)"/>
        <w:docPartUnique/>
      </w:docPartObj>
    </w:sdtPr>
    <w:sdtContent>
      <w:p w14:paraId="7714D32A" w14:textId="6BABEAD2" w:rsidR="00202FF9" w:rsidRDefault="00202FF9">
        <w:pPr>
          <w:pStyle w:val="Piedepgina"/>
          <w:jc w:val="center"/>
        </w:pPr>
        <w:r w:rsidRPr="00202FF9">
          <w:rPr>
            <w:b/>
            <w:bCs/>
            <w:color w:val="C00000"/>
            <w:sz w:val="20"/>
            <w:szCs w:val="32"/>
          </w:rPr>
          <w:fldChar w:fldCharType="begin"/>
        </w:r>
        <w:r w:rsidRPr="00202FF9">
          <w:rPr>
            <w:b/>
            <w:bCs/>
            <w:color w:val="C00000"/>
            <w:sz w:val="20"/>
            <w:szCs w:val="32"/>
          </w:rPr>
          <w:instrText>PAGE   \* MERGEFORMAT</w:instrText>
        </w:r>
        <w:r w:rsidRPr="00202FF9">
          <w:rPr>
            <w:b/>
            <w:bCs/>
            <w:color w:val="C00000"/>
            <w:sz w:val="20"/>
            <w:szCs w:val="32"/>
          </w:rPr>
          <w:fldChar w:fldCharType="separate"/>
        </w:r>
        <w:r w:rsidRPr="00202FF9">
          <w:rPr>
            <w:b/>
            <w:bCs/>
            <w:color w:val="C00000"/>
            <w:sz w:val="20"/>
            <w:szCs w:val="32"/>
            <w:lang w:val="es-ES"/>
          </w:rPr>
          <w:t>2</w:t>
        </w:r>
        <w:r w:rsidRPr="00202FF9">
          <w:rPr>
            <w:b/>
            <w:bCs/>
            <w:color w:val="C00000"/>
            <w:sz w:val="20"/>
            <w:szCs w:val="32"/>
          </w:rPr>
          <w:fldChar w:fldCharType="end"/>
        </w:r>
      </w:p>
    </w:sdtContent>
  </w:sdt>
  <w:p w14:paraId="6C98CEFD" w14:textId="77777777" w:rsidR="006B728F" w:rsidRDefault="006B728F" w:rsidP="003B0A5C">
    <w:pPr>
      <w:jc w:val="lef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C85360" w14:textId="77777777" w:rsidR="006B728F" w:rsidRDefault="006B728F">
    <w:pPr>
      <w:jc w:val="center"/>
    </w:pPr>
    <w:r>
      <w:fldChar w:fldCharType="begin"/>
    </w:r>
    <w:r>
      <w:instrText>PAGE</w:instrText>
    </w:r>
    <w:r w:rsidR="00000000">
      <w:fldChar w:fldCharType="separate"/>
    </w:r>
    <w:r>
      <w:fldChar w:fldCharType="end"/>
    </w:r>
  </w:p>
  <w:p w14:paraId="66338FFF" w14:textId="77777777" w:rsidR="006B728F" w:rsidRDefault="006B728F"/>
  <w:p w14:paraId="632808DE" w14:textId="77777777" w:rsidR="006B728F" w:rsidRDefault="006B728F"/>
  <w:p w14:paraId="11E927AF" w14:textId="77777777" w:rsidR="006B728F" w:rsidRDefault="006B728F"/>
  <w:p w14:paraId="38A421CB" w14:textId="77777777" w:rsidR="006B728F" w:rsidRDefault="006B728F"/>
  <w:p w14:paraId="0BB12B96" w14:textId="77777777" w:rsidR="006B728F" w:rsidRDefault="006B728F"/>
  <w:p w14:paraId="26E1CDDE" w14:textId="77777777" w:rsidR="006B728F" w:rsidRDefault="006B728F"/>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7072128"/>
      <w:docPartObj>
        <w:docPartGallery w:val="Page Numbers (Bottom of Page)"/>
        <w:docPartUnique/>
      </w:docPartObj>
    </w:sdtPr>
    <w:sdtContent>
      <w:p w14:paraId="601A27F6" w14:textId="2986AD53" w:rsidR="00202FF9" w:rsidRDefault="00202FF9">
        <w:pPr>
          <w:pStyle w:val="Piedepgina"/>
          <w:jc w:val="center"/>
        </w:pPr>
        <w:r w:rsidRPr="00202FF9">
          <w:rPr>
            <w:b/>
            <w:bCs/>
            <w:color w:val="C00000"/>
            <w:sz w:val="20"/>
            <w:szCs w:val="32"/>
          </w:rPr>
          <w:fldChar w:fldCharType="begin"/>
        </w:r>
        <w:r w:rsidRPr="00202FF9">
          <w:rPr>
            <w:b/>
            <w:bCs/>
            <w:color w:val="C00000"/>
            <w:sz w:val="20"/>
            <w:szCs w:val="32"/>
          </w:rPr>
          <w:instrText>PAGE   \* MERGEFORMAT</w:instrText>
        </w:r>
        <w:r w:rsidRPr="00202FF9">
          <w:rPr>
            <w:b/>
            <w:bCs/>
            <w:color w:val="C00000"/>
            <w:sz w:val="20"/>
            <w:szCs w:val="32"/>
          </w:rPr>
          <w:fldChar w:fldCharType="separate"/>
        </w:r>
        <w:r w:rsidRPr="00202FF9">
          <w:rPr>
            <w:b/>
            <w:bCs/>
            <w:color w:val="C00000"/>
            <w:sz w:val="20"/>
            <w:szCs w:val="32"/>
            <w:lang w:val="es-ES"/>
          </w:rPr>
          <w:t>2</w:t>
        </w:r>
        <w:r w:rsidRPr="00202FF9">
          <w:rPr>
            <w:b/>
            <w:bCs/>
            <w:color w:val="C00000"/>
            <w:sz w:val="20"/>
            <w:szCs w:val="32"/>
          </w:rPr>
          <w:fldChar w:fldCharType="end"/>
        </w:r>
      </w:p>
    </w:sdtContent>
  </w:sdt>
  <w:p w14:paraId="5C48107A" w14:textId="77777777" w:rsidR="006B728F" w:rsidRDefault="006B728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85880" w14:textId="038BECA7" w:rsidR="009E3DD2" w:rsidRPr="009B22A6" w:rsidRDefault="009E3DD2">
    <w:pPr>
      <w:pStyle w:val="Piedepgina"/>
      <w:jc w:val="center"/>
      <w:rPr>
        <w:b/>
        <w:bCs/>
        <w:color w:val="C00000"/>
        <w:sz w:val="20"/>
        <w:szCs w:val="32"/>
      </w:rPr>
    </w:pPr>
  </w:p>
  <w:p w14:paraId="4B87E3F1" w14:textId="77777777" w:rsidR="009E3DD2" w:rsidRDefault="009E3DD2" w:rsidP="003B0A5C">
    <w:pPr>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30051883"/>
      <w:docPartObj>
        <w:docPartGallery w:val="Page Numbers (Bottom of Page)"/>
        <w:docPartUnique/>
      </w:docPartObj>
    </w:sdtPr>
    <w:sdtEndPr>
      <w:rPr>
        <w:b/>
        <w:bCs/>
        <w:color w:val="C00000"/>
        <w:sz w:val="20"/>
        <w:szCs w:val="32"/>
      </w:rPr>
    </w:sdtEndPr>
    <w:sdtContent>
      <w:p w14:paraId="04636DFC" w14:textId="77777777" w:rsidR="004E5157" w:rsidRPr="009B22A6" w:rsidRDefault="004E5157">
        <w:pPr>
          <w:pStyle w:val="Piedepgina"/>
          <w:jc w:val="center"/>
          <w:rPr>
            <w:b/>
            <w:bCs/>
            <w:color w:val="C00000"/>
            <w:sz w:val="20"/>
            <w:szCs w:val="32"/>
          </w:rPr>
        </w:pPr>
        <w:r w:rsidRPr="009B22A6">
          <w:rPr>
            <w:b/>
            <w:bCs/>
            <w:color w:val="C00000"/>
            <w:sz w:val="20"/>
            <w:szCs w:val="32"/>
          </w:rPr>
          <w:fldChar w:fldCharType="begin"/>
        </w:r>
        <w:r w:rsidRPr="009B22A6">
          <w:rPr>
            <w:b/>
            <w:bCs/>
            <w:color w:val="C00000"/>
            <w:sz w:val="20"/>
            <w:szCs w:val="32"/>
          </w:rPr>
          <w:instrText>PAGE   \* MERGEFORMAT</w:instrText>
        </w:r>
        <w:r w:rsidRPr="009B22A6">
          <w:rPr>
            <w:b/>
            <w:bCs/>
            <w:color w:val="C00000"/>
            <w:sz w:val="20"/>
            <w:szCs w:val="32"/>
          </w:rPr>
          <w:fldChar w:fldCharType="separate"/>
        </w:r>
        <w:r w:rsidRPr="009B22A6">
          <w:rPr>
            <w:b/>
            <w:bCs/>
            <w:color w:val="C00000"/>
            <w:sz w:val="20"/>
            <w:szCs w:val="32"/>
            <w:lang w:val="es-ES"/>
          </w:rPr>
          <w:t>2</w:t>
        </w:r>
        <w:r w:rsidRPr="009B22A6">
          <w:rPr>
            <w:b/>
            <w:bCs/>
            <w:color w:val="C00000"/>
            <w:sz w:val="20"/>
            <w:szCs w:val="32"/>
          </w:rPr>
          <w:fldChar w:fldCharType="end"/>
        </w:r>
      </w:p>
    </w:sdtContent>
  </w:sdt>
  <w:p w14:paraId="757F029C" w14:textId="77777777" w:rsidR="004E5157" w:rsidRDefault="004E5157" w:rsidP="003B0A5C">
    <w:pPr>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464849695"/>
      <w:docPartObj>
        <w:docPartGallery w:val="Page Numbers (Bottom of Page)"/>
        <w:docPartUnique/>
      </w:docPartObj>
    </w:sdtPr>
    <w:sdtContent>
      <w:p w14:paraId="0BD93509" w14:textId="77777777" w:rsidR="003102A9" w:rsidRDefault="003102A9"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26D4444E" w14:textId="77777777" w:rsidR="003102A9" w:rsidRDefault="003102A9"/>
  <w:p w14:paraId="384D3A5B" w14:textId="77777777" w:rsidR="003102A9" w:rsidRDefault="003102A9"/>
  <w:p w14:paraId="05C47C9E" w14:textId="77777777" w:rsidR="003102A9" w:rsidRDefault="003102A9"/>
  <w:p w14:paraId="5DED7EC8" w14:textId="77777777" w:rsidR="003102A9" w:rsidRDefault="003102A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996F7" w14:textId="77777777" w:rsidR="003102A9" w:rsidRDefault="003102A9"/>
  <w:p w14:paraId="278158CD" w14:textId="77777777" w:rsidR="003102A9" w:rsidRDefault="003102A9" w:rsidP="003B0A5C">
    <w:pPr>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3847050"/>
      <w:docPartObj>
        <w:docPartGallery w:val="Page Numbers (Bottom of Page)"/>
        <w:docPartUnique/>
      </w:docPartObj>
    </w:sdtPr>
    <w:sdtEndPr>
      <w:rPr>
        <w:b/>
        <w:bCs/>
        <w:color w:val="C00000"/>
        <w:sz w:val="20"/>
        <w:szCs w:val="32"/>
        <w:lang w:val="es-ES"/>
      </w:rPr>
    </w:sdtEndPr>
    <w:sdtContent>
      <w:p w14:paraId="0CB50987" w14:textId="2858E1D5" w:rsidR="00DC7FA5" w:rsidRPr="00DC7FA5" w:rsidRDefault="00DC7FA5">
        <w:pPr>
          <w:pStyle w:val="Piedepgina"/>
          <w:jc w:val="center"/>
          <w:rPr>
            <w:b/>
            <w:bCs/>
            <w:color w:val="C00000"/>
            <w:sz w:val="20"/>
            <w:szCs w:val="32"/>
            <w:lang w:val="es-ES"/>
          </w:rPr>
        </w:pPr>
        <w:r w:rsidRPr="00DC7FA5">
          <w:rPr>
            <w:b/>
            <w:bCs/>
            <w:color w:val="C00000"/>
            <w:sz w:val="20"/>
            <w:szCs w:val="32"/>
            <w:lang w:val="es-ES"/>
          </w:rPr>
          <w:fldChar w:fldCharType="begin"/>
        </w:r>
        <w:r w:rsidRPr="00DC7FA5">
          <w:rPr>
            <w:b/>
            <w:bCs/>
            <w:color w:val="C00000"/>
            <w:sz w:val="20"/>
            <w:szCs w:val="32"/>
            <w:lang w:val="es-ES"/>
          </w:rPr>
          <w:instrText>PAGE   \* MERGEFORMAT</w:instrText>
        </w:r>
        <w:r w:rsidRPr="00DC7FA5">
          <w:rPr>
            <w:b/>
            <w:bCs/>
            <w:color w:val="C00000"/>
            <w:sz w:val="20"/>
            <w:szCs w:val="32"/>
            <w:lang w:val="es-ES"/>
          </w:rPr>
          <w:fldChar w:fldCharType="separate"/>
        </w:r>
        <w:r w:rsidRPr="00DC7FA5">
          <w:rPr>
            <w:b/>
            <w:bCs/>
            <w:color w:val="C00000"/>
            <w:sz w:val="20"/>
            <w:szCs w:val="32"/>
            <w:lang w:val="es-ES"/>
          </w:rPr>
          <w:t>2</w:t>
        </w:r>
        <w:r w:rsidRPr="00DC7FA5">
          <w:rPr>
            <w:b/>
            <w:bCs/>
            <w:color w:val="C00000"/>
            <w:sz w:val="20"/>
            <w:szCs w:val="32"/>
            <w:lang w:val="es-ES"/>
          </w:rPr>
          <w:fldChar w:fldCharType="end"/>
        </w:r>
      </w:p>
    </w:sdtContent>
  </w:sdt>
  <w:p w14:paraId="028C7DF4" w14:textId="77777777" w:rsidR="003102A9" w:rsidRDefault="003102A9" w:rsidP="003B0A5C">
    <w:pPr>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B7378" w14:textId="77777777" w:rsidR="00C62C3B" w:rsidRDefault="00C62C3B">
    <w:pPr>
      <w:pBdr>
        <w:top w:val="nil"/>
        <w:left w:val="nil"/>
        <w:bottom w:val="nil"/>
        <w:right w:val="nil"/>
        <w:between w:val="nil"/>
      </w:pBdr>
      <w:tabs>
        <w:tab w:val="center" w:pos="4419"/>
        <w:tab w:val="right" w:pos="8838"/>
      </w:tabs>
      <w:spacing w:line="200" w:lineRule="auto"/>
      <w:jc w:val="center"/>
      <w:rPr>
        <w:color w:val="3B3838"/>
        <w:sz w:val="16"/>
        <w:szCs w:val="16"/>
      </w:rPr>
    </w:pPr>
    <w:r>
      <w:rPr>
        <w:color w:val="3B3838"/>
        <w:sz w:val="16"/>
        <w:szCs w:val="16"/>
      </w:rPr>
      <w:fldChar w:fldCharType="begin"/>
    </w:r>
    <w:r>
      <w:rPr>
        <w:color w:val="3B3838"/>
        <w:sz w:val="16"/>
        <w:szCs w:val="16"/>
      </w:rPr>
      <w:instrText>PAGE</w:instrText>
    </w:r>
    <w:r w:rsidR="00000000">
      <w:rPr>
        <w:color w:val="3B3838"/>
        <w:sz w:val="16"/>
        <w:szCs w:val="16"/>
      </w:rPr>
      <w:fldChar w:fldCharType="separate"/>
    </w:r>
    <w:r>
      <w:rPr>
        <w:color w:val="3B3838"/>
        <w:sz w:val="16"/>
        <w:szCs w:val="16"/>
      </w:rPr>
      <w:fldChar w:fldCharType="end"/>
    </w:r>
  </w:p>
  <w:p w14:paraId="31299431" w14:textId="77777777" w:rsidR="00C62C3B" w:rsidRDefault="00C62C3B">
    <w:pPr>
      <w:pBdr>
        <w:top w:val="nil"/>
        <w:left w:val="nil"/>
        <w:bottom w:val="nil"/>
        <w:right w:val="nil"/>
        <w:between w:val="nil"/>
      </w:pBdr>
      <w:tabs>
        <w:tab w:val="center" w:pos="4419"/>
        <w:tab w:val="right" w:pos="8838"/>
      </w:tabs>
      <w:spacing w:line="200" w:lineRule="auto"/>
      <w:rPr>
        <w:color w:val="3B3838"/>
        <w:sz w:val="16"/>
        <w:szCs w:val="16"/>
      </w:rPr>
    </w:pPr>
  </w:p>
  <w:p w14:paraId="2326EE39" w14:textId="77777777" w:rsidR="00C62C3B" w:rsidRDefault="00C62C3B"/>
  <w:p w14:paraId="278DD30E" w14:textId="77777777" w:rsidR="00C62C3B" w:rsidRDefault="00C62C3B"/>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209137007"/>
      <w:docPartObj>
        <w:docPartGallery w:val="Page Numbers (Bottom of Page)"/>
        <w:docPartUnique/>
      </w:docPartObj>
    </w:sdtPr>
    <w:sdtContent>
      <w:p w14:paraId="597E1DCA" w14:textId="77777777" w:rsidR="008C3A64" w:rsidRDefault="008C3A64" w:rsidP="006068D8">
        <w:pPr>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sdtContent>
  </w:sdt>
  <w:p w14:paraId="5649B269" w14:textId="77777777" w:rsidR="008C3A64" w:rsidRDefault="008C3A64"/>
  <w:p w14:paraId="644E52CA" w14:textId="77777777" w:rsidR="008C3A64" w:rsidRDefault="008C3A64"/>
  <w:p w14:paraId="2BCAF7C2" w14:textId="77777777" w:rsidR="008C3A64" w:rsidRDefault="008C3A64"/>
  <w:p w14:paraId="248FA84B" w14:textId="77777777" w:rsidR="008C3A64" w:rsidRDefault="008C3A6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73985C" w14:textId="77777777" w:rsidR="00F7078E" w:rsidRDefault="00F7078E" w:rsidP="00911E05">
      <w:r>
        <w:separator/>
      </w:r>
    </w:p>
  </w:footnote>
  <w:footnote w:type="continuationSeparator" w:id="0">
    <w:p w14:paraId="58F6D8CB" w14:textId="77777777" w:rsidR="00F7078E" w:rsidRDefault="00F7078E" w:rsidP="00911E05">
      <w:r>
        <w:continuationSeparator/>
      </w:r>
    </w:p>
  </w:footnote>
  <w:footnote w:id="1">
    <w:p w14:paraId="39E338DC" w14:textId="77777777" w:rsidR="008C3A64" w:rsidRPr="0060633E" w:rsidRDefault="008C3A64" w:rsidP="00FD08B2">
      <w:pPr>
        <w:pStyle w:val="Piedepgina"/>
      </w:pPr>
      <w:r w:rsidRPr="00167A47">
        <w:rPr>
          <w:rStyle w:val="Refdenotaalpie"/>
          <w:color w:val="C00000"/>
          <w:szCs w:val="16"/>
          <w:vertAlign w:val="baseline"/>
        </w:rPr>
        <w:footnoteRef/>
      </w:r>
      <w:r w:rsidRPr="00167A47">
        <w:rPr>
          <w:color w:val="C00000"/>
        </w:rPr>
        <w:t xml:space="preserve"> </w:t>
      </w:r>
      <w:r w:rsidRPr="0060633E">
        <w:t>Según el Censo Nacional de Población y Vivienda del DANE de 2018, los barrios con una concentración de población migrante significativa que tienen un mayor índice de presión son San Victorino (Los Mártires) con el 28,1%, Voto Nacional (Los Mártires) con el 23,2%, Santa Fe (Los Mártires) con el 22,9%, La Alameda (Santa Fé) con el 21,9%, y La Estanzuela (Los Mártires) con el 14,4%.</w:t>
      </w:r>
    </w:p>
  </w:footnote>
  <w:footnote w:id="2">
    <w:p w14:paraId="5D0911EF" w14:textId="77777777" w:rsidR="008C3A64" w:rsidRPr="00895793" w:rsidRDefault="008C3A64" w:rsidP="00C454E0">
      <w:pPr>
        <w:pStyle w:val="Piedepgina"/>
        <w:rPr>
          <w:rFonts w:eastAsia="Calibri"/>
          <w:color w:val="000000"/>
          <w:szCs w:val="20"/>
        </w:rPr>
      </w:pPr>
      <w:r w:rsidRPr="00C454E0">
        <w:rPr>
          <w:b/>
          <w:bCs/>
          <w:color w:val="C00000"/>
          <w:szCs w:val="20"/>
        </w:rPr>
        <w:footnoteRef/>
      </w:r>
      <w:r w:rsidRPr="00C454E0">
        <w:rPr>
          <w:rFonts w:eastAsia="Calibri"/>
          <w:b/>
          <w:bCs/>
          <w:color w:val="C00000"/>
          <w:szCs w:val="20"/>
        </w:rPr>
        <w:t xml:space="preserve"> </w:t>
      </w:r>
      <w:r w:rsidRPr="00866CC1">
        <w:rPr>
          <w:rFonts w:eastAsia="Calibri"/>
        </w:rPr>
        <w:t>Aquella persona privada que pertenece a un hogar donde al menos una persona entre los 15 y 59 años no tiene como mínimo 11 años de educación o una persona de 60 años en adelante que no cuenta con 5 años mínimo de educación básica primaria.</w:t>
      </w:r>
    </w:p>
    <w:p w14:paraId="4001E706" w14:textId="77777777" w:rsidR="008C3A64" w:rsidRPr="00895793" w:rsidRDefault="008C3A64" w:rsidP="008C3A64">
      <w:pPr>
        <w:pBdr>
          <w:top w:val="nil"/>
          <w:left w:val="nil"/>
          <w:bottom w:val="nil"/>
          <w:right w:val="nil"/>
          <w:between w:val="nil"/>
        </w:pBdr>
        <w:rPr>
          <w:rFonts w:eastAsia="Calibri"/>
          <w:color w:val="000000"/>
          <w:szCs w:val="20"/>
        </w:rPr>
      </w:pPr>
    </w:p>
  </w:footnote>
  <w:footnote w:id="3">
    <w:p w14:paraId="6086700B" w14:textId="77777777" w:rsidR="0083520B" w:rsidRPr="00182EA1" w:rsidRDefault="0083520B" w:rsidP="0083520B">
      <w:pPr>
        <w:pStyle w:val="Textonotapie"/>
        <w:rPr>
          <w:rFonts w:ascii="Candara" w:hAnsi="Candara"/>
          <w:sz w:val="16"/>
          <w:szCs w:val="16"/>
          <w:lang w:val="es-ES"/>
        </w:rPr>
      </w:pPr>
      <w:r w:rsidRPr="00182EA1">
        <w:rPr>
          <w:rStyle w:val="Refdenotaalpie"/>
          <w:b/>
          <w:bCs/>
          <w:color w:val="C00000"/>
          <w:szCs w:val="16"/>
        </w:rPr>
        <w:footnoteRef/>
      </w:r>
      <w:r w:rsidRPr="00182EA1">
        <w:rPr>
          <w:sz w:val="16"/>
          <w:szCs w:val="16"/>
        </w:rPr>
        <w:t xml:space="preserve"> </w:t>
      </w:r>
      <w:r w:rsidRPr="00182EA1">
        <w:rPr>
          <w:rFonts w:ascii="Candara" w:hAnsi="Candara"/>
          <w:sz w:val="16"/>
          <w:szCs w:val="16"/>
        </w:rPr>
        <w:t>Mediante el Acuerdo 781 de 2020 y el Acuerdo 840 de 2022.</w:t>
      </w:r>
    </w:p>
  </w:footnote>
  <w:footnote w:id="4">
    <w:p w14:paraId="20853169" w14:textId="77777777" w:rsidR="0083520B" w:rsidRPr="00034068" w:rsidRDefault="0083520B" w:rsidP="00234AB7">
      <w:pPr>
        <w:pStyle w:val="Textonotapie"/>
        <w:spacing w:line="160" w:lineRule="exact"/>
        <w:jc w:val="both"/>
        <w:rPr>
          <w:rFonts w:ascii="Candara" w:hAnsi="Candara"/>
          <w:lang w:val="es-ES"/>
        </w:rPr>
      </w:pPr>
      <w:r w:rsidRPr="00034068">
        <w:rPr>
          <w:rStyle w:val="Refdenotaalpie"/>
          <w:b/>
          <w:bCs/>
          <w:color w:val="C00000"/>
          <w:sz w:val="18"/>
          <w:szCs w:val="16"/>
        </w:rPr>
        <w:footnoteRef/>
      </w:r>
      <w:r w:rsidRPr="00034068">
        <w:rPr>
          <w:rFonts w:ascii="Candara" w:hAnsi="Candara"/>
          <w:sz w:val="18"/>
          <w:szCs w:val="16"/>
        </w:rPr>
        <w:t xml:space="preserve"> </w:t>
      </w:r>
      <w:r w:rsidRPr="00234AB7">
        <w:rPr>
          <w:rFonts w:ascii="Candara" w:hAnsi="Candara"/>
          <w:sz w:val="16"/>
          <w:szCs w:val="14"/>
        </w:rPr>
        <w:t xml:space="preserve">Incluye las proyecciones de necesidades para el Fondo de Estabilización Tarifaria y el Fondo Fuente Externa del escenario de cambio tarifario de febrero de 2024. </w:t>
      </w:r>
    </w:p>
  </w:footnote>
  <w:footnote w:id="5">
    <w:p w14:paraId="30C553B3" w14:textId="77777777" w:rsidR="0083520B" w:rsidRPr="00975017" w:rsidRDefault="0083520B" w:rsidP="00975017">
      <w:pPr>
        <w:pStyle w:val="Textonotapie"/>
        <w:spacing w:line="160" w:lineRule="exact"/>
        <w:jc w:val="both"/>
        <w:rPr>
          <w:rFonts w:ascii="Candara" w:hAnsi="Candara" w:cs="Times New Roman"/>
          <w:color w:val="3B3838" w:themeColor="background2" w:themeShade="40"/>
          <w:sz w:val="16"/>
          <w:szCs w:val="16"/>
          <w:lang w:val="es-MX"/>
        </w:rPr>
      </w:pPr>
      <w:r w:rsidRPr="00975017">
        <w:rPr>
          <w:rStyle w:val="Refdenotaalpie"/>
          <w:b/>
          <w:bCs/>
          <w:color w:val="C00000"/>
          <w:szCs w:val="16"/>
        </w:rPr>
        <w:footnoteRef/>
      </w:r>
      <w:r w:rsidRPr="00975017">
        <w:rPr>
          <w:rFonts w:ascii="Candara" w:hAnsi="Candara"/>
          <w:color w:val="3B3838" w:themeColor="background2" w:themeShade="40"/>
          <w:sz w:val="16"/>
          <w:szCs w:val="16"/>
        </w:rPr>
        <w:t xml:space="preserve"> </w:t>
      </w:r>
      <w:r w:rsidRPr="00975017">
        <w:rPr>
          <w:rFonts w:ascii="Candara" w:hAnsi="Candara" w:cs="Times New Roman"/>
          <w:color w:val="3B3838" w:themeColor="background2" w:themeShade="40"/>
          <w:sz w:val="16"/>
          <w:szCs w:val="16"/>
          <w:lang w:val="es-MX"/>
        </w:rPr>
        <w:t>De conformidad con lo establecido en el artículo 37 de la Ley 1575 de 2012.</w:t>
      </w:r>
    </w:p>
  </w:footnote>
  <w:footnote w:id="6">
    <w:p w14:paraId="1D28C99B" w14:textId="77777777" w:rsidR="0083520B" w:rsidRPr="00975017" w:rsidRDefault="0083520B" w:rsidP="00975017">
      <w:pPr>
        <w:pStyle w:val="Textonotapie"/>
        <w:spacing w:line="160" w:lineRule="exact"/>
        <w:jc w:val="both"/>
        <w:rPr>
          <w:rFonts w:ascii="Candara" w:hAnsi="Candara" w:cs="Times New Roman"/>
          <w:color w:val="3B3838" w:themeColor="background2" w:themeShade="40"/>
          <w:sz w:val="16"/>
          <w:szCs w:val="16"/>
        </w:rPr>
      </w:pPr>
      <w:r w:rsidRPr="00975017">
        <w:rPr>
          <w:rStyle w:val="Refdenotaalpie"/>
          <w:b/>
          <w:bCs/>
          <w:color w:val="C00000"/>
          <w:szCs w:val="16"/>
        </w:rPr>
        <w:footnoteRef/>
      </w:r>
      <w:r w:rsidRPr="00975017">
        <w:rPr>
          <w:rFonts w:ascii="Candara" w:hAnsi="Candara"/>
          <w:color w:val="3B3838" w:themeColor="background2" w:themeShade="40"/>
          <w:sz w:val="16"/>
          <w:szCs w:val="16"/>
        </w:rPr>
        <w:t xml:space="preserve"> </w:t>
      </w:r>
      <w:r w:rsidRPr="00975017">
        <w:rPr>
          <w:rFonts w:ascii="Candara" w:hAnsi="Candara" w:cs="Times New Roman"/>
          <w:color w:val="3B3838" w:themeColor="background2" w:themeShade="40"/>
          <w:sz w:val="16"/>
          <w:szCs w:val="16"/>
        </w:rPr>
        <w:t>De conformidad con lo establecido en la Ley 97 de 1913 y Ley 84 de 1915.</w:t>
      </w:r>
    </w:p>
  </w:footnote>
  <w:footnote w:id="7">
    <w:p w14:paraId="40CAEF0A" w14:textId="77777777" w:rsidR="0083520B" w:rsidRPr="000F6860" w:rsidRDefault="0083520B" w:rsidP="00975017">
      <w:pPr>
        <w:pStyle w:val="Textonotapie"/>
        <w:spacing w:line="160" w:lineRule="exact"/>
        <w:rPr>
          <w:rFonts w:ascii="Candara" w:hAnsi="Candara"/>
          <w:color w:val="3B3838" w:themeColor="background2" w:themeShade="40"/>
          <w:sz w:val="18"/>
          <w:szCs w:val="18"/>
          <w:lang w:val="es-ES"/>
        </w:rPr>
      </w:pPr>
      <w:r w:rsidRPr="00975017">
        <w:rPr>
          <w:rStyle w:val="Refdenotaalpie"/>
          <w:b/>
          <w:bCs/>
          <w:color w:val="C00000"/>
          <w:szCs w:val="16"/>
        </w:rPr>
        <w:footnoteRef/>
      </w:r>
      <w:r w:rsidRPr="00975017">
        <w:rPr>
          <w:rFonts w:ascii="Candara" w:hAnsi="Candara"/>
          <w:color w:val="3B3838" w:themeColor="background2" w:themeShade="40"/>
          <w:sz w:val="16"/>
          <w:szCs w:val="16"/>
        </w:rPr>
        <w:t xml:space="preserve"> El marco legal de este cobro está establecido en el artículo 174 de la Ley 2294/2023 “por la cual, se expide el Plan Nacional de Desarrollo 2022-2026 Colombia potencia mundial de la vida”, que modifica el artículo 33 de la Ley 1753 de 2015.</w:t>
      </w:r>
    </w:p>
  </w:footnote>
  <w:footnote w:id="8">
    <w:p w14:paraId="79E87FCA" w14:textId="77777777" w:rsidR="003F2AA2" w:rsidRDefault="003F2AA2" w:rsidP="000E47A8">
      <w:pPr>
        <w:pStyle w:val="Piedepgina"/>
      </w:pPr>
      <w:r w:rsidRPr="000E47A8">
        <w:rPr>
          <w:b/>
          <w:bCs/>
          <w:color w:val="C00000"/>
        </w:rPr>
        <w:footnoteRef/>
      </w:r>
      <w:r w:rsidRPr="000E47A8">
        <w:rPr>
          <w:b/>
          <w:bCs/>
          <w:color w:val="C00000"/>
        </w:rPr>
        <w:t xml:space="preserve"> </w:t>
      </w:r>
      <w:r>
        <w:t>Según la Procuraduría General de la Nación de la República de Argentina y el Ministerio de la Igualdad de España.</w:t>
      </w:r>
    </w:p>
  </w:footnote>
  <w:footnote w:id="9">
    <w:p w14:paraId="677B4F7B" w14:textId="77777777" w:rsidR="003F2AA2" w:rsidRPr="00171671" w:rsidRDefault="003F2AA2" w:rsidP="00171671">
      <w:pPr>
        <w:pBdr>
          <w:top w:val="nil"/>
          <w:left w:val="nil"/>
          <w:bottom w:val="nil"/>
          <w:right w:val="nil"/>
          <w:between w:val="nil"/>
        </w:pBdr>
        <w:spacing w:line="160" w:lineRule="exact"/>
        <w:jc w:val="left"/>
        <w:rPr>
          <w:color w:val="000000"/>
          <w:sz w:val="16"/>
          <w:szCs w:val="16"/>
        </w:rPr>
      </w:pPr>
      <w:r w:rsidRPr="00171671">
        <w:rPr>
          <w:color w:val="C00000"/>
          <w:sz w:val="16"/>
          <w:szCs w:val="16"/>
        </w:rPr>
        <w:footnoteRef/>
      </w:r>
      <w:r w:rsidRPr="00171671">
        <w:rPr>
          <w:color w:val="C00000"/>
          <w:sz w:val="16"/>
          <w:szCs w:val="16"/>
        </w:rPr>
        <w:t xml:space="preserve"> </w:t>
      </w:r>
      <w:r w:rsidRPr="00171671">
        <w:rPr>
          <w:color w:val="000000"/>
          <w:sz w:val="16"/>
          <w:szCs w:val="16"/>
        </w:rPr>
        <w:t>En las encuestas algunas respuestas son de respuesta única y otras de respuesta múltiple, las cuales permiten seleccionar más de una opción (por ejemplo, seleccionar las dos de mayor interés).</w:t>
      </w:r>
    </w:p>
  </w:footnote>
  <w:footnote w:id="10">
    <w:p w14:paraId="00A51F7E" w14:textId="77777777" w:rsidR="003F2AA2" w:rsidRDefault="003F2AA2" w:rsidP="00171671">
      <w:pPr>
        <w:pStyle w:val="Piedepgina"/>
      </w:pPr>
      <w:r w:rsidRPr="00171671">
        <w:rPr>
          <w:color w:val="C00000"/>
        </w:rPr>
        <w:footnoteRef/>
      </w:r>
      <w:r>
        <w:t xml:space="preserve"> En las encuestas algunas respuestas son de respuesta única y otras de respuesta múltiple, las cuales permiten seleccionar más de una opción (por ejemplo, seleccionar las dos de mayor interés).</w:t>
      </w:r>
    </w:p>
  </w:footnote>
  <w:footnote w:id="11">
    <w:p w14:paraId="2AFEF7D2" w14:textId="6806166E" w:rsidR="006F4408" w:rsidRDefault="006F4408" w:rsidP="006F4408">
      <w:pPr>
        <w:pStyle w:val="Textonotapie"/>
        <w:spacing w:line="160" w:lineRule="exact"/>
      </w:pPr>
      <w:r>
        <w:rPr>
          <w:rStyle w:val="Refdenotaalpie"/>
        </w:rPr>
        <w:footnoteRef/>
      </w:r>
      <w:r>
        <w:t xml:space="preserve"> </w:t>
      </w:r>
      <w:r w:rsidRPr="006F4408">
        <w:rPr>
          <w:rFonts w:ascii="Candara" w:hAnsi="Candara"/>
          <w:color w:val="3B3838" w:themeColor="background2" w:themeShade="40"/>
          <w:sz w:val="16"/>
          <w:szCs w:val="14"/>
        </w:rPr>
        <w:t>Cálculo realizado por la SIS de la SDHT con base en el microdato de la Encuesta Multipropósito de 2021 (EM, 2021), el cual contiene la estimación de la estructura de gastos de los hogares y la variable N Ingtotugarr “Ingreso total de la unidad de gasto con imputación de arriendo a propietarios y usufructuarios”. Para este caso el gasto en vivienda contiene pago en arriendo, amortización, aseo, mantenimiento y pago impuestos</w:t>
      </w:r>
      <w:r>
        <w:rPr>
          <w:rFonts w:ascii="Candara" w:hAnsi="Candara"/>
          <w:color w:val="3B3838" w:themeColor="background2" w:themeShade="40"/>
          <w:sz w:val="16"/>
          <w:szCs w:val="14"/>
        </w:rPr>
        <w:t>.</w:t>
      </w:r>
    </w:p>
  </w:footnote>
  <w:footnote w:id="12">
    <w:p w14:paraId="18AECD78" w14:textId="77777777" w:rsidR="00FA4F64" w:rsidRDefault="00FA4F64" w:rsidP="006433F4">
      <w:pPr>
        <w:pStyle w:val="Piedepgina"/>
      </w:pPr>
      <w:r w:rsidRPr="005D00CD">
        <w:rPr>
          <w:color w:val="C00000"/>
        </w:rPr>
        <w:footnoteRef/>
      </w:r>
      <w:r w:rsidRPr="005D00CD">
        <w:rPr>
          <w:color w:val="C00000"/>
        </w:rPr>
        <w:t xml:space="preserve"> </w:t>
      </w:r>
      <w:r>
        <w:t>IATA. Estado de la aviación en Colombia y la importancia estratégica del Dorado Recuperación esperada para el mercado colombiano. ppt 22 abril IATA. Fuente: IATA/ Tourism economics, pronóstico de pasajeros aéreos febrero 2021 y pronóstico Aerocivil 2030.</w:t>
      </w:r>
    </w:p>
  </w:footnote>
  <w:footnote w:id="13">
    <w:p w14:paraId="050D2992" w14:textId="06CF9723" w:rsidR="00FA4F64" w:rsidRDefault="00FA4F64" w:rsidP="006433F4">
      <w:pPr>
        <w:pStyle w:val="Piedepgina"/>
      </w:pPr>
      <w:r w:rsidRPr="006433F4">
        <w:rPr>
          <w:color w:val="C00000"/>
        </w:rPr>
        <w:footnoteRef/>
      </w:r>
      <w:r w:rsidRPr="006433F4">
        <w:rPr>
          <w:b/>
          <w:color w:val="C00000"/>
        </w:rPr>
        <w:t xml:space="preserve"> </w:t>
      </w:r>
      <w:r>
        <w:t>IATA en representación de las aerolíneas</w:t>
      </w:r>
    </w:p>
  </w:footnote>
  <w:footnote w:id="14">
    <w:p w14:paraId="6500899F" w14:textId="77777777" w:rsidR="00FA4F64" w:rsidRDefault="00FA4F64" w:rsidP="006433F4">
      <w:pPr>
        <w:pStyle w:val="Piedepgina"/>
        <w:rPr>
          <w:color w:val="C00000"/>
        </w:rPr>
      </w:pPr>
      <w:r w:rsidRPr="00C61C88">
        <w:rPr>
          <w:color w:val="C00000"/>
        </w:rPr>
        <w:footnoteRef/>
      </w:r>
      <w:r w:rsidRPr="00C61C88">
        <w:rPr>
          <w:color w:val="C00000"/>
        </w:rPr>
        <w:t xml:space="preserve"> </w:t>
      </w:r>
      <w:r>
        <w:t xml:space="preserve">Aerocivil. Plan Maestro del Aeropuerto El Dorado II, 2016. </w:t>
      </w:r>
    </w:p>
    <w:bookmarkStart w:id="339" w:name="_heading=h.w7f98a24opnt" w:colFirst="0" w:colLast="0"/>
    <w:bookmarkEnd w:id="339"/>
  </w:footnote>
  <w:footnote w:id="15">
    <w:p w14:paraId="60AC92D1" w14:textId="77777777" w:rsidR="00FA4F64" w:rsidRDefault="00FA4F64" w:rsidP="006433F4">
      <w:pPr>
        <w:pStyle w:val="Piedepgina"/>
        <w:rPr>
          <w:b/>
        </w:rPr>
      </w:pPr>
      <w:bookmarkStart w:id="340" w:name="_heading=h.w7f98a24opnt" w:colFirst="0" w:colLast="0"/>
      <w:bookmarkEnd w:id="340"/>
      <w:r w:rsidRPr="006433F4">
        <w:rPr>
          <w:color w:val="C00000"/>
          <w:vertAlign w:val="superscript"/>
        </w:rPr>
        <w:footnoteRef/>
      </w:r>
      <w:r w:rsidRPr="006433F4">
        <w:rPr>
          <w:color w:val="C00000"/>
          <w:vertAlign w:val="superscript"/>
        </w:rPr>
        <w:t xml:space="preserve"> </w:t>
      </w:r>
      <w:r>
        <w:t>Debe incluir las terminales actuales del AED(I) la terminal AED (II), el aeropuerto Guaymaral Flaminio Suárez Camacho , la Base Aérea Mayor Justino Mariño Cuesto en Madrid, CATAM y en general la aviación militar, los desarrollos tecnológicos de la CIAC y de conocimientos relacionados como la Escuela de Suboficiales FAC de Madrid, la aviación helicoportada. Consolidar un sistema aeroportuario regional como plataforma de intercambio internacional, articulando los requerimientos de la aviación comercial y militar con los potenciales de: una terrestre infraestructura intermodal, de la actividad logística y de los emprendimientos de conocimiento aeronáuticos asociados; mediante una actuación concertada con la Nación (SDP, 2024).</w:t>
      </w:r>
    </w:p>
  </w:footnote>
  <w:footnote w:id="16">
    <w:p w14:paraId="19B149CD" w14:textId="77777777" w:rsidR="00EF1D5F" w:rsidRDefault="00EF1D5F" w:rsidP="00891BAE">
      <w:pPr>
        <w:pBdr>
          <w:top w:val="nil"/>
          <w:left w:val="nil"/>
          <w:bottom w:val="nil"/>
          <w:right w:val="nil"/>
          <w:between w:val="nil"/>
        </w:pBdr>
        <w:spacing w:line="160" w:lineRule="exact"/>
        <w:rPr>
          <w:color w:val="3B3838"/>
          <w:sz w:val="16"/>
          <w:szCs w:val="16"/>
        </w:rPr>
      </w:pPr>
      <w:r w:rsidRPr="00E01676">
        <w:rPr>
          <w:b/>
          <w:bCs/>
          <w:sz w:val="16"/>
          <w:szCs w:val="16"/>
        </w:rPr>
        <w:footnoteRef/>
      </w:r>
      <w:r w:rsidRPr="00456FD7">
        <w:rPr>
          <w:color w:val="C00000"/>
          <w:sz w:val="16"/>
          <w:szCs w:val="16"/>
        </w:rPr>
        <w:t xml:space="preserve"> </w:t>
      </w:r>
      <w:r>
        <w:rPr>
          <w:color w:val="3B3838"/>
          <w:sz w:val="16"/>
          <w:szCs w:val="16"/>
          <w:highlight w:val="white"/>
        </w:rPr>
        <w:t>Decreto Distrital 563 de 2023, que reglamenta la protección a moradores y actividades productivas en el Distrito Capital, establece procedimientos, roles y responsabilidades para el cumplimiento de la Política de Revitalización Urbana y Protección a Moradores y Actividades Productivas.</w:t>
      </w:r>
    </w:p>
  </w:footnote>
  <w:footnote w:id="17">
    <w:p w14:paraId="5CDC37A2" w14:textId="77777777" w:rsidR="00EF1D5F" w:rsidRDefault="00EF1D5F" w:rsidP="00482F0A">
      <w:pPr>
        <w:pBdr>
          <w:top w:val="nil"/>
          <w:left w:val="nil"/>
          <w:bottom w:val="nil"/>
          <w:right w:val="nil"/>
          <w:between w:val="nil"/>
        </w:pBdr>
        <w:spacing w:line="160" w:lineRule="exact"/>
        <w:rPr>
          <w:color w:val="3B3838"/>
          <w:sz w:val="16"/>
          <w:szCs w:val="16"/>
        </w:rPr>
      </w:pPr>
      <w:r w:rsidRPr="00482F0A">
        <w:rPr>
          <w:b/>
          <w:bCs/>
          <w:color w:val="C00000"/>
          <w:sz w:val="16"/>
          <w:szCs w:val="16"/>
        </w:rPr>
        <w:footnoteRef/>
      </w:r>
      <w:r w:rsidRPr="00482F0A">
        <w:rPr>
          <w:b/>
          <w:color w:val="C00000"/>
          <w:sz w:val="16"/>
          <w:szCs w:val="16"/>
        </w:rPr>
        <w:t xml:space="preserve"> </w:t>
      </w:r>
      <w:r w:rsidRPr="00482F0A">
        <w:rPr>
          <w:color w:val="3B3838"/>
          <w:sz w:val="16"/>
          <w:szCs w:val="16"/>
        </w:rPr>
        <w:t>Proyecto de Acuerdo 179 de 2023, primer debate, “Por medio del cual se definen medidas para prevenir y responder al desplazamiento por motivos climáticos y ambientales en el distrito capital y se dictan otras disposiciones”.</w:t>
      </w:r>
    </w:p>
  </w:footnote>
  <w:footnote w:id="18">
    <w:p w14:paraId="4A9EE3E7" w14:textId="77777777" w:rsidR="00EF1D5F" w:rsidRDefault="00EF1D5F" w:rsidP="002B3B65">
      <w:pPr>
        <w:pBdr>
          <w:top w:val="nil"/>
          <w:left w:val="nil"/>
          <w:bottom w:val="nil"/>
          <w:right w:val="nil"/>
          <w:between w:val="nil"/>
        </w:pBdr>
        <w:spacing w:line="160" w:lineRule="exact"/>
        <w:rPr>
          <w:color w:val="3B3838"/>
          <w:sz w:val="16"/>
          <w:szCs w:val="16"/>
        </w:rPr>
      </w:pPr>
      <w:r w:rsidRPr="002B3B65">
        <w:rPr>
          <w:b/>
          <w:bCs/>
          <w:color w:val="C00000"/>
          <w:sz w:val="16"/>
          <w:szCs w:val="16"/>
        </w:rPr>
        <w:footnoteRef/>
      </w:r>
      <w:r w:rsidRPr="002B3B65">
        <w:rPr>
          <w:b/>
          <w:color w:val="C00000"/>
          <w:sz w:val="16"/>
          <w:szCs w:val="16"/>
        </w:rPr>
        <w:t xml:space="preserve"> </w:t>
      </w:r>
      <w:r w:rsidRPr="002B3B65">
        <w:rPr>
          <w:color w:val="3B3838"/>
          <w:sz w:val="16"/>
          <w:szCs w:val="16"/>
        </w:rPr>
        <w:t>Toma como referencia los planos urbanísticos en las categorías de legalización y regularización, los barrios en proceso de regularización y legalización por la Secretaría Distrital del Hábitat, las áreas de mejoramiento integral delimitadas por el Decreto 190 de 2004, el Decreto 364 de 2013 y el Decreto 555 del 2021.</w:t>
      </w:r>
    </w:p>
    <w:p w14:paraId="4C99EFA8" w14:textId="77777777" w:rsidR="00EF1D5F" w:rsidRPr="002B3B65" w:rsidRDefault="00EF1D5F" w:rsidP="002B3B65">
      <w:pPr>
        <w:pBdr>
          <w:top w:val="nil"/>
          <w:left w:val="nil"/>
          <w:bottom w:val="nil"/>
          <w:right w:val="nil"/>
          <w:between w:val="nil"/>
        </w:pBdr>
        <w:spacing w:line="160" w:lineRule="exact"/>
        <w:rPr>
          <w:color w:val="3B3838"/>
          <w:sz w:val="16"/>
          <w:szCs w:val="16"/>
        </w:rPr>
      </w:pPr>
    </w:p>
  </w:footnote>
  <w:footnote w:id="19">
    <w:p w14:paraId="488BD899" w14:textId="77777777" w:rsidR="00EF1D5F" w:rsidRPr="002B3B65" w:rsidRDefault="00EF1D5F" w:rsidP="002B3B65">
      <w:pPr>
        <w:pBdr>
          <w:top w:val="nil"/>
          <w:left w:val="nil"/>
          <w:bottom w:val="nil"/>
          <w:right w:val="nil"/>
          <w:between w:val="nil"/>
        </w:pBdr>
        <w:spacing w:line="160" w:lineRule="exact"/>
        <w:rPr>
          <w:color w:val="3B3838"/>
          <w:sz w:val="16"/>
          <w:szCs w:val="16"/>
        </w:rPr>
      </w:pPr>
      <w:r w:rsidRPr="002B3B65">
        <w:rPr>
          <w:b/>
          <w:bCs/>
          <w:color w:val="C00000"/>
          <w:sz w:val="16"/>
          <w:szCs w:val="16"/>
        </w:rPr>
        <w:footnoteRef/>
      </w:r>
      <w:r w:rsidRPr="002B3B65">
        <w:rPr>
          <w:b/>
          <w:color w:val="C00000"/>
          <w:sz w:val="16"/>
          <w:szCs w:val="16"/>
        </w:rPr>
        <w:t xml:space="preserve"> </w:t>
      </w:r>
      <w:r w:rsidRPr="002B3B65">
        <w:rPr>
          <w:color w:val="3B3838"/>
          <w:sz w:val="16"/>
          <w:szCs w:val="16"/>
        </w:rPr>
        <w:t>Se define como demanda agregada de vivienda a la suma de los hogares registrados como no propietarios en la Gran Encuesta Integrada de Hogares de 2022 (GEIH, 2022).</w:t>
      </w:r>
    </w:p>
  </w:footnote>
  <w:footnote w:id="20">
    <w:p w14:paraId="380133E2" w14:textId="77777777" w:rsidR="00EF1D5F" w:rsidRDefault="00EF1D5F" w:rsidP="002B3B65">
      <w:pPr>
        <w:pBdr>
          <w:top w:val="nil"/>
          <w:left w:val="nil"/>
          <w:bottom w:val="nil"/>
          <w:right w:val="nil"/>
          <w:between w:val="nil"/>
        </w:pBdr>
        <w:spacing w:line="160" w:lineRule="exact"/>
        <w:rPr>
          <w:color w:val="3B3838"/>
          <w:sz w:val="16"/>
          <w:szCs w:val="16"/>
        </w:rPr>
      </w:pPr>
      <w:r w:rsidRPr="002B3B65">
        <w:rPr>
          <w:b/>
          <w:bCs/>
          <w:color w:val="C00000"/>
          <w:sz w:val="16"/>
          <w:szCs w:val="16"/>
        </w:rPr>
        <w:footnoteRef/>
      </w:r>
      <w:r w:rsidRPr="002B3B65">
        <w:rPr>
          <w:b/>
          <w:color w:val="C00000"/>
          <w:sz w:val="16"/>
          <w:szCs w:val="16"/>
        </w:rPr>
        <w:t xml:space="preserve"> </w:t>
      </w:r>
      <w:r w:rsidRPr="002B3B65">
        <w:rPr>
          <w:color w:val="3B3838"/>
          <w:sz w:val="16"/>
          <w:szCs w:val="16"/>
        </w:rPr>
        <w:t>Se toma el peso de las iniciaciones registradas entre 2018 y 2023 según el Censo de Edificaciones-CEED del DANE.</w:t>
      </w:r>
    </w:p>
    <w:p w14:paraId="213037D3" w14:textId="77777777" w:rsidR="00EF1D5F" w:rsidRPr="002B3B65" w:rsidRDefault="00EF1D5F" w:rsidP="002B3B65">
      <w:pPr>
        <w:pBdr>
          <w:top w:val="nil"/>
          <w:left w:val="nil"/>
          <w:bottom w:val="nil"/>
          <w:right w:val="nil"/>
          <w:between w:val="nil"/>
        </w:pBdr>
        <w:spacing w:line="160" w:lineRule="exact"/>
        <w:rPr>
          <w:color w:val="3B3838"/>
          <w:sz w:val="16"/>
          <w:szCs w:val="16"/>
        </w:rPr>
      </w:pPr>
    </w:p>
  </w:footnote>
  <w:footnote w:id="21">
    <w:p w14:paraId="41DB997C" w14:textId="77777777" w:rsidR="00EF1D5F" w:rsidRDefault="00EF1D5F">
      <w:pPr>
        <w:pBdr>
          <w:top w:val="nil"/>
          <w:left w:val="nil"/>
          <w:bottom w:val="nil"/>
          <w:right w:val="nil"/>
          <w:between w:val="nil"/>
        </w:pBdr>
        <w:spacing w:line="240" w:lineRule="auto"/>
        <w:rPr>
          <w:color w:val="3B3838"/>
          <w:sz w:val="16"/>
          <w:szCs w:val="16"/>
        </w:rPr>
      </w:pPr>
      <w:r>
        <w:rPr>
          <w:vertAlign w:val="superscript"/>
        </w:rPr>
        <w:footnoteRef/>
      </w:r>
      <w:r>
        <w:rPr>
          <w:color w:val="3B3838"/>
          <w:sz w:val="16"/>
          <w:szCs w:val="16"/>
        </w:rPr>
        <w:t xml:space="preserve"> Esto, asumiendo que la distribución de ingreso mostrado por la GEIH (2022) se mantiene.</w:t>
      </w:r>
    </w:p>
  </w:footnote>
  <w:footnote w:id="22">
    <w:p w14:paraId="1AFABC66" w14:textId="77777777" w:rsidR="00EF1D5F" w:rsidRDefault="00EF1D5F" w:rsidP="00D82824">
      <w:pPr>
        <w:spacing w:line="160" w:lineRule="exact"/>
        <w:rPr>
          <w:sz w:val="16"/>
          <w:szCs w:val="16"/>
        </w:rPr>
      </w:pPr>
      <w:r w:rsidRPr="00D82824">
        <w:rPr>
          <w:b/>
          <w:bCs/>
          <w:color w:val="C00000"/>
          <w:sz w:val="16"/>
          <w:szCs w:val="16"/>
        </w:rPr>
        <w:footnoteRef/>
      </w:r>
      <w:r w:rsidRPr="00D82824">
        <w:rPr>
          <w:sz w:val="16"/>
          <w:szCs w:val="16"/>
        </w:rPr>
        <w:t xml:space="preserve"> La medición del IDI, de conformidad con el artículo 2.2.22.3.10. del Decreto Nacional 1083 de 2015, sustituido por el artículo 1 del Decreto Nacional 1499 de 2017, es liderada desde el Departamento Administrativo de la Función Pública (DAFP), en coordinación con el Consejo para la Gestión y Desempeño Institucional, y la recolección de información se realiza a través del Formulario Único de Reporte y Avance de Gestión (FURAG), en el que se incluyen los requisitos establecidos por las entidades nacionales líderes de política.</w:t>
      </w:r>
    </w:p>
    <w:p w14:paraId="201A6202" w14:textId="77777777" w:rsidR="00EF1D5F" w:rsidRPr="00D82824" w:rsidRDefault="00EF1D5F" w:rsidP="00D82824">
      <w:pPr>
        <w:spacing w:line="160" w:lineRule="exact"/>
        <w:rPr>
          <w:sz w:val="16"/>
          <w:szCs w:val="16"/>
        </w:rPr>
      </w:pPr>
    </w:p>
  </w:footnote>
  <w:footnote w:id="23">
    <w:p w14:paraId="2F2EAF1C" w14:textId="77777777" w:rsidR="00EF1D5F" w:rsidRPr="00D82824" w:rsidRDefault="00EF1D5F" w:rsidP="00D82824">
      <w:pPr>
        <w:spacing w:line="160" w:lineRule="exact"/>
        <w:rPr>
          <w:sz w:val="16"/>
          <w:szCs w:val="16"/>
        </w:rPr>
      </w:pPr>
      <w:r w:rsidRPr="00D82824">
        <w:rPr>
          <w:b/>
          <w:bCs/>
          <w:color w:val="C00000"/>
          <w:sz w:val="16"/>
          <w:szCs w:val="16"/>
        </w:rPr>
        <w:footnoteRef/>
      </w:r>
      <w:r w:rsidRPr="00D82824">
        <w:rPr>
          <w:sz w:val="16"/>
          <w:szCs w:val="16"/>
        </w:rPr>
        <w:t xml:space="preserve"> La medición del IGPD se hace a través de tres componentes: Gestión Institucional, según la medición de IDI; Ejecución Presupuestal, de conformidad con la información reportada por la Secretaría Distrital de Hacienda, y Gestión de Resultados, con el reporte de cumplimiento de las metas del Plan Distrital de Desarrollo (PDD), entregada por la Secretaría Distrital de Planeación.</w:t>
      </w:r>
      <w:hyperlink r:id="rId1">
        <w:r w:rsidRPr="00D82824">
          <w:rPr>
            <w:sz w:val="16"/>
            <w:szCs w:val="16"/>
          </w:rPr>
          <w:t xml:space="preserve"> </w:t>
        </w:r>
      </w:hyperlink>
      <w:hyperlink r:id="rId2">
        <w:r w:rsidRPr="00D82824">
          <w:rPr>
            <w:sz w:val="16"/>
            <w:szCs w:val="16"/>
            <w:u w:val="single"/>
          </w:rPr>
          <w:t>https://secretaríageneral.gov.co/sites/default/files/documentos_informacion_ppe/2022-09/documento_metodologico_igpd_22.08.2022.pdf</w:t>
        </w:r>
      </w:hyperlink>
      <w:r>
        <w:rPr>
          <w:sz w:val="16"/>
          <w:szCs w:val="16"/>
          <w:u w:val="single"/>
        </w:rPr>
        <w:br/>
      </w:r>
    </w:p>
  </w:footnote>
  <w:footnote w:id="24">
    <w:p w14:paraId="2D008A7B" w14:textId="77777777" w:rsidR="00EF1D5F" w:rsidRDefault="00EF1D5F" w:rsidP="00D82824">
      <w:pPr>
        <w:spacing w:line="160" w:lineRule="exact"/>
        <w:rPr>
          <w:sz w:val="14"/>
          <w:szCs w:val="14"/>
        </w:rPr>
      </w:pPr>
      <w:r w:rsidRPr="00D82824">
        <w:rPr>
          <w:b/>
          <w:bCs/>
          <w:color w:val="C00000"/>
          <w:sz w:val="16"/>
          <w:szCs w:val="16"/>
        </w:rPr>
        <w:footnoteRef/>
      </w:r>
      <w:r w:rsidRPr="00D82824">
        <w:rPr>
          <w:sz w:val="16"/>
          <w:szCs w:val="16"/>
        </w:rPr>
        <w:t xml:space="preserve"> En promedio, la constitución de reservas con corte al 31 de diciembre de 2022 superó los montos establecidos en el Acuerdo 05 de 1998 (hasta el 20</w:t>
      </w:r>
      <w:r w:rsidRPr="00D82824">
        <w:rPr>
          <w:rFonts w:ascii="Arial" w:eastAsia="Arial" w:hAnsi="Arial" w:cs="Arial"/>
          <w:sz w:val="16"/>
          <w:szCs w:val="16"/>
        </w:rPr>
        <w:t> </w:t>
      </w:r>
      <w:r w:rsidRPr="00D82824">
        <w:rPr>
          <w:sz w:val="16"/>
          <w:szCs w:val="16"/>
        </w:rPr>
        <w:t>% para inversión y el 4</w:t>
      </w:r>
      <w:r w:rsidRPr="00D82824">
        <w:rPr>
          <w:rFonts w:ascii="Arial" w:eastAsia="Arial" w:hAnsi="Arial" w:cs="Arial"/>
          <w:sz w:val="16"/>
          <w:szCs w:val="16"/>
        </w:rPr>
        <w:t> </w:t>
      </w:r>
      <w:r w:rsidRPr="00D82824">
        <w:rPr>
          <w:sz w:val="16"/>
          <w:szCs w:val="16"/>
        </w:rPr>
        <w:t>% para funcionamiento). Por lo tanto, hay brechas en materia de gestión.</w:t>
      </w:r>
    </w:p>
  </w:footnote>
  <w:footnote w:id="25">
    <w:p w14:paraId="6660E693" w14:textId="77777777" w:rsidR="00EF1D5F" w:rsidRPr="00A63559" w:rsidRDefault="00EF1D5F" w:rsidP="00A63559">
      <w:pPr>
        <w:spacing w:line="160" w:lineRule="exact"/>
        <w:rPr>
          <w:sz w:val="16"/>
          <w:szCs w:val="16"/>
        </w:rPr>
      </w:pPr>
      <w:r w:rsidRPr="00A63559">
        <w:rPr>
          <w:b/>
          <w:bCs/>
          <w:color w:val="C00000"/>
          <w:sz w:val="16"/>
          <w:szCs w:val="16"/>
        </w:rPr>
        <w:footnoteRef/>
      </w:r>
      <w:r w:rsidRPr="00A63559">
        <w:rPr>
          <w:b/>
          <w:bCs/>
          <w:color w:val="C00000"/>
          <w:sz w:val="16"/>
          <w:szCs w:val="16"/>
        </w:rPr>
        <w:t xml:space="preserve"> </w:t>
      </w:r>
      <w:r w:rsidRPr="00A63559">
        <w:rPr>
          <w:sz w:val="16"/>
          <w:szCs w:val="16"/>
        </w:rPr>
        <w:t>Esta cifra puede incluir empleos que estén en el proceso de convocatoria distrito V y VI.</w:t>
      </w:r>
    </w:p>
  </w:footnote>
  <w:footnote w:id="26">
    <w:p w14:paraId="2E7A7D08" w14:textId="77777777" w:rsidR="00EF1D5F" w:rsidRDefault="00EF1D5F" w:rsidP="004A46EC">
      <w:pPr>
        <w:spacing w:line="160" w:lineRule="exact"/>
        <w:rPr>
          <w:sz w:val="14"/>
          <w:szCs w:val="14"/>
        </w:rPr>
      </w:pPr>
      <w:r w:rsidRPr="004A46EC">
        <w:rPr>
          <w:b/>
          <w:bCs/>
          <w:color w:val="C00000"/>
          <w:sz w:val="16"/>
          <w:szCs w:val="18"/>
        </w:rPr>
        <w:footnoteRef/>
      </w:r>
      <w:r>
        <w:rPr>
          <w:sz w:val="14"/>
          <w:szCs w:val="14"/>
        </w:rPr>
        <w:t xml:space="preserve"> La medición de clima laboral y ambiente organizacional se aplicó a 37.168 encuestados en la vigencia 2021.</w:t>
      </w:r>
    </w:p>
  </w:footnote>
  <w:footnote w:id="27">
    <w:p w14:paraId="2C1B5767" w14:textId="77777777" w:rsidR="00EF1D5F" w:rsidRPr="00963DA2" w:rsidRDefault="00EF1D5F" w:rsidP="00963DA2">
      <w:pPr>
        <w:spacing w:line="160" w:lineRule="exact"/>
        <w:rPr>
          <w:sz w:val="16"/>
          <w:szCs w:val="16"/>
        </w:rPr>
      </w:pPr>
      <w:r w:rsidRPr="00963DA2">
        <w:rPr>
          <w:b/>
          <w:bCs/>
          <w:color w:val="C00000"/>
          <w:sz w:val="16"/>
          <w:szCs w:val="16"/>
        </w:rPr>
        <w:footnoteRef/>
      </w:r>
      <w:r w:rsidRPr="00963DA2">
        <w:rPr>
          <w:sz w:val="16"/>
          <w:szCs w:val="16"/>
        </w:rPr>
        <w:t xml:space="preserve"> Es una herramienta que permite acceder y conocer, de forma organizada, sencilla y en tiempo real, los datos de las principales variables del talento humano de Bogotá.</w:t>
      </w:r>
      <w:hyperlink r:id="rId3">
        <w:r w:rsidRPr="00963DA2">
          <w:rPr>
            <w:sz w:val="16"/>
            <w:szCs w:val="16"/>
          </w:rPr>
          <w:t xml:space="preserve"> </w:t>
        </w:r>
      </w:hyperlink>
      <w:hyperlink r:id="rId4">
        <w:r w:rsidRPr="00963DA2">
          <w:rPr>
            <w:color w:val="1155CC"/>
            <w:sz w:val="16"/>
            <w:szCs w:val="16"/>
          </w:rPr>
          <w:t xml:space="preserve"> </w:t>
        </w:r>
      </w:hyperlink>
      <w:hyperlink r:id="rId5">
        <w:r w:rsidRPr="00963DA2">
          <w:rPr>
            <w:color w:val="1155CC"/>
            <w:sz w:val="16"/>
            <w:szCs w:val="16"/>
            <w:u w:val="single"/>
          </w:rPr>
          <w:t>https://app.powerbi.com/</w:t>
        </w:r>
      </w:hyperlink>
      <w:r w:rsidRPr="00963DA2">
        <w:rPr>
          <w:sz w:val="16"/>
          <w:szCs w:val="16"/>
        </w:rPr>
        <w:t xml:space="preserve"> (Departamento Administrativo del Servicio Civil Distrital).</w:t>
      </w:r>
    </w:p>
  </w:footnote>
  <w:footnote w:id="28">
    <w:p w14:paraId="2FF4C670" w14:textId="77777777" w:rsidR="00EF1D5F" w:rsidRDefault="00EF1D5F" w:rsidP="00963DA2">
      <w:pPr>
        <w:spacing w:line="160" w:lineRule="exact"/>
        <w:rPr>
          <w:sz w:val="14"/>
          <w:szCs w:val="14"/>
        </w:rPr>
      </w:pPr>
      <w:r w:rsidRPr="00963DA2">
        <w:rPr>
          <w:b/>
          <w:bCs/>
          <w:color w:val="C00000"/>
          <w:sz w:val="16"/>
          <w:szCs w:val="16"/>
        </w:rPr>
        <w:footnoteRef/>
      </w:r>
      <w:r w:rsidRPr="00963DA2">
        <w:rPr>
          <w:sz w:val="16"/>
          <w:szCs w:val="16"/>
        </w:rPr>
        <w:t xml:space="preserve"> En la vigencia 2020 fueron capacitados 2.734 servidores públicos, correspondiente ello al 15</w:t>
      </w:r>
      <w:r w:rsidRPr="00963DA2">
        <w:rPr>
          <w:rFonts w:ascii="Arial" w:eastAsia="Arial" w:hAnsi="Arial" w:cs="Arial"/>
          <w:sz w:val="16"/>
          <w:szCs w:val="16"/>
        </w:rPr>
        <w:t> </w:t>
      </w:r>
      <w:r w:rsidRPr="00963DA2">
        <w:rPr>
          <w:sz w:val="16"/>
          <w:szCs w:val="16"/>
        </w:rPr>
        <w:t>% del total de servidores públicos; en la vigencia 2021, 2.814 servidores públicos, correspondientes al 15</w:t>
      </w:r>
      <w:r w:rsidRPr="00963DA2">
        <w:rPr>
          <w:rFonts w:ascii="Arial" w:eastAsia="Arial" w:hAnsi="Arial" w:cs="Arial"/>
          <w:sz w:val="16"/>
          <w:szCs w:val="16"/>
        </w:rPr>
        <w:t> </w:t>
      </w:r>
      <w:r w:rsidRPr="00963DA2">
        <w:rPr>
          <w:sz w:val="16"/>
          <w:szCs w:val="16"/>
        </w:rPr>
        <w:t>%; en la vigencia 2022, 8.210, correspondientes al 40</w:t>
      </w:r>
      <w:r w:rsidRPr="00963DA2">
        <w:rPr>
          <w:rFonts w:ascii="Arial" w:eastAsia="Arial" w:hAnsi="Arial" w:cs="Arial"/>
          <w:sz w:val="16"/>
          <w:szCs w:val="16"/>
        </w:rPr>
        <w:t> </w:t>
      </w:r>
      <w:r w:rsidRPr="00963DA2">
        <w:rPr>
          <w:sz w:val="16"/>
          <w:szCs w:val="16"/>
        </w:rPr>
        <w:t>%, y para el cierre de la vigencia 2023, 6.209, correspondientes al 29,45</w:t>
      </w:r>
      <w:r w:rsidRPr="00963DA2">
        <w:rPr>
          <w:rFonts w:ascii="Arial" w:eastAsia="Arial" w:hAnsi="Arial" w:cs="Arial"/>
          <w:sz w:val="16"/>
          <w:szCs w:val="16"/>
        </w:rPr>
        <w:t> </w:t>
      </w:r>
      <w:r w:rsidRPr="00963DA2">
        <w:rPr>
          <w:sz w:val="16"/>
          <w:szCs w:val="16"/>
        </w:rPr>
        <w:t>%.</w:t>
      </w:r>
      <w:r>
        <w:rPr>
          <w:sz w:val="14"/>
          <w:szCs w:val="14"/>
          <w:highlight w:val="white"/>
        </w:rPr>
        <w:t xml:space="preserve"> </w:t>
      </w:r>
    </w:p>
  </w:footnote>
  <w:footnote w:id="29">
    <w:p w14:paraId="5C6D7D1E" w14:textId="77777777" w:rsidR="00EF1D5F" w:rsidRPr="00963DA2" w:rsidRDefault="00EF1D5F" w:rsidP="00963DA2">
      <w:pPr>
        <w:spacing w:line="160" w:lineRule="exact"/>
        <w:rPr>
          <w:sz w:val="16"/>
          <w:szCs w:val="16"/>
        </w:rPr>
      </w:pPr>
      <w:r w:rsidRPr="00963DA2">
        <w:rPr>
          <w:b/>
          <w:bCs/>
          <w:color w:val="C00000"/>
          <w:sz w:val="16"/>
          <w:szCs w:val="16"/>
        </w:rPr>
        <w:footnoteRef/>
      </w:r>
      <w:r w:rsidRPr="00963DA2">
        <w:rPr>
          <w:sz w:val="16"/>
          <w:szCs w:val="16"/>
        </w:rPr>
        <w:t xml:space="preserve"> Gestión del Rendimiento: Es un subsistema fundamental en la gestión de recursos humanos, ya que permite planificar, estimular y evaluar la contribución de las personas dentro de la organización. De esta manera, se logra impulsar el éxito de la entidad y aumentar la eficiencia de los colaboradores. Fue propuesto por la metodología del Banco Interamericano de Desarrollo (BID). https://drive.google.com/file/d/1BQRc_xU_z-u6pBTRi90KQmf6WEpEmabe/view</w:t>
      </w:r>
    </w:p>
  </w:footnote>
  <w:footnote w:id="30">
    <w:p w14:paraId="5A4A61DE" w14:textId="77777777" w:rsidR="00EF1D5F" w:rsidRPr="00C519AB" w:rsidRDefault="00EF1D5F" w:rsidP="00C519AB">
      <w:pPr>
        <w:spacing w:line="160" w:lineRule="exact"/>
        <w:rPr>
          <w:sz w:val="16"/>
          <w:szCs w:val="16"/>
        </w:rPr>
      </w:pPr>
      <w:r w:rsidRPr="00C519AB">
        <w:rPr>
          <w:b/>
          <w:bCs/>
          <w:color w:val="C00000"/>
          <w:sz w:val="16"/>
          <w:szCs w:val="16"/>
        </w:rPr>
        <w:footnoteRef/>
      </w:r>
      <w:r w:rsidRPr="00C519AB">
        <w:rPr>
          <w:sz w:val="16"/>
          <w:szCs w:val="16"/>
        </w:rPr>
        <w:t xml:space="preserve"> </w:t>
      </w:r>
      <w:r w:rsidRPr="00C519AB">
        <w:rPr>
          <w:i/>
          <w:sz w:val="16"/>
          <w:szCs w:val="16"/>
        </w:rPr>
        <w:t xml:space="preserve">Defacement </w:t>
      </w:r>
      <w:r w:rsidRPr="00C519AB">
        <w:rPr>
          <w:sz w:val="16"/>
          <w:szCs w:val="16"/>
        </w:rPr>
        <w:t>(en inglés, desfiguración) es un ataque a un sitio web que cambia la apariencia visual de una página web. El</w:t>
      </w:r>
      <w:r w:rsidRPr="00C519AB">
        <w:rPr>
          <w:i/>
          <w:sz w:val="16"/>
          <w:szCs w:val="16"/>
        </w:rPr>
        <w:t xml:space="preserve"> defacement </w:t>
      </w:r>
      <w:r w:rsidRPr="00C519AB">
        <w:rPr>
          <w:sz w:val="16"/>
          <w:szCs w:val="16"/>
        </w:rPr>
        <w:t>es un acto malicioso en el cual un atacante, conocido como</w:t>
      </w:r>
      <w:r w:rsidRPr="00C519AB">
        <w:rPr>
          <w:i/>
          <w:sz w:val="16"/>
          <w:szCs w:val="16"/>
        </w:rPr>
        <w:t xml:space="preserve"> defacer</w:t>
      </w:r>
      <w:r w:rsidRPr="00C519AB">
        <w:rPr>
          <w:sz w:val="16"/>
          <w:szCs w:val="16"/>
        </w:rPr>
        <w:t>, modifica el contenido de una página web sin el consentimiento del propietario.</w:t>
      </w:r>
    </w:p>
  </w:footnote>
  <w:footnote w:id="31">
    <w:p w14:paraId="72997915" w14:textId="77777777" w:rsidR="00EF1D5F" w:rsidRDefault="00EF1D5F" w:rsidP="00C519AB">
      <w:pPr>
        <w:spacing w:line="160" w:lineRule="exact"/>
        <w:rPr>
          <w:sz w:val="14"/>
          <w:szCs w:val="14"/>
        </w:rPr>
      </w:pPr>
      <w:r w:rsidRPr="00C519AB">
        <w:rPr>
          <w:b/>
          <w:bCs/>
          <w:color w:val="C00000"/>
          <w:sz w:val="16"/>
          <w:szCs w:val="16"/>
        </w:rPr>
        <w:footnoteRef/>
      </w:r>
      <w:r w:rsidRPr="00C519AB">
        <w:rPr>
          <w:sz w:val="16"/>
          <w:szCs w:val="16"/>
        </w:rPr>
        <w:t xml:space="preserve"> El objetivo de los ataques de</w:t>
      </w:r>
      <w:r w:rsidRPr="00C519AB">
        <w:rPr>
          <w:i/>
          <w:sz w:val="16"/>
          <w:szCs w:val="16"/>
        </w:rPr>
        <w:t xml:space="preserve"> phishing </w:t>
      </w:r>
      <w:r w:rsidRPr="00C519AB">
        <w:rPr>
          <w:sz w:val="16"/>
          <w:szCs w:val="16"/>
        </w:rPr>
        <w:t>es robar o dañar datos confidenciales engañando a los usuarios para que desvelen su información personal, como contraseñas y números de tarjetas de crédito.</w:t>
      </w:r>
    </w:p>
  </w:footnote>
  <w:footnote w:id="32">
    <w:p w14:paraId="04C70901" w14:textId="77777777" w:rsidR="00EF1D5F" w:rsidRPr="00DF2560" w:rsidRDefault="00EF1D5F" w:rsidP="00DF2560">
      <w:pPr>
        <w:spacing w:line="160" w:lineRule="exact"/>
        <w:rPr>
          <w:sz w:val="16"/>
          <w:szCs w:val="16"/>
        </w:rPr>
      </w:pPr>
      <w:r w:rsidRPr="00DF2560">
        <w:rPr>
          <w:b/>
          <w:bCs/>
          <w:color w:val="C00000"/>
          <w:sz w:val="16"/>
          <w:szCs w:val="16"/>
        </w:rPr>
        <w:footnoteRef/>
      </w:r>
      <w:r w:rsidRPr="00DF2560">
        <w:rPr>
          <w:sz w:val="16"/>
          <w:szCs w:val="16"/>
        </w:rPr>
        <w:t xml:space="preserve"> El campus hace parte de la gran apuesta por el fortalecimiento del ecosistema productivo de la ciudad, concebido desde el objetivo 3 Bogotá confía en su potencial.</w:t>
      </w:r>
    </w:p>
  </w:footnote>
  <w:footnote w:id="33">
    <w:p w14:paraId="62B10DE7" w14:textId="77777777" w:rsidR="00EF1D5F" w:rsidRPr="00AB1519" w:rsidRDefault="00EF1D5F" w:rsidP="00AB1519">
      <w:pPr>
        <w:spacing w:line="160" w:lineRule="exact"/>
        <w:rPr>
          <w:sz w:val="16"/>
          <w:szCs w:val="16"/>
        </w:rPr>
      </w:pPr>
      <w:r w:rsidRPr="00AB1519">
        <w:rPr>
          <w:b/>
          <w:bCs/>
          <w:color w:val="C00000"/>
          <w:sz w:val="16"/>
          <w:szCs w:val="16"/>
        </w:rPr>
        <w:footnoteRef/>
      </w:r>
      <w:r w:rsidRPr="00AB1519">
        <w:rPr>
          <w:sz w:val="16"/>
          <w:szCs w:val="16"/>
        </w:rPr>
        <w:t xml:space="preserve"> </w:t>
      </w:r>
      <w:r w:rsidRPr="00AB1519">
        <w:rPr>
          <w:rFonts w:eastAsia="Arial" w:cs="Arial"/>
          <w:sz w:val="16"/>
          <w:szCs w:val="16"/>
        </w:rPr>
        <w:t>Una aglomeración es un espacio que reúne un número de territorios, y donde existe una serie de relaciones funcionales y fenómenos (concentraciones específicas de población, o dispersión, y problemáticas de seguridad). Es un espacio que perdió esas barreras o fronteras administrativas, y donde hay una serie de fenómenos o problemáticas en común.</w:t>
      </w:r>
    </w:p>
  </w:footnote>
  <w:footnote w:id="34">
    <w:p w14:paraId="3D6F4D01" w14:textId="77777777" w:rsidR="00EF1D5F" w:rsidRPr="00400D0D" w:rsidRDefault="00EF1D5F" w:rsidP="00400D0D">
      <w:pPr>
        <w:spacing w:line="160" w:lineRule="exact"/>
        <w:rPr>
          <w:sz w:val="16"/>
          <w:szCs w:val="16"/>
        </w:rPr>
      </w:pPr>
      <w:r w:rsidRPr="00400D0D">
        <w:rPr>
          <w:b/>
          <w:bCs/>
          <w:color w:val="C00000"/>
          <w:sz w:val="16"/>
          <w:szCs w:val="16"/>
        </w:rPr>
        <w:footnoteRef/>
      </w:r>
      <w:r w:rsidRPr="00400D0D">
        <w:rPr>
          <w:sz w:val="16"/>
          <w:szCs w:val="16"/>
        </w:rPr>
        <w:t xml:space="preserve"> Saldo cupo aprobado cuatrienio 2016-2019 + acuerdos 781 de 2020 y 840 de 2022.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A365E1" w14:textId="77777777" w:rsidR="00911E05" w:rsidRDefault="00911E05" w:rsidP="00FE1C10">
    <w:r>
      <w:rPr>
        <w:noProof/>
      </w:rPr>
      <mc:AlternateContent>
        <mc:Choice Requires="wps">
          <w:drawing>
            <wp:anchor distT="0" distB="0" distL="118745" distR="118745" simplePos="0" relativeHeight="251659264" behindDoc="1" locked="0" layoutInCell="1" allowOverlap="0" wp14:anchorId="3E869FD9" wp14:editId="593F7D46">
              <wp:simplePos x="0" y="0"/>
              <wp:positionH relativeFrom="margin">
                <wp:align>center</wp:align>
              </wp:positionH>
              <wp:positionV relativeFrom="page">
                <wp:posOffset>711835</wp:posOffset>
              </wp:positionV>
              <wp:extent cx="1980000" cy="226748"/>
              <wp:effectExtent l="0" t="0" r="1270" b="1905"/>
              <wp:wrapSquare wrapText="bothSides"/>
              <wp:docPr id="5" name="Rectángulo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9F4E93" w14:textId="7173FDED" w:rsidR="00911E05" w:rsidRPr="006D49BF" w:rsidRDefault="00911E05"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1C961155" w14:textId="77777777" w:rsidR="00911E05" w:rsidRPr="00CD5734" w:rsidRDefault="00911E05" w:rsidP="006D49BF">
                          <w:pPr>
                            <w:spacing w:line="160" w:lineRule="exact"/>
                            <w:rPr>
                              <w:caps/>
                              <w:color w:val="FFFFFF" w:themeColor="background1"/>
                              <w:sz w:val="16"/>
                              <w:szCs w:val="11"/>
                              <w:lang w:val="es-ES_tradn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E869FD9" id="Rectángulo 5" o:spid="_x0000_s1033" style="position:absolute;left:0;text-align:left;margin-left:0;margin-top:56.05pt;width:155.9pt;height:17.85pt;z-index:-251657216;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" o:allowoverlap="f" fillcolor="#c00000" stroked="f" strokeweight="1pt">
              <o:lock v:ext="edit" aspectratio="t"/>
              <v:textbox>
                <w:txbxContent>
                  <w:p w14:paraId="0A9F4E93" w14:textId="7173FDED" w:rsidR="00911E05" w:rsidRPr="006D49BF" w:rsidRDefault="00911E05"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1C961155" w14:textId="77777777" w:rsidR="00911E05" w:rsidRPr="00CD5734" w:rsidRDefault="00911E05" w:rsidP="006D49BF">
                    <w:pPr>
                      <w:spacing w:line="160" w:lineRule="exact"/>
                      <w:rPr>
                        <w:caps/>
                        <w:color w:val="FFFFFF" w:themeColor="background1"/>
                        <w:sz w:val="16"/>
                        <w:szCs w:val="11"/>
                        <w:lang w:val="es-ES_tradnl"/>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660288" behindDoc="0" locked="0" layoutInCell="1" allowOverlap="1" wp14:anchorId="5183827A" wp14:editId="1F951D9E">
              <wp:simplePos x="0" y="0"/>
              <wp:positionH relativeFrom="column">
                <wp:posOffset>226695</wp:posOffset>
              </wp:positionH>
              <wp:positionV relativeFrom="paragraph">
                <wp:posOffset>-426085</wp:posOffset>
              </wp:positionV>
              <wp:extent cx="428263" cy="1608881"/>
              <wp:effectExtent l="0" t="0" r="3810" b="4445"/>
              <wp:wrapNone/>
              <wp:docPr id="1" name="Rectángulo 1"/>
              <wp:cNvGraphicFramePr/>
              <a:graphic xmlns:a="http://schemas.openxmlformats.org/drawingml/2006/main">
                <a:graphicData uri="http://schemas.microsoft.com/office/word/2010/wordprocessingShape">
                  <wps:wsp>
                    <wps:cNvSpPr/>
                    <wps:spPr>
                      <a:xfrm>
                        <a:off x="0" y="0"/>
                        <a:ext cx="428263" cy="160888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0984F6" id="Rectángulo 1" o:spid="_x0000_s1026" style="position:absolute;margin-left:17.85pt;margin-top:-33.55pt;width:33.7pt;height:126.7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" fillcolor="white [3212]" stroked="f" strokeweight="1pt"/>
          </w:pict>
        </mc:Fallback>
      </mc:AlternateContent>
    </w: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B4FEFF" w14:textId="77777777" w:rsidR="00FF001B" w:rsidRDefault="00FF001B" w:rsidP="00FE1C10">
    <w:r>
      <w:rPr>
        <w:noProof/>
      </w:rPr>
      <mc:AlternateContent>
        <mc:Choice Requires="wps">
          <w:drawing>
            <wp:anchor distT="0" distB="0" distL="118745" distR="118745" simplePos="0" relativeHeight="251724800" behindDoc="1" locked="0" layoutInCell="1" allowOverlap="0" wp14:anchorId="72A74683" wp14:editId="1649138B">
              <wp:simplePos x="0" y="0"/>
              <wp:positionH relativeFrom="margin">
                <wp:align>center</wp:align>
              </wp:positionH>
              <wp:positionV relativeFrom="page">
                <wp:posOffset>711835</wp:posOffset>
              </wp:positionV>
              <wp:extent cx="1980000" cy="226748"/>
              <wp:effectExtent l="0" t="0" r="1270" b="1905"/>
              <wp:wrapSquare wrapText="bothSides"/>
              <wp:docPr id="1051510002" name="Rectángulo 10515100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F5AB2B"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54B495C5" w14:textId="77777777" w:rsidR="00FF001B" w:rsidRPr="00CD5734" w:rsidRDefault="00FF001B" w:rsidP="00CB1E45">
                          <w:pPr>
                            <w:spacing w:line="160" w:lineRule="exact"/>
                            <w:rPr>
                              <w:caps/>
                              <w:color w:val="FFFFFF" w:themeColor="background1"/>
                              <w:sz w:val="16"/>
                              <w:szCs w:val="11"/>
                              <w:lang w:val="es-ES_tradnl"/>
                            </w:rPr>
                          </w:pPr>
                        </w:p>
                        <w:p w14:paraId="2EE277DD" w14:textId="77777777" w:rsidR="00FF001B" w:rsidRPr="003B0A5C" w:rsidRDefault="00FF001B" w:rsidP="003B0A5C">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2A74683" id="Rectángulo 1051510002" o:spid="_x0000_s1041" style="position:absolute;left:0;text-align:left;margin-left:0;margin-top:56.05pt;width:155.9pt;height:17.85pt;z-index:-251591680;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PY1lw+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7DF5AB2B"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54B495C5" w14:textId="77777777" w:rsidR="00FF001B" w:rsidRPr="00CD5734" w:rsidRDefault="00FF001B" w:rsidP="00CB1E45">
                    <w:pPr>
                      <w:spacing w:line="160" w:lineRule="exact"/>
                      <w:rPr>
                        <w:caps/>
                        <w:color w:val="FFFFFF" w:themeColor="background1"/>
                        <w:sz w:val="16"/>
                        <w:szCs w:val="11"/>
                        <w:lang w:val="es-ES_tradnl"/>
                      </w:rPr>
                    </w:pPr>
                  </w:p>
                  <w:p w14:paraId="2EE277DD" w14:textId="77777777" w:rsidR="00FF001B" w:rsidRPr="003B0A5C" w:rsidRDefault="00FF001B" w:rsidP="003B0A5C">
                    <w:pPr>
                      <w:spacing w:line="160" w:lineRule="exact"/>
                      <w:jc w:val="center"/>
                      <w:rPr>
                        <w:caps/>
                        <w:color w:val="FFFFFF" w:themeColor="background1"/>
                        <w:sz w:val="16"/>
                        <w:szCs w:val="11"/>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25824" behindDoc="0" locked="0" layoutInCell="1" allowOverlap="1" wp14:anchorId="0C7F6A08" wp14:editId="0F1360AB">
              <wp:simplePos x="0" y="0"/>
              <wp:positionH relativeFrom="column">
                <wp:posOffset>226695</wp:posOffset>
              </wp:positionH>
              <wp:positionV relativeFrom="paragraph">
                <wp:posOffset>-426085</wp:posOffset>
              </wp:positionV>
              <wp:extent cx="428263" cy="1608881"/>
              <wp:effectExtent l="0" t="0" r="3810" b="4445"/>
              <wp:wrapNone/>
              <wp:docPr id="2024628017" name="Rectángulo 2024628017"/>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9FFA01" id="Rectángulo 2024628017" o:spid="_x0000_s1026" style="position:absolute;margin-left:17.85pt;margin-top:-33.55pt;width:33.7pt;height:126.7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D54463" w14:textId="1E886D56" w:rsidR="00FF001B" w:rsidRDefault="00FF001B" w:rsidP="00FE1C10">
    <w:r>
      <w:rPr>
        <w:noProof/>
      </w:rPr>
      <mc:AlternateContent>
        <mc:Choice Requires="wps">
          <w:drawing>
            <wp:anchor distT="0" distB="0" distL="118745" distR="118745" simplePos="0" relativeHeight="251727872" behindDoc="1" locked="0" layoutInCell="1" allowOverlap="0" wp14:anchorId="5AAD76C2" wp14:editId="4BB1E6CA">
              <wp:simplePos x="0" y="0"/>
              <wp:positionH relativeFrom="margin">
                <wp:align>center</wp:align>
              </wp:positionH>
              <wp:positionV relativeFrom="page">
                <wp:posOffset>711835</wp:posOffset>
              </wp:positionV>
              <wp:extent cx="1980000" cy="226748"/>
              <wp:effectExtent l="0" t="0" r="1270" b="1905"/>
              <wp:wrapSquare wrapText="bothSides"/>
              <wp:docPr id="17129020" name="Rectángulo 171290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598D25"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AAD76C2" id="Rectángulo 17129020" o:spid="_x0000_s1042" style="position:absolute;left:0;text-align:left;margin-left:0;margin-top:56.05pt;width:155.9pt;height:17.85pt;z-index:-251588608;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CBXX4K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2D598D25"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txbxContent>
              </v:textbox>
              <w10:wrap type="square" anchorx="margin"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2863BA" w14:textId="77777777" w:rsidR="00C62C3B" w:rsidRDefault="00C62C3B">
    <w:pPr>
      <w:pBdr>
        <w:top w:val="nil"/>
        <w:left w:val="nil"/>
        <w:bottom w:val="nil"/>
        <w:right w:val="nil"/>
        <w:between w:val="nil"/>
      </w:pBdr>
      <w:tabs>
        <w:tab w:val="center" w:pos="4419"/>
        <w:tab w:val="right" w:pos="8838"/>
      </w:tabs>
      <w:spacing w:line="200" w:lineRule="auto"/>
      <w:rPr>
        <w:color w:val="3B3838"/>
        <w:sz w:val="16"/>
        <w:szCs w:val="16"/>
      </w:rPr>
    </w:pPr>
  </w:p>
  <w:p w14:paraId="02869B49" w14:textId="77777777" w:rsidR="00C62C3B" w:rsidRDefault="00C62C3B"/>
  <w:p w14:paraId="00FFE24A" w14:textId="77777777" w:rsidR="00C62C3B" w:rsidRDefault="00C62C3B">
    <w:r w:rsidRPr="00F94B24">
      <w:rPr>
        <w:noProof/>
        <w:color w:val="3B3838"/>
        <w:sz w:val="16"/>
        <w:szCs w:val="16"/>
      </w:rPr>
      <mc:AlternateContent>
        <mc:Choice Requires="wps">
          <w:drawing>
            <wp:anchor distT="0" distB="0" distL="118745" distR="118745" simplePos="0" relativeHeight="251665408" behindDoc="1" locked="0" layoutInCell="1" allowOverlap="0" wp14:anchorId="50E01079" wp14:editId="3EE4C2A8">
              <wp:simplePos x="0" y="0"/>
              <wp:positionH relativeFrom="margin">
                <wp:posOffset>1810385</wp:posOffset>
              </wp:positionH>
              <wp:positionV relativeFrom="page">
                <wp:posOffset>824865</wp:posOffset>
              </wp:positionV>
              <wp:extent cx="2002155" cy="221615"/>
              <wp:effectExtent l="0" t="0" r="4445" b="0"/>
              <wp:wrapSquare wrapText="bothSides"/>
              <wp:docPr id="16" name="Rectángulo 16"/>
              <wp:cNvGraphicFramePr/>
              <a:graphic xmlns:a="http://schemas.openxmlformats.org/drawingml/2006/main">
                <a:graphicData uri="http://schemas.microsoft.com/office/word/2010/wordprocessingShape">
                  <wps:wsp>
                    <wps:cNvSpPr/>
                    <wps:spPr>
                      <a:xfrm>
                        <a:off x="0" y="0"/>
                        <a:ext cx="2002155" cy="22161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78E7F" w14:textId="77777777" w:rsidR="00C62C3B" w:rsidRPr="00080060" w:rsidRDefault="00C62C3B" w:rsidP="00F94B24">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0C725763" w14:textId="77777777" w:rsidR="00C62C3B" w:rsidRPr="003B0A5C" w:rsidRDefault="00C62C3B" w:rsidP="00F94B24">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0E01079" id="Rectángulo 16" o:spid="_x0000_s1043" style="position:absolute;left:0;text-align:left;margin-left:142.55pt;margin-top:64.95pt;width:157.65pt;height:17.45pt;z-index:-251651072;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" o:allowoverlap="f" fillcolor="#c00000" stroked="f" strokeweight="1pt">
              <v:textbox>
                <w:txbxContent>
                  <w:p w14:paraId="15878E7F" w14:textId="77777777" w:rsidR="00C62C3B" w:rsidRPr="00080060" w:rsidRDefault="00C62C3B" w:rsidP="00F94B24">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0C725763" w14:textId="77777777" w:rsidR="00C62C3B" w:rsidRPr="003B0A5C" w:rsidRDefault="00C62C3B" w:rsidP="00F94B24">
                    <w:pPr>
                      <w:spacing w:line="160" w:lineRule="exact"/>
                      <w:jc w:val="center"/>
                      <w:rPr>
                        <w:caps/>
                        <w:color w:val="FFFFFF" w:themeColor="background1"/>
                        <w:sz w:val="16"/>
                        <w:szCs w:val="11"/>
                      </w:rPr>
                    </w:pPr>
                  </w:p>
                </w:txbxContent>
              </v:textbox>
              <w10:wrap type="square" anchorx="margin" anchory="page"/>
            </v:rect>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E3E914" w14:textId="77777777" w:rsidR="008C3A64" w:rsidRDefault="008C3A64" w:rsidP="00FE1C10">
    <w:r>
      <w:rPr>
        <w:noProof/>
      </w:rPr>
      <mc:AlternateContent>
        <mc:Choice Requires="wps">
          <w:drawing>
            <wp:anchor distT="0" distB="0" distL="118745" distR="118745" simplePos="0" relativeHeight="251667456" behindDoc="1" locked="0" layoutInCell="1" allowOverlap="0" wp14:anchorId="0D5D509A" wp14:editId="4FE9CA62">
              <wp:simplePos x="0" y="0"/>
              <wp:positionH relativeFrom="margin">
                <wp:posOffset>2104390</wp:posOffset>
              </wp:positionH>
              <wp:positionV relativeFrom="page">
                <wp:posOffset>711835</wp:posOffset>
              </wp:positionV>
              <wp:extent cx="1403350" cy="222885"/>
              <wp:effectExtent l="0" t="0" r="6350" b="5715"/>
              <wp:wrapSquare wrapText="bothSides"/>
              <wp:docPr id="27" name="Rectángulo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3350" cy="22288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ED7B7C" w14:textId="77777777" w:rsidR="008C3A64" w:rsidRPr="00080060" w:rsidRDefault="008C3A64" w:rsidP="00F5321A">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28A73D35" w14:textId="77777777" w:rsidR="008C3A64" w:rsidRPr="007D3FF8" w:rsidRDefault="008C3A64" w:rsidP="007D3FF8">
                          <w:pPr>
                            <w:spacing w:line="160" w:lineRule="exact"/>
                            <w:jc w:val="center"/>
                            <w:rPr>
                              <w:rFonts w:eastAsia="Arial Narrow" w:cs="Arial Narrow"/>
                              <w:b/>
                              <w:bCs/>
                              <w:i/>
                              <w:iCs/>
                              <w:color w:val="FFFFFF" w:themeColor="background1"/>
                              <w:sz w:val="16"/>
                              <w:szCs w:val="1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D5D509A" id="Rectángulo 27" o:spid="_x0000_s1044" style="position:absolute;left:0;text-align:left;margin-left:165.7pt;margin-top:56.05pt;width:110.5pt;height:17.55pt;z-index:-251649024;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" o:allowoverlap="f" fillcolor="#c00000" stroked="f" strokeweight="1pt">
              <v:textbox>
                <w:txbxContent>
                  <w:p w14:paraId="63ED7B7C" w14:textId="77777777" w:rsidR="008C3A64" w:rsidRPr="00080060" w:rsidRDefault="008C3A64" w:rsidP="00F5321A">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28A73D35" w14:textId="77777777" w:rsidR="008C3A64" w:rsidRPr="007D3FF8" w:rsidRDefault="008C3A64" w:rsidP="007D3FF8">
                    <w:pPr>
                      <w:spacing w:line="160" w:lineRule="exact"/>
                      <w:jc w:val="center"/>
                      <w:rPr>
                        <w:rFonts w:eastAsia="Arial Narrow" w:cs="Arial Narrow"/>
                        <w:b/>
                        <w:bCs/>
                        <w:i/>
                        <w:iCs/>
                        <w:color w:val="FFFFFF" w:themeColor="background1"/>
                        <w:sz w:val="16"/>
                        <w:szCs w:val="10"/>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668480" behindDoc="0" locked="0" layoutInCell="1" allowOverlap="1" wp14:anchorId="5705F268" wp14:editId="1A3173B3">
              <wp:simplePos x="0" y="0"/>
              <wp:positionH relativeFrom="column">
                <wp:posOffset>226695</wp:posOffset>
              </wp:positionH>
              <wp:positionV relativeFrom="paragraph">
                <wp:posOffset>-426085</wp:posOffset>
              </wp:positionV>
              <wp:extent cx="428263" cy="1608881"/>
              <wp:effectExtent l="0" t="0" r="3810" b="4445"/>
              <wp:wrapNone/>
              <wp:docPr id="28" name="Rectángulo 28"/>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7B18C0" id="Rectángulo 28" o:spid="_x0000_s1026" style="position:absolute;margin-left:17.85pt;margin-top:-33.55pt;width:33.7pt;height:126.7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" fillcolor="white [3212]" stroked="f" strokeweight="1pt"/>
          </w:pict>
        </mc:Fallback>
      </mc:AlternateContent>
    </w:r>
    <w:r>
      <w:tab/>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78627" w14:textId="77777777" w:rsidR="0083520B" w:rsidRDefault="0083520B" w:rsidP="00FE1C10">
    <w:r>
      <w:rPr>
        <w:noProof/>
      </w:rPr>
      <mc:AlternateContent>
        <mc:Choice Requires="wps">
          <w:drawing>
            <wp:anchor distT="0" distB="0" distL="118745" distR="118745" simplePos="0" relativeHeight="251670528" behindDoc="1" locked="0" layoutInCell="1" allowOverlap="0" wp14:anchorId="74A33A52" wp14:editId="350159F8">
              <wp:simplePos x="0" y="0"/>
              <wp:positionH relativeFrom="margin">
                <wp:align>center</wp:align>
              </wp:positionH>
              <wp:positionV relativeFrom="page">
                <wp:posOffset>716280</wp:posOffset>
              </wp:positionV>
              <wp:extent cx="1798320" cy="205740"/>
              <wp:effectExtent l="0" t="0" r="0" b="3810"/>
              <wp:wrapSquare wrapText="bothSides"/>
              <wp:docPr id="34" name="Rectángulo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8320" cy="20574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945764" w14:textId="77777777" w:rsidR="0083520B" w:rsidRPr="000B187A" w:rsidRDefault="0083520B" w:rsidP="000B187A">
                          <w:pPr>
                            <w:spacing w:line="160" w:lineRule="exact"/>
                            <w:jc w:val="center"/>
                            <w:rPr>
                              <w:rFonts w:eastAsia="Arial Narrow" w:cs="Arial Narrow"/>
                              <w:b/>
                              <w:bCs/>
                              <w:color w:val="FFFFFF" w:themeColor="background1"/>
                              <w:sz w:val="16"/>
                              <w:szCs w:val="10"/>
                            </w:rPr>
                          </w:pPr>
                          <w:r w:rsidRPr="000B187A">
                            <w:rPr>
                              <w:rFonts w:eastAsia="Arial Narrow" w:cs="Arial Narrow"/>
                              <w:b/>
                              <w:bCs/>
                              <w:color w:val="FFFFFF" w:themeColor="background1"/>
                              <w:sz w:val="16"/>
                              <w:szCs w:val="10"/>
                            </w:rPr>
                            <w:t xml:space="preserve">Nuestra estrategia </w:t>
                          </w:r>
                        </w:p>
                        <w:p w14:paraId="77E95358" w14:textId="77777777" w:rsidR="0083520B" w:rsidRPr="00092363" w:rsidRDefault="0083520B" w:rsidP="007D3FF8">
                          <w:pPr>
                            <w:spacing w:line="160" w:lineRule="exact"/>
                            <w:jc w:val="center"/>
                            <w:rPr>
                              <w:rFonts w:eastAsia="Arial Narrow" w:cs="Arial Narrow"/>
                              <w:b/>
                              <w:bCs/>
                              <w:i/>
                              <w:iCs/>
                              <w:color w:val="FFFFFF" w:themeColor="background1"/>
                              <w:sz w:val="16"/>
                              <w:szCs w:val="10"/>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4A33A52" id="Rectángulo 34" o:spid="_x0000_s1045" style="position:absolute;left:0;text-align:left;margin-left:0;margin-top:56.4pt;width:141.6pt;height:16.2pt;z-index:-251645952;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" o:allowoverlap="f" fillcolor="#c00000" stroked="f" strokeweight="1pt">
              <v:textbox>
                <w:txbxContent>
                  <w:p w14:paraId="0A945764" w14:textId="77777777" w:rsidR="0083520B" w:rsidRPr="000B187A" w:rsidRDefault="0083520B" w:rsidP="000B187A">
                    <w:pPr>
                      <w:spacing w:line="160" w:lineRule="exact"/>
                      <w:jc w:val="center"/>
                      <w:rPr>
                        <w:rFonts w:eastAsia="Arial Narrow" w:cs="Arial Narrow"/>
                        <w:b/>
                        <w:bCs/>
                        <w:color w:val="FFFFFF" w:themeColor="background1"/>
                        <w:sz w:val="16"/>
                        <w:szCs w:val="10"/>
                      </w:rPr>
                    </w:pPr>
                    <w:r w:rsidRPr="000B187A">
                      <w:rPr>
                        <w:rFonts w:eastAsia="Arial Narrow" w:cs="Arial Narrow"/>
                        <w:b/>
                        <w:bCs/>
                        <w:color w:val="FFFFFF" w:themeColor="background1"/>
                        <w:sz w:val="16"/>
                        <w:szCs w:val="10"/>
                      </w:rPr>
                      <w:t xml:space="preserve">Nuestra estrategia </w:t>
                    </w:r>
                  </w:p>
                  <w:p w14:paraId="77E95358" w14:textId="77777777" w:rsidR="0083520B" w:rsidRPr="00092363" w:rsidRDefault="0083520B" w:rsidP="007D3FF8">
                    <w:pPr>
                      <w:spacing w:line="160" w:lineRule="exact"/>
                      <w:jc w:val="center"/>
                      <w:rPr>
                        <w:rFonts w:eastAsia="Arial Narrow" w:cs="Arial Narrow"/>
                        <w:b/>
                        <w:bCs/>
                        <w:i/>
                        <w:iCs/>
                        <w:color w:val="FFFFFF" w:themeColor="background1"/>
                        <w:sz w:val="16"/>
                        <w:szCs w:val="10"/>
                        <w:lang w:val="es-ES"/>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671552" behindDoc="0" locked="0" layoutInCell="1" allowOverlap="1" wp14:anchorId="0FE55471" wp14:editId="6BE52241">
              <wp:simplePos x="0" y="0"/>
              <wp:positionH relativeFrom="column">
                <wp:posOffset>226695</wp:posOffset>
              </wp:positionH>
              <wp:positionV relativeFrom="paragraph">
                <wp:posOffset>-426085</wp:posOffset>
              </wp:positionV>
              <wp:extent cx="428263" cy="1608881"/>
              <wp:effectExtent l="0" t="0" r="3810" b="4445"/>
              <wp:wrapNone/>
              <wp:docPr id="35" name="Rectángulo 35"/>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0041F9" id="Rectángulo 35" o:spid="_x0000_s1026" style="position:absolute;margin-left:17.85pt;margin-top:-33.55pt;width:33.7pt;height:126.7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" fillcolor="white [3212]" stroked="f" strokeweight="1pt"/>
          </w:pict>
        </mc:Fallback>
      </mc:AlternateContent>
    </w:r>
    <w:r>
      <w:tab/>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29D80" w14:textId="77777777" w:rsidR="00513F0E" w:rsidRDefault="00513F0E">
    <w:pPr>
      <w:pStyle w:val="Encabezado"/>
    </w:pPr>
    <w:r w:rsidRPr="00FB2D4B">
      <w:rPr>
        <w:noProof/>
      </w:rPr>
      <mc:AlternateContent>
        <mc:Choice Requires="wps">
          <w:drawing>
            <wp:anchor distT="0" distB="0" distL="118745" distR="118745" simplePos="0" relativeHeight="251673600" behindDoc="1" locked="0" layoutInCell="1" allowOverlap="0" wp14:anchorId="3A33114C" wp14:editId="542B583D">
              <wp:simplePos x="0" y="0"/>
              <wp:positionH relativeFrom="margin">
                <wp:posOffset>1810385</wp:posOffset>
              </wp:positionH>
              <wp:positionV relativeFrom="page">
                <wp:posOffset>878205</wp:posOffset>
              </wp:positionV>
              <wp:extent cx="2002155" cy="221615"/>
              <wp:effectExtent l="0" t="0" r="4445" b="0"/>
              <wp:wrapSquare wrapText="bothSides"/>
              <wp:docPr id="37" name="Rectángulo 37"/>
              <wp:cNvGraphicFramePr/>
              <a:graphic xmlns:a="http://schemas.openxmlformats.org/drawingml/2006/main">
                <a:graphicData uri="http://schemas.microsoft.com/office/word/2010/wordprocessingShape">
                  <wps:wsp>
                    <wps:cNvSpPr/>
                    <wps:spPr>
                      <a:xfrm>
                        <a:off x="0" y="0"/>
                        <a:ext cx="2002155" cy="22161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BD695F" w14:textId="77777777" w:rsidR="00513F0E" w:rsidRPr="00080060" w:rsidRDefault="00513F0E" w:rsidP="00FB2D4B">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38806935" w14:textId="77777777" w:rsidR="00513F0E" w:rsidRPr="003B0A5C" w:rsidRDefault="00513F0E" w:rsidP="00FB2D4B">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A33114C" id="Rectángulo 37" o:spid="_x0000_s1046" style="position:absolute;left:0;text-align:left;margin-left:142.55pt;margin-top:69.15pt;width:157.65pt;height:17.45pt;z-index:-25164288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" o:allowoverlap="f" fillcolor="#c00000" stroked="f" strokeweight="1pt">
              <v:textbox>
                <w:txbxContent>
                  <w:p w14:paraId="77BD695F" w14:textId="77777777" w:rsidR="00513F0E" w:rsidRPr="00080060" w:rsidRDefault="00513F0E" w:rsidP="00FB2D4B">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38806935" w14:textId="77777777" w:rsidR="00513F0E" w:rsidRPr="003B0A5C" w:rsidRDefault="00513F0E" w:rsidP="00FB2D4B">
                    <w:pPr>
                      <w:spacing w:line="160" w:lineRule="exact"/>
                      <w:jc w:val="center"/>
                      <w:rPr>
                        <w:caps/>
                        <w:color w:val="FFFFFF" w:themeColor="background1"/>
                        <w:sz w:val="16"/>
                        <w:szCs w:val="11"/>
                      </w:rPr>
                    </w:pPr>
                  </w:p>
                </w:txbxContent>
              </v:textbox>
              <w10:wrap type="square" anchorx="margin" anchory="page"/>
            </v:rect>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B96E79" w14:textId="77777777" w:rsidR="00F7619F" w:rsidRDefault="00F7619F" w:rsidP="00FE1C10">
    <w:r w:rsidRPr="00F15A0D">
      <w:rPr>
        <w:noProof/>
      </w:rPr>
      <mc:AlternateContent>
        <mc:Choice Requires="wps">
          <w:drawing>
            <wp:anchor distT="0" distB="0" distL="118745" distR="118745" simplePos="0" relativeHeight="251676672" behindDoc="1" locked="0" layoutInCell="1" allowOverlap="0" wp14:anchorId="5DED01C8" wp14:editId="686A31E4">
              <wp:simplePos x="0" y="0"/>
              <wp:positionH relativeFrom="margin">
                <wp:posOffset>1799590</wp:posOffset>
              </wp:positionH>
              <wp:positionV relativeFrom="page">
                <wp:posOffset>760730</wp:posOffset>
              </wp:positionV>
              <wp:extent cx="2002155" cy="221615"/>
              <wp:effectExtent l="0" t="0" r="4445" b="0"/>
              <wp:wrapSquare wrapText="bothSides"/>
              <wp:docPr id="41" name="Rectángulo 41"/>
              <wp:cNvGraphicFramePr/>
              <a:graphic xmlns:a="http://schemas.openxmlformats.org/drawingml/2006/main">
                <a:graphicData uri="http://schemas.microsoft.com/office/word/2010/wordprocessingShape">
                  <wps:wsp>
                    <wps:cNvSpPr/>
                    <wps:spPr>
                      <a:xfrm>
                        <a:off x="0" y="0"/>
                        <a:ext cx="2002155" cy="22161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E66FCE" w14:textId="77777777" w:rsidR="00F7619F" w:rsidRPr="00080060" w:rsidRDefault="00F7619F" w:rsidP="00F15A0D">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395BEF0E" w14:textId="77777777" w:rsidR="00F7619F" w:rsidRPr="003B0A5C" w:rsidRDefault="00F7619F" w:rsidP="00F15A0D">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ED01C8" id="Rectángulo 41" o:spid="_x0000_s1047" style="position:absolute;left:0;text-align:left;margin-left:141.7pt;margin-top:59.9pt;width:157.65pt;height:17.45pt;z-index:-251639808;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" o:allowoverlap="f" fillcolor="#c00000" stroked="f" strokeweight="1pt">
              <v:textbox>
                <w:txbxContent>
                  <w:p w14:paraId="0EE66FCE" w14:textId="77777777" w:rsidR="00F7619F" w:rsidRPr="00080060" w:rsidRDefault="00F7619F" w:rsidP="00F15A0D">
                    <w:pPr>
                      <w:spacing w:line="160" w:lineRule="exact"/>
                      <w:jc w:val="center"/>
                      <w:rPr>
                        <w:rFonts w:eastAsia="Arial Narrow" w:cs="Arial Narrow"/>
                        <w:color w:val="FFFFFF" w:themeColor="background1"/>
                        <w:sz w:val="16"/>
                        <w:szCs w:val="10"/>
                      </w:rPr>
                    </w:pPr>
                    <w:r w:rsidRPr="00080060">
                      <w:rPr>
                        <w:rFonts w:eastAsia="Arial Narrow" w:cs="Arial Narrow"/>
                        <w:b/>
                        <w:bCs/>
                        <w:color w:val="FFFFFF" w:themeColor="background1"/>
                        <w:sz w:val="16"/>
                        <w:szCs w:val="10"/>
                      </w:rPr>
                      <w:t xml:space="preserve">Nuestra estrategia </w:t>
                    </w:r>
                  </w:p>
                  <w:p w14:paraId="395BEF0E" w14:textId="77777777" w:rsidR="00F7619F" w:rsidRPr="003B0A5C" w:rsidRDefault="00F7619F" w:rsidP="00F15A0D">
                    <w:pPr>
                      <w:spacing w:line="160" w:lineRule="exact"/>
                      <w:jc w:val="center"/>
                      <w:rPr>
                        <w:caps/>
                        <w:color w:val="FFFFFF" w:themeColor="background1"/>
                        <w:sz w:val="16"/>
                        <w:szCs w:val="11"/>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675648" behindDoc="0" locked="0" layoutInCell="1" allowOverlap="1" wp14:anchorId="4D08E8AB" wp14:editId="69D2D716">
              <wp:simplePos x="0" y="0"/>
              <wp:positionH relativeFrom="column">
                <wp:posOffset>226695</wp:posOffset>
              </wp:positionH>
              <wp:positionV relativeFrom="paragraph">
                <wp:posOffset>-426085</wp:posOffset>
              </wp:positionV>
              <wp:extent cx="428263" cy="1608881"/>
              <wp:effectExtent l="0" t="0" r="3810" b="4445"/>
              <wp:wrapNone/>
              <wp:docPr id="42" name="Rectángulo 42"/>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AD3226" id="Rectángulo 42" o:spid="_x0000_s1026" style="position:absolute;margin-left:17.85pt;margin-top:-33.55pt;width:33.7pt;height:126.7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" fillcolor="white [3212]" stroked="f" strokeweight="1pt"/>
          </w:pict>
        </mc:Fallback>
      </mc:AlternateContent>
    </w:r>
    <w:r>
      <w:tab/>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B5F46C" w14:textId="77777777" w:rsidR="003F2AA2" w:rsidRDefault="003F2AA2">
    <w:r>
      <w:rPr>
        <w:noProof/>
      </w:rPr>
      <mc:AlternateContent>
        <mc:Choice Requires="wps">
          <w:drawing>
            <wp:anchor distT="0" distB="0" distL="114300" distR="114300" simplePos="0" relativeHeight="251678720" behindDoc="0" locked="0" layoutInCell="1" hidden="0" allowOverlap="1" wp14:anchorId="3F314A89" wp14:editId="6105493A">
              <wp:simplePos x="0" y="0"/>
              <wp:positionH relativeFrom="column">
                <wp:posOffset>215900</wp:posOffset>
              </wp:positionH>
              <wp:positionV relativeFrom="paragraph">
                <wp:posOffset>-419099</wp:posOffset>
              </wp:positionV>
              <wp:extent cx="437788" cy="1618406"/>
              <wp:effectExtent l="0" t="0" r="0" b="0"/>
              <wp:wrapNone/>
              <wp:docPr id="2133515977" name="Rectángulo 2133515977"/>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59B5D746" w14:textId="77777777" w:rsidR="003F2AA2" w:rsidRDefault="003F2AA2">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F314A89" id="Rectángulo 2133515977" o:spid="_x0000_s1048" style="position:absolute;left:0;text-align:left;margin-left:17pt;margin-top:-33pt;width:34.45pt;height:127.4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0hizg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rFqCaB&#10;cWlv2/MOiHd8q1DbE/NhxwBTUFAyYDIa6n8dGQhK9DeD1q+KRbnEKN0WcFvsbwtmeGcxcDwAJVPx&#10;EFIAJ7VfjsFKlRy4irnIxjtPHl7yGUN1WyfU9RVtfgM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Ie3SGLOAQAAjQMAAA4A&#10;AAAAAAAAAAAAAAAALgIAAGRycy9lMm9Eb2MueG1sUEsBAi0AFAAGAAgAAAAhAF2n08jdAAAACgEA&#10;AA8AAAAAAAAAAAAAAAAAKAQAAGRycy9kb3ducmV2LnhtbFBLBQYAAAAABAAEAPMAAAAyBQAAAAA=&#10;" fillcolor="white [3201]" stroked="f">
              <v:textbox inset="2.53958mm,2.53958mm,2.53958mm,2.53958mm">
                <w:txbxContent>
                  <w:p w14:paraId="59B5D746" w14:textId="77777777" w:rsidR="003F2AA2" w:rsidRDefault="003F2AA2">
                    <w:pPr>
                      <w:spacing w:line="240" w:lineRule="auto"/>
                      <w:jc w:val="left"/>
                      <w:textDirection w:val="btLr"/>
                    </w:pPr>
                  </w:p>
                </w:txbxContent>
              </v:textbox>
            </v:rect>
          </w:pict>
        </mc:Fallback>
      </mc:AlternateContent>
    </w:r>
  </w:p>
  <w:p w14:paraId="7C6EB17E" w14:textId="77777777" w:rsidR="003F2AA2" w:rsidRDefault="003F2AA2">
    <w:r>
      <w:rPr>
        <w:noProof/>
      </w:rPr>
      <mc:AlternateContent>
        <mc:Choice Requires="wps">
          <w:drawing>
            <wp:anchor distT="0" distB="0" distL="118745" distR="118745" simplePos="0" relativeHeight="251679744" behindDoc="0" locked="0" layoutInCell="1" hidden="0" allowOverlap="1" wp14:anchorId="22D71FA5" wp14:editId="31E5D429">
              <wp:simplePos x="0" y="0"/>
              <wp:positionH relativeFrom="margin">
                <wp:align>center</wp:align>
              </wp:positionH>
              <wp:positionV relativeFrom="page">
                <wp:posOffset>712470</wp:posOffset>
              </wp:positionV>
              <wp:extent cx="2348865" cy="221615"/>
              <wp:effectExtent l="0" t="0" r="635" b="0"/>
              <wp:wrapSquare wrapText="bothSides" distT="0" distB="0" distL="118745" distR="118745"/>
              <wp:docPr id="2133515979" name="Rectángulo 2133515979"/>
              <wp:cNvGraphicFramePr/>
              <a:graphic xmlns:a="http://schemas.openxmlformats.org/drawingml/2006/main">
                <a:graphicData uri="http://schemas.microsoft.com/office/word/2010/wordprocessingShape">
                  <wps:wsp>
                    <wps:cNvSpPr/>
                    <wps:spPr>
                      <a:xfrm>
                        <a:off x="0" y="0"/>
                        <a:ext cx="2348865" cy="221615"/>
                      </a:xfrm>
                      <a:prstGeom prst="rect">
                        <a:avLst/>
                      </a:prstGeom>
                      <a:solidFill>
                        <a:srgbClr val="C00000"/>
                      </a:solidFill>
                      <a:ln>
                        <a:noFill/>
                      </a:ln>
                    </wps:spPr>
                    <wps:txbx>
                      <w:txbxContent>
                        <w:p w14:paraId="046F4203" w14:textId="77777777" w:rsidR="003F2AA2" w:rsidRPr="0084610E" w:rsidRDefault="003F2AA2">
                          <w:pPr>
                            <w:spacing w:line="180" w:lineRule="auto"/>
                            <w:jc w:val="center"/>
                            <w:textDirection w:val="btLr"/>
                          </w:pPr>
                          <w:r w:rsidRPr="0084610E">
                            <w:rPr>
                              <w:color w:val="FFFFFF"/>
                              <w:sz w:val="16"/>
                            </w:rPr>
                            <w:t xml:space="preserve">Parte general objetivos, estrategias y programas </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2D71FA5" id="Rectángulo 2133515979" o:spid="_x0000_s1049" style="position:absolute;left:0;text-align:left;margin-left:0;margin-top:56.1pt;width:184.95pt;height:17.45pt;z-index:251679744;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" fillcolor="#c00000" stroked="f">
              <v:textbox inset="2.53958mm,1.2694mm,2.53958mm,1.2694mm">
                <w:txbxContent>
                  <w:p w14:paraId="046F4203" w14:textId="77777777" w:rsidR="003F2AA2" w:rsidRPr="0084610E" w:rsidRDefault="003F2AA2">
                    <w:pPr>
                      <w:spacing w:line="180" w:lineRule="auto"/>
                      <w:jc w:val="center"/>
                      <w:textDirection w:val="btLr"/>
                    </w:pPr>
                    <w:r w:rsidRPr="0084610E">
                      <w:rPr>
                        <w:color w:val="FFFFFF"/>
                        <w:sz w:val="16"/>
                      </w:rPr>
                      <w:t xml:space="preserve">Parte general objetivos, estrategias y programas </w:t>
                    </w:r>
                  </w:p>
                </w:txbxContent>
              </v:textbox>
              <w10:wrap type="square" anchorx="margin" anchory="page"/>
            </v:rect>
          </w:pict>
        </mc:Fallback>
      </mc:AlternateContent>
    </w:r>
  </w:p>
  <w:p w14:paraId="3D9C1BF2" w14:textId="77777777" w:rsidR="003F2AA2" w:rsidRDefault="003F2AA2">
    <w:pPr>
      <w:jc w:val="center"/>
    </w:pPr>
  </w:p>
  <w:p w14:paraId="28E8DF6B" w14:textId="77777777" w:rsidR="003F2AA2" w:rsidRDefault="003F2AA2">
    <w:pPr>
      <w:tabs>
        <w:tab w:val="left" w:pos="5158"/>
      </w:tabs>
    </w:pPr>
    <w:r>
      <w:tab/>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3E1525" w14:textId="77777777" w:rsidR="00B14E38" w:rsidRDefault="00B14E38">
    <w:pPr>
      <w:pStyle w:val="Encabezado"/>
    </w:pPr>
    <w:r>
      <w:rPr>
        <w:noProof/>
      </w:rPr>
      <mc:AlternateContent>
        <mc:Choice Requires="wps">
          <w:drawing>
            <wp:anchor distT="0" distB="0" distL="118745" distR="118745" simplePos="0" relativeHeight="251681792" behindDoc="1" locked="0" layoutInCell="1" allowOverlap="0" wp14:anchorId="1F0740DE" wp14:editId="7450387F">
              <wp:simplePos x="0" y="0"/>
              <wp:positionH relativeFrom="margin">
                <wp:posOffset>1582420</wp:posOffset>
              </wp:positionH>
              <wp:positionV relativeFrom="page">
                <wp:posOffset>626745</wp:posOffset>
              </wp:positionV>
              <wp:extent cx="2447925" cy="226695"/>
              <wp:effectExtent l="0" t="0" r="3175" b="1905"/>
              <wp:wrapSquare wrapText="bothSides"/>
              <wp:docPr id="331148129" name="Rectángulo 3311481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447925" cy="22669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BA980B" w14:textId="77777777" w:rsidR="00B14E38" w:rsidRPr="0084610E" w:rsidRDefault="00B14E38" w:rsidP="00F76DAB">
                          <w:pPr>
                            <w:spacing w:line="180" w:lineRule="auto"/>
                            <w:jc w:val="center"/>
                            <w:textDirection w:val="btLr"/>
                          </w:pPr>
                          <w:r w:rsidRPr="0084610E">
                            <w:rPr>
                              <w:color w:val="FFFFFF"/>
                              <w:sz w:val="16"/>
                            </w:rPr>
                            <w:t xml:space="preserve">Parte general objetivos, estrategias y programas </w:t>
                          </w:r>
                        </w:p>
                        <w:p w14:paraId="2667AAA6" w14:textId="77777777" w:rsidR="00B14E38" w:rsidRPr="00F76DAB" w:rsidRDefault="00B14E38" w:rsidP="005D5A4A">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F0740DE" id="Rectángulo 331148129" o:spid="_x0000_s1050" style="position:absolute;left:0;text-align:left;margin-left:124.6pt;margin-top:49.35pt;width:192.75pt;height:17.85pt;z-index:-251634688;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" o:allowoverlap="f" fillcolor="#c00000" stroked="f" strokeweight="1pt">
              <o:lock v:ext="edit" aspectratio="t"/>
              <v:textbox>
                <w:txbxContent>
                  <w:p w14:paraId="19BA980B" w14:textId="77777777" w:rsidR="00B14E38" w:rsidRPr="0084610E" w:rsidRDefault="00B14E38" w:rsidP="00F76DAB">
                    <w:pPr>
                      <w:spacing w:line="180" w:lineRule="auto"/>
                      <w:jc w:val="center"/>
                      <w:textDirection w:val="btLr"/>
                    </w:pPr>
                    <w:r w:rsidRPr="0084610E">
                      <w:rPr>
                        <w:color w:val="FFFFFF"/>
                        <w:sz w:val="16"/>
                      </w:rPr>
                      <w:t xml:space="preserve">Parte general objetivos, estrategias y programas </w:t>
                    </w:r>
                  </w:p>
                  <w:p w14:paraId="2667AAA6" w14:textId="77777777" w:rsidR="00B14E38" w:rsidRPr="00F76DAB" w:rsidRDefault="00B14E38" w:rsidP="005D5A4A">
                    <w:pPr>
                      <w:spacing w:line="160" w:lineRule="exact"/>
                      <w:jc w:val="center"/>
                      <w:rPr>
                        <w:caps/>
                        <w:color w:val="FFFFFF" w:themeColor="background1"/>
                        <w:sz w:val="16"/>
                        <w:szCs w:val="11"/>
                      </w:rPr>
                    </w:pPr>
                  </w:p>
                </w:txbxContent>
              </v:textbox>
              <w10:wrap type="square" anchorx="margin" anchory="page"/>
            </v:rect>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9B8759" w14:textId="77777777" w:rsidR="00FA4F64" w:rsidRDefault="00FA4F64">
    <w:r>
      <w:rPr>
        <w:noProof/>
      </w:rPr>
      <mc:AlternateContent>
        <mc:Choice Requires="wps">
          <w:drawing>
            <wp:anchor distT="0" distB="0" distL="114300" distR="114300" simplePos="0" relativeHeight="251683840" behindDoc="0" locked="0" layoutInCell="1" hidden="0" allowOverlap="1" wp14:anchorId="2ACF3380" wp14:editId="69F791F6">
              <wp:simplePos x="0" y="0"/>
              <wp:positionH relativeFrom="column">
                <wp:posOffset>215900</wp:posOffset>
              </wp:positionH>
              <wp:positionV relativeFrom="paragraph">
                <wp:posOffset>-419099</wp:posOffset>
              </wp:positionV>
              <wp:extent cx="437788" cy="1618406"/>
              <wp:effectExtent l="0" t="0" r="0" b="0"/>
              <wp:wrapNone/>
              <wp:docPr id="2133516022" name="Rectángulo 2133516022"/>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57895802" w14:textId="77777777" w:rsidR="00FA4F64" w:rsidRDefault="00FA4F6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ACF3380" id="Rectángulo 2133516022" o:spid="_x0000_s1051" style="position:absolute;left:0;text-align:left;margin-left:17pt;margin-top:-33pt;width:34.45pt;height:127.4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Aqx2wZzwEAAI0DAAAO&#10;AAAAAAAAAAAAAAAAAC4CAABkcnMvZTJvRG9jLnhtbFBLAQItABQABgAIAAAAIQBdp9PI3QAAAAoB&#10;AAAPAAAAAAAAAAAAAAAAACkEAABkcnMvZG93bnJldi54bWxQSwUGAAAAAAQABADzAAAAMwUAAAAA&#10;" fillcolor="white [3201]" stroked="f">
              <v:textbox inset="2.53958mm,2.53958mm,2.53958mm,2.53958mm">
                <w:txbxContent>
                  <w:p w14:paraId="57895802" w14:textId="77777777" w:rsidR="00FA4F64" w:rsidRDefault="00FA4F64">
                    <w:pPr>
                      <w:spacing w:line="240" w:lineRule="auto"/>
                      <w:jc w:val="left"/>
                      <w:textDirection w:val="btLr"/>
                    </w:pPr>
                  </w:p>
                </w:txbxContent>
              </v:textbox>
            </v:rect>
          </w:pict>
        </mc:Fallback>
      </mc:AlternateContent>
    </w:r>
  </w:p>
  <w:p w14:paraId="38A41BB4" w14:textId="66E6BD05" w:rsidR="00FA4F64" w:rsidRDefault="00AE702D">
    <w:r>
      <w:rPr>
        <w:noProof/>
      </w:rPr>
      <mc:AlternateContent>
        <mc:Choice Requires="wps">
          <w:drawing>
            <wp:anchor distT="0" distB="0" distL="118745" distR="118745" simplePos="0" relativeHeight="251684864" behindDoc="0" locked="0" layoutInCell="1" hidden="0" allowOverlap="1" wp14:anchorId="59A769C0" wp14:editId="77433C85">
              <wp:simplePos x="0" y="0"/>
              <wp:positionH relativeFrom="margin">
                <wp:posOffset>1557020</wp:posOffset>
              </wp:positionH>
              <wp:positionV relativeFrom="page">
                <wp:posOffset>706755</wp:posOffset>
              </wp:positionV>
              <wp:extent cx="2498090" cy="221615"/>
              <wp:effectExtent l="0" t="0" r="3810" b="0"/>
              <wp:wrapSquare wrapText="bothSides" distT="0" distB="0" distL="118745" distR="118745"/>
              <wp:docPr id="2133516021" name="Rectángulo 2133516021"/>
              <wp:cNvGraphicFramePr/>
              <a:graphic xmlns:a="http://schemas.openxmlformats.org/drawingml/2006/main">
                <a:graphicData uri="http://schemas.microsoft.com/office/word/2010/wordprocessingShape">
                  <wps:wsp>
                    <wps:cNvSpPr/>
                    <wps:spPr>
                      <a:xfrm>
                        <a:off x="0" y="0"/>
                        <a:ext cx="2498090" cy="221615"/>
                      </a:xfrm>
                      <a:prstGeom prst="rect">
                        <a:avLst/>
                      </a:prstGeom>
                      <a:solidFill>
                        <a:srgbClr val="C00000"/>
                      </a:solidFill>
                      <a:ln>
                        <a:noFill/>
                      </a:ln>
                    </wps:spPr>
                    <wps:txbx>
                      <w:txbxContent>
                        <w:p w14:paraId="2FFAD544" w14:textId="77777777" w:rsidR="00AE702D" w:rsidRPr="0084610E" w:rsidRDefault="00AE702D" w:rsidP="00AE702D">
                          <w:pPr>
                            <w:spacing w:line="180" w:lineRule="auto"/>
                            <w:jc w:val="center"/>
                            <w:textDirection w:val="btLr"/>
                          </w:pPr>
                          <w:r w:rsidRPr="0084610E">
                            <w:rPr>
                              <w:color w:val="FFFFFF"/>
                              <w:sz w:val="16"/>
                            </w:rPr>
                            <w:t xml:space="preserve">Parte general objetivos, estrategias y programas </w:t>
                          </w:r>
                        </w:p>
                        <w:p w14:paraId="44D45703" w14:textId="77777777" w:rsidR="00AE702D" w:rsidRPr="00F76DAB" w:rsidRDefault="00AE702D" w:rsidP="00AE702D">
                          <w:pPr>
                            <w:spacing w:line="160" w:lineRule="exact"/>
                            <w:jc w:val="center"/>
                            <w:rPr>
                              <w:caps/>
                              <w:color w:val="FFFFFF" w:themeColor="background1"/>
                              <w:sz w:val="16"/>
                              <w:szCs w:val="11"/>
                            </w:rPr>
                          </w:pPr>
                        </w:p>
                        <w:p w14:paraId="2A307FCD" w14:textId="7E697D5A" w:rsidR="00FA4F64" w:rsidRDefault="00FA4F64">
                          <w:pPr>
                            <w:spacing w:line="180" w:lineRule="auto"/>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9A769C0" id="Rectángulo 2133516021" o:spid="_x0000_s1052" style="position:absolute;left:0;text-align:left;margin-left:122.6pt;margin-top:55.65pt;width:196.7pt;height:17.45pt;z-index:251684864;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" fillcolor="#c00000" stroked="f">
              <v:textbox inset="2.53958mm,1.2694mm,2.53958mm,1.2694mm">
                <w:txbxContent>
                  <w:p w14:paraId="2FFAD544" w14:textId="77777777" w:rsidR="00AE702D" w:rsidRPr="0084610E" w:rsidRDefault="00AE702D" w:rsidP="00AE702D">
                    <w:pPr>
                      <w:spacing w:line="180" w:lineRule="auto"/>
                      <w:jc w:val="center"/>
                      <w:textDirection w:val="btLr"/>
                    </w:pPr>
                    <w:r w:rsidRPr="0084610E">
                      <w:rPr>
                        <w:color w:val="FFFFFF"/>
                        <w:sz w:val="16"/>
                      </w:rPr>
                      <w:t xml:space="preserve">Parte general objetivos, estrategias y programas </w:t>
                    </w:r>
                  </w:p>
                  <w:p w14:paraId="44D45703" w14:textId="77777777" w:rsidR="00AE702D" w:rsidRPr="00F76DAB" w:rsidRDefault="00AE702D" w:rsidP="00AE702D">
                    <w:pPr>
                      <w:spacing w:line="160" w:lineRule="exact"/>
                      <w:jc w:val="center"/>
                      <w:rPr>
                        <w:caps/>
                        <w:color w:val="FFFFFF" w:themeColor="background1"/>
                        <w:sz w:val="16"/>
                        <w:szCs w:val="11"/>
                      </w:rPr>
                    </w:pPr>
                  </w:p>
                  <w:p w14:paraId="2A307FCD" w14:textId="7E697D5A" w:rsidR="00FA4F64" w:rsidRDefault="00FA4F64">
                    <w:pPr>
                      <w:spacing w:line="180" w:lineRule="auto"/>
                      <w:jc w:val="center"/>
                      <w:textDirection w:val="btLr"/>
                    </w:pPr>
                  </w:p>
                </w:txbxContent>
              </v:textbox>
              <w10:wrap type="square" anchorx="margin" anchory="page"/>
            </v:rect>
          </w:pict>
        </mc:Fallback>
      </mc:AlternateContent>
    </w:r>
  </w:p>
  <w:p w14:paraId="0AC78EFA" w14:textId="23E6C380" w:rsidR="00FA4F64" w:rsidRDefault="00FA4F64">
    <w:pPr>
      <w:jc w:val="center"/>
    </w:pPr>
  </w:p>
  <w:p w14:paraId="24C4C458" w14:textId="77777777" w:rsidR="00FA4F64" w:rsidRDefault="00FA4F64">
    <w:pPr>
      <w:tabs>
        <w:tab w:val="left" w:pos="5158"/>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41E970" w14:textId="2282BE93" w:rsidR="00FF001B" w:rsidRDefault="00FF001B" w:rsidP="00FE1C10">
    <w:r w:rsidRPr="007509BC">
      <w:rPr>
        <w:noProof/>
      </w:rPr>
      <mc:AlternateContent>
        <mc:Choice Requires="wps">
          <w:drawing>
            <wp:anchor distT="0" distB="0" distL="114300" distR="114300" simplePos="0" relativeHeight="251704320" behindDoc="0" locked="0" layoutInCell="1" allowOverlap="1" wp14:anchorId="646C290D" wp14:editId="0CD5DFC1">
              <wp:simplePos x="0" y="0"/>
              <wp:positionH relativeFrom="column">
                <wp:posOffset>226695</wp:posOffset>
              </wp:positionH>
              <wp:positionV relativeFrom="paragraph">
                <wp:posOffset>-426085</wp:posOffset>
              </wp:positionV>
              <wp:extent cx="428263" cy="1608881"/>
              <wp:effectExtent l="0" t="0" r="3810" b="4445"/>
              <wp:wrapNone/>
              <wp:docPr id="809066923" name="Rectángulo 809066923"/>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164702" id="Rectángulo 809066923" o:spid="_x0000_s1026" style="position:absolute;margin-left:17.85pt;margin-top:-33.55pt;width:33.7pt;height:126.7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584325" w14:textId="77777777" w:rsidR="00EF1D5F" w:rsidRDefault="00EF1D5F">
    <w:r>
      <w:rPr>
        <w:noProof/>
      </w:rPr>
      <mc:AlternateContent>
        <mc:Choice Requires="wps">
          <w:drawing>
            <wp:anchor distT="0" distB="0" distL="114300" distR="114300" simplePos="0" relativeHeight="251686912" behindDoc="0" locked="0" layoutInCell="1" hidden="0" allowOverlap="1" wp14:anchorId="1F2008CB" wp14:editId="2AFE1EC0">
              <wp:simplePos x="0" y="0"/>
              <wp:positionH relativeFrom="column">
                <wp:posOffset>215900</wp:posOffset>
              </wp:positionH>
              <wp:positionV relativeFrom="paragraph">
                <wp:posOffset>-419099</wp:posOffset>
              </wp:positionV>
              <wp:extent cx="437788" cy="1618406"/>
              <wp:effectExtent l="0" t="0" r="0" b="0"/>
              <wp:wrapNone/>
              <wp:docPr id="45" name="Rectángulo 45"/>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3990FFFA" w14:textId="77777777" w:rsidR="00EF1D5F" w:rsidRDefault="00EF1D5F">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F2008CB" id="Rectángulo 45" o:spid="_x0000_s1053" style="position:absolute;left:0;text-align:left;margin-left:17pt;margin-top:-33pt;width:34.45pt;height:127.4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Ak4RJBzwEAAI0DAAAO&#10;AAAAAAAAAAAAAAAAAC4CAABkcnMvZTJvRG9jLnhtbFBLAQItABQABgAIAAAAIQBdp9PI3QAAAAoB&#10;AAAPAAAAAAAAAAAAAAAAACkEAABkcnMvZG93bnJldi54bWxQSwUGAAAAAAQABADzAAAAMwUAAAAA&#10;" fillcolor="white [3201]" stroked="f">
              <v:textbox inset="2.53958mm,2.53958mm,2.53958mm,2.53958mm">
                <w:txbxContent>
                  <w:p w14:paraId="3990FFFA" w14:textId="77777777" w:rsidR="00EF1D5F" w:rsidRDefault="00EF1D5F">
                    <w:pPr>
                      <w:spacing w:line="240" w:lineRule="auto"/>
                      <w:jc w:val="left"/>
                      <w:textDirection w:val="btLr"/>
                    </w:pPr>
                  </w:p>
                </w:txbxContent>
              </v:textbox>
            </v:rect>
          </w:pict>
        </mc:Fallback>
      </mc:AlternateContent>
    </w:r>
  </w:p>
  <w:p w14:paraId="1314B4F1" w14:textId="77777777" w:rsidR="00EF1D5F" w:rsidRDefault="00EF1D5F">
    <w:pPr>
      <w:jc w:val="center"/>
    </w:pPr>
    <w:r>
      <w:rPr>
        <w:noProof/>
      </w:rPr>
      <mc:AlternateContent>
        <mc:Choice Requires="wps">
          <w:drawing>
            <wp:anchor distT="0" distB="0" distL="118745" distR="118745" simplePos="0" relativeHeight="251687936" behindDoc="0" locked="0" layoutInCell="1" hidden="0" allowOverlap="1" wp14:anchorId="71EE7EC5" wp14:editId="65822F4B">
              <wp:simplePos x="0" y="0"/>
              <wp:positionH relativeFrom="margin">
                <wp:posOffset>1536065</wp:posOffset>
              </wp:positionH>
              <wp:positionV relativeFrom="page">
                <wp:posOffset>711200</wp:posOffset>
              </wp:positionV>
              <wp:extent cx="2561590" cy="221615"/>
              <wp:effectExtent l="0" t="0" r="0" b="6985"/>
              <wp:wrapSquare wrapText="bothSides" distT="0" distB="0" distL="118745" distR="118745"/>
              <wp:docPr id="46" name="Rectángulo 46"/>
              <wp:cNvGraphicFramePr/>
              <a:graphic xmlns:a="http://schemas.openxmlformats.org/drawingml/2006/main">
                <a:graphicData uri="http://schemas.microsoft.com/office/word/2010/wordprocessingShape">
                  <wps:wsp>
                    <wps:cNvSpPr/>
                    <wps:spPr>
                      <a:xfrm>
                        <a:off x="0" y="0"/>
                        <a:ext cx="2561590" cy="221615"/>
                      </a:xfrm>
                      <a:prstGeom prst="rect">
                        <a:avLst/>
                      </a:prstGeom>
                      <a:solidFill>
                        <a:srgbClr val="C00000"/>
                      </a:solidFill>
                      <a:ln>
                        <a:noFill/>
                      </a:ln>
                    </wps:spPr>
                    <wps:txbx>
                      <w:txbxContent>
                        <w:p w14:paraId="70DC14EE" w14:textId="77777777" w:rsidR="00EF1D5F" w:rsidRPr="00CD5734" w:rsidRDefault="00EF1D5F" w:rsidP="004D1EAA">
                          <w:pPr>
                            <w:spacing w:line="160" w:lineRule="exact"/>
                            <w:jc w:val="center"/>
                            <w:rPr>
                              <w:caps/>
                              <w:color w:val="FFFFFF" w:themeColor="background1"/>
                              <w:sz w:val="16"/>
                              <w:szCs w:val="11"/>
                              <w:lang w:val="es-ES_tradnl"/>
                            </w:rPr>
                          </w:pPr>
                          <w:r w:rsidRPr="00715BB4">
                            <w:rPr>
                              <w:rFonts w:eastAsia="Arial Narrow" w:cs="Arial Narrow"/>
                              <w:b/>
                              <w:bCs/>
                              <w:color w:val="FFFFFF" w:themeColor="background1"/>
                              <w:sz w:val="16"/>
                              <w:szCs w:val="10"/>
                              <w:lang w:val="es-ES_tradnl"/>
                            </w:rPr>
                            <w:t>P</w:t>
                          </w:r>
                          <w:r>
                            <w:rPr>
                              <w:rFonts w:eastAsia="Arial Narrow" w:cs="Arial Narrow"/>
                              <w:b/>
                              <w:bCs/>
                              <w:color w:val="FFFFFF" w:themeColor="background1"/>
                              <w:sz w:val="16"/>
                              <w:szCs w:val="10"/>
                              <w:lang w:val="es-ES_tradnl"/>
                            </w:rPr>
                            <w:t>arte</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general</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objetivos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estrategias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y</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programas</w:t>
                          </w:r>
                        </w:p>
                        <w:p w14:paraId="461BEC1E" w14:textId="77777777" w:rsidR="00EF1D5F" w:rsidRDefault="00EF1D5F">
                          <w:pPr>
                            <w:spacing w:line="180" w:lineRule="auto"/>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71EE7EC5" id="Rectángulo 46" o:spid="_x0000_s1054" style="position:absolute;left:0;text-align:left;margin-left:120.95pt;margin-top:56pt;width:201.7pt;height:17.45pt;z-index:251687936;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" fillcolor="#c00000" stroked="f">
              <v:textbox inset="2.53958mm,1.2694mm,2.53958mm,1.2694mm">
                <w:txbxContent>
                  <w:p w14:paraId="70DC14EE" w14:textId="77777777" w:rsidR="00EF1D5F" w:rsidRPr="00CD5734" w:rsidRDefault="00EF1D5F" w:rsidP="004D1EAA">
                    <w:pPr>
                      <w:spacing w:line="160" w:lineRule="exact"/>
                      <w:jc w:val="center"/>
                      <w:rPr>
                        <w:caps/>
                        <w:color w:val="FFFFFF" w:themeColor="background1"/>
                        <w:sz w:val="16"/>
                        <w:szCs w:val="11"/>
                        <w:lang w:val="es-ES_tradnl"/>
                      </w:rPr>
                    </w:pPr>
                    <w:r w:rsidRPr="00715BB4">
                      <w:rPr>
                        <w:rFonts w:eastAsia="Arial Narrow" w:cs="Arial Narrow"/>
                        <w:b/>
                        <w:bCs/>
                        <w:color w:val="FFFFFF" w:themeColor="background1"/>
                        <w:sz w:val="16"/>
                        <w:szCs w:val="10"/>
                        <w:lang w:val="es-ES_tradnl"/>
                      </w:rPr>
                      <w:t>P</w:t>
                    </w:r>
                    <w:r>
                      <w:rPr>
                        <w:rFonts w:eastAsia="Arial Narrow" w:cs="Arial Narrow"/>
                        <w:b/>
                        <w:bCs/>
                        <w:color w:val="FFFFFF" w:themeColor="background1"/>
                        <w:sz w:val="16"/>
                        <w:szCs w:val="10"/>
                        <w:lang w:val="es-ES_tradnl"/>
                      </w:rPr>
                      <w:t>arte</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general</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objetivos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estrategias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y</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programas</w:t>
                    </w:r>
                  </w:p>
                  <w:p w14:paraId="461BEC1E" w14:textId="77777777" w:rsidR="00EF1D5F" w:rsidRDefault="00EF1D5F">
                    <w:pPr>
                      <w:spacing w:line="180" w:lineRule="auto"/>
                      <w:jc w:val="center"/>
                      <w:textDirection w:val="btLr"/>
                    </w:pPr>
                  </w:p>
                </w:txbxContent>
              </v:textbox>
              <w10:wrap type="square" anchorx="margin" anchory="page"/>
            </v:rect>
          </w:pict>
        </mc:Fallback>
      </mc:AlternateContent>
    </w:r>
  </w:p>
  <w:p w14:paraId="1C6E3481" w14:textId="77777777" w:rsidR="00EF1D5F" w:rsidRDefault="00EF1D5F">
    <w:pPr>
      <w:jc w:val="center"/>
    </w:pPr>
  </w:p>
  <w:p w14:paraId="4AE1001F" w14:textId="77777777" w:rsidR="00EF1D5F" w:rsidRDefault="00EF1D5F">
    <w:pPr>
      <w:tabs>
        <w:tab w:val="left" w:pos="5158"/>
      </w:tabs>
    </w:pPr>
    <w:r>
      <w:tab/>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F18138" w14:textId="77777777" w:rsidR="00EF1D5F" w:rsidRDefault="00EF1D5F">
    <w:pPr>
      <w:pStyle w:val="Encabezado"/>
    </w:pPr>
    <w:r>
      <w:rPr>
        <w:noProof/>
      </w:rPr>
      <mc:AlternateContent>
        <mc:Choice Requires="wps">
          <w:drawing>
            <wp:anchor distT="0" distB="0" distL="118745" distR="118745" simplePos="0" relativeHeight="251688960" behindDoc="1" locked="0" layoutInCell="1" allowOverlap="0" wp14:anchorId="4E5D4775" wp14:editId="2F21B37C">
              <wp:simplePos x="0" y="0"/>
              <wp:positionH relativeFrom="margin">
                <wp:align>center</wp:align>
              </wp:positionH>
              <wp:positionV relativeFrom="page">
                <wp:posOffset>621665</wp:posOffset>
              </wp:positionV>
              <wp:extent cx="2613025" cy="226695"/>
              <wp:effectExtent l="0" t="0" r="0" b="1905"/>
              <wp:wrapSquare wrapText="bothSides"/>
              <wp:docPr id="47" name="Rectángulo 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613025" cy="22669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7541F0" w14:textId="77777777" w:rsidR="00EF1D5F" w:rsidRPr="00CD5734" w:rsidRDefault="00EF1D5F" w:rsidP="005D5A4A">
                          <w:pPr>
                            <w:spacing w:line="160" w:lineRule="exact"/>
                            <w:jc w:val="center"/>
                            <w:rPr>
                              <w:caps/>
                              <w:color w:val="FFFFFF" w:themeColor="background1"/>
                              <w:sz w:val="16"/>
                              <w:szCs w:val="11"/>
                              <w:lang w:val="es-ES_tradnl"/>
                            </w:rPr>
                          </w:pPr>
                          <w:r w:rsidRPr="00715BB4">
                            <w:rPr>
                              <w:rFonts w:eastAsia="Arial Narrow" w:cs="Arial Narrow"/>
                              <w:b/>
                              <w:bCs/>
                              <w:color w:val="FFFFFF" w:themeColor="background1"/>
                              <w:sz w:val="16"/>
                              <w:szCs w:val="10"/>
                              <w:lang w:val="es-ES_tradnl"/>
                            </w:rPr>
                            <w:t>P</w:t>
                          </w:r>
                          <w:r>
                            <w:rPr>
                              <w:rFonts w:eastAsia="Arial Narrow" w:cs="Arial Narrow"/>
                              <w:b/>
                              <w:bCs/>
                              <w:color w:val="FFFFFF" w:themeColor="background1"/>
                              <w:sz w:val="16"/>
                              <w:szCs w:val="10"/>
                              <w:lang w:val="es-ES_tradnl"/>
                            </w:rPr>
                            <w:t>arte</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general</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objetivos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estrategias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y</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programas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E5D4775" id="Rectángulo 47" o:spid="_x0000_s1055" style="position:absolute;left:0;text-align:left;margin-left:0;margin-top:48.95pt;width:205.75pt;height:17.85pt;z-index:-251627520;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" o:allowoverlap="f" fillcolor="#c00000" stroked="f" strokeweight="1pt">
              <o:lock v:ext="edit" aspectratio="t"/>
              <v:textbox>
                <w:txbxContent>
                  <w:p w14:paraId="3E7541F0" w14:textId="77777777" w:rsidR="00EF1D5F" w:rsidRPr="00CD5734" w:rsidRDefault="00EF1D5F" w:rsidP="005D5A4A">
                    <w:pPr>
                      <w:spacing w:line="160" w:lineRule="exact"/>
                      <w:jc w:val="center"/>
                      <w:rPr>
                        <w:caps/>
                        <w:color w:val="FFFFFF" w:themeColor="background1"/>
                        <w:sz w:val="16"/>
                        <w:szCs w:val="11"/>
                        <w:lang w:val="es-ES_tradnl"/>
                      </w:rPr>
                    </w:pPr>
                    <w:r w:rsidRPr="00715BB4">
                      <w:rPr>
                        <w:rFonts w:eastAsia="Arial Narrow" w:cs="Arial Narrow"/>
                        <w:b/>
                        <w:bCs/>
                        <w:color w:val="FFFFFF" w:themeColor="background1"/>
                        <w:sz w:val="16"/>
                        <w:szCs w:val="10"/>
                        <w:lang w:val="es-ES_tradnl"/>
                      </w:rPr>
                      <w:t>P</w:t>
                    </w:r>
                    <w:r>
                      <w:rPr>
                        <w:rFonts w:eastAsia="Arial Narrow" w:cs="Arial Narrow"/>
                        <w:b/>
                        <w:bCs/>
                        <w:color w:val="FFFFFF" w:themeColor="background1"/>
                        <w:sz w:val="16"/>
                        <w:szCs w:val="10"/>
                        <w:lang w:val="es-ES_tradnl"/>
                      </w:rPr>
                      <w:t>arte</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general</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objetivos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estrategias</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y</w:t>
                    </w:r>
                    <w:r w:rsidRPr="00715BB4">
                      <w:rPr>
                        <w:rFonts w:eastAsia="Arial Narrow" w:cs="Arial Narrow"/>
                        <w:b/>
                        <w:bCs/>
                        <w:color w:val="FFFFFF" w:themeColor="background1"/>
                        <w:sz w:val="16"/>
                        <w:szCs w:val="10"/>
                        <w:lang w:val="es-ES_tradnl"/>
                      </w:rPr>
                      <w:t xml:space="preserve"> </w:t>
                    </w:r>
                    <w:r>
                      <w:rPr>
                        <w:rFonts w:eastAsia="Arial Narrow" w:cs="Arial Narrow"/>
                        <w:b/>
                        <w:bCs/>
                        <w:color w:val="FFFFFF" w:themeColor="background1"/>
                        <w:sz w:val="16"/>
                        <w:szCs w:val="10"/>
                        <w:lang w:val="es-ES_tradnl"/>
                      </w:rPr>
                      <w:t>programas</w:t>
                    </w:r>
                  </w:p>
                </w:txbxContent>
              </v:textbox>
              <w10:wrap type="square" anchorx="margin" anchory="page"/>
            </v:rect>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D57819" w14:textId="77777777" w:rsidR="006B728F" w:rsidRDefault="006B728F"/>
  <w:p w14:paraId="076D3E1D" w14:textId="77777777" w:rsidR="006B728F" w:rsidRDefault="006B728F">
    <w:r>
      <w:rPr>
        <w:noProof/>
      </w:rPr>
      <mc:AlternateContent>
        <mc:Choice Requires="wps">
          <w:drawing>
            <wp:anchor distT="0" distB="0" distL="118745" distR="118745" simplePos="0" relativeHeight="251695104" behindDoc="1" locked="0" layoutInCell="1" allowOverlap="0" wp14:anchorId="2FE39D43" wp14:editId="1A353D77">
              <wp:simplePos x="0" y="0"/>
              <wp:positionH relativeFrom="margin">
                <wp:posOffset>2030095</wp:posOffset>
              </wp:positionH>
              <wp:positionV relativeFrom="page">
                <wp:posOffset>716280</wp:posOffset>
              </wp:positionV>
              <wp:extent cx="2771140" cy="282575"/>
              <wp:effectExtent l="0" t="0" r="0" b="0"/>
              <wp:wrapSquare wrapText="bothSides"/>
              <wp:docPr id="51" name="Rectángulo 51"/>
              <wp:cNvGraphicFramePr/>
              <a:graphic xmlns:a="http://schemas.openxmlformats.org/drawingml/2006/main">
                <a:graphicData uri="http://schemas.microsoft.com/office/word/2010/wordprocessingShape">
                  <wps:wsp>
                    <wps:cNvSpPr/>
                    <wps:spPr>
                      <a:xfrm>
                        <a:off x="0" y="0"/>
                        <a:ext cx="2771140" cy="28257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C894D8" w14:textId="77777777" w:rsidR="002618C5" w:rsidRPr="002618C5" w:rsidRDefault="002618C5" w:rsidP="002618C5">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250F9385" w14:textId="6D3441AE" w:rsidR="006B728F" w:rsidRPr="003B0A5C" w:rsidRDefault="006B728F" w:rsidP="003B0A5C">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FE39D43" id="Rectángulo 51" o:spid="_x0000_s1056" style="position:absolute;left:0;text-align:left;margin-left:159.85pt;margin-top:56.4pt;width:218.2pt;height:22.25pt;z-index:-251621376;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" o:allowoverlap="f" fillcolor="#c00000" stroked="f" strokeweight="1pt">
              <v:textbox>
                <w:txbxContent>
                  <w:p w14:paraId="08C894D8" w14:textId="77777777" w:rsidR="002618C5" w:rsidRPr="002618C5" w:rsidRDefault="002618C5" w:rsidP="002618C5">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250F9385" w14:textId="6D3441AE" w:rsidR="006B728F" w:rsidRPr="003B0A5C" w:rsidRDefault="006B728F" w:rsidP="003B0A5C">
                    <w:pPr>
                      <w:spacing w:line="160" w:lineRule="exact"/>
                      <w:jc w:val="center"/>
                      <w:rPr>
                        <w:caps/>
                        <w:color w:val="FFFFFF" w:themeColor="background1"/>
                        <w:sz w:val="16"/>
                        <w:szCs w:val="11"/>
                      </w:rPr>
                    </w:pPr>
                  </w:p>
                </w:txbxContent>
              </v:textbox>
              <w10:wrap type="square" anchorx="margin" anchory="page"/>
            </v:rect>
          </w:pict>
        </mc:Fallback>
      </mc:AlternateContent>
    </w:r>
  </w:p>
  <w:p w14:paraId="04F488A6" w14:textId="77777777" w:rsidR="006B728F" w:rsidRDefault="006B728F"/>
  <w:p w14:paraId="342AFEEE" w14:textId="77777777" w:rsidR="006B728F" w:rsidRDefault="006B728F"/>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4000D" w14:textId="2E427093" w:rsidR="005312FB" w:rsidRDefault="0064296F" w:rsidP="0064296F">
    <w:pPr>
      <w:jc w:val="center"/>
    </w:pPr>
    <w:r>
      <w:rPr>
        <w:noProof/>
      </w:rPr>
      <mc:AlternateContent>
        <mc:Choice Requires="wps">
          <w:drawing>
            <wp:inline distT="0" distB="0" distL="0" distR="0" wp14:anchorId="1A32D7F4" wp14:editId="29906183">
              <wp:extent cx="2771140" cy="226060"/>
              <wp:effectExtent l="0" t="0" r="0" b="2540"/>
              <wp:docPr id="63" name="Rectángulo 63"/>
              <wp:cNvGraphicFramePr/>
              <a:graphic xmlns:a="http://schemas.openxmlformats.org/drawingml/2006/main">
                <a:graphicData uri="http://schemas.microsoft.com/office/word/2010/wordprocessingShape">
                  <wps:wsp>
                    <wps:cNvSpPr/>
                    <wps:spPr>
                      <a:xfrm>
                        <a:off x="0" y="0"/>
                        <a:ext cx="2771140" cy="22606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90A309" w14:textId="77777777" w:rsidR="005312FB" w:rsidRPr="002618C5" w:rsidRDefault="005312FB" w:rsidP="0064296F">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33CB82D6" w14:textId="77777777" w:rsidR="005312FB" w:rsidRPr="003B0A5C" w:rsidRDefault="005312FB" w:rsidP="0064296F">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A32D7F4" id="Rectángulo 63" o:spid="_x0000_s1057" style="width:218.2pt;height:17.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" fillcolor="#c00000" stroked="f" strokeweight="1pt">
              <v:textbox>
                <w:txbxContent>
                  <w:p w14:paraId="5C90A309" w14:textId="77777777" w:rsidR="005312FB" w:rsidRPr="002618C5" w:rsidRDefault="005312FB" w:rsidP="0064296F">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33CB82D6" w14:textId="77777777" w:rsidR="005312FB" w:rsidRPr="003B0A5C" w:rsidRDefault="005312FB" w:rsidP="0064296F">
                    <w:pPr>
                      <w:spacing w:line="160" w:lineRule="exact"/>
                      <w:jc w:val="center"/>
                      <w:rPr>
                        <w:caps/>
                        <w:color w:val="FFFFFF" w:themeColor="background1"/>
                        <w:sz w:val="16"/>
                        <w:szCs w:val="11"/>
                      </w:rPr>
                    </w:pPr>
                  </w:p>
                </w:txbxContent>
              </v:textbox>
              <w10:anchorlock/>
            </v:rect>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8BD200" w14:textId="77777777" w:rsidR="006B728F" w:rsidRDefault="006B728F">
    <w:r>
      <w:rPr>
        <w:noProof/>
      </w:rPr>
      <mc:AlternateContent>
        <mc:Choice Requires="wps">
          <w:drawing>
            <wp:anchor distT="0" distB="0" distL="114300" distR="114300" simplePos="0" relativeHeight="251698176" behindDoc="0" locked="0" layoutInCell="1" hidden="0" allowOverlap="1" wp14:anchorId="471219C7" wp14:editId="1C73B705">
              <wp:simplePos x="0" y="0"/>
              <wp:positionH relativeFrom="column">
                <wp:posOffset>215900</wp:posOffset>
              </wp:positionH>
              <wp:positionV relativeFrom="paragraph">
                <wp:posOffset>-419099</wp:posOffset>
              </wp:positionV>
              <wp:extent cx="437788" cy="1618406"/>
              <wp:effectExtent l="0" t="0" r="0" b="0"/>
              <wp:wrapNone/>
              <wp:docPr id="57" name="Rectángulo 57"/>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053B0946" w14:textId="77777777" w:rsidR="006B728F" w:rsidRDefault="006B728F">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71219C7" id="Rectángulo 57" o:spid="_x0000_s1058" style="position:absolute;left:0;text-align:left;margin-left:17pt;margin-top:-33pt;width:34.45pt;height:127.4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" fillcolor="white [3201]" stroked="f">
              <v:textbox inset="2.53958mm,2.53958mm,2.53958mm,2.53958mm">
                <w:txbxContent>
                  <w:p w14:paraId="053B0946" w14:textId="77777777" w:rsidR="006B728F" w:rsidRDefault="006B728F">
                    <w:pPr>
                      <w:spacing w:line="240" w:lineRule="auto"/>
                      <w:jc w:val="left"/>
                      <w:textDirection w:val="btLr"/>
                    </w:pPr>
                  </w:p>
                </w:txbxContent>
              </v:textbox>
            </v:rect>
          </w:pict>
        </mc:Fallback>
      </mc:AlternateContent>
    </w:r>
  </w:p>
  <w:p w14:paraId="6204300D" w14:textId="63237EFB" w:rsidR="006B728F" w:rsidRDefault="009163B3">
    <w:r>
      <w:rPr>
        <w:noProof/>
      </w:rPr>
      <mc:AlternateContent>
        <mc:Choice Requires="wps">
          <w:drawing>
            <wp:anchor distT="0" distB="0" distL="118745" distR="118745" simplePos="0" relativeHeight="251699200" behindDoc="0" locked="0" layoutInCell="1" hidden="0" allowOverlap="1" wp14:anchorId="1E40F87C" wp14:editId="10B36FC5">
              <wp:simplePos x="0" y="0"/>
              <wp:positionH relativeFrom="margin">
                <wp:align>center</wp:align>
              </wp:positionH>
              <wp:positionV relativeFrom="page">
                <wp:posOffset>692323</wp:posOffset>
              </wp:positionV>
              <wp:extent cx="2777490" cy="221615"/>
              <wp:effectExtent l="0" t="0" r="3810" b="6985"/>
              <wp:wrapSquare wrapText="bothSides" distT="0" distB="0" distL="118745" distR="118745"/>
              <wp:docPr id="58" name="Rectángulo 58"/>
              <wp:cNvGraphicFramePr/>
              <a:graphic xmlns:a="http://schemas.openxmlformats.org/drawingml/2006/main">
                <a:graphicData uri="http://schemas.microsoft.com/office/word/2010/wordprocessingShape">
                  <wps:wsp>
                    <wps:cNvSpPr/>
                    <wps:spPr>
                      <a:xfrm>
                        <a:off x="0" y="0"/>
                        <a:ext cx="2777490" cy="221615"/>
                      </a:xfrm>
                      <a:prstGeom prst="rect">
                        <a:avLst/>
                      </a:prstGeom>
                      <a:solidFill>
                        <a:srgbClr val="C00000"/>
                      </a:solidFill>
                      <a:ln>
                        <a:noFill/>
                      </a:ln>
                    </wps:spPr>
                    <wps:txbx>
                      <w:txbxContent>
                        <w:p w14:paraId="4AB3E048" w14:textId="77777777" w:rsidR="009163B3" w:rsidRPr="002618C5" w:rsidRDefault="009163B3" w:rsidP="009163B3">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4AC9A1D1" w14:textId="599F2DFB" w:rsidR="006B728F" w:rsidRDefault="006B728F">
                          <w:pPr>
                            <w:spacing w:line="180" w:lineRule="auto"/>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1E40F87C" id="Rectángulo 58" o:spid="_x0000_s1059" style="position:absolute;left:0;text-align:left;margin-left:0;margin-top:54.5pt;width:218.7pt;height:17.45pt;z-index:251699200;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" fillcolor="#c00000" stroked="f">
              <v:textbox inset="2.53958mm,1.2694mm,2.53958mm,1.2694mm">
                <w:txbxContent>
                  <w:p w14:paraId="4AB3E048" w14:textId="77777777" w:rsidR="009163B3" w:rsidRPr="002618C5" w:rsidRDefault="009163B3" w:rsidP="009163B3">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4AC9A1D1" w14:textId="599F2DFB" w:rsidR="006B728F" w:rsidRDefault="006B728F">
                    <w:pPr>
                      <w:spacing w:line="180" w:lineRule="auto"/>
                      <w:jc w:val="center"/>
                      <w:textDirection w:val="btLr"/>
                    </w:pPr>
                  </w:p>
                </w:txbxContent>
              </v:textbox>
              <w10:wrap type="square" anchorx="margin" anchory="page"/>
            </v:rect>
          </w:pict>
        </mc:Fallback>
      </mc:AlternateContent>
    </w:r>
  </w:p>
  <w:p w14:paraId="55B44BD9" w14:textId="62EAC20E" w:rsidR="006B728F" w:rsidRDefault="006B728F">
    <w:pPr>
      <w:jc w:val="center"/>
    </w:pPr>
  </w:p>
  <w:p w14:paraId="00CE979B" w14:textId="77777777" w:rsidR="006B728F" w:rsidRDefault="006B728F">
    <w:pPr>
      <w:tabs>
        <w:tab w:val="left" w:pos="5158"/>
      </w:tabs>
    </w:pPr>
    <w:r>
      <w:tab/>
    </w:r>
  </w:p>
  <w:p w14:paraId="109ACBA3" w14:textId="77777777" w:rsidR="006B728F" w:rsidRDefault="006B728F"/>
  <w:p w14:paraId="1D82D3C8" w14:textId="77777777" w:rsidR="006B728F" w:rsidRDefault="006B728F"/>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B5E954" w14:textId="77777777" w:rsidR="00856F66" w:rsidRDefault="00856F66">
    <w:pPr>
      <w:pStyle w:val="Encabezado"/>
    </w:pPr>
    <w:r>
      <w:rPr>
        <w:noProof/>
      </w:rPr>
      <mc:AlternateContent>
        <mc:Choice Requires="wps">
          <w:drawing>
            <wp:anchor distT="0" distB="0" distL="118745" distR="118745" simplePos="0" relativeHeight="251691008" behindDoc="1" locked="0" layoutInCell="1" allowOverlap="0" wp14:anchorId="15C50985" wp14:editId="7A9DC95A">
              <wp:simplePos x="0" y="0"/>
              <wp:positionH relativeFrom="margin">
                <wp:align>center</wp:align>
              </wp:positionH>
              <wp:positionV relativeFrom="page">
                <wp:posOffset>622935</wp:posOffset>
              </wp:positionV>
              <wp:extent cx="2895600" cy="222250"/>
              <wp:effectExtent l="0" t="0" r="0" b="6350"/>
              <wp:wrapSquare wrapText="bothSides"/>
              <wp:docPr id="54" name="Rectángulo 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95600" cy="22225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213505" w14:textId="77777777" w:rsidR="00442850" w:rsidRPr="002618C5" w:rsidRDefault="00442850" w:rsidP="00442850">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245CFA72" w14:textId="008B7557" w:rsidR="00856F66" w:rsidRPr="009163B3" w:rsidRDefault="00856F66" w:rsidP="005D5A4A">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5C50985" id="Rectángulo 54" o:spid="_x0000_s1060" style="position:absolute;left:0;text-align:left;margin-left:0;margin-top:49.05pt;width:228pt;height:17.5pt;z-index:-251625472;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" o:allowoverlap="f" fillcolor="#c00000" stroked="f" strokeweight="1pt">
              <o:lock v:ext="edit" aspectratio="t"/>
              <v:textbox>
                <w:txbxContent>
                  <w:p w14:paraId="01213505" w14:textId="77777777" w:rsidR="00442850" w:rsidRPr="002618C5" w:rsidRDefault="00442850" w:rsidP="00442850">
                    <w:pPr>
                      <w:spacing w:line="160" w:lineRule="exact"/>
                      <w:jc w:val="center"/>
                      <w:rPr>
                        <w:rFonts w:eastAsia="Arial Narrow" w:cs="Arial Narrow"/>
                        <w:color w:val="FFFFFF" w:themeColor="background1"/>
                        <w:sz w:val="16"/>
                        <w:szCs w:val="10"/>
                      </w:rPr>
                    </w:pPr>
                    <w:r w:rsidRPr="002618C5">
                      <w:rPr>
                        <w:rFonts w:eastAsia="Arial Narrow" w:cs="Arial Narrow"/>
                        <w:b/>
                        <w:bCs/>
                        <w:color w:val="FFFFFF" w:themeColor="background1"/>
                        <w:sz w:val="16"/>
                        <w:szCs w:val="10"/>
                      </w:rPr>
                      <w:t xml:space="preserve">El plan y su relación con otros instrumentos de planeación </w:t>
                    </w:r>
                  </w:p>
                  <w:p w14:paraId="245CFA72" w14:textId="008B7557" w:rsidR="00856F66" w:rsidRPr="009163B3" w:rsidRDefault="00856F66" w:rsidP="005D5A4A">
                    <w:pPr>
                      <w:spacing w:line="160" w:lineRule="exact"/>
                      <w:jc w:val="center"/>
                      <w:rPr>
                        <w:caps/>
                        <w:color w:val="FFFFFF" w:themeColor="background1"/>
                        <w:sz w:val="16"/>
                        <w:szCs w:val="11"/>
                      </w:rPr>
                    </w:pPr>
                  </w:p>
                </w:txbxContent>
              </v:textbox>
              <w10:wrap type="square" anchorx="margin" anchory="page"/>
            </v:rect>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57B8BC" w14:textId="77777777" w:rsidR="009C5901" w:rsidRDefault="009C5901">
    <w:pPr>
      <w:pStyle w:val="Encabezado"/>
    </w:pPr>
    <w:r>
      <w:rPr>
        <w:noProof/>
      </w:rPr>
      <mc:AlternateContent>
        <mc:Choice Requires="wps">
          <w:drawing>
            <wp:anchor distT="0" distB="0" distL="118745" distR="118745" simplePos="0" relativeHeight="251729920" behindDoc="1" locked="0" layoutInCell="1" allowOverlap="0" wp14:anchorId="0E56D96B" wp14:editId="34DF9E89">
              <wp:simplePos x="0" y="0"/>
              <wp:positionH relativeFrom="margin">
                <wp:align>center</wp:align>
              </wp:positionH>
              <wp:positionV relativeFrom="page">
                <wp:posOffset>622935</wp:posOffset>
              </wp:positionV>
              <wp:extent cx="2895600" cy="222250"/>
              <wp:effectExtent l="0" t="0" r="0" b="6350"/>
              <wp:wrapSquare wrapText="bothSides"/>
              <wp:docPr id="708968843" name="Rectángulo 7089688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95600" cy="22225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E14D19" w14:textId="4BFF0420" w:rsidR="009C5901" w:rsidRPr="009163B3" w:rsidRDefault="009C5901" w:rsidP="005D5A4A">
                          <w:pPr>
                            <w:spacing w:line="160" w:lineRule="exact"/>
                            <w:jc w:val="center"/>
                            <w:rPr>
                              <w:caps/>
                              <w:color w:val="FFFFFF" w:themeColor="background1"/>
                              <w:sz w:val="16"/>
                              <w:szCs w:val="11"/>
                            </w:rPr>
                          </w:pPr>
                          <w:r>
                            <w:rPr>
                              <w:rFonts w:eastAsia="Arial Narrow" w:cs="Arial Narrow"/>
                              <w:b/>
                              <w:bCs/>
                              <w:color w:val="FFFFFF" w:themeColor="background1"/>
                              <w:sz w:val="16"/>
                              <w:szCs w:val="10"/>
                            </w:rPr>
                            <w:t>Anexos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E56D96B" id="Rectángulo 708968843" o:spid="_x0000_s1061" style="position:absolute;left:0;text-align:left;margin-left:0;margin-top:49.05pt;width:228pt;height:17.5pt;z-index:-251586560;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" o:allowoverlap="f" fillcolor="#c00000" stroked="f" strokeweight="1pt">
              <o:lock v:ext="edit" aspectratio="t"/>
              <v:textbox>
                <w:txbxContent>
                  <w:p w14:paraId="68E14D19" w14:textId="4BFF0420" w:rsidR="009C5901" w:rsidRPr="009163B3" w:rsidRDefault="009C5901" w:rsidP="005D5A4A">
                    <w:pPr>
                      <w:spacing w:line="160" w:lineRule="exact"/>
                      <w:jc w:val="center"/>
                      <w:rPr>
                        <w:caps/>
                        <w:color w:val="FFFFFF" w:themeColor="background1"/>
                        <w:sz w:val="16"/>
                        <w:szCs w:val="11"/>
                      </w:rPr>
                    </w:pPr>
                    <w:r>
                      <w:rPr>
                        <w:rFonts w:eastAsia="Arial Narrow" w:cs="Arial Narrow"/>
                        <w:b/>
                        <w:bCs/>
                        <w:color w:val="FFFFFF" w:themeColor="background1"/>
                        <w:sz w:val="16"/>
                        <w:szCs w:val="10"/>
                      </w:rPr>
                      <w:t>Anexos</w:t>
                    </w:r>
                  </w:p>
                </w:txbxContent>
              </v:textbox>
              <w10:wrap type="square" anchorx="margin" anchory="page"/>
            </v:rect>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11E9F" w14:textId="77777777" w:rsidR="009C5901" w:rsidRDefault="009C5901">
    <w:pPr>
      <w:pStyle w:val="Encabezado"/>
    </w:pPr>
    <w:r>
      <w:rPr>
        <w:noProof/>
      </w:rPr>
      <mc:AlternateContent>
        <mc:Choice Requires="wps">
          <w:drawing>
            <wp:anchor distT="0" distB="0" distL="118745" distR="118745" simplePos="0" relativeHeight="251731968" behindDoc="1" locked="0" layoutInCell="1" allowOverlap="0" wp14:anchorId="5AE09A1E" wp14:editId="7585615D">
              <wp:simplePos x="0" y="0"/>
              <wp:positionH relativeFrom="margin">
                <wp:align>center</wp:align>
              </wp:positionH>
              <wp:positionV relativeFrom="page">
                <wp:posOffset>622935</wp:posOffset>
              </wp:positionV>
              <wp:extent cx="2895600" cy="222250"/>
              <wp:effectExtent l="0" t="0" r="0" b="6350"/>
              <wp:wrapSquare wrapText="bothSides"/>
              <wp:docPr id="1328674306" name="Rectángulo 13286743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895600" cy="22225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EAF261" w14:textId="2E01DF29" w:rsidR="009C5901" w:rsidRPr="009163B3" w:rsidRDefault="009C5901" w:rsidP="005D5A4A">
                          <w:pPr>
                            <w:spacing w:line="160" w:lineRule="exact"/>
                            <w:jc w:val="center"/>
                            <w:rPr>
                              <w:caps/>
                              <w:color w:val="FFFFFF" w:themeColor="background1"/>
                              <w:sz w:val="16"/>
                              <w:szCs w:val="11"/>
                            </w:rPr>
                          </w:pPr>
                          <w:r>
                            <w:rPr>
                              <w:rFonts w:eastAsia="Arial Narrow" w:cs="Arial Narrow"/>
                              <w:b/>
                              <w:bCs/>
                              <w:color w:val="FFFFFF" w:themeColor="background1"/>
                              <w:sz w:val="16"/>
                              <w:szCs w:val="10"/>
                            </w:rPr>
                            <w:t>Bibliografía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AE09A1E" id="Rectángulo 1328674306" o:spid="_x0000_s1062" style="position:absolute;left:0;text-align:left;margin-left:0;margin-top:49.05pt;width:228pt;height:17.5pt;z-index:-251584512;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" o:allowoverlap="f" fillcolor="#c00000" stroked="f" strokeweight="1pt">
              <o:lock v:ext="edit" aspectratio="t"/>
              <v:textbox>
                <w:txbxContent>
                  <w:p w14:paraId="12EAF261" w14:textId="2E01DF29" w:rsidR="009C5901" w:rsidRPr="009163B3" w:rsidRDefault="009C5901" w:rsidP="005D5A4A">
                    <w:pPr>
                      <w:spacing w:line="160" w:lineRule="exact"/>
                      <w:jc w:val="center"/>
                      <w:rPr>
                        <w:caps/>
                        <w:color w:val="FFFFFF" w:themeColor="background1"/>
                        <w:sz w:val="16"/>
                        <w:szCs w:val="11"/>
                      </w:rPr>
                    </w:pPr>
                    <w:r>
                      <w:rPr>
                        <w:rFonts w:eastAsia="Arial Narrow" w:cs="Arial Narrow"/>
                        <w:b/>
                        <w:bCs/>
                        <w:color w:val="FFFFFF" w:themeColor="background1"/>
                        <w:sz w:val="16"/>
                        <w:szCs w:val="10"/>
                      </w:rPr>
                      <w:t>Bibliografía</w:t>
                    </w:r>
                  </w:p>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8241A" w14:textId="77777777" w:rsidR="00FF001B" w:rsidRDefault="00FF001B" w:rsidP="00FE1C10">
    <w:r>
      <w:rPr>
        <w:noProof/>
      </w:rPr>
      <mc:AlternateContent>
        <mc:Choice Requires="wps">
          <w:drawing>
            <wp:anchor distT="0" distB="0" distL="118745" distR="118745" simplePos="0" relativeHeight="251706368" behindDoc="1" locked="0" layoutInCell="1" allowOverlap="0" wp14:anchorId="11FDBAB6" wp14:editId="4DF0939C">
              <wp:simplePos x="0" y="0"/>
              <wp:positionH relativeFrom="margin">
                <wp:align>center</wp:align>
              </wp:positionH>
              <wp:positionV relativeFrom="page">
                <wp:posOffset>711835</wp:posOffset>
              </wp:positionV>
              <wp:extent cx="1980000" cy="226748"/>
              <wp:effectExtent l="0" t="0" r="1270" b="1905"/>
              <wp:wrapSquare wrapText="bothSides"/>
              <wp:docPr id="1345529696" name="Rectángulo 13455296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3432AF"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1E895984" w14:textId="77777777" w:rsidR="00FF001B" w:rsidRPr="00CD5734" w:rsidRDefault="00FF001B" w:rsidP="006D49BF">
                          <w:pPr>
                            <w:spacing w:line="160" w:lineRule="exact"/>
                            <w:rPr>
                              <w:caps/>
                              <w:color w:val="FFFFFF" w:themeColor="background1"/>
                              <w:sz w:val="16"/>
                              <w:szCs w:val="11"/>
                              <w:lang w:val="es-ES_tradn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1FDBAB6" id="Rectángulo 1345529696" o:spid="_x0000_s1034" style="position:absolute;left:0;text-align:left;margin-left:0;margin-top:56.05pt;width:155.9pt;height:17.85pt;z-index:-251610112;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" o:allowoverlap="f" fillcolor="#c00000" stroked="f" strokeweight="1pt">
              <o:lock v:ext="edit" aspectratio="t"/>
              <v:textbox>
                <w:txbxContent>
                  <w:p w14:paraId="653432AF"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1E895984" w14:textId="77777777" w:rsidR="00FF001B" w:rsidRPr="00CD5734" w:rsidRDefault="00FF001B" w:rsidP="006D49BF">
                    <w:pPr>
                      <w:spacing w:line="160" w:lineRule="exact"/>
                      <w:rPr>
                        <w:caps/>
                        <w:color w:val="FFFFFF" w:themeColor="background1"/>
                        <w:sz w:val="16"/>
                        <w:szCs w:val="11"/>
                        <w:lang w:val="es-ES_tradnl"/>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07392" behindDoc="0" locked="0" layoutInCell="1" allowOverlap="1" wp14:anchorId="215BAA0E" wp14:editId="5497A185">
              <wp:simplePos x="0" y="0"/>
              <wp:positionH relativeFrom="column">
                <wp:posOffset>226695</wp:posOffset>
              </wp:positionH>
              <wp:positionV relativeFrom="paragraph">
                <wp:posOffset>-426085</wp:posOffset>
              </wp:positionV>
              <wp:extent cx="428263" cy="1608881"/>
              <wp:effectExtent l="0" t="0" r="3810" b="4445"/>
              <wp:wrapNone/>
              <wp:docPr id="2135492872" name="Rectángulo 2135492872"/>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906940" id="Rectángulo 2135492872" o:spid="_x0000_s1026" style="position:absolute;margin-left:17.85pt;margin-top:-33.55pt;width:33.7pt;height:126.7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38BC73" w14:textId="77777777" w:rsidR="00FF001B" w:rsidRDefault="00FF001B" w:rsidP="00FE1C10">
    <w:r>
      <w:rPr>
        <w:noProof/>
      </w:rPr>
      <mc:AlternateContent>
        <mc:Choice Requires="wps">
          <w:drawing>
            <wp:anchor distT="0" distB="0" distL="118745" distR="118745" simplePos="0" relativeHeight="251709440" behindDoc="1" locked="0" layoutInCell="1" allowOverlap="0" wp14:anchorId="61A296AA" wp14:editId="357AE095">
              <wp:simplePos x="0" y="0"/>
              <wp:positionH relativeFrom="margin">
                <wp:align>center</wp:align>
              </wp:positionH>
              <wp:positionV relativeFrom="page">
                <wp:posOffset>711835</wp:posOffset>
              </wp:positionV>
              <wp:extent cx="1980000" cy="226748"/>
              <wp:effectExtent l="0" t="0" r="1270" b="1905"/>
              <wp:wrapSquare wrapText="bothSides"/>
              <wp:docPr id="520626286" name="Rectángulo 5206262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686A2B"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44BDE211" w14:textId="77777777" w:rsidR="00FF001B" w:rsidRPr="00CD5734" w:rsidRDefault="00FF001B" w:rsidP="006D49BF">
                          <w:pPr>
                            <w:spacing w:line="160" w:lineRule="exact"/>
                            <w:rPr>
                              <w:caps/>
                              <w:color w:val="FFFFFF" w:themeColor="background1"/>
                              <w:sz w:val="16"/>
                              <w:szCs w:val="11"/>
                              <w:lang w:val="es-ES_tradn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1A296AA" id="Rectángulo 520626286" o:spid="_x0000_s1035" style="position:absolute;left:0;text-align:left;margin-left:0;margin-top:56.05pt;width:155.9pt;height:17.85pt;z-index:-251607040;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C31E3q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54686A2B"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44BDE211" w14:textId="77777777" w:rsidR="00FF001B" w:rsidRPr="00CD5734" w:rsidRDefault="00FF001B" w:rsidP="006D49BF">
                    <w:pPr>
                      <w:spacing w:line="160" w:lineRule="exact"/>
                      <w:rPr>
                        <w:caps/>
                        <w:color w:val="FFFFFF" w:themeColor="background1"/>
                        <w:sz w:val="16"/>
                        <w:szCs w:val="11"/>
                        <w:lang w:val="es-ES_tradnl"/>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10464" behindDoc="0" locked="0" layoutInCell="1" allowOverlap="1" wp14:anchorId="46069263" wp14:editId="052ACD24">
              <wp:simplePos x="0" y="0"/>
              <wp:positionH relativeFrom="column">
                <wp:posOffset>226695</wp:posOffset>
              </wp:positionH>
              <wp:positionV relativeFrom="paragraph">
                <wp:posOffset>-426085</wp:posOffset>
              </wp:positionV>
              <wp:extent cx="428263" cy="1608881"/>
              <wp:effectExtent l="0" t="0" r="3810" b="4445"/>
              <wp:wrapNone/>
              <wp:docPr id="539545484" name="Rectángulo 539545484"/>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67DA7B" id="Rectángulo 539545484" o:spid="_x0000_s1026" style="position:absolute;margin-left:17.85pt;margin-top:-33.55pt;width:33.7pt;height:126.7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5773FB" w14:textId="77777777" w:rsidR="00FF001B" w:rsidRDefault="00FF001B" w:rsidP="00FE1C10">
    <w:r>
      <w:rPr>
        <w:noProof/>
      </w:rPr>
      <mc:AlternateContent>
        <mc:Choice Requires="wps">
          <w:drawing>
            <wp:anchor distT="0" distB="0" distL="118745" distR="118745" simplePos="0" relativeHeight="251712512" behindDoc="1" locked="0" layoutInCell="1" allowOverlap="0" wp14:anchorId="2D0957F3" wp14:editId="5A7FD11A">
              <wp:simplePos x="0" y="0"/>
              <wp:positionH relativeFrom="margin">
                <wp:align>center</wp:align>
              </wp:positionH>
              <wp:positionV relativeFrom="page">
                <wp:posOffset>711835</wp:posOffset>
              </wp:positionV>
              <wp:extent cx="1980000" cy="226748"/>
              <wp:effectExtent l="0" t="0" r="1270" b="1905"/>
              <wp:wrapSquare wrapText="bothSides"/>
              <wp:docPr id="728460738" name="Rectángulo 7284607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FF2010"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407DF827" w14:textId="77777777" w:rsidR="00FF001B" w:rsidRPr="00CD5734" w:rsidRDefault="00FF001B" w:rsidP="006D49BF">
                          <w:pPr>
                            <w:spacing w:line="160" w:lineRule="exact"/>
                            <w:rPr>
                              <w:caps/>
                              <w:color w:val="FFFFFF" w:themeColor="background1"/>
                              <w:sz w:val="16"/>
                              <w:szCs w:val="11"/>
                              <w:lang w:val="es-ES_tradn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D0957F3" id="Rectángulo 728460738" o:spid="_x0000_s1036" style="position:absolute;left:0;text-align:left;margin-left:0;margin-top:56.05pt;width:155.9pt;height:17.85pt;z-index:-251603968;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PuX2/e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72FF2010"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407DF827" w14:textId="77777777" w:rsidR="00FF001B" w:rsidRPr="00CD5734" w:rsidRDefault="00FF001B" w:rsidP="006D49BF">
                    <w:pPr>
                      <w:spacing w:line="160" w:lineRule="exact"/>
                      <w:rPr>
                        <w:caps/>
                        <w:color w:val="FFFFFF" w:themeColor="background1"/>
                        <w:sz w:val="16"/>
                        <w:szCs w:val="11"/>
                        <w:lang w:val="es-ES_tradnl"/>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13536" behindDoc="0" locked="0" layoutInCell="1" allowOverlap="1" wp14:anchorId="7485CBC0" wp14:editId="4BE687E0">
              <wp:simplePos x="0" y="0"/>
              <wp:positionH relativeFrom="column">
                <wp:posOffset>226695</wp:posOffset>
              </wp:positionH>
              <wp:positionV relativeFrom="paragraph">
                <wp:posOffset>-426085</wp:posOffset>
              </wp:positionV>
              <wp:extent cx="428263" cy="1608881"/>
              <wp:effectExtent l="0" t="0" r="3810" b="4445"/>
              <wp:wrapNone/>
              <wp:docPr id="1499104319" name="Rectángulo 1499104319"/>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34A4FB" id="Rectángulo 1499104319" o:spid="_x0000_s1026" style="position:absolute;margin-left:17.85pt;margin-top:-33.55pt;width:33.7pt;height:126.7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21AC29" w14:textId="77777777" w:rsidR="00FF001B" w:rsidRDefault="00FF001B" w:rsidP="00FE1C10">
    <w:r>
      <w:rPr>
        <w:noProof/>
      </w:rPr>
      <mc:AlternateContent>
        <mc:Choice Requires="wps">
          <w:drawing>
            <wp:anchor distT="0" distB="0" distL="118745" distR="118745" simplePos="0" relativeHeight="251715584" behindDoc="1" locked="0" layoutInCell="1" allowOverlap="0" wp14:anchorId="6FD6878B" wp14:editId="141AD9DB">
              <wp:simplePos x="0" y="0"/>
              <wp:positionH relativeFrom="margin">
                <wp:align>center</wp:align>
              </wp:positionH>
              <wp:positionV relativeFrom="page">
                <wp:posOffset>711835</wp:posOffset>
              </wp:positionV>
              <wp:extent cx="1980000" cy="226748"/>
              <wp:effectExtent l="0" t="0" r="1270" b="1905"/>
              <wp:wrapSquare wrapText="bothSides"/>
              <wp:docPr id="533593658" name="Rectángulo 5335936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2ABC00"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077B3A13" w14:textId="77777777" w:rsidR="00FF001B" w:rsidRPr="00CD5734" w:rsidRDefault="00FF001B" w:rsidP="006D49BF">
                          <w:pPr>
                            <w:spacing w:line="160" w:lineRule="exact"/>
                            <w:rPr>
                              <w:caps/>
                              <w:color w:val="FFFFFF" w:themeColor="background1"/>
                              <w:sz w:val="16"/>
                              <w:szCs w:val="11"/>
                              <w:lang w:val="es-ES_tradn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FD6878B" id="Rectángulo 533593658" o:spid="_x0000_s1037" style="position:absolute;left:0;text-align:left;margin-left:0;margin-top:56.05pt;width:155.9pt;height:17.85pt;z-index:-251600896;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Fu3QOC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492ABC00" w14:textId="77777777" w:rsidR="00FF001B" w:rsidRPr="006D49BF" w:rsidRDefault="00FF001B" w:rsidP="006D49BF">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 queremos</w:t>
                    </w:r>
                  </w:p>
                  <w:p w14:paraId="077B3A13" w14:textId="77777777" w:rsidR="00FF001B" w:rsidRPr="00CD5734" w:rsidRDefault="00FF001B" w:rsidP="006D49BF">
                    <w:pPr>
                      <w:spacing w:line="160" w:lineRule="exact"/>
                      <w:rPr>
                        <w:caps/>
                        <w:color w:val="FFFFFF" w:themeColor="background1"/>
                        <w:sz w:val="16"/>
                        <w:szCs w:val="11"/>
                        <w:lang w:val="es-ES_tradnl"/>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16608" behindDoc="0" locked="0" layoutInCell="1" allowOverlap="1" wp14:anchorId="652471DC" wp14:editId="4230F3D1">
              <wp:simplePos x="0" y="0"/>
              <wp:positionH relativeFrom="column">
                <wp:posOffset>226695</wp:posOffset>
              </wp:positionH>
              <wp:positionV relativeFrom="paragraph">
                <wp:posOffset>-426085</wp:posOffset>
              </wp:positionV>
              <wp:extent cx="428263" cy="1608881"/>
              <wp:effectExtent l="0" t="0" r="3810" b="4445"/>
              <wp:wrapNone/>
              <wp:docPr id="1048070307" name="Rectángulo 1048070307"/>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D3DE8C" id="Rectángulo 1048070307" o:spid="_x0000_s1026" style="position:absolute;margin-left:17.85pt;margin-top:-33.55pt;width:33.7pt;height:126.7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2BD3D7" w14:textId="77777777" w:rsidR="003102A9" w:rsidRDefault="003102A9" w:rsidP="00FE1C10">
    <w:r>
      <w:rPr>
        <w:noProof/>
      </w:rPr>
      <mc:AlternateContent>
        <mc:Choice Requires="wps">
          <w:drawing>
            <wp:anchor distT="0" distB="0" distL="118745" distR="118745" simplePos="0" relativeHeight="251662336" behindDoc="1" locked="0" layoutInCell="1" allowOverlap="0" wp14:anchorId="286E5129" wp14:editId="2B2C5BA0">
              <wp:simplePos x="0" y="0"/>
              <wp:positionH relativeFrom="margin">
                <wp:align>center</wp:align>
              </wp:positionH>
              <wp:positionV relativeFrom="page">
                <wp:posOffset>711835</wp:posOffset>
              </wp:positionV>
              <wp:extent cx="1980000" cy="226748"/>
              <wp:effectExtent l="0" t="0" r="1270" b="1905"/>
              <wp:wrapSquare wrapText="bothSides"/>
              <wp:docPr id="13" name="Rectángulo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4881B1" w14:textId="44602896" w:rsidR="00CB1E45" w:rsidRPr="006D49BF" w:rsidRDefault="00CB1E45"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sidR="00D966EF">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62A44FDF" w14:textId="77777777" w:rsidR="00CB1E45" w:rsidRPr="00CD5734" w:rsidRDefault="00CB1E45" w:rsidP="00CB1E45">
                          <w:pPr>
                            <w:spacing w:line="160" w:lineRule="exact"/>
                            <w:rPr>
                              <w:caps/>
                              <w:color w:val="FFFFFF" w:themeColor="background1"/>
                              <w:sz w:val="16"/>
                              <w:szCs w:val="11"/>
                              <w:lang w:val="es-ES_tradnl"/>
                            </w:rPr>
                          </w:pPr>
                        </w:p>
                        <w:p w14:paraId="3E6D5B77" w14:textId="77777777" w:rsidR="003102A9" w:rsidRPr="003B0A5C" w:rsidRDefault="003102A9" w:rsidP="003B0A5C">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86E5129" id="Rectángulo 13" o:spid="_x0000_s1038" style="position:absolute;left:0;text-align:left;margin-left:0;margin-top:56.05pt;width:155.9pt;height:17.85pt;z-index:-251654144;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I3ViG2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724881B1" w14:textId="44602896" w:rsidR="00CB1E45" w:rsidRPr="006D49BF" w:rsidRDefault="00CB1E45"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sidR="00D966EF">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62A44FDF" w14:textId="77777777" w:rsidR="00CB1E45" w:rsidRPr="00CD5734" w:rsidRDefault="00CB1E45" w:rsidP="00CB1E45">
                    <w:pPr>
                      <w:spacing w:line="160" w:lineRule="exact"/>
                      <w:rPr>
                        <w:caps/>
                        <w:color w:val="FFFFFF" w:themeColor="background1"/>
                        <w:sz w:val="16"/>
                        <w:szCs w:val="11"/>
                        <w:lang w:val="es-ES_tradnl"/>
                      </w:rPr>
                    </w:pPr>
                  </w:p>
                  <w:p w14:paraId="3E6D5B77" w14:textId="77777777" w:rsidR="003102A9" w:rsidRPr="003B0A5C" w:rsidRDefault="003102A9" w:rsidP="003B0A5C">
                    <w:pPr>
                      <w:spacing w:line="160" w:lineRule="exact"/>
                      <w:jc w:val="center"/>
                      <w:rPr>
                        <w:caps/>
                        <w:color w:val="FFFFFF" w:themeColor="background1"/>
                        <w:sz w:val="16"/>
                        <w:szCs w:val="11"/>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663360" behindDoc="0" locked="0" layoutInCell="1" allowOverlap="1" wp14:anchorId="5FC3D8C6" wp14:editId="776000FD">
              <wp:simplePos x="0" y="0"/>
              <wp:positionH relativeFrom="column">
                <wp:posOffset>226695</wp:posOffset>
              </wp:positionH>
              <wp:positionV relativeFrom="paragraph">
                <wp:posOffset>-426085</wp:posOffset>
              </wp:positionV>
              <wp:extent cx="428263" cy="1608881"/>
              <wp:effectExtent l="0" t="0" r="3810" b="4445"/>
              <wp:wrapNone/>
              <wp:docPr id="14" name="Rectángulo 14"/>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13BF82" id="Rectángulo 14" o:spid="_x0000_s1026" style="position:absolute;margin-left:17.85pt;margin-top:-33.55pt;width:33.7pt;height:126.7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" fillcolor="white [3212]" stroked="f" strokeweight="1pt"/>
          </w:pict>
        </mc:Fallback>
      </mc:AlternateContent>
    </w: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640A76" w14:textId="77777777" w:rsidR="00FF001B" w:rsidRDefault="00FF001B" w:rsidP="00FE1C10">
    <w:r>
      <w:rPr>
        <w:noProof/>
      </w:rPr>
      <mc:AlternateContent>
        <mc:Choice Requires="wps">
          <w:drawing>
            <wp:anchor distT="0" distB="0" distL="118745" distR="118745" simplePos="0" relativeHeight="251718656" behindDoc="1" locked="0" layoutInCell="1" allowOverlap="0" wp14:anchorId="31F2447C" wp14:editId="363A0703">
              <wp:simplePos x="0" y="0"/>
              <wp:positionH relativeFrom="margin">
                <wp:align>center</wp:align>
              </wp:positionH>
              <wp:positionV relativeFrom="page">
                <wp:posOffset>711835</wp:posOffset>
              </wp:positionV>
              <wp:extent cx="1980000" cy="226748"/>
              <wp:effectExtent l="0" t="0" r="1270" b="1905"/>
              <wp:wrapSquare wrapText="bothSides"/>
              <wp:docPr id="1577304334" name="Rectángulo 15773043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4090B5"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55FC6CA9" w14:textId="77777777" w:rsidR="00FF001B" w:rsidRPr="00CD5734" w:rsidRDefault="00FF001B" w:rsidP="00CB1E45">
                          <w:pPr>
                            <w:spacing w:line="160" w:lineRule="exact"/>
                            <w:rPr>
                              <w:caps/>
                              <w:color w:val="FFFFFF" w:themeColor="background1"/>
                              <w:sz w:val="16"/>
                              <w:szCs w:val="11"/>
                              <w:lang w:val="es-ES_tradnl"/>
                            </w:rPr>
                          </w:pPr>
                        </w:p>
                        <w:p w14:paraId="4FE1615E" w14:textId="77777777" w:rsidR="00FF001B" w:rsidRPr="003B0A5C" w:rsidRDefault="00FF001B" w:rsidP="003B0A5C">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1F2447C" id="Rectángulo 1577304334" o:spid="_x0000_s1039" style="position:absolute;left:0;text-align:left;margin-left:0;margin-top:56.05pt;width:155.9pt;height:17.85pt;z-index:-251597824;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LZ0oSC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664090B5"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55FC6CA9" w14:textId="77777777" w:rsidR="00FF001B" w:rsidRPr="00CD5734" w:rsidRDefault="00FF001B" w:rsidP="00CB1E45">
                    <w:pPr>
                      <w:spacing w:line="160" w:lineRule="exact"/>
                      <w:rPr>
                        <w:caps/>
                        <w:color w:val="FFFFFF" w:themeColor="background1"/>
                        <w:sz w:val="16"/>
                        <w:szCs w:val="11"/>
                        <w:lang w:val="es-ES_tradnl"/>
                      </w:rPr>
                    </w:pPr>
                  </w:p>
                  <w:p w14:paraId="4FE1615E" w14:textId="77777777" w:rsidR="00FF001B" w:rsidRPr="003B0A5C" w:rsidRDefault="00FF001B" w:rsidP="003B0A5C">
                    <w:pPr>
                      <w:spacing w:line="160" w:lineRule="exact"/>
                      <w:jc w:val="center"/>
                      <w:rPr>
                        <w:caps/>
                        <w:color w:val="FFFFFF" w:themeColor="background1"/>
                        <w:sz w:val="16"/>
                        <w:szCs w:val="11"/>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19680" behindDoc="0" locked="0" layoutInCell="1" allowOverlap="1" wp14:anchorId="6B2BE03E" wp14:editId="0D46A8C8">
              <wp:simplePos x="0" y="0"/>
              <wp:positionH relativeFrom="column">
                <wp:posOffset>226695</wp:posOffset>
              </wp:positionH>
              <wp:positionV relativeFrom="paragraph">
                <wp:posOffset>-426085</wp:posOffset>
              </wp:positionV>
              <wp:extent cx="428263" cy="1608881"/>
              <wp:effectExtent l="0" t="0" r="3810" b="4445"/>
              <wp:wrapNone/>
              <wp:docPr id="642186275" name="Rectángulo 642186275"/>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AD6B3E" id="Rectángulo 642186275" o:spid="_x0000_s1026" style="position:absolute;margin-left:17.85pt;margin-top:-33.55pt;width:33.7pt;height:126.7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74F636" w14:textId="77777777" w:rsidR="00FF001B" w:rsidRDefault="00FF001B" w:rsidP="00FE1C10">
    <w:r>
      <w:rPr>
        <w:noProof/>
      </w:rPr>
      <mc:AlternateContent>
        <mc:Choice Requires="wps">
          <w:drawing>
            <wp:anchor distT="0" distB="0" distL="118745" distR="118745" simplePos="0" relativeHeight="251721728" behindDoc="1" locked="0" layoutInCell="1" allowOverlap="0" wp14:anchorId="391619A9" wp14:editId="1FE32A09">
              <wp:simplePos x="0" y="0"/>
              <wp:positionH relativeFrom="margin">
                <wp:align>center</wp:align>
              </wp:positionH>
              <wp:positionV relativeFrom="page">
                <wp:posOffset>711835</wp:posOffset>
              </wp:positionV>
              <wp:extent cx="1980000" cy="226748"/>
              <wp:effectExtent l="0" t="0" r="1270" b="1905"/>
              <wp:wrapSquare wrapText="bothSides"/>
              <wp:docPr id="838136697" name="Rectángulo 8381366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80000" cy="226748"/>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3B8F0D"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67EBCA33" w14:textId="77777777" w:rsidR="00FF001B" w:rsidRPr="00CD5734" w:rsidRDefault="00FF001B" w:rsidP="00CB1E45">
                          <w:pPr>
                            <w:spacing w:line="160" w:lineRule="exact"/>
                            <w:rPr>
                              <w:caps/>
                              <w:color w:val="FFFFFF" w:themeColor="background1"/>
                              <w:sz w:val="16"/>
                              <w:szCs w:val="11"/>
                              <w:lang w:val="es-ES_tradnl"/>
                            </w:rPr>
                          </w:pPr>
                        </w:p>
                        <w:p w14:paraId="5BB8F69E" w14:textId="77777777" w:rsidR="00FF001B" w:rsidRPr="003B0A5C" w:rsidRDefault="00FF001B" w:rsidP="003B0A5C">
                          <w:pPr>
                            <w:spacing w:line="160" w:lineRule="exact"/>
                            <w:jc w:val="center"/>
                            <w:rPr>
                              <w:caps/>
                              <w:color w:val="FFFFFF" w:themeColor="background1"/>
                              <w:sz w:val="16"/>
                              <w:szCs w:val="1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91619A9" id="Rectángulo 838136697" o:spid="_x0000_s1040" style="position:absolute;left:0;text-align:left;margin-left:0;margin-top:56.05pt;width:155.9pt;height:17.85pt;z-index:-251594752;visibility:visible;mso-wrap-style:square;mso-width-percent:0;mso-height-percent:0;mso-wrap-distance-left:9.35pt;mso-wrap-distance-top:0;mso-wrap-distance-right:9.35pt;mso-wrap-distance-bottom:0;mso-position-horizontal:center;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" o:allowoverlap="f" fillcolor="#c00000" stroked="f" strokeweight="1pt">
              <o:lock v:ext="edit" aspectratio="t"/>
              <v:textbox>
                <w:txbxContent>
                  <w:p w14:paraId="603B8F0D" w14:textId="77777777" w:rsidR="00FF001B" w:rsidRPr="006D49BF" w:rsidRDefault="00FF001B" w:rsidP="00CB1E45">
                    <w:pPr>
                      <w:spacing w:line="160" w:lineRule="exact"/>
                      <w:jc w:val="center"/>
                      <w:rPr>
                        <w:rFonts w:eastAsia="Arial Narrow" w:cs="Arial Narrow"/>
                        <w:b/>
                        <w:bCs/>
                        <w:color w:val="FFFFFF" w:themeColor="background1"/>
                        <w:sz w:val="16"/>
                        <w:szCs w:val="10"/>
                      </w:rPr>
                    </w:pPr>
                    <w:r w:rsidRPr="006D49BF">
                      <w:rPr>
                        <w:rFonts w:eastAsia="Arial Narrow" w:cs="Arial Narrow"/>
                        <w:b/>
                        <w:bCs/>
                        <w:color w:val="FFFFFF" w:themeColor="background1"/>
                        <w:sz w:val="16"/>
                        <w:szCs w:val="10"/>
                      </w:rPr>
                      <w:t>La ciudad que</w:t>
                    </w:r>
                    <w:r>
                      <w:rPr>
                        <w:rFonts w:eastAsia="Arial Narrow" w:cs="Arial Narrow"/>
                        <w:b/>
                        <w:bCs/>
                        <w:color w:val="FFFFFF" w:themeColor="background1"/>
                        <w:sz w:val="16"/>
                        <w:szCs w:val="10"/>
                      </w:rPr>
                      <w:t xml:space="preserve"> </w:t>
                    </w:r>
                    <w:r w:rsidRPr="006D49BF">
                      <w:rPr>
                        <w:rFonts w:eastAsia="Arial Narrow" w:cs="Arial Narrow"/>
                        <w:b/>
                        <w:bCs/>
                        <w:color w:val="FFFFFF" w:themeColor="background1"/>
                        <w:sz w:val="16"/>
                        <w:szCs w:val="10"/>
                      </w:rPr>
                      <w:t>queremos</w:t>
                    </w:r>
                  </w:p>
                  <w:p w14:paraId="67EBCA33" w14:textId="77777777" w:rsidR="00FF001B" w:rsidRPr="00CD5734" w:rsidRDefault="00FF001B" w:rsidP="00CB1E45">
                    <w:pPr>
                      <w:spacing w:line="160" w:lineRule="exact"/>
                      <w:rPr>
                        <w:caps/>
                        <w:color w:val="FFFFFF" w:themeColor="background1"/>
                        <w:sz w:val="16"/>
                        <w:szCs w:val="11"/>
                        <w:lang w:val="es-ES_tradnl"/>
                      </w:rPr>
                    </w:pPr>
                  </w:p>
                  <w:p w14:paraId="5BB8F69E" w14:textId="77777777" w:rsidR="00FF001B" w:rsidRPr="003B0A5C" w:rsidRDefault="00FF001B" w:rsidP="003B0A5C">
                    <w:pPr>
                      <w:spacing w:line="160" w:lineRule="exact"/>
                      <w:jc w:val="center"/>
                      <w:rPr>
                        <w:caps/>
                        <w:color w:val="FFFFFF" w:themeColor="background1"/>
                        <w:sz w:val="16"/>
                        <w:szCs w:val="11"/>
                      </w:rPr>
                    </w:pPr>
                  </w:p>
                </w:txbxContent>
              </v:textbox>
              <w10:wrap type="square" anchorx="margin" anchory="page"/>
            </v:rect>
          </w:pict>
        </mc:Fallback>
      </mc:AlternateContent>
    </w:r>
    <w:r w:rsidRPr="007509BC">
      <w:rPr>
        <w:noProof/>
      </w:rPr>
      <mc:AlternateContent>
        <mc:Choice Requires="wps">
          <w:drawing>
            <wp:anchor distT="0" distB="0" distL="114300" distR="114300" simplePos="0" relativeHeight="251722752" behindDoc="0" locked="0" layoutInCell="1" allowOverlap="1" wp14:anchorId="68D0533D" wp14:editId="1B163F4D">
              <wp:simplePos x="0" y="0"/>
              <wp:positionH relativeFrom="column">
                <wp:posOffset>226695</wp:posOffset>
              </wp:positionH>
              <wp:positionV relativeFrom="paragraph">
                <wp:posOffset>-426085</wp:posOffset>
              </wp:positionV>
              <wp:extent cx="428263" cy="1608881"/>
              <wp:effectExtent l="0" t="0" r="3810" b="4445"/>
              <wp:wrapNone/>
              <wp:docPr id="1243229257" name="Rectángulo 1243229257"/>
              <wp:cNvGraphicFramePr/>
              <a:graphic xmlns:a="http://schemas.openxmlformats.org/drawingml/2006/main">
                <a:graphicData uri="http://schemas.microsoft.com/office/word/2010/wordprocessingShape">
                  <wps:wsp>
                    <wps:cNvSpPr/>
                    <wps:spPr>
                      <a:xfrm>
                        <a:off x="0" y="0"/>
                        <a:ext cx="3205480" cy="30206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77D882" id="Rectángulo 1243229257" o:spid="_x0000_s1026" style="position:absolute;margin-left:17.85pt;margin-top:-33.55pt;width:33.7pt;height:126.7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" fillcolor="white [3212]" stroked="f" strokeweight="1pt"/>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DF569532"/>
    <w:lvl w:ilvl="0">
      <w:start w:val="1"/>
      <w:numFmt w:val="bullet"/>
      <w:pStyle w:val="Listaconvietas2"/>
      <w:lvlText w:val=""/>
      <w:lvlJc w:val="left"/>
      <w:pPr>
        <w:tabs>
          <w:tab w:val="num" w:pos="1984"/>
        </w:tabs>
        <w:ind w:left="1984" w:hanging="360"/>
      </w:pPr>
      <w:rPr>
        <w:rFonts w:ascii="Symbol" w:hAnsi="Symbol" w:hint="default"/>
      </w:rPr>
    </w:lvl>
  </w:abstractNum>
  <w:abstractNum w:abstractNumId="1" w15:restartNumberingAfterBreak="0">
    <w:nsid w:val="002E1770"/>
    <w:multiLevelType w:val="hybridMultilevel"/>
    <w:tmpl w:val="A2D8AB22"/>
    <w:lvl w:ilvl="0" w:tplc="EAF8E854">
      <w:start w:val="1"/>
      <w:numFmt w:val="bullet"/>
      <w:pStyle w:val="Bullets"/>
      <w:lvlText w:val=""/>
      <w:lvlJc w:val="left"/>
      <w:pPr>
        <w:ind w:left="720" w:hanging="360"/>
      </w:pPr>
      <w:rPr>
        <w:rFonts w:ascii="Symbol" w:hAnsi="Symbol" w:hint="default"/>
        <w:color w:val="C0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0F573D3"/>
    <w:multiLevelType w:val="hybridMultilevel"/>
    <w:tmpl w:val="4DCAC444"/>
    <w:lvl w:ilvl="0" w:tplc="3B2C57E0">
      <w:start w:val="1"/>
      <w:numFmt w:val="decimal"/>
      <w:lvlText w:val="%1)"/>
      <w:lvlJc w:val="left"/>
      <w:pPr>
        <w:ind w:left="720" w:hanging="360"/>
      </w:pPr>
      <w:rPr>
        <w:rFonts w:hint="default"/>
        <w:color w:val="C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1750323"/>
    <w:multiLevelType w:val="hybridMultilevel"/>
    <w:tmpl w:val="E69EBD7C"/>
    <w:lvl w:ilvl="0" w:tplc="330E0640">
      <w:start w:val="1"/>
      <w:numFmt w:val="bullet"/>
      <w:lvlText w:val=""/>
      <w:lvlJc w:val="left"/>
      <w:pPr>
        <w:ind w:left="720" w:hanging="360"/>
      </w:pPr>
      <w:rPr>
        <w:rFonts w:ascii="Symbol" w:hAnsi="Symbol" w:hint="default"/>
        <w:color w:val="C00000"/>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5FD5E60"/>
    <w:multiLevelType w:val="multilevel"/>
    <w:tmpl w:val="9EF81EA6"/>
    <w:lvl w:ilvl="0">
      <w:start w:val="1"/>
      <w:numFmt w:val="decimal"/>
      <w:lvlText w:val="%1."/>
      <w:lvlJc w:val="left"/>
      <w:pPr>
        <w:ind w:left="720" w:hanging="360"/>
      </w:pPr>
      <w:rPr>
        <w:rFonts w:hint="default"/>
      </w:rPr>
    </w:lvl>
    <w:lvl w:ilvl="1">
      <w:start w:val="1"/>
      <w:numFmt w:val="decimal"/>
      <w:pStyle w:val="TtuloTDC2"/>
      <w:isLgl/>
      <w:lvlText w:val="%1.%2."/>
      <w:lvlJc w:val="left"/>
      <w:pPr>
        <w:ind w:left="1080" w:hanging="720"/>
      </w:pPr>
      <w:rPr>
        <w:rFonts w:hint="default"/>
        <w:b/>
        <w:bCs/>
        <w:sz w:val="32"/>
        <w:szCs w:val="32"/>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080978B7"/>
    <w:multiLevelType w:val="hybridMultilevel"/>
    <w:tmpl w:val="BC84992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09B349CD"/>
    <w:multiLevelType w:val="hybridMultilevel"/>
    <w:tmpl w:val="4E989CE0"/>
    <w:lvl w:ilvl="0" w:tplc="BE08DD74">
      <w:start w:val="1"/>
      <w:numFmt w:val="bullet"/>
      <w:pStyle w:val="Vieta"/>
      <w:lvlText w:val=""/>
      <w:lvlJc w:val="left"/>
      <w:pPr>
        <w:ind w:left="360" w:hanging="360"/>
      </w:pPr>
      <w:rPr>
        <w:rFonts w:ascii="Symbol" w:hAnsi="Symbol" w:hint="default"/>
        <w:color w:val="auto"/>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start w:val="1"/>
      <w:numFmt w:val="bullet"/>
      <w:lvlText w:val=""/>
      <w:lvlJc w:val="left"/>
      <w:pPr>
        <w:ind w:left="2520" w:hanging="360"/>
      </w:pPr>
      <w:rPr>
        <w:rFonts w:ascii="Symbol" w:hAnsi="Symbol" w:hint="default"/>
      </w:rPr>
    </w:lvl>
    <w:lvl w:ilvl="4" w:tplc="0C0A0003">
      <w:start w:val="1"/>
      <w:numFmt w:val="bullet"/>
      <w:lvlText w:val="o"/>
      <w:lvlJc w:val="left"/>
      <w:pPr>
        <w:ind w:left="3240" w:hanging="360"/>
      </w:pPr>
      <w:rPr>
        <w:rFonts w:ascii="Courier New" w:hAnsi="Courier New" w:cs="Courier New" w:hint="default"/>
      </w:rPr>
    </w:lvl>
    <w:lvl w:ilvl="5" w:tplc="0C0A0005">
      <w:start w:val="1"/>
      <w:numFmt w:val="bullet"/>
      <w:lvlText w:val=""/>
      <w:lvlJc w:val="left"/>
      <w:pPr>
        <w:ind w:left="3960" w:hanging="360"/>
      </w:pPr>
      <w:rPr>
        <w:rFonts w:ascii="Wingdings" w:hAnsi="Wingdings" w:hint="default"/>
      </w:rPr>
    </w:lvl>
    <w:lvl w:ilvl="6" w:tplc="0C0A0001">
      <w:start w:val="1"/>
      <w:numFmt w:val="bullet"/>
      <w:lvlText w:val=""/>
      <w:lvlJc w:val="left"/>
      <w:pPr>
        <w:ind w:left="4680" w:hanging="360"/>
      </w:pPr>
      <w:rPr>
        <w:rFonts w:ascii="Symbol" w:hAnsi="Symbol" w:hint="default"/>
      </w:rPr>
    </w:lvl>
    <w:lvl w:ilvl="7" w:tplc="0C0A0003">
      <w:start w:val="1"/>
      <w:numFmt w:val="bullet"/>
      <w:lvlText w:val="o"/>
      <w:lvlJc w:val="left"/>
      <w:pPr>
        <w:ind w:left="5400" w:hanging="360"/>
      </w:pPr>
      <w:rPr>
        <w:rFonts w:ascii="Courier New" w:hAnsi="Courier New" w:cs="Courier New" w:hint="default"/>
      </w:rPr>
    </w:lvl>
    <w:lvl w:ilvl="8" w:tplc="0C0A0005">
      <w:start w:val="1"/>
      <w:numFmt w:val="bullet"/>
      <w:lvlText w:val=""/>
      <w:lvlJc w:val="left"/>
      <w:pPr>
        <w:ind w:left="6120" w:hanging="360"/>
      </w:pPr>
      <w:rPr>
        <w:rFonts w:ascii="Wingdings" w:hAnsi="Wingdings" w:hint="default"/>
      </w:rPr>
    </w:lvl>
  </w:abstractNum>
  <w:abstractNum w:abstractNumId="7" w15:restartNumberingAfterBreak="0">
    <w:nsid w:val="0A713C55"/>
    <w:multiLevelType w:val="multilevel"/>
    <w:tmpl w:val="364664EE"/>
    <w:styleLink w:val="Listaactual9"/>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AF34C52"/>
    <w:multiLevelType w:val="multilevel"/>
    <w:tmpl w:val="08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BA85FE7"/>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C647F0D"/>
    <w:multiLevelType w:val="hybridMultilevel"/>
    <w:tmpl w:val="D45A3D86"/>
    <w:lvl w:ilvl="0" w:tplc="2D80E258">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0E644591"/>
    <w:multiLevelType w:val="multilevel"/>
    <w:tmpl w:val="915E3F42"/>
    <w:styleLink w:val="Estilo7"/>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ascii="Candara" w:hAnsi="Candara" w:hint="default"/>
        <w:color w:val="3B3838" w:themeColor="background2" w:themeShade="4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2D31A5"/>
    <w:multiLevelType w:val="hybridMultilevel"/>
    <w:tmpl w:val="CAB29DC0"/>
    <w:lvl w:ilvl="0" w:tplc="481A7376">
      <w:start w:val="1"/>
      <w:numFmt w:val="decimal"/>
      <w:pStyle w:val="normal-negrita"/>
      <w:lvlText w:val="%1."/>
      <w:lvlJc w:val="left"/>
      <w:pPr>
        <w:ind w:left="720" w:hanging="360"/>
      </w:pPr>
      <w:rPr>
        <w:rFonts w:hint="default"/>
        <w:color w:val="C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085DF7"/>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81638DD"/>
    <w:multiLevelType w:val="multilevel"/>
    <w:tmpl w:val="9F2A7990"/>
    <w:styleLink w:val="Estilo71"/>
    <w:lvl w:ilvl="0">
      <w:start w:val="1"/>
      <w:numFmt w:val="decimal"/>
      <w:lvlText w:val="%1."/>
      <w:lvlJc w:val="left"/>
      <w:pPr>
        <w:ind w:left="785" w:hanging="360"/>
      </w:pPr>
      <w:rPr>
        <w:rFonts w:hint="default"/>
      </w:rPr>
    </w:lvl>
    <w:lvl w:ilvl="1">
      <w:start w:val="1"/>
      <w:numFmt w:val="decimal"/>
      <w:lvlText w:val="%1.%2."/>
      <w:lvlJc w:val="left"/>
      <w:pPr>
        <w:ind w:left="1217" w:hanging="432"/>
      </w:pPr>
      <w:rPr>
        <w:rFonts w:hint="default"/>
      </w:rPr>
    </w:lvl>
    <w:lvl w:ilvl="2">
      <w:start w:val="1"/>
      <w:numFmt w:val="decimal"/>
      <w:lvlText w:val="%1.%2.%3."/>
      <w:lvlJc w:val="left"/>
      <w:pPr>
        <w:ind w:left="1649" w:hanging="504"/>
      </w:pPr>
      <w:rPr>
        <w:rFonts w:hint="default"/>
      </w:rPr>
    </w:lvl>
    <w:lvl w:ilvl="3">
      <w:start w:val="1"/>
      <w:numFmt w:val="decimal"/>
      <w:lvlText w:val="%1.%2.%3.%4."/>
      <w:lvlJc w:val="left"/>
      <w:pPr>
        <w:ind w:left="2153" w:hanging="648"/>
      </w:pPr>
      <w:rPr>
        <w:rFonts w:hint="default"/>
      </w:rPr>
    </w:lvl>
    <w:lvl w:ilvl="4">
      <w:start w:val="1"/>
      <w:numFmt w:val="decimal"/>
      <w:lvlText w:val="%1.%2.%3.%4.%5."/>
      <w:lvlJc w:val="left"/>
      <w:pPr>
        <w:ind w:left="2657" w:hanging="792"/>
      </w:pPr>
      <w:rPr>
        <w:rFonts w:hint="default"/>
      </w:rPr>
    </w:lvl>
    <w:lvl w:ilvl="5">
      <w:start w:val="1"/>
      <w:numFmt w:val="decimal"/>
      <w:lvlText w:val="%1.%2.%3.%4.%5.%6."/>
      <w:lvlJc w:val="left"/>
      <w:pPr>
        <w:ind w:left="3161" w:hanging="936"/>
      </w:pPr>
      <w:rPr>
        <w:rFonts w:hint="default"/>
      </w:rPr>
    </w:lvl>
    <w:lvl w:ilvl="6">
      <w:start w:val="1"/>
      <w:numFmt w:val="decimal"/>
      <w:lvlText w:val="%1.%2.%3.%4.%5.%6.%7."/>
      <w:lvlJc w:val="left"/>
      <w:pPr>
        <w:ind w:left="3665" w:hanging="1080"/>
      </w:pPr>
      <w:rPr>
        <w:rFonts w:hint="default"/>
      </w:rPr>
    </w:lvl>
    <w:lvl w:ilvl="7">
      <w:start w:val="1"/>
      <w:numFmt w:val="decimal"/>
      <w:lvlText w:val="%1.%2.%3.%4.%5.%6.%7.%8."/>
      <w:lvlJc w:val="left"/>
      <w:pPr>
        <w:ind w:left="4169" w:hanging="1224"/>
      </w:pPr>
      <w:rPr>
        <w:rFonts w:hint="default"/>
      </w:rPr>
    </w:lvl>
    <w:lvl w:ilvl="8">
      <w:start w:val="1"/>
      <w:numFmt w:val="decimal"/>
      <w:lvlText w:val="%1.%2.%3.%4.%5.%6.%7.%8.%9."/>
      <w:lvlJc w:val="left"/>
      <w:pPr>
        <w:ind w:left="4745" w:hanging="1440"/>
      </w:pPr>
      <w:rPr>
        <w:rFonts w:hint="default"/>
      </w:rPr>
    </w:lvl>
  </w:abstractNum>
  <w:abstractNum w:abstractNumId="15" w15:restartNumberingAfterBreak="0">
    <w:nsid w:val="195B5B95"/>
    <w:multiLevelType w:val="hybridMultilevel"/>
    <w:tmpl w:val="30465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3247E0"/>
    <w:multiLevelType w:val="hybridMultilevel"/>
    <w:tmpl w:val="6EB2275A"/>
    <w:lvl w:ilvl="0" w:tplc="480A000F">
      <w:start w:val="1"/>
      <w:numFmt w:val="decimal"/>
      <w:pStyle w:val="Tabla"/>
      <w:lvlText w:val="Tabla %1."/>
      <w:lvlJc w:val="left"/>
      <w:pPr>
        <w:tabs>
          <w:tab w:val="num" w:pos="0"/>
        </w:tabs>
        <w:ind w:left="0" w:firstLine="0"/>
      </w:pPr>
      <w:rPr>
        <w:rFonts w:ascii="Calibri" w:hAnsi="Calibri" w:cs="Goudy Stout" w:hint="default"/>
        <w:b/>
        <w:i w:val="0"/>
        <w:caps w:val="0"/>
        <w:strike w:val="0"/>
        <w:dstrike w:val="0"/>
        <w:vanish w:val="0"/>
        <w:color w:val="auto"/>
        <w:sz w:val="22"/>
        <w:vertAlign w:val="baseline"/>
      </w:rPr>
    </w:lvl>
    <w:lvl w:ilvl="1" w:tplc="480A0003">
      <w:start w:val="1"/>
      <w:numFmt w:val="bullet"/>
      <w:lvlText w:val=""/>
      <w:lvlJc w:val="left"/>
      <w:pPr>
        <w:tabs>
          <w:tab w:val="num" w:pos="1440"/>
        </w:tabs>
        <w:ind w:left="1440" w:hanging="360"/>
      </w:pPr>
      <w:rPr>
        <w:rFonts w:ascii="Wingdings" w:hAnsi="Wingdings" w:hint="default"/>
        <w:b/>
        <w:i w:val="0"/>
        <w:caps w:val="0"/>
        <w:strike w:val="0"/>
        <w:dstrike w:val="0"/>
        <w:vanish w:val="0"/>
        <w:color w:val="auto"/>
        <w:sz w:val="22"/>
        <w:vertAlign w:val="baseline"/>
      </w:rPr>
    </w:lvl>
    <w:lvl w:ilvl="2" w:tplc="480A0005">
      <w:start w:val="1"/>
      <w:numFmt w:val="lowerRoman"/>
      <w:lvlText w:val="%3."/>
      <w:lvlJc w:val="right"/>
      <w:pPr>
        <w:tabs>
          <w:tab w:val="num" w:pos="2160"/>
        </w:tabs>
        <w:ind w:left="2160" w:hanging="180"/>
      </w:pPr>
    </w:lvl>
    <w:lvl w:ilvl="3" w:tplc="480A0001" w:tentative="1">
      <w:start w:val="1"/>
      <w:numFmt w:val="decimal"/>
      <w:lvlText w:val="%4."/>
      <w:lvlJc w:val="left"/>
      <w:pPr>
        <w:tabs>
          <w:tab w:val="num" w:pos="2880"/>
        </w:tabs>
        <w:ind w:left="2880" w:hanging="360"/>
      </w:pPr>
    </w:lvl>
    <w:lvl w:ilvl="4" w:tplc="480A0003" w:tentative="1">
      <w:start w:val="1"/>
      <w:numFmt w:val="lowerLetter"/>
      <w:lvlText w:val="%5."/>
      <w:lvlJc w:val="left"/>
      <w:pPr>
        <w:tabs>
          <w:tab w:val="num" w:pos="3600"/>
        </w:tabs>
        <w:ind w:left="3600" w:hanging="360"/>
      </w:pPr>
    </w:lvl>
    <w:lvl w:ilvl="5" w:tplc="480A0005" w:tentative="1">
      <w:start w:val="1"/>
      <w:numFmt w:val="lowerRoman"/>
      <w:lvlText w:val="%6."/>
      <w:lvlJc w:val="right"/>
      <w:pPr>
        <w:tabs>
          <w:tab w:val="num" w:pos="4320"/>
        </w:tabs>
        <w:ind w:left="4320" w:hanging="180"/>
      </w:pPr>
    </w:lvl>
    <w:lvl w:ilvl="6" w:tplc="480A0001" w:tentative="1">
      <w:start w:val="1"/>
      <w:numFmt w:val="decimal"/>
      <w:lvlText w:val="%7."/>
      <w:lvlJc w:val="left"/>
      <w:pPr>
        <w:tabs>
          <w:tab w:val="num" w:pos="5040"/>
        </w:tabs>
        <w:ind w:left="5040" w:hanging="360"/>
      </w:pPr>
    </w:lvl>
    <w:lvl w:ilvl="7" w:tplc="480A0003" w:tentative="1">
      <w:start w:val="1"/>
      <w:numFmt w:val="lowerLetter"/>
      <w:lvlText w:val="%8."/>
      <w:lvlJc w:val="left"/>
      <w:pPr>
        <w:tabs>
          <w:tab w:val="num" w:pos="5760"/>
        </w:tabs>
        <w:ind w:left="5760" w:hanging="360"/>
      </w:pPr>
    </w:lvl>
    <w:lvl w:ilvl="8" w:tplc="480A0005" w:tentative="1">
      <w:start w:val="1"/>
      <w:numFmt w:val="lowerRoman"/>
      <w:lvlText w:val="%9."/>
      <w:lvlJc w:val="right"/>
      <w:pPr>
        <w:tabs>
          <w:tab w:val="num" w:pos="6480"/>
        </w:tabs>
        <w:ind w:left="6480" w:hanging="180"/>
      </w:pPr>
    </w:lvl>
  </w:abstractNum>
  <w:abstractNum w:abstractNumId="17" w15:restartNumberingAfterBreak="0">
    <w:nsid w:val="1F09416B"/>
    <w:multiLevelType w:val="hybridMultilevel"/>
    <w:tmpl w:val="B2C81C4E"/>
    <w:styleLink w:val="Estilo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0E415B2"/>
    <w:multiLevelType w:val="hybridMultilevel"/>
    <w:tmpl w:val="FAFC2370"/>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0E76AA9"/>
    <w:multiLevelType w:val="hybridMultilevel"/>
    <w:tmpl w:val="C1241B5A"/>
    <w:lvl w:ilvl="0" w:tplc="9A3EB7EC">
      <w:start w:val="1"/>
      <w:numFmt w:val="decimal"/>
      <w:lvlText w:val="%1."/>
      <w:lvlJc w:val="left"/>
      <w:pPr>
        <w:ind w:left="720" w:hanging="360"/>
      </w:pPr>
      <w:rPr>
        <w:color w:val="C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1707E26"/>
    <w:multiLevelType w:val="multilevel"/>
    <w:tmpl w:val="F6F01DFE"/>
    <w:lvl w:ilvl="0">
      <w:start w:val="1"/>
      <w:numFmt w:val="decimalZero"/>
      <w:pStyle w:val="Figuras"/>
      <w:lvlText w:val="Figura %1."/>
      <w:lvlJc w:val="center"/>
      <w:pPr>
        <w:tabs>
          <w:tab w:val="num" w:pos="0"/>
        </w:tabs>
        <w:ind w:left="1701" w:hanging="1134"/>
      </w:pPr>
      <w:rPr>
        <w:rFonts w:ascii="Arial" w:hAnsi="Arial" w:hint="default"/>
        <w:b w:val="0"/>
        <w:i/>
        <w:color w:val="auto"/>
        <w:sz w:val="20"/>
        <w:szCs w:val="20"/>
      </w:rPr>
    </w:lvl>
    <w:lvl w:ilvl="1">
      <w:start w:val="1"/>
      <w:numFmt w:val="bullet"/>
      <w:lvlText w:val=""/>
      <w:lvlJc w:val="left"/>
      <w:pPr>
        <w:tabs>
          <w:tab w:val="num" w:pos="2138"/>
        </w:tabs>
        <w:ind w:left="2138" w:hanging="360"/>
      </w:pPr>
      <w:rPr>
        <w:rFonts w:ascii="Wingdings" w:hAnsi="Wingdings" w:hint="default"/>
      </w:rPr>
    </w:lvl>
    <w:lvl w:ilvl="2">
      <w:start w:val="1"/>
      <w:numFmt w:val="bullet"/>
      <w:lvlText w:val=""/>
      <w:lvlJc w:val="left"/>
      <w:pPr>
        <w:tabs>
          <w:tab w:val="num" w:pos="2498"/>
        </w:tabs>
        <w:ind w:left="2498" w:hanging="360"/>
      </w:pPr>
      <w:rPr>
        <w:rFonts w:ascii="Wingdings" w:hAnsi="Wingdings" w:hint="default"/>
      </w:rPr>
    </w:lvl>
    <w:lvl w:ilvl="3">
      <w:start w:val="1"/>
      <w:numFmt w:val="bullet"/>
      <w:lvlText w:val=""/>
      <w:lvlJc w:val="left"/>
      <w:pPr>
        <w:tabs>
          <w:tab w:val="num" w:pos="2858"/>
        </w:tabs>
        <w:ind w:left="2858" w:hanging="360"/>
      </w:pPr>
      <w:rPr>
        <w:rFonts w:ascii="Symbol" w:hAnsi="Symbol" w:hint="default"/>
      </w:rPr>
    </w:lvl>
    <w:lvl w:ilvl="4">
      <w:start w:val="1"/>
      <w:numFmt w:val="bullet"/>
      <w:lvlText w:val=""/>
      <w:lvlJc w:val="left"/>
      <w:pPr>
        <w:tabs>
          <w:tab w:val="num" w:pos="3218"/>
        </w:tabs>
        <w:ind w:left="3218" w:hanging="360"/>
      </w:pPr>
      <w:rPr>
        <w:rFonts w:ascii="Symbol" w:hAnsi="Symbol" w:hint="default"/>
      </w:rPr>
    </w:lvl>
    <w:lvl w:ilvl="5">
      <w:start w:val="1"/>
      <w:numFmt w:val="bullet"/>
      <w:lvlText w:val=""/>
      <w:lvlJc w:val="left"/>
      <w:pPr>
        <w:tabs>
          <w:tab w:val="num" w:pos="3578"/>
        </w:tabs>
        <w:ind w:left="3578" w:hanging="360"/>
      </w:pPr>
      <w:rPr>
        <w:rFonts w:ascii="Wingdings" w:hAnsi="Wingdings" w:hint="default"/>
      </w:rPr>
    </w:lvl>
    <w:lvl w:ilvl="6">
      <w:start w:val="1"/>
      <w:numFmt w:val="bullet"/>
      <w:lvlText w:val=""/>
      <w:lvlJc w:val="left"/>
      <w:pPr>
        <w:tabs>
          <w:tab w:val="num" w:pos="3938"/>
        </w:tabs>
        <w:ind w:left="3938" w:hanging="360"/>
      </w:pPr>
      <w:rPr>
        <w:rFonts w:ascii="Wingdings" w:hAnsi="Wingdings" w:hint="default"/>
      </w:rPr>
    </w:lvl>
    <w:lvl w:ilvl="7">
      <w:start w:val="1"/>
      <w:numFmt w:val="bullet"/>
      <w:lvlText w:val=""/>
      <w:lvlJc w:val="left"/>
      <w:pPr>
        <w:tabs>
          <w:tab w:val="num" w:pos="4298"/>
        </w:tabs>
        <w:ind w:left="4298" w:hanging="360"/>
      </w:pPr>
      <w:rPr>
        <w:rFonts w:ascii="Symbol" w:hAnsi="Symbol" w:hint="default"/>
      </w:rPr>
    </w:lvl>
    <w:lvl w:ilvl="8">
      <w:start w:val="1"/>
      <w:numFmt w:val="bullet"/>
      <w:lvlText w:val=""/>
      <w:lvlJc w:val="left"/>
      <w:pPr>
        <w:tabs>
          <w:tab w:val="num" w:pos="4658"/>
        </w:tabs>
        <w:ind w:left="4658" w:hanging="360"/>
      </w:pPr>
      <w:rPr>
        <w:rFonts w:ascii="Symbol" w:hAnsi="Symbol" w:hint="default"/>
      </w:rPr>
    </w:lvl>
  </w:abstractNum>
  <w:abstractNum w:abstractNumId="21" w15:restartNumberingAfterBreak="0">
    <w:nsid w:val="25D40060"/>
    <w:multiLevelType w:val="multilevel"/>
    <w:tmpl w:val="050ACA0A"/>
    <w:styleLink w:val="Listaactual8"/>
    <w:lvl w:ilvl="0">
      <w:start w:val="1"/>
      <w:numFmt w:val="decimal"/>
      <w:lvlText w:val="%1."/>
      <w:lvlJc w:val="left"/>
      <w:pPr>
        <w:ind w:left="420" w:hanging="420"/>
      </w:pPr>
      <w:rPr>
        <w:rFonts w:hint="default"/>
      </w:rPr>
    </w:lvl>
    <w:lvl w:ilvl="1">
      <w:start w:val="1"/>
      <w:numFmt w:val="decimal"/>
      <w:lvlText w:val="%2."/>
      <w:lvlJc w:val="left"/>
      <w:pPr>
        <w:ind w:left="720" w:hanging="360"/>
      </w:p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A23371B"/>
    <w:multiLevelType w:val="hybridMultilevel"/>
    <w:tmpl w:val="2EEECD9E"/>
    <w:lvl w:ilvl="0" w:tplc="CE10FA08">
      <w:start w:val="1"/>
      <w:numFmt w:val="decimal"/>
      <w:lvlText w:val="%1."/>
      <w:lvlJc w:val="left"/>
      <w:pPr>
        <w:ind w:left="785" w:hanging="360"/>
      </w:pPr>
      <w:rPr>
        <w:rFonts w:hint="default"/>
      </w:r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3" w15:restartNumberingAfterBreak="0">
    <w:nsid w:val="2A251014"/>
    <w:multiLevelType w:val="multilevel"/>
    <w:tmpl w:val="039499A8"/>
    <w:lvl w:ilvl="0">
      <w:start w:val="1"/>
      <w:numFmt w:val="decimal"/>
      <w:pStyle w:val="EstiloTtulo111ptJustificadoAntes6ptoDespus6pto"/>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B19114A"/>
    <w:multiLevelType w:val="multilevel"/>
    <w:tmpl w:val="A560EDCC"/>
    <w:lvl w:ilvl="0">
      <w:start w:val="1"/>
      <w:numFmt w:val="decimal"/>
      <w:lvlText w:val="%1."/>
      <w:lvlJc w:val="left"/>
      <w:pPr>
        <w:ind w:left="720" w:hanging="360"/>
      </w:pPr>
      <w:rPr>
        <w:rFonts w:hint="default"/>
        <w:color w:val="3B3838" w:themeColor="background2" w:themeShade="4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2C52794A"/>
    <w:multiLevelType w:val="multilevel"/>
    <w:tmpl w:val="45EAA5CC"/>
    <w:lvl w:ilvl="0">
      <w:start w:val="1"/>
      <w:numFmt w:val="decimal"/>
      <w:lvlText w:val="%1."/>
      <w:lvlJc w:val="left"/>
      <w:pPr>
        <w:ind w:left="360" w:hanging="360"/>
      </w:pPr>
      <w:rPr>
        <w:rFonts w:hint="default"/>
      </w:rPr>
    </w:lvl>
    <w:lvl w:ilvl="1">
      <w:start w:val="1"/>
      <w:numFmt w:val="decimal"/>
      <w:pStyle w:val="Ttulo2"/>
      <w:lvlText w:val="%1.%2."/>
      <w:lvlJc w:val="left"/>
      <w:pPr>
        <w:ind w:left="792" w:hanging="432"/>
      </w:pPr>
      <w:rPr>
        <w:rFonts w:hint="default"/>
        <w:color w:val="C0000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E7F7CAA"/>
    <w:multiLevelType w:val="hybridMultilevel"/>
    <w:tmpl w:val="85EE8FC0"/>
    <w:lvl w:ilvl="0" w:tplc="2D80E258">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F8A7A78"/>
    <w:multiLevelType w:val="hybridMultilevel"/>
    <w:tmpl w:val="1F6A9BF2"/>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0E44B4E"/>
    <w:multiLevelType w:val="hybridMultilevel"/>
    <w:tmpl w:val="755E353E"/>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3226084C"/>
    <w:multiLevelType w:val="multilevel"/>
    <w:tmpl w:val="016CCBAA"/>
    <w:lvl w:ilvl="0">
      <w:start w:val="1"/>
      <w:numFmt w:val="decimal"/>
      <w:lvlText w:val="%1."/>
      <w:lvlJc w:val="left"/>
      <w:pPr>
        <w:ind w:left="845" w:hanging="420"/>
      </w:pPr>
    </w:lvl>
    <w:lvl w:ilvl="1">
      <w:start w:val="1"/>
      <w:numFmt w:val="decimal"/>
      <w:lvlText w:val="%1.%2."/>
      <w:lvlJc w:val="left"/>
      <w:pPr>
        <w:ind w:left="845" w:hanging="420"/>
      </w:pPr>
    </w:lvl>
    <w:lvl w:ilvl="2">
      <w:start w:val="1"/>
      <w:numFmt w:val="decimal"/>
      <w:lvlText w:val="%1.%2.%3."/>
      <w:lvlJc w:val="left"/>
      <w:pPr>
        <w:ind w:left="1145" w:hanging="720"/>
      </w:pPr>
    </w:lvl>
    <w:lvl w:ilvl="3">
      <w:start w:val="1"/>
      <w:numFmt w:val="decimal"/>
      <w:lvlText w:val="%1.%2.%3.%4."/>
      <w:lvlJc w:val="left"/>
      <w:pPr>
        <w:ind w:left="1145" w:hanging="720"/>
      </w:pPr>
    </w:lvl>
    <w:lvl w:ilvl="4">
      <w:start w:val="1"/>
      <w:numFmt w:val="decimal"/>
      <w:lvlText w:val="%1.%2.%3.%4.%5."/>
      <w:lvlJc w:val="left"/>
      <w:pPr>
        <w:ind w:left="1505" w:hanging="1080"/>
      </w:pPr>
    </w:lvl>
    <w:lvl w:ilvl="5">
      <w:start w:val="1"/>
      <w:numFmt w:val="decimal"/>
      <w:lvlText w:val="%1.%2.%3.%4.%5.%6."/>
      <w:lvlJc w:val="left"/>
      <w:pPr>
        <w:ind w:left="1505" w:hanging="1080"/>
      </w:pPr>
    </w:lvl>
    <w:lvl w:ilvl="6">
      <w:start w:val="1"/>
      <w:numFmt w:val="decimal"/>
      <w:lvlText w:val="%1.%2.%3.%4.%5.%6.%7."/>
      <w:lvlJc w:val="left"/>
      <w:pPr>
        <w:ind w:left="1865" w:hanging="1440"/>
      </w:pPr>
    </w:lvl>
    <w:lvl w:ilvl="7">
      <w:start w:val="1"/>
      <w:numFmt w:val="decimal"/>
      <w:lvlText w:val="%1.%2.%3.%4.%5.%6.%7.%8."/>
      <w:lvlJc w:val="left"/>
      <w:pPr>
        <w:ind w:left="1865" w:hanging="1440"/>
      </w:pPr>
    </w:lvl>
    <w:lvl w:ilvl="8">
      <w:start w:val="1"/>
      <w:numFmt w:val="decimal"/>
      <w:lvlText w:val="%1.%2.%3.%4.%5.%6.%7.%8.%9."/>
      <w:lvlJc w:val="left"/>
      <w:pPr>
        <w:ind w:left="2225" w:hanging="1800"/>
      </w:pPr>
    </w:lvl>
  </w:abstractNum>
  <w:abstractNum w:abstractNumId="30" w15:restartNumberingAfterBreak="0">
    <w:nsid w:val="349917BC"/>
    <w:multiLevelType w:val="hybridMultilevel"/>
    <w:tmpl w:val="AEC662CC"/>
    <w:lvl w:ilvl="0" w:tplc="AAA87836">
      <w:start w:val="1"/>
      <w:numFmt w:val="decimal"/>
      <w:pStyle w:val="TextoCES"/>
      <w:lvlText w:val="1.1.%1."/>
      <w:lvlJc w:val="left"/>
      <w:pPr>
        <w:ind w:left="1428"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1" w15:restartNumberingAfterBreak="0">
    <w:nsid w:val="36D4251C"/>
    <w:multiLevelType w:val="hybridMultilevel"/>
    <w:tmpl w:val="DF16E202"/>
    <w:lvl w:ilvl="0" w:tplc="75B4DDBA">
      <w:start w:val="537"/>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78238D2"/>
    <w:multiLevelType w:val="hybridMultilevel"/>
    <w:tmpl w:val="40E8550C"/>
    <w:lvl w:ilvl="0" w:tplc="3B2C57E0">
      <w:start w:val="1"/>
      <w:numFmt w:val="decimal"/>
      <w:lvlText w:val="%1)"/>
      <w:lvlJc w:val="left"/>
      <w:pPr>
        <w:ind w:left="786" w:hanging="360"/>
      </w:pPr>
      <w:rPr>
        <w:rFonts w:hint="default"/>
        <w:color w:val="C00000"/>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94E2140"/>
    <w:multiLevelType w:val="multilevel"/>
    <w:tmpl w:val="BDD4E8CC"/>
    <w:lvl w:ilvl="0">
      <w:start w:val="1"/>
      <w:numFmt w:val="decimal"/>
      <w:lvlText w:val="%1."/>
      <w:lvlJc w:val="left"/>
      <w:pPr>
        <w:ind w:left="720" w:hanging="360"/>
      </w:pPr>
      <w:rPr>
        <w:rFonts w:cstheme="majorBidi" w:hint="default"/>
      </w:rPr>
    </w:lvl>
    <w:lvl w:ilvl="1">
      <w:start w:val="1"/>
      <w:numFmt w:val="decimal"/>
      <w:isLgl/>
      <w:lvlText w:val="%1.%2"/>
      <w:lvlJc w:val="left"/>
      <w:pPr>
        <w:ind w:left="785" w:hanging="360"/>
      </w:pPr>
      <w:rPr>
        <w:rFonts w:hint="default"/>
      </w:rPr>
    </w:lvl>
    <w:lvl w:ilvl="2">
      <w:start w:val="1"/>
      <w:numFmt w:val="decimal"/>
      <w:isLgl/>
      <w:lvlText w:val="%1.%2.%3"/>
      <w:lvlJc w:val="left"/>
      <w:pPr>
        <w:ind w:left="1210" w:hanging="720"/>
      </w:pPr>
      <w:rPr>
        <w:rFonts w:hint="default"/>
      </w:rPr>
    </w:lvl>
    <w:lvl w:ilvl="3">
      <w:start w:val="1"/>
      <w:numFmt w:val="decimal"/>
      <w:isLgl/>
      <w:lvlText w:val="%1.%2.%3.%4"/>
      <w:lvlJc w:val="left"/>
      <w:pPr>
        <w:ind w:left="1635" w:hanging="1080"/>
      </w:pPr>
      <w:rPr>
        <w:rFonts w:hint="default"/>
      </w:rPr>
    </w:lvl>
    <w:lvl w:ilvl="4">
      <w:start w:val="1"/>
      <w:numFmt w:val="decimal"/>
      <w:isLgl/>
      <w:lvlText w:val="%1.%2.%3.%4.%5"/>
      <w:lvlJc w:val="left"/>
      <w:pPr>
        <w:ind w:left="1700" w:hanging="1080"/>
      </w:pPr>
      <w:rPr>
        <w:rFonts w:hint="default"/>
      </w:rPr>
    </w:lvl>
    <w:lvl w:ilvl="5">
      <w:start w:val="1"/>
      <w:numFmt w:val="decimal"/>
      <w:isLgl/>
      <w:lvlText w:val="%1.%2.%3.%4.%5.%6"/>
      <w:lvlJc w:val="left"/>
      <w:pPr>
        <w:ind w:left="2125" w:hanging="1440"/>
      </w:pPr>
      <w:rPr>
        <w:rFonts w:hint="default"/>
      </w:rPr>
    </w:lvl>
    <w:lvl w:ilvl="6">
      <w:start w:val="1"/>
      <w:numFmt w:val="decimal"/>
      <w:isLgl/>
      <w:lvlText w:val="%1.%2.%3.%4.%5.%6.%7"/>
      <w:lvlJc w:val="left"/>
      <w:pPr>
        <w:ind w:left="2190" w:hanging="1440"/>
      </w:pPr>
      <w:rPr>
        <w:rFonts w:hint="default"/>
      </w:rPr>
    </w:lvl>
    <w:lvl w:ilvl="7">
      <w:start w:val="1"/>
      <w:numFmt w:val="decimal"/>
      <w:isLgl/>
      <w:lvlText w:val="%1.%2.%3.%4.%5.%6.%7.%8"/>
      <w:lvlJc w:val="left"/>
      <w:pPr>
        <w:ind w:left="2615" w:hanging="1800"/>
      </w:pPr>
      <w:rPr>
        <w:rFonts w:hint="default"/>
      </w:rPr>
    </w:lvl>
    <w:lvl w:ilvl="8">
      <w:start w:val="1"/>
      <w:numFmt w:val="decimal"/>
      <w:isLgl/>
      <w:lvlText w:val="%1.%2.%3.%4.%5.%6.%7.%8.%9"/>
      <w:lvlJc w:val="left"/>
      <w:pPr>
        <w:ind w:left="3040" w:hanging="2160"/>
      </w:pPr>
      <w:rPr>
        <w:rFonts w:hint="default"/>
      </w:rPr>
    </w:lvl>
  </w:abstractNum>
  <w:abstractNum w:abstractNumId="34" w15:restartNumberingAfterBreak="0">
    <w:nsid w:val="39570822"/>
    <w:multiLevelType w:val="multilevel"/>
    <w:tmpl w:val="FBBE47FE"/>
    <w:styleLink w:val="Listaactual4"/>
    <w:lvl w:ilvl="0">
      <w:start w:val="1"/>
      <w:numFmt w:val="decimal"/>
      <w:lvlText w:val="%1."/>
      <w:lvlJc w:val="left"/>
      <w:pPr>
        <w:ind w:left="1080" w:hanging="360"/>
      </w:pPr>
      <w:rPr>
        <w:rFonts w:hint="default"/>
      </w:rPr>
    </w:lvl>
    <w:lvl w:ilvl="1">
      <w:start w:val="1"/>
      <w:numFmt w:val="decimal"/>
      <w:lvlText w:val="%1.%2."/>
      <w:lvlJc w:val="left"/>
      <w:pPr>
        <w:ind w:left="1512" w:hanging="432"/>
      </w:pPr>
      <w:rPr>
        <w:rFonts w:ascii="Candara" w:hAnsi="Candara"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35" w15:restartNumberingAfterBreak="0">
    <w:nsid w:val="3D2202B3"/>
    <w:multiLevelType w:val="multilevel"/>
    <w:tmpl w:val="A968AC98"/>
    <w:styleLink w:val="Listaactual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3D831326"/>
    <w:multiLevelType w:val="hybridMultilevel"/>
    <w:tmpl w:val="03287260"/>
    <w:lvl w:ilvl="0" w:tplc="0838898A">
      <w:start w:val="1"/>
      <w:numFmt w:val="bullet"/>
      <w:pStyle w:val="Subtitulos"/>
      <w:lvlText w:val=""/>
      <w:lvlJc w:val="left"/>
      <w:pPr>
        <w:ind w:left="720" w:hanging="360"/>
      </w:pPr>
      <w:rPr>
        <w:rFonts w:ascii="Symbol" w:hAnsi="Symbol" w:hint="default"/>
      </w:rPr>
    </w:lvl>
    <w:lvl w:ilvl="1" w:tplc="4934D608">
      <w:start w:val="1"/>
      <w:numFmt w:val="bullet"/>
      <w:lvlText w:val="‐"/>
      <w:lvlJc w:val="left"/>
      <w:pPr>
        <w:ind w:left="1440" w:hanging="360"/>
      </w:pPr>
      <w:rPr>
        <w:rFonts w:ascii="Calibri" w:hAnsi="Calibri" w:hint="default"/>
      </w:rPr>
    </w:lvl>
    <w:lvl w:ilvl="2" w:tplc="4934D608">
      <w:start w:val="1"/>
      <w:numFmt w:val="bullet"/>
      <w:lvlText w:val="‐"/>
      <w:lvlJc w:val="left"/>
      <w:pPr>
        <w:ind w:left="2160" w:hanging="360"/>
      </w:pPr>
      <w:rPr>
        <w:rFonts w:ascii="Calibri" w:hAnsi="Calibri"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E2A14B7"/>
    <w:multiLevelType w:val="multilevel"/>
    <w:tmpl w:val="C9625036"/>
    <w:lvl w:ilvl="0">
      <w:start w:val="1"/>
      <w:numFmt w:val="decimal"/>
      <w:lvlText w:val="%1."/>
      <w:lvlJc w:val="left"/>
      <w:pPr>
        <w:ind w:left="720" w:hanging="360"/>
      </w:pPr>
    </w:lvl>
    <w:lvl w:ilvl="1">
      <w:start w:val="2"/>
      <w:numFmt w:val="decimal"/>
      <w:isLgl/>
      <w:lvlText w:val="%1.%2."/>
      <w:lvlJc w:val="left"/>
      <w:pPr>
        <w:ind w:left="840" w:hanging="480"/>
      </w:pPr>
      <w:rPr>
        <w:rFonts w:hint="default"/>
        <w:color w:val="C00000"/>
      </w:rPr>
    </w:lvl>
    <w:lvl w:ilvl="2">
      <w:start w:val="1"/>
      <w:numFmt w:val="decimal"/>
      <w:isLgl/>
      <w:lvlText w:val="%1.%2.%3."/>
      <w:lvlJc w:val="left"/>
      <w:pPr>
        <w:ind w:left="1080" w:hanging="720"/>
      </w:pPr>
      <w:rPr>
        <w:rFonts w:hint="default"/>
        <w:color w:val="C00000"/>
      </w:rPr>
    </w:lvl>
    <w:lvl w:ilvl="3">
      <w:start w:val="1"/>
      <w:numFmt w:val="decimal"/>
      <w:isLgl/>
      <w:lvlText w:val="%1.%2.%3.%4."/>
      <w:lvlJc w:val="left"/>
      <w:pPr>
        <w:ind w:left="1080" w:hanging="720"/>
      </w:pPr>
      <w:rPr>
        <w:rFonts w:hint="default"/>
        <w:color w:val="C00000"/>
      </w:rPr>
    </w:lvl>
    <w:lvl w:ilvl="4">
      <w:start w:val="1"/>
      <w:numFmt w:val="decimal"/>
      <w:isLgl/>
      <w:lvlText w:val="%1.%2.%3.%4.%5."/>
      <w:lvlJc w:val="left"/>
      <w:pPr>
        <w:ind w:left="1440" w:hanging="1080"/>
      </w:pPr>
      <w:rPr>
        <w:rFonts w:hint="default"/>
        <w:color w:val="C00000"/>
      </w:rPr>
    </w:lvl>
    <w:lvl w:ilvl="5">
      <w:start w:val="1"/>
      <w:numFmt w:val="decimal"/>
      <w:isLgl/>
      <w:lvlText w:val="%1.%2.%3.%4.%5.%6."/>
      <w:lvlJc w:val="left"/>
      <w:pPr>
        <w:ind w:left="1440" w:hanging="1080"/>
      </w:pPr>
      <w:rPr>
        <w:rFonts w:hint="default"/>
        <w:color w:val="C00000"/>
      </w:rPr>
    </w:lvl>
    <w:lvl w:ilvl="6">
      <w:start w:val="1"/>
      <w:numFmt w:val="decimal"/>
      <w:isLgl/>
      <w:lvlText w:val="%1.%2.%3.%4.%5.%6.%7."/>
      <w:lvlJc w:val="left"/>
      <w:pPr>
        <w:ind w:left="1800" w:hanging="1440"/>
      </w:pPr>
      <w:rPr>
        <w:rFonts w:hint="default"/>
        <w:color w:val="C00000"/>
      </w:rPr>
    </w:lvl>
    <w:lvl w:ilvl="7">
      <w:start w:val="1"/>
      <w:numFmt w:val="decimal"/>
      <w:isLgl/>
      <w:lvlText w:val="%1.%2.%3.%4.%5.%6.%7.%8."/>
      <w:lvlJc w:val="left"/>
      <w:pPr>
        <w:ind w:left="1800" w:hanging="1440"/>
      </w:pPr>
      <w:rPr>
        <w:rFonts w:hint="default"/>
        <w:color w:val="C00000"/>
      </w:rPr>
    </w:lvl>
    <w:lvl w:ilvl="8">
      <w:start w:val="1"/>
      <w:numFmt w:val="decimal"/>
      <w:isLgl/>
      <w:lvlText w:val="%1.%2.%3.%4.%5.%6.%7.%8.%9."/>
      <w:lvlJc w:val="left"/>
      <w:pPr>
        <w:ind w:left="2160" w:hanging="1800"/>
      </w:pPr>
      <w:rPr>
        <w:rFonts w:hint="default"/>
        <w:color w:val="C00000"/>
      </w:rPr>
    </w:lvl>
  </w:abstractNum>
  <w:abstractNum w:abstractNumId="38" w15:restartNumberingAfterBreak="0">
    <w:nsid w:val="426F70C7"/>
    <w:multiLevelType w:val="hybridMultilevel"/>
    <w:tmpl w:val="9A5EA380"/>
    <w:lvl w:ilvl="0" w:tplc="FFFFFFFF">
      <w:start w:val="1"/>
      <w:numFmt w:val="bullet"/>
      <w:lvlText w:val="o"/>
      <w:lvlJc w:val="left"/>
      <w:pPr>
        <w:ind w:left="1080" w:hanging="360"/>
      </w:pPr>
      <w:rPr>
        <w:rFonts w:ascii="Courier New" w:hAnsi="Courier New" w:hint="default"/>
        <w:color w:val="C00000"/>
      </w:rPr>
    </w:lvl>
    <w:lvl w:ilvl="1" w:tplc="3126EE6C">
      <w:start w:val="1"/>
      <w:numFmt w:val="bullet"/>
      <w:lvlText w:val="o"/>
      <w:lvlJc w:val="left"/>
      <w:pPr>
        <w:ind w:left="1800" w:hanging="360"/>
      </w:pPr>
      <w:rPr>
        <w:rFonts w:ascii="Courier New" w:hAnsi="Courier New" w:hint="default"/>
        <w:color w:val="C00000"/>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9" w15:restartNumberingAfterBreak="0">
    <w:nsid w:val="46D50ADA"/>
    <w:multiLevelType w:val="multilevel"/>
    <w:tmpl w:val="E1F0690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3B3838" w:themeColor="background2" w:themeShade="4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9D544BF"/>
    <w:multiLevelType w:val="hybridMultilevel"/>
    <w:tmpl w:val="465237A6"/>
    <w:lvl w:ilvl="0" w:tplc="3B2C57E0">
      <w:start w:val="1"/>
      <w:numFmt w:val="decimal"/>
      <w:lvlText w:val="%1)"/>
      <w:lvlJc w:val="left"/>
      <w:pPr>
        <w:ind w:left="720" w:hanging="360"/>
      </w:pPr>
      <w:rPr>
        <w:rFonts w:hint="default"/>
        <w:color w:val="C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4A9049AD"/>
    <w:multiLevelType w:val="multilevel"/>
    <w:tmpl w:val="080A001F"/>
    <w:styleLink w:val="Listaactual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4C1D3F67"/>
    <w:multiLevelType w:val="multilevel"/>
    <w:tmpl w:val="01EC26C0"/>
    <w:numStyleLink w:val="Listaactual3"/>
  </w:abstractNum>
  <w:abstractNum w:abstractNumId="43" w15:restartNumberingAfterBreak="0">
    <w:nsid w:val="4DCD6E88"/>
    <w:multiLevelType w:val="hybridMultilevel"/>
    <w:tmpl w:val="3DEE3738"/>
    <w:lvl w:ilvl="0" w:tplc="3B2C57E0">
      <w:start w:val="1"/>
      <w:numFmt w:val="decimal"/>
      <w:lvlText w:val="%1)"/>
      <w:lvlJc w:val="left"/>
      <w:pPr>
        <w:ind w:left="720" w:hanging="360"/>
      </w:pPr>
      <w:rPr>
        <w:rFonts w:hint="default"/>
        <w:color w:val="C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F745189"/>
    <w:multiLevelType w:val="multilevel"/>
    <w:tmpl w:val="2F50992E"/>
    <w:lvl w:ilvl="0">
      <w:start w:val="1"/>
      <w:numFmt w:val="decimal"/>
      <w:lvlText w:val="%1."/>
      <w:lvlJc w:val="left"/>
      <w:pPr>
        <w:ind w:left="786" w:hanging="360"/>
      </w:pPr>
      <w:rPr>
        <w:rFonts w:hint="default"/>
        <w:color w:val="C00000"/>
        <w:u w:val="none"/>
      </w:rPr>
    </w:lvl>
    <w:lvl w:ilvl="1">
      <w:start w:val="2"/>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45" w15:restartNumberingAfterBreak="0">
    <w:nsid w:val="4FEE2EC9"/>
    <w:multiLevelType w:val="hybridMultilevel"/>
    <w:tmpl w:val="E2A0D332"/>
    <w:lvl w:ilvl="0" w:tplc="D4FC3EE2">
      <w:start w:val="1"/>
      <w:numFmt w:val="bullet"/>
      <w:pStyle w:val="vietapunto"/>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start w:val="1"/>
      <w:numFmt w:val="bullet"/>
      <w:lvlText w:val=""/>
      <w:lvlJc w:val="left"/>
      <w:pPr>
        <w:ind w:left="2520" w:hanging="360"/>
      </w:pPr>
      <w:rPr>
        <w:rFonts w:ascii="Symbol" w:hAnsi="Symbol" w:hint="default"/>
      </w:rPr>
    </w:lvl>
    <w:lvl w:ilvl="4" w:tplc="0C0A0003">
      <w:start w:val="1"/>
      <w:numFmt w:val="bullet"/>
      <w:lvlText w:val="o"/>
      <w:lvlJc w:val="left"/>
      <w:pPr>
        <w:ind w:left="3240" w:hanging="360"/>
      </w:pPr>
      <w:rPr>
        <w:rFonts w:ascii="Courier New" w:hAnsi="Courier New" w:cs="Courier New" w:hint="default"/>
      </w:rPr>
    </w:lvl>
    <w:lvl w:ilvl="5" w:tplc="0C0A0005">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6" w15:restartNumberingAfterBreak="0">
    <w:nsid w:val="51503582"/>
    <w:multiLevelType w:val="multilevel"/>
    <w:tmpl w:val="885CA952"/>
    <w:styleLink w:val="Listaactual1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C0000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5605535E"/>
    <w:multiLevelType w:val="multilevel"/>
    <w:tmpl w:val="2DAC81DE"/>
    <w:styleLink w:val="Listaactual6"/>
    <w:lvl w:ilvl="0">
      <w:start w:val="1"/>
      <w:numFmt w:val="decimal"/>
      <w:lvlText w:val="%1."/>
      <w:lvlJc w:val="left"/>
      <w:pPr>
        <w:ind w:left="1080" w:hanging="360"/>
      </w:pPr>
      <w:rPr>
        <w:rFonts w:hint="default"/>
      </w:rPr>
    </w:lvl>
    <w:lvl w:ilvl="1">
      <w:start w:val="1"/>
      <w:numFmt w:val="decimal"/>
      <w:lvlText w:val="%1.%2."/>
      <w:lvlJc w:val="left"/>
      <w:pPr>
        <w:ind w:left="1512" w:hanging="432"/>
      </w:pPr>
      <w:rPr>
        <w:rFonts w:ascii="Candara" w:hAnsi="Candara"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48" w15:restartNumberingAfterBreak="0">
    <w:nsid w:val="578B4870"/>
    <w:multiLevelType w:val="multilevel"/>
    <w:tmpl w:val="E3E42DD2"/>
    <w:styleLink w:val="Listaactual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C0000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58090E96"/>
    <w:multiLevelType w:val="hybridMultilevel"/>
    <w:tmpl w:val="898673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588A5DF1"/>
    <w:multiLevelType w:val="multilevel"/>
    <w:tmpl w:val="9E14F104"/>
    <w:styleLink w:val="Listaactual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3B3838" w:themeColor="background2" w:themeShade="4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59211F04"/>
    <w:multiLevelType w:val="hybridMultilevel"/>
    <w:tmpl w:val="D304C2A2"/>
    <w:styleLink w:val="Estilo21"/>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43FC94BC">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5CBB3CC4"/>
    <w:multiLevelType w:val="hybridMultilevel"/>
    <w:tmpl w:val="FAB23BBC"/>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5DFD7186"/>
    <w:multiLevelType w:val="hybridMultilevel"/>
    <w:tmpl w:val="DEF0291C"/>
    <w:lvl w:ilvl="0" w:tplc="3B2C57E0">
      <w:start w:val="1"/>
      <w:numFmt w:val="decimal"/>
      <w:lvlText w:val="%1)"/>
      <w:lvlJc w:val="left"/>
      <w:pPr>
        <w:ind w:left="720" w:hanging="360"/>
      </w:pPr>
      <w:rPr>
        <w:rFonts w:hint="default"/>
        <w:b/>
        <w:bCs/>
        <w:color w:val="C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E9F3D7A"/>
    <w:multiLevelType w:val="multilevel"/>
    <w:tmpl w:val="AA3EAD36"/>
    <w:lvl w:ilvl="0">
      <w:start w:val="1"/>
      <w:numFmt w:val="decimal"/>
      <w:lvlText w:val="%1."/>
      <w:lvlJc w:val="left"/>
      <w:pPr>
        <w:ind w:left="845" w:hanging="420"/>
      </w:pPr>
      <w:rPr>
        <w:rFonts w:hint="default"/>
      </w:rPr>
    </w:lvl>
    <w:lvl w:ilvl="1">
      <w:start w:val="1"/>
      <w:numFmt w:val="decimal"/>
      <w:lvlText w:val="%2."/>
      <w:lvlJc w:val="left"/>
      <w:pPr>
        <w:ind w:left="1145" w:hanging="360"/>
      </w:pPr>
      <w:rPr>
        <w:rFonts w:hint="default"/>
      </w:rPr>
    </w:lvl>
    <w:lvl w:ilvl="2">
      <w:start w:val="1"/>
      <w:numFmt w:val="decimal"/>
      <w:pStyle w:val="subnumeros"/>
      <w:lvlText w:val="%1.%2.%3."/>
      <w:lvlJc w:val="left"/>
      <w:pPr>
        <w:ind w:left="1145" w:hanging="720"/>
      </w:pPr>
      <w:rPr>
        <w:rFonts w:hint="default"/>
      </w:rPr>
    </w:lvl>
    <w:lvl w:ilvl="3">
      <w:start w:val="1"/>
      <w:numFmt w:val="decimal"/>
      <w:lvlText w:val="%1.%2.%3.%4."/>
      <w:lvlJc w:val="left"/>
      <w:pPr>
        <w:ind w:left="1145" w:hanging="720"/>
      </w:pPr>
      <w:rPr>
        <w:rFonts w:hint="default"/>
      </w:rPr>
    </w:lvl>
    <w:lvl w:ilvl="4">
      <w:start w:val="1"/>
      <w:numFmt w:val="decimal"/>
      <w:lvlText w:val="%1.%2.%3.%4.%5."/>
      <w:lvlJc w:val="left"/>
      <w:pPr>
        <w:ind w:left="1505" w:hanging="1080"/>
      </w:pPr>
      <w:rPr>
        <w:rFonts w:hint="default"/>
      </w:rPr>
    </w:lvl>
    <w:lvl w:ilvl="5">
      <w:start w:val="1"/>
      <w:numFmt w:val="decimal"/>
      <w:lvlText w:val="%1.%2.%3.%4.%5.%6."/>
      <w:lvlJc w:val="left"/>
      <w:pPr>
        <w:ind w:left="1505" w:hanging="1080"/>
      </w:pPr>
      <w:rPr>
        <w:rFonts w:hint="default"/>
      </w:rPr>
    </w:lvl>
    <w:lvl w:ilvl="6">
      <w:start w:val="1"/>
      <w:numFmt w:val="decimal"/>
      <w:lvlText w:val="%1.%2.%3.%4.%5.%6.%7."/>
      <w:lvlJc w:val="left"/>
      <w:pPr>
        <w:ind w:left="1505" w:hanging="1080"/>
      </w:pPr>
      <w:rPr>
        <w:rFonts w:hint="default"/>
      </w:rPr>
    </w:lvl>
    <w:lvl w:ilvl="7">
      <w:start w:val="1"/>
      <w:numFmt w:val="decimal"/>
      <w:lvlText w:val="%1.%2.%3.%4.%5.%6.%7.%8."/>
      <w:lvlJc w:val="left"/>
      <w:pPr>
        <w:ind w:left="1865" w:hanging="1440"/>
      </w:pPr>
      <w:rPr>
        <w:rFonts w:hint="default"/>
      </w:rPr>
    </w:lvl>
    <w:lvl w:ilvl="8">
      <w:start w:val="1"/>
      <w:numFmt w:val="decimal"/>
      <w:lvlText w:val="%1.%2.%3.%4.%5.%6.%7.%8.%9."/>
      <w:lvlJc w:val="left"/>
      <w:pPr>
        <w:ind w:left="1865" w:hanging="1440"/>
      </w:pPr>
      <w:rPr>
        <w:rFonts w:hint="default"/>
      </w:rPr>
    </w:lvl>
  </w:abstractNum>
  <w:abstractNum w:abstractNumId="55" w15:restartNumberingAfterBreak="0">
    <w:nsid w:val="5ED861E3"/>
    <w:multiLevelType w:val="multilevel"/>
    <w:tmpl w:val="080A001F"/>
    <w:styleLink w:val="Listaactu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0B00E6E"/>
    <w:multiLevelType w:val="multilevel"/>
    <w:tmpl w:val="8694605A"/>
    <w:styleLink w:val="Listaactual5"/>
    <w:lvl w:ilvl="0">
      <w:start w:val="1"/>
      <w:numFmt w:val="decimal"/>
      <w:lvlText w:val="%1."/>
      <w:lvlJc w:val="left"/>
      <w:pPr>
        <w:ind w:left="1080" w:hanging="360"/>
      </w:pPr>
      <w:rPr>
        <w:rFonts w:hint="default"/>
      </w:rPr>
    </w:lvl>
    <w:lvl w:ilvl="1">
      <w:start w:val="1"/>
      <w:numFmt w:val="decimal"/>
      <w:lvlText w:val="%1.%2."/>
      <w:lvlJc w:val="left"/>
      <w:pPr>
        <w:ind w:left="1512" w:hanging="432"/>
      </w:pPr>
      <w:rPr>
        <w:rFonts w:ascii="Candara" w:hAnsi="Candara"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57" w15:restartNumberingAfterBreak="0">
    <w:nsid w:val="61AB1D75"/>
    <w:multiLevelType w:val="multilevel"/>
    <w:tmpl w:val="01EC26C0"/>
    <w:styleLink w:val="Listaactual3"/>
    <w:lvl w:ilvl="0">
      <w:start w:val="1"/>
      <w:numFmt w:val="decimal"/>
      <w:lvlText w:val="%1."/>
      <w:lvlJc w:val="left"/>
      <w:pPr>
        <w:ind w:left="1080" w:hanging="360"/>
      </w:pPr>
      <w:rPr>
        <w:rFonts w:hint="default"/>
      </w:rPr>
    </w:lvl>
    <w:lvl w:ilvl="1">
      <w:start w:val="1"/>
      <w:numFmt w:val="decimal"/>
      <w:lvlText w:val="%1.%2."/>
      <w:lvlJc w:val="left"/>
      <w:pPr>
        <w:ind w:left="1512" w:hanging="432"/>
      </w:pPr>
      <w:rPr>
        <w:rFonts w:ascii="Candara" w:hAnsi="Candara"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58" w15:restartNumberingAfterBreak="0">
    <w:nsid w:val="62D8421C"/>
    <w:multiLevelType w:val="multilevel"/>
    <w:tmpl w:val="3CF60D14"/>
    <w:lvl w:ilvl="0">
      <w:start w:val="1"/>
      <w:numFmt w:val="decimal"/>
      <w:pStyle w:val="TtuloTDC"/>
      <w:lvlText w:val="%1"/>
      <w:lvlJc w:val="left"/>
      <w:pPr>
        <w:ind w:left="432" w:hanging="432"/>
      </w:pPr>
    </w:lvl>
    <w:lvl w:ilvl="1">
      <w:start w:val="1"/>
      <w:numFmt w:val="decimal"/>
      <w:lvlText w:val="%1.%2"/>
      <w:lvlJc w:val="left"/>
      <w:pPr>
        <w:ind w:left="576" w:hanging="576"/>
      </w:pPr>
    </w:lvl>
    <w:lvl w:ilvl="2">
      <w:start w:val="1"/>
      <w:numFmt w:val="decimal"/>
      <w:pStyle w:val="SubrayadoA"/>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9" w15:restartNumberingAfterBreak="0">
    <w:nsid w:val="65C754D0"/>
    <w:multiLevelType w:val="hybridMultilevel"/>
    <w:tmpl w:val="E12C1164"/>
    <w:lvl w:ilvl="0" w:tplc="E0D281F4">
      <w:start w:val="1"/>
      <w:numFmt w:val="bullet"/>
      <w:pStyle w:val="vietaguion"/>
      <w:lvlText w:val="–"/>
      <w:lvlJc w:val="left"/>
      <w:pPr>
        <w:ind w:left="720" w:hanging="360"/>
      </w:pPr>
      <w:rPr>
        <w:rFonts w:ascii="Arial"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65CB6545"/>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66B04C6B"/>
    <w:multiLevelType w:val="hybridMultilevel"/>
    <w:tmpl w:val="088E9CF2"/>
    <w:lvl w:ilvl="0" w:tplc="7C9CFED2">
      <w:start w:val="1"/>
      <w:numFmt w:val="decimal"/>
      <w:lvlText w:val="%1."/>
      <w:lvlJc w:val="left"/>
      <w:pPr>
        <w:ind w:left="720" w:hanging="360"/>
      </w:pPr>
      <w:rPr>
        <w:color w:val="C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67807326"/>
    <w:multiLevelType w:val="hybridMultilevel"/>
    <w:tmpl w:val="7A14CF16"/>
    <w:lvl w:ilvl="0" w:tplc="3B2C57E0">
      <w:start w:val="1"/>
      <w:numFmt w:val="decimal"/>
      <w:lvlText w:val="%1)"/>
      <w:lvlJc w:val="left"/>
      <w:pPr>
        <w:ind w:left="720" w:hanging="360"/>
      </w:pPr>
      <w:rPr>
        <w:rFonts w:hint="default"/>
        <w:color w:val="C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68C471C5"/>
    <w:multiLevelType w:val="multilevel"/>
    <w:tmpl w:val="306266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9151657"/>
    <w:multiLevelType w:val="hybridMultilevel"/>
    <w:tmpl w:val="59C074DC"/>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6BE61E6E"/>
    <w:multiLevelType w:val="multilevel"/>
    <w:tmpl w:val="2F86A994"/>
    <w:lvl w:ilvl="0">
      <w:start w:val="1"/>
      <w:numFmt w:val="decimal"/>
      <w:lvlText w:val="%1."/>
      <w:lvlJc w:val="left"/>
      <w:pPr>
        <w:ind w:left="764" w:hanging="480"/>
      </w:pPr>
      <w:rPr>
        <w:rFonts w:hint="default"/>
        <w:i w:val="0"/>
      </w:rPr>
    </w:lvl>
    <w:lvl w:ilvl="1">
      <w:start w:val="1"/>
      <w:numFmt w:val="decimal"/>
      <w:lvlText w:val="%1.%2."/>
      <w:lvlJc w:val="left"/>
      <w:pPr>
        <w:ind w:left="764" w:hanging="480"/>
      </w:pPr>
      <w:rPr>
        <w:rFonts w:hint="default"/>
        <w:i w:val="0"/>
      </w:rPr>
    </w:lvl>
    <w:lvl w:ilvl="2">
      <w:start w:val="1"/>
      <w:numFmt w:val="decimal"/>
      <w:lvlText w:val="%1.%2.%3."/>
      <w:lvlJc w:val="left"/>
      <w:pPr>
        <w:ind w:left="1004" w:hanging="720"/>
      </w:pPr>
      <w:rPr>
        <w:rFonts w:hint="default"/>
        <w:i w:val="0"/>
      </w:rPr>
    </w:lvl>
    <w:lvl w:ilvl="3">
      <w:start w:val="1"/>
      <w:numFmt w:val="decimal"/>
      <w:lvlText w:val="%1.%2.%3.%4."/>
      <w:lvlJc w:val="left"/>
      <w:pPr>
        <w:ind w:left="1004" w:hanging="720"/>
      </w:pPr>
      <w:rPr>
        <w:rFonts w:hint="default"/>
        <w:i w:val="0"/>
      </w:rPr>
    </w:lvl>
    <w:lvl w:ilvl="4">
      <w:start w:val="1"/>
      <w:numFmt w:val="decimal"/>
      <w:lvlText w:val="%1.%2.%3.%4.%5."/>
      <w:lvlJc w:val="left"/>
      <w:pPr>
        <w:ind w:left="1364" w:hanging="1080"/>
      </w:pPr>
      <w:rPr>
        <w:rFonts w:hint="default"/>
        <w:i w:val="0"/>
      </w:rPr>
    </w:lvl>
    <w:lvl w:ilvl="5">
      <w:start w:val="1"/>
      <w:numFmt w:val="decimal"/>
      <w:lvlText w:val="%1.%2.%3.%4.%5.%6."/>
      <w:lvlJc w:val="left"/>
      <w:pPr>
        <w:ind w:left="1364" w:hanging="1080"/>
      </w:pPr>
      <w:rPr>
        <w:rFonts w:hint="default"/>
        <w:i w:val="0"/>
      </w:rPr>
    </w:lvl>
    <w:lvl w:ilvl="6">
      <w:start w:val="1"/>
      <w:numFmt w:val="decimal"/>
      <w:lvlText w:val="%1.%2.%3.%4.%5.%6.%7."/>
      <w:lvlJc w:val="left"/>
      <w:pPr>
        <w:ind w:left="1724" w:hanging="1440"/>
      </w:pPr>
      <w:rPr>
        <w:rFonts w:hint="default"/>
        <w:i w:val="0"/>
      </w:rPr>
    </w:lvl>
    <w:lvl w:ilvl="7">
      <w:start w:val="1"/>
      <w:numFmt w:val="decimal"/>
      <w:lvlText w:val="%1.%2.%3.%4.%5.%6.%7.%8."/>
      <w:lvlJc w:val="left"/>
      <w:pPr>
        <w:ind w:left="1724" w:hanging="1440"/>
      </w:pPr>
      <w:rPr>
        <w:rFonts w:hint="default"/>
        <w:i w:val="0"/>
      </w:rPr>
    </w:lvl>
    <w:lvl w:ilvl="8">
      <w:start w:val="1"/>
      <w:numFmt w:val="decimal"/>
      <w:lvlText w:val="%1.%2.%3.%4.%5.%6.%7.%8.%9."/>
      <w:lvlJc w:val="left"/>
      <w:pPr>
        <w:ind w:left="2084" w:hanging="1800"/>
      </w:pPr>
      <w:rPr>
        <w:rFonts w:hint="default"/>
        <w:i w:val="0"/>
      </w:rPr>
    </w:lvl>
  </w:abstractNum>
  <w:abstractNum w:abstractNumId="66" w15:restartNumberingAfterBreak="0">
    <w:nsid w:val="6F5E2CC7"/>
    <w:multiLevelType w:val="hybridMultilevel"/>
    <w:tmpl w:val="1D5CA8B0"/>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6F752CDB"/>
    <w:multiLevelType w:val="hybridMultilevel"/>
    <w:tmpl w:val="2F287C7E"/>
    <w:lvl w:ilvl="0" w:tplc="A9BAB65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6F770982"/>
    <w:multiLevelType w:val="multilevel"/>
    <w:tmpl w:val="E3E42DD2"/>
    <w:styleLink w:val="Listaactual1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C0000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78F119AB"/>
    <w:multiLevelType w:val="hybridMultilevel"/>
    <w:tmpl w:val="D6AE8F60"/>
    <w:lvl w:ilvl="0" w:tplc="330E0640">
      <w:start w:val="1"/>
      <w:numFmt w:val="bullet"/>
      <w:lvlText w:val=""/>
      <w:lvlJc w:val="left"/>
      <w:pPr>
        <w:ind w:left="720" w:hanging="360"/>
      </w:pPr>
      <w:rPr>
        <w:rFonts w:ascii="Symbol" w:hAnsi="Symbol" w:hint="default"/>
        <w:color w:val="C00000"/>
      </w:rPr>
    </w:lvl>
    <w:lvl w:ilvl="1" w:tplc="080A0003">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79266CA7"/>
    <w:multiLevelType w:val="hybridMultilevel"/>
    <w:tmpl w:val="02F61A24"/>
    <w:lvl w:ilvl="0" w:tplc="3B2C57E0">
      <w:start w:val="1"/>
      <w:numFmt w:val="decimal"/>
      <w:lvlText w:val="%1)"/>
      <w:lvlJc w:val="left"/>
      <w:pPr>
        <w:ind w:left="720" w:hanging="360"/>
      </w:pPr>
      <w:rPr>
        <w:rFonts w:hint="default"/>
        <w:color w:val="C0000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15:restartNumberingAfterBreak="0">
    <w:nsid w:val="7ABF51C9"/>
    <w:multiLevelType w:val="hybridMultilevel"/>
    <w:tmpl w:val="8F6CADDA"/>
    <w:lvl w:ilvl="0" w:tplc="7C9CFED2">
      <w:start w:val="1"/>
      <w:numFmt w:val="decimal"/>
      <w:lvlText w:val="%1."/>
      <w:lvlJc w:val="left"/>
      <w:pPr>
        <w:ind w:left="720" w:hanging="360"/>
      </w:pPr>
      <w:rPr>
        <w:color w:val="C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096366049">
    <w:abstractNumId w:val="11"/>
  </w:num>
  <w:num w:numId="2" w16cid:durableId="1187016004">
    <w:abstractNumId w:val="1"/>
  </w:num>
  <w:num w:numId="3" w16cid:durableId="1889107485">
    <w:abstractNumId w:val="41"/>
  </w:num>
  <w:num w:numId="4" w16cid:durableId="19548876">
    <w:abstractNumId w:val="54"/>
  </w:num>
  <w:num w:numId="5" w16cid:durableId="721294614">
    <w:abstractNumId w:val="36"/>
  </w:num>
  <w:num w:numId="6" w16cid:durableId="2017684030">
    <w:abstractNumId w:val="30"/>
  </w:num>
  <w:num w:numId="7" w16cid:durableId="1800147062">
    <w:abstractNumId w:val="0"/>
  </w:num>
  <w:num w:numId="8" w16cid:durableId="1665934141">
    <w:abstractNumId w:val="20"/>
  </w:num>
  <w:num w:numId="9" w16cid:durableId="113212284">
    <w:abstractNumId w:val="6"/>
  </w:num>
  <w:num w:numId="10" w16cid:durableId="1768227883">
    <w:abstractNumId w:val="23"/>
  </w:num>
  <w:num w:numId="11" w16cid:durableId="1691955327">
    <w:abstractNumId w:val="16"/>
  </w:num>
  <w:num w:numId="12" w16cid:durableId="1707951118">
    <w:abstractNumId w:val="59"/>
  </w:num>
  <w:num w:numId="13" w16cid:durableId="1685400407">
    <w:abstractNumId w:val="45"/>
  </w:num>
  <w:num w:numId="14" w16cid:durableId="1317488366">
    <w:abstractNumId w:val="17"/>
  </w:num>
  <w:num w:numId="15" w16cid:durableId="1020083041">
    <w:abstractNumId w:val="58"/>
  </w:num>
  <w:num w:numId="16" w16cid:durableId="695279413">
    <w:abstractNumId w:val="51"/>
  </w:num>
  <w:num w:numId="17" w16cid:durableId="1012415670">
    <w:abstractNumId w:val="4"/>
  </w:num>
  <w:num w:numId="18" w16cid:durableId="513154592">
    <w:abstractNumId w:val="12"/>
  </w:num>
  <w:num w:numId="19" w16cid:durableId="913128922">
    <w:abstractNumId w:val="31"/>
  </w:num>
  <w:num w:numId="20" w16cid:durableId="487140109">
    <w:abstractNumId w:val="35"/>
  </w:num>
  <w:num w:numId="21" w16cid:durableId="1608463537">
    <w:abstractNumId w:val="37"/>
  </w:num>
  <w:num w:numId="22" w16cid:durableId="1177571624">
    <w:abstractNumId w:val="26"/>
  </w:num>
  <w:num w:numId="23" w16cid:durableId="1509295365">
    <w:abstractNumId w:val="10"/>
  </w:num>
  <w:num w:numId="24" w16cid:durableId="2059011214">
    <w:abstractNumId w:val="14"/>
  </w:num>
  <w:num w:numId="25" w16cid:durableId="912353670">
    <w:abstractNumId w:val="57"/>
  </w:num>
  <w:num w:numId="26" w16cid:durableId="710613062">
    <w:abstractNumId w:val="34"/>
  </w:num>
  <w:num w:numId="27" w16cid:durableId="1386224084">
    <w:abstractNumId w:val="56"/>
  </w:num>
  <w:num w:numId="28" w16cid:durableId="1534226715">
    <w:abstractNumId w:val="47"/>
  </w:num>
  <w:num w:numId="29" w16cid:durableId="1383211761">
    <w:abstractNumId w:val="13"/>
  </w:num>
  <w:num w:numId="30" w16cid:durableId="1554778613">
    <w:abstractNumId w:val="55"/>
  </w:num>
  <w:num w:numId="31" w16cid:durableId="839083740">
    <w:abstractNumId w:val="65"/>
  </w:num>
  <w:num w:numId="32" w16cid:durableId="1664040984">
    <w:abstractNumId w:val="22"/>
  </w:num>
  <w:num w:numId="33" w16cid:durableId="1694260506">
    <w:abstractNumId w:val="60"/>
  </w:num>
  <w:num w:numId="34" w16cid:durableId="253709223">
    <w:abstractNumId w:val="21"/>
  </w:num>
  <w:num w:numId="35" w16cid:durableId="1649245841">
    <w:abstractNumId w:val="8"/>
  </w:num>
  <w:num w:numId="36" w16cid:durableId="924655573">
    <w:abstractNumId w:val="53"/>
  </w:num>
  <w:num w:numId="37" w16cid:durableId="899708581">
    <w:abstractNumId w:val="29"/>
  </w:num>
  <w:num w:numId="38" w16cid:durableId="17326526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113815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24760310">
    <w:abstractNumId w:val="7"/>
  </w:num>
  <w:num w:numId="41" w16cid:durableId="180902258">
    <w:abstractNumId w:val="46"/>
  </w:num>
  <w:num w:numId="42" w16cid:durableId="1066996128">
    <w:abstractNumId w:val="63"/>
  </w:num>
  <w:num w:numId="43" w16cid:durableId="1539899608">
    <w:abstractNumId w:val="48"/>
  </w:num>
  <w:num w:numId="44" w16cid:durableId="50739187">
    <w:abstractNumId w:val="68"/>
  </w:num>
  <w:num w:numId="45" w16cid:durableId="1955017751">
    <w:abstractNumId w:val="50"/>
  </w:num>
  <w:num w:numId="46" w16cid:durableId="1461609349">
    <w:abstractNumId w:val="25"/>
  </w:num>
  <w:num w:numId="47" w16cid:durableId="697512904">
    <w:abstractNumId w:val="64"/>
  </w:num>
  <w:num w:numId="48" w16cid:durableId="1242327176">
    <w:abstractNumId w:val="28"/>
  </w:num>
  <w:num w:numId="49" w16cid:durableId="1178426184">
    <w:abstractNumId w:val="66"/>
  </w:num>
  <w:num w:numId="50" w16cid:durableId="2010209901">
    <w:abstractNumId w:val="18"/>
  </w:num>
  <w:num w:numId="51" w16cid:durableId="58138819">
    <w:abstractNumId w:val="52"/>
  </w:num>
  <w:num w:numId="52" w16cid:durableId="1448505243">
    <w:abstractNumId w:val="61"/>
  </w:num>
  <w:num w:numId="53" w16cid:durableId="1418988273">
    <w:abstractNumId w:val="27"/>
  </w:num>
  <w:num w:numId="54" w16cid:durableId="2111314540">
    <w:abstractNumId w:val="67"/>
  </w:num>
  <w:num w:numId="55" w16cid:durableId="335881679">
    <w:abstractNumId w:val="71"/>
  </w:num>
  <w:num w:numId="56" w16cid:durableId="1637178547">
    <w:abstractNumId w:val="24"/>
  </w:num>
  <w:num w:numId="57" w16cid:durableId="1744332103">
    <w:abstractNumId w:val="44"/>
  </w:num>
  <w:num w:numId="58" w16cid:durableId="581527978">
    <w:abstractNumId w:val="43"/>
  </w:num>
  <w:num w:numId="59" w16cid:durableId="722562359">
    <w:abstractNumId w:val="2"/>
  </w:num>
  <w:num w:numId="60" w16cid:durableId="133110883">
    <w:abstractNumId w:val="62"/>
  </w:num>
  <w:num w:numId="61" w16cid:durableId="1848783268">
    <w:abstractNumId w:val="40"/>
  </w:num>
  <w:num w:numId="62" w16cid:durableId="1776057834">
    <w:abstractNumId w:val="32"/>
  </w:num>
  <w:num w:numId="63" w16cid:durableId="1248689109">
    <w:abstractNumId w:val="70"/>
  </w:num>
  <w:num w:numId="64" w16cid:durableId="1677729844">
    <w:abstractNumId w:val="69"/>
  </w:num>
  <w:num w:numId="65" w16cid:durableId="897132551">
    <w:abstractNumId w:val="38"/>
  </w:num>
  <w:num w:numId="66" w16cid:durableId="501162920">
    <w:abstractNumId w:val="3"/>
  </w:num>
  <w:num w:numId="67" w16cid:durableId="1586645017">
    <w:abstractNumId w:val="5"/>
  </w:num>
  <w:num w:numId="68" w16cid:durableId="1126895064">
    <w:abstractNumId w:val="15"/>
  </w:num>
  <w:num w:numId="69" w16cid:durableId="1320236253">
    <w:abstractNumId w:val="33"/>
  </w:num>
  <w:num w:numId="70" w16cid:durableId="1460296604">
    <w:abstractNumId w:val="9"/>
  </w:num>
  <w:num w:numId="71" w16cid:durableId="1635213387">
    <w:abstractNumId w:val="25"/>
  </w:num>
  <w:num w:numId="72" w16cid:durableId="688213343">
    <w:abstractNumId w:val="25"/>
  </w:num>
  <w:num w:numId="73" w16cid:durableId="371030765">
    <w:abstractNumId w:val="25"/>
  </w:num>
  <w:num w:numId="74" w16cid:durableId="186723087">
    <w:abstractNumId w:val="19"/>
  </w:num>
  <w:num w:numId="75" w16cid:durableId="419836232">
    <w:abstractNumId w:val="4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2A62"/>
    <w:rsid w:val="0000095A"/>
    <w:rsid w:val="00003CFE"/>
    <w:rsid w:val="0000558C"/>
    <w:rsid w:val="000059D9"/>
    <w:rsid w:val="000064A0"/>
    <w:rsid w:val="000107EE"/>
    <w:rsid w:val="00011286"/>
    <w:rsid w:val="00014A44"/>
    <w:rsid w:val="00014AEC"/>
    <w:rsid w:val="00014D9B"/>
    <w:rsid w:val="00015E35"/>
    <w:rsid w:val="000176EC"/>
    <w:rsid w:val="00021998"/>
    <w:rsid w:val="00025BE5"/>
    <w:rsid w:val="00026EBB"/>
    <w:rsid w:val="000274A7"/>
    <w:rsid w:val="000324CB"/>
    <w:rsid w:val="0003700E"/>
    <w:rsid w:val="00037FF9"/>
    <w:rsid w:val="00040A55"/>
    <w:rsid w:val="00043EC9"/>
    <w:rsid w:val="000458DE"/>
    <w:rsid w:val="0005300A"/>
    <w:rsid w:val="00055404"/>
    <w:rsid w:val="00055998"/>
    <w:rsid w:val="00055E1E"/>
    <w:rsid w:val="000570BB"/>
    <w:rsid w:val="000678E9"/>
    <w:rsid w:val="0007555B"/>
    <w:rsid w:val="0007769A"/>
    <w:rsid w:val="00081A55"/>
    <w:rsid w:val="00081D7A"/>
    <w:rsid w:val="00097376"/>
    <w:rsid w:val="00097AC9"/>
    <w:rsid w:val="000A0171"/>
    <w:rsid w:val="000A0658"/>
    <w:rsid w:val="000A2143"/>
    <w:rsid w:val="000A45DA"/>
    <w:rsid w:val="000A495C"/>
    <w:rsid w:val="000A4C5D"/>
    <w:rsid w:val="000A6520"/>
    <w:rsid w:val="000B3115"/>
    <w:rsid w:val="000B5D30"/>
    <w:rsid w:val="000B689C"/>
    <w:rsid w:val="000C00AE"/>
    <w:rsid w:val="000C0177"/>
    <w:rsid w:val="000C237A"/>
    <w:rsid w:val="000C3659"/>
    <w:rsid w:val="000C6321"/>
    <w:rsid w:val="000D1103"/>
    <w:rsid w:val="000D1E6D"/>
    <w:rsid w:val="000D4A65"/>
    <w:rsid w:val="000D6732"/>
    <w:rsid w:val="000D7041"/>
    <w:rsid w:val="000D7C9E"/>
    <w:rsid w:val="000D7E8C"/>
    <w:rsid w:val="000E36A4"/>
    <w:rsid w:val="000E47A8"/>
    <w:rsid w:val="000F0FEB"/>
    <w:rsid w:val="000F2592"/>
    <w:rsid w:val="000F2D9F"/>
    <w:rsid w:val="0010046D"/>
    <w:rsid w:val="00100497"/>
    <w:rsid w:val="00102031"/>
    <w:rsid w:val="00102EF6"/>
    <w:rsid w:val="0010327E"/>
    <w:rsid w:val="0010451A"/>
    <w:rsid w:val="00104524"/>
    <w:rsid w:val="00104CA0"/>
    <w:rsid w:val="00105CDB"/>
    <w:rsid w:val="00111E3C"/>
    <w:rsid w:val="00111E6D"/>
    <w:rsid w:val="00113BC1"/>
    <w:rsid w:val="00113DF9"/>
    <w:rsid w:val="0011494B"/>
    <w:rsid w:val="001201FA"/>
    <w:rsid w:val="00121C11"/>
    <w:rsid w:val="00121FAC"/>
    <w:rsid w:val="0012219E"/>
    <w:rsid w:val="001237C6"/>
    <w:rsid w:val="00125941"/>
    <w:rsid w:val="00126232"/>
    <w:rsid w:val="00135672"/>
    <w:rsid w:val="0013636A"/>
    <w:rsid w:val="001363D2"/>
    <w:rsid w:val="001426E9"/>
    <w:rsid w:val="00147DD2"/>
    <w:rsid w:val="00156332"/>
    <w:rsid w:val="00157801"/>
    <w:rsid w:val="0016396B"/>
    <w:rsid w:val="00164B40"/>
    <w:rsid w:val="00165FEA"/>
    <w:rsid w:val="00167A47"/>
    <w:rsid w:val="00167EAF"/>
    <w:rsid w:val="00170442"/>
    <w:rsid w:val="001706E9"/>
    <w:rsid w:val="00171671"/>
    <w:rsid w:val="001725C3"/>
    <w:rsid w:val="001764D3"/>
    <w:rsid w:val="00176FAD"/>
    <w:rsid w:val="00180F78"/>
    <w:rsid w:val="0019044E"/>
    <w:rsid w:val="001941F2"/>
    <w:rsid w:val="001A0608"/>
    <w:rsid w:val="001A31B3"/>
    <w:rsid w:val="001A37D2"/>
    <w:rsid w:val="001A6822"/>
    <w:rsid w:val="001B1EFA"/>
    <w:rsid w:val="001B5F58"/>
    <w:rsid w:val="001B6488"/>
    <w:rsid w:val="001B6E05"/>
    <w:rsid w:val="001C2B36"/>
    <w:rsid w:val="001C3F0D"/>
    <w:rsid w:val="001C6243"/>
    <w:rsid w:val="001C6DED"/>
    <w:rsid w:val="001C7FB0"/>
    <w:rsid w:val="001D3B8F"/>
    <w:rsid w:val="001D3BDA"/>
    <w:rsid w:val="001D784E"/>
    <w:rsid w:val="001E12CE"/>
    <w:rsid w:val="001E15AC"/>
    <w:rsid w:val="001E1853"/>
    <w:rsid w:val="001E2590"/>
    <w:rsid w:val="001E3659"/>
    <w:rsid w:val="001E5397"/>
    <w:rsid w:val="001E5F5B"/>
    <w:rsid w:val="001E66D8"/>
    <w:rsid w:val="001E6CFC"/>
    <w:rsid w:val="001F1D11"/>
    <w:rsid w:val="001F23CA"/>
    <w:rsid w:val="001F3B3D"/>
    <w:rsid w:val="001F51F3"/>
    <w:rsid w:val="002006CC"/>
    <w:rsid w:val="00202FF9"/>
    <w:rsid w:val="00206290"/>
    <w:rsid w:val="00207599"/>
    <w:rsid w:val="00210466"/>
    <w:rsid w:val="002107DF"/>
    <w:rsid w:val="00212E0F"/>
    <w:rsid w:val="00215A37"/>
    <w:rsid w:val="0021607C"/>
    <w:rsid w:val="00220EE0"/>
    <w:rsid w:val="002213FE"/>
    <w:rsid w:val="002220B9"/>
    <w:rsid w:val="00222A14"/>
    <w:rsid w:val="002238E6"/>
    <w:rsid w:val="00224833"/>
    <w:rsid w:val="00225537"/>
    <w:rsid w:val="00225A55"/>
    <w:rsid w:val="00225BD7"/>
    <w:rsid w:val="002261BC"/>
    <w:rsid w:val="00226E69"/>
    <w:rsid w:val="002318A3"/>
    <w:rsid w:val="00232238"/>
    <w:rsid w:val="00233991"/>
    <w:rsid w:val="00234AB7"/>
    <w:rsid w:val="0023740C"/>
    <w:rsid w:val="00237778"/>
    <w:rsid w:val="0024150C"/>
    <w:rsid w:val="002467AD"/>
    <w:rsid w:val="00246893"/>
    <w:rsid w:val="00247703"/>
    <w:rsid w:val="0024770F"/>
    <w:rsid w:val="002506A5"/>
    <w:rsid w:val="0025081C"/>
    <w:rsid w:val="0025407E"/>
    <w:rsid w:val="00257873"/>
    <w:rsid w:val="00260361"/>
    <w:rsid w:val="002618C5"/>
    <w:rsid w:val="00263027"/>
    <w:rsid w:val="00263100"/>
    <w:rsid w:val="00267DD2"/>
    <w:rsid w:val="00276E17"/>
    <w:rsid w:val="00277550"/>
    <w:rsid w:val="002818B8"/>
    <w:rsid w:val="00282EAD"/>
    <w:rsid w:val="00283CAE"/>
    <w:rsid w:val="00286088"/>
    <w:rsid w:val="002874B3"/>
    <w:rsid w:val="002877C7"/>
    <w:rsid w:val="00292009"/>
    <w:rsid w:val="0029490F"/>
    <w:rsid w:val="00295B57"/>
    <w:rsid w:val="00297200"/>
    <w:rsid w:val="002A39D2"/>
    <w:rsid w:val="002A4863"/>
    <w:rsid w:val="002A6C45"/>
    <w:rsid w:val="002B0C4C"/>
    <w:rsid w:val="002B14EF"/>
    <w:rsid w:val="002C0248"/>
    <w:rsid w:val="002C040A"/>
    <w:rsid w:val="002C418F"/>
    <w:rsid w:val="002C6BC9"/>
    <w:rsid w:val="002D1C39"/>
    <w:rsid w:val="002D1EA8"/>
    <w:rsid w:val="002D7121"/>
    <w:rsid w:val="002E2C1C"/>
    <w:rsid w:val="002E6875"/>
    <w:rsid w:val="002F5D64"/>
    <w:rsid w:val="0030295B"/>
    <w:rsid w:val="00303910"/>
    <w:rsid w:val="003039BF"/>
    <w:rsid w:val="00306B3D"/>
    <w:rsid w:val="003102A9"/>
    <w:rsid w:val="00316777"/>
    <w:rsid w:val="0031681F"/>
    <w:rsid w:val="00316F8E"/>
    <w:rsid w:val="00320D09"/>
    <w:rsid w:val="003250AC"/>
    <w:rsid w:val="00325D2F"/>
    <w:rsid w:val="003302B1"/>
    <w:rsid w:val="0034182A"/>
    <w:rsid w:val="00341FB2"/>
    <w:rsid w:val="00342FDA"/>
    <w:rsid w:val="00343E1D"/>
    <w:rsid w:val="00345B8A"/>
    <w:rsid w:val="003472A8"/>
    <w:rsid w:val="003537D7"/>
    <w:rsid w:val="00355673"/>
    <w:rsid w:val="0036010E"/>
    <w:rsid w:val="00360A46"/>
    <w:rsid w:val="003632B1"/>
    <w:rsid w:val="0036331A"/>
    <w:rsid w:val="00367A56"/>
    <w:rsid w:val="00372786"/>
    <w:rsid w:val="00376520"/>
    <w:rsid w:val="00376724"/>
    <w:rsid w:val="0038572C"/>
    <w:rsid w:val="00391F62"/>
    <w:rsid w:val="00392285"/>
    <w:rsid w:val="00393CC7"/>
    <w:rsid w:val="003951AC"/>
    <w:rsid w:val="003955DA"/>
    <w:rsid w:val="003A3F84"/>
    <w:rsid w:val="003A4E99"/>
    <w:rsid w:val="003B3745"/>
    <w:rsid w:val="003B7423"/>
    <w:rsid w:val="003C014B"/>
    <w:rsid w:val="003C70C5"/>
    <w:rsid w:val="003D00A3"/>
    <w:rsid w:val="003D2009"/>
    <w:rsid w:val="003D2951"/>
    <w:rsid w:val="003D4089"/>
    <w:rsid w:val="003D6360"/>
    <w:rsid w:val="003E0163"/>
    <w:rsid w:val="003E558F"/>
    <w:rsid w:val="003F2AA2"/>
    <w:rsid w:val="003F33EE"/>
    <w:rsid w:val="003F47BC"/>
    <w:rsid w:val="003F66ED"/>
    <w:rsid w:val="004007C5"/>
    <w:rsid w:val="00401D00"/>
    <w:rsid w:val="00401E1C"/>
    <w:rsid w:val="00402757"/>
    <w:rsid w:val="00407EDB"/>
    <w:rsid w:val="004111AF"/>
    <w:rsid w:val="004136CF"/>
    <w:rsid w:val="004158F0"/>
    <w:rsid w:val="004242C1"/>
    <w:rsid w:val="00425034"/>
    <w:rsid w:val="0042564E"/>
    <w:rsid w:val="004306FA"/>
    <w:rsid w:val="00433BDC"/>
    <w:rsid w:val="00435B6B"/>
    <w:rsid w:val="00442850"/>
    <w:rsid w:val="00442DBD"/>
    <w:rsid w:val="00444A95"/>
    <w:rsid w:val="00444EC8"/>
    <w:rsid w:val="0044604B"/>
    <w:rsid w:val="00447859"/>
    <w:rsid w:val="00454DFE"/>
    <w:rsid w:val="004575B4"/>
    <w:rsid w:val="00460F88"/>
    <w:rsid w:val="00467884"/>
    <w:rsid w:val="00470589"/>
    <w:rsid w:val="00470CEE"/>
    <w:rsid w:val="00471E91"/>
    <w:rsid w:val="00472D7E"/>
    <w:rsid w:val="0047526A"/>
    <w:rsid w:val="004760F7"/>
    <w:rsid w:val="00477BDE"/>
    <w:rsid w:val="0048122B"/>
    <w:rsid w:val="00481581"/>
    <w:rsid w:val="00487E1E"/>
    <w:rsid w:val="004923C8"/>
    <w:rsid w:val="00493980"/>
    <w:rsid w:val="004A0431"/>
    <w:rsid w:val="004A1D8A"/>
    <w:rsid w:val="004A79D2"/>
    <w:rsid w:val="004B0F0C"/>
    <w:rsid w:val="004B7D5A"/>
    <w:rsid w:val="004C1DBE"/>
    <w:rsid w:val="004C477F"/>
    <w:rsid w:val="004C49AC"/>
    <w:rsid w:val="004C5043"/>
    <w:rsid w:val="004D0E0D"/>
    <w:rsid w:val="004D203A"/>
    <w:rsid w:val="004D2703"/>
    <w:rsid w:val="004D4E75"/>
    <w:rsid w:val="004D52F2"/>
    <w:rsid w:val="004D56A5"/>
    <w:rsid w:val="004E1FF3"/>
    <w:rsid w:val="004E3638"/>
    <w:rsid w:val="004E5157"/>
    <w:rsid w:val="004E6650"/>
    <w:rsid w:val="004E66D8"/>
    <w:rsid w:val="004E6C72"/>
    <w:rsid w:val="004E706B"/>
    <w:rsid w:val="004E73C1"/>
    <w:rsid w:val="004F164E"/>
    <w:rsid w:val="004F4075"/>
    <w:rsid w:val="004F671A"/>
    <w:rsid w:val="00504C55"/>
    <w:rsid w:val="00505E6C"/>
    <w:rsid w:val="005104D1"/>
    <w:rsid w:val="00510B62"/>
    <w:rsid w:val="00511C88"/>
    <w:rsid w:val="00511DB9"/>
    <w:rsid w:val="00513F0E"/>
    <w:rsid w:val="00513F4B"/>
    <w:rsid w:val="005145F7"/>
    <w:rsid w:val="00523242"/>
    <w:rsid w:val="00524008"/>
    <w:rsid w:val="0052451C"/>
    <w:rsid w:val="0052457C"/>
    <w:rsid w:val="005266A5"/>
    <w:rsid w:val="005308D3"/>
    <w:rsid w:val="005312FB"/>
    <w:rsid w:val="005315BC"/>
    <w:rsid w:val="00537113"/>
    <w:rsid w:val="005376BC"/>
    <w:rsid w:val="00540FE5"/>
    <w:rsid w:val="00547995"/>
    <w:rsid w:val="0055451E"/>
    <w:rsid w:val="005551E9"/>
    <w:rsid w:val="00557B29"/>
    <w:rsid w:val="00561E18"/>
    <w:rsid w:val="00563A3B"/>
    <w:rsid w:val="0056478D"/>
    <w:rsid w:val="00564AB4"/>
    <w:rsid w:val="0056551B"/>
    <w:rsid w:val="00566D0B"/>
    <w:rsid w:val="00566F07"/>
    <w:rsid w:val="0056795D"/>
    <w:rsid w:val="0057060C"/>
    <w:rsid w:val="005778C0"/>
    <w:rsid w:val="005805E0"/>
    <w:rsid w:val="00580D93"/>
    <w:rsid w:val="00582DDF"/>
    <w:rsid w:val="00582F85"/>
    <w:rsid w:val="0058410B"/>
    <w:rsid w:val="00585339"/>
    <w:rsid w:val="005858FE"/>
    <w:rsid w:val="005868C4"/>
    <w:rsid w:val="00586ADF"/>
    <w:rsid w:val="005900D7"/>
    <w:rsid w:val="005915D2"/>
    <w:rsid w:val="00591C4D"/>
    <w:rsid w:val="00595EE8"/>
    <w:rsid w:val="005970C0"/>
    <w:rsid w:val="00597680"/>
    <w:rsid w:val="005A030A"/>
    <w:rsid w:val="005A161B"/>
    <w:rsid w:val="005A220E"/>
    <w:rsid w:val="005A279E"/>
    <w:rsid w:val="005A3A74"/>
    <w:rsid w:val="005A5DBC"/>
    <w:rsid w:val="005A60F5"/>
    <w:rsid w:val="005B0A75"/>
    <w:rsid w:val="005B2764"/>
    <w:rsid w:val="005B2B60"/>
    <w:rsid w:val="005B2DEB"/>
    <w:rsid w:val="005B3853"/>
    <w:rsid w:val="005B3F85"/>
    <w:rsid w:val="005B593C"/>
    <w:rsid w:val="005B5BBF"/>
    <w:rsid w:val="005B6CFA"/>
    <w:rsid w:val="005B7AF9"/>
    <w:rsid w:val="005C4587"/>
    <w:rsid w:val="005C6803"/>
    <w:rsid w:val="005C6A6E"/>
    <w:rsid w:val="005D00CD"/>
    <w:rsid w:val="005D1AD3"/>
    <w:rsid w:val="005E1CE1"/>
    <w:rsid w:val="005E6D51"/>
    <w:rsid w:val="005F0563"/>
    <w:rsid w:val="005F079E"/>
    <w:rsid w:val="005F14E1"/>
    <w:rsid w:val="005F41B2"/>
    <w:rsid w:val="005F4E92"/>
    <w:rsid w:val="005F670F"/>
    <w:rsid w:val="005F6EE3"/>
    <w:rsid w:val="005F7350"/>
    <w:rsid w:val="005F77B9"/>
    <w:rsid w:val="00603452"/>
    <w:rsid w:val="006050D0"/>
    <w:rsid w:val="0061106A"/>
    <w:rsid w:val="00611254"/>
    <w:rsid w:val="00612031"/>
    <w:rsid w:val="00613863"/>
    <w:rsid w:val="00613AAB"/>
    <w:rsid w:val="0061728F"/>
    <w:rsid w:val="006239FB"/>
    <w:rsid w:val="00625492"/>
    <w:rsid w:val="00627A62"/>
    <w:rsid w:val="006300AC"/>
    <w:rsid w:val="0063173D"/>
    <w:rsid w:val="00631B6F"/>
    <w:rsid w:val="00632481"/>
    <w:rsid w:val="00635304"/>
    <w:rsid w:val="00635D3C"/>
    <w:rsid w:val="0064152F"/>
    <w:rsid w:val="0064241D"/>
    <w:rsid w:val="0064296F"/>
    <w:rsid w:val="006433F4"/>
    <w:rsid w:val="00643DC9"/>
    <w:rsid w:val="00645E2C"/>
    <w:rsid w:val="00647A2D"/>
    <w:rsid w:val="006514BC"/>
    <w:rsid w:val="0065752F"/>
    <w:rsid w:val="0066225F"/>
    <w:rsid w:val="0066317B"/>
    <w:rsid w:val="006649A1"/>
    <w:rsid w:val="00665134"/>
    <w:rsid w:val="00665D61"/>
    <w:rsid w:val="00670902"/>
    <w:rsid w:val="0067153D"/>
    <w:rsid w:val="0067286A"/>
    <w:rsid w:val="00673C01"/>
    <w:rsid w:val="00674E7F"/>
    <w:rsid w:val="00675E5F"/>
    <w:rsid w:val="0067756B"/>
    <w:rsid w:val="00682630"/>
    <w:rsid w:val="006826E2"/>
    <w:rsid w:val="00686E23"/>
    <w:rsid w:val="006903A2"/>
    <w:rsid w:val="00690C3C"/>
    <w:rsid w:val="00693214"/>
    <w:rsid w:val="006963C4"/>
    <w:rsid w:val="00696643"/>
    <w:rsid w:val="00696772"/>
    <w:rsid w:val="006A1BA4"/>
    <w:rsid w:val="006A32DC"/>
    <w:rsid w:val="006A5F9C"/>
    <w:rsid w:val="006A733E"/>
    <w:rsid w:val="006A7921"/>
    <w:rsid w:val="006B0EA1"/>
    <w:rsid w:val="006B3556"/>
    <w:rsid w:val="006B396F"/>
    <w:rsid w:val="006B69D6"/>
    <w:rsid w:val="006B713C"/>
    <w:rsid w:val="006B728F"/>
    <w:rsid w:val="006B748E"/>
    <w:rsid w:val="006B78CF"/>
    <w:rsid w:val="006C1955"/>
    <w:rsid w:val="006C5FB9"/>
    <w:rsid w:val="006C7B86"/>
    <w:rsid w:val="006C7EE1"/>
    <w:rsid w:val="006D2106"/>
    <w:rsid w:val="006D3A9C"/>
    <w:rsid w:val="006D5CAE"/>
    <w:rsid w:val="006D693E"/>
    <w:rsid w:val="006E05F6"/>
    <w:rsid w:val="006E096C"/>
    <w:rsid w:val="006E0EB3"/>
    <w:rsid w:val="006E1CA0"/>
    <w:rsid w:val="006E3113"/>
    <w:rsid w:val="006E34FC"/>
    <w:rsid w:val="006F0D1B"/>
    <w:rsid w:val="006F2976"/>
    <w:rsid w:val="006F4408"/>
    <w:rsid w:val="006F5972"/>
    <w:rsid w:val="006F6564"/>
    <w:rsid w:val="006F66D9"/>
    <w:rsid w:val="00701B8C"/>
    <w:rsid w:val="00704E59"/>
    <w:rsid w:val="00705852"/>
    <w:rsid w:val="00706AEB"/>
    <w:rsid w:val="00710E0C"/>
    <w:rsid w:val="00711DC2"/>
    <w:rsid w:val="00712530"/>
    <w:rsid w:val="00713F8E"/>
    <w:rsid w:val="00714235"/>
    <w:rsid w:val="00720739"/>
    <w:rsid w:val="0072426F"/>
    <w:rsid w:val="0072435C"/>
    <w:rsid w:val="00724FB5"/>
    <w:rsid w:val="007321A8"/>
    <w:rsid w:val="00733B27"/>
    <w:rsid w:val="00735297"/>
    <w:rsid w:val="0073666A"/>
    <w:rsid w:val="0074159B"/>
    <w:rsid w:val="00744F41"/>
    <w:rsid w:val="00745C99"/>
    <w:rsid w:val="00751AC3"/>
    <w:rsid w:val="00751FF5"/>
    <w:rsid w:val="00755607"/>
    <w:rsid w:val="007577C6"/>
    <w:rsid w:val="0076390E"/>
    <w:rsid w:val="007645D5"/>
    <w:rsid w:val="007675A1"/>
    <w:rsid w:val="00771C6F"/>
    <w:rsid w:val="00774809"/>
    <w:rsid w:val="00776E3B"/>
    <w:rsid w:val="007860A2"/>
    <w:rsid w:val="00787DDC"/>
    <w:rsid w:val="00791927"/>
    <w:rsid w:val="007961D9"/>
    <w:rsid w:val="007A1A2D"/>
    <w:rsid w:val="007A3145"/>
    <w:rsid w:val="007A4AC6"/>
    <w:rsid w:val="007A5B78"/>
    <w:rsid w:val="007A5FA8"/>
    <w:rsid w:val="007A78EE"/>
    <w:rsid w:val="007B0476"/>
    <w:rsid w:val="007B28B2"/>
    <w:rsid w:val="007B4D56"/>
    <w:rsid w:val="007B53C7"/>
    <w:rsid w:val="007B7F32"/>
    <w:rsid w:val="007C0D34"/>
    <w:rsid w:val="007C1D44"/>
    <w:rsid w:val="007D2E8A"/>
    <w:rsid w:val="007D3E28"/>
    <w:rsid w:val="007D6879"/>
    <w:rsid w:val="007D7E31"/>
    <w:rsid w:val="007E1E5D"/>
    <w:rsid w:val="007E2533"/>
    <w:rsid w:val="007E5BCA"/>
    <w:rsid w:val="007F1734"/>
    <w:rsid w:val="00800A7C"/>
    <w:rsid w:val="00801F09"/>
    <w:rsid w:val="0081160B"/>
    <w:rsid w:val="008123B1"/>
    <w:rsid w:val="008137CB"/>
    <w:rsid w:val="00816DEA"/>
    <w:rsid w:val="0082198D"/>
    <w:rsid w:val="00822A42"/>
    <w:rsid w:val="00822AEB"/>
    <w:rsid w:val="00824F14"/>
    <w:rsid w:val="00825249"/>
    <w:rsid w:val="0082557B"/>
    <w:rsid w:val="00825875"/>
    <w:rsid w:val="0082654E"/>
    <w:rsid w:val="00826D72"/>
    <w:rsid w:val="00827544"/>
    <w:rsid w:val="00827970"/>
    <w:rsid w:val="008306E4"/>
    <w:rsid w:val="0083178D"/>
    <w:rsid w:val="0083474C"/>
    <w:rsid w:val="0083520B"/>
    <w:rsid w:val="00836D52"/>
    <w:rsid w:val="00842933"/>
    <w:rsid w:val="0084370C"/>
    <w:rsid w:val="00846330"/>
    <w:rsid w:val="00847BB2"/>
    <w:rsid w:val="00847C89"/>
    <w:rsid w:val="00853309"/>
    <w:rsid w:val="00856F66"/>
    <w:rsid w:val="00860F33"/>
    <w:rsid w:val="0086343C"/>
    <w:rsid w:val="008706F8"/>
    <w:rsid w:val="00870E41"/>
    <w:rsid w:val="00871F65"/>
    <w:rsid w:val="00872AF2"/>
    <w:rsid w:val="00874511"/>
    <w:rsid w:val="0088057C"/>
    <w:rsid w:val="00880681"/>
    <w:rsid w:val="00882ACB"/>
    <w:rsid w:val="00886A9F"/>
    <w:rsid w:val="00886DDD"/>
    <w:rsid w:val="00887C0B"/>
    <w:rsid w:val="00892228"/>
    <w:rsid w:val="008960F7"/>
    <w:rsid w:val="008969F5"/>
    <w:rsid w:val="008A0F27"/>
    <w:rsid w:val="008A1EC7"/>
    <w:rsid w:val="008A59AD"/>
    <w:rsid w:val="008B185D"/>
    <w:rsid w:val="008B5CED"/>
    <w:rsid w:val="008B730A"/>
    <w:rsid w:val="008C3A64"/>
    <w:rsid w:val="008C557A"/>
    <w:rsid w:val="008C5C40"/>
    <w:rsid w:val="008D0047"/>
    <w:rsid w:val="008D02A0"/>
    <w:rsid w:val="008D0589"/>
    <w:rsid w:val="008D0B52"/>
    <w:rsid w:val="008D16A7"/>
    <w:rsid w:val="008D1985"/>
    <w:rsid w:val="008D252B"/>
    <w:rsid w:val="008D46D4"/>
    <w:rsid w:val="008D5131"/>
    <w:rsid w:val="008D557C"/>
    <w:rsid w:val="008D59AA"/>
    <w:rsid w:val="008E0985"/>
    <w:rsid w:val="008E11FC"/>
    <w:rsid w:val="008E4BC1"/>
    <w:rsid w:val="008E584F"/>
    <w:rsid w:val="008E60F1"/>
    <w:rsid w:val="008F0BEE"/>
    <w:rsid w:val="008F470E"/>
    <w:rsid w:val="008F71A7"/>
    <w:rsid w:val="008F791E"/>
    <w:rsid w:val="009043D8"/>
    <w:rsid w:val="00906AF4"/>
    <w:rsid w:val="009074BD"/>
    <w:rsid w:val="00911E05"/>
    <w:rsid w:val="009163B3"/>
    <w:rsid w:val="00916814"/>
    <w:rsid w:val="00917B9D"/>
    <w:rsid w:val="00920C99"/>
    <w:rsid w:val="00921449"/>
    <w:rsid w:val="00922DDF"/>
    <w:rsid w:val="009239F2"/>
    <w:rsid w:val="009259DA"/>
    <w:rsid w:val="00926159"/>
    <w:rsid w:val="00927FED"/>
    <w:rsid w:val="00931A49"/>
    <w:rsid w:val="009331CF"/>
    <w:rsid w:val="009376F5"/>
    <w:rsid w:val="00940200"/>
    <w:rsid w:val="00943D69"/>
    <w:rsid w:val="00946597"/>
    <w:rsid w:val="0095112D"/>
    <w:rsid w:val="009537B2"/>
    <w:rsid w:val="00954DD7"/>
    <w:rsid w:val="009608F8"/>
    <w:rsid w:val="009617DF"/>
    <w:rsid w:val="009711A7"/>
    <w:rsid w:val="00973DCC"/>
    <w:rsid w:val="00975017"/>
    <w:rsid w:val="009752E9"/>
    <w:rsid w:val="00975393"/>
    <w:rsid w:val="0097579C"/>
    <w:rsid w:val="0097662F"/>
    <w:rsid w:val="00977882"/>
    <w:rsid w:val="00984009"/>
    <w:rsid w:val="009845AC"/>
    <w:rsid w:val="00984ADD"/>
    <w:rsid w:val="00985E3D"/>
    <w:rsid w:val="0099020F"/>
    <w:rsid w:val="0099160E"/>
    <w:rsid w:val="00991FE5"/>
    <w:rsid w:val="00993861"/>
    <w:rsid w:val="00997ED7"/>
    <w:rsid w:val="009A189A"/>
    <w:rsid w:val="009A6824"/>
    <w:rsid w:val="009A7EA5"/>
    <w:rsid w:val="009B1986"/>
    <w:rsid w:val="009B211D"/>
    <w:rsid w:val="009B22A6"/>
    <w:rsid w:val="009B3CAB"/>
    <w:rsid w:val="009B792B"/>
    <w:rsid w:val="009C09C4"/>
    <w:rsid w:val="009C0E7E"/>
    <w:rsid w:val="009C2C7A"/>
    <w:rsid w:val="009C3566"/>
    <w:rsid w:val="009C5901"/>
    <w:rsid w:val="009D051D"/>
    <w:rsid w:val="009D0EAB"/>
    <w:rsid w:val="009D0FDB"/>
    <w:rsid w:val="009D2914"/>
    <w:rsid w:val="009D31BF"/>
    <w:rsid w:val="009D3CC1"/>
    <w:rsid w:val="009D4EA7"/>
    <w:rsid w:val="009D53FA"/>
    <w:rsid w:val="009D7E25"/>
    <w:rsid w:val="009E1472"/>
    <w:rsid w:val="009E1DE5"/>
    <w:rsid w:val="009E2E9D"/>
    <w:rsid w:val="009E3DD2"/>
    <w:rsid w:val="009E5627"/>
    <w:rsid w:val="009E5DE8"/>
    <w:rsid w:val="009F127C"/>
    <w:rsid w:val="009F1F9E"/>
    <w:rsid w:val="009F61C7"/>
    <w:rsid w:val="009F783C"/>
    <w:rsid w:val="00A01483"/>
    <w:rsid w:val="00A112DD"/>
    <w:rsid w:val="00A137D1"/>
    <w:rsid w:val="00A16E06"/>
    <w:rsid w:val="00A21CF9"/>
    <w:rsid w:val="00A23436"/>
    <w:rsid w:val="00A321FC"/>
    <w:rsid w:val="00A32BAC"/>
    <w:rsid w:val="00A361BD"/>
    <w:rsid w:val="00A36409"/>
    <w:rsid w:val="00A36D9C"/>
    <w:rsid w:val="00A370E9"/>
    <w:rsid w:val="00A41BF7"/>
    <w:rsid w:val="00A42D29"/>
    <w:rsid w:val="00A47073"/>
    <w:rsid w:val="00A50A47"/>
    <w:rsid w:val="00A51D43"/>
    <w:rsid w:val="00A5400D"/>
    <w:rsid w:val="00A540F6"/>
    <w:rsid w:val="00A623EF"/>
    <w:rsid w:val="00A67348"/>
    <w:rsid w:val="00A67A4B"/>
    <w:rsid w:val="00A70C8C"/>
    <w:rsid w:val="00A70F5C"/>
    <w:rsid w:val="00A72998"/>
    <w:rsid w:val="00A75127"/>
    <w:rsid w:val="00A76FBC"/>
    <w:rsid w:val="00A80D64"/>
    <w:rsid w:val="00A84B1F"/>
    <w:rsid w:val="00A84E85"/>
    <w:rsid w:val="00A85205"/>
    <w:rsid w:val="00A86F38"/>
    <w:rsid w:val="00A87961"/>
    <w:rsid w:val="00A923E9"/>
    <w:rsid w:val="00A92FDC"/>
    <w:rsid w:val="00A94E02"/>
    <w:rsid w:val="00AA3BE9"/>
    <w:rsid w:val="00AA41AE"/>
    <w:rsid w:val="00AA5636"/>
    <w:rsid w:val="00AB08EB"/>
    <w:rsid w:val="00AB43CE"/>
    <w:rsid w:val="00AB45FB"/>
    <w:rsid w:val="00AB4FF0"/>
    <w:rsid w:val="00AB5142"/>
    <w:rsid w:val="00AB625C"/>
    <w:rsid w:val="00AC0221"/>
    <w:rsid w:val="00AC10F4"/>
    <w:rsid w:val="00AC2A92"/>
    <w:rsid w:val="00AC6515"/>
    <w:rsid w:val="00AC7CEF"/>
    <w:rsid w:val="00AD07CF"/>
    <w:rsid w:val="00AD0B30"/>
    <w:rsid w:val="00AD2047"/>
    <w:rsid w:val="00AD2437"/>
    <w:rsid w:val="00AD24BD"/>
    <w:rsid w:val="00AD6F56"/>
    <w:rsid w:val="00AE1C8E"/>
    <w:rsid w:val="00AE26F2"/>
    <w:rsid w:val="00AE4405"/>
    <w:rsid w:val="00AE45D2"/>
    <w:rsid w:val="00AE6ACA"/>
    <w:rsid w:val="00AE702D"/>
    <w:rsid w:val="00AE7DBB"/>
    <w:rsid w:val="00AF3D21"/>
    <w:rsid w:val="00B02028"/>
    <w:rsid w:val="00B05694"/>
    <w:rsid w:val="00B14E38"/>
    <w:rsid w:val="00B161CB"/>
    <w:rsid w:val="00B16D97"/>
    <w:rsid w:val="00B17441"/>
    <w:rsid w:val="00B213CA"/>
    <w:rsid w:val="00B22694"/>
    <w:rsid w:val="00B23F0C"/>
    <w:rsid w:val="00B24799"/>
    <w:rsid w:val="00B352AA"/>
    <w:rsid w:val="00B41D48"/>
    <w:rsid w:val="00B46B63"/>
    <w:rsid w:val="00B46C1C"/>
    <w:rsid w:val="00B54B9B"/>
    <w:rsid w:val="00B55540"/>
    <w:rsid w:val="00B556DE"/>
    <w:rsid w:val="00B55A65"/>
    <w:rsid w:val="00B566E6"/>
    <w:rsid w:val="00B6102E"/>
    <w:rsid w:val="00B6288D"/>
    <w:rsid w:val="00B65D0C"/>
    <w:rsid w:val="00B753E7"/>
    <w:rsid w:val="00B7555A"/>
    <w:rsid w:val="00B76985"/>
    <w:rsid w:val="00B77AC5"/>
    <w:rsid w:val="00B80593"/>
    <w:rsid w:val="00B845F4"/>
    <w:rsid w:val="00B85209"/>
    <w:rsid w:val="00B85815"/>
    <w:rsid w:val="00B87DEF"/>
    <w:rsid w:val="00B90190"/>
    <w:rsid w:val="00B9570E"/>
    <w:rsid w:val="00BA3501"/>
    <w:rsid w:val="00BB5305"/>
    <w:rsid w:val="00BC23FB"/>
    <w:rsid w:val="00BC3BFD"/>
    <w:rsid w:val="00BC5D01"/>
    <w:rsid w:val="00BD11A4"/>
    <w:rsid w:val="00BD2417"/>
    <w:rsid w:val="00BD279A"/>
    <w:rsid w:val="00BD4860"/>
    <w:rsid w:val="00BE2319"/>
    <w:rsid w:val="00BE3213"/>
    <w:rsid w:val="00BE689E"/>
    <w:rsid w:val="00BF0989"/>
    <w:rsid w:val="00BF2CCE"/>
    <w:rsid w:val="00C07A8D"/>
    <w:rsid w:val="00C07D3D"/>
    <w:rsid w:val="00C16638"/>
    <w:rsid w:val="00C16F7E"/>
    <w:rsid w:val="00C171B4"/>
    <w:rsid w:val="00C22ED3"/>
    <w:rsid w:val="00C2408E"/>
    <w:rsid w:val="00C25223"/>
    <w:rsid w:val="00C258D3"/>
    <w:rsid w:val="00C2655D"/>
    <w:rsid w:val="00C265C7"/>
    <w:rsid w:val="00C26E8E"/>
    <w:rsid w:val="00C3284D"/>
    <w:rsid w:val="00C34B1D"/>
    <w:rsid w:val="00C35A17"/>
    <w:rsid w:val="00C367A7"/>
    <w:rsid w:val="00C372F4"/>
    <w:rsid w:val="00C410C2"/>
    <w:rsid w:val="00C42E05"/>
    <w:rsid w:val="00C454E0"/>
    <w:rsid w:val="00C473CC"/>
    <w:rsid w:val="00C47423"/>
    <w:rsid w:val="00C477C3"/>
    <w:rsid w:val="00C51728"/>
    <w:rsid w:val="00C53C81"/>
    <w:rsid w:val="00C567D1"/>
    <w:rsid w:val="00C56F20"/>
    <w:rsid w:val="00C600BF"/>
    <w:rsid w:val="00C6178F"/>
    <w:rsid w:val="00C61C88"/>
    <w:rsid w:val="00C62C3B"/>
    <w:rsid w:val="00C63936"/>
    <w:rsid w:val="00C63D63"/>
    <w:rsid w:val="00C64667"/>
    <w:rsid w:val="00C65586"/>
    <w:rsid w:val="00C66057"/>
    <w:rsid w:val="00C708DD"/>
    <w:rsid w:val="00C7114C"/>
    <w:rsid w:val="00C72B66"/>
    <w:rsid w:val="00C72C1D"/>
    <w:rsid w:val="00C75719"/>
    <w:rsid w:val="00C770D0"/>
    <w:rsid w:val="00C7729B"/>
    <w:rsid w:val="00C77A4E"/>
    <w:rsid w:val="00C80534"/>
    <w:rsid w:val="00C80D97"/>
    <w:rsid w:val="00C85C87"/>
    <w:rsid w:val="00C95B70"/>
    <w:rsid w:val="00C95CB2"/>
    <w:rsid w:val="00CA189D"/>
    <w:rsid w:val="00CA213D"/>
    <w:rsid w:val="00CA5487"/>
    <w:rsid w:val="00CA6A87"/>
    <w:rsid w:val="00CA7FD2"/>
    <w:rsid w:val="00CB1E45"/>
    <w:rsid w:val="00CB37E3"/>
    <w:rsid w:val="00CB5D25"/>
    <w:rsid w:val="00CB66AD"/>
    <w:rsid w:val="00CB6AEC"/>
    <w:rsid w:val="00CB7056"/>
    <w:rsid w:val="00CC0C30"/>
    <w:rsid w:val="00CC0E4E"/>
    <w:rsid w:val="00CC1B82"/>
    <w:rsid w:val="00CC2A62"/>
    <w:rsid w:val="00CC372B"/>
    <w:rsid w:val="00CC454A"/>
    <w:rsid w:val="00CC4A68"/>
    <w:rsid w:val="00CC4E5B"/>
    <w:rsid w:val="00CC67C0"/>
    <w:rsid w:val="00CC7A6B"/>
    <w:rsid w:val="00CD46E6"/>
    <w:rsid w:val="00CD7F20"/>
    <w:rsid w:val="00CE11AF"/>
    <w:rsid w:val="00CE1CEF"/>
    <w:rsid w:val="00CE3902"/>
    <w:rsid w:val="00CE39DF"/>
    <w:rsid w:val="00CE3AE7"/>
    <w:rsid w:val="00CE3AF9"/>
    <w:rsid w:val="00CE59DC"/>
    <w:rsid w:val="00CF201F"/>
    <w:rsid w:val="00CF2725"/>
    <w:rsid w:val="00CF5FAF"/>
    <w:rsid w:val="00D004D1"/>
    <w:rsid w:val="00D00A8A"/>
    <w:rsid w:val="00D01651"/>
    <w:rsid w:val="00D04A48"/>
    <w:rsid w:val="00D053CA"/>
    <w:rsid w:val="00D10D63"/>
    <w:rsid w:val="00D10FD4"/>
    <w:rsid w:val="00D12023"/>
    <w:rsid w:val="00D123AA"/>
    <w:rsid w:val="00D170FC"/>
    <w:rsid w:val="00D176A6"/>
    <w:rsid w:val="00D26C0A"/>
    <w:rsid w:val="00D2730C"/>
    <w:rsid w:val="00D31D52"/>
    <w:rsid w:val="00D325BE"/>
    <w:rsid w:val="00D350E3"/>
    <w:rsid w:val="00D35E97"/>
    <w:rsid w:val="00D43DD1"/>
    <w:rsid w:val="00D4424F"/>
    <w:rsid w:val="00D509DE"/>
    <w:rsid w:val="00D55784"/>
    <w:rsid w:val="00D57C80"/>
    <w:rsid w:val="00D57FED"/>
    <w:rsid w:val="00D65427"/>
    <w:rsid w:val="00D65E6C"/>
    <w:rsid w:val="00D664CB"/>
    <w:rsid w:val="00D67AAE"/>
    <w:rsid w:val="00D70024"/>
    <w:rsid w:val="00D70D92"/>
    <w:rsid w:val="00D70F98"/>
    <w:rsid w:val="00D72686"/>
    <w:rsid w:val="00D762E4"/>
    <w:rsid w:val="00D768C0"/>
    <w:rsid w:val="00D85305"/>
    <w:rsid w:val="00D85C68"/>
    <w:rsid w:val="00D87490"/>
    <w:rsid w:val="00D87AF3"/>
    <w:rsid w:val="00D901BA"/>
    <w:rsid w:val="00D92C30"/>
    <w:rsid w:val="00D95026"/>
    <w:rsid w:val="00D966EF"/>
    <w:rsid w:val="00DA10C4"/>
    <w:rsid w:val="00DA2807"/>
    <w:rsid w:val="00DA28D3"/>
    <w:rsid w:val="00DA2F90"/>
    <w:rsid w:val="00DA4FAD"/>
    <w:rsid w:val="00DB202E"/>
    <w:rsid w:val="00DB37CC"/>
    <w:rsid w:val="00DB6DED"/>
    <w:rsid w:val="00DB70C8"/>
    <w:rsid w:val="00DB7ECF"/>
    <w:rsid w:val="00DC04D3"/>
    <w:rsid w:val="00DC12AB"/>
    <w:rsid w:val="00DC1CE3"/>
    <w:rsid w:val="00DC2F1E"/>
    <w:rsid w:val="00DC7FA5"/>
    <w:rsid w:val="00DD0786"/>
    <w:rsid w:val="00DD4513"/>
    <w:rsid w:val="00DD544C"/>
    <w:rsid w:val="00DD6134"/>
    <w:rsid w:val="00DD7C1A"/>
    <w:rsid w:val="00DE1C45"/>
    <w:rsid w:val="00DE28C2"/>
    <w:rsid w:val="00DE3C42"/>
    <w:rsid w:val="00DE58B9"/>
    <w:rsid w:val="00DF11E2"/>
    <w:rsid w:val="00DF5888"/>
    <w:rsid w:val="00DF63A3"/>
    <w:rsid w:val="00DF6BE7"/>
    <w:rsid w:val="00DF6CDF"/>
    <w:rsid w:val="00E01676"/>
    <w:rsid w:val="00E019C6"/>
    <w:rsid w:val="00E05195"/>
    <w:rsid w:val="00E07330"/>
    <w:rsid w:val="00E0790F"/>
    <w:rsid w:val="00E14655"/>
    <w:rsid w:val="00E20080"/>
    <w:rsid w:val="00E21A3C"/>
    <w:rsid w:val="00E25FC4"/>
    <w:rsid w:val="00E27A45"/>
    <w:rsid w:val="00E34F1B"/>
    <w:rsid w:val="00E36E40"/>
    <w:rsid w:val="00E37793"/>
    <w:rsid w:val="00E37D99"/>
    <w:rsid w:val="00E4017E"/>
    <w:rsid w:val="00E44D94"/>
    <w:rsid w:val="00E543C6"/>
    <w:rsid w:val="00E54E9D"/>
    <w:rsid w:val="00E56257"/>
    <w:rsid w:val="00E573E3"/>
    <w:rsid w:val="00E57938"/>
    <w:rsid w:val="00E64438"/>
    <w:rsid w:val="00E673A7"/>
    <w:rsid w:val="00E710A6"/>
    <w:rsid w:val="00E7346E"/>
    <w:rsid w:val="00E748F4"/>
    <w:rsid w:val="00E7798B"/>
    <w:rsid w:val="00E81166"/>
    <w:rsid w:val="00E82136"/>
    <w:rsid w:val="00E85C0F"/>
    <w:rsid w:val="00E87BAC"/>
    <w:rsid w:val="00E90BFB"/>
    <w:rsid w:val="00E92A23"/>
    <w:rsid w:val="00E962EA"/>
    <w:rsid w:val="00EA032D"/>
    <w:rsid w:val="00EA2136"/>
    <w:rsid w:val="00EA36B4"/>
    <w:rsid w:val="00EA7605"/>
    <w:rsid w:val="00EB0826"/>
    <w:rsid w:val="00EB151A"/>
    <w:rsid w:val="00EB2035"/>
    <w:rsid w:val="00EB3EF7"/>
    <w:rsid w:val="00EB5EA3"/>
    <w:rsid w:val="00EB74C5"/>
    <w:rsid w:val="00EC5FA7"/>
    <w:rsid w:val="00EC7691"/>
    <w:rsid w:val="00EC7F56"/>
    <w:rsid w:val="00ED3731"/>
    <w:rsid w:val="00ED49FA"/>
    <w:rsid w:val="00ED77FF"/>
    <w:rsid w:val="00EE11EB"/>
    <w:rsid w:val="00EE243E"/>
    <w:rsid w:val="00EE4F6C"/>
    <w:rsid w:val="00EE4F7E"/>
    <w:rsid w:val="00EF1D5F"/>
    <w:rsid w:val="00EF2EAA"/>
    <w:rsid w:val="00EF34C0"/>
    <w:rsid w:val="00EF3B68"/>
    <w:rsid w:val="00EF554A"/>
    <w:rsid w:val="00EF5BA7"/>
    <w:rsid w:val="00EF6A19"/>
    <w:rsid w:val="00EF7E59"/>
    <w:rsid w:val="00F007A7"/>
    <w:rsid w:val="00F007CD"/>
    <w:rsid w:val="00F07000"/>
    <w:rsid w:val="00F0720A"/>
    <w:rsid w:val="00F077A9"/>
    <w:rsid w:val="00F07A38"/>
    <w:rsid w:val="00F11C0E"/>
    <w:rsid w:val="00F13AF8"/>
    <w:rsid w:val="00F14A47"/>
    <w:rsid w:val="00F14D15"/>
    <w:rsid w:val="00F2561A"/>
    <w:rsid w:val="00F25D46"/>
    <w:rsid w:val="00F34766"/>
    <w:rsid w:val="00F353A5"/>
    <w:rsid w:val="00F35801"/>
    <w:rsid w:val="00F408BC"/>
    <w:rsid w:val="00F42F38"/>
    <w:rsid w:val="00F44DA2"/>
    <w:rsid w:val="00F4649B"/>
    <w:rsid w:val="00F4667C"/>
    <w:rsid w:val="00F469D1"/>
    <w:rsid w:val="00F475AA"/>
    <w:rsid w:val="00F5036E"/>
    <w:rsid w:val="00F50DB2"/>
    <w:rsid w:val="00F53F5F"/>
    <w:rsid w:val="00F55220"/>
    <w:rsid w:val="00F557C9"/>
    <w:rsid w:val="00F55D55"/>
    <w:rsid w:val="00F5796C"/>
    <w:rsid w:val="00F61371"/>
    <w:rsid w:val="00F6255D"/>
    <w:rsid w:val="00F63DCE"/>
    <w:rsid w:val="00F6478A"/>
    <w:rsid w:val="00F64BED"/>
    <w:rsid w:val="00F64D19"/>
    <w:rsid w:val="00F675C7"/>
    <w:rsid w:val="00F7078E"/>
    <w:rsid w:val="00F725AE"/>
    <w:rsid w:val="00F742A1"/>
    <w:rsid w:val="00F75106"/>
    <w:rsid w:val="00F7619F"/>
    <w:rsid w:val="00F80612"/>
    <w:rsid w:val="00F81652"/>
    <w:rsid w:val="00F83056"/>
    <w:rsid w:val="00F835ED"/>
    <w:rsid w:val="00F85188"/>
    <w:rsid w:val="00F86CCA"/>
    <w:rsid w:val="00F9501A"/>
    <w:rsid w:val="00F95E7C"/>
    <w:rsid w:val="00FA0B1F"/>
    <w:rsid w:val="00FA20B7"/>
    <w:rsid w:val="00FA4F64"/>
    <w:rsid w:val="00FA555F"/>
    <w:rsid w:val="00FA5DD3"/>
    <w:rsid w:val="00FA7623"/>
    <w:rsid w:val="00FA7787"/>
    <w:rsid w:val="00FB1469"/>
    <w:rsid w:val="00FB24E1"/>
    <w:rsid w:val="00FB2F48"/>
    <w:rsid w:val="00FB3F88"/>
    <w:rsid w:val="00FC5891"/>
    <w:rsid w:val="00FC76D2"/>
    <w:rsid w:val="00FD08B2"/>
    <w:rsid w:val="00FD08FC"/>
    <w:rsid w:val="00FE4135"/>
    <w:rsid w:val="00FE60C6"/>
    <w:rsid w:val="00FE6E63"/>
    <w:rsid w:val="00FE7912"/>
    <w:rsid w:val="00FE7A5A"/>
    <w:rsid w:val="00FF001B"/>
    <w:rsid w:val="00FF5CC5"/>
    <w:rsid w:val="00FF63F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9887DC"/>
  <w15:chartTrackingRefBased/>
  <w15:docId w15:val="{CAD77F4C-ED2B-DB43-BF42-3DBB0F84F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0A7C"/>
    <w:pPr>
      <w:spacing w:line="260" w:lineRule="exact"/>
      <w:jc w:val="both"/>
    </w:pPr>
    <w:rPr>
      <w:rFonts w:ascii="Candara" w:eastAsia="Times New Roman" w:hAnsi="Candara" w:cs="Times New Roman"/>
      <w:color w:val="3B3838" w:themeColor="background2" w:themeShade="40"/>
      <w:sz w:val="22"/>
      <w:lang w:eastAsia="es-ES_tradnl"/>
    </w:rPr>
  </w:style>
  <w:style w:type="paragraph" w:styleId="Ttulo1">
    <w:name w:val="heading 1"/>
    <w:aliases w:val="Document Header1,título 1,TITULO 1"/>
    <w:basedOn w:val="Normal"/>
    <w:next w:val="Normal"/>
    <w:link w:val="Ttulo1Car"/>
    <w:uiPriority w:val="9"/>
    <w:qFormat/>
    <w:rsid w:val="006C7B86"/>
    <w:pPr>
      <w:keepNext/>
      <w:keepLines/>
      <w:spacing w:line="460" w:lineRule="exact"/>
      <w:outlineLvl w:val="0"/>
    </w:pPr>
    <w:rPr>
      <w:rFonts w:eastAsiaTheme="majorEastAsia" w:cstheme="majorBidi"/>
      <w:b/>
      <w:color w:val="C00000"/>
      <w:sz w:val="40"/>
      <w:szCs w:val="32"/>
      <w:lang w:eastAsia="en-US"/>
    </w:rPr>
  </w:style>
  <w:style w:type="paragraph" w:styleId="Ttulo2">
    <w:name w:val="heading 2"/>
    <w:aliases w:val="ERM Heading 2,Título Task"/>
    <w:basedOn w:val="Normal"/>
    <w:next w:val="Normal"/>
    <w:link w:val="Ttulo2Car"/>
    <w:uiPriority w:val="9"/>
    <w:unhideWhenUsed/>
    <w:qFormat/>
    <w:rsid w:val="006C7B86"/>
    <w:pPr>
      <w:keepNext/>
      <w:keepLines/>
      <w:numPr>
        <w:ilvl w:val="1"/>
        <w:numId w:val="46"/>
      </w:numPr>
      <w:spacing w:line="340" w:lineRule="exact"/>
      <w:jc w:val="left"/>
      <w:outlineLvl w:val="1"/>
    </w:pPr>
    <w:rPr>
      <w:rFonts w:eastAsiaTheme="majorEastAsia" w:cstheme="majorBidi"/>
      <w:b/>
      <w:sz w:val="28"/>
      <w:szCs w:val="26"/>
      <w:lang w:eastAsia="en-US"/>
    </w:rPr>
  </w:style>
  <w:style w:type="paragraph" w:styleId="Ttulo3">
    <w:name w:val="heading 3"/>
    <w:basedOn w:val="Normal"/>
    <w:next w:val="Normal"/>
    <w:link w:val="Ttulo3Car"/>
    <w:uiPriority w:val="9"/>
    <w:unhideWhenUsed/>
    <w:qFormat/>
    <w:rsid w:val="006300AC"/>
    <w:pPr>
      <w:keepNext/>
      <w:keepLines/>
      <w:spacing w:before="160" w:after="120"/>
      <w:ind w:left="708"/>
      <w:outlineLvl w:val="2"/>
    </w:pPr>
    <w:rPr>
      <w:rFonts w:eastAsiaTheme="majorEastAsia" w:cstheme="majorBidi"/>
      <w:b/>
      <w:sz w:val="28"/>
      <w:lang w:eastAsia="en-US"/>
    </w:rPr>
  </w:style>
  <w:style w:type="paragraph" w:styleId="Ttulo4">
    <w:name w:val="heading 4"/>
    <w:aliases w:val="Título 3_,TITULO 4"/>
    <w:basedOn w:val="Normal"/>
    <w:next w:val="Normal"/>
    <w:link w:val="Ttulo4Car"/>
    <w:autoRedefine/>
    <w:uiPriority w:val="9"/>
    <w:unhideWhenUsed/>
    <w:qFormat/>
    <w:rsid w:val="008C3A64"/>
    <w:pPr>
      <w:keepNext/>
      <w:keepLines/>
      <w:outlineLvl w:val="3"/>
    </w:pPr>
    <w:rPr>
      <w:rFonts w:ascii="Roboto" w:eastAsiaTheme="majorEastAsia" w:hAnsi="Roboto" w:cstheme="majorBidi"/>
      <w:iCs/>
      <w:color w:val="41A4CB"/>
      <w:szCs w:val="22"/>
      <w:lang w:eastAsia="en-US"/>
    </w:rPr>
  </w:style>
  <w:style w:type="paragraph" w:styleId="Ttulo5">
    <w:name w:val="heading 5"/>
    <w:basedOn w:val="Normal"/>
    <w:next w:val="Normal"/>
    <w:link w:val="Ttulo5Car"/>
    <w:uiPriority w:val="9"/>
    <w:unhideWhenUsed/>
    <w:qFormat/>
    <w:rsid w:val="008C3A64"/>
    <w:pPr>
      <w:keepNext/>
      <w:keepLines/>
      <w:spacing w:before="40"/>
      <w:ind w:left="1008" w:hanging="1008"/>
      <w:outlineLvl w:val="4"/>
    </w:pPr>
    <w:rPr>
      <w:rFonts w:asciiTheme="majorHAnsi" w:eastAsiaTheme="majorEastAsia" w:hAnsiTheme="majorHAnsi" w:cstheme="majorBidi"/>
      <w:color w:val="2F5496" w:themeColor="accent1" w:themeShade="BF"/>
      <w:szCs w:val="22"/>
      <w:lang w:eastAsia="en-US"/>
    </w:rPr>
  </w:style>
  <w:style w:type="paragraph" w:styleId="Ttulo6">
    <w:name w:val="heading 6"/>
    <w:basedOn w:val="Normal"/>
    <w:next w:val="Normal"/>
    <w:link w:val="Ttulo6Car"/>
    <w:uiPriority w:val="9"/>
    <w:unhideWhenUsed/>
    <w:qFormat/>
    <w:rsid w:val="008C3A64"/>
    <w:pPr>
      <w:keepNext/>
      <w:keepLines/>
      <w:spacing w:before="40"/>
      <w:ind w:left="1152" w:hanging="1152"/>
      <w:outlineLvl w:val="5"/>
    </w:pPr>
    <w:rPr>
      <w:rFonts w:asciiTheme="majorHAnsi" w:eastAsiaTheme="majorEastAsia" w:hAnsiTheme="majorHAnsi" w:cstheme="majorBidi"/>
      <w:color w:val="1F3763" w:themeColor="accent1" w:themeShade="7F"/>
      <w:szCs w:val="22"/>
      <w:lang w:eastAsia="en-US"/>
    </w:rPr>
  </w:style>
  <w:style w:type="paragraph" w:styleId="Ttulo7">
    <w:name w:val="heading 7"/>
    <w:basedOn w:val="Normal"/>
    <w:next w:val="Normal"/>
    <w:link w:val="Ttulo7Car"/>
    <w:uiPriority w:val="9"/>
    <w:unhideWhenUsed/>
    <w:qFormat/>
    <w:rsid w:val="008C3A64"/>
    <w:pPr>
      <w:keepNext/>
      <w:keepLines/>
      <w:spacing w:before="40"/>
      <w:ind w:left="1296" w:hanging="1296"/>
      <w:outlineLvl w:val="6"/>
    </w:pPr>
    <w:rPr>
      <w:rFonts w:asciiTheme="majorHAnsi" w:eastAsiaTheme="majorEastAsia" w:hAnsiTheme="majorHAnsi" w:cstheme="majorBidi"/>
      <w:i/>
      <w:iCs/>
      <w:color w:val="1F3763" w:themeColor="accent1" w:themeShade="7F"/>
      <w:szCs w:val="22"/>
      <w:lang w:eastAsia="en-US"/>
    </w:rPr>
  </w:style>
  <w:style w:type="paragraph" w:styleId="Ttulo8">
    <w:name w:val="heading 8"/>
    <w:basedOn w:val="Normal"/>
    <w:next w:val="Normal"/>
    <w:link w:val="Ttulo8Car"/>
    <w:uiPriority w:val="9"/>
    <w:unhideWhenUsed/>
    <w:qFormat/>
    <w:rsid w:val="008C3A64"/>
    <w:pPr>
      <w:keepNext/>
      <w:keepLines/>
      <w:spacing w:before="40"/>
      <w:ind w:left="1440" w:hanging="1440"/>
      <w:outlineLvl w:val="7"/>
    </w:pPr>
    <w:rPr>
      <w:rFonts w:asciiTheme="majorHAnsi" w:eastAsiaTheme="majorEastAsia" w:hAnsiTheme="majorHAnsi" w:cstheme="majorBidi"/>
      <w:color w:val="272727" w:themeColor="text1" w:themeTint="D8"/>
      <w:sz w:val="21"/>
      <w:szCs w:val="21"/>
      <w:lang w:eastAsia="en-US"/>
    </w:rPr>
  </w:style>
  <w:style w:type="paragraph" w:styleId="Ttulo9">
    <w:name w:val="heading 9"/>
    <w:basedOn w:val="Normal"/>
    <w:next w:val="Normal"/>
    <w:link w:val="Ttulo9Car"/>
    <w:uiPriority w:val="9"/>
    <w:unhideWhenUsed/>
    <w:qFormat/>
    <w:rsid w:val="008C3A64"/>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stilo7">
    <w:name w:val="Estilo7"/>
    <w:uiPriority w:val="99"/>
    <w:rsid w:val="00D87AF3"/>
    <w:pPr>
      <w:numPr>
        <w:numId w:val="1"/>
      </w:numPr>
    </w:pPr>
  </w:style>
  <w:style w:type="paragraph" w:styleId="Encabezado">
    <w:name w:val="header"/>
    <w:aliases w:val="Encabezado 2,encabezado,Encabezado Car Car1,Encabezado 2 Car Car1,encabezado Car Car1,Stds Car Car1,Encabezado Car Car Car Car,Encabezado 2 Car Car Car Car,encabezado Car Car Car Car,Stds Car Car Car Car,Encabezado 2 Car Car2 Car,Style 11,Std"/>
    <w:basedOn w:val="Normal"/>
    <w:link w:val="EncabezadoCar"/>
    <w:uiPriority w:val="99"/>
    <w:unhideWhenUsed/>
    <w:rsid w:val="00911E05"/>
    <w:pPr>
      <w:tabs>
        <w:tab w:val="center" w:pos="4419"/>
        <w:tab w:val="right" w:pos="8838"/>
      </w:tabs>
    </w:pPr>
  </w:style>
  <w:style w:type="character" w:customStyle="1" w:styleId="EncabezadoCar">
    <w:name w:val="Encabezado Car"/>
    <w:aliases w:val="Encabezado 2 Car,encabezado Car,Encabezado Car Car1 Car,Encabezado 2 Car Car1 Car,encabezado Car Car1 Car,Stds Car Car1 Car,Encabezado Car Car Car Car Car,Encabezado 2 Car Car Car Car Car,encabezado Car Car Car Car Car,Style 11 Car"/>
    <w:basedOn w:val="Fuentedeprrafopredeter"/>
    <w:link w:val="Encabezado"/>
    <w:uiPriority w:val="99"/>
    <w:rsid w:val="00911E05"/>
    <w:rPr>
      <w:rFonts w:ascii="Candara" w:eastAsia="Times New Roman" w:hAnsi="Candara" w:cs="Times New Roman"/>
      <w:sz w:val="20"/>
      <w:lang w:eastAsia="es-ES_tradnl"/>
    </w:rPr>
  </w:style>
  <w:style w:type="paragraph" w:styleId="Piedepgina">
    <w:name w:val="footer"/>
    <w:basedOn w:val="Normal"/>
    <w:link w:val="PiedepginaCar"/>
    <w:uiPriority w:val="99"/>
    <w:unhideWhenUsed/>
    <w:rsid w:val="00167A47"/>
    <w:pPr>
      <w:tabs>
        <w:tab w:val="center" w:pos="4419"/>
        <w:tab w:val="right" w:pos="8838"/>
      </w:tabs>
      <w:spacing w:line="200" w:lineRule="exact"/>
    </w:pPr>
    <w:rPr>
      <w:sz w:val="16"/>
    </w:rPr>
  </w:style>
  <w:style w:type="character" w:customStyle="1" w:styleId="PiedepginaCar">
    <w:name w:val="Pie de página Car"/>
    <w:basedOn w:val="Fuentedeprrafopredeter"/>
    <w:link w:val="Piedepgina"/>
    <w:uiPriority w:val="99"/>
    <w:rsid w:val="00167A47"/>
    <w:rPr>
      <w:rFonts w:ascii="Candara" w:eastAsia="Times New Roman" w:hAnsi="Candara" w:cs="Times New Roman"/>
      <w:color w:val="3B3838" w:themeColor="background2" w:themeShade="40"/>
      <w:sz w:val="16"/>
      <w:lang w:eastAsia="es-ES_tradnl"/>
    </w:rPr>
  </w:style>
  <w:style w:type="character" w:customStyle="1" w:styleId="Ttulo1Car">
    <w:name w:val="Título 1 Car"/>
    <w:aliases w:val="Document Header1 Car,título 1 Car,TITULO 1 Car"/>
    <w:basedOn w:val="Fuentedeprrafopredeter"/>
    <w:link w:val="Ttulo1"/>
    <w:uiPriority w:val="9"/>
    <w:rsid w:val="00921449"/>
    <w:rPr>
      <w:rFonts w:ascii="Candara" w:eastAsiaTheme="majorEastAsia" w:hAnsi="Candara" w:cstheme="majorBidi"/>
      <w:b/>
      <w:color w:val="C00000"/>
      <w:sz w:val="40"/>
      <w:szCs w:val="32"/>
    </w:rPr>
  </w:style>
  <w:style w:type="character" w:customStyle="1" w:styleId="Ttulo2Car">
    <w:name w:val="Título 2 Car"/>
    <w:aliases w:val="ERM Heading 2 Car,Título Task Car"/>
    <w:basedOn w:val="Fuentedeprrafopredeter"/>
    <w:link w:val="Ttulo2"/>
    <w:uiPriority w:val="9"/>
    <w:rsid w:val="00911E05"/>
    <w:rPr>
      <w:rFonts w:ascii="Candara" w:eastAsiaTheme="majorEastAsia" w:hAnsi="Candara" w:cstheme="majorBidi"/>
      <w:b/>
      <w:color w:val="3B3838" w:themeColor="background2" w:themeShade="40"/>
      <w:sz w:val="28"/>
      <w:szCs w:val="26"/>
    </w:rPr>
  </w:style>
  <w:style w:type="paragraph" w:customStyle="1" w:styleId="figuratitulo">
    <w:name w:val="figura titulo"/>
    <w:basedOn w:val="Normal"/>
    <w:rsid w:val="00911E05"/>
    <w:pPr>
      <w:spacing w:line="220" w:lineRule="exact"/>
      <w:jc w:val="center"/>
    </w:pPr>
    <w:rPr>
      <w:rFonts w:eastAsiaTheme="minorHAnsi" w:cstheme="minorBidi"/>
      <w:color w:val="C00000"/>
      <w:sz w:val="18"/>
      <w:lang w:eastAsia="en-US"/>
    </w:rPr>
  </w:style>
  <w:style w:type="character" w:styleId="Nmerodepgina">
    <w:name w:val="page number"/>
    <w:basedOn w:val="Fuentedeprrafopredeter"/>
    <w:uiPriority w:val="99"/>
    <w:semiHidden/>
    <w:unhideWhenUsed/>
    <w:rsid w:val="00911E05"/>
  </w:style>
  <w:style w:type="paragraph" w:customStyle="1" w:styleId="Bullets">
    <w:name w:val="Bullets"/>
    <w:basedOn w:val="Normal"/>
    <w:link w:val="BulletsCar"/>
    <w:qFormat/>
    <w:rsid w:val="00911E05"/>
    <w:pPr>
      <w:numPr>
        <w:numId w:val="2"/>
      </w:numPr>
      <w:ind w:left="714" w:hanging="357"/>
      <w:contextualSpacing/>
    </w:pPr>
    <w:rPr>
      <w:rFonts w:eastAsiaTheme="minorHAnsi" w:cstheme="minorBidi"/>
      <w:szCs w:val="22"/>
      <w:lang w:eastAsia="en-US"/>
    </w:rPr>
  </w:style>
  <w:style w:type="table" w:styleId="Tablaconcuadrcula">
    <w:name w:val="Table Grid"/>
    <w:basedOn w:val="Tablanormal"/>
    <w:uiPriority w:val="39"/>
    <w:qFormat/>
    <w:rsid w:val="00911E0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sCar">
    <w:name w:val="Bullets Car"/>
    <w:basedOn w:val="Fuentedeprrafopredeter"/>
    <w:link w:val="Bullets"/>
    <w:rsid w:val="00911E05"/>
    <w:rPr>
      <w:rFonts w:ascii="Candara" w:hAnsi="Candara"/>
      <w:color w:val="3B3838" w:themeColor="background2" w:themeShade="40"/>
      <w:sz w:val="22"/>
      <w:szCs w:val="22"/>
    </w:rPr>
  </w:style>
  <w:style w:type="paragraph" w:customStyle="1" w:styleId="titulodocumento">
    <w:name w:val="titulo documento"/>
    <w:basedOn w:val="Ttulo"/>
    <w:link w:val="titulodocumentoCar"/>
    <w:qFormat/>
    <w:rsid w:val="00911E05"/>
    <w:pPr>
      <w:spacing w:line="520" w:lineRule="exact"/>
      <w:jc w:val="left"/>
    </w:pPr>
    <w:rPr>
      <w:rFonts w:ascii="Candara" w:hAnsi="Candara" w:cs="Arial"/>
      <w:b/>
      <w:bCs/>
      <w:sz w:val="48"/>
      <w:szCs w:val="36"/>
    </w:rPr>
  </w:style>
  <w:style w:type="character" w:customStyle="1" w:styleId="titulodocumentoCar">
    <w:name w:val="titulo documento Car"/>
    <w:basedOn w:val="TtuloCar"/>
    <w:link w:val="titulodocumento"/>
    <w:rsid w:val="00911E05"/>
    <w:rPr>
      <w:rFonts w:ascii="Candara" w:eastAsiaTheme="majorEastAsia" w:hAnsi="Candara" w:cs="Arial"/>
      <w:b/>
      <w:bCs/>
      <w:color w:val="3B3838" w:themeColor="background2" w:themeShade="40"/>
      <w:spacing w:val="-10"/>
      <w:kern w:val="28"/>
      <w:sz w:val="48"/>
      <w:szCs w:val="36"/>
      <w:lang w:eastAsia="es-ES_tradnl"/>
    </w:rPr>
  </w:style>
  <w:style w:type="numbering" w:customStyle="1" w:styleId="Listaactual1">
    <w:name w:val="Lista actual1"/>
    <w:uiPriority w:val="99"/>
    <w:rsid w:val="00911E05"/>
    <w:pPr>
      <w:numPr>
        <w:numId w:val="3"/>
      </w:numPr>
    </w:pPr>
  </w:style>
  <w:style w:type="paragraph" w:styleId="Prrafodelista">
    <w:name w:val="List Paragraph"/>
    <w:aliases w:val="LISTA,Párrafo de lista2,Ha,Resume Title,HOJA,Colorful List Accent 1,Lista vistosa - Énfasis 11,Colorful List - Accent 11,Párrafo de lista (analisis predial),Colorful List - Accent 111,titulo 3,Bolita,BOLA,BOLADEF,Título 2.,Fluvial1"/>
    <w:basedOn w:val="Normal"/>
    <w:link w:val="PrrafodelistaCar"/>
    <w:uiPriority w:val="34"/>
    <w:qFormat/>
    <w:rsid w:val="00911E05"/>
    <w:pPr>
      <w:ind w:left="720"/>
      <w:contextualSpacing/>
    </w:pPr>
    <w:rPr>
      <w:rFonts w:eastAsia="Candara" w:cs="Candara"/>
      <w:szCs w:val="20"/>
      <w:lang w:val="es-419" w:eastAsia="es-CO"/>
    </w:rPr>
  </w:style>
  <w:style w:type="character" w:customStyle="1" w:styleId="PrrafodelistaCar">
    <w:name w:val="Párrafo de lista Car"/>
    <w:aliases w:val="LISTA Car,Párrafo de lista2 Car,Ha Car,Resume Title Car,HOJA Car,Colorful List Accent 1 Car,Lista vistosa - Énfasis 11 Car,Colorful List - Accent 11 Car,Párrafo de lista (analisis predial) Car,Colorful List - Accent 111 Car,BOLA Car"/>
    <w:link w:val="Prrafodelista"/>
    <w:uiPriority w:val="34"/>
    <w:qFormat/>
    <w:rsid w:val="00911E05"/>
    <w:rPr>
      <w:rFonts w:ascii="Candara" w:eastAsia="Candara" w:hAnsi="Candara" w:cs="Candara"/>
      <w:sz w:val="20"/>
      <w:szCs w:val="20"/>
      <w:lang w:val="es-419" w:eastAsia="es-CO"/>
    </w:rPr>
  </w:style>
  <w:style w:type="paragraph" w:styleId="Ttulo">
    <w:name w:val="Title"/>
    <w:basedOn w:val="Normal"/>
    <w:next w:val="Normal"/>
    <w:link w:val="TtuloCar"/>
    <w:uiPriority w:val="10"/>
    <w:qFormat/>
    <w:rsid w:val="00911E05"/>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11E05"/>
    <w:rPr>
      <w:rFonts w:asciiTheme="majorHAnsi" w:eastAsiaTheme="majorEastAsia" w:hAnsiTheme="majorHAnsi" w:cstheme="majorBidi"/>
      <w:spacing w:val="-10"/>
      <w:kern w:val="28"/>
      <w:sz w:val="56"/>
      <w:szCs w:val="56"/>
      <w:lang w:eastAsia="es-ES_tradnl"/>
    </w:rPr>
  </w:style>
  <w:style w:type="character" w:styleId="Hipervnculo">
    <w:name w:val="Hyperlink"/>
    <w:basedOn w:val="Fuentedeprrafopredeter"/>
    <w:uiPriority w:val="99"/>
    <w:unhideWhenUsed/>
    <w:rsid w:val="003102A9"/>
    <w:rPr>
      <w:color w:val="0563C1" w:themeColor="hyperlink"/>
      <w:u w:val="single"/>
    </w:rPr>
  </w:style>
  <w:style w:type="paragraph" w:styleId="Textonotapie">
    <w:name w:val="footnote text"/>
    <w:aliases w:val="texto de nota al pie,Texto nota pie Car Car Car Car Car Car Car Car,Texto nota pie Car Car Car,fn,Footnote Text Char Char Char Char Char Char,Texto nota pie Car Car Car Car Car,ft,Footnote Text Char Char,FA Fu,footnote,Texto nota pie Car1"/>
    <w:basedOn w:val="Normal"/>
    <w:link w:val="TextonotapieCar"/>
    <w:uiPriority w:val="99"/>
    <w:unhideWhenUsed/>
    <w:qFormat/>
    <w:rsid w:val="003102A9"/>
    <w:pPr>
      <w:jc w:val="left"/>
    </w:pPr>
    <w:rPr>
      <w:rFonts w:asciiTheme="minorHAnsi" w:eastAsiaTheme="minorHAnsi" w:hAnsiTheme="minorHAnsi" w:cstheme="minorBidi"/>
      <w:color w:val="595959" w:themeColor="text1" w:themeTint="A6"/>
      <w:szCs w:val="20"/>
      <w:lang w:eastAsia="en-US"/>
    </w:rPr>
  </w:style>
  <w:style w:type="character" w:customStyle="1" w:styleId="TextonotapieCar">
    <w:name w:val="Texto nota pie Car"/>
    <w:aliases w:val="texto de nota al pie Car,Texto nota pie Car Car Car Car Car Car Car Car Car,Texto nota pie Car Car Car Car,fn Car,Footnote Text Char Char Char Char Char Char Car,Texto nota pie Car Car Car Car Car Car,ft Car,FA Fu Car,footnote Car"/>
    <w:basedOn w:val="Fuentedeprrafopredeter"/>
    <w:link w:val="Textonotapie"/>
    <w:uiPriority w:val="99"/>
    <w:rsid w:val="003102A9"/>
    <w:rPr>
      <w:color w:val="595959" w:themeColor="text1" w:themeTint="A6"/>
      <w:sz w:val="22"/>
      <w:szCs w:val="20"/>
    </w:rPr>
  </w:style>
  <w:style w:type="character" w:styleId="Refdenotaalpie">
    <w:name w:val="footnote reference"/>
    <w:aliases w:val="referencia nota al pie,Nota de pie,Texto nota al pie,BVI fnr,Texto de nota al pie,Ref. de nota al pie2,Fußnotenzeichen DISS,16 Point,Superscript 6 Point,ftref,Ref,de nota al pie,Footnote symbol,Footnote,FC,Footnote Reference 2,normal"/>
    <w:basedOn w:val="Fuentedeprrafopredeter"/>
    <w:uiPriority w:val="99"/>
    <w:unhideWhenUsed/>
    <w:rsid w:val="003102A9"/>
    <w:rPr>
      <w:rFonts w:ascii="Candara" w:hAnsi="Candara"/>
      <w:sz w:val="16"/>
      <w:vertAlign w:val="superscript"/>
    </w:rPr>
  </w:style>
  <w:style w:type="paragraph" w:customStyle="1" w:styleId="subnumeros">
    <w:name w:val="sub numeros"/>
    <w:basedOn w:val="Ttulo1"/>
    <w:rsid w:val="00DC12AB"/>
    <w:pPr>
      <w:numPr>
        <w:ilvl w:val="2"/>
        <w:numId w:val="4"/>
      </w:numPr>
      <w:spacing w:line="340" w:lineRule="exact"/>
      <w:jc w:val="left"/>
    </w:pPr>
    <w:rPr>
      <w:rFonts w:cs="Times New Roman"/>
      <w:color w:val="3B3838" w:themeColor="background2" w:themeShade="40"/>
      <w:sz w:val="28"/>
      <w:szCs w:val="24"/>
      <w:lang w:val="es-419"/>
    </w:rPr>
  </w:style>
  <w:style w:type="paragraph" w:styleId="Descripcin">
    <w:name w:val="caption"/>
    <w:aliases w:val="Elementos,Car1 Car Car Car,Car Car11 Car,Epígrafe1,Car1 Car Car Car1 Car,Car1 Car Car Car1,Car Car11 Car Car,Epígrafe Car,tabla,Descripción1,caption,Titulo Tablas,Cuadros,ETC,ETC Car Car,Epigrafe Car Car,Epigrafe Car,(Gráficas,Fotos,Mapas)"/>
    <w:basedOn w:val="Normal"/>
    <w:next w:val="Normal"/>
    <w:uiPriority w:val="35"/>
    <w:unhideWhenUsed/>
    <w:qFormat/>
    <w:rsid w:val="003102A9"/>
    <w:pPr>
      <w:spacing w:after="120"/>
    </w:pPr>
    <w:rPr>
      <w:rFonts w:eastAsiaTheme="minorEastAsia" w:cstheme="minorBidi"/>
      <w:b/>
      <w:iCs/>
      <w:szCs w:val="18"/>
      <w:lang w:val="es-419" w:eastAsia="en-US"/>
    </w:rPr>
  </w:style>
  <w:style w:type="paragraph" w:styleId="NormalWeb">
    <w:name w:val="Normal (Web)"/>
    <w:basedOn w:val="Normal"/>
    <w:link w:val="NormalWebCar"/>
    <w:uiPriority w:val="99"/>
    <w:unhideWhenUsed/>
    <w:rsid w:val="003102A9"/>
    <w:pPr>
      <w:spacing w:before="100" w:beforeAutospacing="1" w:after="100" w:afterAutospacing="1"/>
    </w:pPr>
    <w:rPr>
      <w:rFonts w:eastAsia="Candara" w:cs="Candara"/>
      <w:szCs w:val="20"/>
      <w:lang w:val="es-419" w:eastAsia="es-CO"/>
    </w:rPr>
  </w:style>
  <w:style w:type="character" w:customStyle="1" w:styleId="Ttulo3Car">
    <w:name w:val="Título 3 Car"/>
    <w:basedOn w:val="Fuentedeprrafopredeter"/>
    <w:link w:val="Ttulo3"/>
    <w:uiPriority w:val="9"/>
    <w:rsid w:val="006300AC"/>
    <w:rPr>
      <w:rFonts w:ascii="Candara" w:eastAsiaTheme="majorEastAsia" w:hAnsi="Candara" w:cstheme="majorBidi"/>
      <w:b/>
      <w:color w:val="3B3838" w:themeColor="background2" w:themeShade="40"/>
      <w:sz w:val="28"/>
    </w:rPr>
  </w:style>
  <w:style w:type="character" w:customStyle="1" w:styleId="Ttulo4Car">
    <w:name w:val="Título 4 Car"/>
    <w:aliases w:val="Título 3_ Car,TITULO 4 Car"/>
    <w:basedOn w:val="Fuentedeprrafopredeter"/>
    <w:link w:val="Ttulo4"/>
    <w:uiPriority w:val="9"/>
    <w:rsid w:val="008C3A64"/>
    <w:rPr>
      <w:rFonts w:ascii="Roboto" w:eastAsiaTheme="majorEastAsia" w:hAnsi="Roboto" w:cstheme="majorBidi"/>
      <w:iCs/>
      <w:color w:val="41A4CB"/>
      <w:sz w:val="22"/>
      <w:szCs w:val="22"/>
    </w:rPr>
  </w:style>
  <w:style w:type="character" w:customStyle="1" w:styleId="Ttulo5Car">
    <w:name w:val="Título 5 Car"/>
    <w:basedOn w:val="Fuentedeprrafopredeter"/>
    <w:link w:val="Ttulo5"/>
    <w:uiPriority w:val="9"/>
    <w:rsid w:val="008C3A64"/>
    <w:rPr>
      <w:rFonts w:asciiTheme="majorHAnsi" w:eastAsiaTheme="majorEastAsia" w:hAnsiTheme="majorHAnsi" w:cstheme="majorBidi"/>
      <w:color w:val="2F5496" w:themeColor="accent1" w:themeShade="BF"/>
      <w:sz w:val="22"/>
      <w:szCs w:val="22"/>
    </w:rPr>
  </w:style>
  <w:style w:type="character" w:customStyle="1" w:styleId="Ttulo6Car">
    <w:name w:val="Título 6 Car"/>
    <w:basedOn w:val="Fuentedeprrafopredeter"/>
    <w:link w:val="Ttulo6"/>
    <w:uiPriority w:val="9"/>
    <w:rsid w:val="008C3A64"/>
    <w:rPr>
      <w:rFonts w:asciiTheme="majorHAnsi" w:eastAsiaTheme="majorEastAsia" w:hAnsiTheme="majorHAnsi" w:cstheme="majorBidi"/>
      <w:color w:val="1F3763" w:themeColor="accent1" w:themeShade="7F"/>
      <w:sz w:val="22"/>
      <w:szCs w:val="22"/>
    </w:rPr>
  </w:style>
  <w:style w:type="character" w:customStyle="1" w:styleId="Ttulo7Car">
    <w:name w:val="Título 7 Car"/>
    <w:basedOn w:val="Fuentedeprrafopredeter"/>
    <w:link w:val="Ttulo7"/>
    <w:uiPriority w:val="9"/>
    <w:rsid w:val="008C3A64"/>
    <w:rPr>
      <w:rFonts w:asciiTheme="majorHAnsi" w:eastAsiaTheme="majorEastAsia" w:hAnsiTheme="majorHAnsi" w:cstheme="majorBidi"/>
      <w:i/>
      <w:iCs/>
      <w:color w:val="1F3763" w:themeColor="accent1" w:themeShade="7F"/>
      <w:sz w:val="22"/>
      <w:szCs w:val="22"/>
    </w:rPr>
  </w:style>
  <w:style w:type="character" w:customStyle="1" w:styleId="Ttulo8Car">
    <w:name w:val="Título 8 Car"/>
    <w:basedOn w:val="Fuentedeprrafopredeter"/>
    <w:link w:val="Ttulo8"/>
    <w:uiPriority w:val="9"/>
    <w:rsid w:val="008C3A64"/>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rsid w:val="008C3A64"/>
    <w:rPr>
      <w:rFonts w:asciiTheme="majorHAnsi" w:eastAsiaTheme="majorEastAsia" w:hAnsiTheme="majorHAnsi" w:cstheme="majorBidi"/>
      <w:i/>
      <w:iCs/>
      <w:color w:val="272727" w:themeColor="text1" w:themeTint="D8"/>
      <w:sz w:val="21"/>
      <w:szCs w:val="21"/>
    </w:rPr>
  </w:style>
  <w:style w:type="paragraph" w:customStyle="1" w:styleId="Estilo3">
    <w:name w:val="Estilo3"/>
    <w:basedOn w:val="Normal"/>
    <w:qFormat/>
    <w:rsid w:val="008C3A64"/>
    <w:pPr>
      <w:keepNext/>
      <w:spacing w:line="480" w:lineRule="auto"/>
      <w:jc w:val="center"/>
    </w:pPr>
    <w:rPr>
      <w:rFonts w:eastAsiaTheme="minorHAnsi" w:cstheme="minorBidi"/>
      <w:b/>
      <w:color w:val="C00000"/>
      <w:lang w:eastAsia="en-US"/>
    </w:rPr>
  </w:style>
  <w:style w:type="paragraph" w:customStyle="1" w:styleId="subsub">
    <w:name w:val="subsub"/>
    <w:basedOn w:val="Ttulo1"/>
    <w:rsid w:val="008C3A64"/>
    <w:pPr>
      <w:spacing w:line="340" w:lineRule="exact"/>
      <w:jc w:val="left"/>
    </w:pPr>
    <w:rPr>
      <w:color w:val="3B3838" w:themeColor="background2" w:themeShade="40"/>
      <w:sz w:val="28"/>
      <w:lang w:val="es-ES"/>
    </w:rPr>
  </w:style>
  <w:style w:type="character" w:customStyle="1" w:styleId="Estilo4">
    <w:name w:val="Estilo4"/>
    <w:basedOn w:val="Fuentedeprrafopredeter"/>
    <w:uiPriority w:val="1"/>
    <w:qFormat/>
    <w:rsid w:val="008C3A64"/>
    <w:rPr>
      <w:rFonts w:ascii="Candara" w:hAnsi="Candara"/>
      <w:b/>
      <w:color w:val="3B3838" w:themeColor="background2" w:themeShade="40"/>
      <w:sz w:val="28"/>
      <w:lang w:val="es-ES"/>
    </w:rPr>
  </w:style>
  <w:style w:type="paragraph" w:customStyle="1" w:styleId="Contenidotablas">
    <w:name w:val="Contenido tablas"/>
    <w:basedOn w:val="Normal"/>
    <w:rsid w:val="008C3A64"/>
    <w:pPr>
      <w:pBdr>
        <w:top w:val="nil"/>
        <w:left w:val="nil"/>
        <w:bottom w:val="nil"/>
        <w:right w:val="nil"/>
        <w:between w:val="nil"/>
      </w:pBdr>
      <w:tabs>
        <w:tab w:val="right" w:pos="8828"/>
      </w:tabs>
      <w:spacing w:line="240" w:lineRule="exact"/>
    </w:pPr>
    <w:rPr>
      <w:rFonts w:eastAsia="Calibri" w:cs="Calibri"/>
      <w:color w:val="262626" w:themeColor="text1" w:themeTint="D9"/>
      <w:lang w:val="es-ES_tradnl" w:eastAsia="es-ES"/>
    </w:rPr>
  </w:style>
  <w:style w:type="paragraph" w:customStyle="1" w:styleId="Estilo6">
    <w:name w:val="Estilo6"/>
    <w:basedOn w:val="Ttulo1"/>
    <w:qFormat/>
    <w:rsid w:val="008C3A64"/>
    <w:pPr>
      <w:spacing w:line="340" w:lineRule="exact"/>
    </w:pPr>
    <w:rPr>
      <w:color w:val="3B3838" w:themeColor="background2" w:themeShade="40"/>
      <w:sz w:val="28"/>
    </w:rPr>
  </w:style>
  <w:style w:type="paragraph" w:customStyle="1" w:styleId="Biblio">
    <w:name w:val="Biblio"/>
    <w:basedOn w:val="Normal"/>
    <w:qFormat/>
    <w:rsid w:val="008C3A64"/>
    <w:pPr>
      <w:ind w:left="567" w:hanging="567"/>
      <w:jc w:val="left"/>
    </w:pPr>
    <w:rPr>
      <w:rFonts w:eastAsiaTheme="minorHAnsi" w:cstheme="minorBidi"/>
      <w:lang w:eastAsia="en-US"/>
    </w:rPr>
  </w:style>
  <w:style w:type="paragraph" w:customStyle="1" w:styleId="ffigura">
    <w:name w:val="ffigura"/>
    <w:basedOn w:val="Normal"/>
    <w:link w:val="ffiguraCar"/>
    <w:qFormat/>
    <w:rsid w:val="008C3A64"/>
    <w:pPr>
      <w:spacing w:line="220" w:lineRule="exact"/>
      <w:jc w:val="center"/>
    </w:pPr>
    <w:rPr>
      <w:rFonts w:eastAsiaTheme="minorHAnsi"/>
      <w:b/>
      <w:bCs/>
      <w:sz w:val="18"/>
      <w:szCs w:val="16"/>
      <w:lang w:eastAsia="pt-BR"/>
    </w:rPr>
  </w:style>
  <w:style w:type="paragraph" w:customStyle="1" w:styleId="Nota">
    <w:name w:val="Nota"/>
    <w:basedOn w:val="Normal"/>
    <w:qFormat/>
    <w:rsid w:val="008C3A64"/>
    <w:pPr>
      <w:jc w:val="center"/>
    </w:pPr>
    <w:rPr>
      <w:rFonts w:eastAsiaTheme="minorHAnsi" w:cstheme="minorBidi"/>
      <w:sz w:val="16"/>
      <w:szCs w:val="16"/>
      <w:lang w:eastAsia="en-US"/>
    </w:rPr>
  </w:style>
  <w:style w:type="paragraph" w:customStyle="1" w:styleId="Grafico">
    <w:name w:val="Grafico"/>
    <w:basedOn w:val="Normal"/>
    <w:qFormat/>
    <w:rsid w:val="008C3A64"/>
    <w:pPr>
      <w:jc w:val="center"/>
    </w:pPr>
    <w:rPr>
      <w:rFonts w:eastAsiaTheme="minorHAnsi" w:cstheme="minorBidi"/>
      <w:b/>
      <w:szCs w:val="22"/>
      <w:lang w:eastAsia="en-US"/>
    </w:rPr>
  </w:style>
  <w:style w:type="character" w:styleId="Mencinsinresolver">
    <w:name w:val="Unresolved Mention"/>
    <w:basedOn w:val="Fuentedeprrafopredeter"/>
    <w:uiPriority w:val="99"/>
    <w:unhideWhenUsed/>
    <w:rsid w:val="008C3A64"/>
    <w:rPr>
      <w:color w:val="605E5C"/>
      <w:shd w:val="clear" w:color="auto" w:fill="E1DFDD"/>
    </w:rPr>
  </w:style>
  <w:style w:type="character" w:styleId="Textoennegrita">
    <w:name w:val="Strong"/>
    <w:basedOn w:val="Fuentedeprrafopredeter"/>
    <w:uiPriority w:val="22"/>
    <w:qFormat/>
    <w:rsid w:val="008C3A64"/>
    <w:rPr>
      <w:rFonts w:ascii="Candara" w:hAnsi="Candara"/>
      <w:b/>
      <w:bCs/>
      <w:i w:val="0"/>
      <w:color w:val="C00000"/>
      <w:sz w:val="22"/>
    </w:rPr>
  </w:style>
  <w:style w:type="paragraph" w:customStyle="1" w:styleId="Subtitulos">
    <w:name w:val="Subtitulos"/>
    <w:basedOn w:val="Normal"/>
    <w:link w:val="SubtitulosCar"/>
    <w:qFormat/>
    <w:rsid w:val="008C3A64"/>
    <w:pPr>
      <w:numPr>
        <w:numId w:val="5"/>
      </w:numPr>
      <w:spacing w:before="240" w:after="240"/>
      <w:contextualSpacing/>
    </w:pPr>
    <w:rPr>
      <w:rFonts w:ascii="Roboto" w:eastAsia="Calibri" w:hAnsi="Roboto"/>
      <w:color w:val="E68422"/>
      <w:szCs w:val="20"/>
      <w:lang w:eastAsia="en-US"/>
    </w:rPr>
  </w:style>
  <w:style w:type="paragraph" w:customStyle="1" w:styleId="sub-sub">
    <w:name w:val="sub-sub"/>
    <w:basedOn w:val="Normal"/>
    <w:qFormat/>
    <w:rsid w:val="008C3A64"/>
    <w:pPr>
      <w:spacing w:line="340" w:lineRule="exact"/>
    </w:pPr>
    <w:rPr>
      <w:rFonts w:eastAsiaTheme="minorHAnsi" w:cstheme="minorBidi"/>
      <w:b/>
      <w:sz w:val="28"/>
      <w:lang w:eastAsia="en-US"/>
    </w:rPr>
  </w:style>
  <w:style w:type="character" w:customStyle="1" w:styleId="SubtitulosCar">
    <w:name w:val="Subtitulos Car"/>
    <w:basedOn w:val="Fuentedeprrafopredeter"/>
    <w:link w:val="Subtitulos"/>
    <w:rsid w:val="008C3A64"/>
    <w:rPr>
      <w:rFonts w:ascii="Roboto" w:eastAsia="Calibri" w:hAnsi="Roboto" w:cs="Times New Roman"/>
      <w:color w:val="E68422"/>
      <w:sz w:val="22"/>
      <w:szCs w:val="20"/>
    </w:rPr>
  </w:style>
  <w:style w:type="table" w:styleId="Tablaconcuadrculaclara">
    <w:name w:val="Grid Table Light"/>
    <w:basedOn w:val="Tablanormal"/>
    <w:uiPriority w:val="40"/>
    <w:rsid w:val="008C3A64"/>
    <w:rPr>
      <w:sz w:val="22"/>
      <w:szCs w:val="22"/>
      <w:lang w:val="es-C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inespaciado">
    <w:name w:val="No Spacing"/>
    <w:link w:val="SinespaciadoCar"/>
    <w:uiPriority w:val="1"/>
    <w:rsid w:val="008C3A64"/>
    <w:rPr>
      <w:rFonts w:ascii="Helvetica" w:hAnsi="Helvetica"/>
      <w:sz w:val="22"/>
      <w:szCs w:val="22"/>
    </w:rPr>
  </w:style>
  <w:style w:type="paragraph" w:customStyle="1" w:styleId="Piedefigura">
    <w:name w:val="Pie de figura"/>
    <w:basedOn w:val="Normal"/>
    <w:next w:val="Normal"/>
    <w:link w:val="PiedefiguraCar"/>
    <w:rsid w:val="008C3A64"/>
    <w:pPr>
      <w:spacing w:after="240" w:line="276" w:lineRule="auto"/>
      <w:jc w:val="right"/>
    </w:pPr>
    <w:rPr>
      <w:rFonts w:ascii="Roboto" w:eastAsia="Calibri" w:hAnsi="Roboto"/>
      <w:color w:val="808080" w:themeColor="background1" w:themeShade="80"/>
      <w:sz w:val="18"/>
      <w:szCs w:val="18"/>
      <w:lang w:eastAsia="en-US"/>
    </w:rPr>
  </w:style>
  <w:style w:type="character" w:customStyle="1" w:styleId="PiedefiguraCar">
    <w:name w:val="Pie de figura Car"/>
    <w:link w:val="Piedefigura"/>
    <w:rsid w:val="008C3A64"/>
    <w:rPr>
      <w:rFonts w:ascii="Roboto" w:eastAsia="Calibri" w:hAnsi="Roboto" w:cs="Times New Roman"/>
      <w:color w:val="808080" w:themeColor="background1" w:themeShade="80"/>
      <w:sz w:val="18"/>
      <w:szCs w:val="18"/>
    </w:rPr>
  </w:style>
  <w:style w:type="paragraph" w:styleId="TtuloTDC">
    <w:name w:val="TOC Heading"/>
    <w:basedOn w:val="Ttulo1"/>
    <w:next w:val="Normal"/>
    <w:uiPriority w:val="39"/>
    <w:unhideWhenUsed/>
    <w:qFormat/>
    <w:rsid w:val="008C3A64"/>
    <w:pPr>
      <w:numPr>
        <w:numId w:val="15"/>
      </w:numPr>
      <w:spacing w:before="240" w:line="240" w:lineRule="auto"/>
      <w:jc w:val="left"/>
      <w:outlineLvl w:val="9"/>
    </w:pPr>
    <w:rPr>
      <w:rFonts w:ascii="Roboto" w:hAnsi="Roboto"/>
      <w:sz w:val="36"/>
      <w:lang w:val="es-ES" w:eastAsia="es-CO"/>
    </w:rPr>
  </w:style>
  <w:style w:type="paragraph" w:styleId="TDC1">
    <w:name w:val="toc 1"/>
    <w:basedOn w:val="Normal"/>
    <w:next w:val="Normal"/>
    <w:autoRedefine/>
    <w:uiPriority w:val="39"/>
    <w:unhideWhenUsed/>
    <w:rsid w:val="008C3A64"/>
    <w:pPr>
      <w:spacing w:before="360"/>
      <w:jc w:val="left"/>
    </w:pPr>
    <w:rPr>
      <w:rFonts w:asciiTheme="majorHAnsi" w:hAnsiTheme="majorHAnsi" w:cstheme="majorHAnsi"/>
      <w:b/>
      <w:bCs/>
      <w:caps/>
      <w:sz w:val="24"/>
    </w:rPr>
  </w:style>
  <w:style w:type="paragraph" w:styleId="TDC2">
    <w:name w:val="toc 2"/>
    <w:basedOn w:val="Normal"/>
    <w:next w:val="Normal"/>
    <w:link w:val="TDC2Car"/>
    <w:autoRedefine/>
    <w:uiPriority w:val="39"/>
    <w:unhideWhenUsed/>
    <w:rsid w:val="008C3A64"/>
    <w:pPr>
      <w:spacing w:before="240"/>
      <w:jc w:val="left"/>
    </w:pPr>
    <w:rPr>
      <w:rFonts w:asciiTheme="minorHAnsi" w:hAnsiTheme="minorHAnsi" w:cstheme="minorHAnsi"/>
      <w:b/>
      <w:bCs/>
      <w:sz w:val="20"/>
      <w:szCs w:val="20"/>
    </w:rPr>
  </w:style>
  <w:style w:type="paragraph" w:styleId="TDC3">
    <w:name w:val="toc 3"/>
    <w:basedOn w:val="Normal"/>
    <w:next w:val="Normal"/>
    <w:autoRedefine/>
    <w:uiPriority w:val="39"/>
    <w:unhideWhenUsed/>
    <w:rsid w:val="008C3A64"/>
    <w:pPr>
      <w:ind w:left="220"/>
      <w:jc w:val="left"/>
    </w:pPr>
    <w:rPr>
      <w:rFonts w:asciiTheme="minorHAnsi" w:hAnsiTheme="minorHAnsi" w:cstheme="minorHAnsi"/>
      <w:sz w:val="20"/>
      <w:szCs w:val="20"/>
    </w:rPr>
  </w:style>
  <w:style w:type="character" w:styleId="Refdecomentario">
    <w:name w:val="annotation reference"/>
    <w:basedOn w:val="Fuentedeprrafopredeter"/>
    <w:uiPriority w:val="99"/>
    <w:semiHidden/>
    <w:unhideWhenUsed/>
    <w:rsid w:val="008C3A64"/>
    <w:rPr>
      <w:sz w:val="16"/>
      <w:szCs w:val="16"/>
    </w:rPr>
  </w:style>
  <w:style w:type="paragraph" w:styleId="Textocomentario">
    <w:name w:val="annotation text"/>
    <w:basedOn w:val="Normal"/>
    <w:link w:val="TextocomentarioCar"/>
    <w:uiPriority w:val="99"/>
    <w:unhideWhenUsed/>
    <w:rsid w:val="008C3A64"/>
    <w:rPr>
      <w:szCs w:val="20"/>
    </w:rPr>
  </w:style>
  <w:style w:type="character" w:customStyle="1" w:styleId="TextocomentarioCar">
    <w:name w:val="Texto comentario Car"/>
    <w:basedOn w:val="Fuentedeprrafopredeter"/>
    <w:link w:val="Textocomentario"/>
    <w:uiPriority w:val="99"/>
    <w:rsid w:val="008C3A64"/>
    <w:rPr>
      <w:rFonts w:ascii="Candara" w:eastAsia="Times New Roman" w:hAnsi="Candara" w:cs="Times New Roman"/>
      <w:sz w:val="20"/>
      <w:szCs w:val="20"/>
      <w:lang w:eastAsia="es-ES_tradnl"/>
    </w:rPr>
  </w:style>
  <w:style w:type="paragraph" w:styleId="Asuntodelcomentario">
    <w:name w:val="annotation subject"/>
    <w:basedOn w:val="Normal"/>
    <w:next w:val="Normal"/>
    <w:link w:val="AsuntodelcomentarioCar"/>
    <w:uiPriority w:val="99"/>
    <w:semiHidden/>
    <w:unhideWhenUsed/>
    <w:rsid w:val="008C3A64"/>
    <w:rPr>
      <w:rFonts w:ascii="Roboto" w:eastAsiaTheme="minorHAnsi" w:hAnsi="Roboto" w:cstheme="minorBidi"/>
      <w:b/>
      <w:bCs/>
      <w:color w:val="595959" w:themeColor="text1" w:themeTint="A6"/>
      <w:szCs w:val="20"/>
      <w:lang w:eastAsia="en-US"/>
    </w:rPr>
  </w:style>
  <w:style w:type="character" w:customStyle="1" w:styleId="AsuntodelcomentarioCar">
    <w:name w:val="Asunto del comentario Car"/>
    <w:basedOn w:val="TextocomentarioCar"/>
    <w:link w:val="Asuntodelcomentario"/>
    <w:uiPriority w:val="99"/>
    <w:semiHidden/>
    <w:rsid w:val="008C3A64"/>
    <w:rPr>
      <w:rFonts w:ascii="Roboto" w:eastAsia="Times New Roman" w:hAnsi="Roboto" w:cs="Times New Roman"/>
      <w:b/>
      <w:bCs/>
      <w:color w:val="595959" w:themeColor="text1" w:themeTint="A6"/>
      <w:sz w:val="22"/>
      <w:szCs w:val="20"/>
      <w:lang w:eastAsia="es-ES_tradnl"/>
    </w:rPr>
  </w:style>
  <w:style w:type="paragraph" w:styleId="Textodeglobo">
    <w:name w:val="Balloon Text"/>
    <w:basedOn w:val="Normal"/>
    <w:link w:val="TextodegloboCar"/>
    <w:uiPriority w:val="99"/>
    <w:semiHidden/>
    <w:unhideWhenUsed/>
    <w:rsid w:val="008C3A64"/>
    <w:rPr>
      <w:rFonts w:ascii="Segoe UI" w:eastAsiaTheme="minorHAnsi" w:hAnsi="Segoe UI" w:cs="Segoe UI"/>
      <w:color w:val="595959" w:themeColor="text1" w:themeTint="A6"/>
      <w:sz w:val="18"/>
      <w:szCs w:val="18"/>
      <w:lang w:eastAsia="en-US"/>
    </w:rPr>
  </w:style>
  <w:style w:type="character" w:customStyle="1" w:styleId="TextodegloboCar">
    <w:name w:val="Texto de globo Car"/>
    <w:basedOn w:val="Fuentedeprrafopredeter"/>
    <w:link w:val="Textodeglobo"/>
    <w:uiPriority w:val="99"/>
    <w:semiHidden/>
    <w:rsid w:val="008C3A64"/>
    <w:rPr>
      <w:rFonts w:ascii="Segoe UI" w:hAnsi="Segoe UI" w:cs="Segoe UI"/>
      <w:color w:val="595959" w:themeColor="text1" w:themeTint="A6"/>
      <w:sz w:val="18"/>
      <w:szCs w:val="18"/>
    </w:rPr>
  </w:style>
  <w:style w:type="table" w:styleId="Tablanormal3">
    <w:name w:val="Plain Table 3"/>
    <w:basedOn w:val="Tablanormal"/>
    <w:uiPriority w:val="43"/>
    <w:rsid w:val="008C3A64"/>
    <w:rPr>
      <w:sz w:val="22"/>
      <w:szCs w:val="22"/>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5">
    <w:name w:val="Plain Table 5"/>
    <w:basedOn w:val="Tablanormal"/>
    <w:uiPriority w:val="45"/>
    <w:rsid w:val="008C3A64"/>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ointroductoriottulo1">
    <w:name w:val="Texto introductorio título 1"/>
    <w:basedOn w:val="Normal"/>
    <w:link w:val="Textointroductoriottulo1Car"/>
    <w:qFormat/>
    <w:rsid w:val="008C3A64"/>
    <w:pPr>
      <w:jc w:val="center"/>
    </w:pPr>
    <w:rPr>
      <w:rFonts w:ascii="D-DIN Condensed" w:eastAsiaTheme="minorHAnsi" w:hAnsi="D-DIN Condensed" w:cstheme="minorBidi"/>
      <w:b/>
      <w:color w:val="3494BA"/>
      <w:sz w:val="24"/>
      <w:szCs w:val="22"/>
      <w:lang w:eastAsia="en-US"/>
    </w:rPr>
  </w:style>
  <w:style w:type="character" w:customStyle="1" w:styleId="Textointroductoriottulo1Car">
    <w:name w:val="Texto introductorio título 1 Car"/>
    <w:basedOn w:val="Fuentedeprrafopredeter"/>
    <w:link w:val="Textointroductoriottulo1"/>
    <w:rsid w:val="008C3A64"/>
    <w:rPr>
      <w:rFonts w:ascii="D-DIN Condensed" w:hAnsi="D-DIN Condensed"/>
      <w:b/>
      <w:color w:val="3494BA"/>
      <w:szCs w:val="22"/>
    </w:rPr>
  </w:style>
  <w:style w:type="paragraph" w:customStyle="1" w:styleId="Default">
    <w:name w:val="Default"/>
    <w:rsid w:val="008C3A64"/>
    <w:pPr>
      <w:autoSpaceDE w:val="0"/>
      <w:autoSpaceDN w:val="0"/>
      <w:adjustRightInd w:val="0"/>
    </w:pPr>
    <w:rPr>
      <w:rFonts w:ascii="Arial" w:hAnsi="Arial" w:cs="Arial"/>
      <w:color w:val="000000"/>
    </w:rPr>
  </w:style>
  <w:style w:type="table" w:styleId="Tablanormal2">
    <w:name w:val="Plain Table 2"/>
    <w:basedOn w:val="Tablanormal"/>
    <w:uiPriority w:val="42"/>
    <w:rsid w:val="008C3A64"/>
    <w:rPr>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SubrayadoACar">
    <w:name w:val="Subrayado A Car"/>
    <w:basedOn w:val="Fuentedeprrafopredeter"/>
    <w:link w:val="SubrayadoA"/>
    <w:locked/>
    <w:rsid w:val="008C3A64"/>
    <w:rPr>
      <w:rFonts w:ascii="Roboto" w:eastAsia="MS Gothic" w:hAnsi="Roboto" w:cs="Times New Roman"/>
      <w:b/>
      <w:color w:val="FFFFFF" w:themeColor="background1"/>
      <w:szCs w:val="26"/>
      <w:shd w:val="clear" w:color="auto" w:fill="10069F"/>
      <w:lang w:val="es-ES"/>
    </w:rPr>
  </w:style>
  <w:style w:type="paragraph" w:customStyle="1" w:styleId="SubrayadoA">
    <w:name w:val="Subrayado A"/>
    <w:basedOn w:val="Ttulo3"/>
    <w:link w:val="SubrayadoACar"/>
    <w:rsid w:val="008C3A64"/>
    <w:pPr>
      <w:numPr>
        <w:ilvl w:val="2"/>
        <w:numId w:val="15"/>
      </w:numPr>
      <w:shd w:val="clear" w:color="auto" w:fill="10069F"/>
      <w:spacing w:before="240"/>
      <w:contextualSpacing/>
      <w:jc w:val="left"/>
    </w:pPr>
    <w:rPr>
      <w:rFonts w:eastAsia="MS Gothic" w:cs="Times New Roman"/>
      <w:b w:val="0"/>
      <w:color w:val="FFFFFF" w:themeColor="background1"/>
      <w:szCs w:val="26"/>
      <w:lang w:val="es-ES"/>
    </w:rPr>
  </w:style>
  <w:style w:type="paragraph" w:styleId="Bibliografa">
    <w:name w:val="Bibliography"/>
    <w:basedOn w:val="Normal"/>
    <w:next w:val="Normal"/>
    <w:uiPriority w:val="37"/>
    <w:unhideWhenUsed/>
    <w:rsid w:val="008C3A64"/>
    <w:pPr>
      <w:spacing w:after="160"/>
      <w:jc w:val="left"/>
    </w:pPr>
    <w:rPr>
      <w:rFonts w:asciiTheme="minorHAnsi" w:eastAsiaTheme="minorHAnsi" w:hAnsiTheme="minorHAnsi" w:cstheme="minorBidi"/>
      <w:color w:val="595959" w:themeColor="text1" w:themeTint="A6"/>
      <w:szCs w:val="22"/>
      <w:lang w:eastAsia="en-US"/>
    </w:rPr>
  </w:style>
  <w:style w:type="paragraph" w:styleId="Tabladeilustraciones">
    <w:name w:val="table of figures"/>
    <w:aliases w:val="Tabla de Mapas"/>
    <w:basedOn w:val="Normal"/>
    <w:next w:val="Normal"/>
    <w:uiPriority w:val="99"/>
    <w:unhideWhenUsed/>
    <w:rsid w:val="008C3A64"/>
    <w:rPr>
      <w:rFonts w:ascii="Roboto" w:eastAsiaTheme="minorHAnsi" w:hAnsi="Roboto" w:cstheme="minorBidi"/>
      <w:color w:val="595959" w:themeColor="text1" w:themeTint="A6"/>
      <w:szCs w:val="22"/>
      <w:lang w:eastAsia="en-US"/>
    </w:rPr>
  </w:style>
  <w:style w:type="character" w:customStyle="1" w:styleId="SinespaciadoCar">
    <w:name w:val="Sin espaciado Car"/>
    <w:basedOn w:val="Fuentedeprrafopredeter"/>
    <w:link w:val="Sinespaciado"/>
    <w:uiPriority w:val="1"/>
    <w:rsid w:val="008C3A64"/>
    <w:rPr>
      <w:rFonts w:ascii="Helvetica" w:hAnsi="Helvetica"/>
      <w:sz w:val="22"/>
      <w:szCs w:val="22"/>
    </w:rPr>
  </w:style>
  <w:style w:type="character" w:customStyle="1" w:styleId="Mencinsinresolver1">
    <w:name w:val="Mención sin resolver1"/>
    <w:basedOn w:val="Fuentedeprrafopredeter"/>
    <w:uiPriority w:val="99"/>
    <w:unhideWhenUsed/>
    <w:rsid w:val="008C3A64"/>
    <w:rPr>
      <w:color w:val="808080"/>
      <w:shd w:val="clear" w:color="auto" w:fill="E6E6E6"/>
    </w:rPr>
  </w:style>
  <w:style w:type="paragraph" w:customStyle="1" w:styleId="TextoCES">
    <w:name w:val="Texto CES"/>
    <w:basedOn w:val="Normal"/>
    <w:rsid w:val="008C3A64"/>
    <w:pPr>
      <w:numPr>
        <w:numId w:val="6"/>
      </w:numPr>
      <w:spacing w:after="160"/>
    </w:pPr>
    <w:rPr>
      <w:rFonts w:asciiTheme="minorHAnsi" w:eastAsiaTheme="minorHAnsi" w:hAnsiTheme="minorHAnsi" w:cstheme="minorBidi"/>
      <w:color w:val="0D0D0D" w:themeColor="text1" w:themeTint="F2"/>
      <w:szCs w:val="22"/>
      <w:lang w:val="en-US" w:eastAsia="en-US"/>
    </w:rPr>
  </w:style>
  <w:style w:type="paragraph" w:customStyle="1" w:styleId="FiguraCES">
    <w:name w:val="Figura (CES)"/>
    <w:basedOn w:val="TextoCES"/>
    <w:link w:val="FiguraCESCar"/>
    <w:rsid w:val="008C3A64"/>
    <w:pPr>
      <w:jc w:val="center"/>
    </w:pPr>
    <w:rPr>
      <w:color w:val="7F7F7F" w:themeColor="text1" w:themeTint="80"/>
      <w:sz w:val="18"/>
      <w:lang w:val="es-MX"/>
    </w:rPr>
  </w:style>
  <w:style w:type="character" w:customStyle="1" w:styleId="FiguraCESCar">
    <w:name w:val="Figura (CES) Car"/>
    <w:basedOn w:val="Fuentedeprrafopredeter"/>
    <w:link w:val="FiguraCES"/>
    <w:rsid w:val="008C3A64"/>
    <w:rPr>
      <w:color w:val="7F7F7F" w:themeColor="text1" w:themeTint="80"/>
      <w:sz w:val="18"/>
      <w:szCs w:val="22"/>
      <w:lang w:val="es-MX"/>
    </w:rPr>
  </w:style>
  <w:style w:type="paragraph" w:customStyle="1" w:styleId="TablaCES">
    <w:name w:val="Tabla (CES)"/>
    <w:basedOn w:val="Normal"/>
    <w:link w:val="TablaCESCar"/>
    <w:rsid w:val="008C3A64"/>
    <w:pPr>
      <w:spacing w:after="160"/>
      <w:jc w:val="center"/>
    </w:pPr>
    <w:rPr>
      <w:rFonts w:asciiTheme="minorHAnsi" w:eastAsiaTheme="minorHAnsi" w:hAnsiTheme="minorHAnsi" w:cstheme="minorBidi"/>
      <w:color w:val="7F7F7F" w:themeColor="text1" w:themeTint="80"/>
      <w:sz w:val="18"/>
      <w:szCs w:val="22"/>
      <w:lang w:val="en-US" w:eastAsia="en-US"/>
    </w:rPr>
  </w:style>
  <w:style w:type="character" w:customStyle="1" w:styleId="TablaCESCar">
    <w:name w:val="Tabla (CES) Car"/>
    <w:basedOn w:val="Fuentedeprrafopredeter"/>
    <w:link w:val="TablaCES"/>
    <w:rsid w:val="008C3A64"/>
    <w:rPr>
      <w:color w:val="7F7F7F" w:themeColor="text1" w:themeTint="80"/>
      <w:sz w:val="18"/>
      <w:szCs w:val="22"/>
      <w:lang w:val="en-US"/>
    </w:rPr>
  </w:style>
  <w:style w:type="paragraph" w:styleId="Listaconvietas2">
    <w:name w:val="List Bullet 2"/>
    <w:basedOn w:val="Normal"/>
    <w:uiPriority w:val="99"/>
    <w:unhideWhenUsed/>
    <w:rsid w:val="008C3A64"/>
    <w:pPr>
      <w:numPr>
        <w:numId w:val="7"/>
      </w:numPr>
      <w:spacing w:before="60" w:after="120"/>
      <w:contextualSpacing/>
    </w:pPr>
    <w:rPr>
      <w:rFonts w:ascii="Arial" w:eastAsia="Calibri" w:hAnsi="Arial"/>
      <w:color w:val="595959" w:themeColor="text1" w:themeTint="A6"/>
      <w:szCs w:val="22"/>
      <w:lang w:val="es-ES_tradnl" w:eastAsia="en-US"/>
    </w:rPr>
  </w:style>
  <w:style w:type="table" w:styleId="Tablanormal4">
    <w:name w:val="Plain Table 4"/>
    <w:basedOn w:val="Tablanormal"/>
    <w:uiPriority w:val="44"/>
    <w:rsid w:val="008C3A64"/>
    <w:rPr>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fasis">
    <w:name w:val="Emphasis"/>
    <w:basedOn w:val="Fuentedeprrafopredeter"/>
    <w:uiPriority w:val="20"/>
    <w:qFormat/>
    <w:rsid w:val="008C3A64"/>
    <w:rPr>
      <w:i/>
      <w:iCs/>
    </w:rPr>
  </w:style>
  <w:style w:type="paragraph" w:customStyle="1" w:styleId="111Ttulo3">
    <w:name w:val="1.1.1 Título 3"/>
    <w:basedOn w:val="Normal"/>
    <w:rsid w:val="008C3A64"/>
    <w:pPr>
      <w:spacing w:after="200" w:line="276" w:lineRule="auto"/>
    </w:pPr>
    <w:rPr>
      <w:rFonts w:ascii="Calibri" w:eastAsia="Calibri" w:hAnsi="Calibri"/>
      <w:color w:val="595959" w:themeColor="text1" w:themeTint="A6"/>
      <w:szCs w:val="20"/>
      <w:lang w:val="es-ES" w:eastAsia="en-US"/>
    </w:rPr>
  </w:style>
  <w:style w:type="table" w:customStyle="1" w:styleId="Tablaelegante1">
    <w:name w:val="Tabla elegante1"/>
    <w:basedOn w:val="Tablanormal"/>
    <w:next w:val="Tablaelegante"/>
    <w:uiPriority w:val="99"/>
    <w:semiHidden/>
    <w:unhideWhenUsed/>
    <w:rsid w:val="008C3A64"/>
    <w:pPr>
      <w:spacing w:before="60" w:after="120"/>
      <w:jc w:val="both"/>
    </w:pPr>
    <w:rPr>
      <w:sz w:val="22"/>
      <w:szCs w:val="22"/>
      <w:lang w:val="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Sombreadoclaro-nfasis5">
    <w:name w:val="Light Shading Accent 5"/>
    <w:basedOn w:val="Tablanormal"/>
    <w:uiPriority w:val="60"/>
    <w:rsid w:val="008C3A64"/>
    <w:rPr>
      <w:color w:val="2E74B5" w:themeColor="accent5" w:themeShade="BF"/>
      <w:sz w:val="22"/>
      <w:szCs w:val="22"/>
      <w:lang w:val="es-ES_tradnl"/>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Tablaelegante">
    <w:name w:val="Table Elegant"/>
    <w:basedOn w:val="Tablanormal"/>
    <w:uiPriority w:val="99"/>
    <w:semiHidden/>
    <w:unhideWhenUsed/>
    <w:rsid w:val="008C3A64"/>
    <w:pPr>
      <w:spacing w:before="120" w:after="280" w:line="259" w:lineRule="auto"/>
      <w:jc w:val="both"/>
    </w:pPr>
    <w:rPr>
      <w:sz w:val="22"/>
      <w:szCs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ormal2">
    <w:name w:val="Normal 2"/>
    <w:basedOn w:val="Normal"/>
    <w:link w:val="Normal2Car"/>
    <w:qFormat/>
    <w:rsid w:val="008C3A64"/>
    <w:pPr>
      <w:spacing w:after="120" w:line="276" w:lineRule="auto"/>
    </w:pPr>
    <w:rPr>
      <w:rFonts w:ascii="Calibri" w:eastAsia="MS Gothic" w:hAnsi="Calibri"/>
      <w:color w:val="595959" w:themeColor="text1" w:themeTint="A6"/>
      <w:szCs w:val="20"/>
      <w:lang w:eastAsia="es-ES"/>
    </w:rPr>
  </w:style>
  <w:style w:type="character" w:customStyle="1" w:styleId="Normal2Car">
    <w:name w:val="Normal 2 Car"/>
    <w:basedOn w:val="Fuentedeprrafopredeter"/>
    <w:link w:val="Normal2"/>
    <w:rsid w:val="008C3A64"/>
    <w:rPr>
      <w:rFonts w:ascii="Calibri" w:eastAsia="MS Gothic" w:hAnsi="Calibri" w:cs="Times New Roman"/>
      <w:color w:val="595959" w:themeColor="text1" w:themeTint="A6"/>
      <w:sz w:val="22"/>
      <w:szCs w:val="20"/>
      <w:lang w:eastAsia="es-ES"/>
    </w:rPr>
  </w:style>
  <w:style w:type="paragraph" w:styleId="TDC4">
    <w:name w:val="toc 4"/>
    <w:basedOn w:val="Normal"/>
    <w:next w:val="Normal"/>
    <w:autoRedefine/>
    <w:uiPriority w:val="39"/>
    <w:unhideWhenUsed/>
    <w:rsid w:val="008C3A64"/>
    <w:pPr>
      <w:ind w:left="440"/>
      <w:jc w:val="left"/>
    </w:pPr>
    <w:rPr>
      <w:rFonts w:asciiTheme="minorHAnsi" w:hAnsiTheme="minorHAnsi" w:cstheme="minorHAnsi"/>
      <w:sz w:val="20"/>
      <w:szCs w:val="20"/>
    </w:rPr>
  </w:style>
  <w:style w:type="paragraph" w:styleId="TDC5">
    <w:name w:val="toc 5"/>
    <w:basedOn w:val="Normal"/>
    <w:next w:val="Normal"/>
    <w:autoRedefine/>
    <w:uiPriority w:val="39"/>
    <w:unhideWhenUsed/>
    <w:rsid w:val="008C3A64"/>
    <w:pPr>
      <w:ind w:left="660"/>
      <w:jc w:val="left"/>
    </w:pPr>
    <w:rPr>
      <w:rFonts w:asciiTheme="minorHAnsi" w:hAnsiTheme="minorHAnsi" w:cstheme="minorHAnsi"/>
      <w:sz w:val="20"/>
      <w:szCs w:val="20"/>
    </w:rPr>
  </w:style>
  <w:style w:type="paragraph" w:customStyle="1" w:styleId="Tabelas">
    <w:name w:val="Tabelas"/>
    <w:basedOn w:val="Normal"/>
    <w:next w:val="Normal"/>
    <w:rsid w:val="008C3A64"/>
    <w:pPr>
      <w:keepNext/>
      <w:tabs>
        <w:tab w:val="num" w:pos="142"/>
      </w:tabs>
      <w:spacing w:before="240" w:after="120" w:line="288" w:lineRule="auto"/>
      <w:ind w:left="1843" w:hanging="1134"/>
      <w:jc w:val="center"/>
    </w:pPr>
    <w:rPr>
      <w:rFonts w:ascii="Calibri" w:hAnsi="Calibri"/>
      <w:i/>
      <w:color w:val="595959" w:themeColor="text1" w:themeTint="A6"/>
      <w:szCs w:val="20"/>
      <w:lang w:val="pt-BR" w:eastAsia="es-ES"/>
    </w:rPr>
  </w:style>
  <w:style w:type="paragraph" w:customStyle="1" w:styleId="Subrayadonegrita">
    <w:name w:val="Subrayado negrita"/>
    <w:basedOn w:val="Normal"/>
    <w:rsid w:val="008C3A64"/>
    <w:pPr>
      <w:spacing w:after="200" w:line="276" w:lineRule="auto"/>
    </w:pPr>
    <w:rPr>
      <w:rFonts w:ascii="Calibri" w:eastAsiaTheme="minorHAnsi" w:hAnsi="Calibri" w:cstheme="minorBidi"/>
      <w:b/>
      <w:color w:val="595959" w:themeColor="text1" w:themeTint="A6"/>
      <w:szCs w:val="20"/>
      <w:u w:val="single"/>
      <w:lang w:eastAsia="en-US"/>
    </w:rPr>
  </w:style>
  <w:style w:type="paragraph" w:customStyle="1" w:styleId="Figuras">
    <w:name w:val="Figuras"/>
    <w:basedOn w:val="Normal"/>
    <w:next w:val="Normal"/>
    <w:link w:val="FigurasChar"/>
    <w:autoRedefine/>
    <w:rsid w:val="008C3A64"/>
    <w:pPr>
      <w:keepNext/>
      <w:numPr>
        <w:numId w:val="8"/>
      </w:numPr>
      <w:jc w:val="center"/>
    </w:pPr>
    <w:rPr>
      <w:rFonts w:ascii="Arial" w:hAnsi="Arial"/>
      <w:i/>
      <w:noProof/>
      <w:color w:val="595959" w:themeColor="text1" w:themeTint="A6"/>
      <w:sz w:val="18"/>
      <w:szCs w:val="18"/>
      <w:lang w:val="pt-BR" w:eastAsia="es-ES"/>
    </w:rPr>
  </w:style>
  <w:style w:type="paragraph" w:customStyle="1" w:styleId="EncabezadoPieImagenTabla">
    <w:name w:val="Encabezado/Pie Imagen/Tabla"/>
    <w:basedOn w:val="Normal"/>
    <w:link w:val="EncabezadoPieImagenTablaCar"/>
    <w:autoRedefine/>
    <w:rsid w:val="008C3A64"/>
    <w:rPr>
      <w:rFonts w:ascii="Calibri" w:eastAsiaTheme="minorHAnsi" w:hAnsi="Calibri"/>
      <w:color w:val="404040"/>
      <w:sz w:val="18"/>
      <w:szCs w:val="18"/>
      <w:lang w:eastAsia="pt-BR"/>
    </w:rPr>
  </w:style>
  <w:style w:type="paragraph" w:customStyle="1" w:styleId="TDC61">
    <w:name w:val="TDC 61"/>
    <w:basedOn w:val="Normal"/>
    <w:next w:val="Normal"/>
    <w:autoRedefine/>
    <w:uiPriority w:val="39"/>
    <w:unhideWhenUsed/>
    <w:rsid w:val="008C3A64"/>
    <w:pPr>
      <w:spacing w:after="100" w:line="276" w:lineRule="auto"/>
      <w:ind w:left="1100"/>
    </w:pPr>
    <w:rPr>
      <w:rFonts w:ascii="Calibri" w:hAnsi="Calibri" w:cstheme="minorBidi"/>
      <w:color w:val="595959" w:themeColor="text1" w:themeTint="A6"/>
      <w:szCs w:val="22"/>
      <w:lang w:eastAsia="es-ES"/>
    </w:rPr>
  </w:style>
  <w:style w:type="paragraph" w:customStyle="1" w:styleId="TDC71">
    <w:name w:val="TDC 71"/>
    <w:basedOn w:val="Normal"/>
    <w:next w:val="Normal"/>
    <w:autoRedefine/>
    <w:uiPriority w:val="39"/>
    <w:unhideWhenUsed/>
    <w:rsid w:val="008C3A64"/>
    <w:pPr>
      <w:spacing w:after="100" w:line="276" w:lineRule="auto"/>
      <w:ind w:left="1320"/>
    </w:pPr>
    <w:rPr>
      <w:rFonts w:ascii="Calibri" w:hAnsi="Calibri" w:cstheme="minorBidi"/>
      <w:color w:val="595959" w:themeColor="text1" w:themeTint="A6"/>
      <w:szCs w:val="22"/>
      <w:lang w:eastAsia="es-ES"/>
    </w:rPr>
  </w:style>
  <w:style w:type="paragraph" w:customStyle="1" w:styleId="TDC81">
    <w:name w:val="TDC 81"/>
    <w:basedOn w:val="Normal"/>
    <w:next w:val="Normal"/>
    <w:autoRedefine/>
    <w:uiPriority w:val="39"/>
    <w:unhideWhenUsed/>
    <w:rsid w:val="008C3A64"/>
    <w:pPr>
      <w:spacing w:after="100" w:line="276" w:lineRule="auto"/>
      <w:ind w:left="1540"/>
    </w:pPr>
    <w:rPr>
      <w:rFonts w:ascii="Calibri" w:hAnsi="Calibri" w:cstheme="minorBidi"/>
      <w:color w:val="595959" w:themeColor="text1" w:themeTint="A6"/>
      <w:szCs w:val="22"/>
      <w:lang w:eastAsia="es-ES"/>
    </w:rPr>
  </w:style>
  <w:style w:type="paragraph" w:customStyle="1" w:styleId="TDC91">
    <w:name w:val="TDC 91"/>
    <w:basedOn w:val="Normal"/>
    <w:next w:val="Normal"/>
    <w:autoRedefine/>
    <w:uiPriority w:val="39"/>
    <w:unhideWhenUsed/>
    <w:rsid w:val="008C3A64"/>
    <w:pPr>
      <w:spacing w:after="100" w:line="276" w:lineRule="auto"/>
      <w:ind w:left="1760"/>
    </w:pPr>
    <w:rPr>
      <w:rFonts w:ascii="Calibri" w:hAnsi="Calibri" w:cstheme="minorBidi"/>
      <w:color w:val="595959" w:themeColor="text1" w:themeTint="A6"/>
      <w:szCs w:val="22"/>
      <w:lang w:eastAsia="es-ES"/>
    </w:rPr>
  </w:style>
  <w:style w:type="paragraph" w:customStyle="1" w:styleId="Prrafodelista1">
    <w:name w:val="Párrafo de lista1"/>
    <w:basedOn w:val="Normal"/>
    <w:uiPriority w:val="99"/>
    <w:rsid w:val="008C3A64"/>
    <w:pPr>
      <w:spacing w:before="100" w:beforeAutospacing="1" w:after="100" w:afterAutospacing="1"/>
      <w:ind w:left="720"/>
    </w:pPr>
    <w:rPr>
      <w:rFonts w:ascii="Calibri" w:hAnsi="Calibri"/>
      <w:color w:val="595959" w:themeColor="text1" w:themeTint="A6"/>
      <w:szCs w:val="22"/>
      <w:lang w:eastAsia="en-US"/>
    </w:rPr>
  </w:style>
  <w:style w:type="character" w:customStyle="1" w:styleId="ya-q-full-text">
    <w:name w:val="ya-q-full-text"/>
    <w:rsid w:val="008C3A64"/>
  </w:style>
  <w:style w:type="table" w:customStyle="1" w:styleId="Tablaelegante2">
    <w:name w:val="Tabla elegante2"/>
    <w:basedOn w:val="Tablanormal"/>
    <w:next w:val="Tablaelegante"/>
    <w:uiPriority w:val="99"/>
    <w:semiHidden/>
    <w:unhideWhenUsed/>
    <w:rsid w:val="008C3A64"/>
    <w:pPr>
      <w:spacing w:before="60" w:after="120"/>
      <w:jc w:val="both"/>
    </w:pPr>
    <w:rPr>
      <w:sz w:val="22"/>
      <w:szCs w:val="22"/>
      <w:lang w:val="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magen">
    <w:name w:val="imagen"/>
    <w:basedOn w:val="Normal"/>
    <w:link w:val="imagenCar"/>
    <w:rsid w:val="008C3A64"/>
    <w:pPr>
      <w:spacing w:after="60"/>
      <w:jc w:val="left"/>
    </w:pPr>
    <w:rPr>
      <w:rFonts w:ascii="Roboto" w:eastAsiaTheme="minorHAnsi" w:hAnsi="Roboto" w:cstheme="minorBidi"/>
      <w:iCs/>
      <w:color w:val="404040"/>
      <w:sz w:val="18"/>
      <w:szCs w:val="18"/>
      <w:lang w:eastAsia="en-US"/>
    </w:rPr>
  </w:style>
  <w:style w:type="character" w:customStyle="1" w:styleId="EncabezadoPieImagenTablaCar">
    <w:name w:val="Encabezado/Pie Imagen/Tabla Car"/>
    <w:basedOn w:val="Fuentedeprrafopredeter"/>
    <w:link w:val="EncabezadoPieImagenTabla"/>
    <w:rsid w:val="008C3A64"/>
    <w:rPr>
      <w:rFonts w:ascii="Calibri" w:hAnsi="Calibri" w:cs="Times New Roman"/>
      <w:color w:val="404040"/>
      <w:sz w:val="18"/>
      <w:szCs w:val="18"/>
      <w:lang w:eastAsia="pt-BR"/>
    </w:rPr>
  </w:style>
  <w:style w:type="character" w:customStyle="1" w:styleId="ffiguraCar">
    <w:name w:val="ffigura Car"/>
    <w:basedOn w:val="EncabezadoPieImagenTablaCar"/>
    <w:link w:val="ffigura"/>
    <w:rsid w:val="008C3A64"/>
    <w:rPr>
      <w:rFonts w:ascii="Candara" w:hAnsi="Candara" w:cs="Times New Roman"/>
      <w:b/>
      <w:bCs/>
      <w:color w:val="3B3838" w:themeColor="background2" w:themeShade="40"/>
      <w:sz w:val="18"/>
      <w:szCs w:val="16"/>
      <w:lang w:eastAsia="pt-BR"/>
    </w:rPr>
  </w:style>
  <w:style w:type="paragraph" w:customStyle="1" w:styleId="Subtitulo">
    <w:name w:val="Subtitulo"/>
    <w:basedOn w:val="Normal"/>
    <w:link w:val="SubtituloCar"/>
    <w:rsid w:val="008C3A64"/>
    <w:pPr>
      <w:spacing w:after="200" w:line="276" w:lineRule="auto"/>
    </w:pPr>
    <w:rPr>
      <w:rFonts w:ascii="Calibri" w:eastAsiaTheme="minorHAnsi" w:hAnsi="Calibri" w:cstheme="minorBidi"/>
      <w:color w:val="2F5496"/>
      <w:szCs w:val="22"/>
      <w:lang w:val="es-ES_tradnl" w:eastAsia="en-US"/>
    </w:rPr>
  </w:style>
  <w:style w:type="character" w:customStyle="1" w:styleId="imagenCar">
    <w:name w:val="imagen Car"/>
    <w:basedOn w:val="Fuentedeprrafopredeter"/>
    <w:link w:val="imagen"/>
    <w:rsid w:val="008C3A64"/>
    <w:rPr>
      <w:rFonts w:ascii="Roboto" w:hAnsi="Roboto"/>
      <w:iCs/>
      <w:color w:val="404040"/>
      <w:sz w:val="18"/>
      <w:szCs w:val="18"/>
    </w:rPr>
  </w:style>
  <w:style w:type="character" w:customStyle="1" w:styleId="SubtituloCar">
    <w:name w:val="Subtitulo Car"/>
    <w:basedOn w:val="Fuentedeprrafopredeter"/>
    <w:link w:val="Subtitulo"/>
    <w:rsid w:val="008C3A64"/>
    <w:rPr>
      <w:rFonts w:ascii="Calibri" w:hAnsi="Calibri"/>
      <w:color w:val="2F5496"/>
      <w:sz w:val="22"/>
      <w:szCs w:val="22"/>
      <w:lang w:val="es-ES_tradnl"/>
    </w:rPr>
  </w:style>
  <w:style w:type="character" w:customStyle="1" w:styleId="Referenciaintensa1">
    <w:name w:val="Referencia intensa1"/>
    <w:basedOn w:val="Fuentedeprrafopredeter"/>
    <w:uiPriority w:val="32"/>
    <w:qFormat/>
    <w:rsid w:val="008C3A64"/>
    <w:rPr>
      <w:b/>
      <w:bCs/>
      <w:smallCaps/>
      <w:color w:val="5B9BD5"/>
      <w:spacing w:val="5"/>
    </w:rPr>
  </w:style>
  <w:style w:type="paragraph" w:customStyle="1" w:styleId="Ttulo10">
    <w:name w:val="Título1"/>
    <w:basedOn w:val="Normal"/>
    <w:next w:val="Normal"/>
    <w:uiPriority w:val="10"/>
    <w:rsid w:val="008C3A64"/>
    <w:pPr>
      <w:contextualSpacing/>
    </w:pPr>
    <w:rPr>
      <w:rFonts w:ascii="Calibri Light" w:hAnsi="Calibri Light"/>
      <w:color w:val="595959" w:themeColor="text1" w:themeTint="A6"/>
      <w:spacing w:val="-10"/>
      <w:kern w:val="28"/>
      <w:sz w:val="56"/>
      <w:szCs w:val="56"/>
      <w:lang w:eastAsia="en-US"/>
    </w:rPr>
  </w:style>
  <w:style w:type="table" w:customStyle="1" w:styleId="Tablaconcuadrcula1">
    <w:name w:val="Tabla con cuadrícula1"/>
    <w:basedOn w:val="Tablanormal"/>
    <w:next w:val="Tablaconcuadrcula"/>
    <w:uiPriority w:val="39"/>
    <w:rsid w:val="008C3A64"/>
    <w:rPr>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rafoCar">
    <w:name w:val="Parrafo Car"/>
    <w:basedOn w:val="Fuentedeprrafopredeter"/>
    <w:link w:val="Parrafo"/>
    <w:locked/>
    <w:rsid w:val="008C3A64"/>
    <w:rPr>
      <w:rFonts w:ascii="Calibri" w:eastAsia="Times New Roman" w:hAnsi="Calibri" w:cs="Times New Roman"/>
      <w:color w:val="595959" w:themeColor="text1" w:themeTint="A6"/>
      <w:szCs w:val="20"/>
      <w:lang w:eastAsia="es-ES"/>
    </w:rPr>
  </w:style>
  <w:style w:type="paragraph" w:customStyle="1" w:styleId="Parrafo">
    <w:name w:val="Parrafo"/>
    <w:basedOn w:val="Normal"/>
    <w:link w:val="ParrafoCar"/>
    <w:rsid w:val="008C3A64"/>
    <w:pPr>
      <w:spacing w:before="20" w:after="20"/>
    </w:pPr>
    <w:rPr>
      <w:rFonts w:ascii="Calibri" w:hAnsi="Calibri"/>
      <w:color w:val="595959" w:themeColor="text1" w:themeTint="A6"/>
      <w:sz w:val="24"/>
      <w:szCs w:val="20"/>
      <w:lang w:eastAsia="es-ES"/>
    </w:rPr>
  </w:style>
  <w:style w:type="paragraph" w:customStyle="1" w:styleId="Negrita">
    <w:name w:val="Negrita"/>
    <w:basedOn w:val="Normal"/>
    <w:link w:val="NegritaCar"/>
    <w:rsid w:val="008C3A64"/>
    <w:pPr>
      <w:spacing w:after="200" w:line="276" w:lineRule="auto"/>
      <w:jc w:val="left"/>
    </w:pPr>
    <w:rPr>
      <w:rFonts w:ascii="Calibri" w:eastAsiaTheme="minorHAnsi" w:hAnsi="Calibri" w:cstheme="minorBidi"/>
      <w:b/>
      <w:color w:val="767171"/>
      <w:szCs w:val="20"/>
      <w:lang w:eastAsia="en-US"/>
    </w:rPr>
  </w:style>
  <w:style w:type="character" w:customStyle="1" w:styleId="NegritaCar">
    <w:name w:val="Negrita Car"/>
    <w:basedOn w:val="Fuentedeprrafopredeter"/>
    <w:link w:val="Negrita"/>
    <w:rsid w:val="008C3A64"/>
    <w:rPr>
      <w:rFonts w:ascii="Calibri" w:hAnsi="Calibri"/>
      <w:b/>
      <w:color w:val="767171"/>
      <w:sz w:val="22"/>
      <w:szCs w:val="20"/>
    </w:rPr>
  </w:style>
  <w:style w:type="character" w:customStyle="1" w:styleId="Hipervnculovisitado1">
    <w:name w:val="Hipervínculo visitado1"/>
    <w:basedOn w:val="Fuentedeprrafopredeter"/>
    <w:uiPriority w:val="99"/>
    <w:semiHidden/>
    <w:unhideWhenUsed/>
    <w:rsid w:val="008C3A64"/>
    <w:rPr>
      <w:color w:val="954F72"/>
      <w:u w:val="single"/>
    </w:rPr>
  </w:style>
  <w:style w:type="paragraph" w:styleId="Mapadeldocumento">
    <w:name w:val="Document Map"/>
    <w:basedOn w:val="Normal"/>
    <w:link w:val="MapadeldocumentoCar"/>
    <w:uiPriority w:val="99"/>
    <w:semiHidden/>
    <w:unhideWhenUsed/>
    <w:rsid w:val="008C3A64"/>
    <w:rPr>
      <w:rFonts w:ascii="Tahoma" w:eastAsiaTheme="minorHAnsi" w:hAnsi="Tahoma" w:cs="Tahoma"/>
      <w:color w:val="595959" w:themeColor="text1" w:themeTint="A6"/>
      <w:sz w:val="16"/>
      <w:szCs w:val="16"/>
      <w:lang w:eastAsia="en-US"/>
    </w:rPr>
  </w:style>
  <w:style w:type="character" w:customStyle="1" w:styleId="MapadeldocumentoCar">
    <w:name w:val="Mapa del documento Car"/>
    <w:basedOn w:val="Fuentedeprrafopredeter"/>
    <w:link w:val="Mapadeldocumento"/>
    <w:uiPriority w:val="99"/>
    <w:semiHidden/>
    <w:rsid w:val="008C3A64"/>
    <w:rPr>
      <w:rFonts w:ascii="Tahoma" w:hAnsi="Tahoma" w:cs="Tahoma"/>
      <w:color w:val="595959" w:themeColor="text1" w:themeTint="A6"/>
      <w:sz w:val="16"/>
      <w:szCs w:val="16"/>
    </w:rPr>
  </w:style>
  <w:style w:type="character" w:customStyle="1" w:styleId="ilad">
    <w:name w:val="il_ad"/>
    <w:basedOn w:val="Fuentedeprrafopredeter"/>
    <w:rsid w:val="008C3A64"/>
  </w:style>
  <w:style w:type="character" w:customStyle="1" w:styleId="plainlinks">
    <w:name w:val="plainlinks"/>
    <w:basedOn w:val="Fuentedeprrafopredeter"/>
    <w:rsid w:val="008C3A64"/>
  </w:style>
  <w:style w:type="character" w:customStyle="1" w:styleId="geo-dms1">
    <w:name w:val="geo-dms1"/>
    <w:basedOn w:val="Fuentedeprrafopredeter"/>
    <w:rsid w:val="008C3A64"/>
    <w:rPr>
      <w:vanish w:val="0"/>
      <w:webHidden w:val="0"/>
      <w:specVanish w:val="0"/>
    </w:rPr>
  </w:style>
  <w:style w:type="character" w:customStyle="1" w:styleId="latitude1">
    <w:name w:val="latitude1"/>
    <w:basedOn w:val="Fuentedeprrafopredeter"/>
    <w:rsid w:val="008C3A64"/>
  </w:style>
  <w:style w:type="character" w:customStyle="1" w:styleId="longitude1">
    <w:name w:val="longitude1"/>
    <w:basedOn w:val="Fuentedeprrafopredeter"/>
    <w:rsid w:val="008C3A64"/>
  </w:style>
  <w:style w:type="character" w:customStyle="1" w:styleId="corchete-llamada1">
    <w:name w:val="corchete-llamada1"/>
    <w:basedOn w:val="Fuentedeprrafopredeter"/>
    <w:rsid w:val="008C3A64"/>
    <w:rPr>
      <w:vanish/>
      <w:webHidden w:val="0"/>
      <w:specVanish w:val="0"/>
    </w:rPr>
  </w:style>
  <w:style w:type="paragraph" w:styleId="Textonotaalfinal">
    <w:name w:val="endnote text"/>
    <w:basedOn w:val="Normal"/>
    <w:link w:val="TextonotaalfinalCar"/>
    <w:uiPriority w:val="99"/>
    <w:semiHidden/>
    <w:unhideWhenUsed/>
    <w:rsid w:val="008C3A64"/>
    <w:rPr>
      <w:rFonts w:ascii="Calibri" w:eastAsiaTheme="minorHAnsi" w:hAnsi="Calibri" w:cstheme="minorBidi"/>
      <w:color w:val="595959" w:themeColor="text1" w:themeTint="A6"/>
      <w:szCs w:val="20"/>
      <w:lang w:eastAsia="en-US"/>
    </w:rPr>
  </w:style>
  <w:style w:type="character" w:customStyle="1" w:styleId="TextonotaalfinalCar">
    <w:name w:val="Texto nota al final Car"/>
    <w:basedOn w:val="Fuentedeprrafopredeter"/>
    <w:link w:val="Textonotaalfinal"/>
    <w:uiPriority w:val="99"/>
    <w:semiHidden/>
    <w:rsid w:val="008C3A64"/>
    <w:rPr>
      <w:rFonts w:ascii="Calibri" w:hAnsi="Calibri"/>
      <w:color w:val="595959" w:themeColor="text1" w:themeTint="A6"/>
      <w:sz w:val="22"/>
      <w:szCs w:val="20"/>
    </w:rPr>
  </w:style>
  <w:style w:type="character" w:styleId="Refdenotaalfinal">
    <w:name w:val="endnote reference"/>
    <w:basedOn w:val="Fuentedeprrafopredeter"/>
    <w:uiPriority w:val="99"/>
    <w:semiHidden/>
    <w:unhideWhenUsed/>
    <w:rsid w:val="008C3A64"/>
    <w:rPr>
      <w:vertAlign w:val="superscript"/>
    </w:rPr>
  </w:style>
  <w:style w:type="character" w:customStyle="1" w:styleId="apple-converted-space">
    <w:name w:val="apple-converted-space"/>
    <w:basedOn w:val="Fuentedeprrafopredeter"/>
    <w:rsid w:val="008C3A64"/>
  </w:style>
  <w:style w:type="character" w:customStyle="1" w:styleId="selectable">
    <w:name w:val="selectable"/>
    <w:basedOn w:val="Fuentedeprrafopredeter"/>
    <w:rsid w:val="008C3A64"/>
  </w:style>
  <w:style w:type="character" w:customStyle="1" w:styleId="FigurasChar">
    <w:name w:val="Figuras Char"/>
    <w:link w:val="Figuras"/>
    <w:rsid w:val="008C3A64"/>
    <w:rPr>
      <w:rFonts w:ascii="Arial" w:eastAsia="Times New Roman" w:hAnsi="Arial" w:cs="Times New Roman"/>
      <w:i/>
      <w:noProof/>
      <w:color w:val="595959" w:themeColor="text1" w:themeTint="A6"/>
      <w:sz w:val="18"/>
      <w:szCs w:val="18"/>
      <w:lang w:val="pt-BR" w:eastAsia="es-ES"/>
    </w:rPr>
  </w:style>
  <w:style w:type="paragraph" w:styleId="Textoindependiente">
    <w:name w:val="Body Text"/>
    <w:basedOn w:val="Normal"/>
    <w:link w:val="TextoindependienteCar"/>
    <w:uiPriority w:val="99"/>
    <w:unhideWhenUsed/>
    <w:rsid w:val="008C3A64"/>
    <w:pPr>
      <w:spacing w:before="60" w:after="120"/>
    </w:pPr>
    <w:rPr>
      <w:rFonts w:ascii="Arial" w:eastAsia="Calibri" w:hAnsi="Arial"/>
      <w:color w:val="595959" w:themeColor="text1" w:themeTint="A6"/>
      <w:szCs w:val="22"/>
      <w:lang w:val="es-ES_tradnl" w:eastAsia="en-US"/>
    </w:rPr>
  </w:style>
  <w:style w:type="character" w:customStyle="1" w:styleId="TextoindependienteCar">
    <w:name w:val="Texto independiente Car"/>
    <w:basedOn w:val="Fuentedeprrafopredeter"/>
    <w:link w:val="Textoindependiente"/>
    <w:uiPriority w:val="99"/>
    <w:rsid w:val="008C3A64"/>
    <w:rPr>
      <w:rFonts w:ascii="Arial" w:eastAsia="Calibri" w:hAnsi="Arial" w:cs="Times New Roman"/>
      <w:color w:val="595959" w:themeColor="text1" w:themeTint="A6"/>
      <w:sz w:val="22"/>
      <w:szCs w:val="22"/>
      <w:lang w:val="es-ES_tradnl"/>
    </w:rPr>
  </w:style>
  <w:style w:type="paragraph" w:styleId="Lista2">
    <w:name w:val="List 2"/>
    <w:basedOn w:val="Normal"/>
    <w:uiPriority w:val="99"/>
    <w:unhideWhenUsed/>
    <w:rsid w:val="008C3A64"/>
    <w:pPr>
      <w:spacing w:before="60" w:after="120"/>
      <w:ind w:left="566" w:hanging="283"/>
      <w:contextualSpacing/>
    </w:pPr>
    <w:rPr>
      <w:rFonts w:ascii="Arial" w:eastAsia="Calibri" w:hAnsi="Arial"/>
      <w:color w:val="595959" w:themeColor="text1" w:themeTint="A6"/>
      <w:szCs w:val="22"/>
      <w:lang w:val="es-ES_tradnl" w:eastAsia="en-US"/>
    </w:rPr>
  </w:style>
  <w:style w:type="paragraph" w:styleId="Lista3">
    <w:name w:val="List 3"/>
    <w:basedOn w:val="Normal"/>
    <w:uiPriority w:val="99"/>
    <w:unhideWhenUsed/>
    <w:rsid w:val="008C3A64"/>
    <w:pPr>
      <w:spacing w:before="60" w:after="120"/>
      <w:ind w:left="849" w:hanging="283"/>
      <w:contextualSpacing/>
    </w:pPr>
    <w:rPr>
      <w:rFonts w:ascii="Arial" w:eastAsia="Calibri" w:hAnsi="Arial"/>
      <w:color w:val="595959" w:themeColor="text1" w:themeTint="A6"/>
      <w:szCs w:val="22"/>
      <w:lang w:val="es-ES_tradnl" w:eastAsia="en-US"/>
    </w:rPr>
  </w:style>
  <w:style w:type="paragraph" w:styleId="Lista4">
    <w:name w:val="List 4"/>
    <w:basedOn w:val="Normal"/>
    <w:uiPriority w:val="99"/>
    <w:unhideWhenUsed/>
    <w:rsid w:val="008C3A64"/>
    <w:pPr>
      <w:spacing w:before="60" w:after="120"/>
      <w:ind w:left="1132" w:hanging="283"/>
      <w:contextualSpacing/>
    </w:pPr>
    <w:rPr>
      <w:rFonts w:ascii="Arial" w:eastAsia="Calibri" w:hAnsi="Arial"/>
      <w:color w:val="595959" w:themeColor="text1" w:themeTint="A6"/>
      <w:szCs w:val="22"/>
      <w:lang w:val="es-ES_tradnl" w:eastAsia="en-US"/>
    </w:rPr>
  </w:style>
  <w:style w:type="paragraph" w:styleId="Lista5">
    <w:name w:val="List 5"/>
    <w:basedOn w:val="Normal"/>
    <w:uiPriority w:val="99"/>
    <w:unhideWhenUsed/>
    <w:rsid w:val="008C3A64"/>
    <w:pPr>
      <w:spacing w:before="60" w:after="120"/>
      <w:ind w:left="1415" w:hanging="283"/>
      <w:contextualSpacing/>
    </w:pPr>
    <w:rPr>
      <w:rFonts w:ascii="Arial" w:eastAsia="Calibri" w:hAnsi="Arial"/>
      <w:color w:val="595959" w:themeColor="text1" w:themeTint="A6"/>
      <w:szCs w:val="22"/>
      <w:lang w:val="es-ES_tradnl" w:eastAsia="en-US"/>
    </w:rPr>
  </w:style>
  <w:style w:type="paragraph" w:styleId="Sangradetextonormal">
    <w:name w:val="Body Text Indent"/>
    <w:basedOn w:val="Normal"/>
    <w:link w:val="SangradetextonormalCar"/>
    <w:uiPriority w:val="99"/>
    <w:unhideWhenUsed/>
    <w:rsid w:val="008C3A64"/>
    <w:pPr>
      <w:spacing w:after="120" w:line="276" w:lineRule="auto"/>
      <w:ind w:left="283"/>
    </w:pPr>
    <w:rPr>
      <w:rFonts w:ascii="Calibri" w:eastAsia="Calibri" w:hAnsi="Calibri"/>
      <w:color w:val="595959" w:themeColor="text1" w:themeTint="A6"/>
      <w:szCs w:val="22"/>
      <w:lang w:eastAsia="en-US"/>
    </w:rPr>
  </w:style>
  <w:style w:type="character" w:customStyle="1" w:styleId="SangradetextonormalCar">
    <w:name w:val="Sangría de texto normal Car"/>
    <w:basedOn w:val="Fuentedeprrafopredeter"/>
    <w:link w:val="Sangradetextonormal"/>
    <w:uiPriority w:val="99"/>
    <w:rsid w:val="008C3A64"/>
    <w:rPr>
      <w:rFonts w:ascii="Calibri" w:eastAsia="Calibri" w:hAnsi="Calibri" w:cs="Times New Roman"/>
      <w:color w:val="595959" w:themeColor="text1" w:themeTint="A6"/>
      <w:sz w:val="22"/>
      <w:szCs w:val="22"/>
    </w:rPr>
  </w:style>
  <w:style w:type="paragraph" w:customStyle="1" w:styleId="Estilo1">
    <w:name w:val="Estilo1"/>
    <w:basedOn w:val="Normal"/>
    <w:link w:val="Estilo1Car"/>
    <w:autoRedefine/>
    <w:rsid w:val="008C3A64"/>
    <w:pPr>
      <w:tabs>
        <w:tab w:val="left" w:pos="1560"/>
      </w:tabs>
    </w:pPr>
    <w:rPr>
      <w:rFonts w:ascii="Calibri" w:eastAsia="Calibri" w:hAnsi="Calibri"/>
      <w:b/>
      <w:color w:val="595959" w:themeColor="text1" w:themeTint="A6"/>
      <w:szCs w:val="20"/>
      <w:lang w:eastAsia="en-US"/>
    </w:rPr>
  </w:style>
  <w:style w:type="character" w:customStyle="1" w:styleId="Estilo1Car">
    <w:name w:val="Estilo1 Car"/>
    <w:link w:val="Estilo1"/>
    <w:rsid w:val="008C3A64"/>
    <w:rPr>
      <w:rFonts w:ascii="Calibri" w:eastAsia="Calibri" w:hAnsi="Calibri" w:cs="Times New Roman"/>
      <w:b/>
      <w:color w:val="595959" w:themeColor="text1" w:themeTint="A6"/>
      <w:sz w:val="22"/>
      <w:szCs w:val="20"/>
    </w:rPr>
  </w:style>
  <w:style w:type="paragraph" w:styleId="Saludo">
    <w:name w:val="Salutation"/>
    <w:basedOn w:val="Normal"/>
    <w:next w:val="Normal"/>
    <w:link w:val="SaludoCar"/>
    <w:uiPriority w:val="99"/>
    <w:unhideWhenUsed/>
    <w:rsid w:val="008C3A64"/>
    <w:pPr>
      <w:spacing w:before="60" w:after="120"/>
    </w:pPr>
    <w:rPr>
      <w:rFonts w:ascii="Arial" w:eastAsia="Calibri" w:hAnsi="Arial"/>
      <w:color w:val="595959" w:themeColor="text1" w:themeTint="A6"/>
      <w:szCs w:val="22"/>
      <w:lang w:val="es-ES_tradnl" w:eastAsia="en-US"/>
    </w:rPr>
  </w:style>
  <w:style w:type="character" w:customStyle="1" w:styleId="SaludoCar">
    <w:name w:val="Saludo Car"/>
    <w:basedOn w:val="Fuentedeprrafopredeter"/>
    <w:link w:val="Saludo"/>
    <w:uiPriority w:val="99"/>
    <w:rsid w:val="008C3A64"/>
    <w:rPr>
      <w:rFonts w:ascii="Arial" w:eastAsia="Calibri" w:hAnsi="Arial" w:cs="Times New Roman"/>
      <w:color w:val="595959" w:themeColor="text1" w:themeTint="A6"/>
      <w:sz w:val="22"/>
      <w:szCs w:val="22"/>
      <w:lang w:val="es-ES_tradnl"/>
    </w:rPr>
  </w:style>
  <w:style w:type="paragraph" w:customStyle="1" w:styleId="Vieta">
    <w:name w:val="Viñeta"/>
    <w:basedOn w:val="Textoindependiente"/>
    <w:autoRedefine/>
    <w:rsid w:val="008C3A64"/>
    <w:pPr>
      <w:numPr>
        <w:numId w:val="9"/>
      </w:numPr>
      <w:spacing w:line="240" w:lineRule="atLeast"/>
    </w:pPr>
    <w:rPr>
      <w:rFonts w:eastAsia="Times New Roman" w:cs="Arial"/>
      <w:szCs w:val="20"/>
      <w:lang w:val="es-HN" w:eastAsia="es-HN"/>
    </w:rPr>
  </w:style>
  <w:style w:type="character" w:customStyle="1" w:styleId="Estilo5Car">
    <w:name w:val="Estilo5 Car"/>
    <w:link w:val="Estilo5"/>
    <w:locked/>
    <w:rsid w:val="008C3A64"/>
    <w:rPr>
      <w:rFonts w:ascii="Roboto" w:eastAsia="Arial Unicode MS" w:hAnsi="Roboto" w:cs="Times New Roman"/>
      <w:b/>
      <w:color w:val="000000"/>
      <w:lang w:eastAsia="es-ES"/>
    </w:rPr>
  </w:style>
  <w:style w:type="paragraph" w:customStyle="1" w:styleId="Estilo5">
    <w:name w:val="Estilo5"/>
    <w:basedOn w:val="Normal"/>
    <w:link w:val="Estilo5Car"/>
    <w:rsid w:val="008C3A64"/>
    <w:pPr>
      <w:spacing w:after="120" w:line="240" w:lineRule="atLeast"/>
    </w:pPr>
    <w:rPr>
      <w:rFonts w:ascii="Roboto" w:eastAsia="Arial Unicode MS" w:hAnsi="Roboto"/>
      <w:b/>
      <w:color w:val="000000"/>
      <w:sz w:val="24"/>
      <w:lang w:eastAsia="es-ES"/>
    </w:rPr>
  </w:style>
  <w:style w:type="paragraph" w:customStyle="1" w:styleId="EstiloTtulo111ptJustificadoAntes6ptoDespus6pto">
    <w:name w:val="Estilo Título 1 + 11 pt Justificado Antes:  6 pto Después:  6 pto"/>
    <w:basedOn w:val="Ttulo1"/>
    <w:autoRedefine/>
    <w:rsid w:val="008C3A64"/>
    <w:pPr>
      <w:keepNext w:val="0"/>
      <w:keepLines w:val="0"/>
      <w:numPr>
        <w:numId w:val="10"/>
      </w:numPr>
      <w:spacing w:before="120" w:after="120" w:line="240" w:lineRule="auto"/>
      <w:jc w:val="left"/>
    </w:pPr>
    <w:rPr>
      <w:rFonts w:ascii="Arial" w:eastAsia="Times New Roman" w:hAnsi="Arial" w:cs="Times New Roman"/>
      <w:b w:val="0"/>
      <w:bCs/>
      <w:color w:val="auto"/>
      <w:sz w:val="22"/>
      <w:szCs w:val="20"/>
      <w:lang w:val="es-ES_tradnl"/>
    </w:rPr>
  </w:style>
  <w:style w:type="paragraph" w:customStyle="1" w:styleId="Tablas">
    <w:name w:val="Tablas"/>
    <w:basedOn w:val="Normal"/>
    <w:link w:val="TablasCar"/>
    <w:rsid w:val="008C3A64"/>
    <w:pPr>
      <w:tabs>
        <w:tab w:val="left" w:pos="426"/>
        <w:tab w:val="left" w:pos="1418"/>
      </w:tabs>
      <w:jc w:val="center"/>
    </w:pPr>
    <w:rPr>
      <w:rFonts w:ascii="Calibri" w:eastAsia="Calibri" w:hAnsi="Calibri"/>
      <w:bCs/>
      <w:color w:val="595959" w:themeColor="text1" w:themeTint="A6"/>
      <w:sz w:val="18"/>
      <w:szCs w:val="18"/>
      <w:lang w:eastAsia="es-CO" w:bidi="en-US"/>
    </w:rPr>
  </w:style>
  <w:style w:type="character" w:customStyle="1" w:styleId="TablasCar">
    <w:name w:val="Tablas Car"/>
    <w:aliases w:val="Descripción Car,Elementos Car,Car1 Car Car Car Car,Car Car11 Car Car1,Epígrafe1 Car,Car1 Car Car Car1 Car Car,Car1 Car Car Car1 Car1,Car Car11 Car Car Car,Epígrafe Car Car,Tabla Car,tabla Car,Descripción1 Car,caption Car,Titulo Tablas Car"/>
    <w:basedOn w:val="Fuentedeprrafopredeter"/>
    <w:link w:val="Tablas"/>
    <w:uiPriority w:val="35"/>
    <w:rsid w:val="008C3A64"/>
    <w:rPr>
      <w:rFonts w:ascii="Calibri" w:eastAsia="Calibri" w:hAnsi="Calibri" w:cs="Times New Roman"/>
      <w:bCs/>
      <w:color w:val="595959" w:themeColor="text1" w:themeTint="A6"/>
      <w:sz w:val="18"/>
      <w:szCs w:val="18"/>
      <w:lang w:eastAsia="es-CO" w:bidi="en-US"/>
    </w:rPr>
  </w:style>
  <w:style w:type="paragraph" w:customStyle="1" w:styleId="xl68">
    <w:name w:val="xl68"/>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69">
    <w:name w:val="xl69"/>
    <w:basedOn w:val="Normal"/>
    <w:rsid w:val="008C3A6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70">
    <w:name w:val="xl70"/>
    <w:basedOn w:val="Normal"/>
    <w:rsid w:val="008C3A64"/>
    <w:pPr>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71">
    <w:name w:val="xl71"/>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2">
    <w:name w:val="xl72"/>
    <w:basedOn w:val="Normal"/>
    <w:rsid w:val="008C3A64"/>
    <w:pP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3">
    <w:name w:val="xl73"/>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595959" w:themeColor="text1" w:themeTint="A6"/>
      <w:sz w:val="24"/>
      <w:lang w:val="es-CL" w:eastAsia="es-CL"/>
    </w:rPr>
  </w:style>
  <w:style w:type="paragraph" w:customStyle="1" w:styleId="xl74">
    <w:name w:val="xl74"/>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595959" w:themeColor="text1" w:themeTint="A6"/>
      <w:sz w:val="24"/>
      <w:lang w:val="es-CL" w:eastAsia="es-CL"/>
    </w:rPr>
  </w:style>
  <w:style w:type="paragraph" w:customStyle="1" w:styleId="xl75">
    <w:name w:val="xl75"/>
    <w:basedOn w:val="Normal"/>
    <w:rsid w:val="008C3A6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6">
    <w:name w:val="xl76"/>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0000"/>
      <w:sz w:val="21"/>
      <w:szCs w:val="21"/>
      <w:lang w:val="es-CL" w:eastAsia="es-CL"/>
    </w:rPr>
  </w:style>
  <w:style w:type="paragraph" w:customStyle="1" w:styleId="xl77">
    <w:name w:val="xl77"/>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0000"/>
      <w:szCs w:val="20"/>
      <w:lang w:val="es-CL" w:eastAsia="es-CL"/>
    </w:rPr>
  </w:style>
  <w:style w:type="paragraph" w:customStyle="1" w:styleId="xl78">
    <w:name w:val="xl78"/>
    <w:basedOn w:val="Normal"/>
    <w:rsid w:val="008C3A64"/>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9">
    <w:name w:val="xl79"/>
    <w:basedOn w:val="Normal"/>
    <w:rsid w:val="008C3A6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80">
    <w:name w:val="xl80"/>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81">
    <w:name w:val="xl81"/>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595959" w:themeColor="text1" w:themeTint="A6"/>
      <w:sz w:val="24"/>
      <w:lang w:val="es-CL" w:eastAsia="es-CL"/>
    </w:rPr>
  </w:style>
  <w:style w:type="paragraph" w:customStyle="1" w:styleId="xl82">
    <w:name w:val="xl82"/>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83">
    <w:name w:val="xl83"/>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84">
    <w:name w:val="xl84"/>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595959" w:themeColor="text1" w:themeTint="A6"/>
      <w:sz w:val="24"/>
      <w:lang w:val="es-CL" w:eastAsia="es-CL"/>
    </w:rPr>
  </w:style>
  <w:style w:type="character" w:customStyle="1" w:styleId="locality">
    <w:name w:val="locality"/>
    <w:basedOn w:val="Fuentedeprrafopredeter"/>
    <w:rsid w:val="008C3A64"/>
  </w:style>
  <w:style w:type="paragraph" w:customStyle="1" w:styleId="Tabla">
    <w:name w:val="Tabla"/>
    <w:basedOn w:val="Normal"/>
    <w:link w:val="TablaCarCar"/>
    <w:rsid w:val="008C3A64"/>
    <w:pPr>
      <w:numPr>
        <w:numId w:val="11"/>
      </w:numPr>
      <w:spacing w:after="120"/>
      <w:jc w:val="center"/>
    </w:pPr>
    <w:rPr>
      <w:rFonts w:ascii="Calibri" w:eastAsia="Arial Unicode MS" w:hAnsi="Calibri"/>
      <w:b/>
      <w:bCs/>
      <w:color w:val="595959" w:themeColor="text1" w:themeTint="A6"/>
      <w:szCs w:val="20"/>
      <w:lang w:val="es-HN" w:eastAsia="en-US"/>
    </w:rPr>
  </w:style>
  <w:style w:type="character" w:customStyle="1" w:styleId="TablaCarCar">
    <w:name w:val="Tabla Car Car"/>
    <w:basedOn w:val="Fuentedeprrafopredeter"/>
    <w:link w:val="Tabla"/>
    <w:locked/>
    <w:rsid w:val="008C3A64"/>
    <w:rPr>
      <w:rFonts w:ascii="Calibri" w:eastAsia="Arial Unicode MS" w:hAnsi="Calibri" w:cs="Times New Roman"/>
      <w:b/>
      <w:bCs/>
      <w:color w:val="595959" w:themeColor="text1" w:themeTint="A6"/>
      <w:sz w:val="22"/>
      <w:szCs w:val="20"/>
      <w:lang w:val="es-HN"/>
    </w:rPr>
  </w:style>
  <w:style w:type="table" w:customStyle="1" w:styleId="Tablaconcuadrcula2">
    <w:name w:val="Tabla con cuadrícula2"/>
    <w:basedOn w:val="Tablanormal"/>
    <w:uiPriority w:val="39"/>
    <w:rsid w:val="008C3A64"/>
    <w:rPr>
      <w:rFonts w:ascii="Calibri" w:eastAsia="Calibri" w:hAnsi="Calibri"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titude">
    <w:name w:val="latitude"/>
    <w:basedOn w:val="Fuentedeprrafopredeter"/>
    <w:rsid w:val="008C3A64"/>
  </w:style>
  <w:style w:type="character" w:customStyle="1" w:styleId="longitude">
    <w:name w:val="longitude"/>
    <w:basedOn w:val="Fuentedeprrafopredeter"/>
    <w:rsid w:val="008C3A64"/>
  </w:style>
  <w:style w:type="character" w:customStyle="1" w:styleId="mw-headline">
    <w:name w:val="mw-headline"/>
    <w:basedOn w:val="Fuentedeprrafopredeter"/>
    <w:rsid w:val="008C3A64"/>
  </w:style>
  <w:style w:type="character" w:customStyle="1" w:styleId="mw-editsection">
    <w:name w:val="mw-editsection"/>
    <w:basedOn w:val="Fuentedeprrafopredeter"/>
    <w:rsid w:val="008C3A64"/>
  </w:style>
  <w:style w:type="character" w:customStyle="1" w:styleId="mw-editsection-bracket">
    <w:name w:val="mw-editsection-bracket"/>
    <w:basedOn w:val="Fuentedeprrafopredeter"/>
    <w:rsid w:val="008C3A64"/>
  </w:style>
  <w:style w:type="character" w:styleId="Nmerodelnea">
    <w:name w:val="line number"/>
    <w:basedOn w:val="Fuentedeprrafopredeter"/>
    <w:uiPriority w:val="99"/>
    <w:semiHidden/>
    <w:unhideWhenUsed/>
    <w:rsid w:val="008C3A64"/>
  </w:style>
  <w:style w:type="character" w:customStyle="1" w:styleId="spelle">
    <w:name w:val="spelle"/>
    <w:basedOn w:val="Fuentedeprrafopredeter"/>
    <w:rsid w:val="008C3A64"/>
  </w:style>
  <w:style w:type="paragraph" w:customStyle="1" w:styleId="vietaguion">
    <w:name w:val="viñeta guion"/>
    <w:basedOn w:val="Normal"/>
    <w:rsid w:val="008C3A64"/>
    <w:pPr>
      <w:numPr>
        <w:numId w:val="12"/>
      </w:numPr>
    </w:pPr>
    <w:rPr>
      <w:rFonts w:ascii="Calibri" w:hAnsi="Calibri" w:cs="Arial"/>
      <w:color w:val="333333"/>
      <w:szCs w:val="20"/>
      <w:lang w:eastAsia="es-ES"/>
    </w:rPr>
  </w:style>
  <w:style w:type="character" w:customStyle="1" w:styleId="A5">
    <w:name w:val="A5"/>
    <w:uiPriority w:val="99"/>
    <w:rsid w:val="008C3A64"/>
    <w:rPr>
      <w:rFonts w:cs="Bookman Old Style"/>
      <w:color w:val="000000"/>
      <w:sz w:val="11"/>
      <w:szCs w:val="11"/>
    </w:rPr>
  </w:style>
  <w:style w:type="paragraph" w:customStyle="1" w:styleId="PieImagenTabla">
    <w:name w:val="Pie Imagen/Tabla"/>
    <w:basedOn w:val="Normal"/>
    <w:link w:val="PieImagenTablaCar"/>
    <w:rsid w:val="008C3A64"/>
    <w:pPr>
      <w:jc w:val="center"/>
    </w:pPr>
    <w:rPr>
      <w:rFonts w:ascii="Calibri" w:hAnsi="Calibri"/>
      <w:color w:val="595959" w:themeColor="text1" w:themeTint="A6"/>
      <w:sz w:val="18"/>
      <w:szCs w:val="20"/>
      <w:lang w:eastAsia="en-US"/>
    </w:rPr>
  </w:style>
  <w:style w:type="paragraph" w:customStyle="1" w:styleId="TtuloImagenTabla">
    <w:name w:val="Título Imagen/Tabla"/>
    <w:basedOn w:val="Normal"/>
    <w:link w:val="TtuloImagenTablaCar"/>
    <w:rsid w:val="008C3A64"/>
    <w:pPr>
      <w:spacing w:after="60"/>
      <w:jc w:val="center"/>
    </w:pPr>
    <w:rPr>
      <w:rFonts w:ascii="Calibri" w:hAnsi="Calibri"/>
      <w:sz w:val="18"/>
      <w:szCs w:val="20"/>
      <w:lang w:eastAsia="en-US"/>
    </w:rPr>
  </w:style>
  <w:style w:type="paragraph" w:customStyle="1" w:styleId="Figura">
    <w:name w:val="Figura"/>
    <w:basedOn w:val="TtuloImagenTabla"/>
    <w:link w:val="FiguraCar"/>
    <w:qFormat/>
    <w:rsid w:val="008C3A64"/>
    <w:pPr>
      <w:jc w:val="left"/>
    </w:pPr>
    <w:rPr>
      <w:rFonts w:ascii="Roboto" w:hAnsi="Roboto"/>
      <w:color w:val="7F7F7F" w:themeColor="text1" w:themeTint="80"/>
    </w:rPr>
  </w:style>
  <w:style w:type="character" w:customStyle="1" w:styleId="PieImagenTablaCar">
    <w:name w:val="Pie Imagen/Tabla Car"/>
    <w:link w:val="PieImagenTabla"/>
    <w:rsid w:val="008C3A64"/>
    <w:rPr>
      <w:rFonts w:ascii="Calibri" w:eastAsia="Times New Roman" w:hAnsi="Calibri" w:cs="Times New Roman"/>
      <w:color w:val="595959" w:themeColor="text1" w:themeTint="A6"/>
      <w:sz w:val="18"/>
      <w:szCs w:val="20"/>
    </w:rPr>
  </w:style>
  <w:style w:type="character" w:customStyle="1" w:styleId="TtuloImagenTablaCar">
    <w:name w:val="Título Imagen/Tabla Car"/>
    <w:link w:val="TtuloImagenTabla"/>
    <w:rsid w:val="008C3A64"/>
    <w:rPr>
      <w:rFonts w:ascii="Calibri" w:eastAsia="Times New Roman" w:hAnsi="Calibri" w:cs="Times New Roman"/>
      <w:sz w:val="18"/>
      <w:szCs w:val="20"/>
    </w:rPr>
  </w:style>
  <w:style w:type="character" w:customStyle="1" w:styleId="FiguraCar">
    <w:name w:val="Figura Car"/>
    <w:link w:val="Figura"/>
    <w:rsid w:val="008C3A64"/>
    <w:rPr>
      <w:rFonts w:ascii="Roboto" w:eastAsia="Times New Roman" w:hAnsi="Roboto" w:cs="Times New Roman"/>
      <w:color w:val="7F7F7F" w:themeColor="text1" w:themeTint="80"/>
      <w:sz w:val="18"/>
      <w:szCs w:val="20"/>
    </w:rPr>
  </w:style>
  <w:style w:type="paragraph" w:styleId="ndice1">
    <w:name w:val="index 1"/>
    <w:basedOn w:val="Normal"/>
    <w:next w:val="Normal"/>
    <w:autoRedefine/>
    <w:uiPriority w:val="99"/>
    <w:semiHidden/>
    <w:unhideWhenUsed/>
    <w:rsid w:val="008C3A64"/>
    <w:pPr>
      <w:ind w:left="200" w:hanging="200"/>
    </w:pPr>
    <w:rPr>
      <w:rFonts w:ascii="Calibri" w:eastAsia="Calibri" w:hAnsi="Calibri"/>
      <w:color w:val="595959" w:themeColor="text1" w:themeTint="A6"/>
      <w:szCs w:val="22"/>
      <w:lang w:eastAsia="en-US"/>
    </w:rPr>
  </w:style>
  <w:style w:type="paragraph" w:customStyle="1" w:styleId="leyesyreglamentos">
    <w:name w:val="leyes y reglamentos"/>
    <w:basedOn w:val="Normal"/>
    <w:link w:val="leyesyreglamentosCar"/>
    <w:rsid w:val="008C3A64"/>
    <w:pPr>
      <w:spacing w:after="60"/>
    </w:pPr>
    <w:rPr>
      <w:rFonts w:ascii="Calibri" w:eastAsia="Calibri" w:hAnsi="Calibri"/>
      <w:i/>
      <w:color w:val="595959" w:themeColor="text1" w:themeTint="A6"/>
      <w:szCs w:val="22"/>
      <w:lang w:eastAsia="en-US"/>
    </w:rPr>
  </w:style>
  <w:style w:type="character" w:customStyle="1" w:styleId="leyesyreglamentosCar">
    <w:name w:val="leyes y reglamentos Car"/>
    <w:link w:val="leyesyreglamentos"/>
    <w:rsid w:val="008C3A64"/>
    <w:rPr>
      <w:rFonts w:ascii="Calibri" w:eastAsia="Calibri" w:hAnsi="Calibri" w:cs="Times New Roman"/>
      <w:i/>
      <w:color w:val="595959" w:themeColor="text1" w:themeTint="A6"/>
      <w:sz w:val="22"/>
      <w:szCs w:val="22"/>
    </w:rPr>
  </w:style>
  <w:style w:type="paragraph" w:customStyle="1" w:styleId="1">
    <w:name w:val="1"/>
    <w:basedOn w:val="Normal"/>
    <w:next w:val="Normal"/>
    <w:uiPriority w:val="35"/>
    <w:unhideWhenUsed/>
    <w:rsid w:val="008C3A64"/>
    <w:pPr>
      <w:spacing w:after="200"/>
    </w:pPr>
    <w:rPr>
      <w:rFonts w:ascii="Calibri" w:eastAsia="Calibri" w:hAnsi="Calibri"/>
      <w:iCs/>
      <w:color w:val="595959" w:themeColor="text1" w:themeTint="A6"/>
      <w:sz w:val="18"/>
      <w:szCs w:val="18"/>
      <w:lang w:eastAsia="en-US"/>
    </w:rPr>
  </w:style>
  <w:style w:type="paragraph" w:customStyle="1" w:styleId="vietapunto">
    <w:name w:val="viñeta punto"/>
    <w:basedOn w:val="Normal"/>
    <w:rsid w:val="008C3A64"/>
    <w:pPr>
      <w:numPr>
        <w:numId w:val="13"/>
      </w:numPr>
    </w:pPr>
    <w:rPr>
      <w:rFonts w:ascii="Calibri" w:hAnsi="Calibri"/>
      <w:color w:val="595959" w:themeColor="text1" w:themeTint="A6"/>
      <w:szCs w:val="20"/>
      <w:lang w:val="es-ES_tradnl" w:eastAsia="es-ES"/>
    </w:rPr>
  </w:style>
  <w:style w:type="character" w:customStyle="1" w:styleId="apple-style-span">
    <w:name w:val="apple-style-span"/>
    <w:rsid w:val="008C3A64"/>
  </w:style>
  <w:style w:type="paragraph" w:customStyle="1" w:styleId="Normal0">
    <w:name w:val="Normal0"/>
    <w:basedOn w:val="Normal"/>
    <w:link w:val="Normal0Car"/>
    <w:rsid w:val="008C3A64"/>
    <w:pPr>
      <w:spacing w:after="360" w:line="247" w:lineRule="auto"/>
    </w:pPr>
    <w:rPr>
      <w:rFonts w:ascii="Calibri" w:eastAsia="Calibri" w:hAnsi="Calibri"/>
      <w:color w:val="595959" w:themeColor="text1" w:themeTint="A6"/>
      <w:szCs w:val="20"/>
      <w:lang w:eastAsia="en-US"/>
    </w:rPr>
  </w:style>
  <w:style w:type="character" w:customStyle="1" w:styleId="Normal0Car">
    <w:name w:val="Normal0 Car"/>
    <w:basedOn w:val="Fuentedeprrafopredeter"/>
    <w:link w:val="Normal0"/>
    <w:rsid w:val="008C3A64"/>
    <w:rPr>
      <w:rFonts w:ascii="Calibri" w:eastAsia="Calibri" w:hAnsi="Calibri" w:cs="Times New Roman"/>
      <w:color w:val="595959" w:themeColor="text1" w:themeTint="A6"/>
      <w:sz w:val="22"/>
      <w:szCs w:val="20"/>
    </w:rPr>
  </w:style>
  <w:style w:type="table" w:customStyle="1" w:styleId="Tablanormal31">
    <w:name w:val="Tabla normal 31"/>
    <w:basedOn w:val="Tablanormal"/>
    <w:uiPriority w:val="43"/>
    <w:rsid w:val="008C3A64"/>
    <w:rPr>
      <w:sz w:val="22"/>
      <w:szCs w:val="22"/>
      <w:lang w:val="es-E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311">
    <w:name w:val="Tabla normal 311"/>
    <w:basedOn w:val="Tablanormal"/>
    <w:uiPriority w:val="43"/>
    <w:rsid w:val="008C3A64"/>
    <w:rPr>
      <w:sz w:val="22"/>
      <w:szCs w:val="22"/>
      <w:lang w:val="es-E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concuadrcula3">
    <w:name w:val="Tabla con cuadrícula3"/>
    <w:basedOn w:val="Tablanormal"/>
    <w:next w:val="Tablaconcuadrcula"/>
    <w:uiPriority w:val="59"/>
    <w:rsid w:val="008C3A64"/>
    <w:rPr>
      <w:rFonts w:ascii="Calibri" w:eastAsia="Calibri" w:hAnsi="Calibri"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eo-multi-punct1">
    <w:name w:val="geo-multi-punct1"/>
    <w:basedOn w:val="Fuentedeprrafopredeter"/>
    <w:rsid w:val="008C3A64"/>
    <w:rPr>
      <w:vanish/>
      <w:webHidden w:val="0"/>
      <w:specVanish w:val="0"/>
    </w:rPr>
  </w:style>
  <w:style w:type="character" w:customStyle="1" w:styleId="geo">
    <w:name w:val="geo"/>
    <w:basedOn w:val="Fuentedeprrafopredeter"/>
    <w:rsid w:val="008C3A64"/>
  </w:style>
  <w:style w:type="character" w:customStyle="1" w:styleId="TDC2Car">
    <w:name w:val="TDC 2 Car"/>
    <w:basedOn w:val="Fuentedeprrafopredeter"/>
    <w:link w:val="TDC2"/>
    <w:uiPriority w:val="39"/>
    <w:rsid w:val="008C3A64"/>
    <w:rPr>
      <w:rFonts w:eastAsia="Times New Roman" w:cstheme="minorHAnsi"/>
      <w:b/>
      <w:bCs/>
      <w:color w:val="3B3838" w:themeColor="background2" w:themeShade="40"/>
      <w:sz w:val="20"/>
      <w:szCs w:val="20"/>
      <w:lang w:eastAsia="es-ES_tradnl"/>
    </w:rPr>
  </w:style>
  <w:style w:type="paragraph" w:customStyle="1" w:styleId="Titulo3b">
    <w:name w:val="Titulo 3 b"/>
    <w:rsid w:val="008C3A64"/>
    <w:pPr>
      <w:spacing w:after="160" w:line="259" w:lineRule="auto"/>
    </w:pPr>
    <w:rPr>
      <w:rFonts w:ascii="Calibri" w:eastAsia="MS Gothic" w:hAnsi="Calibri" w:cs="Times New Roman"/>
      <w:b/>
      <w:bCs/>
      <w:color w:val="948A54"/>
      <w:szCs w:val="22"/>
    </w:rPr>
  </w:style>
  <w:style w:type="numbering" w:customStyle="1" w:styleId="Estilo2">
    <w:name w:val="Estilo2"/>
    <w:uiPriority w:val="99"/>
    <w:rsid w:val="008C3A64"/>
    <w:pPr>
      <w:numPr>
        <w:numId w:val="14"/>
      </w:numPr>
    </w:pPr>
  </w:style>
  <w:style w:type="character" w:customStyle="1" w:styleId="Mencinsinresolver10">
    <w:name w:val="Mención sin resolver10"/>
    <w:basedOn w:val="Fuentedeprrafopredeter"/>
    <w:uiPriority w:val="99"/>
    <w:semiHidden/>
    <w:unhideWhenUsed/>
    <w:rsid w:val="008C3A64"/>
    <w:rPr>
      <w:color w:val="808080"/>
      <w:shd w:val="clear" w:color="auto" w:fill="E6E6E6"/>
    </w:rPr>
  </w:style>
  <w:style w:type="character" w:customStyle="1" w:styleId="Mencinsinresolver2">
    <w:name w:val="Mención sin resolver2"/>
    <w:basedOn w:val="Fuentedeprrafopredeter"/>
    <w:uiPriority w:val="99"/>
    <w:semiHidden/>
    <w:unhideWhenUsed/>
    <w:rsid w:val="008C3A64"/>
    <w:rPr>
      <w:color w:val="808080"/>
      <w:shd w:val="clear" w:color="auto" w:fill="E6E6E6"/>
    </w:rPr>
  </w:style>
  <w:style w:type="character" w:customStyle="1" w:styleId="Mencinsinresolver3">
    <w:name w:val="Mención sin resolver3"/>
    <w:basedOn w:val="Fuentedeprrafopredeter"/>
    <w:uiPriority w:val="99"/>
    <w:semiHidden/>
    <w:unhideWhenUsed/>
    <w:rsid w:val="008C3A64"/>
    <w:rPr>
      <w:color w:val="808080"/>
      <w:shd w:val="clear" w:color="auto" w:fill="E6E6E6"/>
    </w:rPr>
  </w:style>
  <w:style w:type="character" w:styleId="Referenciaintensa">
    <w:name w:val="Intense Reference"/>
    <w:basedOn w:val="Fuentedeprrafopredeter"/>
    <w:uiPriority w:val="32"/>
    <w:qFormat/>
    <w:rsid w:val="008C3A64"/>
    <w:rPr>
      <w:b/>
      <w:bCs/>
      <w:smallCaps/>
      <w:color w:val="4472C4" w:themeColor="accent1"/>
      <w:spacing w:val="5"/>
    </w:rPr>
  </w:style>
  <w:style w:type="character" w:customStyle="1" w:styleId="TtuloCar1">
    <w:name w:val="Título Car1"/>
    <w:basedOn w:val="Fuentedeprrafopredeter"/>
    <w:uiPriority w:val="10"/>
    <w:rsid w:val="008C3A64"/>
    <w:rPr>
      <w:rFonts w:asciiTheme="majorHAnsi" w:eastAsiaTheme="majorEastAsia" w:hAnsiTheme="majorHAnsi" w:cstheme="majorBidi"/>
      <w:spacing w:val="-10"/>
      <w:kern w:val="28"/>
      <w:sz w:val="56"/>
      <w:szCs w:val="56"/>
    </w:rPr>
  </w:style>
  <w:style w:type="character" w:styleId="Hipervnculovisitado">
    <w:name w:val="FollowedHyperlink"/>
    <w:basedOn w:val="Fuentedeprrafopredeter"/>
    <w:uiPriority w:val="99"/>
    <w:semiHidden/>
    <w:unhideWhenUsed/>
    <w:rsid w:val="008C3A64"/>
    <w:rPr>
      <w:color w:val="954F72" w:themeColor="followedHyperlink"/>
      <w:u w:val="single"/>
    </w:rPr>
  </w:style>
  <w:style w:type="character" w:customStyle="1" w:styleId="Mencinsinresolver4">
    <w:name w:val="Mención sin resolver4"/>
    <w:basedOn w:val="Fuentedeprrafopredeter"/>
    <w:uiPriority w:val="99"/>
    <w:semiHidden/>
    <w:unhideWhenUsed/>
    <w:rsid w:val="008C3A64"/>
    <w:rPr>
      <w:color w:val="605E5C"/>
      <w:shd w:val="clear" w:color="auto" w:fill="E1DFDD"/>
    </w:rPr>
  </w:style>
  <w:style w:type="paragraph" w:styleId="Revisin">
    <w:name w:val="Revision"/>
    <w:hidden/>
    <w:uiPriority w:val="99"/>
    <w:semiHidden/>
    <w:rsid w:val="008C3A64"/>
    <w:rPr>
      <w:rFonts w:ascii="Helvetica" w:hAnsi="Helvetica"/>
      <w:sz w:val="20"/>
      <w:szCs w:val="22"/>
    </w:rPr>
  </w:style>
  <w:style w:type="character" w:customStyle="1" w:styleId="Mencinsinresolver5">
    <w:name w:val="Mención sin resolver5"/>
    <w:basedOn w:val="Fuentedeprrafopredeter"/>
    <w:uiPriority w:val="99"/>
    <w:semiHidden/>
    <w:unhideWhenUsed/>
    <w:rsid w:val="008C3A64"/>
    <w:rPr>
      <w:color w:val="605E5C"/>
      <w:shd w:val="clear" w:color="auto" w:fill="E1DFDD"/>
    </w:rPr>
  </w:style>
  <w:style w:type="character" w:customStyle="1" w:styleId="Mencinsinresolver6">
    <w:name w:val="Mención sin resolver6"/>
    <w:basedOn w:val="Fuentedeprrafopredeter"/>
    <w:uiPriority w:val="99"/>
    <w:semiHidden/>
    <w:unhideWhenUsed/>
    <w:rsid w:val="008C3A64"/>
    <w:rPr>
      <w:color w:val="605E5C"/>
      <w:shd w:val="clear" w:color="auto" w:fill="E1DFDD"/>
    </w:rPr>
  </w:style>
  <w:style w:type="table" w:customStyle="1" w:styleId="EstiloICES">
    <w:name w:val="Estilo ICES"/>
    <w:basedOn w:val="Tabladelista2-nfasis3"/>
    <w:uiPriority w:val="99"/>
    <w:rsid w:val="008C3A64"/>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lista2-nfasis3">
    <w:name w:val="List Table 2 Accent 3"/>
    <w:basedOn w:val="Tablanormal"/>
    <w:uiPriority w:val="47"/>
    <w:rsid w:val="008C3A64"/>
    <w:rPr>
      <w:sz w:val="22"/>
      <w:szCs w:val="22"/>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cinsinresolver100">
    <w:name w:val="Mención sin resolver100"/>
    <w:basedOn w:val="Fuentedeprrafopredeter"/>
    <w:uiPriority w:val="99"/>
    <w:semiHidden/>
    <w:unhideWhenUsed/>
    <w:rsid w:val="008C3A64"/>
    <w:rPr>
      <w:color w:val="808080"/>
      <w:shd w:val="clear" w:color="auto" w:fill="E6E6E6"/>
    </w:rPr>
  </w:style>
  <w:style w:type="character" w:customStyle="1" w:styleId="Mencinsinresolver1000">
    <w:name w:val="Mención sin resolver1000"/>
    <w:basedOn w:val="Fuentedeprrafopredeter"/>
    <w:uiPriority w:val="99"/>
    <w:semiHidden/>
    <w:unhideWhenUsed/>
    <w:rsid w:val="008C3A64"/>
    <w:rPr>
      <w:color w:val="808080"/>
      <w:shd w:val="clear" w:color="auto" w:fill="E6E6E6"/>
    </w:rPr>
  </w:style>
  <w:style w:type="character" w:customStyle="1" w:styleId="Mencinsinresolver10000">
    <w:name w:val="Mención sin resolver10000"/>
    <w:basedOn w:val="Fuentedeprrafopredeter"/>
    <w:uiPriority w:val="99"/>
    <w:semiHidden/>
    <w:unhideWhenUsed/>
    <w:rsid w:val="008C3A64"/>
    <w:rPr>
      <w:color w:val="808080"/>
      <w:shd w:val="clear" w:color="auto" w:fill="E6E6E6"/>
    </w:rPr>
  </w:style>
  <w:style w:type="character" w:styleId="Mencionar">
    <w:name w:val="Mention"/>
    <w:basedOn w:val="Fuentedeprrafopredeter"/>
    <w:uiPriority w:val="99"/>
    <w:unhideWhenUsed/>
    <w:rsid w:val="008C3A64"/>
    <w:rPr>
      <w:color w:val="2B579A"/>
      <w:shd w:val="clear" w:color="auto" w:fill="E1DFDD"/>
    </w:rPr>
  </w:style>
  <w:style w:type="character" w:customStyle="1" w:styleId="Mencinsinresolver100000">
    <w:name w:val="Mención sin resolver100000"/>
    <w:basedOn w:val="Fuentedeprrafopredeter"/>
    <w:uiPriority w:val="99"/>
    <w:semiHidden/>
    <w:unhideWhenUsed/>
    <w:rsid w:val="008C3A64"/>
    <w:rPr>
      <w:color w:val="808080"/>
      <w:shd w:val="clear" w:color="auto" w:fill="E6E6E6"/>
    </w:rPr>
  </w:style>
  <w:style w:type="character" w:customStyle="1" w:styleId="Mencinsinresolver1000000">
    <w:name w:val="Mención sin resolver1000000"/>
    <w:basedOn w:val="Fuentedeprrafopredeter"/>
    <w:uiPriority w:val="99"/>
    <w:semiHidden/>
    <w:unhideWhenUsed/>
    <w:rsid w:val="008C3A64"/>
    <w:rPr>
      <w:color w:val="808080"/>
      <w:shd w:val="clear" w:color="auto" w:fill="E6E6E6"/>
    </w:rPr>
  </w:style>
  <w:style w:type="character" w:customStyle="1" w:styleId="estilos-para-listas-de-word-rtf-importadas-estilo-de-lista-importada-de-word2">
    <w:name w:val="estilos-para-listas-de-word-rtf-importadas-estilo-de-lista-importada-de-word2"/>
    <w:basedOn w:val="Fuentedeprrafopredeter"/>
    <w:rsid w:val="008C3A64"/>
  </w:style>
  <w:style w:type="character" w:customStyle="1" w:styleId="no-style-override-1">
    <w:name w:val="no-style-override-1"/>
    <w:basedOn w:val="Fuentedeprrafopredeter"/>
    <w:rsid w:val="008C3A64"/>
  </w:style>
  <w:style w:type="character" w:customStyle="1" w:styleId="no-style-override">
    <w:name w:val="no-style-override"/>
    <w:basedOn w:val="Fuentedeprrafopredeter"/>
    <w:rsid w:val="008C3A64"/>
  </w:style>
  <w:style w:type="character" w:customStyle="1" w:styleId="no-style-override-2">
    <w:name w:val="no-style-override-2"/>
    <w:basedOn w:val="Fuentedeprrafopredeter"/>
    <w:rsid w:val="008C3A64"/>
  </w:style>
  <w:style w:type="paragraph" w:customStyle="1" w:styleId="cuerpo">
    <w:name w:val="cuerpo"/>
    <w:basedOn w:val="Normal"/>
    <w:rsid w:val="008C3A64"/>
    <w:pPr>
      <w:spacing w:before="100" w:beforeAutospacing="1" w:after="100" w:afterAutospacing="1"/>
      <w:jc w:val="left"/>
    </w:pPr>
    <w:rPr>
      <w:rFonts w:ascii="Times New Roman" w:hAnsi="Times New Roman"/>
      <w:sz w:val="24"/>
      <w:lang w:eastAsia="es-CO"/>
    </w:rPr>
  </w:style>
  <w:style w:type="paragraph" w:customStyle="1" w:styleId="x-ning-n-estilo-de-p-rrafo-">
    <w:name w:val="x-ning-n-estilo-de-p-rrafo-"/>
    <w:basedOn w:val="Normal"/>
    <w:rsid w:val="008C3A64"/>
    <w:pPr>
      <w:spacing w:before="100" w:beforeAutospacing="1" w:after="100" w:afterAutospacing="1"/>
      <w:jc w:val="left"/>
    </w:pPr>
    <w:rPr>
      <w:rFonts w:ascii="Times New Roman" w:hAnsi="Times New Roman"/>
      <w:sz w:val="24"/>
      <w:lang w:eastAsia="es-CO"/>
    </w:rPr>
  </w:style>
  <w:style w:type="character" w:customStyle="1" w:styleId="no-style-override-3">
    <w:name w:val="no-style-override-3"/>
    <w:basedOn w:val="Fuentedeprrafopredeter"/>
    <w:rsid w:val="008C3A64"/>
  </w:style>
  <w:style w:type="character" w:customStyle="1" w:styleId="Mencinsinresolver10000000">
    <w:name w:val="Mención sin resolver10000000"/>
    <w:basedOn w:val="Fuentedeprrafopredeter"/>
    <w:uiPriority w:val="99"/>
    <w:semiHidden/>
    <w:unhideWhenUsed/>
    <w:rsid w:val="008C3A64"/>
    <w:rPr>
      <w:color w:val="808080"/>
      <w:shd w:val="clear" w:color="auto" w:fill="E6E6E6"/>
    </w:rPr>
  </w:style>
  <w:style w:type="character" w:customStyle="1" w:styleId="Mencinsinresolver100000000">
    <w:name w:val="Mención sin resolver100000000"/>
    <w:basedOn w:val="Fuentedeprrafopredeter"/>
    <w:uiPriority w:val="99"/>
    <w:semiHidden/>
    <w:unhideWhenUsed/>
    <w:rsid w:val="008C3A64"/>
    <w:rPr>
      <w:color w:val="808080"/>
      <w:shd w:val="clear" w:color="auto" w:fill="E6E6E6"/>
    </w:rPr>
  </w:style>
  <w:style w:type="character" w:customStyle="1" w:styleId="Mencinsinresolver1000000000">
    <w:name w:val="Mención sin resolver1000000000"/>
    <w:basedOn w:val="Fuentedeprrafopredeter"/>
    <w:uiPriority w:val="99"/>
    <w:semiHidden/>
    <w:unhideWhenUsed/>
    <w:rsid w:val="008C3A64"/>
    <w:rPr>
      <w:color w:val="808080"/>
      <w:shd w:val="clear" w:color="auto" w:fill="E6E6E6"/>
    </w:rPr>
  </w:style>
  <w:style w:type="character" w:customStyle="1" w:styleId="Mencinsinresolver10000000000">
    <w:name w:val="Mención sin resolver10000000000"/>
    <w:basedOn w:val="Fuentedeprrafopredeter"/>
    <w:uiPriority w:val="99"/>
    <w:semiHidden/>
    <w:unhideWhenUsed/>
    <w:rsid w:val="008C3A64"/>
    <w:rPr>
      <w:color w:val="808080"/>
      <w:shd w:val="clear" w:color="auto" w:fill="E6E6E6"/>
    </w:rPr>
  </w:style>
  <w:style w:type="character" w:customStyle="1" w:styleId="Mencinsinresolver100000000000">
    <w:name w:val="Mención sin resolver100000000000"/>
    <w:basedOn w:val="Fuentedeprrafopredeter"/>
    <w:uiPriority w:val="99"/>
    <w:semiHidden/>
    <w:unhideWhenUsed/>
    <w:rsid w:val="008C3A64"/>
    <w:rPr>
      <w:color w:val="808080"/>
      <w:shd w:val="clear" w:color="auto" w:fill="E6E6E6"/>
    </w:rPr>
  </w:style>
  <w:style w:type="character" w:customStyle="1" w:styleId="Mencinsinresolver1000000000000">
    <w:name w:val="Mención sin resolver1000000000000"/>
    <w:basedOn w:val="Fuentedeprrafopredeter"/>
    <w:uiPriority w:val="99"/>
    <w:semiHidden/>
    <w:unhideWhenUsed/>
    <w:rsid w:val="008C3A64"/>
    <w:rPr>
      <w:color w:val="808080"/>
      <w:shd w:val="clear" w:color="auto" w:fill="E6E6E6"/>
    </w:rPr>
  </w:style>
  <w:style w:type="character" w:customStyle="1" w:styleId="Mencinsinresolver10000000000000">
    <w:name w:val="Mención sin resolver10000000000000"/>
    <w:basedOn w:val="Fuentedeprrafopredeter"/>
    <w:uiPriority w:val="99"/>
    <w:semiHidden/>
    <w:unhideWhenUsed/>
    <w:rsid w:val="008C3A64"/>
    <w:rPr>
      <w:color w:val="808080"/>
      <w:shd w:val="clear" w:color="auto" w:fill="E6E6E6"/>
    </w:rPr>
  </w:style>
  <w:style w:type="character" w:customStyle="1" w:styleId="Mencinsinresolver100000000000000">
    <w:name w:val="Mención sin resolver100000000000000"/>
    <w:basedOn w:val="Fuentedeprrafopredeter"/>
    <w:uiPriority w:val="99"/>
    <w:semiHidden/>
    <w:unhideWhenUsed/>
    <w:rsid w:val="008C3A64"/>
    <w:rPr>
      <w:color w:val="808080"/>
      <w:shd w:val="clear" w:color="auto" w:fill="E6E6E6"/>
    </w:rPr>
  </w:style>
  <w:style w:type="character" w:customStyle="1" w:styleId="Mencinsinresolver1000000000000000">
    <w:name w:val="Mención sin resolver1000000000000000"/>
    <w:basedOn w:val="Fuentedeprrafopredeter"/>
    <w:uiPriority w:val="99"/>
    <w:semiHidden/>
    <w:unhideWhenUsed/>
    <w:rsid w:val="008C3A64"/>
    <w:rPr>
      <w:color w:val="808080"/>
      <w:shd w:val="clear" w:color="auto" w:fill="E6E6E6"/>
    </w:rPr>
  </w:style>
  <w:style w:type="character" w:customStyle="1" w:styleId="Mencinsinresolver10000000000000000">
    <w:name w:val="Mención sin resolver10000000000000000"/>
    <w:basedOn w:val="Fuentedeprrafopredeter"/>
    <w:uiPriority w:val="99"/>
    <w:semiHidden/>
    <w:unhideWhenUsed/>
    <w:rsid w:val="008C3A64"/>
    <w:rPr>
      <w:color w:val="808080"/>
      <w:shd w:val="clear" w:color="auto" w:fill="E6E6E6"/>
    </w:rPr>
  </w:style>
  <w:style w:type="character" w:customStyle="1" w:styleId="Mencinsinresolver100000000000000000">
    <w:name w:val="Mención sin resolver100000000000000000"/>
    <w:basedOn w:val="Fuentedeprrafopredeter"/>
    <w:uiPriority w:val="99"/>
    <w:semiHidden/>
    <w:unhideWhenUsed/>
    <w:rsid w:val="008C3A64"/>
    <w:rPr>
      <w:color w:val="808080"/>
      <w:shd w:val="clear" w:color="auto" w:fill="E6E6E6"/>
    </w:rPr>
  </w:style>
  <w:style w:type="character" w:customStyle="1" w:styleId="Mencinsinresolver1000000000000000000">
    <w:name w:val="Mención sin resolver1000000000000000000"/>
    <w:basedOn w:val="Fuentedeprrafopredeter"/>
    <w:uiPriority w:val="99"/>
    <w:semiHidden/>
    <w:unhideWhenUsed/>
    <w:rsid w:val="008C3A64"/>
    <w:rPr>
      <w:color w:val="808080"/>
      <w:shd w:val="clear" w:color="auto" w:fill="E6E6E6"/>
    </w:rPr>
  </w:style>
  <w:style w:type="character" w:customStyle="1" w:styleId="Mencinsinresolver10000000000000000000">
    <w:name w:val="Mención sin resolver10000000000000000000"/>
    <w:basedOn w:val="Fuentedeprrafopredeter"/>
    <w:uiPriority w:val="99"/>
    <w:semiHidden/>
    <w:unhideWhenUsed/>
    <w:rsid w:val="008C3A64"/>
    <w:rPr>
      <w:color w:val="808080"/>
      <w:shd w:val="clear" w:color="auto" w:fill="E6E6E6"/>
    </w:rPr>
  </w:style>
  <w:style w:type="character" w:customStyle="1" w:styleId="Mencinsinresolver100000000000000000000">
    <w:name w:val="Mención sin resolver100000000000000000000"/>
    <w:basedOn w:val="Fuentedeprrafopredeter"/>
    <w:uiPriority w:val="99"/>
    <w:semiHidden/>
    <w:unhideWhenUsed/>
    <w:rsid w:val="008C3A64"/>
    <w:rPr>
      <w:color w:val="808080"/>
      <w:shd w:val="clear" w:color="auto" w:fill="E6E6E6"/>
    </w:rPr>
  </w:style>
  <w:style w:type="character" w:customStyle="1" w:styleId="Mencinsinresolver1000000000000000000000">
    <w:name w:val="Mención sin resolver1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
    <w:name w:val="Mención sin resolver1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
    <w:name w:val="Mención sin resolver1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
    <w:name w:val="Mención sin resolver1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
    <w:name w:val="Mención sin resolver1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
    <w:name w:val="Mención sin resolver1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
    <w:name w:val="Mención sin resolver1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
    <w:name w:val="Mención sin resolver1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
    <w:name w:val="Mención sin resolver1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
    <w:name w:val="Mención sin resolver1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
    <w:name w:val="Mención sin resolver1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
    <w:name w:val="Mención sin resolver1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
    <w:name w:val="Mención sin resolver1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
    <w:name w:val="Mención sin resolver10000000000000000000000000000000000"/>
    <w:basedOn w:val="Fuentedeprrafopredeter"/>
    <w:uiPriority w:val="99"/>
    <w:semiHidden/>
    <w:unhideWhenUsed/>
    <w:rsid w:val="008C3A64"/>
    <w:rPr>
      <w:color w:val="808080"/>
      <w:shd w:val="clear" w:color="auto" w:fill="E6E6E6"/>
    </w:rPr>
  </w:style>
  <w:style w:type="table" w:customStyle="1" w:styleId="Tablaconcuadrcula4">
    <w:name w:val="Tabla con cuadrícula4"/>
    <w:basedOn w:val="Tablanormal"/>
    <w:next w:val="Tablaconcuadrcula"/>
    <w:uiPriority w:val="39"/>
    <w:rsid w:val="008C3A6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00000000000000000000000000000000000">
    <w:name w:val="Mención sin resolver1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
    <w:name w:val="Mención sin resolver1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
    <w:name w:val="Mención sin resolver1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
    <w:name w:val="Mención sin resolver1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
    <w:name w:val="Mención sin resolver1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
    <w:name w:val="Mención sin resolver1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
    <w:name w:val="Mención sin resolver1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
    <w:name w:val="Mención sin resolver1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
    <w:name w:val="Mención sin resolver1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
    <w:name w:val="Mención sin resolver1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
    <w:name w:val="Mención sin resolver1000000000000000000000000000000000000000000000"/>
    <w:basedOn w:val="Fuentedeprrafopredeter"/>
    <w:uiPriority w:val="99"/>
    <w:semiHidden/>
    <w:unhideWhenUsed/>
    <w:rsid w:val="008C3A64"/>
    <w:rPr>
      <w:color w:val="808080"/>
      <w:shd w:val="clear" w:color="auto" w:fill="E6E6E6"/>
    </w:rPr>
  </w:style>
  <w:style w:type="paragraph" w:customStyle="1" w:styleId="msonormal0">
    <w:name w:val="msonormal"/>
    <w:basedOn w:val="Normal"/>
    <w:rsid w:val="008C3A64"/>
    <w:pPr>
      <w:spacing w:before="100" w:beforeAutospacing="1" w:after="100" w:afterAutospacing="1"/>
      <w:jc w:val="left"/>
    </w:pPr>
    <w:rPr>
      <w:rFonts w:ascii="Times New Roman" w:hAnsi="Times New Roman"/>
      <w:sz w:val="24"/>
      <w:lang w:eastAsia="es-CO"/>
    </w:rPr>
  </w:style>
  <w:style w:type="paragraph" w:customStyle="1" w:styleId="font5">
    <w:name w:val="font5"/>
    <w:basedOn w:val="Normal"/>
    <w:rsid w:val="008C3A64"/>
    <w:pPr>
      <w:spacing w:before="100" w:beforeAutospacing="1" w:after="100" w:afterAutospacing="1"/>
      <w:jc w:val="left"/>
    </w:pPr>
    <w:rPr>
      <w:rFonts w:ascii="Roboto" w:hAnsi="Roboto"/>
      <w:b/>
      <w:bCs/>
      <w:color w:val="000000"/>
      <w:szCs w:val="20"/>
      <w:lang w:eastAsia="es-CO"/>
    </w:rPr>
  </w:style>
  <w:style w:type="paragraph" w:customStyle="1" w:styleId="font6">
    <w:name w:val="font6"/>
    <w:basedOn w:val="Normal"/>
    <w:rsid w:val="008C3A64"/>
    <w:pPr>
      <w:spacing w:before="100" w:beforeAutospacing="1" w:after="100" w:afterAutospacing="1"/>
      <w:jc w:val="left"/>
    </w:pPr>
    <w:rPr>
      <w:rFonts w:ascii="Roboto" w:hAnsi="Roboto"/>
      <w:color w:val="000000"/>
      <w:sz w:val="14"/>
      <w:szCs w:val="14"/>
      <w:lang w:eastAsia="es-CO"/>
    </w:rPr>
  </w:style>
  <w:style w:type="paragraph" w:customStyle="1" w:styleId="font7">
    <w:name w:val="font7"/>
    <w:basedOn w:val="Normal"/>
    <w:rsid w:val="008C3A64"/>
    <w:pPr>
      <w:spacing w:before="100" w:beforeAutospacing="1" w:after="100" w:afterAutospacing="1"/>
      <w:jc w:val="left"/>
    </w:pPr>
    <w:rPr>
      <w:rFonts w:ascii="Roboto" w:hAnsi="Roboto"/>
      <w:b/>
      <w:bCs/>
      <w:color w:val="000000"/>
      <w:sz w:val="14"/>
      <w:szCs w:val="14"/>
      <w:lang w:eastAsia="es-CO"/>
    </w:rPr>
  </w:style>
  <w:style w:type="paragraph" w:customStyle="1" w:styleId="font8">
    <w:name w:val="font8"/>
    <w:basedOn w:val="Normal"/>
    <w:rsid w:val="008C3A64"/>
    <w:pPr>
      <w:spacing w:before="100" w:beforeAutospacing="1" w:after="100" w:afterAutospacing="1"/>
      <w:jc w:val="left"/>
    </w:pPr>
    <w:rPr>
      <w:rFonts w:ascii="Roboto" w:hAnsi="Roboto"/>
      <w:b/>
      <w:bCs/>
      <w:color w:val="00B050"/>
      <w:szCs w:val="20"/>
      <w:lang w:eastAsia="es-CO"/>
    </w:rPr>
  </w:style>
  <w:style w:type="paragraph" w:customStyle="1" w:styleId="font9">
    <w:name w:val="font9"/>
    <w:basedOn w:val="Normal"/>
    <w:rsid w:val="008C3A64"/>
    <w:pPr>
      <w:spacing w:before="100" w:beforeAutospacing="1" w:after="100" w:afterAutospacing="1"/>
      <w:jc w:val="left"/>
    </w:pPr>
    <w:rPr>
      <w:rFonts w:ascii="Roboto" w:hAnsi="Roboto"/>
      <w:color w:val="00B050"/>
      <w:szCs w:val="20"/>
      <w:lang w:eastAsia="es-CO"/>
    </w:rPr>
  </w:style>
  <w:style w:type="paragraph" w:customStyle="1" w:styleId="font10">
    <w:name w:val="font10"/>
    <w:basedOn w:val="Normal"/>
    <w:rsid w:val="008C3A64"/>
    <w:pPr>
      <w:spacing w:before="100" w:beforeAutospacing="1" w:after="100" w:afterAutospacing="1"/>
      <w:jc w:val="left"/>
    </w:pPr>
    <w:rPr>
      <w:rFonts w:ascii="Roboto" w:hAnsi="Roboto"/>
      <w:color w:val="000000"/>
      <w:szCs w:val="20"/>
      <w:lang w:eastAsia="es-CO"/>
    </w:rPr>
  </w:style>
  <w:style w:type="paragraph" w:customStyle="1" w:styleId="xl65">
    <w:name w:val="xl65"/>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Roboto" w:hAnsi="Roboto"/>
      <w:b/>
      <w:bCs/>
      <w:szCs w:val="20"/>
      <w:lang w:eastAsia="es-CO"/>
    </w:rPr>
  </w:style>
  <w:style w:type="paragraph" w:customStyle="1" w:styleId="xl66">
    <w:name w:val="xl66"/>
    <w:basedOn w:val="Normal"/>
    <w:rsid w:val="008C3A64"/>
    <w:pPr>
      <w:pBdr>
        <w:top w:val="single" w:sz="8"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Roboto" w:hAnsi="Roboto"/>
      <w:b/>
      <w:bCs/>
      <w:sz w:val="24"/>
      <w:lang w:eastAsia="es-CO"/>
    </w:rPr>
  </w:style>
  <w:style w:type="paragraph" w:customStyle="1" w:styleId="xl67">
    <w:name w:val="xl67"/>
    <w:basedOn w:val="Normal"/>
    <w:rsid w:val="008C3A64"/>
    <w:pPr>
      <w:pBdr>
        <w:top w:val="single" w:sz="8" w:space="0" w:color="auto"/>
        <w:left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rFonts w:ascii="Roboto" w:hAnsi="Roboto"/>
      <w:b/>
      <w:bCs/>
      <w:sz w:val="24"/>
      <w:lang w:eastAsia="es-CO"/>
    </w:rPr>
  </w:style>
  <w:style w:type="paragraph" w:customStyle="1" w:styleId="xl85">
    <w:name w:val="xl85"/>
    <w:basedOn w:val="Normal"/>
    <w:rsid w:val="008C3A64"/>
    <w:pPr>
      <w:pBdr>
        <w:top w:val="single" w:sz="4" w:space="0" w:color="auto"/>
        <w:left w:val="single" w:sz="4" w:space="0" w:color="auto"/>
        <w:bottom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6">
    <w:name w:val="xl86"/>
    <w:basedOn w:val="Normal"/>
    <w:rsid w:val="008C3A64"/>
    <w:pPr>
      <w:pBdr>
        <w:top w:val="single" w:sz="4" w:space="0" w:color="auto"/>
        <w:bottom w:val="single" w:sz="4" w:space="0" w:color="auto"/>
        <w:right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7">
    <w:name w:val="xl87"/>
    <w:basedOn w:val="Normal"/>
    <w:rsid w:val="008C3A64"/>
    <w:pPr>
      <w:pBdr>
        <w:top w:val="single" w:sz="4" w:space="0" w:color="auto"/>
        <w:left w:val="single" w:sz="4" w:space="0" w:color="auto"/>
        <w:bottom w:val="single" w:sz="8"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8">
    <w:name w:val="xl88"/>
    <w:basedOn w:val="Normal"/>
    <w:rsid w:val="008C3A64"/>
    <w:pPr>
      <w:pBdr>
        <w:top w:val="single" w:sz="4" w:space="0" w:color="auto"/>
        <w:bottom w:val="single" w:sz="8" w:space="0" w:color="auto"/>
        <w:right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9">
    <w:name w:val="xl89"/>
    <w:basedOn w:val="Normal"/>
    <w:rsid w:val="008C3A64"/>
    <w:pPr>
      <w:pBdr>
        <w:top w:val="single" w:sz="8" w:space="0" w:color="auto"/>
        <w:left w:val="single" w:sz="8" w:space="0" w:color="auto"/>
      </w:pBdr>
      <w:shd w:val="clear" w:color="000000" w:fill="F4B084"/>
      <w:spacing w:before="100" w:beforeAutospacing="1" w:after="100" w:afterAutospacing="1"/>
      <w:jc w:val="center"/>
    </w:pPr>
    <w:rPr>
      <w:rFonts w:ascii="Roboto" w:hAnsi="Roboto"/>
      <w:b/>
      <w:bCs/>
      <w:szCs w:val="20"/>
      <w:lang w:eastAsia="es-CO"/>
    </w:rPr>
  </w:style>
  <w:style w:type="paragraph" w:customStyle="1" w:styleId="xl90">
    <w:name w:val="xl90"/>
    <w:basedOn w:val="Normal"/>
    <w:rsid w:val="008C3A64"/>
    <w:pPr>
      <w:pBdr>
        <w:top w:val="single" w:sz="8" w:space="0" w:color="auto"/>
      </w:pBdr>
      <w:shd w:val="clear" w:color="000000" w:fill="F4B084"/>
      <w:spacing w:before="100" w:beforeAutospacing="1" w:after="100" w:afterAutospacing="1"/>
      <w:jc w:val="center"/>
    </w:pPr>
    <w:rPr>
      <w:rFonts w:ascii="Roboto" w:hAnsi="Roboto"/>
      <w:b/>
      <w:bCs/>
      <w:szCs w:val="20"/>
      <w:lang w:eastAsia="es-CO"/>
    </w:rPr>
  </w:style>
  <w:style w:type="paragraph" w:customStyle="1" w:styleId="xl91">
    <w:name w:val="xl91"/>
    <w:basedOn w:val="Normal"/>
    <w:rsid w:val="008C3A64"/>
    <w:pPr>
      <w:pBdr>
        <w:top w:val="single" w:sz="8" w:space="0" w:color="auto"/>
        <w:right w:val="single" w:sz="8" w:space="0" w:color="auto"/>
      </w:pBdr>
      <w:shd w:val="clear" w:color="000000" w:fill="F4B084"/>
      <w:spacing w:before="100" w:beforeAutospacing="1" w:after="100" w:afterAutospacing="1"/>
      <w:jc w:val="center"/>
    </w:pPr>
    <w:rPr>
      <w:rFonts w:ascii="Roboto" w:hAnsi="Roboto"/>
      <w:b/>
      <w:bCs/>
      <w:szCs w:val="20"/>
      <w:lang w:eastAsia="es-CO"/>
    </w:rPr>
  </w:style>
  <w:style w:type="paragraph" w:customStyle="1" w:styleId="xl92">
    <w:name w:val="xl92"/>
    <w:basedOn w:val="Normal"/>
    <w:rsid w:val="008C3A64"/>
    <w:pPr>
      <w:pBdr>
        <w:top w:val="single" w:sz="8" w:space="0" w:color="auto"/>
        <w:left w:val="single" w:sz="8" w:space="0" w:color="auto"/>
        <w:bottom w:val="single" w:sz="8" w:space="0" w:color="auto"/>
      </w:pBdr>
      <w:spacing w:before="100" w:beforeAutospacing="1" w:after="100" w:afterAutospacing="1"/>
      <w:jc w:val="center"/>
      <w:textAlignment w:val="center"/>
    </w:pPr>
    <w:rPr>
      <w:rFonts w:ascii="Roboto" w:hAnsi="Roboto"/>
      <w:sz w:val="24"/>
      <w:lang w:eastAsia="es-CO"/>
    </w:rPr>
  </w:style>
  <w:style w:type="paragraph" w:customStyle="1" w:styleId="xl93">
    <w:name w:val="xl93"/>
    <w:basedOn w:val="Normal"/>
    <w:rsid w:val="008C3A64"/>
    <w:pPr>
      <w:pBdr>
        <w:top w:val="single" w:sz="8" w:space="0" w:color="auto"/>
        <w:bottom w:val="single" w:sz="8" w:space="0" w:color="auto"/>
      </w:pBdr>
      <w:spacing w:before="100" w:beforeAutospacing="1" w:after="100" w:afterAutospacing="1"/>
      <w:jc w:val="center"/>
      <w:textAlignment w:val="center"/>
    </w:pPr>
    <w:rPr>
      <w:rFonts w:ascii="Roboto" w:hAnsi="Roboto"/>
      <w:sz w:val="24"/>
      <w:lang w:eastAsia="es-CO"/>
    </w:rPr>
  </w:style>
  <w:style w:type="paragraph" w:customStyle="1" w:styleId="xl94">
    <w:name w:val="xl94"/>
    <w:basedOn w:val="Normal"/>
    <w:rsid w:val="008C3A64"/>
    <w:pPr>
      <w:pBdr>
        <w:top w:val="single" w:sz="8" w:space="0" w:color="auto"/>
        <w:left w:val="single" w:sz="4" w:space="0" w:color="auto"/>
        <w:bottom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95">
    <w:name w:val="xl95"/>
    <w:basedOn w:val="Normal"/>
    <w:rsid w:val="008C3A64"/>
    <w:pPr>
      <w:pBdr>
        <w:top w:val="single" w:sz="8" w:space="0" w:color="auto"/>
        <w:bottom w:val="single" w:sz="4" w:space="0" w:color="auto"/>
        <w:right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96">
    <w:name w:val="xl96"/>
    <w:basedOn w:val="Normal"/>
    <w:rsid w:val="008C3A64"/>
    <w:pPr>
      <w:pBdr>
        <w:bottom w:val="single" w:sz="8" w:space="0" w:color="auto"/>
      </w:pBdr>
      <w:shd w:val="clear" w:color="000000" w:fill="FFD966"/>
      <w:spacing w:before="100" w:beforeAutospacing="1" w:after="100" w:afterAutospacing="1"/>
      <w:jc w:val="left"/>
    </w:pPr>
    <w:rPr>
      <w:rFonts w:ascii="Roboto" w:hAnsi="Roboto"/>
      <w:b/>
      <w:bCs/>
      <w:szCs w:val="20"/>
      <w:lang w:eastAsia="es-CO"/>
    </w:rPr>
  </w:style>
  <w:style w:type="paragraph" w:customStyle="1" w:styleId="xl97">
    <w:name w:val="xl97"/>
    <w:basedOn w:val="Normal"/>
    <w:rsid w:val="008C3A64"/>
    <w:pPr>
      <w:pBdr>
        <w:top w:val="single" w:sz="8" w:space="0" w:color="auto"/>
        <w:left w:val="single" w:sz="8" w:space="0" w:color="auto"/>
      </w:pBdr>
      <w:shd w:val="clear" w:color="000000" w:fill="9BC2E6"/>
      <w:spacing w:before="100" w:beforeAutospacing="1" w:after="100" w:afterAutospacing="1"/>
      <w:jc w:val="left"/>
    </w:pPr>
    <w:rPr>
      <w:rFonts w:ascii="Roboto" w:hAnsi="Roboto"/>
      <w:b/>
      <w:bCs/>
      <w:szCs w:val="20"/>
      <w:lang w:eastAsia="es-CO"/>
    </w:rPr>
  </w:style>
  <w:style w:type="paragraph" w:customStyle="1" w:styleId="xl98">
    <w:name w:val="xl98"/>
    <w:basedOn w:val="Normal"/>
    <w:rsid w:val="008C3A64"/>
    <w:pPr>
      <w:pBdr>
        <w:top w:val="single" w:sz="8" w:space="0" w:color="auto"/>
      </w:pBdr>
      <w:shd w:val="clear" w:color="000000" w:fill="9BC2E6"/>
      <w:spacing w:before="100" w:beforeAutospacing="1" w:after="100" w:afterAutospacing="1"/>
      <w:jc w:val="left"/>
    </w:pPr>
    <w:rPr>
      <w:rFonts w:ascii="Roboto" w:hAnsi="Roboto"/>
      <w:b/>
      <w:bCs/>
      <w:szCs w:val="20"/>
      <w:lang w:eastAsia="es-CO"/>
    </w:rPr>
  </w:style>
  <w:style w:type="paragraph" w:customStyle="1" w:styleId="xl99">
    <w:name w:val="xl99"/>
    <w:basedOn w:val="Normal"/>
    <w:rsid w:val="008C3A64"/>
    <w:pPr>
      <w:pBdr>
        <w:top w:val="single" w:sz="8" w:space="0" w:color="auto"/>
        <w:right w:val="single" w:sz="8" w:space="0" w:color="auto"/>
      </w:pBdr>
      <w:shd w:val="clear" w:color="000000" w:fill="9BC2E6"/>
      <w:spacing w:before="100" w:beforeAutospacing="1" w:after="100" w:afterAutospacing="1"/>
      <w:jc w:val="left"/>
    </w:pPr>
    <w:rPr>
      <w:rFonts w:ascii="Roboto" w:hAnsi="Roboto"/>
      <w:b/>
      <w:bCs/>
      <w:szCs w:val="20"/>
      <w:lang w:eastAsia="es-CO"/>
    </w:rPr>
  </w:style>
  <w:style w:type="numbering" w:customStyle="1" w:styleId="Estilo21">
    <w:name w:val="Estilo21"/>
    <w:uiPriority w:val="99"/>
    <w:rsid w:val="008C3A64"/>
    <w:pPr>
      <w:numPr>
        <w:numId w:val="16"/>
      </w:numPr>
    </w:pPr>
  </w:style>
  <w:style w:type="character" w:customStyle="1" w:styleId="normaltextrun">
    <w:name w:val="normaltextrun"/>
    <w:basedOn w:val="Fuentedeprrafopredeter"/>
    <w:rsid w:val="008C3A64"/>
  </w:style>
  <w:style w:type="character" w:customStyle="1" w:styleId="eop">
    <w:name w:val="eop"/>
    <w:basedOn w:val="Fuentedeprrafopredeter"/>
    <w:rsid w:val="008C3A64"/>
  </w:style>
  <w:style w:type="character" w:customStyle="1" w:styleId="spellingerror">
    <w:name w:val="spellingerror"/>
    <w:basedOn w:val="Fuentedeprrafopredeter"/>
    <w:rsid w:val="008C3A64"/>
  </w:style>
  <w:style w:type="paragraph" w:customStyle="1" w:styleId="xl100">
    <w:name w:val="xl100"/>
    <w:basedOn w:val="Normal"/>
    <w:rsid w:val="008C3A64"/>
    <w:pPr>
      <w:pBdr>
        <w:top w:val="single" w:sz="8" w:space="0" w:color="auto"/>
      </w:pBdr>
      <w:shd w:val="clear" w:color="000000" w:fill="DDEBF7"/>
      <w:spacing w:before="100" w:beforeAutospacing="1" w:after="100" w:afterAutospacing="1"/>
      <w:jc w:val="center"/>
      <w:textAlignment w:val="center"/>
    </w:pPr>
    <w:rPr>
      <w:rFonts w:ascii="Roboto" w:hAnsi="Roboto"/>
      <w:sz w:val="14"/>
      <w:szCs w:val="14"/>
      <w:lang w:eastAsia="es-CO"/>
    </w:rPr>
  </w:style>
  <w:style w:type="paragraph" w:customStyle="1" w:styleId="xl101">
    <w:name w:val="xl101"/>
    <w:basedOn w:val="Normal"/>
    <w:rsid w:val="008C3A64"/>
    <w:pPr>
      <w:pBdr>
        <w:left w:val="single" w:sz="8" w:space="0" w:color="auto"/>
      </w:pBdr>
      <w:shd w:val="clear" w:color="000000" w:fill="F7FED6"/>
      <w:spacing w:before="100" w:beforeAutospacing="1" w:after="100" w:afterAutospacing="1"/>
      <w:jc w:val="center"/>
      <w:textAlignment w:val="center"/>
    </w:pPr>
    <w:rPr>
      <w:rFonts w:ascii="Roboto" w:hAnsi="Roboto"/>
      <w:sz w:val="14"/>
      <w:szCs w:val="14"/>
      <w:lang w:eastAsia="es-CO"/>
    </w:rPr>
  </w:style>
  <w:style w:type="paragraph" w:customStyle="1" w:styleId="xl102">
    <w:name w:val="xl102"/>
    <w:basedOn w:val="Normal"/>
    <w:rsid w:val="008C3A64"/>
    <w:pPr>
      <w:pBdr>
        <w:top w:val="single" w:sz="8" w:space="0" w:color="auto"/>
        <w:left w:val="single" w:sz="8" w:space="0" w:color="auto"/>
        <w:right w:val="single" w:sz="8" w:space="0" w:color="auto"/>
      </w:pBdr>
      <w:shd w:val="clear" w:color="000000" w:fill="F7FED6"/>
      <w:spacing w:before="100" w:beforeAutospacing="1" w:after="100" w:afterAutospacing="1"/>
      <w:jc w:val="center"/>
      <w:textAlignment w:val="center"/>
    </w:pPr>
    <w:rPr>
      <w:rFonts w:ascii="Roboto" w:hAnsi="Roboto"/>
      <w:sz w:val="14"/>
      <w:szCs w:val="14"/>
      <w:lang w:eastAsia="es-CO"/>
    </w:rPr>
  </w:style>
  <w:style w:type="paragraph" w:customStyle="1" w:styleId="xl103">
    <w:name w:val="xl103"/>
    <w:basedOn w:val="Normal"/>
    <w:rsid w:val="008C3A64"/>
    <w:pPr>
      <w:pBdr>
        <w:right w:val="single" w:sz="8" w:space="0" w:color="auto"/>
      </w:pBdr>
      <w:shd w:val="clear" w:color="000000" w:fill="F7FED6"/>
      <w:spacing w:before="100" w:beforeAutospacing="1" w:after="100" w:afterAutospacing="1"/>
      <w:jc w:val="center"/>
      <w:textAlignment w:val="center"/>
    </w:pPr>
    <w:rPr>
      <w:rFonts w:ascii="Roboto" w:hAnsi="Roboto"/>
      <w:sz w:val="14"/>
      <w:szCs w:val="14"/>
      <w:lang w:eastAsia="es-CO"/>
    </w:rPr>
  </w:style>
  <w:style w:type="paragraph" w:customStyle="1" w:styleId="xl104">
    <w:name w:val="xl104"/>
    <w:basedOn w:val="Normal"/>
    <w:rsid w:val="008C3A64"/>
    <w:pPr>
      <w:pBdr>
        <w:left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rFonts w:ascii="Roboto" w:hAnsi="Roboto"/>
      <w:b/>
      <w:bCs/>
      <w:sz w:val="24"/>
      <w:lang w:eastAsia="es-CO"/>
    </w:rPr>
  </w:style>
  <w:style w:type="paragraph" w:customStyle="1" w:styleId="xl105">
    <w:name w:val="xl105"/>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Roboto" w:hAnsi="Roboto"/>
      <w:sz w:val="24"/>
      <w:lang w:eastAsia="es-CO"/>
    </w:rPr>
  </w:style>
  <w:style w:type="character" w:customStyle="1" w:styleId="Mencinsinresolver10000000000000000000000000000000000000000000000">
    <w:name w:val="Mención sin resolver1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
    <w:name w:val="Mención sin resolver1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
    <w:name w:val="Mención sin resolver1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
    <w:name w:val="Mención sin resolver1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
    <w:name w:val="Mención sin resolver1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
    <w:name w:val="Mención sin resolver1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
    <w:name w:val="Mención sin resolver1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
    <w:name w:val="Mención sin resolver1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
    <w:name w:val="Mención sin resolver1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
    <w:name w:val="Mención sin resolver1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
    <w:name w:val="Mención sin resolver1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
    <w:name w:val="Mención sin resolver1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
    <w:name w:val="Mención sin resolver1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
    <w:name w:val="Mención sin resolver1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
    <w:name w:val="Mención sin resolver1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
    <w:name w:val="Mención sin resolver1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
    <w:name w:val="Mención sin resolver1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
    <w:name w:val="Mención sin resolver1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
    <w:name w:val="Mención sin resolver1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
    <w:name w:val="Mención sin resolver1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
    <w:name w:val="Mención sin resolver1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
    <w:name w:val="Mención sin resolver1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
    <w:name w:val="Mención sin resolver1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
    <w:name w:val="Mención sin resolver1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
    <w:name w:val="Mención sin resolver1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
    <w:name w:val="Mención sin resolver1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
    <w:name w:val="Mención sin resolver1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
    <w:name w:val="Mención sin resolver1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
    <w:name w:val="Mención sin resolver1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
    <w:name w:val="Mención sin resolver1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
    <w:name w:val="Mención sin resolver1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
    <w:name w:val="Mención sin resolver1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
    <w:name w:val="Mención sin resolver1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
    <w:name w:val="Mención sin resolver1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
    <w:name w:val="Mención sin resolver1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
    <w:name w:val="Mención sin resolver1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
    <w:name w:val="Mención sin resolver1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
    <w:name w:val="Mención sin resolver1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
    <w:name w:val="Mención sin resolver1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
    <w:name w:val="Mención sin resolver1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
    <w:name w:val="Mención sin resolver1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
    <w:name w:val="Mención sin resolver10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0">
    <w:name w:val="Mención sin resolver100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00">
    <w:name w:val="Mención sin resolver1000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esrinumericvalue">
    <w:name w:val="esrinumericvalue"/>
    <w:basedOn w:val="Fuentedeprrafopredeter"/>
    <w:rsid w:val="008C3A64"/>
  </w:style>
  <w:style w:type="table" w:customStyle="1" w:styleId="Tablaconcuadrcula12">
    <w:name w:val="Tabla con cuadrícula12"/>
    <w:basedOn w:val="Tablanormal"/>
    <w:next w:val="Tablaconcuadrcula"/>
    <w:uiPriority w:val="39"/>
    <w:rsid w:val="008C3A64"/>
    <w:rPr>
      <w:rFonts w:eastAsia="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iasutil">
    <w:name w:val="Subtle Reference"/>
    <w:uiPriority w:val="31"/>
    <w:qFormat/>
    <w:rsid w:val="008C3A64"/>
    <w:rPr>
      <w:sz w:val="16"/>
      <w:lang w:val="en-GB"/>
    </w:rPr>
  </w:style>
  <w:style w:type="paragraph" w:customStyle="1" w:styleId="Fuentealpiedegrfico">
    <w:name w:val="Fuente al pie de gráfico"/>
    <w:basedOn w:val="Normal"/>
    <w:link w:val="FuentealpiedegrficoCar"/>
    <w:qFormat/>
    <w:rsid w:val="008C3A64"/>
    <w:pPr>
      <w:spacing w:after="160" w:line="276" w:lineRule="auto"/>
      <w:jc w:val="right"/>
    </w:pPr>
    <w:rPr>
      <w:rFonts w:ascii="Arial Narrow" w:eastAsiaTheme="minorHAnsi" w:hAnsi="Arial Narrow" w:cstheme="minorBidi"/>
      <w:color w:val="404040" w:themeColor="text1" w:themeTint="BF"/>
      <w:sz w:val="18"/>
      <w:szCs w:val="22"/>
      <w:lang w:val="es-MX" w:eastAsia="en-US"/>
    </w:rPr>
  </w:style>
  <w:style w:type="character" w:customStyle="1" w:styleId="FuentealpiedegrficoCar">
    <w:name w:val="Fuente al pie de gráfico Car"/>
    <w:basedOn w:val="Fuentedeprrafopredeter"/>
    <w:link w:val="Fuentealpiedegrfico"/>
    <w:rsid w:val="008C3A64"/>
    <w:rPr>
      <w:rFonts w:ascii="Arial Narrow" w:hAnsi="Arial Narrow"/>
      <w:color w:val="404040" w:themeColor="text1" w:themeTint="BF"/>
      <w:sz w:val="18"/>
      <w:szCs w:val="22"/>
      <w:lang w:val="es-MX"/>
    </w:rPr>
  </w:style>
  <w:style w:type="paragraph" w:styleId="Cita">
    <w:name w:val="Quote"/>
    <w:basedOn w:val="Normal"/>
    <w:next w:val="Normal"/>
    <w:link w:val="CitaCar"/>
    <w:uiPriority w:val="29"/>
    <w:qFormat/>
    <w:rsid w:val="008C3A64"/>
    <w:pPr>
      <w:spacing w:before="200" w:after="160" w:line="276" w:lineRule="auto"/>
      <w:ind w:left="864" w:right="864"/>
      <w:jc w:val="center"/>
    </w:pPr>
    <w:rPr>
      <w:rFonts w:ascii="Arial Narrow" w:eastAsiaTheme="minorHAnsi" w:hAnsi="Arial Narrow" w:cstheme="minorBidi"/>
      <w:i/>
      <w:iCs/>
      <w:color w:val="404040" w:themeColor="text1" w:themeTint="BF"/>
      <w:sz w:val="24"/>
      <w:szCs w:val="22"/>
      <w:lang w:val="en-US" w:eastAsia="en-US"/>
    </w:rPr>
  </w:style>
  <w:style w:type="character" w:customStyle="1" w:styleId="CitaCar">
    <w:name w:val="Cita Car"/>
    <w:basedOn w:val="Fuentedeprrafopredeter"/>
    <w:link w:val="Cita"/>
    <w:uiPriority w:val="29"/>
    <w:rsid w:val="008C3A64"/>
    <w:rPr>
      <w:rFonts w:ascii="Arial Narrow" w:hAnsi="Arial Narrow"/>
      <w:i/>
      <w:iCs/>
      <w:color w:val="404040" w:themeColor="text1" w:themeTint="BF"/>
      <w:szCs w:val="22"/>
      <w:lang w:val="en-US"/>
    </w:rPr>
  </w:style>
  <w:style w:type="paragraph" w:customStyle="1" w:styleId="Ttulo41">
    <w:name w:val="Título 41"/>
    <w:basedOn w:val="Normal"/>
    <w:next w:val="Normal"/>
    <w:uiPriority w:val="9"/>
    <w:unhideWhenUsed/>
    <w:qFormat/>
    <w:rsid w:val="008C3A64"/>
    <w:pPr>
      <w:tabs>
        <w:tab w:val="num" w:pos="360"/>
      </w:tabs>
      <w:spacing w:after="120" w:line="257" w:lineRule="auto"/>
      <w:outlineLvl w:val="3"/>
    </w:pPr>
    <w:rPr>
      <w:rFonts w:ascii="Arial" w:eastAsiaTheme="minorHAnsi" w:hAnsi="Arial" w:cs="Calibri"/>
      <w:b/>
      <w:bCs/>
      <w:color w:val="91C0C8"/>
      <w:szCs w:val="21"/>
      <w:lang w:val="es-MX" w:eastAsia="en-US"/>
    </w:rPr>
  </w:style>
  <w:style w:type="paragraph" w:customStyle="1" w:styleId="ENGNormal">
    <w:name w:val="ENG_Normal"/>
    <w:basedOn w:val="Normal"/>
    <w:rsid w:val="008C3A64"/>
    <w:pPr>
      <w:spacing w:after="160" w:line="276" w:lineRule="auto"/>
      <w:jc w:val="left"/>
    </w:pPr>
    <w:rPr>
      <w:rFonts w:ascii="Arial Narrow" w:eastAsiaTheme="minorHAnsi" w:hAnsi="Arial Narrow" w:cstheme="minorBidi"/>
      <w:color w:val="404040" w:themeColor="text1" w:themeTint="BF"/>
      <w:sz w:val="24"/>
      <w:szCs w:val="22"/>
      <w:lang w:val="en-US" w:eastAsia="en-US"/>
    </w:rPr>
  </w:style>
  <w:style w:type="paragraph" w:styleId="HTMLconformatoprevio">
    <w:name w:val="HTML Preformatted"/>
    <w:basedOn w:val="Normal"/>
    <w:link w:val="HTMLconformatoprevioCar"/>
    <w:uiPriority w:val="99"/>
    <w:semiHidden/>
    <w:unhideWhenUsed/>
    <w:rsid w:val="008C3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lang w:val="es-US" w:eastAsia="es-US"/>
    </w:rPr>
  </w:style>
  <w:style w:type="character" w:customStyle="1" w:styleId="HTMLconformatoprevioCar">
    <w:name w:val="HTML con formato previo Car"/>
    <w:basedOn w:val="Fuentedeprrafopredeter"/>
    <w:link w:val="HTMLconformatoprevio"/>
    <w:uiPriority w:val="99"/>
    <w:semiHidden/>
    <w:rsid w:val="008C3A64"/>
    <w:rPr>
      <w:rFonts w:ascii="Courier New" w:eastAsia="Times New Roman" w:hAnsi="Courier New" w:cs="Courier New"/>
      <w:sz w:val="20"/>
      <w:szCs w:val="20"/>
      <w:lang w:val="es-US" w:eastAsia="es-US"/>
    </w:rPr>
  </w:style>
  <w:style w:type="paragraph" w:customStyle="1" w:styleId="xl106">
    <w:name w:val="xl106"/>
    <w:basedOn w:val="Normal"/>
    <w:rsid w:val="008C3A64"/>
    <w:pPr>
      <w:pBdr>
        <w:top w:val="single" w:sz="4" w:space="0" w:color="auto"/>
        <w:left w:val="single" w:sz="4" w:space="0" w:color="auto"/>
        <w:bottom w:val="single" w:sz="4" w:space="0" w:color="auto"/>
        <w:right w:val="single" w:sz="4" w:space="0" w:color="auto"/>
      </w:pBdr>
      <w:shd w:val="clear" w:color="000000" w:fill="B1A35A"/>
      <w:spacing w:before="100" w:beforeAutospacing="1" w:after="100" w:afterAutospacing="1"/>
      <w:jc w:val="center"/>
    </w:pPr>
    <w:rPr>
      <w:rFonts w:ascii="Roboto" w:hAnsi="Roboto"/>
      <w:sz w:val="18"/>
      <w:szCs w:val="18"/>
      <w:lang w:eastAsia="es-CO"/>
    </w:rPr>
  </w:style>
  <w:style w:type="paragraph" w:customStyle="1" w:styleId="xl107">
    <w:name w:val="xl107"/>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Roboto" w:hAnsi="Roboto"/>
      <w:sz w:val="18"/>
      <w:szCs w:val="18"/>
      <w:lang w:eastAsia="es-CO"/>
    </w:rPr>
  </w:style>
  <w:style w:type="paragraph" w:customStyle="1" w:styleId="xl108">
    <w:name w:val="xl108"/>
    <w:basedOn w:val="Normal"/>
    <w:rsid w:val="008C3A64"/>
    <w:pPr>
      <w:pBdr>
        <w:top w:val="single" w:sz="4" w:space="0" w:color="auto"/>
        <w:left w:val="single" w:sz="4" w:space="0" w:color="auto"/>
        <w:bottom w:val="single" w:sz="4" w:space="0" w:color="auto"/>
        <w:right w:val="single" w:sz="4" w:space="0" w:color="auto"/>
      </w:pBdr>
      <w:shd w:val="clear" w:color="000000" w:fill="527C55"/>
      <w:spacing w:before="100" w:beforeAutospacing="1" w:after="100" w:afterAutospacing="1"/>
      <w:jc w:val="center"/>
      <w:textAlignment w:val="center"/>
    </w:pPr>
    <w:rPr>
      <w:rFonts w:ascii="Roboto" w:hAnsi="Roboto"/>
      <w:b/>
      <w:bCs/>
      <w:sz w:val="18"/>
      <w:szCs w:val="18"/>
      <w:lang w:eastAsia="es-CO"/>
    </w:rPr>
  </w:style>
  <w:style w:type="paragraph" w:customStyle="1" w:styleId="xl109">
    <w:name w:val="xl109"/>
    <w:basedOn w:val="Normal"/>
    <w:rsid w:val="008C3A64"/>
    <w:pPr>
      <w:pBdr>
        <w:top w:val="single" w:sz="4" w:space="0" w:color="auto"/>
        <w:left w:val="single" w:sz="4" w:space="0" w:color="auto"/>
        <w:bottom w:val="single" w:sz="4" w:space="0" w:color="auto"/>
        <w:right w:val="single" w:sz="4" w:space="0" w:color="auto"/>
      </w:pBdr>
      <w:shd w:val="clear" w:color="000000" w:fill="527C55"/>
      <w:spacing w:before="100" w:beforeAutospacing="1" w:after="100" w:afterAutospacing="1"/>
      <w:jc w:val="left"/>
    </w:pPr>
    <w:rPr>
      <w:rFonts w:ascii="Roboto" w:hAnsi="Roboto"/>
      <w:sz w:val="18"/>
      <w:szCs w:val="18"/>
      <w:lang w:eastAsia="es-CO"/>
    </w:rPr>
  </w:style>
  <w:style w:type="paragraph" w:customStyle="1" w:styleId="xl110">
    <w:name w:val="xl110"/>
    <w:basedOn w:val="Normal"/>
    <w:rsid w:val="008C3A64"/>
    <w:pPr>
      <w:pBdr>
        <w:top w:val="single" w:sz="4" w:space="0" w:color="auto"/>
        <w:left w:val="single" w:sz="4" w:space="0" w:color="auto"/>
        <w:bottom w:val="single" w:sz="4" w:space="0" w:color="auto"/>
        <w:right w:val="single" w:sz="4" w:space="0" w:color="auto"/>
      </w:pBdr>
      <w:shd w:val="clear" w:color="000000" w:fill="527C55"/>
      <w:spacing w:before="100" w:beforeAutospacing="1" w:after="100" w:afterAutospacing="1"/>
      <w:jc w:val="center"/>
      <w:textAlignment w:val="center"/>
    </w:pPr>
    <w:rPr>
      <w:rFonts w:ascii="Roboto" w:hAnsi="Roboto"/>
      <w:sz w:val="18"/>
      <w:szCs w:val="18"/>
      <w:lang w:eastAsia="es-CO"/>
    </w:rPr>
  </w:style>
  <w:style w:type="paragraph" w:customStyle="1" w:styleId="Titulo2">
    <w:name w:val="Titulo 2"/>
    <w:basedOn w:val="Ttulo2"/>
    <w:qFormat/>
    <w:rsid w:val="008C3A64"/>
    <w:pPr>
      <w:numPr>
        <w:ilvl w:val="0"/>
        <w:numId w:val="0"/>
      </w:numPr>
      <w:spacing w:before="120" w:after="240" w:line="259" w:lineRule="auto"/>
      <w:ind w:left="576" w:hanging="576"/>
      <w:jc w:val="both"/>
    </w:pPr>
    <w:rPr>
      <w:rFonts w:ascii="Helvetica" w:hAnsi="Helvetica"/>
      <w:b w:val="0"/>
      <w:color w:val="003B55"/>
      <w:sz w:val="36"/>
      <w:lang w:val="es-MX"/>
    </w:rPr>
  </w:style>
  <w:style w:type="paragraph" w:customStyle="1" w:styleId="Titulo3">
    <w:name w:val="Titulo 3"/>
    <w:basedOn w:val="Ttulo3"/>
    <w:link w:val="Titulo3Car"/>
    <w:qFormat/>
    <w:rsid w:val="008C3A64"/>
    <w:pPr>
      <w:spacing w:before="120" w:after="160" w:line="259" w:lineRule="auto"/>
      <w:ind w:left="720" w:hanging="720"/>
    </w:pPr>
    <w:rPr>
      <w:rFonts w:ascii="Helvetica" w:hAnsi="Helvetica"/>
      <w:color w:val="0B87A1"/>
      <w:sz w:val="32"/>
      <w:lang w:val="es-MX"/>
    </w:rPr>
  </w:style>
  <w:style w:type="character" w:customStyle="1" w:styleId="Titulo3Car">
    <w:name w:val="Titulo 3 Car"/>
    <w:basedOn w:val="Fuentedeprrafopredeter"/>
    <w:link w:val="Titulo3"/>
    <w:rsid w:val="008C3A64"/>
    <w:rPr>
      <w:rFonts w:ascii="Helvetica" w:eastAsiaTheme="majorEastAsia" w:hAnsi="Helvetica" w:cstheme="majorBidi"/>
      <w:color w:val="0B87A1"/>
      <w:sz w:val="32"/>
      <w:lang w:val="es-MX"/>
    </w:rPr>
  </w:style>
  <w:style w:type="paragraph" w:customStyle="1" w:styleId="paragraph">
    <w:name w:val="paragraph"/>
    <w:basedOn w:val="Normal"/>
    <w:rsid w:val="008C3A64"/>
    <w:pPr>
      <w:spacing w:before="100" w:beforeAutospacing="1" w:after="100" w:afterAutospacing="1"/>
      <w:jc w:val="left"/>
    </w:pPr>
    <w:rPr>
      <w:rFonts w:ascii="Times New Roman" w:hAnsi="Times New Roman"/>
      <w:sz w:val="24"/>
      <w:lang w:val="es-DO" w:eastAsia="es-DO"/>
    </w:rPr>
  </w:style>
  <w:style w:type="paragraph" w:styleId="Citadestacada">
    <w:name w:val="Intense Quote"/>
    <w:basedOn w:val="Normal"/>
    <w:next w:val="Normal"/>
    <w:link w:val="CitadestacadaCar"/>
    <w:uiPriority w:val="30"/>
    <w:qFormat/>
    <w:rsid w:val="008C3A64"/>
    <w:pPr>
      <w:pBdr>
        <w:top w:val="single" w:sz="4" w:space="10" w:color="4472C4" w:themeColor="accent1"/>
        <w:bottom w:val="single" w:sz="4" w:space="10" w:color="4472C4" w:themeColor="accent1"/>
      </w:pBdr>
      <w:spacing w:before="360" w:after="360" w:line="259" w:lineRule="auto"/>
      <w:ind w:left="864" w:right="864"/>
      <w:jc w:val="center"/>
    </w:pPr>
    <w:rPr>
      <w:rFonts w:ascii="Arial" w:eastAsiaTheme="minorHAnsi" w:hAnsi="Arial" w:cstheme="minorBidi"/>
      <w:b/>
      <w:i/>
      <w:iCs/>
      <w:color w:val="4472C4" w:themeColor="accent1"/>
      <w:sz w:val="36"/>
      <w:szCs w:val="22"/>
      <w:lang w:val="es-DO" w:eastAsia="en-US"/>
    </w:rPr>
  </w:style>
  <w:style w:type="character" w:customStyle="1" w:styleId="CitadestacadaCar">
    <w:name w:val="Cita destacada Car"/>
    <w:basedOn w:val="Fuentedeprrafopredeter"/>
    <w:link w:val="Citadestacada"/>
    <w:uiPriority w:val="30"/>
    <w:rsid w:val="008C3A64"/>
    <w:rPr>
      <w:rFonts w:ascii="Arial" w:hAnsi="Arial"/>
      <w:b/>
      <w:i/>
      <w:iCs/>
      <w:color w:val="4472C4" w:themeColor="accent1"/>
      <w:sz w:val="36"/>
      <w:szCs w:val="22"/>
      <w:lang w:val="es-DO"/>
    </w:rPr>
  </w:style>
  <w:style w:type="paragraph" w:customStyle="1" w:styleId="Contents">
    <w:name w:val="Contents"/>
    <w:aliases w:val="Alt-C,Alt-C Char Char Char"/>
    <w:basedOn w:val="Normal"/>
    <w:link w:val="ContentsCar"/>
    <w:rsid w:val="008C3A64"/>
    <w:pPr>
      <w:tabs>
        <w:tab w:val="left" w:pos="1440"/>
        <w:tab w:val="left" w:pos="2160"/>
        <w:tab w:val="right" w:pos="9360"/>
      </w:tabs>
      <w:jc w:val="left"/>
    </w:pPr>
    <w:rPr>
      <w:rFonts w:ascii="Arial" w:eastAsia="Calibri" w:hAnsi="Arial"/>
      <w:szCs w:val="20"/>
      <w:lang w:val="en-US" w:eastAsia="en-US"/>
    </w:rPr>
  </w:style>
  <w:style w:type="character" w:customStyle="1" w:styleId="ContentsCar">
    <w:name w:val="Contents Car"/>
    <w:aliases w:val="Alt-C Car"/>
    <w:link w:val="Contents"/>
    <w:locked/>
    <w:rsid w:val="008C3A64"/>
    <w:rPr>
      <w:rFonts w:ascii="Arial" w:eastAsia="Calibri" w:hAnsi="Arial" w:cs="Times New Roman"/>
      <w:sz w:val="20"/>
      <w:szCs w:val="20"/>
      <w:lang w:val="en-US"/>
    </w:rPr>
  </w:style>
  <w:style w:type="character" w:customStyle="1" w:styleId="ui-provider">
    <w:name w:val="ui-provider"/>
    <w:basedOn w:val="Fuentedeprrafopredeter"/>
    <w:rsid w:val="008C3A64"/>
  </w:style>
  <w:style w:type="paragraph" w:customStyle="1" w:styleId="Normal1">
    <w:name w:val="Normal1"/>
    <w:basedOn w:val="Normal"/>
    <w:link w:val="normalChar"/>
    <w:qFormat/>
    <w:rsid w:val="008C3A64"/>
    <w:pPr>
      <w:spacing w:before="120" w:after="120"/>
    </w:pPr>
    <w:rPr>
      <w:rFonts w:ascii="Calibri" w:hAnsi="Calibri"/>
      <w:szCs w:val="28"/>
      <w:lang w:val="es-ES_tradnl" w:eastAsia="es-ES"/>
    </w:rPr>
  </w:style>
  <w:style w:type="character" w:customStyle="1" w:styleId="normalChar">
    <w:name w:val="normal Char"/>
    <w:link w:val="Normal1"/>
    <w:rsid w:val="008C3A64"/>
    <w:rPr>
      <w:rFonts w:ascii="Calibri" w:eastAsia="Times New Roman" w:hAnsi="Calibri" w:cs="Times New Roman"/>
      <w:sz w:val="22"/>
      <w:szCs w:val="28"/>
      <w:lang w:val="es-ES_tradnl" w:eastAsia="es-ES"/>
    </w:rPr>
  </w:style>
  <w:style w:type="character" w:styleId="nfasisintenso">
    <w:name w:val="Intense Emphasis"/>
    <w:basedOn w:val="Fuentedeprrafopredeter"/>
    <w:uiPriority w:val="21"/>
    <w:qFormat/>
    <w:rsid w:val="008C3A64"/>
    <w:rPr>
      <w:i/>
      <w:iCs/>
      <w:color w:val="4472C4" w:themeColor="accent1"/>
    </w:rPr>
  </w:style>
  <w:style w:type="paragraph" w:customStyle="1" w:styleId="TtuloTDC2">
    <w:name w:val="Título TDC 2"/>
    <w:basedOn w:val="titulodocumento"/>
    <w:link w:val="TtuloTDC2Car"/>
    <w:qFormat/>
    <w:rsid w:val="008C3A64"/>
    <w:pPr>
      <w:numPr>
        <w:ilvl w:val="1"/>
        <w:numId w:val="17"/>
      </w:numPr>
      <w:jc w:val="both"/>
    </w:pPr>
    <w:rPr>
      <w:sz w:val="32"/>
      <w:szCs w:val="32"/>
      <w:lang w:val="es-ES"/>
    </w:rPr>
  </w:style>
  <w:style w:type="character" w:customStyle="1" w:styleId="TtuloTDC2Car">
    <w:name w:val="Título TDC 2 Car"/>
    <w:basedOn w:val="titulodocumentoCar"/>
    <w:link w:val="TtuloTDC2"/>
    <w:rsid w:val="008C3A64"/>
    <w:rPr>
      <w:rFonts w:ascii="Candara" w:eastAsiaTheme="majorEastAsia" w:hAnsi="Candara" w:cs="Arial"/>
      <w:b/>
      <w:bCs/>
      <w:color w:val="3B3838" w:themeColor="background2" w:themeShade="40"/>
      <w:spacing w:val="-10"/>
      <w:kern w:val="28"/>
      <w:sz w:val="32"/>
      <w:szCs w:val="32"/>
      <w:lang w:val="es-ES" w:eastAsia="es-ES_tradnl"/>
    </w:rPr>
  </w:style>
  <w:style w:type="paragraph" w:customStyle="1" w:styleId="Supertitulo">
    <w:name w:val="Supertitulo"/>
    <w:basedOn w:val="titulodocumento"/>
    <w:qFormat/>
    <w:rsid w:val="008C3A64"/>
    <w:rPr>
      <w:szCs w:val="48"/>
      <w:lang w:val="es-ES" w:eastAsia="en-US"/>
    </w:rPr>
  </w:style>
  <w:style w:type="paragraph" w:customStyle="1" w:styleId="fuente">
    <w:name w:val="fuente"/>
    <w:basedOn w:val="Normal"/>
    <w:qFormat/>
    <w:rsid w:val="008C3A64"/>
    <w:pPr>
      <w:spacing w:line="200" w:lineRule="exact"/>
      <w:jc w:val="center"/>
    </w:pPr>
    <w:rPr>
      <w:rFonts w:eastAsiaTheme="minorHAnsi"/>
      <w:iCs/>
      <w:sz w:val="16"/>
      <w:lang w:eastAsia="en-US"/>
    </w:rPr>
  </w:style>
  <w:style w:type="paragraph" w:customStyle="1" w:styleId="normalnegrita">
    <w:name w:val="normal negrita"/>
    <w:basedOn w:val="Normal"/>
    <w:qFormat/>
    <w:rsid w:val="008C3A64"/>
    <w:pPr>
      <w:ind w:left="992" w:hanging="357"/>
      <w:contextualSpacing/>
    </w:pPr>
    <w:rPr>
      <w:rFonts w:eastAsiaTheme="minorHAnsi" w:cstheme="minorBidi"/>
      <w:b/>
      <w:bCs/>
      <w:color w:val="C00000"/>
      <w:lang w:eastAsia="en-US"/>
    </w:rPr>
  </w:style>
  <w:style w:type="paragraph" w:customStyle="1" w:styleId="normal-negria">
    <w:name w:val="normal-negria"/>
    <w:basedOn w:val="Normal"/>
    <w:qFormat/>
    <w:rsid w:val="008C3A64"/>
    <w:pPr>
      <w:ind w:left="993" w:hanging="360"/>
      <w:contextualSpacing/>
    </w:pPr>
    <w:rPr>
      <w:rFonts w:eastAsiaTheme="minorHAnsi" w:cstheme="minorBidi"/>
      <w:b/>
      <w:bCs/>
      <w:color w:val="C00000"/>
      <w:lang w:eastAsia="en-US"/>
    </w:rPr>
  </w:style>
  <w:style w:type="paragraph" w:customStyle="1" w:styleId="normal-negrita">
    <w:name w:val="normal-negrita"/>
    <w:basedOn w:val="Normal"/>
    <w:qFormat/>
    <w:rsid w:val="008C3A64"/>
    <w:pPr>
      <w:numPr>
        <w:numId w:val="18"/>
      </w:numPr>
      <w:contextualSpacing/>
    </w:pPr>
    <w:rPr>
      <w:rFonts w:eastAsiaTheme="minorHAnsi" w:cstheme="minorBidi"/>
      <w:color w:val="C00000"/>
      <w:lang w:eastAsia="en-US"/>
    </w:rPr>
  </w:style>
  <w:style w:type="table" w:customStyle="1" w:styleId="TableNormal">
    <w:name w:val="Table Normal"/>
    <w:qFormat/>
    <w:rsid w:val="008C3A64"/>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1">
    <w:name w:val="Table Normal1"/>
    <w:rsid w:val="008C3A64"/>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3">
    <w:name w:val="Table Normal3"/>
    <w:rsid w:val="008C3A64"/>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2">
    <w:name w:val="Table Normal2"/>
    <w:rsid w:val="008C3A64"/>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4">
    <w:name w:val="Table Normal4"/>
    <w:rsid w:val="008C3A64"/>
    <w:pPr>
      <w:jc w:val="both"/>
    </w:pPr>
    <w:rPr>
      <w:rFonts w:ascii="Candara" w:eastAsia="Candara" w:hAnsi="Candara" w:cs="Candara"/>
      <w:sz w:val="20"/>
      <w:szCs w:val="20"/>
      <w:lang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8C3A64"/>
    <w:pPr>
      <w:keepNext/>
      <w:keepLines/>
      <w:spacing w:before="360" w:after="80"/>
    </w:pPr>
    <w:rPr>
      <w:rFonts w:ascii="Georgia" w:eastAsia="Georgia" w:hAnsi="Georgia" w:cs="Georgia"/>
      <w:i/>
      <w:color w:val="666666"/>
      <w:sz w:val="48"/>
      <w:szCs w:val="48"/>
      <w:lang w:val="es-419" w:eastAsia="es-CO"/>
    </w:rPr>
  </w:style>
  <w:style w:type="character" w:customStyle="1" w:styleId="SubttuloCar">
    <w:name w:val="Subtítulo Car"/>
    <w:basedOn w:val="Fuentedeprrafopredeter"/>
    <w:link w:val="Subttulo"/>
    <w:uiPriority w:val="11"/>
    <w:rsid w:val="008C3A64"/>
    <w:rPr>
      <w:rFonts w:ascii="Georgia" w:eastAsia="Georgia" w:hAnsi="Georgia" w:cs="Georgia"/>
      <w:i/>
      <w:color w:val="666666"/>
      <w:sz w:val="48"/>
      <w:szCs w:val="48"/>
      <w:lang w:val="es-419" w:eastAsia="es-CO"/>
    </w:rPr>
  </w:style>
  <w:style w:type="table" w:customStyle="1" w:styleId="78">
    <w:name w:val="78"/>
    <w:basedOn w:val="TableNormal1"/>
    <w:rsid w:val="008C3A64"/>
    <w:tblPr>
      <w:tblStyleRowBandSize w:val="1"/>
      <w:tblStyleColBandSize w:val="1"/>
      <w:tblCellMar>
        <w:left w:w="115" w:type="dxa"/>
        <w:right w:w="115" w:type="dxa"/>
      </w:tblCellMar>
    </w:tblPr>
  </w:style>
  <w:style w:type="table" w:customStyle="1" w:styleId="77">
    <w:name w:val="77"/>
    <w:basedOn w:val="TableNormal1"/>
    <w:rsid w:val="008C3A64"/>
    <w:tblPr>
      <w:tblStyleRowBandSize w:val="1"/>
      <w:tblStyleColBandSize w:val="1"/>
      <w:tblCellMar>
        <w:left w:w="115" w:type="dxa"/>
        <w:right w:w="115" w:type="dxa"/>
      </w:tblCellMar>
    </w:tblPr>
  </w:style>
  <w:style w:type="table" w:customStyle="1" w:styleId="76">
    <w:name w:val="76"/>
    <w:basedOn w:val="TableNormal1"/>
    <w:rsid w:val="008C3A64"/>
    <w:tblPr>
      <w:tblStyleRowBandSize w:val="1"/>
      <w:tblStyleColBandSize w:val="1"/>
      <w:tblCellMar>
        <w:left w:w="115" w:type="dxa"/>
        <w:right w:w="115" w:type="dxa"/>
      </w:tblCellMar>
    </w:tblPr>
  </w:style>
  <w:style w:type="table" w:customStyle="1" w:styleId="75">
    <w:name w:val="75"/>
    <w:basedOn w:val="TableNormal1"/>
    <w:rsid w:val="008C3A64"/>
    <w:tblPr>
      <w:tblStyleRowBandSize w:val="1"/>
      <w:tblStyleColBandSize w:val="1"/>
      <w:tblCellMar>
        <w:left w:w="115" w:type="dxa"/>
        <w:right w:w="115" w:type="dxa"/>
      </w:tblCellMar>
    </w:tblPr>
  </w:style>
  <w:style w:type="table" w:customStyle="1" w:styleId="74">
    <w:name w:val="74"/>
    <w:basedOn w:val="TableNormal1"/>
    <w:rsid w:val="008C3A64"/>
    <w:tblPr>
      <w:tblStyleRowBandSize w:val="1"/>
      <w:tblStyleColBandSize w:val="1"/>
      <w:tblCellMar>
        <w:left w:w="115" w:type="dxa"/>
        <w:right w:w="115" w:type="dxa"/>
      </w:tblCellMar>
    </w:tblPr>
  </w:style>
  <w:style w:type="table" w:customStyle="1" w:styleId="73">
    <w:name w:val="73"/>
    <w:basedOn w:val="TableNormal1"/>
    <w:rsid w:val="008C3A64"/>
    <w:tblPr>
      <w:tblStyleRowBandSize w:val="1"/>
      <w:tblStyleColBandSize w:val="1"/>
      <w:tblCellMar>
        <w:left w:w="115" w:type="dxa"/>
        <w:right w:w="115" w:type="dxa"/>
      </w:tblCellMar>
    </w:tblPr>
  </w:style>
  <w:style w:type="table" w:customStyle="1" w:styleId="72">
    <w:name w:val="72"/>
    <w:basedOn w:val="TableNormal1"/>
    <w:rsid w:val="008C3A64"/>
    <w:tblPr>
      <w:tblStyleRowBandSize w:val="1"/>
      <w:tblStyleColBandSize w:val="1"/>
      <w:tblCellMar>
        <w:left w:w="115" w:type="dxa"/>
        <w:right w:w="115" w:type="dxa"/>
      </w:tblCellMar>
    </w:tblPr>
  </w:style>
  <w:style w:type="table" w:customStyle="1" w:styleId="71">
    <w:name w:val="71"/>
    <w:basedOn w:val="TableNormal1"/>
    <w:rsid w:val="008C3A64"/>
    <w:tblPr>
      <w:tblStyleRowBandSize w:val="1"/>
      <w:tblStyleColBandSize w:val="1"/>
      <w:tblCellMar>
        <w:left w:w="115" w:type="dxa"/>
        <w:right w:w="115" w:type="dxa"/>
      </w:tblCellMar>
    </w:tblPr>
  </w:style>
  <w:style w:type="table" w:customStyle="1" w:styleId="70">
    <w:name w:val="70"/>
    <w:basedOn w:val="TableNormal1"/>
    <w:rsid w:val="008C3A64"/>
    <w:tblPr>
      <w:tblStyleRowBandSize w:val="1"/>
      <w:tblStyleColBandSize w:val="1"/>
      <w:tblCellMar>
        <w:left w:w="115" w:type="dxa"/>
        <w:right w:w="115" w:type="dxa"/>
      </w:tblCellMar>
    </w:tblPr>
  </w:style>
  <w:style w:type="table" w:customStyle="1" w:styleId="69">
    <w:name w:val="69"/>
    <w:basedOn w:val="TableNormal1"/>
    <w:rsid w:val="008C3A64"/>
    <w:tblPr>
      <w:tblStyleRowBandSize w:val="1"/>
      <w:tblStyleColBandSize w:val="1"/>
      <w:tblCellMar>
        <w:left w:w="115" w:type="dxa"/>
        <w:right w:w="115" w:type="dxa"/>
      </w:tblCellMar>
    </w:tblPr>
  </w:style>
  <w:style w:type="table" w:customStyle="1" w:styleId="68">
    <w:name w:val="68"/>
    <w:basedOn w:val="TableNormal1"/>
    <w:rsid w:val="008C3A64"/>
    <w:tblPr>
      <w:tblStyleRowBandSize w:val="1"/>
      <w:tblStyleColBandSize w:val="1"/>
      <w:tblCellMar>
        <w:left w:w="115" w:type="dxa"/>
        <w:right w:w="115" w:type="dxa"/>
      </w:tblCellMar>
    </w:tblPr>
  </w:style>
  <w:style w:type="table" w:customStyle="1" w:styleId="67">
    <w:name w:val="67"/>
    <w:basedOn w:val="TableNormal1"/>
    <w:rsid w:val="008C3A64"/>
    <w:tblPr>
      <w:tblStyleRowBandSize w:val="1"/>
      <w:tblStyleColBandSize w:val="1"/>
      <w:tblCellMar>
        <w:left w:w="115" w:type="dxa"/>
        <w:right w:w="115" w:type="dxa"/>
      </w:tblCellMar>
    </w:tblPr>
  </w:style>
  <w:style w:type="table" w:customStyle="1" w:styleId="66">
    <w:name w:val="66"/>
    <w:basedOn w:val="TableNormal1"/>
    <w:rsid w:val="008C3A64"/>
    <w:tblPr>
      <w:tblStyleRowBandSize w:val="1"/>
      <w:tblStyleColBandSize w:val="1"/>
      <w:tblCellMar>
        <w:left w:w="115" w:type="dxa"/>
        <w:right w:w="115" w:type="dxa"/>
      </w:tblCellMar>
    </w:tblPr>
  </w:style>
  <w:style w:type="table" w:customStyle="1" w:styleId="65">
    <w:name w:val="65"/>
    <w:basedOn w:val="TableNormal1"/>
    <w:rsid w:val="008C3A64"/>
    <w:tblPr>
      <w:tblStyleRowBandSize w:val="1"/>
      <w:tblStyleColBandSize w:val="1"/>
      <w:tblCellMar>
        <w:left w:w="115" w:type="dxa"/>
        <w:right w:w="115" w:type="dxa"/>
      </w:tblCellMar>
    </w:tblPr>
  </w:style>
  <w:style w:type="table" w:customStyle="1" w:styleId="64">
    <w:name w:val="64"/>
    <w:basedOn w:val="TableNormal1"/>
    <w:rsid w:val="008C3A64"/>
    <w:tblPr>
      <w:tblStyleRowBandSize w:val="1"/>
      <w:tblStyleColBandSize w:val="1"/>
      <w:tblCellMar>
        <w:left w:w="115" w:type="dxa"/>
        <w:right w:w="115" w:type="dxa"/>
      </w:tblCellMar>
    </w:tblPr>
  </w:style>
  <w:style w:type="table" w:customStyle="1" w:styleId="63">
    <w:name w:val="63"/>
    <w:basedOn w:val="TableNormal1"/>
    <w:rsid w:val="008C3A64"/>
    <w:tblPr>
      <w:tblStyleRowBandSize w:val="1"/>
      <w:tblStyleColBandSize w:val="1"/>
      <w:tblCellMar>
        <w:left w:w="115" w:type="dxa"/>
        <w:right w:w="115" w:type="dxa"/>
      </w:tblCellMar>
    </w:tblPr>
  </w:style>
  <w:style w:type="table" w:customStyle="1" w:styleId="62">
    <w:name w:val="62"/>
    <w:basedOn w:val="TableNormal1"/>
    <w:rsid w:val="008C3A64"/>
    <w:tblPr>
      <w:tblStyleRowBandSize w:val="1"/>
      <w:tblStyleColBandSize w:val="1"/>
      <w:tblCellMar>
        <w:left w:w="115" w:type="dxa"/>
        <w:right w:w="115" w:type="dxa"/>
      </w:tblCellMar>
    </w:tblPr>
  </w:style>
  <w:style w:type="table" w:customStyle="1" w:styleId="61">
    <w:name w:val="61"/>
    <w:basedOn w:val="TableNormal1"/>
    <w:rsid w:val="008C3A64"/>
    <w:tblPr>
      <w:tblStyleRowBandSize w:val="1"/>
      <w:tblStyleColBandSize w:val="1"/>
      <w:tblCellMar>
        <w:left w:w="115" w:type="dxa"/>
        <w:right w:w="115" w:type="dxa"/>
      </w:tblCellMar>
    </w:tblPr>
  </w:style>
  <w:style w:type="table" w:customStyle="1" w:styleId="60">
    <w:name w:val="60"/>
    <w:basedOn w:val="TableNormal1"/>
    <w:rsid w:val="008C3A64"/>
    <w:tblPr>
      <w:tblStyleRowBandSize w:val="1"/>
      <w:tblStyleColBandSize w:val="1"/>
      <w:tblCellMar>
        <w:left w:w="115" w:type="dxa"/>
        <w:right w:w="115" w:type="dxa"/>
      </w:tblCellMar>
    </w:tblPr>
  </w:style>
  <w:style w:type="table" w:customStyle="1" w:styleId="59">
    <w:name w:val="59"/>
    <w:basedOn w:val="TableNormal1"/>
    <w:rsid w:val="008C3A64"/>
    <w:tblPr>
      <w:tblStyleRowBandSize w:val="1"/>
      <w:tblStyleColBandSize w:val="1"/>
      <w:tblCellMar>
        <w:left w:w="115" w:type="dxa"/>
        <w:right w:w="115" w:type="dxa"/>
      </w:tblCellMar>
    </w:tblPr>
  </w:style>
  <w:style w:type="table" w:customStyle="1" w:styleId="58">
    <w:name w:val="58"/>
    <w:basedOn w:val="TableNormal1"/>
    <w:rsid w:val="008C3A64"/>
    <w:tblPr>
      <w:tblStyleRowBandSize w:val="1"/>
      <w:tblStyleColBandSize w:val="1"/>
      <w:tblCellMar>
        <w:left w:w="115" w:type="dxa"/>
        <w:right w:w="115" w:type="dxa"/>
      </w:tblCellMar>
    </w:tblPr>
  </w:style>
  <w:style w:type="table" w:customStyle="1" w:styleId="57">
    <w:name w:val="57"/>
    <w:basedOn w:val="TableNormal1"/>
    <w:rsid w:val="008C3A64"/>
    <w:tblPr>
      <w:tblStyleRowBandSize w:val="1"/>
      <w:tblStyleColBandSize w:val="1"/>
      <w:tblCellMar>
        <w:left w:w="115" w:type="dxa"/>
        <w:right w:w="115" w:type="dxa"/>
      </w:tblCellMar>
    </w:tblPr>
  </w:style>
  <w:style w:type="table" w:customStyle="1" w:styleId="56">
    <w:name w:val="5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5">
    <w:name w:val="5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4">
    <w:name w:val="5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3">
    <w:name w:val="5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2">
    <w:name w:val="5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1">
    <w:name w:val="51"/>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0">
    <w:name w:val="5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49">
    <w:name w:val="4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8">
    <w:name w:val="4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7">
    <w:name w:val="4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46">
    <w:name w:val="4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5">
    <w:name w:val="45"/>
    <w:basedOn w:val="TableNormal1"/>
    <w:rsid w:val="008C3A64"/>
    <w:tblPr>
      <w:tblStyleRowBandSize w:val="1"/>
      <w:tblStyleColBandSize w:val="1"/>
      <w:tblCellMar>
        <w:left w:w="70" w:type="dxa"/>
        <w:right w:w="70" w:type="dxa"/>
      </w:tblCellMar>
    </w:tblPr>
  </w:style>
  <w:style w:type="table" w:customStyle="1" w:styleId="44">
    <w:name w:val="4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3">
    <w:name w:val="4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2">
    <w:name w:val="4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1">
    <w:name w:val="41"/>
    <w:basedOn w:val="TableNormal1"/>
    <w:rsid w:val="008C3A64"/>
    <w:tblPr>
      <w:tblStyleRowBandSize w:val="1"/>
      <w:tblStyleColBandSize w:val="1"/>
      <w:tblCellMar>
        <w:left w:w="115" w:type="dxa"/>
        <w:right w:w="115" w:type="dxa"/>
      </w:tblCellMar>
    </w:tblPr>
  </w:style>
  <w:style w:type="table" w:customStyle="1" w:styleId="40">
    <w:name w:val="4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39">
    <w:name w:val="3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38">
    <w:name w:val="38"/>
    <w:basedOn w:val="TableNormal1"/>
    <w:rsid w:val="008C3A64"/>
    <w:tblPr>
      <w:tblStyleRowBandSize w:val="1"/>
      <w:tblStyleColBandSize w:val="1"/>
      <w:tblCellMar>
        <w:left w:w="70" w:type="dxa"/>
        <w:right w:w="70" w:type="dxa"/>
      </w:tblCellMar>
    </w:tblPr>
  </w:style>
  <w:style w:type="table" w:customStyle="1" w:styleId="37">
    <w:name w:val="37"/>
    <w:basedOn w:val="TableNormal1"/>
    <w:rsid w:val="008C3A64"/>
    <w:tblPr>
      <w:tblStyleRowBandSize w:val="1"/>
      <w:tblStyleColBandSize w:val="1"/>
      <w:tblCellMar>
        <w:left w:w="115" w:type="dxa"/>
        <w:right w:w="115" w:type="dxa"/>
      </w:tblCellMar>
    </w:tblPr>
  </w:style>
  <w:style w:type="table" w:customStyle="1" w:styleId="36">
    <w:name w:val="36"/>
    <w:basedOn w:val="TableNormal1"/>
    <w:rsid w:val="008C3A64"/>
    <w:tblPr>
      <w:tblStyleRowBandSize w:val="1"/>
      <w:tblStyleColBandSize w:val="1"/>
      <w:tblCellMar>
        <w:left w:w="115" w:type="dxa"/>
        <w:right w:w="115" w:type="dxa"/>
      </w:tblCellMar>
    </w:tblPr>
  </w:style>
  <w:style w:type="table" w:customStyle="1" w:styleId="35">
    <w:name w:val="35"/>
    <w:basedOn w:val="TableNormal1"/>
    <w:rsid w:val="008C3A64"/>
    <w:tblPr>
      <w:tblStyleRowBandSize w:val="1"/>
      <w:tblStyleColBandSize w:val="1"/>
      <w:tblCellMar>
        <w:left w:w="115" w:type="dxa"/>
        <w:right w:w="115" w:type="dxa"/>
      </w:tblCellMar>
    </w:tblPr>
  </w:style>
  <w:style w:type="table" w:customStyle="1" w:styleId="34">
    <w:name w:val="34"/>
    <w:basedOn w:val="TableNormal1"/>
    <w:rsid w:val="008C3A64"/>
    <w:tblPr>
      <w:tblStyleRowBandSize w:val="1"/>
      <w:tblStyleColBandSize w:val="1"/>
      <w:tblCellMar>
        <w:left w:w="115" w:type="dxa"/>
        <w:right w:w="115" w:type="dxa"/>
      </w:tblCellMar>
    </w:tblPr>
  </w:style>
  <w:style w:type="table" w:customStyle="1" w:styleId="33">
    <w:name w:val="33"/>
    <w:basedOn w:val="TableNormal1"/>
    <w:rsid w:val="008C3A64"/>
    <w:tblPr>
      <w:tblStyleRowBandSize w:val="1"/>
      <w:tblStyleColBandSize w:val="1"/>
      <w:tblCellMar>
        <w:left w:w="115" w:type="dxa"/>
        <w:right w:w="115" w:type="dxa"/>
      </w:tblCellMar>
    </w:tblPr>
  </w:style>
  <w:style w:type="table" w:customStyle="1" w:styleId="32">
    <w:name w:val="32"/>
    <w:basedOn w:val="TableNormal1"/>
    <w:rsid w:val="008C3A64"/>
    <w:tblPr>
      <w:tblStyleRowBandSize w:val="1"/>
      <w:tblStyleColBandSize w:val="1"/>
      <w:tblCellMar>
        <w:left w:w="115" w:type="dxa"/>
        <w:right w:w="115" w:type="dxa"/>
      </w:tblCellMar>
    </w:tblPr>
  </w:style>
  <w:style w:type="table" w:customStyle="1" w:styleId="31">
    <w:name w:val="31"/>
    <w:basedOn w:val="TableNormal1"/>
    <w:rsid w:val="008C3A64"/>
    <w:tblPr>
      <w:tblStyleRowBandSize w:val="1"/>
      <w:tblStyleColBandSize w:val="1"/>
      <w:tblCellMar>
        <w:left w:w="115" w:type="dxa"/>
        <w:right w:w="115" w:type="dxa"/>
      </w:tblCellMar>
    </w:tblPr>
  </w:style>
  <w:style w:type="table" w:customStyle="1" w:styleId="30">
    <w:name w:val="3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9">
    <w:name w:val="2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8">
    <w:name w:val="2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7">
    <w:name w:val="2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6">
    <w:name w:val="26"/>
    <w:basedOn w:val="TableNormal1"/>
    <w:rsid w:val="008C3A64"/>
    <w:tblPr>
      <w:tblStyleRowBandSize w:val="1"/>
      <w:tblStyleColBandSize w:val="1"/>
      <w:tblCellMar>
        <w:top w:w="100" w:type="dxa"/>
        <w:left w:w="100" w:type="dxa"/>
        <w:bottom w:w="100" w:type="dxa"/>
        <w:right w:w="100" w:type="dxa"/>
      </w:tblCellMar>
    </w:tblPr>
  </w:style>
  <w:style w:type="table" w:customStyle="1" w:styleId="25">
    <w:name w:val="2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4">
    <w:name w:val="2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3">
    <w:name w:val="2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2">
    <w:name w:val="2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1">
    <w:name w:val="21"/>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0">
    <w:name w:val="2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9">
    <w:name w:val="1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8">
    <w:name w:val="1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7">
    <w:name w:val="1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6">
    <w:name w:val="1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5">
    <w:name w:val="1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4">
    <w:name w:val="14"/>
    <w:basedOn w:val="TableNormal1"/>
    <w:rsid w:val="008C3A64"/>
    <w:tblPr>
      <w:tblStyleRowBandSize w:val="1"/>
      <w:tblStyleColBandSize w:val="1"/>
      <w:tblCellMar>
        <w:top w:w="100" w:type="dxa"/>
        <w:left w:w="100" w:type="dxa"/>
        <w:bottom w:w="100" w:type="dxa"/>
        <w:right w:w="100" w:type="dxa"/>
      </w:tblCellMar>
    </w:tblPr>
  </w:style>
  <w:style w:type="table" w:customStyle="1" w:styleId="13">
    <w:name w:val="13"/>
    <w:basedOn w:val="TableNormal1"/>
    <w:rsid w:val="008C3A64"/>
    <w:tblPr>
      <w:tblStyleRowBandSize w:val="1"/>
      <w:tblStyleColBandSize w:val="1"/>
      <w:tblCellMar>
        <w:top w:w="100" w:type="dxa"/>
        <w:left w:w="100" w:type="dxa"/>
        <w:bottom w:w="100" w:type="dxa"/>
        <w:right w:w="100" w:type="dxa"/>
      </w:tblCellMar>
    </w:tblPr>
  </w:style>
  <w:style w:type="table" w:customStyle="1" w:styleId="12">
    <w:name w:val="12"/>
    <w:basedOn w:val="TableNormal1"/>
    <w:rsid w:val="008C3A64"/>
    <w:tblPr>
      <w:tblStyleRowBandSize w:val="1"/>
      <w:tblStyleColBandSize w:val="1"/>
      <w:tblCellMar>
        <w:top w:w="100" w:type="dxa"/>
        <w:left w:w="100" w:type="dxa"/>
        <w:bottom w:w="100" w:type="dxa"/>
        <w:right w:w="100" w:type="dxa"/>
      </w:tblCellMar>
    </w:tblPr>
  </w:style>
  <w:style w:type="table" w:customStyle="1" w:styleId="11">
    <w:name w:val="11"/>
    <w:basedOn w:val="TableNormal1"/>
    <w:rsid w:val="008C3A64"/>
    <w:tblPr>
      <w:tblStyleRowBandSize w:val="1"/>
      <w:tblStyleColBandSize w:val="1"/>
      <w:tblCellMar>
        <w:top w:w="100" w:type="dxa"/>
        <w:left w:w="100" w:type="dxa"/>
        <w:bottom w:w="100" w:type="dxa"/>
        <w:right w:w="100" w:type="dxa"/>
      </w:tblCellMar>
    </w:tblPr>
  </w:style>
  <w:style w:type="table" w:customStyle="1" w:styleId="10">
    <w:name w:val="1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9">
    <w:name w:val="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8">
    <w:name w:val="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7">
    <w:name w:val="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6">
    <w:name w:val="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5">
    <w:name w:val="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
    <w:name w:val="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3">
    <w:name w:val="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
    <w:name w:val="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PlainTable31">
    <w:name w:val="Plain Table 31"/>
    <w:basedOn w:val="Tablanormal"/>
    <w:uiPriority w:val="43"/>
    <w:rsid w:val="008C3A64"/>
    <w:pPr>
      <w:jc w:val="both"/>
    </w:pPr>
    <w:rPr>
      <w:rFonts w:ascii="Candara" w:eastAsia="Candara" w:hAnsi="Candara" w:cs="Candara"/>
      <w:sz w:val="20"/>
      <w:szCs w:val="20"/>
      <w:lang w:eastAsia="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Accent11">
    <w:name w:val="Grid Table 1 Light - Accent 11"/>
    <w:basedOn w:val="Tablanormal"/>
    <w:uiPriority w:val="46"/>
    <w:rsid w:val="008C3A64"/>
    <w:pPr>
      <w:jc w:val="both"/>
    </w:pPr>
    <w:rPr>
      <w:rFonts w:ascii="Candara" w:eastAsia="Candara" w:hAnsi="Candara" w:cs="Candara"/>
      <w:sz w:val="20"/>
      <w:szCs w:val="20"/>
      <w:lang w:eastAsia="es-CO"/>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anormal"/>
    <w:uiPriority w:val="46"/>
    <w:rsid w:val="008C3A64"/>
    <w:pPr>
      <w:jc w:val="both"/>
    </w:pPr>
    <w:rPr>
      <w:rFonts w:ascii="Candara" w:eastAsia="Candara" w:hAnsi="Candara" w:cs="Candara"/>
      <w:sz w:val="20"/>
      <w:szCs w:val="20"/>
      <w:lang w:eastAsia="es-CO"/>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anormal"/>
    <w:uiPriority w:val="46"/>
    <w:rsid w:val="008C3A64"/>
    <w:pPr>
      <w:jc w:val="both"/>
    </w:pPr>
    <w:rPr>
      <w:rFonts w:ascii="Candara" w:eastAsia="Candara" w:hAnsi="Candara" w:cs="Candara"/>
      <w:sz w:val="20"/>
      <w:szCs w:val="20"/>
      <w:lang w:eastAsia="es-CO"/>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21">
    <w:name w:val="Grid Table 21"/>
    <w:basedOn w:val="Tablanormal"/>
    <w:uiPriority w:val="47"/>
    <w:rsid w:val="008C3A64"/>
    <w:pPr>
      <w:jc w:val="both"/>
    </w:pPr>
    <w:rPr>
      <w:rFonts w:ascii="Candara" w:eastAsia="Candara" w:hAnsi="Candara" w:cs="Candara"/>
      <w:sz w:val="20"/>
      <w:szCs w:val="20"/>
      <w:lang w:eastAsia="es-CO"/>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Tablanormal"/>
    <w:uiPriority w:val="48"/>
    <w:rsid w:val="008C3A64"/>
    <w:pPr>
      <w:jc w:val="both"/>
    </w:pPr>
    <w:rPr>
      <w:rFonts w:ascii="Candara" w:eastAsia="Candara" w:hAnsi="Candara" w:cs="Candara"/>
      <w:sz w:val="20"/>
      <w:szCs w:val="20"/>
      <w:lang w:eastAsia="es-CO"/>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31">
    <w:name w:val="Grid Table 3 - Accent 31"/>
    <w:basedOn w:val="Tablanormal"/>
    <w:uiPriority w:val="48"/>
    <w:rsid w:val="008C3A64"/>
    <w:pPr>
      <w:jc w:val="both"/>
    </w:pPr>
    <w:rPr>
      <w:rFonts w:ascii="Candara" w:eastAsia="Candara" w:hAnsi="Candara" w:cs="Candara"/>
      <w:sz w:val="20"/>
      <w:szCs w:val="20"/>
      <w:lang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5Dark-Accent31">
    <w:name w:val="Grid Table 5 Dark - Accent 31"/>
    <w:basedOn w:val="Tablanormal"/>
    <w:uiPriority w:val="50"/>
    <w:rsid w:val="008C3A64"/>
    <w:pPr>
      <w:jc w:val="both"/>
    </w:pPr>
    <w:rPr>
      <w:rFonts w:ascii="Candara" w:eastAsia="Candara" w:hAnsi="Candara" w:cs="Candara"/>
      <w:sz w:val="20"/>
      <w:szCs w:val="20"/>
      <w:lang w:eastAsia="es-C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PlainTable11">
    <w:name w:val="Plain Table 11"/>
    <w:basedOn w:val="Tablanormal"/>
    <w:uiPriority w:val="41"/>
    <w:rsid w:val="008C3A64"/>
    <w:pPr>
      <w:jc w:val="both"/>
    </w:pPr>
    <w:rPr>
      <w:rFonts w:ascii="Candara" w:eastAsia="Candara" w:hAnsi="Candara" w:cs="Candara"/>
      <w:sz w:val="20"/>
      <w:szCs w:val="20"/>
      <w:lang w:eastAsia="es-CO"/>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31">
    <w:name w:val="Grid Table 4 - Accent 31"/>
    <w:basedOn w:val="Tablanormal"/>
    <w:uiPriority w:val="49"/>
    <w:rsid w:val="008C3A64"/>
    <w:pPr>
      <w:jc w:val="both"/>
    </w:pPr>
    <w:rPr>
      <w:rFonts w:ascii="Candara" w:eastAsia="Candara" w:hAnsi="Candara" w:cs="Candara"/>
      <w:sz w:val="20"/>
      <w:szCs w:val="20"/>
      <w:lang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Light1">
    <w:name w:val="Table Grid Light1"/>
    <w:basedOn w:val="Tablanormal"/>
    <w:uiPriority w:val="40"/>
    <w:rsid w:val="008C3A64"/>
    <w:pPr>
      <w:jc w:val="both"/>
    </w:pPr>
    <w:rPr>
      <w:rFonts w:ascii="Candara" w:eastAsia="Candara" w:hAnsi="Candara" w:cs="Candara"/>
      <w:sz w:val="20"/>
      <w:szCs w:val="20"/>
      <w:lang w:eastAsia="es-C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66">
    <w:name w:val="166"/>
    <w:basedOn w:val="TableNormal4"/>
    <w:rsid w:val="008C3A64"/>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5">
    <w:name w:val="165"/>
    <w:basedOn w:val="TableNormal4"/>
    <w:rsid w:val="008C3A64"/>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4">
    <w:name w:val="164"/>
    <w:basedOn w:val="TableNormal4"/>
    <w:rsid w:val="008C3A64"/>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163">
    <w:name w:val="163"/>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2">
    <w:name w:val="162"/>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1">
    <w:name w:val="161"/>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0">
    <w:name w:val="160"/>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9">
    <w:name w:val="159"/>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8">
    <w:name w:val="158"/>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7">
    <w:name w:val="157"/>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6">
    <w:name w:val="156"/>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5">
    <w:name w:val="155"/>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54">
    <w:name w:val="154"/>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3">
    <w:name w:val="153"/>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2">
    <w:name w:val="152"/>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1">
    <w:name w:val="151"/>
    <w:basedOn w:val="TableNormal4"/>
    <w:rsid w:val="008C3A64"/>
    <w:tblPr>
      <w:tblStyleRowBandSize w:val="1"/>
      <w:tblStyleColBandSize w:val="1"/>
      <w:tblCellMar>
        <w:left w:w="115" w:type="dxa"/>
        <w:right w:w="115" w:type="dxa"/>
      </w:tblCellMar>
    </w:tblPr>
    <w:tcPr>
      <w:shd w:val="clear" w:color="auto" w:fill="EDEDED"/>
    </w:tcPr>
  </w:style>
  <w:style w:type="table" w:customStyle="1" w:styleId="150">
    <w:name w:val="150"/>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9">
    <w:name w:val="149"/>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8">
    <w:name w:val="148"/>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7">
    <w:name w:val="147"/>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6">
    <w:name w:val="146"/>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5">
    <w:name w:val="145"/>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4">
    <w:name w:val="144"/>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3">
    <w:name w:val="143"/>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2">
    <w:name w:val="142"/>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1">
    <w:name w:val="141"/>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0">
    <w:name w:val="140"/>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9">
    <w:name w:val="139"/>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8">
    <w:name w:val="138"/>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7">
    <w:name w:val="137"/>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6">
    <w:name w:val="136"/>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5">
    <w:name w:val="135"/>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GridTable5Dark-Accent11">
    <w:name w:val="Grid Table 5 Dark - Accent 11"/>
    <w:basedOn w:val="Tablanormal"/>
    <w:uiPriority w:val="50"/>
    <w:rsid w:val="008C3A64"/>
    <w:pPr>
      <w:spacing w:before="100" w:after="120" w:line="264" w:lineRule="auto"/>
      <w:jc w:val="both"/>
    </w:pPr>
    <w:rPr>
      <w:rFonts w:eastAsiaTheme="minorEastAsia"/>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4-Accent11">
    <w:name w:val="Grid Table 4 - Accent 11"/>
    <w:basedOn w:val="Tablanormal"/>
    <w:uiPriority w:val="49"/>
    <w:rsid w:val="008C3A64"/>
    <w:pPr>
      <w:jc w:val="both"/>
    </w:pPr>
    <w:rPr>
      <w:rFonts w:eastAsiaTheme="minorEastAsia"/>
      <w:sz w:val="20"/>
      <w:szCs w:val="20"/>
      <w:lang w:eastAsia="es-CO"/>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Table4-Accent11">
    <w:name w:val="List Table 4 - Accent 11"/>
    <w:basedOn w:val="Tablanormal"/>
    <w:uiPriority w:val="49"/>
    <w:rsid w:val="008C3A64"/>
    <w:pPr>
      <w:jc w:val="both"/>
    </w:pPr>
    <w:rPr>
      <w:rFonts w:eastAsiaTheme="minorEastAsia"/>
      <w:sz w:val="20"/>
      <w:szCs w:val="20"/>
      <w:lang w:eastAsia="es-CO"/>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134">
    <w:name w:val="134"/>
    <w:basedOn w:val="TableNormal2"/>
    <w:rsid w:val="008C3A64"/>
    <w:tblPr>
      <w:tblStyleRowBandSize w:val="1"/>
      <w:tblStyleColBandSize w:val="1"/>
      <w:tblCellMar>
        <w:left w:w="115" w:type="dxa"/>
        <w:right w:w="115" w:type="dxa"/>
      </w:tblCellMar>
    </w:tblPr>
  </w:style>
  <w:style w:type="table" w:customStyle="1" w:styleId="133">
    <w:name w:val="133"/>
    <w:basedOn w:val="TableNormal2"/>
    <w:rsid w:val="008C3A64"/>
    <w:tblPr>
      <w:tblStyleRowBandSize w:val="1"/>
      <w:tblStyleColBandSize w:val="1"/>
      <w:tblCellMar>
        <w:left w:w="115" w:type="dxa"/>
        <w:right w:w="115" w:type="dxa"/>
      </w:tblCellMar>
    </w:tblPr>
  </w:style>
  <w:style w:type="table" w:customStyle="1" w:styleId="132">
    <w:name w:val="132"/>
    <w:basedOn w:val="TableNormal2"/>
    <w:rsid w:val="008C3A64"/>
    <w:tblPr>
      <w:tblStyleRowBandSize w:val="1"/>
      <w:tblStyleColBandSize w:val="1"/>
      <w:tblCellMar>
        <w:top w:w="100" w:type="dxa"/>
        <w:left w:w="100" w:type="dxa"/>
        <w:bottom w:w="100" w:type="dxa"/>
        <w:right w:w="100" w:type="dxa"/>
      </w:tblCellMar>
    </w:tblPr>
  </w:style>
  <w:style w:type="table" w:customStyle="1" w:styleId="131">
    <w:name w:val="131"/>
    <w:basedOn w:val="TableNormal2"/>
    <w:rsid w:val="008C3A64"/>
    <w:tblPr>
      <w:tblStyleRowBandSize w:val="1"/>
      <w:tblStyleColBandSize w:val="1"/>
      <w:tblCellMar>
        <w:left w:w="115" w:type="dxa"/>
        <w:right w:w="115" w:type="dxa"/>
      </w:tblCellMar>
    </w:tblPr>
  </w:style>
  <w:style w:type="table" w:customStyle="1" w:styleId="130">
    <w:name w:val="130"/>
    <w:basedOn w:val="TableNormal2"/>
    <w:rsid w:val="008C3A64"/>
    <w:tblPr>
      <w:tblStyleRowBandSize w:val="1"/>
      <w:tblStyleColBandSize w:val="1"/>
      <w:tblCellMar>
        <w:left w:w="115" w:type="dxa"/>
        <w:right w:w="115" w:type="dxa"/>
      </w:tblCellMar>
    </w:tblPr>
  </w:style>
  <w:style w:type="table" w:customStyle="1" w:styleId="129">
    <w:name w:val="129"/>
    <w:basedOn w:val="TableNormal2"/>
    <w:rsid w:val="008C3A64"/>
    <w:tblPr>
      <w:tblStyleRowBandSize w:val="1"/>
      <w:tblStyleColBandSize w:val="1"/>
      <w:tblCellMar>
        <w:left w:w="115" w:type="dxa"/>
        <w:right w:w="115" w:type="dxa"/>
      </w:tblCellMar>
    </w:tblPr>
  </w:style>
  <w:style w:type="table" w:customStyle="1" w:styleId="128">
    <w:name w:val="128"/>
    <w:basedOn w:val="TableNormal2"/>
    <w:rsid w:val="008C3A64"/>
    <w:tblPr>
      <w:tblStyleRowBandSize w:val="1"/>
      <w:tblStyleColBandSize w:val="1"/>
      <w:tblCellMar>
        <w:top w:w="100" w:type="dxa"/>
        <w:left w:w="100" w:type="dxa"/>
        <w:bottom w:w="100" w:type="dxa"/>
        <w:right w:w="100" w:type="dxa"/>
      </w:tblCellMar>
    </w:tblPr>
  </w:style>
  <w:style w:type="table" w:customStyle="1" w:styleId="127">
    <w:name w:val="127"/>
    <w:basedOn w:val="TableNormal2"/>
    <w:rsid w:val="008C3A64"/>
    <w:tblPr>
      <w:tblStyleRowBandSize w:val="1"/>
      <w:tblStyleColBandSize w:val="1"/>
      <w:tblCellMar>
        <w:top w:w="100" w:type="dxa"/>
        <w:left w:w="100" w:type="dxa"/>
        <w:bottom w:w="100" w:type="dxa"/>
        <w:right w:w="100" w:type="dxa"/>
      </w:tblCellMar>
    </w:tblPr>
  </w:style>
  <w:style w:type="table" w:customStyle="1" w:styleId="126">
    <w:name w:val="126"/>
    <w:basedOn w:val="TableNormal2"/>
    <w:rsid w:val="008C3A64"/>
    <w:tblPr>
      <w:tblStyleRowBandSize w:val="1"/>
      <w:tblStyleColBandSize w:val="1"/>
      <w:tblCellMar>
        <w:left w:w="115" w:type="dxa"/>
        <w:right w:w="115" w:type="dxa"/>
      </w:tblCellMar>
    </w:tblPr>
  </w:style>
  <w:style w:type="table" w:customStyle="1" w:styleId="125">
    <w:name w:val="125"/>
    <w:basedOn w:val="TableNormal2"/>
    <w:rsid w:val="008C3A64"/>
    <w:tblPr>
      <w:tblStyleRowBandSize w:val="1"/>
      <w:tblStyleColBandSize w:val="1"/>
      <w:tblCellMar>
        <w:top w:w="100" w:type="dxa"/>
        <w:left w:w="100" w:type="dxa"/>
        <w:bottom w:w="100" w:type="dxa"/>
        <w:right w:w="100" w:type="dxa"/>
      </w:tblCellMar>
    </w:tblPr>
  </w:style>
  <w:style w:type="table" w:customStyle="1" w:styleId="124">
    <w:name w:val="124"/>
    <w:basedOn w:val="TableNormal2"/>
    <w:rsid w:val="008C3A64"/>
    <w:tblPr>
      <w:tblStyleRowBandSize w:val="1"/>
      <w:tblStyleColBandSize w:val="1"/>
      <w:tblCellMar>
        <w:top w:w="100" w:type="dxa"/>
        <w:left w:w="100" w:type="dxa"/>
        <w:bottom w:w="100" w:type="dxa"/>
        <w:right w:w="100" w:type="dxa"/>
      </w:tblCellMar>
    </w:tblPr>
  </w:style>
  <w:style w:type="table" w:customStyle="1" w:styleId="123">
    <w:name w:val="123"/>
    <w:basedOn w:val="TableNormal2"/>
    <w:rsid w:val="008C3A64"/>
    <w:tblPr>
      <w:tblStyleRowBandSize w:val="1"/>
      <w:tblStyleColBandSize w:val="1"/>
      <w:tblCellMar>
        <w:top w:w="100" w:type="dxa"/>
        <w:left w:w="100" w:type="dxa"/>
        <w:bottom w:w="100" w:type="dxa"/>
        <w:right w:w="100" w:type="dxa"/>
      </w:tblCellMar>
    </w:tblPr>
  </w:style>
  <w:style w:type="table" w:customStyle="1" w:styleId="122">
    <w:name w:val="122"/>
    <w:basedOn w:val="TableNormal2"/>
    <w:rsid w:val="008C3A64"/>
    <w:tblPr>
      <w:tblStyleRowBandSize w:val="1"/>
      <w:tblStyleColBandSize w:val="1"/>
      <w:tblCellMar>
        <w:top w:w="100" w:type="dxa"/>
        <w:left w:w="100" w:type="dxa"/>
        <w:bottom w:w="100" w:type="dxa"/>
        <w:right w:w="100" w:type="dxa"/>
      </w:tblCellMar>
    </w:tblPr>
  </w:style>
  <w:style w:type="table" w:customStyle="1" w:styleId="121">
    <w:name w:val="121"/>
    <w:basedOn w:val="TableNormal2"/>
    <w:rsid w:val="008C3A64"/>
    <w:tblPr>
      <w:tblStyleRowBandSize w:val="1"/>
      <w:tblStyleColBandSize w:val="1"/>
      <w:tblCellMar>
        <w:top w:w="100" w:type="dxa"/>
        <w:left w:w="100" w:type="dxa"/>
        <w:bottom w:w="100" w:type="dxa"/>
        <w:right w:w="100" w:type="dxa"/>
      </w:tblCellMar>
    </w:tblPr>
  </w:style>
  <w:style w:type="table" w:customStyle="1" w:styleId="120">
    <w:name w:val="120"/>
    <w:basedOn w:val="TableNormal2"/>
    <w:rsid w:val="008C3A64"/>
    <w:tblPr>
      <w:tblStyleRowBandSize w:val="1"/>
      <w:tblStyleColBandSize w:val="1"/>
      <w:tblCellMar>
        <w:top w:w="100" w:type="dxa"/>
        <w:left w:w="100" w:type="dxa"/>
        <w:bottom w:w="100" w:type="dxa"/>
        <w:right w:w="100" w:type="dxa"/>
      </w:tblCellMar>
    </w:tblPr>
  </w:style>
  <w:style w:type="table" w:customStyle="1" w:styleId="119">
    <w:name w:val="119"/>
    <w:basedOn w:val="TableNormal2"/>
    <w:rsid w:val="008C3A64"/>
    <w:tblPr>
      <w:tblStyleRowBandSize w:val="1"/>
      <w:tblStyleColBandSize w:val="1"/>
      <w:tblCellMar>
        <w:top w:w="100" w:type="dxa"/>
        <w:left w:w="100" w:type="dxa"/>
        <w:bottom w:w="100" w:type="dxa"/>
        <w:right w:w="100" w:type="dxa"/>
      </w:tblCellMar>
    </w:tblPr>
  </w:style>
  <w:style w:type="table" w:customStyle="1" w:styleId="118">
    <w:name w:val="118"/>
    <w:basedOn w:val="TableNormal2"/>
    <w:rsid w:val="008C3A64"/>
    <w:tblPr>
      <w:tblStyleRowBandSize w:val="1"/>
      <w:tblStyleColBandSize w:val="1"/>
      <w:tblCellMar>
        <w:top w:w="100" w:type="dxa"/>
        <w:left w:w="100" w:type="dxa"/>
        <w:bottom w:w="100" w:type="dxa"/>
        <w:right w:w="100" w:type="dxa"/>
      </w:tblCellMar>
    </w:tblPr>
  </w:style>
  <w:style w:type="table" w:customStyle="1" w:styleId="117">
    <w:name w:val="117"/>
    <w:basedOn w:val="TableNormal2"/>
    <w:rsid w:val="008C3A64"/>
    <w:tblPr>
      <w:tblStyleRowBandSize w:val="1"/>
      <w:tblStyleColBandSize w:val="1"/>
      <w:tblCellMar>
        <w:left w:w="115" w:type="dxa"/>
        <w:right w:w="115" w:type="dxa"/>
      </w:tblCellMar>
    </w:tblPr>
  </w:style>
  <w:style w:type="table" w:customStyle="1" w:styleId="116">
    <w:name w:val="116"/>
    <w:basedOn w:val="TableNormal2"/>
    <w:rsid w:val="008C3A64"/>
    <w:tblPr>
      <w:tblStyleRowBandSize w:val="1"/>
      <w:tblStyleColBandSize w:val="1"/>
      <w:tblCellMar>
        <w:top w:w="100" w:type="dxa"/>
        <w:left w:w="100" w:type="dxa"/>
        <w:bottom w:w="100" w:type="dxa"/>
        <w:right w:w="100" w:type="dxa"/>
      </w:tblCellMar>
    </w:tblPr>
  </w:style>
  <w:style w:type="table" w:customStyle="1" w:styleId="115">
    <w:name w:val="115"/>
    <w:basedOn w:val="TableNormal2"/>
    <w:rsid w:val="008C3A64"/>
    <w:tblPr>
      <w:tblStyleRowBandSize w:val="1"/>
      <w:tblStyleColBandSize w:val="1"/>
      <w:tblCellMar>
        <w:top w:w="100" w:type="dxa"/>
        <w:left w:w="100" w:type="dxa"/>
        <w:bottom w:w="100" w:type="dxa"/>
        <w:right w:w="100" w:type="dxa"/>
      </w:tblCellMar>
    </w:tblPr>
  </w:style>
  <w:style w:type="table" w:customStyle="1" w:styleId="114">
    <w:name w:val="114"/>
    <w:basedOn w:val="TableNormal2"/>
    <w:rsid w:val="008C3A64"/>
    <w:tblPr>
      <w:tblStyleRowBandSize w:val="1"/>
      <w:tblStyleColBandSize w:val="1"/>
      <w:tblCellMar>
        <w:top w:w="100" w:type="dxa"/>
        <w:left w:w="100" w:type="dxa"/>
        <w:bottom w:w="100" w:type="dxa"/>
        <w:right w:w="100" w:type="dxa"/>
      </w:tblCellMar>
    </w:tblPr>
  </w:style>
  <w:style w:type="table" w:customStyle="1" w:styleId="113">
    <w:name w:val="113"/>
    <w:basedOn w:val="TableNormal2"/>
    <w:rsid w:val="008C3A64"/>
    <w:tblPr>
      <w:tblStyleRowBandSize w:val="1"/>
      <w:tblStyleColBandSize w:val="1"/>
      <w:tblCellMar>
        <w:top w:w="100" w:type="dxa"/>
        <w:left w:w="100" w:type="dxa"/>
        <w:bottom w:w="100" w:type="dxa"/>
        <w:right w:w="100" w:type="dxa"/>
      </w:tblCellMar>
    </w:tblPr>
  </w:style>
  <w:style w:type="table" w:customStyle="1" w:styleId="112">
    <w:name w:val="112"/>
    <w:basedOn w:val="TableNormal2"/>
    <w:rsid w:val="008C3A64"/>
    <w:tblPr>
      <w:tblStyleRowBandSize w:val="1"/>
      <w:tblStyleColBandSize w:val="1"/>
      <w:tblCellMar>
        <w:top w:w="100" w:type="dxa"/>
        <w:left w:w="100" w:type="dxa"/>
        <w:bottom w:w="100" w:type="dxa"/>
        <w:right w:w="100" w:type="dxa"/>
      </w:tblCellMar>
    </w:tblPr>
  </w:style>
  <w:style w:type="table" w:customStyle="1" w:styleId="111">
    <w:name w:val="111"/>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rPr>
      <w:tblPr/>
      <w:tcPr>
        <w:tcBorders>
          <w:top w:val="single" w:sz="4" w:space="0" w:color="4472C4"/>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10">
    <w:name w:val="110"/>
    <w:basedOn w:val="TableNormal2"/>
    <w:rsid w:val="008C3A64"/>
    <w:tblPr>
      <w:tblStyleRowBandSize w:val="1"/>
      <w:tblStyleColBandSize w:val="1"/>
      <w:tblCellMar>
        <w:top w:w="100" w:type="dxa"/>
        <w:left w:w="100" w:type="dxa"/>
        <w:bottom w:w="100" w:type="dxa"/>
        <w:right w:w="100" w:type="dxa"/>
      </w:tblCellMar>
    </w:tblPr>
  </w:style>
  <w:style w:type="table" w:customStyle="1" w:styleId="109">
    <w:name w:val="109"/>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8">
    <w:name w:val="108"/>
    <w:basedOn w:val="TableNormal2"/>
    <w:rsid w:val="008C3A64"/>
    <w:tblPr>
      <w:tblStyleRowBandSize w:val="1"/>
      <w:tblStyleColBandSize w:val="1"/>
      <w:tblCellMar>
        <w:top w:w="100" w:type="dxa"/>
        <w:left w:w="100" w:type="dxa"/>
        <w:bottom w:w="100" w:type="dxa"/>
        <w:right w:w="100" w:type="dxa"/>
      </w:tblCellMar>
    </w:tblPr>
  </w:style>
  <w:style w:type="table" w:customStyle="1" w:styleId="107">
    <w:name w:val="107"/>
    <w:basedOn w:val="TableNormal2"/>
    <w:rsid w:val="008C3A64"/>
    <w:tblPr>
      <w:tblStyleRowBandSize w:val="1"/>
      <w:tblStyleColBandSize w:val="1"/>
      <w:tblCellMar>
        <w:top w:w="100" w:type="dxa"/>
        <w:left w:w="100" w:type="dxa"/>
        <w:bottom w:w="100" w:type="dxa"/>
        <w:right w:w="100" w:type="dxa"/>
      </w:tblCellMar>
    </w:tblPr>
  </w:style>
  <w:style w:type="table" w:customStyle="1" w:styleId="106">
    <w:name w:val="106"/>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5">
    <w:name w:val="105"/>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4">
    <w:name w:val="104"/>
    <w:basedOn w:val="TableNormal2"/>
    <w:rsid w:val="008C3A64"/>
    <w:tblPr>
      <w:tblStyleRowBandSize w:val="1"/>
      <w:tblStyleColBandSize w:val="1"/>
      <w:tblCellMar>
        <w:top w:w="100" w:type="dxa"/>
        <w:left w:w="100" w:type="dxa"/>
        <w:bottom w:w="100" w:type="dxa"/>
        <w:right w:w="100" w:type="dxa"/>
      </w:tblCellMar>
    </w:tblPr>
  </w:style>
  <w:style w:type="table" w:customStyle="1" w:styleId="103">
    <w:name w:val="103"/>
    <w:basedOn w:val="TableNormal2"/>
    <w:rsid w:val="008C3A64"/>
    <w:tblPr>
      <w:tblStyleRowBandSize w:val="1"/>
      <w:tblStyleColBandSize w:val="1"/>
      <w:tblCellMar>
        <w:top w:w="100" w:type="dxa"/>
        <w:left w:w="100" w:type="dxa"/>
        <w:bottom w:w="100" w:type="dxa"/>
        <w:right w:w="100" w:type="dxa"/>
      </w:tblCellMar>
    </w:tblPr>
  </w:style>
  <w:style w:type="table" w:customStyle="1" w:styleId="102">
    <w:name w:val="102"/>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01">
    <w:name w:val="101"/>
    <w:basedOn w:val="TableNormal2"/>
    <w:rsid w:val="008C3A64"/>
    <w:tblPr>
      <w:tblStyleRowBandSize w:val="1"/>
      <w:tblStyleColBandSize w:val="1"/>
      <w:tblCellMar>
        <w:top w:w="100" w:type="dxa"/>
        <w:left w:w="100" w:type="dxa"/>
        <w:bottom w:w="100" w:type="dxa"/>
        <w:right w:w="100" w:type="dxa"/>
      </w:tblCellMar>
    </w:tblPr>
  </w:style>
  <w:style w:type="table" w:customStyle="1" w:styleId="100">
    <w:name w:val="100"/>
    <w:basedOn w:val="TableNormal2"/>
    <w:rsid w:val="008C3A64"/>
    <w:tblPr>
      <w:tblStyleRowBandSize w:val="1"/>
      <w:tblStyleColBandSize w:val="1"/>
      <w:tblCellMar>
        <w:top w:w="100" w:type="dxa"/>
        <w:left w:w="100" w:type="dxa"/>
        <w:bottom w:w="100" w:type="dxa"/>
        <w:right w:w="100" w:type="dxa"/>
      </w:tblCellMar>
    </w:tblPr>
  </w:style>
  <w:style w:type="table" w:customStyle="1" w:styleId="99">
    <w:name w:val="99"/>
    <w:basedOn w:val="TableNormal2"/>
    <w:rsid w:val="008C3A64"/>
    <w:tblPr>
      <w:tblStyleRowBandSize w:val="1"/>
      <w:tblStyleColBandSize w:val="1"/>
      <w:tblCellMar>
        <w:top w:w="100" w:type="dxa"/>
        <w:left w:w="100" w:type="dxa"/>
        <w:bottom w:w="100" w:type="dxa"/>
        <w:right w:w="100" w:type="dxa"/>
      </w:tblCellMar>
    </w:tblPr>
  </w:style>
  <w:style w:type="table" w:customStyle="1" w:styleId="98">
    <w:name w:val="98"/>
    <w:basedOn w:val="TableNormal2"/>
    <w:rsid w:val="008C3A64"/>
    <w:tblPr>
      <w:tblStyleRowBandSize w:val="1"/>
      <w:tblStyleColBandSize w:val="1"/>
      <w:tblCellMar>
        <w:top w:w="100" w:type="dxa"/>
        <w:left w:w="100" w:type="dxa"/>
        <w:bottom w:w="100" w:type="dxa"/>
        <w:right w:w="100" w:type="dxa"/>
      </w:tblCellMar>
    </w:tblPr>
  </w:style>
  <w:style w:type="table" w:customStyle="1" w:styleId="97">
    <w:name w:val="97"/>
    <w:basedOn w:val="TableNormal2"/>
    <w:rsid w:val="008C3A64"/>
    <w:tblPr>
      <w:tblStyleRowBandSize w:val="1"/>
      <w:tblStyleColBandSize w:val="1"/>
      <w:tblCellMar>
        <w:top w:w="100" w:type="dxa"/>
        <w:left w:w="100" w:type="dxa"/>
        <w:bottom w:w="100" w:type="dxa"/>
        <w:right w:w="100" w:type="dxa"/>
      </w:tblCellMar>
    </w:tblPr>
  </w:style>
  <w:style w:type="table" w:customStyle="1" w:styleId="96">
    <w:name w:val="96"/>
    <w:basedOn w:val="TableNormal2"/>
    <w:rsid w:val="008C3A64"/>
    <w:tblPr>
      <w:tblStyleRowBandSize w:val="1"/>
      <w:tblStyleColBandSize w:val="1"/>
      <w:tblCellMar>
        <w:top w:w="100" w:type="dxa"/>
        <w:left w:w="100" w:type="dxa"/>
        <w:bottom w:w="100" w:type="dxa"/>
        <w:right w:w="100" w:type="dxa"/>
      </w:tblCellMar>
    </w:tblPr>
  </w:style>
  <w:style w:type="table" w:customStyle="1" w:styleId="95">
    <w:name w:val="95"/>
    <w:basedOn w:val="TableNormal2"/>
    <w:rsid w:val="008C3A64"/>
    <w:tblPr>
      <w:tblStyleRowBandSize w:val="1"/>
      <w:tblStyleColBandSize w:val="1"/>
      <w:tblCellMar>
        <w:top w:w="100" w:type="dxa"/>
        <w:left w:w="100" w:type="dxa"/>
        <w:bottom w:w="100" w:type="dxa"/>
        <w:right w:w="100" w:type="dxa"/>
      </w:tblCellMar>
    </w:tblPr>
  </w:style>
  <w:style w:type="table" w:customStyle="1" w:styleId="94">
    <w:name w:val="94"/>
    <w:basedOn w:val="TableNormal2"/>
    <w:rsid w:val="008C3A64"/>
    <w:tblPr>
      <w:tblStyleRowBandSize w:val="1"/>
      <w:tblStyleColBandSize w:val="1"/>
      <w:tblCellMar>
        <w:top w:w="100" w:type="dxa"/>
        <w:left w:w="100" w:type="dxa"/>
        <w:bottom w:w="100" w:type="dxa"/>
        <w:right w:w="100" w:type="dxa"/>
      </w:tblCellMar>
    </w:tblPr>
  </w:style>
  <w:style w:type="table" w:customStyle="1" w:styleId="93">
    <w:name w:val="93"/>
    <w:basedOn w:val="TableNormal2"/>
    <w:rsid w:val="008C3A64"/>
    <w:tblPr>
      <w:tblStyleRowBandSize w:val="1"/>
      <w:tblStyleColBandSize w:val="1"/>
      <w:tblCellMar>
        <w:top w:w="100" w:type="dxa"/>
        <w:left w:w="100" w:type="dxa"/>
        <w:bottom w:w="100" w:type="dxa"/>
        <w:right w:w="100" w:type="dxa"/>
      </w:tblCellMar>
    </w:tblPr>
  </w:style>
  <w:style w:type="table" w:customStyle="1" w:styleId="92">
    <w:name w:val="92"/>
    <w:basedOn w:val="TableNormal2"/>
    <w:rsid w:val="008C3A64"/>
    <w:tblPr>
      <w:tblStyleRowBandSize w:val="1"/>
      <w:tblStyleColBandSize w:val="1"/>
      <w:tblCellMar>
        <w:top w:w="100" w:type="dxa"/>
        <w:left w:w="100" w:type="dxa"/>
        <w:bottom w:w="100" w:type="dxa"/>
        <w:right w:w="100" w:type="dxa"/>
      </w:tblCellMar>
    </w:tblPr>
  </w:style>
  <w:style w:type="table" w:customStyle="1" w:styleId="91">
    <w:name w:val="91"/>
    <w:basedOn w:val="TableNormal2"/>
    <w:rsid w:val="008C3A64"/>
    <w:tblPr>
      <w:tblStyleRowBandSize w:val="1"/>
      <w:tblStyleColBandSize w:val="1"/>
      <w:tblCellMar>
        <w:top w:w="100" w:type="dxa"/>
        <w:left w:w="100" w:type="dxa"/>
        <w:bottom w:w="100" w:type="dxa"/>
        <w:right w:w="100" w:type="dxa"/>
      </w:tblCellMar>
    </w:tblPr>
  </w:style>
  <w:style w:type="table" w:customStyle="1" w:styleId="90">
    <w:name w:val="90"/>
    <w:basedOn w:val="TableNormal2"/>
    <w:rsid w:val="008C3A64"/>
    <w:tblPr>
      <w:tblStyleRowBandSize w:val="1"/>
      <w:tblStyleColBandSize w:val="1"/>
      <w:tblCellMar>
        <w:top w:w="100" w:type="dxa"/>
        <w:left w:w="100" w:type="dxa"/>
        <w:bottom w:w="100" w:type="dxa"/>
        <w:right w:w="100" w:type="dxa"/>
      </w:tblCellMar>
    </w:tblPr>
  </w:style>
  <w:style w:type="table" w:customStyle="1" w:styleId="89">
    <w:name w:val="89"/>
    <w:basedOn w:val="TableNormal2"/>
    <w:rsid w:val="008C3A64"/>
    <w:tblPr>
      <w:tblStyleRowBandSize w:val="1"/>
      <w:tblStyleColBandSize w:val="1"/>
      <w:tblCellMar>
        <w:top w:w="100" w:type="dxa"/>
        <w:left w:w="100" w:type="dxa"/>
        <w:bottom w:w="100" w:type="dxa"/>
        <w:right w:w="100" w:type="dxa"/>
      </w:tblCellMar>
    </w:tblPr>
  </w:style>
  <w:style w:type="table" w:customStyle="1" w:styleId="88">
    <w:name w:val="88"/>
    <w:basedOn w:val="TableNormal2"/>
    <w:rsid w:val="008C3A64"/>
    <w:tblPr>
      <w:tblStyleRowBandSize w:val="1"/>
      <w:tblStyleColBandSize w:val="1"/>
      <w:tblCellMar>
        <w:top w:w="100" w:type="dxa"/>
        <w:left w:w="100" w:type="dxa"/>
        <w:bottom w:w="100" w:type="dxa"/>
        <w:right w:w="100" w:type="dxa"/>
      </w:tblCellMar>
    </w:tblPr>
  </w:style>
  <w:style w:type="table" w:customStyle="1" w:styleId="87">
    <w:name w:val="87"/>
    <w:basedOn w:val="TableNormal2"/>
    <w:rsid w:val="008C3A64"/>
    <w:tblPr>
      <w:tblStyleRowBandSize w:val="1"/>
      <w:tblStyleColBandSize w:val="1"/>
      <w:tblCellMar>
        <w:top w:w="100" w:type="dxa"/>
        <w:left w:w="100" w:type="dxa"/>
        <w:bottom w:w="100" w:type="dxa"/>
        <w:right w:w="100" w:type="dxa"/>
      </w:tblCellMar>
    </w:tblPr>
  </w:style>
  <w:style w:type="table" w:customStyle="1" w:styleId="86">
    <w:name w:val="86"/>
    <w:basedOn w:val="TableNormal2"/>
    <w:rsid w:val="008C3A64"/>
    <w:tblPr>
      <w:tblStyleRowBandSize w:val="1"/>
      <w:tblStyleColBandSize w:val="1"/>
      <w:tblCellMar>
        <w:top w:w="100" w:type="dxa"/>
        <w:left w:w="100" w:type="dxa"/>
        <w:bottom w:w="100" w:type="dxa"/>
        <w:right w:w="100" w:type="dxa"/>
      </w:tblCellMar>
    </w:tblPr>
  </w:style>
  <w:style w:type="table" w:customStyle="1" w:styleId="85">
    <w:name w:val="85"/>
    <w:basedOn w:val="TableNormal2"/>
    <w:rsid w:val="008C3A64"/>
    <w:tblPr>
      <w:tblStyleRowBandSize w:val="1"/>
      <w:tblStyleColBandSize w:val="1"/>
      <w:tblCellMar>
        <w:left w:w="115" w:type="dxa"/>
        <w:right w:w="115" w:type="dxa"/>
      </w:tblCellMar>
    </w:tblPr>
  </w:style>
  <w:style w:type="table" w:customStyle="1" w:styleId="84">
    <w:name w:val="84"/>
    <w:basedOn w:val="TableNormal2"/>
    <w:rsid w:val="008C3A64"/>
    <w:tblPr>
      <w:tblStyleRowBandSize w:val="1"/>
      <w:tblStyleColBandSize w:val="1"/>
      <w:tblCellMar>
        <w:left w:w="115" w:type="dxa"/>
        <w:right w:w="115" w:type="dxa"/>
      </w:tblCellMar>
    </w:tblPr>
  </w:style>
  <w:style w:type="table" w:customStyle="1" w:styleId="83">
    <w:name w:val="83"/>
    <w:basedOn w:val="TableNormal2"/>
    <w:rsid w:val="008C3A64"/>
    <w:tblPr>
      <w:tblStyleRowBandSize w:val="1"/>
      <w:tblStyleColBandSize w:val="1"/>
      <w:tblCellMar>
        <w:top w:w="100" w:type="dxa"/>
        <w:left w:w="100" w:type="dxa"/>
        <w:bottom w:w="100" w:type="dxa"/>
        <w:right w:w="100" w:type="dxa"/>
      </w:tblCellMar>
    </w:tblPr>
  </w:style>
  <w:style w:type="table" w:customStyle="1" w:styleId="82">
    <w:name w:val="82"/>
    <w:basedOn w:val="TableNormal2"/>
    <w:rsid w:val="008C3A64"/>
    <w:tblPr>
      <w:tblStyleRowBandSize w:val="1"/>
      <w:tblStyleColBandSize w:val="1"/>
      <w:tblCellMar>
        <w:top w:w="100" w:type="dxa"/>
        <w:left w:w="100" w:type="dxa"/>
        <w:bottom w:w="100" w:type="dxa"/>
        <w:right w:w="100" w:type="dxa"/>
      </w:tblCellMar>
    </w:tblPr>
  </w:style>
  <w:style w:type="table" w:customStyle="1" w:styleId="81">
    <w:name w:val="81"/>
    <w:basedOn w:val="TableNormal2"/>
    <w:rsid w:val="008C3A64"/>
    <w:tblPr>
      <w:tblStyleRowBandSize w:val="1"/>
      <w:tblStyleColBandSize w:val="1"/>
      <w:tblCellMar>
        <w:top w:w="100" w:type="dxa"/>
        <w:left w:w="100" w:type="dxa"/>
        <w:bottom w:w="100" w:type="dxa"/>
        <w:right w:w="100" w:type="dxa"/>
      </w:tblCellMar>
    </w:tblPr>
  </w:style>
  <w:style w:type="table" w:customStyle="1" w:styleId="80">
    <w:name w:val="80"/>
    <w:basedOn w:val="TableNormal2"/>
    <w:rsid w:val="008C3A64"/>
    <w:tblPr>
      <w:tblStyleRowBandSize w:val="1"/>
      <w:tblStyleColBandSize w:val="1"/>
      <w:tblCellMar>
        <w:top w:w="100" w:type="dxa"/>
        <w:left w:w="100" w:type="dxa"/>
        <w:bottom w:w="100" w:type="dxa"/>
        <w:right w:w="100" w:type="dxa"/>
      </w:tblCellMar>
    </w:tblPr>
  </w:style>
  <w:style w:type="table" w:customStyle="1" w:styleId="79">
    <w:name w:val="79"/>
    <w:basedOn w:val="TableNormal2"/>
    <w:rsid w:val="008C3A64"/>
    <w:tblPr>
      <w:tblStyleRowBandSize w:val="1"/>
      <w:tblStyleColBandSize w:val="1"/>
      <w:tblCellMar>
        <w:top w:w="100" w:type="dxa"/>
        <w:left w:w="100" w:type="dxa"/>
        <w:bottom w:w="100" w:type="dxa"/>
        <w:right w:w="100" w:type="dxa"/>
      </w:tblCellMar>
    </w:tblPr>
  </w:style>
  <w:style w:type="paragraph" w:customStyle="1" w:styleId="Graficos">
    <w:name w:val="Graficos"/>
    <w:basedOn w:val="Normal"/>
    <w:link w:val="GraficosCar"/>
    <w:autoRedefine/>
    <w:qFormat/>
    <w:rsid w:val="008C3A64"/>
    <w:pPr>
      <w:pBdr>
        <w:top w:val="nil"/>
        <w:left w:val="nil"/>
        <w:bottom w:val="nil"/>
        <w:right w:val="nil"/>
        <w:between w:val="nil"/>
      </w:pBdr>
      <w:ind w:left="1134" w:right="1184"/>
      <w:jc w:val="center"/>
    </w:pPr>
    <w:rPr>
      <w:rFonts w:eastAsia="Candara" w:cs="Candara"/>
      <w:b/>
      <w:szCs w:val="20"/>
      <w:lang w:val="es-419" w:eastAsia="es-CO"/>
    </w:rPr>
  </w:style>
  <w:style w:type="paragraph" w:customStyle="1" w:styleId="Fuentes">
    <w:name w:val="Fuentes"/>
    <w:basedOn w:val="Normal"/>
    <w:autoRedefine/>
    <w:qFormat/>
    <w:rsid w:val="008C3A64"/>
    <w:pPr>
      <w:pBdr>
        <w:top w:val="nil"/>
        <w:left w:val="nil"/>
        <w:bottom w:val="nil"/>
        <w:right w:val="nil"/>
        <w:between w:val="nil"/>
      </w:pBdr>
      <w:ind w:left="1440" w:right="1184"/>
      <w:jc w:val="center"/>
    </w:pPr>
    <w:rPr>
      <w:rFonts w:eastAsia="Candara" w:cs="Candara"/>
      <w:i/>
      <w:szCs w:val="20"/>
      <w:lang w:val="es-419" w:eastAsia="es-CO"/>
    </w:rPr>
  </w:style>
  <w:style w:type="paragraph" w:customStyle="1" w:styleId="Ilustracin">
    <w:name w:val="Ilustración"/>
    <w:basedOn w:val="Normal"/>
    <w:link w:val="IlustracinCar"/>
    <w:autoRedefine/>
    <w:qFormat/>
    <w:rsid w:val="008C3A64"/>
    <w:pPr>
      <w:pBdr>
        <w:top w:val="nil"/>
        <w:left w:val="nil"/>
        <w:bottom w:val="nil"/>
        <w:right w:val="nil"/>
        <w:between w:val="nil"/>
      </w:pBdr>
      <w:ind w:left="720"/>
      <w:jc w:val="center"/>
    </w:pPr>
    <w:rPr>
      <w:rFonts w:eastAsia="Candara" w:cs="Candara"/>
      <w:b/>
      <w:color w:val="000000"/>
      <w:szCs w:val="20"/>
      <w:lang w:val="es-419" w:eastAsia="es-CO"/>
    </w:rPr>
  </w:style>
  <w:style w:type="paragraph" w:customStyle="1" w:styleId="programas">
    <w:name w:val="programas"/>
    <w:basedOn w:val="Ttulo5"/>
    <w:link w:val="programasCar"/>
    <w:autoRedefine/>
    <w:qFormat/>
    <w:rsid w:val="008C3A64"/>
    <w:pPr>
      <w:pBdr>
        <w:top w:val="nil"/>
        <w:left w:val="nil"/>
        <w:bottom w:val="nil"/>
        <w:right w:val="nil"/>
        <w:between w:val="nil"/>
      </w:pBdr>
      <w:spacing w:line="259" w:lineRule="auto"/>
      <w:ind w:left="360" w:hanging="360"/>
    </w:pPr>
    <w:rPr>
      <w:rFonts w:ascii="Candara" w:hAnsi="Candara"/>
      <w:color w:val="000000"/>
      <w:sz w:val="24"/>
      <w:szCs w:val="20"/>
      <w:lang w:val="en-US" w:eastAsia="es-CO"/>
    </w:rPr>
  </w:style>
  <w:style w:type="character" w:customStyle="1" w:styleId="IlustracinCar">
    <w:name w:val="Ilustración Car"/>
    <w:basedOn w:val="Fuentedeprrafopredeter"/>
    <w:link w:val="Ilustracin"/>
    <w:rsid w:val="008C3A64"/>
    <w:rPr>
      <w:rFonts w:ascii="Candara" w:eastAsia="Candara" w:hAnsi="Candara" w:cs="Candara"/>
      <w:b/>
      <w:color w:val="000000"/>
      <w:sz w:val="20"/>
      <w:szCs w:val="20"/>
      <w:lang w:val="es-419" w:eastAsia="es-CO"/>
    </w:rPr>
  </w:style>
  <w:style w:type="paragraph" w:customStyle="1" w:styleId="tablas0">
    <w:name w:val="tablas"/>
    <w:basedOn w:val="Normal"/>
    <w:link w:val="tablasCar0"/>
    <w:autoRedefine/>
    <w:qFormat/>
    <w:rsid w:val="008C3A64"/>
    <w:pPr>
      <w:ind w:left="1134" w:right="1042"/>
      <w:jc w:val="center"/>
    </w:pPr>
    <w:rPr>
      <w:rFonts w:eastAsia="Candara" w:cs="Candara"/>
      <w:b/>
      <w:szCs w:val="20"/>
      <w:lang w:val="es-419" w:eastAsia="es-CO"/>
    </w:rPr>
  </w:style>
  <w:style w:type="character" w:customStyle="1" w:styleId="programasCar">
    <w:name w:val="programas Car"/>
    <w:basedOn w:val="Fuentedeprrafopredeter"/>
    <w:link w:val="programas"/>
    <w:rsid w:val="008C3A64"/>
    <w:rPr>
      <w:rFonts w:ascii="Candara" w:eastAsiaTheme="majorEastAsia" w:hAnsi="Candara" w:cstheme="majorBidi"/>
      <w:color w:val="000000"/>
      <w:szCs w:val="20"/>
      <w:lang w:val="en-US" w:eastAsia="es-CO"/>
    </w:rPr>
  </w:style>
  <w:style w:type="paragraph" w:customStyle="1" w:styleId="Mapas">
    <w:name w:val="Mapas"/>
    <w:basedOn w:val="Graficos"/>
    <w:link w:val="MapasCar"/>
    <w:autoRedefine/>
    <w:qFormat/>
    <w:rsid w:val="008C3A64"/>
  </w:style>
  <w:style w:type="character" w:customStyle="1" w:styleId="tablasCar0">
    <w:name w:val="tablas Car"/>
    <w:basedOn w:val="Fuentedeprrafopredeter"/>
    <w:link w:val="tablas0"/>
    <w:rsid w:val="008C3A64"/>
    <w:rPr>
      <w:rFonts w:ascii="Candara" w:eastAsia="Candara" w:hAnsi="Candara" w:cs="Candara"/>
      <w:b/>
      <w:sz w:val="20"/>
      <w:szCs w:val="20"/>
      <w:lang w:val="es-419" w:eastAsia="es-CO"/>
    </w:rPr>
  </w:style>
  <w:style w:type="character" w:customStyle="1" w:styleId="GraficosCar">
    <w:name w:val="Graficos Car"/>
    <w:basedOn w:val="Fuentedeprrafopredeter"/>
    <w:link w:val="Graficos"/>
    <w:rsid w:val="008C3A64"/>
    <w:rPr>
      <w:rFonts w:ascii="Candara" w:eastAsia="Candara" w:hAnsi="Candara" w:cs="Candara"/>
      <w:b/>
      <w:sz w:val="20"/>
      <w:szCs w:val="20"/>
      <w:lang w:val="es-419" w:eastAsia="es-CO"/>
    </w:rPr>
  </w:style>
  <w:style w:type="character" w:customStyle="1" w:styleId="MapasCar">
    <w:name w:val="Mapas Car"/>
    <w:basedOn w:val="GraficosCar"/>
    <w:link w:val="Mapas"/>
    <w:rsid w:val="008C3A64"/>
    <w:rPr>
      <w:rFonts w:ascii="Candara" w:eastAsia="Candara" w:hAnsi="Candara" w:cs="Candara"/>
      <w:b/>
      <w:sz w:val="20"/>
      <w:szCs w:val="20"/>
      <w:lang w:val="es-419" w:eastAsia="es-CO"/>
    </w:rPr>
  </w:style>
  <w:style w:type="paragraph" w:customStyle="1" w:styleId="TableParagraph">
    <w:name w:val="Table Paragraph"/>
    <w:basedOn w:val="Normal"/>
    <w:uiPriority w:val="1"/>
    <w:qFormat/>
    <w:rsid w:val="008C3A64"/>
    <w:pPr>
      <w:widowControl w:val="0"/>
      <w:autoSpaceDE w:val="0"/>
      <w:autoSpaceDN w:val="0"/>
      <w:adjustRightInd w:val="0"/>
      <w:spacing w:before="50"/>
      <w:jc w:val="right"/>
    </w:pPr>
    <w:rPr>
      <w:rFonts w:ascii="Times New Roman" w:eastAsiaTheme="minorEastAsia" w:hAnsi="Times New Roman"/>
      <w:sz w:val="24"/>
      <w:lang w:val="es-MX" w:eastAsia="es-MX"/>
    </w:rPr>
  </w:style>
  <w:style w:type="numbering" w:customStyle="1" w:styleId="Listaactual2">
    <w:name w:val="Lista actual2"/>
    <w:uiPriority w:val="99"/>
    <w:rsid w:val="008C3A64"/>
    <w:pPr>
      <w:numPr>
        <w:numId w:val="20"/>
      </w:numPr>
    </w:pPr>
  </w:style>
  <w:style w:type="numbering" w:customStyle="1" w:styleId="Sinlista1">
    <w:name w:val="Sin lista1"/>
    <w:next w:val="Sinlista"/>
    <w:uiPriority w:val="99"/>
    <w:semiHidden/>
    <w:unhideWhenUsed/>
    <w:rsid w:val="002D1EA8"/>
  </w:style>
  <w:style w:type="table" w:customStyle="1" w:styleId="TableNormal5">
    <w:name w:val="Table Normal5"/>
    <w:rsid w:val="002D1EA8"/>
    <w:pPr>
      <w:spacing w:line="260" w:lineRule="auto"/>
      <w:jc w:val="both"/>
    </w:pPr>
    <w:rPr>
      <w:rFonts w:ascii="Candara" w:eastAsia="Candara" w:hAnsi="Candara" w:cs="Candara"/>
      <w:color w:val="3B3838"/>
      <w:sz w:val="22"/>
      <w:szCs w:val="22"/>
      <w:lang w:val="es-419" w:eastAsia="es-MX"/>
    </w:rPr>
    <w:tblPr>
      <w:tblCellMar>
        <w:top w:w="0" w:type="dxa"/>
        <w:left w:w="0" w:type="dxa"/>
        <w:bottom w:w="0" w:type="dxa"/>
        <w:right w:w="0" w:type="dxa"/>
      </w:tblCellMar>
    </w:tblPr>
  </w:style>
  <w:style w:type="paragraph" w:customStyle="1" w:styleId="Contenido">
    <w:name w:val="Contenido"/>
    <w:basedOn w:val="Normal"/>
    <w:qFormat/>
    <w:rsid w:val="002D1EA8"/>
    <w:pPr>
      <w:pBdr>
        <w:top w:val="nil"/>
        <w:left w:val="nil"/>
        <w:bottom w:val="nil"/>
        <w:right w:val="nil"/>
        <w:between w:val="nil"/>
      </w:pBdr>
      <w:tabs>
        <w:tab w:val="right" w:pos="8828"/>
      </w:tabs>
      <w:spacing w:before="120" w:line="300" w:lineRule="exact"/>
    </w:pPr>
    <w:rPr>
      <w:rFonts w:eastAsia="Calibri" w:cs="Calibri"/>
      <w:color w:val="262626" w:themeColor="text1" w:themeTint="D9"/>
      <w:spacing w:val="-4"/>
      <w:szCs w:val="22"/>
      <w:lang w:val="es-ES_tradnl" w:eastAsia="es-ES"/>
    </w:rPr>
  </w:style>
  <w:style w:type="table" w:customStyle="1" w:styleId="Tablaconcuadrculaclara1">
    <w:name w:val="Tabla con cuadrícula clara1"/>
    <w:basedOn w:val="Tablanormal"/>
    <w:next w:val="Tablaconcuadrculaclara"/>
    <w:uiPriority w:val="40"/>
    <w:rsid w:val="002D1EA8"/>
    <w:pPr>
      <w:spacing w:line="260" w:lineRule="auto"/>
      <w:jc w:val="both"/>
    </w:pPr>
    <w:rPr>
      <w:rFonts w:ascii="Candara" w:eastAsia="Candara" w:hAnsi="Candara" w:cs="Candara"/>
      <w:color w:val="3B3838"/>
      <w:sz w:val="22"/>
      <w:szCs w:val="22"/>
      <w:lang w:val="es-CL" w:eastAsia="es-MX"/>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32">
    <w:name w:val="Tabla normal 32"/>
    <w:basedOn w:val="Tablanormal"/>
    <w:next w:val="Tablanormal3"/>
    <w:uiPriority w:val="43"/>
    <w:rsid w:val="002D1EA8"/>
    <w:pPr>
      <w:spacing w:line="260" w:lineRule="auto"/>
      <w:jc w:val="both"/>
    </w:pPr>
    <w:rPr>
      <w:rFonts w:ascii="Candara" w:eastAsia="Candara" w:hAnsi="Candara" w:cs="Candara"/>
      <w:color w:val="3B3838"/>
      <w:sz w:val="22"/>
      <w:szCs w:val="22"/>
      <w:lang w:val="es-419" w:eastAsia="es-MX"/>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normal51">
    <w:name w:val="Tabla normal 51"/>
    <w:basedOn w:val="Tablanormal"/>
    <w:next w:val="Tablanormal5"/>
    <w:uiPriority w:val="45"/>
    <w:rsid w:val="002D1EA8"/>
    <w:pPr>
      <w:spacing w:line="260" w:lineRule="auto"/>
      <w:jc w:val="both"/>
    </w:pPr>
    <w:rPr>
      <w:rFonts w:ascii="Candara" w:eastAsia="Candara" w:hAnsi="Candara" w:cs="Candara"/>
      <w:color w:val="3B3838"/>
      <w:sz w:val="22"/>
      <w:szCs w:val="22"/>
      <w:lang w:val="es-419" w:eastAsia="es-MX"/>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5">
    <w:name w:val="Tabla con cuadrícula5"/>
    <w:basedOn w:val="Tablanormal"/>
    <w:next w:val="Tablaconcuadrcula"/>
    <w:uiPriority w:val="39"/>
    <w:qFormat/>
    <w:rsid w:val="002D1EA8"/>
    <w:pPr>
      <w:spacing w:line="260" w:lineRule="auto"/>
      <w:jc w:val="both"/>
    </w:pPr>
    <w:rPr>
      <w:rFonts w:ascii="Candara" w:eastAsia="Candara" w:hAnsi="Candara" w:cs="Candara"/>
      <w:color w:val="3B3838"/>
      <w:sz w:val="22"/>
      <w:szCs w:val="22"/>
      <w:lang w:val="es-419"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1">
    <w:name w:val="Tabla normal 21"/>
    <w:basedOn w:val="Tablanormal"/>
    <w:next w:val="Tablanormal2"/>
    <w:uiPriority w:val="42"/>
    <w:rsid w:val="002D1EA8"/>
    <w:pPr>
      <w:spacing w:line="260" w:lineRule="auto"/>
      <w:jc w:val="both"/>
    </w:pPr>
    <w:rPr>
      <w:rFonts w:ascii="Candara" w:eastAsia="Candara" w:hAnsi="Candara" w:cs="Candara"/>
      <w:color w:val="3B3838"/>
      <w:sz w:val="22"/>
      <w:szCs w:val="22"/>
      <w:lang w:val="es-419" w:eastAsia="es-MX"/>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41">
    <w:name w:val="Tabla normal 41"/>
    <w:basedOn w:val="Tablanormal"/>
    <w:next w:val="Tablanormal4"/>
    <w:uiPriority w:val="44"/>
    <w:rsid w:val="002D1EA8"/>
    <w:pPr>
      <w:spacing w:line="260" w:lineRule="auto"/>
      <w:jc w:val="both"/>
    </w:pPr>
    <w:rPr>
      <w:rFonts w:ascii="Candara" w:eastAsia="Candara" w:hAnsi="Candara" w:cs="Candara"/>
      <w:color w:val="3B3838"/>
      <w:sz w:val="22"/>
      <w:szCs w:val="22"/>
      <w:lang w:val="es-419" w:eastAsia="es-MX"/>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elegante11">
    <w:name w:val="Tabla elegante11"/>
    <w:basedOn w:val="Tablanormal"/>
    <w:next w:val="Tablaelegante"/>
    <w:uiPriority w:val="99"/>
    <w:semiHidden/>
    <w:unhideWhenUsed/>
    <w:rsid w:val="002D1EA8"/>
    <w:pPr>
      <w:spacing w:before="60" w:after="120" w:line="260" w:lineRule="auto"/>
      <w:jc w:val="both"/>
    </w:pPr>
    <w:rPr>
      <w:rFonts w:ascii="Candara" w:eastAsia="Candara" w:hAnsi="Candara" w:cs="Candara"/>
      <w:color w:val="3B3838"/>
      <w:sz w:val="22"/>
      <w:szCs w:val="22"/>
      <w:lang w:val="es-ES_tradnl" w:eastAsia="es-MX"/>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Sombreadoclaro-nfasis51">
    <w:name w:val="Sombreado claro - Énfasis 51"/>
    <w:basedOn w:val="Tablanormal"/>
    <w:next w:val="Sombreadoclaro-nfasis5"/>
    <w:uiPriority w:val="60"/>
    <w:rsid w:val="002D1EA8"/>
    <w:pPr>
      <w:spacing w:line="260" w:lineRule="auto"/>
      <w:jc w:val="both"/>
    </w:pPr>
    <w:rPr>
      <w:rFonts w:ascii="Candara" w:eastAsia="Candara" w:hAnsi="Candara" w:cs="Candara"/>
      <w:color w:val="2E74B5" w:themeColor="accent5" w:themeShade="BF"/>
      <w:sz w:val="22"/>
      <w:szCs w:val="22"/>
      <w:lang w:val="es-ES_tradnl" w:eastAsia="es-MX"/>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customStyle="1" w:styleId="Tablaelegante3">
    <w:name w:val="Tabla elegante3"/>
    <w:basedOn w:val="Tablanormal"/>
    <w:next w:val="Tablaelegante"/>
    <w:uiPriority w:val="99"/>
    <w:semiHidden/>
    <w:unhideWhenUsed/>
    <w:rsid w:val="002D1EA8"/>
    <w:pPr>
      <w:spacing w:before="120" w:after="280" w:line="259" w:lineRule="auto"/>
      <w:jc w:val="both"/>
    </w:pPr>
    <w:rPr>
      <w:rFonts w:ascii="Candara" w:eastAsia="Candara" w:hAnsi="Candara" w:cs="Candara"/>
      <w:color w:val="3B3838"/>
      <w:sz w:val="22"/>
      <w:szCs w:val="22"/>
      <w:lang w:val="es-419" w:eastAsia="es-MX"/>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aelegante21">
    <w:name w:val="Tabla elegante21"/>
    <w:basedOn w:val="Tablanormal"/>
    <w:next w:val="Tablaelegante"/>
    <w:uiPriority w:val="99"/>
    <w:semiHidden/>
    <w:unhideWhenUsed/>
    <w:rsid w:val="002D1EA8"/>
    <w:pPr>
      <w:spacing w:before="60" w:after="120" w:line="260" w:lineRule="auto"/>
      <w:jc w:val="both"/>
    </w:pPr>
    <w:rPr>
      <w:rFonts w:ascii="Candara" w:eastAsia="Candara" w:hAnsi="Candara" w:cs="Candara"/>
      <w:color w:val="3B3838"/>
      <w:sz w:val="22"/>
      <w:szCs w:val="22"/>
      <w:lang w:val="es-ES_tradnl" w:eastAsia="es-MX"/>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aconcuadrcula11">
    <w:name w:val="Tabla con cuadrícula11"/>
    <w:basedOn w:val="Tablanormal"/>
    <w:next w:val="Tablaconcuadrcula"/>
    <w:uiPriority w:val="39"/>
    <w:rsid w:val="002D1EA8"/>
    <w:pPr>
      <w:spacing w:line="260" w:lineRule="auto"/>
      <w:jc w:val="both"/>
    </w:pPr>
    <w:rPr>
      <w:rFonts w:ascii="Candara" w:eastAsia="Candara" w:hAnsi="Candara" w:cs="Candara"/>
      <w:color w:val="3B3838"/>
      <w:sz w:val="22"/>
      <w:szCs w:val="22"/>
      <w:lang w:val="es-ES"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39"/>
    <w:rsid w:val="002D1EA8"/>
    <w:pPr>
      <w:spacing w:line="260" w:lineRule="auto"/>
      <w:jc w:val="both"/>
    </w:pPr>
    <w:rPr>
      <w:rFonts w:ascii="Calibri" w:eastAsia="Calibri" w:hAnsi="Calibri" w:cs="Times New Roman"/>
      <w:color w:val="3B3838"/>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12">
    <w:name w:val="Tabla normal 312"/>
    <w:basedOn w:val="Tablanormal"/>
    <w:uiPriority w:val="43"/>
    <w:rsid w:val="002D1EA8"/>
    <w:pPr>
      <w:spacing w:line="260" w:lineRule="auto"/>
      <w:jc w:val="both"/>
    </w:pPr>
    <w:rPr>
      <w:rFonts w:ascii="Candara" w:eastAsia="Candara" w:hAnsi="Candara" w:cs="Candara"/>
      <w:color w:val="3B3838"/>
      <w:sz w:val="22"/>
      <w:szCs w:val="22"/>
      <w:lang w:val="es-ES" w:eastAsia="es-MX"/>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3111">
    <w:name w:val="Tabla normal 3111"/>
    <w:basedOn w:val="Tablanormal"/>
    <w:uiPriority w:val="43"/>
    <w:rsid w:val="002D1EA8"/>
    <w:pPr>
      <w:spacing w:line="260" w:lineRule="auto"/>
      <w:jc w:val="both"/>
    </w:pPr>
    <w:rPr>
      <w:rFonts w:ascii="Candara" w:eastAsia="Candara" w:hAnsi="Candara" w:cs="Candara"/>
      <w:color w:val="3B3838"/>
      <w:sz w:val="22"/>
      <w:szCs w:val="22"/>
      <w:lang w:val="es-ES" w:eastAsia="es-MX"/>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concuadrcula31">
    <w:name w:val="Tabla con cuadrícula31"/>
    <w:basedOn w:val="Tablanormal"/>
    <w:next w:val="Tablaconcuadrcula"/>
    <w:uiPriority w:val="59"/>
    <w:rsid w:val="002D1EA8"/>
    <w:pPr>
      <w:spacing w:line="260" w:lineRule="auto"/>
      <w:jc w:val="both"/>
    </w:pPr>
    <w:rPr>
      <w:rFonts w:ascii="Calibri" w:eastAsia="Calibri" w:hAnsi="Calibri" w:cs="Times New Roman"/>
      <w:color w:val="3B3838"/>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2">
    <w:name w:val="Estilo22"/>
    <w:uiPriority w:val="99"/>
    <w:rsid w:val="002D1EA8"/>
  </w:style>
  <w:style w:type="table" w:customStyle="1" w:styleId="EstiloICES1">
    <w:name w:val="Estilo ICES1"/>
    <w:basedOn w:val="Tabladelista2-nfasis3"/>
    <w:uiPriority w:val="99"/>
    <w:rsid w:val="002D1EA8"/>
    <w:pPr>
      <w:spacing w:line="260" w:lineRule="auto"/>
      <w:jc w:val="both"/>
    </w:pPr>
    <w:rPr>
      <w:rFonts w:ascii="Candara" w:eastAsia="Candara" w:hAnsi="Candara" w:cs="Candara"/>
      <w:color w:val="3B3838"/>
      <w:lang w:val="es-419" w:eastAsia="es-MX"/>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2-nfasis31">
    <w:name w:val="Tabla de lista 2 - Énfasis 31"/>
    <w:basedOn w:val="Tablanormal"/>
    <w:next w:val="Tabladelista2-nfasis3"/>
    <w:uiPriority w:val="47"/>
    <w:rsid w:val="002D1EA8"/>
    <w:pPr>
      <w:spacing w:line="260" w:lineRule="auto"/>
      <w:jc w:val="both"/>
    </w:pPr>
    <w:rPr>
      <w:rFonts w:ascii="Candara" w:eastAsia="Candara" w:hAnsi="Candara" w:cs="Candara"/>
      <w:color w:val="3B3838"/>
      <w:sz w:val="22"/>
      <w:szCs w:val="22"/>
      <w:lang w:val="es-419" w:eastAsia="es-MX"/>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1">
    <w:name w:val="Tabla con cuadrícula41"/>
    <w:basedOn w:val="Tablanormal"/>
    <w:next w:val="Tablaconcuadrcula"/>
    <w:uiPriority w:val="39"/>
    <w:rsid w:val="002D1EA8"/>
    <w:pPr>
      <w:spacing w:line="260" w:lineRule="auto"/>
      <w:jc w:val="both"/>
    </w:pPr>
    <w:rPr>
      <w:rFonts w:ascii="Candara" w:eastAsia="Candara" w:hAnsi="Candara" w:cs="Candara"/>
      <w:color w:val="3B3838"/>
      <w:sz w:val="22"/>
      <w:szCs w:val="22"/>
      <w:lang w:val="es-419"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11">
    <w:name w:val="Estilo211"/>
    <w:uiPriority w:val="99"/>
    <w:rsid w:val="002D1EA8"/>
  </w:style>
  <w:style w:type="table" w:customStyle="1" w:styleId="Tablaconcuadrcula121">
    <w:name w:val="Tabla con cuadrícula121"/>
    <w:basedOn w:val="Tablanormal"/>
    <w:next w:val="Tablaconcuadrcula"/>
    <w:uiPriority w:val="39"/>
    <w:rsid w:val="002D1EA8"/>
    <w:pPr>
      <w:spacing w:line="260" w:lineRule="auto"/>
      <w:jc w:val="both"/>
    </w:pPr>
    <w:rPr>
      <w:rFonts w:ascii="Candara" w:eastAsia="Times New Roman" w:hAnsi="Candara" w:cs="Candara"/>
      <w:color w:val="3B3838"/>
      <w:sz w:val="22"/>
      <w:szCs w:val="22"/>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1">
    <w:name w:val="Lista actual11"/>
    <w:uiPriority w:val="99"/>
    <w:rsid w:val="002D1EA8"/>
  </w:style>
  <w:style w:type="table" w:customStyle="1" w:styleId="TableNormal11">
    <w:name w:val="Table Normal11"/>
    <w:rsid w:val="002D1EA8"/>
    <w:pPr>
      <w:spacing w:line="260" w:lineRule="auto"/>
      <w:jc w:val="both"/>
    </w:pPr>
    <w:rPr>
      <w:rFonts w:ascii="Candara" w:eastAsia="Candara" w:hAnsi="Candara" w:cs="Candara"/>
      <w:color w:val="3B3838"/>
      <w:sz w:val="20"/>
      <w:szCs w:val="20"/>
      <w:lang w:val="es-419" w:eastAsia="es-CO"/>
    </w:rPr>
    <w:tblPr>
      <w:tblCellMar>
        <w:top w:w="0" w:type="dxa"/>
        <w:left w:w="0" w:type="dxa"/>
        <w:bottom w:w="0" w:type="dxa"/>
        <w:right w:w="0" w:type="dxa"/>
      </w:tblCellMar>
    </w:tblPr>
  </w:style>
  <w:style w:type="table" w:customStyle="1" w:styleId="TableNormal31">
    <w:name w:val="Table Normal31"/>
    <w:rsid w:val="002D1EA8"/>
    <w:pPr>
      <w:spacing w:line="260" w:lineRule="auto"/>
      <w:jc w:val="both"/>
    </w:pPr>
    <w:rPr>
      <w:rFonts w:ascii="Candara" w:eastAsia="Candara" w:hAnsi="Candara" w:cs="Candara"/>
      <w:color w:val="3B3838"/>
      <w:sz w:val="20"/>
      <w:szCs w:val="20"/>
      <w:lang w:val="es-419" w:eastAsia="es-CO"/>
    </w:rPr>
    <w:tblPr>
      <w:tblCellMar>
        <w:top w:w="0" w:type="dxa"/>
        <w:left w:w="0" w:type="dxa"/>
        <w:bottom w:w="0" w:type="dxa"/>
        <w:right w:w="0" w:type="dxa"/>
      </w:tblCellMar>
    </w:tblPr>
  </w:style>
  <w:style w:type="table" w:customStyle="1" w:styleId="TableNormal21">
    <w:name w:val="Table Normal21"/>
    <w:rsid w:val="002D1EA8"/>
    <w:pPr>
      <w:spacing w:line="260" w:lineRule="auto"/>
      <w:jc w:val="both"/>
    </w:pPr>
    <w:rPr>
      <w:rFonts w:ascii="Candara" w:eastAsia="Candara" w:hAnsi="Candara" w:cs="Candara"/>
      <w:color w:val="3B3838"/>
      <w:sz w:val="20"/>
      <w:szCs w:val="20"/>
      <w:lang w:val="es-419" w:eastAsia="es-CO"/>
    </w:rPr>
    <w:tblPr>
      <w:tblCellMar>
        <w:top w:w="0" w:type="dxa"/>
        <w:left w:w="0" w:type="dxa"/>
        <w:bottom w:w="0" w:type="dxa"/>
        <w:right w:w="0" w:type="dxa"/>
      </w:tblCellMar>
    </w:tblPr>
  </w:style>
  <w:style w:type="table" w:customStyle="1" w:styleId="TableNormal41">
    <w:name w:val="Table Normal41"/>
    <w:rsid w:val="002D1EA8"/>
    <w:pPr>
      <w:spacing w:line="260" w:lineRule="auto"/>
      <w:jc w:val="both"/>
    </w:pPr>
    <w:rPr>
      <w:rFonts w:ascii="Candara" w:eastAsia="Candara" w:hAnsi="Candara" w:cs="Candara"/>
      <w:color w:val="3B3838"/>
      <w:sz w:val="20"/>
      <w:szCs w:val="20"/>
      <w:lang w:val="es-419" w:eastAsia="es-CO"/>
    </w:rPr>
    <w:tblPr>
      <w:tblCellMar>
        <w:top w:w="0" w:type="dxa"/>
        <w:left w:w="0" w:type="dxa"/>
        <w:bottom w:w="0" w:type="dxa"/>
        <w:right w:w="0" w:type="dxa"/>
      </w:tblCellMar>
    </w:tblPr>
  </w:style>
  <w:style w:type="table" w:customStyle="1" w:styleId="781">
    <w:name w:val="78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71">
    <w:name w:val="77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61">
    <w:name w:val="76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51">
    <w:name w:val="75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41">
    <w:name w:val="74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31">
    <w:name w:val="73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21">
    <w:name w:val="72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11">
    <w:name w:val="71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701">
    <w:name w:val="70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91">
    <w:name w:val="69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81">
    <w:name w:val="68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71">
    <w:name w:val="67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61">
    <w:name w:val="66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51">
    <w:name w:val="65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41">
    <w:name w:val="64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31">
    <w:name w:val="63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21">
    <w:name w:val="62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11">
    <w:name w:val="61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601">
    <w:name w:val="60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591">
    <w:name w:val="59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581">
    <w:name w:val="58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571">
    <w:name w:val="57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561">
    <w:name w:val="56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51">
    <w:name w:val="55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41">
    <w:name w:val="54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31">
    <w:name w:val="53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21">
    <w:name w:val="52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11">
    <w:name w:val="51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01">
    <w:name w:val="50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491">
    <w:name w:val="49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81">
    <w:name w:val="48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71">
    <w:name w:val="47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461">
    <w:name w:val="46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51">
    <w:name w:val="451"/>
    <w:basedOn w:val="TableNormal1"/>
    <w:rsid w:val="002D1EA8"/>
    <w:pPr>
      <w:spacing w:line="260" w:lineRule="auto"/>
    </w:pPr>
    <w:rPr>
      <w:color w:val="3B3838"/>
      <w:lang w:val="es-419"/>
    </w:rPr>
    <w:tblPr>
      <w:tblStyleRowBandSize w:val="1"/>
      <w:tblStyleColBandSize w:val="1"/>
      <w:tblCellMar>
        <w:left w:w="70" w:type="dxa"/>
        <w:right w:w="70" w:type="dxa"/>
      </w:tblCellMar>
    </w:tblPr>
  </w:style>
  <w:style w:type="table" w:customStyle="1" w:styleId="441">
    <w:name w:val="44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31">
    <w:name w:val="43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21">
    <w:name w:val="42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11">
    <w:name w:val="41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401">
    <w:name w:val="40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391">
    <w:name w:val="39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381">
    <w:name w:val="381"/>
    <w:basedOn w:val="TableNormal1"/>
    <w:rsid w:val="002D1EA8"/>
    <w:pPr>
      <w:spacing w:line="260" w:lineRule="auto"/>
    </w:pPr>
    <w:rPr>
      <w:color w:val="3B3838"/>
      <w:lang w:val="es-419"/>
    </w:rPr>
    <w:tblPr>
      <w:tblStyleRowBandSize w:val="1"/>
      <w:tblStyleColBandSize w:val="1"/>
      <w:tblCellMar>
        <w:left w:w="70" w:type="dxa"/>
        <w:right w:w="70" w:type="dxa"/>
      </w:tblCellMar>
    </w:tblPr>
  </w:style>
  <w:style w:type="table" w:customStyle="1" w:styleId="371">
    <w:name w:val="37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61">
    <w:name w:val="36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51">
    <w:name w:val="35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41">
    <w:name w:val="34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31">
    <w:name w:val="33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21">
    <w:name w:val="32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11">
    <w:name w:val="311"/>
    <w:basedOn w:val="TableNormal1"/>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301">
    <w:name w:val="30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91">
    <w:name w:val="29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81">
    <w:name w:val="28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71">
    <w:name w:val="27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61">
    <w:name w:val="261"/>
    <w:basedOn w:val="TableNormal1"/>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251">
    <w:name w:val="25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41">
    <w:name w:val="24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31">
    <w:name w:val="23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21">
    <w:name w:val="22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11">
    <w:name w:val="21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01">
    <w:name w:val="20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91">
    <w:name w:val="19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81">
    <w:name w:val="18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71">
    <w:name w:val="171"/>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67">
    <w:name w:val="167"/>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510">
    <w:name w:val="15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410">
    <w:name w:val="1410"/>
    <w:basedOn w:val="TableNormal1"/>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310">
    <w:name w:val="1310"/>
    <w:basedOn w:val="TableNormal1"/>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10">
    <w:name w:val="1210"/>
    <w:basedOn w:val="TableNormal1"/>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10">
    <w:name w:val="1110"/>
    <w:basedOn w:val="TableNormal1"/>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10">
    <w:name w:val="10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910">
    <w:name w:val="9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810">
    <w:name w:val="8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710">
    <w:name w:val="7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610">
    <w:name w:val="6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510">
    <w:name w:val="5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10">
    <w:name w:val="4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310">
    <w:name w:val="3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10">
    <w:name w:val="210"/>
    <w:basedOn w:val="TableNormal1"/>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PlainTable311">
    <w:name w:val="Plain Table 311"/>
    <w:basedOn w:val="Tablanormal"/>
    <w:uiPriority w:val="43"/>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Accent111">
    <w:name w:val="Grid Table 1 Light - Accent 111"/>
    <w:basedOn w:val="Tablanormal"/>
    <w:uiPriority w:val="46"/>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1Light-Accent311">
    <w:name w:val="Grid Table 1 Light - Accent 311"/>
    <w:basedOn w:val="Tablanormal"/>
    <w:uiPriority w:val="46"/>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411">
    <w:name w:val="Grid Table 1 Light - Accent 411"/>
    <w:basedOn w:val="Tablanormal"/>
    <w:uiPriority w:val="46"/>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211">
    <w:name w:val="Grid Table 211"/>
    <w:basedOn w:val="Tablanormal"/>
    <w:uiPriority w:val="47"/>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1">
    <w:name w:val="Grid Table 311"/>
    <w:basedOn w:val="Tablanormal"/>
    <w:uiPriority w:val="48"/>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311">
    <w:name w:val="Grid Table 3 - Accent 311"/>
    <w:basedOn w:val="Tablanormal"/>
    <w:uiPriority w:val="48"/>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5Dark-Accent311">
    <w:name w:val="Grid Table 5 Dark - Accent 311"/>
    <w:basedOn w:val="Tablanormal"/>
    <w:uiPriority w:val="50"/>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PlainTable111">
    <w:name w:val="Plain Table 111"/>
    <w:basedOn w:val="Tablanormal"/>
    <w:uiPriority w:val="41"/>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311">
    <w:name w:val="Grid Table 4 - Accent 311"/>
    <w:basedOn w:val="Tablanormal"/>
    <w:uiPriority w:val="49"/>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Light11">
    <w:name w:val="Table Grid Light11"/>
    <w:basedOn w:val="Tablanormal"/>
    <w:uiPriority w:val="40"/>
    <w:rsid w:val="002D1EA8"/>
    <w:pPr>
      <w:spacing w:line="260" w:lineRule="auto"/>
      <w:jc w:val="both"/>
    </w:pPr>
    <w:rPr>
      <w:rFonts w:ascii="Candara" w:eastAsia="Candara" w:hAnsi="Candara" w:cs="Candara"/>
      <w:color w:val="3B3838"/>
      <w:sz w:val="20"/>
      <w:szCs w:val="20"/>
      <w:lang w:val="es-419" w:eastAsia="es-C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661">
    <w:name w:val="166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51">
    <w:name w:val="165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41">
    <w:name w:val="164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1631">
    <w:name w:val="163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21">
    <w:name w:val="162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11">
    <w:name w:val="161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01">
    <w:name w:val="160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91">
    <w:name w:val="159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81">
    <w:name w:val="158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71">
    <w:name w:val="157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61">
    <w:name w:val="156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51">
    <w:name w:val="155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541">
    <w:name w:val="154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31">
    <w:name w:val="153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21">
    <w:name w:val="152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11">
    <w:name w:val="151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style>
  <w:style w:type="table" w:customStyle="1" w:styleId="1501">
    <w:name w:val="150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91">
    <w:name w:val="149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81">
    <w:name w:val="148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71">
    <w:name w:val="147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61">
    <w:name w:val="146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51">
    <w:name w:val="1451"/>
    <w:basedOn w:val="TableNormal4"/>
    <w:rsid w:val="002D1EA8"/>
    <w:pPr>
      <w:spacing w:line="260" w:lineRule="auto"/>
    </w:pPr>
    <w:rPr>
      <w:color w:val="3B3838"/>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41">
    <w:name w:val="144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31">
    <w:name w:val="143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21">
    <w:name w:val="142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11">
    <w:name w:val="141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01">
    <w:name w:val="140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91">
    <w:name w:val="139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81">
    <w:name w:val="138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71">
    <w:name w:val="137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61">
    <w:name w:val="136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51">
    <w:name w:val="1351"/>
    <w:basedOn w:val="TableNormal4"/>
    <w:rsid w:val="002D1EA8"/>
    <w:pPr>
      <w:spacing w:before="120" w:line="260" w:lineRule="auto"/>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GridTable5Dark-Accent111">
    <w:name w:val="Grid Table 5 Dark - Accent 111"/>
    <w:basedOn w:val="Tablanormal"/>
    <w:uiPriority w:val="50"/>
    <w:rsid w:val="002D1EA8"/>
    <w:pPr>
      <w:spacing w:before="100" w:after="120" w:line="264" w:lineRule="auto"/>
      <w:jc w:val="both"/>
    </w:pPr>
    <w:rPr>
      <w:rFonts w:ascii="Candara" w:eastAsiaTheme="minorEastAsia" w:hAnsi="Candara" w:cs="Candara"/>
      <w:color w:val="3B3838"/>
      <w:sz w:val="20"/>
      <w:szCs w:val="20"/>
      <w:lang w:val="es-419"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4-Accent111">
    <w:name w:val="Grid Table 4 - Accent 111"/>
    <w:basedOn w:val="Tablanormal"/>
    <w:uiPriority w:val="49"/>
    <w:rsid w:val="002D1EA8"/>
    <w:pPr>
      <w:spacing w:line="260" w:lineRule="auto"/>
      <w:jc w:val="both"/>
    </w:pPr>
    <w:rPr>
      <w:rFonts w:ascii="Candara" w:eastAsiaTheme="minorEastAsia" w:hAnsi="Candara" w:cs="Candara"/>
      <w:color w:val="3B3838"/>
      <w:sz w:val="20"/>
      <w:szCs w:val="20"/>
      <w:lang w:val="es-419" w:eastAsia="es-CO"/>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Table4-Accent111">
    <w:name w:val="List Table 4 - Accent 111"/>
    <w:basedOn w:val="Tablanormal"/>
    <w:uiPriority w:val="49"/>
    <w:rsid w:val="002D1EA8"/>
    <w:pPr>
      <w:spacing w:line="260" w:lineRule="auto"/>
      <w:jc w:val="both"/>
    </w:pPr>
    <w:rPr>
      <w:rFonts w:ascii="Candara" w:eastAsiaTheme="minorEastAsia" w:hAnsi="Candara" w:cs="Candara"/>
      <w:color w:val="3B3838"/>
      <w:sz w:val="20"/>
      <w:szCs w:val="20"/>
      <w:lang w:val="es-419" w:eastAsia="es-CO"/>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1341">
    <w:name w:val="134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331">
    <w:name w:val="133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321">
    <w:name w:val="132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311">
    <w:name w:val="131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301">
    <w:name w:val="130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291">
    <w:name w:val="129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281">
    <w:name w:val="128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71">
    <w:name w:val="127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61">
    <w:name w:val="126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251">
    <w:name w:val="125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41">
    <w:name w:val="124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31">
    <w:name w:val="123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21">
    <w:name w:val="122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11">
    <w:name w:val="121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201">
    <w:name w:val="120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91">
    <w:name w:val="119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81">
    <w:name w:val="118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71">
    <w:name w:val="117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1161">
    <w:name w:val="116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51">
    <w:name w:val="115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41">
    <w:name w:val="114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31">
    <w:name w:val="113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21">
    <w:name w:val="112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111">
    <w:name w:val="1111"/>
    <w:basedOn w:val="TableNormal2"/>
    <w:rsid w:val="002D1EA8"/>
    <w:pPr>
      <w:spacing w:before="100" w:after="120" w:line="264" w:lineRule="auto"/>
    </w:pPr>
    <w:rPr>
      <w:rFonts w:ascii="Calibri" w:eastAsia="Calibri" w:hAnsi="Calibri" w:cs="Calibri"/>
      <w:color w:val="3B3838"/>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rPr>
      <w:tblPr/>
      <w:tcPr>
        <w:tcBorders>
          <w:top w:val="single" w:sz="4" w:space="0" w:color="4472C4"/>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101">
    <w:name w:val="110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91">
    <w:name w:val="1091"/>
    <w:basedOn w:val="TableNormal2"/>
    <w:rsid w:val="002D1EA8"/>
    <w:pPr>
      <w:spacing w:before="100" w:after="120" w:line="264" w:lineRule="auto"/>
    </w:pPr>
    <w:rPr>
      <w:rFonts w:ascii="Calibri" w:eastAsia="Calibri" w:hAnsi="Calibri" w:cs="Calibri"/>
      <w:color w:val="3B3838"/>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81">
    <w:name w:val="108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71">
    <w:name w:val="107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61">
    <w:name w:val="1061"/>
    <w:basedOn w:val="TableNormal2"/>
    <w:rsid w:val="002D1EA8"/>
    <w:pPr>
      <w:spacing w:before="100" w:after="120" w:line="264" w:lineRule="auto"/>
    </w:pPr>
    <w:rPr>
      <w:rFonts w:ascii="Calibri" w:eastAsia="Calibri" w:hAnsi="Calibri" w:cs="Calibri"/>
      <w:color w:val="3B3838"/>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51">
    <w:name w:val="1051"/>
    <w:basedOn w:val="TableNormal2"/>
    <w:rsid w:val="002D1EA8"/>
    <w:pPr>
      <w:spacing w:before="100" w:after="120" w:line="264" w:lineRule="auto"/>
    </w:pPr>
    <w:rPr>
      <w:rFonts w:ascii="Calibri" w:eastAsia="Calibri" w:hAnsi="Calibri" w:cs="Calibri"/>
      <w:color w:val="3B3838"/>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41">
    <w:name w:val="104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31">
    <w:name w:val="103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21">
    <w:name w:val="1021"/>
    <w:basedOn w:val="TableNormal2"/>
    <w:rsid w:val="002D1EA8"/>
    <w:pPr>
      <w:spacing w:before="100" w:after="120" w:line="264" w:lineRule="auto"/>
    </w:pPr>
    <w:rPr>
      <w:rFonts w:ascii="Calibri" w:eastAsia="Calibri" w:hAnsi="Calibri" w:cs="Calibri"/>
      <w:color w:val="3B3838"/>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011">
    <w:name w:val="101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1001">
    <w:name w:val="100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91">
    <w:name w:val="99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81">
    <w:name w:val="98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71">
    <w:name w:val="97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61">
    <w:name w:val="96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51">
    <w:name w:val="95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41">
    <w:name w:val="94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31">
    <w:name w:val="93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21">
    <w:name w:val="92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11">
    <w:name w:val="91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901">
    <w:name w:val="90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91">
    <w:name w:val="89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81">
    <w:name w:val="88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71">
    <w:name w:val="87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61">
    <w:name w:val="86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51">
    <w:name w:val="85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841">
    <w:name w:val="841"/>
    <w:basedOn w:val="TableNormal2"/>
    <w:rsid w:val="002D1EA8"/>
    <w:pPr>
      <w:spacing w:line="260" w:lineRule="auto"/>
    </w:pPr>
    <w:rPr>
      <w:color w:val="3B3838"/>
      <w:lang w:val="es-419"/>
    </w:rPr>
    <w:tblPr>
      <w:tblStyleRowBandSize w:val="1"/>
      <w:tblStyleColBandSize w:val="1"/>
      <w:tblCellMar>
        <w:left w:w="115" w:type="dxa"/>
        <w:right w:w="115" w:type="dxa"/>
      </w:tblCellMar>
    </w:tblPr>
  </w:style>
  <w:style w:type="table" w:customStyle="1" w:styleId="831">
    <w:name w:val="83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21">
    <w:name w:val="82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11">
    <w:name w:val="81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801">
    <w:name w:val="80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table" w:customStyle="1" w:styleId="791">
    <w:name w:val="791"/>
    <w:basedOn w:val="TableNormal2"/>
    <w:rsid w:val="002D1EA8"/>
    <w:pPr>
      <w:spacing w:line="260" w:lineRule="auto"/>
    </w:pPr>
    <w:rPr>
      <w:color w:val="3B3838"/>
      <w:lang w:val="es-419"/>
    </w:rPr>
    <w:tblPr>
      <w:tblStyleRowBandSize w:val="1"/>
      <w:tblStyleColBandSize w:val="1"/>
      <w:tblCellMar>
        <w:top w:w="100" w:type="dxa"/>
        <w:left w:w="100" w:type="dxa"/>
        <w:bottom w:w="100" w:type="dxa"/>
        <w:right w:w="100" w:type="dxa"/>
      </w:tblCellMar>
    </w:tblPr>
  </w:style>
  <w:style w:type="numbering" w:customStyle="1" w:styleId="Listaactual21">
    <w:name w:val="Lista actual21"/>
    <w:uiPriority w:val="99"/>
    <w:rsid w:val="002D1EA8"/>
  </w:style>
  <w:style w:type="table" w:styleId="Tablaconcuadrcula1clara-nfasis1">
    <w:name w:val="Grid Table 1 Light Accent 1"/>
    <w:basedOn w:val="Tablanormal"/>
    <w:uiPriority w:val="46"/>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concuadrcula1clara-nfasis3">
    <w:name w:val="Grid Table 1 Light Accent 3"/>
    <w:basedOn w:val="Tablanormal"/>
    <w:uiPriority w:val="46"/>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concuadrcula1clara-nfasis4">
    <w:name w:val="Grid Table 1 Light Accent 4"/>
    <w:basedOn w:val="Tablanormal"/>
    <w:uiPriority w:val="46"/>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Tabladecuadrcula2">
    <w:name w:val="Grid Table 2"/>
    <w:basedOn w:val="Tablanormal"/>
    <w:uiPriority w:val="47"/>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3">
    <w:name w:val="Grid Table 3"/>
    <w:basedOn w:val="Tablanormal"/>
    <w:uiPriority w:val="48"/>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3-nfasis3">
    <w:name w:val="Grid Table 3 Accent 3"/>
    <w:basedOn w:val="Tablanormal"/>
    <w:uiPriority w:val="48"/>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aconcuadrcula5oscura-nfasis3">
    <w:name w:val="Grid Table 5 Dark Accent 3"/>
    <w:basedOn w:val="Tablanormal"/>
    <w:uiPriority w:val="50"/>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anormal1">
    <w:name w:val="Plain Table 1"/>
    <w:basedOn w:val="Tablanormal"/>
    <w:uiPriority w:val="41"/>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4-nfasis3">
    <w:name w:val="Grid Table 4 Accent 3"/>
    <w:basedOn w:val="Tablanormal"/>
    <w:uiPriority w:val="49"/>
    <w:rsid w:val="002D1EA8"/>
    <w:pPr>
      <w:spacing w:line="260" w:lineRule="auto"/>
      <w:jc w:val="both"/>
    </w:pPr>
    <w:rPr>
      <w:rFonts w:ascii="Candara" w:eastAsia="Candara" w:hAnsi="Candara" w:cs="Candara"/>
      <w:color w:val="3B3838"/>
      <w:sz w:val="20"/>
      <w:szCs w:val="20"/>
      <w:lang w:val="es-419" w:eastAsia="es-C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5oscura-nfasis1">
    <w:name w:val="Grid Table 5 Dark Accent 1"/>
    <w:basedOn w:val="Tablanormal"/>
    <w:uiPriority w:val="50"/>
    <w:rsid w:val="002D1EA8"/>
    <w:pPr>
      <w:spacing w:before="100" w:after="120" w:line="264" w:lineRule="auto"/>
      <w:jc w:val="both"/>
    </w:pPr>
    <w:rPr>
      <w:rFonts w:ascii="Candara" w:eastAsiaTheme="minorEastAsia" w:hAnsi="Candara" w:cs="Candara"/>
      <w:color w:val="3B3838"/>
      <w:sz w:val="20"/>
      <w:szCs w:val="20"/>
      <w:lang w:val="es-419"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laconcuadrcula4-nfasis1">
    <w:name w:val="Grid Table 4 Accent 1"/>
    <w:basedOn w:val="Tablanormal"/>
    <w:uiPriority w:val="49"/>
    <w:rsid w:val="002D1EA8"/>
    <w:pPr>
      <w:spacing w:line="260" w:lineRule="auto"/>
      <w:jc w:val="both"/>
    </w:pPr>
    <w:rPr>
      <w:rFonts w:ascii="Candara" w:eastAsiaTheme="minorEastAsia" w:hAnsi="Candara" w:cs="Candara"/>
      <w:color w:val="3B3838"/>
      <w:sz w:val="20"/>
      <w:szCs w:val="20"/>
      <w:lang w:val="es-419" w:eastAsia="es-CO"/>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4-nfasis1">
    <w:name w:val="List Table 4 Accent 1"/>
    <w:basedOn w:val="Tablanormal"/>
    <w:uiPriority w:val="49"/>
    <w:rsid w:val="002D1EA8"/>
    <w:pPr>
      <w:spacing w:line="260" w:lineRule="auto"/>
      <w:jc w:val="both"/>
    </w:pPr>
    <w:rPr>
      <w:rFonts w:ascii="Candara" w:eastAsiaTheme="minorEastAsia" w:hAnsi="Candara" w:cs="Candara"/>
      <w:color w:val="3B3838"/>
      <w:sz w:val="20"/>
      <w:szCs w:val="20"/>
      <w:lang w:val="es-419" w:eastAsia="es-CO"/>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numbering" w:customStyle="1" w:styleId="Estilo71">
    <w:name w:val="Estilo71"/>
    <w:uiPriority w:val="99"/>
    <w:rsid w:val="002D1EA8"/>
    <w:pPr>
      <w:numPr>
        <w:numId w:val="24"/>
      </w:numPr>
    </w:pPr>
  </w:style>
  <w:style w:type="numbering" w:customStyle="1" w:styleId="Listaactual3">
    <w:name w:val="Lista actual3"/>
    <w:uiPriority w:val="99"/>
    <w:rsid w:val="002D1EA8"/>
    <w:pPr>
      <w:numPr>
        <w:numId w:val="25"/>
      </w:numPr>
    </w:pPr>
  </w:style>
  <w:style w:type="numbering" w:customStyle="1" w:styleId="Listaactual4">
    <w:name w:val="Lista actual4"/>
    <w:uiPriority w:val="99"/>
    <w:rsid w:val="002D1EA8"/>
    <w:pPr>
      <w:numPr>
        <w:numId w:val="26"/>
      </w:numPr>
    </w:pPr>
  </w:style>
  <w:style w:type="numbering" w:customStyle="1" w:styleId="Listaactual5">
    <w:name w:val="Lista actual5"/>
    <w:uiPriority w:val="99"/>
    <w:rsid w:val="002D1EA8"/>
    <w:pPr>
      <w:numPr>
        <w:numId w:val="27"/>
      </w:numPr>
    </w:pPr>
  </w:style>
  <w:style w:type="numbering" w:customStyle="1" w:styleId="Listaactual6">
    <w:name w:val="Lista actual6"/>
    <w:uiPriority w:val="99"/>
    <w:rsid w:val="002D1EA8"/>
    <w:pPr>
      <w:numPr>
        <w:numId w:val="28"/>
      </w:numPr>
    </w:pPr>
  </w:style>
  <w:style w:type="numbering" w:customStyle="1" w:styleId="Listaactual7">
    <w:name w:val="Lista actual7"/>
    <w:uiPriority w:val="99"/>
    <w:rsid w:val="00180F78"/>
    <w:pPr>
      <w:numPr>
        <w:numId w:val="30"/>
      </w:numPr>
    </w:pPr>
  </w:style>
  <w:style w:type="table" w:customStyle="1" w:styleId="TableNormal10">
    <w:name w:val="Table Normal10"/>
    <w:rsid w:val="00B14E38"/>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20">
    <w:name w:val="Table Normal20"/>
    <w:rsid w:val="00B14E38"/>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200">
    <w:name w:val="Table Normal200"/>
    <w:rsid w:val="00B14E38"/>
    <w:pPr>
      <w:jc w:val="both"/>
    </w:pPr>
    <w:rPr>
      <w:rFonts w:ascii="Candara" w:eastAsia="Candara" w:hAnsi="Candara" w:cs="Candara"/>
      <w:sz w:val="20"/>
      <w:szCs w:val="20"/>
      <w:lang w:eastAsia="es-CO"/>
    </w:rPr>
    <w:tblPr>
      <w:tblCellMar>
        <w:top w:w="0" w:type="dxa"/>
        <w:left w:w="0" w:type="dxa"/>
        <w:bottom w:w="0" w:type="dxa"/>
        <w:right w:w="0" w:type="dxa"/>
      </w:tblCellMar>
    </w:tblPr>
  </w:style>
  <w:style w:type="table" w:customStyle="1" w:styleId="TableNormal110">
    <w:name w:val="Table Normal110"/>
    <w:rsid w:val="00B14E38"/>
    <w:pPr>
      <w:jc w:val="both"/>
    </w:pPr>
    <w:rPr>
      <w:rFonts w:ascii="Candara" w:eastAsia="Candara" w:hAnsi="Candara" w:cs="Candara"/>
      <w:sz w:val="20"/>
      <w:szCs w:val="20"/>
      <w:lang w:eastAsia="es-CO"/>
    </w:rPr>
    <w:tblPr>
      <w:tblCellMar>
        <w:top w:w="0" w:type="dxa"/>
        <w:left w:w="0" w:type="dxa"/>
        <w:bottom w:w="0" w:type="dxa"/>
        <w:right w:w="0" w:type="dxa"/>
      </w:tblCellMar>
    </w:tblPr>
  </w:style>
  <w:style w:type="paragraph" w:customStyle="1" w:styleId="pf0">
    <w:name w:val="pf0"/>
    <w:basedOn w:val="Normal"/>
    <w:rsid w:val="00B14E38"/>
    <w:pPr>
      <w:spacing w:before="100" w:beforeAutospacing="1" w:after="100" w:afterAutospacing="1" w:line="240" w:lineRule="auto"/>
      <w:jc w:val="left"/>
    </w:pPr>
    <w:rPr>
      <w:rFonts w:ascii="Times New Roman" w:hAnsi="Times New Roman"/>
      <w:color w:val="auto"/>
      <w:sz w:val="24"/>
      <w:lang w:eastAsia="es-CO"/>
    </w:rPr>
  </w:style>
  <w:style w:type="character" w:customStyle="1" w:styleId="cf01">
    <w:name w:val="cf01"/>
    <w:basedOn w:val="Fuentedeprrafopredeter"/>
    <w:rsid w:val="00B14E38"/>
    <w:rPr>
      <w:rFonts w:ascii="Segoe UI" w:hAnsi="Segoe UI" w:cs="Segoe UI" w:hint="default"/>
      <w:sz w:val="18"/>
      <w:szCs w:val="18"/>
    </w:rPr>
  </w:style>
  <w:style w:type="table" w:customStyle="1" w:styleId="Cuadrculadetablaclara1">
    <w:name w:val="Cuadrícula de tabla clara1"/>
    <w:basedOn w:val="Tablanormal"/>
    <w:uiPriority w:val="40"/>
    <w:rsid w:val="00FA4F64"/>
    <w:pPr>
      <w:spacing w:line="260" w:lineRule="auto"/>
      <w:jc w:val="both"/>
    </w:pPr>
    <w:rPr>
      <w:rFonts w:ascii="Candara" w:eastAsia="Candara" w:hAnsi="Candara" w:cs="Candara"/>
      <w:color w:val="3B3838"/>
      <w:sz w:val="22"/>
      <w:szCs w:val="22"/>
      <w:lang w:val="es-CL"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Listaactual8">
    <w:name w:val="Lista actual8"/>
    <w:uiPriority w:val="99"/>
    <w:rsid w:val="00DC12AB"/>
    <w:pPr>
      <w:numPr>
        <w:numId w:val="34"/>
      </w:numPr>
    </w:pPr>
  </w:style>
  <w:style w:type="numbering" w:styleId="111111">
    <w:name w:val="Outline List 2"/>
    <w:basedOn w:val="Sinlista"/>
    <w:uiPriority w:val="99"/>
    <w:semiHidden/>
    <w:unhideWhenUsed/>
    <w:rsid w:val="0063173D"/>
    <w:pPr>
      <w:numPr>
        <w:numId w:val="35"/>
      </w:numPr>
    </w:pPr>
  </w:style>
  <w:style w:type="character" w:customStyle="1" w:styleId="Mencionar1">
    <w:name w:val="Mencionar1"/>
    <w:basedOn w:val="Fuentedeprrafopredeter"/>
    <w:uiPriority w:val="99"/>
    <w:unhideWhenUsed/>
    <w:rsid w:val="00FA4F64"/>
    <w:rPr>
      <w:color w:val="2B579A"/>
      <w:shd w:val="clear" w:color="auto" w:fill="E1DFDD"/>
    </w:rPr>
  </w:style>
  <w:style w:type="paragraph" w:customStyle="1" w:styleId="subsubsub">
    <w:name w:val="sub sub sub"/>
    <w:basedOn w:val="Ttulo1"/>
    <w:rsid w:val="00FA4F64"/>
    <w:pPr>
      <w:tabs>
        <w:tab w:val="num" w:pos="1440"/>
      </w:tabs>
      <w:spacing w:line="340" w:lineRule="exact"/>
      <w:ind w:left="964" w:hanging="567"/>
      <w:jc w:val="left"/>
    </w:pPr>
    <w:rPr>
      <w:sz w:val="28"/>
      <w:szCs w:val="28"/>
      <w:lang w:eastAsia="es-ES"/>
    </w:rPr>
  </w:style>
  <w:style w:type="numbering" w:customStyle="1" w:styleId="Listaactual12">
    <w:name w:val="Lista actual12"/>
    <w:uiPriority w:val="99"/>
    <w:rsid w:val="006C7B86"/>
    <w:pPr>
      <w:numPr>
        <w:numId w:val="43"/>
      </w:numPr>
    </w:pPr>
  </w:style>
  <w:style w:type="numbering" w:customStyle="1" w:styleId="Listaactual9">
    <w:name w:val="Lista actual9"/>
    <w:uiPriority w:val="99"/>
    <w:rsid w:val="00C26E8E"/>
    <w:pPr>
      <w:numPr>
        <w:numId w:val="40"/>
      </w:numPr>
    </w:pPr>
  </w:style>
  <w:style w:type="numbering" w:customStyle="1" w:styleId="Listaactual10">
    <w:name w:val="Lista actual10"/>
    <w:uiPriority w:val="99"/>
    <w:rsid w:val="006C7B86"/>
    <w:pPr>
      <w:numPr>
        <w:numId w:val="41"/>
      </w:numPr>
    </w:pPr>
  </w:style>
  <w:style w:type="numbering" w:customStyle="1" w:styleId="Listaactual13">
    <w:name w:val="Lista actual13"/>
    <w:uiPriority w:val="99"/>
    <w:rsid w:val="006C7B86"/>
    <w:pPr>
      <w:numPr>
        <w:numId w:val="44"/>
      </w:numPr>
    </w:pPr>
  </w:style>
  <w:style w:type="numbering" w:customStyle="1" w:styleId="Listaactual14">
    <w:name w:val="Lista actual14"/>
    <w:uiPriority w:val="99"/>
    <w:rsid w:val="006C7B86"/>
    <w:pPr>
      <w:numPr>
        <w:numId w:val="45"/>
      </w:numPr>
    </w:pPr>
  </w:style>
  <w:style w:type="character" w:customStyle="1" w:styleId="NormalWebCar">
    <w:name w:val="Normal (Web) Car"/>
    <w:basedOn w:val="Fuentedeprrafopredeter"/>
    <w:link w:val="NormalWeb"/>
    <w:uiPriority w:val="99"/>
    <w:locked/>
    <w:rsid w:val="006B728F"/>
    <w:rPr>
      <w:rFonts w:ascii="Candara" w:eastAsia="Candara" w:hAnsi="Candara" w:cs="Candara"/>
      <w:color w:val="3B3838" w:themeColor="background2" w:themeShade="40"/>
      <w:sz w:val="22"/>
      <w:szCs w:val="20"/>
      <w:lang w:val="es-419" w:eastAsia="es-CO"/>
    </w:rPr>
  </w:style>
  <w:style w:type="paragraph" w:customStyle="1" w:styleId="Fuente0">
    <w:name w:val="Fuente"/>
    <w:basedOn w:val="EncabezadoPieImagenTabla"/>
    <w:link w:val="FuenteCar"/>
    <w:qFormat/>
    <w:rsid w:val="006B728F"/>
    <w:pPr>
      <w:spacing w:after="240" w:line="240" w:lineRule="auto"/>
      <w:jc w:val="right"/>
    </w:pPr>
    <w:rPr>
      <w:rFonts w:ascii="Roboto" w:eastAsia="Roboto" w:hAnsi="Roboto"/>
      <w:color w:val="7F7F7F" w:themeColor="text1" w:themeTint="80"/>
    </w:rPr>
  </w:style>
  <w:style w:type="character" w:customStyle="1" w:styleId="FuenteCar">
    <w:name w:val="Fuente Car"/>
    <w:basedOn w:val="EncabezadoPieImagenTablaCar"/>
    <w:link w:val="Fuente0"/>
    <w:rsid w:val="006B728F"/>
    <w:rPr>
      <w:rFonts w:ascii="Roboto" w:eastAsia="Roboto" w:hAnsi="Roboto" w:cs="Times New Roman"/>
      <w:color w:val="7F7F7F" w:themeColor="text1" w:themeTint="80"/>
      <w:sz w:val="18"/>
      <w:szCs w:val="18"/>
      <w:lang w:eastAsia="pt-BR"/>
    </w:rPr>
  </w:style>
  <w:style w:type="paragraph" w:customStyle="1" w:styleId="tablastexto">
    <w:name w:val="tablas texto"/>
    <w:basedOn w:val="Normal"/>
    <w:qFormat/>
    <w:rsid w:val="006B728F"/>
    <w:pPr>
      <w:spacing w:line="200" w:lineRule="exact"/>
      <w:jc w:val="left"/>
    </w:pPr>
    <w:rPr>
      <w:rFonts w:eastAsiaTheme="minorHAnsi" w:cs="Times New Roman (Cuerpo en alfa"/>
      <w:spacing w:val="-8"/>
      <w:sz w:val="16"/>
      <w:szCs w:val="16"/>
      <w:lang w:eastAsia="en-US"/>
    </w:rPr>
  </w:style>
  <w:style w:type="paragraph" w:customStyle="1" w:styleId="NIVEL2PDD">
    <w:name w:val="NIVEL 2 PDD"/>
    <w:basedOn w:val="Ttulo2"/>
    <w:link w:val="NIVEL2PDDCar"/>
    <w:qFormat/>
    <w:rsid w:val="002A39D2"/>
    <w:pPr>
      <w:numPr>
        <w:ilvl w:val="0"/>
        <w:numId w:val="0"/>
      </w:numPr>
      <w:spacing w:after="240"/>
      <w:ind w:left="792"/>
    </w:pPr>
    <w:rPr>
      <w:color w:val="C00000"/>
      <w:sz w:val="40"/>
      <w:szCs w:val="36"/>
      <w:lang w:val="es-419"/>
    </w:rPr>
  </w:style>
  <w:style w:type="character" w:customStyle="1" w:styleId="NIVEL2PDDCar">
    <w:name w:val="NIVEL 2 PDD Car"/>
    <w:basedOn w:val="Ttulo2Car"/>
    <w:link w:val="NIVEL2PDD"/>
    <w:rsid w:val="002A39D2"/>
    <w:rPr>
      <w:rFonts w:ascii="Candara" w:eastAsiaTheme="majorEastAsia" w:hAnsi="Candara" w:cstheme="majorBidi"/>
      <w:b/>
      <w:color w:val="C00000"/>
      <w:sz w:val="40"/>
      <w:szCs w:val="36"/>
      <w:lang w:val="es-419"/>
    </w:rPr>
  </w:style>
  <w:style w:type="paragraph" w:styleId="TDC6">
    <w:name w:val="toc 6"/>
    <w:basedOn w:val="Normal"/>
    <w:next w:val="Normal"/>
    <w:autoRedefine/>
    <w:uiPriority w:val="39"/>
    <w:unhideWhenUsed/>
    <w:rsid w:val="000D6732"/>
    <w:pPr>
      <w:ind w:left="880"/>
      <w:jc w:val="left"/>
    </w:pPr>
    <w:rPr>
      <w:rFonts w:asciiTheme="minorHAnsi" w:hAnsiTheme="minorHAnsi" w:cstheme="minorHAnsi"/>
      <w:sz w:val="20"/>
      <w:szCs w:val="20"/>
    </w:rPr>
  </w:style>
  <w:style w:type="paragraph" w:styleId="TDC7">
    <w:name w:val="toc 7"/>
    <w:basedOn w:val="Normal"/>
    <w:next w:val="Normal"/>
    <w:autoRedefine/>
    <w:uiPriority w:val="39"/>
    <w:unhideWhenUsed/>
    <w:rsid w:val="000D6732"/>
    <w:pPr>
      <w:ind w:left="1100"/>
      <w:jc w:val="left"/>
    </w:pPr>
    <w:rPr>
      <w:rFonts w:asciiTheme="minorHAnsi" w:hAnsiTheme="minorHAnsi" w:cstheme="minorHAnsi"/>
      <w:sz w:val="20"/>
      <w:szCs w:val="20"/>
    </w:rPr>
  </w:style>
  <w:style w:type="paragraph" w:styleId="TDC8">
    <w:name w:val="toc 8"/>
    <w:basedOn w:val="Normal"/>
    <w:next w:val="Normal"/>
    <w:autoRedefine/>
    <w:uiPriority w:val="39"/>
    <w:unhideWhenUsed/>
    <w:rsid w:val="000D6732"/>
    <w:pPr>
      <w:ind w:left="1320"/>
      <w:jc w:val="left"/>
    </w:pPr>
    <w:rPr>
      <w:rFonts w:asciiTheme="minorHAnsi" w:hAnsiTheme="minorHAnsi" w:cstheme="minorHAnsi"/>
      <w:sz w:val="20"/>
      <w:szCs w:val="20"/>
    </w:rPr>
  </w:style>
  <w:style w:type="paragraph" w:styleId="TDC9">
    <w:name w:val="toc 9"/>
    <w:basedOn w:val="Normal"/>
    <w:next w:val="Normal"/>
    <w:autoRedefine/>
    <w:uiPriority w:val="39"/>
    <w:unhideWhenUsed/>
    <w:rsid w:val="000D6732"/>
    <w:pPr>
      <w:ind w:left="1540"/>
      <w:jc w:val="left"/>
    </w:pPr>
    <w:rPr>
      <w:rFonts w:asciiTheme="minorHAnsi" w:hAnsiTheme="minorHAnsi" w:cstheme="minorHAnsi"/>
      <w:sz w:val="20"/>
      <w:szCs w:val="20"/>
    </w:rPr>
  </w:style>
  <w:style w:type="paragraph" w:customStyle="1" w:styleId="NIVEL4">
    <w:name w:val="NIVEL 4"/>
    <w:basedOn w:val="Normal"/>
    <w:link w:val="NIVEL4Car"/>
    <w:qFormat/>
    <w:rsid w:val="00E21A3C"/>
    <w:pPr>
      <w:outlineLvl w:val="3"/>
    </w:pPr>
    <w:rPr>
      <w:b/>
      <w:sz w:val="26"/>
    </w:rPr>
  </w:style>
  <w:style w:type="character" w:customStyle="1" w:styleId="NIVEL4Car">
    <w:name w:val="NIVEL 4 Car"/>
    <w:basedOn w:val="Fuentedeprrafopredeter"/>
    <w:link w:val="NIVEL4"/>
    <w:rsid w:val="00E21A3C"/>
    <w:rPr>
      <w:rFonts w:ascii="Candara" w:eastAsia="Times New Roman" w:hAnsi="Candara" w:cs="Times New Roman"/>
      <w:b/>
      <w:color w:val="3B3838" w:themeColor="background2" w:themeShade="40"/>
      <w:sz w:val="26"/>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1725750">
      <w:bodyDiv w:val="1"/>
      <w:marLeft w:val="0"/>
      <w:marRight w:val="0"/>
      <w:marTop w:val="0"/>
      <w:marBottom w:val="0"/>
      <w:divBdr>
        <w:top w:val="none" w:sz="0" w:space="0" w:color="auto"/>
        <w:left w:val="none" w:sz="0" w:space="0" w:color="auto"/>
        <w:bottom w:val="none" w:sz="0" w:space="0" w:color="auto"/>
        <w:right w:val="none" w:sz="0" w:space="0" w:color="auto"/>
      </w:divBdr>
    </w:div>
    <w:div w:id="292053833">
      <w:bodyDiv w:val="1"/>
      <w:marLeft w:val="0"/>
      <w:marRight w:val="0"/>
      <w:marTop w:val="0"/>
      <w:marBottom w:val="0"/>
      <w:divBdr>
        <w:top w:val="none" w:sz="0" w:space="0" w:color="auto"/>
        <w:left w:val="none" w:sz="0" w:space="0" w:color="auto"/>
        <w:bottom w:val="none" w:sz="0" w:space="0" w:color="auto"/>
        <w:right w:val="none" w:sz="0" w:space="0" w:color="auto"/>
      </w:divBdr>
    </w:div>
    <w:div w:id="391080097">
      <w:bodyDiv w:val="1"/>
      <w:marLeft w:val="0"/>
      <w:marRight w:val="0"/>
      <w:marTop w:val="0"/>
      <w:marBottom w:val="0"/>
      <w:divBdr>
        <w:top w:val="none" w:sz="0" w:space="0" w:color="auto"/>
        <w:left w:val="none" w:sz="0" w:space="0" w:color="auto"/>
        <w:bottom w:val="none" w:sz="0" w:space="0" w:color="auto"/>
        <w:right w:val="none" w:sz="0" w:space="0" w:color="auto"/>
      </w:divBdr>
    </w:div>
    <w:div w:id="675155886">
      <w:bodyDiv w:val="1"/>
      <w:marLeft w:val="0"/>
      <w:marRight w:val="0"/>
      <w:marTop w:val="0"/>
      <w:marBottom w:val="0"/>
      <w:divBdr>
        <w:top w:val="none" w:sz="0" w:space="0" w:color="auto"/>
        <w:left w:val="none" w:sz="0" w:space="0" w:color="auto"/>
        <w:bottom w:val="none" w:sz="0" w:space="0" w:color="auto"/>
        <w:right w:val="none" w:sz="0" w:space="0" w:color="auto"/>
      </w:divBdr>
    </w:div>
    <w:div w:id="869681888">
      <w:bodyDiv w:val="1"/>
      <w:marLeft w:val="0"/>
      <w:marRight w:val="0"/>
      <w:marTop w:val="0"/>
      <w:marBottom w:val="0"/>
      <w:divBdr>
        <w:top w:val="none" w:sz="0" w:space="0" w:color="auto"/>
        <w:left w:val="none" w:sz="0" w:space="0" w:color="auto"/>
        <w:bottom w:val="none" w:sz="0" w:space="0" w:color="auto"/>
        <w:right w:val="none" w:sz="0" w:space="0" w:color="auto"/>
      </w:divBdr>
    </w:div>
    <w:div w:id="1558542663">
      <w:bodyDiv w:val="1"/>
      <w:marLeft w:val="0"/>
      <w:marRight w:val="0"/>
      <w:marTop w:val="0"/>
      <w:marBottom w:val="0"/>
      <w:divBdr>
        <w:top w:val="none" w:sz="0" w:space="0" w:color="auto"/>
        <w:left w:val="none" w:sz="0" w:space="0" w:color="auto"/>
        <w:bottom w:val="none" w:sz="0" w:space="0" w:color="auto"/>
        <w:right w:val="none" w:sz="0" w:space="0" w:color="auto"/>
      </w:divBdr>
    </w:div>
    <w:div w:id="1587305996">
      <w:bodyDiv w:val="1"/>
      <w:marLeft w:val="0"/>
      <w:marRight w:val="0"/>
      <w:marTop w:val="0"/>
      <w:marBottom w:val="0"/>
      <w:divBdr>
        <w:top w:val="none" w:sz="0" w:space="0" w:color="auto"/>
        <w:left w:val="none" w:sz="0" w:space="0" w:color="auto"/>
        <w:bottom w:val="none" w:sz="0" w:space="0" w:color="auto"/>
        <w:right w:val="none" w:sz="0" w:space="0" w:color="auto"/>
      </w:divBdr>
    </w:div>
    <w:div w:id="1869027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4.png"/><Relationship Id="rId299" Type="http://schemas.openxmlformats.org/officeDocument/2006/relationships/hyperlink" Target="https://www.sdp.gov.co/sites/default/files/dts_libroii_componente_urbano_0.pdf" TargetMode="External"/><Relationship Id="rId21" Type="http://schemas.openxmlformats.org/officeDocument/2006/relationships/image" Target="media/image6.png"/><Relationship Id="rId63" Type="http://schemas.openxmlformats.org/officeDocument/2006/relationships/chart" Target="charts/chart17.xml"/><Relationship Id="rId159" Type="http://schemas.openxmlformats.org/officeDocument/2006/relationships/image" Target="media/image76.png"/><Relationship Id="rId170" Type="http://schemas.openxmlformats.org/officeDocument/2006/relationships/image" Target="media/image85.jpg"/><Relationship Id="rId226" Type="http://schemas.openxmlformats.org/officeDocument/2006/relationships/hyperlink" Target="https://www.movilidadbogota.gov.co/web/sites/default/files/ley-769-de-2002-codigo-nacional-de-transito_3704_0.pdf" TargetMode="External"/><Relationship Id="rId268" Type="http://schemas.openxmlformats.org/officeDocument/2006/relationships/hyperlink" Target="https://observatorio.desarrolloeconomico.gov.co/" TargetMode="External"/><Relationship Id="rId32" Type="http://schemas.openxmlformats.org/officeDocument/2006/relationships/chart" Target="charts/chart4.xml"/><Relationship Id="rId74" Type="http://schemas.openxmlformats.org/officeDocument/2006/relationships/footer" Target="footer15.xml"/><Relationship Id="rId128" Type="http://schemas.openxmlformats.org/officeDocument/2006/relationships/image" Target="media/image49.png"/><Relationship Id="rId5" Type="http://schemas.openxmlformats.org/officeDocument/2006/relationships/webSettings" Target="webSettings.xml"/><Relationship Id="rId181" Type="http://schemas.openxmlformats.org/officeDocument/2006/relationships/image" Target="media/image93.png"/><Relationship Id="rId237" Type="http://schemas.openxmlformats.org/officeDocument/2006/relationships/hyperlink" Target="https://www.dane.gov.co/files/operaciones/FIES/bol-FIES-2022.pdf" TargetMode="External"/><Relationship Id="rId279" Type="http://schemas.openxmlformats.org/officeDocument/2006/relationships/hyperlink" Target="https://www.redacademica.edu.co/sites/default/files/2022-08/CARTILLA%208%20ATENCION%20INTEGRAL.pdf" TargetMode="External"/><Relationship Id="rId43" Type="http://schemas.openxmlformats.org/officeDocument/2006/relationships/image" Target="media/image9.png"/><Relationship Id="rId139" Type="http://schemas.openxmlformats.org/officeDocument/2006/relationships/image" Target="media/image57.png"/><Relationship Id="rId290" Type="http://schemas.openxmlformats.org/officeDocument/2006/relationships/hyperlink" Target="https://www.sdp.gov.co/sites/default/files/decretos-conpes/conpes_dc_19_pp_vejez.pdf" TargetMode="External"/><Relationship Id="rId304" Type="http://schemas.openxmlformats.org/officeDocument/2006/relationships/hyperlink" Target="https://www.sdp.gov.co/gestion-territorial/ambiente-y-ruralidad/cerros-orientales." TargetMode="External"/><Relationship Id="rId85" Type="http://schemas.openxmlformats.org/officeDocument/2006/relationships/image" Target="media/image21.png"/><Relationship Id="rId150" Type="http://schemas.openxmlformats.org/officeDocument/2006/relationships/image" Target="media/image68.png"/><Relationship Id="rId192" Type="http://schemas.openxmlformats.org/officeDocument/2006/relationships/image" Target="media/image101.png"/><Relationship Id="rId206" Type="http://schemas.openxmlformats.org/officeDocument/2006/relationships/chart" Target="charts/chart32.xml"/><Relationship Id="rId248" Type="http://schemas.openxmlformats.org/officeDocument/2006/relationships/hyperlink" Target="https://www.sdp.gov.co/gestion-estudios-estrategicos/estudios-macro/encuesta-multiproposito" TargetMode="External"/><Relationship Id="rId12" Type="http://schemas.openxmlformats.org/officeDocument/2006/relationships/footer" Target="footer1.xml"/><Relationship Id="rId108" Type="http://schemas.openxmlformats.org/officeDocument/2006/relationships/header" Target="header18.xml"/><Relationship Id="rId315" Type="http://schemas.openxmlformats.org/officeDocument/2006/relationships/hyperlink" Target="https://ctppereira.com/wp-content/uploads/2021/11/Velasquez_-_Gonzalez_-_Que_ha_pasado_con_la_participacion_ciudadana_en_Colombia.pdf" TargetMode="External"/><Relationship Id="rId54" Type="http://schemas.openxmlformats.org/officeDocument/2006/relationships/chart" Target="charts/chart12.xml"/><Relationship Id="rId96" Type="http://schemas.openxmlformats.org/officeDocument/2006/relationships/footer" Target="footer19.xml"/><Relationship Id="rId161" Type="http://schemas.openxmlformats.org/officeDocument/2006/relationships/chart" Target="charts/chart30.xml"/><Relationship Id="rId217" Type="http://schemas.openxmlformats.org/officeDocument/2006/relationships/hyperlink" Target="https://repository.universidadean.edu.co/bitstream/handle/10882/13156/BahamonAlejandra2023.pdf?sequence=1" TargetMode="External"/><Relationship Id="rId259" Type="http://schemas.openxmlformats.org/officeDocument/2006/relationships/hyperlink" Target="https://repositorio.cepal.org/handle/11362/43427." TargetMode="External"/><Relationship Id="rId23" Type="http://schemas.openxmlformats.org/officeDocument/2006/relationships/header" Target="header6.xml"/><Relationship Id="rId119" Type="http://schemas.openxmlformats.org/officeDocument/2006/relationships/chart" Target="charts/chart27.xml"/><Relationship Id="rId270" Type="http://schemas.openxmlformats.org/officeDocument/2006/relationships/hyperlink" Target="https://www.personeriabogota.gov.co/sala-de-prensa/notas-de-prensa/item/1051-mas-de-11-mil-peticiones-por-deficiencias-en-la-atencion-en-salud-por-parte-de-eps-en-bogota-recibio-la-personeria" TargetMode="External"/><Relationship Id="rId65" Type="http://schemas.openxmlformats.org/officeDocument/2006/relationships/image" Target="media/image18.png"/><Relationship Id="rId130" Type="http://schemas.openxmlformats.org/officeDocument/2006/relationships/image" Target="media/image51.png"/><Relationship Id="rId172" Type="http://schemas.openxmlformats.org/officeDocument/2006/relationships/image" Target="media/image87.jpg"/><Relationship Id="rId228" Type="http://schemas.openxmlformats.org/officeDocument/2006/relationships/hyperlink" Target="https://www.dane.gov.co/index.php/estadisticas-por-tema/salud/calidad-de-vida-ecv/encuesta-nacional-de-calidad-de-vida-ecv-2022." TargetMode="External"/><Relationship Id="rId13" Type="http://schemas.openxmlformats.org/officeDocument/2006/relationships/footer" Target="footer2.xml"/><Relationship Id="rId109" Type="http://schemas.openxmlformats.org/officeDocument/2006/relationships/image" Target="media/image38.jpeg"/><Relationship Id="rId260" Type="http://schemas.openxmlformats.org/officeDocument/2006/relationships/hyperlink" Target="https://fundacioninterra.org/wp-content/uploads/2023/11/P.T.1.Bogota.pdf." TargetMode="External"/><Relationship Id="rId281" Type="http://schemas.openxmlformats.org/officeDocument/2006/relationships/hyperlink" Target="https://www.alcaldiabogota.gov.co/sisjur/adminverblobawa?tabla=T_NORMA_ARCHIVO&amp;p_NORMFIL_ID=44657&amp;f_NORMFIL_FILE=X&amp;inputfileext=NORMFIL_FILENAME" TargetMode="External"/><Relationship Id="rId316" Type="http://schemas.openxmlformats.org/officeDocument/2006/relationships/hyperlink" Target="https://www.bancomundial.org/es/topic/education/overview" TargetMode="External"/><Relationship Id="rId34" Type="http://schemas.openxmlformats.org/officeDocument/2006/relationships/chart" Target="charts/chart5.xml"/><Relationship Id="rId55" Type="http://schemas.openxmlformats.org/officeDocument/2006/relationships/chart" Target="charts/chart13.xml"/><Relationship Id="rId76" Type="http://schemas.openxmlformats.org/officeDocument/2006/relationships/chart" Target="charts/chart20.xml"/><Relationship Id="rId97" Type="http://schemas.openxmlformats.org/officeDocument/2006/relationships/image" Target="media/image29.png"/><Relationship Id="rId120" Type="http://schemas.openxmlformats.org/officeDocument/2006/relationships/chart" Target="charts/chart28.xml"/><Relationship Id="rId141" Type="http://schemas.openxmlformats.org/officeDocument/2006/relationships/image" Target="media/image59.png"/><Relationship Id="rId7" Type="http://schemas.openxmlformats.org/officeDocument/2006/relationships/endnotes" Target="endnotes.xml"/><Relationship Id="rId162" Type="http://schemas.openxmlformats.org/officeDocument/2006/relationships/image" Target="media/image77.png"/><Relationship Id="rId183" Type="http://schemas.openxmlformats.org/officeDocument/2006/relationships/image" Target="media/image95.png"/><Relationship Id="rId218" Type="http://schemas.openxmlformats.org/officeDocument/2006/relationships/hyperlink" Target="https://www.bancadelasoportunidades.gov.co/sites/default/files/2023-07/RIF2022%2018072023.pdf" TargetMode="External"/><Relationship Id="rId239" Type="http://schemas.openxmlformats.org/officeDocument/2006/relationships/hyperlink" Target="https://microdatos.dane.gov.co/index.php/catalog/782" TargetMode="External"/><Relationship Id="rId250" Type="http://schemas.openxmlformats.org/officeDocument/2006/relationships/hyperlink" Target="https://www.funcionpublica.gov.co/web/mipg/resultados-medicion" TargetMode="External"/><Relationship Id="rId271" Type="http://schemas.openxmlformats.org/officeDocument/2006/relationships/hyperlink" Target="https://iris.paho.org/bitstream/handle/10665.2/3150/Conocimientos%20actuales%20sobre%20nutricion%20octava%20edicion.pdf?sequence=1&amp;isAllowed=y" TargetMode="External"/><Relationship Id="rId292" Type="http://schemas.openxmlformats.org/officeDocument/2006/relationships/hyperlink" Target="https://omeg.sdmujer.gov.co/phocadownload/2022/infografias/Informe_de_resultados_Linea_Base_Politica_Publica.pdf" TargetMode="External"/><Relationship Id="rId306" Type="http://schemas.openxmlformats.org/officeDocument/2006/relationships/hyperlink" Target="https://storage.googleapis.com/saludata_descargas/Salud_Mental/Estudio_salud_mental_final.pdf" TargetMode="External"/><Relationship Id="rId24" Type="http://schemas.openxmlformats.org/officeDocument/2006/relationships/header" Target="header7.xml"/><Relationship Id="rId45" Type="http://schemas.openxmlformats.org/officeDocument/2006/relationships/image" Target="media/image11.jpg"/><Relationship Id="rId66" Type="http://schemas.openxmlformats.org/officeDocument/2006/relationships/image" Target="media/image16.png"/><Relationship Id="rId87" Type="http://schemas.openxmlformats.org/officeDocument/2006/relationships/image" Target="media/image22.png"/><Relationship Id="rId110" Type="http://schemas.openxmlformats.org/officeDocument/2006/relationships/image" Target="media/image39.png"/><Relationship Id="rId131" Type="http://schemas.openxmlformats.org/officeDocument/2006/relationships/image" Target="media/image52.png"/><Relationship Id="rId152" Type="http://schemas.openxmlformats.org/officeDocument/2006/relationships/image" Target="media/image70.png"/><Relationship Id="rId173" Type="http://schemas.openxmlformats.org/officeDocument/2006/relationships/image" Target="media/image88.jpg"/><Relationship Id="rId194" Type="http://schemas.openxmlformats.org/officeDocument/2006/relationships/image" Target="media/image103.png"/><Relationship Id="rId208" Type="http://schemas.openxmlformats.org/officeDocument/2006/relationships/header" Target="header26.xml"/><Relationship Id="rId229" Type="http://schemas.openxmlformats.org/officeDocument/2006/relationships/hyperlink" Target="https://www.dane.gov.co/index.php/estadisticas-por-tema/cuentas-nacionales/cuentas-satelite/cuenta-satelite-de-cultura-en-colombia" TargetMode="External"/><Relationship Id="rId240" Type="http://schemas.openxmlformats.org/officeDocument/2006/relationships/hyperlink" Target="https://www.dane.gov.co/index.php/estadisticas-por-tema/mercado-laboral/empleo-informal-y-seguridad-social" TargetMode="External"/><Relationship Id="rId261" Type="http://schemas.openxmlformats.org/officeDocument/2006/relationships/hyperlink" Target="https://www.dnp.gov.co/plan-nacional-desarrollo/pnd-2022-2026." TargetMode="External"/><Relationship Id="rId14" Type="http://schemas.openxmlformats.org/officeDocument/2006/relationships/header" Target="header2.xml"/><Relationship Id="rId35" Type="http://schemas.openxmlformats.org/officeDocument/2006/relationships/header" Target="header10.xml"/><Relationship Id="rId56" Type="http://schemas.openxmlformats.org/officeDocument/2006/relationships/chart" Target="charts/chart14.xml"/><Relationship Id="rId77" Type="http://schemas.openxmlformats.org/officeDocument/2006/relationships/chart" Target="charts/chart21.xml"/><Relationship Id="rId100" Type="http://schemas.openxmlformats.org/officeDocument/2006/relationships/hyperlink" Target="about:blank" TargetMode="External"/><Relationship Id="rId282" Type="http://schemas.openxmlformats.org/officeDocument/2006/relationships/hyperlink" Target="https://www.alcaldiabogota.gov.co/sisjur/adminverblobawa?tabla=T_NORMA_ARCHIVO&amp;p_NORMFIL_ID=44656&amp;f_NORMFIL_FILE=X&amp;inputfileext=NORMFIL_FILENAME" TargetMode="External"/><Relationship Id="rId317" Type="http://schemas.openxmlformats.org/officeDocument/2006/relationships/image" Target="media/image115.jpeg"/><Relationship Id="rId8" Type="http://schemas.openxmlformats.org/officeDocument/2006/relationships/image" Target="media/image1.jpeg"/><Relationship Id="rId98" Type="http://schemas.openxmlformats.org/officeDocument/2006/relationships/image" Target="media/image30.png"/><Relationship Id="rId121" Type="http://schemas.openxmlformats.org/officeDocument/2006/relationships/footer" Target="footer20.xml"/><Relationship Id="rId142" Type="http://schemas.openxmlformats.org/officeDocument/2006/relationships/image" Target="media/image60.png"/><Relationship Id="rId163" Type="http://schemas.openxmlformats.org/officeDocument/2006/relationships/image" Target="media/image78.png"/><Relationship Id="rId184" Type="http://schemas.openxmlformats.org/officeDocument/2006/relationships/image" Target="media/image96.png"/><Relationship Id="rId219" Type="http://schemas.openxmlformats.org/officeDocument/2006/relationships/hyperlink" Target="https://www.bancomundial.org/es/news/feature/2022/10/17/what-you-need-to-know-about-food-security-and-climate-change" TargetMode="External"/><Relationship Id="rId230" Type="http://schemas.openxmlformats.org/officeDocument/2006/relationships/hyperlink" Target="https://www.dane.gov.co/index.php/estadisticas-por-tema/cuentas-nacionales/cuentas-satelite/cuenta-satelite-del-deporte-de-bogota-csdb" TargetMode="External"/><Relationship Id="rId251" Type="http://schemas.openxmlformats.org/officeDocument/2006/relationships/hyperlink" Target="https://www.serviciocivil.gov.co/tablero-de-control" TargetMode="External"/><Relationship Id="rId25" Type="http://schemas.openxmlformats.org/officeDocument/2006/relationships/footer" Target="footer5.xml"/><Relationship Id="rId46" Type="http://schemas.openxmlformats.org/officeDocument/2006/relationships/header" Target="header12.xml"/><Relationship Id="rId67" Type="http://schemas.openxmlformats.org/officeDocument/2006/relationships/image" Target="media/image17.png"/><Relationship Id="rId272" Type="http://schemas.openxmlformats.org/officeDocument/2006/relationships/hyperlink" Target="https://lee.javeriana.edu.co/documents/5581483/8102914/BRECHA-DE-HABILIDADES_LEE_CPC_VF.pdf" TargetMode="External"/><Relationship Id="rId293" Type="http://schemas.openxmlformats.org/officeDocument/2006/relationships/hyperlink" Target="https://www.sdmujer.gov.co/la-entidad/politica-publica-de-mujeres-y-equidad-de-genero/documento-conpes%20" TargetMode="External"/><Relationship Id="rId307" Type="http://schemas.openxmlformats.org/officeDocument/2006/relationships/hyperlink" Target="https://secretariageneral.gov.co/sites/default/files/documentos_descarga_transparencia/2022-12/caracterizacion_de_grupos_de_valor_2020_(SSSC).pdf" TargetMode="External"/><Relationship Id="rId88" Type="http://schemas.openxmlformats.org/officeDocument/2006/relationships/image" Target="media/image23.png"/><Relationship Id="rId111" Type="http://schemas.openxmlformats.org/officeDocument/2006/relationships/image" Target="media/image40.png"/><Relationship Id="rId132" Type="http://schemas.openxmlformats.org/officeDocument/2006/relationships/image" Target="media/image53.png"/><Relationship Id="rId153" Type="http://schemas.openxmlformats.org/officeDocument/2006/relationships/image" Target="media/image71.jpeg"/><Relationship Id="rId174" Type="http://schemas.openxmlformats.org/officeDocument/2006/relationships/header" Target="header22.xml"/><Relationship Id="rId195" Type="http://schemas.openxmlformats.org/officeDocument/2006/relationships/image" Target="media/image104.png"/><Relationship Id="rId209" Type="http://schemas.openxmlformats.org/officeDocument/2006/relationships/image" Target="media/image112.jpeg"/><Relationship Id="rId220" Type="http://schemas.openxmlformats.org/officeDocument/2006/relationships/hyperlink" Target="http://dx.doi.org/10.21017/Rev.Repub.2020.v28.a84" TargetMode="External"/><Relationship Id="rId241" Type="http://schemas.openxmlformats.org/officeDocument/2006/relationships/hyperlink" Target="https://www.dane.gov.co/index.php/estadisticas-por-tema/mercado-laboral/empleo-y-desempleo" TargetMode="External"/><Relationship Id="rId15" Type="http://schemas.openxmlformats.org/officeDocument/2006/relationships/image" Target="media/image4.jpeg"/><Relationship Id="rId36" Type="http://schemas.openxmlformats.org/officeDocument/2006/relationships/header" Target="header11.xml"/><Relationship Id="rId57" Type="http://schemas.openxmlformats.org/officeDocument/2006/relationships/chart" Target="charts/chart15.xml"/><Relationship Id="rId262" Type="http://schemas.openxmlformats.org/officeDocument/2006/relationships/hyperlink" Target="https://www.icfes.gov.co/data-icfes." TargetMode="External"/><Relationship Id="rId283" Type="http://schemas.openxmlformats.org/officeDocument/2006/relationships/hyperlink" Target="https://www.alcaldiabogota.gov.co/sisjur/adminverblobawa?tabla=T_NORMA_ARCHIVO&amp;p_NORMFIL_ID=46195&amp;f_NORMFIL_FILE=X&amp;inputfileext=NORMFIL_FILENAME" TargetMode="External"/><Relationship Id="rId318" Type="http://schemas.openxmlformats.org/officeDocument/2006/relationships/header" Target="header27.xml"/><Relationship Id="rId78" Type="http://schemas.openxmlformats.org/officeDocument/2006/relationships/image" Target="media/image19.jpg"/><Relationship Id="rId99" Type="http://schemas.openxmlformats.org/officeDocument/2006/relationships/image" Target="media/image31.png"/><Relationship Id="rId101" Type="http://schemas.openxmlformats.org/officeDocument/2006/relationships/hyperlink" Target="about:blank" TargetMode="External"/><Relationship Id="rId122" Type="http://schemas.openxmlformats.org/officeDocument/2006/relationships/image" Target="media/image45.jpg"/><Relationship Id="rId143" Type="http://schemas.openxmlformats.org/officeDocument/2006/relationships/image" Target="media/image61.png"/><Relationship Id="rId164" Type="http://schemas.openxmlformats.org/officeDocument/2006/relationships/image" Target="media/image79.png"/><Relationship Id="rId185" Type="http://schemas.openxmlformats.org/officeDocument/2006/relationships/image" Target="media/image97.png"/><Relationship Id="rId9" Type="http://schemas.openxmlformats.org/officeDocument/2006/relationships/image" Target="media/image2.jpg"/><Relationship Id="rId210" Type="http://schemas.openxmlformats.org/officeDocument/2006/relationships/image" Target="media/image113.jpg"/><Relationship Id="rId26" Type="http://schemas.openxmlformats.org/officeDocument/2006/relationships/header" Target="header8.xml"/><Relationship Id="rId231" Type="http://schemas.openxmlformats.org/officeDocument/2006/relationships/hyperlink" Target="https://www.dane.gov.co/index.php/estadisticas-por-tema/cultura/cultura-politica-encuesta" TargetMode="External"/><Relationship Id="rId252" Type="http://schemas.openxmlformats.org/officeDocument/2006/relationships/hyperlink" Target="https://serviciocivil.gov.co/tablero-de-control" TargetMode="External"/><Relationship Id="rId273" Type="http://schemas.openxmlformats.org/officeDocument/2006/relationships/hyperlink" Target="https://www.mpf.gob.ar/ufem/estadisticas/" TargetMode="External"/><Relationship Id="rId294" Type="http://schemas.openxmlformats.org/officeDocument/2006/relationships/hyperlink" Target="https://omeg.sdmujer.gov.co/phocadownload/2023/InformeResultados_LB_CUIDADO-2.pdf" TargetMode="External"/><Relationship Id="rId308" Type="http://schemas.openxmlformats.org/officeDocument/2006/relationships/hyperlink" Target="https://secretariageneral.gov.co/sites/default/files/documentos_informacion_ppe/2022-09/documento_metodologico_igpd_22.08.2022.pdf" TargetMode="External"/><Relationship Id="rId47" Type="http://schemas.openxmlformats.org/officeDocument/2006/relationships/footer" Target="footer8.xml"/><Relationship Id="rId68" Type="http://schemas.openxmlformats.org/officeDocument/2006/relationships/image" Target="media/image17.jpg"/><Relationship Id="rId89" Type="http://schemas.openxmlformats.org/officeDocument/2006/relationships/image" Target="media/image24.jpeg"/><Relationship Id="rId112" Type="http://schemas.openxmlformats.org/officeDocument/2006/relationships/chart" Target="charts/chart24.xml"/><Relationship Id="rId133" Type="http://schemas.openxmlformats.org/officeDocument/2006/relationships/image" Target="media/image54.jpg"/><Relationship Id="rId154" Type="http://schemas.openxmlformats.org/officeDocument/2006/relationships/header" Target="header21.xml"/><Relationship Id="rId175" Type="http://schemas.openxmlformats.org/officeDocument/2006/relationships/footer" Target="footer24.xml"/><Relationship Id="rId196" Type="http://schemas.openxmlformats.org/officeDocument/2006/relationships/image" Target="media/image105.jpg"/><Relationship Id="rId200" Type="http://schemas.openxmlformats.org/officeDocument/2006/relationships/image" Target="media/image109.png"/><Relationship Id="rId16" Type="http://schemas.openxmlformats.org/officeDocument/2006/relationships/footer" Target="footer3.xml"/><Relationship Id="rId221" Type="http://schemas.openxmlformats.org/officeDocument/2006/relationships/hyperlink" Target="https://bogotacomovamos.org/encuesta-percepcion-ciudadana-2022/" TargetMode="External"/><Relationship Id="rId242" Type="http://schemas.openxmlformats.org/officeDocument/2006/relationships/hyperlink" Target="https://www.dane.gov.co/index.php/estadisticas-por-tema/pobreza-y-condiciones-de-vida/pobreza-monetaria" TargetMode="External"/><Relationship Id="rId263" Type="http://schemas.openxmlformats.org/officeDocument/2006/relationships/hyperlink" Target="https://www.icfes.gov.co/web/guest/data-icfes." TargetMode="External"/><Relationship Id="rId284" Type="http://schemas.openxmlformats.org/officeDocument/2006/relationships/hyperlink" Target="https://www.alcaldiabogota.gov.co/sisjur/adminverblobawa?tabla=T_NORMA_ARCHIVO&amp;p_NORMFIL_ID=44656&amp;f_NORMFIL_FILE=X&amp;inputfileext=NORMFIL_FILENAME" TargetMode="External"/><Relationship Id="rId319" Type="http://schemas.openxmlformats.org/officeDocument/2006/relationships/fontTable" Target="fontTable.xml"/><Relationship Id="rId37" Type="http://schemas.openxmlformats.org/officeDocument/2006/relationships/chart" Target="charts/chart6.xml"/><Relationship Id="rId58" Type="http://schemas.openxmlformats.org/officeDocument/2006/relationships/footer" Target="footer12.xml"/><Relationship Id="rId79" Type="http://schemas.openxmlformats.org/officeDocument/2006/relationships/header" Target="header15.xml"/><Relationship Id="rId102" Type="http://schemas.openxmlformats.org/officeDocument/2006/relationships/image" Target="media/image32.png"/><Relationship Id="rId123" Type="http://schemas.openxmlformats.org/officeDocument/2006/relationships/header" Target="header19.xml"/><Relationship Id="rId144" Type="http://schemas.openxmlformats.org/officeDocument/2006/relationships/image" Target="media/image62.png"/><Relationship Id="rId90" Type="http://schemas.openxmlformats.org/officeDocument/2006/relationships/image" Target="media/image25.jpg"/><Relationship Id="rId165" Type="http://schemas.openxmlformats.org/officeDocument/2006/relationships/image" Target="media/image80.png"/><Relationship Id="rId186" Type="http://schemas.openxmlformats.org/officeDocument/2006/relationships/chart" Target="charts/chart31.xml"/><Relationship Id="rId211" Type="http://schemas.openxmlformats.org/officeDocument/2006/relationships/image" Target="media/image114.png"/><Relationship Id="rId232" Type="http://schemas.openxmlformats.org/officeDocument/2006/relationships/hyperlink" Target="https://www.dane.gov.co/index.php/estadisticas-por-tema/gobierno/encuesta-sobre-ambiente-y-desempeno-institucional-departamental-edid" TargetMode="External"/><Relationship Id="rId253" Type="http://schemas.openxmlformats.org/officeDocument/2006/relationships/hyperlink" Target="https://serviciocivil.gov.co/tablero-de-control" TargetMode="External"/><Relationship Id="rId274" Type="http://schemas.openxmlformats.org/officeDocument/2006/relationships/hyperlink" Target="https://www.ambientebogota.gov.co/plan-aire-2030." TargetMode="External"/><Relationship Id="rId295" Type="http://schemas.openxmlformats.org/officeDocument/2006/relationships/hyperlink" Target="https://omeg.sdmujer.gov.co/phocadownload/2023/InformeResultados_LB_CUIDADO-2.pdf" TargetMode="External"/><Relationship Id="rId309" Type="http://schemas.openxmlformats.org/officeDocument/2006/relationships/hyperlink" Target="https://secretariageneral.gov.co/sites/default/files/2023-12/Info_Poli%CC%81tica_Talento_Humano.pdf" TargetMode="External"/><Relationship Id="rId27" Type="http://schemas.openxmlformats.org/officeDocument/2006/relationships/footer" Target="footer6.xml"/><Relationship Id="rId48" Type="http://schemas.openxmlformats.org/officeDocument/2006/relationships/header" Target="header13.xml"/><Relationship Id="rId69" Type="http://schemas.openxmlformats.org/officeDocument/2006/relationships/header" Target="header14.xml"/><Relationship Id="rId113" Type="http://schemas.openxmlformats.org/officeDocument/2006/relationships/image" Target="media/image41.jpg"/><Relationship Id="rId134" Type="http://schemas.openxmlformats.org/officeDocument/2006/relationships/header" Target="header20.xml"/><Relationship Id="rId320" Type="http://schemas.openxmlformats.org/officeDocument/2006/relationships/theme" Target="theme/theme1.xml"/><Relationship Id="rId80" Type="http://schemas.openxmlformats.org/officeDocument/2006/relationships/chart" Target="charts/chart22.xml"/><Relationship Id="rId155" Type="http://schemas.openxmlformats.org/officeDocument/2006/relationships/image" Target="media/image72.png"/><Relationship Id="rId176" Type="http://schemas.openxmlformats.org/officeDocument/2006/relationships/header" Target="header23.xml"/><Relationship Id="rId197" Type="http://schemas.openxmlformats.org/officeDocument/2006/relationships/image" Target="media/image106.png"/><Relationship Id="rId201" Type="http://schemas.openxmlformats.org/officeDocument/2006/relationships/image" Target="media/image110.png"/><Relationship Id="rId222" Type="http://schemas.openxmlformats.org/officeDocument/2006/relationships/hyperlink" Target="https://bogotacomovamos.org/informe-de-calidad-de-vida-2022/" TargetMode="External"/><Relationship Id="rId243" Type="http://schemas.openxmlformats.org/officeDocument/2006/relationships/hyperlink" Target="https://www.dane.gov.co/files/investigaciones/condiciones_vida/pobreza/2022/presentacion-rueda-de-prensa-pobreza-multidimensional-2022.pdf" TargetMode="External"/><Relationship Id="rId264" Type="http://schemas.openxmlformats.org/officeDocument/2006/relationships/hyperlink" Target="http://www.cambioclimatico.gov.co/3ra-comunicacion-cambio-climatico." TargetMode="External"/><Relationship Id="rId285" Type="http://schemas.openxmlformats.org/officeDocument/2006/relationships/hyperlink" Target="https://historico.gobiernobogota.gov.co/observatorio-conflictividad-social" TargetMode="External"/><Relationship Id="rId17" Type="http://schemas.openxmlformats.org/officeDocument/2006/relationships/image" Target="media/image5.jpg"/><Relationship Id="rId38" Type="http://schemas.openxmlformats.org/officeDocument/2006/relationships/chart" Target="charts/chart7.xml"/><Relationship Id="rId59" Type="http://schemas.openxmlformats.org/officeDocument/2006/relationships/image" Target="media/image12.png"/><Relationship Id="rId103" Type="http://schemas.openxmlformats.org/officeDocument/2006/relationships/image" Target="media/image33.png"/><Relationship Id="rId124" Type="http://schemas.openxmlformats.org/officeDocument/2006/relationships/footer" Target="footer21.xml"/><Relationship Id="rId310" Type="http://schemas.openxmlformats.org/officeDocument/2006/relationships/hyperlink" Target="https://smece.educacionbogota.edu.co/sites/default/files/2023-11/Estimaci%C3%B3n%20del%20%C3%8Dndice%20de%20Calidad%20Educativa%20del%20Distrito%20%28ICED%29%20para%202021%20y%202022.pdf" TargetMode="External"/><Relationship Id="rId70" Type="http://schemas.openxmlformats.org/officeDocument/2006/relationships/footer" Target="footer13.xml"/><Relationship Id="rId91" Type="http://schemas.openxmlformats.org/officeDocument/2006/relationships/header" Target="header17.xml"/><Relationship Id="rId145" Type="http://schemas.openxmlformats.org/officeDocument/2006/relationships/image" Target="media/image63.png"/><Relationship Id="rId166" Type="http://schemas.openxmlformats.org/officeDocument/2006/relationships/image" Target="media/image81.png"/><Relationship Id="rId187" Type="http://schemas.openxmlformats.org/officeDocument/2006/relationships/image" Target="media/image98.jpg"/><Relationship Id="rId1" Type="http://schemas.openxmlformats.org/officeDocument/2006/relationships/customXml" Target="../customXml/item1.xml"/><Relationship Id="rId212" Type="http://schemas.openxmlformats.org/officeDocument/2006/relationships/hyperlink" Target="https://revistatiempodepaz.org/wp-content/uploads/2019/04/TP-130-Demograf%C3%ADa-y-Problemas-Sociales.pdf" TargetMode="External"/><Relationship Id="rId233" Type="http://schemas.openxmlformats.org/officeDocument/2006/relationships/hyperlink" Target="https://www.dane.gov.co/index.php/estadisticas-por-tema/demografia-y-poblacion/proyecciones-de-viviendas-y-hogares." TargetMode="External"/><Relationship Id="rId254" Type="http://schemas.openxmlformats.org/officeDocument/2006/relationships/hyperlink" Target="https://serviciocivil.gov.co/sites/default/files/2024-02/1-INFORME-FINAL%20EVALUACI%C3%93N-PPGITH_%20ENE%202_compressed.pdf" TargetMode="External"/><Relationship Id="rId28" Type="http://schemas.openxmlformats.org/officeDocument/2006/relationships/footer" Target="footer7.xml"/><Relationship Id="rId49" Type="http://schemas.openxmlformats.org/officeDocument/2006/relationships/footer" Target="footer9.xml"/><Relationship Id="rId114" Type="http://schemas.openxmlformats.org/officeDocument/2006/relationships/image" Target="media/image42.jpg"/><Relationship Id="rId275" Type="http://schemas.openxmlformats.org/officeDocument/2006/relationships/hyperlink" Target="https://oab.ambientebogota.gov.co/?post_type=dlm_download&amp;p=21700." TargetMode="External"/><Relationship Id="rId296" Type="http://schemas.openxmlformats.org/officeDocument/2006/relationships/hyperlink" Target="https://www.movilidadbogota.gov.co/web/encuesta_de_movilidad_2019" TargetMode="External"/><Relationship Id="rId300" Type="http://schemas.openxmlformats.org/officeDocument/2006/relationships/hyperlink" Target="https://www.sdp.gov.co/sites/default/files/caracterizacion_poblacion_afrodescendiente_bogota_2022.pdf" TargetMode="External"/><Relationship Id="rId60" Type="http://schemas.openxmlformats.org/officeDocument/2006/relationships/image" Target="media/image13.png"/><Relationship Id="rId81" Type="http://schemas.openxmlformats.org/officeDocument/2006/relationships/chart" Target="charts/chart23.xml"/><Relationship Id="rId135" Type="http://schemas.openxmlformats.org/officeDocument/2006/relationships/footer" Target="footer22.xml"/><Relationship Id="rId156" Type="http://schemas.openxmlformats.org/officeDocument/2006/relationships/image" Target="media/image73.jpeg"/><Relationship Id="rId177" Type="http://schemas.openxmlformats.org/officeDocument/2006/relationships/image" Target="media/image89.png"/><Relationship Id="rId198" Type="http://schemas.openxmlformats.org/officeDocument/2006/relationships/image" Target="media/image107.png"/><Relationship Id="rId202" Type="http://schemas.openxmlformats.org/officeDocument/2006/relationships/image" Target="media/image111.jpg"/><Relationship Id="rId223" Type="http://schemas.openxmlformats.org/officeDocument/2006/relationships/hyperlink" Target="https://bogotacomovamos.org/datos/" TargetMode="External"/><Relationship Id="rId244" Type="http://schemas.openxmlformats.org/officeDocument/2006/relationships/hyperlink" Target="https://www.dane.gov.co/files/operaciones/PIB/bol-PIBBog-IIItrim2023.pdf" TargetMode="External"/><Relationship Id="rId18" Type="http://schemas.openxmlformats.org/officeDocument/2006/relationships/footer" Target="footer4.xml"/><Relationship Id="rId39" Type="http://schemas.openxmlformats.org/officeDocument/2006/relationships/chart" Target="charts/chart8.xml"/><Relationship Id="rId265" Type="http://schemas.openxmlformats.org/officeDocument/2006/relationships/hyperlink" Target="https://www.idt.gov.co/es/fondetur-avanza-por-el-desarrollo-turistico-de-bogota." TargetMode="External"/><Relationship Id="rId286" Type="http://schemas.openxmlformats.org/officeDocument/2006/relationships/hyperlink" Target="https://www.haciendabogota.gov.co/es/sdh/indicadores-de-endeudamiento-0" TargetMode="External"/><Relationship Id="rId50" Type="http://schemas.openxmlformats.org/officeDocument/2006/relationships/footer" Target="footer10.xml"/><Relationship Id="rId104" Type="http://schemas.openxmlformats.org/officeDocument/2006/relationships/image" Target="media/image34.png"/><Relationship Id="rId125" Type="http://schemas.openxmlformats.org/officeDocument/2006/relationships/image" Target="media/image46.jpeg"/><Relationship Id="rId146" Type="http://schemas.openxmlformats.org/officeDocument/2006/relationships/image" Target="media/image64.png"/><Relationship Id="rId167" Type="http://schemas.openxmlformats.org/officeDocument/2006/relationships/image" Target="media/image82.png"/><Relationship Id="rId188" Type="http://schemas.openxmlformats.org/officeDocument/2006/relationships/footer" Target="footer25.xml"/><Relationship Id="rId311" Type="http://schemas.openxmlformats.org/officeDocument/2006/relationships/hyperlink" Target="https://www.unesco.org/es/articles/por-que-es-importante-la-atencion-y-educacion-de-la-primera-infancia?TSPD_101_R0=080713870fab2000c0f6b7052a8d40b77f5a66c77022dc777be798939805eda7587c60b30ded443c0878a1b797143000d4e89a43b384969646fdb888c8197e288afbc47fb7f" TargetMode="External"/><Relationship Id="rId71" Type="http://schemas.openxmlformats.org/officeDocument/2006/relationships/image" Target="media/image18.jpg"/><Relationship Id="rId92" Type="http://schemas.openxmlformats.org/officeDocument/2006/relationships/footer" Target="footer18.xml"/><Relationship Id="rId213" Type="http://schemas.openxmlformats.org/officeDocument/2006/relationships/hyperlink" Target="https://repositoriosed.educacionbogota.edu.co/entities/publication/7c57a4db-c37f-4227-b565-1acc862ed58d" TargetMode="External"/><Relationship Id="rId234" Type="http://schemas.openxmlformats.org/officeDocument/2006/relationships/hyperlink" Target="https://www.dane.gov.co/index.php/estadisticas-por-tema/demografia-y-poblacion/censo-habitantes-de-la-calle-bogota" TargetMode="External"/><Relationship Id="rId2" Type="http://schemas.openxmlformats.org/officeDocument/2006/relationships/numbering" Target="numbering.xml"/><Relationship Id="rId29" Type="http://schemas.openxmlformats.org/officeDocument/2006/relationships/chart" Target="charts/chart1.xml"/><Relationship Id="rId255" Type="http://schemas.openxmlformats.org/officeDocument/2006/relationships/hyperlink" Target="https://osc.dnp.gov.co/administrator/components/com_publicaciones/uploads/Atlas_Aglomeracin_de_Bogot.pdf" TargetMode="External"/><Relationship Id="rId276" Type="http://schemas.openxmlformats.org/officeDocument/2006/relationships/hyperlink" Target="https://observatorio.desarrolloeconomico.gov.co/sites/default/files/files_articles/cuaderno_52_conectividad_.pdf" TargetMode="External"/><Relationship Id="rId297" Type="http://schemas.openxmlformats.org/officeDocument/2006/relationships/hyperlink" Target="https://www.sdp.gov.co/sites/default/files/publicacion-linea-base-politica-publica-lgbti.pdf" TargetMode="External"/><Relationship Id="rId40" Type="http://schemas.openxmlformats.org/officeDocument/2006/relationships/chart" Target="charts/chart9.xml"/><Relationship Id="rId115" Type="http://schemas.openxmlformats.org/officeDocument/2006/relationships/chart" Target="charts/chart25.xml"/><Relationship Id="rId136" Type="http://schemas.openxmlformats.org/officeDocument/2006/relationships/image" Target="media/image55.jpeg"/><Relationship Id="rId157" Type="http://schemas.openxmlformats.org/officeDocument/2006/relationships/image" Target="media/image74.png"/><Relationship Id="rId178" Type="http://schemas.openxmlformats.org/officeDocument/2006/relationships/image" Target="media/image90.png"/><Relationship Id="rId301" Type="http://schemas.openxmlformats.org/officeDocument/2006/relationships/hyperlink" Target="https://www.sdp.gov.co/sites/default/files/20220727_efectos_violencias_abandono_familiar_personas_lgbti_bogota.pdf" TargetMode="External"/><Relationship Id="rId61" Type="http://schemas.openxmlformats.org/officeDocument/2006/relationships/image" Target="media/image14.png"/><Relationship Id="rId82" Type="http://schemas.openxmlformats.org/officeDocument/2006/relationships/image" Target="media/image20.jpg"/><Relationship Id="rId199" Type="http://schemas.openxmlformats.org/officeDocument/2006/relationships/image" Target="media/image108.png"/><Relationship Id="rId203" Type="http://schemas.openxmlformats.org/officeDocument/2006/relationships/header" Target="header24.xml"/><Relationship Id="rId19" Type="http://schemas.openxmlformats.org/officeDocument/2006/relationships/header" Target="header3.xml"/><Relationship Id="rId224" Type="http://schemas.openxmlformats.org/officeDocument/2006/relationships/hyperlink" Target="http://www.scielo.sa.cr/scielo.php?script=sci_abstract&amp;pid=S0253-29482004000100007&amp;lng=en&amp;nrm=iso&amp;tlng=es" TargetMode="External"/><Relationship Id="rId245" Type="http://schemas.openxmlformats.org/officeDocument/2006/relationships/hyperlink" Target="https://www.dane.gov.co/index.php/estadisticas-por-tema/demografia-y-poblacion/proyecciones-de-poblacion/proyecciones-de-poblacion-bogota" TargetMode="External"/><Relationship Id="rId266" Type="http://schemas.openxmlformats.org/officeDocument/2006/relationships/hyperlink" Target="https://colaboracion.dnp.gov.co/CDT/Normatividad/LEY%20152%20DE%201994.pdf" TargetMode="External"/><Relationship Id="rId287" Type="http://schemas.openxmlformats.org/officeDocument/2006/relationships/hyperlink" Target="https://old.integracionsocial.gov.co/anexos/documentos/2015politicaspublicas/06012016_Politica_Publica_para_las_Familias_de_Bogota_2011-2025.pdf" TargetMode="External"/><Relationship Id="rId30" Type="http://schemas.openxmlformats.org/officeDocument/2006/relationships/chart" Target="charts/chart2.xml"/><Relationship Id="rId105" Type="http://schemas.openxmlformats.org/officeDocument/2006/relationships/image" Target="media/image35.png"/><Relationship Id="rId126" Type="http://schemas.openxmlformats.org/officeDocument/2006/relationships/image" Target="media/image47.png"/><Relationship Id="rId147" Type="http://schemas.openxmlformats.org/officeDocument/2006/relationships/image" Target="media/image65.png"/><Relationship Id="rId168" Type="http://schemas.openxmlformats.org/officeDocument/2006/relationships/image" Target="media/image83.png"/><Relationship Id="rId312" Type="http://schemas.openxmlformats.org/officeDocument/2006/relationships/hyperlink" Target="https://www.unicef.org/lac/desarrollo-de-la-primera-infancia" TargetMode="External"/><Relationship Id="rId51" Type="http://schemas.openxmlformats.org/officeDocument/2006/relationships/footer" Target="footer11.xml"/><Relationship Id="rId72" Type="http://schemas.openxmlformats.org/officeDocument/2006/relationships/footer" Target="footer14.xml"/><Relationship Id="rId93" Type="http://schemas.openxmlformats.org/officeDocument/2006/relationships/image" Target="media/image26.jpeg"/><Relationship Id="rId189" Type="http://schemas.openxmlformats.org/officeDocument/2006/relationships/footer" Target="footer26.xml"/><Relationship Id="rId3" Type="http://schemas.openxmlformats.org/officeDocument/2006/relationships/styles" Target="styles.xml"/><Relationship Id="rId214" Type="http://schemas.openxmlformats.org/officeDocument/2006/relationships/hyperlink" Target="https://www.alcaldiabogota.gov.co/sisjur/normas/Norma1.jsp?i=150858" TargetMode="External"/><Relationship Id="rId235" Type="http://schemas.openxmlformats.org/officeDocument/2006/relationships/hyperlink" Target="https://microdatos.dane.gov.co/index.php/catalog/701/study-description" TargetMode="External"/><Relationship Id="rId256" Type="http://schemas.openxmlformats.org/officeDocument/2006/relationships/hyperlink" Target="https://colaboracion.dnp.gov.co/CDT/ModernizacionEstado/EiP/Indice_de_capacidades_para_la_innovacion_publica_ICIP_2021.pdf" TargetMode="External"/><Relationship Id="rId277" Type="http://schemas.openxmlformats.org/officeDocument/2006/relationships/hyperlink" Target="https://apoyoescolar.educacionbogota.edu.co/apoyo_escolar/login.jsp" TargetMode="External"/><Relationship Id="rId298" Type="http://schemas.openxmlformats.org/officeDocument/2006/relationships/hyperlink" Target="https://www.sdp.gov.co/sites/default/files/108_-_segregacion_residencial_socieconomica_srs_-_final.pdf" TargetMode="External"/><Relationship Id="rId116" Type="http://schemas.openxmlformats.org/officeDocument/2006/relationships/image" Target="media/image43.png"/><Relationship Id="rId137" Type="http://schemas.openxmlformats.org/officeDocument/2006/relationships/image" Target="media/image56.png"/><Relationship Id="rId158" Type="http://schemas.openxmlformats.org/officeDocument/2006/relationships/image" Target="media/image75.png"/><Relationship Id="rId302" Type="http://schemas.openxmlformats.org/officeDocument/2006/relationships/hyperlink" Target="https://www.sdp.gov.co/sites/default/files/capacidad_de_pago_2021.pdf" TargetMode="External"/><Relationship Id="rId20" Type="http://schemas.openxmlformats.org/officeDocument/2006/relationships/header" Target="header4.xml"/><Relationship Id="rId41" Type="http://schemas.openxmlformats.org/officeDocument/2006/relationships/image" Target="media/image7.jpeg"/><Relationship Id="rId62" Type="http://schemas.openxmlformats.org/officeDocument/2006/relationships/chart" Target="charts/chart16.xml"/><Relationship Id="rId83" Type="http://schemas.openxmlformats.org/officeDocument/2006/relationships/header" Target="header16.xml"/><Relationship Id="rId179" Type="http://schemas.openxmlformats.org/officeDocument/2006/relationships/image" Target="media/image91.png"/><Relationship Id="rId190" Type="http://schemas.openxmlformats.org/officeDocument/2006/relationships/image" Target="media/image99.png"/><Relationship Id="rId204" Type="http://schemas.openxmlformats.org/officeDocument/2006/relationships/footer" Target="footer27.xml"/><Relationship Id="rId225" Type="http://schemas.openxmlformats.org/officeDocument/2006/relationships/hyperlink" Target="https://www.ccce.org.co/noticias/los-micronegocios-en-colombia-2021-enfasis-en-el-comercio-electronico-y-la-economia-popular/" TargetMode="External"/><Relationship Id="rId246" Type="http://schemas.openxmlformats.org/officeDocument/2006/relationships/hyperlink" Target="https://www.dane.gov.co/index.php/estadisticas-por-tema/precios-y-costos/indice-de-precios-al-consumidor-ipc/ipc-informacion-tecnica" TargetMode="External"/><Relationship Id="rId267" Type="http://schemas.openxmlformats.org/officeDocument/2006/relationships/hyperlink" Target="https://www.microsoft.com/es-es/security/business/security-101/what-is-phishing" TargetMode="External"/><Relationship Id="rId288" Type="http://schemas.openxmlformats.org/officeDocument/2006/relationships/hyperlink" Target="https://www.sdp.gov.co/sites/default/files/diagnostico_politica_publica_de_juventud_0.pdf" TargetMode="External"/><Relationship Id="rId106" Type="http://schemas.openxmlformats.org/officeDocument/2006/relationships/image" Target="media/image36.png"/><Relationship Id="rId127" Type="http://schemas.openxmlformats.org/officeDocument/2006/relationships/image" Target="media/image48.png"/><Relationship Id="rId313" Type="http://schemas.openxmlformats.org/officeDocument/2006/relationships/hyperlink" Target="https://www.serviciodeempleo.gov.co/estudios-e-investigacion/oferta-y-demanda-laboral/anexo-estadistico-de-demanda-laboral-vacantes" TargetMode="External"/><Relationship Id="rId10" Type="http://schemas.openxmlformats.org/officeDocument/2006/relationships/image" Target="media/image3.jpeg"/><Relationship Id="rId31" Type="http://schemas.openxmlformats.org/officeDocument/2006/relationships/chart" Target="charts/chart3.xml"/><Relationship Id="rId52" Type="http://schemas.openxmlformats.org/officeDocument/2006/relationships/chart" Target="charts/chart10.xml"/><Relationship Id="rId73" Type="http://schemas.openxmlformats.org/officeDocument/2006/relationships/chart" Target="charts/chart18.xml"/><Relationship Id="rId94" Type="http://schemas.openxmlformats.org/officeDocument/2006/relationships/image" Target="media/image27.png"/><Relationship Id="rId148" Type="http://schemas.openxmlformats.org/officeDocument/2006/relationships/image" Target="media/image66.png"/><Relationship Id="rId169" Type="http://schemas.openxmlformats.org/officeDocument/2006/relationships/image" Target="media/image84.png"/><Relationship Id="rId4" Type="http://schemas.openxmlformats.org/officeDocument/2006/relationships/settings" Target="settings.xml"/><Relationship Id="rId180" Type="http://schemas.openxmlformats.org/officeDocument/2006/relationships/image" Target="media/image92.jpeg"/><Relationship Id="rId215" Type="http://schemas.openxmlformats.org/officeDocument/2006/relationships/hyperlink" Target="https://www.andemos.org/_files/ugd/d1a7a0_5fa60345bc314c318f129029fa63f50a.pdf" TargetMode="External"/><Relationship Id="rId236" Type="http://schemas.openxmlformats.org/officeDocument/2006/relationships/hyperlink" Target="https://www.dane.gov.co/index.php/estadisticas-por-tema/pobreza-y-condiciones-de-vida/pobreza-monetaria/pobreza-monetaria-historicos" TargetMode="External"/><Relationship Id="rId257" Type="http://schemas.openxmlformats.org/officeDocument/2006/relationships/hyperlink" Target="https://www.dnp.gov.co/Prensa_/Noticias/Paginas/colombia-esta-retrasada-en-los-objetivos-de-desarrollo-sostenible-ods-y-debe-fortalecer-su-implementacion-revela-informe.aspx" TargetMode="External"/><Relationship Id="rId278" Type="http://schemas.openxmlformats.org/officeDocument/2006/relationships/hyperlink" Target="https://misioneducadores.educacionbogota.edu.co/resultados" TargetMode="External"/><Relationship Id="rId303" Type="http://schemas.openxmlformats.org/officeDocument/2006/relationships/hyperlink" Target="https://www.sdp.gov.co/sites/default/files/decretos-conpes/conpes_dc_16_lgbti.pdf" TargetMode="External"/><Relationship Id="rId42" Type="http://schemas.openxmlformats.org/officeDocument/2006/relationships/image" Target="media/image8.png"/><Relationship Id="rId84" Type="http://schemas.openxmlformats.org/officeDocument/2006/relationships/footer" Target="footer16.xml"/><Relationship Id="rId138" Type="http://schemas.openxmlformats.org/officeDocument/2006/relationships/footer" Target="footer23.xml"/><Relationship Id="rId191" Type="http://schemas.openxmlformats.org/officeDocument/2006/relationships/image" Target="media/image100.png"/><Relationship Id="rId205" Type="http://schemas.openxmlformats.org/officeDocument/2006/relationships/footer" Target="footer28.xml"/><Relationship Id="rId247" Type="http://schemas.openxmlformats.org/officeDocument/2006/relationships/hyperlink" Target="https://www.sdp.gov.co/gestion-estudios-estrategicos/estudios-macro/encuesta-multiproposito/encuesta-multiproposito-2014" TargetMode="External"/><Relationship Id="rId107" Type="http://schemas.openxmlformats.org/officeDocument/2006/relationships/image" Target="media/image37.jpg"/><Relationship Id="rId289" Type="http://schemas.openxmlformats.org/officeDocument/2006/relationships/hyperlink" Target="https://www.sdp.gov.co/sites/default/files/diagnostico_politica_publica_de_juventud_0.pdf" TargetMode="External"/><Relationship Id="rId11" Type="http://schemas.openxmlformats.org/officeDocument/2006/relationships/header" Target="header1.xml"/><Relationship Id="rId53" Type="http://schemas.openxmlformats.org/officeDocument/2006/relationships/chart" Target="charts/chart11.xml"/><Relationship Id="rId149" Type="http://schemas.openxmlformats.org/officeDocument/2006/relationships/image" Target="media/image67.png"/><Relationship Id="rId314" Type="http://schemas.openxmlformats.org/officeDocument/2006/relationships/hyperlink" Target="https://www.veeduriadistrital.gov.co/.%20Obtenido%20de%20https:/drive.google.com/file/d/1XXZXfNTLMqpQOLbsbx7F5nR64ym2WLer/view" TargetMode="External"/><Relationship Id="rId95" Type="http://schemas.openxmlformats.org/officeDocument/2006/relationships/image" Target="media/image28.png"/><Relationship Id="rId160" Type="http://schemas.openxmlformats.org/officeDocument/2006/relationships/chart" Target="charts/chart29.xml"/><Relationship Id="rId216" Type="http://schemas.openxmlformats.org/officeDocument/2006/relationships/hyperlink" Target="https://agenciaatenea.gov.co/noticias/construccion-y-operacion-del-campus-de-ciencia-tecnologia-e-innovacion-de-bogota-region-es-una" TargetMode="External"/><Relationship Id="rId258" Type="http://schemas.openxmlformats.org/officeDocument/2006/relationships/hyperlink" Target="https://www.sdp.gov.co/content/politica-publica-de" TargetMode="External"/><Relationship Id="rId22" Type="http://schemas.openxmlformats.org/officeDocument/2006/relationships/header" Target="header5.xml"/><Relationship Id="rId64" Type="http://schemas.openxmlformats.org/officeDocument/2006/relationships/image" Target="media/image15.png"/><Relationship Id="rId118" Type="http://schemas.openxmlformats.org/officeDocument/2006/relationships/chart" Target="charts/chart26.xml"/><Relationship Id="rId171" Type="http://schemas.openxmlformats.org/officeDocument/2006/relationships/image" Target="media/image86.jpg"/><Relationship Id="rId227" Type="http://schemas.openxmlformats.org/officeDocument/2006/relationships/hyperlink" Target="https://www.dane.gov.co/index.php/estadisticas-por-tema/cuentas-nacionales/cuentas-nacionales-departamentales" TargetMode="External"/><Relationship Id="rId269" Type="http://schemas.openxmlformats.org/officeDocument/2006/relationships/hyperlink" Target="https://www.unodc.org/documents/crime-congress." TargetMode="External"/><Relationship Id="rId33" Type="http://schemas.openxmlformats.org/officeDocument/2006/relationships/header" Target="header9.xml"/><Relationship Id="rId129" Type="http://schemas.openxmlformats.org/officeDocument/2006/relationships/image" Target="media/image50.png"/><Relationship Id="rId280" Type="http://schemas.openxmlformats.org/officeDocument/2006/relationships/hyperlink" Target="https://www.educacionbogota.edu.co/portal_institucional/noticia/mas-de-250-colegios-distritales-estan-revolucionando-sus-aulas-con-el-enfoque-stem" TargetMode="External"/><Relationship Id="rId75" Type="http://schemas.openxmlformats.org/officeDocument/2006/relationships/chart" Target="charts/chart19.xml"/><Relationship Id="rId140" Type="http://schemas.openxmlformats.org/officeDocument/2006/relationships/image" Target="media/image58.png"/><Relationship Id="rId182" Type="http://schemas.openxmlformats.org/officeDocument/2006/relationships/image" Target="media/image94.png"/><Relationship Id="rId6" Type="http://schemas.openxmlformats.org/officeDocument/2006/relationships/footnotes" Target="footnotes.xml"/><Relationship Id="rId238" Type="http://schemas.openxmlformats.org/officeDocument/2006/relationships/hyperlink" Target="https://www.dane.gov.co/index.php/estadisticas-por-tema/mercado-laboral/micronegocios" TargetMode="External"/><Relationship Id="rId291" Type="http://schemas.openxmlformats.org/officeDocument/2006/relationships/hyperlink" Target="https://www.sdp.gov.co/sites/default/files/doc_conpes_dc_pp_piia_0.pdf" TargetMode="External"/><Relationship Id="rId305" Type="http://schemas.openxmlformats.org/officeDocument/2006/relationships/hyperlink" Target="https://www.sdp.gov.co/gestion-estudios-estrategicos/estudios-macro/encuesta-multiproposito" TargetMode="External"/><Relationship Id="rId44" Type="http://schemas.openxmlformats.org/officeDocument/2006/relationships/image" Target="media/image10.jpeg"/><Relationship Id="rId86" Type="http://schemas.openxmlformats.org/officeDocument/2006/relationships/footer" Target="footer17.xml"/><Relationship Id="rId151" Type="http://schemas.openxmlformats.org/officeDocument/2006/relationships/image" Target="media/image69.png"/><Relationship Id="rId193" Type="http://schemas.openxmlformats.org/officeDocument/2006/relationships/image" Target="media/image102.png"/><Relationship Id="rId207" Type="http://schemas.openxmlformats.org/officeDocument/2006/relationships/header" Target="header25.xml"/><Relationship Id="rId249" Type="http://schemas.openxmlformats.org/officeDocument/2006/relationships/hyperlink" Target="https://www.sdp.gov.co/gestion-estudios-estrategicos/estudios-macro/encuesta-multiproposito"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app.powerbi.com/" TargetMode="External"/><Relationship Id="rId2" Type="http://schemas.openxmlformats.org/officeDocument/2006/relationships/hyperlink" Target="https://secretariageneral.gov.co/sites/default/files/documentos_informacion_ppe/2022-09/documento_metodologico_igpd_22.08.2022.pdf" TargetMode="External"/><Relationship Id="rId1" Type="http://schemas.openxmlformats.org/officeDocument/2006/relationships/hyperlink" Target="https://secretariageneral.gov.co/sites/default/files/documentos_informacion_ppe/2022-09/documento_metodologico_igpd_22.08.2022.pdf" TargetMode="External"/><Relationship Id="rId5" Type="http://schemas.openxmlformats.org/officeDocument/2006/relationships/hyperlink" Target="https://app.powerbi.com/" TargetMode="External"/><Relationship Id="rId4" Type="http://schemas.openxmlformats.org/officeDocument/2006/relationships/hyperlink" Target="https://app.powerbi.co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quint\Desktop\SDP\PDD\Diagn&#243;stico%20General\Gr&#225;fica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dapd\AppData\Local\Microsoft\Windows\INetCache\IE\1IE7G88P\Gr&#225;ficas%20Mujer%5b1%5d.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C:\Users\dapd\AppData\Local\Microsoft\Windows\INetCache\IE\1IE7G88P\Gr&#225;ficas%20Mujer%5b1%5d.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dapd\AppData\Local\Microsoft\Windows\INetCache\IE\1IE7G88P\Gr&#225;ficas%20Mujer%5b1%5d.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dapd\AppData\Local\Microsoft\Windows\INetCache\IE\E45YM1WV\Graf%20violencia%20patrimonial%5b1%5d.xlsm"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dapd\AppData\Local\Microsoft\Windows\INetCache\IE\RUA03O05\Grafica%20SDC%5b1%5d.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dapd\AppData\Local\Microsoft\Windows\INetCache\IE\1IE7G88P\Gr&#225;ficas%20Mujer%5b1%5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uario\AppData\Local\Temp\Rar$DIa5992.37043\20220901em2021_cruces_etnia_sinCV.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uario\Downloads\Gra&#769;ficas%20_enfoques.xlsx" TargetMode="Externa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pguevara\Desktop\202312_Tabla_Ppal_Observatorio_Fiscal.xlsx" TargetMode="External"/><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dpguevara\Desktop\202312_Tabla_Ppal_Observatorio_Fiscal.xlsx"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shdgov-my.sharepoint.com/personal/dpguevara_shd_gov_co/Documents/Cuarentena/MFMP/2024-2034/Escenarios/Escenarios%20ajustados%20MGMP_PDD/Base%20ajustado/Documento%20bases%20PDD/Gastos%20hasta%202023.xlsx" TargetMode="External"/><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1.xml"/></Relationships>
</file>

<file path=word/charts/_rels/chart23.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oleObject" Target="file:///\\Users\diegoyepesflorez\Documents\eolica\01_activos\01_secretaria%20distrital%20planeacion\01_proyectos\2024\SDP\contingencia\Graficas_Objetivo_Estrategico_OE5_Luisa.xlsx" TargetMode="External"/><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Users\diegoyepesflorez\Documents\eolica\01_activos\01_secretaria%20distrital%20planeacion\01_proyectos\2024\SDP\contingencia\Graficas_Objetivo_Estrategico_OE5_Luisa.xlsx" TargetMode="External"/><Relationship Id="rId2" Type="http://schemas.microsoft.com/office/2011/relationships/chartColorStyle" Target="colors28.xml"/><Relationship Id="rId1" Type="http://schemas.microsoft.com/office/2011/relationships/chartStyle" Target="style28.xml"/></Relationships>
</file>

<file path=word/charts/_rels/chart31.xml.rels><?xml version="1.0" encoding="UTF-8" standalone="yes"?>
<Relationships xmlns="http://schemas.openxmlformats.org/package/2006/relationships"><Relationship Id="rId3" Type="http://schemas.openxmlformats.org/officeDocument/2006/relationships/oleObject" Target="file:///C:\Users\fycha\Desktop\base%20completa%20cruce%20pp%20y%20pdd%20abril%2022%207pm.xlsx" TargetMode="External"/><Relationship Id="rId2" Type="http://schemas.microsoft.com/office/2011/relationships/chartColorStyle" Target="colors29.xml"/><Relationship Id="rId1" Type="http://schemas.microsoft.com/office/2011/relationships/chartStyle" Target="style29.xml"/></Relationships>
</file>

<file path=word/charts/_rels/chart32.xml.rels><?xml version="1.0" encoding="UTF-8" standalone="yes"?>
<Relationships xmlns="http://schemas.openxmlformats.org/package/2006/relationships"><Relationship Id="rId2" Type="http://schemas.openxmlformats.org/officeDocument/2006/relationships/oleObject" Target="file:///\\Users\danielagarcia\Downloads\CONSOLIDADO%20INICIATIVAS%202024%20%20(1).xlsx" TargetMode="External"/><Relationship Id="rId1" Type="http://schemas.openxmlformats.org/officeDocument/2006/relationships/themeOverride" Target="../theme/themeOverride7.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quint\Desktop\SDP\PDD\Diagn&#243;stico%20General\Gr&#225;fica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quint\Desktop\SDP\PDD\Diagn&#243;stico%20General\Gr&#225;fica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Users\marioherrerra\Downloads\23042024_Gra&#769;ficas_Editables%20Diagno&#769;stico.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Users\marioherrerra\Downloads\240425_Gra&#769;ficas_Editables%20Diagno&#769;stico.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CNPV!$B$1</c:f>
              <c:strCache>
                <c:ptCount val="1"/>
                <c:pt idx="0">
                  <c:v>Población</c:v>
                </c:pt>
              </c:strCache>
            </c:strRef>
          </c:tx>
          <c:spPr>
            <a:ln w="28575" cap="rnd">
              <a:solidFill>
                <a:srgbClr val="C00000"/>
              </a:solidFill>
              <a:round/>
            </a:ln>
            <a:effectLst>
              <a:outerShdw blurRad="50800" dist="38100" dir="2700000" algn="tl" rotWithShape="0">
                <a:prstClr val="black">
                  <a:alpha val="40000"/>
                </a:prstClr>
              </a:outerShdw>
            </a:effectLst>
          </c:spPr>
          <c:marker>
            <c:symbol val="none"/>
          </c:marker>
          <c:dPt>
            <c:idx val="5"/>
            <c:marker>
              <c:symbol val="diamond"/>
              <c:size val="8"/>
              <c:spPr>
                <a:solidFill>
                  <a:srgbClr val="FF0000"/>
                </a:solidFill>
                <a:ln w="9525">
                  <a:solidFill>
                    <a:srgbClr val="C00000"/>
                  </a:solidFill>
                </a:ln>
                <a:effectLst>
                  <a:outerShdw blurRad="50800" dist="38100" dir="2700000" algn="tl" rotWithShape="0">
                    <a:prstClr val="black">
                      <a:alpha val="40000"/>
                    </a:prstClr>
                  </a:outerShdw>
                </a:effectLst>
              </c:spPr>
            </c:marker>
            <c:bubble3D val="0"/>
            <c:extLst>
              <c:ext xmlns:c16="http://schemas.microsoft.com/office/drawing/2014/chart" uri="{C3380CC4-5D6E-409C-BE32-E72D297353CC}">
                <c16:uniqueId val="{00000000-8279-49CF-A250-CC82BFD0E0EE}"/>
              </c:ext>
            </c:extLst>
          </c:dPt>
          <c:trendline>
            <c:spPr>
              <a:ln w="19050" cap="rnd">
                <a:solidFill>
                  <a:srgbClr val="EE0000"/>
                </a:solidFill>
                <a:prstDash val="sysDot"/>
              </a:ln>
              <a:effectLst/>
            </c:spPr>
            <c:trendlineType val="linear"/>
            <c:dispRSqr val="0"/>
            <c:dispEq val="0"/>
          </c:trendline>
          <c:cat>
            <c:numRef>
              <c:f>CNPV!$A$2:$A$18</c:f>
              <c:numCache>
                <c:formatCode>General</c:formatCode>
                <c:ptCount val="17"/>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numCache>
            </c:numRef>
          </c:cat>
          <c:val>
            <c:numRef>
              <c:f>CNPV!$B$2:$B$17</c:f>
              <c:numCache>
                <c:formatCode>#,##0</c:formatCode>
                <c:ptCount val="16"/>
                <c:pt idx="0">
                  <c:v>7732161</c:v>
                </c:pt>
                <c:pt idx="1">
                  <c:v>7823334</c:v>
                </c:pt>
                <c:pt idx="2">
                  <c:v>7873316</c:v>
                </c:pt>
                <c:pt idx="3">
                  <c:v>7907281</c:v>
                </c:pt>
                <c:pt idx="4">
                  <c:v>7929539</c:v>
                </c:pt>
                <c:pt idx="5">
                  <c:v>7937898</c:v>
                </c:pt>
                <c:pt idx="6">
                  <c:v>7935754</c:v>
                </c:pt>
                <c:pt idx="7">
                  <c:v>7927891</c:v>
                </c:pt>
                <c:pt idx="8">
                  <c:v>7916369</c:v>
                </c:pt>
                <c:pt idx="9">
                  <c:v>7902910</c:v>
                </c:pt>
                <c:pt idx="10">
                  <c:v>7888838</c:v>
                </c:pt>
                <c:pt idx="11">
                  <c:v>7874103</c:v>
                </c:pt>
                <c:pt idx="12">
                  <c:v>7858086</c:v>
                </c:pt>
                <c:pt idx="13">
                  <c:v>7840757</c:v>
                </c:pt>
                <c:pt idx="14">
                  <c:v>7822145</c:v>
                </c:pt>
                <c:pt idx="15">
                  <c:v>7802297</c:v>
                </c:pt>
              </c:numCache>
            </c:numRef>
          </c:val>
          <c:smooth val="0"/>
          <c:extLst>
            <c:ext xmlns:c16="http://schemas.microsoft.com/office/drawing/2014/chart" uri="{C3380CC4-5D6E-409C-BE32-E72D297353CC}">
              <c16:uniqueId val="{00000002-8279-49CF-A250-CC82BFD0E0EE}"/>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a:outerShdw blurRad="50800" dist="38100" dir="2700000" algn="tl" rotWithShape="0">
                <a:prstClr val="black">
                  <a:alpha val="40000"/>
                </a:prstClr>
              </a:outerShdw>
            </a:effectLst>
          </c:spPr>
        </c:dropLines>
        <c:smooth val="0"/>
        <c:axId val="1503259488"/>
        <c:axId val="1503265248"/>
      </c:lineChart>
      <c:catAx>
        <c:axId val="150325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03265248"/>
        <c:crosses val="autoZero"/>
        <c:auto val="1"/>
        <c:lblAlgn val="ctr"/>
        <c:lblOffset val="100"/>
        <c:noMultiLvlLbl val="0"/>
      </c:catAx>
      <c:valAx>
        <c:axId val="1503265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032594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Hoja1!$D$26:$D$35</c:f>
              <c:strCache>
                <c:ptCount val="10"/>
                <c:pt idx="0">
                  <c:v>Madrastra o padrastro</c:v>
                </c:pt>
                <c:pt idx="1">
                  <c:v>Hija(o), hijastra(o)</c:v>
                </c:pt>
                <c:pt idx="2">
                  <c:v>Amiga o amigo</c:v>
                </c:pt>
                <c:pt idx="3">
                  <c:v>Jefe(a)</c:v>
                </c:pt>
                <c:pt idx="4">
                  <c:v>Otra persona pariente suya</c:v>
                </c:pt>
                <c:pt idx="5">
                  <c:v>Madre o padre</c:v>
                </c:pt>
                <c:pt idx="6">
                  <c:v>Otra persona</c:v>
                </c:pt>
                <c:pt idx="7">
                  <c:v>Pareja actual</c:v>
                </c:pt>
                <c:pt idx="8">
                  <c:v>Ladrón o delincuente</c:v>
                </c:pt>
                <c:pt idx="9">
                  <c:v>Expareja</c:v>
                </c:pt>
              </c:strCache>
            </c:strRef>
          </c:cat>
          <c:val>
            <c:numRef>
              <c:f>Hoja1!$E$26:$E$35</c:f>
              <c:numCache>
                <c:formatCode>0%</c:formatCode>
                <c:ptCount val="10"/>
                <c:pt idx="0">
                  <c:v>0.01</c:v>
                </c:pt>
                <c:pt idx="1">
                  <c:v>0.04</c:v>
                </c:pt>
                <c:pt idx="2">
                  <c:v>0.04</c:v>
                </c:pt>
                <c:pt idx="3">
                  <c:v>0.06</c:v>
                </c:pt>
                <c:pt idx="4">
                  <c:v>0.08</c:v>
                </c:pt>
                <c:pt idx="5">
                  <c:v>0.14000000000000001</c:v>
                </c:pt>
                <c:pt idx="6">
                  <c:v>0.17</c:v>
                </c:pt>
                <c:pt idx="7">
                  <c:v>0.2</c:v>
                </c:pt>
                <c:pt idx="8">
                  <c:v>0.24</c:v>
                </c:pt>
                <c:pt idx="9">
                  <c:v>0.28000000000000003</c:v>
                </c:pt>
              </c:numCache>
            </c:numRef>
          </c:val>
          <c:extLst>
            <c:ext xmlns:c16="http://schemas.microsoft.com/office/drawing/2014/chart" uri="{C3380CC4-5D6E-409C-BE32-E72D297353CC}">
              <c16:uniqueId val="{00000000-7B4C-5342-9552-9144AEBFD03E}"/>
            </c:ext>
          </c:extLst>
        </c:ser>
        <c:dLbls>
          <c:showLegendKey val="0"/>
          <c:showVal val="1"/>
          <c:showCatName val="0"/>
          <c:showSerName val="0"/>
          <c:showPercent val="0"/>
          <c:showBubbleSize val="0"/>
        </c:dLbls>
        <c:gapWidth val="75"/>
        <c:axId val="460478671"/>
        <c:axId val="460489711"/>
      </c:barChart>
      <c:catAx>
        <c:axId val="460478671"/>
        <c:scaling>
          <c:orientation val="minMax"/>
        </c:scaling>
        <c:delete val="0"/>
        <c:axPos val="l"/>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460489711"/>
        <c:crosses val="autoZero"/>
        <c:auto val="1"/>
        <c:lblAlgn val="ctr"/>
        <c:lblOffset val="100"/>
        <c:noMultiLvlLbl val="0"/>
      </c:catAx>
      <c:valAx>
        <c:axId val="460489711"/>
        <c:scaling>
          <c:orientation val="minMax"/>
        </c:scaling>
        <c:delete val="1"/>
        <c:axPos val="b"/>
        <c:numFmt formatCode="0%" sourceLinked="1"/>
        <c:majorTickMark val="none"/>
        <c:minorTickMark val="none"/>
        <c:tickLblPos val="nextTo"/>
        <c:crossAx val="46047867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Hoja1!$D$67:$D$86</c:f>
              <c:strCache>
                <c:ptCount val="20"/>
                <c:pt idx="0">
                  <c:v>Engativá</c:v>
                </c:pt>
                <c:pt idx="1">
                  <c:v>Antonio Nariño</c:v>
                </c:pt>
                <c:pt idx="2">
                  <c:v>Rafael Uribe Uribe</c:v>
                </c:pt>
                <c:pt idx="3">
                  <c:v>Puente Aranda</c:v>
                </c:pt>
                <c:pt idx="4">
                  <c:v>Usme</c:v>
                </c:pt>
                <c:pt idx="5">
                  <c:v>Tunjuelito</c:v>
                </c:pt>
                <c:pt idx="6">
                  <c:v>San Cristóbal</c:v>
                </c:pt>
                <c:pt idx="7">
                  <c:v>Teusaquillo</c:v>
                </c:pt>
                <c:pt idx="8">
                  <c:v>Los Mártires</c:v>
                </c:pt>
                <c:pt idx="9">
                  <c:v>Santa Fe</c:v>
                </c:pt>
                <c:pt idx="10">
                  <c:v>La Candelaria</c:v>
                </c:pt>
                <c:pt idx="11">
                  <c:v>Chapinero</c:v>
                </c:pt>
                <c:pt idx="12">
                  <c:v>Suba</c:v>
                </c:pt>
                <c:pt idx="13">
                  <c:v>Kennedy</c:v>
                </c:pt>
                <c:pt idx="14">
                  <c:v>Usaquén</c:v>
                </c:pt>
                <c:pt idx="15">
                  <c:v>Bosa</c:v>
                </c:pt>
                <c:pt idx="16">
                  <c:v>Ciudad Bolívar</c:v>
                </c:pt>
                <c:pt idx="17">
                  <c:v>Fontibón</c:v>
                </c:pt>
                <c:pt idx="18">
                  <c:v>Barrios Unidos</c:v>
                </c:pt>
                <c:pt idx="19">
                  <c:v>Sumapaz</c:v>
                </c:pt>
              </c:strCache>
            </c:strRef>
          </c:cat>
          <c:val>
            <c:numRef>
              <c:f>Hoja1!$E$67:$E$86</c:f>
              <c:numCache>
                <c:formatCode>0%</c:formatCode>
                <c:ptCount val="20"/>
                <c:pt idx="0">
                  <c:v>0.21</c:v>
                </c:pt>
                <c:pt idx="1">
                  <c:v>0.26</c:v>
                </c:pt>
                <c:pt idx="2">
                  <c:v>0.28000000000000003</c:v>
                </c:pt>
                <c:pt idx="3">
                  <c:v>0.3</c:v>
                </c:pt>
                <c:pt idx="4">
                  <c:v>0.3</c:v>
                </c:pt>
                <c:pt idx="5">
                  <c:v>0.3</c:v>
                </c:pt>
                <c:pt idx="6">
                  <c:v>0.34</c:v>
                </c:pt>
                <c:pt idx="7">
                  <c:v>0.37</c:v>
                </c:pt>
                <c:pt idx="8">
                  <c:v>0.4</c:v>
                </c:pt>
                <c:pt idx="9">
                  <c:v>0.41</c:v>
                </c:pt>
                <c:pt idx="10">
                  <c:v>0.41</c:v>
                </c:pt>
                <c:pt idx="11">
                  <c:v>0.45</c:v>
                </c:pt>
                <c:pt idx="12">
                  <c:v>0.45</c:v>
                </c:pt>
                <c:pt idx="13">
                  <c:v>0.46</c:v>
                </c:pt>
                <c:pt idx="14">
                  <c:v>0.47</c:v>
                </c:pt>
                <c:pt idx="15">
                  <c:v>0.49</c:v>
                </c:pt>
                <c:pt idx="16">
                  <c:v>0.5</c:v>
                </c:pt>
                <c:pt idx="17">
                  <c:v>0.52</c:v>
                </c:pt>
                <c:pt idx="18">
                  <c:v>0.63</c:v>
                </c:pt>
                <c:pt idx="19">
                  <c:v>0.75</c:v>
                </c:pt>
              </c:numCache>
            </c:numRef>
          </c:val>
          <c:extLst>
            <c:ext xmlns:c16="http://schemas.microsoft.com/office/drawing/2014/chart" uri="{C3380CC4-5D6E-409C-BE32-E72D297353CC}">
              <c16:uniqueId val="{00000000-6028-CF45-B296-C6846115B4C0}"/>
            </c:ext>
          </c:extLst>
        </c:ser>
        <c:dLbls>
          <c:showLegendKey val="0"/>
          <c:showVal val="1"/>
          <c:showCatName val="0"/>
          <c:showSerName val="0"/>
          <c:showPercent val="0"/>
          <c:showBubbleSize val="0"/>
        </c:dLbls>
        <c:gapWidth val="75"/>
        <c:axId val="119502527"/>
        <c:axId val="119501087"/>
      </c:barChart>
      <c:catAx>
        <c:axId val="1195025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19501087"/>
        <c:crosses val="autoZero"/>
        <c:auto val="1"/>
        <c:lblAlgn val="ctr"/>
        <c:lblOffset val="100"/>
        <c:noMultiLvlLbl val="0"/>
      </c:catAx>
      <c:valAx>
        <c:axId val="119501087"/>
        <c:scaling>
          <c:orientation val="minMax"/>
        </c:scaling>
        <c:delete val="1"/>
        <c:axPos val="b"/>
        <c:numFmt formatCode="0%" sourceLinked="1"/>
        <c:majorTickMark val="none"/>
        <c:minorTickMark val="none"/>
        <c:tickLblPos val="nextTo"/>
        <c:crossAx val="1195025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Hoja1!$D$43:$D$55</c:f>
              <c:strCache>
                <c:ptCount val="13"/>
                <c:pt idx="0">
                  <c:v>Otro</c:v>
                </c:pt>
                <c:pt idx="1">
                  <c:v>Llamada teléfonica</c:v>
                </c:pt>
                <c:pt idx="2">
                  <c:v>Centro médico</c:v>
                </c:pt>
                <c:pt idx="3">
                  <c:v>Gimnasio</c:v>
                </c:pt>
                <c:pt idx="4">
                  <c:v>Institución educativa</c:v>
                </c:pt>
                <c:pt idx="5">
                  <c:v>Su casa</c:v>
                </c:pt>
                <c:pt idx="6">
                  <c:v>Mercado o almacén</c:v>
                </c:pt>
                <c:pt idx="7">
                  <c:v>Reunión social</c:v>
                </c:pt>
                <c:pt idx="8">
                  <c:v>Trabajo</c:v>
                </c:pt>
                <c:pt idx="9">
                  <c:v>Bar, discoteca o cantina</c:v>
                </c:pt>
                <c:pt idx="10">
                  <c:v>Internet</c:v>
                </c:pt>
                <c:pt idx="11">
                  <c:v>Transporte público</c:v>
                </c:pt>
                <c:pt idx="12">
                  <c:v>Calle</c:v>
                </c:pt>
              </c:strCache>
            </c:strRef>
          </c:cat>
          <c:val>
            <c:numRef>
              <c:f>Hoja1!$E$43:$E$55</c:f>
              <c:numCache>
                <c:formatCode>0%</c:formatCode>
                <c:ptCount val="13"/>
                <c:pt idx="0">
                  <c:v>0</c:v>
                </c:pt>
                <c:pt idx="1">
                  <c:v>0</c:v>
                </c:pt>
                <c:pt idx="2">
                  <c:v>0</c:v>
                </c:pt>
                <c:pt idx="3">
                  <c:v>0</c:v>
                </c:pt>
                <c:pt idx="4">
                  <c:v>0.02</c:v>
                </c:pt>
                <c:pt idx="5">
                  <c:v>0.04</c:v>
                </c:pt>
                <c:pt idx="6">
                  <c:v>0.04</c:v>
                </c:pt>
                <c:pt idx="7">
                  <c:v>0.05</c:v>
                </c:pt>
                <c:pt idx="8">
                  <c:v>0.08</c:v>
                </c:pt>
                <c:pt idx="9">
                  <c:v>0.09</c:v>
                </c:pt>
                <c:pt idx="10">
                  <c:v>0.26</c:v>
                </c:pt>
                <c:pt idx="11">
                  <c:v>0.56000000000000005</c:v>
                </c:pt>
                <c:pt idx="12">
                  <c:v>0.64</c:v>
                </c:pt>
              </c:numCache>
            </c:numRef>
          </c:val>
          <c:extLst>
            <c:ext xmlns:c16="http://schemas.microsoft.com/office/drawing/2014/chart" uri="{C3380CC4-5D6E-409C-BE32-E72D297353CC}">
              <c16:uniqueId val="{00000000-841D-5F43-8923-F38F39A3617C}"/>
            </c:ext>
          </c:extLst>
        </c:ser>
        <c:dLbls>
          <c:showLegendKey val="0"/>
          <c:showVal val="1"/>
          <c:showCatName val="0"/>
          <c:showSerName val="0"/>
          <c:showPercent val="0"/>
          <c:showBubbleSize val="0"/>
        </c:dLbls>
        <c:gapWidth val="75"/>
        <c:axId val="460493071"/>
        <c:axId val="460479631"/>
      </c:barChart>
      <c:catAx>
        <c:axId val="46049307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460479631"/>
        <c:crosses val="autoZero"/>
        <c:auto val="1"/>
        <c:lblAlgn val="ctr"/>
        <c:lblOffset val="100"/>
        <c:noMultiLvlLbl val="0"/>
      </c:catAx>
      <c:valAx>
        <c:axId val="460479631"/>
        <c:scaling>
          <c:orientation val="minMax"/>
        </c:scaling>
        <c:delete val="1"/>
        <c:axPos val="b"/>
        <c:numFmt formatCode="0%" sourceLinked="1"/>
        <c:majorTickMark val="none"/>
        <c:minorTickMark val="none"/>
        <c:tickLblPos val="nextTo"/>
        <c:crossAx val="46049307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630331753554503E-2"/>
          <c:y val="6.0588354057552758E-2"/>
          <c:w val="0.92151658767772515"/>
          <c:h val="0.78505243405660263"/>
        </c:manualLayout>
      </c:layout>
      <c:barChart>
        <c:barDir val="col"/>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Hoja2!$A$2:$A$10</c:f>
              <c:strCache>
                <c:ptCount val="9"/>
                <c:pt idx="0">
                  <c:v>Madre o Padre</c:v>
                </c:pt>
                <c:pt idx="1">
                  <c:v>Madrastra o Padrastro</c:v>
                </c:pt>
                <c:pt idx="2">
                  <c:v>Hija o hijastro</c:v>
                </c:pt>
                <c:pt idx="3">
                  <c:v>Amigo o Amiga</c:v>
                </c:pt>
                <c:pt idx="4">
                  <c:v>Pareja actual</c:v>
                </c:pt>
                <c:pt idx="5">
                  <c:v>Expareja</c:v>
                </c:pt>
                <c:pt idx="6">
                  <c:v>Otra persona pariente suya</c:v>
                </c:pt>
                <c:pt idx="7">
                  <c:v>Jefe</c:v>
                </c:pt>
                <c:pt idx="8">
                  <c:v>Otra persona pariente suya</c:v>
                </c:pt>
              </c:strCache>
            </c:strRef>
          </c:cat>
          <c:val>
            <c:numRef>
              <c:f>Hoja2!$B$2:$B$10</c:f>
              <c:numCache>
                <c:formatCode>0%</c:formatCode>
                <c:ptCount val="9"/>
                <c:pt idx="0">
                  <c:v>0.08</c:v>
                </c:pt>
                <c:pt idx="1">
                  <c:v>0</c:v>
                </c:pt>
                <c:pt idx="2">
                  <c:v>0.1</c:v>
                </c:pt>
                <c:pt idx="3">
                  <c:v>0</c:v>
                </c:pt>
                <c:pt idx="4">
                  <c:v>0.41</c:v>
                </c:pt>
                <c:pt idx="5">
                  <c:v>0.35</c:v>
                </c:pt>
                <c:pt idx="6">
                  <c:v>0.01</c:v>
                </c:pt>
                <c:pt idx="7">
                  <c:v>0.01</c:v>
                </c:pt>
                <c:pt idx="8">
                  <c:v>0.05</c:v>
                </c:pt>
              </c:numCache>
            </c:numRef>
          </c:val>
          <c:extLst>
            <c:ext xmlns:c16="http://schemas.microsoft.com/office/drawing/2014/chart" uri="{C3380CC4-5D6E-409C-BE32-E72D297353CC}">
              <c16:uniqueId val="{00000000-61B6-AE49-90CE-106C3F312C9A}"/>
            </c:ext>
          </c:extLst>
        </c:ser>
        <c:dLbls>
          <c:dLblPos val="outEnd"/>
          <c:showLegendKey val="0"/>
          <c:showVal val="1"/>
          <c:showCatName val="0"/>
          <c:showSerName val="0"/>
          <c:showPercent val="0"/>
          <c:showBubbleSize val="0"/>
        </c:dLbls>
        <c:gapWidth val="219"/>
        <c:overlap val="-27"/>
        <c:axId val="2114600847"/>
        <c:axId val="1541798879"/>
      </c:barChart>
      <c:catAx>
        <c:axId val="2114600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crossAx val="1541798879"/>
        <c:crosses val="autoZero"/>
        <c:auto val="1"/>
        <c:lblAlgn val="ctr"/>
        <c:lblOffset val="100"/>
        <c:noMultiLvlLbl val="0"/>
      </c:catAx>
      <c:valAx>
        <c:axId val="15417988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21146008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ysClr val="window" lastClr="FFFFFF"/>
    </a:solidFill>
    <a:ln w="9525" cap="flat" cmpd="sng" algn="ctr">
      <a:noFill/>
      <a:round/>
    </a:ln>
    <a:effectLst/>
  </c:spPr>
  <c:txPr>
    <a:bodyPr/>
    <a:lstStyle/>
    <a:p>
      <a:pPr>
        <a:defRPr/>
      </a:pPr>
      <a:endParaRPr lang="es-CO"/>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C00000"/>
            </a:solidFill>
            <a:ln>
              <a:noFill/>
            </a:ln>
            <a:effectLst/>
          </c:spPr>
          <c:invertIfNegative val="0"/>
          <c:cat>
            <c:strRef>
              <c:f>Hoja1!$H$6:$H$26</c:f>
              <c:strCache>
                <c:ptCount val="21"/>
                <c:pt idx="0">
                  <c:v>Sumapaz</c:v>
                </c:pt>
                <c:pt idx="1">
                  <c:v>Usme</c:v>
                </c:pt>
                <c:pt idx="2">
                  <c:v>Ciudad Bolivar</c:v>
                </c:pt>
                <c:pt idx="3">
                  <c:v>San Cristobal</c:v>
                </c:pt>
                <c:pt idx="4">
                  <c:v>Tunjuelito</c:v>
                </c:pt>
                <c:pt idx="5">
                  <c:v>Antonio Nariño</c:v>
                </c:pt>
                <c:pt idx="6">
                  <c:v>Rafael Uribe</c:v>
                </c:pt>
                <c:pt idx="7">
                  <c:v>Total </c:v>
                </c:pt>
                <c:pt idx="8">
                  <c:v>Usaquén</c:v>
                </c:pt>
                <c:pt idx="9">
                  <c:v>Suba</c:v>
                </c:pt>
                <c:pt idx="10">
                  <c:v>Bosa</c:v>
                </c:pt>
                <c:pt idx="11">
                  <c:v>Fontibon</c:v>
                </c:pt>
                <c:pt idx="12">
                  <c:v>Santa fe</c:v>
                </c:pt>
                <c:pt idx="13">
                  <c:v>Kennedy</c:v>
                </c:pt>
                <c:pt idx="14">
                  <c:v>Puente Aranda</c:v>
                </c:pt>
                <c:pt idx="15">
                  <c:v>Engativa</c:v>
                </c:pt>
                <c:pt idx="16">
                  <c:v>Barrios Unidos</c:v>
                </c:pt>
                <c:pt idx="17">
                  <c:v>Los mártires</c:v>
                </c:pt>
                <c:pt idx="18">
                  <c:v>Lan Candelaria</c:v>
                </c:pt>
                <c:pt idx="19">
                  <c:v>Chapinero</c:v>
                </c:pt>
                <c:pt idx="20">
                  <c:v>Teusaquillo</c:v>
                </c:pt>
              </c:strCache>
            </c:strRef>
          </c:cat>
          <c:val>
            <c:numRef>
              <c:f>Hoja1!$I$6:$I$26</c:f>
              <c:numCache>
                <c:formatCode>General</c:formatCode>
                <c:ptCount val="21"/>
                <c:pt idx="0">
                  <c:v>0.54</c:v>
                </c:pt>
                <c:pt idx="1">
                  <c:v>0.48</c:v>
                </c:pt>
                <c:pt idx="2">
                  <c:v>0.46</c:v>
                </c:pt>
                <c:pt idx="3">
                  <c:v>0.45</c:v>
                </c:pt>
                <c:pt idx="4">
                  <c:v>0.44</c:v>
                </c:pt>
                <c:pt idx="5">
                  <c:v>0.43</c:v>
                </c:pt>
                <c:pt idx="6">
                  <c:v>0.43</c:v>
                </c:pt>
                <c:pt idx="7">
                  <c:v>0.43</c:v>
                </c:pt>
                <c:pt idx="8">
                  <c:v>0.43</c:v>
                </c:pt>
                <c:pt idx="9">
                  <c:v>0.42</c:v>
                </c:pt>
                <c:pt idx="10">
                  <c:v>0.41</c:v>
                </c:pt>
                <c:pt idx="11">
                  <c:v>0.4</c:v>
                </c:pt>
                <c:pt idx="12">
                  <c:v>0.4</c:v>
                </c:pt>
                <c:pt idx="13">
                  <c:v>0.38</c:v>
                </c:pt>
                <c:pt idx="14">
                  <c:v>0.38</c:v>
                </c:pt>
                <c:pt idx="15">
                  <c:v>0.37</c:v>
                </c:pt>
                <c:pt idx="16">
                  <c:v>0.36</c:v>
                </c:pt>
                <c:pt idx="17">
                  <c:v>0.35</c:v>
                </c:pt>
                <c:pt idx="18">
                  <c:v>0.34</c:v>
                </c:pt>
                <c:pt idx="19">
                  <c:v>0.34</c:v>
                </c:pt>
                <c:pt idx="20">
                  <c:v>0.32</c:v>
                </c:pt>
              </c:numCache>
            </c:numRef>
          </c:val>
          <c:extLst>
            <c:ext xmlns:c16="http://schemas.microsoft.com/office/drawing/2014/chart" uri="{C3380CC4-5D6E-409C-BE32-E72D297353CC}">
              <c16:uniqueId val="{00000000-28F3-3C4C-BF9F-C08317AB3FD7}"/>
            </c:ext>
          </c:extLst>
        </c:ser>
        <c:dLbls>
          <c:showLegendKey val="0"/>
          <c:showVal val="0"/>
          <c:showCatName val="0"/>
          <c:showSerName val="0"/>
          <c:showPercent val="0"/>
          <c:showBubbleSize val="0"/>
        </c:dLbls>
        <c:gapWidth val="219"/>
        <c:overlap val="-27"/>
        <c:axId val="243617663"/>
        <c:axId val="243618911"/>
      </c:barChart>
      <c:catAx>
        <c:axId val="243617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243618911"/>
        <c:crosses val="autoZero"/>
        <c:auto val="1"/>
        <c:lblAlgn val="ctr"/>
        <c:lblOffset val="100"/>
        <c:noMultiLvlLbl val="0"/>
      </c:catAx>
      <c:valAx>
        <c:axId val="24361891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243617663"/>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Candara" panose="020E0502030303020204" pitchFamily="34" charset="0"/>
        </a:defRPr>
      </a:pPr>
      <a:endParaRPr lang="es-CO"/>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Hoja1!$D$7:$D$12</c:f>
              <c:strCache>
                <c:ptCount val="6"/>
                <c:pt idx="0">
                  <c:v>Comités Operativos Locales de Mujer y Género</c:v>
                </c:pt>
                <c:pt idx="1">
                  <c:v>Consejos Locales de Seguridad para las Mujeres</c:v>
                </c:pt>
                <c:pt idx="2">
                  <c:v>Comisión Intersectorial de Cuidado</c:v>
                </c:pt>
                <c:pt idx="3">
                  <c:v>Consejo Consultivo de Mujeres</c:v>
                </c:pt>
                <c:pt idx="4">
                  <c:v>Consejo Territorial de Planeación Distrital</c:v>
                </c:pt>
                <c:pt idx="5">
                  <c:v>Consejos Locales de Mujeres</c:v>
                </c:pt>
              </c:strCache>
            </c:strRef>
          </c:cat>
          <c:val>
            <c:numRef>
              <c:f>Hoja1!$E$7:$E$12</c:f>
              <c:numCache>
                <c:formatCode>0%</c:formatCode>
                <c:ptCount val="6"/>
                <c:pt idx="0">
                  <c:v>0.02</c:v>
                </c:pt>
                <c:pt idx="1">
                  <c:v>0.03</c:v>
                </c:pt>
                <c:pt idx="2">
                  <c:v>0.03</c:v>
                </c:pt>
                <c:pt idx="3">
                  <c:v>0.04</c:v>
                </c:pt>
                <c:pt idx="4">
                  <c:v>0.05</c:v>
                </c:pt>
                <c:pt idx="5">
                  <c:v>0.06</c:v>
                </c:pt>
              </c:numCache>
            </c:numRef>
          </c:val>
          <c:extLst>
            <c:ext xmlns:c16="http://schemas.microsoft.com/office/drawing/2014/chart" uri="{C3380CC4-5D6E-409C-BE32-E72D297353CC}">
              <c16:uniqueId val="{00000000-B9B2-0244-A81C-7595A67A06B5}"/>
            </c:ext>
          </c:extLst>
        </c:ser>
        <c:dLbls>
          <c:showLegendKey val="0"/>
          <c:showVal val="1"/>
          <c:showCatName val="0"/>
          <c:showSerName val="0"/>
          <c:showPercent val="0"/>
          <c:showBubbleSize val="0"/>
        </c:dLbls>
        <c:gapWidth val="75"/>
        <c:axId val="163179855"/>
        <c:axId val="163181775"/>
      </c:barChart>
      <c:catAx>
        <c:axId val="1631798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63181775"/>
        <c:crosses val="autoZero"/>
        <c:auto val="1"/>
        <c:lblAlgn val="ctr"/>
        <c:lblOffset val="100"/>
        <c:noMultiLvlLbl val="0"/>
      </c:catAx>
      <c:valAx>
        <c:axId val="163181775"/>
        <c:scaling>
          <c:orientation val="minMax"/>
        </c:scaling>
        <c:delete val="1"/>
        <c:axPos val="b"/>
        <c:numFmt formatCode="0%" sourceLinked="1"/>
        <c:majorTickMark val="none"/>
        <c:minorTickMark val="none"/>
        <c:tickLblPos val="nextTo"/>
        <c:crossAx val="16317985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pPr>
      <a:endParaRPr lang="es-CO"/>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CO"/>
              <a:t>Actualmente las condiciones de vida en su hogar son</a:t>
            </a:r>
          </a:p>
        </c:rich>
      </c:tx>
      <c:layout>
        <c:manualLayout>
          <c:xMode val="edge"/>
          <c:yMode val="edge"/>
          <c:x val="0.25779124028681699"/>
          <c:y val="2.7624309392265192E-2"/>
        </c:manualLayout>
      </c:layout>
      <c:overlay val="0"/>
    </c:title>
    <c:autoTitleDeleted val="0"/>
    <c:plotArea>
      <c:layout>
        <c:manualLayout>
          <c:layoutTarget val="inner"/>
          <c:xMode val="edge"/>
          <c:yMode val="edge"/>
          <c:x val="2.8630921395106715E-2"/>
          <c:y val="0.2549384764733702"/>
          <c:w val="0.9427381572097866"/>
          <c:h val="0.55482563494104864"/>
        </c:manualLayout>
      </c:layout>
      <c:barChart>
        <c:barDir val="col"/>
        <c:grouping val="clustered"/>
        <c:varyColors val="0"/>
        <c:ser>
          <c:idx val="0"/>
          <c:order val="0"/>
          <c:tx>
            <c:strRef>
              <c:f>'[20220901em2021_cruces_etnia_sinCV.xlsx]Tablas 857'!$C$17</c:f>
              <c:strCache>
                <c:ptCount val="1"/>
                <c:pt idx="0">
                  <c:v>1.Indígena</c:v>
                </c:pt>
              </c:strCache>
            </c:strRef>
          </c:tx>
          <c:spPr>
            <a:solidFill>
              <a:schemeClr val="tx1">
                <a:lumMod val="65000"/>
                <a:lumOff val="35000"/>
              </a:schemeClr>
            </a:solidFill>
            <a:effectLst/>
          </c:spPr>
          <c:invertIfNegative val="0"/>
          <c:dLbls>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857'!$D$17:$M$17</c:f>
              <c:numCache>
                <c:formatCode>0.0</c:formatCode>
                <c:ptCount val="5"/>
                <c:pt idx="0">
                  <c:v>17.594392617485301</c:v>
                </c:pt>
                <c:pt idx="1">
                  <c:v>55.527377058485101</c:v>
                </c:pt>
                <c:pt idx="2">
                  <c:v>23.4834505319991</c:v>
                </c:pt>
                <c:pt idx="3">
                  <c:v>2.4574730276001699</c:v>
                </c:pt>
                <c:pt idx="4">
                  <c:v>0.93730676443031002</c:v>
                </c:pt>
              </c:numCache>
            </c:numRef>
          </c:val>
          <c:extLst>
            <c:ext xmlns:c16="http://schemas.microsoft.com/office/drawing/2014/chart" uri="{C3380CC4-5D6E-409C-BE32-E72D297353CC}">
              <c16:uniqueId val="{00000000-8126-9E42-A49C-A01351D4842D}"/>
            </c:ext>
          </c:extLst>
        </c:ser>
        <c:ser>
          <c:idx val="1"/>
          <c:order val="1"/>
          <c:tx>
            <c:strRef>
              <c:f>'[20220901em2021_cruces_etnia_sinCV.xlsx]Tablas 857'!$C$18</c:f>
              <c:strCache>
                <c:ptCount val="1"/>
                <c:pt idx="0">
                  <c:v>2.Gitano (ROM)</c:v>
                </c:pt>
              </c:strCache>
            </c:strRef>
          </c:tx>
          <c:spPr>
            <a:solidFill>
              <a:srgbClr val="C00000"/>
            </a:solidFill>
            <a:effectLst/>
          </c:spPr>
          <c:invertIfNegative val="0"/>
          <c:dLbls>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857'!$D$18:$M$18</c:f>
              <c:numCache>
                <c:formatCode>0.0</c:formatCode>
                <c:ptCount val="5"/>
                <c:pt idx="0">
                  <c:v>6.8999390813737502</c:v>
                </c:pt>
                <c:pt idx="1">
                  <c:v>35.479484237476697</c:v>
                </c:pt>
                <c:pt idx="2">
                  <c:v>57.620576681149501</c:v>
                </c:pt>
                <c:pt idx="3">
                  <c:v>0</c:v>
                </c:pt>
                <c:pt idx="4">
                  <c:v>0</c:v>
                </c:pt>
              </c:numCache>
            </c:numRef>
          </c:val>
          <c:extLst>
            <c:ext xmlns:c16="http://schemas.microsoft.com/office/drawing/2014/chart" uri="{C3380CC4-5D6E-409C-BE32-E72D297353CC}">
              <c16:uniqueId val="{00000001-8126-9E42-A49C-A01351D4842D}"/>
            </c:ext>
          </c:extLst>
        </c:ser>
        <c:ser>
          <c:idx val="2"/>
          <c:order val="2"/>
          <c:tx>
            <c:strRef>
              <c:f>'[20220901em2021_cruces_etnia_sinCV.xlsx]Tablas 857'!$C$19</c:f>
              <c:strCache>
                <c:ptCount val="1"/>
                <c:pt idx="0">
                  <c:v>3.Negro, Afro, Raizal o Palenquero</c:v>
                </c:pt>
              </c:strCache>
            </c:strRef>
          </c:tx>
          <c:spPr>
            <a:effectLst/>
          </c:spPr>
          <c:invertIfNegative val="0"/>
          <c:dLbls>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857'!$D$19:$M$19</c:f>
              <c:numCache>
                <c:formatCode>0.0</c:formatCode>
                <c:ptCount val="5"/>
                <c:pt idx="0">
                  <c:v>5.63091317219145</c:v>
                </c:pt>
                <c:pt idx="1">
                  <c:v>54.251560019141998</c:v>
                </c:pt>
                <c:pt idx="2">
                  <c:v>33.978875935981101</c:v>
                </c:pt>
                <c:pt idx="3">
                  <c:v>4.8731785576112499</c:v>
                </c:pt>
                <c:pt idx="4">
                  <c:v>1.26547231507417</c:v>
                </c:pt>
              </c:numCache>
            </c:numRef>
          </c:val>
          <c:extLst>
            <c:ext xmlns:c16="http://schemas.microsoft.com/office/drawing/2014/chart" uri="{C3380CC4-5D6E-409C-BE32-E72D297353CC}">
              <c16:uniqueId val="{00000002-8126-9E42-A49C-A01351D4842D}"/>
            </c:ext>
          </c:extLst>
        </c:ser>
        <c:ser>
          <c:idx val="3"/>
          <c:order val="3"/>
          <c:tx>
            <c:strRef>
              <c:f>'[20220901em2021_cruces_etnia_sinCV.xlsx]Tablas 857'!$C$20</c:f>
              <c:strCache>
                <c:ptCount val="1"/>
                <c:pt idx="0">
                  <c:v>4.Ninguno</c:v>
                </c:pt>
              </c:strCache>
            </c:strRef>
          </c:tx>
          <c:spPr>
            <a:effectLst/>
          </c:spPr>
          <c:invertIfNegative val="0"/>
          <c:dLbls>
            <c:spPr>
              <a:noFill/>
              <a:ln>
                <a:noFill/>
              </a:ln>
              <a:effectLst/>
            </c:spPr>
            <c:txPr>
              <a:bodyPr/>
              <a:lstStyle/>
              <a:p>
                <a:pPr>
                  <a:defRPr b="1"/>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857'!$D$20:$M$20</c:f>
              <c:numCache>
                <c:formatCode>0.0</c:formatCode>
                <c:ptCount val="5"/>
                <c:pt idx="0">
                  <c:v>11.5145707788854</c:v>
                </c:pt>
                <c:pt idx="1">
                  <c:v>67.028364291544904</c:v>
                </c:pt>
                <c:pt idx="2">
                  <c:v>19.124783373704101</c:v>
                </c:pt>
                <c:pt idx="3">
                  <c:v>2.0536095923515201</c:v>
                </c:pt>
                <c:pt idx="4">
                  <c:v>0.27867196351404899</c:v>
                </c:pt>
              </c:numCache>
            </c:numRef>
          </c:val>
          <c:extLst>
            <c:ext xmlns:c16="http://schemas.microsoft.com/office/drawing/2014/chart" uri="{C3380CC4-5D6E-409C-BE32-E72D297353CC}">
              <c16:uniqueId val="{00000003-8126-9E42-A49C-A01351D4842D}"/>
            </c:ext>
          </c:extLst>
        </c:ser>
        <c:dLbls>
          <c:showLegendKey val="0"/>
          <c:showVal val="1"/>
          <c:showCatName val="0"/>
          <c:showSerName val="0"/>
          <c:showPercent val="0"/>
          <c:showBubbleSize val="0"/>
        </c:dLbls>
        <c:gapWidth val="150"/>
        <c:overlap val="-25"/>
        <c:axId val="102476416"/>
        <c:axId val="102478208"/>
      </c:barChart>
      <c:catAx>
        <c:axId val="102476416"/>
        <c:scaling>
          <c:orientation val="minMax"/>
        </c:scaling>
        <c:delete val="0"/>
        <c:axPos val="b"/>
        <c:numFmt formatCode="General" sourceLinked="0"/>
        <c:majorTickMark val="none"/>
        <c:minorTickMark val="none"/>
        <c:tickLblPos val="nextTo"/>
        <c:crossAx val="102478208"/>
        <c:crosses val="autoZero"/>
        <c:auto val="1"/>
        <c:lblAlgn val="ctr"/>
        <c:lblOffset val="100"/>
        <c:noMultiLvlLbl val="0"/>
      </c:catAx>
      <c:valAx>
        <c:axId val="102478208"/>
        <c:scaling>
          <c:orientation val="minMax"/>
        </c:scaling>
        <c:delete val="1"/>
        <c:axPos val="l"/>
        <c:numFmt formatCode="0.0" sourceLinked="1"/>
        <c:majorTickMark val="none"/>
        <c:minorTickMark val="none"/>
        <c:tickLblPos val="nextTo"/>
        <c:crossAx val="102476416"/>
        <c:crosses val="autoZero"/>
        <c:crossBetween val="between"/>
      </c:valAx>
    </c:plotArea>
    <c:legend>
      <c:legendPos val="t"/>
      <c:layout>
        <c:manualLayout>
          <c:xMode val="edge"/>
          <c:yMode val="edge"/>
          <c:x val="0.13888015147909402"/>
          <c:y val="0.11272277084149011"/>
          <c:w val="0.71785932310366596"/>
          <c:h val="6.83565568701818E-2"/>
        </c:manualLayout>
      </c:layout>
      <c:overlay val="0"/>
    </c:legend>
    <c:plotVisOnly val="1"/>
    <c:dispBlanksAs val="gap"/>
    <c:showDLblsOverMax val="0"/>
  </c:chart>
  <c:spPr>
    <a:noFill/>
    <a:ln>
      <a:noFill/>
    </a:ln>
  </c:spPr>
  <c:txPr>
    <a:bodyPr/>
    <a:lstStyle/>
    <a:p>
      <a:pPr>
        <a:defRPr sz="800">
          <a:latin typeface="Candara" panose="020E0502030303020204" pitchFamily="34" charset="0"/>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105617057768774"/>
          <c:y val="0.12845870041438617"/>
          <c:w val="0.59459986746706162"/>
          <c:h val="0.78758876070723716"/>
        </c:manualLayout>
      </c:layout>
      <c:barChart>
        <c:barDir val="bar"/>
        <c:grouping val="clustered"/>
        <c:varyColors val="0"/>
        <c:ser>
          <c:idx val="0"/>
          <c:order val="0"/>
          <c:tx>
            <c:strRef>
              <c:f>'C:\Users\paulita\Downloads\[graficas (4).xlsx]figura_14'!$B$1</c:f>
              <c:strCache>
                <c:ptCount val="1"/>
                <c:pt idx="0">
                  <c:v>Diferencia p.p</c:v>
                </c:pt>
              </c:strCache>
            </c:strRef>
          </c:tx>
          <c:spPr>
            <a:solidFill>
              <a:srgbClr val="C00000"/>
            </a:solidFill>
            <a:ln>
              <a:noFill/>
            </a:ln>
            <a:effectLst/>
          </c:spPr>
          <c:invertIfNegative val="0"/>
          <c:dLbls>
            <c:dLbl>
              <c:idx val="3"/>
              <c:layout>
                <c:manualLayout>
                  <c:x val="-5.192107995846313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B-3446-9F9F-01EDD09E3DF0}"/>
                </c:ext>
              </c:extLst>
            </c:dLbl>
            <c:spPr>
              <a:noFill/>
              <a:ln>
                <a:noFill/>
              </a:ln>
              <a:effectLst/>
            </c:spPr>
            <c:txPr>
              <a:bodyPr rot="0" vert="horz"/>
              <a:lstStyle/>
              <a:p>
                <a:pPr>
                  <a:defRPr>
                    <a:solidFill>
                      <a:srgbClr val="C00000"/>
                    </a:solidFill>
                    <a:latin typeface="Candara" panose="020E0502030303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'C:\Users\paulita\Downloads\[graficas (4).xlsx]figura_14'!$A$2:$A$9</c:f>
              <c:strCache>
                <c:ptCount val="8"/>
                <c:pt idx="0">
                  <c:v>Rezago escolar </c:v>
                </c:pt>
                <c:pt idx="1">
                  <c:v>Discriminación social </c:v>
                </c:pt>
                <c:pt idx="2">
                  <c:v>Inseguridad en la tenencia de la vivienda</c:v>
                </c:pt>
                <c:pt idx="3">
                  <c:v>Inseguridad alimntaria</c:v>
                </c:pt>
                <c:pt idx="4">
                  <c:v>Bajo logro educativo</c:v>
                </c:pt>
                <c:pt idx="5">
                  <c:v>Vivienda en zona de riesgo</c:v>
                </c:pt>
                <c:pt idx="6">
                  <c:v>Trabajo informal </c:v>
                </c:pt>
                <c:pt idx="7">
                  <c:v>Sin espacio público efectivo</c:v>
                </c:pt>
              </c:strCache>
            </c:strRef>
          </c:cat>
          <c:val>
            <c:numRef>
              <c:f>'C:\Users\paulita\Downloads\[graficas (4).xlsx]figura_14'!$B$2:$B$9</c:f>
              <c:numCache>
                <c:formatCode>General</c:formatCode>
                <c:ptCount val="8"/>
                <c:pt idx="0">
                  <c:v>9.8000000000000004E-2</c:v>
                </c:pt>
                <c:pt idx="1">
                  <c:v>9.9000000000000005E-2</c:v>
                </c:pt>
                <c:pt idx="2">
                  <c:v>9.9999999999999978E-2</c:v>
                </c:pt>
                <c:pt idx="3">
                  <c:v>0.10800000000000001</c:v>
                </c:pt>
                <c:pt idx="4">
                  <c:v>0.129</c:v>
                </c:pt>
                <c:pt idx="5">
                  <c:v>0.13900000000000001</c:v>
                </c:pt>
                <c:pt idx="6">
                  <c:v>0.14400000000000002</c:v>
                </c:pt>
                <c:pt idx="7">
                  <c:v>0.17599999999999999</c:v>
                </c:pt>
              </c:numCache>
            </c:numRef>
          </c:val>
          <c:extLst>
            <c:ext xmlns:c16="http://schemas.microsoft.com/office/drawing/2014/chart" uri="{C3380CC4-5D6E-409C-BE32-E72D297353CC}">
              <c16:uniqueId val="{00000001-B4AB-3446-9F9F-01EDD09E3DF0}"/>
            </c:ext>
          </c:extLst>
        </c:ser>
        <c:ser>
          <c:idx val="1"/>
          <c:order val="1"/>
          <c:tx>
            <c:strRef>
              <c:f>'C:\Users\paulita\Downloads\[graficas (4).xlsx]figura_14'!$C$1</c:f>
              <c:strCache>
                <c:ptCount val="1"/>
                <c:pt idx="0">
                  <c:v>No grupos étnicos</c:v>
                </c:pt>
              </c:strCache>
            </c:strRef>
          </c:tx>
          <c:spPr>
            <a:solidFill>
              <a:schemeClr val="tx1">
                <a:lumMod val="65000"/>
                <a:lumOff val="35000"/>
              </a:schemeClr>
            </a:solidFill>
            <a:ln>
              <a:noFill/>
            </a:ln>
            <a:effectLst/>
          </c:spPr>
          <c:invertIfNegative val="0"/>
          <c:dLbls>
            <c:spPr>
              <a:noFill/>
              <a:ln>
                <a:noFill/>
              </a:ln>
              <a:effectLst/>
            </c:spPr>
            <c:txPr>
              <a:bodyPr rot="0" vert="horz"/>
              <a:lstStyle/>
              <a:p>
                <a:pPr>
                  <a:defRPr>
                    <a:solidFill>
                      <a:schemeClr val="tx1">
                        <a:lumMod val="75000"/>
                        <a:lumOff val="25000"/>
                      </a:schemeClr>
                    </a:solidFill>
                    <a:latin typeface="Candara" panose="020E0502030303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'C:\Users\paulita\Downloads\[graficas (4).xlsx]figura_14'!$A$2:$A$9</c:f>
              <c:strCache>
                <c:ptCount val="8"/>
                <c:pt idx="0">
                  <c:v>Rezago escolar </c:v>
                </c:pt>
                <c:pt idx="1">
                  <c:v>Discriminación social </c:v>
                </c:pt>
                <c:pt idx="2">
                  <c:v>Inseguridad en la tenencia de la vivienda</c:v>
                </c:pt>
                <c:pt idx="3">
                  <c:v>Inseguridad alimntaria</c:v>
                </c:pt>
                <c:pt idx="4">
                  <c:v>Bajo logro educativo</c:v>
                </c:pt>
                <c:pt idx="5">
                  <c:v>Vivienda en zona de riesgo</c:v>
                </c:pt>
                <c:pt idx="6">
                  <c:v>Trabajo informal </c:v>
                </c:pt>
                <c:pt idx="7">
                  <c:v>Sin espacio público efectivo</c:v>
                </c:pt>
              </c:strCache>
            </c:strRef>
          </c:cat>
          <c:val>
            <c:numRef>
              <c:f>'C:\Users\paulita\Downloads\[graficas (4).xlsx]figura_14'!$C$2:$C$9</c:f>
              <c:numCache>
                <c:formatCode>General</c:formatCode>
                <c:ptCount val="8"/>
                <c:pt idx="0">
                  <c:v>0.14099999999999999</c:v>
                </c:pt>
                <c:pt idx="1">
                  <c:v>7.1999999999999995E-2</c:v>
                </c:pt>
                <c:pt idx="2">
                  <c:v>0.27800000000000002</c:v>
                </c:pt>
                <c:pt idx="3">
                  <c:v>0.15</c:v>
                </c:pt>
                <c:pt idx="4">
                  <c:v>0.245</c:v>
                </c:pt>
                <c:pt idx="5">
                  <c:v>0.17599999999999999</c:v>
                </c:pt>
                <c:pt idx="6">
                  <c:v>0.502</c:v>
                </c:pt>
                <c:pt idx="7">
                  <c:v>0.28499999999999998</c:v>
                </c:pt>
              </c:numCache>
            </c:numRef>
          </c:val>
          <c:extLst>
            <c:ext xmlns:c16="http://schemas.microsoft.com/office/drawing/2014/chart" uri="{C3380CC4-5D6E-409C-BE32-E72D297353CC}">
              <c16:uniqueId val="{00000002-B4AB-3446-9F9F-01EDD09E3DF0}"/>
            </c:ext>
          </c:extLst>
        </c:ser>
        <c:ser>
          <c:idx val="2"/>
          <c:order val="2"/>
          <c:tx>
            <c:strRef>
              <c:f>'C:\Users\paulita\Downloads\[graficas (4).xlsx]figura_14'!$D$1</c:f>
              <c:strCache>
                <c:ptCount val="1"/>
                <c:pt idx="0">
                  <c:v>Grupos étnicos</c:v>
                </c:pt>
              </c:strCache>
            </c:strRef>
          </c:tx>
          <c:spPr>
            <a:solidFill>
              <a:schemeClr val="accent4"/>
            </a:solidFill>
            <a:ln>
              <a:noFill/>
            </a:ln>
            <a:effectLst/>
          </c:spPr>
          <c:invertIfNegative val="0"/>
          <c:dLbls>
            <c:spPr>
              <a:noFill/>
              <a:ln>
                <a:noFill/>
              </a:ln>
              <a:effectLst/>
            </c:spPr>
            <c:txPr>
              <a:bodyPr rot="0" vert="horz"/>
              <a:lstStyle/>
              <a:p>
                <a:pPr>
                  <a:defRPr>
                    <a:solidFill>
                      <a:srgbClr val="FFC000"/>
                    </a:solidFill>
                    <a:latin typeface="Candara" panose="020E0502030303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'C:\Users\paulita\Downloads\[graficas (4).xlsx]figura_14'!$A$2:$A$9</c:f>
              <c:strCache>
                <c:ptCount val="8"/>
                <c:pt idx="0">
                  <c:v>Rezago escolar </c:v>
                </c:pt>
                <c:pt idx="1">
                  <c:v>Discriminación social </c:v>
                </c:pt>
                <c:pt idx="2">
                  <c:v>Inseguridad en la tenencia de la vivienda</c:v>
                </c:pt>
                <c:pt idx="3">
                  <c:v>Inseguridad alimntaria</c:v>
                </c:pt>
                <c:pt idx="4">
                  <c:v>Bajo logro educativo</c:v>
                </c:pt>
                <c:pt idx="5">
                  <c:v>Vivienda en zona de riesgo</c:v>
                </c:pt>
                <c:pt idx="6">
                  <c:v>Trabajo informal </c:v>
                </c:pt>
                <c:pt idx="7">
                  <c:v>Sin espacio público efectivo</c:v>
                </c:pt>
              </c:strCache>
            </c:strRef>
          </c:cat>
          <c:val>
            <c:numRef>
              <c:f>'C:\Users\paulita\Downloads\[graficas (4).xlsx]figura_14'!$D$2:$D$9</c:f>
              <c:numCache>
                <c:formatCode>General</c:formatCode>
                <c:ptCount val="8"/>
                <c:pt idx="0">
                  <c:v>0.23899999999999999</c:v>
                </c:pt>
                <c:pt idx="1">
                  <c:v>0.17199999999999999</c:v>
                </c:pt>
                <c:pt idx="2">
                  <c:v>0.378</c:v>
                </c:pt>
                <c:pt idx="3">
                  <c:v>0.25800000000000001</c:v>
                </c:pt>
                <c:pt idx="4">
                  <c:v>0.374</c:v>
                </c:pt>
                <c:pt idx="5">
                  <c:v>0.315</c:v>
                </c:pt>
                <c:pt idx="6">
                  <c:v>0.64600000000000002</c:v>
                </c:pt>
                <c:pt idx="7">
                  <c:v>0.46200000000000002</c:v>
                </c:pt>
              </c:numCache>
            </c:numRef>
          </c:val>
          <c:extLst>
            <c:ext xmlns:c16="http://schemas.microsoft.com/office/drawing/2014/chart" uri="{C3380CC4-5D6E-409C-BE32-E72D297353CC}">
              <c16:uniqueId val="{00000003-B4AB-3446-9F9F-01EDD09E3DF0}"/>
            </c:ext>
          </c:extLst>
        </c:ser>
        <c:dLbls>
          <c:showLegendKey val="0"/>
          <c:showVal val="0"/>
          <c:showCatName val="0"/>
          <c:showSerName val="0"/>
          <c:showPercent val="0"/>
          <c:showBubbleSize val="0"/>
        </c:dLbls>
        <c:gapWidth val="182"/>
        <c:axId val="102494592"/>
        <c:axId val="102496128"/>
      </c:barChart>
      <c:catAx>
        <c:axId val="102494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latin typeface="Candara" panose="020E0502030303020204" pitchFamily="34" charset="0"/>
              </a:defRPr>
            </a:pPr>
            <a:endParaRPr lang="es-CO"/>
          </a:p>
        </c:txPr>
        <c:crossAx val="102496128"/>
        <c:crosses val="autoZero"/>
        <c:auto val="1"/>
        <c:lblAlgn val="ctr"/>
        <c:lblOffset val="100"/>
        <c:noMultiLvlLbl val="0"/>
      </c:catAx>
      <c:valAx>
        <c:axId val="1024961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es-CO"/>
          </a:p>
        </c:txPr>
        <c:crossAx val="102494592"/>
        <c:crosses val="autoZero"/>
        <c:crossBetween val="between"/>
      </c:valAx>
      <c:spPr>
        <a:noFill/>
        <a:ln>
          <a:noFill/>
        </a:ln>
        <a:effectLst/>
      </c:spPr>
    </c:plotArea>
    <c:legend>
      <c:legendPos val="b"/>
      <c:layout>
        <c:manualLayout>
          <c:xMode val="edge"/>
          <c:yMode val="edge"/>
          <c:x val="0.16769936468221847"/>
          <c:y val="5.3874964268080354E-2"/>
          <c:w val="0.78417512316308058"/>
          <c:h val="8.5473665219016198E-2"/>
        </c:manualLayout>
      </c:layout>
      <c:overlay val="0"/>
      <c:spPr>
        <a:noFill/>
        <a:ln>
          <a:noFill/>
        </a:ln>
        <a:effectLst/>
      </c:spPr>
      <c:txPr>
        <a:bodyPr rot="0" vert="horz"/>
        <a:lstStyle/>
        <a:p>
          <a:pPr>
            <a:defRPr/>
          </a:pPr>
          <a:endParaRPr lang="es-CO"/>
        </a:p>
      </c:txPr>
    </c:legend>
    <c:plotVisOnly val="1"/>
    <c:dispBlanksAs val="gap"/>
    <c:showDLblsOverMax val="0"/>
  </c:chart>
  <c:spPr>
    <a:noFill/>
    <a:ln w="9525" cap="flat" cmpd="sng" algn="ctr">
      <a:noFill/>
      <a:round/>
    </a:ln>
    <a:effectLst/>
  </c:spPr>
  <c:txPr>
    <a:bodyPr/>
    <a:lstStyle/>
    <a:p>
      <a:pPr>
        <a:defRPr sz="800"/>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341395137587846E-2"/>
          <c:y val="5.3766173965096455E-2"/>
          <c:w val="0.8882548333704543"/>
          <c:h val="0.71731380945802825"/>
        </c:manualLayout>
      </c:layout>
      <c:lineChart>
        <c:grouping val="standard"/>
        <c:varyColors val="0"/>
        <c:ser>
          <c:idx val="0"/>
          <c:order val="0"/>
          <c:tx>
            <c:v>Sostenibilidad de la deuda</c:v>
          </c:tx>
          <c:spPr>
            <a:ln w="28575" cap="rnd">
              <a:solidFill>
                <a:srgbClr val="FFC000"/>
              </a:solidFill>
              <a:round/>
            </a:ln>
            <a:effectLst>
              <a:outerShdw blurRad="50800" dist="38100" dir="2700000" algn="tl" rotWithShape="0">
                <a:prstClr val="black">
                  <a:alpha val="40000"/>
                </a:prstClr>
              </a:outerShdw>
            </a:effectLst>
          </c:spPr>
          <c:marker>
            <c:symbol val="none"/>
          </c:marker>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'Sostenibilidad Deuda'!$A$20:$A$33</c:f>
              <c:numCache>
                <c:formatCode>yyyy</c:formatCode>
                <c:ptCount val="14"/>
                <c:pt idx="0">
                  <c:v>40543</c:v>
                </c:pt>
                <c:pt idx="1">
                  <c:v>40908</c:v>
                </c:pt>
                <c:pt idx="2">
                  <c:v>41274</c:v>
                </c:pt>
                <c:pt idx="3">
                  <c:v>41639</c:v>
                </c:pt>
                <c:pt idx="4">
                  <c:v>42004</c:v>
                </c:pt>
                <c:pt idx="5">
                  <c:v>42369</c:v>
                </c:pt>
                <c:pt idx="6">
                  <c:v>42735</c:v>
                </c:pt>
                <c:pt idx="7">
                  <c:v>43100</c:v>
                </c:pt>
                <c:pt idx="8">
                  <c:v>43465</c:v>
                </c:pt>
                <c:pt idx="9">
                  <c:v>43830</c:v>
                </c:pt>
                <c:pt idx="10">
                  <c:v>44196</c:v>
                </c:pt>
                <c:pt idx="11">
                  <c:v>44561</c:v>
                </c:pt>
                <c:pt idx="12">
                  <c:v>44926</c:v>
                </c:pt>
                <c:pt idx="13">
                  <c:v>45291</c:v>
                </c:pt>
              </c:numCache>
            </c:numRef>
          </c:cat>
          <c:val>
            <c:numRef>
              <c:f>'Sostenibilidad Deuda'!$B$20:$B$33</c:f>
              <c:numCache>
                <c:formatCode>#,##0.00</c:formatCode>
                <c:ptCount val="14"/>
                <c:pt idx="0">
                  <c:v>25.136559171613413</c:v>
                </c:pt>
                <c:pt idx="1">
                  <c:v>23.984509382524895</c:v>
                </c:pt>
                <c:pt idx="2">
                  <c:v>19.923118189101178</c:v>
                </c:pt>
                <c:pt idx="3">
                  <c:v>17.2556527452506</c:v>
                </c:pt>
                <c:pt idx="4">
                  <c:v>18.355752224827647</c:v>
                </c:pt>
                <c:pt idx="5">
                  <c:v>14.67950686326267</c:v>
                </c:pt>
                <c:pt idx="6">
                  <c:v>12.586242253728102</c:v>
                </c:pt>
                <c:pt idx="7">
                  <c:v>12.630006175487587</c:v>
                </c:pt>
                <c:pt idx="8">
                  <c:v>11.098221559752524</c:v>
                </c:pt>
                <c:pt idx="9">
                  <c:v>22.931812255177668</c:v>
                </c:pt>
                <c:pt idx="10">
                  <c:v>24.109280900831891</c:v>
                </c:pt>
                <c:pt idx="11">
                  <c:v>42.70261561167051</c:v>
                </c:pt>
                <c:pt idx="12">
                  <c:v>58.88</c:v>
                </c:pt>
                <c:pt idx="13">
                  <c:v>56.16</c:v>
                </c:pt>
              </c:numCache>
            </c:numRef>
          </c:val>
          <c:smooth val="0"/>
          <c:extLst>
            <c:ext xmlns:c16="http://schemas.microsoft.com/office/drawing/2014/chart" uri="{C3380CC4-5D6E-409C-BE32-E72D297353CC}">
              <c16:uniqueId val="{00000000-3E7A-DE4E-BFDA-35DE041F1B6A}"/>
            </c:ext>
          </c:extLst>
        </c:ser>
        <c:ser>
          <c:idx val="1"/>
          <c:order val="1"/>
          <c:tx>
            <c:v>Límite</c:v>
          </c:tx>
          <c:spPr>
            <a:ln w="12700" cap="rnd">
              <a:solidFill>
                <a:srgbClr val="C00000"/>
              </a:solidFill>
              <a:prstDash val="sysDash"/>
              <a:round/>
            </a:ln>
            <a:effectLst>
              <a:outerShdw blurRad="50800" dist="38100" dir="2700000" algn="tl" rotWithShape="0">
                <a:prstClr val="black">
                  <a:alpha val="40000"/>
                </a:prstClr>
              </a:outerShdw>
            </a:effectLst>
          </c:spPr>
          <c:marker>
            <c:symbol val="none"/>
          </c:marker>
          <c:cat>
            <c:numRef>
              <c:f>'Sostenibilidad Deuda'!$A$20:$A$33</c:f>
              <c:numCache>
                <c:formatCode>yyyy</c:formatCode>
                <c:ptCount val="14"/>
                <c:pt idx="0">
                  <c:v>40543</c:v>
                </c:pt>
                <c:pt idx="1">
                  <c:v>40908</c:v>
                </c:pt>
                <c:pt idx="2">
                  <c:v>41274</c:v>
                </c:pt>
                <c:pt idx="3">
                  <c:v>41639</c:v>
                </c:pt>
                <c:pt idx="4">
                  <c:v>42004</c:v>
                </c:pt>
                <c:pt idx="5">
                  <c:v>42369</c:v>
                </c:pt>
                <c:pt idx="6">
                  <c:v>42735</c:v>
                </c:pt>
                <c:pt idx="7">
                  <c:v>43100</c:v>
                </c:pt>
                <c:pt idx="8">
                  <c:v>43465</c:v>
                </c:pt>
                <c:pt idx="9">
                  <c:v>43830</c:v>
                </c:pt>
                <c:pt idx="10">
                  <c:v>44196</c:v>
                </c:pt>
                <c:pt idx="11">
                  <c:v>44561</c:v>
                </c:pt>
                <c:pt idx="12">
                  <c:v>44926</c:v>
                </c:pt>
                <c:pt idx="13">
                  <c:v>45291</c:v>
                </c:pt>
              </c:numCache>
            </c:numRef>
          </c:cat>
          <c:val>
            <c:numRef>
              <c:f>'Sostenibilidad Deuda'!$C$20:$C$33</c:f>
              <c:numCache>
                <c:formatCode>#,##0</c:formatCode>
                <c:ptCount val="14"/>
                <c:pt idx="0">
                  <c:v>80</c:v>
                </c:pt>
                <c:pt idx="1">
                  <c:v>80</c:v>
                </c:pt>
                <c:pt idx="2">
                  <c:v>80</c:v>
                </c:pt>
                <c:pt idx="3">
                  <c:v>80</c:v>
                </c:pt>
                <c:pt idx="4">
                  <c:v>80</c:v>
                </c:pt>
                <c:pt idx="5">
                  <c:v>80</c:v>
                </c:pt>
                <c:pt idx="6">
                  <c:v>80</c:v>
                </c:pt>
                <c:pt idx="7">
                  <c:v>80</c:v>
                </c:pt>
                <c:pt idx="8">
                  <c:v>80</c:v>
                </c:pt>
                <c:pt idx="9">
                  <c:v>80</c:v>
                </c:pt>
                <c:pt idx="10">
                  <c:v>80</c:v>
                </c:pt>
                <c:pt idx="11">
                  <c:v>100</c:v>
                </c:pt>
                <c:pt idx="12">
                  <c:v>100</c:v>
                </c:pt>
                <c:pt idx="13">
                  <c:v>100</c:v>
                </c:pt>
              </c:numCache>
            </c:numRef>
          </c:val>
          <c:smooth val="0"/>
          <c:extLst>
            <c:ext xmlns:c16="http://schemas.microsoft.com/office/drawing/2014/chart" uri="{C3380CC4-5D6E-409C-BE32-E72D297353CC}">
              <c16:uniqueId val="{00000001-3E7A-DE4E-BFDA-35DE041F1B6A}"/>
            </c:ext>
          </c:extLst>
        </c:ser>
        <c:dLbls>
          <c:showLegendKey val="0"/>
          <c:showVal val="0"/>
          <c:showCatName val="0"/>
          <c:showSerName val="0"/>
          <c:showPercent val="0"/>
          <c:showBubbleSize val="0"/>
        </c:dLbls>
        <c:smooth val="0"/>
        <c:axId val="1732960736"/>
        <c:axId val="1732959776"/>
      </c:lineChart>
      <c:dateAx>
        <c:axId val="1732960736"/>
        <c:scaling>
          <c:orientation val="minMax"/>
        </c:scaling>
        <c:delete val="0"/>
        <c:axPos val="b"/>
        <c:numFmt formatCode="yyyy"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crossAx val="1732959776"/>
        <c:crosses val="autoZero"/>
        <c:auto val="1"/>
        <c:lblOffset val="100"/>
        <c:baseTimeUnit val="years"/>
      </c:dateAx>
      <c:valAx>
        <c:axId val="1732959776"/>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crossAx val="1732960736"/>
        <c:crosses val="autoZero"/>
        <c:crossBetween val="between"/>
      </c:valAx>
      <c:spPr>
        <a:noFill/>
        <a:ln>
          <a:noFill/>
        </a:ln>
        <a:effectLst/>
      </c:spPr>
    </c:plotArea>
    <c:legend>
      <c:legendPos val="b"/>
      <c:legendEntry>
        <c:idx val="1"/>
        <c:delete val="1"/>
      </c:legendEntry>
      <c:layout>
        <c:manualLayout>
          <c:xMode val="edge"/>
          <c:yMode val="edge"/>
          <c:x val="0.34311423218520315"/>
          <c:y val="0.92470214957307573"/>
          <c:w val="0.31377136094261093"/>
          <c:h val="6.263962257882321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solidFill>
            <a:schemeClr val="bg2">
              <a:lumMod val="25000"/>
            </a:schemeClr>
          </a:solidFill>
          <a:latin typeface="Candara" panose="020E0502030303020204" pitchFamily="34" charset="0"/>
          <a:cs typeface="Arial" panose="020B0604020202020204" pitchFamily="34" charset="0"/>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a:outerShdw blurRad="50800" dist="38100" dir="2700000" algn="tl" rotWithShape="0">
                <a:prstClr val="black">
                  <a:alpha val="40000"/>
                </a:prst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'Saldo de la Deuda'!$A$20:$A$33</c:f>
              <c:numCache>
                <c:formatCode>yyyy</c:formatCode>
                <c:ptCount val="14"/>
                <c:pt idx="0">
                  <c:v>40543</c:v>
                </c:pt>
                <c:pt idx="1">
                  <c:v>40908</c:v>
                </c:pt>
                <c:pt idx="2">
                  <c:v>41274</c:v>
                </c:pt>
                <c:pt idx="3">
                  <c:v>41639</c:v>
                </c:pt>
                <c:pt idx="4">
                  <c:v>42004</c:v>
                </c:pt>
                <c:pt idx="5">
                  <c:v>42369</c:v>
                </c:pt>
                <c:pt idx="6">
                  <c:v>42735</c:v>
                </c:pt>
                <c:pt idx="7">
                  <c:v>43100</c:v>
                </c:pt>
                <c:pt idx="8">
                  <c:v>43465</c:v>
                </c:pt>
                <c:pt idx="9">
                  <c:v>43830</c:v>
                </c:pt>
                <c:pt idx="10">
                  <c:v>44196</c:v>
                </c:pt>
                <c:pt idx="11">
                  <c:v>44561</c:v>
                </c:pt>
                <c:pt idx="12">
                  <c:v>44926</c:v>
                </c:pt>
                <c:pt idx="13">
                  <c:v>45291</c:v>
                </c:pt>
              </c:numCache>
            </c:numRef>
          </c:cat>
          <c:val>
            <c:numRef>
              <c:f>'Saldo de la Deuda'!$B$20:$B$33</c:f>
              <c:numCache>
                <c:formatCode>#,##0</c:formatCode>
                <c:ptCount val="14"/>
                <c:pt idx="0">
                  <c:v>1740845.0149999999</c:v>
                </c:pt>
                <c:pt idx="1">
                  <c:v>1724523.5</c:v>
                </c:pt>
                <c:pt idx="2">
                  <c:v>1477069.7</c:v>
                </c:pt>
                <c:pt idx="3">
                  <c:v>1474287.678729</c:v>
                </c:pt>
                <c:pt idx="4">
                  <c:v>1567166.3933361773</c:v>
                </c:pt>
                <c:pt idx="5">
                  <c:v>1363892.7928373942</c:v>
                </c:pt>
                <c:pt idx="6">
                  <c:v>1253888.3999999999</c:v>
                </c:pt>
                <c:pt idx="7">
                  <c:v>1215043.6000000001</c:v>
                </c:pt>
                <c:pt idx="8">
                  <c:v>1192080.5556069999</c:v>
                </c:pt>
                <c:pt idx="9">
                  <c:v>2541457</c:v>
                </c:pt>
                <c:pt idx="10">
                  <c:v>3363988</c:v>
                </c:pt>
                <c:pt idx="11">
                  <c:v>5684336.208083</c:v>
                </c:pt>
                <c:pt idx="12">
                  <c:v>7854016</c:v>
                </c:pt>
                <c:pt idx="13">
                  <c:v>9255834</c:v>
                </c:pt>
              </c:numCache>
            </c:numRef>
          </c:val>
          <c:extLst>
            <c:ext xmlns:c16="http://schemas.microsoft.com/office/drawing/2014/chart" uri="{C3380CC4-5D6E-409C-BE32-E72D297353CC}">
              <c16:uniqueId val="{00000000-36B8-D54C-99BB-6A24A6882AAB}"/>
            </c:ext>
          </c:extLst>
        </c:ser>
        <c:dLbls>
          <c:showLegendKey val="0"/>
          <c:showVal val="0"/>
          <c:showCatName val="0"/>
          <c:showSerName val="0"/>
          <c:showPercent val="0"/>
          <c:showBubbleSize val="0"/>
        </c:dLbls>
        <c:gapWidth val="219"/>
        <c:overlap val="-27"/>
        <c:axId val="1393935439"/>
        <c:axId val="1393934479"/>
      </c:barChart>
      <c:dateAx>
        <c:axId val="1393935439"/>
        <c:scaling>
          <c:orientation val="minMax"/>
        </c:scaling>
        <c:delete val="0"/>
        <c:axPos val="b"/>
        <c:numFmt formatCode="yyyy" sourceLinked="1"/>
        <c:majorTickMark val="out"/>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CO"/>
          </a:p>
        </c:txPr>
        <c:crossAx val="1393934479"/>
        <c:crosses val="autoZero"/>
        <c:auto val="1"/>
        <c:lblOffset val="100"/>
        <c:baseTimeUnit val="years"/>
      </c:dateAx>
      <c:valAx>
        <c:axId val="1393934479"/>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CO"/>
          </a:p>
        </c:txPr>
        <c:crossAx val="1393935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Pirámides!$H$20</c:f>
              <c:strCache>
                <c:ptCount val="1"/>
                <c:pt idx="0">
                  <c:v>Hombres</c:v>
                </c:pt>
              </c:strCache>
            </c:strRef>
          </c:tx>
          <c:spPr>
            <a:solidFill>
              <a:srgbClr val="FFC000"/>
            </a:solidFill>
            <a:ln>
              <a:noFill/>
            </a:ln>
            <a:effectLst>
              <a:outerShdw blurRad="50800" dist="38100" dir="2700000" algn="tl" rotWithShape="0">
                <a:prstClr val="black">
                  <a:alpha val="40000"/>
                </a:prstClr>
              </a:outerShdw>
            </a:effectLst>
          </c:spPr>
          <c:invertIfNegative val="0"/>
          <c:cat>
            <c:strRef>
              <c:f>Pirámides!$G$21:$G$29</c:f>
              <c:strCache>
                <c:ptCount val="9"/>
                <c:pt idx="0">
                  <c:v>0-9</c:v>
                </c:pt>
                <c:pt idx="1">
                  <c:v>10-19</c:v>
                </c:pt>
                <c:pt idx="2">
                  <c:v>20-29</c:v>
                </c:pt>
                <c:pt idx="3">
                  <c:v>30-39</c:v>
                </c:pt>
                <c:pt idx="4">
                  <c:v>40-49</c:v>
                </c:pt>
                <c:pt idx="5">
                  <c:v>50-59</c:v>
                </c:pt>
                <c:pt idx="6">
                  <c:v>60-69</c:v>
                </c:pt>
                <c:pt idx="7">
                  <c:v>70-79</c:v>
                </c:pt>
                <c:pt idx="8">
                  <c:v>80-89</c:v>
                </c:pt>
              </c:strCache>
            </c:strRef>
          </c:cat>
          <c:val>
            <c:numRef>
              <c:f>Pirámides!$H$21:$H$29</c:f>
              <c:numCache>
                <c:formatCode>0.0%</c:formatCode>
                <c:ptCount val="9"/>
                <c:pt idx="0">
                  <c:v>0.12703192386573656</c:v>
                </c:pt>
                <c:pt idx="1">
                  <c:v>0.12655428105145666</c:v>
                </c:pt>
                <c:pt idx="2">
                  <c:v>0.1843169378619349</c:v>
                </c:pt>
                <c:pt idx="3">
                  <c:v>0.18563743329391597</c:v>
                </c:pt>
                <c:pt idx="4">
                  <c:v>0.13750741544418807</c:v>
                </c:pt>
                <c:pt idx="5">
                  <c:v>0.10564937699736454</c:v>
                </c:pt>
                <c:pt idx="6">
                  <c:v>7.9393504215711286E-2</c:v>
                </c:pt>
                <c:pt idx="7">
                  <c:v>3.8550304029920344E-2</c:v>
                </c:pt>
                <c:pt idx="8">
                  <c:v>1.5358823239771689E-2</c:v>
                </c:pt>
              </c:numCache>
            </c:numRef>
          </c:val>
          <c:extLst>
            <c:ext xmlns:c16="http://schemas.microsoft.com/office/drawing/2014/chart" uri="{C3380CC4-5D6E-409C-BE32-E72D297353CC}">
              <c16:uniqueId val="{00000000-D5F5-A044-A5EB-42B846A91B35}"/>
            </c:ext>
          </c:extLst>
        </c:ser>
        <c:ser>
          <c:idx val="1"/>
          <c:order val="1"/>
          <c:tx>
            <c:strRef>
              <c:f>Pirámides!$I$20</c:f>
              <c:strCache>
                <c:ptCount val="1"/>
                <c:pt idx="0">
                  <c:v>Mujeres</c:v>
                </c:pt>
              </c:strCache>
            </c:strRef>
          </c:tx>
          <c:spPr>
            <a:solidFill>
              <a:srgbClr val="C00000"/>
            </a:solidFill>
            <a:ln>
              <a:noFill/>
            </a:ln>
            <a:effectLst>
              <a:outerShdw blurRad="50800" dist="38100" dir="2700000" algn="tl" rotWithShape="0">
                <a:prstClr val="black">
                  <a:alpha val="40000"/>
                </a:prstClr>
              </a:outerShdw>
            </a:effectLst>
          </c:spPr>
          <c:invertIfNegative val="0"/>
          <c:cat>
            <c:strRef>
              <c:f>Pirámides!$G$21:$G$29</c:f>
              <c:strCache>
                <c:ptCount val="9"/>
                <c:pt idx="0">
                  <c:v>0-9</c:v>
                </c:pt>
                <c:pt idx="1">
                  <c:v>10-19</c:v>
                </c:pt>
                <c:pt idx="2">
                  <c:v>20-29</c:v>
                </c:pt>
                <c:pt idx="3">
                  <c:v>30-39</c:v>
                </c:pt>
                <c:pt idx="4">
                  <c:v>40-49</c:v>
                </c:pt>
                <c:pt idx="5">
                  <c:v>50-59</c:v>
                </c:pt>
                <c:pt idx="6">
                  <c:v>60-69</c:v>
                </c:pt>
                <c:pt idx="7">
                  <c:v>70-79</c:v>
                </c:pt>
                <c:pt idx="8">
                  <c:v>80-89</c:v>
                </c:pt>
              </c:strCache>
            </c:strRef>
          </c:cat>
          <c:val>
            <c:numRef>
              <c:f>Pirámides!$I$21:$I$29</c:f>
              <c:numCache>
                <c:formatCode>0.00%</c:formatCode>
                <c:ptCount val="9"/>
                <c:pt idx="0">
                  <c:v>-0.11194218778514139</c:v>
                </c:pt>
                <c:pt idx="1">
                  <c:v>-0.11278372552654801</c:v>
                </c:pt>
                <c:pt idx="2">
                  <c:v>-0.16885526180125382</c:v>
                </c:pt>
                <c:pt idx="3">
                  <c:v>-0.17160060623633439</c:v>
                </c:pt>
                <c:pt idx="4">
                  <c:v>-0.14061933498914012</c:v>
                </c:pt>
                <c:pt idx="5">
                  <c:v>-0.12061944148226816</c:v>
                </c:pt>
                <c:pt idx="6">
                  <c:v>-9.7631447614336106E-2</c:v>
                </c:pt>
                <c:pt idx="7">
                  <c:v>-5.2468922158848054E-2</c:v>
                </c:pt>
                <c:pt idx="8">
                  <c:v>-2.3479072406129939E-2</c:v>
                </c:pt>
              </c:numCache>
            </c:numRef>
          </c:val>
          <c:extLst>
            <c:ext xmlns:c16="http://schemas.microsoft.com/office/drawing/2014/chart" uri="{C3380CC4-5D6E-409C-BE32-E72D297353CC}">
              <c16:uniqueId val="{00000001-D5F5-A044-A5EB-42B846A91B35}"/>
            </c:ext>
          </c:extLst>
        </c:ser>
        <c:dLbls>
          <c:showLegendKey val="0"/>
          <c:showVal val="0"/>
          <c:showCatName val="0"/>
          <c:showSerName val="0"/>
          <c:showPercent val="0"/>
          <c:showBubbleSize val="0"/>
        </c:dLbls>
        <c:gapWidth val="150"/>
        <c:overlap val="100"/>
        <c:axId val="1091843391"/>
        <c:axId val="1091851071"/>
      </c:barChart>
      <c:catAx>
        <c:axId val="109184339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091851071"/>
        <c:crosses val="autoZero"/>
        <c:auto val="1"/>
        <c:lblAlgn val="ctr"/>
        <c:lblOffset val="100"/>
        <c:noMultiLvlLbl val="0"/>
      </c:catAx>
      <c:valAx>
        <c:axId val="1091851071"/>
        <c:scaling>
          <c:orientation val="minMax"/>
          <c:max val="0.2"/>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091843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49343832020998E-2"/>
          <c:y val="7.407407407407407E-2"/>
          <c:w val="0.92350656167979006"/>
          <c:h val="0.75871172353455818"/>
        </c:manualLayout>
      </c:layout>
      <c:barChart>
        <c:barDir val="col"/>
        <c:grouping val="clustered"/>
        <c:varyColors val="0"/>
        <c:ser>
          <c:idx val="0"/>
          <c:order val="0"/>
          <c:spPr>
            <a:solidFill>
              <a:srgbClr val="C00000"/>
            </a:solidFill>
            <a:ln>
              <a:noFill/>
            </a:ln>
            <a:effectLst>
              <a:outerShdw blurRad="50800" dist="38100" dir="2700000" algn="tl" rotWithShape="0">
                <a:prstClr val="black">
                  <a:alpha val="40000"/>
                </a:prstClr>
              </a:outerShdw>
            </a:effectLst>
          </c:spPr>
          <c:invertIfNegative val="0"/>
          <c:dPt>
            <c:idx val="14"/>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67AD-BB44-919B-78086D146753}"/>
              </c:ext>
            </c:extLst>
          </c:dPt>
          <c:dPt>
            <c:idx val="15"/>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3-67AD-BB44-919B-78086D146753}"/>
              </c:ext>
            </c:extLst>
          </c:dPt>
          <c:dPt>
            <c:idx val="16"/>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5-67AD-BB44-919B-78086D146753}"/>
              </c:ext>
            </c:extLst>
          </c:dPt>
          <c:dPt>
            <c:idx val="17"/>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7-67AD-BB44-919B-78086D146753}"/>
              </c:ext>
            </c:extLst>
          </c:dPt>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'[Gastos hasta 2023.xlsx]GASTOS'!$C$13:$T$13</c:f>
              <c:numCache>
                <c:formatCode>General</c:formatCode>
                <c:ptCount val="18"/>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numCache>
            </c:numRef>
          </c:cat>
          <c:val>
            <c:numRef>
              <c:f>'[Gastos hasta 2023.xlsx]GASTOS'!$F$5:$W$5</c:f>
              <c:numCache>
                <c:formatCode>#,##0,,</c:formatCode>
                <c:ptCount val="18"/>
                <c:pt idx="0">
                  <c:v>964641153212.68066</c:v>
                </c:pt>
                <c:pt idx="1">
                  <c:v>452618763377.07642</c:v>
                </c:pt>
                <c:pt idx="2">
                  <c:v>661724980173.28821</c:v>
                </c:pt>
                <c:pt idx="3">
                  <c:v>301513102956.98181</c:v>
                </c:pt>
                <c:pt idx="4">
                  <c:v>323666001150.44647</c:v>
                </c:pt>
                <c:pt idx="5">
                  <c:v>815839621078.60327</c:v>
                </c:pt>
                <c:pt idx="6">
                  <c:v>279898298415.89893</c:v>
                </c:pt>
                <c:pt idx="7">
                  <c:v>268945877378.08325</c:v>
                </c:pt>
                <c:pt idx="8">
                  <c:v>252310174176.08289</c:v>
                </c:pt>
                <c:pt idx="9">
                  <c:v>268867757090.56702</c:v>
                </c:pt>
                <c:pt idx="10">
                  <c:v>354460716094.68207</c:v>
                </c:pt>
                <c:pt idx="11">
                  <c:v>409864335900.57404</c:v>
                </c:pt>
                <c:pt idx="12">
                  <c:v>659136510787.98633</c:v>
                </c:pt>
                <c:pt idx="13">
                  <c:v>1323487482025.4307</c:v>
                </c:pt>
                <c:pt idx="14">
                  <c:v>1913449624000</c:v>
                </c:pt>
                <c:pt idx="15">
                  <c:v>1631893450548.0002</c:v>
                </c:pt>
                <c:pt idx="16">
                  <c:v>1902640740845.5732</c:v>
                </c:pt>
                <c:pt idx="17">
                  <c:v>2452186074343.5615</c:v>
                </c:pt>
              </c:numCache>
            </c:numRef>
          </c:val>
          <c:extLst>
            <c:ext xmlns:c16="http://schemas.microsoft.com/office/drawing/2014/chart" uri="{C3380CC4-5D6E-409C-BE32-E72D297353CC}">
              <c16:uniqueId val="{00000008-67AD-BB44-919B-78086D146753}"/>
            </c:ext>
          </c:extLst>
        </c:ser>
        <c:dLbls>
          <c:showLegendKey val="0"/>
          <c:showVal val="0"/>
          <c:showCatName val="0"/>
          <c:showSerName val="0"/>
          <c:showPercent val="0"/>
          <c:showBubbleSize val="0"/>
        </c:dLbls>
        <c:gapWidth val="219"/>
        <c:overlap val="-27"/>
        <c:axId val="1788495616"/>
        <c:axId val="1788492736"/>
      </c:barChart>
      <c:catAx>
        <c:axId val="178849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CO"/>
          </a:p>
        </c:txPr>
        <c:crossAx val="1788492736"/>
        <c:crosses val="autoZero"/>
        <c:auto val="1"/>
        <c:lblAlgn val="ctr"/>
        <c:lblOffset val="100"/>
        <c:noMultiLvlLbl val="0"/>
      </c:catAx>
      <c:valAx>
        <c:axId val="1788492736"/>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CO"/>
          </a:p>
        </c:txPr>
        <c:crossAx val="17884956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a:outerShdw blurRad="50800" dist="38100" dir="2700000" algn="tl" rotWithShape="0">
                <a:prstClr val="black">
                  <a:alpha val="40000"/>
                </a:prstClr>
              </a:outerShdw>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GASTOS!$E$13:$P$13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GASTOS!$H$7:$S$7</c:f>
              <c:numCache>
                <c:formatCode>#,##0,,</c:formatCode>
                <c:ptCount val="12"/>
                <c:pt idx="0">
                  <c:v>195889716591.92822</c:v>
                </c:pt>
                <c:pt idx="1">
                  <c:v>741000011644.44421</c:v>
                </c:pt>
                <c:pt idx="2">
                  <c:v>1091158215205.5292</c:v>
                </c:pt>
                <c:pt idx="3">
                  <c:v>1174151763316.2974</c:v>
                </c:pt>
                <c:pt idx="4">
                  <c:v>1074374412759.1019</c:v>
                </c:pt>
                <c:pt idx="5">
                  <c:v>1176710127175.113</c:v>
                </c:pt>
                <c:pt idx="6">
                  <c:v>827534090078.51978</c:v>
                </c:pt>
                <c:pt idx="7">
                  <c:v>1084440658040.1372</c:v>
                </c:pt>
                <c:pt idx="8">
                  <c:v>2718324985773.0825</c:v>
                </c:pt>
                <c:pt idx="9">
                  <c:v>3000515250539.5693</c:v>
                </c:pt>
                <c:pt idx="10">
                  <c:v>2542985522649.2236</c:v>
                </c:pt>
                <c:pt idx="11">
                  <c:v>3206757066399.9995</c:v>
                </c:pt>
              </c:numCache>
            </c:numRef>
          </c:val>
          <c:extLst>
            <c:ext xmlns:c16="http://schemas.microsoft.com/office/drawing/2014/chart" uri="{C3380CC4-5D6E-409C-BE32-E72D297353CC}">
              <c16:uniqueId val="{00000000-38BB-3F4A-9668-4129A801D5A7}"/>
            </c:ext>
          </c:extLst>
        </c:ser>
        <c:dLbls>
          <c:showLegendKey val="0"/>
          <c:showVal val="0"/>
          <c:showCatName val="0"/>
          <c:showSerName val="0"/>
          <c:showPercent val="0"/>
          <c:showBubbleSize val="0"/>
        </c:dLbls>
        <c:gapWidth val="219"/>
        <c:overlap val="-27"/>
        <c:axId val="1825007712"/>
        <c:axId val="1825008672"/>
      </c:barChart>
      <c:catAx>
        <c:axId val="182500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crossAx val="1825008672"/>
        <c:crosses val="autoZero"/>
        <c:auto val="1"/>
        <c:lblAlgn val="ctr"/>
        <c:lblOffset val="100"/>
        <c:noMultiLvlLbl val="0"/>
      </c:catAx>
      <c:valAx>
        <c:axId val="1825008672"/>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CO"/>
          </a:p>
        </c:txPr>
        <c:crossAx val="18250077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bg2">
              <a:lumMod val="25000"/>
            </a:schemeClr>
          </a:solidFill>
          <a:latin typeface="Candara" panose="020E0502030303020204" pitchFamily="34" charset="0"/>
          <a:cs typeface="Arial" panose="020B0604020202020204" pitchFamily="34" charset="0"/>
        </a:defRPr>
      </a:pPr>
      <a:endParaRPr lang="es-C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04155730533686"/>
          <c:y val="5.0925925925925923E-2"/>
          <c:w val="0.4864724409448819"/>
          <c:h val="0.8416746864975212"/>
        </c:manualLayout>
      </c:layout>
      <c:barChart>
        <c:barDir val="bar"/>
        <c:grouping val="clustered"/>
        <c:varyColors val="0"/>
        <c:ser>
          <c:idx val="0"/>
          <c:order val="0"/>
          <c:tx>
            <c:strRef>
              <c:f>Hoja1!$I$17</c:f>
              <c:strCache>
                <c:ptCount val="1"/>
                <c:pt idx="0">
                  <c:v>VALOR</c:v>
                </c:pt>
              </c:strCache>
            </c:strRef>
          </c:tx>
          <c:spPr>
            <a:solidFill>
              <a:srgbClr val="C00000"/>
            </a:solidFill>
            <a:ln>
              <a:noFill/>
            </a:ln>
            <a:effectLst/>
          </c:spPr>
          <c:invertIfNegative val="0"/>
          <c:dPt>
            <c:idx val="0"/>
            <c:invertIfNegative val="0"/>
            <c:bubble3D val="0"/>
            <c:spPr>
              <a:solidFill>
                <a:srgbClr val="FFC000"/>
              </a:solidFill>
              <a:ln>
                <a:noFill/>
              </a:ln>
              <a:effectLst/>
            </c:spPr>
            <c:extLst>
              <c:ext xmlns:c16="http://schemas.microsoft.com/office/drawing/2014/chart" uri="{C3380CC4-5D6E-409C-BE32-E72D297353CC}">
                <c16:uniqueId val="{00000001-8173-6A4B-8F8D-ED15A4296345}"/>
              </c:ext>
            </c:extLst>
          </c:dPt>
          <c:dPt>
            <c:idx val="1"/>
            <c:invertIfNegative val="0"/>
            <c:bubble3D val="0"/>
            <c:spPr>
              <a:solidFill>
                <a:srgbClr val="FFFF00"/>
              </a:solidFill>
              <a:ln>
                <a:noFill/>
              </a:ln>
              <a:effectLst/>
            </c:spPr>
            <c:extLst>
              <c:ext xmlns:c16="http://schemas.microsoft.com/office/drawing/2014/chart" uri="{C3380CC4-5D6E-409C-BE32-E72D297353CC}">
                <c16:uniqueId val="{00000003-8173-6A4B-8F8D-ED15A4296345}"/>
              </c:ext>
            </c:extLst>
          </c:dPt>
          <c:dPt>
            <c:idx val="2"/>
            <c:invertIfNegative val="0"/>
            <c:bubble3D val="0"/>
            <c:spPr>
              <a:solidFill>
                <a:srgbClr val="7F7F7F"/>
              </a:solidFill>
              <a:ln>
                <a:noFill/>
              </a:ln>
              <a:effectLst/>
            </c:spPr>
            <c:extLst>
              <c:ext xmlns:c16="http://schemas.microsoft.com/office/drawing/2014/chart" uri="{C3380CC4-5D6E-409C-BE32-E72D297353CC}">
                <c16:uniqueId val="{00000005-8173-6A4B-8F8D-ED15A4296345}"/>
              </c:ext>
            </c:extLst>
          </c:dPt>
          <c:dPt>
            <c:idx val="3"/>
            <c:invertIfNegative val="0"/>
            <c:bubble3D val="0"/>
            <c:spPr>
              <a:solidFill>
                <a:srgbClr val="C00000"/>
              </a:solidFill>
              <a:ln>
                <a:noFill/>
              </a:ln>
              <a:effectLst/>
            </c:spPr>
            <c:extLst>
              <c:ext xmlns:c16="http://schemas.microsoft.com/office/drawing/2014/chart" uri="{C3380CC4-5D6E-409C-BE32-E72D297353CC}">
                <c16:uniqueId val="{00000007-8173-6A4B-8F8D-ED15A4296345}"/>
              </c:ext>
            </c:extLst>
          </c:dPt>
          <c:dPt>
            <c:idx val="4"/>
            <c:invertIfNegative val="0"/>
            <c:bubble3D val="0"/>
            <c:spPr>
              <a:solidFill>
                <a:srgbClr val="E43622"/>
              </a:solidFill>
              <a:ln>
                <a:noFill/>
              </a:ln>
              <a:effectLst/>
            </c:spPr>
            <c:extLst>
              <c:ext xmlns:c16="http://schemas.microsoft.com/office/drawing/2014/chart" uri="{C3380CC4-5D6E-409C-BE32-E72D297353CC}">
                <c16:uniqueId val="{00000008-27E0-4C03-AE03-0F01769595A6}"/>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Candara" panose="020E0502030303020204" pitchFamily="34" charset="0"/>
                      <a:ea typeface="+mn-ea"/>
                      <a:cs typeface="+mn-cs"/>
                    </a:defRPr>
                  </a:pPr>
                  <a:endParaRPr lang="es-CO"/>
                </a:p>
              </c:txPr>
              <c:dLblPos val="inEnd"/>
              <c:showLegendKey val="0"/>
              <c:showVal val="1"/>
              <c:showCatName val="0"/>
              <c:showSerName val="0"/>
              <c:showPercent val="0"/>
              <c:showBubbleSize val="0"/>
              <c:extLst>
                <c:ext xmlns:c16="http://schemas.microsoft.com/office/drawing/2014/chart" uri="{C3380CC4-5D6E-409C-BE32-E72D297353CC}">
                  <c16:uniqueId val="{00000001-8173-6A4B-8F8D-ED15A4296345}"/>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Candara" panose="020E0502030303020204" pitchFamily="34" charset="0"/>
                      <a:ea typeface="+mn-ea"/>
                      <a:cs typeface="+mn-cs"/>
                    </a:defRPr>
                  </a:pPr>
                  <a:endParaRPr lang="es-CO"/>
                </a:p>
              </c:txPr>
              <c:dLblPos val="inEnd"/>
              <c:showLegendKey val="0"/>
              <c:showVal val="1"/>
              <c:showCatName val="0"/>
              <c:showSerName val="0"/>
              <c:showPercent val="0"/>
              <c:showBubbleSize val="0"/>
              <c:extLst>
                <c:ext xmlns:c16="http://schemas.microsoft.com/office/drawing/2014/chart" uri="{C3380CC4-5D6E-409C-BE32-E72D297353CC}">
                  <c16:uniqueId val="{00000003-8173-6A4B-8F8D-ED15A429634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Candara" panose="020E0502030303020204" pitchFamily="34" charset="0"/>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Hoja1!$H$18:$H$22</c:f>
              <c:strCache>
                <c:ptCount val="5"/>
                <c:pt idx="0">
                  <c:v>1. Bogotá avanza en su seguridad</c:v>
                </c:pt>
                <c:pt idx="1">
                  <c:v>5. Bogotá confía en su gobierno*</c:v>
                </c:pt>
                <c:pt idx="2">
                  <c:v>4.Bogotá ordena su territorio y avanza en   su acción climática*</c:v>
                </c:pt>
                <c:pt idx="3">
                  <c:v>3. Bogotá confía en su potencial</c:v>
                </c:pt>
                <c:pt idx="4">
                  <c:v>2. Bogotá confía en su bien-estar</c:v>
                </c:pt>
              </c:strCache>
            </c:strRef>
          </c:cat>
          <c:val>
            <c:numRef>
              <c:f>Hoja1!$I$18:$I$22</c:f>
              <c:numCache>
                <c:formatCode>#,##0</c:formatCode>
                <c:ptCount val="5"/>
                <c:pt idx="0">
                  <c:v>7460</c:v>
                </c:pt>
                <c:pt idx="1">
                  <c:v>8523</c:v>
                </c:pt>
                <c:pt idx="2">
                  <c:v>23129</c:v>
                </c:pt>
                <c:pt idx="3">
                  <c:v>24444</c:v>
                </c:pt>
                <c:pt idx="4">
                  <c:v>27331</c:v>
                </c:pt>
              </c:numCache>
            </c:numRef>
          </c:val>
          <c:extLst>
            <c:ext xmlns:c16="http://schemas.microsoft.com/office/drawing/2014/chart" uri="{C3380CC4-5D6E-409C-BE32-E72D297353CC}">
              <c16:uniqueId val="{00000008-8173-6A4B-8F8D-ED15A4296345}"/>
            </c:ext>
          </c:extLst>
        </c:ser>
        <c:dLbls>
          <c:showLegendKey val="0"/>
          <c:showVal val="0"/>
          <c:showCatName val="0"/>
          <c:showSerName val="0"/>
          <c:showPercent val="0"/>
          <c:showBubbleSize val="0"/>
        </c:dLbls>
        <c:gapWidth val="182"/>
        <c:axId val="2000345023"/>
        <c:axId val="2000345439"/>
      </c:barChart>
      <c:catAx>
        <c:axId val="20003450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2000345439"/>
        <c:crosses val="autoZero"/>
        <c:auto val="1"/>
        <c:lblAlgn val="r"/>
        <c:lblOffset val="100"/>
        <c:noMultiLvlLbl val="0"/>
      </c:catAx>
      <c:valAx>
        <c:axId val="200034543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00345023"/>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Hoja1!$I$17</c:f>
              <c:strCache>
                <c:ptCount val="1"/>
                <c:pt idx="0">
                  <c:v>VALOR</c:v>
                </c:pt>
              </c:strCache>
            </c:strRef>
          </c:tx>
          <c:dPt>
            <c:idx val="0"/>
            <c:bubble3D val="0"/>
            <c:spPr>
              <a:solidFill>
                <a:srgbClr val="FFC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1-A262-7340-BB08-867231F45B16}"/>
              </c:ext>
            </c:extLst>
          </c:dPt>
          <c:dPt>
            <c:idx val="1"/>
            <c:bubble3D val="0"/>
            <c:spPr>
              <a:solidFill>
                <a:srgbClr val="E4362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262-7340-BB08-867231F45B16}"/>
              </c:ext>
            </c:extLst>
          </c:dPt>
          <c:dPt>
            <c:idx val="2"/>
            <c:bubble3D val="0"/>
            <c:spPr>
              <a:solidFill>
                <a:srgbClr val="C0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5-A262-7340-BB08-867231F45B16}"/>
              </c:ext>
            </c:extLst>
          </c:dPt>
          <c:dPt>
            <c:idx val="3"/>
            <c:bubble3D val="0"/>
            <c:spPr>
              <a:solidFill>
                <a:srgbClr val="7F7F7F"/>
              </a:solidFill>
              <a:ln w="25400">
                <a:solidFill>
                  <a:schemeClr val="lt1"/>
                </a:solidFill>
              </a:ln>
              <a:effectLst/>
              <a:sp3d contourW="25400">
                <a:contourClr>
                  <a:schemeClr val="lt1"/>
                </a:contourClr>
              </a:sp3d>
            </c:spPr>
            <c:extLst>
              <c:ext xmlns:c16="http://schemas.microsoft.com/office/drawing/2014/chart" uri="{C3380CC4-5D6E-409C-BE32-E72D297353CC}">
                <c16:uniqueId val="{00000007-A262-7340-BB08-867231F45B16}"/>
              </c:ext>
            </c:extLst>
          </c:dPt>
          <c:dPt>
            <c:idx val="4"/>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A262-7340-BB08-867231F45B1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Hoja1!$H$41:$H$45</c:f>
              <c:strCache>
                <c:ptCount val="5"/>
                <c:pt idx="0">
                  <c:v>Objetivo 1</c:v>
                </c:pt>
                <c:pt idx="1">
                  <c:v>Objetivo 2</c:v>
                </c:pt>
                <c:pt idx="2">
                  <c:v>Objetivo 3</c:v>
                </c:pt>
                <c:pt idx="3">
                  <c:v>Objetivo 4</c:v>
                </c:pt>
                <c:pt idx="4">
                  <c:v>Objetivo 5</c:v>
                </c:pt>
              </c:strCache>
            </c:strRef>
          </c:cat>
          <c:val>
            <c:numRef>
              <c:f>Hoja1!$I$41:$I$45</c:f>
              <c:numCache>
                <c:formatCode>#,##0</c:formatCode>
                <c:ptCount val="5"/>
                <c:pt idx="0">
                  <c:v>7460</c:v>
                </c:pt>
                <c:pt idx="1">
                  <c:v>27331</c:v>
                </c:pt>
                <c:pt idx="2">
                  <c:v>24444</c:v>
                </c:pt>
                <c:pt idx="3">
                  <c:v>23129</c:v>
                </c:pt>
                <c:pt idx="4">
                  <c:v>8523</c:v>
                </c:pt>
              </c:numCache>
            </c:numRef>
          </c:val>
          <c:extLst>
            <c:ext xmlns:c16="http://schemas.microsoft.com/office/drawing/2014/chart" uri="{C3380CC4-5D6E-409C-BE32-E72D297353CC}">
              <c16:uniqueId val="{0000000A-A262-7340-BB08-867231F45B16}"/>
            </c:ext>
          </c:extLst>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 Pobreza '!$A$4</c:f>
              <c:strCache>
                <c:ptCount val="1"/>
                <c:pt idx="0">
                  <c:v>Pobreza monetaria</c:v>
                </c:pt>
              </c:strCache>
            </c:strRef>
          </c:tx>
          <c:spPr>
            <a:solidFill>
              <a:srgbClr val="C00000"/>
            </a:solidFill>
            <a:ln>
              <a:noFill/>
            </a:ln>
            <a:effectLst/>
          </c:spPr>
          <c:invertIfNegative val="0"/>
          <c:dPt>
            <c:idx val="3"/>
            <c:invertIfNegative val="0"/>
            <c:bubble3D val="0"/>
            <c:spPr>
              <a:solidFill>
                <a:srgbClr val="C00000">
                  <a:alpha val="40000"/>
                </a:srgbClr>
              </a:solidFill>
              <a:ln>
                <a:noFill/>
              </a:ln>
              <a:effectLst/>
            </c:spPr>
            <c:extLst>
              <c:ext xmlns:c16="http://schemas.microsoft.com/office/drawing/2014/chart" uri="{C3380CC4-5D6E-409C-BE32-E72D297353CC}">
                <c16:uniqueId val="{00000001-A474-6947-A0FB-6EA3194B095C}"/>
              </c:ext>
            </c:extLst>
          </c:dPt>
          <c:dPt>
            <c:idx val="4"/>
            <c:invertIfNegative val="0"/>
            <c:bubble3D val="0"/>
            <c:spPr>
              <a:solidFill>
                <a:srgbClr val="C00000"/>
              </a:solidFill>
              <a:ln>
                <a:noFill/>
              </a:ln>
              <a:effectLst/>
            </c:spPr>
            <c:extLst>
              <c:ext xmlns:c16="http://schemas.microsoft.com/office/drawing/2014/chart" uri="{C3380CC4-5D6E-409C-BE32-E72D297353CC}">
                <c16:uniqueId val="{00000003-A474-6947-A0FB-6EA3194B095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 Pobreza '!$B$3:$G$3</c:f>
              <c:strCache>
                <c:ptCount val="6"/>
                <c:pt idx="0">
                  <c:v>2018</c:v>
                </c:pt>
                <c:pt idx="1">
                  <c:v>2019</c:v>
                </c:pt>
                <c:pt idx="2">
                  <c:v>2020</c:v>
                </c:pt>
                <c:pt idx="3">
                  <c:v>2021 (Marco 2005)</c:v>
                </c:pt>
                <c:pt idx="4">
                  <c:v>2021 (Marco 2018)</c:v>
                </c:pt>
                <c:pt idx="5">
                  <c:v>2022</c:v>
                </c:pt>
              </c:strCache>
            </c:strRef>
          </c:cat>
          <c:val>
            <c:numRef>
              <c:f>'I. Pobreza '!$B$4:$G$4</c:f>
              <c:numCache>
                <c:formatCode>0.0</c:formatCode>
                <c:ptCount val="6"/>
                <c:pt idx="0">
                  <c:v>26.4</c:v>
                </c:pt>
                <c:pt idx="1">
                  <c:v>27.2</c:v>
                </c:pt>
                <c:pt idx="2">
                  <c:v>40.1</c:v>
                </c:pt>
                <c:pt idx="3">
                  <c:v>35.799999999999997</c:v>
                </c:pt>
                <c:pt idx="4">
                  <c:v>30.7</c:v>
                </c:pt>
                <c:pt idx="5">
                  <c:v>28.1</c:v>
                </c:pt>
              </c:numCache>
            </c:numRef>
          </c:val>
          <c:extLst>
            <c:ext xmlns:c16="http://schemas.microsoft.com/office/drawing/2014/chart" uri="{C3380CC4-5D6E-409C-BE32-E72D297353CC}">
              <c16:uniqueId val="{00000004-A474-6947-A0FB-6EA3194B095C}"/>
            </c:ext>
          </c:extLst>
        </c:ser>
        <c:ser>
          <c:idx val="1"/>
          <c:order val="1"/>
          <c:tx>
            <c:strRef>
              <c:f>'I. Pobreza '!$A$5</c:f>
              <c:strCache>
                <c:ptCount val="1"/>
                <c:pt idx="0">
                  <c:v>Pobreza extrema</c:v>
                </c:pt>
              </c:strCache>
            </c:strRef>
          </c:tx>
          <c:spPr>
            <a:solidFill>
              <a:srgbClr val="FFC000"/>
            </a:solidFill>
            <a:ln>
              <a:noFill/>
            </a:ln>
            <a:effectLst/>
          </c:spPr>
          <c:invertIfNegative val="0"/>
          <c:dPt>
            <c:idx val="3"/>
            <c:invertIfNegative val="0"/>
            <c:bubble3D val="0"/>
            <c:spPr>
              <a:solidFill>
                <a:srgbClr val="FFC000">
                  <a:alpha val="40000"/>
                </a:srgbClr>
              </a:solidFill>
              <a:ln>
                <a:noFill/>
              </a:ln>
              <a:effectLst/>
            </c:spPr>
            <c:extLst>
              <c:ext xmlns:c16="http://schemas.microsoft.com/office/drawing/2014/chart" uri="{C3380CC4-5D6E-409C-BE32-E72D297353CC}">
                <c16:uniqueId val="{00000006-A474-6947-A0FB-6EA3194B095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 Pobreza '!$B$3:$G$3</c:f>
              <c:strCache>
                <c:ptCount val="6"/>
                <c:pt idx="0">
                  <c:v>2018</c:v>
                </c:pt>
                <c:pt idx="1">
                  <c:v>2019</c:v>
                </c:pt>
                <c:pt idx="2">
                  <c:v>2020</c:v>
                </c:pt>
                <c:pt idx="3">
                  <c:v>2021 (Marco 2005)</c:v>
                </c:pt>
                <c:pt idx="4">
                  <c:v>2021 (Marco 2018)</c:v>
                </c:pt>
                <c:pt idx="5">
                  <c:v>2022</c:v>
                </c:pt>
              </c:strCache>
            </c:strRef>
          </c:cat>
          <c:val>
            <c:numRef>
              <c:f>'I. Pobreza '!$B$5:$G$5</c:f>
              <c:numCache>
                <c:formatCode>0.0</c:formatCode>
                <c:ptCount val="6"/>
                <c:pt idx="0">
                  <c:v>4</c:v>
                </c:pt>
                <c:pt idx="1">
                  <c:v>4.2</c:v>
                </c:pt>
                <c:pt idx="2">
                  <c:v>13.2</c:v>
                </c:pt>
                <c:pt idx="3">
                  <c:v>9.4</c:v>
                </c:pt>
                <c:pt idx="4">
                  <c:v>8.5</c:v>
                </c:pt>
                <c:pt idx="5">
                  <c:v>8.1</c:v>
                </c:pt>
              </c:numCache>
            </c:numRef>
          </c:val>
          <c:extLst>
            <c:ext xmlns:c16="http://schemas.microsoft.com/office/drawing/2014/chart" uri="{C3380CC4-5D6E-409C-BE32-E72D297353CC}">
              <c16:uniqueId val="{00000007-A474-6947-A0FB-6EA3194B095C}"/>
            </c:ext>
          </c:extLst>
        </c:ser>
        <c:dLbls>
          <c:dLblPos val="outEnd"/>
          <c:showLegendKey val="0"/>
          <c:showVal val="1"/>
          <c:showCatName val="0"/>
          <c:showSerName val="0"/>
          <c:showPercent val="0"/>
          <c:showBubbleSize val="0"/>
        </c:dLbls>
        <c:gapWidth val="219"/>
        <c:overlap val="-27"/>
        <c:axId val="-1742221120"/>
        <c:axId val="-1742218400"/>
      </c:barChart>
      <c:catAx>
        <c:axId val="-1742221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42218400"/>
        <c:crosses val="autoZero"/>
        <c:auto val="1"/>
        <c:lblAlgn val="ctr"/>
        <c:lblOffset val="100"/>
        <c:noMultiLvlLbl val="0"/>
      </c:catAx>
      <c:valAx>
        <c:axId val="-1742218400"/>
        <c:scaling>
          <c:orientation val="minMax"/>
        </c:scaling>
        <c:delete val="1"/>
        <c:axPos val="l"/>
        <c:numFmt formatCode="0.0" sourceLinked="1"/>
        <c:majorTickMark val="none"/>
        <c:minorTickMark val="none"/>
        <c:tickLblPos val="nextTo"/>
        <c:crossAx val="-1742221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1"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c:spPr>
          <c:invertIfNegative val="0"/>
          <c:dLbls>
            <c:spPr>
              <a:noFill/>
              <a:ln>
                <a:noFill/>
              </a:ln>
              <a:effectLst/>
            </c:spPr>
            <c:txPr>
              <a:bodyPr rot="-5400000" spcFirstLastPara="1" vertOverflow="ellipsis" wrap="square" lIns="38100" tIns="19050" rIns="38100" bIns="19050" anchor="t" anchorCtr="0">
                <a:spAutoFit/>
              </a:bodyPr>
              <a:lstStyle/>
              <a:p>
                <a:pPr>
                  <a:defRPr sz="900" b="1"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InseguridadAlimentaria!$B$4:$B$37</c:f>
              <c:strCache>
                <c:ptCount val="34"/>
                <c:pt idx="0">
                  <c:v>La Guajira</c:v>
                </c:pt>
                <c:pt idx="1">
                  <c:v>Vichada</c:v>
                </c:pt>
                <c:pt idx="2">
                  <c:v>Chocó</c:v>
                </c:pt>
                <c:pt idx="3">
                  <c:v>Sucre</c:v>
                </c:pt>
                <c:pt idx="4">
                  <c:v>Magdalena</c:v>
                </c:pt>
                <c:pt idx="5">
                  <c:v>Arauca</c:v>
                </c:pt>
                <c:pt idx="6">
                  <c:v>Cesar</c:v>
                </c:pt>
                <c:pt idx="7">
                  <c:v>Vaupés</c:v>
                </c:pt>
                <c:pt idx="8">
                  <c:v>Atlántico</c:v>
                </c:pt>
                <c:pt idx="9">
                  <c:v>Córdoba</c:v>
                </c:pt>
                <c:pt idx="10">
                  <c:v>Nariño</c:v>
                </c:pt>
                <c:pt idx="11">
                  <c:v>Guaviare</c:v>
                </c:pt>
                <c:pt idx="12">
                  <c:v>Bolívar </c:v>
                </c:pt>
                <c:pt idx="13">
                  <c:v>Valle</c:v>
                </c:pt>
                <c:pt idx="14">
                  <c:v>Total Nacional</c:v>
                </c:pt>
                <c:pt idx="15">
                  <c:v>Guainía</c:v>
                </c:pt>
                <c:pt idx="16">
                  <c:v>Casanare </c:v>
                </c:pt>
                <c:pt idx="17">
                  <c:v>San Andrés</c:v>
                </c:pt>
                <c:pt idx="18">
                  <c:v>Amazonas</c:v>
                </c:pt>
                <c:pt idx="19">
                  <c:v>Bogotá</c:v>
                </c:pt>
                <c:pt idx="20">
                  <c:v>Meta</c:v>
                </c:pt>
                <c:pt idx="21">
                  <c:v>Antioquía</c:v>
                </c:pt>
                <c:pt idx="22">
                  <c:v>Cundinamarca </c:v>
                </c:pt>
                <c:pt idx="23">
                  <c:v>Caqueta</c:v>
                </c:pt>
                <c:pt idx="24">
                  <c:v>Norte de Sanatander</c:v>
                </c:pt>
                <c:pt idx="25">
                  <c:v>Tolima</c:v>
                </c:pt>
                <c:pt idx="26">
                  <c:v>Cauca</c:v>
                </c:pt>
                <c:pt idx="27">
                  <c:v>Risaralda</c:v>
                </c:pt>
                <c:pt idx="28">
                  <c:v>Huila </c:v>
                </c:pt>
                <c:pt idx="29">
                  <c:v>Putumayo</c:v>
                </c:pt>
                <c:pt idx="30">
                  <c:v>Caldas</c:v>
                </c:pt>
                <c:pt idx="31">
                  <c:v>Santander</c:v>
                </c:pt>
                <c:pt idx="32">
                  <c:v>Quindio</c:v>
                </c:pt>
                <c:pt idx="33">
                  <c:v>Boyacá</c:v>
                </c:pt>
              </c:strCache>
            </c:strRef>
          </c:cat>
          <c:val>
            <c:numRef>
              <c:f>InseguridadAlimentaria!$C$4:$C$37</c:f>
              <c:numCache>
                <c:formatCode>General</c:formatCode>
                <c:ptCount val="34"/>
                <c:pt idx="0">
                  <c:v>18.5</c:v>
                </c:pt>
                <c:pt idx="1">
                  <c:v>13.1</c:v>
                </c:pt>
                <c:pt idx="2">
                  <c:v>12.4</c:v>
                </c:pt>
                <c:pt idx="3">
                  <c:v>10.6</c:v>
                </c:pt>
                <c:pt idx="4">
                  <c:v>10.6</c:v>
                </c:pt>
                <c:pt idx="5" formatCode="0.0">
                  <c:v>10</c:v>
                </c:pt>
                <c:pt idx="6">
                  <c:v>9.9</c:v>
                </c:pt>
                <c:pt idx="7">
                  <c:v>9.6</c:v>
                </c:pt>
                <c:pt idx="8">
                  <c:v>8.9</c:v>
                </c:pt>
                <c:pt idx="9">
                  <c:v>8.1</c:v>
                </c:pt>
                <c:pt idx="10">
                  <c:v>7.9</c:v>
                </c:pt>
                <c:pt idx="11">
                  <c:v>5.5</c:v>
                </c:pt>
                <c:pt idx="12">
                  <c:v>5.3</c:v>
                </c:pt>
                <c:pt idx="13">
                  <c:v>5.2</c:v>
                </c:pt>
                <c:pt idx="14">
                  <c:v>5.2</c:v>
                </c:pt>
                <c:pt idx="15">
                  <c:v>4.7</c:v>
                </c:pt>
                <c:pt idx="16">
                  <c:v>4.5999999999999996</c:v>
                </c:pt>
                <c:pt idx="17">
                  <c:v>4.5</c:v>
                </c:pt>
                <c:pt idx="18">
                  <c:v>4.2</c:v>
                </c:pt>
                <c:pt idx="19">
                  <c:v>4.2</c:v>
                </c:pt>
                <c:pt idx="20">
                  <c:v>4.0999999999999996</c:v>
                </c:pt>
                <c:pt idx="21">
                  <c:v>3.6</c:v>
                </c:pt>
                <c:pt idx="22">
                  <c:v>3.5</c:v>
                </c:pt>
                <c:pt idx="23">
                  <c:v>3.3</c:v>
                </c:pt>
                <c:pt idx="24" formatCode="0.0">
                  <c:v>3</c:v>
                </c:pt>
                <c:pt idx="25">
                  <c:v>2.8</c:v>
                </c:pt>
                <c:pt idx="26">
                  <c:v>2.8</c:v>
                </c:pt>
                <c:pt idx="27">
                  <c:v>2.7</c:v>
                </c:pt>
                <c:pt idx="28">
                  <c:v>2.7</c:v>
                </c:pt>
                <c:pt idx="29">
                  <c:v>2.6</c:v>
                </c:pt>
                <c:pt idx="30">
                  <c:v>2.5</c:v>
                </c:pt>
                <c:pt idx="31">
                  <c:v>2.4</c:v>
                </c:pt>
                <c:pt idx="32">
                  <c:v>2.2000000000000002</c:v>
                </c:pt>
                <c:pt idx="33" formatCode="0.0">
                  <c:v>2</c:v>
                </c:pt>
              </c:numCache>
            </c:numRef>
          </c:val>
          <c:extLst>
            <c:ext xmlns:c16="http://schemas.microsoft.com/office/drawing/2014/chart" uri="{C3380CC4-5D6E-409C-BE32-E72D297353CC}">
              <c16:uniqueId val="{00000000-B8F0-481F-8C47-698A991193EC}"/>
            </c:ext>
          </c:extLst>
        </c:ser>
        <c:dLbls>
          <c:dLblPos val="outEnd"/>
          <c:showLegendKey val="0"/>
          <c:showVal val="1"/>
          <c:showCatName val="0"/>
          <c:showSerName val="0"/>
          <c:showPercent val="0"/>
          <c:showBubbleSize val="0"/>
        </c:dLbls>
        <c:gapWidth val="219"/>
        <c:overlap val="-27"/>
        <c:axId val="-1742222752"/>
        <c:axId val="-1742220576"/>
      </c:barChart>
      <c:catAx>
        <c:axId val="-1742222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42220576"/>
        <c:crosses val="autoZero"/>
        <c:auto val="1"/>
        <c:lblAlgn val="ctr"/>
        <c:lblOffset val="100"/>
        <c:noMultiLvlLbl val="0"/>
      </c:catAx>
      <c:valAx>
        <c:axId val="-1742220576"/>
        <c:scaling>
          <c:orientation val="minMax"/>
        </c:scaling>
        <c:delete val="1"/>
        <c:axPos val="l"/>
        <c:numFmt formatCode="General" sourceLinked="1"/>
        <c:majorTickMark val="none"/>
        <c:minorTickMark val="none"/>
        <c:tickLblPos val="nextTo"/>
        <c:crossAx val="-17422227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54621685527598"/>
          <c:y val="2.7123554000194419E-2"/>
          <c:w val="0.8625612735271635"/>
          <c:h val="0.66567356858170501"/>
        </c:manualLayout>
      </c:layout>
      <c:lineChart>
        <c:grouping val="standard"/>
        <c:varyColors val="0"/>
        <c:ser>
          <c:idx val="0"/>
          <c:order val="0"/>
          <c:spPr>
            <a:ln w="28575" cap="rnd">
              <a:solidFill>
                <a:srgbClr val="C00000"/>
              </a:solidFill>
              <a:round/>
            </a:ln>
            <a:effectLst/>
          </c:spPr>
          <c:marker>
            <c:symbol val="none"/>
          </c:marker>
          <c:dLbls>
            <c:dLbl>
              <c:idx val="5"/>
              <c:layout>
                <c:manualLayout>
                  <c:x val="-2.6889612321881355E-2"/>
                  <c:y val="-3.59741698954297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36-224E-B3DA-4B7F620C7E12}"/>
                </c:ext>
              </c:extLst>
            </c:dLbl>
            <c:spPr>
              <a:noFill/>
              <a:ln>
                <a:noFill/>
              </a:ln>
              <a:effectLst/>
            </c:spPr>
            <c:txPr>
              <a:bodyPr rot="-5400000" spcFirstLastPara="1" vertOverflow="ellipsis" wrap="square" lIns="38100" tIns="19050" rIns="38100" bIns="19050" anchor="t" anchorCtr="0">
                <a:spAutoFit/>
              </a:bodyPr>
              <a:lstStyle/>
              <a:p>
                <a:pPr>
                  <a:defRPr sz="1000" b="1"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DerechosVictimas!$B$17:$R$17</c:f>
              <c:strCache>
                <c:ptCount val="17"/>
                <c:pt idx="0">
                  <c:v> Enero 2020</c:v>
                </c:pt>
                <c:pt idx="1">
                  <c:v> Abril 2020</c:v>
                </c:pt>
                <c:pt idx="2">
                  <c:v> Julio 2020</c:v>
                </c:pt>
                <c:pt idx="3">
                  <c:v> Octubre 2020</c:v>
                </c:pt>
                <c:pt idx="4">
                  <c:v> Enero 2021</c:v>
                </c:pt>
                <c:pt idx="5">
                  <c:v> Abril 2021</c:v>
                </c:pt>
                <c:pt idx="6">
                  <c:v> Julio 2021</c:v>
                </c:pt>
                <c:pt idx="7">
                  <c:v>  Septiembre 2021</c:v>
                </c:pt>
                <c:pt idx="8">
                  <c:v>  Diciembre 2021</c:v>
                </c:pt>
                <c:pt idx="9">
                  <c:v> Abril 2022</c:v>
                </c:pt>
                <c:pt idx="10">
                  <c:v> Julio 2022</c:v>
                </c:pt>
                <c:pt idx="11">
                  <c:v>  Octubre 2022</c:v>
                </c:pt>
                <c:pt idx="12">
                  <c:v> Diciembre 2022</c:v>
                </c:pt>
                <c:pt idx="13">
                  <c:v>Marzo de 2023</c:v>
                </c:pt>
                <c:pt idx="14">
                  <c:v>Junio de 2023</c:v>
                </c:pt>
                <c:pt idx="15">
                  <c:v>Agosto de 2023</c:v>
                </c:pt>
                <c:pt idx="16">
                  <c:v>Diciembre de 2023</c:v>
                </c:pt>
              </c:strCache>
            </c:strRef>
          </c:cat>
          <c:val>
            <c:numRef>
              <c:f>DerechosVictimas!$B$18:$R$18</c:f>
              <c:numCache>
                <c:formatCode>#,##0</c:formatCode>
                <c:ptCount val="17"/>
                <c:pt idx="0">
                  <c:v>340376</c:v>
                </c:pt>
                <c:pt idx="1">
                  <c:v>354633</c:v>
                </c:pt>
                <c:pt idx="2">
                  <c:v>358408</c:v>
                </c:pt>
                <c:pt idx="3">
                  <c:v>360018</c:v>
                </c:pt>
                <c:pt idx="4">
                  <c:v>370252</c:v>
                </c:pt>
                <c:pt idx="5">
                  <c:v>383447</c:v>
                </c:pt>
                <c:pt idx="6">
                  <c:v>378915</c:v>
                </c:pt>
                <c:pt idx="7">
                  <c:v>379869</c:v>
                </c:pt>
                <c:pt idx="8">
                  <c:v>378676</c:v>
                </c:pt>
                <c:pt idx="9">
                  <c:v>369447</c:v>
                </c:pt>
                <c:pt idx="10">
                  <c:v>366517</c:v>
                </c:pt>
                <c:pt idx="11">
                  <c:v>348310</c:v>
                </c:pt>
                <c:pt idx="12">
                  <c:v>348884</c:v>
                </c:pt>
                <c:pt idx="13">
                  <c:v>354760</c:v>
                </c:pt>
                <c:pt idx="14">
                  <c:v>368219</c:v>
                </c:pt>
                <c:pt idx="15">
                  <c:v>370752</c:v>
                </c:pt>
                <c:pt idx="16">
                  <c:v>377830</c:v>
                </c:pt>
              </c:numCache>
            </c:numRef>
          </c:val>
          <c:smooth val="0"/>
          <c:extLst>
            <c:ext xmlns:c16="http://schemas.microsoft.com/office/drawing/2014/chart" uri="{C3380CC4-5D6E-409C-BE32-E72D297353CC}">
              <c16:uniqueId val="{00000001-EA36-224E-B3DA-4B7F620C7E12}"/>
            </c:ext>
          </c:extLst>
        </c:ser>
        <c:dLbls>
          <c:dLblPos val="ctr"/>
          <c:showLegendKey val="0"/>
          <c:showVal val="1"/>
          <c:showCatName val="0"/>
          <c:showSerName val="0"/>
          <c:showPercent val="0"/>
          <c:showBubbleSize val="0"/>
        </c:dLbls>
        <c:smooth val="0"/>
        <c:axId val="-1703981648"/>
        <c:axId val="-1703978384"/>
      </c:lineChart>
      <c:catAx>
        <c:axId val="-1703981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crossAx val="-1703978384"/>
        <c:crosses val="autoZero"/>
        <c:auto val="1"/>
        <c:lblAlgn val="ctr"/>
        <c:lblOffset val="100"/>
        <c:noMultiLvlLbl val="0"/>
      </c:catAx>
      <c:valAx>
        <c:axId val="-1703978384"/>
        <c:scaling>
          <c:orientation val="minMax"/>
          <c:min val="33000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03981648"/>
        <c:crosses val="autoZero"/>
        <c:crossBetween val="between"/>
        <c:dispUnits>
          <c:builtInUnit val="thousands"/>
          <c:dispUnitsLbl>
            <c:layout>
              <c:manualLayout>
                <c:xMode val="edge"/>
                <c:yMode val="edge"/>
                <c:x val="2.2629554197782304E-2"/>
                <c:y val="9.8765432098765427E-2"/>
              </c:manualLayout>
            </c:layout>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ndara" panose="020E0502030303020204" pitchFamily="34" charset="0"/>
                      <a:ea typeface="+mn-ea"/>
                      <a:cs typeface="+mn-cs"/>
                    </a:defRPr>
                  </a:pPr>
                  <a:r>
                    <a:rPr lang="es-CO" b="0">
                      <a:latin typeface="Candara" panose="020E0502030303020204" pitchFamily="34" charset="0"/>
                    </a:rPr>
                    <a:t>miles de</a:t>
                  </a:r>
                  <a:r>
                    <a:rPr lang="es-CO" b="0" baseline="0">
                      <a:latin typeface="Candara" panose="020E0502030303020204" pitchFamily="34" charset="0"/>
                    </a:rPr>
                    <a:t> personas</a:t>
                  </a:r>
                  <a:endParaRPr lang="es-CO" b="0">
                    <a:latin typeface="Candara" panose="020E0502030303020204" pitchFamily="34" charset="0"/>
                  </a:endParaRPr>
                </a:p>
              </c:rich>
            </c:tx>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dispUnitsLbl>
        </c:dispUnits>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'No victimas'!$B$17</c:f>
              <c:strCache>
                <c:ptCount val="1"/>
                <c:pt idx="0">
                  <c:v>Cumple</c:v>
                </c:pt>
              </c:strCache>
            </c:strRef>
          </c:tx>
          <c:spPr>
            <a:solidFill>
              <a:srgbClr val="C00000"/>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victimas'!$B$18:$B$25</c:f>
              <c:numCache>
                <c:formatCode>0.0%</c:formatCode>
                <c:ptCount val="8"/>
                <c:pt idx="0">
                  <c:v>6.316377200693768E-2</c:v>
                </c:pt>
                <c:pt idx="1">
                  <c:v>0.82480576872817124</c:v>
                </c:pt>
                <c:pt idx="2">
                  <c:v>0.22022678134429424</c:v>
                </c:pt>
                <c:pt idx="3">
                  <c:v>0.9887975480529354</c:v>
                </c:pt>
                <c:pt idx="4">
                  <c:v>0.70422794554396639</c:v>
                </c:pt>
                <c:pt idx="5">
                  <c:v>6.1981752952077742E-3</c:v>
                </c:pt>
                <c:pt idx="6">
                  <c:v>0.97503801468317142</c:v>
                </c:pt>
                <c:pt idx="7">
                  <c:v>0.64314607142008606</c:v>
                </c:pt>
              </c:numCache>
            </c:numRef>
          </c:val>
          <c:extLst>
            <c:ext xmlns:c16="http://schemas.microsoft.com/office/drawing/2014/chart" uri="{C3380CC4-5D6E-409C-BE32-E72D297353CC}">
              <c16:uniqueId val="{00000000-B05B-C049-B8DE-F8ED0B3B48D1}"/>
            </c:ext>
          </c:extLst>
        </c:ser>
        <c:ser>
          <c:idx val="1"/>
          <c:order val="1"/>
          <c:tx>
            <c:strRef>
              <c:f>'No victimas'!$C$17</c:f>
              <c:strCache>
                <c:ptCount val="1"/>
                <c:pt idx="0">
                  <c:v>No aplica</c:v>
                </c:pt>
              </c:strCache>
            </c:strRef>
          </c:tx>
          <c:spPr>
            <a:solidFill>
              <a:srgbClr val="FF7E00"/>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victimas'!$C$18:$C$25</c:f>
              <c:numCache>
                <c:formatCode>0.0%</c:formatCode>
                <c:ptCount val="8"/>
                <c:pt idx="0">
                  <c:v>0.8721578084535152</c:v>
                </c:pt>
                <c:pt idx="1">
                  <c:v>0</c:v>
                </c:pt>
                <c:pt idx="2">
                  <c:v>0.7652801206966191</c:v>
                </c:pt>
                <c:pt idx="3">
                  <c:v>0</c:v>
                </c:pt>
                <c:pt idx="4">
                  <c:v>0</c:v>
                </c:pt>
                <c:pt idx="5">
                  <c:v>0.99165161918791134</c:v>
                </c:pt>
                <c:pt idx="6">
                  <c:v>0</c:v>
                </c:pt>
                <c:pt idx="7">
                  <c:v>0</c:v>
                </c:pt>
              </c:numCache>
            </c:numRef>
          </c:val>
          <c:extLst>
            <c:ext xmlns:c16="http://schemas.microsoft.com/office/drawing/2014/chart" uri="{C3380CC4-5D6E-409C-BE32-E72D297353CC}">
              <c16:uniqueId val="{00000001-B05B-C049-B8DE-F8ED0B3B48D1}"/>
            </c:ext>
          </c:extLst>
        </c:ser>
        <c:ser>
          <c:idx val="2"/>
          <c:order val="2"/>
          <c:tx>
            <c:strRef>
              <c:f>'No victimas'!$D$17</c:f>
              <c:strCache>
                <c:ptCount val="1"/>
                <c:pt idx="0">
                  <c:v>No cumple</c:v>
                </c:pt>
              </c:strCache>
            </c:strRef>
          </c:tx>
          <c:spPr>
            <a:solidFill>
              <a:schemeClr val="bg2">
                <a:lumMod val="75000"/>
              </a:schemeClr>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victimas'!$D$18:$D$25</c:f>
              <c:numCache>
                <c:formatCode>0.0%</c:formatCode>
                <c:ptCount val="8"/>
                <c:pt idx="0">
                  <c:v>6.4678419539547144E-2</c:v>
                </c:pt>
                <c:pt idx="1">
                  <c:v>7.6183800993133599E-2</c:v>
                </c:pt>
                <c:pt idx="2">
                  <c:v>1.4493097959086697E-2</c:v>
                </c:pt>
                <c:pt idx="3">
                  <c:v>9.0403668416926038E-3</c:v>
                </c:pt>
                <c:pt idx="4">
                  <c:v>9.6937442087006109E-2</c:v>
                </c:pt>
                <c:pt idx="5">
                  <c:v>2.1502055168808954E-3</c:v>
                </c:pt>
                <c:pt idx="6">
                  <c:v>2.4961985316828625E-2</c:v>
                </c:pt>
                <c:pt idx="7" formatCode="0.00%">
                  <c:v>0.22002185844282354</c:v>
                </c:pt>
              </c:numCache>
            </c:numRef>
          </c:val>
          <c:extLst>
            <c:ext xmlns:c16="http://schemas.microsoft.com/office/drawing/2014/chart" uri="{C3380CC4-5D6E-409C-BE32-E72D297353CC}">
              <c16:uniqueId val="{00000002-B05B-C049-B8DE-F8ED0B3B48D1}"/>
            </c:ext>
          </c:extLst>
        </c:ser>
        <c:ser>
          <c:idx val="3"/>
          <c:order val="3"/>
          <c:tx>
            <c:strRef>
              <c:f>'No victimas'!$E$17</c:f>
              <c:strCache>
                <c:ptCount val="1"/>
                <c:pt idx="0">
                  <c:v>No Determinado</c:v>
                </c:pt>
              </c:strCache>
            </c:strRef>
          </c:tx>
          <c:spPr>
            <a:solidFill>
              <a:schemeClr val="accent4"/>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victimas'!$E$18:$E$25</c:f>
              <c:numCache>
                <c:formatCode>0.0%</c:formatCode>
                <c:ptCount val="8"/>
                <c:pt idx="0">
                  <c:v>0</c:v>
                </c:pt>
                <c:pt idx="1">
                  <c:v>9.9010430278695147E-2</c:v>
                </c:pt>
                <c:pt idx="2">
                  <c:v>0</c:v>
                </c:pt>
                <c:pt idx="3">
                  <c:v>2.1620851053719501E-3</c:v>
                </c:pt>
                <c:pt idx="4">
                  <c:v>0.19883461236902752</c:v>
                </c:pt>
                <c:pt idx="5">
                  <c:v>0</c:v>
                </c:pt>
                <c:pt idx="6">
                  <c:v>0</c:v>
                </c:pt>
                <c:pt idx="7">
                  <c:v>0.13683207013709045</c:v>
                </c:pt>
              </c:numCache>
            </c:numRef>
          </c:val>
          <c:extLst>
            <c:ext xmlns:c16="http://schemas.microsoft.com/office/drawing/2014/chart" uri="{C3380CC4-5D6E-409C-BE32-E72D297353CC}">
              <c16:uniqueId val="{00000003-B05B-C049-B8DE-F8ED0B3B48D1}"/>
            </c:ext>
          </c:extLst>
        </c:ser>
        <c:dLbls>
          <c:showLegendKey val="0"/>
          <c:showVal val="0"/>
          <c:showCatName val="0"/>
          <c:showSerName val="0"/>
          <c:showPercent val="0"/>
          <c:showBubbleSize val="0"/>
        </c:dLbls>
        <c:gapWidth val="150"/>
        <c:overlap val="100"/>
        <c:axId val="-1703978928"/>
        <c:axId val="-1703982192"/>
      </c:barChart>
      <c:catAx>
        <c:axId val="-1703978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03982192"/>
        <c:crosses val="autoZero"/>
        <c:auto val="1"/>
        <c:lblAlgn val="ctr"/>
        <c:lblOffset val="100"/>
        <c:noMultiLvlLbl val="0"/>
      </c:catAx>
      <c:valAx>
        <c:axId val="-170398219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03978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1"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2">
                        <a:lumMod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IntervencionArtisticaEP!$C$2:$C$13</c:f>
              <c:strCache>
                <c:ptCount val="12"/>
                <c:pt idx="0">
                  <c:v>Potencia las relaciones entre la ciudadanía</c:v>
                </c:pt>
                <c:pt idx="1">
                  <c:v>Mejoran el espacio público</c:v>
                </c:pt>
                <c:pt idx="2">
                  <c:v>Mejoran la percepción de seguridad de la</c:v>
                </c:pt>
                <c:pt idx="3">
                  <c:v>No generan ningún valor</c:v>
                </c:pt>
                <c:pt idx="4">
                  <c:v>Afectan la movilidad</c:v>
                </c:pt>
                <c:pt idx="5">
                  <c:v>Generan espacios de encuentro entre la</c:v>
                </c:pt>
                <c:pt idx="6">
                  <c:v>Promueve el desarrollo económico de la</c:v>
                </c:pt>
                <c:pt idx="7">
                  <c:v>Incentivan el uso por la ciudad</c:v>
                </c:pt>
                <c:pt idx="8">
                  <c:v>Promueven el arte</c:v>
                </c:pt>
                <c:pt idx="9">
                  <c:v>Invitan a la reflexión</c:v>
                </c:pt>
                <c:pt idx="10">
                  <c:v>Generan contaminación visual</c:v>
                </c:pt>
                <c:pt idx="11">
                  <c:v>Embellecen la ciudad</c:v>
                </c:pt>
              </c:strCache>
            </c:strRef>
          </c:cat>
          <c:val>
            <c:numRef>
              <c:f>IntervencionArtisticaEP!$D$2:$D$13</c:f>
              <c:numCache>
                <c:formatCode>0%</c:formatCode>
                <c:ptCount val="12"/>
                <c:pt idx="0">
                  <c:v>0.01</c:v>
                </c:pt>
                <c:pt idx="1">
                  <c:v>0.04</c:v>
                </c:pt>
                <c:pt idx="2">
                  <c:v>0.4</c:v>
                </c:pt>
                <c:pt idx="3">
                  <c:v>0.3</c:v>
                </c:pt>
                <c:pt idx="4">
                  <c:v>0.12</c:v>
                </c:pt>
                <c:pt idx="5">
                  <c:v>0.48</c:v>
                </c:pt>
                <c:pt idx="6">
                  <c:v>0.35</c:v>
                </c:pt>
                <c:pt idx="7">
                  <c:v>0.51</c:v>
                </c:pt>
                <c:pt idx="8">
                  <c:v>0.84</c:v>
                </c:pt>
                <c:pt idx="9">
                  <c:v>0.75</c:v>
                </c:pt>
                <c:pt idx="10">
                  <c:v>0.52</c:v>
                </c:pt>
                <c:pt idx="11">
                  <c:v>0.68</c:v>
                </c:pt>
              </c:numCache>
            </c:numRef>
          </c:val>
          <c:extLst>
            <c:ext xmlns:c16="http://schemas.microsoft.com/office/drawing/2014/chart" uri="{C3380CC4-5D6E-409C-BE32-E72D297353CC}">
              <c16:uniqueId val="{00000000-5A95-5C49-8C0E-8B33BEBEA0D0}"/>
            </c:ext>
          </c:extLst>
        </c:ser>
        <c:dLbls>
          <c:dLblPos val="outEnd"/>
          <c:showLegendKey val="0"/>
          <c:showVal val="1"/>
          <c:showCatName val="0"/>
          <c:showSerName val="0"/>
          <c:showPercent val="0"/>
          <c:showBubbleSize val="0"/>
        </c:dLbls>
        <c:gapWidth val="182"/>
        <c:axId val="-1703980560"/>
        <c:axId val="-1703977296"/>
      </c:barChart>
      <c:catAx>
        <c:axId val="-1703980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03977296"/>
        <c:crosses val="autoZero"/>
        <c:auto val="1"/>
        <c:lblAlgn val="ctr"/>
        <c:lblOffset val="100"/>
        <c:noMultiLvlLbl val="0"/>
      </c:catAx>
      <c:valAx>
        <c:axId val="-17039772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7039805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Candara" panose="020E0502030303020204" pitchFamily="34" charset="0"/>
                    <a:ea typeface="+mn-ea"/>
                    <a:cs typeface="Arial" panose="020B0604020202020204" pitchFamily="34"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5-6'!$C$8:$C$10</c:f>
              <c:strCache>
                <c:ptCount val="3"/>
                <c:pt idx="0">
                  <c:v>Gestión Presupuestal</c:v>
                </c:pt>
                <c:pt idx="1">
                  <c:v>Gestión de Resultados</c:v>
                </c:pt>
                <c:pt idx="2">
                  <c:v>Gestión Institucional </c:v>
                </c:pt>
              </c:strCache>
            </c:strRef>
          </c:cat>
          <c:val>
            <c:numRef>
              <c:f>'Grafica 5-6'!$D$8:$D$10</c:f>
              <c:numCache>
                <c:formatCode>General</c:formatCode>
                <c:ptCount val="3"/>
                <c:pt idx="0">
                  <c:v>84.15</c:v>
                </c:pt>
                <c:pt idx="1">
                  <c:v>93.78</c:v>
                </c:pt>
                <c:pt idx="2">
                  <c:v>85.81</c:v>
                </c:pt>
              </c:numCache>
            </c:numRef>
          </c:val>
          <c:extLst>
            <c:ext xmlns:c16="http://schemas.microsoft.com/office/drawing/2014/chart" uri="{C3380CC4-5D6E-409C-BE32-E72D297353CC}">
              <c16:uniqueId val="{00000000-A30B-4E81-9D34-FDF376DDAC75}"/>
            </c:ext>
          </c:extLst>
        </c:ser>
        <c:dLbls>
          <c:dLblPos val="inEnd"/>
          <c:showLegendKey val="0"/>
          <c:showVal val="1"/>
          <c:showCatName val="0"/>
          <c:showSerName val="0"/>
          <c:showPercent val="0"/>
          <c:showBubbleSize val="0"/>
        </c:dLbls>
        <c:gapWidth val="100"/>
        <c:axId val="1299788319"/>
        <c:axId val="1299991759"/>
      </c:barChart>
      <c:lineChart>
        <c:grouping val="standard"/>
        <c:varyColors val="0"/>
        <c:ser>
          <c:idx val="1"/>
          <c:order val="1"/>
          <c:spPr>
            <a:ln w="44450" cap="rnd">
              <a:solidFill>
                <a:srgbClr val="FFC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1-A30B-4E81-9D34-FDF376DDAC75}"/>
                </c:ext>
              </c:extLst>
            </c:dLbl>
            <c:dLbl>
              <c:idx val="1"/>
              <c:delete val="1"/>
              <c:extLst>
                <c:ext xmlns:c15="http://schemas.microsoft.com/office/drawing/2012/chart" uri="{CE6537A1-D6FC-4f65-9D91-7224C49458BB}"/>
                <c:ext xmlns:c16="http://schemas.microsoft.com/office/drawing/2014/chart" uri="{C3380CC4-5D6E-409C-BE32-E72D297353CC}">
                  <c16:uniqueId val="{00000002-A30B-4E81-9D34-FDF376DDAC75}"/>
                </c:ext>
              </c:extLst>
            </c:dLbl>
            <c:spPr>
              <a:noFill/>
              <a:ln>
                <a:noFill/>
              </a:ln>
              <a:effectLst/>
            </c:spPr>
            <c:txPr>
              <a:bodyPr rot="0" spcFirstLastPara="1" vertOverflow="ellipsis" vert="horz" wrap="square" anchor="ctr" anchorCtr="1"/>
              <a:lstStyle/>
              <a:p>
                <a:pPr>
                  <a:defRPr sz="1400" b="1" i="0" u="none" strike="noStrike" kern="1200" baseline="0">
                    <a:solidFill>
                      <a:schemeClr val="tx1">
                        <a:lumMod val="75000"/>
                        <a:lumOff val="25000"/>
                      </a:schemeClr>
                    </a:solidFill>
                    <a:latin typeface="Candara" panose="020E0502030303020204" pitchFamily="34" charset="0"/>
                    <a:ea typeface="+mn-ea"/>
                    <a:cs typeface="Arial" panose="020B0604020202020204" pitchFamily="34"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5-6'!$C$8:$C$10</c:f>
              <c:strCache>
                <c:ptCount val="3"/>
                <c:pt idx="0">
                  <c:v>Gestión Presupuestal</c:v>
                </c:pt>
                <c:pt idx="1">
                  <c:v>Gestión de Resultados</c:v>
                </c:pt>
                <c:pt idx="2">
                  <c:v>Gestión Institucional </c:v>
                </c:pt>
              </c:strCache>
            </c:strRef>
          </c:cat>
          <c:val>
            <c:numRef>
              <c:f>'Grafica 5-6'!$E$8:$E$10</c:f>
              <c:numCache>
                <c:formatCode>General</c:formatCode>
                <c:ptCount val="3"/>
                <c:pt idx="0">
                  <c:v>88.74</c:v>
                </c:pt>
                <c:pt idx="1">
                  <c:v>88.74</c:v>
                </c:pt>
                <c:pt idx="2">
                  <c:v>88.74</c:v>
                </c:pt>
              </c:numCache>
            </c:numRef>
          </c:val>
          <c:smooth val="0"/>
          <c:extLst>
            <c:ext xmlns:c16="http://schemas.microsoft.com/office/drawing/2014/chart" uri="{C3380CC4-5D6E-409C-BE32-E72D297353CC}">
              <c16:uniqueId val="{00000003-A30B-4E81-9D34-FDF376DDAC75}"/>
            </c:ext>
          </c:extLst>
        </c:ser>
        <c:dLbls>
          <c:showLegendKey val="0"/>
          <c:showVal val="1"/>
          <c:showCatName val="0"/>
          <c:showSerName val="0"/>
          <c:showPercent val="0"/>
          <c:showBubbleSize val="0"/>
        </c:dLbls>
        <c:marker val="1"/>
        <c:smooth val="0"/>
        <c:axId val="1299788319"/>
        <c:axId val="1299991759"/>
      </c:lineChart>
      <c:catAx>
        <c:axId val="12997883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CO"/>
          </a:p>
        </c:txPr>
        <c:crossAx val="1299991759"/>
        <c:crosses val="autoZero"/>
        <c:auto val="1"/>
        <c:lblAlgn val="ctr"/>
        <c:lblOffset val="100"/>
        <c:noMultiLvlLbl val="0"/>
      </c:catAx>
      <c:valAx>
        <c:axId val="1299991759"/>
        <c:scaling>
          <c:orientation val="minMax"/>
          <c:max val="95"/>
          <c:min val="8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CO"/>
          </a:p>
        </c:txPr>
        <c:crossAx val="1299788319"/>
        <c:crosses val="autoZero"/>
        <c:crossBetween val="between"/>
        <c:majorUnit val="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Pirámides!$H$20</c:f>
              <c:strCache>
                <c:ptCount val="1"/>
                <c:pt idx="0">
                  <c:v>Hombres</c:v>
                </c:pt>
              </c:strCache>
            </c:strRef>
          </c:tx>
          <c:spPr>
            <a:solidFill>
              <a:srgbClr val="FFC000"/>
            </a:solidFill>
            <a:ln>
              <a:noFill/>
            </a:ln>
            <a:effectLst>
              <a:outerShdw blurRad="50800" dist="38100" dir="2700000" algn="tl" rotWithShape="0">
                <a:prstClr val="black">
                  <a:alpha val="40000"/>
                </a:prstClr>
              </a:outerShdw>
            </a:effectLst>
          </c:spPr>
          <c:invertIfNegative val="0"/>
          <c:cat>
            <c:strRef>
              <c:f>Pirámides!$G$33:$G$41</c:f>
              <c:strCache>
                <c:ptCount val="9"/>
                <c:pt idx="0">
                  <c:v>0-9</c:v>
                </c:pt>
                <c:pt idx="1">
                  <c:v>10-19</c:v>
                </c:pt>
                <c:pt idx="2">
                  <c:v>20-29</c:v>
                </c:pt>
                <c:pt idx="3">
                  <c:v>30-39</c:v>
                </c:pt>
                <c:pt idx="4">
                  <c:v>40-49</c:v>
                </c:pt>
                <c:pt idx="5">
                  <c:v>50-59</c:v>
                </c:pt>
                <c:pt idx="6">
                  <c:v>60-69</c:v>
                </c:pt>
                <c:pt idx="7">
                  <c:v>70-79</c:v>
                </c:pt>
                <c:pt idx="8">
                  <c:v>80-89</c:v>
                </c:pt>
              </c:strCache>
            </c:strRef>
          </c:cat>
          <c:val>
            <c:numRef>
              <c:f>Pirámides!$H$33:$H$41</c:f>
              <c:numCache>
                <c:formatCode>0.0%</c:formatCode>
                <c:ptCount val="9"/>
                <c:pt idx="0">
                  <c:v>0.10609335041102111</c:v>
                </c:pt>
                <c:pt idx="1">
                  <c:v>0.11493919286506771</c:v>
                </c:pt>
                <c:pt idx="2">
                  <c:v>0.13627603954712714</c:v>
                </c:pt>
                <c:pt idx="3">
                  <c:v>0.18105463646371919</c:v>
                </c:pt>
                <c:pt idx="4">
                  <c:v>0.16786190847444557</c:v>
                </c:pt>
                <c:pt idx="5">
                  <c:v>0.12130155969551454</c:v>
                </c:pt>
                <c:pt idx="6">
                  <c:v>8.7690035683228876E-2</c:v>
                </c:pt>
                <c:pt idx="7">
                  <c:v>6.0449445903282599E-2</c:v>
                </c:pt>
                <c:pt idx="8">
                  <c:v>2.4333830956593257E-2</c:v>
                </c:pt>
              </c:numCache>
            </c:numRef>
          </c:val>
          <c:extLst>
            <c:ext xmlns:c16="http://schemas.microsoft.com/office/drawing/2014/chart" uri="{C3380CC4-5D6E-409C-BE32-E72D297353CC}">
              <c16:uniqueId val="{00000000-23E7-A141-8819-691E762E1A16}"/>
            </c:ext>
          </c:extLst>
        </c:ser>
        <c:ser>
          <c:idx val="1"/>
          <c:order val="1"/>
          <c:tx>
            <c:strRef>
              <c:f>Pirámides!$I$20</c:f>
              <c:strCache>
                <c:ptCount val="1"/>
                <c:pt idx="0">
                  <c:v>Mujeres</c:v>
                </c:pt>
              </c:strCache>
            </c:strRef>
          </c:tx>
          <c:spPr>
            <a:solidFill>
              <a:srgbClr val="C00000"/>
            </a:solidFill>
            <a:ln>
              <a:noFill/>
            </a:ln>
            <a:effectLst/>
          </c:spPr>
          <c:invertIfNegative val="0"/>
          <c:cat>
            <c:strRef>
              <c:f>Pirámides!$G$33:$G$41</c:f>
              <c:strCache>
                <c:ptCount val="9"/>
                <c:pt idx="0">
                  <c:v>0-9</c:v>
                </c:pt>
                <c:pt idx="1">
                  <c:v>10-19</c:v>
                </c:pt>
                <c:pt idx="2">
                  <c:v>20-29</c:v>
                </c:pt>
                <c:pt idx="3">
                  <c:v>30-39</c:v>
                </c:pt>
                <c:pt idx="4">
                  <c:v>40-49</c:v>
                </c:pt>
                <c:pt idx="5">
                  <c:v>50-59</c:v>
                </c:pt>
                <c:pt idx="6">
                  <c:v>60-69</c:v>
                </c:pt>
                <c:pt idx="7">
                  <c:v>70-79</c:v>
                </c:pt>
                <c:pt idx="8">
                  <c:v>80-89</c:v>
                </c:pt>
              </c:strCache>
            </c:strRef>
          </c:cat>
          <c:val>
            <c:numRef>
              <c:f>Pirámides!$I$33:$I$41</c:f>
              <c:numCache>
                <c:formatCode>0.0%</c:formatCode>
                <c:ptCount val="9"/>
                <c:pt idx="0">
                  <c:v>-9.3052262620386614E-2</c:v>
                </c:pt>
                <c:pt idx="1">
                  <c:v>-0.10180568542211625</c:v>
                </c:pt>
                <c:pt idx="2">
                  <c:v>-0.12254005142101131</c:v>
                </c:pt>
                <c:pt idx="3">
                  <c:v>-0.16180850307913855</c:v>
                </c:pt>
                <c:pt idx="4">
                  <c:v>-0.15832208278453358</c:v>
                </c:pt>
                <c:pt idx="5">
                  <c:v>-0.13035179652680745</c:v>
                </c:pt>
                <c:pt idx="6">
                  <c:v>-0.10747787979422745</c:v>
                </c:pt>
                <c:pt idx="7">
                  <c:v>-8.3242341369720613E-2</c:v>
                </c:pt>
                <c:pt idx="8">
                  <c:v>-4.1399396982058211E-2</c:v>
                </c:pt>
              </c:numCache>
            </c:numRef>
          </c:val>
          <c:extLst>
            <c:ext xmlns:c16="http://schemas.microsoft.com/office/drawing/2014/chart" uri="{C3380CC4-5D6E-409C-BE32-E72D297353CC}">
              <c16:uniqueId val="{00000001-23E7-A141-8819-691E762E1A16}"/>
            </c:ext>
          </c:extLst>
        </c:ser>
        <c:dLbls>
          <c:showLegendKey val="0"/>
          <c:showVal val="0"/>
          <c:showCatName val="0"/>
          <c:showSerName val="0"/>
          <c:showPercent val="0"/>
          <c:showBubbleSize val="0"/>
        </c:dLbls>
        <c:gapWidth val="150"/>
        <c:overlap val="100"/>
        <c:axId val="1091843391"/>
        <c:axId val="1091851071"/>
      </c:barChart>
      <c:catAx>
        <c:axId val="109184339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091851071"/>
        <c:crosses val="autoZero"/>
        <c:auto val="1"/>
        <c:lblAlgn val="ctr"/>
        <c:lblOffset val="100"/>
        <c:noMultiLvlLbl val="0"/>
      </c:catAx>
      <c:valAx>
        <c:axId val="1091851071"/>
        <c:scaling>
          <c:orientation val="minMax"/>
          <c:max val="0.2"/>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091843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'Grafica 5-6'!$D$31</c:f>
              <c:strCache>
                <c:ptCount val="1"/>
                <c:pt idx="0">
                  <c:v>Promedio D.C.</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bg1"/>
                    </a:solidFill>
                    <a:latin typeface="Candara" panose="020E0502030303020204" pitchFamily="34" charset="0"/>
                    <a:ea typeface="+mn-ea"/>
                    <a:cs typeface="Arial" panose="020B0604020202020204" pitchFamily="34"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5-6'!$C$32:$C$48</c:f>
              <c:strCache>
                <c:ptCount val="17"/>
                <c:pt idx="0">
                  <c:v>Fortalecimiento Organizacional y Simplificación de Procesos</c:v>
                </c:pt>
                <c:pt idx="1">
                  <c:v>Planeación Institucional</c:v>
                </c:pt>
                <c:pt idx="2">
                  <c:v>Participación Ciudadana en la Gestión Pública</c:v>
                </c:pt>
                <c:pt idx="3">
                  <c:v>Gestión Estratégica del Talento Humano</c:v>
                </c:pt>
                <c:pt idx="4">
                  <c:v>Control Interno</c:v>
                </c:pt>
                <c:pt idx="5">
                  <c:v>Seguimiento y Evaluación del Desempeño Institucional</c:v>
                </c:pt>
                <c:pt idx="6">
                  <c:v>Transparencia, Acceso a la Información y lucha contra la Corrupción</c:v>
                </c:pt>
                <c:pt idx="7">
                  <c:v>Compras y Contratación Pública</c:v>
                </c:pt>
                <c:pt idx="8">
                  <c:v>Defensa Jurídica</c:v>
                </c:pt>
                <c:pt idx="9">
                  <c:v>Servicio al ciudadano</c:v>
                </c:pt>
                <c:pt idx="10">
                  <c:v>Gestión Documental</c:v>
                </c:pt>
                <c:pt idx="11">
                  <c:v>Gestión del Conocimiento</c:v>
                </c:pt>
                <c:pt idx="12">
                  <c:v>Gestión de la Información Estadística</c:v>
                </c:pt>
                <c:pt idx="13">
                  <c:v>Gobierno Digital</c:v>
                </c:pt>
                <c:pt idx="14">
                  <c:v>Integridad</c:v>
                </c:pt>
                <c:pt idx="15">
                  <c:v>Seguridad Digital</c:v>
                </c:pt>
                <c:pt idx="16">
                  <c:v>Racionalización de Trámites</c:v>
                </c:pt>
              </c:strCache>
            </c:strRef>
          </c:cat>
          <c:val>
            <c:numRef>
              <c:f>'Grafica 5-6'!$D$32:$D$48</c:f>
              <c:numCache>
                <c:formatCode>0.0</c:formatCode>
                <c:ptCount val="17"/>
                <c:pt idx="0">
                  <c:v>97.3</c:v>
                </c:pt>
                <c:pt idx="1">
                  <c:v>95</c:v>
                </c:pt>
                <c:pt idx="2">
                  <c:v>90.8</c:v>
                </c:pt>
                <c:pt idx="3">
                  <c:v>90.4</c:v>
                </c:pt>
                <c:pt idx="4">
                  <c:v>90.1</c:v>
                </c:pt>
                <c:pt idx="5">
                  <c:v>89</c:v>
                </c:pt>
                <c:pt idx="6">
                  <c:v>88.2</c:v>
                </c:pt>
                <c:pt idx="7">
                  <c:v>88.1</c:v>
                </c:pt>
                <c:pt idx="8">
                  <c:v>86.1</c:v>
                </c:pt>
                <c:pt idx="9">
                  <c:v>85</c:v>
                </c:pt>
                <c:pt idx="10">
                  <c:v>83.8</c:v>
                </c:pt>
                <c:pt idx="11">
                  <c:v>83.6</c:v>
                </c:pt>
                <c:pt idx="12">
                  <c:v>81.5</c:v>
                </c:pt>
                <c:pt idx="13">
                  <c:v>80.7</c:v>
                </c:pt>
                <c:pt idx="14">
                  <c:v>79.599999999999994</c:v>
                </c:pt>
                <c:pt idx="15">
                  <c:v>75.400000000000006</c:v>
                </c:pt>
                <c:pt idx="16">
                  <c:v>67.2</c:v>
                </c:pt>
              </c:numCache>
            </c:numRef>
          </c:val>
          <c:extLst>
            <c:ext xmlns:c16="http://schemas.microsoft.com/office/drawing/2014/chart" uri="{C3380CC4-5D6E-409C-BE32-E72D297353CC}">
              <c16:uniqueId val="{00000000-AF6A-4E11-9C79-42BC4C949B93}"/>
            </c:ext>
          </c:extLst>
        </c:ser>
        <c:ser>
          <c:idx val="0"/>
          <c:order val="1"/>
          <c:tx>
            <c:strRef>
              <c:f>'Grafica 5-6'!$E$31</c:f>
              <c:strCache>
                <c:ptCount val="1"/>
                <c:pt idx="0">
                  <c:v>Promedio Nacional</c:v>
                </c:pt>
              </c:strCache>
            </c:strRef>
          </c:tx>
          <c:spPr>
            <a:solidFill>
              <a:srgbClr val="D9D9D9">
                <a:alpha val="69804"/>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solidFill>
                    <a:latin typeface="Candara" panose="020E0502030303020204" pitchFamily="34" charset="0"/>
                    <a:ea typeface="+mn-ea"/>
                    <a:cs typeface="Arial" panose="020B0604020202020204" pitchFamily="34"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5-6'!$C$32:$C$48</c:f>
              <c:strCache>
                <c:ptCount val="17"/>
                <c:pt idx="0">
                  <c:v>Fortalecimiento Organizacional y Simplificación de Procesos</c:v>
                </c:pt>
                <c:pt idx="1">
                  <c:v>Planeación Institucional</c:v>
                </c:pt>
                <c:pt idx="2">
                  <c:v>Participación Ciudadana en la Gestión Pública</c:v>
                </c:pt>
                <c:pt idx="3">
                  <c:v>Gestión Estratégica del Talento Humano</c:v>
                </c:pt>
                <c:pt idx="4">
                  <c:v>Control Interno</c:v>
                </c:pt>
                <c:pt idx="5">
                  <c:v>Seguimiento y Evaluación del Desempeño Institucional</c:v>
                </c:pt>
                <c:pt idx="6">
                  <c:v>Transparencia, Acceso a la Información y lucha contra la Corrupción</c:v>
                </c:pt>
                <c:pt idx="7">
                  <c:v>Compras y Contratación Pública</c:v>
                </c:pt>
                <c:pt idx="8">
                  <c:v>Defensa Jurídica</c:v>
                </c:pt>
                <c:pt idx="9">
                  <c:v>Servicio al ciudadano</c:v>
                </c:pt>
                <c:pt idx="10">
                  <c:v>Gestión Documental</c:v>
                </c:pt>
                <c:pt idx="11">
                  <c:v>Gestión del Conocimiento</c:v>
                </c:pt>
                <c:pt idx="12">
                  <c:v>Gestión de la Información Estadística</c:v>
                </c:pt>
                <c:pt idx="13">
                  <c:v>Gobierno Digital</c:v>
                </c:pt>
                <c:pt idx="14">
                  <c:v>Integridad</c:v>
                </c:pt>
                <c:pt idx="15">
                  <c:v>Seguridad Digital</c:v>
                </c:pt>
                <c:pt idx="16">
                  <c:v>Racionalización de Trámites</c:v>
                </c:pt>
              </c:strCache>
            </c:strRef>
          </c:cat>
          <c:val>
            <c:numRef>
              <c:f>'Grafica 5-6'!$E$32:$E$48</c:f>
              <c:numCache>
                <c:formatCode>0.0</c:formatCode>
                <c:ptCount val="17"/>
                <c:pt idx="0">
                  <c:v>77.48554402290624</c:v>
                </c:pt>
                <c:pt idx="1">
                  <c:v>66.877153075822449</c:v>
                </c:pt>
                <c:pt idx="2">
                  <c:v>65.186381695636612</c:v>
                </c:pt>
                <c:pt idx="3">
                  <c:v>61.176423520655064</c:v>
                </c:pt>
                <c:pt idx="4">
                  <c:v>62.366205309734625</c:v>
                </c:pt>
                <c:pt idx="5">
                  <c:v>62.449874641833858</c:v>
                </c:pt>
                <c:pt idx="6">
                  <c:v>58.15898864442849</c:v>
                </c:pt>
                <c:pt idx="7">
                  <c:v>66.048662258392909</c:v>
                </c:pt>
                <c:pt idx="8">
                  <c:v>63.646576271186461</c:v>
                </c:pt>
                <c:pt idx="9">
                  <c:v>55.883915512957032</c:v>
                </c:pt>
                <c:pt idx="10">
                  <c:v>44.963582089552347</c:v>
                </c:pt>
                <c:pt idx="11">
                  <c:v>39.925307582260452</c:v>
                </c:pt>
                <c:pt idx="12">
                  <c:v>44.642745614035135</c:v>
                </c:pt>
                <c:pt idx="13">
                  <c:v>47.881177304964488</c:v>
                </c:pt>
                <c:pt idx="14">
                  <c:v>43.696738668555099</c:v>
                </c:pt>
                <c:pt idx="15">
                  <c:v>46.616281821441369</c:v>
                </c:pt>
                <c:pt idx="16">
                  <c:v>35.049317422434385</c:v>
                </c:pt>
              </c:numCache>
            </c:numRef>
          </c:val>
          <c:extLst>
            <c:ext xmlns:c16="http://schemas.microsoft.com/office/drawing/2014/chart" uri="{C3380CC4-5D6E-409C-BE32-E72D297353CC}">
              <c16:uniqueId val="{00000001-AF6A-4E11-9C79-42BC4C949B93}"/>
            </c:ext>
          </c:extLst>
        </c:ser>
        <c:dLbls>
          <c:showLegendKey val="0"/>
          <c:showVal val="0"/>
          <c:showCatName val="0"/>
          <c:showSerName val="0"/>
          <c:showPercent val="0"/>
          <c:showBubbleSize val="0"/>
        </c:dLbls>
        <c:gapWidth val="100"/>
        <c:overlap val="50"/>
        <c:axId val="1287045839"/>
        <c:axId val="1297952303"/>
      </c:barChart>
      <c:catAx>
        <c:axId val="1287045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CO"/>
          </a:p>
        </c:txPr>
        <c:crossAx val="1297952303"/>
        <c:crosses val="autoZero"/>
        <c:auto val="1"/>
        <c:lblAlgn val="ctr"/>
        <c:lblOffset val="100"/>
        <c:noMultiLvlLbl val="0"/>
      </c:catAx>
      <c:valAx>
        <c:axId val="129795230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CO"/>
          </a:p>
        </c:txPr>
        <c:crossAx val="12870458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s-CO"/>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Hoja7!$B$59</c:f>
              <c:strCache>
                <c:ptCount val="1"/>
                <c:pt idx="0">
                  <c:v>No relacionado</c:v>
                </c:pt>
              </c:strCache>
            </c:strRef>
          </c:tx>
          <c:spPr>
            <a:solidFill>
              <a:schemeClr val="accent4">
                <a:lumMod val="40000"/>
                <a:lumOff val="60000"/>
              </a:schemeClr>
            </a:solidFill>
            <a:ln>
              <a:solidFill>
                <a:schemeClr val="accent4">
                  <a:lumMod val="40000"/>
                  <a:lumOff val="60000"/>
                </a:schemeClr>
              </a:solidFill>
            </a:ln>
            <a:effectLst/>
          </c:spPr>
          <c:invertIfNegative val="0"/>
          <c:dLbls>
            <c:spPr>
              <a:noFill/>
              <a:ln>
                <a:noFill/>
              </a:ln>
              <a:effectLst/>
            </c:spPr>
            <c:txPr>
              <a:bodyPr rot="0" spcFirstLastPara="1" vertOverflow="ellipsis" vert="horz" wrap="square" anchor="ctr" anchorCtr="1"/>
              <a:lstStyle/>
              <a:p>
                <a:pPr>
                  <a:defRPr sz="4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Hoja7!$A$60:$A$110</c:f>
              <c:strCache>
                <c:ptCount val="51"/>
                <c:pt idx="0">
                  <c:v>Comunicación Comunitaria</c:v>
                </c:pt>
                <c:pt idx="1">
                  <c:v>Cultos</c:v>
                </c:pt>
                <c:pt idx="2">
                  <c:v>Cultura Ciudadana</c:v>
                </c:pt>
                <c:pt idx="3">
                  <c:v>Bienestar Animal</c:v>
                </c:pt>
                <c:pt idx="4">
                  <c:v>Educación Ambiental</c:v>
                </c:pt>
                <c:pt idx="5">
                  <c:v>Biodiversidad</c:v>
                </c:pt>
                <c:pt idx="6">
                  <c:v>Trata</c:v>
                </c:pt>
                <c:pt idx="7">
                  <c:v>Deporte</c:v>
                </c:pt>
                <c:pt idx="8">
                  <c:v>Economía Cultural </c:v>
                </c:pt>
                <c:pt idx="9">
                  <c:v>CTI</c:v>
                </c:pt>
                <c:pt idx="10">
                  <c:v>Salud Mental</c:v>
                </c:pt>
                <c:pt idx="11">
                  <c:v>Trabajo Decente</c:v>
                </c:pt>
                <c:pt idx="12">
                  <c:v>Vendedores y Vendedoras Informales</c:v>
                </c:pt>
                <c:pt idx="13">
                  <c:v>BTI</c:v>
                </c:pt>
                <c:pt idx="14">
                  <c:v>Servicio a la Ciudadanía</c:v>
                </c:pt>
                <c:pt idx="15">
                  <c:v>Pobreza</c:v>
                </c:pt>
                <c:pt idx="16">
                  <c:v>Peatón</c:v>
                </c:pt>
                <c:pt idx="17">
                  <c:v>Talento Humano</c:v>
                </c:pt>
                <c:pt idx="18">
                  <c:v>Productividad</c:v>
                </c:pt>
                <c:pt idx="19">
                  <c:v>Acción Comunal</c:v>
                </c:pt>
                <c:pt idx="20">
                  <c:v>Movilidad Motorizada</c:v>
                </c:pt>
                <c:pt idx="21">
                  <c:v>Bicicleta</c:v>
                </c:pt>
                <c:pt idx="22">
                  <c:v>Seguridad Alimentaria</c:v>
                </c:pt>
                <c:pt idx="23">
                  <c:v>Turismo</c:v>
                </c:pt>
                <c:pt idx="24">
                  <c:v>Servicios Públicos</c:v>
                </c:pt>
                <c:pt idx="25">
                  <c:v>Espacio Público</c:v>
                </c:pt>
                <c:pt idx="26">
                  <c:v>Migrantes</c:v>
                </c:pt>
                <c:pt idx="27">
                  <c:v>Economia Circular</c:v>
                </c:pt>
                <c:pt idx="28">
                  <c:v>Familias</c:v>
                </c:pt>
                <c:pt idx="29">
                  <c:v>Adultez</c:v>
                </c:pt>
                <c:pt idx="30">
                  <c:v>Acción Climatica </c:v>
                </c:pt>
                <c:pt idx="31">
                  <c:v>Ruralidad</c:v>
                </c:pt>
                <c:pt idx="32">
                  <c:v>Habitabilidad en calle</c:v>
                </c:pt>
                <c:pt idx="33">
                  <c:v>ASP</c:v>
                </c:pt>
                <c:pt idx="34">
                  <c:v>Hábitat</c:v>
                </c:pt>
                <c:pt idx="35">
                  <c:v>LEO</c:v>
                </c:pt>
                <c:pt idx="36">
                  <c:v>Derechos Humanos</c:v>
                </c:pt>
                <c:pt idx="37">
                  <c:v>Discapacidad</c:v>
                </c:pt>
                <c:pt idx="38">
                  <c:v>Vejez</c:v>
                </c:pt>
                <c:pt idx="39">
                  <c:v>Raizal</c:v>
                </c:pt>
                <c:pt idx="40">
                  <c:v>Participación Incidente</c:v>
                </c:pt>
                <c:pt idx="41">
                  <c:v>Infancia</c:v>
                </c:pt>
                <c:pt idx="42">
                  <c:v>Juventud</c:v>
                </c:pt>
                <c:pt idx="43">
                  <c:v>Seguridad</c:v>
                </c:pt>
                <c:pt idx="44">
                  <c:v>Transparencia</c:v>
                </c:pt>
                <c:pt idx="45">
                  <c:v>Educación</c:v>
                </c:pt>
                <c:pt idx="46">
                  <c:v>LGBTI</c:v>
                </c:pt>
                <c:pt idx="47">
                  <c:v>Indigena</c:v>
                </c:pt>
                <c:pt idx="48">
                  <c:v>Rrom</c:v>
                </c:pt>
                <c:pt idx="49">
                  <c:v>Mujeres</c:v>
                </c:pt>
                <c:pt idx="50">
                  <c:v>Afro-Palenquero</c:v>
                </c:pt>
              </c:strCache>
            </c:strRef>
          </c:cat>
          <c:val>
            <c:numRef>
              <c:f>Hoja7!$B$60:$B$110</c:f>
              <c:numCache>
                <c:formatCode>General</c:formatCode>
                <c:ptCount val="51"/>
                <c:pt idx="0">
                  <c:v>2</c:v>
                </c:pt>
                <c:pt idx="12">
                  <c:v>1</c:v>
                </c:pt>
                <c:pt idx="29">
                  <c:v>1</c:v>
                </c:pt>
                <c:pt idx="30">
                  <c:v>1</c:v>
                </c:pt>
                <c:pt idx="50">
                  <c:v>1</c:v>
                </c:pt>
              </c:numCache>
            </c:numRef>
          </c:val>
          <c:extLst>
            <c:ext xmlns:c16="http://schemas.microsoft.com/office/drawing/2014/chart" uri="{C3380CC4-5D6E-409C-BE32-E72D297353CC}">
              <c16:uniqueId val="{00000000-DFC6-3F4B-B14B-F0DCFCDC7AF6}"/>
            </c:ext>
          </c:extLst>
        </c:ser>
        <c:ser>
          <c:idx val="1"/>
          <c:order val="1"/>
          <c:tx>
            <c:strRef>
              <c:f>Hoja7!$C$59</c:f>
              <c:strCache>
                <c:ptCount val="1"/>
                <c:pt idx="0">
                  <c:v>Relacionados</c:v>
                </c:pt>
              </c:strCache>
            </c:strRef>
          </c:tx>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4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Hoja7!$A$60:$A$110</c:f>
              <c:strCache>
                <c:ptCount val="51"/>
                <c:pt idx="0">
                  <c:v>Comunicación Comunitaria</c:v>
                </c:pt>
                <c:pt idx="1">
                  <c:v>Cultos</c:v>
                </c:pt>
                <c:pt idx="2">
                  <c:v>Cultura Ciudadana</c:v>
                </c:pt>
                <c:pt idx="3">
                  <c:v>Bienestar Animal</c:v>
                </c:pt>
                <c:pt idx="4">
                  <c:v>Educación Ambiental</c:v>
                </c:pt>
                <c:pt idx="5">
                  <c:v>Biodiversidad</c:v>
                </c:pt>
                <c:pt idx="6">
                  <c:v>Trata</c:v>
                </c:pt>
                <c:pt idx="7">
                  <c:v>Deporte</c:v>
                </c:pt>
                <c:pt idx="8">
                  <c:v>Economía Cultural </c:v>
                </c:pt>
                <c:pt idx="9">
                  <c:v>CTI</c:v>
                </c:pt>
                <c:pt idx="10">
                  <c:v>Salud Mental</c:v>
                </c:pt>
                <c:pt idx="11">
                  <c:v>Trabajo Decente</c:v>
                </c:pt>
                <c:pt idx="12">
                  <c:v>Vendedores y Vendedoras Informales</c:v>
                </c:pt>
                <c:pt idx="13">
                  <c:v>BTI</c:v>
                </c:pt>
                <c:pt idx="14">
                  <c:v>Servicio a la Ciudadanía</c:v>
                </c:pt>
                <c:pt idx="15">
                  <c:v>Pobreza</c:v>
                </c:pt>
                <c:pt idx="16">
                  <c:v>Peatón</c:v>
                </c:pt>
                <c:pt idx="17">
                  <c:v>Talento Humano</c:v>
                </c:pt>
                <c:pt idx="18">
                  <c:v>Productividad</c:v>
                </c:pt>
                <c:pt idx="19">
                  <c:v>Acción Comunal</c:v>
                </c:pt>
                <c:pt idx="20">
                  <c:v>Movilidad Motorizada</c:v>
                </c:pt>
                <c:pt idx="21">
                  <c:v>Bicicleta</c:v>
                </c:pt>
                <c:pt idx="22">
                  <c:v>Seguridad Alimentaria</c:v>
                </c:pt>
                <c:pt idx="23">
                  <c:v>Turismo</c:v>
                </c:pt>
                <c:pt idx="24">
                  <c:v>Servicios Públicos</c:v>
                </c:pt>
                <c:pt idx="25">
                  <c:v>Espacio Público</c:v>
                </c:pt>
                <c:pt idx="26">
                  <c:v>Migrantes</c:v>
                </c:pt>
                <c:pt idx="27">
                  <c:v>Economia Circular</c:v>
                </c:pt>
                <c:pt idx="28">
                  <c:v>Familias</c:v>
                </c:pt>
                <c:pt idx="29">
                  <c:v>Adultez</c:v>
                </c:pt>
                <c:pt idx="30">
                  <c:v>Acción Climatica </c:v>
                </c:pt>
                <c:pt idx="31">
                  <c:v>Ruralidad</c:v>
                </c:pt>
                <c:pt idx="32">
                  <c:v>Habitabilidad en calle</c:v>
                </c:pt>
                <c:pt idx="33">
                  <c:v>ASP</c:v>
                </c:pt>
                <c:pt idx="34">
                  <c:v>Hábitat</c:v>
                </c:pt>
                <c:pt idx="35">
                  <c:v>LEO</c:v>
                </c:pt>
                <c:pt idx="36">
                  <c:v>Derechos Humanos</c:v>
                </c:pt>
                <c:pt idx="37">
                  <c:v>Discapacidad</c:v>
                </c:pt>
                <c:pt idx="38">
                  <c:v>Vejez</c:v>
                </c:pt>
                <c:pt idx="39">
                  <c:v>Raizal</c:v>
                </c:pt>
                <c:pt idx="40">
                  <c:v>Participación Incidente</c:v>
                </c:pt>
                <c:pt idx="41">
                  <c:v>Infancia</c:v>
                </c:pt>
                <c:pt idx="42">
                  <c:v>Juventud</c:v>
                </c:pt>
                <c:pt idx="43">
                  <c:v>Seguridad</c:v>
                </c:pt>
                <c:pt idx="44">
                  <c:v>Transparencia</c:v>
                </c:pt>
                <c:pt idx="45">
                  <c:v>Educación</c:v>
                </c:pt>
                <c:pt idx="46">
                  <c:v>LGBTI</c:v>
                </c:pt>
                <c:pt idx="47">
                  <c:v>Indigena</c:v>
                </c:pt>
                <c:pt idx="48">
                  <c:v>Rrom</c:v>
                </c:pt>
                <c:pt idx="49">
                  <c:v>Mujeres</c:v>
                </c:pt>
                <c:pt idx="50">
                  <c:v>Afro-Palenquero</c:v>
                </c:pt>
              </c:strCache>
            </c:strRef>
          </c:cat>
          <c:val>
            <c:numRef>
              <c:f>Hoja7!$C$60:$C$110</c:f>
              <c:numCache>
                <c:formatCode>General</c:formatCode>
                <c:ptCount val="51"/>
                <c:pt idx="0">
                  <c:v>11</c:v>
                </c:pt>
                <c:pt idx="1">
                  <c:v>15</c:v>
                </c:pt>
                <c:pt idx="2">
                  <c:v>21</c:v>
                </c:pt>
                <c:pt idx="3">
                  <c:v>22</c:v>
                </c:pt>
                <c:pt idx="4">
                  <c:v>25</c:v>
                </c:pt>
                <c:pt idx="5">
                  <c:v>28</c:v>
                </c:pt>
                <c:pt idx="6">
                  <c:v>28</c:v>
                </c:pt>
                <c:pt idx="7">
                  <c:v>29</c:v>
                </c:pt>
                <c:pt idx="8">
                  <c:v>29</c:v>
                </c:pt>
                <c:pt idx="9">
                  <c:v>32</c:v>
                </c:pt>
                <c:pt idx="10">
                  <c:v>32</c:v>
                </c:pt>
                <c:pt idx="11">
                  <c:v>33</c:v>
                </c:pt>
                <c:pt idx="12">
                  <c:v>32</c:v>
                </c:pt>
                <c:pt idx="13">
                  <c:v>36</c:v>
                </c:pt>
                <c:pt idx="14">
                  <c:v>37</c:v>
                </c:pt>
                <c:pt idx="15">
                  <c:v>38</c:v>
                </c:pt>
                <c:pt idx="16">
                  <c:v>39</c:v>
                </c:pt>
                <c:pt idx="17">
                  <c:v>40</c:v>
                </c:pt>
                <c:pt idx="18">
                  <c:v>41</c:v>
                </c:pt>
                <c:pt idx="19">
                  <c:v>42</c:v>
                </c:pt>
                <c:pt idx="20">
                  <c:v>42</c:v>
                </c:pt>
                <c:pt idx="21">
                  <c:v>44</c:v>
                </c:pt>
                <c:pt idx="22">
                  <c:v>47</c:v>
                </c:pt>
                <c:pt idx="23">
                  <c:v>47</c:v>
                </c:pt>
                <c:pt idx="24">
                  <c:v>49</c:v>
                </c:pt>
                <c:pt idx="25">
                  <c:v>50</c:v>
                </c:pt>
                <c:pt idx="26">
                  <c:v>52</c:v>
                </c:pt>
                <c:pt idx="27">
                  <c:v>54</c:v>
                </c:pt>
                <c:pt idx="28">
                  <c:v>55</c:v>
                </c:pt>
                <c:pt idx="29">
                  <c:v>57</c:v>
                </c:pt>
                <c:pt idx="30">
                  <c:v>60</c:v>
                </c:pt>
                <c:pt idx="31">
                  <c:v>68</c:v>
                </c:pt>
                <c:pt idx="32">
                  <c:v>70</c:v>
                </c:pt>
                <c:pt idx="33">
                  <c:v>73</c:v>
                </c:pt>
                <c:pt idx="34">
                  <c:v>75</c:v>
                </c:pt>
                <c:pt idx="35">
                  <c:v>77</c:v>
                </c:pt>
                <c:pt idx="36">
                  <c:v>78</c:v>
                </c:pt>
                <c:pt idx="37">
                  <c:v>83</c:v>
                </c:pt>
                <c:pt idx="38">
                  <c:v>92</c:v>
                </c:pt>
                <c:pt idx="39">
                  <c:v>101</c:v>
                </c:pt>
                <c:pt idx="40">
                  <c:v>102</c:v>
                </c:pt>
                <c:pt idx="41">
                  <c:v>104</c:v>
                </c:pt>
                <c:pt idx="42">
                  <c:v>108</c:v>
                </c:pt>
                <c:pt idx="43">
                  <c:v>108</c:v>
                </c:pt>
                <c:pt idx="44">
                  <c:v>123</c:v>
                </c:pt>
                <c:pt idx="45">
                  <c:v>133</c:v>
                </c:pt>
                <c:pt idx="46">
                  <c:v>137</c:v>
                </c:pt>
                <c:pt idx="47">
                  <c:v>138</c:v>
                </c:pt>
                <c:pt idx="48">
                  <c:v>163</c:v>
                </c:pt>
                <c:pt idx="49">
                  <c:v>197</c:v>
                </c:pt>
                <c:pt idx="50">
                  <c:v>236</c:v>
                </c:pt>
              </c:numCache>
            </c:numRef>
          </c:val>
          <c:extLst>
            <c:ext xmlns:c16="http://schemas.microsoft.com/office/drawing/2014/chart" uri="{C3380CC4-5D6E-409C-BE32-E72D297353CC}">
              <c16:uniqueId val="{00000001-DFC6-3F4B-B14B-F0DCFCDC7AF6}"/>
            </c:ext>
          </c:extLst>
        </c:ser>
        <c:dLbls>
          <c:showLegendKey val="0"/>
          <c:showVal val="0"/>
          <c:showCatName val="0"/>
          <c:showSerName val="0"/>
          <c:showPercent val="0"/>
          <c:showBubbleSize val="0"/>
        </c:dLbls>
        <c:gapWidth val="150"/>
        <c:overlap val="100"/>
        <c:axId val="1368929311"/>
        <c:axId val="1368930975"/>
      </c:barChart>
      <c:catAx>
        <c:axId val="136892931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368930975"/>
        <c:crosses val="autoZero"/>
        <c:auto val="1"/>
        <c:lblAlgn val="ctr"/>
        <c:lblOffset val="100"/>
        <c:noMultiLvlLbl val="0"/>
      </c:catAx>
      <c:valAx>
        <c:axId val="1368930975"/>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368929311"/>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sz="400"/>
      </a:pPr>
      <a:endParaRPr lang="es-CO"/>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'Analisis PDD '!$C$2</c:f>
              <c:strCache>
                <c:ptCount val="1"/>
                <c:pt idx="0">
                  <c:v>CANTIDAD INICIATIVAS </c:v>
                </c:pt>
              </c:strCache>
            </c:strRef>
          </c:tx>
          <c:spPr>
            <a:solidFill>
              <a:srgbClr val="C00000"/>
            </a:solidFill>
            <a:ln cmpd="sng">
              <a:noFill/>
            </a:ln>
          </c:spPr>
          <c:invertIfNegative val="1"/>
          <c:dPt>
            <c:idx val="0"/>
            <c:invertIfNegative val="1"/>
            <c:bubble3D val="0"/>
            <c:extLst>
              <c:ext xmlns:c16="http://schemas.microsoft.com/office/drawing/2014/chart" uri="{C3380CC4-5D6E-409C-BE32-E72D297353CC}">
                <c16:uniqueId val="{00000000-4456-304E-86B2-6A084EE8D733}"/>
              </c:ext>
            </c:extLst>
          </c:dPt>
          <c:dPt>
            <c:idx val="1"/>
            <c:invertIfNegative val="1"/>
            <c:bubble3D val="0"/>
            <c:extLst>
              <c:ext xmlns:c16="http://schemas.microsoft.com/office/drawing/2014/chart" uri="{C3380CC4-5D6E-409C-BE32-E72D297353CC}">
                <c16:uniqueId val="{00000001-4456-304E-86B2-6A084EE8D733}"/>
              </c:ext>
            </c:extLst>
          </c:dPt>
          <c:dPt>
            <c:idx val="2"/>
            <c:invertIfNegative val="1"/>
            <c:bubble3D val="0"/>
            <c:extLst>
              <c:ext xmlns:c16="http://schemas.microsoft.com/office/drawing/2014/chart" uri="{C3380CC4-5D6E-409C-BE32-E72D297353CC}">
                <c16:uniqueId val="{00000002-4456-304E-86B2-6A084EE8D733}"/>
              </c:ext>
            </c:extLst>
          </c:dPt>
          <c:dPt>
            <c:idx val="3"/>
            <c:invertIfNegative val="1"/>
            <c:bubble3D val="0"/>
            <c:extLst>
              <c:ext xmlns:c16="http://schemas.microsoft.com/office/drawing/2014/chart" uri="{C3380CC4-5D6E-409C-BE32-E72D297353CC}">
                <c16:uniqueId val="{00000003-4456-304E-86B2-6A084EE8D733}"/>
              </c:ext>
            </c:extLst>
          </c:dPt>
          <c:dPt>
            <c:idx val="4"/>
            <c:invertIfNegative val="1"/>
            <c:bubble3D val="0"/>
            <c:extLst>
              <c:ext xmlns:c16="http://schemas.microsoft.com/office/drawing/2014/chart" uri="{C3380CC4-5D6E-409C-BE32-E72D297353CC}">
                <c16:uniqueId val="{00000004-4456-304E-86B2-6A084EE8D733}"/>
              </c:ext>
            </c:extLst>
          </c:dPt>
          <c:dPt>
            <c:idx val="5"/>
            <c:invertIfNegative val="1"/>
            <c:bubble3D val="0"/>
            <c:extLst>
              <c:ext xmlns:c16="http://schemas.microsoft.com/office/drawing/2014/chart" uri="{C3380CC4-5D6E-409C-BE32-E72D297353CC}">
                <c16:uniqueId val="{00000005-4456-304E-86B2-6A084EE8D733}"/>
              </c:ext>
            </c:extLst>
          </c:dPt>
          <c:dLbls>
            <c:spPr>
              <a:noFill/>
              <a:ln>
                <a:noFill/>
              </a:ln>
              <a:effectLst/>
            </c:spPr>
            <c:txPr>
              <a:bodyPr rot="0" vert="horz"/>
              <a:lstStyle/>
              <a:p>
                <a:pPr>
                  <a:defRPr sz="1000"/>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'Analisis PDD '!$B$3:$B$8</c:f>
              <c:strCache>
                <c:ptCount val="6"/>
                <c:pt idx="0">
                  <c:v>Objetivo 1. Bogotá avanza en seguridad</c:v>
                </c:pt>
                <c:pt idx="1">
                  <c:v>Objetivo 2. Bogotá Confía en su Bien - Estar</c:v>
                </c:pt>
                <c:pt idx="2">
                  <c:v>Objetivo 3. Bogotá confía en su potencial</c:v>
                </c:pt>
                <c:pt idx="3">
                  <c:v>Objetivo 4. Bogotá Ordena su Territorio y Avanza en su Acción Climática.</c:v>
                </c:pt>
                <c:pt idx="4">
                  <c:v>Objetivo 5. Bogotá Confía en su Gobierno</c:v>
                </c:pt>
                <c:pt idx="5">
                  <c:v>ETNICOS - N/A</c:v>
                </c:pt>
              </c:strCache>
            </c:strRef>
          </c:cat>
          <c:val>
            <c:numRef>
              <c:f>'Analisis PDD '!$C$3:$C$8</c:f>
              <c:numCache>
                <c:formatCode>General</c:formatCode>
                <c:ptCount val="6"/>
                <c:pt idx="0">
                  <c:v>20</c:v>
                </c:pt>
                <c:pt idx="1">
                  <c:v>22</c:v>
                </c:pt>
                <c:pt idx="2">
                  <c:v>48</c:v>
                </c:pt>
                <c:pt idx="3">
                  <c:v>49</c:v>
                </c:pt>
                <c:pt idx="4">
                  <c:v>23</c:v>
                </c:pt>
                <c:pt idx="5">
                  <c:v>1</c:v>
                </c:pt>
              </c:numCache>
            </c:numRef>
          </c:val>
          <c:extLst>
            <c:ext xmlns:c14="http://schemas.microsoft.com/office/drawing/2007/8/2/chart" uri="{6F2FDCE9-48DA-4B69-8628-5D25D57E5C99}">
              <c14:invertSolidFillFmt>
                <c14:spPr xmlns:c14="http://schemas.microsoft.com/office/drawing/2007/8/2/chart">
                  <a:solidFill>
                    <a:srgbClr val="FFFFFF"/>
                  </a:solidFill>
                  <a:ln cmpd="sng">
                    <a:noFill/>
                  </a:ln>
                </c14:spPr>
              </c14:invertSolidFillFmt>
            </c:ext>
            <c:ext xmlns:c16="http://schemas.microsoft.com/office/drawing/2014/chart" uri="{C3380CC4-5D6E-409C-BE32-E72D297353CC}">
              <c16:uniqueId val="{00000006-4456-304E-86B2-6A084EE8D733}"/>
            </c:ext>
          </c:extLst>
        </c:ser>
        <c:dLbls>
          <c:showLegendKey val="0"/>
          <c:showVal val="0"/>
          <c:showCatName val="0"/>
          <c:showSerName val="0"/>
          <c:showPercent val="0"/>
          <c:showBubbleSize val="0"/>
        </c:dLbls>
        <c:gapWidth val="150"/>
        <c:axId val="1006806988"/>
        <c:axId val="667915779"/>
      </c:barChart>
      <c:catAx>
        <c:axId val="1006806988"/>
        <c:scaling>
          <c:orientation val="minMax"/>
        </c:scaling>
        <c:delete val="0"/>
        <c:axPos val="b"/>
        <c:numFmt formatCode="@" sourceLinked="0"/>
        <c:majorTickMark val="none"/>
        <c:minorTickMark val="none"/>
        <c:tickLblPos val="nextTo"/>
        <c:txPr>
          <a:bodyPr rot="5400000" vert="horz"/>
          <a:lstStyle/>
          <a:p>
            <a:pPr>
              <a:defRPr sz="700" b="0"/>
            </a:pPr>
            <a:endParaRPr lang="es-CO"/>
          </a:p>
        </c:txPr>
        <c:crossAx val="667915779"/>
        <c:crosses val="autoZero"/>
        <c:auto val="1"/>
        <c:lblAlgn val="ctr"/>
        <c:lblOffset val="100"/>
        <c:noMultiLvlLbl val="1"/>
      </c:catAx>
      <c:valAx>
        <c:axId val="667915779"/>
        <c:scaling>
          <c:orientation val="minMax"/>
        </c:scaling>
        <c:delete val="1"/>
        <c:axPos val="l"/>
        <c:numFmt formatCode="General" sourceLinked="1"/>
        <c:majorTickMark val="none"/>
        <c:minorTickMark val="none"/>
        <c:tickLblPos val="nextTo"/>
        <c:crossAx val="1006806988"/>
        <c:crosses val="autoZero"/>
        <c:crossBetween val="between"/>
      </c:valAx>
    </c:plotArea>
    <c:plotVisOnly val="1"/>
    <c:dispBlanksAs val="zero"/>
    <c:showDLblsOverMax val="1"/>
  </c:chart>
  <c:spPr>
    <a:ln>
      <a:noFill/>
    </a:ln>
  </c:spPr>
  <c:txPr>
    <a:bodyPr/>
    <a:lstStyle/>
    <a:p>
      <a:pPr>
        <a:defRPr lang="en-US" sz="900" b="1">
          <a:latin typeface="Candara" panose="020E0502030303020204" pitchFamily="34" charset="0"/>
          <a:ea typeface="Arial" panose="020B0604020202020204" pitchFamily="2" charset="0"/>
          <a:cs typeface="Arial" panose="020B0604020202020204" pitchFamily="2" charset="0"/>
          <a:sym typeface="Arial" panose="020B0604020202020204" pitchFamily="2" charset="0"/>
        </a:defRPr>
      </a:pPr>
      <a:endParaRPr lang="es-CO"/>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Fecundidad!$C$402</c:f>
              <c:strCache>
                <c:ptCount val="1"/>
                <c:pt idx="0">
                  <c:v>Tasa Global de Fecundidad</c:v>
                </c:pt>
              </c:strCache>
            </c:strRef>
          </c:tx>
          <c:spPr>
            <a:ln w="28575" cap="rnd">
              <a:solidFill>
                <a:srgbClr val="C00000"/>
              </a:solidFill>
              <a:round/>
            </a:ln>
            <a:effectLst>
              <a:outerShdw blurRad="50800" dist="38100" dir="2700000" algn="tl" rotWithShape="0">
                <a:prstClr val="black">
                  <a:alpha val="40000"/>
                </a:prst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rgbClr val="FF0000"/>
                </a:solidFill>
                <a:prstDash val="sysDot"/>
              </a:ln>
              <a:effectLst/>
            </c:spPr>
            <c:trendlineType val="linear"/>
            <c:dispRSqr val="0"/>
            <c:dispEq val="0"/>
          </c:trendline>
          <c:cat>
            <c:numRef>
              <c:f>Fecundidad!$B$403:$B$420</c:f>
              <c:numCache>
                <c:formatCode>General</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Fecundidad!$C$403:$C$420</c:f>
              <c:numCache>
                <c:formatCode>General</c:formatCode>
                <c:ptCount val="18"/>
                <c:pt idx="0">
                  <c:v>1.9</c:v>
                </c:pt>
                <c:pt idx="1">
                  <c:v>1.9</c:v>
                </c:pt>
                <c:pt idx="2">
                  <c:v>1.9</c:v>
                </c:pt>
                <c:pt idx="3">
                  <c:v>1.9</c:v>
                </c:pt>
                <c:pt idx="4">
                  <c:v>1.8</c:v>
                </c:pt>
                <c:pt idx="5">
                  <c:v>1.7</c:v>
                </c:pt>
                <c:pt idx="6">
                  <c:v>1.7</c:v>
                </c:pt>
                <c:pt idx="7">
                  <c:v>1.6</c:v>
                </c:pt>
                <c:pt idx="8">
                  <c:v>1.6</c:v>
                </c:pt>
                <c:pt idx="9">
                  <c:v>1.6</c:v>
                </c:pt>
                <c:pt idx="10">
                  <c:v>1.6</c:v>
                </c:pt>
                <c:pt idx="11">
                  <c:v>1.5</c:v>
                </c:pt>
                <c:pt idx="12">
                  <c:v>1.4</c:v>
                </c:pt>
                <c:pt idx="13">
                  <c:v>1.3</c:v>
                </c:pt>
                <c:pt idx="14">
                  <c:v>1.3</c:v>
                </c:pt>
                <c:pt idx="15">
                  <c:v>1.2</c:v>
                </c:pt>
                <c:pt idx="16">
                  <c:v>1</c:v>
                </c:pt>
                <c:pt idx="17">
                  <c:v>0.95</c:v>
                </c:pt>
              </c:numCache>
            </c:numRef>
          </c:val>
          <c:smooth val="0"/>
          <c:extLst>
            <c:ext xmlns:c16="http://schemas.microsoft.com/office/drawing/2014/chart" uri="{C3380CC4-5D6E-409C-BE32-E72D297353CC}">
              <c16:uniqueId val="{00000001-F01A-5845-B48F-8EA93FEB1AE4}"/>
            </c:ext>
          </c:extLst>
        </c:ser>
        <c:dLbls>
          <c:dLblPos val="t"/>
          <c:showLegendKey val="0"/>
          <c:showVal val="1"/>
          <c:showCatName val="0"/>
          <c:showSerName val="0"/>
          <c:showPercent val="0"/>
          <c:showBubbleSize val="0"/>
        </c:dLbls>
        <c:smooth val="0"/>
        <c:axId val="1503259488"/>
        <c:axId val="1503265248"/>
      </c:lineChart>
      <c:catAx>
        <c:axId val="150325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03265248"/>
        <c:crosses val="autoZero"/>
        <c:auto val="1"/>
        <c:lblAlgn val="ctr"/>
        <c:lblOffset val="100"/>
        <c:noMultiLvlLbl val="0"/>
      </c:catAx>
      <c:valAx>
        <c:axId val="1503265248"/>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0325948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Región!$D$2</c:f>
              <c:strCache>
                <c:ptCount val="1"/>
                <c:pt idx="0">
                  <c:v>Tasa Bogotá</c:v>
                </c:pt>
              </c:strCache>
            </c:strRef>
          </c:tx>
          <c:spPr>
            <a:ln w="28575" cap="rnd">
              <a:solidFill>
                <a:srgbClr val="C00000"/>
              </a:solidFill>
              <a:round/>
            </a:ln>
            <a:effectLst>
              <a:outerShdw blurRad="50800" dist="38100" dir="2700000" algn="tl" rotWithShape="0">
                <a:prstClr val="black">
                  <a:alpha val="40000"/>
                </a:prstClr>
              </a:outerShdw>
            </a:effectLst>
          </c:spPr>
          <c:marker>
            <c:symbol val="none"/>
          </c:marker>
          <c:dLbls>
            <c:delete val="1"/>
          </c:dLbls>
          <c:cat>
            <c:numRef>
              <c:f>Región!$A$4:$A$18</c:f>
              <c:numCache>
                <c:formatCode>General</c:formatCode>
                <c:ptCount val="15"/>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numCache>
            </c:numRef>
          </c:cat>
          <c:val>
            <c:numRef>
              <c:f>Región!$D$4:$D$18</c:f>
              <c:numCache>
                <c:formatCode>0.00%</c:formatCode>
                <c:ptCount val="15"/>
                <c:pt idx="0">
                  <c:v>1.1791399584152477E-2</c:v>
                </c:pt>
                <c:pt idx="1">
                  <c:v>6.3888362685269474E-3</c:v>
                </c:pt>
                <c:pt idx="2">
                  <c:v>4.3139383710751609E-3</c:v>
                </c:pt>
                <c:pt idx="3">
                  <c:v>2.8148740382439932E-3</c:v>
                </c:pt>
                <c:pt idx="4">
                  <c:v>1.0541596428241288E-3</c:v>
                </c:pt>
                <c:pt idx="5">
                  <c:v>-2.7009669310439614E-4</c:v>
                </c:pt>
                <c:pt idx="6">
                  <c:v>-9.9083212508855483E-4</c:v>
                </c:pt>
                <c:pt idx="7">
                  <c:v>-1.4533499514561943E-3</c:v>
                </c:pt>
                <c:pt idx="8">
                  <c:v>-1.7001481360962331E-3</c:v>
                </c:pt>
                <c:pt idx="9">
                  <c:v>-1.780609927229337E-3</c:v>
                </c:pt>
                <c:pt idx="10">
                  <c:v>-1.8678289502205522E-3</c:v>
                </c:pt>
                <c:pt idx="11">
                  <c:v>-2.0341364597338896E-3</c:v>
                </c:pt>
                <c:pt idx="12">
                  <c:v>-2.2052443813926192E-3</c:v>
                </c:pt>
                <c:pt idx="13">
                  <c:v>-2.3737503917032501E-3</c:v>
                </c:pt>
                <c:pt idx="14">
                  <c:v>-2.5374114133655153E-3</c:v>
                </c:pt>
              </c:numCache>
            </c:numRef>
          </c:val>
          <c:smooth val="0"/>
          <c:extLst>
            <c:ext xmlns:c16="http://schemas.microsoft.com/office/drawing/2014/chart" uri="{C3380CC4-5D6E-409C-BE32-E72D297353CC}">
              <c16:uniqueId val="{00000000-C081-1543-BA87-E3B9298839E4}"/>
            </c:ext>
          </c:extLst>
        </c:ser>
        <c:ser>
          <c:idx val="1"/>
          <c:order val="1"/>
          <c:tx>
            <c:strRef>
              <c:f>Región!$E$2</c:f>
              <c:strCache>
                <c:ptCount val="1"/>
                <c:pt idx="0">
                  <c:v>Tasa Cundinamarca</c:v>
                </c:pt>
              </c:strCache>
            </c:strRef>
          </c:tx>
          <c:spPr>
            <a:ln w="28575" cap="rnd">
              <a:solidFill>
                <a:srgbClr val="FFC000"/>
              </a:solidFill>
              <a:round/>
            </a:ln>
            <a:effectLst>
              <a:outerShdw blurRad="50800" dist="38100" dir="2700000" algn="tl" rotWithShape="0">
                <a:prstClr val="black">
                  <a:alpha val="40000"/>
                </a:prstClr>
              </a:outerShdw>
            </a:effectLst>
          </c:spPr>
          <c:marker>
            <c:symbol val="none"/>
          </c:marker>
          <c:dLbls>
            <c:delete val="1"/>
          </c:dLbls>
          <c:cat>
            <c:numRef>
              <c:f>Región!$A$4:$A$18</c:f>
              <c:numCache>
                <c:formatCode>General</c:formatCode>
                <c:ptCount val="15"/>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numCache>
            </c:numRef>
          </c:cat>
          <c:val>
            <c:numRef>
              <c:f>Región!$E$4:$E$18</c:f>
              <c:numCache>
                <c:formatCode>0.00%</c:formatCode>
                <c:ptCount val="15"/>
                <c:pt idx="0">
                  <c:v>2.7235150195968557E-2</c:v>
                </c:pt>
                <c:pt idx="1">
                  <c:v>3.1217596992165912E-2</c:v>
                </c:pt>
                <c:pt idx="2">
                  <c:v>3.3194017819630744E-2</c:v>
                </c:pt>
                <c:pt idx="3">
                  <c:v>3.1336938409619756E-2</c:v>
                </c:pt>
                <c:pt idx="4">
                  <c:v>2.9300707822293291E-2</c:v>
                </c:pt>
                <c:pt idx="5">
                  <c:v>2.7621208140083946E-2</c:v>
                </c:pt>
                <c:pt idx="6">
                  <c:v>2.6335471549415991E-2</c:v>
                </c:pt>
                <c:pt idx="7">
                  <c:v>2.5232221939649128E-2</c:v>
                </c:pt>
                <c:pt idx="8">
                  <c:v>2.4278207922644724E-2</c:v>
                </c:pt>
                <c:pt idx="9">
                  <c:v>2.3449461507660054E-2</c:v>
                </c:pt>
                <c:pt idx="10">
                  <c:v>2.2659393662220178E-2</c:v>
                </c:pt>
                <c:pt idx="11">
                  <c:v>2.185871487531376E-2</c:v>
                </c:pt>
                <c:pt idx="12">
                  <c:v>2.1082754972121403E-2</c:v>
                </c:pt>
                <c:pt idx="13">
                  <c:v>2.0338658144075969E-2</c:v>
                </c:pt>
                <c:pt idx="14">
                  <c:v>1.9621301177357827E-2</c:v>
                </c:pt>
              </c:numCache>
            </c:numRef>
          </c:val>
          <c:smooth val="0"/>
          <c:extLst>
            <c:ext xmlns:c16="http://schemas.microsoft.com/office/drawing/2014/chart" uri="{C3380CC4-5D6E-409C-BE32-E72D297353CC}">
              <c16:uniqueId val="{00000001-C081-1543-BA87-E3B9298839E4}"/>
            </c:ext>
          </c:extLst>
        </c:ser>
        <c:dLbls>
          <c:dLblPos val="t"/>
          <c:showLegendKey val="0"/>
          <c:showVal val="1"/>
          <c:showCatName val="0"/>
          <c:showSerName val="0"/>
          <c:showPercent val="0"/>
          <c:showBubbleSize val="0"/>
        </c:dLbls>
        <c:smooth val="0"/>
        <c:axId val="1503259488"/>
        <c:axId val="1503265248"/>
      </c:lineChart>
      <c:catAx>
        <c:axId val="1503259488"/>
        <c:scaling>
          <c:orientation val="minMax"/>
        </c:scaling>
        <c:delete val="0"/>
        <c:axPos val="b"/>
        <c:numFmt formatCode="General" sourceLinked="1"/>
        <c:majorTickMark val="none"/>
        <c:minorTickMark val="none"/>
        <c:tickLblPos val="low"/>
        <c:spPr>
          <a:noFill/>
          <a:ln w="25400" cap="flat" cmpd="sng" algn="ctr">
            <a:solidFill>
              <a:schemeClr val="tx1">
                <a:lumMod val="85000"/>
                <a:lumOff val="1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03265248"/>
        <c:crosses val="autoZero"/>
        <c:auto val="1"/>
        <c:lblAlgn val="ctr"/>
        <c:lblOffset val="100"/>
        <c:noMultiLvlLbl val="0"/>
      </c:catAx>
      <c:valAx>
        <c:axId val="15032652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03259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ENCV!$I$8</c:f>
              <c:strCache>
                <c:ptCount val="1"/>
                <c:pt idx="0">
                  <c:v>Vida en general</c:v>
                </c:pt>
              </c:strCache>
            </c:strRef>
          </c:tx>
          <c:spPr>
            <a:solidFill>
              <a:srgbClr val="FFDE0B"/>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ENCV!$J$8:$L$8</c:f>
              <c:numCache>
                <c:formatCode>General</c:formatCode>
                <c:ptCount val="3"/>
                <c:pt idx="0">
                  <c:v>7.84</c:v>
                </c:pt>
                <c:pt idx="1">
                  <c:v>7.84</c:v>
                </c:pt>
                <c:pt idx="2">
                  <c:v>7.83</c:v>
                </c:pt>
              </c:numCache>
            </c:numRef>
          </c:val>
          <c:extLst>
            <c:ext xmlns:c16="http://schemas.microsoft.com/office/drawing/2014/chart" uri="{C3380CC4-5D6E-409C-BE32-E72D297353CC}">
              <c16:uniqueId val="{00000000-EAE0-9542-B50B-5E51035E0F5F}"/>
            </c:ext>
          </c:extLst>
        </c:ser>
        <c:ser>
          <c:idx val="1"/>
          <c:order val="1"/>
          <c:tx>
            <c:strRef>
              <c:f>ENCV!$I$9</c:f>
              <c:strCache>
                <c:ptCount val="1"/>
                <c:pt idx="0">
                  <c:v>Salud</c:v>
                </c:pt>
              </c:strCache>
            </c:strRef>
          </c:tx>
          <c:spPr>
            <a:solidFill>
              <a:srgbClr val="FFC00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ENCV!$J$9:$L$9</c:f>
              <c:numCache>
                <c:formatCode>General</c:formatCode>
                <c:ptCount val="3"/>
                <c:pt idx="0">
                  <c:v>7.86</c:v>
                </c:pt>
                <c:pt idx="1">
                  <c:v>7.77</c:v>
                </c:pt>
                <c:pt idx="2">
                  <c:v>7.74</c:v>
                </c:pt>
              </c:numCache>
            </c:numRef>
          </c:val>
          <c:extLst>
            <c:ext xmlns:c16="http://schemas.microsoft.com/office/drawing/2014/chart" uri="{C3380CC4-5D6E-409C-BE32-E72D297353CC}">
              <c16:uniqueId val="{00000001-EAE0-9542-B50B-5E51035E0F5F}"/>
            </c:ext>
          </c:extLst>
        </c:ser>
        <c:ser>
          <c:idx val="2"/>
          <c:order val="2"/>
          <c:tx>
            <c:strRef>
              <c:f>ENCV!$I$10</c:f>
              <c:strCache>
                <c:ptCount val="1"/>
                <c:pt idx="0">
                  <c:v>Tiempo libre</c:v>
                </c:pt>
              </c:strCache>
            </c:strRef>
          </c:tx>
          <c:spPr>
            <a:solidFill>
              <a:srgbClr val="E4352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ENCV!$J$10:$L$10</c:f>
              <c:numCache>
                <c:formatCode>General</c:formatCode>
                <c:ptCount val="3"/>
                <c:pt idx="0">
                  <c:v>7.1</c:v>
                </c:pt>
                <c:pt idx="1">
                  <c:v>7.19</c:v>
                </c:pt>
                <c:pt idx="2">
                  <c:v>7.1</c:v>
                </c:pt>
              </c:numCache>
            </c:numRef>
          </c:val>
          <c:extLst>
            <c:ext xmlns:c16="http://schemas.microsoft.com/office/drawing/2014/chart" uri="{C3380CC4-5D6E-409C-BE32-E72D297353CC}">
              <c16:uniqueId val="{00000002-EAE0-9542-B50B-5E51035E0F5F}"/>
            </c:ext>
          </c:extLst>
        </c:ser>
        <c:ser>
          <c:idx val="3"/>
          <c:order val="3"/>
          <c:tx>
            <c:strRef>
              <c:f>ENCV!$I$11</c:f>
              <c:strCache>
                <c:ptCount val="1"/>
                <c:pt idx="0">
                  <c:v>Trabajo o actividad</c:v>
                </c:pt>
              </c:strCache>
            </c:strRef>
          </c:tx>
          <c:spPr>
            <a:solidFill>
              <a:srgbClr val="C91517"/>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ENCV!$J$11:$L$11</c:f>
              <c:numCache>
                <c:formatCode>General</c:formatCode>
                <c:ptCount val="3"/>
                <c:pt idx="0">
                  <c:v>6.81</c:v>
                </c:pt>
                <c:pt idx="1">
                  <c:v>6.76</c:v>
                </c:pt>
                <c:pt idx="2">
                  <c:v>6.8</c:v>
                </c:pt>
              </c:numCache>
            </c:numRef>
          </c:val>
          <c:extLst>
            <c:ext xmlns:c16="http://schemas.microsoft.com/office/drawing/2014/chart" uri="{C3380CC4-5D6E-409C-BE32-E72D297353CC}">
              <c16:uniqueId val="{00000003-EAE0-9542-B50B-5E51035E0F5F}"/>
            </c:ext>
          </c:extLst>
        </c:ser>
        <c:ser>
          <c:idx val="4"/>
          <c:order val="4"/>
          <c:tx>
            <c:strRef>
              <c:f>ENCV!$I$12</c:f>
              <c:strCache>
                <c:ptCount val="1"/>
                <c:pt idx="0">
                  <c:v>Ingreso</c:v>
                </c:pt>
              </c:strCache>
            </c:strRef>
          </c:tx>
          <c:spPr>
            <a:solidFill>
              <a:srgbClr val="A8000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ENCV!$J$12:$L$12</c:f>
              <c:numCache>
                <c:formatCode>General</c:formatCode>
                <c:ptCount val="3"/>
                <c:pt idx="0">
                  <c:v>6.45</c:v>
                </c:pt>
                <c:pt idx="1">
                  <c:v>6.53</c:v>
                </c:pt>
                <c:pt idx="2">
                  <c:v>6.55</c:v>
                </c:pt>
              </c:numCache>
            </c:numRef>
          </c:val>
          <c:extLst>
            <c:ext xmlns:c16="http://schemas.microsoft.com/office/drawing/2014/chart" uri="{C3380CC4-5D6E-409C-BE32-E72D297353CC}">
              <c16:uniqueId val="{00000004-EAE0-9542-B50B-5E51035E0F5F}"/>
            </c:ext>
          </c:extLst>
        </c:ser>
        <c:ser>
          <c:idx val="5"/>
          <c:order val="5"/>
          <c:tx>
            <c:strRef>
              <c:f>ENCV!$I$13</c:f>
              <c:strCache>
                <c:ptCount val="1"/>
                <c:pt idx="0">
                  <c:v>Seguridad</c:v>
                </c:pt>
              </c:strCache>
            </c:strRef>
          </c:tx>
          <c:spPr>
            <a:solidFill>
              <a:srgbClr val="7E000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ENCV!$J$13:$L$13</c:f>
              <c:numCache>
                <c:formatCode>General</c:formatCode>
                <c:ptCount val="3"/>
                <c:pt idx="0">
                  <c:v>6.46</c:v>
                </c:pt>
                <c:pt idx="1">
                  <c:v>5.4</c:v>
                </c:pt>
                <c:pt idx="2">
                  <c:v>6.45</c:v>
                </c:pt>
              </c:numCache>
            </c:numRef>
          </c:val>
          <c:extLst>
            <c:ext xmlns:c16="http://schemas.microsoft.com/office/drawing/2014/chart" uri="{C3380CC4-5D6E-409C-BE32-E72D297353CC}">
              <c16:uniqueId val="{00000005-EAE0-9542-B50B-5E51035E0F5F}"/>
            </c:ext>
          </c:extLst>
        </c:ser>
        <c:dLbls>
          <c:dLblPos val="outEnd"/>
          <c:showLegendKey val="0"/>
          <c:showVal val="1"/>
          <c:showCatName val="0"/>
          <c:showSerName val="0"/>
          <c:showPercent val="0"/>
          <c:showBubbleSize val="0"/>
        </c:dLbls>
        <c:gapWidth val="219"/>
        <c:overlap val="-27"/>
        <c:axId val="1609108720"/>
        <c:axId val="1609109680"/>
      </c:barChart>
      <c:catAx>
        <c:axId val="160910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609109680"/>
        <c:crosses val="autoZero"/>
        <c:auto val="1"/>
        <c:lblAlgn val="ctr"/>
        <c:lblOffset val="100"/>
        <c:noMultiLvlLbl val="0"/>
      </c:catAx>
      <c:valAx>
        <c:axId val="160910968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609108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latin typeface="Candara" panose="020E0502030303020204" pitchFamily="34" charset="0"/>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PIB!$H$4</c:f>
              <c:strCache>
                <c:ptCount val="1"/>
                <c:pt idx="0">
                  <c:v>Bogotá</c:v>
                </c:pt>
              </c:strCache>
            </c:strRef>
          </c:tx>
          <c:spPr>
            <a:ln w="28575" cap="rnd">
              <a:solidFill>
                <a:srgbClr val="FFC000"/>
              </a:solidFill>
              <a:round/>
            </a:ln>
            <a:effectLst>
              <a:outerShdw blurRad="50800" dist="38100" dir="2700000" algn="tl" rotWithShape="0">
                <a:prstClr val="black">
                  <a:alpha val="40000"/>
                </a:prst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PIB!$I$3:$M$3</c:f>
              <c:strCache>
                <c:ptCount val="5"/>
                <c:pt idx="0">
                  <c:v>2019</c:v>
                </c:pt>
                <c:pt idx="1">
                  <c:v>2020p</c:v>
                </c:pt>
                <c:pt idx="2">
                  <c:v>2021p</c:v>
                </c:pt>
                <c:pt idx="3">
                  <c:v>2022pr</c:v>
                </c:pt>
                <c:pt idx="4">
                  <c:v>2023pr</c:v>
                </c:pt>
              </c:strCache>
            </c:strRef>
          </c:cat>
          <c:val>
            <c:numRef>
              <c:f>PIB!$I$4:$M$4</c:f>
              <c:numCache>
                <c:formatCode>General</c:formatCode>
                <c:ptCount val="5"/>
                <c:pt idx="0">
                  <c:v>3.5</c:v>
                </c:pt>
                <c:pt idx="1">
                  <c:v>-6.7</c:v>
                </c:pt>
                <c:pt idx="2">
                  <c:v>11.3</c:v>
                </c:pt>
                <c:pt idx="3">
                  <c:v>9.5</c:v>
                </c:pt>
                <c:pt idx="4">
                  <c:v>0.9</c:v>
                </c:pt>
              </c:numCache>
            </c:numRef>
          </c:val>
          <c:smooth val="1"/>
          <c:extLst>
            <c:ext xmlns:c16="http://schemas.microsoft.com/office/drawing/2014/chart" uri="{C3380CC4-5D6E-409C-BE32-E72D297353CC}">
              <c16:uniqueId val="{00000000-ED4D-0F49-BD57-4B9ACB0C164C}"/>
            </c:ext>
          </c:extLst>
        </c:ser>
        <c:ser>
          <c:idx val="1"/>
          <c:order val="1"/>
          <c:tx>
            <c:strRef>
              <c:f>PIB!$H$5</c:f>
              <c:strCache>
                <c:ptCount val="1"/>
                <c:pt idx="0">
                  <c:v>Total nacional</c:v>
                </c:pt>
              </c:strCache>
            </c:strRef>
          </c:tx>
          <c:spPr>
            <a:ln w="28575" cap="rnd">
              <a:solidFill>
                <a:schemeClr val="accent2"/>
              </a:solidFill>
              <a:round/>
            </a:ln>
            <a:effectLst>
              <a:outerShdw blurRad="50800" dist="38100" dir="2700000" algn="tl" rotWithShape="0">
                <a:prstClr val="black">
                  <a:alpha val="40000"/>
                </a:prst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PIB!$I$3:$M$3</c:f>
              <c:strCache>
                <c:ptCount val="5"/>
                <c:pt idx="0">
                  <c:v>2019</c:v>
                </c:pt>
                <c:pt idx="1">
                  <c:v>2020p</c:v>
                </c:pt>
                <c:pt idx="2">
                  <c:v>2021p</c:v>
                </c:pt>
                <c:pt idx="3">
                  <c:v>2022pr</c:v>
                </c:pt>
                <c:pt idx="4">
                  <c:v>2023pr</c:v>
                </c:pt>
              </c:strCache>
            </c:strRef>
          </c:cat>
          <c:val>
            <c:numRef>
              <c:f>PIB!$I$5:$M$5</c:f>
              <c:numCache>
                <c:formatCode>General</c:formatCode>
                <c:ptCount val="5"/>
                <c:pt idx="0">
                  <c:v>3.2</c:v>
                </c:pt>
                <c:pt idx="1">
                  <c:v>-7.3</c:v>
                </c:pt>
                <c:pt idx="2">
                  <c:v>10.8</c:v>
                </c:pt>
                <c:pt idx="3">
                  <c:v>7.3</c:v>
                </c:pt>
                <c:pt idx="4">
                  <c:v>0.6</c:v>
                </c:pt>
              </c:numCache>
            </c:numRef>
          </c:val>
          <c:smooth val="1"/>
          <c:extLst>
            <c:ext xmlns:c16="http://schemas.microsoft.com/office/drawing/2014/chart" uri="{C3380CC4-5D6E-409C-BE32-E72D297353CC}">
              <c16:uniqueId val="{00000001-ED4D-0F49-BD57-4B9ACB0C164C}"/>
            </c:ext>
          </c:extLst>
        </c:ser>
        <c:dLbls>
          <c:dLblPos val="t"/>
          <c:showLegendKey val="0"/>
          <c:showVal val="1"/>
          <c:showCatName val="0"/>
          <c:showSerName val="0"/>
          <c:showPercent val="0"/>
          <c:showBubbleSize val="0"/>
        </c:dLbls>
        <c:smooth val="0"/>
        <c:axId val="1592572800"/>
        <c:axId val="1592572320"/>
      </c:lineChart>
      <c:catAx>
        <c:axId val="1592572800"/>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b" anchorCtr="0"/>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92572320"/>
        <c:crosses val="autoZero"/>
        <c:auto val="1"/>
        <c:lblAlgn val="ctr"/>
        <c:lblOffset val="100"/>
        <c:tickMarkSkip val="1"/>
        <c:noMultiLvlLbl val="0"/>
      </c:catAx>
      <c:valAx>
        <c:axId val="1592572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crossAx val="1592572800"/>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Pobreza!$K$8</c:f>
              <c:strCache>
                <c:ptCount val="1"/>
                <c:pt idx="0">
                  <c:v>2021</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Pobreza!$I$9:$J$14</c:f>
              <c:multiLvlStrCache>
                <c:ptCount val="6"/>
                <c:lvl>
                  <c:pt idx="0">
                    <c:v>Bogotá</c:v>
                  </c:pt>
                  <c:pt idx="1">
                    <c:v>Nacional</c:v>
                  </c:pt>
                  <c:pt idx="2">
                    <c:v>Bogotá</c:v>
                  </c:pt>
                  <c:pt idx="3">
                    <c:v>Nacional</c:v>
                  </c:pt>
                  <c:pt idx="4">
                    <c:v>Bogotá</c:v>
                  </c:pt>
                  <c:pt idx="5">
                    <c:v>Bogotá</c:v>
                  </c:pt>
                </c:lvl>
                <c:lvl>
                  <c:pt idx="0">
                    <c:v>Pobreza Monetaria</c:v>
                  </c:pt>
                  <c:pt idx="2">
                    <c:v>Pobreza Extrema</c:v>
                  </c:pt>
                  <c:pt idx="4">
                    <c:v>Índice de Pobreza 
Multidimensional</c:v>
                  </c:pt>
                  <c:pt idx="5">
                    <c:v>Índice de Condiciones Aampliadas de Vida</c:v>
                  </c:pt>
                </c:lvl>
              </c:multiLvlStrCache>
            </c:multiLvlStrRef>
          </c:cat>
          <c:val>
            <c:numRef>
              <c:f>Pobreza!$K$9:$K$14</c:f>
              <c:numCache>
                <c:formatCode>General</c:formatCode>
                <c:ptCount val="6"/>
                <c:pt idx="0">
                  <c:v>30.7</c:v>
                </c:pt>
                <c:pt idx="1">
                  <c:v>39.700000000000003</c:v>
                </c:pt>
                <c:pt idx="2">
                  <c:v>8.5</c:v>
                </c:pt>
                <c:pt idx="3">
                  <c:v>13.7</c:v>
                </c:pt>
                <c:pt idx="4">
                  <c:v>5.7</c:v>
                </c:pt>
                <c:pt idx="5">
                  <c:v>18.5</c:v>
                </c:pt>
              </c:numCache>
            </c:numRef>
          </c:val>
          <c:extLst>
            <c:ext xmlns:c16="http://schemas.microsoft.com/office/drawing/2014/chart" uri="{C3380CC4-5D6E-409C-BE32-E72D297353CC}">
              <c16:uniqueId val="{00000000-9349-4EB4-A03F-C6670D84878D}"/>
            </c:ext>
          </c:extLst>
        </c:ser>
        <c:ser>
          <c:idx val="1"/>
          <c:order val="1"/>
          <c:tx>
            <c:strRef>
              <c:f>Pobreza!$L$8</c:f>
              <c:strCache>
                <c:ptCount val="1"/>
                <c:pt idx="0">
                  <c:v>2022</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Pobreza!$I$9:$J$14</c:f>
              <c:multiLvlStrCache>
                <c:ptCount val="6"/>
                <c:lvl>
                  <c:pt idx="0">
                    <c:v>Bogotá</c:v>
                  </c:pt>
                  <c:pt idx="1">
                    <c:v>Nacional</c:v>
                  </c:pt>
                  <c:pt idx="2">
                    <c:v>Bogotá</c:v>
                  </c:pt>
                  <c:pt idx="3">
                    <c:v>Nacional</c:v>
                  </c:pt>
                  <c:pt idx="4">
                    <c:v>Bogotá</c:v>
                  </c:pt>
                  <c:pt idx="5">
                    <c:v>Bogotá</c:v>
                  </c:pt>
                </c:lvl>
                <c:lvl>
                  <c:pt idx="0">
                    <c:v>Pobreza Monetaria</c:v>
                  </c:pt>
                  <c:pt idx="2">
                    <c:v>Pobreza Extrema</c:v>
                  </c:pt>
                  <c:pt idx="4">
                    <c:v>Índice de Pobreza 
Multidimensional</c:v>
                  </c:pt>
                  <c:pt idx="5">
                    <c:v>Índice de Condiciones Aampliadas de Vida</c:v>
                  </c:pt>
                </c:lvl>
              </c:multiLvlStrCache>
            </c:multiLvlStrRef>
          </c:cat>
          <c:val>
            <c:numRef>
              <c:f>Pobreza!$L$9:$L$14</c:f>
              <c:numCache>
                <c:formatCode>General</c:formatCode>
                <c:ptCount val="6"/>
                <c:pt idx="0">
                  <c:v>28.1</c:v>
                </c:pt>
                <c:pt idx="1">
                  <c:v>36.6</c:v>
                </c:pt>
                <c:pt idx="2">
                  <c:v>8.1</c:v>
                </c:pt>
                <c:pt idx="3">
                  <c:v>13.8</c:v>
                </c:pt>
                <c:pt idx="4">
                  <c:v>3.8</c:v>
                </c:pt>
              </c:numCache>
            </c:numRef>
          </c:val>
          <c:extLst>
            <c:ext xmlns:c16="http://schemas.microsoft.com/office/drawing/2014/chart" uri="{C3380CC4-5D6E-409C-BE32-E72D297353CC}">
              <c16:uniqueId val="{00000001-9349-4EB4-A03F-C6670D84878D}"/>
            </c:ext>
          </c:extLst>
        </c:ser>
        <c:ser>
          <c:idx val="2"/>
          <c:order val="2"/>
          <c:tx>
            <c:strRef>
              <c:f>Pobreza!$M$8</c:f>
              <c:strCache>
                <c:ptCount val="1"/>
                <c:pt idx="0">
                  <c:v>2023</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Pobreza!$I$9:$J$14</c:f>
              <c:multiLvlStrCache>
                <c:ptCount val="6"/>
                <c:lvl>
                  <c:pt idx="0">
                    <c:v>Bogotá</c:v>
                  </c:pt>
                  <c:pt idx="1">
                    <c:v>Nacional</c:v>
                  </c:pt>
                  <c:pt idx="2">
                    <c:v>Bogotá</c:v>
                  </c:pt>
                  <c:pt idx="3">
                    <c:v>Nacional</c:v>
                  </c:pt>
                  <c:pt idx="4">
                    <c:v>Bogotá</c:v>
                  </c:pt>
                  <c:pt idx="5">
                    <c:v>Bogotá</c:v>
                  </c:pt>
                </c:lvl>
                <c:lvl>
                  <c:pt idx="0">
                    <c:v>Pobreza Monetaria</c:v>
                  </c:pt>
                  <c:pt idx="2">
                    <c:v>Pobreza Extrema</c:v>
                  </c:pt>
                  <c:pt idx="4">
                    <c:v>Índice de Pobreza 
Multidimensional</c:v>
                  </c:pt>
                  <c:pt idx="5">
                    <c:v>Índice de Condiciones Aampliadas de Vida</c:v>
                  </c:pt>
                </c:lvl>
              </c:multiLvlStrCache>
            </c:multiLvlStrRef>
          </c:cat>
          <c:val>
            <c:numRef>
              <c:f>Pobreza!$M$9:$M$14</c:f>
              <c:numCache>
                <c:formatCode>General</c:formatCode>
                <c:ptCount val="6"/>
                <c:pt idx="4">
                  <c:v>3.6</c:v>
                </c:pt>
              </c:numCache>
            </c:numRef>
          </c:val>
          <c:extLst>
            <c:ext xmlns:c16="http://schemas.microsoft.com/office/drawing/2014/chart" uri="{C3380CC4-5D6E-409C-BE32-E72D297353CC}">
              <c16:uniqueId val="{00000002-9349-4EB4-A03F-C6670D84878D}"/>
            </c:ext>
          </c:extLst>
        </c:ser>
        <c:dLbls>
          <c:dLblPos val="outEnd"/>
          <c:showLegendKey val="0"/>
          <c:showVal val="1"/>
          <c:showCatName val="0"/>
          <c:showSerName val="0"/>
          <c:showPercent val="0"/>
          <c:showBubbleSize val="0"/>
        </c:dLbls>
        <c:gapWidth val="80"/>
        <c:overlap val="-27"/>
        <c:axId val="1692565552"/>
        <c:axId val="1692566512"/>
      </c:barChart>
      <c:catAx>
        <c:axId val="169256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s-CO"/>
          </a:p>
        </c:txPr>
        <c:crossAx val="1692566512"/>
        <c:crosses val="autoZero"/>
        <c:auto val="1"/>
        <c:lblAlgn val="ctr"/>
        <c:lblOffset val="100"/>
        <c:noMultiLvlLbl val="0"/>
      </c:catAx>
      <c:valAx>
        <c:axId val="169256651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Porcentaje de personas (%)</a:t>
                </a:r>
              </a:p>
            </c:rich>
          </c:tx>
          <c:layout>
            <c:manualLayout>
              <c:xMode val="edge"/>
              <c:yMode val="edge"/>
              <c:x val="1.6122529775447075E-2"/>
              <c:y val="9.241127467762182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9256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08108609102385"/>
          <c:y val="3.8341032005654835E-2"/>
          <c:w val="0.88891886498058714"/>
          <c:h val="0.7835259403498136"/>
        </c:manualLayout>
      </c:layout>
      <c:lineChart>
        <c:grouping val="standard"/>
        <c:varyColors val="0"/>
        <c:ser>
          <c:idx val="0"/>
          <c:order val="0"/>
          <c:tx>
            <c:strRef>
              <c:f>Empleo!$B$2</c:f>
              <c:strCache>
                <c:ptCount val="1"/>
                <c:pt idx="0">
                  <c:v>%PET</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Empleo!$B$3:$B$7</c:f>
              <c:numCache>
                <c:formatCode>0.0%</c:formatCode>
                <c:ptCount val="5"/>
                <c:pt idx="0">
                  <c:v>0.80800000000000005</c:v>
                </c:pt>
                <c:pt idx="1">
                  <c:v>0.81100000000000005</c:v>
                </c:pt>
                <c:pt idx="2">
                  <c:v>0.81399999999999995</c:v>
                </c:pt>
                <c:pt idx="3">
                  <c:v>0.81699999999999995</c:v>
                </c:pt>
                <c:pt idx="4">
                  <c:v>0.82</c:v>
                </c:pt>
              </c:numCache>
            </c:numRef>
          </c:val>
          <c:smooth val="0"/>
          <c:extLst>
            <c:ext xmlns:c16="http://schemas.microsoft.com/office/drawing/2014/chart" uri="{C3380CC4-5D6E-409C-BE32-E72D297353CC}">
              <c16:uniqueId val="{00000000-0D18-4F65-BE95-93C7A23F5F17}"/>
            </c:ext>
          </c:extLst>
        </c:ser>
        <c:ser>
          <c:idx val="1"/>
          <c:order val="1"/>
          <c:tx>
            <c:strRef>
              <c:f>Empleo!$C$2</c:f>
              <c:strCache>
                <c:ptCount val="1"/>
                <c:pt idx="0">
                  <c:v>TGP</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Empleo!$C$3:$C$7</c:f>
              <c:numCache>
                <c:formatCode>0.0%</c:formatCode>
                <c:ptCount val="5"/>
                <c:pt idx="0">
                  <c:v>0.71</c:v>
                </c:pt>
                <c:pt idx="1">
                  <c:v>0.65700000000000003</c:v>
                </c:pt>
                <c:pt idx="2">
                  <c:v>0.67500000000000004</c:v>
                </c:pt>
                <c:pt idx="3">
                  <c:v>0.66900000000000004</c:v>
                </c:pt>
                <c:pt idx="4">
                  <c:v>0.69499999999999995</c:v>
                </c:pt>
              </c:numCache>
            </c:numRef>
          </c:val>
          <c:smooth val="0"/>
          <c:extLst>
            <c:ext xmlns:c16="http://schemas.microsoft.com/office/drawing/2014/chart" uri="{C3380CC4-5D6E-409C-BE32-E72D297353CC}">
              <c16:uniqueId val="{00000001-0D18-4F65-BE95-93C7A23F5F17}"/>
            </c:ext>
          </c:extLst>
        </c:ser>
        <c:ser>
          <c:idx val="2"/>
          <c:order val="2"/>
          <c:tx>
            <c:strRef>
              <c:f>Empleo!$D$2</c:f>
              <c:strCache>
                <c:ptCount val="1"/>
                <c:pt idx="0">
                  <c:v>TO</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Empleo!$D$3:$D$7</c:f>
              <c:numCache>
                <c:formatCode>0.0%</c:formatCode>
                <c:ptCount val="5"/>
                <c:pt idx="0">
                  <c:v>0.63300000000000001</c:v>
                </c:pt>
                <c:pt idx="1">
                  <c:v>0.52900000000000003</c:v>
                </c:pt>
                <c:pt idx="2">
                  <c:v>0.56599999999999995</c:v>
                </c:pt>
                <c:pt idx="3">
                  <c:v>0.59299999999999997</c:v>
                </c:pt>
                <c:pt idx="4">
                  <c:v>0.623</c:v>
                </c:pt>
              </c:numCache>
            </c:numRef>
          </c:val>
          <c:smooth val="0"/>
          <c:extLst>
            <c:ext xmlns:c16="http://schemas.microsoft.com/office/drawing/2014/chart" uri="{C3380CC4-5D6E-409C-BE32-E72D297353CC}">
              <c16:uniqueId val="{00000002-0D18-4F65-BE95-93C7A23F5F17}"/>
            </c:ext>
          </c:extLst>
        </c:ser>
        <c:ser>
          <c:idx val="3"/>
          <c:order val="3"/>
          <c:tx>
            <c:strRef>
              <c:f>Empleo!$E$2</c:f>
              <c:strCache>
                <c:ptCount val="1"/>
                <c:pt idx="0">
                  <c:v>TD</c:v>
                </c:pt>
              </c:strCache>
            </c:strRef>
          </c:tx>
          <c:spPr>
            <a:ln w="2857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Empleo!$E$3:$E$7</c:f>
              <c:numCache>
                <c:formatCode>0.0%</c:formatCode>
                <c:ptCount val="5"/>
                <c:pt idx="0">
                  <c:v>0.109</c:v>
                </c:pt>
                <c:pt idx="1">
                  <c:v>0.19500000000000001</c:v>
                </c:pt>
                <c:pt idx="2">
                  <c:v>0.16200000000000001</c:v>
                </c:pt>
                <c:pt idx="3">
                  <c:v>0.114</c:v>
                </c:pt>
                <c:pt idx="4">
                  <c:v>0.104</c:v>
                </c:pt>
              </c:numCache>
            </c:numRef>
          </c:val>
          <c:smooth val="0"/>
          <c:extLst>
            <c:ext xmlns:c16="http://schemas.microsoft.com/office/drawing/2014/chart" uri="{C3380CC4-5D6E-409C-BE32-E72D297353CC}">
              <c16:uniqueId val="{00000003-0D18-4F65-BE95-93C7A23F5F17}"/>
            </c:ext>
          </c:extLst>
        </c:ser>
        <c:dLbls>
          <c:dLblPos val="t"/>
          <c:showLegendKey val="0"/>
          <c:showVal val="1"/>
          <c:showCatName val="0"/>
          <c:showSerName val="0"/>
          <c:showPercent val="0"/>
          <c:showBubbleSize val="0"/>
        </c:dLbls>
        <c:smooth val="0"/>
        <c:axId val="96341455"/>
        <c:axId val="96345775"/>
      </c:lineChart>
      <c:catAx>
        <c:axId val="96341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6345775"/>
        <c:crosses val="autoZero"/>
        <c:auto val="1"/>
        <c:lblAlgn val="ctr"/>
        <c:lblOffset val="100"/>
        <c:noMultiLvlLbl val="0"/>
      </c:catAx>
      <c:valAx>
        <c:axId val="9634577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6341455"/>
        <c:crosses val="autoZero"/>
        <c:crossBetween val="between"/>
      </c:valAx>
      <c:spPr>
        <a:noFill/>
        <a:ln>
          <a:noFill/>
        </a:ln>
        <a:effectLst/>
      </c:spPr>
    </c:plotArea>
    <c:legend>
      <c:legendPos val="b"/>
      <c:layout>
        <c:manualLayout>
          <c:xMode val="edge"/>
          <c:yMode val="edge"/>
          <c:x val="0.2606404254398883"/>
          <c:y val="0.91802225839088547"/>
          <c:w val="0.47348765552880306"/>
          <c:h val="8.197774160911450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0.40187</cdr:x>
      <cdr:y>0.73624</cdr:y>
    </cdr:from>
    <cdr:to>
      <cdr:x>0.43978</cdr:x>
      <cdr:y>0.79514</cdr:y>
    </cdr:to>
    <cdr:sp macro="" textlink="">
      <cdr:nvSpPr>
        <cdr:cNvPr id="2" name="Rectángulo 1"/>
        <cdr:cNvSpPr/>
      </cdr:nvSpPr>
      <cdr:spPr>
        <a:xfrm xmlns:a="http://schemas.openxmlformats.org/drawingml/2006/main">
          <a:off x="1182029" y="1812073"/>
          <a:ext cx="111512" cy="144966"/>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s-CO"/>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F44004-9AC6-2F40-A6DF-CFC458934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568</Pages>
  <Words>192057</Words>
  <Characters>1056314</Characters>
  <Application>Microsoft Office Word</Application>
  <DocSecurity>0</DocSecurity>
  <Lines>8802</Lines>
  <Paragraphs>2491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1245880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Daniel Quintana Acosta</dc:creator>
  <cp:keywords/>
  <dc:description/>
  <cp:lastModifiedBy>Juanes Uribe Vasquez</cp:lastModifiedBy>
  <cp:revision>9</cp:revision>
  <cp:lastPrinted>2024-04-28T10:06:00Z</cp:lastPrinted>
  <dcterms:created xsi:type="dcterms:W3CDTF">2024-04-28T10:06:00Z</dcterms:created>
  <dcterms:modified xsi:type="dcterms:W3CDTF">2024-04-29T22:04:00Z</dcterms:modified>
</cp:coreProperties>
</file>